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header1.xml" ContentType="application/vnd.openxmlformats-officedocument.wordprocessingml.header+xml"/>
  <Default Extension="png" ContentType="image/png"/>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4.xml" ContentType="application/vnd.openxmlformats-officedocument.wordprocessingml.header+xml"/>
  <Override PartName="/word/footer7.xml" ContentType="application/vnd.openxmlformats-officedocument.wordprocessingml.footer+xml"/>
  <Override PartName="/word/header5.xml" ContentType="application/vnd.openxmlformats-officedocument.wordprocessingml.header+xml"/>
  <Override PartName="/word/footer8.xml" ContentType="application/vnd.openxmlformats-officedocument.wordprocessingml.footer+xml"/>
  <Override PartName="/word/header6.xml" ContentType="application/vnd.openxmlformats-officedocument.wordprocessingml.header+xml"/>
  <Override PartName="/word/footer9.xml" ContentType="application/vnd.openxmlformats-officedocument.wordprocessingml.footer+xml"/>
  <Override PartName="/word/header7.xml" ContentType="application/vnd.openxmlformats-officedocument.wordprocessingml.header+xml"/>
  <Override PartName="/word/footer10.xml" ContentType="application/vnd.openxmlformats-officedocument.wordprocessingml.footer+xml"/>
  <Override PartName="/word/header8.xml" ContentType="application/vnd.openxmlformats-officedocument.wordprocessingml.header+xml"/>
  <Override PartName="/word/footer11.xml" ContentType="application/vnd.openxmlformats-officedocument.wordprocessingml.footer+xml"/>
  <Override PartName="/word/header9.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header10.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header11.xml" ContentType="application/vnd.openxmlformats-officedocument.wordprocessingml.head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header12.xml" ContentType="application/vnd.openxmlformats-officedocument.wordprocessingml.header+xml"/>
  <Override PartName="/word/footer25.xml" ContentType="application/vnd.openxmlformats-officedocument.wordprocessingml.footer+xml"/>
  <Override PartName="/word/header13.xml" ContentType="application/vnd.openxmlformats-officedocument.wordprocessingml.head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header17.xml" ContentType="application/vnd.openxmlformats-officedocument.wordprocessingml.header+xml"/>
  <Override PartName="/word/footer39.xml" ContentType="application/vnd.openxmlformats-officedocument.wordprocessingml.footer+xml"/>
  <Override PartName="/word/header18.xml" ContentType="application/vnd.openxmlformats-officedocument.wordprocessingml.header+xml"/>
  <Override PartName="/word/footer40.xml" ContentType="application/vnd.openxmlformats-officedocument.wordprocessingml.footer+xml"/>
  <Override PartName="/word/header19.xml" ContentType="application/vnd.openxmlformats-officedocument.wordprocessingml.header+xml"/>
  <Override PartName="/word/footer41.xml" ContentType="application/vnd.openxmlformats-officedocument.wordprocessingml.footer+xml"/>
  <Override PartName="/word/header20.xml" ContentType="application/vnd.openxmlformats-officedocument.wordprocessingml.header+xml"/>
  <Override PartName="/word/footer42.xml" ContentType="application/vnd.openxmlformats-officedocument.wordprocessingml.footer+xml"/>
  <Override PartName="/word/header21.xml" ContentType="application/vnd.openxmlformats-officedocument.wordprocessingml.head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header22.xml" ContentType="application/vnd.openxmlformats-officedocument.wordprocessingml.header+xml"/>
  <Override PartName="/word/footer47.xml" ContentType="application/vnd.openxmlformats-officedocument.wordprocessingml.footer+xml"/>
  <Override PartName="/word/footer48.xml" ContentType="application/vnd.openxmlformats-officedocument.wordprocessingml.footer+xml"/>
  <Override PartName="/word/header23.xml" ContentType="application/vnd.openxmlformats-officedocument.wordprocessingml.header+xml"/>
  <Override PartName="/word/footer49.xml" ContentType="application/vnd.openxmlformats-officedocument.wordprocessingml.footer+xml"/>
  <Override PartName="/word/header24.xml" ContentType="application/vnd.openxmlformats-officedocument.wordprocessingml.header+xml"/>
  <Override PartName="/word/footer50.xml" ContentType="application/vnd.openxmlformats-officedocument.wordprocessingml.footer+xml"/>
  <Override PartName="/word/header25.xml" ContentType="application/vnd.openxmlformats-officedocument.wordprocessingml.head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header26.xml" ContentType="application/vnd.openxmlformats-officedocument.wordprocessingml.header+xml"/>
  <Override PartName="/word/footer56.xml" ContentType="application/vnd.openxmlformats-officedocument.wordprocessingml.footer+xml"/>
  <Override PartName="/word/header27.xml" ContentType="application/vnd.openxmlformats-officedocument.wordprocessingml.header+xml"/>
  <Override PartName="/word/footer57.xml" ContentType="application/vnd.openxmlformats-officedocument.wordprocessingml.footer+xml"/>
  <Override PartName="/word/header28.xml" ContentType="application/vnd.openxmlformats-officedocument.wordprocessingml.header+xml"/>
  <Override PartName="/word/footer58.xml" ContentType="application/vnd.openxmlformats-officedocument.wordprocessingml.footer+xml"/>
  <Override PartName="/word/footer59.xml" ContentType="application/vnd.openxmlformats-officedocument.wordprocessingml.footer+xml"/>
  <Override PartName="/word/footer60.xml" ContentType="application/vnd.openxmlformats-officedocument.wordprocessingml.footer+xml"/>
  <Override PartName="/word/footer61.xml" ContentType="application/vnd.openxmlformats-officedocument.wordprocessingml.footer+xml"/>
  <Override PartName="/word/footer62.xml" ContentType="application/vnd.openxmlformats-officedocument.wordprocessingml.footer+xml"/>
  <Override PartName="/word/header29.xml" ContentType="application/vnd.openxmlformats-officedocument.wordprocessingml.header+xml"/>
  <Override PartName="/word/footer63.xml" ContentType="application/vnd.openxmlformats-officedocument.wordprocessingml.footer+xml"/>
  <Override PartName="/word/header30.xml" ContentType="application/vnd.openxmlformats-officedocument.wordprocessingml.header+xml"/>
  <Override PartName="/word/footer64.xml" ContentType="application/vnd.openxmlformats-officedocument.wordprocessingml.footer+xml"/>
  <Override PartName="/word/header31.xml" ContentType="application/vnd.openxmlformats-officedocument.wordprocessingml.header+xml"/>
  <Override PartName="/word/footer65.xml" ContentType="application/vnd.openxmlformats-officedocument.wordprocessingml.footer+xml"/>
  <Override PartName="/word/footer66.xml" ContentType="application/vnd.openxmlformats-officedocument.wordprocessingml.footer+xml"/>
  <Override PartName="/word/header32.xml" ContentType="application/vnd.openxmlformats-officedocument.wordprocessingml.header+xml"/>
  <Override PartName="/word/footer67.xml" ContentType="application/vnd.openxmlformats-officedocument.wordprocessingml.footer+xml"/>
  <Override PartName="/word/header33.xml" ContentType="application/vnd.openxmlformats-officedocument.wordprocessingml.header+xml"/>
  <Override PartName="/word/footer68.xml" ContentType="application/vnd.openxmlformats-officedocument.wordprocessingml.footer+xml"/>
  <Override PartName="/word/header34.xml" ContentType="application/vnd.openxmlformats-officedocument.wordprocessingml.head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21"/>
          <w:szCs w:val="21"/>
        </w:rPr>
      </w:pPr>
    </w:p>
    <w:p>
      <w:pPr>
        <w:spacing w:line="3280" w:lineRule="exact"/>
        <w:ind w:left="2784"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65"/>
          <w:sz w:val="20"/>
          <w:szCs w:val="20"/>
        </w:rPr>
        <w:drawing>
          <wp:inline distT="0" distB="0" distL="0" distR="0">
            <wp:extent cx="2253144" cy="2082927"/>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2253144" cy="2082927"/>
                    </a:xfrm>
                    <a:prstGeom prst="rect">
                      <a:avLst/>
                    </a:prstGeom>
                  </pic:spPr>
                </pic:pic>
              </a:graphicData>
            </a:graphic>
          </wp:inline>
        </w:drawing>
      </w:r>
      <w:r>
        <w:rPr>
          <w:rFonts w:ascii="Times New Roman" w:hAnsi="Times New Roman" w:cs="Times New Roman" w:eastAsia="Times New Roman" w:hint="default"/>
          <w:position w:val="-65"/>
          <w:sz w:val="20"/>
          <w:szCs w:val="20"/>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357" w:lineRule="auto" w:before="84"/>
        <w:ind w:left="1538" w:right="1016" w:firstLine="0"/>
        <w:jc w:val="center"/>
        <w:rPr>
          <w:rFonts w:ascii="黑体" w:hAnsi="黑体" w:cs="黑体" w:eastAsia="黑体" w:hint="default"/>
          <w:sz w:val="52"/>
          <w:szCs w:val="52"/>
        </w:rPr>
      </w:pPr>
      <w:r>
        <w:rPr>
          <w:rFonts w:ascii="黑体" w:hAnsi="黑体" w:cs="黑体" w:eastAsia="黑体" w:hint="default"/>
          <w:b/>
          <w:bCs/>
          <w:color w:val="FF0000"/>
          <w:w w:val="95"/>
          <w:sz w:val="52"/>
          <w:szCs w:val="52"/>
        </w:rPr>
        <w:t>江苏林洋能源股份有限公司</w:t>
      </w:r>
      <w:r>
        <w:rPr>
          <w:rFonts w:ascii="黑体" w:hAnsi="黑体" w:cs="黑体" w:eastAsia="黑体" w:hint="default"/>
          <w:b/>
          <w:bCs/>
          <w:color w:val="FF0000"/>
          <w:spacing w:val="58"/>
          <w:w w:val="95"/>
          <w:sz w:val="52"/>
          <w:szCs w:val="52"/>
        </w:rPr>
        <w:t> </w:t>
      </w:r>
      <w:r>
        <w:rPr>
          <w:rFonts w:ascii="黑体" w:hAnsi="黑体" w:cs="黑体" w:eastAsia="黑体" w:hint="default"/>
          <w:b/>
          <w:bCs/>
          <w:color w:val="FF0000"/>
          <w:spacing w:val="58"/>
          <w:w w:val="95"/>
          <w:sz w:val="52"/>
          <w:szCs w:val="52"/>
        </w:rPr>
      </w:r>
      <w:r>
        <w:rPr>
          <w:rFonts w:ascii="黑体" w:hAnsi="黑体" w:cs="黑体" w:eastAsia="黑体" w:hint="default"/>
          <w:b/>
          <w:bCs/>
          <w:color w:val="FF0000"/>
          <w:sz w:val="52"/>
          <w:szCs w:val="52"/>
        </w:rPr>
        <w:t>601222</w:t>
      </w:r>
      <w:r>
        <w:rPr>
          <w:rFonts w:ascii="黑体" w:hAnsi="黑体" w:cs="黑体" w:eastAsia="黑体" w:hint="default"/>
          <w:sz w:val="52"/>
          <w:szCs w:val="52"/>
        </w:rPr>
      </w:r>
    </w:p>
    <w:p>
      <w:pPr>
        <w:spacing w:before="75"/>
        <w:ind w:left="1538" w:right="912" w:firstLine="0"/>
        <w:jc w:val="center"/>
        <w:rPr>
          <w:rFonts w:ascii="宋体" w:hAnsi="宋体" w:cs="宋体" w:eastAsia="宋体" w:hint="default"/>
          <w:sz w:val="21"/>
          <w:szCs w:val="21"/>
        </w:rPr>
      </w:pPr>
      <w:r>
        <w:rPr>
          <w:rFonts w:ascii="黑体" w:hAnsi="黑体" w:cs="黑体" w:eastAsia="黑体" w:hint="default"/>
          <w:b/>
          <w:bCs/>
          <w:color w:val="FF0000"/>
          <w:sz w:val="52"/>
          <w:szCs w:val="52"/>
        </w:rPr>
        <w:t>2019</w:t>
      </w:r>
      <w:r>
        <w:rPr>
          <w:rFonts w:ascii="黑体" w:hAnsi="黑体" w:cs="黑体" w:eastAsia="黑体" w:hint="default"/>
          <w:b/>
          <w:bCs/>
          <w:color w:val="FF0000"/>
          <w:spacing w:val="-132"/>
          <w:sz w:val="52"/>
          <w:szCs w:val="52"/>
        </w:rPr>
        <w:t> </w:t>
      </w:r>
      <w:r>
        <w:rPr>
          <w:rFonts w:ascii="黑体" w:hAnsi="黑体" w:cs="黑体" w:eastAsia="黑体" w:hint="default"/>
          <w:b/>
          <w:bCs/>
          <w:color w:val="FF0000"/>
          <w:sz w:val="52"/>
          <w:szCs w:val="52"/>
        </w:rPr>
        <w:t>年年度报告</w:t>
      </w:r>
      <w:r>
        <w:rPr>
          <w:rFonts w:ascii="宋体" w:hAnsi="宋体" w:cs="宋体" w:eastAsia="宋体" w:hint="default"/>
          <w:w w:val="100"/>
          <w:sz w:val="21"/>
          <w:szCs w:val="21"/>
        </w:rPr>
        <w:t> </w:t>
      </w:r>
    </w:p>
    <w:p>
      <w:pPr>
        <w:pStyle w:val="BodyText"/>
        <w:tabs>
          <w:tab w:pos="2998" w:val="left" w:leader="none"/>
        </w:tabs>
        <w:spacing w:line="240" w:lineRule="auto" w:before="385"/>
        <w:ind w:left="118" w:right="0"/>
        <w:jc w:val="left"/>
        <w:rPr>
          <w:rFonts w:ascii="宋体" w:hAnsi="宋体" w:cs="宋体" w:eastAsia="宋体" w:hint="default"/>
        </w:rPr>
      </w:pPr>
      <w:r>
        <w:rPr>
          <w:rFonts w:ascii="宋体"/>
          <w:w w:val="100"/>
        </w:rPr>
        <w:t> </w:t>
      </w:r>
      <w:r>
        <w:rPr>
          <w:rFonts w:ascii="宋体"/>
        </w:rPr>
        <w:tab/>
      </w:r>
      <w:r>
        <w:rPr>
          <w:rFonts w:ascii="宋体"/>
          <w:w w:val="100"/>
        </w:rPr>
        <w:t> </w:t>
      </w:r>
    </w:p>
    <w:p>
      <w:pPr>
        <w:spacing w:after="0" w:line="240" w:lineRule="auto"/>
        <w:jc w:val="left"/>
        <w:rPr>
          <w:rFonts w:ascii="宋体" w:hAnsi="宋体" w:cs="宋体" w:eastAsia="宋体" w:hint="default"/>
        </w:rPr>
        <w:sectPr>
          <w:type w:val="continuous"/>
          <w:pgSz w:w="11910" w:h="16840"/>
          <w:pgMar w:top="1580" w:bottom="280" w:left="1680" w:right="1680"/>
        </w:sectPr>
      </w:pPr>
    </w:p>
    <w:p>
      <w:pPr>
        <w:spacing w:line="240" w:lineRule="auto" w:before="13"/>
        <w:rPr>
          <w:rFonts w:ascii="宋体" w:hAnsi="宋体" w:cs="宋体" w:eastAsia="宋体" w:hint="default"/>
          <w:sz w:val="23"/>
          <w:szCs w:val="23"/>
        </w:rPr>
      </w:pPr>
    </w:p>
    <w:p>
      <w:pPr>
        <w:pStyle w:val="BodyText"/>
        <w:spacing w:line="240" w:lineRule="auto" w:before="36"/>
        <w:ind w:left="638" w:right="0"/>
        <w:jc w:val="left"/>
        <w:rPr>
          <w:rFonts w:ascii="宋体" w:hAnsi="宋体" w:cs="宋体" w:eastAsia="宋体" w:hint="default"/>
        </w:rPr>
      </w:pPr>
      <w:r>
        <w:rPr>
          <w:rFonts w:ascii="宋体"/>
          <w:w w:val="100"/>
        </w:rPr>
        <w:t> </w:t>
      </w:r>
    </w:p>
    <w:p>
      <w:pPr>
        <w:pStyle w:val="BodyText"/>
        <w:spacing w:line="240" w:lineRule="auto" w:before="119"/>
        <w:ind w:left="618" w:right="442"/>
        <w:jc w:val="center"/>
        <w:rPr>
          <w:rFonts w:ascii="宋体" w:hAnsi="宋体" w:cs="宋体" w:eastAsia="宋体" w:hint="default"/>
        </w:rPr>
      </w:pPr>
      <w:r>
        <w:rPr/>
        <w:t>公司代码：</w:t>
      </w:r>
      <w:r>
        <w:rPr>
          <w:rFonts w:ascii="宋体" w:hAnsi="宋体" w:cs="宋体" w:eastAsia="宋体" w:hint="default"/>
        </w:rPr>
        <w:t>601222                                        </w:t>
      </w:r>
      <w:r>
        <w:rPr>
          <w:rFonts w:ascii="宋体" w:hAnsi="宋体" w:cs="宋体" w:eastAsia="宋体" w:hint="default"/>
          <w:spacing w:val="93"/>
        </w:rPr>
        <w:t> </w:t>
      </w:r>
      <w:r>
        <w:rPr/>
        <w:t>公司简称：林洋能源</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5"/>
          <w:szCs w:val="15"/>
        </w:rPr>
      </w:pPr>
    </w:p>
    <w:p>
      <w:pPr>
        <w:spacing w:line="568" w:lineRule="exact" w:before="0"/>
        <w:ind w:left="2085" w:right="2001" w:firstLine="0"/>
        <w:jc w:val="center"/>
        <w:rPr>
          <w:rFonts w:ascii="黑体" w:hAnsi="黑体" w:cs="黑体" w:eastAsia="黑体" w:hint="default"/>
          <w:sz w:val="44"/>
          <w:szCs w:val="44"/>
        </w:rPr>
      </w:pPr>
      <w:r>
        <w:rPr>
          <w:rFonts w:ascii="黑体" w:hAnsi="黑体" w:cs="黑体" w:eastAsia="黑体" w:hint="default"/>
          <w:b/>
          <w:bCs/>
          <w:color w:val="FF0000"/>
          <w:spacing w:val="2"/>
          <w:w w:val="95"/>
          <w:sz w:val="44"/>
          <w:szCs w:val="44"/>
        </w:rPr>
        <w:t>江苏林洋能源股份有限公司</w:t>
      </w:r>
      <w:r>
        <w:rPr>
          <w:rFonts w:ascii="黑体" w:hAnsi="黑体" w:cs="黑体" w:eastAsia="黑体" w:hint="default"/>
          <w:b/>
          <w:bCs/>
          <w:color w:val="FF0000"/>
          <w:spacing w:val="18"/>
          <w:w w:val="95"/>
          <w:sz w:val="44"/>
          <w:szCs w:val="44"/>
        </w:rPr>
        <w:t> </w:t>
      </w:r>
      <w:r>
        <w:rPr>
          <w:rFonts w:ascii="黑体" w:hAnsi="黑体" w:cs="黑体" w:eastAsia="黑体" w:hint="default"/>
          <w:b/>
          <w:bCs/>
          <w:color w:val="FF0000"/>
          <w:sz w:val="44"/>
          <w:szCs w:val="44"/>
        </w:rPr>
        <w:t>2019</w:t>
      </w:r>
      <w:r>
        <w:rPr>
          <w:rFonts w:ascii="黑体" w:hAnsi="黑体" w:cs="黑体" w:eastAsia="黑体" w:hint="default"/>
          <w:b/>
          <w:bCs/>
          <w:color w:val="FF0000"/>
          <w:spacing w:val="-115"/>
          <w:sz w:val="44"/>
          <w:szCs w:val="44"/>
        </w:rPr>
        <w:t> </w:t>
      </w:r>
      <w:r>
        <w:rPr>
          <w:rFonts w:ascii="黑体" w:hAnsi="黑体" w:cs="黑体" w:eastAsia="黑体" w:hint="default"/>
          <w:b/>
          <w:bCs/>
          <w:color w:val="FF0000"/>
          <w:sz w:val="44"/>
          <w:szCs w:val="44"/>
        </w:rPr>
        <w:t>年年度报告</w:t>
      </w:r>
      <w:r>
        <w:rPr>
          <w:rFonts w:ascii="黑体" w:hAnsi="黑体" w:cs="黑体" w:eastAsia="黑体" w:hint="default"/>
          <w:sz w:val="44"/>
          <w:szCs w:val="44"/>
        </w:rPr>
      </w:r>
    </w:p>
    <w:p>
      <w:pPr>
        <w:spacing w:line="240" w:lineRule="auto" w:before="0"/>
        <w:rPr>
          <w:rFonts w:ascii="黑体" w:hAnsi="黑体" w:cs="黑体" w:eastAsia="黑体" w:hint="default"/>
          <w:b/>
          <w:bCs/>
          <w:sz w:val="41"/>
          <w:szCs w:val="41"/>
        </w:rPr>
      </w:pPr>
    </w:p>
    <w:p>
      <w:pPr>
        <w:spacing w:before="0"/>
        <w:ind w:left="618" w:right="385" w:firstLine="0"/>
        <w:jc w:val="center"/>
        <w:rPr>
          <w:rFonts w:ascii="宋体" w:hAnsi="宋体" w:cs="宋体" w:eastAsia="宋体" w:hint="default"/>
          <w:sz w:val="30"/>
          <w:szCs w:val="30"/>
        </w:rPr>
      </w:pPr>
      <w:r>
        <w:rPr>
          <w:rFonts w:ascii="宋体" w:hAnsi="宋体" w:cs="宋体" w:eastAsia="宋体" w:hint="default"/>
          <w:b/>
          <w:bCs/>
          <w:sz w:val="30"/>
          <w:szCs w:val="30"/>
        </w:rPr>
        <w:t>致股东书</w:t>
      </w:r>
      <w:r>
        <w:rPr>
          <w:rFonts w:ascii="宋体" w:hAnsi="宋体" w:cs="宋体" w:eastAsia="宋体" w:hint="default"/>
          <w:b/>
          <w:bCs/>
          <w:w w:val="99"/>
          <w:sz w:val="30"/>
          <w:szCs w:val="30"/>
        </w:rPr>
        <w:t> </w:t>
      </w:r>
      <w:r>
        <w:rPr>
          <w:rFonts w:ascii="宋体" w:hAnsi="宋体" w:cs="宋体" w:eastAsia="宋体" w:hint="default"/>
          <w:sz w:val="30"/>
          <w:szCs w:val="30"/>
        </w:rPr>
      </w:r>
    </w:p>
    <w:p>
      <w:pPr>
        <w:spacing w:line="240" w:lineRule="auto" w:before="1"/>
        <w:rPr>
          <w:rFonts w:ascii="宋体" w:hAnsi="宋体" w:cs="宋体" w:eastAsia="宋体" w:hint="default"/>
          <w:b/>
          <w:bCs/>
          <w:sz w:val="31"/>
          <w:szCs w:val="31"/>
        </w:rPr>
      </w:pPr>
    </w:p>
    <w:p>
      <w:pPr>
        <w:spacing w:line="357" w:lineRule="auto" w:before="0"/>
        <w:ind w:left="777" w:right="0" w:hanging="560"/>
        <w:jc w:val="left"/>
        <w:rPr>
          <w:rFonts w:ascii="宋体" w:hAnsi="宋体" w:cs="宋体" w:eastAsia="宋体" w:hint="default"/>
          <w:sz w:val="28"/>
          <w:szCs w:val="28"/>
        </w:rPr>
      </w:pPr>
      <w:r>
        <w:rPr>
          <w:rFonts w:ascii="宋体" w:hAnsi="宋体" w:cs="宋体" w:eastAsia="宋体" w:hint="default"/>
          <w:sz w:val="28"/>
          <w:szCs w:val="28"/>
        </w:rPr>
        <w:t>尊敬的林洋能源各位股东：</w:t>
      </w:r>
      <w:r>
        <w:rPr>
          <w:rFonts w:ascii="宋体" w:hAnsi="宋体" w:cs="宋体" w:eastAsia="宋体" w:hint="default"/>
          <w:w w:val="100"/>
          <w:sz w:val="28"/>
          <w:szCs w:val="28"/>
        </w:rPr>
        <w:t> </w:t>
      </w:r>
      <w:r>
        <w:rPr>
          <w:rFonts w:ascii="宋体" w:hAnsi="宋体" w:cs="宋体" w:eastAsia="宋体" w:hint="default"/>
          <w:spacing w:val="-6"/>
          <w:w w:val="100"/>
          <w:sz w:val="28"/>
          <w:szCs w:val="28"/>
        </w:rPr>
        <w:t>庚子新春牵动着中华亿万儿女的心，一场突如其来的新冠肺炎疫情侵</w:t>
      </w:r>
    </w:p>
    <w:p>
      <w:pPr>
        <w:spacing w:line="357" w:lineRule="auto" w:before="41"/>
        <w:ind w:left="218" w:right="130" w:firstLine="0"/>
        <w:jc w:val="both"/>
        <w:rPr>
          <w:rFonts w:ascii="宋体" w:hAnsi="宋体" w:cs="宋体" w:eastAsia="宋体" w:hint="default"/>
          <w:sz w:val="28"/>
          <w:szCs w:val="28"/>
        </w:rPr>
      </w:pPr>
      <w:r>
        <w:rPr>
          <w:rFonts w:ascii="宋体" w:hAnsi="宋体" w:cs="宋体" w:eastAsia="宋体" w:hint="default"/>
          <w:spacing w:val="-5"/>
          <w:sz w:val="28"/>
          <w:szCs w:val="28"/>
        </w:rPr>
        <w:t>袭着中国，每个组织和个人都在为打赢这场抗疫战斗奋力拼搏，林洋能源</w:t>
      </w:r>
      <w:r>
        <w:rPr>
          <w:rFonts w:ascii="宋体" w:hAnsi="宋体" w:cs="宋体" w:eastAsia="宋体" w:hint="default"/>
          <w:spacing w:val="-114"/>
          <w:sz w:val="28"/>
          <w:szCs w:val="28"/>
        </w:rPr>
        <w:t> </w:t>
      </w:r>
      <w:r>
        <w:rPr>
          <w:rFonts w:ascii="宋体" w:hAnsi="宋体" w:cs="宋体" w:eastAsia="宋体" w:hint="default"/>
          <w:spacing w:val="-114"/>
          <w:sz w:val="28"/>
          <w:szCs w:val="28"/>
        </w:rPr>
      </w:r>
      <w:r>
        <w:rPr>
          <w:rFonts w:ascii="宋体" w:hAnsi="宋体" w:cs="宋体" w:eastAsia="宋体" w:hint="default"/>
          <w:spacing w:val="-5"/>
          <w:sz w:val="28"/>
          <w:szCs w:val="28"/>
        </w:rPr>
        <w:t>也投身其中，贡献着自己的力量。公司在第一时间研究部署相关工作，对</w:t>
      </w:r>
      <w:r>
        <w:rPr>
          <w:rFonts w:ascii="宋体" w:hAnsi="宋体" w:cs="宋体" w:eastAsia="宋体" w:hint="default"/>
          <w:spacing w:val="-111"/>
          <w:sz w:val="28"/>
          <w:szCs w:val="28"/>
        </w:rPr>
        <w:t> </w:t>
      </w:r>
      <w:r>
        <w:rPr>
          <w:rFonts w:ascii="宋体" w:hAnsi="宋体" w:cs="宋体" w:eastAsia="宋体" w:hint="default"/>
          <w:spacing w:val="-111"/>
          <w:sz w:val="28"/>
          <w:szCs w:val="28"/>
        </w:rPr>
      </w:r>
      <w:r>
        <w:rPr>
          <w:rFonts w:ascii="宋体" w:hAnsi="宋体" w:cs="宋体" w:eastAsia="宋体" w:hint="default"/>
          <w:spacing w:val="-5"/>
          <w:sz w:val="28"/>
          <w:szCs w:val="28"/>
        </w:rPr>
        <w:t>外一方面通过启东红十字会向武汉进行捐赠，另一方面成立“林洋医护关</w:t>
      </w:r>
      <w:r>
        <w:rPr>
          <w:rFonts w:ascii="宋体" w:hAnsi="宋体" w:cs="宋体" w:eastAsia="宋体" w:hint="default"/>
          <w:spacing w:val="-114"/>
          <w:sz w:val="28"/>
          <w:szCs w:val="28"/>
        </w:rPr>
        <w:t> </w:t>
      </w:r>
      <w:r>
        <w:rPr>
          <w:rFonts w:ascii="宋体" w:hAnsi="宋体" w:cs="宋体" w:eastAsia="宋体" w:hint="default"/>
          <w:spacing w:val="-114"/>
          <w:sz w:val="28"/>
          <w:szCs w:val="28"/>
        </w:rPr>
      </w:r>
      <w:r>
        <w:rPr>
          <w:rFonts w:ascii="宋体" w:hAnsi="宋体" w:cs="宋体" w:eastAsia="宋体" w:hint="default"/>
          <w:spacing w:val="-5"/>
          <w:sz w:val="28"/>
          <w:szCs w:val="28"/>
        </w:rPr>
        <w:t>爱公益基金”，为本市驰援武汉的医护人员及家属送上关爱；对内在落实</w:t>
      </w:r>
      <w:r>
        <w:rPr>
          <w:rFonts w:ascii="宋体" w:hAnsi="宋体" w:cs="宋体" w:eastAsia="宋体" w:hint="default"/>
          <w:spacing w:val="-114"/>
          <w:sz w:val="28"/>
          <w:szCs w:val="28"/>
        </w:rPr>
        <w:t> </w:t>
      </w:r>
      <w:r>
        <w:rPr>
          <w:rFonts w:ascii="宋体" w:hAnsi="宋体" w:cs="宋体" w:eastAsia="宋体" w:hint="default"/>
          <w:spacing w:val="-114"/>
          <w:sz w:val="28"/>
          <w:szCs w:val="28"/>
        </w:rPr>
      </w:r>
      <w:r>
        <w:rPr>
          <w:rFonts w:ascii="宋体" w:hAnsi="宋体" w:cs="宋体" w:eastAsia="宋体" w:hint="default"/>
          <w:spacing w:val="-5"/>
          <w:sz w:val="28"/>
          <w:szCs w:val="28"/>
        </w:rPr>
        <w:t>自身安全的基础上，逐步复工复产，全面履行防风险、保生产、促发展的</w:t>
      </w:r>
      <w:r>
        <w:rPr>
          <w:rFonts w:ascii="宋体" w:hAnsi="宋体" w:cs="宋体" w:eastAsia="宋体" w:hint="default"/>
          <w:spacing w:val="-114"/>
          <w:sz w:val="28"/>
          <w:szCs w:val="28"/>
        </w:rPr>
        <w:t> </w:t>
      </w:r>
      <w:r>
        <w:rPr>
          <w:rFonts w:ascii="宋体" w:hAnsi="宋体" w:cs="宋体" w:eastAsia="宋体" w:hint="default"/>
          <w:spacing w:val="-114"/>
          <w:sz w:val="28"/>
          <w:szCs w:val="28"/>
        </w:rPr>
      </w:r>
      <w:r>
        <w:rPr>
          <w:rFonts w:ascii="宋体" w:hAnsi="宋体" w:cs="宋体" w:eastAsia="宋体" w:hint="default"/>
          <w:sz w:val="28"/>
          <w:szCs w:val="28"/>
        </w:rPr>
        <w:t>社会责任。</w:t>
      </w:r>
      <w:r>
        <w:rPr>
          <w:rFonts w:ascii="宋体" w:hAnsi="宋体" w:cs="宋体" w:eastAsia="宋体" w:hint="default"/>
          <w:sz w:val="28"/>
          <w:szCs w:val="28"/>
        </w:rPr>
        <w:t> </w:t>
      </w:r>
    </w:p>
    <w:p>
      <w:pPr>
        <w:spacing w:line="357" w:lineRule="auto" w:before="41"/>
        <w:ind w:left="218" w:right="130" w:firstLine="559"/>
        <w:jc w:val="both"/>
        <w:rPr>
          <w:rFonts w:ascii="宋体" w:hAnsi="宋体" w:cs="宋体" w:eastAsia="宋体" w:hint="default"/>
          <w:sz w:val="28"/>
          <w:szCs w:val="28"/>
        </w:rPr>
      </w:pPr>
      <w:r>
        <w:rPr>
          <w:rFonts w:ascii="宋体" w:hAnsi="宋体" w:cs="宋体" w:eastAsia="宋体" w:hint="default"/>
          <w:spacing w:val="-6"/>
          <w:sz w:val="28"/>
          <w:szCs w:val="28"/>
        </w:rPr>
        <w:t>作为上市公司，我们得益于国泰民安、时代机遇，获得快速发展；作</w:t>
      </w:r>
      <w:r>
        <w:rPr>
          <w:rFonts w:ascii="宋体" w:hAnsi="宋体" w:cs="宋体" w:eastAsia="宋体" w:hint="default"/>
          <w:w w:val="100"/>
          <w:sz w:val="28"/>
          <w:szCs w:val="28"/>
        </w:rPr>
        <w:t> </w:t>
      </w:r>
      <w:r>
        <w:rPr>
          <w:rFonts w:ascii="宋体" w:hAnsi="宋体" w:cs="宋体" w:eastAsia="宋体" w:hint="default"/>
          <w:sz w:val="28"/>
          <w:szCs w:val="28"/>
        </w:rPr>
        <w:t>为企业公民，我们更应履行职责，回报国家，回馈社会。</w:t>
      </w:r>
      <w:r>
        <w:rPr>
          <w:rFonts w:ascii="宋体" w:hAnsi="宋体" w:cs="宋体" w:eastAsia="宋体" w:hint="default"/>
          <w:sz w:val="28"/>
          <w:szCs w:val="28"/>
        </w:rPr>
        <w:t>2019</w:t>
      </w:r>
      <w:r>
        <w:rPr>
          <w:rFonts w:ascii="宋体" w:hAnsi="宋体" w:cs="宋体" w:eastAsia="宋体" w:hint="default"/>
          <w:spacing w:val="-72"/>
          <w:sz w:val="28"/>
          <w:szCs w:val="28"/>
        </w:rPr>
        <w:t> </w:t>
      </w:r>
      <w:r>
        <w:rPr>
          <w:rFonts w:ascii="宋体" w:hAnsi="宋体" w:cs="宋体" w:eastAsia="宋体" w:hint="default"/>
          <w:sz w:val="28"/>
          <w:szCs w:val="28"/>
        </w:rPr>
        <w:t>年是林洋</w:t>
      </w:r>
      <w:r>
        <w:rPr>
          <w:rFonts w:ascii="宋体" w:hAnsi="宋体" w:cs="宋体" w:eastAsia="宋体" w:hint="default"/>
          <w:w w:val="100"/>
          <w:sz w:val="28"/>
          <w:szCs w:val="28"/>
        </w:rPr>
        <w:t> </w:t>
      </w:r>
      <w:r>
        <w:rPr>
          <w:rFonts w:ascii="宋体" w:hAnsi="宋体" w:cs="宋体" w:eastAsia="宋体" w:hint="default"/>
          <w:spacing w:val="-5"/>
          <w:sz w:val="28"/>
          <w:szCs w:val="28"/>
        </w:rPr>
        <w:t>能源夯实经营管理之年，公司三大业务板块历经“突破、提质、融合”的</w:t>
      </w:r>
      <w:r>
        <w:rPr>
          <w:rFonts w:ascii="宋体" w:hAnsi="宋体" w:cs="宋体" w:eastAsia="宋体" w:hint="default"/>
          <w:spacing w:val="-112"/>
          <w:sz w:val="28"/>
          <w:szCs w:val="28"/>
        </w:rPr>
        <w:t> </w:t>
      </w:r>
      <w:r>
        <w:rPr>
          <w:rFonts w:ascii="宋体" w:hAnsi="宋体" w:cs="宋体" w:eastAsia="宋体" w:hint="default"/>
          <w:spacing w:val="-112"/>
          <w:sz w:val="28"/>
          <w:szCs w:val="28"/>
        </w:rPr>
      </w:r>
      <w:r>
        <w:rPr>
          <w:rFonts w:ascii="宋体" w:hAnsi="宋体" w:cs="宋体" w:eastAsia="宋体" w:hint="default"/>
          <w:sz w:val="28"/>
          <w:szCs w:val="28"/>
        </w:rPr>
        <w:t>发展过程。</w:t>
      </w:r>
      <w:r>
        <w:rPr>
          <w:rFonts w:ascii="宋体" w:hAnsi="宋体" w:cs="宋体" w:eastAsia="宋体" w:hint="default"/>
          <w:sz w:val="28"/>
          <w:szCs w:val="28"/>
        </w:rPr>
        <w:t> </w:t>
      </w:r>
    </w:p>
    <w:p>
      <w:pPr>
        <w:spacing w:before="41"/>
        <w:ind w:left="779" w:right="0" w:firstLine="0"/>
        <w:jc w:val="left"/>
        <w:rPr>
          <w:rFonts w:ascii="宋体" w:hAnsi="宋体" w:cs="宋体" w:eastAsia="宋体" w:hint="default"/>
          <w:sz w:val="28"/>
          <w:szCs w:val="28"/>
        </w:rPr>
      </w:pPr>
      <w:r>
        <w:rPr>
          <w:rFonts w:ascii="宋体" w:hAnsi="宋体" w:cs="宋体" w:eastAsia="宋体" w:hint="default"/>
          <w:b/>
          <w:bCs/>
          <w:sz w:val="28"/>
          <w:szCs w:val="28"/>
        </w:rPr>
        <w:t>“突破”</w:t>
      </w:r>
      <w:r>
        <w:rPr>
          <w:rFonts w:ascii="宋体" w:hAnsi="宋体" w:cs="宋体" w:eastAsia="宋体" w:hint="default"/>
          <w:b/>
          <w:bCs/>
          <w:sz w:val="28"/>
          <w:szCs w:val="28"/>
        </w:rPr>
        <w:t>---</w:t>
      </w:r>
      <w:r>
        <w:rPr>
          <w:rFonts w:ascii="宋体" w:hAnsi="宋体" w:cs="宋体" w:eastAsia="宋体" w:hint="default"/>
          <w:b/>
          <w:bCs/>
          <w:sz w:val="28"/>
          <w:szCs w:val="28"/>
        </w:rPr>
        <w:t>聚焦电力能源，共生共荣，锐意进取。</w:t>
      </w:r>
      <w:r>
        <w:rPr>
          <w:rFonts w:ascii="宋体" w:hAnsi="宋体" w:cs="宋体" w:eastAsia="宋体" w:hint="default"/>
          <w:b/>
          <w:bCs/>
          <w:w w:val="99"/>
          <w:sz w:val="28"/>
          <w:szCs w:val="28"/>
        </w:rPr>
        <w:t> </w:t>
      </w:r>
      <w:r>
        <w:rPr>
          <w:rFonts w:ascii="宋体" w:hAnsi="宋体" w:cs="宋体" w:eastAsia="宋体" w:hint="default"/>
          <w:sz w:val="28"/>
          <w:szCs w:val="28"/>
        </w:rPr>
      </w:r>
    </w:p>
    <w:p>
      <w:pPr>
        <w:spacing w:line="357" w:lineRule="auto" w:before="179"/>
        <w:ind w:left="218" w:right="130" w:firstLine="559"/>
        <w:jc w:val="both"/>
        <w:rPr>
          <w:rFonts w:ascii="宋体" w:hAnsi="宋体" w:cs="宋体" w:eastAsia="宋体" w:hint="default"/>
          <w:sz w:val="28"/>
          <w:szCs w:val="28"/>
        </w:rPr>
      </w:pPr>
      <w:r>
        <w:rPr>
          <w:rFonts w:ascii="宋体" w:hAnsi="宋体" w:cs="宋体" w:eastAsia="宋体" w:hint="default"/>
          <w:sz w:val="28"/>
          <w:szCs w:val="28"/>
        </w:rPr>
        <w:t>2019</w:t>
      </w:r>
      <w:r>
        <w:rPr>
          <w:rFonts w:ascii="宋体" w:hAnsi="宋体" w:cs="宋体" w:eastAsia="宋体" w:hint="default"/>
          <w:spacing w:val="-74"/>
          <w:sz w:val="28"/>
          <w:szCs w:val="28"/>
        </w:rPr>
        <w:t> </w:t>
      </w:r>
      <w:r>
        <w:rPr>
          <w:rFonts w:ascii="宋体" w:hAnsi="宋体" w:cs="宋体" w:eastAsia="宋体" w:hint="default"/>
          <w:sz w:val="28"/>
          <w:szCs w:val="28"/>
        </w:rPr>
        <w:t>年，公司顺应全球电力能源转型趋势，躬身入局。在国内，林</w:t>
      </w:r>
      <w:r>
        <w:rPr>
          <w:rFonts w:ascii="宋体" w:hAnsi="宋体" w:cs="宋体" w:eastAsia="宋体" w:hint="default"/>
          <w:w w:val="100"/>
          <w:sz w:val="28"/>
          <w:szCs w:val="28"/>
        </w:rPr>
        <w:t> </w:t>
      </w:r>
      <w:r>
        <w:rPr>
          <w:rFonts w:ascii="宋体" w:hAnsi="宋体" w:cs="宋体" w:eastAsia="宋体" w:hint="default"/>
          <w:spacing w:val="-5"/>
          <w:sz w:val="28"/>
          <w:szCs w:val="28"/>
        </w:rPr>
        <w:t>洋作为智能电网产品和服务提供商，一方面借智能电表轮换周期之势，强</w:t>
      </w:r>
      <w:r>
        <w:rPr>
          <w:rFonts w:ascii="宋体" w:hAnsi="宋体" w:cs="宋体" w:eastAsia="宋体" w:hint="default"/>
          <w:spacing w:val="-111"/>
          <w:sz w:val="28"/>
          <w:szCs w:val="28"/>
        </w:rPr>
        <w:t> </w:t>
      </w:r>
      <w:r>
        <w:rPr>
          <w:rFonts w:ascii="宋体" w:hAnsi="宋体" w:cs="宋体" w:eastAsia="宋体" w:hint="default"/>
          <w:spacing w:val="-111"/>
          <w:sz w:val="28"/>
          <w:szCs w:val="28"/>
        </w:rPr>
      </w:r>
      <w:r>
        <w:rPr>
          <w:rFonts w:ascii="宋体" w:hAnsi="宋体" w:cs="宋体" w:eastAsia="宋体" w:hint="default"/>
          <w:sz w:val="28"/>
          <w:szCs w:val="28"/>
        </w:rPr>
        <w:t>化国内集招市场地位，成功中标国、南网集招项目超过</w:t>
      </w:r>
      <w:r>
        <w:rPr>
          <w:rFonts w:ascii="宋体" w:hAnsi="宋体" w:cs="宋体" w:eastAsia="宋体" w:hint="default"/>
          <w:spacing w:val="-72"/>
          <w:sz w:val="28"/>
          <w:szCs w:val="28"/>
        </w:rPr>
        <w:t> </w:t>
      </w:r>
      <w:r>
        <w:rPr>
          <w:rFonts w:ascii="宋体" w:hAnsi="宋体" w:cs="宋体" w:eastAsia="宋体" w:hint="default"/>
          <w:sz w:val="28"/>
          <w:szCs w:val="28"/>
        </w:rPr>
        <w:t>10</w:t>
      </w:r>
      <w:r>
        <w:rPr>
          <w:rFonts w:ascii="宋体" w:hAnsi="宋体" w:cs="宋体" w:eastAsia="宋体" w:hint="default"/>
          <w:spacing w:val="-71"/>
          <w:sz w:val="28"/>
          <w:szCs w:val="28"/>
        </w:rPr>
        <w:t> </w:t>
      </w:r>
      <w:r>
        <w:rPr>
          <w:rFonts w:ascii="宋体" w:hAnsi="宋体" w:cs="宋体" w:eastAsia="宋体" w:hint="default"/>
          <w:sz w:val="28"/>
          <w:szCs w:val="28"/>
        </w:rPr>
        <w:t>亿元，同比实</w:t>
      </w:r>
      <w:r>
        <w:rPr>
          <w:rFonts w:ascii="宋体" w:hAnsi="宋体" w:cs="宋体" w:eastAsia="宋体" w:hint="default"/>
          <w:w w:val="100"/>
          <w:sz w:val="28"/>
          <w:szCs w:val="28"/>
        </w:rPr>
        <w:t> </w:t>
      </w:r>
      <w:r>
        <w:rPr>
          <w:rFonts w:ascii="宋体" w:hAnsi="宋体" w:cs="宋体" w:eastAsia="宋体" w:hint="default"/>
          <w:spacing w:val="-14"/>
          <w:w w:val="100"/>
          <w:sz w:val="28"/>
          <w:szCs w:val="28"/>
        </w:rPr>
        <w:t>现大幅增长；另一方面，紧跟电网公司数字化转型、电力物联网建设趋势，</w:t>
      </w:r>
      <w:r>
        <w:rPr>
          <w:rFonts w:ascii="宋体" w:hAnsi="宋体" w:cs="宋体" w:eastAsia="宋体" w:hint="default"/>
          <w:spacing w:val="-114"/>
          <w:w w:val="100"/>
          <w:sz w:val="28"/>
          <w:szCs w:val="28"/>
        </w:rPr>
        <w:t> </w:t>
      </w:r>
      <w:r>
        <w:rPr>
          <w:rFonts w:ascii="宋体" w:hAnsi="宋体" w:cs="宋体" w:eastAsia="宋体" w:hint="default"/>
          <w:spacing w:val="-114"/>
          <w:w w:val="100"/>
          <w:sz w:val="28"/>
          <w:szCs w:val="28"/>
        </w:rPr>
      </w:r>
      <w:r>
        <w:rPr>
          <w:rFonts w:ascii="宋体" w:hAnsi="宋体" w:cs="宋体" w:eastAsia="宋体" w:hint="default"/>
          <w:spacing w:val="-5"/>
          <w:sz w:val="28"/>
          <w:szCs w:val="28"/>
        </w:rPr>
        <w:t>进行大量前瞻性研发及技术储备，多芯模组技术、非介入式负荷辨识、基</w:t>
      </w:r>
    </w:p>
    <w:p>
      <w:pPr>
        <w:spacing w:after="0" w:line="357" w:lineRule="auto"/>
        <w:jc w:val="both"/>
        <w:rPr>
          <w:rFonts w:ascii="宋体" w:hAnsi="宋体" w:cs="宋体" w:eastAsia="宋体" w:hint="default"/>
          <w:sz w:val="28"/>
          <w:szCs w:val="28"/>
        </w:rPr>
        <w:sectPr>
          <w:headerReference w:type="default" r:id="rId6"/>
          <w:footerReference w:type="default" r:id="rId7"/>
          <w:pgSz w:w="11910" w:h="16840"/>
          <w:pgMar w:header="747" w:footer="974" w:top="1140" w:bottom="1160" w:left="1580" w:right="1140"/>
          <w:pgNumType w:start="2"/>
        </w:sectPr>
      </w:pPr>
    </w:p>
    <w:p>
      <w:pPr>
        <w:spacing w:line="240" w:lineRule="auto" w:before="7"/>
        <w:rPr>
          <w:rFonts w:ascii="宋体" w:hAnsi="宋体" w:cs="宋体" w:eastAsia="宋体" w:hint="default"/>
          <w:sz w:val="24"/>
          <w:szCs w:val="24"/>
        </w:rPr>
      </w:pPr>
    </w:p>
    <w:p>
      <w:pPr>
        <w:spacing w:line="357" w:lineRule="auto" w:before="14"/>
        <w:ind w:left="218" w:right="28" w:firstLine="0"/>
        <w:jc w:val="left"/>
        <w:rPr>
          <w:rFonts w:ascii="宋体" w:hAnsi="宋体" w:cs="宋体" w:eastAsia="宋体" w:hint="default"/>
          <w:sz w:val="28"/>
          <w:szCs w:val="28"/>
        </w:rPr>
      </w:pPr>
      <w:r>
        <w:rPr>
          <w:rFonts w:ascii="宋体" w:hAnsi="宋体" w:cs="宋体" w:eastAsia="宋体" w:hint="default"/>
          <w:spacing w:val="-1"/>
          <w:sz w:val="28"/>
          <w:szCs w:val="28"/>
        </w:rPr>
        <w:t>于区块链研究的产品方案等不断创新，同时积极布局电力物联网场景下，</w:t>
      </w:r>
      <w:r>
        <w:rPr>
          <w:rFonts w:ascii="宋体" w:hAnsi="宋体" w:cs="宋体" w:eastAsia="宋体" w:hint="default"/>
          <w:spacing w:val="-101"/>
          <w:sz w:val="28"/>
          <w:szCs w:val="28"/>
        </w:rPr>
        <w:t> </w:t>
      </w:r>
      <w:r>
        <w:rPr>
          <w:rFonts w:ascii="宋体" w:hAnsi="宋体" w:cs="宋体" w:eastAsia="宋体" w:hint="default"/>
          <w:spacing w:val="-101"/>
          <w:sz w:val="28"/>
          <w:szCs w:val="28"/>
        </w:rPr>
      </w:r>
      <w:r>
        <w:rPr>
          <w:rFonts w:ascii="宋体" w:hAnsi="宋体" w:cs="宋体" w:eastAsia="宋体" w:hint="default"/>
          <w:spacing w:val="-5"/>
          <w:sz w:val="28"/>
          <w:szCs w:val="28"/>
        </w:rPr>
        <w:t>以新型智能终端为核心的智能配用电整体解决方案。在境外，公司不断突</w:t>
      </w:r>
      <w:r>
        <w:rPr>
          <w:rFonts w:ascii="宋体" w:hAnsi="宋体" w:cs="宋体" w:eastAsia="宋体" w:hint="default"/>
          <w:spacing w:val="-111"/>
          <w:sz w:val="28"/>
          <w:szCs w:val="28"/>
        </w:rPr>
        <w:t> </w:t>
      </w:r>
      <w:r>
        <w:rPr>
          <w:rFonts w:ascii="宋体" w:hAnsi="宋体" w:cs="宋体" w:eastAsia="宋体" w:hint="default"/>
          <w:spacing w:val="-111"/>
          <w:sz w:val="28"/>
          <w:szCs w:val="28"/>
        </w:rPr>
      </w:r>
      <w:r>
        <w:rPr>
          <w:rFonts w:ascii="宋体" w:hAnsi="宋体" w:cs="宋体" w:eastAsia="宋体" w:hint="default"/>
          <w:spacing w:val="-5"/>
          <w:sz w:val="28"/>
          <w:szCs w:val="28"/>
        </w:rPr>
        <w:t>破市场边界，进一步提升业务规模和管理水平，先后在澳洲、孟加拉、沙</w:t>
      </w:r>
      <w:r>
        <w:rPr>
          <w:rFonts w:ascii="宋体" w:hAnsi="宋体" w:cs="宋体" w:eastAsia="宋体" w:hint="default"/>
          <w:spacing w:val="-114"/>
          <w:sz w:val="28"/>
          <w:szCs w:val="28"/>
        </w:rPr>
        <w:t> </w:t>
      </w:r>
      <w:r>
        <w:rPr>
          <w:rFonts w:ascii="宋体" w:hAnsi="宋体" w:cs="宋体" w:eastAsia="宋体" w:hint="default"/>
          <w:spacing w:val="-114"/>
          <w:sz w:val="28"/>
          <w:szCs w:val="28"/>
        </w:rPr>
      </w:r>
      <w:r>
        <w:rPr>
          <w:rFonts w:ascii="宋体" w:hAnsi="宋体" w:cs="宋体" w:eastAsia="宋体" w:hint="default"/>
          <w:spacing w:val="-10"/>
          <w:w w:val="100"/>
          <w:sz w:val="28"/>
          <w:szCs w:val="28"/>
        </w:rPr>
        <w:t>特、韩国等国家和地区设立业务实体，强化与区域性合作伙伴的全面合作，</w:t>
      </w:r>
      <w:r>
        <w:rPr>
          <w:rFonts w:ascii="宋体" w:hAnsi="宋体" w:cs="宋体" w:eastAsia="宋体" w:hint="default"/>
          <w:spacing w:val="-113"/>
          <w:w w:val="100"/>
          <w:sz w:val="28"/>
          <w:szCs w:val="28"/>
        </w:rPr>
        <w:t> </w:t>
      </w:r>
      <w:r>
        <w:rPr>
          <w:rFonts w:ascii="宋体" w:hAnsi="宋体" w:cs="宋体" w:eastAsia="宋体" w:hint="default"/>
          <w:spacing w:val="-113"/>
          <w:w w:val="100"/>
          <w:sz w:val="28"/>
          <w:szCs w:val="28"/>
        </w:rPr>
      </w:r>
      <w:r>
        <w:rPr>
          <w:rFonts w:ascii="宋体" w:hAnsi="宋体" w:cs="宋体" w:eastAsia="宋体" w:hint="default"/>
          <w:sz w:val="28"/>
          <w:szCs w:val="28"/>
        </w:rPr>
        <w:t>业务版图持续扩张。</w:t>
      </w:r>
      <w:r>
        <w:rPr>
          <w:rFonts w:ascii="宋体" w:hAnsi="宋体" w:cs="宋体" w:eastAsia="宋体" w:hint="default"/>
          <w:sz w:val="28"/>
          <w:szCs w:val="28"/>
        </w:rPr>
        <w:t> </w:t>
      </w:r>
    </w:p>
    <w:p>
      <w:pPr>
        <w:spacing w:before="41"/>
        <w:ind w:left="779" w:right="28" w:firstLine="0"/>
        <w:jc w:val="left"/>
        <w:rPr>
          <w:rFonts w:ascii="宋体" w:hAnsi="宋体" w:cs="宋体" w:eastAsia="宋体" w:hint="default"/>
          <w:sz w:val="28"/>
          <w:szCs w:val="28"/>
        </w:rPr>
      </w:pPr>
      <w:r>
        <w:rPr>
          <w:rFonts w:ascii="宋体" w:hAnsi="宋体" w:cs="宋体" w:eastAsia="宋体" w:hint="default"/>
          <w:b/>
          <w:bCs/>
          <w:sz w:val="28"/>
          <w:szCs w:val="28"/>
        </w:rPr>
        <w:t>“提质”</w:t>
      </w:r>
      <w:r>
        <w:rPr>
          <w:rFonts w:ascii="宋体" w:hAnsi="宋体" w:cs="宋体" w:eastAsia="宋体" w:hint="default"/>
          <w:b/>
          <w:bCs/>
          <w:sz w:val="28"/>
          <w:szCs w:val="28"/>
        </w:rPr>
        <w:t>---</w:t>
      </w:r>
      <w:r>
        <w:rPr>
          <w:rFonts w:ascii="宋体" w:hAnsi="宋体" w:cs="宋体" w:eastAsia="宋体" w:hint="default"/>
          <w:b/>
          <w:bCs/>
          <w:sz w:val="28"/>
          <w:szCs w:val="28"/>
        </w:rPr>
        <w:t>优化业务结构，固本强基，进而有为。</w:t>
      </w:r>
      <w:r>
        <w:rPr>
          <w:rFonts w:ascii="宋体" w:hAnsi="宋体" w:cs="宋体" w:eastAsia="宋体" w:hint="default"/>
          <w:b/>
          <w:bCs/>
          <w:w w:val="99"/>
          <w:sz w:val="28"/>
          <w:szCs w:val="28"/>
        </w:rPr>
        <w:t> </w:t>
      </w:r>
      <w:r>
        <w:rPr>
          <w:rFonts w:ascii="宋体" w:hAnsi="宋体" w:cs="宋体" w:eastAsia="宋体" w:hint="default"/>
          <w:sz w:val="28"/>
          <w:szCs w:val="28"/>
        </w:rPr>
      </w:r>
    </w:p>
    <w:p>
      <w:pPr>
        <w:spacing w:line="357" w:lineRule="auto" w:before="178"/>
        <w:ind w:left="218" w:right="28" w:firstLine="559"/>
        <w:jc w:val="left"/>
        <w:rPr>
          <w:rFonts w:ascii="宋体" w:hAnsi="宋体" w:cs="宋体" w:eastAsia="宋体" w:hint="default"/>
          <w:sz w:val="28"/>
          <w:szCs w:val="28"/>
        </w:rPr>
      </w:pPr>
      <w:r>
        <w:rPr>
          <w:rFonts w:ascii="宋体" w:hAnsi="宋体" w:cs="宋体" w:eastAsia="宋体" w:hint="default"/>
          <w:sz w:val="28"/>
          <w:szCs w:val="28"/>
        </w:rPr>
        <w:t>2019</w:t>
      </w:r>
      <w:r>
        <w:rPr>
          <w:rFonts w:ascii="宋体" w:hAnsi="宋体" w:cs="宋体" w:eastAsia="宋体" w:hint="default"/>
          <w:spacing w:val="-73"/>
          <w:sz w:val="28"/>
          <w:szCs w:val="28"/>
        </w:rPr>
        <w:t> </w:t>
      </w:r>
      <w:r>
        <w:rPr>
          <w:rFonts w:ascii="宋体" w:hAnsi="宋体" w:cs="宋体" w:eastAsia="宋体" w:hint="default"/>
          <w:sz w:val="28"/>
          <w:szCs w:val="28"/>
        </w:rPr>
        <w:t>年，面对国内光伏政策的延迟下发，投资环境的不明朗，公司</w:t>
      </w:r>
      <w:r>
        <w:rPr>
          <w:rFonts w:ascii="宋体" w:hAnsi="宋体" w:cs="宋体" w:eastAsia="宋体" w:hint="default"/>
          <w:w w:val="100"/>
          <w:sz w:val="28"/>
          <w:szCs w:val="28"/>
        </w:rPr>
        <w:t> </w:t>
      </w:r>
      <w:r>
        <w:rPr>
          <w:rFonts w:ascii="宋体" w:hAnsi="宋体" w:cs="宋体" w:eastAsia="宋体" w:hint="default"/>
          <w:spacing w:val="-5"/>
          <w:sz w:val="28"/>
          <w:szCs w:val="28"/>
        </w:rPr>
        <w:t>明确以提升光伏资产收益率为方向，充分发挥项目开发优势，动态把握各</w:t>
      </w:r>
      <w:r>
        <w:rPr>
          <w:rFonts w:ascii="宋体" w:hAnsi="宋体" w:cs="宋体" w:eastAsia="宋体" w:hint="default"/>
          <w:spacing w:val="-112"/>
          <w:sz w:val="28"/>
          <w:szCs w:val="28"/>
        </w:rPr>
        <w:t> </w:t>
      </w:r>
      <w:r>
        <w:rPr>
          <w:rFonts w:ascii="宋体" w:hAnsi="宋体" w:cs="宋体" w:eastAsia="宋体" w:hint="default"/>
          <w:spacing w:val="-112"/>
          <w:sz w:val="28"/>
          <w:szCs w:val="28"/>
        </w:rPr>
      </w:r>
      <w:r>
        <w:rPr>
          <w:rFonts w:ascii="宋体" w:hAnsi="宋体" w:cs="宋体" w:eastAsia="宋体" w:hint="default"/>
          <w:spacing w:val="-5"/>
          <w:sz w:val="28"/>
          <w:szCs w:val="28"/>
        </w:rPr>
        <w:t>类市场机会，以投资运营和系统集成服务为方向，不断优化资产配置，释</w:t>
      </w:r>
      <w:r>
        <w:rPr>
          <w:rFonts w:ascii="宋体" w:hAnsi="宋体" w:cs="宋体" w:eastAsia="宋体" w:hint="default"/>
          <w:spacing w:val="-111"/>
          <w:sz w:val="28"/>
          <w:szCs w:val="28"/>
        </w:rPr>
        <w:t> </w:t>
      </w:r>
      <w:r>
        <w:rPr>
          <w:rFonts w:ascii="宋体" w:hAnsi="宋体" w:cs="宋体" w:eastAsia="宋体" w:hint="default"/>
          <w:spacing w:val="-111"/>
          <w:sz w:val="28"/>
          <w:szCs w:val="28"/>
        </w:rPr>
      </w:r>
      <w:r>
        <w:rPr>
          <w:rFonts w:ascii="宋体" w:hAnsi="宋体" w:cs="宋体" w:eastAsia="宋体" w:hint="default"/>
          <w:spacing w:val="-14"/>
          <w:w w:val="100"/>
          <w:sz w:val="28"/>
          <w:szCs w:val="28"/>
        </w:rPr>
        <w:t>放更多潜能。一方面，公司蓄力待发，积极储备各类平价分布式电站资源，</w:t>
      </w:r>
      <w:r>
        <w:rPr>
          <w:rFonts w:ascii="宋体" w:hAnsi="宋体" w:cs="宋体" w:eastAsia="宋体" w:hint="default"/>
          <w:spacing w:val="-113"/>
          <w:w w:val="100"/>
          <w:sz w:val="28"/>
          <w:szCs w:val="28"/>
        </w:rPr>
        <w:t> </w:t>
      </w:r>
      <w:r>
        <w:rPr>
          <w:rFonts w:ascii="宋体" w:hAnsi="宋体" w:cs="宋体" w:eastAsia="宋体" w:hint="default"/>
          <w:spacing w:val="-113"/>
          <w:w w:val="100"/>
          <w:sz w:val="28"/>
          <w:szCs w:val="28"/>
        </w:rPr>
      </w:r>
      <w:r>
        <w:rPr>
          <w:rFonts w:ascii="宋体" w:hAnsi="宋体" w:cs="宋体" w:eastAsia="宋体" w:hint="default"/>
          <w:sz w:val="28"/>
          <w:szCs w:val="28"/>
        </w:rPr>
        <w:t>累计储备项目近</w:t>
      </w:r>
      <w:r>
        <w:rPr>
          <w:rFonts w:ascii="宋体" w:hAnsi="宋体" w:cs="宋体" w:eastAsia="宋体" w:hint="default"/>
          <w:spacing w:val="-61"/>
          <w:sz w:val="28"/>
          <w:szCs w:val="28"/>
        </w:rPr>
        <w:t> </w:t>
      </w:r>
      <w:r>
        <w:rPr>
          <w:rFonts w:ascii="宋体" w:hAnsi="宋体" w:cs="宋体" w:eastAsia="宋体" w:hint="default"/>
          <w:spacing w:val="-4"/>
          <w:sz w:val="28"/>
          <w:szCs w:val="28"/>
        </w:rPr>
        <w:t>2GW</w:t>
      </w:r>
      <w:r>
        <w:rPr>
          <w:rFonts w:ascii="宋体" w:hAnsi="宋体" w:cs="宋体" w:eastAsia="宋体" w:hint="default"/>
          <w:spacing w:val="-4"/>
          <w:sz w:val="28"/>
          <w:szCs w:val="28"/>
        </w:rPr>
        <w:t>，全力保障应用端业务链的顺畅运行；另一方面，公</w:t>
      </w:r>
      <w:r>
        <w:rPr>
          <w:rFonts w:ascii="宋体" w:hAnsi="宋体" w:cs="宋体" w:eastAsia="宋体" w:hint="default"/>
          <w:spacing w:val="-111"/>
          <w:sz w:val="28"/>
          <w:szCs w:val="28"/>
        </w:rPr>
        <w:t> </w:t>
      </w:r>
      <w:r>
        <w:rPr>
          <w:rFonts w:ascii="宋体" w:hAnsi="宋体" w:cs="宋体" w:eastAsia="宋体" w:hint="default"/>
          <w:spacing w:val="-111"/>
          <w:sz w:val="28"/>
          <w:szCs w:val="28"/>
        </w:rPr>
      </w:r>
      <w:r>
        <w:rPr>
          <w:rFonts w:ascii="宋体" w:hAnsi="宋体" w:cs="宋体" w:eastAsia="宋体" w:hint="default"/>
          <w:spacing w:val="-1"/>
          <w:sz w:val="28"/>
          <w:szCs w:val="28"/>
        </w:rPr>
        <w:t>司“坚守本源”，依托自主开发的“智慧光伏云平台”，集中区域优势，</w:t>
      </w:r>
      <w:r>
        <w:rPr>
          <w:rFonts w:ascii="宋体" w:hAnsi="宋体" w:cs="宋体" w:eastAsia="宋体" w:hint="default"/>
          <w:spacing w:val="-103"/>
          <w:sz w:val="28"/>
          <w:szCs w:val="28"/>
        </w:rPr>
        <w:t> </w:t>
      </w:r>
      <w:r>
        <w:rPr>
          <w:rFonts w:ascii="宋体" w:hAnsi="宋体" w:cs="宋体" w:eastAsia="宋体" w:hint="default"/>
          <w:spacing w:val="-103"/>
          <w:sz w:val="28"/>
          <w:szCs w:val="28"/>
        </w:rPr>
      </w:r>
      <w:r>
        <w:rPr>
          <w:rFonts w:ascii="宋体" w:hAnsi="宋体" w:cs="宋体" w:eastAsia="宋体" w:hint="default"/>
          <w:spacing w:val="-5"/>
          <w:sz w:val="28"/>
          <w:szCs w:val="28"/>
        </w:rPr>
        <w:t>科学运维，精益管理发电，有效提升电站运营效率，自持电站年发电量近</w:t>
      </w:r>
      <w:r>
        <w:rPr>
          <w:rFonts w:ascii="宋体" w:hAnsi="宋体" w:cs="宋体" w:eastAsia="宋体" w:hint="default"/>
          <w:spacing w:val="-110"/>
          <w:sz w:val="28"/>
          <w:szCs w:val="28"/>
        </w:rPr>
        <w:t> </w:t>
      </w:r>
      <w:r>
        <w:rPr>
          <w:rFonts w:ascii="宋体" w:hAnsi="宋体" w:cs="宋体" w:eastAsia="宋体" w:hint="default"/>
          <w:spacing w:val="-110"/>
          <w:sz w:val="28"/>
          <w:szCs w:val="28"/>
        </w:rPr>
      </w:r>
      <w:r>
        <w:rPr>
          <w:rFonts w:ascii="宋体" w:hAnsi="宋体" w:cs="宋体" w:eastAsia="宋体" w:hint="default"/>
          <w:sz w:val="28"/>
          <w:szCs w:val="28"/>
        </w:rPr>
        <w:t>19</w:t>
      </w:r>
      <w:r>
        <w:rPr>
          <w:rFonts w:ascii="宋体" w:hAnsi="宋体" w:cs="宋体" w:eastAsia="宋体" w:hint="default"/>
          <w:spacing w:val="-61"/>
          <w:sz w:val="28"/>
          <w:szCs w:val="28"/>
        </w:rPr>
        <w:t> </w:t>
      </w:r>
      <w:r>
        <w:rPr>
          <w:rFonts w:ascii="宋体" w:hAnsi="宋体" w:cs="宋体" w:eastAsia="宋体" w:hint="default"/>
          <w:spacing w:val="-3"/>
          <w:sz w:val="28"/>
          <w:szCs w:val="28"/>
        </w:rPr>
        <w:t>亿度；同时，公司以“高效解决方案</w:t>
      </w:r>
      <w:r>
        <w:rPr>
          <w:rFonts w:ascii="宋体" w:hAnsi="宋体" w:cs="宋体" w:eastAsia="宋体" w:hint="default"/>
          <w:spacing w:val="-3"/>
          <w:sz w:val="28"/>
          <w:szCs w:val="28"/>
        </w:rPr>
        <w:t>+</w:t>
      </w:r>
      <w:r>
        <w:rPr>
          <w:rFonts w:ascii="宋体" w:hAnsi="宋体" w:cs="宋体" w:eastAsia="宋体" w:hint="default"/>
          <w:spacing w:val="-3"/>
          <w:sz w:val="28"/>
          <w:szCs w:val="28"/>
        </w:rPr>
        <w:t>科学运维服务”为突破，提升差</w:t>
      </w:r>
      <w:r>
        <w:rPr>
          <w:rFonts w:ascii="宋体" w:hAnsi="宋体" w:cs="宋体" w:eastAsia="宋体" w:hint="default"/>
          <w:spacing w:val="-119"/>
          <w:sz w:val="28"/>
          <w:szCs w:val="28"/>
        </w:rPr>
        <w:t> </w:t>
      </w:r>
      <w:r>
        <w:rPr>
          <w:rFonts w:ascii="宋体" w:hAnsi="宋体" w:cs="宋体" w:eastAsia="宋体" w:hint="default"/>
          <w:spacing w:val="-119"/>
          <w:sz w:val="28"/>
          <w:szCs w:val="28"/>
        </w:rPr>
      </w:r>
      <w:r>
        <w:rPr>
          <w:rFonts w:ascii="宋体" w:hAnsi="宋体" w:cs="宋体" w:eastAsia="宋体" w:hint="default"/>
          <w:spacing w:val="-5"/>
          <w:sz w:val="28"/>
          <w:szCs w:val="28"/>
        </w:rPr>
        <w:t>异化竞争优势，开展与国企、央企的深度合作，联合中标光伏发电应用领</w:t>
      </w:r>
      <w:r>
        <w:rPr>
          <w:rFonts w:ascii="宋体" w:hAnsi="宋体" w:cs="宋体" w:eastAsia="宋体" w:hint="default"/>
          <w:spacing w:val="-109"/>
          <w:sz w:val="28"/>
          <w:szCs w:val="28"/>
        </w:rPr>
        <w:t> </w:t>
      </w:r>
      <w:r>
        <w:rPr>
          <w:rFonts w:ascii="宋体" w:hAnsi="宋体" w:cs="宋体" w:eastAsia="宋体" w:hint="default"/>
          <w:spacing w:val="-109"/>
          <w:sz w:val="28"/>
          <w:szCs w:val="28"/>
        </w:rPr>
      </w:r>
      <w:r>
        <w:rPr>
          <w:rFonts w:ascii="宋体" w:hAnsi="宋体" w:cs="宋体" w:eastAsia="宋体" w:hint="default"/>
          <w:sz w:val="28"/>
          <w:szCs w:val="28"/>
        </w:rPr>
        <w:t>跑者奖励项目，发展动力持续加码。</w:t>
      </w:r>
      <w:r>
        <w:rPr>
          <w:rFonts w:ascii="宋体" w:hAnsi="宋体" w:cs="宋体" w:eastAsia="宋体" w:hint="default"/>
          <w:sz w:val="28"/>
          <w:szCs w:val="28"/>
        </w:rPr>
        <w:t> </w:t>
      </w:r>
    </w:p>
    <w:p>
      <w:pPr>
        <w:spacing w:before="41"/>
        <w:ind w:left="779" w:right="28" w:firstLine="0"/>
        <w:jc w:val="left"/>
        <w:rPr>
          <w:rFonts w:ascii="宋体" w:hAnsi="宋体" w:cs="宋体" w:eastAsia="宋体" w:hint="default"/>
          <w:sz w:val="28"/>
          <w:szCs w:val="28"/>
        </w:rPr>
      </w:pPr>
      <w:r>
        <w:rPr>
          <w:rFonts w:ascii="宋体" w:hAnsi="宋体" w:cs="宋体" w:eastAsia="宋体" w:hint="default"/>
          <w:b/>
          <w:bCs/>
          <w:sz w:val="28"/>
          <w:szCs w:val="28"/>
        </w:rPr>
        <w:t>“融合”</w:t>
      </w:r>
      <w:r>
        <w:rPr>
          <w:rFonts w:ascii="宋体" w:hAnsi="宋体" w:cs="宋体" w:eastAsia="宋体" w:hint="default"/>
          <w:b/>
          <w:bCs/>
          <w:sz w:val="28"/>
          <w:szCs w:val="28"/>
        </w:rPr>
        <w:t>---</w:t>
      </w:r>
      <w:r>
        <w:rPr>
          <w:rFonts w:ascii="宋体" w:hAnsi="宋体" w:cs="宋体" w:eastAsia="宋体" w:hint="default"/>
          <w:b/>
          <w:bCs/>
          <w:sz w:val="28"/>
          <w:szCs w:val="28"/>
        </w:rPr>
        <w:t>探索价值发展，务实创新，谋变未来。</w:t>
      </w:r>
      <w:r>
        <w:rPr>
          <w:rFonts w:ascii="宋体" w:hAnsi="宋体" w:cs="宋体" w:eastAsia="宋体" w:hint="default"/>
          <w:b/>
          <w:bCs/>
          <w:w w:val="99"/>
          <w:sz w:val="28"/>
          <w:szCs w:val="28"/>
        </w:rPr>
        <w:t> </w:t>
      </w:r>
      <w:r>
        <w:rPr>
          <w:rFonts w:ascii="宋体" w:hAnsi="宋体" w:cs="宋体" w:eastAsia="宋体" w:hint="default"/>
          <w:sz w:val="28"/>
          <w:szCs w:val="28"/>
        </w:rPr>
      </w:r>
    </w:p>
    <w:p>
      <w:pPr>
        <w:spacing w:line="357" w:lineRule="auto" w:before="178"/>
        <w:ind w:left="218" w:right="249" w:firstLine="559"/>
        <w:jc w:val="both"/>
        <w:rPr>
          <w:rFonts w:ascii="宋体" w:hAnsi="宋体" w:cs="宋体" w:eastAsia="宋体" w:hint="default"/>
          <w:sz w:val="28"/>
          <w:szCs w:val="28"/>
        </w:rPr>
      </w:pPr>
      <w:r>
        <w:rPr>
          <w:rFonts w:ascii="宋体" w:hAnsi="宋体" w:cs="宋体" w:eastAsia="宋体" w:hint="default"/>
          <w:sz w:val="28"/>
          <w:szCs w:val="28"/>
        </w:rPr>
        <w:t>2019</w:t>
      </w:r>
      <w:r>
        <w:rPr>
          <w:rFonts w:ascii="宋体" w:hAnsi="宋体" w:cs="宋体" w:eastAsia="宋体" w:hint="default"/>
          <w:spacing w:val="-74"/>
          <w:sz w:val="28"/>
          <w:szCs w:val="28"/>
        </w:rPr>
        <w:t> </w:t>
      </w:r>
      <w:r>
        <w:rPr>
          <w:rFonts w:ascii="宋体" w:hAnsi="宋体" w:cs="宋体" w:eastAsia="宋体" w:hint="default"/>
          <w:sz w:val="28"/>
          <w:szCs w:val="28"/>
        </w:rPr>
        <w:t>年，面对电力数字化时代的市场机会，我们在业务层面上进行</w:t>
      </w:r>
      <w:r>
        <w:rPr>
          <w:rFonts w:ascii="宋体" w:hAnsi="宋体" w:cs="宋体" w:eastAsia="宋体" w:hint="default"/>
          <w:w w:val="100"/>
          <w:sz w:val="28"/>
          <w:szCs w:val="28"/>
        </w:rPr>
        <w:t> </w:t>
      </w:r>
      <w:r>
        <w:rPr>
          <w:rFonts w:ascii="宋体" w:hAnsi="宋体" w:cs="宋体" w:eastAsia="宋体" w:hint="default"/>
          <w:spacing w:val="-14"/>
          <w:w w:val="100"/>
          <w:sz w:val="28"/>
          <w:szCs w:val="28"/>
        </w:rPr>
        <w:t>更多的开放和融合，打破业务板块对组织的局限性，打通电网侧、发电侧、</w:t>
      </w:r>
      <w:r>
        <w:rPr>
          <w:rFonts w:ascii="宋体" w:hAnsi="宋体" w:cs="宋体" w:eastAsia="宋体" w:hint="default"/>
          <w:spacing w:val="-114"/>
          <w:w w:val="100"/>
          <w:sz w:val="28"/>
          <w:szCs w:val="28"/>
        </w:rPr>
        <w:t> </w:t>
      </w:r>
      <w:r>
        <w:rPr>
          <w:rFonts w:ascii="宋体" w:hAnsi="宋体" w:cs="宋体" w:eastAsia="宋体" w:hint="default"/>
          <w:spacing w:val="-114"/>
          <w:w w:val="100"/>
          <w:sz w:val="28"/>
          <w:szCs w:val="28"/>
        </w:rPr>
      </w:r>
      <w:r>
        <w:rPr>
          <w:rFonts w:ascii="宋体" w:hAnsi="宋体" w:cs="宋体" w:eastAsia="宋体" w:hint="default"/>
          <w:spacing w:val="-5"/>
          <w:sz w:val="28"/>
          <w:szCs w:val="28"/>
        </w:rPr>
        <w:t>用户侧资源的连接，逐渐形成完整的林洋综合能源服务生态。公司依托在</w:t>
      </w:r>
      <w:r>
        <w:rPr>
          <w:rFonts w:ascii="宋体" w:hAnsi="宋体" w:cs="宋体" w:eastAsia="宋体" w:hint="default"/>
          <w:spacing w:val="-113"/>
          <w:sz w:val="28"/>
          <w:szCs w:val="28"/>
        </w:rPr>
        <w:t> </w:t>
      </w:r>
      <w:r>
        <w:rPr>
          <w:rFonts w:ascii="宋体" w:hAnsi="宋体" w:cs="宋体" w:eastAsia="宋体" w:hint="default"/>
          <w:spacing w:val="-113"/>
          <w:sz w:val="28"/>
          <w:szCs w:val="28"/>
        </w:rPr>
      </w:r>
      <w:r>
        <w:rPr>
          <w:rFonts w:ascii="宋体" w:hAnsi="宋体" w:cs="宋体" w:eastAsia="宋体" w:hint="default"/>
          <w:spacing w:val="-5"/>
          <w:sz w:val="28"/>
          <w:szCs w:val="28"/>
        </w:rPr>
        <w:t>电能计量、新能源、需求侧管理等领域的技术优势，采用灵活多样的商业</w:t>
      </w:r>
      <w:r>
        <w:rPr>
          <w:rFonts w:ascii="宋体" w:hAnsi="宋体" w:cs="宋体" w:eastAsia="宋体" w:hint="default"/>
          <w:spacing w:val="-109"/>
          <w:sz w:val="28"/>
          <w:szCs w:val="28"/>
        </w:rPr>
        <w:t> </w:t>
      </w:r>
      <w:r>
        <w:rPr>
          <w:rFonts w:ascii="宋体" w:hAnsi="宋体" w:cs="宋体" w:eastAsia="宋体" w:hint="default"/>
          <w:spacing w:val="-109"/>
          <w:sz w:val="28"/>
          <w:szCs w:val="28"/>
        </w:rPr>
      </w:r>
      <w:r>
        <w:rPr>
          <w:rFonts w:ascii="宋体" w:hAnsi="宋体" w:cs="宋体" w:eastAsia="宋体" w:hint="default"/>
          <w:spacing w:val="-5"/>
          <w:sz w:val="28"/>
          <w:szCs w:val="28"/>
        </w:rPr>
        <w:t>模式，重点围绕行业系统、园区、大型工商业企业等客户需求，提供多种</w:t>
      </w:r>
      <w:r>
        <w:rPr>
          <w:rFonts w:ascii="宋体" w:hAnsi="宋体" w:cs="宋体" w:eastAsia="宋体" w:hint="default"/>
          <w:spacing w:val="-115"/>
          <w:sz w:val="28"/>
          <w:szCs w:val="28"/>
        </w:rPr>
        <w:t> </w:t>
      </w:r>
      <w:r>
        <w:rPr>
          <w:rFonts w:ascii="宋体" w:hAnsi="宋体" w:cs="宋体" w:eastAsia="宋体" w:hint="default"/>
          <w:spacing w:val="-115"/>
          <w:sz w:val="28"/>
          <w:szCs w:val="28"/>
        </w:rPr>
      </w:r>
      <w:r>
        <w:rPr>
          <w:rFonts w:ascii="宋体" w:hAnsi="宋体" w:cs="宋体" w:eastAsia="宋体" w:hint="default"/>
          <w:spacing w:val="-5"/>
          <w:sz w:val="28"/>
          <w:szCs w:val="28"/>
        </w:rPr>
        <w:t>高效用能解决方案。其中，总额超亿元的河北高速合同能源管理项目现已</w:t>
      </w:r>
      <w:r>
        <w:rPr>
          <w:rFonts w:ascii="宋体" w:hAnsi="宋体" w:cs="宋体" w:eastAsia="宋体" w:hint="default"/>
          <w:spacing w:val="-113"/>
          <w:sz w:val="28"/>
          <w:szCs w:val="28"/>
        </w:rPr>
        <w:t> </w:t>
      </w:r>
      <w:r>
        <w:rPr>
          <w:rFonts w:ascii="宋体" w:hAnsi="宋体" w:cs="宋体" w:eastAsia="宋体" w:hint="default"/>
          <w:spacing w:val="-113"/>
          <w:sz w:val="28"/>
          <w:szCs w:val="28"/>
        </w:rPr>
      </w:r>
      <w:r>
        <w:rPr>
          <w:rFonts w:ascii="宋体" w:hAnsi="宋体" w:cs="宋体" w:eastAsia="宋体" w:hint="default"/>
          <w:spacing w:val="-5"/>
          <w:sz w:val="28"/>
          <w:szCs w:val="28"/>
        </w:rPr>
        <w:t>交工验收，迎来收获期，这是公司在交通领域中的首个大型综合能源服务</w:t>
      </w:r>
      <w:r>
        <w:rPr>
          <w:rFonts w:ascii="宋体" w:hAnsi="宋体" w:cs="宋体" w:eastAsia="宋体" w:hint="default"/>
          <w:spacing w:val="-113"/>
          <w:sz w:val="28"/>
          <w:szCs w:val="28"/>
        </w:rPr>
        <w:t> </w:t>
      </w:r>
      <w:r>
        <w:rPr>
          <w:rFonts w:ascii="宋体" w:hAnsi="宋体" w:cs="宋体" w:eastAsia="宋体" w:hint="default"/>
          <w:spacing w:val="-113"/>
          <w:sz w:val="28"/>
          <w:szCs w:val="28"/>
        </w:rPr>
      </w:r>
      <w:r>
        <w:rPr>
          <w:rFonts w:ascii="宋体" w:hAnsi="宋体" w:cs="宋体" w:eastAsia="宋体" w:hint="default"/>
          <w:sz w:val="28"/>
          <w:szCs w:val="28"/>
        </w:rPr>
        <w:t>项目，具有重要示范意义。</w:t>
      </w:r>
      <w:r>
        <w:rPr>
          <w:rFonts w:ascii="宋体" w:hAnsi="宋体" w:cs="宋体" w:eastAsia="宋体" w:hint="default"/>
          <w:sz w:val="28"/>
          <w:szCs w:val="28"/>
        </w:rPr>
        <w:t> </w:t>
      </w:r>
    </w:p>
    <w:p>
      <w:pPr>
        <w:spacing w:after="0" w:line="357" w:lineRule="auto"/>
        <w:jc w:val="both"/>
        <w:rPr>
          <w:rFonts w:ascii="宋体" w:hAnsi="宋体" w:cs="宋体" w:eastAsia="宋体" w:hint="default"/>
          <w:sz w:val="28"/>
          <w:szCs w:val="28"/>
        </w:rPr>
        <w:sectPr>
          <w:pgSz w:w="11910" w:h="16840"/>
          <w:pgMar w:header="747" w:footer="974" w:top="1140" w:bottom="1160" w:left="1580" w:right="1020"/>
        </w:sectPr>
      </w:pPr>
    </w:p>
    <w:p>
      <w:pPr>
        <w:spacing w:line="240" w:lineRule="auto" w:before="7"/>
        <w:rPr>
          <w:rFonts w:ascii="宋体" w:hAnsi="宋体" w:cs="宋体" w:eastAsia="宋体" w:hint="default"/>
          <w:sz w:val="24"/>
          <w:szCs w:val="24"/>
        </w:rPr>
      </w:pPr>
    </w:p>
    <w:p>
      <w:pPr>
        <w:spacing w:line="357" w:lineRule="auto" w:before="14"/>
        <w:ind w:left="218" w:right="28" w:firstLine="559"/>
        <w:jc w:val="left"/>
        <w:rPr>
          <w:rFonts w:ascii="宋体" w:hAnsi="宋体" w:cs="宋体" w:eastAsia="宋体" w:hint="default"/>
          <w:sz w:val="28"/>
          <w:szCs w:val="28"/>
        </w:rPr>
      </w:pPr>
      <w:r>
        <w:rPr>
          <w:rFonts w:ascii="宋体" w:hAnsi="宋体" w:cs="宋体" w:eastAsia="宋体" w:hint="default"/>
          <w:spacing w:val="-1"/>
          <w:sz w:val="28"/>
          <w:szCs w:val="28"/>
        </w:rPr>
        <w:t>新征程开启新起点，公司将坚持以效益为中心，持续优化战略布局，</w:t>
      </w:r>
      <w:r>
        <w:rPr>
          <w:rFonts w:ascii="宋体" w:hAnsi="宋体" w:cs="宋体" w:eastAsia="宋体" w:hint="default"/>
          <w:w w:val="100"/>
          <w:sz w:val="28"/>
          <w:szCs w:val="28"/>
        </w:rPr>
        <w:t> </w:t>
      </w:r>
      <w:r>
        <w:rPr>
          <w:rFonts w:ascii="宋体" w:hAnsi="宋体" w:cs="宋体" w:eastAsia="宋体" w:hint="default"/>
          <w:spacing w:val="-5"/>
          <w:sz w:val="28"/>
          <w:szCs w:val="28"/>
        </w:rPr>
        <w:t>加大科技创新，进一步明确成为“全球智能电网、新能源、能效领域最具</w:t>
      </w:r>
      <w:r>
        <w:rPr>
          <w:rFonts w:ascii="宋体" w:hAnsi="宋体" w:cs="宋体" w:eastAsia="宋体" w:hint="default"/>
          <w:spacing w:val="-115"/>
          <w:sz w:val="28"/>
          <w:szCs w:val="28"/>
        </w:rPr>
        <w:t> </w:t>
      </w:r>
      <w:r>
        <w:rPr>
          <w:rFonts w:ascii="宋体" w:hAnsi="宋体" w:cs="宋体" w:eastAsia="宋体" w:hint="default"/>
          <w:spacing w:val="-115"/>
          <w:sz w:val="28"/>
          <w:szCs w:val="28"/>
        </w:rPr>
      </w:r>
      <w:r>
        <w:rPr>
          <w:rFonts w:ascii="宋体" w:hAnsi="宋体" w:cs="宋体" w:eastAsia="宋体" w:hint="default"/>
          <w:sz w:val="28"/>
          <w:szCs w:val="28"/>
        </w:rPr>
        <w:t>竞争力的产品和服务提供商”的战略目标。</w:t>
      </w:r>
      <w:r>
        <w:rPr>
          <w:rFonts w:ascii="宋体" w:hAnsi="宋体" w:cs="宋体" w:eastAsia="宋体" w:hint="default"/>
          <w:sz w:val="28"/>
          <w:szCs w:val="28"/>
        </w:rPr>
        <w:t> </w:t>
      </w:r>
    </w:p>
    <w:p>
      <w:pPr>
        <w:spacing w:line="357" w:lineRule="auto" w:before="41"/>
        <w:ind w:left="777" w:right="28" w:firstLine="2"/>
        <w:jc w:val="left"/>
        <w:rPr>
          <w:rFonts w:ascii="宋体" w:hAnsi="宋体" w:cs="宋体" w:eastAsia="宋体" w:hint="default"/>
          <w:sz w:val="28"/>
          <w:szCs w:val="28"/>
        </w:rPr>
      </w:pPr>
      <w:r>
        <w:rPr>
          <w:rFonts w:ascii="宋体" w:hAnsi="宋体" w:cs="宋体" w:eastAsia="宋体" w:hint="default"/>
          <w:b/>
          <w:bCs/>
          <w:sz w:val="28"/>
          <w:szCs w:val="28"/>
        </w:rPr>
        <w:t>2020</w:t>
      </w:r>
      <w:r>
        <w:rPr>
          <w:rFonts w:ascii="宋体" w:hAnsi="宋体" w:cs="宋体" w:eastAsia="宋体" w:hint="default"/>
          <w:b/>
          <w:bCs/>
          <w:spacing w:val="-71"/>
          <w:sz w:val="28"/>
          <w:szCs w:val="28"/>
        </w:rPr>
        <w:t> </w:t>
      </w:r>
      <w:r>
        <w:rPr>
          <w:rFonts w:ascii="宋体" w:hAnsi="宋体" w:cs="宋体" w:eastAsia="宋体" w:hint="default"/>
          <w:b/>
          <w:bCs/>
          <w:sz w:val="28"/>
          <w:szCs w:val="28"/>
        </w:rPr>
        <w:t>年，我们成长路径清晰确定，全力实现全球化、高质量发展。</w:t>
      </w:r>
      <w:r>
        <w:rPr>
          <w:rFonts w:ascii="宋体" w:hAnsi="宋体" w:cs="宋体" w:eastAsia="宋体" w:hint="default"/>
          <w:b/>
          <w:bCs/>
          <w:w w:val="99"/>
          <w:sz w:val="28"/>
          <w:szCs w:val="28"/>
        </w:rPr>
        <w:t> </w:t>
      </w:r>
      <w:r>
        <w:rPr>
          <w:rFonts w:ascii="宋体" w:hAnsi="宋体" w:cs="宋体" w:eastAsia="宋体" w:hint="default"/>
          <w:spacing w:val="-6"/>
          <w:w w:val="100"/>
          <w:sz w:val="28"/>
          <w:szCs w:val="28"/>
        </w:rPr>
        <w:t>新冠疫情给世界经济带来了很多的不确定性，但我们坚信中国经济有</w:t>
      </w:r>
    </w:p>
    <w:p>
      <w:pPr>
        <w:spacing w:line="357" w:lineRule="auto" w:before="41"/>
        <w:ind w:left="218" w:right="115" w:firstLine="0"/>
        <w:jc w:val="both"/>
        <w:rPr>
          <w:rFonts w:ascii="宋体" w:hAnsi="宋体" w:cs="宋体" w:eastAsia="宋体" w:hint="default"/>
          <w:sz w:val="28"/>
          <w:szCs w:val="28"/>
        </w:rPr>
      </w:pPr>
      <w:r>
        <w:rPr>
          <w:rFonts w:ascii="宋体" w:hAnsi="宋体" w:cs="宋体" w:eastAsia="宋体" w:hint="default"/>
          <w:spacing w:val="-5"/>
          <w:sz w:val="28"/>
          <w:szCs w:val="28"/>
        </w:rPr>
        <w:t>巨大的韧性和潜力，电力能源发展的动能依然充沛和强劲。面对全球电网</w:t>
      </w:r>
      <w:r>
        <w:rPr>
          <w:rFonts w:ascii="宋体" w:hAnsi="宋体" w:cs="宋体" w:eastAsia="宋体" w:hint="default"/>
          <w:spacing w:val="-114"/>
          <w:sz w:val="28"/>
          <w:szCs w:val="28"/>
        </w:rPr>
        <w:t> </w:t>
      </w:r>
      <w:r>
        <w:rPr>
          <w:rFonts w:ascii="宋体" w:hAnsi="宋体" w:cs="宋体" w:eastAsia="宋体" w:hint="default"/>
          <w:spacing w:val="-114"/>
          <w:sz w:val="28"/>
          <w:szCs w:val="28"/>
        </w:rPr>
      </w:r>
      <w:r>
        <w:rPr>
          <w:rFonts w:ascii="宋体" w:hAnsi="宋体" w:cs="宋体" w:eastAsia="宋体" w:hint="default"/>
          <w:spacing w:val="-5"/>
          <w:sz w:val="28"/>
          <w:szCs w:val="28"/>
        </w:rPr>
        <w:t>数字化、电力物联网建设机遇，公司将积极推进智能配用电新产品、系统</w:t>
      </w:r>
      <w:r>
        <w:rPr>
          <w:rFonts w:ascii="宋体" w:hAnsi="宋体" w:cs="宋体" w:eastAsia="宋体" w:hint="default"/>
          <w:spacing w:val="-111"/>
          <w:sz w:val="28"/>
          <w:szCs w:val="28"/>
        </w:rPr>
        <w:t> </w:t>
      </w:r>
      <w:r>
        <w:rPr>
          <w:rFonts w:ascii="宋体" w:hAnsi="宋体" w:cs="宋体" w:eastAsia="宋体" w:hint="default"/>
          <w:spacing w:val="-111"/>
          <w:sz w:val="28"/>
          <w:szCs w:val="28"/>
        </w:rPr>
      </w:r>
      <w:r>
        <w:rPr>
          <w:rFonts w:ascii="宋体" w:hAnsi="宋体" w:cs="宋体" w:eastAsia="宋体" w:hint="default"/>
          <w:spacing w:val="-5"/>
          <w:sz w:val="28"/>
          <w:szCs w:val="28"/>
        </w:rPr>
        <w:t>解决方案的对接和落地，主动挖掘国内外存量和增量市场价值，进一步完</w:t>
      </w:r>
      <w:r>
        <w:rPr>
          <w:rFonts w:ascii="宋体" w:hAnsi="宋体" w:cs="宋体" w:eastAsia="宋体" w:hint="default"/>
          <w:spacing w:val="-113"/>
          <w:sz w:val="28"/>
          <w:szCs w:val="28"/>
        </w:rPr>
        <w:t> </w:t>
      </w:r>
      <w:r>
        <w:rPr>
          <w:rFonts w:ascii="宋体" w:hAnsi="宋体" w:cs="宋体" w:eastAsia="宋体" w:hint="default"/>
          <w:spacing w:val="-113"/>
          <w:sz w:val="28"/>
          <w:szCs w:val="28"/>
        </w:rPr>
      </w:r>
      <w:r>
        <w:rPr>
          <w:rFonts w:ascii="宋体" w:hAnsi="宋体" w:cs="宋体" w:eastAsia="宋体" w:hint="default"/>
          <w:spacing w:val="-5"/>
          <w:sz w:val="28"/>
          <w:szCs w:val="28"/>
        </w:rPr>
        <w:t>善全球布局。开年之初，公司智能电表业务已斩获多个沙特市场订单，金</w:t>
      </w:r>
      <w:r>
        <w:rPr>
          <w:rFonts w:ascii="宋体" w:hAnsi="宋体" w:cs="宋体" w:eastAsia="宋体" w:hint="default"/>
          <w:spacing w:val="-110"/>
          <w:sz w:val="28"/>
          <w:szCs w:val="28"/>
        </w:rPr>
        <w:t> </w:t>
      </w:r>
      <w:r>
        <w:rPr>
          <w:rFonts w:ascii="宋体" w:hAnsi="宋体" w:cs="宋体" w:eastAsia="宋体" w:hint="default"/>
          <w:spacing w:val="-110"/>
          <w:sz w:val="28"/>
          <w:szCs w:val="28"/>
        </w:rPr>
      </w:r>
      <w:r>
        <w:rPr>
          <w:rFonts w:ascii="宋体" w:hAnsi="宋体" w:cs="宋体" w:eastAsia="宋体" w:hint="default"/>
          <w:sz w:val="28"/>
          <w:szCs w:val="28"/>
        </w:rPr>
        <w:t>额近</w:t>
      </w:r>
      <w:r>
        <w:rPr>
          <w:rFonts w:ascii="宋体" w:hAnsi="宋体" w:cs="宋体" w:eastAsia="宋体" w:hint="default"/>
          <w:spacing w:val="-69"/>
          <w:sz w:val="28"/>
          <w:szCs w:val="28"/>
        </w:rPr>
        <w:t> </w:t>
      </w:r>
      <w:r>
        <w:rPr>
          <w:rFonts w:ascii="宋体" w:hAnsi="宋体" w:cs="宋体" w:eastAsia="宋体" w:hint="default"/>
          <w:sz w:val="28"/>
          <w:szCs w:val="28"/>
        </w:rPr>
        <w:t>8</w:t>
      </w:r>
      <w:r>
        <w:rPr>
          <w:rFonts w:ascii="宋体" w:hAnsi="宋体" w:cs="宋体" w:eastAsia="宋体" w:hint="default"/>
          <w:spacing w:val="-68"/>
          <w:sz w:val="28"/>
          <w:szCs w:val="28"/>
        </w:rPr>
        <w:t> </w:t>
      </w:r>
      <w:r>
        <w:rPr>
          <w:rFonts w:ascii="宋体" w:hAnsi="宋体" w:cs="宋体" w:eastAsia="宋体" w:hint="default"/>
          <w:sz w:val="28"/>
          <w:szCs w:val="28"/>
        </w:rPr>
        <w:t>亿元，有效巩固公司在“一带一路”沿线国家的市场地位。同时，</w:t>
      </w:r>
    </w:p>
    <w:p>
      <w:pPr>
        <w:spacing w:line="357" w:lineRule="auto" w:before="41"/>
        <w:ind w:left="218" w:right="250" w:firstLine="0"/>
        <w:jc w:val="both"/>
        <w:rPr>
          <w:rFonts w:ascii="宋体" w:hAnsi="宋体" w:cs="宋体" w:eastAsia="宋体" w:hint="default"/>
          <w:sz w:val="28"/>
          <w:szCs w:val="28"/>
        </w:rPr>
      </w:pPr>
      <w:r>
        <w:rPr>
          <w:rFonts w:ascii="宋体" w:hAnsi="宋体" w:cs="宋体" w:eastAsia="宋体" w:hint="default"/>
          <w:sz w:val="28"/>
          <w:szCs w:val="28"/>
        </w:rPr>
        <w:t>伴随着</w:t>
      </w:r>
      <w:r>
        <w:rPr>
          <w:rFonts w:ascii="宋体" w:hAnsi="宋体" w:cs="宋体" w:eastAsia="宋体" w:hint="default"/>
          <w:spacing w:val="-72"/>
          <w:sz w:val="28"/>
          <w:szCs w:val="28"/>
        </w:rPr>
        <w:t> </w:t>
      </w:r>
      <w:r>
        <w:rPr>
          <w:rFonts w:ascii="宋体" w:hAnsi="宋体" w:cs="宋体" w:eastAsia="宋体" w:hint="default"/>
          <w:sz w:val="28"/>
          <w:szCs w:val="28"/>
        </w:rPr>
        <w:t>2020</w:t>
      </w:r>
      <w:r>
        <w:rPr>
          <w:rFonts w:ascii="宋体" w:hAnsi="宋体" w:cs="宋体" w:eastAsia="宋体" w:hint="default"/>
          <w:spacing w:val="-73"/>
          <w:sz w:val="28"/>
          <w:szCs w:val="28"/>
        </w:rPr>
        <w:t> </w:t>
      </w:r>
      <w:r>
        <w:rPr>
          <w:rFonts w:ascii="宋体" w:hAnsi="宋体" w:cs="宋体" w:eastAsia="宋体" w:hint="default"/>
          <w:sz w:val="28"/>
          <w:szCs w:val="28"/>
        </w:rPr>
        <w:t>年光伏政策的落地，公司相关工作已全面开启，已陆续签订</w:t>
      </w:r>
      <w:r>
        <w:rPr>
          <w:rFonts w:ascii="宋体" w:hAnsi="宋体" w:cs="宋体" w:eastAsia="宋体" w:hint="default"/>
          <w:w w:val="100"/>
          <w:sz w:val="28"/>
          <w:szCs w:val="28"/>
        </w:rPr>
        <w:t> </w:t>
      </w:r>
      <w:r>
        <w:rPr>
          <w:rFonts w:ascii="宋体" w:hAnsi="宋体" w:cs="宋体" w:eastAsia="宋体" w:hint="default"/>
          <w:sz w:val="28"/>
          <w:szCs w:val="28"/>
        </w:rPr>
        <w:t>总额逾</w:t>
      </w:r>
      <w:r>
        <w:rPr>
          <w:rFonts w:ascii="宋体" w:hAnsi="宋体" w:cs="宋体" w:eastAsia="宋体" w:hint="default"/>
          <w:spacing w:val="-73"/>
          <w:sz w:val="28"/>
          <w:szCs w:val="28"/>
        </w:rPr>
        <w:t> </w:t>
      </w:r>
      <w:r>
        <w:rPr>
          <w:rFonts w:ascii="宋体" w:hAnsi="宋体" w:cs="宋体" w:eastAsia="宋体" w:hint="default"/>
          <w:sz w:val="28"/>
          <w:szCs w:val="28"/>
        </w:rPr>
        <w:t>12</w:t>
      </w:r>
      <w:r>
        <w:rPr>
          <w:rFonts w:ascii="宋体" w:hAnsi="宋体" w:cs="宋体" w:eastAsia="宋体" w:hint="default"/>
          <w:spacing w:val="-72"/>
          <w:sz w:val="28"/>
          <w:szCs w:val="28"/>
        </w:rPr>
        <w:t> </w:t>
      </w:r>
      <w:r>
        <w:rPr>
          <w:rFonts w:ascii="宋体" w:hAnsi="宋体" w:cs="宋体" w:eastAsia="宋体" w:hint="default"/>
          <w:sz w:val="28"/>
          <w:szCs w:val="28"/>
        </w:rPr>
        <w:t>亿元的系统集成服务</w:t>
      </w:r>
      <w:r>
        <w:rPr>
          <w:rFonts w:ascii="宋体" w:hAnsi="宋体" w:cs="宋体" w:eastAsia="宋体" w:hint="default"/>
          <w:sz w:val="28"/>
          <w:szCs w:val="28"/>
        </w:rPr>
        <w:t>(EPC)</w:t>
      </w:r>
      <w:r>
        <w:rPr>
          <w:rFonts w:ascii="宋体" w:hAnsi="宋体" w:cs="宋体" w:eastAsia="宋体" w:hint="default"/>
          <w:sz w:val="28"/>
          <w:szCs w:val="28"/>
        </w:rPr>
        <w:t>合同。</w:t>
      </w:r>
      <w:r>
        <w:rPr>
          <w:rFonts w:ascii="宋体" w:hAnsi="宋体" w:cs="宋体" w:eastAsia="宋体" w:hint="default"/>
          <w:sz w:val="28"/>
          <w:szCs w:val="28"/>
        </w:rPr>
        <w:t>2020</w:t>
      </w:r>
      <w:r>
        <w:rPr>
          <w:rFonts w:ascii="宋体" w:hAnsi="宋体" w:cs="宋体" w:eastAsia="宋体" w:hint="default"/>
          <w:spacing w:val="-71"/>
          <w:sz w:val="28"/>
          <w:szCs w:val="28"/>
        </w:rPr>
        <w:t> </w:t>
      </w:r>
      <w:r>
        <w:rPr>
          <w:rFonts w:ascii="宋体" w:hAnsi="宋体" w:cs="宋体" w:eastAsia="宋体" w:hint="default"/>
          <w:sz w:val="28"/>
          <w:szCs w:val="28"/>
        </w:rPr>
        <w:t>年，公司将始终坚持高</w:t>
      </w:r>
      <w:r>
        <w:rPr>
          <w:rFonts w:ascii="宋体" w:hAnsi="宋体" w:cs="宋体" w:eastAsia="宋体" w:hint="default"/>
          <w:w w:val="100"/>
          <w:sz w:val="28"/>
          <w:szCs w:val="28"/>
        </w:rPr>
        <w:t> </w:t>
      </w:r>
      <w:r>
        <w:rPr>
          <w:rFonts w:ascii="宋体" w:hAnsi="宋体" w:cs="宋体" w:eastAsia="宋体" w:hint="default"/>
          <w:spacing w:val="-5"/>
          <w:sz w:val="28"/>
          <w:szCs w:val="28"/>
        </w:rPr>
        <w:t>质量项目管理，对内加速平价项目的开发和并网，优化投资布局；对外持</w:t>
      </w:r>
      <w:r>
        <w:rPr>
          <w:rFonts w:ascii="宋体" w:hAnsi="宋体" w:cs="宋体" w:eastAsia="宋体" w:hint="default"/>
          <w:spacing w:val="-110"/>
          <w:sz w:val="28"/>
          <w:szCs w:val="28"/>
        </w:rPr>
        <w:t> </w:t>
      </w:r>
      <w:r>
        <w:rPr>
          <w:rFonts w:ascii="宋体" w:hAnsi="宋体" w:cs="宋体" w:eastAsia="宋体" w:hint="default"/>
          <w:spacing w:val="-110"/>
          <w:sz w:val="28"/>
          <w:szCs w:val="28"/>
        </w:rPr>
      </w:r>
      <w:r>
        <w:rPr>
          <w:rFonts w:ascii="宋体" w:hAnsi="宋体" w:cs="宋体" w:eastAsia="宋体" w:hint="default"/>
          <w:sz w:val="28"/>
          <w:szCs w:val="28"/>
        </w:rPr>
        <w:t>续对接优质资源，充分发挥“项目开发、系统设计与集成、</w:t>
      </w:r>
      <w:r>
        <w:rPr>
          <w:rFonts w:ascii="宋体" w:hAnsi="宋体" w:cs="宋体" w:eastAsia="宋体" w:hint="default"/>
          <w:sz w:val="28"/>
          <w:szCs w:val="28"/>
        </w:rPr>
        <w:t>GW</w:t>
      </w:r>
      <w:r>
        <w:rPr>
          <w:rFonts w:ascii="宋体" w:hAnsi="宋体" w:cs="宋体" w:eastAsia="宋体" w:hint="default"/>
          <w:spacing w:val="-73"/>
          <w:sz w:val="28"/>
          <w:szCs w:val="28"/>
        </w:rPr>
        <w:t> </w:t>
      </w:r>
      <w:r>
        <w:rPr>
          <w:rFonts w:ascii="宋体" w:hAnsi="宋体" w:cs="宋体" w:eastAsia="宋体" w:hint="default"/>
          <w:sz w:val="28"/>
          <w:szCs w:val="28"/>
        </w:rPr>
        <w:t>级电站运</w:t>
      </w:r>
      <w:r>
        <w:rPr>
          <w:rFonts w:ascii="宋体" w:hAnsi="宋体" w:cs="宋体" w:eastAsia="宋体" w:hint="default"/>
          <w:w w:val="100"/>
          <w:sz w:val="28"/>
          <w:szCs w:val="28"/>
        </w:rPr>
        <w:t> </w:t>
      </w:r>
      <w:r>
        <w:rPr>
          <w:rFonts w:ascii="宋体" w:hAnsi="宋体" w:cs="宋体" w:eastAsia="宋体" w:hint="default"/>
          <w:spacing w:val="-5"/>
          <w:sz w:val="28"/>
          <w:szCs w:val="28"/>
        </w:rPr>
        <w:t>营及运维”的综合优势，为战略合作伙伴提供解决方案和增值服务，实现</w:t>
      </w:r>
      <w:r>
        <w:rPr>
          <w:rFonts w:ascii="宋体" w:hAnsi="宋体" w:cs="宋体" w:eastAsia="宋体" w:hint="default"/>
          <w:spacing w:val="-112"/>
          <w:sz w:val="28"/>
          <w:szCs w:val="28"/>
        </w:rPr>
        <w:t> </w:t>
      </w:r>
      <w:r>
        <w:rPr>
          <w:rFonts w:ascii="宋体" w:hAnsi="宋体" w:cs="宋体" w:eastAsia="宋体" w:hint="default"/>
          <w:spacing w:val="-112"/>
          <w:sz w:val="28"/>
          <w:szCs w:val="28"/>
        </w:rPr>
      </w:r>
      <w:r>
        <w:rPr>
          <w:rFonts w:ascii="宋体" w:hAnsi="宋体" w:cs="宋体" w:eastAsia="宋体" w:hint="default"/>
          <w:sz w:val="28"/>
          <w:szCs w:val="28"/>
        </w:rPr>
        <w:t>共赢。</w:t>
      </w:r>
      <w:r>
        <w:rPr>
          <w:rFonts w:ascii="宋体" w:hAnsi="宋体" w:cs="宋体" w:eastAsia="宋体" w:hint="default"/>
          <w:sz w:val="28"/>
          <w:szCs w:val="28"/>
        </w:rPr>
        <w:t> </w:t>
      </w:r>
    </w:p>
    <w:p>
      <w:pPr>
        <w:spacing w:line="357" w:lineRule="auto" w:before="41"/>
        <w:ind w:left="218" w:right="285" w:firstLine="561"/>
        <w:jc w:val="left"/>
        <w:rPr>
          <w:rFonts w:ascii="宋体" w:hAnsi="宋体" w:cs="宋体" w:eastAsia="宋体" w:hint="default"/>
          <w:sz w:val="28"/>
          <w:szCs w:val="28"/>
        </w:rPr>
      </w:pPr>
      <w:r>
        <w:rPr>
          <w:rFonts w:ascii="宋体" w:hAnsi="宋体" w:cs="宋体" w:eastAsia="宋体" w:hint="default"/>
          <w:b/>
          <w:bCs/>
          <w:sz w:val="28"/>
          <w:szCs w:val="28"/>
        </w:rPr>
        <w:t>2020</w:t>
      </w:r>
      <w:r>
        <w:rPr>
          <w:rFonts w:ascii="宋体" w:hAnsi="宋体" w:cs="宋体" w:eastAsia="宋体" w:hint="default"/>
          <w:b/>
          <w:bCs/>
          <w:spacing w:val="-73"/>
          <w:sz w:val="28"/>
          <w:szCs w:val="28"/>
        </w:rPr>
        <w:t> </w:t>
      </w:r>
      <w:r>
        <w:rPr>
          <w:rFonts w:ascii="宋体" w:hAnsi="宋体" w:cs="宋体" w:eastAsia="宋体" w:hint="default"/>
          <w:b/>
          <w:bCs/>
          <w:sz w:val="28"/>
          <w:szCs w:val="28"/>
        </w:rPr>
        <w:t>年，我们紧跟产业发展趋势，谋求产品领先、效率驱动的可持</w:t>
      </w:r>
      <w:r>
        <w:rPr>
          <w:rFonts w:ascii="宋体" w:hAnsi="宋体" w:cs="宋体" w:eastAsia="宋体" w:hint="default"/>
          <w:b/>
          <w:bCs/>
          <w:w w:val="99"/>
          <w:sz w:val="28"/>
          <w:szCs w:val="28"/>
        </w:rPr>
        <w:t> </w:t>
      </w:r>
      <w:r>
        <w:rPr>
          <w:rFonts w:ascii="宋体" w:hAnsi="宋体" w:cs="宋体" w:eastAsia="宋体" w:hint="default"/>
          <w:b/>
          <w:bCs/>
          <w:sz w:val="28"/>
          <w:szCs w:val="28"/>
        </w:rPr>
        <w:t>续增长动能。</w:t>
      </w:r>
      <w:r>
        <w:rPr>
          <w:rFonts w:ascii="宋体" w:hAnsi="宋体" w:cs="宋体" w:eastAsia="宋体" w:hint="default"/>
          <w:b/>
          <w:bCs/>
          <w:w w:val="99"/>
          <w:sz w:val="28"/>
          <w:szCs w:val="28"/>
        </w:rPr>
        <w:t> </w:t>
      </w:r>
      <w:r>
        <w:rPr>
          <w:rFonts w:ascii="宋体" w:hAnsi="宋体" w:cs="宋体" w:eastAsia="宋体" w:hint="default"/>
          <w:sz w:val="28"/>
          <w:szCs w:val="28"/>
        </w:rPr>
      </w:r>
    </w:p>
    <w:p>
      <w:pPr>
        <w:spacing w:line="357" w:lineRule="auto" w:before="41"/>
        <w:ind w:left="218" w:right="250" w:firstLine="559"/>
        <w:jc w:val="both"/>
        <w:rPr>
          <w:rFonts w:ascii="宋体" w:hAnsi="宋体" w:cs="宋体" w:eastAsia="宋体" w:hint="default"/>
          <w:sz w:val="28"/>
          <w:szCs w:val="28"/>
        </w:rPr>
      </w:pPr>
      <w:r>
        <w:rPr>
          <w:rFonts w:ascii="宋体" w:hAnsi="宋体" w:cs="宋体" w:eastAsia="宋体" w:hint="default"/>
          <w:spacing w:val="-6"/>
          <w:sz w:val="28"/>
          <w:szCs w:val="28"/>
        </w:rPr>
        <w:t>未来随着能源转型的加速推进，以及“云大物移智”等新技术的不断</w:t>
      </w:r>
      <w:r>
        <w:rPr>
          <w:rFonts w:ascii="宋体" w:hAnsi="宋体" w:cs="宋体" w:eastAsia="宋体" w:hint="default"/>
          <w:w w:val="100"/>
          <w:sz w:val="28"/>
          <w:szCs w:val="28"/>
        </w:rPr>
        <w:t> </w:t>
      </w:r>
      <w:r>
        <w:rPr>
          <w:rFonts w:ascii="宋体" w:hAnsi="宋体" w:cs="宋体" w:eastAsia="宋体" w:hint="default"/>
          <w:spacing w:val="-5"/>
          <w:sz w:val="28"/>
          <w:szCs w:val="28"/>
        </w:rPr>
        <w:t>成熟应用，智能电网将和多种分布式能源融合，推动能源领域朝更高效的</w:t>
      </w:r>
      <w:r>
        <w:rPr>
          <w:rFonts w:ascii="宋体" w:hAnsi="宋体" w:cs="宋体" w:eastAsia="宋体" w:hint="default"/>
          <w:spacing w:val="-114"/>
          <w:sz w:val="28"/>
          <w:szCs w:val="28"/>
        </w:rPr>
        <w:t> </w:t>
      </w:r>
      <w:r>
        <w:rPr>
          <w:rFonts w:ascii="宋体" w:hAnsi="宋体" w:cs="宋体" w:eastAsia="宋体" w:hint="default"/>
          <w:spacing w:val="-114"/>
          <w:sz w:val="28"/>
          <w:szCs w:val="28"/>
        </w:rPr>
      </w:r>
      <w:r>
        <w:rPr>
          <w:rFonts w:ascii="宋体" w:hAnsi="宋体" w:cs="宋体" w:eastAsia="宋体" w:hint="default"/>
          <w:spacing w:val="-5"/>
          <w:sz w:val="28"/>
          <w:szCs w:val="28"/>
        </w:rPr>
        <w:t>方向发展。一方面，我们将持续围绕云计算、大数据、物联网等领域，积</w:t>
      </w:r>
      <w:r>
        <w:rPr>
          <w:rFonts w:ascii="宋体" w:hAnsi="宋体" w:cs="宋体" w:eastAsia="宋体" w:hint="default"/>
          <w:spacing w:val="-110"/>
          <w:sz w:val="28"/>
          <w:szCs w:val="28"/>
        </w:rPr>
        <w:t> </w:t>
      </w:r>
      <w:r>
        <w:rPr>
          <w:rFonts w:ascii="宋体" w:hAnsi="宋体" w:cs="宋体" w:eastAsia="宋体" w:hint="default"/>
          <w:spacing w:val="-110"/>
          <w:sz w:val="28"/>
          <w:szCs w:val="28"/>
        </w:rPr>
      </w:r>
      <w:r>
        <w:rPr>
          <w:rFonts w:ascii="宋体" w:hAnsi="宋体" w:cs="宋体" w:eastAsia="宋体" w:hint="default"/>
          <w:spacing w:val="-5"/>
          <w:sz w:val="28"/>
          <w:szCs w:val="28"/>
        </w:rPr>
        <w:t>极拓展新型智能电表、配用电终端及海外</w:t>
      </w:r>
      <w:r>
        <w:rPr>
          <w:rFonts w:ascii="宋体" w:hAnsi="宋体" w:cs="宋体" w:eastAsia="宋体" w:hint="default"/>
          <w:spacing w:val="-50"/>
          <w:sz w:val="28"/>
          <w:szCs w:val="28"/>
        </w:rPr>
        <w:t> </w:t>
      </w:r>
      <w:r>
        <w:rPr>
          <w:rFonts w:ascii="宋体" w:hAnsi="宋体" w:cs="宋体" w:eastAsia="宋体" w:hint="default"/>
          <w:sz w:val="28"/>
          <w:szCs w:val="28"/>
        </w:rPr>
        <w:t>AMI</w:t>
      </w:r>
      <w:r>
        <w:rPr>
          <w:rFonts w:ascii="宋体" w:hAnsi="宋体" w:cs="宋体" w:eastAsia="宋体" w:hint="default"/>
          <w:spacing w:val="-54"/>
          <w:sz w:val="28"/>
          <w:szCs w:val="28"/>
        </w:rPr>
        <w:t> </w:t>
      </w:r>
      <w:r>
        <w:rPr>
          <w:rFonts w:ascii="宋体" w:hAnsi="宋体" w:cs="宋体" w:eastAsia="宋体" w:hint="default"/>
          <w:spacing w:val="-7"/>
          <w:sz w:val="28"/>
          <w:szCs w:val="28"/>
        </w:rPr>
        <w:t>系统解决方案，不断培育新</w:t>
      </w:r>
      <w:r>
        <w:rPr>
          <w:rFonts w:ascii="宋体" w:hAnsi="宋体" w:cs="宋体" w:eastAsia="宋体" w:hint="default"/>
          <w:spacing w:val="-136"/>
          <w:sz w:val="28"/>
          <w:szCs w:val="28"/>
        </w:rPr>
        <w:t> </w:t>
      </w:r>
      <w:r>
        <w:rPr>
          <w:rFonts w:ascii="宋体" w:hAnsi="宋体" w:cs="宋体" w:eastAsia="宋体" w:hint="default"/>
          <w:spacing w:val="-136"/>
          <w:sz w:val="28"/>
          <w:szCs w:val="28"/>
        </w:rPr>
      </w:r>
      <w:r>
        <w:rPr>
          <w:rFonts w:ascii="宋体" w:hAnsi="宋体" w:cs="宋体" w:eastAsia="宋体" w:hint="default"/>
          <w:spacing w:val="-5"/>
          <w:sz w:val="28"/>
          <w:szCs w:val="28"/>
        </w:rPr>
        <w:t>业态。另一方面，我们将紧跟新能源行业发展趋势，加快提升光伏平价电</w:t>
      </w:r>
      <w:r>
        <w:rPr>
          <w:rFonts w:ascii="宋体" w:hAnsi="宋体" w:cs="宋体" w:eastAsia="宋体" w:hint="default"/>
          <w:spacing w:val="-111"/>
          <w:sz w:val="28"/>
          <w:szCs w:val="28"/>
        </w:rPr>
        <w:t> </w:t>
      </w:r>
      <w:r>
        <w:rPr>
          <w:rFonts w:ascii="宋体" w:hAnsi="宋体" w:cs="宋体" w:eastAsia="宋体" w:hint="default"/>
          <w:spacing w:val="-111"/>
          <w:sz w:val="28"/>
          <w:szCs w:val="28"/>
        </w:rPr>
      </w:r>
      <w:r>
        <w:rPr>
          <w:rFonts w:ascii="宋体" w:hAnsi="宋体" w:cs="宋体" w:eastAsia="宋体" w:hint="default"/>
          <w:sz w:val="28"/>
          <w:szCs w:val="28"/>
        </w:rPr>
        <w:t>站的开发及运营规模，规划到</w:t>
      </w:r>
      <w:r>
        <w:rPr>
          <w:rFonts w:ascii="宋体" w:hAnsi="宋体" w:cs="宋体" w:eastAsia="宋体" w:hint="default"/>
          <w:spacing w:val="-73"/>
          <w:sz w:val="28"/>
          <w:szCs w:val="28"/>
        </w:rPr>
        <w:t> </w:t>
      </w:r>
      <w:r>
        <w:rPr>
          <w:rFonts w:ascii="宋体" w:hAnsi="宋体" w:cs="宋体" w:eastAsia="宋体" w:hint="default"/>
          <w:sz w:val="28"/>
          <w:szCs w:val="28"/>
        </w:rPr>
        <w:t>2022</w:t>
      </w:r>
      <w:r>
        <w:rPr>
          <w:rFonts w:ascii="宋体" w:hAnsi="宋体" w:cs="宋体" w:eastAsia="宋体" w:hint="default"/>
          <w:spacing w:val="-71"/>
          <w:sz w:val="28"/>
          <w:szCs w:val="28"/>
        </w:rPr>
        <w:t> </w:t>
      </w:r>
      <w:r>
        <w:rPr>
          <w:rFonts w:ascii="宋体" w:hAnsi="宋体" w:cs="宋体" w:eastAsia="宋体" w:hint="default"/>
          <w:sz w:val="28"/>
          <w:szCs w:val="28"/>
        </w:rPr>
        <w:t>年底电站运营规模达到</w:t>
      </w:r>
      <w:r>
        <w:rPr>
          <w:rFonts w:ascii="宋体" w:hAnsi="宋体" w:cs="宋体" w:eastAsia="宋体" w:hint="default"/>
          <w:spacing w:val="-72"/>
          <w:sz w:val="28"/>
          <w:szCs w:val="28"/>
        </w:rPr>
        <w:t> </w:t>
      </w:r>
      <w:r>
        <w:rPr>
          <w:rFonts w:ascii="宋体" w:hAnsi="宋体" w:cs="宋体" w:eastAsia="宋体" w:hint="default"/>
          <w:sz w:val="28"/>
          <w:szCs w:val="28"/>
        </w:rPr>
        <w:t>3-5GW</w:t>
      </w:r>
      <w:r>
        <w:rPr>
          <w:rFonts w:ascii="宋体" w:hAnsi="宋体" w:cs="宋体" w:eastAsia="宋体" w:hint="default"/>
          <w:sz w:val="28"/>
          <w:szCs w:val="28"/>
        </w:rPr>
        <w:t>，同时</w:t>
      </w:r>
      <w:r>
        <w:rPr>
          <w:rFonts w:ascii="宋体" w:hAnsi="宋体" w:cs="宋体" w:eastAsia="宋体" w:hint="default"/>
          <w:w w:val="100"/>
          <w:sz w:val="28"/>
          <w:szCs w:val="28"/>
        </w:rPr>
        <w:t> </w:t>
      </w:r>
      <w:r>
        <w:rPr>
          <w:rFonts w:ascii="宋体" w:hAnsi="宋体" w:cs="宋体" w:eastAsia="宋体" w:hint="default"/>
          <w:spacing w:val="-5"/>
          <w:w w:val="100"/>
          <w:sz w:val="28"/>
          <w:szCs w:val="28"/>
        </w:rPr>
        <w:t>对现有存量市场机会做更多思考和实践。在光伏存量资产规模不断增长的</w:t>
      </w:r>
    </w:p>
    <w:p>
      <w:pPr>
        <w:spacing w:after="0" w:line="357" w:lineRule="auto"/>
        <w:jc w:val="both"/>
        <w:rPr>
          <w:rFonts w:ascii="宋体" w:hAnsi="宋体" w:cs="宋体" w:eastAsia="宋体" w:hint="default"/>
          <w:sz w:val="28"/>
          <w:szCs w:val="28"/>
        </w:rPr>
        <w:sectPr>
          <w:pgSz w:w="11910" w:h="16840"/>
          <w:pgMar w:header="747" w:footer="974" w:top="1140" w:bottom="1160" w:left="1580" w:right="1020"/>
        </w:sectPr>
      </w:pPr>
    </w:p>
    <w:p>
      <w:pPr>
        <w:spacing w:line="240" w:lineRule="auto" w:before="7"/>
        <w:rPr>
          <w:rFonts w:ascii="宋体" w:hAnsi="宋体" w:cs="宋体" w:eastAsia="宋体" w:hint="default"/>
          <w:sz w:val="24"/>
          <w:szCs w:val="24"/>
        </w:rPr>
      </w:pPr>
    </w:p>
    <w:p>
      <w:pPr>
        <w:spacing w:line="357" w:lineRule="auto" w:before="14"/>
        <w:ind w:left="218" w:right="250" w:firstLine="0"/>
        <w:jc w:val="both"/>
        <w:rPr>
          <w:rFonts w:ascii="宋体" w:hAnsi="宋体" w:cs="宋体" w:eastAsia="宋体" w:hint="default"/>
          <w:sz w:val="28"/>
          <w:szCs w:val="28"/>
        </w:rPr>
      </w:pPr>
      <w:r>
        <w:rPr>
          <w:rFonts w:ascii="宋体" w:hAnsi="宋体" w:cs="宋体" w:eastAsia="宋体" w:hint="default"/>
          <w:spacing w:val="-5"/>
          <w:sz w:val="28"/>
          <w:szCs w:val="28"/>
        </w:rPr>
        <w:t>大背景下，依托光伏智能化运维的平台和技术，为客户提供一站式智慧运</w:t>
      </w:r>
      <w:r>
        <w:rPr>
          <w:rFonts w:ascii="宋体" w:hAnsi="宋体" w:cs="宋体" w:eastAsia="宋体" w:hint="default"/>
          <w:spacing w:val="-115"/>
          <w:sz w:val="28"/>
          <w:szCs w:val="28"/>
        </w:rPr>
        <w:t> </w:t>
      </w:r>
      <w:r>
        <w:rPr>
          <w:rFonts w:ascii="宋体" w:hAnsi="宋体" w:cs="宋体" w:eastAsia="宋体" w:hint="default"/>
          <w:spacing w:val="-115"/>
          <w:sz w:val="28"/>
          <w:szCs w:val="28"/>
        </w:rPr>
      </w:r>
      <w:r>
        <w:rPr>
          <w:rFonts w:ascii="宋体" w:hAnsi="宋体" w:cs="宋体" w:eastAsia="宋体" w:hint="default"/>
          <w:spacing w:val="-5"/>
          <w:sz w:val="28"/>
          <w:szCs w:val="28"/>
        </w:rPr>
        <w:t>维服务，通过实现电站线上云端互联、实时监测，降低运行维护成本，配</w:t>
      </w:r>
      <w:r>
        <w:rPr>
          <w:rFonts w:ascii="宋体" w:hAnsi="宋体" w:cs="宋体" w:eastAsia="宋体" w:hint="default"/>
          <w:spacing w:val="-114"/>
          <w:sz w:val="28"/>
          <w:szCs w:val="28"/>
        </w:rPr>
        <w:t> </w:t>
      </w:r>
      <w:r>
        <w:rPr>
          <w:rFonts w:ascii="宋体" w:hAnsi="宋体" w:cs="宋体" w:eastAsia="宋体" w:hint="default"/>
          <w:spacing w:val="-114"/>
          <w:sz w:val="28"/>
          <w:szCs w:val="28"/>
        </w:rPr>
      </w:r>
      <w:r>
        <w:rPr>
          <w:rFonts w:ascii="宋体" w:hAnsi="宋体" w:cs="宋体" w:eastAsia="宋体" w:hint="default"/>
          <w:spacing w:val="-5"/>
          <w:sz w:val="28"/>
          <w:szCs w:val="28"/>
        </w:rPr>
        <w:t>合线下运维，有效提高电站发电效率，同时深入挖掘资产数据价值，推动</w:t>
      </w:r>
      <w:r>
        <w:rPr>
          <w:rFonts w:ascii="宋体" w:hAnsi="宋体" w:cs="宋体" w:eastAsia="宋体" w:hint="default"/>
          <w:spacing w:val="-111"/>
          <w:sz w:val="28"/>
          <w:szCs w:val="28"/>
        </w:rPr>
        <w:t> </w:t>
      </w:r>
      <w:r>
        <w:rPr>
          <w:rFonts w:ascii="宋体" w:hAnsi="宋体" w:cs="宋体" w:eastAsia="宋体" w:hint="default"/>
          <w:spacing w:val="-111"/>
          <w:sz w:val="28"/>
          <w:szCs w:val="28"/>
        </w:rPr>
      </w:r>
      <w:r>
        <w:rPr>
          <w:rFonts w:ascii="宋体" w:hAnsi="宋体" w:cs="宋体" w:eastAsia="宋体" w:hint="default"/>
          <w:sz w:val="28"/>
          <w:szCs w:val="28"/>
        </w:rPr>
        <w:t>存量资产保值增值，带动产业创新发展。</w:t>
      </w:r>
      <w:r>
        <w:rPr>
          <w:rFonts w:ascii="宋体" w:hAnsi="宋体" w:cs="宋体" w:eastAsia="宋体" w:hint="default"/>
          <w:sz w:val="28"/>
          <w:szCs w:val="28"/>
        </w:rPr>
        <w:t> </w:t>
      </w:r>
    </w:p>
    <w:p>
      <w:pPr>
        <w:spacing w:line="357" w:lineRule="auto" w:before="41"/>
        <w:ind w:left="218" w:right="28" w:firstLine="559"/>
        <w:jc w:val="left"/>
        <w:rPr>
          <w:rFonts w:ascii="宋体" w:hAnsi="宋体" w:cs="宋体" w:eastAsia="宋体" w:hint="default"/>
          <w:sz w:val="28"/>
          <w:szCs w:val="28"/>
        </w:rPr>
      </w:pPr>
      <w:r>
        <w:rPr>
          <w:rFonts w:ascii="宋体" w:hAnsi="宋体" w:cs="宋体" w:eastAsia="宋体" w:hint="default"/>
          <w:spacing w:val="-6"/>
          <w:sz w:val="28"/>
          <w:szCs w:val="28"/>
        </w:rPr>
        <w:t>外部环境不断变化，但我们聚焦电力新能源，布局未来全球化、高质</w:t>
      </w:r>
      <w:r>
        <w:rPr>
          <w:rFonts w:ascii="宋体" w:hAnsi="宋体" w:cs="宋体" w:eastAsia="宋体" w:hint="default"/>
          <w:w w:val="100"/>
          <w:sz w:val="28"/>
          <w:szCs w:val="28"/>
        </w:rPr>
        <w:t> </w:t>
      </w:r>
      <w:r>
        <w:rPr>
          <w:rFonts w:ascii="宋体" w:hAnsi="宋体" w:cs="宋体" w:eastAsia="宋体" w:hint="default"/>
          <w:spacing w:val="-1"/>
          <w:sz w:val="28"/>
          <w:szCs w:val="28"/>
        </w:rPr>
        <w:t>量发展的决心不变；我们持续推进科技创新，谋求价值发展的恒心不变；</w:t>
      </w:r>
      <w:r>
        <w:rPr>
          <w:rFonts w:ascii="宋体" w:hAnsi="宋体" w:cs="宋体" w:eastAsia="宋体" w:hint="default"/>
          <w:spacing w:val="-104"/>
          <w:sz w:val="28"/>
          <w:szCs w:val="28"/>
        </w:rPr>
        <w:t> </w:t>
      </w:r>
      <w:r>
        <w:rPr>
          <w:rFonts w:ascii="宋体" w:hAnsi="宋体" w:cs="宋体" w:eastAsia="宋体" w:hint="default"/>
          <w:spacing w:val="-104"/>
          <w:sz w:val="28"/>
          <w:szCs w:val="28"/>
        </w:rPr>
      </w:r>
      <w:r>
        <w:rPr>
          <w:rFonts w:ascii="宋体" w:hAnsi="宋体" w:cs="宋体" w:eastAsia="宋体" w:hint="default"/>
          <w:spacing w:val="-5"/>
          <w:sz w:val="28"/>
          <w:szCs w:val="28"/>
        </w:rPr>
        <w:t>我们服务客户、回报股东、回馈社会的初心不变。林洋人愿意与各位股东</w:t>
      </w:r>
      <w:r>
        <w:rPr>
          <w:rFonts w:ascii="宋体" w:hAnsi="宋体" w:cs="宋体" w:eastAsia="宋体" w:hint="default"/>
          <w:spacing w:val="-111"/>
          <w:sz w:val="28"/>
          <w:szCs w:val="28"/>
        </w:rPr>
        <w:t> </w:t>
      </w:r>
      <w:r>
        <w:rPr>
          <w:rFonts w:ascii="宋体" w:hAnsi="宋体" w:cs="宋体" w:eastAsia="宋体" w:hint="default"/>
          <w:spacing w:val="-111"/>
          <w:sz w:val="28"/>
          <w:szCs w:val="28"/>
        </w:rPr>
      </w:r>
      <w:r>
        <w:rPr>
          <w:rFonts w:ascii="宋体" w:hAnsi="宋体" w:cs="宋体" w:eastAsia="宋体" w:hint="default"/>
          <w:sz w:val="28"/>
          <w:szCs w:val="28"/>
        </w:rPr>
        <w:t>一起在不确定中寻找确定，共同迎接电力新能源市场无限的未来！</w:t>
      </w:r>
      <w:r>
        <w:rPr>
          <w:rFonts w:ascii="宋体" w:hAnsi="宋体" w:cs="宋体" w:eastAsia="宋体" w:hint="default"/>
          <w:sz w:val="28"/>
          <w:szCs w:val="28"/>
        </w:rPr>
        <w:t> </w:t>
      </w:r>
    </w:p>
    <w:p>
      <w:pPr>
        <w:spacing w:line="357" w:lineRule="auto" w:before="41"/>
        <w:ind w:left="3732" w:right="112" w:firstLine="5319"/>
        <w:jc w:val="right"/>
        <w:rPr>
          <w:rFonts w:ascii="宋体" w:hAnsi="宋体" w:cs="宋体" w:eastAsia="宋体" w:hint="default"/>
          <w:sz w:val="28"/>
          <w:szCs w:val="28"/>
        </w:rPr>
      </w:pPr>
      <w:r>
        <w:rPr>
          <w:rFonts w:ascii="宋体" w:hAnsi="宋体" w:cs="宋体" w:eastAsia="宋体" w:hint="default"/>
          <w:w w:val="100"/>
          <w:sz w:val="28"/>
          <w:szCs w:val="28"/>
        </w:rPr>
        <w:t> </w:t>
      </w:r>
      <w:r>
        <w:rPr>
          <w:rFonts w:ascii="宋体" w:hAnsi="宋体" w:cs="宋体" w:eastAsia="宋体" w:hint="default"/>
          <w:w w:val="100"/>
          <w:sz w:val="28"/>
          <w:szCs w:val="28"/>
        </w:rPr>
        <w:t>江苏林</w:t>
      </w:r>
      <w:r>
        <w:rPr>
          <w:rFonts w:ascii="宋体" w:hAnsi="宋体" w:cs="宋体" w:eastAsia="宋体" w:hint="default"/>
          <w:spacing w:val="-3"/>
          <w:w w:val="100"/>
          <w:sz w:val="28"/>
          <w:szCs w:val="28"/>
        </w:rPr>
        <w:t>洋</w:t>
      </w:r>
      <w:r>
        <w:rPr>
          <w:rFonts w:ascii="宋体" w:hAnsi="宋体" w:cs="宋体" w:eastAsia="宋体" w:hint="default"/>
          <w:w w:val="100"/>
          <w:sz w:val="28"/>
          <w:szCs w:val="28"/>
        </w:rPr>
        <w:t>能源</w:t>
      </w:r>
      <w:r>
        <w:rPr>
          <w:rFonts w:ascii="宋体" w:hAnsi="宋体" w:cs="宋体" w:eastAsia="宋体" w:hint="default"/>
          <w:spacing w:val="-3"/>
          <w:w w:val="100"/>
          <w:sz w:val="28"/>
          <w:szCs w:val="28"/>
        </w:rPr>
        <w:t>股份</w:t>
      </w:r>
      <w:r>
        <w:rPr>
          <w:rFonts w:ascii="宋体" w:hAnsi="宋体" w:cs="宋体" w:eastAsia="宋体" w:hint="default"/>
          <w:w w:val="100"/>
          <w:sz w:val="28"/>
          <w:szCs w:val="28"/>
        </w:rPr>
        <w:t>有限公</w:t>
      </w:r>
      <w:r>
        <w:rPr>
          <w:rFonts w:ascii="宋体" w:hAnsi="宋体" w:cs="宋体" w:eastAsia="宋体" w:hint="default"/>
          <w:spacing w:val="-3"/>
          <w:w w:val="100"/>
          <w:sz w:val="28"/>
          <w:szCs w:val="28"/>
        </w:rPr>
        <w:t>司</w:t>
      </w:r>
      <w:r>
        <w:rPr>
          <w:rFonts w:ascii="宋体" w:hAnsi="宋体" w:cs="宋体" w:eastAsia="宋体" w:hint="default"/>
          <w:w w:val="100"/>
          <w:sz w:val="28"/>
          <w:szCs w:val="28"/>
        </w:rPr>
        <w:t>董事</w:t>
      </w:r>
      <w:r>
        <w:rPr>
          <w:rFonts w:ascii="宋体" w:hAnsi="宋体" w:cs="宋体" w:eastAsia="宋体" w:hint="default"/>
          <w:spacing w:val="-1"/>
          <w:w w:val="100"/>
          <w:sz w:val="28"/>
          <w:szCs w:val="28"/>
        </w:rPr>
        <w:t>长</w:t>
      </w:r>
      <w:r>
        <w:rPr>
          <w:rFonts w:ascii="宋体" w:hAnsi="宋体" w:cs="宋体" w:eastAsia="宋体" w:hint="default"/>
          <w:spacing w:val="-2"/>
          <w:w w:val="100"/>
          <w:sz w:val="28"/>
          <w:szCs w:val="28"/>
        </w:rPr>
        <w:t>  </w:t>
      </w:r>
      <w:r>
        <w:rPr>
          <w:rFonts w:ascii="宋体" w:hAnsi="宋体" w:cs="宋体" w:eastAsia="宋体" w:hint="default"/>
          <w:w w:val="100"/>
          <w:sz w:val="28"/>
          <w:szCs w:val="28"/>
        </w:rPr>
        <w:t>陆永</w:t>
      </w:r>
      <w:r>
        <w:rPr>
          <w:rFonts w:ascii="宋体" w:hAnsi="宋体" w:cs="宋体" w:eastAsia="宋体" w:hint="default"/>
          <w:spacing w:val="-3"/>
          <w:w w:val="100"/>
          <w:sz w:val="28"/>
          <w:szCs w:val="28"/>
        </w:rPr>
        <w:t>华</w:t>
      </w:r>
      <w:r>
        <w:rPr>
          <w:rFonts w:ascii="宋体" w:hAnsi="宋体" w:cs="宋体" w:eastAsia="宋体" w:hint="default"/>
          <w:w w:val="100"/>
          <w:sz w:val="28"/>
          <w:szCs w:val="28"/>
        </w:rPr>
        <w:t> </w:t>
      </w:r>
    </w:p>
    <w:p>
      <w:pPr>
        <w:spacing w:before="41"/>
        <w:ind w:left="0" w:right="112" w:firstLine="0"/>
        <w:jc w:val="right"/>
        <w:rPr>
          <w:rFonts w:ascii="宋体" w:hAnsi="宋体" w:cs="宋体" w:eastAsia="宋体" w:hint="default"/>
          <w:sz w:val="28"/>
          <w:szCs w:val="28"/>
        </w:rPr>
      </w:pPr>
      <w:r>
        <w:rPr>
          <w:rFonts w:ascii="宋体" w:hAnsi="宋体" w:cs="宋体" w:eastAsia="宋体" w:hint="default"/>
          <w:sz w:val="28"/>
          <w:szCs w:val="28"/>
        </w:rPr>
        <w:t>2020</w:t>
      </w:r>
      <w:r>
        <w:rPr>
          <w:rFonts w:ascii="宋体" w:hAnsi="宋体" w:cs="宋体" w:eastAsia="宋体" w:hint="default"/>
          <w:spacing w:val="-71"/>
          <w:sz w:val="28"/>
          <w:szCs w:val="28"/>
        </w:rPr>
        <w:t> </w:t>
      </w:r>
      <w:r>
        <w:rPr>
          <w:rFonts w:ascii="宋体" w:hAnsi="宋体" w:cs="宋体" w:eastAsia="宋体" w:hint="default"/>
          <w:sz w:val="28"/>
          <w:szCs w:val="28"/>
        </w:rPr>
        <w:t>年</w:t>
      </w:r>
      <w:r>
        <w:rPr>
          <w:rFonts w:ascii="宋体" w:hAnsi="宋体" w:cs="宋体" w:eastAsia="宋体" w:hint="default"/>
          <w:spacing w:val="-71"/>
          <w:sz w:val="28"/>
          <w:szCs w:val="28"/>
        </w:rPr>
        <w:t> </w:t>
      </w:r>
      <w:r>
        <w:rPr>
          <w:rFonts w:ascii="宋体" w:hAnsi="宋体" w:cs="宋体" w:eastAsia="宋体" w:hint="default"/>
          <w:sz w:val="28"/>
          <w:szCs w:val="28"/>
        </w:rPr>
        <w:t>4</w:t>
      </w:r>
      <w:r>
        <w:rPr>
          <w:rFonts w:ascii="宋体" w:hAnsi="宋体" w:cs="宋体" w:eastAsia="宋体" w:hint="default"/>
          <w:spacing w:val="-70"/>
          <w:sz w:val="28"/>
          <w:szCs w:val="28"/>
        </w:rPr>
        <w:t> </w:t>
      </w:r>
      <w:r>
        <w:rPr>
          <w:rFonts w:ascii="宋体" w:hAnsi="宋体" w:cs="宋体" w:eastAsia="宋体" w:hint="default"/>
          <w:sz w:val="28"/>
          <w:szCs w:val="28"/>
        </w:rPr>
        <w:t>月</w:t>
      </w:r>
      <w:r>
        <w:rPr>
          <w:rFonts w:ascii="宋体" w:hAnsi="宋体" w:cs="宋体" w:eastAsia="宋体" w:hint="default"/>
          <w:spacing w:val="-73"/>
          <w:sz w:val="28"/>
          <w:szCs w:val="28"/>
        </w:rPr>
        <w:t> </w:t>
      </w:r>
      <w:r>
        <w:rPr>
          <w:rFonts w:ascii="宋体" w:hAnsi="宋体" w:cs="宋体" w:eastAsia="宋体" w:hint="default"/>
          <w:sz w:val="28"/>
          <w:szCs w:val="28"/>
        </w:rPr>
        <w:t>25</w:t>
      </w:r>
      <w:r>
        <w:rPr>
          <w:rFonts w:ascii="宋体" w:hAnsi="宋体" w:cs="宋体" w:eastAsia="宋体" w:hint="default"/>
          <w:spacing w:val="-72"/>
          <w:sz w:val="28"/>
          <w:szCs w:val="28"/>
        </w:rPr>
        <w:t> </w:t>
      </w:r>
      <w:r>
        <w:rPr>
          <w:rFonts w:ascii="宋体" w:hAnsi="宋体" w:cs="宋体" w:eastAsia="宋体" w:hint="default"/>
          <w:spacing w:val="-3"/>
          <w:sz w:val="28"/>
          <w:szCs w:val="28"/>
        </w:rPr>
        <w:t>日</w:t>
      </w:r>
      <w:r>
        <w:rPr>
          <w:rFonts w:ascii="宋体" w:hAnsi="宋体" w:cs="宋体" w:eastAsia="宋体" w:hint="default"/>
          <w:sz w:val="28"/>
          <w:szCs w:val="28"/>
        </w:rPr>
        <w:t> </w:t>
      </w:r>
    </w:p>
    <w:p>
      <w:pPr>
        <w:spacing w:line="240" w:lineRule="auto" w:before="4"/>
        <w:rPr>
          <w:rFonts w:ascii="宋体" w:hAnsi="宋体" w:cs="宋体" w:eastAsia="宋体" w:hint="default"/>
          <w:sz w:val="12"/>
          <w:szCs w:val="12"/>
        </w:rPr>
      </w:pPr>
    </w:p>
    <w:p>
      <w:pPr>
        <w:pStyle w:val="Heading2"/>
        <w:spacing w:line="240" w:lineRule="auto" w:before="26"/>
        <w:ind w:right="0"/>
        <w:jc w:val="left"/>
        <w:rPr>
          <w:rFonts w:ascii="宋体" w:hAnsi="宋体" w:cs="宋体" w:eastAsia="宋体" w:hint="default"/>
        </w:rPr>
      </w:pPr>
      <w:r>
        <w:rPr>
          <w:rFonts w:ascii="宋体"/>
        </w:rPr>
        <w:t> </w:t>
      </w:r>
    </w:p>
    <w:p>
      <w:pPr>
        <w:spacing w:after="0" w:line="240" w:lineRule="auto"/>
        <w:jc w:val="left"/>
        <w:rPr>
          <w:rFonts w:ascii="宋体" w:hAnsi="宋体" w:cs="宋体" w:eastAsia="宋体" w:hint="default"/>
        </w:rPr>
        <w:sectPr>
          <w:pgSz w:w="11910" w:h="16840"/>
          <w:pgMar w:header="747" w:footer="974" w:top="1140" w:bottom="1160" w:left="1580" w:right="10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6"/>
          <w:szCs w:val="26"/>
        </w:rPr>
      </w:pPr>
    </w:p>
    <w:p>
      <w:pPr>
        <w:spacing w:before="14"/>
        <w:ind w:left="2774" w:right="2774" w:firstLine="0"/>
        <w:jc w:val="center"/>
        <w:rPr>
          <w:rFonts w:ascii="黑体" w:hAnsi="黑体" w:cs="黑体" w:eastAsia="黑体" w:hint="default"/>
          <w:sz w:val="28"/>
          <w:szCs w:val="28"/>
        </w:rPr>
      </w:pPr>
      <w:r>
        <w:rPr>
          <w:rFonts w:ascii="黑体" w:hAnsi="黑体" w:cs="黑体" w:eastAsia="黑体" w:hint="default"/>
          <w:b/>
          <w:bCs/>
          <w:sz w:val="28"/>
          <w:szCs w:val="28"/>
        </w:rPr>
        <w:t>重要提示</w:t>
      </w:r>
      <w:r>
        <w:rPr>
          <w:rFonts w:ascii="黑体" w:hAnsi="黑体" w:cs="黑体" w:eastAsia="黑体" w:hint="default"/>
          <w:sz w:val="28"/>
          <w:szCs w:val="28"/>
        </w:rPr>
      </w:r>
    </w:p>
    <w:p>
      <w:pPr>
        <w:spacing w:line="240" w:lineRule="auto" w:before="3"/>
        <w:rPr>
          <w:rFonts w:ascii="黑体" w:hAnsi="黑体" w:cs="黑体" w:eastAsia="黑体" w:hint="default"/>
          <w:b/>
          <w:bCs/>
          <w:sz w:val="22"/>
          <w:szCs w:val="22"/>
        </w:rPr>
      </w:pPr>
    </w:p>
    <w:p>
      <w:pPr>
        <w:pStyle w:val="Heading3"/>
        <w:spacing w:line="355" w:lineRule="auto" w:before="0"/>
        <w:ind w:left="638" w:right="0" w:hanging="420"/>
        <w:jc w:val="left"/>
        <w:rPr>
          <w:b w:val="0"/>
          <w:bCs w:val="0"/>
        </w:rPr>
      </w:pPr>
      <w:r>
        <w:rPr/>
        <w:t>一、</w:t>
      </w:r>
      <w:r>
        <w:rPr>
          <w:spacing w:val="-76"/>
        </w:rPr>
        <w:t> </w:t>
      </w:r>
      <w:r>
        <w:rPr>
          <w:rFonts w:ascii="宋体" w:hAnsi="宋体" w:cs="宋体" w:eastAsia="宋体" w:hint="default"/>
          <w:spacing w:val="-76"/>
        </w:rPr>
      </w:r>
      <w:r>
        <w:rPr>
          <w:spacing w:val="-7"/>
        </w:rPr>
        <w:t>本公司董事会、监事会及董事、监事、高级管理人员保证年度报告内容的真实、准确、完整，</w:t>
      </w:r>
      <w:r>
        <w:rPr>
          <w:spacing w:val="-86"/>
        </w:rPr>
        <w:t> </w:t>
      </w:r>
      <w:r>
        <w:rPr>
          <w:spacing w:val="-86"/>
        </w:rPr>
      </w:r>
      <w:r>
        <w:rPr/>
        <w:t>不存在虚假记载、误导性陈述或重大遗漏，并承担个别和连带的法律责任。</w:t>
      </w:r>
      <w:r>
        <w:rPr>
          <w:b w:val="0"/>
          <w:bCs w:val="0"/>
        </w:rPr>
      </w:r>
    </w:p>
    <w:p>
      <w:pPr>
        <w:pStyle w:val="Heading2"/>
        <w:spacing w:line="240" w:lineRule="auto" w:before="26"/>
        <w:ind w:right="0"/>
        <w:jc w:val="left"/>
        <w:rPr>
          <w:rFonts w:ascii="宋体" w:hAnsi="宋体" w:cs="宋体" w:eastAsia="宋体" w:hint="default"/>
        </w:rPr>
      </w:pPr>
      <w:r>
        <w:rPr>
          <w:rFonts w:ascii="宋体"/>
        </w:rPr>
        <w:t> </w:t>
      </w:r>
    </w:p>
    <w:p>
      <w:pPr>
        <w:pStyle w:val="Heading3"/>
        <w:spacing w:line="240" w:lineRule="auto" w:before="4"/>
        <w:ind w:right="0"/>
        <w:jc w:val="left"/>
        <w:rPr>
          <w:b w:val="0"/>
          <w:bCs w:val="0"/>
        </w:rPr>
      </w:pPr>
      <w:r>
        <w:rPr/>
        <w:t>二、</w:t>
      </w:r>
      <w:r>
        <w:rPr>
          <w:spacing w:val="-82"/>
        </w:rPr>
        <w:t> </w:t>
      </w:r>
      <w:r>
        <w:rPr>
          <w:rFonts w:ascii="宋体" w:hAnsi="宋体" w:cs="宋体" w:eastAsia="宋体" w:hint="default"/>
          <w:spacing w:val="-82"/>
        </w:rPr>
      </w:r>
      <w:r>
        <w:rPr/>
        <w:t>公司全体董事出席董事会会议。</w:t>
      </w:r>
      <w:r>
        <w:rPr>
          <w:b w:val="0"/>
          <w:bCs w:val="0"/>
        </w:rPr>
      </w:r>
    </w:p>
    <w:p>
      <w:pPr>
        <w:pStyle w:val="BodyText"/>
        <w:spacing w:line="274" w:lineRule="exact" w:before="133"/>
        <w:ind w:right="0"/>
        <w:jc w:val="left"/>
        <w:rPr>
          <w:rFonts w:ascii="宋体" w:hAnsi="宋体" w:cs="宋体" w:eastAsia="宋体" w:hint="default"/>
        </w:rPr>
      </w:pPr>
      <w:r>
        <w:rPr>
          <w:rFonts w:ascii="宋体"/>
          <w:w w:val="100"/>
        </w:rPr>
        <w:t> </w:t>
      </w:r>
    </w:p>
    <w:p>
      <w:pPr>
        <w:pStyle w:val="Heading3"/>
        <w:spacing w:line="274" w:lineRule="exact" w:before="0"/>
        <w:ind w:right="0"/>
        <w:jc w:val="left"/>
        <w:rPr>
          <w:rFonts w:ascii="宋体" w:hAnsi="宋体" w:cs="宋体" w:eastAsia="宋体" w:hint="default"/>
          <w:b w:val="0"/>
          <w:bCs w:val="0"/>
        </w:rPr>
      </w:pPr>
      <w:r>
        <w:rPr/>
        <w:t>三、</w:t>
      </w:r>
      <w:r>
        <w:rPr>
          <w:spacing w:val="-15"/>
        </w:rPr>
        <w:t> </w:t>
      </w:r>
      <w:r>
        <w:rPr>
          <w:rFonts w:ascii="宋体" w:hAnsi="宋体" w:cs="宋体" w:eastAsia="宋体" w:hint="default"/>
          <w:spacing w:val="-15"/>
        </w:rPr>
      </w:r>
      <w:r>
        <w:rPr/>
        <w:t>立信会计师事务所（特殊普通合伙）为本公司出具了标准无保留意见的审计报告。</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133"/>
        <w:ind w:right="0"/>
        <w:jc w:val="left"/>
        <w:rPr>
          <w:rFonts w:ascii="宋体" w:hAnsi="宋体" w:cs="宋体" w:eastAsia="宋体" w:hint="default"/>
        </w:rPr>
      </w:pPr>
      <w:r>
        <w:rPr>
          <w:rFonts w:ascii="宋体"/>
          <w:w w:val="100"/>
        </w:rPr>
        <w:t> </w:t>
      </w:r>
    </w:p>
    <w:p>
      <w:pPr>
        <w:pStyle w:val="Heading3"/>
        <w:spacing w:line="357" w:lineRule="auto" w:before="0"/>
        <w:ind w:left="638" w:right="0" w:hanging="420"/>
        <w:jc w:val="left"/>
        <w:rPr>
          <w:rFonts w:ascii="宋体" w:hAnsi="宋体" w:cs="宋体" w:eastAsia="宋体" w:hint="default"/>
          <w:b w:val="0"/>
          <w:bCs w:val="0"/>
        </w:rPr>
      </w:pPr>
      <w:r>
        <w:rPr>
          <w:spacing w:val="-1"/>
        </w:rPr>
        <w:t>四、</w:t>
      </w:r>
      <w:r>
        <w:rPr>
          <w:spacing w:val="-74"/>
        </w:rPr>
        <w:t> </w:t>
      </w:r>
      <w:r>
        <w:rPr>
          <w:rFonts w:ascii="宋体" w:hAnsi="宋体" w:cs="宋体" w:eastAsia="宋体" w:hint="default"/>
          <w:spacing w:val="-74"/>
        </w:rPr>
      </w:r>
      <w:r>
        <w:rPr>
          <w:spacing w:val="-2"/>
        </w:rPr>
        <w:t>公司负责人陆永华、主管会计工作负责人虞海娟及会计机构负责人（会计主管人员）周辉声</w:t>
      </w:r>
      <w:r>
        <w:rPr>
          <w:spacing w:val="-81"/>
        </w:rPr>
        <w:t> </w:t>
      </w:r>
      <w:r>
        <w:rPr>
          <w:spacing w:val="-81"/>
        </w:rPr>
      </w:r>
      <w:r>
        <w:rPr/>
        <w:t>明：保证年度报告中财务报告的真实、准确、完整。</w:t>
      </w:r>
      <w:r>
        <w:rPr>
          <w:rFonts w:ascii="宋体" w:hAnsi="宋体" w:cs="宋体" w:eastAsia="宋体" w:hint="default"/>
          <w:w w:val="99"/>
        </w:rPr>
        <w:t> </w:t>
      </w:r>
      <w:r>
        <w:rPr>
          <w:rFonts w:ascii="宋体" w:hAnsi="宋体" w:cs="宋体" w:eastAsia="宋体" w:hint="default"/>
          <w:b w:val="0"/>
          <w:bCs w:val="0"/>
        </w:rPr>
      </w:r>
    </w:p>
    <w:p>
      <w:pPr>
        <w:pStyle w:val="Heading2"/>
        <w:spacing w:line="240" w:lineRule="auto" w:before="24"/>
        <w:ind w:right="0"/>
        <w:jc w:val="left"/>
        <w:rPr>
          <w:rFonts w:ascii="宋体" w:hAnsi="宋体" w:cs="宋体" w:eastAsia="宋体" w:hint="default"/>
        </w:rPr>
      </w:pPr>
      <w:r>
        <w:rPr>
          <w:rFonts w:ascii="宋体"/>
        </w:rPr>
        <w:t> </w:t>
      </w:r>
    </w:p>
    <w:p>
      <w:pPr>
        <w:pStyle w:val="Heading3"/>
        <w:spacing w:line="240" w:lineRule="auto" w:before="4"/>
        <w:ind w:right="0"/>
        <w:jc w:val="left"/>
        <w:rPr>
          <w:rFonts w:ascii="宋体" w:hAnsi="宋体" w:cs="宋体" w:eastAsia="宋体" w:hint="default"/>
          <w:b w:val="0"/>
          <w:bCs w:val="0"/>
          <w:sz w:val="24"/>
          <w:szCs w:val="24"/>
        </w:rPr>
      </w:pPr>
      <w:r>
        <w:rPr/>
        <w:t>五、</w:t>
      </w:r>
      <w:r>
        <w:rPr>
          <w:spacing w:val="-44"/>
        </w:rPr>
        <w:t> </w:t>
      </w:r>
      <w:r>
        <w:rPr>
          <w:rFonts w:ascii="宋体" w:hAnsi="宋体" w:cs="宋体" w:eastAsia="宋体" w:hint="default"/>
          <w:spacing w:val="-44"/>
        </w:rPr>
      </w:r>
      <w:r>
        <w:rPr/>
        <w:t>经董事会审议的报告期利润分配预案或公积金转增股本预案</w:t>
      </w:r>
      <w:r>
        <w:rPr>
          <w:rFonts w:ascii="宋体" w:hAnsi="宋体" w:cs="宋体" w:eastAsia="宋体" w:hint="default"/>
          <w:w w:val="99"/>
          <w:sz w:val="24"/>
          <w:szCs w:val="24"/>
        </w:rPr>
        <w:t> </w:t>
      </w:r>
      <w:r>
        <w:rPr>
          <w:rFonts w:ascii="宋体" w:hAnsi="宋体" w:cs="宋体" w:eastAsia="宋体" w:hint="default"/>
          <w:b w:val="0"/>
          <w:bCs w:val="0"/>
          <w:sz w:val="24"/>
          <w:szCs w:val="24"/>
        </w:rPr>
      </w:r>
    </w:p>
    <w:p>
      <w:pPr>
        <w:pStyle w:val="BodyText"/>
        <w:spacing w:line="314" w:lineRule="auto" w:before="210"/>
        <w:ind w:right="208" w:firstLine="419"/>
        <w:jc w:val="both"/>
        <w:rPr>
          <w:rFonts w:ascii="宋体" w:hAnsi="宋体" w:cs="宋体" w:eastAsia="宋体" w:hint="default"/>
        </w:rPr>
      </w:pPr>
      <w:r>
        <w:rPr>
          <w:spacing w:val="-1"/>
        </w:rPr>
        <w:t>经立信会计师事务所（特殊普通合伙）审计，公司</w:t>
      </w:r>
      <w:r>
        <w:rPr>
          <w:rFonts w:ascii="宋体" w:hAnsi="宋体" w:cs="宋体" w:eastAsia="宋体" w:hint="default"/>
          <w:spacing w:val="-1"/>
        </w:rPr>
        <w:t>2019</w:t>
      </w:r>
      <w:r>
        <w:rPr>
          <w:spacing w:val="-1"/>
        </w:rPr>
        <w:t>年度实现归属于上市公司股东的净利</w:t>
      </w:r>
      <w:r>
        <w:rPr>
          <w:w w:val="100"/>
        </w:rPr>
        <w:t> </w:t>
      </w:r>
      <w:r>
        <w:rPr/>
        <w:t>润</w:t>
      </w:r>
      <w:r>
        <w:rPr>
          <w:spacing w:val="-65"/>
        </w:rPr>
        <w:t> </w:t>
      </w:r>
      <w:r>
        <w:rPr>
          <w:rFonts w:ascii="宋体" w:hAnsi="宋体" w:cs="宋体" w:eastAsia="宋体" w:hint="default"/>
        </w:rPr>
        <w:t>700,405,103.05</w:t>
      </w:r>
      <w:r>
        <w:rPr>
          <w:rFonts w:ascii="宋体" w:hAnsi="宋体" w:cs="宋体" w:eastAsia="宋体" w:hint="default"/>
          <w:spacing w:val="-67"/>
        </w:rPr>
        <w:t> </w:t>
      </w:r>
      <w:r>
        <w:rPr/>
        <w:t>元</w:t>
      </w:r>
      <w:r>
        <w:rPr>
          <w:spacing w:val="-65"/>
        </w:rPr>
        <w:t> </w:t>
      </w:r>
      <w:r>
        <w:rPr/>
        <w:t>；</w:t>
      </w:r>
      <w:r>
        <w:rPr>
          <w:spacing w:val="-67"/>
        </w:rPr>
        <w:t> </w:t>
      </w:r>
      <w:r>
        <w:rPr/>
        <w:t>母</w:t>
      </w:r>
      <w:r>
        <w:rPr>
          <w:spacing w:val="-67"/>
        </w:rPr>
        <w:t> </w:t>
      </w:r>
      <w:r>
        <w:rPr/>
        <w:t>公</w:t>
      </w:r>
      <w:r>
        <w:rPr>
          <w:spacing w:val="-67"/>
        </w:rPr>
        <w:t> </w:t>
      </w:r>
      <w:r>
        <w:rPr/>
        <w:t>司</w:t>
      </w:r>
      <w:r>
        <w:rPr>
          <w:spacing w:val="-65"/>
        </w:rPr>
        <w:t> </w:t>
      </w:r>
      <w:r>
        <w:rPr/>
        <w:t>实</w:t>
      </w:r>
      <w:r>
        <w:rPr>
          <w:spacing w:val="-67"/>
        </w:rPr>
        <w:t> </w:t>
      </w:r>
      <w:r>
        <w:rPr/>
        <w:t>现</w:t>
      </w:r>
      <w:r>
        <w:rPr>
          <w:spacing w:val="-67"/>
        </w:rPr>
        <w:t> </w:t>
      </w:r>
      <w:r>
        <w:rPr/>
        <w:t>净</w:t>
      </w:r>
      <w:r>
        <w:rPr>
          <w:spacing w:val="-67"/>
        </w:rPr>
        <w:t> </w:t>
      </w:r>
      <w:r>
        <w:rPr/>
        <w:t>利</w:t>
      </w:r>
      <w:r>
        <w:rPr>
          <w:spacing w:val="-67"/>
        </w:rPr>
        <w:t> </w:t>
      </w:r>
      <w:r>
        <w:rPr/>
        <w:t>润</w:t>
      </w:r>
      <w:r>
        <w:rPr>
          <w:spacing w:val="-62"/>
        </w:rPr>
        <w:t> </w:t>
      </w:r>
      <w:r>
        <w:rPr>
          <w:rFonts w:ascii="宋体" w:hAnsi="宋体" w:cs="宋体" w:eastAsia="宋体" w:hint="default"/>
        </w:rPr>
        <w:t>149,192,860.12</w:t>
      </w:r>
      <w:r>
        <w:rPr>
          <w:rFonts w:ascii="宋体" w:hAnsi="宋体" w:cs="宋体" w:eastAsia="宋体" w:hint="default"/>
          <w:spacing w:val="-67"/>
        </w:rPr>
        <w:t> </w:t>
      </w:r>
      <w:r>
        <w:rPr/>
        <w:t>元</w:t>
      </w:r>
      <w:r>
        <w:rPr>
          <w:spacing w:val="-67"/>
        </w:rPr>
        <w:t> </w:t>
      </w:r>
      <w:r>
        <w:rPr/>
        <w:t>，</w:t>
      </w:r>
      <w:r>
        <w:rPr>
          <w:spacing w:val="-65"/>
        </w:rPr>
        <w:t> </w:t>
      </w:r>
      <w:r>
        <w:rPr/>
        <w:t>计</w:t>
      </w:r>
      <w:r>
        <w:rPr>
          <w:spacing w:val="-67"/>
        </w:rPr>
        <w:t> </w:t>
      </w:r>
      <w:r>
        <w:rPr/>
        <w:t>提</w:t>
      </w:r>
      <w:r>
        <w:rPr>
          <w:spacing w:val="-66"/>
        </w:rPr>
        <w:t> </w:t>
      </w:r>
      <w:r>
        <w:rPr>
          <w:rFonts w:ascii="宋体" w:hAnsi="宋体" w:cs="宋体" w:eastAsia="宋体" w:hint="default"/>
        </w:rPr>
        <w:t>10%</w:t>
      </w:r>
      <w:r>
        <w:rPr>
          <w:rFonts w:ascii="宋体" w:hAnsi="宋体" w:cs="宋体" w:eastAsia="宋体" w:hint="default"/>
          <w:spacing w:val="-67"/>
        </w:rPr>
        <w:t> </w:t>
      </w:r>
      <w:r>
        <w:rPr/>
        <w:t>的</w:t>
      </w:r>
      <w:r>
        <w:rPr>
          <w:spacing w:val="-67"/>
        </w:rPr>
        <w:t> </w:t>
      </w:r>
      <w:r>
        <w:rPr/>
        <w:t>法</w:t>
      </w:r>
      <w:r>
        <w:rPr>
          <w:spacing w:val="-67"/>
        </w:rPr>
        <w:t> </w:t>
      </w:r>
      <w:r>
        <w:rPr/>
        <w:t>定</w:t>
      </w:r>
      <w:r>
        <w:rPr>
          <w:spacing w:val="-65"/>
        </w:rPr>
        <w:t> </w:t>
      </w:r>
      <w:r>
        <w:rPr/>
        <w:t>盈</w:t>
      </w:r>
      <w:r>
        <w:rPr>
          <w:spacing w:val="-67"/>
        </w:rPr>
        <w:t> </w:t>
      </w:r>
      <w:r>
        <w:rPr/>
        <w:t>余</w:t>
      </w:r>
      <w:r>
        <w:rPr>
          <w:spacing w:val="-67"/>
        </w:rPr>
        <w:t> </w:t>
      </w:r>
      <w:r>
        <w:rPr/>
        <w:t>公</w:t>
      </w:r>
      <w:r>
        <w:rPr>
          <w:spacing w:val="-67"/>
        </w:rPr>
        <w:t> </w:t>
      </w:r>
      <w:r>
        <w:rPr/>
        <w:t>积</w:t>
      </w:r>
      <w:r>
        <w:rPr>
          <w:w w:val="100"/>
        </w:rPr>
        <w:t> </w:t>
      </w:r>
      <w:r>
        <w:rPr>
          <w:rFonts w:ascii="宋体" w:hAnsi="宋体" w:cs="宋体" w:eastAsia="宋体" w:hint="default"/>
          <w:spacing w:val="-3"/>
        </w:rPr>
        <w:t>14,919,286.01</w:t>
      </w:r>
      <w:r>
        <w:rPr>
          <w:spacing w:val="-3"/>
        </w:rPr>
        <w:t>元，加年初未分配利润</w:t>
      </w:r>
      <w:r>
        <w:rPr>
          <w:rFonts w:ascii="宋体" w:hAnsi="宋体" w:cs="宋体" w:eastAsia="宋体" w:hint="default"/>
          <w:spacing w:val="-3"/>
        </w:rPr>
        <w:t>1,277,144,233.82</w:t>
      </w:r>
      <w:r>
        <w:rPr>
          <w:spacing w:val="-3"/>
        </w:rPr>
        <w:t>元，扣除已根据</w:t>
      </w:r>
      <w:r>
        <w:rPr>
          <w:rFonts w:ascii="宋体" w:hAnsi="宋体" w:cs="宋体" w:eastAsia="宋体" w:hint="default"/>
          <w:spacing w:val="-3"/>
        </w:rPr>
        <w:t>2018</w:t>
      </w:r>
      <w:r>
        <w:rPr>
          <w:spacing w:val="-3"/>
        </w:rPr>
        <w:t>年度股东大会决议分</w:t>
      </w:r>
      <w:r>
        <w:rPr>
          <w:spacing w:val="-32"/>
        </w:rPr>
        <w:t> </w:t>
      </w:r>
      <w:r>
        <w:rPr>
          <w:spacing w:val="-32"/>
        </w:rPr>
      </w:r>
      <w:r>
        <w:rPr/>
        <w:t>配的</w:t>
      </w:r>
      <w:r>
        <w:rPr>
          <w:rFonts w:ascii="宋体" w:hAnsi="宋体" w:cs="宋体" w:eastAsia="宋体" w:hint="default"/>
        </w:rPr>
        <w:t>2018</w:t>
      </w:r>
      <w:r>
        <w:rPr/>
        <w:t>年度现金红利</w:t>
      </w:r>
      <w:r>
        <w:rPr>
          <w:rFonts w:ascii="宋体" w:hAnsi="宋体" w:cs="宋体" w:eastAsia="宋体" w:hint="default"/>
        </w:rPr>
        <w:t>303,749,907.34</w:t>
      </w:r>
      <w:r>
        <w:rPr/>
        <w:t>元，期末可供分配的利润为</w:t>
      </w:r>
      <w:r>
        <w:rPr>
          <w:rFonts w:ascii="宋体" w:hAnsi="宋体" w:cs="宋体" w:eastAsia="宋体" w:hint="default"/>
        </w:rPr>
        <w:t>1,107,667,900.59</w:t>
      </w:r>
      <w:r>
        <w:rPr/>
        <w:t>元。</w:t>
      </w:r>
      <w:r>
        <w:rPr>
          <w:rFonts w:ascii="宋体" w:hAnsi="宋体" w:cs="宋体" w:eastAsia="宋体" w:hint="default"/>
        </w:rPr>
        <w:t> </w:t>
      </w:r>
    </w:p>
    <w:p>
      <w:pPr>
        <w:pStyle w:val="BodyText"/>
        <w:spacing w:line="314" w:lineRule="auto" w:before="20"/>
        <w:ind w:right="0" w:firstLine="419"/>
        <w:jc w:val="left"/>
        <w:rPr>
          <w:rFonts w:ascii="宋体" w:hAnsi="宋体" w:cs="宋体" w:eastAsia="宋体" w:hint="default"/>
        </w:rPr>
      </w:pPr>
      <w:r>
        <w:rPr/>
        <w:t>报告期内公司控股股东提出以下利润分配预案：以实施权益分派股权登记日登记的总股本扣</w:t>
      </w:r>
      <w:r>
        <w:rPr>
          <w:w w:val="100"/>
        </w:rPr>
        <w:t> </w:t>
      </w:r>
      <w:r>
        <w:rPr/>
        <w:t>除不参与利润分配的回购股份（包含公司第一期、第二期股份回购计划已回购的股份和第二期股</w:t>
      </w:r>
      <w:r>
        <w:rPr>
          <w:spacing w:val="-97"/>
        </w:rPr>
        <w:t> </w:t>
      </w:r>
      <w:r>
        <w:rPr>
          <w:spacing w:val="-97"/>
        </w:rPr>
      </w:r>
      <w:r>
        <w:rPr>
          <w:spacing w:val="-2"/>
        </w:rPr>
        <w:t>权激励计划待回购注销的限制性股票）为基数，向全体股东每</w:t>
      </w:r>
      <w:r>
        <w:rPr>
          <w:rFonts w:ascii="宋体" w:hAnsi="宋体" w:cs="宋体" w:eastAsia="宋体" w:hint="default"/>
          <w:spacing w:val="-2"/>
        </w:rPr>
        <w:t>10</w:t>
      </w:r>
      <w:r>
        <w:rPr>
          <w:spacing w:val="-2"/>
        </w:rPr>
        <w:t>股派发现金红利</w:t>
      </w:r>
      <w:r>
        <w:rPr>
          <w:rFonts w:ascii="宋体" w:hAnsi="宋体" w:cs="宋体" w:eastAsia="宋体" w:hint="default"/>
          <w:spacing w:val="-2"/>
        </w:rPr>
        <w:t>0.5</w:t>
      </w:r>
      <w:r>
        <w:rPr>
          <w:spacing w:val="-2"/>
        </w:rPr>
        <w:t>元（含税），</w:t>
      </w:r>
      <w:r>
        <w:rPr>
          <w:spacing w:val="-24"/>
        </w:rPr>
        <w:t> </w:t>
      </w:r>
      <w:r>
        <w:rPr>
          <w:spacing w:val="-24"/>
        </w:rPr>
      </w:r>
      <w:r>
        <w:rPr/>
        <w:t>剩余利润结转下年度。本次利润分配不进行资本公积金转增股本。</w:t>
      </w:r>
      <w:r>
        <w:rPr>
          <w:rFonts w:ascii="宋体" w:hAnsi="宋体" w:cs="宋体" w:eastAsia="宋体" w:hint="default"/>
        </w:rPr>
        <w:t> </w:t>
      </w:r>
    </w:p>
    <w:p>
      <w:pPr>
        <w:pStyle w:val="BodyText"/>
        <w:spacing w:line="314" w:lineRule="auto" w:before="20"/>
        <w:ind w:right="208" w:firstLine="419"/>
        <w:jc w:val="both"/>
        <w:rPr>
          <w:rFonts w:ascii="宋体" w:hAnsi="宋体" w:cs="宋体" w:eastAsia="宋体" w:hint="default"/>
        </w:rPr>
      </w:pPr>
      <w:r>
        <w:rPr>
          <w:rFonts w:ascii="宋体" w:hAnsi="宋体" w:cs="宋体" w:eastAsia="宋体" w:hint="default"/>
          <w:spacing w:val="-3"/>
        </w:rPr>
        <w:t>2018</w:t>
      </w:r>
      <w:r>
        <w:rPr>
          <w:spacing w:val="-3"/>
        </w:rPr>
        <w:t>年</w:t>
      </w:r>
      <w:r>
        <w:rPr>
          <w:rFonts w:ascii="宋体" w:hAnsi="宋体" w:cs="宋体" w:eastAsia="宋体" w:hint="default"/>
          <w:spacing w:val="-3"/>
        </w:rPr>
        <w:t>9</w:t>
      </w:r>
      <w:r>
        <w:rPr>
          <w:spacing w:val="-3"/>
        </w:rPr>
        <w:t>月</w:t>
      </w:r>
      <w:r>
        <w:rPr>
          <w:rFonts w:ascii="宋体" w:hAnsi="宋体" w:cs="宋体" w:eastAsia="宋体" w:hint="default"/>
          <w:spacing w:val="-3"/>
        </w:rPr>
        <w:t>4</w:t>
      </w:r>
      <w:r>
        <w:rPr>
          <w:spacing w:val="-3"/>
        </w:rPr>
        <w:t>日至</w:t>
      </w:r>
      <w:r>
        <w:rPr>
          <w:rFonts w:ascii="宋体" w:hAnsi="宋体" w:cs="宋体" w:eastAsia="宋体" w:hint="default"/>
          <w:spacing w:val="-3"/>
        </w:rPr>
        <w:t>2019</w:t>
      </w:r>
      <w:r>
        <w:rPr>
          <w:spacing w:val="-3"/>
        </w:rPr>
        <w:t>年</w:t>
      </w:r>
      <w:r>
        <w:rPr>
          <w:rFonts w:ascii="宋体" w:hAnsi="宋体" w:cs="宋体" w:eastAsia="宋体" w:hint="default"/>
          <w:spacing w:val="-3"/>
        </w:rPr>
        <w:t>2</w:t>
      </w:r>
      <w:r>
        <w:rPr>
          <w:spacing w:val="-3"/>
        </w:rPr>
        <w:t>月</w:t>
      </w:r>
      <w:r>
        <w:rPr>
          <w:rFonts w:ascii="宋体" w:hAnsi="宋体" w:cs="宋体" w:eastAsia="宋体" w:hint="default"/>
          <w:spacing w:val="-3"/>
        </w:rPr>
        <w:t>14</w:t>
      </w:r>
      <w:r>
        <w:rPr>
          <w:spacing w:val="-3"/>
        </w:rPr>
        <w:t>日，公司第一期回购股份计划累计支付</w:t>
      </w:r>
      <w:r>
        <w:rPr>
          <w:rFonts w:ascii="宋体" w:hAnsi="宋体" w:cs="宋体" w:eastAsia="宋体" w:hint="default"/>
          <w:spacing w:val="-3"/>
        </w:rPr>
        <w:t>100,484,111.64</w:t>
      </w:r>
      <w:r>
        <w:rPr>
          <w:spacing w:val="-3"/>
        </w:rPr>
        <w:t>元（不含</w:t>
      </w:r>
      <w:r>
        <w:rPr>
          <w:w w:val="100"/>
        </w:rPr>
        <w:t> </w:t>
      </w:r>
      <w:r>
        <w:rPr>
          <w:spacing w:val="-1"/>
        </w:rPr>
        <w:t>佣金、过户费等交易费用），根据《上海证券交易所上市公司回购股份实施细则》的规定，报告</w:t>
      </w:r>
      <w:r>
        <w:rPr>
          <w:spacing w:val="-55"/>
        </w:rPr>
        <w:t> </w:t>
      </w:r>
      <w:r>
        <w:rPr>
          <w:spacing w:val="-55"/>
        </w:rPr>
      </w:r>
      <w:r>
        <w:rPr/>
        <w:t>期内公司回购股份支付金额</w:t>
      </w:r>
      <w:r>
        <w:rPr>
          <w:rFonts w:ascii="宋体" w:hAnsi="宋体" w:cs="宋体" w:eastAsia="宋体" w:hint="default"/>
        </w:rPr>
        <w:t>889,400.00</w:t>
      </w:r>
      <w:r>
        <w:rPr/>
        <w:t>元视同现金分红。</w:t>
      </w:r>
      <w:r>
        <w:rPr>
          <w:rFonts w:ascii="宋体" w:hAnsi="宋体" w:cs="宋体" w:eastAsia="宋体" w:hint="default"/>
        </w:rPr>
        <w:t> </w:t>
      </w:r>
    </w:p>
    <w:p>
      <w:pPr>
        <w:pStyle w:val="BodyText"/>
        <w:spacing w:line="240" w:lineRule="auto" w:before="20"/>
        <w:ind w:right="0"/>
        <w:jc w:val="left"/>
        <w:rPr>
          <w:rFonts w:ascii="宋体" w:hAnsi="宋体" w:cs="宋体" w:eastAsia="宋体" w:hint="default"/>
        </w:rPr>
      </w:pPr>
      <w:r>
        <w:rPr>
          <w:rFonts w:ascii="宋体"/>
          <w:w w:val="100"/>
        </w:rPr>
        <w:t> </w:t>
      </w:r>
    </w:p>
    <w:p>
      <w:pPr>
        <w:pStyle w:val="Heading3"/>
        <w:spacing w:line="240" w:lineRule="auto" w:before="8"/>
        <w:ind w:right="0"/>
        <w:jc w:val="left"/>
        <w:rPr>
          <w:b w:val="0"/>
          <w:bCs w:val="0"/>
        </w:rPr>
      </w:pPr>
      <w:r>
        <w:rPr/>
        <w:t>六、</w:t>
      </w:r>
      <w:r>
        <w:rPr>
          <w:spacing w:val="-24"/>
        </w:rPr>
        <w:t> </w:t>
      </w:r>
      <w:r>
        <w:rPr>
          <w:rFonts w:ascii="宋体" w:hAnsi="宋体" w:cs="宋体" w:eastAsia="宋体" w:hint="default"/>
          <w:spacing w:val="-24"/>
        </w:rPr>
      </w:r>
      <w:r>
        <w:rPr/>
        <w:t>前瞻性陈述的风险声明</w:t>
      </w:r>
      <w:r>
        <w:rPr>
          <w:b w:val="0"/>
          <w:bCs w:val="0"/>
        </w:rPr>
      </w:r>
    </w:p>
    <w:p>
      <w:pPr>
        <w:pStyle w:val="BodyText"/>
        <w:spacing w:line="307" w:lineRule="auto" w:before="127"/>
        <w:ind w:right="0"/>
        <w:jc w:val="left"/>
        <w:rPr>
          <w:rFonts w:ascii="宋体" w:hAnsi="宋体" w:cs="宋体" w:eastAsia="宋体" w:hint="default"/>
        </w:rPr>
      </w:pPr>
      <w:r>
        <w:rPr>
          <w:sz w:val="24"/>
          <w:szCs w:val="24"/>
        </w:rPr>
        <w:t>√适用 </w:t>
      </w:r>
      <w:r>
        <w:rPr>
          <w:rFonts w:ascii="宋体" w:hAnsi="宋体" w:cs="宋体" w:eastAsia="宋体" w:hint="default"/>
          <w:sz w:val="24"/>
          <w:szCs w:val="24"/>
        </w:rPr>
      </w:r>
      <w:r>
        <w:rPr>
          <w:sz w:val="24"/>
          <w:szCs w:val="24"/>
        </w:rPr>
        <w:t>□不适用</w:t>
      </w:r>
      <w:r>
        <w:rPr>
          <w:rFonts w:ascii="宋体" w:hAnsi="宋体" w:cs="宋体" w:eastAsia="宋体" w:hint="default"/>
          <w:sz w:val="24"/>
          <w:szCs w:val="24"/>
        </w:rPr>
        <w:t>  </w:t>
      </w:r>
      <w:r>
        <w:rPr>
          <w:spacing w:val="-2"/>
        </w:rPr>
        <w:t>本报告中所涉及的未来计划、发展战略等前瞻性描述不构成公司对投资者的实质承诺，敬请投资</w:t>
      </w:r>
      <w:r>
        <w:rPr>
          <w:spacing w:val="-26"/>
        </w:rPr>
        <w:t> </w:t>
      </w:r>
      <w:r>
        <w:rPr>
          <w:spacing w:val="-26"/>
        </w:rPr>
      </w:r>
      <w:r>
        <w:rPr/>
        <w:t>者注意投资风险。</w:t>
      </w:r>
      <w:r>
        <w:rPr>
          <w:rFonts w:ascii="宋体" w:hAnsi="宋体" w:cs="宋体" w:eastAsia="宋体" w:hint="default"/>
        </w:rPr>
        <w:t> </w:t>
      </w:r>
    </w:p>
    <w:p>
      <w:pPr>
        <w:pStyle w:val="BodyText"/>
        <w:spacing w:line="240" w:lineRule="auto" w:before="27"/>
        <w:ind w:right="0"/>
        <w:jc w:val="left"/>
        <w:rPr>
          <w:rFonts w:ascii="宋体" w:hAnsi="宋体" w:cs="宋体" w:eastAsia="宋体" w:hint="default"/>
        </w:rPr>
      </w:pPr>
      <w:r>
        <w:rPr>
          <w:rFonts w:ascii="宋体"/>
          <w:w w:val="100"/>
        </w:rPr>
        <w:t> </w:t>
      </w:r>
    </w:p>
    <w:p>
      <w:pPr>
        <w:pStyle w:val="Heading3"/>
        <w:spacing w:line="422" w:lineRule="auto" w:before="8"/>
        <w:ind w:right="3537"/>
        <w:jc w:val="left"/>
        <w:rPr>
          <w:rFonts w:ascii="宋体" w:hAnsi="宋体" w:cs="宋体" w:eastAsia="宋体" w:hint="default"/>
          <w:b w:val="0"/>
          <w:bCs w:val="0"/>
        </w:rPr>
      </w:pPr>
      <w:r>
        <w:rPr/>
        <w:t>七、</w:t>
      </w:r>
      <w:r>
        <w:rPr>
          <w:spacing w:val="-96"/>
        </w:rPr>
        <w:t> </w:t>
      </w:r>
      <w:r>
        <w:rPr>
          <w:rFonts w:ascii="宋体" w:hAnsi="宋体" w:cs="宋体" w:eastAsia="宋体" w:hint="default"/>
          <w:spacing w:val="-96"/>
        </w:rPr>
      </w:r>
      <w:r>
        <w:rPr/>
        <w:t>是否存在被控股股东及其关联方非经营性占用资金情况</w:t>
      </w:r>
      <w:r>
        <w:rPr>
          <w:w w:val="100"/>
        </w:rPr>
        <w:t> </w:t>
      </w:r>
      <w:r>
        <w:rPr>
          <w:rFonts w:ascii="宋体" w:hAnsi="宋体" w:cs="宋体" w:eastAsia="宋体" w:hint="default"/>
          <w:b w:val="0"/>
          <w:bCs w:val="0"/>
        </w:rPr>
        <w:t>否</w:t>
      </w:r>
    </w:p>
    <w:p>
      <w:pPr>
        <w:pStyle w:val="Heading3"/>
        <w:spacing w:line="410" w:lineRule="atLeast" w:before="73"/>
        <w:ind w:right="3685"/>
        <w:jc w:val="left"/>
        <w:rPr>
          <w:rFonts w:ascii="宋体" w:hAnsi="宋体" w:cs="宋体" w:eastAsia="宋体" w:hint="default"/>
          <w:b w:val="0"/>
          <w:bCs w:val="0"/>
        </w:rPr>
      </w:pPr>
      <w:r>
        <w:rPr/>
        <w:t>八、</w:t>
      </w:r>
      <w:r>
        <w:rPr>
          <w:spacing w:val="7"/>
        </w:rPr>
        <w:t> </w:t>
      </w:r>
      <w:r>
        <w:rPr>
          <w:rFonts w:ascii="宋体" w:hAnsi="宋体" w:cs="宋体" w:eastAsia="宋体" w:hint="default"/>
          <w:spacing w:val="7"/>
        </w:rPr>
      </w:r>
      <w:r>
        <w:rPr/>
        <w:t>是否存在违反规定决策程序对外提供担保的情况？</w:t>
      </w:r>
      <w:r>
        <w:rPr>
          <w:w w:val="100"/>
        </w:rPr>
        <w:t> </w:t>
      </w:r>
      <w:r>
        <w:rPr>
          <w:rFonts w:ascii="宋体" w:hAnsi="宋体" w:cs="宋体" w:eastAsia="宋体" w:hint="default"/>
          <w:b w:val="0"/>
          <w:bCs w:val="0"/>
        </w:rPr>
        <w:t>否</w:t>
      </w:r>
      <w:r>
        <w:rPr>
          <w:rFonts w:ascii="宋体" w:hAnsi="宋体" w:cs="宋体" w:eastAsia="宋体" w:hint="default"/>
          <w:b w:val="0"/>
          <w:bCs w:val="0"/>
        </w:rPr>
        <w:t> </w:t>
      </w:r>
    </w:p>
    <w:p>
      <w:pPr>
        <w:pStyle w:val="BodyText"/>
        <w:spacing w:line="274" w:lineRule="exact"/>
        <w:ind w:right="0"/>
        <w:jc w:val="left"/>
        <w:rPr>
          <w:rFonts w:ascii="宋体" w:hAnsi="宋体" w:cs="宋体" w:eastAsia="宋体" w:hint="default"/>
        </w:rPr>
      </w:pPr>
      <w:r>
        <w:rPr>
          <w:rFonts w:ascii="宋体"/>
          <w:w w:val="100"/>
        </w:rPr>
        <w:t> </w:t>
      </w:r>
    </w:p>
    <w:p>
      <w:pPr>
        <w:spacing w:after="0" w:line="274" w:lineRule="exact"/>
        <w:jc w:val="left"/>
        <w:rPr>
          <w:rFonts w:ascii="宋体" w:hAnsi="宋体" w:cs="宋体" w:eastAsia="宋体" w:hint="default"/>
        </w:rPr>
        <w:sectPr>
          <w:pgSz w:w="11910" w:h="16840"/>
          <w:pgMar w:header="747" w:footer="974" w:top="1140" w:bottom="1160" w:left="1580" w:right="1060"/>
        </w:sectPr>
      </w:pPr>
    </w:p>
    <w:p>
      <w:pPr>
        <w:spacing w:line="240" w:lineRule="auto" w:before="13"/>
        <w:rPr>
          <w:rFonts w:ascii="宋体" w:hAnsi="宋体" w:cs="宋体" w:eastAsia="宋体" w:hint="default"/>
          <w:sz w:val="23"/>
          <w:szCs w:val="23"/>
        </w:rPr>
      </w:pPr>
    </w:p>
    <w:p>
      <w:pPr>
        <w:pStyle w:val="BodyText"/>
        <w:spacing w:line="357" w:lineRule="auto" w:before="36"/>
        <w:ind w:left="638" w:right="0" w:hanging="420"/>
        <w:jc w:val="left"/>
      </w:pPr>
      <w:r>
        <w:rPr>
          <w:rFonts w:ascii="宋体" w:hAnsi="宋体" w:cs="宋体" w:eastAsia="宋体" w:hint="default"/>
          <w:b/>
          <w:bCs/>
        </w:rPr>
        <w:t>九、</w:t>
      </w:r>
      <w:r>
        <w:rPr>
          <w:rFonts w:ascii="宋体" w:hAnsi="宋体" w:cs="宋体" w:eastAsia="宋体" w:hint="default"/>
          <w:b/>
          <w:bCs/>
          <w:spacing w:val="8"/>
        </w:rPr>
        <w:t> </w:t>
      </w:r>
      <w:r>
        <w:rPr>
          <w:rFonts w:ascii="宋体" w:hAnsi="宋体" w:cs="宋体" w:eastAsia="宋体" w:hint="default"/>
          <w:b/>
          <w:bCs/>
          <w:spacing w:val="8"/>
        </w:rPr>
      </w:r>
      <w:r>
        <w:rPr>
          <w:rFonts w:ascii="宋体" w:hAnsi="宋体" w:cs="宋体" w:eastAsia="宋体" w:hint="default"/>
          <w:b/>
          <w:bCs/>
        </w:rPr>
        <w:t>重大风险提示</w:t>
      </w:r>
      <w:r>
        <w:rPr>
          <w:rFonts w:ascii="宋体" w:hAnsi="宋体" w:cs="宋体" w:eastAsia="宋体" w:hint="default"/>
          <w:b/>
          <w:bCs/>
          <w:w w:val="100"/>
        </w:rPr>
        <w:t> </w:t>
      </w:r>
      <w:r>
        <w:rPr>
          <w:spacing w:val="-7"/>
          <w:w w:val="100"/>
        </w:rPr>
        <w:t>公司已在本年度报告中详细描述公司面临的风险，敬请投资者予以关注，详见本年度报告“第</w:t>
      </w:r>
    </w:p>
    <w:p>
      <w:pPr>
        <w:pStyle w:val="BodyText"/>
        <w:spacing w:line="240" w:lineRule="auto" w:before="30"/>
        <w:ind w:right="0"/>
        <w:jc w:val="left"/>
        <w:rPr>
          <w:rFonts w:ascii="宋体" w:hAnsi="宋体" w:cs="宋体" w:eastAsia="宋体" w:hint="default"/>
        </w:rPr>
      </w:pPr>
      <w:r>
        <w:rPr/>
        <w:t>四节经营情况讨论与分析”等有关章节中关于公司可能面对的风险部分的内容。</w:t>
      </w:r>
      <w:r>
        <w:rPr>
          <w:rFonts w:ascii="宋体" w:hAnsi="宋体" w:cs="宋体" w:eastAsia="宋体" w:hint="default"/>
        </w:rPr>
        <w:t> </w:t>
      </w:r>
    </w:p>
    <w:p>
      <w:pPr>
        <w:pStyle w:val="Heading2"/>
        <w:spacing w:line="313" w:lineRule="exact" w:before="127"/>
        <w:ind w:right="0"/>
        <w:jc w:val="left"/>
        <w:rPr>
          <w:rFonts w:ascii="宋体" w:hAnsi="宋体" w:cs="宋体" w:eastAsia="宋体" w:hint="default"/>
        </w:rPr>
      </w:pPr>
      <w:r>
        <w:rPr>
          <w:rFonts w:ascii="宋体"/>
        </w:rPr>
        <w:t> </w:t>
      </w:r>
    </w:p>
    <w:p>
      <w:pPr>
        <w:spacing w:line="313" w:lineRule="exact" w:before="0"/>
        <w:ind w:left="218" w:right="0" w:firstLine="0"/>
        <w:jc w:val="left"/>
        <w:rPr>
          <w:rFonts w:ascii="宋体" w:hAnsi="宋体" w:cs="宋体" w:eastAsia="宋体" w:hint="default"/>
          <w:sz w:val="24"/>
          <w:szCs w:val="24"/>
        </w:rPr>
      </w:pPr>
      <w:r>
        <w:rPr>
          <w:rFonts w:ascii="宋体" w:hAnsi="宋体" w:cs="宋体" w:eastAsia="宋体" w:hint="default"/>
          <w:b/>
          <w:bCs/>
          <w:sz w:val="21"/>
          <w:szCs w:val="21"/>
        </w:rPr>
        <w:t>十、</w:t>
      </w:r>
      <w:r>
        <w:rPr>
          <w:rFonts w:ascii="宋体" w:hAnsi="宋体" w:cs="宋体" w:eastAsia="宋体" w:hint="default"/>
          <w:b/>
          <w:bCs/>
          <w:spacing w:val="61"/>
          <w:sz w:val="21"/>
          <w:szCs w:val="21"/>
        </w:rPr>
        <w:t> </w:t>
      </w:r>
      <w:r>
        <w:rPr>
          <w:rFonts w:ascii="宋体" w:hAnsi="宋体" w:cs="宋体" w:eastAsia="宋体" w:hint="default"/>
          <w:b/>
          <w:bCs/>
          <w:spacing w:val="61"/>
          <w:sz w:val="21"/>
          <w:szCs w:val="21"/>
        </w:rPr>
      </w:r>
      <w:r>
        <w:rPr>
          <w:rFonts w:ascii="宋体" w:hAnsi="宋体" w:cs="宋体" w:eastAsia="宋体" w:hint="default"/>
          <w:b/>
          <w:bCs/>
          <w:sz w:val="24"/>
          <w:szCs w:val="24"/>
        </w:rPr>
        <w:t>其他</w:t>
      </w:r>
      <w:r>
        <w:rPr>
          <w:rFonts w:ascii="宋体" w:hAnsi="宋体" w:cs="宋体" w:eastAsia="宋体" w:hint="default"/>
          <w:sz w:val="24"/>
          <w:szCs w:val="24"/>
        </w:rPr>
      </w:r>
    </w:p>
    <w:p>
      <w:pPr>
        <w:pStyle w:val="BodyText"/>
        <w:spacing w:line="274" w:lineRule="exact" w:before="157"/>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right="0"/>
        <w:jc w:val="left"/>
        <w:rPr>
          <w:rFonts w:ascii="宋体" w:hAnsi="宋体" w:cs="宋体" w:eastAsia="宋体" w:hint="default"/>
        </w:rPr>
      </w:pPr>
      <w:r>
        <w:rPr>
          <w:rFonts w:ascii="宋体"/>
          <w:w w:val="100"/>
        </w:rPr>
        <w:t> </w:t>
      </w:r>
    </w:p>
    <w:p>
      <w:pPr>
        <w:pStyle w:val="BodyText"/>
        <w:tabs>
          <w:tab w:pos="3098" w:val="left" w:leader="none"/>
        </w:tabs>
        <w:spacing w:line="273" w:lineRule="exact"/>
        <w:ind w:right="0"/>
        <w:jc w:val="left"/>
        <w:rPr>
          <w:rFonts w:ascii="宋体" w:hAnsi="宋体" w:cs="宋体" w:eastAsia="宋体" w:hint="default"/>
        </w:rPr>
      </w:pPr>
      <w:r>
        <w:rPr>
          <w:rFonts w:ascii="宋体"/>
          <w:w w:val="100"/>
        </w:rPr>
        <w:t> </w:t>
      </w:r>
      <w:r>
        <w:rPr>
          <w:rFonts w:ascii="宋体"/>
        </w:rPr>
        <w:tab/>
      </w:r>
      <w:r>
        <w:rPr>
          <w:rFonts w:ascii="宋体"/>
          <w:w w:val="100"/>
        </w:rPr>
        <w:t> </w:t>
      </w:r>
    </w:p>
    <w:p>
      <w:pPr>
        <w:spacing w:after="0" w:line="273" w:lineRule="exact"/>
        <w:jc w:val="left"/>
        <w:rPr>
          <w:rFonts w:ascii="宋体" w:hAnsi="宋体" w:cs="宋体" w:eastAsia="宋体" w:hint="default"/>
        </w:rPr>
        <w:sectPr>
          <w:pgSz w:w="11910" w:h="16840"/>
          <w:pgMar w:header="747" w:footer="974" w:top="1140" w:bottom="1160" w:left="1580" w:right="1140"/>
        </w:sectPr>
      </w:pPr>
    </w:p>
    <w:p>
      <w:pPr>
        <w:spacing w:line="240" w:lineRule="auto" w:before="10"/>
        <w:rPr>
          <w:rFonts w:ascii="宋体" w:hAnsi="宋体" w:cs="宋体" w:eastAsia="宋体" w:hint="default"/>
          <w:sz w:val="24"/>
          <w:szCs w:val="24"/>
        </w:rPr>
      </w:pPr>
    </w:p>
    <w:p>
      <w:pPr>
        <w:spacing w:before="14"/>
        <w:ind w:left="618" w:right="395" w:firstLine="0"/>
        <w:jc w:val="center"/>
        <w:rPr>
          <w:rFonts w:ascii="宋体" w:hAnsi="宋体" w:cs="宋体" w:eastAsia="宋体" w:hint="default"/>
          <w:sz w:val="28"/>
          <w:szCs w:val="28"/>
        </w:rPr>
      </w:pPr>
      <w:r>
        <w:rPr>
          <w:rFonts w:ascii="宋体" w:hAnsi="宋体" w:cs="宋体" w:eastAsia="宋体" w:hint="default"/>
          <w:b/>
          <w:bCs/>
          <w:sz w:val="28"/>
          <w:szCs w:val="28"/>
        </w:rPr>
        <w:t>目录</w:t>
      </w:r>
      <w:r>
        <w:rPr>
          <w:rFonts w:ascii="宋体" w:hAnsi="宋体" w:cs="宋体" w:eastAsia="宋体" w:hint="default"/>
          <w:b/>
          <w:bCs/>
          <w:w w:val="99"/>
          <w:sz w:val="28"/>
          <w:szCs w:val="28"/>
        </w:rPr>
        <w:t> </w:t>
      </w:r>
      <w:r>
        <w:rPr>
          <w:rFonts w:ascii="宋体" w:hAnsi="宋体" w:cs="宋体" w:eastAsia="宋体" w:hint="default"/>
          <w:sz w:val="28"/>
          <w:szCs w:val="28"/>
        </w:rPr>
      </w:r>
    </w:p>
    <w:sdt>
      <w:sdtPr>
        <w:docPartObj>
          <w:docPartGallery w:val="Table of Contents"/>
          <w:docPartUnique/>
        </w:docPartObj>
      </w:sdtPr>
      <w:sdtEndPr/>
      <w:sdtContent>
        <w:p>
          <w:pPr>
            <w:pStyle w:val="TOC1"/>
            <w:tabs>
              <w:tab w:pos="1477" w:val="left" w:leader="none"/>
              <w:tab w:pos="9041" w:val="right" w:leader="dot"/>
            </w:tabs>
            <w:spacing w:line="240" w:lineRule="auto" w:before="373"/>
            <w:ind w:right="0"/>
            <w:jc w:val="left"/>
            <w:rPr>
              <w:rFonts w:ascii="Times New Roman" w:hAnsi="Times New Roman" w:cs="Times New Roman" w:eastAsia="Times New Roman" w:hint="default"/>
              <w:b w:val="0"/>
              <w:bCs w:val="0"/>
            </w:rPr>
          </w:pPr>
          <w:r>
            <w:fldChar w:fldCharType="begin"/>
          </w:r>
          <w:r>
            <w:instrText>TOC \o "1-1" \h \z \u </w:instrText>
          </w:r>
          <w:r>
            <w:fldChar w:fldCharType="separate"/>
          </w:r>
          <w:hyperlink w:history="true" w:anchor="_bookmark0">
            <w:r>
              <w:rPr/>
              <w:t>第一节</w:t>
              <w:tab/>
              <w:t>释义</w:t>
            </w:r>
            <w:r>
              <w:rPr>
                <w:rFonts w:ascii="Times New Roman" w:hAnsi="Times New Roman" w:cs="Times New Roman" w:eastAsia="Times New Roman" w:hint="default"/>
              </w:rPr>
              <w:tab/>
              <w:t>9</w:t>
            </w:r>
            <w:r>
              <w:rPr>
                <w:rFonts w:ascii="Times New Roman" w:hAnsi="Times New Roman" w:cs="Times New Roman" w:eastAsia="Times New Roman" w:hint="default"/>
                <w:b w:val="0"/>
                <w:bCs w:val="0"/>
              </w:rPr>
            </w:r>
          </w:hyperlink>
        </w:p>
        <w:p>
          <w:pPr>
            <w:pStyle w:val="TOC1"/>
            <w:tabs>
              <w:tab w:pos="1477" w:val="left" w:leader="none"/>
              <w:tab w:pos="9029" w:val="right" w:leader="dot"/>
            </w:tabs>
            <w:spacing w:line="240" w:lineRule="auto"/>
            <w:ind w:right="0"/>
            <w:jc w:val="left"/>
            <w:rPr>
              <w:rFonts w:ascii="Times New Roman" w:hAnsi="Times New Roman" w:cs="Times New Roman" w:eastAsia="Times New Roman" w:hint="default"/>
              <w:b w:val="0"/>
              <w:bCs w:val="0"/>
            </w:rPr>
          </w:pPr>
          <w:hyperlink w:history="true" w:anchor="_bookmark1">
            <w:r>
              <w:rPr/>
              <w:t>第二节</w:t>
              <w:tab/>
              <w:t>公司简介和主要财务指标</w:t>
            </w:r>
            <w:r>
              <w:rPr>
                <w:rFonts w:ascii="Times New Roman" w:hAnsi="Times New Roman" w:cs="Times New Roman" w:eastAsia="Times New Roman" w:hint="default"/>
              </w:rPr>
              <w:tab/>
            </w:r>
            <w:r>
              <w:rPr>
                <w:rFonts w:ascii="Times New Roman" w:hAnsi="Times New Roman" w:cs="Times New Roman" w:eastAsia="Times New Roman" w:hint="default"/>
                <w:spacing w:val="-12"/>
              </w:rPr>
              <w:t>11</w:t>
            </w:r>
            <w:r>
              <w:rPr>
                <w:rFonts w:ascii="Times New Roman" w:hAnsi="Times New Roman" w:cs="Times New Roman" w:eastAsia="Times New Roman" w:hint="default"/>
                <w:b w:val="0"/>
                <w:bCs w:val="0"/>
              </w:rPr>
            </w:r>
          </w:hyperlink>
        </w:p>
        <w:p>
          <w:pPr>
            <w:pStyle w:val="TOC1"/>
            <w:tabs>
              <w:tab w:pos="1477" w:val="left" w:leader="none"/>
              <w:tab w:pos="9041" w:val="right" w:leader="dot"/>
            </w:tabs>
            <w:spacing w:line="240" w:lineRule="auto"/>
            <w:ind w:right="0"/>
            <w:jc w:val="left"/>
            <w:rPr>
              <w:rFonts w:ascii="Times New Roman" w:hAnsi="Times New Roman" w:cs="Times New Roman" w:eastAsia="Times New Roman" w:hint="default"/>
              <w:b w:val="0"/>
              <w:bCs w:val="0"/>
            </w:rPr>
          </w:pPr>
          <w:hyperlink w:history="true" w:anchor="_bookmark2">
            <w:r>
              <w:rPr/>
              <w:t>第三节</w:t>
              <w:tab/>
              <w:t>公司业务概要</w:t>
            </w:r>
            <w:r>
              <w:rPr>
                <w:rFonts w:ascii="Times New Roman" w:hAnsi="Times New Roman" w:cs="Times New Roman" w:eastAsia="Times New Roman" w:hint="default"/>
              </w:rPr>
              <w:tab/>
              <w:t>16</w:t>
            </w:r>
            <w:r>
              <w:rPr>
                <w:rFonts w:ascii="Times New Roman" w:hAnsi="Times New Roman" w:cs="Times New Roman" w:eastAsia="Times New Roman" w:hint="default"/>
                <w:b w:val="0"/>
                <w:bCs w:val="0"/>
              </w:rPr>
            </w:r>
          </w:hyperlink>
        </w:p>
        <w:p>
          <w:pPr>
            <w:pStyle w:val="TOC1"/>
            <w:tabs>
              <w:tab w:pos="1477" w:val="left" w:leader="none"/>
              <w:tab w:pos="9041" w:val="right" w:leader="dot"/>
            </w:tabs>
            <w:spacing w:line="240" w:lineRule="auto" w:before="119"/>
            <w:ind w:right="0"/>
            <w:jc w:val="left"/>
            <w:rPr>
              <w:rFonts w:ascii="Times New Roman" w:hAnsi="Times New Roman" w:cs="Times New Roman" w:eastAsia="Times New Roman" w:hint="default"/>
              <w:b w:val="0"/>
              <w:bCs w:val="0"/>
            </w:rPr>
          </w:pPr>
          <w:hyperlink w:history="true" w:anchor="_bookmark3">
            <w:r>
              <w:rPr/>
              <w:t>第四节</w:t>
              <w:tab/>
              <w:t>经营情况讨论与分析</w:t>
            </w:r>
            <w:r>
              <w:rPr>
                <w:rFonts w:ascii="Times New Roman" w:hAnsi="Times New Roman" w:cs="Times New Roman" w:eastAsia="Times New Roman" w:hint="default"/>
              </w:rPr>
              <w:tab/>
              <w:t>22</w:t>
            </w:r>
            <w:r>
              <w:rPr>
                <w:rFonts w:ascii="Times New Roman" w:hAnsi="Times New Roman" w:cs="Times New Roman" w:eastAsia="Times New Roman" w:hint="default"/>
                <w:b w:val="0"/>
                <w:bCs w:val="0"/>
              </w:rPr>
            </w:r>
          </w:hyperlink>
        </w:p>
        <w:p>
          <w:pPr>
            <w:pStyle w:val="TOC1"/>
            <w:tabs>
              <w:tab w:pos="1477" w:val="left" w:leader="none"/>
              <w:tab w:pos="9041" w:val="right" w:leader="dot"/>
            </w:tabs>
            <w:spacing w:line="240" w:lineRule="auto"/>
            <w:ind w:right="0"/>
            <w:jc w:val="left"/>
            <w:rPr>
              <w:rFonts w:ascii="Times New Roman" w:hAnsi="Times New Roman" w:cs="Times New Roman" w:eastAsia="Times New Roman" w:hint="default"/>
              <w:b w:val="0"/>
              <w:bCs w:val="0"/>
            </w:rPr>
          </w:pPr>
          <w:hyperlink w:history="true" w:anchor="_bookmark4">
            <w:r>
              <w:rPr/>
              <w:t>第五节</w:t>
              <w:tab/>
              <w:t>重要事项</w:t>
            </w:r>
            <w:r>
              <w:rPr>
                <w:rFonts w:ascii="Times New Roman" w:hAnsi="Times New Roman" w:cs="Times New Roman" w:eastAsia="Times New Roman" w:hint="default"/>
              </w:rPr>
              <w:tab/>
              <w:t>45</w:t>
            </w:r>
            <w:r>
              <w:rPr>
                <w:rFonts w:ascii="Times New Roman" w:hAnsi="Times New Roman" w:cs="Times New Roman" w:eastAsia="Times New Roman" w:hint="default"/>
                <w:b w:val="0"/>
                <w:bCs w:val="0"/>
              </w:rPr>
            </w:r>
          </w:hyperlink>
        </w:p>
        <w:p>
          <w:pPr>
            <w:pStyle w:val="TOC1"/>
            <w:tabs>
              <w:tab w:pos="1477" w:val="left" w:leader="none"/>
              <w:tab w:pos="9041" w:val="right" w:leader="dot"/>
            </w:tabs>
            <w:spacing w:line="240" w:lineRule="auto"/>
            <w:ind w:right="0"/>
            <w:jc w:val="left"/>
            <w:rPr>
              <w:rFonts w:ascii="Times New Roman" w:hAnsi="Times New Roman" w:cs="Times New Roman" w:eastAsia="Times New Roman" w:hint="default"/>
              <w:b w:val="0"/>
              <w:bCs w:val="0"/>
            </w:rPr>
          </w:pPr>
          <w:hyperlink w:history="true" w:anchor="_bookmark5">
            <w:r>
              <w:rPr/>
              <w:t>第六节</w:t>
              <w:tab/>
              <w:t>普通股股份变动及股东情况</w:t>
            </w:r>
            <w:r>
              <w:rPr>
                <w:rFonts w:ascii="Times New Roman" w:hAnsi="Times New Roman" w:cs="Times New Roman" w:eastAsia="Times New Roman" w:hint="default"/>
              </w:rPr>
              <w:tab/>
              <w:t>60</w:t>
            </w:r>
            <w:r>
              <w:rPr>
                <w:rFonts w:ascii="Times New Roman" w:hAnsi="Times New Roman" w:cs="Times New Roman" w:eastAsia="Times New Roman" w:hint="default"/>
                <w:b w:val="0"/>
                <w:bCs w:val="0"/>
              </w:rPr>
            </w:r>
          </w:hyperlink>
        </w:p>
        <w:p>
          <w:pPr>
            <w:pStyle w:val="TOC1"/>
            <w:tabs>
              <w:tab w:pos="1477" w:val="left" w:leader="none"/>
              <w:tab w:pos="9041" w:val="right" w:leader="dot"/>
            </w:tabs>
            <w:spacing w:line="240" w:lineRule="auto"/>
            <w:ind w:right="0"/>
            <w:jc w:val="left"/>
            <w:rPr>
              <w:rFonts w:ascii="Times New Roman" w:hAnsi="Times New Roman" w:cs="Times New Roman" w:eastAsia="Times New Roman" w:hint="default"/>
              <w:b w:val="0"/>
              <w:bCs w:val="0"/>
            </w:rPr>
          </w:pPr>
          <w:hyperlink w:history="true" w:anchor="_bookmark6">
            <w:r>
              <w:rPr/>
              <w:t>第七节</w:t>
              <w:tab/>
              <w:t>优先股相关情况</w:t>
            </w:r>
            <w:r>
              <w:rPr>
                <w:rFonts w:ascii="Times New Roman" w:hAnsi="Times New Roman" w:cs="Times New Roman" w:eastAsia="Times New Roman" w:hint="default"/>
              </w:rPr>
              <w:tab/>
              <w:t>66</w:t>
            </w:r>
            <w:r>
              <w:rPr>
                <w:rFonts w:ascii="Times New Roman" w:hAnsi="Times New Roman" w:cs="Times New Roman" w:eastAsia="Times New Roman" w:hint="default"/>
                <w:b w:val="0"/>
                <w:bCs w:val="0"/>
              </w:rPr>
            </w:r>
          </w:hyperlink>
        </w:p>
        <w:p>
          <w:pPr>
            <w:pStyle w:val="TOC1"/>
            <w:tabs>
              <w:tab w:pos="1477" w:val="left" w:leader="none"/>
              <w:tab w:pos="9041" w:val="right" w:leader="dot"/>
            </w:tabs>
            <w:spacing w:line="240" w:lineRule="auto" w:before="120"/>
            <w:ind w:right="0"/>
            <w:jc w:val="left"/>
            <w:rPr>
              <w:rFonts w:ascii="Times New Roman" w:hAnsi="Times New Roman" w:cs="Times New Roman" w:eastAsia="Times New Roman" w:hint="default"/>
              <w:b w:val="0"/>
              <w:bCs w:val="0"/>
            </w:rPr>
          </w:pPr>
          <w:hyperlink w:history="true" w:anchor="_bookmark7">
            <w:r>
              <w:rPr/>
              <w:t>第八节</w:t>
              <w:tab/>
              <w:t>董事、监事、高级管理人员和员工情况</w:t>
            </w:r>
            <w:r>
              <w:rPr>
                <w:rFonts w:ascii="Times New Roman" w:hAnsi="Times New Roman" w:cs="Times New Roman" w:eastAsia="Times New Roman" w:hint="default"/>
              </w:rPr>
              <w:tab/>
              <w:t>67</w:t>
            </w:r>
            <w:r>
              <w:rPr>
                <w:rFonts w:ascii="Times New Roman" w:hAnsi="Times New Roman" w:cs="Times New Roman" w:eastAsia="Times New Roman" w:hint="default"/>
                <w:b w:val="0"/>
                <w:bCs w:val="0"/>
              </w:rPr>
            </w:r>
          </w:hyperlink>
        </w:p>
        <w:p>
          <w:pPr>
            <w:pStyle w:val="TOC1"/>
            <w:tabs>
              <w:tab w:pos="1477" w:val="left" w:leader="none"/>
              <w:tab w:pos="9041" w:val="right" w:leader="dot"/>
            </w:tabs>
            <w:spacing w:line="240" w:lineRule="auto"/>
            <w:ind w:right="0"/>
            <w:jc w:val="left"/>
            <w:rPr>
              <w:rFonts w:ascii="Times New Roman" w:hAnsi="Times New Roman" w:cs="Times New Roman" w:eastAsia="Times New Roman" w:hint="default"/>
              <w:b w:val="0"/>
              <w:bCs w:val="0"/>
            </w:rPr>
          </w:pPr>
          <w:hyperlink w:history="true" w:anchor="_bookmark8">
            <w:r>
              <w:rPr/>
              <w:t>第九节</w:t>
              <w:tab/>
              <w:t>公司治理</w:t>
            </w:r>
            <w:r>
              <w:rPr>
                <w:rFonts w:ascii="Times New Roman" w:hAnsi="Times New Roman" w:cs="Times New Roman" w:eastAsia="Times New Roman" w:hint="default"/>
              </w:rPr>
              <w:tab/>
              <w:t>72</w:t>
            </w:r>
            <w:r>
              <w:rPr>
                <w:rFonts w:ascii="Times New Roman" w:hAnsi="Times New Roman" w:cs="Times New Roman" w:eastAsia="Times New Roman" w:hint="default"/>
                <w:b w:val="0"/>
                <w:bCs w:val="0"/>
              </w:rPr>
            </w:r>
          </w:hyperlink>
        </w:p>
        <w:p>
          <w:pPr>
            <w:pStyle w:val="TOC1"/>
            <w:tabs>
              <w:tab w:pos="1477" w:val="left" w:leader="none"/>
              <w:tab w:pos="9041" w:val="right" w:leader="dot"/>
            </w:tabs>
            <w:spacing w:line="240" w:lineRule="auto"/>
            <w:ind w:right="0"/>
            <w:jc w:val="left"/>
            <w:rPr>
              <w:rFonts w:ascii="Times New Roman" w:hAnsi="Times New Roman" w:cs="Times New Roman" w:eastAsia="Times New Roman" w:hint="default"/>
              <w:b w:val="0"/>
              <w:bCs w:val="0"/>
            </w:rPr>
          </w:pPr>
          <w:hyperlink w:history="true" w:anchor="_bookmark9">
            <w:r>
              <w:rPr/>
              <w:t>第十节</w:t>
              <w:tab/>
              <w:t>公司债券相关情况</w:t>
            </w:r>
            <w:r>
              <w:rPr>
                <w:rFonts w:ascii="Times New Roman" w:hAnsi="Times New Roman" w:cs="Times New Roman" w:eastAsia="Times New Roman" w:hint="default"/>
              </w:rPr>
              <w:tab/>
              <w:t>76</w:t>
            </w:r>
            <w:r>
              <w:rPr>
                <w:rFonts w:ascii="Times New Roman" w:hAnsi="Times New Roman" w:cs="Times New Roman" w:eastAsia="Times New Roman" w:hint="default"/>
                <w:b w:val="0"/>
                <w:bCs w:val="0"/>
              </w:rPr>
            </w:r>
          </w:hyperlink>
        </w:p>
        <w:p>
          <w:pPr>
            <w:pStyle w:val="TOC1"/>
            <w:tabs>
              <w:tab w:pos="1477" w:val="left" w:leader="none"/>
              <w:tab w:pos="9041" w:val="right" w:leader="dot"/>
            </w:tabs>
            <w:spacing w:line="240" w:lineRule="auto"/>
            <w:ind w:right="0"/>
            <w:jc w:val="left"/>
            <w:rPr>
              <w:rFonts w:ascii="Times New Roman" w:hAnsi="Times New Roman" w:cs="Times New Roman" w:eastAsia="Times New Roman" w:hint="default"/>
              <w:b w:val="0"/>
              <w:bCs w:val="0"/>
            </w:rPr>
          </w:pPr>
          <w:hyperlink w:history="true" w:anchor="_bookmark10">
            <w:r>
              <w:rPr/>
              <w:t>第十一节</w:t>
              <w:tab/>
              <w:t>财务报告</w:t>
            </w:r>
            <w:r>
              <w:rPr>
                <w:rFonts w:ascii="Times New Roman" w:hAnsi="Times New Roman" w:cs="Times New Roman" w:eastAsia="Times New Roman" w:hint="default"/>
              </w:rPr>
              <w:tab/>
              <w:t>77</w:t>
            </w:r>
            <w:r>
              <w:rPr>
                <w:rFonts w:ascii="Times New Roman" w:hAnsi="Times New Roman" w:cs="Times New Roman" w:eastAsia="Times New Roman" w:hint="default"/>
                <w:b w:val="0"/>
                <w:bCs w:val="0"/>
              </w:rPr>
            </w:r>
          </w:hyperlink>
        </w:p>
        <w:p>
          <w:pPr>
            <w:pStyle w:val="TOC1"/>
            <w:tabs>
              <w:tab w:pos="1477" w:val="left" w:leader="none"/>
              <w:tab w:pos="9044" w:val="right" w:leader="dot"/>
            </w:tabs>
            <w:spacing w:line="240" w:lineRule="auto"/>
            <w:ind w:right="0"/>
            <w:jc w:val="left"/>
            <w:rPr>
              <w:rFonts w:ascii="Times New Roman" w:hAnsi="Times New Roman" w:cs="Times New Roman" w:eastAsia="Times New Roman" w:hint="default"/>
              <w:b w:val="0"/>
              <w:bCs w:val="0"/>
            </w:rPr>
          </w:pPr>
          <w:hyperlink w:history="true" w:anchor="_bookmark11">
            <w:r>
              <w:rPr/>
              <w:t>第十二节</w:t>
              <w:tab/>
              <w:t>备查文件目录</w:t>
            </w:r>
            <w:r>
              <w:rPr>
                <w:rFonts w:ascii="Times New Roman" w:hAnsi="Times New Roman" w:cs="Times New Roman" w:eastAsia="Times New Roman" w:hint="default"/>
              </w:rPr>
              <w:tab/>
              <w:t>216</w:t>
            </w:r>
            <w:r>
              <w:rPr>
                <w:rFonts w:ascii="Times New Roman" w:hAnsi="Times New Roman" w:cs="Times New Roman" w:eastAsia="Times New Roman" w:hint="default"/>
                <w:b w:val="0"/>
                <w:bCs w:val="0"/>
              </w:rPr>
            </w:r>
          </w:hyperlink>
        </w:p>
        <w:p>
          <w:pPr/>
          <w:r>
            <w:fldChar w:fldCharType="end"/>
          </w:r>
        </w:p>
      </w:sdtContent>
    </w:sdt>
    <w:p>
      <w:pPr>
        <w:spacing w:after="0"/>
        <w:sectPr>
          <w:pgSz w:w="11910" w:h="16840"/>
          <w:pgMar w:header="747" w:footer="974" w:top="1140" w:bottom="1160" w:left="1580" w:right="1140"/>
        </w:sectPr>
      </w:pPr>
    </w:p>
    <w:p>
      <w:pPr>
        <w:pStyle w:val="Heading1"/>
        <w:tabs>
          <w:tab w:pos="1259" w:val="left" w:leader="none"/>
        </w:tabs>
        <w:spacing w:line="240" w:lineRule="auto" w:before="816"/>
        <w:ind w:right="36"/>
        <w:jc w:val="center"/>
        <w:rPr>
          <w:rFonts w:ascii="黑体" w:hAnsi="黑体" w:cs="黑体" w:eastAsia="黑体" w:hint="default"/>
          <w:b w:val="0"/>
          <w:bCs w:val="0"/>
        </w:rPr>
      </w:pPr>
      <w:r>
        <w:rPr/>
        <w:pict>
          <v:group style="position:absolute;margin-left:65.949997pt;margin-top:37.399982pt;width:459.3pt;height:19.650pt;mso-position-horizontal-relative:page;mso-position-vertical-relative:page;z-index:-1319608" coordorigin="1319,748" coordsize="9186,393">
            <v:group style="position:absolute;left:1390;top:1118;width:9107;height:2" coordorigin="1390,1118" coordsize="9107,2">
              <v:shape style="position:absolute;left:1390;top:1118;width:9107;height:2" coordorigin="1390,1118" coordsize="9107,0" path="m1390,1118l10497,1118e" filled="false" stroked="true" strokeweight=".72pt" strokecolor="#000000">
                <v:path arrowok="t"/>
              </v:shape>
              <v:shape style="position:absolute;left:1319;top:748;width:465;height:393" type="#_x0000_t75" stroked="false">
                <v:imagedata r:id="rId10" o:title=""/>
              </v:shape>
            </v:group>
            <w10:wrap type="none"/>
          </v:group>
        </w:pict>
      </w:r>
      <w:bookmarkStart w:name="_bookmark0" w:id="1"/>
      <w:bookmarkEnd w:id="1"/>
      <w:r>
        <w:rPr>
          <w:b w:val="0"/>
          <w:bCs w:val="0"/>
        </w:rPr>
      </w:r>
      <w:r>
        <w:rPr>
          <w:rFonts w:ascii="黑体" w:hAnsi="黑体" w:cs="黑体" w:eastAsia="黑体" w:hint="default"/>
          <w:w w:val="95"/>
        </w:rPr>
        <w:t>第一节</w:t>
      </w:r>
      <w:r>
        <w:rPr>
          <w:rFonts w:ascii="宋体" w:hAnsi="宋体" w:cs="宋体" w:eastAsia="宋体" w:hint="default"/>
          <w:w w:val="95"/>
        </w:rPr>
        <w:tab/>
      </w:r>
      <w:r>
        <w:rPr>
          <w:rFonts w:ascii="黑体" w:hAnsi="黑体" w:cs="黑体" w:eastAsia="黑体" w:hint="default"/>
        </w:rPr>
        <w:t>释义</w:t>
      </w:r>
      <w:r>
        <w:rPr>
          <w:rFonts w:ascii="黑体" w:hAnsi="黑体" w:cs="黑体" w:eastAsia="黑体" w:hint="default"/>
          <w:b w:val="0"/>
          <w:bCs w:val="0"/>
        </w:rPr>
      </w:r>
    </w:p>
    <w:p>
      <w:pPr>
        <w:pStyle w:val="BodyText"/>
        <w:spacing w:line="324" w:lineRule="auto" w:before="219"/>
        <w:ind w:right="2670"/>
        <w:jc w:val="left"/>
        <w:rPr>
          <w:rFonts w:ascii="宋体" w:hAnsi="宋体" w:cs="宋体" w:eastAsia="宋体" w:hint="default"/>
        </w:rPr>
      </w:pPr>
      <w:r>
        <w:rPr/>
        <w:pict>
          <v:shape style="position:absolute;margin-left:65.304001pt;margin-top:45.773693pt;width:466.9pt;height:595.8pt;mso-position-horizontal-relative:page;mso-position-vertical-relative:paragraph;z-index:104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518"/>
                    <w:gridCol w:w="711"/>
                    <w:gridCol w:w="6095"/>
                  </w:tblGrid>
                  <w:tr>
                    <w:trPr>
                      <w:trHeight w:val="322" w:hRule="exact"/>
                    </w:trPr>
                    <w:tc>
                      <w:tcPr>
                        <w:tcW w:w="9323" w:type="dxa"/>
                        <w:gridSpan w:val="3"/>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常用词语释义</w:t>
                        </w:r>
                        <w:r>
                          <w:rPr>
                            <w:rFonts w:ascii="宋体" w:hAnsi="宋体" w:cs="宋体" w:eastAsia="宋体" w:hint="default"/>
                            <w:sz w:val="21"/>
                            <w:szCs w:val="21"/>
                          </w:rPr>
                          <w:t> </w:t>
                        </w:r>
                      </w:p>
                    </w:tc>
                  </w:tr>
                  <w:tr>
                    <w:trPr>
                      <w:trHeight w:val="322"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3"/>
                          <w:jc w:val="center"/>
                          <w:rPr>
                            <w:rFonts w:ascii="宋体" w:hAnsi="宋体" w:cs="宋体" w:eastAsia="宋体" w:hint="default"/>
                            <w:sz w:val="21"/>
                            <w:szCs w:val="21"/>
                          </w:rPr>
                        </w:pPr>
                        <w:r>
                          <w:rPr>
                            <w:rFonts w:ascii="宋体" w:hAnsi="宋体" w:cs="宋体" w:eastAsia="宋体" w:hint="default"/>
                            <w:spacing w:val="-3"/>
                            <w:sz w:val="21"/>
                            <w:szCs w:val="21"/>
                          </w:rPr>
                          <w:t>公司、本公司、林洋能源</w:t>
                        </w:r>
                        <w:r>
                          <w:rPr>
                            <w:rFonts w:ascii="宋体" w:hAnsi="宋体" w:cs="宋体" w:eastAsia="宋体" w:hint="default"/>
                            <w:sz w:val="21"/>
                            <w:szCs w:val="21"/>
                          </w:rPr>
                          <w:t> </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39"/>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609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江苏林洋能源股份有限公司</w:t>
                        </w:r>
                        <w:r>
                          <w:rPr>
                            <w:rFonts w:ascii="宋体" w:hAnsi="宋体" w:cs="宋体" w:eastAsia="宋体" w:hint="default"/>
                            <w:sz w:val="21"/>
                            <w:szCs w:val="21"/>
                          </w:rPr>
                          <w:t> </w:t>
                        </w:r>
                      </w:p>
                    </w:tc>
                  </w:tr>
                  <w:tr>
                    <w:trPr>
                      <w:trHeight w:val="322"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center"/>
                          <w:rPr>
                            <w:rFonts w:ascii="宋体" w:hAnsi="宋体" w:cs="宋体" w:eastAsia="宋体" w:hint="default"/>
                            <w:sz w:val="21"/>
                            <w:szCs w:val="21"/>
                          </w:rPr>
                        </w:pPr>
                        <w:r>
                          <w:rPr>
                            <w:rFonts w:ascii="宋体" w:hAnsi="宋体" w:cs="宋体" w:eastAsia="宋体" w:hint="default"/>
                            <w:sz w:val="21"/>
                            <w:szCs w:val="21"/>
                          </w:rPr>
                          <w:t>华虹电子</w:t>
                        </w:r>
                        <w:r>
                          <w:rPr>
                            <w:rFonts w:ascii="宋体" w:hAnsi="宋体" w:cs="宋体" w:eastAsia="宋体" w:hint="default"/>
                            <w:sz w:val="21"/>
                            <w:szCs w:val="21"/>
                          </w:rPr>
                          <w:t> </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39"/>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609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启东市华虹电子有限公司，公司控股股东</w:t>
                        </w:r>
                        <w:r>
                          <w:rPr>
                            <w:rFonts w:ascii="宋体" w:hAnsi="宋体" w:cs="宋体" w:eastAsia="宋体" w:hint="default"/>
                            <w:sz w:val="21"/>
                            <w:szCs w:val="21"/>
                          </w:rPr>
                          <w:t> </w:t>
                        </w:r>
                      </w:p>
                    </w:tc>
                  </w:tr>
                  <w:tr>
                    <w:trPr>
                      <w:trHeight w:val="324"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center"/>
                          <w:rPr>
                            <w:rFonts w:ascii="宋体" w:hAnsi="宋体" w:cs="宋体" w:eastAsia="宋体" w:hint="default"/>
                            <w:sz w:val="21"/>
                            <w:szCs w:val="21"/>
                          </w:rPr>
                        </w:pPr>
                        <w:r>
                          <w:rPr>
                            <w:rFonts w:ascii="宋体" w:hAnsi="宋体" w:cs="宋体" w:eastAsia="宋体" w:hint="default"/>
                            <w:sz w:val="21"/>
                            <w:szCs w:val="21"/>
                          </w:rPr>
                          <w:t>上海会逸、华强投资</w:t>
                        </w:r>
                        <w:r>
                          <w:rPr>
                            <w:rFonts w:ascii="宋体" w:hAnsi="宋体" w:cs="宋体" w:eastAsia="宋体" w:hint="default"/>
                            <w:sz w:val="21"/>
                            <w:szCs w:val="21"/>
                          </w:rPr>
                          <w:t> </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39"/>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609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0" w:right="-3"/>
                          <w:jc w:val="left"/>
                          <w:rPr>
                            <w:rFonts w:ascii="宋体" w:hAnsi="宋体" w:cs="宋体" w:eastAsia="宋体" w:hint="default"/>
                            <w:sz w:val="21"/>
                            <w:szCs w:val="21"/>
                          </w:rPr>
                        </w:pPr>
                        <w:r>
                          <w:rPr>
                            <w:rFonts w:ascii="宋体" w:hAnsi="宋体" w:cs="宋体" w:eastAsia="宋体" w:hint="default"/>
                            <w:sz w:val="21"/>
                            <w:szCs w:val="21"/>
                          </w:rPr>
                          <w:t>上海会逸企业管理有限公司（更名前：南通华强投资有限公司）</w:t>
                        </w:r>
                        <w:r>
                          <w:rPr>
                            <w:rFonts w:ascii="宋体" w:hAnsi="宋体" w:cs="宋体" w:eastAsia="宋体" w:hint="default"/>
                            <w:sz w:val="21"/>
                            <w:szCs w:val="21"/>
                          </w:rPr>
                          <w:t> </w:t>
                        </w:r>
                      </w:p>
                    </w:tc>
                  </w:tr>
                  <w:tr>
                    <w:trPr>
                      <w:trHeight w:val="322"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center"/>
                          <w:rPr>
                            <w:rFonts w:ascii="宋体" w:hAnsi="宋体" w:cs="宋体" w:eastAsia="宋体" w:hint="default"/>
                            <w:sz w:val="21"/>
                            <w:szCs w:val="21"/>
                          </w:rPr>
                        </w:pPr>
                        <w:r>
                          <w:rPr>
                            <w:rFonts w:ascii="宋体" w:hAnsi="宋体" w:cs="宋体" w:eastAsia="宋体" w:hint="default"/>
                            <w:sz w:val="21"/>
                            <w:szCs w:val="21"/>
                          </w:rPr>
                          <w:t>林洋新能源</w:t>
                        </w:r>
                        <w:r>
                          <w:rPr>
                            <w:rFonts w:ascii="宋体" w:hAnsi="宋体" w:cs="宋体" w:eastAsia="宋体" w:hint="default"/>
                            <w:sz w:val="21"/>
                            <w:szCs w:val="21"/>
                          </w:rPr>
                          <w:t> </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39"/>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609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江苏林洋新能源科技有限公司，公司全资子公司</w:t>
                        </w:r>
                        <w:r>
                          <w:rPr>
                            <w:rFonts w:ascii="宋体" w:hAnsi="宋体" w:cs="宋体" w:eastAsia="宋体" w:hint="default"/>
                            <w:sz w:val="21"/>
                            <w:szCs w:val="21"/>
                          </w:rPr>
                          <w:t> </w:t>
                        </w:r>
                      </w:p>
                    </w:tc>
                  </w:tr>
                  <w:tr>
                    <w:trPr>
                      <w:trHeight w:val="322"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center"/>
                          <w:rPr>
                            <w:rFonts w:ascii="宋体" w:hAnsi="宋体" w:cs="宋体" w:eastAsia="宋体" w:hint="default"/>
                            <w:sz w:val="21"/>
                            <w:szCs w:val="21"/>
                          </w:rPr>
                        </w:pPr>
                        <w:r>
                          <w:rPr>
                            <w:rFonts w:ascii="宋体" w:hAnsi="宋体" w:cs="宋体" w:eastAsia="宋体" w:hint="default"/>
                            <w:sz w:val="21"/>
                            <w:szCs w:val="21"/>
                          </w:rPr>
                          <w:t>林洋光伏</w:t>
                        </w:r>
                        <w:r>
                          <w:rPr>
                            <w:rFonts w:ascii="宋体" w:hAnsi="宋体" w:cs="宋体" w:eastAsia="宋体" w:hint="default"/>
                            <w:sz w:val="21"/>
                            <w:szCs w:val="21"/>
                          </w:rPr>
                          <w:t> </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39"/>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609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江苏林洋光伏科技有限公司，公司全资孙公司</w:t>
                        </w:r>
                        <w:r>
                          <w:rPr>
                            <w:rFonts w:ascii="宋体" w:hAnsi="宋体" w:cs="宋体" w:eastAsia="宋体" w:hint="default"/>
                            <w:sz w:val="21"/>
                            <w:szCs w:val="21"/>
                          </w:rPr>
                          <w:t> </w:t>
                        </w:r>
                      </w:p>
                    </w:tc>
                  </w:tr>
                  <w:tr>
                    <w:trPr>
                      <w:trHeight w:val="322"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3" w:right="0"/>
                          <w:jc w:val="center"/>
                          <w:rPr>
                            <w:rFonts w:ascii="宋体" w:hAnsi="宋体" w:cs="宋体" w:eastAsia="宋体" w:hint="default"/>
                            <w:sz w:val="21"/>
                            <w:szCs w:val="21"/>
                          </w:rPr>
                        </w:pPr>
                        <w:r>
                          <w:rPr>
                            <w:rFonts w:ascii="宋体" w:hAnsi="宋体" w:cs="宋体" w:eastAsia="宋体" w:hint="default"/>
                            <w:sz w:val="21"/>
                            <w:szCs w:val="21"/>
                          </w:rPr>
                          <w:t>光伏运维</w:t>
                        </w:r>
                        <w:r>
                          <w:rPr>
                            <w:rFonts w:ascii="宋体" w:hAnsi="宋体" w:cs="宋体" w:eastAsia="宋体" w:hint="default"/>
                            <w:sz w:val="21"/>
                            <w:szCs w:val="21"/>
                          </w:rPr>
                          <w:t> </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139"/>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6095"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0" w:right="0"/>
                          <w:jc w:val="left"/>
                          <w:rPr>
                            <w:rFonts w:ascii="宋体" w:hAnsi="宋体" w:cs="宋体" w:eastAsia="宋体" w:hint="default"/>
                            <w:sz w:val="21"/>
                            <w:szCs w:val="21"/>
                          </w:rPr>
                        </w:pPr>
                        <w:r>
                          <w:rPr>
                            <w:rFonts w:ascii="宋体" w:hAnsi="宋体" w:cs="宋体" w:eastAsia="宋体" w:hint="default"/>
                            <w:sz w:val="21"/>
                            <w:szCs w:val="21"/>
                          </w:rPr>
                          <w:t>江苏林洋光伏运维有限公司，公司全资子公司</w:t>
                        </w:r>
                        <w:r>
                          <w:rPr>
                            <w:rFonts w:ascii="宋体" w:hAnsi="宋体" w:cs="宋体" w:eastAsia="宋体" w:hint="default"/>
                            <w:sz w:val="21"/>
                            <w:szCs w:val="21"/>
                          </w:rPr>
                          <w:t> </w:t>
                        </w:r>
                      </w:p>
                    </w:tc>
                  </w:tr>
                  <w:tr>
                    <w:trPr>
                      <w:trHeight w:val="322"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center"/>
                          <w:rPr>
                            <w:rFonts w:ascii="宋体" w:hAnsi="宋体" w:cs="宋体" w:eastAsia="宋体" w:hint="default"/>
                            <w:sz w:val="21"/>
                            <w:szCs w:val="21"/>
                          </w:rPr>
                        </w:pPr>
                        <w:r>
                          <w:rPr>
                            <w:rFonts w:ascii="宋体" w:hAnsi="宋体" w:cs="宋体" w:eastAsia="宋体" w:hint="default"/>
                            <w:sz w:val="21"/>
                            <w:szCs w:val="21"/>
                          </w:rPr>
                          <w:t>林洋照明</w:t>
                        </w:r>
                        <w:r>
                          <w:rPr>
                            <w:rFonts w:ascii="宋体" w:hAnsi="宋体" w:cs="宋体" w:eastAsia="宋体" w:hint="default"/>
                            <w:sz w:val="21"/>
                            <w:szCs w:val="21"/>
                          </w:rPr>
                          <w:t> </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39"/>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609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江苏林洋照明科技有限公司，公司全资子公司</w:t>
                        </w:r>
                        <w:r>
                          <w:rPr>
                            <w:rFonts w:ascii="宋体" w:hAnsi="宋体" w:cs="宋体" w:eastAsia="宋体" w:hint="default"/>
                            <w:sz w:val="21"/>
                            <w:szCs w:val="21"/>
                          </w:rPr>
                          <w:t> </w:t>
                        </w:r>
                      </w:p>
                    </w:tc>
                  </w:tr>
                  <w:tr>
                    <w:trPr>
                      <w:trHeight w:val="322"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center"/>
                          <w:rPr>
                            <w:rFonts w:ascii="宋体" w:hAnsi="宋体" w:cs="宋体" w:eastAsia="宋体" w:hint="default"/>
                            <w:sz w:val="21"/>
                            <w:szCs w:val="21"/>
                          </w:rPr>
                        </w:pPr>
                        <w:r>
                          <w:rPr>
                            <w:rFonts w:ascii="宋体" w:hAnsi="宋体" w:cs="宋体" w:eastAsia="宋体" w:hint="default"/>
                            <w:sz w:val="21"/>
                            <w:szCs w:val="21"/>
                          </w:rPr>
                          <w:t>电力服务</w:t>
                        </w:r>
                        <w:r>
                          <w:rPr>
                            <w:rFonts w:ascii="宋体" w:hAnsi="宋体" w:cs="宋体" w:eastAsia="宋体" w:hint="default"/>
                            <w:sz w:val="21"/>
                            <w:szCs w:val="21"/>
                          </w:rPr>
                          <w:t> </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39"/>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609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江苏林洋电力服务有限公司，公司全资子公司</w:t>
                        </w:r>
                        <w:r>
                          <w:rPr>
                            <w:rFonts w:ascii="宋体" w:hAnsi="宋体" w:cs="宋体" w:eastAsia="宋体" w:hint="default"/>
                            <w:sz w:val="21"/>
                            <w:szCs w:val="21"/>
                          </w:rPr>
                          <w:t> </w:t>
                        </w:r>
                      </w:p>
                    </w:tc>
                  </w:tr>
                  <w:tr>
                    <w:trPr>
                      <w:trHeight w:val="324"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center"/>
                          <w:rPr>
                            <w:rFonts w:ascii="宋体" w:hAnsi="宋体" w:cs="宋体" w:eastAsia="宋体" w:hint="default"/>
                            <w:sz w:val="21"/>
                            <w:szCs w:val="21"/>
                          </w:rPr>
                        </w:pPr>
                        <w:r>
                          <w:rPr>
                            <w:rFonts w:ascii="宋体" w:hAnsi="宋体" w:cs="宋体" w:eastAsia="宋体" w:hint="default"/>
                            <w:sz w:val="21"/>
                            <w:szCs w:val="21"/>
                          </w:rPr>
                          <w:t>南京林洋</w:t>
                        </w:r>
                        <w:r>
                          <w:rPr>
                            <w:rFonts w:ascii="宋体" w:hAnsi="宋体" w:cs="宋体" w:eastAsia="宋体" w:hint="default"/>
                            <w:sz w:val="21"/>
                            <w:szCs w:val="21"/>
                          </w:rPr>
                          <w:t> </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39"/>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609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0" w:right="0"/>
                          <w:jc w:val="left"/>
                          <w:rPr>
                            <w:rFonts w:ascii="宋体" w:hAnsi="宋体" w:cs="宋体" w:eastAsia="宋体" w:hint="default"/>
                            <w:sz w:val="21"/>
                            <w:szCs w:val="21"/>
                          </w:rPr>
                        </w:pPr>
                        <w:r>
                          <w:rPr>
                            <w:rFonts w:ascii="宋体" w:hAnsi="宋体" w:cs="宋体" w:eastAsia="宋体" w:hint="default"/>
                            <w:sz w:val="21"/>
                            <w:szCs w:val="21"/>
                          </w:rPr>
                          <w:t>南京林洋电力科技有限公司，公司全资子公司</w:t>
                        </w:r>
                        <w:r>
                          <w:rPr>
                            <w:rFonts w:ascii="宋体" w:hAnsi="宋体" w:cs="宋体" w:eastAsia="宋体" w:hint="default"/>
                            <w:sz w:val="21"/>
                            <w:szCs w:val="21"/>
                          </w:rPr>
                          <w:t> </w:t>
                        </w:r>
                      </w:p>
                    </w:tc>
                  </w:tr>
                  <w:tr>
                    <w:trPr>
                      <w:trHeight w:val="322"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center"/>
                          <w:rPr>
                            <w:rFonts w:ascii="宋体" w:hAnsi="宋体" w:cs="宋体" w:eastAsia="宋体" w:hint="default"/>
                            <w:sz w:val="21"/>
                            <w:szCs w:val="21"/>
                          </w:rPr>
                        </w:pPr>
                        <w:r>
                          <w:rPr>
                            <w:rFonts w:ascii="宋体" w:hAnsi="宋体" w:cs="宋体" w:eastAsia="宋体" w:hint="default"/>
                            <w:sz w:val="21"/>
                            <w:szCs w:val="21"/>
                          </w:rPr>
                          <w:t>上海林洋</w:t>
                        </w:r>
                        <w:r>
                          <w:rPr>
                            <w:rFonts w:ascii="宋体" w:hAnsi="宋体" w:cs="宋体" w:eastAsia="宋体" w:hint="default"/>
                            <w:sz w:val="21"/>
                            <w:szCs w:val="21"/>
                          </w:rPr>
                          <w:t> </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39"/>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609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林洋能源科技（上海）有限公司，公司全资子公司</w:t>
                        </w:r>
                        <w:r>
                          <w:rPr>
                            <w:rFonts w:ascii="宋体" w:hAnsi="宋体" w:cs="宋体" w:eastAsia="宋体" w:hint="default"/>
                            <w:sz w:val="21"/>
                            <w:szCs w:val="21"/>
                          </w:rPr>
                          <w:t> </w:t>
                        </w:r>
                      </w:p>
                    </w:tc>
                  </w:tr>
                  <w:tr>
                    <w:trPr>
                      <w:trHeight w:val="322"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center"/>
                          <w:rPr>
                            <w:rFonts w:ascii="宋体" w:hAnsi="宋体" w:cs="宋体" w:eastAsia="宋体" w:hint="default"/>
                            <w:sz w:val="21"/>
                            <w:szCs w:val="21"/>
                          </w:rPr>
                        </w:pPr>
                        <w:r>
                          <w:rPr>
                            <w:rFonts w:ascii="宋体" w:hAnsi="宋体" w:cs="宋体" w:eastAsia="宋体" w:hint="default"/>
                            <w:sz w:val="21"/>
                            <w:szCs w:val="21"/>
                          </w:rPr>
                          <w:t>永安电子</w:t>
                        </w:r>
                        <w:r>
                          <w:rPr>
                            <w:rFonts w:ascii="宋体" w:hAnsi="宋体" w:cs="宋体" w:eastAsia="宋体" w:hint="default"/>
                            <w:sz w:val="21"/>
                            <w:szCs w:val="21"/>
                          </w:rPr>
                          <w:t> </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39"/>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609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安徽永安电子科技有限公司，公司全资子公司</w:t>
                        </w:r>
                        <w:r>
                          <w:rPr>
                            <w:rFonts w:ascii="宋体" w:hAnsi="宋体" w:cs="宋体" w:eastAsia="宋体" w:hint="default"/>
                            <w:sz w:val="21"/>
                            <w:szCs w:val="21"/>
                          </w:rPr>
                          <w:t> </w:t>
                        </w:r>
                      </w:p>
                    </w:tc>
                  </w:tr>
                  <w:tr>
                    <w:trPr>
                      <w:trHeight w:val="322"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center"/>
                          <w:rPr>
                            <w:rFonts w:ascii="宋体" w:hAnsi="宋体" w:cs="宋体" w:eastAsia="宋体" w:hint="default"/>
                            <w:sz w:val="21"/>
                            <w:szCs w:val="21"/>
                          </w:rPr>
                        </w:pPr>
                        <w:r>
                          <w:rPr>
                            <w:rFonts w:ascii="宋体" w:hAnsi="宋体" w:cs="宋体" w:eastAsia="宋体" w:hint="default"/>
                            <w:sz w:val="21"/>
                            <w:szCs w:val="21"/>
                          </w:rPr>
                          <w:t>华虹租赁</w:t>
                        </w:r>
                        <w:r>
                          <w:rPr>
                            <w:rFonts w:ascii="宋体" w:hAnsi="宋体" w:cs="宋体" w:eastAsia="宋体" w:hint="default"/>
                            <w:sz w:val="21"/>
                            <w:szCs w:val="21"/>
                          </w:rPr>
                          <w:t> </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39"/>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609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南京华虹融资租赁有限公司</w:t>
                        </w:r>
                        <w:r>
                          <w:rPr>
                            <w:rFonts w:ascii="宋体" w:hAnsi="宋体" w:cs="宋体" w:eastAsia="宋体" w:hint="default"/>
                            <w:sz w:val="21"/>
                            <w:szCs w:val="21"/>
                          </w:rPr>
                          <w:t> </w:t>
                        </w:r>
                      </w:p>
                    </w:tc>
                  </w:tr>
                  <w:tr>
                    <w:trPr>
                      <w:trHeight w:val="322"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center"/>
                          <w:rPr>
                            <w:rFonts w:ascii="宋体" w:hAnsi="宋体" w:cs="宋体" w:eastAsia="宋体" w:hint="default"/>
                            <w:sz w:val="21"/>
                            <w:szCs w:val="21"/>
                          </w:rPr>
                        </w:pPr>
                        <w:r>
                          <w:rPr>
                            <w:rFonts w:ascii="宋体" w:hAnsi="宋体" w:cs="宋体" w:eastAsia="宋体" w:hint="default"/>
                            <w:sz w:val="21"/>
                            <w:szCs w:val="21"/>
                          </w:rPr>
                          <w:t>内蒙古乾华</w:t>
                        </w:r>
                        <w:r>
                          <w:rPr>
                            <w:rFonts w:ascii="宋体" w:hAnsi="宋体" w:cs="宋体" w:eastAsia="宋体" w:hint="default"/>
                            <w:sz w:val="21"/>
                            <w:szCs w:val="21"/>
                          </w:rPr>
                          <w:t> </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39"/>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609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内蒙古乾华农业发展有限公司，公司全资子公司</w:t>
                        </w:r>
                        <w:r>
                          <w:rPr>
                            <w:rFonts w:ascii="宋体" w:hAnsi="宋体" w:cs="宋体" w:eastAsia="宋体" w:hint="default"/>
                            <w:sz w:val="21"/>
                            <w:szCs w:val="21"/>
                          </w:rPr>
                          <w:t> </w:t>
                        </w:r>
                      </w:p>
                    </w:tc>
                  </w:tr>
                  <w:tr>
                    <w:trPr>
                      <w:trHeight w:val="322"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center"/>
                          <w:rPr>
                            <w:rFonts w:ascii="宋体" w:hAnsi="宋体" w:cs="宋体" w:eastAsia="宋体" w:hint="default"/>
                            <w:sz w:val="21"/>
                            <w:szCs w:val="21"/>
                          </w:rPr>
                        </w:pPr>
                        <w:r>
                          <w:rPr>
                            <w:rFonts w:ascii="宋体" w:hAnsi="宋体" w:cs="宋体" w:eastAsia="宋体" w:hint="default"/>
                            <w:sz w:val="21"/>
                            <w:szCs w:val="21"/>
                          </w:rPr>
                          <w:t>安徽林洋</w:t>
                        </w:r>
                        <w:r>
                          <w:rPr>
                            <w:rFonts w:ascii="宋体" w:hAnsi="宋体" w:cs="宋体" w:eastAsia="宋体" w:hint="default"/>
                            <w:sz w:val="21"/>
                            <w:szCs w:val="21"/>
                          </w:rPr>
                          <w:t> </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39"/>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609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安徽林洋新能源科技有限公司，公司全资子公司</w:t>
                        </w:r>
                        <w:r>
                          <w:rPr>
                            <w:rFonts w:ascii="宋体" w:hAnsi="宋体" w:cs="宋体" w:eastAsia="宋体" w:hint="default"/>
                            <w:sz w:val="21"/>
                            <w:szCs w:val="21"/>
                          </w:rPr>
                          <w:t> </w:t>
                        </w:r>
                      </w:p>
                    </w:tc>
                  </w:tr>
                  <w:tr>
                    <w:trPr>
                      <w:trHeight w:val="324"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center"/>
                          <w:rPr>
                            <w:rFonts w:ascii="宋体" w:hAnsi="宋体" w:cs="宋体" w:eastAsia="宋体" w:hint="default"/>
                            <w:sz w:val="21"/>
                            <w:szCs w:val="21"/>
                          </w:rPr>
                        </w:pPr>
                        <w:r>
                          <w:rPr>
                            <w:rFonts w:ascii="宋体" w:hAnsi="宋体" w:cs="宋体" w:eastAsia="宋体" w:hint="default"/>
                            <w:sz w:val="21"/>
                            <w:szCs w:val="21"/>
                          </w:rPr>
                          <w:t>山东林洋</w:t>
                        </w:r>
                        <w:r>
                          <w:rPr>
                            <w:rFonts w:ascii="宋体" w:hAnsi="宋体" w:cs="宋体" w:eastAsia="宋体" w:hint="default"/>
                            <w:sz w:val="21"/>
                            <w:szCs w:val="21"/>
                          </w:rPr>
                          <w:t> </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39"/>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609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0" w:right="0"/>
                          <w:jc w:val="left"/>
                          <w:rPr>
                            <w:rFonts w:ascii="宋体" w:hAnsi="宋体" w:cs="宋体" w:eastAsia="宋体" w:hint="default"/>
                            <w:sz w:val="21"/>
                            <w:szCs w:val="21"/>
                          </w:rPr>
                        </w:pPr>
                        <w:r>
                          <w:rPr>
                            <w:rFonts w:ascii="宋体" w:hAnsi="宋体" w:cs="宋体" w:eastAsia="宋体" w:hint="default"/>
                            <w:sz w:val="21"/>
                            <w:szCs w:val="21"/>
                          </w:rPr>
                          <w:t>山东林洋新能源科技有限公司，公司全资子公司</w:t>
                        </w:r>
                        <w:r>
                          <w:rPr>
                            <w:rFonts w:ascii="宋体" w:hAnsi="宋体" w:cs="宋体" w:eastAsia="宋体" w:hint="default"/>
                            <w:sz w:val="21"/>
                            <w:szCs w:val="21"/>
                          </w:rPr>
                          <w:t> </w:t>
                        </w:r>
                      </w:p>
                    </w:tc>
                  </w:tr>
                  <w:tr>
                    <w:trPr>
                      <w:trHeight w:val="322"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center"/>
                          <w:rPr>
                            <w:rFonts w:ascii="宋体" w:hAnsi="宋体" w:cs="宋体" w:eastAsia="宋体" w:hint="default"/>
                            <w:sz w:val="21"/>
                            <w:szCs w:val="21"/>
                          </w:rPr>
                        </w:pPr>
                        <w:r>
                          <w:rPr>
                            <w:rFonts w:ascii="宋体" w:hAnsi="宋体" w:cs="宋体" w:eastAsia="宋体" w:hint="default"/>
                            <w:sz w:val="21"/>
                            <w:szCs w:val="21"/>
                          </w:rPr>
                          <w:t>河南林洋</w:t>
                        </w:r>
                        <w:r>
                          <w:rPr>
                            <w:rFonts w:ascii="宋体" w:hAnsi="宋体" w:cs="宋体" w:eastAsia="宋体" w:hint="default"/>
                            <w:sz w:val="21"/>
                            <w:szCs w:val="21"/>
                          </w:rPr>
                          <w:t> </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39"/>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609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河南林洋新能源科技有限公司，公司全资子公司</w:t>
                        </w:r>
                        <w:r>
                          <w:rPr>
                            <w:rFonts w:ascii="宋体" w:hAnsi="宋体" w:cs="宋体" w:eastAsia="宋体" w:hint="default"/>
                            <w:sz w:val="21"/>
                            <w:szCs w:val="21"/>
                          </w:rPr>
                          <w:t> </w:t>
                        </w:r>
                      </w:p>
                    </w:tc>
                  </w:tr>
                  <w:tr>
                    <w:trPr>
                      <w:trHeight w:val="322"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3" w:right="0"/>
                          <w:jc w:val="center"/>
                          <w:rPr>
                            <w:rFonts w:ascii="宋体" w:hAnsi="宋体" w:cs="宋体" w:eastAsia="宋体" w:hint="default"/>
                            <w:sz w:val="21"/>
                            <w:szCs w:val="21"/>
                          </w:rPr>
                        </w:pPr>
                        <w:r>
                          <w:rPr>
                            <w:rFonts w:ascii="宋体" w:hAnsi="宋体" w:cs="宋体" w:eastAsia="宋体" w:hint="default"/>
                            <w:sz w:val="21"/>
                            <w:szCs w:val="21"/>
                          </w:rPr>
                          <w:t>河北林洋</w:t>
                        </w:r>
                        <w:r>
                          <w:rPr>
                            <w:rFonts w:ascii="宋体" w:hAnsi="宋体" w:cs="宋体" w:eastAsia="宋体" w:hint="default"/>
                            <w:sz w:val="21"/>
                            <w:szCs w:val="21"/>
                          </w:rPr>
                          <w:t> </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139"/>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6095"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0" w:right="0"/>
                          <w:jc w:val="left"/>
                          <w:rPr>
                            <w:rFonts w:ascii="宋体" w:hAnsi="宋体" w:cs="宋体" w:eastAsia="宋体" w:hint="default"/>
                            <w:sz w:val="21"/>
                            <w:szCs w:val="21"/>
                          </w:rPr>
                        </w:pPr>
                        <w:r>
                          <w:rPr>
                            <w:rFonts w:ascii="宋体" w:hAnsi="宋体" w:cs="宋体" w:eastAsia="宋体" w:hint="default"/>
                            <w:sz w:val="21"/>
                            <w:szCs w:val="21"/>
                          </w:rPr>
                          <w:t>河北林洋微网新能源科技有限公司，公司全资子公司</w:t>
                        </w:r>
                        <w:r>
                          <w:rPr>
                            <w:rFonts w:ascii="宋体" w:hAnsi="宋体" w:cs="宋体" w:eastAsia="宋体" w:hint="default"/>
                            <w:sz w:val="21"/>
                            <w:szCs w:val="21"/>
                          </w:rPr>
                          <w:t> </w:t>
                        </w:r>
                      </w:p>
                    </w:tc>
                  </w:tr>
                  <w:tr>
                    <w:trPr>
                      <w:trHeight w:val="322"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center"/>
                          <w:rPr>
                            <w:rFonts w:ascii="宋体" w:hAnsi="宋体" w:cs="宋体" w:eastAsia="宋体" w:hint="default"/>
                            <w:sz w:val="21"/>
                            <w:szCs w:val="21"/>
                          </w:rPr>
                        </w:pPr>
                        <w:r>
                          <w:rPr>
                            <w:rFonts w:ascii="宋体" w:hAnsi="宋体" w:cs="宋体" w:eastAsia="宋体" w:hint="default"/>
                            <w:sz w:val="21"/>
                            <w:szCs w:val="21"/>
                          </w:rPr>
                          <w:t>辽宁林洋</w:t>
                        </w:r>
                        <w:r>
                          <w:rPr>
                            <w:rFonts w:ascii="宋体" w:hAnsi="宋体" w:cs="宋体" w:eastAsia="宋体" w:hint="default"/>
                            <w:sz w:val="21"/>
                            <w:szCs w:val="21"/>
                          </w:rPr>
                          <w:t> </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39"/>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609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辽宁林洋新能源科技有限公司，公司全资子公司</w:t>
                        </w:r>
                        <w:r>
                          <w:rPr>
                            <w:rFonts w:ascii="宋体" w:hAnsi="宋体" w:cs="宋体" w:eastAsia="宋体" w:hint="default"/>
                            <w:sz w:val="21"/>
                            <w:szCs w:val="21"/>
                          </w:rPr>
                          <w:t> </w:t>
                        </w:r>
                      </w:p>
                    </w:tc>
                  </w:tr>
                  <w:tr>
                    <w:trPr>
                      <w:trHeight w:val="322"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center"/>
                          <w:rPr>
                            <w:rFonts w:ascii="宋体" w:hAnsi="宋体" w:cs="宋体" w:eastAsia="宋体" w:hint="default"/>
                            <w:sz w:val="21"/>
                            <w:szCs w:val="21"/>
                          </w:rPr>
                        </w:pPr>
                        <w:r>
                          <w:rPr>
                            <w:rFonts w:ascii="宋体" w:hAnsi="宋体" w:cs="宋体" w:eastAsia="宋体" w:hint="default"/>
                            <w:sz w:val="21"/>
                            <w:szCs w:val="21"/>
                          </w:rPr>
                          <w:t>北京林洋</w:t>
                        </w:r>
                        <w:r>
                          <w:rPr>
                            <w:rFonts w:ascii="宋体" w:hAnsi="宋体" w:cs="宋体" w:eastAsia="宋体" w:hint="default"/>
                            <w:sz w:val="21"/>
                            <w:szCs w:val="21"/>
                          </w:rPr>
                          <w:t> </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39"/>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609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北京林洋能源科技有限公司，公司全资子公司</w:t>
                        </w:r>
                        <w:r>
                          <w:rPr>
                            <w:rFonts w:ascii="宋体" w:hAnsi="宋体" w:cs="宋体" w:eastAsia="宋体" w:hint="default"/>
                            <w:sz w:val="21"/>
                            <w:szCs w:val="21"/>
                          </w:rPr>
                          <w:t> </w:t>
                        </w:r>
                      </w:p>
                    </w:tc>
                  </w:tr>
                  <w:tr>
                    <w:trPr>
                      <w:trHeight w:val="322"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center"/>
                          <w:rPr>
                            <w:rFonts w:ascii="宋体" w:hAnsi="宋体" w:cs="宋体" w:eastAsia="宋体" w:hint="default"/>
                            <w:sz w:val="21"/>
                            <w:szCs w:val="21"/>
                          </w:rPr>
                        </w:pPr>
                        <w:r>
                          <w:rPr>
                            <w:rFonts w:ascii="宋体" w:hAnsi="宋体" w:cs="宋体" w:eastAsia="宋体" w:hint="default"/>
                            <w:sz w:val="21"/>
                            <w:szCs w:val="21"/>
                          </w:rPr>
                          <w:t>杭州林洋</w:t>
                        </w:r>
                        <w:r>
                          <w:rPr>
                            <w:rFonts w:ascii="宋体" w:hAnsi="宋体" w:cs="宋体" w:eastAsia="宋体" w:hint="default"/>
                            <w:sz w:val="21"/>
                            <w:szCs w:val="21"/>
                          </w:rPr>
                          <w:t> </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39"/>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609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江苏林洋能源股份有限公司杭州分公司，公司分公司</w:t>
                        </w:r>
                        <w:r>
                          <w:rPr>
                            <w:rFonts w:ascii="宋体" w:hAnsi="宋体" w:cs="宋体" w:eastAsia="宋体" w:hint="default"/>
                            <w:sz w:val="21"/>
                            <w:szCs w:val="21"/>
                          </w:rPr>
                          <w:t> </w:t>
                        </w:r>
                      </w:p>
                    </w:tc>
                  </w:tr>
                  <w:tr>
                    <w:trPr>
                      <w:trHeight w:val="324"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center"/>
                          <w:rPr>
                            <w:rFonts w:ascii="宋体" w:hAnsi="宋体" w:cs="宋体" w:eastAsia="宋体" w:hint="default"/>
                            <w:sz w:val="21"/>
                            <w:szCs w:val="21"/>
                          </w:rPr>
                        </w:pPr>
                        <w:r>
                          <w:rPr>
                            <w:rFonts w:ascii="宋体" w:hAnsi="宋体" w:cs="宋体" w:eastAsia="宋体" w:hint="default"/>
                            <w:sz w:val="21"/>
                            <w:szCs w:val="21"/>
                          </w:rPr>
                          <w:t>孟加拉林洋</w:t>
                        </w:r>
                        <w:r>
                          <w:rPr>
                            <w:rFonts w:ascii="宋体" w:hAnsi="宋体" w:cs="宋体" w:eastAsia="宋体" w:hint="default"/>
                            <w:sz w:val="21"/>
                            <w:szCs w:val="21"/>
                          </w:rPr>
                          <w:t> </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39"/>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609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0" w:right="0"/>
                          <w:jc w:val="left"/>
                          <w:rPr>
                            <w:rFonts w:ascii="宋体" w:hAnsi="宋体" w:cs="宋体" w:eastAsia="宋体" w:hint="default"/>
                            <w:sz w:val="21"/>
                            <w:szCs w:val="21"/>
                          </w:rPr>
                        </w:pPr>
                        <w:r>
                          <w:rPr>
                            <w:rFonts w:ascii="宋体" w:hAnsi="宋体" w:cs="宋体" w:eastAsia="宋体" w:hint="default"/>
                            <w:sz w:val="21"/>
                            <w:szCs w:val="21"/>
                          </w:rPr>
                          <w:t>江苏林洋能源股份有限公司驻孟加拉办事处，海外办事处</w:t>
                        </w:r>
                        <w:r>
                          <w:rPr>
                            <w:rFonts w:ascii="宋体" w:hAnsi="宋体" w:cs="宋体" w:eastAsia="宋体" w:hint="default"/>
                            <w:sz w:val="21"/>
                            <w:szCs w:val="21"/>
                          </w:rPr>
                          <w:t> </w:t>
                        </w:r>
                      </w:p>
                    </w:tc>
                  </w:tr>
                  <w:tr>
                    <w:trPr>
                      <w:trHeight w:val="322"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center"/>
                          <w:rPr>
                            <w:rFonts w:ascii="宋体" w:hAnsi="宋体" w:cs="宋体" w:eastAsia="宋体" w:hint="default"/>
                            <w:sz w:val="21"/>
                            <w:szCs w:val="21"/>
                          </w:rPr>
                        </w:pPr>
                        <w:r>
                          <w:rPr>
                            <w:rFonts w:ascii="宋体" w:hAnsi="宋体" w:cs="宋体" w:eastAsia="宋体" w:hint="default"/>
                            <w:sz w:val="21"/>
                            <w:szCs w:val="21"/>
                          </w:rPr>
                          <w:t>澳洲林洋</w:t>
                        </w:r>
                        <w:r>
                          <w:rPr>
                            <w:rFonts w:ascii="宋体" w:hAnsi="宋体" w:cs="宋体" w:eastAsia="宋体" w:hint="default"/>
                            <w:sz w:val="21"/>
                            <w:szCs w:val="21"/>
                          </w:rPr>
                          <w:t> </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39"/>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609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澳洲林洋新能源有限公司，公司全资子公司</w:t>
                        </w:r>
                        <w:r>
                          <w:rPr>
                            <w:rFonts w:ascii="宋体" w:hAnsi="宋体" w:cs="宋体" w:eastAsia="宋体" w:hint="default"/>
                            <w:sz w:val="21"/>
                            <w:szCs w:val="21"/>
                          </w:rPr>
                          <w:t> </w:t>
                        </w:r>
                      </w:p>
                    </w:tc>
                  </w:tr>
                  <w:tr>
                    <w:trPr>
                      <w:trHeight w:val="322"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center"/>
                          <w:rPr>
                            <w:rFonts w:ascii="宋体" w:hAnsi="宋体" w:cs="宋体" w:eastAsia="宋体" w:hint="default"/>
                            <w:sz w:val="21"/>
                            <w:szCs w:val="21"/>
                          </w:rPr>
                        </w:pPr>
                        <w:r>
                          <w:rPr>
                            <w:rFonts w:ascii="宋体" w:hAnsi="宋体" w:cs="宋体" w:eastAsia="宋体" w:hint="default"/>
                            <w:sz w:val="21"/>
                            <w:szCs w:val="21"/>
                          </w:rPr>
                          <w:t>新加坡林洋</w:t>
                        </w:r>
                        <w:r>
                          <w:rPr>
                            <w:rFonts w:ascii="宋体" w:hAnsi="宋体" w:cs="宋体" w:eastAsia="宋体" w:hint="default"/>
                            <w:sz w:val="21"/>
                            <w:szCs w:val="21"/>
                          </w:rPr>
                          <w:t> </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39"/>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609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新加坡林洋能源科技有限公司，公司全资子公司</w:t>
                        </w:r>
                        <w:r>
                          <w:rPr>
                            <w:rFonts w:ascii="宋体" w:hAnsi="宋体" w:cs="宋体" w:eastAsia="宋体" w:hint="default"/>
                            <w:sz w:val="21"/>
                            <w:szCs w:val="21"/>
                          </w:rPr>
                          <w:t> </w:t>
                        </w:r>
                      </w:p>
                    </w:tc>
                  </w:tr>
                  <w:tr>
                    <w:trPr>
                      <w:trHeight w:val="322"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center"/>
                          <w:rPr>
                            <w:rFonts w:ascii="宋体" w:hAnsi="宋体" w:cs="宋体" w:eastAsia="宋体" w:hint="default"/>
                            <w:sz w:val="21"/>
                            <w:szCs w:val="21"/>
                          </w:rPr>
                        </w:pPr>
                        <w:r>
                          <w:rPr>
                            <w:rFonts w:ascii="宋体" w:hAnsi="宋体" w:cs="宋体" w:eastAsia="宋体" w:hint="default"/>
                            <w:sz w:val="21"/>
                            <w:szCs w:val="21"/>
                          </w:rPr>
                          <w:t>林洋微网</w:t>
                        </w:r>
                        <w:r>
                          <w:rPr>
                            <w:rFonts w:ascii="宋体" w:hAnsi="宋体" w:cs="宋体" w:eastAsia="宋体" w:hint="default"/>
                            <w:sz w:val="21"/>
                            <w:szCs w:val="21"/>
                          </w:rPr>
                          <w:t> </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39"/>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609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江苏林洋微网科技有限公司，公司控股子公司</w:t>
                        </w:r>
                        <w:r>
                          <w:rPr>
                            <w:rFonts w:ascii="宋体" w:hAnsi="宋体" w:cs="宋体" w:eastAsia="宋体" w:hint="default"/>
                            <w:sz w:val="21"/>
                            <w:szCs w:val="21"/>
                          </w:rPr>
                          <w:t> </w:t>
                        </w:r>
                      </w:p>
                    </w:tc>
                  </w:tr>
                  <w:tr>
                    <w:trPr>
                      <w:trHeight w:val="322"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center"/>
                          <w:rPr>
                            <w:rFonts w:ascii="宋体" w:hAnsi="宋体" w:cs="宋体" w:eastAsia="宋体" w:hint="default"/>
                            <w:sz w:val="21"/>
                            <w:szCs w:val="21"/>
                          </w:rPr>
                        </w:pPr>
                        <w:r>
                          <w:rPr>
                            <w:rFonts w:ascii="宋体" w:hAnsi="宋体" w:cs="宋体" w:eastAsia="宋体" w:hint="default"/>
                            <w:sz w:val="21"/>
                            <w:szCs w:val="21"/>
                          </w:rPr>
                          <w:t>武汉奥统</w:t>
                        </w:r>
                        <w:r>
                          <w:rPr>
                            <w:rFonts w:ascii="宋体" w:hAnsi="宋体" w:cs="宋体" w:eastAsia="宋体" w:hint="default"/>
                            <w:sz w:val="21"/>
                            <w:szCs w:val="21"/>
                          </w:rPr>
                          <w:t> </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39"/>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609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武汉奥统电气有限公司，公司控股子公司</w:t>
                        </w:r>
                        <w:r>
                          <w:rPr>
                            <w:rFonts w:ascii="宋体" w:hAnsi="宋体" w:cs="宋体" w:eastAsia="宋体" w:hint="default"/>
                            <w:sz w:val="21"/>
                            <w:szCs w:val="21"/>
                          </w:rPr>
                          <w:t> </w:t>
                        </w:r>
                      </w:p>
                    </w:tc>
                  </w:tr>
                  <w:tr>
                    <w:trPr>
                      <w:trHeight w:val="322"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center"/>
                          <w:rPr>
                            <w:rFonts w:ascii="宋体" w:hAnsi="宋体" w:cs="宋体" w:eastAsia="宋体" w:hint="default"/>
                            <w:sz w:val="21"/>
                            <w:szCs w:val="21"/>
                          </w:rPr>
                        </w:pPr>
                        <w:r>
                          <w:rPr>
                            <w:rFonts w:ascii="宋体" w:hAnsi="宋体" w:cs="宋体" w:eastAsia="宋体" w:hint="default"/>
                            <w:sz w:val="21"/>
                            <w:szCs w:val="21"/>
                          </w:rPr>
                          <w:t>立陶宛</w:t>
                        </w:r>
                        <w:r>
                          <w:rPr>
                            <w:rFonts w:ascii="宋体" w:hAnsi="宋体" w:cs="宋体" w:eastAsia="宋体" w:hint="default"/>
                            <w:spacing w:val="-53"/>
                            <w:sz w:val="21"/>
                            <w:szCs w:val="21"/>
                          </w:rPr>
                          <w:t> </w:t>
                        </w:r>
                        <w:r>
                          <w:rPr>
                            <w:rFonts w:ascii="宋体" w:hAnsi="宋体" w:cs="宋体" w:eastAsia="宋体" w:hint="default"/>
                            <w:sz w:val="21"/>
                            <w:szCs w:val="21"/>
                          </w:rPr>
                          <w:t>ELGAMA</w:t>
                        </w:r>
                        <w:r>
                          <w:rPr>
                            <w:rFonts w:ascii="宋体" w:hAnsi="宋体" w:cs="宋体" w:eastAsia="宋体" w:hint="default"/>
                            <w:spacing w:val="-55"/>
                            <w:sz w:val="21"/>
                            <w:szCs w:val="21"/>
                          </w:rPr>
                          <w:t> </w:t>
                        </w:r>
                        <w:r>
                          <w:rPr>
                            <w:rFonts w:ascii="宋体" w:hAnsi="宋体" w:cs="宋体" w:eastAsia="宋体" w:hint="default"/>
                            <w:sz w:val="21"/>
                            <w:szCs w:val="21"/>
                          </w:rPr>
                          <w:t>公司</w:t>
                        </w:r>
                        <w:r>
                          <w:rPr>
                            <w:rFonts w:ascii="宋体" w:hAnsi="宋体" w:cs="宋体" w:eastAsia="宋体" w:hint="default"/>
                            <w:sz w:val="21"/>
                            <w:szCs w:val="21"/>
                          </w:rPr>
                          <w:t> </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39"/>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609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ELGAMA-ELEKTRONIKALtd</w:t>
                        </w:r>
                        <w:r>
                          <w:rPr>
                            <w:rFonts w:ascii="宋体" w:hAnsi="宋体" w:cs="宋体" w:eastAsia="宋体" w:hint="default"/>
                            <w:sz w:val="21"/>
                            <w:szCs w:val="21"/>
                          </w:rPr>
                          <w:t>，公司控股子公司</w:t>
                        </w:r>
                        <w:r>
                          <w:rPr>
                            <w:rFonts w:ascii="宋体" w:hAnsi="宋体" w:cs="宋体" w:eastAsia="宋体" w:hint="default"/>
                            <w:sz w:val="21"/>
                            <w:szCs w:val="21"/>
                          </w:rPr>
                          <w:t> </w:t>
                        </w:r>
                      </w:p>
                    </w:tc>
                  </w:tr>
                  <w:tr>
                    <w:trPr>
                      <w:trHeight w:val="324"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center"/>
                          <w:rPr>
                            <w:rFonts w:ascii="宋体" w:hAnsi="宋体" w:cs="宋体" w:eastAsia="宋体" w:hint="default"/>
                            <w:sz w:val="21"/>
                            <w:szCs w:val="21"/>
                          </w:rPr>
                        </w:pPr>
                        <w:r>
                          <w:rPr>
                            <w:rFonts w:ascii="宋体" w:hAnsi="宋体" w:cs="宋体" w:eastAsia="宋体" w:hint="default"/>
                            <w:sz w:val="21"/>
                            <w:szCs w:val="21"/>
                          </w:rPr>
                          <w:t>江苏华源</w:t>
                        </w:r>
                        <w:r>
                          <w:rPr>
                            <w:rFonts w:ascii="宋体" w:hAnsi="宋体" w:cs="宋体" w:eastAsia="宋体" w:hint="default"/>
                            <w:sz w:val="21"/>
                            <w:szCs w:val="21"/>
                          </w:rPr>
                          <w:t> </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39"/>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609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0" w:right="0"/>
                          <w:jc w:val="left"/>
                          <w:rPr>
                            <w:rFonts w:ascii="宋体" w:hAnsi="宋体" w:cs="宋体" w:eastAsia="宋体" w:hint="default"/>
                            <w:sz w:val="21"/>
                            <w:szCs w:val="21"/>
                          </w:rPr>
                        </w:pPr>
                        <w:r>
                          <w:rPr>
                            <w:rFonts w:ascii="宋体" w:hAnsi="宋体" w:cs="宋体" w:eastAsia="宋体" w:hint="default"/>
                            <w:sz w:val="21"/>
                            <w:szCs w:val="21"/>
                          </w:rPr>
                          <w:t>江苏华源仪器仪表有限公司，公司参股公司</w:t>
                        </w:r>
                        <w:r>
                          <w:rPr>
                            <w:rFonts w:ascii="宋体" w:hAnsi="宋体" w:cs="宋体" w:eastAsia="宋体" w:hint="default"/>
                            <w:sz w:val="21"/>
                            <w:szCs w:val="21"/>
                          </w:rPr>
                          <w:t> </w:t>
                        </w:r>
                      </w:p>
                    </w:tc>
                  </w:tr>
                  <w:tr>
                    <w:trPr>
                      <w:trHeight w:val="322"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3" w:right="0"/>
                          <w:jc w:val="center"/>
                          <w:rPr>
                            <w:rFonts w:ascii="宋体" w:hAnsi="宋体" w:cs="宋体" w:eastAsia="宋体" w:hint="default"/>
                            <w:sz w:val="21"/>
                            <w:szCs w:val="21"/>
                          </w:rPr>
                        </w:pPr>
                        <w:r>
                          <w:rPr>
                            <w:rFonts w:ascii="宋体" w:hAnsi="宋体" w:cs="宋体" w:eastAsia="宋体" w:hint="default"/>
                            <w:sz w:val="21"/>
                            <w:szCs w:val="21"/>
                          </w:rPr>
                          <w:t>华电华林</w:t>
                        </w:r>
                        <w:r>
                          <w:rPr>
                            <w:rFonts w:ascii="宋体" w:hAnsi="宋体" w:cs="宋体" w:eastAsia="宋体" w:hint="default"/>
                            <w:sz w:val="21"/>
                            <w:szCs w:val="21"/>
                          </w:rPr>
                          <w:t> </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139"/>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6095"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0" w:right="0"/>
                          <w:jc w:val="left"/>
                          <w:rPr>
                            <w:rFonts w:ascii="宋体" w:hAnsi="宋体" w:cs="宋体" w:eastAsia="宋体" w:hint="default"/>
                            <w:sz w:val="21"/>
                            <w:szCs w:val="21"/>
                          </w:rPr>
                        </w:pPr>
                        <w:r>
                          <w:rPr>
                            <w:rFonts w:ascii="宋体" w:hAnsi="宋体" w:cs="宋体" w:eastAsia="宋体" w:hint="default"/>
                            <w:sz w:val="21"/>
                            <w:szCs w:val="21"/>
                          </w:rPr>
                          <w:t>江苏华电华林新能源有限公司，公司参股公司</w:t>
                        </w:r>
                        <w:r>
                          <w:rPr>
                            <w:rFonts w:ascii="宋体" w:hAnsi="宋体" w:cs="宋体" w:eastAsia="宋体" w:hint="default"/>
                            <w:sz w:val="21"/>
                            <w:szCs w:val="21"/>
                          </w:rPr>
                          <w:t> </w:t>
                        </w:r>
                      </w:p>
                    </w:tc>
                  </w:tr>
                  <w:tr>
                    <w:trPr>
                      <w:trHeight w:val="322"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center"/>
                          <w:rPr>
                            <w:rFonts w:ascii="宋体" w:hAnsi="宋体" w:cs="宋体" w:eastAsia="宋体" w:hint="default"/>
                            <w:sz w:val="21"/>
                            <w:szCs w:val="21"/>
                          </w:rPr>
                        </w:pPr>
                        <w:r>
                          <w:rPr>
                            <w:rFonts w:ascii="宋体" w:hAnsi="宋体" w:cs="宋体" w:eastAsia="宋体" w:hint="default"/>
                            <w:sz w:val="21"/>
                            <w:szCs w:val="21"/>
                          </w:rPr>
                          <w:t>法凯涞玛</w:t>
                        </w:r>
                        <w:r>
                          <w:rPr>
                            <w:rFonts w:ascii="宋体" w:hAnsi="宋体" w:cs="宋体" w:eastAsia="宋体" w:hint="default"/>
                            <w:sz w:val="21"/>
                            <w:szCs w:val="21"/>
                          </w:rPr>
                          <w:t> </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39"/>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609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法凯涞玛冷暖设备（杭州）有限公司，公司参股公司</w:t>
                        </w:r>
                        <w:r>
                          <w:rPr>
                            <w:rFonts w:ascii="宋体" w:hAnsi="宋体" w:cs="宋体" w:eastAsia="宋体" w:hint="default"/>
                            <w:sz w:val="21"/>
                            <w:szCs w:val="21"/>
                          </w:rPr>
                          <w:t> </w:t>
                        </w:r>
                      </w:p>
                    </w:tc>
                  </w:tr>
                  <w:tr>
                    <w:trPr>
                      <w:trHeight w:val="322"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5" w:right="0"/>
                          <w:jc w:val="center"/>
                          <w:rPr>
                            <w:rFonts w:ascii="宋体" w:hAnsi="宋体" w:cs="宋体" w:eastAsia="宋体" w:hint="default"/>
                            <w:sz w:val="21"/>
                            <w:szCs w:val="21"/>
                          </w:rPr>
                        </w:pPr>
                        <w:r>
                          <w:rPr>
                            <w:rFonts w:ascii="宋体" w:hAnsi="宋体" w:cs="宋体" w:eastAsia="宋体" w:hint="default"/>
                            <w:sz w:val="21"/>
                            <w:szCs w:val="21"/>
                          </w:rPr>
                          <w:t>英大综合能源</w:t>
                        </w:r>
                        <w:r>
                          <w:rPr>
                            <w:rFonts w:ascii="宋体" w:hAnsi="宋体" w:cs="宋体" w:eastAsia="宋体" w:hint="default"/>
                            <w:sz w:val="21"/>
                            <w:szCs w:val="21"/>
                          </w:rPr>
                          <w:t> </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39"/>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609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英大（苏州）综合能源投资中心（有限合伙），公司参股公司</w:t>
                        </w:r>
                        <w:r>
                          <w:rPr>
                            <w:rFonts w:ascii="宋体" w:hAnsi="宋体" w:cs="宋体" w:eastAsia="宋体" w:hint="default"/>
                            <w:sz w:val="21"/>
                            <w:szCs w:val="21"/>
                          </w:rPr>
                          <w:t> </w:t>
                        </w:r>
                      </w:p>
                    </w:tc>
                  </w:tr>
                  <w:tr>
                    <w:trPr>
                      <w:trHeight w:val="322"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center"/>
                          <w:rPr>
                            <w:rFonts w:ascii="宋体" w:hAnsi="宋体" w:cs="宋体" w:eastAsia="宋体" w:hint="default"/>
                            <w:sz w:val="21"/>
                            <w:szCs w:val="21"/>
                          </w:rPr>
                        </w:pPr>
                        <w:r>
                          <w:rPr>
                            <w:rFonts w:ascii="宋体" w:hAnsi="宋体" w:cs="宋体" w:eastAsia="宋体" w:hint="default"/>
                            <w:sz w:val="21"/>
                            <w:szCs w:val="21"/>
                          </w:rPr>
                          <w:t>感知金服</w:t>
                        </w:r>
                        <w:r>
                          <w:rPr>
                            <w:rFonts w:ascii="宋体" w:hAnsi="宋体" w:cs="宋体" w:eastAsia="宋体" w:hint="default"/>
                            <w:sz w:val="21"/>
                            <w:szCs w:val="21"/>
                          </w:rPr>
                          <w:t> </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39"/>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609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无锡感知金服物联网科技有限公司，公司参股公司</w:t>
                        </w:r>
                        <w:r>
                          <w:rPr>
                            <w:rFonts w:ascii="宋体" w:hAnsi="宋体" w:cs="宋体" w:eastAsia="宋体" w:hint="default"/>
                            <w:sz w:val="21"/>
                            <w:szCs w:val="21"/>
                          </w:rPr>
                          <w:t> </w:t>
                        </w:r>
                      </w:p>
                    </w:tc>
                  </w:tr>
                  <w:tr>
                    <w:trPr>
                      <w:trHeight w:val="322"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center"/>
                          <w:rPr>
                            <w:rFonts w:ascii="宋体" w:hAnsi="宋体" w:cs="宋体" w:eastAsia="宋体" w:hint="default"/>
                            <w:sz w:val="21"/>
                            <w:szCs w:val="21"/>
                          </w:rPr>
                        </w:pPr>
                        <w:r>
                          <w:rPr>
                            <w:rFonts w:ascii="宋体" w:hAnsi="宋体" w:cs="宋体" w:eastAsia="宋体" w:hint="default"/>
                            <w:sz w:val="21"/>
                            <w:szCs w:val="21"/>
                          </w:rPr>
                          <w:t>中广核林洋</w:t>
                        </w:r>
                        <w:r>
                          <w:rPr>
                            <w:rFonts w:ascii="宋体" w:hAnsi="宋体" w:cs="宋体" w:eastAsia="宋体" w:hint="default"/>
                            <w:sz w:val="21"/>
                            <w:szCs w:val="21"/>
                          </w:rPr>
                          <w:t> </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39"/>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609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中广核林洋新能源泗洪有限公司，公司参股公司</w:t>
                        </w:r>
                        <w:r>
                          <w:rPr>
                            <w:rFonts w:ascii="宋体" w:hAnsi="宋体" w:cs="宋体" w:eastAsia="宋体" w:hint="default"/>
                            <w:sz w:val="21"/>
                            <w:szCs w:val="21"/>
                          </w:rPr>
                          <w:t> </w:t>
                        </w:r>
                      </w:p>
                    </w:tc>
                  </w:tr>
                  <w:tr>
                    <w:trPr>
                      <w:trHeight w:val="324"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5" w:right="0"/>
                          <w:jc w:val="center"/>
                          <w:rPr>
                            <w:rFonts w:ascii="宋体" w:hAnsi="宋体" w:cs="宋体" w:eastAsia="宋体" w:hint="default"/>
                            <w:sz w:val="21"/>
                            <w:szCs w:val="21"/>
                          </w:rPr>
                        </w:pPr>
                        <w:r>
                          <w:rPr>
                            <w:rFonts w:ascii="宋体" w:hAnsi="宋体" w:cs="宋体" w:eastAsia="宋体" w:hint="default"/>
                            <w:sz w:val="21"/>
                            <w:szCs w:val="21"/>
                          </w:rPr>
                          <w:t>中广核</w:t>
                        </w:r>
                        <w:r>
                          <w:rPr>
                            <w:rFonts w:ascii="宋体" w:hAnsi="宋体" w:cs="宋体" w:eastAsia="宋体" w:hint="default"/>
                            <w:sz w:val="21"/>
                            <w:szCs w:val="21"/>
                          </w:rPr>
                          <w:t> </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39"/>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609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0" w:right="0"/>
                          <w:jc w:val="left"/>
                          <w:rPr>
                            <w:rFonts w:ascii="宋体" w:hAnsi="宋体" w:cs="宋体" w:eastAsia="宋体" w:hint="default"/>
                            <w:sz w:val="21"/>
                            <w:szCs w:val="21"/>
                          </w:rPr>
                        </w:pPr>
                        <w:r>
                          <w:rPr>
                            <w:rFonts w:ascii="宋体" w:hAnsi="宋体" w:cs="宋体" w:eastAsia="宋体" w:hint="default"/>
                            <w:sz w:val="21"/>
                            <w:szCs w:val="21"/>
                          </w:rPr>
                          <w:t>中广核太阳能开发有限公司</w:t>
                        </w:r>
                        <w:r>
                          <w:rPr>
                            <w:rFonts w:ascii="宋体" w:hAnsi="宋体" w:cs="宋体" w:eastAsia="宋体" w:hint="default"/>
                            <w:sz w:val="21"/>
                            <w:szCs w:val="21"/>
                          </w:rPr>
                          <w:t> </w:t>
                        </w:r>
                      </w:p>
                    </w:tc>
                  </w:tr>
                  <w:tr>
                    <w:trPr>
                      <w:trHeight w:val="322"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center"/>
                          <w:rPr>
                            <w:rFonts w:ascii="宋体" w:hAnsi="宋体" w:cs="宋体" w:eastAsia="宋体" w:hint="default"/>
                            <w:sz w:val="21"/>
                            <w:szCs w:val="21"/>
                          </w:rPr>
                        </w:pPr>
                        <w:r>
                          <w:rPr>
                            <w:rFonts w:ascii="宋体" w:hAnsi="宋体" w:cs="宋体" w:eastAsia="宋体" w:hint="default"/>
                            <w:sz w:val="21"/>
                            <w:szCs w:val="21"/>
                          </w:rPr>
                          <w:t>东博研究院</w:t>
                        </w:r>
                        <w:r>
                          <w:rPr>
                            <w:rFonts w:ascii="宋体" w:hAnsi="宋体" w:cs="宋体" w:eastAsia="宋体" w:hint="default"/>
                            <w:sz w:val="21"/>
                            <w:szCs w:val="21"/>
                          </w:rPr>
                          <w:t> </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39"/>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609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南京东博智慧能源研究院有限公司，公司参股公司</w:t>
                        </w:r>
                        <w:r>
                          <w:rPr>
                            <w:rFonts w:ascii="宋体" w:hAnsi="宋体" w:cs="宋体" w:eastAsia="宋体" w:hint="default"/>
                            <w:sz w:val="21"/>
                            <w:szCs w:val="21"/>
                          </w:rPr>
                          <w:t> </w:t>
                        </w:r>
                      </w:p>
                    </w:tc>
                  </w:tr>
                  <w:tr>
                    <w:trPr>
                      <w:trHeight w:val="634"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center"/>
                          <w:rPr>
                            <w:rFonts w:ascii="宋体" w:hAnsi="宋体" w:cs="宋体" w:eastAsia="宋体" w:hint="default"/>
                            <w:sz w:val="21"/>
                            <w:szCs w:val="21"/>
                          </w:rPr>
                        </w:pPr>
                        <w:r>
                          <w:rPr>
                            <w:rFonts w:ascii="宋体" w:hAnsi="宋体" w:cs="宋体" w:eastAsia="宋体" w:hint="default"/>
                            <w:sz w:val="21"/>
                            <w:szCs w:val="21"/>
                          </w:rPr>
                          <w:t>智能电能表</w:t>
                        </w:r>
                        <w:r>
                          <w:rPr>
                            <w:rFonts w:ascii="宋体" w:hAnsi="宋体" w:cs="宋体" w:eastAsia="宋体" w:hint="default"/>
                            <w:sz w:val="21"/>
                            <w:szCs w:val="21"/>
                          </w:rPr>
                          <w:t> </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39"/>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609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101"/>
                          <w:jc w:val="left"/>
                          <w:rPr>
                            <w:rFonts w:ascii="宋体" w:hAnsi="宋体" w:cs="宋体" w:eastAsia="宋体" w:hint="default"/>
                            <w:sz w:val="21"/>
                            <w:szCs w:val="21"/>
                          </w:rPr>
                        </w:pPr>
                        <w:r>
                          <w:rPr>
                            <w:rFonts w:ascii="宋体" w:hAnsi="宋体" w:cs="宋体" w:eastAsia="宋体" w:hint="default"/>
                            <w:spacing w:val="-2"/>
                            <w:sz w:val="21"/>
                            <w:szCs w:val="21"/>
                          </w:rPr>
                          <w:t>智能电网的终端设备，提供互动性服务、具有智能化自适应处理</w:t>
                        </w:r>
                        <w:r>
                          <w:rPr>
                            <w:rFonts w:ascii="宋体" w:hAnsi="宋体" w:cs="宋体" w:eastAsia="宋体" w:hint="default"/>
                            <w:spacing w:val="-58"/>
                            <w:sz w:val="21"/>
                            <w:szCs w:val="21"/>
                          </w:rPr>
                          <w:t> </w:t>
                        </w:r>
                        <w:r>
                          <w:rPr>
                            <w:rFonts w:ascii="宋体" w:hAnsi="宋体" w:cs="宋体" w:eastAsia="宋体" w:hint="default"/>
                            <w:spacing w:val="-58"/>
                            <w:sz w:val="21"/>
                            <w:szCs w:val="21"/>
                          </w:rPr>
                        </w:r>
                        <w:r>
                          <w:rPr>
                            <w:rFonts w:ascii="宋体" w:hAnsi="宋体" w:cs="宋体" w:eastAsia="宋体" w:hint="default"/>
                            <w:sz w:val="21"/>
                            <w:szCs w:val="21"/>
                          </w:rPr>
                          <w:t>能力的一种电子式电能表</w:t>
                        </w:r>
                        <w:r>
                          <w:rPr>
                            <w:rFonts w:ascii="宋体" w:hAnsi="宋体" w:cs="宋体" w:eastAsia="宋体" w:hint="default"/>
                            <w:sz w:val="21"/>
                            <w:szCs w:val="21"/>
                          </w:rPr>
                          <w:t> </w:t>
                        </w:r>
                      </w:p>
                    </w:tc>
                  </w:tr>
                </w:tbl>
                <w:p>
                  <w:pPr/>
                </w:p>
              </w:txbxContent>
            </v:textbox>
            <w10:wrap type="none"/>
          </v:shape>
        </w:pict>
      </w:r>
      <w:r>
        <w:rPr>
          <w:rFonts w:ascii="宋体" w:hAnsi="宋体" w:cs="宋体" w:eastAsia="宋体" w:hint="default"/>
          <w:b/>
          <w:bCs/>
        </w:rPr>
        <w:t>一、</w:t>
      </w:r>
      <w:r>
        <w:rPr>
          <w:rFonts w:ascii="宋体" w:hAnsi="宋体" w:cs="宋体" w:eastAsia="宋体" w:hint="default"/>
          <w:b/>
          <w:bCs/>
          <w:spacing w:val="59"/>
        </w:rPr>
        <w:t> </w:t>
      </w:r>
      <w:r>
        <w:rPr>
          <w:rFonts w:ascii="宋体" w:hAnsi="宋体" w:cs="宋体" w:eastAsia="宋体" w:hint="default"/>
          <w:b/>
          <w:bCs/>
          <w:spacing w:val="59"/>
        </w:rPr>
      </w:r>
      <w:r>
        <w:rPr>
          <w:rFonts w:ascii="宋体" w:hAnsi="宋体" w:cs="宋体" w:eastAsia="宋体" w:hint="default"/>
          <w:b/>
          <w:bCs/>
        </w:rPr>
        <w:t>释义</w:t>
      </w:r>
      <w:r>
        <w:rPr>
          <w:rFonts w:ascii="宋体" w:hAnsi="宋体" w:cs="宋体" w:eastAsia="宋体" w:hint="default"/>
          <w:b/>
          <w:bCs/>
          <w:w w:val="100"/>
        </w:rPr>
        <w:t> </w:t>
      </w:r>
      <w:r>
        <w:rPr/>
        <w:t>在本报告书中，除非文义另有所指，下列词语具有如下含义：</w:t>
      </w:r>
      <w:r>
        <w:rPr>
          <w:rFonts w:ascii="宋体" w:hAnsi="宋体" w:cs="宋体" w:eastAsia="宋体" w:hint="default"/>
        </w:rPr>
        <w:t> </w:t>
      </w:r>
    </w:p>
    <w:p>
      <w:pPr>
        <w:spacing w:after="0" w:line="324" w:lineRule="auto"/>
        <w:jc w:val="left"/>
        <w:rPr>
          <w:rFonts w:ascii="宋体" w:hAnsi="宋体" w:cs="宋体" w:eastAsia="宋体" w:hint="default"/>
        </w:rPr>
        <w:sectPr>
          <w:headerReference w:type="default" r:id="rId8"/>
          <w:footerReference w:type="default" r:id="rId9"/>
          <w:pgSz w:w="11910" w:h="16840"/>
          <w:pgMar w:header="880" w:footer="974" w:top="1080" w:bottom="1160" w:left="1200" w:right="1160"/>
        </w:sectPr>
      </w:pPr>
    </w:p>
    <w:p>
      <w:pPr>
        <w:spacing w:line="240" w:lineRule="auto" w:before="11"/>
        <w:rPr>
          <w:rFonts w:ascii="宋体" w:hAnsi="宋体" w:cs="宋体" w:eastAsia="宋体" w:hint="default"/>
          <w:sz w:val="22"/>
          <w:szCs w:val="22"/>
        </w:rPr>
      </w:pPr>
    </w:p>
    <w:tbl>
      <w:tblPr>
        <w:tblW w:w="0" w:type="auto"/>
        <w:jc w:val="left"/>
        <w:tblInd w:w="106" w:type="dxa"/>
        <w:tblLayout w:type="fixed"/>
        <w:tblCellMar>
          <w:top w:w="0" w:type="dxa"/>
          <w:left w:w="0" w:type="dxa"/>
          <w:bottom w:w="0" w:type="dxa"/>
          <w:right w:w="0" w:type="dxa"/>
        </w:tblCellMar>
        <w:tblLook w:val="01E0"/>
      </w:tblPr>
      <w:tblGrid>
        <w:gridCol w:w="2518"/>
        <w:gridCol w:w="711"/>
        <w:gridCol w:w="6095"/>
      </w:tblGrid>
      <w:tr>
        <w:trPr>
          <w:trHeight w:val="634"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03" w:right="0"/>
              <w:jc w:val="center"/>
              <w:rPr>
                <w:rFonts w:ascii="宋体" w:hAnsi="宋体" w:cs="宋体" w:eastAsia="宋体" w:hint="default"/>
                <w:sz w:val="21"/>
                <w:szCs w:val="21"/>
              </w:rPr>
            </w:pPr>
            <w:r>
              <w:rPr>
                <w:rFonts w:ascii="宋体" w:hAnsi="宋体" w:cs="宋体" w:eastAsia="宋体" w:hint="default"/>
                <w:sz w:val="21"/>
                <w:szCs w:val="21"/>
              </w:rPr>
              <w:t>用电信息管理系统</w:t>
            </w:r>
            <w:r>
              <w:rPr>
                <w:rFonts w:ascii="宋体" w:hAnsi="宋体" w:cs="宋体" w:eastAsia="宋体" w:hint="default"/>
                <w:sz w:val="21"/>
                <w:szCs w:val="21"/>
              </w:rPr>
              <w:t> </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39"/>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609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101"/>
              <w:jc w:val="left"/>
              <w:rPr>
                <w:rFonts w:ascii="宋体" w:hAnsi="宋体" w:cs="宋体" w:eastAsia="宋体" w:hint="default"/>
                <w:sz w:val="21"/>
                <w:szCs w:val="21"/>
              </w:rPr>
            </w:pPr>
            <w:r>
              <w:rPr>
                <w:rFonts w:ascii="宋体" w:hAnsi="宋体" w:cs="宋体" w:eastAsia="宋体" w:hint="default"/>
                <w:spacing w:val="-2"/>
                <w:sz w:val="21"/>
                <w:szCs w:val="21"/>
              </w:rPr>
              <w:t>集厂站电能采集、大用户负荷控制、配变监测、低压电力集中抄</w:t>
            </w:r>
            <w:r>
              <w:rPr>
                <w:rFonts w:ascii="宋体" w:hAnsi="宋体" w:cs="宋体" w:eastAsia="宋体" w:hint="default"/>
                <w:spacing w:val="-58"/>
                <w:sz w:val="21"/>
                <w:szCs w:val="21"/>
              </w:rPr>
              <w:t> </w:t>
            </w:r>
            <w:r>
              <w:rPr>
                <w:rFonts w:ascii="宋体" w:hAnsi="宋体" w:cs="宋体" w:eastAsia="宋体" w:hint="default"/>
                <w:spacing w:val="-58"/>
                <w:sz w:val="21"/>
                <w:szCs w:val="21"/>
              </w:rPr>
            </w:r>
            <w:r>
              <w:rPr>
                <w:rFonts w:ascii="宋体" w:hAnsi="宋体" w:cs="宋体" w:eastAsia="宋体" w:hint="default"/>
                <w:sz w:val="21"/>
                <w:szCs w:val="21"/>
              </w:rPr>
              <w:t>表、预付费控制等功能为一体的用电一体化、自动化管理系统</w:t>
            </w:r>
            <w:r>
              <w:rPr>
                <w:rFonts w:ascii="宋体" w:hAnsi="宋体" w:cs="宋体" w:eastAsia="宋体" w:hint="default"/>
                <w:sz w:val="21"/>
                <w:szCs w:val="21"/>
              </w:rPr>
              <w:t> </w:t>
            </w:r>
          </w:p>
        </w:tc>
      </w:tr>
      <w:tr>
        <w:trPr>
          <w:trHeight w:val="634"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5" w:right="0"/>
              <w:jc w:val="center"/>
              <w:rPr>
                <w:rFonts w:ascii="宋体" w:hAnsi="宋体" w:cs="宋体" w:eastAsia="宋体" w:hint="default"/>
                <w:sz w:val="21"/>
                <w:szCs w:val="21"/>
              </w:rPr>
            </w:pPr>
            <w:r>
              <w:rPr>
                <w:rFonts w:ascii="宋体" w:hAnsi="宋体" w:cs="宋体" w:eastAsia="宋体" w:hint="default"/>
                <w:sz w:val="21"/>
                <w:szCs w:val="21"/>
              </w:rPr>
              <w:t>智能用电信息管理终端</w:t>
            </w:r>
            <w:r>
              <w:rPr>
                <w:rFonts w:ascii="宋体" w:hAnsi="宋体" w:cs="宋体" w:eastAsia="宋体" w:hint="default"/>
                <w:sz w:val="21"/>
                <w:szCs w:val="21"/>
              </w:rPr>
              <w:t> </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39"/>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609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98"/>
              <w:jc w:val="left"/>
              <w:rPr>
                <w:rFonts w:ascii="宋体" w:hAnsi="宋体" w:cs="宋体" w:eastAsia="宋体" w:hint="default"/>
                <w:sz w:val="21"/>
                <w:szCs w:val="21"/>
              </w:rPr>
            </w:pPr>
            <w:r>
              <w:rPr>
                <w:rFonts w:ascii="宋体" w:hAnsi="宋体" w:cs="宋体" w:eastAsia="宋体" w:hint="default"/>
                <w:spacing w:val="-2"/>
                <w:sz w:val="21"/>
                <w:szCs w:val="21"/>
              </w:rPr>
              <w:t>一种具备电压、电流、功率因数采集计算并能根据用户用电历史</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z w:val="21"/>
                <w:szCs w:val="21"/>
              </w:rPr>
              <w:t>信息进行用电优化提示的终端</w:t>
            </w:r>
            <w:r>
              <w:rPr>
                <w:rFonts w:ascii="宋体" w:hAnsi="宋体" w:cs="宋体" w:eastAsia="宋体" w:hint="default"/>
                <w:sz w:val="21"/>
                <w:szCs w:val="21"/>
              </w:rPr>
              <w:t> </w:t>
            </w:r>
          </w:p>
        </w:tc>
      </w:tr>
      <w:tr>
        <w:trPr>
          <w:trHeight w:val="634"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5" w:right="0"/>
              <w:jc w:val="center"/>
              <w:rPr>
                <w:rFonts w:ascii="宋体" w:hAnsi="宋体" w:cs="宋体" w:eastAsia="宋体" w:hint="default"/>
                <w:sz w:val="21"/>
                <w:szCs w:val="21"/>
              </w:rPr>
            </w:pPr>
            <w:r>
              <w:rPr>
                <w:rFonts w:ascii="宋体" w:hAnsi="宋体" w:cs="宋体" w:eastAsia="宋体" w:hint="default"/>
                <w:sz w:val="21"/>
                <w:szCs w:val="21"/>
              </w:rPr>
              <w:t>国网、国家电网</w:t>
            </w:r>
            <w:r>
              <w:rPr>
                <w:rFonts w:ascii="宋体" w:hAnsi="宋体" w:cs="宋体" w:eastAsia="宋体" w:hint="default"/>
                <w:sz w:val="21"/>
                <w:szCs w:val="21"/>
              </w:rPr>
              <w:t> </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39"/>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609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101"/>
              <w:jc w:val="left"/>
              <w:rPr>
                <w:rFonts w:ascii="宋体" w:hAnsi="宋体" w:cs="宋体" w:eastAsia="宋体" w:hint="default"/>
                <w:sz w:val="21"/>
                <w:szCs w:val="21"/>
              </w:rPr>
            </w:pPr>
            <w:r>
              <w:rPr>
                <w:rFonts w:ascii="宋体" w:hAnsi="宋体" w:cs="宋体" w:eastAsia="宋体" w:hint="default"/>
                <w:spacing w:val="-2"/>
                <w:sz w:val="21"/>
                <w:szCs w:val="21"/>
              </w:rPr>
              <w:t>中国国家电网公司，负责投资、建设和经营管理除南方电网辖区</w:t>
            </w:r>
            <w:r>
              <w:rPr>
                <w:rFonts w:ascii="宋体" w:hAnsi="宋体" w:cs="宋体" w:eastAsia="宋体" w:hint="default"/>
                <w:spacing w:val="-58"/>
                <w:sz w:val="21"/>
                <w:szCs w:val="21"/>
              </w:rPr>
              <w:t> </w:t>
            </w:r>
            <w:r>
              <w:rPr>
                <w:rFonts w:ascii="宋体" w:hAnsi="宋体" w:cs="宋体" w:eastAsia="宋体" w:hint="default"/>
                <w:spacing w:val="-58"/>
                <w:sz w:val="21"/>
                <w:szCs w:val="21"/>
              </w:rPr>
            </w:r>
            <w:r>
              <w:rPr>
                <w:rFonts w:ascii="宋体" w:hAnsi="宋体" w:cs="宋体" w:eastAsia="宋体" w:hint="default"/>
                <w:sz w:val="21"/>
                <w:szCs w:val="21"/>
              </w:rPr>
              <w:t>以外的国内其他省（区）的区域电网</w:t>
            </w:r>
            <w:r>
              <w:rPr>
                <w:rFonts w:ascii="宋体" w:hAnsi="宋体" w:cs="宋体" w:eastAsia="宋体" w:hint="default"/>
                <w:sz w:val="21"/>
                <w:szCs w:val="21"/>
              </w:rPr>
              <w:t> </w:t>
            </w:r>
          </w:p>
        </w:tc>
      </w:tr>
      <w:tr>
        <w:trPr>
          <w:trHeight w:val="636"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105" w:right="0"/>
              <w:jc w:val="center"/>
              <w:rPr>
                <w:rFonts w:ascii="宋体" w:hAnsi="宋体" w:cs="宋体" w:eastAsia="宋体" w:hint="default"/>
                <w:sz w:val="21"/>
                <w:szCs w:val="21"/>
              </w:rPr>
            </w:pPr>
            <w:r>
              <w:rPr>
                <w:rFonts w:ascii="宋体" w:hAnsi="宋体" w:cs="宋体" w:eastAsia="宋体" w:hint="default"/>
                <w:sz w:val="21"/>
                <w:szCs w:val="21"/>
              </w:rPr>
              <w:t>南网、南方电网</w:t>
            </w:r>
            <w:r>
              <w:rPr>
                <w:rFonts w:ascii="宋体" w:hAnsi="宋体" w:cs="宋体" w:eastAsia="宋体" w:hint="default"/>
                <w:sz w:val="21"/>
                <w:szCs w:val="21"/>
              </w:rPr>
              <w:t> </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39"/>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609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5"/>
              <w:jc w:val="left"/>
              <w:rPr>
                <w:rFonts w:ascii="宋体" w:hAnsi="宋体" w:cs="宋体" w:eastAsia="宋体" w:hint="default"/>
                <w:sz w:val="21"/>
                <w:szCs w:val="21"/>
              </w:rPr>
            </w:pPr>
            <w:r>
              <w:rPr>
                <w:rFonts w:ascii="宋体" w:hAnsi="宋体" w:cs="宋体" w:eastAsia="宋体" w:hint="default"/>
                <w:spacing w:val="-5"/>
                <w:sz w:val="21"/>
                <w:szCs w:val="21"/>
              </w:rPr>
              <w:t>中国南方电网有限责任公司，负责投资、建设和经营管理广东省、</w:t>
            </w:r>
            <w:r>
              <w:rPr>
                <w:rFonts w:ascii="宋体" w:hAnsi="宋体" w:cs="宋体" w:eastAsia="宋体" w:hint="default"/>
                <w:spacing w:val="-71"/>
                <w:sz w:val="21"/>
                <w:szCs w:val="21"/>
              </w:rPr>
              <w:t> </w:t>
            </w:r>
            <w:r>
              <w:rPr>
                <w:rFonts w:ascii="宋体" w:hAnsi="宋体" w:cs="宋体" w:eastAsia="宋体" w:hint="default"/>
                <w:spacing w:val="-71"/>
                <w:sz w:val="21"/>
                <w:szCs w:val="21"/>
              </w:rPr>
            </w:r>
            <w:r>
              <w:rPr>
                <w:rFonts w:ascii="宋体" w:hAnsi="宋体" w:cs="宋体" w:eastAsia="宋体" w:hint="default"/>
                <w:sz w:val="21"/>
                <w:szCs w:val="21"/>
              </w:rPr>
              <w:t>广西省、云南省、贵州省和海南省五省（区）南方区域电网</w:t>
            </w:r>
            <w:r>
              <w:rPr>
                <w:rFonts w:ascii="宋体" w:hAnsi="宋体" w:cs="宋体" w:eastAsia="宋体" w:hint="default"/>
                <w:sz w:val="21"/>
                <w:szCs w:val="21"/>
              </w:rPr>
              <w:t> </w:t>
            </w:r>
          </w:p>
        </w:tc>
      </w:tr>
      <w:tr>
        <w:trPr>
          <w:trHeight w:val="322"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center"/>
              <w:rPr>
                <w:rFonts w:ascii="宋体" w:hAnsi="宋体" w:cs="宋体" w:eastAsia="宋体" w:hint="default"/>
                <w:sz w:val="21"/>
                <w:szCs w:val="21"/>
              </w:rPr>
            </w:pPr>
            <w:r>
              <w:rPr>
                <w:rFonts w:ascii="宋体" w:hAnsi="宋体" w:cs="宋体" w:eastAsia="宋体" w:hint="default"/>
                <w:sz w:val="21"/>
                <w:szCs w:val="21"/>
              </w:rPr>
              <w:t>兆瓦、</w:t>
            </w:r>
            <w:r>
              <w:rPr>
                <w:rFonts w:ascii="宋体" w:hAnsi="宋体" w:cs="宋体" w:eastAsia="宋体" w:hint="default"/>
                <w:sz w:val="21"/>
                <w:szCs w:val="21"/>
              </w:rPr>
              <w:t>MW </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39"/>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609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太阳能电池片的功率单位，</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兆瓦＝</w:t>
            </w:r>
            <w:r>
              <w:rPr>
                <w:rFonts w:ascii="宋体" w:hAnsi="宋体" w:cs="宋体" w:eastAsia="宋体" w:hint="default"/>
                <w:sz w:val="21"/>
                <w:szCs w:val="21"/>
              </w:rPr>
              <w:t>1,000</w:t>
            </w:r>
            <w:r>
              <w:rPr>
                <w:rFonts w:ascii="宋体" w:hAnsi="宋体" w:cs="宋体" w:eastAsia="宋体" w:hint="default"/>
                <w:spacing w:val="-53"/>
                <w:sz w:val="21"/>
                <w:szCs w:val="21"/>
              </w:rPr>
              <w:t> </w:t>
            </w:r>
            <w:r>
              <w:rPr>
                <w:rFonts w:ascii="宋体" w:hAnsi="宋体" w:cs="宋体" w:eastAsia="宋体" w:hint="default"/>
                <w:spacing w:val="-3"/>
                <w:sz w:val="21"/>
                <w:szCs w:val="21"/>
              </w:rPr>
              <w:t>千瓦</w:t>
            </w:r>
            <w:r>
              <w:rPr>
                <w:rFonts w:ascii="宋体" w:hAnsi="宋体" w:cs="宋体" w:eastAsia="宋体" w:hint="default"/>
                <w:sz w:val="21"/>
                <w:szCs w:val="21"/>
              </w:rPr>
              <w:t> </w:t>
            </w:r>
          </w:p>
        </w:tc>
      </w:tr>
      <w:tr>
        <w:trPr>
          <w:trHeight w:val="322"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center"/>
              <w:rPr>
                <w:rFonts w:ascii="宋体" w:hAnsi="宋体" w:cs="宋体" w:eastAsia="宋体" w:hint="default"/>
                <w:sz w:val="21"/>
                <w:szCs w:val="21"/>
              </w:rPr>
            </w:pPr>
            <w:r>
              <w:rPr>
                <w:rFonts w:ascii="宋体" w:hAnsi="宋体" w:cs="宋体" w:eastAsia="宋体" w:hint="default"/>
                <w:sz w:val="21"/>
                <w:szCs w:val="21"/>
              </w:rPr>
              <w:t>吉瓦、</w:t>
            </w:r>
            <w:r>
              <w:rPr>
                <w:rFonts w:ascii="宋体" w:hAnsi="宋体" w:cs="宋体" w:eastAsia="宋体" w:hint="default"/>
                <w:sz w:val="21"/>
                <w:szCs w:val="21"/>
              </w:rPr>
              <w:t>GW </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39"/>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609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太阳能电池片的功率单位，</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吉瓦＝</w:t>
            </w:r>
            <w:r>
              <w:rPr>
                <w:rFonts w:ascii="宋体" w:hAnsi="宋体" w:cs="宋体" w:eastAsia="宋体" w:hint="default"/>
                <w:sz w:val="21"/>
                <w:szCs w:val="21"/>
              </w:rPr>
              <w:t>1,000</w:t>
            </w:r>
            <w:r>
              <w:rPr>
                <w:rFonts w:ascii="宋体" w:hAnsi="宋体" w:cs="宋体" w:eastAsia="宋体" w:hint="default"/>
                <w:spacing w:val="-53"/>
                <w:sz w:val="21"/>
                <w:szCs w:val="21"/>
              </w:rPr>
              <w:t> </w:t>
            </w:r>
            <w:r>
              <w:rPr>
                <w:rFonts w:ascii="宋体" w:hAnsi="宋体" w:cs="宋体" w:eastAsia="宋体" w:hint="default"/>
                <w:spacing w:val="-3"/>
                <w:sz w:val="21"/>
                <w:szCs w:val="21"/>
              </w:rPr>
              <w:t>兆瓦</w:t>
            </w:r>
            <w:r>
              <w:rPr>
                <w:rFonts w:ascii="宋体" w:hAnsi="宋体" w:cs="宋体" w:eastAsia="宋体" w:hint="default"/>
                <w:sz w:val="21"/>
                <w:szCs w:val="21"/>
              </w:rPr>
              <w:t> </w:t>
            </w:r>
          </w:p>
        </w:tc>
      </w:tr>
      <w:tr>
        <w:trPr>
          <w:trHeight w:val="634"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5" w:right="0"/>
              <w:jc w:val="center"/>
              <w:rPr>
                <w:rFonts w:ascii="宋体" w:hAnsi="宋体" w:cs="宋体" w:eastAsia="宋体" w:hint="default"/>
                <w:sz w:val="21"/>
                <w:szCs w:val="21"/>
              </w:rPr>
            </w:pPr>
            <w:r>
              <w:rPr>
                <w:rFonts w:ascii="宋体" w:hAnsi="宋体" w:cs="宋体" w:eastAsia="宋体" w:hint="default"/>
                <w:sz w:val="21"/>
                <w:szCs w:val="21"/>
              </w:rPr>
              <w:t>单晶硅</w:t>
            </w:r>
            <w:r>
              <w:rPr>
                <w:rFonts w:ascii="宋体" w:hAnsi="宋体" w:cs="宋体" w:eastAsia="宋体" w:hint="default"/>
                <w:sz w:val="21"/>
                <w:szCs w:val="21"/>
              </w:rPr>
              <w:t> </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39"/>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609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98"/>
              <w:jc w:val="left"/>
              <w:rPr>
                <w:rFonts w:ascii="宋体" w:hAnsi="宋体" w:cs="宋体" w:eastAsia="宋体" w:hint="default"/>
                <w:sz w:val="21"/>
                <w:szCs w:val="21"/>
              </w:rPr>
            </w:pPr>
            <w:r>
              <w:rPr>
                <w:rFonts w:ascii="宋体" w:hAnsi="宋体" w:cs="宋体" w:eastAsia="宋体" w:hint="default"/>
                <w:spacing w:val="-2"/>
                <w:sz w:val="21"/>
                <w:szCs w:val="21"/>
              </w:rPr>
              <w:t>整块硅晶体中的硅原子按周期性排列的单晶体，是用高纯多晶硅</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z w:val="21"/>
                <w:szCs w:val="21"/>
              </w:rPr>
              <w:t>为原料，主要通过直拉法和区熔法制得</w:t>
            </w:r>
            <w:r>
              <w:rPr>
                <w:rFonts w:ascii="宋体" w:hAnsi="宋体" w:cs="宋体" w:eastAsia="宋体" w:hint="default"/>
                <w:sz w:val="21"/>
                <w:szCs w:val="21"/>
              </w:rPr>
              <w:t> </w:t>
            </w:r>
          </w:p>
        </w:tc>
      </w:tr>
      <w:tr>
        <w:trPr>
          <w:trHeight w:val="946"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105" w:right="0"/>
              <w:jc w:val="center"/>
              <w:rPr>
                <w:rFonts w:ascii="宋体" w:hAnsi="宋体" w:cs="宋体" w:eastAsia="宋体" w:hint="default"/>
                <w:sz w:val="21"/>
                <w:szCs w:val="21"/>
              </w:rPr>
            </w:pPr>
            <w:r>
              <w:rPr>
                <w:rFonts w:ascii="宋体" w:hAnsi="宋体" w:cs="宋体" w:eastAsia="宋体" w:hint="default"/>
                <w:sz w:val="21"/>
                <w:szCs w:val="21"/>
              </w:rPr>
              <w:t>多晶硅</w:t>
            </w:r>
            <w:r>
              <w:rPr>
                <w:rFonts w:ascii="宋体" w:hAnsi="宋体" w:cs="宋体" w:eastAsia="宋体" w:hint="default"/>
                <w:sz w:val="21"/>
                <w:szCs w:val="21"/>
              </w:rPr>
              <w:t> </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39"/>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609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98"/>
              <w:jc w:val="both"/>
              <w:rPr>
                <w:rFonts w:ascii="宋体" w:hAnsi="宋体" w:cs="宋体" w:eastAsia="宋体" w:hint="default"/>
                <w:sz w:val="21"/>
                <w:szCs w:val="21"/>
              </w:rPr>
            </w:pPr>
            <w:r>
              <w:rPr>
                <w:rFonts w:ascii="宋体" w:hAnsi="宋体" w:cs="宋体" w:eastAsia="宋体" w:hint="default"/>
                <w:spacing w:val="-2"/>
                <w:sz w:val="21"/>
                <w:szCs w:val="21"/>
              </w:rPr>
              <w:t>由具有一定尺寸的硅晶粒组成的多晶体，各个硅晶粒的晶体取向</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pacing w:val="-2"/>
                <w:sz w:val="21"/>
                <w:szCs w:val="21"/>
              </w:rPr>
              <w:t>不同。用于制备硅单晶的高纯多晶硅主要是由改良的西门子法将</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z w:val="21"/>
                <w:szCs w:val="21"/>
              </w:rPr>
              <w:t>冶金级多晶硅纯化而来</w:t>
            </w:r>
            <w:r>
              <w:rPr>
                <w:rFonts w:ascii="宋体" w:hAnsi="宋体" w:cs="宋体" w:eastAsia="宋体" w:hint="default"/>
                <w:sz w:val="21"/>
                <w:szCs w:val="21"/>
              </w:rPr>
              <w:t> </w:t>
            </w:r>
          </w:p>
        </w:tc>
      </w:tr>
      <w:tr>
        <w:trPr>
          <w:trHeight w:val="946"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105" w:right="0"/>
              <w:jc w:val="center"/>
              <w:rPr>
                <w:rFonts w:ascii="宋体" w:hAnsi="宋体" w:cs="宋体" w:eastAsia="宋体" w:hint="default"/>
                <w:sz w:val="21"/>
                <w:szCs w:val="21"/>
              </w:rPr>
            </w:pPr>
            <w:r>
              <w:rPr>
                <w:rFonts w:ascii="宋体" w:hAnsi="宋体" w:cs="宋体" w:eastAsia="宋体" w:hint="default"/>
                <w:sz w:val="21"/>
                <w:szCs w:val="21"/>
              </w:rPr>
              <w:t>LED</w:t>
            </w:r>
            <w:r>
              <w:rPr>
                <w:rFonts w:ascii="宋体" w:hAnsi="宋体" w:cs="宋体" w:eastAsia="宋体" w:hint="default"/>
                <w:sz w:val="21"/>
                <w:szCs w:val="21"/>
              </w:rPr>
              <w:t>、</w:t>
            </w:r>
            <w:r>
              <w:rPr>
                <w:rFonts w:ascii="宋体" w:hAnsi="宋体" w:cs="宋体" w:eastAsia="宋体" w:hint="default"/>
                <w:sz w:val="21"/>
                <w:szCs w:val="21"/>
              </w:rPr>
              <w:t>LED</w:t>
            </w:r>
            <w:r>
              <w:rPr>
                <w:rFonts w:ascii="宋体" w:hAnsi="宋体" w:cs="宋体" w:eastAsia="宋体" w:hint="default"/>
                <w:spacing w:val="-55"/>
                <w:sz w:val="21"/>
                <w:szCs w:val="21"/>
              </w:rPr>
              <w:t> </w:t>
            </w:r>
            <w:r>
              <w:rPr>
                <w:rFonts w:ascii="宋体" w:hAnsi="宋体" w:cs="宋体" w:eastAsia="宋体" w:hint="default"/>
                <w:sz w:val="21"/>
                <w:szCs w:val="21"/>
              </w:rPr>
              <w:t>照明</w:t>
            </w:r>
            <w:r>
              <w:rPr>
                <w:rFonts w:ascii="宋体" w:hAnsi="宋体" w:cs="宋体" w:eastAsia="宋体" w:hint="default"/>
                <w:sz w:val="21"/>
                <w:szCs w:val="21"/>
              </w:rPr>
              <w:t> </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39"/>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609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96"/>
              <w:jc w:val="both"/>
              <w:rPr>
                <w:rFonts w:ascii="宋体" w:hAnsi="宋体" w:cs="宋体" w:eastAsia="宋体" w:hint="default"/>
                <w:sz w:val="21"/>
                <w:szCs w:val="21"/>
              </w:rPr>
            </w:pPr>
            <w:r>
              <w:rPr>
                <w:rFonts w:ascii="宋体" w:hAnsi="宋体" w:cs="宋体" w:eastAsia="宋体" w:hint="default"/>
                <w:spacing w:val="-2"/>
                <w:sz w:val="21"/>
                <w:szCs w:val="21"/>
              </w:rPr>
              <w:t>又称发光二极管照明，是利用固体半导体芯片作为发光材料，在</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pacing w:val="-2"/>
                <w:sz w:val="21"/>
                <w:szCs w:val="21"/>
              </w:rPr>
              <w:t>半导体中通过载流子发生复合放出过剩的能量而引起光子发射，</w:t>
            </w:r>
            <w:r>
              <w:rPr>
                <w:rFonts w:ascii="宋体" w:hAnsi="宋体" w:cs="宋体" w:eastAsia="宋体" w:hint="default"/>
                <w:spacing w:val="-52"/>
                <w:sz w:val="21"/>
                <w:szCs w:val="21"/>
              </w:rPr>
              <w:t> </w:t>
            </w:r>
            <w:r>
              <w:rPr>
                <w:rFonts w:ascii="宋体" w:hAnsi="宋体" w:cs="宋体" w:eastAsia="宋体" w:hint="default"/>
                <w:spacing w:val="-52"/>
                <w:sz w:val="21"/>
                <w:szCs w:val="21"/>
              </w:rPr>
            </w:r>
            <w:r>
              <w:rPr>
                <w:rFonts w:ascii="宋体" w:hAnsi="宋体" w:cs="宋体" w:eastAsia="宋体" w:hint="default"/>
                <w:sz w:val="21"/>
                <w:szCs w:val="21"/>
              </w:rPr>
              <w:t>直接发出红、黄、蓝、绿、青、橙、紫、白色的光</w:t>
            </w:r>
            <w:r>
              <w:rPr>
                <w:rFonts w:ascii="宋体" w:hAnsi="宋体" w:cs="宋体" w:eastAsia="宋体" w:hint="default"/>
                <w:sz w:val="21"/>
                <w:szCs w:val="21"/>
              </w:rPr>
              <w:t> </w:t>
            </w:r>
          </w:p>
        </w:tc>
      </w:tr>
      <w:tr>
        <w:trPr>
          <w:trHeight w:val="636"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105" w:right="0"/>
              <w:jc w:val="center"/>
              <w:rPr>
                <w:rFonts w:ascii="宋体" w:hAnsi="宋体" w:cs="宋体" w:eastAsia="宋体" w:hint="default"/>
                <w:sz w:val="21"/>
                <w:szCs w:val="21"/>
              </w:rPr>
            </w:pPr>
            <w:r>
              <w:rPr>
                <w:rFonts w:ascii="宋体" w:hAnsi="宋体" w:cs="宋体" w:eastAsia="宋体" w:hint="default"/>
                <w:sz w:val="21"/>
                <w:szCs w:val="21"/>
              </w:rPr>
              <w:t>微电网</w:t>
            </w:r>
            <w:r>
              <w:rPr>
                <w:rFonts w:ascii="宋体" w:hAnsi="宋体" w:cs="宋体" w:eastAsia="宋体" w:hint="default"/>
                <w:sz w:val="21"/>
                <w:szCs w:val="21"/>
              </w:rPr>
              <w:t> </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39"/>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609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101"/>
              <w:jc w:val="left"/>
              <w:rPr>
                <w:rFonts w:ascii="宋体" w:hAnsi="宋体" w:cs="宋体" w:eastAsia="宋体" w:hint="default"/>
                <w:sz w:val="21"/>
                <w:szCs w:val="21"/>
              </w:rPr>
            </w:pPr>
            <w:r>
              <w:rPr>
                <w:rFonts w:ascii="宋体" w:hAnsi="宋体" w:cs="宋体" w:eastAsia="宋体" w:hint="default"/>
                <w:spacing w:val="-2"/>
                <w:sz w:val="21"/>
                <w:szCs w:val="21"/>
              </w:rPr>
              <w:t>也称为微网，是指由分布式电源、储能装置、能量转换装置、负</w:t>
            </w:r>
            <w:r>
              <w:rPr>
                <w:rFonts w:ascii="宋体" w:hAnsi="宋体" w:cs="宋体" w:eastAsia="宋体" w:hint="default"/>
                <w:spacing w:val="-58"/>
                <w:sz w:val="21"/>
                <w:szCs w:val="21"/>
              </w:rPr>
              <w:t> </w:t>
            </w:r>
            <w:r>
              <w:rPr>
                <w:rFonts w:ascii="宋体" w:hAnsi="宋体" w:cs="宋体" w:eastAsia="宋体" w:hint="default"/>
                <w:spacing w:val="-58"/>
                <w:sz w:val="21"/>
                <w:szCs w:val="21"/>
              </w:rPr>
            </w:r>
            <w:r>
              <w:rPr>
                <w:rFonts w:ascii="宋体" w:hAnsi="宋体" w:cs="宋体" w:eastAsia="宋体" w:hint="default"/>
                <w:sz w:val="21"/>
                <w:szCs w:val="21"/>
              </w:rPr>
              <w:t>荷、监控和保护装置等组成的小型发配电系统</w:t>
            </w:r>
            <w:r>
              <w:rPr>
                <w:rFonts w:ascii="宋体" w:hAnsi="宋体" w:cs="宋体" w:eastAsia="宋体" w:hint="default"/>
                <w:sz w:val="21"/>
                <w:szCs w:val="21"/>
              </w:rPr>
              <w:t> </w:t>
            </w:r>
          </w:p>
        </w:tc>
      </w:tr>
      <w:tr>
        <w:trPr>
          <w:trHeight w:val="1258"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03" w:right="0"/>
              <w:jc w:val="center"/>
              <w:rPr>
                <w:rFonts w:ascii="宋体" w:hAnsi="宋体" w:cs="宋体" w:eastAsia="宋体" w:hint="default"/>
                <w:sz w:val="21"/>
                <w:szCs w:val="21"/>
              </w:rPr>
            </w:pPr>
            <w:r>
              <w:rPr>
                <w:rFonts w:ascii="宋体" w:hAnsi="宋体" w:cs="宋体" w:eastAsia="宋体" w:hint="default"/>
                <w:sz w:val="21"/>
                <w:szCs w:val="21"/>
              </w:rPr>
              <w:t>能源互联网</w:t>
            </w:r>
            <w:r>
              <w:rPr>
                <w:rFonts w:ascii="宋体" w:hAnsi="宋体" w:cs="宋体" w:eastAsia="宋体" w:hint="default"/>
                <w:sz w:val="21"/>
                <w:szCs w:val="21"/>
              </w:rPr>
              <w:t> </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39"/>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609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96"/>
              <w:jc w:val="both"/>
              <w:rPr>
                <w:rFonts w:ascii="宋体" w:hAnsi="宋体" w:cs="宋体" w:eastAsia="宋体" w:hint="default"/>
                <w:sz w:val="21"/>
                <w:szCs w:val="21"/>
              </w:rPr>
            </w:pPr>
            <w:r>
              <w:rPr>
                <w:rFonts w:ascii="宋体" w:hAnsi="宋体" w:cs="宋体" w:eastAsia="宋体" w:hint="default"/>
                <w:spacing w:val="-2"/>
                <w:sz w:val="21"/>
                <w:szCs w:val="21"/>
              </w:rPr>
              <w:t>是指综合运用先进的电力电子技术，信息技术和智能管理技术，</w:t>
            </w:r>
            <w:r>
              <w:rPr>
                <w:rFonts w:ascii="宋体" w:hAnsi="宋体" w:cs="宋体" w:eastAsia="宋体" w:hint="default"/>
                <w:spacing w:val="-52"/>
                <w:sz w:val="21"/>
                <w:szCs w:val="21"/>
              </w:rPr>
              <w:t> </w:t>
            </w:r>
            <w:r>
              <w:rPr>
                <w:rFonts w:ascii="宋体" w:hAnsi="宋体" w:cs="宋体" w:eastAsia="宋体" w:hint="default"/>
                <w:spacing w:val="-52"/>
                <w:sz w:val="21"/>
                <w:szCs w:val="21"/>
              </w:rPr>
            </w:r>
            <w:r>
              <w:rPr>
                <w:rFonts w:ascii="宋体" w:hAnsi="宋体" w:cs="宋体" w:eastAsia="宋体" w:hint="default"/>
                <w:spacing w:val="-2"/>
                <w:sz w:val="21"/>
                <w:szCs w:val="21"/>
              </w:rPr>
              <w:t>将大量由分布式能量采集装置，分布式能量储存装置和各种类型</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pacing w:val="-2"/>
                <w:sz w:val="21"/>
                <w:szCs w:val="21"/>
              </w:rPr>
              <w:t>负载构成的新型电力网络、石油网络、天然气网络等能源节点互</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z w:val="21"/>
                <w:szCs w:val="21"/>
              </w:rPr>
              <w:t>联起来，以实现能量双向流动的能量对等交换与共享网络</w:t>
            </w:r>
            <w:r>
              <w:rPr>
                <w:rFonts w:ascii="宋体" w:hAnsi="宋体" w:cs="宋体" w:eastAsia="宋体" w:hint="default"/>
                <w:sz w:val="21"/>
                <w:szCs w:val="21"/>
              </w:rPr>
              <w:t> </w:t>
            </w:r>
          </w:p>
        </w:tc>
      </w:tr>
      <w:tr>
        <w:trPr>
          <w:trHeight w:val="634"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5" w:right="0"/>
              <w:jc w:val="center"/>
              <w:rPr>
                <w:rFonts w:ascii="宋体" w:hAnsi="宋体" w:cs="宋体" w:eastAsia="宋体" w:hint="default"/>
                <w:sz w:val="21"/>
                <w:szCs w:val="21"/>
              </w:rPr>
            </w:pPr>
            <w:r>
              <w:rPr>
                <w:rFonts w:ascii="宋体"/>
                <w:sz w:val="21"/>
              </w:rPr>
              <w:t>EPC </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39"/>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609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46"/>
              <w:jc w:val="left"/>
              <w:rPr>
                <w:rFonts w:ascii="宋体" w:hAnsi="宋体" w:cs="宋体" w:eastAsia="宋体" w:hint="default"/>
                <w:sz w:val="21"/>
                <w:szCs w:val="21"/>
              </w:rPr>
            </w:pPr>
            <w:r>
              <w:rPr>
                <w:rFonts w:ascii="宋体" w:hAnsi="宋体" w:cs="宋体" w:eastAsia="宋体" w:hint="default"/>
                <w:sz w:val="21"/>
                <w:szCs w:val="21"/>
              </w:rPr>
              <w:t>EngineeringProcurementConstruction</w:t>
            </w:r>
            <w:r>
              <w:rPr>
                <w:rFonts w:ascii="宋体" w:hAnsi="宋体" w:cs="宋体" w:eastAsia="宋体" w:hint="default"/>
                <w:spacing w:val="-57"/>
                <w:sz w:val="21"/>
                <w:szCs w:val="21"/>
              </w:rPr>
              <w:t> </w:t>
            </w:r>
            <w:r>
              <w:rPr>
                <w:rFonts w:ascii="宋体" w:hAnsi="宋体" w:cs="宋体" w:eastAsia="宋体" w:hint="default"/>
                <w:sz w:val="21"/>
                <w:szCs w:val="21"/>
              </w:rPr>
              <w:t>的简称，即工程总承包，</w:t>
            </w:r>
            <w:r>
              <w:rPr>
                <w:rFonts w:ascii="宋体" w:hAnsi="宋体" w:cs="宋体" w:eastAsia="宋体" w:hint="default"/>
                <w:w w:val="100"/>
                <w:sz w:val="21"/>
                <w:szCs w:val="21"/>
              </w:rPr>
              <w:t> </w:t>
            </w:r>
            <w:r>
              <w:rPr>
                <w:rFonts w:ascii="宋体" w:hAnsi="宋体" w:cs="宋体" w:eastAsia="宋体" w:hint="default"/>
                <w:sz w:val="21"/>
                <w:szCs w:val="21"/>
              </w:rPr>
              <w:t>是光伏电站项目建设的一种方式</w:t>
            </w:r>
            <w:r>
              <w:rPr>
                <w:rFonts w:ascii="宋体" w:hAnsi="宋体" w:cs="宋体" w:eastAsia="宋体" w:hint="default"/>
                <w:sz w:val="21"/>
                <w:szCs w:val="21"/>
              </w:rPr>
              <w:t> </w:t>
            </w:r>
          </w:p>
        </w:tc>
      </w:tr>
      <w:tr>
        <w:trPr>
          <w:trHeight w:val="634"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43" w:right="91" w:hanging="941"/>
              <w:jc w:val="left"/>
              <w:rPr>
                <w:rFonts w:ascii="宋体" w:hAnsi="宋体" w:cs="宋体" w:eastAsia="宋体" w:hint="default"/>
                <w:sz w:val="21"/>
                <w:szCs w:val="21"/>
              </w:rPr>
            </w:pPr>
            <w:r>
              <w:rPr>
                <w:rFonts w:ascii="宋体" w:hAnsi="宋体" w:cs="宋体" w:eastAsia="宋体" w:hint="default"/>
                <w:spacing w:val="-2"/>
                <w:sz w:val="21"/>
                <w:szCs w:val="21"/>
              </w:rPr>
              <w:t>光伏组件、太阳能组件、</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组件</w:t>
            </w:r>
            <w:r>
              <w:rPr>
                <w:rFonts w:ascii="宋体" w:hAnsi="宋体" w:cs="宋体" w:eastAsia="宋体" w:hint="default"/>
                <w:sz w:val="21"/>
                <w:szCs w:val="21"/>
              </w:rPr>
              <w:t> </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39"/>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609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98"/>
              <w:jc w:val="left"/>
              <w:rPr>
                <w:rFonts w:ascii="宋体" w:hAnsi="宋体" w:cs="宋体" w:eastAsia="宋体" w:hint="default"/>
                <w:sz w:val="21"/>
                <w:szCs w:val="21"/>
              </w:rPr>
            </w:pPr>
            <w:r>
              <w:rPr>
                <w:rFonts w:ascii="宋体" w:hAnsi="宋体" w:cs="宋体" w:eastAsia="宋体" w:hint="default"/>
                <w:spacing w:val="-2"/>
                <w:sz w:val="21"/>
                <w:szCs w:val="21"/>
              </w:rPr>
              <w:t>由不同规格的太阳能电池组合在一起构成，其作用是将太阳能转</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z w:val="21"/>
                <w:szCs w:val="21"/>
              </w:rPr>
              <w:t>化为电能，是太阳能发电系统中的核心部分</w:t>
            </w:r>
            <w:r>
              <w:rPr>
                <w:rFonts w:ascii="宋体" w:hAnsi="宋体" w:cs="宋体" w:eastAsia="宋体" w:hint="default"/>
                <w:sz w:val="21"/>
                <w:szCs w:val="21"/>
              </w:rPr>
              <w:t> </w:t>
            </w:r>
          </w:p>
        </w:tc>
      </w:tr>
      <w:tr>
        <w:trPr>
          <w:trHeight w:val="634"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center"/>
              <w:rPr>
                <w:rFonts w:ascii="宋体" w:hAnsi="宋体" w:cs="宋体" w:eastAsia="宋体" w:hint="default"/>
                <w:sz w:val="21"/>
                <w:szCs w:val="21"/>
              </w:rPr>
            </w:pPr>
            <w:r>
              <w:rPr>
                <w:rFonts w:ascii="宋体" w:hAnsi="宋体" w:cs="宋体" w:eastAsia="宋体" w:hint="default"/>
                <w:sz w:val="21"/>
                <w:szCs w:val="21"/>
              </w:rPr>
              <w:t>高效太阳光伏电池</w:t>
            </w:r>
            <w:r>
              <w:rPr>
                <w:rFonts w:ascii="宋体" w:hAnsi="宋体" w:cs="宋体" w:eastAsia="宋体" w:hint="default"/>
                <w:sz w:val="21"/>
                <w:szCs w:val="21"/>
              </w:rPr>
              <w:t> </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39"/>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609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98"/>
              <w:jc w:val="left"/>
              <w:rPr>
                <w:rFonts w:ascii="宋体" w:hAnsi="宋体" w:cs="宋体" w:eastAsia="宋体" w:hint="default"/>
                <w:sz w:val="21"/>
                <w:szCs w:val="21"/>
              </w:rPr>
            </w:pPr>
            <w:r>
              <w:rPr>
                <w:rFonts w:ascii="宋体" w:hAnsi="宋体" w:cs="宋体" w:eastAsia="宋体" w:hint="default"/>
                <w:sz w:val="21"/>
                <w:szCs w:val="21"/>
              </w:rPr>
              <w:t>N</w:t>
            </w:r>
            <w:r>
              <w:rPr>
                <w:rFonts w:ascii="宋体" w:hAnsi="宋体" w:cs="宋体" w:eastAsia="宋体" w:hint="default"/>
                <w:spacing w:val="-5"/>
                <w:sz w:val="21"/>
                <w:szCs w:val="21"/>
              </w:rPr>
              <w:t> </w:t>
            </w:r>
            <w:r>
              <w:rPr>
                <w:rFonts w:ascii="宋体" w:hAnsi="宋体" w:cs="宋体" w:eastAsia="宋体" w:hint="default"/>
                <w:sz w:val="21"/>
                <w:szCs w:val="21"/>
              </w:rPr>
              <w:t>型单晶双面太阳能电池，具有温度系数低、光衰减系数低、光</w:t>
            </w:r>
            <w:r>
              <w:rPr>
                <w:rFonts w:ascii="宋体" w:hAnsi="宋体" w:cs="宋体" w:eastAsia="宋体" w:hint="default"/>
                <w:w w:val="100"/>
                <w:sz w:val="21"/>
                <w:szCs w:val="21"/>
              </w:rPr>
              <w:t> </w:t>
            </w:r>
            <w:r>
              <w:rPr>
                <w:rFonts w:ascii="宋体" w:hAnsi="宋体" w:cs="宋体" w:eastAsia="宋体" w:hint="default"/>
                <w:sz w:val="21"/>
                <w:szCs w:val="21"/>
              </w:rPr>
              <w:t>电转换效率高等优良特性</w:t>
            </w:r>
            <w:r>
              <w:rPr>
                <w:rFonts w:ascii="宋体" w:hAnsi="宋体" w:cs="宋体" w:eastAsia="宋体" w:hint="default"/>
                <w:sz w:val="21"/>
                <w:szCs w:val="21"/>
              </w:rPr>
              <w:t> </w:t>
            </w:r>
          </w:p>
        </w:tc>
      </w:tr>
      <w:tr>
        <w:trPr>
          <w:trHeight w:val="1260"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05" w:right="0"/>
              <w:jc w:val="center"/>
              <w:rPr>
                <w:rFonts w:ascii="宋体" w:hAnsi="宋体" w:cs="宋体" w:eastAsia="宋体" w:hint="default"/>
                <w:sz w:val="21"/>
                <w:szCs w:val="21"/>
              </w:rPr>
            </w:pPr>
            <w:r>
              <w:rPr>
                <w:rFonts w:ascii="宋体" w:hAnsi="宋体" w:cs="宋体" w:eastAsia="宋体" w:hint="default"/>
                <w:sz w:val="21"/>
                <w:szCs w:val="21"/>
              </w:rPr>
              <w:t>泛在电力物联网</w:t>
            </w:r>
            <w:r>
              <w:rPr>
                <w:rFonts w:ascii="宋体" w:hAnsi="宋体" w:cs="宋体" w:eastAsia="宋体" w:hint="default"/>
                <w:sz w:val="21"/>
                <w:szCs w:val="21"/>
              </w:rPr>
              <w:t> </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39"/>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609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7"/>
              <w:jc w:val="left"/>
              <w:rPr>
                <w:rFonts w:ascii="宋体" w:hAnsi="宋体" w:cs="宋体" w:eastAsia="宋体" w:hint="default"/>
                <w:sz w:val="21"/>
                <w:szCs w:val="21"/>
              </w:rPr>
            </w:pPr>
            <w:r>
              <w:rPr>
                <w:rFonts w:ascii="宋体" w:hAnsi="宋体" w:cs="宋体" w:eastAsia="宋体" w:hint="default"/>
                <w:sz w:val="21"/>
                <w:szCs w:val="21"/>
              </w:rPr>
              <w:t>围绕电力系统各环节，充分应用移动互联、人工智能等现代信息</w:t>
            </w:r>
            <w:r>
              <w:rPr>
                <w:rFonts w:ascii="宋体" w:hAnsi="宋体" w:cs="宋体" w:eastAsia="宋体" w:hint="default"/>
                <w:w w:val="100"/>
                <w:sz w:val="21"/>
                <w:szCs w:val="21"/>
              </w:rPr>
              <w:t> </w:t>
            </w:r>
            <w:r>
              <w:rPr>
                <w:rFonts w:ascii="宋体" w:hAnsi="宋体" w:cs="宋体" w:eastAsia="宋体" w:hint="default"/>
                <w:spacing w:val="-5"/>
                <w:sz w:val="21"/>
                <w:szCs w:val="21"/>
              </w:rPr>
              <w:t>技术、先进通信技术，实现电力系统各环节万物互联、人机交互，</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z w:val="21"/>
                <w:szCs w:val="21"/>
              </w:rPr>
              <w:t>具有状态全面感知、信息高效处理、应用便捷灵活特征的智慧服</w:t>
            </w:r>
            <w:r>
              <w:rPr>
                <w:rFonts w:ascii="宋体" w:hAnsi="宋体" w:cs="宋体" w:eastAsia="宋体" w:hint="default"/>
                <w:w w:val="100"/>
                <w:sz w:val="21"/>
                <w:szCs w:val="21"/>
              </w:rPr>
              <w:t> </w:t>
            </w:r>
            <w:r>
              <w:rPr>
                <w:rFonts w:ascii="宋体" w:hAnsi="宋体" w:cs="宋体" w:eastAsia="宋体" w:hint="default"/>
                <w:sz w:val="21"/>
                <w:szCs w:val="21"/>
              </w:rPr>
              <w:t>务系统，包含感知层、网络层、平台层、应用层四层结构。</w:t>
            </w:r>
            <w:r>
              <w:rPr>
                <w:rFonts w:ascii="宋体" w:hAnsi="宋体" w:cs="宋体" w:eastAsia="宋体" w:hint="default"/>
                <w:sz w:val="21"/>
                <w:szCs w:val="21"/>
              </w:rPr>
              <w:t> </w:t>
            </w:r>
          </w:p>
        </w:tc>
      </w:tr>
    </w:tbl>
    <w:p>
      <w:pPr>
        <w:pStyle w:val="Heading2"/>
        <w:spacing w:line="273" w:lineRule="exact"/>
        <w:ind w:right="0"/>
        <w:jc w:val="left"/>
        <w:rPr>
          <w:rFonts w:ascii="宋体" w:hAnsi="宋体" w:cs="宋体" w:eastAsia="宋体" w:hint="default"/>
        </w:rPr>
      </w:pPr>
      <w:r>
        <w:rPr>
          <w:rFonts w:ascii="宋体"/>
        </w:rPr>
        <w:t> </w:t>
      </w:r>
    </w:p>
    <w:p>
      <w:pPr>
        <w:pStyle w:val="Heading2"/>
        <w:tabs>
          <w:tab w:pos="3099" w:val="left" w:leader="none"/>
        </w:tabs>
        <w:spacing w:line="313" w:lineRule="exact"/>
        <w:ind w:right="0"/>
        <w:jc w:val="left"/>
        <w:rPr>
          <w:rFonts w:ascii="宋体" w:hAnsi="宋体" w:cs="宋体" w:eastAsia="宋体" w:hint="default"/>
        </w:rPr>
      </w:pPr>
      <w:r>
        <w:rPr>
          <w:rFonts w:ascii="宋体"/>
        </w:rPr>
        <w:t> </w:t>
        <w:tab/>
        <w:t> </w:t>
      </w:r>
    </w:p>
    <w:p>
      <w:pPr>
        <w:spacing w:after="0" w:line="313" w:lineRule="exact"/>
        <w:jc w:val="left"/>
        <w:rPr>
          <w:rFonts w:ascii="宋体" w:hAnsi="宋体" w:cs="宋体" w:eastAsia="宋体" w:hint="default"/>
        </w:rPr>
        <w:sectPr>
          <w:headerReference w:type="default" r:id="rId11"/>
          <w:footerReference w:type="default" r:id="rId12"/>
          <w:pgSz w:w="11910" w:h="16840"/>
          <w:pgMar w:header="748" w:footer="974" w:top="1140" w:bottom="1160" w:left="1200" w:right="1160"/>
        </w:sectPr>
      </w:pPr>
    </w:p>
    <w:p>
      <w:pPr>
        <w:spacing w:line="240" w:lineRule="auto" w:before="4"/>
        <w:rPr>
          <w:rFonts w:ascii="宋体" w:hAnsi="宋体" w:cs="宋体" w:eastAsia="宋体" w:hint="default"/>
          <w:sz w:val="28"/>
          <w:szCs w:val="28"/>
        </w:rPr>
      </w:pPr>
    </w:p>
    <w:p>
      <w:pPr>
        <w:pStyle w:val="Heading1"/>
        <w:tabs>
          <w:tab w:pos="3838" w:val="left" w:leader="none"/>
        </w:tabs>
        <w:spacing w:line="240" w:lineRule="auto"/>
        <w:ind w:left="2578" w:right="0"/>
        <w:jc w:val="left"/>
        <w:rPr>
          <w:rFonts w:ascii="黑体" w:hAnsi="黑体" w:cs="黑体" w:eastAsia="黑体" w:hint="default"/>
          <w:b w:val="0"/>
          <w:bCs w:val="0"/>
        </w:rPr>
      </w:pPr>
      <w:bookmarkStart w:name="_bookmark1" w:id="2"/>
      <w:bookmarkEnd w:id="2"/>
      <w:r>
        <w:rPr>
          <w:b w:val="0"/>
          <w:bCs w:val="0"/>
        </w:rPr>
      </w:r>
      <w:r>
        <w:rPr>
          <w:rFonts w:ascii="黑体" w:hAnsi="黑体" w:cs="黑体" w:eastAsia="黑体" w:hint="default"/>
          <w:w w:val="95"/>
        </w:rPr>
        <w:t>第二节</w:t>
      </w:r>
      <w:r>
        <w:rPr>
          <w:rFonts w:ascii="宋体" w:hAnsi="宋体" w:cs="宋体" w:eastAsia="宋体" w:hint="default"/>
          <w:w w:val="95"/>
        </w:rPr>
        <w:tab/>
      </w:r>
      <w:r>
        <w:rPr>
          <w:rFonts w:ascii="黑体" w:hAnsi="黑体" w:cs="黑体" w:eastAsia="黑体" w:hint="default"/>
        </w:rPr>
        <w:t>公司简介和主要财务指标</w:t>
      </w:r>
      <w:r>
        <w:rPr>
          <w:rFonts w:ascii="黑体" w:hAnsi="黑体" w:cs="黑体" w:eastAsia="黑体" w:hint="default"/>
          <w:b w:val="0"/>
          <w:bCs w:val="0"/>
        </w:rPr>
      </w:r>
    </w:p>
    <w:p>
      <w:pPr>
        <w:spacing w:line="240" w:lineRule="auto" w:before="13"/>
        <w:rPr>
          <w:rFonts w:ascii="黑体" w:hAnsi="黑体" w:cs="黑体" w:eastAsia="黑体" w:hint="default"/>
          <w:b/>
          <w:bCs/>
          <w:sz w:val="13"/>
          <w:szCs w:val="13"/>
        </w:rPr>
      </w:pPr>
    </w:p>
    <w:p>
      <w:pPr>
        <w:pStyle w:val="Heading3"/>
        <w:spacing w:line="240" w:lineRule="auto" w:before="36"/>
        <w:ind w:right="0"/>
        <w:jc w:val="left"/>
        <w:rPr>
          <w:b w:val="0"/>
          <w:bCs w:val="0"/>
        </w:rPr>
      </w:pPr>
      <w:r>
        <w:rPr/>
        <w:t>一、</w:t>
      </w:r>
      <w:r>
        <w:rPr>
          <w:spacing w:val="39"/>
        </w:rPr>
        <w:t> </w:t>
      </w:r>
      <w:r>
        <w:rPr>
          <w:rFonts w:ascii="宋体" w:hAnsi="宋体" w:cs="宋体" w:eastAsia="宋体" w:hint="default"/>
          <w:spacing w:val="39"/>
        </w:rPr>
      </w:r>
      <w:r>
        <w:rPr/>
        <w:t>公司信息</w:t>
      </w:r>
      <w:r>
        <w:rPr>
          <w:b w:val="0"/>
          <w:bCs w:val="0"/>
        </w:rPr>
      </w:r>
    </w:p>
    <w:p>
      <w:pPr>
        <w:spacing w:line="240" w:lineRule="auto" w:before="5"/>
        <w:rPr>
          <w:rFonts w:ascii="宋体" w:hAnsi="宋体" w:cs="宋体" w:eastAsia="宋体" w:hint="default"/>
          <w:b/>
          <w:bCs/>
          <w:sz w:val="8"/>
          <w:szCs w:val="8"/>
        </w:rPr>
      </w:pPr>
    </w:p>
    <w:tbl>
      <w:tblPr>
        <w:tblW w:w="0" w:type="auto"/>
        <w:jc w:val="left"/>
        <w:tblInd w:w="182" w:type="dxa"/>
        <w:tblLayout w:type="fixed"/>
        <w:tblCellMar>
          <w:top w:w="0" w:type="dxa"/>
          <w:left w:w="0" w:type="dxa"/>
          <w:bottom w:w="0" w:type="dxa"/>
          <w:right w:w="0" w:type="dxa"/>
        </w:tblCellMar>
        <w:tblLook w:val="01E0"/>
      </w:tblPr>
      <w:tblGrid>
        <w:gridCol w:w="3963"/>
        <w:gridCol w:w="5171"/>
      </w:tblGrid>
      <w:tr>
        <w:trPr>
          <w:trHeight w:val="302" w:hRule="exact"/>
        </w:trPr>
        <w:tc>
          <w:tcPr>
            <w:tcW w:w="39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公司的中文名称</w:t>
            </w:r>
            <w:r>
              <w:rPr>
                <w:rFonts w:ascii="宋体" w:hAnsi="宋体" w:cs="宋体" w:eastAsia="宋体" w:hint="default"/>
                <w:sz w:val="21"/>
                <w:szCs w:val="21"/>
              </w:rPr>
              <w:t> </w:t>
            </w:r>
          </w:p>
        </w:tc>
        <w:tc>
          <w:tcPr>
            <w:tcW w:w="51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江苏林洋能源股份有限公司</w:t>
            </w:r>
            <w:r>
              <w:rPr>
                <w:rFonts w:ascii="宋体" w:hAnsi="宋体" w:cs="宋体" w:eastAsia="宋体" w:hint="default"/>
                <w:color w:val="FFC000"/>
                <w:sz w:val="21"/>
                <w:szCs w:val="21"/>
              </w:rPr>
              <w:t> </w:t>
            </w:r>
            <w:r>
              <w:rPr>
                <w:rFonts w:ascii="宋体" w:hAnsi="宋体" w:cs="宋体" w:eastAsia="宋体" w:hint="default"/>
                <w:sz w:val="21"/>
                <w:szCs w:val="21"/>
              </w:rPr>
            </w:r>
          </w:p>
        </w:tc>
      </w:tr>
      <w:tr>
        <w:trPr>
          <w:trHeight w:val="302" w:hRule="exact"/>
        </w:trPr>
        <w:tc>
          <w:tcPr>
            <w:tcW w:w="39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公司的中文简称</w:t>
            </w:r>
            <w:r>
              <w:rPr>
                <w:rFonts w:ascii="宋体" w:hAnsi="宋体" w:cs="宋体" w:eastAsia="宋体" w:hint="default"/>
                <w:sz w:val="21"/>
                <w:szCs w:val="21"/>
              </w:rPr>
              <w:t> </w:t>
            </w:r>
          </w:p>
        </w:tc>
        <w:tc>
          <w:tcPr>
            <w:tcW w:w="51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林洋能源</w:t>
            </w:r>
            <w:r>
              <w:rPr>
                <w:rFonts w:ascii="宋体" w:hAnsi="宋体" w:cs="宋体" w:eastAsia="宋体" w:hint="default"/>
                <w:sz w:val="21"/>
                <w:szCs w:val="21"/>
              </w:rPr>
              <w:t> </w:t>
            </w:r>
          </w:p>
        </w:tc>
      </w:tr>
      <w:tr>
        <w:trPr>
          <w:trHeight w:val="305" w:hRule="exact"/>
        </w:trPr>
        <w:tc>
          <w:tcPr>
            <w:tcW w:w="396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公司的外文名称</w:t>
            </w:r>
            <w:r>
              <w:rPr>
                <w:rFonts w:ascii="宋体" w:hAnsi="宋体" w:cs="宋体" w:eastAsia="宋体" w:hint="default"/>
                <w:sz w:val="21"/>
                <w:szCs w:val="21"/>
              </w:rPr>
              <w:t> </w:t>
            </w:r>
          </w:p>
        </w:tc>
        <w:tc>
          <w:tcPr>
            <w:tcW w:w="517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sz w:val="21"/>
              </w:rPr>
              <w:t>JiangsuLinyangEnergyCo.,Ltd. </w:t>
            </w:r>
          </w:p>
        </w:tc>
      </w:tr>
      <w:tr>
        <w:trPr>
          <w:trHeight w:val="302" w:hRule="exact"/>
        </w:trPr>
        <w:tc>
          <w:tcPr>
            <w:tcW w:w="39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公司的外文名称缩写</w:t>
            </w:r>
            <w:r>
              <w:rPr>
                <w:rFonts w:ascii="宋体" w:hAnsi="宋体" w:cs="宋体" w:eastAsia="宋体" w:hint="default"/>
                <w:sz w:val="21"/>
                <w:szCs w:val="21"/>
              </w:rPr>
              <w:t> </w:t>
            </w:r>
          </w:p>
        </w:tc>
        <w:tc>
          <w:tcPr>
            <w:tcW w:w="51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LinyangEnergy </w:t>
            </w:r>
          </w:p>
        </w:tc>
      </w:tr>
      <w:tr>
        <w:trPr>
          <w:trHeight w:val="302" w:hRule="exact"/>
        </w:trPr>
        <w:tc>
          <w:tcPr>
            <w:tcW w:w="39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公司的法定代表人</w:t>
            </w:r>
            <w:r>
              <w:rPr>
                <w:rFonts w:ascii="宋体" w:hAnsi="宋体" w:cs="宋体" w:eastAsia="宋体" w:hint="default"/>
                <w:sz w:val="21"/>
                <w:szCs w:val="21"/>
              </w:rPr>
              <w:t> </w:t>
            </w:r>
          </w:p>
        </w:tc>
        <w:tc>
          <w:tcPr>
            <w:tcW w:w="51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陆永华</w:t>
            </w:r>
            <w:r>
              <w:rPr>
                <w:rFonts w:ascii="宋体" w:hAnsi="宋体" w:cs="宋体" w:eastAsia="宋体" w:hint="default"/>
                <w:sz w:val="21"/>
                <w:szCs w:val="21"/>
              </w:rPr>
              <w:t> </w:t>
            </w:r>
          </w:p>
        </w:tc>
      </w:tr>
    </w:tbl>
    <w:p>
      <w:pPr>
        <w:pStyle w:val="BodyText"/>
        <w:spacing w:line="262" w:lineRule="exact"/>
        <w:ind w:right="0"/>
        <w:jc w:val="left"/>
        <w:rPr>
          <w:rFonts w:ascii="宋体" w:hAnsi="宋体" w:cs="宋体" w:eastAsia="宋体" w:hint="default"/>
        </w:rPr>
      </w:pPr>
      <w:r>
        <w:rPr>
          <w:rFonts w:ascii="宋体"/>
          <w:w w:val="100"/>
        </w:rPr>
        <w:t> </w:t>
      </w:r>
    </w:p>
    <w:p>
      <w:pPr>
        <w:pStyle w:val="Heading3"/>
        <w:spacing w:line="240" w:lineRule="auto"/>
        <w:ind w:right="0"/>
        <w:jc w:val="left"/>
        <w:rPr>
          <w:b w:val="0"/>
          <w:bCs w:val="0"/>
        </w:rPr>
      </w:pPr>
      <w:r>
        <w:rPr/>
        <w:t>二、</w:t>
      </w:r>
      <w:r>
        <w:rPr>
          <w:spacing w:val="41"/>
        </w:rPr>
        <w:t> </w:t>
      </w:r>
      <w:r>
        <w:rPr>
          <w:rFonts w:ascii="宋体" w:hAnsi="宋体" w:cs="宋体" w:eastAsia="宋体" w:hint="default"/>
          <w:spacing w:val="41"/>
        </w:rPr>
      </w:r>
      <w:r>
        <w:rPr/>
        <w:t>联系人和联系方式</w:t>
      </w:r>
      <w:r>
        <w:rPr>
          <w:b w:val="0"/>
          <w:bCs w:val="0"/>
        </w:rPr>
      </w:r>
    </w:p>
    <w:p>
      <w:pPr>
        <w:spacing w:line="240" w:lineRule="auto" w:before="5"/>
        <w:rPr>
          <w:rFonts w:ascii="宋体" w:hAnsi="宋体" w:cs="宋体" w:eastAsia="宋体" w:hint="default"/>
          <w:b/>
          <w:bCs/>
          <w:sz w:val="8"/>
          <w:szCs w:val="8"/>
        </w:rPr>
      </w:pPr>
    </w:p>
    <w:tbl>
      <w:tblPr>
        <w:tblW w:w="0" w:type="auto"/>
        <w:jc w:val="left"/>
        <w:tblInd w:w="182" w:type="dxa"/>
        <w:tblLayout w:type="fixed"/>
        <w:tblCellMar>
          <w:top w:w="0" w:type="dxa"/>
          <w:left w:w="0" w:type="dxa"/>
          <w:bottom w:w="0" w:type="dxa"/>
          <w:right w:w="0" w:type="dxa"/>
        </w:tblCellMar>
        <w:tblLook w:val="01E0"/>
      </w:tblPr>
      <w:tblGrid>
        <w:gridCol w:w="2943"/>
        <w:gridCol w:w="4222"/>
        <w:gridCol w:w="1969"/>
      </w:tblGrid>
      <w:tr>
        <w:trPr>
          <w:trHeight w:val="283"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w w:val="100"/>
                <w:sz w:val="21"/>
              </w:rPr>
              <w:t> </w:t>
            </w:r>
          </w:p>
        </w:tc>
        <w:tc>
          <w:tcPr>
            <w:tcW w:w="42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hAnsi="宋体" w:cs="宋体" w:eastAsia="宋体" w:hint="default"/>
                <w:sz w:val="21"/>
                <w:szCs w:val="21"/>
              </w:rPr>
              <w:t>董事会秘书</w:t>
            </w:r>
            <w:r>
              <w:rPr>
                <w:rFonts w:ascii="宋体" w:hAnsi="宋体" w:cs="宋体" w:eastAsia="宋体" w:hint="default"/>
                <w:color w:val="008000"/>
                <w:sz w:val="21"/>
                <w:szCs w:val="21"/>
              </w:rPr>
              <w:t> </w:t>
            </w:r>
            <w:r>
              <w:rPr>
                <w:rFonts w:ascii="宋体" w:hAnsi="宋体" w:cs="宋体" w:eastAsia="宋体" w:hint="default"/>
                <w:sz w:val="21"/>
                <w:szCs w:val="21"/>
              </w:rPr>
            </w:r>
          </w:p>
        </w:tc>
        <w:tc>
          <w:tcPr>
            <w:tcW w:w="196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47" w:right="0"/>
              <w:jc w:val="left"/>
              <w:rPr>
                <w:rFonts w:ascii="宋体" w:hAnsi="宋体" w:cs="宋体" w:eastAsia="宋体" w:hint="default"/>
                <w:sz w:val="21"/>
                <w:szCs w:val="21"/>
              </w:rPr>
            </w:pPr>
            <w:r>
              <w:rPr>
                <w:rFonts w:ascii="宋体" w:hAnsi="宋体" w:cs="宋体" w:eastAsia="宋体" w:hint="default"/>
                <w:sz w:val="21"/>
                <w:szCs w:val="21"/>
              </w:rPr>
              <w:t>证券事务代表</w:t>
            </w:r>
            <w:r>
              <w:rPr>
                <w:rFonts w:ascii="宋体" w:hAnsi="宋体" w:cs="宋体" w:eastAsia="宋体" w:hint="default"/>
                <w:sz w:val="21"/>
                <w:szCs w:val="21"/>
              </w:rPr>
              <w:t> </w:t>
            </w:r>
          </w:p>
        </w:tc>
      </w:tr>
      <w:tr>
        <w:trPr>
          <w:trHeight w:val="284"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姓名</w:t>
            </w:r>
            <w:r>
              <w:rPr>
                <w:rFonts w:ascii="宋体" w:hAnsi="宋体" w:cs="宋体" w:eastAsia="宋体" w:hint="default"/>
                <w:sz w:val="21"/>
                <w:szCs w:val="21"/>
              </w:rPr>
              <w:t> </w:t>
            </w:r>
          </w:p>
        </w:tc>
        <w:tc>
          <w:tcPr>
            <w:tcW w:w="42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崔东旭</w:t>
            </w:r>
            <w:r>
              <w:rPr>
                <w:rFonts w:ascii="宋体" w:hAnsi="宋体" w:cs="宋体" w:eastAsia="宋体" w:hint="default"/>
                <w:sz w:val="21"/>
                <w:szCs w:val="21"/>
              </w:rPr>
              <w:t> </w:t>
            </w:r>
          </w:p>
        </w:tc>
        <w:tc>
          <w:tcPr>
            <w:tcW w:w="19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w w:val="100"/>
                <w:sz w:val="21"/>
              </w:rPr>
              <w:t> </w:t>
            </w:r>
          </w:p>
        </w:tc>
      </w:tr>
      <w:tr>
        <w:trPr>
          <w:trHeight w:val="281"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联系地址</w:t>
            </w:r>
            <w:r>
              <w:rPr>
                <w:rFonts w:ascii="宋体" w:hAnsi="宋体" w:cs="宋体" w:eastAsia="宋体" w:hint="default"/>
                <w:sz w:val="21"/>
                <w:szCs w:val="21"/>
              </w:rPr>
              <w:t> </w:t>
            </w:r>
          </w:p>
        </w:tc>
        <w:tc>
          <w:tcPr>
            <w:tcW w:w="42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江苏省启东经济技术开发区林洋路</w:t>
            </w:r>
            <w:r>
              <w:rPr>
                <w:rFonts w:ascii="宋体" w:hAnsi="宋体" w:cs="宋体" w:eastAsia="宋体" w:hint="default"/>
                <w:sz w:val="21"/>
                <w:szCs w:val="21"/>
              </w:rPr>
              <w:t>666</w:t>
            </w:r>
            <w:r>
              <w:rPr>
                <w:rFonts w:ascii="宋体" w:hAnsi="宋体" w:cs="宋体" w:eastAsia="宋体" w:hint="default"/>
                <w:sz w:val="21"/>
                <w:szCs w:val="21"/>
              </w:rPr>
              <w:t>号</w:t>
            </w:r>
            <w:r>
              <w:rPr>
                <w:rFonts w:ascii="宋体" w:hAnsi="宋体" w:cs="宋体" w:eastAsia="宋体" w:hint="default"/>
                <w:sz w:val="21"/>
                <w:szCs w:val="21"/>
              </w:rPr>
              <w:t> </w:t>
            </w:r>
          </w:p>
        </w:tc>
        <w:tc>
          <w:tcPr>
            <w:tcW w:w="19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w w:val="100"/>
                <w:sz w:val="21"/>
              </w:rPr>
              <w:t> </w:t>
            </w:r>
          </w:p>
        </w:tc>
      </w:tr>
      <w:tr>
        <w:trPr>
          <w:trHeight w:val="283"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电话</w:t>
            </w:r>
            <w:r>
              <w:rPr>
                <w:rFonts w:ascii="宋体" w:hAnsi="宋体" w:cs="宋体" w:eastAsia="宋体" w:hint="default"/>
                <w:sz w:val="21"/>
                <w:szCs w:val="21"/>
              </w:rPr>
              <w:t> </w:t>
            </w:r>
          </w:p>
        </w:tc>
        <w:tc>
          <w:tcPr>
            <w:tcW w:w="42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sz w:val="21"/>
              </w:rPr>
              <w:t>0513-83356525 </w:t>
            </w:r>
          </w:p>
        </w:tc>
        <w:tc>
          <w:tcPr>
            <w:tcW w:w="196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w w:val="100"/>
                <w:sz w:val="21"/>
              </w:rPr>
              <w:t> </w:t>
            </w:r>
          </w:p>
        </w:tc>
      </w:tr>
      <w:tr>
        <w:trPr>
          <w:trHeight w:val="283"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传真</w:t>
            </w:r>
            <w:r>
              <w:rPr>
                <w:rFonts w:ascii="宋体" w:hAnsi="宋体" w:cs="宋体" w:eastAsia="宋体" w:hint="default"/>
                <w:sz w:val="21"/>
                <w:szCs w:val="21"/>
              </w:rPr>
              <w:t> </w:t>
            </w:r>
          </w:p>
        </w:tc>
        <w:tc>
          <w:tcPr>
            <w:tcW w:w="42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0513-83356525 </w:t>
            </w:r>
          </w:p>
        </w:tc>
        <w:tc>
          <w:tcPr>
            <w:tcW w:w="19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w w:val="100"/>
                <w:sz w:val="21"/>
              </w:rPr>
              <w:t> </w:t>
            </w:r>
          </w:p>
        </w:tc>
      </w:tr>
      <w:tr>
        <w:trPr>
          <w:trHeight w:val="322"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6" w:right="0"/>
              <w:jc w:val="left"/>
              <w:rPr>
                <w:rFonts w:ascii="宋体" w:hAnsi="宋体" w:cs="宋体" w:eastAsia="宋体" w:hint="default"/>
                <w:sz w:val="21"/>
                <w:szCs w:val="21"/>
              </w:rPr>
            </w:pPr>
            <w:r>
              <w:rPr>
                <w:rFonts w:ascii="宋体" w:hAnsi="宋体" w:cs="宋体" w:eastAsia="宋体" w:hint="default"/>
                <w:sz w:val="21"/>
                <w:szCs w:val="21"/>
              </w:rPr>
              <w:t>电子信箱</w:t>
            </w:r>
            <w:r>
              <w:rPr>
                <w:rFonts w:ascii="宋体" w:hAnsi="宋体" w:cs="宋体" w:eastAsia="宋体" w:hint="default"/>
                <w:sz w:val="21"/>
                <w:szCs w:val="21"/>
              </w:rPr>
              <w:t> </w:t>
            </w:r>
          </w:p>
        </w:tc>
        <w:tc>
          <w:tcPr>
            <w:tcW w:w="42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hyperlink r:id="rId14">
              <w:r>
                <w:rPr>
                  <w:rFonts w:ascii="宋体"/>
                  <w:sz w:val="21"/>
                </w:rPr>
                <w:t>dsh@linyang.com.cn</w:t>
              </w:r>
            </w:hyperlink>
            <w:r>
              <w:rPr>
                <w:rFonts w:ascii="宋体"/>
                <w:sz w:val="21"/>
              </w:rPr>
              <w:t> </w:t>
            </w:r>
          </w:p>
        </w:tc>
        <w:tc>
          <w:tcPr>
            <w:tcW w:w="196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 </w:t>
            </w:r>
          </w:p>
        </w:tc>
      </w:tr>
    </w:tbl>
    <w:p>
      <w:pPr>
        <w:pStyle w:val="Heading2"/>
        <w:spacing w:line="274" w:lineRule="exact"/>
        <w:ind w:right="0"/>
        <w:jc w:val="left"/>
        <w:rPr>
          <w:rFonts w:ascii="宋体" w:hAnsi="宋体" w:cs="宋体" w:eastAsia="宋体" w:hint="default"/>
        </w:rPr>
      </w:pPr>
      <w:r>
        <w:rPr>
          <w:rFonts w:ascii="宋体"/>
        </w:rPr>
        <w:t> </w:t>
      </w:r>
    </w:p>
    <w:p>
      <w:pPr>
        <w:pStyle w:val="BodyText"/>
        <w:spacing w:line="240" w:lineRule="auto" w:before="25"/>
        <w:ind w:right="0"/>
        <w:jc w:val="left"/>
        <w:rPr>
          <w:rFonts w:ascii="宋体" w:hAnsi="宋体" w:cs="宋体" w:eastAsia="宋体" w:hint="default"/>
        </w:rPr>
      </w:pPr>
      <w:r>
        <w:rPr>
          <w:rFonts w:ascii="宋体"/>
          <w:w w:val="100"/>
        </w:rPr>
        <w:t> </w:t>
      </w:r>
    </w:p>
    <w:p>
      <w:pPr>
        <w:pStyle w:val="Heading3"/>
        <w:spacing w:line="240" w:lineRule="auto"/>
        <w:ind w:right="0"/>
        <w:jc w:val="left"/>
        <w:rPr>
          <w:b w:val="0"/>
          <w:bCs w:val="0"/>
        </w:rPr>
      </w:pPr>
      <w:r>
        <w:rPr/>
        <w:t>三、</w:t>
      </w:r>
      <w:r>
        <w:rPr>
          <w:spacing w:val="39"/>
        </w:rPr>
        <w:t> </w:t>
      </w:r>
      <w:r>
        <w:rPr>
          <w:rFonts w:ascii="宋体" w:hAnsi="宋体" w:cs="宋体" w:eastAsia="宋体" w:hint="default"/>
          <w:spacing w:val="39"/>
        </w:rPr>
      </w:r>
      <w:r>
        <w:rPr/>
        <w:t>基本情况简介</w:t>
      </w:r>
      <w:r>
        <w:rPr>
          <w:b w:val="0"/>
          <w:bCs w:val="0"/>
        </w:rPr>
      </w:r>
    </w:p>
    <w:p>
      <w:pPr>
        <w:spacing w:line="240" w:lineRule="auto" w:before="5"/>
        <w:rPr>
          <w:rFonts w:ascii="宋体" w:hAnsi="宋体" w:cs="宋体" w:eastAsia="宋体" w:hint="default"/>
          <w:b/>
          <w:bCs/>
          <w:sz w:val="8"/>
          <w:szCs w:val="8"/>
        </w:rPr>
      </w:pPr>
    </w:p>
    <w:tbl>
      <w:tblPr>
        <w:tblW w:w="0" w:type="auto"/>
        <w:jc w:val="left"/>
        <w:tblInd w:w="182" w:type="dxa"/>
        <w:tblLayout w:type="fixed"/>
        <w:tblCellMar>
          <w:top w:w="0" w:type="dxa"/>
          <w:left w:w="0" w:type="dxa"/>
          <w:bottom w:w="0" w:type="dxa"/>
          <w:right w:w="0" w:type="dxa"/>
        </w:tblCellMar>
        <w:tblLook w:val="01E0"/>
      </w:tblPr>
      <w:tblGrid>
        <w:gridCol w:w="3963"/>
        <w:gridCol w:w="5171"/>
      </w:tblGrid>
      <w:tr>
        <w:trPr>
          <w:trHeight w:val="302" w:hRule="exact"/>
        </w:trPr>
        <w:tc>
          <w:tcPr>
            <w:tcW w:w="39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公司注册地址</w:t>
            </w:r>
            <w:r>
              <w:rPr>
                <w:rFonts w:ascii="宋体" w:hAnsi="宋体" w:cs="宋体" w:eastAsia="宋体" w:hint="default"/>
                <w:sz w:val="21"/>
                <w:szCs w:val="21"/>
              </w:rPr>
              <w:t> </w:t>
            </w:r>
          </w:p>
        </w:tc>
        <w:tc>
          <w:tcPr>
            <w:tcW w:w="51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江苏省启东经济技术开发区林洋路</w:t>
            </w:r>
            <w:r>
              <w:rPr>
                <w:rFonts w:ascii="宋体" w:hAnsi="宋体" w:cs="宋体" w:eastAsia="宋体" w:hint="default"/>
                <w:sz w:val="21"/>
                <w:szCs w:val="21"/>
              </w:rPr>
              <w:t>666</w:t>
            </w:r>
            <w:r>
              <w:rPr>
                <w:rFonts w:ascii="宋体" w:hAnsi="宋体" w:cs="宋体" w:eastAsia="宋体" w:hint="default"/>
                <w:sz w:val="21"/>
                <w:szCs w:val="21"/>
              </w:rPr>
              <w:t>号</w:t>
            </w:r>
            <w:r>
              <w:rPr>
                <w:rFonts w:ascii="宋体" w:hAnsi="宋体" w:cs="宋体" w:eastAsia="宋体" w:hint="default"/>
                <w:sz w:val="21"/>
                <w:szCs w:val="21"/>
              </w:rPr>
              <w:t> </w:t>
            </w:r>
          </w:p>
        </w:tc>
      </w:tr>
      <w:tr>
        <w:trPr>
          <w:trHeight w:val="302" w:hRule="exact"/>
        </w:trPr>
        <w:tc>
          <w:tcPr>
            <w:tcW w:w="39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公司注册地址的邮政编码</w:t>
            </w:r>
            <w:r>
              <w:rPr>
                <w:rFonts w:ascii="宋体" w:hAnsi="宋体" w:cs="宋体" w:eastAsia="宋体" w:hint="default"/>
                <w:sz w:val="21"/>
                <w:szCs w:val="21"/>
              </w:rPr>
              <w:t> </w:t>
            </w:r>
          </w:p>
        </w:tc>
        <w:tc>
          <w:tcPr>
            <w:tcW w:w="51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226200 </w:t>
            </w:r>
          </w:p>
        </w:tc>
      </w:tr>
      <w:tr>
        <w:trPr>
          <w:trHeight w:val="305" w:hRule="exact"/>
        </w:trPr>
        <w:tc>
          <w:tcPr>
            <w:tcW w:w="396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公司办公地址</w:t>
            </w:r>
            <w:r>
              <w:rPr>
                <w:rFonts w:ascii="宋体" w:hAnsi="宋体" w:cs="宋体" w:eastAsia="宋体" w:hint="default"/>
                <w:sz w:val="21"/>
                <w:szCs w:val="21"/>
              </w:rPr>
              <w:t> </w:t>
            </w:r>
          </w:p>
        </w:tc>
        <w:tc>
          <w:tcPr>
            <w:tcW w:w="517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江苏省启东经济技术开发区林洋路</w:t>
            </w:r>
            <w:r>
              <w:rPr>
                <w:rFonts w:ascii="宋体" w:hAnsi="宋体" w:cs="宋体" w:eastAsia="宋体" w:hint="default"/>
                <w:sz w:val="21"/>
                <w:szCs w:val="21"/>
              </w:rPr>
              <w:t>666</w:t>
            </w:r>
            <w:r>
              <w:rPr>
                <w:rFonts w:ascii="宋体" w:hAnsi="宋体" w:cs="宋体" w:eastAsia="宋体" w:hint="default"/>
                <w:sz w:val="21"/>
                <w:szCs w:val="21"/>
              </w:rPr>
              <w:t>号</w:t>
            </w:r>
            <w:r>
              <w:rPr>
                <w:rFonts w:ascii="宋体" w:hAnsi="宋体" w:cs="宋体" w:eastAsia="宋体" w:hint="default"/>
                <w:sz w:val="21"/>
                <w:szCs w:val="21"/>
              </w:rPr>
              <w:t> </w:t>
            </w:r>
          </w:p>
        </w:tc>
      </w:tr>
      <w:tr>
        <w:trPr>
          <w:trHeight w:val="303" w:hRule="exact"/>
        </w:trPr>
        <w:tc>
          <w:tcPr>
            <w:tcW w:w="39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公司办公地址的邮政编码</w:t>
            </w:r>
            <w:r>
              <w:rPr>
                <w:rFonts w:ascii="宋体" w:hAnsi="宋体" w:cs="宋体" w:eastAsia="宋体" w:hint="default"/>
                <w:sz w:val="21"/>
                <w:szCs w:val="21"/>
              </w:rPr>
              <w:t> </w:t>
            </w:r>
          </w:p>
        </w:tc>
        <w:tc>
          <w:tcPr>
            <w:tcW w:w="51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226200 </w:t>
            </w:r>
          </w:p>
        </w:tc>
      </w:tr>
      <w:tr>
        <w:trPr>
          <w:trHeight w:val="302" w:hRule="exact"/>
        </w:trPr>
        <w:tc>
          <w:tcPr>
            <w:tcW w:w="39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公司网址</w:t>
            </w:r>
            <w:r>
              <w:rPr>
                <w:rFonts w:ascii="宋体" w:hAnsi="宋体" w:cs="宋体" w:eastAsia="宋体" w:hint="default"/>
                <w:sz w:val="21"/>
                <w:szCs w:val="21"/>
              </w:rPr>
              <w:t> </w:t>
            </w:r>
          </w:p>
        </w:tc>
        <w:tc>
          <w:tcPr>
            <w:tcW w:w="51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hyperlink r:id="rId15">
              <w:r>
                <w:rPr>
                  <w:rFonts w:ascii="宋体"/>
                  <w:sz w:val="21"/>
                </w:rPr>
                <w:t>www.linyang.com.cn</w:t>
              </w:r>
            </w:hyperlink>
            <w:r>
              <w:rPr>
                <w:rFonts w:ascii="宋体"/>
                <w:sz w:val="21"/>
              </w:rPr>
              <w:t> </w:t>
            </w:r>
          </w:p>
        </w:tc>
      </w:tr>
      <w:tr>
        <w:trPr>
          <w:trHeight w:val="305" w:hRule="exact"/>
        </w:trPr>
        <w:tc>
          <w:tcPr>
            <w:tcW w:w="39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电子信箱</w:t>
            </w:r>
            <w:r>
              <w:rPr>
                <w:rFonts w:ascii="宋体" w:hAnsi="宋体" w:cs="宋体" w:eastAsia="宋体" w:hint="default"/>
                <w:sz w:val="21"/>
                <w:szCs w:val="21"/>
              </w:rPr>
              <w:t> </w:t>
            </w:r>
          </w:p>
        </w:tc>
        <w:tc>
          <w:tcPr>
            <w:tcW w:w="51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hyperlink r:id="rId14">
              <w:r>
                <w:rPr>
                  <w:rFonts w:ascii="宋体"/>
                  <w:sz w:val="21"/>
                </w:rPr>
                <w:t>dsh@linyang.com.cn</w:t>
              </w:r>
            </w:hyperlink>
            <w:r>
              <w:rPr>
                <w:rFonts w:ascii="宋体"/>
                <w:sz w:val="21"/>
              </w:rPr>
              <w:t> </w:t>
            </w:r>
          </w:p>
        </w:tc>
      </w:tr>
    </w:tbl>
    <w:p>
      <w:pPr>
        <w:pStyle w:val="Heading2"/>
        <w:spacing w:line="274" w:lineRule="exact"/>
        <w:ind w:right="0"/>
        <w:jc w:val="left"/>
        <w:rPr>
          <w:rFonts w:ascii="宋体" w:hAnsi="宋体" w:cs="宋体" w:eastAsia="宋体" w:hint="default"/>
        </w:rPr>
      </w:pPr>
      <w:r>
        <w:rPr>
          <w:rFonts w:ascii="宋体"/>
        </w:rPr>
        <w:t> </w:t>
      </w:r>
    </w:p>
    <w:p>
      <w:pPr>
        <w:pStyle w:val="BodyText"/>
        <w:spacing w:line="240" w:lineRule="auto" w:before="25"/>
        <w:ind w:right="0"/>
        <w:jc w:val="left"/>
        <w:rPr>
          <w:rFonts w:ascii="宋体" w:hAnsi="宋体" w:cs="宋体" w:eastAsia="宋体" w:hint="default"/>
        </w:rPr>
      </w:pPr>
      <w:r>
        <w:rPr>
          <w:rFonts w:ascii="宋体"/>
          <w:w w:val="100"/>
        </w:rPr>
        <w:t> </w:t>
      </w:r>
    </w:p>
    <w:p>
      <w:pPr>
        <w:pStyle w:val="Heading3"/>
        <w:spacing w:line="240" w:lineRule="auto"/>
        <w:ind w:right="0"/>
        <w:jc w:val="left"/>
        <w:rPr>
          <w:b w:val="0"/>
          <w:bCs w:val="0"/>
        </w:rPr>
      </w:pPr>
      <w:r>
        <w:rPr/>
        <w:t>四、</w:t>
      </w:r>
      <w:r>
        <w:rPr>
          <w:spacing w:val="41"/>
        </w:rPr>
        <w:t> </w:t>
      </w:r>
      <w:r>
        <w:rPr>
          <w:rFonts w:ascii="宋体" w:hAnsi="宋体" w:cs="宋体" w:eastAsia="宋体" w:hint="default"/>
          <w:spacing w:val="41"/>
        </w:rPr>
      </w:r>
      <w:r>
        <w:rPr/>
        <w:t>信息披露及备置地点</w:t>
      </w:r>
      <w:r>
        <w:rPr>
          <w:b w:val="0"/>
          <w:bCs w:val="0"/>
        </w:rPr>
      </w:r>
    </w:p>
    <w:p>
      <w:pPr>
        <w:spacing w:line="240" w:lineRule="auto" w:before="5"/>
        <w:rPr>
          <w:rFonts w:ascii="宋体" w:hAnsi="宋体" w:cs="宋体" w:eastAsia="宋体" w:hint="default"/>
          <w:b/>
          <w:bCs/>
          <w:sz w:val="8"/>
          <w:szCs w:val="8"/>
        </w:rPr>
      </w:pPr>
    </w:p>
    <w:tbl>
      <w:tblPr>
        <w:tblW w:w="0" w:type="auto"/>
        <w:jc w:val="left"/>
        <w:tblInd w:w="182" w:type="dxa"/>
        <w:tblLayout w:type="fixed"/>
        <w:tblCellMar>
          <w:top w:w="0" w:type="dxa"/>
          <w:left w:w="0" w:type="dxa"/>
          <w:bottom w:w="0" w:type="dxa"/>
          <w:right w:w="0" w:type="dxa"/>
        </w:tblCellMar>
        <w:tblLook w:val="01E0"/>
      </w:tblPr>
      <w:tblGrid>
        <w:gridCol w:w="4253"/>
        <w:gridCol w:w="4880"/>
      </w:tblGrid>
      <w:tr>
        <w:trPr>
          <w:trHeight w:val="302" w:hRule="exact"/>
        </w:trPr>
        <w:tc>
          <w:tcPr>
            <w:tcW w:w="42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公司选定的信息披露媒体名称</w:t>
            </w:r>
            <w:r>
              <w:rPr>
                <w:rFonts w:ascii="宋体" w:hAnsi="宋体" w:cs="宋体" w:eastAsia="宋体" w:hint="default"/>
                <w:sz w:val="21"/>
                <w:szCs w:val="21"/>
              </w:rPr>
              <w:t> </w:t>
            </w:r>
          </w:p>
        </w:tc>
        <w:tc>
          <w:tcPr>
            <w:tcW w:w="48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上海证券报、证券时报</w:t>
            </w:r>
            <w:r>
              <w:rPr>
                <w:rFonts w:ascii="宋体" w:hAnsi="宋体" w:cs="宋体" w:eastAsia="宋体" w:hint="default"/>
                <w:sz w:val="21"/>
                <w:szCs w:val="21"/>
              </w:rPr>
              <w:t> </w:t>
            </w:r>
          </w:p>
        </w:tc>
      </w:tr>
      <w:tr>
        <w:trPr>
          <w:trHeight w:val="302" w:hRule="exact"/>
        </w:trPr>
        <w:tc>
          <w:tcPr>
            <w:tcW w:w="42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登载年度报告的中国证监会指定网站的网址</w:t>
            </w:r>
            <w:r>
              <w:rPr>
                <w:rFonts w:ascii="宋体" w:hAnsi="宋体" w:cs="宋体" w:eastAsia="宋体" w:hint="default"/>
                <w:sz w:val="21"/>
                <w:szCs w:val="21"/>
              </w:rPr>
              <w:t> </w:t>
            </w:r>
          </w:p>
        </w:tc>
        <w:tc>
          <w:tcPr>
            <w:tcW w:w="48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hyperlink r:id="rId16">
              <w:r>
                <w:rPr>
                  <w:rFonts w:ascii="宋体"/>
                  <w:sz w:val="21"/>
                </w:rPr>
                <w:t>www.sse.com.cn</w:t>
              </w:r>
            </w:hyperlink>
            <w:r>
              <w:rPr>
                <w:rFonts w:ascii="宋体"/>
                <w:sz w:val="21"/>
              </w:rPr>
              <w:t> </w:t>
            </w:r>
          </w:p>
        </w:tc>
      </w:tr>
      <w:tr>
        <w:trPr>
          <w:trHeight w:val="305" w:hRule="exact"/>
        </w:trPr>
        <w:tc>
          <w:tcPr>
            <w:tcW w:w="42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公司年度报告备置地点</w:t>
            </w:r>
            <w:r>
              <w:rPr>
                <w:rFonts w:ascii="宋体" w:hAnsi="宋体" w:cs="宋体" w:eastAsia="宋体" w:hint="default"/>
                <w:sz w:val="21"/>
                <w:szCs w:val="21"/>
              </w:rPr>
              <w:t> </w:t>
            </w:r>
          </w:p>
        </w:tc>
        <w:tc>
          <w:tcPr>
            <w:tcW w:w="48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公司证券部</w:t>
            </w:r>
            <w:r>
              <w:rPr>
                <w:rFonts w:ascii="宋体" w:hAnsi="宋体" w:cs="宋体" w:eastAsia="宋体" w:hint="default"/>
                <w:sz w:val="21"/>
                <w:szCs w:val="21"/>
              </w:rPr>
              <w:t> </w:t>
            </w:r>
          </w:p>
        </w:tc>
      </w:tr>
    </w:tbl>
    <w:p>
      <w:pPr>
        <w:pStyle w:val="Heading2"/>
        <w:spacing w:line="274" w:lineRule="exact"/>
        <w:ind w:right="0"/>
        <w:jc w:val="left"/>
        <w:rPr>
          <w:rFonts w:ascii="宋体" w:hAnsi="宋体" w:cs="宋体" w:eastAsia="宋体" w:hint="default"/>
        </w:rPr>
      </w:pPr>
      <w:r>
        <w:rPr>
          <w:rFonts w:ascii="宋体"/>
        </w:rPr>
        <w:t> </w:t>
      </w:r>
    </w:p>
    <w:p>
      <w:pPr>
        <w:pStyle w:val="Heading3"/>
        <w:spacing w:line="240" w:lineRule="auto" w:before="85"/>
        <w:ind w:right="0"/>
        <w:jc w:val="left"/>
        <w:rPr>
          <w:b w:val="0"/>
          <w:bCs w:val="0"/>
        </w:rPr>
      </w:pPr>
      <w:r>
        <w:rPr/>
        <w:t>五、</w:t>
      </w:r>
      <w:r>
        <w:rPr>
          <w:spacing w:val="40"/>
        </w:rPr>
        <w:t> </w:t>
      </w:r>
      <w:r>
        <w:rPr>
          <w:rFonts w:ascii="宋体" w:hAnsi="宋体" w:cs="宋体" w:eastAsia="宋体" w:hint="default"/>
          <w:spacing w:val="40"/>
        </w:rPr>
      </w:r>
      <w:r>
        <w:rPr/>
        <w:t>公司股票简况</w:t>
      </w:r>
      <w:r>
        <w:rPr>
          <w:b w:val="0"/>
          <w:bCs w:val="0"/>
        </w:rPr>
      </w:r>
    </w:p>
    <w:p>
      <w:pPr>
        <w:spacing w:line="240" w:lineRule="auto" w:before="5"/>
        <w:rPr>
          <w:rFonts w:ascii="宋体" w:hAnsi="宋体" w:cs="宋体" w:eastAsia="宋体" w:hint="default"/>
          <w:b/>
          <w:bCs/>
          <w:sz w:val="8"/>
          <w:szCs w:val="8"/>
        </w:rPr>
      </w:pPr>
    </w:p>
    <w:tbl>
      <w:tblPr>
        <w:tblW w:w="0" w:type="auto"/>
        <w:jc w:val="left"/>
        <w:tblInd w:w="182" w:type="dxa"/>
        <w:tblLayout w:type="fixed"/>
        <w:tblCellMar>
          <w:top w:w="0" w:type="dxa"/>
          <w:left w:w="0" w:type="dxa"/>
          <w:bottom w:w="0" w:type="dxa"/>
          <w:right w:w="0" w:type="dxa"/>
        </w:tblCellMar>
        <w:tblLook w:val="01E0"/>
      </w:tblPr>
      <w:tblGrid>
        <w:gridCol w:w="1826"/>
        <w:gridCol w:w="1827"/>
        <w:gridCol w:w="1827"/>
        <w:gridCol w:w="1826"/>
        <w:gridCol w:w="1827"/>
      </w:tblGrid>
      <w:tr>
        <w:trPr>
          <w:trHeight w:val="303" w:hRule="exact"/>
        </w:trPr>
        <w:tc>
          <w:tcPr>
            <w:tcW w:w="913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公司股票简况</w:t>
            </w:r>
            <w:r>
              <w:rPr>
                <w:rFonts w:ascii="宋体" w:hAnsi="宋体" w:cs="宋体" w:eastAsia="宋体" w:hint="default"/>
                <w:sz w:val="21"/>
                <w:szCs w:val="21"/>
              </w:rPr>
              <w:t> </w:t>
            </w:r>
          </w:p>
        </w:tc>
      </w:tr>
      <w:tr>
        <w:trPr>
          <w:trHeight w:val="302" w:hRule="exact"/>
        </w:trPr>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center"/>
              <w:rPr>
                <w:rFonts w:ascii="宋体" w:hAnsi="宋体" w:cs="宋体" w:eastAsia="宋体" w:hint="default"/>
                <w:sz w:val="21"/>
                <w:szCs w:val="21"/>
              </w:rPr>
            </w:pPr>
            <w:r>
              <w:rPr>
                <w:rFonts w:ascii="宋体" w:hAnsi="宋体" w:cs="宋体" w:eastAsia="宋体" w:hint="default"/>
                <w:sz w:val="21"/>
                <w:szCs w:val="21"/>
              </w:rPr>
              <w:t>股票种类</w:t>
            </w:r>
            <w:r>
              <w:rPr>
                <w:rFonts w:ascii="宋体" w:hAnsi="宋体" w:cs="宋体" w:eastAsia="宋体" w:hint="default"/>
                <w:sz w:val="21"/>
                <w:szCs w:val="21"/>
              </w:rPr>
              <w:t> </w:t>
            </w: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5"/>
              <w:jc w:val="right"/>
              <w:rPr>
                <w:rFonts w:ascii="宋体" w:hAnsi="宋体" w:cs="宋体" w:eastAsia="宋体" w:hint="default"/>
                <w:sz w:val="21"/>
                <w:szCs w:val="21"/>
              </w:rPr>
            </w:pPr>
            <w:r>
              <w:rPr>
                <w:rFonts w:ascii="宋体" w:hAnsi="宋体" w:cs="宋体" w:eastAsia="宋体" w:hint="default"/>
                <w:spacing w:val="-2"/>
                <w:sz w:val="21"/>
                <w:szCs w:val="21"/>
              </w:rPr>
              <w:t>股票上市交易所</w:t>
            </w:r>
            <w:r>
              <w:rPr>
                <w:rFonts w:ascii="宋体" w:hAnsi="宋体" w:cs="宋体" w:eastAsia="宋体" w:hint="default"/>
                <w:sz w:val="21"/>
                <w:szCs w:val="21"/>
              </w:rPr>
              <w:t> </w:t>
            </w: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81"/>
              <w:jc w:val="right"/>
              <w:rPr>
                <w:rFonts w:ascii="宋体" w:hAnsi="宋体" w:cs="宋体" w:eastAsia="宋体" w:hint="default"/>
                <w:sz w:val="21"/>
                <w:szCs w:val="21"/>
              </w:rPr>
            </w:pPr>
            <w:r>
              <w:rPr>
                <w:rFonts w:ascii="宋体" w:hAnsi="宋体" w:cs="宋体" w:eastAsia="宋体" w:hint="default"/>
                <w:spacing w:val="-2"/>
                <w:sz w:val="21"/>
                <w:szCs w:val="21"/>
              </w:rPr>
              <w:t>股票简称</w:t>
            </w:r>
            <w:r>
              <w:rPr>
                <w:rFonts w:ascii="宋体" w:hAnsi="宋体" w:cs="宋体" w:eastAsia="宋体" w:hint="default"/>
                <w:sz w:val="21"/>
                <w:szCs w:val="21"/>
              </w:rPr>
              <w:t> </w:t>
            </w: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股票代码</w:t>
            </w:r>
            <w:r>
              <w:rPr>
                <w:rFonts w:ascii="宋体" w:hAnsi="宋体" w:cs="宋体" w:eastAsia="宋体" w:hint="default"/>
                <w:sz w:val="21"/>
                <w:szCs w:val="21"/>
              </w:rPr>
              <w:t> </w:t>
            </w: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hAnsi="宋体" w:cs="宋体" w:eastAsia="宋体" w:hint="default"/>
                <w:sz w:val="21"/>
                <w:szCs w:val="21"/>
              </w:rPr>
              <w:t>变更前股票简称</w:t>
            </w:r>
            <w:r>
              <w:rPr>
                <w:rFonts w:ascii="宋体" w:hAnsi="宋体" w:cs="宋体" w:eastAsia="宋体" w:hint="default"/>
                <w:sz w:val="21"/>
                <w:szCs w:val="21"/>
              </w:rPr>
              <w:t> </w:t>
            </w:r>
          </w:p>
        </w:tc>
      </w:tr>
      <w:tr>
        <w:trPr>
          <w:trHeight w:val="302" w:hRule="exact"/>
        </w:trPr>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5" w:right="0"/>
              <w:jc w:val="center"/>
              <w:rPr>
                <w:rFonts w:ascii="宋体" w:hAnsi="宋体" w:cs="宋体" w:eastAsia="宋体" w:hint="default"/>
                <w:sz w:val="21"/>
                <w:szCs w:val="21"/>
              </w:rPr>
            </w:pPr>
            <w:r>
              <w:rPr>
                <w:rFonts w:ascii="宋体" w:hAnsi="宋体" w:cs="宋体" w:eastAsia="宋体" w:hint="default"/>
                <w:sz w:val="21"/>
                <w:szCs w:val="21"/>
              </w:rPr>
              <w:t>A</w:t>
            </w:r>
            <w:r>
              <w:rPr>
                <w:rFonts w:ascii="宋体" w:hAnsi="宋体" w:cs="宋体" w:eastAsia="宋体" w:hint="default"/>
                <w:sz w:val="21"/>
                <w:szCs w:val="21"/>
              </w:rPr>
              <w:t>股</w:t>
            </w:r>
            <w:r>
              <w:rPr>
                <w:rFonts w:ascii="宋体" w:hAnsi="宋体" w:cs="宋体" w:eastAsia="宋体" w:hint="default"/>
                <w:sz w:val="21"/>
                <w:szCs w:val="21"/>
              </w:rPr>
              <w:t> </w:t>
            </w: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65"/>
              <w:jc w:val="right"/>
              <w:rPr>
                <w:rFonts w:ascii="宋体" w:hAnsi="宋体" w:cs="宋体" w:eastAsia="宋体" w:hint="default"/>
                <w:sz w:val="21"/>
                <w:szCs w:val="21"/>
              </w:rPr>
            </w:pPr>
            <w:r>
              <w:rPr>
                <w:rFonts w:ascii="宋体" w:hAnsi="宋体" w:cs="宋体" w:eastAsia="宋体" w:hint="default"/>
                <w:spacing w:val="-2"/>
                <w:sz w:val="21"/>
                <w:szCs w:val="21"/>
              </w:rPr>
              <w:t>上海证券交易所</w:t>
            </w:r>
            <w:r>
              <w:rPr>
                <w:rFonts w:ascii="宋体" w:hAnsi="宋体" w:cs="宋体" w:eastAsia="宋体" w:hint="default"/>
                <w:sz w:val="21"/>
                <w:szCs w:val="21"/>
              </w:rPr>
              <w:t> </w:t>
            </w: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381"/>
              <w:jc w:val="right"/>
              <w:rPr>
                <w:rFonts w:ascii="宋体" w:hAnsi="宋体" w:cs="宋体" w:eastAsia="宋体" w:hint="default"/>
                <w:sz w:val="21"/>
                <w:szCs w:val="21"/>
              </w:rPr>
            </w:pPr>
            <w:r>
              <w:rPr>
                <w:rFonts w:ascii="宋体" w:hAnsi="宋体" w:cs="宋体" w:eastAsia="宋体" w:hint="default"/>
                <w:spacing w:val="-2"/>
                <w:sz w:val="21"/>
                <w:szCs w:val="21"/>
              </w:rPr>
              <w:t>林洋能源</w:t>
            </w:r>
            <w:r>
              <w:rPr>
                <w:rFonts w:ascii="宋体" w:hAnsi="宋体" w:cs="宋体" w:eastAsia="宋体" w:hint="default"/>
                <w:sz w:val="21"/>
                <w:szCs w:val="21"/>
              </w:rPr>
              <w:t> </w:t>
            </w:r>
          </w:p>
        </w:tc>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0" w:right="0"/>
              <w:jc w:val="center"/>
              <w:rPr>
                <w:rFonts w:ascii="宋体" w:hAnsi="宋体" w:cs="宋体" w:eastAsia="宋体" w:hint="default"/>
                <w:sz w:val="21"/>
                <w:szCs w:val="21"/>
              </w:rPr>
            </w:pPr>
            <w:r>
              <w:rPr>
                <w:rFonts w:ascii="宋体"/>
                <w:sz w:val="21"/>
              </w:rPr>
              <w:t>601222 </w:t>
            </w: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3" w:right="0"/>
              <w:jc w:val="center"/>
              <w:rPr>
                <w:rFonts w:ascii="宋体" w:hAnsi="宋体" w:cs="宋体" w:eastAsia="宋体" w:hint="default"/>
                <w:sz w:val="21"/>
                <w:szCs w:val="21"/>
              </w:rPr>
            </w:pPr>
            <w:r>
              <w:rPr>
                <w:rFonts w:ascii="宋体" w:hAnsi="宋体" w:cs="宋体" w:eastAsia="宋体" w:hint="default"/>
                <w:sz w:val="21"/>
                <w:szCs w:val="21"/>
              </w:rPr>
              <w:t>林洋电子</w:t>
            </w:r>
            <w:r>
              <w:rPr>
                <w:rFonts w:ascii="宋体" w:hAnsi="宋体" w:cs="宋体" w:eastAsia="宋体" w:hint="default"/>
                <w:sz w:val="21"/>
                <w:szCs w:val="21"/>
              </w:rPr>
              <w:t> </w:t>
            </w:r>
          </w:p>
        </w:tc>
      </w:tr>
    </w:tbl>
    <w:p>
      <w:pPr>
        <w:pStyle w:val="BodyText"/>
        <w:spacing w:line="262" w:lineRule="exact"/>
        <w:ind w:right="0"/>
        <w:jc w:val="left"/>
        <w:rPr>
          <w:rFonts w:ascii="宋体" w:hAnsi="宋体" w:cs="宋体" w:eastAsia="宋体" w:hint="default"/>
        </w:rPr>
      </w:pPr>
      <w:r>
        <w:rPr>
          <w:rFonts w:ascii="宋体"/>
          <w:color w:val="006FC0"/>
          <w:w w:val="100"/>
        </w:rPr>
        <w:t> </w:t>
      </w:r>
      <w:r>
        <w:rPr>
          <w:rFonts w:ascii="宋体"/>
          <w:w w:val="100"/>
        </w:rPr>
      </w:r>
    </w:p>
    <w:p>
      <w:pPr>
        <w:pStyle w:val="Heading3"/>
        <w:spacing w:line="240" w:lineRule="auto"/>
        <w:ind w:right="0"/>
        <w:jc w:val="left"/>
        <w:rPr>
          <w:b w:val="0"/>
          <w:bCs w:val="0"/>
        </w:rPr>
      </w:pPr>
      <w:r>
        <w:rPr/>
        <w:t>六、</w:t>
      </w:r>
      <w:r>
        <w:rPr>
          <w:spacing w:val="39"/>
        </w:rPr>
        <w:t> </w:t>
      </w:r>
      <w:r>
        <w:rPr>
          <w:rFonts w:ascii="宋体" w:hAnsi="宋体" w:cs="宋体" w:eastAsia="宋体" w:hint="default"/>
          <w:spacing w:val="39"/>
        </w:rPr>
      </w:r>
      <w:r>
        <w:rPr/>
        <w:t>其他相关资料</w:t>
      </w:r>
      <w:r>
        <w:rPr>
          <w:b w:val="0"/>
          <w:bCs w:val="0"/>
        </w:rPr>
      </w:r>
    </w:p>
    <w:p>
      <w:pPr>
        <w:spacing w:line="240" w:lineRule="auto" w:before="5"/>
        <w:rPr>
          <w:rFonts w:ascii="宋体" w:hAnsi="宋体" w:cs="宋体" w:eastAsia="宋体" w:hint="default"/>
          <w:b/>
          <w:bCs/>
          <w:sz w:val="8"/>
          <w:szCs w:val="8"/>
        </w:rPr>
      </w:pPr>
    </w:p>
    <w:tbl>
      <w:tblPr>
        <w:tblW w:w="0" w:type="auto"/>
        <w:jc w:val="left"/>
        <w:tblInd w:w="106" w:type="dxa"/>
        <w:tblLayout w:type="fixed"/>
        <w:tblCellMar>
          <w:top w:w="0" w:type="dxa"/>
          <w:left w:w="0" w:type="dxa"/>
          <w:bottom w:w="0" w:type="dxa"/>
          <w:right w:w="0" w:type="dxa"/>
        </w:tblCellMar>
        <w:tblLook w:val="01E0"/>
      </w:tblPr>
      <w:tblGrid>
        <w:gridCol w:w="3073"/>
        <w:gridCol w:w="1841"/>
        <w:gridCol w:w="4374"/>
      </w:tblGrid>
      <w:tr>
        <w:trPr>
          <w:trHeight w:val="324" w:hRule="exact"/>
        </w:trPr>
        <w:tc>
          <w:tcPr>
            <w:tcW w:w="3073" w:type="dxa"/>
            <w:vMerge w:val="restart"/>
            <w:tcBorders>
              <w:top w:val="single" w:sz="4" w:space="0" w:color="000000"/>
              <w:left w:val="single" w:sz="4" w:space="0" w:color="000000"/>
              <w:right w:val="single" w:sz="4" w:space="0" w:color="000000"/>
            </w:tcBorders>
          </w:tcPr>
          <w:p>
            <w:pPr>
              <w:pStyle w:val="TableParagraph"/>
              <w:spacing w:line="273" w:lineRule="auto" w:before="155"/>
              <w:ind w:left="103" w:right="89"/>
              <w:jc w:val="left"/>
              <w:rPr>
                <w:rFonts w:ascii="宋体" w:hAnsi="宋体" w:cs="宋体" w:eastAsia="宋体" w:hint="default"/>
                <w:sz w:val="21"/>
                <w:szCs w:val="21"/>
              </w:rPr>
            </w:pPr>
            <w:r>
              <w:rPr>
                <w:rFonts w:ascii="宋体" w:hAnsi="宋体" w:cs="宋体" w:eastAsia="宋体" w:hint="default"/>
                <w:spacing w:val="7"/>
                <w:sz w:val="21"/>
                <w:szCs w:val="21"/>
              </w:rPr>
              <w:t>公司聘请的会计师事务所（境</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z w:val="21"/>
                <w:szCs w:val="21"/>
              </w:rPr>
              <w:t>内）</w:t>
            </w:r>
            <w:r>
              <w:rPr>
                <w:rFonts w:ascii="宋体" w:hAnsi="宋体" w:cs="宋体" w:eastAsia="宋体" w:hint="default"/>
                <w:sz w:val="21"/>
                <w:szCs w:val="21"/>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名称</w:t>
            </w:r>
            <w:r>
              <w:rPr>
                <w:rFonts w:ascii="宋体" w:hAnsi="宋体" w:cs="宋体" w:eastAsia="宋体" w:hint="default"/>
                <w:sz w:val="21"/>
                <w:szCs w:val="21"/>
              </w:rPr>
              <w:t> </w:t>
            </w:r>
          </w:p>
        </w:tc>
        <w:tc>
          <w:tcPr>
            <w:tcW w:w="437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0" w:right="0"/>
              <w:jc w:val="left"/>
              <w:rPr>
                <w:rFonts w:ascii="宋体" w:hAnsi="宋体" w:cs="宋体" w:eastAsia="宋体" w:hint="default"/>
                <w:sz w:val="21"/>
                <w:szCs w:val="21"/>
              </w:rPr>
            </w:pPr>
            <w:r>
              <w:rPr>
                <w:rFonts w:ascii="宋体" w:hAnsi="宋体" w:cs="宋体" w:eastAsia="宋体" w:hint="default"/>
                <w:sz w:val="21"/>
                <w:szCs w:val="21"/>
              </w:rPr>
              <w:t>立信会计师事务所（特殊普通合伙）</w:t>
            </w:r>
            <w:r>
              <w:rPr>
                <w:rFonts w:ascii="宋体" w:hAnsi="宋体" w:cs="宋体" w:eastAsia="宋体" w:hint="default"/>
                <w:sz w:val="21"/>
                <w:szCs w:val="21"/>
              </w:rPr>
              <w:t> </w:t>
            </w:r>
          </w:p>
        </w:tc>
      </w:tr>
      <w:tr>
        <w:trPr>
          <w:trHeight w:val="322" w:hRule="exact"/>
        </w:trPr>
        <w:tc>
          <w:tcPr>
            <w:tcW w:w="3073" w:type="dxa"/>
            <w:vMerge/>
            <w:tcBorders>
              <w:left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办公地址</w:t>
            </w:r>
            <w:r>
              <w:rPr>
                <w:rFonts w:ascii="宋体" w:hAnsi="宋体" w:cs="宋体" w:eastAsia="宋体" w:hint="default"/>
                <w:sz w:val="21"/>
                <w:szCs w:val="21"/>
              </w:rPr>
              <w:t> </w:t>
            </w:r>
          </w:p>
        </w:tc>
        <w:tc>
          <w:tcPr>
            <w:tcW w:w="437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上海市南京东路</w:t>
            </w:r>
            <w:r>
              <w:rPr>
                <w:rFonts w:ascii="宋体" w:hAnsi="宋体" w:cs="宋体" w:eastAsia="宋体" w:hint="default"/>
                <w:spacing w:val="-53"/>
                <w:sz w:val="21"/>
                <w:szCs w:val="21"/>
              </w:rPr>
              <w:t> </w:t>
            </w:r>
            <w:r>
              <w:rPr>
                <w:rFonts w:ascii="宋体" w:hAnsi="宋体" w:cs="宋体" w:eastAsia="宋体" w:hint="default"/>
                <w:sz w:val="21"/>
                <w:szCs w:val="21"/>
              </w:rPr>
              <w:t>61</w:t>
            </w:r>
            <w:r>
              <w:rPr>
                <w:rFonts w:ascii="宋体" w:hAnsi="宋体" w:cs="宋体" w:eastAsia="宋体" w:hint="default"/>
                <w:spacing w:val="-55"/>
                <w:sz w:val="21"/>
                <w:szCs w:val="21"/>
              </w:rPr>
              <w:t> </w:t>
            </w:r>
            <w:r>
              <w:rPr>
                <w:rFonts w:ascii="宋体" w:hAnsi="宋体" w:cs="宋体" w:eastAsia="宋体" w:hint="default"/>
                <w:sz w:val="21"/>
                <w:szCs w:val="21"/>
              </w:rPr>
              <w:t>号</w:t>
            </w:r>
            <w:r>
              <w:rPr>
                <w:rFonts w:ascii="宋体" w:hAnsi="宋体" w:cs="宋体" w:eastAsia="宋体" w:hint="default"/>
                <w:spacing w:val="-53"/>
                <w:sz w:val="21"/>
                <w:szCs w:val="21"/>
              </w:rPr>
              <w:t> </w:t>
            </w:r>
            <w:r>
              <w:rPr>
                <w:rFonts w:ascii="宋体" w:hAnsi="宋体" w:cs="宋体" w:eastAsia="宋体" w:hint="default"/>
                <w:sz w:val="21"/>
                <w:szCs w:val="21"/>
              </w:rPr>
              <w:t>4</w:t>
            </w:r>
            <w:r>
              <w:rPr>
                <w:rFonts w:ascii="宋体" w:hAnsi="宋体" w:cs="宋体" w:eastAsia="宋体" w:hint="default"/>
                <w:spacing w:val="-55"/>
                <w:sz w:val="21"/>
                <w:szCs w:val="21"/>
              </w:rPr>
              <w:t> </w:t>
            </w:r>
            <w:r>
              <w:rPr>
                <w:rFonts w:ascii="宋体" w:hAnsi="宋体" w:cs="宋体" w:eastAsia="宋体" w:hint="default"/>
                <w:spacing w:val="-3"/>
                <w:sz w:val="21"/>
                <w:szCs w:val="21"/>
              </w:rPr>
              <w:t>楼</w:t>
            </w:r>
            <w:r>
              <w:rPr>
                <w:rFonts w:ascii="宋体" w:hAnsi="宋体" w:cs="宋体" w:eastAsia="宋体" w:hint="default"/>
                <w:sz w:val="21"/>
                <w:szCs w:val="21"/>
              </w:rPr>
              <w:t> </w:t>
            </w:r>
          </w:p>
        </w:tc>
      </w:tr>
      <w:tr>
        <w:trPr>
          <w:trHeight w:val="322" w:hRule="exact"/>
        </w:trPr>
        <w:tc>
          <w:tcPr>
            <w:tcW w:w="3073" w:type="dxa"/>
            <w:vMerge/>
            <w:tcBorders>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签字会计师姓名</w:t>
            </w:r>
            <w:r>
              <w:rPr>
                <w:rFonts w:ascii="宋体" w:hAnsi="宋体" w:cs="宋体" w:eastAsia="宋体" w:hint="default"/>
                <w:sz w:val="21"/>
                <w:szCs w:val="21"/>
              </w:rPr>
              <w:t> </w:t>
            </w:r>
          </w:p>
        </w:tc>
        <w:tc>
          <w:tcPr>
            <w:tcW w:w="437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严劼、张涛</w:t>
            </w:r>
            <w:r>
              <w:rPr>
                <w:rFonts w:ascii="宋体" w:hAnsi="宋体" w:cs="宋体" w:eastAsia="宋体" w:hint="default"/>
                <w:sz w:val="21"/>
                <w:szCs w:val="21"/>
              </w:rPr>
              <w:t> </w:t>
            </w:r>
          </w:p>
        </w:tc>
      </w:tr>
      <w:tr>
        <w:trPr>
          <w:trHeight w:val="322" w:hRule="exact"/>
        </w:trPr>
        <w:tc>
          <w:tcPr>
            <w:tcW w:w="307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pacing w:val="7"/>
                <w:sz w:val="21"/>
                <w:szCs w:val="21"/>
              </w:rPr>
              <w:t>报告期内履行持续督导职责的</w:t>
            </w:r>
            <w:r>
              <w:rPr>
                <w:rFonts w:ascii="宋体" w:hAnsi="宋体" w:cs="宋体" w:eastAsia="宋体" w:hint="default"/>
                <w:sz w:val="21"/>
                <w:szCs w:val="21"/>
              </w:rPr>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名称</w:t>
            </w:r>
            <w:r>
              <w:rPr>
                <w:rFonts w:ascii="宋体" w:hAnsi="宋体" w:cs="宋体" w:eastAsia="宋体" w:hint="default"/>
                <w:sz w:val="21"/>
                <w:szCs w:val="21"/>
              </w:rPr>
              <w:t> </w:t>
            </w:r>
          </w:p>
        </w:tc>
        <w:tc>
          <w:tcPr>
            <w:tcW w:w="437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广发证券股份有限公司</w:t>
            </w:r>
            <w:r>
              <w:rPr>
                <w:rFonts w:ascii="宋体" w:hAnsi="宋体" w:cs="宋体" w:eastAsia="宋体" w:hint="default"/>
                <w:sz w:val="21"/>
                <w:szCs w:val="21"/>
              </w:rPr>
              <w:t> </w:t>
            </w:r>
          </w:p>
        </w:tc>
      </w:tr>
    </w:tbl>
    <w:p>
      <w:pPr>
        <w:spacing w:after="0" w:line="262" w:lineRule="exact"/>
        <w:jc w:val="left"/>
        <w:rPr>
          <w:rFonts w:ascii="宋体" w:hAnsi="宋体" w:cs="宋体" w:eastAsia="宋体" w:hint="default"/>
          <w:sz w:val="21"/>
          <w:szCs w:val="21"/>
        </w:rPr>
        <w:sectPr>
          <w:footerReference w:type="default" r:id="rId13"/>
          <w:pgSz w:w="11910" w:h="16840"/>
          <w:pgMar w:footer="974" w:header="748" w:top="1140" w:bottom="1160" w:left="1200" w:right="1180"/>
          <w:pgNumType w:start="11"/>
        </w:sectPr>
      </w:pPr>
    </w:p>
    <w:p>
      <w:pPr>
        <w:spacing w:line="240" w:lineRule="auto" w:before="11"/>
        <w:rPr>
          <w:rFonts w:ascii="宋体" w:hAnsi="宋体" w:cs="宋体" w:eastAsia="宋体" w:hint="default"/>
          <w:b/>
          <w:bCs/>
          <w:sz w:val="22"/>
          <w:szCs w:val="22"/>
        </w:rPr>
      </w:pPr>
    </w:p>
    <w:tbl>
      <w:tblPr>
        <w:tblW w:w="0" w:type="auto"/>
        <w:jc w:val="left"/>
        <w:tblInd w:w="706" w:type="dxa"/>
        <w:tblLayout w:type="fixed"/>
        <w:tblCellMar>
          <w:top w:w="0" w:type="dxa"/>
          <w:left w:w="0" w:type="dxa"/>
          <w:bottom w:w="0" w:type="dxa"/>
          <w:right w:w="0" w:type="dxa"/>
        </w:tblCellMar>
        <w:tblLook w:val="01E0"/>
      </w:tblPr>
      <w:tblGrid>
        <w:gridCol w:w="3073"/>
        <w:gridCol w:w="1841"/>
        <w:gridCol w:w="4374"/>
      </w:tblGrid>
      <w:tr>
        <w:trPr>
          <w:trHeight w:val="322" w:hRule="exact"/>
        </w:trPr>
        <w:tc>
          <w:tcPr>
            <w:tcW w:w="3073" w:type="dxa"/>
            <w:vMerge w:val="restart"/>
            <w:tcBorders>
              <w:top w:val="single" w:sz="4" w:space="0" w:color="000000"/>
              <w:left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保荐机构</w:t>
            </w:r>
            <w:r>
              <w:rPr>
                <w:rFonts w:ascii="宋体" w:hAnsi="宋体" w:cs="宋体" w:eastAsia="宋体" w:hint="default"/>
                <w:sz w:val="21"/>
                <w:szCs w:val="21"/>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办公地址</w:t>
            </w:r>
            <w:r>
              <w:rPr>
                <w:rFonts w:ascii="宋体" w:hAnsi="宋体" w:cs="宋体" w:eastAsia="宋体" w:hint="default"/>
                <w:sz w:val="21"/>
                <w:szCs w:val="21"/>
              </w:rPr>
              <w:t> </w:t>
            </w:r>
          </w:p>
        </w:tc>
        <w:tc>
          <w:tcPr>
            <w:tcW w:w="437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1"/>
              <w:jc w:val="left"/>
              <w:rPr>
                <w:rFonts w:ascii="宋体" w:hAnsi="宋体" w:cs="宋体" w:eastAsia="宋体" w:hint="default"/>
                <w:sz w:val="21"/>
                <w:szCs w:val="21"/>
              </w:rPr>
            </w:pPr>
            <w:r>
              <w:rPr>
                <w:rFonts w:ascii="宋体" w:hAnsi="宋体" w:cs="宋体" w:eastAsia="宋体" w:hint="default"/>
                <w:sz w:val="21"/>
                <w:szCs w:val="21"/>
              </w:rPr>
              <w:t>广州市天河区马场路</w:t>
            </w:r>
            <w:r>
              <w:rPr>
                <w:rFonts w:ascii="宋体" w:hAnsi="宋体" w:cs="宋体" w:eastAsia="宋体" w:hint="default"/>
                <w:spacing w:val="-64"/>
                <w:sz w:val="21"/>
                <w:szCs w:val="21"/>
              </w:rPr>
              <w:t> </w:t>
            </w:r>
            <w:r>
              <w:rPr>
                <w:rFonts w:ascii="宋体" w:hAnsi="宋体" w:cs="宋体" w:eastAsia="宋体" w:hint="default"/>
                <w:sz w:val="21"/>
                <w:szCs w:val="21"/>
              </w:rPr>
              <w:t>26</w:t>
            </w:r>
            <w:r>
              <w:rPr>
                <w:rFonts w:ascii="宋体" w:hAnsi="宋体" w:cs="宋体" w:eastAsia="宋体" w:hint="default"/>
                <w:spacing w:val="-64"/>
                <w:sz w:val="21"/>
                <w:szCs w:val="21"/>
              </w:rPr>
              <w:t> </w:t>
            </w:r>
            <w:r>
              <w:rPr>
                <w:rFonts w:ascii="宋体" w:hAnsi="宋体" w:cs="宋体" w:eastAsia="宋体" w:hint="default"/>
                <w:sz w:val="21"/>
                <w:szCs w:val="21"/>
              </w:rPr>
              <w:t>号广发证券大厦</w:t>
            </w:r>
            <w:r>
              <w:rPr>
                <w:rFonts w:ascii="宋体" w:hAnsi="宋体" w:cs="宋体" w:eastAsia="宋体" w:hint="default"/>
                <w:spacing w:val="-65"/>
                <w:sz w:val="21"/>
                <w:szCs w:val="21"/>
              </w:rPr>
              <w:t> </w:t>
            </w:r>
            <w:r>
              <w:rPr>
                <w:rFonts w:ascii="宋体" w:hAnsi="宋体" w:cs="宋体" w:eastAsia="宋体" w:hint="default"/>
                <w:sz w:val="21"/>
                <w:szCs w:val="21"/>
              </w:rPr>
              <w:t>41</w:t>
            </w:r>
            <w:r>
              <w:rPr>
                <w:rFonts w:ascii="宋体" w:hAnsi="宋体" w:cs="宋体" w:eastAsia="宋体" w:hint="default"/>
                <w:spacing w:val="-66"/>
                <w:sz w:val="21"/>
                <w:szCs w:val="21"/>
              </w:rPr>
              <w:t> </w:t>
            </w:r>
            <w:r>
              <w:rPr>
                <w:rFonts w:ascii="宋体" w:hAnsi="宋体" w:cs="宋体" w:eastAsia="宋体" w:hint="default"/>
                <w:spacing w:val="-3"/>
                <w:sz w:val="21"/>
                <w:szCs w:val="21"/>
              </w:rPr>
              <w:t>楼</w:t>
            </w:r>
            <w:r>
              <w:rPr>
                <w:rFonts w:ascii="宋体" w:hAnsi="宋体" w:cs="宋体" w:eastAsia="宋体" w:hint="default"/>
                <w:sz w:val="21"/>
                <w:szCs w:val="21"/>
              </w:rPr>
              <w:t> </w:t>
            </w:r>
          </w:p>
        </w:tc>
      </w:tr>
      <w:tr>
        <w:trPr>
          <w:trHeight w:val="634" w:hRule="exact"/>
        </w:trPr>
        <w:tc>
          <w:tcPr>
            <w:tcW w:w="3073" w:type="dxa"/>
            <w:vMerge/>
            <w:tcBorders>
              <w:left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9"/>
              <w:jc w:val="left"/>
              <w:rPr>
                <w:rFonts w:ascii="宋体" w:hAnsi="宋体" w:cs="宋体" w:eastAsia="宋体" w:hint="default"/>
                <w:sz w:val="21"/>
                <w:szCs w:val="21"/>
              </w:rPr>
            </w:pPr>
            <w:r>
              <w:rPr>
                <w:rFonts w:ascii="宋体" w:hAnsi="宋体" w:cs="宋体" w:eastAsia="宋体" w:hint="default"/>
                <w:spacing w:val="11"/>
                <w:sz w:val="21"/>
                <w:szCs w:val="21"/>
              </w:rPr>
              <w:t>签字</w:t>
            </w:r>
            <w:r>
              <w:rPr>
                <w:rFonts w:ascii="宋体" w:hAnsi="宋体" w:cs="宋体" w:eastAsia="宋体" w:hint="default"/>
                <w:spacing w:val="-74"/>
                <w:sz w:val="21"/>
                <w:szCs w:val="21"/>
              </w:rPr>
              <w:t> </w:t>
            </w:r>
            <w:r>
              <w:rPr>
                <w:rFonts w:ascii="宋体" w:hAnsi="宋体" w:cs="宋体" w:eastAsia="宋体" w:hint="default"/>
                <w:spacing w:val="16"/>
                <w:sz w:val="21"/>
                <w:szCs w:val="21"/>
              </w:rPr>
              <w:t>的保荐代</w:t>
            </w:r>
            <w:r>
              <w:rPr>
                <w:rFonts w:ascii="宋体" w:hAnsi="宋体" w:cs="宋体" w:eastAsia="宋体" w:hint="default"/>
                <w:spacing w:val="-74"/>
                <w:sz w:val="21"/>
                <w:szCs w:val="21"/>
              </w:rPr>
              <w:t> </w:t>
            </w:r>
            <w:r>
              <w:rPr>
                <w:rFonts w:ascii="宋体" w:hAnsi="宋体" w:cs="宋体" w:eastAsia="宋体" w:hint="default"/>
                <w:sz w:val="21"/>
                <w:szCs w:val="21"/>
              </w:rPr>
              <w:t>表</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人姓名</w:t>
            </w:r>
            <w:r>
              <w:rPr>
                <w:rFonts w:ascii="宋体" w:hAnsi="宋体" w:cs="宋体" w:eastAsia="宋体" w:hint="default"/>
                <w:sz w:val="21"/>
                <w:szCs w:val="21"/>
              </w:rPr>
              <w:t> </w:t>
            </w:r>
          </w:p>
        </w:tc>
        <w:tc>
          <w:tcPr>
            <w:tcW w:w="4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0" w:right="0"/>
              <w:jc w:val="left"/>
              <w:rPr>
                <w:rFonts w:ascii="宋体" w:hAnsi="宋体" w:cs="宋体" w:eastAsia="宋体" w:hint="default"/>
                <w:sz w:val="21"/>
                <w:szCs w:val="21"/>
              </w:rPr>
            </w:pPr>
            <w:r>
              <w:rPr>
                <w:rFonts w:ascii="宋体" w:hAnsi="宋体" w:cs="宋体" w:eastAsia="宋体" w:hint="default"/>
                <w:sz w:val="21"/>
                <w:szCs w:val="21"/>
              </w:rPr>
              <w:t>孟晓翔、李宗贵</w:t>
            </w:r>
            <w:r>
              <w:rPr>
                <w:rFonts w:ascii="宋体" w:hAnsi="宋体" w:cs="宋体" w:eastAsia="宋体" w:hint="default"/>
                <w:sz w:val="21"/>
                <w:szCs w:val="21"/>
              </w:rPr>
              <w:t> </w:t>
            </w:r>
          </w:p>
        </w:tc>
      </w:tr>
      <w:tr>
        <w:trPr>
          <w:trHeight w:val="324" w:hRule="exact"/>
        </w:trPr>
        <w:tc>
          <w:tcPr>
            <w:tcW w:w="3073" w:type="dxa"/>
            <w:vMerge/>
            <w:tcBorders>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持续督导的期间</w:t>
            </w:r>
            <w:r>
              <w:rPr>
                <w:rFonts w:ascii="宋体" w:hAnsi="宋体" w:cs="宋体" w:eastAsia="宋体" w:hint="default"/>
                <w:sz w:val="21"/>
                <w:szCs w:val="21"/>
              </w:rPr>
              <w:t> </w:t>
            </w:r>
          </w:p>
        </w:tc>
        <w:tc>
          <w:tcPr>
            <w:tcW w:w="437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z w:val="21"/>
                <w:szCs w:val="21"/>
              </w:rPr>
              <w:t>-2020</w:t>
            </w:r>
            <w:r>
              <w:rPr>
                <w:rFonts w:ascii="宋体" w:hAnsi="宋体" w:cs="宋体" w:eastAsia="宋体" w:hint="default"/>
                <w:spacing w:val="-51"/>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r>
    </w:tbl>
    <w:p>
      <w:pPr>
        <w:spacing w:after="0" w:line="262" w:lineRule="exact"/>
        <w:jc w:val="left"/>
        <w:rPr>
          <w:rFonts w:ascii="宋体" w:hAnsi="宋体" w:cs="宋体" w:eastAsia="宋体" w:hint="default"/>
          <w:sz w:val="21"/>
          <w:szCs w:val="21"/>
        </w:rPr>
        <w:sectPr>
          <w:pgSz w:w="11910" w:h="16840"/>
          <w:pgMar w:header="748" w:footer="974" w:top="1140" w:bottom="1160" w:left="600" w:right="600"/>
        </w:sectPr>
      </w:pPr>
    </w:p>
    <w:p>
      <w:pPr>
        <w:pStyle w:val="Heading2"/>
        <w:spacing w:line="274" w:lineRule="exact"/>
        <w:ind w:left="818" w:right="0"/>
        <w:jc w:val="left"/>
        <w:rPr>
          <w:rFonts w:ascii="宋体" w:hAnsi="宋体" w:cs="宋体" w:eastAsia="宋体" w:hint="default"/>
        </w:rPr>
      </w:pPr>
      <w:r>
        <w:rPr>
          <w:rFonts w:ascii="宋体"/>
        </w:rPr>
        <w:t> </w:t>
      </w:r>
    </w:p>
    <w:p>
      <w:pPr>
        <w:pStyle w:val="Heading3"/>
        <w:spacing w:line="240" w:lineRule="auto" w:before="85"/>
        <w:ind w:left="818" w:right="-17"/>
        <w:jc w:val="left"/>
        <w:rPr>
          <w:b w:val="0"/>
          <w:bCs w:val="0"/>
        </w:rPr>
      </w:pPr>
      <w:r>
        <w:rPr/>
        <w:t>七、</w:t>
      </w:r>
      <w:r>
        <w:rPr>
          <w:spacing w:val="-33"/>
        </w:rPr>
        <w:t> </w:t>
      </w:r>
      <w:r>
        <w:rPr>
          <w:rFonts w:ascii="宋体" w:hAnsi="宋体" w:cs="宋体" w:eastAsia="宋体" w:hint="default"/>
          <w:spacing w:val="-33"/>
        </w:rPr>
      </w:r>
      <w:r>
        <w:rPr/>
        <w:t>近三年主要会计数据和财务指标</w:t>
      </w:r>
      <w:r>
        <w:rPr>
          <w:b w:val="0"/>
          <w:bCs w:val="0"/>
        </w:rPr>
      </w:r>
    </w:p>
    <w:p>
      <w:pPr>
        <w:pStyle w:val="Heading3"/>
        <w:spacing w:line="240" w:lineRule="auto"/>
        <w:ind w:left="818" w:right="0"/>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1"/>
        </w:rPr>
        <w:t> </w:t>
      </w:r>
      <w:r>
        <w:rPr/>
        <w:t>主要会计数据</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24"/>
          <w:szCs w:val="24"/>
        </w:rPr>
      </w:pPr>
    </w:p>
    <w:p>
      <w:pPr>
        <w:pStyle w:val="BodyText"/>
        <w:spacing w:line="240" w:lineRule="auto"/>
        <w:ind w:left="818" w:right="0"/>
        <w:jc w:val="left"/>
        <w:rPr>
          <w:rFonts w:ascii="宋体" w:hAnsi="宋体" w:cs="宋体" w:eastAsia="宋体" w:hint="default"/>
        </w:rPr>
      </w:pPr>
      <w:r>
        <w:rPr/>
        <w:t>单位：元币种：人民币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580" w:bottom="280" w:left="600" w:right="600"/>
          <w:cols w:num="2" w:equalWidth="0">
            <w:col w:w="4268" w:space="2702"/>
            <w:col w:w="3740"/>
          </w:cols>
        </w:sectPr>
      </w:pPr>
    </w:p>
    <w:p>
      <w:pPr>
        <w:spacing w:line="240" w:lineRule="auto" w:before="10"/>
        <w:rPr>
          <w:rFonts w:ascii="宋体" w:hAnsi="宋体" w:cs="宋体" w:eastAsia="宋体" w:hint="default"/>
          <w:sz w:val="3"/>
          <w:szCs w:val="3"/>
        </w:rPr>
      </w:pPr>
    </w:p>
    <w:tbl>
      <w:tblPr>
        <w:tblW w:w="0" w:type="auto"/>
        <w:jc w:val="left"/>
        <w:tblInd w:w="117" w:type="dxa"/>
        <w:tblLayout w:type="fixed"/>
        <w:tblCellMar>
          <w:top w:w="0" w:type="dxa"/>
          <w:left w:w="0" w:type="dxa"/>
          <w:bottom w:w="0" w:type="dxa"/>
          <w:right w:w="0" w:type="dxa"/>
        </w:tblCellMar>
        <w:tblLook w:val="01E0"/>
      </w:tblPr>
      <w:tblGrid>
        <w:gridCol w:w="1702"/>
        <w:gridCol w:w="1985"/>
        <w:gridCol w:w="1814"/>
        <w:gridCol w:w="1844"/>
        <w:gridCol w:w="1275"/>
        <w:gridCol w:w="1843"/>
      </w:tblGrid>
      <w:tr>
        <w:trPr>
          <w:trHeight w:val="458" w:hRule="exact"/>
        </w:trPr>
        <w:tc>
          <w:tcPr>
            <w:tcW w:w="1702"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15" w:right="0"/>
              <w:jc w:val="left"/>
              <w:rPr>
                <w:rFonts w:ascii="宋体" w:hAnsi="宋体" w:cs="宋体" w:eastAsia="宋体" w:hint="default"/>
                <w:sz w:val="21"/>
                <w:szCs w:val="21"/>
              </w:rPr>
            </w:pPr>
            <w:r>
              <w:rPr>
                <w:rFonts w:ascii="宋体" w:hAnsi="宋体" w:cs="宋体" w:eastAsia="宋体" w:hint="default"/>
                <w:sz w:val="21"/>
                <w:szCs w:val="21"/>
              </w:rPr>
              <w:t>主要会计数据</w:t>
            </w:r>
            <w:r>
              <w:rPr>
                <w:rFonts w:ascii="宋体" w:hAnsi="宋体" w:cs="宋体" w:eastAsia="宋体" w:hint="default"/>
                <w:sz w:val="21"/>
                <w:szCs w:val="21"/>
              </w:rPr>
              <w:t> </w:t>
            </w:r>
          </w:p>
        </w:tc>
        <w:tc>
          <w:tcPr>
            <w:tcW w:w="1985"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671"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z w:val="21"/>
                <w:szCs w:val="21"/>
              </w:rPr>
              <w:t>年</w:t>
            </w:r>
            <w:r>
              <w:rPr>
                <w:rFonts w:ascii="宋体" w:hAnsi="宋体" w:cs="宋体" w:eastAsia="宋体" w:hint="default"/>
                <w:sz w:val="21"/>
                <w:szCs w:val="21"/>
              </w:rPr>
              <w:t> </w:t>
            </w:r>
          </w:p>
        </w:tc>
        <w:tc>
          <w:tcPr>
            <w:tcW w:w="36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3" w:right="0"/>
              <w:jc w:val="center"/>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z w:val="21"/>
                <w:szCs w:val="21"/>
              </w:rPr>
              <w:t>年</w:t>
            </w:r>
            <w:r>
              <w:rPr>
                <w:rFonts w:ascii="宋体" w:hAnsi="宋体" w:cs="宋体" w:eastAsia="宋体" w:hint="default"/>
                <w:sz w:val="21"/>
                <w:szCs w:val="21"/>
              </w:rPr>
              <w:t> </w:t>
            </w:r>
          </w:p>
        </w:tc>
        <w:tc>
          <w:tcPr>
            <w:tcW w:w="1275" w:type="dxa"/>
            <w:vMerge w:val="restart"/>
            <w:tcBorders>
              <w:top w:val="single" w:sz="4" w:space="0" w:color="000000"/>
              <w:left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本期比上年</w:t>
            </w:r>
          </w:p>
          <w:p>
            <w:pPr>
              <w:pStyle w:val="TableParagraph"/>
              <w:spacing w:line="240" w:lineRule="auto"/>
              <w:ind w:left="211" w:right="209"/>
              <w:jc w:val="center"/>
              <w:rPr>
                <w:rFonts w:ascii="宋体" w:hAnsi="宋体" w:cs="宋体" w:eastAsia="宋体" w:hint="default"/>
                <w:sz w:val="21"/>
                <w:szCs w:val="21"/>
              </w:rPr>
            </w:pPr>
            <w:r>
              <w:rPr>
                <w:rFonts w:ascii="宋体" w:hAnsi="宋体" w:cs="宋体" w:eastAsia="宋体" w:hint="default"/>
                <w:sz w:val="21"/>
                <w:szCs w:val="21"/>
              </w:rPr>
              <w:t>同期增减</w:t>
            </w:r>
            <w:r>
              <w:rPr>
                <w:rFonts w:ascii="宋体" w:hAnsi="宋体" w:cs="宋体" w:eastAsia="宋体" w:hint="default"/>
                <w:w w:val="100"/>
                <w:sz w:val="21"/>
                <w:szCs w:val="21"/>
              </w:rPr>
              <w:t> </w:t>
            </w:r>
            <w:r>
              <w:rPr>
                <w:rFonts w:ascii="宋体" w:hAnsi="宋体" w:cs="宋体" w:eastAsia="宋体" w:hint="default"/>
                <w:sz w:val="21"/>
                <w:szCs w:val="21"/>
              </w:rPr>
              <w:t>(%) </w:t>
            </w:r>
          </w:p>
        </w:tc>
        <w:tc>
          <w:tcPr>
            <w:tcW w:w="1843"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599"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z w:val="21"/>
                <w:szCs w:val="21"/>
              </w:rPr>
              <w:t>年</w:t>
            </w:r>
            <w:r>
              <w:rPr>
                <w:rFonts w:ascii="宋体" w:hAnsi="宋体" w:cs="宋体" w:eastAsia="宋体" w:hint="default"/>
                <w:sz w:val="21"/>
                <w:szCs w:val="21"/>
              </w:rPr>
              <w:t> </w:t>
            </w:r>
          </w:p>
        </w:tc>
      </w:tr>
      <w:tr>
        <w:trPr>
          <w:trHeight w:val="367" w:hRule="exact"/>
        </w:trPr>
        <w:tc>
          <w:tcPr>
            <w:tcW w:w="1702" w:type="dxa"/>
            <w:vMerge/>
            <w:tcBorders>
              <w:left w:val="single" w:sz="4" w:space="0" w:color="000000"/>
              <w:bottom w:val="single" w:sz="4" w:space="0" w:color="000000"/>
              <w:right w:val="single" w:sz="4" w:space="0" w:color="000000"/>
            </w:tcBorders>
          </w:tcPr>
          <w:p>
            <w:pPr/>
          </w:p>
        </w:tc>
        <w:tc>
          <w:tcPr>
            <w:tcW w:w="1985" w:type="dxa"/>
            <w:vMerge/>
            <w:tcBorders>
              <w:left w:val="single" w:sz="4" w:space="0" w:color="000000"/>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585" w:right="0"/>
              <w:jc w:val="left"/>
              <w:rPr>
                <w:rFonts w:ascii="宋体" w:hAnsi="宋体" w:cs="宋体" w:eastAsia="宋体" w:hint="default"/>
                <w:sz w:val="21"/>
                <w:szCs w:val="21"/>
              </w:rPr>
            </w:pPr>
            <w:r>
              <w:rPr>
                <w:rFonts w:ascii="宋体" w:hAnsi="宋体" w:cs="宋体" w:eastAsia="宋体" w:hint="default"/>
                <w:sz w:val="21"/>
                <w:szCs w:val="21"/>
              </w:rPr>
              <w:t>调整后</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598" w:right="0"/>
              <w:jc w:val="left"/>
              <w:rPr>
                <w:rFonts w:ascii="宋体" w:hAnsi="宋体" w:cs="宋体" w:eastAsia="宋体" w:hint="default"/>
                <w:sz w:val="21"/>
                <w:szCs w:val="21"/>
              </w:rPr>
            </w:pPr>
            <w:r>
              <w:rPr>
                <w:rFonts w:ascii="宋体" w:hAnsi="宋体" w:cs="宋体" w:eastAsia="宋体" w:hint="default"/>
                <w:sz w:val="21"/>
                <w:szCs w:val="21"/>
              </w:rPr>
              <w:t>调整前</w:t>
            </w:r>
            <w:r>
              <w:rPr>
                <w:rFonts w:ascii="宋体" w:hAnsi="宋体" w:cs="宋体" w:eastAsia="宋体" w:hint="default"/>
                <w:sz w:val="21"/>
                <w:szCs w:val="21"/>
              </w:rPr>
              <w:t> </w:t>
            </w:r>
          </w:p>
        </w:tc>
        <w:tc>
          <w:tcPr>
            <w:tcW w:w="1275" w:type="dxa"/>
            <w:vMerge/>
            <w:tcBorders>
              <w:left w:val="single" w:sz="4" w:space="0" w:color="000000"/>
              <w:bottom w:val="single" w:sz="4" w:space="0" w:color="000000"/>
              <w:right w:val="single" w:sz="4" w:space="0" w:color="000000"/>
            </w:tcBorders>
          </w:tcPr>
          <w:p>
            <w:pPr/>
          </w:p>
        </w:tc>
        <w:tc>
          <w:tcPr>
            <w:tcW w:w="1843" w:type="dxa"/>
            <w:vMerge/>
            <w:tcBorders>
              <w:left w:val="single" w:sz="4" w:space="0" w:color="000000"/>
              <w:bottom w:val="single" w:sz="4" w:space="0" w:color="000000"/>
              <w:right w:val="single" w:sz="4" w:space="0" w:color="000000"/>
            </w:tcBorders>
          </w:tcPr>
          <w:p>
            <w:pPr/>
          </w:p>
        </w:tc>
      </w:tr>
      <w:tr>
        <w:trPr>
          <w:trHeight w:val="32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87" w:right="0"/>
              <w:jc w:val="center"/>
              <w:rPr>
                <w:rFonts w:ascii="宋体" w:hAnsi="宋体" w:cs="宋体" w:eastAsia="宋体" w:hint="default"/>
                <w:sz w:val="18"/>
                <w:szCs w:val="18"/>
              </w:rPr>
            </w:pPr>
            <w:r>
              <w:rPr>
                <w:rFonts w:ascii="宋体" w:hAnsi="宋体" w:cs="宋体" w:eastAsia="宋体" w:hint="default"/>
                <w:sz w:val="18"/>
                <w:szCs w:val="18"/>
              </w:rPr>
              <w:t>营业收入</w:t>
            </w:r>
            <w:r>
              <w:rPr>
                <w:rFonts w:ascii="宋体" w:hAnsi="宋体" w:cs="宋体" w:eastAsia="宋体" w:hint="default"/>
                <w:sz w:val="18"/>
                <w:szCs w:val="18"/>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pacing w:val="-1"/>
                <w:sz w:val="18"/>
              </w:rPr>
              <w:t>3,359,243,789.30 </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pacing w:val="-1"/>
                <w:sz w:val="18"/>
              </w:rPr>
              <w:t>4,016,103,196.21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3"/>
              <w:jc w:val="right"/>
              <w:rPr>
                <w:rFonts w:ascii="宋体" w:hAnsi="宋体" w:cs="宋体" w:eastAsia="宋体" w:hint="default"/>
                <w:sz w:val="18"/>
                <w:szCs w:val="18"/>
              </w:rPr>
            </w:pPr>
            <w:r>
              <w:rPr>
                <w:rFonts w:ascii="宋体"/>
                <w:spacing w:val="-1"/>
                <w:sz w:val="18"/>
              </w:rPr>
              <w:t>4,016,739,559.85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84" w:right="0"/>
              <w:jc w:val="center"/>
              <w:rPr>
                <w:rFonts w:ascii="宋体" w:hAnsi="宋体" w:cs="宋体" w:eastAsia="宋体" w:hint="default"/>
                <w:sz w:val="18"/>
                <w:szCs w:val="18"/>
              </w:rPr>
            </w:pPr>
            <w:r>
              <w:rPr>
                <w:rFonts w:ascii="宋体"/>
                <w:sz w:val="18"/>
              </w:rPr>
              <w:t>-16.36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pacing w:val="-1"/>
                <w:sz w:val="18"/>
              </w:rPr>
              <w:t>3,588,198,201.68 </w:t>
            </w:r>
          </w:p>
        </w:tc>
      </w:tr>
      <w:tr>
        <w:trPr>
          <w:trHeight w:val="478"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sz w:val="18"/>
                <w:szCs w:val="18"/>
              </w:rPr>
              <w:t>归属于上市公司股</w:t>
            </w:r>
          </w:p>
          <w:p>
            <w:pPr>
              <w:pStyle w:val="TableParagraph"/>
              <w:spacing w:line="234" w:lineRule="exact"/>
              <w:ind w:left="90" w:right="0"/>
              <w:jc w:val="center"/>
              <w:rPr>
                <w:rFonts w:ascii="宋体" w:hAnsi="宋体" w:cs="宋体" w:eastAsia="宋体" w:hint="default"/>
                <w:sz w:val="18"/>
                <w:szCs w:val="18"/>
              </w:rPr>
            </w:pPr>
            <w:r>
              <w:rPr>
                <w:rFonts w:ascii="宋体" w:hAnsi="宋体" w:cs="宋体" w:eastAsia="宋体" w:hint="default"/>
                <w:sz w:val="18"/>
                <w:szCs w:val="18"/>
              </w:rPr>
              <w:t>东的净利润</w:t>
            </w:r>
            <w:r>
              <w:rPr>
                <w:rFonts w:ascii="宋体" w:hAnsi="宋体" w:cs="宋体" w:eastAsia="宋体" w:hint="default"/>
                <w:sz w:val="18"/>
                <w:szCs w:val="18"/>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pacing w:val="-1"/>
                <w:sz w:val="18"/>
              </w:rPr>
              <w:t>700,405,103.05</w:t>
            </w:r>
            <w:r>
              <w:rPr>
                <w:rFonts w:ascii="宋体"/>
                <w:sz w:val="18"/>
              </w:rPr>
              <w:t> </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pacing w:val="-1"/>
                <w:sz w:val="18"/>
              </w:rPr>
              <w:t>777,590,285.79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3"/>
              <w:jc w:val="right"/>
              <w:rPr>
                <w:rFonts w:ascii="宋体" w:hAnsi="宋体" w:cs="宋体" w:eastAsia="宋体" w:hint="default"/>
                <w:sz w:val="18"/>
                <w:szCs w:val="18"/>
              </w:rPr>
            </w:pPr>
            <w:r>
              <w:rPr>
                <w:rFonts w:ascii="宋体"/>
                <w:spacing w:val="-1"/>
                <w:sz w:val="18"/>
              </w:rPr>
              <w:t>760,512,374.73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87" w:right="0"/>
              <w:jc w:val="center"/>
              <w:rPr>
                <w:rFonts w:ascii="宋体" w:hAnsi="宋体" w:cs="宋体" w:eastAsia="宋体" w:hint="default"/>
                <w:sz w:val="18"/>
                <w:szCs w:val="18"/>
              </w:rPr>
            </w:pPr>
            <w:r>
              <w:rPr>
                <w:rFonts w:ascii="宋体"/>
                <w:sz w:val="18"/>
              </w:rPr>
              <w:t>-9.93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pacing w:val="-1"/>
                <w:sz w:val="18"/>
              </w:rPr>
              <w:t>686,022,146.29 </w:t>
            </w:r>
          </w:p>
        </w:tc>
      </w:tr>
      <w:tr>
        <w:trPr>
          <w:trHeight w:val="710"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24" w:right="0"/>
              <w:jc w:val="left"/>
              <w:rPr>
                <w:rFonts w:ascii="宋体" w:hAnsi="宋体" w:cs="宋体" w:eastAsia="宋体" w:hint="default"/>
                <w:sz w:val="18"/>
                <w:szCs w:val="18"/>
              </w:rPr>
            </w:pPr>
            <w:r>
              <w:rPr>
                <w:rFonts w:ascii="宋体" w:hAnsi="宋体" w:cs="宋体" w:eastAsia="宋体" w:hint="default"/>
                <w:sz w:val="18"/>
                <w:szCs w:val="18"/>
              </w:rPr>
              <w:t>归属于上市公司股</w:t>
            </w:r>
          </w:p>
          <w:p>
            <w:pPr>
              <w:pStyle w:val="TableParagraph"/>
              <w:spacing w:line="232" w:lineRule="exact" w:before="24"/>
              <w:ind w:left="304" w:right="125" w:hanging="180"/>
              <w:jc w:val="left"/>
              <w:rPr>
                <w:rFonts w:ascii="宋体" w:hAnsi="宋体" w:cs="宋体" w:eastAsia="宋体" w:hint="default"/>
                <w:sz w:val="18"/>
                <w:szCs w:val="18"/>
              </w:rPr>
            </w:pPr>
            <w:r>
              <w:rPr>
                <w:rFonts w:ascii="宋体" w:hAnsi="宋体" w:cs="宋体" w:eastAsia="宋体" w:hint="default"/>
                <w:sz w:val="18"/>
                <w:szCs w:val="18"/>
              </w:rPr>
              <w:t>东的扣除非经常性 损益的净利润</w:t>
            </w:r>
            <w:r>
              <w:rPr>
                <w:rFonts w:ascii="宋体" w:hAnsi="宋体" w:cs="宋体" w:eastAsia="宋体" w:hint="default"/>
                <w:sz w:val="18"/>
                <w:szCs w:val="18"/>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3"/>
              <w:jc w:val="right"/>
              <w:rPr>
                <w:rFonts w:ascii="宋体" w:hAnsi="宋体" w:cs="宋体" w:eastAsia="宋体" w:hint="default"/>
                <w:sz w:val="21"/>
                <w:szCs w:val="21"/>
              </w:rPr>
            </w:pPr>
            <w:r>
              <w:rPr>
                <w:rFonts w:ascii="宋体"/>
                <w:spacing w:val="-1"/>
                <w:sz w:val="18"/>
              </w:rPr>
              <w:t>678,754,544.52</w:t>
            </w:r>
            <w:r>
              <w:rPr>
                <w:rFonts w:ascii="宋体"/>
                <w:spacing w:val="-1"/>
                <w:w w:val="100"/>
                <w:sz w:val="21"/>
              </w:rPr>
              <w:t> </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742,936,407.68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3"/>
              <w:jc w:val="right"/>
              <w:rPr>
                <w:rFonts w:ascii="宋体" w:hAnsi="宋体" w:cs="宋体" w:eastAsia="宋体" w:hint="default"/>
                <w:sz w:val="18"/>
                <w:szCs w:val="18"/>
              </w:rPr>
            </w:pPr>
            <w:r>
              <w:rPr>
                <w:rFonts w:ascii="宋体"/>
                <w:spacing w:val="-1"/>
                <w:sz w:val="18"/>
              </w:rPr>
              <w:t>743,778,607.14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87" w:right="0"/>
              <w:jc w:val="center"/>
              <w:rPr>
                <w:rFonts w:ascii="宋体" w:hAnsi="宋体" w:cs="宋体" w:eastAsia="宋体" w:hint="default"/>
                <w:sz w:val="18"/>
                <w:szCs w:val="18"/>
              </w:rPr>
            </w:pPr>
            <w:r>
              <w:rPr>
                <w:rFonts w:ascii="宋体"/>
                <w:sz w:val="18"/>
              </w:rPr>
              <w:t>-8.64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678,666,134.71 </w:t>
            </w:r>
          </w:p>
        </w:tc>
      </w:tr>
      <w:tr>
        <w:trPr>
          <w:trHeight w:val="478"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经营活动产生的现</w:t>
            </w:r>
          </w:p>
          <w:p>
            <w:pPr>
              <w:pStyle w:val="TableParagraph"/>
              <w:spacing w:line="240" w:lineRule="auto"/>
              <w:ind w:left="90" w:right="0"/>
              <w:jc w:val="center"/>
              <w:rPr>
                <w:rFonts w:ascii="宋体" w:hAnsi="宋体" w:cs="宋体" w:eastAsia="宋体" w:hint="default"/>
                <w:sz w:val="18"/>
                <w:szCs w:val="18"/>
              </w:rPr>
            </w:pPr>
            <w:r>
              <w:rPr>
                <w:rFonts w:ascii="宋体" w:hAnsi="宋体" w:cs="宋体" w:eastAsia="宋体" w:hint="default"/>
                <w:sz w:val="18"/>
                <w:szCs w:val="18"/>
              </w:rPr>
              <w:t>金流量净额</w:t>
            </w:r>
            <w:r>
              <w:rPr>
                <w:rFonts w:ascii="宋体" w:hAnsi="宋体" w:cs="宋体" w:eastAsia="宋体" w:hint="default"/>
                <w:sz w:val="18"/>
                <w:szCs w:val="18"/>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pacing w:val="-1"/>
                <w:sz w:val="18"/>
              </w:rPr>
              <w:t>401,986,083.36 </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pacing w:val="-1"/>
                <w:sz w:val="18"/>
              </w:rPr>
              <w:t>416,163,509.76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3"/>
              <w:jc w:val="right"/>
              <w:rPr>
                <w:rFonts w:ascii="宋体" w:hAnsi="宋体" w:cs="宋体" w:eastAsia="宋体" w:hint="default"/>
                <w:sz w:val="18"/>
                <w:szCs w:val="18"/>
              </w:rPr>
            </w:pPr>
            <w:r>
              <w:rPr>
                <w:rFonts w:ascii="宋体"/>
                <w:spacing w:val="-1"/>
                <w:sz w:val="18"/>
              </w:rPr>
              <w:t>452,239,041.22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87" w:right="0"/>
              <w:jc w:val="center"/>
              <w:rPr>
                <w:rFonts w:ascii="宋体" w:hAnsi="宋体" w:cs="宋体" w:eastAsia="宋体" w:hint="default"/>
                <w:sz w:val="18"/>
                <w:szCs w:val="18"/>
              </w:rPr>
            </w:pPr>
            <w:r>
              <w:rPr>
                <w:rFonts w:ascii="宋体"/>
                <w:sz w:val="18"/>
              </w:rPr>
              <w:t>-3.41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pacing w:val="-1"/>
                <w:sz w:val="18"/>
              </w:rPr>
              <w:t>806,223,637.92 </w:t>
            </w:r>
          </w:p>
        </w:tc>
      </w:tr>
      <w:tr>
        <w:trPr>
          <w:trHeight w:val="420" w:hRule="exact"/>
        </w:trPr>
        <w:tc>
          <w:tcPr>
            <w:tcW w:w="1702"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3" w:right="0"/>
              <w:jc w:val="center"/>
              <w:rPr>
                <w:rFonts w:ascii="宋体" w:hAnsi="宋体" w:cs="宋体" w:eastAsia="宋体" w:hint="default"/>
                <w:sz w:val="21"/>
                <w:szCs w:val="21"/>
              </w:rPr>
            </w:pPr>
            <w:r>
              <w:rPr>
                <w:rFonts w:ascii="宋体"/>
                <w:w w:val="100"/>
                <w:sz w:val="21"/>
              </w:rPr>
              <w:t> </w:t>
            </w:r>
          </w:p>
        </w:tc>
        <w:tc>
          <w:tcPr>
            <w:tcW w:w="1985"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566"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z w:val="21"/>
                <w:szCs w:val="21"/>
              </w:rPr>
              <w:t>年末</w:t>
            </w:r>
            <w:r>
              <w:rPr>
                <w:rFonts w:ascii="宋体" w:hAnsi="宋体" w:cs="宋体" w:eastAsia="宋体" w:hint="default"/>
                <w:sz w:val="21"/>
                <w:szCs w:val="21"/>
              </w:rPr>
              <w:t> </w:t>
            </w:r>
          </w:p>
        </w:tc>
        <w:tc>
          <w:tcPr>
            <w:tcW w:w="36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05" w:right="0"/>
              <w:jc w:val="center"/>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z w:val="21"/>
                <w:szCs w:val="21"/>
              </w:rPr>
              <w:t>年末</w:t>
            </w:r>
            <w:r>
              <w:rPr>
                <w:rFonts w:ascii="宋体" w:hAnsi="宋体" w:cs="宋体" w:eastAsia="宋体" w:hint="default"/>
                <w:sz w:val="21"/>
                <w:szCs w:val="21"/>
              </w:rPr>
              <w:t> </w:t>
            </w:r>
          </w:p>
        </w:tc>
        <w:tc>
          <w:tcPr>
            <w:tcW w:w="1275" w:type="dxa"/>
            <w:vMerge w:val="restart"/>
            <w:tcBorders>
              <w:top w:val="single" w:sz="4" w:space="0" w:color="000000"/>
              <w:left w:val="single" w:sz="4" w:space="0" w:color="000000"/>
              <w:right w:val="single" w:sz="4" w:space="0" w:color="000000"/>
            </w:tcBorders>
          </w:tcPr>
          <w:p>
            <w:pPr>
              <w:pStyle w:val="TableParagraph"/>
              <w:spacing w:line="239" w:lineRule="exact"/>
              <w:ind w:left="105" w:right="0"/>
              <w:jc w:val="left"/>
              <w:rPr>
                <w:rFonts w:ascii="宋体" w:hAnsi="宋体" w:cs="宋体" w:eastAsia="宋体" w:hint="default"/>
                <w:sz w:val="21"/>
                <w:szCs w:val="21"/>
              </w:rPr>
            </w:pPr>
            <w:r>
              <w:rPr>
                <w:rFonts w:ascii="宋体" w:hAnsi="宋体" w:cs="宋体" w:eastAsia="宋体" w:hint="default"/>
                <w:sz w:val="21"/>
                <w:szCs w:val="21"/>
              </w:rPr>
              <w:t>本期末比上</w:t>
            </w:r>
          </w:p>
          <w:p>
            <w:pPr>
              <w:pStyle w:val="TableParagraph"/>
              <w:spacing w:line="240" w:lineRule="auto"/>
              <w:ind w:left="264" w:right="104" w:hanging="159"/>
              <w:jc w:val="left"/>
              <w:rPr>
                <w:rFonts w:ascii="宋体" w:hAnsi="宋体" w:cs="宋体" w:eastAsia="宋体" w:hint="default"/>
                <w:sz w:val="21"/>
                <w:szCs w:val="21"/>
              </w:rPr>
            </w:pPr>
            <w:r>
              <w:rPr>
                <w:rFonts w:ascii="宋体" w:hAnsi="宋体" w:cs="宋体" w:eastAsia="宋体" w:hint="default"/>
                <w:sz w:val="21"/>
                <w:szCs w:val="21"/>
              </w:rPr>
              <w:t>年同期末增</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减（</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c>
          <w:tcPr>
            <w:tcW w:w="1843"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496"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z w:val="21"/>
                <w:szCs w:val="21"/>
              </w:rPr>
              <w:t>年末</w:t>
            </w:r>
            <w:r>
              <w:rPr>
                <w:rFonts w:ascii="宋体" w:hAnsi="宋体" w:cs="宋体" w:eastAsia="宋体" w:hint="default"/>
                <w:sz w:val="21"/>
                <w:szCs w:val="21"/>
              </w:rPr>
              <w:t> </w:t>
            </w:r>
          </w:p>
        </w:tc>
      </w:tr>
      <w:tr>
        <w:trPr>
          <w:trHeight w:val="406" w:hRule="exact"/>
        </w:trPr>
        <w:tc>
          <w:tcPr>
            <w:tcW w:w="1702" w:type="dxa"/>
            <w:vMerge/>
            <w:tcBorders>
              <w:left w:val="single" w:sz="4" w:space="0" w:color="000000"/>
              <w:bottom w:val="single" w:sz="4" w:space="0" w:color="000000"/>
              <w:right w:val="single" w:sz="4" w:space="0" w:color="000000"/>
            </w:tcBorders>
          </w:tcPr>
          <w:p>
            <w:pPr/>
          </w:p>
        </w:tc>
        <w:tc>
          <w:tcPr>
            <w:tcW w:w="1985" w:type="dxa"/>
            <w:vMerge/>
            <w:tcBorders>
              <w:left w:val="single" w:sz="4" w:space="0" w:color="000000"/>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585" w:right="0"/>
              <w:jc w:val="left"/>
              <w:rPr>
                <w:rFonts w:ascii="宋体" w:hAnsi="宋体" w:cs="宋体" w:eastAsia="宋体" w:hint="default"/>
                <w:sz w:val="21"/>
                <w:szCs w:val="21"/>
              </w:rPr>
            </w:pPr>
            <w:r>
              <w:rPr>
                <w:rFonts w:ascii="宋体" w:hAnsi="宋体" w:cs="宋体" w:eastAsia="宋体" w:hint="default"/>
                <w:sz w:val="21"/>
                <w:szCs w:val="21"/>
              </w:rPr>
              <w:t>调整后</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598" w:right="0"/>
              <w:jc w:val="left"/>
              <w:rPr>
                <w:rFonts w:ascii="宋体" w:hAnsi="宋体" w:cs="宋体" w:eastAsia="宋体" w:hint="default"/>
                <w:sz w:val="21"/>
                <w:szCs w:val="21"/>
              </w:rPr>
            </w:pPr>
            <w:r>
              <w:rPr>
                <w:rFonts w:ascii="宋体" w:hAnsi="宋体" w:cs="宋体" w:eastAsia="宋体" w:hint="default"/>
                <w:sz w:val="21"/>
                <w:szCs w:val="21"/>
              </w:rPr>
              <w:t>调整前</w:t>
            </w:r>
            <w:r>
              <w:rPr>
                <w:rFonts w:ascii="宋体" w:hAnsi="宋体" w:cs="宋体" w:eastAsia="宋体" w:hint="default"/>
                <w:sz w:val="21"/>
                <w:szCs w:val="21"/>
              </w:rPr>
              <w:t> </w:t>
            </w:r>
          </w:p>
        </w:tc>
        <w:tc>
          <w:tcPr>
            <w:tcW w:w="1275" w:type="dxa"/>
            <w:vMerge/>
            <w:tcBorders>
              <w:left w:val="single" w:sz="4" w:space="0" w:color="000000"/>
              <w:bottom w:val="single" w:sz="4" w:space="0" w:color="000000"/>
              <w:right w:val="single" w:sz="4" w:space="0" w:color="000000"/>
            </w:tcBorders>
          </w:tcPr>
          <w:p>
            <w:pPr/>
          </w:p>
        </w:tc>
        <w:tc>
          <w:tcPr>
            <w:tcW w:w="1843" w:type="dxa"/>
            <w:vMerge/>
            <w:tcBorders>
              <w:left w:val="single" w:sz="4" w:space="0" w:color="000000"/>
              <w:bottom w:val="single" w:sz="4" w:space="0" w:color="000000"/>
              <w:right w:val="single" w:sz="4" w:space="0" w:color="000000"/>
            </w:tcBorders>
          </w:tcPr>
          <w:p>
            <w:pPr/>
          </w:p>
        </w:tc>
      </w:tr>
      <w:tr>
        <w:trPr>
          <w:trHeight w:val="478"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sz w:val="18"/>
                <w:szCs w:val="18"/>
              </w:rPr>
              <w:t>归属于上市公司股</w:t>
            </w:r>
          </w:p>
          <w:p>
            <w:pPr>
              <w:pStyle w:val="TableParagraph"/>
              <w:spacing w:line="234" w:lineRule="exact"/>
              <w:ind w:left="90" w:right="0"/>
              <w:jc w:val="center"/>
              <w:rPr>
                <w:rFonts w:ascii="宋体" w:hAnsi="宋体" w:cs="宋体" w:eastAsia="宋体" w:hint="default"/>
                <w:sz w:val="18"/>
                <w:szCs w:val="18"/>
              </w:rPr>
            </w:pPr>
            <w:r>
              <w:rPr>
                <w:rFonts w:ascii="宋体" w:hAnsi="宋体" w:cs="宋体" w:eastAsia="宋体" w:hint="default"/>
                <w:sz w:val="18"/>
                <w:szCs w:val="18"/>
              </w:rPr>
              <w:t>东的净资产</w:t>
            </w:r>
            <w:r>
              <w:rPr>
                <w:rFonts w:ascii="宋体" w:hAnsi="宋体" w:cs="宋体" w:eastAsia="宋体" w:hint="default"/>
                <w:sz w:val="18"/>
                <w:szCs w:val="18"/>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pacing w:val="-1"/>
                <w:sz w:val="18"/>
              </w:rPr>
              <w:t>10,290,626,708.53 </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pacing w:val="-1"/>
                <w:sz w:val="18"/>
              </w:rPr>
              <w:t>10,275,684,348.90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3"/>
              <w:jc w:val="right"/>
              <w:rPr>
                <w:rFonts w:ascii="宋体" w:hAnsi="宋体" w:cs="宋体" w:eastAsia="宋体" w:hint="default"/>
                <w:sz w:val="18"/>
                <w:szCs w:val="18"/>
              </w:rPr>
            </w:pPr>
            <w:r>
              <w:rPr>
                <w:rFonts w:ascii="宋体"/>
                <w:spacing w:val="-1"/>
                <w:sz w:val="18"/>
              </w:rPr>
              <w:t>10,275,684,348.90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87" w:right="0"/>
              <w:jc w:val="center"/>
              <w:rPr>
                <w:rFonts w:ascii="宋体" w:hAnsi="宋体" w:cs="宋体" w:eastAsia="宋体" w:hint="default"/>
                <w:sz w:val="18"/>
                <w:szCs w:val="18"/>
              </w:rPr>
            </w:pPr>
            <w:r>
              <w:rPr>
                <w:rFonts w:ascii="宋体"/>
                <w:sz w:val="18"/>
              </w:rPr>
              <w:t>0.15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pacing w:val="-1"/>
                <w:sz w:val="18"/>
              </w:rPr>
              <w:t>9,322,166,273.29 </w:t>
            </w:r>
          </w:p>
        </w:tc>
      </w:tr>
      <w:tr>
        <w:trPr>
          <w:trHeight w:val="245"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90" w:right="0"/>
              <w:jc w:val="center"/>
              <w:rPr>
                <w:rFonts w:ascii="宋体" w:hAnsi="宋体" w:cs="宋体" w:eastAsia="宋体" w:hint="default"/>
                <w:sz w:val="18"/>
                <w:szCs w:val="18"/>
              </w:rPr>
            </w:pPr>
            <w:r>
              <w:rPr>
                <w:rFonts w:ascii="宋体" w:hAnsi="宋体" w:cs="宋体" w:eastAsia="宋体" w:hint="default"/>
                <w:sz w:val="18"/>
                <w:szCs w:val="18"/>
              </w:rPr>
              <w:t>总资产</w:t>
            </w:r>
            <w:r>
              <w:rPr>
                <w:rFonts w:ascii="宋体" w:hAnsi="宋体" w:cs="宋体" w:eastAsia="宋体" w:hint="default"/>
                <w:sz w:val="18"/>
                <w:szCs w:val="18"/>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17,468,103,037.75 </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17,545,952,844.28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pacing w:val="-1"/>
                <w:sz w:val="18"/>
              </w:rPr>
              <w:t>17,468,564,492.57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7" w:right="0"/>
              <w:jc w:val="center"/>
              <w:rPr>
                <w:rFonts w:ascii="宋体" w:hAnsi="宋体" w:cs="宋体" w:eastAsia="宋体" w:hint="default"/>
                <w:sz w:val="18"/>
                <w:szCs w:val="18"/>
              </w:rPr>
            </w:pPr>
            <w:r>
              <w:rPr>
                <w:rFonts w:ascii="宋体"/>
                <w:sz w:val="18"/>
              </w:rPr>
              <w:t>-0.44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16,773,809,899.63 </w:t>
            </w:r>
          </w:p>
        </w:tc>
      </w:tr>
    </w:tbl>
    <w:p>
      <w:pPr>
        <w:spacing w:line="240" w:lineRule="auto" w:before="10"/>
        <w:rPr>
          <w:rFonts w:ascii="宋体" w:hAnsi="宋体" w:cs="宋体" w:eastAsia="宋体" w:hint="default"/>
          <w:sz w:val="24"/>
          <w:szCs w:val="24"/>
        </w:rPr>
      </w:pPr>
    </w:p>
    <w:p>
      <w:pPr>
        <w:pStyle w:val="Heading3"/>
        <w:tabs>
          <w:tab w:pos="1658" w:val="left" w:leader="none"/>
        </w:tabs>
        <w:spacing w:line="240" w:lineRule="auto" w:before="36"/>
        <w:ind w:left="818" w:right="0"/>
        <w:jc w:val="left"/>
        <w:rPr>
          <w:rFonts w:ascii="宋体" w:hAnsi="宋体" w:cs="宋体" w:eastAsia="宋体" w:hint="default"/>
          <w:b w:val="0"/>
          <w:bCs w:val="0"/>
        </w:rPr>
      </w:pPr>
      <w:r>
        <w:rPr>
          <w:rFonts w:ascii="宋体" w:hAnsi="宋体" w:cs="宋体" w:eastAsia="宋体" w:hint="default"/>
          <w:w w:val="95"/>
        </w:rPr>
        <w:t>(</w:t>
      </w:r>
      <w:r>
        <w:rPr>
          <w:w w:val="95"/>
        </w:rPr>
        <w:t>二</w:t>
      </w:r>
      <w:r>
        <w:rPr>
          <w:rFonts w:ascii="宋体" w:hAnsi="宋体" w:cs="宋体" w:eastAsia="宋体" w:hint="default"/>
          <w:w w:val="95"/>
        </w:rPr>
        <w:t>)</w:t>
        <w:tab/>
      </w:r>
      <w:r>
        <w:rPr/>
        <w:t>主要财务指标</w:t>
      </w:r>
      <w:r>
        <w:rPr>
          <w:rFonts w:ascii="宋体" w:hAnsi="宋体" w:cs="宋体" w:eastAsia="宋体" w:hint="default"/>
          <w:w w:val="99"/>
        </w:rPr>
        <w:t> </w:t>
      </w:r>
      <w:r>
        <w:rPr>
          <w:rFonts w:ascii="宋体" w:hAnsi="宋体" w:cs="宋体" w:eastAsia="宋体" w:hint="default"/>
          <w:b w:val="0"/>
          <w:bCs w:val="0"/>
        </w:rPr>
      </w:r>
    </w:p>
    <w:p>
      <w:pPr>
        <w:spacing w:line="240" w:lineRule="auto" w:before="5"/>
        <w:rPr>
          <w:rFonts w:ascii="宋体" w:hAnsi="宋体" w:cs="宋体" w:eastAsia="宋体" w:hint="default"/>
          <w:b/>
          <w:bCs/>
          <w:sz w:val="8"/>
          <w:szCs w:val="8"/>
        </w:rPr>
      </w:pPr>
    </w:p>
    <w:tbl>
      <w:tblPr>
        <w:tblW w:w="0" w:type="auto"/>
        <w:jc w:val="left"/>
        <w:tblInd w:w="660" w:type="dxa"/>
        <w:tblLayout w:type="fixed"/>
        <w:tblCellMar>
          <w:top w:w="0" w:type="dxa"/>
          <w:left w:w="0" w:type="dxa"/>
          <w:bottom w:w="0" w:type="dxa"/>
          <w:right w:w="0" w:type="dxa"/>
        </w:tblCellMar>
        <w:tblLook w:val="01E0"/>
      </w:tblPr>
      <w:tblGrid>
        <w:gridCol w:w="3143"/>
        <w:gridCol w:w="1133"/>
        <w:gridCol w:w="994"/>
        <w:gridCol w:w="1075"/>
        <w:gridCol w:w="2185"/>
        <w:gridCol w:w="850"/>
      </w:tblGrid>
      <w:tr>
        <w:trPr>
          <w:trHeight w:val="338" w:hRule="exact"/>
        </w:trPr>
        <w:tc>
          <w:tcPr>
            <w:tcW w:w="3143" w:type="dxa"/>
            <w:vMerge w:val="restart"/>
            <w:tcBorders>
              <w:top w:val="single" w:sz="4" w:space="0" w:color="000000"/>
              <w:left w:val="single" w:sz="4" w:space="0" w:color="000000"/>
              <w:right w:val="single" w:sz="4" w:space="0" w:color="000000"/>
            </w:tcBorders>
          </w:tcPr>
          <w:p>
            <w:pPr>
              <w:pStyle w:val="TableParagraph"/>
              <w:spacing w:line="240" w:lineRule="auto" w:before="136"/>
              <w:ind w:left="936" w:right="0"/>
              <w:jc w:val="left"/>
              <w:rPr>
                <w:rFonts w:ascii="宋体" w:hAnsi="宋体" w:cs="宋体" w:eastAsia="宋体" w:hint="default"/>
                <w:sz w:val="21"/>
                <w:szCs w:val="21"/>
              </w:rPr>
            </w:pPr>
            <w:r>
              <w:rPr>
                <w:rFonts w:ascii="宋体" w:hAnsi="宋体" w:cs="宋体" w:eastAsia="宋体" w:hint="default"/>
                <w:sz w:val="21"/>
                <w:szCs w:val="21"/>
              </w:rPr>
              <w:t>主要财务指标</w:t>
            </w:r>
            <w:r>
              <w:rPr>
                <w:rFonts w:ascii="宋体" w:hAnsi="宋体" w:cs="宋体" w:eastAsia="宋体" w:hint="default"/>
                <w:sz w:val="21"/>
                <w:szCs w:val="21"/>
              </w:rPr>
              <w:t> </w:t>
            </w:r>
          </w:p>
        </w:tc>
        <w:tc>
          <w:tcPr>
            <w:tcW w:w="1133" w:type="dxa"/>
            <w:vMerge w:val="restart"/>
            <w:tcBorders>
              <w:top w:val="single" w:sz="4" w:space="0" w:color="000000"/>
              <w:left w:val="single" w:sz="4" w:space="0" w:color="000000"/>
              <w:right w:val="single" w:sz="4" w:space="0" w:color="000000"/>
            </w:tcBorders>
          </w:tcPr>
          <w:p>
            <w:pPr>
              <w:pStyle w:val="TableParagraph"/>
              <w:spacing w:line="240" w:lineRule="auto" w:before="136"/>
              <w:ind w:left="242"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z w:val="21"/>
                <w:szCs w:val="21"/>
              </w:rPr>
              <w:t>年</w:t>
            </w:r>
            <w:r>
              <w:rPr>
                <w:rFonts w:ascii="宋体" w:hAnsi="宋体" w:cs="宋体" w:eastAsia="宋体" w:hint="default"/>
                <w:sz w:val="21"/>
                <w:szCs w:val="21"/>
              </w:rPr>
              <w:t> </w:t>
            </w:r>
          </w:p>
        </w:tc>
        <w:tc>
          <w:tcPr>
            <w:tcW w:w="20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712"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z w:val="21"/>
                <w:szCs w:val="21"/>
              </w:rPr>
              <w:t>年</w:t>
            </w:r>
            <w:r>
              <w:rPr>
                <w:rFonts w:ascii="宋体" w:hAnsi="宋体" w:cs="宋体" w:eastAsia="宋体" w:hint="default"/>
                <w:sz w:val="21"/>
                <w:szCs w:val="21"/>
              </w:rPr>
              <w:t> </w:t>
            </w:r>
          </w:p>
        </w:tc>
        <w:tc>
          <w:tcPr>
            <w:tcW w:w="2185" w:type="dxa"/>
            <w:vMerge w:val="restart"/>
            <w:tcBorders>
              <w:top w:val="single" w:sz="4" w:space="0" w:color="000000"/>
              <w:left w:val="single" w:sz="4" w:space="0" w:color="000000"/>
              <w:right w:val="single" w:sz="4" w:space="0" w:color="000000"/>
            </w:tcBorders>
          </w:tcPr>
          <w:p>
            <w:pPr>
              <w:pStyle w:val="TableParagraph"/>
              <w:spacing w:line="272" w:lineRule="exact" w:before="27"/>
              <w:ind w:left="928" w:right="137" w:hanging="788"/>
              <w:jc w:val="left"/>
              <w:rPr>
                <w:rFonts w:ascii="宋体" w:hAnsi="宋体" w:cs="宋体" w:eastAsia="宋体" w:hint="default"/>
                <w:sz w:val="21"/>
                <w:szCs w:val="21"/>
              </w:rPr>
            </w:pPr>
            <w:r>
              <w:rPr>
                <w:rFonts w:ascii="宋体" w:hAnsi="宋体" w:cs="宋体" w:eastAsia="宋体" w:hint="default"/>
                <w:sz w:val="21"/>
                <w:szCs w:val="21"/>
              </w:rPr>
              <w:t>本期比上年同期增减</w:t>
            </w:r>
            <w:r>
              <w:rPr>
                <w:rFonts w:ascii="宋体" w:hAnsi="宋体" w:cs="宋体" w:eastAsia="宋体" w:hint="default"/>
                <w:w w:val="100"/>
                <w:sz w:val="21"/>
                <w:szCs w:val="21"/>
              </w:rPr>
              <w:t> </w:t>
            </w:r>
            <w:r>
              <w:rPr>
                <w:rFonts w:ascii="宋体" w:hAnsi="宋体" w:cs="宋体" w:eastAsia="宋体" w:hint="default"/>
                <w:sz w:val="21"/>
                <w:szCs w:val="21"/>
              </w:rPr>
              <w:t>(%) </w:t>
            </w:r>
          </w:p>
        </w:tc>
        <w:tc>
          <w:tcPr>
            <w:tcW w:w="850" w:type="dxa"/>
            <w:vMerge w:val="restart"/>
            <w:tcBorders>
              <w:top w:val="single" w:sz="4" w:space="0" w:color="000000"/>
              <w:left w:val="single" w:sz="4" w:space="0" w:color="000000"/>
              <w:right w:val="single" w:sz="4" w:space="0" w:color="000000"/>
            </w:tcBorders>
          </w:tcPr>
          <w:p>
            <w:pPr>
              <w:pStyle w:val="TableParagraph"/>
              <w:spacing w:line="240" w:lineRule="auto" w:before="136"/>
              <w:ind w:left="105" w:right="-3"/>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z w:val="21"/>
                <w:szCs w:val="21"/>
              </w:rPr>
              <w:t>年</w:t>
            </w:r>
            <w:r>
              <w:rPr>
                <w:rFonts w:ascii="宋体" w:hAnsi="宋体" w:cs="宋体" w:eastAsia="宋体" w:hint="default"/>
                <w:sz w:val="21"/>
                <w:szCs w:val="21"/>
              </w:rPr>
              <w:t> </w:t>
            </w:r>
          </w:p>
        </w:tc>
      </w:tr>
      <w:tr>
        <w:trPr>
          <w:trHeight w:val="283" w:hRule="exact"/>
        </w:trPr>
        <w:tc>
          <w:tcPr>
            <w:tcW w:w="3143" w:type="dxa"/>
            <w:vMerge/>
            <w:tcBorders>
              <w:left w:val="single" w:sz="4" w:space="0" w:color="000000"/>
              <w:bottom w:val="single" w:sz="4" w:space="0" w:color="000000"/>
              <w:right w:val="single" w:sz="4" w:space="0" w:color="000000"/>
            </w:tcBorders>
          </w:tcPr>
          <w:p>
            <w:pPr/>
          </w:p>
        </w:tc>
        <w:tc>
          <w:tcPr>
            <w:tcW w:w="1133" w:type="dxa"/>
            <w:vMerge/>
            <w:tcBorders>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75" w:right="0"/>
              <w:jc w:val="left"/>
              <w:rPr>
                <w:rFonts w:ascii="宋体" w:hAnsi="宋体" w:cs="宋体" w:eastAsia="宋体" w:hint="default"/>
                <w:sz w:val="21"/>
                <w:szCs w:val="21"/>
              </w:rPr>
            </w:pPr>
            <w:r>
              <w:rPr>
                <w:rFonts w:ascii="宋体" w:hAnsi="宋体" w:cs="宋体" w:eastAsia="宋体" w:hint="default"/>
                <w:sz w:val="21"/>
                <w:szCs w:val="21"/>
              </w:rPr>
              <w:t>调整后</w:t>
            </w:r>
            <w:r>
              <w:rPr>
                <w:rFonts w:ascii="宋体" w:hAnsi="宋体" w:cs="宋体" w:eastAsia="宋体" w:hint="default"/>
                <w:sz w:val="21"/>
                <w:szCs w:val="21"/>
              </w:rPr>
              <w:t> </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16" w:right="0"/>
              <w:jc w:val="left"/>
              <w:rPr>
                <w:rFonts w:ascii="宋体" w:hAnsi="宋体" w:cs="宋体" w:eastAsia="宋体" w:hint="default"/>
                <w:sz w:val="21"/>
                <w:szCs w:val="21"/>
              </w:rPr>
            </w:pPr>
            <w:r>
              <w:rPr>
                <w:rFonts w:ascii="宋体" w:hAnsi="宋体" w:cs="宋体" w:eastAsia="宋体" w:hint="default"/>
                <w:sz w:val="21"/>
                <w:szCs w:val="21"/>
              </w:rPr>
              <w:t>调整前</w:t>
            </w:r>
            <w:r>
              <w:rPr>
                <w:rFonts w:ascii="宋体" w:hAnsi="宋体" w:cs="宋体" w:eastAsia="宋体" w:hint="default"/>
                <w:sz w:val="21"/>
                <w:szCs w:val="21"/>
              </w:rPr>
              <w:t> </w:t>
            </w:r>
          </w:p>
        </w:tc>
        <w:tc>
          <w:tcPr>
            <w:tcW w:w="2185"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r>
      <w:tr>
        <w:trPr>
          <w:trHeight w:val="283" w:hRule="exact"/>
        </w:trPr>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基本每股收益（元／股）</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0.40</w:t>
            </w:r>
            <w:r>
              <w:rPr>
                <w:rFonts w:ascii="宋体"/>
                <w:sz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0.44</w:t>
            </w:r>
            <w:r>
              <w:rPr>
                <w:rFonts w:ascii="宋体"/>
                <w:sz w:val="21"/>
              </w:rPr>
              <w:t> </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0.43</w:t>
            </w:r>
            <w:r>
              <w:rPr>
                <w:rFonts w:ascii="宋体"/>
                <w:sz w:val="21"/>
              </w:rPr>
              <w:t> </w:t>
            </w:r>
          </w:p>
        </w:tc>
        <w:tc>
          <w:tcPr>
            <w:tcW w:w="21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-9.09</w:t>
            </w:r>
            <w:r>
              <w:rPr>
                <w:rFonts w:ascii="宋体"/>
                <w:sz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0.39</w:t>
            </w:r>
            <w:r>
              <w:rPr>
                <w:rFonts w:ascii="宋体"/>
                <w:sz w:val="21"/>
              </w:rPr>
              <w:t> </w:t>
            </w:r>
          </w:p>
        </w:tc>
      </w:tr>
      <w:tr>
        <w:trPr>
          <w:trHeight w:val="281" w:hRule="exact"/>
        </w:trPr>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稀释每股收益（元／股）</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0.39</w:t>
            </w:r>
            <w:r>
              <w:rPr>
                <w:rFonts w:ascii="宋体"/>
                <w:sz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0.42</w:t>
            </w:r>
            <w:r>
              <w:rPr>
                <w:rFonts w:ascii="宋体"/>
                <w:sz w:val="21"/>
              </w:rPr>
              <w:t> </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0.42</w:t>
            </w:r>
            <w:r>
              <w:rPr>
                <w:rFonts w:ascii="宋体"/>
                <w:sz w:val="21"/>
              </w:rPr>
              <w:t> </w:t>
            </w:r>
          </w:p>
        </w:tc>
        <w:tc>
          <w:tcPr>
            <w:tcW w:w="21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-7.14</w:t>
            </w:r>
            <w:r>
              <w:rPr>
                <w:rFonts w:ascii="宋体"/>
                <w:sz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0.38</w:t>
            </w:r>
            <w:r>
              <w:rPr>
                <w:rFonts w:ascii="宋体"/>
                <w:sz w:val="21"/>
              </w:rPr>
              <w:t> </w:t>
            </w:r>
          </w:p>
        </w:tc>
      </w:tr>
      <w:tr>
        <w:trPr>
          <w:trHeight w:val="554" w:hRule="exact"/>
        </w:trPr>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扣除非经常性损益后的基本每</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股收益（元／股）</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0.39</w:t>
            </w:r>
            <w:r>
              <w:rPr>
                <w:rFonts w:ascii="宋体"/>
                <w:sz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0.42</w:t>
            </w:r>
            <w:r>
              <w:rPr>
                <w:rFonts w:ascii="宋体"/>
                <w:sz w:val="21"/>
              </w:rPr>
              <w:t> </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0.42</w:t>
            </w:r>
            <w:r>
              <w:rPr>
                <w:rFonts w:ascii="宋体"/>
                <w:sz w:val="21"/>
              </w:rPr>
              <w:t> </w:t>
            </w:r>
          </w:p>
        </w:tc>
        <w:tc>
          <w:tcPr>
            <w:tcW w:w="2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-7.14</w:t>
            </w:r>
            <w:r>
              <w:rPr>
                <w:rFonts w:ascii="宋体"/>
                <w:sz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spacing w:val="-1"/>
                <w:sz w:val="21"/>
              </w:rPr>
              <w:t>0.39</w:t>
            </w:r>
            <w:r>
              <w:rPr>
                <w:rFonts w:ascii="宋体"/>
                <w:sz w:val="21"/>
              </w:rPr>
              <w:t> </w:t>
            </w:r>
          </w:p>
        </w:tc>
      </w:tr>
      <w:tr>
        <w:trPr>
          <w:trHeight w:val="283" w:hRule="exact"/>
        </w:trPr>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加权平均净资产收益率（</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6.69</w:t>
            </w:r>
            <w:r>
              <w:rPr>
                <w:rFonts w:ascii="宋体"/>
                <w:sz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7.77</w:t>
            </w:r>
            <w:r>
              <w:rPr>
                <w:rFonts w:ascii="宋体"/>
                <w:sz w:val="21"/>
              </w:rPr>
              <w:t> </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7.86</w:t>
            </w:r>
            <w:r>
              <w:rPr>
                <w:rFonts w:ascii="宋体"/>
                <w:sz w:val="21"/>
              </w:rPr>
              <w:t> </w:t>
            </w:r>
          </w:p>
        </w:tc>
        <w:tc>
          <w:tcPr>
            <w:tcW w:w="21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hAnsi="宋体" w:cs="宋体" w:eastAsia="宋体" w:hint="default"/>
                <w:spacing w:val="-2"/>
                <w:sz w:val="21"/>
                <w:szCs w:val="21"/>
              </w:rPr>
              <w:t>减少</w:t>
            </w:r>
            <w:r>
              <w:rPr>
                <w:rFonts w:ascii="宋体" w:hAnsi="宋体" w:cs="宋体" w:eastAsia="宋体" w:hint="default"/>
                <w:spacing w:val="-2"/>
                <w:sz w:val="21"/>
                <w:szCs w:val="21"/>
              </w:rPr>
              <w:t>1.08</w:t>
            </w:r>
            <w:r>
              <w:rPr>
                <w:rFonts w:ascii="宋体" w:hAnsi="宋体" w:cs="宋体" w:eastAsia="宋体" w:hint="default"/>
                <w:spacing w:val="-2"/>
                <w:sz w:val="21"/>
                <w:szCs w:val="21"/>
              </w:rPr>
              <w:t>个百分点</w:t>
            </w:r>
            <w:r>
              <w:rPr>
                <w:rFonts w:ascii="宋体" w:hAnsi="宋体" w:cs="宋体" w:eastAsia="宋体" w:hint="default"/>
                <w:sz w:val="21"/>
                <w:szCs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7.78</w:t>
            </w:r>
            <w:r>
              <w:rPr>
                <w:rFonts w:ascii="宋体"/>
                <w:sz w:val="21"/>
              </w:rPr>
              <w:t> </w:t>
            </w:r>
          </w:p>
        </w:tc>
      </w:tr>
      <w:tr>
        <w:trPr>
          <w:trHeight w:val="554" w:hRule="exact"/>
        </w:trPr>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扣除非经常性损益后的加权平</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均净资产收益率（</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6.49</w:t>
            </w:r>
            <w:r>
              <w:rPr>
                <w:rFonts w:ascii="宋体"/>
                <w:sz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7.43</w:t>
            </w:r>
            <w:r>
              <w:rPr>
                <w:rFonts w:ascii="宋体"/>
                <w:sz w:val="21"/>
              </w:rPr>
              <w:t> </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7.70</w:t>
            </w:r>
            <w:r>
              <w:rPr>
                <w:rFonts w:ascii="宋体"/>
                <w:sz w:val="21"/>
              </w:rPr>
              <w:t> </w:t>
            </w:r>
          </w:p>
        </w:tc>
        <w:tc>
          <w:tcPr>
            <w:tcW w:w="2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hAnsi="宋体" w:cs="宋体" w:eastAsia="宋体" w:hint="default"/>
                <w:spacing w:val="-2"/>
                <w:sz w:val="21"/>
                <w:szCs w:val="21"/>
              </w:rPr>
              <w:t>减少</w:t>
            </w:r>
            <w:r>
              <w:rPr>
                <w:rFonts w:ascii="宋体" w:hAnsi="宋体" w:cs="宋体" w:eastAsia="宋体" w:hint="default"/>
                <w:spacing w:val="-2"/>
                <w:sz w:val="21"/>
                <w:szCs w:val="21"/>
              </w:rPr>
              <w:t>0.94</w:t>
            </w:r>
            <w:r>
              <w:rPr>
                <w:rFonts w:ascii="宋体" w:hAnsi="宋体" w:cs="宋体" w:eastAsia="宋体" w:hint="default"/>
                <w:spacing w:val="-2"/>
                <w:sz w:val="21"/>
                <w:szCs w:val="21"/>
              </w:rPr>
              <w:t>个百分点</w:t>
            </w:r>
            <w:r>
              <w:rPr>
                <w:rFonts w:ascii="宋体" w:hAnsi="宋体" w:cs="宋体" w:eastAsia="宋体" w:hint="default"/>
                <w:sz w:val="21"/>
                <w:szCs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spacing w:val="-1"/>
                <w:sz w:val="21"/>
              </w:rPr>
              <w:t>7.70</w:t>
            </w:r>
            <w:r>
              <w:rPr>
                <w:rFonts w:ascii="宋体"/>
                <w:sz w:val="21"/>
              </w:rPr>
              <w:t> </w:t>
            </w:r>
          </w:p>
        </w:tc>
      </w:tr>
    </w:tbl>
    <w:p>
      <w:pPr>
        <w:pStyle w:val="Heading2"/>
        <w:spacing w:line="274" w:lineRule="exact"/>
        <w:ind w:left="818" w:right="0"/>
        <w:jc w:val="left"/>
        <w:rPr>
          <w:rFonts w:ascii="宋体" w:hAnsi="宋体" w:cs="宋体" w:eastAsia="宋体" w:hint="default"/>
        </w:rPr>
      </w:pPr>
      <w:r>
        <w:rPr>
          <w:rFonts w:ascii="宋体"/>
        </w:rPr>
        <w:t> </w:t>
      </w:r>
    </w:p>
    <w:p>
      <w:pPr>
        <w:pStyle w:val="BodyText"/>
        <w:spacing w:line="240" w:lineRule="auto" w:before="26"/>
        <w:ind w:left="818" w:right="0"/>
        <w:jc w:val="left"/>
        <w:rPr>
          <w:rFonts w:ascii="宋体" w:hAnsi="宋体" w:cs="宋体" w:eastAsia="宋体" w:hint="default"/>
        </w:rPr>
      </w:pPr>
      <w:r>
        <w:rPr/>
        <w:t>报告期末公司前三年主要会计数据和财务指标的说明</w:t>
      </w:r>
      <w:r>
        <w:rPr>
          <w:rFonts w:ascii="宋体" w:hAnsi="宋体" w:cs="宋体" w:eastAsia="宋体" w:hint="default"/>
        </w:rPr>
        <w:t> </w:t>
      </w:r>
    </w:p>
    <w:p>
      <w:pPr>
        <w:pStyle w:val="BodyText"/>
        <w:spacing w:line="240" w:lineRule="auto" w:before="37"/>
        <w:ind w:left="818"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rPr>
        <w:t> </w:t>
      </w:r>
      <w:r>
        <w:rPr>
          <w:rFonts w:ascii="宋体" w:hAnsi="宋体" w:cs="宋体" w:eastAsia="宋体" w:hint="default"/>
        </w:rPr>
        <w:t> </w:t>
      </w:r>
    </w:p>
    <w:p>
      <w:pPr>
        <w:pStyle w:val="Heading2"/>
        <w:spacing w:line="240" w:lineRule="auto" w:before="9"/>
        <w:ind w:left="818" w:right="0"/>
        <w:jc w:val="left"/>
        <w:rPr>
          <w:rFonts w:ascii="宋体" w:hAnsi="宋体" w:cs="宋体" w:eastAsia="宋体" w:hint="default"/>
        </w:rPr>
      </w:pPr>
      <w:r>
        <w:rPr>
          <w:rFonts w:ascii="宋体"/>
        </w:rPr>
        <w:t> </w:t>
      </w:r>
    </w:p>
    <w:p>
      <w:pPr>
        <w:pStyle w:val="Heading3"/>
        <w:spacing w:line="240" w:lineRule="auto" w:before="85"/>
        <w:ind w:left="818" w:right="0"/>
        <w:jc w:val="left"/>
        <w:rPr>
          <w:b w:val="0"/>
          <w:bCs w:val="0"/>
        </w:rPr>
      </w:pPr>
      <w:r>
        <w:rPr/>
        <w:t>八、</w:t>
      </w:r>
      <w:r>
        <w:rPr>
          <w:spacing w:val="-33"/>
        </w:rPr>
        <w:t> </w:t>
      </w:r>
      <w:r>
        <w:rPr>
          <w:rFonts w:ascii="宋体" w:hAnsi="宋体" w:cs="宋体" w:eastAsia="宋体" w:hint="default"/>
          <w:spacing w:val="-33"/>
        </w:rPr>
      </w:r>
      <w:r>
        <w:rPr/>
        <w:t>境内外会计准则下会计数据差异</w:t>
      </w:r>
      <w:r>
        <w:rPr>
          <w:b w:val="0"/>
          <w:bCs w:val="0"/>
        </w:rPr>
      </w:r>
    </w:p>
    <w:p>
      <w:pPr>
        <w:pStyle w:val="Heading3"/>
        <w:spacing w:line="247" w:lineRule="auto"/>
        <w:ind w:left="1238" w:right="800" w:hanging="420"/>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5"/>
        </w:rPr>
        <w:t> </w:t>
      </w:r>
      <w:r>
        <w:rPr/>
        <w:t>同时按照国际会计准则与按中国会计准则披露的财务报告中净利润和归属于上市公司股东的净</w:t>
      </w:r>
      <w:r>
        <w:rPr>
          <w:w w:val="100"/>
        </w:rPr>
        <w:t> </w:t>
      </w:r>
      <w:r>
        <w:rPr/>
        <w:t>资产差异情况</w:t>
      </w:r>
      <w:r>
        <w:rPr>
          <w:b w:val="0"/>
          <w:bCs w:val="0"/>
        </w:rPr>
      </w:r>
    </w:p>
    <w:p>
      <w:pPr>
        <w:pStyle w:val="Heading2"/>
        <w:spacing w:line="240" w:lineRule="auto" w:before="63"/>
        <w:ind w:left="818"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580" w:bottom="280" w:left="600" w:right="600"/>
        </w:sectPr>
      </w:pPr>
    </w:p>
    <w:p>
      <w:pPr>
        <w:spacing w:line="240" w:lineRule="auto" w:before="2"/>
        <w:rPr>
          <w:rFonts w:ascii="宋体" w:hAnsi="宋体" w:cs="宋体" w:eastAsia="宋体" w:hint="default"/>
          <w:sz w:val="19"/>
          <w:szCs w:val="19"/>
        </w:rPr>
      </w:pPr>
    </w:p>
    <w:p>
      <w:pPr>
        <w:pStyle w:val="Heading3"/>
        <w:spacing w:line="249" w:lineRule="auto" w:before="36"/>
        <w:ind w:left="1098" w:right="680" w:hanging="420"/>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5"/>
        </w:rPr>
        <w:t> </w:t>
      </w:r>
      <w:r>
        <w:rPr/>
        <w:t>同时按照境外会计准则与按中国会计准则披露的财务报告中净利润和归属于上市公司股东的净</w:t>
      </w:r>
      <w:r>
        <w:rPr>
          <w:w w:val="100"/>
        </w:rPr>
        <w:t> </w:t>
      </w:r>
      <w:r>
        <w:rPr/>
        <w:t>资产差异情况</w:t>
      </w:r>
      <w:r>
        <w:rPr>
          <w:b w:val="0"/>
          <w:bCs w:val="0"/>
        </w:rPr>
      </w:r>
    </w:p>
    <w:p>
      <w:pPr>
        <w:pStyle w:val="Heading2"/>
        <w:spacing w:line="240" w:lineRule="auto" w:before="61"/>
        <w:ind w:left="678" w:right="68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3"/>
        <w:spacing w:line="240" w:lineRule="auto" w:before="85"/>
        <w:ind w:left="678" w:right="680"/>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28"/>
        </w:rPr>
        <w:t> </w:t>
      </w:r>
      <w:r>
        <w:rPr/>
        <w:t>境内外会计准则差异的说明：</w:t>
      </w:r>
      <w:r>
        <w:rPr>
          <w:b w:val="0"/>
          <w:bCs w:val="0"/>
        </w:rPr>
      </w:r>
    </w:p>
    <w:p>
      <w:pPr>
        <w:pStyle w:val="Heading2"/>
        <w:spacing w:line="313" w:lineRule="exact" w:before="42"/>
        <w:ind w:left="678" w:right="68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2"/>
        <w:spacing w:line="313" w:lineRule="exact"/>
        <w:ind w:left="678" w:right="0"/>
        <w:jc w:val="left"/>
        <w:rPr>
          <w:rFonts w:ascii="宋体" w:hAnsi="宋体" w:cs="宋体" w:eastAsia="宋体" w:hint="default"/>
        </w:rPr>
      </w:pPr>
      <w:r>
        <w:rPr>
          <w:rFonts w:ascii="宋体"/>
        </w:rPr>
        <w:t> </w:t>
      </w:r>
    </w:p>
    <w:p>
      <w:pPr>
        <w:pStyle w:val="Heading3"/>
        <w:spacing w:line="240" w:lineRule="auto" w:before="85"/>
        <w:ind w:left="678" w:right="680"/>
        <w:jc w:val="left"/>
        <w:rPr>
          <w:b w:val="0"/>
          <w:bCs w:val="0"/>
        </w:rPr>
      </w:pPr>
      <w:r>
        <w:rPr/>
        <w:t>九、 </w:t>
      </w:r>
      <w:r>
        <w:rPr>
          <w:rFonts w:ascii="宋体" w:hAnsi="宋体" w:cs="宋体" w:eastAsia="宋体" w:hint="default"/>
        </w:rPr>
      </w:r>
      <w:r>
        <w:rPr>
          <w:rFonts w:ascii="Arial" w:hAnsi="Arial" w:cs="Arial" w:eastAsia="Arial" w:hint="default"/>
        </w:rPr>
        <w:t>2019</w:t>
      </w:r>
      <w:r>
        <w:rPr>
          <w:rFonts w:ascii="Arial" w:hAnsi="Arial" w:cs="Arial" w:eastAsia="Arial" w:hint="default"/>
          <w:spacing w:val="-40"/>
        </w:rPr>
        <w:t> </w:t>
      </w:r>
      <w:r>
        <w:rPr/>
        <w:t>年分季度主要财务数据</w:t>
      </w:r>
      <w:r>
        <w:rPr>
          <w:b w:val="0"/>
          <w:bCs w:val="0"/>
        </w:rPr>
      </w:r>
    </w:p>
    <w:p>
      <w:pPr>
        <w:pStyle w:val="BodyText"/>
        <w:spacing w:line="240" w:lineRule="auto" w:before="82"/>
        <w:ind w:left="0" w:right="588"/>
        <w:jc w:val="right"/>
        <w:rPr>
          <w:rFonts w:ascii="宋体" w:hAnsi="宋体" w:cs="宋体" w:eastAsia="宋体" w:hint="default"/>
        </w:rPr>
      </w:pPr>
      <w:r>
        <w:rPr>
          <w:spacing w:val="-2"/>
        </w:rPr>
        <w:t>单位：元币种：人民币</w:t>
      </w:r>
      <w:r>
        <w:rPr>
          <w:rFonts w:ascii="宋体" w:hAnsi="宋体" w:cs="宋体" w:eastAsia="宋体" w:hint="default"/>
        </w:rPr>
        <w:t> </w:t>
      </w:r>
    </w:p>
    <w:p>
      <w:pPr>
        <w:spacing w:line="240" w:lineRule="auto" w:before="10"/>
        <w:rPr>
          <w:rFonts w:ascii="宋体" w:hAnsi="宋体" w:cs="宋体" w:eastAsia="宋体" w:hint="default"/>
          <w:sz w:val="3"/>
          <w:szCs w:val="3"/>
        </w:rPr>
      </w:pPr>
    </w:p>
    <w:tbl>
      <w:tblPr>
        <w:tblW w:w="0" w:type="auto"/>
        <w:jc w:val="left"/>
        <w:tblInd w:w="104" w:type="dxa"/>
        <w:tblLayout w:type="fixed"/>
        <w:tblCellMar>
          <w:top w:w="0" w:type="dxa"/>
          <w:left w:w="0" w:type="dxa"/>
          <w:bottom w:w="0" w:type="dxa"/>
          <w:right w:w="0" w:type="dxa"/>
        </w:tblCellMar>
        <w:tblLook w:val="01E0"/>
      </w:tblPr>
      <w:tblGrid>
        <w:gridCol w:w="2268"/>
        <w:gridCol w:w="1985"/>
        <w:gridCol w:w="1985"/>
        <w:gridCol w:w="1985"/>
        <w:gridCol w:w="1985"/>
      </w:tblGrid>
      <w:tr>
        <w:trPr>
          <w:trHeight w:val="634"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center"/>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center"/>
              <w:rPr>
                <w:rFonts w:ascii="宋体" w:hAnsi="宋体" w:cs="宋体" w:eastAsia="宋体" w:hint="default"/>
                <w:sz w:val="21"/>
                <w:szCs w:val="21"/>
              </w:rPr>
            </w:pPr>
            <w:r>
              <w:rPr>
                <w:rFonts w:ascii="宋体" w:hAnsi="宋体" w:cs="宋体" w:eastAsia="宋体" w:hint="default"/>
                <w:sz w:val="21"/>
                <w:szCs w:val="21"/>
              </w:rPr>
              <w:t>第一季度</w:t>
            </w:r>
            <w:r>
              <w:rPr>
                <w:rFonts w:ascii="宋体" w:hAnsi="宋体" w:cs="宋体" w:eastAsia="宋体" w:hint="default"/>
                <w:sz w:val="21"/>
                <w:szCs w:val="21"/>
              </w:rPr>
              <w:t> </w:t>
            </w:r>
          </w:p>
          <w:p>
            <w:pPr>
              <w:pStyle w:val="TableParagraph"/>
              <w:spacing w:line="240" w:lineRule="auto" w:before="37"/>
              <w:ind w:left="105"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1-3</w:t>
            </w:r>
            <w:r>
              <w:rPr>
                <w:rFonts w:ascii="宋体" w:hAnsi="宋体" w:cs="宋体" w:eastAsia="宋体" w:hint="default"/>
                <w:spacing w:val="-55"/>
                <w:sz w:val="21"/>
                <w:szCs w:val="21"/>
              </w:rPr>
              <w:t> </w:t>
            </w:r>
            <w:r>
              <w:rPr>
                <w:rFonts w:ascii="宋体" w:hAnsi="宋体" w:cs="宋体" w:eastAsia="宋体" w:hint="default"/>
                <w:sz w:val="21"/>
                <w:szCs w:val="21"/>
              </w:rPr>
              <w:t>月份）</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center"/>
              <w:rPr>
                <w:rFonts w:ascii="宋体" w:hAnsi="宋体" w:cs="宋体" w:eastAsia="宋体" w:hint="default"/>
                <w:sz w:val="21"/>
                <w:szCs w:val="21"/>
              </w:rPr>
            </w:pPr>
            <w:r>
              <w:rPr>
                <w:rFonts w:ascii="宋体" w:hAnsi="宋体" w:cs="宋体" w:eastAsia="宋体" w:hint="default"/>
                <w:sz w:val="21"/>
                <w:szCs w:val="21"/>
              </w:rPr>
              <w:t>第二季度</w:t>
            </w:r>
            <w:r>
              <w:rPr>
                <w:rFonts w:ascii="宋体" w:hAnsi="宋体" w:cs="宋体" w:eastAsia="宋体" w:hint="default"/>
                <w:sz w:val="21"/>
                <w:szCs w:val="21"/>
              </w:rPr>
              <w:t> </w:t>
            </w:r>
          </w:p>
          <w:p>
            <w:pPr>
              <w:pStyle w:val="TableParagraph"/>
              <w:spacing w:line="240" w:lineRule="auto" w:before="37"/>
              <w:ind w:left="105"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4-6</w:t>
            </w:r>
            <w:r>
              <w:rPr>
                <w:rFonts w:ascii="宋体" w:hAnsi="宋体" w:cs="宋体" w:eastAsia="宋体" w:hint="default"/>
                <w:spacing w:val="-55"/>
                <w:sz w:val="21"/>
                <w:szCs w:val="21"/>
              </w:rPr>
              <w:t> </w:t>
            </w:r>
            <w:r>
              <w:rPr>
                <w:rFonts w:ascii="宋体" w:hAnsi="宋体" w:cs="宋体" w:eastAsia="宋体" w:hint="default"/>
                <w:sz w:val="21"/>
                <w:szCs w:val="21"/>
              </w:rPr>
              <w:t>月份）</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2" w:right="0"/>
              <w:jc w:val="center"/>
              <w:rPr>
                <w:rFonts w:ascii="宋体" w:hAnsi="宋体" w:cs="宋体" w:eastAsia="宋体" w:hint="default"/>
                <w:sz w:val="21"/>
                <w:szCs w:val="21"/>
              </w:rPr>
            </w:pPr>
            <w:r>
              <w:rPr>
                <w:rFonts w:ascii="宋体" w:hAnsi="宋体" w:cs="宋体" w:eastAsia="宋体" w:hint="default"/>
                <w:sz w:val="21"/>
                <w:szCs w:val="21"/>
              </w:rPr>
              <w:t>第三季度</w:t>
            </w:r>
            <w:r>
              <w:rPr>
                <w:rFonts w:ascii="宋体" w:hAnsi="宋体" w:cs="宋体" w:eastAsia="宋体" w:hint="default"/>
                <w:sz w:val="21"/>
                <w:szCs w:val="21"/>
              </w:rPr>
              <w:t> </w:t>
            </w:r>
          </w:p>
          <w:p>
            <w:pPr>
              <w:pStyle w:val="TableParagraph"/>
              <w:spacing w:line="240" w:lineRule="auto" w:before="37"/>
              <w:ind w:left="105"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7-9</w:t>
            </w:r>
            <w:r>
              <w:rPr>
                <w:rFonts w:ascii="宋体" w:hAnsi="宋体" w:cs="宋体" w:eastAsia="宋体" w:hint="default"/>
                <w:spacing w:val="-55"/>
                <w:sz w:val="21"/>
                <w:szCs w:val="21"/>
              </w:rPr>
              <w:t> </w:t>
            </w:r>
            <w:r>
              <w:rPr>
                <w:rFonts w:ascii="宋体" w:hAnsi="宋体" w:cs="宋体" w:eastAsia="宋体" w:hint="default"/>
                <w:sz w:val="21"/>
                <w:szCs w:val="21"/>
              </w:rPr>
              <w:t>月份）</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center"/>
              <w:rPr>
                <w:rFonts w:ascii="宋体" w:hAnsi="宋体" w:cs="宋体" w:eastAsia="宋体" w:hint="default"/>
                <w:sz w:val="21"/>
                <w:szCs w:val="21"/>
              </w:rPr>
            </w:pPr>
            <w:r>
              <w:rPr>
                <w:rFonts w:ascii="宋体" w:hAnsi="宋体" w:cs="宋体" w:eastAsia="宋体" w:hint="default"/>
                <w:sz w:val="21"/>
                <w:szCs w:val="21"/>
              </w:rPr>
              <w:t>第四季度</w:t>
            </w:r>
            <w:r>
              <w:rPr>
                <w:rFonts w:ascii="宋体" w:hAnsi="宋体" w:cs="宋体" w:eastAsia="宋体" w:hint="default"/>
                <w:sz w:val="21"/>
                <w:szCs w:val="21"/>
              </w:rPr>
              <w:t> </w:t>
            </w:r>
          </w:p>
          <w:p>
            <w:pPr>
              <w:pStyle w:val="TableParagraph"/>
              <w:spacing w:line="240" w:lineRule="auto" w:before="37"/>
              <w:ind w:left="105"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10-12</w:t>
            </w:r>
            <w:r>
              <w:rPr>
                <w:rFonts w:ascii="宋体" w:hAnsi="宋体" w:cs="宋体" w:eastAsia="宋体" w:hint="default"/>
                <w:spacing w:val="-55"/>
                <w:sz w:val="21"/>
                <w:szCs w:val="21"/>
              </w:rPr>
              <w:t> </w:t>
            </w:r>
            <w:r>
              <w:rPr>
                <w:rFonts w:ascii="宋体" w:hAnsi="宋体" w:cs="宋体" w:eastAsia="宋体" w:hint="default"/>
                <w:sz w:val="21"/>
                <w:szCs w:val="21"/>
              </w:rPr>
              <w:t>月份）</w:t>
            </w:r>
            <w:r>
              <w:rPr>
                <w:rFonts w:ascii="宋体" w:hAnsi="宋体" w:cs="宋体" w:eastAsia="宋体" w:hint="default"/>
                <w:sz w:val="21"/>
                <w:szCs w:val="21"/>
              </w:rPr>
              <w:t> </w:t>
            </w:r>
          </w:p>
        </w:tc>
      </w:tr>
      <w:tr>
        <w:trPr>
          <w:trHeight w:val="322"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营业收入</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694,498,793.21</w:t>
            </w:r>
            <w:r>
              <w:rPr>
                <w:rFonts w:ascii="宋体"/>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972,787,232.19</w:t>
            </w:r>
            <w:r>
              <w:rPr>
                <w:rFonts w:ascii="宋体"/>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
              <w:jc w:val="right"/>
              <w:rPr>
                <w:rFonts w:ascii="宋体" w:hAnsi="宋体" w:cs="宋体" w:eastAsia="宋体" w:hint="default"/>
                <w:sz w:val="21"/>
                <w:szCs w:val="21"/>
              </w:rPr>
            </w:pPr>
            <w:r>
              <w:rPr>
                <w:rFonts w:ascii="宋体"/>
                <w:spacing w:val="-1"/>
                <w:sz w:val="21"/>
              </w:rPr>
              <w:t>877,988,152.11</w:t>
            </w:r>
            <w:r>
              <w:rPr>
                <w:rFonts w:ascii="宋体"/>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813,969,611.79</w:t>
            </w:r>
            <w:r>
              <w:rPr>
                <w:rFonts w:ascii="宋体"/>
                <w:sz w:val="21"/>
              </w:rPr>
              <w:t> </w:t>
            </w:r>
          </w:p>
        </w:tc>
      </w:tr>
      <w:tr>
        <w:trPr>
          <w:trHeight w:val="634"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59"/>
              <w:jc w:val="left"/>
              <w:rPr>
                <w:rFonts w:ascii="宋体" w:hAnsi="宋体" w:cs="宋体" w:eastAsia="宋体" w:hint="default"/>
                <w:sz w:val="21"/>
                <w:szCs w:val="21"/>
              </w:rPr>
            </w:pPr>
            <w:r>
              <w:rPr>
                <w:rFonts w:ascii="宋体" w:hAnsi="宋体" w:cs="宋体" w:eastAsia="宋体" w:hint="default"/>
                <w:sz w:val="21"/>
                <w:szCs w:val="21"/>
              </w:rPr>
              <w:t>归属于上市公司股东</w:t>
            </w:r>
            <w:r>
              <w:rPr>
                <w:rFonts w:ascii="宋体" w:hAnsi="宋体" w:cs="宋体" w:eastAsia="宋体" w:hint="default"/>
                <w:w w:val="100"/>
                <w:sz w:val="21"/>
                <w:szCs w:val="21"/>
              </w:rPr>
              <w:t> </w:t>
            </w:r>
            <w:r>
              <w:rPr>
                <w:rFonts w:ascii="宋体" w:hAnsi="宋体" w:cs="宋体" w:eastAsia="宋体" w:hint="default"/>
                <w:sz w:val="21"/>
                <w:szCs w:val="21"/>
              </w:rPr>
              <w:t>的净利润</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3"/>
              <w:jc w:val="right"/>
              <w:rPr>
                <w:rFonts w:ascii="宋体" w:hAnsi="宋体" w:cs="宋体" w:eastAsia="宋体" w:hint="default"/>
                <w:sz w:val="21"/>
                <w:szCs w:val="21"/>
              </w:rPr>
            </w:pPr>
            <w:r>
              <w:rPr>
                <w:rFonts w:ascii="宋体"/>
                <w:spacing w:val="-1"/>
                <w:sz w:val="21"/>
              </w:rPr>
              <w:t>161,992,873.82</w:t>
            </w:r>
            <w:r>
              <w:rPr>
                <w:rFonts w:ascii="宋体"/>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3"/>
              <w:jc w:val="right"/>
              <w:rPr>
                <w:rFonts w:ascii="宋体" w:hAnsi="宋体" w:cs="宋体" w:eastAsia="宋体" w:hint="default"/>
                <w:sz w:val="21"/>
                <w:szCs w:val="21"/>
              </w:rPr>
            </w:pPr>
            <w:r>
              <w:rPr>
                <w:rFonts w:ascii="宋体"/>
                <w:spacing w:val="-1"/>
                <w:sz w:val="21"/>
              </w:rPr>
              <w:t>265,194,398.51</w:t>
            </w:r>
            <w:r>
              <w:rPr>
                <w:rFonts w:ascii="宋体"/>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
              <w:jc w:val="right"/>
              <w:rPr>
                <w:rFonts w:ascii="宋体" w:hAnsi="宋体" w:cs="宋体" w:eastAsia="宋体" w:hint="default"/>
                <w:sz w:val="21"/>
                <w:szCs w:val="21"/>
              </w:rPr>
            </w:pPr>
            <w:r>
              <w:rPr>
                <w:rFonts w:ascii="宋体"/>
                <w:spacing w:val="-1"/>
                <w:sz w:val="21"/>
              </w:rPr>
              <w:t>273,480,962.06</w:t>
            </w:r>
            <w:r>
              <w:rPr>
                <w:rFonts w:ascii="宋体"/>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3"/>
              <w:jc w:val="right"/>
              <w:rPr>
                <w:rFonts w:ascii="宋体" w:hAnsi="宋体" w:cs="宋体" w:eastAsia="宋体" w:hint="default"/>
                <w:sz w:val="21"/>
                <w:szCs w:val="21"/>
              </w:rPr>
            </w:pPr>
            <w:r>
              <w:rPr>
                <w:rFonts w:ascii="宋体"/>
                <w:spacing w:val="-1"/>
                <w:sz w:val="21"/>
              </w:rPr>
              <w:t>-263,131.34</w:t>
            </w:r>
            <w:r>
              <w:rPr>
                <w:rFonts w:ascii="宋体"/>
                <w:sz w:val="21"/>
              </w:rPr>
              <w:t> </w:t>
            </w:r>
          </w:p>
        </w:tc>
      </w:tr>
      <w:tr>
        <w:trPr>
          <w:trHeight w:val="948"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59"/>
              <w:jc w:val="both"/>
              <w:rPr>
                <w:rFonts w:ascii="宋体" w:hAnsi="宋体" w:cs="宋体" w:eastAsia="宋体" w:hint="default"/>
                <w:sz w:val="21"/>
                <w:szCs w:val="21"/>
              </w:rPr>
            </w:pPr>
            <w:r>
              <w:rPr>
                <w:rFonts w:ascii="宋体" w:hAnsi="宋体" w:cs="宋体" w:eastAsia="宋体" w:hint="default"/>
                <w:sz w:val="21"/>
                <w:szCs w:val="21"/>
              </w:rPr>
              <w:t>归属于上市公司股东</w:t>
            </w:r>
            <w:r>
              <w:rPr>
                <w:rFonts w:ascii="宋体" w:hAnsi="宋体" w:cs="宋体" w:eastAsia="宋体" w:hint="default"/>
                <w:w w:val="100"/>
                <w:sz w:val="21"/>
                <w:szCs w:val="21"/>
              </w:rPr>
              <w:t> </w:t>
            </w:r>
            <w:r>
              <w:rPr>
                <w:rFonts w:ascii="宋体" w:hAnsi="宋体" w:cs="宋体" w:eastAsia="宋体" w:hint="default"/>
                <w:sz w:val="21"/>
                <w:szCs w:val="21"/>
              </w:rPr>
              <w:t>的扣除非经常性损益</w:t>
            </w:r>
            <w:r>
              <w:rPr>
                <w:rFonts w:ascii="宋体" w:hAnsi="宋体" w:cs="宋体" w:eastAsia="宋体" w:hint="default"/>
                <w:w w:val="100"/>
                <w:sz w:val="21"/>
                <w:szCs w:val="21"/>
              </w:rPr>
              <w:t> </w:t>
            </w:r>
            <w:r>
              <w:rPr>
                <w:rFonts w:ascii="宋体" w:hAnsi="宋体" w:cs="宋体" w:eastAsia="宋体" w:hint="default"/>
                <w:sz w:val="21"/>
                <w:szCs w:val="21"/>
              </w:rPr>
              <w:t>后的净利润</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153,015,915.71</w:t>
            </w:r>
            <w:r>
              <w:rPr>
                <w:rFonts w:ascii="宋体"/>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254,191,682.47</w:t>
            </w:r>
            <w:r>
              <w:rPr>
                <w:rFonts w:ascii="宋体"/>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2"/>
              <w:jc w:val="right"/>
              <w:rPr>
                <w:rFonts w:ascii="宋体" w:hAnsi="宋体" w:cs="宋体" w:eastAsia="宋体" w:hint="default"/>
                <w:sz w:val="21"/>
                <w:szCs w:val="21"/>
              </w:rPr>
            </w:pPr>
            <w:r>
              <w:rPr>
                <w:rFonts w:ascii="宋体"/>
                <w:spacing w:val="-1"/>
                <w:sz w:val="21"/>
              </w:rPr>
              <w:t>271,324,632.38</w:t>
            </w:r>
            <w:r>
              <w:rPr>
                <w:rFonts w:ascii="宋体"/>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222,313.96</w:t>
            </w:r>
            <w:r>
              <w:rPr>
                <w:rFonts w:ascii="宋体"/>
                <w:sz w:val="21"/>
              </w:rPr>
              <w:t> </w:t>
            </w:r>
          </w:p>
        </w:tc>
      </w:tr>
      <w:tr>
        <w:trPr>
          <w:trHeight w:val="634"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59"/>
              <w:jc w:val="left"/>
              <w:rPr>
                <w:rFonts w:ascii="宋体" w:hAnsi="宋体" w:cs="宋体" w:eastAsia="宋体" w:hint="default"/>
                <w:sz w:val="21"/>
                <w:szCs w:val="21"/>
              </w:rPr>
            </w:pPr>
            <w:r>
              <w:rPr>
                <w:rFonts w:ascii="宋体" w:hAnsi="宋体" w:cs="宋体" w:eastAsia="宋体" w:hint="default"/>
                <w:sz w:val="21"/>
                <w:szCs w:val="21"/>
              </w:rPr>
              <w:t>经营活动产生的现金</w:t>
            </w:r>
            <w:r>
              <w:rPr>
                <w:rFonts w:ascii="宋体" w:hAnsi="宋体" w:cs="宋体" w:eastAsia="宋体" w:hint="default"/>
                <w:w w:val="100"/>
                <w:sz w:val="21"/>
                <w:szCs w:val="21"/>
              </w:rPr>
              <w:t> </w:t>
            </w:r>
            <w:r>
              <w:rPr>
                <w:rFonts w:ascii="宋体" w:hAnsi="宋体" w:cs="宋体" w:eastAsia="宋体" w:hint="default"/>
                <w:sz w:val="21"/>
                <w:szCs w:val="21"/>
              </w:rPr>
              <w:t>流量净额</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3"/>
              <w:jc w:val="right"/>
              <w:rPr>
                <w:rFonts w:ascii="宋体" w:hAnsi="宋体" w:cs="宋体" w:eastAsia="宋体" w:hint="default"/>
                <w:sz w:val="21"/>
                <w:szCs w:val="21"/>
              </w:rPr>
            </w:pPr>
            <w:r>
              <w:rPr>
                <w:rFonts w:ascii="宋体"/>
                <w:spacing w:val="-1"/>
                <w:sz w:val="21"/>
              </w:rPr>
              <w:t>31,886,750.71</w:t>
            </w:r>
            <w:r>
              <w:rPr>
                <w:rFonts w:ascii="宋体"/>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3"/>
              <w:jc w:val="right"/>
              <w:rPr>
                <w:rFonts w:ascii="宋体" w:hAnsi="宋体" w:cs="宋体" w:eastAsia="宋体" w:hint="default"/>
                <w:sz w:val="21"/>
                <w:szCs w:val="21"/>
              </w:rPr>
            </w:pPr>
            <w:r>
              <w:rPr>
                <w:rFonts w:ascii="宋体"/>
                <w:spacing w:val="-1"/>
                <w:sz w:val="21"/>
              </w:rPr>
              <w:t>-22,529,626.99</w:t>
            </w:r>
            <w:r>
              <w:rPr>
                <w:rFonts w:ascii="宋体"/>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
              <w:jc w:val="right"/>
              <w:rPr>
                <w:rFonts w:ascii="宋体" w:hAnsi="宋体" w:cs="宋体" w:eastAsia="宋体" w:hint="default"/>
                <w:sz w:val="21"/>
                <w:szCs w:val="21"/>
              </w:rPr>
            </w:pPr>
            <w:r>
              <w:rPr>
                <w:rFonts w:ascii="宋体"/>
                <w:spacing w:val="-1"/>
                <w:sz w:val="21"/>
              </w:rPr>
              <w:t>171,376,552.41</w:t>
            </w:r>
            <w:r>
              <w:rPr>
                <w:rFonts w:ascii="宋体"/>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3"/>
              <w:jc w:val="right"/>
              <w:rPr>
                <w:rFonts w:ascii="宋体" w:hAnsi="宋体" w:cs="宋体" w:eastAsia="宋体" w:hint="default"/>
                <w:sz w:val="21"/>
                <w:szCs w:val="21"/>
              </w:rPr>
            </w:pPr>
            <w:r>
              <w:rPr>
                <w:rFonts w:ascii="宋体"/>
                <w:spacing w:val="-1"/>
                <w:sz w:val="21"/>
              </w:rPr>
              <w:t>221,252,407.23</w:t>
            </w:r>
            <w:r>
              <w:rPr>
                <w:rFonts w:ascii="宋体"/>
                <w:sz w:val="21"/>
              </w:rPr>
              <w:t> </w:t>
            </w:r>
          </w:p>
        </w:tc>
      </w:tr>
    </w:tbl>
    <w:p>
      <w:pPr>
        <w:pStyle w:val="BodyText"/>
        <w:spacing w:line="262" w:lineRule="exact"/>
        <w:ind w:left="678" w:right="680"/>
        <w:jc w:val="left"/>
      </w:pPr>
      <w:r>
        <w:rPr/>
        <w:t>季度数据与已披露定期报告数据差异说明</w:t>
      </w:r>
    </w:p>
    <w:p>
      <w:pPr>
        <w:pStyle w:val="BodyText"/>
        <w:spacing w:line="240" w:lineRule="auto" w:before="37"/>
        <w:ind w:left="678" w:right="680"/>
        <w:jc w:val="left"/>
        <w:rPr>
          <w:rFonts w:ascii="宋体" w:hAnsi="宋体" w:cs="宋体" w:eastAsia="宋体" w:hint="default"/>
        </w:rPr>
      </w:pPr>
      <w:r>
        <w:rPr/>
        <w:t>√适用</w:t>
      </w:r>
      <w:r>
        <w:rPr>
          <w:spacing w:val="104"/>
        </w:rPr>
        <w:t> </w:t>
      </w:r>
      <w:r>
        <w:rPr>
          <w:rFonts w:ascii="宋体" w:hAnsi="宋体" w:cs="宋体" w:eastAsia="宋体" w:hint="default"/>
          <w:spacing w:val="104"/>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auto" w:before="37"/>
        <w:ind w:left="678" w:right="727"/>
        <w:jc w:val="left"/>
        <w:rPr>
          <w:rFonts w:ascii="宋体" w:hAnsi="宋体" w:cs="宋体" w:eastAsia="宋体" w:hint="default"/>
        </w:rPr>
      </w:pPr>
      <w:r>
        <w:rPr>
          <w:rFonts w:ascii="宋体" w:hAnsi="宋体" w:cs="宋体" w:eastAsia="宋体" w:hint="default"/>
        </w:rPr>
        <w:t>2019</w:t>
      </w:r>
      <w:r>
        <w:rPr>
          <w:rFonts w:ascii="宋体" w:hAnsi="宋体" w:cs="宋体" w:eastAsia="宋体" w:hint="default"/>
          <w:spacing w:val="-56"/>
        </w:rPr>
        <w:t> </w:t>
      </w:r>
      <w:r>
        <w:rPr/>
        <w:t>年</w:t>
      </w:r>
      <w:r>
        <w:rPr>
          <w:spacing w:val="-54"/>
        </w:rPr>
        <w:t> </w:t>
      </w:r>
      <w:r>
        <w:rPr>
          <w:rFonts w:ascii="宋体" w:hAnsi="宋体" w:cs="宋体" w:eastAsia="宋体" w:hint="default"/>
        </w:rPr>
        <w:t>12</w:t>
      </w:r>
      <w:r>
        <w:rPr>
          <w:rFonts w:ascii="宋体" w:hAnsi="宋体" w:cs="宋体" w:eastAsia="宋体" w:hint="default"/>
          <w:spacing w:val="-56"/>
        </w:rPr>
        <w:t> </w:t>
      </w:r>
      <w:r>
        <w:rPr/>
        <w:t>月，公司收购南京华虹融资租赁有限公司</w:t>
      </w:r>
      <w:r>
        <w:rPr>
          <w:spacing w:val="-53"/>
        </w:rPr>
        <w:t> </w:t>
      </w:r>
      <w:r>
        <w:rPr>
          <w:rFonts w:ascii="宋体" w:hAnsi="宋体" w:cs="宋体" w:eastAsia="宋体" w:hint="default"/>
        </w:rPr>
        <w:t>100%</w:t>
      </w:r>
      <w:r>
        <w:rPr/>
        <w:t>股权，构成同一控制下企业合并，视同从</w:t>
      </w:r>
      <w:r>
        <w:rPr>
          <w:w w:val="100"/>
        </w:rPr>
        <w:t> </w:t>
      </w:r>
      <w:r>
        <w:rPr/>
        <w:t>一开始即纳入合并，故对合并前相关财务数据进行追溯调整。</w:t>
      </w:r>
      <w:r>
        <w:rPr>
          <w:rFonts w:ascii="宋体" w:hAnsi="宋体" w:cs="宋体" w:eastAsia="宋体" w:hint="default"/>
        </w:rPr>
        <w:t> </w:t>
      </w:r>
    </w:p>
    <w:p>
      <w:pPr>
        <w:pStyle w:val="Heading2"/>
        <w:spacing w:line="294" w:lineRule="exact"/>
        <w:ind w:left="678" w:right="0"/>
        <w:jc w:val="left"/>
        <w:rPr>
          <w:rFonts w:ascii="宋体" w:hAnsi="宋体" w:cs="宋体" w:eastAsia="宋体" w:hint="default"/>
        </w:rPr>
      </w:pPr>
      <w:r>
        <w:rPr>
          <w:rFonts w:ascii="宋体"/>
        </w:rPr>
        <w:t> </w:t>
      </w:r>
    </w:p>
    <w:p>
      <w:pPr>
        <w:pStyle w:val="Heading3"/>
        <w:spacing w:line="240" w:lineRule="auto" w:before="85"/>
        <w:ind w:left="678" w:right="680"/>
        <w:jc w:val="left"/>
        <w:rPr>
          <w:b w:val="0"/>
          <w:bCs w:val="0"/>
        </w:rPr>
      </w:pPr>
      <w:r>
        <w:rPr/>
        <w:t>十、</w:t>
      </w:r>
      <w:r>
        <w:rPr>
          <w:spacing w:val="39"/>
        </w:rPr>
        <w:t> </w:t>
      </w:r>
      <w:r>
        <w:rPr>
          <w:rFonts w:ascii="宋体" w:hAnsi="宋体" w:cs="宋体" w:eastAsia="宋体" w:hint="default"/>
          <w:spacing w:val="39"/>
        </w:rPr>
      </w:r>
      <w:r>
        <w:rPr/>
        <w:t>非经常性损益项目和金额</w:t>
      </w:r>
      <w:r>
        <w:rPr>
          <w:b w:val="0"/>
          <w:bCs w:val="0"/>
        </w:rPr>
      </w:r>
    </w:p>
    <w:p>
      <w:pPr>
        <w:pStyle w:val="BodyText"/>
        <w:spacing w:line="240" w:lineRule="auto" w:before="97"/>
        <w:ind w:left="678" w:right="68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left="0" w:right="588"/>
        <w:jc w:val="right"/>
        <w:rPr>
          <w:rFonts w:ascii="宋体" w:hAnsi="宋体" w:cs="宋体" w:eastAsia="宋体" w:hint="default"/>
        </w:rPr>
      </w:pPr>
      <w:r>
        <w:rPr>
          <w:spacing w:val="-2"/>
        </w:rPr>
        <w:t>单位</w:t>
      </w:r>
      <w:r>
        <w:rPr>
          <w:rFonts w:ascii="宋体" w:hAnsi="宋体" w:cs="宋体" w:eastAsia="宋体" w:hint="default"/>
          <w:spacing w:val="-2"/>
        </w:rPr>
        <w:t>:</w:t>
      </w:r>
      <w:r>
        <w:rPr>
          <w:spacing w:val="-2"/>
        </w:rPr>
        <w:t>元币种</w:t>
      </w:r>
      <w:r>
        <w:rPr>
          <w:rFonts w:ascii="宋体" w:hAnsi="宋体" w:cs="宋体" w:eastAsia="宋体" w:hint="default"/>
          <w:spacing w:val="-2"/>
        </w:rPr>
        <w:t>:</w:t>
      </w:r>
      <w:r>
        <w:rPr>
          <w:spacing w:val="-2"/>
        </w:rPr>
        <w:t>人民币</w:t>
      </w:r>
      <w:r>
        <w:rPr>
          <w:rFonts w:ascii="宋体" w:hAnsi="宋体" w:cs="宋体" w:eastAsia="宋体" w:hint="default"/>
        </w:rPr>
        <w:t> </w:t>
      </w:r>
    </w:p>
    <w:p>
      <w:pPr>
        <w:spacing w:line="240" w:lineRule="auto" w:before="10"/>
        <w:rPr>
          <w:rFonts w:ascii="宋体" w:hAnsi="宋体" w:cs="宋体" w:eastAsia="宋体" w:hint="default"/>
          <w:sz w:val="3"/>
          <w:szCs w:val="3"/>
        </w:rPr>
      </w:pPr>
    </w:p>
    <w:tbl>
      <w:tblPr>
        <w:tblW w:w="0" w:type="auto"/>
        <w:jc w:val="left"/>
        <w:tblInd w:w="566" w:type="dxa"/>
        <w:tblLayout w:type="fixed"/>
        <w:tblCellMar>
          <w:top w:w="0" w:type="dxa"/>
          <w:left w:w="0" w:type="dxa"/>
          <w:bottom w:w="0" w:type="dxa"/>
          <w:right w:w="0" w:type="dxa"/>
        </w:tblCellMar>
        <w:tblLook w:val="01E0"/>
      </w:tblPr>
      <w:tblGrid>
        <w:gridCol w:w="3711"/>
        <w:gridCol w:w="1640"/>
        <w:gridCol w:w="1018"/>
        <w:gridCol w:w="1457"/>
        <w:gridCol w:w="1570"/>
      </w:tblGrid>
      <w:tr>
        <w:trPr>
          <w:trHeight w:val="634" w:hRule="exact"/>
        </w:trPr>
        <w:tc>
          <w:tcPr>
            <w:tcW w:w="3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10" w:right="0"/>
              <w:jc w:val="left"/>
              <w:rPr>
                <w:rFonts w:ascii="宋体" w:hAnsi="宋体" w:cs="宋体" w:eastAsia="宋体" w:hint="default"/>
                <w:sz w:val="21"/>
                <w:szCs w:val="21"/>
              </w:rPr>
            </w:pPr>
            <w:r>
              <w:rPr>
                <w:rFonts w:ascii="宋体" w:hAnsi="宋体" w:cs="宋体" w:eastAsia="宋体" w:hint="default"/>
                <w:sz w:val="21"/>
                <w:szCs w:val="21"/>
              </w:rPr>
              <w:t>非经常性损益项目</w:t>
            </w:r>
            <w:r>
              <w:rPr>
                <w:rFonts w:ascii="宋体" w:hAnsi="宋体" w:cs="宋体" w:eastAsia="宋体" w:hint="default"/>
                <w:sz w:val="21"/>
                <w:szCs w:val="21"/>
              </w:rPr>
              <w:t> </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63"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5"/>
                <w:sz w:val="21"/>
                <w:szCs w:val="21"/>
              </w:rPr>
              <w:t> </w:t>
            </w:r>
            <w:r>
              <w:rPr>
                <w:rFonts w:ascii="宋体" w:hAnsi="宋体" w:cs="宋体" w:eastAsia="宋体" w:hint="default"/>
                <w:sz w:val="21"/>
                <w:szCs w:val="21"/>
              </w:rPr>
              <w:t>年金额</w:t>
            </w:r>
            <w:r>
              <w:rPr>
                <w:rFonts w:ascii="宋体" w:hAnsi="宋体" w:cs="宋体" w:eastAsia="宋体" w:hint="default"/>
                <w:sz w:val="21"/>
                <w:szCs w:val="21"/>
              </w:rPr>
              <w:t> </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87" w:right="83" w:hanging="84"/>
              <w:jc w:val="left"/>
              <w:rPr>
                <w:rFonts w:ascii="宋体" w:hAnsi="宋体" w:cs="宋体" w:eastAsia="宋体" w:hint="default"/>
                <w:sz w:val="21"/>
                <w:szCs w:val="21"/>
              </w:rPr>
            </w:pPr>
            <w:r>
              <w:rPr>
                <w:rFonts w:ascii="宋体" w:hAnsi="宋体" w:cs="宋体" w:eastAsia="宋体" w:hint="default"/>
                <w:spacing w:val="-11"/>
                <w:sz w:val="21"/>
                <w:szCs w:val="21"/>
              </w:rPr>
              <w:t>附注（如</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适用）</w:t>
            </w:r>
            <w:r>
              <w:rPr>
                <w:rFonts w:ascii="宋体" w:hAnsi="宋体" w:cs="宋体" w:eastAsia="宋体" w:hint="default"/>
                <w:sz w:val="21"/>
                <w:szCs w:val="21"/>
              </w:rPr>
              <w:t> </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65"/>
              <w:jc w:val="righ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5"/>
                <w:sz w:val="21"/>
                <w:szCs w:val="21"/>
              </w:rPr>
              <w:t> </w:t>
            </w:r>
            <w:r>
              <w:rPr>
                <w:rFonts w:ascii="宋体" w:hAnsi="宋体" w:cs="宋体" w:eastAsia="宋体" w:hint="default"/>
                <w:sz w:val="21"/>
                <w:szCs w:val="21"/>
              </w:rPr>
              <w:t>年金额</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27"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5"/>
                <w:sz w:val="21"/>
                <w:szCs w:val="21"/>
              </w:rPr>
              <w:t> </w:t>
            </w:r>
            <w:r>
              <w:rPr>
                <w:rFonts w:ascii="宋体" w:hAnsi="宋体" w:cs="宋体" w:eastAsia="宋体" w:hint="default"/>
                <w:sz w:val="21"/>
                <w:szCs w:val="21"/>
              </w:rPr>
              <w:t>年金额</w:t>
            </w:r>
            <w:r>
              <w:rPr>
                <w:rFonts w:ascii="宋体" w:hAnsi="宋体" w:cs="宋体" w:eastAsia="宋体" w:hint="default"/>
                <w:sz w:val="21"/>
                <w:szCs w:val="21"/>
              </w:rPr>
              <w:t> </w:t>
            </w:r>
          </w:p>
        </w:tc>
      </w:tr>
      <w:tr>
        <w:trPr>
          <w:trHeight w:val="322" w:hRule="exact"/>
        </w:trPr>
        <w:tc>
          <w:tcPr>
            <w:tcW w:w="371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非流动资产处置损益</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pacing w:val="-1"/>
                <w:sz w:val="18"/>
              </w:rPr>
              <w:t>1,253,405.17 </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sz w:val="18"/>
              </w:rPr>
              <w:t>   </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pacing w:val="-1"/>
                <w:sz w:val="18"/>
              </w:rPr>
              <w:t>-651,082.13</w:t>
            </w:r>
            <w:r>
              <w:rPr>
                <w:rFonts w:ascii="宋体"/>
                <w:sz w:val="18"/>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pacing w:val="-1"/>
                <w:sz w:val="18"/>
              </w:rPr>
              <w:t>-684,988.98</w:t>
            </w:r>
            <w:r>
              <w:rPr>
                <w:rFonts w:ascii="宋体"/>
                <w:sz w:val="18"/>
              </w:rPr>
              <w:t> </w:t>
            </w:r>
          </w:p>
        </w:tc>
      </w:tr>
      <w:tr>
        <w:trPr>
          <w:trHeight w:val="634" w:hRule="exact"/>
        </w:trPr>
        <w:tc>
          <w:tcPr>
            <w:tcW w:w="371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8"/>
              <w:jc w:val="left"/>
              <w:rPr>
                <w:rFonts w:ascii="宋体" w:hAnsi="宋体" w:cs="宋体" w:eastAsia="宋体" w:hint="default"/>
                <w:sz w:val="21"/>
                <w:szCs w:val="21"/>
              </w:rPr>
            </w:pPr>
            <w:r>
              <w:rPr>
                <w:rFonts w:ascii="宋体" w:hAnsi="宋体" w:cs="宋体" w:eastAsia="宋体" w:hint="default"/>
                <w:spacing w:val="-6"/>
                <w:sz w:val="21"/>
                <w:szCs w:val="21"/>
              </w:rPr>
              <w:t>越权审批，或无正式批准文件，或偶发</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z w:val="21"/>
                <w:szCs w:val="21"/>
              </w:rPr>
              <w:t>性的税收返还、减免</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sz w:val="18"/>
              </w:rPr>
              <w:t>   </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r>
      <w:tr>
        <w:trPr>
          <w:trHeight w:val="1261" w:hRule="exact"/>
        </w:trPr>
        <w:tc>
          <w:tcPr>
            <w:tcW w:w="371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6"/>
              <w:jc w:val="both"/>
              <w:rPr>
                <w:rFonts w:ascii="宋体" w:hAnsi="宋体" w:cs="宋体" w:eastAsia="宋体" w:hint="default"/>
                <w:sz w:val="21"/>
                <w:szCs w:val="21"/>
              </w:rPr>
            </w:pPr>
            <w:r>
              <w:rPr>
                <w:rFonts w:ascii="宋体" w:hAnsi="宋体" w:cs="宋体" w:eastAsia="宋体" w:hint="default"/>
                <w:spacing w:val="-6"/>
                <w:sz w:val="21"/>
                <w:szCs w:val="21"/>
              </w:rPr>
              <w:t>计入当期损益的政府补助，但与公司正</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pacing w:val="-6"/>
                <w:sz w:val="21"/>
                <w:szCs w:val="21"/>
              </w:rPr>
              <w:t>常经营业务密切相关，符合国家政策规</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pacing w:val="-6"/>
                <w:sz w:val="21"/>
                <w:szCs w:val="21"/>
              </w:rPr>
              <w:t>定、按照一定标准定额或定量持续享受</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z w:val="21"/>
                <w:szCs w:val="21"/>
              </w:rPr>
              <w:t>的政府补助除外</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20,831,762.06 </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sz w:val="18"/>
              </w:rPr>
              <w:t>   </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27,235,874.69</w:t>
            </w:r>
            <w:r>
              <w:rPr>
                <w:rFonts w:ascii="宋体"/>
                <w:sz w:val="18"/>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17,191,535.13</w:t>
            </w:r>
            <w:r>
              <w:rPr>
                <w:rFonts w:ascii="宋体"/>
                <w:sz w:val="18"/>
              </w:rPr>
              <w:t> </w:t>
            </w:r>
          </w:p>
        </w:tc>
      </w:tr>
      <w:tr>
        <w:trPr>
          <w:trHeight w:val="634" w:hRule="exact"/>
        </w:trPr>
        <w:tc>
          <w:tcPr>
            <w:tcW w:w="371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30"/>
              <w:jc w:val="left"/>
              <w:rPr>
                <w:rFonts w:ascii="宋体" w:hAnsi="宋体" w:cs="宋体" w:eastAsia="宋体" w:hint="default"/>
                <w:sz w:val="21"/>
                <w:szCs w:val="21"/>
              </w:rPr>
            </w:pPr>
            <w:r>
              <w:rPr>
                <w:rFonts w:ascii="宋体" w:hAnsi="宋体" w:cs="宋体" w:eastAsia="宋体" w:hint="default"/>
                <w:spacing w:val="-2"/>
                <w:sz w:val="21"/>
                <w:szCs w:val="21"/>
              </w:rPr>
              <w:t>计入当期损益的对非金融企业收取的</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资金占用费</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sz w:val="18"/>
              </w:rPr>
              <w:t>   </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r>
      <w:tr>
        <w:trPr>
          <w:trHeight w:val="1258" w:hRule="exact"/>
        </w:trPr>
        <w:tc>
          <w:tcPr>
            <w:tcW w:w="371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6"/>
              <w:jc w:val="left"/>
              <w:rPr>
                <w:rFonts w:ascii="宋体" w:hAnsi="宋体" w:cs="宋体" w:eastAsia="宋体" w:hint="default"/>
                <w:sz w:val="21"/>
                <w:szCs w:val="21"/>
              </w:rPr>
            </w:pPr>
            <w:r>
              <w:rPr>
                <w:rFonts w:ascii="宋体" w:hAnsi="宋体" w:cs="宋体" w:eastAsia="宋体" w:hint="default"/>
                <w:spacing w:val="-6"/>
                <w:sz w:val="21"/>
                <w:szCs w:val="21"/>
              </w:rPr>
              <w:t>企业取得子公司、联营企业及合营企业</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z w:val="21"/>
                <w:szCs w:val="21"/>
              </w:rPr>
              <w:t>的投资成本小于取得投资时应享有被</w:t>
            </w:r>
            <w:r>
              <w:rPr>
                <w:rFonts w:ascii="宋体" w:hAnsi="宋体" w:cs="宋体" w:eastAsia="宋体" w:hint="default"/>
                <w:w w:val="100"/>
                <w:sz w:val="21"/>
                <w:szCs w:val="21"/>
              </w:rPr>
              <w:t> </w:t>
            </w:r>
            <w:r>
              <w:rPr>
                <w:rFonts w:ascii="宋体" w:hAnsi="宋体" w:cs="宋体" w:eastAsia="宋体" w:hint="default"/>
                <w:sz w:val="21"/>
                <w:szCs w:val="21"/>
              </w:rPr>
              <w:t>投资单位可辨认净资产公允价值产生</w:t>
            </w:r>
            <w:r>
              <w:rPr>
                <w:rFonts w:ascii="宋体" w:hAnsi="宋体" w:cs="宋体" w:eastAsia="宋体" w:hint="default"/>
                <w:w w:val="100"/>
                <w:sz w:val="21"/>
                <w:szCs w:val="21"/>
              </w:rPr>
              <w:t> </w:t>
            </w:r>
            <w:r>
              <w:rPr>
                <w:rFonts w:ascii="宋体" w:hAnsi="宋体" w:cs="宋体" w:eastAsia="宋体" w:hint="default"/>
                <w:sz w:val="21"/>
                <w:szCs w:val="21"/>
              </w:rPr>
              <w:t>的收益</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sz w:val="18"/>
              </w:rPr>
              <w:t>   </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r>
      <w:tr>
        <w:trPr>
          <w:trHeight w:val="322" w:hRule="exact"/>
        </w:trPr>
        <w:tc>
          <w:tcPr>
            <w:tcW w:w="371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非货币性资产交换损益</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z w:val="18"/>
              </w:rPr>
              <w:t> </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sz w:val="18"/>
              </w:rPr>
              <w:t>   </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z w:val="18"/>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z w:val="18"/>
              </w:rPr>
              <w:t> </w:t>
            </w:r>
          </w:p>
        </w:tc>
      </w:tr>
    </w:tbl>
    <w:p>
      <w:pPr>
        <w:spacing w:after="0" w:line="240" w:lineRule="auto"/>
        <w:jc w:val="right"/>
        <w:rPr>
          <w:rFonts w:ascii="宋体" w:hAnsi="宋体" w:cs="宋体" w:eastAsia="宋体" w:hint="default"/>
          <w:sz w:val="18"/>
          <w:szCs w:val="18"/>
        </w:rPr>
        <w:sectPr>
          <w:pgSz w:w="11910" w:h="16840"/>
          <w:pgMar w:header="748" w:footer="974" w:top="1140" w:bottom="1160" w:left="740" w:right="720"/>
        </w:sectPr>
      </w:pPr>
    </w:p>
    <w:p>
      <w:pPr>
        <w:spacing w:line="240" w:lineRule="auto" w:before="11"/>
        <w:rPr>
          <w:rFonts w:ascii="宋体" w:hAnsi="宋体" w:cs="宋体" w:eastAsia="宋体" w:hint="default"/>
          <w:sz w:val="22"/>
          <w:szCs w:val="22"/>
        </w:rPr>
      </w:pPr>
    </w:p>
    <w:tbl>
      <w:tblPr>
        <w:tblW w:w="0" w:type="auto"/>
        <w:jc w:val="left"/>
        <w:tblInd w:w="106" w:type="dxa"/>
        <w:tblLayout w:type="fixed"/>
        <w:tblCellMar>
          <w:top w:w="0" w:type="dxa"/>
          <w:left w:w="0" w:type="dxa"/>
          <w:bottom w:w="0" w:type="dxa"/>
          <w:right w:w="0" w:type="dxa"/>
        </w:tblCellMar>
        <w:tblLook w:val="01E0"/>
      </w:tblPr>
      <w:tblGrid>
        <w:gridCol w:w="3711"/>
        <w:gridCol w:w="1640"/>
        <w:gridCol w:w="1018"/>
        <w:gridCol w:w="1457"/>
        <w:gridCol w:w="1570"/>
      </w:tblGrid>
      <w:tr>
        <w:trPr>
          <w:trHeight w:val="322" w:hRule="exact"/>
        </w:trPr>
        <w:tc>
          <w:tcPr>
            <w:tcW w:w="371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委托他人投资或管理资产的损益</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pacing w:val="-1"/>
                <w:sz w:val="18"/>
              </w:rPr>
              <w:t>6,894,051.81 </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sz w:val="18"/>
              </w:rPr>
              <w:t>   </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pacing w:val="-1"/>
                <w:sz w:val="18"/>
              </w:rPr>
              <w:t>974,668.99</w:t>
            </w:r>
            <w:r>
              <w:rPr>
                <w:rFonts w:ascii="宋体"/>
                <w:sz w:val="18"/>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pacing w:val="-1"/>
                <w:sz w:val="18"/>
              </w:rPr>
              <w:t>7,460,821.94</w:t>
            </w:r>
            <w:r>
              <w:rPr>
                <w:rFonts w:ascii="宋体"/>
                <w:sz w:val="18"/>
              </w:rPr>
              <w:t> </w:t>
            </w:r>
          </w:p>
        </w:tc>
      </w:tr>
      <w:tr>
        <w:trPr>
          <w:trHeight w:val="634" w:hRule="exact"/>
        </w:trPr>
        <w:tc>
          <w:tcPr>
            <w:tcW w:w="371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6"/>
              <w:jc w:val="left"/>
              <w:rPr>
                <w:rFonts w:ascii="宋体" w:hAnsi="宋体" w:cs="宋体" w:eastAsia="宋体" w:hint="default"/>
                <w:sz w:val="21"/>
                <w:szCs w:val="21"/>
              </w:rPr>
            </w:pPr>
            <w:r>
              <w:rPr>
                <w:rFonts w:ascii="宋体" w:hAnsi="宋体" w:cs="宋体" w:eastAsia="宋体" w:hint="default"/>
                <w:spacing w:val="-6"/>
                <w:sz w:val="21"/>
                <w:szCs w:val="21"/>
              </w:rPr>
              <w:t>因不可抗力因素，如遭受自然灾害而计</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z w:val="21"/>
                <w:szCs w:val="21"/>
              </w:rPr>
              <w:t>提的各项资产减值准备</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sz w:val="18"/>
              </w:rPr>
              <w:t>   </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r>
      <w:tr>
        <w:trPr>
          <w:trHeight w:val="322" w:hRule="exact"/>
        </w:trPr>
        <w:tc>
          <w:tcPr>
            <w:tcW w:w="371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债务重组损益</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z w:val="18"/>
              </w:rPr>
              <w:t> </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sz w:val="18"/>
              </w:rPr>
              <w:t>   </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z w:val="18"/>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z w:val="18"/>
              </w:rPr>
              <w:t> </w:t>
            </w:r>
          </w:p>
        </w:tc>
      </w:tr>
      <w:tr>
        <w:trPr>
          <w:trHeight w:val="636" w:hRule="exact"/>
        </w:trPr>
        <w:tc>
          <w:tcPr>
            <w:tcW w:w="371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8"/>
              <w:jc w:val="left"/>
              <w:rPr>
                <w:rFonts w:ascii="宋体" w:hAnsi="宋体" w:cs="宋体" w:eastAsia="宋体" w:hint="default"/>
                <w:sz w:val="21"/>
                <w:szCs w:val="21"/>
              </w:rPr>
            </w:pPr>
            <w:r>
              <w:rPr>
                <w:rFonts w:ascii="宋体" w:hAnsi="宋体" w:cs="宋体" w:eastAsia="宋体" w:hint="default"/>
                <w:spacing w:val="-6"/>
                <w:sz w:val="21"/>
                <w:szCs w:val="21"/>
              </w:rPr>
              <w:t>企业重组费用，如安置职工的支出、整</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z w:val="21"/>
                <w:szCs w:val="21"/>
              </w:rPr>
              <w:t>合费用等</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sz w:val="18"/>
              </w:rPr>
              <w:t>   </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r>
      <w:tr>
        <w:trPr>
          <w:trHeight w:val="634" w:hRule="exact"/>
        </w:trPr>
        <w:tc>
          <w:tcPr>
            <w:tcW w:w="371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30"/>
              <w:jc w:val="left"/>
              <w:rPr>
                <w:rFonts w:ascii="宋体" w:hAnsi="宋体" w:cs="宋体" w:eastAsia="宋体" w:hint="default"/>
                <w:sz w:val="21"/>
                <w:szCs w:val="21"/>
              </w:rPr>
            </w:pPr>
            <w:r>
              <w:rPr>
                <w:rFonts w:ascii="宋体" w:hAnsi="宋体" w:cs="宋体" w:eastAsia="宋体" w:hint="default"/>
                <w:spacing w:val="-2"/>
                <w:sz w:val="21"/>
                <w:szCs w:val="21"/>
              </w:rPr>
              <w:t>交易价格显失公允的交易产生的超过</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公允价值部分的损益</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sz w:val="18"/>
              </w:rPr>
              <w:t>   </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r>
      <w:tr>
        <w:trPr>
          <w:trHeight w:val="634" w:hRule="exact"/>
        </w:trPr>
        <w:tc>
          <w:tcPr>
            <w:tcW w:w="371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30"/>
              <w:jc w:val="left"/>
              <w:rPr>
                <w:rFonts w:ascii="宋体" w:hAnsi="宋体" w:cs="宋体" w:eastAsia="宋体" w:hint="default"/>
                <w:sz w:val="21"/>
                <w:szCs w:val="21"/>
              </w:rPr>
            </w:pPr>
            <w:r>
              <w:rPr>
                <w:rFonts w:ascii="宋体" w:hAnsi="宋体" w:cs="宋体" w:eastAsia="宋体" w:hint="default"/>
                <w:spacing w:val="-2"/>
                <w:sz w:val="21"/>
                <w:szCs w:val="21"/>
              </w:rPr>
              <w:t>同一控制下企业合并产生的子公司期</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初至合并日的当期净损益</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15,975,152.48 </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sz w:val="18"/>
              </w:rPr>
              <w:t>   </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17,920,110.52</w:t>
            </w:r>
            <w:r>
              <w:rPr>
                <w:rFonts w:ascii="宋体"/>
                <w:sz w:val="18"/>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-1,013,889.23</w:t>
            </w:r>
            <w:r>
              <w:rPr>
                <w:rFonts w:ascii="宋体"/>
                <w:sz w:val="18"/>
              </w:rPr>
              <w:t> </w:t>
            </w:r>
          </w:p>
        </w:tc>
      </w:tr>
      <w:tr>
        <w:trPr>
          <w:trHeight w:val="634" w:hRule="exact"/>
        </w:trPr>
        <w:tc>
          <w:tcPr>
            <w:tcW w:w="371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30"/>
              <w:jc w:val="left"/>
              <w:rPr>
                <w:rFonts w:ascii="宋体" w:hAnsi="宋体" w:cs="宋体" w:eastAsia="宋体" w:hint="default"/>
                <w:sz w:val="21"/>
                <w:szCs w:val="21"/>
              </w:rPr>
            </w:pPr>
            <w:r>
              <w:rPr>
                <w:rFonts w:ascii="宋体" w:hAnsi="宋体" w:cs="宋体" w:eastAsia="宋体" w:hint="default"/>
                <w:spacing w:val="-2"/>
                <w:sz w:val="21"/>
                <w:szCs w:val="21"/>
              </w:rPr>
              <w:t>与公司正常经营业务无关的或有事项</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产生的损益</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sz w:val="18"/>
              </w:rPr>
              <w:t>   </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r>
      <w:tr>
        <w:trPr>
          <w:trHeight w:val="1882" w:hRule="exact"/>
        </w:trPr>
        <w:tc>
          <w:tcPr>
            <w:tcW w:w="371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3"/>
              <w:jc w:val="left"/>
              <w:rPr>
                <w:rFonts w:ascii="宋体" w:hAnsi="宋体" w:cs="宋体" w:eastAsia="宋体" w:hint="default"/>
                <w:sz w:val="21"/>
                <w:szCs w:val="21"/>
              </w:rPr>
            </w:pPr>
            <w:r>
              <w:rPr>
                <w:rFonts w:ascii="宋体" w:hAnsi="宋体" w:cs="宋体" w:eastAsia="宋体" w:hint="default"/>
                <w:sz w:val="21"/>
                <w:szCs w:val="21"/>
              </w:rPr>
              <w:t>除同公司正常经营业务相关的有效套</w:t>
            </w:r>
            <w:r>
              <w:rPr>
                <w:rFonts w:ascii="宋体" w:hAnsi="宋体" w:cs="宋体" w:eastAsia="宋体" w:hint="default"/>
                <w:w w:val="100"/>
                <w:sz w:val="21"/>
                <w:szCs w:val="21"/>
              </w:rPr>
              <w:t> </w:t>
            </w:r>
            <w:r>
              <w:rPr>
                <w:rFonts w:ascii="宋体" w:hAnsi="宋体" w:cs="宋体" w:eastAsia="宋体" w:hint="default"/>
                <w:spacing w:val="-2"/>
                <w:sz w:val="21"/>
                <w:szCs w:val="21"/>
              </w:rPr>
              <w:t>期保值业务外，持有交易性金融资产、</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交易性金融负债产生的公允价值变动</w:t>
            </w:r>
            <w:r>
              <w:rPr>
                <w:rFonts w:ascii="宋体" w:hAnsi="宋体" w:cs="宋体" w:eastAsia="宋体" w:hint="default"/>
                <w:w w:val="100"/>
                <w:sz w:val="21"/>
                <w:szCs w:val="21"/>
              </w:rPr>
              <w:t> </w:t>
            </w:r>
            <w:r>
              <w:rPr>
                <w:rFonts w:ascii="宋体" w:hAnsi="宋体" w:cs="宋体" w:eastAsia="宋体" w:hint="default"/>
                <w:spacing w:val="-6"/>
                <w:sz w:val="21"/>
                <w:szCs w:val="21"/>
              </w:rPr>
              <w:t>损益，以及处置交易性金融资产、交易</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性金融负债和可供出售金融资产取得</w:t>
            </w:r>
            <w:r>
              <w:rPr>
                <w:rFonts w:ascii="宋体" w:hAnsi="宋体" w:cs="宋体" w:eastAsia="宋体" w:hint="default"/>
                <w:w w:val="100"/>
                <w:sz w:val="21"/>
                <w:szCs w:val="21"/>
              </w:rPr>
              <w:t> </w:t>
            </w:r>
            <w:r>
              <w:rPr>
                <w:rFonts w:ascii="宋体" w:hAnsi="宋体" w:cs="宋体" w:eastAsia="宋体" w:hint="default"/>
                <w:sz w:val="21"/>
                <w:szCs w:val="21"/>
              </w:rPr>
              <w:t>的投资收益</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sz w:val="18"/>
              </w:rPr>
              <w:t>   </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r>
      <w:tr>
        <w:trPr>
          <w:trHeight w:val="2194" w:hRule="exact"/>
        </w:trPr>
        <w:tc>
          <w:tcPr>
            <w:tcW w:w="371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3"/>
              <w:jc w:val="left"/>
              <w:rPr>
                <w:rFonts w:ascii="宋体" w:hAnsi="宋体" w:cs="宋体" w:eastAsia="宋体" w:hint="default"/>
                <w:sz w:val="21"/>
                <w:szCs w:val="21"/>
              </w:rPr>
            </w:pPr>
            <w:r>
              <w:rPr>
                <w:rFonts w:ascii="宋体" w:hAnsi="宋体" w:cs="宋体" w:eastAsia="宋体" w:hint="default"/>
                <w:sz w:val="21"/>
                <w:szCs w:val="21"/>
              </w:rPr>
              <w:t>除同公司正常经营业务相关的有效套</w:t>
            </w:r>
            <w:r>
              <w:rPr>
                <w:rFonts w:ascii="宋体" w:hAnsi="宋体" w:cs="宋体" w:eastAsia="宋体" w:hint="default"/>
                <w:w w:val="100"/>
                <w:sz w:val="21"/>
                <w:szCs w:val="21"/>
              </w:rPr>
              <w:t> </w:t>
            </w:r>
            <w:r>
              <w:rPr>
                <w:rFonts w:ascii="宋体" w:hAnsi="宋体" w:cs="宋体" w:eastAsia="宋体" w:hint="default"/>
                <w:spacing w:val="-2"/>
                <w:sz w:val="21"/>
                <w:szCs w:val="21"/>
              </w:rPr>
              <w:t>期保值业务外，持有交易性金融资产、</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6"/>
                <w:sz w:val="21"/>
                <w:szCs w:val="21"/>
              </w:rPr>
              <w:t>衍生金融资产、交易性金融负债、衍生</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pacing w:val="-6"/>
                <w:sz w:val="21"/>
                <w:szCs w:val="21"/>
              </w:rPr>
              <w:t>金融负债产生的公允价值变动损益，以</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及处置交易性金融资产、衍生金融资</w:t>
            </w:r>
            <w:r>
              <w:rPr>
                <w:rFonts w:ascii="宋体" w:hAnsi="宋体" w:cs="宋体" w:eastAsia="宋体" w:hint="default"/>
                <w:w w:val="100"/>
                <w:sz w:val="21"/>
                <w:szCs w:val="21"/>
              </w:rPr>
              <w:t> </w:t>
            </w:r>
            <w:r>
              <w:rPr>
                <w:rFonts w:ascii="宋体" w:hAnsi="宋体" w:cs="宋体" w:eastAsia="宋体" w:hint="default"/>
                <w:spacing w:val="-6"/>
                <w:sz w:val="21"/>
                <w:szCs w:val="21"/>
              </w:rPr>
              <w:t>产、交易性金融负债、衍生金融负债和</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z w:val="21"/>
                <w:szCs w:val="21"/>
              </w:rPr>
              <w:t>其他债权投资取得的投资收益</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sz w:val="18"/>
              </w:rPr>
              <w:t>   </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r>
      <w:tr>
        <w:trPr>
          <w:trHeight w:val="636" w:hRule="exact"/>
        </w:trPr>
        <w:tc>
          <w:tcPr>
            <w:tcW w:w="371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30"/>
              <w:jc w:val="left"/>
              <w:rPr>
                <w:rFonts w:ascii="宋体" w:hAnsi="宋体" w:cs="宋体" w:eastAsia="宋体" w:hint="default"/>
                <w:sz w:val="21"/>
                <w:szCs w:val="21"/>
              </w:rPr>
            </w:pPr>
            <w:r>
              <w:rPr>
                <w:rFonts w:ascii="宋体" w:hAnsi="宋体" w:cs="宋体" w:eastAsia="宋体" w:hint="default"/>
                <w:spacing w:val="-2"/>
                <w:sz w:val="21"/>
                <w:szCs w:val="21"/>
              </w:rPr>
              <w:t>单独进行减值测试的应收款项减值准</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备转回</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sz w:val="18"/>
              </w:rPr>
              <w:t>   </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r>
      <w:tr>
        <w:trPr>
          <w:trHeight w:val="322" w:hRule="exact"/>
        </w:trPr>
        <w:tc>
          <w:tcPr>
            <w:tcW w:w="371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对外委托贷款取得的损益</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z w:val="18"/>
              </w:rPr>
              <w:t> </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sz w:val="18"/>
              </w:rPr>
              <w:t>   </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z w:val="18"/>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z w:val="18"/>
              </w:rPr>
              <w:t> </w:t>
            </w:r>
          </w:p>
        </w:tc>
      </w:tr>
      <w:tr>
        <w:trPr>
          <w:trHeight w:val="634" w:hRule="exact"/>
        </w:trPr>
        <w:tc>
          <w:tcPr>
            <w:tcW w:w="371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30"/>
              <w:jc w:val="left"/>
              <w:rPr>
                <w:rFonts w:ascii="宋体" w:hAnsi="宋体" w:cs="宋体" w:eastAsia="宋体" w:hint="default"/>
                <w:sz w:val="21"/>
                <w:szCs w:val="21"/>
              </w:rPr>
            </w:pPr>
            <w:r>
              <w:rPr>
                <w:rFonts w:ascii="宋体" w:hAnsi="宋体" w:cs="宋体" w:eastAsia="宋体" w:hint="default"/>
                <w:spacing w:val="-2"/>
                <w:sz w:val="21"/>
                <w:szCs w:val="21"/>
              </w:rPr>
              <w:t>采用公允价值模式进行后续计量的投</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2"/>
                <w:sz w:val="21"/>
                <w:szCs w:val="21"/>
              </w:rPr>
              <w:t>资性房地产公允价值变动产生的损益</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sz w:val="18"/>
              </w:rPr>
              <w:t>   </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r>
      <w:tr>
        <w:trPr>
          <w:trHeight w:val="946" w:hRule="exact"/>
        </w:trPr>
        <w:tc>
          <w:tcPr>
            <w:tcW w:w="371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6"/>
              <w:jc w:val="left"/>
              <w:rPr>
                <w:rFonts w:ascii="宋体" w:hAnsi="宋体" w:cs="宋体" w:eastAsia="宋体" w:hint="default"/>
                <w:sz w:val="21"/>
                <w:szCs w:val="21"/>
              </w:rPr>
            </w:pPr>
            <w:r>
              <w:rPr>
                <w:rFonts w:ascii="宋体" w:hAnsi="宋体" w:cs="宋体" w:eastAsia="宋体" w:hint="default"/>
                <w:spacing w:val="-6"/>
                <w:sz w:val="21"/>
                <w:szCs w:val="21"/>
              </w:rPr>
              <w:t>根据税收、会计等法律、法规的要求对</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z w:val="21"/>
                <w:szCs w:val="21"/>
              </w:rPr>
              <w:t>当期损益进行一次性调整对当期损益</w:t>
            </w:r>
            <w:r>
              <w:rPr>
                <w:rFonts w:ascii="宋体" w:hAnsi="宋体" w:cs="宋体" w:eastAsia="宋体" w:hint="default"/>
                <w:w w:val="100"/>
                <w:sz w:val="21"/>
                <w:szCs w:val="21"/>
              </w:rPr>
              <w:t> </w:t>
            </w:r>
            <w:r>
              <w:rPr>
                <w:rFonts w:ascii="宋体" w:hAnsi="宋体" w:cs="宋体" w:eastAsia="宋体" w:hint="default"/>
                <w:sz w:val="21"/>
                <w:szCs w:val="21"/>
              </w:rPr>
              <w:t>的影响</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sz w:val="18"/>
              </w:rPr>
              <w:t>   </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r>
      <w:tr>
        <w:trPr>
          <w:trHeight w:val="322" w:hRule="exact"/>
        </w:trPr>
        <w:tc>
          <w:tcPr>
            <w:tcW w:w="371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受托经营取得的托管费收入</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z w:val="18"/>
              </w:rPr>
              <w:t> </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sz w:val="18"/>
              </w:rPr>
              <w:t>   </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z w:val="18"/>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z w:val="18"/>
              </w:rPr>
              <w:t> </w:t>
            </w:r>
          </w:p>
        </w:tc>
      </w:tr>
      <w:tr>
        <w:trPr>
          <w:trHeight w:val="634" w:hRule="exact"/>
        </w:trPr>
        <w:tc>
          <w:tcPr>
            <w:tcW w:w="371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30"/>
              <w:jc w:val="left"/>
              <w:rPr>
                <w:rFonts w:ascii="宋体" w:hAnsi="宋体" w:cs="宋体" w:eastAsia="宋体" w:hint="default"/>
                <w:sz w:val="21"/>
                <w:szCs w:val="21"/>
              </w:rPr>
            </w:pPr>
            <w:r>
              <w:rPr>
                <w:rFonts w:ascii="宋体" w:hAnsi="宋体" w:cs="宋体" w:eastAsia="宋体" w:hint="default"/>
                <w:spacing w:val="-2"/>
                <w:sz w:val="21"/>
                <w:szCs w:val="21"/>
              </w:rPr>
              <w:t>除上述各项之外的其他营业外收入和</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支出</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46" w:right="0"/>
              <w:jc w:val="left"/>
              <w:rPr>
                <w:rFonts w:ascii="宋体" w:hAnsi="宋体" w:cs="宋体" w:eastAsia="宋体" w:hint="default"/>
                <w:sz w:val="18"/>
                <w:szCs w:val="18"/>
              </w:rPr>
            </w:pPr>
            <w:r>
              <w:rPr>
                <w:rFonts w:ascii="宋体"/>
                <w:sz w:val="18"/>
              </w:rPr>
              <w:t>-22,248,109.41 </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sz w:val="18"/>
              </w:rPr>
              <w:t>   </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-9,160,853.16</w:t>
            </w:r>
            <w:r>
              <w:rPr>
                <w:rFonts w:ascii="宋体"/>
                <w:sz w:val="18"/>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-14,113,779.94</w:t>
            </w:r>
            <w:r>
              <w:rPr>
                <w:rFonts w:ascii="宋体"/>
                <w:sz w:val="18"/>
              </w:rPr>
              <w:t> </w:t>
            </w:r>
          </w:p>
        </w:tc>
      </w:tr>
      <w:tr>
        <w:trPr>
          <w:trHeight w:val="636" w:hRule="exact"/>
        </w:trPr>
        <w:tc>
          <w:tcPr>
            <w:tcW w:w="371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30"/>
              <w:jc w:val="left"/>
              <w:rPr>
                <w:rFonts w:ascii="宋体" w:hAnsi="宋体" w:cs="宋体" w:eastAsia="宋体" w:hint="default"/>
                <w:sz w:val="21"/>
                <w:szCs w:val="21"/>
              </w:rPr>
            </w:pPr>
            <w:r>
              <w:rPr>
                <w:rFonts w:ascii="宋体" w:hAnsi="宋体" w:cs="宋体" w:eastAsia="宋体" w:hint="default"/>
                <w:spacing w:val="-2"/>
                <w:sz w:val="21"/>
                <w:szCs w:val="21"/>
              </w:rPr>
              <w:t>其他符合非经常性损益定义的损益项</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目</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sz w:val="18"/>
              </w:rPr>
              <w:t>   </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r>
      <w:tr>
        <w:trPr>
          <w:trHeight w:val="322" w:hRule="exact"/>
        </w:trPr>
        <w:tc>
          <w:tcPr>
            <w:tcW w:w="371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少数股东权益影响额</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pacing w:val="-1"/>
                <w:sz w:val="18"/>
              </w:rPr>
              <w:t>-116,631.23 </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sz w:val="18"/>
              </w:rPr>
              <w:t>   </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pacing w:val="-1"/>
                <w:sz w:val="18"/>
              </w:rPr>
              <w:t>-106,632.06</w:t>
            </w:r>
            <w:r>
              <w:rPr>
                <w:rFonts w:ascii="宋体"/>
                <w:sz w:val="18"/>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pacing w:val="-1"/>
                <w:sz w:val="18"/>
              </w:rPr>
              <w:t>38,778.83</w:t>
            </w:r>
            <w:r>
              <w:rPr>
                <w:rFonts w:ascii="宋体"/>
                <w:sz w:val="18"/>
              </w:rPr>
              <w:t> </w:t>
            </w:r>
          </w:p>
        </w:tc>
      </w:tr>
      <w:tr>
        <w:trPr>
          <w:trHeight w:val="322" w:hRule="exact"/>
        </w:trPr>
        <w:tc>
          <w:tcPr>
            <w:tcW w:w="371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所得税影响额</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pacing w:val="-1"/>
                <w:sz w:val="18"/>
              </w:rPr>
              <w:t>-939,072.35 </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sz w:val="18"/>
              </w:rPr>
              <w:t>   </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pacing w:val="-1"/>
                <w:sz w:val="18"/>
              </w:rPr>
              <w:t>-1,558,208.74</w:t>
            </w:r>
            <w:r>
              <w:rPr>
                <w:rFonts w:ascii="宋体"/>
                <w:sz w:val="18"/>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pacing w:val="-1"/>
                <w:sz w:val="18"/>
              </w:rPr>
              <w:t>-1,522,466.17</w:t>
            </w:r>
            <w:r>
              <w:rPr>
                <w:rFonts w:ascii="宋体"/>
                <w:sz w:val="18"/>
              </w:rPr>
              <w:t> </w:t>
            </w:r>
          </w:p>
        </w:tc>
      </w:tr>
      <w:tr>
        <w:trPr>
          <w:trHeight w:val="322" w:hRule="exact"/>
        </w:trPr>
        <w:tc>
          <w:tcPr>
            <w:tcW w:w="371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pacing w:val="-1"/>
                <w:sz w:val="18"/>
              </w:rPr>
              <w:t>21,650,558.53 </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sz w:val="18"/>
              </w:rPr>
              <w:t>   </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pacing w:val="-1"/>
                <w:sz w:val="18"/>
              </w:rPr>
              <w:t>34,653,878.11</w:t>
            </w:r>
            <w:r>
              <w:rPr>
                <w:rFonts w:ascii="宋体"/>
                <w:sz w:val="18"/>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pacing w:val="-1"/>
                <w:sz w:val="18"/>
              </w:rPr>
              <w:t>7,356,011.58</w:t>
            </w:r>
            <w:r>
              <w:rPr>
                <w:rFonts w:ascii="宋体"/>
                <w:sz w:val="18"/>
              </w:rPr>
              <w:t> </w:t>
            </w:r>
          </w:p>
        </w:tc>
      </w:tr>
    </w:tbl>
    <w:p>
      <w:pPr>
        <w:pStyle w:val="Heading2"/>
        <w:spacing w:line="274" w:lineRule="exact"/>
        <w:ind w:right="0"/>
        <w:jc w:val="left"/>
        <w:rPr>
          <w:rFonts w:ascii="宋体" w:hAnsi="宋体" w:cs="宋体" w:eastAsia="宋体" w:hint="default"/>
        </w:rPr>
      </w:pPr>
      <w:r>
        <w:rPr>
          <w:rFonts w:ascii="宋体"/>
        </w:rPr>
        <w:t> </w:t>
      </w:r>
    </w:p>
    <w:p>
      <w:pPr>
        <w:spacing w:after="0" w:line="274" w:lineRule="exact"/>
        <w:jc w:val="left"/>
        <w:rPr>
          <w:rFonts w:ascii="宋体" w:hAnsi="宋体" w:cs="宋体" w:eastAsia="宋体" w:hint="default"/>
        </w:rPr>
        <w:sectPr>
          <w:pgSz w:w="11910" w:h="16840"/>
          <w:pgMar w:header="748" w:footer="974" w:top="1140" w:bottom="1160" w:left="1200" w:right="1080"/>
        </w:sectPr>
      </w:pPr>
    </w:p>
    <w:p>
      <w:pPr>
        <w:spacing w:line="240" w:lineRule="auto" w:before="2"/>
        <w:rPr>
          <w:rFonts w:ascii="宋体" w:hAnsi="宋体" w:cs="宋体" w:eastAsia="宋体" w:hint="default"/>
          <w:sz w:val="19"/>
          <w:szCs w:val="19"/>
        </w:rPr>
      </w:pPr>
    </w:p>
    <w:p>
      <w:pPr>
        <w:pStyle w:val="Heading3"/>
        <w:spacing w:line="240" w:lineRule="auto" w:before="36"/>
        <w:ind w:right="0"/>
        <w:jc w:val="left"/>
        <w:rPr>
          <w:b w:val="0"/>
          <w:bCs w:val="0"/>
        </w:rPr>
      </w:pPr>
      <w:r>
        <w:rPr/>
        <w:t>十一、</w:t>
      </w:r>
      <w:r>
        <w:rPr>
          <w:spacing w:val="100"/>
        </w:rPr>
        <w:t> </w:t>
      </w:r>
      <w:r>
        <w:rPr>
          <w:rFonts w:ascii="宋体" w:hAnsi="宋体" w:cs="宋体" w:eastAsia="宋体" w:hint="default"/>
          <w:spacing w:val="100"/>
        </w:rPr>
      </w:r>
      <w:r>
        <w:rPr/>
        <w:t>采用公允价值计量的项目</w:t>
      </w:r>
      <w:r>
        <w:rPr>
          <w:b w:val="0"/>
          <w:bCs w:val="0"/>
        </w:rPr>
      </w:r>
    </w:p>
    <w:p>
      <w:pPr>
        <w:pStyle w:val="Heading2"/>
        <w:spacing w:line="240" w:lineRule="auto" w:before="69"/>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3"/>
        <w:spacing w:line="240" w:lineRule="auto" w:before="85"/>
        <w:ind w:right="0"/>
        <w:jc w:val="left"/>
        <w:rPr>
          <w:b w:val="0"/>
          <w:bCs w:val="0"/>
        </w:rPr>
      </w:pPr>
      <w:r>
        <w:rPr/>
        <w:t>十二、</w:t>
      </w:r>
      <w:r>
        <w:rPr>
          <w:spacing w:val="100"/>
        </w:rPr>
        <w:t> </w:t>
      </w:r>
      <w:r>
        <w:rPr>
          <w:rFonts w:ascii="宋体" w:hAnsi="宋体" w:cs="宋体" w:eastAsia="宋体" w:hint="default"/>
          <w:spacing w:val="100"/>
        </w:rPr>
      </w:r>
      <w:r>
        <w:rPr/>
        <w:t>其他</w:t>
      </w:r>
      <w:r>
        <w:rPr>
          <w:b w:val="0"/>
          <w:bCs w:val="0"/>
        </w:rPr>
      </w:r>
    </w:p>
    <w:p>
      <w:pPr>
        <w:pStyle w:val="Heading2"/>
        <w:spacing w:line="240" w:lineRule="auto" w:before="69"/>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BodyText"/>
        <w:spacing w:line="240" w:lineRule="auto" w:before="201"/>
        <w:ind w:right="0"/>
        <w:jc w:val="left"/>
        <w:rPr>
          <w:rFonts w:ascii="宋体" w:hAnsi="宋体" w:cs="宋体" w:eastAsia="宋体" w:hint="default"/>
        </w:rPr>
      </w:pPr>
      <w:r>
        <w:rPr>
          <w:rFonts w:ascii="宋体"/>
          <w:w w:val="100"/>
        </w:rPr>
        <w:t> </w:t>
      </w:r>
    </w:p>
    <w:p>
      <w:pPr>
        <w:spacing w:after="0" w:line="240" w:lineRule="auto"/>
        <w:jc w:val="left"/>
        <w:rPr>
          <w:rFonts w:ascii="宋体" w:hAnsi="宋体" w:cs="宋体" w:eastAsia="宋体" w:hint="default"/>
        </w:rPr>
        <w:sectPr>
          <w:pgSz w:w="11910" w:h="16840"/>
          <w:pgMar w:header="748" w:footer="974" w:top="1140" w:bottom="1160" w:left="1200" w:right="1300"/>
        </w:sectPr>
      </w:pPr>
    </w:p>
    <w:p>
      <w:pPr>
        <w:spacing w:line="240" w:lineRule="auto" w:before="4"/>
        <w:rPr>
          <w:rFonts w:ascii="宋体" w:hAnsi="宋体" w:cs="宋体" w:eastAsia="宋体" w:hint="default"/>
          <w:sz w:val="28"/>
          <w:szCs w:val="28"/>
        </w:rPr>
      </w:pPr>
    </w:p>
    <w:p>
      <w:pPr>
        <w:pStyle w:val="Heading1"/>
        <w:tabs>
          <w:tab w:pos="1359" w:val="left" w:leader="none"/>
        </w:tabs>
        <w:spacing w:line="240" w:lineRule="auto"/>
        <w:ind w:left="99" w:right="0"/>
        <w:jc w:val="center"/>
        <w:rPr>
          <w:rFonts w:ascii="黑体" w:hAnsi="黑体" w:cs="黑体" w:eastAsia="黑体" w:hint="default"/>
          <w:b w:val="0"/>
          <w:bCs w:val="0"/>
        </w:rPr>
      </w:pPr>
      <w:bookmarkStart w:name="_bookmark2" w:id="3"/>
      <w:bookmarkEnd w:id="3"/>
      <w:r>
        <w:rPr>
          <w:b w:val="0"/>
          <w:bCs w:val="0"/>
        </w:rPr>
      </w:r>
      <w:r>
        <w:rPr>
          <w:rFonts w:ascii="黑体" w:hAnsi="黑体" w:cs="黑体" w:eastAsia="黑体" w:hint="default"/>
          <w:w w:val="95"/>
        </w:rPr>
        <w:t>第三节</w:t>
      </w:r>
      <w:r>
        <w:rPr>
          <w:rFonts w:ascii="宋体" w:hAnsi="宋体" w:cs="宋体" w:eastAsia="宋体" w:hint="default"/>
          <w:w w:val="95"/>
        </w:rPr>
        <w:tab/>
      </w:r>
      <w:r>
        <w:rPr>
          <w:rFonts w:ascii="黑体" w:hAnsi="黑体" w:cs="黑体" w:eastAsia="黑体" w:hint="default"/>
        </w:rPr>
        <w:t>公司业务概要</w:t>
      </w:r>
      <w:r>
        <w:rPr>
          <w:rFonts w:ascii="黑体" w:hAnsi="黑体" w:cs="黑体" w:eastAsia="黑体" w:hint="default"/>
          <w:b w:val="0"/>
          <w:bCs w:val="0"/>
        </w:rPr>
      </w:r>
    </w:p>
    <w:p>
      <w:pPr>
        <w:pStyle w:val="Heading3"/>
        <w:spacing w:line="324" w:lineRule="auto" w:before="219"/>
        <w:ind w:right="0"/>
        <w:jc w:val="left"/>
        <w:rPr>
          <w:rFonts w:ascii="宋体" w:hAnsi="宋体" w:cs="宋体" w:eastAsia="宋体" w:hint="default"/>
          <w:b w:val="0"/>
          <w:bCs w:val="0"/>
        </w:rPr>
      </w:pPr>
      <w:r>
        <w:rPr>
          <w:spacing w:val="-1"/>
        </w:rPr>
        <w:t>一、报告期内公司所从事的主要业务、经营模式及行业情况说明</w:t>
      </w:r>
      <w:r>
        <w:rPr>
          <w:spacing w:val="-76"/>
        </w:rPr>
        <w:t> </w:t>
      </w:r>
      <w:r>
        <w:rPr>
          <w:spacing w:val="-76"/>
        </w:rPr>
      </w:r>
      <w:r>
        <w:rPr>
          <w:rFonts w:ascii="宋体" w:hAnsi="宋体" w:cs="宋体" w:eastAsia="宋体" w:hint="default"/>
        </w:rPr>
        <w:t>1</w:t>
      </w:r>
      <w:r>
        <w:rPr/>
        <w:t>、公司所从事的主要业务与经营模式：</w:t>
      </w:r>
      <w:r>
        <w:rPr>
          <w:rFonts w:ascii="宋体" w:hAnsi="宋体" w:cs="宋体" w:eastAsia="宋体" w:hint="default"/>
          <w:w w:val="99"/>
        </w:rPr>
        <w:t> </w:t>
      </w:r>
      <w:r>
        <w:rPr>
          <w:rFonts w:ascii="宋体" w:hAnsi="宋体" w:cs="宋体" w:eastAsia="宋体" w:hint="default"/>
          <w:b w:val="0"/>
          <w:bCs w:val="0"/>
        </w:rPr>
      </w:r>
    </w:p>
    <w:p>
      <w:pPr>
        <w:pStyle w:val="BodyText"/>
        <w:spacing w:line="239" w:lineRule="exact"/>
        <w:ind w:left="638" w:right="0"/>
        <w:jc w:val="left"/>
        <w:rPr>
          <w:rFonts w:ascii="宋体" w:hAnsi="宋体" w:cs="宋体" w:eastAsia="宋体" w:hint="default"/>
        </w:rPr>
      </w:pPr>
      <w:r>
        <w:rPr/>
        <w:t>报告期内，公司主要从事智能、节能、新能源三个板块业务，具体如下：</w:t>
      </w:r>
      <w:r>
        <w:rPr>
          <w:rFonts w:ascii="宋体" w:hAnsi="宋体" w:cs="宋体" w:eastAsia="宋体" w:hint="default"/>
        </w:rPr>
        <w:t> </w:t>
      </w:r>
    </w:p>
    <w:p>
      <w:pPr>
        <w:pStyle w:val="BodyText"/>
        <w:spacing w:line="273" w:lineRule="auto" w:before="37"/>
        <w:ind w:left="638" w:right="0" w:hanging="420"/>
        <w:jc w:val="left"/>
      </w:pPr>
      <w:r>
        <w:rPr>
          <w:rFonts w:ascii="宋体" w:hAnsi="宋体" w:cs="宋体" w:eastAsia="宋体" w:hint="default"/>
          <w:b/>
          <w:bCs/>
        </w:rPr>
        <w:t>（</w:t>
      </w:r>
      <w:r>
        <w:rPr>
          <w:rFonts w:ascii="宋体" w:hAnsi="宋体" w:cs="宋体" w:eastAsia="宋体" w:hint="default"/>
          <w:b/>
          <w:bCs/>
        </w:rPr>
        <w:t>1</w:t>
      </w:r>
      <w:r>
        <w:rPr>
          <w:rFonts w:ascii="宋体" w:hAnsi="宋体" w:cs="宋体" w:eastAsia="宋体" w:hint="default"/>
          <w:b/>
          <w:bCs/>
        </w:rPr>
        <w:t>）智能板块：</w:t>
      </w:r>
      <w:r>
        <w:rPr>
          <w:rFonts w:ascii="宋体" w:hAnsi="宋体" w:cs="宋体" w:eastAsia="宋体" w:hint="default"/>
          <w:b/>
          <w:bCs/>
          <w:w w:val="99"/>
        </w:rPr>
        <w:t> </w:t>
      </w:r>
      <w:r>
        <w:rPr>
          <w:spacing w:val="-2"/>
        </w:rPr>
        <w:t>公司智能板块主营产品覆盖智能电表、用电信息采集终端、用电信息管理系统及</w:t>
      </w:r>
      <w:r>
        <w:rPr>
          <w:spacing w:val="25"/>
        </w:rPr>
        <w:t> </w:t>
      </w:r>
      <w:r>
        <w:rPr>
          <w:rFonts w:ascii="宋体" w:hAnsi="宋体" w:cs="宋体" w:eastAsia="宋体" w:hint="default"/>
          <w:spacing w:val="-2"/>
        </w:rPr>
        <w:t>AMI</w:t>
      </w:r>
      <w:r>
        <w:rPr>
          <w:spacing w:val="-2"/>
        </w:rPr>
        <w:t>（先进计</w:t>
      </w:r>
    </w:p>
    <w:p>
      <w:pPr>
        <w:pStyle w:val="BodyText"/>
        <w:spacing w:line="273" w:lineRule="auto" w:before="7"/>
        <w:ind w:right="0"/>
        <w:jc w:val="left"/>
        <w:rPr>
          <w:rFonts w:ascii="宋体" w:hAnsi="宋体" w:cs="宋体" w:eastAsia="宋体" w:hint="default"/>
        </w:rPr>
      </w:pPr>
      <w:r>
        <w:rPr>
          <w:spacing w:val="-2"/>
        </w:rPr>
        <w:t>量体系架构）解决方案、低压智能断路器、智能配电产品及相关解决方案、电力运维服务、微电网</w:t>
      </w:r>
      <w:r>
        <w:rPr>
          <w:spacing w:val="-25"/>
        </w:rPr>
        <w:t> </w:t>
      </w:r>
      <w:r>
        <w:rPr>
          <w:spacing w:val="-25"/>
        </w:rPr>
      </w:r>
      <w:r>
        <w:rPr>
          <w:spacing w:val="-6"/>
          <w:w w:val="100"/>
        </w:rPr>
        <w:t>及储能系统、电力物联网智能终端及解决方案等，是领先的智能配用电产品及系统解决方案提供商。</w:t>
      </w:r>
      <w:r>
        <w:rPr>
          <w:spacing w:val="-74"/>
          <w:w w:val="100"/>
        </w:rPr>
        <w:t> </w:t>
      </w:r>
      <w:r>
        <w:rPr>
          <w:spacing w:val="-74"/>
          <w:w w:val="100"/>
        </w:rPr>
      </w:r>
      <w:r>
        <w:rPr>
          <w:spacing w:val="-2"/>
        </w:rPr>
        <w:t>包括但不限于：单相电能表系列、三相电能表系列、直流电能表以及数字化变电站表、采集器、专</w:t>
      </w:r>
      <w:r>
        <w:rPr>
          <w:spacing w:val="-25"/>
        </w:rPr>
        <w:t> </w:t>
      </w:r>
      <w:r>
        <w:rPr>
          <w:spacing w:val="-25"/>
        </w:rPr>
      </w:r>
      <w:r>
        <w:rPr>
          <w:spacing w:val="-2"/>
        </w:rPr>
        <w:t>变采集终端、集中器、负控及配变终端、各类通讯模块、能效采集及管理终端、模组化智能终端、</w:t>
      </w:r>
      <w:r>
        <w:rPr>
          <w:spacing w:val="-25"/>
        </w:rPr>
        <w:t> </w:t>
      </w:r>
      <w:r>
        <w:rPr>
          <w:spacing w:val="-25"/>
        </w:rPr>
      </w:r>
      <w:r>
        <w:rPr/>
        <w:t>配用电融合智能终端、等产品以及智能用电信息管理和海外</w:t>
      </w:r>
      <w:r>
        <w:rPr>
          <w:spacing w:val="-56"/>
        </w:rPr>
        <w:t> </w:t>
      </w:r>
      <w:r>
        <w:rPr>
          <w:rFonts w:ascii="宋体" w:hAnsi="宋体" w:cs="宋体" w:eastAsia="宋体" w:hint="default"/>
        </w:rPr>
        <w:t>AMI</w:t>
      </w:r>
      <w:r>
        <w:rPr/>
        <w:t>（先进计量体系架构）主站软件等</w:t>
      </w:r>
      <w:r>
        <w:rPr>
          <w:w w:val="100"/>
        </w:rPr>
        <w:t> </w:t>
      </w:r>
      <w:r>
        <w:rPr/>
        <w:t>系统解决方案。</w:t>
      </w:r>
      <w:r>
        <w:rPr>
          <w:rFonts w:ascii="宋体" w:hAnsi="宋体" w:cs="宋体" w:eastAsia="宋体" w:hint="default"/>
        </w:rPr>
        <w:t> </w:t>
      </w:r>
    </w:p>
    <w:p>
      <w:pPr>
        <w:pStyle w:val="BodyText"/>
        <w:spacing w:line="273" w:lineRule="auto" w:before="7"/>
        <w:ind w:right="109" w:firstLine="420"/>
        <w:jc w:val="both"/>
        <w:rPr>
          <w:rFonts w:ascii="宋体" w:hAnsi="宋体" w:cs="宋体" w:eastAsia="宋体" w:hint="default"/>
        </w:rPr>
      </w:pPr>
      <w:r>
        <w:rPr>
          <w:spacing w:val="-2"/>
        </w:rPr>
        <w:t>公司经营模式主要包括：参加国网、南网、地方电力公司以及海外各国电力公司集中招标；通</w:t>
      </w:r>
      <w:r>
        <w:rPr>
          <w:w w:val="100"/>
        </w:rPr>
        <w:t> </w:t>
      </w:r>
      <w:r>
        <w:rPr>
          <w:spacing w:val="-6"/>
          <w:w w:val="100"/>
        </w:rPr>
        <w:t>过全国各地子公司及营销机构获得地方电力公司及非电力公司客户订单；通过战略合作、自主开拓、</w:t>
      </w:r>
      <w:r>
        <w:rPr>
          <w:spacing w:val="-74"/>
          <w:w w:val="100"/>
        </w:rPr>
        <w:t> </w:t>
      </w:r>
      <w:r>
        <w:rPr>
          <w:spacing w:val="-74"/>
          <w:w w:val="100"/>
        </w:rPr>
      </w:r>
      <w:r>
        <w:rPr/>
        <w:t>代理商合作、合资或收购兼并等方式获得海外电力公司订单以及为合作伙伴提供产品和服务。</w:t>
      </w:r>
      <w:r>
        <w:rPr>
          <w:rFonts w:ascii="宋体" w:hAnsi="宋体" w:cs="宋体" w:eastAsia="宋体" w:hint="default"/>
        </w:rPr>
        <w:t> </w:t>
      </w:r>
    </w:p>
    <w:p>
      <w:pPr>
        <w:pStyle w:val="BodyText"/>
        <w:spacing w:line="240" w:lineRule="auto" w:before="7"/>
        <w:ind w:left="638" w:right="0"/>
        <w:jc w:val="left"/>
      </w:pPr>
      <w:r>
        <w:rPr/>
        <w:t>经过 </w:t>
      </w:r>
      <w:r>
        <w:rPr>
          <w:rFonts w:ascii="宋体" w:hAnsi="宋体" w:cs="宋体" w:eastAsia="宋体" w:hint="default"/>
        </w:rPr>
        <w:t>20</w:t>
      </w:r>
      <w:r>
        <w:rPr>
          <w:rFonts w:ascii="宋体" w:hAnsi="宋体" w:cs="宋体" w:eastAsia="宋体" w:hint="default"/>
          <w:spacing w:val="-28"/>
        </w:rPr>
        <w:t> </w:t>
      </w:r>
      <w:r>
        <w:rPr>
          <w:spacing w:val="-4"/>
        </w:rPr>
        <w:t>多年的发展，公司产品已经销往全国各个省市，并远销欧洲、中东、东亚、东南亚、非</w:t>
      </w:r>
    </w:p>
    <w:p>
      <w:pPr>
        <w:pStyle w:val="BodyText"/>
        <w:spacing w:line="273" w:lineRule="auto" w:before="37"/>
        <w:ind w:right="0"/>
        <w:jc w:val="left"/>
        <w:rPr>
          <w:rFonts w:ascii="宋体" w:hAnsi="宋体" w:cs="宋体" w:eastAsia="宋体" w:hint="default"/>
        </w:rPr>
      </w:pPr>
      <w:r>
        <w:rPr>
          <w:spacing w:val="-4"/>
        </w:rPr>
        <w:t>洲、南美洲等</w:t>
      </w:r>
      <w:r>
        <w:rPr>
          <w:spacing w:val="-30"/>
        </w:rPr>
        <w:t> </w:t>
      </w:r>
      <w:r>
        <w:rPr>
          <w:rFonts w:ascii="宋体" w:hAnsi="宋体" w:cs="宋体" w:eastAsia="宋体" w:hint="default"/>
        </w:rPr>
        <w:t>30</w:t>
      </w:r>
      <w:r>
        <w:rPr>
          <w:rFonts w:ascii="宋体" w:hAnsi="宋体" w:cs="宋体" w:eastAsia="宋体" w:hint="default"/>
          <w:spacing w:val="-33"/>
        </w:rPr>
        <w:t> </w:t>
      </w:r>
      <w:r>
        <w:rPr>
          <w:spacing w:val="-3"/>
        </w:rPr>
        <w:t>多个国家和地区。客户主要为国家电网、南方电网、各地方电力公司、非电力行业</w:t>
      </w:r>
      <w:r>
        <w:rPr>
          <w:spacing w:val="-94"/>
        </w:rPr>
        <w:t> </w:t>
      </w:r>
      <w:r>
        <w:rPr>
          <w:spacing w:val="-94"/>
        </w:rPr>
      </w:r>
      <w:r>
        <w:rPr/>
        <w:t>用户，以及海外电力公司、海外合作伙伴及大客户等。</w:t>
      </w:r>
      <w:r>
        <w:rPr>
          <w:rFonts w:ascii="宋体" w:hAnsi="宋体" w:cs="宋体" w:eastAsia="宋体" w:hint="default"/>
        </w:rPr>
        <w:t> </w:t>
      </w:r>
    </w:p>
    <w:p>
      <w:pPr>
        <w:pStyle w:val="BodyText"/>
        <w:spacing w:line="240" w:lineRule="auto" w:before="7"/>
        <w:ind w:left="638" w:right="0"/>
        <w:jc w:val="left"/>
        <w:rPr>
          <w:rFonts w:ascii="宋体" w:hAnsi="宋体" w:cs="宋体" w:eastAsia="宋体" w:hint="default"/>
        </w:rPr>
      </w:pPr>
      <w:r>
        <w:rPr>
          <w:rFonts w:ascii="宋体"/>
          <w:w w:val="100"/>
        </w:rPr>
        <w:t> </w:t>
      </w:r>
    </w:p>
    <w:p>
      <w:pPr>
        <w:pStyle w:val="BodyText"/>
        <w:spacing w:line="273" w:lineRule="auto" w:before="37"/>
        <w:ind w:left="638" w:right="0" w:hanging="420"/>
        <w:jc w:val="left"/>
      </w:pPr>
      <w:r>
        <w:rPr>
          <w:rFonts w:ascii="宋体" w:hAnsi="宋体" w:cs="宋体" w:eastAsia="宋体" w:hint="default"/>
          <w:b/>
          <w:bCs/>
        </w:rPr>
        <w:t>（</w:t>
      </w:r>
      <w:r>
        <w:rPr>
          <w:rFonts w:ascii="宋体" w:hAnsi="宋体" w:cs="宋体" w:eastAsia="宋体" w:hint="default"/>
          <w:b/>
          <w:bCs/>
        </w:rPr>
        <w:t>2</w:t>
      </w:r>
      <w:r>
        <w:rPr>
          <w:rFonts w:ascii="宋体" w:hAnsi="宋体" w:cs="宋体" w:eastAsia="宋体" w:hint="default"/>
          <w:b/>
          <w:bCs/>
        </w:rPr>
        <w:t>）新能源板块：</w:t>
      </w:r>
      <w:r>
        <w:rPr>
          <w:rFonts w:ascii="宋体" w:hAnsi="宋体" w:cs="宋体" w:eastAsia="宋体" w:hint="default"/>
          <w:b/>
          <w:bCs/>
          <w:w w:val="99"/>
        </w:rPr>
        <w:t> </w:t>
      </w:r>
      <w:r>
        <w:rPr>
          <w:spacing w:val="-2"/>
        </w:rPr>
        <w:t>公司新能源板块主营业务为开发、投资、设计、建设、运营及服务各类分布式光伏电站，包括</w:t>
      </w:r>
    </w:p>
    <w:p>
      <w:pPr>
        <w:pStyle w:val="BodyText"/>
        <w:spacing w:line="273" w:lineRule="auto" w:before="7"/>
        <w:ind w:right="0"/>
        <w:jc w:val="left"/>
        <w:rPr>
          <w:rFonts w:ascii="宋体" w:hAnsi="宋体" w:cs="宋体" w:eastAsia="宋体" w:hint="default"/>
        </w:rPr>
      </w:pPr>
      <w:r>
        <w:rPr>
          <w:spacing w:val="-2"/>
        </w:rPr>
        <w:t>大中小型工商业屋顶电站、地面分布式光伏电站、光伏建筑一体化、光充储微网等，光伏电站运维</w:t>
      </w:r>
      <w:r>
        <w:rPr>
          <w:spacing w:val="-25"/>
        </w:rPr>
        <w:t> </w:t>
      </w:r>
      <w:r>
        <w:rPr>
          <w:spacing w:val="-25"/>
        </w:rPr>
      </w:r>
      <w:r>
        <w:rPr/>
        <w:t>服务以及</w:t>
      </w:r>
      <w:r>
        <w:rPr>
          <w:spacing w:val="-54"/>
        </w:rPr>
        <w:t> </w:t>
      </w:r>
      <w:r>
        <w:rPr>
          <w:rFonts w:ascii="宋体" w:hAnsi="宋体" w:cs="宋体" w:eastAsia="宋体" w:hint="default"/>
        </w:rPr>
        <w:t>N</w:t>
      </w:r>
      <w:r>
        <w:rPr>
          <w:rFonts w:ascii="宋体" w:hAnsi="宋体" w:cs="宋体" w:eastAsia="宋体" w:hint="default"/>
          <w:spacing w:val="-56"/>
        </w:rPr>
        <w:t> </w:t>
      </w:r>
      <w:r>
        <w:rPr/>
        <w:t>型高效双面单晶光伏电池、组件的研发、制造和销售。</w:t>
      </w:r>
      <w:r>
        <w:rPr>
          <w:rFonts w:ascii="宋体" w:hAnsi="宋体" w:cs="宋体" w:eastAsia="宋体" w:hint="default"/>
        </w:rPr>
        <w:t> </w:t>
      </w:r>
    </w:p>
    <w:p>
      <w:pPr>
        <w:pStyle w:val="BodyText"/>
        <w:spacing w:line="273" w:lineRule="auto" w:before="7"/>
        <w:ind w:right="0" w:firstLine="420"/>
        <w:jc w:val="left"/>
        <w:rPr>
          <w:rFonts w:ascii="宋体" w:hAnsi="宋体" w:cs="宋体" w:eastAsia="宋体" w:hint="default"/>
        </w:rPr>
      </w:pPr>
      <w:r>
        <w:rPr>
          <w:spacing w:val="-3"/>
        </w:rPr>
        <w:t>近年来，公司新能源板块快速发展，光伏电站装机量持续增长，截止 </w:t>
      </w:r>
      <w:r>
        <w:rPr>
          <w:rFonts w:ascii="宋体" w:hAnsi="宋体" w:cs="宋体" w:eastAsia="宋体" w:hint="default"/>
        </w:rPr>
        <w:t>2019</w:t>
      </w:r>
      <w:r>
        <w:rPr>
          <w:rFonts w:ascii="宋体" w:hAnsi="宋体" w:cs="宋体" w:eastAsia="宋体" w:hint="default"/>
          <w:spacing w:val="-58"/>
        </w:rPr>
        <w:t> </w:t>
      </w:r>
      <w:r>
        <w:rPr>
          <w:spacing w:val="-4"/>
        </w:rPr>
        <w:t>年底，公司各类光伏</w:t>
      </w:r>
      <w:r>
        <w:rPr>
          <w:w w:val="100"/>
        </w:rPr>
        <w:t> </w:t>
      </w:r>
      <w:r>
        <w:rPr/>
        <w:t>电站并网容量累计约</w:t>
      </w:r>
      <w:r>
        <w:rPr>
          <w:spacing w:val="-56"/>
        </w:rPr>
        <w:t> </w:t>
      </w:r>
      <w:r>
        <w:rPr>
          <w:rFonts w:ascii="宋体" w:hAnsi="宋体" w:cs="宋体" w:eastAsia="宋体" w:hint="default"/>
        </w:rPr>
        <w:t>1.5GW</w:t>
      </w:r>
      <w:r>
        <w:rPr/>
        <w:t>，主要集中在江苏、安徽、山东、河南、河北等中东部地区和内蒙呼和</w:t>
      </w:r>
      <w:r>
        <w:rPr>
          <w:w w:val="100"/>
        </w:rPr>
        <w:t> </w:t>
      </w:r>
      <w:r>
        <w:rPr>
          <w:spacing w:val="-6"/>
        </w:rPr>
        <w:t>浩特地区。公司将凭借自身开发团队的经验、高效光伏电站设计方案和系统集成能力、融资能力强、</w:t>
      </w:r>
      <w:r>
        <w:rPr>
          <w:spacing w:val="-17"/>
        </w:rPr>
        <w:t> </w:t>
      </w:r>
      <w:r>
        <w:rPr>
          <w:spacing w:val="-17"/>
        </w:rPr>
      </w:r>
      <w:r>
        <w:rPr>
          <w:spacing w:val="-2"/>
        </w:rPr>
        <w:t>融资成本低等优势，加大平价项目的开发力度；在自主开发、投资的同时，公司以“开发+EPC”模</w:t>
      </w:r>
      <w:r>
        <w:rPr>
          <w:spacing w:val="-21"/>
        </w:rPr>
        <w:t> </w:t>
      </w:r>
      <w:r>
        <w:rPr>
          <w:spacing w:val="-21"/>
        </w:rPr>
      </w:r>
      <w:r>
        <w:rPr>
          <w:spacing w:val="-2"/>
        </w:rPr>
        <w:t>式与中广核、华能、申能、中电建、中能建、等央企、国企在国内外全面合作，目前在建及并网项</w:t>
      </w:r>
      <w:r>
        <w:rPr>
          <w:spacing w:val="-25"/>
        </w:rPr>
        <w:t> </w:t>
      </w:r>
      <w:r>
        <w:rPr>
          <w:spacing w:val="-25"/>
        </w:rPr>
      </w:r>
      <w:r>
        <w:rPr/>
        <w:t>目超过</w:t>
      </w:r>
      <w:r>
        <w:rPr>
          <w:spacing w:val="-53"/>
        </w:rPr>
        <w:t> </w:t>
      </w:r>
      <w:r>
        <w:rPr>
          <w:rFonts w:ascii="宋体" w:hAnsi="宋体" w:cs="宋体" w:eastAsia="宋体" w:hint="default"/>
        </w:rPr>
        <w:t>500</w:t>
      </w:r>
      <w:r>
        <w:rPr>
          <w:rFonts w:ascii="宋体" w:hAnsi="宋体" w:cs="宋体" w:eastAsia="宋体" w:hint="default"/>
          <w:spacing w:val="-55"/>
        </w:rPr>
        <w:t> </w:t>
      </w:r>
      <w:r>
        <w:rPr/>
        <w:t>兆瓦；未来三年，公司将在亚洲、欧洲、澳洲等区域持续开发、建设、运营</w:t>
      </w:r>
      <w:r>
        <w:rPr>
          <w:spacing w:val="-52"/>
        </w:rPr>
        <w:t> </w:t>
      </w:r>
      <w:r>
        <w:rPr>
          <w:rFonts w:ascii="宋体" w:hAnsi="宋体" w:cs="宋体" w:eastAsia="宋体" w:hint="default"/>
        </w:rPr>
        <w:t>3-5GW</w:t>
      </w:r>
      <w:r>
        <w:rPr>
          <w:rFonts w:ascii="宋体" w:hAnsi="宋体" w:cs="宋体" w:eastAsia="宋体" w:hint="default"/>
          <w:spacing w:val="-53"/>
        </w:rPr>
        <w:t> </w:t>
      </w:r>
      <w:r>
        <w:rPr>
          <w:spacing w:val="-3"/>
        </w:rPr>
        <w:t>光伏</w:t>
      </w:r>
      <w:r>
        <w:rPr>
          <w:spacing w:val="-3"/>
          <w:w w:val="100"/>
        </w:rPr>
        <w:t> </w:t>
      </w:r>
      <w:r>
        <w:rPr/>
        <w:t>电站。</w:t>
      </w:r>
      <w:r>
        <w:rPr>
          <w:rFonts w:ascii="宋体" w:hAnsi="宋体" w:cs="宋体" w:eastAsia="宋体" w:hint="default"/>
        </w:rPr>
        <w:t> </w:t>
      </w:r>
    </w:p>
    <w:p>
      <w:pPr>
        <w:pStyle w:val="BodyText"/>
        <w:spacing w:line="273" w:lineRule="auto" w:before="7"/>
        <w:ind w:right="0" w:firstLine="420"/>
        <w:jc w:val="left"/>
        <w:rPr>
          <w:rFonts w:ascii="宋体" w:hAnsi="宋体" w:cs="宋体" w:eastAsia="宋体" w:hint="default"/>
        </w:rPr>
      </w:pPr>
      <w:r>
        <w:rPr>
          <w:spacing w:val="-2"/>
        </w:rPr>
        <w:t>为了保障公司各类分布式光伏电站的安全可靠运行，</w:t>
      </w:r>
      <w:r>
        <w:rPr>
          <w:rFonts w:ascii="宋体" w:hAnsi="宋体" w:cs="宋体" w:eastAsia="宋体" w:hint="default"/>
          <w:spacing w:val="-2"/>
        </w:rPr>
        <w:t>2019</w:t>
      </w:r>
      <w:r>
        <w:rPr>
          <w:rFonts w:ascii="宋体" w:hAnsi="宋体" w:cs="宋体" w:eastAsia="宋体" w:hint="default"/>
          <w:spacing w:val="-6"/>
        </w:rPr>
        <w:t> </w:t>
      </w:r>
      <w:r>
        <w:rPr>
          <w:spacing w:val="-2"/>
        </w:rPr>
        <w:t>年公司光伏电站运维团队专业运维人</w:t>
      </w:r>
      <w:r>
        <w:rPr>
          <w:w w:val="100"/>
        </w:rPr>
        <w:t> </w:t>
      </w:r>
      <w:r>
        <w:rPr/>
        <w:t>员近</w:t>
      </w:r>
      <w:r>
        <w:rPr>
          <w:spacing w:val="-55"/>
        </w:rPr>
        <w:t> </w:t>
      </w:r>
      <w:r>
        <w:rPr>
          <w:rFonts w:ascii="宋体" w:hAnsi="宋体" w:cs="宋体" w:eastAsia="宋体" w:hint="default"/>
        </w:rPr>
        <w:t>300</w:t>
      </w:r>
      <w:r>
        <w:rPr>
          <w:rFonts w:ascii="宋体" w:hAnsi="宋体" w:cs="宋体" w:eastAsia="宋体" w:hint="default"/>
          <w:spacing w:val="-55"/>
        </w:rPr>
        <w:t> </w:t>
      </w:r>
      <w:r>
        <w:rPr/>
        <w:t>人。在“安全第一、运行可靠、效益为先、长期受控”十六字运维方针的指导下，公司已</w:t>
      </w:r>
      <w:r>
        <w:rPr>
          <w:w w:val="100"/>
        </w:rPr>
        <w:t> </w:t>
      </w:r>
      <w:r>
        <w:rPr>
          <w:spacing w:val="-2"/>
        </w:rPr>
        <w:t>完全具备安全监督、远程监控、检修维护、性能优化、指标保障等服务能力，“一站式”光伏运维</w:t>
      </w:r>
      <w:r>
        <w:rPr>
          <w:spacing w:val="-25"/>
        </w:rPr>
        <w:t> </w:t>
      </w:r>
      <w:r>
        <w:rPr>
          <w:spacing w:val="-25"/>
        </w:rPr>
      </w:r>
      <w:r>
        <w:rPr>
          <w:spacing w:val="-2"/>
        </w:rPr>
        <w:t>服务切实保障电站资产安全和稳定运行。依托公司自主设计开发的“林洋光伏运维智慧云平台”，</w:t>
      </w:r>
      <w:r>
        <w:rPr>
          <w:spacing w:val="-25"/>
        </w:rPr>
        <w:t> </w:t>
      </w:r>
      <w:r>
        <w:rPr>
          <w:spacing w:val="-25"/>
        </w:rPr>
      </w:r>
      <w:r>
        <w:rPr>
          <w:spacing w:val="-2"/>
        </w:rPr>
        <w:t>对光伏电站进行集中调控、统一管理、综合分析，基本实现了“区域管理、集中监控、少人值守、</w:t>
      </w:r>
      <w:r>
        <w:rPr>
          <w:spacing w:val="-25"/>
        </w:rPr>
        <w:t> </w:t>
      </w:r>
      <w:r>
        <w:rPr>
          <w:spacing w:val="-25"/>
        </w:rPr>
      </w:r>
      <w:r>
        <w:rPr>
          <w:spacing w:val="-2"/>
        </w:rPr>
        <w:t>无人值班”的智能化、专业化运维模式，通过科学、智能、高效的解决手段提高光伏电站的发电收</w:t>
      </w:r>
      <w:r>
        <w:rPr>
          <w:spacing w:val="-26"/>
        </w:rPr>
        <w:t> </w:t>
      </w:r>
      <w:r>
        <w:rPr>
          <w:spacing w:val="-26"/>
        </w:rPr>
      </w:r>
      <w:r>
        <w:rPr>
          <w:spacing w:val="-2"/>
        </w:rPr>
        <w:t>益和系统稳定性，最大程度提高电站的运维水平，确保电站的高效运作和资源的优化利用，实现光</w:t>
      </w:r>
      <w:r>
        <w:rPr>
          <w:spacing w:val="-25"/>
        </w:rPr>
        <w:t> </w:t>
      </w:r>
      <w:r>
        <w:rPr>
          <w:spacing w:val="-25"/>
        </w:rPr>
      </w:r>
      <w:r>
        <w:rPr/>
        <w:t>伏电站综合利用效益最大化。</w:t>
      </w:r>
      <w:r>
        <w:rPr>
          <w:rFonts w:ascii="宋体" w:hAnsi="宋体" w:cs="宋体" w:eastAsia="宋体" w:hint="default"/>
        </w:rPr>
        <w:t>2019</w:t>
      </w:r>
      <w:r>
        <w:rPr>
          <w:rFonts w:ascii="宋体" w:hAnsi="宋体" w:cs="宋体" w:eastAsia="宋体" w:hint="default"/>
          <w:spacing w:val="-58"/>
        </w:rPr>
        <w:t> </w:t>
      </w:r>
      <w:r>
        <w:rPr/>
        <w:t>年公司运维光伏电站总容量已超</w:t>
      </w:r>
      <w:r>
        <w:rPr>
          <w:spacing w:val="-56"/>
        </w:rPr>
        <w:t> </w:t>
      </w:r>
      <w:r>
        <w:rPr>
          <w:rFonts w:ascii="宋体" w:hAnsi="宋体" w:cs="宋体" w:eastAsia="宋体" w:hint="default"/>
        </w:rPr>
        <w:t>1.7GW</w:t>
      </w:r>
      <w:r>
        <w:rPr/>
        <w:t>，对外运维业务取得突破</w:t>
      </w:r>
      <w:r>
        <w:rPr>
          <w:w w:val="100"/>
        </w:rPr>
        <w:t> </w:t>
      </w:r>
      <w:r>
        <w:rPr/>
        <w:t>性进展，领跑者者项目、扶贫项目及第三方分布式项目受托运维体量超过</w:t>
      </w:r>
      <w:r>
        <w:rPr>
          <w:spacing w:val="-56"/>
        </w:rPr>
        <w:t> </w:t>
      </w:r>
      <w:r>
        <w:rPr>
          <w:rFonts w:ascii="宋体" w:hAnsi="宋体" w:cs="宋体" w:eastAsia="宋体" w:hint="default"/>
        </w:rPr>
        <w:t>200MW</w:t>
      </w:r>
      <w:r>
        <w:rPr/>
        <w:t>，实现了运维服务</w:t>
      </w:r>
      <w:r>
        <w:rPr>
          <w:w w:val="100"/>
        </w:rPr>
        <w:t> </w:t>
      </w:r>
      <w:r>
        <w:rPr/>
        <w:t>的多元化。</w:t>
      </w:r>
      <w:r>
        <w:rPr>
          <w:rFonts w:ascii="宋体" w:hAnsi="宋体" w:cs="宋体" w:eastAsia="宋体" w:hint="default"/>
        </w:rPr>
        <w:t> </w:t>
      </w:r>
    </w:p>
    <w:p>
      <w:pPr>
        <w:pStyle w:val="Heading2"/>
        <w:spacing w:line="294" w:lineRule="exact"/>
        <w:ind w:right="0"/>
        <w:jc w:val="left"/>
        <w:rPr>
          <w:rFonts w:ascii="宋体" w:hAnsi="宋体" w:cs="宋体" w:eastAsia="宋体" w:hint="default"/>
        </w:rPr>
      </w:pPr>
      <w:r>
        <w:rPr>
          <w:rFonts w:ascii="宋体"/>
        </w:rPr>
        <w:t> </w:t>
      </w:r>
    </w:p>
    <w:p>
      <w:pPr>
        <w:pStyle w:val="Heading3"/>
        <w:spacing w:line="240" w:lineRule="auto" w:before="25"/>
        <w:ind w:right="0"/>
        <w:jc w:val="left"/>
        <w:rPr>
          <w:rFonts w:ascii="宋体" w:hAnsi="宋体" w:cs="宋体" w:eastAsia="宋体" w:hint="default"/>
          <w:b w:val="0"/>
          <w:bCs w:val="0"/>
        </w:rPr>
      </w:pPr>
      <w:r>
        <w:rPr/>
        <w:t>（</w:t>
      </w:r>
      <w:r>
        <w:rPr>
          <w:rFonts w:ascii="宋体" w:hAnsi="宋体" w:cs="宋体" w:eastAsia="宋体" w:hint="default"/>
        </w:rPr>
        <w:t>3</w:t>
      </w:r>
      <w:r>
        <w:rPr/>
        <w:t>）节能板块：</w:t>
      </w:r>
      <w:r>
        <w:rPr>
          <w:rFonts w:ascii="宋体" w:hAnsi="宋体" w:cs="宋体" w:eastAsia="宋体" w:hint="default"/>
          <w:w w:val="99"/>
        </w:rPr>
        <w:t> </w:t>
      </w:r>
      <w:r>
        <w:rPr>
          <w:rFonts w:ascii="宋体" w:hAnsi="宋体" w:cs="宋体" w:eastAsia="宋体" w:hint="default"/>
          <w:b w:val="0"/>
          <w:bCs w:val="0"/>
        </w:rPr>
      </w:r>
    </w:p>
    <w:p>
      <w:pPr>
        <w:spacing w:after="0" w:line="240" w:lineRule="auto"/>
        <w:jc w:val="left"/>
        <w:rPr>
          <w:rFonts w:ascii="宋体" w:hAnsi="宋体" w:cs="宋体" w:eastAsia="宋体" w:hint="default"/>
        </w:rPr>
        <w:sectPr>
          <w:pgSz w:w="11910" w:h="16840"/>
          <w:pgMar w:header="748" w:footer="974" w:top="1140" w:bottom="1160" w:left="1200" w:right="1300"/>
        </w:sectPr>
      </w:pPr>
    </w:p>
    <w:p>
      <w:pPr>
        <w:spacing w:line="240" w:lineRule="auto" w:before="2"/>
        <w:rPr>
          <w:rFonts w:ascii="宋体" w:hAnsi="宋体" w:cs="宋体" w:eastAsia="宋体" w:hint="default"/>
          <w:b/>
          <w:bCs/>
          <w:sz w:val="19"/>
          <w:szCs w:val="19"/>
        </w:rPr>
      </w:pPr>
    </w:p>
    <w:p>
      <w:pPr>
        <w:pStyle w:val="BodyText"/>
        <w:spacing w:line="273" w:lineRule="auto" w:before="36"/>
        <w:ind w:right="209" w:firstLine="420"/>
        <w:jc w:val="both"/>
        <w:rPr>
          <w:rFonts w:ascii="宋体" w:hAnsi="宋体" w:cs="宋体" w:eastAsia="宋体" w:hint="default"/>
        </w:rPr>
      </w:pPr>
      <w:r>
        <w:rPr>
          <w:spacing w:val="-2"/>
        </w:rPr>
        <w:t>公司节能板块主要业务为综合能源服务业务，该业务板块依托林洋智慧能效管理云平台，为用</w:t>
      </w:r>
      <w:r>
        <w:rPr>
          <w:w w:val="100"/>
        </w:rPr>
        <w:t> </w:t>
      </w:r>
      <w:r>
        <w:rPr>
          <w:spacing w:val="-6"/>
          <w:w w:val="100"/>
        </w:rPr>
        <w:t>户提供定制的一站式综合能源服务解决方案，包括</w:t>
      </w:r>
      <w:r>
        <w:rPr>
          <w:spacing w:val="-45"/>
          <w:w w:val="100"/>
        </w:rPr>
        <w:t> </w:t>
      </w:r>
      <w:r>
        <w:rPr>
          <w:rFonts w:ascii="宋体" w:hAnsi="宋体" w:cs="宋体" w:eastAsia="宋体" w:hint="default"/>
          <w:spacing w:val="-1"/>
          <w:w w:val="100"/>
        </w:rPr>
        <w:t>LED</w:t>
      </w:r>
      <w:r>
        <w:rPr>
          <w:rFonts w:ascii="宋体" w:hAnsi="宋体" w:cs="宋体" w:eastAsia="宋体" w:hint="default"/>
          <w:spacing w:val="-45"/>
          <w:w w:val="100"/>
        </w:rPr>
        <w:t> </w:t>
      </w:r>
      <w:r>
        <w:rPr>
          <w:spacing w:val="-6"/>
          <w:w w:val="100"/>
        </w:rPr>
        <w:t>节能照明改造、分布式光伏发电及储能微网、</w:t>
      </w:r>
      <w:r>
        <w:rPr>
          <w:spacing w:val="-102"/>
          <w:w w:val="100"/>
        </w:rPr>
        <w:t> </w:t>
      </w:r>
      <w:r>
        <w:rPr>
          <w:spacing w:val="-102"/>
          <w:w w:val="100"/>
        </w:rPr>
      </w:r>
      <w:r>
        <w:rPr/>
        <w:t>清洁高效电供暖、电能质量治理、工业设备节能改造等。</w:t>
      </w:r>
      <w:r>
        <w:rPr>
          <w:rFonts w:ascii="宋体" w:hAnsi="宋体" w:cs="宋体" w:eastAsia="宋体" w:hint="default"/>
        </w:rPr>
        <w:t> </w:t>
      </w:r>
    </w:p>
    <w:p>
      <w:pPr>
        <w:pStyle w:val="BodyText"/>
        <w:spacing w:line="273" w:lineRule="auto" w:before="7"/>
        <w:ind w:right="209" w:firstLine="420"/>
        <w:jc w:val="both"/>
        <w:rPr>
          <w:rFonts w:ascii="宋体" w:hAnsi="宋体" w:cs="宋体" w:eastAsia="宋体" w:hint="default"/>
        </w:rPr>
      </w:pPr>
      <w:r>
        <w:rPr/>
        <w:t>公司智慧能效管理云平台已上线约 </w:t>
      </w:r>
      <w:r>
        <w:rPr>
          <w:rFonts w:ascii="宋体" w:hAnsi="宋体" w:cs="宋体" w:eastAsia="宋体" w:hint="default"/>
        </w:rPr>
        <w:t>4500</w:t>
      </w:r>
      <w:r>
        <w:rPr>
          <w:rFonts w:ascii="宋体" w:hAnsi="宋体" w:cs="宋体" w:eastAsia="宋体" w:hint="default"/>
          <w:spacing w:val="-67"/>
        </w:rPr>
        <w:t> </w:t>
      </w:r>
      <w:r>
        <w:rPr>
          <w:spacing w:val="-5"/>
        </w:rPr>
        <w:t>多家的高能耗工业企业及商业用户，通过在用户能源消</w:t>
      </w:r>
      <w:r>
        <w:rPr>
          <w:w w:val="100"/>
        </w:rPr>
        <w:t> </w:t>
      </w:r>
      <w:r>
        <w:rPr>
          <w:spacing w:val="-2"/>
        </w:rPr>
        <w:t>费端用能点布署智慧能效采集终端，将工业、商业、建筑、楼宇等的电、水、气、热等能源消耗大</w:t>
      </w:r>
      <w:r>
        <w:rPr>
          <w:spacing w:val="-25"/>
        </w:rPr>
        <w:t> </w:t>
      </w:r>
      <w:r>
        <w:rPr>
          <w:spacing w:val="-25"/>
        </w:rPr>
      </w:r>
      <w:r>
        <w:rPr>
          <w:spacing w:val="-2"/>
        </w:rPr>
        <w:t>数据通过互联网采集到智慧能效云服务中心，从而为客户提供全面的能效分析和预警，并基于能源</w:t>
      </w:r>
      <w:r>
        <w:rPr>
          <w:spacing w:val="-25"/>
        </w:rPr>
        <w:t> </w:t>
      </w:r>
      <w:r>
        <w:rPr>
          <w:spacing w:val="-25"/>
        </w:rPr>
      </w:r>
      <w:r>
        <w:rPr>
          <w:spacing w:val="-2"/>
        </w:rPr>
        <w:t>消费大数据的深度发掘、分析和利用，为用户提供线上线下的一站式综合能源服务，推动安全、经</w:t>
      </w:r>
      <w:r>
        <w:rPr>
          <w:spacing w:val="-25"/>
        </w:rPr>
        <w:t> </w:t>
      </w:r>
      <w:r>
        <w:rPr>
          <w:spacing w:val="-25"/>
        </w:rPr>
      </w:r>
      <w:r>
        <w:rPr/>
        <w:t>济、高效和绿色用能，更为未来国家放开售电侧及能源交易培育更好的盈利增长点。</w:t>
      </w:r>
      <w:r>
        <w:rPr>
          <w:rFonts w:ascii="宋体" w:hAnsi="宋体" w:cs="宋体" w:eastAsia="宋体" w:hint="default"/>
        </w:rPr>
        <w:t> </w:t>
      </w:r>
    </w:p>
    <w:p>
      <w:pPr>
        <w:pStyle w:val="BodyText"/>
        <w:spacing w:line="273" w:lineRule="auto" w:before="7"/>
        <w:ind w:right="209" w:firstLine="420"/>
        <w:jc w:val="both"/>
        <w:rPr>
          <w:rFonts w:ascii="宋体" w:hAnsi="宋体" w:cs="宋体" w:eastAsia="宋体" w:hint="default"/>
        </w:rPr>
      </w:pPr>
      <w:r>
        <w:rPr/>
        <w:t>通过全资子公司江苏林洋照明科技有限公司开展</w:t>
      </w:r>
      <w:r>
        <w:rPr>
          <w:spacing w:val="-56"/>
        </w:rPr>
        <w:t> </w:t>
      </w:r>
      <w:r>
        <w:rPr>
          <w:rFonts w:ascii="宋体" w:hAnsi="宋体" w:cs="宋体" w:eastAsia="宋体" w:hint="default"/>
        </w:rPr>
        <w:t>LED</w:t>
      </w:r>
      <w:r>
        <w:rPr>
          <w:rFonts w:ascii="宋体" w:hAnsi="宋体" w:cs="宋体" w:eastAsia="宋体" w:hint="default"/>
          <w:spacing w:val="-55"/>
        </w:rPr>
        <w:t> </w:t>
      </w:r>
      <w:r>
        <w:rPr/>
        <w:t>节能照明相关业务，其业务的主要经营模</w:t>
      </w:r>
      <w:r>
        <w:rPr>
          <w:w w:val="100"/>
        </w:rPr>
        <w:t> </w:t>
      </w:r>
      <w:r>
        <w:rPr>
          <w:spacing w:val="-3"/>
        </w:rPr>
        <w:t>式为以下几点：（</w:t>
      </w:r>
      <w:r>
        <w:rPr>
          <w:rFonts w:ascii="宋体" w:hAnsi="宋体" w:cs="宋体" w:eastAsia="宋体" w:hint="default"/>
          <w:spacing w:val="-3"/>
        </w:rPr>
        <w:t>1</w:t>
      </w:r>
      <w:r>
        <w:rPr>
          <w:spacing w:val="-3"/>
        </w:rPr>
        <w:t>）公司拥有建设部颁发的城市道路照明二级施工资质，从事城市路灯的托管、节</w:t>
      </w:r>
      <w:r>
        <w:rPr>
          <w:spacing w:val="-50"/>
        </w:rPr>
        <w:t> </w:t>
      </w:r>
      <w:r>
        <w:rPr>
          <w:spacing w:val="-50"/>
        </w:rPr>
      </w:r>
      <w:r>
        <w:rPr>
          <w:spacing w:val="-3"/>
        </w:rPr>
        <w:t>能改造及景观亮化照明工程的设计、施工、安装等业务。（</w:t>
      </w:r>
      <w:r>
        <w:rPr>
          <w:rFonts w:ascii="宋体" w:hAnsi="宋体" w:cs="宋体" w:eastAsia="宋体" w:hint="default"/>
          <w:spacing w:val="-3"/>
        </w:rPr>
        <w:t>2</w:t>
      </w:r>
      <w:r>
        <w:rPr>
          <w:spacing w:val="-3"/>
        </w:rPr>
        <w:t>）拥有国家发改委节能备案资质，从事</w:t>
      </w:r>
      <w:r>
        <w:rPr>
          <w:spacing w:val="-47"/>
        </w:rPr>
        <w:t> </w:t>
      </w:r>
      <w:r>
        <w:rPr>
          <w:spacing w:val="-47"/>
        </w:rPr>
      </w:r>
      <w:r>
        <w:rPr>
          <w:spacing w:val="-3"/>
        </w:rPr>
        <w:t>城市路灯、建筑楼宇等照明合同能源管理服务以及智能照明系统的实施和运维服务。（</w:t>
      </w:r>
      <w:r>
        <w:rPr>
          <w:rFonts w:ascii="宋体" w:hAnsi="宋体" w:cs="宋体" w:eastAsia="宋体" w:hint="default"/>
          <w:spacing w:val="-3"/>
        </w:rPr>
        <w:t>3</w:t>
      </w:r>
      <w:r>
        <w:rPr>
          <w:spacing w:val="-3"/>
        </w:rPr>
        <w:t>）拥有自主</w:t>
      </w:r>
      <w:r>
        <w:rPr>
          <w:spacing w:val="-46"/>
        </w:rPr>
        <w:t> </w:t>
      </w:r>
      <w:r>
        <w:rPr>
          <w:spacing w:val="-46"/>
        </w:rPr>
      </w:r>
      <w:r>
        <w:rPr/>
        <w:t>的研发与管理团队，以</w:t>
      </w:r>
      <w:r>
        <w:rPr>
          <w:spacing w:val="-56"/>
        </w:rPr>
        <w:t> </w:t>
      </w:r>
      <w:r>
        <w:rPr>
          <w:rFonts w:ascii="宋体" w:hAnsi="宋体" w:cs="宋体" w:eastAsia="宋体" w:hint="default"/>
        </w:rPr>
        <w:t>OEM</w:t>
      </w:r>
      <w:r>
        <w:rPr/>
        <w:t>、</w:t>
      </w:r>
      <w:r>
        <w:rPr>
          <w:rFonts w:ascii="宋体" w:hAnsi="宋体" w:cs="宋体" w:eastAsia="宋体" w:hint="default"/>
        </w:rPr>
        <w:t>ODM</w:t>
      </w:r>
      <w:r>
        <w:rPr>
          <w:rFonts w:ascii="宋体" w:hAnsi="宋体" w:cs="宋体" w:eastAsia="宋体" w:hint="default"/>
          <w:spacing w:val="-56"/>
        </w:rPr>
        <w:t> </w:t>
      </w:r>
      <w:r>
        <w:rPr/>
        <w:t>的方式研发、生产制造</w:t>
      </w:r>
      <w:r>
        <w:rPr>
          <w:spacing w:val="-56"/>
        </w:rPr>
        <w:t> </w:t>
      </w:r>
      <w:r>
        <w:rPr>
          <w:rFonts w:ascii="宋体" w:hAnsi="宋体" w:cs="宋体" w:eastAsia="宋体" w:hint="default"/>
        </w:rPr>
        <w:t>LED</w:t>
      </w:r>
      <w:r>
        <w:rPr>
          <w:rFonts w:ascii="宋体" w:hAnsi="宋体" w:cs="宋体" w:eastAsia="宋体" w:hint="default"/>
          <w:spacing w:val="-56"/>
        </w:rPr>
        <w:t> </w:t>
      </w:r>
      <w:r>
        <w:rPr/>
        <w:t>照明产品。</w:t>
      </w:r>
      <w:r>
        <w:rPr>
          <w:rFonts w:ascii="宋体" w:hAnsi="宋体" w:cs="宋体" w:eastAsia="宋体" w:hint="default"/>
        </w:rPr>
        <w:t> </w:t>
      </w:r>
    </w:p>
    <w:p>
      <w:pPr>
        <w:pStyle w:val="BodyText"/>
        <w:spacing w:line="273" w:lineRule="auto" w:before="7"/>
        <w:ind w:right="209" w:firstLine="420"/>
        <w:jc w:val="both"/>
        <w:rPr>
          <w:rFonts w:ascii="宋体" w:hAnsi="宋体" w:cs="宋体" w:eastAsia="宋体" w:hint="default"/>
        </w:rPr>
      </w:pPr>
      <w:r>
        <w:rPr>
          <w:spacing w:val="-4"/>
        </w:rPr>
        <w:t>报告期内，公司抓住北方煤改电契机，在 </w:t>
      </w:r>
      <w:r>
        <w:rPr>
          <w:rFonts w:ascii="宋体" w:hAnsi="宋体" w:cs="宋体" w:eastAsia="宋体" w:hint="default"/>
        </w:rPr>
        <w:t>2018</w:t>
      </w:r>
      <w:r>
        <w:rPr>
          <w:rFonts w:ascii="宋体" w:hAnsi="宋体" w:cs="宋体" w:eastAsia="宋体" w:hint="default"/>
          <w:spacing w:val="-51"/>
        </w:rPr>
        <w:t> </w:t>
      </w:r>
      <w:r>
        <w:rPr>
          <w:spacing w:val="-3"/>
        </w:rPr>
        <w:t>年河北农村清洁供暖业务的基础上，选用热泵类</w:t>
      </w:r>
      <w:r>
        <w:rPr>
          <w:w w:val="100"/>
        </w:rPr>
        <w:t> </w:t>
      </w:r>
      <w:r>
        <w:rPr>
          <w:spacing w:val="-2"/>
        </w:rPr>
        <w:t>变频节能供暖产品推进煤改电清洁供暖项目，其采暖与节能效果明显。同时，公司抓住高速公路隧</w:t>
      </w:r>
      <w:r>
        <w:rPr>
          <w:spacing w:val="-25"/>
        </w:rPr>
        <w:t> </w:t>
      </w:r>
      <w:r>
        <w:rPr>
          <w:spacing w:val="-25"/>
        </w:rPr>
      </w:r>
      <w:r>
        <w:rPr>
          <w:spacing w:val="-2"/>
        </w:rPr>
        <w:t>道照明的智能化及节能化提升的契机，在河北高速交通系统以林洋智慧能源管理云平台为依托，推</w:t>
      </w:r>
      <w:r>
        <w:rPr>
          <w:spacing w:val="-25"/>
        </w:rPr>
        <w:t> </w:t>
      </w:r>
      <w:r>
        <w:rPr>
          <w:spacing w:val="-25"/>
        </w:rPr>
      </w:r>
      <w:r>
        <w:rPr/>
        <w:t>进高速公路隧道照明智能化</w:t>
      </w:r>
      <w:r>
        <w:rPr>
          <w:spacing w:val="-54"/>
        </w:rPr>
        <w:t> </w:t>
      </w:r>
      <w:r>
        <w:rPr>
          <w:rFonts w:ascii="宋体" w:hAnsi="宋体" w:cs="宋体" w:eastAsia="宋体" w:hint="default"/>
        </w:rPr>
        <w:t>LED</w:t>
      </w:r>
      <w:r>
        <w:rPr>
          <w:rFonts w:ascii="宋体" w:hAnsi="宋体" w:cs="宋体" w:eastAsia="宋体" w:hint="default"/>
          <w:spacing w:val="-56"/>
        </w:rPr>
        <w:t> </w:t>
      </w:r>
      <w:r>
        <w:rPr/>
        <w:t>节能改造，采用无线智能化单灯控制系统，可远程对隧道</w:t>
      </w:r>
      <w:r>
        <w:rPr>
          <w:spacing w:val="-53"/>
        </w:rPr>
        <w:t> </w:t>
      </w:r>
      <w:r>
        <w:rPr>
          <w:rFonts w:ascii="宋体" w:hAnsi="宋体" w:cs="宋体" w:eastAsia="宋体" w:hint="default"/>
        </w:rPr>
        <w:t>LED</w:t>
      </w:r>
      <w:r>
        <w:rPr>
          <w:rFonts w:ascii="宋体" w:hAnsi="宋体" w:cs="宋体" w:eastAsia="宋体" w:hint="default"/>
          <w:spacing w:val="-54"/>
        </w:rPr>
        <w:t> </w:t>
      </w:r>
      <w:r>
        <w:rPr>
          <w:spacing w:val="-3"/>
        </w:rPr>
        <w:t>照明</w:t>
      </w:r>
      <w:r>
        <w:rPr>
          <w:spacing w:val="-3"/>
          <w:w w:val="100"/>
        </w:rPr>
        <w:t> </w:t>
      </w:r>
      <w:r>
        <w:rPr>
          <w:spacing w:val="-2"/>
        </w:rPr>
        <w:t>系统运行状况进行控制，可根据日照、车流量等状况进行智能优化控制。经国家权威机构检测，具</w:t>
      </w:r>
      <w:r>
        <w:rPr>
          <w:spacing w:val="-25"/>
        </w:rPr>
        <w:t> </w:t>
      </w:r>
      <w:r>
        <w:rPr>
          <w:spacing w:val="-25"/>
        </w:rPr>
      </w:r>
      <w:r>
        <w:rPr/>
        <w:t>控制系统的智能化及节能率达到行业先进水平。</w:t>
      </w:r>
      <w:r>
        <w:rPr>
          <w:rFonts w:ascii="宋体" w:hAnsi="宋体" w:cs="宋体" w:eastAsia="宋体" w:hint="default"/>
        </w:rPr>
        <w:t> </w:t>
      </w:r>
    </w:p>
    <w:p>
      <w:pPr>
        <w:pStyle w:val="Heading3"/>
        <w:spacing w:line="273" w:lineRule="auto" w:before="7"/>
        <w:ind w:right="7370"/>
        <w:jc w:val="left"/>
        <w:rPr>
          <w:rFonts w:ascii="宋体" w:hAnsi="宋体" w:cs="宋体" w:eastAsia="宋体" w:hint="default"/>
          <w:b w:val="0"/>
          <w:bCs w:val="0"/>
        </w:rPr>
      </w:pPr>
      <w:r>
        <w:rPr>
          <w:rFonts w:ascii="宋体" w:hAnsi="宋体" w:cs="宋体" w:eastAsia="宋体" w:hint="default"/>
          <w:w w:val="99"/>
        </w:rPr>
        <w:t> </w:t>
      </w:r>
      <w:r>
        <w:rPr>
          <w:rFonts w:ascii="宋体" w:hAnsi="宋体" w:cs="宋体" w:eastAsia="宋体" w:hint="default"/>
        </w:rPr>
        <w:t>2</w:t>
      </w:r>
      <w:r>
        <w:rPr/>
        <w:t>、行业情况说明：</w:t>
      </w:r>
      <w:r>
        <w:rPr>
          <w:rFonts w:ascii="宋体" w:hAnsi="宋体" w:cs="宋体" w:eastAsia="宋体" w:hint="default"/>
          <w:w w:val="99"/>
        </w:rPr>
        <w:t> </w:t>
      </w:r>
      <w:r>
        <w:rPr>
          <w:rFonts w:ascii="宋体" w:hAnsi="宋体" w:cs="宋体" w:eastAsia="宋体" w:hint="default"/>
          <w:b w:val="0"/>
          <w:bCs w:val="0"/>
        </w:rPr>
      </w:r>
    </w:p>
    <w:p>
      <w:pPr>
        <w:pStyle w:val="BodyText"/>
        <w:spacing w:line="273" w:lineRule="auto" w:before="7"/>
        <w:ind w:left="638" w:right="0" w:hanging="420"/>
        <w:jc w:val="left"/>
      </w:pPr>
      <w:r>
        <w:rPr>
          <w:rFonts w:ascii="宋体" w:hAnsi="宋体" w:cs="宋体" w:eastAsia="宋体" w:hint="default"/>
          <w:b/>
          <w:bCs/>
        </w:rPr>
        <w:t>（</w:t>
      </w:r>
      <w:r>
        <w:rPr>
          <w:rFonts w:ascii="宋体" w:hAnsi="宋体" w:cs="宋体" w:eastAsia="宋体" w:hint="default"/>
          <w:b/>
          <w:bCs/>
        </w:rPr>
        <w:t>1</w:t>
      </w:r>
      <w:r>
        <w:rPr>
          <w:rFonts w:ascii="宋体" w:hAnsi="宋体" w:cs="宋体" w:eastAsia="宋体" w:hint="default"/>
          <w:b/>
          <w:bCs/>
        </w:rPr>
        <w:t>）智能电网领域</w:t>
      </w:r>
      <w:r>
        <w:rPr>
          <w:rFonts w:ascii="宋体" w:hAnsi="宋体" w:cs="宋体" w:eastAsia="宋体" w:hint="default"/>
          <w:b/>
          <w:bCs/>
          <w:w w:val="99"/>
        </w:rPr>
        <w:t> </w:t>
      </w:r>
      <w:r>
        <w:rPr>
          <w:spacing w:val="-2"/>
        </w:rPr>
        <w:t>中国国家电网公司是全球最大的公用事业公司，近年来其战略目标已经从成为世界一流的坚强</w:t>
      </w:r>
    </w:p>
    <w:p>
      <w:pPr>
        <w:pStyle w:val="BodyText"/>
        <w:spacing w:line="273" w:lineRule="auto" w:before="8"/>
        <w:ind w:right="211"/>
        <w:jc w:val="both"/>
        <w:rPr>
          <w:rFonts w:ascii="宋体" w:hAnsi="宋体" w:cs="宋体" w:eastAsia="宋体" w:hint="default"/>
        </w:rPr>
      </w:pPr>
      <w:r>
        <w:rPr>
          <w:spacing w:val="-2"/>
        </w:rPr>
        <w:t>智能电网运营商上升为“建设具有中国特色国际领先的能源互联网企业”，国家电网公司目标是建</w:t>
      </w:r>
      <w:r>
        <w:rPr>
          <w:spacing w:val="-25"/>
        </w:rPr>
        <w:t> </w:t>
      </w:r>
      <w:r>
        <w:rPr>
          <w:spacing w:val="-25"/>
        </w:rPr>
      </w:r>
      <w:r>
        <w:rPr>
          <w:spacing w:val="-2"/>
        </w:rPr>
        <w:t>设以特高压、超高压为骨干网架、各级电网协调发展，具有信息化、自动化、互动化特征和智能响</w:t>
      </w:r>
      <w:r>
        <w:rPr>
          <w:spacing w:val="-25"/>
        </w:rPr>
        <w:t> </w:t>
      </w:r>
      <w:r>
        <w:rPr>
          <w:spacing w:val="-25"/>
        </w:rPr>
      </w:r>
      <w:r>
        <w:rPr>
          <w:spacing w:val="-2"/>
        </w:rPr>
        <w:t>应能力、系统自愈能力的新型现代化电网同时大力推进电力物联网建设，实现电力系统各个环节万</w:t>
      </w:r>
      <w:r>
        <w:rPr>
          <w:spacing w:val="-26"/>
        </w:rPr>
        <w:t> </w:t>
      </w:r>
      <w:r>
        <w:rPr>
          <w:spacing w:val="-26"/>
        </w:rPr>
      </w:r>
      <w:r>
        <w:rPr>
          <w:spacing w:val="-6"/>
        </w:rPr>
        <w:t>物互联、人机交互，具有状态全面感知、信息高效处理、应用便捷灵活特征的智慧服务系统。同时，</w:t>
      </w:r>
      <w:r>
        <w:rPr>
          <w:spacing w:val="-21"/>
        </w:rPr>
        <w:t> </w:t>
      </w:r>
      <w:r>
        <w:rPr>
          <w:spacing w:val="-21"/>
        </w:rPr>
      </w:r>
      <w:r>
        <w:rPr>
          <w:spacing w:val="-2"/>
        </w:rPr>
        <w:t>南方电网公司积极抓住历史机遇，明确提出“数字南网”建设，将数字化作为公司发展战略路径之</w:t>
      </w:r>
      <w:r>
        <w:rPr>
          <w:spacing w:val="-26"/>
        </w:rPr>
        <w:t> </w:t>
      </w:r>
      <w:r>
        <w:rPr>
          <w:spacing w:val="-26"/>
        </w:rPr>
      </w:r>
      <w:r>
        <w:rPr>
          <w:spacing w:val="-2"/>
        </w:rPr>
        <w:t>一，加快部署数字化建设和转型工作。南方电网的数字化转型聚焦于电网数字化、运营数字化和能</w:t>
      </w:r>
      <w:r>
        <w:rPr>
          <w:spacing w:val="-25"/>
        </w:rPr>
        <w:t> </w:t>
      </w:r>
      <w:r>
        <w:rPr>
          <w:spacing w:val="-25"/>
        </w:rPr>
      </w:r>
      <w:r>
        <w:rPr>
          <w:spacing w:val="-2"/>
        </w:rPr>
        <w:t>源生态数字化三个重点，电力物联网建设也成为其中重要的环节。近期国家决策层明确提出要加快</w:t>
      </w:r>
      <w:r>
        <w:rPr>
          <w:spacing w:val="-25"/>
        </w:rPr>
        <w:t> </w:t>
      </w:r>
      <w:r>
        <w:rPr>
          <w:spacing w:val="-25"/>
        </w:rPr>
      </w:r>
      <w:r>
        <w:rPr>
          <w:spacing w:val="-2"/>
        </w:rPr>
        <w:t>推进新型基础设施建设，特别是特高压、</w:t>
      </w:r>
      <w:r>
        <w:rPr>
          <w:rFonts w:ascii="宋体" w:hAnsi="宋体" w:cs="宋体" w:eastAsia="宋体" w:hint="default"/>
          <w:spacing w:val="-2"/>
        </w:rPr>
        <w:t>5G</w:t>
      </w:r>
      <w:r>
        <w:rPr>
          <w:spacing w:val="-2"/>
        </w:rPr>
        <w:t>、工业互联网等七大重点领域。因此结合两大电网公司</w:t>
      </w:r>
      <w:r>
        <w:rPr>
          <w:spacing w:val="-23"/>
        </w:rPr>
        <w:t> </w:t>
      </w:r>
      <w:r>
        <w:rPr>
          <w:spacing w:val="-23"/>
        </w:rPr>
      </w:r>
      <w:r>
        <w:rPr>
          <w:spacing w:val="-2"/>
        </w:rPr>
        <w:t>的数字转型，“新基建”中电力能源领域的建设项目将大力推动能源互联网及电力物联网的建设落</w:t>
      </w:r>
      <w:r>
        <w:rPr>
          <w:spacing w:val="-26"/>
        </w:rPr>
        <w:t> </w:t>
      </w:r>
      <w:r>
        <w:rPr>
          <w:spacing w:val="-26"/>
        </w:rPr>
      </w:r>
      <w:r>
        <w:rPr/>
        <w:t>地。</w:t>
      </w:r>
      <w:r>
        <w:rPr>
          <w:rFonts w:ascii="宋体" w:hAnsi="宋体" w:cs="宋体" w:eastAsia="宋体" w:hint="default"/>
        </w:rPr>
        <w:t> </w:t>
      </w:r>
    </w:p>
    <w:p>
      <w:pPr>
        <w:pStyle w:val="BodyText"/>
        <w:spacing w:line="273" w:lineRule="auto" w:before="7"/>
        <w:ind w:right="248" w:firstLine="420"/>
        <w:jc w:val="both"/>
        <w:rPr>
          <w:rFonts w:ascii="宋体" w:hAnsi="宋体" w:cs="宋体" w:eastAsia="宋体" w:hint="default"/>
        </w:rPr>
      </w:pPr>
      <w:r>
        <w:rPr>
          <w:spacing w:val="-2"/>
        </w:rPr>
        <w:t>智能电表、用电信息采集终端及系统解决方案、面向电力物联网的各类新型配用电智能终端作</w:t>
      </w:r>
      <w:r>
        <w:rPr>
          <w:w w:val="100"/>
        </w:rPr>
        <w:t> </w:t>
      </w:r>
      <w:r>
        <w:rPr>
          <w:spacing w:val="-2"/>
        </w:rPr>
        <w:t>为电网数字化转型及电力物联网建设的重要支撑产品之一，对于电网实现泛在感知、全域物联、智</w:t>
      </w:r>
      <w:r>
        <w:rPr>
          <w:spacing w:val="-25"/>
        </w:rPr>
        <w:t> </w:t>
      </w:r>
      <w:r>
        <w:rPr>
          <w:spacing w:val="-25"/>
        </w:rPr>
      </w:r>
      <w:r>
        <w:rPr/>
        <w:t>慧互动具有重要支撑作用。据统计，目前国网系统接入的终端设备超过</w:t>
      </w:r>
      <w:r>
        <w:rPr>
          <w:spacing w:val="-54"/>
        </w:rPr>
        <w:t> </w:t>
      </w:r>
      <w:r>
        <w:rPr>
          <w:rFonts w:ascii="宋体" w:hAnsi="宋体" w:cs="宋体" w:eastAsia="宋体" w:hint="default"/>
        </w:rPr>
        <w:t>5</w:t>
      </w:r>
      <w:r>
        <w:rPr>
          <w:rFonts w:ascii="宋体" w:hAnsi="宋体" w:cs="宋体" w:eastAsia="宋体" w:hint="default"/>
          <w:spacing w:val="-54"/>
        </w:rPr>
        <w:t> </w:t>
      </w:r>
      <w:r>
        <w:rPr/>
        <w:t>亿只，其中包括</w:t>
      </w:r>
      <w:r>
        <w:rPr>
          <w:spacing w:val="-53"/>
        </w:rPr>
        <w:t> </w:t>
      </w:r>
      <w:r>
        <w:rPr>
          <w:rFonts w:ascii="宋体" w:hAnsi="宋体" w:cs="宋体" w:eastAsia="宋体" w:hint="default"/>
        </w:rPr>
        <w:t>4.8</w:t>
      </w:r>
      <w:r>
        <w:rPr>
          <w:rFonts w:ascii="宋体" w:hAnsi="宋体" w:cs="宋体" w:eastAsia="宋体" w:hint="default"/>
          <w:spacing w:val="-54"/>
        </w:rPr>
        <w:t> </w:t>
      </w:r>
      <w:r>
        <w:rPr>
          <w:spacing w:val="-3"/>
        </w:rPr>
        <w:t>亿只</w:t>
      </w:r>
      <w:r>
        <w:rPr>
          <w:spacing w:val="-3"/>
          <w:w w:val="100"/>
        </w:rPr>
        <w:t> </w:t>
      </w:r>
      <w:r>
        <w:rPr>
          <w:spacing w:val="-2"/>
        </w:rPr>
        <w:t>电表。随着电网公司数字化转型、电力物联网的建设以及电力能源领域“新基建”的推进和落实，</w:t>
      </w:r>
      <w:r>
        <w:rPr>
          <w:spacing w:val="-26"/>
        </w:rPr>
        <w:t> </w:t>
      </w:r>
      <w:r>
        <w:rPr>
          <w:spacing w:val="-26"/>
        </w:rPr>
      </w:r>
      <w:r>
        <w:rPr/>
        <w:t>包括智能电表在内的新一代智能配用电终端产品的覆盖率有望进一步提升。</w:t>
      </w:r>
      <w:r>
        <w:rPr>
          <w:rFonts w:ascii="宋体" w:hAnsi="宋体" w:cs="宋体" w:eastAsia="宋体" w:hint="default"/>
        </w:rPr>
        <w:t> </w:t>
      </w:r>
    </w:p>
    <w:p>
      <w:pPr>
        <w:pStyle w:val="BodyText"/>
        <w:spacing w:line="273" w:lineRule="auto" w:before="7"/>
        <w:ind w:right="0" w:firstLine="420"/>
        <w:jc w:val="left"/>
      </w:pPr>
      <w:r>
        <w:rPr/>
        <w:t>在海外市场，智能电表的部署和电网公司数字化转型正如火如荼地进行。智能电表、用电信息</w:t>
      </w:r>
      <w:r>
        <w:rPr>
          <w:w w:val="100"/>
        </w:rPr>
        <w:t> </w:t>
      </w:r>
      <w:r>
        <w:rPr/>
        <w:t>采集以及</w:t>
      </w:r>
      <w:r>
        <w:rPr>
          <w:spacing w:val="-55"/>
        </w:rPr>
        <w:t> </w:t>
      </w:r>
      <w:r>
        <w:rPr>
          <w:rFonts w:ascii="宋体" w:hAnsi="宋体" w:cs="宋体" w:eastAsia="宋体" w:hint="default"/>
        </w:rPr>
        <w:t>AMI</w:t>
      </w:r>
      <w:r>
        <w:rPr/>
        <w:t>（先进计量系统架构）系统的需求正处于持续快速增长阶段越来越多的国家正在启动</w:t>
      </w:r>
      <w:r>
        <w:rPr>
          <w:w w:val="100"/>
        </w:rPr>
        <w:t> </w:t>
      </w:r>
      <w:r>
        <w:rPr/>
        <w:t>大规模智能电表和</w:t>
      </w:r>
      <w:r>
        <w:rPr>
          <w:spacing w:val="-49"/>
        </w:rPr>
        <w:t> </w:t>
      </w:r>
      <w:r>
        <w:rPr>
          <w:rFonts w:ascii="宋体" w:hAnsi="宋体" w:cs="宋体" w:eastAsia="宋体" w:hint="default"/>
        </w:rPr>
        <w:t>AMI</w:t>
      </w:r>
      <w:r>
        <w:rPr>
          <w:rFonts w:ascii="宋体" w:hAnsi="宋体" w:cs="宋体" w:eastAsia="宋体" w:hint="default"/>
          <w:spacing w:val="-49"/>
        </w:rPr>
        <w:t> </w:t>
      </w:r>
      <w:r>
        <w:rPr/>
        <w:t>的布署计划。据能源咨询公司</w:t>
      </w:r>
      <w:r>
        <w:rPr>
          <w:spacing w:val="-49"/>
        </w:rPr>
        <w:t> </w:t>
      </w:r>
      <w:r>
        <w:rPr>
          <w:rFonts w:ascii="宋体" w:hAnsi="宋体" w:cs="宋体" w:eastAsia="宋体" w:hint="default"/>
        </w:rPr>
        <w:t>WoodMackenzie</w:t>
      </w:r>
      <w:r>
        <w:rPr>
          <w:rFonts w:ascii="宋体" w:hAnsi="宋体" w:cs="宋体" w:eastAsia="宋体" w:hint="default"/>
          <w:spacing w:val="-49"/>
        </w:rPr>
        <w:t> </w:t>
      </w:r>
      <w:r>
        <w:rPr/>
        <w:t>的最新报告显示，到</w:t>
      </w:r>
      <w:r>
        <w:rPr>
          <w:spacing w:val="-45"/>
        </w:rPr>
        <w:t> </w:t>
      </w:r>
      <w:r>
        <w:rPr>
          <w:rFonts w:ascii="宋体" w:hAnsi="宋体" w:cs="宋体" w:eastAsia="宋体" w:hint="default"/>
        </w:rPr>
        <w:t>2024</w:t>
      </w:r>
      <w:r>
        <w:rPr>
          <w:rFonts w:ascii="宋体" w:hAnsi="宋体" w:cs="宋体" w:eastAsia="宋体" w:hint="default"/>
          <w:spacing w:val="-48"/>
        </w:rPr>
        <w:t> </w:t>
      </w:r>
      <w:r>
        <w:rPr/>
        <w:t>年，</w:t>
      </w:r>
      <w:r>
        <w:rPr>
          <w:spacing w:val="2"/>
          <w:w w:val="100"/>
        </w:rPr>
        <w:t> </w:t>
      </w:r>
      <w:r>
        <w:rPr/>
        <w:t>全球智能电表的总数预计将比</w:t>
      </w:r>
      <w:r>
        <w:rPr>
          <w:spacing w:val="-54"/>
        </w:rPr>
        <w:t> </w:t>
      </w:r>
      <w:r>
        <w:rPr>
          <w:rFonts w:ascii="宋体" w:hAnsi="宋体" w:cs="宋体" w:eastAsia="宋体" w:hint="default"/>
        </w:rPr>
        <w:t>2017</w:t>
      </w:r>
      <w:r>
        <w:rPr>
          <w:rFonts w:ascii="宋体" w:hAnsi="宋体" w:cs="宋体" w:eastAsia="宋体" w:hint="default"/>
          <w:spacing w:val="-56"/>
        </w:rPr>
        <w:t> </w:t>
      </w:r>
      <w:r>
        <w:rPr/>
        <w:t>年翻一番，到</w:t>
      </w:r>
      <w:r>
        <w:rPr>
          <w:spacing w:val="-56"/>
        </w:rPr>
        <w:t> </w:t>
      </w:r>
      <w:r>
        <w:rPr>
          <w:rFonts w:ascii="宋体" w:hAnsi="宋体" w:cs="宋体" w:eastAsia="宋体" w:hint="default"/>
        </w:rPr>
        <w:t>2024</w:t>
      </w:r>
      <w:r>
        <w:rPr>
          <w:rFonts w:ascii="宋体" w:hAnsi="宋体" w:cs="宋体" w:eastAsia="宋体" w:hint="default"/>
          <w:spacing w:val="-54"/>
        </w:rPr>
        <w:t> </w:t>
      </w:r>
      <w:r>
        <w:rPr/>
        <w:t>年底，全球智能电表的总量将从</w:t>
      </w:r>
      <w:r>
        <w:rPr>
          <w:spacing w:val="-53"/>
        </w:rPr>
        <w:t> </w:t>
      </w:r>
      <w:r>
        <w:rPr>
          <w:rFonts w:ascii="宋体" w:hAnsi="宋体" w:cs="宋体" w:eastAsia="宋体" w:hint="default"/>
        </w:rPr>
        <w:t>2017</w:t>
      </w:r>
      <w:r>
        <w:rPr>
          <w:rFonts w:ascii="宋体" w:hAnsi="宋体" w:cs="宋体" w:eastAsia="宋体" w:hint="default"/>
          <w:spacing w:val="-54"/>
        </w:rPr>
        <w:t> </w:t>
      </w:r>
      <w:r>
        <w:rPr>
          <w:spacing w:val="-3"/>
        </w:rPr>
        <w:t>年的</w:t>
      </w:r>
      <w:r>
        <w:rPr/>
      </w:r>
    </w:p>
    <w:p>
      <w:pPr>
        <w:pStyle w:val="BodyText"/>
        <w:spacing w:line="240" w:lineRule="auto" w:before="7"/>
        <w:ind w:right="0"/>
        <w:jc w:val="both"/>
      </w:pPr>
      <w:r>
        <w:rPr>
          <w:rFonts w:ascii="宋体" w:hAnsi="宋体" w:cs="宋体" w:eastAsia="宋体" w:hint="default"/>
        </w:rPr>
        <w:t>6.651</w:t>
      </w:r>
      <w:r>
        <w:rPr>
          <w:rFonts w:ascii="宋体" w:hAnsi="宋体" w:cs="宋体" w:eastAsia="宋体" w:hint="default"/>
          <w:spacing w:val="-41"/>
        </w:rPr>
        <w:t> </w:t>
      </w:r>
      <w:r>
        <w:rPr/>
        <w:t>亿增加到超过</w:t>
      </w:r>
      <w:r>
        <w:rPr>
          <w:spacing w:val="-41"/>
        </w:rPr>
        <w:t> </w:t>
      </w:r>
      <w:r>
        <w:rPr>
          <w:rFonts w:ascii="宋体" w:hAnsi="宋体" w:cs="宋体" w:eastAsia="宋体" w:hint="default"/>
        </w:rPr>
        <w:t>12</w:t>
      </w:r>
      <w:r>
        <w:rPr>
          <w:rFonts w:ascii="宋体" w:hAnsi="宋体" w:cs="宋体" w:eastAsia="宋体" w:hint="default"/>
          <w:spacing w:val="-41"/>
        </w:rPr>
        <w:t> </w:t>
      </w:r>
      <w:r>
        <w:rPr>
          <w:spacing w:val="-3"/>
        </w:rPr>
        <w:t>亿，智能电表的渗透率将超过</w:t>
      </w:r>
      <w:r>
        <w:rPr>
          <w:spacing w:val="-38"/>
        </w:rPr>
        <w:t> </w:t>
      </w:r>
      <w:r>
        <w:rPr>
          <w:rFonts w:ascii="宋体" w:hAnsi="宋体" w:cs="宋体" w:eastAsia="宋体" w:hint="default"/>
          <w:spacing w:val="-4"/>
        </w:rPr>
        <w:t>60%</w:t>
      </w:r>
      <w:r>
        <w:rPr>
          <w:spacing w:val="-4"/>
        </w:rPr>
        <w:t>。与此同时，</w:t>
      </w:r>
      <w:r>
        <w:rPr>
          <w:rFonts w:ascii="宋体" w:hAnsi="宋体" w:cs="宋体" w:eastAsia="宋体" w:hint="default"/>
          <w:spacing w:val="-4"/>
        </w:rPr>
        <w:t>AMI</w:t>
      </w:r>
      <w:r>
        <w:rPr>
          <w:spacing w:val="-4"/>
        </w:rPr>
        <w:t>（先进计量系统架构）的</w:t>
      </w:r>
    </w:p>
    <w:p>
      <w:pPr>
        <w:pStyle w:val="BodyText"/>
        <w:spacing w:line="240" w:lineRule="auto" w:before="37"/>
        <w:ind w:right="0"/>
        <w:jc w:val="both"/>
      </w:pPr>
      <w:r>
        <w:rPr>
          <w:spacing w:val="-5"/>
        </w:rPr>
        <w:t>累计支出将几乎翻倍，从</w:t>
      </w:r>
      <w:r>
        <w:rPr>
          <w:spacing w:val="-48"/>
        </w:rPr>
        <w:t> </w:t>
      </w:r>
      <w:r>
        <w:rPr>
          <w:rFonts w:ascii="宋体" w:hAnsi="宋体" w:cs="宋体" w:eastAsia="宋体" w:hint="default"/>
        </w:rPr>
        <w:t>2017</w:t>
      </w:r>
      <w:r>
        <w:rPr>
          <w:rFonts w:ascii="宋体" w:hAnsi="宋体" w:cs="宋体" w:eastAsia="宋体" w:hint="default"/>
          <w:spacing w:val="-47"/>
        </w:rPr>
        <w:t> </w:t>
      </w:r>
      <w:r>
        <w:rPr/>
        <w:t>年的</w:t>
      </w:r>
      <w:r>
        <w:rPr>
          <w:spacing w:val="-48"/>
        </w:rPr>
        <w:t> </w:t>
      </w:r>
      <w:r>
        <w:rPr>
          <w:rFonts w:ascii="宋体" w:hAnsi="宋体" w:cs="宋体" w:eastAsia="宋体" w:hint="default"/>
        </w:rPr>
        <w:t>730</w:t>
      </w:r>
      <w:r>
        <w:rPr>
          <w:rFonts w:ascii="宋体" w:hAnsi="宋体" w:cs="宋体" w:eastAsia="宋体" w:hint="default"/>
          <w:spacing w:val="-48"/>
        </w:rPr>
        <w:t> </w:t>
      </w:r>
      <w:r>
        <w:rPr/>
        <w:t>亿美元增至</w:t>
      </w:r>
      <w:r>
        <w:rPr>
          <w:spacing w:val="-50"/>
        </w:rPr>
        <w:t> </w:t>
      </w:r>
      <w:r>
        <w:rPr>
          <w:rFonts w:ascii="宋体" w:hAnsi="宋体" w:cs="宋体" w:eastAsia="宋体" w:hint="default"/>
        </w:rPr>
        <w:t>2024</w:t>
      </w:r>
      <w:r>
        <w:rPr>
          <w:rFonts w:ascii="宋体" w:hAnsi="宋体" w:cs="宋体" w:eastAsia="宋体" w:hint="default"/>
          <w:spacing w:val="-47"/>
        </w:rPr>
        <w:t> </w:t>
      </w:r>
      <w:r>
        <w:rPr/>
        <w:t>年的</w:t>
      </w:r>
      <w:r>
        <w:rPr>
          <w:spacing w:val="-48"/>
        </w:rPr>
        <w:t> </w:t>
      </w:r>
      <w:r>
        <w:rPr>
          <w:rFonts w:ascii="宋体" w:hAnsi="宋体" w:cs="宋体" w:eastAsia="宋体" w:hint="default"/>
        </w:rPr>
        <w:t>1458</w:t>
      </w:r>
      <w:r>
        <w:rPr>
          <w:rFonts w:ascii="宋体" w:hAnsi="宋体" w:cs="宋体" w:eastAsia="宋体" w:hint="default"/>
          <w:spacing w:val="-50"/>
        </w:rPr>
        <w:t> </w:t>
      </w:r>
      <w:r>
        <w:rPr>
          <w:spacing w:val="-4"/>
        </w:rPr>
        <w:t>亿美元。考虑到电能表周期性轮</w:t>
      </w:r>
    </w:p>
    <w:p>
      <w:pPr>
        <w:spacing w:after="0" w:line="240" w:lineRule="auto"/>
        <w:jc w:val="both"/>
        <w:sectPr>
          <w:pgSz w:w="11910" w:h="16840"/>
          <w:pgMar w:header="748" w:footer="974" w:top="1140" w:bottom="1160" w:left="1200" w:right="1200"/>
        </w:sectPr>
      </w:pPr>
    </w:p>
    <w:p>
      <w:pPr>
        <w:spacing w:line="240" w:lineRule="auto" w:before="2"/>
        <w:rPr>
          <w:rFonts w:ascii="宋体" w:hAnsi="宋体" w:cs="宋体" w:eastAsia="宋体" w:hint="default"/>
          <w:sz w:val="19"/>
          <w:szCs w:val="19"/>
        </w:rPr>
      </w:pPr>
    </w:p>
    <w:p>
      <w:pPr>
        <w:pStyle w:val="BodyText"/>
        <w:spacing w:line="273" w:lineRule="auto" w:before="36"/>
        <w:ind w:right="109"/>
        <w:jc w:val="both"/>
        <w:rPr>
          <w:rFonts w:ascii="宋体" w:hAnsi="宋体" w:cs="宋体" w:eastAsia="宋体" w:hint="default"/>
        </w:rPr>
      </w:pPr>
      <w:r>
        <w:rPr/>
        <w:t>换以及智能电表渗透率快速增加的双重驱动因素，根据测算，智能电表及</w:t>
      </w:r>
      <w:r>
        <w:rPr>
          <w:spacing w:val="-56"/>
        </w:rPr>
        <w:t> </w:t>
      </w:r>
      <w:r>
        <w:rPr>
          <w:rFonts w:ascii="宋体" w:hAnsi="宋体" w:cs="宋体" w:eastAsia="宋体" w:hint="default"/>
        </w:rPr>
        <w:t>AMI</w:t>
      </w:r>
      <w:r>
        <w:rPr>
          <w:rFonts w:ascii="宋体" w:hAnsi="宋体" w:cs="宋体" w:eastAsia="宋体" w:hint="default"/>
          <w:spacing w:val="-57"/>
        </w:rPr>
        <w:t> </w:t>
      </w:r>
      <w:r>
        <w:rPr/>
        <w:t>系统解决方案市场的</w:t>
      </w:r>
      <w:r>
        <w:rPr>
          <w:w w:val="100"/>
        </w:rPr>
        <w:t> </w:t>
      </w:r>
      <w:r>
        <w:rPr/>
        <w:t>年复合增长率将超过</w:t>
      </w:r>
      <w:r>
        <w:rPr>
          <w:spacing w:val="-48"/>
        </w:rPr>
        <w:t> </w:t>
      </w:r>
      <w:r>
        <w:rPr>
          <w:rFonts w:ascii="宋体" w:hAnsi="宋体" w:cs="宋体" w:eastAsia="宋体" w:hint="default"/>
          <w:spacing w:val="-3"/>
        </w:rPr>
        <w:t>20%</w:t>
      </w:r>
      <w:r>
        <w:rPr>
          <w:spacing w:val="-3"/>
        </w:rPr>
        <w:t>。在欧洲市场，根据欧盟</w:t>
      </w:r>
      <w:r>
        <w:rPr>
          <w:spacing w:val="-47"/>
        </w:rPr>
        <w:t> </w:t>
      </w:r>
      <w:r>
        <w:rPr>
          <w:rFonts w:ascii="宋体" w:hAnsi="宋体" w:cs="宋体" w:eastAsia="宋体" w:hint="default"/>
        </w:rPr>
        <w:t>2009</w:t>
      </w:r>
      <w:r>
        <w:rPr>
          <w:rFonts w:ascii="宋体" w:hAnsi="宋体" w:cs="宋体" w:eastAsia="宋体" w:hint="default"/>
          <w:spacing w:val="-47"/>
        </w:rPr>
        <w:t> </w:t>
      </w:r>
      <w:r>
        <w:rPr/>
        <w:t>年颁布的要求成员国部署智能电表的第三次</w:t>
      </w:r>
      <w:r>
        <w:rPr>
          <w:spacing w:val="-103"/>
        </w:rPr>
        <w:t> </w:t>
      </w:r>
      <w:r>
        <w:rPr>
          <w:spacing w:val="-103"/>
        </w:rPr>
      </w:r>
      <w:r>
        <w:rPr>
          <w:spacing w:val="-3"/>
        </w:rPr>
        <w:t>能源法案</w:t>
      </w:r>
      <w:r>
        <w:rPr>
          <w:rFonts w:ascii="宋体" w:hAnsi="宋体" w:cs="宋体" w:eastAsia="宋体" w:hint="default"/>
          <w:spacing w:val="-3"/>
        </w:rPr>
        <w:t>(2009/72/EC+2009/73/EC)</w:t>
      </w:r>
      <w:r>
        <w:rPr>
          <w:spacing w:val="-3"/>
        </w:rPr>
        <w:t>，德国等还未全面开始部署智能电表的国家正在启动智能电表安</w:t>
      </w:r>
      <w:r>
        <w:rPr>
          <w:spacing w:val="-14"/>
        </w:rPr>
        <w:t> </w:t>
      </w:r>
      <w:r>
        <w:rPr>
          <w:spacing w:val="-14"/>
        </w:rPr>
      </w:r>
      <w:r>
        <w:rPr>
          <w:spacing w:val="-2"/>
        </w:rPr>
        <w:t>装计划，英国、法国等国家的大规模智能电表部署计划正在进行中，而意大利、西班牙、瑞典等已</w:t>
      </w:r>
      <w:r>
        <w:rPr>
          <w:spacing w:val="-25"/>
        </w:rPr>
        <w:t> </w:t>
      </w:r>
      <w:r>
        <w:rPr>
          <w:spacing w:val="-25"/>
        </w:rPr>
      </w:r>
      <w:r>
        <w:rPr>
          <w:spacing w:val="-2"/>
        </w:rPr>
        <w:t>经完成第一轮智能电表部署的国家即将开始采用技术更先进的智能电表及系统进行第二轮部署。在</w:t>
      </w:r>
      <w:r>
        <w:rPr>
          <w:spacing w:val="-25"/>
        </w:rPr>
        <w:t> </w:t>
      </w:r>
      <w:r>
        <w:rPr>
          <w:spacing w:val="-25"/>
        </w:rPr>
      </w:r>
      <w:r>
        <w:rPr/>
        <w:t>中东，沙特阿拉伯在</w:t>
      </w:r>
      <w:r>
        <w:rPr>
          <w:spacing w:val="-54"/>
        </w:rPr>
        <w:t> </w:t>
      </w:r>
      <w:r>
        <w:rPr>
          <w:rFonts w:ascii="宋体" w:hAnsi="宋体" w:cs="宋体" w:eastAsia="宋体" w:hint="default"/>
        </w:rPr>
        <w:t>2019</w:t>
      </w:r>
      <w:r>
        <w:rPr>
          <w:rFonts w:ascii="宋体" w:hAnsi="宋体" w:cs="宋体" w:eastAsia="宋体" w:hint="default"/>
          <w:spacing w:val="-56"/>
        </w:rPr>
        <w:t> </w:t>
      </w:r>
      <w:r>
        <w:rPr/>
        <w:t>年末启动了总量达</w:t>
      </w:r>
      <w:r>
        <w:rPr>
          <w:spacing w:val="-53"/>
        </w:rPr>
        <w:t> </w:t>
      </w:r>
      <w:r>
        <w:rPr>
          <w:rFonts w:ascii="宋体" w:hAnsi="宋体" w:cs="宋体" w:eastAsia="宋体" w:hint="default"/>
        </w:rPr>
        <w:t>1000</w:t>
      </w:r>
      <w:r>
        <w:rPr>
          <w:rFonts w:ascii="宋体" w:hAnsi="宋体" w:cs="宋体" w:eastAsia="宋体" w:hint="default"/>
          <w:spacing w:val="-56"/>
        </w:rPr>
        <w:t> </w:t>
      </w:r>
      <w:r>
        <w:rPr/>
        <w:t>万台的智能电表及系统的部署计划。在非洲、南</w:t>
      </w:r>
      <w:r>
        <w:rPr>
          <w:w w:val="100"/>
        </w:rPr>
        <w:t> </w:t>
      </w:r>
      <w:r>
        <w:rPr>
          <w:spacing w:val="-2"/>
        </w:rPr>
        <w:t>亚、东南亚和南美洲，尼日利亚、巴基斯坦、孟加拉、巴西等国纷纷开始部署具备全方位防窃电功</w:t>
      </w:r>
      <w:r>
        <w:rPr>
          <w:spacing w:val="-25"/>
        </w:rPr>
        <w:t> </w:t>
      </w:r>
      <w:r>
        <w:rPr>
          <w:spacing w:val="-25"/>
        </w:rPr>
      </w:r>
      <w:r>
        <w:rPr>
          <w:spacing w:val="-2"/>
        </w:rPr>
        <w:t>能的智能电表及系统。随着越来越多的海外电力公司启动了电网智能化以及电网数字化转型计划，</w:t>
      </w:r>
      <w:r>
        <w:rPr>
          <w:spacing w:val="-25"/>
        </w:rPr>
        <w:t> </w:t>
      </w:r>
      <w:r>
        <w:rPr>
          <w:spacing w:val="-25"/>
        </w:rPr>
      </w:r>
      <w:r>
        <w:rPr>
          <w:spacing w:val="-1"/>
        </w:rPr>
        <w:t>智能电表、</w:t>
      </w:r>
      <w:r>
        <w:rPr>
          <w:rFonts w:ascii="宋体" w:hAnsi="宋体" w:cs="宋体" w:eastAsia="宋体" w:hint="default"/>
          <w:spacing w:val="-1"/>
        </w:rPr>
        <w:t>AMI</w:t>
      </w:r>
      <w:r>
        <w:rPr>
          <w:rFonts w:ascii="宋体" w:hAnsi="宋体" w:cs="宋体" w:eastAsia="宋体" w:hint="default"/>
          <w:spacing w:val="19"/>
        </w:rPr>
        <w:t> </w:t>
      </w:r>
      <w:r>
        <w:rPr>
          <w:spacing w:val="-2"/>
        </w:rPr>
        <w:t>系统以及智能配电产品和解决方案作为其中重要一环将会保持稳定持续的增长。</w:t>
      </w:r>
      <w:r>
        <w:rPr>
          <w:rFonts w:ascii="宋体" w:hAnsi="宋体" w:cs="宋体" w:eastAsia="宋体" w:hint="default"/>
        </w:rPr>
        <w:t> </w:t>
      </w:r>
    </w:p>
    <w:p>
      <w:pPr>
        <w:pStyle w:val="BodyText"/>
        <w:spacing w:line="273" w:lineRule="auto" w:before="7"/>
        <w:ind w:right="109" w:firstLine="420"/>
        <w:jc w:val="both"/>
        <w:rPr>
          <w:rFonts w:ascii="宋体" w:hAnsi="宋体" w:cs="宋体" w:eastAsia="宋体" w:hint="default"/>
        </w:rPr>
      </w:pPr>
      <w:r>
        <w:rPr/>
        <w:t>公司通过 </w:t>
      </w:r>
      <w:r>
        <w:rPr>
          <w:rFonts w:ascii="宋体" w:hAnsi="宋体" w:cs="宋体" w:eastAsia="宋体" w:hint="default"/>
        </w:rPr>
        <w:t>20</w:t>
      </w:r>
      <w:r>
        <w:rPr>
          <w:rFonts w:ascii="宋体" w:hAnsi="宋体" w:cs="宋体" w:eastAsia="宋体" w:hint="default"/>
          <w:spacing w:val="-47"/>
        </w:rPr>
        <w:t> </w:t>
      </w:r>
      <w:r>
        <w:rPr>
          <w:spacing w:val="-4"/>
        </w:rPr>
        <w:t>多年来在电力系统的深耕细作，始终保持国内智能电表及用电信息采集终端集招市</w:t>
      </w:r>
      <w:r>
        <w:rPr>
          <w:w w:val="100"/>
        </w:rPr>
        <w:t> </w:t>
      </w:r>
      <w:r>
        <w:rPr>
          <w:spacing w:val="-2"/>
        </w:rPr>
        <w:t>场前三的市场地位，在产品方面正在从智能用电产品迅速向智能配电产品拓展，努力打造电力物联</w:t>
      </w:r>
      <w:r>
        <w:rPr>
          <w:spacing w:val="-25"/>
        </w:rPr>
        <w:t> </w:t>
      </w:r>
      <w:r>
        <w:rPr>
          <w:spacing w:val="-25"/>
        </w:rPr>
      </w:r>
      <w:r>
        <w:rPr>
          <w:spacing w:val="-2"/>
        </w:rPr>
        <w:t>网场景下智能配用电整体解决方案，同时在市场方面公司不断拓展国内非集招市场和海外市场，在</w:t>
      </w:r>
      <w:r>
        <w:rPr>
          <w:spacing w:val="-26"/>
        </w:rPr>
        <w:t> </w:t>
      </w:r>
      <w:r>
        <w:rPr>
          <w:spacing w:val="-26"/>
        </w:rPr>
      </w:r>
      <w:r>
        <w:rPr>
          <w:spacing w:val="-2"/>
        </w:rPr>
        <w:t>海外多个地区成立子公司或办事处，推进和战略合作伙伴在海外市场的全方位合作，有效确保公司</w:t>
      </w:r>
      <w:r>
        <w:rPr>
          <w:spacing w:val="-25"/>
        </w:rPr>
        <w:t> </w:t>
      </w:r>
      <w:r>
        <w:rPr>
          <w:spacing w:val="-25"/>
        </w:rPr>
      </w:r>
      <w:r>
        <w:rPr/>
        <w:t>该业务板块的稳步增长。</w:t>
      </w:r>
      <w:r>
        <w:rPr>
          <w:rFonts w:ascii="宋体" w:hAnsi="宋体" w:cs="宋体" w:eastAsia="宋体" w:hint="default"/>
        </w:rPr>
        <w:t> </w:t>
      </w:r>
    </w:p>
    <w:p>
      <w:pPr>
        <w:pStyle w:val="BodyText"/>
        <w:spacing w:line="240" w:lineRule="auto" w:before="7"/>
        <w:ind w:left="638" w:right="0"/>
        <w:jc w:val="left"/>
        <w:rPr>
          <w:rFonts w:ascii="宋体" w:hAnsi="宋体" w:cs="宋体" w:eastAsia="宋体" w:hint="default"/>
        </w:rPr>
      </w:pPr>
      <w:r>
        <w:rPr>
          <w:rFonts w:ascii="宋体"/>
          <w:w w:val="100"/>
        </w:rPr>
        <w:t> </w:t>
      </w:r>
    </w:p>
    <w:p>
      <w:pPr>
        <w:pStyle w:val="Heading3"/>
        <w:spacing w:line="240" w:lineRule="auto" w:before="37"/>
        <w:ind w:right="0"/>
        <w:jc w:val="both"/>
        <w:rPr>
          <w:rFonts w:ascii="宋体" w:hAnsi="宋体" w:cs="宋体" w:eastAsia="宋体" w:hint="default"/>
          <w:b w:val="0"/>
          <w:bCs w:val="0"/>
        </w:rPr>
      </w:pPr>
      <w:r>
        <w:rPr/>
        <w:t>（</w:t>
      </w:r>
      <w:r>
        <w:rPr>
          <w:rFonts w:ascii="宋体" w:hAnsi="宋体" w:cs="宋体" w:eastAsia="宋体" w:hint="default"/>
        </w:rPr>
        <w:t>2</w:t>
      </w:r>
      <w:r>
        <w:rPr/>
        <w:t>）新能源领域</w:t>
      </w:r>
      <w:r>
        <w:rPr>
          <w:rFonts w:ascii="宋体" w:hAnsi="宋体" w:cs="宋体" w:eastAsia="宋体" w:hint="default"/>
          <w:w w:val="99"/>
        </w:rPr>
        <w:t> </w:t>
      </w:r>
      <w:r>
        <w:rPr>
          <w:rFonts w:ascii="宋体" w:hAnsi="宋体" w:cs="宋体" w:eastAsia="宋体" w:hint="default"/>
          <w:b w:val="0"/>
          <w:bCs w:val="0"/>
        </w:rPr>
      </w:r>
    </w:p>
    <w:p>
      <w:pPr>
        <w:pStyle w:val="BodyText"/>
        <w:spacing w:line="273" w:lineRule="auto" w:before="37"/>
        <w:ind w:right="148" w:firstLine="420"/>
        <w:jc w:val="both"/>
        <w:rPr>
          <w:rFonts w:ascii="宋体" w:hAnsi="宋体" w:cs="宋体" w:eastAsia="宋体" w:hint="default"/>
        </w:rPr>
      </w:pPr>
      <w:r>
        <w:rPr>
          <w:rFonts w:ascii="宋体" w:hAnsi="宋体" w:cs="宋体" w:eastAsia="宋体" w:hint="default"/>
        </w:rPr>
        <w:t>2019-2020</w:t>
      </w:r>
      <w:r>
        <w:rPr>
          <w:rFonts w:ascii="宋体" w:hAnsi="宋体" w:cs="宋体" w:eastAsia="宋体" w:hint="default"/>
          <w:spacing w:val="-58"/>
        </w:rPr>
        <w:t> </w:t>
      </w:r>
      <w:r>
        <w:rPr/>
        <w:t>年是我国光伏产业发展的关键调整期。</w:t>
      </w:r>
      <w:r>
        <w:rPr>
          <w:rFonts w:ascii="宋体" w:hAnsi="宋体" w:cs="宋体" w:eastAsia="宋体" w:hint="default"/>
        </w:rPr>
        <w:t>2019</w:t>
      </w:r>
      <w:r>
        <w:rPr>
          <w:rFonts w:ascii="宋体" w:hAnsi="宋体" w:cs="宋体" w:eastAsia="宋体" w:hint="default"/>
          <w:spacing w:val="-55"/>
        </w:rPr>
        <w:t> </w:t>
      </w:r>
      <w:r>
        <w:rPr/>
        <w:t>年初，国家能源局出台《国家发展改革</w:t>
      </w:r>
      <w:r>
        <w:rPr>
          <w:w w:val="100"/>
        </w:rPr>
        <w:t> </w:t>
      </w:r>
      <w:r>
        <w:rPr>
          <w:spacing w:val="-2"/>
        </w:rPr>
        <w:t>委国家能源局关于积极推进风电、光伏发电无补贴平价上网有关工作的通知》，光伏平价元年的到</w:t>
      </w:r>
      <w:r>
        <w:rPr>
          <w:spacing w:val="-25"/>
        </w:rPr>
        <w:t> </w:t>
      </w:r>
      <w:r>
        <w:rPr>
          <w:spacing w:val="-25"/>
        </w:rPr>
      </w:r>
      <w:r>
        <w:rPr>
          <w:spacing w:val="-2"/>
        </w:rPr>
        <w:t>来标志着我国新能源的发展进入全新阶段。尽管在政策调整下，整体光伏市场有所下滑，但受益于</w:t>
      </w:r>
      <w:r>
        <w:rPr>
          <w:spacing w:val="-25"/>
        </w:rPr>
        <w:t> </w:t>
      </w:r>
      <w:r>
        <w:rPr>
          <w:spacing w:val="-25"/>
        </w:rPr>
      </w:r>
      <w:r>
        <w:rPr/>
        <w:t>海外市场的增长，我国光伏产业规模稳步扩大、技术创新不断推进、出口增速不断提升。</w:t>
      </w:r>
      <w:r>
        <w:rPr>
          <w:rFonts w:ascii="宋体" w:hAnsi="宋体" w:cs="宋体" w:eastAsia="宋体" w:hint="default"/>
        </w:rPr>
        <w:t> </w:t>
      </w:r>
    </w:p>
    <w:p>
      <w:pPr>
        <w:pStyle w:val="BodyText"/>
        <w:spacing w:line="240" w:lineRule="auto" w:before="7"/>
        <w:ind w:left="638" w:right="0"/>
        <w:jc w:val="left"/>
      </w:pPr>
      <w:r>
        <w:rPr>
          <w:rFonts w:ascii="宋体" w:hAnsi="宋体" w:cs="宋体" w:eastAsia="宋体" w:hint="default"/>
        </w:rPr>
        <w:t>2019</w:t>
      </w:r>
      <w:r>
        <w:rPr>
          <w:rFonts w:ascii="宋体" w:hAnsi="宋体" w:cs="宋体" w:eastAsia="宋体" w:hint="default"/>
          <w:spacing w:val="3"/>
        </w:rPr>
        <w:t> </w:t>
      </w:r>
      <w:r>
        <w:rPr>
          <w:spacing w:val="-2"/>
        </w:rPr>
        <w:t>年我国光伏新增装机同比下降，但是新增和累计光伏装机容量仍继续保持全球第一。截至</w:t>
      </w:r>
    </w:p>
    <w:p>
      <w:pPr>
        <w:pStyle w:val="BodyText"/>
        <w:spacing w:line="273" w:lineRule="auto" w:before="37"/>
        <w:ind w:right="111"/>
        <w:jc w:val="both"/>
        <w:rPr>
          <w:rFonts w:ascii="宋体" w:hAnsi="宋体" w:cs="宋体" w:eastAsia="宋体" w:hint="default"/>
        </w:rPr>
      </w:pPr>
      <w:r>
        <w:rPr>
          <w:rFonts w:ascii="宋体" w:hAnsi="宋体" w:cs="宋体" w:eastAsia="宋体" w:hint="default"/>
        </w:rPr>
        <w:t>2019</w:t>
      </w:r>
      <w:r>
        <w:rPr>
          <w:rFonts w:ascii="宋体" w:hAnsi="宋体" w:cs="宋体" w:eastAsia="宋体" w:hint="default"/>
          <w:spacing w:val="-43"/>
        </w:rPr>
        <w:t> </w:t>
      </w:r>
      <w:r>
        <w:rPr>
          <w:spacing w:val="-7"/>
        </w:rPr>
        <w:t>年底，累计光伏并网装机量达到</w:t>
      </w:r>
      <w:r>
        <w:rPr>
          <w:spacing w:val="-39"/>
        </w:rPr>
        <w:t> </w:t>
      </w:r>
      <w:r>
        <w:rPr>
          <w:rFonts w:ascii="宋体" w:hAnsi="宋体" w:cs="宋体" w:eastAsia="宋体" w:hint="default"/>
          <w:spacing w:val="-8"/>
        </w:rPr>
        <w:t>204.3GW</w:t>
      </w:r>
      <w:r>
        <w:rPr>
          <w:spacing w:val="-8"/>
        </w:rPr>
        <w:t>，同比增长</w:t>
      </w:r>
      <w:r>
        <w:rPr>
          <w:spacing w:val="-39"/>
        </w:rPr>
        <w:t> </w:t>
      </w:r>
      <w:r>
        <w:rPr>
          <w:rFonts w:ascii="宋体" w:hAnsi="宋体" w:cs="宋体" w:eastAsia="宋体" w:hint="default"/>
          <w:spacing w:val="-8"/>
        </w:rPr>
        <w:t>17.1%</w:t>
      </w:r>
      <w:r>
        <w:rPr>
          <w:spacing w:val="-8"/>
        </w:rPr>
        <w:t>；全年光伏发电量</w:t>
      </w:r>
      <w:r>
        <w:rPr>
          <w:spacing w:val="-41"/>
        </w:rPr>
        <w:t> </w:t>
      </w:r>
      <w:r>
        <w:rPr>
          <w:rFonts w:ascii="宋体" w:hAnsi="宋体" w:cs="宋体" w:eastAsia="宋体" w:hint="default"/>
        </w:rPr>
        <w:t>2242.6</w:t>
      </w:r>
      <w:r>
        <w:rPr>
          <w:rFonts w:ascii="宋体" w:hAnsi="宋体" w:cs="宋体" w:eastAsia="宋体" w:hint="default"/>
          <w:spacing w:val="-43"/>
        </w:rPr>
        <w:t> </w:t>
      </w:r>
      <w:r>
        <w:rPr/>
        <w:t>亿千瓦时，</w:t>
      </w:r>
      <w:r>
        <w:rPr>
          <w:spacing w:val="-100"/>
        </w:rPr>
        <w:t> </w:t>
      </w:r>
      <w:r>
        <w:rPr>
          <w:spacing w:val="-100"/>
        </w:rPr>
      </w:r>
      <w:r>
        <w:rPr/>
        <w:t>同比增长</w:t>
      </w:r>
      <w:r>
        <w:rPr>
          <w:spacing w:val="-56"/>
        </w:rPr>
        <w:t> </w:t>
      </w:r>
      <w:r>
        <w:rPr>
          <w:rFonts w:ascii="宋体" w:hAnsi="宋体" w:cs="宋体" w:eastAsia="宋体" w:hint="default"/>
        </w:rPr>
        <w:t>26.3%</w:t>
      </w:r>
      <w:r>
        <w:rPr/>
        <w:t>，占我国全年总发电量的</w:t>
      </w:r>
      <w:r>
        <w:rPr>
          <w:spacing w:val="-55"/>
        </w:rPr>
        <w:t> </w:t>
      </w:r>
      <w:r>
        <w:rPr>
          <w:rFonts w:ascii="宋体" w:hAnsi="宋体" w:cs="宋体" w:eastAsia="宋体" w:hint="default"/>
        </w:rPr>
        <w:t>3.1%</w:t>
      </w:r>
      <w:r>
        <w:rPr/>
        <w:t>，同比提高</w:t>
      </w:r>
      <w:r>
        <w:rPr>
          <w:spacing w:val="-56"/>
        </w:rPr>
        <w:t> </w:t>
      </w:r>
      <w:r>
        <w:rPr>
          <w:rFonts w:ascii="宋体" w:hAnsi="宋体" w:cs="宋体" w:eastAsia="宋体" w:hint="default"/>
        </w:rPr>
        <w:t>0.5</w:t>
      </w:r>
      <w:r>
        <w:rPr>
          <w:rFonts w:ascii="宋体" w:hAnsi="宋体" w:cs="宋体" w:eastAsia="宋体" w:hint="default"/>
          <w:spacing w:val="-58"/>
        </w:rPr>
        <w:t> </w:t>
      </w:r>
      <w:r>
        <w:rPr/>
        <w:t>个百分点。</w:t>
      </w:r>
      <w:r>
        <w:rPr>
          <w:rFonts w:ascii="宋体" w:hAnsi="宋体" w:cs="宋体" w:eastAsia="宋体" w:hint="default"/>
        </w:rPr>
        <w:t> </w:t>
      </w:r>
    </w:p>
    <w:p>
      <w:pPr>
        <w:pStyle w:val="BodyText"/>
        <w:spacing w:line="273" w:lineRule="auto" w:before="8"/>
        <w:ind w:right="0" w:firstLine="420"/>
        <w:jc w:val="left"/>
        <w:rPr>
          <w:rFonts w:ascii="宋体" w:hAnsi="宋体" w:cs="宋体" w:eastAsia="宋体" w:hint="default"/>
        </w:rPr>
      </w:pPr>
      <w:r>
        <w:rPr>
          <w:rFonts w:ascii="宋体" w:hAnsi="宋体" w:cs="宋体" w:eastAsia="宋体" w:hint="default"/>
        </w:rPr>
        <w:t>2019</w:t>
      </w:r>
      <w:r>
        <w:rPr>
          <w:rFonts w:ascii="宋体" w:hAnsi="宋体" w:cs="宋体" w:eastAsia="宋体" w:hint="default"/>
          <w:spacing w:val="-57"/>
        </w:rPr>
        <w:t> </w:t>
      </w:r>
      <w:r>
        <w:rPr/>
        <w:t>年，我国光伏各环节产业规模依旧保持快速增长势头。在产业制造端各环节，截至</w:t>
      </w:r>
      <w:r>
        <w:rPr>
          <w:spacing w:val="-54"/>
        </w:rPr>
        <w:t> </w:t>
      </w:r>
      <w:r>
        <w:rPr>
          <w:rFonts w:ascii="宋体" w:hAnsi="宋体" w:cs="宋体" w:eastAsia="宋体" w:hint="default"/>
        </w:rPr>
        <w:t>2019</w:t>
      </w:r>
      <w:r>
        <w:rPr>
          <w:rFonts w:ascii="宋体" w:hAnsi="宋体" w:cs="宋体" w:eastAsia="宋体" w:hint="default"/>
          <w:w w:val="100"/>
        </w:rPr>
        <w:t> </w:t>
      </w:r>
      <w:r>
        <w:rPr>
          <w:spacing w:val="-3"/>
        </w:rPr>
        <w:t>年底，我国多晶硅产能达到</w:t>
      </w:r>
      <w:r>
        <w:rPr>
          <w:spacing w:val="-44"/>
        </w:rPr>
        <w:t> </w:t>
      </w:r>
      <w:r>
        <w:rPr>
          <w:rFonts w:ascii="宋体" w:hAnsi="宋体" w:cs="宋体" w:eastAsia="宋体" w:hint="default"/>
        </w:rPr>
        <w:t>46.2</w:t>
      </w:r>
      <w:r>
        <w:rPr>
          <w:rFonts w:ascii="宋体" w:hAnsi="宋体" w:cs="宋体" w:eastAsia="宋体" w:hint="default"/>
          <w:spacing w:val="-44"/>
        </w:rPr>
        <w:t> </w:t>
      </w:r>
      <w:r>
        <w:rPr>
          <w:spacing w:val="-4"/>
        </w:rPr>
        <w:t>万吨，同比增长</w:t>
      </w:r>
      <w:r>
        <w:rPr>
          <w:spacing w:val="-44"/>
        </w:rPr>
        <w:t> </w:t>
      </w:r>
      <w:r>
        <w:rPr>
          <w:rFonts w:ascii="宋体" w:hAnsi="宋体" w:cs="宋体" w:eastAsia="宋体" w:hint="default"/>
          <w:spacing w:val="-3"/>
        </w:rPr>
        <w:t>19.4%</w:t>
      </w:r>
      <w:r>
        <w:rPr>
          <w:spacing w:val="-3"/>
        </w:rPr>
        <w:t>，产量约</w:t>
      </w:r>
      <w:r>
        <w:rPr>
          <w:spacing w:val="-44"/>
        </w:rPr>
        <w:t> </w:t>
      </w:r>
      <w:r>
        <w:rPr>
          <w:rFonts w:ascii="宋体" w:hAnsi="宋体" w:cs="宋体" w:eastAsia="宋体" w:hint="default"/>
        </w:rPr>
        <w:t>34.2</w:t>
      </w:r>
      <w:r>
        <w:rPr>
          <w:rFonts w:ascii="宋体" w:hAnsi="宋体" w:cs="宋体" w:eastAsia="宋体" w:hint="default"/>
          <w:spacing w:val="-47"/>
        </w:rPr>
        <w:t> </w:t>
      </w:r>
      <w:r>
        <w:rPr>
          <w:spacing w:val="-3"/>
        </w:rPr>
        <w:t>万吨，同比增长</w:t>
      </w:r>
      <w:r>
        <w:rPr>
          <w:spacing w:val="-43"/>
        </w:rPr>
        <w:t> </w:t>
      </w:r>
      <w:r>
        <w:rPr>
          <w:rFonts w:ascii="宋体" w:hAnsi="宋体" w:cs="宋体" w:eastAsia="宋体" w:hint="default"/>
          <w:spacing w:val="-3"/>
        </w:rPr>
        <w:t>32.0%</w:t>
      </w:r>
      <w:r>
        <w:rPr>
          <w:spacing w:val="-3"/>
        </w:rPr>
        <w:t>；硅片</w:t>
      </w:r>
      <w:r>
        <w:rPr>
          <w:spacing w:val="-101"/>
        </w:rPr>
        <w:t> </w:t>
      </w:r>
      <w:r>
        <w:rPr>
          <w:spacing w:val="-101"/>
        </w:rPr>
      </w:r>
      <w:r>
        <w:rPr/>
        <w:t>产量</w:t>
      </w:r>
      <w:r>
        <w:rPr>
          <w:spacing w:val="-55"/>
        </w:rPr>
        <w:t> </w:t>
      </w:r>
      <w:r>
        <w:rPr>
          <w:rFonts w:ascii="宋体" w:hAnsi="宋体" w:cs="宋体" w:eastAsia="宋体" w:hint="default"/>
        </w:rPr>
        <w:t>134.6GW</w:t>
      </w:r>
      <w:r>
        <w:rPr/>
        <w:t>，同比增长</w:t>
      </w:r>
      <w:r>
        <w:rPr>
          <w:spacing w:val="-57"/>
        </w:rPr>
        <w:t> </w:t>
      </w:r>
      <w:r>
        <w:rPr>
          <w:rFonts w:ascii="宋体" w:hAnsi="宋体" w:cs="宋体" w:eastAsia="宋体" w:hint="default"/>
        </w:rPr>
        <w:t>25.7%</w:t>
      </w:r>
      <w:r>
        <w:rPr/>
        <w:t>，单晶硅片实现大逆转，占比超过</w:t>
      </w:r>
      <w:r>
        <w:rPr>
          <w:spacing w:val="-55"/>
        </w:rPr>
        <w:t> </w:t>
      </w:r>
      <w:r>
        <w:rPr>
          <w:rFonts w:ascii="宋体" w:hAnsi="宋体" w:cs="宋体" w:eastAsia="宋体" w:hint="default"/>
        </w:rPr>
        <w:t>65%</w:t>
      </w:r>
      <w:r>
        <w:rPr/>
        <w:t>；电池片产量</w:t>
      </w:r>
      <w:r>
        <w:rPr>
          <w:spacing w:val="-54"/>
        </w:rPr>
        <w:t> </w:t>
      </w:r>
      <w:r>
        <w:rPr>
          <w:rFonts w:ascii="宋体" w:hAnsi="宋体" w:cs="宋体" w:eastAsia="宋体" w:hint="default"/>
        </w:rPr>
        <w:t>108.6GW</w:t>
      </w:r>
      <w:r>
        <w:rPr/>
        <w:t>，同比</w:t>
      </w:r>
      <w:r>
        <w:rPr>
          <w:w w:val="100"/>
        </w:rPr>
        <w:t> </w:t>
      </w:r>
      <w:r>
        <w:rPr/>
        <w:t>增长</w:t>
      </w:r>
      <w:r>
        <w:rPr>
          <w:spacing w:val="-56"/>
        </w:rPr>
        <w:t> </w:t>
      </w:r>
      <w:r>
        <w:rPr>
          <w:rFonts w:ascii="宋体" w:hAnsi="宋体" w:cs="宋体" w:eastAsia="宋体" w:hint="default"/>
        </w:rPr>
        <w:t>27.7%</w:t>
      </w:r>
      <w:r>
        <w:rPr/>
        <w:t>，</w:t>
      </w:r>
      <w:r>
        <w:rPr>
          <w:rFonts w:ascii="宋体" w:hAnsi="宋体" w:cs="宋体" w:eastAsia="宋体" w:hint="default"/>
        </w:rPr>
        <w:t>PERC</w:t>
      </w:r>
      <w:r>
        <w:rPr>
          <w:rFonts w:ascii="宋体" w:hAnsi="宋体" w:cs="宋体" w:eastAsia="宋体" w:hint="default"/>
          <w:spacing w:val="-56"/>
        </w:rPr>
        <w:t> </w:t>
      </w:r>
      <w:r>
        <w:rPr/>
        <w:t>单晶电池量产平均效率达</w:t>
      </w:r>
      <w:r>
        <w:rPr>
          <w:spacing w:val="-55"/>
        </w:rPr>
        <w:t> </w:t>
      </w:r>
      <w:r>
        <w:rPr>
          <w:rFonts w:ascii="宋体" w:hAnsi="宋体" w:cs="宋体" w:eastAsia="宋体" w:hint="default"/>
        </w:rPr>
        <w:t>22.3%</w:t>
      </w:r>
      <w:r>
        <w:rPr/>
        <w:t>；组件产量</w:t>
      </w:r>
      <w:r>
        <w:rPr>
          <w:spacing w:val="-55"/>
        </w:rPr>
        <w:t> </w:t>
      </w:r>
      <w:r>
        <w:rPr>
          <w:rFonts w:ascii="宋体" w:hAnsi="宋体" w:cs="宋体" w:eastAsia="宋体" w:hint="default"/>
        </w:rPr>
        <w:t>98.6GW</w:t>
      </w:r>
      <w:r>
        <w:rPr/>
        <w:t>，同比增长</w:t>
      </w:r>
      <w:r>
        <w:rPr>
          <w:spacing w:val="-56"/>
        </w:rPr>
        <w:t> </w:t>
      </w:r>
      <w:r>
        <w:rPr>
          <w:rFonts w:ascii="宋体" w:hAnsi="宋体" w:cs="宋体" w:eastAsia="宋体" w:hint="default"/>
        </w:rPr>
        <w:t>17.0%</w:t>
      </w:r>
      <w:r>
        <w:rPr/>
        <w:t>。</w:t>
      </w:r>
      <w:r>
        <w:rPr>
          <w:rFonts w:ascii="宋体" w:hAnsi="宋体" w:cs="宋体" w:eastAsia="宋体" w:hint="default"/>
        </w:rPr>
        <w:t> </w:t>
      </w:r>
    </w:p>
    <w:p>
      <w:pPr>
        <w:pStyle w:val="BodyText"/>
        <w:spacing w:line="273" w:lineRule="auto" w:before="7"/>
        <w:ind w:right="109" w:firstLine="420"/>
        <w:jc w:val="both"/>
        <w:rPr>
          <w:rFonts w:ascii="宋体" w:hAnsi="宋体" w:cs="宋体" w:eastAsia="宋体" w:hint="default"/>
        </w:rPr>
      </w:pPr>
      <w:r>
        <w:rPr>
          <w:spacing w:val="-2"/>
        </w:rPr>
        <w:t>目前，我国光伏产业在技术、工艺、效率等各方面都达成了长足的进步，而且政策方面也开始</w:t>
      </w:r>
      <w:r>
        <w:rPr>
          <w:w w:val="100"/>
        </w:rPr>
        <w:t> </w:t>
      </w:r>
      <w:r>
        <w:rPr>
          <w:spacing w:val="-2"/>
        </w:rPr>
        <w:t>着力于降低行业的非技术成本，推动国内光伏市场向平价上网发展。</w:t>
      </w:r>
      <w:r>
        <w:rPr>
          <w:rFonts w:ascii="宋体" w:hAnsi="宋体" w:cs="宋体" w:eastAsia="宋体" w:hint="default"/>
          <w:spacing w:val="-2"/>
        </w:rPr>
        <w:t>2020</w:t>
      </w:r>
      <w:r>
        <w:rPr>
          <w:rFonts w:ascii="宋体" w:hAnsi="宋体" w:cs="宋体" w:eastAsia="宋体" w:hint="default"/>
        </w:rPr>
        <w:t> </w:t>
      </w:r>
      <w:r>
        <w:rPr>
          <w:spacing w:val="-2"/>
        </w:rPr>
        <w:t>年是我国光伏产业进入平</w:t>
      </w:r>
      <w:r>
        <w:rPr>
          <w:spacing w:val="-89"/>
        </w:rPr>
        <w:t> </w:t>
      </w:r>
      <w:r>
        <w:rPr>
          <w:spacing w:val="-89"/>
        </w:rPr>
      </w:r>
      <w:r>
        <w:rPr>
          <w:spacing w:val="-2"/>
        </w:rPr>
        <w:t>价时代前的关键调整期，平价、竞价项目并行开展，整个行业的发展将趋向于平价方面有序发展，</w:t>
      </w:r>
      <w:r>
        <w:rPr>
          <w:spacing w:val="-25"/>
        </w:rPr>
        <w:t> </w:t>
      </w:r>
      <w:r>
        <w:rPr>
          <w:spacing w:val="-25"/>
        </w:rPr>
      </w:r>
      <w:r>
        <w:rPr>
          <w:spacing w:val="-2"/>
        </w:rPr>
        <w:t>且全产业链在质量、技术、效益方面取得的成效将部分显现。“十三五”后期，我国光伏将围绕高</w:t>
      </w:r>
      <w:r>
        <w:rPr>
          <w:spacing w:val="-25"/>
        </w:rPr>
        <w:t> </w:t>
      </w:r>
      <w:r>
        <w:rPr>
          <w:spacing w:val="-25"/>
        </w:rPr>
      </w:r>
      <w:r>
        <w:rPr>
          <w:spacing w:val="-2"/>
        </w:rPr>
        <w:t>质量发展，着力推动技术进步与降本增效，加快摆脱补贴依赖，实现行业的健康可持续发展，从中</w:t>
      </w:r>
      <w:r>
        <w:rPr>
          <w:spacing w:val="-25"/>
        </w:rPr>
        <w:t> </w:t>
      </w:r>
      <w:r>
        <w:rPr>
          <w:spacing w:val="-25"/>
        </w:rPr>
      </w:r>
      <w:r>
        <w:rPr/>
        <w:t>长期看我国新能源仍将快速发展。</w:t>
      </w:r>
      <w:r>
        <w:rPr>
          <w:rFonts w:ascii="宋体" w:hAnsi="宋体" w:cs="宋体" w:eastAsia="宋体" w:hint="default"/>
        </w:rPr>
        <w:t> </w:t>
      </w:r>
    </w:p>
    <w:p>
      <w:pPr>
        <w:pStyle w:val="BodyText"/>
        <w:spacing w:line="273" w:lineRule="auto" w:before="7"/>
        <w:ind w:right="201" w:firstLine="420"/>
        <w:jc w:val="both"/>
        <w:rPr>
          <w:rFonts w:ascii="宋体" w:hAnsi="宋体" w:cs="宋体" w:eastAsia="宋体" w:hint="default"/>
        </w:rPr>
      </w:pPr>
      <w:r>
        <w:rPr/>
        <w:t>据彭博财经预测，</w:t>
      </w:r>
      <w:r>
        <w:rPr>
          <w:rFonts w:ascii="宋体" w:hAnsi="宋体" w:cs="宋体" w:eastAsia="宋体" w:hint="default"/>
        </w:rPr>
        <w:t>2020</w:t>
      </w:r>
      <w:r>
        <w:rPr>
          <w:rFonts w:ascii="宋体" w:hAnsi="宋体" w:cs="宋体" w:eastAsia="宋体" w:hint="default"/>
          <w:spacing w:val="-56"/>
        </w:rPr>
        <w:t> </w:t>
      </w:r>
      <w:r>
        <w:rPr/>
        <w:t>年，全球新增装机超过</w:t>
      </w:r>
      <w:r>
        <w:rPr>
          <w:spacing w:val="-54"/>
        </w:rPr>
        <w:t> </w:t>
      </w:r>
      <w:r>
        <w:rPr>
          <w:rFonts w:ascii="宋体" w:hAnsi="宋体" w:cs="宋体" w:eastAsia="宋体" w:hint="default"/>
        </w:rPr>
        <w:t>1GW</w:t>
      </w:r>
      <w:r>
        <w:rPr>
          <w:rFonts w:ascii="宋体" w:hAnsi="宋体" w:cs="宋体" w:eastAsia="宋体" w:hint="default"/>
          <w:spacing w:val="-56"/>
        </w:rPr>
        <w:t> </w:t>
      </w:r>
      <w:r>
        <w:rPr/>
        <w:t>的市场将达到</w:t>
      </w:r>
      <w:r>
        <w:rPr>
          <w:spacing w:val="-54"/>
        </w:rPr>
        <w:t> </w:t>
      </w:r>
      <w:r>
        <w:rPr>
          <w:rFonts w:ascii="宋体" w:hAnsi="宋体" w:cs="宋体" w:eastAsia="宋体" w:hint="default"/>
        </w:rPr>
        <w:t>17</w:t>
      </w:r>
      <w:r>
        <w:rPr>
          <w:rFonts w:ascii="宋体" w:hAnsi="宋体" w:cs="宋体" w:eastAsia="宋体" w:hint="default"/>
          <w:spacing w:val="-54"/>
        </w:rPr>
        <w:t> </w:t>
      </w:r>
      <w:r>
        <w:rPr/>
        <w:t>个，全球光伏新增装机规</w:t>
      </w:r>
      <w:r>
        <w:rPr>
          <w:w w:val="100"/>
        </w:rPr>
        <w:t> </w:t>
      </w:r>
      <w:r>
        <w:rPr>
          <w:spacing w:val="-2"/>
        </w:rPr>
        <w:t>模中等情景预测</w:t>
      </w:r>
      <w:r>
        <w:rPr/>
        <w:t> </w:t>
      </w:r>
      <w:r>
        <w:rPr>
          <w:rFonts w:ascii="宋体" w:hAnsi="宋体" w:cs="宋体" w:eastAsia="宋体" w:hint="default"/>
          <w:spacing w:val="-2"/>
        </w:rPr>
        <w:t>137GW</w:t>
      </w:r>
      <w:r>
        <w:rPr>
          <w:spacing w:val="-2"/>
        </w:rPr>
        <w:t>。在光伏发电成本持续下降和新兴市场拉动等有利因素的推动下，全球光伏</w:t>
      </w:r>
      <w:r>
        <w:rPr>
          <w:spacing w:val="-75"/>
        </w:rPr>
        <w:t> </w:t>
      </w:r>
      <w:r>
        <w:rPr>
          <w:spacing w:val="-75"/>
        </w:rPr>
      </w:r>
      <w:r>
        <w:rPr/>
        <w:t>市场仍将保持增长，预计全年全球光伏新增装机量将超过</w:t>
      </w:r>
      <w:r>
        <w:rPr>
          <w:spacing w:val="-58"/>
        </w:rPr>
        <w:t> </w:t>
      </w:r>
      <w:r>
        <w:rPr>
          <w:rFonts w:ascii="宋体" w:hAnsi="宋体" w:cs="宋体" w:eastAsia="宋体" w:hint="default"/>
        </w:rPr>
        <w:t>130GW</w:t>
      </w:r>
      <w:r>
        <w:rPr/>
        <w:t>，乐观情形下甚至达到</w:t>
      </w:r>
      <w:r>
        <w:rPr>
          <w:spacing w:val="-57"/>
        </w:rPr>
        <w:t> </w:t>
      </w:r>
      <w:r>
        <w:rPr>
          <w:rFonts w:ascii="宋体" w:hAnsi="宋体" w:cs="宋体" w:eastAsia="宋体" w:hint="default"/>
        </w:rPr>
        <w:t>140GW</w:t>
      </w:r>
      <w:r>
        <w:rPr/>
        <w:t>。</w:t>
      </w:r>
      <w:r>
        <w:rPr>
          <w:rFonts w:ascii="宋体" w:hAnsi="宋体" w:cs="宋体" w:eastAsia="宋体" w:hint="default"/>
        </w:rPr>
        <w:t> </w:t>
      </w:r>
    </w:p>
    <w:p>
      <w:pPr>
        <w:pStyle w:val="BodyText"/>
        <w:spacing w:line="240" w:lineRule="auto" w:before="7"/>
        <w:ind w:left="638" w:right="0"/>
        <w:jc w:val="left"/>
        <w:rPr>
          <w:rFonts w:ascii="宋体" w:hAnsi="宋体" w:cs="宋体" w:eastAsia="宋体" w:hint="default"/>
        </w:rPr>
      </w:pPr>
      <w:r>
        <w:rPr>
          <w:rFonts w:ascii="宋体"/>
          <w:w w:val="100"/>
        </w:rPr>
        <w:t> </w:t>
      </w:r>
    </w:p>
    <w:p>
      <w:pPr>
        <w:pStyle w:val="BodyText"/>
        <w:spacing w:line="273" w:lineRule="auto" w:before="37"/>
        <w:ind w:left="638" w:right="0" w:hanging="420"/>
        <w:jc w:val="left"/>
      </w:pPr>
      <w:r>
        <w:rPr>
          <w:rFonts w:ascii="宋体" w:hAnsi="宋体" w:cs="宋体" w:eastAsia="宋体" w:hint="default"/>
          <w:b/>
          <w:bCs/>
        </w:rPr>
        <w:t>（</w:t>
      </w:r>
      <w:r>
        <w:rPr>
          <w:rFonts w:ascii="宋体" w:hAnsi="宋体" w:cs="宋体" w:eastAsia="宋体" w:hint="default"/>
          <w:b/>
          <w:bCs/>
        </w:rPr>
        <w:t>3</w:t>
      </w:r>
      <w:r>
        <w:rPr>
          <w:rFonts w:ascii="宋体" w:hAnsi="宋体" w:cs="宋体" w:eastAsia="宋体" w:hint="default"/>
          <w:b/>
          <w:bCs/>
        </w:rPr>
        <w:t>）节能领域</w:t>
      </w:r>
      <w:r>
        <w:rPr>
          <w:rFonts w:ascii="宋体" w:hAnsi="宋体" w:cs="宋体" w:eastAsia="宋体" w:hint="default"/>
          <w:b/>
          <w:bCs/>
          <w:w w:val="99"/>
        </w:rPr>
        <w:t> </w:t>
      </w:r>
      <w:r>
        <w:rPr>
          <w:spacing w:val="-2"/>
        </w:rPr>
        <w:t>国家持续推进电力体制改革，电力市场的参与主体进一步扩大，国内大型能源企业、新兴能源</w:t>
      </w:r>
    </w:p>
    <w:p>
      <w:pPr>
        <w:pStyle w:val="BodyText"/>
        <w:spacing w:line="273" w:lineRule="auto" w:before="7"/>
        <w:ind w:right="148"/>
        <w:jc w:val="both"/>
        <w:rPr>
          <w:rFonts w:ascii="宋体" w:hAnsi="宋体" w:cs="宋体" w:eastAsia="宋体" w:hint="default"/>
        </w:rPr>
      </w:pPr>
      <w:r>
        <w:rPr>
          <w:spacing w:val="-2"/>
        </w:rPr>
        <w:t>公司甚至互联网企业等纷纷布局，面向客户提供综合能源整体解决方案，以满足终端客户多元化能</w:t>
      </w:r>
      <w:r>
        <w:rPr>
          <w:spacing w:val="-25"/>
        </w:rPr>
        <w:t> </w:t>
      </w:r>
      <w:r>
        <w:rPr>
          <w:spacing w:val="-25"/>
        </w:rPr>
      </w:r>
      <w:r>
        <w:rPr>
          <w:spacing w:val="-2"/>
        </w:rPr>
        <w:t>源生产与消费的需求。综合能源服务的兴起，标志着中国能源行业重心已从保障供应转移到以用户</w:t>
      </w:r>
      <w:r>
        <w:rPr>
          <w:spacing w:val="-25"/>
        </w:rPr>
        <w:t> </w:t>
      </w:r>
      <w:r>
        <w:rPr>
          <w:spacing w:val="-25"/>
        </w:rPr>
      </w:r>
      <w:r>
        <w:rPr/>
        <w:t>为中心的能源增值服务。</w:t>
      </w:r>
      <w:r>
        <w:rPr>
          <w:rFonts w:ascii="宋体" w:hAnsi="宋体" w:cs="宋体" w:eastAsia="宋体" w:hint="default"/>
        </w:rPr>
        <w:t> </w:t>
      </w:r>
    </w:p>
    <w:p>
      <w:pPr>
        <w:pStyle w:val="BodyText"/>
        <w:spacing w:line="273" w:lineRule="auto" w:before="7"/>
        <w:ind w:right="148" w:firstLine="420"/>
        <w:jc w:val="both"/>
      </w:pPr>
      <w:r>
        <w:rPr>
          <w:spacing w:val="-2"/>
        </w:rPr>
        <w:t>目前我国综合能源服务行业仍处于起步阶段，工业园区、大型高能耗企业、公共建筑等是我国</w:t>
      </w:r>
      <w:r>
        <w:rPr>
          <w:w w:val="100"/>
        </w:rPr>
        <w:t> </w:t>
      </w:r>
      <w:r>
        <w:rPr>
          <w:spacing w:val="-2"/>
        </w:rPr>
        <w:t>未来开展综合能源的主要对象。各类园区集中了我国</w:t>
      </w:r>
      <w:r>
        <w:rPr>
          <w:spacing w:val="30"/>
        </w:rPr>
        <w:t> </w:t>
      </w:r>
      <w:r>
        <w:rPr>
          <w:rFonts w:ascii="宋体" w:hAnsi="宋体" w:cs="宋体" w:eastAsia="宋体" w:hint="default"/>
          <w:spacing w:val="-2"/>
        </w:rPr>
        <w:t>70%</w:t>
      </w:r>
      <w:r>
        <w:rPr>
          <w:spacing w:val="-2"/>
        </w:rPr>
        <w:t>的工业用能，而且这类负荷基本都在存在</w:t>
      </w:r>
    </w:p>
    <w:p>
      <w:pPr>
        <w:spacing w:after="0" w:line="273" w:lineRule="auto"/>
        <w:jc w:val="both"/>
        <w:sectPr>
          <w:pgSz w:w="11910" w:h="16840"/>
          <w:pgMar w:header="748" w:footer="974" w:top="1140" w:bottom="1160" w:left="1200" w:right="1300"/>
        </w:sectPr>
      </w:pPr>
    </w:p>
    <w:p>
      <w:pPr>
        <w:spacing w:line="240" w:lineRule="auto" w:before="2"/>
        <w:rPr>
          <w:rFonts w:ascii="宋体" w:hAnsi="宋体" w:cs="宋体" w:eastAsia="宋体" w:hint="default"/>
          <w:sz w:val="19"/>
          <w:szCs w:val="19"/>
        </w:rPr>
      </w:pPr>
    </w:p>
    <w:p>
      <w:pPr>
        <w:pStyle w:val="BodyText"/>
        <w:spacing w:line="273" w:lineRule="auto" w:before="36"/>
        <w:ind w:right="148"/>
        <w:jc w:val="both"/>
        <w:rPr>
          <w:rFonts w:ascii="宋体" w:hAnsi="宋体" w:cs="宋体" w:eastAsia="宋体" w:hint="default"/>
        </w:rPr>
      </w:pPr>
      <w:r>
        <w:rPr>
          <w:spacing w:val="-2"/>
        </w:rPr>
        <w:t>电、冷、热多种能源需求，具有很强的能效提升空间。通过多能互补、集成优化、智慧化监控管理</w:t>
      </w:r>
      <w:r>
        <w:rPr>
          <w:spacing w:val="-26"/>
        </w:rPr>
        <w:t> </w:t>
      </w:r>
      <w:r>
        <w:rPr>
          <w:spacing w:val="-26"/>
        </w:rPr>
      </w:r>
      <w:r>
        <w:rPr>
          <w:spacing w:val="-2"/>
        </w:rPr>
        <w:t>及优化运行等方式，经济、绿色、高效地满足多种能源需求。同时，基于互联网信息技术的智慧能</w:t>
      </w:r>
      <w:r>
        <w:rPr>
          <w:spacing w:val="-25"/>
        </w:rPr>
        <w:t> </w:t>
      </w:r>
      <w:r>
        <w:rPr>
          <w:spacing w:val="-25"/>
        </w:rPr>
      </w:r>
      <w:r>
        <w:rPr>
          <w:spacing w:val="-2"/>
        </w:rPr>
        <w:t>效管理平台能够有效地提高能源系统的运行效率和安全稳定运行能力，利用平台的数据分析能力持</w:t>
      </w:r>
      <w:r>
        <w:rPr>
          <w:spacing w:val="-25"/>
        </w:rPr>
        <w:t> </w:t>
      </w:r>
      <w:r>
        <w:rPr>
          <w:spacing w:val="-25"/>
        </w:rPr>
      </w:r>
      <w:r>
        <w:rPr>
          <w:spacing w:val="-2"/>
        </w:rPr>
        <w:t>续提高能源利用效率，深度挖掘节能空间。综合能源服务将加快推进能源领域体制机制改革，加快</w:t>
      </w:r>
      <w:r>
        <w:rPr>
          <w:spacing w:val="-25"/>
        </w:rPr>
        <w:t> </w:t>
      </w:r>
      <w:r>
        <w:rPr>
          <w:spacing w:val="-25"/>
        </w:rPr>
      </w:r>
      <w:r>
        <w:rPr/>
        <w:t>能源消费向“市场化”转型升级。数据显示，</w:t>
      </w:r>
      <w:r>
        <w:rPr>
          <w:rFonts w:ascii="宋体" w:hAnsi="宋体" w:cs="宋体" w:eastAsia="宋体" w:hint="default"/>
        </w:rPr>
        <w:t>2019</w:t>
      </w:r>
      <w:r>
        <w:rPr>
          <w:rFonts w:ascii="宋体" w:hAnsi="宋体" w:cs="宋体" w:eastAsia="宋体" w:hint="default"/>
          <w:spacing w:val="-56"/>
        </w:rPr>
        <w:t> </w:t>
      </w:r>
      <w:r>
        <w:rPr/>
        <w:t>年我国的节能服务产业总值为</w:t>
      </w:r>
      <w:r>
        <w:rPr>
          <w:spacing w:val="-54"/>
        </w:rPr>
        <w:t> </w:t>
      </w:r>
      <w:r>
        <w:rPr>
          <w:rFonts w:ascii="宋体" w:hAnsi="宋体" w:cs="宋体" w:eastAsia="宋体" w:hint="default"/>
        </w:rPr>
        <w:t>5222</w:t>
      </w:r>
      <w:r>
        <w:rPr>
          <w:rFonts w:ascii="宋体" w:hAnsi="宋体" w:cs="宋体" w:eastAsia="宋体" w:hint="default"/>
          <w:spacing w:val="-56"/>
        </w:rPr>
        <w:t> </w:t>
      </w:r>
      <w:r>
        <w:rPr/>
        <w:t>亿元，同比</w:t>
      </w:r>
      <w:r>
        <w:rPr>
          <w:w w:val="100"/>
        </w:rPr>
        <w:t> </w:t>
      </w:r>
      <w:r>
        <w:rPr/>
        <w:t>增长</w:t>
      </w:r>
      <w:r>
        <w:rPr>
          <w:spacing w:val="-55"/>
        </w:rPr>
        <w:t> </w:t>
      </w:r>
      <w:r>
        <w:rPr>
          <w:rFonts w:ascii="宋体" w:hAnsi="宋体" w:cs="宋体" w:eastAsia="宋体" w:hint="default"/>
        </w:rPr>
        <w:t>9.38%</w:t>
      </w:r>
      <w:r>
        <w:rPr/>
        <w:t>，截至</w:t>
      </w:r>
      <w:r>
        <w:rPr>
          <w:spacing w:val="-55"/>
        </w:rPr>
        <w:t> </w:t>
      </w:r>
      <w:r>
        <w:rPr>
          <w:rFonts w:ascii="宋体" w:hAnsi="宋体" w:cs="宋体" w:eastAsia="宋体" w:hint="default"/>
        </w:rPr>
        <w:t>2019</w:t>
      </w:r>
      <w:r>
        <w:rPr>
          <w:rFonts w:ascii="宋体" w:hAnsi="宋体" w:cs="宋体" w:eastAsia="宋体" w:hint="default"/>
          <w:spacing w:val="-57"/>
        </w:rPr>
        <w:t> </w:t>
      </w:r>
      <w:r>
        <w:rPr/>
        <w:t>年底全国从事节能服务的企业多达</w:t>
      </w:r>
      <w:r>
        <w:rPr>
          <w:spacing w:val="-54"/>
        </w:rPr>
        <w:t> </w:t>
      </w:r>
      <w:r>
        <w:rPr>
          <w:rFonts w:ascii="宋体" w:hAnsi="宋体" w:cs="宋体" w:eastAsia="宋体" w:hint="default"/>
        </w:rPr>
        <w:t>6547</w:t>
      </w:r>
      <w:r>
        <w:rPr>
          <w:rFonts w:ascii="宋体" w:hAnsi="宋体" w:cs="宋体" w:eastAsia="宋体" w:hint="default"/>
          <w:spacing w:val="-55"/>
        </w:rPr>
        <w:t> </w:t>
      </w:r>
      <w:r>
        <w:rPr/>
        <w:t>家，但由于目前节能市场的行业集</w:t>
      </w:r>
      <w:r>
        <w:rPr>
          <w:w w:val="100"/>
        </w:rPr>
        <w:t> </w:t>
      </w:r>
      <w:r>
        <w:rPr/>
        <w:t>中度较低，企业规模较小，综合能源服务行业存在着很大的发展机遇。</w:t>
      </w:r>
      <w:r>
        <w:rPr>
          <w:rFonts w:ascii="宋体" w:hAnsi="宋体" w:cs="宋体" w:eastAsia="宋体" w:hint="default"/>
        </w:rPr>
        <w:t> </w:t>
      </w:r>
    </w:p>
    <w:p>
      <w:pPr>
        <w:pStyle w:val="Heading2"/>
        <w:spacing w:line="294" w:lineRule="exact"/>
        <w:ind w:right="0"/>
        <w:jc w:val="both"/>
        <w:rPr>
          <w:rFonts w:ascii="宋体" w:hAnsi="宋体" w:cs="宋体" w:eastAsia="宋体" w:hint="default"/>
        </w:rPr>
      </w:pPr>
      <w:r>
        <w:rPr>
          <w:rFonts w:ascii="宋体"/>
        </w:rPr>
        <w:t> </w:t>
      </w:r>
    </w:p>
    <w:p>
      <w:pPr>
        <w:pStyle w:val="Heading3"/>
        <w:spacing w:line="240" w:lineRule="auto" w:before="85"/>
        <w:ind w:right="0"/>
        <w:jc w:val="both"/>
        <w:rPr>
          <w:rFonts w:ascii="宋体" w:hAnsi="宋体" w:cs="宋体" w:eastAsia="宋体" w:hint="default"/>
          <w:b w:val="0"/>
          <w:bCs w:val="0"/>
        </w:rPr>
      </w:pPr>
      <w:r>
        <w:rPr/>
        <w:t>二、报告期内公司主要资产发生重大变化情况的说明</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7"/>
        <w:ind w:right="0"/>
        <w:jc w:val="both"/>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326" w:lineRule="auto" w:before="37"/>
        <w:ind w:right="0"/>
        <w:jc w:val="left"/>
        <w:rPr>
          <w:rFonts w:ascii="宋体" w:hAnsi="宋体" w:cs="宋体" w:eastAsia="宋体" w:hint="default"/>
          <w:b w:val="0"/>
          <w:bCs w:val="0"/>
        </w:rPr>
      </w:pPr>
      <w:r>
        <w:rPr>
          <w:rFonts w:ascii="宋体" w:hAnsi="宋体" w:cs="宋体" w:eastAsia="宋体" w:hint="default"/>
          <w:b w:val="0"/>
          <w:bCs w:val="0"/>
          <w:w w:val="100"/>
        </w:rPr>
        <w:t>  </w:t>
      </w:r>
      <w:r>
        <w:rPr>
          <w:w w:val="100"/>
        </w:rPr>
        <w:t>三</w:t>
      </w:r>
      <w:r>
        <w:rPr>
          <w:spacing w:val="4"/>
          <w:w w:val="100"/>
        </w:rPr>
        <w:t>、</w:t>
      </w:r>
      <w:r>
        <w:rPr>
          <w:w w:val="100"/>
        </w:rPr>
        <w:t>报告期内核心竞争</w:t>
      </w:r>
      <w:r>
        <w:rPr>
          <w:spacing w:val="-3"/>
          <w:w w:val="100"/>
        </w:rPr>
        <w:t>力</w:t>
      </w:r>
      <w:r>
        <w:rPr>
          <w:w w:val="100"/>
        </w:rPr>
        <w:t>分</w:t>
      </w:r>
      <w:r>
        <w:rPr>
          <w:spacing w:val="-2"/>
          <w:w w:val="100"/>
        </w:rPr>
        <w:t>析</w:t>
      </w:r>
      <w:r>
        <w:rPr>
          <w:rFonts w:ascii="宋体" w:hAnsi="宋体" w:cs="宋体" w:eastAsia="宋体" w:hint="default"/>
          <w:w w:val="99"/>
        </w:rPr>
        <w:t> </w:t>
      </w:r>
      <w:r>
        <w:rPr>
          <w:rFonts w:ascii="宋体" w:hAnsi="宋体" w:cs="宋体" w:eastAsia="宋体" w:hint="default"/>
          <w:b w:val="0"/>
          <w:bCs w:val="0"/>
        </w:rPr>
      </w:r>
    </w:p>
    <w:p>
      <w:pPr>
        <w:pStyle w:val="Heading2"/>
        <w:spacing w:line="308" w:lineRule="exact"/>
        <w:ind w:right="0"/>
        <w:jc w:val="both"/>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BodyText"/>
        <w:spacing w:line="273" w:lineRule="auto" w:before="25"/>
        <w:ind w:right="148" w:firstLine="420"/>
        <w:jc w:val="both"/>
        <w:rPr>
          <w:rFonts w:ascii="宋体" w:hAnsi="宋体" w:cs="宋体" w:eastAsia="宋体" w:hint="default"/>
        </w:rPr>
      </w:pPr>
      <w:r>
        <w:rPr>
          <w:spacing w:val="-2"/>
        </w:rPr>
        <w:t>公司自成立二十多年以来，一直以“打造绿色环境、创造美好生活”为使命，以“增强运营效</w:t>
      </w:r>
      <w:r>
        <w:rPr>
          <w:w w:val="100"/>
        </w:rPr>
        <w:t> </w:t>
      </w:r>
      <w:r>
        <w:rPr>
          <w:spacing w:val="-2"/>
        </w:rPr>
        <w:t>率、全力降本增效”为管理抓手。通过不断创新和发展，现公司规模、产能、销量与质量均列行业</w:t>
      </w:r>
      <w:r>
        <w:rPr>
          <w:spacing w:val="-25"/>
        </w:rPr>
        <w:t> </w:t>
      </w:r>
      <w:r>
        <w:rPr>
          <w:spacing w:val="-25"/>
        </w:rPr>
      </w:r>
      <w:r>
        <w:rPr>
          <w:spacing w:val="-2"/>
        </w:rPr>
        <w:t>前茅，系统类产品与服务得到行业主流客户认同；在综合能源服务领域业务持续增长；在分布式光</w:t>
      </w:r>
      <w:r>
        <w:rPr>
          <w:spacing w:val="-25"/>
        </w:rPr>
        <w:t> </w:t>
      </w:r>
      <w:r>
        <w:rPr>
          <w:spacing w:val="-25"/>
        </w:rPr>
      </w:r>
      <w:r>
        <w:rPr/>
        <w:t>伏电站的开发、投资、建设和运营上也取得一系列成就。</w:t>
      </w:r>
      <w:r>
        <w:rPr>
          <w:rFonts w:ascii="宋体" w:hAnsi="宋体" w:cs="宋体" w:eastAsia="宋体" w:hint="default"/>
        </w:rPr>
        <w:t> </w:t>
      </w:r>
    </w:p>
    <w:p>
      <w:pPr>
        <w:pStyle w:val="BodyText"/>
        <w:spacing w:line="273" w:lineRule="auto" w:before="7"/>
        <w:ind w:right="148" w:firstLine="420"/>
        <w:jc w:val="both"/>
        <w:rPr>
          <w:rFonts w:ascii="宋体" w:hAnsi="宋体" w:cs="宋体" w:eastAsia="宋体" w:hint="default"/>
        </w:rPr>
      </w:pPr>
      <w:r>
        <w:rPr>
          <w:spacing w:val="-2"/>
        </w:rPr>
        <w:t>近年来，公司董事会紧跟国家产业政策，通过原有资源的整合、现有模式的创新和核心技术的</w:t>
      </w:r>
      <w:r>
        <w:rPr>
          <w:w w:val="100"/>
        </w:rPr>
        <w:t> </w:t>
      </w:r>
      <w:r>
        <w:rPr>
          <w:spacing w:val="-2"/>
        </w:rPr>
        <w:t>积累，充分发挥公司在品牌、技术、营销、运维、质量、规模、融资渠道和项目资源等方面优势，</w:t>
      </w:r>
      <w:r>
        <w:rPr>
          <w:spacing w:val="-25"/>
        </w:rPr>
        <w:t> </w:t>
      </w:r>
      <w:r>
        <w:rPr>
          <w:spacing w:val="-25"/>
        </w:rPr>
      </w:r>
      <w:r>
        <w:rPr>
          <w:spacing w:val="-2"/>
        </w:rPr>
        <w:t>深化“智能、节能、新能源”三大板块内涵，明确致力于“全球智能电网、新能源、能效管理领域</w:t>
      </w:r>
      <w:r>
        <w:rPr>
          <w:spacing w:val="-26"/>
        </w:rPr>
        <w:t> </w:t>
      </w:r>
      <w:r>
        <w:rPr>
          <w:spacing w:val="-26"/>
        </w:rPr>
      </w:r>
      <w:r>
        <w:rPr>
          <w:spacing w:val="-2"/>
        </w:rPr>
        <w:t>一流的产品和运营服务商”的战略定位，全面升级公司产业结构，增强整体竞争力。公司报告期内</w:t>
      </w:r>
      <w:r>
        <w:rPr>
          <w:spacing w:val="-25"/>
        </w:rPr>
        <w:t> </w:t>
      </w:r>
      <w:r>
        <w:rPr>
          <w:spacing w:val="-25"/>
        </w:rPr>
      </w:r>
      <w:r>
        <w:rPr/>
        <w:t>核心竞争力主要体现在如下几个方面：</w:t>
      </w:r>
      <w:r>
        <w:rPr>
          <w:rFonts w:ascii="宋体" w:hAnsi="宋体" w:cs="宋体" w:eastAsia="宋体" w:hint="default"/>
        </w:rPr>
        <w:t> </w:t>
      </w:r>
    </w:p>
    <w:p>
      <w:pPr>
        <w:pStyle w:val="BodyText"/>
        <w:spacing w:line="273" w:lineRule="auto" w:before="8"/>
        <w:ind w:left="638" w:right="0" w:hanging="420"/>
        <w:jc w:val="left"/>
      </w:pPr>
      <w:r>
        <w:rPr>
          <w:rFonts w:ascii="宋体" w:hAnsi="宋体" w:cs="宋体" w:eastAsia="宋体" w:hint="default"/>
          <w:b/>
          <w:bCs/>
        </w:rPr>
        <w:t>（</w:t>
      </w:r>
      <w:r>
        <w:rPr>
          <w:rFonts w:ascii="宋体" w:hAnsi="宋体" w:cs="宋体" w:eastAsia="宋体" w:hint="default"/>
          <w:b/>
          <w:bCs/>
        </w:rPr>
        <w:t>1</w:t>
      </w:r>
      <w:r>
        <w:rPr>
          <w:rFonts w:ascii="宋体" w:hAnsi="宋体" w:cs="宋体" w:eastAsia="宋体" w:hint="default"/>
          <w:b/>
          <w:bCs/>
        </w:rPr>
        <w:t>）品牌优势</w:t>
      </w:r>
      <w:r>
        <w:rPr>
          <w:rFonts w:ascii="宋体" w:hAnsi="宋体" w:cs="宋体" w:eastAsia="宋体" w:hint="default"/>
          <w:b/>
          <w:bCs/>
          <w:w w:val="99"/>
        </w:rPr>
        <w:t> </w:t>
      </w:r>
      <w:r>
        <w:rPr>
          <w:spacing w:val="-2"/>
        </w:rPr>
        <w:t>公司自成立以来，凭借过硬的产品质量、创新的技术研发能力、完善的客户服务体系、以“市</w:t>
      </w:r>
    </w:p>
    <w:p>
      <w:pPr>
        <w:pStyle w:val="BodyText"/>
        <w:spacing w:line="273" w:lineRule="auto" w:before="7"/>
        <w:ind w:right="112"/>
        <w:jc w:val="both"/>
        <w:rPr>
          <w:rFonts w:ascii="宋体" w:hAnsi="宋体" w:cs="宋体" w:eastAsia="宋体" w:hint="default"/>
        </w:rPr>
      </w:pPr>
      <w:r>
        <w:rPr>
          <w:spacing w:val="-2"/>
        </w:rPr>
        <w:t>场第一、客户至上”的八字经营理念，打造出具有竞争力的品牌优势。公司“KD”商标被评为江苏</w:t>
      </w:r>
      <w:r>
        <w:rPr>
          <w:spacing w:val="-24"/>
        </w:rPr>
        <w:t> </w:t>
      </w:r>
      <w:r>
        <w:rPr>
          <w:spacing w:val="-24"/>
        </w:rPr>
      </w:r>
      <w:r>
        <w:rPr>
          <w:spacing w:val="-2"/>
        </w:rPr>
        <w:t>省著名商标。“林洋”商标被认定为中国驰名商标，在国内外享有了较高的知名度。并取得了中国</w:t>
      </w:r>
      <w:r>
        <w:rPr>
          <w:spacing w:val="-26"/>
        </w:rPr>
        <w:t> </w:t>
      </w:r>
      <w:r>
        <w:rPr>
          <w:spacing w:val="-26"/>
        </w:rPr>
      </w:r>
      <w:r>
        <w:rPr>
          <w:spacing w:val="-2"/>
        </w:rPr>
        <w:t>名牌产品、国家级重点高新技术企业、国家认定企业技术中心、国家首批知识产权优势企业、国家</w:t>
      </w:r>
      <w:r>
        <w:rPr>
          <w:spacing w:val="-26"/>
        </w:rPr>
        <w:t> </w:t>
      </w:r>
      <w:r>
        <w:rPr>
          <w:spacing w:val="-26"/>
        </w:rPr>
      </w:r>
      <w:r>
        <w:rPr>
          <w:spacing w:val="-2"/>
        </w:rPr>
        <w:t>能效管理标准制定者、中国百强民营企业、中国电子信息百强企业、全国质量稳定合格产品、品牌</w:t>
      </w:r>
      <w:r>
        <w:rPr>
          <w:spacing w:val="-25"/>
        </w:rPr>
        <w:t> </w:t>
      </w:r>
      <w:r>
        <w:rPr>
          <w:spacing w:val="-25"/>
        </w:rPr>
      </w:r>
      <w:r>
        <w:rPr>
          <w:spacing w:val="-9"/>
          <w:w w:val="100"/>
        </w:rPr>
        <w:t>江苏建设“金帆奖”、江苏省重点培育和发展的国际知名品牌、江苏名牌、江苏自主工业品牌</w:t>
      </w:r>
      <w:r>
        <w:rPr>
          <w:spacing w:val="-38"/>
          <w:w w:val="100"/>
        </w:rPr>
        <w:t> </w:t>
      </w:r>
      <w:r>
        <w:rPr>
          <w:rFonts w:ascii="宋体" w:hAnsi="宋体" w:cs="宋体" w:eastAsia="宋体" w:hint="default"/>
          <w:spacing w:val="-2"/>
          <w:w w:val="100"/>
        </w:rPr>
        <w:t>50</w:t>
      </w:r>
      <w:r>
        <w:rPr>
          <w:rFonts w:ascii="宋体" w:hAnsi="宋体" w:cs="宋体" w:eastAsia="宋体" w:hint="default"/>
          <w:spacing w:val="-39"/>
          <w:w w:val="100"/>
        </w:rPr>
        <w:t> </w:t>
      </w:r>
      <w:r>
        <w:rPr>
          <w:spacing w:val="-3"/>
          <w:w w:val="100"/>
        </w:rPr>
        <w:t>强、</w:t>
      </w:r>
      <w:r>
        <w:rPr>
          <w:spacing w:val="-99"/>
          <w:w w:val="100"/>
        </w:rPr>
        <w:t> </w:t>
      </w:r>
      <w:r>
        <w:rPr/>
        <w:t>江苏省互联网与工业融合创新示范企业等荣誉。</w:t>
      </w:r>
      <w:r>
        <w:rPr>
          <w:rFonts w:ascii="宋体" w:hAnsi="宋体" w:cs="宋体" w:eastAsia="宋体" w:hint="default"/>
        </w:rPr>
        <w:t> </w:t>
      </w:r>
    </w:p>
    <w:p>
      <w:pPr>
        <w:pStyle w:val="BodyText"/>
        <w:spacing w:line="273" w:lineRule="auto" w:before="7"/>
        <w:ind w:right="148" w:firstLine="420"/>
        <w:jc w:val="both"/>
        <w:rPr>
          <w:rFonts w:ascii="宋体" w:hAnsi="宋体" w:cs="宋体" w:eastAsia="宋体" w:hint="default"/>
        </w:rPr>
      </w:pPr>
      <w:r>
        <w:rPr>
          <w:spacing w:val="-2"/>
        </w:rPr>
        <w:t>公司是全球能源互联网发展合作组织首批会员单位、中电联常务理事单位、中国计量协会常务</w:t>
      </w:r>
      <w:r>
        <w:rPr>
          <w:w w:val="100"/>
        </w:rPr>
        <w:t> </w:t>
      </w:r>
      <w:r>
        <w:rPr>
          <w:spacing w:val="-2"/>
        </w:rPr>
        <w:t>理事单位、全国工商联新能源商会副会长单位、中国光伏行业协会副理事长单位、中国可再生能源</w:t>
      </w:r>
      <w:r>
        <w:rPr>
          <w:spacing w:val="-25"/>
        </w:rPr>
        <w:t> </w:t>
      </w:r>
      <w:r>
        <w:rPr>
          <w:spacing w:val="-25"/>
        </w:rPr>
      </w:r>
      <w:r>
        <w:rPr>
          <w:spacing w:val="-2"/>
        </w:rPr>
        <w:t>理事会常任理事、江苏省可再生能源行业协会副理事长、上海市太阳能学会副会长单位、上海新能</w:t>
      </w:r>
      <w:r>
        <w:rPr>
          <w:spacing w:val="-25"/>
        </w:rPr>
        <w:t> </w:t>
      </w:r>
      <w:r>
        <w:rPr>
          <w:spacing w:val="-25"/>
        </w:rPr>
      </w:r>
      <w:r>
        <w:rPr/>
        <w:t>源行业协会副会长单位。</w:t>
      </w:r>
      <w:r>
        <w:rPr>
          <w:rFonts w:ascii="宋体" w:hAnsi="宋体" w:cs="宋体" w:eastAsia="宋体" w:hint="default"/>
        </w:rPr>
        <w:t> </w:t>
      </w:r>
    </w:p>
    <w:p>
      <w:pPr>
        <w:pStyle w:val="BodyText"/>
        <w:spacing w:line="273" w:lineRule="auto" w:before="8"/>
        <w:ind w:right="109" w:firstLine="420"/>
        <w:jc w:val="both"/>
        <w:rPr>
          <w:rFonts w:ascii="宋体" w:hAnsi="宋体" w:cs="宋体" w:eastAsia="宋体" w:hint="default"/>
        </w:rPr>
      </w:pPr>
      <w:r>
        <w:rPr>
          <w:rFonts w:ascii="宋体" w:hAnsi="宋体" w:cs="宋体" w:eastAsia="宋体" w:hint="default"/>
        </w:rPr>
        <w:t>2019</w:t>
      </w:r>
      <w:r>
        <w:rPr>
          <w:rFonts w:ascii="宋体" w:hAnsi="宋体" w:cs="宋体" w:eastAsia="宋体" w:hint="default"/>
          <w:spacing w:val="-60"/>
        </w:rPr>
        <w:t> </w:t>
      </w:r>
      <w:r>
        <w:rPr/>
        <w:t>年，公司坚持技术创新，提升智造水平，先后获得了中国先进制造业品牌</w:t>
      </w:r>
      <w:r>
        <w:rPr>
          <w:spacing w:val="-57"/>
        </w:rPr>
        <w:t> </w:t>
      </w:r>
      <w:r>
        <w:rPr>
          <w:rFonts w:ascii="宋体" w:hAnsi="宋体" w:cs="宋体" w:eastAsia="宋体" w:hint="default"/>
        </w:rPr>
        <w:t>500</w:t>
      </w:r>
      <w:r>
        <w:rPr>
          <w:rFonts w:ascii="宋体" w:hAnsi="宋体" w:cs="宋体" w:eastAsia="宋体" w:hint="default"/>
          <w:spacing w:val="-60"/>
        </w:rPr>
        <w:t> </w:t>
      </w:r>
      <w:r>
        <w:rPr/>
        <w:t>强、江苏省</w:t>
      </w:r>
      <w:r>
        <w:rPr>
          <w:w w:val="100"/>
        </w:rPr>
        <w:t> </w:t>
      </w:r>
      <w:r>
        <w:rPr>
          <w:spacing w:val="-3"/>
        </w:rPr>
        <w:t>百强创新型企业、江苏省创新型领军企业等荣誉，林洋能源“SM150</w:t>
      </w:r>
      <w:r>
        <w:rPr>
          <w:spacing w:val="-24"/>
        </w:rPr>
        <w:t> </w:t>
      </w:r>
      <w:r>
        <w:rPr>
          <w:spacing w:val="-3"/>
        </w:rPr>
        <w:t>智能电能表”、“LY</w:t>
      </w:r>
      <w:r>
        <w:rPr>
          <w:rFonts w:ascii="宋体" w:hAnsi="宋体" w:cs="宋体" w:eastAsia="宋体" w:hint="default"/>
          <w:spacing w:val="-3"/>
        </w:rPr>
        <w:t>-DC12</w:t>
      </w:r>
      <w:r>
        <w:rPr>
          <w:rFonts w:ascii="宋体" w:hAnsi="宋体" w:cs="宋体" w:eastAsia="宋体" w:hint="default"/>
          <w:spacing w:val="-27"/>
        </w:rPr>
        <w:t> </w:t>
      </w:r>
      <w:r>
        <w:rPr>
          <w:spacing w:val="-3"/>
        </w:rPr>
        <w:t>型数</w:t>
      </w:r>
      <w:r>
        <w:rPr>
          <w:spacing w:val="-91"/>
        </w:rPr>
        <w:t> </w:t>
      </w:r>
      <w:r>
        <w:rPr>
          <w:spacing w:val="-2"/>
        </w:rPr>
        <w:t>据集中器”等多个科研项目顺利通过省级鉴定；林洋能源子公司南京林洋电力科技有限公司顺利通</w:t>
      </w:r>
      <w:r>
        <w:rPr>
          <w:spacing w:val="-26"/>
        </w:rPr>
        <w:t> </w:t>
      </w:r>
      <w:r>
        <w:rPr>
          <w:spacing w:val="-26"/>
        </w:rPr>
      </w:r>
      <w:r>
        <w:rPr/>
        <w:t>过</w:t>
      </w:r>
      <w:r>
        <w:rPr>
          <w:spacing w:val="-54"/>
        </w:rPr>
        <w:t> </w:t>
      </w:r>
      <w:r>
        <w:rPr>
          <w:rFonts w:ascii="宋体" w:hAnsi="宋体" w:cs="宋体" w:eastAsia="宋体" w:hint="default"/>
        </w:rPr>
        <w:t>CMMIV2.0ML5</w:t>
      </w:r>
      <w:r>
        <w:rPr>
          <w:rFonts w:ascii="宋体" w:hAnsi="宋体" w:cs="宋体" w:eastAsia="宋体" w:hint="default"/>
          <w:spacing w:val="-56"/>
        </w:rPr>
        <w:t> </w:t>
      </w:r>
      <w:r>
        <w:rPr/>
        <w:t>评估，成为</w:t>
      </w:r>
      <w:r>
        <w:rPr>
          <w:spacing w:val="-53"/>
        </w:rPr>
        <w:t> </w:t>
      </w:r>
      <w:r>
        <w:rPr>
          <w:rFonts w:ascii="宋体" w:hAnsi="宋体" w:cs="宋体" w:eastAsia="宋体" w:hint="default"/>
        </w:rPr>
        <w:t>CMMIV2.0SAS</w:t>
      </w:r>
      <w:r>
        <w:rPr>
          <w:rFonts w:ascii="宋体" w:hAnsi="宋体" w:cs="宋体" w:eastAsia="宋体" w:hint="default"/>
          <w:spacing w:val="-56"/>
        </w:rPr>
        <w:t> </w:t>
      </w:r>
      <w:r>
        <w:rPr/>
        <w:t>系统上线后官网公布的首个国内</w:t>
      </w:r>
      <w:r>
        <w:rPr>
          <w:spacing w:val="-54"/>
        </w:rPr>
        <w:t> </w:t>
      </w:r>
      <w:r>
        <w:rPr>
          <w:rFonts w:ascii="宋体" w:hAnsi="宋体" w:cs="宋体" w:eastAsia="宋体" w:hint="default"/>
        </w:rPr>
        <w:t>ML5</w:t>
      </w:r>
      <w:r>
        <w:rPr>
          <w:rFonts w:ascii="宋体" w:hAnsi="宋体" w:cs="宋体" w:eastAsia="宋体" w:hint="default"/>
          <w:spacing w:val="-54"/>
        </w:rPr>
        <w:t> </w:t>
      </w:r>
      <w:r>
        <w:rPr/>
        <w:t>公司。公司积极构建</w:t>
      </w:r>
      <w:r>
        <w:rPr>
          <w:w w:val="100"/>
        </w:rPr>
        <w:t> </w:t>
      </w:r>
      <w:r>
        <w:rPr>
          <w:spacing w:val="-2"/>
        </w:rPr>
        <w:t>优秀企业文化，努力打造和谐企业环境，被评为中国民营幸福企业标杆单位、江苏省优秀劳动关系</w:t>
      </w:r>
      <w:r>
        <w:rPr>
          <w:spacing w:val="-25"/>
        </w:rPr>
        <w:t> </w:t>
      </w:r>
      <w:r>
        <w:rPr>
          <w:spacing w:val="-25"/>
        </w:rPr>
      </w:r>
      <w:r>
        <w:rPr/>
        <w:t>和谐企业。</w:t>
      </w:r>
      <w:r>
        <w:rPr>
          <w:rFonts w:ascii="宋体" w:hAnsi="宋体" w:cs="宋体" w:eastAsia="宋体" w:hint="default"/>
        </w:rPr>
        <w:t> </w:t>
      </w:r>
    </w:p>
    <w:p>
      <w:pPr>
        <w:pStyle w:val="BodyText"/>
        <w:spacing w:line="273" w:lineRule="auto" w:before="7"/>
        <w:ind w:right="109" w:firstLine="420"/>
        <w:jc w:val="both"/>
      </w:pPr>
      <w:r>
        <w:rPr>
          <w:spacing w:val="-6"/>
        </w:rPr>
        <w:t>公司在能源领域持续耕耘、不断创新，子公司林洋光伏全面升级产业结构，积极发展绿色事业，</w:t>
      </w:r>
      <w:r>
        <w:rPr>
          <w:w w:val="100"/>
        </w:rPr>
        <w:t> </w:t>
      </w:r>
      <w:r>
        <w:rPr>
          <w:spacing w:val="-2"/>
        </w:rPr>
        <w:t>入选省“绿色工厂”，并凭借卓越的研发实力入围“国家企业技术中心”名录，成为江苏省技术创</w:t>
      </w:r>
      <w:r>
        <w:rPr>
          <w:spacing w:val="-25"/>
        </w:rPr>
        <w:t> </w:t>
      </w:r>
      <w:r>
        <w:rPr>
          <w:spacing w:val="-25"/>
        </w:rPr>
      </w:r>
      <w:r>
        <w:rPr>
          <w:spacing w:val="-8"/>
          <w:w w:val="100"/>
        </w:rPr>
        <w:t>新体系的重要组成部分。</w:t>
      </w:r>
      <w:r>
        <w:rPr>
          <w:rFonts w:ascii="宋体" w:hAnsi="宋体" w:cs="宋体" w:eastAsia="宋体" w:hint="default"/>
          <w:spacing w:val="-8"/>
          <w:w w:val="100"/>
        </w:rPr>
        <w:t>2019</w:t>
      </w:r>
      <w:r>
        <w:rPr>
          <w:rFonts w:ascii="宋体" w:hAnsi="宋体" w:cs="宋体" w:eastAsia="宋体" w:hint="default"/>
          <w:w w:val="100"/>
        </w:rPr>
        <w:t> </w:t>
      </w:r>
      <w:r>
        <w:rPr>
          <w:spacing w:val="-10"/>
          <w:w w:val="100"/>
        </w:rPr>
        <w:t>年，公司获得了中国光伏发展十大功勋企业、</w:t>
      </w:r>
      <w:r>
        <w:rPr>
          <w:rFonts w:ascii="宋体" w:hAnsi="宋体" w:cs="宋体" w:eastAsia="宋体" w:hint="default"/>
          <w:spacing w:val="-10"/>
          <w:w w:val="100"/>
        </w:rPr>
        <w:t>2019</w:t>
      </w:r>
      <w:r>
        <w:rPr>
          <w:rFonts w:ascii="宋体" w:hAnsi="宋体" w:cs="宋体" w:eastAsia="宋体" w:hint="default"/>
          <w:spacing w:val="-70"/>
          <w:w w:val="100"/>
        </w:rPr>
        <w:t> </w:t>
      </w:r>
      <w:r>
        <w:rPr>
          <w:spacing w:val="-2"/>
          <w:w w:val="100"/>
        </w:rPr>
        <w:t>中国能源创新企业、</w:t>
      </w:r>
    </w:p>
    <w:p>
      <w:pPr>
        <w:spacing w:after="0" w:line="273" w:lineRule="auto"/>
        <w:jc w:val="both"/>
        <w:sectPr>
          <w:pgSz w:w="11910" w:h="16840"/>
          <w:pgMar w:header="748" w:footer="974" w:top="1140" w:bottom="1160" w:left="1200" w:right="1300"/>
        </w:sectPr>
      </w:pPr>
    </w:p>
    <w:p>
      <w:pPr>
        <w:spacing w:line="240" w:lineRule="auto" w:before="2"/>
        <w:rPr>
          <w:rFonts w:ascii="宋体" w:hAnsi="宋体" w:cs="宋体" w:eastAsia="宋体" w:hint="default"/>
          <w:sz w:val="19"/>
          <w:szCs w:val="19"/>
        </w:rPr>
      </w:pPr>
    </w:p>
    <w:p>
      <w:pPr>
        <w:pStyle w:val="BodyText"/>
        <w:spacing w:line="273" w:lineRule="auto" w:before="36"/>
        <w:ind w:right="109"/>
        <w:jc w:val="both"/>
        <w:rPr>
          <w:rFonts w:ascii="宋体" w:hAnsi="宋体" w:cs="宋体" w:eastAsia="宋体" w:hint="default"/>
        </w:rPr>
      </w:pPr>
      <w:r>
        <w:rPr>
          <w:rFonts w:ascii="宋体" w:hAnsi="宋体" w:cs="宋体" w:eastAsia="宋体" w:hint="default"/>
          <w:w w:val="100"/>
        </w:rPr>
        <w:t>2019</w:t>
      </w:r>
      <w:r>
        <w:rPr>
          <w:rFonts w:ascii="宋体" w:hAnsi="宋体" w:cs="宋体" w:eastAsia="宋体" w:hint="default"/>
          <w:spacing w:val="-59"/>
          <w:w w:val="100"/>
        </w:rPr>
        <w:t> </w:t>
      </w:r>
      <w:r>
        <w:rPr>
          <w:spacing w:val="-2"/>
          <w:w w:val="100"/>
        </w:rPr>
        <w:t>全球新能源企业</w:t>
      </w:r>
      <w:r>
        <w:rPr>
          <w:spacing w:val="-59"/>
          <w:w w:val="100"/>
        </w:rPr>
        <w:t> </w:t>
      </w:r>
      <w:r>
        <w:rPr>
          <w:rFonts w:ascii="宋体" w:hAnsi="宋体" w:cs="宋体" w:eastAsia="宋体" w:hint="default"/>
          <w:spacing w:val="-1"/>
          <w:w w:val="100"/>
        </w:rPr>
        <w:t>500</w:t>
      </w:r>
      <w:r>
        <w:rPr>
          <w:rFonts w:ascii="宋体" w:hAnsi="宋体" w:cs="宋体" w:eastAsia="宋体" w:hint="default"/>
          <w:spacing w:val="-61"/>
          <w:w w:val="100"/>
        </w:rPr>
        <w:t> </w:t>
      </w:r>
      <w:r>
        <w:rPr>
          <w:spacing w:val="-11"/>
          <w:w w:val="100"/>
        </w:rPr>
        <w:t>强、电站投资商品牌价值</w:t>
      </w:r>
      <w:r>
        <w:rPr>
          <w:spacing w:val="-59"/>
          <w:w w:val="100"/>
        </w:rPr>
        <w:t> </w:t>
      </w:r>
      <w:r>
        <w:rPr>
          <w:rFonts w:ascii="宋体" w:hAnsi="宋体" w:cs="宋体" w:eastAsia="宋体" w:hint="default"/>
          <w:spacing w:val="-2"/>
          <w:w w:val="100"/>
        </w:rPr>
        <w:t>10</w:t>
      </w:r>
      <w:r>
        <w:rPr>
          <w:rFonts w:ascii="宋体" w:hAnsi="宋体" w:cs="宋体" w:eastAsia="宋体" w:hint="default"/>
          <w:spacing w:val="-59"/>
          <w:w w:val="100"/>
        </w:rPr>
        <w:t> </w:t>
      </w:r>
      <w:r>
        <w:rPr>
          <w:spacing w:val="-19"/>
          <w:w w:val="100"/>
        </w:rPr>
        <w:t>强、</w:t>
      </w:r>
      <w:r>
        <w:rPr>
          <w:rFonts w:ascii="宋体" w:hAnsi="宋体" w:cs="宋体" w:eastAsia="宋体" w:hint="default"/>
          <w:spacing w:val="-19"/>
          <w:w w:val="100"/>
        </w:rPr>
        <w:t>2019</w:t>
      </w:r>
      <w:r>
        <w:rPr>
          <w:rFonts w:ascii="宋体" w:hAnsi="宋体" w:cs="宋体" w:eastAsia="宋体" w:hint="default"/>
          <w:spacing w:val="-59"/>
          <w:w w:val="100"/>
        </w:rPr>
        <w:t> </w:t>
      </w:r>
      <w:r>
        <w:rPr>
          <w:spacing w:val="-2"/>
          <w:w w:val="100"/>
        </w:rPr>
        <w:t>年中国光伏电站</w:t>
      </w:r>
      <w:r>
        <w:rPr>
          <w:spacing w:val="-62"/>
          <w:w w:val="100"/>
        </w:rPr>
        <w:t> </w:t>
      </w:r>
      <w:r>
        <w:rPr>
          <w:rFonts w:ascii="宋体" w:hAnsi="宋体" w:cs="宋体" w:eastAsia="宋体" w:hint="default"/>
          <w:w w:val="100"/>
        </w:rPr>
        <w:t>EPC</w:t>
      </w:r>
      <w:r>
        <w:rPr>
          <w:rFonts w:ascii="宋体" w:hAnsi="宋体" w:cs="宋体" w:eastAsia="宋体" w:hint="default"/>
          <w:spacing w:val="-59"/>
          <w:w w:val="100"/>
        </w:rPr>
        <w:t> </w:t>
      </w:r>
      <w:r>
        <w:rPr>
          <w:spacing w:val="-1"/>
          <w:w w:val="100"/>
        </w:rPr>
        <w:t>总包企业</w:t>
      </w:r>
      <w:r>
        <w:rPr>
          <w:spacing w:val="-61"/>
          <w:w w:val="100"/>
        </w:rPr>
        <w:t> </w:t>
      </w:r>
      <w:r>
        <w:rPr>
          <w:rFonts w:ascii="宋体" w:hAnsi="宋体" w:cs="宋体" w:eastAsia="宋体" w:hint="default"/>
          <w:w w:val="100"/>
        </w:rPr>
        <w:t>20</w:t>
      </w:r>
      <w:r>
        <w:rPr>
          <w:rFonts w:ascii="宋体" w:hAnsi="宋体" w:cs="宋体" w:eastAsia="宋体" w:hint="default"/>
          <w:spacing w:val="-59"/>
          <w:w w:val="100"/>
        </w:rPr>
        <w:t> </w:t>
      </w:r>
      <w:r>
        <w:rPr>
          <w:spacing w:val="-3"/>
          <w:w w:val="100"/>
        </w:rPr>
        <w:t>强、 </w:t>
      </w:r>
      <w:r>
        <w:rPr/>
        <w:t>中国光伏企业</w:t>
      </w:r>
      <w:r>
        <w:rPr>
          <w:spacing w:val="-40"/>
        </w:rPr>
        <w:t> </w:t>
      </w:r>
      <w:r>
        <w:rPr>
          <w:rFonts w:ascii="宋体" w:hAnsi="宋体" w:cs="宋体" w:eastAsia="宋体" w:hint="default"/>
        </w:rPr>
        <w:t>20</w:t>
      </w:r>
      <w:r>
        <w:rPr>
          <w:rFonts w:ascii="宋体" w:hAnsi="宋体" w:cs="宋体" w:eastAsia="宋体" w:hint="default"/>
          <w:spacing w:val="-40"/>
        </w:rPr>
        <w:t> </w:t>
      </w:r>
      <w:r>
        <w:rPr>
          <w:spacing w:val="-5"/>
        </w:rPr>
        <w:t>强、</w:t>
      </w:r>
      <w:r>
        <w:rPr>
          <w:rFonts w:ascii="宋体" w:hAnsi="宋体" w:cs="宋体" w:eastAsia="宋体" w:hint="default"/>
          <w:spacing w:val="-5"/>
        </w:rPr>
        <w:t>2019</w:t>
      </w:r>
      <w:r>
        <w:rPr>
          <w:rFonts w:ascii="宋体" w:hAnsi="宋体" w:cs="宋体" w:eastAsia="宋体" w:hint="default"/>
          <w:spacing w:val="-43"/>
        </w:rPr>
        <w:t> </w:t>
      </w:r>
      <w:r>
        <w:rPr>
          <w:spacing w:val="-3"/>
        </w:rPr>
        <w:t>年领跑中国可再生能源先行企业品牌奖、单项顶级光伏电站投资、</w:t>
      </w:r>
      <w:r>
        <w:rPr>
          <w:rFonts w:ascii="宋体" w:hAnsi="宋体" w:cs="宋体" w:eastAsia="宋体" w:hint="default"/>
          <w:spacing w:val="-3"/>
        </w:rPr>
        <w:t>EPC</w:t>
      </w:r>
      <w:r>
        <w:rPr>
          <w:rFonts w:ascii="宋体" w:hAnsi="宋体" w:cs="宋体" w:eastAsia="宋体" w:hint="default"/>
          <w:spacing w:val="-43"/>
        </w:rPr>
        <w:t> </w:t>
      </w:r>
      <w:r>
        <w:rPr/>
        <w:t>品</w:t>
      </w:r>
      <w:r>
        <w:rPr>
          <w:spacing w:val="-100"/>
        </w:rPr>
        <w:t> </w:t>
      </w:r>
      <w:r>
        <w:rPr/>
        <w:t>牌奖、</w:t>
      </w:r>
      <w:r>
        <w:rPr>
          <w:rFonts w:ascii="宋体" w:hAnsi="宋体" w:cs="宋体" w:eastAsia="宋体" w:hint="default"/>
        </w:rPr>
        <w:t>2019</w:t>
      </w:r>
      <w:r>
        <w:rPr>
          <w:rFonts w:ascii="宋体" w:hAnsi="宋体" w:cs="宋体" w:eastAsia="宋体" w:hint="default"/>
          <w:spacing w:val="-60"/>
        </w:rPr>
        <w:t> </w:t>
      </w:r>
      <w:r>
        <w:rPr/>
        <w:t>中国十大分布式光伏系统品牌等荣誉。</w:t>
      </w:r>
      <w:r>
        <w:rPr>
          <w:rFonts w:ascii="宋体" w:hAnsi="宋体" w:cs="宋体" w:eastAsia="宋体" w:hint="default"/>
        </w:rPr>
        <w:t> </w:t>
      </w:r>
    </w:p>
    <w:p>
      <w:pPr>
        <w:pStyle w:val="BodyText"/>
        <w:spacing w:line="273" w:lineRule="auto" w:before="7"/>
        <w:ind w:left="638" w:right="0" w:hanging="420"/>
        <w:jc w:val="left"/>
      </w:pPr>
      <w:r>
        <w:rPr>
          <w:rFonts w:ascii="宋体" w:hAnsi="宋体" w:cs="宋体" w:eastAsia="宋体" w:hint="default"/>
          <w:b/>
          <w:bCs/>
        </w:rPr>
        <w:t>（</w:t>
      </w:r>
      <w:r>
        <w:rPr>
          <w:rFonts w:ascii="宋体" w:hAnsi="宋体" w:cs="宋体" w:eastAsia="宋体" w:hint="default"/>
          <w:b/>
          <w:bCs/>
        </w:rPr>
        <w:t>2</w:t>
      </w:r>
      <w:r>
        <w:rPr>
          <w:rFonts w:ascii="宋体" w:hAnsi="宋体" w:cs="宋体" w:eastAsia="宋体" w:hint="default"/>
          <w:b/>
          <w:bCs/>
        </w:rPr>
        <w:t>）技术研发优势</w:t>
      </w:r>
      <w:r>
        <w:rPr>
          <w:rFonts w:ascii="宋体" w:hAnsi="宋体" w:cs="宋体" w:eastAsia="宋体" w:hint="default"/>
          <w:b/>
          <w:bCs/>
          <w:w w:val="99"/>
        </w:rPr>
        <w:t> </w:t>
      </w:r>
      <w:r>
        <w:rPr>
          <w:spacing w:val="-2"/>
        </w:rPr>
        <w:t>公司秉承以科技带动效益、以创新增强竞争力的研发理念。报告期内不断加大对技术研发的投</w:t>
      </w:r>
    </w:p>
    <w:p>
      <w:pPr>
        <w:pStyle w:val="BodyText"/>
        <w:spacing w:line="273" w:lineRule="auto" w:before="7"/>
        <w:ind w:right="148"/>
        <w:jc w:val="both"/>
      </w:pPr>
      <w:r>
        <w:rPr>
          <w:spacing w:val="-2"/>
        </w:rPr>
        <w:t>入与支持，建立了以市场为导向、产学研相结合的技术创新体系。公司是科技部认定的国家火炬计</w:t>
      </w:r>
      <w:r>
        <w:rPr>
          <w:spacing w:val="-25"/>
        </w:rPr>
        <w:t> </w:t>
      </w:r>
      <w:r>
        <w:rPr>
          <w:spacing w:val="-25"/>
        </w:rPr>
      </w:r>
      <w:r>
        <w:rPr>
          <w:spacing w:val="-2"/>
        </w:rPr>
        <w:t>划重点高新技术企业、中国电子信息百强企业、中电联常务理事单位、全国电工仪器仪表标准化委</w:t>
      </w:r>
      <w:r>
        <w:rPr>
          <w:spacing w:val="-25"/>
        </w:rPr>
        <w:t> </w:t>
      </w:r>
      <w:r>
        <w:rPr>
          <w:spacing w:val="-25"/>
        </w:rPr>
      </w:r>
      <w:r>
        <w:rPr>
          <w:spacing w:val="-2"/>
        </w:rPr>
        <w:t>员会国家标准修订组成员、江苏省知识产权先进企业、国家级认定企业技术中心。公司建有“国家</w:t>
      </w:r>
      <w:r>
        <w:rPr>
          <w:spacing w:val="-25"/>
        </w:rPr>
        <w:t> </w:t>
      </w:r>
      <w:r>
        <w:rPr>
          <w:spacing w:val="-25"/>
        </w:rPr>
      </w:r>
      <w:r>
        <w:rPr>
          <w:spacing w:val="-2"/>
        </w:rPr>
        <w:t>博士后科研工作站”、“国家级电能表检测与校准实验室”、“江苏省电力电子应用工程技术研究</w:t>
      </w:r>
      <w:r>
        <w:rPr>
          <w:spacing w:val="-25"/>
        </w:rPr>
        <w:t> </w:t>
      </w:r>
      <w:r>
        <w:rPr>
          <w:spacing w:val="-25"/>
        </w:rPr>
      </w:r>
      <w:r>
        <w:rPr>
          <w:spacing w:val="-2"/>
        </w:rPr>
        <w:t>中心”等高规格、高水平研发平台，先后承担过多项国家、省级科技攻关项目，具备强大的研发技</w:t>
      </w:r>
      <w:r>
        <w:rPr>
          <w:spacing w:val="-25"/>
        </w:rPr>
        <w:t> </w:t>
      </w:r>
      <w:r>
        <w:rPr>
          <w:spacing w:val="-25"/>
        </w:rPr>
      </w:r>
      <w:r>
        <w:rPr/>
        <w:t>术实力和成果转化能力。报告期内，公司及子公司新增取得授权专利</w:t>
      </w:r>
      <w:r>
        <w:rPr>
          <w:spacing w:val="-55"/>
        </w:rPr>
        <w:t> </w:t>
      </w:r>
      <w:r>
        <w:rPr>
          <w:rFonts w:ascii="宋体" w:hAnsi="宋体" w:cs="宋体" w:eastAsia="宋体" w:hint="default"/>
        </w:rPr>
        <w:t>48</w:t>
      </w:r>
      <w:r>
        <w:rPr>
          <w:rFonts w:ascii="宋体" w:hAnsi="宋体" w:cs="宋体" w:eastAsia="宋体" w:hint="default"/>
          <w:spacing w:val="-55"/>
        </w:rPr>
        <w:t> </w:t>
      </w:r>
      <w:r>
        <w:rPr/>
        <w:t>件，其中发明专利</w:t>
      </w:r>
      <w:r>
        <w:rPr>
          <w:spacing w:val="-54"/>
        </w:rPr>
        <w:t> </w:t>
      </w:r>
      <w:r>
        <w:rPr>
          <w:rFonts w:ascii="宋体" w:hAnsi="宋体" w:cs="宋体" w:eastAsia="宋体" w:hint="default"/>
        </w:rPr>
        <w:t>11</w:t>
      </w:r>
      <w:r>
        <w:rPr>
          <w:rFonts w:ascii="宋体" w:hAnsi="宋体" w:cs="宋体" w:eastAsia="宋体" w:hint="default"/>
          <w:spacing w:val="-55"/>
        </w:rPr>
        <w:t> </w:t>
      </w:r>
      <w:r>
        <w:rPr>
          <w:spacing w:val="-3"/>
        </w:rPr>
        <w:t>件；</w:t>
      </w:r>
      <w:r>
        <w:rPr/>
      </w:r>
    </w:p>
    <w:p>
      <w:pPr>
        <w:pStyle w:val="BodyText"/>
        <w:spacing w:line="273" w:lineRule="auto" w:before="7"/>
        <w:ind w:left="638" w:right="0" w:hanging="420"/>
        <w:jc w:val="left"/>
      </w:pPr>
      <w:r>
        <w:rPr/>
        <w:t>累计授权专利</w:t>
      </w:r>
      <w:r>
        <w:rPr>
          <w:spacing w:val="-53"/>
        </w:rPr>
        <w:t> </w:t>
      </w:r>
      <w:r>
        <w:rPr>
          <w:rFonts w:ascii="宋体" w:hAnsi="宋体" w:cs="宋体" w:eastAsia="宋体" w:hint="default"/>
        </w:rPr>
        <w:t>246</w:t>
      </w:r>
      <w:r>
        <w:rPr>
          <w:rFonts w:ascii="宋体" w:hAnsi="宋体" w:cs="宋体" w:eastAsia="宋体" w:hint="default"/>
          <w:spacing w:val="-53"/>
        </w:rPr>
        <w:t> </w:t>
      </w:r>
      <w:r>
        <w:rPr/>
        <w:t>件，其中发明专利</w:t>
      </w:r>
      <w:r>
        <w:rPr>
          <w:spacing w:val="-52"/>
        </w:rPr>
        <w:t> </w:t>
      </w:r>
      <w:r>
        <w:rPr>
          <w:rFonts w:ascii="宋体" w:hAnsi="宋体" w:cs="宋体" w:eastAsia="宋体" w:hint="default"/>
        </w:rPr>
        <w:t>57</w:t>
      </w:r>
      <w:r>
        <w:rPr>
          <w:rFonts w:ascii="宋体" w:hAnsi="宋体" w:cs="宋体" w:eastAsia="宋体" w:hint="default"/>
          <w:spacing w:val="-55"/>
        </w:rPr>
        <w:t> </w:t>
      </w:r>
      <w:r>
        <w:rPr/>
        <w:t>件。</w:t>
      </w:r>
      <w:r>
        <w:rPr>
          <w:rFonts w:ascii="宋体" w:hAnsi="宋体" w:cs="宋体" w:eastAsia="宋体" w:hint="default"/>
          <w:w w:val="100"/>
        </w:rPr>
        <w:t> </w:t>
      </w:r>
      <w:r>
        <w:rPr>
          <w:spacing w:val="-2"/>
        </w:rPr>
        <w:t>公司新能源研究院拥有电力行业工程设计资质专业乙级证书，并且子公司江苏林洋电力拥有电</w:t>
      </w:r>
    </w:p>
    <w:p>
      <w:pPr>
        <w:pStyle w:val="BodyText"/>
        <w:spacing w:line="273" w:lineRule="auto" w:before="7"/>
        <w:ind w:right="109"/>
        <w:jc w:val="both"/>
        <w:rPr>
          <w:rFonts w:ascii="宋体" w:hAnsi="宋体" w:cs="宋体" w:eastAsia="宋体" w:hint="default"/>
        </w:rPr>
      </w:pPr>
      <w:r>
        <w:rPr>
          <w:spacing w:val="-6"/>
          <w:w w:val="100"/>
        </w:rPr>
        <w:t>力工程施工总承包资质，有能力同时面向国内、国际市场提供专业的光伏电站设计和项目管理服务。</w:t>
      </w:r>
      <w:r>
        <w:rPr>
          <w:spacing w:val="-75"/>
          <w:w w:val="100"/>
        </w:rPr>
        <w:t> </w:t>
      </w:r>
      <w:r>
        <w:rPr>
          <w:spacing w:val="-75"/>
          <w:w w:val="100"/>
        </w:rPr>
      </w:r>
      <w:r>
        <w:rPr>
          <w:spacing w:val="-4"/>
        </w:rPr>
        <w:t>公司林洋新能源研究院研发实力雄厚，拥有先进能源专家、海外博士领衔的技术团队以及</w:t>
      </w:r>
      <w:r>
        <w:rPr>
          <w:spacing w:val="-19"/>
        </w:rPr>
        <w:t> </w:t>
      </w:r>
      <w:r>
        <w:rPr>
          <w:rFonts w:ascii="宋体" w:hAnsi="宋体" w:cs="宋体" w:eastAsia="宋体" w:hint="default"/>
        </w:rPr>
        <w:t>30</w:t>
      </w:r>
      <w:r>
        <w:rPr>
          <w:rFonts w:ascii="宋体" w:hAnsi="宋体" w:cs="宋体" w:eastAsia="宋体" w:hint="default"/>
          <w:spacing w:val="-19"/>
        </w:rPr>
        <w:t> </w:t>
      </w:r>
      <w:r>
        <w:rPr/>
        <w:t>余件自</w:t>
      </w:r>
      <w:r>
        <w:rPr>
          <w:spacing w:val="-91"/>
        </w:rPr>
        <w:t> </w:t>
      </w:r>
      <w:r>
        <w:rPr>
          <w:spacing w:val="-91"/>
        </w:rPr>
      </w:r>
      <w:r>
        <w:rPr>
          <w:spacing w:val="-2"/>
        </w:rPr>
        <w:t>主知识产权专利，并承担国家重点研发计划项目。研究院致力于新能源系统集成技术创新，积极开</w:t>
      </w:r>
      <w:r>
        <w:rPr>
          <w:spacing w:val="-25"/>
        </w:rPr>
        <w:t> </w:t>
      </w:r>
      <w:r>
        <w:rPr>
          <w:spacing w:val="-25"/>
        </w:rPr>
      </w:r>
      <w:r>
        <w:rPr>
          <w:spacing w:val="-2"/>
        </w:rPr>
        <w:t>展双面组件光伏系统应用研究。通过对双面组件实证电站多年的大数据精准分析，结合自身吉瓦级</w:t>
      </w:r>
      <w:r>
        <w:rPr>
          <w:spacing w:val="-25"/>
        </w:rPr>
        <w:t> </w:t>
      </w:r>
      <w:r>
        <w:rPr>
          <w:spacing w:val="-25"/>
        </w:rPr>
      </w:r>
      <w:r>
        <w:rPr>
          <w:spacing w:val="-2"/>
        </w:rPr>
        <w:t>规模化光伏电站的设计经验，形成了一套独有的双面组件光伏系统设计理念和体系，可以针对不同</w:t>
      </w:r>
      <w:r>
        <w:rPr>
          <w:spacing w:val="-28"/>
        </w:rPr>
        <w:t> </w:t>
      </w:r>
      <w:r>
        <w:rPr>
          <w:spacing w:val="-28"/>
        </w:rPr>
      </w:r>
      <w:r>
        <w:rPr>
          <w:spacing w:val="-2"/>
        </w:rPr>
        <w:t>电站项目类型，提供定制化、精细化、专业化的解决方案，最大限度发挥出双面组件的发电能力，</w:t>
      </w:r>
      <w:r>
        <w:rPr>
          <w:spacing w:val="-25"/>
        </w:rPr>
        <w:t> </w:t>
      </w:r>
      <w:r>
        <w:rPr>
          <w:spacing w:val="-25"/>
        </w:rPr>
      </w:r>
      <w:r>
        <w:rPr/>
        <w:t>提高用户投资收益率。</w:t>
      </w:r>
      <w:r>
        <w:rPr>
          <w:rFonts w:ascii="宋体" w:hAnsi="宋体" w:cs="宋体" w:eastAsia="宋体" w:hint="default"/>
        </w:rPr>
        <w:t> </w:t>
      </w:r>
    </w:p>
    <w:p>
      <w:pPr>
        <w:pStyle w:val="BodyText"/>
        <w:spacing w:line="273" w:lineRule="auto" w:before="7"/>
        <w:ind w:right="112" w:firstLine="420"/>
        <w:jc w:val="both"/>
        <w:rPr>
          <w:rFonts w:ascii="宋体" w:hAnsi="宋体" w:cs="宋体" w:eastAsia="宋体" w:hint="default"/>
        </w:rPr>
      </w:pPr>
      <w:r>
        <w:rPr>
          <w:spacing w:val="-2"/>
        </w:rPr>
        <w:t>子公司江苏林洋光伏科技有限公司专注于高效光伏电池、组件的研发、制造。公司自主研发的</w:t>
      </w:r>
      <w:r>
        <w:rPr>
          <w:w w:val="100"/>
        </w:rPr>
        <w:t> </w:t>
      </w:r>
      <w:r>
        <w:rPr>
          <w:rFonts w:ascii="宋体" w:hAnsi="宋体" w:cs="宋体" w:eastAsia="宋体" w:hint="default"/>
        </w:rPr>
        <w:t>400MW</w:t>
      </w:r>
      <w:r>
        <w:rPr>
          <w:rFonts w:ascii="宋体" w:hAnsi="宋体" w:cs="宋体" w:eastAsia="宋体" w:hint="default"/>
          <w:spacing w:val="-58"/>
        </w:rPr>
        <w:t> </w:t>
      </w:r>
      <w:r>
        <w:rPr>
          <w:rFonts w:ascii="宋体" w:hAnsi="宋体" w:cs="宋体" w:eastAsia="宋体" w:hint="default"/>
        </w:rPr>
        <w:t>N</w:t>
      </w:r>
      <w:r>
        <w:rPr>
          <w:rFonts w:ascii="宋体" w:hAnsi="宋体" w:cs="宋体" w:eastAsia="宋体" w:hint="default"/>
          <w:spacing w:val="-56"/>
        </w:rPr>
        <w:t> </w:t>
      </w:r>
      <w:r>
        <w:rPr/>
        <w:t>型高效双面单晶电池、组件已实现量产，</w:t>
      </w:r>
      <w:r>
        <w:rPr>
          <w:rFonts w:ascii="宋体" w:hAnsi="宋体" w:cs="宋体" w:eastAsia="宋体" w:hint="default"/>
        </w:rPr>
        <w:t>2019</w:t>
      </w:r>
      <w:r>
        <w:rPr>
          <w:rFonts w:ascii="宋体" w:hAnsi="宋体" w:cs="宋体" w:eastAsia="宋体" w:hint="default"/>
          <w:spacing w:val="-56"/>
        </w:rPr>
        <w:t> </w:t>
      </w:r>
      <w:r>
        <w:rPr/>
        <w:t>年引进并打通了</w:t>
      </w:r>
      <w:r>
        <w:rPr>
          <w:spacing w:val="-56"/>
        </w:rPr>
        <w:t> </w:t>
      </w:r>
      <w:r>
        <w:rPr>
          <w:rFonts w:ascii="宋体" w:hAnsi="宋体" w:cs="宋体" w:eastAsia="宋体" w:hint="default"/>
        </w:rPr>
        <w:t>N</w:t>
      </w:r>
      <w:r>
        <w:rPr>
          <w:rFonts w:ascii="宋体" w:hAnsi="宋体" w:cs="宋体" w:eastAsia="宋体" w:hint="default"/>
          <w:spacing w:val="-58"/>
        </w:rPr>
        <w:t> </w:t>
      </w:r>
      <w:r>
        <w:rPr/>
        <w:t>型</w:t>
      </w:r>
      <w:r>
        <w:rPr>
          <w:spacing w:val="-56"/>
        </w:rPr>
        <w:t> </w:t>
      </w:r>
      <w:r>
        <w:rPr>
          <w:rFonts w:ascii="宋体" w:hAnsi="宋体" w:cs="宋体" w:eastAsia="宋体" w:hint="default"/>
        </w:rPr>
        <w:t>TOPCON</w:t>
      </w:r>
      <w:r>
        <w:rPr>
          <w:rFonts w:ascii="宋体" w:hAnsi="宋体" w:cs="宋体" w:eastAsia="宋体" w:hint="default"/>
          <w:spacing w:val="-56"/>
        </w:rPr>
        <w:t> </w:t>
      </w:r>
      <w:r>
        <w:rPr/>
        <w:t>技术路线，实现</w:t>
      </w:r>
      <w:r>
        <w:rPr>
          <w:w w:val="100"/>
        </w:rPr>
        <w:t> </w:t>
      </w:r>
      <w:r>
        <w:rPr/>
        <w:t>量产效率</w:t>
      </w:r>
      <w:r>
        <w:rPr>
          <w:spacing w:val="-56"/>
        </w:rPr>
        <w:t> </w:t>
      </w:r>
      <w:r>
        <w:rPr>
          <w:rFonts w:ascii="宋体" w:hAnsi="宋体" w:cs="宋体" w:eastAsia="宋体" w:hint="default"/>
        </w:rPr>
        <w:t>23.1%</w:t>
      </w:r>
      <w:r>
        <w:rPr/>
        <w:t>，研发最高效率</w:t>
      </w:r>
      <w:r>
        <w:rPr>
          <w:spacing w:val="-55"/>
        </w:rPr>
        <w:t> </w:t>
      </w:r>
      <w:r>
        <w:rPr>
          <w:rFonts w:ascii="宋体" w:hAnsi="宋体" w:cs="宋体" w:eastAsia="宋体" w:hint="default"/>
        </w:rPr>
        <w:t>23.6%</w:t>
      </w:r>
      <w:r>
        <w:rPr/>
        <w:t>。</w:t>
      </w:r>
      <w:r>
        <w:rPr>
          <w:rFonts w:ascii="宋体" w:hAnsi="宋体" w:cs="宋体" w:eastAsia="宋体" w:hint="default"/>
        </w:rPr>
        <w:t> </w:t>
      </w:r>
    </w:p>
    <w:p>
      <w:pPr>
        <w:pStyle w:val="BodyText"/>
        <w:spacing w:line="273" w:lineRule="auto" w:before="8"/>
        <w:ind w:right="106" w:firstLine="420"/>
        <w:jc w:val="left"/>
        <w:rPr>
          <w:rFonts w:ascii="宋体" w:hAnsi="宋体" w:cs="宋体" w:eastAsia="宋体" w:hint="default"/>
        </w:rPr>
      </w:pPr>
      <w:r>
        <w:rPr>
          <w:rFonts w:ascii="宋体" w:hAnsi="宋体" w:cs="宋体" w:eastAsia="宋体" w:hint="default"/>
        </w:rPr>
        <w:t>2018</w:t>
      </w:r>
      <w:r>
        <w:rPr>
          <w:rFonts w:ascii="宋体" w:hAnsi="宋体" w:cs="宋体" w:eastAsia="宋体" w:hint="default"/>
          <w:spacing w:val="-11"/>
        </w:rPr>
        <w:t> </w:t>
      </w:r>
      <w:r>
        <w:rPr>
          <w:spacing w:val="-2"/>
        </w:rPr>
        <w:t>年，国家第三批光伏发电应用领跑基地项目中，林洋、中广核联合体中标泗洪光伏发电应</w:t>
      </w:r>
      <w:r>
        <w:rPr>
          <w:w w:val="100"/>
        </w:rPr>
        <w:t> </w:t>
      </w:r>
      <w:r>
        <w:rPr/>
        <w:t>用领跑基地</w:t>
      </w:r>
      <w:r>
        <w:rPr>
          <w:spacing w:val="-54"/>
        </w:rPr>
        <w:t> </w:t>
      </w:r>
      <w:r>
        <w:rPr>
          <w:rFonts w:ascii="宋体" w:hAnsi="宋体" w:cs="宋体" w:eastAsia="宋体" w:hint="default"/>
        </w:rPr>
        <w:t>200MW</w:t>
      </w:r>
      <w:r>
        <w:rPr/>
        <w:t>，该项目全部由林洋采用</w:t>
      </w:r>
      <w:r>
        <w:rPr>
          <w:spacing w:val="-53"/>
        </w:rPr>
        <w:t> </w:t>
      </w:r>
      <w:r>
        <w:rPr>
          <w:rFonts w:ascii="宋体" w:hAnsi="宋体" w:cs="宋体" w:eastAsia="宋体" w:hint="default"/>
        </w:rPr>
        <w:t>EPC</w:t>
      </w:r>
      <w:r>
        <w:rPr>
          <w:rFonts w:ascii="宋体" w:hAnsi="宋体" w:cs="宋体" w:eastAsia="宋体" w:hint="default"/>
          <w:spacing w:val="-54"/>
        </w:rPr>
        <w:t> </w:t>
      </w:r>
      <w:r>
        <w:rPr/>
        <w:t>业务模式承建，采用了公司自主研发生产的</w:t>
      </w:r>
      <w:r>
        <w:rPr>
          <w:spacing w:val="-53"/>
        </w:rPr>
        <w:t> </w:t>
      </w:r>
      <w:r>
        <w:rPr>
          <w:rFonts w:ascii="宋体" w:hAnsi="宋体" w:cs="宋体" w:eastAsia="宋体" w:hint="default"/>
        </w:rPr>
        <w:t>N</w:t>
      </w:r>
      <w:r>
        <w:rPr>
          <w:rFonts w:ascii="宋体" w:hAnsi="宋体" w:cs="宋体" w:eastAsia="宋体" w:hint="default"/>
          <w:spacing w:val="-54"/>
        </w:rPr>
        <w:t> </w:t>
      </w:r>
      <w:r>
        <w:rPr>
          <w:spacing w:val="-3"/>
        </w:rPr>
        <w:t>型双</w:t>
      </w:r>
      <w:r>
        <w:rPr>
          <w:spacing w:val="-3"/>
          <w:w w:val="100"/>
        </w:rPr>
        <w:t> </w:t>
      </w:r>
      <w:r>
        <w:rPr>
          <w:spacing w:val="-2"/>
        </w:rPr>
        <w:t>面高效光伏组件。领跑者基地的运营效果良好，通过林洋强大的研发、系统化设计、高集成化、高</w:t>
      </w:r>
      <w:r>
        <w:rPr>
          <w:spacing w:val="-25"/>
        </w:rPr>
        <w:t> </w:t>
      </w:r>
      <w:r>
        <w:rPr>
          <w:spacing w:val="-25"/>
        </w:rPr>
      </w:r>
      <w:r>
        <w:rPr>
          <w:spacing w:val="-2"/>
        </w:rPr>
        <w:t>性价比的方案，使得领跑者基地项目成为成本低、系统效率高、发电收益好的真正的国家领跑示范</w:t>
      </w:r>
      <w:r>
        <w:rPr>
          <w:spacing w:val="-25"/>
        </w:rPr>
        <w:t> </w:t>
      </w:r>
      <w:r>
        <w:rPr>
          <w:spacing w:val="-25"/>
        </w:rPr>
      </w:r>
      <w:r>
        <w:rPr/>
        <w:t>项目，同时也奠定林洋未来在</w:t>
      </w:r>
      <w:r>
        <w:rPr>
          <w:spacing w:val="-58"/>
        </w:rPr>
        <w:t> </w:t>
      </w:r>
      <w:r>
        <w:rPr>
          <w:rFonts w:ascii="宋体" w:hAnsi="宋体" w:cs="宋体" w:eastAsia="宋体" w:hint="default"/>
        </w:rPr>
        <w:t>EPC</w:t>
      </w:r>
      <w:r>
        <w:rPr>
          <w:rFonts w:ascii="宋体" w:hAnsi="宋体" w:cs="宋体" w:eastAsia="宋体" w:hint="default"/>
          <w:spacing w:val="-59"/>
        </w:rPr>
        <w:t> </w:t>
      </w:r>
      <w:r>
        <w:rPr/>
        <w:t>光伏系统集成业务的竞争地位。</w:t>
      </w:r>
      <w:r>
        <w:rPr>
          <w:rFonts w:ascii="宋体" w:hAnsi="宋体" w:cs="宋体" w:eastAsia="宋体" w:hint="default"/>
        </w:rPr>
        <w:t>2019</w:t>
      </w:r>
      <w:r>
        <w:rPr>
          <w:rFonts w:ascii="宋体" w:hAnsi="宋体" w:cs="宋体" w:eastAsia="宋体" w:hint="default"/>
          <w:spacing w:val="-61"/>
        </w:rPr>
        <w:t> </w:t>
      </w:r>
      <w:r>
        <w:rPr/>
        <w:t>年，国家第三批光伏发电应</w:t>
      </w:r>
      <w:r>
        <w:rPr>
          <w:w w:val="100"/>
        </w:rPr>
        <w:t> </w:t>
      </w:r>
      <w:r>
        <w:rPr/>
        <w:t>用领跑奖励激励基地项目中，林洋、中广核联合体再次中标泗洪光伏发电应用领跑基地</w:t>
      </w:r>
      <w:r>
        <w:rPr>
          <w:spacing w:val="-56"/>
        </w:rPr>
        <w:t> </w:t>
      </w:r>
      <w:r>
        <w:rPr>
          <w:rFonts w:ascii="宋体" w:hAnsi="宋体" w:cs="宋体" w:eastAsia="宋体" w:hint="default"/>
        </w:rPr>
        <w:t>200MW</w:t>
      </w:r>
      <w:r>
        <w:rPr/>
        <w:t>，该</w:t>
      </w:r>
      <w:r>
        <w:rPr>
          <w:spacing w:val="-3"/>
          <w:w w:val="100"/>
        </w:rPr>
        <w:t> </w:t>
      </w:r>
      <w:r>
        <w:rPr/>
        <w:t>项目仍然全部由林洋采用</w:t>
      </w:r>
      <w:r>
        <w:rPr>
          <w:spacing w:val="-57"/>
        </w:rPr>
        <w:t> </w:t>
      </w:r>
      <w:r>
        <w:rPr>
          <w:rFonts w:ascii="宋体" w:hAnsi="宋体" w:cs="宋体" w:eastAsia="宋体" w:hint="default"/>
        </w:rPr>
        <w:t>EPC</w:t>
      </w:r>
      <w:r>
        <w:rPr>
          <w:rFonts w:ascii="宋体" w:hAnsi="宋体" w:cs="宋体" w:eastAsia="宋体" w:hint="default"/>
          <w:spacing w:val="-53"/>
        </w:rPr>
        <w:t> </w:t>
      </w:r>
      <w:r>
        <w:rPr/>
        <w:t>业务模式承建，计划继续采用公司自主研发生产的</w:t>
      </w:r>
      <w:r>
        <w:rPr>
          <w:spacing w:val="-54"/>
        </w:rPr>
        <w:t> </w:t>
      </w:r>
      <w:r>
        <w:rPr>
          <w:rFonts w:ascii="宋体" w:hAnsi="宋体" w:cs="宋体" w:eastAsia="宋体" w:hint="default"/>
        </w:rPr>
        <w:t>N</w:t>
      </w:r>
      <w:r>
        <w:rPr>
          <w:rFonts w:ascii="宋体" w:hAnsi="宋体" w:cs="宋体" w:eastAsia="宋体" w:hint="default"/>
          <w:spacing w:val="-56"/>
        </w:rPr>
        <w:t> </w:t>
      </w:r>
      <w:r>
        <w:rPr/>
        <w:t>型双面高效光伏</w:t>
      </w:r>
      <w:r>
        <w:rPr>
          <w:w w:val="100"/>
        </w:rPr>
        <w:t> </w:t>
      </w:r>
      <w:r>
        <w:rPr/>
        <w:t>组件，目前正在工程建设中，预计</w:t>
      </w:r>
      <w:r>
        <w:rPr>
          <w:spacing w:val="-56"/>
        </w:rPr>
        <w:t> </w:t>
      </w:r>
      <w:r>
        <w:rPr>
          <w:rFonts w:ascii="宋体" w:hAnsi="宋体" w:cs="宋体" w:eastAsia="宋体" w:hint="default"/>
        </w:rPr>
        <w:t>2020</w:t>
      </w:r>
      <w:r>
        <w:rPr>
          <w:rFonts w:ascii="宋体" w:hAnsi="宋体" w:cs="宋体" w:eastAsia="宋体" w:hint="default"/>
          <w:spacing w:val="-58"/>
        </w:rPr>
        <w:t> </w:t>
      </w:r>
      <w:r>
        <w:rPr/>
        <w:t>年内实现全额并网。</w:t>
      </w:r>
      <w:r>
        <w:rPr>
          <w:rFonts w:ascii="宋体" w:hAnsi="宋体" w:cs="宋体" w:eastAsia="宋体" w:hint="default"/>
        </w:rPr>
        <w:t> </w:t>
      </w:r>
    </w:p>
    <w:p>
      <w:pPr>
        <w:spacing w:line="273" w:lineRule="auto" w:before="7"/>
        <w:ind w:left="638" w:right="0" w:hanging="42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3</w:t>
      </w:r>
      <w:r>
        <w:rPr>
          <w:rFonts w:ascii="宋体" w:hAnsi="宋体" w:cs="宋体" w:eastAsia="宋体" w:hint="default"/>
          <w:b/>
          <w:bCs/>
          <w:sz w:val="21"/>
          <w:szCs w:val="21"/>
        </w:rPr>
        <w:t>）营销网络、分布式光伏运营及运维服务优势</w:t>
      </w:r>
      <w:r>
        <w:rPr>
          <w:rFonts w:ascii="宋体" w:hAnsi="宋体" w:cs="宋体" w:eastAsia="宋体" w:hint="default"/>
          <w:b/>
          <w:bCs/>
          <w:w w:val="99"/>
          <w:sz w:val="21"/>
          <w:szCs w:val="21"/>
        </w:rPr>
        <w:t> </w:t>
      </w:r>
      <w:r>
        <w:rPr>
          <w:rFonts w:ascii="宋体" w:hAnsi="宋体" w:cs="宋体" w:eastAsia="宋体" w:hint="default"/>
          <w:spacing w:val="-2"/>
          <w:sz w:val="21"/>
          <w:szCs w:val="21"/>
        </w:rPr>
        <w:t>随着公司设计、在建及运营的光伏电站装机容量不断扩大，公司新能源团队综合能力进一步增</w:t>
      </w:r>
    </w:p>
    <w:p>
      <w:pPr>
        <w:pStyle w:val="BodyText"/>
        <w:spacing w:line="273" w:lineRule="auto" w:before="7"/>
        <w:ind w:right="109"/>
        <w:jc w:val="both"/>
        <w:rPr>
          <w:rFonts w:ascii="宋体" w:hAnsi="宋体" w:cs="宋体" w:eastAsia="宋体" w:hint="default"/>
        </w:rPr>
      </w:pPr>
      <w:r>
        <w:rPr>
          <w:spacing w:val="-2"/>
        </w:rPr>
        <w:t>强，项目开发、建设及并网速度获得全面提升，国内开发范围主要涉及江苏、安徽、山东、河北等</w:t>
      </w:r>
      <w:r>
        <w:rPr>
          <w:spacing w:val="-25"/>
        </w:rPr>
        <w:t> </w:t>
      </w:r>
      <w:r>
        <w:rPr>
          <w:spacing w:val="-25"/>
        </w:rPr>
      </w:r>
      <w:r>
        <w:rPr/>
        <w:t>东部省份。公司已投资运营各类分布式光伏电站约</w:t>
      </w:r>
      <w:r>
        <w:rPr>
          <w:spacing w:val="-57"/>
        </w:rPr>
        <w:t> </w:t>
      </w:r>
      <w:r>
        <w:rPr>
          <w:rFonts w:ascii="宋体" w:hAnsi="宋体" w:cs="宋体" w:eastAsia="宋体" w:hint="default"/>
        </w:rPr>
        <w:t>1.5GW</w:t>
      </w:r>
      <w:r>
        <w:rPr/>
        <w:t>，在光伏电站研究、设计、开发、建设及</w:t>
      </w:r>
      <w:r>
        <w:rPr>
          <w:w w:val="100"/>
        </w:rPr>
        <w:t> </w:t>
      </w:r>
      <w:r>
        <w:rPr>
          <w:spacing w:val="-5"/>
          <w:w w:val="100"/>
        </w:rPr>
        <w:t>运营各个环节均拥有丰富的经验。目前公司拥有一支近</w:t>
      </w:r>
      <w:r>
        <w:rPr>
          <w:spacing w:val="-47"/>
          <w:w w:val="100"/>
        </w:rPr>
        <w:t> </w:t>
      </w:r>
      <w:r>
        <w:rPr>
          <w:rFonts w:ascii="宋体" w:hAnsi="宋体" w:cs="宋体" w:eastAsia="宋体" w:hint="default"/>
          <w:w w:val="100"/>
        </w:rPr>
        <w:t>300</w:t>
      </w:r>
      <w:r>
        <w:rPr>
          <w:rFonts w:ascii="宋体" w:hAnsi="宋体" w:cs="宋体" w:eastAsia="宋体" w:hint="default"/>
          <w:spacing w:val="-49"/>
          <w:w w:val="100"/>
        </w:rPr>
        <w:t> </w:t>
      </w:r>
      <w:r>
        <w:rPr>
          <w:spacing w:val="-7"/>
          <w:w w:val="100"/>
        </w:rPr>
        <w:t>人专业化光伏电站运维团队，通过科学、</w:t>
      </w:r>
      <w:r>
        <w:rPr>
          <w:spacing w:val="-103"/>
          <w:w w:val="100"/>
        </w:rPr>
        <w:t> </w:t>
      </w:r>
      <w:r>
        <w:rPr>
          <w:spacing w:val="-103"/>
          <w:w w:val="100"/>
        </w:rPr>
      </w:r>
      <w:r>
        <w:rPr>
          <w:spacing w:val="-2"/>
        </w:rPr>
        <w:t>智能、高效的管控制度提高光伏电站的发电收益和系统稳定性，确保电站的高效运作和资源的优化</w:t>
      </w:r>
      <w:r>
        <w:rPr>
          <w:spacing w:val="-25"/>
        </w:rPr>
        <w:t> </w:t>
      </w:r>
      <w:r>
        <w:rPr>
          <w:spacing w:val="-25"/>
        </w:rPr>
      </w:r>
      <w:r>
        <w:rPr>
          <w:spacing w:val="-3"/>
        </w:rPr>
        <w:t>利用，实现光伏电站综合利用效益最大化。同时依托“EasySolar”智慧光伏云平台，在做好自身运</w:t>
      </w:r>
      <w:r>
        <w:rPr>
          <w:spacing w:val="-37"/>
        </w:rPr>
        <w:t> </w:t>
      </w:r>
      <w:r>
        <w:rPr>
          <w:spacing w:val="-37"/>
        </w:rPr>
      </w:r>
      <w:r>
        <w:rPr/>
        <w:t>维的同时，具备承接第三方电站运维的能力及优势，平台现接入约</w:t>
      </w:r>
      <w:r>
        <w:rPr>
          <w:spacing w:val="-57"/>
        </w:rPr>
        <w:t> </w:t>
      </w:r>
      <w:r>
        <w:rPr>
          <w:rFonts w:ascii="宋体" w:hAnsi="宋体" w:cs="宋体" w:eastAsia="宋体" w:hint="default"/>
        </w:rPr>
        <w:t>1.7GW</w:t>
      </w:r>
      <w:r>
        <w:rPr>
          <w:rFonts w:ascii="宋体" w:hAnsi="宋体" w:cs="宋体" w:eastAsia="宋体" w:hint="default"/>
          <w:spacing w:val="-57"/>
        </w:rPr>
        <w:t> </w:t>
      </w:r>
      <w:r>
        <w:rPr/>
        <w:t>各类光伏电站。</w:t>
      </w:r>
      <w:r>
        <w:rPr>
          <w:rFonts w:ascii="宋体" w:hAnsi="宋体" w:cs="宋体" w:eastAsia="宋体" w:hint="default"/>
        </w:rPr>
        <w:t> </w:t>
      </w:r>
    </w:p>
    <w:p>
      <w:pPr>
        <w:pStyle w:val="BodyText"/>
        <w:spacing w:line="273" w:lineRule="auto" w:before="7"/>
        <w:ind w:right="109" w:firstLine="420"/>
        <w:jc w:val="both"/>
      </w:pPr>
      <w:r>
        <w:rPr>
          <w:spacing w:val="-2"/>
        </w:rPr>
        <w:t>在资质方面，子公司南京林洋具有高新技术企业、软件企业、系统集成三级、</w:t>
      </w:r>
      <w:r>
        <w:rPr>
          <w:rFonts w:ascii="宋体" w:hAnsi="宋体" w:cs="宋体" w:eastAsia="宋体" w:hint="default"/>
          <w:spacing w:val="-2"/>
        </w:rPr>
        <w:t>CMMI-5</w:t>
      </w:r>
      <w:r>
        <w:rPr>
          <w:rFonts w:ascii="宋体" w:hAnsi="宋体" w:cs="宋体" w:eastAsia="宋体" w:hint="default"/>
          <w:spacing w:val="-6"/>
        </w:rPr>
        <w:t> </w:t>
      </w:r>
      <w:r>
        <w:rPr>
          <w:spacing w:val="-2"/>
        </w:rPr>
        <w:t>级、建筑</w:t>
      </w:r>
      <w:r>
        <w:rPr>
          <w:w w:val="100"/>
        </w:rPr>
        <w:t> </w:t>
      </w:r>
      <w:r>
        <w:rPr>
          <w:spacing w:val="-2"/>
        </w:rPr>
        <w:t>机电安装工程专业承包三级、建筑业企业电子与智能化工程专业承包二级、工业领域电力需求侧管</w:t>
      </w:r>
      <w:r>
        <w:rPr>
          <w:spacing w:val="-25"/>
        </w:rPr>
        <w:t> </w:t>
      </w:r>
      <w:r>
        <w:rPr>
          <w:spacing w:val="-25"/>
        </w:rPr>
      </w:r>
      <w:r>
        <w:rPr>
          <w:spacing w:val="-2"/>
        </w:rPr>
        <w:t>理服务机构一级等资质；子公司林洋电力具备电力工程施工总承包三级及承装（修、试）电力设施</w:t>
      </w:r>
      <w:r>
        <w:rPr>
          <w:spacing w:val="-25"/>
        </w:rPr>
        <w:t> </w:t>
      </w:r>
      <w:r>
        <w:rPr>
          <w:spacing w:val="-25"/>
        </w:rPr>
      </w:r>
      <w:r>
        <w:rPr>
          <w:spacing w:val="-2"/>
        </w:rPr>
        <w:t>四级资质，子公司林洋照明具备建筑业企业城市及道路照明工程专业承包二级资质，子公司林洋新</w:t>
      </w:r>
    </w:p>
    <w:p>
      <w:pPr>
        <w:spacing w:after="0" w:line="273" w:lineRule="auto"/>
        <w:jc w:val="both"/>
        <w:sectPr>
          <w:footerReference w:type="default" r:id="rId17"/>
          <w:pgSz w:w="11910" w:h="16840"/>
          <w:pgMar w:footer="974" w:header="748" w:top="1140" w:bottom="1160" w:left="1200" w:right="1300"/>
        </w:sectPr>
      </w:pPr>
    </w:p>
    <w:p>
      <w:pPr>
        <w:spacing w:line="240" w:lineRule="auto" w:before="2"/>
        <w:rPr>
          <w:rFonts w:ascii="宋体" w:hAnsi="宋体" w:cs="宋体" w:eastAsia="宋体" w:hint="default"/>
          <w:sz w:val="19"/>
          <w:szCs w:val="19"/>
        </w:rPr>
      </w:pPr>
    </w:p>
    <w:p>
      <w:pPr>
        <w:pStyle w:val="BodyText"/>
        <w:spacing w:line="273" w:lineRule="auto" w:before="36"/>
        <w:ind w:right="109"/>
        <w:jc w:val="both"/>
        <w:rPr>
          <w:rFonts w:ascii="宋体" w:hAnsi="宋体" w:cs="宋体" w:eastAsia="宋体" w:hint="default"/>
        </w:rPr>
      </w:pPr>
      <w:r>
        <w:rPr>
          <w:spacing w:val="-5"/>
        </w:rPr>
        <w:t>能源具备电力行业专业乙级工程设计资质证书、电力工程施工总承包资质；子公司光伏运维具备 </w:t>
      </w:r>
      <w:r>
        <w:rPr/>
        <w:t>TüV</w:t>
      </w:r>
      <w:r>
        <w:rPr>
          <w:spacing w:val="-68"/>
        </w:rPr>
        <w:t> </w:t>
      </w:r>
      <w:r>
        <w:rPr>
          <w:spacing w:val="-68"/>
        </w:rPr>
      </w:r>
      <w:r>
        <w:rPr/>
        <w:t>莱茵光伏电站运维企业认证及</w:t>
      </w:r>
      <w:r>
        <w:rPr>
          <w:spacing w:val="-56"/>
        </w:rPr>
        <w:t> </w:t>
      </w:r>
      <w:r>
        <w:rPr/>
        <w:t>TüV</w:t>
      </w:r>
      <w:r>
        <w:rPr>
          <w:spacing w:val="-56"/>
        </w:rPr>
        <w:t> </w:t>
      </w:r>
      <w:r>
        <w:rPr/>
        <w:t>莱茵</w:t>
      </w:r>
      <w:r>
        <w:rPr>
          <w:spacing w:val="-56"/>
        </w:rPr>
        <w:t> </w:t>
      </w:r>
      <w:r>
        <w:rPr>
          <w:rFonts w:ascii="宋体" w:hAnsi="宋体" w:cs="宋体" w:eastAsia="宋体" w:hint="default"/>
        </w:rPr>
        <w:t>AA</w:t>
      </w:r>
      <w:r>
        <w:rPr>
          <w:rFonts w:ascii="宋体" w:hAnsi="宋体" w:cs="宋体" w:eastAsia="宋体" w:hint="default"/>
          <w:spacing w:val="-56"/>
        </w:rPr>
        <w:t> </w:t>
      </w:r>
      <w:r>
        <w:rPr/>
        <w:t>级光伏电站运维能力认证。</w:t>
      </w:r>
      <w:r>
        <w:rPr>
          <w:rFonts w:ascii="宋体" w:hAnsi="宋体" w:cs="宋体" w:eastAsia="宋体" w:hint="default"/>
        </w:rPr>
        <w:t> </w:t>
      </w:r>
    </w:p>
    <w:p>
      <w:pPr>
        <w:pStyle w:val="BodyText"/>
        <w:spacing w:line="273" w:lineRule="auto" w:before="7"/>
        <w:ind w:left="638" w:right="0" w:hanging="420"/>
        <w:jc w:val="left"/>
      </w:pPr>
      <w:r>
        <w:rPr>
          <w:rFonts w:ascii="宋体" w:hAnsi="宋体" w:cs="宋体" w:eastAsia="宋体" w:hint="default"/>
          <w:b/>
          <w:bCs/>
        </w:rPr>
        <w:t>（</w:t>
      </w:r>
      <w:r>
        <w:rPr>
          <w:rFonts w:ascii="宋体" w:hAnsi="宋体" w:cs="宋体" w:eastAsia="宋体" w:hint="default"/>
          <w:b/>
          <w:bCs/>
        </w:rPr>
        <w:t>4</w:t>
      </w:r>
      <w:r>
        <w:rPr>
          <w:rFonts w:ascii="宋体" w:hAnsi="宋体" w:cs="宋体" w:eastAsia="宋体" w:hint="default"/>
          <w:b/>
          <w:bCs/>
        </w:rPr>
        <w:t>）产品质量优势</w:t>
      </w:r>
      <w:r>
        <w:rPr>
          <w:rFonts w:ascii="宋体" w:hAnsi="宋体" w:cs="宋体" w:eastAsia="宋体" w:hint="default"/>
          <w:b/>
          <w:bCs/>
          <w:w w:val="99"/>
        </w:rPr>
        <w:t> </w:t>
      </w:r>
      <w:r>
        <w:rPr>
          <w:spacing w:val="-2"/>
        </w:rPr>
        <w:t>公司成立至今，始终坚持“质量是林洋人生命”的宗旨，以质量零缺陷为目标、管理精细化为</w:t>
      </w:r>
    </w:p>
    <w:p>
      <w:pPr>
        <w:pStyle w:val="BodyText"/>
        <w:spacing w:line="273" w:lineRule="auto" w:before="7"/>
        <w:ind w:right="109"/>
        <w:jc w:val="both"/>
        <w:rPr>
          <w:rFonts w:ascii="宋体" w:hAnsi="宋体" w:cs="宋体" w:eastAsia="宋体" w:hint="default"/>
        </w:rPr>
      </w:pPr>
      <w:r>
        <w:rPr>
          <w:spacing w:val="-3"/>
        </w:rPr>
        <w:t>准则、生产精益化为手段，逐步建立并完善适合自己的一套质量管理和控制体系，借助</w:t>
      </w:r>
      <w:r>
        <w:rPr>
          <w:spacing w:val="-27"/>
        </w:rPr>
        <w:t> </w:t>
      </w:r>
      <w:r>
        <w:rPr>
          <w:rFonts w:ascii="宋体" w:hAnsi="宋体" w:cs="宋体" w:eastAsia="宋体" w:hint="default"/>
          <w:spacing w:val="-3"/>
        </w:rPr>
        <w:t>MES</w:t>
      </w:r>
      <w:r>
        <w:rPr>
          <w:spacing w:val="-3"/>
        </w:rPr>
        <w:t>、</w:t>
      </w:r>
      <w:r>
        <w:rPr>
          <w:rFonts w:ascii="宋体" w:hAnsi="宋体" w:cs="宋体" w:eastAsia="宋体" w:hint="default"/>
          <w:spacing w:val="-3"/>
        </w:rPr>
        <w:t>WMS</w:t>
      </w:r>
      <w:r>
        <w:rPr>
          <w:rFonts w:ascii="宋体" w:hAnsi="宋体" w:cs="宋体" w:eastAsia="宋体" w:hint="default"/>
          <w:spacing w:val="-27"/>
        </w:rPr>
        <w:t> </w:t>
      </w:r>
      <w:r>
        <w:rPr/>
        <w:t>等</w:t>
      </w:r>
      <w:r>
        <w:rPr>
          <w:spacing w:val="-94"/>
        </w:rPr>
        <w:t> </w:t>
      </w:r>
      <w:r>
        <w:rPr>
          <w:spacing w:val="-2"/>
        </w:rPr>
        <w:t>信息化系统，实现了从物料到成品的全制程质量监控。多年来，凭借高水平的质量管理体系和高标</w:t>
      </w:r>
      <w:r>
        <w:rPr>
          <w:spacing w:val="-25"/>
        </w:rPr>
        <w:t> </w:t>
      </w:r>
      <w:r>
        <w:rPr>
          <w:spacing w:val="-25"/>
        </w:rPr>
      </w:r>
      <w:r>
        <w:rPr>
          <w:spacing w:val="-7"/>
          <w:w w:val="100"/>
        </w:rPr>
        <w:t>准的产品质量控制，公司主要产品陆续获得荷兰</w:t>
      </w:r>
      <w:r>
        <w:rPr>
          <w:spacing w:val="-55"/>
          <w:w w:val="100"/>
        </w:rPr>
        <w:t> </w:t>
      </w:r>
      <w:r>
        <w:rPr>
          <w:rFonts w:ascii="宋体" w:hAnsi="宋体" w:cs="宋体" w:eastAsia="宋体" w:hint="default"/>
          <w:spacing w:val="-10"/>
          <w:w w:val="100"/>
        </w:rPr>
        <w:t>KEMA</w:t>
      </w:r>
      <w:r>
        <w:rPr>
          <w:spacing w:val="-10"/>
          <w:w w:val="100"/>
        </w:rPr>
        <w:t>、德国国家实验室</w:t>
      </w:r>
      <w:r>
        <w:rPr>
          <w:spacing w:val="-52"/>
          <w:w w:val="100"/>
        </w:rPr>
        <w:t> </w:t>
      </w:r>
      <w:r>
        <w:rPr>
          <w:rFonts w:ascii="宋体" w:hAnsi="宋体" w:cs="宋体" w:eastAsia="宋体" w:hint="default"/>
          <w:spacing w:val="-10"/>
          <w:w w:val="100"/>
        </w:rPr>
        <w:t>PTB</w:t>
      </w:r>
      <w:r>
        <w:rPr>
          <w:spacing w:val="-10"/>
          <w:w w:val="100"/>
        </w:rPr>
        <w:t>、国际电力认证机构</w:t>
      </w:r>
      <w:r>
        <w:rPr>
          <w:spacing w:val="-55"/>
          <w:w w:val="100"/>
        </w:rPr>
        <w:t> </w:t>
      </w:r>
      <w:r>
        <w:rPr>
          <w:rFonts w:ascii="宋体" w:hAnsi="宋体" w:cs="宋体" w:eastAsia="宋体" w:hint="default"/>
          <w:spacing w:val="-1"/>
          <w:w w:val="100"/>
        </w:rPr>
        <w:t>SGS</w:t>
      </w:r>
      <w:r>
        <w:rPr>
          <w:spacing w:val="-1"/>
          <w:w w:val="100"/>
        </w:rPr>
        <w:t>、</w:t>
      </w:r>
      <w:r>
        <w:rPr>
          <w:spacing w:val="-103"/>
          <w:w w:val="100"/>
        </w:rPr>
        <w:t> </w:t>
      </w:r>
      <w:r>
        <w:rPr/>
        <w:t>中国质量认证中心</w:t>
      </w:r>
      <w:r>
        <w:rPr>
          <w:spacing w:val="-58"/>
        </w:rPr>
        <w:t> </w:t>
      </w:r>
      <w:r>
        <w:rPr>
          <w:rFonts w:ascii="宋体" w:hAnsi="宋体" w:cs="宋体" w:eastAsia="宋体" w:hint="default"/>
        </w:rPr>
        <w:t>3C</w:t>
      </w:r>
      <w:r>
        <w:rPr>
          <w:rFonts w:ascii="宋体" w:hAnsi="宋体" w:cs="宋体" w:eastAsia="宋体" w:hint="default"/>
          <w:spacing w:val="-58"/>
        </w:rPr>
        <w:t> </w:t>
      </w:r>
      <w:r>
        <w:rPr/>
        <w:t>等国内外质量检测、评定机构的多项权威认证。</w:t>
      </w:r>
      <w:r>
        <w:rPr>
          <w:rFonts w:ascii="宋体" w:hAnsi="宋体" w:cs="宋体" w:eastAsia="宋体" w:hint="default"/>
        </w:rPr>
        <w:t> </w:t>
      </w:r>
    </w:p>
    <w:p>
      <w:pPr>
        <w:pStyle w:val="BodyText"/>
        <w:spacing w:line="273" w:lineRule="auto" w:before="7"/>
        <w:ind w:right="0" w:firstLine="420"/>
        <w:jc w:val="left"/>
        <w:rPr>
          <w:rFonts w:ascii="宋体" w:hAnsi="宋体" w:cs="宋体" w:eastAsia="宋体" w:hint="default"/>
        </w:rPr>
      </w:pPr>
      <w:r>
        <w:rPr/>
        <w:t>林洋电能表和集中器分别获得全国用户满意产品和全国市场质量信用</w:t>
      </w:r>
      <w:r>
        <w:rPr>
          <w:spacing w:val="-55"/>
        </w:rPr>
        <w:t> </w:t>
      </w:r>
      <w:r>
        <w:rPr>
          <w:rFonts w:ascii="宋体" w:hAnsi="宋体" w:cs="宋体" w:eastAsia="宋体" w:hint="default"/>
        </w:rPr>
        <w:t>AA</w:t>
      </w:r>
      <w:r>
        <w:rPr>
          <w:rFonts w:ascii="宋体" w:hAnsi="宋体" w:cs="宋体" w:eastAsia="宋体" w:hint="default"/>
          <w:spacing w:val="-55"/>
        </w:rPr>
        <w:t> </w:t>
      </w:r>
      <w:r>
        <w:rPr/>
        <w:t>级用户满意产品的称</w:t>
      </w:r>
      <w:r>
        <w:rPr>
          <w:w w:val="100"/>
        </w:rPr>
        <w:t> </w:t>
      </w:r>
      <w:r>
        <w:rPr>
          <w:spacing w:val="-4"/>
        </w:rPr>
        <w:t>号；公司研发的</w:t>
      </w:r>
      <w:r>
        <w:rPr>
          <w:spacing w:val="-46"/>
        </w:rPr>
        <w:t> </w:t>
      </w:r>
      <w:r>
        <w:rPr>
          <w:rFonts w:ascii="宋体" w:hAnsi="宋体" w:cs="宋体" w:eastAsia="宋体" w:hint="default"/>
          <w:spacing w:val="-3"/>
        </w:rPr>
        <w:t>SM120</w:t>
      </w:r>
      <w:r>
        <w:rPr>
          <w:spacing w:val="-3"/>
        </w:rPr>
        <w:t>、</w:t>
      </w:r>
      <w:r>
        <w:rPr>
          <w:rFonts w:ascii="宋体" w:hAnsi="宋体" w:cs="宋体" w:eastAsia="宋体" w:hint="default"/>
          <w:spacing w:val="-3"/>
        </w:rPr>
        <w:t>SM150</w:t>
      </w:r>
      <w:r>
        <w:rPr>
          <w:spacing w:val="-3"/>
        </w:rPr>
        <w:t>、</w:t>
      </w:r>
      <w:r>
        <w:rPr>
          <w:rFonts w:ascii="宋体" w:hAnsi="宋体" w:cs="宋体" w:eastAsia="宋体" w:hint="default"/>
          <w:spacing w:val="-3"/>
        </w:rPr>
        <w:t>SM350</w:t>
      </w:r>
      <w:r>
        <w:rPr>
          <w:rFonts w:ascii="宋体" w:hAnsi="宋体" w:cs="宋体" w:eastAsia="宋体" w:hint="default"/>
          <w:spacing w:val="-46"/>
        </w:rPr>
        <w:t> </w:t>
      </w:r>
      <w:r>
        <w:rPr/>
        <w:t>三款国际智能表产品顺利通过</w:t>
      </w:r>
      <w:r>
        <w:rPr>
          <w:spacing w:val="-44"/>
        </w:rPr>
        <w:t> </w:t>
      </w:r>
      <w:r>
        <w:rPr>
          <w:rFonts w:ascii="宋体" w:hAnsi="宋体" w:cs="宋体" w:eastAsia="宋体" w:hint="default"/>
        </w:rPr>
        <w:t>IDIS</w:t>
      </w:r>
      <w:r>
        <w:rPr>
          <w:rFonts w:ascii="宋体" w:hAnsi="宋体" w:cs="宋体" w:eastAsia="宋体" w:hint="default"/>
          <w:spacing w:val="-44"/>
        </w:rPr>
        <w:t> </w:t>
      </w:r>
      <w:r>
        <w:rPr>
          <w:spacing w:val="-3"/>
        </w:rPr>
        <w:t>国际认证，是亚洲首家通</w:t>
      </w:r>
      <w:r>
        <w:rPr>
          <w:spacing w:val="-101"/>
        </w:rPr>
        <w:t> </w:t>
      </w:r>
      <w:r>
        <w:rPr>
          <w:spacing w:val="-101"/>
        </w:rPr>
      </w:r>
      <w:r>
        <w:rPr>
          <w:spacing w:val="-5"/>
        </w:rPr>
        <w:t>过该国际认证的电能表企业。公司自主生产的单晶组件荣获行业领跑者认证，双玻组件产品取得 </w:t>
      </w:r>
      <w:r>
        <w:rPr/>
        <w:t>TüV</w:t>
      </w:r>
      <w:r>
        <w:rPr>
          <w:spacing w:val="-68"/>
        </w:rPr>
        <w:t> </w:t>
      </w:r>
      <w:r>
        <w:rPr>
          <w:spacing w:val="-68"/>
        </w:rPr>
      </w:r>
      <w:r>
        <w:rPr/>
        <w:t>莱茵和</w:t>
      </w:r>
      <w:r>
        <w:rPr>
          <w:spacing w:val="-53"/>
        </w:rPr>
        <w:t> </w:t>
      </w:r>
      <w:r>
        <w:rPr>
          <w:rFonts w:ascii="宋体" w:hAnsi="宋体" w:cs="宋体" w:eastAsia="宋体" w:hint="default"/>
        </w:rPr>
        <w:t>CQC</w:t>
      </w:r>
      <w:r>
        <w:rPr>
          <w:rFonts w:ascii="宋体" w:hAnsi="宋体" w:cs="宋体" w:eastAsia="宋体" w:hint="default"/>
          <w:spacing w:val="-55"/>
        </w:rPr>
        <w:t> </w:t>
      </w:r>
      <w:r>
        <w:rPr/>
        <w:t>等产品认证。</w:t>
      </w:r>
      <w:r>
        <w:rPr>
          <w:rFonts w:ascii="宋体" w:hAnsi="宋体" w:cs="宋体" w:eastAsia="宋体" w:hint="default"/>
        </w:rPr>
        <w:t> </w:t>
      </w:r>
    </w:p>
    <w:p>
      <w:pPr>
        <w:spacing w:line="273" w:lineRule="auto" w:before="8"/>
        <w:ind w:left="638" w:right="0" w:hanging="42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5</w:t>
      </w:r>
      <w:r>
        <w:rPr>
          <w:rFonts w:ascii="宋体" w:hAnsi="宋体" w:cs="宋体" w:eastAsia="宋体" w:hint="default"/>
          <w:b/>
          <w:bCs/>
          <w:sz w:val="21"/>
          <w:szCs w:val="21"/>
        </w:rPr>
        <w:t>）资源及平台优势</w:t>
      </w:r>
      <w:r>
        <w:rPr>
          <w:rFonts w:ascii="宋体" w:hAnsi="宋体" w:cs="宋体" w:eastAsia="宋体" w:hint="default"/>
          <w:b/>
          <w:bCs/>
          <w:w w:val="99"/>
          <w:sz w:val="21"/>
          <w:szCs w:val="21"/>
        </w:rPr>
        <w:t> </w:t>
      </w:r>
      <w:r>
        <w:rPr>
          <w:rFonts w:ascii="宋体" w:hAnsi="宋体" w:cs="宋体" w:eastAsia="宋体" w:hint="default"/>
          <w:spacing w:val="-6"/>
          <w:sz w:val="21"/>
          <w:szCs w:val="21"/>
        </w:rPr>
        <w:t>公司自成立以来，一直以电能计量管理、可再生能源发电、用户侧能源高效利用领域为立足点，</w:t>
      </w:r>
    </w:p>
    <w:p>
      <w:pPr>
        <w:pStyle w:val="BodyText"/>
        <w:spacing w:line="273" w:lineRule="auto" w:before="7"/>
        <w:ind w:right="110"/>
        <w:jc w:val="both"/>
        <w:rPr>
          <w:rFonts w:ascii="宋体" w:hAnsi="宋体" w:cs="宋体" w:eastAsia="宋体" w:hint="default"/>
        </w:rPr>
      </w:pPr>
      <w:r>
        <w:rPr>
          <w:spacing w:val="-2"/>
        </w:rPr>
        <w:t>打造公司智能、节能、新能源三大板块业务。</w:t>
      </w:r>
      <w:r>
        <w:rPr>
          <w:rFonts w:ascii="宋体" w:hAnsi="宋体" w:cs="宋体" w:eastAsia="宋体" w:hint="default"/>
          <w:spacing w:val="-2"/>
        </w:rPr>
        <w:t>20</w:t>
      </w:r>
      <w:r>
        <w:rPr>
          <w:rFonts w:ascii="宋体" w:hAnsi="宋体" w:cs="宋体" w:eastAsia="宋体" w:hint="default"/>
        </w:rPr>
        <w:t> </w:t>
      </w:r>
      <w:r>
        <w:rPr>
          <w:spacing w:val="-2"/>
        </w:rPr>
        <w:t>多年来，公司凭借综合竞争实力，与国家电网、南</w:t>
      </w:r>
      <w:r>
        <w:rPr>
          <w:spacing w:val="-89"/>
        </w:rPr>
        <w:t> </w:t>
      </w:r>
      <w:r>
        <w:rPr>
          <w:spacing w:val="-89"/>
        </w:rPr>
      </w:r>
      <w:r>
        <w:rPr>
          <w:spacing w:val="-2"/>
        </w:rPr>
        <w:t>方电网及地方电力等大客户一直保持着亲密的合作关系。随着国家近几年高度重视节能减排及国家</w:t>
      </w:r>
      <w:r>
        <w:rPr>
          <w:spacing w:val="-25"/>
        </w:rPr>
        <w:t> </w:t>
      </w:r>
      <w:r>
        <w:rPr>
          <w:spacing w:val="-25"/>
        </w:rPr>
      </w:r>
      <w:r>
        <w:rPr>
          <w:spacing w:val="-2"/>
        </w:rPr>
        <w:t>电网加大做强综合能源服务业务的战略定位，公司依托几年来节能领域取得的成果，先后与国网下</w:t>
      </w:r>
      <w:r>
        <w:rPr>
          <w:spacing w:val="-25"/>
        </w:rPr>
        <w:t> </w:t>
      </w:r>
      <w:r>
        <w:rPr>
          <w:spacing w:val="-25"/>
        </w:rPr>
      </w:r>
      <w:r>
        <w:rPr>
          <w:spacing w:val="-2"/>
        </w:rPr>
        <w:t>属江苏、山东、上海等综合能源服务公司以及国网电商公司签订战略合作协议，加强业务合作，充</w:t>
      </w:r>
      <w:r>
        <w:rPr>
          <w:spacing w:val="-25"/>
        </w:rPr>
        <w:t> </w:t>
      </w:r>
      <w:r>
        <w:rPr>
          <w:spacing w:val="-25"/>
        </w:rPr>
      </w:r>
      <w:r>
        <w:rPr/>
        <w:t>分利用资源，培育新的利润增长点。</w:t>
      </w:r>
      <w:r>
        <w:rPr>
          <w:rFonts w:ascii="宋体" w:hAnsi="宋体" w:cs="宋体" w:eastAsia="宋体" w:hint="default"/>
        </w:rPr>
        <w:t> </w:t>
      </w:r>
    </w:p>
    <w:p>
      <w:pPr>
        <w:pStyle w:val="BodyText"/>
        <w:spacing w:line="273" w:lineRule="auto" w:before="7"/>
        <w:ind w:right="109" w:firstLine="420"/>
        <w:jc w:val="both"/>
        <w:rPr>
          <w:rFonts w:ascii="宋体" w:hAnsi="宋体" w:cs="宋体" w:eastAsia="宋体" w:hint="default"/>
        </w:rPr>
      </w:pPr>
      <w:r>
        <w:rPr>
          <w:spacing w:val="-3"/>
        </w:rPr>
        <w:t>同时，公司将智能、节能、新能源三大业务板块有机地融合在一起，以“互联网+”智慧能源作</w:t>
      </w:r>
      <w:r>
        <w:rPr>
          <w:w w:val="100"/>
        </w:rPr>
        <w:t> </w:t>
      </w:r>
      <w:r>
        <w:rPr>
          <w:spacing w:val="-2"/>
        </w:rPr>
        <w:t>为重要的战略发展方向，打造了智慧光伏云平台、智慧能效云平台、智慧微网云平台并依托上述智</w:t>
      </w:r>
      <w:r>
        <w:rPr>
          <w:spacing w:val="-25"/>
        </w:rPr>
        <w:t> </w:t>
      </w:r>
      <w:r>
        <w:rPr>
          <w:spacing w:val="-25"/>
        </w:rPr>
      </w:r>
      <w:r>
        <w:rPr>
          <w:spacing w:val="-2"/>
        </w:rPr>
        <w:t>慧能源云平台积极拓展涵盖了分布式光伏发电、能效管理服务以及储能和微电网领域的创新业务。</w:t>
      </w:r>
      <w:r>
        <w:rPr>
          <w:spacing w:val="-25"/>
        </w:rPr>
        <w:t> </w:t>
      </w:r>
      <w:r>
        <w:rPr>
          <w:spacing w:val="-25"/>
        </w:rPr>
      </w:r>
      <w:r>
        <w:rPr>
          <w:spacing w:val="-2"/>
        </w:rPr>
        <w:t>智慧能效管理云平台经过多年的技术积累和升级，根据用户需求和体验的持续反馈，同时结合综合</w:t>
      </w:r>
      <w:r>
        <w:rPr>
          <w:spacing w:val="-25"/>
        </w:rPr>
        <w:t> </w:t>
      </w:r>
      <w:r>
        <w:rPr>
          <w:spacing w:val="-25"/>
        </w:rPr>
      </w:r>
      <w:r>
        <w:rPr>
          <w:spacing w:val="-2"/>
        </w:rPr>
        <w:t>能源服务行业的发展趋势，不断地迭代升级。公司智慧能效平台在持续完善功能，提高用户体验的</w:t>
      </w:r>
      <w:r>
        <w:rPr>
          <w:spacing w:val="-25"/>
        </w:rPr>
        <w:t> </w:t>
      </w:r>
      <w:r>
        <w:rPr>
          <w:spacing w:val="-25"/>
        </w:rPr>
      </w:r>
      <w:r>
        <w:rPr>
          <w:spacing w:val="-2"/>
        </w:rPr>
        <w:t>同时，针对综合能源、节能环保、交通系统的行业用户做了定制应用开发，不断提高用户接入量和</w:t>
      </w:r>
      <w:r>
        <w:rPr>
          <w:spacing w:val="-25"/>
        </w:rPr>
        <w:t> </w:t>
      </w:r>
      <w:r>
        <w:rPr>
          <w:spacing w:val="-25"/>
        </w:rPr>
      </w:r>
      <w:r>
        <w:rPr/>
        <w:t>行业用户类型，持续探索创新的技术应用和商业模式。</w:t>
      </w:r>
      <w:r>
        <w:rPr>
          <w:rFonts w:ascii="宋体" w:hAnsi="宋体" w:cs="宋体" w:eastAsia="宋体" w:hint="default"/>
        </w:rPr>
        <w:t> </w:t>
      </w:r>
    </w:p>
    <w:p>
      <w:pPr>
        <w:spacing w:line="273" w:lineRule="auto" w:before="7"/>
        <w:ind w:left="638" w:right="0" w:hanging="42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6</w:t>
      </w:r>
      <w:r>
        <w:rPr>
          <w:rFonts w:ascii="宋体" w:hAnsi="宋体" w:cs="宋体" w:eastAsia="宋体" w:hint="default"/>
          <w:b/>
          <w:bCs/>
          <w:sz w:val="21"/>
          <w:szCs w:val="21"/>
        </w:rPr>
        <w:t>）资金及融资渠道优势</w:t>
      </w:r>
      <w:r>
        <w:rPr>
          <w:rFonts w:ascii="宋体" w:hAnsi="宋体" w:cs="宋体" w:eastAsia="宋体" w:hint="default"/>
          <w:b/>
          <w:bCs/>
          <w:w w:val="99"/>
          <w:sz w:val="21"/>
          <w:szCs w:val="21"/>
        </w:rPr>
        <w:t> </w:t>
      </w:r>
      <w:r>
        <w:rPr>
          <w:rFonts w:ascii="宋体" w:hAnsi="宋体" w:cs="宋体" w:eastAsia="宋体" w:hint="default"/>
          <w:spacing w:val="-2"/>
          <w:sz w:val="21"/>
          <w:szCs w:val="21"/>
        </w:rPr>
        <w:t>公司自上市以来，持续增长的利润为公司各类业务的开展提供强有力的资金保障。与此同时，</w:t>
      </w:r>
    </w:p>
    <w:p>
      <w:pPr>
        <w:pStyle w:val="BodyText"/>
        <w:spacing w:line="273" w:lineRule="auto" w:before="7"/>
        <w:ind w:right="109"/>
        <w:jc w:val="both"/>
        <w:rPr>
          <w:rFonts w:ascii="宋体" w:hAnsi="宋体" w:cs="宋体" w:eastAsia="宋体" w:hint="default"/>
        </w:rPr>
      </w:pPr>
      <w:r>
        <w:rPr>
          <w:spacing w:val="-5"/>
        </w:rPr>
        <w:t>公司始终秉承稳健经营的原则，在业绩持续稳定增长的同时，公司资产负债率保持在较低水平，</w:t>
      </w:r>
      <w:r>
        <w:rPr>
          <w:rFonts w:ascii="宋体" w:hAnsi="宋体" w:cs="宋体" w:eastAsia="宋体" w:hint="default"/>
          <w:spacing w:val="-5"/>
        </w:rPr>
        <w:t>2016</w:t>
      </w:r>
      <w:r>
        <w:rPr>
          <w:rFonts w:ascii="宋体" w:hAnsi="宋体" w:cs="宋体" w:eastAsia="宋体" w:hint="default"/>
          <w:spacing w:val="-51"/>
        </w:rPr>
        <w:t> </w:t>
      </w:r>
      <w:r>
        <w:rPr>
          <w:rFonts w:ascii="宋体" w:hAnsi="宋体" w:cs="宋体" w:eastAsia="宋体" w:hint="default"/>
          <w:spacing w:val="-51"/>
        </w:rPr>
      </w:r>
      <w:r>
        <w:rPr/>
        <w:t>年底至</w:t>
      </w:r>
      <w:r>
        <w:rPr>
          <w:spacing w:val="-45"/>
        </w:rPr>
        <w:t> </w:t>
      </w:r>
      <w:r>
        <w:rPr>
          <w:rFonts w:ascii="宋体" w:hAnsi="宋体" w:cs="宋体" w:eastAsia="宋体" w:hint="default"/>
        </w:rPr>
        <w:t>2019</w:t>
      </w:r>
      <w:r>
        <w:rPr>
          <w:rFonts w:ascii="宋体" w:hAnsi="宋体" w:cs="宋体" w:eastAsia="宋体" w:hint="default"/>
          <w:spacing w:val="-45"/>
        </w:rPr>
        <w:t> </w:t>
      </w:r>
      <w:r>
        <w:rPr/>
        <w:t>年底资产负债率比例分别为</w:t>
      </w:r>
      <w:r>
        <w:rPr>
          <w:spacing w:val="-45"/>
        </w:rPr>
        <w:t> </w:t>
      </w:r>
      <w:r>
        <w:rPr>
          <w:rFonts w:ascii="宋体" w:hAnsi="宋体" w:cs="宋体" w:eastAsia="宋体" w:hint="default"/>
          <w:spacing w:val="-3"/>
        </w:rPr>
        <w:t>34.59%</w:t>
      </w:r>
      <w:r>
        <w:rPr>
          <w:spacing w:val="-3"/>
        </w:rPr>
        <w:t>、</w:t>
      </w:r>
      <w:r>
        <w:rPr>
          <w:rFonts w:ascii="宋体" w:hAnsi="宋体" w:cs="宋体" w:eastAsia="宋体" w:hint="default"/>
          <w:spacing w:val="-3"/>
        </w:rPr>
        <w:t>43.59%</w:t>
      </w:r>
      <w:r>
        <w:rPr>
          <w:spacing w:val="-3"/>
        </w:rPr>
        <w:t>、</w:t>
      </w:r>
      <w:r>
        <w:rPr>
          <w:rFonts w:ascii="宋体" w:hAnsi="宋体" w:cs="宋体" w:eastAsia="宋体" w:hint="default"/>
          <w:spacing w:val="-3"/>
        </w:rPr>
        <w:t>43.01%</w:t>
      </w:r>
      <w:r>
        <w:rPr>
          <w:spacing w:val="-3"/>
        </w:rPr>
        <w:t>和</w:t>
      </w:r>
      <w:r>
        <w:rPr>
          <w:spacing w:val="-45"/>
        </w:rPr>
        <w:t> </w:t>
      </w:r>
      <w:r>
        <w:rPr>
          <w:rFonts w:ascii="宋体" w:hAnsi="宋体" w:cs="宋体" w:eastAsia="宋体" w:hint="default"/>
          <w:spacing w:val="-3"/>
        </w:rPr>
        <w:t>40.94%</w:t>
      </w:r>
      <w:r>
        <w:rPr>
          <w:spacing w:val="-3"/>
        </w:rPr>
        <w:t>（含</w:t>
      </w:r>
      <w:r>
        <w:rPr>
          <w:spacing w:val="-45"/>
        </w:rPr>
        <w:t> </w:t>
      </w:r>
      <w:r>
        <w:rPr>
          <w:rFonts w:ascii="宋体" w:hAnsi="宋体" w:cs="宋体" w:eastAsia="宋体" w:hint="default"/>
        </w:rPr>
        <w:t>30</w:t>
      </w:r>
      <w:r>
        <w:rPr>
          <w:rFonts w:ascii="宋体" w:hAnsi="宋体" w:cs="宋体" w:eastAsia="宋体" w:hint="default"/>
          <w:spacing w:val="-47"/>
        </w:rPr>
        <w:t> </w:t>
      </w:r>
      <w:r>
        <w:rPr>
          <w:spacing w:val="-6"/>
        </w:rPr>
        <w:t>亿可转债），表</w:t>
      </w:r>
      <w:r>
        <w:rPr>
          <w:spacing w:val="-101"/>
        </w:rPr>
        <w:t> </w:t>
      </w:r>
      <w:r>
        <w:rPr>
          <w:spacing w:val="-101"/>
        </w:rPr>
      </w:r>
      <w:r>
        <w:rPr/>
        <w:t>现出良好的偿债能力和抗风险能力。</w:t>
      </w:r>
      <w:r>
        <w:rPr>
          <w:rFonts w:ascii="宋体" w:hAnsi="宋体" w:cs="宋体" w:eastAsia="宋体" w:hint="default"/>
        </w:rPr>
        <w:t> </w:t>
      </w:r>
    </w:p>
    <w:p>
      <w:pPr>
        <w:pStyle w:val="BodyText"/>
        <w:spacing w:line="273" w:lineRule="auto" w:before="7"/>
        <w:ind w:right="149" w:firstLine="420"/>
        <w:jc w:val="both"/>
        <w:rPr>
          <w:rFonts w:ascii="宋体" w:hAnsi="宋体" w:cs="宋体" w:eastAsia="宋体" w:hint="default"/>
        </w:rPr>
      </w:pPr>
      <w:r>
        <w:rPr>
          <w:spacing w:val="-2"/>
        </w:rPr>
        <w:t>报告期内，公司与国家进出口银行、新加坡星展银行就开发海外贸易项下融资开展合作，充分</w:t>
      </w:r>
      <w:r>
        <w:rPr>
          <w:spacing w:val="-3"/>
          <w:w w:val="100"/>
        </w:rPr>
        <w:t> </w:t>
      </w:r>
      <w:r>
        <w:rPr>
          <w:spacing w:val="-2"/>
        </w:rPr>
        <w:t>表明公司在国内和国际上良好的信誉和企业综合实力。稳健的财务状况及良好的信誉度使得公司与</w:t>
      </w:r>
      <w:r>
        <w:rPr>
          <w:spacing w:val="-26"/>
        </w:rPr>
        <w:t> </w:t>
      </w:r>
      <w:r>
        <w:rPr>
          <w:spacing w:val="-26"/>
        </w:rPr>
      </w:r>
      <w:r>
        <w:rPr/>
        <w:t>多家国有及商业银行建立了长期紧密的合作关系，</w:t>
      </w:r>
      <w:r>
        <w:rPr>
          <w:rFonts w:ascii="宋体" w:hAnsi="宋体" w:cs="宋体" w:eastAsia="宋体" w:hint="default"/>
        </w:rPr>
        <w:t>2019</w:t>
      </w:r>
      <w:r>
        <w:rPr>
          <w:rFonts w:ascii="宋体" w:hAnsi="宋体" w:cs="宋体" w:eastAsia="宋体" w:hint="default"/>
          <w:spacing w:val="-54"/>
        </w:rPr>
        <w:t> </w:t>
      </w:r>
      <w:r>
        <w:rPr/>
        <w:t>年度取得银行贷款授信总额度约</w:t>
      </w:r>
      <w:r>
        <w:rPr>
          <w:spacing w:val="-55"/>
        </w:rPr>
        <w:t> </w:t>
      </w:r>
      <w:r>
        <w:rPr>
          <w:rFonts w:ascii="宋体" w:hAnsi="宋体" w:cs="宋体" w:eastAsia="宋体" w:hint="default"/>
        </w:rPr>
        <w:t>70</w:t>
      </w:r>
      <w:r>
        <w:rPr>
          <w:rFonts w:ascii="宋体" w:hAnsi="宋体" w:cs="宋体" w:eastAsia="宋体" w:hint="default"/>
          <w:spacing w:val="-57"/>
        </w:rPr>
        <w:t> </w:t>
      </w:r>
      <w:r>
        <w:rPr/>
        <w:t>亿元，</w:t>
      </w:r>
      <w:r>
        <w:rPr>
          <w:w w:val="100"/>
        </w:rPr>
        <w:t> </w:t>
      </w:r>
      <w:r>
        <w:rPr/>
        <w:t>融资渠道畅通。</w:t>
      </w:r>
      <w:r>
        <w:rPr>
          <w:rFonts w:ascii="宋体" w:hAnsi="宋体" w:cs="宋体" w:eastAsia="宋体" w:hint="default"/>
        </w:rPr>
        <w:t> </w:t>
      </w:r>
    </w:p>
    <w:p>
      <w:pPr>
        <w:pStyle w:val="BodyText"/>
        <w:spacing w:line="273" w:lineRule="auto" w:before="7"/>
        <w:ind w:right="111" w:firstLine="420"/>
        <w:jc w:val="both"/>
      </w:pPr>
      <w:r>
        <w:rPr>
          <w:spacing w:val="-2"/>
        </w:rPr>
        <w:t>基于上市公司、行业地位等优势，公司相继完成两次非公开发行股票和一次公开发行可转换公</w:t>
      </w:r>
      <w:r>
        <w:rPr>
          <w:w w:val="100"/>
        </w:rPr>
        <w:t> </w:t>
      </w:r>
      <w:r>
        <w:rPr>
          <w:spacing w:val="-4"/>
        </w:rPr>
        <w:t>司债券，募集资金</w:t>
      </w:r>
      <w:r>
        <w:rPr>
          <w:spacing w:val="-46"/>
        </w:rPr>
        <w:t> </w:t>
      </w:r>
      <w:r>
        <w:rPr>
          <w:rFonts w:ascii="宋体" w:hAnsi="宋体" w:cs="宋体" w:eastAsia="宋体" w:hint="default"/>
        </w:rPr>
        <w:t>76</w:t>
      </w:r>
      <w:r>
        <w:rPr>
          <w:rFonts w:ascii="宋体" w:hAnsi="宋体" w:cs="宋体" w:eastAsia="宋体" w:hint="default"/>
          <w:spacing w:val="-48"/>
        </w:rPr>
        <w:t> </w:t>
      </w:r>
      <w:r>
        <w:rPr>
          <w:spacing w:val="-4"/>
        </w:rPr>
        <w:t>亿元人民币。截止</w:t>
      </w:r>
      <w:r>
        <w:rPr>
          <w:spacing w:val="-45"/>
        </w:rPr>
        <w:t> </w:t>
      </w:r>
      <w:r>
        <w:rPr>
          <w:rFonts w:ascii="宋体" w:hAnsi="宋体" w:cs="宋体" w:eastAsia="宋体" w:hint="default"/>
        </w:rPr>
        <w:t>2019</w:t>
      </w:r>
      <w:r>
        <w:rPr>
          <w:rFonts w:ascii="宋体" w:hAnsi="宋体" w:cs="宋体" w:eastAsia="宋体" w:hint="default"/>
          <w:spacing w:val="-48"/>
        </w:rPr>
        <w:t> </w:t>
      </w:r>
      <w:r>
        <w:rPr/>
        <w:t>年</w:t>
      </w:r>
      <w:r>
        <w:rPr>
          <w:spacing w:val="-46"/>
        </w:rPr>
        <w:t> </w:t>
      </w:r>
      <w:r>
        <w:rPr>
          <w:rFonts w:ascii="宋体" w:hAnsi="宋体" w:cs="宋体" w:eastAsia="宋体" w:hint="default"/>
        </w:rPr>
        <w:t>12</w:t>
      </w:r>
      <w:r>
        <w:rPr>
          <w:rFonts w:ascii="宋体" w:hAnsi="宋体" w:cs="宋体" w:eastAsia="宋体" w:hint="default"/>
          <w:spacing w:val="-48"/>
        </w:rPr>
        <w:t> </w:t>
      </w:r>
      <w:r>
        <w:rPr>
          <w:spacing w:val="-3"/>
        </w:rPr>
        <w:t>月底，公司总资产为</w:t>
      </w:r>
      <w:r>
        <w:rPr>
          <w:spacing w:val="-48"/>
        </w:rPr>
        <w:t> </w:t>
      </w:r>
      <w:r>
        <w:rPr>
          <w:rFonts w:ascii="宋体" w:hAnsi="宋体" w:cs="宋体" w:eastAsia="宋体" w:hint="default"/>
        </w:rPr>
        <w:t>175</w:t>
      </w:r>
      <w:r>
        <w:rPr>
          <w:rFonts w:ascii="宋体" w:hAnsi="宋体" w:cs="宋体" w:eastAsia="宋体" w:hint="default"/>
          <w:spacing w:val="-48"/>
        </w:rPr>
        <w:t> </w:t>
      </w:r>
      <w:r>
        <w:rPr>
          <w:spacing w:val="-3"/>
        </w:rPr>
        <w:t>亿元，归属于上市公司</w:t>
      </w:r>
    </w:p>
    <w:p>
      <w:pPr>
        <w:pStyle w:val="BodyText"/>
        <w:spacing w:line="240" w:lineRule="auto" w:before="7"/>
        <w:ind w:right="0"/>
        <w:jc w:val="both"/>
        <w:rPr>
          <w:rFonts w:ascii="宋体" w:hAnsi="宋体" w:cs="宋体" w:eastAsia="宋体" w:hint="default"/>
        </w:rPr>
      </w:pPr>
      <w:r>
        <w:rPr/>
        <w:t>股东的净资产为</w:t>
      </w:r>
      <w:r>
        <w:rPr>
          <w:spacing w:val="-53"/>
        </w:rPr>
        <w:t> </w:t>
      </w:r>
      <w:r>
        <w:rPr>
          <w:rFonts w:ascii="宋体" w:hAnsi="宋体" w:cs="宋体" w:eastAsia="宋体" w:hint="default"/>
        </w:rPr>
        <w:t>103</w:t>
      </w:r>
      <w:r>
        <w:rPr>
          <w:rFonts w:ascii="宋体" w:hAnsi="宋体" w:cs="宋体" w:eastAsia="宋体" w:hint="default"/>
          <w:spacing w:val="-55"/>
        </w:rPr>
        <w:t> </w:t>
      </w:r>
      <w:r>
        <w:rPr/>
        <w:t>亿元。</w:t>
      </w:r>
      <w:r>
        <w:rPr>
          <w:rFonts w:ascii="宋体" w:hAnsi="宋体" w:cs="宋体" w:eastAsia="宋体" w:hint="default"/>
        </w:rPr>
        <w:t> </w:t>
      </w:r>
    </w:p>
    <w:p>
      <w:pPr>
        <w:pStyle w:val="BodyText"/>
        <w:spacing w:line="240" w:lineRule="auto" w:before="37"/>
        <w:ind w:right="0"/>
        <w:jc w:val="both"/>
        <w:rPr>
          <w:rFonts w:ascii="宋体" w:hAnsi="宋体" w:cs="宋体" w:eastAsia="宋体" w:hint="default"/>
        </w:rPr>
      </w:pPr>
      <w:r>
        <w:rPr>
          <w:rFonts w:ascii="宋体"/>
          <w:w w:val="100"/>
        </w:rPr>
        <w:t> </w:t>
      </w:r>
    </w:p>
    <w:p>
      <w:pPr>
        <w:spacing w:after="0" w:line="240" w:lineRule="auto"/>
        <w:jc w:val="both"/>
        <w:rPr>
          <w:rFonts w:ascii="宋体" w:hAnsi="宋体" w:cs="宋体" w:eastAsia="宋体" w:hint="default"/>
        </w:rPr>
        <w:sectPr>
          <w:footerReference w:type="default" r:id="rId18"/>
          <w:pgSz w:w="11910" w:h="16840"/>
          <w:pgMar w:footer="974" w:header="748" w:top="1140" w:bottom="1160" w:left="1200" w:right="1300"/>
          <w:pgNumType w:start="21"/>
        </w:sectPr>
      </w:pPr>
    </w:p>
    <w:p>
      <w:pPr>
        <w:spacing w:line="240" w:lineRule="auto" w:before="4"/>
        <w:rPr>
          <w:rFonts w:ascii="宋体" w:hAnsi="宋体" w:cs="宋体" w:eastAsia="宋体" w:hint="default"/>
          <w:sz w:val="28"/>
          <w:szCs w:val="28"/>
        </w:rPr>
      </w:pPr>
    </w:p>
    <w:p>
      <w:pPr>
        <w:pStyle w:val="Heading1"/>
        <w:tabs>
          <w:tab w:pos="1259" w:val="left" w:leader="none"/>
        </w:tabs>
        <w:spacing w:line="240" w:lineRule="auto"/>
        <w:ind w:right="96"/>
        <w:jc w:val="center"/>
        <w:rPr>
          <w:rFonts w:ascii="黑体" w:hAnsi="黑体" w:cs="黑体" w:eastAsia="黑体" w:hint="default"/>
          <w:b w:val="0"/>
          <w:bCs w:val="0"/>
        </w:rPr>
      </w:pPr>
      <w:bookmarkStart w:name="_bookmark3" w:id="4"/>
      <w:bookmarkEnd w:id="4"/>
      <w:r>
        <w:rPr>
          <w:b w:val="0"/>
          <w:bCs w:val="0"/>
        </w:rPr>
      </w:r>
      <w:r>
        <w:rPr>
          <w:rFonts w:ascii="黑体" w:hAnsi="黑体" w:cs="黑体" w:eastAsia="黑体" w:hint="default"/>
          <w:w w:val="95"/>
        </w:rPr>
        <w:t>第四节</w:t>
      </w:r>
      <w:r>
        <w:rPr>
          <w:rFonts w:ascii="宋体" w:hAnsi="宋体" w:cs="宋体" w:eastAsia="宋体" w:hint="default"/>
          <w:w w:val="95"/>
        </w:rPr>
        <w:tab/>
      </w:r>
      <w:r>
        <w:rPr>
          <w:rFonts w:ascii="黑体" w:hAnsi="黑体" w:cs="黑体" w:eastAsia="黑体" w:hint="default"/>
        </w:rPr>
        <w:t>经营情况讨论与分析</w:t>
      </w:r>
      <w:r>
        <w:rPr>
          <w:rFonts w:ascii="黑体" w:hAnsi="黑体" w:cs="黑体" w:eastAsia="黑体" w:hint="default"/>
          <w:b w:val="0"/>
          <w:bCs w:val="0"/>
        </w:rPr>
      </w:r>
    </w:p>
    <w:p>
      <w:pPr>
        <w:spacing w:line="324" w:lineRule="auto" w:before="219"/>
        <w:ind w:left="638" w:right="198" w:hanging="420"/>
        <w:jc w:val="left"/>
        <w:rPr>
          <w:rFonts w:ascii="宋体" w:hAnsi="宋体" w:cs="宋体" w:eastAsia="宋体" w:hint="default"/>
          <w:sz w:val="21"/>
          <w:szCs w:val="21"/>
        </w:rPr>
      </w:pPr>
      <w:r>
        <w:rPr>
          <w:rFonts w:ascii="宋体" w:hAnsi="宋体" w:cs="宋体" w:eastAsia="宋体" w:hint="default"/>
          <w:b/>
          <w:bCs/>
          <w:sz w:val="21"/>
          <w:szCs w:val="21"/>
        </w:rPr>
        <w:t>一、经营情况讨论与分析</w:t>
      </w:r>
      <w:r>
        <w:rPr>
          <w:rFonts w:ascii="宋体" w:hAnsi="宋体" w:cs="宋体" w:eastAsia="宋体" w:hint="default"/>
          <w:b/>
          <w:bCs/>
          <w:spacing w:val="-103"/>
          <w:sz w:val="21"/>
          <w:szCs w:val="21"/>
        </w:rPr>
        <w:t> </w:t>
      </w:r>
      <w:r>
        <w:rPr>
          <w:rFonts w:ascii="宋体" w:hAnsi="宋体" w:cs="宋体" w:eastAsia="宋体" w:hint="default"/>
          <w:b/>
          <w:bCs/>
          <w:spacing w:val="-103"/>
          <w:sz w:val="21"/>
          <w:szCs w:val="21"/>
        </w:rPr>
      </w:r>
      <w:r>
        <w:rPr>
          <w:rFonts w:ascii="宋体" w:hAnsi="宋体" w:cs="宋体" w:eastAsia="宋体" w:hint="default"/>
          <w:spacing w:val="-2"/>
          <w:sz w:val="21"/>
          <w:szCs w:val="21"/>
        </w:rPr>
        <w:t>报告期内，公司围绕年初制定的各项目标，在董事会提出的“市场第一、客户至上”八字经营</w:t>
      </w:r>
    </w:p>
    <w:p>
      <w:pPr>
        <w:pStyle w:val="BodyText"/>
        <w:spacing w:line="239" w:lineRule="exact"/>
        <w:ind w:right="198"/>
        <w:jc w:val="left"/>
      </w:pPr>
      <w:r>
        <w:rPr/>
        <w:t>理念、“增强运营效率、全力降本增效”十二字方针指导下，准确把握行业政策和发展方向，继续</w:t>
      </w:r>
    </w:p>
    <w:p>
      <w:pPr>
        <w:pStyle w:val="BodyText"/>
        <w:spacing w:line="240" w:lineRule="auto" w:before="37"/>
        <w:ind w:right="198"/>
        <w:jc w:val="left"/>
      </w:pPr>
      <w:r>
        <w:rPr/>
        <w:t>推进“智能、节能、新能源”三大板块业务发展。公司实现营业收入</w:t>
      </w:r>
      <w:r>
        <w:rPr>
          <w:spacing w:val="-55"/>
        </w:rPr>
        <w:t> </w:t>
      </w:r>
      <w:r>
        <w:rPr>
          <w:rFonts w:ascii="宋体" w:hAnsi="宋体" w:cs="宋体" w:eastAsia="宋体" w:hint="default"/>
        </w:rPr>
        <w:t>33.59</w:t>
      </w:r>
      <w:r>
        <w:rPr>
          <w:rFonts w:ascii="宋体" w:hAnsi="宋体" w:cs="宋体" w:eastAsia="宋体" w:hint="default"/>
          <w:spacing w:val="-57"/>
        </w:rPr>
        <w:t> </w:t>
      </w:r>
      <w:r>
        <w:rPr/>
        <w:t>亿元，归属于上市公司</w:t>
      </w:r>
    </w:p>
    <w:p>
      <w:pPr>
        <w:pStyle w:val="BodyText"/>
        <w:spacing w:line="240" w:lineRule="auto" w:before="37"/>
        <w:ind w:right="198"/>
        <w:jc w:val="left"/>
        <w:rPr>
          <w:rFonts w:ascii="宋体" w:hAnsi="宋体" w:cs="宋体" w:eastAsia="宋体" w:hint="default"/>
        </w:rPr>
      </w:pPr>
      <w:r>
        <w:rPr/>
        <w:t>股东的净利润</w:t>
      </w:r>
      <w:r>
        <w:rPr>
          <w:spacing w:val="-54"/>
        </w:rPr>
        <w:t> </w:t>
      </w:r>
      <w:r>
        <w:rPr>
          <w:rFonts w:ascii="宋体" w:hAnsi="宋体" w:cs="宋体" w:eastAsia="宋体" w:hint="default"/>
        </w:rPr>
        <w:t>7.00</w:t>
      </w:r>
      <w:r>
        <w:rPr>
          <w:rFonts w:ascii="宋体" w:hAnsi="宋体" w:cs="宋体" w:eastAsia="宋体" w:hint="default"/>
          <w:spacing w:val="-56"/>
        </w:rPr>
        <w:t> </w:t>
      </w:r>
      <w:r>
        <w:rPr/>
        <w:t>亿元。</w:t>
      </w:r>
      <w:r>
        <w:rPr>
          <w:rFonts w:ascii="宋体" w:hAnsi="宋体" w:cs="宋体" w:eastAsia="宋体" w:hint="default"/>
        </w:rPr>
        <w:t> </w:t>
      </w:r>
    </w:p>
    <w:p>
      <w:pPr>
        <w:pStyle w:val="Heading3"/>
        <w:spacing w:line="273" w:lineRule="auto" w:before="37"/>
        <w:ind w:left="641" w:right="198" w:hanging="3"/>
        <w:jc w:val="left"/>
        <w:rPr>
          <w:b w:val="0"/>
          <w:bCs w:val="0"/>
        </w:rPr>
      </w:pPr>
      <w:r>
        <w:rPr>
          <w:rFonts w:ascii="宋体" w:hAnsi="宋体" w:cs="宋体" w:eastAsia="宋体" w:hint="default"/>
          <w:b w:val="0"/>
          <w:bCs w:val="0"/>
          <w:w w:val="100"/>
        </w:rPr>
        <w:t> </w:t>
      </w:r>
      <w:r>
        <w:rPr>
          <w:rFonts w:ascii="宋体" w:hAnsi="宋体" w:cs="宋体" w:eastAsia="宋体" w:hint="default"/>
          <w:w w:val="99"/>
        </w:rPr>
        <w:t>1</w:t>
      </w:r>
      <w:r>
        <w:rPr>
          <w:spacing w:val="-51"/>
          <w:w w:val="100"/>
        </w:rPr>
        <w:t>、</w:t>
      </w:r>
      <w:r>
        <w:rPr>
          <w:w w:val="100"/>
        </w:rPr>
        <w:t>智能配用电业务</w:t>
      </w:r>
      <w:r>
        <w:rPr>
          <w:spacing w:val="-3"/>
          <w:w w:val="100"/>
        </w:rPr>
        <w:t>稳</w:t>
      </w:r>
      <w:r>
        <w:rPr>
          <w:w w:val="100"/>
        </w:rPr>
        <w:t>健</w:t>
      </w:r>
      <w:r>
        <w:rPr>
          <w:spacing w:val="-3"/>
          <w:w w:val="100"/>
        </w:rPr>
        <w:t>发</w:t>
      </w:r>
      <w:r>
        <w:rPr>
          <w:w w:val="100"/>
        </w:rPr>
        <w:t>展</w:t>
      </w:r>
      <w:r>
        <w:rPr>
          <w:spacing w:val="-51"/>
          <w:w w:val="100"/>
        </w:rPr>
        <w:t>，</w:t>
      </w:r>
      <w:r>
        <w:rPr>
          <w:w w:val="100"/>
        </w:rPr>
        <w:t>积极布局在</w:t>
      </w:r>
      <w:r>
        <w:rPr>
          <w:spacing w:val="-3"/>
          <w:w w:val="100"/>
        </w:rPr>
        <w:t>电</w:t>
      </w:r>
      <w:r>
        <w:rPr>
          <w:w w:val="100"/>
        </w:rPr>
        <w:t>力物</w:t>
      </w:r>
      <w:r>
        <w:rPr>
          <w:spacing w:val="-3"/>
          <w:w w:val="100"/>
        </w:rPr>
        <w:t>联</w:t>
      </w:r>
      <w:r>
        <w:rPr>
          <w:w w:val="100"/>
        </w:rPr>
        <w:t>网场景下以新型智</w:t>
      </w:r>
      <w:r>
        <w:rPr>
          <w:spacing w:val="-3"/>
          <w:w w:val="100"/>
        </w:rPr>
        <w:t>能</w:t>
      </w:r>
      <w:r>
        <w:rPr>
          <w:w w:val="100"/>
        </w:rPr>
        <w:t>终</w:t>
      </w:r>
      <w:r>
        <w:rPr>
          <w:spacing w:val="-3"/>
          <w:w w:val="100"/>
        </w:rPr>
        <w:t>端</w:t>
      </w:r>
      <w:r>
        <w:rPr>
          <w:w w:val="100"/>
        </w:rPr>
        <w:t>为核心的智能配用</w:t>
      </w:r>
      <w:r>
        <w:rPr>
          <w:b w:val="0"/>
          <w:bCs w:val="0"/>
          <w:w w:val="100"/>
        </w:rPr>
      </w:r>
    </w:p>
    <w:p>
      <w:pPr>
        <w:pStyle w:val="BodyText"/>
        <w:spacing w:line="273" w:lineRule="auto" w:before="7"/>
        <w:ind w:left="638" w:right="198" w:hanging="420"/>
        <w:jc w:val="left"/>
      </w:pPr>
      <w:r>
        <w:rPr>
          <w:rFonts w:ascii="宋体" w:hAnsi="宋体" w:cs="宋体" w:eastAsia="宋体" w:hint="default"/>
          <w:b/>
          <w:bCs/>
        </w:rPr>
        <w:t>电整体解决方案</w:t>
      </w:r>
      <w:r>
        <w:rPr>
          <w:rFonts w:ascii="宋体" w:hAnsi="宋体" w:cs="宋体" w:eastAsia="宋体" w:hint="default"/>
          <w:b/>
          <w:bCs/>
          <w:w w:val="99"/>
        </w:rPr>
        <w:t> </w:t>
      </w:r>
      <w:r>
        <w:rPr>
          <w:spacing w:val="-2"/>
        </w:rPr>
        <w:t>报告期内，公司智能板块业务发挥自身优势，积极应对行业变化，顺利完成各项经营指标。国</w:t>
      </w:r>
    </w:p>
    <w:p>
      <w:pPr>
        <w:pStyle w:val="BodyText"/>
        <w:spacing w:line="240" w:lineRule="auto" w:before="7"/>
        <w:ind w:right="198"/>
        <w:jc w:val="left"/>
      </w:pPr>
      <w:r>
        <w:rPr/>
        <w:t>网智能电表和用电信息采集产品集中招标在</w:t>
      </w:r>
      <w:r>
        <w:rPr>
          <w:spacing w:val="-54"/>
        </w:rPr>
        <w:t> </w:t>
      </w:r>
      <w:r>
        <w:rPr>
          <w:rFonts w:ascii="宋体" w:hAnsi="宋体" w:cs="宋体" w:eastAsia="宋体" w:hint="default"/>
        </w:rPr>
        <w:t>2019</w:t>
      </w:r>
      <w:r>
        <w:rPr>
          <w:rFonts w:ascii="宋体" w:hAnsi="宋体" w:cs="宋体" w:eastAsia="宋体" w:hint="default"/>
          <w:spacing w:val="-56"/>
        </w:rPr>
        <w:t> </w:t>
      </w:r>
      <w:r>
        <w:rPr/>
        <w:t>年需求持续增长，公司在国网</w:t>
      </w:r>
      <w:r>
        <w:rPr>
          <w:spacing w:val="-54"/>
        </w:rPr>
        <w:t> </w:t>
      </w:r>
      <w:r>
        <w:rPr>
          <w:rFonts w:ascii="宋体" w:hAnsi="宋体" w:cs="宋体" w:eastAsia="宋体" w:hint="default"/>
        </w:rPr>
        <w:t>2019</w:t>
      </w:r>
      <w:r>
        <w:rPr>
          <w:rFonts w:ascii="宋体" w:hAnsi="宋体" w:cs="宋体" w:eastAsia="宋体" w:hint="default"/>
          <w:spacing w:val="-53"/>
        </w:rPr>
        <w:t> </w:t>
      </w:r>
      <w:r>
        <w:rPr/>
        <w:t>年进行的</w:t>
      </w:r>
      <w:r>
        <w:rPr>
          <w:spacing w:val="-54"/>
        </w:rPr>
        <w:t> </w:t>
      </w:r>
      <w:r>
        <w:rPr>
          <w:rFonts w:ascii="宋体" w:hAnsi="宋体" w:cs="宋体" w:eastAsia="宋体" w:hint="default"/>
        </w:rPr>
        <w:t>2</w:t>
      </w:r>
      <w:r>
        <w:rPr>
          <w:rFonts w:ascii="宋体" w:hAnsi="宋体" w:cs="宋体" w:eastAsia="宋体" w:hint="default"/>
          <w:spacing w:val="-56"/>
        </w:rPr>
        <w:t> </w:t>
      </w:r>
      <w:r>
        <w:rPr/>
        <w:t>次</w:t>
      </w:r>
    </w:p>
    <w:p>
      <w:pPr>
        <w:pStyle w:val="BodyText"/>
        <w:spacing w:line="240" w:lineRule="auto" w:before="37"/>
        <w:ind w:right="198"/>
        <w:jc w:val="left"/>
      </w:pPr>
      <w:r>
        <w:rPr>
          <w:spacing w:val="-3"/>
        </w:rPr>
        <w:t>电能表及用电信息采集设备招标中，合计中标金额约 </w:t>
      </w:r>
      <w:r>
        <w:rPr>
          <w:rFonts w:ascii="宋体" w:hAnsi="宋体" w:cs="宋体" w:eastAsia="宋体" w:hint="default"/>
        </w:rPr>
        <w:t>4.76</w:t>
      </w:r>
      <w:r>
        <w:rPr>
          <w:rFonts w:ascii="宋体" w:hAnsi="宋体" w:cs="宋体" w:eastAsia="宋体" w:hint="default"/>
          <w:spacing w:val="-36"/>
        </w:rPr>
        <w:t> </w:t>
      </w:r>
      <w:r>
        <w:rPr>
          <w:spacing w:val="-4"/>
        </w:rPr>
        <w:t>亿元；同时，在南网公司及相关各省公司</w:t>
      </w:r>
    </w:p>
    <w:p>
      <w:pPr>
        <w:pStyle w:val="BodyText"/>
        <w:spacing w:line="273" w:lineRule="auto" w:before="37"/>
        <w:ind w:right="198"/>
        <w:jc w:val="left"/>
        <w:rPr>
          <w:rFonts w:ascii="宋体" w:hAnsi="宋体" w:cs="宋体" w:eastAsia="宋体" w:hint="default"/>
        </w:rPr>
      </w:pPr>
      <w:r>
        <w:rPr>
          <w:spacing w:val="-3"/>
        </w:rPr>
        <w:t>年内组织的电能表和用电信息采集类产品框架招标中，合计中标金额约</w:t>
      </w:r>
      <w:r>
        <w:rPr>
          <w:spacing w:val="-36"/>
        </w:rPr>
        <w:t> </w:t>
      </w:r>
      <w:r>
        <w:rPr>
          <w:rFonts w:ascii="宋体" w:hAnsi="宋体" w:cs="宋体" w:eastAsia="宋体" w:hint="default"/>
        </w:rPr>
        <w:t>5.79</w:t>
      </w:r>
      <w:r>
        <w:rPr>
          <w:rFonts w:ascii="宋体" w:hAnsi="宋体" w:cs="宋体" w:eastAsia="宋体" w:hint="default"/>
          <w:spacing w:val="-39"/>
        </w:rPr>
        <w:t> </w:t>
      </w:r>
      <w:r>
        <w:rPr>
          <w:spacing w:val="-5"/>
        </w:rPr>
        <w:t>亿元，与去年同比实现</w:t>
      </w:r>
      <w:r>
        <w:rPr>
          <w:spacing w:val="-65"/>
        </w:rPr>
        <w:t> </w:t>
      </w:r>
      <w:r>
        <w:rPr>
          <w:spacing w:val="-65"/>
        </w:rPr>
      </w:r>
      <w:r>
        <w:rPr/>
        <w:t>大幅增长。同时，在国网公司各省公司组织的</w:t>
      </w:r>
      <w:r>
        <w:rPr>
          <w:spacing w:val="-55"/>
        </w:rPr>
        <w:t> </w:t>
      </w:r>
      <w:r>
        <w:rPr>
          <w:rFonts w:ascii="宋体" w:hAnsi="宋体" w:cs="宋体" w:eastAsia="宋体" w:hint="default"/>
        </w:rPr>
        <w:t>HPLC(</w:t>
      </w:r>
      <w:r>
        <w:rPr/>
        <w:t>高速宽带电力线载波）通信模块的招标中，公</w:t>
      </w:r>
      <w:r>
        <w:rPr>
          <w:w w:val="100"/>
        </w:rPr>
        <w:t> </w:t>
      </w:r>
      <w:r>
        <w:rPr>
          <w:spacing w:val="-2"/>
          <w:w w:val="100"/>
        </w:rPr>
        <w:t>司总计中标</w:t>
      </w:r>
      <w:r>
        <w:rPr>
          <w:w w:val="100"/>
        </w:rPr>
        <w:t> </w:t>
      </w:r>
      <w:r>
        <w:rPr>
          <w:rFonts w:ascii="宋体" w:hAnsi="宋体" w:cs="宋体" w:eastAsia="宋体" w:hint="default"/>
          <w:spacing w:val="-1"/>
          <w:w w:val="100"/>
        </w:rPr>
        <w:t>2.62</w:t>
      </w:r>
      <w:r>
        <w:rPr>
          <w:rFonts w:ascii="宋体" w:hAnsi="宋体" w:cs="宋体" w:eastAsia="宋体" w:hint="default"/>
          <w:spacing w:val="-77"/>
          <w:w w:val="100"/>
        </w:rPr>
        <w:t> </w:t>
      </w:r>
      <w:r>
        <w:rPr>
          <w:spacing w:val="-4"/>
          <w:w w:val="100"/>
        </w:rPr>
        <w:t>亿元，稳居行业前列。公司在国网、南网、地方电力中标数量及金额均名列前茅。</w:t>
      </w:r>
      <w:r>
        <w:rPr>
          <w:rFonts w:ascii="宋体" w:hAnsi="宋体" w:cs="宋体" w:eastAsia="宋体" w:hint="default"/>
          <w:w w:val="100"/>
        </w:rPr>
        <w:t> </w:t>
      </w:r>
    </w:p>
    <w:p>
      <w:pPr>
        <w:pStyle w:val="BodyText"/>
        <w:spacing w:line="273" w:lineRule="auto" w:before="7"/>
        <w:ind w:right="198" w:firstLine="420"/>
        <w:jc w:val="left"/>
      </w:pPr>
      <w:r>
        <w:rPr>
          <w:rFonts w:ascii="宋体" w:hAnsi="宋体" w:cs="宋体" w:eastAsia="宋体" w:hint="default"/>
        </w:rPr>
        <w:t>2019</w:t>
      </w:r>
      <w:r>
        <w:rPr>
          <w:rFonts w:ascii="宋体" w:hAnsi="宋体" w:cs="宋体" w:eastAsia="宋体" w:hint="default"/>
          <w:spacing w:val="-60"/>
        </w:rPr>
        <w:t> </w:t>
      </w:r>
      <w:r>
        <w:rPr/>
        <w:t>年，公司结合电网公司的数字化转型及能源互联网及电力物联网建设的深入推进，大力拓</w:t>
      </w:r>
      <w:r>
        <w:rPr>
          <w:w w:val="100"/>
        </w:rPr>
        <w:t> </w:t>
      </w:r>
      <w:r>
        <w:rPr/>
        <w:t>展电力物联网场景下的智能配用电新产品及相关解决方案，持续创新，不断探索新的发展机遇。在</w:t>
      </w:r>
      <w:r>
        <w:rPr>
          <w:w w:val="100"/>
        </w:rPr>
        <w:t> </w:t>
      </w:r>
      <w:r>
        <w:rPr>
          <w:spacing w:val="-3"/>
        </w:rPr>
        <w:t>国网及南网新一代智能电表及用电信息采集智能终端方面，公司进行了大量前瞻性研发及技术储备，</w:t>
      </w:r>
      <w:r>
        <w:rPr>
          <w:spacing w:val="-45"/>
        </w:rPr>
        <w:t> </w:t>
      </w:r>
      <w:r>
        <w:rPr>
          <w:spacing w:val="-45"/>
        </w:rPr>
      </w:r>
      <w:r>
        <w:rPr/>
        <w:t>在多芯模组化技术、自主可控的边缘计算操作系统、物联网安全架构、高速高可靠性双向通行、非</w:t>
      </w:r>
      <w:r>
        <w:rPr>
          <w:w w:val="100"/>
        </w:rPr>
        <w:t> </w:t>
      </w:r>
      <w:r>
        <w:rPr/>
        <w:t>介入式负荷辨识等领域具备了行业领先的自主核心技术。在新一代营配融合智能终端方面，公司基</w:t>
      </w:r>
      <w:r>
        <w:rPr>
          <w:w w:val="100"/>
        </w:rPr>
        <w:t> </w:t>
      </w:r>
      <w:r>
        <w:rPr/>
        <w:t>于国网芯开发了模块化、高安全性、功能可扩展的产品并打造了低压台区智能配用电物联网整体解</w:t>
      </w:r>
      <w:r>
        <w:rPr>
          <w:w w:val="100"/>
        </w:rPr>
        <w:t> </w:t>
      </w:r>
      <w:r>
        <w:rPr/>
        <w:t>决方案。同时，公司推出了包含新一代蓝牙智能断路器在内的全系列低压智能断路器产品，在国、</w:t>
      </w:r>
      <w:r>
        <w:rPr>
          <w:w w:val="100"/>
        </w:rPr>
        <w:t> </w:t>
      </w:r>
      <w:r>
        <w:rPr/>
        <w:t>南智组织的低压智能断路器的招标中公司累计已中标 </w:t>
      </w:r>
      <w:r>
        <w:rPr>
          <w:rFonts w:ascii="宋体" w:hAnsi="宋体" w:cs="宋体" w:eastAsia="宋体" w:hint="default"/>
        </w:rPr>
        <w:t>75.2</w:t>
      </w:r>
      <w:r>
        <w:rPr>
          <w:rFonts w:ascii="宋体" w:hAnsi="宋体" w:cs="宋体" w:eastAsia="宋体" w:hint="default"/>
          <w:spacing w:val="-71"/>
        </w:rPr>
        <w:t> </w:t>
      </w:r>
      <w:r>
        <w:rPr>
          <w:spacing w:val="-6"/>
        </w:rPr>
        <w:t>万台。在智能配电领域，公司中标云南电</w:t>
      </w:r>
    </w:p>
    <w:p>
      <w:pPr>
        <w:pStyle w:val="BodyText"/>
        <w:spacing w:line="273" w:lineRule="auto" w:before="7"/>
        <w:ind w:right="0"/>
        <w:jc w:val="left"/>
        <w:rPr>
          <w:rFonts w:ascii="宋体" w:hAnsi="宋体" w:cs="宋体" w:eastAsia="宋体" w:hint="default"/>
        </w:rPr>
      </w:pPr>
      <w:r>
        <w:rPr>
          <w:spacing w:val="-4"/>
        </w:rPr>
        <w:t>力公司配网线路架空性及电缆型特征远传故障指示器项目，报告期内签订合同总金额达到</w:t>
      </w:r>
      <w:r>
        <w:rPr>
          <w:spacing w:val="-18"/>
        </w:rPr>
        <w:t> </w:t>
      </w:r>
      <w:r>
        <w:rPr>
          <w:rFonts w:ascii="宋体" w:hAnsi="宋体" w:cs="宋体" w:eastAsia="宋体" w:hint="default"/>
        </w:rPr>
        <w:t>7590</w:t>
      </w:r>
      <w:r>
        <w:rPr>
          <w:rFonts w:ascii="宋体" w:hAnsi="宋体" w:cs="宋体" w:eastAsia="宋体" w:hint="default"/>
          <w:spacing w:val="-18"/>
        </w:rPr>
        <w:t> </w:t>
      </w:r>
      <w:r>
        <w:rPr>
          <w:spacing w:val="-3"/>
        </w:rPr>
        <w:t>万元。</w:t>
      </w:r>
      <w:r>
        <w:rPr>
          <w:spacing w:val="-90"/>
        </w:rPr>
        <w:t> </w:t>
      </w:r>
      <w:r>
        <w:rPr/>
        <w:t>同时公司正在研发新一代配电自动化终端及一二次融合智能配电产品，打造创新的智能配用电整体</w:t>
      </w:r>
      <w:r>
        <w:rPr>
          <w:w w:val="100"/>
        </w:rPr>
        <w:t> </w:t>
      </w:r>
      <w:r>
        <w:rPr/>
        <w:t>解决方案。</w:t>
      </w:r>
      <w:r>
        <w:rPr>
          <w:rFonts w:ascii="宋体" w:hAnsi="宋体" w:cs="宋体" w:eastAsia="宋体" w:hint="default"/>
        </w:rPr>
        <w:t> </w:t>
      </w:r>
    </w:p>
    <w:p>
      <w:pPr>
        <w:pStyle w:val="BodyText"/>
        <w:spacing w:line="273" w:lineRule="auto" w:before="7"/>
        <w:ind w:right="348" w:firstLine="420"/>
        <w:jc w:val="both"/>
      </w:pPr>
      <w:r>
        <w:rPr>
          <w:spacing w:val="-2"/>
        </w:rPr>
        <w:t>境外业务拓展方面，公司进一步深化和战略大客户瑞士兰吉尔集团的全面合作，在以欧洲市场</w:t>
      </w:r>
      <w:r>
        <w:rPr>
          <w:w w:val="100"/>
        </w:rPr>
        <w:t> </w:t>
      </w:r>
      <w:r>
        <w:rPr>
          <w:spacing w:val="-2"/>
        </w:rPr>
        <w:t>为核心的区域取得了一系列重大突破。同时，通过境外控股或参股子公司、办事处大力拓展重点区</w:t>
      </w:r>
      <w:r>
        <w:rPr>
          <w:spacing w:val="-25"/>
        </w:rPr>
        <w:t> </w:t>
      </w:r>
      <w:r>
        <w:rPr>
          <w:spacing w:val="-25"/>
        </w:rPr>
      </w:r>
      <w:r>
        <w:rPr>
          <w:spacing w:val="-2"/>
        </w:rPr>
        <w:t>域市场，如东欧及波罗的海地区、西亚、南部非洲、孟加拉、印尼等。在没有设子公司或办事处的</w:t>
      </w:r>
      <w:r>
        <w:rPr>
          <w:spacing w:val="-25"/>
        </w:rPr>
        <w:t> </w:t>
      </w:r>
      <w:r>
        <w:rPr>
          <w:spacing w:val="-25"/>
        </w:rPr>
      </w:r>
      <w:r>
        <w:rPr>
          <w:spacing w:val="-2"/>
        </w:rPr>
        <w:t>国家和区域性合作伙伴优势互补，共同开发当地市场，如沙特、韩国等。在报告期内，公司进一步</w:t>
      </w:r>
      <w:r>
        <w:rPr>
          <w:spacing w:val="-25"/>
        </w:rPr>
        <w:t> </w:t>
      </w:r>
      <w:r>
        <w:rPr>
          <w:spacing w:val="-25"/>
        </w:rPr>
      </w:r>
      <w:r>
        <w:rPr/>
        <w:t>加强了在沙特的市场地位，在沙特电力公司（</w:t>
      </w:r>
      <w:r>
        <w:rPr>
          <w:rFonts w:ascii="宋体" w:hAnsi="宋体" w:cs="宋体" w:eastAsia="宋体" w:hint="default"/>
        </w:rPr>
        <w:t>SEC</w:t>
      </w:r>
      <w:r>
        <w:rPr/>
        <w:t>）组织的</w:t>
      </w:r>
      <w:r>
        <w:rPr>
          <w:spacing w:val="-57"/>
        </w:rPr>
        <w:t> </w:t>
      </w:r>
      <w:r>
        <w:rPr>
          <w:rFonts w:ascii="宋体" w:hAnsi="宋体" w:cs="宋体" w:eastAsia="宋体" w:hint="default"/>
        </w:rPr>
        <w:t>1000</w:t>
      </w:r>
      <w:r>
        <w:rPr>
          <w:rFonts w:ascii="宋体" w:hAnsi="宋体" w:cs="宋体" w:eastAsia="宋体" w:hint="default"/>
          <w:spacing w:val="-58"/>
        </w:rPr>
        <w:t> </w:t>
      </w:r>
      <w:r>
        <w:rPr/>
        <w:t>万台智能电表部署项目中成为最主</w:t>
      </w:r>
    </w:p>
    <w:p>
      <w:pPr>
        <w:pStyle w:val="BodyText"/>
        <w:spacing w:line="273" w:lineRule="auto" w:before="7"/>
        <w:ind w:right="309"/>
        <w:jc w:val="left"/>
        <w:rPr>
          <w:rFonts w:ascii="宋体" w:hAnsi="宋体" w:cs="宋体" w:eastAsia="宋体" w:hint="default"/>
        </w:rPr>
      </w:pPr>
      <w:r>
        <w:rPr>
          <w:spacing w:val="-3"/>
        </w:rPr>
        <w:t>要的智能电表和通讯模块供应商之一，预计会为</w:t>
      </w:r>
      <w:r>
        <w:rPr>
          <w:spacing w:val="-25"/>
        </w:rPr>
        <w:t> </w:t>
      </w:r>
      <w:r>
        <w:rPr>
          <w:rFonts w:ascii="宋体" w:hAnsi="宋体" w:cs="宋体" w:eastAsia="宋体" w:hint="default"/>
        </w:rPr>
        <w:t>2020</w:t>
      </w:r>
      <w:r>
        <w:rPr>
          <w:rFonts w:ascii="宋体" w:hAnsi="宋体" w:cs="宋体" w:eastAsia="宋体" w:hint="default"/>
          <w:spacing w:val="-25"/>
        </w:rPr>
        <w:t> </w:t>
      </w:r>
      <w:r>
        <w:rPr>
          <w:spacing w:val="-4"/>
        </w:rPr>
        <w:t>年带来较大金额订单；在韩国和合作伙伴一起</w:t>
      </w:r>
      <w:r>
        <w:rPr>
          <w:spacing w:val="-93"/>
        </w:rPr>
        <w:t> </w:t>
      </w:r>
      <w:r>
        <w:rPr>
          <w:spacing w:val="-93"/>
        </w:rPr>
      </w:r>
      <w:r>
        <w:rPr>
          <w:spacing w:val="-2"/>
        </w:rPr>
        <w:t>成为了韩国电力（</w:t>
      </w:r>
      <w:r>
        <w:rPr>
          <w:rFonts w:ascii="宋体" w:hAnsi="宋体" w:cs="宋体" w:eastAsia="宋体" w:hint="default"/>
          <w:spacing w:val="-2"/>
        </w:rPr>
        <w:t>KEPCO</w:t>
      </w:r>
      <w:r>
        <w:rPr>
          <w:spacing w:val="-2"/>
        </w:rPr>
        <w:t>）的主要智能电表供应商；在香港和香港中华电力（</w:t>
      </w:r>
      <w:r>
        <w:rPr>
          <w:rFonts w:ascii="宋体" w:hAnsi="宋体" w:cs="宋体" w:eastAsia="宋体" w:hint="default"/>
          <w:spacing w:val="-2"/>
        </w:rPr>
        <w:t>CLP</w:t>
      </w:r>
      <w:r>
        <w:rPr>
          <w:spacing w:val="-2"/>
        </w:rPr>
        <w:t>）签订了为期三年</w:t>
      </w:r>
      <w:r>
        <w:rPr>
          <w:spacing w:val="-22"/>
        </w:rPr>
        <w:t> </w:t>
      </w:r>
      <w:r>
        <w:rPr>
          <w:spacing w:val="-22"/>
        </w:rPr>
      </w:r>
      <w:r>
        <w:rPr/>
        <w:t>的智能电表供货合同；林洋子公司</w:t>
      </w:r>
      <w:r>
        <w:rPr>
          <w:spacing w:val="-53"/>
        </w:rPr>
        <w:t> </w:t>
      </w:r>
      <w:r>
        <w:rPr>
          <w:rFonts w:ascii="宋体" w:hAnsi="宋体" w:cs="宋体" w:eastAsia="宋体" w:hint="default"/>
        </w:rPr>
        <w:t>Elgama</w:t>
      </w:r>
      <w:r>
        <w:rPr>
          <w:rFonts w:ascii="宋体" w:hAnsi="宋体" w:cs="宋体" w:eastAsia="宋体" w:hint="default"/>
          <w:spacing w:val="-54"/>
        </w:rPr>
        <w:t> </w:t>
      </w:r>
      <w:r>
        <w:rPr/>
        <w:t>在</w:t>
      </w:r>
      <w:r>
        <w:rPr>
          <w:spacing w:val="-56"/>
        </w:rPr>
        <w:t> </w:t>
      </w:r>
      <w:r>
        <w:rPr>
          <w:rFonts w:ascii="宋体" w:hAnsi="宋体" w:cs="宋体" w:eastAsia="宋体" w:hint="default"/>
        </w:rPr>
        <w:t>12</w:t>
      </w:r>
      <w:r>
        <w:rPr>
          <w:rFonts w:ascii="宋体" w:hAnsi="宋体" w:cs="宋体" w:eastAsia="宋体" w:hint="default"/>
          <w:spacing w:val="-54"/>
        </w:rPr>
        <w:t> </w:t>
      </w:r>
      <w:r>
        <w:rPr/>
        <w:t>月份中标波兰最大电力局</w:t>
      </w:r>
      <w:r>
        <w:rPr>
          <w:spacing w:val="-54"/>
        </w:rPr>
        <w:t> </w:t>
      </w:r>
      <w:r>
        <w:rPr>
          <w:rFonts w:ascii="宋体" w:hAnsi="宋体" w:cs="宋体" w:eastAsia="宋体" w:hint="default"/>
        </w:rPr>
        <w:t>PGE42</w:t>
      </w:r>
      <w:r>
        <w:rPr>
          <w:rFonts w:ascii="宋体" w:hAnsi="宋体" w:cs="宋体" w:eastAsia="宋体" w:hint="default"/>
          <w:spacing w:val="-54"/>
        </w:rPr>
        <w:t> </w:t>
      </w:r>
      <w:r>
        <w:rPr/>
        <w:t>万台</w:t>
      </w:r>
      <w:r>
        <w:rPr>
          <w:spacing w:val="-53"/>
        </w:rPr>
        <w:t> </w:t>
      </w:r>
      <w:r>
        <w:rPr>
          <w:rFonts w:ascii="宋体" w:hAnsi="宋体" w:cs="宋体" w:eastAsia="宋体" w:hint="default"/>
        </w:rPr>
        <w:t>TOU</w:t>
      </w:r>
      <w:r>
        <w:rPr>
          <w:rFonts w:ascii="宋体" w:hAnsi="宋体" w:cs="宋体" w:eastAsia="宋体" w:hint="default"/>
          <w:spacing w:val="-54"/>
        </w:rPr>
        <w:t> </w:t>
      </w:r>
      <w:r>
        <w:rPr/>
        <w:t>表项目，</w:t>
      </w:r>
      <w:r>
        <w:rPr>
          <w:w w:val="100"/>
        </w:rPr>
        <w:t> </w:t>
      </w:r>
      <w:r>
        <w:rPr>
          <w:spacing w:val="-3"/>
        </w:rPr>
        <w:t>在乌克兰赢得了基辅电力公司（</w:t>
      </w:r>
      <w:r>
        <w:rPr>
          <w:rFonts w:ascii="宋体" w:hAnsi="宋体" w:cs="宋体" w:eastAsia="宋体" w:hint="default"/>
          <w:spacing w:val="-3"/>
        </w:rPr>
        <w:t>DTEK</w:t>
      </w:r>
      <w:r>
        <w:rPr>
          <w:spacing w:val="-3"/>
        </w:rPr>
        <w:t>）首批</w:t>
      </w:r>
      <w:r>
        <w:rPr>
          <w:spacing w:val="-28"/>
        </w:rPr>
        <w:t> </w:t>
      </w:r>
      <w:r>
        <w:rPr>
          <w:rFonts w:ascii="宋体" w:hAnsi="宋体" w:cs="宋体" w:eastAsia="宋体" w:hint="default"/>
        </w:rPr>
        <w:t>28</w:t>
      </w:r>
      <w:r>
        <w:rPr>
          <w:rFonts w:ascii="宋体" w:hAnsi="宋体" w:cs="宋体" w:eastAsia="宋体" w:hint="default"/>
          <w:spacing w:val="-31"/>
        </w:rPr>
        <w:t> </w:t>
      </w:r>
      <w:r>
        <w:rPr>
          <w:spacing w:val="-3"/>
        </w:rPr>
        <w:t>万台智能电表合同；在孟加拉、尼日利亚等市场均取</w:t>
      </w:r>
      <w:r>
        <w:rPr>
          <w:spacing w:val="-95"/>
        </w:rPr>
        <w:t> </w:t>
      </w:r>
      <w:r>
        <w:rPr>
          <w:spacing w:val="-95"/>
        </w:rPr>
      </w:r>
      <w:r>
        <w:rPr/>
        <w:t>得了零的突破。同时，公司进一步拓展了基于</w:t>
      </w:r>
      <w:r>
        <w:rPr>
          <w:spacing w:val="-54"/>
        </w:rPr>
        <w:t> </w:t>
      </w:r>
      <w:r>
        <w:rPr>
          <w:rFonts w:ascii="宋体" w:hAnsi="宋体" w:cs="宋体" w:eastAsia="宋体" w:hint="default"/>
        </w:rPr>
        <w:t>IEC</w:t>
      </w:r>
      <w:r>
        <w:rPr>
          <w:rFonts w:ascii="宋体" w:hAnsi="宋体" w:cs="宋体" w:eastAsia="宋体" w:hint="default"/>
          <w:spacing w:val="-56"/>
        </w:rPr>
        <w:t> </w:t>
      </w:r>
      <w:r>
        <w:rPr/>
        <w:t>标准的智能电表、上下行通讯模块及</w:t>
      </w:r>
      <w:r>
        <w:rPr>
          <w:spacing w:val="-53"/>
        </w:rPr>
        <w:t> </w:t>
      </w:r>
      <w:r>
        <w:rPr>
          <w:rFonts w:ascii="宋体" w:hAnsi="宋体" w:cs="宋体" w:eastAsia="宋体" w:hint="default"/>
        </w:rPr>
        <w:t>AMI</w:t>
      </w:r>
      <w:r>
        <w:rPr/>
        <w:t>（先进</w:t>
      </w:r>
      <w:r>
        <w:rPr>
          <w:w w:val="100"/>
        </w:rPr>
        <w:t> </w:t>
      </w:r>
      <w:r>
        <w:rPr/>
        <w:t>计量系统架构）系统解决方案，涵盖了预付费</w:t>
      </w:r>
      <w:r>
        <w:rPr>
          <w:rFonts w:ascii="宋体" w:hAnsi="宋体" w:cs="宋体" w:eastAsia="宋体" w:hint="default"/>
        </w:rPr>
        <w:t>/</w:t>
      </w:r>
      <w:r>
        <w:rPr/>
        <w:t>后付费全系列产品，采用灵活可选配的基于</w:t>
      </w:r>
      <w:r>
        <w:rPr>
          <w:w w:val="100"/>
        </w:rPr>
        <w:t> </w:t>
      </w:r>
      <w:r>
        <w:rPr>
          <w:rFonts w:ascii="宋体" w:hAnsi="宋体" w:cs="宋体" w:eastAsia="宋体" w:hint="default"/>
        </w:rPr>
        <w:t>G3/PrimePLC</w:t>
      </w:r>
      <w:r>
        <w:rPr/>
        <w:t>、</w:t>
      </w:r>
      <w:r>
        <w:rPr>
          <w:rFonts w:ascii="宋体" w:hAnsi="宋体" w:cs="宋体" w:eastAsia="宋体" w:hint="default"/>
        </w:rPr>
        <w:t>2G/3G/4G/NB-IoT</w:t>
      </w:r>
      <w:r>
        <w:rPr>
          <w:rFonts w:ascii="宋体" w:hAnsi="宋体" w:cs="宋体" w:eastAsia="宋体" w:hint="default"/>
          <w:spacing w:val="-58"/>
        </w:rPr>
        <w:t> </w:t>
      </w:r>
      <w:r>
        <w:rPr/>
        <w:t>蜂窝无线通信、</w:t>
      </w:r>
      <w:r>
        <w:rPr>
          <w:rFonts w:ascii="宋体" w:hAnsi="宋体" w:cs="宋体" w:eastAsia="宋体" w:hint="default"/>
        </w:rPr>
        <w:t>LoRA/Wi-SUN</w:t>
      </w:r>
      <w:r>
        <w:rPr>
          <w:rFonts w:ascii="宋体" w:hAnsi="宋体" w:cs="宋体" w:eastAsia="宋体" w:hint="default"/>
          <w:spacing w:val="-58"/>
        </w:rPr>
        <w:t> </w:t>
      </w:r>
      <w:r>
        <w:rPr/>
        <w:t>无线通信等各类通信技术，全系列产</w:t>
      </w:r>
      <w:r>
        <w:rPr>
          <w:w w:val="100"/>
        </w:rPr>
        <w:t> </w:t>
      </w:r>
      <w:r>
        <w:rPr/>
        <w:t>品均提供了欧洲权威机构的</w:t>
      </w:r>
      <w:r>
        <w:rPr>
          <w:spacing w:val="-55"/>
        </w:rPr>
        <w:t> </w:t>
      </w:r>
      <w:r>
        <w:rPr>
          <w:rFonts w:ascii="宋体" w:hAnsi="宋体" w:cs="宋体" w:eastAsia="宋体" w:hint="default"/>
        </w:rPr>
        <w:t>IDIS</w:t>
      </w:r>
      <w:r>
        <w:rPr>
          <w:rFonts w:ascii="宋体" w:hAnsi="宋体" w:cs="宋体" w:eastAsia="宋体" w:hint="default"/>
          <w:spacing w:val="-55"/>
        </w:rPr>
        <w:t> </w:t>
      </w:r>
      <w:r>
        <w:rPr/>
        <w:t>互操作性认证。报告期内，公司实现境外销售</w:t>
      </w:r>
      <w:r>
        <w:rPr>
          <w:spacing w:val="-55"/>
        </w:rPr>
        <w:t> </w:t>
      </w:r>
      <w:r>
        <w:rPr>
          <w:rFonts w:ascii="宋体" w:hAnsi="宋体" w:cs="宋体" w:eastAsia="宋体" w:hint="default"/>
        </w:rPr>
        <w:t>4367</w:t>
      </w:r>
      <w:r>
        <w:rPr>
          <w:rFonts w:ascii="宋体" w:hAnsi="宋体" w:cs="宋体" w:eastAsia="宋体" w:hint="default"/>
          <w:spacing w:val="-54"/>
        </w:rPr>
        <w:t> </w:t>
      </w:r>
      <w:r>
        <w:rPr/>
        <w:t>万美元；目前</w:t>
      </w:r>
      <w:r>
        <w:rPr>
          <w:w w:val="100"/>
        </w:rPr>
        <w:t> </w:t>
      </w:r>
      <w:r>
        <w:rPr/>
        <w:t>在手订单达</w:t>
      </w:r>
      <w:r>
        <w:rPr>
          <w:spacing w:val="-57"/>
        </w:rPr>
        <w:t> </w:t>
      </w:r>
      <w:r>
        <w:rPr>
          <w:rFonts w:ascii="宋体" w:hAnsi="宋体" w:cs="宋体" w:eastAsia="宋体" w:hint="default"/>
        </w:rPr>
        <w:t>6500</w:t>
      </w:r>
      <w:r>
        <w:rPr>
          <w:rFonts w:ascii="宋体" w:hAnsi="宋体" w:cs="宋体" w:eastAsia="宋体" w:hint="default"/>
          <w:spacing w:val="-57"/>
        </w:rPr>
        <w:t> </w:t>
      </w:r>
      <w:r>
        <w:rPr/>
        <w:t>万美元（不含中电装备沙特项目）。</w:t>
      </w:r>
      <w:r>
        <w:rPr>
          <w:rFonts w:ascii="宋体" w:hAnsi="宋体" w:cs="宋体" w:eastAsia="宋体" w:hint="default"/>
        </w:rPr>
        <w:t> </w:t>
      </w:r>
    </w:p>
    <w:p>
      <w:pPr>
        <w:pStyle w:val="BodyText"/>
        <w:spacing w:line="240" w:lineRule="auto" w:before="7"/>
        <w:ind w:left="638" w:right="0"/>
        <w:jc w:val="left"/>
        <w:rPr>
          <w:rFonts w:ascii="宋体" w:hAnsi="宋体" w:cs="宋体" w:eastAsia="宋体" w:hint="default"/>
        </w:rPr>
      </w:pPr>
      <w:r>
        <w:rPr>
          <w:rFonts w:ascii="宋体"/>
          <w:w w:val="100"/>
        </w:rPr>
        <w:t> </w:t>
      </w:r>
    </w:p>
    <w:p>
      <w:pPr>
        <w:pStyle w:val="Heading3"/>
        <w:spacing w:line="240" w:lineRule="auto" w:before="37"/>
        <w:ind w:left="641" w:right="198"/>
        <w:jc w:val="left"/>
        <w:rPr>
          <w:rFonts w:ascii="宋体" w:hAnsi="宋体" w:cs="宋体" w:eastAsia="宋体" w:hint="default"/>
          <w:b w:val="0"/>
          <w:bCs w:val="0"/>
        </w:rPr>
      </w:pPr>
      <w:r>
        <w:rPr>
          <w:rFonts w:ascii="宋体" w:hAnsi="宋体" w:cs="宋体" w:eastAsia="宋体" w:hint="default"/>
        </w:rPr>
        <w:t>2</w:t>
      </w:r>
      <w:r>
        <w:rPr/>
        <w:t>、光伏电站运营效益凸显，加快央企合作布局，</w:t>
      </w:r>
      <w:r>
        <w:rPr>
          <w:rFonts w:ascii="宋体" w:hAnsi="宋体" w:cs="宋体" w:eastAsia="宋体" w:hint="default"/>
        </w:rPr>
        <w:t>EPC</w:t>
      </w:r>
      <w:r>
        <w:rPr>
          <w:rFonts w:ascii="宋体" w:hAnsi="宋体" w:cs="宋体" w:eastAsia="宋体" w:hint="default"/>
          <w:spacing w:val="-54"/>
        </w:rPr>
        <w:t> </w:t>
      </w:r>
      <w:r>
        <w:rPr/>
        <w:t>系统集成业务取得重大突破</w:t>
      </w:r>
      <w:r>
        <w:rPr>
          <w:rFonts w:ascii="宋体" w:hAnsi="宋体" w:cs="宋体" w:eastAsia="宋体" w:hint="default"/>
          <w:w w:val="99"/>
        </w:rPr>
        <w:t> </w:t>
      </w:r>
      <w:r>
        <w:rPr>
          <w:rFonts w:ascii="宋体" w:hAnsi="宋体" w:cs="宋体" w:eastAsia="宋体" w:hint="default"/>
          <w:b w:val="0"/>
          <w:bCs w:val="0"/>
        </w:rPr>
      </w:r>
    </w:p>
    <w:p>
      <w:pPr>
        <w:spacing w:after="0" w:line="240" w:lineRule="auto"/>
        <w:jc w:val="left"/>
        <w:rPr>
          <w:rFonts w:ascii="宋体" w:hAnsi="宋体" w:cs="宋体" w:eastAsia="宋体" w:hint="default"/>
        </w:rPr>
        <w:sectPr>
          <w:pgSz w:w="11910" w:h="16840"/>
          <w:pgMar w:header="748" w:footer="974" w:top="1140" w:bottom="1160" w:left="1200" w:right="1100"/>
        </w:sectPr>
      </w:pPr>
    </w:p>
    <w:p>
      <w:pPr>
        <w:spacing w:line="240" w:lineRule="auto" w:before="2"/>
        <w:rPr>
          <w:rFonts w:ascii="宋体" w:hAnsi="宋体" w:cs="宋体" w:eastAsia="宋体" w:hint="default"/>
          <w:b/>
          <w:bCs/>
          <w:sz w:val="19"/>
          <w:szCs w:val="19"/>
        </w:rPr>
      </w:pPr>
    </w:p>
    <w:p>
      <w:pPr>
        <w:pStyle w:val="BodyText"/>
        <w:spacing w:line="240" w:lineRule="auto" w:before="36"/>
        <w:ind w:left="638" w:right="0"/>
        <w:jc w:val="left"/>
        <w:rPr>
          <w:rFonts w:ascii="宋体" w:hAnsi="宋体" w:cs="宋体" w:eastAsia="宋体" w:hint="default"/>
        </w:rPr>
      </w:pPr>
      <w:r>
        <w:rPr>
          <w:spacing w:val="-2"/>
        </w:rPr>
        <w:t>报告期内，公司新能源板块业务充分发挥自身优势，积极应对行业变化，实现销售收入</w:t>
      </w:r>
      <w:r>
        <w:rPr>
          <w:spacing w:val="23"/>
        </w:rPr>
        <w:t> </w:t>
      </w:r>
      <w:r>
        <w:rPr>
          <w:rFonts w:ascii="宋体" w:hAnsi="宋体" w:cs="宋体" w:eastAsia="宋体" w:hint="default"/>
          <w:spacing w:val="-1"/>
        </w:rPr>
        <w:t>15.17</w:t>
      </w:r>
    </w:p>
    <w:p>
      <w:pPr>
        <w:pStyle w:val="BodyText"/>
        <w:spacing w:line="273" w:lineRule="auto" w:before="37"/>
        <w:ind w:right="0"/>
        <w:jc w:val="left"/>
        <w:rPr>
          <w:rFonts w:ascii="宋体" w:hAnsi="宋体" w:cs="宋体" w:eastAsia="宋体" w:hint="default"/>
        </w:rPr>
      </w:pPr>
      <w:r>
        <w:rPr/>
        <w:t>亿元，其中电费收入</w:t>
      </w:r>
      <w:r>
        <w:rPr>
          <w:spacing w:val="-55"/>
        </w:rPr>
        <w:t> </w:t>
      </w:r>
      <w:r>
        <w:rPr>
          <w:rFonts w:ascii="宋体" w:hAnsi="宋体" w:cs="宋体" w:eastAsia="宋体" w:hint="default"/>
        </w:rPr>
        <w:t>14.36</w:t>
      </w:r>
      <w:r>
        <w:rPr>
          <w:rFonts w:ascii="宋体" w:hAnsi="宋体" w:cs="宋体" w:eastAsia="宋体" w:hint="default"/>
          <w:spacing w:val="-54"/>
        </w:rPr>
        <w:t> </w:t>
      </w:r>
      <w:r>
        <w:rPr/>
        <w:t>亿元，同比增长</w:t>
      </w:r>
      <w:r>
        <w:rPr>
          <w:spacing w:val="-55"/>
        </w:rPr>
        <w:t> </w:t>
      </w:r>
      <w:r>
        <w:rPr>
          <w:rFonts w:ascii="宋体" w:hAnsi="宋体" w:cs="宋体" w:eastAsia="宋体" w:hint="default"/>
        </w:rPr>
        <w:t>8.03%</w:t>
      </w:r>
      <w:r>
        <w:rPr/>
        <w:t>。截至</w:t>
      </w:r>
      <w:r>
        <w:rPr>
          <w:spacing w:val="-54"/>
        </w:rPr>
        <w:t> </w:t>
      </w:r>
      <w:r>
        <w:rPr>
          <w:rFonts w:ascii="宋体" w:hAnsi="宋体" w:cs="宋体" w:eastAsia="宋体" w:hint="default"/>
        </w:rPr>
        <w:t>2019</w:t>
      </w:r>
      <w:r>
        <w:rPr>
          <w:rFonts w:ascii="宋体" w:hAnsi="宋体" w:cs="宋体" w:eastAsia="宋体" w:hint="default"/>
          <w:spacing w:val="-57"/>
        </w:rPr>
        <w:t> </w:t>
      </w:r>
      <w:r>
        <w:rPr/>
        <w:t>年</w:t>
      </w:r>
      <w:r>
        <w:rPr>
          <w:spacing w:val="-55"/>
        </w:rPr>
        <w:t> </w:t>
      </w:r>
      <w:r>
        <w:rPr>
          <w:rFonts w:ascii="宋体" w:hAnsi="宋体" w:cs="宋体" w:eastAsia="宋体" w:hint="default"/>
        </w:rPr>
        <w:t>12</w:t>
      </w:r>
      <w:r>
        <w:rPr>
          <w:rFonts w:ascii="宋体" w:hAnsi="宋体" w:cs="宋体" w:eastAsia="宋体" w:hint="default"/>
          <w:spacing w:val="-57"/>
        </w:rPr>
        <w:t> </w:t>
      </w:r>
      <w:r>
        <w:rPr/>
        <w:t>月</w:t>
      </w:r>
      <w:r>
        <w:rPr>
          <w:spacing w:val="-55"/>
        </w:rPr>
        <w:t> </w:t>
      </w:r>
      <w:r>
        <w:rPr>
          <w:rFonts w:ascii="宋体" w:hAnsi="宋体" w:cs="宋体" w:eastAsia="宋体" w:hint="default"/>
        </w:rPr>
        <w:t>31</w:t>
      </w:r>
      <w:r>
        <w:rPr>
          <w:rFonts w:ascii="宋体" w:hAnsi="宋体" w:cs="宋体" w:eastAsia="宋体" w:hint="default"/>
          <w:spacing w:val="-55"/>
        </w:rPr>
        <w:t> </w:t>
      </w:r>
      <w:r>
        <w:rPr/>
        <w:t>日，公司开发建设已并网</w:t>
      </w:r>
      <w:r>
        <w:rPr>
          <w:w w:val="100"/>
        </w:rPr>
        <w:t> </w:t>
      </w:r>
      <w:r>
        <w:rPr/>
        <w:t>运行的各类光伏电站装机容量约</w:t>
      </w:r>
      <w:r>
        <w:rPr>
          <w:spacing w:val="-56"/>
        </w:rPr>
        <w:t> </w:t>
      </w:r>
      <w:r>
        <w:rPr>
          <w:rFonts w:ascii="宋体" w:hAnsi="宋体" w:cs="宋体" w:eastAsia="宋体" w:hint="default"/>
        </w:rPr>
        <w:t>1.5GW</w:t>
      </w:r>
      <w:r>
        <w:rPr/>
        <w:t>。为进一步巩固在分布式光伏电站的领先地位，公司积极储</w:t>
      </w:r>
      <w:r>
        <w:rPr>
          <w:w w:val="100"/>
        </w:rPr>
        <w:t> </w:t>
      </w:r>
      <w:r>
        <w:rPr>
          <w:spacing w:val="-2"/>
        </w:rPr>
        <w:t>备平价上网后的各类分布式电站资源，且在手储备项目约</w:t>
      </w:r>
      <w:r>
        <w:rPr>
          <w:spacing w:val="-1"/>
        </w:rPr>
        <w:t> </w:t>
      </w:r>
      <w:r>
        <w:rPr>
          <w:rFonts w:ascii="宋体" w:hAnsi="宋体" w:cs="宋体" w:eastAsia="宋体" w:hint="default"/>
          <w:spacing w:val="-2"/>
        </w:rPr>
        <w:t>2GW</w:t>
      </w:r>
      <w:r>
        <w:rPr>
          <w:spacing w:val="-2"/>
        </w:rPr>
        <w:t>。</w:t>
      </w:r>
      <w:r>
        <w:rPr>
          <w:rFonts w:ascii="宋体" w:hAnsi="宋体" w:cs="宋体" w:eastAsia="宋体" w:hint="default"/>
        </w:rPr>
        <w:t> </w:t>
      </w:r>
    </w:p>
    <w:p>
      <w:pPr>
        <w:pStyle w:val="BodyText"/>
        <w:spacing w:line="273" w:lineRule="auto" w:before="7"/>
        <w:ind w:right="209" w:firstLine="420"/>
        <w:jc w:val="both"/>
        <w:rPr>
          <w:rFonts w:ascii="宋体" w:hAnsi="宋体" w:cs="宋体" w:eastAsia="宋体" w:hint="default"/>
        </w:rPr>
      </w:pPr>
      <w:r>
        <w:rPr/>
        <w:t>报告期内，公司自主研发的</w:t>
      </w:r>
      <w:r>
        <w:rPr>
          <w:spacing w:val="-55"/>
        </w:rPr>
        <w:t> </w:t>
      </w:r>
      <w:r>
        <w:rPr>
          <w:rFonts w:ascii="宋体" w:hAnsi="宋体" w:cs="宋体" w:eastAsia="宋体" w:hint="default"/>
        </w:rPr>
        <w:t>400MW</w:t>
      </w:r>
      <w:r>
        <w:rPr>
          <w:rFonts w:ascii="宋体" w:hAnsi="宋体" w:cs="宋体" w:eastAsia="宋体" w:hint="default"/>
          <w:spacing w:val="-17"/>
        </w:rPr>
        <w:t> </w:t>
      </w:r>
      <w:r>
        <w:rPr>
          <w:rFonts w:ascii="宋体" w:hAnsi="宋体" w:cs="宋体" w:eastAsia="宋体" w:hint="default"/>
        </w:rPr>
        <w:t>N</w:t>
      </w:r>
      <w:r>
        <w:rPr>
          <w:rFonts w:ascii="宋体" w:hAnsi="宋体" w:cs="宋体" w:eastAsia="宋体" w:hint="default"/>
          <w:spacing w:val="-55"/>
        </w:rPr>
        <w:t> </w:t>
      </w:r>
      <w:r>
        <w:rPr/>
        <w:t>型高效双面单晶电池、组件已实现量产，</w:t>
      </w:r>
      <w:r>
        <w:rPr>
          <w:rFonts w:ascii="宋体" w:hAnsi="宋体" w:cs="宋体" w:eastAsia="宋体" w:hint="default"/>
        </w:rPr>
        <w:t>2019</w:t>
      </w:r>
      <w:r>
        <w:rPr>
          <w:rFonts w:ascii="宋体" w:hAnsi="宋体" w:cs="宋体" w:eastAsia="宋体" w:hint="default"/>
          <w:spacing w:val="-54"/>
        </w:rPr>
        <w:t> </w:t>
      </w:r>
      <w:r>
        <w:rPr/>
        <w:t>年引进并打</w:t>
      </w:r>
      <w:r>
        <w:rPr>
          <w:w w:val="100"/>
        </w:rPr>
        <w:t> </w:t>
      </w:r>
      <w:r>
        <w:rPr/>
        <w:t>通了</w:t>
      </w:r>
      <w:r>
        <w:rPr>
          <w:spacing w:val="-55"/>
        </w:rPr>
        <w:t> </w:t>
      </w:r>
      <w:r>
        <w:rPr>
          <w:rFonts w:ascii="宋体" w:hAnsi="宋体" w:cs="宋体" w:eastAsia="宋体" w:hint="default"/>
        </w:rPr>
        <w:t>N</w:t>
      </w:r>
      <w:r>
        <w:rPr>
          <w:rFonts w:ascii="宋体" w:hAnsi="宋体" w:cs="宋体" w:eastAsia="宋体" w:hint="default"/>
          <w:spacing w:val="-57"/>
        </w:rPr>
        <w:t> </w:t>
      </w:r>
      <w:r>
        <w:rPr/>
        <w:t>型</w:t>
      </w:r>
      <w:r>
        <w:rPr>
          <w:spacing w:val="-55"/>
        </w:rPr>
        <w:t> </w:t>
      </w:r>
      <w:r>
        <w:rPr>
          <w:rFonts w:ascii="宋体" w:hAnsi="宋体" w:cs="宋体" w:eastAsia="宋体" w:hint="default"/>
        </w:rPr>
        <w:t>TOPCON</w:t>
      </w:r>
      <w:r>
        <w:rPr>
          <w:rFonts w:ascii="宋体" w:hAnsi="宋体" w:cs="宋体" w:eastAsia="宋体" w:hint="default"/>
          <w:spacing w:val="-55"/>
        </w:rPr>
        <w:t> </w:t>
      </w:r>
      <w:r>
        <w:rPr/>
        <w:t>技术路线，实现量产效率</w:t>
      </w:r>
      <w:r>
        <w:rPr>
          <w:spacing w:val="-55"/>
        </w:rPr>
        <w:t> </w:t>
      </w:r>
      <w:r>
        <w:rPr>
          <w:rFonts w:ascii="宋体" w:hAnsi="宋体" w:cs="宋体" w:eastAsia="宋体" w:hint="default"/>
        </w:rPr>
        <w:t>23.1%</w:t>
      </w:r>
      <w:r>
        <w:rPr/>
        <w:t>，研发最高效率</w:t>
      </w:r>
      <w:r>
        <w:rPr>
          <w:spacing w:val="-55"/>
        </w:rPr>
        <w:t> </w:t>
      </w:r>
      <w:r>
        <w:rPr>
          <w:rFonts w:ascii="宋体" w:hAnsi="宋体" w:cs="宋体" w:eastAsia="宋体" w:hint="default"/>
        </w:rPr>
        <w:t>23.6%</w:t>
      </w:r>
      <w:r>
        <w:rPr/>
        <w:t>，为全线技术升级以及产能</w:t>
      </w:r>
      <w:r>
        <w:rPr>
          <w:w w:val="100"/>
        </w:rPr>
        <w:t> </w:t>
      </w:r>
      <w:r>
        <w:rPr/>
        <w:t>扩张打下基础。公司产品已分别进入中广核、中电建、大唐等央企国企及法国</w:t>
      </w:r>
      <w:r>
        <w:rPr>
          <w:spacing w:val="-55"/>
        </w:rPr>
        <w:t> </w:t>
      </w:r>
      <w:r>
        <w:rPr>
          <w:rFonts w:ascii="宋体" w:hAnsi="宋体" w:cs="宋体" w:eastAsia="宋体" w:hint="default"/>
        </w:rPr>
        <w:t>ENGIE</w:t>
      </w:r>
      <w:r>
        <w:rPr>
          <w:rFonts w:ascii="宋体" w:hAnsi="宋体" w:cs="宋体" w:eastAsia="宋体" w:hint="default"/>
          <w:spacing w:val="-54"/>
        </w:rPr>
        <w:t> </w:t>
      </w:r>
      <w:r>
        <w:rPr/>
        <w:t>公司、新加坡</w:t>
      </w:r>
      <w:r>
        <w:rPr>
          <w:w w:val="100"/>
        </w:rPr>
        <w:t> </w:t>
      </w:r>
      <w:r>
        <w:rPr>
          <w:rFonts w:ascii="宋体" w:hAnsi="宋体" w:cs="宋体" w:eastAsia="宋体" w:hint="default"/>
        </w:rPr>
        <w:t>SUNSEAP</w:t>
      </w:r>
      <w:r>
        <w:rPr>
          <w:rFonts w:ascii="宋体" w:hAnsi="宋体" w:cs="宋体" w:eastAsia="宋体" w:hint="default"/>
          <w:spacing w:val="-55"/>
        </w:rPr>
        <w:t> </w:t>
      </w:r>
      <w:r>
        <w:rPr/>
        <w:t>等合格供方名录。</w:t>
      </w:r>
      <w:r>
        <w:rPr>
          <w:rFonts w:ascii="宋体" w:hAnsi="宋体" w:cs="宋体" w:eastAsia="宋体" w:hint="default"/>
        </w:rPr>
        <w:t> </w:t>
      </w:r>
    </w:p>
    <w:p>
      <w:pPr>
        <w:pStyle w:val="BodyText"/>
        <w:spacing w:line="273" w:lineRule="auto" w:before="7"/>
        <w:ind w:right="206" w:firstLine="420"/>
        <w:jc w:val="left"/>
      </w:pPr>
      <w:r>
        <w:rPr>
          <w:spacing w:val="-2"/>
        </w:rPr>
        <w:t>在自主开发建设运营电站的同时，公司先后与中广核、中电建、中能建、中国通建、大唐、华</w:t>
      </w:r>
      <w:r>
        <w:rPr>
          <w:w w:val="100"/>
        </w:rPr>
        <w:t> </w:t>
      </w:r>
      <w:r>
        <w:rPr/>
        <w:t>为及国网电商等国企央企形成战略合作关系，推进国内光伏</w:t>
      </w:r>
      <w:r>
        <w:rPr>
          <w:spacing w:val="-55"/>
        </w:rPr>
        <w:t> </w:t>
      </w:r>
      <w:r>
        <w:rPr>
          <w:rFonts w:ascii="宋体" w:hAnsi="宋体" w:cs="宋体" w:eastAsia="宋体" w:hint="default"/>
        </w:rPr>
        <w:t>EPC</w:t>
      </w:r>
      <w:r>
        <w:rPr>
          <w:rFonts w:ascii="宋体" w:hAnsi="宋体" w:cs="宋体" w:eastAsia="宋体" w:hint="default"/>
          <w:spacing w:val="-55"/>
        </w:rPr>
        <w:t> </w:t>
      </w:r>
      <w:r>
        <w:rPr/>
        <w:t>及海外光伏业务的紧密合作关系，</w:t>
      </w:r>
      <w:r>
        <w:rPr>
          <w:w w:val="100"/>
        </w:rPr>
        <w:t> </w:t>
      </w:r>
      <w:r>
        <w:rPr/>
        <w:t>积极拓展新的商业模式和盈利模式。</w:t>
      </w:r>
      <w:r>
        <w:rPr>
          <w:rFonts w:ascii="宋体" w:hAnsi="宋体" w:cs="宋体" w:eastAsia="宋体" w:hint="default"/>
        </w:rPr>
        <w:t>2019</w:t>
      </w:r>
      <w:r>
        <w:rPr>
          <w:rFonts w:ascii="宋体" w:hAnsi="宋体" w:cs="宋体" w:eastAsia="宋体" w:hint="default"/>
          <w:spacing w:val="-60"/>
        </w:rPr>
        <w:t> </w:t>
      </w:r>
      <w:r>
        <w:rPr/>
        <w:t>年</w:t>
      </w:r>
      <w:r>
        <w:rPr>
          <w:spacing w:val="-58"/>
        </w:rPr>
        <w:t> </w:t>
      </w:r>
      <w:r>
        <w:rPr>
          <w:rFonts w:ascii="宋体" w:hAnsi="宋体" w:cs="宋体" w:eastAsia="宋体" w:hint="default"/>
        </w:rPr>
        <w:t>9</w:t>
      </w:r>
      <w:r>
        <w:rPr>
          <w:rFonts w:ascii="宋体" w:hAnsi="宋体" w:cs="宋体" w:eastAsia="宋体" w:hint="default"/>
          <w:spacing w:val="-60"/>
        </w:rPr>
        <w:t> </w:t>
      </w:r>
      <w:r>
        <w:rPr/>
        <w:t>月，国家第三批光伏发电应用领跑奖励激励基地项目</w:t>
      </w:r>
      <w:r>
        <w:rPr>
          <w:w w:val="100"/>
        </w:rPr>
        <w:t> </w:t>
      </w:r>
      <w:r>
        <w:rPr>
          <w:spacing w:val="-7"/>
        </w:rPr>
        <w:t>中，林洋、中广核联合体继</w:t>
      </w:r>
      <w:r>
        <w:rPr>
          <w:spacing w:val="-50"/>
        </w:rPr>
        <w:t> </w:t>
      </w:r>
      <w:r>
        <w:rPr>
          <w:rFonts w:ascii="宋体" w:hAnsi="宋体" w:cs="宋体" w:eastAsia="宋体" w:hint="default"/>
        </w:rPr>
        <w:t>2018</w:t>
      </w:r>
      <w:r>
        <w:rPr>
          <w:rFonts w:ascii="宋体" w:hAnsi="宋体" w:cs="宋体" w:eastAsia="宋体" w:hint="default"/>
          <w:spacing w:val="-50"/>
        </w:rPr>
        <w:t> </w:t>
      </w:r>
      <w:r>
        <w:rPr/>
        <w:t>年建设并网</w:t>
      </w:r>
      <w:r>
        <w:rPr>
          <w:spacing w:val="-53"/>
        </w:rPr>
        <w:t> </w:t>
      </w:r>
      <w:r>
        <w:rPr>
          <w:rFonts w:ascii="宋体" w:hAnsi="宋体" w:cs="宋体" w:eastAsia="宋体" w:hint="default"/>
        </w:rPr>
        <w:t>200MW</w:t>
      </w:r>
      <w:r>
        <w:rPr>
          <w:rFonts w:ascii="宋体" w:hAnsi="宋体" w:cs="宋体" w:eastAsia="宋体" w:hint="default"/>
          <w:spacing w:val="-53"/>
        </w:rPr>
        <w:t> </w:t>
      </w:r>
      <w:r>
        <w:rPr/>
        <w:t>应用领跑项目后再次中标泗洪光伏发电应用领跑</w:t>
      </w:r>
      <w:r>
        <w:rPr>
          <w:w w:val="100"/>
        </w:rPr>
        <w:t> </w:t>
      </w:r>
      <w:r>
        <w:rPr/>
        <w:t>基地激励项目</w:t>
      </w:r>
      <w:r>
        <w:rPr>
          <w:spacing w:val="-55"/>
        </w:rPr>
        <w:t> </w:t>
      </w:r>
      <w:r>
        <w:rPr>
          <w:rFonts w:ascii="宋体" w:hAnsi="宋体" w:cs="宋体" w:eastAsia="宋体" w:hint="default"/>
        </w:rPr>
        <w:t>200MW</w:t>
      </w:r>
      <w:r>
        <w:rPr/>
        <w:t>，该项目仍然全部由林洋采用</w:t>
      </w:r>
      <w:r>
        <w:rPr>
          <w:spacing w:val="-57"/>
        </w:rPr>
        <w:t> </w:t>
      </w:r>
      <w:r>
        <w:rPr>
          <w:rFonts w:ascii="宋体" w:hAnsi="宋体" w:cs="宋体" w:eastAsia="宋体" w:hint="default"/>
        </w:rPr>
        <w:t>EPC</w:t>
      </w:r>
      <w:r>
        <w:rPr>
          <w:rFonts w:ascii="宋体" w:hAnsi="宋体" w:cs="宋体" w:eastAsia="宋体" w:hint="default"/>
          <w:spacing w:val="-55"/>
        </w:rPr>
        <w:t> </w:t>
      </w:r>
      <w:r>
        <w:rPr/>
        <w:t>业务模式承建，目前正在工程建设中，预计</w:t>
      </w:r>
      <w:r>
        <w:rPr>
          <w:w w:val="100"/>
        </w:rPr>
        <w:t> </w:t>
      </w:r>
      <w:r>
        <w:rPr>
          <w:rFonts w:ascii="宋体" w:hAnsi="宋体" w:cs="宋体" w:eastAsia="宋体" w:hint="default"/>
        </w:rPr>
        <w:t>2020</w:t>
      </w:r>
      <w:r>
        <w:rPr>
          <w:rFonts w:ascii="宋体" w:hAnsi="宋体" w:cs="宋体" w:eastAsia="宋体" w:hint="default"/>
          <w:spacing w:val="-57"/>
        </w:rPr>
        <w:t> </w:t>
      </w:r>
      <w:r>
        <w:rPr/>
        <w:t>年内实现全额并网；</w:t>
      </w:r>
      <w:r>
        <w:rPr>
          <w:rFonts w:ascii="宋体" w:hAnsi="宋体" w:cs="宋体" w:eastAsia="宋体" w:hint="default"/>
        </w:rPr>
        <w:t>2019</w:t>
      </w:r>
      <w:r>
        <w:rPr>
          <w:rFonts w:ascii="宋体" w:hAnsi="宋体" w:cs="宋体" w:eastAsia="宋体" w:hint="default"/>
          <w:spacing w:val="-56"/>
        </w:rPr>
        <w:t> </w:t>
      </w:r>
      <w:r>
        <w:rPr/>
        <w:t>年，公司还与申能公司针对连云港</w:t>
      </w:r>
      <w:r>
        <w:rPr>
          <w:spacing w:val="-55"/>
        </w:rPr>
        <w:t> </w:t>
      </w:r>
      <w:r>
        <w:rPr>
          <w:rFonts w:ascii="宋体" w:hAnsi="宋体" w:cs="宋体" w:eastAsia="宋体" w:hint="default"/>
        </w:rPr>
        <w:t>98</w:t>
      </w:r>
      <w:r>
        <w:rPr>
          <w:rFonts w:ascii="宋体" w:hAnsi="宋体" w:cs="宋体" w:eastAsia="宋体" w:hint="default"/>
          <w:spacing w:val="-55"/>
        </w:rPr>
        <w:t> </w:t>
      </w:r>
      <w:r>
        <w:rPr/>
        <w:t>兆瓦光伏平价示范项目签订了</w:t>
      </w:r>
    </w:p>
    <w:p>
      <w:pPr>
        <w:pStyle w:val="BodyText"/>
        <w:spacing w:line="273" w:lineRule="auto" w:before="7"/>
        <w:ind w:right="210"/>
        <w:jc w:val="both"/>
        <w:rPr>
          <w:rFonts w:ascii="宋体" w:hAnsi="宋体" w:cs="宋体" w:eastAsia="宋体" w:hint="default"/>
        </w:rPr>
      </w:pPr>
      <w:r>
        <w:rPr>
          <w:spacing w:val="-4"/>
        </w:rPr>
        <w:t>框架合作协议，目前处于工程建设中，预计</w:t>
      </w:r>
      <w:r>
        <w:rPr>
          <w:spacing w:val="-25"/>
        </w:rPr>
        <w:t> </w:t>
      </w:r>
      <w:r>
        <w:rPr>
          <w:rFonts w:ascii="宋体" w:hAnsi="宋体" w:cs="宋体" w:eastAsia="宋体" w:hint="default"/>
        </w:rPr>
        <w:t>2020</w:t>
      </w:r>
      <w:r>
        <w:rPr>
          <w:rFonts w:ascii="宋体" w:hAnsi="宋体" w:cs="宋体" w:eastAsia="宋体" w:hint="default"/>
          <w:spacing w:val="-25"/>
        </w:rPr>
        <w:t> </w:t>
      </w:r>
      <w:r>
        <w:rPr>
          <w:spacing w:val="-3"/>
        </w:rPr>
        <w:t>年二季度实现全额并网。未来，公司将持续为更多</w:t>
      </w:r>
      <w:r>
        <w:rPr>
          <w:spacing w:val="-94"/>
        </w:rPr>
        <w:t> </w:t>
      </w:r>
      <w:r>
        <w:rPr>
          <w:spacing w:val="-94"/>
        </w:rPr>
      </w:r>
      <w:r>
        <w:rPr/>
        <w:t>的战略大客户提供定向开发、建设、运营各类光伏电站，全面推进公司海内外</w:t>
      </w:r>
      <w:r>
        <w:rPr>
          <w:spacing w:val="-54"/>
        </w:rPr>
        <w:t> </w:t>
      </w:r>
      <w:r>
        <w:rPr>
          <w:rFonts w:ascii="宋体" w:hAnsi="宋体" w:cs="宋体" w:eastAsia="宋体" w:hint="default"/>
        </w:rPr>
        <w:t>EPC</w:t>
      </w:r>
      <w:r>
        <w:rPr>
          <w:rFonts w:ascii="宋体" w:hAnsi="宋体" w:cs="宋体" w:eastAsia="宋体" w:hint="default"/>
          <w:spacing w:val="-56"/>
        </w:rPr>
        <w:t> </w:t>
      </w:r>
      <w:r>
        <w:rPr/>
        <w:t>系统集成业务，</w:t>
      </w:r>
      <w:r>
        <w:rPr>
          <w:w w:val="100"/>
        </w:rPr>
        <w:t> </w:t>
      </w:r>
      <w:r>
        <w:rPr/>
        <w:t>推动业绩持续增长。</w:t>
      </w:r>
      <w:r>
        <w:rPr>
          <w:rFonts w:ascii="宋体" w:hAnsi="宋体" w:cs="宋体" w:eastAsia="宋体" w:hint="default"/>
        </w:rPr>
        <w:t> </w:t>
      </w:r>
    </w:p>
    <w:p>
      <w:pPr>
        <w:pStyle w:val="BodyText"/>
        <w:spacing w:line="273" w:lineRule="auto" w:before="7"/>
        <w:ind w:right="0" w:firstLine="420"/>
        <w:jc w:val="left"/>
        <w:rPr>
          <w:rFonts w:ascii="宋体" w:hAnsi="宋体" w:cs="宋体" w:eastAsia="宋体" w:hint="default"/>
        </w:rPr>
      </w:pPr>
      <w:r>
        <w:rPr>
          <w:rFonts w:ascii="宋体" w:hAnsi="宋体" w:cs="宋体" w:eastAsia="宋体" w:hint="default"/>
        </w:rPr>
        <w:t>2019</w:t>
      </w:r>
      <w:r>
        <w:rPr>
          <w:rFonts w:ascii="宋体" w:hAnsi="宋体" w:cs="宋体" w:eastAsia="宋体" w:hint="default"/>
          <w:spacing w:val="-11"/>
        </w:rPr>
        <w:t> </w:t>
      </w:r>
      <w:r>
        <w:rPr>
          <w:spacing w:val="-2"/>
        </w:rPr>
        <w:t>年，公司通过智能化、专业化、标准化的运维解决方案全面提高光伏电站运维水平。公司</w:t>
      </w:r>
      <w:r>
        <w:rPr>
          <w:w w:val="100"/>
        </w:rPr>
        <w:t> </w:t>
      </w:r>
      <w:r>
        <w:rPr/>
        <w:t>运维电站总容量突破</w:t>
      </w:r>
      <w:r>
        <w:rPr>
          <w:spacing w:val="-55"/>
        </w:rPr>
        <w:t> </w:t>
      </w:r>
      <w:r>
        <w:rPr>
          <w:rFonts w:ascii="宋体" w:hAnsi="宋体" w:cs="宋体" w:eastAsia="宋体" w:hint="default"/>
        </w:rPr>
        <w:t>1.7GW</w:t>
      </w:r>
      <w:r>
        <w:rPr/>
        <w:t>，其中自持电站约</w:t>
      </w:r>
      <w:r>
        <w:rPr>
          <w:spacing w:val="-57"/>
        </w:rPr>
        <w:t> </w:t>
      </w:r>
      <w:r>
        <w:rPr>
          <w:rFonts w:ascii="宋体" w:hAnsi="宋体" w:cs="宋体" w:eastAsia="宋体" w:hint="default"/>
        </w:rPr>
        <w:t>1.5GW</w:t>
      </w:r>
      <w:r>
        <w:rPr/>
        <w:t>，发电量达到</w:t>
      </w:r>
      <w:r>
        <w:rPr>
          <w:spacing w:val="-54"/>
        </w:rPr>
        <w:t> </w:t>
      </w:r>
      <w:r>
        <w:rPr>
          <w:rFonts w:ascii="宋体" w:hAnsi="宋体" w:cs="宋体" w:eastAsia="宋体" w:hint="default"/>
        </w:rPr>
        <w:t>18.9</w:t>
      </w:r>
      <w:r>
        <w:rPr>
          <w:rFonts w:ascii="宋体" w:hAnsi="宋体" w:cs="宋体" w:eastAsia="宋体" w:hint="default"/>
          <w:spacing w:val="-57"/>
        </w:rPr>
        <w:t> </w:t>
      </w:r>
      <w:r>
        <w:rPr/>
        <w:t>亿度。公司依托自主设计开</w:t>
      </w:r>
      <w:r>
        <w:rPr>
          <w:w w:val="100"/>
        </w:rPr>
        <w:t> </w:t>
      </w:r>
      <w:r>
        <w:rPr>
          <w:spacing w:val="-2"/>
        </w:rPr>
        <w:t>发的“林洋光伏智慧云平台”，对电站开展“云平台远程监控</w:t>
      </w:r>
      <w:r>
        <w:rPr>
          <w:rFonts w:ascii="宋体" w:hAnsi="宋体" w:cs="宋体" w:eastAsia="宋体" w:hint="default"/>
          <w:spacing w:val="-2"/>
        </w:rPr>
        <w:t>+</w:t>
      </w:r>
      <w:r>
        <w:rPr>
          <w:spacing w:val="-2"/>
        </w:rPr>
        <w:t>现场智能巡检</w:t>
      </w:r>
      <w:r>
        <w:rPr>
          <w:rFonts w:ascii="宋体" w:hAnsi="宋体" w:cs="宋体" w:eastAsia="宋体" w:hint="default"/>
          <w:spacing w:val="-2"/>
        </w:rPr>
        <w:t>+</w:t>
      </w:r>
      <w:r>
        <w:rPr>
          <w:spacing w:val="-2"/>
        </w:rPr>
        <w:t>红外无人机巡检”三</w:t>
      </w:r>
      <w:r>
        <w:rPr>
          <w:spacing w:val="-27"/>
        </w:rPr>
        <w:t> </w:t>
      </w:r>
      <w:r>
        <w:rPr>
          <w:spacing w:val="-27"/>
        </w:rPr>
      </w:r>
      <w:r>
        <w:rPr>
          <w:spacing w:val="-2"/>
        </w:rPr>
        <w:t>维巡检模式，精准诊断落后发电单元、高效技改低效系统设备、及时清洁电站污染组件，电站运维</w:t>
      </w:r>
      <w:r>
        <w:rPr>
          <w:spacing w:val="-25"/>
        </w:rPr>
        <w:t> </w:t>
      </w:r>
      <w:r>
        <w:rPr>
          <w:spacing w:val="-25"/>
        </w:rPr>
      </w:r>
      <w:r>
        <w:rPr/>
        <w:t>效益显著提升，发电量提升</w:t>
      </w:r>
      <w:r>
        <w:rPr>
          <w:spacing w:val="-55"/>
        </w:rPr>
        <w:t> </w:t>
      </w:r>
      <w:r>
        <w:rPr>
          <w:rFonts w:ascii="宋体" w:hAnsi="宋体" w:cs="宋体" w:eastAsia="宋体" w:hint="default"/>
        </w:rPr>
        <w:t>8.6%</w:t>
      </w:r>
      <w:r>
        <w:rPr/>
        <w:t>，故障闭环时间减少</w:t>
      </w:r>
      <w:r>
        <w:rPr>
          <w:spacing w:val="-55"/>
        </w:rPr>
        <w:t> </w:t>
      </w:r>
      <w:r>
        <w:rPr>
          <w:rFonts w:ascii="宋体" w:hAnsi="宋体" w:cs="宋体" w:eastAsia="宋体" w:hint="default"/>
        </w:rPr>
        <w:t>50%</w:t>
      </w:r>
      <w:r>
        <w:rPr/>
        <w:t>，损失电量下降</w:t>
      </w:r>
      <w:r>
        <w:rPr>
          <w:spacing w:val="-55"/>
        </w:rPr>
        <w:t> </w:t>
      </w:r>
      <w:r>
        <w:rPr>
          <w:rFonts w:ascii="宋体" w:hAnsi="宋体" w:cs="宋体" w:eastAsia="宋体" w:hint="default"/>
        </w:rPr>
        <w:t>21.3%</w:t>
      </w:r>
      <w:r>
        <w:rPr/>
        <w:t>。公司积极引进各</w:t>
      </w:r>
      <w:r>
        <w:rPr>
          <w:w w:val="100"/>
        </w:rPr>
        <w:t> </w:t>
      </w:r>
      <w:r>
        <w:rPr/>
        <w:t>类专业人才，推进区域化集中管理模式，效益迅速提升，人均运维效率提升</w:t>
      </w:r>
      <w:r>
        <w:rPr>
          <w:spacing w:val="-57"/>
        </w:rPr>
        <w:t> </w:t>
      </w:r>
      <w:r>
        <w:rPr>
          <w:rFonts w:ascii="宋体" w:hAnsi="宋体" w:cs="宋体" w:eastAsia="宋体" w:hint="default"/>
        </w:rPr>
        <w:t>12.5%</w:t>
      </w:r>
      <w:r>
        <w:rPr/>
        <w:t>，单兆瓦运维成</w:t>
      </w:r>
      <w:r>
        <w:rPr>
          <w:w w:val="100"/>
        </w:rPr>
        <w:t> </w:t>
      </w:r>
      <w:r>
        <w:rPr/>
        <w:t>本下降</w:t>
      </w:r>
      <w:r>
        <w:rPr>
          <w:spacing w:val="-55"/>
        </w:rPr>
        <w:t> </w:t>
      </w:r>
      <w:r>
        <w:rPr>
          <w:rFonts w:ascii="宋体" w:hAnsi="宋体" w:cs="宋体" w:eastAsia="宋体" w:hint="default"/>
        </w:rPr>
        <w:t>10%</w:t>
      </w:r>
      <w:r>
        <w:rPr/>
        <w:t>。同时公司在光伏运维领域不断深化产学合作，积极参与行业定标，创新运营理念，拓</w:t>
      </w:r>
      <w:r>
        <w:rPr>
          <w:w w:val="100"/>
        </w:rPr>
        <w:t> </w:t>
      </w:r>
      <w:r>
        <w:rPr/>
        <w:t>展多边业务，致力于成为光伏电站运维市场的领先力量。</w:t>
      </w:r>
      <w:r>
        <w:rPr>
          <w:rFonts w:ascii="宋体" w:hAnsi="宋体" w:cs="宋体" w:eastAsia="宋体" w:hint="default"/>
        </w:rPr>
        <w:t> </w:t>
      </w:r>
    </w:p>
    <w:p>
      <w:pPr>
        <w:pStyle w:val="Heading3"/>
        <w:spacing w:line="273" w:lineRule="auto" w:before="7"/>
        <w:ind w:left="641" w:right="0" w:hanging="3"/>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3</w:t>
      </w:r>
      <w:r>
        <w:rPr>
          <w:w w:val="100"/>
        </w:rPr>
        <w:t>、综合能源服务业务</w:t>
      </w:r>
      <w:r>
        <w:rPr>
          <w:spacing w:val="-3"/>
          <w:w w:val="100"/>
        </w:rPr>
        <w:t>全面</w:t>
      </w:r>
      <w:r>
        <w:rPr>
          <w:w w:val="100"/>
        </w:rPr>
        <w:t>启动，丰富用户类</w:t>
      </w:r>
      <w:r>
        <w:rPr>
          <w:spacing w:val="-3"/>
          <w:w w:val="100"/>
        </w:rPr>
        <w:t>型</w:t>
      </w:r>
      <w:r>
        <w:rPr>
          <w:w w:val="100"/>
        </w:rPr>
        <w:t>形</w:t>
      </w:r>
      <w:r>
        <w:rPr>
          <w:spacing w:val="-3"/>
          <w:w w:val="100"/>
        </w:rPr>
        <w:t>成</w:t>
      </w:r>
      <w:r>
        <w:rPr>
          <w:w w:val="100"/>
        </w:rPr>
        <w:t>闭环优</w:t>
      </w:r>
      <w:r>
        <w:rPr>
          <w:spacing w:val="-2"/>
          <w:w w:val="100"/>
        </w:rPr>
        <w:t>势</w:t>
      </w:r>
      <w:r>
        <w:rPr>
          <w:rFonts w:ascii="宋体" w:hAnsi="宋体" w:cs="宋体" w:eastAsia="宋体" w:hint="default"/>
          <w:w w:val="99"/>
        </w:rPr>
        <w:t> </w:t>
      </w:r>
      <w:r>
        <w:rPr>
          <w:rFonts w:ascii="宋体" w:hAnsi="宋体" w:cs="宋体" w:eastAsia="宋体" w:hint="default"/>
          <w:b w:val="0"/>
          <w:bCs w:val="0"/>
        </w:rPr>
      </w:r>
    </w:p>
    <w:p>
      <w:pPr>
        <w:pStyle w:val="BodyText"/>
        <w:spacing w:line="273" w:lineRule="auto" w:before="7"/>
        <w:ind w:right="0" w:firstLine="420"/>
        <w:jc w:val="left"/>
        <w:rPr>
          <w:rFonts w:ascii="宋体" w:hAnsi="宋体" w:cs="宋体" w:eastAsia="宋体" w:hint="default"/>
        </w:rPr>
      </w:pPr>
      <w:r>
        <w:rPr>
          <w:spacing w:val="-3"/>
        </w:rPr>
        <w:t>报告期内，公司智慧能效管理云平台已接入约</w:t>
      </w:r>
      <w:r>
        <w:rPr>
          <w:spacing w:val="-44"/>
        </w:rPr>
        <w:t> </w:t>
      </w:r>
      <w:r>
        <w:rPr>
          <w:rFonts w:ascii="宋体" w:hAnsi="宋体" w:cs="宋体" w:eastAsia="宋体" w:hint="default"/>
        </w:rPr>
        <w:t>4,500</w:t>
      </w:r>
      <w:r>
        <w:rPr>
          <w:rFonts w:ascii="宋体" w:hAnsi="宋体" w:cs="宋体" w:eastAsia="宋体" w:hint="default"/>
          <w:spacing w:val="-43"/>
        </w:rPr>
        <w:t> </w:t>
      </w:r>
      <w:r>
        <w:rPr>
          <w:spacing w:val="-4"/>
        </w:rPr>
        <w:t>个工商业耗能大户，部署超过</w:t>
      </w:r>
      <w:r>
        <w:rPr>
          <w:spacing w:val="-43"/>
        </w:rPr>
        <w:t> </w:t>
      </w:r>
      <w:r>
        <w:rPr>
          <w:rFonts w:ascii="宋体" w:hAnsi="宋体" w:cs="宋体" w:eastAsia="宋体" w:hint="default"/>
        </w:rPr>
        <w:t>38,000</w:t>
      </w:r>
      <w:r>
        <w:rPr>
          <w:rFonts w:ascii="宋体" w:hAnsi="宋体" w:cs="宋体" w:eastAsia="宋体" w:hint="default"/>
          <w:spacing w:val="-44"/>
        </w:rPr>
        <w:t> </w:t>
      </w:r>
      <w:r>
        <w:rPr>
          <w:spacing w:val="-3"/>
        </w:rPr>
        <w:t>个能</w:t>
      </w:r>
      <w:r>
        <w:rPr>
          <w:spacing w:val="-3"/>
          <w:w w:val="100"/>
        </w:rPr>
        <w:t> </w:t>
      </w:r>
      <w:r>
        <w:rPr/>
        <w:t>效采集点，管理用电负荷超过</w:t>
      </w:r>
      <w:r>
        <w:rPr>
          <w:spacing w:val="-55"/>
        </w:rPr>
        <w:t> </w:t>
      </w:r>
      <w:r>
        <w:rPr>
          <w:rFonts w:ascii="宋体" w:hAnsi="宋体" w:cs="宋体" w:eastAsia="宋体" w:hint="default"/>
        </w:rPr>
        <w:t>850MW</w:t>
      </w:r>
      <w:r>
        <w:rPr/>
        <w:t>，日用电量超过</w:t>
      </w:r>
      <w:r>
        <w:rPr>
          <w:spacing w:val="-55"/>
        </w:rPr>
        <w:t> </w:t>
      </w:r>
      <w:r>
        <w:rPr>
          <w:rFonts w:ascii="宋体" w:hAnsi="宋体" w:cs="宋体" w:eastAsia="宋体" w:hint="default"/>
        </w:rPr>
        <w:t>2,150</w:t>
      </w:r>
      <w:r>
        <w:rPr>
          <w:rFonts w:ascii="宋体" w:hAnsi="宋体" w:cs="宋体" w:eastAsia="宋体" w:hint="default"/>
          <w:spacing w:val="-54"/>
        </w:rPr>
        <w:t> </w:t>
      </w:r>
      <w:r>
        <w:rPr/>
        <w:t>万度。公司积累了大量能耗数据，凭借</w:t>
      </w:r>
      <w:r>
        <w:rPr>
          <w:w w:val="100"/>
        </w:rPr>
        <w:t> </w:t>
      </w:r>
      <w:r>
        <w:rPr>
          <w:spacing w:val="-2"/>
        </w:rPr>
        <w:t>专业技术有针对性地为用户开展节能改造、合同能源管理等业务。平台上高能耗企业和行业用户接</w:t>
      </w:r>
      <w:r>
        <w:rPr>
          <w:spacing w:val="-25"/>
        </w:rPr>
        <w:t> </w:t>
      </w:r>
      <w:r>
        <w:rPr>
          <w:spacing w:val="-25"/>
        </w:rPr>
      </w:r>
      <w:r>
        <w:rPr>
          <w:spacing w:val="-2"/>
        </w:rPr>
        <w:t>入量持续增长，如钢铁、化工等传统高能耗企业保持较高的接入量增长，同时交通、清洁供暖等行</w:t>
      </w:r>
      <w:r>
        <w:rPr>
          <w:spacing w:val="-25"/>
        </w:rPr>
        <w:t> </w:t>
      </w:r>
      <w:r>
        <w:rPr>
          <w:spacing w:val="-25"/>
        </w:rPr>
      </w:r>
      <w:r>
        <w:rPr>
          <w:spacing w:val="-2"/>
        </w:rPr>
        <w:t>业用户也成为平台上的新兴行业用户，平台功能不断拓展和延伸，报告期内环保应用平台和园区综</w:t>
      </w:r>
      <w:r>
        <w:rPr>
          <w:spacing w:val="-25"/>
        </w:rPr>
        <w:t> </w:t>
      </w:r>
      <w:r>
        <w:rPr>
          <w:spacing w:val="-25"/>
        </w:rPr>
      </w:r>
      <w:r>
        <w:rPr/>
        <w:t>合能源服务平台相继上线。</w:t>
      </w:r>
      <w:r>
        <w:rPr>
          <w:rFonts w:ascii="宋体" w:hAnsi="宋体" w:cs="宋体" w:eastAsia="宋体" w:hint="default"/>
        </w:rPr>
        <w:t> </w:t>
      </w:r>
    </w:p>
    <w:p>
      <w:pPr>
        <w:pStyle w:val="BodyText"/>
        <w:spacing w:line="273" w:lineRule="auto" w:before="7"/>
        <w:ind w:right="211" w:firstLine="420"/>
        <w:jc w:val="both"/>
        <w:rPr>
          <w:rFonts w:ascii="宋体" w:hAnsi="宋体" w:cs="宋体" w:eastAsia="宋体" w:hint="default"/>
        </w:rPr>
      </w:pPr>
      <w:r>
        <w:rPr/>
        <w:t>公司在</w:t>
      </w:r>
      <w:r>
        <w:rPr>
          <w:spacing w:val="-54"/>
        </w:rPr>
        <w:t> </w:t>
      </w:r>
      <w:r>
        <w:rPr>
          <w:rFonts w:ascii="宋体" w:hAnsi="宋体" w:cs="宋体" w:eastAsia="宋体" w:hint="default"/>
        </w:rPr>
        <w:t>LED</w:t>
      </w:r>
      <w:r>
        <w:rPr>
          <w:rFonts w:ascii="宋体" w:hAnsi="宋体" w:cs="宋体" w:eastAsia="宋体" w:hint="default"/>
          <w:spacing w:val="-56"/>
        </w:rPr>
        <w:t> </w:t>
      </w:r>
      <w:r>
        <w:rPr/>
        <w:t>节能照明、储能微网、清洁高效电供暖等方面的业务持续拓展，报告期内公司成功</w:t>
      </w:r>
      <w:r>
        <w:rPr>
          <w:w w:val="100"/>
        </w:rPr>
        <w:t> </w:t>
      </w:r>
      <w:r>
        <w:rPr/>
        <w:t>中标河北高速交通系统总金额</w:t>
      </w:r>
      <w:r>
        <w:rPr>
          <w:spacing w:val="-50"/>
        </w:rPr>
        <w:t> </w:t>
      </w:r>
      <w:r>
        <w:rPr>
          <w:rFonts w:ascii="宋体" w:hAnsi="宋体" w:cs="宋体" w:eastAsia="宋体" w:hint="default"/>
        </w:rPr>
        <w:t>1.48</w:t>
      </w:r>
      <w:r>
        <w:rPr>
          <w:rFonts w:ascii="宋体" w:hAnsi="宋体" w:cs="宋体" w:eastAsia="宋体" w:hint="default"/>
          <w:spacing w:val="-52"/>
        </w:rPr>
        <w:t> </w:t>
      </w:r>
      <w:r>
        <w:rPr>
          <w:spacing w:val="-5"/>
        </w:rPr>
        <w:t>亿元节能服务及合同能源管理项目，该项自</w:t>
      </w:r>
      <w:r>
        <w:rPr>
          <w:spacing w:val="-50"/>
        </w:rPr>
        <w:t> </w:t>
      </w:r>
      <w:r>
        <w:rPr>
          <w:rFonts w:ascii="宋体" w:hAnsi="宋体" w:cs="宋体" w:eastAsia="宋体" w:hint="default"/>
        </w:rPr>
        <w:t>2019</w:t>
      </w:r>
      <w:r>
        <w:rPr>
          <w:rFonts w:ascii="宋体" w:hAnsi="宋体" w:cs="宋体" w:eastAsia="宋体" w:hint="default"/>
          <w:spacing w:val="-49"/>
        </w:rPr>
        <w:t> </w:t>
      </w:r>
      <w:r>
        <w:rPr/>
        <w:t>年</w:t>
      </w:r>
      <w:r>
        <w:rPr>
          <w:spacing w:val="-52"/>
        </w:rPr>
        <w:t> </w:t>
      </w:r>
      <w:r>
        <w:rPr>
          <w:rFonts w:ascii="宋体" w:hAnsi="宋体" w:cs="宋体" w:eastAsia="宋体" w:hint="default"/>
        </w:rPr>
        <w:t>10</w:t>
      </w:r>
      <w:r>
        <w:rPr>
          <w:rFonts w:ascii="宋体" w:hAnsi="宋体" w:cs="宋体" w:eastAsia="宋体" w:hint="default"/>
          <w:spacing w:val="-50"/>
        </w:rPr>
        <w:t> </w:t>
      </w:r>
      <w:r>
        <w:rPr/>
        <w:t>月竣工验</w:t>
      </w:r>
      <w:r>
        <w:rPr>
          <w:w w:val="100"/>
        </w:rPr>
        <w:t> </w:t>
      </w:r>
      <w:r>
        <w:rPr>
          <w:spacing w:val="-2"/>
        </w:rPr>
        <w:t>收投入运行，经国家权威机构检测，其控制系统智能化及节能率达到行业先进水平。该项目的成功</w:t>
      </w:r>
      <w:r>
        <w:rPr>
          <w:spacing w:val="-25"/>
        </w:rPr>
        <w:t> </w:t>
      </w:r>
      <w:r>
        <w:rPr>
          <w:spacing w:val="-25"/>
        </w:rPr>
      </w:r>
      <w:r>
        <w:rPr>
          <w:spacing w:val="-2"/>
        </w:rPr>
        <w:t>实施标志着公司正式进入交通系统、具备为交通系统提供智慧能效管理云平台及智能化照明系统解</w:t>
      </w:r>
      <w:r>
        <w:rPr>
          <w:spacing w:val="-25"/>
        </w:rPr>
        <w:t> </w:t>
      </w:r>
      <w:r>
        <w:rPr>
          <w:spacing w:val="-25"/>
        </w:rPr>
      </w:r>
      <w:r>
        <w:rPr/>
        <w:t>决方案的能力。</w:t>
      </w:r>
      <w:r>
        <w:rPr>
          <w:rFonts w:ascii="宋体" w:hAnsi="宋体" w:cs="宋体" w:eastAsia="宋体" w:hint="default"/>
        </w:rPr>
        <w:t> </w:t>
      </w:r>
    </w:p>
    <w:p>
      <w:pPr>
        <w:pStyle w:val="BodyText"/>
        <w:spacing w:line="273" w:lineRule="auto" w:before="7"/>
        <w:ind w:right="0" w:firstLine="420"/>
        <w:jc w:val="left"/>
        <w:rPr>
          <w:rFonts w:ascii="宋体" w:hAnsi="宋体" w:cs="宋体" w:eastAsia="宋体" w:hint="default"/>
        </w:rPr>
      </w:pPr>
      <w:r>
        <w:rPr/>
        <w:t>公司多年来一直重视产品技术的研发和创新，收集并分析行业信息和产品关键指标，并通过不</w:t>
      </w:r>
      <w:r>
        <w:rPr>
          <w:w w:val="100"/>
        </w:rPr>
        <w:t> </w:t>
      </w:r>
      <w:r>
        <w:rPr/>
        <w:t>断的测试与开发，目前已经拥有自主知识产权的“易能效”智慧能效管理云平台、“易能效”电能</w:t>
      </w:r>
      <w:r>
        <w:rPr>
          <w:w w:val="100"/>
        </w:rPr>
        <w:t> </w:t>
      </w:r>
      <w:r>
        <w:rPr/>
        <w:t>监测终端和</w:t>
      </w:r>
      <w:r>
        <w:rPr>
          <w:spacing w:val="-24"/>
        </w:rPr>
        <w:t> </w:t>
      </w:r>
      <w:r>
        <w:rPr>
          <w:rFonts w:ascii="宋体" w:hAnsi="宋体" w:cs="宋体" w:eastAsia="宋体" w:hint="default"/>
        </w:rPr>
        <w:t>LY-6000</w:t>
      </w:r>
      <w:r>
        <w:rPr>
          <w:rFonts w:ascii="宋体" w:hAnsi="宋体" w:cs="宋体" w:eastAsia="宋体" w:hint="default"/>
          <w:spacing w:val="-27"/>
        </w:rPr>
        <w:t> </w:t>
      </w:r>
      <w:r>
        <w:rPr>
          <w:spacing w:val="-4"/>
        </w:rPr>
        <w:t>用户侧电储能及微电网能源管理系统入围工业领域电力需求侧管理产品（技术）</w:t>
      </w:r>
      <w:r>
        <w:rPr>
          <w:spacing w:val="-94"/>
        </w:rPr>
        <w:t> </w:t>
      </w:r>
      <w:r>
        <w:rPr>
          <w:spacing w:val="-94"/>
        </w:rPr>
      </w:r>
      <w:r>
        <w:rPr/>
        <w:t>参考目录。上述系统，通过能效监测、数据分析、优化方案、结果反馈的系列运作，满足用电需求</w:t>
      </w:r>
      <w:r>
        <w:rPr>
          <w:w w:val="100"/>
        </w:rPr>
        <w:t> </w:t>
      </w:r>
      <w:r>
        <w:rPr/>
        <w:t>侧的节能需求，是行业领先的能效管理专家。</w:t>
      </w:r>
      <w:r>
        <w:rPr>
          <w:rFonts w:ascii="宋体" w:hAnsi="宋体" w:cs="宋体" w:eastAsia="宋体" w:hint="default"/>
        </w:rPr>
        <w:t> </w:t>
      </w:r>
    </w:p>
    <w:p>
      <w:pPr>
        <w:pStyle w:val="BodyText"/>
        <w:spacing w:line="240" w:lineRule="auto" w:before="7"/>
        <w:ind w:left="638" w:right="0"/>
        <w:jc w:val="left"/>
        <w:rPr>
          <w:rFonts w:ascii="宋体" w:hAnsi="宋体" w:cs="宋体" w:eastAsia="宋体" w:hint="default"/>
        </w:rPr>
      </w:pPr>
      <w:r>
        <w:rPr>
          <w:rFonts w:ascii="宋体"/>
          <w:w w:val="100"/>
        </w:rPr>
        <w:t> </w:t>
      </w:r>
    </w:p>
    <w:p>
      <w:pPr>
        <w:spacing w:after="0" w:line="240" w:lineRule="auto"/>
        <w:jc w:val="left"/>
        <w:rPr>
          <w:rFonts w:ascii="宋体" w:hAnsi="宋体" w:cs="宋体" w:eastAsia="宋体" w:hint="default"/>
        </w:rPr>
        <w:sectPr>
          <w:pgSz w:w="11910" w:h="16840"/>
          <w:pgMar w:header="748" w:footer="974" w:top="1140" w:bottom="1160" w:left="1200" w:right="1200"/>
        </w:sectPr>
      </w:pPr>
    </w:p>
    <w:p>
      <w:pPr>
        <w:spacing w:line="240" w:lineRule="auto" w:before="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pgSz w:w="11910" w:h="16840"/>
          <w:pgMar w:header="748" w:footer="974" w:top="1140" w:bottom="1160" w:left="460" w:right="600"/>
        </w:sectPr>
      </w:pPr>
    </w:p>
    <w:p>
      <w:pPr>
        <w:pStyle w:val="BodyText"/>
        <w:spacing w:line="240" w:lineRule="auto" w:before="36"/>
        <w:ind w:left="958" w:right="0"/>
        <w:jc w:val="left"/>
        <w:rPr>
          <w:rFonts w:ascii="宋体" w:hAnsi="宋体" w:cs="宋体" w:eastAsia="宋体" w:hint="default"/>
        </w:rPr>
      </w:pPr>
      <w:r>
        <w:rPr>
          <w:rFonts w:ascii="宋体"/>
          <w:w w:val="100"/>
        </w:rPr>
        <w:t> </w:t>
      </w:r>
    </w:p>
    <w:p>
      <w:pPr>
        <w:pStyle w:val="Heading3"/>
        <w:tabs>
          <w:tab w:pos="1798" w:val="left" w:leader="none"/>
        </w:tabs>
        <w:spacing w:line="240" w:lineRule="auto"/>
        <w:ind w:left="958" w:right="0"/>
        <w:jc w:val="left"/>
        <w:rPr>
          <w:b w:val="0"/>
          <w:bCs w:val="0"/>
        </w:rPr>
      </w:pPr>
      <w:r>
        <w:rPr>
          <w:rFonts w:ascii="宋体" w:hAnsi="宋体" w:cs="宋体" w:eastAsia="宋体" w:hint="default"/>
          <w:w w:val="95"/>
        </w:rPr>
        <w:t>(</w:t>
      </w:r>
      <w:r>
        <w:rPr>
          <w:w w:val="95"/>
        </w:rPr>
        <w:t>一</w:t>
      </w:r>
      <w:r>
        <w:rPr>
          <w:rFonts w:ascii="宋体" w:hAnsi="宋体" w:cs="宋体" w:eastAsia="宋体" w:hint="default"/>
          <w:w w:val="95"/>
        </w:rPr>
        <w:t>)</w:t>
        <w:tab/>
      </w:r>
      <w:r>
        <w:rPr/>
        <w:t>主营业务分析</w:t>
      </w:r>
      <w:r>
        <w:rPr>
          <w:b w:val="0"/>
          <w:bCs w:val="0"/>
        </w:rPr>
      </w:r>
    </w:p>
    <w:p>
      <w:pPr>
        <w:pStyle w:val="Heading3"/>
        <w:tabs>
          <w:tab w:pos="1378" w:val="left" w:leader="none"/>
        </w:tabs>
        <w:spacing w:line="240" w:lineRule="auto"/>
        <w:ind w:left="958" w:right="0"/>
        <w:jc w:val="left"/>
        <w:rPr>
          <w:rFonts w:ascii="宋体" w:hAnsi="宋体" w:cs="宋体" w:eastAsia="宋体" w:hint="default"/>
          <w:b w:val="0"/>
          <w:bCs w:val="0"/>
        </w:rPr>
      </w:pPr>
      <w:r>
        <w:rPr>
          <w:rFonts w:ascii="宋体" w:hAnsi="宋体" w:cs="宋体" w:eastAsia="宋体" w:hint="default"/>
          <w:w w:val="95"/>
        </w:rPr>
        <w:t>1.</w:t>
        <w:tab/>
      </w:r>
      <w:r>
        <w:rPr/>
        <w:t>利润表及现金流量表相关科目变动分析表</w:t>
      </w:r>
      <w:r>
        <w:rPr>
          <w:rFonts w:ascii="宋体" w:hAnsi="宋体" w:cs="宋体" w:eastAsia="宋体" w:hint="default"/>
          <w:w w:val="99"/>
        </w:rPr>
        <w:t> </w:t>
      </w:r>
      <w:r>
        <w:rPr>
          <w:rFonts w:ascii="宋体" w:hAnsi="宋体" w:cs="宋体" w:eastAsia="宋体" w:hint="default"/>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8"/>
          <w:szCs w:val="28"/>
        </w:rPr>
      </w:pPr>
    </w:p>
    <w:p>
      <w:pPr>
        <w:pStyle w:val="BodyText"/>
        <w:spacing w:line="240" w:lineRule="auto"/>
        <w:ind w:left="958" w:right="0"/>
        <w:jc w:val="left"/>
        <w:rPr>
          <w:rFonts w:ascii="宋体" w:hAnsi="宋体" w:cs="宋体" w:eastAsia="宋体" w:hint="default"/>
        </w:rPr>
      </w:pPr>
      <w:r>
        <w:rPr/>
        <w:t>单位</w:t>
      </w:r>
      <w:r>
        <w:rPr>
          <w:rFonts w:ascii="宋体" w:hAnsi="宋体" w:cs="宋体" w:eastAsia="宋体" w:hint="default"/>
        </w:rPr>
        <w:t>:</w:t>
      </w:r>
      <w:r>
        <w:rPr/>
        <w:t>元币种</w:t>
      </w:r>
      <w:r>
        <w:rPr>
          <w:rFonts w:ascii="宋体" w:hAnsi="宋体" w:cs="宋体" w:eastAsia="宋体" w:hint="default"/>
        </w:rPr>
        <w:t>:</w:t>
      </w:r>
      <w:r>
        <w:rPr/>
        <w:t>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580" w:bottom="280" w:left="460" w:right="600"/>
          <w:cols w:num="2" w:equalWidth="0">
            <w:col w:w="5280" w:space="1899"/>
            <w:col w:w="3671"/>
          </w:cols>
        </w:sectPr>
      </w:pPr>
    </w:p>
    <w:p>
      <w:pPr>
        <w:spacing w:line="240" w:lineRule="auto" w:before="10"/>
        <w:rPr>
          <w:rFonts w:ascii="宋体" w:hAnsi="宋体" w:cs="宋体" w:eastAsia="宋体" w:hint="default"/>
          <w:sz w:val="3"/>
          <w:szCs w:val="3"/>
        </w:rPr>
      </w:pPr>
    </w:p>
    <w:tbl>
      <w:tblPr>
        <w:tblW w:w="0" w:type="auto"/>
        <w:jc w:val="left"/>
        <w:tblInd w:w="846" w:type="dxa"/>
        <w:tblLayout w:type="fixed"/>
        <w:tblCellMar>
          <w:top w:w="0" w:type="dxa"/>
          <w:left w:w="0" w:type="dxa"/>
          <w:bottom w:w="0" w:type="dxa"/>
          <w:right w:w="0" w:type="dxa"/>
        </w:tblCellMar>
        <w:tblLook w:val="01E0"/>
      </w:tblPr>
      <w:tblGrid>
        <w:gridCol w:w="3565"/>
        <w:gridCol w:w="1930"/>
        <w:gridCol w:w="2038"/>
        <w:gridCol w:w="1755"/>
      </w:tblGrid>
      <w:tr>
        <w:trPr>
          <w:trHeight w:val="322" w:hRule="exact"/>
        </w:trPr>
        <w:tc>
          <w:tcPr>
            <w:tcW w:w="356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4" w:right="0"/>
              <w:jc w:val="center"/>
              <w:rPr>
                <w:rFonts w:ascii="宋体" w:hAnsi="宋体" w:cs="宋体" w:eastAsia="宋体" w:hint="default"/>
                <w:sz w:val="21"/>
                <w:szCs w:val="21"/>
              </w:rPr>
            </w:pPr>
            <w:r>
              <w:rPr>
                <w:rFonts w:ascii="宋体" w:hAnsi="宋体" w:cs="宋体" w:eastAsia="宋体" w:hint="default"/>
                <w:sz w:val="21"/>
                <w:szCs w:val="21"/>
              </w:rPr>
              <w:t>科目</w:t>
            </w:r>
            <w:r>
              <w:rPr>
                <w:rFonts w:ascii="宋体" w:hAnsi="宋体" w:cs="宋体" w:eastAsia="宋体" w:hint="default"/>
                <w:sz w:val="21"/>
                <w:szCs w:val="21"/>
              </w:rPr>
              <w:t> </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643" w:right="0"/>
              <w:jc w:val="left"/>
              <w:rPr>
                <w:rFonts w:ascii="宋体" w:hAnsi="宋体" w:cs="宋体" w:eastAsia="宋体" w:hint="default"/>
                <w:sz w:val="21"/>
                <w:szCs w:val="21"/>
              </w:rPr>
            </w:pPr>
            <w:r>
              <w:rPr>
                <w:rFonts w:ascii="宋体" w:hAnsi="宋体" w:cs="宋体" w:eastAsia="宋体" w:hint="default"/>
                <w:sz w:val="21"/>
                <w:szCs w:val="21"/>
              </w:rPr>
              <w:t>本期数</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87" w:right="0"/>
              <w:jc w:val="left"/>
              <w:rPr>
                <w:rFonts w:ascii="宋体" w:hAnsi="宋体" w:cs="宋体" w:eastAsia="宋体" w:hint="default"/>
                <w:sz w:val="21"/>
                <w:szCs w:val="21"/>
              </w:rPr>
            </w:pPr>
            <w:r>
              <w:rPr>
                <w:rFonts w:ascii="宋体" w:hAnsi="宋体" w:cs="宋体" w:eastAsia="宋体" w:hint="default"/>
                <w:sz w:val="21"/>
                <w:szCs w:val="21"/>
              </w:rPr>
              <w:t>上年同期数</w:t>
            </w:r>
            <w:r>
              <w:rPr>
                <w:rFonts w:ascii="宋体" w:hAnsi="宋体" w:cs="宋体" w:eastAsia="宋体" w:hint="default"/>
                <w:sz w:val="21"/>
                <w:szCs w:val="21"/>
              </w:rPr>
              <w:t> </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83"/>
              <w:jc w:val="right"/>
              <w:rPr>
                <w:rFonts w:ascii="宋体" w:hAnsi="宋体" w:cs="宋体" w:eastAsia="宋体" w:hint="default"/>
                <w:sz w:val="21"/>
                <w:szCs w:val="21"/>
              </w:rPr>
            </w:pPr>
            <w:r>
              <w:rPr>
                <w:rFonts w:ascii="宋体" w:hAnsi="宋体" w:cs="宋体" w:eastAsia="宋体" w:hint="default"/>
                <w:spacing w:val="-2"/>
                <w:sz w:val="21"/>
                <w:szCs w:val="21"/>
              </w:rPr>
              <w:t>变动比例（</w:t>
            </w:r>
            <w:r>
              <w:rPr>
                <w:rFonts w:ascii="宋体" w:hAnsi="宋体" w:cs="宋体" w:eastAsia="宋体" w:hint="default"/>
                <w:spacing w:val="-2"/>
                <w:sz w:val="21"/>
                <w:szCs w:val="21"/>
              </w:rPr>
              <w:t>%</w:t>
            </w:r>
            <w:r>
              <w:rPr>
                <w:rFonts w:ascii="宋体" w:hAnsi="宋体" w:cs="宋体" w:eastAsia="宋体" w:hint="default"/>
                <w:spacing w:val="-2"/>
                <w:sz w:val="21"/>
                <w:szCs w:val="21"/>
              </w:rPr>
              <w:t>）</w:t>
            </w:r>
            <w:r>
              <w:rPr>
                <w:rFonts w:ascii="宋体" w:hAnsi="宋体" w:cs="宋体" w:eastAsia="宋体" w:hint="default"/>
                <w:sz w:val="21"/>
                <w:szCs w:val="21"/>
              </w:rPr>
              <w:t> </w:t>
            </w:r>
          </w:p>
        </w:tc>
      </w:tr>
      <w:tr>
        <w:trPr>
          <w:trHeight w:val="322" w:hRule="exact"/>
        </w:trPr>
        <w:tc>
          <w:tcPr>
            <w:tcW w:w="356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营业收入</w:t>
            </w:r>
            <w:r>
              <w:rPr>
                <w:rFonts w:ascii="宋体" w:hAnsi="宋体" w:cs="宋体" w:eastAsia="宋体" w:hint="default"/>
                <w:sz w:val="21"/>
                <w:szCs w:val="21"/>
              </w:rPr>
              <w:t> </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9"/>
              <w:jc w:val="right"/>
              <w:rPr>
                <w:rFonts w:ascii="Times New Roman" w:hAnsi="Times New Roman" w:cs="Times New Roman" w:eastAsia="Times New Roman" w:hint="default"/>
                <w:sz w:val="21"/>
                <w:szCs w:val="21"/>
              </w:rPr>
            </w:pPr>
            <w:r>
              <w:rPr>
                <w:rFonts w:ascii="Times New Roman"/>
                <w:spacing w:val="-1"/>
                <w:sz w:val="21"/>
              </w:rPr>
              <w:t>3,359,243,789.30</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pacing w:val="-1"/>
                <w:sz w:val="21"/>
              </w:rPr>
              <w:t>4,016,103,196.21</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-16.36</w:t>
            </w:r>
          </w:p>
        </w:tc>
      </w:tr>
      <w:tr>
        <w:trPr>
          <w:trHeight w:val="322" w:hRule="exact"/>
        </w:trPr>
        <w:tc>
          <w:tcPr>
            <w:tcW w:w="356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营业成本</w:t>
            </w:r>
            <w:r>
              <w:rPr>
                <w:rFonts w:ascii="宋体" w:hAnsi="宋体" w:cs="宋体" w:eastAsia="宋体" w:hint="default"/>
                <w:sz w:val="21"/>
                <w:szCs w:val="21"/>
              </w:rPr>
              <w:t> </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9"/>
              <w:jc w:val="right"/>
              <w:rPr>
                <w:rFonts w:ascii="Times New Roman" w:hAnsi="Times New Roman" w:cs="Times New Roman" w:eastAsia="Times New Roman" w:hint="default"/>
                <w:sz w:val="21"/>
                <w:szCs w:val="21"/>
              </w:rPr>
            </w:pPr>
            <w:r>
              <w:rPr>
                <w:rFonts w:ascii="Times New Roman"/>
                <w:spacing w:val="-1"/>
                <w:sz w:val="21"/>
              </w:rPr>
              <w:t>1,841,210,181.75</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pacing w:val="-1"/>
                <w:sz w:val="21"/>
              </w:rPr>
              <w:t>2,496,886,378.00</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-26.26</w:t>
            </w:r>
          </w:p>
        </w:tc>
      </w:tr>
      <w:tr>
        <w:trPr>
          <w:trHeight w:val="324" w:hRule="exact"/>
        </w:trPr>
        <w:tc>
          <w:tcPr>
            <w:tcW w:w="356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销售费用</w:t>
            </w:r>
            <w:r>
              <w:rPr>
                <w:rFonts w:ascii="宋体" w:hAnsi="宋体" w:cs="宋体" w:eastAsia="宋体" w:hint="default"/>
                <w:sz w:val="21"/>
                <w:szCs w:val="21"/>
              </w:rPr>
              <w:t> </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99"/>
              <w:jc w:val="right"/>
              <w:rPr>
                <w:rFonts w:ascii="Times New Roman" w:hAnsi="Times New Roman" w:cs="Times New Roman" w:eastAsia="Times New Roman" w:hint="default"/>
                <w:sz w:val="21"/>
                <w:szCs w:val="21"/>
              </w:rPr>
            </w:pPr>
            <w:r>
              <w:rPr>
                <w:rFonts w:ascii="Times New Roman"/>
                <w:spacing w:val="-1"/>
                <w:sz w:val="21"/>
              </w:rPr>
              <w:t>156,872,233.79</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98"/>
              <w:jc w:val="right"/>
              <w:rPr>
                <w:rFonts w:ascii="Times New Roman" w:hAnsi="Times New Roman" w:cs="Times New Roman" w:eastAsia="Times New Roman" w:hint="default"/>
                <w:sz w:val="21"/>
                <w:szCs w:val="21"/>
              </w:rPr>
            </w:pPr>
            <w:r>
              <w:rPr>
                <w:rFonts w:ascii="Times New Roman"/>
                <w:spacing w:val="-1"/>
                <w:sz w:val="21"/>
              </w:rPr>
              <w:t>131,967,529.98</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98"/>
              <w:jc w:val="right"/>
              <w:rPr>
                <w:rFonts w:ascii="Times New Roman" w:hAnsi="Times New Roman" w:cs="Times New Roman" w:eastAsia="Times New Roman" w:hint="default"/>
                <w:sz w:val="21"/>
                <w:szCs w:val="21"/>
              </w:rPr>
            </w:pPr>
            <w:r>
              <w:rPr>
                <w:rFonts w:ascii="Times New Roman"/>
                <w:sz w:val="21"/>
              </w:rPr>
              <w:t>18.87</w:t>
            </w:r>
          </w:p>
        </w:tc>
      </w:tr>
      <w:tr>
        <w:trPr>
          <w:trHeight w:val="322" w:hRule="exact"/>
        </w:trPr>
        <w:tc>
          <w:tcPr>
            <w:tcW w:w="356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管理费用</w:t>
            </w:r>
            <w:r>
              <w:rPr>
                <w:rFonts w:ascii="宋体" w:hAnsi="宋体" w:cs="宋体" w:eastAsia="宋体" w:hint="default"/>
                <w:sz w:val="21"/>
                <w:szCs w:val="21"/>
              </w:rPr>
              <w:t> </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9"/>
              <w:jc w:val="right"/>
              <w:rPr>
                <w:rFonts w:ascii="Times New Roman" w:hAnsi="Times New Roman" w:cs="Times New Roman" w:eastAsia="Times New Roman" w:hint="default"/>
                <w:sz w:val="21"/>
                <w:szCs w:val="21"/>
              </w:rPr>
            </w:pPr>
            <w:r>
              <w:rPr>
                <w:rFonts w:ascii="Times New Roman"/>
                <w:spacing w:val="-1"/>
                <w:sz w:val="21"/>
              </w:rPr>
              <w:t>232,581,571.48</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pacing w:val="-1"/>
                <w:sz w:val="21"/>
              </w:rPr>
              <w:t>219,769,164.04</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z w:val="21"/>
              </w:rPr>
              <w:t>5.83</w:t>
            </w:r>
          </w:p>
        </w:tc>
      </w:tr>
      <w:tr>
        <w:trPr>
          <w:trHeight w:val="322" w:hRule="exact"/>
        </w:trPr>
        <w:tc>
          <w:tcPr>
            <w:tcW w:w="356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研发费用</w:t>
            </w:r>
            <w:r>
              <w:rPr>
                <w:rFonts w:ascii="宋体" w:hAnsi="宋体" w:cs="宋体" w:eastAsia="宋体" w:hint="default"/>
                <w:sz w:val="21"/>
                <w:szCs w:val="21"/>
              </w:rPr>
              <w:t> </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9"/>
              <w:jc w:val="right"/>
              <w:rPr>
                <w:rFonts w:ascii="Times New Roman" w:hAnsi="Times New Roman" w:cs="Times New Roman" w:eastAsia="Times New Roman" w:hint="default"/>
                <w:sz w:val="21"/>
                <w:szCs w:val="21"/>
              </w:rPr>
            </w:pPr>
            <w:r>
              <w:rPr>
                <w:rFonts w:ascii="Times New Roman"/>
                <w:spacing w:val="-1"/>
                <w:sz w:val="21"/>
              </w:rPr>
              <w:t>138,561,387.70</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pacing w:val="-1"/>
                <w:sz w:val="21"/>
              </w:rPr>
              <w:t>147,563,320.87</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3"/>
              <w:jc w:val="right"/>
              <w:rPr>
                <w:rFonts w:ascii="Times New Roman" w:hAnsi="Times New Roman" w:cs="Times New Roman" w:eastAsia="Times New Roman" w:hint="default"/>
                <w:sz w:val="21"/>
                <w:szCs w:val="21"/>
              </w:rPr>
            </w:pPr>
            <w:r>
              <w:rPr>
                <w:rFonts w:ascii="Times New Roman"/>
                <w:spacing w:val="-1"/>
                <w:sz w:val="21"/>
              </w:rPr>
              <w:t>-6.1</w:t>
            </w:r>
          </w:p>
        </w:tc>
      </w:tr>
      <w:tr>
        <w:trPr>
          <w:trHeight w:val="322" w:hRule="exact"/>
        </w:trPr>
        <w:tc>
          <w:tcPr>
            <w:tcW w:w="356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财务费用</w:t>
            </w:r>
            <w:r>
              <w:rPr>
                <w:rFonts w:ascii="宋体" w:hAnsi="宋体" w:cs="宋体" w:eastAsia="宋体" w:hint="default"/>
                <w:sz w:val="21"/>
                <w:szCs w:val="21"/>
              </w:rPr>
              <w:t> </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9"/>
              <w:jc w:val="right"/>
              <w:rPr>
                <w:rFonts w:ascii="Times New Roman" w:hAnsi="Times New Roman" w:cs="Times New Roman" w:eastAsia="Times New Roman" w:hint="default"/>
                <w:sz w:val="21"/>
                <w:szCs w:val="21"/>
              </w:rPr>
            </w:pPr>
            <w:r>
              <w:rPr>
                <w:rFonts w:ascii="Times New Roman"/>
                <w:spacing w:val="-1"/>
                <w:sz w:val="21"/>
              </w:rPr>
              <w:t>268,679,443.97</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pacing w:val="-1"/>
                <w:sz w:val="21"/>
              </w:rPr>
              <w:t>231,245,076.56</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z w:val="21"/>
              </w:rPr>
              <w:t>16.19</w:t>
            </w:r>
          </w:p>
        </w:tc>
      </w:tr>
      <w:tr>
        <w:trPr>
          <w:trHeight w:val="322" w:hRule="exact"/>
        </w:trPr>
        <w:tc>
          <w:tcPr>
            <w:tcW w:w="3565"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r>
              <w:rPr>
                <w:rFonts w:ascii="宋体" w:hAnsi="宋体" w:cs="宋体" w:eastAsia="宋体" w:hint="default"/>
                <w:sz w:val="21"/>
                <w:szCs w:val="21"/>
              </w:rPr>
              <w:t> </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401,986,083.36</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416,163,509.76</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21"/>
                <w:szCs w:val="21"/>
              </w:rPr>
            </w:pPr>
            <w:r>
              <w:rPr>
                <w:rFonts w:ascii="Times New Roman"/>
                <w:spacing w:val="-1"/>
                <w:sz w:val="21"/>
              </w:rPr>
              <w:t>-3.41</w:t>
            </w:r>
          </w:p>
        </w:tc>
      </w:tr>
      <w:tr>
        <w:trPr>
          <w:trHeight w:val="322" w:hRule="exact"/>
        </w:trPr>
        <w:tc>
          <w:tcPr>
            <w:tcW w:w="356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投资活动产生的现金流量净额</w:t>
            </w:r>
            <w:r>
              <w:rPr>
                <w:rFonts w:ascii="宋体" w:hAnsi="宋体" w:cs="宋体" w:eastAsia="宋体" w:hint="default"/>
                <w:sz w:val="21"/>
                <w:szCs w:val="21"/>
              </w:rPr>
              <w:t> </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9"/>
              <w:jc w:val="right"/>
              <w:rPr>
                <w:rFonts w:ascii="Times New Roman" w:hAnsi="Times New Roman" w:cs="Times New Roman" w:eastAsia="Times New Roman" w:hint="default"/>
                <w:sz w:val="21"/>
                <w:szCs w:val="21"/>
              </w:rPr>
            </w:pPr>
            <w:r>
              <w:rPr>
                <w:rFonts w:ascii="Times New Roman"/>
                <w:spacing w:val="-1"/>
                <w:sz w:val="21"/>
              </w:rPr>
              <w:t>-172,913,460.01</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pacing w:val="-1"/>
                <w:sz w:val="21"/>
              </w:rPr>
              <w:t>-780,068,692.45</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z w:val="21"/>
              </w:rPr>
              <w:t>77.83</w:t>
            </w:r>
          </w:p>
        </w:tc>
      </w:tr>
      <w:tr>
        <w:trPr>
          <w:trHeight w:val="324" w:hRule="exact"/>
        </w:trPr>
        <w:tc>
          <w:tcPr>
            <w:tcW w:w="356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筹资活动产生的现金流量净额</w:t>
            </w:r>
            <w:r>
              <w:rPr>
                <w:rFonts w:ascii="宋体" w:hAnsi="宋体" w:cs="宋体" w:eastAsia="宋体" w:hint="default"/>
                <w:sz w:val="21"/>
                <w:szCs w:val="21"/>
              </w:rPr>
              <w:t> </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99"/>
              <w:jc w:val="right"/>
              <w:rPr>
                <w:rFonts w:ascii="Times New Roman" w:hAnsi="Times New Roman" w:cs="Times New Roman" w:eastAsia="Times New Roman" w:hint="default"/>
                <w:sz w:val="21"/>
                <w:szCs w:val="21"/>
              </w:rPr>
            </w:pPr>
            <w:r>
              <w:rPr>
                <w:rFonts w:ascii="Times New Roman"/>
                <w:spacing w:val="-1"/>
                <w:sz w:val="21"/>
              </w:rPr>
              <w:t>-298,403,081.93</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98"/>
              <w:jc w:val="right"/>
              <w:rPr>
                <w:rFonts w:ascii="Times New Roman" w:hAnsi="Times New Roman" w:cs="Times New Roman" w:eastAsia="Times New Roman" w:hint="default"/>
                <w:sz w:val="21"/>
                <w:szCs w:val="21"/>
              </w:rPr>
            </w:pPr>
            <w:r>
              <w:rPr>
                <w:rFonts w:ascii="Times New Roman"/>
                <w:spacing w:val="-1"/>
                <w:sz w:val="21"/>
              </w:rPr>
              <w:t>192,360,766.97</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21"/>
                <w:szCs w:val="21"/>
              </w:rPr>
            </w:pPr>
            <w:r>
              <w:rPr>
                <w:rFonts w:ascii="Times New Roman"/>
                <w:spacing w:val="-1"/>
                <w:sz w:val="21"/>
              </w:rPr>
              <w:t>-255.13</w:t>
            </w:r>
          </w:p>
        </w:tc>
      </w:tr>
    </w:tbl>
    <w:p>
      <w:pPr>
        <w:pStyle w:val="BodyText"/>
        <w:spacing w:line="273" w:lineRule="auto"/>
        <w:ind w:left="958" w:right="2033"/>
        <w:jc w:val="left"/>
        <w:rPr>
          <w:rFonts w:ascii="宋体" w:hAnsi="宋体" w:cs="宋体" w:eastAsia="宋体" w:hint="default"/>
        </w:rPr>
      </w:pPr>
      <w:r>
        <w:rPr/>
        <w:t>注：</w:t>
      </w:r>
      <w:r>
        <w:rPr>
          <w:rFonts w:ascii="宋体" w:hAnsi="宋体" w:cs="宋体" w:eastAsia="宋体" w:hint="default"/>
          <w:w w:val="100"/>
        </w:rPr>
        <w:t> </w:t>
      </w:r>
      <w:r>
        <w:rPr>
          <w:rFonts w:ascii="宋体" w:hAnsi="宋体" w:cs="宋体" w:eastAsia="宋体" w:hint="default"/>
        </w:rPr>
        <w:t>1</w:t>
      </w:r>
      <w:r>
        <w:rPr/>
        <w:t>、投资活动产生的现金流量净额变化主要系构建固定资产支付的现金减少所致。</w:t>
      </w:r>
      <w:r>
        <w:rPr>
          <w:rFonts w:ascii="宋体" w:hAnsi="宋体" w:cs="宋体" w:eastAsia="宋体" w:hint="default"/>
        </w:rPr>
        <w:t> </w:t>
      </w:r>
    </w:p>
    <w:p>
      <w:pPr>
        <w:pStyle w:val="BodyText"/>
        <w:spacing w:line="240" w:lineRule="auto" w:before="7"/>
        <w:ind w:left="958" w:right="2033"/>
        <w:jc w:val="left"/>
        <w:rPr>
          <w:rFonts w:ascii="宋体" w:hAnsi="宋体" w:cs="宋体" w:eastAsia="宋体" w:hint="default"/>
        </w:rPr>
      </w:pPr>
      <w:r>
        <w:rPr>
          <w:rFonts w:ascii="宋体" w:hAnsi="宋体" w:cs="宋体" w:eastAsia="宋体" w:hint="default"/>
        </w:rPr>
        <w:t>2</w:t>
      </w:r>
      <w:r>
        <w:rPr/>
        <w:t>、筹资活动产生的现金流量净额变化主要系本期银行借款减少所致。</w:t>
      </w:r>
      <w:r>
        <w:rPr>
          <w:rFonts w:ascii="宋体" w:hAnsi="宋体" w:cs="宋体" w:eastAsia="宋体" w:hint="default"/>
        </w:rPr>
        <w:t> </w:t>
      </w:r>
    </w:p>
    <w:p>
      <w:pPr>
        <w:spacing w:line="240" w:lineRule="auto" w:before="0"/>
        <w:rPr>
          <w:rFonts w:ascii="宋体" w:hAnsi="宋体" w:cs="宋体" w:eastAsia="宋体" w:hint="default"/>
          <w:sz w:val="20"/>
          <w:szCs w:val="20"/>
        </w:rPr>
      </w:pPr>
    </w:p>
    <w:p>
      <w:pPr>
        <w:pStyle w:val="Heading3"/>
        <w:tabs>
          <w:tab w:pos="1378" w:val="left" w:leader="none"/>
        </w:tabs>
        <w:spacing w:line="240" w:lineRule="auto" w:before="147"/>
        <w:ind w:left="958" w:right="2033"/>
        <w:jc w:val="left"/>
        <w:rPr>
          <w:rFonts w:ascii="宋体" w:hAnsi="宋体" w:cs="宋体" w:eastAsia="宋体" w:hint="default"/>
          <w:b w:val="0"/>
          <w:bCs w:val="0"/>
        </w:rPr>
      </w:pPr>
      <w:r>
        <w:rPr>
          <w:rFonts w:ascii="宋体" w:hAnsi="宋体" w:cs="宋体" w:eastAsia="宋体" w:hint="default"/>
          <w:w w:val="95"/>
        </w:rPr>
        <w:t>2.</w:t>
        <w:tab/>
      </w:r>
      <w:r>
        <w:rPr/>
        <w:t>收入和成本分析</w:t>
      </w:r>
      <w:r>
        <w:rPr>
          <w:rFonts w:ascii="宋体" w:hAnsi="宋体" w:cs="宋体" w:eastAsia="宋体" w:hint="default"/>
          <w:w w:val="99"/>
        </w:rPr>
        <w:t> </w:t>
      </w:r>
      <w:r>
        <w:rPr>
          <w:rFonts w:ascii="宋体" w:hAnsi="宋体" w:cs="宋体" w:eastAsia="宋体" w:hint="default"/>
          <w:b w:val="0"/>
          <w:bCs w:val="0"/>
        </w:rPr>
      </w:r>
    </w:p>
    <w:p>
      <w:pPr>
        <w:pStyle w:val="Heading2"/>
        <w:spacing w:line="240" w:lineRule="auto" w:before="69"/>
        <w:ind w:left="958" w:right="2033"/>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BodyText"/>
        <w:spacing w:line="240" w:lineRule="auto" w:before="25"/>
        <w:ind w:left="1378" w:right="0"/>
        <w:jc w:val="left"/>
        <w:rPr>
          <w:rFonts w:ascii="宋体" w:hAnsi="宋体" w:cs="宋体" w:eastAsia="宋体" w:hint="default"/>
        </w:rPr>
      </w:pPr>
      <w:r>
        <w:rPr/>
        <w:t>报告期内，公司实现营业收入</w:t>
      </w:r>
      <w:r>
        <w:rPr>
          <w:spacing w:val="-55"/>
        </w:rPr>
        <w:t> </w:t>
      </w:r>
      <w:r>
        <w:rPr>
          <w:rFonts w:ascii="宋体" w:hAnsi="宋体" w:cs="宋体" w:eastAsia="宋体" w:hint="default"/>
        </w:rPr>
        <w:t>33.59</w:t>
      </w:r>
      <w:r>
        <w:rPr>
          <w:rFonts w:ascii="宋体" w:hAnsi="宋体" w:cs="宋体" w:eastAsia="宋体" w:hint="default"/>
          <w:spacing w:val="-57"/>
        </w:rPr>
        <w:t> </w:t>
      </w:r>
      <w:r>
        <w:rPr/>
        <w:t>亿元，归属于上市公司股东的净利润</w:t>
      </w:r>
      <w:r>
        <w:rPr>
          <w:spacing w:val="-55"/>
        </w:rPr>
        <w:t> </w:t>
      </w:r>
      <w:r>
        <w:rPr>
          <w:rFonts w:ascii="宋体" w:hAnsi="宋体" w:cs="宋体" w:eastAsia="宋体" w:hint="default"/>
        </w:rPr>
        <w:t>7.00</w:t>
      </w:r>
      <w:r>
        <w:rPr>
          <w:rFonts w:ascii="宋体" w:hAnsi="宋体" w:cs="宋体" w:eastAsia="宋体" w:hint="default"/>
          <w:spacing w:val="-55"/>
        </w:rPr>
        <w:t> </w:t>
      </w:r>
      <w:r>
        <w:rPr/>
        <w:t>亿元。</w:t>
      </w:r>
      <w:r>
        <w:rPr>
          <w:rFonts w:ascii="宋体" w:hAnsi="宋体" w:cs="宋体" w:eastAsia="宋体" w:hint="default"/>
        </w:rPr>
        <w:t> </w:t>
      </w:r>
    </w:p>
    <w:p>
      <w:pPr>
        <w:pStyle w:val="BodyText"/>
        <w:tabs>
          <w:tab w:pos="1810" w:val="left" w:leader="none"/>
        </w:tabs>
        <w:spacing w:line="240" w:lineRule="auto" w:before="37"/>
        <w:ind w:left="958" w:right="0"/>
        <w:jc w:val="left"/>
        <w:rPr>
          <w:rFonts w:ascii="宋体" w:hAnsi="宋体" w:cs="宋体" w:eastAsia="宋体" w:hint="default"/>
        </w:rPr>
      </w:pPr>
      <w:r>
        <w:rPr>
          <w:rFonts w:ascii="宋体"/>
          <w:w w:val="100"/>
        </w:rPr>
        <w:t> </w:t>
      </w:r>
      <w:r>
        <w:rPr>
          <w:rFonts w:ascii="宋体"/>
        </w:rPr>
        <w:tab/>
      </w:r>
      <w:r>
        <w:rPr>
          <w:rFonts w:ascii="宋体"/>
          <w:w w:val="100"/>
        </w:rPr>
        <w:t> </w:t>
      </w:r>
    </w:p>
    <w:p>
      <w:pPr>
        <w:pStyle w:val="Heading3"/>
        <w:spacing w:line="240" w:lineRule="auto"/>
        <w:ind w:left="958" w:right="2033"/>
        <w:jc w:val="left"/>
        <w:rPr>
          <w:b w:val="0"/>
          <w:bCs w:val="0"/>
        </w:rPr>
      </w:pPr>
      <w:r>
        <w:rPr>
          <w:rFonts w:ascii="宋体" w:hAnsi="宋体" w:cs="宋体" w:eastAsia="宋体" w:hint="default"/>
        </w:rPr>
        <w:t>(1).</w:t>
      </w:r>
      <w:r>
        <w:rPr>
          <w:rFonts w:ascii="宋体" w:hAnsi="宋体" w:cs="宋体" w:eastAsia="宋体" w:hint="default"/>
          <w:spacing w:val="37"/>
        </w:rPr>
        <w:t> </w:t>
      </w:r>
      <w:r>
        <w:rPr/>
        <w:t>主营业务分行业、分产品、分地区情况</w:t>
      </w:r>
      <w:r>
        <w:rPr>
          <w:b w:val="0"/>
          <w:bCs w:val="0"/>
        </w:rPr>
      </w:r>
    </w:p>
    <w:p>
      <w:pPr>
        <w:pStyle w:val="BodyText"/>
        <w:spacing w:line="240" w:lineRule="auto" w:before="97"/>
        <w:ind w:left="0" w:right="708"/>
        <w:jc w:val="right"/>
        <w:rPr>
          <w:rFonts w:ascii="宋体" w:hAnsi="宋体" w:cs="宋体" w:eastAsia="宋体" w:hint="default"/>
        </w:rPr>
      </w:pPr>
      <w:r>
        <w:rPr/>
        <w:t>单位</w:t>
      </w:r>
      <w:r>
        <w:rPr>
          <w:rFonts w:ascii="宋体" w:hAnsi="宋体" w:cs="宋体" w:eastAsia="宋体" w:hint="default"/>
        </w:rPr>
        <w:t>:</w:t>
      </w:r>
      <w:r>
        <w:rPr/>
        <w:t>元</w:t>
      </w:r>
      <w:r>
        <w:rPr>
          <w:spacing w:val="102"/>
        </w:rPr>
        <w:t> </w:t>
      </w:r>
      <w:r>
        <w:rPr>
          <w:rFonts w:ascii="宋体" w:hAnsi="宋体" w:cs="宋体" w:eastAsia="宋体" w:hint="default"/>
          <w:spacing w:val="102"/>
        </w:rPr>
      </w:r>
      <w:r>
        <w:rPr/>
        <w:t>币种</w:t>
      </w:r>
      <w:r>
        <w:rPr>
          <w:rFonts w:ascii="宋体" w:hAnsi="宋体" w:cs="宋体" w:eastAsia="宋体" w:hint="default"/>
        </w:rPr>
        <w:t>:</w:t>
      </w:r>
      <w:r>
        <w:rPr/>
        <w:t>人民币</w:t>
      </w:r>
      <w:r>
        <w:rPr>
          <w:rFonts w:ascii="宋体" w:hAnsi="宋体" w:cs="宋体" w:eastAsia="宋体" w:hint="default"/>
        </w:rPr>
        <w:t> </w:t>
      </w:r>
    </w:p>
    <w:p>
      <w:pPr>
        <w:spacing w:line="240" w:lineRule="auto" w:before="10"/>
        <w:rPr>
          <w:rFonts w:ascii="宋体" w:hAnsi="宋体" w:cs="宋体" w:eastAsia="宋体" w:hint="default"/>
          <w:sz w:val="3"/>
          <w:szCs w:val="3"/>
        </w:rPr>
      </w:pPr>
    </w:p>
    <w:tbl>
      <w:tblPr>
        <w:tblW w:w="0" w:type="auto"/>
        <w:jc w:val="left"/>
        <w:tblInd w:w="101" w:type="dxa"/>
        <w:tblLayout w:type="fixed"/>
        <w:tblCellMar>
          <w:top w:w="0" w:type="dxa"/>
          <w:left w:w="0" w:type="dxa"/>
          <w:bottom w:w="0" w:type="dxa"/>
          <w:right w:w="0" w:type="dxa"/>
        </w:tblCellMar>
        <w:tblLook w:val="01E0"/>
      </w:tblPr>
      <w:tblGrid>
        <w:gridCol w:w="1844"/>
        <w:gridCol w:w="1949"/>
        <w:gridCol w:w="1949"/>
        <w:gridCol w:w="1076"/>
        <w:gridCol w:w="1190"/>
        <w:gridCol w:w="1309"/>
        <w:gridCol w:w="1306"/>
      </w:tblGrid>
      <w:tr>
        <w:trPr>
          <w:trHeight w:val="322" w:hRule="exact"/>
        </w:trPr>
        <w:tc>
          <w:tcPr>
            <w:tcW w:w="10622" w:type="dxa"/>
            <w:gridSpan w:val="7"/>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center"/>
              <w:rPr>
                <w:rFonts w:ascii="宋体" w:hAnsi="宋体" w:cs="宋体" w:eastAsia="宋体" w:hint="default"/>
                <w:sz w:val="21"/>
                <w:szCs w:val="21"/>
              </w:rPr>
            </w:pPr>
            <w:r>
              <w:rPr>
                <w:rFonts w:ascii="宋体" w:hAnsi="宋体" w:cs="宋体" w:eastAsia="宋体" w:hint="default"/>
                <w:sz w:val="21"/>
                <w:szCs w:val="21"/>
              </w:rPr>
              <w:t>主营业务分行业情况</w:t>
            </w:r>
            <w:r>
              <w:rPr>
                <w:rFonts w:ascii="宋体" w:hAnsi="宋体" w:cs="宋体" w:eastAsia="宋体" w:hint="default"/>
                <w:sz w:val="21"/>
                <w:szCs w:val="21"/>
              </w:rPr>
              <w:t> </w:t>
            </w:r>
          </w:p>
        </w:tc>
      </w:tr>
      <w:tr>
        <w:trPr>
          <w:trHeight w:val="946"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600" w:right="0"/>
              <w:jc w:val="left"/>
              <w:rPr>
                <w:rFonts w:ascii="宋体" w:hAnsi="宋体" w:cs="宋体" w:eastAsia="宋体" w:hint="default"/>
                <w:sz w:val="21"/>
                <w:szCs w:val="21"/>
              </w:rPr>
            </w:pPr>
            <w:r>
              <w:rPr>
                <w:rFonts w:ascii="宋体" w:hAnsi="宋体" w:cs="宋体" w:eastAsia="宋体" w:hint="default"/>
                <w:sz w:val="21"/>
                <w:szCs w:val="21"/>
              </w:rPr>
              <w:t>分行业</w:t>
            </w:r>
            <w:r>
              <w:rPr>
                <w:rFonts w:ascii="宋体" w:hAnsi="宋体" w:cs="宋体" w:eastAsia="宋体" w:hint="default"/>
                <w:sz w:val="21"/>
                <w:szCs w:val="21"/>
              </w:rPr>
              <w:t> </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549" w:right="0"/>
              <w:jc w:val="left"/>
              <w:rPr>
                <w:rFonts w:ascii="宋体" w:hAnsi="宋体" w:cs="宋体" w:eastAsia="宋体" w:hint="default"/>
                <w:sz w:val="21"/>
                <w:szCs w:val="21"/>
              </w:rPr>
            </w:pPr>
            <w:r>
              <w:rPr>
                <w:rFonts w:ascii="宋体" w:hAnsi="宋体" w:cs="宋体" w:eastAsia="宋体" w:hint="default"/>
                <w:sz w:val="21"/>
                <w:szCs w:val="21"/>
              </w:rPr>
              <w:t>营业收入</w:t>
            </w:r>
            <w:r>
              <w:rPr>
                <w:rFonts w:ascii="宋体" w:hAnsi="宋体" w:cs="宋体" w:eastAsia="宋体" w:hint="default"/>
                <w:sz w:val="21"/>
                <w:szCs w:val="21"/>
              </w:rPr>
              <w:t> </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549" w:right="0"/>
              <w:jc w:val="left"/>
              <w:rPr>
                <w:rFonts w:ascii="宋体" w:hAnsi="宋体" w:cs="宋体" w:eastAsia="宋体" w:hint="default"/>
                <w:sz w:val="21"/>
                <w:szCs w:val="21"/>
              </w:rPr>
            </w:pPr>
            <w:r>
              <w:rPr>
                <w:rFonts w:ascii="宋体" w:hAnsi="宋体" w:cs="宋体" w:eastAsia="宋体" w:hint="default"/>
                <w:sz w:val="21"/>
                <w:szCs w:val="21"/>
              </w:rPr>
              <w:t>营业成本</w:t>
            </w:r>
            <w:r>
              <w:rPr>
                <w:rFonts w:ascii="宋体" w:hAnsi="宋体" w:cs="宋体" w:eastAsia="宋体" w:hint="default"/>
                <w:sz w:val="21"/>
                <w:szCs w:val="21"/>
              </w:rPr>
              <w:t> </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16" w:right="0"/>
              <w:jc w:val="left"/>
              <w:rPr>
                <w:rFonts w:ascii="宋体" w:hAnsi="宋体" w:cs="宋体" w:eastAsia="宋体" w:hint="default"/>
                <w:sz w:val="21"/>
                <w:szCs w:val="21"/>
              </w:rPr>
            </w:pPr>
            <w:r>
              <w:rPr>
                <w:rFonts w:ascii="宋体" w:hAnsi="宋体" w:cs="宋体" w:eastAsia="宋体" w:hint="default"/>
                <w:sz w:val="21"/>
                <w:szCs w:val="21"/>
              </w:rPr>
              <w:t>毛利率</w:t>
            </w:r>
          </w:p>
          <w:p>
            <w:pPr>
              <w:pStyle w:val="TableParagraph"/>
              <w:spacing w:line="240" w:lineRule="auto" w:before="37"/>
              <w:ind w:left="269"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67" w:right="119"/>
              <w:jc w:val="both"/>
              <w:rPr>
                <w:rFonts w:ascii="宋体" w:hAnsi="宋体" w:cs="宋体" w:eastAsia="宋体" w:hint="default"/>
                <w:sz w:val="21"/>
                <w:szCs w:val="21"/>
              </w:rPr>
            </w:pPr>
            <w:r>
              <w:rPr>
                <w:rFonts w:ascii="宋体" w:hAnsi="宋体" w:cs="宋体" w:eastAsia="宋体" w:hint="default"/>
                <w:sz w:val="21"/>
                <w:szCs w:val="21"/>
              </w:rPr>
              <w:t>营业收入</w:t>
            </w:r>
            <w:r>
              <w:rPr>
                <w:rFonts w:ascii="宋体" w:hAnsi="宋体" w:cs="宋体" w:eastAsia="宋体" w:hint="default"/>
                <w:w w:val="100"/>
                <w:sz w:val="21"/>
                <w:szCs w:val="21"/>
              </w:rPr>
              <w:t> </w:t>
            </w:r>
            <w:r>
              <w:rPr>
                <w:rFonts w:ascii="宋体" w:hAnsi="宋体" w:cs="宋体" w:eastAsia="宋体" w:hint="default"/>
                <w:sz w:val="21"/>
                <w:szCs w:val="21"/>
              </w:rPr>
              <w:t>比上年增</w:t>
            </w:r>
            <w:r>
              <w:rPr>
                <w:rFonts w:ascii="宋体" w:hAnsi="宋体" w:cs="宋体" w:eastAsia="宋体" w:hint="default"/>
                <w:w w:val="100"/>
                <w:sz w:val="21"/>
                <w:szCs w:val="21"/>
              </w:rPr>
              <w:t> </w:t>
            </w:r>
            <w:r>
              <w:rPr>
                <w:rFonts w:ascii="宋体" w:hAnsi="宋体" w:cs="宋体" w:eastAsia="宋体" w:hint="default"/>
                <w:sz w:val="21"/>
                <w:szCs w:val="21"/>
              </w:rPr>
              <w:t>减（</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c>
          <w:tcPr>
            <w:tcW w:w="130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22" w:right="120"/>
              <w:jc w:val="center"/>
              <w:rPr>
                <w:rFonts w:ascii="宋体" w:hAnsi="宋体" w:cs="宋体" w:eastAsia="宋体" w:hint="default"/>
                <w:sz w:val="21"/>
                <w:szCs w:val="21"/>
              </w:rPr>
            </w:pPr>
            <w:r>
              <w:rPr>
                <w:rFonts w:ascii="宋体" w:hAnsi="宋体" w:cs="宋体" w:eastAsia="宋体" w:hint="default"/>
                <w:sz w:val="21"/>
                <w:szCs w:val="21"/>
              </w:rPr>
              <w:t>营业成本比</w:t>
            </w:r>
            <w:r>
              <w:rPr>
                <w:rFonts w:ascii="宋体" w:hAnsi="宋体" w:cs="宋体" w:eastAsia="宋体" w:hint="default"/>
                <w:w w:val="100"/>
                <w:sz w:val="21"/>
                <w:szCs w:val="21"/>
              </w:rPr>
              <w:t> </w:t>
            </w:r>
            <w:r>
              <w:rPr>
                <w:rFonts w:ascii="宋体" w:hAnsi="宋体" w:cs="宋体" w:eastAsia="宋体" w:hint="default"/>
                <w:sz w:val="21"/>
                <w:szCs w:val="21"/>
              </w:rPr>
              <w:t>上年增减</w:t>
            </w:r>
          </w:p>
          <w:p>
            <w:pPr>
              <w:pStyle w:val="TableParagraph"/>
              <w:spacing w:line="240" w:lineRule="auto" w:before="7"/>
              <w:ind w:left="105"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103" w:right="-3" w:firstLine="19"/>
              <w:jc w:val="left"/>
              <w:rPr>
                <w:rFonts w:ascii="宋体" w:hAnsi="宋体" w:cs="宋体" w:eastAsia="宋体" w:hint="default"/>
                <w:sz w:val="21"/>
                <w:szCs w:val="21"/>
              </w:rPr>
            </w:pPr>
            <w:r>
              <w:rPr>
                <w:rFonts w:ascii="宋体" w:hAnsi="宋体" w:cs="宋体" w:eastAsia="宋体" w:hint="default"/>
                <w:sz w:val="21"/>
                <w:szCs w:val="21"/>
              </w:rPr>
              <w:t>毛利率比上</w:t>
            </w:r>
            <w:r>
              <w:rPr>
                <w:rFonts w:ascii="宋体" w:hAnsi="宋体" w:cs="宋体" w:eastAsia="宋体" w:hint="default"/>
                <w:w w:val="100"/>
                <w:sz w:val="21"/>
                <w:szCs w:val="21"/>
              </w:rPr>
              <w:t> </w:t>
            </w:r>
            <w:r>
              <w:rPr>
                <w:rFonts w:ascii="宋体" w:hAnsi="宋体" w:cs="宋体" w:eastAsia="宋体" w:hint="default"/>
                <w:spacing w:val="-13"/>
                <w:sz w:val="21"/>
                <w:szCs w:val="21"/>
              </w:rPr>
              <w:t>年增减（</w:t>
            </w:r>
            <w:r>
              <w:rPr>
                <w:rFonts w:ascii="宋体" w:hAnsi="宋体" w:cs="宋体" w:eastAsia="宋体" w:hint="default"/>
                <w:spacing w:val="-13"/>
                <w:sz w:val="21"/>
                <w:szCs w:val="21"/>
              </w:rPr>
              <w:t>%</w:t>
            </w:r>
            <w:r>
              <w:rPr>
                <w:rFonts w:ascii="宋体" w:hAnsi="宋体" w:cs="宋体" w:eastAsia="宋体" w:hint="default"/>
                <w:spacing w:val="-13"/>
                <w:sz w:val="21"/>
                <w:szCs w:val="21"/>
              </w:rPr>
              <w:t>）</w:t>
            </w:r>
            <w:r>
              <w:rPr>
                <w:rFonts w:ascii="宋体" w:hAnsi="宋体" w:cs="宋体" w:eastAsia="宋体" w:hint="default"/>
                <w:sz w:val="21"/>
                <w:szCs w:val="21"/>
              </w:rPr>
              <w:t> </w:t>
            </w:r>
          </w:p>
        </w:tc>
      </w:tr>
      <w:tr>
        <w:trPr>
          <w:trHeight w:val="634"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智能配用电行业</w:t>
            </w:r>
            <w:r>
              <w:rPr>
                <w:rFonts w:ascii="宋体" w:hAnsi="宋体" w:cs="宋体" w:eastAsia="宋体" w:hint="default"/>
                <w:sz w:val="21"/>
                <w:szCs w:val="21"/>
              </w:rPr>
              <w:t> </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3"/>
              <w:jc w:val="right"/>
              <w:rPr>
                <w:rFonts w:ascii="宋体" w:hAnsi="宋体" w:cs="宋体" w:eastAsia="宋体" w:hint="default"/>
                <w:sz w:val="21"/>
                <w:szCs w:val="21"/>
              </w:rPr>
            </w:pPr>
            <w:r>
              <w:rPr>
                <w:rFonts w:ascii="宋体"/>
                <w:spacing w:val="-1"/>
                <w:sz w:val="21"/>
              </w:rPr>
              <w:t>1,613,177,305.19</w:t>
            </w:r>
            <w:r>
              <w:rPr>
                <w:rFonts w:ascii="宋体"/>
                <w:sz w:val="21"/>
              </w:rPr>
              <w:t> </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3"/>
              <w:jc w:val="right"/>
              <w:rPr>
                <w:rFonts w:ascii="宋体" w:hAnsi="宋体" w:cs="宋体" w:eastAsia="宋体" w:hint="default"/>
                <w:sz w:val="21"/>
                <w:szCs w:val="21"/>
              </w:rPr>
            </w:pPr>
            <w:r>
              <w:rPr>
                <w:rFonts w:ascii="宋体"/>
                <w:spacing w:val="-1"/>
                <w:sz w:val="21"/>
              </w:rPr>
              <w:t>1,167,157,010.67</w:t>
            </w:r>
            <w:r>
              <w:rPr>
                <w:rFonts w:ascii="宋体"/>
                <w:sz w:val="21"/>
              </w:rPr>
              <w:t> </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3"/>
              <w:jc w:val="right"/>
              <w:rPr>
                <w:rFonts w:ascii="宋体" w:hAnsi="宋体" w:cs="宋体" w:eastAsia="宋体" w:hint="default"/>
                <w:sz w:val="21"/>
                <w:szCs w:val="21"/>
              </w:rPr>
            </w:pPr>
            <w:r>
              <w:rPr>
                <w:rFonts w:ascii="宋体"/>
                <w:spacing w:val="-1"/>
                <w:sz w:val="21"/>
              </w:rPr>
              <w:t>27.65</w:t>
            </w:r>
            <w:r>
              <w:rPr>
                <w:rFonts w:ascii="宋体"/>
                <w:sz w:val="21"/>
              </w:rPr>
              <w:t> </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
              <w:jc w:val="right"/>
              <w:rPr>
                <w:rFonts w:ascii="宋体" w:hAnsi="宋体" w:cs="宋体" w:eastAsia="宋体" w:hint="default"/>
                <w:sz w:val="21"/>
                <w:szCs w:val="21"/>
              </w:rPr>
            </w:pPr>
            <w:r>
              <w:rPr>
                <w:rFonts w:ascii="宋体"/>
                <w:spacing w:val="-1"/>
                <w:sz w:val="21"/>
              </w:rPr>
              <w:t>12.62</w:t>
            </w:r>
            <w:r>
              <w:rPr>
                <w:rFonts w:ascii="宋体"/>
                <w:sz w:val="21"/>
              </w:rPr>
              <w:t> </w:t>
            </w:r>
          </w:p>
        </w:tc>
        <w:tc>
          <w:tcPr>
            <w:tcW w:w="1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3"/>
              <w:jc w:val="right"/>
              <w:rPr>
                <w:rFonts w:ascii="宋体" w:hAnsi="宋体" w:cs="宋体" w:eastAsia="宋体" w:hint="default"/>
                <w:sz w:val="21"/>
                <w:szCs w:val="21"/>
              </w:rPr>
            </w:pPr>
            <w:r>
              <w:rPr>
                <w:rFonts w:ascii="宋体"/>
                <w:spacing w:val="-1"/>
                <w:sz w:val="21"/>
              </w:rPr>
              <w:t>8.81</w:t>
            </w:r>
            <w:r>
              <w:rPr>
                <w:rFonts w:ascii="宋体"/>
                <w:sz w:val="21"/>
              </w:rPr>
              <w:t> </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8"/>
              <w:jc w:val="left"/>
              <w:rPr>
                <w:rFonts w:ascii="宋体" w:hAnsi="宋体" w:cs="宋体" w:eastAsia="宋体" w:hint="default"/>
                <w:sz w:val="21"/>
                <w:szCs w:val="21"/>
              </w:rPr>
            </w:pPr>
            <w:r>
              <w:rPr>
                <w:rFonts w:ascii="宋体" w:hAnsi="宋体" w:cs="宋体" w:eastAsia="宋体" w:hint="default"/>
                <w:spacing w:val="35"/>
                <w:sz w:val="21"/>
                <w:szCs w:val="21"/>
              </w:rPr>
              <w:t>增加</w:t>
            </w:r>
            <w:r>
              <w:rPr>
                <w:rFonts w:ascii="宋体" w:hAnsi="宋体" w:cs="宋体" w:eastAsia="宋体" w:hint="default"/>
                <w:spacing w:val="75"/>
                <w:sz w:val="21"/>
                <w:szCs w:val="21"/>
              </w:rPr>
              <w:t> </w:t>
            </w:r>
            <w:r>
              <w:rPr>
                <w:rFonts w:ascii="宋体" w:hAnsi="宋体" w:cs="宋体" w:eastAsia="宋体" w:hint="default"/>
                <w:sz w:val="21"/>
                <w:szCs w:val="21"/>
              </w:rPr>
              <w:t>2.53</w:t>
            </w:r>
            <w:r>
              <w:rPr>
                <w:rFonts w:ascii="宋体" w:hAnsi="宋体" w:cs="宋体" w:eastAsia="宋体" w:hint="default"/>
                <w:w w:val="100"/>
                <w:sz w:val="21"/>
                <w:szCs w:val="21"/>
              </w:rPr>
              <w:t> </w:t>
            </w:r>
            <w:r>
              <w:rPr>
                <w:rFonts w:ascii="宋体" w:hAnsi="宋体" w:cs="宋体" w:eastAsia="宋体" w:hint="default"/>
                <w:sz w:val="21"/>
                <w:szCs w:val="21"/>
              </w:rPr>
              <w:t>个百分点</w:t>
            </w:r>
            <w:r>
              <w:rPr>
                <w:rFonts w:ascii="宋体" w:hAnsi="宋体" w:cs="宋体" w:eastAsia="宋体" w:hint="default"/>
                <w:sz w:val="21"/>
                <w:szCs w:val="21"/>
              </w:rPr>
              <w:t> </w:t>
            </w:r>
          </w:p>
        </w:tc>
      </w:tr>
      <w:tr>
        <w:trPr>
          <w:trHeight w:val="634"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Calibri" w:hAnsi="Calibri" w:cs="Calibri" w:eastAsia="Calibri" w:hint="default"/>
                <w:sz w:val="21"/>
                <w:szCs w:val="21"/>
              </w:rPr>
              <w:t>LED</w:t>
            </w:r>
            <w:r>
              <w:rPr>
                <w:rFonts w:ascii="Calibri" w:hAnsi="Calibri" w:cs="Calibri" w:eastAsia="Calibri" w:hint="default"/>
                <w:spacing w:val="10"/>
                <w:sz w:val="21"/>
                <w:szCs w:val="21"/>
              </w:rPr>
              <w:t> </w:t>
            </w:r>
            <w:r>
              <w:rPr>
                <w:rFonts w:ascii="宋体" w:hAnsi="宋体" w:cs="宋体" w:eastAsia="宋体" w:hint="default"/>
                <w:spacing w:val="-3"/>
                <w:sz w:val="21"/>
                <w:szCs w:val="21"/>
              </w:rPr>
              <w:t>行业</w:t>
            </w:r>
            <w:r>
              <w:rPr>
                <w:rFonts w:ascii="宋体" w:hAnsi="宋体" w:cs="宋体" w:eastAsia="宋体" w:hint="default"/>
                <w:sz w:val="21"/>
                <w:szCs w:val="21"/>
              </w:rPr>
              <w:t> </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3"/>
              <w:jc w:val="right"/>
              <w:rPr>
                <w:rFonts w:ascii="宋体" w:hAnsi="宋体" w:cs="宋体" w:eastAsia="宋体" w:hint="default"/>
                <w:sz w:val="21"/>
                <w:szCs w:val="21"/>
              </w:rPr>
            </w:pPr>
            <w:r>
              <w:rPr>
                <w:rFonts w:ascii="宋体"/>
                <w:spacing w:val="-1"/>
                <w:sz w:val="21"/>
              </w:rPr>
              <w:t>44,902,120.70</w:t>
            </w:r>
            <w:r>
              <w:rPr>
                <w:rFonts w:ascii="宋体"/>
                <w:sz w:val="21"/>
              </w:rPr>
              <w:t> </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3"/>
              <w:jc w:val="right"/>
              <w:rPr>
                <w:rFonts w:ascii="宋体" w:hAnsi="宋体" w:cs="宋体" w:eastAsia="宋体" w:hint="default"/>
                <w:sz w:val="21"/>
                <w:szCs w:val="21"/>
              </w:rPr>
            </w:pPr>
            <w:r>
              <w:rPr>
                <w:rFonts w:ascii="宋体"/>
                <w:spacing w:val="-1"/>
                <w:sz w:val="21"/>
              </w:rPr>
              <w:t>27,844,645.70</w:t>
            </w:r>
            <w:r>
              <w:rPr>
                <w:rFonts w:ascii="宋体"/>
                <w:sz w:val="21"/>
              </w:rPr>
              <w:t> </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3"/>
              <w:jc w:val="right"/>
              <w:rPr>
                <w:rFonts w:ascii="宋体" w:hAnsi="宋体" w:cs="宋体" w:eastAsia="宋体" w:hint="default"/>
                <w:sz w:val="21"/>
                <w:szCs w:val="21"/>
              </w:rPr>
            </w:pPr>
            <w:r>
              <w:rPr>
                <w:rFonts w:ascii="宋体"/>
                <w:spacing w:val="-1"/>
                <w:sz w:val="21"/>
              </w:rPr>
              <w:t>37.99</w:t>
            </w:r>
            <w:r>
              <w:rPr>
                <w:rFonts w:ascii="宋体"/>
                <w:sz w:val="21"/>
              </w:rPr>
              <w:t> </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
              <w:jc w:val="right"/>
              <w:rPr>
                <w:rFonts w:ascii="宋体" w:hAnsi="宋体" w:cs="宋体" w:eastAsia="宋体" w:hint="default"/>
                <w:sz w:val="21"/>
                <w:szCs w:val="21"/>
              </w:rPr>
            </w:pPr>
            <w:r>
              <w:rPr>
                <w:rFonts w:ascii="宋体"/>
                <w:spacing w:val="-1"/>
                <w:sz w:val="21"/>
              </w:rPr>
              <w:t>-16.08</w:t>
            </w:r>
            <w:r>
              <w:rPr>
                <w:rFonts w:ascii="宋体"/>
                <w:sz w:val="21"/>
              </w:rPr>
              <w:t> </w:t>
            </w:r>
          </w:p>
        </w:tc>
        <w:tc>
          <w:tcPr>
            <w:tcW w:w="1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3"/>
              <w:jc w:val="right"/>
              <w:rPr>
                <w:rFonts w:ascii="宋体" w:hAnsi="宋体" w:cs="宋体" w:eastAsia="宋体" w:hint="default"/>
                <w:sz w:val="21"/>
                <w:szCs w:val="21"/>
              </w:rPr>
            </w:pPr>
            <w:r>
              <w:rPr>
                <w:rFonts w:ascii="宋体"/>
                <w:spacing w:val="-1"/>
                <w:sz w:val="21"/>
              </w:rPr>
              <w:t>-28.44</w:t>
            </w:r>
            <w:r>
              <w:rPr>
                <w:rFonts w:ascii="宋体"/>
                <w:sz w:val="21"/>
              </w:rPr>
              <w:t> </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pacing w:val="9"/>
                <w:sz w:val="21"/>
                <w:szCs w:val="21"/>
              </w:rPr>
              <w:t>增加</w:t>
            </w:r>
            <w:r>
              <w:rPr>
                <w:rFonts w:ascii="宋体" w:hAnsi="宋体" w:cs="宋体" w:eastAsia="宋体" w:hint="default"/>
                <w:spacing w:val="22"/>
                <w:sz w:val="21"/>
                <w:szCs w:val="21"/>
              </w:rPr>
              <w:t> </w:t>
            </w:r>
            <w:r>
              <w:rPr>
                <w:rFonts w:ascii="宋体" w:hAnsi="宋体" w:cs="宋体" w:eastAsia="宋体" w:hint="default"/>
                <w:sz w:val="21"/>
                <w:szCs w:val="21"/>
              </w:rPr>
              <w:t>10.71</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个百分点</w:t>
            </w:r>
            <w:r>
              <w:rPr>
                <w:rFonts w:ascii="宋体" w:hAnsi="宋体" w:cs="宋体" w:eastAsia="宋体" w:hint="default"/>
                <w:sz w:val="21"/>
                <w:szCs w:val="21"/>
              </w:rPr>
              <w:t> </w:t>
            </w:r>
          </w:p>
        </w:tc>
      </w:tr>
      <w:tr>
        <w:trPr>
          <w:trHeight w:val="637"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103" w:right="0"/>
              <w:jc w:val="left"/>
              <w:rPr>
                <w:rFonts w:ascii="宋体" w:hAnsi="宋体" w:cs="宋体" w:eastAsia="宋体" w:hint="default"/>
                <w:sz w:val="21"/>
                <w:szCs w:val="21"/>
              </w:rPr>
            </w:pPr>
            <w:r>
              <w:rPr>
                <w:rFonts w:ascii="宋体" w:hAnsi="宋体" w:cs="宋体" w:eastAsia="宋体" w:hint="default"/>
                <w:sz w:val="21"/>
                <w:szCs w:val="21"/>
              </w:rPr>
              <w:t>光伏行业</w:t>
            </w:r>
            <w:r>
              <w:rPr>
                <w:rFonts w:ascii="宋体" w:hAnsi="宋体" w:cs="宋体" w:eastAsia="宋体" w:hint="default"/>
                <w:sz w:val="21"/>
                <w:szCs w:val="21"/>
              </w:rPr>
              <w:t> </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3"/>
              <w:jc w:val="right"/>
              <w:rPr>
                <w:rFonts w:ascii="宋体" w:hAnsi="宋体" w:cs="宋体" w:eastAsia="宋体" w:hint="default"/>
                <w:sz w:val="21"/>
                <w:szCs w:val="21"/>
              </w:rPr>
            </w:pPr>
            <w:r>
              <w:rPr>
                <w:rFonts w:ascii="宋体"/>
                <w:spacing w:val="-1"/>
                <w:sz w:val="21"/>
              </w:rPr>
              <w:t>1,517,069,269.95</w:t>
            </w:r>
            <w:r>
              <w:rPr>
                <w:rFonts w:ascii="宋体"/>
                <w:sz w:val="21"/>
              </w:rPr>
              <w:t> </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3"/>
              <w:jc w:val="right"/>
              <w:rPr>
                <w:rFonts w:ascii="宋体" w:hAnsi="宋体" w:cs="宋体" w:eastAsia="宋体" w:hint="default"/>
                <w:sz w:val="21"/>
                <w:szCs w:val="21"/>
              </w:rPr>
            </w:pPr>
            <w:r>
              <w:rPr>
                <w:rFonts w:ascii="宋体"/>
                <w:spacing w:val="-1"/>
                <w:sz w:val="21"/>
              </w:rPr>
              <w:t>504,877,324.68</w:t>
            </w:r>
            <w:r>
              <w:rPr>
                <w:rFonts w:ascii="宋体"/>
                <w:sz w:val="21"/>
              </w:rPr>
              <w:t> </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3"/>
              <w:jc w:val="right"/>
              <w:rPr>
                <w:rFonts w:ascii="宋体" w:hAnsi="宋体" w:cs="宋体" w:eastAsia="宋体" w:hint="default"/>
                <w:sz w:val="21"/>
                <w:szCs w:val="21"/>
              </w:rPr>
            </w:pPr>
            <w:r>
              <w:rPr>
                <w:rFonts w:ascii="宋体"/>
                <w:spacing w:val="-1"/>
                <w:sz w:val="21"/>
              </w:rPr>
              <w:t>66.72</w:t>
            </w:r>
            <w:r>
              <w:rPr>
                <w:rFonts w:ascii="宋体"/>
                <w:sz w:val="21"/>
              </w:rPr>
              <w:t> </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
              <w:jc w:val="right"/>
              <w:rPr>
                <w:rFonts w:ascii="宋体" w:hAnsi="宋体" w:cs="宋体" w:eastAsia="宋体" w:hint="default"/>
                <w:sz w:val="21"/>
                <w:szCs w:val="21"/>
              </w:rPr>
            </w:pPr>
            <w:r>
              <w:rPr>
                <w:rFonts w:ascii="宋体"/>
                <w:spacing w:val="-1"/>
                <w:sz w:val="21"/>
              </w:rPr>
              <w:t>-36.87</w:t>
            </w:r>
            <w:r>
              <w:rPr>
                <w:rFonts w:ascii="宋体"/>
                <w:sz w:val="21"/>
              </w:rPr>
              <w:t> </w:t>
            </w:r>
          </w:p>
        </w:tc>
        <w:tc>
          <w:tcPr>
            <w:tcW w:w="1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3"/>
              <w:jc w:val="right"/>
              <w:rPr>
                <w:rFonts w:ascii="宋体" w:hAnsi="宋体" w:cs="宋体" w:eastAsia="宋体" w:hint="default"/>
                <w:sz w:val="21"/>
                <w:szCs w:val="21"/>
              </w:rPr>
            </w:pPr>
            <w:r>
              <w:rPr>
                <w:rFonts w:ascii="宋体"/>
                <w:spacing w:val="-1"/>
                <w:sz w:val="21"/>
              </w:rPr>
              <w:t>-60.89</w:t>
            </w:r>
            <w:r>
              <w:rPr>
                <w:rFonts w:ascii="宋体"/>
                <w:sz w:val="21"/>
              </w:rPr>
              <w:t> </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pacing w:val="9"/>
                <w:sz w:val="21"/>
                <w:szCs w:val="21"/>
              </w:rPr>
              <w:t>增加</w:t>
            </w:r>
            <w:r>
              <w:rPr>
                <w:rFonts w:ascii="宋体" w:hAnsi="宋体" w:cs="宋体" w:eastAsia="宋体" w:hint="default"/>
                <w:spacing w:val="22"/>
                <w:sz w:val="21"/>
                <w:szCs w:val="21"/>
              </w:rPr>
              <w:t> </w:t>
            </w:r>
            <w:r>
              <w:rPr>
                <w:rFonts w:ascii="宋体" w:hAnsi="宋体" w:cs="宋体" w:eastAsia="宋体" w:hint="default"/>
                <w:sz w:val="21"/>
                <w:szCs w:val="21"/>
              </w:rPr>
              <w:t>20.44</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个百分点</w:t>
            </w:r>
            <w:r>
              <w:rPr>
                <w:rFonts w:ascii="宋体" w:hAnsi="宋体" w:cs="宋体" w:eastAsia="宋体" w:hint="default"/>
                <w:sz w:val="21"/>
                <w:szCs w:val="21"/>
              </w:rPr>
              <w:t> </w:t>
            </w:r>
          </w:p>
        </w:tc>
      </w:tr>
      <w:tr>
        <w:trPr>
          <w:trHeight w:val="634"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其他行业</w:t>
            </w:r>
            <w:r>
              <w:rPr>
                <w:rFonts w:ascii="宋体" w:hAnsi="宋体" w:cs="宋体" w:eastAsia="宋体" w:hint="default"/>
                <w:sz w:val="21"/>
                <w:szCs w:val="21"/>
              </w:rPr>
              <w:t> </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3"/>
              <w:jc w:val="right"/>
              <w:rPr>
                <w:rFonts w:ascii="宋体" w:hAnsi="宋体" w:cs="宋体" w:eastAsia="宋体" w:hint="default"/>
                <w:sz w:val="21"/>
                <w:szCs w:val="21"/>
              </w:rPr>
            </w:pPr>
            <w:r>
              <w:rPr>
                <w:rFonts w:ascii="宋体"/>
                <w:spacing w:val="-1"/>
                <w:sz w:val="21"/>
              </w:rPr>
              <w:t>109,221,761.91</w:t>
            </w:r>
            <w:r>
              <w:rPr>
                <w:rFonts w:ascii="宋体"/>
                <w:sz w:val="21"/>
              </w:rPr>
              <w:t> </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3"/>
              <w:jc w:val="right"/>
              <w:rPr>
                <w:rFonts w:ascii="宋体" w:hAnsi="宋体" w:cs="宋体" w:eastAsia="宋体" w:hint="default"/>
                <w:sz w:val="21"/>
                <w:szCs w:val="21"/>
              </w:rPr>
            </w:pPr>
            <w:r>
              <w:rPr>
                <w:rFonts w:ascii="宋体"/>
                <w:spacing w:val="-1"/>
                <w:sz w:val="21"/>
              </w:rPr>
              <w:t>83,385,255.92</w:t>
            </w:r>
            <w:r>
              <w:rPr>
                <w:rFonts w:ascii="宋体"/>
                <w:sz w:val="21"/>
              </w:rPr>
              <w:t> </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3"/>
              <w:jc w:val="right"/>
              <w:rPr>
                <w:rFonts w:ascii="宋体" w:hAnsi="宋体" w:cs="宋体" w:eastAsia="宋体" w:hint="default"/>
                <w:sz w:val="21"/>
                <w:szCs w:val="21"/>
              </w:rPr>
            </w:pPr>
            <w:r>
              <w:rPr>
                <w:rFonts w:ascii="宋体"/>
                <w:spacing w:val="-1"/>
                <w:sz w:val="21"/>
              </w:rPr>
              <w:t>23.66</w:t>
            </w:r>
            <w:r>
              <w:rPr>
                <w:rFonts w:ascii="宋体"/>
                <w:sz w:val="21"/>
              </w:rPr>
              <w:t> </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
              <w:jc w:val="right"/>
              <w:rPr>
                <w:rFonts w:ascii="宋体" w:hAnsi="宋体" w:cs="宋体" w:eastAsia="宋体" w:hint="default"/>
                <w:sz w:val="21"/>
                <w:szCs w:val="21"/>
              </w:rPr>
            </w:pPr>
            <w:r>
              <w:rPr>
                <w:rFonts w:ascii="宋体"/>
                <w:spacing w:val="-1"/>
                <w:sz w:val="21"/>
              </w:rPr>
              <w:t>30.46</w:t>
            </w:r>
            <w:r>
              <w:rPr>
                <w:rFonts w:ascii="宋体"/>
                <w:sz w:val="21"/>
              </w:rPr>
              <w:t> </w:t>
            </w:r>
          </w:p>
        </w:tc>
        <w:tc>
          <w:tcPr>
            <w:tcW w:w="1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3"/>
              <w:jc w:val="right"/>
              <w:rPr>
                <w:rFonts w:ascii="宋体" w:hAnsi="宋体" w:cs="宋体" w:eastAsia="宋体" w:hint="default"/>
                <w:sz w:val="21"/>
                <w:szCs w:val="21"/>
              </w:rPr>
            </w:pPr>
            <w:r>
              <w:rPr>
                <w:rFonts w:ascii="宋体"/>
                <w:spacing w:val="-1"/>
                <w:sz w:val="21"/>
              </w:rPr>
              <w:t>49.82</w:t>
            </w:r>
            <w:r>
              <w:rPr>
                <w:rFonts w:ascii="宋体"/>
                <w:sz w:val="21"/>
              </w:rPr>
              <w:t> </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8"/>
              <w:jc w:val="left"/>
              <w:rPr>
                <w:rFonts w:ascii="宋体" w:hAnsi="宋体" w:cs="宋体" w:eastAsia="宋体" w:hint="default"/>
                <w:sz w:val="21"/>
                <w:szCs w:val="21"/>
              </w:rPr>
            </w:pPr>
            <w:r>
              <w:rPr>
                <w:rFonts w:ascii="宋体" w:hAnsi="宋体" w:cs="宋体" w:eastAsia="宋体" w:hint="default"/>
                <w:spacing w:val="35"/>
                <w:sz w:val="21"/>
                <w:szCs w:val="21"/>
              </w:rPr>
              <w:t>减少</w:t>
            </w:r>
            <w:r>
              <w:rPr>
                <w:rFonts w:ascii="宋体" w:hAnsi="宋体" w:cs="宋体" w:eastAsia="宋体" w:hint="default"/>
                <w:spacing w:val="75"/>
                <w:sz w:val="21"/>
                <w:szCs w:val="21"/>
              </w:rPr>
              <w:t> </w:t>
            </w:r>
            <w:r>
              <w:rPr>
                <w:rFonts w:ascii="宋体" w:hAnsi="宋体" w:cs="宋体" w:eastAsia="宋体" w:hint="default"/>
                <w:sz w:val="21"/>
                <w:szCs w:val="21"/>
              </w:rPr>
              <w:t>9.87</w:t>
            </w:r>
            <w:r>
              <w:rPr>
                <w:rFonts w:ascii="宋体" w:hAnsi="宋体" w:cs="宋体" w:eastAsia="宋体" w:hint="default"/>
                <w:w w:val="100"/>
                <w:sz w:val="21"/>
                <w:szCs w:val="21"/>
              </w:rPr>
              <w:t> </w:t>
            </w:r>
            <w:r>
              <w:rPr>
                <w:rFonts w:ascii="宋体" w:hAnsi="宋体" w:cs="宋体" w:eastAsia="宋体" w:hint="default"/>
                <w:sz w:val="21"/>
                <w:szCs w:val="21"/>
              </w:rPr>
              <w:t>个百分点</w:t>
            </w:r>
            <w:r>
              <w:rPr>
                <w:rFonts w:ascii="宋体" w:hAnsi="宋体" w:cs="宋体" w:eastAsia="宋体" w:hint="default"/>
                <w:sz w:val="21"/>
                <w:szCs w:val="21"/>
              </w:rPr>
              <w:t> </w:t>
            </w:r>
          </w:p>
        </w:tc>
      </w:tr>
      <w:tr>
        <w:trPr>
          <w:trHeight w:val="322" w:hRule="exact"/>
        </w:trPr>
        <w:tc>
          <w:tcPr>
            <w:tcW w:w="10622" w:type="dxa"/>
            <w:gridSpan w:val="7"/>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center"/>
              <w:rPr>
                <w:rFonts w:ascii="宋体" w:hAnsi="宋体" w:cs="宋体" w:eastAsia="宋体" w:hint="default"/>
                <w:sz w:val="21"/>
                <w:szCs w:val="21"/>
              </w:rPr>
            </w:pPr>
            <w:r>
              <w:rPr>
                <w:rFonts w:ascii="宋体" w:hAnsi="宋体" w:cs="宋体" w:eastAsia="宋体" w:hint="default"/>
                <w:sz w:val="21"/>
                <w:szCs w:val="21"/>
              </w:rPr>
              <w:t>主营业务分产品情况</w:t>
            </w:r>
            <w:r>
              <w:rPr>
                <w:rFonts w:ascii="宋体" w:hAnsi="宋体" w:cs="宋体" w:eastAsia="宋体" w:hint="default"/>
                <w:sz w:val="21"/>
                <w:szCs w:val="21"/>
              </w:rPr>
              <w:t> </w:t>
            </w:r>
          </w:p>
        </w:tc>
      </w:tr>
      <w:tr>
        <w:trPr>
          <w:trHeight w:val="946"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600" w:right="0"/>
              <w:jc w:val="left"/>
              <w:rPr>
                <w:rFonts w:ascii="宋体" w:hAnsi="宋体" w:cs="宋体" w:eastAsia="宋体" w:hint="default"/>
                <w:sz w:val="21"/>
                <w:szCs w:val="21"/>
              </w:rPr>
            </w:pPr>
            <w:r>
              <w:rPr>
                <w:rFonts w:ascii="宋体" w:hAnsi="宋体" w:cs="宋体" w:eastAsia="宋体" w:hint="default"/>
                <w:sz w:val="21"/>
                <w:szCs w:val="21"/>
              </w:rPr>
              <w:t>分产品</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549" w:right="0"/>
              <w:jc w:val="left"/>
              <w:rPr>
                <w:rFonts w:ascii="宋体" w:hAnsi="宋体" w:cs="宋体" w:eastAsia="宋体" w:hint="default"/>
                <w:sz w:val="21"/>
                <w:szCs w:val="21"/>
              </w:rPr>
            </w:pPr>
            <w:r>
              <w:rPr>
                <w:rFonts w:ascii="宋体" w:hAnsi="宋体" w:cs="宋体" w:eastAsia="宋体" w:hint="default"/>
                <w:sz w:val="21"/>
                <w:szCs w:val="21"/>
              </w:rPr>
              <w:t>营业收入</w:t>
            </w:r>
            <w:r>
              <w:rPr>
                <w:rFonts w:ascii="宋体" w:hAnsi="宋体" w:cs="宋体" w:eastAsia="宋体" w:hint="default"/>
                <w:sz w:val="21"/>
                <w:szCs w:val="21"/>
              </w:rPr>
              <w:t> </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549" w:right="0"/>
              <w:jc w:val="left"/>
              <w:rPr>
                <w:rFonts w:ascii="宋体" w:hAnsi="宋体" w:cs="宋体" w:eastAsia="宋体" w:hint="default"/>
                <w:sz w:val="21"/>
                <w:szCs w:val="21"/>
              </w:rPr>
            </w:pPr>
            <w:r>
              <w:rPr>
                <w:rFonts w:ascii="宋体" w:hAnsi="宋体" w:cs="宋体" w:eastAsia="宋体" w:hint="default"/>
                <w:sz w:val="21"/>
                <w:szCs w:val="21"/>
              </w:rPr>
              <w:t>营业成本</w:t>
            </w:r>
            <w:r>
              <w:rPr>
                <w:rFonts w:ascii="宋体" w:hAnsi="宋体" w:cs="宋体" w:eastAsia="宋体" w:hint="default"/>
                <w:sz w:val="21"/>
                <w:szCs w:val="21"/>
              </w:rPr>
              <w:t> </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16" w:right="0"/>
              <w:jc w:val="left"/>
              <w:rPr>
                <w:rFonts w:ascii="宋体" w:hAnsi="宋体" w:cs="宋体" w:eastAsia="宋体" w:hint="default"/>
                <w:sz w:val="21"/>
                <w:szCs w:val="21"/>
              </w:rPr>
            </w:pPr>
            <w:r>
              <w:rPr>
                <w:rFonts w:ascii="宋体" w:hAnsi="宋体" w:cs="宋体" w:eastAsia="宋体" w:hint="default"/>
                <w:sz w:val="21"/>
                <w:szCs w:val="21"/>
              </w:rPr>
              <w:t>毛利率</w:t>
            </w:r>
          </w:p>
          <w:p>
            <w:pPr>
              <w:pStyle w:val="TableParagraph"/>
              <w:spacing w:line="240" w:lineRule="auto" w:before="37"/>
              <w:ind w:left="269"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67" w:right="119"/>
              <w:jc w:val="both"/>
              <w:rPr>
                <w:rFonts w:ascii="宋体" w:hAnsi="宋体" w:cs="宋体" w:eastAsia="宋体" w:hint="default"/>
                <w:sz w:val="21"/>
                <w:szCs w:val="21"/>
              </w:rPr>
            </w:pPr>
            <w:r>
              <w:rPr>
                <w:rFonts w:ascii="宋体" w:hAnsi="宋体" w:cs="宋体" w:eastAsia="宋体" w:hint="default"/>
                <w:sz w:val="21"/>
                <w:szCs w:val="21"/>
              </w:rPr>
              <w:t>营业收入</w:t>
            </w:r>
            <w:r>
              <w:rPr>
                <w:rFonts w:ascii="宋体" w:hAnsi="宋体" w:cs="宋体" w:eastAsia="宋体" w:hint="default"/>
                <w:w w:val="100"/>
                <w:sz w:val="21"/>
                <w:szCs w:val="21"/>
              </w:rPr>
              <w:t> </w:t>
            </w:r>
            <w:r>
              <w:rPr>
                <w:rFonts w:ascii="宋体" w:hAnsi="宋体" w:cs="宋体" w:eastAsia="宋体" w:hint="default"/>
                <w:sz w:val="21"/>
                <w:szCs w:val="21"/>
              </w:rPr>
              <w:t>比上年增</w:t>
            </w:r>
            <w:r>
              <w:rPr>
                <w:rFonts w:ascii="宋体" w:hAnsi="宋体" w:cs="宋体" w:eastAsia="宋体" w:hint="default"/>
                <w:w w:val="100"/>
                <w:sz w:val="21"/>
                <w:szCs w:val="21"/>
              </w:rPr>
              <w:t> </w:t>
            </w:r>
            <w:r>
              <w:rPr>
                <w:rFonts w:ascii="宋体" w:hAnsi="宋体" w:cs="宋体" w:eastAsia="宋体" w:hint="default"/>
                <w:sz w:val="21"/>
                <w:szCs w:val="21"/>
              </w:rPr>
              <w:t>减（</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c>
          <w:tcPr>
            <w:tcW w:w="130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22" w:right="120"/>
              <w:jc w:val="center"/>
              <w:rPr>
                <w:rFonts w:ascii="宋体" w:hAnsi="宋体" w:cs="宋体" w:eastAsia="宋体" w:hint="default"/>
                <w:sz w:val="21"/>
                <w:szCs w:val="21"/>
              </w:rPr>
            </w:pPr>
            <w:r>
              <w:rPr>
                <w:rFonts w:ascii="宋体" w:hAnsi="宋体" w:cs="宋体" w:eastAsia="宋体" w:hint="default"/>
                <w:sz w:val="21"/>
                <w:szCs w:val="21"/>
              </w:rPr>
              <w:t>营业成本比</w:t>
            </w:r>
            <w:r>
              <w:rPr>
                <w:rFonts w:ascii="宋体" w:hAnsi="宋体" w:cs="宋体" w:eastAsia="宋体" w:hint="default"/>
                <w:w w:val="100"/>
                <w:sz w:val="21"/>
                <w:szCs w:val="21"/>
              </w:rPr>
              <w:t> </w:t>
            </w:r>
            <w:r>
              <w:rPr>
                <w:rFonts w:ascii="宋体" w:hAnsi="宋体" w:cs="宋体" w:eastAsia="宋体" w:hint="default"/>
                <w:sz w:val="21"/>
                <w:szCs w:val="21"/>
              </w:rPr>
              <w:t>上年增减</w:t>
            </w:r>
          </w:p>
          <w:p>
            <w:pPr>
              <w:pStyle w:val="TableParagraph"/>
              <w:spacing w:line="240" w:lineRule="auto" w:before="7"/>
              <w:ind w:left="105"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103" w:right="-3" w:firstLine="19"/>
              <w:jc w:val="left"/>
              <w:rPr>
                <w:rFonts w:ascii="宋体" w:hAnsi="宋体" w:cs="宋体" w:eastAsia="宋体" w:hint="default"/>
                <w:sz w:val="21"/>
                <w:szCs w:val="21"/>
              </w:rPr>
            </w:pPr>
            <w:r>
              <w:rPr>
                <w:rFonts w:ascii="宋体" w:hAnsi="宋体" w:cs="宋体" w:eastAsia="宋体" w:hint="default"/>
                <w:sz w:val="21"/>
                <w:szCs w:val="21"/>
              </w:rPr>
              <w:t>毛利率比上</w:t>
            </w:r>
            <w:r>
              <w:rPr>
                <w:rFonts w:ascii="宋体" w:hAnsi="宋体" w:cs="宋体" w:eastAsia="宋体" w:hint="default"/>
                <w:w w:val="100"/>
                <w:sz w:val="21"/>
                <w:szCs w:val="21"/>
              </w:rPr>
              <w:t> </w:t>
            </w:r>
            <w:r>
              <w:rPr>
                <w:rFonts w:ascii="宋体" w:hAnsi="宋体" w:cs="宋体" w:eastAsia="宋体" w:hint="default"/>
                <w:spacing w:val="-13"/>
                <w:sz w:val="21"/>
                <w:szCs w:val="21"/>
              </w:rPr>
              <w:t>年增减（</w:t>
            </w:r>
            <w:r>
              <w:rPr>
                <w:rFonts w:ascii="宋体" w:hAnsi="宋体" w:cs="宋体" w:eastAsia="宋体" w:hint="default"/>
                <w:spacing w:val="-13"/>
                <w:sz w:val="21"/>
                <w:szCs w:val="21"/>
              </w:rPr>
              <w:t>%</w:t>
            </w:r>
            <w:r>
              <w:rPr>
                <w:rFonts w:ascii="宋体" w:hAnsi="宋体" w:cs="宋体" w:eastAsia="宋体" w:hint="default"/>
                <w:spacing w:val="-13"/>
                <w:sz w:val="21"/>
                <w:szCs w:val="21"/>
              </w:rPr>
              <w:t>）</w:t>
            </w:r>
            <w:r>
              <w:rPr>
                <w:rFonts w:ascii="宋体" w:hAnsi="宋体" w:cs="宋体" w:eastAsia="宋体" w:hint="default"/>
                <w:sz w:val="21"/>
                <w:szCs w:val="21"/>
              </w:rPr>
              <w:t> </w:t>
            </w:r>
          </w:p>
        </w:tc>
      </w:tr>
      <w:tr>
        <w:trPr>
          <w:trHeight w:val="634"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55"/>
              <w:jc w:val="left"/>
              <w:rPr>
                <w:rFonts w:ascii="宋体" w:hAnsi="宋体" w:cs="宋体" w:eastAsia="宋体" w:hint="default"/>
                <w:sz w:val="21"/>
                <w:szCs w:val="21"/>
              </w:rPr>
            </w:pPr>
            <w:r>
              <w:rPr>
                <w:rFonts w:ascii="宋体" w:hAnsi="宋体" w:cs="宋体" w:eastAsia="宋体" w:hint="default"/>
                <w:sz w:val="21"/>
                <w:szCs w:val="21"/>
              </w:rPr>
              <w:t>电能表及系统类</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产品</w:t>
            </w:r>
            <w:r>
              <w:rPr>
                <w:rFonts w:ascii="宋体" w:hAnsi="宋体" w:cs="宋体" w:eastAsia="宋体" w:hint="default"/>
                <w:sz w:val="21"/>
                <w:szCs w:val="21"/>
              </w:rPr>
              <w:t> </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3"/>
              <w:jc w:val="right"/>
              <w:rPr>
                <w:rFonts w:ascii="宋体" w:hAnsi="宋体" w:cs="宋体" w:eastAsia="宋体" w:hint="default"/>
                <w:sz w:val="21"/>
                <w:szCs w:val="21"/>
              </w:rPr>
            </w:pPr>
            <w:r>
              <w:rPr>
                <w:rFonts w:ascii="宋体"/>
                <w:spacing w:val="-1"/>
                <w:sz w:val="21"/>
              </w:rPr>
              <w:t>1,358,385,070.78</w:t>
            </w:r>
            <w:r>
              <w:rPr>
                <w:rFonts w:ascii="宋体"/>
                <w:sz w:val="21"/>
              </w:rPr>
              <w:t> </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3"/>
              <w:jc w:val="right"/>
              <w:rPr>
                <w:rFonts w:ascii="宋体" w:hAnsi="宋体" w:cs="宋体" w:eastAsia="宋体" w:hint="default"/>
                <w:sz w:val="21"/>
                <w:szCs w:val="21"/>
              </w:rPr>
            </w:pPr>
            <w:r>
              <w:rPr>
                <w:rFonts w:ascii="宋体"/>
                <w:spacing w:val="-1"/>
                <w:sz w:val="21"/>
              </w:rPr>
              <w:t>938,640,947.59</w:t>
            </w:r>
            <w:r>
              <w:rPr>
                <w:rFonts w:ascii="宋体"/>
                <w:sz w:val="21"/>
              </w:rPr>
              <w:t> </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3"/>
              <w:jc w:val="right"/>
              <w:rPr>
                <w:rFonts w:ascii="宋体" w:hAnsi="宋体" w:cs="宋体" w:eastAsia="宋体" w:hint="default"/>
                <w:sz w:val="21"/>
                <w:szCs w:val="21"/>
              </w:rPr>
            </w:pPr>
            <w:r>
              <w:rPr>
                <w:rFonts w:ascii="宋体"/>
                <w:spacing w:val="-1"/>
                <w:sz w:val="21"/>
              </w:rPr>
              <w:t>30.90</w:t>
            </w:r>
            <w:r>
              <w:rPr>
                <w:rFonts w:ascii="宋体"/>
                <w:sz w:val="21"/>
              </w:rPr>
              <w:t> </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
              <w:jc w:val="right"/>
              <w:rPr>
                <w:rFonts w:ascii="宋体" w:hAnsi="宋体" w:cs="宋体" w:eastAsia="宋体" w:hint="default"/>
                <w:sz w:val="21"/>
                <w:szCs w:val="21"/>
              </w:rPr>
            </w:pPr>
            <w:r>
              <w:rPr>
                <w:rFonts w:ascii="宋体"/>
                <w:spacing w:val="-1"/>
                <w:sz w:val="21"/>
              </w:rPr>
              <w:t>2.08</w:t>
            </w:r>
            <w:r>
              <w:rPr>
                <w:rFonts w:ascii="宋体"/>
                <w:sz w:val="21"/>
              </w:rPr>
              <w:t> </w:t>
            </w:r>
          </w:p>
        </w:tc>
        <w:tc>
          <w:tcPr>
            <w:tcW w:w="1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3"/>
              <w:jc w:val="right"/>
              <w:rPr>
                <w:rFonts w:ascii="宋体" w:hAnsi="宋体" w:cs="宋体" w:eastAsia="宋体" w:hint="default"/>
                <w:sz w:val="21"/>
                <w:szCs w:val="21"/>
              </w:rPr>
            </w:pPr>
            <w:r>
              <w:rPr>
                <w:rFonts w:ascii="宋体"/>
                <w:spacing w:val="-1"/>
                <w:sz w:val="21"/>
              </w:rPr>
              <w:t>-4.68</w:t>
            </w:r>
            <w:r>
              <w:rPr>
                <w:rFonts w:ascii="宋体"/>
                <w:sz w:val="21"/>
              </w:rPr>
              <w:t> </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8"/>
              <w:jc w:val="left"/>
              <w:rPr>
                <w:rFonts w:ascii="宋体" w:hAnsi="宋体" w:cs="宋体" w:eastAsia="宋体" w:hint="default"/>
                <w:sz w:val="21"/>
                <w:szCs w:val="21"/>
              </w:rPr>
            </w:pPr>
            <w:r>
              <w:rPr>
                <w:rFonts w:ascii="宋体" w:hAnsi="宋体" w:cs="宋体" w:eastAsia="宋体" w:hint="default"/>
                <w:spacing w:val="35"/>
                <w:sz w:val="21"/>
                <w:szCs w:val="21"/>
              </w:rPr>
              <w:t>增加</w:t>
            </w:r>
            <w:r>
              <w:rPr>
                <w:rFonts w:ascii="宋体" w:hAnsi="宋体" w:cs="宋体" w:eastAsia="宋体" w:hint="default"/>
                <w:spacing w:val="75"/>
                <w:sz w:val="21"/>
                <w:szCs w:val="21"/>
              </w:rPr>
              <w:t> </w:t>
            </w:r>
            <w:r>
              <w:rPr>
                <w:rFonts w:ascii="宋体" w:hAnsi="宋体" w:cs="宋体" w:eastAsia="宋体" w:hint="default"/>
                <w:sz w:val="21"/>
                <w:szCs w:val="21"/>
              </w:rPr>
              <w:t>4.90</w:t>
            </w:r>
            <w:r>
              <w:rPr>
                <w:rFonts w:ascii="宋体" w:hAnsi="宋体" w:cs="宋体" w:eastAsia="宋体" w:hint="default"/>
                <w:w w:val="100"/>
                <w:sz w:val="21"/>
                <w:szCs w:val="21"/>
              </w:rPr>
              <w:t> </w:t>
            </w:r>
            <w:r>
              <w:rPr>
                <w:rFonts w:ascii="宋体" w:hAnsi="宋体" w:cs="宋体" w:eastAsia="宋体" w:hint="default"/>
                <w:sz w:val="21"/>
                <w:szCs w:val="21"/>
              </w:rPr>
              <w:t>个百分点</w:t>
            </w:r>
            <w:r>
              <w:rPr>
                <w:rFonts w:ascii="宋体" w:hAnsi="宋体" w:cs="宋体" w:eastAsia="宋体" w:hint="default"/>
                <w:sz w:val="21"/>
                <w:szCs w:val="21"/>
              </w:rPr>
              <w:t> </w:t>
            </w:r>
          </w:p>
        </w:tc>
      </w:tr>
    </w:tbl>
    <w:p>
      <w:pPr>
        <w:spacing w:after="0" w:line="273" w:lineRule="auto"/>
        <w:jc w:val="left"/>
        <w:rPr>
          <w:rFonts w:ascii="宋体" w:hAnsi="宋体" w:cs="宋体" w:eastAsia="宋体" w:hint="default"/>
          <w:sz w:val="21"/>
          <w:szCs w:val="21"/>
        </w:rPr>
        <w:sectPr>
          <w:type w:val="continuous"/>
          <w:pgSz w:w="11910" w:h="16840"/>
          <w:pgMar w:top="1580" w:bottom="280" w:left="460" w:right="600"/>
        </w:sectPr>
      </w:pPr>
    </w:p>
    <w:p>
      <w:pPr>
        <w:spacing w:line="240" w:lineRule="auto" w:before="11"/>
        <w:rPr>
          <w:rFonts w:ascii="宋体" w:hAnsi="宋体" w:cs="宋体" w:eastAsia="宋体" w:hint="default"/>
          <w:sz w:val="22"/>
          <w:szCs w:val="22"/>
        </w:rPr>
      </w:pPr>
    </w:p>
    <w:tbl>
      <w:tblPr>
        <w:tblW w:w="0" w:type="auto"/>
        <w:jc w:val="left"/>
        <w:tblInd w:w="161" w:type="dxa"/>
        <w:tblLayout w:type="fixed"/>
        <w:tblCellMar>
          <w:top w:w="0" w:type="dxa"/>
          <w:left w:w="0" w:type="dxa"/>
          <w:bottom w:w="0" w:type="dxa"/>
          <w:right w:w="0" w:type="dxa"/>
        </w:tblCellMar>
        <w:tblLook w:val="01E0"/>
      </w:tblPr>
      <w:tblGrid>
        <w:gridCol w:w="1844"/>
        <w:gridCol w:w="1949"/>
        <w:gridCol w:w="1949"/>
        <w:gridCol w:w="1076"/>
        <w:gridCol w:w="1190"/>
        <w:gridCol w:w="1309"/>
        <w:gridCol w:w="1306"/>
      </w:tblGrid>
      <w:tr>
        <w:trPr>
          <w:trHeight w:val="634"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03" w:right="0"/>
              <w:jc w:val="left"/>
              <w:rPr>
                <w:rFonts w:ascii="宋体" w:hAnsi="宋体" w:cs="宋体" w:eastAsia="宋体" w:hint="default"/>
                <w:sz w:val="21"/>
                <w:szCs w:val="21"/>
              </w:rPr>
            </w:pPr>
            <w:r>
              <w:rPr>
                <w:rFonts w:ascii="Calibri" w:hAnsi="Calibri" w:cs="Calibri" w:eastAsia="Calibri" w:hint="default"/>
                <w:sz w:val="21"/>
                <w:szCs w:val="21"/>
              </w:rPr>
              <w:t>LED</w:t>
            </w:r>
            <w:r>
              <w:rPr>
                <w:rFonts w:ascii="Calibri" w:hAnsi="Calibri" w:cs="Calibri" w:eastAsia="Calibri" w:hint="default"/>
                <w:spacing w:val="14"/>
                <w:sz w:val="21"/>
                <w:szCs w:val="21"/>
              </w:rPr>
              <w:t> </w:t>
            </w:r>
            <w:r>
              <w:rPr>
                <w:rFonts w:ascii="宋体" w:hAnsi="宋体" w:cs="宋体" w:eastAsia="宋体" w:hint="default"/>
                <w:spacing w:val="-3"/>
                <w:sz w:val="21"/>
                <w:szCs w:val="21"/>
              </w:rPr>
              <w:t>系列产品</w:t>
            </w:r>
            <w:r>
              <w:rPr>
                <w:rFonts w:ascii="宋体" w:hAnsi="宋体" w:cs="宋体" w:eastAsia="宋体" w:hint="default"/>
                <w:sz w:val="21"/>
                <w:szCs w:val="21"/>
              </w:rPr>
              <w:t> </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3"/>
              <w:jc w:val="right"/>
              <w:rPr>
                <w:rFonts w:ascii="宋体" w:hAnsi="宋体" w:cs="宋体" w:eastAsia="宋体" w:hint="default"/>
                <w:sz w:val="21"/>
                <w:szCs w:val="21"/>
              </w:rPr>
            </w:pPr>
            <w:r>
              <w:rPr>
                <w:rFonts w:ascii="宋体"/>
                <w:spacing w:val="-1"/>
                <w:sz w:val="21"/>
              </w:rPr>
              <w:t>44,902,120.70</w:t>
            </w:r>
            <w:r>
              <w:rPr>
                <w:rFonts w:ascii="宋体"/>
                <w:sz w:val="21"/>
              </w:rPr>
              <w:t> </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3"/>
              <w:jc w:val="right"/>
              <w:rPr>
                <w:rFonts w:ascii="宋体" w:hAnsi="宋体" w:cs="宋体" w:eastAsia="宋体" w:hint="default"/>
                <w:sz w:val="21"/>
                <w:szCs w:val="21"/>
              </w:rPr>
            </w:pPr>
            <w:r>
              <w:rPr>
                <w:rFonts w:ascii="宋体"/>
                <w:spacing w:val="-1"/>
                <w:sz w:val="21"/>
              </w:rPr>
              <w:t>27,844,645.70</w:t>
            </w:r>
            <w:r>
              <w:rPr>
                <w:rFonts w:ascii="宋体"/>
                <w:sz w:val="21"/>
              </w:rPr>
              <w:t> </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3"/>
              <w:jc w:val="right"/>
              <w:rPr>
                <w:rFonts w:ascii="宋体" w:hAnsi="宋体" w:cs="宋体" w:eastAsia="宋体" w:hint="default"/>
                <w:sz w:val="21"/>
                <w:szCs w:val="21"/>
              </w:rPr>
            </w:pPr>
            <w:r>
              <w:rPr>
                <w:rFonts w:ascii="宋体"/>
                <w:spacing w:val="-1"/>
                <w:sz w:val="21"/>
              </w:rPr>
              <w:t>37.99</w:t>
            </w:r>
            <w:r>
              <w:rPr>
                <w:rFonts w:ascii="宋体"/>
                <w:sz w:val="21"/>
              </w:rPr>
              <w:t> </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
              <w:jc w:val="right"/>
              <w:rPr>
                <w:rFonts w:ascii="宋体" w:hAnsi="宋体" w:cs="宋体" w:eastAsia="宋体" w:hint="default"/>
                <w:sz w:val="21"/>
                <w:szCs w:val="21"/>
              </w:rPr>
            </w:pPr>
            <w:r>
              <w:rPr>
                <w:rFonts w:ascii="宋体"/>
                <w:spacing w:val="-1"/>
                <w:sz w:val="21"/>
              </w:rPr>
              <w:t>-16.08</w:t>
            </w:r>
            <w:r>
              <w:rPr>
                <w:rFonts w:ascii="宋体"/>
                <w:sz w:val="21"/>
              </w:rPr>
              <w:t> </w:t>
            </w:r>
          </w:p>
        </w:tc>
        <w:tc>
          <w:tcPr>
            <w:tcW w:w="1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3"/>
              <w:jc w:val="right"/>
              <w:rPr>
                <w:rFonts w:ascii="宋体" w:hAnsi="宋体" w:cs="宋体" w:eastAsia="宋体" w:hint="default"/>
                <w:sz w:val="21"/>
                <w:szCs w:val="21"/>
              </w:rPr>
            </w:pPr>
            <w:r>
              <w:rPr>
                <w:rFonts w:ascii="宋体"/>
                <w:spacing w:val="-1"/>
                <w:sz w:val="21"/>
              </w:rPr>
              <w:t>-28.44</w:t>
            </w:r>
            <w:r>
              <w:rPr>
                <w:rFonts w:ascii="宋体"/>
                <w:sz w:val="21"/>
              </w:rPr>
              <w:t> </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pacing w:val="9"/>
                <w:sz w:val="21"/>
                <w:szCs w:val="21"/>
              </w:rPr>
              <w:t>增加</w:t>
            </w:r>
            <w:r>
              <w:rPr>
                <w:rFonts w:ascii="宋体" w:hAnsi="宋体" w:cs="宋体" w:eastAsia="宋体" w:hint="default"/>
                <w:spacing w:val="22"/>
                <w:sz w:val="21"/>
                <w:szCs w:val="21"/>
              </w:rPr>
              <w:t> </w:t>
            </w:r>
            <w:r>
              <w:rPr>
                <w:rFonts w:ascii="宋体" w:hAnsi="宋体" w:cs="宋体" w:eastAsia="宋体" w:hint="default"/>
                <w:sz w:val="21"/>
                <w:szCs w:val="21"/>
              </w:rPr>
              <w:t>10.71</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个百分点</w:t>
            </w:r>
            <w:r>
              <w:rPr>
                <w:rFonts w:ascii="宋体" w:hAnsi="宋体" w:cs="宋体" w:eastAsia="宋体" w:hint="default"/>
                <w:sz w:val="21"/>
                <w:szCs w:val="21"/>
              </w:rPr>
              <w:t> </w:t>
            </w:r>
          </w:p>
        </w:tc>
      </w:tr>
      <w:tr>
        <w:trPr>
          <w:trHeight w:val="634"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光伏发电</w:t>
            </w:r>
            <w:r>
              <w:rPr>
                <w:rFonts w:ascii="宋体" w:hAnsi="宋体" w:cs="宋体" w:eastAsia="宋体" w:hint="default"/>
                <w:sz w:val="21"/>
                <w:szCs w:val="21"/>
              </w:rPr>
              <w:t> </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3"/>
              <w:jc w:val="right"/>
              <w:rPr>
                <w:rFonts w:ascii="宋体" w:hAnsi="宋体" w:cs="宋体" w:eastAsia="宋体" w:hint="default"/>
                <w:sz w:val="21"/>
                <w:szCs w:val="21"/>
              </w:rPr>
            </w:pPr>
            <w:r>
              <w:rPr>
                <w:rFonts w:ascii="宋体"/>
                <w:spacing w:val="-1"/>
                <w:sz w:val="21"/>
              </w:rPr>
              <w:t>1,436,917,120.08</w:t>
            </w:r>
            <w:r>
              <w:rPr>
                <w:rFonts w:ascii="宋体"/>
                <w:sz w:val="21"/>
              </w:rPr>
              <w:t> </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3"/>
              <w:jc w:val="right"/>
              <w:rPr>
                <w:rFonts w:ascii="宋体" w:hAnsi="宋体" w:cs="宋体" w:eastAsia="宋体" w:hint="default"/>
                <w:sz w:val="21"/>
                <w:szCs w:val="21"/>
              </w:rPr>
            </w:pPr>
            <w:r>
              <w:rPr>
                <w:rFonts w:ascii="宋体"/>
                <w:spacing w:val="-1"/>
                <w:sz w:val="21"/>
              </w:rPr>
              <w:t>440,312,144.55</w:t>
            </w:r>
            <w:r>
              <w:rPr>
                <w:rFonts w:ascii="宋体"/>
                <w:sz w:val="21"/>
              </w:rPr>
              <w:t> </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3"/>
              <w:jc w:val="right"/>
              <w:rPr>
                <w:rFonts w:ascii="宋体" w:hAnsi="宋体" w:cs="宋体" w:eastAsia="宋体" w:hint="default"/>
                <w:sz w:val="21"/>
                <w:szCs w:val="21"/>
              </w:rPr>
            </w:pPr>
            <w:r>
              <w:rPr>
                <w:rFonts w:ascii="宋体"/>
                <w:spacing w:val="-1"/>
                <w:sz w:val="21"/>
              </w:rPr>
              <w:t>69.36</w:t>
            </w:r>
            <w:r>
              <w:rPr>
                <w:rFonts w:ascii="宋体"/>
                <w:sz w:val="21"/>
              </w:rPr>
              <w:t> </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
              <w:jc w:val="right"/>
              <w:rPr>
                <w:rFonts w:ascii="宋体" w:hAnsi="宋体" w:cs="宋体" w:eastAsia="宋体" w:hint="default"/>
                <w:sz w:val="21"/>
                <w:szCs w:val="21"/>
              </w:rPr>
            </w:pPr>
            <w:r>
              <w:rPr>
                <w:rFonts w:ascii="宋体"/>
                <w:spacing w:val="-1"/>
                <w:sz w:val="21"/>
              </w:rPr>
              <w:t>8.03</w:t>
            </w:r>
            <w:r>
              <w:rPr>
                <w:rFonts w:ascii="宋体"/>
                <w:sz w:val="21"/>
              </w:rPr>
              <w:t> </w:t>
            </w:r>
          </w:p>
        </w:tc>
        <w:tc>
          <w:tcPr>
            <w:tcW w:w="1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3"/>
              <w:jc w:val="right"/>
              <w:rPr>
                <w:rFonts w:ascii="宋体" w:hAnsi="宋体" w:cs="宋体" w:eastAsia="宋体" w:hint="default"/>
                <w:sz w:val="21"/>
                <w:szCs w:val="21"/>
              </w:rPr>
            </w:pPr>
            <w:r>
              <w:rPr>
                <w:rFonts w:ascii="宋体"/>
                <w:spacing w:val="-1"/>
                <w:sz w:val="21"/>
              </w:rPr>
              <w:t>11.65</w:t>
            </w:r>
            <w:r>
              <w:rPr>
                <w:rFonts w:ascii="宋体"/>
                <w:sz w:val="21"/>
              </w:rPr>
              <w:t> </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8"/>
              <w:jc w:val="left"/>
              <w:rPr>
                <w:rFonts w:ascii="宋体" w:hAnsi="宋体" w:cs="宋体" w:eastAsia="宋体" w:hint="default"/>
                <w:sz w:val="21"/>
                <w:szCs w:val="21"/>
              </w:rPr>
            </w:pPr>
            <w:r>
              <w:rPr>
                <w:rFonts w:ascii="宋体" w:hAnsi="宋体" w:cs="宋体" w:eastAsia="宋体" w:hint="default"/>
                <w:spacing w:val="35"/>
                <w:sz w:val="21"/>
                <w:szCs w:val="21"/>
              </w:rPr>
              <w:t>减少</w:t>
            </w:r>
            <w:r>
              <w:rPr>
                <w:rFonts w:ascii="宋体" w:hAnsi="宋体" w:cs="宋体" w:eastAsia="宋体" w:hint="default"/>
                <w:spacing w:val="75"/>
                <w:sz w:val="21"/>
                <w:szCs w:val="21"/>
              </w:rPr>
              <w:t> </w:t>
            </w:r>
            <w:r>
              <w:rPr>
                <w:rFonts w:ascii="宋体" w:hAnsi="宋体" w:cs="宋体" w:eastAsia="宋体" w:hint="default"/>
                <w:sz w:val="21"/>
                <w:szCs w:val="21"/>
              </w:rPr>
              <w:t>1.00</w:t>
            </w:r>
            <w:r>
              <w:rPr>
                <w:rFonts w:ascii="宋体" w:hAnsi="宋体" w:cs="宋体" w:eastAsia="宋体" w:hint="default"/>
                <w:w w:val="100"/>
                <w:sz w:val="21"/>
                <w:szCs w:val="21"/>
              </w:rPr>
              <w:t> </w:t>
            </w:r>
            <w:r>
              <w:rPr>
                <w:rFonts w:ascii="宋体" w:hAnsi="宋体" w:cs="宋体" w:eastAsia="宋体" w:hint="default"/>
                <w:sz w:val="21"/>
                <w:szCs w:val="21"/>
              </w:rPr>
              <w:t>个百分点</w:t>
            </w:r>
            <w:r>
              <w:rPr>
                <w:rFonts w:ascii="宋体" w:hAnsi="宋体" w:cs="宋体" w:eastAsia="宋体" w:hint="default"/>
                <w:sz w:val="21"/>
                <w:szCs w:val="21"/>
              </w:rPr>
              <w:t> </w:t>
            </w:r>
          </w:p>
        </w:tc>
      </w:tr>
      <w:tr>
        <w:trPr>
          <w:trHeight w:val="634"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光伏</w:t>
            </w:r>
            <w:r>
              <w:rPr>
                <w:rFonts w:ascii="宋体" w:hAnsi="宋体" w:cs="宋体" w:eastAsia="宋体" w:hint="default"/>
                <w:spacing w:val="-53"/>
                <w:sz w:val="21"/>
                <w:szCs w:val="21"/>
              </w:rPr>
              <w:t> </w:t>
            </w:r>
            <w:r>
              <w:rPr>
                <w:rFonts w:ascii="Calibri" w:hAnsi="Calibri" w:cs="Calibri" w:eastAsia="Calibri" w:hint="default"/>
                <w:sz w:val="21"/>
                <w:szCs w:val="21"/>
              </w:rPr>
              <w:t>EPC</w:t>
            </w:r>
            <w:r>
              <w:rPr>
                <w:rFonts w:ascii="Calibri" w:hAnsi="Calibri" w:cs="Calibri" w:eastAsia="Calibri" w:hint="default"/>
                <w:spacing w:val="5"/>
                <w:sz w:val="21"/>
                <w:szCs w:val="21"/>
              </w:rPr>
              <w:t> </w:t>
            </w:r>
            <w:r>
              <w:rPr>
                <w:rFonts w:ascii="宋体" w:hAnsi="宋体" w:cs="宋体" w:eastAsia="宋体" w:hint="default"/>
                <w:spacing w:val="-3"/>
                <w:sz w:val="21"/>
                <w:szCs w:val="21"/>
              </w:rPr>
              <w:t>收入</w:t>
            </w:r>
            <w:r>
              <w:rPr>
                <w:rFonts w:ascii="宋体" w:hAnsi="宋体" w:cs="宋体" w:eastAsia="宋体" w:hint="default"/>
                <w:sz w:val="21"/>
                <w:szCs w:val="21"/>
              </w:rPr>
              <w:t> </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3"/>
              <w:jc w:val="right"/>
              <w:rPr>
                <w:rFonts w:ascii="宋体" w:hAnsi="宋体" w:cs="宋体" w:eastAsia="宋体" w:hint="default"/>
                <w:sz w:val="21"/>
                <w:szCs w:val="21"/>
              </w:rPr>
            </w:pPr>
            <w:r>
              <w:rPr>
                <w:rFonts w:ascii="宋体"/>
                <w:spacing w:val="-1"/>
                <w:sz w:val="21"/>
              </w:rPr>
              <w:t>47,202,242.88</w:t>
            </w:r>
            <w:r>
              <w:rPr>
                <w:rFonts w:ascii="宋体"/>
                <w:sz w:val="21"/>
              </w:rPr>
              <w:t> </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3"/>
              <w:jc w:val="right"/>
              <w:rPr>
                <w:rFonts w:ascii="宋体" w:hAnsi="宋体" w:cs="宋体" w:eastAsia="宋体" w:hint="default"/>
                <w:sz w:val="21"/>
                <w:szCs w:val="21"/>
              </w:rPr>
            </w:pPr>
            <w:r>
              <w:rPr>
                <w:rFonts w:ascii="宋体"/>
                <w:spacing w:val="-1"/>
                <w:sz w:val="21"/>
              </w:rPr>
              <w:t>32,212,740.88</w:t>
            </w:r>
            <w:r>
              <w:rPr>
                <w:rFonts w:ascii="宋体"/>
                <w:sz w:val="21"/>
              </w:rPr>
              <w:t> </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3"/>
              <w:jc w:val="right"/>
              <w:rPr>
                <w:rFonts w:ascii="宋体" w:hAnsi="宋体" w:cs="宋体" w:eastAsia="宋体" w:hint="default"/>
                <w:sz w:val="21"/>
                <w:szCs w:val="21"/>
              </w:rPr>
            </w:pPr>
            <w:r>
              <w:rPr>
                <w:rFonts w:ascii="宋体"/>
                <w:spacing w:val="-1"/>
                <w:sz w:val="21"/>
              </w:rPr>
              <w:t>31.76</w:t>
            </w:r>
            <w:r>
              <w:rPr>
                <w:rFonts w:ascii="宋体"/>
                <w:sz w:val="21"/>
              </w:rPr>
              <w:t> </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
              <w:jc w:val="right"/>
              <w:rPr>
                <w:rFonts w:ascii="宋体" w:hAnsi="宋体" w:cs="宋体" w:eastAsia="宋体" w:hint="default"/>
                <w:sz w:val="21"/>
                <w:szCs w:val="21"/>
              </w:rPr>
            </w:pPr>
            <w:r>
              <w:rPr>
                <w:rFonts w:ascii="宋体"/>
                <w:spacing w:val="-1"/>
                <w:sz w:val="21"/>
              </w:rPr>
              <w:t>-95.34</w:t>
            </w:r>
            <w:r>
              <w:rPr>
                <w:rFonts w:ascii="宋体"/>
                <w:sz w:val="21"/>
              </w:rPr>
              <w:t> </w:t>
            </w:r>
          </w:p>
        </w:tc>
        <w:tc>
          <w:tcPr>
            <w:tcW w:w="1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3"/>
              <w:jc w:val="right"/>
              <w:rPr>
                <w:rFonts w:ascii="宋体" w:hAnsi="宋体" w:cs="宋体" w:eastAsia="宋体" w:hint="default"/>
                <w:sz w:val="21"/>
                <w:szCs w:val="21"/>
              </w:rPr>
            </w:pPr>
            <w:r>
              <w:rPr>
                <w:rFonts w:ascii="宋体"/>
                <w:spacing w:val="-1"/>
                <w:sz w:val="21"/>
              </w:rPr>
              <w:t>-96.14</w:t>
            </w:r>
            <w:r>
              <w:rPr>
                <w:rFonts w:ascii="宋体"/>
                <w:sz w:val="21"/>
              </w:rPr>
              <w:t> </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pacing w:val="9"/>
                <w:sz w:val="21"/>
                <w:szCs w:val="21"/>
              </w:rPr>
              <w:t>增加</w:t>
            </w:r>
            <w:r>
              <w:rPr>
                <w:rFonts w:ascii="宋体" w:hAnsi="宋体" w:cs="宋体" w:eastAsia="宋体" w:hint="default"/>
                <w:spacing w:val="22"/>
                <w:sz w:val="21"/>
                <w:szCs w:val="21"/>
              </w:rPr>
              <w:t> </w:t>
            </w:r>
            <w:r>
              <w:rPr>
                <w:rFonts w:ascii="宋体" w:hAnsi="宋体" w:cs="宋体" w:eastAsia="宋体" w:hint="default"/>
                <w:sz w:val="21"/>
                <w:szCs w:val="21"/>
              </w:rPr>
              <w:t>14.03</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个百分点</w:t>
            </w:r>
            <w:r>
              <w:rPr>
                <w:rFonts w:ascii="宋体" w:hAnsi="宋体" w:cs="宋体" w:eastAsia="宋体" w:hint="default"/>
                <w:sz w:val="21"/>
                <w:szCs w:val="21"/>
              </w:rPr>
              <w:t> </w:t>
            </w:r>
          </w:p>
        </w:tc>
      </w:tr>
      <w:tr>
        <w:trPr>
          <w:trHeight w:val="636"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103" w:right="0"/>
              <w:jc w:val="left"/>
              <w:rPr>
                <w:rFonts w:ascii="宋体" w:hAnsi="宋体" w:cs="宋体" w:eastAsia="宋体" w:hint="default"/>
                <w:sz w:val="21"/>
                <w:szCs w:val="21"/>
              </w:rPr>
            </w:pPr>
            <w:r>
              <w:rPr>
                <w:rFonts w:ascii="宋体" w:hAnsi="宋体" w:cs="宋体" w:eastAsia="宋体" w:hint="default"/>
                <w:sz w:val="21"/>
                <w:szCs w:val="21"/>
              </w:rPr>
              <w:t>其它产品</w:t>
            </w:r>
            <w:r>
              <w:rPr>
                <w:rFonts w:ascii="宋体" w:hAnsi="宋体" w:cs="宋体" w:eastAsia="宋体" w:hint="default"/>
                <w:sz w:val="21"/>
                <w:szCs w:val="21"/>
              </w:rPr>
              <w:t> </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3"/>
              <w:jc w:val="right"/>
              <w:rPr>
                <w:rFonts w:ascii="宋体" w:hAnsi="宋体" w:cs="宋体" w:eastAsia="宋体" w:hint="default"/>
                <w:sz w:val="21"/>
                <w:szCs w:val="21"/>
              </w:rPr>
            </w:pPr>
            <w:r>
              <w:rPr>
                <w:rFonts w:ascii="宋体"/>
                <w:spacing w:val="-1"/>
                <w:sz w:val="21"/>
              </w:rPr>
              <w:t>396,963,903.30</w:t>
            </w:r>
            <w:r>
              <w:rPr>
                <w:rFonts w:ascii="宋体"/>
                <w:sz w:val="21"/>
              </w:rPr>
              <w:t> </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3"/>
              <w:jc w:val="right"/>
              <w:rPr>
                <w:rFonts w:ascii="宋体" w:hAnsi="宋体" w:cs="宋体" w:eastAsia="宋体" w:hint="default"/>
                <w:sz w:val="21"/>
                <w:szCs w:val="21"/>
              </w:rPr>
            </w:pPr>
            <w:r>
              <w:rPr>
                <w:rFonts w:ascii="宋体"/>
                <w:spacing w:val="-1"/>
                <w:sz w:val="21"/>
              </w:rPr>
              <w:t>344,253,758.25</w:t>
            </w:r>
            <w:r>
              <w:rPr>
                <w:rFonts w:ascii="宋体"/>
                <w:sz w:val="21"/>
              </w:rPr>
              <w:t> </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3"/>
              <w:jc w:val="right"/>
              <w:rPr>
                <w:rFonts w:ascii="宋体" w:hAnsi="宋体" w:cs="宋体" w:eastAsia="宋体" w:hint="default"/>
                <w:sz w:val="21"/>
                <w:szCs w:val="21"/>
              </w:rPr>
            </w:pPr>
            <w:r>
              <w:rPr>
                <w:rFonts w:ascii="宋体"/>
                <w:spacing w:val="-1"/>
                <w:sz w:val="21"/>
              </w:rPr>
              <w:t>13.28</w:t>
            </w:r>
            <w:r>
              <w:rPr>
                <w:rFonts w:ascii="宋体"/>
                <w:sz w:val="21"/>
              </w:rPr>
              <w:t> </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
              <w:jc w:val="right"/>
              <w:rPr>
                <w:rFonts w:ascii="宋体" w:hAnsi="宋体" w:cs="宋体" w:eastAsia="宋体" w:hint="default"/>
                <w:sz w:val="21"/>
                <w:szCs w:val="21"/>
              </w:rPr>
            </w:pPr>
            <w:r>
              <w:rPr>
                <w:rFonts w:ascii="宋体"/>
                <w:spacing w:val="-1"/>
                <w:sz w:val="21"/>
              </w:rPr>
              <w:t>62.09</w:t>
            </w:r>
            <w:r>
              <w:rPr>
                <w:rFonts w:ascii="宋体"/>
                <w:sz w:val="21"/>
              </w:rPr>
              <w:t> </w:t>
            </w:r>
          </w:p>
        </w:tc>
        <w:tc>
          <w:tcPr>
            <w:tcW w:w="1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3"/>
              <w:jc w:val="right"/>
              <w:rPr>
                <w:rFonts w:ascii="宋体" w:hAnsi="宋体" w:cs="宋体" w:eastAsia="宋体" w:hint="default"/>
                <w:sz w:val="21"/>
                <w:szCs w:val="21"/>
              </w:rPr>
            </w:pPr>
            <w:r>
              <w:rPr>
                <w:rFonts w:ascii="宋体"/>
                <w:spacing w:val="-1"/>
                <w:sz w:val="21"/>
              </w:rPr>
              <w:t>66.80</w:t>
            </w:r>
            <w:r>
              <w:rPr>
                <w:rFonts w:ascii="宋体"/>
                <w:sz w:val="21"/>
              </w:rPr>
              <w:t> </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8"/>
              <w:jc w:val="left"/>
              <w:rPr>
                <w:rFonts w:ascii="宋体" w:hAnsi="宋体" w:cs="宋体" w:eastAsia="宋体" w:hint="default"/>
                <w:sz w:val="21"/>
                <w:szCs w:val="21"/>
              </w:rPr>
            </w:pPr>
            <w:r>
              <w:rPr>
                <w:rFonts w:ascii="宋体" w:hAnsi="宋体" w:cs="宋体" w:eastAsia="宋体" w:hint="default"/>
                <w:spacing w:val="35"/>
                <w:sz w:val="21"/>
                <w:szCs w:val="21"/>
              </w:rPr>
              <w:t>减少</w:t>
            </w:r>
            <w:r>
              <w:rPr>
                <w:rFonts w:ascii="宋体" w:hAnsi="宋体" w:cs="宋体" w:eastAsia="宋体" w:hint="default"/>
                <w:spacing w:val="75"/>
                <w:sz w:val="21"/>
                <w:szCs w:val="21"/>
              </w:rPr>
              <w:t> </w:t>
            </w:r>
            <w:r>
              <w:rPr>
                <w:rFonts w:ascii="宋体" w:hAnsi="宋体" w:cs="宋体" w:eastAsia="宋体" w:hint="default"/>
                <w:sz w:val="21"/>
                <w:szCs w:val="21"/>
              </w:rPr>
              <w:t>2.45</w:t>
            </w:r>
            <w:r>
              <w:rPr>
                <w:rFonts w:ascii="宋体" w:hAnsi="宋体" w:cs="宋体" w:eastAsia="宋体" w:hint="default"/>
                <w:w w:val="100"/>
                <w:sz w:val="21"/>
                <w:szCs w:val="21"/>
              </w:rPr>
              <w:t> </w:t>
            </w:r>
            <w:r>
              <w:rPr>
                <w:rFonts w:ascii="宋体" w:hAnsi="宋体" w:cs="宋体" w:eastAsia="宋体" w:hint="default"/>
                <w:sz w:val="21"/>
                <w:szCs w:val="21"/>
              </w:rPr>
              <w:t>个百分点</w:t>
            </w:r>
            <w:r>
              <w:rPr>
                <w:rFonts w:ascii="宋体" w:hAnsi="宋体" w:cs="宋体" w:eastAsia="宋体" w:hint="default"/>
                <w:sz w:val="21"/>
                <w:szCs w:val="21"/>
              </w:rPr>
              <w:t> </w:t>
            </w:r>
          </w:p>
        </w:tc>
      </w:tr>
      <w:tr>
        <w:trPr>
          <w:trHeight w:val="322" w:hRule="exact"/>
        </w:trPr>
        <w:tc>
          <w:tcPr>
            <w:tcW w:w="10622" w:type="dxa"/>
            <w:gridSpan w:val="7"/>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center"/>
              <w:rPr>
                <w:rFonts w:ascii="宋体" w:hAnsi="宋体" w:cs="宋体" w:eastAsia="宋体" w:hint="default"/>
                <w:sz w:val="21"/>
                <w:szCs w:val="21"/>
              </w:rPr>
            </w:pPr>
            <w:r>
              <w:rPr>
                <w:rFonts w:ascii="宋体" w:hAnsi="宋体" w:cs="宋体" w:eastAsia="宋体" w:hint="default"/>
                <w:sz w:val="21"/>
                <w:szCs w:val="21"/>
              </w:rPr>
              <w:t>主营业务分地区情况</w:t>
            </w:r>
            <w:r>
              <w:rPr>
                <w:rFonts w:ascii="宋体" w:hAnsi="宋体" w:cs="宋体" w:eastAsia="宋体" w:hint="default"/>
                <w:sz w:val="21"/>
                <w:szCs w:val="21"/>
              </w:rPr>
              <w:t> </w:t>
            </w:r>
          </w:p>
        </w:tc>
      </w:tr>
      <w:tr>
        <w:trPr>
          <w:trHeight w:val="946"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600" w:right="0"/>
              <w:jc w:val="left"/>
              <w:rPr>
                <w:rFonts w:ascii="宋体" w:hAnsi="宋体" w:cs="宋体" w:eastAsia="宋体" w:hint="default"/>
                <w:sz w:val="21"/>
                <w:szCs w:val="21"/>
              </w:rPr>
            </w:pPr>
            <w:r>
              <w:rPr>
                <w:rFonts w:ascii="宋体" w:hAnsi="宋体" w:cs="宋体" w:eastAsia="宋体" w:hint="default"/>
                <w:sz w:val="21"/>
                <w:szCs w:val="21"/>
              </w:rPr>
              <w:t>分地区</w:t>
            </w:r>
            <w:r>
              <w:rPr>
                <w:rFonts w:ascii="宋体" w:hAnsi="宋体" w:cs="宋体" w:eastAsia="宋体" w:hint="default"/>
                <w:sz w:val="21"/>
                <w:szCs w:val="21"/>
              </w:rPr>
              <w:t> </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549" w:right="0"/>
              <w:jc w:val="left"/>
              <w:rPr>
                <w:rFonts w:ascii="宋体" w:hAnsi="宋体" w:cs="宋体" w:eastAsia="宋体" w:hint="default"/>
                <w:sz w:val="21"/>
                <w:szCs w:val="21"/>
              </w:rPr>
            </w:pPr>
            <w:r>
              <w:rPr>
                <w:rFonts w:ascii="宋体" w:hAnsi="宋体" w:cs="宋体" w:eastAsia="宋体" w:hint="default"/>
                <w:sz w:val="21"/>
                <w:szCs w:val="21"/>
              </w:rPr>
              <w:t>营业收入</w:t>
            </w:r>
            <w:r>
              <w:rPr>
                <w:rFonts w:ascii="宋体" w:hAnsi="宋体" w:cs="宋体" w:eastAsia="宋体" w:hint="default"/>
                <w:sz w:val="21"/>
                <w:szCs w:val="21"/>
              </w:rPr>
              <w:t> </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549" w:right="0"/>
              <w:jc w:val="left"/>
              <w:rPr>
                <w:rFonts w:ascii="宋体" w:hAnsi="宋体" w:cs="宋体" w:eastAsia="宋体" w:hint="default"/>
                <w:sz w:val="21"/>
                <w:szCs w:val="21"/>
              </w:rPr>
            </w:pPr>
            <w:r>
              <w:rPr>
                <w:rFonts w:ascii="宋体" w:hAnsi="宋体" w:cs="宋体" w:eastAsia="宋体" w:hint="default"/>
                <w:sz w:val="21"/>
                <w:szCs w:val="21"/>
              </w:rPr>
              <w:t>营业成本</w:t>
            </w:r>
            <w:r>
              <w:rPr>
                <w:rFonts w:ascii="宋体" w:hAnsi="宋体" w:cs="宋体" w:eastAsia="宋体" w:hint="default"/>
                <w:sz w:val="21"/>
                <w:szCs w:val="21"/>
              </w:rPr>
              <w:t> </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16" w:right="0"/>
              <w:jc w:val="left"/>
              <w:rPr>
                <w:rFonts w:ascii="宋体" w:hAnsi="宋体" w:cs="宋体" w:eastAsia="宋体" w:hint="default"/>
                <w:sz w:val="21"/>
                <w:szCs w:val="21"/>
              </w:rPr>
            </w:pPr>
            <w:r>
              <w:rPr>
                <w:rFonts w:ascii="宋体" w:hAnsi="宋体" w:cs="宋体" w:eastAsia="宋体" w:hint="default"/>
                <w:sz w:val="21"/>
                <w:szCs w:val="21"/>
              </w:rPr>
              <w:t>毛利率</w:t>
            </w:r>
          </w:p>
          <w:p>
            <w:pPr>
              <w:pStyle w:val="TableParagraph"/>
              <w:spacing w:line="240" w:lineRule="auto" w:before="37"/>
              <w:ind w:left="269"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67" w:right="119"/>
              <w:jc w:val="both"/>
              <w:rPr>
                <w:rFonts w:ascii="宋体" w:hAnsi="宋体" w:cs="宋体" w:eastAsia="宋体" w:hint="default"/>
                <w:sz w:val="21"/>
                <w:szCs w:val="21"/>
              </w:rPr>
            </w:pPr>
            <w:r>
              <w:rPr>
                <w:rFonts w:ascii="宋体" w:hAnsi="宋体" w:cs="宋体" w:eastAsia="宋体" w:hint="default"/>
                <w:sz w:val="21"/>
                <w:szCs w:val="21"/>
              </w:rPr>
              <w:t>营业收入</w:t>
            </w:r>
            <w:r>
              <w:rPr>
                <w:rFonts w:ascii="宋体" w:hAnsi="宋体" w:cs="宋体" w:eastAsia="宋体" w:hint="default"/>
                <w:w w:val="100"/>
                <w:sz w:val="21"/>
                <w:szCs w:val="21"/>
              </w:rPr>
              <w:t> </w:t>
            </w:r>
            <w:r>
              <w:rPr>
                <w:rFonts w:ascii="宋体" w:hAnsi="宋体" w:cs="宋体" w:eastAsia="宋体" w:hint="default"/>
                <w:sz w:val="21"/>
                <w:szCs w:val="21"/>
              </w:rPr>
              <w:t>比上年增</w:t>
            </w:r>
            <w:r>
              <w:rPr>
                <w:rFonts w:ascii="宋体" w:hAnsi="宋体" w:cs="宋体" w:eastAsia="宋体" w:hint="default"/>
                <w:w w:val="100"/>
                <w:sz w:val="21"/>
                <w:szCs w:val="21"/>
              </w:rPr>
              <w:t> </w:t>
            </w:r>
            <w:r>
              <w:rPr>
                <w:rFonts w:ascii="宋体" w:hAnsi="宋体" w:cs="宋体" w:eastAsia="宋体" w:hint="default"/>
                <w:sz w:val="21"/>
                <w:szCs w:val="21"/>
              </w:rPr>
              <w:t>减（</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c>
          <w:tcPr>
            <w:tcW w:w="130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22" w:right="120"/>
              <w:jc w:val="center"/>
              <w:rPr>
                <w:rFonts w:ascii="宋体" w:hAnsi="宋体" w:cs="宋体" w:eastAsia="宋体" w:hint="default"/>
                <w:sz w:val="21"/>
                <w:szCs w:val="21"/>
              </w:rPr>
            </w:pPr>
            <w:r>
              <w:rPr>
                <w:rFonts w:ascii="宋体" w:hAnsi="宋体" w:cs="宋体" w:eastAsia="宋体" w:hint="default"/>
                <w:sz w:val="21"/>
                <w:szCs w:val="21"/>
              </w:rPr>
              <w:t>营业成本比</w:t>
            </w:r>
            <w:r>
              <w:rPr>
                <w:rFonts w:ascii="宋体" w:hAnsi="宋体" w:cs="宋体" w:eastAsia="宋体" w:hint="default"/>
                <w:w w:val="100"/>
                <w:sz w:val="21"/>
                <w:szCs w:val="21"/>
              </w:rPr>
              <w:t> </w:t>
            </w:r>
            <w:r>
              <w:rPr>
                <w:rFonts w:ascii="宋体" w:hAnsi="宋体" w:cs="宋体" w:eastAsia="宋体" w:hint="default"/>
                <w:sz w:val="21"/>
                <w:szCs w:val="21"/>
              </w:rPr>
              <w:t>上年增减</w:t>
            </w:r>
          </w:p>
          <w:p>
            <w:pPr>
              <w:pStyle w:val="TableParagraph"/>
              <w:spacing w:line="240" w:lineRule="auto" w:before="7"/>
              <w:ind w:left="105"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103" w:right="-3" w:firstLine="19"/>
              <w:jc w:val="left"/>
              <w:rPr>
                <w:rFonts w:ascii="宋体" w:hAnsi="宋体" w:cs="宋体" w:eastAsia="宋体" w:hint="default"/>
                <w:sz w:val="21"/>
                <w:szCs w:val="21"/>
              </w:rPr>
            </w:pPr>
            <w:r>
              <w:rPr>
                <w:rFonts w:ascii="宋体" w:hAnsi="宋体" w:cs="宋体" w:eastAsia="宋体" w:hint="default"/>
                <w:sz w:val="21"/>
                <w:szCs w:val="21"/>
              </w:rPr>
              <w:t>毛利率比上</w:t>
            </w:r>
            <w:r>
              <w:rPr>
                <w:rFonts w:ascii="宋体" w:hAnsi="宋体" w:cs="宋体" w:eastAsia="宋体" w:hint="default"/>
                <w:w w:val="100"/>
                <w:sz w:val="21"/>
                <w:szCs w:val="21"/>
              </w:rPr>
              <w:t> </w:t>
            </w:r>
            <w:r>
              <w:rPr>
                <w:rFonts w:ascii="宋体" w:hAnsi="宋体" w:cs="宋体" w:eastAsia="宋体" w:hint="default"/>
                <w:spacing w:val="-13"/>
                <w:sz w:val="21"/>
                <w:szCs w:val="21"/>
              </w:rPr>
              <w:t>年增减（</w:t>
            </w:r>
            <w:r>
              <w:rPr>
                <w:rFonts w:ascii="宋体" w:hAnsi="宋体" w:cs="宋体" w:eastAsia="宋体" w:hint="default"/>
                <w:spacing w:val="-13"/>
                <w:sz w:val="21"/>
                <w:szCs w:val="21"/>
              </w:rPr>
              <w:t>%</w:t>
            </w:r>
            <w:r>
              <w:rPr>
                <w:rFonts w:ascii="宋体" w:hAnsi="宋体" w:cs="宋体" w:eastAsia="宋体" w:hint="default"/>
                <w:spacing w:val="-13"/>
                <w:sz w:val="21"/>
                <w:szCs w:val="21"/>
              </w:rPr>
              <w:t>）</w:t>
            </w:r>
            <w:r>
              <w:rPr>
                <w:rFonts w:ascii="宋体" w:hAnsi="宋体" w:cs="宋体" w:eastAsia="宋体" w:hint="default"/>
                <w:sz w:val="21"/>
                <w:szCs w:val="21"/>
              </w:rPr>
              <w:t> </w:t>
            </w:r>
          </w:p>
        </w:tc>
      </w:tr>
      <w:tr>
        <w:trPr>
          <w:trHeight w:val="634"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境内地区</w:t>
            </w:r>
            <w:r>
              <w:rPr>
                <w:rFonts w:ascii="宋体" w:hAnsi="宋体" w:cs="宋体" w:eastAsia="宋体" w:hint="default"/>
                <w:sz w:val="21"/>
                <w:szCs w:val="21"/>
              </w:rPr>
              <w:t> </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3"/>
              <w:jc w:val="right"/>
              <w:rPr>
                <w:rFonts w:ascii="宋体" w:hAnsi="宋体" w:cs="宋体" w:eastAsia="宋体" w:hint="default"/>
                <w:sz w:val="21"/>
                <w:szCs w:val="21"/>
              </w:rPr>
            </w:pPr>
            <w:r>
              <w:rPr>
                <w:rFonts w:ascii="宋体"/>
                <w:spacing w:val="-1"/>
                <w:sz w:val="21"/>
              </w:rPr>
              <w:t>2,977,269,954.06</w:t>
            </w:r>
            <w:r>
              <w:rPr>
                <w:rFonts w:ascii="宋体"/>
                <w:sz w:val="21"/>
              </w:rPr>
              <w:t> </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3"/>
              <w:jc w:val="right"/>
              <w:rPr>
                <w:rFonts w:ascii="宋体" w:hAnsi="宋体" w:cs="宋体" w:eastAsia="宋体" w:hint="default"/>
                <w:sz w:val="21"/>
                <w:szCs w:val="21"/>
              </w:rPr>
            </w:pPr>
            <w:r>
              <w:rPr>
                <w:rFonts w:ascii="宋体"/>
                <w:spacing w:val="-1"/>
                <w:sz w:val="21"/>
              </w:rPr>
              <w:t>1,548,218,939.53</w:t>
            </w:r>
            <w:r>
              <w:rPr>
                <w:rFonts w:ascii="宋体"/>
                <w:sz w:val="21"/>
              </w:rPr>
              <w:t> </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3"/>
              <w:jc w:val="right"/>
              <w:rPr>
                <w:rFonts w:ascii="宋体" w:hAnsi="宋体" w:cs="宋体" w:eastAsia="宋体" w:hint="default"/>
                <w:sz w:val="21"/>
                <w:szCs w:val="21"/>
              </w:rPr>
            </w:pPr>
            <w:r>
              <w:rPr>
                <w:rFonts w:ascii="宋体"/>
                <w:spacing w:val="-1"/>
                <w:sz w:val="21"/>
              </w:rPr>
              <w:t>48.00</w:t>
            </w:r>
            <w:r>
              <w:rPr>
                <w:rFonts w:ascii="宋体"/>
                <w:sz w:val="21"/>
              </w:rPr>
              <w:t> </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
              <w:jc w:val="right"/>
              <w:rPr>
                <w:rFonts w:ascii="宋体" w:hAnsi="宋体" w:cs="宋体" w:eastAsia="宋体" w:hint="default"/>
                <w:sz w:val="21"/>
                <w:szCs w:val="21"/>
              </w:rPr>
            </w:pPr>
            <w:r>
              <w:rPr>
                <w:rFonts w:ascii="宋体"/>
                <w:spacing w:val="-1"/>
                <w:sz w:val="21"/>
              </w:rPr>
              <w:t>-19.66</w:t>
            </w:r>
            <w:r>
              <w:rPr>
                <w:rFonts w:ascii="宋体"/>
                <w:sz w:val="21"/>
              </w:rPr>
              <w:t> </w:t>
            </w:r>
          </w:p>
        </w:tc>
        <w:tc>
          <w:tcPr>
            <w:tcW w:w="1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3"/>
              <w:jc w:val="right"/>
              <w:rPr>
                <w:rFonts w:ascii="宋体" w:hAnsi="宋体" w:cs="宋体" w:eastAsia="宋体" w:hint="default"/>
                <w:sz w:val="21"/>
                <w:szCs w:val="21"/>
              </w:rPr>
            </w:pPr>
            <w:r>
              <w:rPr>
                <w:rFonts w:ascii="宋体"/>
                <w:spacing w:val="-1"/>
                <w:sz w:val="21"/>
              </w:rPr>
              <w:t>-31.03</w:t>
            </w:r>
            <w:r>
              <w:rPr>
                <w:rFonts w:ascii="宋体"/>
                <w:sz w:val="21"/>
              </w:rPr>
              <w:t> </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8"/>
              <w:jc w:val="left"/>
              <w:rPr>
                <w:rFonts w:ascii="宋体" w:hAnsi="宋体" w:cs="宋体" w:eastAsia="宋体" w:hint="default"/>
                <w:sz w:val="21"/>
                <w:szCs w:val="21"/>
              </w:rPr>
            </w:pPr>
            <w:r>
              <w:rPr>
                <w:rFonts w:ascii="宋体" w:hAnsi="宋体" w:cs="宋体" w:eastAsia="宋体" w:hint="default"/>
                <w:spacing w:val="35"/>
                <w:sz w:val="21"/>
                <w:szCs w:val="21"/>
              </w:rPr>
              <w:t>增加</w:t>
            </w:r>
            <w:r>
              <w:rPr>
                <w:rFonts w:ascii="宋体" w:hAnsi="宋体" w:cs="宋体" w:eastAsia="宋体" w:hint="default"/>
                <w:spacing w:val="75"/>
                <w:sz w:val="21"/>
                <w:szCs w:val="21"/>
              </w:rPr>
              <w:t> </w:t>
            </w:r>
            <w:r>
              <w:rPr>
                <w:rFonts w:ascii="宋体" w:hAnsi="宋体" w:cs="宋体" w:eastAsia="宋体" w:hint="default"/>
                <w:sz w:val="21"/>
                <w:szCs w:val="21"/>
              </w:rPr>
              <w:t>8.57</w:t>
            </w:r>
            <w:r>
              <w:rPr>
                <w:rFonts w:ascii="宋体" w:hAnsi="宋体" w:cs="宋体" w:eastAsia="宋体" w:hint="default"/>
                <w:w w:val="100"/>
                <w:sz w:val="21"/>
                <w:szCs w:val="21"/>
              </w:rPr>
              <w:t> </w:t>
            </w:r>
            <w:r>
              <w:rPr>
                <w:rFonts w:ascii="宋体" w:hAnsi="宋体" w:cs="宋体" w:eastAsia="宋体" w:hint="default"/>
                <w:sz w:val="21"/>
                <w:szCs w:val="21"/>
              </w:rPr>
              <w:t>个百分点</w:t>
            </w:r>
            <w:r>
              <w:rPr>
                <w:rFonts w:ascii="宋体" w:hAnsi="宋体" w:cs="宋体" w:eastAsia="宋体" w:hint="default"/>
                <w:sz w:val="21"/>
                <w:szCs w:val="21"/>
              </w:rPr>
              <w:t> </w:t>
            </w:r>
          </w:p>
        </w:tc>
      </w:tr>
      <w:tr>
        <w:trPr>
          <w:trHeight w:val="634"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境外地区</w:t>
            </w:r>
            <w:r>
              <w:rPr>
                <w:rFonts w:ascii="宋体" w:hAnsi="宋体" w:cs="宋体" w:eastAsia="宋体" w:hint="default"/>
                <w:sz w:val="21"/>
                <w:szCs w:val="21"/>
              </w:rPr>
              <w:t> </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3"/>
              <w:jc w:val="right"/>
              <w:rPr>
                <w:rFonts w:ascii="宋体" w:hAnsi="宋体" w:cs="宋体" w:eastAsia="宋体" w:hint="default"/>
                <w:sz w:val="21"/>
                <w:szCs w:val="21"/>
              </w:rPr>
            </w:pPr>
            <w:r>
              <w:rPr>
                <w:rFonts w:ascii="宋体"/>
                <w:spacing w:val="-1"/>
                <w:sz w:val="21"/>
              </w:rPr>
              <w:t>307,100,503.68</w:t>
            </w:r>
            <w:r>
              <w:rPr>
                <w:rFonts w:ascii="宋体"/>
                <w:sz w:val="21"/>
              </w:rPr>
              <w:t> </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3"/>
              <w:jc w:val="right"/>
              <w:rPr>
                <w:rFonts w:ascii="宋体" w:hAnsi="宋体" w:cs="宋体" w:eastAsia="宋体" w:hint="default"/>
                <w:sz w:val="21"/>
                <w:szCs w:val="21"/>
              </w:rPr>
            </w:pPr>
            <w:r>
              <w:rPr>
                <w:rFonts w:ascii="宋体"/>
                <w:spacing w:val="-1"/>
                <w:sz w:val="21"/>
              </w:rPr>
              <w:t>235,045,297.44</w:t>
            </w:r>
            <w:r>
              <w:rPr>
                <w:rFonts w:ascii="宋体"/>
                <w:sz w:val="21"/>
              </w:rPr>
              <w:t> </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3"/>
              <w:jc w:val="right"/>
              <w:rPr>
                <w:rFonts w:ascii="宋体" w:hAnsi="宋体" w:cs="宋体" w:eastAsia="宋体" w:hint="default"/>
                <w:sz w:val="21"/>
                <w:szCs w:val="21"/>
              </w:rPr>
            </w:pPr>
            <w:r>
              <w:rPr>
                <w:rFonts w:ascii="宋体"/>
                <w:spacing w:val="-1"/>
                <w:sz w:val="21"/>
              </w:rPr>
              <w:t>23.46</w:t>
            </w:r>
            <w:r>
              <w:rPr>
                <w:rFonts w:ascii="宋体"/>
                <w:sz w:val="21"/>
              </w:rPr>
              <w:t> </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
              <w:jc w:val="right"/>
              <w:rPr>
                <w:rFonts w:ascii="宋体" w:hAnsi="宋体" w:cs="宋体" w:eastAsia="宋体" w:hint="default"/>
                <w:sz w:val="21"/>
                <w:szCs w:val="21"/>
              </w:rPr>
            </w:pPr>
            <w:r>
              <w:rPr>
                <w:rFonts w:ascii="宋体"/>
                <w:spacing w:val="-1"/>
                <w:sz w:val="21"/>
              </w:rPr>
              <w:t>15.08</w:t>
            </w:r>
            <w:r>
              <w:rPr>
                <w:rFonts w:ascii="宋体"/>
                <w:sz w:val="21"/>
              </w:rPr>
              <w:t> </w:t>
            </w:r>
          </w:p>
        </w:tc>
        <w:tc>
          <w:tcPr>
            <w:tcW w:w="1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3"/>
              <w:jc w:val="right"/>
              <w:rPr>
                <w:rFonts w:ascii="宋体" w:hAnsi="宋体" w:cs="宋体" w:eastAsia="宋体" w:hint="default"/>
                <w:sz w:val="21"/>
                <w:szCs w:val="21"/>
              </w:rPr>
            </w:pPr>
            <w:r>
              <w:rPr>
                <w:rFonts w:ascii="宋体"/>
                <w:spacing w:val="-1"/>
                <w:sz w:val="21"/>
              </w:rPr>
              <w:t>10.18</w:t>
            </w:r>
            <w:r>
              <w:rPr>
                <w:rFonts w:ascii="宋体"/>
                <w:sz w:val="21"/>
              </w:rPr>
              <w:t> </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8"/>
              <w:jc w:val="left"/>
              <w:rPr>
                <w:rFonts w:ascii="宋体" w:hAnsi="宋体" w:cs="宋体" w:eastAsia="宋体" w:hint="default"/>
                <w:sz w:val="21"/>
                <w:szCs w:val="21"/>
              </w:rPr>
            </w:pPr>
            <w:r>
              <w:rPr>
                <w:rFonts w:ascii="宋体" w:hAnsi="宋体" w:cs="宋体" w:eastAsia="宋体" w:hint="default"/>
                <w:spacing w:val="35"/>
                <w:sz w:val="21"/>
                <w:szCs w:val="21"/>
              </w:rPr>
              <w:t>增加</w:t>
            </w:r>
            <w:r>
              <w:rPr>
                <w:rFonts w:ascii="宋体" w:hAnsi="宋体" w:cs="宋体" w:eastAsia="宋体" w:hint="default"/>
                <w:spacing w:val="75"/>
                <w:sz w:val="21"/>
                <w:szCs w:val="21"/>
              </w:rPr>
              <w:t> </w:t>
            </w:r>
            <w:r>
              <w:rPr>
                <w:rFonts w:ascii="宋体" w:hAnsi="宋体" w:cs="宋体" w:eastAsia="宋体" w:hint="default"/>
                <w:sz w:val="21"/>
                <w:szCs w:val="21"/>
              </w:rPr>
              <w:t>3.40</w:t>
            </w:r>
            <w:r>
              <w:rPr>
                <w:rFonts w:ascii="宋体" w:hAnsi="宋体" w:cs="宋体" w:eastAsia="宋体" w:hint="default"/>
                <w:w w:val="100"/>
                <w:sz w:val="21"/>
                <w:szCs w:val="21"/>
              </w:rPr>
              <w:t> </w:t>
            </w:r>
            <w:r>
              <w:rPr>
                <w:rFonts w:ascii="宋体" w:hAnsi="宋体" w:cs="宋体" w:eastAsia="宋体" w:hint="default"/>
                <w:sz w:val="21"/>
                <w:szCs w:val="21"/>
              </w:rPr>
              <w:t>个百分点</w:t>
            </w:r>
            <w:r>
              <w:rPr>
                <w:rFonts w:ascii="宋体" w:hAnsi="宋体" w:cs="宋体" w:eastAsia="宋体" w:hint="default"/>
                <w:sz w:val="21"/>
                <w:szCs w:val="21"/>
              </w:rPr>
              <w:t> </w:t>
            </w:r>
          </w:p>
        </w:tc>
      </w:tr>
    </w:tbl>
    <w:p>
      <w:pPr>
        <w:pStyle w:val="BodyText"/>
        <w:spacing w:line="262" w:lineRule="exact"/>
        <w:ind w:left="1018" w:right="0"/>
        <w:jc w:val="left"/>
        <w:rPr>
          <w:rFonts w:ascii="宋体" w:hAnsi="宋体" w:cs="宋体" w:eastAsia="宋体" w:hint="default"/>
        </w:rPr>
      </w:pPr>
      <w:r>
        <w:rPr/>
        <w:t>主营业务分行业、分产品、分地区情况的说明</w:t>
      </w:r>
      <w:r>
        <w:rPr>
          <w:rFonts w:ascii="宋体" w:hAnsi="宋体" w:cs="宋体" w:eastAsia="宋体" w:hint="default"/>
        </w:rPr>
        <w:t> </w:t>
      </w:r>
    </w:p>
    <w:p>
      <w:pPr>
        <w:pStyle w:val="BodyText"/>
        <w:spacing w:line="240" w:lineRule="auto" w:before="37"/>
        <w:ind w:left="1018" w:right="0"/>
        <w:jc w:val="left"/>
        <w:rPr>
          <w:rFonts w:ascii="宋体" w:hAnsi="宋体" w:cs="宋体" w:eastAsia="宋体" w:hint="default"/>
        </w:rPr>
      </w:pPr>
      <w:r>
        <w:rPr/>
        <w:t>光伏</w:t>
      </w:r>
      <w:r>
        <w:rPr>
          <w:spacing w:val="-56"/>
        </w:rPr>
        <w:t> </w:t>
      </w:r>
      <w:r>
        <w:rPr>
          <w:rFonts w:ascii="宋体" w:hAnsi="宋体" w:cs="宋体" w:eastAsia="宋体" w:hint="default"/>
        </w:rPr>
        <w:t>EPC</w:t>
      </w:r>
      <w:r>
        <w:rPr>
          <w:rFonts w:ascii="宋体" w:hAnsi="宋体" w:cs="宋体" w:eastAsia="宋体" w:hint="default"/>
          <w:spacing w:val="-56"/>
        </w:rPr>
        <w:t> </w:t>
      </w:r>
      <w:r>
        <w:rPr/>
        <w:t>收入减少原因主要系</w:t>
      </w:r>
      <w:r>
        <w:rPr>
          <w:spacing w:val="-55"/>
        </w:rPr>
        <w:t> </w:t>
      </w:r>
      <w:r>
        <w:rPr>
          <w:rFonts w:ascii="宋体" w:hAnsi="宋体" w:cs="宋体" w:eastAsia="宋体" w:hint="default"/>
        </w:rPr>
        <w:t>EPC</w:t>
      </w:r>
      <w:r>
        <w:rPr>
          <w:rFonts w:ascii="宋体" w:hAnsi="宋体" w:cs="宋体" w:eastAsia="宋体" w:hint="default"/>
          <w:spacing w:val="-56"/>
        </w:rPr>
        <w:t> </w:t>
      </w:r>
      <w:r>
        <w:rPr/>
        <w:t>工程已经开始前期工作，但未到确认收入节点所致。</w:t>
      </w:r>
      <w:r>
        <w:rPr>
          <w:rFonts w:ascii="宋体" w:hAnsi="宋体" w:cs="宋体" w:eastAsia="宋体" w:hint="default"/>
        </w:rPr>
        <w:t> </w:t>
      </w:r>
    </w:p>
    <w:p>
      <w:pPr>
        <w:pStyle w:val="BodyText"/>
        <w:spacing w:line="240" w:lineRule="auto" w:before="37"/>
        <w:ind w:left="1018" w:right="0"/>
        <w:jc w:val="left"/>
        <w:rPr>
          <w:rFonts w:ascii="宋体" w:hAnsi="宋体" w:cs="宋体" w:eastAsia="宋体" w:hint="default"/>
        </w:rPr>
      </w:pPr>
      <w:r>
        <w:rPr>
          <w:rFonts w:ascii="宋体"/>
          <w:w w:val="100"/>
        </w:rPr>
        <w:t> </w:t>
      </w:r>
    </w:p>
    <w:p>
      <w:pPr>
        <w:pStyle w:val="Heading3"/>
        <w:spacing w:line="240" w:lineRule="auto"/>
        <w:ind w:left="1018" w:right="0"/>
        <w:jc w:val="left"/>
        <w:rPr>
          <w:b w:val="0"/>
          <w:bCs w:val="0"/>
        </w:rPr>
      </w:pPr>
      <w:r>
        <w:rPr>
          <w:rFonts w:ascii="宋体" w:hAnsi="宋体" w:cs="宋体" w:eastAsia="宋体" w:hint="default"/>
        </w:rPr>
        <w:t>(2).</w:t>
      </w:r>
      <w:r>
        <w:rPr>
          <w:rFonts w:ascii="宋体" w:hAnsi="宋体" w:cs="宋体" w:eastAsia="宋体" w:hint="default"/>
          <w:spacing w:val="39"/>
        </w:rPr>
        <w:t> </w:t>
      </w:r>
      <w:r>
        <w:rPr/>
        <w:t>产销量情况分析表</w:t>
      </w:r>
      <w:r>
        <w:rPr>
          <w:b w:val="0"/>
          <w:bCs w:val="0"/>
        </w:rPr>
      </w:r>
    </w:p>
    <w:p>
      <w:pPr>
        <w:pStyle w:val="Heading2"/>
        <w:spacing w:line="240" w:lineRule="auto" w:before="69"/>
        <w:ind w:left="1018"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12"/>
        <w:rPr>
          <w:rFonts w:ascii="宋体" w:hAnsi="宋体" w:cs="宋体" w:eastAsia="宋体" w:hint="default"/>
          <w:sz w:val="2"/>
          <w:szCs w:val="2"/>
        </w:rPr>
      </w:pPr>
    </w:p>
    <w:tbl>
      <w:tblPr>
        <w:tblW w:w="0" w:type="auto"/>
        <w:jc w:val="left"/>
        <w:tblInd w:w="334" w:type="dxa"/>
        <w:tblLayout w:type="fixed"/>
        <w:tblCellMar>
          <w:top w:w="0" w:type="dxa"/>
          <w:left w:w="0" w:type="dxa"/>
          <w:bottom w:w="0" w:type="dxa"/>
          <w:right w:w="0" w:type="dxa"/>
        </w:tblCellMar>
        <w:tblLook w:val="01E0"/>
      </w:tblPr>
      <w:tblGrid>
        <w:gridCol w:w="1611"/>
        <w:gridCol w:w="1013"/>
        <w:gridCol w:w="1443"/>
        <w:gridCol w:w="1332"/>
        <w:gridCol w:w="1445"/>
        <w:gridCol w:w="1015"/>
        <w:gridCol w:w="1016"/>
        <w:gridCol w:w="1015"/>
      </w:tblGrid>
      <w:tr>
        <w:trPr>
          <w:trHeight w:val="948" w:hRule="exact"/>
        </w:trPr>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left="98" w:right="0"/>
              <w:jc w:val="center"/>
              <w:rPr>
                <w:rFonts w:ascii="宋体" w:hAnsi="宋体" w:cs="宋体" w:eastAsia="宋体" w:hint="default"/>
                <w:sz w:val="21"/>
                <w:szCs w:val="21"/>
              </w:rPr>
            </w:pPr>
            <w:r>
              <w:rPr>
                <w:rFonts w:ascii="宋体" w:hAnsi="宋体" w:cs="宋体" w:eastAsia="宋体" w:hint="default"/>
                <w:sz w:val="21"/>
                <w:szCs w:val="21"/>
              </w:rPr>
              <w:t>主要产品</w:t>
            </w:r>
            <w:r>
              <w:rPr>
                <w:rFonts w:ascii="宋体" w:hAnsi="宋体" w:cs="宋体" w:eastAsia="宋体" w:hint="default"/>
                <w:sz w:val="21"/>
                <w:szCs w:val="21"/>
              </w:rPr>
              <w:t> </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left="103" w:right="0"/>
              <w:jc w:val="center"/>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z w:val="21"/>
                <w:szCs w:val="21"/>
              </w:rPr>
              <w:t> </w:t>
            </w: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left="398" w:right="0"/>
              <w:jc w:val="left"/>
              <w:rPr>
                <w:rFonts w:ascii="宋体" w:hAnsi="宋体" w:cs="宋体" w:eastAsia="宋体" w:hint="default"/>
                <w:sz w:val="21"/>
                <w:szCs w:val="21"/>
              </w:rPr>
            </w:pPr>
            <w:r>
              <w:rPr>
                <w:rFonts w:ascii="宋体" w:hAnsi="宋体" w:cs="宋体" w:eastAsia="宋体" w:hint="default"/>
                <w:sz w:val="21"/>
                <w:szCs w:val="21"/>
              </w:rPr>
              <w:t>生产量</w:t>
            </w:r>
            <w:r>
              <w:rPr>
                <w:rFonts w:ascii="宋体" w:hAnsi="宋体" w:cs="宋体" w:eastAsia="宋体" w:hint="default"/>
                <w:sz w:val="21"/>
                <w:szCs w:val="21"/>
              </w:rPr>
              <w:t> </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left="345" w:right="0"/>
              <w:jc w:val="left"/>
              <w:rPr>
                <w:rFonts w:ascii="宋体" w:hAnsi="宋体" w:cs="宋体" w:eastAsia="宋体" w:hint="default"/>
                <w:sz w:val="21"/>
                <w:szCs w:val="21"/>
              </w:rPr>
            </w:pPr>
            <w:r>
              <w:rPr>
                <w:rFonts w:ascii="宋体" w:hAnsi="宋体" w:cs="宋体" w:eastAsia="宋体" w:hint="default"/>
                <w:sz w:val="21"/>
                <w:szCs w:val="21"/>
              </w:rPr>
              <w:t>销售量</w:t>
            </w:r>
            <w:r>
              <w:rPr>
                <w:rFonts w:ascii="宋体" w:hAnsi="宋体" w:cs="宋体" w:eastAsia="宋体" w:hint="default"/>
                <w:sz w:val="21"/>
                <w:szCs w:val="21"/>
              </w:rPr>
              <w:t> </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left="401" w:right="0"/>
              <w:jc w:val="left"/>
              <w:rPr>
                <w:rFonts w:ascii="宋体" w:hAnsi="宋体" w:cs="宋体" w:eastAsia="宋体" w:hint="default"/>
                <w:sz w:val="21"/>
                <w:szCs w:val="21"/>
              </w:rPr>
            </w:pPr>
            <w:r>
              <w:rPr>
                <w:rFonts w:ascii="宋体" w:hAnsi="宋体" w:cs="宋体" w:eastAsia="宋体" w:hint="default"/>
                <w:sz w:val="21"/>
                <w:szCs w:val="21"/>
              </w:rPr>
              <w:t>库存量</w:t>
            </w:r>
            <w:r>
              <w:rPr>
                <w:rFonts w:ascii="宋体" w:hAnsi="宋体" w:cs="宋体" w:eastAsia="宋体" w:hint="default"/>
                <w:sz w:val="21"/>
                <w:szCs w:val="21"/>
              </w:rPr>
              <w:t> </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3" w:hanging="104"/>
              <w:jc w:val="center"/>
              <w:rPr>
                <w:rFonts w:ascii="宋体" w:hAnsi="宋体" w:cs="宋体" w:eastAsia="宋体" w:hint="default"/>
                <w:sz w:val="21"/>
                <w:szCs w:val="21"/>
              </w:rPr>
            </w:pPr>
            <w:r>
              <w:rPr>
                <w:rFonts w:ascii="宋体" w:hAnsi="宋体" w:cs="宋体" w:eastAsia="宋体" w:hint="default"/>
                <w:sz w:val="21"/>
                <w:szCs w:val="21"/>
              </w:rPr>
              <w:t>生产量</w:t>
            </w:r>
            <w:r>
              <w:rPr>
                <w:rFonts w:ascii="宋体" w:hAnsi="宋体" w:cs="宋体" w:eastAsia="宋体" w:hint="default"/>
                <w:w w:val="100"/>
                <w:sz w:val="21"/>
                <w:szCs w:val="21"/>
              </w:rPr>
              <w:t> </w:t>
            </w:r>
            <w:r>
              <w:rPr>
                <w:rFonts w:ascii="宋体" w:hAnsi="宋体" w:cs="宋体" w:eastAsia="宋体" w:hint="default"/>
                <w:sz w:val="21"/>
                <w:szCs w:val="21"/>
              </w:rPr>
              <w:t>比上年</w:t>
            </w:r>
            <w:r>
              <w:rPr>
                <w:rFonts w:ascii="宋体" w:hAnsi="宋体" w:cs="宋体" w:eastAsia="宋体" w:hint="default"/>
                <w:w w:val="100"/>
                <w:sz w:val="21"/>
                <w:szCs w:val="21"/>
              </w:rPr>
              <w:t> </w:t>
            </w:r>
            <w:r>
              <w:rPr>
                <w:rFonts w:ascii="宋体" w:hAnsi="宋体" w:cs="宋体" w:eastAsia="宋体" w:hint="default"/>
                <w:spacing w:val="-31"/>
                <w:w w:val="100"/>
                <w:sz w:val="21"/>
                <w:szCs w:val="21"/>
              </w:rPr>
              <w:t>增减（</w:t>
            </w:r>
            <w:r>
              <w:rPr>
                <w:rFonts w:ascii="宋体" w:hAnsi="宋体" w:cs="宋体" w:eastAsia="宋体" w:hint="default"/>
                <w:spacing w:val="-31"/>
                <w:w w:val="100"/>
                <w:sz w:val="21"/>
                <w:szCs w:val="21"/>
              </w:rPr>
              <w:t>%</w:t>
            </w:r>
            <w:r>
              <w:rPr>
                <w:rFonts w:ascii="宋体" w:hAnsi="宋体" w:cs="宋体" w:eastAsia="宋体" w:hint="default"/>
                <w:spacing w:val="-31"/>
                <w:w w:val="100"/>
                <w:sz w:val="21"/>
                <w:szCs w:val="21"/>
              </w:rPr>
              <w:t>）</w:t>
            </w:r>
            <w:r>
              <w:rPr>
                <w:rFonts w:ascii="宋体" w:hAnsi="宋体" w:cs="宋体" w:eastAsia="宋体" w:hint="default"/>
                <w:w w:val="100"/>
                <w:sz w:val="21"/>
                <w:szCs w:val="21"/>
              </w:rPr>
              <w:t> </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3" w:hanging="104"/>
              <w:jc w:val="center"/>
              <w:rPr>
                <w:rFonts w:ascii="宋体" w:hAnsi="宋体" w:cs="宋体" w:eastAsia="宋体" w:hint="default"/>
                <w:sz w:val="21"/>
                <w:szCs w:val="21"/>
              </w:rPr>
            </w:pPr>
            <w:r>
              <w:rPr>
                <w:rFonts w:ascii="宋体" w:hAnsi="宋体" w:cs="宋体" w:eastAsia="宋体" w:hint="default"/>
                <w:sz w:val="21"/>
                <w:szCs w:val="21"/>
              </w:rPr>
              <w:t>销售量</w:t>
            </w:r>
            <w:r>
              <w:rPr>
                <w:rFonts w:ascii="宋体" w:hAnsi="宋体" w:cs="宋体" w:eastAsia="宋体" w:hint="default"/>
                <w:w w:val="100"/>
                <w:sz w:val="21"/>
                <w:szCs w:val="21"/>
              </w:rPr>
              <w:t> </w:t>
            </w:r>
            <w:r>
              <w:rPr>
                <w:rFonts w:ascii="宋体" w:hAnsi="宋体" w:cs="宋体" w:eastAsia="宋体" w:hint="default"/>
                <w:sz w:val="21"/>
                <w:szCs w:val="21"/>
              </w:rPr>
              <w:t>比上年</w:t>
            </w:r>
            <w:r>
              <w:rPr>
                <w:rFonts w:ascii="宋体" w:hAnsi="宋体" w:cs="宋体" w:eastAsia="宋体" w:hint="default"/>
                <w:w w:val="100"/>
                <w:sz w:val="21"/>
                <w:szCs w:val="21"/>
              </w:rPr>
              <w:t> </w:t>
            </w:r>
            <w:r>
              <w:rPr>
                <w:rFonts w:ascii="宋体" w:hAnsi="宋体" w:cs="宋体" w:eastAsia="宋体" w:hint="default"/>
                <w:spacing w:val="-31"/>
                <w:w w:val="100"/>
                <w:sz w:val="21"/>
                <w:szCs w:val="21"/>
              </w:rPr>
              <w:t>增减（</w:t>
            </w:r>
            <w:r>
              <w:rPr>
                <w:rFonts w:ascii="宋体" w:hAnsi="宋体" w:cs="宋体" w:eastAsia="宋体" w:hint="default"/>
                <w:spacing w:val="-31"/>
                <w:w w:val="100"/>
                <w:sz w:val="21"/>
                <w:szCs w:val="21"/>
              </w:rPr>
              <w:t>%</w:t>
            </w:r>
            <w:r>
              <w:rPr>
                <w:rFonts w:ascii="宋体" w:hAnsi="宋体" w:cs="宋体" w:eastAsia="宋体" w:hint="default"/>
                <w:spacing w:val="-31"/>
                <w:w w:val="100"/>
                <w:sz w:val="21"/>
                <w:szCs w:val="21"/>
              </w:rPr>
              <w:t>）</w:t>
            </w:r>
            <w:r>
              <w:rPr>
                <w:rFonts w:ascii="宋体" w:hAnsi="宋体" w:cs="宋体" w:eastAsia="宋体" w:hint="default"/>
                <w:w w:val="100"/>
                <w:sz w:val="21"/>
                <w:szCs w:val="21"/>
              </w:rPr>
              <w:t> </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3" w:hanging="104"/>
              <w:jc w:val="center"/>
              <w:rPr>
                <w:rFonts w:ascii="宋体" w:hAnsi="宋体" w:cs="宋体" w:eastAsia="宋体" w:hint="default"/>
                <w:sz w:val="21"/>
                <w:szCs w:val="21"/>
              </w:rPr>
            </w:pPr>
            <w:r>
              <w:rPr>
                <w:rFonts w:ascii="宋体" w:hAnsi="宋体" w:cs="宋体" w:eastAsia="宋体" w:hint="default"/>
                <w:sz w:val="21"/>
                <w:szCs w:val="21"/>
              </w:rPr>
              <w:t>库存量</w:t>
            </w:r>
            <w:r>
              <w:rPr>
                <w:rFonts w:ascii="宋体" w:hAnsi="宋体" w:cs="宋体" w:eastAsia="宋体" w:hint="default"/>
                <w:w w:val="100"/>
                <w:sz w:val="21"/>
                <w:szCs w:val="21"/>
              </w:rPr>
              <w:t> </w:t>
            </w:r>
            <w:r>
              <w:rPr>
                <w:rFonts w:ascii="宋体" w:hAnsi="宋体" w:cs="宋体" w:eastAsia="宋体" w:hint="default"/>
                <w:sz w:val="21"/>
                <w:szCs w:val="21"/>
              </w:rPr>
              <w:t>比上年</w:t>
            </w:r>
            <w:r>
              <w:rPr>
                <w:rFonts w:ascii="宋体" w:hAnsi="宋体" w:cs="宋体" w:eastAsia="宋体" w:hint="default"/>
                <w:w w:val="100"/>
                <w:sz w:val="21"/>
                <w:szCs w:val="21"/>
              </w:rPr>
              <w:t> </w:t>
            </w:r>
            <w:r>
              <w:rPr>
                <w:rFonts w:ascii="宋体" w:hAnsi="宋体" w:cs="宋体" w:eastAsia="宋体" w:hint="default"/>
                <w:spacing w:val="-31"/>
                <w:w w:val="100"/>
                <w:sz w:val="21"/>
                <w:szCs w:val="21"/>
              </w:rPr>
              <w:t>增减（</w:t>
            </w:r>
            <w:r>
              <w:rPr>
                <w:rFonts w:ascii="宋体" w:hAnsi="宋体" w:cs="宋体" w:eastAsia="宋体" w:hint="default"/>
                <w:spacing w:val="-31"/>
                <w:w w:val="100"/>
                <w:sz w:val="21"/>
                <w:szCs w:val="21"/>
              </w:rPr>
              <w:t>%</w:t>
            </w:r>
            <w:r>
              <w:rPr>
                <w:rFonts w:ascii="宋体" w:hAnsi="宋体" w:cs="宋体" w:eastAsia="宋体" w:hint="default"/>
                <w:spacing w:val="-31"/>
                <w:w w:val="100"/>
                <w:sz w:val="21"/>
                <w:szCs w:val="21"/>
              </w:rPr>
              <w:t>）</w:t>
            </w:r>
            <w:r>
              <w:rPr>
                <w:rFonts w:ascii="宋体" w:hAnsi="宋体" w:cs="宋体" w:eastAsia="宋体" w:hint="default"/>
                <w:w w:val="100"/>
                <w:sz w:val="21"/>
                <w:szCs w:val="21"/>
              </w:rPr>
              <w:t> </w:t>
            </w:r>
          </w:p>
        </w:tc>
      </w:tr>
      <w:tr>
        <w:trPr>
          <w:trHeight w:val="634" w:hRule="exact"/>
        </w:trPr>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102"/>
              <w:jc w:val="left"/>
              <w:rPr>
                <w:rFonts w:ascii="宋体" w:hAnsi="宋体" w:cs="宋体" w:eastAsia="宋体" w:hint="default"/>
                <w:sz w:val="21"/>
                <w:szCs w:val="21"/>
              </w:rPr>
            </w:pPr>
            <w:r>
              <w:rPr>
                <w:rFonts w:ascii="宋体" w:hAnsi="宋体" w:cs="宋体" w:eastAsia="宋体" w:hint="default"/>
                <w:sz w:val="21"/>
                <w:szCs w:val="21"/>
              </w:rPr>
              <w:t>智</w:t>
            </w:r>
            <w:r>
              <w:rPr>
                <w:rFonts w:ascii="宋体" w:hAnsi="宋体" w:cs="宋体" w:eastAsia="宋体" w:hint="default"/>
                <w:spacing w:val="-78"/>
                <w:sz w:val="21"/>
                <w:szCs w:val="21"/>
              </w:rPr>
              <w:t> </w:t>
            </w:r>
            <w:r>
              <w:rPr>
                <w:rFonts w:ascii="宋体" w:hAnsi="宋体" w:cs="宋体" w:eastAsia="宋体" w:hint="default"/>
                <w:sz w:val="21"/>
                <w:szCs w:val="21"/>
              </w:rPr>
              <w:t>能</w:t>
            </w:r>
            <w:r>
              <w:rPr>
                <w:rFonts w:ascii="宋体" w:hAnsi="宋体" w:cs="宋体" w:eastAsia="宋体" w:hint="default"/>
                <w:spacing w:val="-78"/>
                <w:sz w:val="21"/>
                <w:szCs w:val="21"/>
              </w:rPr>
              <w:t> </w:t>
            </w:r>
            <w:r>
              <w:rPr>
                <w:rFonts w:ascii="宋体" w:hAnsi="宋体" w:cs="宋体" w:eastAsia="宋体" w:hint="default"/>
                <w:sz w:val="21"/>
                <w:szCs w:val="21"/>
              </w:rPr>
              <w:t>电</w:t>
            </w:r>
            <w:r>
              <w:rPr>
                <w:rFonts w:ascii="宋体" w:hAnsi="宋体" w:cs="宋体" w:eastAsia="宋体" w:hint="default"/>
                <w:spacing w:val="-78"/>
                <w:sz w:val="21"/>
                <w:szCs w:val="21"/>
              </w:rPr>
              <w:t> </w:t>
            </w:r>
            <w:r>
              <w:rPr>
                <w:rFonts w:ascii="宋体" w:hAnsi="宋体" w:cs="宋体" w:eastAsia="宋体" w:hint="default"/>
                <w:sz w:val="21"/>
                <w:szCs w:val="21"/>
              </w:rPr>
              <w:t>能</w:t>
            </w:r>
            <w:r>
              <w:rPr>
                <w:rFonts w:ascii="宋体" w:hAnsi="宋体" w:cs="宋体" w:eastAsia="宋体" w:hint="default"/>
                <w:spacing w:val="-78"/>
                <w:sz w:val="21"/>
                <w:szCs w:val="21"/>
              </w:rPr>
              <w:t> </w:t>
            </w:r>
            <w:r>
              <w:rPr>
                <w:rFonts w:ascii="宋体" w:hAnsi="宋体" w:cs="宋体" w:eastAsia="宋体" w:hint="default"/>
                <w:spacing w:val="11"/>
                <w:sz w:val="21"/>
                <w:szCs w:val="21"/>
              </w:rPr>
              <w:t>表及</w:t>
            </w:r>
            <w:r>
              <w:rPr>
                <w:rFonts w:ascii="宋体" w:hAnsi="宋体" w:cs="宋体" w:eastAsia="宋体" w:hint="default"/>
                <w:w w:val="100"/>
                <w:sz w:val="21"/>
                <w:szCs w:val="21"/>
              </w:rPr>
              <w:t> </w:t>
            </w:r>
            <w:r>
              <w:rPr>
                <w:rFonts w:ascii="宋体" w:hAnsi="宋体" w:cs="宋体" w:eastAsia="宋体" w:hint="default"/>
                <w:sz w:val="21"/>
                <w:szCs w:val="21"/>
              </w:rPr>
              <w:t>系统类产品</w:t>
            </w:r>
            <w:r>
              <w:rPr>
                <w:rFonts w:ascii="宋体" w:hAnsi="宋体" w:cs="宋体" w:eastAsia="宋体" w:hint="default"/>
                <w:sz w:val="21"/>
                <w:szCs w:val="21"/>
              </w:rPr>
              <w:t> </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5" w:right="0"/>
              <w:jc w:val="center"/>
              <w:rPr>
                <w:rFonts w:ascii="宋体" w:hAnsi="宋体" w:cs="宋体" w:eastAsia="宋体" w:hint="default"/>
                <w:sz w:val="21"/>
                <w:szCs w:val="21"/>
              </w:rPr>
            </w:pPr>
            <w:r>
              <w:rPr>
                <w:rFonts w:ascii="宋体" w:hAnsi="宋体" w:cs="宋体" w:eastAsia="宋体" w:hint="default"/>
                <w:sz w:val="21"/>
                <w:szCs w:val="21"/>
              </w:rPr>
              <w:t>台</w:t>
            </w:r>
            <w:r>
              <w:rPr>
                <w:rFonts w:ascii="宋体" w:hAnsi="宋体" w:cs="宋体" w:eastAsia="宋体" w:hint="default"/>
                <w:sz w:val="21"/>
                <w:szCs w:val="21"/>
              </w:rPr>
              <w:t> </w:t>
            </w: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
              <w:jc w:val="right"/>
              <w:rPr>
                <w:rFonts w:ascii="宋体" w:hAnsi="宋体" w:cs="宋体" w:eastAsia="宋体" w:hint="default"/>
                <w:sz w:val="21"/>
                <w:szCs w:val="21"/>
              </w:rPr>
            </w:pPr>
            <w:r>
              <w:rPr>
                <w:rFonts w:ascii="宋体"/>
                <w:spacing w:val="-1"/>
                <w:sz w:val="21"/>
              </w:rPr>
              <w:t>8,157,670</w:t>
            </w:r>
            <w:r>
              <w:rPr>
                <w:rFonts w:ascii="宋体"/>
                <w:sz w:val="21"/>
              </w:rPr>
              <w:t> </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3"/>
              <w:jc w:val="right"/>
              <w:rPr>
                <w:rFonts w:ascii="宋体" w:hAnsi="宋体" w:cs="宋体" w:eastAsia="宋体" w:hint="default"/>
                <w:sz w:val="21"/>
                <w:szCs w:val="21"/>
              </w:rPr>
            </w:pPr>
            <w:r>
              <w:rPr>
                <w:rFonts w:ascii="宋体"/>
                <w:spacing w:val="-1"/>
                <w:sz w:val="21"/>
              </w:rPr>
              <w:t>7,976,918</w:t>
            </w:r>
            <w:r>
              <w:rPr>
                <w:rFonts w:ascii="宋体"/>
                <w:sz w:val="21"/>
              </w:rPr>
              <w:t> </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3"/>
              <w:jc w:val="right"/>
              <w:rPr>
                <w:rFonts w:ascii="宋体" w:hAnsi="宋体" w:cs="宋体" w:eastAsia="宋体" w:hint="default"/>
                <w:sz w:val="21"/>
                <w:szCs w:val="21"/>
              </w:rPr>
            </w:pPr>
            <w:r>
              <w:rPr>
                <w:rFonts w:ascii="宋体"/>
                <w:spacing w:val="-1"/>
                <w:sz w:val="21"/>
              </w:rPr>
              <w:t>966,551</w:t>
            </w:r>
            <w:r>
              <w:rPr>
                <w:rFonts w:ascii="宋体"/>
                <w:sz w:val="21"/>
              </w:rPr>
              <w:t> </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3"/>
              <w:jc w:val="right"/>
              <w:rPr>
                <w:rFonts w:ascii="宋体" w:hAnsi="宋体" w:cs="宋体" w:eastAsia="宋体" w:hint="default"/>
                <w:sz w:val="21"/>
                <w:szCs w:val="21"/>
              </w:rPr>
            </w:pPr>
            <w:r>
              <w:rPr>
                <w:rFonts w:ascii="宋体"/>
                <w:spacing w:val="-1"/>
                <w:sz w:val="21"/>
              </w:rPr>
              <w:t>2.14</w:t>
            </w:r>
            <w:r>
              <w:rPr>
                <w:rFonts w:ascii="宋体"/>
                <w:sz w:val="21"/>
              </w:rPr>
              <w:t> </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3"/>
              <w:jc w:val="right"/>
              <w:rPr>
                <w:rFonts w:ascii="宋体" w:hAnsi="宋体" w:cs="宋体" w:eastAsia="宋体" w:hint="default"/>
                <w:sz w:val="21"/>
                <w:szCs w:val="21"/>
              </w:rPr>
            </w:pPr>
            <w:r>
              <w:rPr>
                <w:rFonts w:ascii="宋体"/>
                <w:spacing w:val="-1"/>
                <w:sz w:val="21"/>
              </w:rPr>
              <w:t>0.21</w:t>
            </w:r>
            <w:r>
              <w:rPr>
                <w:rFonts w:ascii="宋体"/>
                <w:sz w:val="21"/>
              </w:rPr>
              <w:t> </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3"/>
              <w:jc w:val="right"/>
              <w:rPr>
                <w:rFonts w:ascii="宋体" w:hAnsi="宋体" w:cs="宋体" w:eastAsia="宋体" w:hint="default"/>
                <w:sz w:val="21"/>
                <w:szCs w:val="21"/>
              </w:rPr>
            </w:pPr>
            <w:r>
              <w:rPr>
                <w:rFonts w:ascii="宋体"/>
                <w:spacing w:val="-1"/>
                <w:sz w:val="21"/>
              </w:rPr>
              <w:t>23.00</w:t>
            </w:r>
            <w:r>
              <w:rPr>
                <w:rFonts w:ascii="宋体"/>
                <w:sz w:val="21"/>
              </w:rPr>
              <w:t> </w:t>
            </w:r>
          </w:p>
        </w:tc>
      </w:tr>
      <w:tr>
        <w:trPr>
          <w:trHeight w:val="322" w:hRule="exact"/>
        </w:trPr>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1"/>
              <w:jc w:val="center"/>
              <w:rPr>
                <w:rFonts w:ascii="宋体" w:hAnsi="宋体" w:cs="宋体" w:eastAsia="宋体" w:hint="default"/>
                <w:sz w:val="21"/>
                <w:szCs w:val="21"/>
              </w:rPr>
            </w:pPr>
            <w:r>
              <w:rPr>
                <w:rFonts w:ascii="宋体" w:hAnsi="宋体" w:cs="宋体" w:eastAsia="宋体" w:hint="default"/>
                <w:sz w:val="21"/>
                <w:szCs w:val="21"/>
              </w:rPr>
              <w:t>光伏产品组件</w:t>
            </w:r>
            <w:r>
              <w:rPr>
                <w:rFonts w:ascii="宋体" w:hAnsi="宋体" w:cs="宋体" w:eastAsia="宋体" w:hint="default"/>
                <w:sz w:val="21"/>
                <w:szCs w:val="21"/>
              </w:rPr>
              <w:t> </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5" w:right="0"/>
              <w:jc w:val="center"/>
              <w:rPr>
                <w:rFonts w:ascii="宋体" w:hAnsi="宋体" w:cs="宋体" w:eastAsia="宋体" w:hint="default"/>
                <w:sz w:val="21"/>
                <w:szCs w:val="21"/>
              </w:rPr>
            </w:pPr>
            <w:r>
              <w:rPr>
                <w:rFonts w:ascii="宋体" w:hAnsi="宋体" w:cs="宋体" w:eastAsia="宋体" w:hint="default"/>
                <w:sz w:val="21"/>
                <w:szCs w:val="21"/>
              </w:rPr>
              <w:t>瓦</w:t>
            </w:r>
            <w:r>
              <w:rPr>
                <w:rFonts w:ascii="宋体" w:hAnsi="宋体" w:cs="宋体" w:eastAsia="宋体" w:hint="default"/>
                <w:sz w:val="21"/>
                <w:szCs w:val="21"/>
              </w:rPr>
              <w:t> </w:t>
            </w: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236,729,180</w:t>
            </w:r>
            <w:r>
              <w:rPr>
                <w:rFonts w:ascii="宋体"/>
                <w:sz w:val="21"/>
              </w:rPr>
              <w:t> </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72,620,880</w:t>
            </w:r>
            <w:r>
              <w:rPr>
                <w:rFonts w:ascii="宋体"/>
                <w:sz w:val="21"/>
              </w:rPr>
              <w:t> </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193,672,350</w:t>
            </w:r>
            <w:r>
              <w:rPr>
                <w:rFonts w:ascii="宋体"/>
                <w:sz w:val="21"/>
              </w:rPr>
              <w:t> </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7.09</w:t>
            </w:r>
            <w:r>
              <w:rPr>
                <w:rFonts w:ascii="宋体"/>
                <w:sz w:val="21"/>
              </w:rPr>
              <w:t> </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-70.76</w:t>
            </w:r>
            <w:r>
              <w:rPr>
                <w:rFonts w:ascii="宋体"/>
                <w:sz w:val="21"/>
              </w:rPr>
              <w:t> </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361.93</w:t>
            </w:r>
            <w:r>
              <w:rPr>
                <w:rFonts w:ascii="宋体"/>
                <w:sz w:val="21"/>
              </w:rPr>
              <w:t> </w:t>
            </w:r>
          </w:p>
        </w:tc>
      </w:tr>
    </w:tbl>
    <w:p>
      <w:pPr>
        <w:spacing w:after="0" w:line="262" w:lineRule="exact"/>
        <w:jc w:val="right"/>
        <w:rPr>
          <w:rFonts w:ascii="宋体" w:hAnsi="宋体" w:cs="宋体" w:eastAsia="宋体" w:hint="default"/>
          <w:sz w:val="21"/>
          <w:szCs w:val="21"/>
        </w:rPr>
        <w:sectPr>
          <w:pgSz w:w="11910" w:h="16840"/>
          <w:pgMar w:header="748" w:footer="974" w:top="1140" w:bottom="1160" w:left="400" w:right="400"/>
        </w:sectPr>
      </w:pPr>
    </w:p>
    <w:p>
      <w:pPr>
        <w:pStyle w:val="BodyText"/>
        <w:spacing w:line="273" w:lineRule="auto"/>
        <w:ind w:left="1018" w:right="0"/>
        <w:jc w:val="left"/>
        <w:rPr>
          <w:rFonts w:ascii="宋体" w:hAnsi="宋体" w:cs="宋体" w:eastAsia="宋体" w:hint="default"/>
        </w:rPr>
      </w:pPr>
      <w:r>
        <w:rPr/>
        <w:t>产销量情况说明</w:t>
      </w:r>
      <w:r>
        <w:rPr>
          <w:rFonts w:ascii="宋体" w:hAnsi="宋体" w:cs="宋体" w:eastAsia="宋体" w:hint="default"/>
          <w:w w:val="100"/>
        </w:rPr>
        <w:t> </w:t>
      </w:r>
      <w:r>
        <w:rPr/>
        <w:t>公司所产光伏组件主要为自用。</w:t>
      </w:r>
      <w:r>
        <w:rPr>
          <w:rFonts w:ascii="宋体" w:hAnsi="宋体" w:cs="宋体" w:eastAsia="宋体" w:hint="default"/>
        </w:rPr>
        <w:t> </w:t>
      </w:r>
    </w:p>
    <w:p>
      <w:pPr>
        <w:pStyle w:val="Heading2"/>
        <w:spacing w:line="294" w:lineRule="exact"/>
        <w:ind w:left="1018" w:right="0"/>
        <w:jc w:val="left"/>
        <w:rPr>
          <w:rFonts w:ascii="宋体" w:hAnsi="宋体" w:cs="宋体" w:eastAsia="宋体" w:hint="default"/>
        </w:rPr>
      </w:pPr>
      <w:r>
        <w:rPr>
          <w:rFonts w:ascii="宋体"/>
        </w:rPr>
        <w:t> </w:t>
      </w:r>
    </w:p>
    <w:p>
      <w:pPr>
        <w:pStyle w:val="Heading3"/>
        <w:spacing w:line="240" w:lineRule="auto" w:before="85"/>
        <w:ind w:left="1018" w:right="0"/>
        <w:jc w:val="left"/>
        <w:rPr>
          <w:b w:val="0"/>
          <w:bCs w:val="0"/>
        </w:rPr>
      </w:pPr>
      <w:r>
        <w:rPr>
          <w:rFonts w:ascii="宋体" w:hAnsi="宋体" w:cs="宋体" w:eastAsia="宋体" w:hint="default"/>
        </w:rPr>
        <w:t>(3).</w:t>
      </w:r>
      <w:r>
        <w:rPr>
          <w:rFonts w:ascii="宋体" w:hAnsi="宋体" w:cs="宋体" w:eastAsia="宋体" w:hint="default"/>
          <w:spacing w:val="39"/>
        </w:rPr>
        <w:t> </w:t>
      </w:r>
      <w:r>
        <w:rPr/>
        <w:t>成本分析表</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23"/>
          <w:szCs w:val="23"/>
        </w:rPr>
      </w:pPr>
    </w:p>
    <w:p>
      <w:pPr>
        <w:pStyle w:val="BodyText"/>
        <w:spacing w:line="240" w:lineRule="auto"/>
        <w:ind w:left="999" w:right="995"/>
        <w:jc w:val="center"/>
      </w:pPr>
      <w:r>
        <w:rPr/>
        <w:t>单位：元</w:t>
      </w:r>
    </w:p>
    <w:p>
      <w:pPr>
        <w:spacing w:after="0" w:line="240" w:lineRule="auto"/>
        <w:jc w:val="center"/>
        <w:sectPr>
          <w:type w:val="continuous"/>
          <w:pgSz w:w="11910" w:h="16840"/>
          <w:pgMar w:top="1580" w:bottom="280" w:left="400" w:right="400"/>
          <w:cols w:num="2" w:equalWidth="0">
            <w:col w:w="4068" w:space="4163"/>
            <w:col w:w="2879"/>
          </w:cols>
        </w:sectPr>
      </w:pPr>
    </w:p>
    <w:p>
      <w:pPr>
        <w:spacing w:line="240" w:lineRule="auto" w:before="10"/>
        <w:rPr>
          <w:rFonts w:ascii="宋体" w:hAnsi="宋体" w:cs="宋体" w:eastAsia="宋体" w:hint="default"/>
          <w:sz w:val="3"/>
          <w:szCs w:val="3"/>
        </w:rPr>
      </w:pPr>
    </w:p>
    <w:tbl>
      <w:tblPr>
        <w:tblW w:w="0" w:type="auto"/>
        <w:jc w:val="left"/>
        <w:tblInd w:w="113" w:type="dxa"/>
        <w:tblLayout w:type="fixed"/>
        <w:tblCellMar>
          <w:top w:w="0" w:type="dxa"/>
          <w:left w:w="0" w:type="dxa"/>
          <w:bottom w:w="0" w:type="dxa"/>
          <w:right w:w="0" w:type="dxa"/>
        </w:tblCellMar>
        <w:tblLook w:val="01E0"/>
      </w:tblPr>
      <w:tblGrid>
        <w:gridCol w:w="1640"/>
        <w:gridCol w:w="1234"/>
        <w:gridCol w:w="1993"/>
        <w:gridCol w:w="910"/>
        <w:gridCol w:w="2122"/>
        <w:gridCol w:w="1064"/>
        <w:gridCol w:w="1190"/>
        <w:gridCol w:w="720"/>
      </w:tblGrid>
      <w:tr>
        <w:trPr>
          <w:trHeight w:val="322" w:hRule="exact"/>
        </w:trPr>
        <w:tc>
          <w:tcPr>
            <w:tcW w:w="10872" w:type="dxa"/>
            <w:gridSpan w:val="8"/>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center"/>
              <w:rPr>
                <w:rFonts w:ascii="宋体" w:hAnsi="宋体" w:cs="宋体" w:eastAsia="宋体" w:hint="default"/>
                <w:sz w:val="21"/>
                <w:szCs w:val="21"/>
              </w:rPr>
            </w:pPr>
            <w:r>
              <w:rPr>
                <w:rFonts w:ascii="宋体" w:hAnsi="宋体" w:cs="宋体" w:eastAsia="宋体" w:hint="default"/>
                <w:sz w:val="21"/>
                <w:szCs w:val="21"/>
              </w:rPr>
              <w:t>分行业情况</w:t>
            </w:r>
            <w:r>
              <w:rPr>
                <w:rFonts w:ascii="宋体" w:hAnsi="宋体" w:cs="宋体" w:eastAsia="宋体" w:hint="default"/>
                <w:sz w:val="21"/>
                <w:szCs w:val="21"/>
              </w:rPr>
              <w:t> </w:t>
            </w:r>
          </w:p>
        </w:tc>
      </w:tr>
      <w:tr>
        <w:trPr>
          <w:trHeight w:val="1258" w:hRule="exact"/>
        </w:trPr>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99" w:right="0"/>
              <w:jc w:val="left"/>
              <w:rPr>
                <w:rFonts w:ascii="宋体" w:hAnsi="宋体" w:cs="宋体" w:eastAsia="宋体" w:hint="default"/>
                <w:sz w:val="21"/>
                <w:szCs w:val="21"/>
              </w:rPr>
            </w:pPr>
            <w:r>
              <w:rPr>
                <w:rFonts w:ascii="宋体" w:hAnsi="宋体" w:cs="宋体" w:eastAsia="宋体" w:hint="default"/>
                <w:sz w:val="21"/>
                <w:szCs w:val="21"/>
              </w:rPr>
              <w:t>分行业</w:t>
            </w:r>
            <w:r>
              <w:rPr>
                <w:rFonts w:ascii="宋体" w:hAnsi="宋体" w:cs="宋体" w:eastAsia="宋体" w:hint="default"/>
                <w:sz w:val="21"/>
                <w:szCs w:val="21"/>
              </w:rPr>
              <w:t> </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73" w:lineRule="auto"/>
              <w:ind w:left="400" w:right="187" w:hanging="209"/>
              <w:jc w:val="left"/>
              <w:rPr>
                <w:rFonts w:ascii="宋体" w:hAnsi="宋体" w:cs="宋体" w:eastAsia="宋体" w:hint="default"/>
                <w:sz w:val="21"/>
                <w:szCs w:val="21"/>
              </w:rPr>
            </w:pPr>
            <w:r>
              <w:rPr>
                <w:rFonts w:ascii="宋体" w:hAnsi="宋体" w:cs="宋体" w:eastAsia="宋体" w:hint="default"/>
                <w:sz w:val="21"/>
                <w:szCs w:val="21"/>
              </w:rPr>
              <w:t>成本构成</w:t>
            </w:r>
            <w:r>
              <w:rPr>
                <w:rFonts w:ascii="宋体" w:hAnsi="宋体" w:cs="宋体" w:eastAsia="宋体" w:hint="default"/>
                <w:w w:val="100"/>
                <w:sz w:val="21"/>
                <w:szCs w:val="21"/>
              </w:rPr>
              <w:t> </w:t>
            </w:r>
            <w:r>
              <w:rPr>
                <w:rFonts w:ascii="宋体" w:hAnsi="宋体" w:cs="宋体" w:eastAsia="宋体" w:hint="default"/>
                <w:sz w:val="21"/>
                <w:szCs w:val="21"/>
              </w:rPr>
              <w:t>项目</w:t>
            </w:r>
            <w:r>
              <w:rPr>
                <w:rFonts w:ascii="宋体" w:hAnsi="宋体" w:cs="宋体" w:eastAsia="宋体" w:hint="default"/>
                <w:sz w:val="21"/>
                <w:szCs w:val="21"/>
              </w:rPr>
              <w:t> </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571" w:right="0"/>
              <w:jc w:val="left"/>
              <w:rPr>
                <w:rFonts w:ascii="宋体" w:hAnsi="宋体" w:cs="宋体" w:eastAsia="宋体" w:hint="default"/>
                <w:sz w:val="21"/>
                <w:szCs w:val="21"/>
              </w:rPr>
            </w:pPr>
            <w:r>
              <w:rPr>
                <w:rFonts w:ascii="宋体" w:hAnsi="宋体" w:cs="宋体" w:eastAsia="宋体" w:hint="default"/>
                <w:sz w:val="21"/>
                <w:szCs w:val="21"/>
              </w:rPr>
              <w:t>本期金额</w:t>
            </w:r>
            <w:r>
              <w:rPr>
                <w:rFonts w:ascii="宋体" w:hAnsi="宋体" w:cs="宋体" w:eastAsia="宋体" w:hint="default"/>
                <w:sz w:val="21"/>
                <w:szCs w:val="21"/>
              </w:rPr>
              <w:t> </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32" w:right="132"/>
              <w:jc w:val="center"/>
              <w:rPr>
                <w:rFonts w:ascii="宋体" w:hAnsi="宋体" w:cs="宋体" w:eastAsia="宋体" w:hint="default"/>
                <w:sz w:val="21"/>
                <w:szCs w:val="21"/>
              </w:rPr>
            </w:pPr>
            <w:r>
              <w:rPr>
                <w:rFonts w:ascii="宋体" w:hAnsi="宋体" w:cs="宋体" w:eastAsia="宋体" w:hint="default"/>
                <w:sz w:val="21"/>
                <w:szCs w:val="21"/>
              </w:rPr>
              <w:t>本期占</w:t>
            </w:r>
            <w:r>
              <w:rPr>
                <w:rFonts w:ascii="宋体" w:hAnsi="宋体" w:cs="宋体" w:eastAsia="宋体" w:hint="default"/>
                <w:w w:val="100"/>
                <w:sz w:val="21"/>
                <w:szCs w:val="21"/>
              </w:rPr>
              <w:t> </w:t>
            </w:r>
            <w:r>
              <w:rPr>
                <w:rFonts w:ascii="宋体" w:hAnsi="宋体" w:cs="宋体" w:eastAsia="宋体" w:hint="default"/>
                <w:sz w:val="21"/>
                <w:szCs w:val="21"/>
              </w:rPr>
              <w:t>总成本</w:t>
            </w:r>
            <w:r>
              <w:rPr>
                <w:rFonts w:ascii="宋体" w:hAnsi="宋体" w:cs="宋体" w:eastAsia="宋体" w:hint="default"/>
                <w:w w:val="100"/>
                <w:sz w:val="21"/>
                <w:szCs w:val="21"/>
              </w:rPr>
              <w:t> </w:t>
            </w:r>
            <w:r>
              <w:rPr>
                <w:rFonts w:ascii="宋体" w:hAnsi="宋体" w:cs="宋体" w:eastAsia="宋体" w:hint="default"/>
                <w:sz w:val="21"/>
                <w:szCs w:val="21"/>
              </w:rPr>
              <w:t>比例</w:t>
            </w:r>
            <w:r>
              <w:rPr>
                <w:rFonts w:ascii="宋体" w:hAnsi="宋体" w:cs="宋体" w:eastAsia="宋体" w:hint="default"/>
                <w:w w:val="100"/>
                <w:sz w:val="21"/>
                <w:szCs w:val="21"/>
              </w:rPr>
              <w:t> </w:t>
            </w:r>
            <w:r>
              <w:rPr>
                <w:rFonts w:ascii="宋体" w:hAnsi="宋体" w:cs="宋体" w:eastAsia="宋体" w:hint="default"/>
                <w:sz w:val="21"/>
                <w:szCs w:val="21"/>
              </w:rPr>
              <w:t>(%) </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25" w:right="0"/>
              <w:jc w:val="left"/>
              <w:rPr>
                <w:rFonts w:ascii="宋体" w:hAnsi="宋体" w:cs="宋体" w:eastAsia="宋体" w:hint="default"/>
                <w:sz w:val="21"/>
                <w:szCs w:val="21"/>
              </w:rPr>
            </w:pPr>
            <w:r>
              <w:rPr>
                <w:rFonts w:ascii="宋体" w:hAnsi="宋体" w:cs="宋体" w:eastAsia="宋体" w:hint="default"/>
                <w:sz w:val="21"/>
                <w:szCs w:val="21"/>
              </w:rPr>
              <w:t>上年同期金额</w:t>
            </w:r>
            <w:r>
              <w:rPr>
                <w:rFonts w:ascii="宋体" w:hAnsi="宋体" w:cs="宋体" w:eastAsia="宋体" w:hint="default"/>
                <w:sz w:val="21"/>
                <w:szCs w:val="21"/>
              </w:rPr>
              <w:t> </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4"/>
              <w:ind w:left="105" w:right="53"/>
              <w:jc w:val="both"/>
              <w:rPr>
                <w:rFonts w:ascii="宋体" w:hAnsi="宋体" w:cs="宋体" w:eastAsia="宋体" w:hint="default"/>
                <w:sz w:val="21"/>
                <w:szCs w:val="21"/>
              </w:rPr>
            </w:pPr>
            <w:r>
              <w:rPr>
                <w:rFonts w:ascii="宋体" w:hAnsi="宋体" w:cs="宋体" w:eastAsia="宋体" w:hint="default"/>
                <w:sz w:val="21"/>
                <w:szCs w:val="21"/>
              </w:rPr>
              <w:t>上年同期</w:t>
            </w:r>
            <w:r>
              <w:rPr>
                <w:rFonts w:ascii="宋体" w:hAnsi="宋体" w:cs="宋体" w:eastAsia="宋体" w:hint="default"/>
                <w:w w:val="100"/>
                <w:sz w:val="21"/>
                <w:szCs w:val="21"/>
              </w:rPr>
              <w:t> </w:t>
            </w:r>
            <w:r>
              <w:rPr>
                <w:rFonts w:ascii="宋体" w:hAnsi="宋体" w:cs="宋体" w:eastAsia="宋体" w:hint="default"/>
                <w:sz w:val="21"/>
                <w:szCs w:val="21"/>
              </w:rPr>
              <w:t>占总成本</w:t>
            </w:r>
            <w:r>
              <w:rPr>
                <w:rFonts w:ascii="宋体" w:hAnsi="宋体" w:cs="宋体" w:eastAsia="宋体" w:hint="default"/>
                <w:w w:val="100"/>
                <w:sz w:val="21"/>
                <w:szCs w:val="21"/>
              </w:rPr>
              <w:t> </w:t>
            </w:r>
            <w:r>
              <w:rPr>
                <w:rFonts w:ascii="宋体" w:hAnsi="宋体" w:cs="宋体" w:eastAsia="宋体" w:hint="default"/>
                <w:sz w:val="21"/>
                <w:szCs w:val="21"/>
              </w:rPr>
              <w:t>比例</w:t>
            </w:r>
            <w:r>
              <w:rPr>
                <w:rFonts w:ascii="宋体" w:hAnsi="宋体" w:cs="宋体" w:eastAsia="宋体" w:hint="default"/>
                <w:sz w:val="21"/>
                <w:szCs w:val="21"/>
              </w:rPr>
              <w:t>(%) </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70" w:right="165"/>
              <w:jc w:val="right"/>
              <w:rPr>
                <w:rFonts w:ascii="宋体" w:hAnsi="宋体" w:cs="宋体" w:eastAsia="宋体" w:hint="default"/>
                <w:sz w:val="21"/>
                <w:szCs w:val="21"/>
              </w:rPr>
            </w:pPr>
            <w:r>
              <w:rPr>
                <w:rFonts w:ascii="宋体" w:hAnsi="宋体" w:cs="宋体" w:eastAsia="宋体" w:hint="default"/>
                <w:spacing w:val="-1"/>
                <w:sz w:val="21"/>
                <w:szCs w:val="21"/>
              </w:rPr>
              <w:t>本期金额</w:t>
            </w:r>
            <w:r>
              <w:rPr>
                <w:rFonts w:ascii="宋体" w:hAnsi="宋体" w:cs="宋体" w:eastAsia="宋体" w:hint="default"/>
                <w:w w:val="100"/>
                <w:sz w:val="21"/>
                <w:szCs w:val="21"/>
              </w:rPr>
              <w:t> </w:t>
            </w:r>
            <w:r>
              <w:rPr>
                <w:rFonts w:ascii="宋体" w:hAnsi="宋体" w:cs="宋体" w:eastAsia="宋体" w:hint="default"/>
                <w:spacing w:val="-1"/>
                <w:sz w:val="21"/>
                <w:szCs w:val="21"/>
              </w:rPr>
              <w:t>较上年同</w:t>
            </w:r>
            <w:r>
              <w:rPr>
                <w:rFonts w:ascii="宋体" w:hAnsi="宋体" w:cs="宋体" w:eastAsia="宋体" w:hint="default"/>
                <w:w w:val="100"/>
                <w:sz w:val="21"/>
                <w:szCs w:val="21"/>
              </w:rPr>
              <w:t> </w:t>
            </w:r>
            <w:r>
              <w:rPr>
                <w:rFonts w:ascii="宋体" w:hAnsi="宋体" w:cs="宋体" w:eastAsia="宋体" w:hint="default"/>
                <w:spacing w:val="-1"/>
                <w:sz w:val="21"/>
                <w:szCs w:val="21"/>
              </w:rPr>
              <w:t>期变动比</w:t>
            </w:r>
            <w:r>
              <w:rPr>
                <w:rFonts w:ascii="宋体" w:hAnsi="宋体" w:cs="宋体" w:eastAsia="宋体" w:hint="default"/>
                <w:w w:val="100"/>
                <w:sz w:val="21"/>
                <w:szCs w:val="21"/>
              </w:rPr>
              <w:t> </w:t>
            </w:r>
            <w:r>
              <w:rPr>
                <w:rFonts w:ascii="宋体" w:hAnsi="宋体" w:cs="宋体" w:eastAsia="宋体" w:hint="default"/>
                <w:spacing w:val="-1"/>
                <w:sz w:val="21"/>
                <w:szCs w:val="21"/>
              </w:rPr>
              <w:t>例</w:t>
            </w:r>
            <w:r>
              <w:rPr>
                <w:rFonts w:ascii="宋体" w:hAnsi="宋体" w:cs="宋体" w:eastAsia="宋体" w:hint="default"/>
                <w:spacing w:val="-1"/>
                <w:sz w:val="21"/>
                <w:szCs w:val="21"/>
              </w:rPr>
              <w:t>(%)</w:t>
            </w:r>
            <w:r>
              <w:rPr>
                <w:rFonts w:ascii="宋体" w:hAnsi="宋体" w:cs="宋体" w:eastAsia="宋体" w:hint="default"/>
                <w:sz w:val="21"/>
                <w:szCs w:val="21"/>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73" w:lineRule="auto"/>
              <w:ind w:left="143" w:right="38"/>
              <w:jc w:val="left"/>
              <w:rPr>
                <w:rFonts w:ascii="宋体" w:hAnsi="宋体" w:cs="宋体" w:eastAsia="宋体" w:hint="default"/>
                <w:sz w:val="21"/>
                <w:szCs w:val="21"/>
              </w:rPr>
            </w:pPr>
            <w:r>
              <w:rPr>
                <w:rFonts w:ascii="宋体" w:hAnsi="宋体" w:cs="宋体" w:eastAsia="宋体" w:hint="default"/>
                <w:sz w:val="21"/>
                <w:szCs w:val="21"/>
              </w:rPr>
              <w:t>情况</w:t>
            </w:r>
            <w:r>
              <w:rPr>
                <w:rFonts w:ascii="宋体" w:hAnsi="宋体" w:cs="宋体" w:eastAsia="宋体" w:hint="default"/>
                <w:w w:val="100"/>
                <w:sz w:val="21"/>
                <w:szCs w:val="21"/>
              </w:rPr>
              <w:t> </w:t>
            </w:r>
            <w:r>
              <w:rPr>
                <w:rFonts w:ascii="宋体" w:hAnsi="宋体" w:cs="宋体" w:eastAsia="宋体" w:hint="default"/>
                <w:sz w:val="21"/>
                <w:szCs w:val="21"/>
              </w:rPr>
              <w:t>说明</w:t>
            </w:r>
            <w:r>
              <w:rPr>
                <w:rFonts w:ascii="宋体" w:hAnsi="宋体" w:cs="宋体" w:eastAsia="宋体" w:hint="default"/>
                <w:sz w:val="21"/>
                <w:szCs w:val="21"/>
              </w:rPr>
              <w:t> </w:t>
            </w:r>
          </w:p>
        </w:tc>
      </w:tr>
      <w:tr>
        <w:trPr>
          <w:trHeight w:val="324" w:hRule="exact"/>
        </w:trPr>
        <w:tc>
          <w:tcPr>
            <w:tcW w:w="1640"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4"/>
                <w:szCs w:val="24"/>
              </w:rPr>
            </w:pPr>
          </w:p>
          <w:p>
            <w:pPr>
              <w:pStyle w:val="TableParagraph"/>
              <w:spacing w:line="273" w:lineRule="auto"/>
              <w:ind w:left="103" w:right="98"/>
              <w:jc w:val="left"/>
              <w:rPr>
                <w:rFonts w:ascii="宋体" w:hAnsi="宋体" w:cs="宋体" w:eastAsia="宋体" w:hint="default"/>
                <w:sz w:val="21"/>
                <w:szCs w:val="21"/>
              </w:rPr>
            </w:pPr>
            <w:r>
              <w:rPr>
                <w:rFonts w:ascii="宋体" w:hAnsi="宋体" w:cs="宋体" w:eastAsia="宋体" w:hint="default"/>
                <w:sz w:val="21"/>
                <w:szCs w:val="21"/>
              </w:rPr>
              <w:t>智</w:t>
            </w:r>
            <w:r>
              <w:rPr>
                <w:rFonts w:ascii="宋体" w:hAnsi="宋体" w:cs="宋体" w:eastAsia="宋体" w:hint="default"/>
                <w:spacing w:val="-73"/>
                <w:sz w:val="21"/>
                <w:szCs w:val="21"/>
              </w:rPr>
              <w:t> </w:t>
            </w:r>
            <w:r>
              <w:rPr>
                <w:rFonts w:ascii="宋体" w:hAnsi="宋体" w:cs="宋体" w:eastAsia="宋体" w:hint="default"/>
                <w:sz w:val="21"/>
                <w:szCs w:val="21"/>
              </w:rPr>
              <w:t>能</w:t>
            </w:r>
            <w:r>
              <w:rPr>
                <w:rFonts w:ascii="宋体" w:hAnsi="宋体" w:cs="宋体" w:eastAsia="宋体" w:hint="default"/>
                <w:spacing w:val="-71"/>
                <w:sz w:val="21"/>
                <w:szCs w:val="21"/>
              </w:rPr>
              <w:t> </w:t>
            </w:r>
            <w:r>
              <w:rPr>
                <w:rFonts w:ascii="宋体" w:hAnsi="宋体" w:cs="宋体" w:eastAsia="宋体" w:hint="default"/>
                <w:sz w:val="21"/>
                <w:szCs w:val="21"/>
              </w:rPr>
              <w:t>配</w:t>
            </w:r>
            <w:r>
              <w:rPr>
                <w:rFonts w:ascii="宋体" w:hAnsi="宋体" w:cs="宋体" w:eastAsia="宋体" w:hint="default"/>
                <w:spacing w:val="-73"/>
                <w:sz w:val="21"/>
                <w:szCs w:val="21"/>
              </w:rPr>
              <w:t> </w:t>
            </w:r>
            <w:r>
              <w:rPr>
                <w:rFonts w:ascii="宋体" w:hAnsi="宋体" w:cs="宋体" w:eastAsia="宋体" w:hint="default"/>
                <w:sz w:val="21"/>
                <w:szCs w:val="21"/>
              </w:rPr>
              <w:t>用</w:t>
            </w:r>
            <w:r>
              <w:rPr>
                <w:rFonts w:ascii="宋体" w:hAnsi="宋体" w:cs="宋体" w:eastAsia="宋体" w:hint="default"/>
                <w:spacing w:val="-73"/>
                <w:sz w:val="21"/>
                <w:szCs w:val="21"/>
              </w:rPr>
              <w:t> </w:t>
            </w:r>
            <w:r>
              <w:rPr>
                <w:rFonts w:ascii="宋体" w:hAnsi="宋体" w:cs="宋体" w:eastAsia="宋体" w:hint="default"/>
                <w:sz w:val="21"/>
                <w:szCs w:val="21"/>
              </w:rPr>
              <w:t>电</w:t>
            </w:r>
            <w:r>
              <w:rPr>
                <w:rFonts w:ascii="宋体" w:hAnsi="宋体" w:cs="宋体" w:eastAsia="宋体" w:hint="default"/>
                <w:spacing w:val="-72"/>
                <w:sz w:val="21"/>
                <w:szCs w:val="21"/>
              </w:rPr>
              <w:t> </w:t>
            </w:r>
            <w:r>
              <w:rPr>
                <w:rFonts w:ascii="宋体" w:hAnsi="宋体" w:cs="宋体" w:eastAsia="宋体" w:hint="default"/>
                <w:sz w:val="21"/>
                <w:szCs w:val="21"/>
              </w:rPr>
              <w:t>行</w:t>
            </w:r>
            <w:r>
              <w:rPr>
                <w:rFonts w:ascii="宋体" w:hAnsi="宋体" w:cs="宋体" w:eastAsia="宋体" w:hint="default"/>
                <w:w w:val="100"/>
                <w:sz w:val="21"/>
                <w:szCs w:val="21"/>
              </w:rPr>
              <w:t> </w:t>
            </w:r>
            <w:r>
              <w:rPr>
                <w:rFonts w:ascii="宋体" w:hAnsi="宋体" w:cs="宋体" w:eastAsia="宋体" w:hint="default"/>
                <w:sz w:val="21"/>
                <w:szCs w:val="21"/>
              </w:rPr>
              <w:t>业</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直接材料</w:t>
            </w:r>
            <w:r>
              <w:rPr>
                <w:rFonts w:ascii="宋体" w:hAnsi="宋体" w:cs="宋体" w:eastAsia="宋体" w:hint="default"/>
                <w:sz w:val="21"/>
                <w:szCs w:val="21"/>
              </w:rPr>
              <w:t> </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spacing w:val="-1"/>
                <w:sz w:val="21"/>
              </w:rPr>
              <w:t>1,030,482,924.72</w:t>
            </w:r>
            <w:r>
              <w:rPr>
                <w:rFonts w:ascii="宋体"/>
                <w:sz w:val="21"/>
              </w:rPr>
              <w:t> </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spacing w:val="-1"/>
                <w:sz w:val="21"/>
              </w:rPr>
              <w:t>88.29</w:t>
            </w:r>
            <w:r>
              <w:rPr>
                <w:rFonts w:ascii="宋体"/>
                <w:sz w:val="21"/>
              </w:rPr>
              <w:t> </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spacing w:val="-1"/>
                <w:sz w:val="21"/>
              </w:rPr>
              <w:t>949,731,275.49</w:t>
            </w:r>
            <w:r>
              <w:rPr>
                <w:rFonts w:ascii="宋体"/>
                <w:sz w:val="21"/>
              </w:rPr>
              <w:t> </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spacing w:val="-1"/>
                <w:sz w:val="21"/>
              </w:rPr>
              <w:t>88.54</w:t>
            </w:r>
            <w:r>
              <w:rPr>
                <w:rFonts w:ascii="宋体"/>
                <w:sz w:val="21"/>
              </w:rPr>
              <w:t> </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spacing w:val="-1"/>
                <w:sz w:val="21"/>
              </w:rPr>
              <w:t>8.50</w:t>
            </w:r>
            <w:r>
              <w:rPr>
                <w:rFonts w:ascii="宋体"/>
                <w:sz w:val="21"/>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w w:val="100"/>
                <w:sz w:val="21"/>
              </w:rPr>
              <w:t> </w:t>
            </w:r>
          </w:p>
        </w:tc>
      </w:tr>
      <w:tr>
        <w:trPr>
          <w:trHeight w:val="322" w:hRule="exact"/>
        </w:trPr>
        <w:tc>
          <w:tcPr>
            <w:tcW w:w="1640" w:type="dxa"/>
            <w:vMerge/>
            <w:tcBorders>
              <w:left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直接人工</w:t>
            </w:r>
            <w:r>
              <w:rPr>
                <w:rFonts w:ascii="宋体" w:hAnsi="宋体" w:cs="宋体" w:eastAsia="宋体" w:hint="default"/>
                <w:sz w:val="21"/>
                <w:szCs w:val="21"/>
              </w:rPr>
              <w:t> </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79,833,539.53</w:t>
            </w:r>
            <w:r>
              <w:rPr>
                <w:rFonts w:ascii="宋体"/>
                <w:sz w:val="21"/>
              </w:rPr>
              <w:t> </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6.84</w:t>
            </w:r>
            <w:r>
              <w:rPr>
                <w:rFonts w:ascii="宋体"/>
                <w:sz w:val="21"/>
              </w:rPr>
              <w:t> </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70,259,090.29</w:t>
            </w:r>
            <w:r>
              <w:rPr>
                <w:rFonts w:ascii="宋体"/>
                <w:sz w:val="21"/>
              </w:rPr>
              <w:t> </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6.55</w:t>
            </w:r>
            <w:r>
              <w:rPr>
                <w:rFonts w:ascii="宋体"/>
                <w:sz w:val="21"/>
              </w:rPr>
              <w:t> </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13.63</w:t>
            </w:r>
            <w:r>
              <w:rPr>
                <w:rFonts w:ascii="宋体"/>
                <w:sz w:val="21"/>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w w:val="100"/>
                <w:sz w:val="21"/>
              </w:rPr>
              <w:t> </w:t>
            </w:r>
          </w:p>
        </w:tc>
      </w:tr>
      <w:tr>
        <w:trPr>
          <w:trHeight w:val="322" w:hRule="exact"/>
        </w:trPr>
        <w:tc>
          <w:tcPr>
            <w:tcW w:w="1640" w:type="dxa"/>
            <w:vMerge/>
            <w:tcBorders>
              <w:left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制造费用</w:t>
            </w:r>
            <w:r>
              <w:rPr>
                <w:rFonts w:ascii="宋体" w:hAnsi="宋体" w:cs="宋体" w:eastAsia="宋体" w:hint="default"/>
                <w:sz w:val="21"/>
                <w:szCs w:val="21"/>
              </w:rPr>
              <w:t> </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56,840,546.42</w:t>
            </w:r>
            <w:r>
              <w:rPr>
                <w:rFonts w:ascii="宋体"/>
                <w:sz w:val="21"/>
              </w:rPr>
              <w:t> </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4.87</w:t>
            </w:r>
            <w:r>
              <w:rPr>
                <w:rFonts w:ascii="宋体"/>
                <w:sz w:val="21"/>
              </w:rPr>
              <w:t> </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52,667,501.27</w:t>
            </w:r>
            <w:r>
              <w:rPr>
                <w:rFonts w:ascii="宋体"/>
                <w:sz w:val="21"/>
              </w:rPr>
              <w:t> </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4.91</w:t>
            </w:r>
            <w:r>
              <w:rPr>
                <w:rFonts w:ascii="宋体"/>
                <w:sz w:val="21"/>
              </w:rPr>
              <w:t> </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7.92</w:t>
            </w:r>
            <w:r>
              <w:rPr>
                <w:rFonts w:ascii="宋体"/>
                <w:sz w:val="21"/>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w w:val="100"/>
                <w:sz w:val="21"/>
              </w:rPr>
              <w:t> </w:t>
            </w:r>
          </w:p>
        </w:tc>
      </w:tr>
      <w:tr>
        <w:trPr>
          <w:trHeight w:val="322" w:hRule="exact"/>
        </w:trPr>
        <w:tc>
          <w:tcPr>
            <w:tcW w:w="1640" w:type="dxa"/>
            <w:vMerge/>
            <w:tcBorders>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小计</w:t>
            </w:r>
            <w:r>
              <w:rPr>
                <w:rFonts w:ascii="宋体" w:hAnsi="宋体" w:cs="宋体" w:eastAsia="宋体" w:hint="default"/>
                <w:sz w:val="21"/>
                <w:szCs w:val="21"/>
              </w:rPr>
              <w:t> </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1,167,157,010.67</w:t>
            </w:r>
            <w:r>
              <w:rPr>
                <w:rFonts w:ascii="宋体"/>
                <w:sz w:val="21"/>
              </w:rPr>
              <w:t> </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100</w:t>
            </w:r>
            <w:r>
              <w:rPr>
                <w:rFonts w:ascii="宋体"/>
                <w:sz w:val="21"/>
              </w:rPr>
              <w:t> </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1,072,657,867.05</w:t>
            </w:r>
            <w:r>
              <w:rPr>
                <w:rFonts w:ascii="宋体"/>
                <w:sz w:val="21"/>
              </w:rPr>
              <w:t> </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100.00</w:t>
            </w:r>
            <w:r>
              <w:rPr>
                <w:rFonts w:ascii="宋体"/>
                <w:sz w:val="21"/>
              </w:rPr>
              <w:t> </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8.81</w:t>
            </w:r>
            <w:r>
              <w:rPr>
                <w:rFonts w:ascii="宋体"/>
                <w:sz w:val="21"/>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w w:val="100"/>
                <w:sz w:val="21"/>
              </w:rPr>
              <w:t> </w:t>
            </w:r>
          </w:p>
        </w:tc>
      </w:tr>
      <w:tr>
        <w:trPr>
          <w:trHeight w:val="322" w:hRule="exact"/>
        </w:trPr>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89" w:lineRule="exact"/>
              <w:ind w:left="103" w:right="0"/>
              <w:jc w:val="left"/>
              <w:rPr>
                <w:rFonts w:ascii="宋体" w:hAnsi="宋体" w:cs="宋体" w:eastAsia="宋体" w:hint="default"/>
                <w:sz w:val="21"/>
                <w:szCs w:val="21"/>
              </w:rPr>
            </w:pPr>
            <w:r>
              <w:rPr>
                <w:rFonts w:ascii="Calibri" w:hAnsi="Calibri" w:cs="Calibri" w:eastAsia="Calibri" w:hint="default"/>
                <w:sz w:val="21"/>
                <w:szCs w:val="21"/>
              </w:rPr>
              <w:t>LED</w:t>
            </w:r>
            <w:r>
              <w:rPr>
                <w:rFonts w:ascii="Calibri" w:hAnsi="Calibri" w:cs="Calibri" w:eastAsia="Calibri" w:hint="default"/>
                <w:spacing w:val="9"/>
                <w:sz w:val="21"/>
                <w:szCs w:val="21"/>
              </w:rPr>
              <w:t> </w:t>
            </w:r>
            <w:r>
              <w:rPr>
                <w:rFonts w:ascii="宋体" w:hAnsi="宋体" w:cs="宋体" w:eastAsia="宋体" w:hint="default"/>
                <w:spacing w:val="-3"/>
                <w:sz w:val="21"/>
                <w:szCs w:val="21"/>
              </w:rPr>
              <w:t>行业</w:t>
            </w:r>
            <w:r>
              <w:rPr>
                <w:rFonts w:ascii="宋体" w:hAnsi="宋体" w:cs="宋体" w:eastAsia="宋体" w:hint="default"/>
                <w:sz w:val="21"/>
                <w:szCs w:val="21"/>
              </w:rPr>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直接材料</w:t>
            </w:r>
            <w:r>
              <w:rPr>
                <w:rFonts w:ascii="宋体" w:hAnsi="宋体" w:cs="宋体" w:eastAsia="宋体" w:hint="default"/>
                <w:sz w:val="21"/>
                <w:szCs w:val="21"/>
              </w:rPr>
              <w:t> </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6,290,105.46</w:t>
            </w:r>
            <w:r>
              <w:rPr>
                <w:rFonts w:ascii="宋体"/>
                <w:sz w:val="21"/>
              </w:rPr>
              <w:t> </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22.59</w:t>
            </w:r>
            <w:r>
              <w:rPr>
                <w:rFonts w:ascii="宋体"/>
                <w:sz w:val="21"/>
              </w:rPr>
              <w:t> </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27,907,106.38</w:t>
            </w:r>
            <w:r>
              <w:rPr>
                <w:rFonts w:ascii="宋体"/>
                <w:sz w:val="21"/>
              </w:rPr>
              <w:t> </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71.72</w:t>
            </w:r>
            <w:r>
              <w:rPr>
                <w:rFonts w:ascii="宋体"/>
                <w:sz w:val="21"/>
              </w:rPr>
              <w:t> </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-77.46</w:t>
            </w:r>
            <w:r>
              <w:rPr>
                <w:rFonts w:ascii="宋体"/>
                <w:sz w:val="21"/>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w w:val="100"/>
                <w:sz w:val="21"/>
              </w:rPr>
              <w:t> </w:t>
            </w:r>
          </w:p>
        </w:tc>
      </w:tr>
    </w:tbl>
    <w:p>
      <w:pPr>
        <w:spacing w:after="0" w:line="262" w:lineRule="exact"/>
        <w:jc w:val="left"/>
        <w:rPr>
          <w:rFonts w:ascii="宋体" w:hAnsi="宋体" w:cs="宋体" w:eastAsia="宋体" w:hint="default"/>
          <w:sz w:val="21"/>
          <w:szCs w:val="21"/>
        </w:rPr>
        <w:sectPr>
          <w:type w:val="continuous"/>
          <w:pgSz w:w="11910" w:h="16840"/>
          <w:pgMar w:top="1580" w:bottom="280" w:left="400" w:right="400"/>
        </w:sectPr>
      </w:pPr>
    </w:p>
    <w:p>
      <w:pPr>
        <w:spacing w:line="240" w:lineRule="auto" w:before="0"/>
        <w:rPr>
          <w:rFonts w:ascii="Times New Roman" w:hAnsi="Times New Roman" w:cs="Times New Roman" w:eastAsia="Times New Roman" w:hint="default"/>
          <w:sz w:val="26"/>
          <w:szCs w:val="26"/>
        </w:rPr>
      </w:pPr>
    </w:p>
    <w:tbl>
      <w:tblPr>
        <w:tblW w:w="0" w:type="auto"/>
        <w:jc w:val="left"/>
        <w:tblInd w:w="113" w:type="dxa"/>
        <w:tblLayout w:type="fixed"/>
        <w:tblCellMar>
          <w:top w:w="0" w:type="dxa"/>
          <w:left w:w="0" w:type="dxa"/>
          <w:bottom w:w="0" w:type="dxa"/>
          <w:right w:w="0" w:type="dxa"/>
        </w:tblCellMar>
        <w:tblLook w:val="01E0"/>
      </w:tblPr>
      <w:tblGrid>
        <w:gridCol w:w="1640"/>
        <w:gridCol w:w="1234"/>
        <w:gridCol w:w="1993"/>
        <w:gridCol w:w="910"/>
        <w:gridCol w:w="1992"/>
        <w:gridCol w:w="130"/>
        <w:gridCol w:w="862"/>
        <w:gridCol w:w="202"/>
        <w:gridCol w:w="1190"/>
        <w:gridCol w:w="720"/>
      </w:tblGrid>
      <w:tr>
        <w:trPr>
          <w:trHeight w:val="322" w:hRule="exact"/>
        </w:trPr>
        <w:tc>
          <w:tcPr>
            <w:tcW w:w="1640" w:type="dxa"/>
            <w:vMerge w:val="restart"/>
            <w:tcBorders>
              <w:top w:val="single" w:sz="4" w:space="0" w:color="000000"/>
              <w:left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分包工程</w:t>
            </w:r>
            <w:r>
              <w:rPr>
                <w:rFonts w:ascii="宋体" w:hAnsi="宋体" w:cs="宋体" w:eastAsia="宋体" w:hint="default"/>
                <w:sz w:val="21"/>
                <w:szCs w:val="21"/>
              </w:rPr>
              <w:t> </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21,554,540.24</w:t>
            </w:r>
            <w:r>
              <w:rPr>
                <w:rFonts w:ascii="宋体"/>
                <w:sz w:val="21"/>
              </w:rPr>
              <w:t> </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77.41</w:t>
            </w:r>
            <w:r>
              <w:rPr>
                <w:rFonts w:ascii="宋体"/>
                <w:sz w:val="21"/>
              </w:rPr>
              <w:t> </w:t>
            </w:r>
          </w:p>
        </w:tc>
        <w:tc>
          <w:tcPr>
            <w:tcW w:w="2122"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643" w:right="-3"/>
              <w:jc w:val="left"/>
              <w:rPr>
                <w:rFonts w:ascii="宋体" w:hAnsi="宋体" w:cs="宋体" w:eastAsia="宋体" w:hint="default"/>
                <w:sz w:val="21"/>
                <w:szCs w:val="21"/>
              </w:rPr>
            </w:pPr>
            <w:r>
              <w:rPr>
                <w:rFonts w:ascii="宋体"/>
                <w:sz w:val="21"/>
              </w:rPr>
              <w:t>11,004,084.89 </w:t>
            </w:r>
          </w:p>
        </w:tc>
        <w:tc>
          <w:tcPr>
            <w:tcW w:w="1064"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24" w:right="-3"/>
              <w:jc w:val="left"/>
              <w:rPr>
                <w:rFonts w:ascii="宋体" w:hAnsi="宋体" w:cs="宋体" w:eastAsia="宋体" w:hint="default"/>
                <w:sz w:val="21"/>
                <w:szCs w:val="21"/>
              </w:rPr>
            </w:pPr>
            <w:r>
              <w:rPr>
                <w:rFonts w:ascii="宋体"/>
                <w:sz w:val="21"/>
              </w:rPr>
              <w:t>28.28 </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95.88</w:t>
            </w:r>
            <w:r>
              <w:rPr>
                <w:rFonts w:ascii="宋体"/>
                <w:sz w:val="21"/>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w w:val="100"/>
                <w:sz w:val="21"/>
              </w:rPr>
              <w:t> </w:t>
            </w:r>
          </w:p>
        </w:tc>
      </w:tr>
      <w:tr>
        <w:trPr>
          <w:trHeight w:val="322" w:hRule="exact"/>
        </w:trPr>
        <w:tc>
          <w:tcPr>
            <w:tcW w:w="1640" w:type="dxa"/>
            <w:vMerge/>
            <w:tcBorders>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小计</w:t>
            </w:r>
            <w:r>
              <w:rPr>
                <w:rFonts w:ascii="宋体" w:hAnsi="宋体" w:cs="宋体" w:eastAsia="宋体" w:hint="default"/>
                <w:sz w:val="21"/>
                <w:szCs w:val="21"/>
              </w:rPr>
              <w:t> </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27,844,645.70</w:t>
            </w:r>
            <w:r>
              <w:rPr>
                <w:rFonts w:ascii="宋体"/>
                <w:sz w:val="21"/>
              </w:rPr>
              <w:t> </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100</w:t>
            </w:r>
            <w:r>
              <w:rPr>
                <w:rFonts w:ascii="宋体"/>
                <w:sz w:val="21"/>
              </w:rPr>
              <w:t> </w:t>
            </w:r>
          </w:p>
        </w:tc>
        <w:tc>
          <w:tcPr>
            <w:tcW w:w="2122"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643" w:right="-3"/>
              <w:jc w:val="left"/>
              <w:rPr>
                <w:rFonts w:ascii="宋体" w:hAnsi="宋体" w:cs="宋体" w:eastAsia="宋体" w:hint="default"/>
                <w:sz w:val="21"/>
                <w:szCs w:val="21"/>
              </w:rPr>
            </w:pPr>
            <w:r>
              <w:rPr>
                <w:rFonts w:ascii="宋体"/>
                <w:sz w:val="21"/>
              </w:rPr>
              <w:t>38,911,191.27 </w:t>
            </w:r>
          </w:p>
        </w:tc>
        <w:tc>
          <w:tcPr>
            <w:tcW w:w="1064"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9" w:right="-3"/>
              <w:jc w:val="left"/>
              <w:rPr>
                <w:rFonts w:ascii="宋体" w:hAnsi="宋体" w:cs="宋体" w:eastAsia="宋体" w:hint="default"/>
                <w:sz w:val="21"/>
                <w:szCs w:val="21"/>
              </w:rPr>
            </w:pPr>
            <w:r>
              <w:rPr>
                <w:rFonts w:ascii="宋体"/>
                <w:sz w:val="21"/>
              </w:rPr>
              <w:t>100.00 </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-28.44</w:t>
            </w:r>
            <w:r>
              <w:rPr>
                <w:rFonts w:ascii="宋体"/>
                <w:sz w:val="21"/>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w w:val="100"/>
                <w:sz w:val="21"/>
              </w:rPr>
              <w:t> </w:t>
            </w:r>
          </w:p>
        </w:tc>
      </w:tr>
      <w:tr>
        <w:trPr>
          <w:trHeight w:val="322" w:hRule="exact"/>
        </w:trPr>
        <w:tc>
          <w:tcPr>
            <w:tcW w:w="164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73" w:lineRule="auto"/>
              <w:ind w:left="103" w:right="100"/>
              <w:jc w:val="left"/>
              <w:rPr>
                <w:rFonts w:ascii="宋体" w:hAnsi="宋体" w:cs="宋体" w:eastAsia="宋体" w:hint="default"/>
                <w:sz w:val="21"/>
                <w:szCs w:val="21"/>
              </w:rPr>
            </w:pPr>
            <w:r>
              <w:rPr>
                <w:rFonts w:ascii="宋体" w:hAnsi="宋体" w:cs="宋体" w:eastAsia="宋体" w:hint="default"/>
                <w:spacing w:val="-8"/>
                <w:sz w:val="21"/>
                <w:szCs w:val="21"/>
              </w:rPr>
              <w:t>光伏行业（发电</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成本）</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折旧</w:t>
            </w:r>
            <w:r>
              <w:rPr>
                <w:rFonts w:ascii="宋体" w:hAnsi="宋体" w:cs="宋体" w:eastAsia="宋体" w:hint="default"/>
                <w:sz w:val="21"/>
                <w:szCs w:val="21"/>
              </w:rPr>
              <w:t> </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313,576,384.62</w:t>
            </w:r>
            <w:r>
              <w:rPr>
                <w:rFonts w:ascii="宋体"/>
                <w:sz w:val="21"/>
              </w:rPr>
              <w:t> </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71.22</w:t>
            </w:r>
            <w:r>
              <w:rPr>
                <w:rFonts w:ascii="宋体"/>
                <w:sz w:val="21"/>
              </w:rPr>
              <w:t> </w:t>
            </w:r>
          </w:p>
        </w:tc>
        <w:tc>
          <w:tcPr>
            <w:tcW w:w="2122"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37" w:right="-3"/>
              <w:jc w:val="left"/>
              <w:rPr>
                <w:rFonts w:ascii="宋体" w:hAnsi="宋体" w:cs="宋体" w:eastAsia="宋体" w:hint="default"/>
                <w:sz w:val="21"/>
                <w:szCs w:val="21"/>
              </w:rPr>
            </w:pPr>
            <w:r>
              <w:rPr>
                <w:rFonts w:ascii="宋体"/>
                <w:sz w:val="21"/>
              </w:rPr>
              <w:t>293,244,018.02 </w:t>
            </w:r>
          </w:p>
        </w:tc>
        <w:tc>
          <w:tcPr>
            <w:tcW w:w="1064"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24" w:right="-3"/>
              <w:jc w:val="left"/>
              <w:rPr>
                <w:rFonts w:ascii="宋体" w:hAnsi="宋体" w:cs="宋体" w:eastAsia="宋体" w:hint="default"/>
                <w:sz w:val="21"/>
                <w:szCs w:val="21"/>
              </w:rPr>
            </w:pPr>
            <w:r>
              <w:rPr>
                <w:rFonts w:ascii="宋体"/>
                <w:sz w:val="21"/>
              </w:rPr>
              <w:t>74.36 </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6.93</w:t>
            </w:r>
            <w:r>
              <w:rPr>
                <w:rFonts w:ascii="宋体"/>
                <w:sz w:val="21"/>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w w:val="100"/>
                <w:sz w:val="21"/>
              </w:rPr>
              <w:t> </w:t>
            </w:r>
          </w:p>
        </w:tc>
      </w:tr>
      <w:tr>
        <w:trPr>
          <w:trHeight w:val="324" w:hRule="exact"/>
        </w:trPr>
        <w:tc>
          <w:tcPr>
            <w:tcW w:w="1640" w:type="dxa"/>
            <w:vMerge/>
            <w:tcBorders>
              <w:left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运维费</w:t>
            </w:r>
            <w:r>
              <w:rPr>
                <w:rFonts w:ascii="宋体" w:hAnsi="宋体" w:cs="宋体" w:eastAsia="宋体" w:hint="default"/>
                <w:sz w:val="21"/>
                <w:szCs w:val="21"/>
              </w:rPr>
              <w:t> </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spacing w:val="-1"/>
                <w:sz w:val="21"/>
              </w:rPr>
              <w:t>69,290,463.52</w:t>
            </w:r>
            <w:r>
              <w:rPr>
                <w:rFonts w:ascii="宋体"/>
                <w:sz w:val="21"/>
              </w:rPr>
              <w:t> </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spacing w:val="-1"/>
                <w:sz w:val="21"/>
              </w:rPr>
              <w:t>15.74</w:t>
            </w:r>
            <w:r>
              <w:rPr>
                <w:rFonts w:ascii="宋体"/>
                <w:sz w:val="21"/>
              </w:rPr>
              <w:t> </w:t>
            </w:r>
          </w:p>
        </w:tc>
        <w:tc>
          <w:tcPr>
            <w:tcW w:w="2122" w:type="dxa"/>
            <w:gridSpan w:val="2"/>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643" w:right="-3"/>
              <w:jc w:val="left"/>
              <w:rPr>
                <w:rFonts w:ascii="宋体" w:hAnsi="宋体" w:cs="宋体" w:eastAsia="宋体" w:hint="default"/>
                <w:sz w:val="21"/>
                <w:szCs w:val="21"/>
              </w:rPr>
            </w:pPr>
            <w:r>
              <w:rPr>
                <w:rFonts w:ascii="宋体"/>
                <w:sz w:val="21"/>
              </w:rPr>
              <w:t>50,226,516.45 </w:t>
            </w:r>
          </w:p>
        </w:tc>
        <w:tc>
          <w:tcPr>
            <w:tcW w:w="1064" w:type="dxa"/>
            <w:gridSpan w:val="2"/>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424" w:right="-3"/>
              <w:jc w:val="left"/>
              <w:rPr>
                <w:rFonts w:ascii="宋体" w:hAnsi="宋体" w:cs="宋体" w:eastAsia="宋体" w:hint="default"/>
                <w:sz w:val="21"/>
                <w:szCs w:val="21"/>
              </w:rPr>
            </w:pPr>
            <w:r>
              <w:rPr>
                <w:rFonts w:ascii="宋体"/>
                <w:sz w:val="21"/>
              </w:rPr>
              <w:t>12.74 </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spacing w:val="-1"/>
                <w:sz w:val="21"/>
              </w:rPr>
              <w:t>37.96</w:t>
            </w:r>
            <w:r>
              <w:rPr>
                <w:rFonts w:ascii="宋体"/>
                <w:sz w:val="21"/>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w w:val="100"/>
                <w:sz w:val="21"/>
              </w:rPr>
              <w:t> </w:t>
            </w:r>
          </w:p>
        </w:tc>
      </w:tr>
      <w:tr>
        <w:trPr>
          <w:trHeight w:val="322" w:hRule="exact"/>
        </w:trPr>
        <w:tc>
          <w:tcPr>
            <w:tcW w:w="1640" w:type="dxa"/>
            <w:vMerge/>
            <w:tcBorders>
              <w:left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租赁费</w:t>
            </w:r>
            <w:r>
              <w:rPr>
                <w:rFonts w:ascii="宋体" w:hAnsi="宋体" w:cs="宋体" w:eastAsia="宋体" w:hint="default"/>
                <w:sz w:val="21"/>
                <w:szCs w:val="21"/>
              </w:rPr>
              <w:t> </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47,637,435.41</w:t>
            </w:r>
            <w:r>
              <w:rPr>
                <w:rFonts w:ascii="宋体"/>
                <w:sz w:val="21"/>
              </w:rPr>
              <w:t> </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10.82</w:t>
            </w:r>
            <w:r>
              <w:rPr>
                <w:rFonts w:ascii="宋体"/>
                <w:sz w:val="21"/>
              </w:rPr>
              <w:t> </w:t>
            </w:r>
          </w:p>
        </w:tc>
        <w:tc>
          <w:tcPr>
            <w:tcW w:w="2122"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643" w:right="-3"/>
              <w:jc w:val="left"/>
              <w:rPr>
                <w:rFonts w:ascii="宋体" w:hAnsi="宋体" w:cs="宋体" w:eastAsia="宋体" w:hint="default"/>
                <w:sz w:val="21"/>
                <w:szCs w:val="21"/>
              </w:rPr>
            </w:pPr>
            <w:r>
              <w:rPr>
                <w:rFonts w:ascii="宋体"/>
                <w:sz w:val="21"/>
              </w:rPr>
              <w:t>41,558,467.52 </w:t>
            </w:r>
          </w:p>
        </w:tc>
        <w:tc>
          <w:tcPr>
            <w:tcW w:w="1064"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24" w:right="-3"/>
              <w:jc w:val="left"/>
              <w:rPr>
                <w:rFonts w:ascii="宋体" w:hAnsi="宋体" w:cs="宋体" w:eastAsia="宋体" w:hint="default"/>
                <w:sz w:val="21"/>
                <w:szCs w:val="21"/>
              </w:rPr>
            </w:pPr>
            <w:r>
              <w:rPr>
                <w:rFonts w:ascii="宋体"/>
                <w:sz w:val="21"/>
              </w:rPr>
              <w:t>10.54 </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14.63</w:t>
            </w:r>
            <w:r>
              <w:rPr>
                <w:rFonts w:ascii="宋体"/>
                <w:sz w:val="21"/>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w w:val="100"/>
                <w:sz w:val="21"/>
              </w:rPr>
              <w:t> </w:t>
            </w:r>
          </w:p>
        </w:tc>
      </w:tr>
      <w:tr>
        <w:trPr>
          <w:trHeight w:val="322" w:hRule="exact"/>
        </w:trPr>
        <w:tc>
          <w:tcPr>
            <w:tcW w:w="1640" w:type="dxa"/>
            <w:vMerge/>
            <w:tcBorders>
              <w:left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9,807,860.80</w:t>
            </w:r>
            <w:r>
              <w:rPr>
                <w:rFonts w:ascii="宋体"/>
                <w:sz w:val="21"/>
              </w:rPr>
              <w:t> </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2.23</w:t>
            </w:r>
            <w:r>
              <w:rPr>
                <w:rFonts w:ascii="宋体"/>
                <w:sz w:val="21"/>
              </w:rPr>
              <w:t> </w:t>
            </w:r>
          </w:p>
        </w:tc>
        <w:tc>
          <w:tcPr>
            <w:tcW w:w="2122"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49" w:right="-3"/>
              <w:jc w:val="left"/>
              <w:rPr>
                <w:rFonts w:ascii="宋体" w:hAnsi="宋体" w:cs="宋体" w:eastAsia="宋体" w:hint="default"/>
                <w:sz w:val="21"/>
                <w:szCs w:val="21"/>
              </w:rPr>
            </w:pPr>
            <w:r>
              <w:rPr>
                <w:rFonts w:ascii="宋体"/>
                <w:sz w:val="21"/>
              </w:rPr>
              <w:t>9,329,149.26 </w:t>
            </w:r>
          </w:p>
        </w:tc>
        <w:tc>
          <w:tcPr>
            <w:tcW w:w="1064"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30" w:right="-3"/>
              <w:jc w:val="left"/>
              <w:rPr>
                <w:rFonts w:ascii="宋体" w:hAnsi="宋体" w:cs="宋体" w:eastAsia="宋体" w:hint="default"/>
                <w:sz w:val="21"/>
                <w:szCs w:val="21"/>
              </w:rPr>
            </w:pPr>
            <w:r>
              <w:rPr>
                <w:rFonts w:ascii="宋体"/>
                <w:sz w:val="21"/>
              </w:rPr>
              <w:t>2.37 </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5.13</w:t>
            </w:r>
            <w:r>
              <w:rPr>
                <w:rFonts w:ascii="宋体"/>
                <w:sz w:val="21"/>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w w:val="100"/>
                <w:sz w:val="21"/>
              </w:rPr>
              <w:t> </w:t>
            </w:r>
          </w:p>
        </w:tc>
      </w:tr>
      <w:tr>
        <w:trPr>
          <w:trHeight w:val="322" w:hRule="exact"/>
        </w:trPr>
        <w:tc>
          <w:tcPr>
            <w:tcW w:w="1640" w:type="dxa"/>
            <w:vMerge/>
            <w:tcBorders>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小计</w:t>
            </w:r>
            <w:r>
              <w:rPr>
                <w:rFonts w:ascii="宋体" w:hAnsi="宋体" w:cs="宋体" w:eastAsia="宋体" w:hint="default"/>
                <w:sz w:val="21"/>
                <w:szCs w:val="21"/>
              </w:rPr>
              <w:t> </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440,312,144.55</w:t>
            </w:r>
            <w:r>
              <w:rPr>
                <w:rFonts w:ascii="宋体"/>
                <w:sz w:val="21"/>
              </w:rPr>
              <w:t> </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100.00</w:t>
            </w:r>
            <w:r>
              <w:rPr>
                <w:rFonts w:ascii="宋体"/>
                <w:sz w:val="21"/>
              </w:rPr>
              <w:t> </w:t>
            </w:r>
          </w:p>
        </w:tc>
        <w:tc>
          <w:tcPr>
            <w:tcW w:w="2122"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37" w:right="-3"/>
              <w:jc w:val="left"/>
              <w:rPr>
                <w:rFonts w:ascii="宋体" w:hAnsi="宋体" w:cs="宋体" w:eastAsia="宋体" w:hint="default"/>
                <w:sz w:val="21"/>
                <w:szCs w:val="21"/>
              </w:rPr>
            </w:pPr>
            <w:r>
              <w:rPr>
                <w:rFonts w:ascii="宋体"/>
                <w:sz w:val="21"/>
              </w:rPr>
              <w:t>394,358,151.25 </w:t>
            </w:r>
          </w:p>
        </w:tc>
        <w:tc>
          <w:tcPr>
            <w:tcW w:w="1064"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9" w:right="-3"/>
              <w:jc w:val="left"/>
              <w:rPr>
                <w:rFonts w:ascii="宋体" w:hAnsi="宋体" w:cs="宋体" w:eastAsia="宋体" w:hint="default"/>
                <w:sz w:val="21"/>
                <w:szCs w:val="21"/>
              </w:rPr>
            </w:pPr>
            <w:r>
              <w:rPr>
                <w:rFonts w:ascii="宋体"/>
                <w:sz w:val="21"/>
              </w:rPr>
              <w:t>100.00 </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11.65</w:t>
            </w:r>
            <w:r>
              <w:rPr>
                <w:rFonts w:ascii="宋体"/>
                <w:sz w:val="21"/>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w w:val="100"/>
                <w:sz w:val="21"/>
              </w:rPr>
              <w:t> </w:t>
            </w:r>
          </w:p>
        </w:tc>
      </w:tr>
      <w:tr>
        <w:trPr>
          <w:trHeight w:val="322" w:hRule="exact"/>
        </w:trPr>
        <w:tc>
          <w:tcPr>
            <w:tcW w:w="1640"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6"/>
                <w:szCs w:val="26"/>
              </w:rPr>
            </w:pPr>
          </w:p>
          <w:p>
            <w:pPr>
              <w:pStyle w:val="TableParagraph"/>
              <w:spacing w:line="240" w:lineRule="auto"/>
              <w:ind w:left="103" w:right="0"/>
              <w:jc w:val="left"/>
              <w:rPr>
                <w:rFonts w:ascii="Calibri" w:hAnsi="Calibri" w:cs="Calibri" w:eastAsia="Calibri" w:hint="default"/>
                <w:sz w:val="21"/>
                <w:szCs w:val="21"/>
              </w:rPr>
            </w:pPr>
            <w:r>
              <w:rPr>
                <w:rFonts w:ascii="宋体" w:hAnsi="宋体" w:cs="宋体" w:eastAsia="宋体" w:hint="default"/>
                <w:sz w:val="21"/>
                <w:szCs w:val="21"/>
              </w:rPr>
              <w:t>光伏电站</w:t>
            </w:r>
            <w:r>
              <w:rPr>
                <w:rFonts w:ascii="宋体" w:hAnsi="宋体" w:cs="宋体" w:eastAsia="宋体" w:hint="default"/>
                <w:spacing w:val="-54"/>
                <w:sz w:val="21"/>
                <w:szCs w:val="21"/>
              </w:rPr>
              <w:t> </w:t>
            </w:r>
            <w:r>
              <w:rPr>
                <w:rFonts w:ascii="Calibri" w:hAnsi="Calibri" w:cs="Calibri" w:eastAsia="Calibri" w:hint="default"/>
                <w:sz w:val="21"/>
                <w:szCs w:val="21"/>
              </w:rPr>
              <w:t>EPC</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设备材料</w:t>
            </w:r>
            <w:r>
              <w:rPr>
                <w:rFonts w:ascii="宋体" w:hAnsi="宋体" w:cs="宋体" w:eastAsia="宋体" w:hint="default"/>
                <w:sz w:val="21"/>
                <w:szCs w:val="21"/>
              </w:rPr>
              <w:t> </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7,276,005.05</w:t>
            </w:r>
            <w:r>
              <w:rPr>
                <w:rFonts w:ascii="宋体"/>
                <w:sz w:val="21"/>
              </w:rPr>
              <w:t> </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22.59</w:t>
            </w:r>
            <w:r>
              <w:rPr>
                <w:rFonts w:ascii="宋体"/>
                <w:sz w:val="21"/>
              </w:rPr>
              <w:t> </w:t>
            </w:r>
          </w:p>
        </w:tc>
        <w:tc>
          <w:tcPr>
            <w:tcW w:w="2122"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37" w:right="-3"/>
              <w:jc w:val="left"/>
              <w:rPr>
                <w:rFonts w:ascii="宋体" w:hAnsi="宋体" w:cs="宋体" w:eastAsia="宋体" w:hint="default"/>
                <w:sz w:val="21"/>
                <w:szCs w:val="21"/>
              </w:rPr>
            </w:pPr>
            <w:r>
              <w:rPr>
                <w:rFonts w:ascii="宋体"/>
                <w:sz w:val="21"/>
              </w:rPr>
              <w:t>573,968,958.53 </w:t>
            </w:r>
          </w:p>
        </w:tc>
        <w:tc>
          <w:tcPr>
            <w:tcW w:w="1064"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24" w:right="-3"/>
              <w:jc w:val="left"/>
              <w:rPr>
                <w:rFonts w:ascii="宋体" w:hAnsi="宋体" w:cs="宋体" w:eastAsia="宋体" w:hint="default"/>
                <w:sz w:val="21"/>
                <w:szCs w:val="21"/>
              </w:rPr>
            </w:pPr>
            <w:r>
              <w:rPr>
                <w:rFonts w:ascii="宋体"/>
                <w:sz w:val="21"/>
              </w:rPr>
              <w:t>68.85 </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-98.73</w:t>
            </w:r>
            <w:r>
              <w:rPr>
                <w:rFonts w:ascii="宋体"/>
                <w:sz w:val="21"/>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w w:val="100"/>
                <w:sz w:val="21"/>
              </w:rPr>
              <w:t> </w:t>
            </w:r>
          </w:p>
        </w:tc>
      </w:tr>
      <w:tr>
        <w:trPr>
          <w:trHeight w:val="322" w:hRule="exact"/>
        </w:trPr>
        <w:tc>
          <w:tcPr>
            <w:tcW w:w="1640" w:type="dxa"/>
            <w:vMerge/>
            <w:tcBorders>
              <w:left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外包工程</w:t>
            </w:r>
            <w:r>
              <w:rPr>
                <w:rFonts w:ascii="宋体" w:hAnsi="宋体" w:cs="宋体" w:eastAsia="宋体" w:hint="default"/>
                <w:sz w:val="21"/>
                <w:szCs w:val="21"/>
              </w:rPr>
              <w:t> </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24,936,735.83</w:t>
            </w:r>
            <w:r>
              <w:rPr>
                <w:rFonts w:ascii="宋体"/>
                <w:sz w:val="21"/>
              </w:rPr>
              <w:t> </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77.41</w:t>
            </w:r>
            <w:r>
              <w:rPr>
                <w:rFonts w:ascii="宋体"/>
                <w:sz w:val="21"/>
              </w:rPr>
              <w:t> </w:t>
            </w:r>
          </w:p>
        </w:tc>
        <w:tc>
          <w:tcPr>
            <w:tcW w:w="2122"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37" w:right="-3"/>
              <w:jc w:val="left"/>
              <w:rPr>
                <w:rFonts w:ascii="宋体" w:hAnsi="宋体" w:cs="宋体" w:eastAsia="宋体" w:hint="default"/>
                <w:sz w:val="21"/>
                <w:szCs w:val="21"/>
              </w:rPr>
            </w:pPr>
            <w:r>
              <w:rPr>
                <w:rFonts w:ascii="宋体"/>
                <w:sz w:val="21"/>
              </w:rPr>
              <w:t>259,682,397.36 </w:t>
            </w:r>
          </w:p>
        </w:tc>
        <w:tc>
          <w:tcPr>
            <w:tcW w:w="1064"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24" w:right="-3"/>
              <w:jc w:val="left"/>
              <w:rPr>
                <w:rFonts w:ascii="宋体" w:hAnsi="宋体" w:cs="宋体" w:eastAsia="宋体" w:hint="default"/>
                <w:sz w:val="21"/>
                <w:szCs w:val="21"/>
              </w:rPr>
            </w:pPr>
            <w:r>
              <w:rPr>
                <w:rFonts w:ascii="宋体"/>
                <w:sz w:val="21"/>
              </w:rPr>
              <w:t>31.15 </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-90.40</w:t>
            </w:r>
            <w:r>
              <w:rPr>
                <w:rFonts w:ascii="宋体"/>
                <w:sz w:val="21"/>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w w:val="100"/>
                <w:sz w:val="21"/>
              </w:rPr>
              <w:t> </w:t>
            </w:r>
          </w:p>
        </w:tc>
      </w:tr>
      <w:tr>
        <w:trPr>
          <w:trHeight w:val="324" w:hRule="exact"/>
        </w:trPr>
        <w:tc>
          <w:tcPr>
            <w:tcW w:w="1640" w:type="dxa"/>
            <w:vMerge/>
            <w:tcBorders>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小计</w:t>
            </w:r>
            <w:r>
              <w:rPr>
                <w:rFonts w:ascii="宋体" w:hAnsi="宋体" w:cs="宋体" w:eastAsia="宋体" w:hint="default"/>
                <w:sz w:val="21"/>
                <w:szCs w:val="21"/>
              </w:rPr>
              <w:t> </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spacing w:val="-1"/>
                <w:sz w:val="21"/>
              </w:rPr>
              <w:t>32,212,740.88</w:t>
            </w:r>
            <w:r>
              <w:rPr>
                <w:rFonts w:ascii="宋体"/>
                <w:sz w:val="21"/>
              </w:rPr>
              <w:t> </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spacing w:val="-1"/>
                <w:sz w:val="21"/>
              </w:rPr>
              <w:t>100.00</w:t>
            </w:r>
            <w:r>
              <w:rPr>
                <w:rFonts w:ascii="宋体"/>
                <w:sz w:val="21"/>
              </w:rPr>
              <w:t> </w:t>
            </w:r>
          </w:p>
        </w:tc>
        <w:tc>
          <w:tcPr>
            <w:tcW w:w="2122" w:type="dxa"/>
            <w:gridSpan w:val="2"/>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537" w:right="-3"/>
              <w:jc w:val="left"/>
              <w:rPr>
                <w:rFonts w:ascii="宋体" w:hAnsi="宋体" w:cs="宋体" w:eastAsia="宋体" w:hint="default"/>
                <w:sz w:val="21"/>
                <w:szCs w:val="21"/>
              </w:rPr>
            </w:pPr>
            <w:r>
              <w:rPr>
                <w:rFonts w:ascii="宋体"/>
                <w:sz w:val="21"/>
              </w:rPr>
              <w:t>833,651,355.89 </w:t>
            </w:r>
          </w:p>
        </w:tc>
        <w:tc>
          <w:tcPr>
            <w:tcW w:w="1064" w:type="dxa"/>
            <w:gridSpan w:val="2"/>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319" w:right="-3"/>
              <w:jc w:val="left"/>
              <w:rPr>
                <w:rFonts w:ascii="宋体" w:hAnsi="宋体" w:cs="宋体" w:eastAsia="宋体" w:hint="default"/>
                <w:sz w:val="21"/>
                <w:szCs w:val="21"/>
              </w:rPr>
            </w:pPr>
            <w:r>
              <w:rPr>
                <w:rFonts w:ascii="宋体"/>
                <w:sz w:val="21"/>
              </w:rPr>
              <w:t>100.00 </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spacing w:val="-1"/>
                <w:sz w:val="21"/>
              </w:rPr>
              <w:t>-96.14</w:t>
            </w:r>
            <w:r>
              <w:rPr>
                <w:rFonts w:ascii="宋体"/>
                <w:sz w:val="21"/>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w w:val="100"/>
                <w:sz w:val="21"/>
              </w:rPr>
              <w:t> </w:t>
            </w:r>
          </w:p>
        </w:tc>
      </w:tr>
      <w:tr>
        <w:trPr>
          <w:trHeight w:val="322" w:hRule="exact"/>
        </w:trPr>
        <w:tc>
          <w:tcPr>
            <w:tcW w:w="164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1"/>
              <w:ind w:left="103" w:right="0"/>
              <w:jc w:val="left"/>
              <w:rPr>
                <w:rFonts w:ascii="宋体" w:hAnsi="宋体" w:cs="宋体" w:eastAsia="宋体" w:hint="default"/>
                <w:sz w:val="21"/>
                <w:szCs w:val="21"/>
              </w:rPr>
            </w:pPr>
            <w:r>
              <w:rPr>
                <w:rFonts w:ascii="宋体" w:hAnsi="宋体" w:cs="宋体" w:eastAsia="宋体" w:hint="default"/>
                <w:sz w:val="21"/>
                <w:szCs w:val="21"/>
              </w:rPr>
              <w:t>其他行业</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直接材料</w:t>
            </w:r>
            <w:r>
              <w:rPr>
                <w:rFonts w:ascii="宋体" w:hAnsi="宋体" w:cs="宋体" w:eastAsia="宋体" w:hint="default"/>
                <w:sz w:val="21"/>
                <w:szCs w:val="21"/>
              </w:rPr>
              <w:t> </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65,683,855.82</w:t>
            </w:r>
            <w:r>
              <w:rPr>
                <w:rFonts w:ascii="宋体"/>
                <w:sz w:val="21"/>
              </w:rPr>
              <w:t> </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56.75</w:t>
            </w:r>
            <w:r>
              <w:rPr>
                <w:rFonts w:ascii="宋体"/>
                <w:sz w:val="21"/>
              </w:rPr>
              <w:t> </w:t>
            </w:r>
          </w:p>
        </w:tc>
        <w:tc>
          <w:tcPr>
            <w:tcW w:w="2122"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37" w:right="-3"/>
              <w:jc w:val="left"/>
              <w:rPr>
                <w:rFonts w:ascii="宋体" w:hAnsi="宋体" w:cs="宋体" w:eastAsia="宋体" w:hint="default"/>
                <w:sz w:val="21"/>
                <w:szCs w:val="21"/>
              </w:rPr>
            </w:pPr>
            <w:r>
              <w:rPr>
                <w:rFonts w:ascii="宋体"/>
                <w:sz w:val="21"/>
              </w:rPr>
              <w:t>111,122,312.38 </w:t>
            </w:r>
          </w:p>
        </w:tc>
        <w:tc>
          <w:tcPr>
            <w:tcW w:w="1064"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24" w:right="-3"/>
              <w:jc w:val="left"/>
              <w:rPr>
                <w:rFonts w:ascii="宋体" w:hAnsi="宋体" w:cs="宋体" w:eastAsia="宋体" w:hint="default"/>
                <w:sz w:val="21"/>
                <w:szCs w:val="21"/>
              </w:rPr>
            </w:pPr>
            <w:r>
              <w:rPr>
                <w:rFonts w:ascii="宋体"/>
                <w:sz w:val="21"/>
              </w:rPr>
              <w:t>93.84 </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-40.89</w:t>
            </w:r>
            <w:r>
              <w:rPr>
                <w:rFonts w:ascii="宋体"/>
                <w:sz w:val="21"/>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w w:val="100"/>
                <w:sz w:val="21"/>
              </w:rPr>
              <w:t> </w:t>
            </w:r>
          </w:p>
        </w:tc>
      </w:tr>
      <w:tr>
        <w:trPr>
          <w:trHeight w:val="322" w:hRule="exact"/>
        </w:trPr>
        <w:tc>
          <w:tcPr>
            <w:tcW w:w="1640" w:type="dxa"/>
            <w:vMerge/>
            <w:tcBorders>
              <w:left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直接人工</w:t>
            </w:r>
            <w:r>
              <w:rPr>
                <w:rFonts w:ascii="宋体" w:hAnsi="宋体" w:cs="宋体" w:eastAsia="宋体" w:hint="default"/>
                <w:sz w:val="21"/>
                <w:szCs w:val="21"/>
              </w:rPr>
              <w:t> </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12,565,381.31</w:t>
            </w:r>
            <w:r>
              <w:rPr>
                <w:rFonts w:ascii="宋体"/>
                <w:sz w:val="21"/>
              </w:rPr>
              <w:t> </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10.86</w:t>
            </w:r>
            <w:r>
              <w:rPr>
                <w:rFonts w:ascii="宋体"/>
                <w:sz w:val="21"/>
              </w:rPr>
              <w:t> </w:t>
            </w:r>
          </w:p>
        </w:tc>
        <w:tc>
          <w:tcPr>
            <w:tcW w:w="2122"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49" w:right="-3"/>
              <w:jc w:val="left"/>
              <w:rPr>
                <w:rFonts w:ascii="宋体" w:hAnsi="宋体" w:cs="宋体" w:eastAsia="宋体" w:hint="default"/>
                <w:sz w:val="21"/>
                <w:szCs w:val="21"/>
              </w:rPr>
            </w:pPr>
            <w:r>
              <w:rPr>
                <w:rFonts w:ascii="宋体"/>
                <w:sz w:val="21"/>
              </w:rPr>
              <w:t>2,868,759.08 </w:t>
            </w:r>
          </w:p>
        </w:tc>
        <w:tc>
          <w:tcPr>
            <w:tcW w:w="1064"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30" w:right="-3"/>
              <w:jc w:val="left"/>
              <w:rPr>
                <w:rFonts w:ascii="宋体" w:hAnsi="宋体" w:cs="宋体" w:eastAsia="宋体" w:hint="default"/>
                <w:sz w:val="21"/>
                <w:szCs w:val="21"/>
              </w:rPr>
            </w:pPr>
            <w:r>
              <w:rPr>
                <w:rFonts w:ascii="宋体"/>
                <w:sz w:val="21"/>
              </w:rPr>
              <w:t>2.42 </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338.01</w:t>
            </w:r>
            <w:r>
              <w:rPr>
                <w:rFonts w:ascii="宋体"/>
                <w:sz w:val="21"/>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w w:val="100"/>
                <w:sz w:val="21"/>
              </w:rPr>
              <w:t> </w:t>
            </w:r>
          </w:p>
        </w:tc>
      </w:tr>
      <w:tr>
        <w:trPr>
          <w:trHeight w:val="322" w:hRule="exact"/>
        </w:trPr>
        <w:tc>
          <w:tcPr>
            <w:tcW w:w="1640" w:type="dxa"/>
            <w:vMerge/>
            <w:tcBorders>
              <w:left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制造费用</w:t>
            </w:r>
            <w:r>
              <w:rPr>
                <w:rFonts w:ascii="宋体" w:hAnsi="宋体" w:cs="宋体" w:eastAsia="宋体" w:hint="default"/>
                <w:sz w:val="21"/>
                <w:szCs w:val="21"/>
              </w:rPr>
              <w:t> </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4,583,256.30</w:t>
            </w:r>
            <w:r>
              <w:rPr>
                <w:rFonts w:ascii="宋体"/>
                <w:sz w:val="21"/>
              </w:rPr>
              <w:t> </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3.96</w:t>
            </w:r>
            <w:r>
              <w:rPr>
                <w:rFonts w:ascii="宋体"/>
                <w:sz w:val="21"/>
              </w:rPr>
              <w:t> </w:t>
            </w:r>
          </w:p>
        </w:tc>
        <w:tc>
          <w:tcPr>
            <w:tcW w:w="2122"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49" w:right="-3"/>
              <w:jc w:val="left"/>
              <w:rPr>
                <w:rFonts w:ascii="宋体" w:hAnsi="宋体" w:cs="宋体" w:eastAsia="宋体" w:hint="default"/>
                <w:sz w:val="21"/>
                <w:szCs w:val="21"/>
              </w:rPr>
            </w:pPr>
            <w:r>
              <w:rPr>
                <w:rFonts w:ascii="宋体"/>
                <w:sz w:val="21"/>
              </w:rPr>
              <w:t>4,421,352.86 </w:t>
            </w:r>
          </w:p>
        </w:tc>
        <w:tc>
          <w:tcPr>
            <w:tcW w:w="1064"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30" w:right="-3"/>
              <w:jc w:val="left"/>
              <w:rPr>
                <w:rFonts w:ascii="宋体" w:hAnsi="宋体" w:cs="宋体" w:eastAsia="宋体" w:hint="default"/>
                <w:sz w:val="21"/>
                <w:szCs w:val="21"/>
              </w:rPr>
            </w:pPr>
            <w:r>
              <w:rPr>
                <w:rFonts w:ascii="宋体"/>
                <w:sz w:val="21"/>
              </w:rPr>
              <w:t>3.73 </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3.66</w:t>
            </w:r>
            <w:r>
              <w:rPr>
                <w:rFonts w:ascii="宋体"/>
                <w:sz w:val="21"/>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w w:val="100"/>
                <w:sz w:val="21"/>
              </w:rPr>
              <w:t> </w:t>
            </w:r>
          </w:p>
        </w:tc>
      </w:tr>
      <w:tr>
        <w:trPr>
          <w:trHeight w:val="322" w:hRule="exact"/>
        </w:trPr>
        <w:tc>
          <w:tcPr>
            <w:tcW w:w="1640" w:type="dxa"/>
            <w:vMerge/>
            <w:tcBorders>
              <w:left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外包成本</w:t>
            </w:r>
            <w:r>
              <w:rPr>
                <w:rFonts w:ascii="宋体" w:hAnsi="宋体" w:cs="宋体" w:eastAsia="宋体" w:hint="default"/>
                <w:sz w:val="21"/>
                <w:szCs w:val="21"/>
              </w:rPr>
              <w:t> </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32,905,201.73</w:t>
            </w:r>
            <w:r>
              <w:rPr>
                <w:rFonts w:ascii="宋体"/>
                <w:sz w:val="21"/>
              </w:rPr>
              <w:t> </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28.43</w:t>
            </w:r>
            <w:r>
              <w:rPr>
                <w:rFonts w:ascii="宋体"/>
                <w:sz w:val="21"/>
              </w:rPr>
              <w:t> </w:t>
            </w:r>
          </w:p>
        </w:tc>
        <w:tc>
          <w:tcPr>
            <w:tcW w:w="2122"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1064"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w w:val="100"/>
                <w:sz w:val="21"/>
              </w:rPr>
              <w:t> </w:t>
            </w:r>
          </w:p>
        </w:tc>
      </w:tr>
      <w:tr>
        <w:trPr>
          <w:trHeight w:val="322" w:hRule="exact"/>
        </w:trPr>
        <w:tc>
          <w:tcPr>
            <w:tcW w:w="1640" w:type="dxa"/>
            <w:vMerge/>
            <w:tcBorders>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小计</w:t>
            </w:r>
            <w:r>
              <w:rPr>
                <w:rFonts w:ascii="宋体" w:hAnsi="宋体" w:cs="宋体" w:eastAsia="宋体" w:hint="default"/>
                <w:sz w:val="21"/>
                <w:szCs w:val="21"/>
              </w:rPr>
              <w:t> </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115,737,695.17</w:t>
            </w:r>
            <w:r>
              <w:rPr>
                <w:rFonts w:ascii="宋体"/>
                <w:sz w:val="21"/>
              </w:rPr>
              <w:t> </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100.00</w:t>
            </w:r>
            <w:r>
              <w:rPr>
                <w:rFonts w:ascii="宋体"/>
                <w:sz w:val="21"/>
              </w:rPr>
              <w:t> </w:t>
            </w:r>
          </w:p>
        </w:tc>
        <w:tc>
          <w:tcPr>
            <w:tcW w:w="2122"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37" w:right="-3"/>
              <w:jc w:val="left"/>
              <w:rPr>
                <w:rFonts w:ascii="宋体" w:hAnsi="宋体" w:cs="宋体" w:eastAsia="宋体" w:hint="default"/>
                <w:sz w:val="21"/>
                <w:szCs w:val="21"/>
              </w:rPr>
            </w:pPr>
            <w:r>
              <w:rPr>
                <w:rFonts w:ascii="宋体"/>
                <w:sz w:val="21"/>
              </w:rPr>
              <w:t>118,412,424.32 </w:t>
            </w:r>
          </w:p>
        </w:tc>
        <w:tc>
          <w:tcPr>
            <w:tcW w:w="1064"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9" w:right="-3"/>
              <w:jc w:val="left"/>
              <w:rPr>
                <w:rFonts w:ascii="宋体" w:hAnsi="宋体" w:cs="宋体" w:eastAsia="宋体" w:hint="default"/>
                <w:sz w:val="21"/>
                <w:szCs w:val="21"/>
              </w:rPr>
            </w:pPr>
            <w:r>
              <w:rPr>
                <w:rFonts w:ascii="宋体"/>
                <w:sz w:val="21"/>
              </w:rPr>
              <w:t>100.00 </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-2.26</w:t>
            </w:r>
            <w:r>
              <w:rPr>
                <w:rFonts w:ascii="宋体"/>
                <w:sz w:val="21"/>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w w:val="100"/>
                <w:sz w:val="21"/>
              </w:rPr>
              <w:t> </w:t>
            </w:r>
          </w:p>
        </w:tc>
      </w:tr>
      <w:tr>
        <w:trPr>
          <w:trHeight w:val="324" w:hRule="exact"/>
        </w:trPr>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spacing w:val="-1"/>
                <w:sz w:val="21"/>
              </w:rPr>
              <w:t>1,783,264,236.97</w:t>
            </w:r>
            <w:r>
              <w:rPr>
                <w:rFonts w:ascii="宋体"/>
                <w:sz w:val="21"/>
              </w:rPr>
              <w:t> </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w w:val="100"/>
                <w:sz w:val="21"/>
              </w:rPr>
              <w:t> </w:t>
            </w:r>
          </w:p>
        </w:tc>
        <w:tc>
          <w:tcPr>
            <w:tcW w:w="2122" w:type="dxa"/>
            <w:gridSpan w:val="2"/>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329" w:right="-3"/>
              <w:jc w:val="left"/>
              <w:rPr>
                <w:rFonts w:ascii="宋体" w:hAnsi="宋体" w:cs="宋体" w:eastAsia="宋体" w:hint="default"/>
                <w:sz w:val="21"/>
                <w:szCs w:val="21"/>
              </w:rPr>
            </w:pPr>
            <w:r>
              <w:rPr>
                <w:rFonts w:ascii="宋体"/>
                <w:sz w:val="21"/>
              </w:rPr>
              <w:t>2,457,990,989.78 </w:t>
            </w:r>
          </w:p>
        </w:tc>
        <w:tc>
          <w:tcPr>
            <w:tcW w:w="1064" w:type="dxa"/>
            <w:gridSpan w:val="2"/>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w w:val="100"/>
                <w:sz w:val="21"/>
              </w:rPr>
              <w:t> </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w w:val="100"/>
                <w:sz w:val="21"/>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w w:val="100"/>
                <w:sz w:val="21"/>
              </w:rPr>
              <w:t> </w:t>
            </w:r>
          </w:p>
        </w:tc>
      </w:tr>
      <w:tr>
        <w:trPr>
          <w:trHeight w:val="322" w:hRule="exact"/>
        </w:trPr>
        <w:tc>
          <w:tcPr>
            <w:tcW w:w="10872" w:type="dxa"/>
            <w:gridSpan w:val="10"/>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center"/>
              <w:rPr>
                <w:rFonts w:ascii="宋体" w:hAnsi="宋体" w:cs="宋体" w:eastAsia="宋体" w:hint="default"/>
                <w:sz w:val="21"/>
                <w:szCs w:val="21"/>
              </w:rPr>
            </w:pPr>
            <w:r>
              <w:rPr>
                <w:rFonts w:ascii="宋体" w:hAnsi="宋体" w:cs="宋体" w:eastAsia="宋体" w:hint="default"/>
                <w:sz w:val="21"/>
                <w:szCs w:val="21"/>
              </w:rPr>
              <w:t>分产品情况</w:t>
            </w:r>
            <w:r>
              <w:rPr>
                <w:rFonts w:ascii="宋体" w:hAnsi="宋体" w:cs="宋体" w:eastAsia="宋体" w:hint="default"/>
                <w:sz w:val="21"/>
                <w:szCs w:val="21"/>
              </w:rPr>
              <w:t> </w:t>
            </w:r>
          </w:p>
        </w:tc>
      </w:tr>
      <w:tr>
        <w:trPr>
          <w:trHeight w:val="1258" w:hRule="exact"/>
        </w:trPr>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left="499" w:right="0"/>
              <w:jc w:val="left"/>
              <w:rPr>
                <w:rFonts w:ascii="宋体" w:hAnsi="宋体" w:cs="宋体" w:eastAsia="宋体" w:hint="default"/>
                <w:sz w:val="21"/>
                <w:szCs w:val="21"/>
              </w:rPr>
            </w:pPr>
            <w:r>
              <w:rPr>
                <w:rFonts w:ascii="宋体" w:hAnsi="宋体" w:cs="宋体" w:eastAsia="宋体" w:hint="default"/>
                <w:sz w:val="21"/>
                <w:szCs w:val="21"/>
              </w:rPr>
              <w:t>分产品</w:t>
            </w:r>
            <w:r>
              <w:rPr>
                <w:rFonts w:ascii="宋体" w:hAnsi="宋体" w:cs="宋体" w:eastAsia="宋体" w:hint="default"/>
                <w:sz w:val="21"/>
                <w:szCs w:val="21"/>
              </w:rPr>
              <w:t> </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73" w:lineRule="auto"/>
              <w:ind w:left="400" w:right="187" w:hanging="209"/>
              <w:jc w:val="left"/>
              <w:rPr>
                <w:rFonts w:ascii="宋体" w:hAnsi="宋体" w:cs="宋体" w:eastAsia="宋体" w:hint="default"/>
                <w:sz w:val="21"/>
                <w:szCs w:val="21"/>
              </w:rPr>
            </w:pPr>
            <w:r>
              <w:rPr>
                <w:rFonts w:ascii="宋体" w:hAnsi="宋体" w:cs="宋体" w:eastAsia="宋体" w:hint="default"/>
                <w:sz w:val="21"/>
                <w:szCs w:val="21"/>
              </w:rPr>
              <w:t>成本构成</w:t>
            </w:r>
            <w:r>
              <w:rPr>
                <w:rFonts w:ascii="宋体" w:hAnsi="宋体" w:cs="宋体" w:eastAsia="宋体" w:hint="default"/>
                <w:w w:val="100"/>
                <w:sz w:val="21"/>
                <w:szCs w:val="21"/>
              </w:rPr>
              <w:t> </w:t>
            </w:r>
            <w:r>
              <w:rPr>
                <w:rFonts w:ascii="宋体" w:hAnsi="宋体" w:cs="宋体" w:eastAsia="宋体" w:hint="default"/>
                <w:sz w:val="21"/>
                <w:szCs w:val="21"/>
              </w:rPr>
              <w:t>项目</w:t>
            </w:r>
            <w:r>
              <w:rPr>
                <w:rFonts w:ascii="宋体" w:hAnsi="宋体" w:cs="宋体" w:eastAsia="宋体" w:hint="default"/>
                <w:sz w:val="21"/>
                <w:szCs w:val="21"/>
              </w:rPr>
              <w:t> </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left="571" w:right="0"/>
              <w:jc w:val="left"/>
              <w:rPr>
                <w:rFonts w:ascii="宋体" w:hAnsi="宋体" w:cs="宋体" w:eastAsia="宋体" w:hint="default"/>
                <w:sz w:val="21"/>
                <w:szCs w:val="21"/>
              </w:rPr>
            </w:pPr>
            <w:r>
              <w:rPr>
                <w:rFonts w:ascii="宋体" w:hAnsi="宋体" w:cs="宋体" w:eastAsia="宋体" w:hint="default"/>
                <w:sz w:val="21"/>
                <w:szCs w:val="21"/>
              </w:rPr>
              <w:t>本期金额</w:t>
            </w:r>
            <w:r>
              <w:rPr>
                <w:rFonts w:ascii="宋体" w:hAnsi="宋体" w:cs="宋体" w:eastAsia="宋体" w:hint="default"/>
                <w:sz w:val="21"/>
                <w:szCs w:val="21"/>
              </w:rPr>
              <w:t> </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32" w:right="132"/>
              <w:jc w:val="center"/>
              <w:rPr>
                <w:rFonts w:ascii="宋体" w:hAnsi="宋体" w:cs="宋体" w:eastAsia="宋体" w:hint="default"/>
                <w:sz w:val="21"/>
                <w:szCs w:val="21"/>
              </w:rPr>
            </w:pPr>
            <w:r>
              <w:rPr>
                <w:rFonts w:ascii="宋体" w:hAnsi="宋体" w:cs="宋体" w:eastAsia="宋体" w:hint="default"/>
                <w:sz w:val="21"/>
                <w:szCs w:val="21"/>
              </w:rPr>
              <w:t>本期占</w:t>
            </w:r>
            <w:r>
              <w:rPr>
                <w:rFonts w:ascii="宋体" w:hAnsi="宋体" w:cs="宋体" w:eastAsia="宋体" w:hint="default"/>
                <w:w w:val="100"/>
                <w:sz w:val="21"/>
                <w:szCs w:val="21"/>
              </w:rPr>
              <w:t> </w:t>
            </w:r>
            <w:r>
              <w:rPr>
                <w:rFonts w:ascii="宋体" w:hAnsi="宋体" w:cs="宋体" w:eastAsia="宋体" w:hint="default"/>
                <w:sz w:val="21"/>
                <w:szCs w:val="21"/>
              </w:rPr>
              <w:t>总成本</w:t>
            </w:r>
            <w:r>
              <w:rPr>
                <w:rFonts w:ascii="宋体" w:hAnsi="宋体" w:cs="宋体" w:eastAsia="宋体" w:hint="default"/>
                <w:w w:val="100"/>
                <w:sz w:val="21"/>
                <w:szCs w:val="21"/>
              </w:rPr>
              <w:t> </w:t>
            </w:r>
            <w:r>
              <w:rPr>
                <w:rFonts w:ascii="宋体" w:hAnsi="宋体" w:cs="宋体" w:eastAsia="宋体" w:hint="default"/>
                <w:sz w:val="21"/>
                <w:szCs w:val="21"/>
              </w:rPr>
              <w:t>比例</w:t>
            </w:r>
            <w:r>
              <w:rPr>
                <w:rFonts w:ascii="宋体" w:hAnsi="宋体" w:cs="宋体" w:eastAsia="宋体" w:hint="default"/>
                <w:w w:val="100"/>
                <w:sz w:val="21"/>
                <w:szCs w:val="21"/>
              </w:rPr>
              <w:t> </w:t>
            </w:r>
            <w:r>
              <w:rPr>
                <w:rFonts w:ascii="宋体" w:hAnsi="宋体" w:cs="宋体" w:eastAsia="宋体" w:hint="default"/>
                <w:sz w:val="21"/>
                <w:szCs w:val="21"/>
              </w:rPr>
              <w:t>(%) </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left="360" w:right="0"/>
              <w:jc w:val="left"/>
              <w:rPr>
                <w:rFonts w:ascii="宋体" w:hAnsi="宋体" w:cs="宋体" w:eastAsia="宋体" w:hint="default"/>
                <w:sz w:val="21"/>
                <w:szCs w:val="21"/>
              </w:rPr>
            </w:pPr>
            <w:r>
              <w:rPr>
                <w:rFonts w:ascii="宋体" w:hAnsi="宋体" w:cs="宋体" w:eastAsia="宋体" w:hint="default"/>
                <w:sz w:val="21"/>
                <w:szCs w:val="21"/>
              </w:rPr>
              <w:t>上年同期金额</w:t>
            </w:r>
            <w:r>
              <w:rPr>
                <w:rFonts w:ascii="宋体" w:hAnsi="宋体" w:cs="宋体" w:eastAsia="宋体" w:hint="default"/>
                <w:sz w:val="21"/>
                <w:szCs w:val="21"/>
              </w:rPr>
              <w:t> </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75" w:right="122"/>
              <w:jc w:val="both"/>
              <w:rPr>
                <w:rFonts w:ascii="宋体" w:hAnsi="宋体" w:cs="宋体" w:eastAsia="宋体" w:hint="default"/>
                <w:sz w:val="21"/>
                <w:szCs w:val="21"/>
              </w:rPr>
            </w:pPr>
            <w:r>
              <w:rPr>
                <w:rFonts w:ascii="宋体" w:hAnsi="宋体" w:cs="宋体" w:eastAsia="宋体" w:hint="default"/>
                <w:sz w:val="21"/>
                <w:szCs w:val="21"/>
              </w:rPr>
              <w:t>上年同</w:t>
            </w:r>
            <w:r>
              <w:rPr>
                <w:rFonts w:ascii="宋体" w:hAnsi="宋体" w:cs="宋体" w:eastAsia="宋体" w:hint="default"/>
                <w:spacing w:val="-102"/>
                <w:sz w:val="21"/>
                <w:szCs w:val="21"/>
              </w:rPr>
              <w:t> </w:t>
            </w:r>
            <w:r>
              <w:rPr>
                <w:rFonts w:ascii="宋体" w:hAnsi="宋体" w:cs="宋体" w:eastAsia="宋体" w:hint="default"/>
                <w:sz w:val="21"/>
                <w:szCs w:val="21"/>
              </w:rPr>
              <w:t>期占总</w:t>
            </w:r>
            <w:r>
              <w:rPr>
                <w:rFonts w:ascii="宋体" w:hAnsi="宋体" w:cs="宋体" w:eastAsia="宋体" w:hint="default"/>
                <w:spacing w:val="-102"/>
                <w:sz w:val="21"/>
                <w:szCs w:val="21"/>
              </w:rPr>
              <w:t> </w:t>
            </w:r>
            <w:r>
              <w:rPr>
                <w:rFonts w:ascii="宋体" w:hAnsi="宋体" w:cs="宋体" w:eastAsia="宋体" w:hint="default"/>
                <w:sz w:val="21"/>
                <w:szCs w:val="21"/>
              </w:rPr>
              <w:t>成本比</w:t>
            </w:r>
            <w:r>
              <w:rPr>
                <w:rFonts w:ascii="宋体" w:hAnsi="宋体" w:cs="宋体" w:eastAsia="宋体" w:hint="default"/>
                <w:spacing w:val="-102"/>
                <w:sz w:val="21"/>
                <w:szCs w:val="21"/>
              </w:rPr>
              <w:t> </w:t>
            </w:r>
            <w:r>
              <w:rPr>
                <w:rFonts w:ascii="宋体" w:hAnsi="宋体" w:cs="宋体" w:eastAsia="宋体" w:hint="default"/>
                <w:sz w:val="21"/>
                <w:szCs w:val="21"/>
              </w:rPr>
              <w:t>例</w:t>
            </w:r>
            <w:r>
              <w:rPr>
                <w:rFonts w:ascii="宋体" w:hAnsi="宋体" w:cs="宋体" w:eastAsia="宋体" w:hint="default"/>
                <w:sz w:val="21"/>
                <w:szCs w:val="21"/>
              </w:rPr>
              <w:t>(%) </w:t>
            </w:r>
          </w:p>
        </w:tc>
        <w:tc>
          <w:tcPr>
            <w:tcW w:w="13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165" w:right="110"/>
              <w:jc w:val="both"/>
              <w:rPr>
                <w:rFonts w:ascii="宋体" w:hAnsi="宋体" w:cs="宋体" w:eastAsia="宋体" w:hint="default"/>
                <w:sz w:val="21"/>
                <w:szCs w:val="21"/>
              </w:rPr>
            </w:pPr>
            <w:r>
              <w:rPr>
                <w:rFonts w:ascii="宋体" w:hAnsi="宋体" w:cs="宋体" w:eastAsia="宋体" w:hint="default"/>
                <w:sz w:val="21"/>
                <w:szCs w:val="21"/>
              </w:rPr>
              <w:t>本期金额较</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上年同期变</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动比例</w:t>
            </w:r>
            <w:r>
              <w:rPr>
                <w:rFonts w:ascii="宋体" w:hAnsi="宋体" w:cs="宋体" w:eastAsia="宋体" w:hint="default"/>
                <w:sz w:val="21"/>
                <w:szCs w:val="21"/>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73" w:lineRule="auto"/>
              <w:ind w:left="143" w:right="38"/>
              <w:jc w:val="left"/>
              <w:rPr>
                <w:rFonts w:ascii="宋体" w:hAnsi="宋体" w:cs="宋体" w:eastAsia="宋体" w:hint="default"/>
                <w:sz w:val="21"/>
                <w:szCs w:val="21"/>
              </w:rPr>
            </w:pPr>
            <w:r>
              <w:rPr>
                <w:rFonts w:ascii="宋体" w:hAnsi="宋体" w:cs="宋体" w:eastAsia="宋体" w:hint="default"/>
                <w:sz w:val="21"/>
                <w:szCs w:val="21"/>
              </w:rPr>
              <w:t>情况</w:t>
            </w:r>
            <w:r>
              <w:rPr>
                <w:rFonts w:ascii="宋体" w:hAnsi="宋体" w:cs="宋体" w:eastAsia="宋体" w:hint="default"/>
                <w:w w:val="100"/>
                <w:sz w:val="21"/>
                <w:szCs w:val="21"/>
              </w:rPr>
              <w:t> </w:t>
            </w:r>
            <w:r>
              <w:rPr>
                <w:rFonts w:ascii="宋体" w:hAnsi="宋体" w:cs="宋体" w:eastAsia="宋体" w:hint="default"/>
                <w:sz w:val="21"/>
                <w:szCs w:val="21"/>
              </w:rPr>
              <w:t>说明</w:t>
            </w:r>
            <w:r>
              <w:rPr>
                <w:rFonts w:ascii="宋体" w:hAnsi="宋体" w:cs="宋体" w:eastAsia="宋体" w:hint="default"/>
                <w:sz w:val="21"/>
                <w:szCs w:val="21"/>
              </w:rPr>
              <w:t> </w:t>
            </w:r>
          </w:p>
        </w:tc>
      </w:tr>
      <w:tr>
        <w:trPr>
          <w:trHeight w:val="322" w:hRule="exact"/>
        </w:trPr>
        <w:tc>
          <w:tcPr>
            <w:tcW w:w="164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电子式电能表</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直接材料</w:t>
            </w:r>
            <w:r>
              <w:rPr>
                <w:rFonts w:ascii="宋体" w:hAnsi="宋体" w:cs="宋体" w:eastAsia="宋体" w:hint="default"/>
                <w:sz w:val="21"/>
                <w:szCs w:val="21"/>
              </w:rPr>
              <w:t> </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645,286,428.88</w:t>
            </w:r>
            <w:r>
              <w:rPr>
                <w:rFonts w:ascii="宋体"/>
                <w:sz w:val="21"/>
              </w:rPr>
              <w:t> </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86.26</w:t>
            </w:r>
            <w:r>
              <w:rPr>
                <w:rFonts w:ascii="宋体"/>
                <w:sz w:val="21"/>
              </w:rPr>
              <w:t> </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675,866,994.01</w:t>
            </w:r>
            <w:r>
              <w:rPr>
                <w:rFonts w:ascii="宋体"/>
                <w:sz w:val="21"/>
              </w:rPr>
              <w:t> </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52" w:right="-3"/>
              <w:jc w:val="left"/>
              <w:rPr>
                <w:rFonts w:ascii="宋体" w:hAnsi="宋体" w:cs="宋体" w:eastAsia="宋体" w:hint="default"/>
                <w:sz w:val="21"/>
                <w:szCs w:val="21"/>
              </w:rPr>
            </w:pPr>
            <w:r>
              <w:rPr>
                <w:rFonts w:ascii="宋体"/>
                <w:sz w:val="21"/>
              </w:rPr>
              <w:t>86.42 </w:t>
            </w:r>
          </w:p>
        </w:tc>
        <w:tc>
          <w:tcPr>
            <w:tcW w:w="13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53" w:right="-3"/>
              <w:jc w:val="left"/>
              <w:rPr>
                <w:rFonts w:ascii="宋体" w:hAnsi="宋体" w:cs="宋体" w:eastAsia="宋体" w:hint="default"/>
                <w:sz w:val="21"/>
                <w:szCs w:val="21"/>
              </w:rPr>
            </w:pPr>
            <w:r>
              <w:rPr>
                <w:rFonts w:ascii="宋体"/>
                <w:sz w:val="21"/>
              </w:rPr>
              <w:t>-4.52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w w:val="100"/>
                <w:sz w:val="21"/>
              </w:rPr>
              <w:t> </w:t>
            </w:r>
          </w:p>
        </w:tc>
      </w:tr>
      <w:tr>
        <w:trPr>
          <w:trHeight w:val="322" w:hRule="exact"/>
        </w:trPr>
        <w:tc>
          <w:tcPr>
            <w:tcW w:w="1640" w:type="dxa"/>
            <w:vMerge/>
            <w:tcBorders>
              <w:left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直接人工</w:t>
            </w:r>
            <w:r>
              <w:rPr>
                <w:rFonts w:ascii="宋体" w:hAnsi="宋体" w:cs="宋体" w:eastAsia="宋体" w:hint="default"/>
                <w:sz w:val="21"/>
                <w:szCs w:val="21"/>
              </w:rPr>
              <w:t> </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60,668,594.23</w:t>
            </w:r>
            <w:r>
              <w:rPr>
                <w:rFonts w:ascii="宋体"/>
                <w:sz w:val="21"/>
              </w:rPr>
              <w:t> </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8.11</w:t>
            </w:r>
            <w:r>
              <w:rPr>
                <w:rFonts w:ascii="宋体"/>
                <w:sz w:val="21"/>
              </w:rPr>
              <w:t> </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61,079,856.78</w:t>
            </w:r>
            <w:r>
              <w:rPr>
                <w:rFonts w:ascii="宋体"/>
                <w:sz w:val="21"/>
              </w:rPr>
              <w:t> </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58" w:right="-3"/>
              <w:jc w:val="left"/>
              <w:rPr>
                <w:rFonts w:ascii="宋体" w:hAnsi="宋体" w:cs="宋体" w:eastAsia="宋体" w:hint="default"/>
                <w:sz w:val="21"/>
                <w:szCs w:val="21"/>
              </w:rPr>
            </w:pPr>
            <w:r>
              <w:rPr>
                <w:rFonts w:ascii="宋体"/>
                <w:sz w:val="21"/>
              </w:rPr>
              <w:t>7.81 </w:t>
            </w:r>
          </w:p>
        </w:tc>
        <w:tc>
          <w:tcPr>
            <w:tcW w:w="13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53" w:right="-3"/>
              <w:jc w:val="left"/>
              <w:rPr>
                <w:rFonts w:ascii="宋体" w:hAnsi="宋体" w:cs="宋体" w:eastAsia="宋体" w:hint="default"/>
                <w:sz w:val="21"/>
                <w:szCs w:val="21"/>
              </w:rPr>
            </w:pPr>
            <w:r>
              <w:rPr>
                <w:rFonts w:ascii="宋体"/>
                <w:sz w:val="21"/>
              </w:rPr>
              <w:t>-0.67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w w:val="100"/>
                <w:sz w:val="21"/>
              </w:rPr>
              <w:t> </w:t>
            </w:r>
          </w:p>
        </w:tc>
      </w:tr>
      <w:tr>
        <w:trPr>
          <w:trHeight w:val="322" w:hRule="exact"/>
        </w:trPr>
        <w:tc>
          <w:tcPr>
            <w:tcW w:w="1640" w:type="dxa"/>
            <w:vMerge/>
            <w:tcBorders>
              <w:left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制造费用</w:t>
            </w:r>
            <w:r>
              <w:rPr>
                <w:rFonts w:ascii="宋体" w:hAnsi="宋体" w:cs="宋体" w:eastAsia="宋体" w:hint="default"/>
                <w:sz w:val="21"/>
                <w:szCs w:val="21"/>
              </w:rPr>
              <w:t> </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42,116,422.38</w:t>
            </w:r>
            <w:r>
              <w:rPr>
                <w:rFonts w:ascii="宋体"/>
                <w:sz w:val="21"/>
              </w:rPr>
              <w:t> </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5.63</w:t>
            </w:r>
            <w:r>
              <w:rPr>
                <w:rFonts w:ascii="宋体"/>
                <w:sz w:val="21"/>
              </w:rPr>
              <w:t> </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45,125,579.21</w:t>
            </w:r>
            <w:r>
              <w:rPr>
                <w:rFonts w:ascii="宋体"/>
                <w:sz w:val="21"/>
              </w:rPr>
              <w:t> </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58" w:right="-3"/>
              <w:jc w:val="left"/>
              <w:rPr>
                <w:rFonts w:ascii="宋体" w:hAnsi="宋体" w:cs="宋体" w:eastAsia="宋体" w:hint="default"/>
                <w:sz w:val="21"/>
                <w:szCs w:val="21"/>
              </w:rPr>
            </w:pPr>
            <w:r>
              <w:rPr>
                <w:rFonts w:ascii="宋体"/>
                <w:sz w:val="21"/>
              </w:rPr>
              <w:t>5.77 </w:t>
            </w:r>
          </w:p>
        </w:tc>
        <w:tc>
          <w:tcPr>
            <w:tcW w:w="13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53" w:right="-3"/>
              <w:jc w:val="left"/>
              <w:rPr>
                <w:rFonts w:ascii="宋体" w:hAnsi="宋体" w:cs="宋体" w:eastAsia="宋体" w:hint="default"/>
                <w:sz w:val="21"/>
                <w:szCs w:val="21"/>
              </w:rPr>
            </w:pPr>
            <w:r>
              <w:rPr>
                <w:rFonts w:ascii="宋体"/>
                <w:sz w:val="21"/>
              </w:rPr>
              <w:t>-6.67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w w:val="100"/>
                <w:sz w:val="21"/>
              </w:rPr>
              <w:t> </w:t>
            </w:r>
          </w:p>
        </w:tc>
      </w:tr>
      <w:tr>
        <w:trPr>
          <w:trHeight w:val="324" w:hRule="exact"/>
        </w:trPr>
        <w:tc>
          <w:tcPr>
            <w:tcW w:w="1640" w:type="dxa"/>
            <w:vMerge/>
            <w:tcBorders>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小计</w:t>
            </w:r>
            <w:r>
              <w:rPr>
                <w:rFonts w:ascii="宋体" w:hAnsi="宋体" w:cs="宋体" w:eastAsia="宋体" w:hint="default"/>
                <w:sz w:val="21"/>
                <w:szCs w:val="21"/>
              </w:rPr>
              <w:t> </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spacing w:val="-1"/>
                <w:sz w:val="21"/>
              </w:rPr>
              <w:t>748,071,445.49</w:t>
            </w:r>
            <w:r>
              <w:rPr>
                <w:rFonts w:ascii="宋体"/>
                <w:sz w:val="21"/>
              </w:rPr>
              <w:t> </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spacing w:val="-1"/>
                <w:sz w:val="21"/>
              </w:rPr>
              <w:t>100.00</w:t>
            </w:r>
            <w:r>
              <w:rPr>
                <w:rFonts w:ascii="宋体"/>
                <w:sz w:val="21"/>
              </w:rPr>
              <w:t> </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spacing w:val="-1"/>
                <w:sz w:val="21"/>
              </w:rPr>
              <w:t>782,072,430.00</w:t>
            </w:r>
            <w:r>
              <w:rPr>
                <w:rFonts w:ascii="宋体"/>
                <w:sz w:val="21"/>
              </w:rPr>
              <w:t> </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47" w:right="-3"/>
              <w:jc w:val="left"/>
              <w:rPr>
                <w:rFonts w:ascii="宋体" w:hAnsi="宋体" w:cs="宋体" w:eastAsia="宋体" w:hint="default"/>
                <w:sz w:val="21"/>
                <w:szCs w:val="21"/>
              </w:rPr>
            </w:pPr>
            <w:r>
              <w:rPr>
                <w:rFonts w:ascii="宋体"/>
                <w:sz w:val="21"/>
              </w:rPr>
              <w:t>100.00 </w:t>
            </w:r>
          </w:p>
        </w:tc>
        <w:tc>
          <w:tcPr>
            <w:tcW w:w="13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753" w:right="-3"/>
              <w:jc w:val="left"/>
              <w:rPr>
                <w:rFonts w:ascii="宋体" w:hAnsi="宋体" w:cs="宋体" w:eastAsia="宋体" w:hint="default"/>
                <w:sz w:val="21"/>
                <w:szCs w:val="21"/>
              </w:rPr>
            </w:pPr>
            <w:r>
              <w:rPr>
                <w:rFonts w:ascii="宋体"/>
                <w:sz w:val="21"/>
              </w:rPr>
              <w:t>-4.35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w w:val="100"/>
                <w:sz w:val="21"/>
              </w:rPr>
              <w:t> </w:t>
            </w:r>
          </w:p>
        </w:tc>
      </w:tr>
      <w:tr>
        <w:trPr>
          <w:trHeight w:val="322" w:hRule="exact"/>
        </w:trPr>
        <w:tc>
          <w:tcPr>
            <w:tcW w:w="164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系统类产品</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直接材料</w:t>
            </w:r>
            <w:r>
              <w:rPr>
                <w:rFonts w:ascii="宋体" w:hAnsi="宋体" w:cs="宋体" w:eastAsia="宋体" w:hint="default"/>
                <w:sz w:val="21"/>
                <w:szCs w:val="21"/>
              </w:rPr>
              <w:t> </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185,443,182.49</w:t>
            </w:r>
            <w:r>
              <w:rPr>
                <w:rFonts w:ascii="宋体"/>
                <w:sz w:val="21"/>
              </w:rPr>
              <w:t> </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97.31</w:t>
            </w:r>
            <w:r>
              <w:rPr>
                <w:rFonts w:ascii="宋体"/>
                <w:sz w:val="21"/>
              </w:rPr>
              <w:t> </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192,151,903.33</w:t>
            </w:r>
            <w:r>
              <w:rPr>
                <w:rFonts w:ascii="宋体"/>
                <w:sz w:val="21"/>
              </w:rPr>
              <w:t> </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52" w:right="-3"/>
              <w:jc w:val="left"/>
              <w:rPr>
                <w:rFonts w:ascii="宋体" w:hAnsi="宋体" w:cs="宋体" w:eastAsia="宋体" w:hint="default"/>
                <w:sz w:val="21"/>
                <w:szCs w:val="21"/>
              </w:rPr>
            </w:pPr>
            <w:r>
              <w:rPr>
                <w:rFonts w:ascii="宋体"/>
                <w:sz w:val="21"/>
              </w:rPr>
              <w:t>94.84 </w:t>
            </w:r>
          </w:p>
        </w:tc>
        <w:tc>
          <w:tcPr>
            <w:tcW w:w="13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53" w:right="-3"/>
              <w:jc w:val="left"/>
              <w:rPr>
                <w:rFonts w:ascii="宋体" w:hAnsi="宋体" w:cs="宋体" w:eastAsia="宋体" w:hint="default"/>
                <w:sz w:val="21"/>
                <w:szCs w:val="21"/>
              </w:rPr>
            </w:pPr>
            <w:r>
              <w:rPr>
                <w:rFonts w:ascii="宋体"/>
                <w:sz w:val="21"/>
              </w:rPr>
              <w:t>-3.49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w w:val="100"/>
                <w:sz w:val="21"/>
              </w:rPr>
              <w:t> </w:t>
            </w:r>
          </w:p>
        </w:tc>
      </w:tr>
      <w:tr>
        <w:trPr>
          <w:trHeight w:val="322" w:hRule="exact"/>
        </w:trPr>
        <w:tc>
          <w:tcPr>
            <w:tcW w:w="1640" w:type="dxa"/>
            <w:vMerge/>
            <w:tcBorders>
              <w:left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直接人工</w:t>
            </w:r>
            <w:r>
              <w:rPr>
                <w:rFonts w:ascii="宋体" w:hAnsi="宋体" w:cs="宋体" w:eastAsia="宋体" w:hint="default"/>
                <w:sz w:val="21"/>
                <w:szCs w:val="21"/>
              </w:rPr>
              <w:t> </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3,506,478.84</w:t>
            </w:r>
            <w:r>
              <w:rPr>
                <w:rFonts w:ascii="宋体"/>
                <w:sz w:val="21"/>
              </w:rPr>
              <w:t> </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1.84</w:t>
            </w:r>
            <w:r>
              <w:rPr>
                <w:rFonts w:ascii="宋体"/>
                <w:sz w:val="21"/>
              </w:rPr>
              <w:t> </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5,713,500.29</w:t>
            </w:r>
            <w:r>
              <w:rPr>
                <w:rFonts w:ascii="宋体"/>
                <w:sz w:val="21"/>
              </w:rPr>
              <w:t> </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58" w:right="-3"/>
              <w:jc w:val="left"/>
              <w:rPr>
                <w:rFonts w:ascii="宋体" w:hAnsi="宋体" w:cs="宋体" w:eastAsia="宋体" w:hint="default"/>
                <w:sz w:val="21"/>
                <w:szCs w:val="21"/>
              </w:rPr>
            </w:pPr>
            <w:r>
              <w:rPr>
                <w:rFonts w:ascii="宋体"/>
                <w:sz w:val="21"/>
              </w:rPr>
              <w:t>2.82 </w:t>
            </w:r>
          </w:p>
        </w:tc>
        <w:tc>
          <w:tcPr>
            <w:tcW w:w="13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647" w:right="-3"/>
              <w:jc w:val="left"/>
              <w:rPr>
                <w:rFonts w:ascii="宋体" w:hAnsi="宋体" w:cs="宋体" w:eastAsia="宋体" w:hint="default"/>
                <w:sz w:val="21"/>
                <w:szCs w:val="21"/>
              </w:rPr>
            </w:pPr>
            <w:r>
              <w:rPr>
                <w:rFonts w:ascii="宋体"/>
                <w:sz w:val="21"/>
              </w:rPr>
              <w:t>-38.63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w w:val="100"/>
                <w:sz w:val="21"/>
              </w:rPr>
              <w:t> </w:t>
            </w:r>
          </w:p>
        </w:tc>
      </w:tr>
      <w:tr>
        <w:trPr>
          <w:trHeight w:val="322" w:hRule="exact"/>
        </w:trPr>
        <w:tc>
          <w:tcPr>
            <w:tcW w:w="1640" w:type="dxa"/>
            <w:vMerge/>
            <w:tcBorders>
              <w:left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制造费用</w:t>
            </w:r>
            <w:r>
              <w:rPr>
                <w:rFonts w:ascii="宋体" w:hAnsi="宋体" w:cs="宋体" w:eastAsia="宋体" w:hint="default"/>
                <w:sz w:val="21"/>
                <w:szCs w:val="21"/>
              </w:rPr>
              <w:t> </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1,619,840.77</w:t>
            </w:r>
            <w:r>
              <w:rPr>
                <w:rFonts w:ascii="宋体"/>
                <w:sz w:val="21"/>
              </w:rPr>
              <w:t> </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0.85</w:t>
            </w:r>
            <w:r>
              <w:rPr>
                <w:rFonts w:ascii="宋体"/>
                <w:sz w:val="21"/>
              </w:rPr>
              <w:t> </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4,740,989.60</w:t>
            </w:r>
            <w:r>
              <w:rPr>
                <w:rFonts w:ascii="宋体"/>
                <w:sz w:val="21"/>
              </w:rPr>
              <w:t> </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58" w:right="-3"/>
              <w:jc w:val="left"/>
              <w:rPr>
                <w:rFonts w:ascii="宋体" w:hAnsi="宋体" w:cs="宋体" w:eastAsia="宋体" w:hint="default"/>
                <w:sz w:val="21"/>
                <w:szCs w:val="21"/>
              </w:rPr>
            </w:pPr>
            <w:r>
              <w:rPr>
                <w:rFonts w:ascii="宋体"/>
                <w:sz w:val="21"/>
              </w:rPr>
              <w:t>2.34 </w:t>
            </w:r>
          </w:p>
        </w:tc>
        <w:tc>
          <w:tcPr>
            <w:tcW w:w="13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647" w:right="-3"/>
              <w:jc w:val="left"/>
              <w:rPr>
                <w:rFonts w:ascii="宋体" w:hAnsi="宋体" w:cs="宋体" w:eastAsia="宋体" w:hint="default"/>
                <w:sz w:val="21"/>
                <w:szCs w:val="21"/>
              </w:rPr>
            </w:pPr>
            <w:r>
              <w:rPr>
                <w:rFonts w:ascii="宋体"/>
                <w:sz w:val="21"/>
              </w:rPr>
              <w:t>-65.83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w w:val="100"/>
                <w:sz w:val="21"/>
              </w:rPr>
              <w:t> </w:t>
            </w:r>
          </w:p>
        </w:tc>
      </w:tr>
      <w:tr>
        <w:trPr>
          <w:trHeight w:val="322" w:hRule="exact"/>
        </w:trPr>
        <w:tc>
          <w:tcPr>
            <w:tcW w:w="1640" w:type="dxa"/>
            <w:vMerge/>
            <w:tcBorders>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小计</w:t>
            </w:r>
            <w:r>
              <w:rPr>
                <w:rFonts w:ascii="宋体" w:hAnsi="宋体" w:cs="宋体" w:eastAsia="宋体" w:hint="default"/>
                <w:sz w:val="21"/>
                <w:szCs w:val="21"/>
              </w:rPr>
              <w:t> </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190,569,502.10</w:t>
            </w:r>
            <w:r>
              <w:rPr>
                <w:rFonts w:ascii="宋体"/>
                <w:sz w:val="21"/>
              </w:rPr>
              <w:t> </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100.00</w:t>
            </w:r>
            <w:r>
              <w:rPr>
                <w:rFonts w:ascii="宋体"/>
                <w:sz w:val="21"/>
              </w:rPr>
              <w:t> </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202,606,393.22</w:t>
            </w:r>
            <w:r>
              <w:rPr>
                <w:rFonts w:ascii="宋体"/>
                <w:sz w:val="21"/>
              </w:rPr>
              <w:t> </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7" w:right="-3"/>
              <w:jc w:val="left"/>
              <w:rPr>
                <w:rFonts w:ascii="宋体" w:hAnsi="宋体" w:cs="宋体" w:eastAsia="宋体" w:hint="default"/>
                <w:sz w:val="21"/>
                <w:szCs w:val="21"/>
              </w:rPr>
            </w:pPr>
            <w:r>
              <w:rPr>
                <w:rFonts w:ascii="宋体"/>
                <w:sz w:val="21"/>
              </w:rPr>
              <w:t>100.00 </w:t>
            </w:r>
          </w:p>
        </w:tc>
        <w:tc>
          <w:tcPr>
            <w:tcW w:w="13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53" w:right="-3"/>
              <w:jc w:val="left"/>
              <w:rPr>
                <w:rFonts w:ascii="宋体" w:hAnsi="宋体" w:cs="宋体" w:eastAsia="宋体" w:hint="default"/>
                <w:sz w:val="21"/>
                <w:szCs w:val="21"/>
              </w:rPr>
            </w:pPr>
            <w:r>
              <w:rPr>
                <w:rFonts w:ascii="宋体"/>
                <w:sz w:val="21"/>
              </w:rPr>
              <w:t>-5.94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w w:val="100"/>
                <w:sz w:val="21"/>
              </w:rPr>
              <w:t> </w:t>
            </w:r>
          </w:p>
        </w:tc>
      </w:tr>
      <w:tr>
        <w:trPr>
          <w:trHeight w:val="322" w:hRule="exact"/>
        </w:trPr>
        <w:tc>
          <w:tcPr>
            <w:tcW w:w="1640"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7"/>
                <w:szCs w:val="27"/>
              </w:rPr>
            </w:pPr>
          </w:p>
          <w:p>
            <w:pPr>
              <w:pStyle w:val="TableParagraph"/>
              <w:spacing w:line="240" w:lineRule="auto"/>
              <w:ind w:left="103" w:right="0"/>
              <w:jc w:val="left"/>
              <w:rPr>
                <w:rFonts w:ascii="宋体" w:hAnsi="宋体" w:cs="宋体" w:eastAsia="宋体" w:hint="default"/>
                <w:sz w:val="21"/>
                <w:szCs w:val="21"/>
              </w:rPr>
            </w:pPr>
            <w:r>
              <w:rPr>
                <w:rFonts w:ascii="Calibri" w:hAnsi="Calibri" w:cs="Calibri" w:eastAsia="Calibri" w:hint="default"/>
                <w:sz w:val="21"/>
                <w:szCs w:val="21"/>
              </w:rPr>
              <w:t>LED</w:t>
            </w:r>
            <w:r>
              <w:rPr>
                <w:rFonts w:ascii="Calibri" w:hAnsi="Calibri" w:cs="Calibri" w:eastAsia="Calibri" w:hint="default"/>
                <w:spacing w:val="5"/>
                <w:sz w:val="21"/>
                <w:szCs w:val="21"/>
              </w:rPr>
              <w:t> </w:t>
            </w:r>
            <w:r>
              <w:rPr>
                <w:rFonts w:ascii="宋体" w:hAnsi="宋体" w:cs="宋体" w:eastAsia="宋体" w:hint="default"/>
                <w:sz w:val="21"/>
                <w:szCs w:val="21"/>
              </w:rPr>
              <w:t>系列产品</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直接材料</w:t>
            </w:r>
            <w:r>
              <w:rPr>
                <w:rFonts w:ascii="宋体" w:hAnsi="宋体" w:cs="宋体" w:eastAsia="宋体" w:hint="default"/>
                <w:sz w:val="21"/>
                <w:szCs w:val="21"/>
              </w:rPr>
              <w:t> </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6,290,105.46</w:t>
            </w:r>
            <w:r>
              <w:rPr>
                <w:rFonts w:ascii="宋体"/>
                <w:sz w:val="21"/>
              </w:rPr>
              <w:t> </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22.59</w:t>
            </w:r>
            <w:r>
              <w:rPr>
                <w:rFonts w:ascii="宋体"/>
                <w:sz w:val="21"/>
              </w:rPr>
              <w:t> </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27,907,106.38</w:t>
            </w:r>
            <w:r>
              <w:rPr>
                <w:rFonts w:ascii="宋体"/>
                <w:sz w:val="21"/>
              </w:rPr>
              <w:t> </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52" w:right="-3"/>
              <w:jc w:val="left"/>
              <w:rPr>
                <w:rFonts w:ascii="宋体" w:hAnsi="宋体" w:cs="宋体" w:eastAsia="宋体" w:hint="default"/>
                <w:sz w:val="21"/>
                <w:szCs w:val="21"/>
              </w:rPr>
            </w:pPr>
            <w:r>
              <w:rPr>
                <w:rFonts w:ascii="宋体"/>
                <w:sz w:val="21"/>
              </w:rPr>
              <w:t>71.72 </w:t>
            </w:r>
          </w:p>
        </w:tc>
        <w:tc>
          <w:tcPr>
            <w:tcW w:w="13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647" w:right="-3"/>
              <w:jc w:val="left"/>
              <w:rPr>
                <w:rFonts w:ascii="宋体" w:hAnsi="宋体" w:cs="宋体" w:eastAsia="宋体" w:hint="default"/>
                <w:sz w:val="21"/>
                <w:szCs w:val="21"/>
              </w:rPr>
            </w:pPr>
            <w:r>
              <w:rPr>
                <w:rFonts w:ascii="宋体"/>
                <w:sz w:val="21"/>
              </w:rPr>
              <w:t>-77.46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w w:val="100"/>
                <w:sz w:val="21"/>
              </w:rPr>
              <w:t> </w:t>
            </w:r>
          </w:p>
        </w:tc>
      </w:tr>
      <w:tr>
        <w:trPr>
          <w:trHeight w:val="324" w:hRule="exact"/>
        </w:trPr>
        <w:tc>
          <w:tcPr>
            <w:tcW w:w="1640" w:type="dxa"/>
            <w:vMerge/>
            <w:tcBorders>
              <w:left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分包工程</w:t>
            </w:r>
            <w:r>
              <w:rPr>
                <w:rFonts w:ascii="宋体" w:hAnsi="宋体" w:cs="宋体" w:eastAsia="宋体" w:hint="default"/>
                <w:sz w:val="21"/>
                <w:szCs w:val="21"/>
              </w:rPr>
              <w:t> </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spacing w:val="-1"/>
                <w:sz w:val="21"/>
              </w:rPr>
              <w:t>21,554,540.24</w:t>
            </w:r>
            <w:r>
              <w:rPr>
                <w:rFonts w:ascii="宋体"/>
                <w:sz w:val="21"/>
              </w:rPr>
              <w:t> </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spacing w:val="-1"/>
                <w:sz w:val="21"/>
              </w:rPr>
              <w:t>77.41</w:t>
            </w:r>
            <w:r>
              <w:rPr>
                <w:rFonts w:ascii="宋体"/>
                <w:sz w:val="21"/>
              </w:rPr>
              <w:t> </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spacing w:val="-1"/>
                <w:sz w:val="21"/>
              </w:rPr>
              <w:t>11,004,084.89</w:t>
            </w:r>
            <w:r>
              <w:rPr>
                <w:rFonts w:ascii="宋体"/>
                <w:sz w:val="21"/>
              </w:rPr>
              <w:t> </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352" w:right="-3"/>
              <w:jc w:val="left"/>
              <w:rPr>
                <w:rFonts w:ascii="宋体" w:hAnsi="宋体" w:cs="宋体" w:eastAsia="宋体" w:hint="default"/>
                <w:sz w:val="21"/>
                <w:szCs w:val="21"/>
              </w:rPr>
            </w:pPr>
            <w:r>
              <w:rPr>
                <w:rFonts w:ascii="宋体"/>
                <w:sz w:val="21"/>
              </w:rPr>
              <w:t>28.28 </w:t>
            </w:r>
          </w:p>
        </w:tc>
        <w:tc>
          <w:tcPr>
            <w:tcW w:w="13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753" w:right="-3"/>
              <w:jc w:val="left"/>
              <w:rPr>
                <w:rFonts w:ascii="宋体" w:hAnsi="宋体" w:cs="宋体" w:eastAsia="宋体" w:hint="default"/>
                <w:sz w:val="21"/>
                <w:szCs w:val="21"/>
              </w:rPr>
            </w:pPr>
            <w:r>
              <w:rPr>
                <w:rFonts w:ascii="宋体"/>
                <w:sz w:val="21"/>
              </w:rPr>
              <w:t>95.88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w w:val="100"/>
                <w:sz w:val="21"/>
              </w:rPr>
              <w:t> </w:t>
            </w:r>
          </w:p>
        </w:tc>
      </w:tr>
      <w:tr>
        <w:trPr>
          <w:trHeight w:val="322" w:hRule="exact"/>
        </w:trPr>
        <w:tc>
          <w:tcPr>
            <w:tcW w:w="1640" w:type="dxa"/>
            <w:vMerge/>
            <w:tcBorders>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小计</w:t>
            </w:r>
            <w:r>
              <w:rPr>
                <w:rFonts w:ascii="宋体" w:hAnsi="宋体" w:cs="宋体" w:eastAsia="宋体" w:hint="default"/>
                <w:sz w:val="21"/>
                <w:szCs w:val="21"/>
              </w:rPr>
              <w:t> </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27,844,645.70</w:t>
            </w:r>
            <w:r>
              <w:rPr>
                <w:rFonts w:ascii="宋体"/>
                <w:sz w:val="21"/>
              </w:rPr>
              <w:t> </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22.59</w:t>
            </w:r>
            <w:r>
              <w:rPr>
                <w:rFonts w:ascii="宋体"/>
                <w:sz w:val="21"/>
              </w:rPr>
              <w:t> </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38,911,191.27</w:t>
            </w:r>
            <w:r>
              <w:rPr>
                <w:rFonts w:ascii="宋体"/>
                <w:sz w:val="21"/>
              </w:rPr>
              <w:t> </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7" w:right="-3"/>
              <w:jc w:val="left"/>
              <w:rPr>
                <w:rFonts w:ascii="宋体" w:hAnsi="宋体" w:cs="宋体" w:eastAsia="宋体" w:hint="default"/>
                <w:sz w:val="21"/>
                <w:szCs w:val="21"/>
              </w:rPr>
            </w:pPr>
            <w:r>
              <w:rPr>
                <w:rFonts w:ascii="宋体"/>
                <w:sz w:val="21"/>
              </w:rPr>
              <w:t>100.00 </w:t>
            </w:r>
          </w:p>
        </w:tc>
        <w:tc>
          <w:tcPr>
            <w:tcW w:w="13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647" w:right="-3"/>
              <w:jc w:val="left"/>
              <w:rPr>
                <w:rFonts w:ascii="宋体" w:hAnsi="宋体" w:cs="宋体" w:eastAsia="宋体" w:hint="default"/>
                <w:sz w:val="21"/>
                <w:szCs w:val="21"/>
              </w:rPr>
            </w:pPr>
            <w:r>
              <w:rPr>
                <w:rFonts w:ascii="宋体"/>
                <w:sz w:val="21"/>
              </w:rPr>
              <w:t>-28.44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w w:val="100"/>
                <w:sz w:val="21"/>
              </w:rPr>
              <w:t> </w:t>
            </w:r>
          </w:p>
        </w:tc>
      </w:tr>
      <w:tr>
        <w:trPr>
          <w:trHeight w:val="322" w:hRule="exact"/>
        </w:trPr>
        <w:tc>
          <w:tcPr>
            <w:tcW w:w="1640"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103" w:right="0"/>
              <w:jc w:val="left"/>
              <w:rPr>
                <w:rFonts w:ascii="Calibri" w:hAnsi="Calibri" w:cs="Calibri" w:eastAsia="Calibri" w:hint="default"/>
                <w:sz w:val="21"/>
                <w:szCs w:val="21"/>
              </w:rPr>
            </w:pPr>
            <w:r>
              <w:rPr>
                <w:rFonts w:ascii="宋体" w:hAnsi="宋体" w:cs="宋体" w:eastAsia="宋体" w:hint="default"/>
                <w:sz w:val="21"/>
                <w:szCs w:val="21"/>
              </w:rPr>
              <w:t>光伏电站</w:t>
            </w:r>
            <w:r>
              <w:rPr>
                <w:rFonts w:ascii="宋体" w:hAnsi="宋体" w:cs="宋体" w:eastAsia="宋体" w:hint="default"/>
                <w:spacing w:val="-54"/>
                <w:sz w:val="21"/>
                <w:szCs w:val="21"/>
              </w:rPr>
              <w:t> </w:t>
            </w:r>
            <w:r>
              <w:rPr>
                <w:rFonts w:ascii="Calibri" w:hAnsi="Calibri" w:cs="Calibri" w:eastAsia="Calibri" w:hint="default"/>
                <w:sz w:val="21"/>
                <w:szCs w:val="21"/>
              </w:rPr>
              <w:t>EPC</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直接材料</w:t>
            </w:r>
            <w:r>
              <w:rPr>
                <w:rFonts w:ascii="宋体" w:hAnsi="宋体" w:cs="宋体" w:eastAsia="宋体" w:hint="default"/>
                <w:sz w:val="21"/>
                <w:szCs w:val="21"/>
              </w:rPr>
              <w:t> </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7,276,005.05</w:t>
            </w:r>
            <w:r>
              <w:rPr>
                <w:rFonts w:ascii="宋体"/>
                <w:sz w:val="21"/>
              </w:rPr>
              <w:t> </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22.59</w:t>
            </w:r>
            <w:r>
              <w:rPr>
                <w:rFonts w:ascii="宋体"/>
                <w:sz w:val="21"/>
              </w:rPr>
              <w:t> </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573,968,958.53</w:t>
            </w:r>
            <w:r>
              <w:rPr>
                <w:rFonts w:ascii="宋体"/>
                <w:sz w:val="21"/>
              </w:rPr>
              <w:t> </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52" w:right="-3"/>
              <w:jc w:val="left"/>
              <w:rPr>
                <w:rFonts w:ascii="宋体" w:hAnsi="宋体" w:cs="宋体" w:eastAsia="宋体" w:hint="default"/>
                <w:sz w:val="21"/>
                <w:szCs w:val="21"/>
              </w:rPr>
            </w:pPr>
            <w:r>
              <w:rPr>
                <w:rFonts w:ascii="宋体"/>
                <w:sz w:val="21"/>
              </w:rPr>
              <w:t>68.85 </w:t>
            </w:r>
          </w:p>
        </w:tc>
        <w:tc>
          <w:tcPr>
            <w:tcW w:w="13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647" w:right="-3"/>
              <w:jc w:val="left"/>
              <w:rPr>
                <w:rFonts w:ascii="宋体" w:hAnsi="宋体" w:cs="宋体" w:eastAsia="宋体" w:hint="default"/>
                <w:sz w:val="21"/>
                <w:szCs w:val="21"/>
              </w:rPr>
            </w:pPr>
            <w:r>
              <w:rPr>
                <w:rFonts w:ascii="宋体"/>
                <w:sz w:val="21"/>
              </w:rPr>
              <w:t>-98.73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w w:val="100"/>
                <w:sz w:val="21"/>
              </w:rPr>
              <w:t> </w:t>
            </w:r>
          </w:p>
        </w:tc>
      </w:tr>
      <w:tr>
        <w:trPr>
          <w:trHeight w:val="322" w:hRule="exact"/>
        </w:trPr>
        <w:tc>
          <w:tcPr>
            <w:tcW w:w="1640" w:type="dxa"/>
            <w:vMerge/>
            <w:tcBorders>
              <w:left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3" w:right="0"/>
              <w:jc w:val="left"/>
              <w:rPr>
                <w:rFonts w:ascii="宋体" w:hAnsi="宋体" w:cs="宋体" w:eastAsia="宋体" w:hint="default"/>
                <w:sz w:val="21"/>
                <w:szCs w:val="21"/>
              </w:rPr>
            </w:pPr>
            <w:r>
              <w:rPr>
                <w:rFonts w:ascii="宋体" w:hAnsi="宋体" w:cs="宋体" w:eastAsia="宋体" w:hint="default"/>
                <w:sz w:val="21"/>
                <w:szCs w:val="21"/>
              </w:rPr>
              <w:t>外包工程</w:t>
            </w:r>
            <w:r>
              <w:rPr>
                <w:rFonts w:ascii="宋体" w:hAnsi="宋体" w:cs="宋体" w:eastAsia="宋体" w:hint="default"/>
                <w:sz w:val="21"/>
                <w:szCs w:val="21"/>
              </w:rPr>
              <w:t> </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3"/>
              <w:jc w:val="right"/>
              <w:rPr>
                <w:rFonts w:ascii="宋体" w:hAnsi="宋体" w:cs="宋体" w:eastAsia="宋体" w:hint="default"/>
                <w:sz w:val="21"/>
                <w:szCs w:val="21"/>
              </w:rPr>
            </w:pPr>
            <w:r>
              <w:rPr>
                <w:rFonts w:ascii="宋体"/>
                <w:spacing w:val="-1"/>
                <w:sz w:val="21"/>
              </w:rPr>
              <w:t>24,936,735.83</w:t>
            </w:r>
            <w:r>
              <w:rPr>
                <w:rFonts w:ascii="宋体"/>
                <w:sz w:val="21"/>
              </w:rPr>
              <w:t> </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3"/>
              <w:jc w:val="right"/>
              <w:rPr>
                <w:rFonts w:ascii="宋体" w:hAnsi="宋体" w:cs="宋体" w:eastAsia="宋体" w:hint="default"/>
                <w:sz w:val="21"/>
                <w:szCs w:val="21"/>
              </w:rPr>
            </w:pPr>
            <w:r>
              <w:rPr>
                <w:rFonts w:ascii="宋体"/>
                <w:spacing w:val="-1"/>
                <w:sz w:val="21"/>
              </w:rPr>
              <w:t>77.41</w:t>
            </w:r>
            <w:r>
              <w:rPr>
                <w:rFonts w:ascii="宋体"/>
                <w:sz w:val="21"/>
              </w:rPr>
              <w:t> </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3"/>
              <w:jc w:val="right"/>
              <w:rPr>
                <w:rFonts w:ascii="宋体" w:hAnsi="宋体" w:cs="宋体" w:eastAsia="宋体" w:hint="default"/>
                <w:sz w:val="21"/>
                <w:szCs w:val="21"/>
              </w:rPr>
            </w:pPr>
            <w:r>
              <w:rPr>
                <w:rFonts w:ascii="宋体"/>
                <w:spacing w:val="-1"/>
                <w:sz w:val="21"/>
              </w:rPr>
              <w:t>259,682,397.36</w:t>
            </w:r>
            <w:r>
              <w:rPr>
                <w:rFonts w:ascii="宋体"/>
                <w:sz w:val="21"/>
              </w:rPr>
              <w:t> </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352" w:right="-3"/>
              <w:jc w:val="left"/>
              <w:rPr>
                <w:rFonts w:ascii="宋体" w:hAnsi="宋体" w:cs="宋体" w:eastAsia="宋体" w:hint="default"/>
                <w:sz w:val="21"/>
                <w:szCs w:val="21"/>
              </w:rPr>
            </w:pPr>
            <w:r>
              <w:rPr>
                <w:rFonts w:ascii="宋体"/>
                <w:sz w:val="21"/>
              </w:rPr>
              <w:t>31.15 </w:t>
            </w:r>
          </w:p>
        </w:tc>
        <w:tc>
          <w:tcPr>
            <w:tcW w:w="13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647" w:right="-3"/>
              <w:jc w:val="left"/>
              <w:rPr>
                <w:rFonts w:ascii="宋体" w:hAnsi="宋体" w:cs="宋体" w:eastAsia="宋体" w:hint="default"/>
                <w:sz w:val="21"/>
                <w:szCs w:val="21"/>
              </w:rPr>
            </w:pPr>
            <w:r>
              <w:rPr>
                <w:rFonts w:ascii="宋体"/>
                <w:sz w:val="21"/>
              </w:rPr>
              <w:t>-90.40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3" w:right="0"/>
              <w:jc w:val="left"/>
              <w:rPr>
                <w:rFonts w:ascii="宋体" w:hAnsi="宋体" w:cs="宋体" w:eastAsia="宋体" w:hint="default"/>
                <w:sz w:val="21"/>
                <w:szCs w:val="21"/>
              </w:rPr>
            </w:pPr>
            <w:r>
              <w:rPr>
                <w:rFonts w:ascii="宋体"/>
                <w:w w:val="100"/>
                <w:sz w:val="21"/>
              </w:rPr>
              <w:t> </w:t>
            </w:r>
          </w:p>
        </w:tc>
      </w:tr>
      <w:tr>
        <w:trPr>
          <w:trHeight w:val="322" w:hRule="exact"/>
        </w:trPr>
        <w:tc>
          <w:tcPr>
            <w:tcW w:w="1640" w:type="dxa"/>
            <w:vMerge/>
            <w:tcBorders>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小计</w:t>
            </w:r>
            <w:r>
              <w:rPr>
                <w:rFonts w:ascii="宋体" w:hAnsi="宋体" w:cs="宋体" w:eastAsia="宋体" w:hint="default"/>
                <w:sz w:val="21"/>
                <w:szCs w:val="21"/>
              </w:rPr>
              <w:t> </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32,212,740.88</w:t>
            </w:r>
            <w:r>
              <w:rPr>
                <w:rFonts w:ascii="宋体"/>
                <w:sz w:val="21"/>
              </w:rPr>
              <w:t> </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100.00</w:t>
            </w:r>
            <w:r>
              <w:rPr>
                <w:rFonts w:ascii="宋体"/>
                <w:sz w:val="21"/>
              </w:rPr>
              <w:t> </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833,651,355.89</w:t>
            </w:r>
            <w:r>
              <w:rPr>
                <w:rFonts w:ascii="宋体"/>
                <w:sz w:val="21"/>
              </w:rPr>
              <w:t> </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7" w:right="-3"/>
              <w:jc w:val="left"/>
              <w:rPr>
                <w:rFonts w:ascii="宋体" w:hAnsi="宋体" w:cs="宋体" w:eastAsia="宋体" w:hint="default"/>
                <w:sz w:val="21"/>
                <w:szCs w:val="21"/>
              </w:rPr>
            </w:pPr>
            <w:r>
              <w:rPr>
                <w:rFonts w:ascii="宋体"/>
                <w:sz w:val="21"/>
              </w:rPr>
              <w:t>100.00 </w:t>
            </w:r>
          </w:p>
        </w:tc>
        <w:tc>
          <w:tcPr>
            <w:tcW w:w="13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647" w:right="-3"/>
              <w:jc w:val="left"/>
              <w:rPr>
                <w:rFonts w:ascii="宋体" w:hAnsi="宋体" w:cs="宋体" w:eastAsia="宋体" w:hint="default"/>
                <w:sz w:val="21"/>
                <w:szCs w:val="21"/>
              </w:rPr>
            </w:pPr>
            <w:r>
              <w:rPr>
                <w:rFonts w:ascii="宋体"/>
                <w:sz w:val="21"/>
              </w:rPr>
              <w:t>-96.14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w w:val="100"/>
                <w:sz w:val="21"/>
              </w:rPr>
              <w:t> </w:t>
            </w:r>
          </w:p>
        </w:tc>
      </w:tr>
      <w:tr>
        <w:trPr>
          <w:trHeight w:val="322" w:hRule="exact"/>
        </w:trPr>
        <w:tc>
          <w:tcPr>
            <w:tcW w:w="164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3"/>
              <w:ind w:left="103" w:right="0"/>
              <w:jc w:val="left"/>
              <w:rPr>
                <w:rFonts w:ascii="宋体" w:hAnsi="宋体" w:cs="宋体" w:eastAsia="宋体" w:hint="default"/>
                <w:sz w:val="21"/>
                <w:szCs w:val="21"/>
              </w:rPr>
            </w:pPr>
            <w:r>
              <w:rPr>
                <w:rFonts w:ascii="宋体" w:hAnsi="宋体" w:cs="宋体" w:eastAsia="宋体" w:hint="default"/>
                <w:sz w:val="21"/>
                <w:szCs w:val="21"/>
              </w:rPr>
              <w:t>光伏发电</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折旧</w:t>
            </w:r>
            <w:r>
              <w:rPr>
                <w:rFonts w:ascii="宋体" w:hAnsi="宋体" w:cs="宋体" w:eastAsia="宋体" w:hint="default"/>
                <w:sz w:val="21"/>
                <w:szCs w:val="21"/>
              </w:rPr>
              <w:t> </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313,576,384.62</w:t>
            </w:r>
            <w:r>
              <w:rPr>
                <w:rFonts w:ascii="宋体"/>
                <w:sz w:val="21"/>
              </w:rPr>
              <w:t> </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71.22</w:t>
            </w:r>
            <w:r>
              <w:rPr>
                <w:rFonts w:ascii="宋体"/>
                <w:sz w:val="21"/>
              </w:rPr>
              <w:t> </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293,244,018.02</w:t>
            </w:r>
            <w:r>
              <w:rPr>
                <w:rFonts w:ascii="宋体"/>
                <w:sz w:val="21"/>
              </w:rPr>
              <w:t> </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52" w:right="-3"/>
              <w:jc w:val="left"/>
              <w:rPr>
                <w:rFonts w:ascii="宋体" w:hAnsi="宋体" w:cs="宋体" w:eastAsia="宋体" w:hint="default"/>
                <w:sz w:val="21"/>
                <w:szCs w:val="21"/>
              </w:rPr>
            </w:pPr>
            <w:r>
              <w:rPr>
                <w:rFonts w:ascii="宋体"/>
                <w:sz w:val="21"/>
              </w:rPr>
              <w:t>74.36 </w:t>
            </w:r>
          </w:p>
        </w:tc>
        <w:tc>
          <w:tcPr>
            <w:tcW w:w="13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859" w:right="-3"/>
              <w:jc w:val="left"/>
              <w:rPr>
                <w:rFonts w:ascii="宋体" w:hAnsi="宋体" w:cs="宋体" w:eastAsia="宋体" w:hint="default"/>
                <w:sz w:val="21"/>
                <w:szCs w:val="21"/>
              </w:rPr>
            </w:pPr>
            <w:r>
              <w:rPr>
                <w:rFonts w:ascii="宋体"/>
                <w:sz w:val="21"/>
              </w:rPr>
              <w:t>6.93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w w:val="100"/>
                <w:sz w:val="21"/>
              </w:rPr>
              <w:t> </w:t>
            </w:r>
          </w:p>
        </w:tc>
      </w:tr>
      <w:tr>
        <w:trPr>
          <w:trHeight w:val="324" w:hRule="exact"/>
        </w:trPr>
        <w:tc>
          <w:tcPr>
            <w:tcW w:w="1640" w:type="dxa"/>
            <w:vMerge/>
            <w:tcBorders>
              <w:left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运维费</w:t>
            </w:r>
            <w:r>
              <w:rPr>
                <w:rFonts w:ascii="宋体" w:hAnsi="宋体" w:cs="宋体" w:eastAsia="宋体" w:hint="default"/>
                <w:sz w:val="21"/>
                <w:szCs w:val="21"/>
              </w:rPr>
              <w:t> </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spacing w:val="-1"/>
                <w:sz w:val="21"/>
              </w:rPr>
              <w:t>69,290,463.52</w:t>
            </w:r>
            <w:r>
              <w:rPr>
                <w:rFonts w:ascii="宋体"/>
                <w:sz w:val="21"/>
              </w:rPr>
              <w:t> </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spacing w:val="-1"/>
                <w:sz w:val="21"/>
              </w:rPr>
              <w:t>15.74</w:t>
            </w:r>
            <w:r>
              <w:rPr>
                <w:rFonts w:ascii="宋体"/>
                <w:sz w:val="21"/>
              </w:rPr>
              <w:t> </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spacing w:val="-1"/>
                <w:sz w:val="21"/>
              </w:rPr>
              <w:t>50,226,516.45</w:t>
            </w:r>
            <w:r>
              <w:rPr>
                <w:rFonts w:ascii="宋体"/>
                <w:sz w:val="21"/>
              </w:rPr>
              <w:t> </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352" w:right="-3"/>
              <w:jc w:val="left"/>
              <w:rPr>
                <w:rFonts w:ascii="宋体" w:hAnsi="宋体" w:cs="宋体" w:eastAsia="宋体" w:hint="default"/>
                <w:sz w:val="21"/>
                <w:szCs w:val="21"/>
              </w:rPr>
            </w:pPr>
            <w:r>
              <w:rPr>
                <w:rFonts w:ascii="宋体"/>
                <w:sz w:val="21"/>
              </w:rPr>
              <w:t>12.74 </w:t>
            </w:r>
          </w:p>
        </w:tc>
        <w:tc>
          <w:tcPr>
            <w:tcW w:w="13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753" w:right="-3"/>
              <w:jc w:val="left"/>
              <w:rPr>
                <w:rFonts w:ascii="宋体" w:hAnsi="宋体" w:cs="宋体" w:eastAsia="宋体" w:hint="default"/>
                <w:sz w:val="21"/>
                <w:szCs w:val="21"/>
              </w:rPr>
            </w:pPr>
            <w:r>
              <w:rPr>
                <w:rFonts w:ascii="宋体"/>
                <w:sz w:val="21"/>
              </w:rPr>
              <w:t>37.96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w w:val="100"/>
                <w:sz w:val="21"/>
              </w:rPr>
              <w:t> </w:t>
            </w:r>
          </w:p>
        </w:tc>
      </w:tr>
      <w:tr>
        <w:trPr>
          <w:trHeight w:val="322" w:hRule="exact"/>
        </w:trPr>
        <w:tc>
          <w:tcPr>
            <w:tcW w:w="1640" w:type="dxa"/>
            <w:vMerge/>
            <w:tcBorders>
              <w:left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租赁费</w:t>
            </w:r>
            <w:r>
              <w:rPr>
                <w:rFonts w:ascii="宋体" w:hAnsi="宋体" w:cs="宋体" w:eastAsia="宋体" w:hint="default"/>
                <w:sz w:val="21"/>
                <w:szCs w:val="21"/>
              </w:rPr>
              <w:t> </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47,637,435.41</w:t>
            </w:r>
            <w:r>
              <w:rPr>
                <w:rFonts w:ascii="宋体"/>
                <w:sz w:val="21"/>
              </w:rPr>
              <w:t> </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10.82</w:t>
            </w:r>
            <w:r>
              <w:rPr>
                <w:rFonts w:ascii="宋体"/>
                <w:sz w:val="21"/>
              </w:rPr>
              <w:t> </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41,558,467.52</w:t>
            </w:r>
            <w:r>
              <w:rPr>
                <w:rFonts w:ascii="宋体"/>
                <w:sz w:val="21"/>
              </w:rPr>
              <w:t> </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52" w:right="-3"/>
              <w:jc w:val="left"/>
              <w:rPr>
                <w:rFonts w:ascii="宋体" w:hAnsi="宋体" w:cs="宋体" w:eastAsia="宋体" w:hint="default"/>
                <w:sz w:val="21"/>
                <w:szCs w:val="21"/>
              </w:rPr>
            </w:pPr>
            <w:r>
              <w:rPr>
                <w:rFonts w:ascii="宋体"/>
                <w:sz w:val="21"/>
              </w:rPr>
              <w:t>10.54 </w:t>
            </w:r>
          </w:p>
        </w:tc>
        <w:tc>
          <w:tcPr>
            <w:tcW w:w="13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53" w:right="-3"/>
              <w:jc w:val="left"/>
              <w:rPr>
                <w:rFonts w:ascii="宋体" w:hAnsi="宋体" w:cs="宋体" w:eastAsia="宋体" w:hint="default"/>
                <w:sz w:val="21"/>
                <w:szCs w:val="21"/>
              </w:rPr>
            </w:pPr>
            <w:r>
              <w:rPr>
                <w:rFonts w:ascii="宋体"/>
                <w:sz w:val="21"/>
              </w:rPr>
              <w:t>14.63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w w:val="100"/>
                <w:sz w:val="21"/>
              </w:rPr>
              <w:t> </w:t>
            </w:r>
          </w:p>
        </w:tc>
      </w:tr>
      <w:tr>
        <w:trPr>
          <w:trHeight w:val="322" w:hRule="exact"/>
        </w:trPr>
        <w:tc>
          <w:tcPr>
            <w:tcW w:w="1640" w:type="dxa"/>
            <w:vMerge/>
            <w:tcBorders>
              <w:left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9,807,860.80</w:t>
            </w:r>
            <w:r>
              <w:rPr>
                <w:rFonts w:ascii="宋体"/>
                <w:sz w:val="21"/>
              </w:rPr>
              <w:t> </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2.23</w:t>
            </w:r>
            <w:r>
              <w:rPr>
                <w:rFonts w:ascii="宋体"/>
                <w:sz w:val="21"/>
              </w:rPr>
              <w:t> </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9,329,149.26</w:t>
            </w:r>
            <w:r>
              <w:rPr>
                <w:rFonts w:ascii="宋体"/>
                <w:sz w:val="21"/>
              </w:rPr>
              <w:t> </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58" w:right="-3"/>
              <w:jc w:val="left"/>
              <w:rPr>
                <w:rFonts w:ascii="宋体" w:hAnsi="宋体" w:cs="宋体" w:eastAsia="宋体" w:hint="default"/>
                <w:sz w:val="21"/>
                <w:szCs w:val="21"/>
              </w:rPr>
            </w:pPr>
            <w:r>
              <w:rPr>
                <w:rFonts w:ascii="宋体"/>
                <w:sz w:val="21"/>
              </w:rPr>
              <w:t>2.37 </w:t>
            </w:r>
          </w:p>
        </w:tc>
        <w:tc>
          <w:tcPr>
            <w:tcW w:w="13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859" w:right="-3"/>
              <w:jc w:val="left"/>
              <w:rPr>
                <w:rFonts w:ascii="宋体" w:hAnsi="宋体" w:cs="宋体" w:eastAsia="宋体" w:hint="default"/>
                <w:sz w:val="21"/>
                <w:szCs w:val="21"/>
              </w:rPr>
            </w:pPr>
            <w:r>
              <w:rPr>
                <w:rFonts w:ascii="宋体"/>
                <w:sz w:val="21"/>
              </w:rPr>
              <w:t>5.13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w w:val="100"/>
                <w:sz w:val="21"/>
              </w:rPr>
              <w:t> </w:t>
            </w:r>
          </w:p>
        </w:tc>
      </w:tr>
      <w:tr>
        <w:trPr>
          <w:trHeight w:val="322" w:hRule="exact"/>
        </w:trPr>
        <w:tc>
          <w:tcPr>
            <w:tcW w:w="1640" w:type="dxa"/>
            <w:vMerge/>
            <w:tcBorders>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小计</w:t>
            </w:r>
            <w:r>
              <w:rPr>
                <w:rFonts w:ascii="宋体" w:hAnsi="宋体" w:cs="宋体" w:eastAsia="宋体" w:hint="default"/>
                <w:sz w:val="21"/>
                <w:szCs w:val="21"/>
              </w:rPr>
              <w:t> </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440,312,144.55</w:t>
            </w:r>
            <w:r>
              <w:rPr>
                <w:rFonts w:ascii="宋体"/>
                <w:sz w:val="21"/>
              </w:rPr>
              <w:t> </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100.00</w:t>
            </w:r>
            <w:r>
              <w:rPr>
                <w:rFonts w:ascii="宋体"/>
                <w:sz w:val="21"/>
              </w:rPr>
              <w:t> </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394,358,151.25</w:t>
            </w:r>
            <w:r>
              <w:rPr>
                <w:rFonts w:ascii="宋体"/>
                <w:sz w:val="21"/>
              </w:rPr>
              <w:t> </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7" w:right="-3"/>
              <w:jc w:val="left"/>
              <w:rPr>
                <w:rFonts w:ascii="宋体" w:hAnsi="宋体" w:cs="宋体" w:eastAsia="宋体" w:hint="default"/>
                <w:sz w:val="21"/>
                <w:szCs w:val="21"/>
              </w:rPr>
            </w:pPr>
            <w:r>
              <w:rPr>
                <w:rFonts w:ascii="宋体"/>
                <w:sz w:val="21"/>
              </w:rPr>
              <w:t>100.00 </w:t>
            </w:r>
          </w:p>
        </w:tc>
        <w:tc>
          <w:tcPr>
            <w:tcW w:w="13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53" w:right="-3"/>
              <w:jc w:val="left"/>
              <w:rPr>
                <w:rFonts w:ascii="宋体" w:hAnsi="宋体" w:cs="宋体" w:eastAsia="宋体" w:hint="default"/>
                <w:sz w:val="21"/>
                <w:szCs w:val="21"/>
              </w:rPr>
            </w:pPr>
            <w:r>
              <w:rPr>
                <w:rFonts w:ascii="宋体"/>
                <w:sz w:val="21"/>
              </w:rPr>
              <w:t>11.65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w w:val="100"/>
                <w:sz w:val="21"/>
              </w:rPr>
              <w:t> </w:t>
            </w:r>
          </w:p>
        </w:tc>
      </w:tr>
      <w:tr>
        <w:trPr>
          <w:trHeight w:val="322" w:hRule="exact"/>
        </w:trPr>
        <w:tc>
          <w:tcPr>
            <w:tcW w:w="1640"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6"/>
                <w:szCs w:val="26"/>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其它产品</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直接材料</w:t>
            </w:r>
            <w:r>
              <w:rPr>
                <w:rFonts w:ascii="宋体" w:hAnsi="宋体" w:cs="宋体" w:eastAsia="宋体" w:hint="default"/>
                <w:sz w:val="21"/>
                <w:szCs w:val="21"/>
              </w:rPr>
              <w:t> </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284,739,353.89</w:t>
            </w:r>
            <w:r>
              <w:rPr>
                <w:rFonts w:ascii="宋体"/>
                <w:sz w:val="21"/>
              </w:rPr>
              <w:t> </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82.71</w:t>
            </w:r>
            <w:r>
              <w:rPr>
                <w:rFonts w:ascii="宋体"/>
                <w:sz w:val="21"/>
              </w:rPr>
              <w:t> </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195,071,916.00</w:t>
            </w:r>
            <w:r>
              <w:rPr>
                <w:rFonts w:ascii="宋体"/>
                <w:sz w:val="21"/>
              </w:rPr>
              <w:t> </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52" w:right="-3"/>
              <w:jc w:val="left"/>
              <w:rPr>
                <w:rFonts w:ascii="宋体" w:hAnsi="宋体" w:cs="宋体" w:eastAsia="宋体" w:hint="default"/>
                <w:sz w:val="21"/>
                <w:szCs w:val="21"/>
              </w:rPr>
            </w:pPr>
            <w:r>
              <w:rPr>
                <w:rFonts w:ascii="宋体"/>
                <w:sz w:val="21"/>
              </w:rPr>
              <w:t>94.52 </w:t>
            </w:r>
          </w:p>
        </w:tc>
        <w:tc>
          <w:tcPr>
            <w:tcW w:w="13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53" w:right="-3"/>
              <w:jc w:val="left"/>
              <w:rPr>
                <w:rFonts w:ascii="宋体" w:hAnsi="宋体" w:cs="宋体" w:eastAsia="宋体" w:hint="default"/>
                <w:sz w:val="21"/>
                <w:szCs w:val="21"/>
              </w:rPr>
            </w:pPr>
            <w:r>
              <w:rPr>
                <w:rFonts w:ascii="宋体"/>
                <w:sz w:val="21"/>
              </w:rPr>
              <w:t>45.97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w w:val="100"/>
                <w:sz w:val="21"/>
              </w:rPr>
              <w:t> </w:t>
            </w:r>
          </w:p>
        </w:tc>
      </w:tr>
      <w:tr>
        <w:trPr>
          <w:trHeight w:val="322" w:hRule="exact"/>
        </w:trPr>
        <w:tc>
          <w:tcPr>
            <w:tcW w:w="1640" w:type="dxa"/>
            <w:vMerge/>
            <w:tcBorders>
              <w:left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直接人工</w:t>
            </w:r>
            <w:r>
              <w:rPr>
                <w:rFonts w:ascii="宋体" w:hAnsi="宋体" w:cs="宋体" w:eastAsia="宋体" w:hint="default"/>
                <w:sz w:val="21"/>
                <w:szCs w:val="21"/>
              </w:rPr>
              <w:t> </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18,849,573.05</w:t>
            </w:r>
            <w:r>
              <w:rPr>
                <w:rFonts w:ascii="宋体"/>
                <w:sz w:val="21"/>
              </w:rPr>
              <w:t> </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5.48</w:t>
            </w:r>
            <w:r>
              <w:rPr>
                <w:rFonts w:ascii="宋体"/>
                <w:sz w:val="21"/>
              </w:rPr>
              <w:t> </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4,848,287.56</w:t>
            </w:r>
            <w:r>
              <w:rPr>
                <w:rFonts w:ascii="宋体"/>
                <w:sz w:val="21"/>
              </w:rPr>
              <w:t> </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58" w:right="-3"/>
              <w:jc w:val="left"/>
              <w:rPr>
                <w:rFonts w:ascii="宋体" w:hAnsi="宋体" w:cs="宋体" w:eastAsia="宋体" w:hint="default"/>
                <w:sz w:val="21"/>
                <w:szCs w:val="21"/>
              </w:rPr>
            </w:pPr>
            <w:r>
              <w:rPr>
                <w:rFonts w:ascii="宋体"/>
                <w:sz w:val="21"/>
              </w:rPr>
              <w:t>2.35 </w:t>
            </w:r>
          </w:p>
        </w:tc>
        <w:tc>
          <w:tcPr>
            <w:tcW w:w="13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647" w:right="-3"/>
              <w:jc w:val="left"/>
              <w:rPr>
                <w:rFonts w:ascii="宋体" w:hAnsi="宋体" w:cs="宋体" w:eastAsia="宋体" w:hint="default"/>
                <w:sz w:val="21"/>
                <w:szCs w:val="21"/>
              </w:rPr>
            </w:pPr>
            <w:r>
              <w:rPr>
                <w:rFonts w:ascii="宋体"/>
                <w:sz w:val="21"/>
              </w:rPr>
              <w:t>288.79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w w:val="100"/>
                <w:sz w:val="21"/>
              </w:rPr>
              <w:t> </w:t>
            </w:r>
          </w:p>
        </w:tc>
      </w:tr>
      <w:tr>
        <w:trPr>
          <w:trHeight w:val="324" w:hRule="exact"/>
        </w:trPr>
        <w:tc>
          <w:tcPr>
            <w:tcW w:w="1640" w:type="dxa"/>
            <w:vMerge/>
            <w:tcBorders>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制造费用</w:t>
            </w:r>
            <w:r>
              <w:rPr>
                <w:rFonts w:ascii="宋体" w:hAnsi="宋体" w:cs="宋体" w:eastAsia="宋体" w:hint="default"/>
                <w:sz w:val="21"/>
                <w:szCs w:val="21"/>
              </w:rPr>
              <w:t> </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spacing w:val="-1"/>
                <w:sz w:val="21"/>
              </w:rPr>
              <w:t>7,759,629.58</w:t>
            </w:r>
            <w:r>
              <w:rPr>
                <w:rFonts w:ascii="宋体"/>
                <w:sz w:val="21"/>
              </w:rPr>
              <w:t> </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spacing w:val="-1"/>
                <w:sz w:val="21"/>
              </w:rPr>
              <w:t>2.25</w:t>
            </w:r>
            <w:r>
              <w:rPr>
                <w:rFonts w:ascii="宋体"/>
                <w:sz w:val="21"/>
              </w:rPr>
              <w:t> </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spacing w:val="-1"/>
                <w:sz w:val="21"/>
              </w:rPr>
              <w:t>6,471,264.58</w:t>
            </w:r>
            <w:r>
              <w:rPr>
                <w:rFonts w:ascii="宋体"/>
                <w:sz w:val="21"/>
              </w:rPr>
              <w:t> </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458" w:right="-3"/>
              <w:jc w:val="left"/>
              <w:rPr>
                <w:rFonts w:ascii="宋体" w:hAnsi="宋体" w:cs="宋体" w:eastAsia="宋体" w:hint="default"/>
                <w:sz w:val="21"/>
                <w:szCs w:val="21"/>
              </w:rPr>
            </w:pPr>
            <w:r>
              <w:rPr>
                <w:rFonts w:ascii="宋体"/>
                <w:sz w:val="21"/>
              </w:rPr>
              <w:t>3.14 </w:t>
            </w:r>
          </w:p>
        </w:tc>
        <w:tc>
          <w:tcPr>
            <w:tcW w:w="13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753" w:right="-3"/>
              <w:jc w:val="left"/>
              <w:rPr>
                <w:rFonts w:ascii="宋体" w:hAnsi="宋体" w:cs="宋体" w:eastAsia="宋体" w:hint="default"/>
                <w:sz w:val="21"/>
                <w:szCs w:val="21"/>
              </w:rPr>
            </w:pPr>
            <w:r>
              <w:rPr>
                <w:rFonts w:ascii="宋体"/>
                <w:sz w:val="21"/>
              </w:rPr>
              <w:t>19.91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w w:val="100"/>
                <w:sz w:val="21"/>
              </w:rPr>
              <w:t> </w:t>
            </w:r>
          </w:p>
        </w:tc>
      </w:tr>
    </w:tbl>
    <w:p>
      <w:pPr>
        <w:spacing w:after="0" w:line="265" w:lineRule="exact"/>
        <w:jc w:val="left"/>
        <w:rPr>
          <w:rFonts w:ascii="宋体" w:hAnsi="宋体" w:cs="宋体" w:eastAsia="宋体" w:hint="default"/>
          <w:sz w:val="21"/>
          <w:szCs w:val="21"/>
        </w:rPr>
        <w:sectPr>
          <w:pgSz w:w="11910" w:h="16840"/>
          <w:pgMar w:header="748" w:footer="974" w:top="1140" w:bottom="1160" w:left="400" w:right="400"/>
        </w:sectPr>
      </w:pPr>
    </w:p>
    <w:p>
      <w:pPr>
        <w:spacing w:line="240" w:lineRule="auto" w:before="0"/>
        <w:rPr>
          <w:rFonts w:ascii="Times New Roman" w:hAnsi="Times New Roman" w:cs="Times New Roman" w:eastAsia="Times New Roman" w:hint="default"/>
          <w:sz w:val="26"/>
          <w:szCs w:val="26"/>
        </w:rPr>
      </w:pPr>
    </w:p>
    <w:tbl>
      <w:tblPr>
        <w:tblW w:w="0" w:type="auto"/>
        <w:jc w:val="left"/>
        <w:tblInd w:w="113" w:type="dxa"/>
        <w:tblLayout w:type="fixed"/>
        <w:tblCellMar>
          <w:top w:w="0" w:type="dxa"/>
          <w:left w:w="0" w:type="dxa"/>
          <w:bottom w:w="0" w:type="dxa"/>
          <w:right w:w="0" w:type="dxa"/>
        </w:tblCellMar>
        <w:tblLook w:val="01E0"/>
      </w:tblPr>
      <w:tblGrid>
        <w:gridCol w:w="1640"/>
        <w:gridCol w:w="1234"/>
        <w:gridCol w:w="1993"/>
        <w:gridCol w:w="910"/>
        <w:gridCol w:w="1992"/>
        <w:gridCol w:w="992"/>
        <w:gridCol w:w="1392"/>
        <w:gridCol w:w="720"/>
      </w:tblGrid>
      <w:tr>
        <w:trPr>
          <w:trHeight w:val="322" w:hRule="exact"/>
        </w:trPr>
        <w:tc>
          <w:tcPr>
            <w:tcW w:w="1640" w:type="dxa"/>
            <w:vMerge w:val="restart"/>
            <w:tcBorders>
              <w:top w:val="single" w:sz="4" w:space="0" w:color="000000"/>
              <w:left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外包成本</w:t>
            </w:r>
            <w:r>
              <w:rPr>
                <w:rFonts w:ascii="宋体" w:hAnsi="宋体" w:cs="宋体" w:eastAsia="宋体" w:hint="default"/>
                <w:sz w:val="21"/>
                <w:szCs w:val="21"/>
              </w:rPr>
              <w:t> </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32,905,201.73</w:t>
            </w:r>
            <w:r>
              <w:rPr>
                <w:rFonts w:ascii="宋体"/>
                <w:sz w:val="21"/>
              </w:rPr>
              <w:t> </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9.56</w:t>
            </w:r>
            <w:r>
              <w:rPr>
                <w:rFonts w:ascii="宋体"/>
                <w:sz w:val="21"/>
              </w:rPr>
              <w:t> </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w w:val="100"/>
                <w:sz w:val="21"/>
              </w:rPr>
              <w:t> </w:t>
            </w:r>
          </w:p>
        </w:tc>
      </w:tr>
      <w:tr>
        <w:trPr>
          <w:trHeight w:val="322" w:hRule="exact"/>
        </w:trPr>
        <w:tc>
          <w:tcPr>
            <w:tcW w:w="1640" w:type="dxa"/>
            <w:vMerge/>
            <w:tcBorders>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小计</w:t>
            </w:r>
            <w:r>
              <w:rPr>
                <w:rFonts w:ascii="宋体" w:hAnsi="宋体" w:cs="宋体" w:eastAsia="宋体" w:hint="default"/>
                <w:sz w:val="21"/>
                <w:szCs w:val="21"/>
              </w:rPr>
              <w:t> </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344,253,758.25</w:t>
            </w:r>
            <w:r>
              <w:rPr>
                <w:rFonts w:ascii="宋体"/>
                <w:sz w:val="21"/>
              </w:rPr>
              <w:t> </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100.00</w:t>
            </w:r>
            <w:r>
              <w:rPr>
                <w:rFonts w:ascii="宋体"/>
                <w:sz w:val="21"/>
              </w:rPr>
              <w:t> </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207,031,010.06</w:t>
            </w:r>
            <w:r>
              <w:rPr>
                <w:rFonts w:ascii="宋体"/>
                <w:sz w:val="21"/>
              </w:rPr>
              <w:t>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100.00</w:t>
            </w:r>
            <w:r>
              <w:rPr>
                <w:rFonts w:ascii="宋体"/>
                <w:sz w:val="21"/>
              </w:rPr>
              <w:t> </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66.80</w:t>
            </w:r>
            <w:r>
              <w:rPr>
                <w:rFonts w:ascii="宋体"/>
                <w:sz w:val="21"/>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w w:val="100"/>
                <w:sz w:val="21"/>
              </w:rPr>
              <w:t> </w:t>
            </w:r>
          </w:p>
        </w:tc>
      </w:tr>
      <w:tr>
        <w:trPr>
          <w:trHeight w:val="324" w:hRule="exact"/>
        </w:trPr>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1,783,264,236.97</w:t>
            </w:r>
            <w:r>
              <w:rPr>
                <w:rFonts w:ascii="宋体"/>
                <w:sz w:val="21"/>
              </w:rPr>
              <w:t> </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2,457,990,989.78</w:t>
            </w:r>
            <w:r>
              <w:rPr>
                <w:rFonts w:ascii="宋体"/>
                <w:sz w:val="21"/>
              </w:rPr>
              <w:t>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w w:val="100"/>
                <w:sz w:val="21"/>
              </w:rPr>
              <w:t> </w:t>
            </w:r>
          </w:p>
        </w:tc>
      </w:tr>
    </w:tbl>
    <w:p>
      <w:pPr>
        <w:pStyle w:val="BodyText"/>
        <w:spacing w:line="262" w:lineRule="exact"/>
        <w:ind w:left="1018" w:right="0"/>
        <w:jc w:val="left"/>
        <w:rPr>
          <w:rFonts w:ascii="宋体" w:hAnsi="宋体" w:cs="宋体" w:eastAsia="宋体" w:hint="default"/>
        </w:rPr>
      </w:pPr>
      <w:r>
        <w:rPr>
          <w:rFonts w:ascii="宋体"/>
          <w:w w:val="100"/>
        </w:rPr>
        <w:t> </w:t>
      </w:r>
    </w:p>
    <w:p>
      <w:pPr>
        <w:pStyle w:val="Heading3"/>
        <w:spacing w:line="240" w:lineRule="auto"/>
        <w:ind w:left="1018" w:right="0"/>
        <w:jc w:val="left"/>
        <w:rPr>
          <w:b w:val="0"/>
          <w:bCs w:val="0"/>
        </w:rPr>
      </w:pPr>
      <w:r>
        <w:rPr>
          <w:rFonts w:ascii="宋体" w:hAnsi="宋体" w:cs="宋体" w:eastAsia="宋体" w:hint="default"/>
        </w:rPr>
        <w:t>(4).</w:t>
      </w:r>
      <w:r>
        <w:rPr>
          <w:rFonts w:ascii="宋体" w:hAnsi="宋体" w:cs="宋体" w:eastAsia="宋体" w:hint="default"/>
          <w:spacing w:val="36"/>
        </w:rPr>
        <w:t> </w:t>
      </w:r>
      <w:r>
        <w:rPr/>
        <w:t>主要销售客户及主要供应商情况</w:t>
      </w:r>
      <w:r>
        <w:rPr>
          <w:b w:val="0"/>
          <w:bCs w:val="0"/>
        </w:rPr>
      </w:r>
    </w:p>
    <w:p>
      <w:pPr>
        <w:pStyle w:val="BodyText"/>
        <w:spacing w:line="240" w:lineRule="auto" w:before="97"/>
        <w:ind w:left="1018"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auto" w:before="37"/>
        <w:ind w:left="1018" w:right="1009"/>
        <w:jc w:val="left"/>
        <w:rPr>
          <w:rFonts w:ascii="宋体" w:hAnsi="宋体" w:cs="宋体" w:eastAsia="宋体" w:hint="default"/>
        </w:rPr>
      </w:pPr>
      <w:r>
        <w:rPr/>
        <w:t>前五名客户销售额</w:t>
      </w:r>
      <w:r>
        <w:rPr>
          <w:spacing w:val="-52"/>
        </w:rPr>
        <w:t> </w:t>
      </w:r>
      <w:r>
        <w:rPr>
          <w:rFonts w:ascii="宋体" w:hAnsi="宋体" w:cs="宋体" w:eastAsia="宋体" w:hint="default"/>
        </w:rPr>
        <w:t>62,728.45</w:t>
      </w:r>
      <w:r>
        <w:rPr>
          <w:rFonts w:ascii="宋体" w:hAnsi="宋体" w:cs="宋体" w:eastAsia="宋体" w:hint="default"/>
          <w:spacing w:val="-51"/>
        </w:rPr>
        <w:t> </w:t>
      </w:r>
      <w:r>
        <w:rPr>
          <w:spacing w:val="-3"/>
        </w:rPr>
        <w:t>万元，占年度销售总额</w:t>
      </w:r>
      <w:r>
        <w:rPr>
          <w:spacing w:val="-52"/>
        </w:rPr>
        <w:t> </w:t>
      </w:r>
      <w:r>
        <w:rPr>
          <w:rFonts w:ascii="宋体" w:hAnsi="宋体" w:cs="宋体" w:eastAsia="宋体" w:hint="default"/>
        </w:rPr>
        <w:t>18.67%</w:t>
      </w:r>
      <w:r>
        <w:rPr/>
        <w:t>；其中前五名客户销售额中关联方销售</w:t>
      </w:r>
      <w:r>
        <w:rPr>
          <w:w w:val="100"/>
        </w:rPr>
        <w:t> </w:t>
      </w:r>
      <w:r>
        <w:rPr/>
        <w:t>额</w:t>
      </w:r>
      <w:r>
        <w:rPr>
          <w:spacing w:val="-55"/>
        </w:rPr>
        <w:t> </w:t>
      </w:r>
      <w:r>
        <w:rPr>
          <w:rFonts w:ascii="宋体" w:hAnsi="宋体" w:cs="宋体" w:eastAsia="宋体" w:hint="default"/>
        </w:rPr>
        <w:t>0</w:t>
      </w:r>
      <w:r>
        <w:rPr>
          <w:rFonts w:ascii="宋体" w:hAnsi="宋体" w:cs="宋体" w:eastAsia="宋体" w:hint="default"/>
          <w:spacing w:val="-55"/>
        </w:rPr>
        <w:t> </w:t>
      </w:r>
      <w:r>
        <w:rPr/>
        <w:t>万元，占年度销售总额</w:t>
      </w:r>
      <w:r>
        <w:rPr>
          <w:spacing w:val="-54"/>
        </w:rPr>
        <w:t> </w:t>
      </w:r>
      <w:r>
        <w:rPr>
          <w:rFonts w:ascii="宋体" w:hAnsi="宋体" w:cs="宋体" w:eastAsia="宋体" w:hint="default"/>
        </w:rPr>
        <w:t>0%</w:t>
      </w:r>
      <w:r>
        <w:rPr/>
        <w:t>。</w:t>
      </w:r>
      <w:r>
        <w:rPr>
          <w:rFonts w:ascii="宋体" w:hAnsi="宋体" w:cs="宋体" w:eastAsia="宋体" w:hint="default"/>
        </w:rPr>
        <w:t> </w:t>
      </w:r>
    </w:p>
    <w:p>
      <w:pPr>
        <w:pStyle w:val="BodyText"/>
        <w:spacing w:line="240" w:lineRule="auto" w:before="7"/>
        <w:ind w:left="1018" w:right="0"/>
        <w:jc w:val="left"/>
        <w:rPr>
          <w:rFonts w:ascii="宋体" w:hAnsi="宋体" w:cs="宋体" w:eastAsia="宋体" w:hint="default"/>
        </w:rPr>
      </w:pPr>
      <w:r>
        <w:rPr>
          <w:rFonts w:ascii="宋体"/>
          <w:w w:val="100"/>
        </w:rPr>
        <w:t> </w:t>
      </w:r>
    </w:p>
    <w:p>
      <w:pPr>
        <w:pStyle w:val="BodyText"/>
        <w:spacing w:line="273" w:lineRule="auto" w:before="37"/>
        <w:ind w:left="1018" w:right="1009"/>
        <w:jc w:val="left"/>
        <w:rPr>
          <w:rFonts w:ascii="宋体" w:hAnsi="宋体" w:cs="宋体" w:eastAsia="宋体" w:hint="default"/>
        </w:rPr>
      </w:pPr>
      <w:r>
        <w:rPr/>
        <w:t>前五名供应商采购额</w:t>
      </w:r>
      <w:r>
        <w:rPr>
          <w:spacing w:val="-60"/>
        </w:rPr>
        <w:t> </w:t>
      </w:r>
      <w:r>
        <w:rPr>
          <w:rFonts w:ascii="宋体" w:hAnsi="宋体" w:cs="宋体" w:eastAsia="宋体" w:hint="default"/>
        </w:rPr>
        <w:t>53,613.60</w:t>
      </w:r>
      <w:r>
        <w:rPr>
          <w:rFonts w:ascii="宋体" w:hAnsi="宋体" w:cs="宋体" w:eastAsia="宋体" w:hint="default"/>
          <w:spacing w:val="-61"/>
        </w:rPr>
        <w:t> </w:t>
      </w:r>
      <w:r>
        <w:rPr/>
        <w:t>万元，占年度采购总额</w:t>
      </w:r>
      <w:r>
        <w:rPr>
          <w:spacing w:val="-60"/>
        </w:rPr>
        <w:t> </w:t>
      </w:r>
      <w:r>
        <w:rPr>
          <w:rFonts w:ascii="宋体" w:hAnsi="宋体" w:cs="宋体" w:eastAsia="宋体" w:hint="default"/>
        </w:rPr>
        <w:t>25.42%</w:t>
      </w:r>
      <w:r>
        <w:rPr/>
        <w:t>；其中前五名供应商采购额中关联方</w:t>
      </w:r>
      <w:r>
        <w:rPr>
          <w:w w:val="100"/>
        </w:rPr>
        <w:t> </w:t>
      </w:r>
      <w:r>
        <w:rPr/>
        <w:t>采购额</w:t>
      </w:r>
      <w:r>
        <w:rPr>
          <w:spacing w:val="-55"/>
        </w:rPr>
        <w:t> </w:t>
      </w:r>
      <w:r>
        <w:rPr>
          <w:rFonts w:ascii="宋体" w:hAnsi="宋体" w:cs="宋体" w:eastAsia="宋体" w:hint="default"/>
        </w:rPr>
        <w:t>0</w:t>
      </w:r>
      <w:r>
        <w:rPr>
          <w:rFonts w:ascii="宋体" w:hAnsi="宋体" w:cs="宋体" w:eastAsia="宋体" w:hint="default"/>
          <w:spacing w:val="-55"/>
        </w:rPr>
        <w:t> </w:t>
      </w:r>
      <w:r>
        <w:rPr/>
        <w:t>万元，占年度采购总额</w:t>
      </w:r>
      <w:r>
        <w:rPr>
          <w:spacing w:val="-54"/>
        </w:rPr>
        <w:t> </w:t>
      </w:r>
      <w:r>
        <w:rPr>
          <w:rFonts w:ascii="宋体" w:hAnsi="宋体" w:cs="宋体" w:eastAsia="宋体" w:hint="default"/>
        </w:rPr>
        <w:t>0%</w:t>
      </w:r>
      <w:r>
        <w:rPr/>
        <w:t>。</w:t>
      </w:r>
      <w:r>
        <w:rPr>
          <w:rFonts w:ascii="宋体" w:hAnsi="宋体" w:cs="宋体" w:eastAsia="宋体" w:hint="default"/>
        </w:rPr>
        <w:t> </w:t>
      </w:r>
    </w:p>
    <w:p>
      <w:pPr>
        <w:pStyle w:val="BodyText"/>
        <w:spacing w:line="240" w:lineRule="auto" w:before="8"/>
        <w:ind w:left="1018" w:right="0"/>
        <w:jc w:val="left"/>
        <w:rPr>
          <w:rFonts w:ascii="宋体" w:hAnsi="宋体" w:cs="宋体" w:eastAsia="宋体" w:hint="default"/>
        </w:rPr>
      </w:pPr>
      <w:r>
        <w:rPr>
          <w:rFonts w:ascii="宋体"/>
          <w:w w:val="100"/>
        </w:rPr>
        <w:t> </w:t>
      </w:r>
    </w:p>
    <w:p>
      <w:pPr>
        <w:pStyle w:val="Heading3"/>
        <w:tabs>
          <w:tab w:pos="1438" w:val="left" w:leader="none"/>
        </w:tabs>
        <w:spacing w:line="240" w:lineRule="auto"/>
        <w:ind w:left="1018" w:right="0"/>
        <w:jc w:val="left"/>
        <w:rPr>
          <w:rFonts w:ascii="宋体" w:hAnsi="宋体" w:cs="宋体" w:eastAsia="宋体" w:hint="default"/>
          <w:b w:val="0"/>
          <w:bCs w:val="0"/>
        </w:rPr>
      </w:pPr>
      <w:r>
        <w:rPr>
          <w:rFonts w:ascii="宋体" w:hAnsi="宋体" w:cs="宋体" w:eastAsia="宋体" w:hint="default"/>
          <w:w w:val="95"/>
        </w:rPr>
        <w:t>3.</w:t>
        <w:tab/>
      </w:r>
      <w:r>
        <w:rPr/>
        <w:t>费用</w:t>
      </w:r>
      <w:r>
        <w:rPr>
          <w:rFonts w:ascii="宋体" w:hAnsi="宋体" w:cs="宋体" w:eastAsia="宋体" w:hint="default"/>
          <w:w w:val="99"/>
        </w:rPr>
        <w:t> </w:t>
      </w:r>
      <w:r>
        <w:rPr>
          <w:rFonts w:ascii="宋体" w:hAnsi="宋体" w:cs="宋体" w:eastAsia="宋体" w:hint="default"/>
          <w:b w:val="0"/>
          <w:bCs w:val="0"/>
        </w:rPr>
      </w:r>
    </w:p>
    <w:p>
      <w:pPr>
        <w:pStyle w:val="Heading2"/>
        <w:spacing w:line="240" w:lineRule="auto" w:before="69"/>
        <w:ind w:left="1018"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BodyText"/>
        <w:spacing w:line="240" w:lineRule="auto" w:before="25"/>
        <w:ind w:left="1018" w:right="0"/>
        <w:jc w:val="left"/>
        <w:rPr>
          <w:rFonts w:ascii="宋体" w:hAnsi="宋体" w:cs="宋体" w:eastAsia="宋体" w:hint="default"/>
        </w:rPr>
      </w:pPr>
      <w:r>
        <w:rPr>
          <w:rFonts w:ascii="宋体"/>
          <w:w w:val="100"/>
        </w:rPr>
        <w:t> </w:t>
      </w:r>
    </w:p>
    <w:p>
      <w:pPr>
        <w:spacing w:line="240" w:lineRule="auto" w:before="10"/>
        <w:rPr>
          <w:rFonts w:ascii="宋体" w:hAnsi="宋体" w:cs="宋体" w:eastAsia="宋体" w:hint="default"/>
          <w:sz w:val="3"/>
          <w:szCs w:val="3"/>
        </w:rPr>
      </w:pPr>
    </w:p>
    <w:tbl>
      <w:tblPr>
        <w:tblW w:w="0" w:type="auto"/>
        <w:jc w:val="left"/>
        <w:tblInd w:w="1170" w:type="dxa"/>
        <w:tblLayout w:type="fixed"/>
        <w:tblCellMar>
          <w:top w:w="0" w:type="dxa"/>
          <w:left w:w="0" w:type="dxa"/>
          <w:bottom w:w="0" w:type="dxa"/>
          <w:right w:w="0" w:type="dxa"/>
        </w:tblCellMar>
        <w:tblLook w:val="01E0"/>
      </w:tblPr>
      <w:tblGrid>
        <w:gridCol w:w="1174"/>
        <w:gridCol w:w="1477"/>
        <w:gridCol w:w="1476"/>
        <w:gridCol w:w="1268"/>
        <w:gridCol w:w="3365"/>
      </w:tblGrid>
      <w:tr>
        <w:trPr>
          <w:trHeight w:val="535" w:hRule="exact"/>
        </w:trPr>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0"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center"/>
              <w:rPr>
                <w:rFonts w:ascii="宋体" w:hAnsi="宋体" w:cs="宋体" w:eastAsia="宋体" w:hint="default"/>
                <w:sz w:val="21"/>
                <w:szCs w:val="21"/>
              </w:rPr>
            </w:pPr>
            <w:r>
              <w:rPr>
                <w:rFonts w:ascii="宋体" w:hAnsi="宋体" w:cs="宋体" w:eastAsia="宋体" w:hint="default"/>
                <w:sz w:val="21"/>
                <w:szCs w:val="21"/>
              </w:rPr>
              <w:t>本期金额</w:t>
            </w:r>
            <w:r>
              <w:rPr>
                <w:rFonts w:ascii="宋体" w:hAnsi="宋体" w:cs="宋体" w:eastAsia="宋体" w:hint="default"/>
                <w:sz w:val="21"/>
                <w:szCs w:val="21"/>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center"/>
              <w:rPr>
                <w:rFonts w:ascii="宋体" w:hAnsi="宋体" w:cs="宋体" w:eastAsia="宋体" w:hint="default"/>
                <w:sz w:val="21"/>
                <w:szCs w:val="21"/>
              </w:rPr>
            </w:pPr>
            <w:r>
              <w:rPr>
                <w:rFonts w:ascii="宋体" w:hAnsi="宋体" w:cs="宋体" w:eastAsia="宋体" w:hint="default"/>
                <w:sz w:val="21"/>
                <w:szCs w:val="21"/>
              </w:rPr>
              <w:t>上期金额</w:t>
            </w:r>
            <w:r>
              <w:rPr>
                <w:rFonts w:ascii="宋体" w:hAnsi="宋体" w:cs="宋体" w:eastAsia="宋体" w:hint="default"/>
                <w:sz w:val="21"/>
                <w:szCs w:val="21"/>
              </w:rPr>
              <w:t> </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
              <w:jc w:val="right"/>
              <w:rPr>
                <w:rFonts w:ascii="宋体" w:hAnsi="宋体" w:cs="宋体" w:eastAsia="宋体" w:hint="default"/>
                <w:sz w:val="21"/>
                <w:szCs w:val="21"/>
              </w:rPr>
            </w:pPr>
            <w:r>
              <w:rPr>
                <w:rFonts w:ascii="宋体" w:hAnsi="宋体" w:cs="宋体" w:eastAsia="宋体" w:hint="default"/>
                <w:spacing w:val="-2"/>
                <w:sz w:val="21"/>
                <w:szCs w:val="21"/>
              </w:rPr>
              <w:t>同期增减率</w:t>
            </w:r>
            <w:r>
              <w:rPr>
                <w:rFonts w:ascii="宋体" w:hAnsi="宋体" w:cs="宋体" w:eastAsia="宋体" w:hint="default"/>
                <w:sz w:val="21"/>
                <w:szCs w:val="21"/>
              </w:rPr>
              <w:t> </w:t>
            </w:r>
          </w:p>
        </w:tc>
        <w:tc>
          <w:tcPr>
            <w:tcW w:w="3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0" w:right="0"/>
              <w:jc w:val="center"/>
              <w:rPr>
                <w:rFonts w:ascii="宋体" w:hAnsi="宋体" w:cs="宋体" w:eastAsia="宋体" w:hint="default"/>
                <w:sz w:val="21"/>
                <w:szCs w:val="21"/>
              </w:rPr>
            </w:pPr>
            <w:r>
              <w:rPr>
                <w:rFonts w:ascii="宋体" w:hAnsi="宋体" w:cs="宋体" w:eastAsia="宋体" w:hint="default"/>
                <w:sz w:val="21"/>
                <w:szCs w:val="21"/>
              </w:rPr>
              <w:t>变动原因</w:t>
            </w:r>
            <w:r>
              <w:rPr>
                <w:rFonts w:ascii="宋体" w:hAnsi="宋体" w:cs="宋体" w:eastAsia="宋体" w:hint="default"/>
                <w:sz w:val="21"/>
                <w:szCs w:val="21"/>
              </w:rPr>
              <w:t> </w:t>
            </w:r>
          </w:p>
        </w:tc>
      </w:tr>
      <w:tr>
        <w:trPr>
          <w:trHeight w:val="322" w:hRule="exact"/>
        </w:trPr>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center"/>
              <w:rPr>
                <w:rFonts w:ascii="宋体" w:hAnsi="宋体" w:cs="宋体" w:eastAsia="宋体" w:hint="default"/>
                <w:sz w:val="21"/>
                <w:szCs w:val="21"/>
              </w:rPr>
            </w:pPr>
            <w:r>
              <w:rPr>
                <w:rFonts w:ascii="宋体" w:hAnsi="宋体" w:cs="宋体" w:eastAsia="宋体" w:hint="default"/>
                <w:sz w:val="21"/>
                <w:szCs w:val="21"/>
              </w:rPr>
              <w:t>销售费用</w:t>
            </w:r>
            <w:r>
              <w:rPr>
                <w:rFonts w:ascii="宋体" w:hAnsi="宋体" w:cs="宋体" w:eastAsia="宋体" w:hint="default"/>
                <w:sz w:val="21"/>
                <w:szCs w:val="21"/>
              </w:rPr>
              <w:t> </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90" w:right="0"/>
              <w:jc w:val="center"/>
              <w:rPr>
                <w:rFonts w:ascii="宋体" w:hAnsi="宋体" w:cs="宋体" w:eastAsia="宋体" w:hint="default"/>
                <w:sz w:val="18"/>
                <w:szCs w:val="18"/>
              </w:rPr>
            </w:pPr>
            <w:r>
              <w:rPr>
                <w:rFonts w:ascii="宋体"/>
                <w:sz w:val="18"/>
              </w:rPr>
              <w:t>156,872,233.79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89" w:right="0"/>
              <w:jc w:val="center"/>
              <w:rPr>
                <w:rFonts w:ascii="宋体" w:hAnsi="宋体" w:cs="宋体" w:eastAsia="宋体" w:hint="default"/>
                <w:sz w:val="18"/>
                <w:szCs w:val="18"/>
              </w:rPr>
            </w:pPr>
            <w:r>
              <w:rPr>
                <w:rFonts w:ascii="宋体"/>
                <w:sz w:val="18"/>
              </w:rPr>
              <w:t>131,967,529.98 </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pacing w:val="-1"/>
                <w:sz w:val="18"/>
              </w:rPr>
              <w:t>18.87%</w:t>
            </w:r>
            <w:r>
              <w:rPr>
                <w:rFonts w:ascii="宋体"/>
                <w:sz w:val="18"/>
              </w:rPr>
              <w:t> </w:t>
            </w:r>
          </w:p>
        </w:tc>
        <w:tc>
          <w:tcPr>
            <w:tcW w:w="336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主要系开拓海外市场所致</w:t>
            </w:r>
            <w:r>
              <w:rPr>
                <w:rFonts w:ascii="宋体" w:hAnsi="宋体" w:cs="宋体" w:eastAsia="宋体" w:hint="default"/>
                <w:sz w:val="21"/>
                <w:szCs w:val="21"/>
              </w:rPr>
              <w:t> </w:t>
            </w:r>
          </w:p>
        </w:tc>
      </w:tr>
      <w:tr>
        <w:trPr>
          <w:trHeight w:val="322" w:hRule="exact"/>
        </w:trPr>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center"/>
              <w:rPr>
                <w:rFonts w:ascii="宋体" w:hAnsi="宋体" w:cs="宋体" w:eastAsia="宋体" w:hint="default"/>
                <w:sz w:val="21"/>
                <w:szCs w:val="21"/>
              </w:rPr>
            </w:pPr>
            <w:r>
              <w:rPr>
                <w:rFonts w:ascii="宋体" w:hAnsi="宋体" w:cs="宋体" w:eastAsia="宋体" w:hint="default"/>
                <w:sz w:val="21"/>
                <w:szCs w:val="21"/>
              </w:rPr>
              <w:t>管理费用</w:t>
            </w:r>
            <w:r>
              <w:rPr>
                <w:rFonts w:ascii="宋体" w:hAnsi="宋体" w:cs="宋体" w:eastAsia="宋体" w:hint="default"/>
                <w:sz w:val="21"/>
                <w:szCs w:val="21"/>
              </w:rPr>
              <w:t> </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90" w:right="0"/>
              <w:jc w:val="center"/>
              <w:rPr>
                <w:rFonts w:ascii="宋体" w:hAnsi="宋体" w:cs="宋体" w:eastAsia="宋体" w:hint="default"/>
                <w:sz w:val="18"/>
                <w:szCs w:val="18"/>
              </w:rPr>
            </w:pPr>
            <w:r>
              <w:rPr>
                <w:rFonts w:ascii="宋体"/>
                <w:sz w:val="18"/>
              </w:rPr>
              <w:t>232,581,571.48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89" w:right="0"/>
              <w:jc w:val="center"/>
              <w:rPr>
                <w:rFonts w:ascii="宋体" w:hAnsi="宋体" w:cs="宋体" w:eastAsia="宋体" w:hint="default"/>
                <w:sz w:val="18"/>
                <w:szCs w:val="18"/>
              </w:rPr>
            </w:pPr>
            <w:r>
              <w:rPr>
                <w:rFonts w:ascii="宋体"/>
                <w:sz w:val="18"/>
              </w:rPr>
              <w:t>219,769,164.04 </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z w:val="18"/>
              </w:rPr>
              <w:t>5.83% </w:t>
            </w:r>
          </w:p>
        </w:tc>
        <w:tc>
          <w:tcPr>
            <w:tcW w:w="336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322" w:hRule="exact"/>
        </w:trPr>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center"/>
              <w:rPr>
                <w:rFonts w:ascii="宋体" w:hAnsi="宋体" w:cs="宋体" w:eastAsia="宋体" w:hint="default"/>
                <w:sz w:val="21"/>
                <w:szCs w:val="21"/>
              </w:rPr>
            </w:pPr>
            <w:r>
              <w:rPr>
                <w:rFonts w:ascii="宋体" w:hAnsi="宋体" w:cs="宋体" w:eastAsia="宋体" w:hint="default"/>
                <w:sz w:val="21"/>
                <w:szCs w:val="21"/>
              </w:rPr>
              <w:t>研发费用</w:t>
            </w:r>
            <w:r>
              <w:rPr>
                <w:rFonts w:ascii="宋体" w:hAnsi="宋体" w:cs="宋体" w:eastAsia="宋体" w:hint="default"/>
                <w:sz w:val="21"/>
                <w:szCs w:val="21"/>
              </w:rPr>
              <w:t> </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90" w:right="0"/>
              <w:jc w:val="center"/>
              <w:rPr>
                <w:rFonts w:ascii="宋体" w:hAnsi="宋体" w:cs="宋体" w:eastAsia="宋体" w:hint="default"/>
                <w:sz w:val="18"/>
                <w:szCs w:val="18"/>
              </w:rPr>
            </w:pPr>
            <w:r>
              <w:rPr>
                <w:rFonts w:ascii="宋体"/>
                <w:sz w:val="18"/>
              </w:rPr>
              <w:t>138,561,387.70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89" w:right="0"/>
              <w:jc w:val="center"/>
              <w:rPr>
                <w:rFonts w:ascii="宋体" w:hAnsi="宋体" w:cs="宋体" w:eastAsia="宋体" w:hint="default"/>
                <w:sz w:val="18"/>
                <w:szCs w:val="18"/>
              </w:rPr>
            </w:pPr>
            <w:r>
              <w:rPr>
                <w:rFonts w:ascii="宋体"/>
                <w:sz w:val="18"/>
              </w:rPr>
              <w:t>147,563,320.87 </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pacing w:val="-1"/>
                <w:sz w:val="18"/>
              </w:rPr>
              <w:t>-6.10%</w:t>
            </w:r>
            <w:r>
              <w:rPr>
                <w:rFonts w:ascii="宋体"/>
                <w:sz w:val="18"/>
              </w:rPr>
              <w:t> </w:t>
            </w:r>
          </w:p>
        </w:tc>
        <w:tc>
          <w:tcPr>
            <w:tcW w:w="336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322" w:hRule="exact"/>
        </w:trPr>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center"/>
              <w:rPr>
                <w:rFonts w:ascii="宋体" w:hAnsi="宋体" w:cs="宋体" w:eastAsia="宋体" w:hint="default"/>
                <w:sz w:val="21"/>
                <w:szCs w:val="21"/>
              </w:rPr>
            </w:pPr>
            <w:r>
              <w:rPr>
                <w:rFonts w:ascii="宋体" w:hAnsi="宋体" w:cs="宋体" w:eastAsia="宋体" w:hint="default"/>
                <w:sz w:val="21"/>
                <w:szCs w:val="21"/>
              </w:rPr>
              <w:t>财务费用</w:t>
            </w:r>
            <w:r>
              <w:rPr>
                <w:rFonts w:ascii="宋体" w:hAnsi="宋体" w:cs="宋体" w:eastAsia="宋体" w:hint="default"/>
                <w:sz w:val="21"/>
                <w:szCs w:val="21"/>
              </w:rPr>
              <w:t> </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90" w:right="0"/>
              <w:jc w:val="center"/>
              <w:rPr>
                <w:rFonts w:ascii="宋体" w:hAnsi="宋体" w:cs="宋体" w:eastAsia="宋体" w:hint="default"/>
                <w:sz w:val="18"/>
                <w:szCs w:val="18"/>
              </w:rPr>
            </w:pPr>
            <w:r>
              <w:rPr>
                <w:rFonts w:ascii="宋体"/>
                <w:sz w:val="18"/>
              </w:rPr>
              <w:t>268,679,443.97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89" w:right="0"/>
              <w:jc w:val="center"/>
              <w:rPr>
                <w:rFonts w:ascii="宋体" w:hAnsi="宋体" w:cs="宋体" w:eastAsia="宋体" w:hint="default"/>
                <w:sz w:val="18"/>
                <w:szCs w:val="18"/>
              </w:rPr>
            </w:pPr>
            <w:r>
              <w:rPr>
                <w:rFonts w:ascii="宋体"/>
                <w:sz w:val="18"/>
              </w:rPr>
              <w:t>231,245,076.56 </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pacing w:val="-1"/>
                <w:sz w:val="18"/>
              </w:rPr>
              <w:t>16.19%</w:t>
            </w:r>
            <w:r>
              <w:rPr>
                <w:rFonts w:ascii="宋体"/>
                <w:sz w:val="18"/>
              </w:rPr>
              <w:t> </w:t>
            </w:r>
          </w:p>
        </w:tc>
        <w:tc>
          <w:tcPr>
            <w:tcW w:w="336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3"/>
              <w:jc w:val="left"/>
              <w:rPr>
                <w:rFonts w:ascii="宋体" w:hAnsi="宋体" w:cs="宋体" w:eastAsia="宋体" w:hint="default"/>
                <w:sz w:val="21"/>
                <w:szCs w:val="21"/>
              </w:rPr>
            </w:pPr>
            <w:r>
              <w:rPr>
                <w:rFonts w:ascii="宋体" w:hAnsi="宋体" w:cs="宋体" w:eastAsia="宋体" w:hint="default"/>
                <w:sz w:val="21"/>
                <w:szCs w:val="21"/>
              </w:rPr>
              <w:t>主要系银行贷款利息支出增加所致</w:t>
            </w:r>
            <w:r>
              <w:rPr>
                <w:rFonts w:ascii="宋体" w:hAnsi="宋体" w:cs="宋体" w:eastAsia="宋体" w:hint="default"/>
                <w:sz w:val="21"/>
                <w:szCs w:val="21"/>
              </w:rPr>
              <w:t> </w:t>
            </w:r>
          </w:p>
        </w:tc>
      </w:tr>
    </w:tbl>
    <w:p>
      <w:pPr>
        <w:spacing w:after="0" w:line="262" w:lineRule="exact"/>
        <w:jc w:val="left"/>
        <w:rPr>
          <w:rFonts w:ascii="宋体" w:hAnsi="宋体" w:cs="宋体" w:eastAsia="宋体" w:hint="default"/>
          <w:sz w:val="21"/>
          <w:szCs w:val="21"/>
        </w:rPr>
        <w:sectPr>
          <w:pgSz w:w="11910" w:h="16840"/>
          <w:pgMar w:header="748" w:footer="974" w:top="1140" w:bottom="1160" w:left="400" w:right="400"/>
        </w:sectPr>
      </w:pPr>
    </w:p>
    <w:p>
      <w:pPr>
        <w:pStyle w:val="BodyText"/>
        <w:spacing w:line="262" w:lineRule="exact"/>
        <w:ind w:left="0" w:right="877"/>
        <w:jc w:val="center"/>
        <w:rPr>
          <w:rFonts w:ascii="宋体" w:hAnsi="宋体" w:cs="宋体" w:eastAsia="宋体" w:hint="default"/>
        </w:rPr>
      </w:pPr>
      <w:r>
        <w:rPr>
          <w:rFonts w:ascii="宋体"/>
          <w:w w:val="100"/>
        </w:rPr>
        <w:t> </w:t>
      </w:r>
    </w:p>
    <w:p>
      <w:pPr>
        <w:pStyle w:val="Heading3"/>
        <w:tabs>
          <w:tab w:pos="1438" w:val="left" w:leader="none"/>
        </w:tabs>
        <w:spacing w:line="324" w:lineRule="auto"/>
        <w:ind w:left="1018" w:right="0"/>
        <w:jc w:val="left"/>
        <w:rPr>
          <w:rFonts w:ascii="宋体" w:hAnsi="宋体" w:cs="宋体" w:eastAsia="宋体" w:hint="default"/>
          <w:b w:val="0"/>
          <w:bCs w:val="0"/>
        </w:rPr>
      </w:pPr>
      <w:r>
        <w:rPr>
          <w:rFonts w:ascii="宋体" w:hAnsi="宋体" w:cs="宋体" w:eastAsia="宋体" w:hint="default"/>
          <w:w w:val="95"/>
        </w:rPr>
        <w:t>4.</w:t>
        <w:tab/>
      </w:r>
      <w:r>
        <w:rPr/>
        <w:t>研发投入</w:t>
      </w:r>
      <w:r>
        <w:rPr>
          <w:rFonts w:ascii="宋体" w:hAnsi="宋体" w:cs="宋体" w:eastAsia="宋体" w:hint="default"/>
          <w:w w:val="99"/>
        </w:rPr>
        <w:t> </w:t>
      </w:r>
      <w:r>
        <w:rPr>
          <w:rFonts w:ascii="宋体" w:hAnsi="宋体" w:cs="宋体" w:eastAsia="宋体" w:hint="default"/>
        </w:rPr>
        <w:t>(1).</w:t>
      </w:r>
      <w:r>
        <w:rPr/>
        <w:t>研发投入情况表</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23"/>
        <w:ind w:left="1018" w:right="0"/>
        <w:jc w:val="left"/>
        <w:rPr>
          <w:rFonts w:ascii="宋体" w:hAnsi="宋体" w:cs="宋体" w:eastAsia="宋体" w:hint="default"/>
        </w:rPr>
      </w:pPr>
      <w:r>
        <w:rPr/>
        <w:t>√适用</w:t>
      </w:r>
      <w:r>
        <w:rPr>
          <w:spacing w:val="104"/>
        </w:rPr>
        <w:t> </w:t>
      </w:r>
      <w:r>
        <w:rPr>
          <w:rFonts w:ascii="宋体" w:hAnsi="宋体" w:cs="宋体" w:eastAsia="宋体" w:hint="default"/>
          <w:spacing w:val="104"/>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8"/>
          <w:szCs w:val="28"/>
        </w:rPr>
      </w:pPr>
    </w:p>
    <w:p>
      <w:pPr>
        <w:pStyle w:val="BodyText"/>
        <w:spacing w:line="240" w:lineRule="auto"/>
        <w:ind w:left="1018" w:right="0"/>
        <w:jc w:val="left"/>
        <w:rPr>
          <w:rFonts w:ascii="宋体" w:hAnsi="宋体" w:cs="宋体" w:eastAsia="宋体" w:hint="default"/>
        </w:rPr>
      </w:pPr>
      <w:r>
        <w:rPr/>
        <w:t>单位：元</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580" w:bottom="280" w:left="400" w:right="400"/>
          <w:cols w:num="2" w:equalWidth="0">
            <w:col w:w="3023" w:space="5208"/>
            <w:col w:w="2879"/>
          </w:cols>
        </w:sectPr>
      </w:pPr>
    </w:p>
    <w:p>
      <w:pPr>
        <w:spacing w:line="240" w:lineRule="auto" w:before="10"/>
        <w:rPr>
          <w:rFonts w:ascii="宋体" w:hAnsi="宋体" w:cs="宋体" w:eastAsia="宋体" w:hint="default"/>
          <w:sz w:val="3"/>
          <w:szCs w:val="3"/>
        </w:rPr>
      </w:pPr>
    </w:p>
    <w:tbl>
      <w:tblPr>
        <w:tblW w:w="0" w:type="auto"/>
        <w:jc w:val="left"/>
        <w:tblInd w:w="906" w:type="dxa"/>
        <w:tblLayout w:type="fixed"/>
        <w:tblCellMar>
          <w:top w:w="0" w:type="dxa"/>
          <w:left w:w="0" w:type="dxa"/>
          <w:bottom w:w="0" w:type="dxa"/>
          <w:right w:w="0" w:type="dxa"/>
        </w:tblCellMar>
        <w:tblLook w:val="01E0"/>
      </w:tblPr>
      <w:tblGrid>
        <w:gridCol w:w="3896"/>
        <w:gridCol w:w="5391"/>
      </w:tblGrid>
      <w:tr>
        <w:trPr>
          <w:trHeight w:val="324" w:hRule="exact"/>
        </w:trPr>
        <w:tc>
          <w:tcPr>
            <w:tcW w:w="389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本期费用化研发投入</w:t>
            </w:r>
            <w:r>
              <w:rPr>
                <w:rFonts w:ascii="宋体" w:hAnsi="宋体" w:cs="宋体" w:eastAsia="宋体" w:hint="default"/>
                <w:sz w:val="21"/>
                <w:szCs w:val="21"/>
              </w:rPr>
              <w:t> </w:t>
            </w:r>
          </w:p>
        </w:tc>
        <w:tc>
          <w:tcPr>
            <w:tcW w:w="539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7"/>
              <w:jc w:val="right"/>
              <w:rPr>
                <w:rFonts w:ascii="宋体" w:hAnsi="宋体" w:cs="宋体" w:eastAsia="宋体" w:hint="default"/>
                <w:sz w:val="24"/>
                <w:szCs w:val="24"/>
              </w:rPr>
            </w:pPr>
            <w:r>
              <w:rPr>
                <w:rFonts w:ascii="宋体"/>
                <w:spacing w:val="-1"/>
                <w:sz w:val="21"/>
              </w:rPr>
              <w:t>138,561,387.70</w:t>
            </w:r>
            <w:r>
              <w:rPr>
                <w:rFonts w:ascii="宋体"/>
                <w:b/>
                <w:w w:val="99"/>
                <w:sz w:val="24"/>
              </w:rPr>
              <w:t> </w:t>
            </w:r>
            <w:r>
              <w:rPr>
                <w:rFonts w:ascii="宋体"/>
                <w:sz w:val="24"/>
              </w:rPr>
            </w:r>
          </w:p>
        </w:tc>
      </w:tr>
      <w:tr>
        <w:trPr>
          <w:trHeight w:val="322" w:hRule="exact"/>
        </w:trPr>
        <w:tc>
          <w:tcPr>
            <w:tcW w:w="38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本期资本化研发投入</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539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z w:val="21"/>
              </w:rPr>
              <w:t>0 </w:t>
            </w:r>
          </w:p>
        </w:tc>
      </w:tr>
      <w:tr>
        <w:trPr>
          <w:trHeight w:val="322" w:hRule="exact"/>
        </w:trPr>
        <w:tc>
          <w:tcPr>
            <w:tcW w:w="38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研发投入合计</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539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138,561,387.70</w:t>
            </w:r>
            <w:r>
              <w:rPr>
                <w:rFonts w:ascii="宋体"/>
                <w:sz w:val="21"/>
              </w:rPr>
              <w:t> </w:t>
            </w:r>
          </w:p>
        </w:tc>
      </w:tr>
      <w:tr>
        <w:trPr>
          <w:trHeight w:val="322" w:hRule="exact"/>
        </w:trPr>
        <w:tc>
          <w:tcPr>
            <w:tcW w:w="38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研发投入总额占营业收入比例（</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539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4.12</w:t>
            </w:r>
            <w:r>
              <w:rPr>
                <w:rFonts w:ascii="宋体"/>
                <w:sz w:val="21"/>
              </w:rPr>
              <w:t> </w:t>
            </w:r>
          </w:p>
        </w:tc>
      </w:tr>
      <w:tr>
        <w:trPr>
          <w:trHeight w:val="322" w:hRule="exact"/>
        </w:trPr>
        <w:tc>
          <w:tcPr>
            <w:tcW w:w="38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公司研发人员的数量</w:t>
            </w:r>
            <w:r>
              <w:rPr>
                <w:rFonts w:ascii="宋体" w:hAnsi="宋体" w:cs="宋体" w:eastAsia="宋体" w:hint="default"/>
                <w:sz w:val="21"/>
                <w:szCs w:val="21"/>
              </w:rPr>
              <w:t> </w:t>
            </w:r>
          </w:p>
        </w:tc>
        <w:tc>
          <w:tcPr>
            <w:tcW w:w="539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618</w:t>
            </w:r>
            <w:r>
              <w:rPr>
                <w:rFonts w:ascii="宋体"/>
                <w:sz w:val="21"/>
              </w:rPr>
              <w:t> </w:t>
            </w:r>
          </w:p>
        </w:tc>
      </w:tr>
      <w:tr>
        <w:trPr>
          <w:trHeight w:val="322" w:hRule="exact"/>
        </w:trPr>
        <w:tc>
          <w:tcPr>
            <w:tcW w:w="38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1"/>
              <w:jc w:val="left"/>
              <w:rPr>
                <w:rFonts w:ascii="宋体" w:hAnsi="宋体" w:cs="宋体" w:eastAsia="宋体" w:hint="default"/>
                <w:sz w:val="21"/>
                <w:szCs w:val="21"/>
              </w:rPr>
            </w:pPr>
            <w:r>
              <w:rPr>
                <w:rFonts w:ascii="宋体" w:hAnsi="宋体" w:cs="宋体" w:eastAsia="宋体" w:hint="default"/>
                <w:sz w:val="21"/>
                <w:szCs w:val="21"/>
              </w:rPr>
              <w:t>研发人员数量占公司总人数的比例（</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c>
          <w:tcPr>
            <w:tcW w:w="539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17.48</w:t>
            </w:r>
            <w:r>
              <w:rPr>
                <w:rFonts w:ascii="宋体"/>
                <w:sz w:val="21"/>
              </w:rPr>
              <w:t> </w:t>
            </w:r>
          </w:p>
        </w:tc>
      </w:tr>
      <w:tr>
        <w:trPr>
          <w:trHeight w:val="324" w:hRule="exact"/>
        </w:trPr>
        <w:tc>
          <w:tcPr>
            <w:tcW w:w="389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研发投入资本化的比重（</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c>
          <w:tcPr>
            <w:tcW w:w="539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sz w:val="21"/>
              </w:rPr>
              <w:t>0 </w:t>
            </w:r>
          </w:p>
        </w:tc>
      </w:tr>
    </w:tbl>
    <w:p>
      <w:pPr>
        <w:pStyle w:val="Heading2"/>
        <w:spacing w:line="274" w:lineRule="exact"/>
        <w:ind w:left="1018" w:right="0"/>
        <w:jc w:val="left"/>
        <w:rPr>
          <w:rFonts w:ascii="宋体" w:hAnsi="宋体" w:cs="宋体" w:eastAsia="宋体" w:hint="default"/>
        </w:rPr>
      </w:pPr>
      <w:r>
        <w:rPr>
          <w:rFonts w:ascii="宋体"/>
        </w:rPr>
        <w:t> </w:t>
      </w:r>
    </w:p>
    <w:p>
      <w:pPr>
        <w:pStyle w:val="Heading3"/>
        <w:spacing w:line="240" w:lineRule="auto" w:before="85"/>
        <w:ind w:left="1018" w:right="0"/>
        <w:jc w:val="left"/>
        <w:rPr>
          <w:rFonts w:ascii="宋体" w:hAnsi="宋体" w:cs="宋体" w:eastAsia="宋体" w:hint="default"/>
          <w:b w:val="0"/>
          <w:bCs w:val="0"/>
        </w:rPr>
      </w:pPr>
      <w:r>
        <w:rPr>
          <w:rFonts w:ascii="宋体" w:hAnsi="宋体" w:cs="宋体" w:eastAsia="宋体" w:hint="default"/>
        </w:rPr>
        <w:t>(2).</w:t>
      </w:r>
      <w:r>
        <w:rPr/>
        <w:t>情况说明</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7"/>
        <w:ind w:left="1018"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auto" w:before="97"/>
        <w:ind w:left="1018" w:right="1012" w:firstLine="420"/>
        <w:jc w:val="left"/>
        <w:rPr>
          <w:rFonts w:ascii="宋体" w:hAnsi="宋体" w:cs="宋体" w:eastAsia="宋体" w:hint="default"/>
        </w:rPr>
      </w:pPr>
      <w:r>
        <w:rPr>
          <w:rFonts w:ascii="宋体" w:hAnsi="宋体" w:cs="宋体" w:eastAsia="宋体" w:hint="default"/>
        </w:rPr>
        <w:t>2019</w:t>
      </w:r>
      <w:r>
        <w:rPr>
          <w:rFonts w:ascii="宋体" w:hAnsi="宋体" w:cs="宋体" w:eastAsia="宋体" w:hint="default"/>
          <w:spacing w:val="-56"/>
        </w:rPr>
        <w:t> </w:t>
      </w:r>
      <w:r>
        <w:rPr/>
        <w:t>年公司研发投入</w:t>
      </w:r>
      <w:r>
        <w:rPr>
          <w:spacing w:val="-54"/>
        </w:rPr>
        <w:t> </w:t>
      </w:r>
      <w:r>
        <w:rPr>
          <w:rFonts w:ascii="宋体" w:hAnsi="宋体" w:cs="宋体" w:eastAsia="宋体" w:hint="default"/>
        </w:rPr>
        <w:t>1.39</w:t>
      </w:r>
      <w:r>
        <w:rPr>
          <w:rFonts w:ascii="宋体" w:hAnsi="宋体" w:cs="宋体" w:eastAsia="宋体" w:hint="default"/>
          <w:spacing w:val="-53"/>
        </w:rPr>
        <w:t> </w:t>
      </w:r>
      <w:r>
        <w:rPr/>
        <w:t>亿元，占营业收入</w:t>
      </w:r>
      <w:r>
        <w:rPr>
          <w:spacing w:val="-56"/>
        </w:rPr>
        <w:t> </w:t>
      </w:r>
      <w:r>
        <w:rPr>
          <w:rFonts w:ascii="宋体" w:hAnsi="宋体" w:cs="宋体" w:eastAsia="宋体" w:hint="default"/>
        </w:rPr>
        <w:t>4.12%</w:t>
      </w:r>
      <w:r>
        <w:rPr/>
        <w:t>，其中母公司研发投入</w:t>
      </w:r>
      <w:r>
        <w:rPr>
          <w:spacing w:val="-54"/>
        </w:rPr>
        <w:t> </w:t>
      </w:r>
      <w:r>
        <w:rPr>
          <w:rFonts w:ascii="宋体" w:hAnsi="宋体" w:cs="宋体" w:eastAsia="宋体" w:hint="default"/>
        </w:rPr>
        <w:t>0.93</w:t>
      </w:r>
      <w:r>
        <w:rPr>
          <w:rFonts w:ascii="宋体" w:hAnsi="宋体" w:cs="宋体" w:eastAsia="宋体" w:hint="default"/>
          <w:spacing w:val="-53"/>
        </w:rPr>
        <w:t> </w:t>
      </w:r>
      <w:r>
        <w:rPr/>
        <w:t>亿元，占营业</w:t>
      </w:r>
      <w:r>
        <w:rPr>
          <w:w w:val="100"/>
        </w:rPr>
        <w:t> 收入</w:t>
      </w:r>
      <w:r>
        <w:rPr>
          <w:spacing w:val="-39"/>
          <w:w w:val="100"/>
        </w:rPr>
        <w:t> </w:t>
      </w:r>
      <w:r>
        <w:rPr>
          <w:rFonts w:ascii="宋体" w:hAnsi="宋体" w:cs="宋体" w:eastAsia="宋体" w:hint="default"/>
          <w:spacing w:val="-14"/>
          <w:w w:val="100"/>
        </w:rPr>
        <w:t>5.24%</w:t>
      </w:r>
      <w:r>
        <w:rPr>
          <w:spacing w:val="-14"/>
          <w:w w:val="100"/>
        </w:rPr>
        <w:t>。报告期内，公司继续加大技术研发投入，努力降本增效。林洋能源“</w:t>
      </w:r>
      <w:r>
        <w:rPr>
          <w:rFonts w:ascii="宋体" w:hAnsi="宋体" w:cs="宋体" w:eastAsia="宋体" w:hint="default"/>
          <w:spacing w:val="-14"/>
          <w:w w:val="100"/>
        </w:rPr>
        <w:t>SM150</w:t>
      </w:r>
      <w:r>
        <w:rPr>
          <w:rFonts w:ascii="宋体" w:hAnsi="宋体" w:cs="宋体" w:eastAsia="宋体" w:hint="default"/>
          <w:spacing w:val="-41"/>
          <w:w w:val="100"/>
        </w:rPr>
        <w:t> </w:t>
      </w:r>
      <w:r>
        <w:rPr>
          <w:spacing w:val="-2"/>
          <w:w w:val="100"/>
        </w:rPr>
        <w:t>智能电能表”、</w:t>
      </w:r>
      <w:r>
        <w:rPr>
          <w:spacing w:val="-99"/>
          <w:w w:val="100"/>
        </w:rPr>
        <w:t> </w:t>
      </w:r>
      <w:r>
        <w:rPr>
          <w:spacing w:val="-99"/>
          <w:w w:val="100"/>
        </w:rPr>
      </w:r>
      <w:r>
        <w:rPr/>
        <w:t>“LY</w:t>
      </w:r>
      <w:r>
        <w:rPr>
          <w:rFonts w:ascii="宋体" w:hAnsi="宋体" w:cs="宋体" w:eastAsia="宋体" w:hint="default"/>
        </w:rPr>
        <w:t>-DC12</w:t>
      </w:r>
      <w:r>
        <w:rPr>
          <w:rFonts w:ascii="宋体" w:hAnsi="宋体" w:cs="宋体" w:eastAsia="宋体" w:hint="default"/>
          <w:spacing w:val="-56"/>
        </w:rPr>
        <w:t> </w:t>
      </w:r>
      <w:r>
        <w:rPr/>
        <w:t>型数据集中器”等多个科研项目顺利通过省级鉴定。同时，围绕行业关键技术及海外市</w:t>
      </w:r>
      <w:r>
        <w:rPr>
          <w:w w:val="100"/>
        </w:rPr>
        <w:t> </w:t>
      </w:r>
      <w:r>
        <w:rPr>
          <w:spacing w:val="-2"/>
        </w:rPr>
        <w:t>场特征开展了多个研发项目，并将研发和工艺改进成果按计划进行大批量导入和供货，进一步强化</w:t>
      </w:r>
      <w:r>
        <w:rPr>
          <w:spacing w:val="-25"/>
        </w:rPr>
        <w:t> </w:t>
      </w:r>
      <w:r>
        <w:rPr>
          <w:spacing w:val="-25"/>
        </w:rPr>
      </w:r>
      <w:r>
        <w:rPr/>
        <w:t>了公司产品成本和技术领先优势。</w:t>
      </w:r>
      <w:r>
        <w:rPr>
          <w:rFonts w:ascii="宋体" w:hAnsi="宋体" w:cs="宋体" w:eastAsia="宋体" w:hint="default"/>
        </w:rPr>
        <w:t>2019</w:t>
      </w:r>
      <w:r>
        <w:rPr>
          <w:rFonts w:ascii="宋体" w:hAnsi="宋体" w:cs="宋体" w:eastAsia="宋体" w:hint="default"/>
          <w:spacing w:val="-57"/>
        </w:rPr>
        <w:t> </w:t>
      </w:r>
      <w:r>
        <w:rPr/>
        <w:t>年度公司及子公司新增取得授权专利</w:t>
      </w:r>
      <w:r>
        <w:rPr>
          <w:spacing w:val="-57"/>
        </w:rPr>
        <w:t> </w:t>
      </w:r>
      <w:r>
        <w:rPr>
          <w:rFonts w:ascii="宋体" w:hAnsi="宋体" w:cs="宋体" w:eastAsia="宋体" w:hint="default"/>
        </w:rPr>
        <w:t>48</w:t>
      </w:r>
      <w:r>
        <w:rPr>
          <w:rFonts w:ascii="宋体" w:hAnsi="宋体" w:cs="宋体" w:eastAsia="宋体" w:hint="default"/>
          <w:spacing w:val="-55"/>
        </w:rPr>
        <w:t> </w:t>
      </w:r>
      <w:r>
        <w:rPr/>
        <w:t>件，其中发明专利</w:t>
      </w:r>
      <w:r>
        <w:rPr>
          <w:w w:val="100"/>
        </w:rPr>
        <w:t> </w:t>
      </w:r>
      <w:r>
        <w:rPr>
          <w:rFonts w:ascii="宋体" w:hAnsi="宋体" w:cs="宋体" w:eastAsia="宋体" w:hint="default"/>
        </w:rPr>
        <w:t>11</w:t>
      </w:r>
      <w:r>
        <w:rPr>
          <w:rFonts w:ascii="宋体" w:hAnsi="宋体" w:cs="宋体" w:eastAsia="宋体" w:hint="default"/>
          <w:spacing w:val="-54"/>
        </w:rPr>
        <w:t> </w:t>
      </w:r>
      <w:r>
        <w:rPr/>
        <w:t>件；累计授权专利</w:t>
      </w:r>
      <w:r>
        <w:rPr>
          <w:spacing w:val="-54"/>
        </w:rPr>
        <w:t> </w:t>
      </w:r>
      <w:r>
        <w:rPr>
          <w:rFonts w:ascii="宋体" w:hAnsi="宋体" w:cs="宋体" w:eastAsia="宋体" w:hint="default"/>
        </w:rPr>
        <w:t>246</w:t>
      </w:r>
      <w:r>
        <w:rPr>
          <w:rFonts w:ascii="宋体" w:hAnsi="宋体" w:cs="宋体" w:eastAsia="宋体" w:hint="default"/>
          <w:spacing w:val="-56"/>
        </w:rPr>
        <w:t> </w:t>
      </w:r>
      <w:r>
        <w:rPr/>
        <w:t>件，其中发明专利</w:t>
      </w:r>
      <w:r>
        <w:rPr>
          <w:spacing w:val="-53"/>
        </w:rPr>
        <w:t> </w:t>
      </w:r>
      <w:r>
        <w:rPr>
          <w:rFonts w:ascii="宋体" w:hAnsi="宋体" w:cs="宋体" w:eastAsia="宋体" w:hint="default"/>
        </w:rPr>
        <w:t>57</w:t>
      </w:r>
      <w:r>
        <w:rPr>
          <w:rFonts w:ascii="宋体" w:hAnsi="宋体" w:cs="宋体" w:eastAsia="宋体" w:hint="default"/>
          <w:spacing w:val="-54"/>
        </w:rPr>
        <w:t> </w:t>
      </w:r>
      <w:r>
        <w:rPr>
          <w:spacing w:val="-3"/>
        </w:rPr>
        <w:t>件。</w:t>
      </w:r>
      <w:r>
        <w:rPr>
          <w:rFonts w:ascii="宋体" w:hAnsi="宋体" w:cs="宋体" w:eastAsia="宋体" w:hint="default"/>
          <w:b/>
          <w:bCs/>
          <w:w w:val="99"/>
        </w:rPr>
        <w:t> </w:t>
      </w:r>
      <w:r>
        <w:rPr>
          <w:rFonts w:ascii="宋体" w:hAnsi="宋体" w:cs="宋体" w:eastAsia="宋体" w:hint="default"/>
        </w:rPr>
      </w:r>
    </w:p>
    <w:p>
      <w:pPr>
        <w:spacing w:after="0" w:line="273" w:lineRule="auto"/>
        <w:jc w:val="left"/>
        <w:rPr>
          <w:rFonts w:ascii="宋体" w:hAnsi="宋体" w:cs="宋体" w:eastAsia="宋体" w:hint="default"/>
        </w:rPr>
        <w:sectPr>
          <w:type w:val="continuous"/>
          <w:pgSz w:w="11910" w:h="16840"/>
          <w:pgMar w:top="1580" w:bottom="280" w:left="400" w:right="400"/>
        </w:sectPr>
      </w:pPr>
    </w:p>
    <w:p>
      <w:pPr>
        <w:spacing w:line="240" w:lineRule="auto" w:before="2"/>
        <w:rPr>
          <w:rFonts w:ascii="宋体" w:hAnsi="宋体" w:cs="宋体" w:eastAsia="宋体" w:hint="default"/>
          <w:b/>
          <w:bCs/>
          <w:sz w:val="19"/>
          <w:szCs w:val="19"/>
        </w:rPr>
      </w:pPr>
    </w:p>
    <w:p>
      <w:pPr>
        <w:pStyle w:val="BodyText"/>
        <w:spacing w:line="240" w:lineRule="auto" w:before="36"/>
        <w:ind w:left="1238" w:right="0"/>
        <w:jc w:val="left"/>
        <w:rPr>
          <w:rFonts w:ascii="宋体" w:hAnsi="宋体" w:cs="宋体" w:eastAsia="宋体" w:hint="default"/>
        </w:rPr>
      </w:pPr>
      <w:r>
        <w:rPr>
          <w:rFonts w:ascii="宋体"/>
          <w:w w:val="100"/>
        </w:rPr>
        <w:t> </w:t>
      </w:r>
    </w:p>
    <w:p>
      <w:pPr>
        <w:pStyle w:val="Heading3"/>
        <w:tabs>
          <w:tab w:pos="1658" w:val="left" w:leader="none"/>
        </w:tabs>
        <w:spacing w:line="240" w:lineRule="auto"/>
        <w:ind w:left="1238" w:right="0"/>
        <w:jc w:val="left"/>
        <w:rPr>
          <w:rFonts w:ascii="宋体" w:hAnsi="宋体" w:cs="宋体" w:eastAsia="宋体" w:hint="default"/>
          <w:b w:val="0"/>
          <w:bCs w:val="0"/>
        </w:rPr>
      </w:pPr>
      <w:r>
        <w:rPr>
          <w:rFonts w:ascii="宋体" w:hAnsi="宋体" w:cs="宋体" w:eastAsia="宋体" w:hint="default"/>
          <w:w w:val="95"/>
        </w:rPr>
        <w:t>5.</w:t>
        <w:tab/>
      </w:r>
      <w:r>
        <w:rPr/>
        <w:t>现金流</w:t>
      </w:r>
      <w:r>
        <w:rPr>
          <w:rFonts w:ascii="宋体" w:hAnsi="宋体" w:cs="宋体" w:eastAsia="宋体" w:hint="default"/>
          <w:w w:val="99"/>
        </w:rPr>
        <w:t> </w:t>
      </w:r>
      <w:r>
        <w:rPr>
          <w:rFonts w:ascii="宋体" w:hAnsi="宋体" w:cs="宋体" w:eastAsia="宋体" w:hint="default"/>
          <w:b w:val="0"/>
          <w:bCs w:val="0"/>
        </w:rPr>
      </w:r>
    </w:p>
    <w:p>
      <w:pPr>
        <w:pStyle w:val="Heading2"/>
        <w:spacing w:line="240" w:lineRule="auto" w:before="69"/>
        <w:ind w:left="1238"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BodyText"/>
        <w:spacing w:line="240" w:lineRule="auto" w:before="25"/>
        <w:ind w:left="1238" w:right="0"/>
        <w:jc w:val="left"/>
        <w:rPr>
          <w:rFonts w:ascii="宋体" w:hAnsi="宋体" w:cs="宋体" w:eastAsia="宋体" w:hint="default"/>
        </w:rPr>
      </w:pPr>
      <w:r>
        <w:rPr>
          <w:rFonts w:ascii="宋体"/>
          <w:w w:val="100"/>
        </w:rPr>
        <w:t> </w:t>
      </w:r>
    </w:p>
    <w:p>
      <w:pPr>
        <w:spacing w:line="240" w:lineRule="auto" w:before="10"/>
        <w:rPr>
          <w:rFonts w:ascii="宋体" w:hAnsi="宋体" w:cs="宋体" w:eastAsia="宋体" w:hint="default"/>
          <w:sz w:val="3"/>
          <w:szCs w:val="3"/>
        </w:rPr>
      </w:pPr>
    </w:p>
    <w:tbl>
      <w:tblPr>
        <w:tblW w:w="0" w:type="auto"/>
        <w:jc w:val="left"/>
        <w:tblInd w:w="549" w:type="dxa"/>
        <w:tblLayout w:type="fixed"/>
        <w:tblCellMar>
          <w:top w:w="0" w:type="dxa"/>
          <w:left w:w="0" w:type="dxa"/>
          <w:bottom w:w="0" w:type="dxa"/>
          <w:right w:w="0" w:type="dxa"/>
        </w:tblCellMar>
        <w:tblLook w:val="01E0"/>
      </w:tblPr>
      <w:tblGrid>
        <w:gridCol w:w="3118"/>
        <w:gridCol w:w="1844"/>
        <w:gridCol w:w="1844"/>
        <w:gridCol w:w="1133"/>
        <w:gridCol w:w="2552"/>
      </w:tblGrid>
      <w:tr>
        <w:trPr>
          <w:trHeight w:val="634" w:hRule="exact"/>
        </w:trPr>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1" w:right="0"/>
              <w:jc w:val="center"/>
              <w:rPr>
                <w:rFonts w:ascii="宋体" w:hAnsi="宋体" w:cs="宋体" w:eastAsia="宋体" w:hint="default"/>
                <w:sz w:val="21"/>
                <w:szCs w:val="21"/>
              </w:rPr>
            </w:pPr>
            <w:r>
              <w:rPr>
                <w:rFonts w:ascii="宋体" w:hAnsi="宋体" w:cs="宋体" w:eastAsia="宋体" w:hint="default"/>
                <w:sz w:val="21"/>
                <w:szCs w:val="21"/>
              </w:rPr>
              <w:t>科目</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600" w:right="0"/>
              <w:jc w:val="left"/>
              <w:rPr>
                <w:rFonts w:ascii="宋体" w:hAnsi="宋体" w:cs="宋体" w:eastAsia="宋体" w:hint="default"/>
                <w:sz w:val="21"/>
                <w:szCs w:val="21"/>
              </w:rPr>
            </w:pPr>
            <w:r>
              <w:rPr>
                <w:rFonts w:ascii="宋体" w:hAnsi="宋体" w:cs="宋体" w:eastAsia="宋体" w:hint="default"/>
                <w:sz w:val="21"/>
                <w:szCs w:val="21"/>
              </w:rPr>
              <w:t>本期数</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391" w:right="0"/>
              <w:jc w:val="left"/>
              <w:rPr>
                <w:rFonts w:ascii="宋体" w:hAnsi="宋体" w:cs="宋体" w:eastAsia="宋体" w:hint="default"/>
                <w:sz w:val="21"/>
                <w:szCs w:val="21"/>
              </w:rPr>
            </w:pPr>
            <w:r>
              <w:rPr>
                <w:rFonts w:ascii="宋体" w:hAnsi="宋体" w:cs="宋体" w:eastAsia="宋体" w:hint="default"/>
                <w:sz w:val="21"/>
                <w:szCs w:val="21"/>
              </w:rPr>
              <w:t>上年同期数</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变动比例</w:t>
            </w:r>
          </w:p>
          <w:p>
            <w:pPr>
              <w:pStyle w:val="TableParagraph"/>
              <w:spacing w:line="240" w:lineRule="auto" w:before="37"/>
              <w:ind w:left="98"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变动原因</w:t>
            </w:r>
            <w:r>
              <w:rPr>
                <w:rFonts w:ascii="宋体" w:hAnsi="宋体" w:cs="宋体" w:eastAsia="宋体" w:hint="default"/>
                <w:sz w:val="21"/>
                <w:szCs w:val="21"/>
              </w:rPr>
              <w:t> </w:t>
            </w:r>
          </w:p>
        </w:tc>
      </w:tr>
      <w:tr>
        <w:trPr>
          <w:trHeight w:val="322" w:hRule="exact"/>
        </w:trPr>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center"/>
              <w:rPr>
                <w:rFonts w:ascii="宋体" w:hAnsi="宋体" w:cs="宋体" w:eastAsia="宋体" w:hint="default"/>
                <w:sz w:val="21"/>
                <w:szCs w:val="21"/>
              </w:rPr>
            </w:pPr>
            <w:r>
              <w:rPr>
                <w:rFonts w:ascii="宋体" w:hAnsi="宋体" w:cs="宋体" w:eastAsia="宋体" w:hint="default"/>
                <w:sz w:val="21"/>
                <w:szCs w:val="21"/>
              </w:rPr>
              <w:t>经营活动产生的现金流量净额</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401,986,083.36</w:t>
            </w:r>
            <w:r>
              <w:rPr>
                <w:rFonts w:ascii="宋体"/>
                <w:sz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416,163,509.76</w:t>
            </w:r>
            <w:r>
              <w:rPr>
                <w:rFonts w:ascii="宋体"/>
                <w:sz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-3.41</w:t>
            </w:r>
            <w:r>
              <w:rPr>
                <w:rFonts w:ascii="宋体"/>
                <w:sz w:val="21"/>
              </w:rPr>
              <w:t> </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108" w:right="0"/>
              <w:jc w:val="center"/>
              <w:rPr>
                <w:rFonts w:ascii="宋体" w:hAnsi="宋体" w:cs="宋体" w:eastAsia="宋体" w:hint="default"/>
                <w:sz w:val="22"/>
                <w:szCs w:val="22"/>
              </w:rPr>
            </w:pPr>
            <w:r>
              <w:rPr>
                <w:rFonts w:ascii="宋体"/>
                <w:w w:val="100"/>
                <w:sz w:val="22"/>
              </w:rPr>
              <w:t> </w:t>
            </w:r>
          </w:p>
        </w:tc>
      </w:tr>
      <w:tr>
        <w:trPr>
          <w:trHeight w:val="634" w:hRule="exact"/>
        </w:trPr>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center"/>
              <w:rPr>
                <w:rFonts w:ascii="宋体" w:hAnsi="宋体" w:cs="宋体" w:eastAsia="宋体" w:hint="default"/>
                <w:sz w:val="21"/>
                <w:szCs w:val="21"/>
              </w:rPr>
            </w:pPr>
            <w:r>
              <w:rPr>
                <w:rFonts w:ascii="宋体" w:hAnsi="宋体" w:cs="宋体" w:eastAsia="宋体" w:hint="default"/>
                <w:sz w:val="21"/>
                <w:szCs w:val="21"/>
              </w:rPr>
              <w:t>投资活动产生的现金流量净额</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3"/>
              <w:jc w:val="right"/>
              <w:rPr>
                <w:rFonts w:ascii="宋体" w:hAnsi="宋体" w:cs="宋体" w:eastAsia="宋体" w:hint="default"/>
                <w:sz w:val="21"/>
                <w:szCs w:val="21"/>
              </w:rPr>
            </w:pPr>
            <w:r>
              <w:rPr>
                <w:rFonts w:ascii="宋体"/>
                <w:spacing w:val="-1"/>
                <w:sz w:val="21"/>
              </w:rPr>
              <w:t>-172,913,460.01</w:t>
            </w:r>
            <w:r>
              <w:rPr>
                <w:rFonts w:ascii="宋体"/>
                <w:sz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3"/>
              <w:jc w:val="right"/>
              <w:rPr>
                <w:rFonts w:ascii="宋体" w:hAnsi="宋体" w:cs="宋体" w:eastAsia="宋体" w:hint="default"/>
                <w:sz w:val="21"/>
                <w:szCs w:val="21"/>
              </w:rPr>
            </w:pPr>
            <w:r>
              <w:rPr>
                <w:rFonts w:ascii="宋体"/>
                <w:spacing w:val="-1"/>
                <w:sz w:val="21"/>
              </w:rPr>
              <w:t>-780,068,692.45</w:t>
            </w:r>
            <w:r>
              <w:rPr>
                <w:rFonts w:ascii="宋体"/>
                <w:sz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
              <w:jc w:val="right"/>
              <w:rPr>
                <w:rFonts w:ascii="宋体" w:hAnsi="宋体" w:cs="宋体" w:eastAsia="宋体" w:hint="default"/>
                <w:sz w:val="21"/>
                <w:szCs w:val="21"/>
              </w:rPr>
            </w:pPr>
            <w:r>
              <w:rPr>
                <w:rFonts w:ascii="宋体"/>
                <w:spacing w:val="-1"/>
                <w:sz w:val="21"/>
              </w:rPr>
              <w:t>77.83</w:t>
            </w:r>
            <w:r>
              <w:rPr>
                <w:rFonts w:ascii="宋体"/>
                <w:sz w:val="21"/>
              </w:rPr>
              <w:t> </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22"/>
              <w:jc w:val="left"/>
              <w:rPr>
                <w:rFonts w:ascii="宋体" w:hAnsi="宋体" w:cs="宋体" w:eastAsia="宋体" w:hint="default"/>
                <w:sz w:val="21"/>
                <w:szCs w:val="21"/>
              </w:rPr>
            </w:pPr>
            <w:r>
              <w:rPr>
                <w:rFonts w:ascii="宋体" w:hAnsi="宋体" w:cs="宋体" w:eastAsia="宋体" w:hint="default"/>
                <w:spacing w:val="-2"/>
                <w:sz w:val="21"/>
                <w:szCs w:val="21"/>
              </w:rPr>
              <w:t>主要系构建固定资产支付</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的现金减少所致</w:t>
            </w:r>
            <w:r>
              <w:rPr>
                <w:rFonts w:ascii="宋体" w:hAnsi="宋体" w:cs="宋体" w:eastAsia="宋体" w:hint="default"/>
                <w:sz w:val="21"/>
                <w:szCs w:val="21"/>
              </w:rPr>
              <w:t> </w:t>
            </w:r>
          </w:p>
        </w:tc>
      </w:tr>
      <w:tr>
        <w:trPr>
          <w:trHeight w:val="636" w:hRule="exact"/>
        </w:trPr>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103" w:right="0"/>
              <w:jc w:val="center"/>
              <w:rPr>
                <w:rFonts w:ascii="宋体" w:hAnsi="宋体" w:cs="宋体" w:eastAsia="宋体" w:hint="default"/>
                <w:sz w:val="21"/>
                <w:szCs w:val="21"/>
              </w:rPr>
            </w:pPr>
            <w:r>
              <w:rPr>
                <w:rFonts w:ascii="宋体" w:hAnsi="宋体" w:cs="宋体" w:eastAsia="宋体" w:hint="default"/>
                <w:sz w:val="21"/>
                <w:szCs w:val="21"/>
              </w:rPr>
              <w:t>筹资活动产生的现金流量净额</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3"/>
              <w:jc w:val="right"/>
              <w:rPr>
                <w:rFonts w:ascii="宋体" w:hAnsi="宋体" w:cs="宋体" w:eastAsia="宋体" w:hint="default"/>
                <w:sz w:val="21"/>
                <w:szCs w:val="21"/>
              </w:rPr>
            </w:pPr>
            <w:r>
              <w:rPr>
                <w:rFonts w:ascii="宋体"/>
                <w:spacing w:val="-1"/>
                <w:sz w:val="21"/>
              </w:rPr>
              <w:t>-298,403,081.93</w:t>
            </w:r>
            <w:r>
              <w:rPr>
                <w:rFonts w:ascii="宋体"/>
                <w:sz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3"/>
              <w:jc w:val="right"/>
              <w:rPr>
                <w:rFonts w:ascii="宋体" w:hAnsi="宋体" w:cs="宋体" w:eastAsia="宋体" w:hint="default"/>
                <w:sz w:val="21"/>
                <w:szCs w:val="21"/>
              </w:rPr>
            </w:pPr>
            <w:r>
              <w:rPr>
                <w:rFonts w:ascii="宋体"/>
                <w:spacing w:val="-1"/>
                <w:sz w:val="21"/>
              </w:rPr>
              <w:t>192,360,766.97</w:t>
            </w:r>
            <w:r>
              <w:rPr>
                <w:rFonts w:ascii="宋体"/>
                <w:sz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
              <w:jc w:val="right"/>
              <w:rPr>
                <w:rFonts w:ascii="宋体" w:hAnsi="宋体" w:cs="宋体" w:eastAsia="宋体" w:hint="default"/>
                <w:sz w:val="21"/>
                <w:szCs w:val="21"/>
              </w:rPr>
            </w:pPr>
            <w:r>
              <w:rPr>
                <w:rFonts w:ascii="宋体"/>
                <w:spacing w:val="-1"/>
                <w:sz w:val="21"/>
              </w:rPr>
              <w:t>-255.13</w:t>
            </w:r>
            <w:r>
              <w:rPr>
                <w:rFonts w:ascii="宋体"/>
                <w:sz w:val="21"/>
              </w:rPr>
              <w:t> </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22"/>
              <w:jc w:val="left"/>
              <w:rPr>
                <w:rFonts w:ascii="宋体" w:hAnsi="宋体" w:cs="宋体" w:eastAsia="宋体" w:hint="default"/>
                <w:sz w:val="21"/>
                <w:szCs w:val="21"/>
              </w:rPr>
            </w:pPr>
            <w:r>
              <w:rPr>
                <w:rFonts w:ascii="宋体" w:hAnsi="宋体" w:cs="宋体" w:eastAsia="宋体" w:hint="default"/>
                <w:spacing w:val="-1"/>
                <w:sz w:val="21"/>
                <w:szCs w:val="21"/>
              </w:rPr>
              <w:t>主要系本期银行借款减少</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所致</w:t>
            </w:r>
            <w:r>
              <w:rPr>
                <w:rFonts w:ascii="宋体" w:hAnsi="宋体" w:cs="宋体" w:eastAsia="宋体" w:hint="default"/>
                <w:sz w:val="21"/>
                <w:szCs w:val="21"/>
              </w:rPr>
              <w:t> </w:t>
            </w:r>
          </w:p>
        </w:tc>
      </w:tr>
    </w:tbl>
    <w:p>
      <w:pPr>
        <w:spacing w:after="0" w:line="273" w:lineRule="auto"/>
        <w:jc w:val="left"/>
        <w:rPr>
          <w:rFonts w:ascii="宋体" w:hAnsi="宋体" w:cs="宋体" w:eastAsia="宋体" w:hint="default"/>
          <w:sz w:val="21"/>
          <w:szCs w:val="21"/>
        </w:rPr>
        <w:sectPr>
          <w:pgSz w:w="11910" w:h="16840"/>
          <w:pgMar w:header="748" w:footer="974" w:top="1140" w:bottom="1160" w:left="180" w:right="180"/>
        </w:sectPr>
      </w:pPr>
    </w:p>
    <w:p>
      <w:pPr>
        <w:pStyle w:val="BodyText"/>
        <w:spacing w:line="263" w:lineRule="exact"/>
        <w:ind w:left="1238" w:right="0"/>
        <w:jc w:val="left"/>
        <w:rPr>
          <w:rFonts w:ascii="宋体" w:hAnsi="宋体" w:cs="宋体" w:eastAsia="宋体" w:hint="default"/>
        </w:rPr>
      </w:pPr>
      <w:r>
        <w:rPr>
          <w:rFonts w:ascii="宋体"/>
          <w:w w:val="100"/>
        </w:rPr>
        <w:t> </w:t>
      </w:r>
    </w:p>
    <w:p>
      <w:pPr>
        <w:pStyle w:val="Heading3"/>
        <w:tabs>
          <w:tab w:pos="2078" w:val="left" w:leader="none"/>
        </w:tabs>
        <w:spacing w:line="240" w:lineRule="auto"/>
        <w:ind w:left="1238" w:right="-2"/>
        <w:jc w:val="left"/>
        <w:rPr>
          <w:b w:val="0"/>
          <w:bCs w:val="0"/>
        </w:rPr>
      </w:pPr>
      <w:r>
        <w:rPr>
          <w:rFonts w:ascii="宋体" w:hAnsi="宋体" w:cs="宋体" w:eastAsia="宋体" w:hint="default"/>
          <w:w w:val="95"/>
        </w:rPr>
        <w:t>(</w:t>
      </w:r>
      <w:r>
        <w:rPr>
          <w:w w:val="95"/>
        </w:rPr>
        <w:t>二</w:t>
      </w:r>
      <w:r>
        <w:rPr>
          <w:rFonts w:ascii="宋体" w:hAnsi="宋体" w:cs="宋体" w:eastAsia="宋体" w:hint="default"/>
          <w:w w:val="95"/>
        </w:rPr>
        <w:t>)</w:t>
        <w:tab/>
      </w:r>
      <w:r>
        <w:rPr>
          <w:spacing w:val="-1"/>
        </w:rPr>
        <w:t>非主营业务导致利润重大变化的说明</w:t>
      </w:r>
      <w:r>
        <w:rPr>
          <w:b w:val="0"/>
          <w:bCs w:val="0"/>
          <w:spacing w:val="-1"/>
        </w:rPr>
      </w:r>
    </w:p>
    <w:p>
      <w:pPr>
        <w:pStyle w:val="BodyText"/>
        <w:spacing w:line="240" w:lineRule="auto" w:before="97"/>
        <w:ind w:left="1238"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left="1238" w:right="0"/>
        <w:jc w:val="left"/>
        <w:rPr>
          <w:rFonts w:ascii="宋体" w:hAnsi="宋体" w:cs="宋体" w:eastAsia="宋体" w:hint="default"/>
        </w:rPr>
      </w:pPr>
      <w:r>
        <w:rPr>
          <w:rFonts w:ascii="宋体"/>
          <w:w w:val="100"/>
        </w:rPr>
        <w:t> </w:t>
      </w:r>
    </w:p>
    <w:p>
      <w:pPr>
        <w:pStyle w:val="Heading3"/>
        <w:tabs>
          <w:tab w:pos="2078" w:val="left" w:leader="none"/>
        </w:tabs>
        <w:spacing w:line="240" w:lineRule="auto"/>
        <w:ind w:left="1238" w:right="0"/>
        <w:jc w:val="left"/>
        <w:rPr>
          <w:b w:val="0"/>
          <w:bCs w:val="0"/>
        </w:rPr>
      </w:pPr>
      <w:r>
        <w:rPr>
          <w:rFonts w:ascii="宋体" w:hAnsi="宋体" w:cs="宋体" w:eastAsia="宋体" w:hint="default"/>
          <w:w w:val="95"/>
        </w:rPr>
        <w:t>(</w:t>
      </w:r>
      <w:r>
        <w:rPr>
          <w:w w:val="95"/>
        </w:rPr>
        <w:t>三</w:t>
      </w:r>
      <w:r>
        <w:rPr>
          <w:rFonts w:ascii="宋体" w:hAnsi="宋体" w:cs="宋体" w:eastAsia="宋体" w:hint="default"/>
          <w:w w:val="95"/>
        </w:rPr>
        <w:t>)</w:t>
        <w:tab/>
      </w:r>
      <w:r>
        <w:rPr/>
        <w:t>资产、负债情况分析</w:t>
      </w:r>
      <w:r>
        <w:rPr>
          <w:b w:val="0"/>
          <w:bCs w:val="0"/>
        </w:rPr>
      </w:r>
    </w:p>
    <w:p>
      <w:pPr>
        <w:pStyle w:val="Heading2"/>
        <w:spacing w:line="240" w:lineRule="auto" w:before="69"/>
        <w:ind w:left="1238" w:right="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Heading3"/>
        <w:tabs>
          <w:tab w:pos="1663" w:val="left" w:leader="none"/>
        </w:tabs>
        <w:spacing w:line="240" w:lineRule="auto" w:before="85"/>
        <w:ind w:left="1238" w:right="0"/>
        <w:jc w:val="left"/>
        <w:rPr>
          <w:rFonts w:ascii="宋体" w:hAnsi="宋体" w:cs="宋体" w:eastAsia="宋体" w:hint="default"/>
          <w:b w:val="0"/>
          <w:bCs w:val="0"/>
        </w:rPr>
      </w:pPr>
      <w:r>
        <w:rPr>
          <w:rFonts w:ascii="宋体" w:hAnsi="宋体" w:cs="宋体" w:eastAsia="宋体" w:hint="default"/>
          <w:w w:val="95"/>
        </w:rPr>
        <w:t>1.</w:t>
        <w:tab/>
      </w:r>
      <w:r>
        <w:rPr/>
        <w:t>资产及负债状况</w:t>
      </w:r>
      <w:r>
        <w:rPr>
          <w:rFonts w:ascii="宋体" w:hAnsi="宋体" w:cs="宋体" w:eastAsia="宋体" w:hint="default"/>
          <w:w w:val="99"/>
        </w:rPr>
        <w:t> </w:t>
      </w:r>
      <w:r>
        <w:rPr>
          <w:rFonts w:ascii="宋体" w:hAnsi="宋体" w:cs="宋体" w:eastAsia="宋体" w:hint="default"/>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pStyle w:val="BodyText"/>
        <w:spacing w:line="240" w:lineRule="auto" w:before="176"/>
        <w:ind w:left="1271" w:right="1163"/>
        <w:jc w:val="center"/>
        <w:rPr>
          <w:rFonts w:ascii="宋体" w:hAnsi="宋体" w:cs="宋体" w:eastAsia="宋体" w:hint="default"/>
        </w:rPr>
      </w:pPr>
      <w:r>
        <w:rPr/>
        <w:t>单位：元</w:t>
      </w:r>
      <w:r>
        <w:rPr>
          <w:rFonts w:ascii="宋体" w:hAnsi="宋体" w:cs="宋体" w:eastAsia="宋体" w:hint="default"/>
        </w:rPr>
        <w:t> </w:t>
      </w:r>
    </w:p>
    <w:p>
      <w:pPr>
        <w:spacing w:after="0" w:line="240" w:lineRule="auto"/>
        <w:jc w:val="center"/>
        <w:rPr>
          <w:rFonts w:ascii="宋体" w:hAnsi="宋体" w:cs="宋体" w:eastAsia="宋体" w:hint="default"/>
        </w:rPr>
        <w:sectPr>
          <w:type w:val="continuous"/>
          <w:pgSz w:w="11910" w:h="16840"/>
          <w:pgMar w:top="1580" w:bottom="280" w:left="180" w:right="180"/>
          <w:cols w:num="2" w:equalWidth="0">
            <w:col w:w="5454" w:space="2777"/>
            <w:col w:w="3319"/>
          </w:cols>
        </w:sectPr>
      </w:pPr>
    </w:p>
    <w:p>
      <w:pPr>
        <w:spacing w:line="240" w:lineRule="auto" w:before="10"/>
        <w:rPr>
          <w:rFonts w:ascii="宋体" w:hAnsi="宋体" w:cs="宋体" w:eastAsia="宋体" w:hint="default"/>
          <w:sz w:val="3"/>
          <w:szCs w:val="3"/>
        </w:rPr>
      </w:pPr>
    </w:p>
    <w:tbl>
      <w:tblPr>
        <w:tblW w:w="0" w:type="auto"/>
        <w:jc w:val="left"/>
        <w:tblInd w:w="115" w:type="dxa"/>
        <w:tblLayout w:type="fixed"/>
        <w:tblCellMar>
          <w:top w:w="0" w:type="dxa"/>
          <w:left w:w="0" w:type="dxa"/>
          <w:bottom w:w="0" w:type="dxa"/>
          <w:right w:w="0" w:type="dxa"/>
        </w:tblCellMar>
        <w:tblLook w:val="01E0"/>
      </w:tblPr>
      <w:tblGrid>
        <w:gridCol w:w="1858"/>
        <w:gridCol w:w="1745"/>
        <w:gridCol w:w="979"/>
        <w:gridCol w:w="1786"/>
        <w:gridCol w:w="874"/>
        <w:gridCol w:w="1018"/>
        <w:gridCol w:w="3049"/>
      </w:tblGrid>
      <w:tr>
        <w:trPr>
          <w:trHeight w:val="1570" w:hRule="exact"/>
        </w:trPr>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left="563" w:right="0"/>
              <w:jc w:val="left"/>
              <w:rPr>
                <w:rFonts w:ascii="宋体" w:hAnsi="宋体" w:cs="宋体" w:eastAsia="宋体" w:hint="default"/>
                <w:sz w:val="18"/>
                <w:szCs w:val="18"/>
              </w:rPr>
            </w:pPr>
            <w:r>
              <w:rPr>
                <w:rFonts w:ascii="宋体" w:hAnsi="宋体" w:cs="宋体" w:eastAsia="宋体" w:hint="default"/>
                <w:sz w:val="18"/>
                <w:szCs w:val="18"/>
              </w:rPr>
              <w:t>项目名称</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left="417" w:right="0"/>
              <w:jc w:val="left"/>
              <w:rPr>
                <w:rFonts w:ascii="宋体" w:hAnsi="宋体" w:cs="宋体" w:eastAsia="宋体" w:hint="default"/>
                <w:sz w:val="18"/>
                <w:szCs w:val="18"/>
              </w:rPr>
            </w:pPr>
            <w:r>
              <w:rPr>
                <w:rFonts w:ascii="宋体" w:hAnsi="宋体" w:cs="宋体" w:eastAsia="宋体" w:hint="default"/>
                <w:sz w:val="18"/>
                <w:szCs w:val="18"/>
              </w:rPr>
              <w:t>本期期末数</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319" w:lineRule="auto"/>
              <w:ind w:left="122" w:right="125"/>
              <w:jc w:val="both"/>
              <w:rPr>
                <w:rFonts w:ascii="宋体" w:hAnsi="宋体" w:cs="宋体" w:eastAsia="宋体" w:hint="default"/>
                <w:sz w:val="18"/>
                <w:szCs w:val="18"/>
              </w:rPr>
            </w:pPr>
            <w:r>
              <w:rPr>
                <w:rFonts w:ascii="宋体" w:hAnsi="宋体" w:cs="宋体" w:eastAsia="宋体" w:hint="default"/>
                <w:sz w:val="18"/>
                <w:szCs w:val="18"/>
              </w:rPr>
              <w:t>本期期末 数占总资 产的比例</w:t>
            </w:r>
          </w:p>
          <w:p>
            <w:pPr>
              <w:pStyle w:val="TableParagraph"/>
              <w:spacing w:line="240" w:lineRule="auto" w:before="17"/>
              <w:ind w:left="256"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left="436" w:right="0"/>
              <w:jc w:val="left"/>
              <w:rPr>
                <w:rFonts w:ascii="宋体" w:hAnsi="宋体" w:cs="宋体" w:eastAsia="宋体" w:hint="default"/>
                <w:sz w:val="18"/>
                <w:szCs w:val="18"/>
              </w:rPr>
            </w:pPr>
            <w:r>
              <w:rPr>
                <w:rFonts w:ascii="宋体" w:hAnsi="宋体" w:cs="宋体" w:eastAsia="宋体" w:hint="default"/>
                <w:sz w:val="18"/>
                <w:szCs w:val="18"/>
              </w:rPr>
              <w:t>上期期末数</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160" w:right="161"/>
              <w:jc w:val="both"/>
              <w:rPr>
                <w:rFonts w:ascii="宋体" w:hAnsi="宋体" w:cs="宋体" w:eastAsia="宋体" w:hint="default"/>
                <w:sz w:val="18"/>
                <w:szCs w:val="18"/>
              </w:rPr>
            </w:pPr>
            <w:r>
              <w:rPr>
                <w:rFonts w:ascii="宋体" w:hAnsi="宋体" w:cs="宋体" w:eastAsia="宋体" w:hint="default"/>
                <w:sz w:val="18"/>
                <w:szCs w:val="18"/>
              </w:rPr>
              <w:t>上期期 末数占 总资产 的比例</w:t>
            </w:r>
          </w:p>
          <w:p>
            <w:pPr>
              <w:pStyle w:val="TableParagraph"/>
              <w:spacing w:line="240" w:lineRule="auto" w:before="17"/>
              <w:ind w:left="206" w:right="0"/>
              <w:jc w:val="both"/>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144" w:right="143"/>
              <w:jc w:val="both"/>
              <w:rPr>
                <w:rFonts w:ascii="宋体" w:hAnsi="宋体" w:cs="宋体" w:eastAsia="宋体" w:hint="default"/>
                <w:sz w:val="18"/>
                <w:szCs w:val="18"/>
              </w:rPr>
            </w:pPr>
            <w:r>
              <w:rPr>
                <w:rFonts w:ascii="宋体" w:hAnsi="宋体" w:cs="宋体" w:eastAsia="宋体" w:hint="default"/>
                <w:sz w:val="18"/>
                <w:szCs w:val="18"/>
              </w:rPr>
              <w:t>本期期末 金额较上 期期末变 动比例</w:t>
            </w:r>
          </w:p>
          <w:p>
            <w:pPr>
              <w:pStyle w:val="TableParagraph"/>
              <w:spacing w:line="240" w:lineRule="auto" w:before="17"/>
              <w:ind w:left="278"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left="90" w:right="0"/>
              <w:jc w:val="center"/>
              <w:rPr>
                <w:rFonts w:ascii="宋体" w:hAnsi="宋体" w:cs="宋体" w:eastAsia="宋体" w:hint="default"/>
                <w:sz w:val="18"/>
                <w:szCs w:val="18"/>
              </w:rPr>
            </w:pPr>
            <w:r>
              <w:rPr>
                <w:rFonts w:ascii="宋体" w:hAnsi="宋体" w:cs="宋体" w:eastAsia="宋体" w:hint="default"/>
                <w:sz w:val="18"/>
                <w:szCs w:val="18"/>
              </w:rPr>
              <w:t>情况说明</w:t>
            </w:r>
            <w:r>
              <w:rPr>
                <w:rFonts w:ascii="宋体" w:hAnsi="宋体" w:cs="宋体" w:eastAsia="宋体" w:hint="default"/>
                <w:b/>
                <w:bCs/>
                <w:w w:val="99"/>
                <w:sz w:val="18"/>
                <w:szCs w:val="18"/>
              </w:rPr>
              <w:t> </w:t>
            </w:r>
            <w:r>
              <w:rPr>
                <w:rFonts w:ascii="宋体" w:hAnsi="宋体" w:cs="宋体" w:eastAsia="宋体" w:hint="default"/>
                <w:sz w:val="18"/>
                <w:szCs w:val="18"/>
              </w:rPr>
            </w:r>
          </w:p>
        </w:tc>
      </w:tr>
      <w:tr>
        <w:trPr>
          <w:trHeight w:val="322" w:hRule="exact"/>
        </w:trPr>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交易性金融资产</w:t>
            </w:r>
            <w:r>
              <w:rPr>
                <w:rFonts w:ascii="宋体" w:hAnsi="宋体" w:cs="宋体" w:eastAsia="宋体" w:hint="default"/>
                <w:sz w:val="18"/>
                <w:szCs w:val="18"/>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
              <w:jc w:val="right"/>
              <w:rPr>
                <w:rFonts w:ascii="宋体" w:hAnsi="宋体" w:cs="宋体" w:eastAsia="宋体" w:hint="default"/>
                <w:sz w:val="18"/>
                <w:szCs w:val="18"/>
              </w:rPr>
            </w:pPr>
            <w:r>
              <w:rPr>
                <w:rFonts w:ascii="宋体"/>
                <w:spacing w:val="-1"/>
                <w:sz w:val="18"/>
              </w:rPr>
              <w:t>1,000,586,691.42 </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3"/>
              <w:jc w:val="right"/>
              <w:rPr>
                <w:rFonts w:ascii="宋体" w:hAnsi="宋体" w:cs="宋体" w:eastAsia="宋体" w:hint="default"/>
                <w:sz w:val="18"/>
                <w:szCs w:val="18"/>
              </w:rPr>
            </w:pPr>
            <w:r>
              <w:rPr>
                <w:rFonts w:ascii="宋体"/>
                <w:spacing w:val="-1"/>
                <w:sz w:val="18"/>
              </w:rPr>
              <w:t>5.73</w:t>
            </w:r>
            <w:r>
              <w:rPr>
                <w:rFonts w:ascii="宋体"/>
                <w:sz w:val="18"/>
              </w:rPr>
              <w:t> </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z w:val="18"/>
              </w:rPr>
              <w:t>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z w:val="18"/>
              </w:rPr>
              <w:t> </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z w:val="18"/>
              </w:rPr>
              <w:t> </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主要系实行新金融准则调整所致</w:t>
            </w:r>
            <w:r>
              <w:rPr>
                <w:rFonts w:ascii="宋体" w:hAnsi="宋体" w:cs="宋体" w:eastAsia="宋体" w:hint="default"/>
                <w:sz w:val="18"/>
                <w:szCs w:val="18"/>
              </w:rPr>
              <w:t> </w:t>
            </w:r>
          </w:p>
        </w:tc>
      </w:tr>
      <w:tr>
        <w:trPr>
          <w:trHeight w:val="322" w:hRule="exact"/>
        </w:trPr>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应收票据</w:t>
            </w:r>
            <w:r>
              <w:rPr>
                <w:rFonts w:ascii="宋体" w:hAnsi="宋体" w:cs="宋体" w:eastAsia="宋体" w:hint="default"/>
                <w:sz w:val="18"/>
                <w:szCs w:val="18"/>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
              <w:jc w:val="right"/>
              <w:rPr>
                <w:rFonts w:ascii="宋体" w:hAnsi="宋体" w:cs="宋体" w:eastAsia="宋体" w:hint="default"/>
                <w:sz w:val="18"/>
                <w:szCs w:val="18"/>
              </w:rPr>
            </w:pPr>
            <w:r>
              <w:rPr>
                <w:rFonts w:ascii="宋体"/>
                <w:spacing w:val="-1"/>
                <w:sz w:val="18"/>
              </w:rPr>
              <w:t>72,943,700.52</w:t>
            </w:r>
            <w:r>
              <w:rPr>
                <w:rFonts w:ascii="宋体"/>
                <w:sz w:val="18"/>
              </w:rPr>
              <w:t> </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3"/>
              <w:jc w:val="right"/>
              <w:rPr>
                <w:rFonts w:ascii="宋体" w:hAnsi="宋体" w:cs="宋体" w:eastAsia="宋体" w:hint="default"/>
                <w:sz w:val="18"/>
                <w:szCs w:val="18"/>
              </w:rPr>
            </w:pPr>
            <w:r>
              <w:rPr>
                <w:rFonts w:ascii="宋体"/>
                <w:spacing w:val="-1"/>
                <w:sz w:val="18"/>
              </w:rPr>
              <w:t>0.42</w:t>
            </w:r>
            <w:r>
              <w:rPr>
                <w:rFonts w:ascii="宋体"/>
                <w:sz w:val="18"/>
              </w:rPr>
              <w:t> </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pacing w:val="-1"/>
                <w:sz w:val="18"/>
              </w:rPr>
              <w:t>46,033,292.54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pacing w:val="-1"/>
                <w:sz w:val="18"/>
              </w:rPr>
              <w:t>0.26</w:t>
            </w:r>
            <w:r>
              <w:rPr>
                <w:rFonts w:ascii="宋体"/>
                <w:sz w:val="18"/>
              </w:rPr>
              <w:t> </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z w:val="18"/>
              </w:rPr>
              <w:t>58.46 </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主要系商业承兑汇票增加所致</w:t>
            </w:r>
            <w:r>
              <w:rPr>
                <w:rFonts w:ascii="宋体" w:hAnsi="宋体" w:cs="宋体" w:eastAsia="宋体" w:hint="default"/>
                <w:sz w:val="18"/>
                <w:szCs w:val="18"/>
              </w:rPr>
              <w:t> </w:t>
            </w:r>
          </w:p>
        </w:tc>
      </w:tr>
      <w:tr>
        <w:trPr>
          <w:trHeight w:val="322" w:hRule="exact"/>
        </w:trPr>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应收款项融资</w:t>
            </w:r>
            <w:r>
              <w:rPr>
                <w:rFonts w:ascii="宋体" w:hAnsi="宋体" w:cs="宋体" w:eastAsia="宋体" w:hint="default"/>
                <w:sz w:val="18"/>
                <w:szCs w:val="18"/>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
              <w:jc w:val="right"/>
              <w:rPr>
                <w:rFonts w:ascii="宋体" w:hAnsi="宋体" w:cs="宋体" w:eastAsia="宋体" w:hint="default"/>
                <w:sz w:val="18"/>
                <w:szCs w:val="18"/>
              </w:rPr>
            </w:pPr>
            <w:r>
              <w:rPr>
                <w:rFonts w:ascii="宋体"/>
                <w:spacing w:val="-1"/>
                <w:sz w:val="18"/>
              </w:rPr>
              <w:t>21,311,502.62</w:t>
            </w:r>
            <w:r>
              <w:rPr>
                <w:rFonts w:ascii="宋体"/>
                <w:sz w:val="18"/>
              </w:rPr>
              <w:t> </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3"/>
              <w:jc w:val="right"/>
              <w:rPr>
                <w:rFonts w:ascii="宋体" w:hAnsi="宋体" w:cs="宋体" w:eastAsia="宋体" w:hint="default"/>
                <w:sz w:val="18"/>
                <w:szCs w:val="18"/>
              </w:rPr>
            </w:pPr>
            <w:r>
              <w:rPr>
                <w:rFonts w:ascii="宋体"/>
                <w:spacing w:val="-1"/>
                <w:sz w:val="18"/>
              </w:rPr>
              <w:t>0.12</w:t>
            </w:r>
            <w:r>
              <w:rPr>
                <w:rFonts w:ascii="宋体"/>
                <w:sz w:val="18"/>
              </w:rPr>
              <w:t> </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z w:val="18"/>
              </w:rPr>
              <w:t>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z w:val="18"/>
              </w:rPr>
              <w:t> </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z w:val="18"/>
              </w:rPr>
              <w:t> </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主要系实行新金融准则调整所致</w:t>
            </w:r>
            <w:r>
              <w:rPr>
                <w:rFonts w:ascii="宋体" w:hAnsi="宋体" w:cs="宋体" w:eastAsia="宋体" w:hint="default"/>
                <w:sz w:val="18"/>
                <w:szCs w:val="18"/>
              </w:rPr>
              <w:t> </w:t>
            </w:r>
          </w:p>
        </w:tc>
      </w:tr>
      <w:tr>
        <w:trPr>
          <w:trHeight w:val="636" w:hRule="exact"/>
        </w:trPr>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预付款项</w:t>
            </w:r>
            <w:r>
              <w:rPr>
                <w:rFonts w:ascii="宋体" w:hAnsi="宋体" w:cs="宋体" w:eastAsia="宋体" w:hint="default"/>
                <w:sz w:val="18"/>
                <w:szCs w:val="18"/>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9"/>
              <w:jc w:val="right"/>
              <w:rPr>
                <w:rFonts w:ascii="宋体" w:hAnsi="宋体" w:cs="宋体" w:eastAsia="宋体" w:hint="default"/>
                <w:sz w:val="18"/>
                <w:szCs w:val="18"/>
              </w:rPr>
            </w:pPr>
            <w:r>
              <w:rPr>
                <w:rFonts w:ascii="宋体"/>
                <w:spacing w:val="-1"/>
                <w:sz w:val="18"/>
              </w:rPr>
              <w:t>152,625,269.24 </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3"/>
              <w:jc w:val="right"/>
              <w:rPr>
                <w:rFonts w:ascii="宋体" w:hAnsi="宋体" w:cs="宋体" w:eastAsia="宋体" w:hint="default"/>
                <w:sz w:val="18"/>
                <w:szCs w:val="18"/>
              </w:rPr>
            </w:pPr>
            <w:r>
              <w:rPr>
                <w:rFonts w:ascii="宋体"/>
                <w:spacing w:val="-1"/>
                <w:sz w:val="18"/>
              </w:rPr>
              <w:t>0.87</w:t>
            </w:r>
            <w:r>
              <w:rPr>
                <w:rFonts w:ascii="宋体"/>
                <w:sz w:val="18"/>
              </w:rPr>
              <w:t> </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108,363,988.14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0.62</w:t>
            </w:r>
            <w:r>
              <w:rPr>
                <w:rFonts w:ascii="宋体"/>
                <w:sz w:val="18"/>
              </w:rPr>
              <w:t> </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1"/>
              <w:jc w:val="right"/>
              <w:rPr>
                <w:rFonts w:ascii="宋体" w:hAnsi="宋体" w:cs="宋体" w:eastAsia="宋体" w:hint="default"/>
                <w:sz w:val="18"/>
                <w:szCs w:val="18"/>
              </w:rPr>
            </w:pPr>
            <w:r>
              <w:rPr>
                <w:rFonts w:ascii="宋体"/>
                <w:sz w:val="18"/>
              </w:rPr>
              <w:t>40.85 </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01"/>
              <w:jc w:val="left"/>
              <w:rPr>
                <w:rFonts w:ascii="宋体" w:hAnsi="宋体" w:cs="宋体" w:eastAsia="宋体" w:hint="default"/>
                <w:sz w:val="18"/>
                <w:szCs w:val="18"/>
              </w:rPr>
            </w:pPr>
            <w:r>
              <w:rPr>
                <w:rFonts w:ascii="宋体" w:hAnsi="宋体" w:cs="宋体" w:eastAsia="宋体" w:hint="default"/>
                <w:sz w:val="18"/>
                <w:szCs w:val="18"/>
              </w:rPr>
              <w:t>主要系</w:t>
            </w:r>
            <w:r>
              <w:rPr>
                <w:rFonts w:ascii="宋体" w:hAnsi="宋体" w:cs="宋体" w:eastAsia="宋体" w:hint="default"/>
                <w:spacing w:val="-36"/>
                <w:sz w:val="18"/>
                <w:szCs w:val="18"/>
              </w:rPr>
              <w:t> </w:t>
            </w:r>
            <w:r>
              <w:rPr>
                <w:rFonts w:ascii="宋体" w:hAnsi="宋体" w:cs="宋体" w:eastAsia="宋体" w:hint="default"/>
                <w:sz w:val="18"/>
                <w:szCs w:val="18"/>
              </w:rPr>
              <w:t>2020</w:t>
            </w:r>
            <w:r>
              <w:rPr>
                <w:rFonts w:ascii="宋体" w:hAnsi="宋体" w:cs="宋体" w:eastAsia="宋体" w:hint="default"/>
                <w:spacing w:val="-35"/>
                <w:sz w:val="18"/>
                <w:szCs w:val="18"/>
              </w:rPr>
              <w:t> </w:t>
            </w:r>
            <w:r>
              <w:rPr>
                <w:rFonts w:ascii="宋体" w:hAnsi="宋体" w:cs="宋体" w:eastAsia="宋体" w:hint="default"/>
                <w:sz w:val="18"/>
                <w:szCs w:val="18"/>
              </w:rPr>
              <w:t>年</w:t>
            </w:r>
            <w:r>
              <w:rPr>
                <w:rFonts w:ascii="宋体" w:hAnsi="宋体" w:cs="宋体" w:eastAsia="宋体" w:hint="default"/>
                <w:spacing w:val="-36"/>
                <w:sz w:val="18"/>
                <w:szCs w:val="18"/>
              </w:rPr>
              <w:t> </w:t>
            </w:r>
            <w:r>
              <w:rPr>
                <w:rFonts w:ascii="宋体" w:hAnsi="宋体" w:cs="宋体" w:eastAsia="宋体" w:hint="default"/>
                <w:sz w:val="18"/>
                <w:szCs w:val="18"/>
              </w:rPr>
              <w:t>EPC</w:t>
            </w:r>
            <w:r>
              <w:rPr>
                <w:rFonts w:ascii="宋体" w:hAnsi="宋体" w:cs="宋体" w:eastAsia="宋体" w:hint="default"/>
                <w:spacing w:val="-35"/>
                <w:sz w:val="18"/>
                <w:szCs w:val="18"/>
              </w:rPr>
              <w:t> </w:t>
            </w:r>
            <w:r>
              <w:rPr>
                <w:rFonts w:ascii="宋体" w:hAnsi="宋体" w:cs="宋体" w:eastAsia="宋体" w:hint="default"/>
                <w:sz w:val="18"/>
                <w:szCs w:val="18"/>
              </w:rPr>
              <w:t>电站和沙特电表 订单备料所致</w:t>
            </w:r>
            <w:r>
              <w:rPr>
                <w:rFonts w:ascii="宋体" w:hAnsi="宋体" w:cs="宋体" w:eastAsia="宋体" w:hint="default"/>
                <w:sz w:val="18"/>
                <w:szCs w:val="18"/>
              </w:rPr>
              <w:t> </w:t>
            </w:r>
          </w:p>
        </w:tc>
      </w:tr>
      <w:tr>
        <w:trPr>
          <w:trHeight w:val="634" w:hRule="exact"/>
        </w:trPr>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存货</w:t>
            </w:r>
            <w:r>
              <w:rPr>
                <w:rFonts w:ascii="宋体" w:hAnsi="宋体" w:cs="宋体" w:eastAsia="宋体" w:hint="default"/>
                <w:sz w:val="18"/>
                <w:szCs w:val="18"/>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9"/>
              <w:jc w:val="right"/>
              <w:rPr>
                <w:rFonts w:ascii="宋体" w:hAnsi="宋体" w:cs="宋体" w:eastAsia="宋体" w:hint="default"/>
                <w:sz w:val="18"/>
                <w:szCs w:val="18"/>
              </w:rPr>
            </w:pPr>
            <w:r>
              <w:rPr>
                <w:rFonts w:ascii="宋体"/>
                <w:spacing w:val="-1"/>
                <w:sz w:val="18"/>
              </w:rPr>
              <w:t>798,310,166.18 </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3"/>
              <w:jc w:val="right"/>
              <w:rPr>
                <w:rFonts w:ascii="宋体" w:hAnsi="宋体" w:cs="宋体" w:eastAsia="宋体" w:hint="default"/>
                <w:sz w:val="18"/>
                <w:szCs w:val="18"/>
              </w:rPr>
            </w:pPr>
            <w:r>
              <w:rPr>
                <w:rFonts w:ascii="宋体"/>
                <w:spacing w:val="-1"/>
                <w:sz w:val="18"/>
              </w:rPr>
              <w:t>4.57</w:t>
            </w:r>
            <w:r>
              <w:rPr>
                <w:rFonts w:ascii="宋体"/>
                <w:sz w:val="18"/>
              </w:rPr>
              <w:t> </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459,804,650.78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2.62</w:t>
            </w:r>
            <w:r>
              <w:rPr>
                <w:rFonts w:ascii="宋体"/>
                <w:sz w:val="18"/>
              </w:rPr>
              <w:t> </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1"/>
              <w:jc w:val="right"/>
              <w:rPr>
                <w:rFonts w:ascii="宋体" w:hAnsi="宋体" w:cs="宋体" w:eastAsia="宋体" w:hint="default"/>
                <w:sz w:val="18"/>
                <w:szCs w:val="18"/>
              </w:rPr>
            </w:pPr>
            <w:r>
              <w:rPr>
                <w:rFonts w:ascii="宋体"/>
                <w:sz w:val="18"/>
              </w:rPr>
              <w:t>73.62 </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01"/>
              <w:jc w:val="left"/>
              <w:rPr>
                <w:rFonts w:ascii="宋体" w:hAnsi="宋体" w:cs="宋体" w:eastAsia="宋体" w:hint="default"/>
                <w:sz w:val="18"/>
                <w:szCs w:val="18"/>
              </w:rPr>
            </w:pPr>
            <w:r>
              <w:rPr>
                <w:rFonts w:ascii="宋体" w:hAnsi="宋体" w:cs="宋体" w:eastAsia="宋体" w:hint="default"/>
                <w:sz w:val="18"/>
                <w:szCs w:val="18"/>
              </w:rPr>
              <w:t>主要系</w:t>
            </w:r>
            <w:r>
              <w:rPr>
                <w:rFonts w:ascii="宋体" w:hAnsi="宋体" w:cs="宋体" w:eastAsia="宋体" w:hint="default"/>
                <w:spacing w:val="-36"/>
                <w:sz w:val="18"/>
                <w:szCs w:val="18"/>
              </w:rPr>
              <w:t> </w:t>
            </w:r>
            <w:r>
              <w:rPr>
                <w:rFonts w:ascii="宋体" w:hAnsi="宋体" w:cs="宋体" w:eastAsia="宋体" w:hint="default"/>
                <w:sz w:val="18"/>
                <w:szCs w:val="18"/>
              </w:rPr>
              <w:t>2020</w:t>
            </w:r>
            <w:r>
              <w:rPr>
                <w:rFonts w:ascii="宋体" w:hAnsi="宋体" w:cs="宋体" w:eastAsia="宋体" w:hint="default"/>
                <w:spacing w:val="-35"/>
                <w:sz w:val="18"/>
                <w:szCs w:val="18"/>
              </w:rPr>
              <w:t> </w:t>
            </w:r>
            <w:r>
              <w:rPr>
                <w:rFonts w:ascii="宋体" w:hAnsi="宋体" w:cs="宋体" w:eastAsia="宋体" w:hint="default"/>
                <w:sz w:val="18"/>
                <w:szCs w:val="18"/>
              </w:rPr>
              <w:t>年</w:t>
            </w:r>
            <w:r>
              <w:rPr>
                <w:rFonts w:ascii="宋体" w:hAnsi="宋体" w:cs="宋体" w:eastAsia="宋体" w:hint="default"/>
                <w:spacing w:val="-36"/>
                <w:sz w:val="18"/>
                <w:szCs w:val="18"/>
              </w:rPr>
              <w:t> </w:t>
            </w:r>
            <w:r>
              <w:rPr>
                <w:rFonts w:ascii="宋体" w:hAnsi="宋体" w:cs="宋体" w:eastAsia="宋体" w:hint="default"/>
                <w:sz w:val="18"/>
                <w:szCs w:val="18"/>
              </w:rPr>
              <w:t>EPC</w:t>
            </w:r>
            <w:r>
              <w:rPr>
                <w:rFonts w:ascii="宋体" w:hAnsi="宋体" w:cs="宋体" w:eastAsia="宋体" w:hint="default"/>
                <w:spacing w:val="-35"/>
                <w:sz w:val="18"/>
                <w:szCs w:val="18"/>
              </w:rPr>
              <w:t> </w:t>
            </w:r>
            <w:r>
              <w:rPr>
                <w:rFonts w:ascii="宋体" w:hAnsi="宋体" w:cs="宋体" w:eastAsia="宋体" w:hint="default"/>
                <w:sz w:val="18"/>
                <w:szCs w:val="18"/>
              </w:rPr>
              <w:t>电站和沙特电表 订单备料所致</w:t>
            </w:r>
            <w:r>
              <w:rPr>
                <w:rFonts w:ascii="宋体" w:hAnsi="宋体" w:cs="宋体" w:eastAsia="宋体" w:hint="default"/>
                <w:sz w:val="18"/>
                <w:szCs w:val="18"/>
              </w:rPr>
              <w:t> </w:t>
            </w:r>
          </w:p>
        </w:tc>
      </w:tr>
      <w:tr>
        <w:trPr>
          <w:trHeight w:val="634" w:hRule="exact"/>
        </w:trPr>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01"/>
              <w:jc w:val="left"/>
              <w:rPr>
                <w:rFonts w:ascii="宋体" w:hAnsi="宋体" w:cs="宋体" w:eastAsia="宋体" w:hint="default"/>
                <w:sz w:val="18"/>
                <w:szCs w:val="18"/>
              </w:rPr>
            </w:pPr>
            <w:r>
              <w:rPr>
                <w:rFonts w:ascii="宋体" w:hAnsi="宋体" w:cs="宋体" w:eastAsia="宋体" w:hint="default"/>
                <w:sz w:val="18"/>
                <w:szCs w:val="18"/>
              </w:rPr>
              <w:t>一年内到期的非流动</w:t>
            </w:r>
            <w:r>
              <w:rPr>
                <w:rFonts w:ascii="宋体" w:hAnsi="宋体" w:cs="宋体" w:eastAsia="宋体" w:hint="default"/>
                <w:spacing w:val="-73"/>
                <w:sz w:val="18"/>
                <w:szCs w:val="18"/>
              </w:rPr>
              <w:t> </w:t>
            </w:r>
            <w:r>
              <w:rPr>
                <w:rFonts w:ascii="宋体" w:hAnsi="宋体" w:cs="宋体" w:eastAsia="宋体" w:hint="default"/>
                <w:sz w:val="18"/>
                <w:szCs w:val="18"/>
              </w:rPr>
              <w:t>资产</w:t>
            </w:r>
            <w:r>
              <w:rPr>
                <w:rFonts w:ascii="宋体" w:hAnsi="宋体" w:cs="宋体" w:eastAsia="宋体" w:hint="default"/>
                <w:sz w:val="18"/>
                <w:szCs w:val="18"/>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9"/>
              <w:jc w:val="right"/>
              <w:rPr>
                <w:rFonts w:ascii="宋体" w:hAnsi="宋体" w:cs="宋体" w:eastAsia="宋体" w:hint="default"/>
                <w:sz w:val="18"/>
                <w:szCs w:val="18"/>
              </w:rPr>
            </w:pPr>
            <w:r>
              <w:rPr>
                <w:rFonts w:ascii="宋体"/>
                <w:spacing w:val="-1"/>
                <w:sz w:val="18"/>
              </w:rPr>
              <w:t>19,437,529.51</w:t>
            </w:r>
            <w:r>
              <w:rPr>
                <w:rFonts w:ascii="宋体"/>
                <w:sz w:val="18"/>
              </w:rPr>
              <w:t> </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3"/>
              <w:jc w:val="right"/>
              <w:rPr>
                <w:rFonts w:ascii="宋体" w:hAnsi="宋体" w:cs="宋体" w:eastAsia="宋体" w:hint="default"/>
                <w:sz w:val="18"/>
                <w:szCs w:val="18"/>
              </w:rPr>
            </w:pPr>
            <w:r>
              <w:rPr>
                <w:rFonts w:ascii="宋体"/>
                <w:spacing w:val="-1"/>
                <w:sz w:val="18"/>
              </w:rPr>
              <w:t>0.11</w:t>
            </w:r>
            <w:r>
              <w:rPr>
                <w:rFonts w:ascii="宋体"/>
                <w:sz w:val="18"/>
              </w:rPr>
              <w:t> </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32,624,355.07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0.19</w:t>
            </w:r>
            <w:r>
              <w:rPr>
                <w:rFonts w:ascii="宋体"/>
                <w:sz w:val="18"/>
              </w:rPr>
              <w:t> </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-40.42</w:t>
            </w:r>
            <w:r>
              <w:rPr>
                <w:rFonts w:ascii="宋体"/>
                <w:sz w:val="18"/>
              </w:rPr>
              <w:t> </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89"/>
              <w:jc w:val="left"/>
              <w:rPr>
                <w:rFonts w:ascii="宋体" w:hAnsi="宋体" w:cs="宋体" w:eastAsia="宋体" w:hint="default"/>
                <w:sz w:val="18"/>
                <w:szCs w:val="18"/>
              </w:rPr>
            </w:pPr>
            <w:r>
              <w:rPr>
                <w:rFonts w:ascii="宋体" w:hAnsi="宋体" w:cs="宋体" w:eastAsia="宋体" w:hint="default"/>
                <w:spacing w:val="9"/>
                <w:sz w:val="18"/>
                <w:szCs w:val="18"/>
              </w:rPr>
              <w:t>主要系一年内需归还的银行借款减 </w:t>
            </w:r>
            <w:r>
              <w:rPr>
                <w:rFonts w:ascii="宋体" w:hAnsi="宋体" w:cs="宋体" w:eastAsia="宋体" w:hint="default"/>
                <w:sz w:val="18"/>
                <w:szCs w:val="18"/>
              </w:rPr>
              <w:t>少所致</w:t>
            </w:r>
            <w:r>
              <w:rPr>
                <w:rFonts w:ascii="宋体" w:hAnsi="宋体" w:cs="宋体" w:eastAsia="宋体" w:hint="default"/>
                <w:sz w:val="18"/>
                <w:szCs w:val="18"/>
              </w:rPr>
              <w:t> </w:t>
            </w:r>
          </w:p>
        </w:tc>
      </w:tr>
      <w:tr>
        <w:trPr>
          <w:trHeight w:val="634" w:hRule="exact"/>
        </w:trPr>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其他流动资产</w:t>
            </w:r>
            <w:r>
              <w:rPr>
                <w:rFonts w:ascii="宋体" w:hAnsi="宋体" w:cs="宋体" w:eastAsia="宋体" w:hint="default"/>
                <w:sz w:val="18"/>
                <w:szCs w:val="18"/>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9"/>
              <w:jc w:val="right"/>
              <w:rPr>
                <w:rFonts w:ascii="宋体" w:hAnsi="宋体" w:cs="宋体" w:eastAsia="宋体" w:hint="default"/>
                <w:sz w:val="18"/>
                <w:szCs w:val="18"/>
              </w:rPr>
            </w:pPr>
            <w:r>
              <w:rPr>
                <w:rFonts w:ascii="宋体"/>
                <w:spacing w:val="-1"/>
                <w:sz w:val="18"/>
              </w:rPr>
              <w:t>142,173,478.22 </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3"/>
              <w:jc w:val="right"/>
              <w:rPr>
                <w:rFonts w:ascii="宋体" w:hAnsi="宋体" w:cs="宋体" w:eastAsia="宋体" w:hint="default"/>
                <w:sz w:val="18"/>
                <w:szCs w:val="18"/>
              </w:rPr>
            </w:pPr>
            <w:r>
              <w:rPr>
                <w:rFonts w:ascii="宋体"/>
                <w:spacing w:val="-1"/>
                <w:sz w:val="18"/>
              </w:rPr>
              <w:t>0.81</w:t>
            </w:r>
            <w:r>
              <w:rPr>
                <w:rFonts w:ascii="宋体"/>
                <w:sz w:val="18"/>
              </w:rPr>
              <w:t> </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1,404,304,432.53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8.00</w:t>
            </w:r>
            <w:r>
              <w:rPr>
                <w:rFonts w:ascii="宋体"/>
                <w:sz w:val="18"/>
              </w:rPr>
              <w:t> </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-89.88</w:t>
            </w:r>
            <w:r>
              <w:rPr>
                <w:rFonts w:ascii="宋体"/>
                <w:sz w:val="18"/>
              </w:rPr>
              <w:t> </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01"/>
              <w:jc w:val="left"/>
              <w:rPr>
                <w:rFonts w:ascii="宋体" w:hAnsi="宋体" w:cs="宋体" w:eastAsia="宋体" w:hint="default"/>
                <w:sz w:val="18"/>
                <w:szCs w:val="18"/>
              </w:rPr>
            </w:pPr>
            <w:r>
              <w:rPr>
                <w:rFonts w:ascii="宋体" w:hAnsi="宋体" w:cs="宋体" w:eastAsia="宋体" w:hint="default"/>
                <w:spacing w:val="-3"/>
                <w:sz w:val="18"/>
                <w:szCs w:val="18"/>
              </w:rPr>
              <w:t>主要系实行新金融准则，把理财产品</w:t>
            </w:r>
            <w:r>
              <w:rPr>
                <w:rFonts w:ascii="宋体" w:hAnsi="宋体" w:cs="宋体" w:eastAsia="宋体" w:hint="default"/>
                <w:sz w:val="18"/>
                <w:szCs w:val="18"/>
              </w:rPr>
              <w:t> 转至交易性金融资产所致</w:t>
            </w:r>
            <w:r>
              <w:rPr>
                <w:rFonts w:ascii="宋体" w:hAnsi="宋体" w:cs="宋体" w:eastAsia="宋体" w:hint="default"/>
                <w:sz w:val="18"/>
                <w:szCs w:val="18"/>
              </w:rPr>
              <w:t> </w:t>
            </w:r>
          </w:p>
        </w:tc>
      </w:tr>
      <w:tr>
        <w:trPr>
          <w:trHeight w:val="322" w:hRule="exact"/>
        </w:trPr>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可供出售金融资产</w:t>
            </w:r>
            <w:r>
              <w:rPr>
                <w:rFonts w:ascii="宋体" w:hAnsi="宋体" w:cs="宋体" w:eastAsia="宋体" w:hint="default"/>
                <w:sz w:val="18"/>
                <w:szCs w:val="18"/>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
              <w:jc w:val="right"/>
              <w:rPr>
                <w:rFonts w:ascii="宋体" w:hAnsi="宋体" w:cs="宋体" w:eastAsia="宋体" w:hint="default"/>
                <w:sz w:val="18"/>
                <w:szCs w:val="18"/>
              </w:rPr>
            </w:pPr>
            <w:r>
              <w:rPr>
                <w:rFonts w:ascii="宋体"/>
                <w:sz w:val="18"/>
              </w:rPr>
              <w:t> </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3"/>
              <w:jc w:val="right"/>
              <w:rPr>
                <w:rFonts w:ascii="宋体" w:hAnsi="宋体" w:cs="宋体" w:eastAsia="宋体" w:hint="default"/>
                <w:sz w:val="18"/>
                <w:szCs w:val="18"/>
              </w:rPr>
            </w:pPr>
            <w:r>
              <w:rPr>
                <w:rFonts w:ascii="宋体"/>
                <w:sz w:val="18"/>
              </w:rPr>
              <w:t> </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pacing w:val="-1"/>
                <w:sz w:val="18"/>
              </w:rPr>
              <w:t>39,362,000.00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pacing w:val="-1"/>
                <w:sz w:val="18"/>
              </w:rPr>
              <w:t>0.22</w:t>
            </w:r>
            <w:r>
              <w:rPr>
                <w:rFonts w:ascii="宋体"/>
                <w:sz w:val="18"/>
              </w:rPr>
              <w:t> </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pacing w:val="-1"/>
                <w:sz w:val="18"/>
              </w:rPr>
              <w:t>-100.00</w:t>
            </w:r>
            <w:r>
              <w:rPr>
                <w:rFonts w:ascii="宋体"/>
                <w:sz w:val="18"/>
              </w:rPr>
              <w:t> </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主要系实行新金融准则所致</w:t>
            </w:r>
            <w:r>
              <w:rPr>
                <w:rFonts w:ascii="宋体" w:hAnsi="宋体" w:cs="宋体" w:eastAsia="宋体" w:hint="default"/>
                <w:sz w:val="18"/>
                <w:szCs w:val="18"/>
              </w:rPr>
              <w:t> </w:t>
            </w:r>
          </w:p>
        </w:tc>
      </w:tr>
      <w:tr>
        <w:trPr>
          <w:trHeight w:val="322" w:hRule="exact"/>
        </w:trPr>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长期应收款</w:t>
            </w:r>
            <w:r>
              <w:rPr>
                <w:rFonts w:ascii="宋体" w:hAnsi="宋体" w:cs="宋体" w:eastAsia="宋体" w:hint="default"/>
                <w:sz w:val="18"/>
                <w:szCs w:val="18"/>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
              <w:jc w:val="right"/>
              <w:rPr>
                <w:rFonts w:ascii="宋体" w:hAnsi="宋体" w:cs="宋体" w:eastAsia="宋体" w:hint="default"/>
                <w:sz w:val="18"/>
                <w:szCs w:val="18"/>
              </w:rPr>
            </w:pPr>
            <w:r>
              <w:rPr>
                <w:rFonts w:ascii="宋体"/>
                <w:spacing w:val="-1"/>
                <w:sz w:val="18"/>
              </w:rPr>
              <w:t>2,149,225.65</w:t>
            </w:r>
            <w:r>
              <w:rPr>
                <w:rFonts w:ascii="宋体"/>
                <w:sz w:val="18"/>
              </w:rPr>
              <w:t> </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3"/>
              <w:jc w:val="right"/>
              <w:rPr>
                <w:rFonts w:ascii="宋体" w:hAnsi="宋体" w:cs="宋体" w:eastAsia="宋体" w:hint="default"/>
                <w:sz w:val="18"/>
                <w:szCs w:val="18"/>
              </w:rPr>
            </w:pPr>
            <w:r>
              <w:rPr>
                <w:rFonts w:ascii="宋体"/>
                <w:spacing w:val="-1"/>
                <w:sz w:val="18"/>
              </w:rPr>
              <w:t>0.01</w:t>
            </w:r>
            <w:r>
              <w:rPr>
                <w:rFonts w:ascii="宋体"/>
                <w:sz w:val="18"/>
              </w:rPr>
              <w:t> </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pacing w:val="-1"/>
                <w:sz w:val="18"/>
              </w:rPr>
              <w:t>6,038,763.14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pacing w:val="-1"/>
                <w:sz w:val="18"/>
              </w:rPr>
              <w:t>0.03</w:t>
            </w:r>
            <w:r>
              <w:rPr>
                <w:rFonts w:ascii="宋体"/>
                <w:sz w:val="18"/>
              </w:rPr>
              <w:t> </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pacing w:val="-1"/>
                <w:sz w:val="18"/>
              </w:rPr>
              <w:t>-64.41</w:t>
            </w:r>
            <w:r>
              <w:rPr>
                <w:rFonts w:ascii="宋体"/>
                <w:sz w:val="18"/>
              </w:rPr>
              <w:t> </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主要系长期应收款收回所致</w:t>
            </w:r>
            <w:r>
              <w:rPr>
                <w:rFonts w:ascii="宋体" w:hAnsi="宋体" w:cs="宋体" w:eastAsia="宋体" w:hint="default"/>
                <w:sz w:val="18"/>
                <w:szCs w:val="18"/>
              </w:rPr>
              <w:t> </w:t>
            </w:r>
          </w:p>
        </w:tc>
      </w:tr>
      <w:tr>
        <w:trPr>
          <w:trHeight w:val="324" w:hRule="exact"/>
        </w:trPr>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其他权益工具投资</w:t>
            </w:r>
            <w:r>
              <w:rPr>
                <w:rFonts w:ascii="宋体" w:hAnsi="宋体" w:cs="宋体" w:eastAsia="宋体" w:hint="default"/>
                <w:sz w:val="18"/>
                <w:szCs w:val="18"/>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
              <w:jc w:val="right"/>
              <w:rPr>
                <w:rFonts w:ascii="宋体" w:hAnsi="宋体" w:cs="宋体" w:eastAsia="宋体" w:hint="default"/>
                <w:sz w:val="18"/>
                <w:szCs w:val="18"/>
              </w:rPr>
            </w:pPr>
            <w:r>
              <w:rPr>
                <w:rFonts w:ascii="宋体"/>
                <w:spacing w:val="-1"/>
                <w:sz w:val="18"/>
              </w:rPr>
              <w:t>39,362,000.00</w:t>
            </w:r>
            <w:r>
              <w:rPr>
                <w:rFonts w:ascii="宋体"/>
                <w:sz w:val="18"/>
              </w:rPr>
              <w:t> </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3"/>
              <w:jc w:val="right"/>
              <w:rPr>
                <w:rFonts w:ascii="宋体" w:hAnsi="宋体" w:cs="宋体" w:eastAsia="宋体" w:hint="default"/>
                <w:sz w:val="18"/>
                <w:szCs w:val="18"/>
              </w:rPr>
            </w:pPr>
            <w:r>
              <w:rPr>
                <w:rFonts w:ascii="宋体"/>
                <w:spacing w:val="-1"/>
                <w:sz w:val="18"/>
              </w:rPr>
              <w:t>0.23</w:t>
            </w:r>
            <w:r>
              <w:rPr>
                <w:rFonts w:ascii="宋体"/>
                <w:sz w:val="18"/>
              </w:rPr>
              <w:t> </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 </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 </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主要系实行新金融准则所致</w:t>
            </w:r>
            <w:r>
              <w:rPr>
                <w:rFonts w:ascii="宋体" w:hAnsi="宋体" w:cs="宋体" w:eastAsia="宋体" w:hint="default"/>
                <w:sz w:val="18"/>
                <w:szCs w:val="18"/>
              </w:rPr>
              <w:t> </w:t>
            </w:r>
          </w:p>
        </w:tc>
      </w:tr>
      <w:tr>
        <w:trPr>
          <w:trHeight w:val="322" w:hRule="exact"/>
        </w:trPr>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长期待摊费用</w:t>
            </w:r>
            <w:r>
              <w:rPr>
                <w:rFonts w:ascii="宋体" w:hAnsi="宋体" w:cs="宋体" w:eastAsia="宋体" w:hint="default"/>
                <w:sz w:val="18"/>
                <w:szCs w:val="18"/>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
              <w:jc w:val="right"/>
              <w:rPr>
                <w:rFonts w:ascii="宋体" w:hAnsi="宋体" w:cs="宋体" w:eastAsia="宋体" w:hint="default"/>
                <w:sz w:val="18"/>
                <w:szCs w:val="18"/>
              </w:rPr>
            </w:pPr>
            <w:r>
              <w:rPr>
                <w:rFonts w:ascii="宋体"/>
                <w:spacing w:val="-1"/>
                <w:sz w:val="18"/>
              </w:rPr>
              <w:t>110,524,325.68 </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3"/>
              <w:jc w:val="right"/>
              <w:rPr>
                <w:rFonts w:ascii="宋体" w:hAnsi="宋体" w:cs="宋体" w:eastAsia="宋体" w:hint="default"/>
                <w:sz w:val="18"/>
                <w:szCs w:val="18"/>
              </w:rPr>
            </w:pPr>
            <w:r>
              <w:rPr>
                <w:rFonts w:ascii="宋体"/>
                <w:spacing w:val="-1"/>
                <w:sz w:val="18"/>
              </w:rPr>
              <w:t>0.63</w:t>
            </w:r>
            <w:r>
              <w:rPr>
                <w:rFonts w:ascii="宋体"/>
                <w:sz w:val="18"/>
              </w:rPr>
              <w:t> </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pacing w:val="-1"/>
                <w:sz w:val="18"/>
              </w:rPr>
              <w:t>74,587,452.84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pacing w:val="-1"/>
                <w:sz w:val="18"/>
              </w:rPr>
              <w:t>0.43</w:t>
            </w:r>
            <w:r>
              <w:rPr>
                <w:rFonts w:ascii="宋体"/>
                <w:sz w:val="18"/>
              </w:rPr>
              <w:t> </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z w:val="18"/>
              </w:rPr>
              <w:t>48.18 </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主要系合同能源管理业务增加所致</w:t>
            </w:r>
            <w:r>
              <w:rPr>
                <w:rFonts w:ascii="宋体" w:hAnsi="宋体" w:cs="宋体" w:eastAsia="宋体" w:hint="default"/>
                <w:sz w:val="18"/>
                <w:szCs w:val="18"/>
              </w:rPr>
              <w:t> </w:t>
            </w:r>
          </w:p>
        </w:tc>
      </w:tr>
      <w:tr>
        <w:trPr>
          <w:trHeight w:val="322" w:hRule="exact"/>
        </w:trPr>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其他非流动资产</w:t>
            </w:r>
            <w:r>
              <w:rPr>
                <w:rFonts w:ascii="宋体" w:hAnsi="宋体" w:cs="宋体" w:eastAsia="宋体" w:hint="default"/>
                <w:sz w:val="18"/>
                <w:szCs w:val="18"/>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
              <w:jc w:val="right"/>
              <w:rPr>
                <w:rFonts w:ascii="宋体" w:hAnsi="宋体" w:cs="宋体" w:eastAsia="宋体" w:hint="default"/>
                <w:sz w:val="18"/>
                <w:szCs w:val="18"/>
              </w:rPr>
            </w:pPr>
            <w:r>
              <w:rPr>
                <w:rFonts w:ascii="宋体"/>
                <w:spacing w:val="-1"/>
                <w:sz w:val="18"/>
              </w:rPr>
              <w:t>569,892,201.37 </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3"/>
              <w:jc w:val="right"/>
              <w:rPr>
                <w:rFonts w:ascii="宋体" w:hAnsi="宋体" w:cs="宋体" w:eastAsia="宋体" w:hint="default"/>
                <w:sz w:val="18"/>
                <w:szCs w:val="18"/>
              </w:rPr>
            </w:pPr>
            <w:r>
              <w:rPr>
                <w:rFonts w:ascii="宋体"/>
                <w:spacing w:val="-1"/>
                <w:sz w:val="18"/>
              </w:rPr>
              <w:t>3.26</w:t>
            </w:r>
            <w:r>
              <w:rPr>
                <w:rFonts w:ascii="宋体"/>
                <w:sz w:val="18"/>
              </w:rPr>
              <w:t> </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pacing w:val="-1"/>
                <w:sz w:val="18"/>
              </w:rPr>
              <w:t>852,065,042.59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pacing w:val="-1"/>
                <w:sz w:val="18"/>
              </w:rPr>
              <w:t>4.86</w:t>
            </w:r>
            <w:r>
              <w:rPr>
                <w:rFonts w:ascii="宋体"/>
                <w:sz w:val="18"/>
              </w:rPr>
              <w:t> </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pacing w:val="-1"/>
                <w:sz w:val="18"/>
              </w:rPr>
              <w:t>-33.12</w:t>
            </w:r>
            <w:r>
              <w:rPr>
                <w:rFonts w:ascii="宋体"/>
                <w:sz w:val="18"/>
              </w:rPr>
              <w:t> </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主要系待抵扣的进项税减少所致</w:t>
            </w:r>
            <w:r>
              <w:rPr>
                <w:rFonts w:ascii="宋体" w:hAnsi="宋体" w:cs="宋体" w:eastAsia="宋体" w:hint="default"/>
                <w:sz w:val="18"/>
                <w:szCs w:val="18"/>
              </w:rPr>
              <w:t> </w:t>
            </w:r>
          </w:p>
        </w:tc>
      </w:tr>
      <w:tr>
        <w:trPr>
          <w:trHeight w:val="322" w:hRule="exact"/>
        </w:trPr>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短期借款</w:t>
            </w:r>
            <w:r>
              <w:rPr>
                <w:rFonts w:ascii="宋体" w:hAnsi="宋体" w:cs="宋体" w:eastAsia="宋体" w:hint="default"/>
                <w:sz w:val="18"/>
                <w:szCs w:val="18"/>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
              <w:jc w:val="right"/>
              <w:rPr>
                <w:rFonts w:ascii="宋体" w:hAnsi="宋体" w:cs="宋体" w:eastAsia="宋体" w:hint="default"/>
                <w:sz w:val="18"/>
                <w:szCs w:val="18"/>
              </w:rPr>
            </w:pPr>
            <w:r>
              <w:rPr>
                <w:rFonts w:ascii="宋体"/>
                <w:spacing w:val="-1"/>
                <w:sz w:val="18"/>
              </w:rPr>
              <w:t>901,123,671.16 </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3"/>
              <w:jc w:val="right"/>
              <w:rPr>
                <w:rFonts w:ascii="宋体" w:hAnsi="宋体" w:cs="宋体" w:eastAsia="宋体" w:hint="default"/>
                <w:sz w:val="18"/>
                <w:szCs w:val="18"/>
              </w:rPr>
            </w:pPr>
            <w:r>
              <w:rPr>
                <w:rFonts w:ascii="宋体"/>
                <w:spacing w:val="-1"/>
                <w:sz w:val="18"/>
              </w:rPr>
              <w:t>5.16</w:t>
            </w:r>
            <w:r>
              <w:rPr>
                <w:rFonts w:ascii="宋体"/>
                <w:sz w:val="18"/>
              </w:rPr>
              <w:t> </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pacing w:val="-1"/>
                <w:sz w:val="18"/>
              </w:rPr>
              <w:t>396,550,000.00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pacing w:val="-1"/>
                <w:sz w:val="18"/>
              </w:rPr>
              <w:t>2.26</w:t>
            </w:r>
            <w:r>
              <w:rPr>
                <w:rFonts w:ascii="宋体"/>
                <w:sz w:val="18"/>
              </w:rPr>
              <w:t> </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pacing w:val="-1"/>
                <w:sz w:val="18"/>
              </w:rPr>
              <w:t>127.24</w:t>
            </w:r>
            <w:r>
              <w:rPr>
                <w:rFonts w:ascii="宋体"/>
                <w:sz w:val="18"/>
              </w:rPr>
              <w:t> </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主要系短期银行借款增加所致</w:t>
            </w:r>
            <w:r>
              <w:rPr>
                <w:rFonts w:ascii="宋体" w:hAnsi="宋体" w:cs="宋体" w:eastAsia="宋体" w:hint="default"/>
                <w:sz w:val="18"/>
                <w:szCs w:val="18"/>
              </w:rPr>
              <w:t> </w:t>
            </w:r>
          </w:p>
        </w:tc>
      </w:tr>
      <w:tr>
        <w:trPr>
          <w:trHeight w:val="322" w:hRule="exact"/>
        </w:trPr>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应付票据</w:t>
            </w:r>
            <w:r>
              <w:rPr>
                <w:rFonts w:ascii="宋体" w:hAnsi="宋体" w:cs="宋体" w:eastAsia="宋体" w:hint="default"/>
                <w:sz w:val="18"/>
                <w:szCs w:val="18"/>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
              <w:jc w:val="right"/>
              <w:rPr>
                <w:rFonts w:ascii="宋体" w:hAnsi="宋体" w:cs="宋体" w:eastAsia="宋体" w:hint="default"/>
                <w:sz w:val="18"/>
                <w:szCs w:val="18"/>
              </w:rPr>
            </w:pPr>
            <w:r>
              <w:rPr>
                <w:rFonts w:ascii="宋体"/>
                <w:spacing w:val="-1"/>
                <w:sz w:val="18"/>
              </w:rPr>
              <w:t>313,406,831.93 </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3"/>
              <w:jc w:val="right"/>
              <w:rPr>
                <w:rFonts w:ascii="宋体" w:hAnsi="宋体" w:cs="宋体" w:eastAsia="宋体" w:hint="default"/>
                <w:sz w:val="18"/>
                <w:szCs w:val="18"/>
              </w:rPr>
            </w:pPr>
            <w:r>
              <w:rPr>
                <w:rFonts w:ascii="宋体"/>
                <w:spacing w:val="-1"/>
                <w:sz w:val="18"/>
              </w:rPr>
              <w:t>1.79</w:t>
            </w:r>
            <w:r>
              <w:rPr>
                <w:rFonts w:ascii="宋体"/>
                <w:sz w:val="18"/>
              </w:rPr>
              <w:t> </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pacing w:val="-1"/>
                <w:sz w:val="18"/>
              </w:rPr>
              <w:t>595,703,446.86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pacing w:val="-1"/>
                <w:sz w:val="18"/>
              </w:rPr>
              <w:t>3.40</w:t>
            </w:r>
            <w:r>
              <w:rPr>
                <w:rFonts w:ascii="宋体"/>
                <w:sz w:val="18"/>
              </w:rPr>
              <w:t> </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pacing w:val="-1"/>
                <w:sz w:val="18"/>
              </w:rPr>
              <w:t>-47.39</w:t>
            </w:r>
            <w:r>
              <w:rPr>
                <w:rFonts w:ascii="宋体"/>
                <w:sz w:val="18"/>
              </w:rPr>
              <w:t> </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主要系本期银行承兑解付所致</w:t>
            </w:r>
            <w:r>
              <w:rPr>
                <w:rFonts w:ascii="宋体" w:hAnsi="宋体" w:cs="宋体" w:eastAsia="宋体" w:hint="default"/>
                <w:sz w:val="18"/>
                <w:szCs w:val="18"/>
              </w:rPr>
              <w:t> </w:t>
            </w:r>
          </w:p>
        </w:tc>
      </w:tr>
    </w:tbl>
    <w:p>
      <w:pPr>
        <w:spacing w:after="0" w:line="240" w:lineRule="auto"/>
        <w:jc w:val="left"/>
        <w:rPr>
          <w:rFonts w:ascii="宋体" w:hAnsi="宋体" w:cs="宋体" w:eastAsia="宋体" w:hint="default"/>
          <w:sz w:val="18"/>
          <w:szCs w:val="18"/>
        </w:rPr>
        <w:sectPr>
          <w:type w:val="continuous"/>
          <w:pgSz w:w="11910" w:h="16840"/>
          <w:pgMar w:top="1580" w:bottom="280" w:left="180" w:right="180"/>
        </w:sectPr>
      </w:pPr>
    </w:p>
    <w:p>
      <w:pPr>
        <w:spacing w:line="240" w:lineRule="auto" w:before="11"/>
        <w:rPr>
          <w:rFonts w:ascii="宋体" w:hAnsi="宋体" w:cs="宋体" w:eastAsia="宋体" w:hint="default"/>
          <w:sz w:val="22"/>
          <w:szCs w:val="22"/>
        </w:rPr>
      </w:pPr>
    </w:p>
    <w:tbl>
      <w:tblPr>
        <w:tblW w:w="0" w:type="auto"/>
        <w:jc w:val="left"/>
        <w:tblInd w:w="115" w:type="dxa"/>
        <w:tblLayout w:type="fixed"/>
        <w:tblCellMar>
          <w:top w:w="0" w:type="dxa"/>
          <w:left w:w="0" w:type="dxa"/>
          <w:bottom w:w="0" w:type="dxa"/>
          <w:right w:w="0" w:type="dxa"/>
        </w:tblCellMar>
        <w:tblLook w:val="01E0"/>
      </w:tblPr>
      <w:tblGrid>
        <w:gridCol w:w="1858"/>
        <w:gridCol w:w="1745"/>
        <w:gridCol w:w="979"/>
        <w:gridCol w:w="1786"/>
        <w:gridCol w:w="874"/>
        <w:gridCol w:w="1018"/>
        <w:gridCol w:w="3049"/>
      </w:tblGrid>
      <w:tr>
        <w:trPr>
          <w:trHeight w:val="322" w:hRule="exact"/>
        </w:trPr>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20"/>
                <w:szCs w:val="20"/>
              </w:rPr>
            </w:pPr>
            <w:r>
              <w:rPr>
                <w:rFonts w:ascii="宋体" w:hAnsi="宋体" w:cs="宋体" w:eastAsia="宋体" w:hint="default"/>
                <w:sz w:val="18"/>
                <w:szCs w:val="18"/>
              </w:rPr>
              <w:t>预收款项</w:t>
            </w:r>
            <w:r>
              <w:rPr>
                <w:rFonts w:ascii="宋体" w:hAnsi="宋体" w:cs="宋体" w:eastAsia="宋体" w:hint="default"/>
                <w:w w:val="99"/>
                <w:sz w:val="20"/>
                <w:szCs w:val="20"/>
              </w:rPr>
              <w:t> </w:t>
            </w:r>
            <w:r>
              <w:rPr>
                <w:rFonts w:ascii="宋体" w:hAnsi="宋体" w:cs="宋体" w:eastAsia="宋体" w:hint="default"/>
                <w:sz w:val="20"/>
                <w:szCs w:val="20"/>
              </w:rPr>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1"/>
              <w:jc w:val="right"/>
              <w:rPr>
                <w:rFonts w:ascii="宋体" w:hAnsi="宋体" w:cs="宋体" w:eastAsia="宋体" w:hint="default"/>
                <w:sz w:val="20"/>
                <w:szCs w:val="20"/>
              </w:rPr>
            </w:pPr>
            <w:r>
              <w:rPr>
                <w:rFonts w:ascii="宋体"/>
                <w:w w:val="95"/>
                <w:sz w:val="20"/>
              </w:rPr>
              <w:t>71,514,403.14 </w:t>
            </w:r>
            <w:r>
              <w:rPr>
                <w:rFonts w:ascii="宋体"/>
                <w:sz w:val="20"/>
              </w:rPr>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5"/>
              <w:jc w:val="right"/>
              <w:rPr>
                <w:rFonts w:ascii="宋体" w:hAnsi="宋体" w:cs="宋体" w:eastAsia="宋体" w:hint="default"/>
                <w:sz w:val="20"/>
                <w:szCs w:val="20"/>
              </w:rPr>
            </w:pPr>
            <w:r>
              <w:rPr>
                <w:rFonts w:ascii="宋体"/>
                <w:w w:val="95"/>
                <w:sz w:val="20"/>
              </w:rPr>
              <w:t>0.41 </w:t>
            </w:r>
            <w:r>
              <w:rPr>
                <w:rFonts w:ascii="宋体"/>
                <w:sz w:val="20"/>
              </w:rPr>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1"/>
              <w:jc w:val="right"/>
              <w:rPr>
                <w:rFonts w:ascii="宋体" w:hAnsi="宋体" w:cs="宋体" w:eastAsia="宋体" w:hint="default"/>
                <w:sz w:val="20"/>
                <w:szCs w:val="20"/>
              </w:rPr>
            </w:pPr>
            <w:r>
              <w:rPr>
                <w:rFonts w:ascii="宋体"/>
                <w:w w:val="95"/>
                <w:sz w:val="20"/>
              </w:rPr>
              <w:t>14,625,634.40 </w:t>
            </w:r>
            <w:r>
              <w:rPr>
                <w:rFonts w:ascii="宋体"/>
                <w:sz w:val="20"/>
              </w:rPr>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1"/>
              <w:jc w:val="right"/>
              <w:rPr>
                <w:rFonts w:ascii="宋体" w:hAnsi="宋体" w:cs="宋体" w:eastAsia="宋体" w:hint="default"/>
                <w:sz w:val="20"/>
                <w:szCs w:val="20"/>
              </w:rPr>
            </w:pPr>
            <w:r>
              <w:rPr>
                <w:rFonts w:ascii="宋体"/>
                <w:w w:val="95"/>
                <w:sz w:val="20"/>
              </w:rPr>
              <w:t>0.08 </w:t>
            </w:r>
            <w:r>
              <w:rPr>
                <w:rFonts w:ascii="宋体"/>
                <w:sz w:val="20"/>
              </w:rPr>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1"/>
              <w:jc w:val="right"/>
              <w:rPr>
                <w:rFonts w:ascii="宋体" w:hAnsi="宋体" w:cs="宋体" w:eastAsia="宋体" w:hint="default"/>
                <w:sz w:val="20"/>
                <w:szCs w:val="20"/>
              </w:rPr>
            </w:pPr>
            <w:r>
              <w:rPr>
                <w:rFonts w:ascii="宋体"/>
                <w:w w:val="95"/>
                <w:sz w:val="20"/>
              </w:rPr>
              <w:t>388.97 </w:t>
            </w:r>
            <w:r>
              <w:rPr>
                <w:rFonts w:ascii="宋体"/>
                <w:sz w:val="20"/>
              </w:rPr>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主要系预收货款增加所致</w:t>
            </w:r>
            <w:r>
              <w:rPr>
                <w:rFonts w:ascii="宋体" w:hAnsi="宋体" w:cs="宋体" w:eastAsia="宋体" w:hint="default"/>
                <w:sz w:val="18"/>
                <w:szCs w:val="18"/>
              </w:rPr>
              <w:t> </w:t>
            </w:r>
          </w:p>
        </w:tc>
      </w:tr>
      <w:tr>
        <w:trPr>
          <w:trHeight w:val="322" w:hRule="exact"/>
        </w:trPr>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应交税费</w:t>
            </w:r>
            <w:r>
              <w:rPr>
                <w:rFonts w:ascii="宋体" w:hAnsi="宋体" w:cs="宋体" w:eastAsia="宋体" w:hint="default"/>
                <w:sz w:val="18"/>
                <w:szCs w:val="18"/>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
              <w:jc w:val="right"/>
              <w:rPr>
                <w:rFonts w:ascii="宋体" w:hAnsi="宋体" w:cs="宋体" w:eastAsia="宋体" w:hint="default"/>
                <w:sz w:val="18"/>
                <w:szCs w:val="18"/>
              </w:rPr>
            </w:pPr>
            <w:r>
              <w:rPr>
                <w:rFonts w:ascii="宋体"/>
                <w:spacing w:val="-1"/>
                <w:sz w:val="18"/>
              </w:rPr>
              <w:t>41,422,544.60</w:t>
            </w:r>
            <w:r>
              <w:rPr>
                <w:rFonts w:ascii="宋体"/>
                <w:sz w:val="18"/>
              </w:rPr>
              <w:t> </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3"/>
              <w:jc w:val="right"/>
              <w:rPr>
                <w:rFonts w:ascii="宋体" w:hAnsi="宋体" w:cs="宋体" w:eastAsia="宋体" w:hint="default"/>
                <w:sz w:val="18"/>
                <w:szCs w:val="18"/>
              </w:rPr>
            </w:pPr>
            <w:r>
              <w:rPr>
                <w:rFonts w:ascii="宋体"/>
                <w:spacing w:val="-1"/>
                <w:sz w:val="18"/>
              </w:rPr>
              <w:t>0.24</w:t>
            </w:r>
            <w:r>
              <w:rPr>
                <w:rFonts w:ascii="宋体"/>
                <w:sz w:val="18"/>
              </w:rPr>
              <w:t> </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pacing w:val="-1"/>
                <w:sz w:val="18"/>
              </w:rPr>
              <w:t>78,401,926.46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pacing w:val="-1"/>
                <w:sz w:val="18"/>
              </w:rPr>
              <w:t>0.45</w:t>
            </w:r>
            <w:r>
              <w:rPr>
                <w:rFonts w:ascii="宋体"/>
                <w:sz w:val="18"/>
              </w:rPr>
              <w:t> </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pacing w:val="-1"/>
                <w:sz w:val="18"/>
              </w:rPr>
              <w:t>-47.17</w:t>
            </w:r>
            <w:r>
              <w:rPr>
                <w:rFonts w:ascii="宋体"/>
                <w:sz w:val="18"/>
              </w:rPr>
              <w:t> </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主要系应交增值税的减少所致</w:t>
            </w:r>
            <w:r>
              <w:rPr>
                <w:rFonts w:ascii="宋体" w:hAnsi="宋体" w:cs="宋体" w:eastAsia="宋体" w:hint="default"/>
                <w:sz w:val="18"/>
                <w:szCs w:val="18"/>
              </w:rPr>
              <w:t> </w:t>
            </w:r>
          </w:p>
        </w:tc>
      </w:tr>
    </w:tbl>
    <w:p>
      <w:pPr>
        <w:pStyle w:val="BodyText"/>
        <w:spacing w:line="262" w:lineRule="exact"/>
        <w:ind w:left="1238" w:right="0"/>
        <w:jc w:val="left"/>
        <w:rPr>
          <w:rFonts w:ascii="宋体" w:hAnsi="宋体" w:cs="宋体" w:eastAsia="宋体" w:hint="default"/>
        </w:rPr>
      </w:pPr>
      <w:r>
        <w:rPr>
          <w:rFonts w:ascii="宋体"/>
          <w:w w:val="100"/>
        </w:rPr>
        <w:t> </w:t>
      </w:r>
    </w:p>
    <w:p>
      <w:pPr>
        <w:pStyle w:val="Heading3"/>
        <w:tabs>
          <w:tab w:pos="1663" w:val="left" w:leader="none"/>
        </w:tabs>
        <w:spacing w:line="240" w:lineRule="auto"/>
        <w:ind w:left="1238" w:right="0"/>
        <w:jc w:val="left"/>
        <w:rPr>
          <w:rFonts w:ascii="宋体" w:hAnsi="宋体" w:cs="宋体" w:eastAsia="宋体" w:hint="default"/>
          <w:b w:val="0"/>
          <w:bCs w:val="0"/>
        </w:rPr>
      </w:pPr>
      <w:r>
        <w:rPr>
          <w:rFonts w:ascii="宋体" w:hAnsi="宋体" w:cs="宋体" w:eastAsia="宋体" w:hint="default"/>
          <w:w w:val="95"/>
        </w:rPr>
        <w:t>2.</w:t>
        <w:tab/>
      </w:r>
      <w:r>
        <w:rPr/>
        <w:t>截至报告期末主要资产受限情况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7"/>
        <w:ind w:left="1238" w:right="0"/>
        <w:jc w:val="left"/>
        <w:rPr>
          <w:rFonts w:ascii="宋体" w:hAnsi="宋体" w:cs="宋体" w:eastAsia="宋体" w:hint="default"/>
        </w:rPr>
      </w:pPr>
      <w:r>
        <w:rPr/>
        <w:t>√适用</w:t>
      </w:r>
      <w:r>
        <w:rPr>
          <w:spacing w:val="104"/>
        </w:rPr>
        <w:t> </w:t>
      </w:r>
      <w:r>
        <w:rPr>
          <w:rFonts w:ascii="宋体" w:hAnsi="宋体" w:cs="宋体" w:eastAsia="宋体" w:hint="default"/>
          <w:spacing w:val="104"/>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auto" w:before="37"/>
        <w:ind w:left="1238" w:right="432"/>
        <w:jc w:val="left"/>
        <w:rPr>
          <w:rFonts w:ascii="宋体" w:hAnsi="宋体" w:cs="宋体" w:eastAsia="宋体" w:hint="default"/>
        </w:rPr>
      </w:pPr>
      <w:r>
        <w:rPr/>
        <w:t>详见附注七</w:t>
      </w:r>
      <w:r>
        <w:rPr>
          <w:rFonts w:ascii="宋体" w:hAnsi="宋体" w:cs="宋体" w:eastAsia="宋体" w:hint="default"/>
        </w:rPr>
        <w:t>-1</w:t>
      </w:r>
      <w:r>
        <w:rPr>
          <w:rFonts w:ascii="宋体" w:hAnsi="宋体" w:cs="宋体" w:eastAsia="宋体" w:hint="default"/>
          <w:spacing w:val="-47"/>
        </w:rPr>
        <w:t> </w:t>
      </w:r>
      <w:r>
        <w:rPr>
          <w:spacing w:val="-3"/>
        </w:rPr>
        <w:t>货币资金受限情况、附注七</w:t>
      </w:r>
      <w:r>
        <w:rPr>
          <w:rFonts w:ascii="宋体" w:hAnsi="宋体" w:cs="宋体" w:eastAsia="宋体" w:hint="default"/>
          <w:spacing w:val="-3"/>
        </w:rPr>
        <w:t>-79</w:t>
      </w:r>
      <w:r>
        <w:rPr>
          <w:rFonts w:ascii="宋体" w:hAnsi="宋体" w:cs="宋体" w:eastAsia="宋体" w:hint="default"/>
          <w:spacing w:val="-45"/>
        </w:rPr>
        <w:t> </w:t>
      </w:r>
      <w:r>
        <w:rPr/>
        <w:t>所有权或使用权受到限制的资产和附注十四</w:t>
      </w:r>
      <w:r>
        <w:rPr>
          <w:rFonts w:ascii="宋体" w:hAnsi="宋体" w:cs="宋体" w:eastAsia="宋体" w:hint="default"/>
        </w:rPr>
        <w:t>-1</w:t>
      </w:r>
      <w:r>
        <w:rPr>
          <w:rFonts w:ascii="宋体" w:hAnsi="宋体" w:cs="宋体" w:eastAsia="宋体" w:hint="default"/>
          <w:spacing w:val="-47"/>
        </w:rPr>
        <w:t> </w:t>
      </w:r>
      <w:r>
        <w:rPr/>
        <w:t>重要承</w:t>
      </w:r>
      <w:r>
        <w:rPr>
          <w:spacing w:val="-102"/>
        </w:rPr>
        <w:t> </w:t>
      </w:r>
      <w:r>
        <w:rPr>
          <w:spacing w:val="-102"/>
        </w:rPr>
      </w:r>
      <w:r>
        <w:rPr/>
        <w:t>诺事项。</w:t>
      </w:r>
      <w:r>
        <w:rPr>
          <w:rFonts w:ascii="宋体" w:hAnsi="宋体" w:cs="宋体" w:eastAsia="宋体" w:hint="default"/>
        </w:rPr>
        <w:t> </w:t>
      </w:r>
    </w:p>
    <w:p>
      <w:pPr>
        <w:pStyle w:val="BodyText"/>
        <w:spacing w:line="240" w:lineRule="auto" w:before="7"/>
        <w:ind w:left="1238" w:right="0"/>
        <w:jc w:val="left"/>
        <w:rPr>
          <w:rFonts w:ascii="宋体" w:hAnsi="宋体" w:cs="宋体" w:eastAsia="宋体" w:hint="default"/>
        </w:rPr>
      </w:pPr>
      <w:r>
        <w:rPr>
          <w:rFonts w:ascii="宋体"/>
          <w:w w:val="100"/>
        </w:rPr>
        <w:t> </w:t>
      </w:r>
    </w:p>
    <w:p>
      <w:pPr>
        <w:pStyle w:val="Heading3"/>
        <w:tabs>
          <w:tab w:pos="1663" w:val="left" w:leader="none"/>
        </w:tabs>
        <w:spacing w:line="240" w:lineRule="auto"/>
        <w:ind w:left="1238" w:right="0"/>
        <w:jc w:val="left"/>
        <w:rPr>
          <w:rFonts w:ascii="宋体" w:hAnsi="宋体" w:cs="宋体" w:eastAsia="宋体" w:hint="default"/>
          <w:b w:val="0"/>
          <w:bCs w:val="0"/>
        </w:rPr>
      </w:pPr>
      <w:r>
        <w:rPr>
          <w:rFonts w:ascii="宋体" w:hAnsi="宋体" w:cs="宋体" w:eastAsia="宋体" w:hint="default"/>
          <w:w w:val="95"/>
        </w:rPr>
        <w:t>3.</w:t>
        <w:tab/>
      </w:r>
      <w:r>
        <w:rPr/>
        <w:t>其他说明</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7"/>
        <w:ind w:left="1238" w:right="0"/>
        <w:jc w:val="left"/>
        <w:rPr>
          <w:rFonts w:ascii="宋体" w:hAnsi="宋体" w:cs="宋体" w:eastAsia="宋体" w:hint="default"/>
        </w:rPr>
      </w:pPr>
      <w:r>
        <w:rPr/>
        <w:t>□适用</w:t>
      </w:r>
      <w:r>
        <w:rPr>
          <w:spacing w:val="104"/>
        </w:rPr>
        <w:t> </w:t>
      </w:r>
      <w:r>
        <w:rPr>
          <w:rFonts w:ascii="宋体" w:hAnsi="宋体" w:cs="宋体" w:eastAsia="宋体" w:hint="default"/>
          <w:spacing w:val="104"/>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left="1238" w:right="0"/>
        <w:jc w:val="left"/>
        <w:rPr>
          <w:rFonts w:ascii="宋体" w:hAnsi="宋体" w:cs="宋体" w:eastAsia="宋体" w:hint="default"/>
        </w:rPr>
      </w:pPr>
      <w:r>
        <w:rPr>
          <w:rFonts w:ascii="宋体"/>
          <w:w w:val="100"/>
        </w:rPr>
        <w:t> </w:t>
      </w:r>
    </w:p>
    <w:p>
      <w:pPr>
        <w:pStyle w:val="Heading3"/>
        <w:tabs>
          <w:tab w:pos="2078" w:val="left" w:leader="none"/>
        </w:tabs>
        <w:spacing w:line="240" w:lineRule="auto"/>
        <w:ind w:left="1238" w:right="0"/>
        <w:jc w:val="left"/>
        <w:rPr>
          <w:b w:val="0"/>
          <w:bCs w:val="0"/>
        </w:rPr>
      </w:pPr>
      <w:r>
        <w:rPr>
          <w:rFonts w:ascii="宋体" w:hAnsi="宋体" w:cs="宋体" w:eastAsia="宋体" w:hint="default"/>
          <w:w w:val="95"/>
        </w:rPr>
        <w:t>(</w:t>
      </w:r>
      <w:r>
        <w:rPr>
          <w:w w:val="95"/>
        </w:rPr>
        <w:t>四</w:t>
      </w:r>
      <w:r>
        <w:rPr>
          <w:rFonts w:ascii="宋体" w:hAnsi="宋体" w:cs="宋体" w:eastAsia="宋体" w:hint="default"/>
          <w:w w:val="95"/>
        </w:rPr>
        <w:t>)</w:t>
        <w:tab/>
      </w:r>
      <w:r>
        <w:rPr/>
        <w:t>行业经营性信息分析</w:t>
      </w:r>
      <w:r>
        <w:rPr>
          <w:b w:val="0"/>
          <w:bCs w:val="0"/>
        </w:rPr>
      </w:r>
    </w:p>
    <w:p>
      <w:pPr>
        <w:pStyle w:val="BodyText"/>
        <w:spacing w:line="273" w:lineRule="auto" w:before="97"/>
        <w:ind w:left="1238" w:right="2032"/>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参照“第四节经营情况讨论与分析”中“三、（一）行业格局和趋势”。</w:t>
      </w:r>
      <w:r>
        <w:rPr>
          <w:rFonts w:ascii="宋体" w:hAnsi="宋体" w:cs="宋体" w:eastAsia="宋体" w:hint="default"/>
        </w:rPr>
        <w:t> </w:t>
      </w:r>
    </w:p>
    <w:p>
      <w:pPr>
        <w:spacing w:after="0" w:line="273" w:lineRule="auto"/>
        <w:jc w:val="left"/>
        <w:rPr>
          <w:rFonts w:ascii="宋体" w:hAnsi="宋体" w:cs="宋体" w:eastAsia="宋体" w:hint="default"/>
        </w:rPr>
        <w:sectPr>
          <w:pgSz w:w="11910" w:h="16840"/>
          <w:pgMar w:header="748" w:footer="974" w:top="1140" w:bottom="1160" w:left="180" w:right="180"/>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5"/>
          <w:szCs w:val="15"/>
        </w:rPr>
      </w:pPr>
    </w:p>
    <w:p>
      <w:pPr>
        <w:pStyle w:val="Heading3"/>
        <w:tabs>
          <w:tab w:pos="1202" w:val="left" w:leader="none"/>
        </w:tabs>
        <w:spacing w:line="290" w:lineRule="auto" w:before="0"/>
        <w:ind w:left="778" w:right="7201"/>
        <w:jc w:val="left"/>
        <w:rPr>
          <w:b w:val="0"/>
          <w:bCs w:val="0"/>
        </w:rPr>
      </w:pPr>
      <w:r>
        <w:rPr/>
        <w:t>光伏行业经营性信息分析</w:t>
      </w:r>
      <w:r>
        <w:rPr>
          <w:rFonts w:ascii="宋体" w:hAnsi="宋体" w:cs="宋体" w:eastAsia="宋体" w:hint="default"/>
          <w:w w:val="99"/>
        </w:rPr>
        <w:t> </w:t>
      </w:r>
      <w:r>
        <w:rPr>
          <w:rFonts w:ascii="宋体" w:hAnsi="宋体" w:cs="宋体" w:eastAsia="宋体" w:hint="default"/>
          <w:w w:val="95"/>
        </w:rPr>
        <w:t>1.</w:t>
        <w:tab/>
      </w:r>
      <w:r>
        <w:rPr/>
        <w:t>光伏设备制造业务</w:t>
      </w:r>
      <w:r>
        <w:rPr>
          <w:b w:val="0"/>
          <w:bCs w:val="0"/>
        </w:rPr>
      </w:r>
    </w:p>
    <w:p>
      <w:pPr>
        <w:pStyle w:val="Heading2"/>
        <w:spacing w:line="313" w:lineRule="exact" w:before="6"/>
        <w:ind w:left="778" w:right="7201"/>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2"/>
        <w:spacing w:line="313" w:lineRule="exact"/>
        <w:ind w:left="778" w:right="0"/>
        <w:jc w:val="left"/>
        <w:rPr>
          <w:rFonts w:ascii="宋体" w:hAnsi="宋体" w:cs="宋体" w:eastAsia="宋体" w:hint="default"/>
        </w:rPr>
      </w:pPr>
      <w:r>
        <w:rPr>
          <w:rFonts w:ascii="宋体"/>
        </w:rPr>
        <w:t> </w:t>
      </w:r>
    </w:p>
    <w:p>
      <w:pPr>
        <w:pStyle w:val="Heading3"/>
        <w:tabs>
          <w:tab w:pos="1202" w:val="left" w:leader="none"/>
        </w:tabs>
        <w:spacing w:line="240" w:lineRule="auto" w:before="64"/>
        <w:ind w:left="778" w:right="0"/>
        <w:jc w:val="left"/>
        <w:rPr>
          <w:b w:val="0"/>
          <w:bCs w:val="0"/>
        </w:rPr>
      </w:pPr>
      <w:r>
        <w:rPr>
          <w:rFonts w:ascii="宋体" w:hAnsi="宋体" w:cs="宋体" w:eastAsia="宋体" w:hint="default"/>
          <w:w w:val="95"/>
        </w:rPr>
        <w:t>2.</w:t>
        <w:tab/>
      </w:r>
      <w:r>
        <w:rPr/>
        <w:t>光伏产品关键技术指标</w:t>
      </w:r>
      <w:r>
        <w:rPr>
          <w:b w:val="0"/>
          <w:bCs w:val="0"/>
        </w:rPr>
      </w:r>
    </w:p>
    <w:p>
      <w:pPr>
        <w:pStyle w:val="Heading2"/>
        <w:spacing w:line="240" w:lineRule="auto" w:before="50"/>
        <w:ind w:left="778" w:right="7201"/>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spacing w:line="240" w:lineRule="auto" w:before="12"/>
        <w:rPr>
          <w:rFonts w:ascii="宋体" w:hAnsi="宋体" w:cs="宋体" w:eastAsia="宋体" w:hint="default"/>
          <w:sz w:val="2"/>
          <w:szCs w:val="2"/>
        </w:rPr>
      </w:pPr>
    </w:p>
    <w:tbl>
      <w:tblPr>
        <w:tblW w:w="0" w:type="auto"/>
        <w:jc w:val="left"/>
        <w:tblInd w:w="665" w:type="dxa"/>
        <w:tblLayout w:type="fixed"/>
        <w:tblCellMar>
          <w:top w:w="0" w:type="dxa"/>
          <w:left w:w="0" w:type="dxa"/>
          <w:bottom w:w="0" w:type="dxa"/>
          <w:right w:w="0" w:type="dxa"/>
        </w:tblCellMar>
        <w:tblLook w:val="01E0"/>
      </w:tblPr>
      <w:tblGrid>
        <w:gridCol w:w="2945"/>
        <w:gridCol w:w="2693"/>
        <w:gridCol w:w="3411"/>
      </w:tblGrid>
      <w:tr>
        <w:trPr>
          <w:trHeight w:val="283" w:hRule="exact"/>
        </w:trPr>
        <w:tc>
          <w:tcPr>
            <w:tcW w:w="29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6" w:right="0"/>
              <w:jc w:val="left"/>
              <w:rPr>
                <w:rFonts w:ascii="宋体" w:hAnsi="宋体" w:cs="宋体" w:eastAsia="宋体" w:hint="default"/>
                <w:sz w:val="21"/>
                <w:szCs w:val="21"/>
              </w:rPr>
            </w:pPr>
            <w:r>
              <w:rPr>
                <w:rFonts w:ascii="宋体" w:hAnsi="宋体" w:cs="宋体" w:eastAsia="宋体" w:hint="default"/>
                <w:sz w:val="21"/>
                <w:szCs w:val="21"/>
              </w:rPr>
              <w:t>产品类别</w:t>
            </w:r>
            <w:r>
              <w:rPr>
                <w:rFonts w:ascii="宋体" w:hAnsi="宋体" w:cs="宋体" w:eastAsia="宋体" w:hint="default"/>
                <w:sz w:val="21"/>
                <w:szCs w:val="21"/>
              </w:rPr>
              <w:t> </w:t>
            </w:r>
          </w:p>
        </w:tc>
        <w:tc>
          <w:tcPr>
            <w:tcW w:w="610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技术指标</w:t>
            </w:r>
            <w:r>
              <w:rPr>
                <w:rFonts w:ascii="宋体" w:hAnsi="宋体" w:cs="宋体" w:eastAsia="宋体" w:hint="default"/>
                <w:sz w:val="21"/>
                <w:szCs w:val="21"/>
              </w:rPr>
              <w:t> </w:t>
            </w:r>
          </w:p>
        </w:tc>
      </w:tr>
      <w:tr>
        <w:trPr>
          <w:trHeight w:val="281" w:hRule="exact"/>
        </w:trPr>
        <w:tc>
          <w:tcPr>
            <w:tcW w:w="29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太阳能电池：</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95"/>
              <w:jc w:val="right"/>
              <w:rPr>
                <w:rFonts w:ascii="宋体" w:hAnsi="宋体" w:cs="宋体" w:eastAsia="宋体" w:hint="default"/>
                <w:sz w:val="21"/>
                <w:szCs w:val="21"/>
              </w:rPr>
            </w:pPr>
            <w:r>
              <w:rPr>
                <w:rFonts w:ascii="宋体" w:hAnsi="宋体" w:cs="宋体" w:eastAsia="宋体" w:hint="default"/>
                <w:spacing w:val="-2"/>
                <w:sz w:val="21"/>
                <w:szCs w:val="21"/>
              </w:rPr>
              <w:t>量产平均转换效率</w:t>
            </w:r>
            <w:r>
              <w:rPr>
                <w:rFonts w:ascii="宋体" w:hAnsi="宋体" w:cs="宋体" w:eastAsia="宋体" w:hint="default"/>
                <w:sz w:val="21"/>
                <w:szCs w:val="21"/>
              </w:rPr>
              <w:t> </w:t>
            </w:r>
          </w:p>
        </w:tc>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55"/>
              <w:jc w:val="right"/>
              <w:rPr>
                <w:rFonts w:ascii="宋体" w:hAnsi="宋体" w:cs="宋体" w:eastAsia="宋体" w:hint="default"/>
                <w:sz w:val="21"/>
                <w:szCs w:val="21"/>
              </w:rPr>
            </w:pPr>
            <w:r>
              <w:rPr>
                <w:rFonts w:ascii="宋体" w:hAnsi="宋体" w:cs="宋体" w:eastAsia="宋体" w:hint="default"/>
                <w:spacing w:val="-2"/>
                <w:sz w:val="21"/>
                <w:szCs w:val="21"/>
              </w:rPr>
              <w:t>研发最高转换效率</w:t>
            </w:r>
            <w:r>
              <w:rPr>
                <w:rFonts w:ascii="宋体" w:hAnsi="宋体" w:cs="宋体" w:eastAsia="宋体" w:hint="default"/>
                <w:sz w:val="21"/>
                <w:szCs w:val="21"/>
              </w:rPr>
              <w:t> </w:t>
            </w:r>
          </w:p>
        </w:tc>
      </w:tr>
      <w:tr>
        <w:trPr>
          <w:trHeight w:val="283" w:hRule="exact"/>
        </w:trPr>
        <w:tc>
          <w:tcPr>
            <w:tcW w:w="29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单晶硅电池</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N</w:t>
            </w:r>
            <w:r>
              <w:rPr>
                <w:rFonts w:ascii="宋体" w:hAnsi="宋体" w:cs="宋体" w:eastAsia="宋体" w:hint="default"/>
                <w:spacing w:val="-56"/>
                <w:sz w:val="21"/>
                <w:szCs w:val="21"/>
              </w:rPr>
              <w:t> </w:t>
            </w:r>
            <w:r>
              <w:rPr>
                <w:rFonts w:ascii="宋体" w:hAnsi="宋体" w:cs="宋体" w:eastAsia="宋体" w:hint="default"/>
                <w:sz w:val="21"/>
                <w:szCs w:val="21"/>
              </w:rPr>
              <w:t>型</w:t>
            </w:r>
            <w:r>
              <w:rPr>
                <w:rFonts w:ascii="宋体" w:hAnsi="宋体" w:cs="宋体" w:eastAsia="宋体" w:hint="default"/>
                <w:spacing w:val="-56"/>
                <w:sz w:val="21"/>
                <w:szCs w:val="21"/>
              </w:rPr>
              <w:t> </w:t>
            </w:r>
            <w:r>
              <w:rPr>
                <w:rFonts w:ascii="宋体" w:hAnsi="宋体" w:cs="宋体" w:eastAsia="宋体" w:hint="default"/>
                <w:sz w:val="21"/>
                <w:szCs w:val="21"/>
              </w:rPr>
              <w:t>TOPCon23.1% </w:t>
            </w:r>
          </w:p>
        </w:tc>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N</w:t>
            </w:r>
            <w:r>
              <w:rPr>
                <w:rFonts w:ascii="宋体" w:hAnsi="宋体" w:cs="宋体" w:eastAsia="宋体" w:hint="default"/>
                <w:spacing w:val="-55"/>
                <w:sz w:val="21"/>
                <w:szCs w:val="21"/>
              </w:rPr>
              <w:t> </w:t>
            </w:r>
            <w:r>
              <w:rPr>
                <w:rFonts w:ascii="宋体" w:hAnsi="宋体" w:cs="宋体" w:eastAsia="宋体" w:hint="default"/>
                <w:sz w:val="21"/>
                <w:szCs w:val="21"/>
              </w:rPr>
              <w:t>型</w:t>
            </w:r>
            <w:r>
              <w:rPr>
                <w:rFonts w:ascii="宋体" w:hAnsi="宋体" w:cs="宋体" w:eastAsia="宋体" w:hint="default"/>
                <w:spacing w:val="-55"/>
                <w:sz w:val="21"/>
                <w:szCs w:val="21"/>
              </w:rPr>
              <w:t> </w:t>
            </w:r>
            <w:r>
              <w:rPr>
                <w:rFonts w:ascii="宋体" w:hAnsi="宋体" w:cs="宋体" w:eastAsia="宋体" w:hint="default"/>
                <w:sz w:val="21"/>
                <w:szCs w:val="21"/>
              </w:rPr>
              <w:t>TOPCon23.6% </w:t>
            </w:r>
          </w:p>
        </w:tc>
      </w:tr>
      <w:tr>
        <w:trPr>
          <w:trHeight w:val="281" w:hRule="exact"/>
        </w:trPr>
        <w:tc>
          <w:tcPr>
            <w:tcW w:w="29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电池组件：</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95"/>
              <w:jc w:val="right"/>
              <w:rPr>
                <w:rFonts w:ascii="宋体" w:hAnsi="宋体" w:cs="宋体" w:eastAsia="宋体" w:hint="default"/>
                <w:sz w:val="21"/>
                <w:szCs w:val="21"/>
              </w:rPr>
            </w:pPr>
            <w:r>
              <w:rPr>
                <w:rFonts w:ascii="宋体" w:hAnsi="宋体" w:cs="宋体" w:eastAsia="宋体" w:hint="default"/>
                <w:spacing w:val="-2"/>
                <w:sz w:val="21"/>
                <w:szCs w:val="21"/>
              </w:rPr>
              <w:t>量产平均组件功率</w:t>
            </w:r>
            <w:r>
              <w:rPr>
                <w:rFonts w:ascii="宋体" w:hAnsi="宋体" w:cs="宋体" w:eastAsia="宋体" w:hint="default"/>
                <w:sz w:val="21"/>
                <w:szCs w:val="21"/>
              </w:rPr>
              <w:t> </w:t>
            </w:r>
          </w:p>
        </w:tc>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55"/>
              <w:jc w:val="right"/>
              <w:rPr>
                <w:rFonts w:ascii="宋体" w:hAnsi="宋体" w:cs="宋体" w:eastAsia="宋体" w:hint="default"/>
                <w:sz w:val="21"/>
                <w:szCs w:val="21"/>
              </w:rPr>
            </w:pPr>
            <w:r>
              <w:rPr>
                <w:rFonts w:ascii="宋体" w:hAnsi="宋体" w:cs="宋体" w:eastAsia="宋体" w:hint="default"/>
                <w:spacing w:val="-2"/>
                <w:sz w:val="21"/>
                <w:szCs w:val="21"/>
              </w:rPr>
              <w:t>研发最高组件功率</w:t>
            </w:r>
            <w:r>
              <w:rPr>
                <w:rFonts w:ascii="宋体" w:hAnsi="宋体" w:cs="宋体" w:eastAsia="宋体" w:hint="default"/>
                <w:sz w:val="21"/>
                <w:szCs w:val="21"/>
              </w:rPr>
              <w:t> </w:t>
            </w:r>
          </w:p>
        </w:tc>
      </w:tr>
      <w:tr>
        <w:trPr>
          <w:trHeight w:val="283" w:hRule="exact"/>
        </w:trPr>
        <w:tc>
          <w:tcPr>
            <w:tcW w:w="29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23" w:right="0"/>
              <w:jc w:val="left"/>
              <w:rPr>
                <w:rFonts w:ascii="宋体" w:hAnsi="宋体" w:cs="宋体" w:eastAsia="宋体" w:hint="default"/>
                <w:sz w:val="21"/>
                <w:szCs w:val="21"/>
              </w:rPr>
            </w:pPr>
            <w:r>
              <w:rPr>
                <w:rFonts w:ascii="宋体" w:hAnsi="宋体" w:cs="宋体" w:eastAsia="宋体" w:hint="default"/>
                <w:sz w:val="21"/>
                <w:szCs w:val="21"/>
              </w:rPr>
              <w:t>晶体硅电池</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405W </w:t>
            </w:r>
          </w:p>
        </w:tc>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415W </w:t>
            </w:r>
          </w:p>
        </w:tc>
      </w:tr>
      <w:tr>
        <w:trPr>
          <w:trHeight w:val="3279" w:hRule="exact"/>
        </w:trPr>
        <w:tc>
          <w:tcPr>
            <w:tcW w:w="905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指标含义及讨论与分析：量产平均电池转换效率：是指电池的输出功率占入射光功率百分比；采</w:t>
            </w:r>
          </w:p>
          <w:p>
            <w:pPr>
              <w:pStyle w:val="TableParagraph"/>
              <w:spacing w:line="237" w:lineRule="auto" w:before="2"/>
              <w:ind w:left="103" w:right="96"/>
              <w:jc w:val="both"/>
              <w:rPr>
                <w:rFonts w:ascii="宋体" w:hAnsi="宋体" w:cs="宋体" w:eastAsia="宋体" w:hint="default"/>
                <w:sz w:val="21"/>
                <w:szCs w:val="21"/>
              </w:rPr>
            </w:pPr>
            <w:r>
              <w:rPr>
                <w:rFonts w:ascii="宋体" w:hAnsi="宋体" w:cs="宋体" w:eastAsia="宋体" w:hint="default"/>
                <w:spacing w:val="-2"/>
                <w:sz w:val="21"/>
                <w:szCs w:val="21"/>
              </w:rPr>
              <w:t>用一定功率密度的太阳光照射电池，电池吸收光子以后会激发材料产生载流子，对电池性能有贡</w:t>
            </w:r>
            <w:r>
              <w:rPr>
                <w:rFonts w:ascii="宋体" w:hAnsi="宋体" w:cs="宋体" w:eastAsia="宋体" w:hint="default"/>
                <w:spacing w:val="-25"/>
                <w:sz w:val="21"/>
                <w:szCs w:val="21"/>
              </w:rPr>
              <w:t> </w:t>
            </w:r>
            <w:r>
              <w:rPr>
                <w:rFonts w:ascii="宋体" w:hAnsi="宋体" w:cs="宋体" w:eastAsia="宋体" w:hint="default"/>
                <w:spacing w:val="-25"/>
                <w:sz w:val="21"/>
                <w:szCs w:val="21"/>
              </w:rPr>
            </w:r>
            <w:r>
              <w:rPr>
                <w:rFonts w:ascii="宋体" w:hAnsi="宋体" w:cs="宋体" w:eastAsia="宋体" w:hint="default"/>
                <w:spacing w:val="-2"/>
                <w:sz w:val="21"/>
                <w:szCs w:val="21"/>
              </w:rPr>
              <w:t>献的载流子最终要被电极收集，在收集的同时会伴有电流、电压特性，即对应一个输出功率，以</w:t>
            </w:r>
            <w:r>
              <w:rPr>
                <w:rFonts w:ascii="宋体" w:hAnsi="宋体" w:cs="宋体" w:eastAsia="宋体" w:hint="default"/>
                <w:spacing w:val="-25"/>
                <w:sz w:val="21"/>
                <w:szCs w:val="21"/>
              </w:rPr>
              <w:t> </w:t>
            </w:r>
            <w:r>
              <w:rPr>
                <w:rFonts w:ascii="宋体" w:hAnsi="宋体" w:cs="宋体" w:eastAsia="宋体" w:hint="default"/>
                <w:spacing w:val="-25"/>
                <w:sz w:val="21"/>
                <w:szCs w:val="21"/>
              </w:rPr>
            </w:r>
            <w:r>
              <w:rPr>
                <w:rFonts w:ascii="宋体" w:hAnsi="宋体" w:cs="宋体" w:eastAsia="宋体" w:hint="default"/>
                <w:sz w:val="21"/>
                <w:szCs w:val="21"/>
              </w:rPr>
              <w:t>该产生的功率除以入射光的功率即为转换效率。</w:t>
            </w:r>
            <w:r>
              <w:rPr>
                <w:rFonts w:ascii="宋体" w:hAnsi="宋体" w:cs="宋体" w:eastAsia="宋体" w:hint="default"/>
                <w:sz w:val="21"/>
                <w:szCs w:val="21"/>
              </w:rPr>
              <w:t>N</w:t>
            </w:r>
            <w:r>
              <w:rPr>
                <w:rFonts w:ascii="宋体" w:hAnsi="宋体" w:cs="宋体" w:eastAsia="宋体" w:hint="default"/>
                <w:spacing w:val="-56"/>
                <w:sz w:val="21"/>
                <w:szCs w:val="21"/>
              </w:rPr>
              <w:t> </w:t>
            </w:r>
            <w:r>
              <w:rPr>
                <w:rFonts w:ascii="宋体" w:hAnsi="宋体" w:cs="宋体" w:eastAsia="宋体" w:hint="default"/>
                <w:sz w:val="21"/>
                <w:szCs w:val="21"/>
              </w:rPr>
              <w:t>型双面电池还额外附带背面转换效率的增益，</w:t>
            </w:r>
            <w:r>
              <w:rPr>
                <w:rFonts w:ascii="宋体" w:hAnsi="宋体" w:cs="宋体" w:eastAsia="宋体" w:hint="default"/>
                <w:w w:val="100"/>
                <w:sz w:val="21"/>
                <w:szCs w:val="21"/>
              </w:rPr>
              <w:t> </w:t>
            </w:r>
            <w:r>
              <w:rPr>
                <w:rFonts w:ascii="宋体" w:hAnsi="宋体" w:cs="宋体" w:eastAsia="宋体" w:hint="default"/>
                <w:sz w:val="21"/>
                <w:szCs w:val="21"/>
              </w:rPr>
              <w:t>背面效率</w:t>
            </w:r>
            <w:r>
              <w:rPr>
                <w:rFonts w:ascii="宋体" w:hAnsi="宋体" w:cs="宋体" w:eastAsia="宋体" w:hint="default"/>
                <w:sz w:val="21"/>
                <w:szCs w:val="21"/>
              </w:rPr>
              <w:t>/</w:t>
            </w:r>
            <w:r>
              <w:rPr>
                <w:rFonts w:ascii="宋体" w:hAnsi="宋体" w:cs="宋体" w:eastAsia="宋体" w:hint="default"/>
                <w:sz w:val="21"/>
                <w:szCs w:val="21"/>
              </w:rPr>
              <w:t>正面效率即电池的双面性达</w:t>
            </w:r>
            <w:r>
              <w:rPr>
                <w:rFonts w:ascii="宋体" w:hAnsi="宋体" w:cs="宋体" w:eastAsia="宋体" w:hint="default"/>
                <w:spacing w:val="-29"/>
                <w:sz w:val="21"/>
                <w:szCs w:val="21"/>
              </w:rPr>
              <w:t> </w:t>
            </w:r>
            <w:r>
              <w:rPr>
                <w:rFonts w:ascii="宋体" w:hAnsi="宋体" w:cs="宋体" w:eastAsia="宋体" w:hint="default"/>
                <w:spacing w:val="-3"/>
                <w:sz w:val="21"/>
                <w:szCs w:val="21"/>
              </w:rPr>
              <w:t>81%</w:t>
            </w:r>
            <w:r>
              <w:rPr>
                <w:rFonts w:ascii="宋体" w:hAnsi="宋体" w:cs="宋体" w:eastAsia="宋体" w:hint="default"/>
                <w:spacing w:val="-3"/>
                <w:sz w:val="21"/>
                <w:szCs w:val="21"/>
              </w:rPr>
              <w:t>。单面效率</w:t>
            </w:r>
            <w:r>
              <w:rPr>
                <w:rFonts w:ascii="宋体" w:hAnsi="宋体" w:cs="宋体" w:eastAsia="宋体" w:hint="default"/>
                <w:spacing w:val="-3"/>
                <w:sz w:val="21"/>
                <w:szCs w:val="21"/>
              </w:rPr>
              <w:t>=</w:t>
            </w:r>
            <w:r>
              <w:rPr>
                <w:rFonts w:ascii="宋体" w:hAnsi="宋体" w:cs="宋体" w:eastAsia="宋体" w:hint="default"/>
                <w:spacing w:val="-3"/>
                <w:sz w:val="21"/>
                <w:szCs w:val="21"/>
              </w:rPr>
              <w:t>（开路电压</w:t>
            </w:r>
            <w:r>
              <w:rPr>
                <w:rFonts w:ascii="宋体" w:hAnsi="宋体" w:cs="宋体" w:eastAsia="宋体" w:hint="default"/>
                <w:spacing w:val="-3"/>
                <w:sz w:val="21"/>
                <w:szCs w:val="21"/>
              </w:rPr>
              <w:t>*</w:t>
            </w:r>
            <w:r>
              <w:rPr>
                <w:rFonts w:ascii="宋体" w:hAnsi="宋体" w:cs="宋体" w:eastAsia="宋体" w:hint="default"/>
                <w:spacing w:val="-3"/>
                <w:sz w:val="21"/>
                <w:szCs w:val="21"/>
              </w:rPr>
              <w:t>短路电流</w:t>
            </w:r>
            <w:r>
              <w:rPr>
                <w:rFonts w:ascii="宋体" w:hAnsi="宋体" w:cs="宋体" w:eastAsia="宋体" w:hint="default"/>
                <w:spacing w:val="-3"/>
                <w:sz w:val="21"/>
                <w:szCs w:val="21"/>
              </w:rPr>
              <w:t>*</w:t>
            </w:r>
            <w:r>
              <w:rPr>
                <w:rFonts w:ascii="宋体" w:hAnsi="宋体" w:cs="宋体" w:eastAsia="宋体" w:hint="default"/>
                <w:spacing w:val="-3"/>
                <w:sz w:val="21"/>
                <w:szCs w:val="21"/>
              </w:rPr>
              <w:t>填充因子）</w:t>
            </w:r>
            <w:r>
              <w:rPr>
                <w:rFonts w:ascii="宋体" w:hAnsi="宋体" w:cs="宋体" w:eastAsia="宋体" w:hint="default"/>
                <w:spacing w:val="-3"/>
                <w:sz w:val="21"/>
                <w:szCs w:val="21"/>
              </w:rPr>
              <w:t>/</w:t>
            </w:r>
            <w:r>
              <w:rPr>
                <w:rFonts w:ascii="宋体" w:hAnsi="宋体" w:cs="宋体" w:eastAsia="宋体" w:hint="default"/>
                <w:spacing w:val="-3"/>
                <w:sz w:val="21"/>
                <w:szCs w:val="21"/>
              </w:rPr>
              <w:t>单面入</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pacing w:val="-5"/>
                <w:w w:val="100"/>
                <w:sz w:val="21"/>
                <w:szCs w:val="21"/>
              </w:rPr>
              <w:t>射光功率密度</w:t>
            </w:r>
            <w:r>
              <w:rPr>
                <w:rFonts w:ascii="宋体" w:hAnsi="宋体" w:cs="宋体" w:eastAsia="宋体" w:hint="default"/>
                <w:spacing w:val="-5"/>
                <w:w w:val="100"/>
                <w:sz w:val="21"/>
                <w:szCs w:val="21"/>
              </w:rPr>
              <w:t>=</w:t>
            </w:r>
            <w:r>
              <w:rPr>
                <w:rFonts w:ascii="宋体" w:hAnsi="宋体" w:cs="宋体" w:eastAsia="宋体" w:hint="default"/>
                <w:spacing w:val="-5"/>
                <w:w w:val="100"/>
                <w:sz w:val="21"/>
                <w:szCs w:val="21"/>
              </w:rPr>
              <w:t>电池输出功率密度</w:t>
            </w:r>
            <w:r>
              <w:rPr>
                <w:rFonts w:ascii="宋体" w:hAnsi="宋体" w:cs="宋体" w:eastAsia="宋体" w:hint="default"/>
                <w:spacing w:val="-5"/>
                <w:w w:val="100"/>
                <w:sz w:val="21"/>
                <w:szCs w:val="21"/>
              </w:rPr>
              <w:t>/</w:t>
            </w:r>
            <w:r>
              <w:rPr>
                <w:rFonts w:ascii="宋体" w:hAnsi="宋体" w:cs="宋体" w:eastAsia="宋体" w:hint="default"/>
                <w:spacing w:val="-5"/>
                <w:w w:val="100"/>
                <w:sz w:val="21"/>
                <w:szCs w:val="21"/>
              </w:rPr>
              <w:t>单面入射光功率密度。报告期内公司开发的</w:t>
            </w:r>
            <w:r>
              <w:rPr>
                <w:rFonts w:ascii="宋体" w:hAnsi="宋体" w:cs="宋体" w:eastAsia="宋体" w:hint="default"/>
                <w:spacing w:val="-40"/>
                <w:w w:val="100"/>
                <w:sz w:val="21"/>
                <w:szCs w:val="21"/>
              </w:rPr>
              <w:t> </w:t>
            </w:r>
            <w:r>
              <w:rPr>
                <w:rFonts w:ascii="宋体" w:hAnsi="宋体" w:cs="宋体" w:eastAsia="宋体" w:hint="default"/>
                <w:spacing w:val="-1"/>
                <w:w w:val="100"/>
                <w:sz w:val="21"/>
                <w:szCs w:val="21"/>
              </w:rPr>
              <w:t>N-TOPCon</w:t>
            </w:r>
            <w:r>
              <w:rPr>
                <w:rFonts w:ascii="宋体" w:hAnsi="宋体" w:cs="宋体" w:eastAsia="宋体" w:hint="default"/>
                <w:spacing w:val="-40"/>
                <w:w w:val="100"/>
                <w:sz w:val="21"/>
                <w:szCs w:val="21"/>
              </w:rPr>
              <w:t> </w:t>
            </w:r>
            <w:r>
              <w:rPr>
                <w:rFonts w:ascii="宋体" w:hAnsi="宋体" w:cs="宋体" w:eastAsia="宋体" w:hint="default"/>
                <w:spacing w:val="-2"/>
                <w:w w:val="100"/>
                <w:sz w:val="21"/>
                <w:szCs w:val="21"/>
              </w:rPr>
              <w:t>双面电池</w:t>
            </w:r>
            <w:r>
              <w:rPr>
                <w:rFonts w:ascii="宋体" w:hAnsi="宋体" w:cs="宋体" w:eastAsia="宋体" w:hint="default"/>
                <w:spacing w:val="-98"/>
                <w:w w:val="100"/>
                <w:sz w:val="21"/>
                <w:szCs w:val="21"/>
              </w:rPr>
              <w:t> </w:t>
            </w:r>
            <w:r>
              <w:rPr>
                <w:rFonts w:ascii="宋体" w:hAnsi="宋体" w:cs="宋体" w:eastAsia="宋体" w:hint="default"/>
                <w:spacing w:val="-98"/>
                <w:w w:val="100"/>
                <w:sz w:val="21"/>
                <w:szCs w:val="21"/>
              </w:rPr>
            </w:r>
            <w:r>
              <w:rPr>
                <w:rFonts w:ascii="宋体" w:hAnsi="宋体" w:cs="宋体" w:eastAsia="宋体" w:hint="default"/>
                <w:spacing w:val="-2"/>
                <w:sz w:val="21"/>
                <w:szCs w:val="21"/>
              </w:rPr>
              <w:t>取得了福建省计量科学研究院出具的《校准证书》（编号：（</w:t>
            </w:r>
            <w:r>
              <w:rPr>
                <w:rFonts w:ascii="宋体" w:hAnsi="宋体" w:cs="宋体" w:eastAsia="宋体" w:hint="default"/>
                <w:spacing w:val="-2"/>
                <w:sz w:val="21"/>
                <w:szCs w:val="21"/>
              </w:rPr>
              <w:t>MLY</w:t>
            </w:r>
            <w:r>
              <w:rPr>
                <w:rFonts w:ascii="宋体" w:hAnsi="宋体" w:cs="宋体" w:eastAsia="宋体" w:hint="default"/>
                <w:spacing w:val="-2"/>
                <w:sz w:val="21"/>
                <w:szCs w:val="21"/>
              </w:rPr>
              <w:t>）</w:t>
            </w:r>
            <w:r>
              <w:rPr>
                <w:rFonts w:ascii="宋体" w:hAnsi="宋体" w:cs="宋体" w:eastAsia="宋体" w:hint="default"/>
                <w:spacing w:val="-2"/>
                <w:sz w:val="21"/>
                <w:szCs w:val="21"/>
              </w:rPr>
              <w:t>Q2/19-001321</w:t>
            </w:r>
            <w:r>
              <w:rPr>
                <w:rFonts w:ascii="宋体" w:hAnsi="宋体" w:cs="宋体" w:eastAsia="宋体" w:hint="default"/>
                <w:spacing w:val="-2"/>
                <w:sz w:val="21"/>
                <w:szCs w:val="21"/>
              </w:rPr>
              <w:t>）</w:t>
            </w:r>
            <w:r>
              <w:rPr>
                <w:rFonts w:ascii="宋体" w:hAnsi="宋体" w:cs="宋体" w:eastAsia="宋体" w:hint="default"/>
                <w:spacing w:val="-2"/>
                <w:sz w:val="21"/>
                <w:szCs w:val="21"/>
              </w:rPr>
              <w:t>,</w:t>
            </w:r>
            <w:r>
              <w:rPr>
                <w:rFonts w:ascii="宋体" w:hAnsi="宋体" w:cs="宋体" w:eastAsia="宋体" w:hint="default"/>
                <w:spacing w:val="-2"/>
                <w:sz w:val="21"/>
                <w:szCs w:val="21"/>
              </w:rPr>
              <w:t>电池正面平</w:t>
            </w:r>
            <w:r>
              <w:rPr>
                <w:rFonts w:ascii="宋体" w:hAnsi="宋体" w:cs="宋体" w:eastAsia="宋体" w:hint="default"/>
                <w:spacing w:val="-14"/>
                <w:sz w:val="21"/>
                <w:szCs w:val="21"/>
              </w:rPr>
              <w:t> </w:t>
            </w:r>
            <w:r>
              <w:rPr>
                <w:rFonts w:ascii="宋体" w:hAnsi="宋体" w:cs="宋体" w:eastAsia="宋体" w:hint="default"/>
                <w:spacing w:val="-14"/>
                <w:sz w:val="21"/>
                <w:szCs w:val="21"/>
              </w:rPr>
            </w:r>
            <w:r>
              <w:rPr>
                <w:rFonts w:ascii="宋体" w:hAnsi="宋体" w:cs="宋体" w:eastAsia="宋体" w:hint="default"/>
                <w:sz w:val="21"/>
                <w:szCs w:val="21"/>
              </w:rPr>
              <w:t>均效率达到</w:t>
            </w:r>
            <w:r>
              <w:rPr>
                <w:rFonts w:ascii="宋体" w:hAnsi="宋体" w:cs="宋体" w:eastAsia="宋体" w:hint="default"/>
                <w:spacing w:val="-54"/>
                <w:sz w:val="21"/>
                <w:szCs w:val="21"/>
              </w:rPr>
              <w:t> </w:t>
            </w:r>
            <w:r>
              <w:rPr>
                <w:rFonts w:ascii="宋体" w:hAnsi="宋体" w:cs="宋体" w:eastAsia="宋体" w:hint="default"/>
                <w:sz w:val="21"/>
                <w:szCs w:val="21"/>
              </w:rPr>
              <w:t>23.5%</w:t>
            </w:r>
            <w:r>
              <w:rPr>
                <w:rFonts w:ascii="宋体" w:hAnsi="宋体" w:cs="宋体" w:eastAsia="宋体" w:hint="default"/>
                <w:sz w:val="21"/>
                <w:szCs w:val="21"/>
              </w:rPr>
              <w:t>，处于</w:t>
            </w:r>
            <w:r>
              <w:rPr>
                <w:rFonts w:ascii="宋体" w:hAnsi="宋体" w:cs="宋体" w:eastAsia="宋体" w:hint="default"/>
                <w:spacing w:val="-56"/>
                <w:sz w:val="21"/>
                <w:szCs w:val="21"/>
              </w:rPr>
              <w:t> </w:t>
            </w:r>
            <w:r>
              <w:rPr>
                <w:rFonts w:ascii="宋体" w:hAnsi="宋体" w:cs="宋体" w:eastAsia="宋体" w:hint="default"/>
                <w:sz w:val="21"/>
                <w:szCs w:val="21"/>
              </w:rPr>
              <w:t>N</w:t>
            </w:r>
            <w:r>
              <w:rPr>
                <w:rFonts w:ascii="宋体" w:hAnsi="宋体" w:cs="宋体" w:eastAsia="宋体" w:hint="default"/>
                <w:spacing w:val="-54"/>
                <w:sz w:val="21"/>
                <w:szCs w:val="21"/>
              </w:rPr>
              <w:t> </w:t>
            </w:r>
            <w:r>
              <w:rPr>
                <w:rFonts w:ascii="宋体" w:hAnsi="宋体" w:cs="宋体" w:eastAsia="宋体" w:hint="default"/>
                <w:sz w:val="21"/>
                <w:szCs w:val="21"/>
              </w:rPr>
              <w:t>型双面电池行业领先水平。量产平均组件功率：是指标准测试条件下</w:t>
            </w:r>
          </w:p>
          <w:p>
            <w:pPr>
              <w:pStyle w:val="TableParagraph"/>
              <w:spacing w:line="237" w:lineRule="auto"/>
              <w:ind w:left="103" w:right="98"/>
              <w:jc w:val="both"/>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AM1.5</w:t>
            </w:r>
            <w:r>
              <w:rPr>
                <w:rFonts w:ascii="宋体" w:hAnsi="宋体" w:cs="宋体" w:eastAsia="宋体" w:hint="default"/>
                <w:sz w:val="21"/>
                <w:szCs w:val="21"/>
              </w:rPr>
              <w:t>、组件温度</w:t>
            </w:r>
            <w:r>
              <w:rPr>
                <w:rFonts w:ascii="宋体" w:hAnsi="宋体" w:cs="宋体" w:eastAsia="宋体" w:hint="default"/>
                <w:spacing w:val="-57"/>
                <w:sz w:val="21"/>
                <w:szCs w:val="21"/>
              </w:rPr>
              <w:t> </w:t>
            </w:r>
            <w:r>
              <w:rPr>
                <w:rFonts w:ascii="宋体" w:hAnsi="宋体" w:cs="宋体" w:eastAsia="宋体" w:hint="default"/>
                <w:sz w:val="21"/>
                <w:szCs w:val="21"/>
              </w:rPr>
              <w:t>25℃，辐照度</w:t>
            </w:r>
            <w:r>
              <w:rPr>
                <w:rFonts w:ascii="宋体" w:hAnsi="宋体" w:cs="宋体" w:eastAsia="宋体" w:hint="default"/>
                <w:spacing w:val="-55"/>
                <w:sz w:val="21"/>
                <w:szCs w:val="21"/>
              </w:rPr>
              <w:t> </w:t>
            </w:r>
            <w:r>
              <w:rPr>
                <w:rFonts w:ascii="宋体" w:hAnsi="宋体" w:cs="宋体" w:eastAsia="宋体" w:hint="default"/>
                <w:sz w:val="21"/>
                <w:szCs w:val="21"/>
              </w:rPr>
              <w:t>1000W/m2</w:t>
            </w:r>
            <w:r>
              <w:rPr>
                <w:rFonts w:ascii="宋体" w:hAnsi="宋体" w:cs="宋体" w:eastAsia="宋体" w:hint="default"/>
                <w:sz w:val="21"/>
                <w:szCs w:val="21"/>
              </w:rPr>
              <w:t>），光伏组件最大输出功率。光伏组件功率通过</w:t>
            </w:r>
            <w:r>
              <w:rPr>
                <w:rFonts w:ascii="宋体" w:hAnsi="宋体" w:cs="宋体" w:eastAsia="宋体" w:hint="default"/>
                <w:spacing w:val="-54"/>
                <w:sz w:val="21"/>
                <w:szCs w:val="21"/>
              </w:rPr>
              <w:t> </w:t>
            </w:r>
            <w:r>
              <w:rPr>
                <w:rFonts w:ascii="宋体" w:hAnsi="宋体" w:cs="宋体" w:eastAsia="宋体" w:hint="default"/>
                <w:sz w:val="21"/>
                <w:szCs w:val="21"/>
              </w:rPr>
              <w:t>T</w:t>
            </w:r>
            <w:r>
              <w:rPr>
                <w:rFonts w:ascii="宋体" w:hAnsi="宋体" w:cs="宋体" w:eastAsia="宋体" w:hint="default"/>
                <w:sz w:val="21"/>
                <w:szCs w:val="21"/>
              </w:rPr>
              <w:t>üV</w:t>
            </w:r>
            <w:r>
              <w:rPr>
                <w:rFonts w:ascii="宋体" w:hAnsi="宋体" w:cs="宋体" w:eastAsia="宋体" w:hint="default"/>
                <w:w w:val="100"/>
                <w:sz w:val="21"/>
                <w:szCs w:val="21"/>
              </w:rPr>
              <w:t> </w:t>
            </w:r>
            <w:r>
              <w:rPr>
                <w:rFonts w:ascii="宋体" w:hAnsi="宋体" w:cs="宋体" w:eastAsia="宋体" w:hint="default"/>
                <w:spacing w:val="-3"/>
                <w:sz w:val="21"/>
                <w:szCs w:val="21"/>
              </w:rPr>
              <w:t>莱茵实验室测试确认，自质保日起第</w:t>
            </w:r>
            <w:r>
              <w:rPr>
                <w:rFonts w:ascii="宋体" w:hAnsi="宋体" w:cs="宋体" w:eastAsia="宋体" w:hint="default"/>
                <w:spacing w:val="-49"/>
                <w:sz w:val="21"/>
                <w:szCs w:val="21"/>
              </w:rPr>
              <w:t> </w:t>
            </w:r>
            <w:r>
              <w:rPr>
                <w:rFonts w:ascii="宋体" w:hAnsi="宋体" w:cs="宋体" w:eastAsia="宋体" w:hint="default"/>
                <w:sz w:val="21"/>
                <w:szCs w:val="21"/>
              </w:rPr>
              <w:t>1</w:t>
            </w:r>
            <w:r>
              <w:rPr>
                <w:rFonts w:ascii="宋体" w:hAnsi="宋体" w:cs="宋体" w:eastAsia="宋体" w:hint="default"/>
                <w:spacing w:val="-49"/>
                <w:sz w:val="21"/>
                <w:szCs w:val="21"/>
              </w:rPr>
              <w:t> </w:t>
            </w:r>
            <w:r>
              <w:rPr>
                <w:rFonts w:ascii="宋体" w:hAnsi="宋体" w:cs="宋体" w:eastAsia="宋体" w:hint="default"/>
                <w:sz w:val="21"/>
                <w:szCs w:val="21"/>
              </w:rPr>
              <w:t>年内输出功率不低于</w:t>
            </w:r>
            <w:r>
              <w:rPr>
                <w:rFonts w:ascii="宋体" w:hAnsi="宋体" w:cs="宋体" w:eastAsia="宋体" w:hint="default"/>
                <w:spacing w:val="-49"/>
                <w:sz w:val="21"/>
                <w:szCs w:val="21"/>
              </w:rPr>
              <w:t> </w:t>
            </w:r>
            <w:r>
              <w:rPr>
                <w:rFonts w:ascii="宋体" w:hAnsi="宋体" w:cs="宋体" w:eastAsia="宋体" w:hint="default"/>
                <w:spacing w:val="-6"/>
                <w:sz w:val="21"/>
                <w:szCs w:val="21"/>
              </w:rPr>
              <w:t>99%</w:t>
            </w:r>
            <w:r>
              <w:rPr>
                <w:rFonts w:ascii="宋体" w:hAnsi="宋体" w:cs="宋体" w:eastAsia="宋体" w:hint="default"/>
                <w:spacing w:val="-6"/>
                <w:sz w:val="21"/>
                <w:szCs w:val="21"/>
              </w:rPr>
              <w:t>，第</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49"/>
                <w:sz w:val="21"/>
                <w:szCs w:val="21"/>
              </w:rPr>
              <w:t> </w:t>
            </w:r>
            <w:r>
              <w:rPr>
                <w:rFonts w:ascii="宋体" w:hAnsi="宋体" w:cs="宋体" w:eastAsia="宋体" w:hint="default"/>
                <w:sz w:val="21"/>
                <w:szCs w:val="21"/>
              </w:rPr>
              <w:t>年至第</w:t>
            </w:r>
            <w:r>
              <w:rPr>
                <w:rFonts w:ascii="宋体" w:hAnsi="宋体" w:cs="宋体" w:eastAsia="宋体" w:hint="default"/>
                <w:spacing w:val="-49"/>
                <w:sz w:val="21"/>
                <w:szCs w:val="21"/>
              </w:rPr>
              <w:t> </w:t>
            </w:r>
            <w:r>
              <w:rPr>
                <w:rFonts w:ascii="宋体" w:hAnsi="宋体" w:cs="宋体" w:eastAsia="宋体" w:hint="default"/>
                <w:sz w:val="21"/>
                <w:szCs w:val="21"/>
              </w:rPr>
              <w:t>30</w:t>
            </w:r>
            <w:r>
              <w:rPr>
                <w:rFonts w:ascii="宋体" w:hAnsi="宋体" w:cs="宋体" w:eastAsia="宋体" w:hint="default"/>
                <w:spacing w:val="-50"/>
                <w:sz w:val="21"/>
                <w:szCs w:val="21"/>
              </w:rPr>
              <w:t> </w:t>
            </w:r>
            <w:r>
              <w:rPr>
                <w:rFonts w:ascii="宋体" w:hAnsi="宋体" w:cs="宋体" w:eastAsia="宋体" w:hint="default"/>
                <w:sz w:val="21"/>
                <w:szCs w:val="21"/>
              </w:rPr>
              <w:t>年间每年衰减不</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大于</w:t>
            </w:r>
            <w:r>
              <w:rPr>
                <w:rFonts w:ascii="宋体" w:hAnsi="宋体" w:cs="宋体" w:eastAsia="宋体" w:hint="default"/>
                <w:spacing w:val="-55"/>
                <w:sz w:val="21"/>
                <w:szCs w:val="21"/>
              </w:rPr>
              <w:t> </w:t>
            </w:r>
            <w:r>
              <w:rPr>
                <w:rFonts w:ascii="宋体" w:hAnsi="宋体" w:cs="宋体" w:eastAsia="宋体" w:hint="default"/>
                <w:sz w:val="21"/>
                <w:szCs w:val="21"/>
              </w:rPr>
              <w:t>0.4%</w:t>
            </w:r>
            <w:r>
              <w:rPr>
                <w:rFonts w:ascii="宋体" w:hAnsi="宋体" w:cs="宋体" w:eastAsia="宋体" w:hint="default"/>
                <w:sz w:val="21"/>
                <w:szCs w:val="21"/>
              </w:rPr>
              <w:t>，第</w:t>
            </w:r>
            <w:r>
              <w:rPr>
                <w:rFonts w:ascii="宋体" w:hAnsi="宋体" w:cs="宋体" w:eastAsia="宋体" w:hint="default"/>
                <w:spacing w:val="-55"/>
                <w:sz w:val="21"/>
                <w:szCs w:val="21"/>
              </w:rPr>
              <w:t> </w:t>
            </w:r>
            <w:r>
              <w:rPr>
                <w:rFonts w:ascii="宋体" w:hAnsi="宋体" w:cs="宋体" w:eastAsia="宋体" w:hint="default"/>
                <w:sz w:val="21"/>
                <w:szCs w:val="21"/>
              </w:rPr>
              <w:t>30</w:t>
            </w:r>
            <w:r>
              <w:rPr>
                <w:rFonts w:ascii="宋体" w:hAnsi="宋体" w:cs="宋体" w:eastAsia="宋体" w:hint="default"/>
                <w:spacing w:val="-55"/>
                <w:sz w:val="21"/>
                <w:szCs w:val="21"/>
              </w:rPr>
              <w:t> </w:t>
            </w:r>
            <w:r>
              <w:rPr>
                <w:rFonts w:ascii="宋体" w:hAnsi="宋体" w:cs="宋体" w:eastAsia="宋体" w:hint="default"/>
                <w:sz w:val="21"/>
                <w:szCs w:val="21"/>
              </w:rPr>
              <w:t>年结束时输出功率不少于</w:t>
            </w:r>
            <w:r>
              <w:rPr>
                <w:rFonts w:ascii="宋体" w:hAnsi="宋体" w:cs="宋体" w:eastAsia="宋体" w:hint="default"/>
                <w:spacing w:val="-54"/>
                <w:sz w:val="21"/>
                <w:szCs w:val="21"/>
              </w:rPr>
              <w:t> </w:t>
            </w:r>
            <w:r>
              <w:rPr>
                <w:rFonts w:ascii="宋体" w:hAnsi="宋体" w:cs="宋体" w:eastAsia="宋体" w:hint="default"/>
                <w:sz w:val="21"/>
                <w:szCs w:val="21"/>
              </w:rPr>
              <w:t>87.4%</w:t>
            </w:r>
            <w:r>
              <w:rPr>
                <w:rFonts w:ascii="宋体" w:hAnsi="宋体" w:cs="宋体" w:eastAsia="宋体" w:hint="default"/>
                <w:sz w:val="21"/>
                <w:szCs w:val="21"/>
              </w:rPr>
              <w:t>。现量产组件功率</w:t>
            </w:r>
            <w:r>
              <w:rPr>
                <w:rFonts w:ascii="宋体" w:hAnsi="宋体" w:cs="宋体" w:eastAsia="宋体" w:hint="default"/>
                <w:spacing w:val="-55"/>
                <w:sz w:val="21"/>
                <w:szCs w:val="21"/>
              </w:rPr>
              <w:t> </w:t>
            </w:r>
            <w:r>
              <w:rPr>
                <w:rFonts w:ascii="宋体" w:hAnsi="宋体" w:cs="宋体" w:eastAsia="宋体" w:hint="default"/>
                <w:sz w:val="21"/>
                <w:szCs w:val="21"/>
              </w:rPr>
              <w:t>5W</w:t>
            </w:r>
            <w:r>
              <w:rPr>
                <w:rFonts w:ascii="宋体" w:hAnsi="宋体" w:cs="宋体" w:eastAsia="宋体" w:hint="default"/>
                <w:spacing w:val="-55"/>
                <w:sz w:val="21"/>
                <w:szCs w:val="21"/>
              </w:rPr>
              <w:t> </w:t>
            </w:r>
            <w:r>
              <w:rPr>
                <w:rFonts w:ascii="宋体" w:hAnsi="宋体" w:cs="宋体" w:eastAsia="宋体" w:hint="default"/>
                <w:sz w:val="21"/>
                <w:szCs w:val="21"/>
              </w:rPr>
              <w:t>一档，整体功率呈正态分</w:t>
            </w:r>
            <w:r>
              <w:rPr>
                <w:rFonts w:ascii="宋体" w:hAnsi="宋体" w:cs="宋体" w:eastAsia="宋体" w:hint="default"/>
                <w:w w:val="100"/>
                <w:sz w:val="21"/>
                <w:szCs w:val="21"/>
              </w:rPr>
              <w:t> </w:t>
            </w:r>
            <w:r>
              <w:rPr>
                <w:rFonts w:ascii="宋体" w:hAnsi="宋体" w:cs="宋体" w:eastAsia="宋体" w:hint="default"/>
                <w:sz w:val="21"/>
                <w:szCs w:val="21"/>
              </w:rPr>
              <w:t>布。</w:t>
            </w:r>
            <w:r>
              <w:rPr>
                <w:rFonts w:ascii="宋体" w:hAnsi="宋体" w:cs="宋体" w:eastAsia="宋体" w:hint="default"/>
                <w:sz w:val="21"/>
                <w:szCs w:val="21"/>
              </w:rPr>
              <w:t> </w:t>
            </w:r>
          </w:p>
        </w:tc>
      </w:tr>
    </w:tbl>
    <w:p>
      <w:pPr>
        <w:spacing w:after="0" w:line="237" w:lineRule="auto"/>
        <w:jc w:val="both"/>
        <w:rPr>
          <w:rFonts w:ascii="宋体" w:hAnsi="宋体" w:cs="宋体" w:eastAsia="宋体" w:hint="default"/>
          <w:sz w:val="21"/>
          <w:szCs w:val="21"/>
        </w:rPr>
        <w:sectPr>
          <w:headerReference w:type="default" r:id="rId19"/>
          <w:footerReference w:type="default" r:id="rId20"/>
          <w:pgSz w:w="11910" w:h="16840"/>
          <w:pgMar w:header="880" w:footer="974" w:top="1080" w:bottom="1160" w:left="1020" w:right="480"/>
        </w:sectPr>
      </w:pPr>
    </w:p>
    <w:p>
      <w:pPr>
        <w:pStyle w:val="Heading2"/>
        <w:spacing w:line="274" w:lineRule="exact"/>
        <w:ind w:left="778" w:right="0"/>
        <w:jc w:val="left"/>
        <w:rPr>
          <w:rFonts w:ascii="宋体" w:hAnsi="宋体" w:cs="宋体" w:eastAsia="宋体" w:hint="default"/>
        </w:rPr>
      </w:pPr>
      <w:r>
        <w:rPr>
          <w:rFonts w:ascii="宋体"/>
        </w:rPr>
        <w:t> </w:t>
      </w:r>
    </w:p>
    <w:p>
      <w:pPr>
        <w:pStyle w:val="Heading3"/>
        <w:tabs>
          <w:tab w:pos="1202" w:val="left" w:leader="none"/>
        </w:tabs>
        <w:spacing w:line="240" w:lineRule="auto" w:before="64"/>
        <w:ind w:left="778" w:right="0"/>
        <w:jc w:val="left"/>
        <w:rPr>
          <w:b w:val="0"/>
          <w:bCs w:val="0"/>
        </w:rPr>
      </w:pPr>
      <w:r>
        <w:rPr>
          <w:rFonts w:ascii="宋体" w:hAnsi="宋体" w:cs="宋体" w:eastAsia="宋体" w:hint="default"/>
          <w:w w:val="95"/>
        </w:rPr>
        <w:t>3.</w:t>
        <w:tab/>
      </w:r>
      <w:r>
        <w:rPr/>
        <w:t>光伏电站信息</w:t>
      </w:r>
      <w:r>
        <w:rPr>
          <w:b w:val="0"/>
          <w:bCs w:val="0"/>
        </w:rPr>
      </w:r>
    </w:p>
    <w:p>
      <w:pPr>
        <w:pStyle w:val="Heading2"/>
        <w:spacing w:line="240" w:lineRule="auto" w:before="50"/>
        <w:ind w:left="778" w:right="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5"/>
          <w:szCs w:val="15"/>
        </w:rPr>
      </w:pPr>
    </w:p>
    <w:p>
      <w:pPr>
        <w:pStyle w:val="BodyText"/>
        <w:spacing w:line="240" w:lineRule="auto"/>
        <w:ind w:left="778" w:right="0"/>
        <w:jc w:val="left"/>
        <w:rPr>
          <w:rFonts w:ascii="宋体" w:hAnsi="宋体" w:cs="宋体" w:eastAsia="宋体" w:hint="default"/>
        </w:rPr>
      </w:pPr>
      <w:r>
        <w:rPr/>
        <w:t>单位：万元币种：人民币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580" w:bottom="280" w:left="1020" w:right="480"/>
          <w:cols w:num="2" w:equalWidth="0">
            <w:col w:w="2939" w:space="3583"/>
            <w:col w:w="3888"/>
          </w:cols>
        </w:sectPr>
      </w:pPr>
    </w:p>
    <w:p>
      <w:pPr>
        <w:spacing w:line="240" w:lineRule="auto" w:before="7"/>
        <w:rPr>
          <w:rFonts w:ascii="宋体" w:hAnsi="宋体" w:cs="宋体" w:eastAsia="宋体" w:hint="default"/>
          <w:sz w:val="2"/>
          <w:szCs w:val="2"/>
        </w:rPr>
      </w:pPr>
    </w:p>
    <w:tbl>
      <w:tblPr>
        <w:tblW w:w="0" w:type="auto"/>
        <w:jc w:val="left"/>
        <w:tblInd w:w="665" w:type="dxa"/>
        <w:tblLayout w:type="fixed"/>
        <w:tblCellMar>
          <w:top w:w="0" w:type="dxa"/>
          <w:left w:w="0" w:type="dxa"/>
          <w:bottom w:w="0" w:type="dxa"/>
          <w:right w:w="0" w:type="dxa"/>
        </w:tblCellMar>
        <w:tblLook w:val="01E0"/>
      </w:tblPr>
      <w:tblGrid>
        <w:gridCol w:w="1459"/>
        <w:gridCol w:w="1477"/>
        <w:gridCol w:w="1462"/>
        <w:gridCol w:w="1431"/>
        <w:gridCol w:w="1507"/>
        <w:gridCol w:w="1714"/>
      </w:tblGrid>
      <w:tr>
        <w:trPr>
          <w:trHeight w:val="319" w:hRule="exact"/>
        </w:trPr>
        <w:tc>
          <w:tcPr>
            <w:tcW w:w="9050" w:type="dxa"/>
            <w:gridSpan w:val="6"/>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光伏电站开发：</w:t>
            </w:r>
            <w:r>
              <w:rPr>
                <w:rFonts w:ascii="宋体" w:hAnsi="宋体" w:cs="宋体" w:eastAsia="宋体" w:hint="default"/>
                <w:sz w:val="24"/>
                <w:szCs w:val="24"/>
              </w:rPr>
              <w:t> </w:t>
            </w:r>
          </w:p>
        </w:tc>
      </w:tr>
      <w:tr>
        <w:trPr>
          <w:trHeight w:val="828" w:hRule="exact"/>
        </w:trPr>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99" w:right="0"/>
              <w:jc w:val="left"/>
              <w:rPr>
                <w:rFonts w:ascii="宋体" w:hAnsi="宋体" w:cs="宋体" w:eastAsia="宋体" w:hint="default"/>
                <w:sz w:val="21"/>
                <w:szCs w:val="21"/>
              </w:rPr>
            </w:pPr>
            <w:r>
              <w:rPr>
                <w:rFonts w:ascii="宋体" w:hAnsi="宋体" w:cs="宋体" w:eastAsia="宋体" w:hint="default"/>
                <w:sz w:val="21"/>
                <w:szCs w:val="21"/>
              </w:rPr>
              <w:t>期初持有电</w:t>
            </w:r>
          </w:p>
          <w:p>
            <w:pPr>
              <w:pStyle w:val="TableParagraph"/>
              <w:spacing w:line="272" w:lineRule="exact" w:before="26"/>
              <w:ind w:left="407" w:right="194" w:hanging="209"/>
              <w:jc w:val="left"/>
              <w:rPr>
                <w:rFonts w:ascii="宋体" w:hAnsi="宋体" w:cs="宋体" w:eastAsia="宋体" w:hint="default"/>
                <w:sz w:val="21"/>
                <w:szCs w:val="21"/>
              </w:rPr>
            </w:pPr>
            <w:r>
              <w:rPr>
                <w:rFonts w:ascii="宋体" w:hAnsi="宋体" w:cs="宋体" w:eastAsia="宋体" w:hint="default"/>
                <w:sz w:val="21"/>
                <w:szCs w:val="21"/>
              </w:rPr>
              <w:t>站数及总装</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机容量</w:t>
            </w:r>
            <w:r>
              <w:rPr>
                <w:rFonts w:ascii="宋体" w:hAnsi="宋体" w:cs="宋体" w:eastAsia="宋体" w:hint="default"/>
                <w:sz w:val="21"/>
                <w:szCs w:val="21"/>
              </w:rPr>
              <w:t> </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报告期内出售</w:t>
            </w:r>
          </w:p>
          <w:p>
            <w:pPr>
              <w:pStyle w:val="TableParagraph"/>
              <w:spacing w:line="272" w:lineRule="exact" w:before="26"/>
              <w:ind w:left="417" w:right="99" w:hanging="315"/>
              <w:jc w:val="left"/>
              <w:rPr>
                <w:rFonts w:ascii="宋体" w:hAnsi="宋体" w:cs="宋体" w:eastAsia="宋体" w:hint="default"/>
                <w:sz w:val="21"/>
                <w:szCs w:val="21"/>
              </w:rPr>
            </w:pPr>
            <w:r>
              <w:rPr>
                <w:rFonts w:ascii="宋体" w:hAnsi="宋体" w:cs="宋体" w:eastAsia="宋体" w:hint="default"/>
                <w:sz w:val="21"/>
                <w:szCs w:val="21"/>
              </w:rPr>
              <w:t>电站数及总装</w:t>
            </w:r>
            <w:r>
              <w:rPr>
                <w:rFonts w:ascii="宋体" w:hAnsi="宋体" w:cs="宋体" w:eastAsia="宋体" w:hint="default"/>
                <w:w w:val="100"/>
                <w:sz w:val="21"/>
                <w:szCs w:val="21"/>
              </w:rPr>
              <w:t> </w:t>
            </w:r>
            <w:r>
              <w:rPr>
                <w:rFonts w:ascii="宋体" w:hAnsi="宋体" w:cs="宋体" w:eastAsia="宋体" w:hint="default"/>
                <w:sz w:val="21"/>
                <w:szCs w:val="21"/>
              </w:rPr>
              <w:t>机容量</w:t>
            </w:r>
            <w:r>
              <w:rPr>
                <w:rFonts w:ascii="宋体" w:hAnsi="宋体" w:cs="宋体" w:eastAsia="宋体" w:hint="default"/>
                <w:sz w:val="21"/>
                <w:szCs w:val="21"/>
              </w:rPr>
              <w:t> </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99" w:right="0"/>
              <w:jc w:val="left"/>
              <w:rPr>
                <w:rFonts w:ascii="宋体" w:hAnsi="宋体" w:cs="宋体" w:eastAsia="宋体" w:hint="default"/>
                <w:sz w:val="21"/>
                <w:szCs w:val="21"/>
              </w:rPr>
            </w:pPr>
            <w:r>
              <w:rPr>
                <w:rFonts w:ascii="宋体" w:hAnsi="宋体" w:cs="宋体" w:eastAsia="宋体" w:hint="default"/>
                <w:sz w:val="21"/>
                <w:szCs w:val="21"/>
              </w:rPr>
              <w:t>期末持有电</w:t>
            </w:r>
          </w:p>
          <w:p>
            <w:pPr>
              <w:pStyle w:val="TableParagraph"/>
              <w:spacing w:line="272" w:lineRule="exact" w:before="26"/>
              <w:ind w:left="410" w:right="197" w:hanging="212"/>
              <w:jc w:val="left"/>
              <w:rPr>
                <w:rFonts w:ascii="宋体" w:hAnsi="宋体" w:cs="宋体" w:eastAsia="宋体" w:hint="default"/>
                <w:sz w:val="21"/>
                <w:szCs w:val="21"/>
              </w:rPr>
            </w:pPr>
            <w:r>
              <w:rPr>
                <w:rFonts w:ascii="宋体" w:hAnsi="宋体" w:cs="宋体" w:eastAsia="宋体" w:hint="default"/>
                <w:sz w:val="21"/>
                <w:szCs w:val="21"/>
              </w:rPr>
              <w:t>站数及总装</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机容量</w:t>
            </w:r>
            <w:r>
              <w:rPr>
                <w:rFonts w:ascii="宋体" w:hAnsi="宋体" w:cs="宋体" w:eastAsia="宋体" w:hint="default"/>
                <w:sz w:val="21"/>
                <w:szCs w:val="21"/>
              </w:rPr>
              <w:t> </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在手已核准</w:t>
            </w:r>
          </w:p>
          <w:p>
            <w:pPr>
              <w:pStyle w:val="TableParagraph"/>
              <w:spacing w:line="272" w:lineRule="exact" w:before="26"/>
              <w:ind w:left="290" w:right="182"/>
              <w:jc w:val="center"/>
              <w:rPr>
                <w:rFonts w:ascii="宋体" w:hAnsi="宋体" w:cs="宋体" w:eastAsia="宋体" w:hint="default"/>
                <w:sz w:val="21"/>
                <w:szCs w:val="21"/>
              </w:rPr>
            </w:pPr>
            <w:r>
              <w:rPr>
                <w:rFonts w:ascii="宋体" w:hAnsi="宋体" w:cs="宋体" w:eastAsia="宋体" w:hint="default"/>
                <w:sz w:val="21"/>
                <w:szCs w:val="21"/>
              </w:rPr>
              <w:t>的总装机</w:t>
            </w:r>
            <w:r>
              <w:rPr>
                <w:rFonts w:ascii="宋体" w:hAnsi="宋体" w:cs="宋体" w:eastAsia="宋体" w:hint="default"/>
                <w:w w:val="100"/>
                <w:sz w:val="21"/>
                <w:szCs w:val="21"/>
              </w:rPr>
              <w:t> </w:t>
            </w:r>
            <w:r>
              <w:rPr>
                <w:rFonts w:ascii="宋体" w:hAnsi="宋体" w:cs="宋体" w:eastAsia="宋体" w:hint="default"/>
                <w:sz w:val="21"/>
                <w:szCs w:val="21"/>
              </w:rPr>
              <w:t>容量</w:t>
            </w:r>
            <w:r>
              <w:rPr>
                <w:rFonts w:ascii="宋体" w:hAnsi="宋体" w:cs="宋体" w:eastAsia="宋体" w:hint="default"/>
                <w:sz w:val="21"/>
                <w:szCs w:val="21"/>
              </w:rPr>
              <w:t> </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已出售电站项</w:t>
            </w:r>
          </w:p>
          <w:p>
            <w:pPr>
              <w:pStyle w:val="TableParagraph"/>
              <w:spacing w:line="272" w:lineRule="exact" w:before="26"/>
              <w:ind w:left="223" w:right="115"/>
              <w:jc w:val="center"/>
              <w:rPr>
                <w:rFonts w:ascii="宋体" w:hAnsi="宋体" w:cs="宋体" w:eastAsia="宋体" w:hint="default"/>
                <w:sz w:val="21"/>
                <w:szCs w:val="21"/>
              </w:rPr>
            </w:pPr>
            <w:r>
              <w:rPr>
                <w:rFonts w:ascii="宋体" w:hAnsi="宋体" w:cs="宋体" w:eastAsia="宋体" w:hint="default"/>
                <w:sz w:val="21"/>
                <w:szCs w:val="21"/>
              </w:rPr>
              <w:t>目的总成交</w:t>
            </w:r>
            <w:r>
              <w:rPr>
                <w:rFonts w:ascii="宋体" w:hAnsi="宋体" w:cs="宋体" w:eastAsia="宋体" w:hint="default"/>
                <w:w w:val="100"/>
                <w:sz w:val="21"/>
                <w:szCs w:val="21"/>
              </w:rPr>
              <w:t> </w:t>
            </w:r>
            <w:r>
              <w:rPr>
                <w:rFonts w:ascii="宋体" w:hAnsi="宋体" w:cs="宋体" w:eastAsia="宋体" w:hint="default"/>
                <w:sz w:val="21"/>
                <w:szCs w:val="21"/>
              </w:rPr>
              <w:t>金额</w:t>
            </w:r>
            <w:r>
              <w:rPr>
                <w:rFonts w:ascii="宋体" w:hAnsi="宋体" w:cs="宋体" w:eastAsia="宋体" w:hint="default"/>
                <w:sz w:val="21"/>
                <w:szCs w:val="21"/>
              </w:rPr>
              <w:t> </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5" w:right="0"/>
              <w:jc w:val="left"/>
              <w:rPr>
                <w:rFonts w:ascii="宋体" w:hAnsi="宋体" w:cs="宋体" w:eastAsia="宋体" w:hint="default"/>
                <w:sz w:val="21"/>
                <w:szCs w:val="21"/>
              </w:rPr>
            </w:pPr>
            <w:r>
              <w:rPr>
                <w:rFonts w:ascii="宋体" w:hAnsi="宋体" w:cs="宋体" w:eastAsia="宋体" w:hint="default"/>
                <w:sz w:val="21"/>
                <w:szCs w:val="21"/>
              </w:rPr>
              <w:t>当期出售电站对</w:t>
            </w:r>
          </w:p>
          <w:p>
            <w:pPr>
              <w:pStyle w:val="TableParagraph"/>
              <w:spacing w:line="272" w:lineRule="exact" w:before="26"/>
              <w:ind w:left="221" w:right="113" w:hanging="106"/>
              <w:jc w:val="left"/>
              <w:rPr>
                <w:rFonts w:ascii="宋体" w:hAnsi="宋体" w:cs="宋体" w:eastAsia="宋体" w:hint="default"/>
                <w:sz w:val="21"/>
                <w:szCs w:val="21"/>
              </w:rPr>
            </w:pPr>
            <w:r>
              <w:rPr>
                <w:rFonts w:ascii="宋体" w:hAnsi="宋体" w:cs="宋体" w:eastAsia="宋体" w:hint="default"/>
                <w:sz w:val="21"/>
                <w:szCs w:val="21"/>
              </w:rPr>
              <w:t>公司当期经营业</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绩产生的影响</w:t>
            </w:r>
            <w:r>
              <w:rPr>
                <w:rFonts w:ascii="宋体" w:hAnsi="宋体" w:cs="宋体" w:eastAsia="宋体" w:hint="default"/>
                <w:sz w:val="21"/>
                <w:szCs w:val="21"/>
              </w:rPr>
              <w:t> </w:t>
            </w:r>
          </w:p>
        </w:tc>
      </w:tr>
      <w:tr>
        <w:trPr>
          <w:trHeight w:val="528" w:hRule="exact"/>
        </w:trPr>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z w:val="20"/>
                <w:szCs w:val="20"/>
              </w:rPr>
              <w:t>136</w:t>
            </w:r>
            <w:r>
              <w:rPr>
                <w:rFonts w:ascii="宋体" w:hAnsi="宋体" w:cs="宋体" w:eastAsia="宋体" w:hint="default"/>
                <w:spacing w:val="-52"/>
                <w:sz w:val="20"/>
                <w:szCs w:val="20"/>
              </w:rPr>
              <w:t> </w:t>
            </w:r>
            <w:r>
              <w:rPr>
                <w:rFonts w:ascii="宋体" w:hAnsi="宋体" w:cs="宋体" w:eastAsia="宋体" w:hint="default"/>
                <w:sz w:val="20"/>
                <w:szCs w:val="20"/>
              </w:rPr>
              <w:t>座电站装</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机容量</w:t>
            </w:r>
            <w:r>
              <w:rPr>
                <w:rFonts w:ascii="宋体" w:hAnsi="宋体" w:cs="宋体" w:eastAsia="宋体" w:hint="default"/>
                <w:spacing w:val="-59"/>
                <w:sz w:val="20"/>
                <w:szCs w:val="20"/>
              </w:rPr>
              <w:t> </w:t>
            </w:r>
            <w:r>
              <w:rPr>
                <w:rFonts w:ascii="宋体" w:hAnsi="宋体" w:cs="宋体" w:eastAsia="宋体" w:hint="default"/>
                <w:sz w:val="20"/>
                <w:szCs w:val="20"/>
              </w:rPr>
              <w:t>1450MW </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z w:val="20"/>
                <w:szCs w:val="20"/>
              </w:rPr>
              <w:t>1</w:t>
            </w:r>
            <w:r>
              <w:rPr>
                <w:rFonts w:ascii="宋体" w:hAnsi="宋体" w:cs="宋体" w:eastAsia="宋体" w:hint="default"/>
                <w:spacing w:val="-54"/>
                <w:sz w:val="20"/>
                <w:szCs w:val="20"/>
              </w:rPr>
              <w:t> </w:t>
            </w:r>
            <w:r>
              <w:rPr>
                <w:rFonts w:ascii="宋体" w:hAnsi="宋体" w:cs="宋体" w:eastAsia="宋体" w:hint="default"/>
                <w:sz w:val="20"/>
                <w:szCs w:val="20"/>
              </w:rPr>
              <w:t>座电站装机</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容量</w:t>
            </w:r>
            <w:r>
              <w:rPr>
                <w:rFonts w:ascii="宋体" w:hAnsi="宋体" w:cs="宋体" w:eastAsia="宋体" w:hint="default"/>
                <w:spacing w:val="-50"/>
                <w:sz w:val="20"/>
                <w:szCs w:val="20"/>
              </w:rPr>
              <w:t> </w:t>
            </w:r>
            <w:r>
              <w:rPr>
                <w:rFonts w:ascii="宋体" w:hAnsi="宋体" w:cs="宋体" w:eastAsia="宋体" w:hint="default"/>
                <w:sz w:val="20"/>
                <w:szCs w:val="20"/>
              </w:rPr>
              <w:t>3.85MW </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z w:val="20"/>
                <w:szCs w:val="20"/>
              </w:rPr>
              <w:t>137</w:t>
            </w:r>
            <w:r>
              <w:rPr>
                <w:rFonts w:ascii="宋体" w:hAnsi="宋体" w:cs="宋体" w:eastAsia="宋体" w:hint="default"/>
                <w:spacing w:val="-52"/>
                <w:sz w:val="20"/>
                <w:szCs w:val="20"/>
              </w:rPr>
              <w:t> </w:t>
            </w:r>
            <w:r>
              <w:rPr>
                <w:rFonts w:ascii="宋体" w:hAnsi="宋体" w:cs="宋体" w:eastAsia="宋体" w:hint="default"/>
                <w:sz w:val="20"/>
                <w:szCs w:val="20"/>
              </w:rPr>
              <w:t>座电站装</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机容量</w:t>
            </w:r>
            <w:r>
              <w:rPr>
                <w:rFonts w:ascii="宋体" w:hAnsi="宋体" w:cs="宋体" w:eastAsia="宋体" w:hint="default"/>
                <w:spacing w:val="-57"/>
                <w:sz w:val="20"/>
                <w:szCs w:val="20"/>
              </w:rPr>
              <w:t> </w:t>
            </w:r>
            <w:r>
              <w:rPr>
                <w:rFonts w:ascii="宋体" w:hAnsi="宋体" w:cs="宋体" w:eastAsia="宋体" w:hint="default"/>
                <w:sz w:val="20"/>
                <w:szCs w:val="20"/>
              </w:rPr>
              <w:t>1480MW </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717" w:right="0"/>
              <w:jc w:val="left"/>
              <w:rPr>
                <w:rFonts w:ascii="宋体" w:hAnsi="宋体" w:cs="宋体" w:eastAsia="宋体" w:hint="default"/>
                <w:sz w:val="20"/>
                <w:szCs w:val="20"/>
              </w:rPr>
            </w:pPr>
            <w:r>
              <w:rPr>
                <w:rFonts w:ascii="宋体"/>
                <w:sz w:val="20"/>
              </w:rPr>
              <w:t>1115MW </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595" w:right="0"/>
              <w:jc w:val="left"/>
              <w:rPr>
                <w:rFonts w:ascii="宋体" w:hAnsi="宋体" w:cs="宋体" w:eastAsia="宋体" w:hint="default"/>
                <w:sz w:val="20"/>
                <w:szCs w:val="20"/>
              </w:rPr>
            </w:pPr>
            <w:r>
              <w:rPr>
                <w:rFonts w:ascii="宋体"/>
                <w:sz w:val="20"/>
              </w:rPr>
              <w:t>2,765.85 </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01" w:right="0"/>
              <w:jc w:val="left"/>
              <w:rPr>
                <w:rFonts w:ascii="宋体" w:hAnsi="宋体" w:cs="宋体" w:eastAsia="宋体" w:hint="default"/>
                <w:sz w:val="20"/>
                <w:szCs w:val="20"/>
              </w:rPr>
            </w:pPr>
            <w:r>
              <w:rPr>
                <w:rFonts w:ascii="宋体"/>
                <w:sz w:val="20"/>
              </w:rPr>
              <w:t>141.43 </w:t>
            </w:r>
          </w:p>
        </w:tc>
      </w:tr>
    </w:tbl>
    <w:p>
      <w:pPr>
        <w:spacing w:after="0" w:line="240" w:lineRule="auto"/>
        <w:jc w:val="left"/>
        <w:rPr>
          <w:rFonts w:ascii="宋体" w:hAnsi="宋体" w:cs="宋体" w:eastAsia="宋体" w:hint="default"/>
          <w:sz w:val="20"/>
          <w:szCs w:val="20"/>
        </w:rPr>
        <w:sectPr>
          <w:type w:val="continuous"/>
          <w:pgSz w:w="11910" w:h="16840"/>
          <w:pgMar w:top="1580" w:bottom="280" w:left="1020" w:right="480"/>
        </w:sectPr>
      </w:pPr>
    </w:p>
    <w:p>
      <w:pPr>
        <w:pStyle w:val="Heading2"/>
        <w:spacing w:line="273" w:lineRule="exact"/>
        <w:ind w:left="778" w:right="0"/>
        <w:jc w:val="left"/>
        <w:rPr>
          <w:rFonts w:ascii="宋体" w:hAnsi="宋体" w:cs="宋体" w:eastAsia="宋体" w:hint="default"/>
        </w:rPr>
      </w:pPr>
      <w:r>
        <w:rPr>
          <w:rFonts w:ascii="宋体"/>
        </w:rPr>
        <w:t> </w:t>
      </w:r>
    </w:p>
    <w:p>
      <w:pPr>
        <w:pStyle w:val="Heading2"/>
        <w:spacing w:line="313" w:lineRule="exact"/>
        <w:ind w:left="778" w:right="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
        <w:rPr>
          <w:rFonts w:ascii="宋体" w:hAnsi="宋体" w:cs="宋体" w:eastAsia="宋体" w:hint="default"/>
          <w:sz w:val="25"/>
          <w:szCs w:val="25"/>
        </w:rPr>
      </w:pPr>
    </w:p>
    <w:p>
      <w:pPr>
        <w:pStyle w:val="BodyText"/>
        <w:spacing w:line="240" w:lineRule="auto"/>
        <w:ind w:left="778" w:right="0"/>
        <w:jc w:val="left"/>
        <w:rPr>
          <w:rFonts w:ascii="宋体" w:hAnsi="宋体" w:cs="宋体" w:eastAsia="宋体" w:hint="default"/>
        </w:rPr>
      </w:pPr>
      <w:r>
        <w:rPr/>
        <w:t>单位：万元币种：人民币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580" w:bottom="280" w:left="1020" w:right="480"/>
          <w:cols w:num="2" w:equalWidth="0">
            <w:col w:w="2939" w:space="3583"/>
            <w:col w:w="3888"/>
          </w:cols>
        </w:sectPr>
      </w:pPr>
    </w:p>
    <w:p>
      <w:pPr>
        <w:spacing w:line="240" w:lineRule="auto" w:before="4"/>
        <w:rPr>
          <w:rFonts w:ascii="宋体" w:hAnsi="宋体" w:cs="宋体" w:eastAsia="宋体" w:hint="default"/>
          <w:sz w:val="2"/>
          <w:szCs w:val="2"/>
        </w:rPr>
      </w:pPr>
      <w:r>
        <w:rPr/>
        <w:pict>
          <v:group style="position:absolute;margin-left:84.900002pt;margin-top:37.349983pt;width:447.55pt;height:19.650pt;mso-position-horizontal-relative:page;mso-position-vertical-relative:page;z-index:-1319560" coordorigin="1698,747" coordsize="8951,393">
            <v:group style="position:absolute;left:1769;top:1116;width:8872;height:2" coordorigin="1769,1116" coordsize="8872,2">
              <v:shape style="position:absolute;left:1769;top:1116;width:8872;height:2" coordorigin="1769,1116" coordsize="8872,0" path="m1769,1116l10641,1116e" filled="false" stroked="true" strokeweight=".72pt" strokecolor="#000000">
                <v:path arrowok="t"/>
              </v:shape>
              <v:shape style="position:absolute;left:1698;top:747;width:465;height:393" type="#_x0000_t75" stroked="false">
                <v:imagedata r:id="rId10" o:title=""/>
              </v:shape>
            </v:group>
            <w10:wrap type="none"/>
          </v:group>
        </w:pict>
      </w:r>
    </w:p>
    <w:tbl>
      <w:tblPr>
        <w:tblW w:w="0" w:type="auto"/>
        <w:jc w:val="left"/>
        <w:tblInd w:w="100" w:type="dxa"/>
        <w:tblLayout w:type="fixed"/>
        <w:tblCellMar>
          <w:top w:w="0" w:type="dxa"/>
          <w:left w:w="0" w:type="dxa"/>
          <w:bottom w:w="0" w:type="dxa"/>
          <w:right w:w="0" w:type="dxa"/>
        </w:tblCellMar>
        <w:tblLook w:val="01E0"/>
      </w:tblPr>
      <w:tblGrid>
        <w:gridCol w:w="1709"/>
        <w:gridCol w:w="821"/>
        <w:gridCol w:w="711"/>
        <w:gridCol w:w="1123"/>
        <w:gridCol w:w="852"/>
        <w:gridCol w:w="852"/>
        <w:gridCol w:w="850"/>
        <w:gridCol w:w="948"/>
        <w:gridCol w:w="757"/>
        <w:gridCol w:w="710"/>
        <w:gridCol w:w="845"/>
      </w:tblGrid>
      <w:tr>
        <w:trPr>
          <w:trHeight w:val="245" w:hRule="exact"/>
        </w:trPr>
        <w:tc>
          <w:tcPr>
            <w:tcW w:w="10178" w:type="dxa"/>
            <w:gridSpan w:val="11"/>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光伏电站运营：</w:t>
            </w:r>
            <w:r>
              <w:rPr>
                <w:rFonts w:ascii="宋体" w:hAnsi="宋体" w:cs="宋体" w:eastAsia="宋体" w:hint="default"/>
                <w:sz w:val="18"/>
                <w:szCs w:val="18"/>
              </w:rPr>
              <w:t> </w:t>
            </w:r>
          </w:p>
        </w:tc>
      </w:tr>
      <w:tr>
        <w:trPr>
          <w:trHeight w:val="710"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487" w:right="0"/>
              <w:jc w:val="left"/>
              <w:rPr>
                <w:rFonts w:ascii="宋体" w:hAnsi="宋体" w:cs="宋体" w:eastAsia="宋体" w:hint="default"/>
                <w:sz w:val="18"/>
                <w:szCs w:val="18"/>
              </w:rPr>
            </w:pPr>
            <w:r>
              <w:rPr>
                <w:rFonts w:ascii="宋体" w:hAnsi="宋体" w:cs="宋体" w:eastAsia="宋体" w:hint="default"/>
                <w:sz w:val="18"/>
                <w:szCs w:val="18"/>
              </w:rPr>
              <w:t>光伏电站</w:t>
            </w:r>
            <w:r>
              <w:rPr>
                <w:rFonts w:ascii="宋体" w:hAnsi="宋体" w:cs="宋体" w:eastAsia="宋体" w:hint="default"/>
                <w:sz w:val="18"/>
                <w:szCs w:val="18"/>
              </w:rPr>
              <w:t> </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87" w:right="0"/>
              <w:jc w:val="center"/>
              <w:rPr>
                <w:rFonts w:ascii="宋体" w:hAnsi="宋体" w:cs="宋体" w:eastAsia="宋体" w:hint="default"/>
                <w:sz w:val="18"/>
                <w:szCs w:val="18"/>
              </w:rPr>
            </w:pPr>
            <w:r>
              <w:rPr>
                <w:rFonts w:ascii="宋体" w:hAnsi="宋体" w:cs="宋体" w:eastAsia="宋体" w:hint="default"/>
                <w:sz w:val="18"/>
                <w:szCs w:val="18"/>
              </w:rPr>
              <w:t>所在地</w:t>
            </w:r>
            <w:r>
              <w:rPr>
                <w:rFonts w:ascii="宋体" w:hAnsi="宋体" w:cs="宋体" w:eastAsia="宋体" w:hint="default"/>
                <w:sz w:val="18"/>
                <w:szCs w:val="18"/>
              </w:rPr>
              <w:t> </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70" w:right="78"/>
              <w:jc w:val="left"/>
              <w:rPr>
                <w:rFonts w:ascii="宋体" w:hAnsi="宋体" w:cs="宋体" w:eastAsia="宋体" w:hint="default"/>
                <w:sz w:val="18"/>
                <w:szCs w:val="18"/>
              </w:rPr>
            </w:pPr>
            <w:r>
              <w:rPr>
                <w:rFonts w:ascii="宋体" w:hAnsi="宋体" w:cs="宋体" w:eastAsia="宋体" w:hint="default"/>
                <w:sz w:val="18"/>
                <w:szCs w:val="18"/>
              </w:rPr>
              <w:t>装机</w:t>
            </w:r>
            <w:r>
              <w:rPr>
                <w:rFonts w:ascii="宋体" w:hAnsi="宋体" w:cs="宋体" w:eastAsia="宋体" w:hint="default"/>
                <w:sz w:val="18"/>
                <w:szCs w:val="18"/>
              </w:rPr>
              <w:t> </w:t>
            </w:r>
            <w:r>
              <w:rPr>
                <w:rFonts w:ascii="宋体" w:hAnsi="宋体" w:cs="宋体" w:eastAsia="宋体" w:hint="default"/>
                <w:sz w:val="18"/>
                <w:szCs w:val="18"/>
              </w:rPr>
              <w:t>容量</w:t>
            </w:r>
            <w:r>
              <w:rPr>
                <w:rFonts w:ascii="宋体" w:hAnsi="宋体" w:cs="宋体" w:eastAsia="宋体" w:hint="default"/>
                <w:sz w:val="18"/>
                <w:szCs w:val="18"/>
              </w:rPr>
              <w:t> </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376" w:right="17" w:hanging="272"/>
              <w:jc w:val="left"/>
              <w:rPr>
                <w:rFonts w:ascii="宋体" w:hAnsi="宋体" w:cs="宋体" w:eastAsia="宋体" w:hint="default"/>
                <w:sz w:val="18"/>
                <w:szCs w:val="18"/>
              </w:rPr>
            </w:pPr>
            <w:r>
              <w:rPr>
                <w:rFonts w:ascii="宋体" w:hAnsi="宋体" w:cs="宋体" w:eastAsia="宋体" w:hint="default"/>
                <w:sz w:val="18"/>
                <w:szCs w:val="18"/>
              </w:rPr>
              <w:t>电价补贴及</w:t>
            </w:r>
            <w:r>
              <w:rPr>
                <w:rFonts w:ascii="宋体" w:hAnsi="宋体" w:cs="宋体" w:eastAsia="宋体" w:hint="default"/>
                <w:sz w:val="18"/>
                <w:szCs w:val="18"/>
              </w:rPr>
              <w:t> </w:t>
            </w:r>
            <w:r>
              <w:rPr>
                <w:rFonts w:ascii="宋体" w:hAnsi="宋体" w:cs="宋体" w:eastAsia="宋体" w:hint="default"/>
                <w:sz w:val="18"/>
                <w:szCs w:val="18"/>
              </w:rPr>
              <w:t>年限</w:t>
            </w:r>
            <w:r>
              <w:rPr>
                <w:rFonts w:ascii="宋体" w:hAnsi="宋体" w:cs="宋体" w:eastAsia="宋体" w:hint="default"/>
                <w:sz w:val="18"/>
                <w:szCs w:val="18"/>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51" w:right="0"/>
              <w:jc w:val="left"/>
              <w:rPr>
                <w:rFonts w:ascii="宋体" w:hAnsi="宋体" w:cs="宋体" w:eastAsia="宋体" w:hint="default"/>
                <w:sz w:val="18"/>
                <w:szCs w:val="18"/>
              </w:rPr>
            </w:pPr>
            <w:r>
              <w:rPr>
                <w:rFonts w:ascii="宋体" w:hAnsi="宋体" w:cs="宋体" w:eastAsia="宋体" w:hint="default"/>
                <w:sz w:val="18"/>
                <w:szCs w:val="18"/>
              </w:rPr>
              <w:t>发电量</w:t>
            </w:r>
            <w:r>
              <w:rPr>
                <w:rFonts w:ascii="宋体" w:hAnsi="宋体" w:cs="宋体" w:eastAsia="宋体" w:hint="default"/>
                <w:sz w:val="18"/>
                <w:szCs w:val="18"/>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240" w:right="150"/>
              <w:jc w:val="left"/>
              <w:rPr>
                <w:rFonts w:ascii="宋体" w:hAnsi="宋体" w:cs="宋体" w:eastAsia="宋体" w:hint="default"/>
                <w:sz w:val="18"/>
                <w:szCs w:val="18"/>
              </w:rPr>
            </w:pPr>
            <w:r>
              <w:rPr>
                <w:rFonts w:ascii="宋体" w:hAnsi="宋体" w:cs="宋体" w:eastAsia="宋体" w:hint="default"/>
                <w:sz w:val="18"/>
                <w:szCs w:val="18"/>
              </w:rPr>
              <w:t>上网</w:t>
            </w:r>
            <w:r>
              <w:rPr>
                <w:rFonts w:ascii="宋体" w:hAnsi="宋体" w:cs="宋体" w:eastAsia="宋体" w:hint="default"/>
                <w:sz w:val="18"/>
                <w:szCs w:val="18"/>
              </w:rPr>
              <w:t> </w:t>
            </w:r>
            <w:r>
              <w:rPr>
                <w:rFonts w:ascii="宋体" w:hAnsi="宋体" w:cs="宋体" w:eastAsia="宋体" w:hint="default"/>
                <w:sz w:val="18"/>
                <w:szCs w:val="18"/>
              </w:rPr>
              <w:t>电量</w:t>
            </w:r>
            <w:r>
              <w:rPr>
                <w:rFonts w:ascii="宋体" w:hAnsi="宋体" w:cs="宋体" w:eastAsia="宋体" w:hint="default"/>
                <w:sz w:val="18"/>
                <w:szCs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237" w:right="150"/>
              <w:jc w:val="left"/>
              <w:rPr>
                <w:rFonts w:ascii="宋体" w:hAnsi="宋体" w:cs="宋体" w:eastAsia="宋体" w:hint="default"/>
                <w:sz w:val="18"/>
                <w:szCs w:val="18"/>
              </w:rPr>
            </w:pPr>
            <w:r>
              <w:rPr>
                <w:rFonts w:ascii="宋体" w:hAnsi="宋体" w:cs="宋体" w:eastAsia="宋体" w:hint="default"/>
                <w:sz w:val="18"/>
                <w:szCs w:val="18"/>
              </w:rPr>
              <w:t>结算</w:t>
            </w:r>
            <w:r>
              <w:rPr>
                <w:rFonts w:ascii="宋体" w:hAnsi="宋体" w:cs="宋体" w:eastAsia="宋体" w:hint="default"/>
                <w:sz w:val="18"/>
                <w:szCs w:val="18"/>
              </w:rPr>
              <w:t> </w:t>
            </w:r>
            <w:r>
              <w:rPr>
                <w:rFonts w:ascii="宋体" w:hAnsi="宋体" w:cs="宋体" w:eastAsia="宋体" w:hint="default"/>
                <w:sz w:val="18"/>
                <w:szCs w:val="18"/>
              </w:rPr>
              <w:t>电量</w:t>
            </w:r>
            <w:r>
              <w:rPr>
                <w:rFonts w:ascii="宋体" w:hAnsi="宋体" w:cs="宋体" w:eastAsia="宋体" w:hint="default"/>
                <w:sz w:val="18"/>
                <w:szCs w:val="18"/>
              </w:rPr>
              <w:t> </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7" w:right="0"/>
              <w:jc w:val="left"/>
              <w:rPr>
                <w:rFonts w:ascii="宋体" w:hAnsi="宋体" w:cs="宋体" w:eastAsia="宋体" w:hint="default"/>
                <w:sz w:val="18"/>
                <w:szCs w:val="18"/>
              </w:rPr>
            </w:pPr>
            <w:r>
              <w:rPr>
                <w:rFonts w:ascii="宋体" w:hAnsi="宋体" w:cs="宋体" w:eastAsia="宋体" w:hint="default"/>
                <w:sz w:val="18"/>
                <w:szCs w:val="18"/>
              </w:rPr>
              <w:t>上网电价</w:t>
            </w:r>
          </w:p>
          <w:p>
            <w:pPr>
              <w:pStyle w:val="TableParagraph"/>
              <w:spacing w:line="232" w:lineRule="exact" w:before="23"/>
              <w:ind w:left="199" w:right="107" w:hanging="46"/>
              <w:jc w:val="left"/>
              <w:rPr>
                <w:rFonts w:ascii="宋体" w:hAnsi="宋体" w:cs="宋体" w:eastAsia="宋体" w:hint="default"/>
                <w:sz w:val="18"/>
                <w:szCs w:val="18"/>
              </w:rPr>
            </w:pPr>
            <w:r>
              <w:rPr>
                <w:rFonts w:ascii="宋体" w:hAnsi="宋体" w:cs="宋体" w:eastAsia="宋体" w:hint="default"/>
                <w:sz w:val="18"/>
                <w:szCs w:val="18"/>
              </w:rPr>
              <w:t>（元</w:t>
            </w:r>
            <w:r>
              <w:rPr>
                <w:rFonts w:ascii="宋体" w:hAnsi="宋体" w:cs="宋体" w:eastAsia="宋体" w:hint="default"/>
                <w:sz w:val="18"/>
                <w:szCs w:val="18"/>
              </w:rPr>
              <w:t>/</w:t>
            </w:r>
            <w:r>
              <w:rPr>
                <w:rFonts w:ascii="宋体" w:hAnsi="宋体" w:cs="宋体" w:eastAsia="宋体" w:hint="default"/>
                <w:sz w:val="18"/>
                <w:szCs w:val="18"/>
              </w:rPr>
              <w:t>千 瓦时）</w:t>
            </w:r>
            <w:r>
              <w:rPr>
                <w:rFonts w:ascii="宋体" w:hAnsi="宋体" w:cs="宋体" w:eastAsia="宋体" w:hint="default"/>
                <w:sz w:val="18"/>
                <w:szCs w:val="18"/>
              </w:rPr>
              <w:t> </w:t>
            </w:r>
          </w:p>
        </w:tc>
        <w:tc>
          <w:tcPr>
            <w:tcW w:w="75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90" w:right="104"/>
              <w:jc w:val="left"/>
              <w:rPr>
                <w:rFonts w:ascii="宋体" w:hAnsi="宋体" w:cs="宋体" w:eastAsia="宋体" w:hint="default"/>
                <w:sz w:val="18"/>
                <w:szCs w:val="18"/>
              </w:rPr>
            </w:pPr>
            <w:r>
              <w:rPr>
                <w:rFonts w:ascii="宋体" w:hAnsi="宋体" w:cs="宋体" w:eastAsia="宋体" w:hint="default"/>
                <w:sz w:val="18"/>
                <w:szCs w:val="18"/>
              </w:rPr>
              <w:t>电费</w:t>
            </w:r>
            <w:r>
              <w:rPr>
                <w:rFonts w:ascii="宋体" w:hAnsi="宋体" w:cs="宋体" w:eastAsia="宋体" w:hint="default"/>
                <w:sz w:val="18"/>
                <w:szCs w:val="18"/>
              </w:rPr>
              <w:t> </w:t>
            </w:r>
            <w:r>
              <w:rPr>
                <w:rFonts w:ascii="宋体" w:hAnsi="宋体" w:cs="宋体" w:eastAsia="宋体" w:hint="default"/>
                <w:sz w:val="18"/>
                <w:szCs w:val="18"/>
              </w:rPr>
              <w:t>收入</w:t>
            </w:r>
            <w:r>
              <w:rPr>
                <w:rFonts w:ascii="宋体" w:hAnsi="宋体" w:cs="宋体" w:eastAsia="宋体" w:hint="default"/>
                <w:sz w:val="18"/>
                <w:szCs w:val="18"/>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67" w:right="80"/>
              <w:jc w:val="left"/>
              <w:rPr>
                <w:rFonts w:ascii="宋体" w:hAnsi="宋体" w:cs="宋体" w:eastAsia="宋体" w:hint="default"/>
                <w:sz w:val="18"/>
                <w:szCs w:val="18"/>
              </w:rPr>
            </w:pPr>
            <w:r>
              <w:rPr>
                <w:rFonts w:ascii="宋体" w:hAnsi="宋体" w:cs="宋体" w:eastAsia="宋体" w:hint="default"/>
                <w:sz w:val="18"/>
                <w:szCs w:val="18"/>
              </w:rPr>
              <w:t>营业</w:t>
            </w:r>
            <w:r>
              <w:rPr>
                <w:rFonts w:ascii="宋体" w:hAnsi="宋体" w:cs="宋体" w:eastAsia="宋体" w:hint="default"/>
                <w:sz w:val="18"/>
                <w:szCs w:val="18"/>
              </w:rPr>
              <w:t> </w:t>
            </w:r>
            <w:r>
              <w:rPr>
                <w:rFonts w:ascii="宋体" w:hAnsi="宋体" w:cs="宋体" w:eastAsia="宋体" w:hint="default"/>
                <w:sz w:val="18"/>
                <w:szCs w:val="18"/>
              </w:rPr>
              <w:t>利润</w:t>
            </w:r>
            <w:r>
              <w:rPr>
                <w:rFonts w:ascii="宋体" w:hAnsi="宋体" w:cs="宋体" w:eastAsia="宋体" w:hint="default"/>
                <w:sz w:val="18"/>
                <w:szCs w:val="18"/>
              </w:rPr>
              <w:t>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46" w:right="0"/>
              <w:jc w:val="left"/>
              <w:rPr>
                <w:rFonts w:ascii="宋体" w:hAnsi="宋体" w:cs="宋体" w:eastAsia="宋体" w:hint="default"/>
                <w:sz w:val="18"/>
                <w:szCs w:val="18"/>
              </w:rPr>
            </w:pPr>
            <w:r>
              <w:rPr>
                <w:rFonts w:ascii="宋体" w:hAnsi="宋体" w:cs="宋体" w:eastAsia="宋体" w:hint="default"/>
                <w:sz w:val="18"/>
                <w:szCs w:val="18"/>
              </w:rPr>
              <w:t>现金流</w:t>
            </w:r>
            <w:r>
              <w:rPr>
                <w:rFonts w:ascii="宋体" w:hAnsi="宋体" w:cs="宋体" w:eastAsia="宋体" w:hint="default"/>
                <w:sz w:val="18"/>
                <w:szCs w:val="18"/>
              </w:rPr>
              <w:t> </w:t>
            </w:r>
          </w:p>
        </w:tc>
      </w:tr>
      <w:tr>
        <w:trPr>
          <w:trHeight w:val="242" w:hRule="exact"/>
        </w:trPr>
        <w:tc>
          <w:tcPr>
            <w:tcW w:w="10178" w:type="dxa"/>
            <w:gridSpan w:val="11"/>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集中式：</w:t>
            </w:r>
            <w:r>
              <w:rPr>
                <w:rFonts w:ascii="宋体" w:hAnsi="宋体" w:cs="宋体" w:eastAsia="宋体" w:hint="default"/>
                <w:sz w:val="18"/>
                <w:szCs w:val="18"/>
              </w:rPr>
              <w:t> </w:t>
            </w:r>
          </w:p>
        </w:tc>
      </w:tr>
      <w:tr>
        <w:trPr>
          <w:trHeight w:val="710"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托克托项目一期</w:t>
            </w:r>
            <w:r>
              <w:rPr>
                <w:rFonts w:ascii="宋体" w:hAnsi="宋体" w:cs="宋体" w:eastAsia="宋体" w:hint="default"/>
                <w:sz w:val="18"/>
                <w:szCs w:val="18"/>
              </w:rPr>
              <w:t> </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85" w:right="0"/>
              <w:jc w:val="center"/>
              <w:rPr>
                <w:rFonts w:ascii="宋体" w:hAnsi="宋体" w:cs="宋体" w:eastAsia="宋体" w:hint="default"/>
                <w:sz w:val="18"/>
                <w:szCs w:val="18"/>
              </w:rPr>
            </w:pPr>
            <w:r>
              <w:rPr>
                <w:rFonts w:ascii="宋体" w:hAnsi="宋体" w:cs="宋体" w:eastAsia="宋体" w:hint="default"/>
                <w:sz w:val="18"/>
                <w:szCs w:val="18"/>
              </w:rPr>
              <w:t>内蒙</w:t>
            </w:r>
            <w:r>
              <w:rPr>
                <w:rFonts w:ascii="宋体" w:hAnsi="宋体" w:cs="宋体" w:eastAsia="宋体" w:hint="default"/>
                <w:sz w:val="18"/>
                <w:szCs w:val="18"/>
              </w:rPr>
              <w:t> </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z w:val="18"/>
              </w:rPr>
              <w:t>100 </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35" w:right="0" w:hanging="226"/>
              <w:jc w:val="left"/>
              <w:rPr>
                <w:rFonts w:ascii="宋体" w:hAnsi="宋体" w:cs="宋体" w:eastAsia="宋体" w:hint="default"/>
                <w:sz w:val="18"/>
                <w:szCs w:val="18"/>
              </w:rPr>
            </w:pPr>
            <w:r>
              <w:rPr>
                <w:rFonts w:ascii="宋体" w:hAnsi="宋体" w:cs="宋体" w:eastAsia="宋体" w:hint="default"/>
                <w:sz w:val="18"/>
                <w:szCs w:val="18"/>
              </w:rPr>
              <w:t>全额上网，</w:t>
            </w:r>
          </w:p>
          <w:p>
            <w:pPr>
              <w:pStyle w:val="TableParagraph"/>
              <w:spacing w:line="232" w:lineRule="exact" w:before="24"/>
              <w:ind w:left="244" w:right="11" w:firstLine="91"/>
              <w:jc w:val="left"/>
              <w:rPr>
                <w:rFonts w:ascii="宋体" w:hAnsi="宋体" w:cs="宋体" w:eastAsia="宋体" w:hint="default"/>
                <w:sz w:val="18"/>
                <w:szCs w:val="18"/>
              </w:rPr>
            </w:pPr>
            <w:r>
              <w:rPr>
                <w:rFonts w:ascii="宋体" w:hAnsi="宋体" w:cs="宋体" w:eastAsia="宋体" w:hint="default"/>
                <w:sz w:val="18"/>
                <w:szCs w:val="18"/>
              </w:rPr>
              <w:t>电价</w:t>
            </w:r>
            <w:r>
              <w:rPr>
                <w:rFonts w:ascii="宋体" w:hAnsi="宋体" w:cs="宋体" w:eastAsia="宋体" w:hint="default"/>
                <w:spacing w:val="-46"/>
                <w:sz w:val="18"/>
                <w:szCs w:val="18"/>
              </w:rPr>
              <w:t> </w:t>
            </w:r>
            <w:r>
              <w:rPr>
                <w:rFonts w:ascii="宋体" w:hAnsi="宋体" w:cs="宋体" w:eastAsia="宋体" w:hint="default"/>
                <w:sz w:val="18"/>
                <w:szCs w:val="18"/>
              </w:rPr>
              <w:t>0.9 </w:t>
            </w:r>
            <w:r>
              <w:rPr>
                <w:rFonts w:ascii="宋体" w:hAnsi="宋体" w:cs="宋体" w:eastAsia="宋体" w:hint="default"/>
                <w:sz w:val="18"/>
                <w:szCs w:val="18"/>
              </w:rPr>
              <w:t>元，</w:t>
            </w:r>
            <w:r>
              <w:rPr>
                <w:rFonts w:ascii="宋体" w:hAnsi="宋体" w:cs="宋体" w:eastAsia="宋体" w:hint="default"/>
                <w:sz w:val="18"/>
                <w:szCs w:val="18"/>
              </w:rPr>
              <w:t>20</w:t>
            </w:r>
            <w:r>
              <w:rPr>
                <w:rFonts w:ascii="宋体" w:hAnsi="宋体" w:cs="宋体" w:eastAsia="宋体" w:hint="default"/>
                <w:spacing w:val="-43"/>
                <w:sz w:val="18"/>
                <w:szCs w:val="18"/>
              </w:rPr>
              <w:t> </w:t>
            </w:r>
            <w:r>
              <w:rPr>
                <w:rFonts w:ascii="宋体" w:hAnsi="宋体" w:cs="宋体" w:eastAsia="宋体" w:hint="default"/>
                <w:spacing w:val="-3"/>
                <w:sz w:val="18"/>
                <w:szCs w:val="18"/>
              </w:rPr>
              <w:t>年</w:t>
            </w:r>
            <w:r>
              <w:rPr>
                <w:rFonts w:ascii="宋体" w:hAnsi="宋体" w:cs="宋体" w:eastAsia="宋体" w:hint="default"/>
                <w:sz w:val="18"/>
                <w:szCs w:val="18"/>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17,040</w:t>
            </w:r>
            <w:r>
              <w:rPr>
                <w:rFonts w:ascii="宋体"/>
                <w:sz w:val="18"/>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17,076</w:t>
            </w:r>
            <w:r>
              <w:rPr>
                <w:rFonts w:ascii="宋体"/>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17,076</w:t>
            </w:r>
            <w:r>
              <w:rPr>
                <w:rFonts w:ascii="宋体"/>
                <w:sz w:val="18"/>
              </w:rPr>
              <w:t> </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0.86</w:t>
            </w:r>
            <w:r>
              <w:rPr>
                <w:rFonts w:ascii="宋体"/>
                <w:sz w:val="18"/>
              </w:rPr>
              <w:t> </w:t>
            </w:r>
          </w:p>
        </w:tc>
        <w:tc>
          <w:tcPr>
            <w:tcW w:w="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3"/>
              <w:jc w:val="right"/>
              <w:rPr>
                <w:rFonts w:ascii="宋体" w:hAnsi="宋体" w:cs="宋体" w:eastAsia="宋体" w:hint="default"/>
                <w:sz w:val="18"/>
                <w:szCs w:val="18"/>
              </w:rPr>
            </w:pPr>
            <w:r>
              <w:rPr>
                <w:rFonts w:ascii="宋体"/>
                <w:spacing w:val="-1"/>
                <w:sz w:val="18"/>
              </w:rPr>
              <w:t>12,776</w:t>
            </w:r>
            <w:r>
              <w:rPr>
                <w:rFonts w:ascii="宋体"/>
                <w:sz w:val="18"/>
              </w:rPr>
              <w:t> </w:t>
            </w:r>
          </w:p>
        </w:tc>
        <w:tc>
          <w:tcPr>
            <w:tcW w:w="71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143" w:right="0"/>
              <w:jc w:val="left"/>
              <w:rPr>
                <w:rFonts w:ascii="宋体" w:hAnsi="宋体" w:cs="宋体" w:eastAsia="宋体" w:hint="default"/>
                <w:sz w:val="18"/>
                <w:szCs w:val="18"/>
              </w:rPr>
            </w:pPr>
            <w:r>
              <w:rPr>
                <w:rFonts w:ascii="宋体"/>
                <w:sz w:val="18"/>
              </w:rPr>
              <w:t>9,291 </w:t>
            </w:r>
          </w:p>
        </w:tc>
        <w:tc>
          <w:tcPr>
            <w:tcW w:w="84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189" w:right="0"/>
              <w:jc w:val="left"/>
              <w:rPr>
                <w:rFonts w:ascii="宋体" w:hAnsi="宋体" w:cs="宋体" w:eastAsia="宋体" w:hint="default"/>
                <w:sz w:val="18"/>
                <w:szCs w:val="18"/>
              </w:rPr>
            </w:pPr>
            <w:r>
              <w:rPr>
                <w:rFonts w:ascii="宋体"/>
                <w:sz w:val="18"/>
              </w:rPr>
              <w:t>8,185 </w:t>
            </w:r>
          </w:p>
        </w:tc>
      </w:tr>
      <w:tr>
        <w:trPr>
          <w:trHeight w:val="710"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托克托项目二期</w:t>
            </w:r>
            <w:r>
              <w:rPr>
                <w:rFonts w:ascii="宋体" w:hAnsi="宋体" w:cs="宋体" w:eastAsia="宋体" w:hint="default"/>
                <w:sz w:val="18"/>
                <w:szCs w:val="18"/>
              </w:rPr>
              <w:t> </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85" w:right="0"/>
              <w:jc w:val="center"/>
              <w:rPr>
                <w:rFonts w:ascii="宋体" w:hAnsi="宋体" w:cs="宋体" w:eastAsia="宋体" w:hint="default"/>
                <w:sz w:val="18"/>
                <w:szCs w:val="18"/>
              </w:rPr>
            </w:pPr>
            <w:r>
              <w:rPr>
                <w:rFonts w:ascii="宋体" w:hAnsi="宋体" w:cs="宋体" w:eastAsia="宋体" w:hint="default"/>
                <w:sz w:val="18"/>
                <w:szCs w:val="18"/>
              </w:rPr>
              <w:t>内蒙</w:t>
            </w:r>
            <w:r>
              <w:rPr>
                <w:rFonts w:ascii="宋体" w:hAnsi="宋体" w:cs="宋体" w:eastAsia="宋体" w:hint="default"/>
                <w:sz w:val="18"/>
                <w:szCs w:val="18"/>
              </w:rPr>
              <w:t> </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20</w:t>
            </w:r>
            <w:r>
              <w:rPr>
                <w:rFonts w:ascii="宋体"/>
                <w:sz w:val="18"/>
              </w:rPr>
              <w:t> </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35" w:right="0" w:hanging="226"/>
              <w:jc w:val="left"/>
              <w:rPr>
                <w:rFonts w:ascii="宋体" w:hAnsi="宋体" w:cs="宋体" w:eastAsia="宋体" w:hint="default"/>
                <w:sz w:val="18"/>
                <w:szCs w:val="18"/>
              </w:rPr>
            </w:pPr>
            <w:r>
              <w:rPr>
                <w:rFonts w:ascii="宋体" w:hAnsi="宋体" w:cs="宋体" w:eastAsia="宋体" w:hint="default"/>
                <w:sz w:val="18"/>
                <w:szCs w:val="18"/>
              </w:rPr>
              <w:t>全额上网，</w:t>
            </w:r>
          </w:p>
          <w:p>
            <w:pPr>
              <w:pStyle w:val="TableParagraph"/>
              <w:spacing w:line="232" w:lineRule="exact" w:before="24"/>
              <w:ind w:left="244" w:right="11" w:firstLine="91"/>
              <w:jc w:val="left"/>
              <w:rPr>
                <w:rFonts w:ascii="宋体" w:hAnsi="宋体" w:cs="宋体" w:eastAsia="宋体" w:hint="default"/>
                <w:sz w:val="18"/>
                <w:szCs w:val="18"/>
              </w:rPr>
            </w:pPr>
            <w:r>
              <w:rPr>
                <w:rFonts w:ascii="宋体" w:hAnsi="宋体" w:cs="宋体" w:eastAsia="宋体" w:hint="default"/>
                <w:sz w:val="18"/>
                <w:szCs w:val="18"/>
              </w:rPr>
              <w:t>电价</w:t>
            </w:r>
            <w:r>
              <w:rPr>
                <w:rFonts w:ascii="宋体" w:hAnsi="宋体" w:cs="宋体" w:eastAsia="宋体" w:hint="default"/>
                <w:spacing w:val="-46"/>
                <w:sz w:val="18"/>
                <w:szCs w:val="18"/>
              </w:rPr>
              <w:t> </w:t>
            </w:r>
            <w:r>
              <w:rPr>
                <w:rFonts w:ascii="宋体" w:hAnsi="宋体" w:cs="宋体" w:eastAsia="宋体" w:hint="default"/>
                <w:sz w:val="18"/>
                <w:szCs w:val="18"/>
              </w:rPr>
              <w:t>0.9 </w:t>
            </w:r>
            <w:r>
              <w:rPr>
                <w:rFonts w:ascii="宋体" w:hAnsi="宋体" w:cs="宋体" w:eastAsia="宋体" w:hint="default"/>
                <w:sz w:val="18"/>
                <w:szCs w:val="18"/>
              </w:rPr>
              <w:t>元，</w:t>
            </w:r>
            <w:r>
              <w:rPr>
                <w:rFonts w:ascii="宋体" w:hAnsi="宋体" w:cs="宋体" w:eastAsia="宋体" w:hint="default"/>
                <w:sz w:val="18"/>
                <w:szCs w:val="18"/>
              </w:rPr>
              <w:t>20</w:t>
            </w:r>
            <w:r>
              <w:rPr>
                <w:rFonts w:ascii="宋体" w:hAnsi="宋体" w:cs="宋体" w:eastAsia="宋体" w:hint="default"/>
                <w:spacing w:val="-43"/>
                <w:sz w:val="18"/>
                <w:szCs w:val="18"/>
              </w:rPr>
              <w:t> </w:t>
            </w:r>
            <w:r>
              <w:rPr>
                <w:rFonts w:ascii="宋体" w:hAnsi="宋体" w:cs="宋体" w:eastAsia="宋体" w:hint="default"/>
                <w:spacing w:val="-3"/>
                <w:sz w:val="18"/>
                <w:szCs w:val="18"/>
              </w:rPr>
              <w:t>年</w:t>
            </w:r>
            <w:r>
              <w:rPr>
                <w:rFonts w:ascii="宋体" w:hAnsi="宋体" w:cs="宋体" w:eastAsia="宋体" w:hint="default"/>
                <w:sz w:val="18"/>
                <w:szCs w:val="18"/>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z w:val="18"/>
              </w:rPr>
              <w:t>3,291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z w:val="18"/>
              </w:rPr>
              <w:t>3,021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z w:val="18"/>
              </w:rPr>
              <w:t>3,021 </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0.86</w:t>
            </w:r>
            <w:r>
              <w:rPr>
                <w:rFonts w:ascii="宋体"/>
                <w:sz w:val="18"/>
              </w:rPr>
              <w:t> </w:t>
            </w:r>
          </w:p>
        </w:tc>
        <w:tc>
          <w:tcPr>
            <w:tcW w:w="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3"/>
              <w:jc w:val="right"/>
              <w:rPr>
                <w:rFonts w:ascii="宋体" w:hAnsi="宋体" w:cs="宋体" w:eastAsia="宋体" w:hint="default"/>
                <w:sz w:val="18"/>
                <w:szCs w:val="18"/>
              </w:rPr>
            </w:pPr>
            <w:r>
              <w:rPr>
                <w:rFonts w:ascii="宋体"/>
                <w:sz w:val="18"/>
              </w:rPr>
              <w:t>2,358 </w:t>
            </w:r>
          </w:p>
        </w:tc>
        <w:tc>
          <w:tcPr>
            <w:tcW w:w="710"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r>
      <w:tr>
        <w:trPr>
          <w:trHeight w:val="478"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托克托项目三期</w:t>
            </w:r>
            <w:r>
              <w:rPr>
                <w:rFonts w:ascii="宋体" w:hAnsi="宋体" w:cs="宋体" w:eastAsia="宋体" w:hint="default"/>
                <w:sz w:val="18"/>
                <w:szCs w:val="18"/>
              </w:rPr>
              <w:t> </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85" w:right="0"/>
              <w:jc w:val="center"/>
              <w:rPr>
                <w:rFonts w:ascii="宋体" w:hAnsi="宋体" w:cs="宋体" w:eastAsia="宋体" w:hint="default"/>
                <w:sz w:val="18"/>
                <w:szCs w:val="18"/>
              </w:rPr>
            </w:pPr>
            <w:r>
              <w:rPr>
                <w:rFonts w:ascii="宋体" w:hAnsi="宋体" w:cs="宋体" w:eastAsia="宋体" w:hint="default"/>
                <w:sz w:val="18"/>
                <w:szCs w:val="18"/>
              </w:rPr>
              <w:t>内蒙</w:t>
            </w:r>
            <w:r>
              <w:rPr>
                <w:rFonts w:ascii="宋体" w:hAnsi="宋体" w:cs="宋体" w:eastAsia="宋体" w:hint="default"/>
                <w:sz w:val="18"/>
                <w:szCs w:val="18"/>
              </w:rPr>
              <w:t> </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pacing w:val="-1"/>
                <w:sz w:val="18"/>
              </w:rPr>
              <w:t>22</w:t>
            </w:r>
            <w:r>
              <w:rPr>
                <w:rFonts w:ascii="宋体"/>
                <w:sz w:val="18"/>
              </w:rPr>
              <w:t> </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335" w:right="0" w:hanging="226"/>
              <w:jc w:val="left"/>
              <w:rPr>
                <w:rFonts w:ascii="宋体" w:hAnsi="宋体" w:cs="宋体" w:eastAsia="宋体" w:hint="default"/>
                <w:sz w:val="18"/>
                <w:szCs w:val="18"/>
              </w:rPr>
            </w:pPr>
            <w:r>
              <w:rPr>
                <w:rFonts w:ascii="宋体" w:hAnsi="宋体" w:cs="宋体" w:eastAsia="宋体" w:hint="default"/>
                <w:sz w:val="18"/>
                <w:szCs w:val="18"/>
              </w:rPr>
              <w:t>全额上网，</w:t>
            </w:r>
          </w:p>
          <w:p>
            <w:pPr>
              <w:pStyle w:val="TableParagraph"/>
              <w:spacing w:line="234" w:lineRule="exact"/>
              <w:ind w:left="335" w:right="0"/>
              <w:jc w:val="left"/>
              <w:rPr>
                <w:rFonts w:ascii="宋体" w:hAnsi="宋体" w:cs="宋体" w:eastAsia="宋体" w:hint="default"/>
                <w:sz w:val="18"/>
                <w:szCs w:val="18"/>
              </w:rPr>
            </w:pPr>
            <w:r>
              <w:rPr>
                <w:rFonts w:ascii="宋体" w:hAnsi="宋体" w:cs="宋体" w:eastAsia="宋体" w:hint="default"/>
                <w:sz w:val="18"/>
                <w:szCs w:val="18"/>
              </w:rPr>
              <w:t>电价</w:t>
            </w:r>
            <w:r>
              <w:rPr>
                <w:rFonts w:ascii="宋体" w:hAnsi="宋体" w:cs="宋体" w:eastAsia="宋体" w:hint="default"/>
                <w:spacing w:val="-46"/>
                <w:sz w:val="18"/>
                <w:szCs w:val="18"/>
              </w:rPr>
              <w:t> </w:t>
            </w:r>
            <w:r>
              <w:rPr>
                <w:rFonts w:ascii="宋体" w:hAnsi="宋体" w:cs="宋体" w:eastAsia="宋体" w:hint="default"/>
                <w:sz w:val="18"/>
                <w:szCs w:val="18"/>
              </w:rPr>
              <w:t>0.9</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2,818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2,639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2,639 </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pacing w:val="-1"/>
                <w:sz w:val="18"/>
              </w:rPr>
              <w:t>0.86</w:t>
            </w:r>
            <w:r>
              <w:rPr>
                <w:rFonts w:ascii="宋体"/>
                <w:sz w:val="18"/>
              </w:rPr>
              <w:t> </w:t>
            </w:r>
          </w:p>
        </w:tc>
        <w:tc>
          <w:tcPr>
            <w:tcW w:w="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3"/>
              <w:jc w:val="right"/>
              <w:rPr>
                <w:rFonts w:ascii="宋体" w:hAnsi="宋体" w:cs="宋体" w:eastAsia="宋体" w:hint="default"/>
                <w:sz w:val="18"/>
                <w:szCs w:val="18"/>
              </w:rPr>
            </w:pPr>
            <w:r>
              <w:rPr>
                <w:rFonts w:ascii="宋体"/>
                <w:sz w:val="18"/>
              </w:rPr>
              <w:t>2,064 </w:t>
            </w:r>
          </w:p>
        </w:tc>
        <w:tc>
          <w:tcPr>
            <w:tcW w:w="710" w:type="dxa"/>
            <w:vMerge/>
            <w:tcBorders>
              <w:left w:val="single" w:sz="4" w:space="0" w:color="000000"/>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r>
    </w:tbl>
    <w:p>
      <w:pPr>
        <w:spacing w:after="0"/>
        <w:sectPr>
          <w:type w:val="continuous"/>
          <w:pgSz w:w="11910" w:h="16840"/>
          <w:pgMar w:top="1580" w:bottom="280" w:left="1020" w:right="480"/>
        </w:sectPr>
      </w:pPr>
    </w:p>
    <w:p>
      <w:pPr>
        <w:spacing w:line="240" w:lineRule="auto" w:before="5"/>
        <w:rPr>
          <w:rFonts w:ascii="宋体" w:hAnsi="宋体" w:cs="宋体" w:eastAsia="宋体" w:hint="default"/>
          <w:sz w:val="29"/>
          <w:szCs w:val="29"/>
        </w:rPr>
      </w:pPr>
    </w:p>
    <w:tbl>
      <w:tblPr>
        <w:tblW w:w="0" w:type="auto"/>
        <w:jc w:val="left"/>
        <w:tblInd w:w="100" w:type="dxa"/>
        <w:tblLayout w:type="fixed"/>
        <w:tblCellMar>
          <w:top w:w="0" w:type="dxa"/>
          <w:left w:w="0" w:type="dxa"/>
          <w:bottom w:w="0" w:type="dxa"/>
          <w:right w:w="0" w:type="dxa"/>
        </w:tblCellMar>
        <w:tblLook w:val="01E0"/>
      </w:tblPr>
      <w:tblGrid>
        <w:gridCol w:w="1709"/>
        <w:gridCol w:w="821"/>
        <w:gridCol w:w="711"/>
        <w:gridCol w:w="1123"/>
        <w:gridCol w:w="852"/>
        <w:gridCol w:w="852"/>
        <w:gridCol w:w="850"/>
        <w:gridCol w:w="948"/>
        <w:gridCol w:w="757"/>
        <w:gridCol w:w="710"/>
        <w:gridCol w:w="845"/>
      </w:tblGrid>
      <w:tr>
        <w:trPr>
          <w:trHeight w:val="245" w:hRule="exact"/>
        </w:trPr>
        <w:tc>
          <w:tcPr>
            <w:tcW w:w="1709"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44" w:right="0"/>
              <w:jc w:val="left"/>
              <w:rPr>
                <w:rFonts w:ascii="宋体" w:hAnsi="宋体" w:cs="宋体" w:eastAsia="宋体" w:hint="default"/>
                <w:sz w:val="18"/>
                <w:szCs w:val="18"/>
              </w:rPr>
            </w:pPr>
            <w:r>
              <w:rPr>
                <w:rFonts w:ascii="宋体" w:hAnsi="宋体" w:cs="宋体" w:eastAsia="宋体" w:hint="default"/>
                <w:sz w:val="18"/>
                <w:szCs w:val="18"/>
              </w:rPr>
              <w:t>元，</w:t>
            </w:r>
            <w:r>
              <w:rPr>
                <w:rFonts w:ascii="宋体" w:hAnsi="宋体" w:cs="宋体" w:eastAsia="宋体" w:hint="default"/>
                <w:sz w:val="18"/>
                <w:szCs w:val="18"/>
              </w:rPr>
              <w:t>20</w:t>
            </w:r>
            <w:r>
              <w:rPr>
                <w:rFonts w:ascii="宋体" w:hAnsi="宋体" w:cs="宋体" w:eastAsia="宋体" w:hint="default"/>
                <w:spacing w:val="-43"/>
                <w:sz w:val="18"/>
                <w:szCs w:val="18"/>
              </w:rPr>
              <w:t> </w:t>
            </w:r>
            <w:r>
              <w:rPr>
                <w:rFonts w:ascii="宋体" w:hAnsi="宋体" w:cs="宋体" w:eastAsia="宋体" w:hint="default"/>
                <w:spacing w:val="-3"/>
                <w:sz w:val="18"/>
                <w:szCs w:val="18"/>
              </w:rPr>
              <w:t>年</w:t>
            </w:r>
            <w:r>
              <w:rPr>
                <w:rFonts w:ascii="宋体" w:hAnsi="宋体" w:cs="宋体" w:eastAsia="宋体" w:hint="default"/>
                <w:sz w:val="18"/>
                <w:szCs w:val="18"/>
              </w:rPr>
              <w:t> </w:t>
            </w:r>
          </w:p>
        </w:tc>
        <w:tc>
          <w:tcPr>
            <w:tcW w:w="852"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48"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0178"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4"/>
                <w:szCs w:val="24"/>
              </w:rPr>
            </w:pPr>
            <w:r>
              <w:rPr>
                <w:rFonts w:ascii="宋体" w:hAnsi="宋体" w:cs="宋体" w:eastAsia="宋体" w:hint="default"/>
                <w:sz w:val="21"/>
                <w:szCs w:val="21"/>
              </w:rPr>
              <w:t>与电站电费收入等相关的金融衍生产品情况（若有）：</w:t>
            </w:r>
            <w:r>
              <w:rPr>
                <w:rFonts w:ascii="宋体" w:hAnsi="宋体" w:cs="宋体" w:eastAsia="宋体" w:hint="default"/>
                <w:sz w:val="24"/>
                <w:szCs w:val="24"/>
              </w:rPr>
              <w:t> </w:t>
            </w:r>
            <w:r>
              <w:rPr>
                <w:rFonts w:ascii="宋体" w:hAnsi="宋体" w:cs="宋体" w:eastAsia="宋体" w:hint="default"/>
                <w:spacing w:val="-2"/>
                <w:sz w:val="24"/>
                <w:szCs w:val="24"/>
              </w:rPr>
              <w:t> </w:t>
            </w:r>
            <w:r>
              <w:rPr>
                <w:rFonts w:ascii="宋体" w:hAnsi="宋体" w:cs="宋体" w:eastAsia="宋体" w:hint="default"/>
                <w:sz w:val="24"/>
                <w:szCs w:val="24"/>
              </w:rPr>
              <w:t> </w:t>
            </w:r>
          </w:p>
        </w:tc>
      </w:tr>
    </w:tbl>
    <w:p>
      <w:pPr>
        <w:pStyle w:val="Heading2"/>
        <w:spacing w:line="274" w:lineRule="exact"/>
        <w:ind w:left="778" w:right="0"/>
        <w:jc w:val="left"/>
        <w:rPr>
          <w:rFonts w:ascii="宋体" w:hAnsi="宋体" w:cs="宋体" w:eastAsia="宋体" w:hint="default"/>
        </w:rPr>
      </w:pPr>
      <w:r>
        <w:rPr>
          <w:rFonts w:ascii="宋体"/>
        </w:rPr>
        <w:t> </w:t>
      </w:r>
    </w:p>
    <w:p>
      <w:pPr>
        <w:spacing w:after="0" w:line="274" w:lineRule="exact"/>
        <w:jc w:val="left"/>
        <w:rPr>
          <w:rFonts w:ascii="宋体" w:hAnsi="宋体" w:cs="宋体" w:eastAsia="宋体" w:hint="default"/>
        </w:rPr>
        <w:sectPr>
          <w:headerReference w:type="default" r:id="rId21"/>
          <w:footerReference w:type="default" r:id="rId22"/>
          <w:pgSz w:w="11910" w:h="16840"/>
          <w:pgMar w:header="747" w:footer="974" w:top="1140" w:bottom="1160" w:left="1020" w:right="480"/>
        </w:sectPr>
      </w:pPr>
    </w:p>
    <w:p>
      <w:pPr>
        <w:spacing w:line="240" w:lineRule="auto" w:before="9"/>
        <w:rPr>
          <w:rFonts w:ascii="宋体" w:hAnsi="宋体" w:cs="宋体" w:eastAsia="宋体" w:hint="default"/>
          <w:sz w:val="9"/>
          <w:szCs w:val="9"/>
        </w:rPr>
      </w:pPr>
    </w:p>
    <w:p>
      <w:pPr>
        <w:spacing w:after="0" w:line="240" w:lineRule="auto"/>
        <w:rPr>
          <w:rFonts w:ascii="宋体" w:hAnsi="宋体" w:cs="宋体" w:eastAsia="宋体" w:hint="default"/>
          <w:sz w:val="9"/>
          <w:szCs w:val="9"/>
        </w:rPr>
        <w:sectPr>
          <w:headerReference w:type="default" r:id="rId23"/>
          <w:footerReference w:type="default" r:id="rId24"/>
          <w:pgSz w:w="16840" w:h="11910" w:orient="landscape"/>
          <w:pgMar w:header="747" w:footer="975" w:top="1140" w:bottom="1160" w:left="1300" w:right="1220"/>
          <w:pgNumType w:start="32"/>
        </w:sectPr>
      </w:pPr>
    </w:p>
    <w:p>
      <w:pPr>
        <w:pStyle w:val="Heading3"/>
        <w:tabs>
          <w:tab w:pos="649" w:val="left" w:leader="none"/>
        </w:tabs>
        <w:spacing w:line="290" w:lineRule="auto" w:before="36"/>
        <w:ind w:left="224" w:right="0"/>
        <w:jc w:val="left"/>
        <w:rPr>
          <w:b w:val="0"/>
          <w:bCs w:val="0"/>
        </w:rPr>
      </w:pPr>
      <w:r>
        <w:rPr>
          <w:rFonts w:ascii="宋体" w:hAnsi="宋体" w:cs="宋体" w:eastAsia="宋体" w:hint="default"/>
          <w:w w:val="95"/>
        </w:rPr>
        <w:t>4.</w:t>
        <w:tab/>
      </w:r>
      <w:r>
        <w:rPr/>
        <w:t>推荐使用表格</w:t>
      </w:r>
      <w:r>
        <w:rPr>
          <w:spacing w:val="-104"/>
        </w:rPr>
        <w:t> </w:t>
      </w:r>
      <w:r>
        <w:rPr>
          <w:rFonts w:ascii="宋体" w:hAnsi="宋体" w:cs="宋体" w:eastAsia="宋体" w:hint="default"/>
          <w:spacing w:val="-1"/>
        </w:rPr>
        <w:t>(1).</w:t>
      </w:r>
      <w:r>
        <w:rPr>
          <w:spacing w:val="-1"/>
        </w:rPr>
        <w:t>光伏产品生产和在建产能情况</w:t>
      </w:r>
      <w:r>
        <w:rPr>
          <w:b w:val="0"/>
          <w:bCs w:val="0"/>
          <w:spacing w:val="-1"/>
        </w:rPr>
      </w:r>
    </w:p>
    <w:p>
      <w:pPr>
        <w:pStyle w:val="Heading2"/>
        <w:spacing w:line="240" w:lineRule="auto" w:before="8"/>
        <w:ind w:left="224" w:right="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7"/>
          <w:szCs w:val="17"/>
        </w:rPr>
      </w:pPr>
    </w:p>
    <w:p>
      <w:pPr>
        <w:pStyle w:val="BodyText"/>
        <w:spacing w:line="240" w:lineRule="auto"/>
        <w:ind w:left="224" w:right="0"/>
        <w:jc w:val="left"/>
        <w:rPr>
          <w:rFonts w:ascii="宋体" w:hAnsi="宋体" w:cs="宋体" w:eastAsia="宋体" w:hint="default"/>
        </w:rPr>
      </w:pPr>
      <w:r>
        <w:rPr/>
        <w:t>单位：万元币种：人民币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6840" w:h="11910" w:orient="landscape"/>
          <w:pgMar w:top="1580" w:bottom="280" w:left="1300" w:right="1220"/>
          <w:cols w:num="2" w:equalWidth="0">
            <w:col w:w="3391" w:space="8172"/>
            <w:col w:w="2757"/>
          </w:cols>
        </w:sectPr>
      </w:pPr>
    </w:p>
    <w:p>
      <w:pPr>
        <w:spacing w:line="240" w:lineRule="auto" w:before="7"/>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2772"/>
        <w:gridCol w:w="1227"/>
        <w:gridCol w:w="1265"/>
        <w:gridCol w:w="1646"/>
        <w:gridCol w:w="1563"/>
        <w:gridCol w:w="1334"/>
        <w:gridCol w:w="1359"/>
        <w:gridCol w:w="1560"/>
        <w:gridCol w:w="1363"/>
      </w:tblGrid>
      <w:tr>
        <w:trPr>
          <w:trHeight w:val="475" w:hRule="exact"/>
        </w:trPr>
        <w:tc>
          <w:tcPr>
            <w:tcW w:w="2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88" w:right="0"/>
              <w:jc w:val="center"/>
              <w:rPr>
                <w:rFonts w:ascii="宋体" w:hAnsi="宋体" w:cs="宋体" w:eastAsia="宋体" w:hint="default"/>
                <w:sz w:val="18"/>
                <w:szCs w:val="18"/>
              </w:rPr>
            </w:pPr>
            <w:r>
              <w:rPr>
                <w:rFonts w:ascii="宋体" w:hAnsi="宋体" w:cs="宋体" w:eastAsia="宋体" w:hint="default"/>
                <w:sz w:val="18"/>
                <w:szCs w:val="18"/>
              </w:rPr>
              <w:t>产品类别</w:t>
            </w:r>
            <w:r>
              <w:rPr>
                <w:rFonts w:ascii="宋体" w:hAnsi="宋体" w:cs="宋体" w:eastAsia="宋体" w:hint="default"/>
                <w:sz w:val="18"/>
                <w:szCs w:val="18"/>
              </w:rPr>
              <w:t> </w:t>
            </w: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427" w:right="0"/>
              <w:jc w:val="left"/>
              <w:rPr>
                <w:rFonts w:ascii="宋体" w:hAnsi="宋体" w:cs="宋体" w:eastAsia="宋体" w:hint="default"/>
                <w:sz w:val="18"/>
                <w:szCs w:val="18"/>
              </w:rPr>
            </w:pPr>
            <w:r>
              <w:rPr>
                <w:rFonts w:ascii="宋体" w:hAnsi="宋体" w:cs="宋体" w:eastAsia="宋体" w:hint="default"/>
                <w:sz w:val="18"/>
                <w:szCs w:val="18"/>
              </w:rPr>
              <w:t>产量</w:t>
            </w:r>
            <w:r>
              <w:rPr>
                <w:rFonts w:ascii="宋体" w:hAnsi="宋体" w:cs="宋体" w:eastAsia="宋体" w:hint="default"/>
                <w:sz w:val="18"/>
                <w:szCs w:val="18"/>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77" w:right="0"/>
              <w:jc w:val="left"/>
              <w:rPr>
                <w:rFonts w:ascii="宋体" w:hAnsi="宋体" w:cs="宋体" w:eastAsia="宋体" w:hint="default"/>
                <w:sz w:val="18"/>
                <w:szCs w:val="18"/>
              </w:rPr>
            </w:pPr>
            <w:r>
              <w:rPr>
                <w:rFonts w:ascii="宋体" w:hAnsi="宋体" w:cs="宋体" w:eastAsia="宋体" w:hint="default"/>
                <w:sz w:val="18"/>
                <w:szCs w:val="18"/>
              </w:rPr>
              <w:t>产能利用率</w:t>
            </w:r>
            <w:r>
              <w:rPr>
                <w:rFonts w:ascii="宋体" w:hAnsi="宋体" w:cs="宋体" w:eastAsia="宋体" w:hint="default"/>
                <w:sz w:val="18"/>
                <w:szCs w:val="18"/>
              </w:rPr>
              <w:t> </w:t>
            </w: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458" w:right="0" w:hanging="92"/>
              <w:jc w:val="left"/>
              <w:rPr>
                <w:rFonts w:ascii="宋体" w:hAnsi="宋体" w:cs="宋体" w:eastAsia="宋体" w:hint="default"/>
                <w:sz w:val="18"/>
                <w:szCs w:val="18"/>
              </w:rPr>
            </w:pPr>
            <w:r>
              <w:rPr>
                <w:rFonts w:ascii="宋体" w:hAnsi="宋体" w:cs="宋体" w:eastAsia="宋体" w:hint="default"/>
                <w:sz w:val="18"/>
                <w:szCs w:val="18"/>
              </w:rPr>
              <w:t>在建生产线</w:t>
            </w:r>
            <w:r>
              <w:rPr>
                <w:rFonts w:ascii="宋体" w:hAnsi="宋体" w:cs="宋体" w:eastAsia="宋体" w:hint="default"/>
                <w:sz w:val="18"/>
                <w:szCs w:val="18"/>
              </w:rPr>
              <w:t> </w:t>
            </w:r>
          </w:p>
          <w:p>
            <w:pPr>
              <w:pStyle w:val="TableParagraph"/>
              <w:spacing w:line="234" w:lineRule="exact"/>
              <w:ind w:left="458" w:right="0"/>
              <w:jc w:val="left"/>
              <w:rPr>
                <w:rFonts w:ascii="宋体" w:hAnsi="宋体" w:cs="宋体" w:eastAsia="宋体" w:hint="default"/>
                <w:sz w:val="18"/>
                <w:szCs w:val="18"/>
              </w:rPr>
            </w:pPr>
            <w:r>
              <w:rPr>
                <w:rFonts w:ascii="宋体" w:hAnsi="宋体" w:cs="宋体" w:eastAsia="宋体" w:hint="default"/>
                <w:sz w:val="18"/>
                <w:szCs w:val="18"/>
              </w:rPr>
              <w:t>总投资额</w:t>
            </w:r>
            <w:r>
              <w:rPr>
                <w:rFonts w:ascii="宋体" w:hAnsi="宋体" w:cs="宋体" w:eastAsia="宋体" w:hint="default"/>
                <w:sz w:val="18"/>
                <w:szCs w:val="18"/>
              </w:rPr>
              <w:t> </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sz w:val="18"/>
                <w:szCs w:val="18"/>
              </w:rPr>
              <w:t>在建生产线当期</w:t>
            </w:r>
          </w:p>
          <w:p>
            <w:pPr>
              <w:pStyle w:val="TableParagraph"/>
              <w:spacing w:line="234" w:lineRule="exact"/>
              <w:ind w:left="90" w:right="0"/>
              <w:jc w:val="center"/>
              <w:rPr>
                <w:rFonts w:ascii="宋体" w:hAnsi="宋体" w:cs="宋体" w:eastAsia="宋体" w:hint="default"/>
                <w:sz w:val="18"/>
                <w:szCs w:val="18"/>
              </w:rPr>
            </w:pPr>
            <w:r>
              <w:rPr>
                <w:rFonts w:ascii="宋体" w:hAnsi="宋体" w:cs="宋体" w:eastAsia="宋体" w:hint="default"/>
                <w:sz w:val="18"/>
                <w:szCs w:val="18"/>
              </w:rPr>
              <w:t>投资额</w:t>
            </w:r>
            <w:r>
              <w:rPr>
                <w:rFonts w:ascii="宋体" w:hAnsi="宋体" w:cs="宋体" w:eastAsia="宋体" w:hint="default"/>
                <w:sz w:val="18"/>
                <w:szCs w:val="18"/>
              </w:rPr>
              <w:t> </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302" w:right="0"/>
              <w:jc w:val="left"/>
              <w:rPr>
                <w:rFonts w:ascii="宋体" w:hAnsi="宋体" w:cs="宋体" w:eastAsia="宋体" w:hint="default"/>
                <w:sz w:val="18"/>
                <w:szCs w:val="18"/>
              </w:rPr>
            </w:pPr>
            <w:r>
              <w:rPr>
                <w:rFonts w:ascii="宋体" w:hAnsi="宋体" w:cs="宋体" w:eastAsia="宋体" w:hint="default"/>
                <w:sz w:val="18"/>
                <w:szCs w:val="18"/>
              </w:rPr>
              <w:t>设计产能</w:t>
            </w:r>
            <w:r>
              <w:rPr>
                <w:rFonts w:ascii="宋体" w:hAnsi="宋体" w:cs="宋体" w:eastAsia="宋体" w:hint="default"/>
                <w:sz w:val="18"/>
                <w:szCs w:val="18"/>
              </w:rPr>
              <w:t> </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314" w:right="0"/>
              <w:jc w:val="left"/>
              <w:rPr>
                <w:rFonts w:ascii="宋体" w:hAnsi="宋体" w:cs="宋体" w:eastAsia="宋体" w:hint="default"/>
                <w:sz w:val="18"/>
                <w:szCs w:val="18"/>
              </w:rPr>
            </w:pPr>
            <w:r>
              <w:rPr>
                <w:rFonts w:ascii="宋体" w:hAnsi="宋体" w:cs="宋体" w:eastAsia="宋体" w:hint="default"/>
                <w:sz w:val="18"/>
                <w:szCs w:val="18"/>
              </w:rPr>
              <w:t>（预计）</w:t>
            </w:r>
            <w:r>
              <w:rPr>
                <w:rFonts w:ascii="宋体" w:hAnsi="宋体" w:cs="宋体" w:eastAsia="宋体" w:hint="default"/>
                <w:sz w:val="18"/>
                <w:szCs w:val="18"/>
              </w:rPr>
              <w:t> </w:t>
            </w:r>
          </w:p>
          <w:p>
            <w:pPr>
              <w:pStyle w:val="TableParagraph"/>
              <w:spacing w:line="234" w:lineRule="exact"/>
              <w:ind w:left="314" w:right="0"/>
              <w:jc w:val="left"/>
              <w:rPr>
                <w:rFonts w:ascii="宋体" w:hAnsi="宋体" w:cs="宋体" w:eastAsia="宋体" w:hint="default"/>
                <w:sz w:val="18"/>
                <w:szCs w:val="18"/>
              </w:rPr>
            </w:pPr>
            <w:r>
              <w:rPr>
                <w:rFonts w:ascii="宋体" w:hAnsi="宋体" w:cs="宋体" w:eastAsia="宋体" w:hint="default"/>
                <w:sz w:val="18"/>
                <w:szCs w:val="18"/>
              </w:rPr>
              <w:t>投产时间</w:t>
            </w:r>
            <w:r>
              <w:rPr>
                <w:rFonts w:ascii="宋体" w:hAnsi="宋体" w:cs="宋体" w:eastAsia="宋体" w:hint="default"/>
                <w:sz w:val="18"/>
                <w:szCs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595" w:right="0"/>
              <w:jc w:val="left"/>
              <w:rPr>
                <w:rFonts w:ascii="宋体" w:hAnsi="宋体" w:cs="宋体" w:eastAsia="宋体" w:hint="default"/>
                <w:sz w:val="18"/>
                <w:szCs w:val="18"/>
              </w:rPr>
            </w:pPr>
            <w:r>
              <w:rPr>
                <w:rFonts w:ascii="宋体" w:hAnsi="宋体" w:cs="宋体" w:eastAsia="宋体" w:hint="default"/>
                <w:sz w:val="18"/>
                <w:szCs w:val="18"/>
              </w:rPr>
              <w:t>工艺</w:t>
            </w:r>
            <w:r>
              <w:rPr>
                <w:rFonts w:ascii="宋体" w:hAnsi="宋体" w:cs="宋体" w:eastAsia="宋体" w:hint="default"/>
                <w:sz w:val="18"/>
                <w:szCs w:val="18"/>
              </w:rPr>
              <w:t> </w:t>
            </w:r>
          </w:p>
          <w:p>
            <w:pPr>
              <w:pStyle w:val="TableParagraph"/>
              <w:spacing w:line="234" w:lineRule="exact"/>
              <w:ind w:left="595" w:right="0"/>
              <w:jc w:val="left"/>
              <w:rPr>
                <w:rFonts w:ascii="宋体" w:hAnsi="宋体" w:cs="宋体" w:eastAsia="宋体" w:hint="default"/>
                <w:sz w:val="18"/>
                <w:szCs w:val="18"/>
              </w:rPr>
            </w:pPr>
            <w:r>
              <w:rPr>
                <w:rFonts w:ascii="宋体" w:hAnsi="宋体" w:cs="宋体" w:eastAsia="宋体" w:hint="default"/>
                <w:sz w:val="18"/>
                <w:szCs w:val="18"/>
              </w:rPr>
              <w:t>路线</w:t>
            </w:r>
            <w:r>
              <w:rPr>
                <w:rFonts w:ascii="宋体" w:hAnsi="宋体" w:cs="宋体" w:eastAsia="宋体" w:hint="default"/>
                <w:sz w:val="18"/>
                <w:szCs w:val="18"/>
              </w:rPr>
              <w:t> </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499" w:right="0"/>
              <w:jc w:val="left"/>
              <w:rPr>
                <w:rFonts w:ascii="宋体" w:hAnsi="宋体" w:cs="宋体" w:eastAsia="宋体" w:hint="default"/>
                <w:sz w:val="18"/>
                <w:szCs w:val="18"/>
              </w:rPr>
            </w:pPr>
            <w:r>
              <w:rPr>
                <w:rFonts w:ascii="宋体" w:hAnsi="宋体" w:cs="宋体" w:eastAsia="宋体" w:hint="default"/>
                <w:sz w:val="18"/>
                <w:szCs w:val="18"/>
              </w:rPr>
              <w:t>环保</w:t>
            </w:r>
            <w:r>
              <w:rPr>
                <w:rFonts w:ascii="宋体" w:hAnsi="宋体" w:cs="宋体" w:eastAsia="宋体" w:hint="default"/>
                <w:sz w:val="18"/>
                <w:szCs w:val="18"/>
              </w:rPr>
              <w:t> </w:t>
            </w:r>
          </w:p>
          <w:p>
            <w:pPr>
              <w:pStyle w:val="TableParagraph"/>
              <w:spacing w:line="234" w:lineRule="exact"/>
              <w:ind w:left="499" w:right="0"/>
              <w:jc w:val="left"/>
              <w:rPr>
                <w:rFonts w:ascii="宋体" w:hAnsi="宋体" w:cs="宋体" w:eastAsia="宋体" w:hint="default"/>
                <w:sz w:val="18"/>
                <w:szCs w:val="18"/>
              </w:rPr>
            </w:pPr>
            <w:r>
              <w:rPr>
                <w:rFonts w:ascii="宋体" w:hAnsi="宋体" w:cs="宋体" w:eastAsia="宋体" w:hint="default"/>
                <w:sz w:val="18"/>
                <w:szCs w:val="18"/>
              </w:rPr>
              <w:t>投入</w:t>
            </w:r>
            <w:r>
              <w:rPr>
                <w:rFonts w:ascii="宋体" w:hAnsi="宋体" w:cs="宋体" w:eastAsia="宋体" w:hint="default"/>
                <w:sz w:val="18"/>
                <w:szCs w:val="18"/>
              </w:rPr>
              <w:t> </w:t>
            </w:r>
          </w:p>
        </w:tc>
      </w:tr>
      <w:tr>
        <w:trPr>
          <w:trHeight w:val="281" w:hRule="exact"/>
        </w:trPr>
        <w:tc>
          <w:tcPr>
            <w:tcW w:w="14090" w:type="dxa"/>
            <w:gridSpan w:val="9"/>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太阳能电池：</w:t>
            </w:r>
            <w:r>
              <w:rPr>
                <w:rFonts w:ascii="宋体" w:hAnsi="宋体" w:cs="宋体" w:eastAsia="宋体" w:hint="default"/>
                <w:sz w:val="18"/>
                <w:szCs w:val="18"/>
              </w:rPr>
              <w:t> </w:t>
            </w:r>
          </w:p>
        </w:tc>
      </w:tr>
      <w:tr>
        <w:trPr>
          <w:trHeight w:val="281" w:hRule="exact"/>
        </w:trPr>
        <w:tc>
          <w:tcPr>
            <w:tcW w:w="277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63" w:right="0"/>
              <w:jc w:val="left"/>
              <w:rPr>
                <w:rFonts w:ascii="宋体" w:hAnsi="宋体" w:cs="宋体" w:eastAsia="宋体" w:hint="default"/>
                <w:sz w:val="18"/>
                <w:szCs w:val="18"/>
              </w:rPr>
            </w:pPr>
            <w:r>
              <w:rPr>
                <w:rFonts w:ascii="宋体" w:hAnsi="宋体" w:cs="宋体" w:eastAsia="宋体" w:hint="default"/>
                <w:sz w:val="18"/>
                <w:szCs w:val="18"/>
              </w:rPr>
              <w:t>单晶硅电池</w:t>
            </w:r>
            <w:r>
              <w:rPr>
                <w:rFonts w:ascii="宋体" w:hAnsi="宋体" w:cs="宋体" w:eastAsia="宋体" w:hint="default"/>
                <w:sz w:val="18"/>
                <w:szCs w:val="18"/>
              </w:rPr>
              <w:t> </w:t>
            </w: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230MW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85% </w:t>
            </w: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sz w:val="18"/>
              </w:rPr>
              <w:t> </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 </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r>
      <w:tr>
        <w:trPr>
          <w:trHeight w:val="279" w:hRule="exact"/>
        </w:trPr>
        <w:tc>
          <w:tcPr>
            <w:tcW w:w="14090" w:type="dxa"/>
            <w:gridSpan w:val="9"/>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电池组件：</w:t>
            </w:r>
            <w:r>
              <w:rPr>
                <w:rFonts w:ascii="宋体" w:hAnsi="宋体" w:cs="宋体" w:eastAsia="宋体" w:hint="default"/>
                <w:sz w:val="18"/>
                <w:szCs w:val="18"/>
              </w:rPr>
              <w:t> </w:t>
            </w:r>
          </w:p>
        </w:tc>
      </w:tr>
      <w:tr>
        <w:trPr>
          <w:trHeight w:val="281" w:hRule="exact"/>
        </w:trPr>
        <w:tc>
          <w:tcPr>
            <w:tcW w:w="2772"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463" w:right="0"/>
              <w:jc w:val="left"/>
              <w:rPr>
                <w:rFonts w:ascii="宋体" w:hAnsi="宋体" w:cs="宋体" w:eastAsia="宋体" w:hint="default"/>
                <w:sz w:val="18"/>
                <w:szCs w:val="18"/>
              </w:rPr>
            </w:pPr>
            <w:r>
              <w:rPr>
                <w:rFonts w:ascii="宋体" w:hAnsi="宋体" w:cs="宋体" w:eastAsia="宋体" w:hint="default"/>
                <w:sz w:val="18"/>
                <w:szCs w:val="18"/>
              </w:rPr>
              <w:t>晶体硅电池组件</w:t>
            </w:r>
            <w:r>
              <w:rPr>
                <w:rFonts w:ascii="宋体" w:hAnsi="宋体" w:cs="宋体" w:eastAsia="宋体" w:hint="default"/>
                <w:sz w:val="18"/>
                <w:szCs w:val="18"/>
              </w:rPr>
              <w:t> </w:t>
            </w: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sz w:val="18"/>
              </w:rPr>
              <w:t>217MW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1"/>
              <w:jc w:val="right"/>
              <w:rPr>
                <w:rFonts w:ascii="宋体" w:hAnsi="宋体" w:cs="宋体" w:eastAsia="宋体" w:hint="default"/>
                <w:sz w:val="18"/>
                <w:szCs w:val="18"/>
              </w:rPr>
            </w:pPr>
            <w:r>
              <w:rPr>
                <w:rFonts w:ascii="宋体"/>
                <w:sz w:val="18"/>
              </w:rPr>
              <w:t>82% </w:t>
            </w: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1"/>
              <w:jc w:val="right"/>
              <w:rPr>
                <w:rFonts w:ascii="宋体" w:hAnsi="宋体" w:cs="宋体" w:eastAsia="宋体" w:hint="default"/>
                <w:sz w:val="18"/>
                <w:szCs w:val="18"/>
              </w:rPr>
            </w:pPr>
            <w:r>
              <w:rPr>
                <w:rFonts w:ascii="宋体"/>
                <w:sz w:val="18"/>
              </w:rPr>
              <w:t> </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5" w:right="0"/>
              <w:jc w:val="left"/>
              <w:rPr>
                <w:rFonts w:ascii="宋体" w:hAnsi="宋体" w:cs="宋体" w:eastAsia="宋体" w:hint="default"/>
                <w:sz w:val="18"/>
                <w:szCs w:val="18"/>
              </w:rPr>
            </w:pPr>
            <w:r>
              <w:rPr>
                <w:rFonts w:ascii="宋体"/>
                <w:sz w:val="18"/>
              </w:rPr>
              <w:t> </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sz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sz w:val="18"/>
              </w:rPr>
              <w:t> </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8"/>
              <w:jc w:val="right"/>
              <w:rPr>
                <w:rFonts w:ascii="宋体" w:hAnsi="宋体" w:cs="宋体" w:eastAsia="宋体" w:hint="default"/>
                <w:sz w:val="18"/>
                <w:szCs w:val="18"/>
              </w:rPr>
            </w:pPr>
            <w:r>
              <w:rPr>
                <w:rFonts w:ascii="宋体"/>
                <w:sz w:val="18"/>
              </w:rPr>
              <w:t> </w:t>
            </w:r>
          </w:p>
        </w:tc>
      </w:tr>
      <w:tr>
        <w:trPr>
          <w:trHeight w:val="281" w:hRule="exact"/>
        </w:trPr>
        <w:tc>
          <w:tcPr>
            <w:tcW w:w="14090" w:type="dxa"/>
            <w:gridSpan w:val="9"/>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产能利用率同行业比较及合理性分析：</w:t>
            </w:r>
            <w:r>
              <w:rPr>
                <w:rFonts w:ascii="宋体" w:hAnsi="宋体" w:cs="宋体" w:eastAsia="宋体" w:hint="default"/>
                <w:sz w:val="18"/>
                <w:szCs w:val="18"/>
              </w:rPr>
              <w:t>2019</w:t>
            </w:r>
            <w:r>
              <w:rPr>
                <w:rFonts w:ascii="宋体" w:hAnsi="宋体" w:cs="宋体" w:eastAsia="宋体" w:hint="default"/>
                <w:spacing w:val="-46"/>
                <w:sz w:val="18"/>
                <w:szCs w:val="18"/>
              </w:rPr>
              <w:t> </w:t>
            </w:r>
            <w:r>
              <w:rPr>
                <w:rFonts w:ascii="宋体" w:hAnsi="宋体" w:cs="宋体" w:eastAsia="宋体" w:hint="default"/>
                <w:sz w:val="18"/>
                <w:szCs w:val="18"/>
              </w:rPr>
              <w:t>年，因生产线技术升级，故产能利用率不足。</w:t>
            </w:r>
            <w:r>
              <w:rPr>
                <w:rFonts w:ascii="宋体" w:hAnsi="宋体" w:cs="宋体" w:eastAsia="宋体" w:hint="default"/>
                <w:sz w:val="18"/>
                <w:szCs w:val="18"/>
              </w:rPr>
              <w:t> </w:t>
            </w:r>
          </w:p>
        </w:tc>
      </w:tr>
    </w:tbl>
    <w:p>
      <w:pPr>
        <w:spacing w:after="0" w:line="225" w:lineRule="exact"/>
        <w:jc w:val="left"/>
        <w:rPr>
          <w:rFonts w:ascii="宋体" w:hAnsi="宋体" w:cs="宋体" w:eastAsia="宋体" w:hint="default"/>
          <w:sz w:val="18"/>
          <w:szCs w:val="18"/>
        </w:rPr>
        <w:sectPr>
          <w:type w:val="continuous"/>
          <w:pgSz w:w="16840" w:h="11910" w:orient="landscape"/>
          <w:pgMar w:top="1580" w:bottom="280" w:left="1300" w:right="1220"/>
        </w:sectPr>
      </w:pPr>
    </w:p>
    <w:p>
      <w:pPr>
        <w:pStyle w:val="Heading2"/>
        <w:spacing w:line="274" w:lineRule="exact"/>
        <w:ind w:left="224" w:right="0"/>
        <w:jc w:val="left"/>
        <w:rPr>
          <w:rFonts w:ascii="宋体" w:hAnsi="宋体" w:cs="宋体" w:eastAsia="宋体" w:hint="default"/>
        </w:rPr>
      </w:pPr>
      <w:r>
        <w:rPr>
          <w:rFonts w:ascii="宋体"/>
        </w:rPr>
        <w:t> </w:t>
      </w:r>
    </w:p>
    <w:p>
      <w:pPr>
        <w:pStyle w:val="Heading3"/>
        <w:spacing w:line="240" w:lineRule="auto" w:before="64"/>
        <w:ind w:left="224" w:right="0"/>
        <w:jc w:val="left"/>
        <w:rPr>
          <w:b w:val="0"/>
          <w:bCs w:val="0"/>
        </w:rPr>
      </w:pPr>
      <w:r>
        <w:rPr>
          <w:rFonts w:ascii="宋体" w:hAnsi="宋体" w:cs="宋体" w:eastAsia="宋体" w:hint="default"/>
        </w:rPr>
        <w:t>(2).</w:t>
      </w:r>
      <w:r>
        <w:rPr/>
        <w:t>光伏产品主要财务指标</w:t>
      </w:r>
      <w:r>
        <w:rPr>
          <w:b w:val="0"/>
          <w:bCs w:val="0"/>
        </w:rPr>
      </w:r>
    </w:p>
    <w:p>
      <w:pPr>
        <w:pStyle w:val="Heading2"/>
        <w:spacing w:line="313" w:lineRule="exact" w:before="50"/>
        <w:ind w:left="224"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2"/>
        <w:spacing w:line="313" w:lineRule="exact"/>
        <w:ind w:left="224" w:right="0"/>
        <w:jc w:val="left"/>
        <w:rPr>
          <w:rFonts w:ascii="宋体" w:hAnsi="宋体" w:cs="宋体" w:eastAsia="宋体" w:hint="default"/>
        </w:rPr>
      </w:pPr>
      <w:r>
        <w:rPr>
          <w:rFonts w:ascii="宋体"/>
        </w:rPr>
        <w:t> </w:t>
      </w:r>
    </w:p>
    <w:p>
      <w:pPr>
        <w:pStyle w:val="Heading3"/>
        <w:spacing w:line="240" w:lineRule="auto" w:before="64"/>
        <w:ind w:left="224" w:right="0"/>
        <w:jc w:val="left"/>
        <w:rPr>
          <w:b w:val="0"/>
          <w:bCs w:val="0"/>
        </w:rPr>
      </w:pPr>
      <w:r>
        <w:rPr>
          <w:rFonts w:ascii="宋体" w:hAnsi="宋体" w:cs="宋体" w:eastAsia="宋体" w:hint="default"/>
          <w:spacing w:val="-1"/>
        </w:rPr>
        <w:t>(3).</w:t>
      </w:r>
      <w:r>
        <w:rPr>
          <w:spacing w:val="-1"/>
        </w:rPr>
        <w:t>光伏电站工程承包或开发项目信息</w:t>
      </w:r>
      <w:r>
        <w:rPr>
          <w:b w:val="0"/>
          <w:bCs w:val="0"/>
          <w:spacing w:val="-1"/>
        </w:rPr>
      </w:r>
    </w:p>
    <w:p>
      <w:pPr>
        <w:pStyle w:val="Heading2"/>
        <w:spacing w:line="240" w:lineRule="auto" w:before="50"/>
        <w:ind w:left="224"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64"/>
        <w:ind w:left="224" w:right="0"/>
        <w:jc w:val="left"/>
        <w:rPr>
          <w:rFonts w:ascii="宋体" w:hAnsi="宋体" w:cs="宋体" w:eastAsia="宋体" w:hint="default"/>
        </w:rPr>
      </w:pPr>
      <w:r>
        <w:rPr/>
        <w:t>单位：万元币种：人民币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6840" w:h="11910" w:orient="landscape"/>
          <w:pgMar w:top="1580" w:bottom="280" w:left="1300" w:right="1220"/>
          <w:cols w:num="2" w:equalWidth="0">
            <w:col w:w="3813" w:space="7750"/>
            <w:col w:w="2757"/>
          </w:cols>
        </w:sectPr>
      </w:pPr>
    </w:p>
    <w:p>
      <w:pPr>
        <w:spacing w:line="240" w:lineRule="auto" w:before="4"/>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1608"/>
        <w:gridCol w:w="1702"/>
        <w:gridCol w:w="1088"/>
        <w:gridCol w:w="1649"/>
        <w:gridCol w:w="1118"/>
        <w:gridCol w:w="1400"/>
        <w:gridCol w:w="1802"/>
        <w:gridCol w:w="1153"/>
        <w:gridCol w:w="1586"/>
        <w:gridCol w:w="984"/>
      </w:tblGrid>
      <w:tr>
        <w:trPr>
          <w:trHeight w:val="478" w:hRule="exact"/>
        </w:trPr>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439" w:right="0"/>
              <w:jc w:val="left"/>
              <w:rPr>
                <w:rFonts w:ascii="宋体" w:hAnsi="宋体" w:cs="宋体" w:eastAsia="宋体" w:hint="default"/>
                <w:sz w:val="18"/>
                <w:szCs w:val="18"/>
              </w:rPr>
            </w:pPr>
            <w:r>
              <w:rPr>
                <w:rFonts w:ascii="宋体" w:hAnsi="宋体" w:cs="宋体" w:eastAsia="宋体" w:hint="default"/>
                <w:sz w:val="18"/>
                <w:szCs w:val="18"/>
              </w:rPr>
              <w:t>光伏电站</w:t>
            </w:r>
            <w:r>
              <w:rPr>
                <w:rFonts w:ascii="宋体" w:hAnsi="宋体" w:cs="宋体" w:eastAsia="宋体" w:hint="default"/>
                <w:sz w:val="18"/>
                <w:szCs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576" w:right="0"/>
              <w:jc w:val="left"/>
              <w:rPr>
                <w:rFonts w:ascii="宋体" w:hAnsi="宋体" w:cs="宋体" w:eastAsia="宋体" w:hint="default"/>
                <w:sz w:val="18"/>
                <w:szCs w:val="18"/>
              </w:rPr>
            </w:pPr>
            <w:r>
              <w:rPr>
                <w:rFonts w:ascii="宋体" w:hAnsi="宋体" w:cs="宋体" w:eastAsia="宋体" w:hint="default"/>
                <w:sz w:val="18"/>
                <w:szCs w:val="18"/>
              </w:rPr>
              <w:t>所在地</w:t>
            </w:r>
            <w:r>
              <w:rPr>
                <w:rFonts w:ascii="宋体" w:hAnsi="宋体" w:cs="宋体" w:eastAsia="宋体" w:hint="default"/>
                <w:sz w:val="18"/>
                <w:szCs w:val="18"/>
              </w:rPr>
              <w:t> </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77" w:right="0"/>
              <w:jc w:val="left"/>
              <w:rPr>
                <w:rFonts w:ascii="宋体" w:hAnsi="宋体" w:cs="宋体" w:eastAsia="宋体" w:hint="default"/>
                <w:sz w:val="18"/>
                <w:szCs w:val="18"/>
              </w:rPr>
            </w:pPr>
            <w:r>
              <w:rPr>
                <w:rFonts w:ascii="宋体" w:hAnsi="宋体" w:cs="宋体" w:eastAsia="宋体" w:hint="default"/>
                <w:sz w:val="18"/>
                <w:szCs w:val="18"/>
              </w:rPr>
              <w:t>装机容量</w:t>
            </w:r>
            <w:r>
              <w:rPr>
                <w:rFonts w:ascii="宋体" w:hAnsi="宋体" w:cs="宋体" w:eastAsia="宋体" w:hint="default"/>
                <w:sz w:val="18"/>
                <w:szCs w:val="18"/>
              </w:rPr>
              <w:t> </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89" w:right="0"/>
              <w:jc w:val="left"/>
              <w:rPr>
                <w:rFonts w:ascii="宋体" w:hAnsi="宋体" w:cs="宋体" w:eastAsia="宋体" w:hint="default"/>
                <w:sz w:val="18"/>
                <w:szCs w:val="18"/>
              </w:rPr>
            </w:pPr>
            <w:r>
              <w:rPr>
                <w:rFonts w:ascii="宋体" w:hAnsi="宋体" w:cs="宋体" w:eastAsia="宋体" w:hint="default"/>
                <w:sz w:val="18"/>
                <w:szCs w:val="18"/>
              </w:rPr>
              <w:t>电价补贴及年限</w:t>
            </w:r>
            <w:r>
              <w:rPr>
                <w:rFonts w:ascii="宋体" w:hAnsi="宋体" w:cs="宋体" w:eastAsia="宋体" w:hint="default"/>
                <w:sz w:val="18"/>
                <w:szCs w:val="18"/>
              </w:rPr>
              <w:t> </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开发建设周</w:t>
            </w:r>
          </w:p>
          <w:p>
            <w:pPr>
              <w:pStyle w:val="TableParagraph"/>
              <w:spacing w:line="240" w:lineRule="auto"/>
              <w:ind w:left="87" w:right="0"/>
              <w:jc w:val="center"/>
              <w:rPr>
                <w:rFonts w:ascii="宋体" w:hAnsi="宋体" w:cs="宋体" w:eastAsia="宋体" w:hint="default"/>
                <w:sz w:val="18"/>
                <w:szCs w:val="18"/>
              </w:rPr>
            </w:pPr>
            <w:r>
              <w:rPr>
                <w:rFonts w:ascii="宋体" w:hAnsi="宋体" w:cs="宋体" w:eastAsia="宋体" w:hint="default"/>
                <w:sz w:val="18"/>
                <w:szCs w:val="18"/>
              </w:rPr>
              <w:t>期</w:t>
            </w:r>
            <w:r>
              <w:rPr>
                <w:rFonts w:ascii="宋体" w:hAnsi="宋体" w:cs="宋体" w:eastAsia="宋体" w:hint="default"/>
                <w:sz w:val="18"/>
                <w:szCs w:val="18"/>
              </w:rPr>
              <w:t> </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88" w:right="0"/>
              <w:jc w:val="center"/>
              <w:rPr>
                <w:rFonts w:ascii="宋体" w:hAnsi="宋体" w:cs="宋体" w:eastAsia="宋体" w:hint="default"/>
                <w:sz w:val="18"/>
                <w:szCs w:val="18"/>
              </w:rPr>
            </w:pPr>
            <w:r>
              <w:rPr>
                <w:rFonts w:ascii="宋体" w:hAnsi="宋体" w:cs="宋体" w:eastAsia="宋体" w:hint="default"/>
                <w:sz w:val="18"/>
                <w:szCs w:val="18"/>
              </w:rPr>
              <w:t>投资规模</w:t>
            </w:r>
            <w:r>
              <w:rPr>
                <w:rFonts w:ascii="宋体" w:hAnsi="宋体" w:cs="宋体" w:eastAsia="宋体" w:hint="default"/>
                <w:sz w:val="18"/>
                <w:szCs w:val="18"/>
              </w:rPr>
              <w:t> </w:t>
            </w: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535" w:right="0"/>
              <w:jc w:val="left"/>
              <w:rPr>
                <w:rFonts w:ascii="宋体" w:hAnsi="宋体" w:cs="宋体" w:eastAsia="宋体" w:hint="default"/>
                <w:sz w:val="18"/>
                <w:szCs w:val="18"/>
              </w:rPr>
            </w:pPr>
            <w:r>
              <w:rPr>
                <w:rFonts w:ascii="宋体" w:hAnsi="宋体" w:cs="宋体" w:eastAsia="宋体" w:hint="default"/>
                <w:sz w:val="18"/>
                <w:szCs w:val="18"/>
              </w:rPr>
              <w:t>资金来源</w:t>
            </w:r>
            <w:r>
              <w:rPr>
                <w:rFonts w:ascii="宋体" w:hAnsi="宋体" w:cs="宋体" w:eastAsia="宋体" w:hint="default"/>
                <w:sz w:val="18"/>
                <w:szCs w:val="18"/>
              </w:rPr>
              <w:t> </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当期投入金</w:t>
            </w:r>
          </w:p>
          <w:p>
            <w:pPr>
              <w:pStyle w:val="TableParagraph"/>
              <w:spacing w:line="240" w:lineRule="auto"/>
              <w:ind w:left="88" w:right="0"/>
              <w:jc w:val="center"/>
              <w:rPr>
                <w:rFonts w:ascii="宋体" w:hAnsi="宋体" w:cs="宋体" w:eastAsia="宋体" w:hint="default"/>
                <w:sz w:val="18"/>
                <w:szCs w:val="18"/>
              </w:rPr>
            </w:pPr>
            <w:r>
              <w:rPr>
                <w:rFonts w:ascii="宋体" w:hAnsi="宋体" w:cs="宋体" w:eastAsia="宋体" w:hint="default"/>
                <w:sz w:val="18"/>
                <w:szCs w:val="18"/>
              </w:rPr>
              <w:t>额</w:t>
            </w:r>
            <w:r>
              <w:rPr>
                <w:rFonts w:ascii="宋体" w:hAnsi="宋体" w:cs="宋体" w:eastAsia="宋体" w:hint="default"/>
                <w:sz w:val="18"/>
                <w:szCs w:val="18"/>
              </w:rPr>
              <w:t> </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47" w:right="0"/>
              <w:jc w:val="left"/>
              <w:rPr>
                <w:rFonts w:ascii="宋体" w:hAnsi="宋体" w:cs="宋体" w:eastAsia="宋体" w:hint="default"/>
                <w:sz w:val="18"/>
                <w:szCs w:val="18"/>
              </w:rPr>
            </w:pPr>
            <w:r>
              <w:rPr>
                <w:rFonts w:ascii="宋体" w:hAnsi="宋体" w:cs="宋体" w:eastAsia="宋体" w:hint="default"/>
                <w:sz w:val="18"/>
                <w:szCs w:val="18"/>
              </w:rPr>
              <w:t>项目进展情况</w:t>
            </w:r>
            <w:r>
              <w:rPr>
                <w:rFonts w:ascii="宋体" w:hAnsi="宋体" w:cs="宋体" w:eastAsia="宋体" w:hint="default"/>
                <w:sz w:val="18"/>
                <w:szCs w:val="18"/>
              </w:rPr>
              <w:t> </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当期工程</w:t>
            </w:r>
          </w:p>
          <w:p>
            <w:pPr>
              <w:pStyle w:val="TableParagraph"/>
              <w:spacing w:line="240" w:lineRule="auto"/>
              <w:ind w:left="90" w:right="0"/>
              <w:jc w:val="center"/>
              <w:rPr>
                <w:rFonts w:ascii="宋体" w:hAnsi="宋体" w:cs="宋体" w:eastAsia="宋体" w:hint="default"/>
                <w:sz w:val="18"/>
                <w:szCs w:val="18"/>
              </w:rPr>
            </w:pPr>
            <w:r>
              <w:rPr>
                <w:rFonts w:ascii="宋体" w:hAnsi="宋体" w:cs="宋体" w:eastAsia="宋体" w:hint="default"/>
                <w:sz w:val="18"/>
                <w:szCs w:val="18"/>
              </w:rPr>
              <w:t>收入</w:t>
            </w:r>
            <w:r>
              <w:rPr>
                <w:rFonts w:ascii="宋体" w:hAnsi="宋体" w:cs="宋体" w:eastAsia="宋体" w:hint="default"/>
                <w:sz w:val="18"/>
                <w:szCs w:val="18"/>
              </w:rPr>
              <w:t> </w:t>
            </w:r>
          </w:p>
        </w:tc>
      </w:tr>
      <w:tr>
        <w:trPr>
          <w:trHeight w:val="281" w:hRule="exact"/>
        </w:trPr>
        <w:tc>
          <w:tcPr>
            <w:tcW w:w="14090" w:type="dxa"/>
            <w:gridSpan w:val="10"/>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集中式：</w:t>
            </w:r>
            <w:r>
              <w:rPr>
                <w:rFonts w:ascii="宋体" w:hAnsi="宋体" w:cs="宋体" w:eastAsia="宋体" w:hint="default"/>
                <w:sz w:val="18"/>
                <w:szCs w:val="18"/>
              </w:rPr>
              <w:t> </w:t>
            </w:r>
          </w:p>
        </w:tc>
      </w:tr>
      <w:tr>
        <w:trPr>
          <w:trHeight w:val="943" w:hRule="exact"/>
        </w:trPr>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z w:val="18"/>
                <w:szCs w:val="18"/>
              </w:rPr>
              <w:t>泗洪光伏发电应</w:t>
            </w:r>
          </w:p>
          <w:p>
            <w:pPr>
              <w:pStyle w:val="TableParagraph"/>
              <w:spacing w:line="232" w:lineRule="exact" w:before="23"/>
              <w:ind w:left="103" w:right="230"/>
              <w:jc w:val="both"/>
              <w:rPr>
                <w:rFonts w:ascii="宋体" w:hAnsi="宋体" w:cs="宋体" w:eastAsia="宋体" w:hint="default"/>
                <w:sz w:val="18"/>
                <w:szCs w:val="18"/>
              </w:rPr>
            </w:pPr>
            <w:r>
              <w:rPr>
                <w:rFonts w:ascii="宋体" w:hAnsi="宋体" w:cs="宋体" w:eastAsia="宋体" w:hint="default"/>
                <w:sz w:val="18"/>
                <w:szCs w:val="18"/>
              </w:rPr>
              <w:t>用领跑基地天岗 湖</w:t>
            </w:r>
            <w:r>
              <w:rPr>
                <w:rFonts w:ascii="宋体" w:hAnsi="宋体" w:cs="宋体" w:eastAsia="宋体" w:hint="default"/>
                <w:spacing w:val="-45"/>
                <w:sz w:val="18"/>
                <w:szCs w:val="18"/>
              </w:rPr>
              <w:t> </w:t>
            </w:r>
            <w:r>
              <w:rPr>
                <w:rFonts w:ascii="宋体" w:hAnsi="宋体" w:cs="宋体" w:eastAsia="宋体" w:hint="default"/>
                <w:sz w:val="18"/>
                <w:szCs w:val="18"/>
              </w:rPr>
              <w:t>2</w:t>
            </w:r>
            <w:r>
              <w:rPr>
                <w:rFonts w:ascii="宋体" w:hAnsi="宋体" w:cs="宋体" w:eastAsia="宋体" w:hint="default"/>
                <w:spacing w:val="-43"/>
                <w:sz w:val="18"/>
                <w:szCs w:val="18"/>
              </w:rPr>
              <w:t> </w:t>
            </w:r>
            <w:r>
              <w:rPr>
                <w:rFonts w:ascii="宋体" w:hAnsi="宋体" w:cs="宋体" w:eastAsia="宋体" w:hint="default"/>
                <w:sz w:val="18"/>
                <w:szCs w:val="18"/>
              </w:rPr>
              <w:t>号渔光互补 项目</w:t>
            </w:r>
            <w:r>
              <w:rPr>
                <w:rFonts w:ascii="宋体" w:hAnsi="宋体" w:cs="宋体" w:eastAsia="宋体" w:hint="default"/>
                <w:sz w:val="18"/>
                <w:szCs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泗洪县天岗湖乡</w:t>
            </w:r>
            <w:r>
              <w:rPr>
                <w:rFonts w:ascii="宋体" w:hAnsi="宋体" w:cs="宋体" w:eastAsia="宋体" w:hint="default"/>
                <w:sz w:val="18"/>
                <w:szCs w:val="18"/>
              </w:rPr>
              <w:t> </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1"/>
              <w:jc w:val="right"/>
              <w:rPr>
                <w:rFonts w:ascii="宋体" w:hAnsi="宋体" w:cs="宋体" w:eastAsia="宋体" w:hint="default"/>
                <w:sz w:val="18"/>
                <w:szCs w:val="18"/>
              </w:rPr>
            </w:pPr>
            <w:r>
              <w:rPr>
                <w:rFonts w:ascii="宋体"/>
                <w:sz w:val="18"/>
              </w:rPr>
              <w:t>100 </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0.129</w:t>
            </w:r>
            <w:r>
              <w:rPr>
                <w:rFonts w:ascii="宋体" w:hAnsi="宋体" w:cs="宋体" w:eastAsia="宋体" w:hint="default"/>
                <w:spacing w:val="-45"/>
                <w:sz w:val="18"/>
                <w:szCs w:val="18"/>
              </w:rPr>
              <w:t> </w:t>
            </w:r>
            <w:r>
              <w:rPr>
                <w:rFonts w:ascii="宋体" w:hAnsi="宋体" w:cs="宋体" w:eastAsia="宋体" w:hint="default"/>
                <w:sz w:val="18"/>
                <w:szCs w:val="18"/>
              </w:rPr>
              <w:t>元，</w:t>
            </w:r>
            <w:r>
              <w:rPr>
                <w:rFonts w:ascii="宋体" w:hAnsi="宋体" w:cs="宋体" w:eastAsia="宋体" w:hint="default"/>
                <w:sz w:val="18"/>
                <w:szCs w:val="18"/>
              </w:rPr>
              <w:t>20</w:t>
            </w:r>
            <w:r>
              <w:rPr>
                <w:rFonts w:ascii="宋体" w:hAnsi="宋体" w:cs="宋体" w:eastAsia="宋体" w:hint="default"/>
                <w:spacing w:val="-46"/>
                <w:sz w:val="18"/>
                <w:szCs w:val="18"/>
              </w:rPr>
              <w:t> </w:t>
            </w:r>
            <w:r>
              <w:rPr>
                <w:rFonts w:ascii="宋体" w:hAnsi="宋体" w:cs="宋体" w:eastAsia="宋体" w:hint="default"/>
                <w:spacing w:val="-3"/>
                <w:sz w:val="18"/>
                <w:szCs w:val="18"/>
              </w:rPr>
              <w:t>年</w:t>
            </w:r>
            <w:r>
              <w:rPr>
                <w:rFonts w:ascii="宋体" w:hAnsi="宋体" w:cs="宋体" w:eastAsia="宋体" w:hint="default"/>
                <w:sz w:val="18"/>
                <w:szCs w:val="18"/>
              </w:rPr>
              <w:t> </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306"/>
              <w:jc w:val="righ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pacing w:val="-3"/>
                <w:sz w:val="18"/>
                <w:szCs w:val="18"/>
              </w:rPr>
              <w:t>年</w:t>
            </w:r>
            <w:r>
              <w:rPr>
                <w:rFonts w:ascii="宋体" w:hAnsi="宋体" w:cs="宋体" w:eastAsia="宋体" w:hint="default"/>
                <w:sz w:val="18"/>
                <w:szCs w:val="18"/>
              </w:rPr>
              <w:t> </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90" w:right="0"/>
              <w:jc w:val="center"/>
              <w:rPr>
                <w:rFonts w:ascii="宋体" w:hAnsi="宋体" w:cs="宋体" w:eastAsia="宋体" w:hint="default"/>
                <w:sz w:val="18"/>
                <w:szCs w:val="18"/>
              </w:rPr>
            </w:pPr>
            <w:r>
              <w:rPr>
                <w:rFonts w:ascii="宋体" w:hAnsi="宋体" w:cs="宋体" w:eastAsia="宋体" w:hint="default"/>
                <w:sz w:val="18"/>
                <w:szCs w:val="18"/>
              </w:rPr>
              <w:t>6</w:t>
            </w:r>
            <w:r>
              <w:rPr>
                <w:rFonts w:ascii="宋体" w:hAnsi="宋体" w:cs="宋体" w:eastAsia="宋体" w:hint="default"/>
                <w:spacing w:val="-44"/>
                <w:sz w:val="18"/>
                <w:szCs w:val="18"/>
              </w:rPr>
              <w:t> </w:t>
            </w:r>
            <w:r>
              <w:rPr>
                <w:rFonts w:ascii="宋体" w:hAnsi="宋体" w:cs="宋体" w:eastAsia="宋体" w:hint="default"/>
                <w:spacing w:val="-3"/>
                <w:sz w:val="18"/>
                <w:szCs w:val="18"/>
              </w:rPr>
              <w:t>亿</w:t>
            </w:r>
            <w:r>
              <w:rPr>
                <w:rFonts w:ascii="宋体" w:hAnsi="宋体" w:cs="宋体" w:eastAsia="宋体" w:hint="default"/>
                <w:sz w:val="18"/>
                <w:szCs w:val="18"/>
              </w:rPr>
              <w:t> </w:t>
            </w: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自筹及银行贷款</w:t>
            </w:r>
            <w:r>
              <w:rPr>
                <w:rFonts w:ascii="宋体" w:hAnsi="宋体" w:cs="宋体" w:eastAsia="宋体" w:hint="default"/>
                <w:sz w:val="18"/>
                <w:szCs w:val="18"/>
              </w:rPr>
              <w:t> </w:t>
            </w:r>
          </w:p>
        </w:tc>
        <w:tc>
          <w:tcPr>
            <w:tcW w:w="115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319" w:right="0"/>
              <w:jc w:val="left"/>
              <w:rPr>
                <w:rFonts w:ascii="宋体" w:hAnsi="宋体" w:cs="宋体" w:eastAsia="宋体" w:hint="default"/>
                <w:sz w:val="18"/>
                <w:szCs w:val="18"/>
              </w:rPr>
            </w:pPr>
            <w:r>
              <w:rPr>
                <w:rFonts w:ascii="宋体"/>
                <w:sz w:val="18"/>
              </w:rPr>
              <w:t>2,595.75 </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32" w:lineRule="exact"/>
              <w:ind w:left="103" w:right="163"/>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3"/>
                <w:sz w:val="18"/>
                <w:szCs w:val="18"/>
              </w:rPr>
              <w:t> </w:t>
            </w:r>
            <w:r>
              <w:rPr>
                <w:rFonts w:ascii="宋体" w:hAnsi="宋体" w:cs="宋体" w:eastAsia="宋体" w:hint="default"/>
                <w:sz w:val="18"/>
                <w:szCs w:val="18"/>
              </w:rPr>
              <w:t>年一季度全 容量并网</w:t>
            </w:r>
            <w:r>
              <w:rPr>
                <w:rFonts w:ascii="宋体" w:hAnsi="宋体" w:cs="宋体" w:eastAsia="宋体" w:hint="default"/>
                <w:sz w:val="18"/>
                <w:szCs w:val="18"/>
              </w:rPr>
              <w:t> </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8"/>
              <w:jc w:val="right"/>
              <w:rPr>
                <w:rFonts w:ascii="宋体" w:hAnsi="宋体" w:cs="宋体" w:eastAsia="宋体" w:hint="default"/>
                <w:sz w:val="18"/>
                <w:szCs w:val="18"/>
              </w:rPr>
            </w:pPr>
            <w:r>
              <w:rPr>
                <w:rFonts w:ascii="宋体"/>
                <w:sz w:val="18"/>
              </w:rPr>
              <w:t>2,173 </w:t>
            </w:r>
          </w:p>
        </w:tc>
      </w:tr>
      <w:tr>
        <w:trPr>
          <w:trHeight w:val="944" w:hRule="exact"/>
        </w:trPr>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z w:val="18"/>
                <w:szCs w:val="18"/>
              </w:rPr>
              <w:t>泗洪光伏发电应</w:t>
            </w:r>
          </w:p>
          <w:p>
            <w:pPr>
              <w:pStyle w:val="TableParagraph"/>
              <w:spacing w:line="237" w:lineRule="auto"/>
              <w:ind w:left="103" w:right="230"/>
              <w:jc w:val="both"/>
              <w:rPr>
                <w:rFonts w:ascii="宋体" w:hAnsi="宋体" w:cs="宋体" w:eastAsia="宋体" w:hint="default"/>
                <w:sz w:val="18"/>
                <w:szCs w:val="18"/>
              </w:rPr>
            </w:pPr>
            <w:r>
              <w:rPr>
                <w:rFonts w:ascii="宋体" w:hAnsi="宋体" w:cs="宋体" w:eastAsia="宋体" w:hint="default"/>
                <w:sz w:val="18"/>
                <w:szCs w:val="18"/>
              </w:rPr>
              <w:t>用领跑基地天岗 湖</w:t>
            </w:r>
            <w:r>
              <w:rPr>
                <w:rFonts w:ascii="宋体" w:hAnsi="宋体" w:cs="宋体" w:eastAsia="宋体" w:hint="default"/>
                <w:spacing w:val="-45"/>
                <w:sz w:val="18"/>
                <w:szCs w:val="18"/>
              </w:rPr>
              <w:t> </w:t>
            </w:r>
            <w:r>
              <w:rPr>
                <w:rFonts w:ascii="宋体" w:hAnsi="宋体" w:cs="宋体" w:eastAsia="宋体" w:hint="default"/>
                <w:sz w:val="18"/>
                <w:szCs w:val="18"/>
              </w:rPr>
              <w:t>4</w:t>
            </w:r>
            <w:r>
              <w:rPr>
                <w:rFonts w:ascii="宋体" w:hAnsi="宋体" w:cs="宋体" w:eastAsia="宋体" w:hint="default"/>
                <w:spacing w:val="-43"/>
                <w:sz w:val="18"/>
                <w:szCs w:val="18"/>
              </w:rPr>
              <w:t> </w:t>
            </w:r>
            <w:r>
              <w:rPr>
                <w:rFonts w:ascii="宋体" w:hAnsi="宋体" w:cs="宋体" w:eastAsia="宋体" w:hint="default"/>
                <w:sz w:val="18"/>
                <w:szCs w:val="18"/>
              </w:rPr>
              <w:t>号渔光互补 项目</w:t>
            </w:r>
            <w:r>
              <w:rPr>
                <w:rFonts w:ascii="宋体" w:hAnsi="宋体" w:cs="宋体" w:eastAsia="宋体" w:hint="default"/>
                <w:sz w:val="18"/>
                <w:szCs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泗洪县天岗湖乡</w:t>
            </w:r>
            <w:r>
              <w:rPr>
                <w:rFonts w:ascii="宋体" w:hAnsi="宋体" w:cs="宋体" w:eastAsia="宋体" w:hint="default"/>
                <w:sz w:val="18"/>
                <w:szCs w:val="18"/>
              </w:rPr>
              <w:t> </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1"/>
              <w:jc w:val="right"/>
              <w:rPr>
                <w:rFonts w:ascii="宋体" w:hAnsi="宋体" w:cs="宋体" w:eastAsia="宋体" w:hint="default"/>
                <w:sz w:val="18"/>
                <w:szCs w:val="18"/>
              </w:rPr>
            </w:pPr>
            <w:r>
              <w:rPr>
                <w:rFonts w:ascii="宋体"/>
                <w:sz w:val="18"/>
              </w:rPr>
              <w:t>100 </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0.139</w:t>
            </w:r>
            <w:r>
              <w:rPr>
                <w:rFonts w:ascii="宋体" w:hAnsi="宋体" w:cs="宋体" w:eastAsia="宋体" w:hint="default"/>
                <w:spacing w:val="-45"/>
                <w:sz w:val="18"/>
                <w:szCs w:val="18"/>
              </w:rPr>
              <w:t> </w:t>
            </w:r>
            <w:r>
              <w:rPr>
                <w:rFonts w:ascii="宋体" w:hAnsi="宋体" w:cs="宋体" w:eastAsia="宋体" w:hint="default"/>
                <w:sz w:val="18"/>
                <w:szCs w:val="18"/>
              </w:rPr>
              <w:t>元，</w:t>
            </w:r>
            <w:r>
              <w:rPr>
                <w:rFonts w:ascii="宋体" w:hAnsi="宋体" w:cs="宋体" w:eastAsia="宋体" w:hint="default"/>
                <w:sz w:val="18"/>
                <w:szCs w:val="18"/>
              </w:rPr>
              <w:t>20</w:t>
            </w:r>
            <w:r>
              <w:rPr>
                <w:rFonts w:ascii="宋体" w:hAnsi="宋体" w:cs="宋体" w:eastAsia="宋体" w:hint="default"/>
                <w:spacing w:val="-46"/>
                <w:sz w:val="18"/>
                <w:szCs w:val="18"/>
              </w:rPr>
              <w:t> </w:t>
            </w:r>
            <w:r>
              <w:rPr>
                <w:rFonts w:ascii="宋体" w:hAnsi="宋体" w:cs="宋体" w:eastAsia="宋体" w:hint="default"/>
                <w:spacing w:val="-3"/>
                <w:sz w:val="18"/>
                <w:szCs w:val="18"/>
              </w:rPr>
              <w:t>年</w:t>
            </w:r>
            <w:r>
              <w:rPr>
                <w:rFonts w:ascii="宋体" w:hAnsi="宋体" w:cs="宋体" w:eastAsia="宋体" w:hint="default"/>
                <w:sz w:val="18"/>
                <w:szCs w:val="18"/>
              </w:rPr>
              <w:t> </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306"/>
              <w:jc w:val="righ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pacing w:val="-3"/>
                <w:sz w:val="18"/>
                <w:szCs w:val="18"/>
              </w:rPr>
              <w:t>年</w:t>
            </w:r>
            <w:r>
              <w:rPr>
                <w:rFonts w:ascii="宋体" w:hAnsi="宋体" w:cs="宋体" w:eastAsia="宋体" w:hint="default"/>
                <w:sz w:val="18"/>
                <w:szCs w:val="18"/>
              </w:rPr>
              <w:t> </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90" w:right="0"/>
              <w:jc w:val="center"/>
              <w:rPr>
                <w:rFonts w:ascii="宋体" w:hAnsi="宋体" w:cs="宋体" w:eastAsia="宋体" w:hint="default"/>
                <w:sz w:val="18"/>
                <w:szCs w:val="18"/>
              </w:rPr>
            </w:pPr>
            <w:r>
              <w:rPr>
                <w:rFonts w:ascii="宋体" w:hAnsi="宋体" w:cs="宋体" w:eastAsia="宋体" w:hint="default"/>
                <w:sz w:val="18"/>
                <w:szCs w:val="18"/>
              </w:rPr>
              <w:t>6</w:t>
            </w:r>
            <w:r>
              <w:rPr>
                <w:rFonts w:ascii="宋体" w:hAnsi="宋体" w:cs="宋体" w:eastAsia="宋体" w:hint="default"/>
                <w:spacing w:val="-44"/>
                <w:sz w:val="18"/>
                <w:szCs w:val="18"/>
              </w:rPr>
              <w:t> </w:t>
            </w:r>
            <w:r>
              <w:rPr>
                <w:rFonts w:ascii="宋体" w:hAnsi="宋体" w:cs="宋体" w:eastAsia="宋体" w:hint="default"/>
                <w:spacing w:val="-3"/>
                <w:sz w:val="18"/>
                <w:szCs w:val="18"/>
              </w:rPr>
              <w:t>亿</w:t>
            </w:r>
            <w:r>
              <w:rPr>
                <w:rFonts w:ascii="宋体" w:hAnsi="宋体" w:cs="宋体" w:eastAsia="宋体" w:hint="default"/>
                <w:sz w:val="18"/>
                <w:szCs w:val="18"/>
              </w:rPr>
              <w:t> </w:t>
            </w: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自筹及银行贷款</w:t>
            </w:r>
            <w:r>
              <w:rPr>
                <w:rFonts w:ascii="宋体" w:hAnsi="宋体" w:cs="宋体" w:eastAsia="宋体" w:hint="default"/>
                <w:sz w:val="18"/>
                <w:szCs w:val="18"/>
              </w:rPr>
              <w:t> </w:t>
            </w:r>
          </w:p>
        </w:tc>
        <w:tc>
          <w:tcPr>
            <w:tcW w:w="1153" w:type="dxa"/>
            <w:vMerge/>
            <w:tcBorders>
              <w:left w:val="single" w:sz="4" w:space="0" w:color="000000"/>
              <w:bottom w:val="single" w:sz="4" w:space="0" w:color="000000"/>
              <w:right w:val="single" w:sz="4" w:space="0" w:color="000000"/>
            </w:tcBorders>
          </w:tcPr>
          <w:p>
            <w:pP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34" w:lineRule="exact"/>
              <w:ind w:left="103" w:right="163"/>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3"/>
                <w:sz w:val="18"/>
                <w:szCs w:val="18"/>
              </w:rPr>
              <w:t> </w:t>
            </w:r>
            <w:r>
              <w:rPr>
                <w:rFonts w:ascii="宋体" w:hAnsi="宋体" w:cs="宋体" w:eastAsia="宋体" w:hint="default"/>
                <w:sz w:val="18"/>
                <w:szCs w:val="18"/>
              </w:rPr>
              <w:t>年一季度全 容量并网</w:t>
            </w:r>
            <w:r>
              <w:rPr>
                <w:rFonts w:ascii="宋体" w:hAnsi="宋体" w:cs="宋体" w:eastAsia="宋体" w:hint="default"/>
                <w:sz w:val="18"/>
                <w:szCs w:val="18"/>
              </w:rPr>
              <w:t> </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8"/>
              <w:jc w:val="right"/>
              <w:rPr>
                <w:rFonts w:ascii="宋体" w:hAnsi="宋体" w:cs="宋体" w:eastAsia="宋体" w:hint="default"/>
                <w:sz w:val="18"/>
                <w:szCs w:val="18"/>
              </w:rPr>
            </w:pPr>
            <w:r>
              <w:rPr>
                <w:rFonts w:ascii="宋体"/>
                <w:spacing w:val="-1"/>
                <w:sz w:val="18"/>
              </w:rPr>
              <w:t>2,190</w:t>
            </w:r>
            <w:r>
              <w:rPr>
                <w:rFonts w:ascii="宋体"/>
                <w:sz w:val="18"/>
              </w:rPr>
              <w:t> </w:t>
            </w:r>
          </w:p>
        </w:tc>
      </w:tr>
      <w:tr>
        <w:trPr>
          <w:trHeight w:val="478" w:hRule="exact"/>
        </w:trPr>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灌云南岗</w:t>
            </w:r>
            <w:r>
              <w:rPr>
                <w:rFonts w:ascii="宋体" w:hAnsi="宋体" w:cs="宋体" w:eastAsia="宋体" w:hint="default"/>
                <w:spacing w:val="-44"/>
                <w:sz w:val="18"/>
                <w:szCs w:val="18"/>
              </w:rPr>
              <w:t> </w:t>
            </w:r>
            <w:r>
              <w:rPr>
                <w:rFonts w:ascii="宋体" w:hAnsi="宋体" w:cs="宋体" w:eastAsia="宋体" w:hint="default"/>
                <w:sz w:val="18"/>
                <w:szCs w:val="18"/>
              </w:rPr>
              <w:t>98</w:t>
            </w:r>
            <w:r>
              <w:rPr>
                <w:rFonts w:ascii="宋体" w:hAnsi="宋体" w:cs="宋体" w:eastAsia="宋体" w:hint="default"/>
                <w:spacing w:val="-44"/>
                <w:sz w:val="18"/>
                <w:szCs w:val="18"/>
              </w:rPr>
              <w:t> </w:t>
            </w:r>
            <w:r>
              <w:rPr>
                <w:rFonts w:ascii="宋体" w:hAnsi="宋体" w:cs="宋体" w:eastAsia="宋体" w:hint="default"/>
                <w:sz w:val="18"/>
                <w:szCs w:val="18"/>
              </w:rPr>
              <w:t>兆瓦</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灌云县南岗乡</w:t>
            </w:r>
            <w:r>
              <w:rPr>
                <w:rFonts w:ascii="宋体" w:hAnsi="宋体" w:cs="宋体" w:eastAsia="宋体" w:hint="default"/>
                <w:sz w:val="18"/>
                <w:szCs w:val="18"/>
              </w:rPr>
              <w:t> </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pacing w:val="-1"/>
                <w:sz w:val="18"/>
              </w:rPr>
              <w:t>98</w:t>
            </w:r>
            <w:r>
              <w:rPr>
                <w:rFonts w:ascii="宋体"/>
                <w:sz w:val="18"/>
              </w:rPr>
              <w:t> </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sz w:val="18"/>
              </w:rPr>
              <w:t> </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306"/>
              <w:jc w:val="righ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pacing w:val="-3"/>
                <w:sz w:val="18"/>
                <w:szCs w:val="18"/>
              </w:rPr>
              <w:t>年</w:t>
            </w:r>
            <w:r>
              <w:rPr>
                <w:rFonts w:ascii="宋体" w:hAnsi="宋体" w:cs="宋体" w:eastAsia="宋体" w:hint="default"/>
                <w:sz w:val="18"/>
                <w:szCs w:val="18"/>
              </w:rPr>
              <w:t> </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88" w:right="0"/>
              <w:jc w:val="center"/>
              <w:rPr>
                <w:rFonts w:ascii="宋体" w:hAnsi="宋体" w:cs="宋体" w:eastAsia="宋体" w:hint="default"/>
                <w:sz w:val="18"/>
                <w:szCs w:val="18"/>
              </w:rPr>
            </w:pPr>
            <w:r>
              <w:rPr>
                <w:rFonts w:ascii="宋体" w:hAnsi="宋体" w:cs="宋体" w:eastAsia="宋体" w:hint="default"/>
                <w:sz w:val="18"/>
                <w:szCs w:val="18"/>
              </w:rPr>
              <w:t>约</w:t>
            </w:r>
            <w:r>
              <w:rPr>
                <w:rFonts w:ascii="宋体" w:hAnsi="宋体" w:cs="宋体" w:eastAsia="宋体" w:hint="default"/>
                <w:spacing w:val="-47"/>
                <w:sz w:val="18"/>
                <w:szCs w:val="18"/>
              </w:rPr>
              <w:t> </w:t>
            </w: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亿元</w:t>
            </w:r>
            <w:r>
              <w:rPr>
                <w:rFonts w:ascii="宋体" w:hAnsi="宋体" w:cs="宋体" w:eastAsia="宋体" w:hint="default"/>
                <w:sz w:val="18"/>
                <w:szCs w:val="18"/>
              </w:rPr>
              <w:t> </w:t>
            </w: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自筹及银行贷款</w:t>
            </w:r>
            <w:r>
              <w:rPr>
                <w:rFonts w:ascii="宋体" w:hAnsi="宋体" w:cs="宋体" w:eastAsia="宋体" w:hint="default"/>
                <w:sz w:val="18"/>
                <w:szCs w:val="18"/>
              </w:rPr>
              <w:t> </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27" w:right="0"/>
              <w:jc w:val="left"/>
              <w:rPr>
                <w:rFonts w:ascii="宋体" w:hAnsi="宋体" w:cs="宋体" w:eastAsia="宋体" w:hint="default"/>
                <w:sz w:val="18"/>
                <w:szCs w:val="18"/>
              </w:rPr>
            </w:pPr>
            <w:r>
              <w:rPr>
                <w:rFonts w:ascii="宋体"/>
                <w:sz w:val="18"/>
              </w:rPr>
              <w:t>13,134.07 </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已安装组件</w:t>
            </w:r>
            <w:r>
              <w:rPr>
                <w:rFonts w:ascii="宋体" w:hAnsi="宋体" w:cs="宋体" w:eastAsia="宋体" w:hint="default"/>
                <w:spacing w:val="-45"/>
                <w:sz w:val="18"/>
                <w:szCs w:val="18"/>
              </w:rPr>
              <w:t> </w:t>
            </w:r>
            <w:r>
              <w:rPr>
                <w:rFonts w:ascii="宋体" w:hAnsi="宋体" w:cs="宋体" w:eastAsia="宋体" w:hint="default"/>
                <w:sz w:val="18"/>
                <w:szCs w:val="18"/>
              </w:rPr>
              <w:t>46</w:t>
            </w:r>
            <w:r>
              <w:rPr>
                <w:rFonts w:ascii="宋体" w:hAnsi="宋体" w:cs="宋体" w:eastAsia="宋体" w:hint="default"/>
                <w:spacing w:val="-44"/>
                <w:sz w:val="18"/>
                <w:szCs w:val="18"/>
              </w:rPr>
              <w:t> </w:t>
            </w:r>
            <w:r>
              <w:rPr>
                <w:rFonts w:ascii="宋体" w:hAnsi="宋体" w:cs="宋体" w:eastAsia="宋体" w:hint="default"/>
                <w:sz w:val="18"/>
                <w:szCs w:val="18"/>
              </w:rPr>
              <w:t>兆</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瓦，</w:t>
            </w:r>
            <w:r>
              <w:rPr>
                <w:rFonts w:ascii="宋体" w:hAnsi="宋体" w:cs="宋体" w:eastAsia="宋体" w:hint="default"/>
                <w:sz w:val="18"/>
                <w:szCs w:val="18"/>
              </w:rPr>
              <w:t>2020</w:t>
            </w:r>
            <w:r>
              <w:rPr>
                <w:rFonts w:ascii="宋体" w:hAnsi="宋体" w:cs="宋体" w:eastAsia="宋体" w:hint="default"/>
                <w:spacing w:val="-43"/>
                <w:sz w:val="18"/>
                <w:szCs w:val="18"/>
              </w:rPr>
              <w:t> </w:t>
            </w:r>
            <w:r>
              <w:rPr>
                <w:rFonts w:ascii="宋体" w:hAnsi="宋体" w:cs="宋体" w:eastAsia="宋体" w:hint="default"/>
                <w:sz w:val="18"/>
                <w:szCs w:val="18"/>
              </w:rPr>
              <w:t>年二季</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r>
    </w:tbl>
    <w:p>
      <w:pPr>
        <w:spacing w:after="0" w:line="240" w:lineRule="auto"/>
        <w:jc w:val="right"/>
        <w:rPr>
          <w:rFonts w:ascii="宋体" w:hAnsi="宋体" w:cs="宋体" w:eastAsia="宋体" w:hint="default"/>
          <w:sz w:val="18"/>
          <w:szCs w:val="18"/>
        </w:rPr>
        <w:sectPr>
          <w:type w:val="continuous"/>
          <w:pgSz w:w="16840" w:h="11910" w:orient="landscape"/>
          <w:pgMar w:top="1580" w:bottom="280" w:left="1300" w:right="1220"/>
        </w:sectPr>
      </w:pPr>
    </w:p>
    <w:p>
      <w:pPr>
        <w:spacing w:line="240" w:lineRule="auto" w:before="6"/>
        <w:rPr>
          <w:rFonts w:ascii="宋体" w:hAnsi="宋体" w:cs="宋体" w:eastAsia="宋体" w:hint="default"/>
          <w:sz w:val="10"/>
          <w:szCs w:val="10"/>
        </w:rPr>
      </w:pPr>
    </w:p>
    <w:tbl>
      <w:tblPr>
        <w:tblW w:w="0" w:type="auto"/>
        <w:jc w:val="left"/>
        <w:tblInd w:w="111" w:type="dxa"/>
        <w:tblLayout w:type="fixed"/>
        <w:tblCellMar>
          <w:top w:w="0" w:type="dxa"/>
          <w:left w:w="0" w:type="dxa"/>
          <w:bottom w:w="0" w:type="dxa"/>
          <w:right w:w="0" w:type="dxa"/>
        </w:tblCellMar>
        <w:tblLook w:val="01E0"/>
      </w:tblPr>
      <w:tblGrid>
        <w:gridCol w:w="1608"/>
        <w:gridCol w:w="1702"/>
        <w:gridCol w:w="1088"/>
        <w:gridCol w:w="1649"/>
        <w:gridCol w:w="1118"/>
        <w:gridCol w:w="1400"/>
        <w:gridCol w:w="1802"/>
        <w:gridCol w:w="1153"/>
        <w:gridCol w:w="1586"/>
        <w:gridCol w:w="984"/>
      </w:tblGrid>
      <w:tr>
        <w:trPr>
          <w:trHeight w:val="279" w:hRule="exact"/>
        </w:trPr>
        <w:tc>
          <w:tcPr>
            <w:tcW w:w="160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088"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
        </w:tc>
        <w:tc>
          <w:tcPr>
            <w:tcW w:w="1400" w:type="dxa"/>
            <w:tcBorders>
              <w:top w:val="single" w:sz="4" w:space="0" w:color="000000"/>
              <w:left w:val="single" w:sz="4" w:space="0" w:color="000000"/>
              <w:bottom w:val="single" w:sz="4" w:space="0" w:color="000000"/>
              <w:right w:val="single" w:sz="4" w:space="0" w:color="000000"/>
            </w:tcBorders>
          </w:tcPr>
          <w:p>
            <w:pPr/>
          </w:p>
        </w:tc>
        <w:tc>
          <w:tcPr>
            <w:tcW w:w="1802" w:type="dxa"/>
            <w:tcBorders>
              <w:top w:val="single" w:sz="4" w:space="0" w:color="000000"/>
              <w:left w:val="single" w:sz="4" w:space="0" w:color="000000"/>
              <w:bottom w:val="single" w:sz="4" w:space="0" w:color="000000"/>
              <w:right w:val="single" w:sz="4" w:space="0" w:color="000000"/>
            </w:tcBorders>
          </w:tcPr>
          <w:p>
            <w:pPr/>
          </w:p>
        </w:tc>
        <w:tc>
          <w:tcPr>
            <w:tcW w:w="1153" w:type="dxa"/>
            <w:tcBorders>
              <w:top w:val="single" w:sz="4" w:space="0" w:color="000000"/>
              <w:left w:val="single" w:sz="4" w:space="0" w:color="000000"/>
              <w:bottom w:val="single" w:sz="4" w:space="0" w:color="000000"/>
              <w:right w:val="single" w:sz="4" w:space="0" w:color="000000"/>
            </w:tcBorders>
          </w:tcPr>
          <w:p>
            <w:pP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度全额并网</w:t>
            </w:r>
            <w:r>
              <w:rPr>
                <w:rFonts w:ascii="宋体" w:hAnsi="宋体" w:cs="宋体" w:eastAsia="宋体" w:hint="default"/>
                <w:sz w:val="18"/>
                <w:szCs w:val="18"/>
              </w:rPr>
              <w:t> </w:t>
            </w:r>
          </w:p>
        </w:tc>
        <w:tc>
          <w:tcPr>
            <w:tcW w:w="984"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泗洪光伏领跑奖</w:t>
            </w:r>
          </w:p>
          <w:p>
            <w:pPr>
              <w:pStyle w:val="TableParagraph"/>
              <w:spacing w:line="232" w:lineRule="exact" w:before="23"/>
              <w:ind w:left="103" w:right="230"/>
              <w:jc w:val="left"/>
              <w:rPr>
                <w:rFonts w:ascii="宋体" w:hAnsi="宋体" w:cs="宋体" w:eastAsia="宋体" w:hint="default"/>
                <w:sz w:val="18"/>
                <w:szCs w:val="18"/>
              </w:rPr>
            </w:pPr>
            <w:r>
              <w:rPr>
                <w:rFonts w:ascii="宋体" w:hAnsi="宋体" w:cs="宋体" w:eastAsia="宋体" w:hint="default"/>
                <w:sz w:val="18"/>
                <w:szCs w:val="18"/>
              </w:rPr>
              <w:t>励激励基地</w:t>
            </w:r>
            <w:r>
              <w:rPr>
                <w:rFonts w:ascii="宋体" w:hAnsi="宋体" w:cs="宋体" w:eastAsia="宋体" w:hint="default"/>
                <w:spacing w:val="-44"/>
                <w:sz w:val="18"/>
                <w:szCs w:val="18"/>
              </w:rPr>
              <w:t> </w:t>
            </w:r>
            <w:r>
              <w:rPr>
                <w:rFonts w:ascii="宋体" w:hAnsi="宋体" w:cs="宋体" w:eastAsia="宋体" w:hint="default"/>
                <w:sz w:val="18"/>
                <w:szCs w:val="18"/>
              </w:rPr>
              <w:t>2</w:t>
            </w:r>
            <w:r>
              <w:rPr>
                <w:rFonts w:ascii="宋体" w:hAnsi="宋体" w:cs="宋体" w:eastAsia="宋体" w:hint="default"/>
                <w:spacing w:val="-44"/>
                <w:sz w:val="18"/>
                <w:szCs w:val="18"/>
              </w:rPr>
              <w:t> </w:t>
            </w:r>
            <w:r>
              <w:rPr>
                <w:rFonts w:ascii="宋体" w:hAnsi="宋体" w:cs="宋体" w:eastAsia="宋体" w:hint="default"/>
                <w:sz w:val="18"/>
                <w:szCs w:val="18"/>
              </w:rPr>
              <w:t>号 农光互补项目</w:t>
            </w:r>
            <w:r>
              <w:rPr>
                <w:rFonts w:ascii="宋体" w:hAnsi="宋体" w:cs="宋体" w:eastAsia="宋体" w:hint="default"/>
                <w:sz w:val="18"/>
                <w:szCs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泗洪县双沟镇</w:t>
            </w:r>
            <w:r>
              <w:rPr>
                <w:rFonts w:ascii="宋体" w:hAnsi="宋体" w:cs="宋体" w:eastAsia="宋体" w:hint="default"/>
                <w:sz w:val="18"/>
                <w:szCs w:val="18"/>
              </w:rPr>
              <w:t> </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z w:val="18"/>
              </w:rPr>
              <w:t>100 </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9"/>
              <w:jc w:val="right"/>
              <w:rPr>
                <w:rFonts w:ascii="宋体" w:hAnsi="宋体" w:cs="宋体" w:eastAsia="宋体" w:hint="default"/>
                <w:sz w:val="18"/>
                <w:szCs w:val="18"/>
              </w:rPr>
            </w:pPr>
            <w:r>
              <w:rPr>
                <w:rFonts w:ascii="宋体" w:hAnsi="宋体" w:cs="宋体" w:eastAsia="宋体" w:hint="default"/>
                <w:sz w:val="18"/>
                <w:szCs w:val="18"/>
              </w:rPr>
              <w:t>0.009</w:t>
            </w:r>
            <w:r>
              <w:rPr>
                <w:rFonts w:ascii="宋体" w:hAnsi="宋体" w:cs="宋体" w:eastAsia="宋体" w:hint="default"/>
                <w:spacing w:val="-44"/>
                <w:sz w:val="18"/>
                <w:szCs w:val="18"/>
              </w:rPr>
              <w:t> </w:t>
            </w:r>
            <w:r>
              <w:rPr>
                <w:rFonts w:ascii="宋体" w:hAnsi="宋体" w:cs="宋体" w:eastAsia="宋体" w:hint="default"/>
                <w:sz w:val="18"/>
                <w:szCs w:val="18"/>
              </w:rPr>
              <w:t>元</w:t>
            </w:r>
            <w:r>
              <w:rPr>
                <w:rFonts w:ascii="宋体" w:hAnsi="宋体" w:cs="宋体" w:eastAsia="宋体" w:hint="default"/>
                <w:sz w:val="18"/>
                <w:szCs w:val="18"/>
              </w:rPr>
              <w:t>/</w:t>
            </w:r>
            <w:r>
              <w:rPr>
                <w:rFonts w:ascii="宋体" w:hAnsi="宋体" w:cs="宋体" w:eastAsia="宋体" w:hint="default"/>
                <w:sz w:val="18"/>
                <w:szCs w:val="18"/>
              </w:rPr>
              <w:t>度</w:t>
            </w:r>
            <w:r>
              <w:rPr>
                <w:rFonts w:ascii="宋体" w:hAnsi="宋体" w:cs="宋体" w:eastAsia="宋体" w:hint="default"/>
                <w:spacing w:val="-48"/>
                <w:sz w:val="18"/>
                <w:szCs w:val="18"/>
              </w:rPr>
              <w:t> </w:t>
            </w:r>
            <w:r>
              <w:rPr>
                <w:rFonts w:ascii="宋体" w:hAnsi="宋体" w:cs="宋体" w:eastAsia="宋体" w:hint="default"/>
                <w:sz w:val="18"/>
                <w:szCs w:val="18"/>
              </w:rPr>
              <w:t>20</w:t>
            </w:r>
            <w:r>
              <w:rPr>
                <w:rFonts w:ascii="宋体" w:hAnsi="宋体" w:cs="宋体" w:eastAsia="宋体" w:hint="default"/>
                <w:spacing w:val="-45"/>
                <w:sz w:val="18"/>
                <w:szCs w:val="18"/>
              </w:rPr>
              <w:t> </w:t>
            </w:r>
            <w:r>
              <w:rPr>
                <w:rFonts w:ascii="宋体" w:hAnsi="宋体" w:cs="宋体" w:eastAsia="宋体" w:hint="default"/>
                <w:spacing w:val="-3"/>
                <w:sz w:val="18"/>
                <w:szCs w:val="18"/>
              </w:rPr>
              <w:t>年</w:t>
            </w:r>
            <w:r>
              <w:rPr>
                <w:rFonts w:ascii="宋体" w:hAnsi="宋体" w:cs="宋体" w:eastAsia="宋体" w:hint="default"/>
                <w:sz w:val="18"/>
                <w:szCs w:val="18"/>
              </w:rPr>
              <w:t> </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306"/>
              <w:jc w:val="righ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pacing w:val="-3"/>
                <w:sz w:val="18"/>
                <w:szCs w:val="18"/>
              </w:rPr>
              <w:t>年</w:t>
            </w:r>
            <w:r>
              <w:rPr>
                <w:rFonts w:ascii="宋体" w:hAnsi="宋体" w:cs="宋体" w:eastAsia="宋体" w:hint="default"/>
                <w:sz w:val="18"/>
                <w:szCs w:val="18"/>
              </w:rPr>
              <w:t> </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45"/>
              <w:jc w:val="right"/>
              <w:rPr>
                <w:rFonts w:ascii="宋体" w:hAnsi="宋体" w:cs="宋体" w:eastAsia="宋体" w:hint="default"/>
                <w:sz w:val="18"/>
                <w:szCs w:val="18"/>
              </w:rPr>
            </w:pPr>
            <w:r>
              <w:rPr>
                <w:rFonts w:ascii="宋体" w:hAnsi="宋体" w:cs="宋体" w:eastAsia="宋体" w:hint="default"/>
                <w:sz w:val="18"/>
                <w:szCs w:val="18"/>
              </w:rPr>
              <w:t>约</w:t>
            </w:r>
            <w:r>
              <w:rPr>
                <w:rFonts w:ascii="宋体" w:hAnsi="宋体" w:cs="宋体" w:eastAsia="宋体" w:hint="default"/>
                <w:spacing w:val="-47"/>
                <w:sz w:val="18"/>
                <w:szCs w:val="18"/>
              </w:rPr>
              <w:t> </w:t>
            </w: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亿元</w:t>
            </w:r>
            <w:r>
              <w:rPr>
                <w:rFonts w:ascii="宋体" w:hAnsi="宋体" w:cs="宋体" w:eastAsia="宋体" w:hint="default"/>
                <w:sz w:val="18"/>
                <w:szCs w:val="18"/>
              </w:rPr>
              <w:t> </w:t>
            </w: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自筹及银行贷款</w:t>
            </w:r>
            <w:r>
              <w:rPr>
                <w:rFonts w:ascii="宋体" w:hAnsi="宋体" w:cs="宋体" w:eastAsia="宋体" w:hint="default"/>
                <w:sz w:val="18"/>
                <w:szCs w:val="18"/>
              </w:rPr>
              <w:t> </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339.34</w:t>
            </w:r>
            <w:r>
              <w:rPr>
                <w:rFonts w:ascii="宋体"/>
                <w:sz w:val="18"/>
              </w:rPr>
              <w:t> </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pacing w:val="-46"/>
                <w:sz w:val="18"/>
                <w:szCs w:val="18"/>
              </w:rPr>
              <w:t> </w:t>
            </w:r>
            <w:r>
              <w:rPr>
                <w:rFonts w:ascii="宋体" w:hAnsi="宋体" w:cs="宋体" w:eastAsia="宋体" w:hint="default"/>
                <w:sz w:val="18"/>
                <w:szCs w:val="18"/>
              </w:rPr>
              <w:t>年内并网</w:t>
            </w:r>
            <w:r>
              <w:rPr>
                <w:rFonts w:ascii="宋体" w:hAnsi="宋体" w:cs="宋体" w:eastAsia="宋体" w:hint="default"/>
                <w:sz w:val="18"/>
                <w:szCs w:val="18"/>
              </w:rPr>
              <w:t> </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8"/>
              <w:jc w:val="right"/>
              <w:rPr>
                <w:rFonts w:ascii="宋体" w:hAnsi="宋体" w:cs="宋体" w:eastAsia="宋体" w:hint="default"/>
                <w:sz w:val="18"/>
                <w:szCs w:val="18"/>
              </w:rPr>
            </w:pPr>
            <w:r>
              <w:rPr>
                <w:rFonts w:ascii="宋体"/>
                <w:sz w:val="18"/>
              </w:rPr>
              <w:t> </w:t>
            </w:r>
          </w:p>
        </w:tc>
      </w:tr>
      <w:tr>
        <w:trPr>
          <w:trHeight w:val="710" w:hRule="exact"/>
        </w:trPr>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泗洪光伏领跑奖</w:t>
            </w:r>
          </w:p>
          <w:p>
            <w:pPr>
              <w:pStyle w:val="TableParagraph"/>
              <w:spacing w:line="232" w:lineRule="exact" w:before="24"/>
              <w:ind w:left="103" w:right="230"/>
              <w:jc w:val="left"/>
              <w:rPr>
                <w:rFonts w:ascii="宋体" w:hAnsi="宋体" w:cs="宋体" w:eastAsia="宋体" w:hint="default"/>
                <w:sz w:val="18"/>
                <w:szCs w:val="18"/>
              </w:rPr>
            </w:pPr>
            <w:r>
              <w:rPr>
                <w:rFonts w:ascii="宋体" w:hAnsi="宋体" w:cs="宋体" w:eastAsia="宋体" w:hint="default"/>
                <w:sz w:val="18"/>
                <w:szCs w:val="18"/>
              </w:rPr>
              <w:t>励激励基地</w:t>
            </w:r>
            <w:r>
              <w:rPr>
                <w:rFonts w:ascii="宋体" w:hAnsi="宋体" w:cs="宋体" w:eastAsia="宋体" w:hint="default"/>
                <w:spacing w:val="-44"/>
                <w:sz w:val="18"/>
                <w:szCs w:val="18"/>
              </w:rPr>
              <w:t> </w:t>
            </w: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号 农光互补项目</w:t>
            </w:r>
            <w:r>
              <w:rPr>
                <w:rFonts w:ascii="宋体" w:hAnsi="宋体" w:cs="宋体" w:eastAsia="宋体" w:hint="default"/>
                <w:sz w:val="18"/>
                <w:szCs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泗洪县双沟镇</w:t>
            </w:r>
            <w:r>
              <w:rPr>
                <w:rFonts w:ascii="宋体" w:hAnsi="宋体" w:cs="宋体" w:eastAsia="宋体" w:hint="default"/>
                <w:sz w:val="18"/>
                <w:szCs w:val="18"/>
              </w:rPr>
              <w:t> </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z w:val="18"/>
              </w:rPr>
              <w:t>100 </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9"/>
              <w:jc w:val="right"/>
              <w:rPr>
                <w:rFonts w:ascii="宋体" w:hAnsi="宋体" w:cs="宋体" w:eastAsia="宋体" w:hint="default"/>
                <w:sz w:val="18"/>
                <w:szCs w:val="18"/>
              </w:rPr>
            </w:pPr>
            <w:r>
              <w:rPr>
                <w:rFonts w:ascii="宋体" w:hAnsi="宋体" w:cs="宋体" w:eastAsia="宋体" w:hint="default"/>
                <w:sz w:val="18"/>
                <w:szCs w:val="18"/>
              </w:rPr>
              <w:t>0.009</w:t>
            </w:r>
            <w:r>
              <w:rPr>
                <w:rFonts w:ascii="宋体" w:hAnsi="宋体" w:cs="宋体" w:eastAsia="宋体" w:hint="default"/>
                <w:spacing w:val="-44"/>
                <w:sz w:val="18"/>
                <w:szCs w:val="18"/>
              </w:rPr>
              <w:t> </w:t>
            </w:r>
            <w:r>
              <w:rPr>
                <w:rFonts w:ascii="宋体" w:hAnsi="宋体" w:cs="宋体" w:eastAsia="宋体" w:hint="default"/>
                <w:sz w:val="18"/>
                <w:szCs w:val="18"/>
              </w:rPr>
              <w:t>元</w:t>
            </w:r>
            <w:r>
              <w:rPr>
                <w:rFonts w:ascii="宋体" w:hAnsi="宋体" w:cs="宋体" w:eastAsia="宋体" w:hint="default"/>
                <w:sz w:val="18"/>
                <w:szCs w:val="18"/>
              </w:rPr>
              <w:t>/</w:t>
            </w:r>
            <w:r>
              <w:rPr>
                <w:rFonts w:ascii="宋体" w:hAnsi="宋体" w:cs="宋体" w:eastAsia="宋体" w:hint="default"/>
                <w:sz w:val="18"/>
                <w:szCs w:val="18"/>
              </w:rPr>
              <w:t>度</w:t>
            </w:r>
            <w:r>
              <w:rPr>
                <w:rFonts w:ascii="宋体" w:hAnsi="宋体" w:cs="宋体" w:eastAsia="宋体" w:hint="default"/>
                <w:spacing w:val="-48"/>
                <w:sz w:val="18"/>
                <w:szCs w:val="18"/>
              </w:rPr>
              <w:t> </w:t>
            </w:r>
            <w:r>
              <w:rPr>
                <w:rFonts w:ascii="宋体" w:hAnsi="宋体" w:cs="宋体" w:eastAsia="宋体" w:hint="default"/>
                <w:sz w:val="18"/>
                <w:szCs w:val="18"/>
              </w:rPr>
              <w:t>20</w:t>
            </w:r>
            <w:r>
              <w:rPr>
                <w:rFonts w:ascii="宋体" w:hAnsi="宋体" w:cs="宋体" w:eastAsia="宋体" w:hint="default"/>
                <w:spacing w:val="-45"/>
                <w:sz w:val="18"/>
                <w:szCs w:val="18"/>
              </w:rPr>
              <w:t> </w:t>
            </w:r>
            <w:r>
              <w:rPr>
                <w:rFonts w:ascii="宋体" w:hAnsi="宋体" w:cs="宋体" w:eastAsia="宋体" w:hint="default"/>
                <w:spacing w:val="-3"/>
                <w:sz w:val="18"/>
                <w:szCs w:val="18"/>
              </w:rPr>
              <w:t>年</w:t>
            </w:r>
            <w:r>
              <w:rPr>
                <w:rFonts w:ascii="宋体" w:hAnsi="宋体" w:cs="宋体" w:eastAsia="宋体" w:hint="default"/>
                <w:sz w:val="18"/>
                <w:szCs w:val="18"/>
              </w:rPr>
              <w:t> </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306"/>
              <w:jc w:val="righ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pacing w:val="-3"/>
                <w:sz w:val="18"/>
                <w:szCs w:val="18"/>
              </w:rPr>
              <w:t>年</w:t>
            </w:r>
            <w:r>
              <w:rPr>
                <w:rFonts w:ascii="宋体" w:hAnsi="宋体" w:cs="宋体" w:eastAsia="宋体" w:hint="default"/>
                <w:sz w:val="18"/>
                <w:szCs w:val="18"/>
              </w:rPr>
              <w:t> </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45"/>
              <w:jc w:val="right"/>
              <w:rPr>
                <w:rFonts w:ascii="宋体" w:hAnsi="宋体" w:cs="宋体" w:eastAsia="宋体" w:hint="default"/>
                <w:sz w:val="18"/>
                <w:szCs w:val="18"/>
              </w:rPr>
            </w:pPr>
            <w:r>
              <w:rPr>
                <w:rFonts w:ascii="宋体" w:hAnsi="宋体" w:cs="宋体" w:eastAsia="宋体" w:hint="default"/>
                <w:sz w:val="18"/>
                <w:szCs w:val="18"/>
              </w:rPr>
              <w:t>约</w:t>
            </w:r>
            <w:r>
              <w:rPr>
                <w:rFonts w:ascii="宋体" w:hAnsi="宋体" w:cs="宋体" w:eastAsia="宋体" w:hint="default"/>
                <w:spacing w:val="-47"/>
                <w:sz w:val="18"/>
                <w:szCs w:val="18"/>
              </w:rPr>
              <w:t> </w:t>
            </w: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亿元</w:t>
            </w:r>
            <w:r>
              <w:rPr>
                <w:rFonts w:ascii="宋体" w:hAnsi="宋体" w:cs="宋体" w:eastAsia="宋体" w:hint="default"/>
                <w:sz w:val="18"/>
                <w:szCs w:val="18"/>
              </w:rPr>
              <w:t> </w:t>
            </w: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自筹及银行贷款</w:t>
            </w:r>
            <w:r>
              <w:rPr>
                <w:rFonts w:ascii="宋体" w:hAnsi="宋体" w:cs="宋体" w:eastAsia="宋体" w:hint="default"/>
                <w:sz w:val="18"/>
                <w:szCs w:val="18"/>
              </w:rPr>
              <w:t> </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174.96</w:t>
            </w:r>
            <w:r>
              <w:rPr>
                <w:rFonts w:ascii="宋体"/>
                <w:sz w:val="18"/>
              </w:rPr>
              <w:t> </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pacing w:val="-46"/>
                <w:sz w:val="18"/>
                <w:szCs w:val="18"/>
              </w:rPr>
              <w:t> </w:t>
            </w:r>
            <w:r>
              <w:rPr>
                <w:rFonts w:ascii="宋体" w:hAnsi="宋体" w:cs="宋体" w:eastAsia="宋体" w:hint="default"/>
                <w:sz w:val="18"/>
                <w:szCs w:val="18"/>
              </w:rPr>
              <w:t>年内并网</w:t>
            </w:r>
            <w:r>
              <w:rPr>
                <w:rFonts w:ascii="宋体" w:hAnsi="宋体" w:cs="宋体" w:eastAsia="宋体" w:hint="default"/>
                <w:sz w:val="18"/>
                <w:szCs w:val="18"/>
              </w:rPr>
              <w:t> </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8"/>
              <w:jc w:val="right"/>
              <w:rPr>
                <w:rFonts w:ascii="宋体" w:hAnsi="宋体" w:cs="宋体" w:eastAsia="宋体" w:hint="default"/>
                <w:sz w:val="18"/>
                <w:szCs w:val="18"/>
              </w:rPr>
            </w:pPr>
            <w:r>
              <w:rPr>
                <w:rFonts w:ascii="宋体"/>
                <w:sz w:val="18"/>
              </w:rPr>
              <w:t> </w:t>
            </w:r>
          </w:p>
        </w:tc>
      </w:tr>
      <w:tr>
        <w:trPr>
          <w:trHeight w:val="283" w:hRule="exact"/>
        </w:trPr>
        <w:tc>
          <w:tcPr>
            <w:tcW w:w="14090"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4"/>
                <w:szCs w:val="24"/>
              </w:rPr>
            </w:pPr>
            <w:r>
              <w:rPr>
                <w:rFonts w:ascii="宋体" w:hAnsi="宋体" w:cs="宋体" w:eastAsia="宋体" w:hint="default"/>
                <w:sz w:val="21"/>
                <w:szCs w:val="21"/>
              </w:rPr>
              <w:t>电站项目中自产品供应情况</w:t>
            </w:r>
            <w:r>
              <w:rPr>
                <w:rFonts w:ascii="宋体" w:hAnsi="宋体" w:cs="宋体" w:eastAsia="宋体" w:hint="default"/>
                <w:sz w:val="21"/>
                <w:szCs w:val="21"/>
              </w:rPr>
              <w:t>: </w:t>
            </w:r>
            <w:r>
              <w:rPr>
                <w:rFonts w:ascii="宋体" w:hAnsi="宋体" w:cs="宋体" w:eastAsia="宋体" w:hint="default"/>
                <w:spacing w:val="-2"/>
                <w:sz w:val="21"/>
                <w:szCs w:val="21"/>
              </w:rPr>
              <w:t> </w:t>
            </w:r>
            <w:r>
              <w:rPr>
                <w:rFonts w:ascii="宋体" w:hAnsi="宋体" w:cs="宋体" w:eastAsia="宋体" w:hint="default"/>
                <w:sz w:val="24"/>
                <w:szCs w:val="24"/>
              </w:rPr>
              <w:t> </w:t>
            </w:r>
          </w:p>
        </w:tc>
      </w:tr>
    </w:tbl>
    <w:p>
      <w:pPr>
        <w:pStyle w:val="Heading2"/>
        <w:spacing w:line="274" w:lineRule="exact"/>
        <w:ind w:left="224" w:right="0"/>
        <w:jc w:val="left"/>
        <w:rPr>
          <w:rFonts w:ascii="宋体" w:hAnsi="宋体" w:cs="宋体" w:eastAsia="宋体" w:hint="default"/>
        </w:rPr>
      </w:pPr>
      <w:r>
        <w:rPr>
          <w:rFonts w:ascii="宋体"/>
        </w:rPr>
        <w:t> </w:t>
      </w:r>
    </w:p>
    <w:p>
      <w:pPr>
        <w:pStyle w:val="Heading3"/>
        <w:tabs>
          <w:tab w:pos="649" w:val="left" w:leader="none"/>
        </w:tabs>
        <w:spacing w:line="240" w:lineRule="auto" w:before="64"/>
        <w:ind w:left="224" w:right="0"/>
        <w:jc w:val="left"/>
        <w:rPr>
          <w:b w:val="0"/>
          <w:bCs w:val="0"/>
        </w:rPr>
      </w:pPr>
      <w:r>
        <w:rPr>
          <w:rFonts w:ascii="宋体" w:hAnsi="宋体" w:cs="宋体" w:eastAsia="宋体" w:hint="default"/>
          <w:w w:val="95"/>
        </w:rPr>
        <w:t>5.</w:t>
        <w:tab/>
      </w:r>
      <w:r>
        <w:rPr/>
        <w:t>其他说明</w:t>
      </w:r>
      <w:r>
        <w:rPr>
          <w:b w:val="0"/>
          <w:bCs w:val="0"/>
        </w:rPr>
      </w:r>
    </w:p>
    <w:p>
      <w:pPr>
        <w:pStyle w:val="Heading2"/>
        <w:spacing w:line="240" w:lineRule="auto" w:before="50"/>
        <w:ind w:left="224" w:right="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BodyText"/>
        <w:spacing w:line="240" w:lineRule="auto" w:before="4"/>
        <w:ind w:left="224" w:right="0"/>
        <w:jc w:val="left"/>
        <w:rPr>
          <w:rFonts w:ascii="宋体" w:hAnsi="宋体" w:cs="宋体" w:eastAsia="宋体" w:hint="default"/>
        </w:rPr>
      </w:pPr>
      <w:r>
        <w:rPr>
          <w:rFonts w:ascii="宋体"/>
          <w:w w:val="100"/>
        </w:rPr>
        <w:t> </w:t>
      </w:r>
    </w:p>
    <w:p>
      <w:pPr>
        <w:spacing w:after="0" w:line="240" w:lineRule="auto"/>
        <w:jc w:val="left"/>
        <w:rPr>
          <w:rFonts w:ascii="宋体" w:hAnsi="宋体" w:cs="宋体" w:eastAsia="宋体" w:hint="default"/>
        </w:rPr>
        <w:sectPr>
          <w:pgSz w:w="16840" w:h="11910" w:orient="landscape"/>
          <w:pgMar w:header="747" w:footer="975" w:top="1140" w:bottom="1160" w:left="1300" w:right="1220"/>
        </w:sectPr>
      </w:pPr>
    </w:p>
    <w:p>
      <w:pPr>
        <w:spacing w:line="240" w:lineRule="auto" w:before="11"/>
        <w:rPr>
          <w:rFonts w:ascii="宋体" w:hAnsi="宋体" w:cs="宋体" w:eastAsia="宋体" w:hint="default"/>
          <w:sz w:val="17"/>
          <w:szCs w:val="17"/>
        </w:rPr>
      </w:pPr>
    </w:p>
    <w:p>
      <w:pPr>
        <w:pStyle w:val="Heading2"/>
        <w:spacing w:line="240" w:lineRule="auto" w:before="26"/>
        <w:ind w:left="576" w:right="0"/>
        <w:jc w:val="left"/>
        <w:rPr>
          <w:rFonts w:ascii="宋体" w:hAnsi="宋体" w:cs="宋体" w:eastAsia="宋体" w:hint="default"/>
        </w:rPr>
      </w:pPr>
      <w:r>
        <w:rPr>
          <w:rFonts w:ascii="宋体"/>
        </w:rPr>
        <w:t> </w:t>
      </w:r>
    </w:p>
    <w:p>
      <w:pPr>
        <w:pStyle w:val="Heading3"/>
        <w:tabs>
          <w:tab w:pos="1417" w:val="left" w:leader="none"/>
        </w:tabs>
        <w:spacing w:line="240" w:lineRule="auto" w:before="86"/>
        <w:ind w:left="576" w:right="0"/>
        <w:jc w:val="left"/>
        <w:rPr>
          <w:b w:val="0"/>
          <w:bCs w:val="0"/>
        </w:rPr>
      </w:pPr>
      <w:r>
        <w:rPr>
          <w:rFonts w:ascii="宋体" w:hAnsi="宋体" w:cs="宋体" w:eastAsia="宋体" w:hint="default"/>
          <w:w w:val="95"/>
        </w:rPr>
        <w:t>(</w:t>
      </w:r>
      <w:r>
        <w:rPr>
          <w:w w:val="95"/>
        </w:rPr>
        <w:t>五</w:t>
      </w:r>
      <w:r>
        <w:rPr>
          <w:rFonts w:ascii="宋体" w:hAnsi="宋体" w:cs="宋体" w:eastAsia="宋体" w:hint="default"/>
          <w:w w:val="95"/>
        </w:rPr>
        <w:t>)</w:t>
        <w:tab/>
      </w:r>
      <w:r>
        <w:rPr/>
        <w:t>投资状况分析</w:t>
      </w:r>
      <w:r>
        <w:rPr>
          <w:b w:val="0"/>
          <w:bCs w:val="0"/>
        </w:rPr>
      </w:r>
    </w:p>
    <w:p>
      <w:pPr>
        <w:pStyle w:val="Heading3"/>
        <w:spacing w:line="240" w:lineRule="auto"/>
        <w:ind w:left="576" w:right="0"/>
        <w:jc w:val="left"/>
        <w:rPr>
          <w:rFonts w:ascii="宋体" w:hAnsi="宋体" w:cs="宋体" w:eastAsia="宋体" w:hint="default"/>
          <w:b w:val="0"/>
          <w:bCs w:val="0"/>
        </w:rPr>
      </w:pPr>
      <w:r>
        <w:rPr>
          <w:rFonts w:ascii="宋体" w:hAnsi="宋体" w:cs="宋体" w:eastAsia="宋体" w:hint="default"/>
        </w:rPr>
        <w:t>1</w:t>
      </w:r>
      <w:r>
        <w:rPr/>
        <w:t>、</w:t>
      </w:r>
      <w:r>
        <w:rPr>
          <w:spacing w:val="-5"/>
        </w:rPr>
        <w:t> </w:t>
      </w:r>
      <w:r>
        <w:rPr/>
        <w:t>对外股权投资总体分析</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7"/>
        <w:ind w:left="57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left="576" w:right="0"/>
        <w:jc w:val="left"/>
      </w:pPr>
      <w:r>
        <w:rPr>
          <w:rFonts w:ascii="宋体" w:hAnsi="宋体" w:cs="宋体" w:eastAsia="宋体" w:hint="default"/>
        </w:rPr>
        <w:t>2019</w:t>
      </w:r>
      <w:r>
        <w:rPr>
          <w:rFonts w:ascii="宋体" w:hAnsi="宋体" w:cs="宋体" w:eastAsia="宋体" w:hint="default"/>
          <w:spacing w:val="-56"/>
        </w:rPr>
        <w:t> </w:t>
      </w:r>
      <w:r>
        <w:rPr/>
        <w:t>年度，公司紧紧围绕年初的战略规划进行对外股权投资。截至</w:t>
      </w:r>
      <w:r>
        <w:rPr>
          <w:spacing w:val="-54"/>
        </w:rPr>
        <w:t> </w:t>
      </w:r>
      <w:r>
        <w:rPr>
          <w:rFonts w:ascii="宋体" w:hAnsi="宋体" w:cs="宋体" w:eastAsia="宋体" w:hint="default"/>
        </w:rPr>
        <w:t>2019</w:t>
      </w:r>
      <w:r>
        <w:rPr>
          <w:rFonts w:ascii="宋体" w:hAnsi="宋体" w:cs="宋体" w:eastAsia="宋体" w:hint="default"/>
          <w:spacing w:val="-54"/>
        </w:rPr>
        <w:t> </w:t>
      </w:r>
      <w:r>
        <w:rPr/>
        <w:t>年</w:t>
      </w:r>
      <w:r>
        <w:rPr>
          <w:spacing w:val="-56"/>
        </w:rPr>
        <w:t> </w:t>
      </w:r>
      <w:r>
        <w:rPr>
          <w:rFonts w:ascii="宋体" w:hAnsi="宋体" w:cs="宋体" w:eastAsia="宋体" w:hint="default"/>
        </w:rPr>
        <w:t>12</w:t>
      </w:r>
      <w:r>
        <w:rPr>
          <w:rFonts w:ascii="宋体" w:hAnsi="宋体" w:cs="宋体" w:eastAsia="宋体" w:hint="default"/>
          <w:spacing w:val="-54"/>
        </w:rPr>
        <w:t> </w:t>
      </w:r>
      <w:r>
        <w:rPr/>
        <w:t>月</w:t>
      </w:r>
      <w:r>
        <w:rPr>
          <w:spacing w:val="-54"/>
        </w:rPr>
        <w:t> </w:t>
      </w:r>
      <w:r>
        <w:rPr>
          <w:rFonts w:ascii="宋体" w:hAnsi="宋体" w:cs="宋体" w:eastAsia="宋体" w:hint="default"/>
        </w:rPr>
        <w:t>31</w:t>
      </w:r>
      <w:r>
        <w:rPr>
          <w:rFonts w:ascii="宋体" w:hAnsi="宋体" w:cs="宋体" w:eastAsia="宋体" w:hint="default"/>
          <w:spacing w:val="-54"/>
        </w:rPr>
        <w:t> </w:t>
      </w:r>
      <w:r>
        <w:rPr/>
        <w:t>日，共计对</w:t>
      </w:r>
    </w:p>
    <w:p>
      <w:pPr>
        <w:spacing w:line="273" w:lineRule="auto" w:before="37"/>
        <w:ind w:left="999" w:right="2073" w:hanging="423"/>
        <w:jc w:val="left"/>
        <w:rPr>
          <w:rFonts w:ascii="宋体" w:hAnsi="宋体" w:cs="宋体" w:eastAsia="宋体" w:hint="default"/>
          <w:sz w:val="21"/>
          <w:szCs w:val="21"/>
        </w:rPr>
      </w:pPr>
      <w:r>
        <w:rPr>
          <w:rFonts w:ascii="宋体" w:hAnsi="宋体" w:cs="宋体" w:eastAsia="宋体" w:hint="default"/>
          <w:sz w:val="21"/>
          <w:szCs w:val="21"/>
        </w:rPr>
        <w:t>外增资或投资</w:t>
      </w:r>
      <w:r>
        <w:rPr>
          <w:rFonts w:ascii="宋体" w:hAnsi="宋体" w:cs="宋体" w:eastAsia="宋体" w:hint="default"/>
          <w:spacing w:val="-54"/>
          <w:sz w:val="21"/>
          <w:szCs w:val="21"/>
        </w:rPr>
        <w:t> </w:t>
      </w:r>
      <w:r>
        <w:rPr>
          <w:rFonts w:ascii="宋体" w:hAnsi="宋体" w:cs="宋体" w:eastAsia="宋体" w:hint="default"/>
          <w:sz w:val="21"/>
          <w:szCs w:val="21"/>
        </w:rPr>
        <w:t>24</w:t>
      </w:r>
      <w:r>
        <w:rPr>
          <w:rFonts w:ascii="宋体" w:hAnsi="宋体" w:cs="宋体" w:eastAsia="宋体" w:hint="default"/>
          <w:spacing w:val="-55"/>
          <w:sz w:val="21"/>
          <w:szCs w:val="21"/>
        </w:rPr>
        <w:t> </w:t>
      </w:r>
      <w:r>
        <w:rPr>
          <w:rFonts w:ascii="宋体" w:hAnsi="宋体" w:cs="宋体" w:eastAsia="宋体" w:hint="default"/>
          <w:sz w:val="21"/>
          <w:szCs w:val="21"/>
        </w:rPr>
        <w:t>家控股公司，具体投资情况如下：</w:t>
      </w:r>
      <w:r>
        <w:rPr>
          <w:rFonts w:ascii="宋体" w:hAnsi="宋体" w:cs="宋体" w:eastAsia="宋体" w:hint="default"/>
          <w:w w:val="100"/>
          <w:sz w:val="21"/>
          <w:szCs w:val="21"/>
        </w:rPr>
        <w:t> </w:t>
      </w:r>
      <w:r>
        <w:rPr>
          <w:rFonts w:ascii="宋体" w:hAnsi="宋体" w:cs="宋体" w:eastAsia="宋体" w:hint="default"/>
          <w:b/>
          <w:bCs/>
          <w:sz w:val="21"/>
          <w:szCs w:val="21"/>
        </w:rPr>
        <w:t>1</w:t>
      </w:r>
      <w:r>
        <w:rPr>
          <w:rFonts w:ascii="宋体" w:hAnsi="宋体" w:cs="宋体" w:eastAsia="宋体" w:hint="default"/>
          <w:b/>
          <w:bCs/>
          <w:sz w:val="21"/>
          <w:szCs w:val="21"/>
        </w:rPr>
        <w:t>、对外投资设立新公司情况</w:t>
      </w:r>
      <w:r>
        <w:rPr>
          <w:rFonts w:ascii="宋体" w:hAnsi="宋体" w:cs="宋体" w:eastAsia="宋体" w:hint="default"/>
          <w:b/>
          <w:bCs/>
          <w:w w:val="99"/>
          <w:sz w:val="21"/>
          <w:szCs w:val="21"/>
        </w:rPr>
        <w:t> </w:t>
      </w:r>
      <w:r>
        <w:rPr>
          <w:rFonts w:ascii="宋体" w:hAnsi="宋体" w:cs="宋体" w:eastAsia="宋体" w:hint="default"/>
          <w:sz w:val="21"/>
          <w:szCs w:val="21"/>
        </w:rPr>
      </w:r>
    </w:p>
    <w:tbl>
      <w:tblPr>
        <w:tblW w:w="0" w:type="auto"/>
        <w:jc w:val="left"/>
        <w:tblInd w:w="116" w:type="dxa"/>
        <w:tblLayout w:type="fixed"/>
        <w:tblCellMar>
          <w:top w:w="0" w:type="dxa"/>
          <w:left w:w="0" w:type="dxa"/>
          <w:bottom w:w="0" w:type="dxa"/>
          <w:right w:w="0" w:type="dxa"/>
        </w:tblCellMar>
        <w:tblLook w:val="01E0"/>
      </w:tblPr>
      <w:tblGrid>
        <w:gridCol w:w="740"/>
        <w:gridCol w:w="2552"/>
        <w:gridCol w:w="1378"/>
        <w:gridCol w:w="1109"/>
        <w:gridCol w:w="1274"/>
        <w:gridCol w:w="2693"/>
      </w:tblGrid>
      <w:tr>
        <w:trPr>
          <w:trHeight w:val="322" w:hRule="exact"/>
        </w:trPr>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center"/>
              <w:rPr>
                <w:rFonts w:ascii="宋体" w:hAnsi="宋体" w:cs="宋体" w:eastAsia="宋体" w:hint="default"/>
                <w:sz w:val="21"/>
                <w:szCs w:val="21"/>
              </w:rPr>
            </w:pPr>
            <w:r>
              <w:rPr>
                <w:rFonts w:ascii="宋体" w:hAnsi="宋体" w:cs="宋体" w:eastAsia="宋体" w:hint="default"/>
                <w:sz w:val="21"/>
                <w:szCs w:val="21"/>
              </w:rPr>
              <w:t>序号</w:t>
            </w:r>
            <w:r>
              <w:rPr>
                <w:rFonts w:ascii="宋体" w:hAnsi="宋体" w:cs="宋体" w:eastAsia="宋体" w:hint="default"/>
                <w:sz w:val="21"/>
                <w:szCs w:val="21"/>
              </w:rPr>
              <w:t> </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2" w:right="0"/>
              <w:jc w:val="center"/>
              <w:rPr>
                <w:rFonts w:ascii="宋体" w:hAnsi="宋体" w:cs="宋体" w:eastAsia="宋体" w:hint="default"/>
                <w:sz w:val="21"/>
                <w:szCs w:val="21"/>
              </w:rPr>
            </w:pPr>
            <w:r>
              <w:rPr>
                <w:rFonts w:ascii="宋体" w:hAnsi="宋体" w:cs="宋体" w:eastAsia="宋体" w:hint="default"/>
                <w:sz w:val="21"/>
                <w:szCs w:val="21"/>
              </w:rPr>
              <w:t>公司名称</w:t>
            </w:r>
            <w:r>
              <w:rPr>
                <w:rFonts w:ascii="宋体" w:hAnsi="宋体" w:cs="宋体" w:eastAsia="宋体" w:hint="default"/>
                <w:sz w:val="21"/>
                <w:szCs w:val="21"/>
              </w:rPr>
              <w:t> </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center"/>
              <w:rPr>
                <w:rFonts w:ascii="宋体" w:hAnsi="宋体" w:cs="宋体" w:eastAsia="宋体" w:hint="default"/>
                <w:sz w:val="21"/>
                <w:szCs w:val="21"/>
              </w:rPr>
            </w:pPr>
            <w:r>
              <w:rPr>
                <w:rFonts w:ascii="宋体" w:hAnsi="宋体" w:cs="宋体" w:eastAsia="宋体" w:hint="default"/>
                <w:sz w:val="21"/>
                <w:szCs w:val="21"/>
              </w:rPr>
              <w:t>成立时间</w:t>
            </w:r>
            <w:r>
              <w:rPr>
                <w:rFonts w:ascii="宋体" w:hAnsi="宋体" w:cs="宋体" w:eastAsia="宋体" w:hint="default"/>
                <w:sz w:val="21"/>
                <w:szCs w:val="21"/>
              </w:rPr>
              <w:t> </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98" w:right="0"/>
              <w:jc w:val="center"/>
              <w:rPr>
                <w:rFonts w:ascii="宋体" w:hAnsi="宋体" w:cs="宋体" w:eastAsia="宋体" w:hint="default"/>
                <w:sz w:val="21"/>
                <w:szCs w:val="21"/>
              </w:rPr>
            </w:pPr>
            <w:r>
              <w:rPr>
                <w:rFonts w:ascii="宋体" w:hAnsi="宋体" w:cs="宋体" w:eastAsia="宋体" w:hint="default"/>
                <w:sz w:val="21"/>
                <w:szCs w:val="21"/>
              </w:rPr>
              <w:t>所在地</w:t>
            </w:r>
            <w:r>
              <w:rPr>
                <w:rFonts w:ascii="宋体" w:hAnsi="宋体" w:cs="宋体" w:eastAsia="宋体" w:hint="default"/>
                <w:sz w:val="21"/>
                <w:szCs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7"/>
              <w:jc w:val="right"/>
              <w:rPr>
                <w:rFonts w:ascii="宋体" w:hAnsi="宋体" w:cs="宋体" w:eastAsia="宋体" w:hint="default"/>
                <w:sz w:val="21"/>
                <w:szCs w:val="21"/>
              </w:rPr>
            </w:pPr>
            <w:r>
              <w:rPr>
                <w:rFonts w:ascii="宋体" w:hAnsi="宋体" w:cs="宋体" w:eastAsia="宋体" w:hint="default"/>
                <w:spacing w:val="-2"/>
                <w:sz w:val="21"/>
                <w:szCs w:val="21"/>
              </w:rPr>
              <w:t>注册资本</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605"/>
              <w:jc w:val="right"/>
              <w:rPr>
                <w:rFonts w:ascii="宋体" w:hAnsi="宋体" w:cs="宋体" w:eastAsia="宋体" w:hint="default"/>
                <w:sz w:val="21"/>
                <w:szCs w:val="21"/>
              </w:rPr>
            </w:pPr>
            <w:r>
              <w:rPr>
                <w:rFonts w:ascii="宋体" w:hAnsi="宋体" w:cs="宋体" w:eastAsia="宋体" w:hint="default"/>
                <w:spacing w:val="-2"/>
                <w:sz w:val="21"/>
                <w:szCs w:val="21"/>
              </w:rPr>
              <w:t>主要从事业务</w:t>
            </w:r>
            <w:r>
              <w:rPr>
                <w:rFonts w:ascii="宋体" w:hAnsi="宋体" w:cs="宋体" w:eastAsia="宋体" w:hint="default"/>
                <w:sz w:val="21"/>
                <w:szCs w:val="21"/>
              </w:rPr>
              <w:t> </w:t>
            </w:r>
          </w:p>
        </w:tc>
      </w:tr>
      <w:tr>
        <w:trPr>
          <w:trHeight w:val="634" w:hRule="exact"/>
        </w:trPr>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0" w:right="0"/>
              <w:jc w:val="center"/>
              <w:rPr>
                <w:rFonts w:ascii="宋体" w:hAnsi="宋体" w:cs="宋体" w:eastAsia="宋体" w:hint="default"/>
                <w:sz w:val="21"/>
                <w:szCs w:val="21"/>
              </w:rPr>
            </w:pPr>
            <w:r>
              <w:rPr>
                <w:rFonts w:ascii="宋体"/>
                <w:sz w:val="21"/>
              </w:rPr>
              <w:t>1 </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23"/>
              <w:jc w:val="left"/>
              <w:rPr>
                <w:rFonts w:ascii="宋体" w:hAnsi="宋体" w:cs="宋体" w:eastAsia="宋体" w:hint="default"/>
                <w:sz w:val="21"/>
                <w:szCs w:val="21"/>
              </w:rPr>
            </w:pPr>
            <w:r>
              <w:rPr>
                <w:rFonts w:ascii="宋体" w:hAnsi="宋体" w:cs="宋体" w:eastAsia="宋体" w:hint="default"/>
                <w:spacing w:val="-2"/>
                <w:sz w:val="21"/>
                <w:szCs w:val="21"/>
              </w:rPr>
              <w:t>承德围口光伏发电有限公</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司</w:t>
            </w:r>
            <w:r>
              <w:rPr>
                <w:rFonts w:ascii="宋体" w:hAnsi="宋体" w:cs="宋体" w:eastAsia="宋体" w:hint="default"/>
                <w:sz w:val="21"/>
                <w:szCs w:val="21"/>
              </w:rPr>
              <w:t> </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0" w:right="0"/>
              <w:jc w:val="center"/>
              <w:rPr>
                <w:rFonts w:ascii="宋体" w:hAnsi="宋体" w:cs="宋体" w:eastAsia="宋体" w:hint="default"/>
                <w:sz w:val="21"/>
                <w:szCs w:val="21"/>
              </w:rPr>
            </w:pPr>
            <w:r>
              <w:rPr>
                <w:rFonts w:ascii="宋体"/>
                <w:sz w:val="21"/>
              </w:rPr>
              <w:t>2019/2/20 </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0" w:right="0"/>
              <w:jc w:val="center"/>
              <w:rPr>
                <w:rFonts w:ascii="宋体" w:hAnsi="宋体" w:cs="宋体" w:eastAsia="宋体" w:hint="default"/>
                <w:sz w:val="21"/>
                <w:szCs w:val="21"/>
              </w:rPr>
            </w:pPr>
            <w:r>
              <w:rPr>
                <w:rFonts w:ascii="宋体" w:hAnsi="宋体" w:cs="宋体" w:eastAsia="宋体" w:hint="default"/>
                <w:sz w:val="21"/>
                <w:szCs w:val="21"/>
              </w:rPr>
              <w:t>河北承德</w:t>
            </w:r>
            <w:r>
              <w:rPr>
                <w:rFonts w:ascii="宋体" w:hAnsi="宋体" w:cs="宋体" w:eastAsia="宋体" w:hint="default"/>
                <w:sz w:val="21"/>
                <w:szCs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90" w:right="0"/>
              <w:jc w:val="left"/>
              <w:rPr>
                <w:rFonts w:ascii="宋体" w:hAnsi="宋体" w:cs="宋体" w:eastAsia="宋体" w:hint="default"/>
                <w:sz w:val="21"/>
                <w:szCs w:val="21"/>
              </w:rPr>
            </w:pPr>
            <w:r>
              <w:rPr>
                <w:rFonts w:ascii="宋体" w:hAnsi="宋体" w:cs="宋体" w:eastAsia="宋体" w:hint="default"/>
                <w:sz w:val="21"/>
                <w:szCs w:val="21"/>
              </w:rPr>
              <w:t>1000</w:t>
            </w:r>
            <w:r>
              <w:rPr>
                <w:rFonts w:ascii="宋体" w:hAnsi="宋体" w:cs="宋体" w:eastAsia="宋体" w:hint="default"/>
                <w:spacing w:val="-52"/>
                <w:sz w:val="21"/>
                <w:szCs w:val="21"/>
              </w:rPr>
              <w:t> </w:t>
            </w:r>
            <w:r>
              <w:rPr>
                <w:rFonts w:ascii="宋体" w:hAnsi="宋体" w:cs="宋体" w:eastAsia="宋体" w:hint="default"/>
                <w:spacing w:val="-3"/>
                <w:sz w:val="21"/>
                <w:szCs w:val="21"/>
              </w:rPr>
              <w:t>万</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9"/>
              <w:jc w:val="left"/>
              <w:rPr>
                <w:rFonts w:ascii="宋体" w:hAnsi="宋体" w:cs="宋体" w:eastAsia="宋体" w:hint="default"/>
                <w:sz w:val="21"/>
                <w:szCs w:val="21"/>
              </w:rPr>
            </w:pPr>
            <w:r>
              <w:rPr>
                <w:rFonts w:ascii="宋体" w:hAnsi="宋体" w:cs="宋体" w:eastAsia="宋体" w:hint="default"/>
                <w:spacing w:val="-5"/>
                <w:sz w:val="21"/>
                <w:szCs w:val="21"/>
              </w:rPr>
              <w:t>太阳能发电、售电服务；光</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电场建设、运营、管理</w:t>
            </w:r>
            <w:r>
              <w:rPr>
                <w:rFonts w:ascii="宋体" w:hAnsi="宋体" w:cs="宋体" w:eastAsia="宋体" w:hint="default"/>
                <w:sz w:val="21"/>
                <w:szCs w:val="21"/>
              </w:rPr>
              <w:t> </w:t>
            </w:r>
          </w:p>
        </w:tc>
      </w:tr>
      <w:tr>
        <w:trPr>
          <w:trHeight w:val="634" w:hRule="exact"/>
        </w:trPr>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0" w:right="0"/>
              <w:jc w:val="center"/>
              <w:rPr>
                <w:rFonts w:ascii="宋体" w:hAnsi="宋体" w:cs="宋体" w:eastAsia="宋体" w:hint="default"/>
                <w:sz w:val="21"/>
                <w:szCs w:val="21"/>
              </w:rPr>
            </w:pPr>
            <w:r>
              <w:rPr>
                <w:rFonts w:ascii="宋体"/>
                <w:sz w:val="21"/>
              </w:rPr>
              <w:t>2 </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23"/>
              <w:jc w:val="left"/>
              <w:rPr>
                <w:rFonts w:ascii="宋体" w:hAnsi="宋体" w:cs="宋体" w:eastAsia="宋体" w:hint="default"/>
                <w:sz w:val="21"/>
                <w:szCs w:val="21"/>
              </w:rPr>
            </w:pPr>
            <w:r>
              <w:rPr>
                <w:rFonts w:ascii="宋体" w:hAnsi="宋体" w:cs="宋体" w:eastAsia="宋体" w:hint="default"/>
                <w:spacing w:val="-2"/>
                <w:sz w:val="21"/>
                <w:szCs w:val="21"/>
              </w:rPr>
              <w:t>永城市林安新能源科技有</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限公司</w:t>
            </w:r>
            <w:r>
              <w:rPr>
                <w:rFonts w:ascii="宋体" w:hAnsi="宋体" w:cs="宋体" w:eastAsia="宋体" w:hint="default"/>
                <w:sz w:val="21"/>
                <w:szCs w:val="21"/>
              </w:rPr>
              <w:t> </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0" w:right="0"/>
              <w:jc w:val="center"/>
              <w:rPr>
                <w:rFonts w:ascii="宋体" w:hAnsi="宋体" w:cs="宋体" w:eastAsia="宋体" w:hint="default"/>
                <w:sz w:val="21"/>
                <w:szCs w:val="21"/>
              </w:rPr>
            </w:pPr>
            <w:r>
              <w:rPr>
                <w:rFonts w:ascii="宋体"/>
                <w:sz w:val="21"/>
              </w:rPr>
              <w:t>2019/4/16 </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0" w:right="0"/>
              <w:jc w:val="center"/>
              <w:rPr>
                <w:rFonts w:ascii="宋体" w:hAnsi="宋体" w:cs="宋体" w:eastAsia="宋体" w:hint="default"/>
                <w:sz w:val="21"/>
                <w:szCs w:val="21"/>
              </w:rPr>
            </w:pPr>
            <w:r>
              <w:rPr>
                <w:rFonts w:ascii="宋体" w:hAnsi="宋体" w:cs="宋体" w:eastAsia="宋体" w:hint="default"/>
                <w:sz w:val="21"/>
                <w:szCs w:val="21"/>
              </w:rPr>
              <w:t>河南商丘</w:t>
            </w:r>
            <w:r>
              <w:rPr>
                <w:rFonts w:ascii="宋体" w:hAnsi="宋体" w:cs="宋体" w:eastAsia="宋体" w:hint="default"/>
                <w:sz w:val="21"/>
                <w:szCs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340" w:right="0"/>
              <w:jc w:val="left"/>
              <w:rPr>
                <w:rFonts w:ascii="宋体" w:hAnsi="宋体" w:cs="宋体" w:eastAsia="宋体" w:hint="default"/>
                <w:sz w:val="21"/>
                <w:szCs w:val="21"/>
              </w:rPr>
            </w:pPr>
            <w:r>
              <w:rPr>
                <w:rFonts w:ascii="宋体" w:hAnsi="宋体" w:cs="宋体" w:eastAsia="宋体" w:hint="default"/>
                <w:sz w:val="21"/>
                <w:szCs w:val="21"/>
              </w:rPr>
              <w:t>100</w:t>
            </w:r>
            <w:r>
              <w:rPr>
                <w:rFonts w:ascii="宋体" w:hAnsi="宋体" w:cs="宋体" w:eastAsia="宋体" w:hint="default"/>
                <w:spacing w:val="-50"/>
                <w:sz w:val="21"/>
                <w:szCs w:val="21"/>
              </w:rPr>
              <w:t> </w:t>
            </w:r>
            <w:r>
              <w:rPr>
                <w:rFonts w:ascii="宋体" w:hAnsi="宋体" w:cs="宋体" w:eastAsia="宋体" w:hint="default"/>
                <w:spacing w:val="-3"/>
                <w:sz w:val="21"/>
                <w:szCs w:val="21"/>
              </w:rPr>
              <w:t>万</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9"/>
              <w:jc w:val="left"/>
              <w:rPr>
                <w:rFonts w:ascii="宋体" w:hAnsi="宋体" w:cs="宋体" w:eastAsia="宋体" w:hint="default"/>
                <w:sz w:val="21"/>
                <w:szCs w:val="21"/>
              </w:rPr>
            </w:pPr>
            <w:r>
              <w:rPr>
                <w:rFonts w:ascii="宋体" w:hAnsi="宋体" w:cs="宋体" w:eastAsia="宋体" w:hint="default"/>
                <w:spacing w:val="-5"/>
                <w:sz w:val="21"/>
                <w:szCs w:val="21"/>
              </w:rPr>
              <w:t>光伏电站的开发、维护及运</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营等业务</w:t>
            </w:r>
            <w:r>
              <w:rPr>
                <w:rFonts w:ascii="宋体" w:hAnsi="宋体" w:cs="宋体" w:eastAsia="宋体" w:hint="default"/>
                <w:sz w:val="21"/>
                <w:szCs w:val="21"/>
              </w:rPr>
              <w:t> </w:t>
            </w:r>
          </w:p>
        </w:tc>
      </w:tr>
      <w:tr>
        <w:trPr>
          <w:trHeight w:val="636" w:hRule="exact"/>
        </w:trPr>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100" w:right="0"/>
              <w:jc w:val="center"/>
              <w:rPr>
                <w:rFonts w:ascii="宋体" w:hAnsi="宋体" w:cs="宋体" w:eastAsia="宋体" w:hint="default"/>
                <w:sz w:val="21"/>
                <w:szCs w:val="21"/>
              </w:rPr>
            </w:pPr>
            <w:r>
              <w:rPr>
                <w:rFonts w:ascii="宋体"/>
                <w:sz w:val="21"/>
              </w:rPr>
              <w:t>3 </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23"/>
              <w:jc w:val="left"/>
              <w:rPr>
                <w:rFonts w:ascii="宋体" w:hAnsi="宋体" w:cs="宋体" w:eastAsia="宋体" w:hint="default"/>
                <w:sz w:val="21"/>
                <w:szCs w:val="21"/>
              </w:rPr>
            </w:pPr>
            <w:r>
              <w:rPr>
                <w:rFonts w:ascii="宋体" w:hAnsi="宋体" w:cs="宋体" w:eastAsia="宋体" w:hint="default"/>
                <w:spacing w:val="-2"/>
                <w:sz w:val="21"/>
                <w:szCs w:val="21"/>
              </w:rPr>
              <w:t>德州永洋农业科技有限公</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司</w:t>
            </w:r>
            <w:r>
              <w:rPr>
                <w:rFonts w:ascii="宋体" w:hAnsi="宋体" w:cs="宋体" w:eastAsia="宋体" w:hint="default"/>
                <w:sz w:val="21"/>
                <w:szCs w:val="21"/>
              </w:rPr>
              <w:t> </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100" w:right="0"/>
              <w:jc w:val="center"/>
              <w:rPr>
                <w:rFonts w:ascii="宋体" w:hAnsi="宋体" w:cs="宋体" w:eastAsia="宋体" w:hint="default"/>
                <w:sz w:val="21"/>
                <w:szCs w:val="21"/>
              </w:rPr>
            </w:pPr>
            <w:r>
              <w:rPr>
                <w:rFonts w:ascii="宋体"/>
                <w:sz w:val="21"/>
              </w:rPr>
              <w:t>2019/4/23 </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100" w:right="0"/>
              <w:jc w:val="center"/>
              <w:rPr>
                <w:rFonts w:ascii="宋体" w:hAnsi="宋体" w:cs="宋体" w:eastAsia="宋体" w:hint="default"/>
                <w:sz w:val="21"/>
                <w:szCs w:val="21"/>
              </w:rPr>
            </w:pPr>
            <w:r>
              <w:rPr>
                <w:rFonts w:ascii="宋体" w:hAnsi="宋体" w:cs="宋体" w:eastAsia="宋体" w:hint="default"/>
                <w:sz w:val="21"/>
                <w:szCs w:val="21"/>
              </w:rPr>
              <w:t>山东德州</w:t>
            </w:r>
            <w:r>
              <w:rPr>
                <w:rFonts w:ascii="宋体" w:hAnsi="宋体" w:cs="宋体" w:eastAsia="宋体" w:hint="default"/>
                <w:sz w:val="21"/>
                <w:szCs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340" w:right="0"/>
              <w:jc w:val="left"/>
              <w:rPr>
                <w:rFonts w:ascii="宋体" w:hAnsi="宋体" w:cs="宋体" w:eastAsia="宋体" w:hint="default"/>
                <w:sz w:val="21"/>
                <w:szCs w:val="21"/>
              </w:rPr>
            </w:pPr>
            <w:r>
              <w:rPr>
                <w:rFonts w:ascii="宋体" w:hAnsi="宋体" w:cs="宋体" w:eastAsia="宋体" w:hint="default"/>
                <w:sz w:val="21"/>
                <w:szCs w:val="21"/>
              </w:rPr>
              <w:t>500</w:t>
            </w:r>
            <w:r>
              <w:rPr>
                <w:rFonts w:ascii="宋体" w:hAnsi="宋体" w:cs="宋体" w:eastAsia="宋体" w:hint="default"/>
                <w:spacing w:val="-50"/>
                <w:sz w:val="21"/>
                <w:szCs w:val="21"/>
              </w:rPr>
              <w:t> </w:t>
            </w:r>
            <w:r>
              <w:rPr>
                <w:rFonts w:ascii="宋体" w:hAnsi="宋体" w:cs="宋体" w:eastAsia="宋体" w:hint="default"/>
                <w:spacing w:val="-3"/>
                <w:sz w:val="21"/>
                <w:szCs w:val="21"/>
              </w:rPr>
              <w:t>万</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9"/>
              <w:jc w:val="left"/>
              <w:rPr>
                <w:rFonts w:ascii="宋体" w:hAnsi="宋体" w:cs="宋体" w:eastAsia="宋体" w:hint="default"/>
                <w:sz w:val="21"/>
                <w:szCs w:val="21"/>
              </w:rPr>
            </w:pPr>
            <w:r>
              <w:rPr>
                <w:rFonts w:ascii="宋体" w:hAnsi="宋体" w:cs="宋体" w:eastAsia="宋体" w:hint="default"/>
                <w:spacing w:val="-5"/>
                <w:sz w:val="21"/>
                <w:szCs w:val="21"/>
              </w:rPr>
              <w:t>农业生产、种植加工、农光</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互补等相关业务</w:t>
            </w:r>
            <w:r>
              <w:rPr>
                <w:rFonts w:ascii="宋体" w:hAnsi="宋体" w:cs="宋体" w:eastAsia="宋体" w:hint="default"/>
                <w:sz w:val="21"/>
                <w:szCs w:val="21"/>
              </w:rPr>
              <w:t> </w:t>
            </w:r>
          </w:p>
        </w:tc>
      </w:tr>
      <w:tr>
        <w:trPr>
          <w:trHeight w:val="634" w:hRule="exact"/>
        </w:trPr>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0" w:right="0"/>
              <w:jc w:val="center"/>
              <w:rPr>
                <w:rFonts w:ascii="宋体" w:hAnsi="宋体" w:cs="宋体" w:eastAsia="宋体" w:hint="default"/>
                <w:sz w:val="21"/>
                <w:szCs w:val="21"/>
              </w:rPr>
            </w:pPr>
            <w:r>
              <w:rPr>
                <w:rFonts w:ascii="宋体"/>
                <w:sz w:val="21"/>
              </w:rPr>
              <w:t>4 </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81" w:right="0"/>
              <w:jc w:val="center"/>
              <w:rPr>
                <w:rFonts w:ascii="宋体" w:hAnsi="宋体" w:cs="宋体" w:eastAsia="宋体" w:hint="default"/>
                <w:sz w:val="21"/>
                <w:szCs w:val="21"/>
              </w:rPr>
            </w:pPr>
            <w:r>
              <w:rPr>
                <w:rFonts w:ascii="宋体" w:hAnsi="宋体" w:cs="宋体" w:eastAsia="宋体" w:hint="default"/>
                <w:sz w:val="21"/>
                <w:szCs w:val="21"/>
              </w:rPr>
              <w:t>东营永旭新能源有限公司</w:t>
            </w:r>
            <w:r>
              <w:rPr>
                <w:rFonts w:ascii="宋体" w:hAnsi="宋体" w:cs="宋体" w:eastAsia="宋体" w:hint="default"/>
                <w:sz w:val="21"/>
                <w:szCs w:val="21"/>
              </w:rPr>
              <w:t> </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0" w:right="0"/>
              <w:jc w:val="center"/>
              <w:rPr>
                <w:rFonts w:ascii="宋体" w:hAnsi="宋体" w:cs="宋体" w:eastAsia="宋体" w:hint="default"/>
                <w:sz w:val="21"/>
                <w:szCs w:val="21"/>
              </w:rPr>
            </w:pPr>
            <w:r>
              <w:rPr>
                <w:rFonts w:ascii="宋体"/>
                <w:sz w:val="21"/>
              </w:rPr>
              <w:t>2019/4/26 </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0" w:right="0"/>
              <w:jc w:val="center"/>
              <w:rPr>
                <w:rFonts w:ascii="宋体" w:hAnsi="宋体" w:cs="宋体" w:eastAsia="宋体" w:hint="default"/>
                <w:sz w:val="21"/>
                <w:szCs w:val="21"/>
              </w:rPr>
            </w:pPr>
            <w:r>
              <w:rPr>
                <w:rFonts w:ascii="宋体" w:hAnsi="宋体" w:cs="宋体" w:eastAsia="宋体" w:hint="default"/>
                <w:sz w:val="21"/>
                <w:szCs w:val="21"/>
              </w:rPr>
              <w:t>山东东营</w:t>
            </w:r>
            <w:r>
              <w:rPr>
                <w:rFonts w:ascii="宋体" w:hAnsi="宋体" w:cs="宋体" w:eastAsia="宋体" w:hint="default"/>
                <w:sz w:val="21"/>
                <w:szCs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340" w:right="0"/>
              <w:jc w:val="left"/>
              <w:rPr>
                <w:rFonts w:ascii="宋体" w:hAnsi="宋体" w:cs="宋体" w:eastAsia="宋体" w:hint="default"/>
                <w:sz w:val="21"/>
                <w:szCs w:val="21"/>
              </w:rPr>
            </w:pPr>
            <w:r>
              <w:rPr>
                <w:rFonts w:ascii="宋体" w:hAnsi="宋体" w:cs="宋体" w:eastAsia="宋体" w:hint="default"/>
                <w:sz w:val="21"/>
                <w:szCs w:val="21"/>
              </w:rPr>
              <w:t>100</w:t>
            </w:r>
            <w:r>
              <w:rPr>
                <w:rFonts w:ascii="宋体" w:hAnsi="宋体" w:cs="宋体" w:eastAsia="宋体" w:hint="default"/>
                <w:spacing w:val="-50"/>
                <w:sz w:val="21"/>
                <w:szCs w:val="21"/>
              </w:rPr>
              <w:t> </w:t>
            </w:r>
            <w:r>
              <w:rPr>
                <w:rFonts w:ascii="宋体" w:hAnsi="宋体" w:cs="宋体" w:eastAsia="宋体" w:hint="default"/>
                <w:spacing w:val="-3"/>
                <w:sz w:val="21"/>
                <w:szCs w:val="21"/>
              </w:rPr>
              <w:t>万</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9"/>
              <w:jc w:val="left"/>
              <w:rPr>
                <w:rFonts w:ascii="宋体" w:hAnsi="宋体" w:cs="宋体" w:eastAsia="宋体" w:hint="default"/>
                <w:sz w:val="21"/>
                <w:szCs w:val="21"/>
              </w:rPr>
            </w:pPr>
            <w:r>
              <w:rPr>
                <w:rFonts w:ascii="宋体" w:hAnsi="宋体" w:cs="宋体" w:eastAsia="宋体" w:hint="default"/>
                <w:spacing w:val="-5"/>
                <w:sz w:val="21"/>
                <w:szCs w:val="21"/>
              </w:rPr>
              <w:t>太阳能相关产品研发、销售</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与运营管理及相关业务</w:t>
            </w:r>
            <w:r>
              <w:rPr>
                <w:rFonts w:ascii="宋体" w:hAnsi="宋体" w:cs="宋体" w:eastAsia="宋体" w:hint="default"/>
                <w:sz w:val="21"/>
                <w:szCs w:val="21"/>
              </w:rPr>
              <w:t> </w:t>
            </w:r>
          </w:p>
        </w:tc>
      </w:tr>
      <w:tr>
        <w:trPr>
          <w:trHeight w:val="634" w:hRule="exact"/>
        </w:trPr>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0" w:right="0"/>
              <w:jc w:val="center"/>
              <w:rPr>
                <w:rFonts w:ascii="宋体" w:hAnsi="宋体" w:cs="宋体" w:eastAsia="宋体" w:hint="default"/>
                <w:sz w:val="21"/>
                <w:szCs w:val="21"/>
              </w:rPr>
            </w:pPr>
            <w:r>
              <w:rPr>
                <w:rFonts w:ascii="宋体"/>
                <w:sz w:val="21"/>
              </w:rPr>
              <w:t>5 </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23"/>
              <w:jc w:val="left"/>
              <w:rPr>
                <w:rFonts w:ascii="宋体" w:hAnsi="宋体" w:cs="宋体" w:eastAsia="宋体" w:hint="default"/>
                <w:sz w:val="21"/>
                <w:szCs w:val="21"/>
              </w:rPr>
            </w:pPr>
            <w:r>
              <w:rPr>
                <w:rFonts w:ascii="宋体" w:hAnsi="宋体" w:cs="宋体" w:eastAsia="宋体" w:hint="default"/>
                <w:spacing w:val="-2"/>
                <w:sz w:val="21"/>
                <w:szCs w:val="21"/>
              </w:rPr>
              <w:t>滨州市沾化区永盛新能源</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有限公司</w:t>
            </w:r>
            <w:r>
              <w:rPr>
                <w:rFonts w:ascii="宋体" w:hAnsi="宋体" w:cs="宋体" w:eastAsia="宋体" w:hint="default"/>
                <w:sz w:val="21"/>
                <w:szCs w:val="21"/>
              </w:rPr>
              <w:t> </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0" w:right="0"/>
              <w:jc w:val="center"/>
              <w:rPr>
                <w:rFonts w:ascii="宋体" w:hAnsi="宋体" w:cs="宋体" w:eastAsia="宋体" w:hint="default"/>
                <w:sz w:val="21"/>
                <w:szCs w:val="21"/>
              </w:rPr>
            </w:pPr>
            <w:r>
              <w:rPr>
                <w:rFonts w:ascii="宋体"/>
                <w:sz w:val="21"/>
              </w:rPr>
              <w:t>2019/5/15 </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0" w:right="0"/>
              <w:jc w:val="center"/>
              <w:rPr>
                <w:rFonts w:ascii="宋体" w:hAnsi="宋体" w:cs="宋体" w:eastAsia="宋体" w:hint="default"/>
                <w:sz w:val="21"/>
                <w:szCs w:val="21"/>
              </w:rPr>
            </w:pPr>
            <w:r>
              <w:rPr>
                <w:rFonts w:ascii="宋体" w:hAnsi="宋体" w:cs="宋体" w:eastAsia="宋体" w:hint="default"/>
                <w:sz w:val="21"/>
                <w:szCs w:val="21"/>
              </w:rPr>
              <w:t>山东滨州</w:t>
            </w:r>
            <w:r>
              <w:rPr>
                <w:rFonts w:ascii="宋体" w:hAnsi="宋体" w:cs="宋体" w:eastAsia="宋体" w:hint="default"/>
                <w:sz w:val="21"/>
                <w:szCs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340" w:right="0"/>
              <w:jc w:val="left"/>
              <w:rPr>
                <w:rFonts w:ascii="宋体" w:hAnsi="宋体" w:cs="宋体" w:eastAsia="宋体" w:hint="default"/>
                <w:sz w:val="21"/>
                <w:szCs w:val="21"/>
              </w:rPr>
            </w:pPr>
            <w:r>
              <w:rPr>
                <w:rFonts w:ascii="宋体" w:hAnsi="宋体" w:cs="宋体" w:eastAsia="宋体" w:hint="default"/>
                <w:sz w:val="21"/>
                <w:szCs w:val="21"/>
              </w:rPr>
              <w:t>100</w:t>
            </w:r>
            <w:r>
              <w:rPr>
                <w:rFonts w:ascii="宋体" w:hAnsi="宋体" w:cs="宋体" w:eastAsia="宋体" w:hint="default"/>
                <w:spacing w:val="-50"/>
                <w:sz w:val="21"/>
                <w:szCs w:val="21"/>
              </w:rPr>
              <w:t> </w:t>
            </w:r>
            <w:r>
              <w:rPr>
                <w:rFonts w:ascii="宋体" w:hAnsi="宋体" w:cs="宋体" w:eastAsia="宋体" w:hint="default"/>
                <w:spacing w:val="-3"/>
                <w:sz w:val="21"/>
                <w:szCs w:val="21"/>
              </w:rPr>
              <w:t>万</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9"/>
              <w:jc w:val="left"/>
              <w:rPr>
                <w:rFonts w:ascii="宋体" w:hAnsi="宋体" w:cs="宋体" w:eastAsia="宋体" w:hint="default"/>
                <w:sz w:val="21"/>
                <w:szCs w:val="21"/>
              </w:rPr>
            </w:pPr>
            <w:r>
              <w:rPr>
                <w:rFonts w:ascii="宋体" w:hAnsi="宋体" w:cs="宋体" w:eastAsia="宋体" w:hint="default"/>
                <w:spacing w:val="-5"/>
                <w:sz w:val="21"/>
                <w:szCs w:val="21"/>
              </w:rPr>
              <w:t>太阳能相关产品研发、销售</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与运营管理及相关业务</w:t>
            </w:r>
            <w:r>
              <w:rPr>
                <w:rFonts w:ascii="宋体" w:hAnsi="宋体" w:cs="宋体" w:eastAsia="宋体" w:hint="default"/>
                <w:sz w:val="21"/>
                <w:szCs w:val="21"/>
              </w:rPr>
              <w:t> </w:t>
            </w:r>
          </w:p>
        </w:tc>
      </w:tr>
      <w:tr>
        <w:trPr>
          <w:trHeight w:val="634" w:hRule="exact"/>
        </w:trPr>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0" w:right="0"/>
              <w:jc w:val="center"/>
              <w:rPr>
                <w:rFonts w:ascii="宋体" w:hAnsi="宋体" w:cs="宋体" w:eastAsia="宋体" w:hint="default"/>
                <w:sz w:val="21"/>
                <w:szCs w:val="21"/>
              </w:rPr>
            </w:pPr>
            <w:r>
              <w:rPr>
                <w:rFonts w:ascii="宋体"/>
                <w:sz w:val="21"/>
              </w:rPr>
              <w:t>6 </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23"/>
              <w:jc w:val="left"/>
              <w:rPr>
                <w:rFonts w:ascii="宋体" w:hAnsi="宋体" w:cs="宋体" w:eastAsia="宋体" w:hint="default"/>
                <w:sz w:val="21"/>
                <w:szCs w:val="21"/>
              </w:rPr>
            </w:pPr>
            <w:r>
              <w:rPr>
                <w:rFonts w:ascii="宋体" w:hAnsi="宋体" w:cs="宋体" w:eastAsia="宋体" w:hint="default"/>
                <w:spacing w:val="-2"/>
                <w:sz w:val="21"/>
                <w:szCs w:val="21"/>
              </w:rPr>
              <w:t>冠县虹海农业科技有限公</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司</w:t>
            </w:r>
            <w:r>
              <w:rPr>
                <w:rFonts w:ascii="宋体" w:hAnsi="宋体" w:cs="宋体" w:eastAsia="宋体" w:hint="default"/>
                <w:sz w:val="21"/>
                <w:szCs w:val="21"/>
              </w:rPr>
              <w:t> </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0" w:right="0"/>
              <w:jc w:val="center"/>
              <w:rPr>
                <w:rFonts w:ascii="宋体" w:hAnsi="宋体" w:cs="宋体" w:eastAsia="宋体" w:hint="default"/>
                <w:sz w:val="21"/>
                <w:szCs w:val="21"/>
              </w:rPr>
            </w:pPr>
            <w:r>
              <w:rPr>
                <w:rFonts w:ascii="宋体"/>
                <w:sz w:val="21"/>
              </w:rPr>
              <w:t>2019/6/27 </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0" w:right="0"/>
              <w:jc w:val="center"/>
              <w:rPr>
                <w:rFonts w:ascii="宋体" w:hAnsi="宋体" w:cs="宋体" w:eastAsia="宋体" w:hint="default"/>
                <w:sz w:val="21"/>
                <w:szCs w:val="21"/>
              </w:rPr>
            </w:pPr>
            <w:r>
              <w:rPr>
                <w:rFonts w:ascii="宋体" w:hAnsi="宋体" w:cs="宋体" w:eastAsia="宋体" w:hint="default"/>
                <w:sz w:val="21"/>
                <w:szCs w:val="21"/>
              </w:rPr>
              <w:t>山东聊城</w:t>
            </w:r>
            <w:r>
              <w:rPr>
                <w:rFonts w:ascii="宋体" w:hAnsi="宋体" w:cs="宋体" w:eastAsia="宋体" w:hint="default"/>
                <w:sz w:val="21"/>
                <w:szCs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340" w:right="0"/>
              <w:jc w:val="left"/>
              <w:rPr>
                <w:rFonts w:ascii="宋体" w:hAnsi="宋体" w:cs="宋体" w:eastAsia="宋体" w:hint="default"/>
                <w:sz w:val="21"/>
                <w:szCs w:val="21"/>
              </w:rPr>
            </w:pPr>
            <w:r>
              <w:rPr>
                <w:rFonts w:ascii="宋体" w:hAnsi="宋体" w:cs="宋体" w:eastAsia="宋体" w:hint="default"/>
                <w:sz w:val="21"/>
                <w:szCs w:val="21"/>
              </w:rPr>
              <w:t>100</w:t>
            </w:r>
            <w:r>
              <w:rPr>
                <w:rFonts w:ascii="宋体" w:hAnsi="宋体" w:cs="宋体" w:eastAsia="宋体" w:hint="default"/>
                <w:spacing w:val="-50"/>
                <w:sz w:val="21"/>
                <w:szCs w:val="21"/>
              </w:rPr>
              <w:t> </w:t>
            </w:r>
            <w:r>
              <w:rPr>
                <w:rFonts w:ascii="宋体" w:hAnsi="宋体" w:cs="宋体" w:eastAsia="宋体" w:hint="default"/>
                <w:spacing w:val="-3"/>
                <w:sz w:val="21"/>
                <w:szCs w:val="21"/>
              </w:rPr>
              <w:t>万</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9"/>
              <w:jc w:val="left"/>
              <w:rPr>
                <w:rFonts w:ascii="宋体" w:hAnsi="宋体" w:cs="宋体" w:eastAsia="宋体" w:hint="default"/>
                <w:sz w:val="21"/>
                <w:szCs w:val="21"/>
              </w:rPr>
            </w:pPr>
            <w:r>
              <w:rPr>
                <w:rFonts w:ascii="宋体" w:hAnsi="宋体" w:cs="宋体" w:eastAsia="宋体" w:hint="default"/>
                <w:spacing w:val="-5"/>
                <w:sz w:val="21"/>
                <w:szCs w:val="21"/>
              </w:rPr>
              <w:t>农业生产、种植加工、农光</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互补等相关业务</w:t>
            </w:r>
            <w:r>
              <w:rPr>
                <w:rFonts w:ascii="宋体" w:hAnsi="宋体" w:cs="宋体" w:eastAsia="宋体" w:hint="default"/>
                <w:sz w:val="21"/>
                <w:szCs w:val="21"/>
              </w:rPr>
              <w:t> </w:t>
            </w:r>
          </w:p>
        </w:tc>
      </w:tr>
      <w:tr>
        <w:trPr>
          <w:trHeight w:val="634" w:hRule="exact"/>
        </w:trPr>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0" w:right="0"/>
              <w:jc w:val="center"/>
              <w:rPr>
                <w:rFonts w:ascii="宋体" w:hAnsi="宋体" w:cs="宋体" w:eastAsia="宋体" w:hint="default"/>
                <w:sz w:val="21"/>
                <w:szCs w:val="21"/>
              </w:rPr>
            </w:pPr>
            <w:r>
              <w:rPr>
                <w:rFonts w:ascii="宋体"/>
                <w:sz w:val="21"/>
              </w:rPr>
              <w:t>7 </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23"/>
              <w:jc w:val="left"/>
              <w:rPr>
                <w:rFonts w:ascii="宋体" w:hAnsi="宋体" w:cs="宋体" w:eastAsia="宋体" w:hint="default"/>
                <w:sz w:val="21"/>
                <w:szCs w:val="21"/>
              </w:rPr>
            </w:pPr>
            <w:r>
              <w:rPr>
                <w:rFonts w:ascii="宋体" w:hAnsi="宋体" w:cs="宋体" w:eastAsia="宋体" w:hint="default"/>
                <w:spacing w:val="-2"/>
                <w:sz w:val="21"/>
                <w:szCs w:val="21"/>
              </w:rPr>
              <w:t>秦皇岛市青远新能源科技</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有限公司</w:t>
            </w:r>
            <w:r>
              <w:rPr>
                <w:rFonts w:ascii="宋体" w:hAnsi="宋体" w:cs="宋体" w:eastAsia="宋体" w:hint="default"/>
                <w:sz w:val="21"/>
                <w:szCs w:val="21"/>
              </w:rPr>
              <w:t> </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0" w:right="0"/>
              <w:jc w:val="center"/>
              <w:rPr>
                <w:rFonts w:ascii="宋体" w:hAnsi="宋体" w:cs="宋体" w:eastAsia="宋体" w:hint="default"/>
                <w:sz w:val="21"/>
                <w:szCs w:val="21"/>
              </w:rPr>
            </w:pPr>
            <w:r>
              <w:rPr>
                <w:rFonts w:ascii="宋体"/>
                <w:sz w:val="21"/>
              </w:rPr>
              <w:t>2019/6/27 </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441" w:right="127" w:hanging="315"/>
              <w:jc w:val="left"/>
              <w:rPr>
                <w:rFonts w:ascii="宋体" w:hAnsi="宋体" w:cs="宋体" w:eastAsia="宋体" w:hint="default"/>
                <w:sz w:val="21"/>
                <w:szCs w:val="21"/>
              </w:rPr>
            </w:pPr>
            <w:r>
              <w:rPr>
                <w:rFonts w:ascii="宋体" w:hAnsi="宋体" w:cs="宋体" w:eastAsia="宋体" w:hint="default"/>
                <w:sz w:val="21"/>
                <w:szCs w:val="21"/>
              </w:rPr>
              <w:t>河北秦皇</w:t>
            </w:r>
            <w:r>
              <w:rPr>
                <w:rFonts w:ascii="宋体" w:hAnsi="宋体" w:cs="宋体" w:eastAsia="宋体" w:hint="default"/>
                <w:w w:val="100"/>
                <w:sz w:val="21"/>
                <w:szCs w:val="21"/>
              </w:rPr>
              <w:t> </w:t>
            </w:r>
            <w:r>
              <w:rPr>
                <w:rFonts w:ascii="宋体" w:hAnsi="宋体" w:cs="宋体" w:eastAsia="宋体" w:hint="default"/>
                <w:sz w:val="21"/>
                <w:szCs w:val="21"/>
              </w:rPr>
              <w:t>岛</w:t>
            </w:r>
            <w:r>
              <w:rPr>
                <w:rFonts w:ascii="宋体" w:hAnsi="宋体" w:cs="宋体" w:eastAsia="宋体" w:hint="default"/>
                <w:sz w:val="21"/>
                <w:szCs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90" w:right="0"/>
              <w:jc w:val="left"/>
              <w:rPr>
                <w:rFonts w:ascii="宋体" w:hAnsi="宋体" w:cs="宋体" w:eastAsia="宋体" w:hint="default"/>
                <w:sz w:val="21"/>
                <w:szCs w:val="21"/>
              </w:rPr>
            </w:pPr>
            <w:r>
              <w:rPr>
                <w:rFonts w:ascii="宋体" w:hAnsi="宋体" w:cs="宋体" w:eastAsia="宋体" w:hint="default"/>
                <w:sz w:val="21"/>
                <w:szCs w:val="21"/>
              </w:rPr>
              <w:t>1000</w:t>
            </w:r>
            <w:r>
              <w:rPr>
                <w:rFonts w:ascii="宋体" w:hAnsi="宋体" w:cs="宋体" w:eastAsia="宋体" w:hint="default"/>
                <w:spacing w:val="-52"/>
                <w:sz w:val="21"/>
                <w:szCs w:val="21"/>
              </w:rPr>
              <w:t> </w:t>
            </w:r>
            <w:r>
              <w:rPr>
                <w:rFonts w:ascii="宋体" w:hAnsi="宋体" w:cs="宋体" w:eastAsia="宋体" w:hint="default"/>
                <w:spacing w:val="-3"/>
                <w:sz w:val="21"/>
                <w:szCs w:val="21"/>
              </w:rPr>
              <w:t>万</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9"/>
              <w:jc w:val="left"/>
              <w:rPr>
                <w:rFonts w:ascii="宋体" w:hAnsi="宋体" w:cs="宋体" w:eastAsia="宋体" w:hint="default"/>
                <w:sz w:val="21"/>
                <w:szCs w:val="21"/>
              </w:rPr>
            </w:pPr>
            <w:r>
              <w:rPr>
                <w:rFonts w:ascii="宋体" w:hAnsi="宋体" w:cs="宋体" w:eastAsia="宋体" w:hint="default"/>
                <w:spacing w:val="-5"/>
                <w:sz w:val="21"/>
                <w:szCs w:val="21"/>
              </w:rPr>
              <w:t>太阳能相关产品研发、销售</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与运营管理及相关业务</w:t>
            </w:r>
            <w:r>
              <w:rPr>
                <w:rFonts w:ascii="宋体" w:hAnsi="宋体" w:cs="宋体" w:eastAsia="宋体" w:hint="default"/>
                <w:sz w:val="21"/>
                <w:szCs w:val="21"/>
              </w:rPr>
              <w:t> </w:t>
            </w:r>
          </w:p>
        </w:tc>
      </w:tr>
      <w:tr>
        <w:trPr>
          <w:trHeight w:val="634" w:hRule="exact"/>
        </w:trPr>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00" w:right="0"/>
              <w:jc w:val="center"/>
              <w:rPr>
                <w:rFonts w:ascii="宋体" w:hAnsi="宋体" w:cs="宋体" w:eastAsia="宋体" w:hint="default"/>
                <w:sz w:val="21"/>
                <w:szCs w:val="21"/>
              </w:rPr>
            </w:pPr>
            <w:r>
              <w:rPr>
                <w:rFonts w:ascii="宋体"/>
                <w:sz w:val="21"/>
              </w:rPr>
              <w:t>8 </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23"/>
              <w:jc w:val="left"/>
              <w:rPr>
                <w:rFonts w:ascii="宋体" w:hAnsi="宋体" w:cs="宋体" w:eastAsia="宋体" w:hint="default"/>
                <w:sz w:val="21"/>
                <w:szCs w:val="21"/>
              </w:rPr>
            </w:pPr>
            <w:r>
              <w:rPr>
                <w:rFonts w:ascii="宋体" w:hAnsi="宋体" w:cs="宋体" w:eastAsia="宋体" w:hint="default"/>
                <w:spacing w:val="-2"/>
                <w:sz w:val="21"/>
                <w:szCs w:val="21"/>
              </w:rPr>
              <w:t>青龙满族自治县青茂太阳</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能有限公司</w:t>
            </w:r>
            <w:r>
              <w:rPr>
                <w:rFonts w:ascii="宋体" w:hAnsi="宋体" w:cs="宋体" w:eastAsia="宋体" w:hint="default"/>
                <w:sz w:val="21"/>
                <w:szCs w:val="21"/>
              </w:rPr>
              <w:t> </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00" w:right="0"/>
              <w:jc w:val="center"/>
              <w:rPr>
                <w:rFonts w:ascii="宋体" w:hAnsi="宋体" w:cs="宋体" w:eastAsia="宋体" w:hint="default"/>
                <w:sz w:val="21"/>
                <w:szCs w:val="21"/>
              </w:rPr>
            </w:pPr>
            <w:r>
              <w:rPr>
                <w:rFonts w:ascii="宋体"/>
                <w:sz w:val="21"/>
              </w:rPr>
              <w:t>2019/7/3 </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336" w:right="127" w:hanging="209"/>
              <w:jc w:val="left"/>
              <w:rPr>
                <w:rFonts w:ascii="宋体" w:hAnsi="宋体" w:cs="宋体" w:eastAsia="宋体" w:hint="default"/>
                <w:sz w:val="21"/>
                <w:szCs w:val="21"/>
              </w:rPr>
            </w:pPr>
            <w:r>
              <w:rPr>
                <w:rFonts w:ascii="宋体" w:hAnsi="宋体" w:cs="宋体" w:eastAsia="宋体" w:hint="default"/>
                <w:sz w:val="21"/>
                <w:szCs w:val="21"/>
              </w:rPr>
              <w:t>河北省秦</w:t>
            </w:r>
            <w:r>
              <w:rPr>
                <w:rFonts w:ascii="宋体" w:hAnsi="宋体" w:cs="宋体" w:eastAsia="宋体" w:hint="default"/>
                <w:w w:val="100"/>
                <w:sz w:val="21"/>
                <w:szCs w:val="21"/>
              </w:rPr>
              <w:t> </w:t>
            </w:r>
            <w:r>
              <w:rPr>
                <w:rFonts w:ascii="宋体" w:hAnsi="宋体" w:cs="宋体" w:eastAsia="宋体" w:hint="default"/>
                <w:sz w:val="21"/>
                <w:szCs w:val="21"/>
              </w:rPr>
              <w:t>皇岛</w:t>
            </w:r>
            <w:r>
              <w:rPr>
                <w:rFonts w:ascii="宋体" w:hAnsi="宋体" w:cs="宋体" w:eastAsia="宋体" w:hint="default"/>
                <w:sz w:val="21"/>
                <w:szCs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340" w:right="0"/>
              <w:jc w:val="left"/>
              <w:rPr>
                <w:rFonts w:ascii="宋体" w:hAnsi="宋体" w:cs="宋体" w:eastAsia="宋体" w:hint="default"/>
                <w:sz w:val="21"/>
                <w:szCs w:val="21"/>
              </w:rPr>
            </w:pPr>
            <w:r>
              <w:rPr>
                <w:rFonts w:ascii="宋体" w:hAnsi="宋体" w:cs="宋体" w:eastAsia="宋体" w:hint="default"/>
                <w:sz w:val="21"/>
                <w:szCs w:val="21"/>
              </w:rPr>
              <w:t>500</w:t>
            </w:r>
            <w:r>
              <w:rPr>
                <w:rFonts w:ascii="宋体" w:hAnsi="宋体" w:cs="宋体" w:eastAsia="宋体" w:hint="default"/>
                <w:spacing w:val="-50"/>
                <w:sz w:val="21"/>
                <w:szCs w:val="21"/>
              </w:rPr>
              <w:t> </w:t>
            </w:r>
            <w:r>
              <w:rPr>
                <w:rFonts w:ascii="宋体" w:hAnsi="宋体" w:cs="宋体" w:eastAsia="宋体" w:hint="default"/>
                <w:spacing w:val="-3"/>
                <w:sz w:val="21"/>
                <w:szCs w:val="21"/>
              </w:rPr>
              <w:t>万</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9"/>
              <w:jc w:val="left"/>
              <w:rPr>
                <w:rFonts w:ascii="宋体" w:hAnsi="宋体" w:cs="宋体" w:eastAsia="宋体" w:hint="default"/>
                <w:sz w:val="21"/>
                <w:szCs w:val="21"/>
              </w:rPr>
            </w:pPr>
            <w:r>
              <w:rPr>
                <w:rFonts w:ascii="宋体" w:hAnsi="宋体" w:cs="宋体" w:eastAsia="宋体" w:hint="default"/>
                <w:spacing w:val="-5"/>
                <w:sz w:val="21"/>
                <w:szCs w:val="21"/>
              </w:rPr>
              <w:t>太阳能相关产品研发、销售</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与运营管理及相关业务</w:t>
            </w:r>
            <w:r>
              <w:rPr>
                <w:rFonts w:ascii="宋体" w:hAnsi="宋体" w:cs="宋体" w:eastAsia="宋体" w:hint="default"/>
                <w:sz w:val="21"/>
                <w:szCs w:val="21"/>
              </w:rPr>
              <w:t> </w:t>
            </w:r>
          </w:p>
        </w:tc>
      </w:tr>
      <w:tr>
        <w:trPr>
          <w:trHeight w:val="636" w:hRule="exact"/>
        </w:trPr>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100" w:right="0"/>
              <w:jc w:val="center"/>
              <w:rPr>
                <w:rFonts w:ascii="宋体" w:hAnsi="宋体" w:cs="宋体" w:eastAsia="宋体" w:hint="default"/>
                <w:sz w:val="21"/>
                <w:szCs w:val="21"/>
              </w:rPr>
            </w:pPr>
            <w:r>
              <w:rPr>
                <w:rFonts w:ascii="宋体"/>
                <w:sz w:val="21"/>
              </w:rPr>
              <w:t>9 </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23"/>
              <w:jc w:val="left"/>
              <w:rPr>
                <w:rFonts w:ascii="宋体" w:hAnsi="宋体" w:cs="宋体" w:eastAsia="宋体" w:hint="default"/>
                <w:sz w:val="21"/>
                <w:szCs w:val="21"/>
              </w:rPr>
            </w:pPr>
            <w:r>
              <w:rPr>
                <w:rFonts w:ascii="宋体" w:hAnsi="宋体" w:cs="宋体" w:eastAsia="宋体" w:hint="default"/>
                <w:spacing w:val="-2"/>
                <w:sz w:val="21"/>
                <w:szCs w:val="21"/>
              </w:rPr>
              <w:t>青龙满族自治县龙茂太阳</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能有限公司</w:t>
            </w:r>
            <w:r>
              <w:rPr>
                <w:rFonts w:ascii="宋体" w:hAnsi="宋体" w:cs="宋体" w:eastAsia="宋体" w:hint="default"/>
                <w:sz w:val="21"/>
                <w:szCs w:val="21"/>
              </w:rPr>
              <w:t> </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100" w:right="0"/>
              <w:jc w:val="center"/>
              <w:rPr>
                <w:rFonts w:ascii="宋体" w:hAnsi="宋体" w:cs="宋体" w:eastAsia="宋体" w:hint="default"/>
                <w:sz w:val="21"/>
                <w:szCs w:val="21"/>
              </w:rPr>
            </w:pPr>
            <w:r>
              <w:rPr>
                <w:rFonts w:ascii="宋体"/>
                <w:sz w:val="21"/>
              </w:rPr>
              <w:t>2019/7/3 </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336" w:right="127" w:hanging="209"/>
              <w:jc w:val="left"/>
              <w:rPr>
                <w:rFonts w:ascii="宋体" w:hAnsi="宋体" w:cs="宋体" w:eastAsia="宋体" w:hint="default"/>
                <w:sz w:val="21"/>
                <w:szCs w:val="21"/>
              </w:rPr>
            </w:pPr>
            <w:r>
              <w:rPr>
                <w:rFonts w:ascii="宋体" w:hAnsi="宋体" w:cs="宋体" w:eastAsia="宋体" w:hint="default"/>
                <w:sz w:val="21"/>
                <w:szCs w:val="21"/>
              </w:rPr>
              <w:t>河北省秦</w:t>
            </w:r>
            <w:r>
              <w:rPr>
                <w:rFonts w:ascii="宋体" w:hAnsi="宋体" w:cs="宋体" w:eastAsia="宋体" w:hint="default"/>
                <w:w w:val="100"/>
                <w:sz w:val="21"/>
                <w:szCs w:val="21"/>
              </w:rPr>
              <w:t> </w:t>
            </w:r>
            <w:r>
              <w:rPr>
                <w:rFonts w:ascii="宋体" w:hAnsi="宋体" w:cs="宋体" w:eastAsia="宋体" w:hint="default"/>
                <w:sz w:val="21"/>
                <w:szCs w:val="21"/>
              </w:rPr>
              <w:t>皇岛</w:t>
            </w:r>
            <w:r>
              <w:rPr>
                <w:rFonts w:ascii="宋体" w:hAnsi="宋体" w:cs="宋体" w:eastAsia="宋体" w:hint="default"/>
                <w:sz w:val="21"/>
                <w:szCs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340" w:right="0"/>
              <w:jc w:val="left"/>
              <w:rPr>
                <w:rFonts w:ascii="宋体" w:hAnsi="宋体" w:cs="宋体" w:eastAsia="宋体" w:hint="default"/>
                <w:sz w:val="21"/>
                <w:szCs w:val="21"/>
              </w:rPr>
            </w:pPr>
            <w:r>
              <w:rPr>
                <w:rFonts w:ascii="宋体" w:hAnsi="宋体" w:cs="宋体" w:eastAsia="宋体" w:hint="default"/>
                <w:sz w:val="21"/>
                <w:szCs w:val="21"/>
              </w:rPr>
              <w:t>500</w:t>
            </w:r>
            <w:r>
              <w:rPr>
                <w:rFonts w:ascii="宋体" w:hAnsi="宋体" w:cs="宋体" w:eastAsia="宋体" w:hint="default"/>
                <w:spacing w:val="-50"/>
                <w:sz w:val="21"/>
                <w:szCs w:val="21"/>
              </w:rPr>
              <w:t> </w:t>
            </w:r>
            <w:r>
              <w:rPr>
                <w:rFonts w:ascii="宋体" w:hAnsi="宋体" w:cs="宋体" w:eastAsia="宋体" w:hint="default"/>
                <w:spacing w:val="-3"/>
                <w:sz w:val="21"/>
                <w:szCs w:val="21"/>
              </w:rPr>
              <w:t>万</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9"/>
              <w:jc w:val="left"/>
              <w:rPr>
                <w:rFonts w:ascii="宋体" w:hAnsi="宋体" w:cs="宋体" w:eastAsia="宋体" w:hint="default"/>
                <w:sz w:val="21"/>
                <w:szCs w:val="21"/>
              </w:rPr>
            </w:pPr>
            <w:r>
              <w:rPr>
                <w:rFonts w:ascii="宋体" w:hAnsi="宋体" w:cs="宋体" w:eastAsia="宋体" w:hint="default"/>
                <w:spacing w:val="-5"/>
                <w:sz w:val="21"/>
                <w:szCs w:val="21"/>
              </w:rPr>
              <w:t>太阳能相关产品研发、销售</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与运营管理及相关业务</w:t>
            </w:r>
            <w:r>
              <w:rPr>
                <w:rFonts w:ascii="宋体" w:hAnsi="宋体" w:cs="宋体" w:eastAsia="宋体" w:hint="default"/>
                <w:sz w:val="21"/>
                <w:szCs w:val="21"/>
              </w:rPr>
              <w:t> </w:t>
            </w:r>
          </w:p>
        </w:tc>
      </w:tr>
      <w:tr>
        <w:trPr>
          <w:trHeight w:val="634" w:hRule="exact"/>
        </w:trPr>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0" w:right="0"/>
              <w:jc w:val="center"/>
              <w:rPr>
                <w:rFonts w:ascii="宋体" w:hAnsi="宋体" w:cs="宋体" w:eastAsia="宋体" w:hint="default"/>
                <w:sz w:val="21"/>
                <w:szCs w:val="21"/>
              </w:rPr>
            </w:pPr>
            <w:r>
              <w:rPr>
                <w:rFonts w:ascii="宋体"/>
                <w:sz w:val="21"/>
              </w:rPr>
              <w:t>10 </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23"/>
              <w:jc w:val="left"/>
              <w:rPr>
                <w:rFonts w:ascii="宋体" w:hAnsi="宋体" w:cs="宋体" w:eastAsia="宋体" w:hint="default"/>
                <w:sz w:val="21"/>
                <w:szCs w:val="21"/>
              </w:rPr>
            </w:pPr>
            <w:r>
              <w:rPr>
                <w:rFonts w:ascii="宋体" w:hAnsi="宋体" w:cs="宋体" w:eastAsia="宋体" w:hint="default"/>
                <w:spacing w:val="-2"/>
                <w:sz w:val="21"/>
                <w:szCs w:val="21"/>
              </w:rPr>
              <w:t>江苏林洋电力服务有限公</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司南京分公司</w:t>
            </w:r>
            <w:r>
              <w:rPr>
                <w:rFonts w:ascii="宋体" w:hAnsi="宋体" w:cs="宋体" w:eastAsia="宋体" w:hint="default"/>
                <w:sz w:val="21"/>
                <w:szCs w:val="21"/>
              </w:rPr>
              <w:t> </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0" w:right="0"/>
              <w:jc w:val="center"/>
              <w:rPr>
                <w:rFonts w:ascii="宋体" w:hAnsi="宋体" w:cs="宋体" w:eastAsia="宋体" w:hint="default"/>
                <w:sz w:val="21"/>
                <w:szCs w:val="21"/>
              </w:rPr>
            </w:pPr>
            <w:r>
              <w:rPr>
                <w:rFonts w:ascii="宋体"/>
                <w:sz w:val="21"/>
              </w:rPr>
              <w:t>2019/8/2 </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0" w:right="0"/>
              <w:jc w:val="center"/>
              <w:rPr>
                <w:rFonts w:ascii="宋体" w:hAnsi="宋体" w:cs="宋体" w:eastAsia="宋体" w:hint="default"/>
                <w:sz w:val="21"/>
                <w:szCs w:val="21"/>
              </w:rPr>
            </w:pPr>
            <w:r>
              <w:rPr>
                <w:rFonts w:ascii="宋体" w:hAnsi="宋体" w:cs="宋体" w:eastAsia="宋体" w:hint="default"/>
                <w:sz w:val="21"/>
                <w:szCs w:val="21"/>
              </w:rPr>
              <w:t>江苏南京</w:t>
            </w:r>
            <w:r>
              <w:rPr>
                <w:rFonts w:ascii="宋体" w:hAnsi="宋体" w:cs="宋体" w:eastAsia="宋体" w:hint="default"/>
                <w:sz w:val="21"/>
                <w:szCs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581"/>
              <w:jc w:val="right"/>
              <w:rPr>
                <w:rFonts w:ascii="宋体" w:hAnsi="宋体" w:cs="宋体" w:eastAsia="宋体" w:hint="default"/>
                <w:sz w:val="21"/>
                <w:szCs w:val="21"/>
              </w:rPr>
            </w:pPr>
            <w:r>
              <w:rPr>
                <w:rFonts w:ascii="宋体" w:hAnsi="宋体" w:cs="宋体" w:eastAsia="宋体" w:hint="default"/>
                <w:spacing w:val="-2"/>
                <w:sz w:val="21"/>
                <w:szCs w:val="21"/>
              </w:rPr>
              <w:t>承接总公司工程业务</w:t>
            </w:r>
            <w:r>
              <w:rPr>
                <w:rFonts w:ascii="宋体" w:hAnsi="宋体" w:cs="宋体" w:eastAsia="宋体" w:hint="default"/>
                <w:sz w:val="21"/>
                <w:szCs w:val="21"/>
              </w:rPr>
              <w:t> </w:t>
            </w:r>
          </w:p>
        </w:tc>
      </w:tr>
      <w:tr>
        <w:trPr>
          <w:trHeight w:val="634" w:hRule="exact"/>
        </w:trPr>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0" w:right="0"/>
              <w:jc w:val="center"/>
              <w:rPr>
                <w:rFonts w:ascii="宋体" w:hAnsi="宋体" w:cs="宋体" w:eastAsia="宋体" w:hint="default"/>
                <w:sz w:val="21"/>
                <w:szCs w:val="21"/>
              </w:rPr>
            </w:pPr>
            <w:r>
              <w:rPr>
                <w:rFonts w:ascii="宋体"/>
                <w:sz w:val="21"/>
              </w:rPr>
              <w:t>11 </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23"/>
              <w:jc w:val="left"/>
              <w:rPr>
                <w:rFonts w:ascii="宋体" w:hAnsi="宋体" w:cs="宋体" w:eastAsia="宋体" w:hint="default"/>
                <w:sz w:val="21"/>
                <w:szCs w:val="21"/>
              </w:rPr>
            </w:pPr>
            <w:r>
              <w:rPr>
                <w:rFonts w:ascii="宋体" w:hAnsi="宋体" w:cs="宋体" w:eastAsia="宋体" w:hint="default"/>
                <w:spacing w:val="-2"/>
                <w:sz w:val="21"/>
                <w:szCs w:val="21"/>
              </w:rPr>
              <w:t>南通市永威新能源电力有</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限公司</w:t>
            </w:r>
            <w:r>
              <w:rPr>
                <w:rFonts w:ascii="宋体" w:hAnsi="宋体" w:cs="宋体" w:eastAsia="宋体" w:hint="default"/>
                <w:sz w:val="21"/>
                <w:szCs w:val="21"/>
              </w:rPr>
              <w:t> </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0" w:right="0"/>
              <w:jc w:val="center"/>
              <w:rPr>
                <w:rFonts w:ascii="宋体" w:hAnsi="宋体" w:cs="宋体" w:eastAsia="宋体" w:hint="default"/>
                <w:sz w:val="21"/>
                <w:szCs w:val="21"/>
              </w:rPr>
            </w:pPr>
            <w:r>
              <w:rPr>
                <w:rFonts w:ascii="宋体"/>
                <w:sz w:val="21"/>
              </w:rPr>
              <w:t>2019/9/2 </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0" w:right="0"/>
              <w:jc w:val="center"/>
              <w:rPr>
                <w:rFonts w:ascii="宋体" w:hAnsi="宋体" w:cs="宋体" w:eastAsia="宋体" w:hint="default"/>
                <w:sz w:val="21"/>
                <w:szCs w:val="21"/>
              </w:rPr>
            </w:pPr>
            <w:r>
              <w:rPr>
                <w:rFonts w:ascii="宋体" w:hAnsi="宋体" w:cs="宋体" w:eastAsia="宋体" w:hint="default"/>
                <w:sz w:val="21"/>
                <w:szCs w:val="21"/>
              </w:rPr>
              <w:t>江苏南通</w:t>
            </w:r>
            <w:r>
              <w:rPr>
                <w:rFonts w:ascii="宋体" w:hAnsi="宋体" w:cs="宋体" w:eastAsia="宋体" w:hint="default"/>
                <w:sz w:val="21"/>
                <w:szCs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340" w:right="0"/>
              <w:jc w:val="left"/>
              <w:rPr>
                <w:rFonts w:ascii="宋体" w:hAnsi="宋体" w:cs="宋体" w:eastAsia="宋体" w:hint="default"/>
                <w:sz w:val="21"/>
                <w:szCs w:val="21"/>
              </w:rPr>
            </w:pPr>
            <w:r>
              <w:rPr>
                <w:rFonts w:ascii="宋体" w:hAnsi="宋体" w:cs="宋体" w:eastAsia="宋体" w:hint="default"/>
                <w:sz w:val="21"/>
                <w:szCs w:val="21"/>
              </w:rPr>
              <w:t>200</w:t>
            </w:r>
            <w:r>
              <w:rPr>
                <w:rFonts w:ascii="宋体" w:hAnsi="宋体" w:cs="宋体" w:eastAsia="宋体" w:hint="default"/>
                <w:spacing w:val="-50"/>
                <w:sz w:val="21"/>
                <w:szCs w:val="21"/>
              </w:rPr>
              <w:t> </w:t>
            </w:r>
            <w:r>
              <w:rPr>
                <w:rFonts w:ascii="宋体" w:hAnsi="宋体" w:cs="宋体" w:eastAsia="宋体" w:hint="default"/>
                <w:spacing w:val="-3"/>
                <w:sz w:val="21"/>
                <w:szCs w:val="21"/>
              </w:rPr>
              <w:t>万</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9"/>
              <w:jc w:val="left"/>
              <w:rPr>
                <w:rFonts w:ascii="宋体" w:hAnsi="宋体" w:cs="宋体" w:eastAsia="宋体" w:hint="default"/>
                <w:sz w:val="21"/>
                <w:szCs w:val="21"/>
              </w:rPr>
            </w:pPr>
            <w:r>
              <w:rPr>
                <w:rFonts w:ascii="宋体" w:hAnsi="宋体" w:cs="宋体" w:eastAsia="宋体" w:hint="default"/>
                <w:spacing w:val="-5"/>
                <w:sz w:val="21"/>
                <w:szCs w:val="21"/>
              </w:rPr>
              <w:t>太阳能相关产品研发、销售</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与运营管理及相关业务</w:t>
            </w:r>
            <w:r>
              <w:rPr>
                <w:rFonts w:ascii="宋体" w:hAnsi="宋体" w:cs="宋体" w:eastAsia="宋体" w:hint="default"/>
                <w:sz w:val="21"/>
                <w:szCs w:val="21"/>
              </w:rPr>
              <w:t> </w:t>
            </w:r>
          </w:p>
        </w:tc>
      </w:tr>
      <w:tr>
        <w:trPr>
          <w:trHeight w:val="634" w:hRule="exact"/>
        </w:trPr>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0" w:right="0"/>
              <w:jc w:val="center"/>
              <w:rPr>
                <w:rFonts w:ascii="宋体" w:hAnsi="宋体" w:cs="宋体" w:eastAsia="宋体" w:hint="default"/>
                <w:sz w:val="21"/>
                <w:szCs w:val="21"/>
              </w:rPr>
            </w:pPr>
            <w:r>
              <w:rPr>
                <w:rFonts w:ascii="宋体"/>
                <w:sz w:val="21"/>
              </w:rPr>
              <w:t>12 </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23"/>
              <w:jc w:val="left"/>
              <w:rPr>
                <w:rFonts w:ascii="宋体" w:hAnsi="宋体" w:cs="宋体" w:eastAsia="宋体" w:hint="default"/>
                <w:sz w:val="21"/>
                <w:szCs w:val="21"/>
              </w:rPr>
            </w:pPr>
            <w:r>
              <w:rPr>
                <w:rFonts w:ascii="宋体" w:hAnsi="宋体" w:cs="宋体" w:eastAsia="宋体" w:hint="default"/>
                <w:spacing w:val="-2"/>
                <w:sz w:val="21"/>
                <w:szCs w:val="21"/>
              </w:rPr>
              <w:t>含山县林阳新能源科技有</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限公司</w:t>
            </w:r>
            <w:r>
              <w:rPr>
                <w:rFonts w:ascii="宋体" w:hAnsi="宋体" w:cs="宋体" w:eastAsia="宋体" w:hint="default"/>
                <w:sz w:val="21"/>
                <w:szCs w:val="21"/>
              </w:rPr>
              <w:t> </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0" w:right="0"/>
              <w:jc w:val="center"/>
              <w:rPr>
                <w:rFonts w:ascii="宋体" w:hAnsi="宋体" w:cs="宋体" w:eastAsia="宋体" w:hint="default"/>
                <w:sz w:val="21"/>
                <w:szCs w:val="21"/>
              </w:rPr>
            </w:pPr>
            <w:r>
              <w:rPr>
                <w:rFonts w:ascii="宋体"/>
                <w:sz w:val="21"/>
              </w:rPr>
              <w:t>2019/9/19 </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441" w:right="127" w:hanging="315"/>
              <w:jc w:val="left"/>
              <w:rPr>
                <w:rFonts w:ascii="宋体" w:hAnsi="宋体" w:cs="宋体" w:eastAsia="宋体" w:hint="default"/>
                <w:sz w:val="21"/>
                <w:szCs w:val="21"/>
              </w:rPr>
            </w:pPr>
            <w:r>
              <w:rPr>
                <w:rFonts w:ascii="宋体" w:hAnsi="宋体" w:cs="宋体" w:eastAsia="宋体" w:hint="default"/>
                <w:sz w:val="21"/>
                <w:szCs w:val="21"/>
              </w:rPr>
              <w:t>安徽马鞍</w:t>
            </w:r>
            <w:r>
              <w:rPr>
                <w:rFonts w:ascii="宋体" w:hAnsi="宋体" w:cs="宋体" w:eastAsia="宋体" w:hint="default"/>
                <w:w w:val="100"/>
                <w:sz w:val="21"/>
                <w:szCs w:val="21"/>
              </w:rPr>
              <w:t> </w:t>
            </w:r>
            <w:r>
              <w:rPr>
                <w:rFonts w:ascii="宋体" w:hAnsi="宋体" w:cs="宋体" w:eastAsia="宋体" w:hint="default"/>
                <w:sz w:val="21"/>
                <w:szCs w:val="21"/>
              </w:rPr>
              <w:t>山</w:t>
            </w:r>
            <w:r>
              <w:rPr>
                <w:rFonts w:ascii="宋体" w:hAnsi="宋体" w:cs="宋体" w:eastAsia="宋体" w:hint="default"/>
                <w:sz w:val="21"/>
                <w:szCs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90" w:right="0"/>
              <w:jc w:val="left"/>
              <w:rPr>
                <w:rFonts w:ascii="宋体" w:hAnsi="宋体" w:cs="宋体" w:eastAsia="宋体" w:hint="default"/>
                <w:sz w:val="21"/>
                <w:szCs w:val="21"/>
              </w:rPr>
            </w:pPr>
            <w:r>
              <w:rPr>
                <w:rFonts w:ascii="宋体" w:hAnsi="宋体" w:cs="宋体" w:eastAsia="宋体" w:hint="default"/>
                <w:sz w:val="21"/>
                <w:szCs w:val="21"/>
              </w:rPr>
              <w:t>1000</w:t>
            </w:r>
            <w:r>
              <w:rPr>
                <w:rFonts w:ascii="宋体" w:hAnsi="宋体" w:cs="宋体" w:eastAsia="宋体" w:hint="default"/>
                <w:spacing w:val="-52"/>
                <w:sz w:val="21"/>
                <w:szCs w:val="21"/>
              </w:rPr>
              <w:t> </w:t>
            </w:r>
            <w:r>
              <w:rPr>
                <w:rFonts w:ascii="宋体" w:hAnsi="宋体" w:cs="宋体" w:eastAsia="宋体" w:hint="default"/>
                <w:spacing w:val="-3"/>
                <w:sz w:val="21"/>
                <w:szCs w:val="21"/>
              </w:rPr>
              <w:t>万</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9"/>
              <w:jc w:val="left"/>
              <w:rPr>
                <w:rFonts w:ascii="宋体" w:hAnsi="宋体" w:cs="宋体" w:eastAsia="宋体" w:hint="default"/>
                <w:sz w:val="21"/>
                <w:szCs w:val="21"/>
              </w:rPr>
            </w:pPr>
            <w:r>
              <w:rPr>
                <w:rFonts w:ascii="宋体" w:hAnsi="宋体" w:cs="宋体" w:eastAsia="宋体" w:hint="default"/>
                <w:spacing w:val="-5"/>
                <w:sz w:val="21"/>
                <w:szCs w:val="21"/>
              </w:rPr>
              <w:t>太阳能相关产品研发、销售</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与运营管理及相关业务</w:t>
            </w:r>
            <w:r>
              <w:rPr>
                <w:rFonts w:ascii="宋体" w:hAnsi="宋体" w:cs="宋体" w:eastAsia="宋体" w:hint="default"/>
                <w:sz w:val="21"/>
                <w:szCs w:val="21"/>
              </w:rPr>
              <w:t> </w:t>
            </w:r>
          </w:p>
        </w:tc>
      </w:tr>
      <w:tr>
        <w:trPr>
          <w:trHeight w:val="634" w:hRule="exact"/>
        </w:trPr>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0" w:right="0"/>
              <w:jc w:val="center"/>
              <w:rPr>
                <w:rFonts w:ascii="宋体" w:hAnsi="宋体" w:cs="宋体" w:eastAsia="宋体" w:hint="default"/>
                <w:sz w:val="21"/>
                <w:szCs w:val="21"/>
              </w:rPr>
            </w:pPr>
            <w:r>
              <w:rPr>
                <w:rFonts w:ascii="宋体"/>
                <w:sz w:val="21"/>
              </w:rPr>
              <w:t>13 </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23"/>
              <w:jc w:val="left"/>
              <w:rPr>
                <w:rFonts w:ascii="宋体" w:hAnsi="宋体" w:cs="宋体" w:eastAsia="宋体" w:hint="default"/>
                <w:sz w:val="21"/>
                <w:szCs w:val="21"/>
              </w:rPr>
            </w:pPr>
            <w:r>
              <w:rPr>
                <w:rFonts w:ascii="宋体" w:hAnsi="宋体" w:cs="宋体" w:eastAsia="宋体" w:hint="default"/>
                <w:spacing w:val="-2"/>
                <w:sz w:val="21"/>
                <w:szCs w:val="21"/>
              </w:rPr>
              <w:t>萧县耀洋新能源科技有限</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公司</w:t>
            </w:r>
            <w:r>
              <w:rPr>
                <w:rFonts w:ascii="宋体" w:hAnsi="宋体" w:cs="宋体" w:eastAsia="宋体" w:hint="default"/>
                <w:sz w:val="21"/>
                <w:szCs w:val="21"/>
              </w:rPr>
              <w:t> </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0" w:right="0"/>
              <w:jc w:val="center"/>
              <w:rPr>
                <w:rFonts w:ascii="宋体" w:hAnsi="宋体" w:cs="宋体" w:eastAsia="宋体" w:hint="default"/>
                <w:sz w:val="21"/>
                <w:szCs w:val="21"/>
              </w:rPr>
            </w:pPr>
            <w:r>
              <w:rPr>
                <w:rFonts w:ascii="宋体"/>
                <w:sz w:val="21"/>
              </w:rPr>
              <w:t>2019/9/19 </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0" w:right="0"/>
              <w:jc w:val="center"/>
              <w:rPr>
                <w:rFonts w:ascii="宋体" w:hAnsi="宋体" w:cs="宋体" w:eastAsia="宋体" w:hint="default"/>
                <w:sz w:val="21"/>
                <w:szCs w:val="21"/>
              </w:rPr>
            </w:pPr>
            <w:r>
              <w:rPr>
                <w:rFonts w:ascii="宋体" w:hAnsi="宋体" w:cs="宋体" w:eastAsia="宋体" w:hint="default"/>
                <w:sz w:val="21"/>
                <w:szCs w:val="21"/>
              </w:rPr>
              <w:t>安徽宿州</w:t>
            </w:r>
            <w:r>
              <w:rPr>
                <w:rFonts w:ascii="宋体" w:hAnsi="宋体" w:cs="宋体" w:eastAsia="宋体" w:hint="default"/>
                <w:sz w:val="21"/>
                <w:szCs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90" w:right="0"/>
              <w:jc w:val="left"/>
              <w:rPr>
                <w:rFonts w:ascii="宋体" w:hAnsi="宋体" w:cs="宋体" w:eastAsia="宋体" w:hint="default"/>
                <w:sz w:val="21"/>
                <w:szCs w:val="21"/>
              </w:rPr>
            </w:pPr>
            <w:r>
              <w:rPr>
                <w:rFonts w:ascii="宋体" w:hAnsi="宋体" w:cs="宋体" w:eastAsia="宋体" w:hint="default"/>
                <w:sz w:val="21"/>
                <w:szCs w:val="21"/>
              </w:rPr>
              <w:t>1000</w:t>
            </w:r>
            <w:r>
              <w:rPr>
                <w:rFonts w:ascii="宋体" w:hAnsi="宋体" w:cs="宋体" w:eastAsia="宋体" w:hint="default"/>
                <w:spacing w:val="-52"/>
                <w:sz w:val="21"/>
                <w:szCs w:val="21"/>
              </w:rPr>
              <w:t> </w:t>
            </w:r>
            <w:r>
              <w:rPr>
                <w:rFonts w:ascii="宋体" w:hAnsi="宋体" w:cs="宋体" w:eastAsia="宋体" w:hint="default"/>
                <w:spacing w:val="-3"/>
                <w:sz w:val="21"/>
                <w:szCs w:val="21"/>
              </w:rPr>
              <w:t>万</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9"/>
              <w:jc w:val="left"/>
              <w:rPr>
                <w:rFonts w:ascii="宋体" w:hAnsi="宋体" w:cs="宋体" w:eastAsia="宋体" w:hint="default"/>
                <w:sz w:val="21"/>
                <w:szCs w:val="21"/>
              </w:rPr>
            </w:pPr>
            <w:r>
              <w:rPr>
                <w:rFonts w:ascii="宋体" w:hAnsi="宋体" w:cs="宋体" w:eastAsia="宋体" w:hint="default"/>
                <w:spacing w:val="-5"/>
                <w:sz w:val="21"/>
                <w:szCs w:val="21"/>
              </w:rPr>
              <w:t>太阳能相关产品研发、销售</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与运营管理及相关业务</w:t>
            </w:r>
            <w:r>
              <w:rPr>
                <w:rFonts w:ascii="宋体" w:hAnsi="宋体" w:cs="宋体" w:eastAsia="宋体" w:hint="default"/>
                <w:sz w:val="21"/>
                <w:szCs w:val="21"/>
              </w:rPr>
              <w:t> </w:t>
            </w:r>
          </w:p>
        </w:tc>
      </w:tr>
      <w:tr>
        <w:trPr>
          <w:trHeight w:val="634" w:hRule="exact"/>
        </w:trPr>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0" w:right="0"/>
              <w:jc w:val="center"/>
              <w:rPr>
                <w:rFonts w:ascii="宋体" w:hAnsi="宋体" w:cs="宋体" w:eastAsia="宋体" w:hint="default"/>
                <w:sz w:val="21"/>
                <w:szCs w:val="21"/>
              </w:rPr>
            </w:pPr>
            <w:r>
              <w:rPr>
                <w:rFonts w:ascii="宋体"/>
                <w:sz w:val="21"/>
              </w:rPr>
              <w:t>14 </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23"/>
              <w:jc w:val="left"/>
              <w:rPr>
                <w:rFonts w:ascii="宋体" w:hAnsi="宋体" w:cs="宋体" w:eastAsia="宋体" w:hint="default"/>
                <w:sz w:val="21"/>
                <w:szCs w:val="21"/>
              </w:rPr>
            </w:pPr>
            <w:r>
              <w:rPr>
                <w:rFonts w:ascii="宋体" w:hAnsi="宋体" w:cs="宋体" w:eastAsia="宋体" w:hint="default"/>
                <w:spacing w:val="-2"/>
                <w:sz w:val="21"/>
                <w:szCs w:val="21"/>
              </w:rPr>
              <w:t>保定庆顺新能源科技有限</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公司</w:t>
            </w:r>
            <w:r>
              <w:rPr>
                <w:rFonts w:ascii="宋体" w:hAnsi="宋体" w:cs="宋体" w:eastAsia="宋体" w:hint="default"/>
                <w:sz w:val="21"/>
                <w:szCs w:val="21"/>
              </w:rPr>
              <w:t> </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0" w:right="0"/>
              <w:jc w:val="center"/>
              <w:rPr>
                <w:rFonts w:ascii="宋体" w:hAnsi="宋体" w:cs="宋体" w:eastAsia="宋体" w:hint="default"/>
                <w:sz w:val="21"/>
                <w:szCs w:val="21"/>
              </w:rPr>
            </w:pPr>
            <w:r>
              <w:rPr>
                <w:rFonts w:ascii="宋体"/>
                <w:sz w:val="21"/>
              </w:rPr>
              <w:t>2019/9/24 </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0" w:right="0"/>
              <w:jc w:val="center"/>
              <w:rPr>
                <w:rFonts w:ascii="宋体" w:hAnsi="宋体" w:cs="宋体" w:eastAsia="宋体" w:hint="default"/>
                <w:sz w:val="21"/>
                <w:szCs w:val="21"/>
              </w:rPr>
            </w:pPr>
            <w:r>
              <w:rPr>
                <w:rFonts w:ascii="宋体" w:hAnsi="宋体" w:cs="宋体" w:eastAsia="宋体" w:hint="default"/>
                <w:sz w:val="21"/>
                <w:szCs w:val="21"/>
              </w:rPr>
              <w:t>河北保定</w:t>
            </w:r>
            <w:r>
              <w:rPr>
                <w:rFonts w:ascii="宋体" w:hAnsi="宋体" w:cs="宋体" w:eastAsia="宋体" w:hint="default"/>
                <w:sz w:val="21"/>
                <w:szCs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90" w:right="0"/>
              <w:jc w:val="left"/>
              <w:rPr>
                <w:rFonts w:ascii="宋体" w:hAnsi="宋体" w:cs="宋体" w:eastAsia="宋体" w:hint="default"/>
                <w:sz w:val="21"/>
                <w:szCs w:val="21"/>
              </w:rPr>
            </w:pPr>
            <w:r>
              <w:rPr>
                <w:rFonts w:ascii="宋体" w:hAnsi="宋体" w:cs="宋体" w:eastAsia="宋体" w:hint="default"/>
                <w:sz w:val="21"/>
                <w:szCs w:val="21"/>
              </w:rPr>
              <w:t>1000</w:t>
            </w:r>
            <w:r>
              <w:rPr>
                <w:rFonts w:ascii="宋体" w:hAnsi="宋体" w:cs="宋体" w:eastAsia="宋体" w:hint="default"/>
                <w:spacing w:val="-52"/>
                <w:sz w:val="21"/>
                <w:szCs w:val="21"/>
              </w:rPr>
              <w:t> </w:t>
            </w:r>
            <w:r>
              <w:rPr>
                <w:rFonts w:ascii="宋体" w:hAnsi="宋体" w:cs="宋体" w:eastAsia="宋体" w:hint="default"/>
                <w:spacing w:val="-3"/>
                <w:sz w:val="21"/>
                <w:szCs w:val="21"/>
              </w:rPr>
              <w:t>万</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9"/>
              <w:jc w:val="left"/>
              <w:rPr>
                <w:rFonts w:ascii="宋体" w:hAnsi="宋体" w:cs="宋体" w:eastAsia="宋体" w:hint="default"/>
                <w:sz w:val="21"/>
                <w:szCs w:val="21"/>
              </w:rPr>
            </w:pPr>
            <w:r>
              <w:rPr>
                <w:rFonts w:ascii="宋体" w:hAnsi="宋体" w:cs="宋体" w:eastAsia="宋体" w:hint="default"/>
                <w:spacing w:val="-5"/>
                <w:sz w:val="21"/>
                <w:szCs w:val="21"/>
              </w:rPr>
              <w:t>太阳能相关产品研发、销售</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与运营管理及相关业务</w:t>
            </w:r>
            <w:r>
              <w:rPr>
                <w:rFonts w:ascii="宋体" w:hAnsi="宋体" w:cs="宋体" w:eastAsia="宋体" w:hint="default"/>
                <w:sz w:val="21"/>
                <w:szCs w:val="21"/>
              </w:rPr>
              <w:t> </w:t>
            </w:r>
          </w:p>
        </w:tc>
      </w:tr>
      <w:tr>
        <w:trPr>
          <w:trHeight w:val="636" w:hRule="exact"/>
        </w:trPr>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100" w:right="0"/>
              <w:jc w:val="center"/>
              <w:rPr>
                <w:rFonts w:ascii="宋体" w:hAnsi="宋体" w:cs="宋体" w:eastAsia="宋体" w:hint="default"/>
                <w:sz w:val="21"/>
                <w:szCs w:val="21"/>
              </w:rPr>
            </w:pPr>
            <w:r>
              <w:rPr>
                <w:rFonts w:ascii="宋体"/>
                <w:sz w:val="21"/>
              </w:rPr>
              <w:t>15 </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23"/>
              <w:jc w:val="left"/>
              <w:rPr>
                <w:rFonts w:ascii="宋体" w:hAnsi="宋体" w:cs="宋体" w:eastAsia="宋体" w:hint="default"/>
                <w:sz w:val="21"/>
                <w:szCs w:val="21"/>
              </w:rPr>
            </w:pPr>
            <w:r>
              <w:rPr>
                <w:rFonts w:ascii="宋体" w:hAnsi="宋体" w:cs="宋体" w:eastAsia="宋体" w:hint="default"/>
                <w:spacing w:val="-2"/>
                <w:sz w:val="21"/>
                <w:szCs w:val="21"/>
              </w:rPr>
              <w:t>顺平县贵顺新能源科技有</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限公司</w:t>
            </w:r>
            <w:r>
              <w:rPr>
                <w:rFonts w:ascii="宋体" w:hAnsi="宋体" w:cs="宋体" w:eastAsia="宋体" w:hint="default"/>
                <w:sz w:val="21"/>
                <w:szCs w:val="21"/>
              </w:rPr>
              <w:t> </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100" w:right="0"/>
              <w:jc w:val="center"/>
              <w:rPr>
                <w:rFonts w:ascii="宋体" w:hAnsi="宋体" w:cs="宋体" w:eastAsia="宋体" w:hint="default"/>
                <w:sz w:val="21"/>
                <w:szCs w:val="21"/>
              </w:rPr>
            </w:pPr>
            <w:r>
              <w:rPr>
                <w:rFonts w:ascii="宋体"/>
                <w:sz w:val="21"/>
              </w:rPr>
              <w:t>2019/9/25 </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100" w:right="0"/>
              <w:jc w:val="center"/>
              <w:rPr>
                <w:rFonts w:ascii="宋体" w:hAnsi="宋体" w:cs="宋体" w:eastAsia="宋体" w:hint="default"/>
                <w:sz w:val="21"/>
                <w:szCs w:val="21"/>
              </w:rPr>
            </w:pPr>
            <w:r>
              <w:rPr>
                <w:rFonts w:ascii="宋体" w:hAnsi="宋体" w:cs="宋体" w:eastAsia="宋体" w:hint="default"/>
                <w:sz w:val="21"/>
                <w:szCs w:val="21"/>
              </w:rPr>
              <w:t>河北保定</w:t>
            </w:r>
            <w:r>
              <w:rPr>
                <w:rFonts w:ascii="宋体" w:hAnsi="宋体" w:cs="宋体" w:eastAsia="宋体" w:hint="default"/>
                <w:sz w:val="21"/>
                <w:szCs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340" w:right="0"/>
              <w:jc w:val="left"/>
              <w:rPr>
                <w:rFonts w:ascii="宋体" w:hAnsi="宋体" w:cs="宋体" w:eastAsia="宋体" w:hint="default"/>
                <w:sz w:val="21"/>
                <w:szCs w:val="21"/>
              </w:rPr>
            </w:pPr>
            <w:r>
              <w:rPr>
                <w:rFonts w:ascii="宋体" w:hAnsi="宋体" w:cs="宋体" w:eastAsia="宋体" w:hint="default"/>
                <w:sz w:val="21"/>
                <w:szCs w:val="21"/>
              </w:rPr>
              <w:t>300</w:t>
            </w:r>
            <w:r>
              <w:rPr>
                <w:rFonts w:ascii="宋体" w:hAnsi="宋体" w:cs="宋体" w:eastAsia="宋体" w:hint="default"/>
                <w:spacing w:val="-50"/>
                <w:sz w:val="21"/>
                <w:szCs w:val="21"/>
              </w:rPr>
              <w:t> </w:t>
            </w:r>
            <w:r>
              <w:rPr>
                <w:rFonts w:ascii="宋体" w:hAnsi="宋体" w:cs="宋体" w:eastAsia="宋体" w:hint="default"/>
                <w:spacing w:val="-3"/>
                <w:sz w:val="21"/>
                <w:szCs w:val="21"/>
              </w:rPr>
              <w:t>万</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9"/>
              <w:jc w:val="left"/>
              <w:rPr>
                <w:rFonts w:ascii="宋体" w:hAnsi="宋体" w:cs="宋体" w:eastAsia="宋体" w:hint="default"/>
                <w:sz w:val="21"/>
                <w:szCs w:val="21"/>
              </w:rPr>
            </w:pPr>
            <w:r>
              <w:rPr>
                <w:rFonts w:ascii="宋体" w:hAnsi="宋体" w:cs="宋体" w:eastAsia="宋体" w:hint="default"/>
                <w:spacing w:val="-5"/>
                <w:sz w:val="21"/>
                <w:szCs w:val="21"/>
              </w:rPr>
              <w:t>太阳能相关产品研发、销售</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与运营管理及相关业务</w:t>
            </w:r>
            <w:r>
              <w:rPr>
                <w:rFonts w:ascii="宋体" w:hAnsi="宋体" w:cs="宋体" w:eastAsia="宋体" w:hint="default"/>
                <w:sz w:val="21"/>
                <w:szCs w:val="21"/>
              </w:rPr>
              <w:t> </w:t>
            </w:r>
          </w:p>
        </w:tc>
      </w:tr>
      <w:tr>
        <w:trPr>
          <w:trHeight w:val="634" w:hRule="exact"/>
        </w:trPr>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0" w:right="0"/>
              <w:jc w:val="center"/>
              <w:rPr>
                <w:rFonts w:ascii="宋体" w:hAnsi="宋体" w:cs="宋体" w:eastAsia="宋体" w:hint="default"/>
                <w:sz w:val="21"/>
                <w:szCs w:val="21"/>
              </w:rPr>
            </w:pPr>
            <w:r>
              <w:rPr>
                <w:rFonts w:ascii="宋体"/>
                <w:sz w:val="21"/>
              </w:rPr>
              <w:t>16 </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sz w:val="21"/>
              </w:rPr>
              <w:t>LINYANG ENERGY EUROPE </w:t>
            </w:r>
          </w:p>
          <w:p>
            <w:pPr>
              <w:pStyle w:val="TableParagraph"/>
              <w:spacing w:line="240" w:lineRule="auto" w:before="37"/>
              <w:ind w:left="103" w:right="0"/>
              <w:jc w:val="left"/>
              <w:rPr>
                <w:rFonts w:ascii="宋体" w:hAnsi="宋体" w:cs="宋体" w:eastAsia="宋体" w:hint="default"/>
                <w:sz w:val="21"/>
                <w:szCs w:val="21"/>
              </w:rPr>
            </w:pPr>
            <w:r>
              <w:rPr>
                <w:rFonts w:ascii="宋体" w:hAnsi="宋体"/>
                <w:sz w:val="21"/>
              </w:rPr>
              <w:t>S.</w:t>
            </w:r>
            <w:r>
              <w:rPr>
                <w:rFonts w:ascii="宋体" w:hAnsi="宋体"/>
                <w:sz w:val="21"/>
              </w:rPr>
              <w:t>à</w:t>
            </w:r>
            <w:r>
              <w:rPr>
                <w:rFonts w:ascii="宋体" w:hAnsi="宋体"/>
                <w:spacing w:val="-3"/>
                <w:sz w:val="21"/>
              </w:rPr>
              <w:t> </w:t>
            </w:r>
            <w:r>
              <w:rPr>
                <w:rFonts w:ascii="宋体" w:hAnsi="宋体"/>
                <w:spacing w:val="-3"/>
                <w:sz w:val="21"/>
              </w:rPr>
            </w:r>
            <w:r>
              <w:rPr>
                <w:rFonts w:ascii="宋体" w:hAnsi="宋体"/>
                <w:sz w:val="21"/>
              </w:rPr>
              <w:t>r.l. </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0" w:right="0"/>
              <w:jc w:val="center"/>
              <w:rPr>
                <w:rFonts w:ascii="宋体" w:hAnsi="宋体" w:cs="宋体" w:eastAsia="宋体" w:hint="default"/>
                <w:sz w:val="21"/>
                <w:szCs w:val="21"/>
              </w:rPr>
            </w:pPr>
            <w:r>
              <w:rPr>
                <w:rFonts w:ascii="宋体"/>
                <w:sz w:val="21"/>
              </w:rPr>
              <w:t>2019/10/8 </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98" w:right="0"/>
              <w:jc w:val="center"/>
              <w:rPr>
                <w:rFonts w:ascii="宋体" w:hAnsi="宋体" w:cs="宋体" w:eastAsia="宋体" w:hint="default"/>
                <w:sz w:val="21"/>
                <w:szCs w:val="21"/>
              </w:rPr>
            </w:pPr>
            <w:r>
              <w:rPr>
                <w:rFonts w:ascii="宋体" w:hAnsi="宋体" w:cs="宋体" w:eastAsia="宋体" w:hint="default"/>
                <w:sz w:val="21"/>
                <w:szCs w:val="21"/>
              </w:rPr>
              <w:t>卢森堡</w:t>
            </w:r>
            <w:r>
              <w:rPr>
                <w:rFonts w:ascii="宋体" w:hAnsi="宋体" w:cs="宋体" w:eastAsia="宋体" w:hint="default"/>
                <w:sz w:val="21"/>
                <w:szCs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6"/>
              <w:jc w:val="right"/>
              <w:rPr>
                <w:rFonts w:ascii="宋体" w:hAnsi="宋体" w:cs="宋体" w:eastAsia="宋体" w:hint="default"/>
                <w:sz w:val="21"/>
                <w:szCs w:val="21"/>
              </w:rPr>
            </w:pPr>
            <w:r>
              <w:rPr>
                <w:rFonts w:ascii="宋体" w:hAnsi="宋体" w:cs="宋体" w:eastAsia="宋体" w:hint="default"/>
                <w:sz w:val="21"/>
                <w:szCs w:val="21"/>
              </w:rPr>
              <w:t>12000</w:t>
            </w:r>
            <w:r>
              <w:rPr>
                <w:rFonts w:ascii="宋体" w:hAnsi="宋体" w:cs="宋体" w:eastAsia="宋体" w:hint="default"/>
                <w:spacing w:val="-53"/>
                <w:sz w:val="21"/>
                <w:szCs w:val="21"/>
              </w:rPr>
              <w:t> </w:t>
            </w:r>
            <w:r>
              <w:rPr>
                <w:rFonts w:ascii="宋体" w:hAnsi="宋体" w:cs="宋体" w:eastAsia="宋体" w:hint="default"/>
                <w:sz w:val="21"/>
                <w:szCs w:val="21"/>
              </w:rPr>
              <w:t>欧元</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9"/>
              <w:jc w:val="left"/>
              <w:rPr>
                <w:rFonts w:ascii="宋体" w:hAnsi="宋体" w:cs="宋体" w:eastAsia="宋体" w:hint="default"/>
                <w:sz w:val="21"/>
                <w:szCs w:val="21"/>
              </w:rPr>
            </w:pPr>
            <w:r>
              <w:rPr>
                <w:rFonts w:ascii="宋体" w:hAnsi="宋体" w:cs="宋体" w:eastAsia="宋体" w:hint="default"/>
                <w:spacing w:val="-5"/>
                <w:sz w:val="21"/>
                <w:szCs w:val="21"/>
              </w:rPr>
              <w:t>太阳能相关产品研发、销售</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与运营管理及相关业务</w:t>
            </w:r>
            <w:r>
              <w:rPr>
                <w:rFonts w:ascii="宋体" w:hAnsi="宋体" w:cs="宋体" w:eastAsia="宋体" w:hint="default"/>
                <w:sz w:val="21"/>
                <w:szCs w:val="21"/>
              </w:rPr>
              <w:t> </w:t>
            </w:r>
          </w:p>
        </w:tc>
      </w:tr>
      <w:tr>
        <w:trPr>
          <w:trHeight w:val="634" w:hRule="exact"/>
        </w:trPr>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0" w:right="0"/>
              <w:jc w:val="center"/>
              <w:rPr>
                <w:rFonts w:ascii="宋体" w:hAnsi="宋体" w:cs="宋体" w:eastAsia="宋体" w:hint="default"/>
                <w:sz w:val="21"/>
                <w:szCs w:val="21"/>
              </w:rPr>
            </w:pPr>
            <w:r>
              <w:rPr>
                <w:rFonts w:ascii="宋体"/>
                <w:sz w:val="21"/>
              </w:rPr>
              <w:t>17 </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23"/>
              <w:jc w:val="left"/>
              <w:rPr>
                <w:rFonts w:ascii="宋体" w:hAnsi="宋体" w:cs="宋体" w:eastAsia="宋体" w:hint="default"/>
                <w:sz w:val="21"/>
                <w:szCs w:val="21"/>
              </w:rPr>
            </w:pPr>
            <w:r>
              <w:rPr>
                <w:rFonts w:ascii="宋体" w:hAnsi="宋体" w:cs="宋体" w:eastAsia="宋体" w:hint="default"/>
                <w:spacing w:val="-2"/>
                <w:sz w:val="21"/>
                <w:szCs w:val="21"/>
              </w:rPr>
              <w:t>含山县仙林新能源科技有</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限公司</w:t>
            </w:r>
            <w:r>
              <w:rPr>
                <w:rFonts w:ascii="宋体" w:hAnsi="宋体" w:cs="宋体" w:eastAsia="宋体" w:hint="default"/>
                <w:sz w:val="21"/>
                <w:szCs w:val="21"/>
              </w:rPr>
              <w:t> </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0" w:right="0"/>
              <w:jc w:val="center"/>
              <w:rPr>
                <w:rFonts w:ascii="宋体" w:hAnsi="宋体" w:cs="宋体" w:eastAsia="宋体" w:hint="default"/>
                <w:sz w:val="21"/>
                <w:szCs w:val="21"/>
              </w:rPr>
            </w:pPr>
            <w:r>
              <w:rPr>
                <w:rFonts w:ascii="宋体"/>
                <w:sz w:val="21"/>
              </w:rPr>
              <w:t>2019/10/23 </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441" w:right="127" w:hanging="315"/>
              <w:jc w:val="left"/>
              <w:rPr>
                <w:rFonts w:ascii="宋体" w:hAnsi="宋体" w:cs="宋体" w:eastAsia="宋体" w:hint="default"/>
                <w:sz w:val="21"/>
                <w:szCs w:val="21"/>
              </w:rPr>
            </w:pPr>
            <w:r>
              <w:rPr>
                <w:rFonts w:ascii="宋体" w:hAnsi="宋体" w:cs="宋体" w:eastAsia="宋体" w:hint="default"/>
                <w:sz w:val="21"/>
                <w:szCs w:val="21"/>
              </w:rPr>
              <w:t>安徽马鞍</w:t>
            </w:r>
            <w:r>
              <w:rPr>
                <w:rFonts w:ascii="宋体" w:hAnsi="宋体" w:cs="宋体" w:eastAsia="宋体" w:hint="default"/>
                <w:w w:val="100"/>
                <w:sz w:val="21"/>
                <w:szCs w:val="21"/>
              </w:rPr>
              <w:t> </w:t>
            </w:r>
            <w:r>
              <w:rPr>
                <w:rFonts w:ascii="宋体" w:hAnsi="宋体" w:cs="宋体" w:eastAsia="宋体" w:hint="default"/>
                <w:sz w:val="21"/>
                <w:szCs w:val="21"/>
              </w:rPr>
              <w:t>山</w:t>
            </w:r>
            <w:r>
              <w:rPr>
                <w:rFonts w:ascii="宋体" w:hAnsi="宋体" w:cs="宋体" w:eastAsia="宋体" w:hint="default"/>
                <w:sz w:val="21"/>
                <w:szCs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90" w:right="0"/>
              <w:jc w:val="left"/>
              <w:rPr>
                <w:rFonts w:ascii="宋体" w:hAnsi="宋体" w:cs="宋体" w:eastAsia="宋体" w:hint="default"/>
                <w:sz w:val="21"/>
                <w:szCs w:val="21"/>
              </w:rPr>
            </w:pPr>
            <w:r>
              <w:rPr>
                <w:rFonts w:ascii="宋体" w:hAnsi="宋体" w:cs="宋体" w:eastAsia="宋体" w:hint="default"/>
                <w:sz w:val="21"/>
                <w:szCs w:val="21"/>
              </w:rPr>
              <w:t>1000</w:t>
            </w:r>
            <w:r>
              <w:rPr>
                <w:rFonts w:ascii="宋体" w:hAnsi="宋体" w:cs="宋体" w:eastAsia="宋体" w:hint="default"/>
                <w:spacing w:val="-52"/>
                <w:sz w:val="21"/>
                <w:szCs w:val="21"/>
              </w:rPr>
              <w:t> </w:t>
            </w:r>
            <w:r>
              <w:rPr>
                <w:rFonts w:ascii="宋体" w:hAnsi="宋体" w:cs="宋体" w:eastAsia="宋体" w:hint="default"/>
                <w:spacing w:val="-3"/>
                <w:sz w:val="21"/>
                <w:szCs w:val="21"/>
              </w:rPr>
              <w:t>万</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9"/>
              <w:jc w:val="left"/>
              <w:rPr>
                <w:rFonts w:ascii="宋体" w:hAnsi="宋体" w:cs="宋体" w:eastAsia="宋体" w:hint="default"/>
                <w:sz w:val="21"/>
                <w:szCs w:val="21"/>
              </w:rPr>
            </w:pPr>
            <w:r>
              <w:rPr>
                <w:rFonts w:ascii="宋体" w:hAnsi="宋体" w:cs="宋体" w:eastAsia="宋体" w:hint="default"/>
                <w:spacing w:val="-5"/>
                <w:sz w:val="21"/>
                <w:szCs w:val="21"/>
              </w:rPr>
              <w:t>太阳能相关产品研发、销售</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与运营管理及相关业务</w:t>
            </w:r>
            <w:r>
              <w:rPr>
                <w:rFonts w:ascii="宋体" w:hAnsi="宋体" w:cs="宋体" w:eastAsia="宋体" w:hint="default"/>
                <w:sz w:val="21"/>
                <w:szCs w:val="21"/>
              </w:rPr>
              <w:t> </w:t>
            </w:r>
          </w:p>
        </w:tc>
      </w:tr>
    </w:tbl>
    <w:p>
      <w:pPr>
        <w:spacing w:after="0" w:line="273" w:lineRule="auto"/>
        <w:jc w:val="left"/>
        <w:rPr>
          <w:rFonts w:ascii="宋体" w:hAnsi="宋体" w:cs="宋体" w:eastAsia="宋体" w:hint="default"/>
          <w:sz w:val="21"/>
          <w:szCs w:val="21"/>
        </w:rPr>
        <w:sectPr>
          <w:headerReference w:type="default" r:id="rId25"/>
          <w:footerReference w:type="default" r:id="rId26"/>
          <w:pgSz w:w="11910" w:h="16840"/>
          <w:pgMar w:header="747" w:footer="974" w:top="1140" w:bottom="1160" w:left="700" w:right="1220"/>
          <w:pgNumType w:start="34"/>
        </w:sectPr>
      </w:pPr>
    </w:p>
    <w:p>
      <w:pPr>
        <w:spacing w:line="240" w:lineRule="auto" w:before="7"/>
        <w:rPr>
          <w:rFonts w:ascii="宋体" w:hAnsi="宋体" w:cs="宋体" w:eastAsia="宋体" w:hint="default"/>
          <w:b/>
          <w:bCs/>
          <w:sz w:val="22"/>
          <w:szCs w:val="22"/>
        </w:rPr>
      </w:pPr>
    </w:p>
    <w:tbl>
      <w:tblPr>
        <w:tblW w:w="0" w:type="auto"/>
        <w:jc w:val="left"/>
        <w:tblInd w:w="116" w:type="dxa"/>
        <w:tblLayout w:type="fixed"/>
        <w:tblCellMar>
          <w:top w:w="0" w:type="dxa"/>
          <w:left w:w="0" w:type="dxa"/>
          <w:bottom w:w="0" w:type="dxa"/>
          <w:right w:w="0" w:type="dxa"/>
        </w:tblCellMar>
        <w:tblLook w:val="01E0"/>
      </w:tblPr>
      <w:tblGrid>
        <w:gridCol w:w="740"/>
        <w:gridCol w:w="2552"/>
        <w:gridCol w:w="1378"/>
        <w:gridCol w:w="1109"/>
        <w:gridCol w:w="1274"/>
        <w:gridCol w:w="2693"/>
      </w:tblGrid>
      <w:tr>
        <w:trPr>
          <w:trHeight w:val="629" w:hRule="exact"/>
        </w:trPr>
        <w:tc>
          <w:tcPr>
            <w:tcW w:w="74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44"/>
              <w:ind w:right="155"/>
              <w:jc w:val="right"/>
              <w:rPr>
                <w:rFonts w:ascii="宋体" w:hAnsi="宋体" w:cs="宋体" w:eastAsia="宋体" w:hint="default"/>
                <w:sz w:val="21"/>
                <w:szCs w:val="21"/>
              </w:rPr>
            </w:pPr>
            <w:r>
              <w:rPr>
                <w:rFonts w:ascii="宋体"/>
                <w:sz w:val="21"/>
              </w:rPr>
              <w:t>18 </w:t>
            </w:r>
          </w:p>
        </w:tc>
        <w:tc>
          <w:tcPr>
            <w:tcW w:w="2552" w:type="dxa"/>
            <w:tcBorders>
              <w:top w:val="nil" w:sz="6" w:space="0" w:color="auto"/>
              <w:left w:val="single" w:sz="4" w:space="0" w:color="000000"/>
              <w:bottom w:val="single" w:sz="4" w:space="0" w:color="000000"/>
              <w:right w:val="single" w:sz="4" w:space="0" w:color="000000"/>
            </w:tcBorders>
          </w:tcPr>
          <w:p>
            <w:pPr>
              <w:pStyle w:val="TableParagraph"/>
              <w:spacing w:line="273" w:lineRule="auto"/>
              <w:ind w:left="103" w:right="123"/>
              <w:jc w:val="left"/>
              <w:rPr>
                <w:rFonts w:ascii="宋体" w:hAnsi="宋体" w:cs="宋体" w:eastAsia="宋体" w:hint="default"/>
                <w:sz w:val="21"/>
                <w:szCs w:val="21"/>
              </w:rPr>
            </w:pPr>
            <w:r>
              <w:rPr>
                <w:rFonts w:ascii="宋体" w:hAnsi="宋体" w:cs="宋体" w:eastAsia="宋体" w:hint="default"/>
                <w:spacing w:val="-2"/>
                <w:sz w:val="21"/>
                <w:szCs w:val="21"/>
              </w:rPr>
              <w:t>含山县陶阳新能源科技有</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限公司</w:t>
            </w:r>
            <w:r>
              <w:rPr>
                <w:rFonts w:ascii="宋体" w:hAnsi="宋体" w:cs="宋体" w:eastAsia="宋体" w:hint="default"/>
                <w:sz w:val="21"/>
                <w:szCs w:val="21"/>
              </w:rPr>
              <w:t> </w:t>
            </w:r>
          </w:p>
        </w:tc>
        <w:tc>
          <w:tcPr>
            <w:tcW w:w="137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44"/>
              <w:ind w:left="100" w:right="0"/>
              <w:jc w:val="center"/>
              <w:rPr>
                <w:rFonts w:ascii="宋体" w:hAnsi="宋体" w:cs="宋体" w:eastAsia="宋体" w:hint="default"/>
                <w:sz w:val="21"/>
                <w:szCs w:val="21"/>
              </w:rPr>
            </w:pPr>
            <w:r>
              <w:rPr>
                <w:rFonts w:ascii="宋体"/>
                <w:sz w:val="21"/>
              </w:rPr>
              <w:t>2019/11/5 </w:t>
            </w:r>
          </w:p>
        </w:tc>
        <w:tc>
          <w:tcPr>
            <w:tcW w:w="1109" w:type="dxa"/>
            <w:tcBorders>
              <w:top w:val="nil" w:sz="6" w:space="0" w:color="auto"/>
              <w:left w:val="single" w:sz="4" w:space="0" w:color="000000"/>
              <w:bottom w:val="single" w:sz="4" w:space="0" w:color="000000"/>
              <w:right w:val="single" w:sz="4" w:space="0" w:color="000000"/>
            </w:tcBorders>
          </w:tcPr>
          <w:p>
            <w:pPr>
              <w:pStyle w:val="TableParagraph"/>
              <w:spacing w:line="273" w:lineRule="auto"/>
              <w:ind w:left="441" w:right="127" w:hanging="315"/>
              <w:jc w:val="left"/>
              <w:rPr>
                <w:rFonts w:ascii="宋体" w:hAnsi="宋体" w:cs="宋体" w:eastAsia="宋体" w:hint="default"/>
                <w:sz w:val="21"/>
                <w:szCs w:val="21"/>
              </w:rPr>
            </w:pPr>
            <w:r>
              <w:rPr>
                <w:rFonts w:ascii="宋体" w:hAnsi="宋体" w:cs="宋体" w:eastAsia="宋体" w:hint="default"/>
                <w:sz w:val="21"/>
                <w:szCs w:val="21"/>
              </w:rPr>
              <w:t>安徽马鞍</w:t>
            </w:r>
            <w:r>
              <w:rPr>
                <w:rFonts w:ascii="宋体" w:hAnsi="宋体" w:cs="宋体" w:eastAsia="宋体" w:hint="default"/>
                <w:w w:val="100"/>
                <w:sz w:val="21"/>
                <w:szCs w:val="21"/>
              </w:rPr>
              <w:t> </w:t>
            </w:r>
            <w:r>
              <w:rPr>
                <w:rFonts w:ascii="宋体" w:hAnsi="宋体" w:cs="宋体" w:eastAsia="宋体" w:hint="default"/>
                <w:sz w:val="21"/>
                <w:szCs w:val="21"/>
              </w:rPr>
              <w:t>山</w:t>
            </w:r>
            <w:r>
              <w:rPr>
                <w:rFonts w:ascii="宋体" w:hAnsi="宋体" w:cs="宋体" w:eastAsia="宋体" w:hint="default"/>
                <w:sz w:val="21"/>
                <w:szCs w:val="21"/>
              </w:rPr>
              <w:t> </w:t>
            </w:r>
          </w:p>
        </w:tc>
        <w:tc>
          <w:tcPr>
            <w:tcW w:w="127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44"/>
              <w:ind w:right="185"/>
              <w:jc w:val="right"/>
              <w:rPr>
                <w:rFonts w:ascii="宋体" w:hAnsi="宋体" w:cs="宋体" w:eastAsia="宋体" w:hint="default"/>
                <w:sz w:val="21"/>
                <w:szCs w:val="21"/>
              </w:rPr>
            </w:pPr>
            <w:r>
              <w:rPr>
                <w:rFonts w:ascii="宋体" w:hAnsi="宋体" w:cs="宋体" w:eastAsia="宋体" w:hint="default"/>
                <w:sz w:val="21"/>
                <w:szCs w:val="21"/>
              </w:rPr>
              <w:t>1000</w:t>
            </w:r>
            <w:r>
              <w:rPr>
                <w:rFonts w:ascii="宋体" w:hAnsi="宋体" w:cs="宋体" w:eastAsia="宋体" w:hint="default"/>
                <w:spacing w:val="-52"/>
                <w:sz w:val="21"/>
                <w:szCs w:val="21"/>
              </w:rPr>
              <w:t> </w:t>
            </w:r>
            <w:r>
              <w:rPr>
                <w:rFonts w:ascii="宋体" w:hAnsi="宋体" w:cs="宋体" w:eastAsia="宋体" w:hint="default"/>
                <w:spacing w:val="-3"/>
                <w:sz w:val="21"/>
                <w:szCs w:val="21"/>
              </w:rPr>
              <w:t>万</w:t>
            </w:r>
            <w:r>
              <w:rPr>
                <w:rFonts w:ascii="宋体" w:hAnsi="宋体" w:cs="宋体" w:eastAsia="宋体" w:hint="default"/>
                <w:sz w:val="21"/>
                <w:szCs w:val="21"/>
              </w:rPr>
              <w:t> </w:t>
            </w:r>
          </w:p>
        </w:tc>
        <w:tc>
          <w:tcPr>
            <w:tcW w:w="2693" w:type="dxa"/>
            <w:tcBorders>
              <w:top w:val="nil" w:sz="6" w:space="0" w:color="auto"/>
              <w:left w:val="single" w:sz="4" w:space="0" w:color="000000"/>
              <w:bottom w:val="single" w:sz="4" w:space="0" w:color="000000"/>
              <w:right w:val="single" w:sz="4" w:space="0" w:color="000000"/>
            </w:tcBorders>
          </w:tcPr>
          <w:p>
            <w:pPr>
              <w:pStyle w:val="TableParagraph"/>
              <w:spacing w:line="273" w:lineRule="auto"/>
              <w:ind w:left="103" w:right="99"/>
              <w:jc w:val="left"/>
              <w:rPr>
                <w:rFonts w:ascii="宋体" w:hAnsi="宋体" w:cs="宋体" w:eastAsia="宋体" w:hint="default"/>
                <w:sz w:val="21"/>
                <w:szCs w:val="21"/>
              </w:rPr>
            </w:pPr>
            <w:r>
              <w:rPr>
                <w:rFonts w:ascii="宋体" w:hAnsi="宋体" w:cs="宋体" w:eastAsia="宋体" w:hint="default"/>
                <w:spacing w:val="-5"/>
                <w:sz w:val="21"/>
                <w:szCs w:val="21"/>
              </w:rPr>
              <w:t>太阳能相关产品研发、销售</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与运营管理及相关业务</w:t>
            </w:r>
            <w:r>
              <w:rPr>
                <w:rFonts w:ascii="宋体" w:hAnsi="宋体" w:cs="宋体" w:eastAsia="宋体" w:hint="default"/>
                <w:sz w:val="21"/>
                <w:szCs w:val="21"/>
              </w:rPr>
              <w:t> </w:t>
            </w:r>
          </w:p>
        </w:tc>
      </w:tr>
      <w:tr>
        <w:trPr>
          <w:trHeight w:val="634" w:hRule="exact"/>
        </w:trPr>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55"/>
              <w:jc w:val="right"/>
              <w:rPr>
                <w:rFonts w:ascii="宋体" w:hAnsi="宋体" w:cs="宋体" w:eastAsia="宋体" w:hint="default"/>
                <w:sz w:val="21"/>
                <w:szCs w:val="21"/>
              </w:rPr>
            </w:pPr>
            <w:r>
              <w:rPr>
                <w:rFonts w:ascii="宋体"/>
                <w:sz w:val="21"/>
              </w:rPr>
              <w:t>19 </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23"/>
              <w:jc w:val="left"/>
              <w:rPr>
                <w:rFonts w:ascii="宋体" w:hAnsi="宋体" w:cs="宋体" w:eastAsia="宋体" w:hint="default"/>
                <w:sz w:val="21"/>
                <w:szCs w:val="21"/>
              </w:rPr>
            </w:pPr>
            <w:r>
              <w:rPr>
                <w:rFonts w:ascii="宋体" w:hAnsi="宋体" w:cs="宋体" w:eastAsia="宋体" w:hint="default"/>
                <w:spacing w:val="-2"/>
                <w:sz w:val="21"/>
                <w:szCs w:val="21"/>
              </w:rPr>
              <w:t>宣城市永欣新能源科技有</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限公司</w:t>
            </w:r>
            <w:r>
              <w:rPr>
                <w:rFonts w:ascii="宋体" w:hAnsi="宋体" w:cs="宋体" w:eastAsia="宋体" w:hint="default"/>
                <w:sz w:val="21"/>
                <w:szCs w:val="21"/>
              </w:rPr>
              <w:t> </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0" w:right="0"/>
              <w:jc w:val="center"/>
              <w:rPr>
                <w:rFonts w:ascii="宋体" w:hAnsi="宋体" w:cs="宋体" w:eastAsia="宋体" w:hint="default"/>
                <w:sz w:val="21"/>
                <w:szCs w:val="21"/>
              </w:rPr>
            </w:pPr>
            <w:r>
              <w:rPr>
                <w:rFonts w:ascii="宋体"/>
                <w:sz w:val="21"/>
              </w:rPr>
              <w:t>2019/11/14 </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4"/>
              <w:jc w:val="right"/>
              <w:rPr>
                <w:rFonts w:ascii="宋体" w:hAnsi="宋体" w:cs="宋体" w:eastAsia="宋体" w:hint="default"/>
                <w:sz w:val="21"/>
                <w:szCs w:val="21"/>
              </w:rPr>
            </w:pPr>
            <w:r>
              <w:rPr>
                <w:rFonts w:ascii="宋体" w:hAnsi="宋体" w:cs="宋体" w:eastAsia="宋体" w:hint="default"/>
                <w:spacing w:val="-2"/>
                <w:sz w:val="21"/>
                <w:szCs w:val="21"/>
              </w:rPr>
              <w:t>安徽宣城</w:t>
            </w:r>
            <w:r>
              <w:rPr>
                <w:rFonts w:ascii="宋体" w:hAnsi="宋体" w:cs="宋体" w:eastAsia="宋体" w:hint="default"/>
                <w:sz w:val="21"/>
                <w:szCs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85"/>
              <w:jc w:val="right"/>
              <w:rPr>
                <w:rFonts w:ascii="宋体" w:hAnsi="宋体" w:cs="宋体" w:eastAsia="宋体" w:hint="default"/>
                <w:sz w:val="21"/>
                <w:szCs w:val="21"/>
              </w:rPr>
            </w:pPr>
            <w:r>
              <w:rPr>
                <w:rFonts w:ascii="宋体" w:hAnsi="宋体" w:cs="宋体" w:eastAsia="宋体" w:hint="default"/>
                <w:sz w:val="21"/>
                <w:szCs w:val="21"/>
              </w:rPr>
              <w:t>1000</w:t>
            </w:r>
            <w:r>
              <w:rPr>
                <w:rFonts w:ascii="宋体" w:hAnsi="宋体" w:cs="宋体" w:eastAsia="宋体" w:hint="default"/>
                <w:spacing w:val="-52"/>
                <w:sz w:val="21"/>
                <w:szCs w:val="21"/>
              </w:rPr>
              <w:t> </w:t>
            </w:r>
            <w:r>
              <w:rPr>
                <w:rFonts w:ascii="宋体" w:hAnsi="宋体" w:cs="宋体" w:eastAsia="宋体" w:hint="default"/>
                <w:spacing w:val="-3"/>
                <w:sz w:val="21"/>
                <w:szCs w:val="21"/>
              </w:rPr>
              <w:t>万</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9"/>
              <w:jc w:val="left"/>
              <w:rPr>
                <w:rFonts w:ascii="宋体" w:hAnsi="宋体" w:cs="宋体" w:eastAsia="宋体" w:hint="default"/>
                <w:sz w:val="21"/>
                <w:szCs w:val="21"/>
              </w:rPr>
            </w:pPr>
            <w:r>
              <w:rPr>
                <w:rFonts w:ascii="宋体" w:hAnsi="宋体" w:cs="宋体" w:eastAsia="宋体" w:hint="default"/>
                <w:spacing w:val="-5"/>
                <w:sz w:val="21"/>
                <w:szCs w:val="21"/>
              </w:rPr>
              <w:t>太阳能相关产品研发、销售</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与运营管理及相关业务</w:t>
            </w:r>
            <w:r>
              <w:rPr>
                <w:rFonts w:ascii="宋体" w:hAnsi="宋体" w:cs="宋体" w:eastAsia="宋体" w:hint="default"/>
                <w:sz w:val="21"/>
                <w:szCs w:val="21"/>
              </w:rPr>
              <w:t> </w:t>
            </w:r>
          </w:p>
        </w:tc>
      </w:tr>
      <w:tr>
        <w:trPr>
          <w:trHeight w:val="634" w:hRule="exact"/>
        </w:trPr>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55"/>
              <w:jc w:val="right"/>
              <w:rPr>
                <w:rFonts w:ascii="宋体" w:hAnsi="宋体" w:cs="宋体" w:eastAsia="宋体" w:hint="default"/>
                <w:sz w:val="21"/>
                <w:szCs w:val="21"/>
              </w:rPr>
            </w:pPr>
            <w:r>
              <w:rPr>
                <w:rFonts w:ascii="宋体"/>
                <w:sz w:val="21"/>
              </w:rPr>
              <w:t>20 </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23"/>
              <w:jc w:val="left"/>
              <w:rPr>
                <w:rFonts w:ascii="宋体" w:hAnsi="宋体" w:cs="宋体" w:eastAsia="宋体" w:hint="default"/>
                <w:sz w:val="21"/>
                <w:szCs w:val="21"/>
              </w:rPr>
            </w:pPr>
            <w:r>
              <w:rPr>
                <w:rFonts w:ascii="宋体" w:hAnsi="宋体" w:cs="宋体" w:eastAsia="宋体" w:hint="default"/>
                <w:spacing w:val="-2"/>
                <w:sz w:val="21"/>
                <w:szCs w:val="21"/>
              </w:rPr>
              <w:t>宣城市永洋新能源科技有</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限公司</w:t>
            </w:r>
            <w:r>
              <w:rPr>
                <w:rFonts w:ascii="宋体" w:hAnsi="宋体" w:cs="宋体" w:eastAsia="宋体" w:hint="default"/>
                <w:sz w:val="21"/>
                <w:szCs w:val="21"/>
              </w:rPr>
              <w:t> </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0" w:right="0"/>
              <w:jc w:val="center"/>
              <w:rPr>
                <w:rFonts w:ascii="宋体" w:hAnsi="宋体" w:cs="宋体" w:eastAsia="宋体" w:hint="default"/>
                <w:sz w:val="21"/>
                <w:szCs w:val="21"/>
              </w:rPr>
            </w:pPr>
            <w:r>
              <w:rPr>
                <w:rFonts w:ascii="宋体"/>
                <w:sz w:val="21"/>
              </w:rPr>
              <w:t>2019/11/15 </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4"/>
              <w:jc w:val="right"/>
              <w:rPr>
                <w:rFonts w:ascii="宋体" w:hAnsi="宋体" w:cs="宋体" w:eastAsia="宋体" w:hint="default"/>
                <w:sz w:val="21"/>
                <w:szCs w:val="21"/>
              </w:rPr>
            </w:pPr>
            <w:r>
              <w:rPr>
                <w:rFonts w:ascii="宋体" w:hAnsi="宋体" w:cs="宋体" w:eastAsia="宋体" w:hint="default"/>
                <w:spacing w:val="-2"/>
                <w:sz w:val="21"/>
                <w:szCs w:val="21"/>
              </w:rPr>
              <w:t>安徽宣城</w:t>
            </w:r>
            <w:r>
              <w:rPr>
                <w:rFonts w:ascii="宋体" w:hAnsi="宋体" w:cs="宋体" w:eastAsia="宋体" w:hint="default"/>
                <w:sz w:val="21"/>
                <w:szCs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85"/>
              <w:jc w:val="right"/>
              <w:rPr>
                <w:rFonts w:ascii="宋体" w:hAnsi="宋体" w:cs="宋体" w:eastAsia="宋体" w:hint="default"/>
                <w:sz w:val="21"/>
                <w:szCs w:val="21"/>
              </w:rPr>
            </w:pPr>
            <w:r>
              <w:rPr>
                <w:rFonts w:ascii="宋体" w:hAnsi="宋体" w:cs="宋体" w:eastAsia="宋体" w:hint="default"/>
                <w:sz w:val="21"/>
                <w:szCs w:val="21"/>
              </w:rPr>
              <w:t>1000</w:t>
            </w:r>
            <w:r>
              <w:rPr>
                <w:rFonts w:ascii="宋体" w:hAnsi="宋体" w:cs="宋体" w:eastAsia="宋体" w:hint="default"/>
                <w:spacing w:val="-52"/>
                <w:sz w:val="21"/>
                <w:szCs w:val="21"/>
              </w:rPr>
              <w:t> </w:t>
            </w:r>
            <w:r>
              <w:rPr>
                <w:rFonts w:ascii="宋体" w:hAnsi="宋体" w:cs="宋体" w:eastAsia="宋体" w:hint="default"/>
                <w:spacing w:val="-3"/>
                <w:sz w:val="21"/>
                <w:szCs w:val="21"/>
              </w:rPr>
              <w:t>万</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9"/>
              <w:jc w:val="left"/>
              <w:rPr>
                <w:rFonts w:ascii="宋体" w:hAnsi="宋体" w:cs="宋体" w:eastAsia="宋体" w:hint="default"/>
                <w:sz w:val="21"/>
                <w:szCs w:val="21"/>
              </w:rPr>
            </w:pPr>
            <w:r>
              <w:rPr>
                <w:rFonts w:ascii="宋体" w:hAnsi="宋体" w:cs="宋体" w:eastAsia="宋体" w:hint="default"/>
                <w:spacing w:val="-5"/>
                <w:sz w:val="21"/>
                <w:szCs w:val="21"/>
              </w:rPr>
              <w:t>太阳能相关产品研发、销售</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与运营管理及相关业务</w:t>
            </w:r>
            <w:r>
              <w:rPr>
                <w:rFonts w:ascii="宋体" w:hAnsi="宋体" w:cs="宋体" w:eastAsia="宋体" w:hint="default"/>
                <w:sz w:val="21"/>
                <w:szCs w:val="21"/>
              </w:rPr>
              <w:t> </w:t>
            </w:r>
          </w:p>
        </w:tc>
      </w:tr>
      <w:tr>
        <w:trPr>
          <w:trHeight w:val="634" w:hRule="exact"/>
        </w:trPr>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55"/>
              <w:jc w:val="right"/>
              <w:rPr>
                <w:rFonts w:ascii="宋体" w:hAnsi="宋体" w:cs="宋体" w:eastAsia="宋体" w:hint="default"/>
                <w:sz w:val="21"/>
                <w:szCs w:val="21"/>
              </w:rPr>
            </w:pPr>
            <w:r>
              <w:rPr>
                <w:rFonts w:ascii="宋体"/>
                <w:sz w:val="21"/>
              </w:rPr>
              <w:t>21 </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23"/>
              <w:jc w:val="left"/>
              <w:rPr>
                <w:rFonts w:ascii="宋体" w:hAnsi="宋体" w:cs="宋体" w:eastAsia="宋体" w:hint="default"/>
                <w:sz w:val="21"/>
                <w:szCs w:val="21"/>
              </w:rPr>
            </w:pPr>
            <w:r>
              <w:rPr>
                <w:rFonts w:ascii="宋体" w:hAnsi="宋体" w:cs="宋体" w:eastAsia="宋体" w:hint="default"/>
                <w:spacing w:val="-2"/>
                <w:sz w:val="21"/>
                <w:szCs w:val="21"/>
              </w:rPr>
              <w:t>宿迁林洋电力科技有限公</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司</w:t>
            </w:r>
            <w:r>
              <w:rPr>
                <w:rFonts w:ascii="宋体" w:hAnsi="宋体" w:cs="宋体" w:eastAsia="宋体" w:hint="default"/>
                <w:sz w:val="21"/>
                <w:szCs w:val="21"/>
              </w:rPr>
              <w:t> </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0" w:right="0"/>
              <w:jc w:val="center"/>
              <w:rPr>
                <w:rFonts w:ascii="宋体" w:hAnsi="宋体" w:cs="宋体" w:eastAsia="宋体" w:hint="default"/>
                <w:sz w:val="21"/>
                <w:szCs w:val="21"/>
              </w:rPr>
            </w:pPr>
            <w:r>
              <w:rPr>
                <w:rFonts w:ascii="宋体"/>
                <w:sz w:val="21"/>
              </w:rPr>
              <w:t>2019/12/4 </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4"/>
              <w:jc w:val="right"/>
              <w:rPr>
                <w:rFonts w:ascii="宋体" w:hAnsi="宋体" w:cs="宋体" w:eastAsia="宋体" w:hint="default"/>
                <w:sz w:val="21"/>
                <w:szCs w:val="21"/>
              </w:rPr>
            </w:pPr>
            <w:r>
              <w:rPr>
                <w:rFonts w:ascii="宋体" w:hAnsi="宋体" w:cs="宋体" w:eastAsia="宋体" w:hint="default"/>
                <w:spacing w:val="-2"/>
                <w:sz w:val="21"/>
                <w:szCs w:val="21"/>
              </w:rPr>
              <w:t>江苏泗洪</w:t>
            </w:r>
            <w:r>
              <w:rPr>
                <w:rFonts w:ascii="宋体" w:hAnsi="宋体" w:cs="宋体" w:eastAsia="宋体" w:hint="default"/>
                <w:sz w:val="21"/>
                <w:szCs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85"/>
              <w:jc w:val="right"/>
              <w:rPr>
                <w:rFonts w:ascii="宋体" w:hAnsi="宋体" w:cs="宋体" w:eastAsia="宋体" w:hint="default"/>
                <w:sz w:val="21"/>
                <w:szCs w:val="21"/>
              </w:rPr>
            </w:pPr>
            <w:r>
              <w:rPr>
                <w:rFonts w:ascii="宋体" w:hAnsi="宋体" w:cs="宋体" w:eastAsia="宋体" w:hint="default"/>
                <w:sz w:val="21"/>
                <w:szCs w:val="21"/>
              </w:rPr>
              <w:t>3000</w:t>
            </w:r>
            <w:r>
              <w:rPr>
                <w:rFonts w:ascii="宋体" w:hAnsi="宋体" w:cs="宋体" w:eastAsia="宋体" w:hint="default"/>
                <w:spacing w:val="-52"/>
                <w:sz w:val="21"/>
                <w:szCs w:val="21"/>
              </w:rPr>
              <w:t> </w:t>
            </w:r>
            <w:r>
              <w:rPr>
                <w:rFonts w:ascii="宋体" w:hAnsi="宋体" w:cs="宋体" w:eastAsia="宋体" w:hint="default"/>
                <w:spacing w:val="-3"/>
                <w:sz w:val="21"/>
                <w:szCs w:val="21"/>
              </w:rPr>
              <w:t>万</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64"/>
              <w:jc w:val="left"/>
              <w:rPr>
                <w:rFonts w:ascii="宋体" w:hAnsi="宋体" w:cs="宋体" w:eastAsia="宋体" w:hint="default"/>
                <w:sz w:val="21"/>
                <w:szCs w:val="21"/>
              </w:rPr>
            </w:pPr>
            <w:r>
              <w:rPr>
                <w:rFonts w:ascii="宋体" w:hAnsi="宋体" w:cs="宋体" w:eastAsia="宋体" w:hint="default"/>
                <w:spacing w:val="-2"/>
                <w:sz w:val="21"/>
                <w:szCs w:val="21"/>
              </w:rPr>
              <w:t>智能仪器仪表制造及光伏</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运维</w:t>
            </w:r>
            <w:r>
              <w:rPr>
                <w:rFonts w:ascii="宋体" w:hAnsi="宋体" w:cs="宋体" w:eastAsia="宋体" w:hint="default"/>
                <w:sz w:val="21"/>
                <w:szCs w:val="21"/>
              </w:rPr>
              <w:t> </w:t>
            </w:r>
          </w:p>
        </w:tc>
      </w:tr>
      <w:tr>
        <w:trPr>
          <w:trHeight w:val="636" w:hRule="exact"/>
        </w:trPr>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55"/>
              <w:jc w:val="right"/>
              <w:rPr>
                <w:rFonts w:ascii="宋体" w:hAnsi="宋体" w:cs="宋体" w:eastAsia="宋体" w:hint="default"/>
                <w:sz w:val="21"/>
                <w:szCs w:val="21"/>
              </w:rPr>
            </w:pPr>
            <w:r>
              <w:rPr>
                <w:rFonts w:ascii="宋体"/>
                <w:sz w:val="21"/>
              </w:rPr>
              <w:t>22 </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23"/>
              <w:jc w:val="left"/>
              <w:rPr>
                <w:rFonts w:ascii="宋体" w:hAnsi="宋体" w:cs="宋体" w:eastAsia="宋体" w:hint="default"/>
                <w:sz w:val="21"/>
                <w:szCs w:val="21"/>
              </w:rPr>
            </w:pPr>
            <w:r>
              <w:rPr>
                <w:rFonts w:ascii="宋体" w:hAnsi="宋体" w:cs="宋体" w:eastAsia="宋体" w:hint="default"/>
                <w:spacing w:val="-2"/>
                <w:sz w:val="21"/>
                <w:szCs w:val="21"/>
              </w:rPr>
              <w:t>石家庄围口新能源科技有</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限公司</w:t>
            </w:r>
            <w:r>
              <w:rPr>
                <w:rFonts w:ascii="宋体" w:hAnsi="宋体" w:cs="宋体" w:eastAsia="宋体" w:hint="default"/>
                <w:sz w:val="21"/>
                <w:szCs w:val="21"/>
              </w:rPr>
              <w:t> </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100" w:right="0"/>
              <w:jc w:val="center"/>
              <w:rPr>
                <w:rFonts w:ascii="宋体" w:hAnsi="宋体" w:cs="宋体" w:eastAsia="宋体" w:hint="default"/>
                <w:sz w:val="21"/>
                <w:szCs w:val="21"/>
              </w:rPr>
            </w:pPr>
            <w:r>
              <w:rPr>
                <w:rFonts w:ascii="宋体"/>
                <w:sz w:val="21"/>
              </w:rPr>
              <w:t>2019/12/31 </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441" w:right="127" w:hanging="315"/>
              <w:jc w:val="left"/>
              <w:rPr>
                <w:rFonts w:ascii="宋体" w:hAnsi="宋体" w:cs="宋体" w:eastAsia="宋体" w:hint="default"/>
                <w:sz w:val="21"/>
                <w:szCs w:val="21"/>
              </w:rPr>
            </w:pPr>
            <w:r>
              <w:rPr>
                <w:rFonts w:ascii="宋体" w:hAnsi="宋体" w:cs="宋体" w:eastAsia="宋体" w:hint="default"/>
                <w:sz w:val="21"/>
                <w:szCs w:val="21"/>
              </w:rPr>
              <w:t>河北石家</w:t>
            </w:r>
            <w:r>
              <w:rPr>
                <w:rFonts w:ascii="宋体" w:hAnsi="宋体" w:cs="宋体" w:eastAsia="宋体" w:hint="default"/>
                <w:w w:val="100"/>
                <w:sz w:val="21"/>
                <w:szCs w:val="21"/>
              </w:rPr>
              <w:t> </w:t>
            </w:r>
            <w:r>
              <w:rPr>
                <w:rFonts w:ascii="宋体" w:hAnsi="宋体" w:cs="宋体" w:eastAsia="宋体" w:hint="default"/>
                <w:sz w:val="21"/>
                <w:szCs w:val="21"/>
              </w:rPr>
              <w:t>庄</w:t>
            </w:r>
            <w:r>
              <w:rPr>
                <w:rFonts w:ascii="宋体" w:hAnsi="宋体" w:cs="宋体" w:eastAsia="宋体" w:hint="default"/>
                <w:sz w:val="21"/>
                <w:szCs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85"/>
              <w:jc w:val="right"/>
              <w:rPr>
                <w:rFonts w:ascii="宋体" w:hAnsi="宋体" w:cs="宋体" w:eastAsia="宋体" w:hint="default"/>
                <w:sz w:val="21"/>
                <w:szCs w:val="21"/>
              </w:rPr>
            </w:pPr>
            <w:r>
              <w:rPr>
                <w:rFonts w:ascii="宋体" w:hAnsi="宋体" w:cs="宋体" w:eastAsia="宋体" w:hint="default"/>
                <w:sz w:val="21"/>
                <w:szCs w:val="21"/>
              </w:rPr>
              <w:t>1000</w:t>
            </w:r>
            <w:r>
              <w:rPr>
                <w:rFonts w:ascii="宋体" w:hAnsi="宋体" w:cs="宋体" w:eastAsia="宋体" w:hint="default"/>
                <w:spacing w:val="-52"/>
                <w:sz w:val="21"/>
                <w:szCs w:val="21"/>
              </w:rPr>
              <w:t> </w:t>
            </w:r>
            <w:r>
              <w:rPr>
                <w:rFonts w:ascii="宋体" w:hAnsi="宋体" w:cs="宋体" w:eastAsia="宋体" w:hint="default"/>
                <w:spacing w:val="-3"/>
                <w:sz w:val="21"/>
                <w:szCs w:val="21"/>
              </w:rPr>
              <w:t>万</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9"/>
              <w:jc w:val="left"/>
              <w:rPr>
                <w:rFonts w:ascii="宋体" w:hAnsi="宋体" w:cs="宋体" w:eastAsia="宋体" w:hint="default"/>
                <w:sz w:val="21"/>
                <w:szCs w:val="21"/>
              </w:rPr>
            </w:pPr>
            <w:r>
              <w:rPr>
                <w:rFonts w:ascii="宋体" w:hAnsi="宋体" w:cs="宋体" w:eastAsia="宋体" w:hint="default"/>
                <w:spacing w:val="-5"/>
                <w:sz w:val="21"/>
                <w:szCs w:val="21"/>
              </w:rPr>
              <w:t>太阳能相关产品研发、销售</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与运营管理及相关业务</w:t>
            </w:r>
            <w:r>
              <w:rPr>
                <w:rFonts w:ascii="宋体" w:hAnsi="宋体" w:cs="宋体" w:eastAsia="宋体" w:hint="default"/>
                <w:sz w:val="21"/>
                <w:szCs w:val="21"/>
              </w:rPr>
              <w:t> </w:t>
            </w:r>
          </w:p>
        </w:tc>
      </w:tr>
    </w:tbl>
    <w:p>
      <w:pPr>
        <w:spacing w:line="240" w:lineRule="auto" w:before="2"/>
        <w:rPr>
          <w:rFonts w:ascii="宋体" w:hAnsi="宋体" w:cs="宋体" w:eastAsia="宋体" w:hint="default"/>
          <w:b/>
          <w:bCs/>
          <w:sz w:val="20"/>
          <w:szCs w:val="20"/>
        </w:rPr>
      </w:pPr>
    </w:p>
    <w:p>
      <w:pPr>
        <w:pStyle w:val="Heading3"/>
        <w:spacing w:line="240" w:lineRule="auto" w:before="36"/>
        <w:ind w:left="999" w:right="0"/>
        <w:jc w:val="left"/>
        <w:rPr>
          <w:rFonts w:ascii="宋体" w:hAnsi="宋体" w:cs="宋体" w:eastAsia="宋体" w:hint="default"/>
          <w:b w:val="0"/>
          <w:bCs w:val="0"/>
        </w:rPr>
      </w:pPr>
      <w:r>
        <w:rPr>
          <w:rFonts w:ascii="宋体" w:hAnsi="宋体" w:cs="宋体" w:eastAsia="宋体" w:hint="default"/>
        </w:rPr>
        <w:t>2</w:t>
      </w:r>
      <w:r>
        <w:rPr/>
        <w:t>、报告期内对子公司增资情况</w:t>
      </w:r>
      <w:r>
        <w:rPr>
          <w:rFonts w:ascii="宋体" w:hAnsi="宋体" w:cs="宋体" w:eastAsia="宋体" w:hint="default"/>
          <w:w w:val="99"/>
        </w:rPr>
        <w:t> </w:t>
      </w:r>
      <w:r>
        <w:rPr>
          <w:rFonts w:ascii="宋体" w:hAnsi="宋体" w:cs="宋体" w:eastAsia="宋体" w:hint="default"/>
          <w:b w:val="0"/>
          <w:bCs w:val="0"/>
        </w:rPr>
      </w:r>
    </w:p>
    <w:p>
      <w:pPr>
        <w:spacing w:line="240" w:lineRule="auto" w:before="10"/>
        <w:rPr>
          <w:rFonts w:ascii="宋体" w:hAnsi="宋体" w:cs="宋体" w:eastAsia="宋体" w:hint="default"/>
          <w:b/>
          <w:bCs/>
          <w:sz w:val="3"/>
          <w:szCs w:val="3"/>
        </w:rPr>
      </w:pPr>
    </w:p>
    <w:tbl>
      <w:tblPr>
        <w:tblW w:w="0" w:type="auto"/>
        <w:jc w:val="left"/>
        <w:tblInd w:w="118" w:type="dxa"/>
        <w:tblLayout w:type="fixed"/>
        <w:tblCellMar>
          <w:top w:w="0" w:type="dxa"/>
          <w:left w:w="0" w:type="dxa"/>
          <w:bottom w:w="0" w:type="dxa"/>
          <w:right w:w="0" w:type="dxa"/>
        </w:tblCellMar>
        <w:tblLook w:val="01E0"/>
      </w:tblPr>
      <w:tblGrid>
        <w:gridCol w:w="711"/>
        <w:gridCol w:w="2410"/>
        <w:gridCol w:w="1303"/>
        <w:gridCol w:w="1248"/>
        <w:gridCol w:w="1274"/>
        <w:gridCol w:w="2794"/>
      </w:tblGrid>
      <w:tr>
        <w:trPr>
          <w:trHeight w:val="339"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center"/>
              <w:rPr>
                <w:rFonts w:ascii="宋体" w:hAnsi="宋体" w:cs="宋体" w:eastAsia="宋体" w:hint="default"/>
                <w:sz w:val="21"/>
                <w:szCs w:val="21"/>
              </w:rPr>
            </w:pPr>
            <w:r>
              <w:rPr>
                <w:rFonts w:ascii="宋体" w:hAnsi="宋体" w:cs="宋体" w:eastAsia="宋体" w:hint="default"/>
                <w:sz w:val="21"/>
                <w:szCs w:val="21"/>
              </w:rPr>
              <w:t>序号</w:t>
            </w:r>
            <w:r>
              <w:rPr>
                <w:rFonts w:ascii="宋体" w:hAnsi="宋体" w:cs="宋体" w:eastAsia="宋体" w:hint="default"/>
                <w:sz w:val="21"/>
                <w:szCs w:val="21"/>
              </w:rPr>
              <w:t> </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777" w:right="0"/>
              <w:jc w:val="left"/>
              <w:rPr>
                <w:rFonts w:ascii="宋体" w:hAnsi="宋体" w:cs="宋体" w:eastAsia="宋体" w:hint="default"/>
                <w:sz w:val="21"/>
                <w:szCs w:val="21"/>
              </w:rPr>
            </w:pPr>
            <w:r>
              <w:rPr>
                <w:rFonts w:ascii="宋体" w:hAnsi="宋体" w:cs="宋体" w:eastAsia="宋体" w:hint="default"/>
                <w:sz w:val="21"/>
                <w:szCs w:val="21"/>
              </w:rPr>
              <w:t>公司名称</w:t>
            </w:r>
            <w:r>
              <w:rPr>
                <w:rFonts w:ascii="宋体" w:hAnsi="宋体" w:cs="宋体" w:eastAsia="宋体" w:hint="default"/>
                <w:sz w:val="21"/>
                <w:szCs w:val="21"/>
              </w:rPr>
              <w:t> </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center"/>
              <w:rPr>
                <w:rFonts w:ascii="宋体" w:hAnsi="宋体" w:cs="宋体" w:eastAsia="宋体" w:hint="default"/>
                <w:sz w:val="21"/>
                <w:szCs w:val="21"/>
              </w:rPr>
            </w:pPr>
            <w:r>
              <w:rPr>
                <w:rFonts w:ascii="宋体" w:hAnsi="宋体" w:cs="宋体" w:eastAsia="宋体" w:hint="default"/>
                <w:sz w:val="21"/>
                <w:szCs w:val="21"/>
              </w:rPr>
              <w:t>增资时间</w:t>
            </w:r>
            <w:r>
              <w:rPr>
                <w:rFonts w:ascii="宋体" w:hAnsi="宋体" w:cs="宋体" w:eastAsia="宋体" w:hint="default"/>
                <w:sz w:val="21"/>
                <w:szCs w:val="21"/>
              </w:rPr>
              <w:t> </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97" w:right="0"/>
              <w:jc w:val="center"/>
              <w:rPr>
                <w:rFonts w:ascii="宋体" w:hAnsi="宋体" w:cs="宋体" w:eastAsia="宋体" w:hint="default"/>
                <w:sz w:val="21"/>
                <w:szCs w:val="21"/>
              </w:rPr>
            </w:pPr>
            <w:r>
              <w:rPr>
                <w:rFonts w:ascii="宋体" w:hAnsi="宋体" w:cs="宋体" w:eastAsia="宋体" w:hint="default"/>
                <w:sz w:val="21"/>
                <w:szCs w:val="21"/>
              </w:rPr>
              <w:t>所在地</w:t>
            </w:r>
            <w:r>
              <w:rPr>
                <w:rFonts w:ascii="宋体" w:hAnsi="宋体" w:cs="宋体" w:eastAsia="宋体" w:hint="default"/>
                <w:sz w:val="21"/>
                <w:szCs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center"/>
              <w:rPr>
                <w:rFonts w:ascii="宋体" w:hAnsi="宋体" w:cs="宋体" w:eastAsia="宋体" w:hint="default"/>
                <w:sz w:val="21"/>
                <w:szCs w:val="21"/>
              </w:rPr>
            </w:pPr>
            <w:r>
              <w:rPr>
                <w:rFonts w:ascii="宋体" w:hAnsi="宋体" w:cs="宋体" w:eastAsia="宋体" w:hint="default"/>
                <w:sz w:val="21"/>
                <w:szCs w:val="21"/>
              </w:rPr>
              <w:t>增资金额</w:t>
            </w:r>
            <w:r>
              <w:rPr>
                <w:rFonts w:ascii="宋体" w:hAnsi="宋体" w:cs="宋体" w:eastAsia="宋体" w:hint="default"/>
                <w:sz w:val="21"/>
                <w:szCs w:val="21"/>
              </w:rPr>
              <w:t> </w:t>
            </w:r>
          </w:p>
        </w:tc>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760" w:right="0"/>
              <w:jc w:val="left"/>
              <w:rPr>
                <w:rFonts w:ascii="宋体" w:hAnsi="宋体" w:cs="宋体" w:eastAsia="宋体" w:hint="default"/>
                <w:sz w:val="21"/>
                <w:szCs w:val="21"/>
              </w:rPr>
            </w:pPr>
            <w:r>
              <w:rPr>
                <w:rFonts w:ascii="宋体" w:hAnsi="宋体" w:cs="宋体" w:eastAsia="宋体" w:hint="default"/>
                <w:sz w:val="21"/>
                <w:szCs w:val="21"/>
              </w:rPr>
              <w:t>主要从事业务</w:t>
            </w:r>
            <w:r>
              <w:rPr>
                <w:rFonts w:ascii="宋体" w:hAnsi="宋体" w:cs="宋体" w:eastAsia="宋体" w:hint="default"/>
                <w:sz w:val="21"/>
                <w:szCs w:val="21"/>
              </w:rPr>
              <w:t> </w:t>
            </w:r>
          </w:p>
        </w:tc>
      </w:tr>
      <w:tr>
        <w:trPr>
          <w:trHeight w:val="636"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105" w:right="0"/>
              <w:jc w:val="center"/>
              <w:rPr>
                <w:rFonts w:ascii="宋体" w:hAnsi="宋体" w:cs="宋体" w:eastAsia="宋体" w:hint="default"/>
                <w:sz w:val="21"/>
                <w:szCs w:val="21"/>
              </w:rPr>
            </w:pPr>
            <w:r>
              <w:rPr>
                <w:rFonts w:ascii="宋体"/>
                <w:sz w:val="21"/>
              </w:rPr>
              <w:t>1 </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195"/>
              <w:jc w:val="left"/>
              <w:rPr>
                <w:rFonts w:ascii="宋体" w:hAnsi="宋体" w:cs="宋体" w:eastAsia="宋体" w:hint="default"/>
                <w:sz w:val="21"/>
                <w:szCs w:val="21"/>
              </w:rPr>
            </w:pPr>
            <w:r>
              <w:rPr>
                <w:rFonts w:ascii="宋体" w:hAnsi="宋体" w:cs="宋体" w:eastAsia="宋体" w:hint="default"/>
                <w:spacing w:val="-2"/>
                <w:sz w:val="21"/>
                <w:szCs w:val="21"/>
              </w:rPr>
              <w:t>江苏林洋光伏科技有限</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公司</w:t>
            </w:r>
            <w:r>
              <w:rPr>
                <w:rFonts w:ascii="宋体" w:hAnsi="宋体" w:cs="宋体" w:eastAsia="宋体" w:hint="default"/>
                <w:sz w:val="21"/>
                <w:szCs w:val="21"/>
              </w:rPr>
              <w:t> </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103" w:right="0"/>
              <w:jc w:val="center"/>
              <w:rPr>
                <w:rFonts w:ascii="宋体" w:hAnsi="宋体" w:cs="宋体" w:eastAsia="宋体" w:hint="default"/>
                <w:sz w:val="21"/>
                <w:szCs w:val="21"/>
              </w:rPr>
            </w:pPr>
            <w:r>
              <w:rPr>
                <w:rFonts w:ascii="宋体"/>
                <w:sz w:val="21"/>
              </w:rPr>
              <w:t>2019/9/3 </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100" w:right="0"/>
              <w:jc w:val="center"/>
              <w:rPr>
                <w:rFonts w:ascii="宋体" w:hAnsi="宋体" w:cs="宋体" w:eastAsia="宋体" w:hint="default"/>
                <w:sz w:val="21"/>
                <w:szCs w:val="21"/>
              </w:rPr>
            </w:pPr>
            <w:r>
              <w:rPr>
                <w:rFonts w:ascii="宋体" w:hAnsi="宋体" w:cs="宋体" w:eastAsia="宋体" w:hint="default"/>
                <w:sz w:val="21"/>
                <w:szCs w:val="21"/>
              </w:rPr>
              <w:t>江苏启东</w:t>
            </w:r>
            <w:r>
              <w:rPr>
                <w:rFonts w:ascii="宋体" w:hAnsi="宋体" w:cs="宋体" w:eastAsia="宋体" w:hint="default"/>
                <w:sz w:val="21"/>
                <w:szCs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103" w:right="0"/>
              <w:jc w:val="center"/>
              <w:rPr>
                <w:rFonts w:ascii="宋体" w:hAnsi="宋体" w:cs="宋体" w:eastAsia="宋体" w:hint="default"/>
                <w:sz w:val="21"/>
                <w:szCs w:val="21"/>
              </w:rPr>
            </w:pPr>
            <w:r>
              <w:rPr>
                <w:rFonts w:ascii="宋体" w:hAnsi="宋体" w:cs="宋体" w:eastAsia="宋体" w:hint="default"/>
                <w:sz w:val="21"/>
                <w:szCs w:val="21"/>
              </w:rPr>
              <w:t>45000</w:t>
            </w:r>
            <w:r>
              <w:rPr>
                <w:rFonts w:ascii="宋体" w:hAnsi="宋体" w:cs="宋体" w:eastAsia="宋体" w:hint="default"/>
                <w:spacing w:val="-51"/>
                <w:sz w:val="21"/>
                <w:szCs w:val="21"/>
              </w:rPr>
              <w:t> </w:t>
            </w:r>
            <w:r>
              <w:rPr>
                <w:rFonts w:ascii="宋体" w:hAnsi="宋体" w:cs="宋体" w:eastAsia="宋体" w:hint="default"/>
                <w:spacing w:val="-3"/>
                <w:sz w:val="21"/>
                <w:szCs w:val="21"/>
              </w:rPr>
              <w:t>万</w:t>
            </w:r>
            <w:r>
              <w:rPr>
                <w:rFonts w:ascii="宋体" w:hAnsi="宋体" w:cs="宋体" w:eastAsia="宋体" w:hint="default"/>
                <w:sz w:val="21"/>
                <w:szCs w:val="21"/>
              </w:rPr>
              <w:t> </w:t>
            </w:r>
          </w:p>
        </w:tc>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56"/>
              <w:jc w:val="left"/>
              <w:rPr>
                <w:rFonts w:ascii="宋体" w:hAnsi="宋体" w:cs="宋体" w:eastAsia="宋体" w:hint="default"/>
                <w:sz w:val="21"/>
                <w:szCs w:val="21"/>
              </w:rPr>
            </w:pPr>
            <w:r>
              <w:rPr>
                <w:rFonts w:ascii="宋体" w:hAnsi="宋体" w:cs="宋体" w:eastAsia="宋体" w:hint="default"/>
                <w:spacing w:val="-2"/>
                <w:sz w:val="21"/>
                <w:szCs w:val="21"/>
              </w:rPr>
              <w:t>太阳能相关产品研发、销售</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与运营管理及相关业务</w:t>
            </w:r>
            <w:r>
              <w:rPr>
                <w:rFonts w:ascii="宋体" w:hAnsi="宋体" w:cs="宋体" w:eastAsia="宋体" w:hint="default"/>
                <w:sz w:val="21"/>
                <w:szCs w:val="21"/>
              </w:rPr>
              <w:t> </w:t>
            </w:r>
          </w:p>
        </w:tc>
      </w:tr>
      <w:tr>
        <w:trPr>
          <w:trHeight w:val="634" w:hRule="exact"/>
        </w:trPr>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5" w:right="0"/>
              <w:jc w:val="center"/>
              <w:rPr>
                <w:rFonts w:ascii="宋体" w:hAnsi="宋体" w:cs="宋体" w:eastAsia="宋体" w:hint="default"/>
                <w:sz w:val="21"/>
                <w:szCs w:val="21"/>
              </w:rPr>
            </w:pPr>
            <w:r>
              <w:rPr>
                <w:rFonts w:ascii="宋体"/>
                <w:sz w:val="21"/>
              </w:rPr>
              <w:t>2 </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195"/>
              <w:jc w:val="left"/>
              <w:rPr>
                <w:rFonts w:ascii="宋体" w:hAnsi="宋体" w:cs="宋体" w:eastAsia="宋体" w:hint="default"/>
                <w:sz w:val="21"/>
                <w:szCs w:val="21"/>
              </w:rPr>
            </w:pPr>
            <w:r>
              <w:rPr>
                <w:rFonts w:ascii="宋体" w:hAnsi="宋体" w:cs="宋体" w:eastAsia="宋体" w:hint="default"/>
                <w:spacing w:val="-2"/>
                <w:sz w:val="21"/>
                <w:szCs w:val="21"/>
              </w:rPr>
              <w:t>启东市永威新能源电力</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有限公司</w:t>
            </w:r>
            <w:r>
              <w:rPr>
                <w:rFonts w:ascii="宋体" w:hAnsi="宋体" w:cs="宋体" w:eastAsia="宋体" w:hint="default"/>
                <w:sz w:val="21"/>
                <w:szCs w:val="21"/>
              </w:rPr>
              <w:t> </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center"/>
              <w:rPr>
                <w:rFonts w:ascii="宋体" w:hAnsi="宋体" w:cs="宋体" w:eastAsia="宋体" w:hint="default"/>
                <w:sz w:val="21"/>
                <w:szCs w:val="21"/>
              </w:rPr>
            </w:pPr>
            <w:r>
              <w:rPr>
                <w:rFonts w:ascii="宋体"/>
                <w:sz w:val="21"/>
              </w:rPr>
              <w:t>2019/11/19 </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0" w:right="0"/>
              <w:jc w:val="center"/>
              <w:rPr>
                <w:rFonts w:ascii="宋体" w:hAnsi="宋体" w:cs="宋体" w:eastAsia="宋体" w:hint="default"/>
                <w:sz w:val="21"/>
                <w:szCs w:val="21"/>
              </w:rPr>
            </w:pPr>
            <w:r>
              <w:rPr>
                <w:rFonts w:ascii="宋体" w:hAnsi="宋体" w:cs="宋体" w:eastAsia="宋体" w:hint="default"/>
                <w:sz w:val="21"/>
                <w:szCs w:val="21"/>
              </w:rPr>
              <w:t>江苏启东</w:t>
            </w:r>
            <w:r>
              <w:rPr>
                <w:rFonts w:ascii="宋体" w:hAnsi="宋体" w:cs="宋体" w:eastAsia="宋体" w:hint="default"/>
                <w:sz w:val="21"/>
                <w:szCs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center"/>
              <w:rPr>
                <w:rFonts w:ascii="宋体" w:hAnsi="宋体" w:cs="宋体" w:eastAsia="宋体" w:hint="default"/>
                <w:sz w:val="21"/>
                <w:szCs w:val="21"/>
              </w:rPr>
            </w:pPr>
            <w:r>
              <w:rPr>
                <w:rFonts w:ascii="宋体" w:hAnsi="宋体" w:cs="宋体" w:eastAsia="宋体" w:hint="default"/>
                <w:sz w:val="21"/>
                <w:szCs w:val="21"/>
              </w:rPr>
              <w:t>400</w:t>
            </w:r>
            <w:r>
              <w:rPr>
                <w:rFonts w:ascii="宋体" w:hAnsi="宋体" w:cs="宋体" w:eastAsia="宋体" w:hint="default"/>
                <w:spacing w:val="-54"/>
                <w:sz w:val="21"/>
                <w:szCs w:val="21"/>
              </w:rPr>
              <w:t> </w:t>
            </w:r>
            <w:r>
              <w:rPr>
                <w:rFonts w:ascii="宋体" w:hAnsi="宋体" w:cs="宋体" w:eastAsia="宋体" w:hint="default"/>
                <w:sz w:val="21"/>
                <w:szCs w:val="21"/>
              </w:rPr>
              <w:t>万美元</w:t>
            </w:r>
            <w:r>
              <w:rPr>
                <w:rFonts w:ascii="宋体" w:hAnsi="宋体" w:cs="宋体" w:eastAsia="宋体" w:hint="default"/>
                <w:sz w:val="21"/>
                <w:szCs w:val="21"/>
              </w:rPr>
              <w:t> </w:t>
            </w:r>
          </w:p>
        </w:tc>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56"/>
              <w:jc w:val="left"/>
              <w:rPr>
                <w:rFonts w:ascii="宋体" w:hAnsi="宋体" w:cs="宋体" w:eastAsia="宋体" w:hint="default"/>
                <w:sz w:val="21"/>
                <w:szCs w:val="21"/>
              </w:rPr>
            </w:pPr>
            <w:r>
              <w:rPr>
                <w:rFonts w:ascii="宋体" w:hAnsi="宋体" w:cs="宋体" w:eastAsia="宋体" w:hint="default"/>
                <w:spacing w:val="-2"/>
                <w:sz w:val="21"/>
                <w:szCs w:val="21"/>
              </w:rPr>
              <w:t>农业生产、种植加工、农光</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互补等相关业务</w:t>
            </w:r>
            <w:r>
              <w:rPr>
                <w:rFonts w:ascii="宋体" w:hAnsi="宋体" w:cs="宋体" w:eastAsia="宋体" w:hint="default"/>
                <w:sz w:val="21"/>
                <w:szCs w:val="21"/>
              </w:rPr>
              <w:t> </w:t>
            </w:r>
          </w:p>
        </w:tc>
      </w:tr>
    </w:tbl>
    <w:p>
      <w:pPr>
        <w:spacing w:line="240" w:lineRule="auto" w:before="2"/>
        <w:rPr>
          <w:rFonts w:ascii="宋体" w:hAnsi="宋体" w:cs="宋体" w:eastAsia="宋体" w:hint="default"/>
          <w:b/>
          <w:bCs/>
          <w:sz w:val="20"/>
          <w:szCs w:val="20"/>
        </w:rPr>
      </w:pPr>
    </w:p>
    <w:p>
      <w:pPr>
        <w:pStyle w:val="Heading3"/>
        <w:spacing w:line="240" w:lineRule="auto" w:before="36"/>
        <w:ind w:left="999" w:right="0"/>
        <w:jc w:val="left"/>
        <w:rPr>
          <w:rFonts w:ascii="宋体" w:hAnsi="宋体" w:cs="宋体" w:eastAsia="宋体" w:hint="default"/>
          <w:b w:val="0"/>
          <w:bCs w:val="0"/>
        </w:rPr>
      </w:pPr>
      <w:r>
        <w:rPr>
          <w:rFonts w:ascii="宋体" w:hAnsi="宋体" w:cs="宋体" w:eastAsia="宋体" w:hint="default"/>
        </w:rPr>
        <w:t>3</w:t>
      </w:r>
      <w:r>
        <w:rPr/>
        <w:t>、报告期内子公司注销情况</w:t>
      </w:r>
      <w:r>
        <w:rPr>
          <w:rFonts w:ascii="宋体" w:hAnsi="宋体" w:cs="宋体" w:eastAsia="宋体" w:hint="default"/>
          <w:w w:val="99"/>
        </w:rPr>
        <w:t> </w:t>
      </w:r>
      <w:r>
        <w:rPr>
          <w:rFonts w:ascii="宋体" w:hAnsi="宋体" w:cs="宋体" w:eastAsia="宋体" w:hint="default"/>
          <w:b w:val="0"/>
          <w:bCs w:val="0"/>
        </w:rPr>
      </w:r>
    </w:p>
    <w:p>
      <w:pPr>
        <w:spacing w:line="240" w:lineRule="auto" w:before="10"/>
        <w:rPr>
          <w:rFonts w:ascii="宋体" w:hAnsi="宋体" w:cs="宋体" w:eastAsia="宋体" w:hint="default"/>
          <w:b/>
          <w:bCs/>
          <w:sz w:val="3"/>
          <w:szCs w:val="3"/>
        </w:rPr>
      </w:pPr>
    </w:p>
    <w:tbl>
      <w:tblPr>
        <w:tblW w:w="0" w:type="auto"/>
        <w:jc w:val="left"/>
        <w:tblInd w:w="163" w:type="dxa"/>
        <w:tblLayout w:type="fixed"/>
        <w:tblCellMar>
          <w:top w:w="0" w:type="dxa"/>
          <w:left w:w="0" w:type="dxa"/>
          <w:bottom w:w="0" w:type="dxa"/>
          <w:right w:w="0" w:type="dxa"/>
        </w:tblCellMar>
        <w:tblLook w:val="01E0"/>
      </w:tblPr>
      <w:tblGrid>
        <w:gridCol w:w="716"/>
        <w:gridCol w:w="2270"/>
        <w:gridCol w:w="1412"/>
        <w:gridCol w:w="1133"/>
        <w:gridCol w:w="1131"/>
        <w:gridCol w:w="2989"/>
      </w:tblGrid>
      <w:tr>
        <w:trPr>
          <w:trHeight w:val="322" w:hRule="exact"/>
        </w:trPr>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97" w:right="0"/>
              <w:jc w:val="center"/>
              <w:rPr>
                <w:rFonts w:ascii="宋体" w:hAnsi="宋体" w:cs="宋体" w:eastAsia="宋体" w:hint="default"/>
                <w:sz w:val="20"/>
                <w:szCs w:val="20"/>
              </w:rPr>
            </w:pPr>
            <w:r>
              <w:rPr>
                <w:rFonts w:ascii="宋体" w:hAnsi="宋体" w:cs="宋体" w:eastAsia="宋体" w:hint="default"/>
                <w:sz w:val="20"/>
                <w:szCs w:val="20"/>
              </w:rPr>
              <w:t>序号</w:t>
            </w:r>
            <w:r>
              <w:rPr>
                <w:rFonts w:ascii="宋体" w:hAnsi="宋体" w:cs="宋体" w:eastAsia="宋体" w:hint="default"/>
                <w:sz w:val="20"/>
                <w:szCs w:val="20"/>
              </w:rPr>
              <w:t> </w:t>
            </w:r>
          </w:p>
        </w:tc>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729" w:right="0"/>
              <w:jc w:val="left"/>
              <w:rPr>
                <w:rFonts w:ascii="宋体" w:hAnsi="宋体" w:cs="宋体" w:eastAsia="宋体" w:hint="default"/>
                <w:sz w:val="20"/>
                <w:szCs w:val="20"/>
              </w:rPr>
            </w:pPr>
            <w:r>
              <w:rPr>
                <w:rFonts w:ascii="宋体" w:hAnsi="宋体" w:cs="宋体" w:eastAsia="宋体" w:hint="default"/>
                <w:sz w:val="20"/>
                <w:szCs w:val="20"/>
              </w:rPr>
              <w:t>公司名称</w:t>
            </w:r>
            <w:r>
              <w:rPr>
                <w:rFonts w:ascii="宋体" w:hAnsi="宋体" w:cs="宋体" w:eastAsia="宋体" w:hint="default"/>
                <w:sz w:val="20"/>
                <w:szCs w:val="20"/>
              </w:rPr>
              <w:t> </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92" w:right="0"/>
              <w:jc w:val="center"/>
              <w:rPr>
                <w:rFonts w:ascii="宋体" w:hAnsi="宋体" w:cs="宋体" w:eastAsia="宋体" w:hint="default"/>
                <w:sz w:val="20"/>
                <w:szCs w:val="20"/>
              </w:rPr>
            </w:pPr>
            <w:r>
              <w:rPr>
                <w:rFonts w:ascii="宋体" w:hAnsi="宋体" w:cs="宋体" w:eastAsia="宋体" w:hint="default"/>
                <w:sz w:val="20"/>
                <w:szCs w:val="20"/>
              </w:rPr>
              <w:t>注销时间</w:t>
            </w:r>
            <w:r>
              <w:rPr>
                <w:rFonts w:ascii="宋体" w:hAnsi="宋体" w:cs="宋体" w:eastAsia="宋体" w:hint="default"/>
                <w:sz w:val="20"/>
                <w:szCs w:val="20"/>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94" w:right="0"/>
              <w:jc w:val="center"/>
              <w:rPr>
                <w:rFonts w:ascii="宋体" w:hAnsi="宋体" w:cs="宋体" w:eastAsia="宋体" w:hint="default"/>
                <w:sz w:val="20"/>
                <w:szCs w:val="20"/>
              </w:rPr>
            </w:pPr>
            <w:r>
              <w:rPr>
                <w:rFonts w:ascii="宋体" w:hAnsi="宋体" w:cs="宋体" w:eastAsia="宋体" w:hint="default"/>
                <w:sz w:val="20"/>
                <w:szCs w:val="20"/>
              </w:rPr>
              <w:t>所在地</w:t>
            </w:r>
            <w:r>
              <w:rPr>
                <w:rFonts w:ascii="宋体" w:hAnsi="宋体" w:cs="宋体" w:eastAsia="宋体" w:hint="default"/>
                <w:sz w:val="20"/>
                <w:szCs w:val="20"/>
              </w:rPr>
              <w:t> </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58" w:right="0"/>
              <w:jc w:val="left"/>
              <w:rPr>
                <w:rFonts w:ascii="宋体" w:hAnsi="宋体" w:cs="宋体" w:eastAsia="宋体" w:hint="default"/>
                <w:sz w:val="20"/>
                <w:szCs w:val="20"/>
              </w:rPr>
            </w:pPr>
            <w:r>
              <w:rPr>
                <w:rFonts w:ascii="宋体" w:hAnsi="宋体" w:cs="宋体" w:eastAsia="宋体" w:hint="default"/>
                <w:sz w:val="20"/>
                <w:szCs w:val="20"/>
              </w:rPr>
              <w:t>注册资本</w:t>
            </w:r>
            <w:r>
              <w:rPr>
                <w:rFonts w:ascii="宋体" w:hAnsi="宋体" w:cs="宋体" w:eastAsia="宋体" w:hint="default"/>
                <w:sz w:val="20"/>
                <w:szCs w:val="20"/>
              </w:rPr>
              <w:t> </w:t>
            </w:r>
          </w:p>
        </w:tc>
        <w:tc>
          <w:tcPr>
            <w:tcW w:w="2989"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885" w:right="0"/>
              <w:jc w:val="left"/>
              <w:rPr>
                <w:rFonts w:ascii="宋体" w:hAnsi="宋体" w:cs="宋体" w:eastAsia="宋体" w:hint="default"/>
                <w:sz w:val="20"/>
                <w:szCs w:val="20"/>
              </w:rPr>
            </w:pPr>
            <w:r>
              <w:rPr>
                <w:rFonts w:ascii="宋体" w:hAnsi="宋体" w:cs="宋体" w:eastAsia="宋体" w:hint="default"/>
                <w:sz w:val="20"/>
                <w:szCs w:val="20"/>
              </w:rPr>
              <w:t>主要从事业务</w:t>
            </w:r>
            <w:r>
              <w:rPr>
                <w:rFonts w:ascii="宋体" w:hAnsi="宋体" w:cs="宋体" w:eastAsia="宋体" w:hint="default"/>
                <w:sz w:val="20"/>
                <w:szCs w:val="20"/>
              </w:rPr>
              <w:t> </w:t>
            </w:r>
          </w:p>
        </w:tc>
      </w:tr>
      <w:tr>
        <w:trPr>
          <w:trHeight w:val="634" w:hRule="exact"/>
        </w:trPr>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94" w:right="0"/>
              <w:jc w:val="center"/>
              <w:rPr>
                <w:rFonts w:ascii="宋体" w:hAnsi="宋体" w:cs="宋体" w:eastAsia="宋体" w:hint="default"/>
                <w:sz w:val="20"/>
                <w:szCs w:val="20"/>
              </w:rPr>
            </w:pPr>
            <w:r>
              <w:rPr>
                <w:rFonts w:ascii="宋体"/>
                <w:sz w:val="20"/>
              </w:rPr>
              <w:t>1 </w:t>
            </w:r>
          </w:p>
        </w:tc>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159"/>
              <w:jc w:val="left"/>
              <w:rPr>
                <w:rFonts w:ascii="宋体" w:hAnsi="宋体" w:cs="宋体" w:eastAsia="宋体" w:hint="default"/>
                <w:sz w:val="20"/>
                <w:szCs w:val="20"/>
              </w:rPr>
            </w:pPr>
            <w:r>
              <w:rPr>
                <w:rFonts w:ascii="宋体" w:hAnsi="宋体" w:cs="宋体" w:eastAsia="宋体" w:hint="default"/>
                <w:sz w:val="20"/>
                <w:szCs w:val="20"/>
              </w:rPr>
              <w:t>昌邑永洋光伏电力有限</w:t>
            </w:r>
            <w:r>
              <w:rPr>
                <w:rFonts w:ascii="宋体" w:hAnsi="宋体" w:cs="宋体" w:eastAsia="宋体" w:hint="default"/>
                <w:w w:val="99"/>
                <w:sz w:val="20"/>
                <w:szCs w:val="20"/>
              </w:rPr>
              <w:t> </w:t>
            </w:r>
            <w:r>
              <w:rPr>
                <w:rFonts w:ascii="宋体" w:hAnsi="宋体" w:cs="宋体" w:eastAsia="宋体" w:hint="default"/>
                <w:sz w:val="20"/>
                <w:szCs w:val="20"/>
              </w:rPr>
              <w:t>公司</w:t>
            </w:r>
            <w:r>
              <w:rPr>
                <w:rFonts w:ascii="宋体" w:hAnsi="宋体" w:cs="宋体" w:eastAsia="宋体" w:hint="default"/>
                <w:sz w:val="20"/>
                <w:szCs w:val="20"/>
              </w:rPr>
              <w:t> </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92" w:right="0"/>
              <w:jc w:val="center"/>
              <w:rPr>
                <w:rFonts w:ascii="宋体" w:hAnsi="宋体" w:cs="宋体" w:eastAsia="宋体" w:hint="default"/>
                <w:sz w:val="20"/>
                <w:szCs w:val="20"/>
              </w:rPr>
            </w:pPr>
            <w:r>
              <w:rPr>
                <w:rFonts w:ascii="宋体"/>
                <w:sz w:val="20"/>
              </w:rPr>
              <w:t>2019/1/9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92" w:right="0"/>
              <w:jc w:val="center"/>
              <w:rPr>
                <w:rFonts w:ascii="宋体" w:hAnsi="宋体" w:cs="宋体" w:eastAsia="宋体" w:hint="default"/>
                <w:sz w:val="20"/>
                <w:szCs w:val="20"/>
              </w:rPr>
            </w:pPr>
            <w:r>
              <w:rPr>
                <w:rFonts w:ascii="宋体" w:hAnsi="宋体" w:cs="宋体" w:eastAsia="宋体" w:hint="default"/>
                <w:sz w:val="20"/>
                <w:szCs w:val="20"/>
              </w:rPr>
              <w:t>山东潍坊</w:t>
            </w:r>
            <w:r>
              <w:rPr>
                <w:rFonts w:ascii="宋体" w:hAnsi="宋体" w:cs="宋体" w:eastAsia="宋体" w:hint="default"/>
                <w:sz w:val="20"/>
                <w:szCs w:val="20"/>
              </w:rPr>
              <w:t> </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283" w:right="0"/>
              <w:jc w:val="left"/>
              <w:rPr>
                <w:rFonts w:ascii="宋体" w:hAnsi="宋体" w:cs="宋体" w:eastAsia="宋体" w:hint="default"/>
                <w:sz w:val="20"/>
                <w:szCs w:val="20"/>
              </w:rPr>
            </w:pPr>
            <w:r>
              <w:rPr>
                <w:rFonts w:ascii="宋体" w:hAnsi="宋体" w:cs="宋体" w:eastAsia="宋体" w:hint="default"/>
                <w:sz w:val="20"/>
                <w:szCs w:val="20"/>
              </w:rPr>
              <w:t>100</w:t>
            </w:r>
            <w:r>
              <w:rPr>
                <w:rFonts w:ascii="宋体" w:hAnsi="宋体" w:cs="宋体" w:eastAsia="宋体" w:hint="default"/>
                <w:spacing w:val="-49"/>
                <w:sz w:val="20"/>
                <w:szCs w:val="20"/>
              </w:rPr>
              <w:t> </w:t>
            </w:r>
            <w:r>
              <w:rPr>
                <w:rFonts w:ascii="宋体" w:hAnsi="宋体" w:cs="宋体" w:eastAsia="宋体" w:hint="default"/>
                <w:spacing w:val="-3"/>
                <w:sz w:val="20"/>
                <w:szCs w:val="20"/>
              </w:rPr>
              <w:t>万</w:t>
            </w:r>
            <w:r>
              <w:rPr>
                <w:rFonts w:ascii="宋体" w:hAnsi="宋体" w:cs="宋体" w:eastAsia="宋体" w:hint="default"/>
                <w:sz w:val="20"/>
                <w:szCs w:val="20"/>
              </w:rPr>
              <w:t> </w:t>
            </w:r>
          </w:p>
        </w:tc>
        <w:tc>
          <w:tcPr>
            <w:tcW w:w="2989"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0" w:right="107"/>
              <w:jc w:val="left"/>
              <w:rPr>
                <w:rFonts w:ascii="宋体" w:hAnsi="宋体" w:cs="宋体" w:eastAsia="宋体" w:hint="default"/>
                <w:sz w:val="20"/>
                <w:szCs w:val="20"/>
              </w:rPr>
            </w:pPr>
            <w:r>
              <w:rPr>
                <w:rFonts w:ascii="宋体" w:hAnsi="宋体" w:cs="宋体" w:eastAsia="宋体" w:hint="default"/>
                <w:spacing w:val="-2"/>
                <w:sz w:val="20"/>
                <w:szCs w:val="20"/>
              </w:rPr>
              <w:t>太阳能相关产品研发、销售与运</w:t>
            </w:r>
            <w:r>
              <w:rPr>
                <w:rFonts w:ascii="宋体" w:hAnsi="宋体" w:cs="宋体" w:eastAsia="宋体" w:hint="default"/>
                <w:w w:val="99"/>
                <w:sz w:val="20"/>
                <w:szCs w:val="20"/>
              </w:rPr>
              <w:t> </w:t>
            </w:r>
            <w:r>
              <w:rPr>
                <w:rFonts w:ascii="宋体" w:hAnsi="宋体" w:cs="宋体" w:eastAsia="宋体" w:hint="default"/>
                <w:sz w:val="20"/>
                <w:szCs w:val="20"/>
              </w:rPr>
              <w:t>营管理及相关业务</w:t>
            </w:r>
            <w:r>
              <w:rPr>
                <w:rFonts w:ascii="宋体" w:hAnsi="宋体" w:cs="宋体" w:eastAsia="宋体" w:hint="default"/>
                <w:sz w:val="20"/>
                <w:szCs w:val="20"/>
              </w:rPr>
              <w:t> </w:t>
            </w:r>
          </w:p>
        </w:tc>
      </w:tr>
      <w:tr>
        <w:trPr>
          <w:trHeight w:val="634" w:hRule="exact"/>
        </w:trPr>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94" w:right="0"/>
              <w:jc w:val="center"/>
              <w:rPr>
                <w:rFonts w:ascii="宋体" w:hAnsi="宋体" w:cs="宋体" w:eastAsia="宋体" w:hint="default"/>
                <w:sz w:val="20"/>
                <w:szCs w:val="20"/>
              </w:rPr>
            </w:pPr>
            <w:r>
              <w:rPr>
                <w:rFonts w:ascii="宋体"/>
                <w:sz w:val="20"/>
              </w:rPr>
              <w:t>2 </w:t>
            </w:r>
          </w:p>
        </w:tc>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159"/>
              <w:jc w:val="left"/>
              <w:rPr>
                <w:rFonts w:ascii="宋体" w:hAnsi="宋体" w:cs="宋体" w:eastAsia="宋体" w:hint="default"/>
                <w:sz w:val="20"/>
                <w:szCs w:val="20"/>
              </w:rPr>
            </w:pPr>
            <w:r>
              <w:rPr>
                <w:rFonts w:ascii="宋体" w:hAnsi="宋体" w:cs="宋体" w:eastAsia="宋体" w:hint="default"/>
                <w:sz w:val="20"/>
                <w:szCs w:val="20"/>
              </w:rPr>
              <w:t>沭阳林洋新能源科技有</w:t>
            </w:r>
            <w:r>
              <w:rPr>
                <w:rFonts w:ascii="宋体" w:hAnsi="宋体" w:cs="宋体" w:eastAsia="宋体" w:hint="default"/>
                <w:w w:val="99"/>
                <w:sz w:val="20"/>
                <w:szCs w:val="20"/>
              </w:rPr>
              <w:t> </w:t>
            </w:r>
            <w:r>
              <w:rPr>
                <w:rFonts w:ascii="宋体" w:hAnsi="宋体" w:cs="宋体" w:eastAsia="宋体" w:hint="default"/>
                <w:sz w:val="20"/>
                <w:szCs w:val="20"/>
              </w:rPr>
              <w:t>限公司</w:t>
            </w:r>
            <w:r>
              <w:rPr>
                <w:rFonts w:ascii="宋体" w:hAnsi="宋体" w:cs="宋体" w:eastAsia="宋体" w:hint="default"/>
                <w:sz w:val="20"/>
                <w:szCs w:val="20"/>
              </w:rPr>
              <w:t> </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92" w:right="0"/>
              <w:jc w:val="center"/>
              <w:rPr>
                <w:rFonts w:ascii="宋体" w:hAnsi="宋体" w:cs="宋体" w:eastAsia="宋体" w:hint="default"/>
                <w:sz w:val="20"/>
                <w:szCs w:val="20"/>
              </w:rPr>
            </w:pPr>
            <w:r>
              <w:rPr>
                <w:rFonts w:ascii="宋体"/>
                <w:sz w:val="20"/>
              </w:rPr>
              <w:t>2019/1/22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92" w:right="0"/>
              <w:jc w:val="center"/>
              <w:rPr>
                <w:rFonts w:ascii="宋体" w:hAnsi="宋体" w:cs="宋体" w:eastAsia="宋体" w:hint="default"/>
                <w:sz w:val="20"/>
                <w:szCs w:val="20"/>
              </w:rPr>
            </w:pPr>
            <w:r>
              <w:rPr>
                <w:rFonts w:ascii="宋体" w:hAnsi="宋体" w:cs="宋体" w:eastAsia="宋体" w:hint="default"/>
                <w:sz w:val="20"/>
                <w:szCs w:val="20"/>
              </w:rPr>
              <w:t>江苏宿迁</w:t>
            </w:r>
            <w:r>
              <w:rPr>
                <w:rFonts w:ascii="宋体" w:hAnsi="宋体" w:cs="宋体" w:eastAsia="宋体" w:hint="default"/>
                <w:sz w:val="20"/>
                <w:szCs w:val="20"/>
              </w:rPr>
              <w:t> </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283" w:right="0"/>
              <w:jc w:val="left"/>
              <w:rPr>
                <w:rFonts w:ascii="宋体" w:hAnsi="宋体" w:cs="宋体" w:eastAsia="宋体" w:hint="default"/>
                <w:sz w:val="20"/>
                <w:szCs w:val="20"/>
              </w:rPr>
            </w:pPr>
            <w:r>
              <w:rPr>
                <w:rFonts w:ascii="宋体" w:hAnsi="宋体" w:cs="宋体" w:eastAsia="宋体" w:hint="default"/>
                <w:sz w:val="20"/>
                <w:szCs w:val="20"/>
              </w:rPr>
              <w:t>100</w:t>
            </w:r>
            <w:r>
              <w:rPr>
                <w:rFonts w:ascii="宋体" w:hAnsi="宋体" w:cs="宋体" w:eastAsia="宋体" w:hint="default"/>
                <w:spacing w:val="-49"/>
                <w:sz w:val="20"/>
                <w:szCs w:val="20"/>
              </w:rPr>
              <w:t> </w:t>
            </w:r>
            <w:r>
              <w:rPr>
                <w:rFonts w:ascii="宋体" w:hAnsi="宋体" w:cs="宋体" w:eastAsia="宋体" w:hint="default"/>
                <w:spacing w:val="-3"/>
                <w:sz w:val="20"/>
                <w:szCs w:val="20"/>
              </w:rPr>
              <w:t>万</w:t>
            </w:r>
            <w:r>
              <w:rPr>
                <w:rFonts w:ascii="宋体" w:hAnsi="宋体" w:cs="宋体" w:eastAsia="宋体" w:hint="default"/>
                <w:sz w:val="20"/>
                <w:szCs w:val="20"/>
              </w:rPr>
              <w:t> </w:t>
            </w:r>
          </w:p>
        </w:tc>
        <w:tc>
          <w:tcPr>
            <w:tcW w:w="2989"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0" w:right="107"/>
              <w:jc w:val="left"/>
              <w:rPr>
                <w:rFonts w:ascii="宋体" w:hAnsi="宋体" w:cs="宋体" w:eastAsia="宋体" w:hint="default"/>
                <w:sz w:val="20"/>
                <w:szCs w:val="20"/>
              </w:rPr>
            </w:pPr>
            <w:r>
              <w:rPr>
                <w:rFonts w:ascii="宋体" w:hAnsi="宋体" w:cs="宋体" w:eastAsia="宋体" w:hint="default"/>
                <w:spacing w:val="-2"/>
                <w:sz w:val="20"/>
                <w:szCs w:val="20"/>
              </w:rPr>
              <w:t>太阳能相关产品研发、销售与运</w:t>
            </w:r>
            <w:r>
              <w:rPr>
                <w:rFonts w:ascii="宋体" w:hAnsi="宋体" w:cs="宋体" w:eastAsia="宋体" w:hint="default"/>
                <w:w w:val="99"/>
                <w:sz w:val="20"/>
                <w:szCs w:val="20"/>
              </w:rPr>
              <w:t> </w:t>
            </w:r>
            <w:r>
              <w:rPr>
                <w:rFonts w:ascii="宋体" w:hAnsi="宋体" w:cs="宋体" w:eastAsia="宋体" w:hint="default"/>
                <w:sz w:val="20"/>
                <w:szCs w:val="20"/>
              </w:rPr>
              <w:t>营管理及相关业务</w:t>
            </w:r>
            <w:r>
              <w:rPr>
                <w:rFonts w:ascii="宋体" w:hAnsi="宋体" w:cs="宋体" w:eastAsia="宋体" w:hint="default"/>
                <w:sz w:val="20"/>
                <w:szCs w:val="20"/>
              </w:rPr>
              <w:t> </w:t>
            </w:r>
          </w:p>
        </w:tc>
      </w:tr>
      <w:tr>
        <w:trPr>
          <w:trHeight w:val="636" w:hRule="exact"/>
        </w:trPr>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94" w:right="0"/>
              <w:jc w:val="center"/>
              <w:rPr>
                <w:rFonts w:ascii="宋体" w:hAnsi="宋体" w:cs="宋体" w:eastAsia="宋体" w:hint="default"/>
                <w:sz w:val="20"/>
                <w:szCs w:val="20"/>
              </w:rPr>
            </w:pPr>
            <w:r>
              <w:rPr>
                <w:rFonts w:ascii="宋体"/>
                <w:sz w:val="20"/>
              </w:rPr>
              <w:t>3 </w:t>
            </w:r>
          </w:p>
        </w:tc>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159"/>
              <w:jc w:val="left"/>
              <w:rPr>
                <w:rFonts w:ascii="宋体" w:hAnsi="宋体" w:cs="宋体" w:eastAsia="宋体" w:hint="default"/>
                <w:sz w:val="20"/>
                <w:szCs w:val="20"/>
              </w:rPr>
            </w:pPr>
            <w:r>
              <w:rPr>
                <w:rFonts w:ascii="宋体" w:hAnsi="宋体" w:cs="宋体" w:eastAsia="宋体" w:hint="default"/>
                <w:sz w:val="20"/>
                <w:szCs w:val="20"/>
              </w:rPr>
              <w:t>金湖华阳新能源科技有</w:t>
            </w:r>
            <w:r>
              <w:rPr>
                <w:rFonts w:ascii="宋体" w:hAnsi="宋体" w:cs="宋体" w:eastAsia="宋体" w:hint="default"/>
                <w:w w:val="99"/>
                <w:sz w:val="20"/>
                <w:szCs w:val="20"/>
              </w:rPr>
              <w:t> </w:t>
            </w:r>
            <w:r>
              <w:rPr>
                <w:rFonts w:ascii="宋体" w:hAnsi="宋体" w:cs="宋体" w:eastAsia="宋体" w:hint="default"/>
                <w:sz w:val="20"/>
                <w:szCs w:val="20"/>
              </w:rPr>
              <w:t>限公司</w:t>
            </w:r>
            <w:r>
              <w:rPr>
                <w:rFonts w:ascii="宋体" w:hAnsi="宋体" w:cs="宋体" w:eastAsia="宋体" w:hint="default"/>
                <w:sz w:val="20"/>
                <w:szCs w:val="20"/>
              </w:rPr>
              <w:t> </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92" w:right="0"/>
              <w:jc w:val="center"/>
              <w:rPr>
                <w:rFonts w:ascii="宋体" w:hAnsi="宋体" w:cs="宋体" w:eastAsia="宋体" w:hint="default"/>
                <w:sz w:val="20"/>
                <w:szCs w:val="20"/>
              </w:rPr>
            </w:pPr>
            <w:r>
              <w:rPr>
                <w:rFonts w:ascii="宋体"/>
                <w:sz w:val="20"/>
              </w:rPr>
              <w:t>2019/1/24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92" w:right="0"/>
              <w:jc w:val="center"/>
              <w:rPr>
                <w:rFonts w:ascii="宋体" w:hAnsi="宋体" w:cs="宋体" w:eastAsia="宋体" w:hint="default"/>
                <w:sz w:val="20"/>
                <w:szCs w:val="20"/>
              </w:rPr>
            </w:pPr>
            <w:r>
              <w:rPr>
                <w:rFonts w:ascii="宋体" w:hAnsi="宋体" w:cs="宋体" w:eastAsia="宋体" w:hint="default"/>
                <w:sz w:val="20"/>
                <w:szCs w:val="20"/>
              </w:rPr>
              <w:t>江苏淮安</w:t>
            </w:r>
            <w:r>
              <w:rPr>
                <w:rFonts w:ascii="宋体" w:hAnsi="宋体" w:cs="宋体" w:eastAsia="宋体" w:hint="default"/>
                <w:sz w:val="20"/>
                <w:szCs w:val="20"/>
              </w:rPr>
              <w:t> </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283" w:right="0"/>
              <w:jc w:val="left"/>
              <w:rPr>
                <w:rFonts w:ascii="宋体" w:hAnsi="宋体" w:cs="宋体" w:eastAsia="宋体" w:hint="default"/>
                <w:sz w:val="20"/>
                <w:szCs w:val="20"/>
              </w:rPr>
            </w:pPr>
            <w:r>
              <w:rPr>
                <w:rFonts w:ascii="宋体" w:hAnsi="宋体" w:cs="宋体" w:eastAsia="宋体" w:hint="default"/>
                <w:sz w:val="20"/>
                <w:szCs w:val="20"/>
              </w:rPr>
              <w:t>500</w:t>
            </w:r>
            <w:r>
              <w:rPr>
                <w:rFonts w:ascii="宋体" w:hAnsi="宋体" w:cs="宋体" w:eastAsia="宋体" w:hint="default"/>
                <w:spacing w:val="-49"/>
                <w:sz w:val="20"/>
                <w:szCs w:val="20"/>
              </w:rPr>
              <w:t> </w:t>
            </w:r>
            <w:r>
              <w:rPr>
                <w:rFonts w:ascii="宋体" w:hAnsi="宋体" w:cs="宋体" w:eastAsia="宋体" w:hint="default"/>
                <w:spacing w:val="-3"/>
                <w:sz w:val="20"/>
                <w:szCs w:val="20"/>
              </w:rPr>
              <w:t>万</w:t>
            </w:r>
            <w:r>
              <w:rPr>
                <w:rFonts w:ascii="宋体" w:hAnsi="宋体" w:cs="宋体" w:eastAsia="宋体" w:hint="default"/>
                <w:sz w:val="20"/>
                <w:szCs w:val="20"/>
              </w:rPr>
              <w:t> </w:t>
            </w:r>
          </w:p>
        </w:tc>
        <w:tc>
          <w:tcPr>
            <w:tcW w:w="2989"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0" w:right="107"/>
              <w:jc w:val="left"/>
              <w:rPr>
                <w:rFonts w:ascii="宋体" w:hAnsi="宋体" w:cs="宋体" w:eastAsia="宋体" w:hint="default"/>
                <w:sz w:val="20"/>
                <w:szCs w:val="20"/>
              </w:rPr>
            </w:pPr>
            <w:r>
              <w:rPr>
                <w:rFonts w:ascii="宋体" w:hAnsi="宋体" w:cs="宋体" w:eastAsia="宋体" w:hint="default"/>
                <w:spacing w:val="-2"/>
                <w:sz w:val="20"/>
                <w:szCs w:val="20"/>
              </w:rPr>
              <w:t>太阳能相关产品研发、销售与运</w:t>
            </w:r>
            <w:r>
              <w:rPr>
                <w:rFonts w:ascii="宋体" w:hAnsi="宋体" w:cs="宋体" w:eastAsia="宋体" w:hint="default"/>
                <w:w w:val="99"/>
                <w:sz w:val="20"/>
                <w:szCs w:val="20"/>
              </w:rPr>
              <w:t> </w:t>
            </w:r>
            <w:r>
              <w:rPr>
                <w:rFonts w:ascii="宋体" w:hAnsi="宋体" w:cs="宋体" w:eastAsia="宋体" w:hint="default"/>
                <w:sz w:val="20"/>
                <w:szCs w:val="20"/>
              </w:rPr>
              <w:t>营管理及相关业务</w:t>
            </w:r>
            <w:r>
              <w:rPr>
                <w:rFonts w:ascii="宋体" w:hAnsi="宋体" w:cs="宋体" w:eastAsia="宋体" w:hint="default"/>
                <w:sz w:val="20"/>
                <w:szCs w:val="20"/>
              </w:rPr>
              <w:t> </w:t>
            </w:r>
          </w:p>
        </w:tc>
      </w:tr>
      <w:tr>
        <w:trPr>
          <w:trHeight w:val="634" w:hRule="exact"/>
        </w:trPr>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94" w:right="0"/>
              <w:jc w:val="center"/>
              <w:rPr>
                <w:rFonts w:ascii="宋体" w:hAnsi="宋体" w:cs="宋体" w:eastAsia="宋体" w:hint="default"/>
                <w:sz w:val="20"/>
                <w:szCs w:val="20"/>
              </w:rPr>
            </w:pPr>
            <w:r>
              <w:rPr>
                <w:rFonts w:ascii="宋体"/>
                <w:sz w:val="20"/>
              </w:rPr>
              <w:t>4 </w:t>
            </w:r>
          </w:p>
        </w:tc>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159"/>
              <w:jc w:val="left"/>
              <w:rPr>
                <w:rFonts w:ascii="宋体" w:hAnsi="宋体" w:cs="宋体" w:eastAsia="宋体" w:hint="default"/>
                <w:sz w:val="20"/>
                <w:szCs w:val="20"/>
              </w:rPr>
            </w:pPr>
            <w:r>
              <w:rPr>
                <w:rFonts w:ascii="宋体" w:hAnsi="宋体" w:cs="宋体" w:eastAsia="宋体" w:hint="default"/>
                <w:sz w:val="20"/>
                <w:szCs w:val="20"/>
              </w:rPr>
              <w:t>宿迁林能新能源科技有</w:t>
            </w:r>
            <w:r>
              <w:rPr>
                <w:rFonts w:ascii="宋体" w:hAnsi="宋体" w:cs="宋体" w:eastAsia="宋体" w:hint="default"/>
                <w:w w:val="99"/>
                <w:sz w:val="20"/>
                <w:szCs w:val="20"/>
              </w:rPr>
              <w:t> </w:t>
            </w:r>
            <w:r>
              <w:rPr>
                <w:rFonts w:ascii="宋体" w:hAnsi="宋体" w:cs="宋体" w:eastAsia="宋体" w:hint="default"/>
                <w:sz w:val="20"/>
                <w:szCs w:val="20"/>
              </w:rPr>
              <w:t>限公司</w:t>
            </w:r>
            <w:r>
              <w:rPr>
                <w:rFonts w:ascii="宋体" w:hAnsi="宋体" w:cs="宋体" w:eastAsia="宋体" w:hint="default"/>
                <w:sz w:val="20"/>
                <w:szCs w:val="20"/>
              </w:rPr>
              <w:t> </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92" w:right="0"/>
              <w:jc w:val="center"/>
              <w:rPr>
                <w:rFonts w:ascii="宋体" w:hAnsi="宋体" w:cs="宋体" w:eastAsia="宋体" w:hint="default"/>
                <w:sz w:val="20"/>
                <w:szCs w:val="20"/>
              </w:rPr>
            </w:pPr>
            <w:r>
              <w:rPr>
                <w:rFonts w:ascii="宋体"/>
                <w:sz w:val="20"/>
              </w:rPr>
              <w:t>2019/2/1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92" w:right="0"/>
              <w:jc w:val="center"/>
              <w:rPr>
                <w:rFonts w:ascii="宋体" w:hAnsi="宋体" w:cs="宋体" w:eastAsia="宋体" w:hint="default"/>
                <w:sz w:val="20"/>
                <w:szCs w:val="20"/>
              </w:rPr>
            </w:pPr>
            <w:r>
              <w:rPr>
                <w:rFonts w:ascii="宋体" w:hAnsi="宋体" w:cs="宋体" w:eastAsia="宋体" w:hint="default"/>
                <w:sz w:val="20"/>
                <w:szCs w:val="20"/>
              </w:rPr>
              <w:t>江苏宿迁</w:t>
            </w:r>
            <w:r>
              <w:rPr>
                <w:rFonts w:ascii="宋体" w:hAnsi="宋体" w:cs="宋体" w:eastAsia="宋体" w:hint="default"/>
                <w:sz w:val="20"/>
                <w:szCs w:val="20"/>
              </w:rPr>
              <w:t> </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283" w:right="0"/>
              <w:jc w:val="left"/>
              <w:rPr>
                <w:rFonts w:ascii="宋体" w:hAnsi="宋体" w:cs="宋体" w:eastAsia="宋体" w:hint="default"/>
                <w:sz w:val="20"/>
                <w:szCs w:val="20"/>
              </w:rPr>
            </w:pPr>
            <w:r>
              <w:rPr>
                <w:rFonts w:ascii="宋体" w:hAnsi="宋体" w:cs="宋体" w:eastAsia="宋体" w:hint="default"/>
                <w:sz w:val="20"/>
                <w:szCs w:val="20"/>
              </w:rPr>
              <w:t>100</w:t>
            </w:r>
            <w:r>
              <w:rPr>
                <w:rFonts w:ascii="宋体" w:hAnsi="宋体" w:cs="宋体" w:eastAsia="宋体" w:hint="default"/>
                <w:spacing w:val="-49"/>
                <w:sz w:val="20"/>
                <w:szCs w:val="20"/>
              </w:rPr>
              <w:t> </w:t>
            </w:r>
            <w:r>
              <w:rPr>
                <w:rFonts w:ascii="宋体" w:hAnsi="宋体" w:cs="宋体" w:eastAsia="宋体" w:hint="default"/>
                <w:spacing w:val="-3"/>
                <w:sz w:val="20"/>
                <w:szCs w:val="20"/>
              </w:rPr>
              <w:t>万</w:t>
            </w:r>
            <w:r>
              <w:rPr>
                <w:rFonts w:ascii="宋体" w:hAnsi="宋体" w:cs="宋体" w:eastAsia="宋体" w:hint="default"/>
                <w:sz w:val="20"/>
                <w:szCs w:val="20"/>
              </w:rPr>
              <w:t> </w:t>
            </w:r>
          </w:p>
        </w:tc>
        <w:tc>
          <w:tcPr>
            <w:tcW w:w="2989"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0" w:right="107"/>
              <w:jc w:val="left"/>
              <w:rPr>
                <w:rFonts w:ascii="宋体" w:hAnsi="宋体" w:cs="宋体" w:eastAsia="宋体" w:hint="default"/>
                <w:sz w:val="20"/>
                <w:szCs w:val="20"/>
              </w:rPr>
            </w:pPr>
            <w:r>
              <w:rPr>
                <w:rFonts w:ascii="宋体" w:hAnsi="宋体" w:cs="宋体" w:eastAsia="宋体" w:hint="default"/>
                <w:spacing w:val="-2"/>
                <w:sz w:val="20"/>
                <w:szCs w:val="20"/>
              </w:rPr>
              <w:t>太阳能相关产品研发、销售与运</w:t>
            </w:r>
            <w:r>
              <w:rPr>
                <w:rFonts w:ascii="宋体" w:hAnsi="宋体" w:cs="宋体" w:eastAsia="宋体" w:hint="default"/>
                <w:w w:val="99"/>
                <w:sz w:val="20"/>
                <w:szCs w:val="20"/>
              </w:rPr>
              <w:t> </w:t>
            </w:r>
            <w:r>
              <w:rPr>
                <w:rFonts w:ascii="宋体" w:hAnsi="宋体" w:cs="宋体" w:eastAsia="宋体" w:hint="default"/>
                <w:sz w:val="20"/>
                <w:szCs w:val="20"/>
              </w:rPr>
              <w:t>营管理及相关业务</w:t>
            </w:r>
            <w:r>
              <w:rPr>
                <w:rFonts w:ascii="宋体" w:hAnsi="宋体" w:cs="宋体" w:eastAsia="宋体" w:hint="default"/>
                <w:sz w:val="20"/>
                <w:szCs w:val="20"/>
              </w:rPr>
              <w:t> </w:t>
            </w:r>
          </w:p>
        </w:tc>
      </w:tr>
      <w:tr>
        <w:trPr>
          <w:trHeight w:val="634" w:hRule="exact"/>
        </w:trPr>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94" w:right="0"/>
              <w:jc w:val="center"/>
              <w:rPr>
                <w:rFonts w:ascii="宋体" w:hAnsi="宋体" w:cs="宋体" w:eastAsia="宋体" w:hint="default"/>
                <w:sz w:val="20"/>
                <w:szCs w:val="20"/>
              </w:rPr>
            </w:pPr>
            <w:r>
              <w:rPr>
                <w:rFonts w:ascii="宋体"/>
                <w:sz w:val="20"/>
              </w:rPr>
              <w:t>5 </w:t>
            </w:r>
          </w:p>
        </w:tc>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159"/>
              <w:jc w:val="left"/>
              <w:rPr>
                <w:rFonts w:ascii="宋体" w:hAnsi="宋体" w:cs="宋体" w:eastAsia="宋体" w:hint="default"/>
                <w:sz w:val="20"/>
                <w:szCs w:val="20"/>
              </w:rPr>
            </w:pPr>
            <w:r>
              <w:rPr>
                <w:rFonts w:ascii="宋体" w:hAnsi="宋体" w:cs="宋体" w:eastAsia="宋体" w:hint="default"/>
                <w:sz w:val="20"/>
                <w:szCs w:val="20"/>
              </w:rPr>
              <w:t>夏津林津新能源科技有</w:t>
            </w:r>
            <w:r>
              <w:rPr>
                <w:rFonts w:ascii="宋体" w:hAnsi="宋体" w:cs="宋体" w:eastAsia="宋体" w:hint="default"/>
                <w:w w:val="99"/>
                <w:sz w:val="20"/>
                <w:szCs w:val="20"/>
              </w:rPr>
              <w:t> </w:t>
            </w:r>
            <w:r>
              <w:rPr>
                <w:rFonts w:ascii="宋体" w:hAnsi="宋体" w:cs="宋体" w:eastAsia="宋体" w:hint="default"/>
                <w:sz w:val="20"/>
                <w:szCs w:val="20"/>
              </w:rPr>
              <w:t>限公司</w:t>
            </w:r>
            <w:r>
              <w:rPr>
                <w:rFonts w:ascii="宋体" w:hAnsi="宋体" w:cs="宋体" w:eastAsia="宋体" w:hint="default"/>
                <w:sz w:val="20"/>
                <w:szCs w:val="20"/>
              </w:rPr>
              <w:t> </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92" w:right="0"/>
              <w:jc w:val="center"/>
              <w:rPr>
                <w:rFonts w:ascii="宋体" w:hAnsi="宋体" w:cs="宋体" w:eastAsia="宋体" w:hint="default"/>
                <w:sz w:val="20"/>
                <w:szCs w:val="20"/>
              </w:rPr>
            </w:pPr>
            <w:r>
              <w:rPr>
                <w:rFonts w:ascii="宋体"/>
                <w:sz w:val="20"/>
              </w:rPr>
              <w:t>2019/3/1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92" w:right="0"/>
              <w:jc w:val="center"/>
              <w:rPr>
                <w:rFonts w:ascii="宋体" w:hAnsi="宋体" w:cs="宋体" w:eastAsia="宋体" w:hint="default"/>
                <w:sz w:val="20"/>
                <w:szCs w:val="20"/>
              </w:rPr>
            </w:pPr>
            <w:r>
              <w:rPr>
                <w:rFonts w:ascii="宋体" w:hAnsi="宋体" w:cs="宋体" w:eastAsia="宋体" w:hint="default"/>
                <w:sz w:val="20"/>
                <w:szCs w:val="20"/>
              </w:rPr>
              <w:t>山东德州</w:t>
            </w:r>
            <w:r>
              <w:rPr>
                <w:rFonts w:ascii="宋体" w:hAnsi="宋体" w:cs="宋体" w:eastAsia="宋体" w:hint="default"/>
                <w:sz w:val="20"/>
                <w:szCs w:val="20"/>
              </w:rPr>
              <w:t> </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283" w:right="0"/>
              <w:jc w:val="left"/>
              <w:rPr>
                <w:rFonts w:ascii="宋体" w:hAnsi="宋体" w:cs="宋体" w:eastAsia="宋体" w:hint="default"/>
                <w:sz w:val="20"/>
                <w:szCs w:val="20"/>
              </w:rPr>
            </w:pPr>
            <w:r>
              <w:rPr>
                <w:rFonts w:ascii="宋体" w:hAnsi="宋体" w:cs="宋体" w:eastAsia="宋体" w:hint="default"/>
                <w:sz w:val="20"/>
                <w:szCs w:val="20"/>
              </w:rPr>
              <w:t>100</w:t>
            </w:r>
            <w:r>
              <w:rPr>
                <w:rFonts w:ascii="宋体" w:hAnsi="宋体" w:cs="宋体" w:eastAsia="宋体" w:hint="default"/>
                <w:spacing w:val="-49"/>
                <w:sz w:val="20"/>
                <w:szCs w:val="20"/>
              </w:rPr>
              <w:t> </w:t>
            </w:r>
            <w:r>
              <w:rPr>
                <w:rFonts w:ascii="宋体" w:hAnsi="宋体" w:cs="宋体" w:eastAsia="宋体" w:hint="default"/>
                <w:spacing w:val="-3"/>
                <w:sz w:val="20"/>
                <w:szCs w:val="20"/>
              </w:rPr>
              <w:t>万</w:t>
            </w:r>
            <w:r>
              <w:rPr>
                <w:rFonts w:ascii="宋体" w:hAnsi="宋体" w:cs="宋体" w:eastAsia="宋体" w:hint="default"/>
                <w:sz w:val="20"/>
                <w:szCs w:val="20"/>
              </w:rPr>
              <w:t> </w:t>
            </w:r>
          </w:p>
        </w:tc>
        <w:tc>
          <w:tcPr>
            <w:tcW w:w="2989"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0" w:right="107"/>
              <w:jc w:val="left"/>
              <w:rPr>
                <w:rFonts w:ascii="宋体" w:hAnsi="宋体" w:cs="宋体" w:eastAsia="宋体" w:hint="default"/>
                <w:sz w:val="20"/>
                <w:szCs w:val="20"/>
              </w:rPr>
            </w:pPr>
            <w:r>
              <w:rPr>
                <w:rFonts w:ascii="宋体" w:hAnsi="宋体" w:cs="宋体" w:eastAsia="宋体" w:hint="default"/>
                <w:spacing w:val="-2"/>
                <w:sz w:val="20"/>
                <w:szCs w:val="20"/>
              </w:rPr>
              <w:t>太阳能相关产品研发、销售与运</w:t>
            </w:r>
            <w:r>
              <w:rPr>
                <w:rFonts w:ascii="宋体" w:hAnsi="宋体" w:cs="宋体" w:eastAsia="宋体" w:hint="default"/>
                <w:w w:val="99"/>
                <w:sz w:val="20"/>
                <w:szCs w:val="20"/>
              </w:rPr>
              <w:t> </w:t>
            </w:r>
            <w:r>
              <w:rPr>
                <w:rFonts w:ascii="宋体" w:hAnsi="宋体" w:cs="宋体" w:eastAsia="宋体" w:hint="default"/>
                <w:sz w:val="20"/>
                <w:szCs w:val="20"/>
              </w:rPr>
              <w:t>营管理及相关业务</w:t>
            </w:r>
            <w:r>
              <w:rPr>
                <w:rFonts w:ascii="宋体" w:hAnsi="宋体" w:cs="宋体" w:eastAsia="宋体" w:hint="default"/>
                <w:sz w:val="20"/>
                <w:szCs w:val="20"/>
              </w:rPr>
              <w:t> </w:t>
            </w:r>
          </w:p>
        </w:tc>
      </w:tr>
      <w:tr>
        <w:trPr>
          <w:trHeight w:val="634" w:hRule="exact"/>
        </w:trPr>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94" w:right="0"/>
              <w:jc w:val="center"/>
              <w:rPr>
                <w:rFonts w:ascii="宋体" w:hAnsi="宋体" w:cs="宋体" w:eastAsia="宋体" w:hint="default"/>
                <w:sz w:val="20"/>
                <w:szCs w:val="20"/>
              </w:rPr>
            </w:pPr>
            <w:r>
              <w:rPr>
                <w:rFonts w:ascii="宋体"/>
                <w:sz w:val="20"/>
              </w:rPr>
              <w:t>6 </w:t>
            </w:r>
          </w:p>
        </w:tc>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159"/>
              <w:jc w:val="left"/>
              <w:rPr>
                <w:rFonts w:ascii="宋体" w:hAnsi="宋体" w:cs="宋体" w:eastAsia="宋体" w:hint="default"/>
                <w:sz w:val="20"/>
                <w:szCs w:val="20"/>
              </w:rPr>
            </w:pPr>
            <w:r>
              <w:rPr>
                <w:rFonts w:ascii="宋体" w:hAnsi="宋体" w:cs="宋体" w:eastAsia="宋体" w:hint="default"/>
                <w:sz w:val="20"/>
                <w:szCs w:val="20"/>
              </w:rPr>
              <w:t>宁津县华茂农业科技有</w:t>
            </w:r>
            <w:r>
              <w:rPr>
                <w:rFonts w:ascii="宋体" w:hAnsi="宋体" w:cs="宋体" w:eastAsia="宋体" w:hint="default"/>
                <w:w w:val="99"/>
                <w:sz w:val="20"/>
                <w:szCs w:val="20"/>
              </w:rPr>
              <w:t> </w:t>
            </w:r>
            <w:r>
              <w:rPr>
                <w:rFonts w:ascii="宋体" w:hAnsi="宋体" w:cs="宋体" w:eastAsia="宋体" w:hint="default"/>
                <w:sz w:val="20"/>
                <w:szCs w:val="20"/>
              </w:rPr>
              <w:t>限公司</w:t>
            </w:r>
            <w:r>
              <w:rPr>
                <w:rFonts w:ascii="宋体" w:hAnsi="宋体" w:cs="宋体" w:eastAsia="宋体" w:hint="default"/>
                <w:sz w:val="20"/>
                <w:szCs w:val="20"/>
              </w:rPr>
              <w:t> </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92" w:right="0"/>
              <w:jc w:val="center"/>
              <w:rPr>
                <w:rFonts w:ascii="宋体" w:hAnsi="宋体" w:cs="宋体" w:eastAsia="宋体" w:hint="default"/>
                <w:sz w:val="20"/>
                <w:szCs w:val="20"/>
              </w:rPr>
            </w:pPr>
            <w:r>
              <w:rPr>
                <w:rFonts w:ascii="宋体"/>
                <w:sz w:val="20"/>
              </w:rPr>
              <w:t>2019/4/18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92" w:right="0"/>
              <w:jc w:val="center"/>
              <w:rPr>
                <w:rFonts w:ascii="宋体" w:hAnsi="宋体" w:cs="宋体" w:eastAsia="宋体" w:hint="default"/>
                <w:sz w:val="20"/>
                <w:szCs w:val="20"/>
              </w:rPr>
            </w:pPr>
            <w:r>
              <w:rPr>
                <w:rFonts w:ascii="宋体" w:hAnsi="宋体" w:cs="宋体" w:eastAsia="宋体" w:hint="default"/>
                <w:sz w:val="20"/>
                <w:szCs w:val="20"/>
              </w:rPr>
              <w:t>山东德州</w:t>
            </w:r>
            <w:r>
              <w:rPr>
                <w:rFonts w:ascii="宋体" w:hAnsi="宋体" w:cs="宋体" w:eastAsia="宋体" w:hint="default"/>
                <w:sz w:val="20"/>
                <w:szCs w:val="20"/>
              </w:rPr>
              <w:t> </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233" w:right="0"/>
              <w:jc w:val="left"/>
              <w:rPr>
                <w:rFonts w:ascii="宋体" w:hAnsi="宋体" w:cs="宋体" w:eastAsia="宋体" w:hint="default"/>
                <w:sz w:val="20"/>
                <w:szCs w:val="20"/>
              </w:rPr>
            </w:pPr>
            <w:r>
              <w:rPr>
                <w:rFonts w:ascii="宋体" w:hAnsi="宋体" w:cs="宋体" w:eastAsia="宋体" w:hint="default"/>
                <w:sz w:val="20"/>
                <w:szCs w:val="20"/>
              </w:rPr>
              <w:t>1000</w:t>
            </w:r>
            <w:r>
              <w:rPr>
                <w:rFonts w:ascii="宋体" w:hAnsi="宋体" w:cs="宋体" w:eastAsia="宋体" w:hint="default"/>
                <w:spacing w:val="-49"/>
                <w:sz w:val="20"/>
                <w:szCs w:val="20"/>
              </w:rPr>
              <w:t> </w:t>
            </w:r>
            <w:r>
              <w:rPr>
                <w:rFonts w:ascii="宋体" w:hAnsi="宋体" w:cs="宋体" w:eastAsia="宋体" w:hint="default"/>
                <w:spacing w:val="-3"/>
                <w:sz w:val="20"/>
                <w:szCs w:val="20"/>
              </w:rPr>
              <w:t>万</w:t>
            </w:r>
            <w:r>
              <w:rPr>
                <w:rFonts w:ascii="宋体" w:hAnsi="宋体" w:cs="宋体" w:eastAsia="宋体" w:hint="default"/>
                <w:sz w:val="20"/>
                <w:szCs w:val="20"/>
              </w:rPr>
              <w:t> </w:t>
            </w:r>
          </w:p>
        </w:tc>
        <w:tc>
          <w:tcPr>
            <w:tcW w:w="2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100" w:right="0"/>
              <w:jc w:val="left"/>
              <w:rPr>
                <w:rFonts w:ascii="宋体" w:hAnsi="宋体" w:cs="宋体" w:eastAsia="宋体" w:hint="default"/>
                <w:sz w:val="20"/>
                <w:szCs w:val="20"/>
              </w:rPr>
            </w:pPr>
            <w:r>
              <w:rPr>
                <w:rFonts w:ascii="宋体" w:hAnsi="宋体" w:cs="宋体" w:eastAsia="宋体" w:hint="default"/>
                <w:sz w:val="20"/>
                <w:szCs w:val="20"/>
              </w:rPr>
              <w:t>农业生产、种植加工等相关业务</w:t>
            </w:r>
            <w:r>
              <w:rPr>
                <w:rFonts w:ascii="宋体" w:hAnsi="宋体" w:cs="宋体" w:eastAsia="宋体" w:hint="default"/>
                <w:sz w:val="20"/>
                <w:szCs w:val="20"/>
              </w:rPr>
              <w:t> </w:t>
            </w:r>
          </w:p>
        </w:tc>
      </w:tr>
      <w:tr>
        <w:trPr>
          <w:trHeight w:val="634" w:hRule="exact"/>
        </w:trPr>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94" w:right="0"/>
              <w:jc w:val="center"/>
              <w:rPr>
                <w:rFonts w:ascii="宋体" w:hAnsi="宋体" w:cs="宋体" w:eastAsia="宋体" w:hint="default"/>
                <w:sz w:val="20"/>
                <w:szCs w:val="20"/>
              </w:rPr>
            </w:pPr>
            <w:r>
              <w:rPr>
                <w:rFonts w:ascii="宋体"/>
                <w:sz w:val="20"/>
              </w:rPr>
              <w:t>7 </w:t>
            </w:r>
          </w:p>
        </w:tc>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159"/>
              <w:jc w:val="left"/>
              <w:rPr>
                <w:rFonts w:ascii="宋体" w:hAnsi="宋体" w:cs="宋体" w:eastAsia="宋体" w:hint="default"/>
                <w:sz w:val="20"/>
                <w:szCs w:val="20"/>
              </w:rPr>
            </w:pPr>
            <w:r>
              <w:rPr>
                <w:rFonts w:ascii="宋体" w:hAnsi="宋体" w:cs="宋体" w:eastAsia="宋体" w:hint="default"/>
                <w:sz w:val="20"/>
                <w:szCs w:val="20"/>
              </w:rPr>
              <w:t>冠县永晖新能源科技有</w:t>
            </w:r>
            <w:r>
              <w:rPr>
                <w:rFonts w:ascii="宋体" w:hAnsi="宋体" w:cs="宋体" w:eastAsia="宋体" w:hint="default"/>
                <w:w w:val="99"/>
                <w:sz w:val="20"/>
                <w:szCs w:val="20"/>
              </w:rPr>
              <w:t> </w:t>
            </w:r>
            <w:r>
              <w:rPr>
                <w:rFonts w:ascii="宋体" w:hAnsi="宋体" w:cs="宋体" w:eastAsia="宋体" w:hint="default"/>
                <w:sz w:val="20"/>
                <w:szCs w:val="20"/>
              </w:rPr>
              <w:t>限公司</w:t>
            </w:r>
            <w:r>
              <w:rPr>
                <w:rFonts w:ascii="宋体" w:hAnsi="宋体" w:cs="宋体" w:eastAsia="宋体" w:hint="default"/>
                <w:sz w:val="20"/>
                <w:szCs w:val="20"/>
              </w:rPr>
              <w:t> </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92" w:right="0"/>
              <w:jc w:val="center"/>
              <w:rPr>
                <w:rFonts w:ascii="宋体" w:hAnsi="宋体" w:cs="宋体" w:eastAsia="宋体" w:hint="default"/>
                <w:sz w:val="20"/>
                <w:szCs w:val="20"/>
              </w:rPr>
            </w:pPr>
            <w:r>
              <w:rPr>
                <w:rFonts w:ascii="宋体"/>
                <w:sz w:val="20"/>
              </w:rPr>
              <w:t>2019/4/18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92" w:right="0"/>
              <w:jc w:val="center"/>
              <w:rPr>
                <w:rFonts w:ascii="宋体" w:hAnsi="宋体" w:cs="宋体" w:eastAsia="宋体" w:hint="default"/>
                <w:sz w:val="20"/>
                <w:szCs w:val="20"/>
              </w:rPr>
            </w:pPr>
            <w:r>
              <w:rPr>
                <w:rFonts w:ascii="宋体" w:hAnsi="宋体" w:cs="宋体" w:eastAsia="宋体" w:hint="default"/>
                <w:sz w:val="20"/>
                <w:szCs w:val="20"/>
              </w:rPr>
              <w:t>山东聊城</w:t>
            </w:r>
            <w:r>
              <w:rPr>
                <w:rFonts w:ascii="宋体" w:hAnsi="宋体" w:cs="宋体" w:eastAsia="宋体" w:hint="default"/>
                <w:sz w:val="20"/>
                <w:szCs w:val="20"/>
              </w:rPr>
              <w:t> </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283" w:right="0"/>
              <w:jc w:val="left"/>
              <w:rPr>
                <w:rFonts w:ascii="宋体" w:hAnsi="宋体" w:cs="宋体" w:eastAsia="宋体" w:hint="default"/>
                <w:sz w:val="20"/>
                <w:szCs w:val="20"/>
              </w:rPr>
            </w:pPr>
            <w:r>
              <w:rPr>
                <w:rFonts w:ascii="宋体" w:hAnsi="宋体" w:cs="宋体" w:eastAsia="宋体" w:hint="default"/>
                <w:sz w:val="20"/>
                <w:szCs w:val="20"/>
              </w:rPr>
              <w:t>100</w:t>
            </w:r>
            <w:r>
              <w:rPr>
                <w:rFonts w:ascii="宋体" w:hAnsi="宋体" w:cs="宋体" w:eastAsia="宋体" w:hint="default"/>
                <w:spacing w:val="-49"/>
                <w:sz w:val="20"/>
                <w:szCs w:val="20"/>
              </w:rPr>
              <w:t> </w:t>
            </w:r>
            <w:r>
              <w:rPr>
                <w:rFonts w:ascii="宋体" w:hAnsi="宋体" w:cs="宋体" w:eastAsia="宋体" w:hint="default"/>
                <w:spacing w:val="-3"/>
                <w:sz w:val="20"/>
                <w:szCs w:val="20"/>
              </w:rPr>
              <w:t>万</w:t>
            </w:r>
            <w:r>
              <w:rPr>
                <w:rFonts w:ascii="宋体" w:hAnsi="宋体" w:cs="宋体" w:eastAsia="宋体" w:hint="default"/>
                <w:sz w:val="20"/>
                <w:szCs w:val="20"/>
              </w:rPr>
              <w:t> </w:t>
            </w:r>
          </w:p>
        </w:tc>
        <w:tc>
          <w:tcPr>
            <w:tcW w:w="2989"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0" w:right="107"/>
              <w:jc w:val="left"/>
              <w:rPr>
                <w:rFonts w:ascii="宋体" w:hAnsi="宋体" w:cs="宋体" w:eastAsia="宋体" w:hint="default"/>
                <w:sz w:val="20"/>
                <w:szCs w:val="20"/>
              </w:rPr>
            </w:pPr>
            <w:r>
              <w:rPr>
                <w:rFonts w:ascii="宋体" w:hAnsi="宋体" w:cs="宋体" w:eastAsia="宋体" w:hint="default"/>
                <w:spacing w:val="-2"/>
                <w:sz w:val="20"/>
                <w:szCs w:val="20"/>
              </w:rPr>
              <w:t>太阳能相关产品研发、销售与运</w:t>
            </w:r>
            <w:r>
              <w:rPr>
                <w:rFonts w:ascii="宋体" w:hAnsi="宋体" w:cs="宋体" w:eastAsia="宋体" w:hint="default"/>
                <w:w w:val="99"/>
                <w:sz w:val="20"/>
                <w:szCs w:val="20"/>
              </w:rPr>
              <w:t> </w:t>
            </w:r>
            <w:r>
              <w:rPr>
                <w:rFonts w:ascii="宋体" w:hAnsi="宋体" w:cs="宋体" w:eastAsia="宋体" w:hint="default"/>
                <w:sz w:val="20"/>
                <w:szCs w:val="20"/>
              </w:rPr>
              <w:t>营管理及相关业务</w:t>
            </w:r>
            <w:r>
              <w:rPr>
                <w:rFonts w:ascii="宋体" w:hAnsi="宋体" w:cs="宋体" w:eastAsia="宋体" w:hint="default"/>
                <w:sz w:val="20"/>
                <w:szCs w:val="20"/>
              </w:rPr>
              <w:t> </w:t>
            </w:r>
          </w:p>
        </w:tc>
      </w:tr>
      <w:tr>
        <w:trPr>
          <w:trHeight w:val="634" w:hRule="exact"/>
        </w:trPr>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94" w:right="0"/>
              <w:jc w:val="center"/>
              <w:rPr>
                <w:rFonts w:ascii="宋体" w:hAnsi="宋体" w:cs="宋体" w:eastAsia="宋体" w:hint="default"/>
                <w:sz w:val="20"/>
                <w:szCs w:val="20"/>
              </w:rPr>
            </w:pPr>
            <w:r>
              <w:rPr>
                <w:rFonts w:ascii="宋体"/>
                <w:sz w:val="20"/>
              </w:rPr>
              <w:t>8 </w:t>
            </w:r>
          </w:p>
        </w:tc>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159"/>
              <w:jc w:val="left"/>
              <w:rPr>
                <w:rFonts w:ascii="宋体" w:hAnsi="宋体" w:cs="宋体" w:eastAsia="宋体" w:hint="default"/>
                <w:sz w:val="20"/>
                <w:szCs w:val="20"/>
              </w:rPr>
            </w:pPr>
            <w:r>
              <w:rPr>
                <w:rFonts w:ascii="宋体" w:hAnsi="宋体" w:cs="宋体" w:eastAsia="宋体" w:hint="default"/>
                <w:sz w:val="20"/>
                <w:szCs w:val="20"/>
              </w:rPr>
              <w:t>涟水县华乐新能源科技</w:t>
            </w:r>
            <w:r>
              <w:rPr>
                <w:rFonts w:ascii="宋体" w:hAnsi="宋体" w:cs="宋体" w:eastAsia="宋体" w:hint="default"/>
                <w:w w:val="99"/>
                <w:sz w:val="20"/>
                <w:szCs w:val="20"/>
              </w:rPr>
              <w:t> </w:t>
            </w:r>
            <w:r>
              <w:rPr>
                <w:rFonts w:ascii="宋体" w:hAnsi="宋体" w:cs="宋体" w:eastAsia="宋体" w:hint="default"/>
                <w:sz w:val="20"/>
                <w:szCs w:val="20"/>
              </w:rPr>
              <w:t>有限公司</w:t>
            </w:r>
            <w:r>
              <w:rPr>
                <w:rFonts w:ascii="宋体" w:hAnsi="宋体" w:cs="宋体" w:eastAsia="宋体" w:hint="default"/>
                <w:sz w:val="20"/>
                <w:szCs w:val="20"/>
              </w:rPr>
              <w:t> </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92" w:right="0"/>
              <w:jc w:val="center"/>
              <w:rPr>
                <w:rFonts w:ascii="宋体" w:hAnsi="宋体" w:cs="宋体" w:eastAsia="宋体" w:hint="default"/>
                <w:sz w:val="20"/>
                <w:szCs w:val="20"/>
              </w:rPr>
            </w:pPr>
            <w:r>
              <w:rPr>
                <w:rFonts w:ascii="宋体"/>
                <w:sz w:val="20"/>
              </w:rPr>
              <w:t>2019/4/22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92" w:right="0"/>
              <w:jc w:val="center"/>
              <w:rPr>
                <w:rFonts w:ascii="宋体" w:hAnsi="宋体" w:cs="宋体" w:eastAsia="宋体" w:hint="default"/>
                <w:sz w:val="20"/>
                <w:szCs w:val="20"/>
              </w:rPr>
            </w:pPr>
            <w:r>
              <w:rPr>
                <w:rFonts w:ascii="宋体" w:hAnsi="宋体" w:cs="宋体" w:eastAsia="宋体" w:hint="default"/>
                <w:sz w:val="20"/>
                <w:szCs w:val="20"/>
              </w:rPr>
              <w:t>江苏淮安</w:t>
            </w:r>
            <w:r>
              <w:rPr>
                <w:rFonts w:ascii="宋体" w:hAnsi="宋体" w:cs="宋体" w:eastAsia="宋体" w:hint="default"/>
                <w:sz w:val="20"/>
                <w:szCs w:val="20"/>
              </w:rPr>
              <w:t> </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283" w:right="0"/>
              <w:jc w:val="left"/>
              <w:rPr>
                <w:rFonts w:ascii="宋体" w:hAnsi="宋体" w:cs="宋体" w:eastAsia="宋体" w:hint="default"/>
                <w:sz w:val="20"/>
                <w:szCs w:val="20"/>
              </w:rPr>
            </w:pPr>
            <w:r>
              <w:rPr>
                <w:rFonts w:ascii="宋体" w:hAnsi="宋体" w:cs="宋体" w:eastAsia="宋体" w:hint="default"/>
                <w:sz w:val="20"/>
                <w:szCs w:val="20"/>
              </w:rPr>
              <w:t>500</w:t>
            </w:r>
            <w:r>
              <w:rPr>
                <w:rFonts w:ascii="宋体" w:hAnsi="宋体" w:cs="宋体" w:eastAsia="宋体" w:hint="default"/>
                <w:spacing w:val="-49"/>
                <w:sz w:val="20"/>
                <w:szCs w:val="20"/>
              </w:rPr>
              <w:t> </w:t>
            </w:r>
            <w:r>
              <w:rPr>
                <w:rFonts w:ascii="宋体" w:hAnsi="宋体" w:cs="宋体" w:eastAsia="宋体" w:hint="default"/>
                <w:spacing w:val="-3"/>
                <w:sz w:val="20"/>
                <w:szCs w:val="20"/>
              </w:rPr>
              <w:t>万</w:t>
            </w:r>
            <w:r>
              <w:rPr>
                <w:rFonts w:ascii="宋体" w:hAnsi="宋体" w:cs="宋体" w:eastAsia="宋体" w:hint="default"/>
                <w:sz w:val="20"/>
                <w:szCs w:val="20"/>
              </w:rPr>
              <w:t> </w:t>
            </w:r>
          </w:p>
        </w:tc>
        <w:tc>
          <w:tcPr>
            <w:tcW w:w="2989"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0" w:right="107"/>
              <w:jc w:val="left"/>
              <w:rPr>
                <w:rFonts w:ascii="宋体" w:hAnsi="宋体" w:cs="宋体" w:eastAsia="宋体" w:hint="default"/>
                <w:sz w:val="20"/>
                <w:szCs w:val="20"/>
              </w:rPr>
            </w:pPr>
            <w:r>
              <w:rPr>
                <w:rFonts w:ascii="宋体" w:hAnsi="宋体" w:cs="宋体" w:eastAsia="宋体" w:hint="default"/>
                <w:spacing w:val="-2"/>
                <w:sz w:val="20"/>
                <w:szCs w:val="20"/>
              </w:rPr>
              <w:t>太阳能相关产品研发、销售与运</w:t>
            </w:r>
            <w:r>
              <w:rPr>
                <w:rFonts w:ascii="宋体" w:hAnsi="宋体" w:cs="宋体" w:eastAsia="宋体" w:hint="default"/>
                <w:w w:val="99"/>
                <w:sz w:val="20"/>
                <w:szCs w:val="20"/>
              </w:rPr>
              <w:t> </w:t>
            </w:r>
            <w:r>
              <w:rPr>
                <w:rFonts w:ascii="宋体" w:hAnsi="宋体" w:cs="宋体" w:eastAsia="宋体" w:hint="default"/>
                <w:sz w:val="20"/>
                <w:szCs w:val="20"/>
              </w:rPr>
              <w:t>营管理及相关业务</w:t>
            </w:r>
            <w:r>
              <w:rPr>
                <w:rFonts w:ascii="宋体" w:hAnsi="宋体" w:cs="宋体" w:eastAsia="宋体" w:hint="default"/>
                <w:sz w:val="20"/>
                <w:szCs w:val="20"/>
              </w:rPr>
              <w:t> </w:t>
            </w:r>
          </w:p>
        </w:tc>
      </w:tr>
      <w:tr>
        <w:trPr>
          <w:trHeight w:val="636" w:hRule="exact"/>
        </w:trPr>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94" w:right="0"/>
              <w:jc w:val="center"/>
              <w:rPr>
                <w:rFonts w:ascii="宋体" w:hAnsi="宋体" w:cs="宋体" w:eastAsia="宋体" w:hint="default"/>
                <w:sz w:val="20"/>
                <w:szCs w:val="20"/>
              </w:rPr>
            </w:pPr>
            <w:r>
              <w:rPr>
                <w:rFonts w:ascii="宋体"/>
                <w:sz w:val="20"/>
              </w:rPr>
              <w:t>9 </w:t>
            </w:r>
          </w:p>
        </w:tc>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159"/>
              <w:jc w:val="left"/>
              <w:rPr>
                <w:rFonts w:ascii="宋体" w:hAnsi="宋体" w:cs="宋体" w:eastAsia="宋体" w:hint="default"/>
                <w:sz w:val="20"/>
                <w:szCs w:val="20"/>
              </w:rPr>
            </w:pPr>
            <w:r>
              <w:rPr>
                <w:rFonts w:ascii="宋体" w:hAnsi="宋体" w:cs="宋体" w:eastAsia="宋体" w:hint="default"/>
                <w:sz w:val="20"/>
                <w:szCs w:val="20"/>
              </w:rPr>
              <w:t>涟水县华洋新能源科技</w:t>
            </w:r>
            <w:r>
              <w:rPr>
                <w:rFonts w:ascii="宋体" w:hAnsi="宋体" w:cs="宋体" w:eastAsia="宋体" w:hint="default"/>
                <w:w w:val="99"/>
                <w:sz w:val="20"/>
                <w:szCs w:val="20"/>
              </w:rPr>
              <w:t> </w:t>
            </w:r>
            <w:r>
              <w:rPr>
                <w:rFonts w:ascii="宋体" w:hAnsi="宋体" w:cs="宋体" w:eastAsia="宋体" w:hint="default"/>
                <w:sz w:val="20"/>
                <w:szCs w:val="20"/>
              </w:rPr>
              <w:t>有限公司</w:t>
            </w:r>
            <w:r>
              <w:rPr>
                <w:rFonts w:ascii="宋体" w:hAnsi="宋体" w:cs="宋体" w:eastAsia="宋体" w:hint="default"/>
                <w:sz w:val="20"/>
                <w:szCs w:val="20"/>
              </w:rPr>
              <w:t> </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92" w:right="0"/>
              <w:jc w:val="center"/>
              <w:rPr>
                <w:rFonts w:ascii="宋体" w:hAnsi="宋体" w:cs="宋体" w:eastAsia="宋体" w:hint="default"/>
                <w:sz w:val="20"/>
                <w:szCs w:val="20"/>
              </w:rPr>
            </w:pPr>
            <w:r>
              <w:rPr>
                <w:rFonts w:ascii="宋体"/>
                <w:sz w:val="20"/>
              </w:rPr>
              <w:t>2019/4/22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92" w:right="0"/>
              <w:jc w:val="center"/>
              <w:rPr>
                <w:rFonts w:ascii="宋体" w:hAnsi="宋体" w:cs="宋体" w:eastAsia="宋体" w:hint="default"/>
                <w:sz w:val="20"/>
                <w:szCs w:val="20"/>
              </w:rPr>
            </w:pPr>
            <w:r>
              <w:rPr>
                <w:rFonts w:ascii="宋体" w:hAnsi="宋体" w:cs="宋体" w:eastAsia="宋体" w:hint="default"/>
                <w:sz w:val="20"/>
                <w:szCs w:val="20"/>
              </w:rPr>
              <w:t>江苏淮安</w:t>
            </w:r>
            <w:r>
              <w:rPr>
                <w:rFonts w:ascii="宋体" w:hAnsi="宋体" w:cs="宋体" w:eastAsia="宋体" w:hint="default"/>
                <w:sz w:val="20"/>
                <w:szCs w:val="20"/>
              </w:rPr>
              <w:t> </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283" w:right="0"/>
              <w:jc w:val="left"/>
              <w:rPr>
                <w:rFonts w:ascii="宋体" w:hAnsi="宋体" w:cs="宋体" w:eastAsia="宋体" w:hint="default"/>
                <w:sz w:val="20"/>
                <w:szCs w:val="20"/>
              </w:rPr>
            </w:pPr>
            <w:r>
              <w:rPr>
                <w:rFonts w:ascii="宋体" w:hAnsi="宋体" w:cs="宋体" w:eastAsia="宋体" w:hint="default"/>
                <w:sz w:val="20"/>
                <w:szCs w:val="20"/>
              </w:rPr>
              <w:t>500</w:t>
            </w:r>
            <w:r>
              <w:rPr>
                <w:rFonts w:ascii="宋体" w:hAnsi="宋体" w:cs="宋体" w:eastAsia="宋体" w:hint="default"/>
                <w:spacing w:val="-49"/>
                <w:sz w:val="20"/>
                <w:szCs w:val="20"/>
              </w:rPr>
              <w:t> </w:t>
            </w:r>
            <w:r>
              <w:rPr>
                <w:rFonts w:ascii="宋体" w:hAnsi="宋体" w:cs="宋体" w:eastAsia="宋体" w:hint="default"/>
                <w:spacing w:val="-3"/>
                <w:sz w:val="20"/>
                <w:szCs w:val="20"/>
              </w:rPr>
              <w:t>万</w:t>
            </w:r>
            <w:r>
              <w:rPr>
                <w:rFonts w:ascii="宋体" w:hAnsi="宋体" w:cs="宋体" w:eastAsia="宋体" w:hint="default"/>
                <w:sz w:val="20"/>
                <w:szCs w:val="20"/>
              </w:rPr>
              <w:t> </w:t>
            </w:r>
          </w:p>
        </w:tc>
        <w:tc>
          <w:tcPr>
            <w:tcW w:w="2989"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0" w:right="107"/>
              <w:jc w:val="left"/>
              <w:rPr>
                <w:rFonts w:ascii="宋体" w:hAnsi="宋体" w:cs="宋体" w:eastAsia="宋体" w:hint="default"/>
                <w:sz w:val="20"/>
                <w:szCs w:val="20"/>
              </w:rPr>
            </w:pPr>
            <w:r>
              <w:rPr>
                <w:rFonts w:ascii="宋体" w:hAnsi="宋体" w:cs="宋体" w:eastAsia="宋体" w:hint="default"/>
                <w:spacing w:val="-2"/>
                <w:sz w:val="20"/>
                <w:szCs w:val="20"/>
              </w:rPr>
              <w:t>太阳能相关产品研发、销售与运</w:t>
            </w:r>
            <w:r>
              <w:rPr>
                <w:rFonts w:ascii="宋体" w:hAnsi="宋体" w:cs="宋体" w:eastAsia="宋体" w:hint="default"/>
                <w:w w:val="99"/>
                <w:sz w:val="20"/>
                <w:szCs w:val="20"/>
              </w:rPr>
              <w:t> </w:t>
            </w:r>
            <w:r>
              <w:rPr>
                <w:rFonts w:ascii="宋体" w:hAnsi="宋体" w:cs="宋体" w:eastAsia="宋体" w:hint="default"/>
                <w:sz w:val="20"/>
                <w:szCs w:val="20"/>
              </w:rPr>
              <w:t>营管理及相关业务</w:t>
            </w:r>
            <w:r>
              <w:rPr>
                <w:rFonts w:ascii="宋体" w:hAnsi="宋体" w:cs="宋体" w:eastAsia="宋体" w:hint="default"/>
                <w:sz w:val="20"/>
                <w:szCs w:val="20"/>
              </w:rPr>
              <w:t> </w:t>
            </w:r>
          </w:p>
        </w:tc>
      </w:tr>
      <w:tr>
        <w:trPr>
          <w:trHeight w:val="634" w:hRule="exact"/>
        </w:trPr>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97" w:right="0"/>
              <w:jc w:val="center"/>
              <w:rPr>
                <w:rFonts w:ascii="宋体" w:hAnsi="宋体" w:cs="宋体" w:eastAsia="宋体" w:hint="default"/>
                <w:sz w:val="20"/>
                <w:szCs w:val="20"/>
              </w:rPr>
            </w:pPr>
            <w:r>
              <w:rPr>
                <w:rFonts w:ascii="宋体"/>
                <w:sz w:val="20"/>
              </w:rPr>
              <w:t>10 </w:t>
            </w:r>
          </w:p>
        </w:tc>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159"/>
              <w:jc w:val="left"/>
              <w:rPr>
                <w:rFonts w:ascii="宋体" w:hAnsi="宋体" w:cs="宋体" w:eastAsia="宋体" w:hint="default"/>
                <w:sz w:val="20"/>
                <w:szCs w:val="20"/>
              </w:rPr>
            </w:pPr>
            <w:r>
              <w:rPr>
                <w:rFonts w:ascii="宋体" w:hAnsi="宋体" w:cs="宋体" w:eastAsia="宋体" w:hint="default"/>
                <w:sz w:val="20"/>
                <w:szCs w:val="20"/>
              </w:rPr>
              <w:t>淮安华乐新能源科技有</w:t>
            </w:r>
            <w:r>
              <w:rPr>
                <w:rFonts w:ascii="宋体" w:hAnsi="宋体" w:cs="宋体" w:eastAsia="宋体" w:hint="default"/>
                <w:w w:val="99"/>
                <w:sz w:val="20"/>
                <w:szCs w:val="20"/>
              </w:rPr>
              <w:t> </w:t>
            </w:r>
            <w:r>
              <w:rPr>
                <w:rFonts w:ascii="宋体" w:hAnsi="宋体" w:cs="宋体" w:eastAsia="宋体" w:hint="default"/>
                <w:sz w:val="20"/>
                <w:szCs w:val="20"/>
              </w:rPr>
              <w:t>限公司</w:t>
            </w:r>
            <w:r>
              <w:rPr>
                <w:rFonts w:ascii="宋体" w:hAnsi="宋体" w:cs="宋体" w:eastAsia="宋体" w:hint="default"/>
                <w:sz w:val="20"/>
                <w:szCs w:val="20"/>
              </w:rPr>
              <w:t> </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92" w:right="0"/>
              <w:jc w:val="center"/>
              <w:rPr>
                <w:rFonts w:ascii="宋体" w:hAnsi="宋体" w:cs="宋体" w:eastAsia="宋体" w:hint="default"/>
                <w:sz w:val="20"/>
                <w:szCs w:val="20"/>
              </w:rPr>
            </w:pPr>
            <w:r>
              <w:rPr>
                <w:rFonts w:ascii="宋体"/>
                <w:sz w:val="20"/>
              </w:rPr>
              <w:t>2019/4/22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92" w:right="0"/>
              <w:jc w:val="center"/>
              <w:rPr>
                <w:rFonts w:ascii="宋体" w:hAnsi="宋体" w:cs="宋体" w:eastAsia="宋体" w:hint="default"/>
                <w:sz w:val="20"/>
                <w:szCs w:val="20"/>
              </w:rPr>
            </w:pPr>
            <w:r>
              <w:rPr>
                <w:rFonts w:ascii="宋体" w:hAnsi="宋体" w:cs="宋体" w:eastAsia="宋体" w:hint="default"/>
                <w:sz w:val="20"/>
                <w:szCs w:val="20"/>
              </w:rPr>
              <w:t>江苏淮安</w:t>
            </w:r>
            <w:r>
              <w:rPr>
                <w:rFonts w:ascii="宋体" w:hAnsi="宋体" w:cs="宋体" w:eastAsia="宋体" w:hint="default"/>
                <w:sz w:val="20"/>
                <w:szCs w:val="20"/>
              </w:rPr>
              <w:t> </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283" w:right="0"/>
              <w:jc w:val="left"/>
              <w:rPr>
                <w:rFonts w:ascii="宋体" w:hAnsi="宋体" w:cs="宋体" w:eastAsia="宋体" w:hint="default"/>
                <w:sz w:val="20"/>
                <w:szCs w:val="20"/>
              </w:rPr>
            </w:pPr>
            <w:r>
              <w:rPr>
                <w:rFonts w:ascii="宋体" w:hAnsi="宋体" w:cs="宋体" w:eastAsia="宋体" w:hint="default"/>
                <w:sz w:val="20"/>
                <w:szCs w:val="20"/>
              </w:rPr>
              <w:t>500</w:t>
            </w:r>
            <w:r>
              <w:rPr>
                <w:rFonts w:ascii="宋体" w:hAnsi="宋体" w:cs="宋体" w:eastAsia="宋体" w:hint="default"/>
                <w:spacing w:val="-49"/>
                <w:sz w:val="20"/>
                <w:szCs w:val="20"/>
              </w:rPr>
              <w:t> </w:t>
            </w:r>
            <w:r>
              <w:rPr>
                <w:rFonts w:ascii="宋体" w:hAnsi="宋体" w:cs="宋体" w:eastAsia="宋体" w:hint="default"/>
                <w:spacing w:val="-3"/>
                <w:sz w:val="20"/>
                <w:szCs w:val="20"/>
              </w:rPr>
              <w:t>万</w:t>
            </w:r>
            <w:r>
              <w:rPr>
                <w:rFonts w:ascii="宋体" w:hAnsi="宋体" w:cs="宋体" w:eastAsia="宋体" w:hint="default"/>
                <w:sz w:val="20"/>
                <w:szCs w:val="20"/>
              </w:rPr>
              <w:t> </w:t>
            </w:r>
          </w:p>
        </w:tc>
        <w:tc>
          <w:tcPr>
            <w:tcW w:w="2989"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0" w:right="107"/>
              <w:jc w:val="left"/>
              <w:rPr>
                <w:rFonts w:ascii="宋体" w:hAnsi="宋体" w:cs="宋体" w:eastAsia="宋体" w:hint="default"/>
                <w:sz w:val="20"/>
                <w:szCs w:val="20"/>
              </w:rPr>
            </w:pPr>
            <w:r>
              <w:rPr>
                <w:rFonts w:ascii="宋体" w:hAnsi="宋体" w:cs="宋体" w:eastAsia="宋体" w:hint="default"/>
                <w:spacing w:val="-2"/>
                <w:sz w:val="20"/>
                <w:szCs w:val="20"/>
              </w:rPr>
              <w:t>太阳能相关产品研发、销售与运</w:t>
            </w:r>
            <w:r>
              <w:rPr>
                <w:rFonts w:ascii="宋体" w:hAnsi="宋体" w:cs="宋体" w:eastAsia="宋体" w:hint="default"/>
                <w:w w:val="99"/>
                <w:sz w:val="20"/>
                <w:szCs w:val="20"/>
              </w:rPr>
              <w:t> </w:t>
            </w:r>
            <w:r>
              <w:rPr>
                <w:rFonts w:ascii="宋体" w:hAnsi="宋体" w:cs="宋体" w:eastAsia="宋体" w:hint="default"/>
                <w:sz w:val="20"/>
                <w:szCs w:val="20"/>
              </w:rPr>
              <w:t>营管理及相关业务</w:t>
            </w:r>
            <w:r>
              <w:rPr>
                <w:rFonts w:ascii="宋体" w:hAnsi="宋体" w:cs="宋体" w:eastAsia="宋体" w:hint="default"/>
                <w:sz w:val="20"/>
                <w:szCs w:val="20"/>
              </w:rPr>
              <w:t> </w:t>
            </w:r>
          </w:p>
        </w:tc>
      </w:tr>
      <w:tr>
        <w:trPr>
          <w:trHeight w:val="634" w:hRule="exact"/>
        </w:trPr>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97" w:right="0"/>
              <w:jc w:val="center"/>
              <w:rPr>
                <w:rFonts w:ascii="宋体" w:hAnsi="宋体" w:cs="宋体" w:eastAsia="宋体" w:hint="default"/>
                <w:sz w:val="20"/>
                <w:szCs w:val="20"/>
              </w:rPr>
            </w:pPr>
            <w:r>
              <w:rPr>
                <w:rFonts w:ascii="宋体"/>
                <w:sz w:val="20"/>
              </w:rPr>
              <w:t>11 </w:t>
            </w:r>
          </w:p>
        </w:tc>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159"/>
              <w:jc w:val="left"/>
              <w:rPr>
                <w:rFonts w:ascii="宋体" w:hAnsi="宋体" w:cs="宋体" w:eastAsia="宋体" w:hint="default"/>
                <w:sz w:val="20"/>
                <w:szCs w:val="20"/>
              </w:rPr>
            </w:pPr>
            <w:r>
              <w:rPr>
                <w:rFonts w:ascii="宋体" w:hAnsi="宋体" w:cs="宋体" w:eastAsia="宋体" w:hint="default"/>
                <w:sz w:val="20"/>
                <w:szCs w:val="20"/>
              </w:rPr>
              <w:t>菏泽永诺新能源科技有</w:t>
            </w:r>
            <w:r>
              <w:rPr>
                <w:rFonts w:ascii="宋体" w:hAnsi="宋体" w:cs="宋体" w:eastAsia="宋体" w:hint="default"/>
                <w:w w:val="99"/>
                <w:sz w:val="20"/>
                <w:szCs w:val="20"/>
              </w:rPr>
              <w:t> </w:t>
            </w:r>
            <w:r>
              <w:rPr>
                <w:rFonts w:ascii="宋体" w:hAnsi="宋体" w:cs="宋体" w:eastAsia="宋体" w:hint="default"/>
                <w:sz w:val="20"/>
                <w:szCs w:val="20"/>
              </w:rPr>
              <w:t>限公司</w:t>
            </w:r>
            <w:r>
              <w:rPr>
                <w:rFonts w:ascii="宋体" w:hAnsi="宋体" w:cs="宋体" w:eastAsia="宋体" w:hint="default"/>
                <w:sz w:val="20"/>
                <w:szCs w:val="20"/>
              </w:rPr>
              <w:t> </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92" w:right="0"/>
              <w:jc w:val="center"/>
              <w:rPr>
                <w:rFonts w:ascii="宋体" w:hAnsi="宋体" w:cs="宋体" w:eastAsia="宋体" w:hint="default"/>
                <w:sz w:val="20"/>
                <w:szCs w:val="20"/>
              </w:rPr>
            </w:pPr>
            <w:r>
              <w:rPr>
                <w:rFonts w:ascii="宋体"/>
                <w:sz w:val="20"/>
              </w:rPr>
              <w:t>2019/4/24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92" w:right="0"/>
              <w:jc w:val="center"/>
              <w:rPr>
                <w:rFonts w:ascii="宋体" w:hAnsi="宋体" w:cs="宋体" w:eastAsia="宋体" w:hint="default"/>
                <w:sz w:val="20"/>
                <w:szCs w:val="20"/>
              </w:rPr>
            </w:pPr>
            <w:r>
              <w:rPr>
                <w:rFonts w:ascii="宋体" w:hAnsi="宋体" w:cs="宋体" w:eastAsia="宋体" w:hint="default"/>
                <w:sz w:val="20"/>
                <w:szCs w:val="20"/>
              </w:rPr>
              <w:t>山东菏泽</w:t>
            </w:r>
            <w:r>
              <w:rPr>
                <w:rFonts w:ascii="宋体" w:hAnsi="宋体" w:cs="宋体" w:eastAsia="宋体" w:hint="default"/>
                <w:sz w:val="20"/>
                <w:szCs w:val="20"/>
              </w:rPr>
              <w:t> </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283" w:right="0"/>
              <w:jc w:val="left"/>
              <w:rPr>
                <w:rFonts w:ascii="宋体" w:hAnsi="宋体" w:cs="宋体" w:eastAsia="宋体" w:hint="default"/>
                <w:sz w:val="20"/>
                <w:szCs w:val="20"/>
              </w:rPr>
            </w:pPr>
            <w:r>
              <w:rPr>
                <w:rFonts w:ascii="宋体" w:hAnsi="宋体" w:cs="宋体" w:eastAsia="宋体" w:hint="default"/>
                <w:sz w:val="20"/>
                <w:szCs w:val="20"/>
              </w:rPr>
              <w:t>200</w:t>
            </w:r>
            <w:r>
              <w:rPr>
                <w:rFonts w:ascii="宋体" w:hAnsi="宋体" w:cs="宋体" w:eastAsia="宋体" w:hint="default"/>
                <w:spacing w:val="-49"/>
                <w:sz w:val="20"/>
                <w:szCs w:val="20"/>
              </w:rPr>
              <w:t> </w:t>
            </w:r>
            <w:r>
              <w:rPr>
                <w:rFonts w:ascii="宋体" w:hAnsi="宋体" w:cs="宋体" w:eastAsia="宋体" w:hint="default"/>
                <w:spacing w:val="-3"/>
                <w:sz w:val="20"/>
                <w:szCs w:val="20"/>
              </w:rPr>
              <w:t>万</w:t>
            </w:r>
            <w:r>
              <w:rPr>
                <w:rFonts w:ascii="宋体" w:hAnsi="宋体" w:cs="宋体" w:eastAsia="宋体" w:hint="default"/>
                <w:sz w:val="20"/>
                <w:szCs w:val="20"/>
              </w:rPr>
              <w:t> </w:t>
            </w:r>
          </w:p>
        </w:tc>
        <w:tc>
          <w:tcPr>
            <w:tcW w:w="2989"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0" w:right="107"/>
              <w:jc w:val="left"/>
              <w:rPr>
                <w:rFonts w:ascii="宋体" w:hAnsi="宋体" w:cs="宋体" w:eastAsia="宋体" w:hint="default"/>
                <w:sz w:val="20"/>
                <w:szCs w:val="20"/>
              </w:rPr>
            </w:pPr>
            <w:r>
              <w:rPr>
                <w:rFonts w:ascii="宋体" w:hAnsi="宋体" w:cs="宋体" w:eastAsia="宋体" w:hint="default"/>
                <w:spacing w:val="-2"/>
                <w:sz w:val="20"/>
                <w:szCs w:val="20"/>
              </w:rPr>
              <w:t>太阳能相关产品研发、销售与运</w:t>
            </w:r>
            <w:r>
              <w:rPr>
                <w:rFonts w:ascii="宋体" w:hAnsi="宋体" w:cs="宋体" w:eastAsia="宋体" w:hint="default"/>
                <w:w w:val="99"/>
                <w:sz w:val="20"/>
                <w:szCs w:val="20"/>
              </w:rPr>
              <w:t> </w:t>
            </w:r>
            <w:r>
              <w:rPr>
                <w:rFonts w:ascii="宋体" w:hAnsi="宋体" w:cs="宋体" w:eastAsia="宋体" w:hint="default"/>
                <w:sz w:val="20"/>
                <w:szCs w:val="20"/>
              </w:rPr>
              <w:t>营管理及相关业务</w:t>
            </w:r>
            <w:r>
              <w:rPr>
                <w:rFonts w:ascii="宋体" w:hAnsi="宋体" w:cs="宋体" w:eastAsia="宋体" w:hint="default"/>
                <w:sz w:val="20"/>
                <w:szCs w:val="20"/>
              </w:rPr>
              <w:t> </w:t>
            </w:r>
          </w:p>
        </w:tc>
      </w:tr>
      <w:tr>
        <w:trPr>
          <w:trHeight w:val="521" w:hRule="exact"/>
        </w:trPr>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97" w:right="0"/>
              <w:jc w:val="center"/>
              <w:rPr>
                <w:rFonts w:ascii="宋体" w:hAnsi="宋体" w:cs="宋体" w:eastAsia="宋体" w:hint="default"/>
                <w:sz w:val="20"/>
                <w:szCs w:val="20"/>
              </w:rPr>
            </w:pPr>
            <w:r>
              <w:rPr>
                <w:rFonts w:ascii="宋体"/>
                <w:sz w:val="20"/>
              </w:rPr>
              <w:t>12 </w:t>
            </w:r>
          </w:p>
        </w:tc>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03" w:right="0"/>
              <w:jc w:val="left"/>
              <w:rPr>
                <w:rFonts w:ascii="宋体" w:hAnsi="宋体" w:cs="宋体" w:eastAsia="宋体" w:hint="default"/>
                <w:sz w:val="20"/>
                <w:szCs w:val="20"/>
              </w:rPr>
            </w:pPr>
            <w:r>
              <w:rPr>
                <w:rFonts w:ascii="宋体" w:hAnsi="宋体" w:cs="宋体" w:eastAsia="宋体" w:hint="default"/>
                <w:sz w:val="20"/>
                <w:szCs w:val="20"/>
              </w:rPr>
              <w:t>邹城市华泽新能源科技</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92" w:right="0"/>
              <w:jc w:val="center"/>
              <w:rPr>
                <w:rFonts w:ascii="宋体" w:hAnsi="宋体" w:cs="宋体" w:eastAsia="宋体" w:hint="default"/>
                <w:sz w:val="20"/>
                <w:szCs w:val="20"/>
              </w:rPr>
            </w:pPr>
            <w:r>
              <w:rPr>
                <w:rFonts w:ascii="宋体"/>
                <w:sz w:val="20"/>
              </w:rPr>
              <w:t>2019/4/25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92" w:right="0"/>
              <w:jc w:val="center"/>
              <w:rPr>
                <w:rFonts w:ascii="宋体" w:hAnsi="宋体" w:cs="宋体" w:eastAsia="宋体" w:hint="default"/>
                <w:sz w:val="20"/>
                <w:szCs w:val="20"/>
              </w:rPr>
            </w:pPr>
            <w:r>
              <w:rPr>
                <w:rFonts w:ascii="宋体" w:hAnsi="宋体" w:cs="宋体" w:eastAsia="宋体" w:hint="default"/>
                <w:sz w:val="20"/>
                <w:szCs w:val="20"/>
              </w:rPr>
              <w:t>山东济宁</w:t>
            </w:r>
            <w:r>
              <w:rPr>
                <w:rFonts w:ascii="宋体" w:hAnsi="宋体" w:cs="宋体" w:eastAsia="宋体" w:hint="default"/>
                <w:sz w:val="20"/>
                <w:szCs w:val="20"/>
              </w:rPr>
              <w:t> </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283" w:right="0"/>
              <w:jc w:val="left"/>
              <w:rPr>
                <w:rFonts w:ascii="宋体" w:hAnsi="宋体" w:cs="宋体" w:eastAsia="宋体" w:hint="default"/>
                <w:sz w:val="20"/>
                <w:szCs w:val="20"/>
              </w:rPr>
            </w:pPr>
            <w:r>
              <w:rPr>
                <w:rFonts w:ascii="宋体" w:hAnsi="宋体" w:cs="宋体" w:eastAsia="宋体" w:hint="default"/>
                <w:sz w:val="20"/>
                <w:szCs w:val="20"/>
              </w:rPr>
              <w:t>100</w:t>
            </w:r>
            <w:r>
              <w:rPr>
                <w:rFonts w:ascii="宋体" w:hAnsi="宋体" w:cs="宋体" w:eastAsia="宋体" w:hint="default"/>
                <w:spacing w:val="-49"/>
                <w:sz w:val="20"/>
                <w:szCs w:val="20"/>
              </w:rPr>
              <w:t> </w:t>
            </w:r>
            <w:r>
              <w:rPr>
                <w:rFonts w:ascii="宋体" w:hAnsi="宋体" w:cs="宋体" w:eastAsia="宋体" w:hint="default"/>
                <w:spacing w:val="-3"/>
                <w:sz w:val="20"/>
                <w:szCs w:val="20"/>
              </w:rPr>
              <w:t>万</w:t>
            </w:r>
            <w:r>
              <w:rPr>
                <w:rFonts w:ascii="宋体" w:hAnsi="宋体" w:cs="宋体" w:eastAsia="宋体" w:hint="default"/>
                <w:sz w:val="20"/>
                <w:szCs w:val="20"/>
              </w:rPr>
              <w:t> </w:t>
            </w:r>
          </w:p>
        </w:tc>
        <w:tc>
          <w:tcPr>
            <w:tcW w:w="2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00" w:right="0"/>
              <w:jc w:val="left"/>
              <w:rPr>
                <w:rFonts w:ascii="宋体" w:hAnsi="宋体" w:cs="宋体" w:eastAsia="宋体" w:hint="default"/>
                <w:sz w:val="20"/>
                <w:szCs w:val="20"/>
              </w:rPr>
            </w:pPr>
            <w:r>
              <w:rPr>
                <w:rFonts w:ascii="宋体" w:hAnsi="宋体" w:cs="宋体" w:eastAsia="宋体" w:hint="default"/>
                <w:sz w:val="20"/>
                <w:szCs w:val="20"/>
              </w:rPr>
              <w:t>太阳能相关产品研发、销售与运</w:t>
            </w:r>
          </w:p>
        </w:tc>
      </w:tr>
    </w:tbl>
    <w:p>
      <w:pPr>
        <w:spacing w:after="0" w:line="240" w:lineRule="auto"/>
        <w:jc w:val="left"/>
        <w:rPr>
          <w:rFonts w:ascii="宋体" w:hAnsi="宋体" w:cs="宋体" w:eastAsia="宋体" w:hint="default"/>
          <w:sz w:val="20"/>
          <w:szCs w:val="20"/>
        </w:rPr>
        <w:sectPr>
          <w:pgSz w:w="11910" w:h="16840"/>
          <w:pgMar w:header="747" w:footer="974" w:top="1140" w:bottom="1160" w:left="700" w:right="1220"/>
        </w:sectPr>
      </w:pPr>
    </w:p>
    <w:p>
      <w:pPr>
        <w:spacing w:line="240" w:lineRule="auto" w:before="7"/>
        <w:rPr>
          <w:rFonts w:ascii="宋体" w:hAnsi="宋体" w:cs="宋体" w:eastAsia="宋体" w:hint="default"/>
          <w:b/>
          <w:bCs/>
          <w:sz w:val="22"/>
          <w:szCs w:val="22"/>
        </w:rPr>
      </w:pPr>
    </w:p>
    <w:tbl>
      <w:tblPr>
        <w:tblW w:w="0" w:type="auto"/>
        <w:jc w:val="left"/>
        <w:tblInd w:w="103" w:type="dxa"/>
        <w:tblLayout w:type="fixed"/>
        <w:tblCellMar>
          <w:top w:w="0" w:type="dxa"/>
          <w:left w:w="0" w:type="dxa"/>
          <w:bottom w:w="0" w:type="dxa"/>
          <w:right w:w="0" w:type="dxa"/>
        </w:tblCellMar>
        <w:tblLook w:val="01E0"/>
      </w:tblPr>
      <w:tblGrid>
        <w:gridCol w:w="716"/>
        <w:gridCol w:w="2270"/>
        <w:gridCol w:w="1412"/>
        <w:gridCol w:w="1133"/>
        <w:gridCol w:w="1131"/>
        <w:gridCol w:w="2989"/>
      </w:tblGrid>
      <w:tr>
        <w:trPr>
          <w:trHeight w:val="516" w:hRule="exact"/>
        </w:trPr>
        <w:tc>
          <w:tcPr>
            <w:tcW w:w="716" w:type="dxa"/>
            <w:tcBorders>
              <w:top w:val="nil" w:sz="6" w:space="0" w:color="auto"/>
              <w:left w:val="single" w:sz="4" w:space="0" w:color="000000"/>
              <w:bottom w:val="single" w:sz="4" w:space="0" w:color="000000"/>
              <w:right w:val="single" w:sz="4" w:space="0" w:color="000000"/>
            </w:tcBorders>
          </w:tcPr>
          <w:p>
            <w:pPr/>
          </w:p>
        </w:tc>
        <w:tc>
          <w:tcPr>
            <w:tcW w:w="2270" w:type="dxa"/>
            <w:tcBorders>
              <w:top w:val="nil" w:sz="6" w:space="0" w:color="auto"/>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0"/>
                <w:szCs w:val="20"/>
              </w:rPr>
            </w:pPr>
            <w:r>
              <w:rPr>
                <w:rFonts w:ascii="宋体" w:hAnsi="宋体" w:cs="宋体" w:eastAsia="宋体" w:hint="default"/>
                <w:sz w:val="20"/>
                <w:szCs w:val="20"/>
              </w:rPr>
              <w:t>有限公司</w:t>
            </w:r>
            <w:r>
              <w:rPr>
                <w:rFonts w:ascii="宋体" w:hAnsi="宋体" w:cs="宋体" w:eastAsia="宋体" w:hint="default"/>
                <w:sz w:val="20"/>
                <w:szCs w:val="20"/>
              </w:rPr>
              <w:t> </w:t>
            </w:r>
          </w:p>
        </w:tc>
        <w:tc>
          <w:tcPr>
            <w:tcW w:w="1412" w:type="dxa"/>
            <w:tcBorders>
              <w:top w:val="nil" w:sz="6" w:space="0" w:color="auto"/>
              <w:left w:val="single" w:sz="4" w:space="0" w:color="000000"/>
              <w:bottom w:val="single" w:sz="4" w:space="0" w:color="000000"/>
              <w:right w:val="single" w:sz="4" w:space="0" w:color="000000"/>
            </w:tcBorders>
          </w:tcPr>
          <w:p>
            <w:pPr/>
          </w:p>
        </w:tc>
        <w:tc>
          <w:tcPr>
            <w:tcW w:w="1133" w:type="dxa"/>
            <w:tcBorders>
              <w:top w:val="nil" w:sz="6" w:space="0" w:color="auto"/>
              <w:left w:val="single" w:sz="4" w:space="0" w:color="000000"/>
              <w:bottom w:val="single" w:sz="4" w:space="0" w:color="000000"/>
              <w:right w:val="single" w:sz="4" w:space="0" w:color="000000"/>
            </w:tcBorders>
          </w:tcPr>
          <w:p>
            <w:pPr/>
          </w:p>
        </w:tc>
        <w:tc>
          <w:tcPr>
            <w:tcW w:w="1131" w:type="dxa"/>
            <w:tcBorders>
              <w:top w:val="nil" w:sz="6" w:space="0" w:color="auto"/>
              <w:left w:val="single" w:sz="4" w:space="0" w:color="000000"/>
              <w:bottom w:val="single" w:sz="4" w:space="0" w:color="000000"/>
              <w:right w:val="single" w:sz="4" w:space="0" w:color="000000"/>
            </w:tcBorders>
          </w:tcPr>
          <w:p>
            <w:pPr/>
          </w:p>
        </w:tc>
        <w:tc>
          <w:tcPr>
            <w:tcW w:w="2989" w:type="dxa"/>
            <w:tcBorders>
              <w:top w:val="nil" w:sz="6" w:space="0" w:color="auto"/>
              <w:left w:val="single" w:sz="4" w:space="0" w:color="000000"/>
              <w:bottom w:val="single" w:sz="4" w:space="0" w:color="000000"/>
              <w:right w:val="single" w:sz="4" w:space="0" w:color="000000"/>
            </w:tcBorders>
          </w:tcPr>
          <w:p>
            <w:pPr>
              <w:pStyle w:val="TableParagraph"/>
              <w:spacing w:line="254" w:lineRule="exact"/>
              <w:ind w:left="100" w:right="0"/>
              <w:jc w:val="left"/>
              <w:rPr>
                <w:rFonts w:ascii="宋体" w:hAnsi="宋体" w:cs="宋体" w:eastAsia="宋体" w:hint="default"/>
                <w:sz w:val="20"/>
                <w:szCs w:val="20"/>
              </w:rPr>
            </w:pPr>
            <w:r>
              <w:rPr>
                <w:rFonts w:ascii="宋体" w:hAnsi="宋体" w:cs="宋体" w:eastAsia="宋体" w:hint="default"/>
                <w:sz w:val="20"/>
                <w:szCs w:val="20"/>
              </w:rPr>
              <w:t>营管理及相关业务</w:t>
            </w:r>
            <w:r>
              <w:rPr>
                <w:rFonts w:ascii="宋体" w:hAnsi="宋体" w:cs="宋体" w:eastAsia="宋体" w:hint="default"/>
                <w:sz w:val="20"/>
                <w:szCs w:val="20"/>
              </w:rPr>
              <w:t> </w:t>
            </w:r>
          </w:p>
        </w:tc>
      </w:tr>
      <w:tr>
        <w:trPr>
          <w:trHeight w:val="634" w:hRule="exact"/>
        </w:trPr>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52"/>
              <w:jc w:val="right"/>
              <w:rPr>
                <w:rFonts w:ascii="宋体" w:hAnsi="宋体" w:cs="宋体" w:eastAsia="宋体" w:hint="default"/>
                <w:sz w:val="20"/>
                <w:szCs w:val="20"/>
              </w:rPr>
            </w:pPr>
            <w:r>
              <w:rPr>
                <w:rFonts w:ascii="宋体"/>
                <w:w w:val="95"/>
                <w:sz w:val="20"/>
              </w:rPr>
              <w:t>13 </w:t>
            </w:r>
            <w:r>
              <w:rPr>
                <w:rFonts w:ascii="宋体"/>
                <w:sz w:val="20"/>
              </w:rPr>
            </w:r>
          </w:p>
        </w:tc>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159"/>
              <w:jc w:val="left"/>
              <w:rPr>
                <w:rFonts w:ascii="宋体" w:hAnsi="宋体" w:cs="宋体" w:eastAsia="宋体" w:hint="default"/>
                <w:sz w:val="20"/>
                <w:szCs w:val="20"/>
              </w:rPr>
            </w:pPr>
            <w:r>
              <w:rPr>
                <w:rFonts w:ascii="宋体" w:hAnsi="宋体" w:cs="宋体" w:eastAsia="宋体" w:hint="default"/>
                <w:sz w:val="20"/>
                <w:szCs w:val="20"/>
              </w:rPr>
              <w:t>临沂永科光伏发电有限</w:t>
            </w:r>
            <w:r>
              <w:rPr>
                <w:rFonts w:ascii="宋体" w:hAnsi="宋体" w:cs="宋体" w:eastAsia="宋体" w:hint="default"/>
                <w:w w:val="99"/>
                <w:sz w:val="20"/>
                <w:szCs w:val="20"/>
              </w:rPr>
              <w:t> </w:t>
            </w:r>
            <w:r>
              <w:rPr>
                <w:rFonts w:ascii="宋体" w:hAnsi="宋体" w:cs="宋体" w:eastAsia="宋体" w:hint="default"/>
                <w:sz w:val="20"/>
                <w:szCs w:val="20"/>
              </w:rPr>
              <w:t>公司</w:t>
            </w:r>
            <w:r>
              <w:rPr>
                <w:rFonts w:ascii="宋体" w:hAnsi="宋体" w:cs="宋体" w:eastAsia="宋体" w:hint="default"/>
                <w:sz w:val="20"/>
                <w:szCs w:val="20"/>
              </w:rPr>
              <w:t> </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247" w:right="0"/>
              <w:jc w:val="left"/>
              <w:rPr>
                <w:rFonts w:ascii="宋体" w:hAnsi="宋体" w:cs="宋体" w:eastAsia="宋体" w:hint="default"/>
                <w:sz w:val="20"/>
                <w:szCs w:val="20"/>
              </w:rPr>
            </w:pPr>
            <w:r>
              <w:rPr>
                <w:rFonts w:ascii="宋体"/>
                <w:sz w:val="20"/>
              </w:rPr>
              <w:t>2019/4/25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65"/>
              <w:jc w:val="right"/>
              <w:rPr>
                <w:rFonts w:ascii="宋体" w:hAnsi="宋体" w:cs="宋体" w:eastAsia="宋体" w:hint="default"/>
                <w:sz w:val="20"/>
                <w:szCs w:val="20"/>
              </w:rPr>
            </w:pPr>
            <w:r>
              <w:rPr>
                <w:rFonts w:ascii="宋体" w:hAnsi="宋体" w:cs="宋体" w:eastAsia="宋体" w:hint="default"/>
                <w:w w:val="95"/>
                <w:sz w:val="20"/>
                <w:szCs w:val="20"/>
              </w:rPr>
              <w:t>山东临沂</w:t>
            </w:r>
            <w:r>
              <w:rPr>
                <w:rFonts w:ascii="宋体" w:hAnsi="宋体" w:cs="宋体" w:eastAsia="宋体" w:hint="default"/>
                <w:w w:val="95"/>
                <w:sz w:val="20"/>
                <w:szCs w:val="20"/>
              </w:rPr>
              <w:t> </w:t>
            </w:r>
            <w:r>
              <w:rPr>
                <w:rFonts w:ascii="宋体" w:hAnsi="宋体" w:cs="宋体" w:eastAsia="宋体" w:hint="default"/>
                <w:sz w:val="20"/>
                <w:szCs w:val="20"/>
              </w:rPr>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95" w:right="0"/>
              <w:jc w:val="center"/>
              <w:rPr>
                <w:rFonts w:ascii="宋体" w:hAnsi="宋体" w:cs="宋体" w:eastAsia="宋体" w:hint="default"/>
                <w:sz w:val="20"/>
                <w:szCs w:val="20"/>
              </w:rPr>
            </w:pPr>
            <w:r>
              <w:rPr>
                <w:rFonts w:ascii="宋体" w:hAnsi="宋体" w:cs="宋体" w:eastAsia="宋体" w:hint="default"/>
                <w:sz w:val="20"/>
                <w:szCs w:val="20"/>
              </w:rPr>
              <w:t>100</w:t>
            </w:r>
            <w:r>
              <w:rPr>
                <w:rFonts w:ascii="宋体" w:hAnsi="宋体" w:cs="宋体" w:eastAsia="宋体" w:hint="default"/>
                <w:spacing w:val="-49"/>
                <w:sz w:val="20"/>
                <w:szCs w:val="20"/>
              </w:rPr>
              <w:t> </w:t>
            </w:r>
            <w:r>
              <w:rPr>
                <w:rFonts w:ascii="宋体" w:hAnsi="宋体" w:cs="宋体" w:eastAsia="宋体" w:hint="default"/>
                <w:spacing w:val="-3"/>
                <w:sz w:val="20"/>
                <w:szCs w:val="20"/>
              </w:rPr>
              <w:t>万</w:t>
            </w:r>
            <w:r>
              <w:rPr>
                <w:rFonts w:ascii="宋体" w:hAnsi="宋体" w:cs="宋体" w:eastAsia="宋体" w:hint="default"/>
                <w:sz w:val="20"/>
                <w:szCs w:val="20"/>
              </w:rPr>
              <w:t> </w:t>
            </w:r>
          </w:p>
        </w:tc>
        <w:tc>
          <w:tcPr>
            <w:tcW w:w="2989"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0" w:right="107"/>
              <w:jc w:val="left"/>
              <w:rPr>
                <w:rFonts w:ascii="宋体" w:hAnsi="宋体" w:cs="宋体" w:eastAsia="宋体" w:hint="default"/>
                <w:sz w:val="20"/>
                <w:szCs w:val="20"/>
              </w:rPr>
            </w:pPr>
            <w:r>
              <w:rPr>
                <w:rFonts w:ascii="宋体" w:hAnsi="宋体" w:cs="宋体" w:eastAsia="宋体" w:hint="default"/>
                <w:spacing w:val="-2"/>
                <w:sz w:val="20"/>
                <w:szCs w:val="20"/>
              </w:rPr>
              <w:t>太阳能发电、销售与运营管理及</w:t>
            </w:r>
            <w:r>
              <w:rPr>
                <w:rFonts w:ascii="宋体" w:hAnsi="宋体" w:cs="宋体" w:eastAsia="宋体" w:hint="default"/>
                <w:w w:val="99"/>
                <w:sz w:val="20"/>
                <w:szCs w:val="20"/>
              </w:rPr>
              <w:t> </w:t>
            </w:r>
            <w:r>
              <w:rPr>
                <w:rFonts w:ascii="宋体" w:hAnsi="宋体" w:cs="宋体" w:eastAsia="宋体" w:hint="default"/>
                <w:sz w:val="20"/>
                <w:szCs w:val="20"/>
              </w:rPr>
              <w:t>相关业务</w:t>
            </w:r>
            <w:r>
              <w:rPr>
                <w:rFonts w:ascii="宋体" w:hAnsi="宋体" w:cs="宋体" w:eastAsia="宋体" w:hint="default"/>
                <w:sz w:val="20"/>
                <w:szCs w:val="20"/>
              </w:rPr>
              <w:t> </w:t>
            </w:r>
          </w:p>
        </w:tc>
      </w:tr>
      <w:tr>
        <w:trPr>
          <w:trHeight w:val="634" w:hRule="exact"/>
        </w:trPr>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52"/>
              <w:jc w:val="right"/>
              <w:rPr>
                <w:rFonts w:ascii="宋体" w:hAnsi="宋体" w:cs="宋体" w:eastAsia="宋体" w:hint="default"/>
                <w:sz w:val="20"/>
                <w:szCs w:val="20"/>
              </w:rPr>
            </w:pPr>
            <w:r>
              <w:rPr>
                <w:rFonts w:ascii="宋体"/>
                <w:w w:val="95"/>
                <w:sz w:val="20"/>
              </w:rPr>
              <w:t>14 </w:t>
            </w:r>
            <w:r>
              <w:rPr>
                <w:rFonts w:ascii="宋体"/>
                <w:sz w:val="20"/>
              </w:rPr>
            </w:r>
          </w:p>
        </w:tc>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159"/>
              <w:jc w:val="left"/>
              <w:rPr>
                <w:rFonts w:ascii="宋体" w:hAnsi="宋体" w:cs="宋体" w:eastAsia="宋体" w:hint="default"/>
                <w:sz w:val="20"/>
                <w:szCs w:val="20"/>
              </w:rPr>
            </w:pPr>
            <w:r>
              <w:rPr>
                <w:rFonts w:ascii="宋体" w:hAnsi="宋体" w:cs="宋体" w:eastAsia="宋体" w:hint="default"/>
                <w:sz w:val="20"/>
                <w:szCs w:val="20"/>
              </w:rPr>
              <w:t>青州华荣光伏科技有限</w:t>
            </w:r>
            <w:r>
              <w:rPr>
                <w:rFonts w:ascii="宋体" w:hAnsi="宋体" w:cs="宋体" w:eastAsia="宋体" w:hint="default"/>
                <w:w w:val="99"/>
                <w:sz w:val="20"/>
                <w:szCs w:val="20"/>
              </w:rPr>
              <w:t> </w:t>
            </w:r>
            <w:r>
              <w:rPr>
                <w:rFonts w:ascii="宋体" w:hAnsi="宋体" w:cs="宋体" w:eastAsia="宋体" w:hint="default"/>
                <w:sz w:val="20"/>
                <w:szCs w:val="20"/>
              </w:rPr>
              <w:t>公司</w:t>
            </w:r>
            <w:r>
              <w:rPr>
                <w:rFonts w:ascii="宋体" w:hAnsi="宋体" w:cs="宋体" w:eastAsia="宋体" w:hint="default"/>
                <w:sz w:val="20"/>
                <w:szCs w:val="20"/>
              </w:rPr>
              <w:t> </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247" w:right="0"/>
              <w:jc w:val="left"/>
              <w:rPr>
                <w:rFonts w:ascii="宋体" w:hAnsi="宋体" w:cs="宋体" w:eastAsia="宋体" w:hint="default"/>
                <w:sz w:val="20"/>
                <w:szCs w:val="20"/>
              </w:rPr>
            </w:pPr>
            <w:r>
              <w:rPr>
                <w:rFonts w:ascii="宋体"/>
                <w:sz w:val="20"/>
              </w:rPr>
              <w:t>2019/4/26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65"/>
              <w:jc w:val="right"/>
              <w:rPr>
                <w:rFonts w:ascii="宋体" w:hAnsi="宋体" w:cs="宋体" w:eastAsia="宋体" w:hint="default"/>
                <w:sz w:val="20"/>
                <w:szCs w:val="20"/>
              </w:rPr>
            </w:pPr>
            <w:r>
              <w:rPr>
                <w:rFonts w:ascii="宋体" w:hAnsi="宋体" w:cs="宋体" w:eastAsia="宋体" w:hint="default"/>
                <w:w w:val="95"/>
                <w:sz w:val="20"/>
                <w:szCs w:val="20"/>
              </w:rPr>
              <w:t>山东潍坊</w:t>
            </w:r>
            <w:r>
              <w:rPr>
                <w:rFonts w:ascii="宋体" w:hAnsi="宋体" w:cs="宋体" w:eastAsia="宋体" w:hint="default"/>
                <w:w w:val="95"/>
                <w:sz w:val="20"/>
                <w:szCs w:val="20"/>
              </w:rPr>
              <w:t> </w:t>
            </w:r>
            <w:r>
              <w:rPr>
                <w:rFonts w:ascii="宋体" w:hAnsi="宋体" w:cs="宋体" w:eastAsia="宋体" w:hint="default"/>
                <w:sz w:val="20"/>
                <w:szCs w:val="20"/>
              </w:rPr>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95" w:right="0"/>
              <w:jc w:val="center"/>
              <w:rPr>
                <w:rFonts w:ascii="宋体" w:hAnsi="宋体" w:cs="宋体" w:eastAsia="宋体" w:hint="default"/>
                <w:sz w:val="20"/>
                <w:szCs w:val="20"/>
              </w:rPr>
            </w:pPr>
            <w:r>
              <w:rPr>
                <w:rFonts w:ascii="宋体" w:hAnsi="宋体" w:cs="宋体" w:eastAsia="宋体" w:hint="default"/>
                <w:sz w:val="20"/>
                <w:szCs w:val="20"/>
              </w:rPr>
              <w:t>100</w:t>
            </w:r>
            <w:r>
              <w:rPr>
                <w:rFonts w:ascii="宋体" w:hAnsi="宋体" w:cs="宋体" w:eastAsia="宋体" w:hint="default"/>
                <w:spacing w:val="-49"/>
                <w:sz w:val="20"/>
                <w:szCs w:val="20"/>
              </w:rPr>
              <w:t> </w:t>
            </w:r>
            <w:r>
              <w:rPr>
                <w:rFonts w:ascii="宋体" w:hAnsi="宋体" w:cs="宋体" w:eastAsia="宋体" w:hint="default"/>
                <w:spacing w:val="-3"/>
                <w:sz w:val="20"/>
                <w:szCs w:val="20"/>
              </w:rPr>
              <w:t>万</w:t>
            </w:r>
            <w:r>
              <w:rPr>
                <w:rFonts w:ascii="宋体" w:hAnsi="宋体" w:cs="宋体" w:eastAsia="宋体" w:hint="default"/>
                <w:sz w:val="20"/>
                <w:szCs w:val="20"/>
              </w:rPr>
              <w:t> </w:t>
            </w:r>
          </w:p>
        </w:tc>
        <w:tc>
          <w:tcPr>
            <w:tcW w:w="2989"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0" w:right="107"/>
              <w:jc w:val="left"/>
              <w:rPr>
                <w:rFonts w:ascii="宋体" w:hAnsi="宋体" w:cs="宋体" w:eastAsia="宋体" w:hint="default"/>
                <w:sz w:val="20"/>
                <w:szCs w:val="20"/>
              </w:rPr>
            </w:pPr>
            <w:r>
              <w:rPr>
                <w:rFonts w:ascii="宋体" w:hAnsi="宋体" w:cs="宋体" w:eastAsia="宋体" w:hint="default"/>
                <w:spacing w:val="-2"/>
                <w:sz w:val="20"/>
                <w:szCs w:val="20"/>
              </w:rPr>
              <w:t>太阳能相关产品研发、销售与运</w:t>
            </w:r>
            <w:r>
              <w:rPr>
                <w:rFonts w:ascii="宋体" w:hAnsi="宋体" w:cs="宋体" w:eastAsia="宋体" w:hint="default"/>
                <w:w w:val="99"/>
                <w:sz w:val="20"/>
                <w:szCs w:val="20"/>
              </w:rPr>
              <w:t> </w:t>
            </w:r>
            <w:r>
              <w:rPr>
                <w:rFonts w:ascii="宋体" w:hAnsi="宋体" w:cs="宋体" w:eastAsia="宋体" w:hint="default"/>
                <w:sz w:val="20"/>
                <w:szCs w:val="20"/>
              </w:rPr>
              <w:t>营管理及相关业务</w:t>
            </w:r>
            <w:r>
              <w:rPr>
                <w:rFonts w:ascii="宋体" w:hAnsi="宋体" w:cs="宋体" w:eastAsia="宋体" w:hint="default"/>
                <w:sz w:val="20"/>
                <w:szCs w:val="20"/>
              </w:rPr>
              <w:t> </w:t>
            </w:r>
          </w:p>
        </w:tc>
      </w:tr>
      <w:tr>
        <w:trPr>
          <w:trHeight w:val="634" w:hRule="exact"/>
        </w:trPr>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52"/>
              <w:jc w:val="right"/>
              <w:rPr>
                <w:rFonts w:ascii="宋体" w:hAnsi="宋体" w:cs="宋体" w:eastAsia="宋体" w:hint="default"/>
                <w:sz w:val="20"/>
                <w:szCs w:val="20"/>
              </w:rPr>
            </w:pPr>
            <w:r>
              <w:rPr>
                <w:rFonts w:ascii="宋体"/>
                <w:w w:val="95"/>
                <w:sz w:val="20"/>
              </w:rPr>
              <w:t>15 </w:t>
            </w:r>
            <w:r>
              <w:rPr>
                <w:rFonts w:ascii="宋体"/>
                <w:sz w:val="20"/>
              </w:rPr>
            </w:r>
          </w:p>
        </w:tc>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159"/>
              <w:jc w:val="left"/>
              <w:rPr>
                <w:rFonts w:ascii="宋体" w:hAnsi="宋体" w:cs="宋体" w:eastAsia="宋体" w:hint="default"/>
                <w:sz w:val="20"/>
                <w:szCs w:val="20"/>
              </w:rPr>
            </w:pPr>
            <w:r>
              <w:rPr>
                <w:rFonts w:ascii="宋体" w:hAnsi="宋体" w:cs="宋体" w:eastAsia="宋体" w:hint="default"/>
                <w:sz w:val="20"/>
                <w:szCs w:val="20"/>
              </w:rPr>
              <w:t>淮安华虹新能源科技有</w:t>
            </w:r>
            <w:r>
              <w:rPr>
                <w:rFonts w:ascii="宋体" w:hAnsi="宋体" w:cs="宋体" w:eastAsia="宋体" w:hint="default"/>
                <w:w w:val="99"/>
                <w:sz w:val="20"/>
                <w:szCs w:val="20"/>
              </w:rPr>
              <w:t> </w:t>
            </w:r>
            <w:r>
              <w:rPr>
                <w:rFonts w:ascii="宋体" w:hAnsi="宋体" w:cs="宋体" w:eastAsia="宋体" w:hint="default"/>
                <w:sz w:val="20"/>
                <w:szCs w:val="20"/>
              </w:rPr>
              <w:t>限公司</w:t>
            </w:r>
            <w:r>
              <w:rPr>
                <w:rFonts w:ascii="宋体" w:hAnsi="宋体" w:cs="宋体" w:eastAsia="宋体" w:hint="default"/>
                <w:sz w:val="20"/>
                <w:szCs w:val="20"/>
              </w:rPr>
              <w:t> </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247" w:right="0"/>
              <w:jc w:val="left"/>
              <w:rPr>
                <w:rFonts w:ascii="宋体" w:hAnsi="宋体" w:cs="宋体" w:eastAsia="宋体" w:hint="default"/>
                <w:sz w:val="20"/>
                <w:szCs w:val="20"/>
              </w:rPr>
            </w:pPr>
            <w:r>
              <w:rPr>
                <w:rFonts w:ascii="宋体"/>
                <w:sz w:val="20"/>
              </w:rPr>
              <w:t>2019/5/22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65"/>
              <w:jc w:val="right"/>
              <w:rPr>
                <w:rFonts w:ascii="宋体" w:hAnsi="宋体" w:cs="宋体" w:eastAsia="宋体" w:hint="default"/>
                <w:sz w:val="20"/>
                <w:szCs w:val="20"/>
              </w:rPr>
            </w:pPr>
            <w:r>
              <w:rPr>
                <w:rFonts w:ascii="宋体" w:hAnsi="宋体" w:cs="宋体" w:eastAsia="宋体" w:hint="default"/>
                <w:w w:val="95"/>
                <w:sz w:val="20"/>
                <w:szCs w:val="20"/>
              </w:rPr>
              <w:t>江苏淮安</w:t>
            </w:r>
            <w:r>
              <w:rPr>
                <w:rFonts w:ascii="宋体" w:hAnsi="宋体" w:cs="宋体" w:eastAsia="宋体" w:hint="default"/>
                <w:w w:val="95"/>
                <w:sz w:val="20"/>
                <w:szCs w:val="20"/>
              </w:rPr>
              <w:t> </w:t>
            </w:r>
            <w:r>
              <w:rPr>
                <w:rFonts w:ascii="宋体" w:hAnsi="宋体" w:cs="宋体" w:eastAsia="宋体" w:hint="default"/>
                <w:sz w:val="20"/>
                <w:szCs w:val="20"/>
              </w:rPr>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95" w:right="0"/>
              <w:jc w:val="center"/>
              <w:rPr>
                <w:rFonts w:ascii="宋体" w:hAnsi="宋体" w:cs="宋体" w:eastAsia="宋体" w:hint="default"/>
                <w:sz w:val="20"/>
                <w:szCs w:val="20"/>
              </w:rPr>
            </w:pPr>
            <w:r>
              <w:rPr>
                <w:rFonts w:ascii="宋体" w:hAnsi="宋体" w:cs="宋体" w:eastAsia="宋体" w:hint="default"/>
                <w:sz w:val="20"/>
                <w:szCs w:val="20"/>
              </w:rPr>
              <w:t>100</w:t>
            </w:r>
            <w:r>
              <w:rPr>
                <w:rFonts w:ascii="宋体" w:hAnsi="宋体" w:cs="宋体" w:eastAsia="宋体" w:hint="default"/>
                <w:spacing w:val="-49"/>
                <w:sz w:val="20"/>
                <w:szCs w:val="20"/>
              </w:rPr>
              <w:t> </w:t>
            </w:r>
            <w:r>
              <w:rPr>
                <w:rFonts w:ascii="宋体" w:hAnsi="宋体" w:cs="宋体" w:eastAsia="宋体" w:hint="default"/>
                <w:spacing w:val="-3"/>
                <w:sz w:val="20"/>
                <w:szCs w:val="20"/>
              </w:rPr>
              <w:t>万</w:t>
            </w:r>
            <w:r>
              <w:rPr>
                <w:rFonts w:ascii="宋体" w:hAnsi="宋体" w:cs="宋体" w:eastAsia="宋体" w:hint="default"/>
                <w:sz w:val="20"/>
                <w:szCs w:val="20"/>
              </w:rPr>
              <w:t> </w:t>
            </w:r>
          </w:p>
        </w:tc>
        <w:tc>
          <w:tcPr>
            <w:tcW w:w="2989"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0" w:right="107"/>
              <w:jc w:val="left"/>
              <w:rPr>
                <w:rFonts w:ascii="宋体" w:hAnsi="宋体" w:cs="宋体" w:eastAsia="宋体" w:hint="default"/>
                <w:sz w:val="20"/>
                <w:szCs w:val="20"/>
              </w:rPr>
            </w:pPr>
            <w:r>
              <w:rPr>
                <w:rFonts w:ascii="宋体" w:hAnsi="宋体" w:cs="宋体" w:eastAsia="宋体" w:hint="default"/>
                <w:spacing w:val="-2"/>
                <w:sz w:val="20"/>
                <w:szCs w:val="20"/>
              </w:rPr>
              <w:t>太阳能相关产品研发、销售与运</w:t>
            </w:r>
            <w:r>
              <w:rPr>
                <w:rFonts w:ascii="宋体" w:hAnsi="宋体" w:cs="宋体" w:eastAsia="宋体" w:hint="default"/>
                <w:w w:val="99"/>
                <w:sz w:val="20"/>
                <w:szCs w:val="20"/>
              </w:rPr>
              <w:t> </w:t>
            </w:r>
            <w:r>
              <w:rPr>
                <w:rFonts w:ascii="宋体" w:hAnsi="宋体" w:cs="宋体" w:eastAsia="宋体" w:hint="default"/>
                <w:sz w:val="20"/>
                <w:szCs w:val="20"/>
              </w:rPr>
              <w:t>营管理及相关业务</w:t>
            </w:r>
            <w:r>
              <w:rPr>
                <w:rFonts w:ascii="宋体" w:hAnsi="宋体" w:cs="宋体" w:eastAsia="宋体" w:hint="default"/>
                <w:sz w:val="20"/>
                <w:szCs w:val="20"/>
              </w:rPr>
              <w:t> </w:t>
            </w:r>
          </w:p>
        </w:tc>
      </w:tr>
      <w:tr>
        <w:trPr>
          <w:trHeight w:val="634" w:hRule="exact"/>
        </w:trPr>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52"/>
              <w:jc w:val="right"/>
              <w:rPr>
                <w:rFonts w:ascii="宋体" w:hAnsi="宋体" w:cs="宋体" w:eastAsia="宋体" w:hint="default"/>
                <w:sz w:val="20"/>
                <w:szCs w:val="20"/>
              </w:rPr>
            </w:pPr>
            <w:r>
              <w:rPr>
                <w:rFonts w:ascii="宋体"/>
                <w:w w:val="95"/>
                <w:sz w:val="20"/>
              </w:rPr>
              <w:t>16 </w:t>
            </w:r>
            <w:r>
              <w:rPr>
                <w:rFonts w:ascii="宋体"/>
                <w:sz w:val="20"/>
              </w:rPr>
            </w:r>
          </w:p>
        </w:tc>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159"/>
              <w:jc w:val="left"/>
              <w:rPr>
                <w:rFonts w:ascii="宋体" w:hAnsi="宋体" w:cs="宋体" w:eastAsia="宋体" w:hint="default"/>
                <w:sz w:val="20"/>
                <w:szCs w:val="20"/>
              </w:rPr>
            </w:pPr>
            <w:r>
              <w:rPr>
                <w:rFonts w:ascii="宋体" w:hAnsi="宋体" w:cs="宋体" w:eastAsia="宋体" w:hint="default"/>
                <w:sz w:val="20"/>
                <w:szCs w:val="20"/>
              </w:rPr>
              <w:t>亳州市谯城区华太新能</w:t>
            </w:r>
            <w:r>
              <w:rPr>
                <w:rFonts w:ascii="宋体" w:hAnsi="宋体" w:cs="宋体" w:eastAsia="宋体" w:hint="default"/>
                <w:w w:val="99"/>
                <w:sz w:val="20"/>
                <w:szCs w:val="20"/>
              </w:rPr>
              <w:t> </w:t>
            </w:r>
            <w:r>
              <w:rPr>
                <w:rFonts w:ascii="宋体" w:hAnsi="宋体" w:cs="宋体" w:eastAsia="宋体" w:hint="default"/>
                <w:sz w:val="20"/>
                <w:szCs w:val="20"/>
              </w:rPr>
              <w:t>源科技有限公司</w:t>
            </w:r>
            <w:r>
              <w:rPr>
                <w:rFonts w:ascii="宋体" w:hAnsi="宋体" w:cs="宋体" w:eastAsia="宋体" w:hint="default"/>
                <w:sz w:val="20"/>
                <w:szCs w:val="20"/>
              </w:rPr>
              <w:t> </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298" w:right="0"/>
              <w:jc w:val="left"/>
              <w:rPr>
                <w:rFonts w:ascii="宋体" w:hAnsi="宋体" w:cs="宋体" w:eastAsia="宋体" w:hint="default"/>
                <w:sz w:val="20"/>
                <w:szCs w:val="20"/>
              </w:rPr>
            </w:pPr>
            <w:r>
              <w:rPr>
                <w:rFonts w:ascii="宋体"/>
                <w:sz w:val="20"/>
              </w:rPr>
              <w:t>2019/6/4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65"/>
              <w:jc w:val="right"/>
              <w:rPr>
                <w:rFonts w:ascii="宋体" w:hAnsi="宋体" w:cs="宋体" w:eastAsia="宋体" w:hint="default"/>
                <w:sz w:val="20"/>
                <w:szCs w:val="20"/>
              </w:rPr>
            </w:pPr>
            <w:r>
              <w:rPr>
                <w:rFonts w:ascii="宋体" w:hAnsi="宋体" w:cs="宋体" w:eastAsia="宋体" w:hint="default"/>
                <w:w w:val="95"/>
                <w:sz w:val="20"/>
                <w:szCs w:val="20"/>
              </w:rPr>
              <w:t>安徽亳州</w:t>
            </w:r>
            <w:r>
              <w:rPr>
                <w:rFonts w:ascii="宋体" w:hAnsi="宋体" w:cs="宋体" w:eastAsia="宋体" w:hint="default"/>
                <w:w w:val="95"/>
                <w:sz w:val="20"/>
                <w:szCs w:val="20"/>
              </w:rPr>
              <w:t> </w:t>
            </w:r>
            <w:r>
              <w:rPr>
                <w:rFonts w:ascii="宋体" w:hAnsi="宋体" w:cs="宋体" w:eastAsia="宋体" w:hint="default"/>
                <w:sz w:val="20"/>
                <w:szCs w:val="20"/>
              </w:rPr>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95" w:right="0"/>
              <w:jc w:val="center"/>
              <w:rPr>
                <w:rFonts w:ascii="宋体" w:hAnsi="宋体" w:cs="宋体" w:eastAsia="宋体" w:hint="default"/>
                <w:sz w:val="20"/>
                <w:szCs w:val="20"/>
              </w:rPr>
            </w:pPr>
            <w:r>
              <w:rPr>
                <w:rFonts w:ascii="宋体" w:hAnsi="宋体" w:cs="宋体" w:eastAsia="宋体" w:hint="default"/>
                <w:sz w:val="20"/>
                <w:szCs w:val="20"/>
              </w:rPr>
              <w:t>100</w:t>
            </w:r>
            <w:r>
              <w:rPr>
                <w:rFonts w:ascii="宋体" w:hAnsi="宋体" w:cs="宋体" w:eastAsia="宋体" w:hint="default"/>
                <w:spacing w:val="-49"/>
                <w:sz w:val="20"/>
                <w:szCs w:val="20"/>
              </w:rPr>
              <w:t> </w:t>
            </w:r>
            <w:r>
              <w:rPr>
                <w:rFonts w:ascii="宋体" w:hAnsi="宋体" w:cs="宋体" w:eastAsia="宋体" w:hint="default"/>
                <w:spacing w:val="-3"/>
                <w:sz w:val="20"/>
                <w:szCs w:val="20"/>
              </w:rPr>
              <w:t>万</w:t>
            </w:r>
            <w:r>
              <w:rPr>
                <w:rFonts w:ascii="宋体" w:hAnsi="宋体" w:cs="宋体" w:eastAsia="宋体" w:hint="default"/>
                <w:sz w:val="20"/>
                <w:szCs w:val="20"/>
              </w:rPr>
              <w:t> </w:t>
            </w:r>
          </w:p>
        </w:tc>
        <w:tc>
          <w:tcPr>
            <w:tcW w:w="2989"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0" w:right="107"/>
              <w:jc w:val="left"/>
              <w:rPr>
                <w:rFonts w:ascii="宋体" w:hAnsi="宋体" w:cs="宋体" w:eastAsia="宋体" w:hint="default"/>
                <w:sz w:val="20"/>
                <w:szCs w:val="20"/>
              </w:rPr>
            </w:pPr>
            <w:r>
              <w:rPr>
                <w:rFonts w:ascii="宋体" w:hAnsi="宋体" w:cs="宋体" w:eastAsia="宋体" w:hint="default"/>
                <w:spacing w:val="-2"/>
                <w:sz w:val="20"/>
                <w:szCs w:val="20"/>
              </w:rPr>
              <w:t>太阳能相关产品研发、销售与运</w:t>
            </w:r>
            <w:r>
              <w:rPr>
                <w:rFonts w:ascii="宋体" w:hAnsi="宋体" w:cs="宋体" w:eastAsia="宋体" w:hint="default"/>
                <w:w w:val="99"/>
                <w:sz w:val="20"/>
                <w:szCs w:val="20"/>
              </w:rPr>
              <w:t> </w:t>
            </w:r>
            <w:r>
              <w:rPr>
                <w:rFonts w:ascii="宋体" w:hAnsi="宋体" w:cs="宋体" w:eastAsia="宋体" w:hint="default"/>
                <w:sz w:val="20"/>
                <w:szCs w:val="20"/>
              </w:rPr>
              <w:t>营管理及相关业务</w:t>
            </w:r>
            <w:r>
              <w:rPr>
                <w:rFonts w:ascii="宋体" w:hAnsi="宋体" w:cs="宋体" w:eastAsia="宋体" w:hint="default"/>
                <w:sz w:val="20"/>
                <w:szCs w:val="20"/>
              </w:rPr>
              <w:t> </w:t>
            </w:r>
          </w:p>
        </w:tc>
      </w:tr>
      <w:tr>
        <w:trPr>
          <w:trHeight w:val="634" w:hRule="exact"/>
        </w:trPr>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52"/>
              <w:jc w:val="right"/>
              <w:rPr>
                <w:rFonts w:ascii="宋体" w:hAnsi="宋体" w:cs="宋体" w:eastAsia="宋体" w:hint="default"/>
                <w:sz w:val="20"/>
                <w:szCs w:val="20"/>
              </w:rPr>
            </w:pPr>
            <w:r>
              <w:rPr>
                <w:rFonts w:ascii="宋体"/>
                <w:w w:val="95"/>
                <w:sz w:val="20"/>
              </w:rPr>
              <w:t>17 </w:t>
            </w:r>
            <w:r>
              <w:rPr>
                <w:rFonts w:ascii="宋体"/>
                <w:sz w:val="20"/>
              </w:rPr>
            </w:r>
          </w:p>
        </w:tc>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159"/>
              <w:jc w:val="left"/>
              <w:rPr>
                <w:rFonts w:ascii="宋体" w:hAnsi="宋体" w:cs="宋体" w:eastAsia="宋体" w:hint="default"/>
                <w:sz w:val="20"/>
                <w:szCs w:val="20"/>
              </w:rPr>
            </w:pPr>
            <w:r>
              <w:rPr>
                <w:rFonts w:ascii="宋体" w:hAnsi="宋体" w:cs="宋体" w:eastAsia="宋体" w:hint="default"/>
                <w:sz w:val="20"/>
                <w:szCs w:val="20"/>
              </w:rPr>
              <w:t>江苏林洋电力科技有限</w:t>
            </w:r>
            <w:r>
              <w:rPr>
                <w:rFonts w:ascii="宋体" w:hAnsi="宋体" w:cs="宋体" w:eastAsia="宋体" w:hint="default"/>
                <w:w w:val="99"/>
                <w:sz w:val="20"/>
                <w:szCs w:val="20"/>
              </w:rPr>
              <w:t> </w:t>
            </w:r>
            <w:r>
              <w:rPr>
                <w:rFonts w:ascii="宋体" w:hAnsi="宋体" w:cs="宋体" w:eastAsia="宋体" w:hint="default"/>
                <w:sz w:val="20"/>
                <w:szCs w:val="20"/>
              </w:rPr>
              <w:t>公司</w:t>
            </w:r>
            <w:r>
              <w:rPr>
                <w:rFonts w:ascii="宋体" w:hAnsi="宋体" w:cs="宋体" w:eastAsia="宋体" w:hint="default"/>
                <w:sz w:val="20"/>
                <w:szCs w:val="20"/>
              </w:rPr>
              <w:t> </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298" w:right="0"/>
              <w:jc w:val="left"/>
              <w:rPr>
                <w:rFonts w:ascii="宋体" w:hAnsi="宋体" w:cs="宋体" w:eastAsia="宋体" w:hint="default"/>
                <w:sz w:val="20"/>
                <w:szCs w:val="20"/>
              </w:rPr>
            </w:pPr>
            <w:r>
              <w:rPr>
                <w:rFonts w:ascii="宋体"/>
                <w:sz w:val="20"/>
              </w:rPr>
              <w:t>2019/8/6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65"/>
              <w:jc w:val="right"/>
              <w:rPr>
                <w:rFonts w:ascii="宋体" w:hAnsi="宋体" w:cs="宋体" w:eastAsia="宋体" w:hint="default"/>
                <w:sz w:val="20"/>
                <w:szCs w:val="20"/>
              </w:rPr>
            </w:pPr>
            <w:r>
              <w:rPr>
                <w:rFonts w:ascii="宋体" w:hAnsi="宋体" w:cs="宋体" w:eastAsia="宋体" w:hint="default"/>
                <w:w w:val="95"/>
                <w:sz w:val="20"/>
                <w:szCs w:val="20"/>
              </w:rPr>
              <w:t>江苏通州</w:t>
            </w:r>
            <w:r>
              <w:rPr>
                <w:rFonts w:ascii="宋体" w:hAnsi="宋体" w:cs="宋体" w:eastAsia="宋体" w:hint="default"/>
                <w:w w:val="95"/>
                <w:sz w:val="20"/>
                <w:szCs w:val="20"/>
              </w:rPr>
              <w:t> </w:t>
            </w:r>
            <w:r>
              <w:rPr>
                <w:rFonts w:ascii="宋体" w:hAnsi="宋体" w:cs="宋体" w:eastAsia="宋体" w:hint="default"/>
                <w:sz w:val="20"/>
                <w:szCs w:val="20"/>
              </w:rPr>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95" w:right="0"/>
              <w:jc w:val="center"/>
              <w:rPr>
                <w:rFonts w:ascii="宋体" w:hAnsi="宋体" w:cs="宋体" w:eastAsia="宋体" w:hint="default"/>
                <w:sz w:val="20"/>
                <w:szCs w:val="20"/>
              </w:rPr>
            </w:pPr>
            <w:r>
              <w:rPr>
                <w:rFonts w:ascii="宋体" w:hAnsi="宋体" w:cs="宋体" w:eastAsia="宋体" w:hint="default"/>
                <w:sz w:val="20"/>
                <w:szCs w:val="20"/>
              </w:rPr>
              <w:t>5000</w:t>
            </w:r>
            <w:r>
              <w:rPr>
                <w:rFonts w:ascii="宋体" w:hAnsi="宋体" w:cs="宋体" w:eastAsia="宋体" w:hint="default"/>
                <w:spacing w:val="-49"/>
                <w:sz w:val="20"/>
                <w:szCs w:val="20"/>
              </w:rPr>
              <w:t> </w:t>
            </w:r>
            <w:r>
              <w:rPr>
                <w:rFonts w:ascii="宋体" w:hAnsi="宋体" w:cs="宋体" w:eastAsia="宋体" w:hint="default"/>
                <w:spacing w:val="-3"/>
                <w:sz w:val="20"/>
                <w:szCs w:val="20"/>
              </w:rPr>
              <w:t>万</w:t>
            </w:r>
            <w:r>
              <w:rPr>
                <w:rFonts w:ascii="宋体" w:hAnsi="宋体" w:cs="宋体" w:eastAsia="宋体" w:hint="default"/>
                <w:sz w:val="20"/>
                <w:szCs w:val="20"/>
              </w:rPr>
              <w:t> </w:t>
            </w:r>
          </w:p>
        </w:tc>
        <w:tc>
          <w:tcPr>
            <w:tcW w:w="2989"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0" w:right="107"/>
              <w:jc w:val="left"/>
              <w:rPr>
                <w:rFonts w:ascii="宋体" w:hAnsi="宋体" w:cs="宋体" w:eastAsia="宋体" w:hint="default"/>
                <w:sz w:val="20"/>
                <w:szCs w:val="20"/>
              </w:rPr>
            </w:pPr>
            <w:r>
              <w:rPr>
                <w:rFonts w:ascii="宋体" w:hAnsi="宋体" w:cs="宋体" w:eastAsia="宋体" w:hint="default"/>
                <w:spacing w:val="-2"/>
                <w:sz w:val="20"/>
                <w:szCs w:val="20"/>
              </w:rPr>
              <w:t>太阳能相关产品研发、销售与运</w:t>
            </w:r>
            <w:r>
              <w:rPr>
                <w:rFonts w:ascii="宋体" w:hAnsi="宋体" w:cs="宋体" w:eastAsia="宋体" w:hint="default"/>
                <w:w w:val="99"/>
                <w:sz w:val="20"/>
                <w:szCs w:val="20"/>
              </w:rPr>
              <w:t> </w:t>
            </w:r>
            <w:r>
              <w:rPr>
                <w:rFonts w:ascii="宋体" w:hAnsi="宋体" w:cs="宋体" w:eastAsia="宋体" w:hint="default"/>
                <w:sz w:val="20"/>
                <w:szCs w:val="20"/>
              </w:rPr>
              <w:t>营管理及相关业务</w:t>
            </w:r>
            <w:r>
              <w:rPr>
                <w:rFonts w:ascii="宋体" w:hAnsi="宋体" w:cs="宋体" w:eastAsia="宋体" w:hint="default"/>
                <w:sz w:val="20"/>
                <w:szCs w:val="20"/>
              </w:rPr>
              <w:t> </w:t>
            </w:r>
          </w:p>
        </w:tc>
      </w:tr>
      <w:tr>
        <w:trPr>
          <w:trHeight w:val="637" w:hRule="exact"/>
        </w:trPr>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52"/>
              <w:jc w:val="right"/>
              <w:rPr>
                <w:rFonts w:ascii="宋体" w:hAnsi="宋体" w:cs="宋体" w:eastAsia="宋体" w:hint="default"/>
                <w:sz w:val="20"/>
                <w:szCs w:val="20"/>
              </w:rPr>
            </w:pPr>
            <w:r>
              <w:rPr>
                <w:rFonts w:ascii="宋体"/>
                <w:w w:val="95"/>
                <w:sz w:val="20"/>
              </w:rPr>
              <w:t>18 </w:t>
            </w:r>
            <w:r>
              <w:rPr>
                <w:rFonts w:ascii="宋体"/>
                <w:sz w:val="20"/>
              </w:rPr>
            </w:r>
          </w:p>
        </w:tc>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103" w:right="0"/>
              <w:jc w:val="left"/>
              <w:rPr>
                <w:rFonts w:ascii="宋体" w:hAnsi="宋体" w:cs="宋体" w:eastAsia="宋体" w:hint="default"/>
                <w:sz w:val="20"/>
                <w:szCs w:val="20"/>
              </w:rPr>
            </w:pPr>
            <w:r>
              <w:rPr>
                <w:rFonts w:ascii="宋体" w:hAnsi="宋体" w:cs="宋体" w:eastAsia="宋体" w:hint="default"/>
                <w:sz w:val="20"/>
                <w:szCs w:val="20"/>
              </w:rPr>
              <w:t>云南林洋能源有限公司</w:t>
            </w:r>
            <w:r>
              <w:rPr>
                <w:rFonts w:ascii="宋体" w:hAnsi="宋体" w:cs="宋体" w:eastAsia="宋体" w:hint="default"/>
                <w:sz w:val="20"/>
                <w:szCs w:val="20"/>
              </w:rPr>
              <w:t> </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197" w:right="0"/>
              <w:jc w:val="left"/>
              <w:rPr>
                <w:rFonts w:ascii="宋体" w:hAnsi="宋体" w:cs="宋体" w:eastAsia="宋体" w:hint="default"/>
                <w:sz w:val="20"/>
                <w:szCs w:val="20"/>
              </w:rPr>
            </w:pPr>
            <w:r>
              <w:rPr>
                <w:rFonts w:ascii="宋体"/>
                <w:sz w:val="20"/>
              </w:rPr>
              <w:t>2019/12/31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65"/>
              <w:jc w:val="right"/>
              <w:rPr>
                <w:rFonts w:ascii="宋体" w:hAnsi="宋体" w:cs="宋体" w:eastAsia="宋体" w:hint="default"/>
                <w:sz w:val="20"/>
                <w:szCs w:val="20"/>
              </w:rPr>
            </w:pPr>
            <w:r>
              <w:rPr>
                <w:rFonts w:ascii="宋体" w:hAnsi="宋体" w:cs="宋体" w:eastAsia="宋体" w:hint="default"/>
                <w:w w:val="95"/>
                <w:sz w:val="20"/>
                <w:szCs w:val="20"/>
              </w:rPr>
              <w:t>云南昆明</w:t>
            </w:r>
            <w:r>
              <w:rPr>
                <w:rFonts w:ascii="宋体" w:hAnsi="宋体" w:cs="宋体" w:eastAsia="宋体" w:hint="default"/>
                <w:w w:val="95"/>
                <w:sz w:val="20"/>
                <w:szCs w:val="20"/>
              </w:rPr>
              <w:t> </w:t>
            </w:r>
            <w:r>
              <w:rPr>
                <w:rFonts w:ascii="宋体" w:hAnsi="宋体" w:cs="宋体" w:eastAsia="宋体" w:hint="default"/>
                <w:sz w:val="20"/>
                <w:szCs w:val="20"/>
              </w:rPr>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95" w:right="0"/>
              <w:jc w:val="center"/>
              <w:rPr>
                <w:rFonts w:ascii="宋体" w:hAnsi="宋体" w:cs="宋体" w:eastAsia="宋体" w:hint="default"/>
                <w:sz w:val="20"/>
                <w:szCs w:val="20"/>
              </w:rPr>
            </w:pPr>
            <w:r>
              <w:rPr>
                <w:rFonts w:ascii="宋体" w:hAnsi="宋体" w:cs="宋体" w:eastAsia="宋体" w:hint="default"/>
                <w:sz w:val="20"/>
                <w:szCs w:val="20"/>
              </w:rPr>
              <w:t>10000</w:t>
            </w:r>
            <w:r>
              <w:rPr>
                <w:rFonts w:ascii="宋体" w:hAnsi="宋体" w:cs="宋体" w:eastAsia="宋体" w:hint="default"/>
                <w:spacing w:val="-50"/>
                <w:sz w:val="20"/>
                <w:szCs w:val="20"/>
              </w:rPr>
              <w:t> </w:t>
            </w:r>
            <w:r>
              <w:rPr>
                <w:rFonts w:ascii="宋体" w:hAnsi="宋体" w:cs="宋体" w:eastAsia="宋体" w:hint="default"/>
                <w:sz w:val="20"/>
                <w:szCs w:val="20"/>
              </w:rPr>
              <w:t>万</w:t>
            </w:r>
            <w:r>
              <w:rPr>
                <w:rFonts w:ascii="宋体" w:hAnsi="宋体" w:cs="宋体" w:eastAsia="宋体" w:hint="default"/>
                <w:sz w:val="20"/>
                <w:szCs w:val="20"/>
              </w:rPr>
              <w:t> </w:t>
            </w:r>
          </w:p>
        </w:tc>
        <w:tc>
          <w:tcPr>
            <w:tcW w:w="2989"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0" w:right="107"/>
              <w:jc w:val="left"/>
              <w:rPr>
                <w:rFonts w:ascii="宋体" w:hAnsi="宋体" w:cs="宋体" w:eastAsia="宋体" w:hint="default"/>
                <w:sz w:val="20"/>
                <w:szCs w:val="20"/>
              </w:rPr>
            </w:pPr>
            <w:r>
              <w:rPr>
                <w:rFonts w:ascii="宋体" w:hAnsi="宋体" w:cs="宋体" w:eastAsia="宋体" w:hint="default"/>
                <w:spacing w:val="-2"/>
                <w:sz w:val="20"/>
                <w:szCs w:val="20"/>
              </w:rPr>
              <w:t>太阳能相关产品研发、销售与运</w:t>
            </w:r>
            <w:r>
              <w:rPr>
                <w:rFonts w:ascii="宋体" w:hAnsi="宋体" w:cs="宋体" w:eastAsia="宋体" w:hint="default"/>
                <w:w w:val="99"/>
                <w:sz w:val="20"/>
                <w:szCs w:val="20"/>
              </w:rPr>
              <w:t> </w:t>
            </w:r>
            <w:r>
              <w:rPr>
                <w:rFonts w:ascii="宋体" w:hAnsi="宋体" w:cs="宋体" w:eastAsia="宋体" w:hint="default"/>
                <w:sz w:val="20"/>
                <w:szCs w:val="20"/>
              </w:rPr>
              <w:t>营管理及相关业务</w:t>
            </w:r>
            <w:r>
              <w:rPr>
                <w:rFonts w:ascii="宋体" w:hAnsi="宋体" w:cs="宋体" w:eastAsia="宋体" w:hint="default"/>
                <w:sz w:val="20"/>
                <w:szCs w:val="20"/>
              </w:rPr>
              <w:t> </w:t>
            </w:r>
          </w:p>
        </w:tc>
      </w:tr>
    </w:tbl>
    <w:p>
      <w:pPr>
        <w:pStyle w:val="BodyText"/>
        <w:spacing w:line="262" w:lineRule="exact"/>
        <w:ind w:left="516" w:right="0"/>
        <w:jc w:val="left"/>
        <w:rPr>
          <w:rFonts w:ascii="宋体" w:hAnsi="宋体" w:cs="宋体" w:eastAsia="宋体" w:hint="default"/>
        </w:rPr>
      </w:pPr>
      <w:r>
        <w:rPr>
          <w:rFonts w:ascii="宋体"/>
          <w:w w:val="100"/>
        </w:rPr>
        <w:t> </w:t>
      </w:r>
    </w:p>
    <w:p>
      <w:pPr>
        <w:pStyle w:val="Heading3"/>
        <w:spacing w:line="240" w:lineRule="auto"/>
        <w:ind w:left="516" w:right="0"/>
        <w:jc w:val="left"/>
        <w:rPr>
          <w:b w:val="0"/>
          <w:bCs w:val="0"/>
        </w:rPr>
      </w:pPr>
      <w:r>
        <w:rPr>
          <w:rFonts w:ascii="宋体" w:hAnsi="宋体" w:cs="宋体" w:eastAsia="宋体" w:hint="default"/>
        </w:rPr>
        <w:t>(1)</w:t>
      </w:r>
      <w:r>
        <w:rPr>
          <w:rFonts w:ascii="宋体" w:hAnsi="宋体" w:cs="宋体" w:eastAsia="宋体" w:hint="default"/>
          <w:spacing w:val="-1"/>
        </w:rPr>
        <w:t> </w:t>
      </w:r>
      <w:r>
        <w:rPr/>
        <w:t>重大的股权投资</w:t>
      </w:r>
      <w:r>
        <w:rPr>
          <w:b w:val="0"/>
          <w:bCs w:val="0"/>
        </w:rPr>
      </w:r>
    </w:p>
    <w:p>
      <w:pPr>
        <w:pStyle w:val="Heading2"/>
        <w:spacing w:line="313" w:lineRule="exact" w:before="69"/>
        <w:ind w:left="516" w:right="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Heading2"/>
        <w:spacing w:line="313" w:lineRule="exact"/>
        <w:ind w:left="516" w:right="0"/>
        <w:jc w:val="left"/>
        <w:rPr>
          <w:rFonts w:ascii="宋体" w:hAnsi="宋体" w:cs="宋体" w:eastAsia="宋体" w:hint="default"/>
        </w:rPr>
      </w:pPr>
      <w:r>
        <w:rPr>
          <w:rFonts w:ascii="宋体"/>
        </w:rPr>
        <w:t> </w:t>
      </w:r>
    </w:p>
    <w:p>
      <w:pPr>
        <w:pStyle w:val="Heading3"/>
        <w:spacing w:line="240" w:lineRule="auto" w:before="85"/>
        <w:ind w:left="516" w:right="0"/>
        <w:jc w:val="left"/>
        <w:rPr>
          <w:b w:val="0"/>
          <w:bCs w:val="0"/>
        </w:rPr>
      </w:pPr>
      <w:r>
        <w:rPr>
          <w:rFonts w:ascii="宋体" w:hAnsi="宋体" w:cs="宋体" w:eastAsia="宋体" w:hint="default"/>
        </w:rPr>
        <w:t>(2)</w:t>
      </w:r>
      <w:r>
        <w:rPr>
          <w:rFonts w:ascii="宋体" w:hAnsi="宋体" w:cs="宋体" w:eastAsia="宋体" w:hint="default"/>
          <w:spacing w:val="-1"/>
        </w:rPr>
        <w:t> </w:t>
      </w:r>
      <w:r>
        <w:rPr/>
        <w:t>重大的非股权投资</w:t>
      </w:r>
      <w:r>
        <w:rPr>
          <w:b w:val="0"/>
          <w:bCs w:val="0"/>
        </w:rPr>
      </w:r>
    </w:p>
    <w:p>
      <w:pPr>
        <w:pStyle w:val="Heading2"/>
        <w:spacing w:line="313" w:lineRule="exact" w:before="69"/>
        <w:ind w:left="516" w:right="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Heading2"/>
        <w:spacing w:line="313" w:lineRule="exact"/>
        <w:ind w:left="516" w:right="0"/>
        <w:jc w:val="left"/>
        <w:rPr>
          <w:rFonts w:ascii="宋体" w:hAnsi="宋体" w:cs="宋体" w:eastAsia="宋体" w:hint="default"/>
        </w:rPr>
      </w:pPr>
      <w:r>
        <w:rPr>
          <w:rFonts w:ascii="宋体"/>
        </w:rPr>
        <w:t> </w:t>
      </w:r>
    </w:p>
    <w:p>
      <w:pPr>
        <w:pStyle w:val="Heading3"/>
        <w:spacing w:line="240" w:lineRule="auto" w:before="85"/>
        <w:ind w:left="516" w:right="0"/>
        <w:jc w:val="left"/>
        <w:rPr>
          <w:b w:val="0"/>
          <w:bCs w:val="0"/>
        </w:rPr>
      </w:pPr>
      <w:r>
        <w:rPr>
          <w:rFonts w:ascii="宋体" w:hAnsi="宋体" w:cs="宋体" w:eastAsia="宋体" w:hint="default"/>
        </w:rPr>
        <w:t>(3)</w:t>
      </w:r>
      <w:r>
        <w:rPr>
          <w:rFonts w:ascii="宋体" w:hAnsi="宋体" w:cs="宋体" w:eastAsia="宋体" w:hint="default"/>
          <w:spacing w:val="-6"/>
        </w:rPr>
        <w:t> </w:t>
      </w:r>
      <w:r>
        <w:rPr/>
        <w:t>以公允价值计量的金融资产</w:t>
      </w:r>
      <w:r>
        <w:rPr>
          <w:b w:val="0"/>
          <w:bCs w:val="0"/>
        </w:rPr>
      </w:r>
    </w:p>
    <w:p>
      <w:pPr>
        <w:pStyle w:val="BodyText"/>
        <w:spacing w:line="240" w:lineRule="auto" w:before="97"/>
        <w:ind w:left="516"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left="516" w:right="0"/>
        <w:jc w:val="left"/>
        <w:rPr>
          <w:rFonts w:ascii="宋体" w:hAnsi="宋体" w:cs="宋体" w:eastAsia="宋体" w:hint="default"/>
        </w:rPr>
      </w:pPr>
      <w:r>
        <w:rPr>
          <w:rFonts w:ascii="宋体"/>
          <w:w w:val="100"/>
        </w:rPr>
        <w:t> </w:t>
      </w:r>
    </w:p>
    <w:p>
      <w:pPr>
        <w:pStyle w:val="Heading3"/>
        <w:tabs>
          <w:tab w:pos="1357" w:val="left" w:leader="none"/>
        </w:tabs>
        <w:spacing w:line="240" w:lineRule="auto"/>
        <w:ind w:left="516" w:right="0"/>
        <w:jc w:val="left"/>
        <w:rPr>
          <w:b w:val="0"/>
          <w:bCs w:val="0"/>
        </w:rPr>
      </w:pPr>
      <w:r>
        <w:rPr>
          <w:rFonts w:ascii="宋体" w:hAnsi="宋体" w:cs="宋体" w:eastAsia="宋体" w:hint="default"/>
          <w:w w:val="95"/>
        </w:rPr>
        <w:t>(</w:t>
      </w:r>
      <w:r>
        <w:rPr>
          <w:w w:val="95"/>
        </w:rPr>
        <w:t>六</w:t>
      </w:r>
      <w:r>
        <w:rPr>
          <w:rFonts w:ascii="宋体" w:hAnsi="宋体" w:cs="宋体" w:eastAsia="宋体" w:hint="default"/>
          <w:w w:val="95"/>
        </w:rPr>
        <w:t>)</w:t>
        <w:tab/>
      </w:r>
      <w:r>
        <w:rPr/>
        <w:t>重大资产和股权出售</w:t>
      </w:r>
      <w:r>
        <w:rPr>
          <w:b w:val="0"/>
          <w:bCs w:val="0"/>
        </w:rPr>
      </w:r>
    </w:p>
    <w:p>
      <w:pPr>
        <w:pStyle w:val="BodyText"/>
        <w:spacing w:line="240" w:lineRule="auto" w:before="97"/>
        <w:ind w:left="516"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after="0" w:line="240" w:lineRule="auto"/>
        <w:jc w:val="left"/>
        <w:rPr>
          <w:rFonts w:ascii="宋体" w:hAnsi="宋体" w:cs="宋体" w:eastAsia="宋体" w:hint="default"/>
        </w:rPr>
        <w:sectPr>
          <w:pgSz w:w="11910" w:h="16840"/>
          <w:pgMar w:header="747" w:footer="974" w:top="1140" w:bottom="1160" w:left="760" w:right="1260"/>
        </w:sectPr>
      </w:pPr>
    </w:p>
    <w:p>
      <w:pPr>
        <w:spacing w:line="240" w:lineRule="auto" w:before="2"/>
        <w:rPr>
          <w:rFonts w:ascii="宋体" w:hAnsi="宋体" w:cs="宋体" w:eastAsia="宋体" w:hint="default"/>
          <w:sz w:val="6"/>
          <w:szCs w:val="6"/>
        </w:rPr>
      </w:pPr>
    </w:p>
    <w:p>
      <w:pPr>
        <w:spacing w:line="393" w:lineRule="exact"/>
        <w:ind w:left="101"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699.5pt;height:19.650pt;mso-position-horizontal-relative:char;mso-position-vertical-relative:line" coordorigin="0,0" coordsize="13990,393">
            <v:group style="position:absolute;left:70;top:369;width:13913;height:2" coordorigin="70,369" coordsize="13913,2">
              <v:shape style="position:absolute;left:70;top:369;width:13913;height:2" coordorigin="70,369" coordsize="13913,0" path="m70,369l13983,369e" filled="false" stroked="true" strokeweight=".72pt" strokecolor="#000000">
                <v:path arrowok="t"/>
              </v:shape>
              <v:shape style="position:absolute;left:0;top:0;width:465;height:393" type="#_x0000_t75" stroked="false">
                <v:imagedata r:id="rId10" o:title=""/>
              </v:shape>
              <v:shape style="position:absolute;left:3039;top:133;width:21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江苏林洋能源股份有限公司</w:t>
                      </w:r>
                    </w:p>
                  </w:txbxContent>
                </v:textbox>
                <w10:wrap type="none"/>
              </v:shape>
              <v:shape style="position:absolute;left:9705;top:133;width:1309;height:200" type="#_x0000_t202" filled="false" stroked="false">
                <v:textbox inset="0,0,0,0">
                  <w:txbxContent>
                    <w:p>
                      <w:pPr>
                        <w:spacing w:line="200" w:lineRule="exact" w:before="0"/>
                        <w:ind w:left="0" w:right="0" w:firstLine="0"/>
                        <w:jc w:val="left"/>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2"/>
                          <w:sz w:val="18"/>
                          <w:szCs w:val="18"/>
                        </w:rPr>
                        <w:t> </w:t>
                      </w:r>
                      <w:r>
                        <w:rPr>
                          <w:rFonts w:ascii="宋体" w:hAnsi="宋体" w:cs="宋体" w:eastAsia="宋体" w:hint="default"/>
                          <w:sz w:val="18"/>
                          <w:szCs w:val="18"/>
                        </w:rPr>
                        <w:t>年年度报告</w:t>
                      </w:r>
                    </w:p>
                  </w:txbxContent>
                </v:textbox>
                <w10:wrap type="none"/>
              </v:shape>
            </v:group>
          </v:group>
        </w:pict>
      </w:r>
      <w:r>
        <w:rPr>
          <w:rFonts w:ascii="宋体" w:hAnsi="宋体" w:cs="宋体" w:eastAsia="宋体" w:hint="default"/>
          <w:position w:val="-7"/>
          <w:sz w:val="20"/>
          <w:szCs w:val="20"/>
        </w:rPr>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6"/>
          <w:szCs w:val="26"/>
        </w:rPr>
      </w:pPr>
    </w:p>
    <w:p>
      <w:pPr>
        <w:pStyle w:val="BodyText"/>
        <w:spacing w:line="240" w:lineRule="auto" w:before="36"/>
        <w:ind w:left="200" w:right="0"/>
        <w:jc w:val="left"/>
        <w:rPr>
          <w:rFonts w:ascii="宋体" w:hAnsi="宋体" w:cs="宋体" w:eastAsia="宋体" w:hint="default"/>
        </w:rPr>
      </w:pPr>
      <w:r>
        <w:rPr>
          <w:rFonts w:ascii="宋体"/>
          <w:w w:val="100"/>
        </w:rPr>
        <w:t> </w:t>
      </w:r>
    </w:p>
    <w:p>
      <w:pPr>
        <w:pStyle w:val="Heading3"/>
        <w:tabs>
          <w:tab w:pos="1040" w:val="left" w:leader="none"/>
        </w:tabs>
        <w:spacing w:line="240" w:lineRule="auto"/>
        <w:ind w:left="200" w:right="0"/>
        <w:jc w:val="left"/>
        <w:rPr>
          <w:b w:val="0"/>
          <w:bCs w:val="0"/>
        </w:rPr>
      </w:pPr>
      <w:r>
        <w:rPr>
          <w:rFonts w:ascii="宋体" w:hAnsi="宋体" w:cs="宋体" w:eastAsia="宋体" w:hint="default"/>
          <w:w w:val="95"/>
        </w:rPr>
        <w:t>(</w:t>
      </w:r>
      <w:r>
        <w:rPr>
          <w:w w:val="95"/>
        </w:rPr>
        <w:t>七</w:t>
      </w:r>
      <w:r>
        <w:rPr>
          <w:rFonts w:ascii="宋体" w:hAnsi="宋体" w:cs="宋体" w:eastAsia="宋体" w:hint="default"/>
          <w:w w:val="95"/>
        </w:rPr>
        <w:t>)</w:t>
        <w:tab/>
      </w:r>
      <w:r>
        <w:rPr/>
        <w:t>主要控股参股公司分析</w:t>
      </w:r>
      <w:r>
        <w:rPr>
          <w:b w:val="0"/>
          <w:bCs w:val="0"/>
        </w:rPr>
      </w:r>
    </w:p>
    <w:p>
      <w:pPr>
        <w:pStyle w:val="BodyText"/>
        <w:spacing w:line="240" w:lineRule="auto" w:before="97"/>
        <w:ind w:left="200"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left="560" w:right="0"/>
        <w:jc w:val="left"/>
      </w:pPr>
      <w:r>
        <w:rPr>
          <w:rFonts w:ascii="Calibri" w:hAnsi="Calibri" w:cs="Calibri" w:eastAsia="Calibri" w:hint="default"/>
          <w:w w:val="100"/>
        </w:rPr>
        <w:t>1</w:t>
      </w:r>
      <w:r>
        <w:rPr>
          <w:w w:val="100"/>
        </w:rPr>
        <w:t>）</w:t>
      </w:r>
      <w:r>
        <w:rPr>
          <w:spacing w:val="-65"/>
        </w:rPr>
        <w:t> </w:t>
      </w:r>
      <w:r>
        <w:rPr>
          <w:w w:val="100"/>
        </w:rPr>
        <w:t>主要</w:t>
      </w:r>
      <w:r>
        <w:rPr>
          <w:spacing w:val="-3"/>
          <w:w w:val="100"/>
        </w:rPr>
        <w:t>控</w:t>
      </w:r>
      <w:r>
        <w:rPr>
          <w:w w:val="100"/>
        </w:rPr>
        <w:t>股</w:t>
      </w:r>
      <w:r>
        <w:rPr>
          <w:spacing w:val="-3"/>
          <w:w w:val="100"/>
        </w:rPr>
        <w:t>公</w:t>
      </w:r>
      <w:r>
        <w:rPr>
          <w:spacing w:val="-1"/>
          <w:w w:val="100"/>
        </w:rPr>
        <w:t>司</w:t>
      </w:r>
      <w:r>
        <w:rPr>
          <w:spacing w:val="-3"/>
          <w:w w:val="100"/>
        </w:rPr>
        <w:t>分</w:t>
      </w:r>
      <w:r>
        <w:rPr>
          <w:w w:val="100"/>
        </w:rPr>
        <w:t>析</w:t>
      </w:r>
      <w:r>
        <w:rPr>
          <w:spacing w:val="-3"/>
          <w:w w:val="100"/>
        </w:rPr>
        <w:t>（</w:t>
      </w:r>
      <w:r>
        <w:rPr>
          <w:w w:val="100"/>
        </w:rPr>
        <w:t>单</w:t>
      </w:r>
      <w:r>
        <w:rPr>
          <w:spacing w:val="-3"/>
          <w:w w:val="100"/>
        </w:rPr>
        <w:t>位</w:t>
      </w:r>
      <w:r>
        <w:rPr>
          <w:w w:val="100"/>
        </w:rPr>
        <w:t>：万</w:t>
      </w:r>
      <w:r>
        <w:rPr>
          <w:spacing w:val="-3"/>
          <w:w w:val="100"/>
        </w:rPr>
        <w:t>元</w:t>
      </w:r>
      <w:r>
        <w:rPr>
          <w:spacing w:val="-106"/>
          <w:w w:val="100"/>
        </w:rPr>
        <w:t>）</w:t>
      </w:r>
      <w:r>
        <w:rPr>
          <w:w w:val="100"/>
        </w:rPr>
        <w:t>：</w:t>
      </w:r>
    </w:p>
    <w:tbl>
      <w:tblPr>
        <w:tblW w:w="0" w:type="auto"/>
        <w:jc w:val="left"/>
        <w:tblInd w:w="415" w:type="dxa"/>
        <w:tblLayout w:type="fixed"/>
        <w:tblCellMar>
          <w:top w:w="0" w:type="dxa"/>
          <w:left w:w="0" w:type="dxa"/>
          <w:bottom w:w="0" w:type="dxa"/>
          <w:right w:w="0" w:type="dxa"/>
        </w:tblCellMar>
        <w:tblLook w:val="01E0"/>
      </w:tblPr>
      <w:tblGrid>
        <w:gridCol w:w="2861"/>
        <w:gridCol w:w="831"/>
        <w:gridCol w:w="1094"/>
        <w:gridCol w:w="991"/>
        <w:gridCol w:w="1560"/>
        <w:gridCol w:w="1234"/>
        <w:gridCol w:w="751"/>
        <w:gridCol w:w="708"/>
        <w:gridCol w:w="1241"/>
        <w:gridCol w:w="1169"/>
        <w:gridCol w:w="994"/>
      </w:tblGrid>
      <w:tr>
        <w:trPr>
          <w:trHeight w:val="322" w:hRule="exact"/>
        </w:trPr>
        <w:tc>
          <w:tcPr>
            <w:tcW w:w="286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子公司全称</w:t>
            </w:r>
          </w:p>
        </w:tc>
        <w:tc>
          <w:tcPr>
            <w:tcW w:w="83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0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82" w:right="0"/>
              <w:jc w:val="left"/>
              <w:rPr>
                <w:rFonts w:ascii="宋体" w:hAnsi="宋体" w:cs="宋体" w:eastAsia="宋体" w:hint="default"/>
                <w:sz w:val="18"/>
                <w:szCs w:val="18"/>
              </w:rPr>
            </w:pPr>
            <w:r>
              <w:rPr>
                <w:rFonts w:ascii="宋体" w:hAnsi="宋体" w:cs="宋体" w:eastAsia="宋体" w:hint="default"/>
                <w:sz w:val="18"/>
                <w:szCs w:val="18"/>
              </w:rPr>
              <w:t>法人代表</w:t>
            </w:r>
          </w:p>
        </w:tc>
        <w:tc>
          <w:tcPr>
            <w:tcW w:w="99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29"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56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15" w:right="0"/>
              <w:jc w:val="left"/>
              <w:rPr>
                <w:rFonts w:ascii="宋体" w:hAnsi="宋体" w:cs="宋体" w:eastAsia="宋体" w:hint="default"/>
                <w:sz w:val="18"/>
                <w:szCs w:val="18"/>
              </w:rPr>
            </w:pPr>
            <w:r>
              <w:rPr>
                <w:rFonts w:ascii="宋体" w:hAnsi="宋体" w:cs="宋体" w:eastAsia="宋体" w:hint="default"/>
                <w:sz w:val="18"/>
                <w:szCs w:val="18"/>
              </w:rPr>
              <w:t>主要业务</w:t>
            </w:r>
          </w:p>
        </w:tc>
        <w:tc>
          <w:tcPr>
            <w:tcW w:w="123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4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2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持股比例</w:t>
            </w:r>
            <w:r>
              <w:rPr>
                <w:rFonts w:ascii="Times New Roman" w:hAnsi="Times New Roman" w:cs="Times New Roman" w:eastAsia="Times New Roman" w:hint="default"/>
                <w:sz w:val="18"/>
                <w:szCs w:val="18"/>
              </w:rPr>
              <w:t>(%)</w:t>
            </w:r>
          </w:p>
        </w:tc>
        <w:tc>
          <w:tcPr>
            <w:tcW w:w="1241" w:type="dxa"/>
            <w:vMerge w:val="restart"/>
            <w:tcBorders>
              <w:top w:val="single" w:sz="4" w:space="0" w:color="000000"/>
              <w:left w:val="single" w:sz="4" w:space="0" w:color="000000"/>
              <w:right w:val="single" w:sz="4" w:space="0" w:color="000000"/>
            </w:tcBorders>
          </w:tcPr>
          <w:p>
            <w:pPr>
              <w:pStyle w:val="TableParagraph"/>
              <w:spacing w:line="316" w:lineRule="auto" w:before="13"/>
              <w:ind w:left="525" w:right="164" w:hanging="360"/>
              <w:jc w:val="left"/>
              <w:rPr>
                <w:rFonts w:ascii="宋体" w:hAnsi="宋体" w:cs="宋体" w:eastAsia="宋体" w:hint="default"/>
                <w:sz w:val="18"/>
                <w:szCs w:val="18"/>
              </w:rPr>
            </w:pPr>
            <w:r>
              <w:rPr>
                <w:rFonts w:ascii="宋体" w:hAnsi="宋体" w:cs="宋体" w:eastAsia="宋体" w:hint="default"/>
                <w:sz w:val="18"/>
                <w:szCs w:val="18"/>
              </w:rPr>
              <w:t>期末资产总 额</w:t>
            </w:r>
          </w:p>
        </w:tc>
        <w:tc>
          <w:tcPr>
            <w:tcW w:w="116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29" w:right="0"/>
              <w:jc w:val="left"/>
              <w:rPr>
                <w:rFonts w:ascii="宋体" w:hAnsi="宋体" w:cs="宋体" w:eastAsia="宋体" w:hint="default"/>
                <w:sz w:val="18"/>
                <w:szCs w:val="18"/>
              </w:rPr>
            </w:pPr>
            <w:r>
              <w:rPr>
                <w:rFonts w:ascii="宋体" w:hAnsi="宋体" w:cs="宋体" w:eastAsia="宋体" w:hint="default"/>
                <w:sz w:val="18"/>
                <w:szCs w:val="18"/>
              </w:rPr>
              <w:t>期末净资产</w:t>
            </w:r>
          </w:p>
        </w:tc>
        <w:tc>
          <w:tcPr>
            <w:tcW w:w="994" w:type="dxa"/>
            <w:vMerge w:val="restart"/>
            <w:tcBorders>
              <w:top w:val="single" w:sz="4" w:space="0" w:color="000000"/>
              <w:left w:val="single" w:sz="4" w:space="0" w:color="000000"/>
              <w:right w:val="single" w:sz="4" w:space="0" w:color="000000"/>
            </w:tcBorders>
          </w:tcPr>
          <w:p>
            <w:pPr>
              <w:pStyle w:val="TableParagraph"/>
              <w:spacing w:line="316" w:lineRule="auto" w:before="13"/>
              <w:ind w:left="400" w:right="132" w:hanging="272"/>
              <w:jc w:val="left"/>
              <w:rPr>
                <w:rFonts w:ascii="宋体" w:hAnsi="宋体" w:cs="宋体" w:eastAsia="宋体" w:hint="default"/>
                <w:sz w:val="18"/>
                <w:szCs w:val="18"/>
              </w:rPr>
            </w:pPr>
            <w:r>
              <w:rPr>
                <w:rFonts w:ascii="宋体" w:hAnsi="宋体" w:cs="宋体" w:eastAsia="宋体" w:hint="default"/>
                <w:sz w:val="18"/>
                <w:szCs w:val="18"/>
              </w:rPr>
              <w:t>本期净利 润</w:t>
            </w:r>
          </w:p>
        </w:tc>
      </w:tr>
      <w:tr>
        <w:trPr>
          <w:trHeight w:val="322" w:hRule="exact"/>
        </w:trPr>
        <w:tc>
          <w:tcPr>
            <w:tcW w:w="2861" w:type="dxa"/>
            <w:vMerge/>
            <w:tcBorders>
              <w:left w:val="single" w:sz="4" w:space="0" w:color="000000"/>
              <w:bottom w:val="single" w:sz="4" w:space="0" w:color="000000"/>
              <w:right w:val="single" w:sz="4" w:space="0" w:color="000000"/>
            </w:tcBorders>
          </w:tcPr>
          <w:p>
            <w:pPr/>
          </w:p>
        </w:tc>
        <w:tc>
          <w:tcPr>
            <w:tcW w:w="831" w:type="dxa"/>
            <w:vMerge/>
            <w:tcBorders>
              <w:left w:val="single" w:sz="4" w:space="0" w:color="000000"/>
              <w:bottom w:val="single" w:sz="4" w:space="0" w:color="000000"/>
              <w:right w:val="single" w:sz="4" w:space="0" w:color="000000"/>
            </w:tcBorders>
          </w:tcPr>
          <w:p>
            <w:pPr/>
          </w:p>
        </w:tc>
        <w:tc>
          <w:tcPr>
            <w:tcW w:w="1094" w:type="dxa"/>
            <w:vMerge/>
            <w:tcBorders>
              <w:left w:val="single" w:sz="4" w:space="0" w:color="000000"/>
              <w:bottom w:val="single" w:sz="4" w:space="0" w:color="000000"/>
              <w:right w:val="single" w:sz="4" w:space="0" w:color="000000"/>
            </w:tcBorders>
          </w:tcPr>
          <w:p>
            <w:pPr/>
          </w:p>
        </w:tc>
        <w:tc>
          <w:tcPr>
            <w:tcW w:w="991" w:type="dxa"/>
            <w:vMerge/>
            <w:tcBorders>
              <w:left w:val="single" w:sz="4" w:space="0" w:color="000000"/>
              <w:bottom w:val="single" w:sz="4" w:space="0" w:color="000000"/>
              <w:right w:val="single" w:sz="4" w:space="0" w:color="000000"/>
            </w:tcBorders>
          </w:tcPr>
          <w:p>
            <w:pPr/>
          </w:p>
        </w:tc>
        <w:tc>
          <w:tcPr>
            <w:tcW w:w="1560" w:type="dxa"/>
            <w:vMerge/>
            <w:tcBorders>
              <w:left w:val="single" w:sz="4" w:space="0" w:color="000000"/>
              <w:bottom w:val="single" w:sz="4" w:space="0" w:color="000000"/>
              <w:right w:val="single" w:sz="4" w:space="0" w:color="000000"/>
            </w:tcBorders>
          </w:tcPr>
          <w:p>
            <w:pPr/>
          </w:p>
        </w:tc>
        <w:tc>
          <w:tcPr>
            <w:tcW w:w="1234" w:type="dxa"/>
            <w:vMerge/>
            <w:tcBorders>
              <w:left w:val="single" w:sz="4" w:space="0" w:color="000000"/>
              <w:bottom w:val="single" w:sz="4" w:space="0" w:color="000000"/>
              <w:right w:val="single" w:sz="4" w:space="0" w:color="000000"/>
            </w:tcBorders>
          </w:tcPr>
          <w:p>
            <w:pP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直接</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68" w:right="0"/>
              <w:jc w:val="left"/>
              <w:rPr>
                <w:rFonts w:ascii="宋体" w:hAnsi="宋体" w:cs="宋体" w:eastAsia="宋体" w:hint="default"/>
                <w:sz w:val="18"/>
                <w:szCs w:val="18"/>
              </w:rPr>
            </w:pPr>
            <w:r>
              <w:rPr>
                <w:rFonts w:ascii="宋体" w:hAnsi="宋体" w:cs="宋体" w:eastAsia="宋体" w:hint="default"/>
                <w:sz w:val="18"/>
                <w:szCs w:val="18"/>
              </w:rPr>
              <w:t>间接</w:t>
            </w:r>
          </w:p>
        </w:tc>
        <w:tc>
          <w:tcPr>
            <w:tcW w:w="1241" w:type="dxa"/>
            <w:vMerge/>
            <w:tcBorders>
              <w:left w:val="single" w:sz="4" w:space="0" w:color="000000"/>
              <w:bottom w:val="single" w:sz="4" w:space="0" w:color="000000"/>
              <w:right w:val="single" w:sz="4" w:space="0" w:color="000000"/>
            </w:tcBorders>
          </w:tcPr>
          <w:p>
            <w:pPr/>
          </w:p>
        </w:tc>
        <w:tc>
          <w:tcPr>
            <w:tcW w:w="1169" w:type="dxa"/>
            <w:vMerge/>
            <w:tcBorders>
              <w:left w:val="single" w:sz="4" w:space="0" w:color="000000"/>
              <w:bottom w:val="single" w:sz="4" w:space="0" w:color="000000"/>
              <w:right w:val="single" w:sz="4" w:space="0" w:color="000000"/>
            </w:tcBorders>
          </w:tcPr>
          <w:p>
            <w:pPr/>
          </w:p>
        </w:tc>
        <w:tc>
          <w:tcPr>
            <w:tcW w:w="994" w:type="dxa"/>
            <w:vMerge/>
            <w:tcBorders>
              <w:left w:val="single" w:sz="4" w:space="0" w:color="000000"/>
              <w:bottom w:val="single" w:sz="4" w:space="0" w:color="000000"/>
              <w:right w:val="single" w:sz="4" w:space="0" w:color="000000"/>
            </w:tcBorders>
          </w:tcPr>
          <w:p>
            <w:pPr/>
          </w:p>
        </w:tc>
      </w:tr>
      <w:tr>
        <w:trPr>
          <w:trHeight w:val="322" w:hRule="exact"/>
        </w:trPr>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安徽永安电子科技有限公司</w:t>
            </w:r>
          </w:p>
        </w:tc>
        <w:tc>
          <w:tcPr>
            <w:tcW w:w="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27" w:right="0"/>
              <w:jc w:val="left"/>
              <w:rPr>
                <w:rFonts w:ascii="宋体" w:hAnsi="宋体" w:cs="宋体" w:eastAsia="宋体" w:hint="default"/>
                <w:sz w:val="18"/>
                <w:szCs w:val="18"/>
              </w:rPr>
            </w:pPr>
            <w:r>
              <w:rPr>
                <w:rFonts w:ascii="宋体" w:hAnsi="宋体" w:cs="宋体" w:eastAsia="宋体" w:hint="default"/>
                <w:sz w:val="18"/>
                <w:szCs w:val="18"/>
              </w:rPr>
              <w:t>安庆</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71" w:right="0"/>
              <w:jc w:val="left"/>
              <w:rPr>
                <w:rFonts w:ascii="宋体" w:hAnsi="宋体" w:cs="宋体" w:eastAsia="宋体" w:hint="default"/>
                <w:sz w:val="18"/>
                <w:szCs w:val="18"/>
              </w:rPr>
            </w:pPr>
            <w:r>
              <w:rPr>
                <w:rFonts w:ascii="宋体" w:hAnsi="宋体" w:cs="宋体" w:eastAsia="宋体" w:hint="default"/>
                <w:sz w:val="18"/>
                <w:szCs w:val="18"/>
              </w:rPr>
              <w:t>陆永华</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制造业</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仪器仪表零部件</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
              <w:jc w:val="center"/>
              <w:rPr>
                <w:rFonts w:ascii="Times New Roman" w:hAnsi="Times New Roman" w:cs="Times New Roman" w:eastAsia="Times New Roman" w:hint="default"/>
                <w:sz w:val="18"/>
                <w:szCs w:val="18"/>
              </w:rPr>
            </w:pPr>
            <w:r>
              <w:rPr>
                <w:rFonts w:ascii="Times New Roman"/>
                <w:sz w:val="18"/>
              </w:rPr>
              <w:t>18,300.00</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z w:val="18"/>
              </w:rPr>
              <w:t>100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z w:val="18"/>
              </w:rPr>
              <w:t> </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24,524.26</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20,169.21</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4"/>
              <w:jc w:val="right"/>
              <w:rPr>
                <w:rFonts w:ascii="Times New Roman" w:hAnsi="Times New Roman" w:cs="Times New Roman" w:eastAsia="Times New Roman" w:hint="default"/>
                <w:sz w:val="18"/>
                <w:szCs w:val="18"/>
              </w:rPr>
            </w:pPr>
            <w:r>
              <w:rPr>
                <w:rFonts w:ascii="Times New Roman"/>
                <w:spacing w:val="-1"/>
                <w:sz w:val="18"/>
              </w:rPr>
              <w:t>672.11</w:t>
            </w:r>
          </w:p>
        </w:tc>
      </w:tr>
      <w:tr>
        <w:trPr>
          <w:trHeight w:val="634" w:hRule="exact"/>
        </w:trPr>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内蒙古乾华农业发展有限公司</w:t>
            </w:r>
          </w:p>
        </w:tc>
        <w:tc>
          <w:tcPr>
            <w:tcW w:w="83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319" w:right="140" w:hanging="180"/>
              <w:jc w:val="left"/>
              <w:rPr>
                <w:rFonts w:ascii="宋体" w:hAnsi="宋体" w:cs="宋体" w:eastAsia="宋体" w:hint="default"/>
                <w:sz w:val="18"/>
                <w:szCs w:val="18"/>
              </w:rPr>
            </w:pPr>
            <w:r>
              <w:rPr>
                <w:rFonts w:ascii="宋体" w:hAnsi="宋体" w:cs="宋体" w:eastAsia="宋体" w:hint="default"/>
                <w:sz w:val="18"/>
                <w:szCs w:val="18"/>
              </w:rPr>
              <w:t>呼和浩 特</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71" w:right="0"/>
              <w:jc w:val="left"/>
              <w:rPr>
                <w:rFonts w:ascii="宋体" w:hAnsi="宋体" w:cs="宋体" w:eastAsia="宋体" w:hint="default"/>
                <w:sz w:val="18"/>
                <w:szCs w:val="18"/>
              </w:rPr>
            </w:pPr>
            <w:r>
              <w:rPr>
                <w:rFonts w:ascii="宋体" w:hAnsi="宋体" w:cs="宋体" w:eastAsia="宋体" w:hint="default"/>
                <w:sz w:val="18"/>
                <w:szCs w:val="18"/>
              </w:rPr>
              <w:t>施卫兵</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制造业</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光伏电站</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z w:val="18"/>
              </w:rPr>
              <w:t>26,100.00</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111,663.84</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34,810.08</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5"/>
                <w:sz w:val="18"/>
              </w:rPr>
              <w:t>9,051.04</w:t>
            </w:r>
          </w:p>
        </w:tc>
      </w:tr>
      <w:tr>
        <w:trPr>
          <w:trHeight w:val="324" w:hRule="exact"/>
        </w:trPr>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颍上永阳新能源科技有限公司</w:t>
            </w:r>
          </w:p>
        </w:tc>
        <w:tc>
          <w:tcPr>
            <w:tcW w:w="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7" w:right="0"/>
              <w:jc w:val="left"/>
              <w:rPr>
                <w:rFonts w:ascii="宋体" w:hAnsi="宋体" w:cs="宋体" w:eastAsia="宋体" w:hint="default"/>
                <w:sz w:val="18"/>
                <w:szCs w:val="18"/>
              </w:rPr>
            </w:pPr>
            <w:r>
              <w:rPr>
                <w:rFonts w:ascii="宋体" w:hAnsi="宋体" w:cs="宋体" w:eastAsia="宋体" w:hint="default"/>
                <w:sz w:val="18"/>
                <w:szCs w:val="18"/>
              </w:rPr>
              <w:t>安徽</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71" w:right="0"/>
              <w:jc w:val="left"/>
              <w:rPr>
                <w:rFonts w:ascii="宋体" w:hAnsi="宋体" w:cs="宋体" w:eastAsia="宋体" w:hint="default"/>
                <w:sz w:val="18"/>
                <w:szCs w:val="18"/>
              </w:rPr>
            </w:pPr>
            <w:r>
              <w:rPr>
                <w:rFonts w:ascii="宋体" w:hAnsi="宋体" w:cs="宋体" w:eastAsia="宋体" w:hint="default"/>
                <w:sz w:val="18"/>
                <w:szCs w:val="18"/>
              </w:rPr>
              <w:t>陆云海</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制造业</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光伏电站</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
              <w:jc w:val="center"/>
              <w:rPr>
                <w:rFonts w:ascii="Times New Roman" w:hAnsi="Times New Roman" w:cs="Times New Roman" w:eastAsia="Times New Roman" w:hint="default"/>
                <w:sz w:val="18"/>
                <w:szCs w:val="18"/>
              </w:rPr>
            </w:pPr>
            <w:r>
              <w:rPr>
                <w:rFonts w:ascii="Times New Roman"/>
                <w:sz w:val="18"/>
              </w:rPr>
              <w:t>15,000.00</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3"/>
              <w:jc w:val="right"/>
              <w:rPr>
                <w:rFonts w:ascii="宋体" w:hAnsi="宋体" w:cs="宋体" w:eastAsia="宋体" w:hint="default"/>
                <w:sz w:val="18"/>
                <w:szCs w:val="18"/>
              </w:rPr>
            </w:pPr>
            <w:r>
              <w:rPr>
                <w:rFonts w:ascii="宋体"/>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24" w:right="0"/>
              <w:jc w:val="left"/>
              <w:rPr>
                <w:rFonts w:ascii="Times New Roman" w:hAnsi="Times New Roman" w:cs="Times New Roman" w:eastAsia="Times New Roman" w:hint="default"/>
                <w:sz w:val="18"/>
                <w:szCs w:val="18"/>
              </w:rPr>
            </w:pPr>
            <w:r>
              <w:rPr>
                <w:rFonts w:ascii="Times New Roman"/>
                <w:sz w:val="18"/>
              </w:rPr>
              <w:t>100</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55,014.05</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26,650.65</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3"/>
              <w:jc w:val="right"/>
              <w:rPr>
                <w:rFonts w:ascii="Times New Roman" w:hAnsi="Times New Roman" w:cs="Times New Roman" w:eastAsia="Times New Roman" w:hint="default"/>
                <w:sz w:val="18"/>
                <w:szCs w:val="18"/>
              </w:rPr>
            </w:pPr>
            <w:r>
              <w:rPr>
                <w:rFonts w:ascii="Times New Roman"/>
                <w:w w:val="95"/>
                <w:sz w:val="18"/>
              </w:rPr>
              <w:t>3,024.34</w:t>
            </w:r>
          </w:p>
        </w:tc>
      </w:tr>
      <w:tr>
        <w:trPr>
          <w:trHeight w:val="322" w:hRule="exact"/>
        </w:trPr>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冠县华博农业科技有限公司</w:t>
            </w:r>
          </w:p>
        </w:tc>
        <w:tc>
          <w:tcPr>
            <w:tcW w:w="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27" w:right="0"/>
              <w:jc w:val="left"/>
              <w:rPr>
                <w:rFonts w:ascii="宋体" w:hAnsi="宋体" w:cs="宋体" w:eastAsia="宋体" w:hint="default"/>
                <w:sz w:val="18"/>
                <w:szCs w:val="18"/>
              </w:rPr>
            </w:pPr>
            <w:r>
              <w:rPr>
                <w:rFonts w:ascii="宋体" w:hAnsi="宋体" w:cs="宋体" w:eastAsia="宋体" w:hint="default"/>
                <w:sz w:val="18"/>
                <w:szCs w:val="18"/>
              </w:rPr>
              <w:t>冠县</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71" w:right="0"/>
              <w:jc w:val="left"/>
              <w:rPr>
                <w:rFonts w:ascii="宋体" w:hAnsi="宋体" w:cs="宋体" w:eastAsia="宋体" w:hint="default"/>
                <w:sz w:val="18"/>
                <w:szCs w:val="18"/>
              </w:rPr>
            </w:pPr>
            <w:r>
              <w:rPr>
                <w:rFonts w:ascii="宋体" w:hAnsi="宋体" w:cs="宋体" w:eastAsia="宋体" w:hint="default"/>
                <w:sz w:val="18"/>
                <w:szCs w:val="18"/>
              </w:rPr>
              <w:t>林少武</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光伏电站</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光伏电站</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
              <w:jc w:val="center"/>
              <w:rPr>
                <w:rFonts w:ascii="Times New Roman" w:hAnsi="Times New Roman" w:cs="Times New Roman" w:eastAsia="Times New Roman" w:hint="default"/>
                <w:sz w:val="18"/>
                <w:szCs w:val="18"/>
              </w:rPr>
            </w:pPr>
            <w:r>
              <w:rPr>
                <w:rFonts w:ascii="Times New Roman"/>
                <w:sz w:val="18"/>
              </w:rPr>
              <w:t>15,000.00</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0" w:right="0"/>
              <w:jc w:val="left"/>
              <w:rPr>
                <w:rFonts w:ascii="宋体" w:hAnsi="宋体" w:cs="宋体" w:eastAsia="宋体" w:hint="default"/>
                <w:sz w:val="18"/>
                <w:szCs w:val="18"/>
              </w:rPr>
            </w:pPr>
            <w:r>
              <w:rPr>
                <w:rFonts w:ascii="宋体"/>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24" w:right="0"/>
              <w:jc w:val="left"/>
              <w:rPr>
                <w:rFonts w:ascii="Times New Roman" w:hAnsi="Times New Roman" w:cs="Times New Roman" w:eastAsia="Times New Roman" w:hint="default"/>
                <w:sz w:val="18"/>
                <w:szCs w:val="18"/>
              </w:rPr>
            </w:pPr>
            <w:r>
              <w:rPr>
                <w:rFonts w:ascii="Times New Roman"/>
                <w:sz w:val="18"/>
              </w:rPr>
              <w:t>100</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60,963.15</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28,816.88</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3"/>
              <w:jc w:val="right"/>
              <w:rPr>
                <w:rFonts w:ascii="Times New Roman" w:hAnsi="Times New Roman" w:cs="Times New Roman" w:eastAsia="Times New Roman" w:hint="default"/>
                <w:sz w:val="18"/>
                <w:szCs w:val="18"/>
              </w:rPr>
            </w:pPr>
            <w:r>
              <w:rPr>
                <w:rFonts w:ascii="Times New Roman"/>
                <w:w w:val="95"/>
                <w:sz w:val="18"/>
              </w:rPr>
              <w:t>5,664.02</w:t>
            </w:r>
          </w:p>
        </w:tc>
      </w:tr>
      <w:tr>
        <w:trPr>
          <w:trHeight w:val="634" w:hRule="exact"/>
        </w:trPr>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89"/>
              <w:jc w:val="left"/>
              <w:rPr>
                <w:rFonts w:ascii="宋体" w:hAnsi="宋体" w:cs="宋体" w:eastAsia="宋体" w:hint="default"/>
                <w:sz w:val="18"/>
                <w:szCs w:val="18"/>
              </w:rPr>
            </w:pPr>
            <w:r>
              <w:rPr>
                <w:rFonts w:ascii="宋体" w:hAnsi="宋体" w:cs="宋体" w:eastAsia="宋体" w:hint="default"/>
                <w:spacing w:val="9"/>
                <w:sz w:val="18"/>
                <w:szCs w:val="18"/>
              </w:rPr>
              <w:t>濉溪县永瑞现代农业科技有限公 </w:t>
            </w:r>
            <w:r>
              <w:rPr>
                <w:rFonts w:ascii="宋体" w:hAnsi="宋体" w:cs="宋体" w:eastAsia="宋体" w:hint="default"/>
                <w:sz w:val="18"/>
                <w:szCs w:val="18"/>
              </w:rPr>
              <w:t>司</w:t>
            </w:r>
          </w:p>
        </w:tc>
        <w:tc>
          <w:tcPr>
            <w:tcW w:w="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濉溪</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71" w:right="0"/>
              <w:jc w:val="left"/>
              <w:rPr>
                <w:rFonts w:ascii="宋体" w:hAnsi="宋体" w:cs="宋体" w:eastAsia="宋体" w:hint="default"/>
                <w:sz w:val="18"/>
                <w:szCs w:val="18"/>
              </w:rPr>
            </w:pPr>
            <w:r>
              <w:rPr>
                <w:rFonts w:ascii="宋体" w:hAnsi="宋体" w:cs="宋体" w:eastAsia="宋体" w:hint="default"/>
                <w:sz w:val="18"/>
                <w:szCs w:val="18"/>
              </w:rPr>
              <w:t>陆云海</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光伏电站</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光伏电站</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1,000.00</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24" w:right="0"/>
              <w:jc w:val="left"/>
              <w:rPr>
                <w:rFonts w:ascii="Times New Roman" w:hAnsi="Times New Roman" w:cs="Times New Roman" w:eastAsia="Times New Roman" w:hint="default"/>
                <w:sz w:val="18"/>
                <w:szCs w:val="18"/>
              </w:rPr>
            </w:pPr>
            <w:r>
              <w:rPr>
                <w:rFonts w:ascii="Times New Roman"/>
                <w:sz w:val="18"/>
              </w:rPr>
              <w:t>100</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39,329.12</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95"/>
                <w:sz w:val="18"/>
              </w:rPr>
              <w:t>7,178.24</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95"/>
                <w:sz w:val="18"/>
              </w:rPr>
              <w:t>3,064.71</w:t>
            </w:r>
          </w:p>
        </w:tc>
      </w:tr>
      <w:tr>
        <w:trPr>
          <w:trHeight w:val="322" w:hRule="exact"/>
        </w:trPr>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商丘市鑫炎新能源开发有限公司</w:t>
            </w:r>
          </w:p>
        </w:tc>
        <w:tc>
          <w:tcPr>
            <w:tcW w:w="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27" w:right="0"/>
              <w:jc w:val="left"/>
              <w:rPr>
                <w:rFonts w:ascii="宋体" w:hAnsi="宋体" w:cs="宋体" w:eastAsia="宋体" w:hint="default"/>
                <w:sz w:val="18"/>
                <w:szCs w:val="18"/>
              </w:rPr>
            </w:pPr>
            <w:r>
              <w:rPr>
                <w:rFonts w:ascii="宋体" w:hAnsi="宋体" w:cs="宋体" w:eastAsia="宋体" w:hint="default"/>
                <w:sz w:val="18"/>
                <w:szCs w:val="18"/>
              </w:rPr>
              <w:t>商丘</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71" w:right="0"/>
              <w:jc w:val="left"/>
              <w:rPr>
                <w:rFonts w:ascii="宋体" w:hAnsi="宋体" w:cs="宋体" w:eastAsia="宋体" w:hint="default"/>
                <w:sz w:val="18"/>
                <w:szCs w:val="18"/>
              </w:rPr>
            </w:pPr>
            <w:r>
              <w:rPr>
                <w:rFonts w:ascii="宋体" w:hAnsi="宋体" w:cs="宋体" w:eastAsia="宋体" w:hint="default"/>
                <w:sz w:val="18"/>
                <w:szCs w:val="18"/>
              </w:rPr>
              <w:t>徐红星</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光伏电站</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光伏电站</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
              <w:jc w:val="center"/>
              <w:rPr>
                <w:rFonts w:ascii="Times New Roman" w:hAnsi="Times New Roman" w:cs="Times New Roman" w:eastAsia="Times New Roman" w:hint="default"/>
                <w:sz w:val="18"/>
                <w:szCs w:val="18"/>
              </w:rPr>
            </w:pPr>
            <w:r>
              <w:rPr>
                <w:rFonts w:ascii="Times New Roman"/>
                <w:sz w:val="18"/>
              </w:rPr>
              <w:t>13,500.00</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3"/>
              <w:jc w:val="right"/>
              <w:rPr>
                <w:rFonts w:ascii="宋体" w:hAnsi="宋体" w:cs="宋体" w:eastAsia="宋体" w:hint="default"/>
                <w:sz w:val="18"/>
                <w:szCs w:val="18"/>
              </w:rPr>
            </w:pPr>
            <w:r>
              <w:rPr>
                <w:rFonts w:ascii="宋体"/>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24" w:right="0"/>
              <w:jc w:val="left"/>
              <w:rPr>
                <w:rFonts w:ascii="Times New Roman" w:hAnsi="Times New Roman" w:cs="Times New Roman" w:eastAsia="Times New Roman" w:hint="default"/>
                <w:sz w:val="18"/>
                <w:szCs w:val="18"/>
              </w:rPr>
            </w:pPr>
            <w:r>
              <w:rPr>
                <w:rFonts w:ascii="Times New Roman"/>
                <w:sz w:val="18"/>
              </w:rPr>
              <w:t>100</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63,507.82</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23,987.34</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3"/>
              <w:jc w:val="right"/>
              <w:rPr>
                <w:rFonts w:ascii="Times New Roman" w:hAnsi="Times New Roman" w:cs="Times New Roman" w:eastAsia="Times New Roman" w:hint="default"/>
                <w:sz w:val="18"/>
                <w:szCs w:val="18"/>
              </w:rPr>
            </w:pPr>
            <w:r>
              <w:rPr>
                <w:rFonts w:ascii="Times New Roman"/>
                <w:w w:val="95"/>
                <w:sz w:val="18"/>
              </w:rPr>
              <w:t>3,886.30</w:t>
            </w:r>
          </w:p>
        </w:tc>
      </w:tr>
    </w:tbl>
    <w:p>
      <w:pPr>
        <w:spacing w:line="240" w:lineRule="auto" w:before="12"/>
        <w:rPr>
          <w:rFonts w:ascii="宋体" w:hAnsi="宋体" w:cs="宋体" w:eastAsia="宋体" w:hint="default"/>
          <w:sz w:val="21"/>
          <w:szCs w:val="21"/>
        </w:rPr>
      </w:pPr>
    </w:p>
    <w:p>
      <w:pPr>
        <w:pStyle w:val="BodyText"/>
        <w:spacing w:line="240" w:lineRule="auto" w:before="36"/>
        <w:ind w:left="560" w:right="0"/>
        <w:jc w:val="left"/>
      </w:pPr>
      <w:r>
        <w:rPr>
          <w:rFonts w:ascii="Calibri" w:hAnsi="Calibri" w:cs="Calibri" w:eastAsia="Calibri" w:hint="default"/>
        </w:rPr>
        <w:t>2</w:t>
      </w:r>
      <w:r>
        <w:rPr/>
        <w:t>）</w:t>
      </w:r>
      <w:r>
        <w:rPr>
          <w:spacing w:val="-64"/>
        </w:rPr>
        <w:t> </w:t>
      </w:r>
      <w:r>
        <w:rPr/>
        <w:t>主要参股公司分析（单位：万元）</w:t>
      </w:r>
    </w:p>
    <w:tbl>
      <w:tblPr>
        <w:tblW w:w="0" w:type="auto"/>
        <w:jc w:val="left"/>
        <w:tblInd w:w="483" w:type="dxa"/>
        <w:tblLayout w:type="fixed"/>
        <w:tblCellMar>
          <w:top w:w="0" w:type="dxa"/>
          <w:left w:w="0" w:type="dxa"/>
          <w:bottom w:w="0" w:type="dxa"/>
          <w:right w:w="0" w:type="dxa"/>
        </w:tblCellMar>
        <w:tblLook w:val="01E0"/>
      </w:tblPr>
      <w:tblGrid>
        <w:gridCol w:w="3092"/>
        <w:gridCol w:w="709"/>
        <w:gridCol w:w="811"/>
        <w:gridCol w:w="826"/>
        <w:gridCol w:w="1368"/>
        <w:gridCol w:w="1277"/>
        <w:gridCol w:w="965"/>
        <w:gridCol w:w="1558"/>
        <w:gridCol w:w="1277"/>
        <w:gridCol w:w="1416"/>
      </w:tblGrid>
      <w:tr>
        <w:trPr>
          <w:trHeight w:val="634" w:hRule="exact"/>
        </w:trPr>
        <w:tc>
          <w:tcPr>
            <w:tcW w:w="3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59" w:right="170" w:hanging="92"/>
              <w:jc w:val="left"/>
              <w:rPr>
                <w:rFonts w:ascii="宋体" w:hAnsi="宋体" w:cs="宋体" w:eastAsia="宋体" w:hint="default"/>
                <w:sz w:val="18"/>
                <w:szCs w:val="18"/>
              </w:rPr>
            </w:pPr>
            <w:r>
              <w:rPr>
                <w:rFonts w:ascii="宋体" w:hAnsi="宋体" w:cs="宋体" w:eastAsia="宋体" w:hint="default"/>
                <w:sz w:val="18"/>
                <w:szCs w:val="18"/>
              </w:rPr>
              <w:t>注册 地</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309" w:right="131" w:hanging="180"/>
              <w:jc w:val="left"/>
              <w:rPr>
                <w:rFonts w:ascii="宋体" w:hAnsi="宋体" w:cs="宋体" w:eastAsia="宋体" w:hint="default"/>
                <w:sz w:val="18"/>
                <w:szCs w:val="18"/>
              </w:rPr>
            </w:pPr>
            <w:r>
              <w:rPr>
                <w:rFonts w:ascii="宋体" w:hAnsi="宋体" w:cs="宋体" w:eastAsia="宋体" w:hint="default"/>
                <w:sz w:val="18"/>
                <w:szCs w:val="18"/>
              </w:rPr>
              <w:t>法人代 表</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319" w:right="134" w:hanging="180"/>
              <w:jc w:val="left"/>
              <w:rPr>
                <w:rFonts w:ascii="宋体" w:hAnsi="宋体" w:cs="宋体" w:eastAsia="宋体" w:hint="default"/>
                <w:sz w:val="18"/>
                <w:szCs w:val="18"/>
              </w:rPr>
            </w:pPr>
            <w:r>
              <w:rPr>
                <w:rFonts w:ascii="宋体" w:hAnsi="宋体" w:cs="宋体" w:eastAsia="宋体" w:hint="default"/>
                <w:sz w:val="18"/>
                <w:szCs w:val="18"/>
              </w:rPr>
              <w:t>业务性 质</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主要业务</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注册资本</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持股比例</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35" w:right="0"/>
              <w:jc w:val="left"/>
              <w:rPr>
                <w:rFonts w:ascii="宋体" w:hAnsi="宋体" w:cs="宋体" w:eastAsia="宋体" w:hint="default"/>
                <w:sz w:val="18"/>
                <w:szCs w:val="18"/>
              </w:rPr>
            </w:pPr>
            <w:r>
              <w:rPr>
                <w:rFonts w:ascii="宋体" w:hAnsi="宋体" w:cs="宋体" w:eastAsia="宋体" w:hint="default"/>
                <w:sz w:val="18"/>
                <w:szCs w:val="18"/>
              </w:rPr>
              <w:t>期末资产总额</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82" w:right="0"/>
              <w:jc w:val="left"/>
              <w:rPr>
                <w:rFonts w:ascii="宋体" w:hAnsi="宋体" w:cs="宋体" w:eastAsia="宋体" w:hint="default"/>
                <w:sz w:val="18"/>
                <w:szCs w:val="18"/>
              </w:rPr>
            </w:pPr>
            <w:r>
              <w:rPr>
                <w:rFonts w:ascii="宋体" w:hAnsi="宋体" w:cs="宋体" w:eastAsia="宋体" w:hint="default"/>
                <w:sz w:val="18"/>
                <w:szCs w:val="18"/>
              </w:rPr>
              <w:t>期末净资产</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51" w:right="0"/>
              <w:jc w:val="left"/>
              <w:rPr>
                <w:rFonts w:ascii="宋体" w:hAnsi="宋体" w:cs="宋体" w:eastAsia="宋体" w:hint="default"/>
                <w:sz w:val="18"/>
                <w:szCs w:val="18"/>
              </w:rPr>
            </w:pPr>
            <w:r>
              <w:rPr>
                <w:rFonts w:ascii="宋体" w:hAnsi="宋体" w:cs="宋体" w:eastAsia="宋体" w:hint="default"/>
                <w:sz w:val="18"/>
                <w:szCs w:val="18"/>
              </w:rPr>
              <w:t>本期净利润</w:t>
            </w:r>
          </w:p>
        </w:tc>
      </w:tr>
      <w:tr>
        <w:trPr>
          <w:trHeight w:val="324" w:hRule="exact"/>
        </w:trPr>
        <w:tc>
          <w:tcPr>
            <w:tcW w:w="3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江苏华电华林新能源有限公司</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南通</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王武士</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光伏发电站</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Times New Roman" w:hAnsi="Times New Roman" w:cs="Times New Roman" w:eastAsia="Times New Roman" w:hint="default"/>
                <w:sz w:val="18"/>
                <w:szCs w:val="18"/>
              </w:rPr>
            </w:pPr>
            <w:r>
              <w:rPr>
                <w:rFonts w:ascii="Times New Roman"/>
                <w:sz w:val="18"/>
              </w:rPr>
              <w:t>7,590</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Times New Roman" w:hAnsi="Times New Roman" w:cs="Times New Roman" w:eastAsia="Times New Roman" w:hint="default"/>
                <w:sz w:val="18"/>
                <w:szCs w:val="18"/>
              </w:rPr>
            </w:pPr>
            <w:r>
              <w:rPr>
                <w:rFonts w:ascii="Times New Roman"/>
                <w:sz w:val="18"/>
              </w:rPr>
              <w:t>25</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pacing w:val="-1"/>
                <w:sz w:val="18"/>
              </w:rPr>
              <w:t>24,984.29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w w:val="95"/>
                <w:sz w:val="18"/>
              </w:rPr>
              <w:t>9,369.69</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527.34</w:t>
            </w:r>
          </w:p>
        </w:tc>
      </w:tr>
      <w:tr>
        <w:trPr>
          <w:trHeight w:val="322" w:hRule="exact"/>
        </w:trPr>
        <w:tc>
          <w:tcPr>
            <w:tcW w:w="3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法凯涞玛冷暖设备（杭州）有限公司</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陈光辉</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制冷采暖设备</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1,500</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10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w w:val="95"/>
                <w:sz w:val="18"/>
              </w:rPr>
              <w:t>1,696.54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w w:val="95"/>
                <w:sz w:val="18"/>
              </w:rPr>
              <w:t>1,028.96</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28.20</w:t>
            </w:r>
          </w:p>
        </w:tc>
      </w:tr>
      <w:tr>
        <w:trPr>
          <w:trHeight w:val="634" w:hRule="exact"/>
        </w:trPr>
        <w:tc>
          <w:tcPr>
            <w:tcW w:w="3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无锡感知金服实业有限公司</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无锡</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刘海涛</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73"/>
              <w:jc w:val="left"/>
              <w:rPr>
                <w:rFonts w:ascii="宋体" w:hAnsi="宋体" w:cs="宋体" w:eastAsia="宋体" w:hint="default"/>
                <w:sz w:val="18"/>
                <w:szCs w:val="18"/>
              </w:rPr>
            </w:pPr>
            <w:r>
              <w:rPr>
                <w:rFonts w:ascii="宋体" w:hAnsi="宋体" w:cs="宋体" w:eastAsia="宋体" w:hint="default"/>
                <w:sz w:val="18"/>
                <w:szCs w:val="18"/>
              </w:rPr>
              <w:t>物联网技术开 发</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12,622.50</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5</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84,209.24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15,496.82</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-1,113.69</w:t>
            </w:r>
          </w:p>
        </w:tc>
      </w:tr>
      <w:tr>
        <w:trPr>
          <w:trHeight w:val="322" w:hRule="exact"/>
        </w:trPr>
        <w:tc>
          <w:tcPr>
            <w:tcW w:w="3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南京东博智慧能源研究院有限公司</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南京</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汤奕</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研发</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综合业务</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Times New Roman" w:hAnsi="Times New Roman" w:cs="Times New Roman" w:eastAsia="Times New Roman" w:hint="default"/>
                <w:sz w:val="18"/>
                <w:szCs w:val="18"/>
              </w:rPr>
            </w:pPr>
            <w:r>
              <w:rPr>
                <w:rFonts w:ascii="Times New Roman"/>
                <w:sz w:val="18"/>
              </w:rPr>
              <w:t>1,000</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15</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pacing w:val="-1"/>
                <w:sz w:val="18"/>
              </w:rPr>
              <w:t>396.40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425.06</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-122.24</w:t>
            </w:r>
          </w:p>
        </w:tc>
      </w:tr>
      <w:tr>
        <w:trPr>
          <w:trHeight w:val="634" w:hRule="exact"/>
        </w:trPr>
        <w:tc>
          <w:tcPr>
            <w:tcW w:w="3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PTINTISMARTTEKNOLOGI</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印尼</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sz w:val="18"/>
              </w:rPr>
              <w:t> </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计量仪器仪表</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1825000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万印</w:t>
            </w:r>
          </w:p>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尼卢比</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482.35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477.67</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-211.96</w:t>
            </w:r>
          </w:p>
        </w:tc>
      </w:tr>
      <w:tr>
        <w:trPr>
          <w:trHeight w:val="324" w:hRule="exact"/>
        </w:trPr>
        <w:tc>
          <w:tcPr>
            <w:tcW w:w="3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江苏华源仪器仪表有限公司</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南京</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文景云</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计量仪器仪表</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 w:right="0"/>
              <w:jc w:val="center"/>
              <w:rPr>
                <w:rFonts w:ascii="Times New Roman" w:hAnsi="Times New Roman" w:cs="Times New Roman" w:eastAsia="Times New Roman" w:hint="default"/>
                <w:sz w:val="18"/>
                <w:szCs w:val="18"/>
              </w:rPr>
            </w:pPr>
            <w:r>
              <w:rPr>
                <w:rFonts w:ascii="Times New Roman"/>
                <w:sz w:val="18"/>
              </w:rPr>
              <w:t>4000</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 w:right="0"/>
              <w:jc w:val="center"/>
              <w:rPr>
                <w:rFonts w:ascii="Times New Roman" w:hAnsi="Times New Roman" w:cs="Times New Roman" w:eastAsia="Times New Roman" w:hint="default"/>
                <w:sz w:val="18"/>
                <w:szCs w:val="18"/>
              </w:rPr>
            </w:pPr>
            <w:r>
              <w:rPr>
                <w:rFonts w:ascii="Times New Roman"/>
                <w:sz w:val="18"/>
              </w:rPr>
              <w:t>49%</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w w:val="95"/>
                <w:sz w:val="18"/>
              </w:rPr>
              <w:t>6,516.75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w w:val="95"/>
                <w:sz w:val="18"/>
              </w:rPr>
              <w:t>5,518.96</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-905.39</w:t>
            </w:r>
          </w:p>
        </w:tc>
      </w:tr>
    </w:tbl>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4"/>
          <w:szCs w:val="14"/>
        </w:rPr>
      </w:pPr>
    </w:p>
    <w:p>
      <w:pPr>
        <w:spacing w:before="63"/>
        <w:ind w:left="6814" w:right="6741" w:firstLine="0"/>
        <w:jc w:val="center"/>
        <w:rPr>
          <w:rFonts w:ascii="Calibri" w:hAnsi="Calibri" w:cs="Calibri" w:eastAsia="Calibri" w:hint="default"/>
          <w:sz w:val="18"/>
          <w:szCs w:val="18"/>
        </w:rPr>
      </w:pPr>
      <w:r>
        <w:rPr>
          <w:rFonts w:ascii="Calibri"/>
          <w:b/>
          <w:sz w:val="18"/>
        </w:rPr>
        <w:t>37 </w:t>
      </w:r>
      <w:r>
        <w:rPr>
          <w:rFonts w:ascii="Calibri"/>
          <w:sz w:val="18"/>
        </w:rPr>
        <w:t>/</w:t>
      </w:r>
      <w:r>
        <w:rPr>
          <w:rFonts w:ascii="Calibri"/>
          <w:spacing w:val="-4"/>
          <w:sz w:val="18"/>
        </w:rPr>
        <w:t> </w:t>
      </w:r>
      <w:r>
        <w:rPr>
          <w:rFonts w:ascii="Calibri"/>
          <w:b/>
          <w:sz w:val="18"/>
        </w:rPr>
        <w:t>216</w:t>
      </w:r>
      <w:r>
        <w:rPr>
          <w:rFonts w:ascii="Calibri"/>
          <w:sz w:val="18"/>
        </w:rPr>
      </w:r>
    </w:p>
    <w:p>
      <w:pPr>
        <w:spacing w:after="0"/>
        <w:jc w:val="center"/>
        <w:rPr>
          <w:rFonts w:ascii="Calibri" w:hAnsi="Calibri" w:cs="Calibri" w:eastAsia="Calibri" w:hint="default"/>
          <w:sz w:val="18"/>
          <w:szCs w:val="18"/>
        </w:rPr>
        <w:sectPr>
          <w:headerReference w:type="default" r:id="rId27"/>
          <w:footerReference w:type="default" r:id="rId28"/>
          <w:pgSz w:w="16840" w:h="11910" w:orient="landscape"/>
          <w:pgMar w:header="0" w:footer="0" w:top="660" w:bottom="280" w:left="1240" w:right="1400"/>
        </w:sectPr>
      </w:pPr>
    </w:p>
    <w:p>
      <w:pPr>
        <w:spacing w:line="240" w:lineRule="auto" w:before="1"/>
        <w:rPr>
          <w:rFonts w:ascii="Calibri" w:hAnsi="Calibri" w:cs="Calibri" w:eastAsia="Calibri" w:hint="default"/>
          <w:b/>
          <w:bCs/>
          <w:sz w:val="26"/>
          <w:szCs w:val="26"/>
        </w:rPr>
      </w:pPr>
    </w:p>
    <w:p>
      <w:pPr>
        <w:pStyle w:val="Heading2"/>
        <w:spacing w:line="240" w:lineRule="auto" w:before="26"/>
        <w:ind w:right="0"/>
        <w:jc w:val="left"/>
        <w:rPr>
          <w:rFonts w:ascii="宋体" w:hAnsi="宋体" w:cs="宋体" w:eastAsia="宋体" w:hint="default"/>
        </w:rPr>
      </w:pPr>
      <w:r>
        <w:rPr>
          <w:rFonts w:ascii="宋体"/>
        </w:rPr>
        <w:t> </w:t>
      </w:r>
    </w:p>
    <w:p>
      <w:pPr>
        <w:pStyle w:val="Heading3"/>
        <w:tabs>
          <w:tab w:pos="1057" w:val="left" w:leader="none"/>
        </w:tabs>
        <w:spacing w:line="240" w:lineRule="auto" w:before="85"/>
        <w:ind w:right="0"/>
        <w:jc w:val="left"/>
        <w:rPr>
          <w:b w:val="0"/>
          <w:bCs w:val="0"/>
        </w:rPr>
      </w:pPr>
      <w:r>
        <w:rPr>
          <w:rFonts w:ascii="宋体" w:hAnsi="宋体" w:cs="宋体" w:eastAsia="宋体" w:hint="default"/>
          <w:spacing w:val="-1"/>
        </w:rPr>
        <w:t>(</w:t>
      </w:r>
      <w:r>
        <w:rPr>
          <w:spacing w:val="-1"/>
        </w:rPr>
        <w:t>八</w:t>
      </w:r>
      <w:r>
        <w:rPr>
          <w:rFonts w:ascii="宋体" w:hAnsi="宋体" w:cs="宋体" w:eastAsia="宋体" w:hint="default"/>
          <w:spacing w:val="-1"/>
        </w:rPr>
        <w:t>)</w:t>
        <w:tab/>
      </w:r>
      <w:r>
        <w:rPr>
          <w:spacing w:val="-1"/>
        </w:rPr>
        <w:t>公司控制的结构化主体情况</w:t>
      </w:r>
      <w:r>
        <w:rPr>
          <w:b w:val="0"/>
          <w:bCs w:val="0"/>
          <w:spacing w:val="-1"/>
        </w:rPr>
      </w:r>
    </w:p>
    <w:p>
      <w:pPr>
        <w:pStyle w:val="BodyText"/>
        <w:spacing w:line="240" w:lineRule="auto" w:before="97"/>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3"/>
        <w:tabs>
          <w:tab w:pos="1057" w:val="left" w:leader="none"/>
        </w:tabs>
        <w:spacing w:line="324" w:lineRule="auto" w:before="37"/>
        <w:ind w:right="5249"/>
        <w:jc w:val="left"/>
        <w:rPr>
          <w:b w:val="0"/>
          <w:bCs w:val="0"/>
        </w:rPr>
      </w:pPr>
      <w:r>
        <w:rPr>
          <w:rFonts w:ascii="宋体" w:hAnsi="宋体" w:cs="宋体" w:eastAsia="宋体" w:hint="default"/>
          <w:b w:val="0"/>
          <w:bCs w:val="0"/>
          <w:w w:val="100"/>
        </w:rPr>
        <w:t> </w:t>
      </w:r>
      <w:r>
        <w:rPr>
          <w:w w:val="100"/>
        </w:rPr>
        <w:t>二</w:t>
      </w:r>
      <w:r>
        <w:rPr>
          <w:spacing w:val="-1"/>
          <w:w w:val="100"/>
        </w:rPr>
        <w:t>、</w:t>
      </w:r>
      <w:r>
        <w:rPr>
          <w:w w:val="100"/>
        </w:rPr>
        <w:t>公司关于公司未来</w:t>
      </w:r>
      <w:r>
        <w:rPr>
          <w:spacing w:val="-3"/>
          <w:w w:val="100"/>
        </w:rPr>
        <w:t>发</w:t>
      </w:r>
      <w:r>
        <w:rPr>
          <w:w w:val="100"/>
        </w:rPr>
        <w:t>展</w:t>
      </w:r>
      <w:r>
        <w:rPr>
          <w:spacing w:val="-3"/>
          <w:w w:val="100"/>
        </w:rPr>
        <w:t>的</w:t>
      </w:r>
      <w:r>
        <w:rPr>
          <w:w w:val="100"/>
        </w:rPr>
        <w:t>讨论与分析</w:t>
      </w:r>
      <w:r>
        <w:rPr>
          <w:w w:val="100"/>
        </w:rPr>
        <w:t> </w:t>
      </w:r>
      <w:r>
        <w:rPr>
          <w:rFonts w:ascii="宋体" w:hAnsi="宋体" w:cs="宋体" w:eastAsia="宋体" w:hint="default"/>
          <w:w w:val="99"/>
        </w:rPr>
        <w:t>(</w:t>
      </w:r>
      <w:r>
        <w:rPr>
          <w:spacing w:val="-1"/>
          <w:w w:val="100"/>
        </w:rPr>
        <w:t>一</w:t>
      </w:r>
      <w:r>
        <w:rPr>
          <w:rFonts w:ascii="宋体" w:hAnsi="宋体" w:cs="宋体" w:eastAsia="宋体" w:hint="default"/>
          <w:w w:val="99"/>
        </w:rPr>
        <w:t>)</w:t>
      </w:r>
      <w:r>
        <w:rPr>
          <w:rFonts w:ascii="宋体" w:hAnsi="宋体" w:cs="宋体" w:eastAsia="宋体" w:hint="default"/>
        </w:rPr>
        <w:tab/>
      </w:r>
      <w:r>
        <w:rPr>
          <w:w w:val="100"/>
        </w:rPr>
        <w:t>行业格局和趋势</w:t>
      </w:r>
      <w:r>
        <w:rPr>
          <w:b w:val="0"/>
          <w:bCs w:val="0"/>
          <w:w w:val="100"/>
        </w:rPr>
      </w:r>
    </w:p>
    <w:p>
      <w:pPr>
        <w:spacing w:line="273" w:lineRule="auto" w:before="23"/>
        <w:ind w:left="638" w:right="6712" w:hanging="42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1</w:t>
      </w:r>
      <w:r>
        <w:rPr>
          <w:rFonts w:ascii="宋体" w:hAnsi="宋体" w:cs="宋体" w:eastAsia="宋体" w:hint="default"/>
          <w:b/>
          <w:bCs/>
          <w:sz w:val="21"/>
          <w:szCs w:val="21"/>
        </w:rPr>
        <w:t>、智能电网领域</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73" w:lineRule="auto" w:before="7"/>
        <w:ind w:right="217" w:firstLine="419"/>
        <w:jc w:val="both"/>
      </w:pPr>
      <w:r>
        <w:rPr>
          <w:spacing w:val="-2"/>
        </w:rPr>
        <w:t>当前，能源供给和消费的结构性变化正在驱动全球电力能源体系发生着自电力诞生以来最大</w:t>
      </w:r>
      <w:r>
        <w:rPr>
          <w:w w:val="100"/>
        </w:rPr>
        <w:t> </w:t>
      </w:r>
      <w:r>
        <w:rPr>
          <w:spacing w:val="-2"/>
        </w:rPr>
        <w:t>的一次变革。在能源的供给侧，新能源的比重正持续增加，全球的去碳化减排目标和新能源发电</w:t>
      </w:r>
      <w:r>
        <w:rPr>
          <w:spacing w:val="-25"/>
        </w:rPr>
        <w:t> </w:t>
      </w:r>
      <w:r>
        <w:rPr>
          <w:spacing w:val="-25"/>
        </w:rPr>
      </w:r>
      <w:r>
        <w:rPr>
          <w:spacing w:val="-2"/>
        </w:rPr>
        <w:t>成本的迅速下降将推动可再生能源的持续性发展，和能源消费端一体化的分布式发电也将成为能</w:t>
      </w:r>
      <w:r>
        <w:rPr>
          <w:spacing w:val="-25"/>
        </w:rPr>
        <w:t> </w:t>
      </w:r>
      <w:r>
        <w:rPr>
          <w:spacing w:val="-25"/>
        </w:rPr>
      </w:r>
      <w:r>
        <w:rPr>
          <w:spacing w:val="-2"/>
        </w:rPr>
        <w:t>源供给的重要部分；在能源消费侧，电气化成为全球趋势，电能在一次能源消费中的占比持续增</w:t>
      </w:r>
      <w:r>
        <w:rPr>
          <w:spacing w:val="-25"/>
        </w:rPr>
        <w:t> </w:t>
      </w:r>
      <w:r>
        <w:rPr>
          <w:spacing w:val="-25"/>
        </w:rPr>
      </w:r>
      <w:r>
        <w:rPr>
          <w:spacing w:val="-2"/>
        </w:rPr>
        <w:t>加，而电动汽车充电装置、与用户侧分布式发电结合的储能设施等新型负荷应用越来越广泛，储</w:t>
      </w:r>
      <w:r>
        <w:rPr>
          <w:spacing w:val="-25"/>
        </w:rPr>
        <w:t> </w:t>
      </w:r>
      <w:r>
        <w:rPr>
          <w:spacing w:val="-25"/>
        </w:rPr>
      </w:r>
      <w:r>
        <w:rPr>
          <w:spacing w:val="-2"/>
        </w:rPr>
        <w:t>能系统作为电力能源系统中最重要的灵活性资源正在引起普遍的关注。特高压的建设会消除西部</w:t>
      </w:r>
      <w:r>
        <w:rPr>
          <w:spacing w:val="-25"/>
        </w:rPr>
        <w:t> </w:t>
      </w:r>
      <w:r>
        <w:rPr>
          <w:spacing w:val="-25"/>
        </w:rPr>
      </w:r>
      <w:r>
        <w:rPr>
          <w:spacing w:val="-2"/>
        </w:rPr>
        <w:t>新能源资源利用开发的主要瓶颈，同时也会带来区域性配电网建设新的机遇。最近，根据国网最</w:t>
      </w:r>
      <w:r>
        <w:rPr>
          <w:spacing w:val="-25"/>
        </w:rPr>
        <w:t> </w:t>
      </w:r>
      <w:r>
        <w:rPr>
          <w:spacing w:val="-25"/>
        </w:rPr>
      </w:r>
      <w:r>
        <w:rPr/>
        <w:t>新的</w:t>
      </w:r>
      <w:r>
        <w:rPr>
          <w:spacing w:val="-55"/>
        </w:rPr>
        <w:t> </w:t>
      </w:r>
      <w:r>
        <w:rPr>
          <w:rFonts w:ascii="宋体" w:hAnsi="宋体" w:cs="宋体" w:eastAsia="宋体" w:hint="default"/>
        </w:rPr>
        <w:t>2020</w:t>
      </w:r>
      <w:r>
        <w:rPr>
          <w:rFonts w:ascii="宋体" w:hAnsi="宋体" w:cs="宋体" w:eastAsia="宋体" w:hint="default"/>
          <w:spacing w:val="-57"/>
        </w:rPr>
        <w:t> </w:t>
      </w:r>
      <w:r>
        <w:rPr/>
        <w:t>年度重点工作任务中“五交两直”特高压工程核准批复节奏估算其动态投资金额约</w:t>
      </w:r>
    </w:p>
    <w:p>
      <w:pPr>
        <w:pStyle w:val="BodyText"/>
        <w:spacing w:line="273" w:lineRule="auto" w:before="7"/>
        <w:ind w:right="0"/>
        <w:jc w:val="left"/>
        <w:rPr>
          <w:rFonts w:ascii="宋体" w:hAnsi="宋体" w:cs="宋体" w:eastAsia="宋体" w:hint="default"/>
        </w:rPr>
      </w:pPr>
      <w:r>
        <w:rPr>
          <w:rFonts w:ascii="宋体" w:hAnsi="宋体" w:cs="宋体" w:eastAsia="宋体" w:hint="default"/>
        </w:rPr>
        <w:t>1100</w:t>
      </w:r>
      <w:r>
        <w:rPr>
          <w:rFonts w:ascii="宋体" w:hAnsi="宋体" w:cs="宋体" w:eastAsia="宋体" w:hint="default"/>
          <w:spacing w:val="-10"/>
        </w:rPr>
        <w:t> </w:t>
      </w:r>
      <w:r>
        <w:rPr/>
        <w:t>亿元。在海外，亚非拉国家正在大力推进减少无电人口，增强输配电网络，部署智能电表；</w:t>
      </w:r>
      <w:r>
        <w:rPr>
          <w:spacing w:val="-94"/>
        </w:rPr>
        <w:t> </w:t>
      </w:r>
      <w:r>
        <w:rPr>
          <w:spacing w:val="-94"/>
        </w:rPr>
      </w:r>
      <w:r>
        <w:rPr/>
        <w:t>在欧美发达国家，应对能源生产消费模式结构性变化的电网的数字化转型正如火如荼，以电力物</w:t>
      </w:r>
      <w:r>
        <w:rPr>
          <w:w w:val="100"/>
        </w:rPr>
        <w:t> </w:t>
      </w:r>
      <w:r>
        <w:rPr/>
        <w:t>联网概念进行的新一代智能电表及电网边缘计算终端的部署成为特点之一。</w:t>
      </w:r>
      <w:r>
        <w:rPr>
          <w:rFonts w:ascii="宋体" w:hAnsi="宋体" w:cs="宋体" w:eastAsia="宋体" w:hint="default"/>
        </w:rPr>
        <w:t> </w:t>
      </w:r>
    </w:p>
    <w:p>
      <w:pPr>
        <w:pStyle w:val="BodyText"/>
        <w:spacing w:line="240" w:lineRule="auto" w:before="7"/>
        <w:ind w:left="638" w:right="0"/>
        <w:jc w:val="left"/>
      </w:pPr>
      <w:r>
        <w:rPr>
          <w:w w:val="100"/>
        </w:rPr>
        <w:t>国网</w:t>
      </w:r>
      <w:r>
        <w:rPr>
          <w:spacing w:val="-3"/>
          <w:w w:val="100"/>
        </w:rPr>
        <w:t>公</w:t>
      </w:r>
      <w:r>
        <w:rPr>
          <w:w w:val="100"/>
        </w:rPr>
        <w:t>司</w:t>
      </w:r>
      <w:r>
        <w:rPr>
          <w:spacing w:val="-53"/>
        </w:rPr>
        <w:t> </w:t>
      </w:r>
      <w:r>
        <w:rPr>
          <w:rFonts w:ascii="宋体" w:hAnsi="宋体" w:cs="宋体" w:eastAsia="宋体" w:hint="default"/>
          <w:spacing w:val="-3"/>
          <w:w w:val="100"/>
        </w:rPr>
        <w:t>2</w:t>
      </w:r>
      <w:r>
        <w:rPr>
          <w:rFonts w:ascii="宋体" w:hAnsi="宋体" w:cs="宋体" w:eastAsia="宋体" w:hint="default"/>
          <w:w w:val="100"/>
        </w:rPr>
        <w:t>020</w:t>
      </w:r>
      <w:r>
        <w:rPr>
          <w:rFonts w:ascii="宋体" w:hAnsi="宋体" w:cs="宋体" w:eastAsia="宋体" w:hint="default"/>
          <w:spacing w:val="-55"/>
        </w:rPr>
        <w:t> </w:t>
      </w:r>
      <w:r>
        <w:rPr>
          <w:w w:val="100"/>
        </w:rPr>
        <w:t>年</w:t>
      </w:r>
      <w:r>
        <w:rPr>
          <w:spacing w:val="-3"/>
          <w:w w:val="100"/>
        </w:rPr>
        <w:t>重</w:t>
      </w:r>
      <w:r>
        <w:rPr>
          <w:w w:val="100"/>
        </w:rPr>
        <w:t>点</w:t>
      </w:r>
      <w:r>
        <w:rPr>
          <w:spacing w:val="-3"/>
          <w:w w:val="100"/>
        </w:rPr>
        <w:t>工作</w:t>
      </w:r>
      <w:r>
        <w:rPr>
          <w:w w:val="100"/>
        </w:rPr>
        <w:t>任务</w:t>
      </w:r>
      <w:r>
        <w:rPr>
          <w:spacing w:val="-3"/>
          <w:w w:val="100"/>
        </w:rPr>
        <w:t>中</w:t>
      </w:r>
      <w:r>
        <w:rPr>
          <w:w w:val="100"/>
        </w:rPr>
        <w:t>明</w:t>
      </w:r>
      <w:r>
        <w:rPr>
          <w:spacing w:val="-3"/>
          <w:w w:val="100"/>
        </w:rPr>
        <w:t>确</w:t>
      </w:r>
      <w:r>
        <w:rPr>
          <w:w w:val="100"/>
        </w:rPr>
        <w:t>提</w:t>
      </w:r>
      <w:r>
        <w:rPr>
          <w:spacing w:val="-3"/>
          <w:w w:val="100"/>
        </w:rPr>
        <w:t>出</w:t>
      </w:r>
      <w:r>
        <w:rPr>
          <w:w w:val="100"/>
        </w:rPr>
        <w:t>要</w:t>
      </w:r>
      <w:r>
        <w:rPr>
          <w:spacing w:val="-3"/>
          <w:w w:val="100"/>
        </w:rPr>
        <w:t>全</w:t>
      </w:r>
      <w:r>
        <w:rPr>
          <w:w w:val="100"/>
        </w:rPr>
        <w:t>力</w:t>
      </w:r>
      <w:r>
        <w:rPr>
          <w:spacing w:val="-3"/>
          <w:w w:val="100"/>
        </w:rPr>
        <w:t>推</w:t>
      </w:r>
      <w:r>
        <w:rPr>
          <w:w w:val="100"/>
        </w:rPr>
        <w:t>进电</w:t>
      </w:r>
      <w:r>
        <w:rPr>
          <w:spacing w:val="-3"/>
          <w:w w:val="100"/>
        </w:rPr>
        <w:t>力</w:t>
      </w:r>
      <w:r>
        <w:rPr>
          <w:w w:val="100"/>
        </w:rPr>
        <w:t>物</w:t>
      </w:r>
      <w:r>
        <w:rPr>
          <w:spacing w:val="-3"/>
          <w:w w:val="100"/>
        </w:rPr>
        <w:t>联</w:t>
      </w:r>
      <w:r>
        <w:rPr>
          <w:w w:val="100"/>
        </w:rPr>
        <w:t>网</w:t>
      </w:r>
      <w:r>
        <w:rPr>
          <w:spacing w:val="-3"/>
          <w:w w:val="100"/>
        </w:rPr>
        <w:t>高</w:t>
      </w:r>
      <w:r>
        <w:rPr>
          <w:w w:val="100"/>
        </w:rPr>
        <w:t>质</w:t>
      </w:r>
      <w:r>
        <w:rPr>
          <w:spacing w:val="-3"/>
          <w:w w:val="100"/>
        </w:rPr>
        <w:t>量</w:t>
      </w:r>
      <w:r>
        <w:rPr>
          <w:w w:val="100"/>
        </w:rPr>
        <w:t>发</w:t>
      </w:r>
      <w:r>
        <w:rPr>
          <w:spacing w:val="-3"/>
          <w:w w:val="100"/>
        </w:rPr>
        <w:t>展</w:t>
      </w:r>
      <w:r>
        <w:rPr>
          <w:spacing w:val="-94"/>
          <w:w w:val="100"/>
        </w:rPr>
        <w:t>，</w:t>
      </w:r>
      <w:r>
        <w:rPr>
          <w:w w:val="100"/>
        </w:rPr>
        <w:t>做好</w:t>
      </w:r>
      <w:r>
        <w:rPr>
          <w:spacing w:val="-3"/>
          <w:w w:val="100"/>
        </w:rPr>
        <w:t>营</w:t>
      </w:r>
      <w:r>
        <w:rPr>
          <w:w w:val="100"/>
        </w:rPr>
        <w:t>配</w:t>
      </w:r>
      <w:r>
        <w:rPr>
          <w:spacing w:val="-3"/>
          <w:w w:val="100"/>
        </w:rPr>
        <w:t>贯</w:t>
      </w:r>
      <w:r>
        <w:rPr>
          <w:w w:val="100"/>
        </w:rPr>
        <w:t>通</w:t>
      </w:r>
    </w:p>
    <w:p>
      <w:pPr>
        <w:pStyle w:val="BodyText"/>
        <w:spacing w:line="273" w:lineRule="auto" w:before="37"/>
        <w:ind w:right="102"/>
        <w:jc w:val="both"/>
      </w:pPr>
      <w:r>
        <w:rPr>
          <w:spacing w:val="-4"/>
        </w:rPr>
        <w:t>优化提升，挖掘智能电表非计量功能，提升聚焦能源互联网产业链。国网公司营销部在</w:t>
      </w:r>
      <w:r>
        <w:rPr>
          <w:spacing w:val="-40"/>
        </w:rPr>
        <w:t> </w:t>
      </w:r>
      <w:r>
        <w:rPr>
          <w:rFonts w:ascii="宋体" w:hAnsi="宋体" w:cs="宋体" w:eastAsia="宋体" w:hint="default"/>
        </w:rPr>
        <w:t>2020</w:t>
      </w:r>
      <w:r>
        <w:rPr>
          <w:rFonts w:ascii="宋体" w:hAnsi="宋体" w:cs="宋体" w:eastAsia="宋体" w:hint="default"/>
          <w:spacing w:val="-42"/>
        </w:rPr>
        <w:t> </w:t>
      </w:r>
      <w:r>
        <w:rPr>
          <w:spacing w:val="-3"/>
        </w:rPr>
        <w:t>年重</w:t>
      </w:r>
      <w:r>
        <w:rPr>
          <w:spacing w:val="-76"/>
        </w:rPr>
        <w:t> </w:t>
      </w:r>
      <w:r>
        <w:rPr>
          <w:spacing w:val="-6"/>
          <w:w w:val="100"/>
        </w:rPr>
        <w:t>点工作中也明确要求要推动营销技术创新，加快研制新一代智能电能表，满足电力现货交易要求，</w:t>
      </w:r>
      <w:r>
        <w:rPr>
          <w:w w:val="100"/>
        </w:rPr>
        <w:t> </w:t>
      </w:r>
      <w:r>
        <w:rPr/>
        <w:t>具备非介入式负荷量测和智慧用能物联功能，同时夯实台区精益化管理，强化台区线损管理。国</w:t>
      </w:r>
      <w:r>
        <w:rPr>
          <w:w w:val="100"/>
        </w:rPr>
        <w:t> </w:t>
      </w:r>
      <w:r>
        <w:rPr>
          <w:spacing w:val="-5"/>
          <w:w w:val="100"/>
        </w:rPr>
        <w:t>网公司的用电信息采集系统基本上实现了用户全覆盖，目前系统总共管理约有</w:t>
      </w:r>
      <w:r>
        <w:rPr>
          <w:w w:val="100"/>
        </w:rPr>
        <w:t> </w:t>
      </w:r>
      <w:r>
        <w:rPr>
          <w:rFonts w:ascii="宋体" w:hAnsi="宋体" w:cs="宋体" w:eastAsia="宋体" w:hint="default"/>
          <w:w w:val="100"/>
        </w:rPr>
        <w:t>4.8</w:t>
      </w:r>
      <w:r>
        <w:rPr>
          <w:rFonts w:ascii="宋体" w:hAnsi="宋体" w:cs="宋体" w:eastAsia="宋体" w:hint="default"/>
          <w:spacing w:val="-72"/>
          <w:w w:val="100"/>
        </w:rPr>
        <w:t> </w:t>
      </w:r>
      <w:r>
        <w:rPr>
          <w:spacing w:val="-2"/>
          <w:w w:val="100"/>
        </w:rPr>
        <w:t>亿台智能电表，</w:t>
      </w:r>
    </w:p>
    <w:p>
      <w:pPr>
        <w:pStyle w:val="BodyText"/>
        <w:spacing w:line="273" w:lineRule="auto" w:before="7"/>
        <w:ind w:right="207"/>
        <w:jc w:val="both"/>
        <w:rPr>
          <w:rFonts w:ascii="宋体" w:hAnsi="宋体" w:cs="宋体" w:eastAsia="宋体" w:hint="default"/>
        </w:rPr>
      </w:pPr>
      <w:r>
        <w:rPr>
          <w:spacing w:val="-5"/>
          <w:w w:val="100"/>
        </w:rPr>
        <w:t>考虑到早期安装的智能电表已经到了强制检定周期，同时由于早期</w:t>
      </w:r>
      <w:r>
        <w:rPr>
          <w:spacing w:val="-45"/>
          <w:w w:val="100"/>
        </w:rPr>
        <w:t> </w:t>
      </w:r>
      <w:r>
        <w:rPr>
          <w:rFonts w:ascii="宋体" w:hAnsi="宋体" w:cs="宋体" w:eastAsia="宋体" w:hint="default"/>
          <w:spacing w:val="-2"/>
          <w:w w:val="100"/>
        </w:rPr>
        <w:t>09</w:t>
      </w:r>
      <w:r>
        <w:rPr>
          <w:rFonts w:ascii="宋体" w:hAnsi="宋体" w:cs="宋体" w:eastAsia="宋体" w:hint="default"/>
          <w:spacing w:val="-45"/>
          <w:w w:val="100"/>
        </w:rPr>
        <w:t> </w:t>
      </w:r>
      <w:r>
        <w:rPr>
          <w:spacing w:val="-2"/>
          <w:w w:val="100"/>
        </w:rPr>
        <w:t>版技术标准的智能电表及采</w:t>
      </w:r>
      <w:r>
        <w:rPr>
          <w:spacing w:val="-102"/>
          <w:w w:val="100"/>
        </w:rPr>
        <w:t> </w:t>
      </w:r>
      <w:r>
        <w:rPr>
          <w:spacing w:val="-102"/>
          <w:w w:val="100"/>
        </w:rPr>
      </w:r>
      <w:r>
        <w:rPr/>
        <w:t>集终端急需升级，并且新一代按照电力物联网理念设计的“硬件平台化，功能</w:t>
      </w:r>
      <w:r>
        <w:rPr>
          <w:spacing w:val="-54"/>
        </w:rPr>
        <w:t> </w:t>
      </w:r>
      <w:r>
        <w:rPr>
          <w:rFonts w:ascii="宋体" w:hAnsi="宋体" w:cs="宋体" w:eastAsia="宋体" w:hint="default"/>
        </w:rPr>
        <w:t>APP</w:t>
      </w:r>
      <w:r>
        <w:rPr>
          <w:rFonts w:ascii="宋体" w:hAnsi="宋体" w:cs="宋体" w:eastAsia="宋体" w:hint="default"/>
          <w:spacing w:val="-55"/>
        </w:rPr>
        <w:t> </w:t>
      </w:r>
      <w:r>
        <w:rPr/>
        <w:t>化”的功能可</w:t>
      </w:r>
      <w:r>
        <w:rPr>
          <w:w w:val="100"/>
        </w:rPr>
        <w:t> </w:t>
      </w:r>
      <w:r>
        <w:rPr>
          <w:spacing w:val="-3"/>
        </w:rPr>
        <w:t>灵活扩展的智能电表和智能终端即将进入部署，可以预测市场需求将持续增加。国网公司在 </w:t>
      </w:r>
      <w:r>
        <w:rPr>
          <w:rFonts w:ascii="宋体" w:hAnsi="宋体" w:cs="宋体" w:eastAsia="宋体" w:hint="default"/>
        </w:rPr>
        <w:t>2020</w:t>
      </w:r>
      <w:r>
        <w:rPr>
          <w:rFonts w:ascii="宋体" w:hAnsi="宋体" w:cs="宋体" w:eastAsia="宋体" w:hint="default"/>
          <w:spacing w:val="-83"/>
        </w:rPr>
        <w:t> </w:t>
      </w:r>
      <w:r>
        <w:rPr>
          <w:rFonts w:ascii="宋体" w:hAnsi="宋体" w:cs="宋体" w:eastAsia="宋体" w:hint="default"/>
          <w:spacing w:val="-83"/>
        </w:rPr>
      </w:r>
      <w:r>
        <w:rPr>
          <w:spacing w:val="-2"/>
        </w:rPr>
        <w:t>年重点工作任务中，明确提出要加强配电网建设改造，其中要加强中心城市和城市群电网建设提</w:t>
      </w:r>
      <w:r>
        <w:rPr>
          <w:spacing w:val="-25"/>
        </w:rPr>
        <w:t> </w:t>
      </w:r>
      <w:r>
        <w:rPr>
          <w:spacing w:val="-25"/>
        </w:rPr>
      </w:r>
      <w:r>
        <w:rPr>
          <w:spacing w:val="-8"/>
          <w:w w:val="100"/>
        </w:rPr>
        <w:t>高综合承载能力。国网设备部在</w:t>
      </w:r>
      <w:r>
        <w:rPr>
          <w:spacing w:val="-45"/>
          <w:w w:val="100"/>
        </w:rPr>
        <w:t> </w:t>
      </w:r>
      <w:r>
        <w:rPr>
          <w:rFonts w:ascii="宋体" w:hAnsi="宋体" w:cs="宋体" w:eastAsia="宋体" w:hint="default"/>
          <w:spacing w:val="-1"/>
          <w:w w:val="100"/>
        </w:rPr>
        <w:t>2020</w:t>
      </w:r>
      <w:r>
        <w:rPr>
          <w:rFonts w:ascii="宋体" w:hAnsi="宋体" w:cs="宋体" w:eastAsia="宋体" w:hint="default"/>
          <w:spacing w:val="-48"/>
          <w:w w:val="100"/>
        </w:rPr>
        <w:t> </w:t>
      </w:r>
      <w:r>
        <w:rPr>
          <w:spacing w:val="-2"/>
          <w:w w:val="100"/>
        </w:rPr>
        <w:t>年设备管理重点工作中要求年内实现各网省配电自动化线路</w:t>
      </w:r>
      <w:r>
        <w:rPr>
          <w:spacing w:val="-103"/>
          <w:w w:val="100"/>
        </w:rPr>
        <w:t> </w:t>
      </w:r>
      <w:r>
        <w:rPr>
          <w:spacing w:val="-103"/>
          <w:w w:val="100"/>
        </w:rPr>
      </w:r>
      <w:r>
        <w:rPr/>
        <w:t>覆盖率</w:t>
      </w:r>
      <w:r>
        <w:rPr>
          <w:spacing w:val="-57"/>
        </w:rPr>
        <w:t> </w:t>
      </w:r>
      <w:r>
        <w:rPr>
          <w:rFonts w:ascii="宋体" w:hAnsi="宋体" w:cs="宋体" w:eastAsia="宋体" w:hint="default"/>
        </w:rPr>
        <w:t>90%</w:t>
      </w:r>
      <w:r>
        <w:rPr/>
        <w:t>的目标，城市、农村配网供电可靠率分别提升至</w:t>
      </w:r>
      <w:r>
        <w:rPr>
          <w:spacing w:val="-56"/>
        </w:rPr>
        <w:t> </w:t>
      </w:r>
      <w:r>
        <w:rPr>
          <w:rFonts w:ascii="宋体" w:hAnsi="宋体" w:cs="宋体" w:eastAsia="宋体" w:hint="default"/>
        </w:rPr>
        <w:t>99.967%</w:t>
      </w:r>
      <w:r>
        <w:rPr/>
        <w:t>、</w:t>
      </w:r>
      <w:r>
        <w:rPr>
          <w:rFonts w:ascii="宋体" w:hAnsi="宋体" w:cs="宋体" w:eastAsia="宋体" w:hint="default"/>
        </w:rPr>
        <w:t>99.838%</w:t>
      </w:r>
      <w:r>
        <w:rPr/>
        <w:t>。实现营配贯通，</w:t>
      </w:r>
      <w:r>
        <w:rPr>
          <w:w w:val="100"/>
        </w:rPr>
        <w:t> </w:t>
      </w:r>
      <w:r>
        <w:rPr>
          <w:spacing w:val="-2"/>
        </w:rPr>
        <w:t>实现数据共享从而显著提升电网管理精益化的低压台区融合智能终端将会是配电物联网的重要支</w:t>
      </w:r>
      <w:r>
        <w:rPr>
          <w:spacing w:val="-25"/>
        </w:rPr>
        <w:t> </w:t>
      </w:r>
      <w:r>
        <w:rPr>
          <w:spacing w:val="-25"/>
        </w:rPr>
      </w:r>
      <w:r>
        <w:rPr/>
        <w:t>撑，同时新一代配电自动化终端和一二次融合智能配电设备的需求将会有显著的增长。</w:t>
      </w:r>
      <w:r>
        <w:rPr>
          <w:rFonts w:ascii="宋体" w:hAnsi="宋体" w:cs="宋体" w:eastAsia="宋体" w:hint="default"/>
        </w:rPr>
        <w:t> </w:t>
      </w:r>
    </w:p>
    <w:p>
      <w:pPr>
        <w:pStyle w:val="BodyText"/>
        <w:spacing w:line="273" w:lineRule="auto" w:before="7"/>
        <w:ind w:right="212" w:firstLine="419"/>
        <w:jc w:val="both"/>
        <w:rPr>
          <w:rFonts w:ascii="宋体" w:hAnsi="宋体" w:cs="宋体" w:eastAsia="宋体" w:hint="default"/>
        </w:rPr>
      </w:pPr>
      <w:r>
        <w:rPr>
          <w:spacing w:val="-2"/>
        </w:rPr>
        <w:t>在电网公司的数字化转型大潮中，南方电网公司积极抓住历史机遇，明确提出“数字南网”</w:t>
      </w:r>
      <w:r>
        <w:rPr>
          <w:w w:val="100"/>
        </w:rPr>
        <w:t> </w:t>
      </w:r>
      <w:r>
        <w:rPr>
          <w:spacing w:val="-2"/>
        </w:rPr>
        <w:t>建设要求，将数字化作为公司发展战略路径之一，加快部署数字化建设和转型工作。南方电网公</w:t>
      </w:r>
      <w:r>
        <w:rPr>
          <w:spacing w:val="-25"/>
        </w:rPr>
        <w:t> </w:t>
      </w:r>
      <w:r>
        <w:rPr>
          <w:spacing w:val="-25"/>
        </w:rPr>
      </w:r>
      <w:r>
        <w:rPr>
          <w:spacing w:val="-2"/>
        </w:rPr>
        <w:t>司提出引领数字化转型的一个重要标志是基于云平台的互联网、人工智能、大数据、物联网等新</w:t>
      </w:r>
      <w:r>
        <w:rPr>
          <w:spacing w:val="-25"/>
        </w:rPr>
        <w:t> </w:t>
      </w:r>
      <w:r>
        <w:rPr>
          <w:spacing w:val="-25"/>
        </w:rPr>
      </w:r>
      <w:r>
        <w:rPr>
          <w:spacing w:val="-2"/>
        </w:rPr>
        <w:t>技术的深度应用。南方电网公司在《公司数字化转型和数字南网建设方案》提出，要建设公司新</w:t>
      </w:r>
      <w:r>
        <w:rPr>
          <w:spacing w:val="-25"/>
        </w:rPr>
        <w:t> </w:t>
      </w:r>
      <w:r>
        <w:rPr>
          <w:spacing w:val="-25"/>
        </w:rPr>
      </w:r>
      <w:r>
        <w:rPr>
          <w:spacing w:val="-2"/>
        </w:rPr>
        <w:t>一代数字化基础平台，即建设统一的南网云平台、数字电网和全域物联网，并且提出要和国家工</w:t>
      </w:r>
      <w:r>
        <w:rPr>
          <w:spacing w:val="-25"/>
        </w:rPr>
        <w:t> </w:t>
      </w:r>
      <w:r>
        <w:rPr>
          <w:spacing w:val="-25"/>
        </w:rPr>
      </w:r>
      <w:r>
        <w:rPr>
          <w:spacing w:val="-8"/>
          <w:w w:val="100"/>
        </w:rPr>
        <w:t>业互联网对接，成为国家工业互联网的重要组成部分。在数字南网战略的驱动下，南网公司自</w:t>
      </w:r>
      <w:r>
        <w:rPr>
          <w:spacing w:val="-41"/>
          <w:w w:val="100"/>
        </w:rPr>
        <w:t> </w:t>
      </w:r>
      <w:r>
        <w:rPr>
          <w:rFonts w:ascii="宋体" w:hAnsi="宋体" w:cs="宋体" w:eastAsia="宋体" w:hint="default"/>
          <w:spacing w:val="-1"/>
          <w:w w:val="100"/>
        </w:rPr>
        <w:t>2019</w:t>
      </w:r>
      <w:r>
        <w:rPr>
          <w:rFonts w:ascii="宋体" w:hAnsi="宋体" w:cs="宋体" w:eastAsia="宋体" w:hint="default"/>
          <w:spacing w:val="-101"/>
          <w:w w:val="100"/>
        </w:rPr>
        <w:t> </w:t>
      </w:r>
      <w:r>
        <w:rPr>
          <w:rFonts w:ascii="宋体" w:hAnsi="宋体" w:cs="宋体" w:eastAsia="宋体" w:hint="default"/>
          <w:spacing w:val="-101"/>
          <w:w w:val="100"/>
        </w:rPr>
      </w:r>
      <w:r>
        <w:rPr>
          <w:spacing w:val="-2"/>
        </w:rPr>
        <w:t>年开始就依托于电科院及数字南网研究院开始制定新一代物联网化智能电表和智能终端，目前新</w:t>
      </w:r>
      <w:r>
        <w:rPr>
          <w:spacing w:val="-25"/>
        </w:rPr>
        <w:t> </w:t>
      </w:r>
      <w:r>
        <w:rPr>
          <w:spacing w:val="-25"/>
        </w:rPr>
      </w:r>
      <w:r>
        <w:rPr>
          <w:spacing w:val="-2"/>
        </w:rPr>
        <w:t>一代智能电表样机已经开始小规模试点运行，同时智能配电成套设备、一二次融合智能配电设备</w:t>
      </w:r>
      <w:r>
        <w:rPr>
          <w:spacing w:val="-25"/>
        </w:rPr>
        <w:t> </w:t>
      </w:r>
      <w:r>
        <w:rPr>
          <w:spacing w:val="-25"/>
        </w:rPr>
      </w:r>
      <w:r>
        <w:rPr/>
        <w:t>以及新一代配电自动化终端均开始试点试挂或者批量部署。</w:t>
      </w:r>
      <w:r>
        <w:rPr>
          <w:rFonts w:ascii="宋体" w:hAnsi="宋体" w:cs="宋体" w:eastAsia="宋体" w:hint="default"/>
        </w:rPr>
        <w:t> </w:t>
      </w:r>
    </w:p>
    <w:p>
      <w:pPr>
        <w:pStyle w:val="BodyText"/>
        <w:spacing w:line="273" w:lineRule="auto" w:before="7"/>
        <w:ind w:right="217" w:firstLine="419"/>
        <w:jc w:val="both"/>
      </w:pPr>
      <w:r>
        <w:rPr>
          <w:spacing w:val="-2"/>
        </w:rPr>
        <w:t>因此，从国内两大电网公司的战略规划来看，构建能源互联网，依托于电力物联网和大数据</w:t>
      </w:r>
      <w:r>
        <w:rPr>
          <w:w w:val="100"/>
        </w:rPr>
        <w:t> </w:t>
      </w:r>
      <w:r>
        <w:rPr>
          <w:spacing w:val="-2"/>
        </w:rPr>
        <w:t>实现数字化转型成为了殊途同归的战略方向。国网公司最近提出了最新的公司战略目标：“建设</w:t>
      </w:r>
    </w:p>
    <w:p>
      <w:pPr>
        <w:spacing w:after="0" w:line="273" w:lineRule="auto"/>
        <w:jc w:val="both"/>
        <w:sectPr>
          <w:headerReference w:type="default" r:id="rId29"/>
          <w:footerReference w:type="default" r:id="rId30"/>
          <w:pgSz w:w="11910" w:h="16840"/>
          <w:pgMar w:header="747" w:footer="974" w:top="1140" w:bottom="1160" w:left="1580" w:right="1060"/>
          <w:pgNumType w:start="38"/>
        </w:sectPr>
      </w:pPr>
    </w:p>
    <w:p>
      <w:pPr>
        <w:spacing w:line="240" w:lineRule="auto" w:before="9"/>
        <w:rPr>
          <w:rFonts w:ascii="宋体" w:hAnsi="宋体" w:cs="宋体" w:eastAsia="宋体" w:hint="default"/>
          <w:sz w:val="25"/>
          <w:szCs w:val="25"/>
        </w:rPr>
      </w:pPr>
    </w:p>
    <w:p>
      <w:pPr>
        <w:pStyle w:val="BodyText"/>
        <w:spacing w:line="273" w:lineRule="auto" w:before="36"/>
        <w:ind w:right="207"/>
        <w:jc w:val="both"/>
        <w:rPr>
          <w:rFonts w:ascii="宋体" w:hAnsi="宋体" w:cs="宋体" w:eastAsia="宋体" w:hint="default"/>
        </w:rPr>
      </w:pPr>
      <w:r>
        <w:rPr/>
        <w:t>具有中国特色国际领先的能源互联网企业”，计划在</w:t>
      </w:r>
      <w:r>
        <w:rPr>
          <w:spacing w:val="-53"/>
        </w:rPr>
        <w:t> </w:t>
      </w:r>
      <w:r>
        <w:rPr>
          <w:rFonts w:ascii="宋体" w:hAnsi="宋体" w:cs="宋体" w:eastAsia="宋体" w:hint="default"/>
        </w:rPr>
        <w:t>2020</w:t>
      </w:r>
      <w:r>
        <w:rPr>
          <w:rFonts w:ascii="宋体" w:hAnsi="宋体" w:cs="宋体" w:eastAsia="宋体" w:hint="default"/>
          <w:spacing w:val="-54"/>
        </w:rPr>
        <w:t> </w:t>
      </w:r>
      <w:r>
        <w:rPr/>
        <w:t>年至</w:t>
      </w:r>
      <w:r>
        <w:rPr>
          <w:spacing w:val="-54"/>
        </w:rPr>
        <w:t> </w:t>
      </w:r>
      <w:r>
        <w:rPr>
          <w:rFonts w:ascii="宋体" w:hAnsi="宋体" w:cs="宋体" w:eastAsia="宋体" w:hint="default"/>
        </w:rPr>
        <w:t>2025</w:t>
      </w:r>
      <w:r>
        <w:rPr>
          <w:rFonts w:ascii="宋体" w:hAnsi="宋体" w:cs="宋体" w:eastAsia="宋体" w:hint="default"/>
          <w:spacing w:val="-54"/>
        </w:rPr>
        <w:t> </w:t>
      </w:r>
      <w:r>
        <w:rPr/>
        <w:t>年，基本建成具有中国特色</w:t>
      </w:r>
      <w:r>
        <w:rPr>
          <w:w w:val="100"/>
        </w:rPr>
        <w:t> </w:t>
      </w:r>
      <w:r>
        <w:rPr>
          <w:spacing w:val="-2"/>
        </w:rPr>
        <w:t>国际领先的能源互联网企业，公司部分领域、关键环节和主要指标达到国际领先，中国特色优势</w:t>
      </w:r>
      <w:r>
        <w:rPr>
          <w:spacing w:val="-25"/>
        </w:rPr>
        <w:t> </w:t>
      </w:r>
      <w:r>
        <w:rPr>
          <w:spacing w:val="-25"/>
        </w:rPr>
      </w:r>
      <w:r>
        <w:rPr>
          <w:spacing w:val="-2"/>
        </w:rPr>
        <w:t>鲜明，电网智能化数字化水平显著提升，能源互联网功能形态作用彰显。南网公司也明确提出，</w:t>
      </w:r>
      <w:r>
        <w:rPr>
          <w:spacing w:val="-25"/>
        </w:rPr>
        <w:t> </w:t>
      </w:r>
      <w:r>
        <w:rPr>
          <w:spacing w:val="-25"/>
        </w:rPr>
      </w:r>
      <w:r>
        <w:rPr>
          <w:rFonts w:ascii="宋体" w:hAnsi="宋体" w:cs="宋体" w:eastAsia="宋体" w:hint="default"/>
        </w:rPr>
        <w:t>2020 </w:t>
      </w:r>
      <w:r>
        <w:rPr>
          <w:spacing w:val="-3"/>
        </w:rPr>
        <w:t>年全面建成基于南网云的新一代数字化基础平台和广泛的互联网应用，基本具备支撑公司开</w:t>
      </w:r>
      <w:r>
        <w:rPr>
          <w:spacing w:val="-85"/>
        </w:rPr>
        <w:t> </w:t>
      </w:r>
      <w:r>
        <w:rPr>
          <w:spacing w:val="-85"/>
        </w:rPr>
      </w:r>
      <w:r>
        <w:rPr>
          <w:spacing w:val="-3"/>
        </w:rPr>
        <w:t>展智能电网运营、能源价值链整合和能源生态服务的能力，初步建成数字南网，</w:t>
      </w:r>
      <w:r>
        <w:rPr>
          <w:rFonts w:ascii="宋体" w:hAnsi="宋体" w:cs="宋体" w:eastAsia="宋体" w:hint="default"/>
          <w:spacing w:val="-3"/>
        </w:rPr>
        <w:t>2025 </w:t>
      </w:r>
      <w:r>
        <w:rPr/>
        <w:t>年基本实现</w:t>
      </w:r>
      <w:r>
        <w:rPr>
          <w:spacing w:val="-86"/>
        </w:rPr>
        <w:t> </w:t>
      </w:r>
      <w:r>
        <w:rPr>
          <w:spacing w:val="-86"/>
        </w:rPr>
      </w:r>
      <w:r>
        <w:rPr/>
        <w:t>数字南网。</w:t>
      </w:r>
      <w:r>
        <w:rPr>
          <w:rFonts w:ascii="宋体" w:hAnsi="宋体" w:cs="宋体" w:eastAsia="宋体" w:hint="default"/>
        </w:rPr>
        <w:t> </w:t>
      </w:r>
    </w:p>
    <w:p>
      <w:pPr>
        <w:pStyle w:val="BodyText"/>
        <w:spacing w:line="273" w:lineRule="auto" w:before="7"/>
        <w:ind w:right="104" w:firstLine="419"/>
        <w:jc w:val="left"/>
        <w:rPr>
          <w:rFonts w:ascii="宋体" w:hAnsi="宋体" w:cs="宋体" w:eastAsia="宋体" w:hint="default"/>
        </w:rPr>
      </w:pPr>
      <w:r>
        <w:rPr/>
        <w:t>在境外，智能电网的建设和大型电网公司的数字化转型也正在全球范围全面展开。法国输电</w:t>
      </w:r>
      <w:r>
        <w:rPr>
          <w:w w:val="100"/>
        </w:rPr>
        <w:t> </w:t>
      </w:r>
      <w:r>
        <w:rPr/>
        <w:t>网公司</w:t>
      </w:r>
      <w:r>
        <w:rPr>
          <w:spacing w:val="-55"/>
        </w:rPr>
        <w:t> </w:t>
      </w:r>
      <w:r>
        <w:rPr>
          <w:rFonts w:ascii="宋体" w:hAnsi="宋体" w:cs="宋体" w:eastAsia="宋体" w:hint="default"/>
        </w:rPr>
        <w:t>RTE</w:t>
      </w:r>
      <w:r>
        <w:rPr/>
        <w:t>、芬兰电网</w:t>
      </w:r>
      <w:r>
        <w:rPr>
          <w:spacing w:val="-54"/>
        </w:rPr>
        <w:t> </w:t>
      </w:r>
      <w:r>
        <w:rPr>
          <w:rFonts w:ascii="宋体" w:hAnsi="宋体" w:cs="宋体" w:eastAsia="宋体" w:hint="default"/>
        </w:rPr>
        <w:t>Fingrid</w:t>
      </w:r>
      <w:r>
        <w:rPr/>
        <w:t>、比利时输电系统运营商</w:t>
      </w:r>
      <w:r>
        <w:rPr>
          <w:spacing w:val="-55"/>
        </w:rPr>
        <w:t> </w:t>
      </w:r>
      <w:r>
        <w:rPr>
          <w:rFonts w:ascii="宋体" w:hAnsi="宋体" w:cs="宋体" w:eastAsia="宋体" w:hint="default"/>
        </w:rPr>
        <w:t>Elia</w:t>
      </w:r>
      <w:r>
        <w:rPr/>
        <w:t>、英国国家电网和挪威国家电网等</w:t>
      </w:r>
      <w:r>
        <w:rPr>
          <w:w w:val="100"/>
        </w:rPr>
        <w:t> </w:t>
      </w:r>
      <w:r>
        <w:rPr>
          <w:spacing w:val="-4"/>
        </w:rPr>
        <w:t>欧洲领先的输电系统运营商（</w:t>
      </w:r>
      <w:r>
        <w:rPr>
          <w:rFonts w:ascii="宋体" w:hAnsi="宋体" w:cs="宋体" w:eastAsia="宋体" w:hint="default"/>
          <w:spacing w:val="-4"/>
        </w:rPr>
        <w:t>TSO</w:t>
      </w:r>
      <w:r>
        <w:rPr>
          <w:spacing w:val="-4"/>
        </w:rPr>
        <w:t>）尝试使用数字技术来提高电网质量、降低电网维护成本，并在</w:t>
      </w:r>
      <w:r>
        <w:rPr>
          <w:spacing w:val="-29"/>
        </w:rPr>
        <w:t> </w:t>
      </w:r>
      <w:r>
        <w:rPr>
          <w:spacing w:val="-29"/>
        </w:rPr>
      </w:r>
      <w:r>
        <w:rPr>
          <w:spacing w:val="-3"/>
        </w:rPr>
        <w:t>电网运营商之间共享数据。沙特阿拉伯提出</w:t>
      </w:r>
      <w:r>
        <w:rPr>
          <w:spacing w:val="-39"/>
        </w:rPr>
        <w:t> </w:t>
      </w:r>
      <w:r>
        <w:rPr>
          <w:rFonts w:ascii="宋体" w:hAnsi="宋体" w:cs="宋体" w:eastAsia="宋体" w:hint="default"/>
        </w:rPr>
        <w:t>2030</w:t>
      </w:r>
      <w:r>
        <w:rPr>
          <w:rFonts w:ascii="宋体" w:hAnsi="宋体" w:cs="宋体" w:eastAsia="宋体" w:hint="default"/>
          <w:spacing w:val="-39"/>
        </w:rPr>
        <w:t> </w:t>
      </w:r>
      <w:r>
        <w:rPr>
          <w:spacing w:val="-5"/>
        </w:rPr>
        <w:t>年愿景计划，其中包含实现能源结构化转型，建</w:t>
      </w:r>
      <w:r>
        <w:rPr>
          <w:spacing w:val="-73"/>
        </w:rPr>
        <w:t> </w:t>
      </w:r>
      <w:r>
        <w:rPr>
          <w:spacing w:val="-73"/>
        </w:rPr>
      </w:r>
      <w:r>
        <w:rPr/>
        <w:t>设智能电网，提升能源利用效率。正是在该计划的驱动下沙特电力公司实施了所有电力用户的</w:t>
      </w:r>
      <w:r>
        <w:rPr>
          <w:w w:val="100"/>
        </w:rPr>
        <w:t> </w:t>
      </w:r>
      <w:r>
        <w:rPr>
          <w:rFonts w:ascii="宋体" w:hAnsi="宋体" w:cs="宋体" w:eastAsia="宋体" w:hint="default"/>
        </w:rPr>
        <w:t>1000</w:t>
      </w:r>
      <w:r>
        <w:rPr>
          <w:rFonts w:ascii="宋体" w:hAnsi="宋体" w:cs="宋体" w:eastAsia="宋体" w:hint="default"/>
          <w:spacing w:val="-56"/>
        </w:rPr>
        <w:t> </w:t>
      </w:r>
      <w:r>
        <w:rPr/>
        <w:t>万台智能电表及</w:t>
      </w:r>
      <w:r>
        <w:rPr>
          <w:spacing w:val="-54"/>
        </w:rPr>
        <w:t> </w:t>
      </w:r>
      <w:r>
        <w:rPr>
          <w:rFonts w:ascii="宋体" w:hAnsi="宋体" w:cs="宋体" w:eastAsia="宋体" w:hint="default"/>
        </w:rPr>
        <w:t>AMI</w:t>
      </w:r>
      <w:r>
        <w:rPr>
          <w:rFonts w:ascii="宋体" w:hAnsi="宋体" w:cs="宋体" w:eastAsia="宋体" w:hint="default"/>
          <w:spacing w:val="-56"/>
        </w:rPr>
        <w:t> </w:t>
      </w:r>
      <w:r>
        <w:rPr/>
        <w:t>系统的部署计划。在非洲尼日利亚，一个雄心勃勃的</w:t>
      </w:r>
      <w:r>
        <w:rPr>
          <w:spacing w:val="-53"/>
        </w:rPr>
        <w:t> </w:t>
      </w:r>
      <w:r>
        <w:rPr>
          <w:rFonts w:ascii="宋体" w:hAnsi="宋体" w:cs="宋体" w:eastAsia="宋体" w:hint="default"/>
        </w:rPr>
        <w:t>MAP</w:t>
      </w:r>
      <w:r>
        <w:rPr/>
        <w:t>（电表资产托</w:t>
      </w:r>
      <w:r>
        <w:rPr>
          <w:w w:val="100"/>
        </w:rPr>
        <w:t> </w:t>
      </w:r>
      <w:r>
        <w:rPr/>
        <w:t>管）的计划正在实施，尼日利亚主要的配售电公司将联合国内主要的电表生产商为全国电力用户</w:t>
      </w:r>
      <w:r>
        <w:rPr>
          <w:w w:val="100"/>
        </w:rPr>
        <w:t> </w:t>
      </w:r>
      <w:r>
        <w:rPr/>
        <w:t>部署安装智能预付费电表及</w:t>
      </w:r>
      <w:r>
        <w:rPr>
          <w:spacing w:val="-53"/>
        </w:rPr>
        <w:t> </w:t>
      </w:r>
      <w:r>
        <w:rPr>
          <w:rFonts w:ascii="宋体" w:hAnsi="宋体" w:cs="宋体" w:eastAsia="宋体" w:hint="default"/>
        </w:rPr>
        <w:t>AMI</w:t>
      </w:r>
      <w:r>
        <w:rPr>
          <w:rFonts w:ascii="宋体" w:hAnsi="宋体" w:cs="宋体" w:eastAsia="宋体" w:hint="default"/>
          <w:spacing w:val="-56"/>
        </w:rPr>
        <w:t> </w:t>
      </w:r>
      <w:r>
        <w:rPr/>
        <w:t>系统并由电表制造商负责智能电表系统的运行维护。在香港，中</w:t>
      </w:r>
      <w:r>
        <w:rPr>
          <w:w w:val="100"/>
        </w:rPr>
        <w:t> </w:t>
      </w:r>
      <w:r>
        <w:rPr>
          <w:spacing w:val="-3"/>
        </w:rPr>
        <w:t>华电力（</w:t>
      </w:r>
      <w:r>
        <w:rPr>
          <w:rFonts w:ascii="宋体" w:hAnsi="宋体" w:cs="宋体" w:eastAsia="宋体" w:hint="default"/>
          <w:spacing w:val="-3"/>
        </w:rPr>
        <w:t>CLP</w:t>
      </w:r>
      <w:r>
        <w:rPr>
          <w:spacing w:val="-3"/>
        </w:rPr>
        <w:t>）宣布了为期七年的</w:t>
      </w:r>
      <w:r>
        <w:rPr>
          <w:spacing w:val="-47"/>
        </w:rPr>
        <w:t> </w:t>
      </w:r>
      <w:r>
        <w:rPr>
          <w:rFonts w:ascii="宋体" w:hAnsi="宋体" w:cs="宋体" w:eastAsia="宋体" w:hint="default"/>
        </w:rPr>
        <w:t>250</w:t>
      </w:r>
      <w:r>
        <w:rPr>
          <w:rFonts w:ascii="宋体" w:hAnsi="宋体" w:cs="宋体" w:eastAsia="宋体" w:hint="default"/>
          <w:spacing w:val="-51"/>
        </w:rPr>
        <w:t> </w:t>
      </w:r>
      <w:r>
        <w:rPr/>
        <w:t>万台智能电表及</w:t>
      </w:r>
      <w:r>
        <w:rPr>
          <w:spacing w:val="-48"/>
        </w:rPr>
        <w:t> </w:t>
      </w:r>
      <w:r>
        <w:rPr>
          <w:rFonts w:ascii="宋体" w:hAnsi="宋体" w:cs="宋体" w:eastAsia="宋体" w:hint="default"/>
        </w:rPr>
        <w:t>AMI</w:t>
      </w:r>
      <w:r>
        <w:rPr>
          <w:rFonts w:ascii="宋体" w:hAnsi="宋体" w:cs="宋体" w:eastAsia="宋体" w:hint="default"/>
          <w:spacing w:val="-51"/>
        </w:rPr>
        <w:t> </w:t>
      </w:r>
      <w:r>
        <w:rPr>
          <w:spacing w:val="-3"/>
        </w:rPr>
        <w:t>系统的部署规划，</w:t>
      </w:r>
      <w:r>
        <w:rPr>
          <w:rFonts w:ascii="宋体" w:hAnsi="宋体" w:cs="宋体" w:eastAsia="宋体" w:hint="default"/>
          <w:spacing w:val="-3"/>
        </w:rPr>
        <w:t>CLP</w:t>
      </w:r>
      <w:r>
        <w:rPr>
          <w:rFonts w:ascii="宋体" w:hAnsi="宋体" w:cs="宋体" w:eastAsia="宋体" w:hint="default"/>
          <w:spacing w:val="-47"/>
        </w:rPr>
        <w:t> </w:t>
      </w:r>
      <w:r>
        <w:rPr/>
        <w:t>表示全面推行智</w:t>
      </w:r>
      <w:r>
        <w:rPr>
          <w:spacing w:val="-94"/>
        </w:rPr>
        <w:t> </w:t>
      </w:r>
      <w:r>
        <w:rPr>
          <w:spacing w:val="-94"/>
        </w:rPr>
      </w:r>
      <w:r>
        <w:rPr/>
        <w:t>能电表是打造香港智慧城市的一个重要组成部分，帮助客户提升能效，实现低碳生活。从以上全</w:t>
      </w:r>
      <w:r>
        <w:rPr>
          <w:w w:val="100"/>
        </w:rPr>
        <w:t> </w:t>
      </w:r>
      <w:r>
        <w:rPr/>
        <w:t>球智能电网行业的发展趋势我们可以看出，电网的数字化转型已经成了全球大型电网公司下一阶</w:t>
      </w:r>
      <w:r>
        <w:rPr>
          <w:w w:val="100"/>
        </w:rPr>
        <w:t> </w:t>
      </w:r>
      <w:r>
        <w:rPr/>
        <w:t>段的必经之路。在电网整体架构中，配用电领域又是和电力用户双向互动最为密切的部分，伴随</w:t>
      </w:r>
      <w:r>
        <w:rPr>
          <w:w w:val="100"/>
        </w:rPr>
        <w:t> </w:t>
      </w:r>
      <w:r>
        <w:rPr/>
        <w:t>着用户侧分布式发电、储能以及电动汽车的普及，该领域将成为电力物联网建设最重要的部分。</w:t>
      </w:r>
      <w:r>
        <w:rPr>
          <w:w w:val="100"/>
        </w:rPr>
        <w:t> </w:t>
      </w:r>
      <w:r>
        <w:rPr/>
        <w:t>新一代智能电表将成为用户侧智慧能源网关，而新一代配用电融合智能终端将成为电力物联网最</w:t>
      </w:r>
      <w:r>
        <w:rPr>
          <w:w w:val="100"/>
        </w:rPr>
        <w:t> </w:t>
      </w:r>
      <w:r>
        <w:rPr/>
        <w:t>重要的边缘计算平台。在接近用户的配用电侧产生的能源大数据是构建能源互联网的重要基础，</w:t>
      </w:r>
      <w:r>
        <w:rPr>
          <w:w w:val="100"/>
        </w:rPr>
        <w:t> </w:t>
      </w:r>
      <w:r>
        <w:rPr/>
        <w:t>在电力物联网场景下以新型智能终端为核心的智能配用电整体解决方案迎来了新一轮发展机遇。</w:t>
      </w:r>
      <w:r>
        <w:rPr>
          <w:rFonts w:ascii="宋体" w:hAnsi="宋体" w:cs="宋体" w:eastAsia="宋体" w:hint="default"/>
        </w:rPr>
        <w:t> </w:t>
      </w:r>
    </w:p>
    <w:p>
      <w:pPr>
        <w:pStyle w:val="Heading3"/>
        <w:spacing w:line="273" w:lineRule="auto" w:before="7"/>
        <w:ind w:left="640" w:right="7130"/>
        <w:jc w:val="left"/>
        <w:rPr>
          <w:rFonts w:ascii="宋体" w:hAnsi="宋体" w:cs="宋体" w:eastAsia="宋体" w:hint="default"/>
          <w:b w:val="0"/>
          <w:bCs w:val="0"/>
        </w:rPr>
      </w:pPr>
      <w:r>
        <w:rPr>
          <w:rFonts w:ascii="宋体" w:hAnsi="宋体" w:cs="宋体" w:eastAsia="宋体" w:hint="default"/>
          <w:w w:val="99"/>
        </w:rPr>
        <w:t> </w:t>
      </w:r>
      <w:r>
        <w:rPr>
          <w:rFonts w:ascii="宋体" w:hAnsi="宋体" w:cs="宋体" w:eastAsia="宋体" w:hint="default"/>
        </w:rPr>
        <w:t>2</w:t>
      </w:r>
      <w:r>
        <w:rPr/>
        <w:t>、新能源领域</w:t>
      </w:r>
      <w:r>
        <w:rPr>
          <w:rFonts w:ascii="宋体" w:hAnsi="宋体" w:cs="宋体" w:eastAsia="宋体" w:hint="default"/>
          <w:w w:val="99"/>
        </w:rPr>
        <w:t> </w:t>
      </w:r>
      <w:r>
        <w:rPr>
          <w:rFonts w:ascii="宋体" w:hAnsi="宋体" w:cs="宋体" w:eastAsia="宋体" w:hint="default"/>
          <w:b w:val="0"/>
          <w:bCs w:val="0"/>
        </w:rPr>
      </w:r>
    </w:p>
    <w:p>
      <w:pPr>
        <w:pStyle w:val="BodyText"/>
        <w:spacing w:line="273" w:lineRule="auto" w:before="7"/>
        <w:ind w:right="210" w:firstLine="419"/>
        <w:jc w:val="both"/>
        <w:rPr>
          <w:rFonts w:ascii="宋体" w:hAnsi="宋体" w:cs="宋体" w:eastAsia="宋体" w:hint="default"/>
        </w:rPr>
      </w:pPr>
      <w:r>
        <w:rPr>
          <w:spacing w:val="-2"/>
        </w:rPr>
        <w:t>在能源革命的背景下，光伏发电已成为各国当前及未来新能源发展的主要选择。据中国光伏</w:t>
      </w:r>
      <w:r>
        <w:rPr>
          <w:w w:val="100"/>
        </w:rPr>
        <w:t> </w:t>
      </w:r>
      <w:r>
        <w:rPr>
          <w:spacing w:val="-7"/>
          <w:w w:val="100"/>
        </w:rPr>
        <w:t>行业协会统计的数据显示，</w:t>
      </w:r>
      <w:r>
        <w:rPr>
          <w:rFonts w:ascii="宋体" w:hAnsi="宋体" w:cs="宋体" w:eastAsia="宋体" w:hint="default"/>
          <w:spacing w:val="-7"/>
          <w:w w:val="100"/>
        </w:rPr>
        <w:t>2019</w:t>
      </w:r>
      <w:r>
        <w:rPr>
          <w:rFonts w:ascii="宋体" w:hAnsi="宋体" w:cs="宋体" w:eastAsia="宋体" w:hint="default"/>
          <w:spacing w:val="-50"/>
          <w:w w:val="100"/>
        </w:rPr>
        <w:t> </w:t>
      </w:r>
      <w:r>
        <w:rPr>
          <w:spacing w:val="-2"/>
          <w:w w:val="100"/>
        </w:rPr>
        <w:t>年全球光伏新增装机预计达到</w:t>
      </w:r>
      <w:r>
        <w:rPr>
          <w:spacing w:val="-47"/>
          <w:w w:val="100"/>
        </w:rPr>
        <w:t> </w:t>
      </w:r>
      <w:r>
        <w:rPr>
          <w:rFonts w:ascii="宋体" w:hAnsi="宋体" w:cs="宋体" w:eastAsia="宋体" w:hint="default"/>
          <w:spacing w:val="-12"/>
          <w:w w:val="100"/>
        </w:rPr>
        <w:t>120GW</w:t>
      </w:r>
      <w:r>
        <w:rPr>
          <w:spacing w:val="-12"/>
          <w:w w:val="100"/>
        </w:rPr>
        <w:t>，创历史新高，那么截止</w:t>
      </w:r>
      <w:r>
        <w:rPr>
          <w:spacing w:val="-46"/>
          <w:w w:val="100"/>
        </w:rPr>
        <w:t> </w:t>
      </w:r>
      <w:r>
        <w:rPr>
          <w:rFonts w:ascii="宋体" w:hAnsi="宋体" w:cs="宋体" w:eastAsia="宋体" w:hint="default"/>
          <w:spacing w:val="-1"/>
          <w:w w:val="100"/>
        </w:rPr>
        <w:t>2019</w:t>
      </w:r>
      <w:r>
        <w:rPr>
          <w:rFonts w:ascii="宋体" w:hAnsi="宋体" w:cs="宋体" w:eastAsia="宋体" w:hint="default"/>
          <w:spacing w:val="-103"/>
          <w:w w:val="100"/>
        </w:rPr>
        <w:t> </w:t>
      </w:r>
      <w:r>
        <w:rPr>
          <w:rFonts w:ascii="宋体" w:hAnsi="宋体" w:cs="宋体" w:eastAsia="宋体" w:hint="default"/>
          <w:spacing w:val="-103"/>
          <w:w w:val="100"/>
        </w:rPr>
      </w:r>
      <w:r>
        <w:rPr/>
        <w:t>年底，全球光伏累计装机预计达到</w:t>
      </w:r>
      <w:r>
        <w:rPr>
          <w:spacing w:val="-55"/>
        </w:rPr>
        <w:t> </w:t>
      </w:r>
      <w:r>
        <w:rPr>
          <w:rFonts w:ascii="宋体" w:hAnsi="宋体" w:cs="宋体" w:eastAsia="宋体" w:hint="default"/>
        </w:rPr>
        <w:t>626GW</w:t>
      </w:r>
      <w:r>
        <w:rPr/>
        <w:t>。据国际能源署（</w:t>
      </w:r>
      <w:r>
        <w:rPr>
          <w:rFonts w:ascii="宋体" w:hAnsi="宋体" w:cs="宋体" w:eastAsia="宋体" w:hint="default"/>
        </w:rPr>
        <w:t>IEA</w:t>
      </w:r>
      <w:r>
        <w:rPr/>
        <w:t>）预测，到</w:t>
      </w:r>
      <w:r>
        <w:rPr>
          <w:spacing w:val="-57"/>
        </w:rPr>
        <w:t> </w:t>
      </w:r>
      <w:r>
        <w:rPr>
          <w:rFonts w:ascii="宋体" w:hAnsi="宋体" w:cs="宋体" w:eastAsia="宋体" w:hint="default"/>
        </w:rPr>
        <w:t>2030</w:t>
      </w:r>
      <w:r>
        <w:rPr>
          <w:rFonts w:ascii="宋体" w:hAnsi="宋体" w:cs="宋体" w:eastAsia="宋体" w:hint="default"/>
          <w:spacing w:val="-54"/>
        </w:rPr>
        <w:t> </w:t>
      </w:r>
      <w:r>
        <w:rPr/>
        <w:t>年全球光伏累计</w:t>
      </w:r>
      <w:r>
        <w:rPr>
          <w:w w:val="100"/>
        </w:rPr>
        <w:t> </w:t>
      </w:r>
      <w:r>
        <w:rPr/>
        <w:t>装机量有望达到</w:t>
      </w:r>
      <w:r>
        <w:rPr>
          <w:spacing w:val="-55"/>
        </w:rPr>
        <w:t> </w:t>
      </w:r>
      <w:r>
        <w:rPr>
          <w:rFonts w:ascii="宋体" w:hAnsi="宋体" w:cs="宋体" w:eastAsia="宋体" w:hint="default"/>
        </w:rPr>
        <w:t>1,721GW</w:t>
      </w:r>
      <w:r>
        <w:rPr/>
        <w:t>，到</w:t>
      </w:r>
      <w:r>
        <w:rPr>
          <w:spacing w:val="-55"/>
        </w:rPr>
        <w:t> </w:t>
      </w:r>
      <w:r>
        <w:rPr>
          <w:rFonts w:ascii="宋体" w:hAnsi="宋体" w:cs="宋体" w:eastAsia="宋体" w:hint="default"/>
        </w:rPr>
        <w:t>2050</w:t>
      </w:r>
      <w:r>
        <w:rPr>
          <w:rFonts w:ascii="宋体" w:hAnsi="宋体" w:cs="宋体" w:eastAsia="宋体" w:hint="default"/>
          <w:spacing w:val="-57"/>
        </w:rPr>
        <w:t> </w:t>
      </w:r>
      <w:r>
        <w:rPr/>
        <w:t>年将进一步增加至</w:t>
      </w:r>
      <w:r>
        <w:rPr>
          <w:spacing w:val="-55"/>
        </w:rPr>
        <w:t> </w:t>
      </w:r>
      <w:r>
        <w:rPr>
          <w:rFonts w:ascii="宋体" w:hAnsi="宋体" w:cs="宋体" w:eastAsia="宋体" w:hint="default"/>
        </w:rPr>
        <w:t>4,670GW</w:t>
      </w:r>
      <w:r>
        <w:rPr/>
        <w:t>，光伏发展潜力巨大。</w:t>
      </w:r>
      <w:r>
        <w:rPr>
          <w:rFonts w:ascii="宋体" w:hAnsi="宋体" w:cs="宋体" w:eastAsia="宋体" w:hint="default"/>
        </w:rPr>
        <w:t> </w:t>
      </w:r>
    </w:p>
    <w:p>
      <w:pPr>
        <w:pStyle w:val="BodyText"/>
        <w:spacing w:line="252" w:lineRule="auto" w:before="167"/>
        <w:ind w:left="878" w:right="349" w:hanging="241"/>
        <w:jc w:val="left"/>
        <w:rPr>
          <w:rFonts w:ascii="宋体" w:hAnsi="宋体" w:cs="宋体" w:eastAsia="宋体" w:hint="default"/>
        </w:rPr>
      </w:pPr>
      <w:r>
        <w:rPr/>
        <w:drawing>
          <wp:inline distT="0" distB="0" distL="0" distR="0">
            <wp:extent cx="5020309" cy="1397635"/>
            <wp:effectExtent l="0" t="0" r="0" b="0"/>
            <wp:docPr id="3" name="image3.jpeg" descr=""/>
            <wp:cNvGraphicFramePr>
              <a:graphicFrameLocks noChangeAspect="1"/>
            </wp:cNvGraphicFramePr>
            <a:graphic>
              <a:graphicData uri="http://schemas.openxmlformats.org/drawingml/2006/picture">
                <pic:pic>
                  <pic:nvPicPr>
                    <pic:cNvPr id="4" name="image3.jpeg"/>
                    <pic:cNvPicPr/>
                  </pic:nvPicPr>
                  <pic:blipFill>
                    <a:blip r:embed="rId31" cstate="print"/>
                    <a:stretch>
                      <a:fillRect/>
                    </a:stretch>
                  </pic:blipFill>
                  <pic:spPr>
                    <a:xfrm>
                      <a:off x="0" y="0"/>
                      <a:ext cx="5020309" cy="1397635"/>
                    </a:xfrm>
                    <a:prstGeom prst="rect">
                      <a:avLst/>
                    </a:prstGeom>
                  </pic:spPr>
                </pic:pic>
              </a:graphicData>
            </a:graphic>
          </wp:inline>
        </w:drawing>
      </w:r>
      <w:r>
        <w:rPr/>
      </w:r>
      <w:r>
        <w:rPr>
          <w:rFonts w:ascii="宋体" w:hAnsi="宋体" w:cs="宋体" w:eastAsia="宋体" w:hint="default"/>
          <w:w w:val="100"/>
        </w:rPr>
        <w:t> 2011-</w:t>
      </w:r>
      <w:r>
        <w:rPr>
          <w:rFonts w:ascii="宋体" w:hAnsi="宋体" w:cs="宋体" w:eastAsia="宋体" w:hint="default"/>
          <w:spacing w:val="-3"/>
          <w:w w:val="100"/>
        </w:rPr>
        <w:t>2</w:t>
      </w:r>
      <w:r>
        <w:rPr>
          <w:rFonts w:ascii="宋体" w:hAnsi="宋体" w:cs="宋体" w:eastAsia="宋体" w:hint="default"/>
          <w:w w:val="100"/>
        </w:rPr>
        <w:t>019</w:t>
      </w:r>
      <w:r>
        <w:rPr>
          <w:rFonts w:ascii="宋体" w:hAnsi="宋体" w:cs="宋体" w:eastAsia="宋体" w:hint="default"/>
          <w:spacing w:val="-55"/>
        </w:rPr>
        <w:t> </w:t>
      </w:r>
      <w:r>
        <w:rPr>
          <w:w w:val="100"/>
        </w:rPr>
        <w:t>年</w:t>
      </w:r>
      <w:r>
        <w:rPr>
          <w:spacing w:val="-3"/>
          <w:w w:val="100"/>
        </w:rPr>
        <w:t>全</w:t>
      </w:r>
      <w:r>
        <w:rPr>
          <w:w w:val="100"/>
        </w:rPr>
        <w:t>球</w:t>
      </w:r>
      <w:r>
        <w:rPr>
          <w:spacing w:val="-3"/>
          <w:w w:val="100"/>
        </w:rPr>
        <w:t>光</w:t>
      </w:r>
      <w:r>
        <w:rPr>
          <w:w w:val="100"/>
        </w:rPr>
        <w:t>伏</w:t>
      </w:r>
      <w:r>
        <w:rPr>
          <w:spacing w:val="-3"/>
          <w:w w:val="100"/>
        </w:rPr>
        <w:t>年</w:t>
      </w:r>
      <w:r>
        <w:rPr>
          <w:w w:val="100"/>
        </w:rPr>
        <w:t>度新</w:t>
      </w:r>
      <w:r>
        <w:rPr>
          <w:spacing w:val="-3"/>
          <w:w w:val="100"/>
        </w:rPr>
        <w:t>增</w:t>
      </w:r>
      <w:r>
        <w:rPr>
          <w:w w:val="100"/>
        </w:rPr>
        <w:t>装</w:t>
      </w:r>
      <w:r>
        <w:rPr>
          <w:spacing w:val="-3"/>
          <w:w w:val="100"/>
        </w:rPr>
        <w:t>机</w:t>
      </w:r>
      <w:r>
        <w:rPr>
          <w:w w:val="100"/>
        </w:rPr>
        <w:t>规</w:t>
      </w:r>
      <w:r>
        <w:rPr>
          <w:spacing w:val="-3"/>
          <w:w w:val="100"/>
        </w:rPr>
        <w:t>模以</w:t>
      </w:r>
      <w:r>
        <w:rPr>
          <w:w w:val="100"/>
        </w:rPr>
        <w:t>及</w:t>
      </w:r>
      <w:r>
        <w:rPr>
          <w:spacing w:val="-52"/>
        </w:rPr>
        <w:t> </w:t>
      </w:r>
      <w:r>
        <w:rPr>
          <w:rFonts w:ascii="宋体" w:hAnsi="宋体" w:cs="宋体" w:eastAsia="宋体" w:hint="default"/>
          <w:w w:val="100"/>
        </w:rPr>
        <w:t>20</w:t>
      </w:r>
      <w:r>
        <w:rPr>
          <w:rFonts w:ascii="宋体" w:hAnsi="宋体" w:cs="宋体" w:eastAsia="宋体" w:hint="default"/>
          <w:spacing w:val="-3"/>
          <w:w w:val="100"/>
        </w:rPr>
        <w:t>20</w:t>
      </w:r>
      <w:r>
        <w:rPr>
          <w:rFonts w:ascii="宋体" w:hAnsi="宋体" w:cs="宋体" w:eastAsia="宋体" w:hint="default"/>
          <w:w w:val="100"/>
        </w:rPr>
        <w:t>-2025</w:t>
      </w:r>
      <w:r>
        <w:rPr>
          <w:rFonts w:ascii="宋体" w:hAnsi="宋体" w:cs="宋体" w:eastAsia="宋体" w:hint="default"/>
          <w:spacing w:val="-55"/>
        </w:rPr>
        <w:t> </w:t>
      </w:r>
      <w:r>
        <w:rPr>
          <w:w w:val="100"/>
        </w:rPr>
        <w:t>年</w:t>
      </w:r>
      <w:r>
        <w:rPr>
          <w:spacing w:val="-3"/>
          <w:w w:val="100"/>
        </w:rPr>
        <w:t>新</w:t>
      </w:r>
      <w:r>
        <w:rPr>
          <w:w w:val="100"/>
        </w:rPr>
        <w:t>增</w:t>
      </w:r>
      <w:r>
        <w:rPr>
          <w:spacing w:val="-3"/>
          <w:w w:val="100"/>
        </w:rPr>
        <w:t>规</w:t>
      </w:r>
      <w:r>
        <w:rPr>
          <w:w w:val="100"/>
        </w:rPr>
        <w:t>模</w:t>
      </w:r>
      <w:r>
        <w:rPr>
          <w:spacing w:val="-3"/>
          <w:w w:val="100"/>
        </w:rPr>
        <w:t>预</w:t>
      </w:r>
      <w:r>
        <w:rPr>
          <w:w w:val="100"/>
        </w:rPr>
        <w:t>测</w:t>
      </w:r>
      <w:r>
        <w:rPr>
          <w:spacing w:val="-3"/>
          <w:w w:val="100"/>
        </w:rPr>
        <w:t>（</w:t>
      </w:r>
      <w:r>
        <w:rPr>
          <w:w w:val="100"/>
        </w:rPr>
        <w:t>单位</w:t>
      </w:r>
      <w:r>
        <w:rPr>
          <w:spacing w:val="-3"/>
          <w:w w:val="100"/>
        </w:rPr>
        <w:t>：</w:t>
      </w:r>
      <w:r>
        <w:rPr>
          <w:rFonts w:ascii="宋体" w:hAnsi="宋体" w:cs="宋体" w:eastAsia="宋体" w:hint="default"/>
          <w:w w:val="100"/>
        </w:rPr>
        <w:t>GW</w:t>
      </w:r>
      <w:r>
        <w:rPr>
          <w:spacing w:val="-3"/>
          <w:w w:val="100"/>
        </w:rPr>
        <w:t>）</w:t>
      </w:r>
      <w:r>
        <w:rPr>
          <w:rFonts w:ascii="宋体" w:hAnsi="宋体" w:cs="宋体" w:eastAsia="宋体" w:hint="default"/>
          <w:w w:val="100"/>
        </w:rPr>
        <w:t> </w:t>
      </w:r>
    </w:p>
    <w:p>
      <w:pPr>
        <w:pStyle w:val="BodyText"/>
        <w:spacing w:line="273" w:lineRule="auto" w:before="26"/>
        <w:ind w:left="638" w:right="0" w:firstLine="2631"/>
        <w:jc w:val="left"/>
      </w:pPr>
      <w:r>
        <w:rPr/>
        <w:t>（数据来源：中国光伏行业协会）</w:t>
      </w:r>
      <w:r>
        <w:rPr>
          <w:rFonts w:ascii="宋体" w:hAnsi="宋体" w:cs="宋体" w:eastAsia="宋体" w:hint="default"/>
          <w:w w:val="100"/>
        </w:rPr>
        <w:t> </w:t>
      </w:r>
      <w:r>
        <w:rPr>
          <w:spacing w:val="-2"/>
        </w:rPr>
        <w:t>近年来，光伏新能源产业持续健康发展，产业链竞争力不断提升。我国多晶硅、硅片、电池</w:t>
      </w:r>
    </w:p>
    <w:p>
      <w:pPr>
        <w:pStyle w:val="BodyText"/>
        <w:spacing w:line="273" w:lineRule="auto" w:before="7"/>
        <w:ind w:right="208"/>
        <w:jc w:val="both"/>
        <w:rPr>
          <w:rFonts w:ascii="宋体" w:hAnsi="宋体" w:cs="宋体" w:eastAsia="宋体" w:hint="default"/>
        </w:rPr>
      </w:pPr>
      <w:r>
        <w:rPr>
          <w:spacing w:val="-2"/>
        </w:rPr>
        <w:t>和组件等产业链主要环节的全球市场占有率位居世界前列，为全球光伏制造大国，光伏产业已成</w:t>
      </w:r>
      <w:r>
        <w:rPr>
          <w:spacing w:val="-25"/>
        </w:rPr>
        <w:t> </w:t>
      </w:r>
      <w:r>
        <w:rPr>
          <w:spacing w:val="-25"/>
        </w:rPr>
      </w:r>
      <w:r>
        <w:rPr>
          <w:spacing w:val="-6"/>
          <w:w w:val="100"/>
        </w:rPr>
        <w:t>为我国可参与国际竞争的优势产业之一。与此同时，我国光伏发电应用市场逐步扩大，“十二五”</w:t>
      </w:r>
      <w:r>
        <w:rPr>
          <w:spacing w:val="-104"/>
          <w:w w:val="100"/>
        </w:rPr>
        <w:t> </w:t>
      </w:r>
      <w:r>
        <w:rPr>
          <w:spacing w:val="-104"/>
          <w:w w:val="100"/>
        </w:rPr>
      </w:r>
      <w:r>
        <w:rPr/>
        <w:t>期间年均装机增长率超过</w:t>
      </w:r>
      <w:r>
        <w:rPr>
          <w:spacing w:val="-58"/>
        </w:rPr>
        <w:t> </w:t>
      </w:r>
      <w:r>
        <w:rPr>
          <w:rFonts w:ascii="宋体" w:hAnsi="宋体" w:cs="宋体" w:eastAsia="宋体" w:hint="default"/>
        </w:rPr>
        <w:t>50%</w:t>
      </w:r>
      <w:r>
        <w:rPr/>
        <w:t>，进入“十三五”时期，光伏发电建设速度进一步加快，年平均装</w:t>
      </w:r>
      <w:r>
        <w:rPr>
          <w:w w:val="100"/>
        </w:rPr>
        <w:t> </w:t>
      </w:r>
      <w:r>
        <w:rPr/>
        <w:t>机增长率</w:t>
      </w:r>
      <w:r>
        <w:rPr>
          <w:spacing w:val="-56"/>
        </w:rPr>
        <w:t> </w:t>
      </w:r>
      <w:r>
        <w:rPr>
          <w:rFonts w:ascii="宋体" w:hAnsi="宋体" w:cs="宋体" w:eastAsia="宋体" w:hint="default"/>
        </w:rPr>
        <w:t>75%</w:t>
      </w:r>
      <w:r>
        <w:rPr/>
        <w:t>。</w:t>
      </w:r>
      <w:r>
        <w:rPr>
          <w:rFonts w:ascii="宋体" w:hAnsi="宋体" w:cs="宋体" w:eastAsia="宋体" w:hint="default"/>
        </w:rPr>
        <w:t> </w:t>
      </w:r>
    </w:p>
    <w:p>
      <w:pPr>
        <w:spacing w:after="0" w:line="273" w:lineRule="auto"/>
        <w:jc w:val="both"/>
        <w:rPr>
          <w:rFonts w:ascii="宋体" w:hAnsi="宋体" w:cs="宋体" w:eastAsia="宋体" w:hint="default"/>
        </w:rPr>
        <w:sectPr>
          <w:pgSz w:w="11910" w:h="16840"/>
          <w:pgMar w:header="747" w:footer="974" w:top="1140" w:bottom="1160" w:left="1580" w:right="1060"/>
        </w:sectPr>
      </w:pPr>
    </w:p>
    <w:p>
      <w:pPr>
        <w:spacing w:line="240" w:lineRule="auto" w:before="9"/>
        <w:rPr>
          <w:rFonts w:ascii="宋体" w:hAnsi="宋体" w:cs="宋体" w:eastAsia="宋体" w:hint="default"/>
          <w:sz w:val="25"/>
          <w:szCs w:val="25"/>
        </w:rPr>
      </w:pPr>
    </w:p>
    <w:p>
      <w:pPr>
        <w:pStyle w:val="BodyText"/>
        <w:spacing w:line="240" w:lineRule="auto" w:before="36"/>
        <w:ind w:left="638" w:right="0"/>
        <w:jc w:val="left"/>
      </w:pPr>
      <w:r>
        <w:rPr>
          <w:rFonts w:ascii="宋体" w:hAnsi="宋体" w:cs="宋体" w:eastAsia="宋体" w:hint="default"/>
        </w:rPr>
        <w:t>2020</w:t>
      </w:r>
      <w:r>
        <w:rPr>
          <w:rFonts w:ascii="宋体" w:hAnsi="宋体" w:cs="宋体" w:eastAsia="宋体" w:hint="default"/>
          <w:spacing w:val="-56"/>
        </w:rPr>
        <w:t> </w:t>
      </w:r>
      <w:r>
        <w:rPr/>
        <w:t>年</w:t>
      </w:r>
      <w:r>
        <w:rPr>
          <w:spacing w:val="-54"/>
        </w:rPr>
        <w:t> </w:t>
      </w:r>
      <w:r>
        <w:rPr>
          <w:rFonts w:ascii="宋体" w:hAnsi="宋体" w:cs="宋体" w:eastAsia="宋体" w:hint="default"/>
        </w:rPr>
        <w:t>2</w:t>
      </w:r>
      <w:r>
        <w:rPr>
          <w:rFonts w:ascii="宋体" w:hAnsi="宋体" w:cs="宋体" w:eastAsia="宋体" w:hint="default"/>
          <w:spacing w:val="-56"/>
        </w:rPr>
        <w:t> </w:t>
      </w:r>
      <w:r>
        <w:rPr/>
        <w:t>月，国家能源局公布了</w:t>
      </w:r>
      <w:r>
        <w:rPr>
          <w:spacing w:val="-53"/>
        </w:rPr>
        <w:t> </w:t>
      </w:r>
      <w:r>
        <w:rPr>
          <w:rFonts w:ascii="宋体" w:hAnsi="宋体" w:cs="宋体" w:eastAsia="宋体" w:hint="default"/>
        </w:rPr>
        <w:t>2019</w:t>
      </w:r>
      <w:r>
        <w:rPr>
          <w:rFonts w:ascii="宋体" w:hAnsi="宋体" w:cs="宋体" w:eastAsia="宋体" w:hint="default"/>
          <w:spacing w:val="-54"/>
        </w:rPr>
        <w:t> </w:t>
      </w:r>
      <w:r>
        <w:rPr/>
        <w:t>年光伏发电并网运行情况：据行业统计，</w:t>
      </w:r>
      <w:r>
        <w:rPr>
          <w:rFonts w:ascii="宋体" w:hAnsi="宋体" w:cs="宋体" w:eastAsia="宋体" w:hint="default"/>
        </w:rPr>
        <w:t>2019</w:t>
      </w:r>
      <w:r>
        <w:rPr>
          <w:rFonts w:ascii="宋体" w:hAnsi="宋体" w:cs="宋体" w:eastAsia="宋体" w:hint="default"/>
          <w:spacing w:val="-54"/>
        </w:rPr>
        <w:t> </w:t>
      </w:r>
      <w:r>
        <w:rPr/>
        <w:t>年全国</w:t>
      </w:r>
    </w:p>
    <w:p>
      <w:pPr>
        <w:pStyle w:val="BodyText"/>
        <w:spacing w:line="240" w:lineRule="auto" w:before="37"/>
        <w:ind w:right="0"/>
        <w:jc w:val="left"/>
      </w:pPr>
      <w:r>
        <w:rPr/>
        <w:t>新增光伏发电装机</w:t>
      </w:r>
      <w:r>
        <w:rPr>
          <w:spacing w:val="-54"/>
        </w:rPr>
        <w:t> </w:t>
      </w:r>
      <w:r>
        <w:rPr>
          <w:rFonts w:ascii="宋体" w:hAnsi="宋体" w:cs="宋体" w:eastAsia="宋体" w:hint="default"/>
        </w:rPr>
        <w:t>3011</w:t>
      </w:r>
      <w:r>
        <w:rPr>
          <w:rFonts w:ascii="宋体" w:hAnsi="宋体" w:cs="宋体" w:eastAsia="宋体" w:hint="default"/>
          <w:spacing w:val="-56"/>
        </w:rPr>
        <w:t> </w:t>
      </w:r>
      <w:r>
        <w:rPr/>
        <w:t>万千瓦，同比下降</w:t>
      </w:r>
      <w:r>
        <w:rPr>
          <w:spacing w:val="-54"/>
        </w:rPr>
        <w:t> </w:t>
      </w:r>
      <w:r>
        <w:rPr>
          <w:rFonts w:ascii="宋体" w:hAnsi="宋体" w:cs="宋体" w:eastAsia="宋体" w:hint="default"/>
        </w:rPr>
        <w:t>31.6%</w:t>
      </w:r>
      <w:r>
        <w:rPr/>
        <w:t>，其中集中式光伏新增装机</w:t>
      </w:r>
      <w:r>
        <w:rPr>
          <w:spacing w:val="-56"/>
        </w:rPr>
        <w:t> </w:t>
      </w:r>
      <w:r>
        <w:rPr>
          <w:rFonts w:ascii="宋体" w:hAnsi="宋体" w:cs="宋体" w:eastAsia="宋体" w:hint="default"/>
        </w:rPr>
        <w:t>1791</w:t>
      </w:r>
      <w:r>
        <w:rPr>
          <w:rFonts w:ascii="宋体" w:hAnsi="宋体" w:cs="宋体" w:eastAsia="宋体" w:hint="default"/>
          <w:spacing w:val="-55"/>
        </w:rPr>
        <w:t> </w:t>
      </w:r>
      <w:r>
        <w:rPr/>
        <w:t>万千瓦，同比</w:t>
      </w:r>
    </w:p>
    <w:p>
      <w:pPr>
        <w:pStyle w:val="BodyText"/>
        <w:spacing w:line="273" w:lineRule="auto" w:before="37"/>
        <w:ind w:right="0"/>
        <w:jc w:val="left"/>
      </w:pPr>
      <w:r>
        <w:rPr/>
        <w:t>减少</w:t>
      </w:r>
      <w:r>
        <w:rPr>
          <w:spacing w:val="-54"/>
        </w:rPr>
        <w:t> </w:t>
      </w:r>
      <w:r>
        <w:rPr>
          <w:rFonts w:ascii="宋体" w:hAnsi="宋体" w:cs="宋体" w:eastAsia="宋体" w:hint="default"/>
        </w:rPr>
        <w:t>22.9%</w:t>
      </w:r>
      <w:r>
        <w:rPr/>
        <w:t>；分布式光伏新增装机</w:t>
      </w:r>
      <w:r>
        <w:rPr>
          <w:spacing w:val="-53"/>
        </w:rPr>
        <w:t> </w:t>
      </w:r>
      <w:r>
        <w:rPr>
          <w:rFonts w:ascii="宋体" w:hAnsi="宋体" w:cs="宋体" w:eastAsia="宋体" w:hint="default"/>
        </w:rPr>
        <w:t>1220</w:t>
      </w:r>
      <w:r>
        <w:rPr>
          <w:rFonts w:ascii="宋体" w:hAnsi="宋体" w:cs="宋体" w:eastAsia="宋体" w:hint="default"/>
          <w:spacing w:val="-56"/>
        </w:rPr>
        <w:t> </w:t>
      </w:r>
      <w:r>
        <w:rPr/>
        <w:t>万千瓦，同比增长</w:t>
      </w:r>
      <w:r>
        <w:rPr>
          <w:spacing w:val="-54"/>
        </w:rPr>
        <w:t> </w:t>
      </w:r>
      <w:r>
        <w:rPr>
          <w:rFonts w:ascii="宋体" w:hAnsi="宋体" w:cs="宋体" w:eastAsia="宋体" w:hint="default"/>
        </w:rPr>
        <w:t>41.3%</w:t>
      </w:r>
      <w:r>
        <w:rPr/>
        <w:t>。光伏发电累计装机达到</w:t>
      </w:r>
      <w:r>
        <w:rPr>
          <w:spacing w:val="-53"/>
        </w:rPr>
        <w:t> </w:t>
      </w:r>
      <w:r>
        <w:rPr>
          <w:rFonts w:ascii="宋体" w:hAnsi="宋体" w:cs="宋体" w:eastAsia="宋体" w:hint="default"/>
        </w:rPr>
        <w:t>20430</w:t>
      </w:r>
      <w:r>
        <w:rPr>
          <w:rFonts w:ascii="宋体" w:hAnsi="宋体" w:cs="宋体" w:eastAsia="宋体" w:hint="default"/>
          <w:w w:val="100"/>
        </w:rPr>
        <w:t> </w:t>
      </w:r>
      <w:r>
        <w:rPr/>
        <w:t>万千瓦，同比增长</w:t>
      </w:r>
      <w:r>
        <w:rPr>
          <w:spacing w:val="-54"/>
        </w:rPr>
        <w:t> </w:t>
      </w:r>
      <w:r>
        <w:rPr>
          <w:rFonts w:ascii="宋体" w:hAnsi="宋体" w:cs="宋体" w:eastAsia="宋体" w:hint="default"/>
        </w:rPr>
        <w:t>17.3%</w:t>
      </w:r>
      <w:r>
        <w:rPr/>
        <w:t>，其中集中式光伏</w:t>
      </w:r>
      <w:r>
        <w:rPr>
          <w:spacing w:val="-54"/>
        </w:rPr>
        <w:t> </w:t>
      </w:r>
      <w:r>
        <w:rPr>
          <w:rFonts w:ascii="宋体" w:hAnsi="宋体" w:cs="宋体" w:eastAsia="宋体" w:hint="default"/>
        </w:rPr>
        <w:t>14167</w:t>
      </w:r>
      <w:r>
        <w:rPr>
          <w:rFonts w:ascii="宋体" w:hAnsi="宋体" w:cs="宋体" w:eastAsia="宋体" w:hint="default"/>
          <w:spacing w:val="-56"/>
        </w:rPr>
        <w:t> </w:t>
      </w:r>
      <w:r>
        <w:rPr/>
        <w:t>万千瓦，同比增长</w:t>
      </w:r>
      <w:r>
        <w:rPr>
          <w:spacing w:val="-54"/>
        </w:rPr>
        <w:t> </w:t>
      </w:r>
      <w:r>
        <w:rPr>
          <w:rFonts w:ascii="宋体" w:hAnsi="宋体" w:cs="宋体" w:eastAsia="宋体" w:hint="default"/>
        </w:rPr>
        <w:t>14.5%</w:t>
      </w:r>
      <w:r>
        <w:rPr/>
        <w:t>；分布式光伏</w:t>
      </w:r>
      <w:r>
        <w:rPr>
          <w:spacing w:val="-53"/>
        </w:rPr>
        <w:t> </w:t>
      </w:r>
      <w:r>
        <w:rPr>
          <w:rFonts w:ascii="宋体" w:hAnsi="宋体" w:cs="宋体" w:eastAsia="宋体" w:hint="default"/>
        </w:rPr>
        <w:t>6263</w:t>
      </w:r>
      <w:r>
        <w:rPr>
          <w:rFonts w:ascii="宋体" w:hAnsi="宋体" w:cs="宋体" w:eastAsia="宋体" w:hint="default"/>
          <w:spacing w:val="-56"/>
        </w:rPr>
        <w:t> </w:t>
      </w:r>
      <w:r>
        <w:rPr/>
        <w:t>万</w:t>
      </w:r>
      <w:r>
        <w:rPr>
          <w:w w:val="100"/>
        </w:rPr>
        <w:t> </w:t>
      </w:r>
      <w:r>
        <w:rPr>
          <w:spacing w:val="-3"/>
        </w:rPr>
        <w:t>千瓦，同比增长</w:t>
      </w:r>
      <w:r>
        <w:rPr>
          <w:spacing w:val="-54"/>
        </w:rPr>
        <w:t> </w:t>
      </w:r>
      <w:r>
        <w:rPr>
          <w:rFonts w:ascii="宋体" w:hAnsi="宋体" w:cs="宋体" w:eastAsia="宋体" w:hint="default"/>
        </w:rPr>
        <w:t>24.2%</w:t>
      </w:r>
      <w:r>
        <w:rPr/>
        <w:t>。</w:t>
      </w:r>
      <w:r>
        <w:rPr>
          <w:rFonts w:ascii="宋体" w:hAnsi="宋体" w:cs="宋体" w:eastAsia="宋体" w:hint="default"/>
        </w:rPr>
        <w:t>2019</w:t>
      </w:r>
      <w:r>
        <w:rPr>
          <w:rFonts w:ascii="宋体" w:hAnsi="宋体" w:cs="宋体" w:eastAsia="宋体" w:hint="default"/>
          <w:spacing w:val="-54"/>
        </w:rPr>
        <w:t> </w:t>
      </w:r>
      <w:r>
        <w:rPr/>
        <w:t>年全国光伏发电量达</w:t>
      </w:r>
      <w:r>
        <w:rPr>
          <w:spacing w:val="-54"/>
        </w:rPr>
        <w:t> </w:t>
      </w:r>
      <w:r>
        <w:rPr>
          <w:rFonts w:ascii="宋体" w:hAnsi="宋体" w:cs="宋体" w:eastAsia="宋体" w:hint="default"/>
        </w:rPr>
        <w:t>2243</w:t>
      </w:r>
      <w:r>
        <w:rPr>
          <w:rFonts w:ascii="宋体" w:hAnsi="宋体" w:cs="宋体" w:eastAsia="宋体" w:hint="default"/>
          <w:spacing w:val="-53"/>
        </w:rPr>
        <w:t> </w:t>
      </w:r>
      <w:r>
        <w:rPr>
          <w:spacing w:val="-3"/>
        </w:rPr>
        <w:t>亿千瓦时，同比增长</w:t>
      </w:r>
      <w:r>
        <w:rPr>
          <w:spacing w:val="-56"/>
        </w:rPr>
        <w:t> </w:t>
      </w:r>
      <w:r>
        <w:rPr>
          <w:rFonts w:ascii="宋体" w:hAnsi="宋体" w:cs="宋体" w:eastAsia="宋体" w:hint="default"/>
        </w:rPr>
        <w:t>26.3%</w:t>
      </w:r>
      <w:r>
        <w:rPr/>
        <w:t>，光伏利用小</w:t>
      </w:r>
      <w:r>
        <w:rPr>
          <w:w w:val="100"/>
        </w:rPr>
        <w:t> </w:t>
      </w:r>
      <w:r>
        <w:rPr/>
        <w:t>时数</w:t>
      </w:r>
      <w:r>
        <w:rPr>
          <w:spacing w:val="-54"/>
        </w:rPr>
        <w:t> </w:t>
      </w:r>
      <w:r>
        <w:rPr>
          <w:rFonts w:ascii="宋体" w:hAnsi="宋体" w:cs="宋体" w:eastAsia="宋体" w:hint="default"/>
        </w:rPr>
        <w:t>1169</w:t>
      </w:r>
      <w:r>
        <w:rPr>
          <w:rFonts w:ascii="宋体" w:hAnsi="宋体" w:cs="宋体" w:eastAsia="宋体" w:hint="default"/>
          <w:spacing w:val="-56"/>
        </w:rPr>
        <w:t> </w:t>
      </w:r>
      <w:r>
        <w:rPr/>
        <w:t>小时，同比增长</w:t>
      </w:r>
      <w:r>
        <w:rPr>
          <w:spacing w:val="-53"/>
        </w:rPr>
        <w:t> </w:t>
      </w:r>
      <w:r>
        <w:rPr>
          <w:rFonts w:ascii="宋体" w:hAnsi="宋体" w:cs="宋体" w:eastAsia="宋体" w:hint="default"/>
        </w:rPr>
        <w:t>54</w:t>
      </w:r>
      <w:r>
        <w:rPr>
          <w:rFonts w:ascii="宋体" w:hAnsi="宋体" w:cs="宋体" w:eastAsia="宋体" w:hint="default"/>
          <w:spacing w:val="-56"/>
        </w:rPr>
        <w:t> </w:t>
      </w:r>
      <w:r>
        <w:rPr/>
        <w:t>小时。全国弃光率降至</w:t>
      </w:r>
      <w:r>
        <w:rPr>
          <w:spacing w:val="-54"/>
        </w:rPr>
        <w:t> </w:t>
      </w:r>
      <w:r>
        <w:rPr>
          <w:rFonts w:ascii="宋体" w:hAnsi="宋体" w:cs="宋体" w:eastAsia="宋体" w:hint="default"/>
        </w:rPr>
        <w:t>2%</w:t>
      </w:r>
      <w:r>
        <w:rPr/>
        <w:t>，同比下降</w:t>
      </w:r>
      <w:r>
        <w:rPr>
          <w:spacing w:val="-54"/>
        </w:rPr>
        <w:t> </w:t>
      </w:r>
      <w:r>
        <w:rPr>
          <w:rFonts w:ascii="宋体" w:hAnsi="宋体" w:cs="宋体" w:eastAsia="宋体" w:hint="default"/>
        </w:rPr>
        <w:t>1</w:t>
      </w:r>
      <w:r>
        <w:rPr>
          <w:rFonts w:ascii="宋体" w:hAnsi="宋体" w:cs="宋体" w:eastAsia="宋体" w:hint="default"/>
          <w:spacing w:val="-56"/>
        </w:rPr>
        <w:t> </w:t>
      </w:r>
      <w:r>
        <w:rPr/>
        <w:t>个百分点，弃光电量</w:t>
      </w:r>
      <w:r>
        <w:rPr>
          <w:spacing w:val="-53"/>
        </w:rPr>
        <w:t> </w:t>
      </w:r>
      <w:r>
        <w:rPr>
          <w:rFonts w:ascii="宋体" w:hAnsi="宋体" w:cs="宋体" w:eastAsia="宋体" w:hint="default"/>
        </w:rPr>
        <w:t>46</w:t>
      </w:r>
      <w:r>
        <w:rPr>
          <w:rFonts w:ascii="宋体" w:hAnsi="宋体" w:cs="宋体" w:eastAsia="宋体" w:hint="default"/>
          <w:spacing w:val="-54"/>
        </w:rPr>
        <w:t> </w:t>
      </w:r>
      <w:r>
        <w:rPr/>
        <w:t>亿</w:t>
      </w:r>
      <w:r>
        <w:rPr>
          <w:w w:val="100"/>
        </w:rPr>
        <w:t> </w:t>
      </w:r>
      <w:r>
        <w:rPr/>
        <w:t>千瓦时。从重点区域看，光伏消纳问题主要出现在西北地区，其弃光电量占全国的</w:t>
      </w:r>
      <w:r>
        <w:rPr>
          <w:spacing w:val="-53"/>
        </w:rPr>
        <w:t> </w:t>
      </w:r>
      <w:r>
        <w:rPr>
          <w:rFonts w:ascii="宋体" w:hAnsi="宋体" w:cs="宋体" w:eastAsia="宋体" w:hint="default"/>
        </w:rPr>
        <w:t>87%</w:t>
      </w:r>
      <w:r>
        <w:rPr/>
        <w:t>，弃光率</w:t>
      </w:r>
      <w:r>
        <w:rPr>
          <w:w w:val="100"/>
        </w:rPr>
        <w:t> </w:t>
      </w:r>
      <w:r>
        <w:rPr/>
        <w:t>同比下降</w:t>
      </w:r>
      <w:r>
        <w:rPr>
          <w:spacing w:val="-53"/>
        </w:rPr>
        <w:t> </w:t>
      </w:r>
      <w:r>
        <w:rPr>
          <w:rFonts w:ascii="宋体" w:hAnsi="宋体" w:cs="宋体" w:eastAsia="宋体" w:hint="default"/>
        </w:rPr>
        <w:t>2.3</w:t>
      </w:r>
      <w:r>
        <w:rPr>
          <w:rFonts w:ascii="宋体" w:hAnsi="宋体" w:cs="宋体" w:eastAsia="宋体" w:hint="default"/>
          <w:spacing w:val="-53"/>
        </w:rPr>
        <w:t> </w:t>
      </w:r>
      <w:r>
        <w:rPr/>
        <w:t>个百分点至</w:t>
      </w:r>
      <w:r>
        <w:rPr>
          <w:spacing w:val="-55"/>
        </w:rPr>
        <w:t> </w:t>
      </w:r>
      <w:r>
        <w:rPr>
          <w:rFonts w:ascii="宋体" w:hAnsi="宋体" w:cs="宋体" w:eastAsia="宋体" w:hint="default"/>
        </w:rPr>
        <w:t>5.9%</w:t>
      </w:r>
      <w:r>
        <w:rPr/>
        <w:t>。华北、东北、华南地区弃光率分别为</w:t>
      </w:r>
      <w:r>
        <w:rPr>
          <w:spacing w:val="-53"/>
        </w:rPr>
        <w:t> </w:t>
      </w:r>
      <w:r>
        <w:rPr>
          <w:rFonts w:ascii="宋体" w:hAnsi="宋体" w:cs="宋体" w:eastAsia="宋体" w:hint="default"/>
        </w:rPr>
        <w:t>0.8%</w:t>
      </w:r>
      <w:r>
        <w:rPr/>
        <w:t>、</w:t>
      </w:r>
      <w:r>
        <w:rPr>
          <w:rFonts w:ascii="宋体" w:hAnsi="宋体" w:cs="宋体" w:eastAsia="宋体" w:hint="default"/>
        </w:rPr>
        <w:t>0.4%</w:t>
      </w:r>
      <w:r>
        <w:rPr/>
        <w:t>、</w:t>
      </w:r>
      <w:r>
        <w:rPr>
          <w:rFonts w:ascii="宋体" w:hAnsi="宋体" w:cs="宋体" w:eastAsia="宋体" w:hint="default"/>
        </w:rPr>
        <w:t>0.2%</w:t>
      </w:r>
      <w:r>
        <w:rPr/>
        <w:t>，华东、</w:t>
      </w:r>
      <w:r>
        <w:rPr>
          <w:w w:val="100"/>
        </w:rPr>
        <w:t> </w:t>
      </w:r>
      <w:r>
        <w:rPr>
          <w:spacing w:val="-11"/>
        </w:rPr>
        <w:t>华中无弃光。从重点省份看，西藏、新疆、甘肃弃光率分别为</w:t>
      </w:r>
      <w:r>
        <w:rPr>
          <w:spacing w:val="-35"/>
        </w:rPr>
        <w:t> </w:t>
      </w:r>
      <w:r>
        <w:rPr>
          <w:rFonts w:ascii="宋体" w:hAnsi="宋体" w:cs="宋体" w:eastAsia="宋体" w:hint="default"/>
          <w:spacing w:val="-10"/>
        </w:rPr>
        <w:t>24.1%</w:t>
      </w:r>
      <w:r>
        <w:rPr>
          <w:spacing w:val="-10"/>
        </w:rPr>
        <w:t>、</w:t>
      </w:r>
      <w:r>
        <w:rPr>
          <w:rFonts w:ascii="宋体" w:hAnsi="宋体" w:cs="宋体" w:eastAsia="宋体" w:hint="default"/>
          <w:spacing w:val="-10"/>
        </w:rPr>
        <w:t>7.4%</w:t>
      </w:r>
      <w:r>
        <w:rPr>
          <w:spacing w:val="-10"/>
        </w:rPr>
        <w:t>、</w:t>
      </w:r>
      <w:r>
        <w:rPr>
          <w:rFonts w:ascii="宋体" w:hAnsi="宋体" w:cs="宋体" w:eastAsia="宋体" w:hint="default"/>
          <w:spacing w:val="-10"/>
        </w:rPr>
        <w:t>4.0%</w:t>
      </w:r>
      <w:r>
        <w:rPr>
          <w:spacing w:val="-10"/>
        </w:rPr>
        <w:t>，同比下降</w:t>
      </w:r>
      <w:r>
        <w:rPr>
          <w:spacing w:val="-38"/>
        </w:rPr>
        <w:t> </w:t>
      </w:r>
      <w:r>
        <w:rPr>
          <w:rFonts w:ascii="宋体" w:hAnsi="宋体" w:cs="宋体" w:eastAsia="宋体" w:hint="default"/>
        </w:rPr>
        <w:t>19.5</w:t>
      </w:r>
      <w:r>
        <w:rPr/>
        <w:t>、</w:t>
      </w:r>
      <w:r>
        <w:rPr>
          <w:spacing w:val="-62"/>
        </w:rPr>
        <w:t> </w:t>
      </w:r>
      <w:r>
        <w:rPr>
          <w:rFonts w:ascii="宋体" w:hAnsi="宋体" w:cs="宋体" w:eastAsia="宋体" w:hint="default"/>
        </w:rPr>
        <w:t>8.2</w:t>
      </w:r>
      <w:r>
        <w:rPr>
          <w:rFonts w:ascii="宋体" w:hAnsi="宋体" w:cs="宋体" w:eastAsia="宋体" w:hint="default"/>
          <w:spacing w:val="-54"/>
        </w:rPr>
        <w:t> </w:t>
      </w:r>
      <w:r>
        <w:rPr/>
        <w:t>和</w:t>
      </w:r>
      <w:r>
        <w:rPr>
          <w:spacing w:val="-56"/>
        </w:rPr>
        <w:t> </w:t>
      </w:r>
      <w:r>
        <w:rPr>
          <w:rFonts w:ascii="宋体" w:hAnsi="宋体" w:cs="宋体" w:eastAsia="宋体" w:hint="default"/>
        </w:rPr>
        <w:t>5.6</w:t>
      </w:r>
      <w:r>
        <w:rPr>
          <w:rFonts w:ascii="宋体" w:hAnsi="宋体" w:cs="宋体" w:eastAsia="宋体" w:hint="default"/>
          <w:spacing w:val="-56"/>
        </w:rPr>
        <w:t> </w:t>
      </w:r>
      <w:r>
        <w:rPr/>
        <w:t>个百分点；青海受新能源装机大幅增加、负荷下降等因素影响，弃光率提高至</w:t>
      </w:r>
      <w:r>
        <w:rPr>
          <w:spacing w:val="-53"/>
        </w:rPr>
        <w:t> </w:t>
      </w:r>
      <w:r>
        <w:rPr>
          <w:rFonts w:ascii="宋体" w:hAnsi="宋体" w:cs="宋体" w:eastAsia="宋体" w:hint="default"/>
        </w:rPr>
        <w:t>7.2%</w:t>
      </w:r>
      <w:r>
        <w:rPr/>
        <w:t>，</w:t>
      </w:r>
    </w:p>
    <w:p>
      <w:pPr>
        <w:pStyle w:val="BodyText"/>
        <w:spacing w:line="240" w:lineRule="auto" w:before="7"/>
        <w:ind w:right="0"/>
        <w:jc w:val="left"/>
        <w:rPr>
          <w:rFonts w:ascii="宋体" w:hAnsi="宋体" w:cs="宋体" w:eastAsia="宋体" w:hint="default"/>
        </w:rPr>
      </w:pPr>
      <w:r>
        <w:rPr/>
        <w:t>同比提高</w:t>
      </w:r>
      <w:r>
        <w:rPr>
          <w:spacing w:val="-54"/>
        </w:rPr>
        <w:t> </w:t>
      </w:r>
      <w:r>
        <w:rPr>
          <w:rFonts w:ascii="宋体" w:hAnsi="宋体" w:cs="宋体" w:eastAsia="宋体" w:hint="default"/>
        </w:rPr>
        <w:t>2.5</w:t>
      </w:r>
      <w:r>
        <w:rPr>
          <w:rFonts w:ascii="宋体" w:hAnsi="宋体" w:cs="宋体" w:eastAsia="宋体" w:hint="default"/>
          <w:spacing w:val="-54"/>
        </w:rPr>
        <w:t> </w:t>
      </w:r>
      <w:r>
        <w:rPr/>
        <w:t>个百分点。</w:t>
      </w:r>
      <w:r>
        <w:rPr>
          <w:rFonts w:ascii="宋体" w:hAnsi="宋体" w:cs="宋体" w:eastAsia="宋体" w:hint="default"/>
        </w:rPr>
        <w:t> </w:t>
      </w:r>
    </w:p>
    <w:p>
      <w:pPr>
        <w:spacing w:line="240" w:lineRule="auto" w:before="3"/>
        <w:rPr>
          <w:rFonts w:ascii="宋体" w:hAnsi="宋体" w:cs="宋体" w:eastAsia="宋体" w:hint="default"/>
          <w:sz w:val="8"/>
          <w:szCs w:val="8"/>
        </w:rPr>
      </w:pPr>
    </w:p>
    <w:p>
      <w:pPr>
        <w:spacing w:line="2079" w:lineRule="exact"/>
        <w:ind w:left="838" w:right="0" w:firstLine="0"/>
        <w:rPr>
          <w:rFonts w:ascii="宋体" w:hAnsi="宋体" w:cs="宋体" w:eastAsia="宋体" w:hint="default"/>
          <w:sz w:val="20"/>
          <w:szCs w:val="20"/>
        </w:rPr>
      </w:pPr>
      <w:r>
        <w:rPr>
          <w:rFonts w:ascii="宋体" w:hAnsi="宋体" w:cs="宋体" w:eastAsia="宋体" w:hint="default"/>
          <w:position w:val="-41"/>
          <w:sz w:val="20"/>
          <w:szCs w:val="20"/>
        </w:rPr>
        <w:drawing>
          <wp:inline distT="0" distB="0" distL="0" distR="0">
            <wp:extent cx="5115719" cy="1320164"/>
            <wp:effectExtent l="0" t="0" r="0" b="0"/>
            <wp:docPr id="5" name="image4.jpeg" descr=""/>
            <wp:cNvGraphicFramePr>
              <a:graphicFrameLocks noChangeAspect="1"/>
            </wp:cNvGraphicFramePr>
            <a:graphic>
              <a:graphicData uri="http://schemas.openxmlformats.org/drawingml/2006/picture">
                <pic:pic>
                  <pic:nvPicPr>
                    <pic:cNvPr id="6" name="image4.jpeg"/>
                    <pic:cNvPicPr/>
                  </pic:nvPicPr>
                  <pic:blipFill>
                    <a:blip r:embed="rId33" cstate="print"/>
                    <a:stretch>
                      <a:fillRect/>
                    </a:stretch>
                  </pic:blipFill>
                  <pic:spPr>
                    <a:xfrm>
                      <a:off x="0" y="0"/>
                      <a:ext cx="5115719" cy="1320164"/>
                    </a:xfrm>
                    <a:prstGeom prst="rect">
                      <a:avLst/>
                    </a:prstGeom>
                  </pic:spPr>
                </pic:pic>
              </a:graphicData>
            </a:graphic>
          </wp:inline>
        </w:drawing>
      </w:r>
      <w:r>
        <w:rPr>
          <w:rFonts w:ascii="宋体" w:hAnsi="宋体" w:cs="宋体" w:eastAsia="宋体" w:hint="default"/>
          <w:position w:val="-41"/>
          <w:sz w:val="20"/>
          <w:szCs w:val="20"/>
        </w:rPr>
      </w:r>
    </w:p>
    <w:p>
      <w:pPr>
        <w:pStyle w:val="BodyText"/>
        <w:spacing w:line="240" w:lineRule="auto" w:before="35"/>
        <w:ind w:left="669" w:right="0"/>
        <w:jc w:val="left"/>
        <w:rPr>
          <w:rFonts w:ascii="宋体" w:hAnsi="宋体" w:cs="宋体" w:eastAsia="宋体" w:hint="default"/>
        </w:rPr>
      </w:pPr>
      <w:r>
        <w:rPr>
          <w:rFonts w:ascii="宋体" w:hAnsi="宋体" w:cs="宋体" w:eastAsia="宋体" w:hint="default"/>
        </w:rPr>
        <w:t>2011-2019</w:t>
      </w:r>
      <w:r>
        <w:rPr>
          <w:rFonts w:ascii="宋体" w:hAnsi="宋体" w:cs="宋体" w:eastAsia="宋体" w:hint="default"/>
          <w:spacing w:val="-57"/>
        </w:rPr>
        <w:t> </w:t>
      </w:r>
      <w:r>
        <w:rPr/>
        <w:t>年国内光伏年度新增装机规模以及</w:t>
      </w:r>
      <w:r>
        <w:rPr>
          <w:spacing w:val="-55"/>
        </w:rPr>
        <w:t> </w:t>
      </w:r>
      <w:r>
        <w:rPr>
          <w:rFonts w:ascii="宋体" w:hAnsi="宋体" w:cs="宋体" w:eastAsia="宋体" w:hint="default"/>
        </w:rPr>
        <w:t>2020-2025</w:t>
      </w:r>
      <w:r>
        <w:rPr>
          <w:rFonts w:ascii="宋体" w:hAnsi="宋体" w:cs="宋体" w:eastAsia="宋体" w:hint="default"/>
          <w:spacing w:val="-57"/>
        </w:rPr>
        <w:t> </w:t>
      </w:r>
      <w:r>
        <w:rPr/>
        <w:t>年新增规模预测（单位：</w:t>
      </w:r>
      <w:r>
        <w:rPr>
          <w:rFonts w:ascii="宋体" w:hAnsi="宋体" w:cs="宋体" w:eastAsia="宋体" w:hint="default"/>
        </w:rPr>
        <w:t>GW</w:t>
      </w:r>
      <w:r>
        <w:rPr/>
        <w:t>）</w:t>
      </w:r>
      <w:r>
        <w:rPr>
          <w:rFonts w:ascii="宋体" w:hAnsi="宋体" w:cs="宋体" w:eastAsia="宋体" w:hint="default"/>
        </w:rPr>
        <w:t> </w:t>
      </w:r>
    </w:p>
    <w:p>
      <w:pPr>
        <w:pStyle w:val="BodyText"/>
        <w:spacing w:line="240" w:lineRule="auto" w:before="37"/>
        <w:ind w:left="3302" w:right="2774"/>
        <w:jc w:val="center"/>
        <w:rPr>
          <w:rFonts w:ascii="宋体" w:hAnsi="宋体" w:cs="宋体" w:eastAsia="宋体" w:hint="default"/>
        </w:rPr>
      </w:pPr>
      <w:r>
        <w:rPr/>
        <w:t>（数据来源：中国光伏行业协会）</w:t>
      </w:r>
      <w:r>
        <w:rPr>
          <w:rFonts w:ascii="宋体" w:hAnsi="宋体" w:cs="宋体" w:eastAsia="宋体" w:hint="default"/>
        </w:rPr>
        <w:t> </w:t>
      </w:r>
    </w:p>
    <w:p>
      <w:pPr>
        <w:pStyle w:val="BodyText"/>
        <w:spacing w:line="273" w:lineRule="auto" w:before="37"/>
        <w:ind w:right="208" w:firstLine="419"/>
        <w:jc w:val="both"/>
        <w:rPr>
          <w:rFonts w:ascii="宋体" w:hAnsi="宋体" w:cs="宋体" w:eastAsia="宋体" w:hint="default"/>
        </w:rPr>
      </w:pPr>
      <w:r>
        <w:rPr/>
        <w:t>展望 </w:t>
      </w:r>
      <w:r>
        <w:rPr>
          <w:rFonts w:ascii="宋体" w:hAnsi="宋体" w:cs="宋体" w:eastAsia="宋体" w:hint="default"/>
        </w:rPr>
        <w:t>2020</w:t>
      </w:r>
      <w:r>
        <w:rPr>
          <w:rFonts w:ascii="宋体" w:hAnsi="宋体" w:cs="宋体" w:eastAsia="宋体" w:hint="default"/>
          <w:spacing w:val="-70"/>
        </w:rPr>
        <w:t> </w:t>
      </w:r>
      <w:r>
        <w:rPr>
          <w:spacing w:val="-4"/>
        </w:rPr>
        <w:t>年，在光伏发电成本持续下降，政策持续利好和新兴市场快速兴起等有利因素的推</w:t>
      </w:r>
      <w:r>
        <w:rPr>
          <w:w w:val="100"/>
        </w:rPr>
        <w:t> </w:t>
      </w:r>
      <w:r>
        <w:rPr>
          <w:spacing w:val="-2"/>
        </w:rPr>
        <w:t>动下，全球光伏市场仍保持较高的增长速度，高效电池产品市场需求将继续扩大，未来技术进步</w:t>
      </w:r>
      <w:r>
        <w:rPr>
          <w:spacing w:val="-25"/>
        </w:rPr>
        <w:t> </w:t>
      </w:r>
      <w:r>
        <w:rPr>
          <w:spacing w:val="-25"/>
        </w:rPr>
      </w:r>
      <w:r>
        <w:rPr>
          <w:spacing w:val="-4"/>
        </w:rPr>
        <w:t>仍将是产业发展的主题。组件生产成本将进一步下降，大部分项目的系统投资成本将下降至</w:t>
      </w:r>
      <w:r>
        <w:rPr>
          <w:spacing w:val="-30"/>
        </w:rPr>
        <w:t> </w:t>
      </w:r>
      <w:r>
        <w:rPr>
          <w:rFonts w:ascii="宋体" w:hAnsi="宋体" w:cs="宋体" w:eastAsia="宋体" w:hint="default"/>
        </w:rPr>
        <w:t>4</w:t>
      </w:r>
      <w:r>
        <w:rPr>
          <w:rFonts w:ascii="宋体" w:hAnsi="宋体" w:cs="宋体" w:eastAsia="宋体" w:hint="default"/>
          <w:spacing w:val="-30"/>
        </w:rPr>
        <w:t> </w:t>
      </w:r>
      <w:r>
        <w:rPr/>
        <w:t>元</w:t>
      </w:r>
      <w:r>
        <w:rPr>
          <w:rFonts w:ascii="宋体" w:hAnsi="宋体" w:cs="宋体" w:eastAsia="宋体" w:hint="default"/>
        </w:rPr>
        <w:t>/</w:t>
      </w:r>
      <w:r>
        <w:rPr>
          <w:rFonts w:ascii="宋体" w:hAnsi="宋体" w:cs="宋体" w:eastAsia="宋体" w:hint="default"/>
          <w:spacing w:val="-95"/>
        </w:rPr>
        <w:t> </w:t>
      </w:r>
      <w:r>
        <w:rPr>
          <w:spacing w:val="-2"/>
        </w:rPr>
        <w:t>瓦，在一类地区发电成本将低于脱硫燃煤标杆电价，从而实现发电侧上网平价。目前行业整体呈</w:t>
      </w:r>
      <w:r>
        <w:rPr>
          <w:spacing w:val="-25"/>
        </w:rPr>
        <w:t> </w:t>
      </w:r>
      <w:r>
        <w:rPr>
          <w:spacing w:val="-25"/>
        </w:rPr>
      </w:r>
      <w:r>
        <w:rPr>
          <w:spacing w:val="-2"/>
        </w:rPr>
        <w:t>现低端产能过剩、高效产品市场需求持续提升的状态，行业逐步追求规模向精细化发展、追求质</w:t>
      </w:r>
      <w:r>
        <w:rPr>
          <w:spacing w:val="-25"/>
        </w:rPr>
        <w:t> </w:t>
      </w:r>
      <w:r>
        <w:rPr>
          <w:spacing w:val="-25"/>
        </w:rPr>
      </w:r>
      <w:r>
        <w:rPr>
          <w:spacing w:val="-2"/>
        </w:rPr>
        <w:t>量转变和技术创新。随着光伏全产业链的成本不断下降，光伏相对传统能源的成本优势已经逐步</w:t>
      </w:r>
      <w:r>
        <w:rPr>
          <w:spacing w:val="-25"/>
        </w:rPr>
        <w:t> </w:t>
      </w:r>
      <w:r>
        <w:rPr>
          <w:spacing w:val="-25"/>
        </w:rPr>
      </w:r>
      <w:r>
        <w:rPr/>
        <w:t>显现，预计</w:t>
      </w:r>
      <w:r>
        <w:rPr>
          <w:spacing w:val="-55"/>
        </w:rPr>
        <w:t> </w:t>
      </w:r>
      <w:r>
        <w:rPr>
          <w:rFonts w:ascii="宋体" w:hAnsi="宋体" w:cs="宋体" w:eastAsia="宋体" w:hint="default"/>
        </w:rPr>
        <w:t>2020~2021</w:t>
      </w:r>
      <w:r>
        <w:rPr>
          <w:rFonts w:ascii="宋体" w:hAnsi="宋体" w:cs="宋体" w:eastAsia="宋体" w:hint="default"/>
          <w:spacing w:val="-54"/>
        </w:rPr>
        <w:t> </w:t>
      </w:r>
      <w:r>
        <w:rPr/>
        <w:t>年将全面实现光伏平价上网。</w:t>
      </w:r>
      <w:r>
        <w:rPr>
          <w:rFonts w:ascii="宋体" w:hAnsi="宋体" w:cs="宋体" w:eastAsia="宋体" w:hint="default"/>
        </w:rPr>
        <w:t> </w:t>
      </w:r>
    </w:p>
    <w:p>
      <w:pPr>
        <w:pStyle w:val="Heading3"/>
        <w:spacing w:line="240" w:lineRule="auto" w:before="7"/>
        <w:ind w:right="0"/>
        <w:jc w:val="left"/>
        <w:rPr>
          <w:rFonts w:ascii="宋体" w:hAnsi="宋体" w:cs="宋体" w:eastAsia="宋体" w:hint="default"/>
          <w:b w:val="0"/>
          <w:bCs w:val="0"/>
        </w:rPr>
      </w:pPr>
      <w:r>
        <w:rPr>
          <w:rFonts w:ascii="宋体"/>
          <w:w w:val="99"/>
        </w:rPr>
        <w:t> </w:t>
      </w:r>
      <w:r>
        <w:rPr>
          <w:rFonts w:ascii="宋体"/>
          <w:b w:val="0"/>
        </w:rPr>
      </w:r>
    </w:p>
    <w:p>
      <w:pPr>
        <w:pStyle w:val="BodyText"/>
        <w:spacing w:line="273" w:lineRule="auto" w:before="37"/>
        <w:ind w:left="638" w:right="0" w:firstLine="2"/>
        <w:jc w:val="left"/>
      </w:pPr>
      <w:r>
        <w:rPr>
          <w:rFonts w:ascii="宋体" w:hAnsi="宋体" w:cs="宋体" w:eastAsia="宋体" w:hint="default"/>
          <w:b/>
          <w:bCs/>
        </w:rPr>
        <w:t>3</w:t>
      </w:r>
      <w:r>
        <w:rPr>
          <w:rFonts w:ascii="宋体" w:hAnsi="宋体" w:cs="宋体" w:eastAsia="宋体" w:hint="default"/>
          <w:b/>
          <w:bCs/>
        </w:rPr>
        <w:t>、节能领域</w:t>
      </w:r>
      <w:r>
        <w:rPr>
          <w:rFonts w:ascii="宋体" w:hAnsi="宋体" w:cs="宋体" w:eastAsia="宋体" w:hint="default"/>
          <w:b/>
          <w:bCs/>
          <w:w w:val="99"/>
        </w:rPr>
        <w:t> </w:t>
      </w:r>
      <w:r>
        <w:rPr>
          <w:spacing w:val="-2"/>
        </w:rPr>
        <w:t>随着建设资源节约型社会转型目标的推进，能源生产的清洁化和能源消费的高效化转型成为</w:t>
      </w:r>
    </w:p>
    <w:p>
      <w:pPr>
        <w:pStyle w:val="BodyText"/>
        <w:spacing w:line="273" w:lineRule="auto" w:before="7"/>
        <w:ind w:right="210"/>
        <w:jc w:val="both"/>
        <w:rPr>
          <w:rFonts w:ascii="宋体" w:hAnsi="宋体" w:cs="宋体" w:eastAsia="宋体" w:hint="default"/>
        </w:rPr>
      </w:pPr>
      <w:r>
        <w:rPr>
          <w:spacing w:val="-8"/>
        </w:rPr>
        <w:t>了大势所趋。根据测算，</w:t>
      </w:r>
      <w:r>
        <w:rPr>
          <w:rFonts w:ascii="宋体" w:hAnsi="宋体" w:cs="宋体" w:eastAsia="宋体" w:hint="default"/>
          <w:spacing w:val="-8"/>
        </w:rPr>
        <w:t>2019</w:t>
      </w:r>
      <w:r>
        <w:rPr>
          <w:rFonts w:ascii="宋体" w:hAnsi="宋体" w:cs="宋体" w:eastAsia="宋体" w:hint="default"/>
          <w:spacing w:val="-44"/>
        </w:rPr>
        <w:t> </w:t>
      </w:r>
      <w:r>
        <w:rPr/>
        <w:t>年我国的节能服务产业总值为</w:t>
      </w:r>
      <w:r>
        <w:rPr>
          <w:spacing w:val="-44"/>
        </w:rPr>
        <w:t> </w:t>
      </w:r>
      <w:r>
        <w:rPr>
          <w:rFonts w:ascii="宋体" w:hAnsi="宋体" w:cs="宋体" w:eastAsia="宋体" w:hint="default"/>
        </w:rPr>
        <w:t>5222</w:t>
      </w:r>
      <w:r>
        <w:rPr>
          <w:rFonts w:ascii="宋体" w:hAnsi="宋体" w:cs="宋体" w:eastAsia="宋体" w:hint="default"/>
          <w:spacing w:val="-44"/>
        </w:rPr>
        <w:t> </w:t>
      </w:r>
      <w:r>
        <w:rPr>
          <w:spacing w:val="-5"/>
        </w:rPr>
        <w:t>亿元，按照相关研究机构预测，</w:t>
      </w:r>
      <w:r>
        <w:rPr>
          <w:spacing w:val="-101"/>
        </w:rPr>
        <w:t> </w:t>
      </w:r>
      <w:r>
        <w:rPr>
          <w:spacing w:val="-101"/>
        </w:rPr>
      </w:r>
      <w:r>
        <w:rPr>
          <w:spacing w:val="-2"/>
        </w:rPr>
        <w:t>综合能源服务市场近期为千亿级市场，中远期将成长为万亿级市场，未来有望孕育众多千亿级或</w:t>
      </w:r>
      <w:r>
        <w:rPr>
          <w:spacing w:val="-25"/>
        </w:rPr>
        <w:t> </w:t>
      </w:r>
      <w:r>
        <w:rPr>
          <w:spacing w:val="-25"/>
        </w:rPr>
      </w:r>
      <w:r>
        <w:rPr/>
        <w:t>百亿级综合能源服务商。</w:t>
      </w:r>
      <w:r>
        <w:rPr>
          <w:rFonts w:ascii="宋体" w:hAnsi="宋体" w:cs="宋体" w:eastAsia="宋体" w:hint="default"/>
        </w:rPr>
        <w:t> </w:t>
      </w:r>
    </w:p>
    <w:p>
      <w:pPr>
        <w:pStyle w:val="BodyText"/>
        <w:spacing w:line="273" w:lineRule="auto" w:before="7"/>
        <w:ind w:right="207" w:firstLine="419"/>
        <w:jc w:val="both"/>
        <w:rPr>
          <w:rFonts w:ascii="宋体" w:hAnsi="宋体" w:cs="宋体" w:eastAsia="宋体" w:hint="default"/>
        </w:rPr>
      </w:pPr>
      <w:r>
        <w:rPr>
          <w:spacing w:val="-6"/>
        </w:rPr>
        <w:t>在国家电网公司印发的《</w:t>
      </w:r>
      <w:r>
        <w:rPr>
          <w:rFonts w:ascii="宋体" w:hAnsi="宋体" w:cs="宋体" w:eastAsia="宋体" w:hint="default"/>
          <w:spacing w:val="-6"/>
        </w:rPr>
        <w:t>2020</w:t>
      </w:r>
      <w:r>
        <w:rPr>
          <w:rFonts w:ascii="宋体" w:hAnsi="宋体" w:cs="宋体" w:eastAsia="宋体" w:hint="default"/>
          <w:spacing w:val="3"/>
        </w:rPr>
        <w:t> </w:t>
      </w:r>
      <w:r>
        <w:rPr>
          <w:spacing w:val="-9"/>
        </w:rPr>
        <w:t>年重点工作任务的通知》中明确指出，将聚焦工业企业、园区、</w:t>
      </w:r>
      <w:r>
        <w:rPr>
          <w:w w:val="100"/>
        </w:rPr>
        <w:t> </w:t>
      </w:r>
      <w:r>
        <w:rPr>
          <w:spacing w:val="-2"/>
        </w:rPr>
        <w:t>公共建筑等重点领域，大力开展综合能源服务。同时，国网全资子公司国网综合能源服务集团有</w:t>
      </w:r>
      <w:r>
        <w:rPr>
          <w:spacing w:val="-25"/>
        </w:rPr>
        <w:t> </w:t>
      </w:r>
      <w:r>
        <w:rPr>
          <w:spacing w:val="-25"/>
        </w:rPr>
      </w:r>
      <w:r>
        <w:rPr/>
        <w:t>限公司将</w:t>
      </w:r>
      <w:r>
        <w:rPr>
          <w:spacing w:val="-21"/>
        </w:rPr>
        <w:t> </w:t>
      </w:r>
      <w:r>
        <w:rPr>
          <w:rFonts w:ascii="宋体" w:hAnsi="宋体" w:cs="宋体" w:eastAsia="宋体" w:hint="default"/>
        </w:rPr>
        <w:t>2020</w:t>
      </w:r>
      <w:r>
        <w:rPr>
          <w:rFonts w:ascii="宋体" w:hAnsi="宋体" w:cs="宋体" w:eastAsia="宋体" w:hint="default"/>
          <w:spacing w:val="-24"/>
        </w:rPr>
        <w:t> </w:t>
      </w:r>
      <w:r>
        <w:rPr>
          <w:spacing w:val="-5"/>
        </w:rPr>
        <w:t>年确定为“改革攻坚和转型发展年”，将立足综合能效、多能供应、清洁能源、新</w:t>
      </w:r>
      <w:r>
        <w:rPr>
          <w:spacing w:val="-90"/>
        </w:rPr>
        <w:t> </w:t>
      </w:r>
      <w:r>
        <w:rPr>
          <w:spacing w:val="-90"/>
        </w:rPr>
      </w:r>
      <w:r>
        <w:rPr/>
        <w:t>兴用能等四大重点领域。</w:t>
      </w:r>
      <w:r>
        <w:rPr>
          <w:rFonts w:ascii="宋体" w:hAnsi="宋体" w:cs="宋体" w:eastAsia="宋体" w:hint="default"/>
        </w:rPr>
        <w:t> </w:t>
      </w:r>
    </w:p>
    <w:p>
      <w:pPr>
        <w:pStyle w:val="BodyText"/>
        <w:spacing w:line="273" w:lineRule="auto" w:before="7"/>
        <w:ind w:right="217" w:firstLine="419"/>
        <w:jc w:val="both"/>
        <w:rPr>
          <w:rFonts w:ascii="宋体" w:hAnsi="宋体" w:cs="宋体" w:eastAsia="宋体" w:hint="default"/>
        </w:rPr>
      </w:pPr>
      <w:r>
        <w:rPr>
          <w:spacing w:val="-2"/>
        </w:rPr>
        <w:t>南方电网印发《南方电网关于进一步推进创新工作的指导意见》中提出，在围绕核心业务发</w:t>
      </w:r>
      <w:r>
        <w:rPr>
          <w:w w:val="100"/>
        </w:rPr>
        <w:t> </w:t>
      </w:r>
      <w:r>
        <w:rPr>
          <w:spacing w:val="-2"/>
        </w:rPr>
        <w:t>展新业务方面，将建设互联网产业服务平台以及综合能源服务等多项互联网业务场景。其控股子</w:t>
      </w:r>
      <w:r>
        <w:rPr>
          <w:spacing w:val="-25"/>
        </w:rPr>
        <w:t> </w:t>
      </w:r>
      <w:r>
        <w:rPr>
          <w:spacing w:val="-25"/>
        </w:rPr>
      </w:r>
      <w:r>
        <w:rPr/>
        <w:t>公司南方电网综合能源服务有限公司（简称南网综能）</w:t>
      </w:r>
      <w:r>
        <w:rPr>
          <w:rFonts w:ascii="宋体" w:hAnsi="宋体" w:cs="宋体" w:eastAsia="宋体" w:hint="default"/>
        </w:rPr>
        <w:t>A</w:t>
      </w:r>
      <w:r>
        <w:rPr>
          <w:rFonts w:ascii="宋体" w:hAnsi="宋体" w:cs="宋体" w:eastAsia="宋体" w:hint="default"/>
          <w:spacing w:val="-56"/>
        </w:rPr>
        <w:t> </w:t>
      </w:r>
      <w:r>
        <w:rPr/>
        <w:t>股</w:t>
      </w:r>
      <w:r>
        <w:rPr>
          <w:spacing w:val="-54"/>
        </w:rPr>
        <w:t> </w:t>
      </w:r>
      <w:r>
        <w:rPr>
          <w:rFonts w:ascii="宋体" w:hAnsi="宋体" w:cs="宋体" w:eastAsia="宋体" w:hint="default"/>
        </w:rPr>
        <w:t>IPO</w:t>
      </w:r>
      <w:r>
        <w:rPr>
          <w:rFonts w:ascii="宋体" w:hAnsi="宋体" w:cs="宋体" w:eastAsia="宋体" w:hint="default"/>
          <w:spacing w:val="-54"/>
        </w:rPr>
        <w:t> </w:t>
      </w:r>
      <w:r>
        <w:rPr/>
        <w:t>申请材料日前已获证监会接收，</w:t>
      </w:r>
      <w:r>
        <w:rPr>
          <w:w w:val="100"/>
        </w:rPr>
        <w:t> </w:t>
      </w:r>
      <w:r>
        <w:rPr/>
        <w:t>该公司募集资金将主要用于建筑节能服务、工业节能、城市节能服务等领域。</w:t>
      </w:r>
      <w:r>
        <w:rPr>
          <w:rFonts w:ascii="宋体" w:hAnsi="宋体" w:cs="宋体" w:eastAsia="宋体" w:hint="default"/>
        </w:rPr>
        <w:t> </w:t>
      </w:r>
    </w:p>
    <w:p>
      <w:pPr>
        <w:pStyle w:val="BodyText"/>
        <w:spacing w:line="273" w:lineRule="auto" w:before="7"/>
        <w:ind w:right="208" w:firstLine="419"/>
        <w:jc w:val="both"/>
      </w:pPr>
      <w:r>
        <w:rPr>
          <w:spacing w:val="-7"/>
          <w:w w:val="100"/>
        </w:rPr>
        <w:t>储能是智能电网、可再生能源高占比能源系统、能源互联网的重要组成部分和关键支撑技术，</w:t>
      </w:r>
      <w:r>
        <w:rPr>
          <w:w w:val="100"/>
        </w:rPr>
        <w:t> </w:t>
      </w:r>
      <w:r>
        <w:rPr>
          <w:spacing w:val="-2"/>
        </w:rPr>
        <w:t>也是综合能源服务的关键技术。随着各国政府对储能产业的相关支持政策陆续出台和综合能源服</w:t>
      </w:r>
      <w:r>
        <w:rPr>
          <w:spacing w:val="-25"/>
        </w:rPr>
        <w:t> </w:t>
      </w:r>
      <w:r>
        <w:rPr>
          <w:spacing w:val="-25"/>
        </w:rPr>
      </w:r>
      <w:r>
        <w:rPr>
          <w:spacing w:val="-2"/>
        </w:rPr>
        <w:t>务的快速发展，储能市场规模不断加大，产业链布局不断完善，商业模式日趋多元。用户侧储能</w:t>
      </w:r>
    </w:p>
    <w:p>
      <w:pPr>
        <w:spacing w:after="0" w:line="273" w:lineRule="auto"/>
        <w:jc w:val="both"/>
        <w:sectPr>
          <w:footerReference w:type="default" r:id="rId32"/>
          <w:pgSz w:w="11910" w:h="16840"/>
          <w:pgMar w:footer="974" w:header="747" w:top="1140" w:bottom="1160" w:left="1580" w:right="1060"/>
        </w:sectPr>
      </w:pPr>
    </w:p>
    <w:p>
      <w:pPr>
        <w:spacing w:line="240" w:lineRule="auto" w:before="9"/>
        <w:rPr>
          <w:rFonts w:ascii="宋体" w:hAnsi="宋体" w:cs="宋体" w:eastAsia="宋体" w:hint="default"/>
          <w:sz w:val="25"/>
          <w:szCs w:val="25"/>
        </w:rPr>
      </w:pPr>
    </w:p>
    <w:p>
      <w:pPr>
        <w:pStyle w:val="BodyText"/>
        <w:spacing w:line="240" w:lineRule="auto" w:before="36"/>
        <w:ind w:right="0"/>
        <w:jc w:val="left"/>
      </w:pPr>
      <w:r>
        <w:rPr/>
        <w:t>项目在中国还没有大面积推广，在《贯彻落实</w:t>
      </w:r>
      <w:r>
        <w:rPr>
          <w:rFonts w:ascii="宋体" w:hAnsi="宋体" w:cs="宋体" w:eastAsia="宋体" w:hint="default"/>
        </w:rPr>
        <w:t>&lt;</w:t>
      </w:r>
      <w:r>
        <w:rPr/>
        <w:t>关于促进储能技术与产业发展的指导意</w:t>
      </w:r>
    </w:p>
    <w:p>
      <w:pPr>
        <w:pStyle w:val="BodyText"/>
        <w:spacing w:line="273" w:lineRule="auto" w:before="37"/>
        <w:ind w:right="0"/>
        <w:jc w:val="left"/>
        <w:rPr>
          <w:rFonts w:ascii="宋体" w:hAnsi="宋体" w:cs="宋体" w:eastAsia="宋体" w:hint="default"/>
        </w:rPr>
      </w:pPr>
      <w:r>
        <w:rPr/>
        <w:t>见</w:t>
      </w:r>
      <w:r>
        <w:rPr>
          <w:rFonts w:ascii="宋体" w:hAnsi="宋体" w:cs="宋体" w:eastAsia="宋体" w:hint="default"/>
        </w:rPr>
        <w:t>&gt;2019-2020</w:t>
      </w:r>
      <w:r>
        <w:rPr>
          <w:rFonts w:ascii="宋体" w:hAnsi="宋体" w:cs="宋体" w:eastAsia="宋体" w:hint="default"/>
          <w:spacing w:val="-13"/>
        </w:rPr>
        <w:t> </w:t>
      </w:r>
      <w:r>
        <w:rPr>
          <w:spacing w:val="-3"/>
        </w:rPr>
        <w:t>年行动计划》中给出了未来通过技术进步和多种商业模式的结合推动用户侧储能的</w:t>
      </w:r>
      <w:r>
        <w:rPr>
          <w:spacing w:val="-87"/>
        </w:rPr>
        <w:t> </w:t>
      </w:r>
      <w:r>
        <w:rPr>
          <w:spacing w:val="-87"/>
        </w:rPr>
      </w:r>
      <w:r>
        <w:rPr/>
        <w:t>发展，其市场空间未来可期。</w:t>
      </w:r>
      <w:r>
        <w:rPr>
          <w:rFonts w:ascii="宋体" w:hAnsi="宋体" w:cs="宋体" w:eastAsia="宋体" w:hint="default"/>
        </w:rPr>
        <w:t> </w:t>
      </w:r>
    </w:p>
    <w:p>
      <w:pPr>
        <w:pStyle w:val="BodyText"/>
        <w:spacing w:line="240" w:lineRule="auto" w:before="7"/>
        <w:ind w:right="0"/>
        <w:jc w:val="left"/>
        <w:rPr>
          <w:rFonts w:ascii="宋体" w:hAnsi="宋体" w:cs="宋体" w:eastAsia="宋体" w:hint="default"/>
        </w:rPr>
      </w:pPr>
      <w:r>
        <w:rPr>
          <w:rFonts w:ascii="宋体"/>
          <w:w w:val="100"/>
        </w:rPr>
        <w:t> </w:t>
      </w:r>
    </w:p>
    <w:p>
      <w:pPr>
        <w:pStyle w:val="Heading3"/>
        <w:tabs>
          <w:tab w:pos="1057" w:val="left" w:leader="none"/>
        </w:tabs>
        <w:spacing w:line="240" w:lineRule="auto"/>
        <w:ind w:right="0"/>
        <w:jc w:val="left"/>
        <w:rPr>
          <w:b w:val="0"/>
          <w:bCs w:val="0"/>
        </w:rPr>
      </w:pPr>
      <w:r>
        <w:rPr>
          <w:rFonts w:ascii="宋体" w:hAnsi="宋体" w:cs="宋体" w:eastAsia="宋体" w:hint="default"/>
          <w:spacing w:val="-1"/>
        </w:rPr>
        <w:t>(</w:t>
      </w:r>
      <w:r>
        <w:rPr>
          <w:spacing w:val="-1"/>
        </w:rPr>
        <w:t>二</w:t>
      </w:r>
      <w:r>
        <w:rPr>
          <w:rFonts w:ascii="宋体" w:hAnsi="宋体" w:cs="宋体" w:eastAsia="宋体" w:hint="default"/>
          <w:spacing w:val="-1"/>
        </w:rPr>
        <w:t>)</w:t>
        <w:tab/>
      </w:r>
      <w:r>
        <w:rPr/>
        <w:t>公司发展战略</w:t>
      </w:r>
      <w:r>
        <w:rPr>
          <w:b w:val="0"/>
          <w:bCs w:val="0"/>
        </w:rPr>
      </w:r>
    </w:p>
    <w:p>
      <w:pPr>
        <w:pStyle w:val="BodyText"/>
        <w:spacing w:line="273" w:lineRule="auto" w:before="97"/>
        <w:ind w:left="638" w:right="0" w:hanging="420"/>
        <w:jc w:val="left"/>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公司将坚定围绕“智能、节能、新能源”三大业务板块，紧紧抓住能源结构调整的历史性发</w:t>
      </w:r>
    </w:p>
    <w:p>
      <w:pPr>
        <w:pStyle w:val="BodyText"/>
        <w:spacing w:line="273" w:lineRule="auto" w:before="7"/>
        <w:ind w:right="0"/>
        <w:jc w:val="left"/>
        <w:rPr>
          <w:rFonts w:ascii="宋体" w:hAnsi="宋体" w:cs="宋体" w:eastAsia="宋体" w:hint="default"/>
        </w:rPr>
      </w:pPr>
      <w:r>
        <w:rPr>
          <w:spacing w:val="-2"/>
        </w:rPr>
        <w:t>展机遇，深化布局，持续创新，致力于成为“全球智能电网、新能源、能效管理领域一流的产品</w:t>
      </w:r>
      <w:r>
        <w:rPr>
          <w:spacing w:val="-25"/>
        </w:rPr>
        <w:t> </w:t>
      </w:r>
      <w:r>
        <w:rPr>
          <w:spacing w:val="-25"/>
        </w:rPr>
      </w:r>
      <w:r>
        <w:rPr/>
        <w:t>和运营服务商”，公司发展战略主要定位如下：</w:t>
      </w:r>
      <w:r>
        <w:rPr>
          <w:rFonts w:ascii="宋体" w:hAnsi="宋体" w:cs="宋体" w:eastAsia="宋体" w:hint="default"/>
        </w:rPr>
        <w:t> </w:t>
      </w:r>
    </w:p>
    <w:p>
      <w:pPr>
        <w:pStyle w:val="BodyText"/>
        <w:spacing w:line="273" w:lineRule="auto" w:before="7"/>
        <w:ind w:right="208" w:firstLine="419"/>
        <w:jc w:val="both"/>
        <w:rPr>
          <w:rFonts w:ascii="宋体" w:hAnsi="宋体" w:cs="宋体" w:eastAsia="宋体" w:hint="default"/>
        </w:rPr>
      </w:pPr>
      <w:r>
        <w:rPr>
          <w:rFonts w:ascii="宋体" w:hAnsi="宋体" w:cs="宋体" w:eastAsia="宋体" w:hint="default"/>
          <w:spacing w:val="-4"/>
        </w:rPr>
        <w:t>1</w:t>
      </w:r>
      <w:r>
        <w:rPr>
          <w:spacing w:val="-4"/>
        </w:rPr>
        <w:t>、以智能配用电为核心，紧抓泛在电力物联网建设机遇，聚焦于新型智能终端及相关应用平</w:t>
      </w:r>
      <w:r>
        <w:rPr>
          <w:w w:val="100"/>
        </w:rPr>
        <w:t> </w:t>
      </w:r>
      <w:r>
        <w:rPr/>
        <w:t>台，面向电网侧及用户侧提供能源物联网产品及系统解决方案。</w:t>
      </w:r>
      <w:r>
        <w:rPr>
          <w:rFonts w:ascii="宋体" w:hAnsi="宋体" w:cs="宋体" w:eastAsia="宋体" w:hint="default"/>
        </w:rPr>
        <w:t> </w:t>
      </w:r>
    </w:p>
    <w:p>
      <w:pPr>
        <w:pStyle w:val="BodyText"/>
        <w:spacing w:line="273" w:lineRule="auto" w:before="8"/>
        <w:ind w:right="207" w:firstLine="419"/>
        <w:jc w:val="both"/>
        <w:rPr>
          <w:rFonts w:ascii="宋体" w:hAnsi="宋体" w:cs="宋体" w:eastAsia="宋体" w:hint="default"/>
        </w:rPr>
      </w:pPr>
      <w:r>
        <w:rPr>
          <w:rFonts w:ascii="宋体" w:hAnsi="宋体" w:cs="宋体" w:eastAsia="宋体" w:hint="default"/>
          <w:spacing w:val="-11"/>
        </w:rPr>
        <w:t>2</w:t>
      </w:r>
      <w:r>
        <w:rPr>
          <w:spacing w:val="-11"/>
        </w:rPr>
        <w:t>、以 </w:t>
      </w:r>
      <w:r>
        <w:rPr>
          <w:rFonts w:ascii="宋体" w:hAnsi="宋体" w:cs="宋体" w:eastAsia="宋体" w:hint="default"/>
        </w:rPr>
        <w:t>1.5GW</w:t>
      </w:r>
      <w:r>
        <w:rPr>
          <w:rFonts w:ascii="宋体" w:hAnsi="宋体" w:cs="宋体" w:eastAsia="宋体" w:hint="default"/>
          <w:spacing w:val="-34"/>
        </w:rPr>
        <w:t> </w:t>
      </w:r>
      <w:r>
        <w:rPr>
          <w:spacing w:val="-4"/>
        </w:rPr>
        <w:t>光伏电站资产运营为基础，持续开发储备各类分布式电站资源，未来三年力争开</w:t>
      </w:r>
      <w:r>
        <w:rPr>
          <w:w w:val="100"/>
        </w:rPr>
        <w:t> </w:t>
      </w:r>
      <w:r>
        <w:rPr/>
        <w:t>发建设</w:t>
      </w:r>
      <w:r>
        <w:rPr>
          <w:spacing w:val="-54"/>
        </w:rPr>
        <w:t> </w:t>
      </w:r>
      <w:r>
        <w:rPr>
          <w:rFonts w:ascii="宋体" w:hAnsi="宋体" w:cs="宋体" w:eastAsia="宋体" w:hint="default"/>
        </w:rPr>
        <w:t>3-5GW</w:t>
      </w:r>
      <w:r>
        <w:rPr>
          <w:rFonts w:ascii="宋体" w:hAnsi="宋体" w:cs="宋体" w:eastAsia="宋体" w:hint="default"/>
          <w:spacing w:val="-54"/>
        </w:rPr>
        <w:t> </w:t>
      </w:r>
      <w:r>
        <w:rPr/>
        <w:t>各类光伏电站；全面提升</w:t>
      </w:r>
      <w:r>
        <w:rPr>
          <w:spacing w:val="-54"/>
        </w:rPr>
        <w:t> </w:t>
      </w:r>
      <w:r>
        <w:rPr>
          <w:rFonts w:ascii="宋体" w:hAnsi="宋体" w:cs="宋体" w:eastAsia="宋体" w:hint="default"/>
        </w:rPr>
        <w:t>N</w:t>
      </w:r>
      <w:r>
        <w:rPr>
          <w:rFonts w:ascii="宋体" w:hAnsi="宋体" w:cs="宋体" w:eastAsia="宋体" w:hint="default"/>
          <w:spacing w:val="-56"/>
        </w:rPr>
        <w:t> </w:t>
      </w:r>
      <w:r>
        <w:rPr/>
        <w:t>型高效双面单晶电池及组件产品核心竞争优势，深化林</w:t>
      </w:r>
      <w:r>
        <w:rPr>
          <w:w w:val="100"/>
        </w:rPr>
        <w:t> </w:t>
      </w:r>
      <w:r>
        <w:rPr>
          <w:spacing w:val="-2"/>
        </w:rPr>
        <w:t>洋研究院多年的设计经验和林洋运维团队的高效运维能力，依托“项目开发、高效产品、高效系</w:t>
      </w:r>
      <w:r>
        <w:rPr>
          <w:spacing w:val="-25"/>
        </w:rPr>
        <w:t> </w:t>
      </w:r>
      <w:r>
        <w:rPr>
          <w:spacing w:val="-25"/>
        </w:rPr>
      </w:r>
      <w:r>
        <w:rPr/>
        <w:t>统集成、高效运维”等综合优势，打造光伏高效</w:t>
      </w:r>
      <w:r>
        <w:rPr>
          <w:spacing w:val="-57"/>
        </w:rPr>
        <w:t> </w:t>
      </w:r>
      <w:r>
        <w:rPr>
          <w:rFonts w:ascii="宋体" w:hAnsi="宋体" w:cs="宋体" w:eastAsia="宋体" w:hint="default"/>
        </w:rPr>
        <w:t>EPC</w:t>
      </w:r>
      <w:r>
        <w:rPr>
          <w:rFonts w:ascii="宋体" w:hAnsi="宋体" w:cs="宋体" w:eastAsia="宋体" w:hint="default"/>
          <w:spacing w:val="-57"/>
        </w:rPr>
        <w:t> </w:t>
      </w:r>
      <w:r>
        <w:rPr/>
        <w:t>系统集成及运维核心竞争力。</w:t>
      </w:r>
      <w:r>
        <w:rPr>
          <w:rFonts w:ascii="宋体" w:hAnsi="宋体" w:cs="宋体" w:eastAsia="宋体" w:hint="default"/>
        </w:rPr>
        <w:t> </w:t>
      </w:r>
    </w:p>
    <w:p>
      <w:pPr>
        <w:pStyle w:val="BodyText"/>
        <w:spacing w:line="273" w:lineRule="auto" w:before="7"/>
        <w:ind w:right="208" w:firstLine="419"/>
        <w:jc w:val="both"/>
        <w:rPr>
          <w:rFonts w:ascii="宋体" w:hAnsi="宋体" w:cs="宋体" w:eastAsia="宋体" w:hint="default"/>
        </w:rPr>
      </w:pPr>
      <w:r>
        <w:rPr>
          <w:rFonts w:ascii="宋体" w:hAnsi="宋体" w:cs="宋体" w:eastAsia="宋体" w:hint="default"/>
          <w:spacing w:val="-4"/>
        </w:rPr>
        <w:t>3</w:t>
      </w:r>
      <w:r>
        <w:rPr>
          <w:spacing w:val="-4"/>
        </w:rPr>
        <w:t>、坚持技术创新，依托公司智慧光伏云平台、智慧能效云平台、智慧微网云平台等互联网技</w:t>
      </w:r>
      <w:r>
        <w:rPr>
          <w:w w:val="100"/>
        </w:rPr>
        <w:t> </w:t>
      </w:r>
      <w:r>
        <w:rPr>
          <w:spacing w:val="-6"/>
        </w:rPr>
        <w:t>术，以智慧能源创新业务全面布局，结合国家在售电市场放开、配网改革、综合能源服务等业务，</w:t>
      </w:r>
      <w:r>
        <w:rPr>
          <w:spacing w:val="-52"/>
        </w:rPr>
        <w:t> </w:t>
      </w:r>
      <w:r>
        <w:rPr>
          <w:spacing w:val="-52"/>
        </w:rPr>
      </w:r>
      <w:r>
        <w:rPr/>
        <w:t>培育公司未来发展新的增长点。</w:t>
      </w:r>
      <w:r>
        <w:rPr>
          <w:rFonts w:ascii="宋体" w:hAnsi="宋体" w:cs="宋体" w:eastAsia="宋体" w:hint="default"/>
        </w:rPr>
        <w:t> </w:t>
      </w:r>
    </w:p>
    <w:p>
      <w:pPr>
        <w:pStyle w:val="BodyText"/>
        <w:spacing w:line="240" w:lineRule="auto" w:before="7"/>
        <w:ind w:right="0"/>
        <w:jc w:val="left"/>
        <w:rPr>
          <w:rFonts w:ascii="宋体" w:hAnsi="宋体" w:cs="宋体" w:eastAsia="宋体" w:hint="default"/>
        </w:rPr>
      </w:pPr>
      <w:r>
        <w:rPr>
          <w:rFonts w:ascii="宋体"/>
          <w:w w:val="100"/>
        </w:rPr>
        <w:t> </w:t>
      </w:r>
    </w:p>
    <w:p>
      <w:pPr>
        <w:pStyle w:val="Heading3"/>
        <w:tabs>
          <w:tab w:pos="1057" w:val="left" w:leader="none"/>
        </w:tabs>
        <w:spacing w:line="240" w:lineRule="auto"/>
        <w:ind w:right="0"/>
        <w:jc w:val="left"/>
        <w:rPr>
          <w:b w:val="0"/>
          <w:bCs w:val="0"/>
        </w:rPr>
      </w:pPr>
      <w:r>
        <w:rPr>
          <w:rFonts w:ascii="宋体" w:hAnsi="宋体" w:cs="宋体" w:eastAsia="宋体" w:hint="default"/>
          <w:spacing w:val="-1"/>
        </w:rPr>
        <w:t>(</w:t>
      </w:r>
      <w:r>
        <w:rPr>
          <w:spacing w:val="-1"/>
        </w:rPr>
        <w:t>三</w:t>
      </w:r>
      <w:r>
        <w:rPr>
          <w:rFonts w:ascii="宋体" w:hAnsi="宋体" w:cs="宋体" w:eastAsia="宋体" w:hint="default"/>
          <w:spacing w:val="-1"/>
        </w:rPr>
        <w:t>)</w:t>
        <w:tab/>
      </w:r>
      <w:r>
        <w:rPr/>
        <w:t>经营计划</w:t>
      </w:r>
      <w:r>
        <w:rPr>
          <w:b w:val="0"/>
          <w:bCs w:val="0"/>
        </w:rPr>
      </w:r>
    </w:p>
    <w:p>
      <w:pPr>
        <w:pStyle w:val="BodyText"/>
        <w:spacing w:line="240" w:lineRule="auto" w:before="97"/>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auto" w:before="37"/>
        <w:ind w:right="207" w:firstLine="419"/>
        <w:jc w:val="both"/>
        <w:rPr>
          <w:rFonts w:ascii="宋体" w:hAnsi="宋体" w:cs="宋体" w:eastAsia="宋体" w:hint="default"/>
        </w:rPr>
      </w:pPr>
      <w:r>
        <w:rPr>
          <w:rFonts w:ascii="宋体" w:hAnsi="宋体" w:cs="宋体" w:eastAsia="宋体" w:hint="default"/>
        </w:rPr>
        <w:t>2020</w:t>
      </w:r>
      <w:r>
        <w:rPr>
          <w:rFonts w:ascii="宋体" w:hAnsi="宋体" w:cs="宋体" w:eastAsia="宋体" w:hint="default"/>
          <w:spacing w:val="-41"/>
        </w:rPr>
        <w:t> </w:t>
      </w:r>
      <w:r>
        <w:rPr>
          <w:spacing w:val="-3"/>
        </w:rPr>
        <w:t>年，公司将继续强化在智能电表、用电信息采集终端、智能配用电终端、海外</w:t>
      </w:r>
      <w:r>
        <w:rPr>
          <w:spacing w:val="-38"/>
        </w:rPr>
        <w:t> </w:t>
      </w:r>
      <w:r>
        <w:rPr>
          <w:rFonts w:ascii="宋体" w:hAnsi="宋体" w:cs="宋体" w:eastAsia="宋体" w:hint="default"/>
        </w:rPr>
        <w:t>AMI</w:t>
      </w:r>
      <w:r>
        <w:rPr>
          <w:rFonts w:ascii="宋体" w:hAnsi="宋体" w:cs="宋体" w:eastAsia="宋体" w:hint="default"/>
          <w:spacing w:val="-39"/>
        </w:rPr>
        <w:t> </w:t>
      </w:r>
      <w:r>
        <w:rPr>
          <w:spacing w:val="-3"/>
        </w:rPr>
        <w:t>系统</w:t>
      </w:r>
      <w:r>
        <w:rPr>
          <w:spacing w:val="-3"/>
          <w:w w:val="100"/>
        </w:rPr>
        <w:t> </w:t>
      </w:r>
      <w:r>
        <w:rPr/>
        <w:t>解决方案等领域的国内国际市场地位，紧紧抓住国网、南网智能配用电建设以及海外</w:t>
      </w:r>
      <w:r>
        <w:rPr>
          <w:spacing w:val="-54"/>
        </w:rPr>
        <w:t> </w:t>
      </w:r>
      <w:r>
        <w:rPr>
          <w:rFonts w:ascii="宋体" w:hAnsi="宋体" w:cs="宋体" w:eastAsia="宋体" w:hint="default"/>
        </w:rPr>
        <w:t>AMI</w:t>
      </w:r>
      <w:r>
        <w:rPr>
          <w:rFonts w:ascii="宋体" w:hAnsi="宋体" w:cs="宋体" w:eastAsia="宋体" w:hint="default"/>
          <w:spacing w:val="-55"/>
        </w:rPr>
        <w:t> </w:t>
      </w:r>
      <w:r>
        <w:rPr/>
        <w:t>系统加</w:t>
      </w:r>
      <w:r>
        <w:rPr>
          <w:w w:val="100"/>
        </w:rPr>
        <w:t> </w:t>
      </w:r>
      <w:r>
        <w:rPr>
          <w:spacing w:val="-2"/>
        </w:rPr>
        <w:t>快部署的市场机遇和新能源光伏平价时代的发展机遇，加强公司运营效率，加大国际科研及市场</w:t>
      </w:r>
      <w:r>
        <w:rPr>
          <w:spacing w:val="-26"/>
        </w:rPr>
        <w:t> </w:t>
      </w:r>
      <w:r>
        <w:rPr>
          <w:spacing w:val="-26"/>
        </w:rPr>
      </w:r>
      <w:r>
        <w:rPr>
          <w:spacing w:val="-4"/>
        </w:rPr>
        <w:t>投入，增强全球兼并合资合作力度，确保公司三大业务板块持续高效运行。公司</w:t>
      </w:r>
      <w:r>
        <w:rPr>
          <w:spacing w:val="-33"/>
        </w:rPr>
        <w:t> </w:t>
      </w:r>
      <w:r>
        <w:rPr>
          <w:rFonts w:ascii="宋体" w:hAnsi="宋体" w:cs="宋体" w:eastAsia="宋体" w:hint="default"/>
        </w:rPr>
        <w:t>2020</w:t>
      </w:r>
      <w:r>
        <w:rPr>
          <w:rFonts w:ascii="宋体" w:hAnsi="宋体" w:cs="宋体" w:eastAsia="宋体" w:hint="default"/>
          <w:spacing w:val="-38"/>
        </w:rPr>
        <w:t> </w:t>
      </w:r>
      <w:r>
        <w:rPr/>
        <w:t>年度将在以</w:t>
      </w:r>
      <w:r>
        <w:rPr>
          <w:spacing w:val="-99"/>
        </w:rPr>
        <w:t> </w:t>
      </w:r>
      <w:r>
        <w:rPr>
          <w:spacing w:val="-99"/>
        </w:rPr>
      </w:r>
      <w:r>
        <w:rPr/>
        <w:t>下方面积极开展工作：</w:t>
      </w:r>
      <w:r>
        <w:rPr>
          <w:rFonts w:ascii="宋体" w:hAnsi="宋体" w:cs="宋体" w:eastAsia="宋体" w:hint="default"/>
        </w:rPr>
        <w:t> </w:t>
      </w:r>
    </w:p>
    <w:p>
      <w:pPr>
        <w:pStyle w:val="Heading3"/>
        <w:spacing w:line="273" w:lineRule="auto" w:before="7"/>
        <w:ind w:right="117" w:firstLine="422"/>
        <w:jc w:val="both"/>
        <w:rPr>
          <w:rFonts w:ascii="宋体" w:hAnsi="宋体" w:cs="宋体" w:eastAsia="宋体" w:hint="default"/>
          <w:b w:val="0"/>
          <w:bCs w:val="0"/>
        </w:rPr>
      </w:pPr>
      <w:r>
        <w:rPr>
          <w:rFonts w:ascii="宋体" w:hAnsi="宋体" w:cs="宋体" w:eastAsia="宋体" w:hint="default"/>
        </w:rPr>
        <w:t>1</w:t>
      </w:r>
      <w:r>
        <w:rPr/>
        <w:t>、</w:t>
      </w:r>
      <w:r>
        <w:rPr>
          <w:spacing w:val="62"/>
        </w:rPr>
        <w:t> </w:t>
      </w:r>
      <w:r>
        <w:rPr>
          <w:rFonts w:ascii="宋体" w:hAnsi="宋体" w:cs="宋体" w:eastAsia="宋体" w:hint="default"/>
          <w:spacing w:val="62"/>
        </w:rPr>
      </w:r>
      <w:r>
        <w:rPr/>
        <w:t>紧抓全球电网数字化及电力物联网建设机遇，积极推进智能配用电新产品、解决方案，</w:t>
      </w:r>
      <w:r>
        <w:rPr>
          <w:w w:val="100"/>
        </w:rPr>
        <w:t> </w:t>
      </w:r>
      <w:r>
        <w:rPr/>
        <w:t>进一步扩大海外市场份额；</w:t>
      </w:r>
      <w:r>
        <w:rPr>
          <w:rFonts w:ascii="宋体" w:hAnsi="宋体" w:cs="宋体" w:eastAsia="宋体" w:hint="default"/>
          <w:w w:val="99"/>
        </w:rPr>
        <w:t> </w:t>
      </w:r>
      <w:r>
        <w:rPr>
          <w:rFonts w:ascii="宋体" w:hAnsi="宋体" w:cs="宋体" w:eastAsia="宋体" w:hint="default"/>
          <w:b w:val="0"/>
          <w:bCs w:val="0"/>
        </w:rPr>
      </w:r>
    </w:p>
    <w:p>
      <w:pPr>
        <w:pStyle w:val="BodyText"/>
        <w:spacing w:line="273" w:lineRule="auto" w:before="7"/>
        <w:ind w:right="107" w:firstLine="419"/>
        <w:jc w:val="both"/>
        <w:rPr>
          <w:rFonts w:ascii="宋体" w:hAnsi="宋体" w:cs="宋体" w:eastAsia="宋体" w:hint="default"/>
        </w:rPr>
      </w:pPr>
      <w:r>
        <w:rPr/>
        <w:t>在国内，国、南网全新一代智能电表和智能终端的技术标准已经基本确定，公司已经参与多</w:t>
      </w:r>
      <w:r>
        <w:rPr>
          <w:w w:val="100"/>
        </w:rPr>
        <w:t> </w:t>
      </w:r>
      <w:r>
        <w:rPr/>
        <w:t>项相关的前瞻研发及科技项目，将持续加大研发投入，和中国电科院、南网电科院以及高校、科</w:t>
      </w:r>
      <w:r>
        <w:rPr>
          <w:w w:val="100"/>
        </w:rPr>
        <w:t> </w:t>
      </w:r>
      <w:r>
        <w:rPr/>
        <w:t>研机构等深入合作，确保技术处于行业领先地位，推进相关新产品的试点试挂并形成最终的技术</w:t>
      </w:r>
      <w:r>
        <w:rPr>
          <w:w w:val="100"/>
        </w:rPr>
        <w:t> </w:t>
      </w:r>
      <w:r>
        <w:rPr/>
        <w:t>标准，积极参与新产品的批量招标，扩大市场份额。借助“营配融合”的机遇，依托公司多年来</w:t>
      </w:r>
      <w:r>
        <w:rPr>
          <w:w w:val="100"/>
        </w:rPr>
        <w:t> </w:t>
      </w:r>
      <w:r>
        <w:rPr/>
        <w:t>在用电信息采集终端软硬件平台、操作系统、通信技术等方面的优势，积极拓展全新智能融合终</w:t>
      </w:r>
      <w:r>
        <w:rPr>
          <w:w w:val="100"/>
        </w:rPr>
        <w:t> </w:t>
      </w:r>
      <w:r>
        <w:rPr/>
        <w:t>端及相关解决方案在低压台区的应用，同时配电自动化线路覆盖率亟待提升以及一二次融合智能</w:t>
      </w:r>
      <w:r>
        <w:rPr>
          <w:w w:val="100"/>
        </w:rPr>
        <w:t> </w:t>
      </w:r>
      <w:r>
        <w:rPr/>
        <w:t>配电设备的需求大幅增加为智能配电业务带来了良好机遇，公司将研发新一代配电自动化终端及</w:t>
      </w:r>
      <w:r>
        <w:rPr>
          <w:w w:val="100"/>
        </w:rPr>
        <w:t> </w:t>
      </w:r>
      <w:r>
        <w:rPr/>
        <w:t>配网线路指示器，同时通过收购兼并或自行建设等方式打造配网中压一次开关设备的技术和生产</w:t>
      </w:r>
      <w:r>
        <w:rPr>
          <w:w w:val="100"/>
        </w:rPr>
        <w:t> </w:t>
      </w:r>
      <w:r>
        <w:rPr>
          <w:spacing w:val="-6"/>
          <w:w w:val="100"/>
        </w:rPr>
        <w:t>能力，提供技术平台的整合及创新，打造领先的配电设备一二次深度融合技术从而拓展相关市场。</w:t>
      </w:r>
      <w:r>
        <w:rPr>
          <w:w w:val="100"/>
        </w:rPr>
        <w:t> </w:t>
      </w:r>
      <w:r>
        <w:rPr/>
        <w:t>通过持续提质降本增效，确保产品在现场可靠运行，降低成本，提升产品竞争力并扩大在集中招</w:t>
      </w:r>
      <w:r>
        <w:rPr>
          <w:w w:val="100"/>
        </w:rPr>
        <w:t> </w:t>
      </w:r>
      <w:r>
        <w:rPr/>
        <w:t>标中的中标份额，同时推动毛利率持续提升，在国际国内复杂多变的宏观形势及行业形势下确保</w:t>
      </w:r>
      <w:r>
        <w:rPr>
          <w:w w:val="100"/>
        </w:rPr>
        <w:t> </w:t>
      </w:r>
      <w:r>
        <w:rPr>
          <w:spacing w:val="-7"/>
        </w:rPr>
        <w:t>供应链的稳定及竞争力，提升订单完成及时率，不断提升客户满意度，实现经营业绩的持续增长。</w:t>
      </w:r>
      <w:r>
        <w:rPr>
          <w:rFonts w:ascii="宋体" w:hAnsi="宋体" w:cs="宋体" w:eastAsia="宋体" w:hint="default"/>
        </w:rPr>
        <w:t> </w:t>
      </w:r>
    </w:p>
    <w:p>
      <w:pPr>
        <w:pStyle w:val="BodyText"/>
        <w:spacing w:line="273" w:lineRule="auto" w:before="7"/>
        <w:ind w:right="208" w:firstLine="419"/>
        <w:jc w:val="both"/>
        <w:rPr>
          <w:rFonts w:ascii="宋体" w:hAnsi="宋体" w:cs="宋体" w:eastAsia="宋体" w:hint="default"/>
        </w:rPr>
      </w:pPr>
      <w:r>
        <w:rPr/>
        <w:t>在海外，公司将精准把握全球电能计量及</w:t>
      </w:r>
      <w:r>
        <w:rPr>
          <w:spacing w:val="-55"/>
        </w:rPr>
        <w:t> </w:t>
      </w:r>
      <w:r>
        <w:rPr>
          <w:rFonts w:ascii="宋体" w:hAnsi="宋体" w:cs="宋体" w:eastAsia="宋体" w:hint="default"/>
        </w:rPr>
        <w:t>AMI</w:t>
      </w:r>
      <w:r>
        <w:rPr/>
        <w:t>（先进计量系统架构）的技术发展趋势，打造</w:t>
      </w:r>
      <w:r>
        <w:rPr>
          <w:w w:val="100"/>
        </w:rPr>
        <w:t> </w:t>
      </w:r>
      <w:r>
        <w:rPr>
          <w:spacing w:val="-2"/>
          <w:w w:val="100"/>
        </w:rPr>
        <w:t>行业领先的符合</w:t>
      </w:r>
      <w:r>
        <w:rPr>
          <w:spacing w:val="-50"/>
          <w:w w:val="100"/>
        </w:rPr>
        <w:t> </w:t>
      </w:r>
      <w:r>
        <w:rPr>
          <w:rFonts w:ascii="宋体" w:hAnsi="宋体" w:cs="宋体" w:eastAsia="宋体" w:hint="default"/>
          <w:spacing w:val="-1"/>
          <w:w w:val="100"/>
        </w:rPr>
        <w:t>IDIS</w:t>
      </w:r>
      <w:r>
        <w:rPr>
          <w:rFonts w:ascii="宋体" w:hAnsi="宋体" w:cs="宋体" w:eastAsia="宋体" w:hint="default"/>
          <w:spacing w:val="-50"/>
          <w:w w:val="100"/>
        </w:rPr>
        <w:t> </w:t>
      </w:r>
      <w:r>
        <w:rPr>
          <w:spacing w:val="-2"/>
          <w:w w:val="100"/>
        </w:rPr>
        <w:t>全球互操作性要求的智能电表及升级版</w:t>
      </w:r>
      <w:r>
        <w:rPr>
          <w:spacing w:val="-49"/>
          <w:w w:val="100"/>
        </w:rPr>
        <w:t> </w:t>
      </w:r>
      <w:r>
        <w:rPr>
          <w:rFonts w:ascii="宋体" w:hAnsi="宋体" w:cs="宋体" w:eastAsia="宋体" w:hint="default"/>
          <w:spacing w:val="-1"/>
          <w:w w:val="100"/>
        </w:rPr>
        <w:t>AMI</w:t>
      </w:r>
      <w:r>
        <w:rPr>
          <w:rFonts w:ascii="宋体" w:hAnsi="宋体" w:cs="宋体" w:eastAsia="宋体" w:hint="default"/>
          <w:spacing w:val="-50"/>
          <w:w w:val="100"/>
        </w:rPr>
        <w:t> </w:t>
      </w:r>
      <w:r>
        <w:rPr>
          <w:spacing w:val="-8"/>
          <w:w w:val="100"/>
        </w:rPr>
        <w:t>系统解决方案，进一步扩充产品</w:t>
      </w:r>
      <w:r>
        <w:rPr>
          <w:w w:val="100"/>
        </w:rPr>
        <w:t> </w:t>
      </w:r>
      <w:r>
        <w:rPr>
          <w:spacing w:val="-2"/>
        </w:rPr>
        <w:t>种类，提升系统双向通信速度和通信可靠性，加强系统级安全性。目前，公司在手订单达</w:t>
      </w:r>
      <w:r>
        <w:rPr>
          <w:spacing w:val="24"/>
        </w:rPr>
        <w:t> </w:t>
      </w:r>
      <w:r>
        <w:rPr>
          <w:rFonts w:ascii="宋体" w:hAnsi="宋体" w:cs="宋体" w:eastAsia="宋体" w:hint="default"/>
          <w:spacing w:val="-1"/>
        </w:rPr>
        <w:t>6500</w:t>
      </w:r>
    </w:p>
    <w:p>
      <w:pPr>
        <w:spacing w:after="0" w:line="273" w:lineRule="auto"/>
        <w:jc w:val="both"/>
        <w:rPr>
          <w:rFonts w:ascii="宋体" w:hAnsi="宋体" w:cs="宋体" w:eastAsia="宋体" w:hint="default"/>
        </w:rPr>
        <w:sectPr>
          <w:footerReference w:type="default" r:id="rId34"/>
          <w:pgSz w:w="11910" w:h="16840"/>
          <w:pgMar w:footer="974" w:header="747" w:top="1140" w:bottom="1160" w:left="1580" w:right="1060"/>
          <w:pgNumType w:start="41"/>
        </w:sectPr>
      </w:pPr>
    </w:p>
    <w:p>
      <w:pPr>
        <w:spacing w:line="240" w:lineRule="auto" w:before="9"/>
        <w:rPr>
          <w:rFonts w:ascii="宋体" w:hAnsi="宋体" w:cs="宋体" w:eastAsia="宋体" w:hint="default"/>
          <w:sz w:val="25"/>
          <w:szCs w:val="25"/>
        </w:rPr>
      </w:pPr>
    </w:p>
    <w:p>
      <w:pPr>
        <w:pStyle w:val="BodyText"/>
        <w:spacing w:line="273" w:lineRule="auto" w:before="36"/>
        <w:ind w:right="217"/>
        <w:jc w:val="both"/>
        <w:rPr>
          <w:rFonts w:ascii="宋体" w:hAnsi="宋体" w:cs="宋体" w:eastAsia="宋体" w:hint="default"/>
        </w:rPr>
      </w:pPr>
      <w:r>
        <w:rPr>
          <w:spacing w:val="-2"/>
        </w:rPr>
        <w:t>万美元（不含中电装备沙特项目），应全力做好重点市场在手订单的的履约和交付工作，确保产</w:t>
      </w:r>
      <w:r>
        <w:rPr>
          <w:spacing w:val="-26"/>
        </w:rPr>
        <w:t> </w:t>
      </w:r>
      <w:r>
        <w:rPr>
          <w:spacing w:val="-26"/>
        </w:rPr>
      </w:r>
      <w:r>
        <w:rPr>
          <w:spacing w:val="-2"/>
        </w:rPr>
        <w:t>品现场运行可靠性。在欧洲依托于立陶宛子公司做好波罗的海及东欧地区的市场开拓；在中东以</w:t>
      </w:r>
      <w:r>
        <w:rPr>
          <w:spacing w:val="-25"/>
        </w:rPr>
        <w:t> </w:t>
      </w:r>
      <w:r>
        <w:rPr>
          <w:spacing w:val="-25"/>
        </w:rPr>
      </w:r>
      <w:r>
        <w:rPr>
          <w:spacing w:val="-2"/>
        </w:rPr>
        <w:t>沙特为中心，积极拓展周边国家市场；在非洲和亚洲地区，依托于公司新一代防窃电型预付费智</w:t>
      </w:r>
      <w:r>
        <w:rPr>
          <w:spacing w:val="-25"/>
        </w:rPr>
        <w:t> </w:t>
      </w:r>
      <w:r>
        <w:rPr>
          <w:spacing w:val="-25"/>
        </w:rPr>
      </w:r>
      <w:r>
        <w:rPr/>
        <w:t>能电表和可以云端部署的升级版</w:t>
      </w:r>
      <w:r>
        <w:rPr>
          <w:spacing w:val="-54"/>
        </w:rPr>
        <w:t> </w:t>
      </w:r>
      <w:r>
        <w:rPr>
          <w:rFonts w:ascii="宋体" w:hAnsi="宋体" w:cs="宋体" w:eastAsia="宋体" w:hint="default"/>
        </w:rPr>
        <w:t>AMI</w:t>
      </w:r>
      <w:r>
        <w:rPr>
          <w:rFonts w:ascii="宋体" w:hAnsi="宋体" w:cs="宋体" w:eastAsia="宋体" w:hint="default"/>
          <w:spacing w:val="-56"/>
        </w:rPr>
        <w:t> </w:t>
      </w:r>
      <w:r>
        <w:rPr/>
        <w:t>系统，开拓已经开始升级部署智能预付费电表的重点市场。</w:t>
      </w:r>
      <w:r>
        <w:rPr>
          <w:w w:val="100"/>
        </w:rPr>
        <w:t> </w:t>
      </w:r>
      <w:r>
        <w:rPr/>
        <w:t>进一步深化和战略大客户的全球化合作，推进</w:t>
      </w:r>
      <w:r>
        <w:rPr>
          <w:spacing w:val="-55"/>
        </w:rPr>
        <w:t> </w:t>
      </w:r>
      <w:r>
        <w:rPr>
          <w:rFonts w:ascii="宋体" w:hAnsi="宋体" w:cs="宋体" w:eastAsia="宋体" w:hint="default"/>
        </w:rPr>
        <w:t>JDM</w:t>
      </w:r>
      <w:r>
        <w:rPr/>
        <w:t>（合作研发及制造服务）的合作模式，在欧洲</w:t>
      </w:r>
      <w:r>
        <w:rPr>
          <w:w w:val="100"/>
        </w:rPr>
        <w:t> </w:t>
      </w:r>
      <w:r>
        <w:rPr>
          <w:spacing w:val="-2"/>
        </w:rPr>
        <w:t>市场抓住新一代智能电表部署的机遇，扩大市场份额。结合国家“一带一路”倡议的深入推进，</w:t>
      </w:r>
      <w:r>
        <w:rPr>
          <w:spacing w:val="-25"/>
        </w:rPr>
        <w:t> </w:t>
      </w:r>
      <w:r>
        <w:rPr>
          <w:spacing w:val="-25"/>
        </w:rPr>
      </w:r>
      <w:r>
        <w:rPr>
          <w:spacing w:val="-2"/>
        </w:rPr>
        <w:t>和合作伙伴以“融资</w:t>
      </w:r>
      <w:r>
        <w:rPr>
          <w:rFonts w:ascii="宋体" w:hAnsi="宋体" w:cs="宋体" w:eastAsia="宋体" w:hint="default"/>
          <w:spacing w:val="-2"/>
        </w:rPr>
        <w:t>+</w:t>
      </w:r>
      <w:r>
        <w:rPr>
          <w:spacing w:val="-2"/>
        </w:rPr>
        <w:t>工程总包</w:t>
      </w:r>
      <w:r>
        <w:rPr>
          <w:rFonts w:ascii="宋体" w:hAnsi="宋体" w:cs="宋体" w:eastAsia="宋体" w:hint="default"/>
          <w:spacing w:val="-2"/>
        </w:rPr>
        <w:t>+</w:t>
      </w:r>
      <w:r>
        <w:rPr>
          <w:spacing w:val="-2"/>
        </w:rPr>
        <w:t>产品和解决方案”的三合一模式在“一带一路”沿线国家推进智</w:t>
      </w:r>
      <w:r>
        <w:rPr>
          <w:spacing w:val="-31"/>
        </w:rPr>
        <w:t> </w:t>
      </w:r>
      <w:r>
        <w:rPr>
          <w:spacing w:val="-31"/>
        </w:rPr>
      </w:r>
      <w:r>
        <w:rPr/>
        <w:t>能电网建设。</w:t>
      </w:r>
      <w:r>
        <w:rPr>
          <w:rFonts w:ascii="宋体" w:hAnsi="宋体" w:cs="宋体" w:eastAsia="宋体" w:hint="default"/>
        </w:rPr>
        <w:t> </w:t>
      </w:r>
    </w:p>
    <w:p>
      <w:pPr>
        <w:pStyle w:val="Heading3"/>
        <w:spacing w:line="273" w:lineRule="auto" w:before="7"/>
        <w:ind w:left="640" w:right="0" w:hanging="3"/>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2</w:t>
      </w:r>
      <w:r>
        <w:rPr>
          <w:spacing w:val="-44"/>
          <w:w w:val="100"/>
        </w:rPr>
        <w:t>、</w:t>
      </w:r>
      <w:r>
        <w:rPr>
          <w:w w:val="100"/>
        </w:rPr>
        <w:t>加大平价项目持有量</w:t>
      </w:r>
      <w:r>
        <w:rPr>
          <w:spacing w:val="-46"/>
          <w:w w:val="100"/>
        </w:rPr>
        <w:t>，</w:t>
      </w:r>
      <w:r>
        <w:rPr>
          <w:w w:val="100"/>
        </w:rPr>
        <w:t>加快拓展海外光伏</w:t>
      </w:r>
      <w:r>
        <w:rPr>
          <w:spacing w:val="-3"/>
          <w:w w:val="100"/>
        </w:rPr>
        <w:t>项</w:t>
      </w:r>
      <w:r>
        <w:rPr>
          <w:spacing w:val="1"/>
          <w:w w:val="100"/>
        </w:rPr>
        <w:t>目</w:t>
      </w:r>
      <w:r>
        <w:rPr>
          <w:spacing w:val="-44"/>
          <w:w w:val="100"/>
        </w:rPr>
        <w:t>，</w:t>
      </w:r>
      <w:r>
        <w:rPr>
          <w:w w:val="100"/>
        </w:rPr>
        <w:t>打造行业领先的分</w:t>
      </w:r>
      <w:r>
        <w:rPr>
          <w:spacing w:val="-3"/>
          <w:w w:val="100"/>
        </w:rPr>
        <w:t>布</w:t>
      </w:r>
      <w:r>
        <w:rPr>
          <w:w w:val="100"/>
        </w:rPr>
        <w:t>式</w:t>
      </w:r>
      <w:r>
        <w:rPr>
          <w:spacing w:val="-3"/>
          <w:w w:val="100"/>
        </w:rPr>
        <w:t>光</w:t>
      </w:r>
      <w:r>
        <w:rPr>
          <w:w w:val="100"/>
        </w:rPr>
        <w:t>伏电站运营商</w:t>
      </w:r>
      <w:r>
        <w:rPr>
          <w:spacing w:val="-5"/>
          <w:w w:val="100"/>
        </w:rPr>
        <w:t>；</w:t>
      </w:r>
      <w:r>
        <w:rPr>
          <w:rFonts w:ascii="宋体" w:hAnsi="宋体" w:cs="宋体" w:eastAsia="宋体" w:hint="default"/>
          <w:w w:val="99"/>
        </w:rPr>
        <w:t> </w:t>
      </w:r>
      <w:r>
        <w:rPr>
          <w:rFonts w:ascii="宋体" w:hAnsi="宋体" w:cs="宋体" w:eastAsia="宋体" w:hint="default"/>
          <w:b w:val="0"/>
          <w:bCs w:val="0"/>
        </w:rPr>
      </w:r>
    </w:p>
    <w:p>
      <w:pPr>
        <w:pStyle w:val="BodyText"/>
        <w:spacing w:line="273" w:lineRule="auto" w:before="7"/>
        <w:ind w:right="210" w:firstLine="419"/>
        <w:jc w:val="both"/>
      </w:pPr>
      <w:r>
        <w:rPr>
          <w:rFonts w:ascii="宋体" w:hAnsi="宋体" w:cs="宋体" w:eastAsia="宋体" w:hint="default"/>
        </w:rPr>
        <w:t>2020</w:t>
      </w:r>
      <w:r>
        <w:rPr>
          <w:rFonts w:ascii="宋体" w:hAnsi="宋体" w:cs="宋体" w:eastAsia="宋体" w:hint="default"/>
          <w:spacing w:val="-10"/>
        </w:rPr>
        <w:t> </w:t>
      </w:r>
      <w:r>
        <w:rPr>
          <w:spacing w:val="-3"/>
        </w:rPr>
        <w:t>年，公司将加大国内平价项目的开发力度，积极开发、设计、建设和运营优质的分布式</w:t>
      </w:r>
      <w:r>
        <w:rPr>
          <w:w w:val="100"/>
        </w:rPr>
        <w:t> </w:t>
      </w:r>
      <w:r>
        <w:rPr>
          <w:spacing w:val="-2"/>
        </w:rPr>
        <w:t>光伏电站。公司将凭借自身项目开发、低成本融资、电站设计、高效产品、施工管理、电站运维</w:t>
      </w:r>
      <w:r>
        <w:rPr>
          <w:spacing w:val="-25"/>
        </w:rPr>
        <w:t> </w:t>
      </w:r>
      <w:r>
        <w:rPr>
          <w:spacing w:val="-25"/>
        </w:rPr>
      </w:r>
      <w:r>
        <w:rPr>
          <w:spacing w:val="-4"/>
        </w:rPr>
        <w:t>等方面的综合优势，计划在国内外自主开发、自建自持各类平价分布式光伏电站</w:t>
      </w:r>
      <w:r>
        <w:rPr>
          <w:rFonts w:ascii="宋体" w:hAnsi="宋体" w:cs="宋体" w:eastAsia="宋体" w:hint="default"/>
          <w:spacing w:val="-4"/>
        </w:rPr>
        <w:t>,</w:t>
      </w:r>
      <w:r>
        <w:rPr>
          <w:spacing w:val="-4"/>
        </w:rPr>
        <w:t>同时，以“开发</w:t>
      </w:r>
      <w:r>
        <w:rPr/>
      </w:r>
    </w:p>
    <w:p>
      <w:pPr>
        <w:pStyle w:val="BodyText"/>
        <w:spacing w:line="273" w:lineRule="auto" w:before="7"/>
        <w:ind w:right="208"/>
        <w:jc w:val="both"/>
        <w:rPr>
          <w:rFonts w:ascii="宋体" w:hAnsi="宋体" w:cs="宋体" w:eastAsia="宋体" w:hint="default"/>
        </w:rPr>
      </w:pPr>
      <w:r>
        <w:rPr>
          <w:rFonts w:ascii="宋体" w:hAnsi="宋体" w:cs="宋体" w:eastAsia="宋体" w:hint="default"/>
          <w:spacing w:val="-4"/>
        </w:rPr>
        <w:t>+EPC+</w:t>
      </w:r>
      <w:r>
        <w:rPr>
          <w:spacing w:val="-4"/>
        </w:rPr>
        <w:t>运维”的模式积极开展与央企战略合作，未来三年，公司将在亚洲、欧洲、澳洲等区域持续</w:t>
      </w:r>
      <w:r>
        <w:rPr>
          <w:spacing w:val="-30"/>
        </w:rPr>
        <w:t> </w:t>
      </w:r>
      <w:r>
        <w:rPr>
          <w:spacing w:val="-30"/>
        </w:rPr>
      </w:r>
      <w:r>
        <w:rPr>
          <w:spacing w:val="-14"/>
        </w:rPr>
        <w:t>开发、建设、运营</w:t>
      </w:r>
      <w:r>
        <w:rPr>
          <w:spacing w:val="-25"/>
        </w:rPr>
        <w:t> </w:t>
      </w:r>
      <w:r>
        <w:rPr>
          <w:rFonts w:ascii="宋体" w:hAnsi="宋体" w:cs="宋体" w:eastAsia="宋体" w:hint="default"/>
        </w:rPr>
        <w:t>3-5GW</w:t>
      </w:r>
      <w:r>
        <w:rPr>
          <w:rFonts w:ascii="宋体" w:hAnsi="宋体" w:cs="宋体" w:eastAsia="宋体" w:hint="default"/>
          <w:spacing w:val="-26"/>
        </w:rPr>
        <w:t> </w:t>
      </w:r>
      <w:r>
        <w:rPr>
          <w:spacing w:val="-5"/>
        </w:rPr>
        <w:t>光伏电站。公司将继续发挥林洋研究院的技术优势，开发各类高可靠性、</w:t>
      </w:r>
      <w:r>
        <w:rPr>
          <w:spacing w:val="-94"/>
        </w:rPr>
        <w:t> </w:t>
      </w:r>
      <w:r>
        <w:rPr>
          <w:spacing w:val="-94"/>
        </w:rPr>
      </w:r>
      <w:r>
        <w:rPr>
          <w:spacing w:val="-2"/>
        </w:rPr>
        <w:t>高性价比、高效发电的分布式光伏电站，让新技术、高效新产品，高效系统集成助力度电成本持</w:t>
      </w:r>
      <w:r>
        <w:rPr>
          <w:spacing w:val="-25"/>
        </w:rPr>
        <w:t> </w:t>
      </w:r>
      <w:r>
        <w:rPr>
          <w:spacing w:val="-25"/>
        </w:rPr>
      </w:r>
      <w:r>
        <w:rPr/>
        <w:t>续下降，为公司的自主投资或</w:t>
      </w:r>
      <w:r>
        <w:rPr>
          <w:spacing w:val="-56"/>
        </w:rPr>
        <w:t> </w:t>
      </w:r>
      <w:r>
        <w:rPr>
          <w:rFonts w:ascii="宋体" w:hAnsi="宋体" w:cs="宋体" w:eastAsia="宋体" w:hint="default"/>
        </w:rPr>
        <w:t>EPC</w:t>
      </w:r>
      <w:r>
        <w:rPr>
          <w:rFonts w:ascii="宋体" w:hAnsi="宋体" w:cs="宋体" w:eastAsia="宋体" w:hint="default"/>
          <w:spacing w:val="-56"/>
        </w:rPr>
        <w:t> </w:t>
      </w:r>
      <w:r>
        <w:rPr/>
        <w:t>项目提升更大的利润空间。</w:t>
      </w:r>
      <w:r>
        <w:rPr>
          <w:rFonts w:ascii="宋体" w:hAnsi="宋体" w:cs="宋体" w:eastAsia="宋体" w:hint="default"/>
        </w:rPr>
        <w:t> </w:t>
      </w:r>
    </w:p>
    <w:p>
      <w:pPr>
        <w:pStyle w:val="BodyText"/>
        <w:spacing w:line="273" w:lineRule="auto" w:before="7"/>
        <w:ind w:right="208" w:firstLine="419"/>
        <w:jc w:val="both"/>
        <w:rPr>
          <w:rFonts w:ascii="宋体" w:hAnsi="宋体" w:cs="宋体" w:eastAsia="宋体" w:hint="default"/>
        </w:rPr>
      </w:pPr>
      <w:r>
        <w:rPr>
          <w:rFonts w:ascii="宋体" w:hAnsi="宋体" w:cs="宋体" w:eastAsia="宋体" w:hint="default"/>
        </w:rPr>
        <w:t>2020</w:t>
      </w:r>
      <w:r>
        <w:rPr>
          <w:rFonts w:ascii="宋体" w:hAnsi="宋体" w:cs="宋体" w:eastAsia="宋体" w:hint="default"/>
          <w:spacing w:val="-14"/>
        </w:rPr>
        <w:t> </w:t>
      </w:r>
      <w:r>
        <w:rPr>
          <w:spacing w:val="-8"/>
        </w:rPr>
        <w:t>年，公司将坚持贯彻“安全第一、运行可靠、效益为先、长期受控”的十六字运维方针，</w:t>
      </w:r>
      <w:r>
        <w:rPr>
          <w:w w:val="100"/>
        </w:rPr>
        <w:t> </w:t>
      </w:r>
      <w:r>
        <w:rPr>
          <w:spacing w:val="-2"/>
        </w:rPr>
        <w:t>继续强化运维队伍建设，提升光伏运维技术，切实保障在维电站安全稳定运行，不断增强公司运</w:t>
      </w:r>
      <w:r>
        <w:rPr>
          <w:spacing w:val="-25"/>
        </w:rPr>
        <w:t> </w:t>
      </w:r>
      <w:r>
        <w:rPr>
          <w:spacing w:val="-25"/>
        </w:rPr>
      </w:r>
      <w:r>
        <w:rPr>
          <w:spacing w:val="-2"/>
        </w:rPr>
        <w:t>维市场竞争力。公司将探索电力运维新兴市场，积极开拓外部业务，增强公司运维业务成长性，</w:t>
      </w:r>
      <w:r>
        <w:rPr>
          <w:spacing w:val="-25"/>
        </w:rPr>
        <w:t> </w:t>
      </w:r>
      <w:r>
        <w:rPr>
          <w:spacing w:val="-25"/>
        </w:rPr>
      </w:r>
      <w:r>
        <w:rPr>
          <w:spacing w:val="-2"/>
        </w:rPr>
        <w:t>创造更多的盈利机会。公司将努力打造“林洋运维”品牌，致力于成为电力服务行业标杆企业，</w:t>
      </w:r>
      <w:r>
        <w:rPr>
          <w:spacing w:val="-25"/>
        </w:rPr>
        <w:t> </w:t>
      </w:r>
      <w:r>
        <w:rPr>
          <w:spacing w:val="-25"/>
        </w:rPr>
      </w:r>
      <w:r>
        <w:rPr/>
        <w:t>引领行业健康有序发展。</w:t>
      </w:r>
      <w:r>
        <w:rPr>
          <w:rFonts w:ascii="宋体" w:hAnsi="宋体" w:cs="宋体" w:eastAsia="宋体" w:hint="default"/>
        </w:rPr>
        <w:t> </w:t>
      </w:r>
    </w:p>
    <w:p>
      <w:pPr>
        <w:pStyle w:val="Heading3"/>
        <w:spacing w:line="273" w:lineRule="auto" w:before="7"/>
        <w:ind w:left="640" w:right="0"/>
        <w:jc w:val="left"/>
        <w:rPr>
          <w:rFonts w:ascii="宋体" w:hAnsi="宋体" w:cs="宋体" w:eastAsia="宋体" w:hint="default"/>
          <w:b w:val="0"/>
          <w:bCs w:val="0"/>
        </w:rPr>
      </w:pPr>
      <w:r>
        <w:rPr>
          <w:rFonts w:ascii="宋体" w:hAnsi="宋体" w:cs="宋体" w:eastAsia="宋体" w:hint="default"/>
          <w:w w:val="99"/>
        </w:rPr>
        <w:t> </w:t>
      </w:r>
      <w:r>
        <w:rPr>
          <w:rFonts w:ascii="宋体" w:hAnsi="宋体" w:cs="宋体" w:eastAsia="宋体" w:hint="default"/>
          <w:spacing w:val="-1"/>
        </w:rPr>
        <w:t>3</w:t>
      </w:r>
      <w:r>
        <w:rPr>
          <w:spacing w:val="-1"/>
        </w:rPr>
        <w:t>、持续推进综合能源服务业务发展，重点培育“储能+”领域的新模式；</w:t>
      </w:r>
      <w:r>
        <w:rPr>
          <w:rFonts w:ascii="宋体" w:hAnsi="宋体" w:cs="宋体" w:eastAsia="宋体" w:hint="default"/>
          <w:w w:val="99"/>
        </w:rPr>
        <w:t> </w:t>
      </w:r>
      <w:r>
        <w:rPr>
          <w:rFonts w:ascii="宋体" w:hAnsi="宋体" w:cs="宋体" w:eastAsia="宋体" w:hint="default"/>
          <w:b w:val="0"/>
          <w:bCs w:val="0"/>
        </w:rPr>
      </w:r>
    </w:p>
    <w:p>
      <w:pPr>
        <w:pStyle w:val="BodyText"/>
        <w:spacing w:line="273" w:lineRule="auto" w:before="7"/>
        <w:ind w:right="208" w:firstLine="419"/>
        <w:jc w:val="both"/>
        <w:rPr>
          <w:rFonts w:ascii="宋体" w:hAnsi="宋体" w:cs="宋体" w:eastAsia="宋体" w:hint="default"/>
        </w:rPr>
      </w:pPr>
      <w:r>
        <w:rPr>
          <w:rFonts w:ascii="宋体" w:hAnsi="宋体" w:cs="宋体" w:eastAsia="宋体" w:hint="default"/>
        </w:rPr>
        <w:t>2020</w:t>
      </w:r>
      <w:r>
        <w:rPr>
          <w:rFonts w:ascii="宋体" w:hAnsi="宋体" w:cs="宋体" w:eastAsia="宋体" w:hint="default"/>
          <w:spacing w:val="-6"/>
        </w:rPr>
        <w:t> </w:t>
      </w:r>
      <w:r>
        <w:rPr>
          <w:spacing w:val="-3"/>
        </w:rPr>
        <w:t>年，节能板块仍将紧紧围绕国家节能领域政策导向，依托公司具备核心技术的智慧能效</w:t>
      </w:r>
      <w:r>
        <w:rPr>
          <w:w w:val="100"/>
        </w:rPr>
        <w:t> </w:t>
      </w:r>
      <w:r>
        <w:rPr>
          <w:spacing w:val="-2"/>
        </w:rPr>
        <w:t>管理云平台，为工业园区、工商业用电大户、综合能源生态圈合作伙伴、行业或集团客户提供一</w:t>
      </w:r>
      <w:r>
        <w:rPr>
          <w:spacing w:val="-25"/>
        </w:rPr>
        <w:t> </w:t>
      </w:r>
      <w:r>
        <w:rPr>
          <w:spacing w:val="-25"/>
        </w:rPr>
      </w:r>
      <w:r>
        <w:rPr>
          <w:spacing w:val="-4"/>
        </w:rPr>
        <w:t>站式智慧综合能源服务。基于能效平台海量用户侧用能数据，探索采用数据发掘及创新的</w:t>
      </w:r>
      <w:r>
        <w:rPr>
          <w:spacing w:val="-31"/>
        </w:rPr>
        <w:t> </w:t>
      </w:r>
      <w:r>
        <w:rPr>
          <w:rFonts w:ascii="宋体" w:hAnsi="宋体" w:cs="宋体" w:eastAsia="宋体" w:hint="default"/>
        </w:rPr>
        <w:t>AI</w:t>
      </w:r>
      <w:r>
        <w:rPr>
          <w:rFonts w:ascii="宋体" w:hAnsi="宋体" w:cs="宋体" w:eastAsia="宋体" w:hint="default"/>
          <w:spacing w:val="-31"/>
        </w:rPr>
        <w:t> </w:t>
      </w:r>
      <w:r>
        <w:rPr>
          <w:spacing w:val="-3"/>
        </w:rPr>
        <w:t>算法</w:t>
      </w:r>
      <w:r>
        <w:rPr>
          <w:spacing w:val="-94"/>
        </w:rPr>
        <w:t> </w:t>
      </w:r>
      <w:r>
        <w:rPr/>
        <w:t>实现更精准的负荷预测，能效对标，智能告警和优化运行控制策略。</w:t>
      </w:r>
      <w:r>
        <w:rPr>
          <w:rFonts w:ascii="宋体" w:hAnsi="宋体" w:cs="宋体" w:eastAsia="宋体" w:hint="default"/>
        </w:rPr>
        <w:t> </w:t>
      </w:r>
    </w:p>
    <w:p>
      <w:pPr>
        <w:pStyle w:val="BodyText"/>
        <w:spacing w:line="273" w:lineRule="auto" w:before="7"/>
        <w:ind w:right="208" w:firstLine="419"/>
        <w:jc w:val="both"/>
        <w:rPr>
          <w:rFonts w:ascii="宋体" w:hAnsi="宋体" w:cs="宋体" w:eastAsia="宋体" w:hint="default"/>
        </w:rPr>
      </w:pPr>
      <w:r>
        <w:rPr>
          <w:spacing w:val="-3"/>
        </w:rPr>
        <w:t>在平台规模上，公司将持续扩大高质量客户接入规模超过 </w:t>
      </w:r>
      <w:r>
        <w:rPr>
          <w:rFonts w:ascii="宋体" w:hAnsi="宋体" w:cs="宋体" w:eastAsia="宋体" w:hint="default"/>
        </w:rPr>
        <w:t>5000</w:t>
      </w:r>
      <w:r>
        <w:rPr>
          <w:rFonts w:ascii="宋体" w:hAnsi="宋体" w:cs="宋体" w:eastAsia="宋体" w:hint="default"/>
          <w:spacing w:val="-47"/>
        </w:rPr>
        <w:t> </w:t>
      </w:r>
      <w:r>
        <w:rPr>
          <w:spacing w:val="-7"/>
        </w:rPr>
        <w:t>家，同时，持续对平台进行迭</w:t>
      </w:r>
      <w:r>
        <w:rPr>
          <w:w w:val="100"/>
        </w:rPr>
        <w:t> </w:t>
      </w:r>
      <w:r>
        <w:rPr>
          <w:spacing w:val="-2"/>
        </w:rPr>
        <w:t>代升级开发，提升用户体验，丰富平台功能，加强用户粘性和用户活跃度，提高智慧能效平台的</w:t>
      </w:r>
      <w:r>
        <w:rPr>
          <w:spacing w:val="-25"/>
        </w:rPr>
        <w:t> </w:t>
      </w:r>
      <w:r>
        <w:rPr>
          <w:spacing w:val="-25"/>
        </w:rPr>
      </w:r>
      <w:r>
        <w:rPr/>
        <w:t>行业应用深度和广度。</w:t>
      </w:r>
      <w:r>
        <w:rPr>
          <w:rFonts w:ascii="宋体" w:hAnsi="宋体" w:cs="宋体" w:eastAsia="宋体" w:hint="default"/>
        </w:rPr>
        <w:t> </w:t>
      </w:r>
    </w:p>
    <w:p>
      <w:pPr>
        <w:pStyle w:val="BodyText"/>
        <w:spacing w:line="273" w:lineRule="auto" w:before="7"/>
        <w:ind w:right="208" w:firstLine="419"/>
        <w:jc w:val="both"/>
        <w:rPr>
          <w:rFonts w:ascii="宋体" w:hAnsi="宋体" w:cs="宋体" w:eastAsia="宋体" w:hint="default"/>
        </w:rPr>
      </w:pPr>
      <w:r>
        <w:rPr>
          <w:spacing w:val="-2"/>
        </w:rPr>
        <w:t>在业务拓展策略方面，重点推进与国网、南网综合能源服务公司、区域性售电公司及节能服</w:t>
      </w:r>
      <w:r>
        <w:rPr>
          <w:w w:val="100"/>
        </w:rPr>
        <w:t> </w:t>
      </w:r>
      <w:r>
        <w:rPr>
          <w:spacing w:val="-2"/>
        </w:rPr>
        <w:t>务公司合作，打造具有示范意义的重点项目，同时，在重点行业和重点地区加强示范项目的推广</w:t>
      </w:r>
      <w:r>
        <w:rPr>
          <w:spacing w:val="-25"/>
        </w:rPr>
        <w:t> </w:t>
      </w:r>
      <w:r>
        <w:rPr>
          <w:spacing w:val="-25"/>
        </w:rPr>
      </w:r>
      <w:r>
        <w:rPr>
          <w:spacing w:val="-4"/>
        </w:rPr>
        <w:t>和复制，特别在环保、交通、清洁供暖等领域拓展“平台</w:t>
      </w:r>
      <w:r>
        <w:rPr>
          <w:rFonts w:ascii="宋体" w:hAnsi="宋体" w:cs="宋体" w:eastAsia="宋体" w:hint="default"/>
          <w:spacing w:val="-4"/>
        </w:rPr>
        <w:t>+</w:t>
      </w:r>
      <w:r>
        <w:rPr>
          <w:spacing w:val="-4"/>
        </w:rPr>
        <w:t>改造”的应用案例，依托于河北高速公</w:t>
      </w:r>
      <w:r>
        <w:rPr>
          <w:spacing w:val="-34"/>
        </w:rPr>
        <w:t> </w:t>
      </w:r>
      <w:r>
        <w:rPr>
          <w:spacing w:val="-34"/>
        </w:rPr>
      </w:r>
      <w:r>
        <w:rPr>
          <w:spacing w:val="-2"/>
        </w:rPr>
        <w:t>路综合能源服务、城市路灯照明托管及合同能源管理、北方清洁供暖等示范项目成功经验，持续</w:t>
      </w:r>
      <w:r>
        <w:rPr>
          <w:spacing w:val="-25"/>
        </w:rPr>
        <w:t> </w:t>
      </w:r>
      <w:r>
        <w:rPr>
          <w:spacing w:val="-25"/>
        </w:rPr>
      </w:r>
      <w:r>
        <w:rPr/>
        <w:t>探索和推进综合能源服务创新技术及商业模式。</w:t>
      </w:r>
      <w:r>
        <w:rPr>
          <w:rFonts w:ascii="宋体" w:hAnsi="宋体" w:cs="宋体" w:eastAsia="宋体" w:hint="default"/>
        </w:rPr>
        <w:t> </w:t>
      </w:r>
    </w:p>
    <w:p>
      <w:pPr>
        <w:pStyle w:val="BodyText"/>
        <w:spacing w:line="240" w:lineRule="auto" w:before="7"/>
        <w:ind w:right="0"/>
        <w:jc w:val="both"/>
        <w:rPr>
          <w:rFonts w:ascii="宋体" w:hAnsi="宋体" w:cs="宋体" w:eastAsia="宋体" w:hint="default"/>
        </w:rPr>
      </w:pPr>
      <w:r>
        <w:rPr>
          <w:rFonts w:ascii="宋体"/>
          <w:w w:val="100"/>
        </w:rPr>
        <w:t> </w:t>
      </w:r>
    </w:p>
    <w:p>
      <w:pPr>
        <w:pStyle w:val="Heading3"/>
        <w:spacing w:line="240" w:lineRule="auto"/>
        <w:ind w:right="0"/>
        <w:jc w:val="both"/>
        <w:rPr>
          <w:b w:val="0"/>
          <w:bCs w:val="0"/>
        </w:rPr>
      </w:pPr>
      <w:r>
        <w:rPr>
          <w:rFonts w:ascii="宋体" w:hAnsi="宋体" w:cs="宋体" w:eastAsia="宋体" w:hint="default"/>
        </w:rPr>
        <w:t>(</w:t>
      </w:r>
      <w:r>
        <w:rPr/>
        <w:t>四</w:t>
      </w:r>
      <w:r>
        <w:rPr>
          <w:rFonts w:ascii="宋体" w:hAnsi="宋体" w:cs="宋体" w:eastAsia="宋体" w:hint="default"/>
        </w:rPr>
        <w:t>)  </w:t>
      </w:r>
      <w:r>
        <w:rPr>
          <w:rFonts w:ascii="宋体" w:hAnsi="宋体" w:cs="宋体" w:eastAsia="宋体" w:hint="default"/>
          <w:spacing w:val="101"/>
        </w:rPr>
        <w:t> </w:t>
      </w:r>
      <w:r>
        <w:rPr/>
        <w:t>可能面对的风险</w:t>
      </w:r>
      <w:r>
        <w:rPr>
          <w:b w:val="0"/>
          <w:bCs w:val="0"/>
        </w:rPr>
      </w:r>
    </w:p>
    <w:p>
      <w:pPr>
        <w:spacing w:line="273" w:lineRule="auto" w:before="97"/>
        <w:ind w:left="640" w:right="5249" w:hanging="423"/>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1</w:t>
      </w:r>
      <w:r>
        <w:rPr>
          <w:rFonts w:ascii="宋体" w:hAnsi="宋体" w:cs="宋体" w:eastAsia="宋体" w:hint="default"/>
          <w:b/>
          <w:bCs/>
          <w:sz w:val="21"/>
          <w:szCs w:val="21"/>
        </w:rPr>
        <w:t>、行业发展及产业政策风险</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73" w:lineRule="auto" w:before="7"/>
        <w:ind w:right="217" w:firstLine="419"/>
        <w:jc w:val="both"/>
        <w:rPr>
          <w:rFonts w:ascii="宋体" w:hAnsi="宋体" w:cs="宋体" w:eastAsia="宋体" w:hint="default"/>
        </w:rPr>
      </w:pPr>
      <w:r>
        <w:rPr>
          <w:spacing w:val="-2"/>
        </w:rPr>
        <w:t>公司提出的“智能、节能、新能源”战略目标与国家宏观经济政策、能源政策、节能环保政</w:t>
      </w:r>
      <w:r>
        <w:rPr>
          <w:w w:val="100"/>
        </w:rPr>
        <w:t> </w:t>
      </w:r>
      <w:r>
        <w:rPr>
          <w:spacing w:val="-2"/>
        </w:rPr>
        <w:t>策等密切相关，未来公司可能面临国家出于宏观调控需要调整相关产业政策的风险，从而给公司</w:t>
      </w:r>
      <w:r>
        <w:rPr>
          <w:spacing w:val="-25"/>
        </w:rPr>
        <w:t> </w:t>
      </w:r>
      <w:r>
        <w:rPr>
          <w:spacing w:val="-25"/>
        </w:rPr>
      </w:r>
      <w:r>
        <w:rPr/>
        <w:t>的业务发展造成不利影响。</w:t>
      </w:r>
      <w:r>
        <w:rPr>
          <w:rFonts w:ascii="宋体" w:hAnsi="宋体" w:cs="宋体" w:eastAsia="宋体" w:hint="default"/>
        </w:rPr>
        <w:t> </w:t>
      </w:r>
    </w:p>
    <w:p>
      <w:pPr>
        <w:spacing w:after="0" w:line="273" w:lineRule="auto"/>
        <w:jc w:val="both"/>
        <w:rPr>
          <w:rFonts w:ascii="宋体" w:hAnsi="宋体" w:cs="宋体" w:eastAsia="宋体" w:hint="default"/>
        </w:rPr>
        <w:sectPr>
          <w:pgSz w:w="11910" w:h="16840"/>
          <w:pgMar w:header="747" w:footer="974" w:top="1140" w:bottom="1160" w:left="1580" w:right="1060"/>
        </w:sectPr>
      </w:pPr>
    </w:p>
    <w:p>
      <w:pPr>
        <w:spacing w:line="240" w:lineRule="auto" w:before="9"/>
        <w:rPr>
          <w:rFonts w:ascii="宋体" w:hAnsi="宋体" w:cs="宋体" w:eastAsia="宋体" w:hint="default"/>
          <w:sz w:val="25"/>
          <w:szCs w:val="25"/>
        </w:rPr>
      </w:pPr>
    </w:p>
    <w:p>
      <w:pPr>
        <w:pStyle w:val="BodyText"/>
        <w:spacing w:line="273" w:lineRule="auto" w:before="36"/>
        <w:ind w:right="208" w:firstLine="419"/>
        <w:jc w:val="both"/>
      </w:pPr>
      <w:r>
        <w:rPr>
          <w:rFonts w:ascii="宋体" w:hAnsi="宋体" w:cs="宋体" w:eastAsia="宋体" w:hint="default"/>
        </w:rPr>
        <w:t>2019</w:t>
      </w:r>
      <w:r>
        <w:rPr>
          <w:rFonts w:ascii="宋体" w:hAnsi="宋体" w:cs="宋体" w:eastAsia="宋体" w:hint="default"/>
          <w:spacing w:val="-7"/>
        </w:rPr>
        <w:t> </w:t>
      </w:r>
      <w:r>
        <w:rPr>
          <w:spacing w:val="-3"/>
        </w:rPr>
        <w:t>年，国家相关部门接连发布《关于积极推进风电、光伏发电无补贴平价上网有关工作的</w:t>
      </w:r>
      <w:r>
        <w:rPr>
          <w:w w:val="100"/>
        </w:rPr>
        <w:t> </w:t>
      </w:r>
      <w:r>
        <w:rPr>
          <w:spacing w:val="-2"/>
        </w:rPr>
        <w:t>通知》、《关于完善光伏发电上网电价机制有关问题的通知》、《清洁能源消纳重点专项监管工</w:t>
      </w:r>
      <w:r>
        <w:rPr>
          <w:spacing w:val="-25"/>
        </w:rPr>
        <w:t> </w:t>
      </w:r>
      <w:r>
        <w:rPr>
          <w:spacing w:val="-25"/>
        </w:rPr>
      </w:r>
      <w:r>
        <w:rPr>
          <w:spacing w:val="-5"/>
        </w:rPr>
        <w:t>作方案》、《关于建立健全可再生能源电力消纳保障机制的通知》、《关于公布 </w:t>
      </w:r>
      <w:r>
        <w:rPr>
          <w:rFonts w:ascii="宋体" w:hAnsi="宋体" w:cs="宋体" w:eastAsia="宋体" w:hint="default"/>
        </w:rPr>
        <w:t>2019</w:t>
      </w:r>
      <w:r>
        <w:rPr>
          <w:rFonts w:ascii="宋体" w:hAnsi="宋体" w:cs="宋体" w:eastAsia="宋体" w:hint="default"/>
          <w:spacing w:val="-29"/>
        </w:rPr>
        <w:t> </w:t>
      </w:r>
      <w:r>
        <w:rPr/>
        <w:t>年第一批风</w:t>
      </w:r>
    </w:p>
    <w:p>
      <w:pPr>
        <w:pStyle w:val="BodyText"/>
        <w:spacing w:line="273" w:lineRule="auto" w:before="7"/>
        <w:ind w:right="104"/>
        <w:jc w:val="left"/>
        <w:rPr>
          <w:rFonts w:ascii="宋体" w:hAnsi="宋体" w:cs="宋体" w:eastAsia="宋体" w:hint="default"/>
        </w:rPr>
      </w:pPr>
      <w:r>
        <w:rPr/>
        <w:t>电、光伏发电平价上网项目的通知》、《关于</w:t>
      </w:r>
      <w:r>
        <w:rPr>
          <w:spacing w:val="-52"/>
        </w:rPr>
        <w:t> </w:t>
      </w:r>
      <w:r>
        <w:rPr>
          <w:rFonts w:ascii="宋体" w:hAnsi="宋体" w:cs="宋体" w:eastAsia="宋体" w:hint="default"/>
        </w:rPr>
        <w:t>2019</w:t>
      </w:r>
      <w:r>
        <w:rPr>
          <w:rFonts w:ascii="宋体" w:hAnsi="宋体" w:cs="宋体" w:eastAsia="宋体" w:hint="default"/>
          <w:spacing w:val="-54"/>
        </w:rPr>
        <w:t> </w:t>
      </w:r>
      <w:r>
        <w:rPr/>
        <w:t>年风电、光伏发电项目建设有关事项的通知》</w:t>
      </w:r>
      <w:r>
        <w:rPr>
          <w:w w:val="100"/>
        </w:rPr>
        <w:t> </w:t>
      </w:r>
      <w:r>
        <w:rPr/>
        <w:t>等一系列政策文件。平价上网已成为大势所趋，创新技术、降成本、增效率、保质量、全球化等</w:t>
      </w:r>
      <w:r>
        <w:rPr>
          <w:w w:val="100"/>
        </w:rPr>
        <w:t> </w:t>
      </w:r>
      <w:r>
        <w:rPr/>
        <w:t>关键词正成为行业探索生存之道的破题路径。</w:t>
      </w:r>
      <w:r>
        <w:rPr>
          <w:rFonts w:ascii="宋体" w:hAnsi="宋体" w:cs="宋体" w:eastAsia="宋体" w:hint="default"/>
        </w:rPr>
        <w:t> </w:t>
      </w:r>
    </w:p>
    <w:p>
      <w:pPr>
        <w:pStyle w:val="BodyText"/>
        <w:spacing w:line="273" w:lineRule="auto" w:before="7"/>
        <w:ind w:right="217" w:firstLine="419"/>
        <w:jc w:val="both"/>
        <w:rPr>
          <w:rFonts w:ascii="宋体" w:hAnsi="宋体" w:cs="宋体" w:eastAsia="宋体" w:hint="default"/>
        </w:rPr>
      </w:pPr>
      <w:r>
        <w:rPr>
          <w:spacing w:val="-2"/>
        </w:rPr>
        <w:t>对策：公司将进一步加强对国家宏观政策和产业发展趋势的跟踪，增强决策层对经济形势和</w:t>
      </w:r>
      <w:r>
        <w:rPr>
          <w:w w:val="100"/>
        </w:rPr>
        <w:t> </w:t>
      </w:r>
      <w:r>
        <w:rPr>
          <w:spacing w:val="-2"/>
        </w:rPr>
        <w:t>政策变化的预测和判断能力。根据全球光伏行业的发展，对是否进一步扩大产能、投资强度、盈</w:t>
      </w:r>
      <w:r>
        <w:rPr>
          <w:spacing w:val="-25"/>
        </w:rPr>
        <w:t> </w:t>
      </w:r>
      <w:r>
        <w:rPr>
          <w:spacing w:val="-25"/>
        </w:rPr>
      </w:r>
      <w:r>
        <w:rPr>
          <w:spacing w:val="-2"/>
        </w:rPr>
        <w:t>利模式和资金筹措等进行滚动规划调整，创新商业模式，促进公司持续、稳定、健康发展。公司</w:t>
      </w:r>
      <w:r>
        <w:rPr>
          <w:spacing w:val="-25"/>
        </w:rPr>
        <w:t> </w:t>
      </w:r>
      <w:r>
        <w:rPr>
          <w:spacing w:val="-25"/>
        </w:rPr>
      </w:r>
      <w:r>
        <w:rPr>
          <w:spacing w:val="-2"/>
        </w:rPr>
        <w:t>将会持续加强对核心产品的研发、升级、创新，增强核心竞争力，推动传统核心业务保持优势地</w:t>
      </w:r>
      <w:r>
        <w:rPr>
          <w:spacing w:val="-25"/>
        </w:rPr>
        <w:t> </w:t>
      </w:r>
      <w:r>
        <w:rPr>
          <w:spacing w:val="-25"/>
        </w:rPr>
      </w:r>
      <w:r>
        <w:rPr/>
        <w:t>位、新兴业务板块快速成长。</w:t>
      </w:r>
      <w:r>
        <w:rPr>
          <w:rFonts w:ascii="宋体" w:hAnsi="宋体" w:cs="宋体" w:eastAsia="宋体" w:hint="default"/>
        </w:rPr>
        <w:t> </w:t>
      </w:r>
    </w:p>
    <w:p>
      <w:pPr>
        <w:pStyle w:val="Heading3"/>
        <w:spacing w:line="273" w:lineRule="auto" w:before="7"/>
        <w:ind w:left="640" w:right="0" w:hanging="3"/>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2</w:t>
      </w:r>
      <w:r>
        <w:rPr>
          <w:w w:val="100"/>
        </w:rPr>
        <w:t>、市场竞争风</w:t>
      </w:r>
      <w:r>
        <w:rPr>
          <w:spacing w:val="-3"/>
          <w:w w:val="100"/>
        </w:rPr>
        <w:t>险</w:t>
      </w:r>
      <w:r>
        <w:rPr>
          <w:rFonts w:ascii="宋体" w:hAnsi="宋体" w:cs="宋体" w:eastAsia="宋体" w:hint="default"/>
          <w:w w:val="99"/>
        </w:rPr>
        <w:t> </w:t>
      </w:r>
      <w:r>
        <w:rPr>
          <w:rFonts w:ascii="宋体" w:hAnsi="宋体" w:cs="宋体" w:eastAsia="宋体" w:hint="default"/>
          <w:b w:val="0"/>
          <w:bCs w:val="0"/>
        </w:rPr>
      </w:r>
    </w:p>
    <w:p>
      <w:pPr>
        <w:pStyle w:val="BodyText"/>
        <w:spacing w:line="273" w:lineRule="auto" w:before="7"/>
        <w:ind w:right="208" w:firstLine="419"/>
        <w:jc w:val="both"/>
        <w:rPr>
          <w:rFonts w:ascii="宋体" w:hAnsi="宋体" w:cs="宋体" w:eastAsia="宋体" w:hint="default"/>
        </w:rPr>
      </w:pPr>
      <w:r>
        <w:rPr>
          <w:spacing w:val="-2"/>
        </w:rPr>
        <w:t>公司现阶段的主要产品为智能电能表、用电信息管理系统、终端产品、太阳能电池组件及综</w:t>
      </w:r>
      <w:r>
        <w:rPr>
          <w:w w:val="100"/>
        </w:rPr>
        <w:t> </w:t>
      </w:r>
      <w:r>
        <w:rPr>
          <w:spacing w:val="-2"/>
        </w:rPr>
        <w:t>合能源服务。在智能板块产品中，市场竞争较为激烈，包括公司在内的几家规模化优势企业市场</w:t>
      </w:r>
      <w:r>
        <w:rPr>
          <w:spacing w:val="-25"/>
        </w:rPr>
        <w:t> </w:t>
      </w:r>
      <w:r>
        <w:rPr>
          <w:spacing w:val="-25"/>
        </w:rPr>
      </w:r>
      <w:r>
        <w:rPr>
          <w:spacing w:val="-6"/>
          <w:w w:val="100"/>
        </w:rPr>
        <w:t>份额在短期内相对较为稳定，公司进入电工仪器仪表行业的时间较早，经过近二十年的持续发展，</w:t>
      </w:r>
      <w:r>
        <w:rPr>
          <w:w w:val="100"/>
        </w:rPr>
        <w:t> </w:t>
      </w:r>
      <w:r>
        <w:rPr>
          <w:spacing w:val="-2"/>
        </w:rPr>
        <w:t>在行业竞争中建立了独特的竞争优势。未来，电能表、用电信息管理系统及终端产品将呈现加速</w:t>
      </w:r>
      <w:r>
        <w:rPr>
          <w:spacing w:val="-25"/>
        </w:rPr>
        <w:t> </w:t>
      </w:r>
      <w:r>
        <w:rPr>
          <w:spacing w:val="-25"/>
        </w:rPr>
      </w:r>
      <w:r>
        <w:rPr>
          <w:spacing w:val="-2"/>
        </w:rPr>
        <w:t>智能化发展趋势，如果公司在产品技术升级、营销网络构建、销售策略选择等方面不能及时适应</w:t>
      </w:r>
      <w:r>
        <w:rPr>
          <w:spacing w:val="-25"/>
        </w:rPr>
        <w:t> </w:t>
      </w:r>
      <w:r>
        <w:rPr>
          <w:spacing w:val="-25"/>
        </w:rPr>
      </w:r>
      <w:r>
        <w:rPr>
          <w:spacing w:val="-2"/>
        </w:rPr>
        <w:t>市场变化，公司面临的市场竞争风险将会加大，可能导致公司丧失市场优势地位及市场占有率下</w:t>
      </w:r>
      <w:r>
        <w:rPr>
          <w:spacing w:val="-25"/>
        </w:rPr>
        <w:t> </w:t>
      </w:r>
      <w:r>
        <w:rPr>
          <w:spacing w:val="-25"/>
        </w:rPr>
      </w:r>
      <w:r>
        <w:rPr/>
        <w:t>降。</w:t>
      </w:r>
      <w:r>
        <w:rPr>
          <w:rFonts w:ascii="宋体" w:hAnsi="宋体" w:cs="宋体" w:eastAsia="宋体" w:hint="default"/>
        </w:rPr>
        <w:t> </w:t>
      </w:r>
    </w:p>
    <w:p>
      <w:pPr>
        <w:pStyle w:val="BodyText"/>
        <w:spacing w:line="273" w:lineRule="auto" w:before="7"/>
        <w:ind w:right="217" w:firstLine="419"/>
        <w:jc w:val="both"/>
        <w:rPr>
          <w:rFonts w:ascii="宋体" w:hAnsi="宋体" w:cs="宋体" w:eastAsia="宋体" w:hint="default"/>
        </w:rPr>
      </w:pPr>
      <w:r>
        <w:rPr>
          <w:spacing w:val="-2"/>
        </w:rPr>
        <w:t>对策：公司将持续以市场为导向，加大细分市场营销力度，不断拓展营销思路和渠道，创新</w:t>
      </w:r>
      <w:r>
        <w:rPr>
          <w:w w:val="100"/>
        </w:rPr>
        <w:t> </w:t>
      </w:r>
      <w:r>
        <w:rPr>
          <w:spacing w:val="-2"/>
        </w:rPr>
        <w:t>产品营销模式，充分利用已经建立的营销渠道、品牌优势等，在巩固国内业务的同时，积极开拓</w:t>
      </w:r>
      <w:r>
        <w:rPr>
          <w:spacing w:val="-25"/>
        </w:rPr>
        <w:t> </w:t>
      </w:r>
      <w:r>
        <w:rPr>
          <w:spacing w:val="-25"/>
        </w:rPr>
      </w:r>
      <w:r>
        <w:rPr/>
        <w:t>国际市场，全面提升国际业务及新产品的销售比例。</w:t>
      </w:r>
      <w:r>
        <w:rPr>
          <w:rFonts w:ascii="宋体" w:hAnsi="宋体" w:cs="宋体" w:eastAsia="宋体" w:hint="default"/>
        </w:rPr>
        <w:t> </w:t>
      </w:r>
    </w:p>
    <w:p>
      <w:pPr>
        <w:pStyle w:val="Heading3"/>
        <w:spacing w:line="273" w:lineRule="auto" w:before="8"/>
        <w:ind w:left="640" w:right="0" w:hanging="3"/>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3</w:t>
      </w:r>
      <w:r>
        <w:rPr>
          <w:w w:val="100"/>
        </w:rPr>
        <w:t>、海外项目经营风</w:t>
      </w:r>
      <w:r>
        <w:rPr>
          <w:spacing w:val="-2"/>
          <w:w w:val="100"/>
        </w:rPr>
        <w:t>险</w:t>
      </w:r>
      <w:r>
        <w:rPr>
          <w:rFonts w:ascii="宋体" w:hAnsi="宋体" w:cs="宋体" w:eastAsia="宋体" w:hint="default"/>
          <w:w w:val="99"/>
        </w:rPr>
        <w:t> </w:t>
      </w:r>
      <w:r>
        <w:rPr>
          <w:rFonts w:ascii="宋体" w:hAnsi="宋体" w:cs="宋体" w:eastAsia="宋体" w:hint="default"/>
          <w:b w:val="0"/>
          <w:bCs w:val="0"/>
        </w:rPr>
      </w:r>
    </w:p>
    <w:p>
      <w:pPr>
        <w:pStyle w:val="BodyText"/>
        <w:spacing w:line="273" w:lineRule="auto" w:before="7"/>
        <w:ind w:right="217" w:firstLine="419"/>
        <w:jc w:val="both"/>
        <w:rPr>
          <w:rFonts w:ascii="宋体" w:hAnsi="宋体" w:cs="宋体" w:eastAsia="宋体" w:hint="default"/>
        </w:rPr>
      </w:pPr>
      <w:r>
        <w:rPr>
          <w:spacing w:val="-2"/>
        </w:rPr>
        <w:t>海外市场随着国内众多表厂国际化业务拓展以及参与程度的提高，价格竞争趋向激烈，价格</w:t>
      </w:r>
      <w:r>
        <w:rPr>
          <w:w w:val="100"/>
        </w:rPr>
        <w:t> </w:t>
      </w:r>
      <w:r>
        <w:rPr>
          <w:spacing w:val="-2"/>
        </w:rPr>
        <w:t>敏感市场项目成功率低。同时，海外客户需求复杂度高，研发投入较大，对项目把握度和成功率</w:t>
      </w:r>
      <w:r>
        <w:rPr>
          <w:spacing w:val="-25"/>
        </w:rPr>
        <w:t> </w:t>
      </w:r>
      <w:r>
        <w:rPr>
          <w:spacing w:val="-25"/>
        </w:rPr>
      </w:r>
      <w:r>
        <w:rPr>
          <w:spacing w:val="-2"/>
        </w:rPr>
        <w:t>提出了更高要求。在海外市场拓展中，同样会面临所在国政治、汇率以及收款风险等诸多因素，</w:t>
      </w:r>
      <w:r>
        <w:rPr>
          <w:spacing w:val="-25"/>
        </w:rPr>
        <w:t> </w:t>
      </w:r>
      <w:r>
        <w:rPr>
          <w:spacing w:val="-25"/>
        </w:rPr>
      </w:r>
      <w:r>
        <w:rPr/>
        <w:t>对项目风险管控提出了极大挑战。</w:t>
      </w:r>
      <w:r>
        <w:rPr>
          <w:rFonts w:ascii="宋体" w:hAnsi="宋体" w:cs="宋体" w:eastAsia="宋体" w:hint="default"/>
        </w:rPr>
        <w:t> </w:t>
      </w:r>
    </w:p>
    <w:p>
      <w:pPr>
        <w:pStyle w:val="BodyText"/>
        <w:spacing w:line="273" w:lineRule="auto" w:before="7"/>
        <w:ind w:right="208" w:firstLine="419"/>
        <w:jc w:val="both"/>
        <w:rPr>
          <w:rFonts w:ascii="宋体" w:hAnsi="宋体" w:cs="宋体" w:eastAsia="宋体" w:hint="default"/>
        </w:rPr>
      </w:pPr>
      <w:r>
        <w:rPr>
          <w:spacing w:val="-2"/>
        </w:rPr>
        <w:t>对策：加强海外市场前期的调研工作，明确公司海外市场战略定位，提升公司产品策略和客</w:t>
      </w:r>
      <w:r>
        <w:rPr>
          <w:w w:val="100"/>
        </w:rPr>
        <w:t> </w:t>
      </w:r>
      <w:r>
        <w:rPr>
          <w:spacing w:val="-6"/>
        </w:rPr>
        <w:t>户需求的匹配度，不断拓展营销思路和渠道，创新产品营销模式，充分利用已经建立的营销渠道、</w:t>
      </w:r>
      <w:r>
        <w:rPr>
          <w:spacing w:val="-54"/>
        </w:rPr>
        <w:t> </w:t>
      </w:r>
      <w:r>
        <w:rPr>
          <w:spacing w:val="-54"/>
        </w:rPr>
      </w:r>
      <w:r>
        <w:rPr>
          <w:spacing w:val="-2"/>
        </w:rPr>
        <w:t>品牌等优势，积极开拓国际市场，全面提升国际业务及新产品的销售比例。在项目管理上，强调</w:t>
      </w:r>
      <w:r>
        <w:rPr>
          <w:spacing w:val="-25"/>
        </w:rPr>
        <w:t> </w:t>
      </w:r>
      <w:r>
        <w:rPr>
          <w:spacing w:val="-25"/>
        </w:rPr>
      </w:r>
      <w:r>
        <w:rPr/>
        <w:t>规范化运作和风险管控意识，全力降本，增强运营效率。</w:t>
      </w:r>
      <w:r>
        <w:rPr>
          <w:rFonts w:ascii="宋体" w:hAnsi="宋体" w:cs="宋体" w:eastAsia="宋体" w:hint="default"/>
        </w:rPr>
        <w:t> </w:t>
      </w:r>
    </w:p>
    <w:p>
      <w:pPr>
        <w:pStyle w:val="Heading3"/>
        <w:spacing w:line="273" w:lineRule="auto" w:before="7"/>
        <w:ind w:left="640" w:right="0" w:hanging="3"/>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4</w:t>
      </w:r>
      <w:r>
        <w:rPr>
          <w:w w:val="100"/>
        </w:rPr>
        <w:t>、高端专业化人才缺</w:t>
      </w:r>
      <w:r>
        <w:rPr>
          <w:spacing w:val="-3"/>
          <w:w w:val="100"/>
        </w:rPr>
        <w:t>乏风</w:t>
      </w:r>
      <w:r>
        <w:rPr>
          <w:w w:val="100"/>
        </w:rPr>
        <w:t>险</w:t>
      </w:r>
      <w:r>
        <w:rPr>
          <w:rFonts w:ascii="宋体" w:hAnsi="宋体" w:cs="宋体" w:eastAsia="宋体" w:hint="default"/>
          <w:w w:val="99"/>
        </w:rPr>
        <w:t> </w:t>
      </w:r>
      <w:r>
        <w:rPr>
          <w:rFonts w:ascii="宋体" w:hAnsi="宋体" w:cs="宋体" w:eastAsia="宋体" w:hint="default"/>
          <w:b w:val="0"/>
          <w:bCs w:val="0"/>
        </w:rPr>
      </w:r>
    </w:p>
    <w:p>
      <w:pPr>
        <w:pStyle w:val="BodyText"/>
        <w:spacing w:line="273" w:lineRule="auto" w:before="7"/>
        <w:ind w:right="217" w:firstLine="419"/>
        <w:jc w:val="both"/>
        <w:rPr>
          <w:rFonts w:ascii="宋体" w:hAnsi="宋体" w:cs="宋体" w:eastAsia="宋体" w:hint="default"/>
        </w:rPr>
      </w:pPr>
      <w:r>
        <w:rPr>
          <w:spacing w:val="-2"/>
        </w:rPr>
        <w:t>随着公司“智能、节能、新能源”三大战略规划的全面推进，公司新业务领域的拓展和新建</w:t>
      </w:r>
      <w:r>
        <w:rPr>
          <w:w w:val="100"/>
        </w:rPr>
        <w:t> </w:t>
      </w:r>
      <w:r>
        <w:rPr>
          <w:spacing w:val="-2"/>
        </w:rPr>
        <w:t>设项目的投入，公司将需要更多的高素质的专业化人才，能否吸引并留住足够的人才，对公司的</w:t>
      </w:r>
      <w:r>
        <w:rPr>
          <w:spacing w:val="-25"/>
        </w:rPr>
        <w:t> </w:t>
      </w:r>
      <w:r>
        <w:rPr>
          <w:spacing w:val="-25"/>
        </w:rPr>
      </w:r>
      <w:r>
        <w:rPr>
          <w:spacing w:val="-2"/>
        </w:rPr>
        <w:t>进一步发展至关重要。公司可能存在管理人才和专业人才储备与公司发展需求不能很好匹配的风</w:t>
      </w:r>
      <w:r>
        <w:rPr>
          <w:spacing w:val="-26"/>
        </w:rPr>
        <w:t> </w:t>
      </w:r>
      <w:r>
        <w:rPr>
          <w:spacing w:val="-26"/>
        </w:rPr>
      </w:r>
      <w:r>
        <w:rPr/>
        <w:t>险。</w:t>
      </w:r>
      <w:r>
        <w:rPr>
          <w:rFonts w:ascii="宋体" w:hAnsi="宋体" w:cs="宋体" w:eastAsia="宋体" w:hint="default"/>
        </w:rPr>
        <w:t> </w:t>
      </w:r>
    </w:p>
    <w:p>
      <w:pPr>
        <w:pStyle w:val="BodyText"/>
        <w:spacing w:line="273" w:lineRule="auto" w:before="7"/>
        <w:ind w:right="208" w:firstLine="419"/>
        <w:jc w:val="both"/>
      </w:pPr>
      <w:r>
        <w:rPr>
          <w:spacing w:val="-7"/>
          <w:w w:val="100"/>
        </w:rPr>
        <w:t>对策：根据公司的发展战略，制定出一套切实可行的薪酬管理制度和员工绩效考核管理办法。</w:t>
      </w:r>
      <w:r>
        <w:rPr>
          <w:w w:val="100"/>
        </w:rPr>
        <w:t> </w:t>
      </w:r>
      <w:r>
        <w:rPr>
          <w:spacing w:val="-2"/>
        </w:rPr>
        <w:t>目前公司已经完成了第一期股权激励计划，第二期股权激励计划也正在实施期中，股权激励计划</w:t>
      </w:r>
      <w:r>
        <w:rPr>
          <w:spacing w:val="-25"/>
        </w:rPr>
        <w:t> </w:t>
      </w:r>
      <w:r>
        <w:rPr>
          <w:spacing w:val="-25"/>
        </w:rPr>
      </w:r>
      <w:r>
        <w:rPr>
          <w:spacing w:val="-2"/>
        </w:rPr>
        <w:t>的实施在引人、育人、留人方面起到了很好的效果。为促进公司健康稳定长远发展，提高员工的</w:t>
      </w:r>
      <w:r>
        <w:rPr>
          <w:spacing w:val="-25"/>
        </w:rPr>
        <w:t> </w:t>
      </w:r>
      <w:r>
        <w:rPr>
          <w:spacing w:val="-25"/>
        </w:rPr>
      </w:r>
      <w:r>
        <w:rPr/>
        <w:t>凝聚力和公司竞争力，</w:t>
      </w:r>
      <w:r>
        <w:rPr>
          <w:rFonts w:ascii="宋体" w:hAnsi="宋体" w:cs="宋体" w:eastAsia="宋体" w:hint="default"/>
        </w:rPr>
        <w:t>2018</w:t>
      </w:r>
      <w:r>
        <w:rPr>
          <w:rFonts w:ascii="宋体" w:hAnsi="宋体" w:cs="宋体" w:eastAsia="宋体" w:hint="default"/>
          <w:spacing w:val="-56"/>
        </w:rPr>
        <w:t> </w:t>
      </w:r>
      <w:r>
        <w:rPr/>
        <w:t>年公司推出了回购股份计划，已于</w:t>
      </w:r>
      <w:r>
        <w:rPr>
          <w:spacing w:val="-56"/>
        </w:rPr>
        <w:t> </w:t>
      </w:r>
      <w:r>
        <w:rPr>
          <w:rFonts w:ascii="宋体" w:hAnsi="宋体" w:cs="宋体" w:eastAsia="宋体" w:hint="default"/>
        </w:rPr>
        <w:t>2019</w:t>
      </w:r>
      <w:r>
        <w:rPr>
          <w:rFonts w:ascii="宋体" w:hAnsi="宋体" w:cs="宋体" w:eastAsia="宋体" w:hint="default"/>
          <w:spacing w:val="-56"/>
        </w:rPr>
        <w:t> </w:t>
      </w:r>
      <w:r>
        <w:rPr/>
        <w:t>年初实施完成，后续该部分</w:t>
      </w:r>
      <w:r>
        <w:rPr>
          <w:w w:val="100"/>
        </w:rPr>
        <w:t> </w:t>
      </w:r>
      <w:r>
        <w:rPr>
          <w:spacing w:val="-6"/>
          <w:w w:val="100"/>
        </w:rPr>
        <w:t>股份将用于员工持股计划，也能更好的促使公司经营目标的完成。公司将根据未来业务发展需要，</w:t>
      </w:r>
    </w:p>
    <w:p>
      <w:pPr>
        <w:spacing w:after="0" w:line="273" w:lineRule="auto"/>
        <w:jc w:val="both"/>
        <w:sectPr>
          <w:pgSz w:w="11910" w:h="16840"/>
          <w:pgMar w:header="747" w:footer="974" w:top="1140" w:bottom="1160" w:left="1580" w:right="1060"/>
        </w:sectPr>
      </w:pPr>
    </w:p>
    <w:p>
      <w:pPr>
        <w:spacing w:line="240" w:lineRule="auto" w:before="9"/>
        <w:rPr>
          <w:rFonts w:ascii="宋体" w:hAnsi="宋体" w:cs="宋体" w:eastAsia="宋体" w:hint="default"/>
          <w:sz w:val="25"/>
          <w:szCs w:val="25"/>
        </w:rPr>
      </w:pPr>
    </w:p>
    <w:p>
      <w:pPr>
        <w:pStyle w:val="BodyText"/>
        <w:spacing w:line="273" w:lineRule="auto" w:before="36"/>
        <w:ind w:right="0"/>
        <w:jc w:val="left"/>
        <w:rPr>
          <w:rFonts w:ascii="宋体" w:hAnsi="宋体" w:cs="宋体" w:eastAsia="宋体" w:hint="default"/>
        </w:rPr>
      </w:pPr>
      <w:r>
        <w:rPr>
          <w:spacing w:val="-2"/>
        </w:rPr>
        <w:t>不断完善人力资源管理体系的招聘管理和绩效管理，招募合适的优秀人才加盟公司，实现企业与</w:t>
      </w:r>
      <w:r>
        <w:rPr>
          <w:spacing w:val="-26"/>
        </w:rPr>
        <w:t> </w:t>
      </w:r>
      <w:r>
        <w:rPr>
          <w:spacing w:val="-26"/>
        </w:rPr>
      </w:r>
      <w:r>
        <w:rPr/>
        <w:t>员工的共同发展。</w:t>
      </w:r>
      <w:r>
        <w:rPr>
          <w:rFonts w:ascii="宋体" w:hAnsi="宋体" w:cs="宋体" w:eastAsia="宋体" w:hint="default"/>
        </w:rPr>
        <w:t> </w:t>
      </w:r>
    </w:p>
    <w:p>
      <w:pPr>
        <w:pStyle w:val="Heading3"/>
        <w:spacing w:line="273" w:lineRule="auto" w:before="7"/>
        <w:ind w:left="640" w:right="0" w:hanging="3"/>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5</w:t>
      </w:r>
      <w:r>
        <w:rPr>
          <w:w w:val="100"/>
        </w:rPr>
        <w:t>、新冠肺炎疫情下的</w:t>
      </w:r>
      <w:r>
        <w:rPr>
          <w:spacing w:val="-3"/>
          <w:w w:val="100"/>
        </w:rPr>
        <w:t>市场</w:t>
      </w:r>
      <w:r>
        <w:rPr>
          <w:w w:val="100"/>
        </w:rPr>
        <w:t>风险</w:t>
      </w:r>
      <w:r>
        <w:rPr>
          <w:rFonts w:ascii="宋体" w:hAnsi="宋体" w:cs="宋体" w:eastAsia="宋体" w:hint="default"/>
          <w:w w:val="99"/>
        </w:rPr>
        <w:t> </w:t>
      </w:r>
      <w:r>
        <w:rPr>
          <w:rFonts w:ascii="宋体" w:hAnsi="宋体" w:cs="宋体" w:eastAsia="宋体" w:hint="default"/>
          <w:b w:val="0"/>
          <w:bCs w:val="0"/>
        </w:rPr>
      </w:r>
    </w:p>
    <w:p>
      <w:pPr>
        <w:pStyle w:val="BodyText"/>
        <w:spacing w:line="273" w:lineRule="auto" w:before="7"/>
        <w:ind w:right="0" w:firstLine="419"/>
        <w:jc w:val="left"/>
        <w:rPr>
          <w:rFonts w:ascii="宋体" w:hAnsi="宋体" w:cs="宋体" w:eastAsia="宋体" w:hint="default"/>
        </w:rPr>
      </w:pPr>
      <w:r>
        <w:rPr>
          <w:rFonts w:ascii="宋体" w:hAnsi="宋体" w:cs="宋体" w:eastAsia="宋体" w:hint="default"/>
        </w:rPr>
        <w:t>2020</w:t>
      </w:r>
      <w:r>
        <w:rPr>
          <w:rFonts w:ascii="宋体" w:hAnsi="宋体" w:cs="宋体" w:eastAsia="宋体" w:hint="default"/>
          <w:spacing w:val="-10"/>
        </w:rPr>
        <w:t> </w:t>
      </w:r>
      <w:r>
        <w:rPr/>
        <w:t>年新冠肺炎疫情从国内开始爆发，为防止疫情蔓延，中央及各级政府采取了各种措施，</w:t>
      </w:r>
      <w:r>
        <w:rPr>
          <w:w w:val="100"/>
        </w:rPr>
        <w:t> </w:t>
      </w:r>
      <w:r>
        <w:rPr/>
        <w:t>严格限制人员流动，短时间内有效阻断了病毒传播。受新冠肺炎疫情影响，全国各地企业在春节</w:t>
      </w:r>
      <w:r>
        <w:rPr>
          <w:w w:val="100"/>
        </w:rPr>
        <w:t> </w:t>
      </w:r>
      <w:r>
        <w:rPr/>
        <w:t>假期后延期复工，复工后也面临了员工招募、物流运输、防疫物资紧缺等多方面的问题，为制造</w:t>
      </w:r>
      <w:r>
        <w:rPr>
          <w:w w:val="100"/>
        </w:rPr>
        <w:t> </w:t>
      </w:r>
      <w:r>
        <w:rPr/>
        <w:t>业的正常生产带来了一定困难。随着疫情在全球蔓延，全球经济遭受重创，经济下行风险加剧，</w:t>
      </w:r>
      <w:r>
        <w:rPr>
          <w:w w:val="100"/>
        </w:rPr>
        <w:t> </w:t>
      </w:r>
      <w:r>
        <w:rPr>
          <w:rFonts w:ascii="宋体" w:hAnsi="宋体" w:cs="宋体" w:eastAsia="宋体" w:hint="default"/>
        </w:rPr>
        <w:t>IMF</w:t>
      </w:r>
      <w:r>
        <w:rPr/>
        <w:t>、世界银行等机构下调</w:t>
      </w:r>
      <w:r>
        <w:rPr>
          <w:spacing w:val="-54"/>
        </w:rPr>
        <w:t> </w:t>
      </w:r>
      <w:r>
        <w:rPr>
          <w:rFonts w:ascii="宋体" w:hAnsi="宋体" w:cs="宋体" w:eastAsia="宋体" w:hint="default"/>
        </w:rPr>
        <w:t>2020</w:t>
      </w:r>
      <w:r>
        <w:rPr>
          <w:rFonts w:ascii="宋体" w:hAnsi="宋体" w:cs="宋体" w:eastAsia="宋体" w:hint="default"/>
          <w:spacing w:val="-55"/>
        </w:rPr>
        <w:t> </w:t>
      </w:r>
      <w:r>
        <w:rPr/>
        <w:t>年全球经济增长预期，市场对经济的悲观预期持续上升。如未来</w:t>
      </w:r>
      <w:r>
        <w:rPr>
          <w:w w:val="100"/>
        </w:rPr>
        <w:t> </w:t>
      </w:r>
      <w:r>
        <w:rPr/>
        <w:t>全球疫情无法得到有效控制或消除，以及全球经济一体化的影响，可能会对公司未来生产和经营</w:t>
      </w:r>
      <w:r>
        <w:rPr>
          <w:w w:val="100"/>
        </w:rPr>
        <w:t> </w:t>
      </w:r>
      <w:r>
        <w:rPr/>
        <w:t>造成不利的影响。</w:t>
      </w:r>
      <w:r>
        <w:rPr>
          <w:rFonts w:ascii="宋体" w:hAnsi="宋体" w:cs="宋体" w:eastAsia="宋体" w:hint="default"/>
        </w:rPr>
        <w:t> </w:t>
      </w:r>
    </w:p>
    <w:p>
      <w:pPr>
        <w:pStyle w:val="BodyText"/>
        <w:spacing w:line="273" w:lineRule="auto" w:before="7"/>
        <w:ind w:right="208" w:firstLine="419"/>
        <w:jc w:val="both"/>
        <w:rPr>
          <w:rFonts w:ascii="宋体" w:hAnsi="宋体" w:cs="宋体" w:eastAsia="宋体" w:hint="default"/>
        </w:rPr>
      </w:pPr>
      <w:r>
        <w:rPr>
          <w:spacing w:val="-7"/>
        </w:rPr>
        <w:t>对策：为确保节后第一时间复工复产，公司积极响应落实疫情防控部署，成立抗疫领导小组，</w:t>
      </w:r>
      <w:r>
        <w:rPr>
          <w:w w:val="100"/>
        </w:rPr>
        <w:t> </w:t>
      </w:r>
      <w:r>
        <w:rPr>
          <w:spacing w:val="-2"/>
        </w:rPr>
        <w:t>制定并落实一系列疫情防控规定。公司管理层密切关注新冠肺炎疫情下国内外宏观经济、政策形</w:t>
      </w:r>
      <w:r>
        <w:rPr>
          <w:spacing w:val="-25"/>
        </w:rPr>
        <w:t> </w:t>
      </w:r>
      <w:r>
        <w:rPr>
          <w:spacing w:val="-25"/>
        </w:rPr>
      </w:r>
      <w:r>
        <w:rPr>
          <w:spacing w:val="-2"/>
        </w:rPr>
        <w:t>势的变化，通过整合内外部优势资源、提升技术创新能力、夯实产品质量、加强新兴市场和“一</w:t>
      </w:r>
      <w:r>
        <w:rPr>
          <w:spacing w:val="-25"/>
        </w:rPr>
        <w:t> </w:t>
      </w:r>
      <w:r>
        <w:rPr>
          <w:spacing w:val="-25"/>
        </w:rPr>
      </w:r>
      <w:r>
        <w:rPr>
          <w:spacing w:val="-2"/>
        </w:rPr>
        <w:t>带一路”地区市场的开发力度等，不断提高公司产品竞争力和抗风险能力，确保公司按照年初既</w:t>
      </w:r>
      <w:r>
        <w:rPr>
          <w:spacing w:val="-25"/>
        </w:rPr>
        <w:t> </w:t>
      </w:r>
      <w:r>
        <w:rPr>
          <w:spacing w:val="-25"/>
        </w:rPr>
      </w:r>
      <w:r>
        <w:rPr/>
        <w:t>定目标有序推进各项工作。</w:t>
      </w:r>
      <w:r>
        <w:rPr>
          <w:rFonts w:ascii="宋体" w:hAnsi="宋体" w:cs="宋体" w:eastAsia="宋体" w:hint="default"/>
        </w:rPr>
        <w:t> </w:t>
      </w:r>
    </w:p>
    <w:p>
      <w:pPr>
        <w:pStyle w:val="BodyText"/>
        <w:spacing w:line="240" w:lineRule="auto" w:before="7"/>
        <w:ind w:right="0"/>
        <w:jc w:val="left"/>
        <w:rPr>
          <w:rFonts w:ascii="宋体" w:hAnsi="宋体" w:cs="宋体" w:eastAsia="宋体" w:hint="default"/>
        </w:rPr>
      </w:pPr>
      <w:r>
        <w:rPr>
          <w:rFonts w:ascii="宋体"/>
          <w:w w:val="100"/>
        </w:rPr>
        <w:t> </w:t>
      </w:r>
    </w:p>
    <w:p>
      <w:pPr>
        <w:pStyle w:val="Heading3"/>
        <w:tabs>
          <w:tab w:pos="1057" w:val="left" w:leader="none"/>
        </w:tabs>
        <w:spacing w:line="240" w:lineRule="auto"/>
        <w:ind w:right="0"/>
        <w:jc w:val="left"/>
        <w:rPr>
          <w:b w:val="0"/>
          <w:bCs w:val="0"/>
        </w:rPr>
      </w:pPr>
      <w:r>
        <w:rPr>
          <w:rFonts w:ascii="宋体" w:hAnsi="宋体" w:cs="宋体" w:eastAsia="宋体" w:hint="default"/>
          <w:spacing w:val="-1"/>
        </w:rPr>
        <w:t>(</w:t>
      </w:r>
      <w:r>
        <w:rPr>
          <w:spacing w:val="-1"/>
        </w:rPr>
        <w:t>五</w:t>
      </w:r>
      <w:r>
        <w:rPr>
          <w:rFonts w:ascii="宋体" w:hAnsi="宋体" w:cs="宋体" w:eastAsia="宋体" w:hint="default"/>
          <w:spacing w:val="-1"/>
        </w:rPr>
        <w:t>)</w:t>
        <w:tab/>
      </w:r>
      <w:r>
        <w:rPr/>
        <w:t>其他</w:t>
      </w:r>
      <w:r>
        <w:rPr>
          <w:b w:val="0"/>
          <w:bCs w:val="0"/>
        </w:rPr>
      </w:r>
    </w:p>
    <w:p>
      <w:pPr>
        <w:pStyle w:val="BodyText"/>
        <w:spacing w:line="240" w:lineRule="auto" w:before="97"/>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324" w:lineRule="auto" w:before="37"/>
        <w:ind w:right="91"/>
        <w:jc w:val="left"/>
        <w:rPr>
          <w:b w:val="0"/>
          <w:bCs w:val="0"/>
        </w:rPr>
      </w:pPr>
      <w:r>
        <w:rPr>
          <w:rFonts w:ascii="宋体" w:hAnsi="宋体" w:cs="宋体" w:eastAsia="宋体" w:hint="default"/>
          <w:b w:val="0"/>
          <w:bCs w:val="0"/>
          <w:w w:val="100"/>
        </w:rPr>
        <w:t> </w:t>
      </w:r>
      <w:r>
        <w:rPr>
          <w:w w:val="100"/>
        </w:rPr>
        <w:t>三</w:t>
      </w:r>
      <w:r>
        <w:rPr>
          <w:spacing w:val="-1"/>
          <w:w w:val="100"/>
        </w:rPr>
        <w:t>、</w:t>
      </w:r>
      <w:r>
        <w:rPr>
          <w:w w:val="100"/>
        </w:rPr>
        <w:t>公司因不适用准则</w:t>
      </w:r>
      <w:r>
        <w:rPr>
          <w:spacing w:val="-3"/>
          <w:w w:val="100"/>
        </w:rPr>
        <w:t>规</w:t>
      </w:r>
      <w:r>
        <w:rPr>
          <w:w w:val="100"/>
        </w:rPr>
        <w:t>定</w:t>
      </w:r>
      <w:r>
        <w:rPr>
          <w:spacing w:val="-3"/>
          <w:w w:val="100"/>
        </w:rPr>
        <w:t>或</w:t>
      </w:r>
      <w:r>
        <w:rPr>
          <w:w w:val="100"/>
        </w:rPr>
        <w:t>国家秘密</w:t>
      </w:r>
      <w:r>
        <w:rPr>
          <w:spacing w:val="-10"/>
          <w:w w:val="100"/>
        </w:rPr>
        <w:t>、</w:t>
      </w:r>
      <w:r>
        <w:rPr>
          <w:spacing w:val="-3"/>
          <w:w w:val="100"/>
        </w:rPr>
        <w:t>商</w:t>
      </w:r>
      <w:r>
        <w:rPr>
          <w:w w:val="100"/>
        </w:rPr>
        <w:t>业秘密等</w:t>
      </w:r>
      <w:r>
        <w:rPr>
          <w:spacing w:val="-3"/>
          <w:w w:val="100"/>
        </w:rPr>
        <w:t>特</w:t>
      </w:r>
      <w:r>
        <w:rPr>
          <w:w w:val="100"/>
        </w:rPr>
        <w:t>殊原因</w:t>
      </w:r>
      <w:r>
        <w:rPr>
          <w:spacing w:val="-10"/>
          <w:w w:val="100"/>
        </w:rPr>
        <w:t>，</w:t>
      </w:r>
      <w:r>
        <w:rPr>
          <w:w w:val="100"/>
        </w:rPr>
        <w:t>未</w:t>
      </w:r>
      <w:r>
        <w:rPr>
          <w:spacing w:val="-3"/>
          <w:w w:val="100"/>
        </w:rPr>
        <w:t>按</w:t>
      </w:r>
      <w:r>
        <w:rPr>
          <w:w w:val="100"/>
        </w:rPr>
        <w:t>准则披露</w:t>
      </w:r>
      <w:r>
        <w:rPr>
          <w:spacing w:val="-3"/>
          <w:w w:val="100"/>
        </w:rPr>
        <w:t>的</w:t>
      </w:r>
      <w:r>
        <w:rPr>
          <w:w w:val="100"/>
        </w:rPr>
        <w:t>情况和原因说明</w:t>
      </w:r>
      <w:r>
        <w:rPr>
          <w:b w:val="0"/>
          <w:bCs w:val="0"/>
          <w:w w:val="100"/>
        </w:rPr>
      </w:r>
    </w:p>
    <w:p>
      <w:pPr>
        <w:pStyle w:val="Heading2"/>
        <w:spacing w:line="310" w:lineRule="exact"/>
        <w:ind w:right="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BodyText"/>
        <w:spacing w:line="240" w:lineRule="auto" w:before="26"/>
        <w:ind w:right="0"/>
        <w:jc w:val="left"/>
        <w:rPr>
          <w:rFonts w:ascii="宋体" w:hAnsi="宋体" w:cs="宋体" w:eastAsia="宋体" w:hint="default"/>
        </w:rPr>
      </w:pPr>
      <w:r>
        <w:rPr>
          <w:rFonts w:ascii="宋体"/>
          <w:w w:val="100"/>
        </w:rPr>
        <w:t> </w:t>
      </w:r>
    </w:p>
    <w:p>
      <w:pPr>
        <w:spacing w:line="240" w:lineRule="auto" w:before="3"/>
        <w:rPr>
          <w:rFonts w:ascii="宋体" w:hAnsi="宋体" w:cs="宋体" w:eastAsia="宋体" w:hint="default"/>
          <w:sz w:val="16"/>
          <w:szCs w:val="16"/>
        </w:rPr>
      </w:pPr>
    </w:p>
    <w:p>
      <w:pPr>
        <w:pStyle w:val="BodyText"/>
        <w:spacing w:line="240" w:lineRule="auto"/>
        <w:ind w:right="0"/>
        <w:jc w:val="left"/>
        <w:rPr>
          <w:rFonts w:ascii="宋体" w:hAnsi="宋体" w:cs="宋体" w:eastAsia="宋体" w:hint="default"/>
        </w:rPr>
      </w:pPr>
      <w:r>
        <w:rPr>
          <w:rFonts w:ascii="宋体"/>
          <w:w w:val="100"/>
        </w:rPr>
        <w:t> </w:t>
      </w:r>
    </w:p>
    <w:p>
      <w:pPr>
        <w:spacing w:after="0" w:line="240" w:lineRule="auto"/>
        <w:jc w:val="left"/>
        <w:rPr>
          <w:rFonts w:ascii="宋体" w:hAnsi="宋体" w:cs="宋体" w:eastAsia="宋体" w:hint="default"/>
        </w:rPr>
        <w:sectPr>
          <w:pgSz w:w="11910" w:h="16840"/>
          <w:pgMar w:header="747" w:footer="974" w:top="1140" w:bottom="1160" w:left="1580" w:right="1060"/>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4"/>
          <w:szCs w:val="14"/>
        </w:rPr>
      </w:pPr>
    </w:p>
    <w:p>
      <w:pPr>
        <w:pStyle w:val="Heading1"/>
        <w:tabs>
          <w:tab w:pos="1259" w:val="left" w:leader="none"/>
        </w:tabs>
        <w:spacing w:line="240" w:lineRule="auto"/>
        <w:ind w:right="275"/>
        <w:jc w:val="center"/>
        <w:rPr>
          <w:rFonts w:ascii="黑体" w:hAnsi="黑体" w:cs="黑体" w:eastAsia="黑体" w:hint="default"/>
          <w:b w:val="0"/>
          <w:bCs w:val="0"/>
        </w:rPr>
      </w:pPr>
      <w:bookmarkStart w:name="_bookmark4" w:id="5"/>
      <w:bookmarkEnd w:id="5"/>
      <w:r>
        <w:rPr>
          <w:b w:val="0"/>
          <w:bCs w:val="0"/>
        </w:rPr>
      </w:r>
      <w:r>
        <w:rPr>
          <w:rFonts w:ascii="黑体" w:hAnsi="黑体" w:cs="黑体" w:eastAsia="黑体" w:hint="default"/>
          <w:w w:val="95"/>
        </w:rPr>
        <w:t>第五节</w:t>
      </w:r>
      <w:r>
        <w:rPr>
          <w:rFonts w:ascii="宋体" w:hAnsi="宋体" w:cs="宋体" w:eastAsia="宋体" w:hint="default"/>
          <w:w w:val="95"/>
        </w:rPr>
        <w:tab/>
      </w:r>
      <w:r>
        <w:rPr>
          <w:rFonts w:ascii="黑体" w:hAnsi="黑体" w:cs="黑体" w:eastAsia="黑体" w:hint="default"/>
        </w:rPr>
        <w:t>重要事项</w:t>
      </w:r>
      <w:r>
        <w:rPr>
          <w:rFonts w:ascii="黑体" w:hAnsi="黑体" w:cs="黑体" w:eastAsia="黑体" w:hint="default"/>
          <w:b w:val="0"/>
          <w:bCs w:val="0"/>
        </w:rPr>
      </w:r>
    </w:p>
    <w:p>
      <w:pPr>
        <w:pStyle w:val="Heading3"/>
        <w:spacing w:line="240" w:lineRule="auto" w:before="219"/>
        <w:ind w:right="0"/>
        <w:jc w:val="both"/>
        <w:rPr>
          <w:b w:val="0"/>
          <w:bCs w:val="0"/>
        </w:rPr>
      </w:pPr>
      <w:r>
        <w:rPr/>
        <w:t>一、普通股利润分配或资本公积金转增预案</w:t>
      </w:r>
      <w:r>
        <w:rPr>
          <w:b w:val="0"/>
          <w:bCs w:val="0"/>
        </w:rPr>
      </w:r>
    </w:p>
    <w:p>
      <w:pPr>
        <w:pStyle w:val="Heading3"/>
        <w:spacing w:line="240" w:lineRule="auto"/>
        <w:ind w:right="0"/>
        <w:jc w:val="both"/>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0"/>
        </w:rPr>
        <w:t> </w:t>
      </w:r>
      <w:r>
        <w:rPr/>
        <w:t>现金分红政策的制定、执行或调整情况</w:t>
      </w:r>
      <w:r>
        <w:rPr>
          <w:b w:val="0"/>
          <w:bCs w:val="0"/>
        </w:rPr>
      </w:r>
    </w:p>
    <w:p>
      <w:pPr>
        <w:pStyle w:val="Heading2"/>
        <w:spacing w:line="240" w:lineRule="auto" w:before="42"/>
        <w:ind w:right="0"/>
        <w:jc w:val="both"/>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BodyText"/>
        <w:spacing w:line="273" w:lineRule="auto" w:before="25"/>
        <w:ind w:right="487" w:firstLine="419"/>
        <w:jc w:val="left"/>
      </w:pPr>
      <w:r>
        <w:rPr>
          <w:spacing w:val="-2"/>
        </w:rPr>
        <w:t>根据中国证券监督管理委员会（以下简称</w:t>
      </w:r>
      <w:r>
        <w:rPr>
          <w:rFonts w:ascii="宋体" w:hAnsi="宋体" w:cs="宋体" w:eastAsia="宋体" w:hint="default"/>
          <w:spacing w:val="-2"/>
        </w:rPr>
        <w:t>"</w:t>
      </w:r>
      <w:r>
        <w:rPr>
          <w:spacing w:val="-2"/>
        </w:rPr>
        <w:t>中国证监会</w:t>
      </w:r>
      <w:r>
        <w:rPr>
          <w:rFonts w:ascii="宋体" w:hAnsi="宋体" w:cs="宋体" w:eastAsia="宋体" w:hint="default"/>
          <w:spacing w:val="-2"/>
        </w:rPr>
        <w:t>"</w:t>
      </w:r>
      <w:r>
        <w:rPr>
          <w:spacing w:val="-2"/>
        </w:rPr>
        <w:t>）《关于进一步落实上市公司现金分</w:t>
      </w:r>
      <w:r>
        <w:rPr>
          <w:w w:val="100"/>
        </w:rPr>
        <w:t> </w:t>
      </w:r>
      <w:r>
        <w:rPr>
          <w:spacing w:val="-8"/>
          <w:w w:val="100"/>
        </w:rPr>
        <w:t>红有关事项的通知》（证监发</w:t>
      </w:r>
      <w:r>
        <w:rPr>
          <w:rFonts w:ascii="宋体" w:hAnsi="宋体" w:cs="宋体" w:eastAsia="宋体" w:hint="default"/>
          <w:spacing w:val="-8"/>
          <w:w w:val="100"/>
        </w:rPr>
        <w:t>[2012]37</w:t>
      </w:r>
      <w:r>
        <w:rPr>
          <w:rFonts w:ascii="宋体" w:hAnsi="宋体" w:cs="宋体" w:eastAsia="宋体" w:hint="default"/>
          <w:spacing w:val="-45"/>
          <w:w w:val="100"/>
        </w:rPr>
        <w:t> </w:t>
      </w:r>
      <w:r>
        <w:rPr>
          <w:spacing w:val="-11"/>
          <w:w w:val="100"/>
        </w:rPr>
        <w:t>号）和《上市公司监管指引第</w:t>
      </w:r>
      <w:r>
        <w:rPr>
          <w:spacing w:val="-45"/>
          <w:w w:val="100"/>
        </w:rPr>
        <w:t> </w:t>
      </w:r>
      <w:r>
        <w:rPr>
          <w:rFonts w:ascii="宋体" w:hAnsi="宋体" w:cs="宋体" w:eastAsia="宋体" w:hint="default"/>
          <w:w w:val="100"/>
        </w:rPr>
        <w:t>3</w:t>
      </w:r>
      <w:r>
        <w:rPr>
          <w:rFonts w:ascii="宋体" w:hAnsi="宋体" w:cs="宋体" w:eastAsia="宋体" w:hint="default"/>
          <w:spacing w:val="-47"/>
          <w:w w:val="100"/>
        </w:rPr>
        <w:t> </w:t>
      </w:r>
      <w:r>
        <w:rPr>
          <w:spacing w:val="-2"/>
          <w:w w:val="100"/>
        </w:rPr>
        <w:t>号——上市公司现金分红》</w:t>
      </w:r>
    </w:p>
    <w:p>
      <w:pPr>
        <w:pStyle w:val="BodyText"/>
        <w:spacing w:line="273" w:lineRule="auto" w:before="7"/>
        <w:ind w:right="488"/>
        <w:jc w:val="both"/>
      </w:pPr>
      <w:r>
        <w:rPr/>
        <w:t>（证监会公告（</w:t>
      </w:r>
      <w:r>
        <w:rPr>
          <w:rFonts w:ascii="宋体" w:hAnsi="宋体" w:cs="宋体" w:eastAsia="宋体" w:hint="default"/>
        </w:rPr>
        <w:t>2013</w:t>
      </w:r>
      <w:r>
        <w:rPr/>
        <w:t>）</w:t>
      </w:r>
      <w:r>
        <w:rPr>
          <w:rFonts w:ascii="宋体" w:hAnsi="宋体" w:cs="宋体" w:eastAsia="宋体" w:hint="default"/>
        </w:rPr>
        <w:t>43</w:t>
      </w:r>
      <w:r>
        <w:rPr>
          <w:rFonts w:ascii="宋体" w:hAnsi="宋体" w:cs="宋体" w:eastAsia="宋体" w:hint="default"/>
          <w:spacing w:val="-57"/>
        </w:rPr>
        <w:t> </w:t>
      </w:r>
      <w:r>
        <w:rPr/>
        <w:t>号）、中国证券监督管理委员会江苏监管局《关于认真贯彻落实</w:t>
      </w:r>
      <w:r>
        <w:rPr>
          <w:rFonts w:ascii="宋体" w:hAnsi="宋体" w:cs="宋体" w:eastAsia="宋体" w:hint="default"/>
        </w:rPr>
        <w:t>&lt;</w:t>
      </w:r>
      <w:r>
        <w:rPr/>
        <w:t>关于</w:t>
      </w:r>
      <w:r>
        <w:rPr>
          <w:w w:val="100"/>
        </w:rPr>
        <w:t> </w:t>
      </w:r>
      <w:r>
        <w:rPr>
          <w:spacing w:val="-4"/>
          <w:w w:val="100"/>
        </w:rPr>
        <w:t>进一步落实上市公司现金分红事项的通知</w:t>
      </w:r>
      <w:r>
        <w:rPr>
          <w:rFonts w:ascii="宋体" w:hAnsi="宋体" w:cs="宋体" w:eastAsia="宋体" w:hint="default"/>
          <w:spacing w:val="-4"/>
          <w:w w:val="100"/>
        </w:rPr>
        <w:t>&gt;</w:t>
      </w:r>
      <w:r>
        <w:rPr>
          <w:spacing w:val="-4"/>
          <w:w w:val="100"/>
        </w:rPr>
        <w:t>有关要求的通知》（苏证局公司字</w:t>
      </w:r>
      <w:r>
        <w:rPr>
          <w:rFonts w:ascii="宋体" w:hAnsi="宋体" w:cs="宋体" w:eastAsia="宋体" w:hint="default"/>
          <w:spacing w:val="-4"/>
          <w:w w:val="100"/>
        </w:rPr>
        <w:t>[2012]276</w:t>
      </w:r>
      <w:r>
        <w:rPr>
          <w:rFonts w:ascii="宋体" w:hAnsi="宋体" w:cs="宋体" w:eastAsia="宋体" w:hint="default"/>
          <w:spacing w:val="-40"/>
          <w:w w:val="100"/>
        </w:rPr>
        <w:t> </w:t>
      </w:r>
      <w:r>
        <w:rPr>
          <w:spacing w:val="-32"/>
          <w:w w:val="100"/>
        </w:rPr>
        <w:t>号）、《上</w:t>
      </w:r>
      <w:r>
        <w:rPr>
          <w:spacing w:val="-101"/>
          <w:w w:val="100"/>
        </w:rPr>
        <w:t> </w:t>
      </w:r>
      <w:r>
        <w:rPr>
          <w:spacing w:val="-101"/>
          <w:w w:val="100"/>
        </w:rPr>
      </w:r>
      <w:r>
        <w:rPr>
          <w:spacing w:val="-4"/>
        </w:rPr>
        <w:t>海证券交易所上市公司现金分红指引》以及上海证券交易所《关于修订</w:t>
      </w:r>
      <w:r>
        <w:rPr>
          <w:rFonts w:ascii="宋体" w:hAnsi="宋体" w:cs="宋体" w:eastAsia="宋体" w:hint="default"/>
          <w:spacing w:val="-4"/>
        </w:rPr>
        <w:t>&lt;</w:t>
      </w:r>
      <w:r>
        <w:rPr>
          <w:spacing w:val="-4"/>
        </w:rPr>
        <w:t>上市公司定期报告工作备</w:t>
      </w:r>
      <w:r>
        <w:rPr>
          <w:spacing w:val="-33"/>
        </w:rPr>
        <w:t> </w:t>
      </w:r>
      <w:r>
        <w:rPr>
          <w:spacing w:val="-33"/>
        </w:rPr>
      </w:r>
      <w:r>
        <w:rPr>
          <w:spacing w:val="-7"/>
        </w:rPr>
        <w:t>忘录第七号</w:t>
      </w:r>
      <w:r>
        <w:rPr>
          <w:rFonts w:ascii="宋体" w:hAnsi="宋体" w:cs="宋体" w:eastAsia="宋体" w:hint="default"/>
          <w:spacing w:val="-7"/>
        </w:rPr>
        <w:t>&gt;</w:t>
      </w:r>
      <w:r>
        <w:rPr>
          <w:spacing w:val="-7"/>
        </w:rPr>
        <w:t>的通知》（上证函（</w:t>
      </w:r>
      <w:r>
        <w:rPr>
          <w:rFonts w:ascii="宋体" w:hAnsi="宋体" w:cs="宋体" w:eastAsia="宋体" w:hint="default"/>
          <w:spacing w:val="-7"/>
        </w:rPr>
        <w:t>2014</w:t>
      </w:r>
      <w:r>
        <w:rPr>
          <w:spacing w:val="-7"/>
        </w:rPr>
        <w:t>）</w:t>
      </w:r>
      <w:r>
        <w:rPr>
          <w:rFonts w:ascii="宋体" w:hAnsi="宋体" w:cs="宋体" w:eastAsia="宋体" w:hint="default"/>
          <w:spacing w:val="-7"/>
        </w:rPr>
        <w:t>17 </w:t>
      </w:r>
      <w:r>
        <w:rPr>
          <w:spacing w:val="-3"/>
        </w:rPr>
        <w:t>号）中“关于年报工作中与现金分红相关的注意事项”</w:t>
      </w:r>
      <w:r>
        <w:rPr>
          <w:spacing w:val="-80"/>
        </w:rPr>
        <w:t> </w:t>
      </w:r>
      <w:r>
        <w:rPr>
          <w:spacing w:val="-80"/>
        </w:rPr>
      </w:r>
      <w:r>
        <w:rPr>
          <w:spacing w:val="-2"/>
        </w:rPr>
        <w:t>相关文件要求，结合公司实际情况，公司对《公司章程》中有关利润分配政策的相关条款进行了</w:t>
      </w:r>
      <w:r>
        <w:rPr>
          <w:spacing w:val="-25"/>
        </w:rPr>
        <w:t> </w:t>
      </w:r>
      <w:r>
        <w:rPr>
          <w:spacing w:val="-25"/>
        </w:rPr>
      </w:r>
      <w:r>
        <w:rPr>
          <w:spacing w:val="-6"/>
        </w:rPr>
        <w:t>修订，进一步完善了利润分配的决策程序和机制。公司于</w:t>
      </w:r>
      <w:r>
        <w:rPr>
          <w:spacing w:val="-44"/>
        </w:rPr>
        <w:t> </w:t>
      </w:r>
      <w:r>
        <w:rPr>
          <w:rFonts w:ascii="宋体" w:hAnsi="宋体" w:cs="宋体" w:eastAsia="宋体" w:hint="default"/>
        </w:rPr>
        <w:t>2014</w:t>
      </w:r>
      <w:r>
        <w:rPr>
          <w:rFonts w:ascii="宋体" w:hAnsi="宋体" w:cs="宋体" w:eastAsia="宋体" w:hint="default"/>
          <w:spacing w:val="-44"/>
        </w:rPr>
        <w:t> </w:t>
      </w:r>
      <w:r>
        <w:rPr/>
        <w:t>年</w:t>
      </w:r>
      <w:r>
        <w:rPr>
          <w:spacing w:val="-47"/>
        </w:rPr>
        <w:t> </w:t>
      </w:r>
      <w:r>
        <w:rPr>
          <w:rFonts w:ascii="宋体" w:hAnsi="宋体" w:cs="宋体" w:eastAsia="宋体" w:hint="default"/>
        </w:rPr>
        <w:t>10</w:t>
      </w:r>
      <w:r>
        <w:rPr>
          <w:rFonts w:ascii="宋体" w:hAnsi="宋体" w:cs="宋体" w:eastAsia="宋体" w:hint="default"/>
          <w:spacing w:val="-47"/>
        </w:rPr>
        <w:t> </w:t>
      </w:r>
      <w:r>
        <w:rPr/>
        <w:t>月</w:t>
      </w:r>
      <w:r>
        <w:rPr>
          <w:spacing w:val="-44"/>
        </w:rPr>
        <w:t> </w:t>
      </w:r>
      <w:r>
        <w:rPr>
          <w:rFonts w:ascii="宋体" w:hAnsi="宋体" w:cs="宋体" w:eastAsia="宋体" w:hint="default"/>
        </w:rPr>
        <w:t>10</w:t>
      </w:r>
      <w:r>
        <w:rPr>
          <w:rFonts w:ascii="宋体" w:hAnsi="宋体" w:cs="宋体" w:eastAsia="宋体" w:hint="default"/>
          <w:spacing w:val="-47"/>
        </w:rPr>
        <w:t> </w:t>
      </w:r>
      <w:r>
        <w:rPr/>
        <w:t>日召开第二届董事会第</w:t>
      </w:r>
    </w:p>
    <w:p>
      <w:pPr>
        <w:pStyle w:val="BodyText"/>
        <w:spacing w:line="240" w:lineRule="auto" w:before="7"/>
        <w:ind w:right="0"/>
        <w:jc w:val="both"/>
        <w:rPr>
          <w:rFonts w:ascii="宋体" w:hAnsi="宋体" w:cs="宋体" w:eastAsia="宋体" w:hint="default"/>
        </w:rPr>
      </w:pPr>
      <w:r>
        <w:rPr>
          <w:spacing w:val="-6"/>
        </w:rPr>
        <w:t>十八次会议，于</w:t>
      </w:r>
      <w:r>
        <w:rPr>
          <w:spacing w:val="-51"/>
        </w:rPr>
        <w:t> </w:t>
      </w:r>
      <w:r>
        <w:rPr>
          <w:rFonts w:ascii="宋体" w:hAnsi="宋体" w:cs="宋体" w:eastAsia="宋体" w:hint="default"/>
        </w:rPr>
        <w:t>2014</w:t>
      </w:r>
      <w:r>
        <w:rPr>
          <w:rFonts w:ascii="宋体" w:hAnsi="宋体" w:cs="宋体" w:eastAsia="宋体" w:hint="default"/>
          <w:spacing w:val="-51"/>
        </w:rPr>
        <w:t> </w:t>
      </w:r>
      <w:r>
        <w:rPr/>
        <w:t>年</w:t>
      </w:r>
      <w:r>
        <w:rPr>
          <w:spacing w:val="-47"/>
        </w:rPr>
        <w:t> </w:t>
      </w:r>
      <w:r>
        <w:rPr>
          <w:rFonts w:ascii="宋体" w:hAnsi="宋体" w:cs="宋体" w:eastAsia="宋体" w:hint="default"/>
        </w:rPr>
        <w:t>11</w:t>
      </w:r>
      <w:r>
        <w:rPr>
          <w:rFonts w:ascii="宋体" w:hAnsi="宋体" w:cs="宋体" w:eastAsia="宋体" w:hint="default"/>
          <w:spacing w:val="-48"/>
        </w:rPr>
        <w:t> </w:t>
      </w:r>
      <w:r>
        <w:rPr/>
        <w:t>月</w:t>
      </w:r>
      <w:r>
        <w:rPr>
          <w:spacing w:val="-48"/>
        </w:rPr>
        <w:t> </w:t>
      </w:r>
      <w:r>
        <w:rPr>
          <w:rFonts w:ascii="宋体" w:hAnsi="宋体" w:cs="宋体" w:eastAsia="宋体" w:hint="default"/>
        </w:rPr>
        <w:t>12</w:t>
      </w:r>
      <w:r>
        <w:rPr>
          <w:rFonts w:ascii="宋体" w:hAnsi="宋体" w:cs="宋体" w:eastAsia="宋体" w:hint="default"/>
          <w:spacing w:val="-48"/>
        </w:rPr>
        <w:t> </w:t>
      </w:r>
      <w:r>
        <w:rPr/>
        <w:t>日召开</w:t>
      </w:r>
      <w:r>
        <w:rPr>
          <w:spacing w:val="-48"/>
        </w:rPr>
        <w:t> </w:t>
      </w:r>
      <w:r>
        <w:rPr>
          <w:rFonts w:ascii="宋体" w:hAnsi="宋体" w:cs="宋体" w:eastAsia="宋体" w:hint="default"/>
        </w:rPr>
        <w:t>2014</w:t>
      </w:r>
      <w:r>
        <w:rPr>
          <w:rFonts w:ascii="宋体" w:hAnsi="宋体" w:cs="宋体" w:eastAsia="宋体" w:hint="default"/>
          <w:spacing w:val="-51"/>
        </w:rPr>
        <w:t> </w:t>
      </w:r>
      <w:r>
        <w:rPr>
          <w:spacing w:val="-4"/>
        </w:rPr>
        <w:t>年第三次临时股东大会，审议并通过了《关于修改</w:t>
      </w:r>
      <w:r>
        <w:rPr>
          <w:rFonts w:ascii="宋体" w:hAnsi="宋体" w:cs="宋体" w:eastAsia="宋体" w:hint="default"/>
          <w:spacing w:val="-4"/>
        </w:rPr>
        <w:t>&lt;</w:t>
      </w:r>
    </w:p>
    <w:p>
      <w:pPr>
        <w:pStyle w:val="BodyText"/>
        <w:spacing w:line="273" w:lineRule="auto" w:before="37"/>
        <w:ind w:right="0"/>
        <w:jc w:val="left"/>
        <w:rPr>
          <w:rFonts w:ascii="宋体" w:hAnsi="宋体" w:cs="宋体" w:eastAsia="宋体" w:hint="default"/>
        </w:rPr>
      </w:pPr>
      <w:r>
        <w:rPr>
          <w:spacing w:val="-5"/>
        </w:rPr>
        <w:t>公司章程</w:t>
      </w:r>
      <w:r>
        <w:rPr>
          <w:rFonts w:ascii="宋体" w:hAnsi="宋体" w:cs="宋体" w:eastAsia="宋体" w:hint="default"/>
          <w:spacing w:val="-5"/>
        </w:rPr>
        <w:t>&gt;</w:t>
      </w:r>
      <w:r>
        <w:rPr>
          <w:spacing w:val="-5"/>
        </w:rPr>
        <w:t>的议案》，对《公司章程》第</w:t>
      </w:r>
      <w:r>
        <w:rPr>
          <w:spacing w:val="-41"/>
        </w:rPr>
        <w:t> </w:t>
      </w:r>
      <w:r>
        <w:rPr>
          <w:rFonts w:ascii="宋体" w:hAnsi="宋体" w:cs="宋体" w:eastAsia="宋体" w:hint="default"/>
        </w:rPr>
        <w:t>8.06</w:t>
      </w:r>
      <w:r>
        <w:rPr>
          <w:rFonts w:ascii="宋体" w:hAnsi="宋体" w:cs="宋体" w:eastAsia="宋体" w:hint="default"/>
          <w:spacing w:val="-39"/>
        </w:rPr>
        <w:t> </w:t>
      </w:r>
      <w:r>
        <w:rPr>
          <w:spacing w:val="-7"/>
        </w:rPr>
        <w:t>条、第</w:t>
      </w:r>
      <w:r>
        <w:rPr>
          <w:spacing w:val="-41"/>
        </w:rPr>
        <w:t> </w:t>
      </w:r>
      <w:r>
        <w:rPr>
          <w:rFonts w:ascii="宋体" w:hAnsi="宋体" w:cs="宋体" w:eastAsia="宋体" w:hint="default"/>
        </w:rPr>
        <w:t>8.07</w:t>
      </w:r>
      <w:r>
        <w:rPr>
          <w:rFonts w:ascii="宋体" w:hAnsi="宋体" w:cs="宋体" w:eastAsia="宋体" w:hint="default"/>
          <w:spacing w:val="-41"/>
        </w:rPr>
        <w:t> </w:t>
      </w:r>
      <w:r>
        <w:rPr>
          <w:spacing w:val="-3"/>
        </w:rPr>
        <w:t>条有关股利分配政策、基本原则和具体</w:t>
      </w:r>
      <w:r>
        <w:rPr>
          <w:spacing w:val="-99"/>
        </w:rPr>
        <w:t> </w:t>
      </w:r>
      <w:r>
        <w:rPr>
          <w:spacing w:val="-99"/>
        </w:rPr>
      </w:r>
      <w:r>
        <w:rPr/>
        <w:t>政策进行修订。</w:t>
      </w:r>
      <w:r>
        <w:rPr>
          <w:rFonts w:ascii="宋体" w:hAnsi="宋体" w:cs="宋体" w:eastAsia="宋体" w:hint="default"/>
        </w:rPr>
        <w:t> </w:t>
      </w:r>
    </w:p>
    <w:p>
      <w:pPr>
        <w:pStyle w:val="BodyText"/>
        <w:spacing w:line="273" w:lineRule="auto" w:before="7"/>
        <w:ind w:right="0" w:firstLine="419"/>
        <w:jc w:val="left"/>
      </w:pPr>
      <w:r>
        <w:rPr/>
        <w:t>报告期内，公司现金分红政策未进行调整。根据</w:t>
      </w:r>
      <w:r>
        <w:rPr>
          <w:spacing w:val="-55"/>
        </w:rPr>
        <w:t> </w:t>
      </w:r>
      <w:r>
        <w:rPr>
          <w:rFonts w:ascii="宋体" w:hAnsi="宋体" w:cs="宋体" w:eastAsia="宋体" w:hint="default"/>
        </w:rPr>
        <w:t>2018</w:t>
      </w:r>
      <w:r>
        <w:rPr>
          <w:rFonts w:ascii="宋体" w:hAnsi="宋体" w:cs="宋体" w:eastAsia="宋体" w:hint="default"/>
          <w:spacing w:val="-56"/>
        </w:rPr>
        <w:t> </w:t>
      </w:r>
      <w:r>
        <w:rPr/>
        <w:t>年年度股东大会决议，实施了</w:t>
      </w:r>
      <w:r>
        <w:rPr>
          <w:spacing w:val="-56"/>
        </w:rPr>
        <w:t> </w:t>
      </w:r>
      <w:r>
        <w:rPr>
          <w:rFonts w:ascii="宋体" w:hAnsi="宋体" w:cs="宋体" w:eastAsia="宋体" w:hint="default"/>
        </w:rPr>
        <w:t>2018</w:t>
      </w:r>
      <w:r>
        <w:rPr>
          <w:rFonts w:ascii="宋体" w:hAnsi="宋体" w:cs="宋体" w:eastAsia="宋体" w:hint="default"/>
          <w:spacing w:val="-56"/>
        </w:rPr>
        <w:t> </w:t>
      </w:r>
      <w:r>
        <w:rPr/>
        <w:t>年</w:t>
      </w:r>
      <w:r>
        <w:rPr>
          <w:w w:val="100"/>
        </w:rPr>
        <w:t> </w:t>
      </w:r>
      <w:r>
        <w:rPr/>
        <w:t>年度利润分配方案：以本次利润实施方案股权登记日总股本扣除不参与利润分配的回购股份</w:t>
      </w:r>
      <w:r>
        <w:rPr>
          <w:w w:val="100"/>
        </w:rPr>
        <w:t> </w:t>
      </w:r>
      <w:r>
        <w:rPr>
          <w:rFonts w:ascii="宋体" w:hAnsi="宋体" w:cs="宋体" w:eastAsia="宋体" w:hint="default"/>
        </w:rPr>
        <w:t>29,177,999</w:t>
      </w:r>
      <w:r>
        <w:rPr>
          <w:rFonts w:ascii="宋体" w:hAnsi="宋体" w:cs="宋体" w:eastAsia="宋体" w:hint="default"/>
          <w:spacing w:val="-57"/>
        </w:rPr>
        <w:t> </w:t>
      </w:r>
      <w:r>
        <w:rPr/>
        <w:t>股（包含股份回购计划回购专用账户</w:t>
      </w:r>
      <w:r>
        <w:rPr>
          <w:spacing w:val="-57"/>
        </w:rPr>
        <w:t> </w:t>
      </w:r>
      <w:r>
        <w:rPr>
          <w:rFonts w:ascii="宋体" w:hAnsi="宋体" w:cs="宋体" w:eastAsia="宋体" w:hint="default"/>
        </w:rPr>
        <w:t>21,956,999</w:t>
      </w:r>
      <w:r>
        <w:rPr>
          <w:rFonts w:ascii="宋体" w:hAnsi="宋体" w:cs="宋体" w:eastAsia="宋体" w:hint="default"/>
          <w:spacing w:val="-59"/>
        </w:rPr>
        <w:t> </w:t>
      </w:r>
      <w:r>
        <w:rPr/>
        <w:t>股和第二期股权激励待回购注销限</w:t>
      </w:r>
    </w:p>
    <w:p>
      <w:pPr>
        <w:pStyle w:val="BodyText"/>
        <w:spacing w:line="240" w:lineRule="auto" w:before="7"/>
        <w:ind w:right="0"/>
        <w:jc w:val="both"/>
      </w:pPr>
      <w:r>
        <w:rPr/>
        <w:t>制性股份</w:t>
      </w:r>
      <w:r>
        <w:rPr>
          <w:spacing w:val="-54"/>
        </w:rPr>
        <w:t> </w:t>
      </w:r>
      <w:r>
        <w:rPr>
          <w:rFonts w:ascii="宋体" w:hAnsi="宋体" w:cs="宋体" w:eastAsia="宋体" w:hint="default"/>
        </w:rPr>
        <w:t>7,221,000</w:t>
      </w:r>
      <w:r>
        <w:rPr>
          <w:rFonts w:ascii="宋体" w:hAnsi="宋体" w:cs="宋体" w:eastAsia="宋体" w:hint="default"/>
          <w:spacing w:val="-56"/>
        </w:rPr>
        <w:t> </w:t>
      </w:r>
      <w:r>
        <w:rPr/>
        <w:t>股）为基数，向全体股东每</w:t>
      </w:r>
      <w:r>
        <w:rPr>
          <w:spacing w:val="-53"/>
        </w:rPr>
        <w:t> </w:t>
      </w:r>
      <w:r>
        <w:rPr>
          <w:rFonts w:ascii="宋体" w:hAnsi="宋体" w:cs="宋体" w:eastAsia="宋体" w:hint="default"/>
        </w:rPr>
        <w:t>10</w:t>
      </w:r>
      <w:r>
        <w:rPr>
          <w:rFonts w:ascii="宋体" w:hAnsi="宋体" w:cs="宋体" w:eastAsia="宋体" w:hint="default"/>
          <w:spacing w:val="-56"/>
        </w:rPr>
        <w:t> </w:t>
      </w:r>
      <w:r>
        <w:rPr/>
        <w:t>股派发现金红利</w:t>
      </w:r>
      <w:r>
        <w:rPr>
          <w:spacing w:val="-54"/>
        </w:rPr>
        <w:t> </w:t>
      </w:r>
      <w:r>
        <w:rPr>
          <w:rFonts w:ascii="宋体" w:hAnsi="宋体" w:cs="宋体" w:eastAsia="宋体" w:hint="default"/>
        </w:rPr>
        <w:t>1.75</w:t>
      </w:r>
      <w:r>
        <w:rPr>
          <w:rFonts w:ascii="宋体" w:hAnsi="宋体" w:cs="宋体" w:eastAsia="宋体" w:hint="default"/>
          <w:spacing w:val="-54"/>
        </w:rPr>
        <w:t> </w:t>
      </w:r>
      <w:r>
        <w:rPr/>
        <w:t>元（含税），剩余利润</w:t>
      </w:r>
    </w:p>
    <w:p>
      <w:pPr>
        <w:pStyle w:val="BodyText"/>
        <w:spacing w:line="273" w:lineRule="auto" w:before="37"/>
        <w:ind w:right="0"/>
        <w:jc w:val="left"/>
        <w:rPr>
          <w:rFonts w:ascii="宋体" w:hAnsi="宋体" w:cs="宋体" w:eastAsia="宋体" w:hint="default"/>
        </w:rPr>
      </w:pPr>
      <w:r>
        <w:rPr/>
        <w:t>结转下年度。本次利润分配不进行资本公积金转增股本。本次利润分配方案已于</w:t>
      </w:r>
      <w:r>
        <w:rPr>
          <w:spacing w:val="-53"/>
        </w:rPr>
        <w:t> </w:t>
      </w:r>
      <w:r>
        <w:rPr>
          <w:rFonts w:ascii="宋体" w:hAnsi="宋体" w:cs="宋体" w:eastAsia="宋体" w:hint="default"/>
        </w:rPr>
        <w:t>2019</w:t>
      </w:r>
      <w:r>
        <w:rPr>
          <w:rFonts w:ascii="宋体" w:hAnsi="宋体" w:cs="宋体" w:eastAsia="宋体" w:hint="default"/>
          <w:spacing w:val="-56"/>
        </w:rPr>
        <w:t> </w:t>
      </w:r>
      <w:r>
        <w:rPr/>
        <w:t>年</w:t>
      </w:r>
      <w:r>
        <w:rPr>
          <w:spacing w:val="-54"/>
        </w:rPr>
        <w:t> </w:t>
      </w:r>
      <w:r>
        <w:rPr>
          <w:rFonts w:ascii="宋体" w:hAnsi="宋体" w:cs="宋体" w:eastAsia="宋体" w:hint="default"/>
        </w:rPr>
        <w:t>7</w:t>
      </w:r>
      <w:r>
        <w:rPr>
          <w:rFonts w:ascii="宋体" w:hAnsi="宋体" w:cs="宋体" w:eastAsia="宋体" w:hint="default"/>
          <w:spacing w:val="-56"/>
        </w:rPr>
        <w:t> </w:t>
      </w:r>
      <w:r>
        <w:rPr/>
        <w:t>月</w:t>
      </w:r>
      <w:r>
        <w:rPr>
          <w:spacing w:val="-54"/>
        </w:rPr>
        <w:t> </w:t>
      </w:r>
      <w:r>
        <w:rPr>
          <w:rFonts w:ascii="宋体" w:hAnsi="宋体" w:cs="宋体" w:eastAsia="宋体" w:hint="default"/>
        </w:rPr>
        <w:t>19</w:t>
      </w:r>
      <w:r>
        <w:rPr>
          <w:rFonts w:ascii="宋体" w:hAnsi="宋体" w:cs="宋体" w:eastAsia="宋体" w:hint="default"/>
          <w:w w:val="100"/>
        </w:rPr>
        <w:t> </w:t>
      </w:r>
      <w:r>
        <w:rPr/>
        <w:t>日实施完毕。</w:t>
      </w:r>
      <w:r>
        <w:rPr>
          <w:rFonts w:ascii="宋体" w:hAnsi="宋体" w:cs="宋体" w:eastAsia="宋体" w:hint="default"/>
        </w:rPr>
        <w:t> </w:t>
      </w:r>
    </w:p>
    <w:p>
      <w:pPr>
        <w:pStyle w:val="BodyText"/>
        <w:spacing w:line="273" w:lineRule="auto" w:before="8"/>
        <w:ind w:right="487" w:firstLine="419"/>
        <w:jc w:val="both"/>
        <w:rPr>
          <w:rFonts w:ascii="宋体" w:hAnsi="宋体" w:cs="宋体" w:eastAsia="宋体" w:hint="default"/>
        </w:rPr>
      </w:pPr>
      <w:r>
        <w:rPr>
          <w:spacing w:val="-2"/>
        </w:rPr>
        <w:t>报告期末，公司控股股东提出以下利润分配预案：以实施权益分派股权登记日登记的总股本</w:t>
      </w:r>
      <w:r>
        <w:rPr>
          <w:w w:val="100"/>
        </w:rPr>
        <w:t> </w:t>
      </w:r>
      <w:r>
        <w:rPr>
          <w:spacing w:val="-2"/>
        </w:rPr>
        <w:t>扣除不参与利润分配的回购股份（包含公司第一期、第二期股份回购计划已回购的股份和第二期</w:t>
      </w:r>
      <w:r>
        <w:rPr>
          <w:spacing w:val="-25"/>
        </w:rPr>
        <w:t> </w:t>
      </w:r>
      <w:r>
        <w:rPr>
          <w:spacing w:val="-25"/>
        </w:rPr>
      </w:r>
      <w:r>
        <w:rPr>
          <w:spacing w:val="-9"/>
          <w:w w:val="100"/>
        </w:rPr>
        <w:t>股权激励计划待回购注销的限制性股票）为基数，向全体股东每</w:t>
      </w:r>
      <w:r>
        <w:rPr>
          <w:spacing w:val="-76"/>
          <w:w w:val="100"/>
        </w:rPr>
        <w:t> </w:t>
      </w:r>
      <w:r>
        <w:rPr>
          <w:rFonts w:ascii="宋体" w:hAnsi="宋体" w:cs="宋体" w:eastAsia="宋体" w:hint="default"/>
          <w:w w:val="100"/>
        </w:rPr>
        <w:t>10</w:t>
      </w:r>
      <w:r>
        <w:rPr>
          <w:rFonts w:ascii="宋体" w:hAnsi="宋体" w:cs="宋体" w:eastAsia="宋体" w:hint="default"/>
          <w:spacing w:val="-78"/>
          <w:w w:val="100"/>
        </w:rPr>
        <w:t> </w:t>
      </w:r>
      <w:r>
        <w:rPr>
          <w:spacing w:val="-2"/>
          <w:w w:val="100"/>
        </w:rPr>
        <w:t>股派发现金红利</w:t>
      </w:r>
      <w:r>
        <w:rPr>
          <w:spacing w:val="-75"/>
          <w:w w:val="100"/>
        </w:rPr>
        <w:t> </w:t>
      </w:r>
      <w:r>
        <w:rPr>
          <w:rFonts w:ascii="宋体" w:hAnsi="宋体" w:cs="宋体" w:eastAsia="宋体" w:hint="default"/>
          <w:w w:val="100"/>
        </w:rPr>
        <w:t>0.5</w:t>
      </w:r>
      <w:r>
        <w:rPr>
          <w:rFonts w:ascii="宋体" w:hAnsi="宋体" w:cs="宋体" w:eastAsia="宋体" w:hint="default"/>
          <w:spacing w:val="-78"/>
          <w:w w:val="100"/>
        </w:rPr>
        <w:t> </w:t>
      </w:r>
      <w:r>
        <w:rPr>
          <w:spacing w:val="-36"/>
          <w:w w:val="100"/>
        </w:rPr>
        <w:t>元（含税），</w:t>
      </w:r>
      <w:r>
        <w:rPr>
          <w:w w:val="100"/>
        </w:rPr>
        <w:t> </w:t>
      </w:r>
      <w:r>
        <w:rPr>
          <w:spacing w:val="-2"/>
        </w:rPr>
        <w:t>剩余利润结转下年度。本次利润分配不进行资本公积金转增股本。本次利润分配方案已经公司第</w:t>
      </w:r>
      <w:r>
        <w:rPr>
          <w:spacing w:val="-25"/>
        </w:rPr>
        <w:t> </w:t>
      </w:r>
      <w:r>
        <w:rPr>
          <w:spacing w:val="-25"/>
        </w:rPr>
      </w:r>
      <w:r>
        <w:rPr/>
        <w:t>四届董事会第十二次会议审议通过，尚需提交</w:t>
      </w:r>
      <w:r>
        <w:rPr>
          <w:spacing w:val="-56"/>
        </w:rPr>
        <w:t> </w:t>
      </w:r>
      <w:r>
        <w:rPr>
          <w:rFonts w:ascii="宋体" w:hAnsi="宋体" w:cs="宋体" w:eastAsia="宋体" w:hint="default"/>
        </w:rPr>
        <w:t>2019</w:t>
      </w:r>
      <w:r>
        <w:rPr>
          <w:rFonts w:ascii="宋体" w:hAnsi="宋体" w:cs="宋体" w:eastAsia="宋体" w:hint="default"/>
          <w:spacing w:val="-58"/>
        </w:rPr>
        <w:t> </w:t>
      </w:r>
      <w:r>
        <w:rPr/>
        <w:t>年度股东大会审议。</w:t>
      </w:r>
      <w:r>
        <w:rPr>
          <w:rFonts w:ascii="宋体" w:hAnsi="宋体" w:cs="宋体" w:eastAsia="宋体" w:hint="default"/>
        </w:rPr>
        <w:t> </w:t>
      </w:r>
    </w:p>
    <w:p>
      <w:pPr>
        <w:pStyle w:val="Heading2"/>
        <w:spacing w:line="294" w:lineRule="exact"/>
        <w:ind w:right="0"/>
        <w:jc w:val="both"/>
        <w:rPr>
          <w:rFonts w:ascii="宋体" w:hAnsi="宋体" w:cs="宋体" w:eastAsia="宋体" w:hint="default"/>
        </w:rPr>
      </w:pPr>
      <w:r>
        <w:rPr>
          <w:rFonts w:ascii="宋体"/>
        </w:rPr>
        <w:t> </w:t>
      </w:r>
    </w:p>
    <w:p>
      <w:pPr>
        <w:pStyle w:val="Heading3"/>
        <w:spacing w:line="240" w:lineRule="auto" w:before="85"/>
        <w:ind w:right="0"/>
        <w:jc w:val="both"/>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26"/>
        </w:rPr>
        <w:t> </w:t>
      </w:r>
      <w:r>
        <w:rPr/>
        <w:t>公司近三年（含报告期）的普通股股利分配方案或预案、资本公积金转增股本方案或预案</w:t>
      </w:r>
      <w:r>
        <w:rPr>
          <w:b w:val="0"/>
          <w:bCs w:val="0"/>
        </w:rPr>
      </w:r>
    </w:p>
    <w:p>
      <w:pPr>
        <w:pStyle w:val="BodyText"/>
        <w:spacing w:line="240" w:lineRule="auto" w:before="70"/>
        <w:ind w:left="0" w:right="387"/>
        <w:jc w:val="right"/>
        <w:rPr>
          <w:rFonts w:ascii="宋体" w:hAnsi="宋体" w:cs="宋体" w:eastAsia="宋体" w:hint="default"/>
        </w:rPr>
      </w:pPr>
      <w:r>
        <w:rPr>
          <w:spacing w:val="-2"/>
        </w:rPr>
        <w:t>单位：元币种：人民币</w:t>
      </w:r>
      <w:r>
        <w:rPr>
          <w:rFonts w:ascii="宋体" w:hAnsi="宋体" w:cs="宋体" w:eastAsia="宋体" w:hint="default"/>
        </w:rPr>
        <w:t> </w:t>
      </w: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1102"/>
        <w:gridCol w:w="965"/>
        <w:gridCol w:w="1090"/>
        <w:gridCol w:w="1135"/>
        <w:gridCol w:w="1685"/>
        <w:gridCol w:w="1688"/>
        <w:gridCol w:w="1658"/>
      </w:tblGrid>
      <w:tr>
        <w:trPr>
          <w:trHeight w:val="1573"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4"/>
                <w:szCs w:val="14"/>
              </w:rPr>
            </w:pPr>
          </w:p>
          <w:p>
            <w:pPr>
              <w:pStyle w:val="TableParagraph"/>
              <w:spacing w:line="273" w:lineRule="auto"/>
              <w:ind w:left="335" w:right="228"/>
              <w:jc w:val="left"/>
              <w:rPr>
                <w:rFonts w:ascii="宋体" w:hAnsi="宋体" w:cs="宋体" w:eastAsia="宋体" w:hint="default"/>
                <w:sz w:val="21"/>
                <w:szCs w:val="21"/>
              </w:rPr>
            </w:pPr>
            <w:r>
              <w:rPr>
                <w:rFonts w:ascii="宋体" w:hAnsi="宋体" w:cs="宋体" w:eastAsia="宋体" w:hint="default"/>
                <w:sz w:val="21"/>
                <w:szCs w:val="21"/>
              </w:rPr>
              <w:t>分红</w:t>
            </w:r>
            <w:r>
              <w:rPr>
                <w:rFonts w:ascii="宋体" w:hAnsi="宋体" w:cs="宋体" w:eastAsia="宋体" w:hint="default"/>
                <w:w w:val="100"/>
                <w:sz w:val="21"/>
                <w:szCs w:val="21"/>
              </w:rPr>
              <w:t> </w:t>
            </w:r>
            <w:r>
              <w:rPr>
                <w:rFonts w:ascii="宋体" w:hAnsi="宋体" w:cs="宋体" w:eastAsia="宋体" w:hint="default"/>
                <w:sz w:val="21"/>
                <w:szCs w:val="21"/>
              </w:rPr>
              <w:t>年度</w:t>
            </w:r>
            <w:r>
              <w:rPr>
                <w:rFonts w:ascii="宋体" w:hAnsi="宋体" w:cs="宋体" w:eastAsia="宋体" w:hint="default"/>
                <w:sz w:val="21"/>
                <w:szCs w:val="21"/>
              </w:rPr>
              <w:t> </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73" w:lineRule="auto"/>
              <w:ind w:left="100" w:right="-1" w:firstLine="7"/>
              <w:jc w:val="left"/>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53"/>
                <w:sz w:val="21"/>
                <w:szCs w:val="21"/>
              </w:rPr>
              <w:t> </w:t>
            </w:r>
            <w:r>
              <w:rPr>
                <w:rFonts w:ascii="宋体" w:hAnsi="宋体" w:cs="宋体" w:eastAsia="宋体" w:hint="default"/>
                <w:sz w:val="21"/>
                <w:szCs w:val="21"/>
              </w:rPr>
              <w:t>10</w:t>
            </w:r>
            <w:r>
              <w:rPr>
                <w:rFonts w:ascii="宋体" w:hAnsi="宋体" w:cs="宋体" w:eastAsia="宋体" w:hint="default"/>
                <w:spacing w:val="-55"/>
                <w:sz w:val="21"/>
                <w:szCs w:val="21"/>
              </w:rPr>
              <w:t> </w:t>
            </w:r>
            <w:r>
              <w:rPr>
                <w:rFonts w:ascii="宋体" w:hAnsi="宋体" w:cs="宋体" w:eastAsia="宋体" w:hint="default"/>
                <w:sz w:val="21"/>
                <w:szCs w:val="21"/>
              </w:rPr>
              <w:t>股</w:t>
            </w:r>
            <w:r>
              <w:rPr>
                <w:rFonts w:ascii="宋体" w:hAnsi="宋体" w:cs="宋体" w:eastAsia="宋体" w:hint="default"/>
                <w:w w:val="100"/>
                <w:sz w:val="21"/>
                <w:szCs w:val="21"/>
              </w:rPr>
              <w:t> </w:t>
            </w:r>
            <w:r>
              <w:rPr>
                <w:rFonts w:ascii="宋体" w:hAnsi="宋体" w:cs="宋体" w:eastAsia="宋体" w:hint="default"/>
                <w:sz w:val="21"/>
                <w:szCs w:val="21"/>
              </w:rPr>
              <w:t>送红股</w:t>
            </w:r>
            <w:r>
              <w:rPr>
                <w:rFonts w:ascii="宋体" w:hAnsi="宋体" w:cs="宋体" w:eastAsia="宋体" w:hint="default"/>
                <w:spacing w:val="-102"/>
                <w:sz w:val="21"/>
                <w:szCs w:val="21"/>
              </w:rPr>
              <w:t> </w:t>
            </w:r>
            <w:r>
              <w:rPr>
                <w:rFonts w:ascii="宋体" w:hAnsi="宋体" w:cs="宋体" w:eastAsia="宋体" w:hint="default"/>
                <w:spacing w:val="-25"/>
                <w:w w:val="100"/>
                <w:sz w:val="21"/>
                <w:szCs w:val="21"/>
              </w:rPr>
              <w:t>数（股）</w:t>
            </w:r>
            <w:r>
              <w:rPr>
                <w:rFonts w:ascii="宋体" w:hAnsi="宋体" w:cs="宋体" w:eastAsia="宋体" w:hint="default"/>
                <w:w w:val="100"/>
                <w:sz w:val="21"/>
                <w:szCs w:val="21"/>
              </w:rPr>
              <w:t> </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6"/>
              <w:ind w:left="120" w:right="119" w:firstLine="2"/>
              <w:jc w:val="center"/>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股</w:t>
            </w:r>
            <w:r>
              <w:rPr>
                <w:rFonts w:ascii="宋体" w:hAnsi="宋体" w:cs="宋体" w:eastAsia="宋体" w:hint="default"/>
                <w:w w:val="100"/>
                <w:sz w:val="21"/>
                <w:szCs w:val="21"/>
              </w:rPr>
              <w:t> </w:t>
            </w:r>
            <w:r>
              <w:rPr>
                <w:rFonts w:ascii="宋体" w:hAnsi="宋体" w:cs="宋体" w:eastAsia="宋体" w:hint="default"/>
                <w:sz w:val="21"/>
                <w:szCs w:val="21"/>
              </w:rPr>
              <w:t>派息数</w:t>
            </w:r>
            <w:r>
              <w:rPr>
                <w:rFonts w:ascii="宋体" w:hAnsi="宋体" w:cs="宋体" w:eastAsia="宋体" w:hint="default"/>
                <w:w w:val="100"/>
                <w:sz w:val="21"/>
                <w:szCs w:val="21"/>
              </w:rPr>
              <w:t> </w:t>
            </w:r>
            <w:r>
              <w:rPr>
                <w:rFonts w:ascii="宋体" w:hAnsi="宋体" w:cs="宋体" w:eastAsia="宋体" w:hint="default"/>
                <w:spacing w:val="-2"/>
                <w:sz w:val="21"/>
                <w:szCs w:val="21"/>
              </w:rPr>
              <w:t>(</w:t>
            </w:r>
            <w:r>
              <w:rPr>
                <w:rFonts w:ascii="宋体" w:hAnsi="宋体" w:cs="宋体" w:eastAsia="宋体" w:hint="default"/>
                <w:spacing w:val="-2"/>
                <w:sz w:val="21"/>
                <w:szCs w:val="21"/>
              </w:rPr>
              <w:t>元</w:t>
            </w:r>
            <w:r>
              <w:rPr>
                <w:rFonts w:ascii="宋体" w:hAnsi="宋体" w:cs="宋体" w:eastAsia="宋体" w:hint="default"/>
                <w:spacing w:val="-2"/>
                <w:sz w:val="21"/>
                <w:szCs w:val="21"/>
              </w:rPr>
              <w:t>)</w:t>
            </w:r>
            <w:r>
              <w:rPr>
                <w:rFonts w:ascii="宋体" w:hAnsi="宋体" w:cs="宋体" w:eastAsia="宋体" w:hint="default"/>
                <w:spacing w:val="-2"/>
                <w:sz w:val="21"/>
                <w:szCs w:val="21"/>
              </w:rPr>
              <w:t>（含</w:t>
            </w:r>
            <w:r>
              <w:rPr>
                <w:rFonts w:ascii="宋体" w:hAnsi="宋体" w:cs="宋体" w:eastAsia="宋体" w:hint="default"/>
                <w:spacing w:val="-103"/>
                <w:sz w:val="21"/>
                <w:szCs w:val="21"/>
              </w:rPr>
              <w:t> </w:t>
            </w:r>
            <w:r>
              <w:rPr>
                <w:rFonts w:ascii="宋体" w:hAnsi="宋体" w:cs="宋体" w:eastAsia="宋体" w:hint="default"/>
                <w:sz w:val="21"/>
                <w:szCs w:val="21"/>
              </w:rPr>
              <w:t>税）</w:t>
            </w:r>
            <w:r>
              <w:rPr>
                <w:rFonts w:ascii="宋体" w:hAnsi="宋体" w:cs="宋体" w:eastAsia="宋体" w:hint="default"/>
                <w:sz w:val="21"/>
                <w:szCs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4"/>
                <w:szCs w:val="14"/>
              </w:rPr>
            </w:pPr>
          </w:p>
          <w:p>
            <w:pPr>
              <w:pStyle w:val="TableParagraph"/>
              <w:spacing w:line="273" w:lineRule="auto"/>
              <w:ind w:left="100" w:right="-1"/>
              <w:jc w:val="left"/>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67"/>
                <w:sz w:val="21"/>
                <w:szCs w:val="21"/>
              </w:rPr>
              <w:t> </w:t>
            </w:r>
            <w:r>
              <w:rPr>
                <w:rFonts w:ascii="宋体" w:hAnsi="宋体" w:cs="宋体" w:eastAsia="宋体" w:hint="default"/>
                <w:sz w:val="21"/>
                <w:szCs w:val="21"/>
              </w:rPr>
              <w:t>10</w:t>
            </w:r>
            <w:r>
              <w:rPr>
                <w:rFonts w:ascii="宋体" w:hAnsi="宋体" w:cs="宋体" w:eastAsia="宋体" w:hint="default"/>
                <w:spacing w:val="-67"/>
                <w:sz w:val="21"/>
                <w:szCs w:val="21"/>
              </w:rPr>
              <w:t> </w:t>
            </w:r>
            <w:r>
              <w:rPr>
                <w:rFonts w:ascii="宋体" w:hAnsi="宋体" w:cs="宋体" w:eastAsia="宋体" w:hint="default"/>
                <w:sz w:val="21"/>
                <w:szCs w:val="21"/>
              </w:rPr>
              <w:t>股转</w:t>
            </w:r>
            <w:r>
              <w:rPr>
                <w:rFonts w:ascii="宋体" w:hAnsi="宋体" w:cs="宋体" w:eastAsia="宋体" w:hint="default"/>
                <w:spacing w:val="-103"/>
                <w:sz w:val="21"/>
                <w:szCs w:val="21"/>
              </w:rPr>
              <w:t> </w:t>
            </w:r>
            <w:r>
              <w:rPr>
                <w:rFonts w:ascii="宋体" w:hAnsi="宋体" w:cs="宋体" w:eastAsia="宋体" w:hint="default"/>
                <w:spacing w:val="-28"/>
                <w:w w:val="100"/>
                <w:sz w:val="21"/>
                <w:szCs w:val="21"/>
              </w:rPr>
              <w:t>增数（股）</w:t>
            </w:r>
            <w:r>
              <w:rPr>
                <w:rFonts w:ascii="宋体" w:hAnsi="宋体" w:cs="宋体" w:eastAsia="宋体" w:hint="default"/>
                <w:w w:val="100"/>
                <w:sz w:val="21"/>
                <w:szCs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100" w:right="-3"/>
              <w:jc w:val="center"/>
              <w:rPr>
                <w:rFonts w:ascii="宋体" w:hAnsi="宋体" w:cs="宋体" w:eastAsia="宋体" w:hint="default"/>
                <w:sz w:val="21"/>
                <w:szCs w:val="21"/>
              </w:rPr>
            </w:pPr>
            <w:r>
              <w:rPr>
                <w:rFonts w:ascii="宋体" w:hAnsi="宋体" w:cs="宋体" w:eastAsia="宋体" w:hint="default"/>
                <w:sz w:val="21"/>
                <w:szCs w:val="21"/>
              </w:rPr>
              <w:t>现金分红的数额</w:t>
            </w:r>
            <w:r>
              <w:rPr>
                <w:rFonts w:ascii="宋体" w:hAnsi="宋体" w:cs="宋体" w:eastAsia="宋体" w:hint="default"/>
                <w:sz w:val="21"/>
                <w:szCs w:val="21"/>
              </w:rPr>
              <w:t> </w:t>
            </w:r>
          </w:p>
          <w:p>
            <w:pPr>
              <w:pStyle w:val="TableParagraph"/>
              <w:spacing w:line="240" w:lineRule="auto" w:before="37"/>
              <w:ind w:left="100" w:right="0"/>
              <w:jc w:val="center"/>
              <w:rPr>
                <w:rFonts w:ascii="宋体" w:hAnsi="宋体" w:cs="宋体" w:eastAsia="宋体" w:hint="default"/>
                <w:sz w:val="21"/>
                <w:szCs w:val="21"/>
              </w:rPr>
            </w:pPr>
            <w:r>
              <w:rPr>
                <w:rFonts w:ascii="宋体" w:hAnsi="宋体" w:cs="宋体" w:eastAsia="宋体" w:hint="default"/>
                <w:sz w:val="21"/>
                <w:szCs w:val="21"/>
              </w:rPr>
              <w:t>（含税）</w:t>
            </w:r>
            <w:r>
              <w:rPr>
                <w:rFonts w:ascii="宋体" w:hAnsi="宋体" w:cs="宋体" w:eastAsia="宋体" w:hint="default"/>
                <w:sz w:val="21"/>
                <w:szCs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6"/>
              <w:ind w:left="103" w:right="99"/>
              <w:jc w:val="center"/>
              <w:rPr>
                <w:rFonts w:ascii="宋体" w:hAnsi="宋体" w:cs="宋体" w:eastAsia="宋体" w:hint="default"/>
                <w:sz w:val="21"/>
                <w:szCs w:val="21"/>
              </w:rPr>
            </w:pPr>
            <w:r>
              <w:rPr>
                <w:rFonts w:ascii="宋体" w:hAnsi="宋体" w:cs="宋体" w:eastAsia="宋体" w:hint="default"/>
                <w:spacing w:val="-1"/>
                <w:sz w:val="21"/>
                <w:szCs w:val="21"/>
              </w:rPr>
              <w:t>分红年度合并报</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1"/>
                <w:sz w:val="21"/>
                <w:szCs w:val="21"/>
              </w:rPr>
              <w:t>表中归属于上市</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1"/>
                <w:sz w:val="21"/>
                <w:szCs w:val="21"/>
              </w:rPr>
              <w:t>公司普通股股东</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的净利润</w:t>
            </w:r>
            <w:r>
              <w:rPr>
                <w:rFonts w:ascii="宋体" w:hAnsi="宋体" w:cs="宋体" w:eastAsia="宋体" w:hint="default"/>
                <w:sz w:val="21"/>
                <w:szCs w:val="21"/>
              </w:rPr>
              <w:t> </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91" w:right="192" w:hanging="1"/>
              <w:jc w:val="center"/>
              <w:rPr>
                <w:rFonts w:ascii="宋体" w:hAnsi="宋体" w:cs="宋体" w:eastAsia="宋体" w:hint="default"/>
                <w:sz w:val="21"/>
                <w:szCs w:val="21"/>
              </w:rPr>
            </w:pPr>
            <w:r>
              <w:rPr>
                <w:rFonts w:ascii="宋体" w:hAnsi="宋体" w:cs="宋体" w:eastAsia="宋体" w:hint="default"/>
                <w:spacing w:val="-1"/>
                <w:sz w:val="21"/>
                <w:szCs w:val="21"/>
              </w:rPr>
              <w:t>占合并报表中</w:t>
            </w:r>
            <w:r>
              <w:rPr>
                <w:rFonts w:ascii="宋体" w:hAnsi="宋体" w:cs="宋体" w:eastAsia="宋体" w:hint="default"/>
                <w:w w:val="100"/>
                <w:sz w:val="21"/>
                <w:szCs w:val="21"/>
              </w:rPr>
              <w:t> </w:t>
            </w:r>
            <w:r>
              <w:rPr>
                <w:rFonts w:ascii="宋体" w:hAnsi="宋体" w:cs="宋体" w:eastAsia="宋体" w:hint="default"/>
                <w:spacing w:val="-1"/>
                <w:sz w:val="21"/>
                <w:szCs w:val="21"/>
              </w:rPr>
              <w:t>归属于上市公</w:t>
            </w:r>
            <w:r>
              <w:rPr>
                <w:rFonts w:ascii="宋体" w:hAnsi="宋体" w:cs="宋体" w:eastAsia="宋体" w:hint="default"/>
                <w:w w:val="100"/>
                <w:sz w:val="21"/>
                <w:szCs w:val="21"/>
              </w:rPr>
              <w:t> </w:t>
            </w:r>
            <w:r>
              <w:rPr>
                <w:rFonts w:ascii="宋体" w:hAnsi="宋体" w:cs="宋体" w:eastAsia="宋体" w:hint="default"/>
                <w:spacing w:val="-2"/>
                <w:sz w:val="21"/>
                <w:szCs w:val="21"/>
              </w:rPr>
              <w:t>司普通股股东</w:t>
            </w:r>
            <w:r>
              <w:rPr>
                <w:rFonts w:ascii="宋体" w:hAnsi="宋体" w:cs="宋体" w:eastAsia="宋体" w:hint="default"/>
                <w:spacing w:val="-3"/>
                <w:w w:val="100"/>
                <w:sz w:val="21"/>
                <w:szCs w:val="21"/>
              </w:rPr>
              <w:t> </w:t>
            </w:r>
            <w:r>
              <w:rPr>
                <w:rFonts w:ascii="宋体" w:hAnsi="宋体" w:cs="宋体" w:eastAsia="宋体" w:hint="default"/>
                <w:spacing w:val="-1"/>
                <w:sz w:val="21"/>
                <w:szCs w:val="21"/>
              </w:rPr>
              <w:t>的净利润的比</w:t>
            </w:r>
            <w:r>
              <w:rPr>
                <w:rFonts w:ascii="宋体" w:hAnsi="宋体" w:cs="宋体" w:eastAsia="宋体" w:hint="default"/>
                <w:w w:val="100"/>
                <w:sz w:val="21"/>
                <w:szCs w:val="21"/>
              </w:rPr>
              <w:t> </w:t>
            </w:r>
            <w:r>
              <w:rPr>
                <w:rFonts w:ascii="宋体" w:hAnsi="宋体" w:cs="宋体" w:eastAsia="宋体" w:hint="default"/>
                <w:sz w:val="21"/>
                <w:szCs w:val="21"/>
              </w:rPr>
              <w:t>率</w:t>
            </w:r>
            <w:r>
              <w:rPr>
                <w:rFonts w:ascii="宋体" w:hAnsi="宋体" w:cs="宋体" w:eastAsia="宋体" w:hint="default"/>
                <w:sz w:val="21"/>
                <w:szCs w:val="21"/>
              </w:rPr>
              <w:t>(%) </w:t>
            </w:r>
          </w:p>
        </w:tc>
      </w:tr>
      <w:tr>
        <w:trPr>
          <w:trHeight w:val="322"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2"/>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z w:val="21"/>
              </w:rPr>
              <w:t>0 </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0.5</w:t>
            </w:r>
            <w:r>
              <w:rPr>
                <w:rFonts w:ascii="宋体"/>
                <w:sz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z w:val="21"/>
              </w:rPr>
              <w:t>0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85,706,561.20</w:t>
            </w:r>
            <w:r>
              <w:rPr>
                <w:rFonts w:ascii="宋体"/>
                <w:sz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700,405,103.05</w:t>
            </w:r>
            <w:r>
              <w:rPr>
                <w:rFonts w:ascii="宋体"/>
                <w:sz w:val="21"/>
              </w:rPr>
              <w:t> </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12.24</w:t>
            </w:r>
            <w:r>
              <w:rPr>
                <w:rFonts w:ascii="宋体"/>
                <w:sz w:val="21"/>
              </w:rPr>
              <w:t> </w:t>
            </w:r>
          </w:p>
        </w:tc>
      </w:tr>
      <w:tr>
        <w:trPr>
          <w:trHeight w:val="322"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3"/>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z w:val="21"/>
              </w:rPr>
              <w:t>0 </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1.75</w:t>
            </w:r>
            <w:r>
              <w:rPr>
                <w:rFonts w:ascii="宋体"/>
                <w:sz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z w:val="21"/>
              </w:rPr>
              <w:t>0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303,749,907.34</w:t>
            </w:r>
            <w:r>
              <w:rPr>
                <w:rFonts w:ascii="宋体"/>
                <w:sz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760,512,374.73</w:t>
            </w:r>
            <w:r>
              <w:rPr>
                <w:rFonts w:ascii="宋体"/>
                <w:sz w:val="21"/>
              </w:rPr>
              <w:t> </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39.94</w:t>
            </w:r>
            <w:r>
              <w:rPr>
                <w:rFonts w:ascii="宋体"/>
                <w:sz w:val="21"/>
              </w:rPr>
              <w:t> </w:t>
            </w:r>
          </w:p>
        </w:tc>
      </w:tr>
      <w:tr>
        <w:trPr>
          <w:trHeight w:val="322"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3"/>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z w:val="21"/>
              </w:rPr>
              <w:t>0 </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0.4</w:t>
            </w:r>
            <w:r>
              <w:rPr>
                <w:rFonts w:ascii="宋体"/>
                <w:sz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z w:val="21"/>
              </w:rPr>
              <w:t>0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70,616,406.36</w:t>
            </w:r>
            <w:r>
              <w:rPr>
                <w:rFonts w:ascii="宋体"/>
                <w:sz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686,022,146.29</w:t>
            </w:r>
            <w:r>
              <w:rPr>
                <w:rFonts w:ascii="宋体"/>
                <w:sz w:val="21"/>
              </w:rPr>
              <w:t> </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10.29</w:t>
            </w:r>
            <w:r>
              <w:rPr>
                <w:rFonts w:ascii="宋体"/>
                <w:sz w:val="21"/>
              </w:rPr>
              <w:t> </w:t>
            </w:r>
          </w:p>
        </w:tc>
      </w:tr>
    </w:tbl>
    <w:p>
      <w:pPr>
        <w:spacing w:line="285" w:lineRule="auto" w:before="0"/>
        <w:ind w:left="218" w:right="495" w:firstLine="0"/>
        <w:jc w:val="both"/>
        <w:rPr>
          <w:rFonts w:ascii="宋体" w:hAnsi="宋体" w:cs="宋体" w:eastAsia="宋体" w:hint="default"/>
          <w:sz w:val="20"/>
          <w:szCs w:val="20"/>
        </w:rPr>
      </w:pPr>
      <w:r>
        <w:rPr>
          <w:rFonts w:ascii="宋体" w:hAnsi="宋体" w:cs="宋体" w:eastAsia="宋体" w:hint="default"/>
          <w:sz w:val="20"/>
          <w:szCs w:val="20"/>
        </w:rPr>
        <w:t>现金分红比例低于</w:t>
      </w:r>
      <w:r>
        <w:rPr>
          <w:rFonts w:ascii="宋体" w:hAnsi="宋体" w:cs="宋体" w:eastAsia="宋体" w:hint="default"/>
          <w:spacing w:val="-58"/>
          <w:sz w:val="20"/>
          <w:szCs w:val="20"/>
        </w:rPr>
        <w:t> </w:t>
      </w:r>
      <w:r>
        <w:rPr>
          <w:rFonts w:ascii="宋体" w:hAnsi="宋体" w:cs="宋体" w:eastAsia="宋体" w:hint="default"/>
          <w:sz w:val="20"/>
          <w:szCs w:val="20"/>
        </w:rPr>
        <w:t>30%</w:t>
      </w:r>
      <w:r>
        <w:rPr>
          <w:rFonts w:ascii="宋体" w:hAnsi="宋体" w:cs="宋体" w:eastAsia="宋体" w:hint="default"/>
          <w:sz w:val="20"/>
          <w:szCs w:val="20"/>
        </w:rPr>
        <w:t>的原因说明：根据公司</w:t>
      </w:r>
      <w:r>
        <w:rPr>
          <w:rFonts w:ascii="宋体" w:hAnsi="宋体" w:cs="宋体" w:eastAsia="宋体" w:hint="default"/>
          <w:spacing w:val="-58"/>
          <w:sz w:val="20"/>
          <w:szCs w:val="20"/>
        </w:rPr>
        <w:t> </w:t>
      </w:r>
      <w:r>
        <w:rPr>
          <w:rFonts w:ascii="宋体" w:hAnsi="宋体" w:cs="宋体" w:eastAsia="宋体" w:hint="default"/>
          <w:sz w:val="20"/>
          <w:szCs w:val="20"/>
        </w:rPr>
        <w:t>2020</w:t>
      </w:r>
      <w:r>
        <w:rPr>
          <w:rFonts w:ascii="宋体" w:hAnsi="宋体" w:cs="宋体" w:eastAsia="宋体" w:hint="default"/>
          <w:spacing w:val="-58"/>
          <w:sz w:val="20"/>
          <w:szCs w:val="20"/>
        </w:rPr>
        <w:t> </w:t>
      </w:r>
      <w:r>
        <w:rPr>
          <w:rFonts w:ascii="宋体" w:hAnsi="宋体" w:cs="宋体" w:eastAsia="宋体" w:hint="default"/>
          <w:sz w:val="20"/>
          <w:szCs w:val="20"/>
        </w:rPr>
        <w:t>年智能电表海外开拓业务及光伏电站业务规划，公</w:t>
      </w:r>
      <w:r>
        <w:rPr>
          <w:rFonts w:ascii="宋体" w:hAnsi="宋体" w:cs="宋体" w:eastAsia="宋体" w:hint="default"/>
          <w:w w:val="99"/>
          <w:sz w:val="20"/>
          <w:szCs w:val="20"/>
        </w:rPr>
        <w:t> </w:t>
      </w:r>
      <w:r>
        <w:rPr>
          <w:rFonts w:ascii="宋体" w:hAnsi="宋体" w:cs="宋体" w:eastAsia="宋体" w:hint="default"/>
          <w:sz w:val="20"/>
          <w:szCs w:val="20"/>
        </w:rPr>
        <w:t>司拥有充足的现金流对于海外智能电表业务开拓、开发平价光伏电站以及高效</w:t>
      </w:r>
      <w:r>
        <w:rPr>
          <w:rFonts w:ascii="宋体" w:hAnsi="宋体" w:cs="宋体" w:eastAsia="宋体" w:hint="default"/>
          <w:spacing w:val="-51"/>
          <w:sz w:val="20"/>
          <w:szCs w:val="20"/>
        </w:rPr>
        <w:t> </w:t>
      </w:r>
      <w:r>
        <w:rPr>
          <w:rFonts w:ascii="宋体" w:hAnsi="宋体" w:cs="宋体" w:eastAsia="宋体" w:hint="default"/>
          <w:sz w:val="20"/>
          <w:szCs w:val="20"/>
        </w:rPr>
        <w:t>EPC</w:t>
      </w:r>
      <w:r>
        <w:rPr>
          <w:rFonts w:ascii="宋体" w:hAnsi="宋体" w:cs="宋体" w:eastAsia="宋体" w:hint="default"/>
          <w:spacing w:val="-53"/>
          <w:sz w:val="20"/>
          <w:szCs w:val="20"/>
        </w:rPr>
        <w:t> </w:t>
      </w:r>
      <w:r>
        <w:rPr>
          <w:rFonts w:ascii="宋体" w:hAnsi="宋体" w:cs="宋体" w:eastAsia="宋体" w:hint="default"/>
          <w:sz w:val="20"/>
          <w:szCs w:val="20"/>
        </w:rPr>
        <w:t>业务的发展具有重</w:t>
      </w:r>
      <w:r>
        <w:rPr>
          <w:rFonts w:ascii="宋体" w:hAnsi="宋体" w:cs="宋体" w:eastAsia="宋体" w:hint="default"/>
          <w:w w:val="99"/>
          <w:sz w:val="20"/>
          <w:szCs w:val="20"/>
        </w:rPr>
        <w:t> </w:t>
      </w:r>
      <w:r>
        <w:rPr>
          <w:rFonts w:ascii="宋体" w:hAnsi="宋体" w:cs="宋体" w:eastAsia="宋体" w:hint="default"/>
          <w:spacing w:val="-4"/>
          <w:sz w:val="20"/>
          <w:szCs w:val="20"/>
        </w:rPr>
        <w:t>要的保障作用。同时，公司于</w:t>
      </w:r>
      <w:r>
        <w:rPr>
          <w:rFonts w:ascii="宋体" w:hAnsi="宋体" w:cs="宋体" w:eastAsia="宋体" w:hint="default"/>
          <w:spacing w:val="-53"/>
          <w:sz w:val="20"/>
          <w:szCs w:val="20"/>
        </w:rPr>
        <w:t> </w:t>
      </w:r>
      <w:r>
        <w:rPr>
          <w:rFonts w:ascii="宋体" w:hAnsi="宋体" w:cs="宋体" w:eastAsia="宋体" w:hint="default"/>
          <w:sz w:val="20"/>
          <w:szCs w:val="20"/>
        </w:rPr>
        <w:t>2020</w:t>
      </w:r>
      <w:r>
        <w:rPr>
          <w:rFonts w:ascii="宋体" w:hAnsi="宋体" w:cs="宋体" w:eastAsia="宋体" w:hint="default"/>
          <w:spacing w:val="-53"/>
          <w:sz w:val="20"/>
          <w:szCs w:val="20"/>
        </w:rPr>
        <w:t> </w:t>
      </w:r>
      <w:r>
        <w:rPr>
          <w:rFonts w:ascii="宋体" w:hAnsi="宋体" w:cs="宋体" w:eastAsia="宋体" w:hint="default"/>
          <w:sz w:val="20"/>
          <w:szCs w:val="20"/>
        </w:rPr>
        <w:t>年</w:t>
      </w:r>
      <w:r>
        <w:rPr>
          <w:rFonts w:ascii="宋体" w:hAnsi="宋体" w:cs="宋体" w:eastAsia="宋体" w:hint="default"/>
          <w:spacing w:val="-56"/>
          <w:sz w:val="20"/>
          <w:szCs w:val="20"/>
        </w:rPr>
        <w:t> </w:t>
      </w:r>
      <w:r>
        <w:rPr>
          <w:rFonts w:ascii="宋体" w:hAnsi="宋体" w:cs="宋体" w:eastAsia="宋体" w:hint="default"/>
          <w:sz w:val="20"/>
          <w:szCs w:val="20"/>
        </w:rPr>
        <w:t>1</w:t>
      </w:r>
      <w:r>
        <w:rPr>
          <w:rFonts w:ascii="宋体" w:hAnsi="宋体" w:cs="宋体" w:eastAsia="宋体" w:hint="default"/>
          <w:spacing w:val="-53"/>
          <w:sz w:val="20"/>
          <w:szCs w:val="20"/>
        </w:rPr>
        <w:t> </w:t>
      </w:r>
      <w:r>
        <w:rPr>
          <w:rFonts w:ascii="宋体" w:hAnsi="宋体" w:cs="宋体" w:eastAsia="宋体" w:hint="default"/>
          <w:sz w:val="20"/>
          <w:szCs w:val="20"/>
        </w:rPr>
        <w:t>月推出公司第二期回购股份计划，拟回购总金额为</w:t>
      </w:r>
      <w:r>
        <w:rPr>
          <w:rFonts w:ascii="宋体" w:hAnsi="宋体" w:cs="宋体" w:eastAsia="宋体" w:hint="default"/>
          <w:spacing w:val="-52"/>
          <w:sz w:val="20"/>
          <w:szCs w:val="20"/>
        </w:rPr>
        <w:t> </w:t>
      </w:r>
      <w:r>
        <w:rPr>
          <w:rFonts w:ascii="宋体" w:hAnsi="宋体" w:cs="宋体" w:eastAsia="宋体" w:hint="default"/>
          <w:sz w:val="20"/>
          <w:szCs w:val="20"/>
        </w:rPr>
        <w:t>3</w:t>
      </w:r>
      <w:r>
        <w:rPr>
          <w:rFonts w:ascii="宋体" w:hAnsi="宋体" w:cs="宋体" w:eastAsia="宋体" w:hint="default"/>
          <w:spacing w:val="-53"/>
          <w:sz w:val="20"/>
          <w:szCs w:val="20"/>
        </w:rPr>
        <w:t> </w:t>
      </w:r>
      <w:r>
        <w:rPr>
          <w:rFonts w:ascii="宋体" w:hAnsi="宋体" w:cs="宋体" w:eastAsia="宋体" w:hint="default"/>
          <w:sz w:val="20"/>
          <w:szCs w:val="20"/>
        </w:rPr>
        <w:t>亿到</w:t>
      </w:r>
      <w:r>
        <w:rPr>
          <w:rFonts w:ascii="宋体" w:hAnsi="宋体" w:cs="宋体" w:eastAsia="宋体" w:hint="default"/>
          <w:spacing w:val="-54"/>
          <w:sz w:val="20"/>
          <w:szCs w:val="20"/>
        </w:rPr>
        <w:t> </w:t>
      </w:r>
      <w:r>
        <w:rPr>
          <w:rFonts w:ascii="宋体" w:hAnsi="宋体" w:cs="宋体" w:eastAsia="宋体" w:hint="default"/>
          <w:sz w:val="20"/>
          <w:szCs w:val="20"/>
        </w:rPr>
        <w:t>6</w:t>
      </w:r>
      <w:r>
        <w:rPr>
          <w:rFonts w:ascii="宋体" w:hAnsi="宋体" w:cs="宋体" w:eastAsia="宋体" w:hint="default"/>
          <w:spacing w:val="-53"/>
          <w:sz w:val="20"/>
          <w:szCs w:val="20"/>
        </w:rPr>
        <w:t> </w:t>
      </w:r>
      <w:r>
        <w:rPr>
          <w:rFonts w:ascii="宋体" w:hAnsi="宋体" w:cs="宋体" w:eastAsia="宋体" w:hint="default"/>
          <w:sz w:val="20"/>
          <w:szCs w:val="20"/>
        </w:rPr>
        <w:t>亿</w:t>
      </w:r>
    </w:p>
    <w:p>
      <w:pPr>
        <w:spacing w:before="12"/>
        <w:ind w:left="218" w:right="0" w:firstLine="0"/>
        <w:jc w:val="both"/>
        <w:rPr>
          <w:rFonts w:ascii="宋体" w:hAnsi="宋体" w:cs="宋体" w:eastAsia="宋体" w:hint="default"/>
          <w:sz w:val="20"/>
          <w:szCs w:val="20"/>
        </w:rPr>
      </w:pPr>
      <w:r>
        <w:rPr>
          <w:rFonts w:ascii="宋体" w:hAnsi="宋体" w:cs="宋体" w:eastAsia="宋体" w:hint="default"/>
          <w:sz w:val="20"/>
          <w:szCs w:val="20"/>
        </w:rPr>
        <w:t>元，回购期限为董事会审议通过之日起不超过</w:t>
      </w:r>
      <w:r>
        <w:rPr>
          <w:rFonts w:ascii="宋体" w:hAnsi="宋体" w:cs="宋体" w:eastAsia="宋体" w:hint="default"/>
          <w:spacing w:val="-52"/>
          <w:sz w:val="20"/>
          <w:szCs w:val="20"/>
        </w:rPr>
        <w:t> </w:t>
      </w:r>
      <w:r>
        <w:rPr>
          <w:rFonts w:ascii="宋体" w:hAnsi="宋体" w:cs="宋体" w:eastAsia="宋体" w:hint="default"/>
          <w:sz w:val="20"/>
          <w:szCs w:val="20"/>
        </w:rPr>
        <w:t>12</w:t>
      </w:r>
      <w:r>
        <w:rPr>
          <w:rFonts w:ascii="宋体" w:hAnsi="宋体" w:cs="宋体" w:eastAsia="宋体" w:hint="default"/>
          <w:spacing w:val="-53"/>
          <w:sz w:val="20"/>
          <w:szCs w:val="20"/>
        </w:rPr>
        <w:t> </w:t>
      </w:r>
      <w:r>
        <w:rPr>
          <w:rFonts w:ascii="宋体" w:hAnsi="宋体" w:cs="宋体" w:eastAsia="宋体" w:hint="default"/>
          <w:sz w:val="20"/>
          <w:szCs w:val="20"/>
        </w:rPr>
        <w:t>个月。</w:t>
      </w:r>
      <w:r>
        <w:rPr>
          <w:rFonts w:ascii="宋体" w:hAnsi="宋体" w:cs="宋体" w:eastAsia="宋体" w:hint="default"/>
          <w:sz w:val="20"/>
          <w:szCs w:val="20"/>
        </w:rPr>
        <w:t> </w:t>
      </w:r>
    </w:p>
    <w:p>
      <w:pPr>
        <w:spacing w:after="0"/>
        <w:jc w:val="both"/>
        <w:rPr>
          <w:rFonts w:ascii="宋体" w:hAnsi="宋体" w:cs="宋体" w:eastAsia="宋体" w:hint="default"/>
          <w:sz w:val="20"/>
          <w:szCs w:val="20"/>
        </w:rPr>
        <w:sectPr>
          <w:pgSz w:w="11910" w:h="16840"/>
          <w:pgMar w:header="747" w:footer="974" w:top="1140" w:bottom="1160" w:left="1580" w:right="780"/>
        </w:sectPr>
      </w:pPr>
    </w:p>
    <w:p>
      <w:pPr>
        <w:spacing w:line="240" w:lineRule="auto" w:before="9"/>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747" w:footer="974" w:top="1140" w:bottom="1160" w:left="400" w:right="200"/>
        </w:sectPr>
      </w:pPr>
    </w:p>
    <w:p>
      <w:pPr>
        <w:pStyle w:val="Heading3"/>
        <w:spacing w:line="240" w:lineRule="auto" w:before="36"/>
        <w:ind w:left="1398" w:right="-17"/>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30"/>
        </w:rPr>
        <w:t> </w:t>
      </w:r>
      <w:r>
        <w:rPr/>
        <w:t>以现金方式回购股份计入现金分红的情况</w:t>
      </w:r>
      <w:r>
        <w:rPr>
          <w:b w:val="0"/>
          <w:bCs w:val="0"/>
        </w:rPr>
      </w:r>
    </w:p>
    <w:p>
      <w:pPr>
        <w:pStyle w:val="Heading2"/>
        <w:spacing w:line="240" w:lineRule="auto" w:before="42"/>
        <w:ind w:left="1398" w:right="-17"/>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spacing w:line="240" w:lineRule="auto"/>
        <w:ind w:left="1398" w:right="0"/>
        <w:jc w:val="left"/>
        <w:rPr>
          <w:rFonts w:ascii="宋体" w:hAnsi="宋体" w:cs="宋体" w:eastAsia="宋体" w:hint="default"/>
        </w:rPr>
      </w:pPr>
      <w:r>
        <w:rPr/>
        <w:t>单位：元币种：人民币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580" w:bottom="280" w:left="400" w:right="200"/>
          <w:cols w:num="2" w:equalWidth="0">
            <w:col w:w="5615" w:space="1117"/>
            <w:col w:w="4578"/>
          </w:cols>
        </w:sectPr>
      </w:pPr>
    </w:p>
    <w:p>
      <w:pPr>
        <w:spacing w:line="240" w:lineRule="auto" w:before="10"/>
        <w:rPr>
          <w:rFonts w:ascii="宋体" w:hAnsi="宋体" w:cs="宋体" w:eastAsia="宋体" w:hint="default"/>
          <w:sz w:val="3"/>
          <w:szCs w:val="3"/>
        </w:rPr>
      </w:pPr>
    </w:p>
    <w:tbl>
      <w:tblPr>
        <w:tblW w:w="0" w:type="auto"/>
        <w:jc w:val="left"/>
        <w:tblInd w:w="1285" w:type="dxa"/>
        <w:tblLayout w:type="fixed"/>
        <w:tblCellMar>
          <w:top w:w="0" w:type="dxa"/>
          <w:left w:w="0" w:type="dxa"/>
          <w:bottom w:w="0" w:type="dxa"/>
          <w:right w:w="0" w:type="dxa"/>
        </w:tblCellMar>
        <w:tblLook w:val="01E0"/>
      </w:tblPr>
      <w:tblGrid>
        <w:gridCol w:w="3106"/>
        <w:gridCol w:w="3202"/>
        <w:gridCol w:w="2741"/>
      </w:tblGrid>
      <w:tr>
        <w:trPr>
          <w:trHeight w:val="324" w:hRule="exact"/>
        </w:trPr>
        <w:tc>
          <w:tcPr>
            <w:tcW w:w="310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4" w:right="0"/>
              <w:jc w:val="center"/>
              <w:rPr>
                <w:rFonts w:ascii="宋体" w:hAnsi="宋体" w:cs="宋体" w:eastAsia="宋体" w:hint="default"/>
                <w:sz w:val="21"/>
                <w:szCs w:val="21"/>
              </w:rPr>
            </w:pPr>
            <w:r>
              <w:rPr>
                <w:rFonts w:ascii="宋体"/>
                <w:w w:val="100"/>
                <w:sz w:val="21"/>
              </w:rPr>
              <w:t> </w:t>
            </w:r>
          </w:p>
        </w:tc>
        <w:tc>
          <w:tcPr>
            <w:tcW w:w="320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859" w:right="0"/>
              <w:jc w:val="left"/>
              <w:rPr>
                <w:rFonts w:ascii="宋体" w:hAnsi="宋体" w:cs="宋体" w:eastAsia="宋体" w:hint="default"/>
                <w:sz w:val="21"/>
                <w:szCs w:val="21"/>
              </w:rPr>
            </w:pPr>
            <w:r>
              <w:rPr>
                <w:rFonts w:ascii="宋体" w:hAnsi="宋体" w:cs="宋体" w:eastAsia="宋体" w:hint="default"/>
                <w:sz w:val="21"/>
                <w:szCs w:val="21"/>
              </w:rPr>
              <w:t>现金分红的金额</w:t>
            </w:r>
            <w:r>
              <w:rPr>
                <w:rFonts w:ascii="宋体" w:hAnsi="宋体" w:cs="宋体" w:eastAsia="宋体" w:hint="default"/>
                <w:sz w:val="21"/>
                <w:szCs w:val="21"/>
              </w:rPr>
              <w:t> </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892"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r>
      <w:tr>
        <w:trPr>
          <w:trHeight w:val="322" w:hRule="exact"/>
        </w:trPr>
        <w:tc>
          <w:tcPr>
            <w:tcW w:w="310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3"/>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32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037" w:right="-3"/>
              <w:jc w:val="left"/>
              <w:rPr>
                <w:rFonts w:ascii="宋体" w:hAnsi="宋体" w:cs="宋体" w:eastAsia="宋体" w:hint="default"/>
                <w:sz w:val="21"/>
                <w:szCs w:val="21"/>
              </w:rPr>
            </w:pPr>
            <w:r>
              <w:rPr>
                <w:rFonts w:ascii="宋体"/>
                <w:sz w:val="21"/>
              </w:rPr>
              <w:t>889,400.00 </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right"/>
              <w:rPr>
                <w:rFonts w:ascii="宋体" w:hAnsi="宋体" w:cs="宋体" w:eastAsia="宋体" w:hint="default"/>
                <w:sz w:val="21"/>
                <w:szCs w:val="21"/>
              </w:rPr>
            </w:pPr>
            <w:r>
              <w:rPr>
                <w:rFonts w:ascii="宋体"/>
                <w:spacing w:val="-1"/>
                <w:sz w:val="21"/>
              </w:rPr>
              <w:t>0.13</w:t>
            </w:r>
            <w:r>
              <w:rPr>
                <w:rFonts w:ascii="宋体"/>
                <w:sz w:val="21"/>
              </w:rPr>
              <w:t> </w:t>
            </w:r>
          </w:p>
        </w:tc>
      </w:tr>
    </w:tbl>
    <w:p>
      <w:pPr>
        <w:pStyle w:val="Heading2"/>
        <w:spacing w:line="274" w:lineRule="exact"/>
        <w:ind w:left="1398" w:right="0"/>
        <w:jc w:val="left"/>
        <w:rPr>
          <w:rFonts w:ascii="宋体" w:hAnsi="宋体" w:cs="宋体" w:eastAsia="宋体" w:hint="default"/>
        </w:rPr>
      </w:pPr>
      <w:r>
        <w:rPr>
          <w:rFonts w:ascii="宋体"/>
        </w:rPr>
        <w:t> </w:t>
      </w:r>
    </w:p>
    <w:p>
      <w:pPr>
        <w:pStyle w:val="Heading3"/>
        <w:spacing w:line="247" w:lineRule="auto" w:before="85"/>
        <w:ind w:left="1818" w:right="1057" w:hanging="420"/>
        <w:jc w:val="left"/>
        <w:rPr>
          <w:b w:val="0"/>
          <w:bCs w:val="0"/>
        </w:rPr>
      </w:pPr>
      <w:r>
        <w:rPr>
          <w:rFonts w:ascii="Calibri" w:hAnsi="Calibri" w:cs="Calibri" w:eastAsia="Calibri" w:hint="default"/>
        </w:rPr>
        <w:t>(</w:t>
      </w:r>
      <w:r>
        <w:rPr/>
        <w:t>四</w:t>
      </w:r>
      <w:r>
        <w:rPr>
          <w:rFonts w:ascii="Calibri" w:hAnsi="Calibri" w:cs="Calibri" w:eastAsia="Calibri" w:hint="default"/>
        </w:rPr>
        <w:t>)</w:t>
      </w:r>
      <w:r>
        <w:rPr>
          <w:rFonts w:ascii="Calibri" w:hAnsi="Calibri" w:cs="Calibri" w:eastAsia="Calibri" w:hint="default"/>
          <w:spacing w:val="9"/>
        </w:rPr>
        <w:t> </w:t>
      </w:r>
      <w:r>
        <w:rPr/>
        <w:t>报告期内盈利且母公司可供普通股股东分配利润为正，但未提出普通股现金利润分配方案预</w:t>
      </w:r>
      <w:r>
        <w:rPr>
          <w:w w:val="100"/>
        </w:rPr>
        <w:t> </w:t>
      </w:r>
      <w:r>
        <w:rPr/>
        <w:t>案的，公司应当详细披露原因以及未分配利润的用途和使用计划</w:t>
      </w:r>
      <w:r>
        <w:rPr>
          <w:b w:val="0"/>
          <w:bCs w:val="0"/>
        </w:rPr>
      </w:r>
    </w:p>
    <w:p>
      <w:pPr>
        <w:pStyle w:val="Heading2"/>
        <w:spacing w:line="313" w:lineRule="exact" w:before="63"/>
        <w:ind w:left="1398"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2"/>
        <w:spacing w:line="313" w:lineRule="exact"/>
        <w:ind w:left="1398" w:right="0"/>
        <w:jc w:val="left"/>
        <w:rPr>
          <w:rFonts w:ascii="宋体" w:hAnsi="宋体" w:cs="宋体" w:eastAsia="宋体" w:hint="default"/>
        </w:rPr>
      </w:pPr>
      <w:r>
        <w:rPr>
          <w:rFonts w:ascii="宋体"/>
        </w:rPr>
        <w:t> </w:t>
      </w:r>
    </w:p>
    <w:p>
      <w:pPr>
        <w:pStyle w:val="Heading3"/>
        <w:spacing w:line="240" w:lineRule="auto" w:before="85"/>
        <w:ind w:left="1398" w:right="0"/>
        <w:jc w:val="left"/>
        <w:rPr>
          <w:b w:val="0"/>
          <w:bCs w:val="0"/>
        </w:rPr>
      </w:pPr>
      <w:r>
        <w:rPr/>
        <w:t>二、承诺事项履行情况</w:t>
      </w:r>
      <w:r>
        <w:rPr>
          <w:b w:val="0"/>
          <w:bCs w:val="0"/>
        </w:rPr>
      </w:r>
    </w:p>
    <w:p>
      <w:pPr>
        <w:pStyle w:val="Heading3"/>
        <w:tabs>
          <w:tab w:pos="1964" w:val="left" w:leader="none"/>
        </w:tabs>
        <w:spacing w:line="247" w:lineRule="auto"/>
        <w:ind w:left="1964" w:right="1075" w:hanging="567"/>
        <w:jc w:val="left"/>
        <w:rPr>
          <w:b w:val="0"/>
          <w:bCs w:val="0"/>
        </w:rPr>
      </w:pPr>
      <w:r>
        <w:rPr>
          <w:rFonts w:ascii="Calibri" w:hAnsi="Calibri" w:cs="Calibri" w:eastAsia="Calibri" w:hint="default"/>
        </w:rPr>
        <w:t>(</w:t>
      </w:r>
      <w:r>
        <w:rPr/>
        <w:t>一</w:t>
      </w:r>
      <w:r>
        <w:rPr>
          <w:rFonts w:ascii="Calibri" w:hAnsi="Calibri" w:cs="Calibri" w:eastAsia="Calibri" w:hint="default"/>
        </w:rPr>
        <w:t>)</w:t>
        <w:tab/>
      </w:r>
      <w:r>
        <w:rPr/>
        <w:t>公司实际控制人、股东、关联方、收购人以及公司等承诺相关方在报告期内或持续到报告</w:t>
      </w:r>
      <w:r>
        <w:rPr>
          <w:spacing w:val="-66"/>
        </w:rPr>
        <w:t> </w:t>
      </w:r>
      <w:r>
        <w:rPr>
          <w:spacing w:val="-66"/>
        </w:rPr>
      </w:r>
      <w:r>
        <w:rPr/>
        <w:t>期内的承诺事项</w:t>
      </w:r>
      <w:r>
        <w:rPr>
          <w:b w:val="0"/>
          <w:bCs w:val="0"/>
        </w:rPr>
      </w:r>
    </w:p>
    <w:p>
      <w:pPr>
        <w:pStyle w:val="Heading2"/>
        <w:spacing w:line="240" w:lineRule="auto" w:before="63"/>
        <w:ind w:left="1398"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12"/>
        <w:rPr>
          <w:rFonts w:ascii="宋体" w:hAnsi="宋体" w:cs="宋体" w:eastAsia="宋体" w:hint="default"/>
          <w:sz w:val="2"/>
          <w:szCs w:val="2"/>
        </w:rPr>
      </w:pPr>
    </w:p>
    <w:tbl>
      <w:tblPr>
        <w:tblW w:w="0" w:type="auto"/>
        <w:jc w:val="left"/>
        <w:tblInd w:w="116" w:type="dxa"/>
        <w:tblLayout w:type="fixed"/>
        <w:tblCellMar>
          <w:top w:w="0" w:type="dxa"/>
          <w:left w:w="0" w:type="dxa"/>
          <w:bottom w:w="0" w:type="dxa"/>
          <w:right w:w="0" w:type="dxa"/>
        </w:tblCellMar>
        <w:tblLook w:val="01E0"/>
      </w:tblPr>
      <w:tblGrid>
        <w:gridCol w:w="992"/>
        <w:gridCol w:w="569"/>
        <w:gridCol w:w="1406"/>
        <w:gridCol w:w="3443"/>
        <w:gridCol w:w="1790"/>
        <w:gridCol w:w="610"/>
        <w:gridCol w:w="605"/>
        <w:gridCol w:w="938"/>
        <w:gridCol w:w="708"/>
      </w:tblGrid>
      <w:tr>
        <w:trPr>
          <w:trHeight w:val="1570" w:hRule="exact"/>
        </w:trPr>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8"/>
              <w:ind w:left="189" w:right="0"/>
              <w:jc w:val="left"/>
              <w:rPr>
                <w:rFonts w:ascii="宋体" w:hAnsi="宋体" w:cs="宋体" w:eastAsia="宋体" w:hint="default"/>
                <w:sz w:val="15"/>
                <w:szCs w:val="15"/>
              </w:rPr>
            </w:pPr>
            <w:r>
              <w:rPr>
                <w:rFonts w:ascii="宋体" w:hAnsi="宋体" w:cs="宋体" w:eastAsia="宋体" w:hint="default"/>
                <w:sz w:val="15"/>
                <w:szCs w:val="15"/>
              </w:rPr>
              <w:t>承诺背景</w:t>
            </w:r>
            <w:r>
              <w:rPr>
                <w:rFonts w:ascii="宋体" w:hAnsi="宋体" w:cs="宋体" w:eastAsia="宋体" w:hint="default"/>
                <w:sz w:val="15"/>
                <w:szCs w:val="15"/>
              </w:rPr>
              <w:t>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0"/>
                <w:szCs w:val="10"/>
              </w:rPr>
            </w:pPr>
          </w:p>
          <w:p>
            <w:pPr>
              <w:pStyle w:val="TableParagraph"/>
              <w:spacing w:line="381" w:lineRule="auto"/>
              <w:ind w:left="129" w:right="51"/>
              <w:jc w:val="left"/>
              <w:rPr>
                <w:rFonts w:ascii="宋体" w:hAnsi="宋体" w:cs="宋体" w:eastAsia="宋体" w:hint="default"/>
                <w:sz w:val="15"/>
                <w:szCs w:val="15"/>
              </w:rPr>
            </w:pPr>
            <w:r>
              <w:rPr>
                <w:rFonts w:ascii="宋体" w:hAnsi="宋体" w:cs="宋体" w:eastAsia="宋体" w:hint="default"/>
                <w:sz w:val="15"/>
                <w:szCs w:val="15"/>
              </w:rPr>
              <w:t>承诺</w:t>
            </w:r>
            <w:r>
              <w:rPr>
                <w:rFonts w:ascii="宋体" w:hAnsi="宋体" w:cs="宋体" w:eastAsia="宋体" w:hint="default"/>
                <w:w w:val="100"/>
                <w:sz w:val="15"/>
                <w:szCs w:val="15"/>
              </w:rPr>
              <w:t> </w:t>
            </w:r>
            <w:r>
              <w:rPr>
                <w:rFonts w:ascii="宋体" w:hAnsi="宋体" w:cs="宋体" w:eastAsia="宋体" w:hint="default"/>
                <w:sz w:val="15"/>
                <w:szCs w:val="15"/>
              </w:rPr>
              <w:t>类型</w:t>
            </w:r>
            <w:r>
              <w:rPr>
                <w:rFonts w:ascii="宋体" w:hAnsi="宋体" w:cs="宋体" w:eastAsia="宋体" w:hint="default"/>
                <w:sz w:val="15"/>
                <w:szCs w:val="15"/>
              </w:rPr>
              <w:t> </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8"/>
              <w:ind w:left="75" w:right="0"/>
              <w:jc w:val="center"/>
              <w:rPr>
                <w:rFonts w:ascii="宋体" w:hAnsi="宋体" w:cs="宋体" w:eastAsia="宋体" w:hint="default"/>
                <w:sz w:val="15"/>
                <w:szCs w:val="15"/>
              </w:rPr>
            </w:pPr>
            <w:r>
              <w:rPr>
                <w:rFonts w:ascii="宋体" w:hAnsi="宋体" w:cs="宋体" w:eastAsia="宋体" w:hint="default"/>
                <w:sz w:val="15"/>
                <w:szCs w:val="15"/>
              </w:rPr>
              <w:t>承诺方</w:t>
            </w:r>
            <w:r>
              <w:rPr>
                <w:rFonts w:ascii="宋体" w:hAnsi="宋体" w:cs="宋体" w:eastAsia="宋体" w:hint="default"/>
                <w:sz w:val="15"/>
                <w:szCs w:val="15"/>
              </w:rPr>
              <w:t> </w:t>
            </w:r>
          </w:p>
        </w:tc>
        <w:tc>
          <w:tcPr>
            <w:tcW w:w="34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0"/>
                <w:szCs w:val="10"/>
              </w:rPr>
            </w:pPr>
          </w:p>
          <w:p>
            <w:pPr>
              <w:pStyle w:val="TableParagraph"/>
              <w:spacing w:line="381" w:lineRule="auto"/>
              <w:ind w:left="1565" w:right="1491"/>
              <w:jc w:val="center"/>
              <w:rPr>
                <w:rFonts w:ascii="宋体" w:hAnsi="宋体" w:cs="宋体" w:eastAsia="宋体" w:hint="default"/>
                <w:sz w:val="15"/>
                <w:szCs w:val="15"/>
              </w:rPr>
            </w:pPr>
            <w:r>
              <w:rPr>
                <w:rFonts w:ascii="宋体" w:hAnsi="宋体" w:cs="宋体" w:eastAsia="宋体" w:hint="default"/>
                <w:sz w:val="15"/>
                <w:szCs w:val="15"/>
              </w:rPr>
              <w:t>承诺</w:t>
            </w:r>
            <w:r>
              <w:rPr>
                <w:rFonts w:ascii="宋体" w:hAnsi="宋体" w:cs="宋体" w:eastAsia="宋体" w:hint="default"/>
                <w:w w:val="100"/>
                <w:sz w:val="15"/>
                <w:szCs w:val="15"/>
              </w:rPr>
              <w:t> </w:t>
            </w:r>
            <w:r>
              <w:rPr>
                <w:rFonts w:ascii="宋体" w:hAnsi="宋体" w:cs="宋体" w:eastAsia="宋体" w:hint="default"/>
                <w:sz w:val="15"/>
                <w:szCs w:val="15"/>
              </w:rPr>
              <w:t>内容</w:t>
            </w:r>
            <w:r>
              <w:rPr>
                <w:rFonts w:ascii="宋体" w:hAnsi="宋体" w:cs="宋体" w:eastAsia="宋体" w:hint="default"/>
                <w:sz w:val="15"/>
                <w:szCs w:val="15"/>
              </w:rPr>
              <w:t> </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8"/>
              <w:ind w:left="75" w:right="0"/>
              <w:jc w:val="center"/>
              <w:rPr>
                <w:rFonts w:ascii="宋体" w:hAnsi="宋体" w:cs="宋体" w:eastAsia="宋体" w:hint="default"/>
                <w:sz w:val="15"/>
                <w:szCs w:val="15"/>
              </w:rPr>
            </w:pPr>
            <w:r>
              <w:rPr>
                <w:rFonts w:ascii="宋体" w:hAnsi="宋体" w:cs="宋体" w:eastAsia="宋体" w:hint="default"/>
                <w:sz w:val="15"/>
                <w:szCs w:val="15"/>
              </w:rPr>
              <w:t>承诺时间及期限</w:t>
            </w:r>
            <w:r>
              <w:rPr>
                <w:rFonts w:ascii="宋体" w:hAnsi="宋体" w:cs="宋体" w:eastAsia="宋体" w:hint="default"/>
                <w:sz w:val="15"/>
                <w:szCs w:val="15"/>
              </w:rPr>
              <w:t> </w:t>
            </w:r>
          </w:p>
        </w:tc>
        <w:tc>
          <w:tcPr>
            <w:tcW w:w="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381" w:lineRule="auto"/>
              <w:ind w:left="148" w:right="147"/>
              <w:jc w:val="both"/>
              <w:rPr>
                <w:rFonts w:ascii="宋体" w:hAnsi="宋体" w:cs="宋体" w:eastAsia="宋体" w:hint="default"/>
                <w:sz w:val="15"/>
                <w:szCs w:val="15"/>
              </w:rPr>
            </w:pPr>
            <w:r>
              <w:rPr>
                <w:rFonts w:ascii="宋体" w:hAnsi="宋体" w:cs="宋体" w:eastAsia="宋体" w:hint="default"/>
                <w:sz w:val="15"/>
                <w:szCs w:val="15"/>
              </w:rPr>
              <w:t>是否</w:t>
            </w:r>
            <w:r>
              <w:rPr>
                <w:rFonts w:ascii="宋体" w:hAnsi="宋体" w:cs="宋体" w:eastAsia="宋体" w:hint="default"/>
                <w:spacing w:val="-73"/>
                <w:sz w:val="15"/>
                <w:szCs w:val="15"/>
              </w:rPr>
              <w:t> </w:t>
            </w:r>
            <w:r>
              <w:rPr>
                <w:rFonts w:ascii="宋体" w:hAnsi="宋体" w:cs="宋体" w:eastAsia="宋体" w:hint="default"/>
                <w:sz w:val="15"/>
                <w:szCs w:val="15"/>
              </w:rPr>
              <w:t>有履</w:t>
            </w:r>
            <w:r>
              <w:rPr>
                <w:rFonts w:ascii="宋体" w:hAnsi="宋体" w:cs="宋体" w:eastAsia="宋体" w:hint="default"/>
                <w:spacing w:val="-73"/>
                <w:sz w:val="15"/>
                <w:szCs w:val="15"/>
              </w:rPr>
              <w:t> </w:t>
            </w:r>
            <w:r>
              <w:rPr>
                <w:rFonts w:ascii="宋体" w:hAnsi="宋体" w:cs="宋体" w:eastAsia="宋体" w:hint="default"/>
                <w:sz w:val="15"/>
                <w:szCs w:val="15"/>
              </w:rPr>
              <w:t>行期</w:t>
            </w:r>
            <w:r>
              <w:rPr>
                <w:rFonts w:ascii="宋体" w:hAnsi="宋体" w:cs="宋体" w:eastAsia="宋体" w:hint="default"/>
                <w:spacing w:val="-73"/>
                <w:sz w:val="15"/>
                <w:szCs w:val="15"/>
              </w:rPr>
              <w:t> </w:t>
            </w:r>
            <w:r>
              <w:rPr>
                <w:rFonts w:ascii="宋体" w:hAnsi="宋体" w:cs="宋体" w:eastAsia="宋体" w:hint="default"/>
                <w:sz w:val="15"/>
                <w:szCs w:val="15"/>
              </w:rPr>
              <w:t>限</w:t>
            </w:r>
            <w:r>
              <w:rPr>
                <w:rFonts w:ascii="宋体" w:hAnsi="宋体" w:cs="宋体" w:eastAsia="宋体" w:hint="default"/>
                <w:sz w:val="15"/>
                <w:szCs w:val="15"/>
              </w:rPr>
              <w:t> </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381" w:lineRule="auto"/>
              <w:ind w:left="146" w:right="71"/>
              <w:jc w:val="both"/>
              <w:rPr>
                <w:rFonts w:ascii="宋体" w:hAnsi="宋体" w:cs="宋体" w:eastAsia="宋体" w:hint="default"/>
                <w:sz w:val="15"/>
                <w:szCs w:val="15"/>
              </w:rPr>
            </w:pPr>
            <w:r>
              <w:rPr>
                <w:rFonts w:ascii="宋体" w:hAnsi="宋体" w:cs="宋体" w:eastAsia="宋体" w:hint="default"/>
                <w:sz w:val="15"/>
                <w:szCs w:val="15"/>
              </w:rPr>
              <w:t>是否</w:t>
            </w:r>
            <w:r>
              <w:rPr>
                <w:rFonts w:ascii="宋体" w:hAnsi="宋体" w:cs="宋体" w:eastAsia="宋体" w:hint="default"/>
                <w:spacing w:val="-73"/>
                <w:sz w:val="15"/>
                <w:szCs w:val="15"/>
              </w:rPr>
              <w:t> </w:t>
            </w:r>
            <w:r>
              <w:rPr>
                <w:rFonts w:ascii="宋体" w:hAnsi="宋体" w:cs="宋体" w:eastAsia="宋体" w:hint="default"/>
                <w:sz w:val="15"/>
                <w:szCs w:val="15"/>
              </w:rPr>
              <w:t>及时</w:t>
            </w:r>
            <w:r>
              <w:rPr>
                <w:rFonts w:ascii="宋体" w:hAnsi="宋体" w:cs="宋体" w:eastAsia="宋体" w:hint="default"/>
                <w:spacing w:val="-73"/>
                <w:sz w:val="15"/>
                <w:szCs w:val="15"/>
              </w:rPr>
              <w:t> </w:t>
            </w:r>
            <w:r>
              <w:rPr>
                <w:rFonts w:ascii="宋体" w:hAnsi="宋体" w:cs="宋体" w:eastAsia="宋体" w:hint="default"/>
                <w:sz w:val="15"/>
                <w:szCs w:val="15"/>
              </w:rPr>
              <w:t>严格</w:t>
            </w:r>
            <w:r>
              <w:rPr>
                <w:rFonts w:ascii="宋体" w:hAnsi="宋体" w:cs="宋体" w:eastAsia="宋体" w:hint="default"/>
                <w:spacing w:val="-73"/>
                <w:sz w:val="15"/>
                <w:szCs w:val="15"/>
              </w:rPr>
              <w:t> </w:t>
            </w:r>
            <w:r>
              <w:rPr>
                <w:rFonts w:ascii="宋体" w:hAnsi="宋体" w:cs="宋体" w:eastAsia="宋体" w:hint="default"/>
                <w:sz w:val="15"/>
                <w:szCs w:val="15"/>
              </w:rPr>
              <w:t>履行</w:t>
            </w:r>
            <w:r>
              <w:rPr>
                <w:rFonts w:ascii="宋体" w:hAnsi="宋体" w:cs="宋体" w:eastAsia="宋体" w:hint="default"/>
                <w:sz w:val="15"/>
                <w:szCs w:val="15"/>
              </w:rPr>
              <w:t> </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33"/>
              <w:ind w:left="163" w:right="89"/>
              <w:jc w:val="both"/>
              <w:rPr>
                <w:rFonts w:ascii="宋体" w:hAnsi="宋体" w:cs="宋体" w:eastAsia="宋体" w:hint="default"/>
                <w:sz w:val="15"/>
                <w:szCs w:val="15"/>
              </w:rPr>
            </w:pPr>
            <w:r>
              <w:rPr>
                <w:rFonts w:ascii="宋体" w:hAnsi="宋体" w:cs="宋体" w:eastAsia="宋体" w:hint="default"/>
                <w:sz w:val="15"/>
                <w:szCs w:val="15"/>
              </w:rPr>
              <w:t>如未能及</w:t>
            </w:r>
            <w:r>
              <w:rPr>
                <w:rFonts w:ascii="宋体" w:hAnsi="宋体" w:cs="宋体" w:eastAsia="宋体" w:hint="default"/>
                <w:w w:val="100"/>
                <w:sz w:val="15"/>
                <w:szCs w:val="15"/>
              </w:rPr>
              <w:t> </w:t>
            </w:r>
            <w:r>
              <w:rPr>
                <w:rFonts w:ascii="宋体" w:hAnsi="宋体" w:cs="宋体" w:eastAsia="宋体" w:hint="default"/>
                <w:sz w:val="15"/>
                <w:szCs w:val="15"/>
              </w:rPr>
              <w:t>时履行应</w:t>
            </w:r>
            <w:r>
              <w:rPr>
                <w:rFonts w:ascii="宋体" w:hAnsi="宋体" w:cs="宋体" w:eastAsia="宋体" w:hint="default"/>
                <w:w w:val="100"/>
                <w:sz w:val="15"/>
                <w:szCs w:val="15"/>
              </w:rPr>
              <w:t> </w:t>
            </w:r>
            <w:r>
              <w:rPr>
                <w:rFonts w:ascii="宋体" w:hAnsi="宋体" w:cs="宋体" w:eastAsia="宋体" w:hint="default"/>
                <w:sz w:val="15"/>
                <w:szCs w:val="15"/>
              </w:rPr>
              <w:t>说明未完</w:t>
            </w:r>
            <w:r>
              <w:rPr>
                <w:rFonts w:ascii="宋体" w:hAnsi="宋体" w:cs="宋体" w:eastAsia="宋体" w:hint="default"/>
                <w:w w:val="100"/>
                <w:sz w:val="15"/>
                <w:szCs w:val="15"/>
              </w:rPr>
              <w:t> </w:t>
            </w:r>
            <w:r>
              <w:rPr>
                <w:rFonts w:ascii="宋体" w:hAnsi="宋体" w:cs="宋体" w:eastAsia="宋体" w:hint="default"/>
                <w:sz w:val="15"/>
                <w:szCs w:val="15"/>
              </w:rPr>
              <w:t>成履行的</w:t>
            </w:r>
            <w:r>
              <w:rPr>
                <w:rFonts w:ascii="宋体" w:hAnsi="宋体" w:cs="宋体" w:eastAsia="宋体" w:hint="default"/>
                <w:w w:val="100"/>
                <w:sz w:val="15"/>
                <w:szCs w:val="15"/>
              </w:rPr>
              <w:t> </w:t>
            </w:r>
            <w:r>
              <w:rPr>
                <w:rFonts w:ascii="宋体" w:hAnsi="宋体" w:cs="宋体" w:eastAsia="宋体" w:hint="default"/>
                <w:sz w:val="15"/>
                <w:szCs w:val="15"/>
              </w:rPr>
              <w:t>具体原因</w:t>
            </w:r>
            <w:r>
              <w:rPr>
                <w:rFonts w:ascii="宋体" w:hAnsi="宋体" w:cs="宋体" w:eastAsia="宋体" w:hint="default"/>
                <w:sz w:val="15"/>
                <w:szCs w:val="15"/>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33"/>
              <w:ind w:left="122" w:right="47"/>
              <w:jc w:val="both"/>
              <w:rPr>
                <w:rFonts w:ascii="宋体" w:hAnsi="宋体" w:cs="宋体" w:eastAsia="宋体" w:hint="default"/>
                <w:sz w:val="15"/>
                <w:szCs w:val="15"/>
              </w:rPr>
            </w:pPr>
            <w:r>
              <w:rPr>
                <w:rFonts w:ascii="宋体" w:hAnsi="宋体" w:cs="宋体" w:eastAsia="宋体" w:hint="default"/>
                <w:sz w:val="15"/>
                <w:szCs w:val="15"/>
              </w:rPr>
              <w:t>如未能</w:t>
            </w:r>
            <w:r>
              <w:rPr>
                <w:rFonts w:ascii="宋体" w:hAnsi="宋体" w:cs="宋体" w:eastAsia="宋体" w:hint="default"/>
                <w:spacing w:val="-72"/>
                <w:sz w:val="15"/>
                <w:szCs w:val="15"/>
              </w:rPr>
              <w:t> </w:t>
            </w:r>
            <w:r>
              <w:rPr>
                <w:rFonts w:ascii="宋体" w:hAnsi="宋体" w:cs="宋体" w:eastAsia="宋体" w:hint="default"/>
                <w:sz w:val="15"/>
                <w:szCs w:val="15"/>
              </w:rPr>
              <w:t>及时履</w:t>
            </w:r>
            <w:r>
              <w:rPr>
                <w:rFonts w:ascii="宋体" w:hAnsi="宋体" w:cs="宋体" w:eastAsia="宋体" w:hint="default"/>
                <w:spacing w:val="-72"/>
                <w:sz w:val="15"/>
                <w:szCs w:val="15"/>
              </w:rPr>
              <w:t> </w:t>
            </w:r>
            <w:r>
              <w:rPr>
                <w:rFonts w:ascii="宋体" w:hAnsi="宋体" w:cs="宋体" w:eastAsia="宋体" w:hint="default"/>
                <w:sz w:val="15"/>
                <w:szCs w:val="15"/>
              </w:rPr>
              <w:t>行应说</w:t>
            </w:r>
            <w:r>
              <w:rPr>
                <w:rFonts w:ascii="宋体" w:hAnsi="宋体" w:cs="宋体" w:eastAsia="宋体" w:hint="default"/>
                <w:spacing w:val="-72"/>
                <w:sz w:val="15"/>
                <w:szCs w:val="15"/>
              </w:rPr>
              <w:t> </w:t>
            </w:r>
            <w:r>
              <w:rPr>
                <w:rFonts w:ascii="宋体" w:hAnsi="宋体" w:cs="宋体" w:eastAsia="宋体" w:hint="default"/>
                <w:sz w:val="15"/>
                <w:szCs w:val="15"/>
              </w:rPr>
              <w:t>明下一</w:t>
            </w:r>
            <w:r>
              <w:rPr>
                <w:rFonts w:ascii="宋体" w:hAnsi="宋体" w:cs="宋体" w:eastAsia="宋体" w:hint="default"/>
                <w:spacing w:val="-72"/>
                <w:sz w:val="15"/>
                <w:szCs w:val="15"/>
              </w:rPr>
              <w:t> </w:t>
            </w:r>
            <w:r>
              <w:rPr>
                <w:rFonts w:ascii="宋体" w:hAnsi="宋体" w:cs="宋体" w:eastAsia="宋体" w:hint="default"/>
                <w:sz w:val="15"/>
                <w:szCs w:val="15"/>
              </w:rPr>
              <w:t>步计划</w:t>
            </w:r>
            <w:r>
              <w:rPr>
                <w:rFonts w:ascii="宋体" w:hAnsi="宋体" w:cs="宋体" w:eastAsia="宋体" w:hint="default"/>
                <w:sz w:val="15"/>
                <w:szCs w:val="15"/>
              </w:rPr>
              <w:t> </w:t>
            </w:r>
          </w:p>
        </w:tc>
      </w:tr>
      <w:tr>
        <w:trPr>
          <w:trHeight w:val="1882" w:hRule="exact"/>
        </w:trPr>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0"/>
                <w:szCs w:val="10"/>
              </w:rPr>
            </w:pPr>
          </w:p>
          <w:p>
            <w:pPr>
              <w:pStyle w:val="TableParagraph"/>
              <w:spacing w:line="381" w:lineRule="auto"/>
              <w:ind w:left="115" w:right="111"/>
              <w:jc w:val="center"/>
              <w:rPr>
                <w:rFonts w:ascii="宋体" w:hAnsi="宋体" w:cs="宋体" w:eastAsia="宋体" w:hint="default"/>
                <w:sz w:val="15"/>
                <w:szCs w:val="15"/>
              </w:rPr>
            </w:pPr>
            <w:r>
              <w:rPr>
                <w:rFonts w:ascii="宋体" w:hAnsi="宋体" w:cs="宋体" w:eastAsia="宋体" w:hint="default"/>
                <w:sz w:val="15"/>
                <w:szCs w:val="15"/>
              </w:rPr>
              <w:t>与首次公开</w:t>
            </w:r>
            <w:r>
              <w:rPr>
                <w:rFonts w:ascii="宋体" w:hAnsi="宋体" w:cs="宋体" w:eastAsia="宋体" w:hint="default"/>
                <w:w w:val="100"/>
                <w:sz w:val="15"/>
                <w:szCs w:val="15"/>
              </w:rPr>
              <w:t> </w:t>
            </w:r>
            <w:r>
              <w:rPr>
                <w:rFonts w:ascii="宋体" w:hAnsi="宋体" w:cs="宋体" w:eastAsia="宋体" w:hint="default"/>
                <w:sz w:val="15"/>
                <w:szCs w:val="15"/>
              </w:rPr>
              <w:t>发行相关的</w:t>
            </w:r>
            <w:r>
              <w:rPr>
                <w:rFonts w:ascii="宋体" w:hAnsi="宋体" w:cs="宋体" w:eastAsia="宋体" w:hint="default"/>
                <w:w w:val="100"/>
                <w:sz w:val="15"/>
                <w:szCs w:val="15"/>
              </w:rPr>
              <w:t> </w:t>
            </w:r>
            <w:r>
              <w:rPr>
                <w:rFonts w:ascii="宋体" w:hAnsi="宋体" w:cs="宋体" w:eastAsia="宋体" w:hint="default"/>
                <w:sz w:val="15"/>
                <w:szCs w:val="15"/>
              </w:rPr>
              <w:t>承诺</w:t>
            </w:r>
            <w:r>
              <w:rPr>
                <w:rFonts w:ascii="宋体" w:hAnsi="宋体" w:cs="宋体" w:eastAsia="宋体" w:hint="default"/>
                <w:sz w:val="15"/>
                <w:szCs w:val="15"/>
              </w:rPr>
              <w:t>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381" w:lineRule="auto" w:before="108"/>
              <w:ind w:left="129" w:right="51"/>
              <w:jc w:val="left"/>
              <w:rPr>
                <w:rFonts w:ascii="宋体" w:hAnsi="宋体" w:cs="宋体" w:eastAsia="宋体" w:hint="default"/>
                <w:sz w:val="15"/>
                <w:szCs w:val="15"/>
              </w:rPr>
            </w:pPr>
            <w:r>
              <w:rPr>
                <w:rFonts w:ascii="宋体" w:hAnsi="宋体" w:cs="宋体" w:eastAsia="宋体" w:hint="default"/>
                <w:sz w:val="15"/>
                <w:szCs w:val="15"/>
              </w:rPr>
              <w:t>股份</w:t>
            </w:r>
            <w:r>
              <w:rPr>
                <w:rFonts w:ascii="宋体" w:hAnsi="宋体" w:cs="宋体" w:eastAsia="宋体" w:hint="default"/>
                <w:spacing w:val="-73"/>
                <w:sz w:val="15"/>
                <w:szCs w:val="15"/>
              </w:rPr>
              <w:t> </w:t>
            </w:r>
            <w:r>
              <w:rPr>
                <w:rFonts w:ascii="宋体" w:hAnsi="宋体" w:cs="宋体" w:eastAsia="宋体" w:hint="default"/>
                <w:sz w:val="15"/>
                <w:szCs w:val="15"/>
              </w:rPr>
              <w:t>限售</w:t>
            </w:r>
            <w:r>
              <w:rPr>
                <w:rFonts w:ascii="宋体" w:hAnsi="宋体" w:cs="宋体" w:eastAsia="宋体" w:hint="default"/>
                <w:color w:val="FFC000"/>
                <w:sz w:val="15"/>
                <w:szCs w:val="15"/>
              </w:rPr>
              <w:t> </w:t>
            </w:r>
            <w:r>
              <w:rPr>
                <w:rFonts w:ascii="宋体" w:hAnsi="宋体" w:cs="宋体" w:eastAsia="宋体" w:hint="default"/>
                <w:sz w:val="15"/>
                <w:szCs w:val="15"/>
              </w:rPr>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75" w:right="0"/>
              <w:jc w:val="center"/>
              <w:rPr>
                <w:rFonts w:ascii="宋体" w:hAnsi="宋体" w:cs="宋体" w:eastAsia="宋体" w:hint="default"/>
                <w:sz w:val="15"/>
                <w:szCs w:val="15"/>
              </w:rPr>
            </w:pPr>
            <w:r>
              <w:rPr>
                <w:rFonts w:ascii="宋体" w:hAnsi="宋体" w:cs="宋体" w:eastAsia="宋体" w:hint="default"/>
                <w:sz w:val="15"/>
                <w:szCs w:val="15"/>
              </w:rPr>
              <w:t>陆永华</w:t>
            </w:r>
            <w:r>
              <w:rPr>
                <w:rFonts w:ascii="宋体" w:hAnsi="宋体" w:cs="宋体" w:eastAsia="宋体" w:hint="default"/>
                <w:sz w:val="15"/>
                <w:szCs w:val="15"/>
              </w:rPr>
              <w:t> </w:t>
            </w:r>
          </w:p>
        </w:tc>
        <w:tc>
          <w:tcPr>
            <w:tcW w:w="3443"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33"/>
              <w:ind w:left="103" w:right="24"/>
              <w:jc w:val="left"/>
              <w:rPr>
                <w:rFonts w:ascii="宋体" w:hAnsi="宋体" w:cs="宋体" w:eastAsia="宋体" w:hint="default"/>
                <w:sz w:val="15"/>
                <w:szCs w:val="15"/>
              </w:rPr>
            </w:pPr>
            <w:r>
              <w:rPr>
                <w:rFonts w:ascii="宋体" w:hAnsi="宋体" w:cs="宋体" w:eastAsia="宋体" w:hint="default"/>
                <w:spacing w:val="-5"/>
                <w:w w:val="100"/>
                <w:sz w:val="15"/>
                <w:szCs w:val="15"/>
              </w:rPr>
              <w:t>在担任董事或高级管理人员的期间，每年转让的股</w:t>
            </w:r>
            <w:r>
              <w:rPr>
                <w:rFonts w:ascii="宋体" w:hAnsi="宋体" w:cs="宋体" w:eastAsia="宋体" w:hint="default"/>
                <w:spacing w:val="-70"/>
                <w:w w:val="100"/>
                <w:sz w:val="15"/>
                <w:szCs w:val="15"/>
              </w:rPr>
              <w:t> </w:t>
            </w:r>
            <w:r>
              <w:rPr>
                <w:rFonts w:ascii="宋体" w:hAnsi="宋体" w:cs="宋体" w:eastAsia="宋体" w:hint="default"/>
                <w:spacing w:val="-70"/>
                <w:w w:val="100"/>
                <w:sz w:val="15"/>
                <w:szCs w:val="15"/>
              </w:rPr>
            </w:r>
            <w:r>
              <w:rPr>
                <w:rFonts w:ascii="宋体" w:hAnsi="宋体" w:cs="宋体" w:eastAsia="宋体" w:hint="default"/>
                <w:sz w:val="15"/>
                <w:szCs w:val="15"/>
              </w:rPr>
              <w:t>份不超过其持有公司股份数的</w:t>
            </w:r>
            <w:r>
              <w:rPr>
                <w:rFonts w:ascii="宋体" w:hAnsi="宋体" w:cs="宋体" w:eastAsia="宋体" w:hint="default"/>
                <w:spacing w:val="-36"/>
                <w:sz w:val="15"/>
                <w:szCs w:val="15"/>
              </w:rPr>
              <w:t> </w:t>
            </w:r>
            <w:r>
              <w:rPr>
                <w:rFonts w:ascii="宋体" w:hAnsi="宋体" w:cs="宋体" w:eastAsia="宋体" w:hint="default"/>
                <w:spacing w:val="-5"/>
                <w:sz w:val="15"/>
                <w:szCs w:val="15"/>
              </w:rPr>
              <w:t>25%</w:t>
            </w:r>
            <w:r>
              <w:rPr>
                <w:rFonts w:ascii="宋体" w:hAnsi="宋体" w:cs="宋体" w:eastAsia="宋体" w:hint="default"/>
                <w:spacing w:val="-5"/>
                <w:sz w:val="15"/>
                <w:szCs w:val="15"/>
              </w:rPr>
              <w:t>，买卖本公司股</w:t>
            </w:r>
            <w:r>
              <w:rPr>
                <w:rFonts w:ascii="宋体" w:hAnsi="宋体" w:cs="宋体" w:eastAsia="宋体" w:hint="default"/>
                <w:spacing w:val="-68"/>
                <w:sz w:val="15"/>
                <w:szCs w:val="15"/>
              </w:rPr>
              <w:t> </w:t>
            </w:r>
            <w:r>
              <w:rPr>
                <w:rFonts w:ascii="宋体" w:hAnsi="宋体" w:cs="宋体" w:eastAsia="宋体" w:hint="default"/>
                <w:spacing w:val="-68"/>
                <w:sz w:val="15"/>
                <w:szCs w:val="15"/>
              </w:rPr>
            </w:r>
            <w:r>
              <w:rPr>
                <w:rFonts w:ascii="宋体" w:hAnsi="宋体" w:cs="宋体" w:eastAsia="宋体" w:hint="default"/>
                <w:spacing w:val="-2"/>
                <w:w w:val="100"/>
                <w:sz w:val="15"/>
                <w:szCs w:val="15"/>
              </w:rPr>
              <w:t>票交易时间期限不低于</w:t>
            </w:r>
            <w:r>
              <w:rPr>
                <w:rFonts w:ascii="宋体" w:hAnsi="宋体" w:cs="宋体" w:eastAsia="宋体" w:hint="default"/>
                <w:spacing w:val="-57"/>
                <w:w w:val="100"/>
                <w:sz w:val="15"/>
                <w:szCs w:val="15"/>
              </w:rPr>
              <w:t> </w:t>
            </w:r>
            <w:r>
              <w:rPr>
                <w:rFonts w:ascii="宋体" w:hAnsi="宋体" w:cs="宋体" w:eastAsia="宋体" w:hint="default"/>
                <w:w w:val="100"/>
                <w:sz w:val="15"/>
                <w:szCs w:val="15"/>
              </w:rPr>
              <w:t>6</w:t>
            </w:r>
            <w:r>
              <w:rPr>
                <w:rFonts w:ascii="宋体" w:hAnsi="宋体" w:cs="宋体" w:eastAsia="宋体" w:hint="default"/>
                <w:spacing w:val="-56"/>
                <w:w w:val="100"/>
                <w:sz w:val="15"/>
                <w:szCs w:val="15"/>
              </w:rPr>
              <w:t> </w:t>
            </w:r>
            <w:r>
              <w:rPr>
                <w:rFonts w:ascii="宋体" w:hAnsi="宋体" w:cs="宋体" w:eastAsia="宋体" w:hint="default"/>
                <w:spacing w:val="-12"/>
                <w:w w:val="100"/>
                <w:sz w:val="15"/>
                <w:szCs w:val="15"/>
              </w:rPr>
              <w:t>个月；在离职后</w:t>
            </w:r>
            <w:r>
              <w:rPr>
                <w:rFonts w:ascii="宋体" w:hAnsi="宋体" w:cs="宋体" w:eastAsia="宋体" w:hint="default"/>
                <w:spacing w:val="-58"/>
                <w:w w:val="100"/>
                <w:sz w:val="15"/>
                <w:szCs w:val="15"/>
              </w:rPr>
              <w:t> </w:t>
            </w:r>
            <w:r>
              <w:rPr>
                <w:rFonts w:ascii="宋体" w:hAnsi="宋体" w:cs="宋体" w:eastAsia="宋体" w:hint="default"/>
                <w:w w:val="100"/>
                <w:sz w:val="15"/>
                <w:szCs w:val="15"/>
              </w:rPr>
              <w:t>6</w:t>
            </w:r>
            <w:r>
              <w:rPr>
                <w:rFonts w:ascii="宋体" w:hAnsi="宋体" w:cs="宋体" w:eastAsia="宋体" w:hint="default"/>
                <w:spacing w:val="-54"/>
                <w:w w:val="100"/>
                <w:sz w:val="15"/>
                <w:szCs w:val="15"/>
              </w:rPr>
              <w:t> </w:t>
            </w:r>
            <w:r>
              <w:rPr>
                <w:rFonts w:ascii="宋体" w:hAnsi="宋体" w:cs="宋体" w:eastAsia="宋体" w:hint="default"/>
                <w:spacing w:val="-2"/>
                <w:w w:val="100"/>
                <w:sz w:val="15"/>
                <w:szCs w:val="15"/>
              </w:rPr>
              <w:t>个月内，</w:t>
            </w:r>
            <w:r>
              <w:rPr>
                <w:rFonts w:ascii="宋体" w:hAnsi="宋体" w:cs="宋体" w:eastAsia="宋体" w:hint="default"/>
                <w:spacing w:val="-74"/>
                <w:w w:val="100"/>
                <w:sz w:val="15"/>
                <w:szCs w:val="15"/>
              </w:rPr>
              <w:t> </w:t>
            </w:r>
            <w:r>
              <w:rPr>
                <w:rFonts w:ascii="宋体" w:hAnsi="宋体" w:cs="宋体" w:eastAsia="宋体" w:hint="default"/>
                <w:spacing w:val="-74"/>
                <w:w w:val="100"/>
                <w:sz w:val="15"/>
                <w:szCs w:val="15"/>
              </w:rPr>
            </w:r>
            <w:r>
              <w:rPr>
                <w:rFonts w:ascii="宋体" w:hAnsi="宋体" w:cs="宋体" w:eastAsia="宋体" w:hint="default"/>
                <w:spacing w:val="-6"/>
                <w:w w:val="100"/>
                <w:sz w:val="15"/>
                <w:szCs w:val="15"/>
              </w:rPr>
              <w:t>不转让其持有的公司股份；在申报离职</w:t>
            </w:r>
            <w:r>
              <w:rPr>
                <w:rFonts w:ascii="宋体" w:hAnsi="宋体" w:cs="宋体" w:eastAsia="宋体" w:hint="default"/>
                <w:spacing w:val="-37"/>
                <w:w w:val="100"/>
                <w:sz w:val="15"/>
                <w:szCs w:val="15"/>
              </w:rPr>
              <w:t> </w:t>
            </w:r>
            <w:r>
              <w:rPr>
                <w:rFonts w:ascii="宋体" w:hAnsi="宋体" w:cs="宋体" w:eastAsia="宋体" w:hint="default"/>
                <w:w w:val="100"/>
                <w:sz w:val="15"/>
                <w:szCs w:val="15"/>
              </w:rPr>
              <w:t>6</w:t>
            </w:r>
            <w:r>
              <w:rPr>
                <w:rFonts w:ascii="宋体" w:hAnsi="宋体" w:cs="宋体" w:eastAsia="宋体" w:hint="default"/>
                <w:spacing w:val="-34"/>
                <w:w w:val="100"/>
                <w:sz w:val="15"/>
                <w:szCs w:val="15"/>
              </w:rPr>
              <w:t> </w:t>
            </w:r>
            <w:r>
              <w:rPr>
                <w:rFonts w:ascii="宋体" w:hAnsi="宋体" w:cs="宋体" w:eastAsia="宋体" w:hint="default"/>
                <w:spacing w:val="-2"/>
                <w:w w:val="100"/>
                <w:sz w:val="15"/>
                <w:szCs w:val="15"/>
              </w:rPr>
              <w:t>个月后的</w:t>
            </w:r>
          </w:p>
          <w:p>
            <w:pPr>
              <w:pStyle w:val="TableParagraph"/>
              <w:spacing w:line="381" w:lineRule="auto" w:before="27"/>
              <w:ind w:left="103" w:right="135"/>
              <w:jc w:val="left"/>
              <w:rPr>
                <w:rFonts w:ascii="宋体" w:hAnsi="宋体" w:cs="宋体" w:eastAsia="宋体" w:hint="default"/>
                <w:sz w:val="15"/>
                <w:szCs w:val="15"/>
              </w:rPr>
            </w:pPr>
            <w:r>
              <w:rPr>
                <w:rFonts w:ascii="宋体" w:hAnsi="宋体" w:cs="宋体" w:eastAsia="宋体" w:hint="default"/>
                <w:sz w:val="15"/>
                <w:szCs w:val="15"/>
              </w:rPr>
              <w:t>12</w:t>
            </w:r>
            <w:r>
              <w:rPr>
                <w:rFonts w:ascii="宋体" w:hAnsi="宋体" w:cs="宋体" w:eastAsia="宋体" w:hint="default"/>
                <w:spacing w:val="-39"/>
                <w:sz w:val="15"/>
                <w:szCs w:val="15"/>
              </w:rPr>
              <w:t> </w:t>
            </w:r>
            <w:r>
              <w:rPr>
                <w:rFonts w:ascii="宋体" w:hAnsi="宋体" w:cs="宋体" w:eastAsia="宋体" w:hint="default"/>
                <w:sz w:val="15"/>
                <w:szCs w:val="15"/>
              </w:rPr>
              <w:t>个月内，转让的公司股份不超过其持有公司股</w:t>
            </w:r>
            <w:r>
              <w:rPr>
                <w:rFonts w:ascii="宋体" w:hAnsi="宋体" w:cs="宋体" w:eastAsia="宋体" w:hint="default"/>
                <w:w w:val="100"/>
                <w:sz w:val="15"/>
                <w:szCs w:val="15"/>
              </w:rPr>
              <w:t> </w:t>
            </w:r>
            <w:r>
              <w:rPr>
                <w:rFonts w:ascii="宋体" w:hAnsi="宋体" w:cs="宋体" w:eastAsia="宋体" w:hint="default"/>
                <w:sz w:val="15"/>
                <w:szCs w:val="15"/>
              </w:rPr>
              <w:t>份总数的</w:t>
            </w:r>
            <w:r>
              <w:rPr>
                <w:rFonts w:ascii="宋体" w:hAnsi="宋体" w:cs="宋体" w:eastAsia="宋体" w:hint="default"/>
                <w:spacing w:val="-41"/>
                <w:sz w:val="15"/>
                <w:szCs w:val="15"/>
              </w:rPr>
              <w:t> </w:t>
            </w:r>
            <w:r>
              <w:rPr>
                <w:rFonts w:ascii="宋体" w:hAnsi="宋体" w:cs="宋体" w:eastAsia="宋体" w:hint="default"/>
                <w:sz w:val="15"/>
                <w:szCs w:val="15"/>
              </w:rPr>
              <w:t>50%</w:t>
            </w:r>
            <w:r>
              <w:rPr>
                <w:rFonts w:ascii="宋体" w:hAnsi="宋体" w:cs="宋体" w:eastAsia="宋体" w:hint="default"/>
                <w:sz w:val="15"/>
                <w:szCs w:val="15"/>
              </w:rPr>
              <w:t>。</w:t>
            </w:r>
            <w:r>
              <w:rPr>
                <w:rFonts w:ascii="宋体" w:hAnsi="宋体" w:cs="宋体" w:eastAsia="宋体" w:hint="default"/>
                <w:sz w:val="15"/>
                <w:szCs w:val="15"/>
              </w:rPr>
              <w:t> </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73" w:right="0"/>
              <w:jc w:val="center"/>
              <w:rPr>
                <w:rFonts w:ascii="宋体" w:hAnsi="宋体" w:cs="宋体" w:eastAsia="宋体" w:hint="default"/>
                <w:sz w:val="15"/>
                <w:szCs w:val="15"/>
              </w:rPr>
            </w:pPr>
            <w:r>
              <w:rPr>
                <w:rFonts w:ascii="宋体" w:hAnsi="宋体" w:cs="宋体" w:eastAsia="宋体" w:hint="default"/>
                <w:sz w:val="15"/>
                <w:szCs w:val="15"/>
              </w:rPr>
              <w:t>长期</w:t>
            </w:r>
            <w:r>
              <w:rPr>
                <w:rFonts w:ascii="宋体" w:hAnsi="宋体" w:cs="宋体" w:eastAsia="宋体" w:hint="default"/>
                <w:sz w:val="15"/>
                <w:szCs w:val="15"/>
              </w:rPr>
              <w:t> </w:t>
            </w:r>
          </w:p>
        </w:tc>
        <w:tc>
          <w:tcPr>
            <w:tcW w:w="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149"/>
              <w:jc w:val="right"/>
              <w:rPr>
                <w:rFonts w:ascii="宋体" w:hAnsi="宋体" w:cs="宋体" w:eastAsia="宋体" w:hint="default"/>
                <w:sz w:val="15"/>
                <w:szCs w:val="15"/>
              </w:rPr>
            </w:pPr>
            <w:r>
              <w:rPr>
                <w:rFonts w:ascii="宋体" w:hAnsi="宋体" w:cs="宋体" w:eastAsia="宋体" w:hint="default"/>
                <w:sz w:val="15"/>
                <w:szCs w:val="15"/>
              </w:rPr>
              <w:t>否</w:t>
            </w:r>
            <w:r>
              <w:rPr>
                <w:rFonts w:ascii="宋体" w:hAnsi="宋体" w:cs="宋体" w:eastAsia="宋体" w:hint="default"/>
                <w:color w:val="FFC000"/>
                <w:sz w:val="15"/>
                <w:szCs w:val="15"/>
              </w:rPr>
              <w:t> </w:t>
            </w:r>
            <w:r>
              <w:rPr>
                <w:rFonts w:ascii="宋体" w:hAnsi="宋体" w:cs="宋体" w:eastAsia="宋体" w:hint="default"/>
                <w:sz w:val="15"/>
                <w:szCs w:val="15"/>
              </w:rPr>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73" w:right="0"/>
              <w:jc w:val="center"/>
              <w:rPr>
                <w:rFonts w:ascii="宋体" w:hAnsi="宋体" w:cs="宋体" w:eastAsia="宋体" w:hint="default"/>
                <w:sz w:val="15"/>
                <w:szCs w:val="15"/>
              </w:rPr>
            </w:pPr>
            <w:r>
              <w:rPr>
                <w:rFonts w:ascii="宋体" w:hAnsi="宋体" w:cs="宋体" w:eastAsia="宋体" w:hint="default"/>
                <w:sz w:val="15"/>
                <w:szCs w:val="15"/>
              </w:rPr>
              <w:t>是</w:t>
            </w:r>
            <w:r>
              <w:rPr>
                <w:rFonts w:ascii="宋体" w:hAnsi="宋体" w:cs="宋体" w:eastAsia="宋体" w:hint="default"/>
                <w:color w:val="FFC000"/>
                <w:sz w:val="15"/>
                <w:szCs w:val="15"/>
              </w:rPr>
              <w:t> </w:t>
            </w:r>
            <w:r>
              <w:rPr>
                <w:rFonts w:ascii="宋体" w:hAnsi="宋体" w:cs="宋体" w:eastAsia="宋体" w:hint="default"/>
                <w:sz w:val="15"/>
                <w:szCs w:val="15"/>
              </w:rPr>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389"/>
              <w:jc w:val="right"/>
              <w:rPr>
                <w:rFonts w:ascii="宋体" w:hAnsi="宋体" w:cs="宋体" w:eastAsia="宋体" w:hint="default"/>
                <w:sz w:val="15"/>
                <w:szCs w:val="15"/>
              </w:rPr>
            </w:pPr>
            <w:r>
              <w:rPr>
                <w:rFonts w:ascii="宋体"/>
                <w:w w:val="100"/>
                <w:sz w:val="15"/>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73" w:right="0"/>
              <w:jc w:val="center"/>
              <w:rPr>
                <w:rFonts w:ascii="宋体" w:hAnsi="宋体" w:cs="宋体" w:eastAsia="宋体" w:hint="default"/>
                <w:sz w:val="15"/>
                <w:szCs w:val="15"/>
              </w:rPr>
            </w:pPr>
            <w:r>
              <w:rPr>
                <w:rFonts w:ascii="宋体"/>
                <w:w w:val="100"/>
                <w:sz w:val="15"/>
              </w:rPr>
              <w:t> </w:t>
            </w:r>
          </w:p>
        </w:tc>
      </w:tr>
      <w:tr>
        <w:trPr>
          <w:trHeight w:val="1882" w:hRule="exact"/>
        </w:trPr>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0"/>
                <w:szCs w:val="10"/>
              </w:rPr>
            </w:pPr>
          </w:p>
          <w:p>
            <w:pPr>
              <w:pStyle w:val="TableParagraph"/>
              <w:spacing w:line="381" w:lineRule="auto"/>
              <w:ind w:left="115" w:right="111"/>
              <w:jc w:val="center"/>
              <w:rPr>
                <w:rFonts w:ascii="宋体" w:hAnsi="宋体" w:cs="宋体" w:eastAsia="宋体" w:hint="default"/>
                <w:sz w:val="15"/>
                <w:szCs w:val="15"/>
              </w:rPr>
            </w:pPr>
            <w:r>
              <w:rPr>
                <w:rFonts w:ascii="宋体" w:hAnsi="宋体" w:cs="宋体" w:eastAsia="宋体" w:hint="default"/>
                <w:sz w:val="15"/>
                <w:szCs w:val="15"/>
              </w:rPr>
              <w:t>与首次公开</w:t>
            </w:r>
            <w:r>
              <w:rPr>
                <w:rFonts w:ascii="宋体" w:hAnsi="宋体" w:cs="宋体" w:eastAsia="宋体" w:hint="default"/>
                <w:w w:val="100"/>
                <w:sz w:val="15"/>
                <w:szCs w:val="15"/>
              </w:rPr>
              <w:t> </w:t>
            </w:r>
            <w:r>
              <w:rPr>
                <w:rFonts w:ascii="宋体" w:hAnsi="宋体" w:cs="宋体" w:eastAsia="宋体" w:hint="default"/>
                <w:sz w:val="15"/>
                <w:szCs w:val="15"/>
              </w:rPr>
              <w:t>发行相关的</w:t>
            </w:r>
            <w:r>
              <w:rPr>
                <w:rFonts w:ascii="宋体" w:hAnsi="宋体" w:cs="宋体" w:eastAsia="宋体" w:hint="default"/>
                <w:w w:val="100"/>
                <w:sz w:val="15"/>
                <w:szCs w:val="15"/>
              </w:rPr>
              <w:t> </w:t>
            </w:r>
            <w:r>
              <w:rPr>
                <w:rFonts w:ascii="宋体" w:hAnsi="宋体" w:cs="宋体" w:eastAsia="宋体" w:hint="default"/>
                <w:sz w:val="15"/>
                <w:szCs w:val="15"/>
              </w:rPr>
              <w:t>承诺</w:t>
            </w:r>
            <w:r>
              <w:rPr>
                <w:rFonts w:ascii="宋体" w:hAnsi="宋体" w:cs="宋体" w:eastAsia="宋体" w:hint="default"/>
                <w:sz w:val="15"/>
                <w:szCs w:val="15"/>
              </w:rPr>
              <w:t>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381" w:lineRule="auto" w:before="108"/>
              <w:ind w:left="129" w:right="51"/>
              <w:jc w:val="left"/>
              <w:rPr>
                <w:rFonts w:ascii="宋体" w:hAnsi="宋体" w:cs="宋体" w:eastAsia="宋体" w:hint="default"/>
                <w:sz w:val="15"/>
                <w:szCs w:val="15"/>
              </w:rPr>
            </w:pPr>
            <w:r>
              <w:rPr>
                <w:rFonts w:ascii="宋体" w:hAnsi="宋体" w:cs="宋体" w:eastAsia="宋体" w:hint="default"/>
                <w:sz w:val="15"/>
                <w:szCs w:val="15"/>
              </w:rPr>
              <w:t>股份</w:t>
            </w:r>
            <w:r>
              <w:rPr>
                <w:rFonts w:ascii="宋体" w:hAnsi="宋体" w:cs="宋体" w:eastAsia="宋体" w:hint="default"/>
                <w:spacing w:val="-73"/>
                <w:sz w:val="15"/>
                <w:szCs w:val="15"/>
              </w:rPr>
              <w:t> </w:t>
            </w:r>
            <w:r>
              <w:rPr>
                <w:rFonts w:ascii="宋体" w:hAnsi="宋体" w:cs="宋体" w:eastAsia="宋体" w:hint="default"/>
                <w:sz w:val="15"/>
                <w:szCs w:val="15"/>
              </w:rPr>
              <w:t>限售</w:t>
            </w:r>
            <w:r>
              <w:rPr>
                <w:rFonts w:ascii="宋体" w:hAnsi="宋体" w:cs="宋体" w:eastAsia="宋体" w:hint="default"/>
                <w:sz w:val="15"/>
                <w:szCs w:val="15"/>
              </w:rPr>
              <w:t> </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73" w:right="0"/>
              <w:jc w:val="center"/>
              <w:rPr>
                <w:rFonts w:ascii="宋体" w:hAnsi="宋体" w:cs="宋体" w:eastAsia="宋体" w:hint="default"/>
                <w:sz w:val="15"/>
                <w:szCs w:val="15"/>
              </w:rPr>
            </w:pPr>
            <w:r>
              <w:rPr>
                <w:rFonts w:ascii="宋体" w:hAnsi="宋体" w:cs="宋体" w:eastAsia="宋体" w:hint="default"/>
                <w:sz w:val="15"/>
                <w:szCs w:val="15"/>
              </w:rPr>
              <w:t>胡生、虞海娟</w:t>
            </w:r>
            <w:r>
              <w:rPr>
                <w:rFonts w:ascii="宋体" w:hAnsi="宋体" w:cs="宋体" w:eastAsia="宋体" w:hint="default"/>
                <w:sz w:val="15"/>
                <w:szCs w:val="15"/>
              </w:rPr>
              <w:t> </w:t>
            </w:r>
          </w:p>
        </w:tc>
        <w:tc>
          <w:tcPr>
            <w:tcW w:w="3443"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33"/>
              <w:ind w:left="103" w:right="24"/>
              <w:jc w:val="left"/>
              <w:rPr>
                <w:rFonts w:ascii="宋体" w:hAnsi="宋体" w:cs="宋体" w:eastAsia="宋体" w:hint="default"/>
                <w:sz w:val="15"/>
                <w:szCs w:val="15"/>
              </w:rPr>
            </w:pPr>
            <w:r>
              <w:rPr>
                <w:rFonts w:ascii="宋体" w:hAnsi="宋体" w:cs="宋体" w:eastAsia="宋体" w:hint="default"/>
                <w:spacing w:val="-5"/>
                <w:w w:val="100"/>
                <w:sz w:val="15"/>
                <w:szCs w:val="15"/>
              </w:rPr>
              <w:t>在担任董事或高级管理人员的期间，每年转让的股</w:t>
            </w:r>
            <w:r>
              <w:rPr>
                <w:rFonts w:ascii="宋体" w:hAnsi="宋体" w:cs="宋体" w:eastAsia="宋体" w:hint="default"/>
                <w:spacing w:val="-70"/>
                <w:w w:val="100"/>
                <w:sz w:val="15"/>
                <w:szCs w:val="15"/>
              </w:rPr>
              <w:t> </w:t>
            </w:r>
            <w:r>
              <w:rPr>
                <w:rFonts w:ascii="宋体" w:hAnsi="宋体" w:cs="宋体" w:eastAsia="宋体" w:hint="default"/>
                <w:spacing w:val="-70"/>
                <w:w w:val="100"/>
                <w:sz w:val="15"/>
                <w:szCs w:val="15"/>
              </w:rPr>
            </w:r>
            <w:r>
              <w:rPr>
                <w:rFonts w:ascii="宋体" w:hAnsi="宋体" w:cs="宋体" w:eastAsia="宋体" w:hint="default"/>
                <w:sz w:val="15"/>
                <w:szCs w:val="15"/>
              </w:rPr>
              <w:t>份不超过其持有公司股份数的</w:t>
            </w:r>
            <w:r>
              <w:rPr>
                <w:rFonts w:ascii="宋体" w:hAnsi="宋体" w:cs="宋体" w:eastAsia="宋体" w:hint="default"/>
                <w:spacing w:val="-36"/>
                <w:sz w:val="15"/>
                <w:szCs w:val="15"/>
              </w:rPr>
              <w:t> </w:t>
            </w:r>
            <w:r>
              <w:rPr>
                <w:rFonts w:ascii="宋体" w:hAnsi="宋体" w:cs="宋体" w:eastAsia="宋体" w:hint="default"/>
                <w:spacing w:val="-5"/>
                <w:sz w:val="15"/>
                <w:szCs w:val="15"/>
              </w:rPr>
              <w:t>25%</w:t>
            </w:r>
            <w:r>
              <w:rPr>
                <w:rFonts w:ascii="宋体" w:hAnsi="宋体" w:cs="宋体" w:eastAsia="宋体" w:hint="default"/>
                <w:spacing w:val="-5"/>
                <w:sz w:val="15"/>
                <w:szCs w:val="15"/>
              </w:rPr>
              <w:t>，买卖本公司股</w:t>
            </w:r>
            <w:r>
              <w:rPr>
                <w:rFonts w:ascii="宋体" w:hAnsi="宋体" w:cs="宋体" w:eastAsia="宋体" w:hint="default"/>
                <w:spacing w:val="-68"/>
                <w:sz w:val="15"/>
                <w:szCs w:val="15"/>
              </w:rPr>
              <w:t> </w:t>
            </w:r>
            <w:r>
              <w:rPr>
                <w:rFonts w:ascii="宋体" w:hAnsi="宋体" w:cs="宋体" w:eastAsia="宋体" w:hint="default"/>
                <w:spacing w:val="-68"/>
                <w:sz w:val="15"/>
                <w:szCs w:val="15"/>
              </w:rPr>
            </w:r>
            <w:r>
              <w:rPr>
                <w:rFonts w:ascii="宋体" w:hAnsi="宋体" w:cs="宋体" w:eastAsia="宋体" w:hint="default"/>
                <w:spacing w:val="-2"/>
                <w:w w:val="100"/>
                <w:sz w:val="15"/>
                <w:szCs w:val="15"/>
              </w:rPr>
              <w:t>票交易时间期限不低于</w:t>
            </w:r>
            <w:r>
              <w:rPr>
                <w:rFonts w:ascii="宋体" w:hAnsi="宋体" w:cs="宋体" w:eastAsia="宋体" w:hint="default"/>
                <w:spacing w:val="-57"/>
                <w:w w:val="100"/>
                <w:sz w:val="15"/>
                <w:szCs w:val="15"/>
              </w:rPr>
              <w:t> </w:t>
            </w:r>
            <w:r>
              <w:rPr>
                <w:rFonts w:ascii="宋体" w:hAnsi="宋体" w:cs="宋体" w:eastAsia="宋体" w:hint="default"/>
                <w:w w:val="100"/>
                <w:sz w:val="15"/>
                <w:szCs w:val="15"/>
              </w:rPr>
              <w:t>6</w:t>
            </w:r>
            <w:r>
              <w:rPr>
                <w:rFonts w:ascii="宋体" w:hAnsi="宋体" w:cs="宋体" w:eastAsia="宋体" w:hint="default"/>
                <w:spacing w:val="-56"/>
                <w:w w:val="100"/>
                <w:sz w:val="15"/>
                <w:szCs w:val="15"/>
              </w:rPr>
              <w:t> </w:t>
            </w:r>
            <w:r>
              <w:rPr>
                <w:rFonts w:ascii="宋体" w:hAnsi="宋体" w:cs="宋体" w:eastAsia="宋体" w:hint="default"/>
                <w:spacing w:val="-12"/>
                <w:w w:val="100"/>
                <w:sz w:val="15"/>
                <w:szCs w:val="15"/>
              </w:rPr>
              <w:t>个月；在离职后</w:t>
            </w:r>
            <w:r>
              <w:rPr>
                <w:rFonts w:ascii="宋体" w:hAnsi="宋体" w:cs="宋体" w:eastAsia="宋体" w:hint="default"/>
                <w:spacing w:val="-58"/>
                <w:w w:val="100"/>
                <w:sz w:val="15"/>
                <w:szCs w:val="15"/>
              </w:rPr>
              <w:t> </w:t>
            </w:r>
            <w:r>
              <w:rPr>
                <w:rFonts w:ascii="宋体" w:hAnsi="宋体" w:cs="宋体" w:eastAsia="宋体" w:hint="default"/>
                <w:w w:val="100"/>
                <w:sz w:val="15"/>
                <w:szCs w:val="15"/>
              </w:rPr>
              <w:t>6</w:t>
            </w:r>
            <w:r>
              <w:rPr>
                <w:rFonts w:ascii="宋体" w:hAnsi="宋体" w:cs="宋体" w:eastAsia="宋体" w:hint="default"/>
                <w:spacing w:val="-54"/>
                <w:w w:val="100"/>
                <w:sz w:val="15"/>
                <w:szCs w:val="15"/>
              </w:rPr>
              <w:t> </w:t>
            </w:r>
            <w:r>
              <w:rPr>
                <w:rFonts w:ascii="宋体" w:hAnsi="宋体" w:cs="宋体" w:eastAsia="宋体" w:hint="default"/>
                <w:spacing w:val="-2"/>
                <w:w w:val="100"/>
                <w:sz w:val="15"/>
                <w:szCs w:val="15"/>
              </w:rPr>
              <w:t>个月内，</w:t>
            </w:r>
            <w:r>
              <w:rPr>
                <w:rFonts w:ascii="宋体" w:hAnsi="宋体" w:cs="宋体" w:eastAsia="宋体" w:hint="default"/>
                <w:spacing w:val="-74"/>
                <w:w w:val="100"/>
                <w:sz w:val="15"/>
                <w:szCs w:val="15"/>
              </w:rPr>
              <w:t> </w:t>
            </w:r>
            <w:r>
              <w:rPr>
                <w:rFonts w:ascii="宋体" w:hAnsi="宋体" w:cs="宋体" w:eastAsia="宋体" w:hint="default"/>
                <w:spacing w:val="-74"/>
                <w:w w:val="100"/>
                <w:sz w:val="15"/>
                <w:szCs w:val="15"/>
              </w:rPr>
            </w:r>
            <w:r>
              <w:rPr>
                <w:rFonts w:ascii="宋体" w:hAnsi="宋体" w:cs="宋体" w:eastAsia="宋体" w:hint="default"/>
                <w:spacing w:val="-6"/>
                <w:w w:val="100"/>
                <w:sz w:val="15"/>
                <w:szCs w:val="15"/>
              </w:rPr>
              <w:t>不转让其持有的公司股份；在申报离职</w:t>
            </w:r>
            <w:r>
              <w:rPr>
                <w:rFonts w:ascii="宋体" w:hAnsi="宋体" w:cs="宋体" w:eastAsia="宋体" w:hint="default"/>
                <w:spacing w:val="-37"/>
                <w:w w:val="100"/>
                <w:sz w:val="15"/>
                <w:szCs w:val="15"/>
              </w:rPr>
              <w:t> </w:t>
            </w:r>
            <w:r>
              <w:rPr>
                <w:rFonts w:ascii="宋体" w:hAnsi="宋体" w:cs="宋体" w:eastAsia="宋体" w:hint="default"/>
                <w:w w:val="100"/>
                <w:sz w:val="15"/>
                <w:szCs w:val="15"/>
              </w:rPr>
              <w:t>6</w:t>
            </w:r>
            <w:r>
              <w:rPr>
                <w:rFonts w:ascii="宋体" w:hAnsi="宋体" w:cs="宋体" w:eastAsia="宋体" w:hint="default"/>
                <w:spacing w:val="-34"/>
                <w:w w:val="100"/>
                <w:sz w:val="15"/>
                <w:szCs w:val="15"/>
              </w:rPr>
              <w:t> </w:t>
            </w:r>
            <w:r>
              <w:rPr>
                <w:rFonts w:ascii="宋体" w:hAnsi="宋体" w:cs="宋体" w:eastAsia="宋体" w:hint="default"/>
                <w:spacing w:val="-2"/>
                <w:w w:val="100"/>
                <w:sz w:val="15"/>
                <w:szCs w:val="15"/>
              </w:rPr>
              <w:t>个月后的</w:t>
            </w:r>
          </w:p>
          <w:p>
            <w:pPr>
              <w:pStyle w:val="TableParagraph"/>
              <w:spacing w:line="381" w:lineRule="auto" w:before="27"/>
              <w:ind w:left="103" w:right="135"/>
              <w:jc w:val="left"/>
              <w:rPr>
                <w:rFonts w:ascii="宋体" w:hAnsi="宋体" w:cs="宋体" w:eastAsia="宋体" w:hint="default"/>
                <w:sz w:val="15"/>
                <w:szCs w:val="15"/>
              </w:rPr>
            </w:pPr>
            <w:r>
              <w:rPr>
                <w:rFonts w:ascii="宋体" w:hAnsi="宋体" w:cs="宋体" w:eastAsia="宋体" w:hint="default"/>
                <w:sz w:val="15"/>
                <w:szCs w:val="15"/>
              </w:rPr>
              <w:t>12</w:t>
            </w:r>
            <w:r>
              <w:rPr>
                <w:rFonts w:ascii="宋体" w:hAnsi="宋体" w:cs="宋体" w:eastAsia="宋体" w:hint="default"/>
                <w:spacing w:val="-39"/>
                <w:sz w:val="15"/>
                <w:szCs w:val="15"/>
              </w:rPr>
              <w:t> </w:t>
            </w:r>
            <w:r>
              <w:rPr>
                <w:rFonts w:ascii="宋体" w:hAnsi="宋体" w:cs="宋体" w:eastAsia="宋体" w:hint="default"/>
                <w:sz w:val="15"/>
                <w:szCs w:val="15"/>
              </w:rPr>
              <w:t>个月内，转让的公司股份不超过其持有公司股</w:t>
            </w:r>
            <w:r>
              <w:rPr>
                <w:rFonts w:ascii="宋体" w:hAnsi="宋体" w:cs="宋体" w:eastAsia="宋体" w:hint="default"/>
                <w:w w:val="100"/>
                <w:sz w:val="15"/>
                <w:szCs w:val="15"/>
              </w:rPr>
              <w:t> </w:t>
            </w:r>
            <w:r>
              <w:rPr>
                <w:rFonts w:ascii="宋体" w:hAnsi="宋体" w:cs="宋体" w:eastAsia="宋体" w:hint="default"/>
                <w:sz w:val="15"/>
                <w:szCs w:val="15"/>
              </w:rPr>
              <w:t>份总数的</w:t>
            </w:r>
            <w:r>
              <w:rPr>
                <w:rFonts w:ascii="宋体" w:hAnsi="宋体" w:cs="宋体" w:eastAsia="宋体" w:hint="default"/>
                <w:spacing w:val="-41"/>
                <w:sz w:val="15"/>
                <w:szCs w:val="15"/>
              </w:rPr>
              <w:t> </w:t>
            </w:r>
            <w:r>
              <w:rPr>
                <w:rFonts w:ascii="宋体" w:hAnsi="宋体" w:cs="宋体" w:eastAsia="宋体" w:hint="default"/>
                <w:sz w:val="15"/>
                <w:szCs w:val="15"/>
              </w:rPr>
              <w:t>50%</w:t>
            </w:r>
            <w:r>
              <w:rPr>
                <w:rFonts w:ascii="宋体" w:hAnsi="宋体" w:cs="宋体" w:eastAsia="宋体" w:hint="default"/>
                <w:sz w:val="15"/>
                <w:szCs w:val="15"/>
              </w:rPr>
              <w:t>。</w:t>
            </w:r>
            <w:r>
              <w:rPr>
                <w:rFonts w:ascii="宋体" w:hAnsi="宋体" w:cs="宋体" w:eastAsia="宋体" w:hint="default"/>
                <w:sz w:val="15"/>
                <w:szCs w:val="15"/>
              </w:rPr>
              <w:t> </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73" w:right="0"/>
              <w:jc w:val="center"/>
              <w:rPr>
                <w:rFonts w:ascii="宋体" w:hAnsi="宋体" w:cs="宋体" w:eastAsia="宋体" w:hint="default"/>
                <w:sz w:val="15"/>
                <w:szCs w:val="15"/>
              </w:rPr>
            </w:pPr>
            <w:r>
              <w:rPr>
                <w:rFonts w:ascii="宋体" w:hAnsi="宋体" w:cs="宋体" w:eastAsia="宋体" w:hint="default"/>
                <w:sz w:val="15"/>
                <w:szCs w:val="15"/>
              </w:rPr>
              <w:t>长期</w:t>
            </w:r>
            <w:r>
              <w:rPr>
                <w:rFonts w:ascii="宋体" w:hAnsi="宋体" w:cs="宋体" w:eastAsia="宋体" w:hint="default"/>
                <w:sz w:val="15"/>
                <w:szCs w:val="15"/>
              </w:rPr>
              <w:t> </w:t>
            </w:r>
          </w:p>
        </w:tc>
        <w:tc>
          <w:tcPr>
            <w:tcW w:w="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49"/>
              <w:jc w:val="right"/>
              <w:rPr>
                <w:rFonts w:ascii="宋体" w:hAnsi="宋体" w:cs="宋体" w:eastAsia="宋体" w:hint="default"/>
                <w:sz w:val="15"/>
                <w:szCs w:val="15"/>
              </w:rPr>
            </w:pPr>
            <w:r>
              <w:rPr>
                <w:rFonts w:ascii="宋体" w:hAnsi="宋体" w:cs="宋体" w:eastAsia="宋体" w:hint="default"/>
                <w:sz w:val="15"/>
                <w:szCs w:val="15"/>
              </w:rPr>
              <w:t>否</w:t>
            </w:r>
            <w:r>
              <w:rPr>
                <w:rFonts w:ascii="宋体" w:hAnsi="宋体" w:cs="宋体" w:eastAsia="宋体" w:hint="default"/>
                <w:sz w:val="15"/>
                <w:szCs w:val="15"/>
              </w:rPr>
              <w:t> </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73" w:right="0"/>
              <w:jc w:val="center"/>
              <w:rPr>
                <w:rFonts w:ascii="宋体" w:hAnsi="宋体" w:cs="宋体" w:eastAsia="宋体" w:hint="default"/>
                <w:sz w:val="15"/>
                <w:szCs w:val="15"/>
              </w:rPr>
            </w:pPr>
            <w:r>
              <w:rPr>
                <w:rFonts w:ascii="宋体" w:hAnsi="宋体" w:cs="宋体" w:eastAsia="宋体" w:hint="default"/>
                <w:sz w:val="15"/>
                <w:szCs w:val="15"/>
              </w:rPr>
              <w:t>是</w:t>
            </w:r>
            <w:r>
              <w:rPr>
                <w:rFonts w:ascii="宋体" w:hAnsi="宋体" w:cs="宋体" w:eastAsia="宋体" w:hint="default"/>
                <w:sz w:val="15"/>
                <w:szCs w:val="15"/>
              </w:rPr>
              <w:t> </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389"/>
              <w:jc w:val="right"/>
              <w:rPr>
                <w:rFonts w:ascii="宋体" w:hAnsi="宋体" w:cs="宋体" w:eastAsia="宋体" w:hint="default"/>
                <w:sz w:val="15"/>
                <w:szCs w:val="15"/>
              </w:rPr>
            </w:pPr>
            <w:r>
              <w:rPr>
                <w:rFonts w:ascii="宋体"/>
                <w:w w:val="100"/>
                <w:sz w:val="15"/>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73" w:right="0"/>
              <w:jc w:val="center"/>
              <w:rPr>
                <w:rFonts w:ascii="宋体" w:hAnsi="宋体" w:cs="宋体" w:eastAsia="宋体" w:hint="default"/>
                <w:sz w:val="15"/>
                <w:szCs w:val="15"/>
              </w:rPr>
            </w:pPr>
            <w:r>
              <w:rPr>
                <w:rFonts w:ascii="宋体"/>
                <w:w w:val="100"/>
                <w:sz w:val="15"/>
              </w:rPr>
              <w:t> </w:t>
            </w:r>
          </w:p>
        </w:tc>
      </w:tr>
      <w:tr>
        <w:trPr>
          <w:trHeight w:val="3757" w:hRule="exact"/>
        </w:trPr>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2"/>
                <w:szCs w:val="12"/>
              </w:rPr>
            </w:pPr>
          </w:p>
          <w:p>
            <w:pPr>
              <w:pStyle w:val="TableParagraph"/>
              <w:spacing w:line="381" w:lineRule="auto"/>
              <w:ind w:left="115" w:right="111"/>
              <w:jc w:val="center"/>
              <w:rPr>
                <w:rFonts w:ascii="宋体" w:hAnsi="宋体" w:cs="宋体" w:eastAsia="宋体" w:hint="default"/>
                <w:sz w:val="15"/>
                <w:szCs w:val="15"/>
              </w:rPr>
            </w:pPr>
            <w:r>
              <w:rPr>
                <w:rFonts w:ascii="宋体" w:hAnsi="宋体" w:cs="宋体" w:eastAsia="宋体" w:hint="default"/>
                <w:sz w:val="15"/>
                <w:szCs w:val="15"/>
              </w:rPr>
              <w:t>与首次公开</w:t>
            </w:r>
            <w:r>
              <w:rPr>
                <w:rFonts w:ascii="宋体" w:hAnsi="宋体" w:cs="宋体" w:eastAsia="宋体" w:hint="default"/>
                <w:w w:val="100"/>
                <w:sz w:val="15"/>
                <w:szCs w:val="15"/>
              </w:rPr>
              <w:t> </w:t>
            </w:r>
            <w:r>
              <w:rPr>
                <w:rFonts w:ascii="宋体" w:hAnsi="宋体" w:cs="宋体" w:eastAsia="宋体" w:hint="default"/>
                <w:sz w:val="15"/>
                <w:szCs w:val="15"/>
              </w:rPr>
              <w:t>发行相关的</w:t>
            </w:r>
            <w:r>
              <w:rPr>
                <w:rFonts w:ascii="宋体" w:hAnsi="宋体" w:cs="宋体" w:eastAsia="宋体" w:hint="default"/>
                <w:w w:val="100"/>
                <w:sz w:val="15"/>
                <w:szCs w:val="15"/>
              </w:rPr>
              <w:t> </w:t>
            </w:r>
            <w:r>
              <w:rPr>
                <w:rFonts w:ascii="宋体" w:hAnsi="宋体" w:cs="宋体" w:eastAsia="宋体" w:hint="default"/>
                <w:sz w:val="15"/>
                <w:szCs w:val="15"/>
              </w:rPr>
              <w:t>承诺</w:t>
            </w:r>
            <w:r>
              <w:rPr>
                <w:rFonts w:ascii="宋体" w:hAnsi="宋体" w:cs="宋体" w:eastAsia="宋体" w:hint="default"/>
                <w:sz w:val="15"/>
                <w:szCs w:val="15"/>
              </w:rPr>
              <w:t>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2"/>
                <w:szCs w:val="12"/>
              </w:rPr>
            </w:pPr>
          </w:p>
          <w:p>
            <w:pPr>
              <w:pStyle w:val="TableParagraph"/>
              <w:spacing w:line="381" w:lineRule="auto"/>
              <w:ind w:left="129" w:right="51"/>
              <w:jc w:val="both"/>
              <w:rPr>
                <w:rFonts w:ascii="宋体" w:hAnsi="宋体" w:cs="宋体" w:eastAsia="宋体" w:hint="default"/>
                <w:sz w:val="15"/>
                <w:szCs w:val="15"/>
              </w:rPr>
            </w:pPr>
            <w:r>
              <w:rPr>
                <w:rFonts w:ascii="宋体" w:hAnsi="宋体" w:cs="宋体" w:eastAsia="宋体" w:hint="default"/>
                <w:sz w:val="15"/>
                <w:szCs w:val="15"/>
              </w:rPr>
              <w:t>解决</w:t>
            </w:r>
            <w:r>
              <w:rPr>
                <w:rFonts w:ascii="宋体" w:hAnsi="宋体" w:cs="宋体" w:eastAsia="宋体" w:hint="default"/>
                <w:spacing w:val="-73"/>
                <w:sz w:val="15"/>
                <w:szCs w:val="15"/>
              </w:rPr>
              <w:t> </w:t>
            </w:r>
            <w:r>
              <w:rPr>
                <w:rFonts w:ascii="宋体" w:hAnsi="宋体" w:cs="宋体" w:eastAsia="宋体" w:hint="default"/>
                <w:sz w:val="15"/>
                <w:szCs w:val="15"/>
              </w:rPr>
              <w:t>同业</w:t>
            </w:r>
            <w:r>
              <w:rPr>
                <w:rFonts w:ascii="宋体" w:hAnsi="宋体" w:cs="宋体" w:eastAsia="宋体" w:hint="default"/>
                <w:spacing w:val="-73"/>
                <w:sz w:val="15"/>
                <w:szCs w:val="15"/>
              </w:rPr>
              <w:t> </w:t>
            </w:r>
            <w:r>
              <w:rPr>
                <w:rFonts w:ascii="宋体" w:hAnsi="宋体" w:cs="宋体" w:eastAsia="宋体" w:hint="default"/>
                <w:sz w:val="15"/>
                <w:szCs w:val="15"/>
              </w:rPr>
              <w:t>竞争</w:t>
            </w:r>
            <w:r>
              <w:rPr>
                <w:rFonts w:ascii="宋体" w:hAnsi="宋体" w:cs="宋体" w:eastAsia="宋体" w:hint="default"/>
                <w:sz w:val="15"/>
                <w:szCs w:val="15"/>
              </w:rPr>
              <w:t> </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0"/>
                <w:szCs w:val="10"/>
              </w:rPr>
            </w:pPr>
          </w:p>
          <w:p>
            <w:pPr>
              <w:pStyle w:val="TableParagraph"/>
              <w:spacing w:line="381" w:lineRule="auto"/>
              <w:ind w:left="621" w:right="98" w:hanging="519"/>
              <w:jc w:val="left"/>
              <w:rPr>
                <w:rFonts w:ascii="宋体" w:hAnsi="宋体" w:cs="宋体" w:eastAsia="宋体" w:hint="default"/>
                <w:sz w:val="15"/>
                <w:szCs w:val="15"/>
              </w:rPr>
            </w:pPr>
            <w:r>
              <w:rPr>
                <w:rFonts w:ascii="宋体" w:hAnsi="宋体" w:cs="宋体" w:eastAsia="宋体" w:hint="default"/>
                <w:spacing w:val="-3"/>
                <w:sz w:val="15"/>
                <w:szCs w:val="15"/>
              </w:rPr>
              <w:t>华虹电子、华强投</w:t>
            </w:r>
            <w:r>
              <w:rPr>
                <w:rFonts w:ascii="宋体" w:hAnsi="宋体" w:cs="宋体" w:eastAsia="宋体" w:hint="default"/>
                <w:spacing w:val="-60"/>
                <w:sz w:val="15"/>
                <w:szCs w:val="15"/>
              </w:rPr>
              <w:t> </w:t>
            </w:r>
            <w:r>
              <w:rPr>
                <w:rFonts w:ascii="宋体" w:hAnsi="宋体" w:cs="宋体" w:eastAsia="宋体" w:hint="default"/>
                <w:spacing w:val="-60"/>
                <w:sz w:val="15"/>
                <w:szCs w:val="15"/>
              </w:rPr>
            </w:r>
            <w:r>
              <w:rPr>
                <w:rFonts w:ascii="宋体" w:hAnsi="宋体" w:cs="宋体" w:eastAsia="宋体" w:hint="default"/>
                <w:sz w:val="15"/>
                <w:szCs w:val="15"/>
              </w:rPr>
              <w:t>资</w:t>
            </w:r>
            <w:r>
              <w:rPr>
                <w:rFonts w:ascii="宋体" w:hAnsi="宋体" w:cs="宋体" w:eastAsia="宋体" w:hint="default"/>
                <w:sz w:val="15"/>
                <w:szCs w:val="15"/>
              </w:rPr>
              <w:t> </w:t>
            </w:r>
          </w:p>
        </w:tc>
        <w:tc>
          <w:tcPr>
            <w:tcW w:w="3443"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36"/>
              <w:ind w:left="103" w:right="99"/>
              <w:jc w:val="left"/>
              <w:rPr>
                <w:rFonts w:ascii="宋体" w:hAnsi="宋体" w:cs="宋体" w:eastAsia="宋体" w:hint="default"/>
                <w:sz w:val="15"/>
                <w:szCs w:val="15"/>
              </w:rPr>
            </w:pPr>
            <w:r>
              <w:rPr>
                <w:rFonts w:ascii="宋体" w:hAnsi="宋体" w:cs="宋体" w:eastAsia="宋体" w:hint="default"/>
                <w:spacing w:val="-5"/>
                <w:sz w:val="15"/>
                <w:szCs w:val="15"/>
              </w:rPr>
              <w:t>为避免同业竞争，向公司出具了《避免同业竞争承</w:t>
            </w:r>
            <w:r>
              <w:rPr>
                <w:rFonts w:ascii="宋体" w:hAnsi="宋体" w:cs="宋体" w:eastAsia="宋体" w:hint="default"/>
                <w:spacing w:val="-44"/>
                <w:sz w:val="15"/>
                <w:szCs w:val="15"/>
              </w:rPr>
              <w:t> </w:t>
            </w:r>
            <w:r>
              <w:rPr>
                <w:rFonts w:ascii="宋体" w:hAnsi="宋体" w:cs="宋体" w:eastAsia="宋体" w:hint="default"/>
                <w:spacing w:val="-44"/>
                <w:sz w:val="15"/>
                <w:szCs w:val="15"/>
              </w:rPr>
            </w:r>
            <w:r>
              <w:rPr>
                <w:rFonts w:ascii="宋体" w:hAnsi="宋体" w:cs="宋体" w:eastAsia="宋体" w:hint="default"/>
                <w:spacing w:val="-5"/>
                <w:sz w:val="15"/>
                <w:szCs w:val="15"/>
              </w:rPr>
              <w:t>诺函》，主要内容为：“本公司将来不以任何方式</w:t>
            </w:r>
          </w:p>
          <w:p>
            <w:pPr>
              <w:pStyle w:val="TableParagraph"/>
              <w:spacing w:line="381" w:lineRule="auto" w:before="28"/>
              <w:ind w:left="103" w:right="25"/>
              <w:jc w:val="left"/>
              <w:rPr>
                <w:rFonts w:ascii="宋体" w:hAnsi="宋体" w:cs="宋体" w:eastAsia="宋体" w:hint="default"/>
                <w:sz w:val="15"/>
                <w:szCs w:val="15"/>
              </w:rPr>
            </w:pPr>
            <w:r>
              <w:rPr>
                <w:rFonts w:ascii="宋体" w:hAnsi="宋体" w:cs="宋体" w:eastAsia="宋体" w:hint="default"/>
                <w:spacing w:val="-5"/>
                <w:w w:val="100"/>
                <w:sz w:val="15"/>
                <w:szCs w:val="15"/>
              </w:rPr>
              <w:t>（包括但不限于其单独经营、通过合资经营或拥有</w:t>
            </w:r>
            <w:r>
              <w:rPr>
                <w:rFonts w:ascii="宋体" w:hAnsi="宋体" w:cs="宋体" w:eastAsia="宋体" w:hint="default"/>
                <w:spacing w:val="-71"/>
                <w:w w:val="100"/>
                <w:sz w:val="15"/>
                <w:szCs w:val="15"/>
              </w:rPr>
              <w:t> </w:t>
            </w:r>
            <w:r>
              <w:rPr>
                <w:rFonts w:ascii="宋体" w:hAnsi="宋体" w:cs="宋体" w:eastAsia="宋体" w:hint="default"/>
                <w:spacing w:val="-71"/>
                <w:w w:val="100"/>
                <w:sz w:val="15"/>
                <w:szCs w:val="15"/>
              </w:rPr>
            </w:r>
            <w:r>
              <w:rPr>
                <w:rFonts w:ascii="宋体" w:hAnsi="宋体" w:cs="宋体" w:eastAsia="宋体" w:hint="default"/>
                <w:spacing w:val="-5"/>
                <w:w w:val="100"/>
                <w:sz w:val="15"/>
                <w:szCs w:val="15"/>
              </w:rPr>
              <w:t>另一公司或企业的股份及其他权益）直接或间接地</w:t>
            </w:r>
            <w:r>
              <w:rPr>
                <w:rFonts w:ascii="宋体" w:hAnsi="宋体" w:cs="宋体" w:eastAsia="宋体" w:hint="default"/>
                <w:spacing w:val="-70"/>
                <w:w w:val="100"/>
                <w:sz w:val="15"/>
                <w:szCs w:val="15"/>
              </w:rPr>
              <w:t> </w:t>
            </w:r>
            <w:r>
              <w:rPr>
                <w:rFonts w:ascii="宋体" w:hAnsi="宋体" w:cs="宋体" w:eastAsia="宋体" w:hint="default"/>
                <w:spacing w:val="-70"/>
                <w:w w:val="100"/>
                <w:sz w:val="15"/>
                <w:szCs w:val="15"/>
              </w:rPr>
            </w:r>
            <w:r>
              <w:rPr>
                <w:rFonts w:ascii="宋体" w:hAnsi="宋体" w:cs="宋体" w:eastAsia="宋体" w:hint="default"/>
                <w:spacing w:val="-5"/>
                <w:w w:val="100"/>
                <w:sz w:val="15"/>
                <w:szCs w:val="15"/>
              </w:rPr>
              <w:t>从事与江苏林洋能源股份有限公司（以下简称“发</w:t>
            </w:r>
            <w:r>
              <w:rPr>
                <w:rFonts w:ascii="宋体" w:hAnsi="宋体" w:cs="宋体" w:eastAsia="宋体" w:hint="default"/>
                <w:spacing w:val="-69"/>
                <w:w w:val="100"/>
                <w:sz w:val="15"/>
                <w:szCs w:val="15"/>
              </w:rPr>
              <w:t> </w:t>
            </w:r>
            <w:r>
              <w:rPr>
                <w:rFonts w:ascii="宋体" w:hAnsi="宋体" w:cs="宋体" w:eastAsia="宋体" w:hint="default"/>
                <w:spacing w:val="-69"/>
                <w:w w:val="100"/>
                <w:sz w:val="15"/>
                <w:szCs w:val="15"/>
              </w:rPr>
            </w:r>
            <w:r>
              <w:rPr>
                <w:rFonts w:ascii="宋体" w:hAnsi="宋体" w:cs="宋体" w:eastAsia="宋体" w:hint="default"/>
                <w:spacing w:val="-5"/>
                <w:sz w:val="15"/>
                <w:szCs w:val="15"/>
              </w:rPr>
              <w:t>行人”）主营业务构成或可能构成竞争的业务，不</w:t>
            </w:r>
            <w:r>
              <w:rPr>
                <w:rFonts w:ascii="宋体" w:hAnsi="宋体" w:cs="宋体" w:eastAsia="宋体" w:hint="default"/>
                <w:spacing w:val="-46"/>
                <w:sz w:val="15"/>
                <w:szCs w:val="15"/>
              </w:rPr>
              <w:t> </w:t>
            </w:r>
            <w:r>
              <w:rPr>
                <w:rFonts w:ascii="宋体" w:hAnsi="宋体" w:cs="宋体" w:eastAsia="宋体" w:hint="default"/>
                <w:spacing w:val="-46"/>
                <w:sz w:val="15"/>
                <w:szCs w:val="15"/>
              </w:rPr>
            </w:r>
            <w:r>
              <w:rPr>
                <w:rFonts w:ascii="宋体" w:hAnsi="宋体" w:cs="宋体" w:eastAsia="宋体" w:hint="default"/>
                <w:spacing w:val="-2"/>
                <w:sz w:val="15"/>
                <w:szCs w:val="15"/>
              </w:rPr>
              <w:t>制定与发行人可能发生同业竞争的经营发展规划，</w:t>
            </w:r>
            <w:r>
              <w:rPr>
                <w:rFonts w:ascii="宋体" w:hAnsi="宋体" w:cs="宋体" w:eastAsia="宋体" w:hint="default"/>
                <w:spacing w:val="-35"/>
                <w:sz w:val="15"/>
                <w:szCs w:val="15"/>
              </w:rPr>
              <w:t> </w:t>
            </w:r>
            <w:r>
              <w:rPr>
                <w:rFonts w:ascii="宋体" w:hAnsi="宋体" w:cs="宋体" w:eastAsia="宋体" w:hint="default"/>
                <w:spacing w:val="-35"/>
                <w:sz w:val="15"/>
                <w:szCs w:val="15"/>
              </w:rPr>
            </w:r>
            <w:r>
              <w:rPr>
                <w:rFonts w:ascii="宋体" w:hAnsi="宋体" w:cs="宋体" w:eastAsia="宋体" w:hint="default"/>
                <w:spacing w:val="-5"/>
                <w:w w:val="100"/>
                <w:sz w:val="15"/>
                <w:szCs w:val="15"/>
              </w:rPr>
              <w:t>不利用股东地位，做出损害发行人及全体股东利益</w:t>
            </w:r>
            <w:r>
              <w:rPr>
                <w:rFonts w:ascii="宋体" w:hAnsi="宋体" w:cs="宋体" w:eastAsia="宋体" w:hint="default"/>
                <w:spacing w:val="-70"/>
                <w:w w:val="100"/>
                <w:sz w:val="15"/>
                <w:szCs w:val="15"/>
              </w:rPr>
              <w:t> </w:t>
            </w:r>
            <w:r>
              <w:rPr>
                <w:rFonts w:ascii="宋体" w:hAnsi="宋体" w:cs="宋体" w:eastAsia="宋体" w:hint="default"/>
                <w:spacing w:val="-70"/>
                <w:w w:val="100"/>
                <w:sz w:val="15"/>
                <w:szCs w:val="15"/>
              </w:rPr>
            </w:r>
            <w:r>
              <w:rPr>
                <w:rFonts w:ascii="宋体" w:hAnsi="宋体" w:cs="宋体" w:eastAsia="宋体" w:hint="default"/>
                <w:spacing w:val="-5"/>
                <w:sz w:val="15"/>
                <w:szCs w:val="15"/>
              </w:rPr>
              <w:t>的行为，保障发行人资产、业务、人员、财务、机</w:t>
            </w:r>
            <w:r>
              <w:rPr>
                <w:rFonts w:ascii="宋体" w:hAnsi="宋体" w:cs="宋体" w:eastAsia="宋体" w:hint="default"/>
                <w:spacing w:val="-43"/>
                <w:sz w:val="15"/>
                <w:szCs w:val="15"/>
              </w:rPr>
              <w:t> </w:t>
            </w:r>
            <w:r>
              <w:rPr>
                <w:rFonts w:ascii="宋体" w:hAnsi="宋体" w:cs="宋体" w:eastAsia="宋体" w:hint="default"/>
                <w:spacing w:val="-43"/>
                <w:sz w:val="15"/>
                <w:szCs w:val="15"/>
              </w:rPr>
            </w:r>
            <w:r>
              <w:rPr>
                <w:rFonts w:ascii="宋体" w:hAnsi="宋体" w:cs="宋体" w:eastAsia="宋体" w:hint="default"/>
                <w:spacing w:val="-5"/>
                <w:sz w:val="15"/>
                <w:szCs w:val="15"/>
              </w:rPr>
              <w:t>构方面的独立性，充分尊重发行人独立经营、自主</w:t>
            </w:r>
            <w:r>
              <w:rPr>
                <w:rFonts w:ascii="宋体" w:hAnsi="宋体" w:cs="宋体" w:eastAsia="宋体" w:hint="default"/>
                <w:spacing w:val="-47"/>
                <w:sz w:val="15"/>
                <w:szCs w:val="15"/>
              </w:rPr>
              <w:t> </w:t>
            </w:r>
            <w:r>
              <w:rPr>
                <w:rFonts w:ascii="宋体" w:hAnsi="宋体" w:cs="宋体" w:eastAsia="宋体" w:hint="default"/>
                <w:spacing w:val="-47"/>
                <w:sz w:val="15"/>
                <w:szCs w:val="15"/>
              </w:rPr>
            </w:r>
            <w:r>
              <w:rPr>
                <w:rFonts w:ascii="宋体" w:hAnsi="宋体" w:cs="宋体" w:eastAsia="宋体" w:hint="default"/>
                <w:spacing w:val="-5"/>
                <w:sz w:val="15"/>
                <w:szCs w:val="15"/>
              </w:rPr>
              <w:t>决策的权利，严格遵守《公司法》和发行人《公司</w:t>
            </w:r>
            <w:r>
              <w:rPr>
                <w:rFonts w:ascii="宋体" w:hAnsi="宋体" w:cs="宋体" w:eastAsia="宋体" w:hint="default"/>
                <w:spacing w:val="-45"/>
                <w:sz w:val="15"/>
                <w:szCs w:val="15"/>
              </w:rPr>
              <w:t> </w:t>
            </w:r>
            <w:r>
              <w:rPr>
                <w:rFonts w:ascii="宋体" w:hAnsi="宋体" w:cs="宋体" w:eastAsia="宋体" w:hint="default"/>
                <w:spacing w:val="-45"/>
                <w:sz w:val="15"/>
                <w:szCs w:val="15"/>
              </w:rPr>
            </w:r>
            <w:r>
              <w:rPr>
                <w:rFonts w:ascii="宋体" w:hAnsi="宋体" w:cs="宋体" w:eastAsia="宋体" w:hint="default"/>
                <w:sz w:val="15"/>
                <w:szCs w:val="15"/>
              </w:rPr>
              <w:t>章程》的规定，履行应尽的诚信、勤勉责任。”</w:t>
            </w:r>
            <w:r>
              <w:rPr>
                <w:rFonts w:ascii="宋体" w:hAnsi="宋体" w:cs="宋体" w:eastAsia="宋体" w:hint="default"/>
                <w:sz w:val="15"/>
                <w:szCs w:val="15"/>
              </w:rPr>
              <w:t> </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3"/>
              <w:ind w:left="73" w:right="0"/>
              <w:jc w:val="center"/>
              <w:rPr>
                <w:rFonts w:ascii="宋体" w:hAnsi="宋体" w:cs="宋体" w:eastAsia="宋体" w:hint="default"/>
                <w:sz w:val="15"/>
                <w:szCs w:val="15"/>
              </w:rPr>
            </w:pPr>
            <w:r>
              <w:rPr>
                <w:rFonts w:ascii="宋体" w:hAnsi="宋体" w:cs="宋体" w:eastAsia="宋体" w:hint="default"/>
                <w:sz w:val="15"/>
                <w:szCs w:val="15"/>
              </w:rPr>
              <w:t>长期</w:t>
            </w:r>
            <w:r>
              <w:rPr>
                <w:rFonts w:ascii="宋体" w:hAnsi="宋体" w:cs="宋体" w:eastAsia="宋体" w:hint="default"/>
                <w:sz w:val="15"/>
                <w:szCs w:val="15"/>
              </w:rPr>
              <w:t> </w:t>
            </w:r>
          </w:p>
        </w:tc>
        <w:tc>
          <w:tcPr>
            <w:tcW w:w="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3"/>
              <w:ind w:right="149"/>
              <w:jc w:val="right"/>
              <w:rPr>
                <w:rFonts w:ascii="宋体" w:hAnsi="宋体" w:cs="宋体" w:eastAsia="宋体" w:hint="default"/>
                <w:sz w:val="15"/>
                <w:szCs w:val="15"/>
              </w:rPr>
            </w:pPr>
            <w:r>
              <w:rPr>
                <w:rFonts w:ascii="宋体" w:hAnsi="宋体" w:cs="宋体" w:eastAsia="宋体" w:hint="default"/>
                <w:sz w:val="15"/>
                <w:szCs w:val="15"/>
              </w:rPr>
              <w:t>否</w:t>
            </w:r>
            <w:r>
              <w:rPr>
                <w:rFonts w:ascii="宋体" w:hAnsi="宋体" w:cs="宋体" w:eastAsia="宋体" w:hint="default"/>
                <w:sz w:val="15"/>
                <w:szCs w:val="15"/>
              </w:rPr>
              <w:t> </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3"/>
              <w:ind w:left="73" w:right="0"/>
              <w:jc w:val="center"/>
              <w:rPr>
                <w:rFonts w:ascii="宋体" w:hAnsi="宋体" w:cs="宋体" w:eastAsia="宋体" w:hint="default"/>
                <w:sz w:val="15"/>
                <w:szCs w:val="15"/>
              </w:rPr>
            </w:pPr>
            <w:r>
              <w:rPr>
                <w:rFonts w:ascii="宋体" w:hAnsi="宋体" w:cs="宋体" w:eastAsia="宋体" w:hint="default"/>
                <w:sz w:val="15"/>
                <w:szCs w:val="15"/>
              </w:rPr>
              <w:t>是</w:t>
            </w:r>
            <w:r>
              <w:rPr>
                <w:rFonts w:ascii="宋体" w:hAnsi="宋体" w:cs="宋体" w:eastAsia="宋体" w:hint="default"/>
                <w:sz w:val="15"/>
                <w:szCs w:val="15"/>
              </w:rPr>
              <w:t> </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3"/>
              <w:ind w:right="389"/>
              <w:jc w:val="right"/>
              <w:rPr>
                <w:rFonts w:ascii="宋体" w:hAnsi="宋体" w:cs="宋体" w:eastAsia="宋体" w:hint="default"/>
                <w:sz w:val="15"/>
                <w:szCs w:val="15"/>
              </w:rPr>
            </w:pPr>
            <w:r>
              <w:rPr>
                <w:rFonts w:ascii="宋体"/>
                <w:w w:val="100"/>
                <w:sz w:val="15"/>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3"/>
              <w:ind w:left="73" w:right="0"/>
              <w:jc w:val="center"/>
              <w:rPr>
                <w:rFonts w:ascii="宋体" w:hAnsi="宋体" w:cs="宋体" w:eastAsia="宋体" w:hint="default"/>
                <w:sz w:val="15"/>
                <w:szCs w:val="15"/>
              </w:rPr>
            </w:pPr>
            <w:r>
              <w:rPr>
                <w:rFonts w:ascii="宋体"/>
                <w:w w:val="100"/>
                <w:sz w:val="15"/>
              </w:rPr>
              <w:t> </w:t>
            </w:r>
          </w:p>
        </w:tc>
      </w:tr>
    </w:tbl>
    <w:p>
      <w:pPr>
        <w:spacing w:after="0" w:line="240" w:lineRule="auto"/>
        <w:jc w:val="center"/>
        <w:rPr>
          <w:rFonts w:ascii="宋体" w:hAnsi="宋体" w:cs="宋体" w:eastAsia="宋体" w:hint="default"/>
          <w:sz w:val="15"/>
          <w:szCs w:val="15"/>
        </w:rPr>
        <w:sectPr>
          <w:type w:val="continuous"/>
          <w:pgSz w:w="11910" w:h="16840"/>
          <w:pgMar w:top="1580" w:bottom="280" w:left="400" w:right="200"/>
        </w:sectPr>
      </w:pPr>
    </w:p>
    <w:p>
      <w:pPr>
        <w:spacing w:line="240" w:lineRule="auto" w:before="5"/>
        <w:rPr>
          <w:rFonts w:ascii="宋体" w:hAnsi="宋体" w:cs="宋体" w:eastAsia="宋体" w:hint="default"/>
          <w:sz w:val="29"/>
          <w:szCs w:val="29"/>
        </w:rPr>
      </w:pPr>
    </w:p>
    <w:tbl>
      <w:tblPr>
        <w:tblW w:w="0" w:type="auto"/>
        <w:jc w:val="left"/>
        <w:tblInd w:w="116" w:type="dxa"/>
        <w:tblLayout w:type="fixed"/>
        <w:tblCellMar>
          <w:top w:w="0" w:type="dxa"/>
          <w:left w:w="0" w:type="dxa"/>
          <w:bottom w:w="0" w:type="dxa"/>
          <w:right w:w="0" w:type="dxa"/>
        </w:tblCellMar>
        <w:tblLook w:val="01E0"/>
      </w:tblPr>
      <w:tblGrid>
        <w:gridCol w:w="992"/>
        <w:gridCol w:w="569"/>
        <w:gridCol w:w="1406"/>
        <w:gridCol w:w="3443"/>
        <w:gridCol w:w="1790"/>
        <w:gridCol w:w="610"/>
        <w:gridCol w:w="605"/>
        <w:gridCol w:w="938"/>
        <w:gridCol w:w="708"/>
      </w:tblGrid>
      <w:tr>
        <w:trPr>
          <w:trHeight w:val="4069" w:hRule="exact"/>
        </w:trPr>
        <w:tc>
          <w:tcPr>
            <w:tcW w:w="992"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3"/>
              <w:ind w:right="0"/>
              <w:jc w:val="left"/>
              <w:rPr>
                <w:rFonts w:ascii="宋体" w:hAnsi="宋体" w:cs="宋体" w:eastAsia="宋体" w:hint="default"/>
                <w:sz w:val="9"/>
                <w:szCs w:val="9"/>
              </w:rPr>
            </w:pPr>
          </w:p>
          <w:p>
            <w:pPr>
              <w:pStyle w:val="TableParagraph"/>
              <w:spacing w:line="381" w:lineRule="auto"/>
              <w:ind w:left="129" w:right="51"/>
              <w:jc w:val="both"/>
              <w:rPr>
                <w:rFonts w:ascii="宋体" w:hAnsi="宋体" w:cs="宋体" w:eastAsia="宋体" w:hint="default"/>
                <w:sz w:val="15"/>
                <w:szCs w:val="15"/>
              </w:rPr>
            </w:pPr>
            <w:r>
              <w:rPr>
                <w:rFonts w:ascii="宋体" w:hAnsi="宋体" w:cs="宋体" w:eastAsia="宋体" w:hint="default"/>
                <w:sz w:val="15"/>
                <w:szCs w:val="15"/>
              </w:rPr>
              <w:t>解决</w:t>
            </w:r>
            <w:r>
              <w:rPr>
                <w:rFonts w:ascii="宋体" w:hAnsi="宋体" w:cs="宋体" w:eastAsia="宋体" w:hint="default"/>
                <w:spacing w:val="-73"/>
                <w:sz w:val="15"/>
                <w:szCs w:val="15"/>
              </w:rPr>
              <w:t> </w:t>
            </w:r>
            <w:r>
              <w:rPr>
                <w:rFonts w:ascii="宋体" w:hAnsi="宋体" w:cs="宋体" w:eastAsia="宋体" w:hint="default"/>
                <w:sz w:val="15"/>
                <w:szCs w:val="15"/>
              </w:rPr>
              <w:t>同业</w:t>
            </w:r>
            <w:r>
              <w:rPr>
                <w:rFonts w:ascii="宋体" w:hAnsi="宋体" w:cs="宋体" w:eastAsia="宋体" w:hint="default"/>
                <w:spacing w:val="-73"/>
                <w:sz w:val="15"/>
                <w:szCs w:val="15"/>
              </w:rPr>
              <w:t> </w:t>
            </w:r>
            <w:r>
              <w:rPr>
                <w:rFonts w:ascii="宋体" w:hAnsi="宋体" w:cs="宋体" w:eastAsia="宋体" w:hint="default"/>
                <w:sz w:val="15"/>
                <w:szCs w:val="15"/>
              </w:rPr>
              <w:t>竞争</w:t>
            </w:r>
            <w:r>
              <w:rPr>
                <w:rFonts w:ascii="宋体" w:hAnsi="宋体" w:cs="宋体" w:eastAsia="宋体" w:hint="default"/>
                <w:color w:val="FFC000"/>
                <w:sz w:val="15"/>
                <w:szCs w:val="15"/>
              </w:rPr>
              <w:t> </w:t>
            </w:r>
            <w:r>
              <w:rPr>
                <w:rFonts w:ascii="宋体" w:hAnsi="宋体" w:cs="宋体" w:eastAsia="宋体" w:hint="default"/>
                <w:sz w:val="15"/>
                <w:szCs w:val="15"/>
              </w:rPr>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left="472" w:right="0"/>
              <w:jc w:val="left"/>
              <w:rPr>
                <w:rFonts w:ascii="宋体" w:hAnsi="宋体" w:cs="宋体" w:eastAsia="宋体" w:hint="default"/>
                <w:sz w:val="15"/>
                <w:szCs w:val="15"/>
              </w:rPr>
            </w:pPr>
            <w:r>
              <w:rPr>
                <w:rFonts w:ascii="宋体" w:hAnsi="宋体" w:cs="宋体" w:eastAsia="宋体" w:hint="default"/>
                <w:sz w:val="15"/>
                <w:szCs w:val="15"/>
              </w:rPr>
              <w:t>陆永华</w:t>
            </w:r>
            <w:r>
              <w:rPr>
                <w:rFonts w:ascii="宋体" w:hAnsi="宋体" w:cs="宋体" w:eastAsia="宋体" w:hint="default"/>
                <w:sz w:val="15"/>
                <w:szCs w:val="15"/>
              </w:rPr>
              <w:t> </w:t>
            </w:r>
          </w:p>
        </w:tc>
        <w:tc>
          <w:tcPr>
            <w:tcW w:w="3443"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36"/>
              <w:ind w:left="103" w:right="25"/>
              <w:jc w:val="left"/>
              <w:rPr>
                <w:rFonts w:ascii="宋体" w:hAnsi="宋体" w:cs="宋体" w:eastAsia="宋体" w:hint="default"/>
                <w:sz w:val="15"/>
                <w:szCs w:val="15"/>
              </w:rPr>
            </w:pPr>
            <w:r>
              <w:rPr>
                <w:rFonts w:ascii="宋体" w:hAnsi="宋体" w:cs="宋体" w:eastAsia="宋体" w:hint="default"/>
                <w:spacing w:val="-5"/>
                <w:w w:val="100"/>
                <w:sz w:val="15"/>
                <w:szCs w:val="15"/>
              </w:rPr>
              <w:t>实际控制人陆永华先生向公司出具了《避免同业竞</w:t>
            </w:r>
            <w:r>
              <w:rPr>
                <w:rFonts w:ascii="宋体" w:hAnsi="宋体" w:cs="宋体" w:eastAsia="宋体" w:hint="default"/>
                <w:spacing w:val="-70"/>
                <w:w w:val="100"/>
                <w:sz w:val="15"/>
                <w:szCs w:val="15"/>
              </w:rPr>
              <w:t> </w:t>
            </w:r>
            <w:r>
              <w:rPr>
                <w:rFonts w:ascii="宋体" w:hAnsi="宋体" w:cs="宋体" w:eastAsia="宋体" w:hint="default"/>
                <w:spacing w:val="-70"/>
                <w:w w:val="100"/>
                <w:sz w:val="15"/>
                <w:szCs w:val="15"/>
              </w:rPr>
            </w:r>
            <w:r>
              <w:rPr>
                <w:rFonts w:ascii="宋体" w:hAnsi="宋体" w:cs="宋体" w:eastAsia="宋体" w:hint="default"/>
                <w:spacing w:val="-5"/>
                <w:sz w:val="15"/>
                <w:szCs w:val="15"/>
              </w:rPr>
              <w:t>争承诺函》，主要内容为：“本人将来不以任何方</w:t>
            </w:r>
            <w:r>
              <w:rPr>
                <w:rFonts w:ascii="宋体" w:hAnsi="宋体" w:cs="宋体" w:eastAsia="宋体" w:hint="default"/>
                <w:spacing w:val="-44"/>
                <w:sz w:val="15"/>
                <w:szCs w:val="15"/>
              </w:rPr>
              <w:t> </w:t>
            </w:r>
            <w:r>
              <w:rPr>
                <w:rFonts w:ascii="宋体" w:hAnsi="宋体" w:cs="宋体" w:eastAsia="宋体" w:hint="default"/>
                <w:spacing w:val="-44"/>
                <w:sz w:val="15"/>
                <w:szCs w:val="15"/>
              </w:rPr>
            </w:r>
            <w:r>
              <w:rPr>
                <w:rFonts w:ascii="宋体" w:hAnsi="宋体" w:cs="宋体" w:eastAsia="宋体" w:hint="default"/>
                <w:spacing w:val="-5"/>
                <w:sz w:val="15"/>
                <w:szCs w:val="15"/>
              </w:rPr>
              <w:t>式（包括但不限于其单独经营、通过合资经营或拥</w:t>
            </w:r>
            <w:r>
              <w:rPr>
                <w:rFonts w:ascii="宋体" w:hAnsi="宋体" w:cs="宋体" w:eastAsia="宋体" w:hint="default"/>
                <w:spacing w:val="-43"/>
                <w:sz w:val="15"/>
                <w:szCs w:val="15"/>
              </w:rPr>
              <w:t> </w:t>
            </w:r>
            <w:r>
              <w:rPr>
                <w:rFonts w:ascii="宋体" w:hAnsi="宋体" w:cs="宋体" w:eastAsia="宋体" w:hint="default"/>
                <w:spacing w:val="-43"/>
                <w:sz w:val="15"/>
                <w:szCs w:val="15"/>
              </w:rPr>
            </w:r>
            <w:r>
              <w:rPr>
                <w:rFonts w:ascii="宋体" w:hAnsi="宋体" w:cs="宋体" w:eastAsia="宋体" w:hint="default"/>
                <w:spacing w:val="-5"/>
                <w:w w:val="100"/>
                <w:sz w:val="15"/>
                <w:szCs w:val="15"/>
              </w:rPr>
              <w:t>有另一公司或企业的股份及其他权益）直接或间接</w:t>
            </w:r>
            <w:r>
              <w:rPr>
                <w:rFonts w:ascii="宋体" w:hAnsi="宋体" w:cs="宋体" w:eastAsia="宋体" w:hint="default"/>
                <w:spacing w:val="-71"/>
                <w:w w:val="100"/>
                <w:sz w:val="15"/>
                <w:szCs w:val="15"/>
              </w:rPr>
              <w:t> </w:t>
            </w:r>
            <w:r>
              <w:rPr>
                <w:rFonts w:ascii="宋体" w:hAnsi="宋体" w:cs="宋体" w:eastAsia="宋体" w:hint="default"/>
                <w:spacing w:val="-71"/>
                <w:w w:val="100"/>
                <w:sz w:val="15"/>
                <w:szCs w:val="15"/>
              </w:rPr>
            </w:r>
            <w:r>
              <w:rPr>
                <w:rFonts w:ascii="宋体" w:hAnsi="宋体" w:cs="宋体" w:eastAsia="宋体" w:hint="default"/>
                <w:sz w:val="15"/>
                <w:szCs w:val="15"/>
              </w:rPr>
              <w:t>地从事与江苏林洋能源股份有限公司（以下简称</w:t>
            </w:r>
            <w:r>
              <w:rPr>
                <w:rFonts w:ascii="宋体" w:hAnsi="宋体" w:cs="宋体" w:eastAsia="宋体" w:hint="default"/>
                <w:w w:val="100"/>
                <w:sz w:val="15"/>
                <w:szCs w:val="15"/>
              </w:rPr>
              <w:t> </w:t>
            </w:r>
            <w:r>
              <w:rPr>
                <w:rFonts w:ascii="宋体" w:hAnsi="宋体" w:cs="宋体" w:eastAsia="宋体" w:hint="default"/>
                <w:sz w:val="15"/>
                <w:szCs w:val="15"/>
              </w:rPr>
              <w:t>“发行人”）主营业务构成或可能构成竞争的业</w:t>
            </w:r>
            <w:r>
              <w:rPr>
                <w:rFonts w:ascii="宋体" w:hAnsi="宋体" w:cs="宋体" w:eastAsia="宋体" w:hint="default"/>
                <w:w w:val="100"/>
                <w:sz w:val="15"/>
                <w:szCs w:val="15"/>
              </w:rPr>
              <w:t> </w:t>
            </w:r>
            <w:r>
              <w:rPr>
                <w:rFonts w:ascii="宋体" w:hAnsi="宋体" w:cs="宋体" w:eastAsia="宋体" w:hint="default"/>
                <w:spacing w:val="-5"/>
                <w:w w:val="100"/>
                <w:sz w:val="15"/>
                <w:szCs w:val="15"/>
              </w:rPr>
              <w:t>务，不制定与发行人可能发生同业竞争的经营发展</w:t>
            </w:r>
            <w:r>
              <w:rPr>
                <w:rFonts w:ascii="宋体" w:hAnsi="宋体" w:cs="宋体" w:eastAsia="宋体" w:hint="default"/>
                <w:spacing w:val="-70"/>
                <w:w w:val="100"/>
                <w:sz w:val="15"/>
                <w:szCs w:val="15"/>
              </w:rPr>
              <w:t> </w:t>
            </w:r>
            <w:r>
              <w:rPr>
                <w:rFonts w:ascii="宋体" w:hAnsi="宋体" w:cs="宋体" w:eastAsia="宋体" w:hint="default"/>
                <w:spacing w:val="-70"/>
                <w:w w:val="100"/>
                <w:sz w:val="15"/>
                <w:szCs w:val="15"/>
              </w:rPr>
            </w:r>
            <w:r>
              <w:rPr>
                <w:rFonts w:ascii="宋体" w:hAnsi="宋体" w:cs="宋体" w:eastAsia="宋体" w:hint="default"/>
                <w:spacing w:val="-5"/>
                <w:sz w:val="15"/>
                <w:szCs w:val="15"/>
              </w:rPr>
              <w:t>规划，不利用发行人实际控制人的身份，作出损害</w:t>
            </w:r>
            <w:r>
              <w:rPr>
                <w:rFonts w:ascii="宋体" w:hAnsi="宋体" w:cs="宋体" w:eastAsia="宋体" w:hint="default"/>
                <w:spacing w:val="-46"/>
                <w:sz w:val="15"/>
                <w:szCs w:val="15"/>
              </w:rPr>
              <w:t> </w:t>
            </w:r>
            <w:r>
              <w:rPr>
                <w:rFonts w:ascii="宋体" w:hAnsi="宋体" w:cs="宋体" w:eastAsia="宋体" w:hint="default"/>
                <w:spacing w:val="-46"/>
                <w:sz w:val="15"/>
                <w:szCs w:val="15"/>
              </w:rPr>
            </w:r>
            <w:r>
              <w:rPr>
                <w:rFonts w:ascii="宋体" w:hAnsi="宋体" w:cs="宋体" w:eastAsia="宋体" w:hint="default"/>
                <w:spacing w:val="-2"/>
                <w:sz w:val="15"/>
                <w:szCs w:val="15"/>
              </w:rPr>
              <w:t>发行人及全体股东利益的行为，保障发行人资产、</w:t>
            </w:r>
            <w:r>
              <w:rPr>
                <w:rFonts w:ascii="宋体" w:hAnsi="宋体" w:cs="宋体" w:eastAsia="宋体" w:hint="default"/>
                <w:spacing w:val="-35"/>
                <w:sz w:val="15"/>
                <w:szCs w:val="15"/>
              </w:rPr>
              <w:t> </w:t>
            </w:r>
            <w:r>
              <w:rPr>
                <w:rFonts w:ascii="宋体" w:hAnsi="宋体" w:cs="宋体" w:eastAsia="宋体" w:hint="default"/>
                <w:spacing w:val="-35"/>
                <w:sz w:val="15"/>
                <w:szCs w:val="15"/>
              </w:rPr>
            </w:r>
            <w:r>
              <w:rPr>
                <w:rFonts w:ascii="宋体" w:hAnsi="宋体" w:cs="宋体" w:eastAsia="宋体" w:hint="default"/>
                <w:spacing w:val="-5"/>
                <w:sz w:val="15"/>
                <w:szCs w:val="15"/>
              </w:rPr>
              <w:t>业务、人员、财务、机构方面的独立性，充分尊重</w:t>
            </w:r>
            <w:r>
              <w:rPr>
                <w:rFonts w:ascii="宋体" w:hAnsi="宋体" w:cs="宋体" w:eastAsia="宋体" w:hint="default"/>
                <w:spacing w:val="-45"/>
                <w:sz w:val="15"/>
                <w:szCs w:val="15"/>
              </w:rPr>
              <w:t> </w:t>
            </w:r>
            <w:r>
              <w:rPr>
                <w:rFonts w:ascii="宋体" w:hAnsi="宋体" w:cs="宋体" w:eastAsia="宋体" w:hint="default"/>
                <w:spacing w:val="-45"/>
                <w:sz w:val="15"/>
                <w:szCs w:val="15"/>
              </w:rPr>
            </w:r>
            <w:r>
              <w:rPr>
                <w:rFonts w:ascii="宋体" w:hAnsi="宋体" w:cs="宋体" w:eastAsia="宋体" w:hint="default"/>
                <w:spacing w:val="-5"/>
                <w:sz w:val="15"/>
                <w:szCs w:val="15"/>
              </w:rPr>
              <w:t>发行人独立经营、自主决策的权利，严格遵守《公</w:t>
            </w:r>
            <w:r>
              <w:rPr>
                <w:rFonts w:ascii="宋体" w:hAnsi="宋体" w:cs="宋体" w:eastAsia="宋体" w:hint="default"/>
                <w:spacing w:val="-44"/>
                <w:sz w:val="15"/>
                <w:szCs w:val="15"/>
              </w:rPr>
              <w:t> </w:t>
            </w:r>
            <w:r>
              <w:rPr>
                <w:rFonts w:ascii="宋体" w:hAnsi="宋体" w:cs="宋体" w:eastAsia="宋体" w:hint="default"/>
                <w:spacing w:val="-44"/>
                <w:sz w:val="15"/>
                <w:szCs w:val="15"/>
              </w:rPr>
            </w:r>
            <w:r>
              <w:rPr>
                <w:rFonts w:ascii="宋体" w:hAnsi="宋体" w:cs="宋体" w:eastAsia="宋体" w:hint="default"/>
                <w:spacing w:val="-5"/>
                <w:sz w:val="15"/>
                <w:szCs w:val="15"/>
              </w:rPr>
              <w:t>司法》和发行人《公司章程》的规定，履行应尽的</w:t>
            </w:r>
            <w:r>
              <w:rPr>
                <w:rFonts w:ascii="宋体" w:hAnsi="宋体" w:cs="宋体" w:eastAsia="宋体" w:hint="default"/>
                <w:spacing w:val="-43"/>
                <w:sz w:val="15"/>
                <w:szCs w:val="15"/>
              </w:rPr>
              <w:t> </w:t>
            </w:r>
            <w:r>
              <w:rPr>
                <w:rFonts w:ascii="宋体" w:hAnsi="宋体" w:cs="宋体" w:eastAsia="宋体" w:hint="default"/>
                <w:spacing w:val="-43"/>
                <w:sz w:val="15"/>
                <w:szCs w:val="15"/>
              </w:rPr>
            </w:r>
            <w:r>
              <w:rPr>
                <w:rFonts w:ascii="宋体" w:hAnsi="宋体" w:cs="宋体" w:eastAsia="宋体" w:hint="default"/>
                <w:sz w:val="15"/>
                <w:szCs w:val="15"/>
              </w:rPr>
              <w:t>诚信、勤勉责任。”</w:t>
            </w:r>
            <w:r>
              <w:rPr>
                <w:rFonts w:ascii="宋体" w:hAnsi="宋体" w:cs="宋体" w:eastAsia="宋体" w:hint="default"/>
                <w:sz w:val="15"/>
                <w:szCs w:val="15"/>
              </w:rPr>
              <w:t> </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left="73" w:right="0"/>
              <w:jc w:val="center"/>
              <w:rPr>
                <w:rFonts w:ascii="宋体" w:hAnsi="宋体" w:cs="宋体" w:eastAsia="宋体" w:hint="default"/>
                <w:sz w:val="15"/>
                <w:szCs w:val="15"/>
              </w:rPr>
            </w:pPr>
            <w:r>
              <w:rPr>
                <w:rFonts w:ascii="宋体" w:hAnsi="宋体" w:cs="宋体" w:eastAsia="宋体" w:hint="default"/>
                <w:sz w:val="15"/>
                <w:szCs w:val="15"/>
              </w:rPr>
              <w:t>长期</w:t>
            </w:r>
            <w:r>
              <w:rPr>
                <w:rFonts w:ascii="宋体" w:hAnsi="宋体" w:cs="宋体" w:eastAsia="宋体" w:hint="default"/>
                <w:sz w:val="15"/>
                <w:szCs w:val="15"/>
              </w:rPr>
              <w:t> </w:t>
            </w:r>
          </w:p>
        </w:tc>
        <w:tc>
          <w:tcPr>
            <w:tcW w:w="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49"/>
              <w:jc w:val="right"/>
              <w:rPr>
                <w:rFonts w:ascii="宋体" w:hAnsi="宋体" w:cs="宋体" w:eastAsia="宋体" w:hint="default"/>
                <w:sz w:val="15"/>
                <w:szCs w:val="15"/>
              </w:rPr>
            </w:pPr>
            <w:r>
              <w:rPr>
                <w:rFonts w:ascii="宋体" w:hAnsi="宋体" w:cs="宋体" w:eastAsia="宋体" w:hint="default"/>
                <w:sz w:val="15"/>
                <w:szCs w:val="15"/>
              </w:rPr>
              <w:t>否</w:t>
            </w:r>
            <w:r>
              <w:rPr>
                <w:rFonts w:ascii="宋体" w:hAnsi="宋体" w:cs="宋体" w:eastAsia="宋体" w:hint="default"/>
                <w:color w:val="FFC000"/>
                <w:sz w:val="15"/>
                <w:szCs w:val="15"/>
              </w:rPr>
              <w:t> </w:t>
            </w:r>
            <w:r>
              <w:rPr>
                <w:rFonts w:ascii="宋体" w:hAnsi="宋体" w:cs="宋体" w:eastAsia="宋体" w:hint="default"/>
                <w:sz w:val="15"/>
                <w:szCs w:val="15"/>
              </w:rPr>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left="73" w:right="0"/>
              <w:jc w:val="center"/>
              <w:rPr>
                <w:rFonts w:ascii="宋体" w:hAnsi="宋体" w:cs="宋体" w:eastAsia="宋体" w:hint="default"/>
                <w:sz w:val="15"/>
                <w:szCs w:val="15"/>
              </w:rPr>
            </w:pPr>
            <w:r>
              <w:rPr>
                <w:rFonts w:ascii="宋体" w:hAnsi="宋体" w:cs="宋体" w:eastAsia="宋体" w:hint="default"/>
                <w:sz w:val="15"/>
                <w:szCs w:val="15"/>
              </w:rPr>
              <w:t>是</w:t>
            </w:r>
            <w:r>
              <w:rPr>
                <w:rFonts w:ascii="宋体" w:hAnsi="宋体" w:cs="宋体" w:eastAsia="宋体" w:hint="default"/>
                <w:color w:val="FFC000"/>
                <w:sz w:val="15"/>
                <w:szCs w:val="15"/>
              </w:rPr>
              <w:t> </w:t>
            </w:r>
            <w:r>
              <w:rPr>
                <w:rFonts w:ascii="宋体" w:hAnsi="宋体" w:cs="宋体" w:eastAsia="宋体" w:hint="default"/>
                <w:sz w:val="15"/>
                <w:szCs w:val="15"/>
              </w:rPr>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389"/>
              <w:jc w:val="right"/>
              <w:rPr>
                <w:rFonts w:ascii="宋体" w:hAnsi="宋体" w:cs="宋体" w:eastAsia="宋体" w:hint="default"/>
                <w:sz w:val="15"/>
                <w:szCs w:val="15"/>
              </w:rPr>
            </w:pPr>
            <w:r>
              <w:rPr>
                <w:rFonts w:ascii="宋体"/>
                <w:w w:val="100"/>
                <w:sz w:val="15"/>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left="73" w:right="0"/>
              <w:jc w:val="center"/>
              <w:rPr>
                <w:rFonts w:ascii="宋体" w:hAnsi="宋体" w:cs="宋体" w:eastAsia="宋体" w:hint="default"/>
                <w:sz w:val="15"/>
                <w:szCs w:val="15"/>
              </w:rPr>
            </w:pPr>
            <w:r>
              <w:rPr>
                <w:rFonts w:ascii="宋体"/>
                <w:w w:val="100"/>
                <w:sz w:val="15"/>
              </w:rPr>
              <w:t> </w:t>
            </w:r>
          </w:p>
        </w:tc>
      </w:tr>
      <w:tr>
        <w:trPr>
          <w:trHeight w:val="946" w:hRule="exact"/>
        </w:trPr>
        <w:tc>
          <w:tcPr>
            <w:tcW w:w="99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381" w:lineRule="auto"/>
              <w:ind w:left="115" w:right="37"/>
              <w:jc w:val="left"/>
              <w:rPr>
                <w:rFonts w:ascii="宋体" w:hAnsi="宋体" w:cs="宋体" w:eastAsia="宋体" w:hint="default"/>
                <w:sz w:val="15"/>
                <w:szCs w:val="15"/>
              </w:rPr>
            </w:pPr>
            <w:r>
              <w:rPr>
                <w:rFonts w:ascii="宋体" w:hAnsi="宋体" w:cs="宋体" w:eastAsia="宋体" w:hint="default"/>
                <w:sz w:val="15"/>
                <w:szCs w:val="15"/>
              </w:rPr>
              <w:t>与股权激励</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相关的承诺</w:t>
            </w:r>
            <w:r>
              <w:rPr>
                <w:rFonts w:ascii="宋体" w:hAnsi="宋体" w:cs="宋体" w:eastAsia="宋体" w:hint="default"/>
                <w:sz w:val="15"/>
                <w:szCs w:val="15"/>
              </w:rPr>
              <w:t>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381" w:lineRule="auto"/>
              <w:ind w:left="129" w:right="51"/>
              <w:jc w:val="left"/>
              <w:rPr>
                <w:rFonts w:ascii="宋体" w:hAnsi="宋体" w:cs="宋体" w:eastAsia="宋体" w:hint="default"/>
                <w:sz w:val="15"/>
                <w:szCs w:val="15"/>
              </w:rPr>
            </w:pPr>
            <w:r>
              <w:rPr>
                <w:rFonts w:ascii="宋体" w:hAnsi="宋体" w:cs="宋体" w:eastAsia="宋体" w:hint="default"/>
                <w:sz w:val="15"/>
                <w:szCs w:val="15"/>
              </w:rPr>
              <w:t>股份</w:t>
            </w:r>
            <w:r>
              <w:rPr>
                <w:rFonts w:ascii="宋体" w:hAnsi="宋体" w:cs="宋体" w:eastAsia="宋体" w:hint="default"/>
                <w:spacing w:val="-73"/>
                <w:sz w:val="15"/>
                <w:szCs w:val="15"/>
              </w:rPr>
              <w:t> </w:t>
            </w:r>
            <w:r>
              <w:rPr>
                <w:rFonts w:ascii="宋体" w:hAnsi="宋体" w:cs="宋体" w:eastAsia="宋体" w:hint="default"/>
                <w:sz w:val="15"/>
                <w:szCs w:val="15"/>
              </w:rPr>
              <w:t>限售</w:t>
            </w:r>
            <w:r>
              <w:rPr>
                <w:rFonts w:ascii="宋体" w:hAnsi="宋体" w:cs="宋体" w:eastAsia="宋体" w:hint="default"/>
                <w:color w:val="FFC000"/>
                <w:sz w:val="15"/>
                <w:szCs w:val="15"/>
              </w:rPr>
              <w:t> </w:t>
            </w:r>
            <w:r>
              <w:rPr>
                <w:rFonts w:ascii="宋体" w:hAnsi="宋体" w:cs="宋体" w:eastAsia="宋体" w:hint="default"/>
                <w:sz w:val="15"/>
                <w:szCs w:val="15"/>
              </w:rPr>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33"/>
              <w:ind w:left="117" w:right="41" w:firstLine="55"/>
              <w:jc w:val="left"/>
              <w:rPr>
                <w:rFonts w:ascii="宋体" w:hAnsi="宋体" w:cs="宋体" w:eastAsia="宋体" w:hint="default"/>
                <w:sz w:val="15"/>
                <w:szCs w:val="15"/>
              </w:rPr>
            </w:pPr>
            <w:r>
              <w:rPr>
                <w:rFonts w:ascii="宋体" w:hAnsi="宋体" w:cs="宋体" w:eastAsia="宋体" w:hint="default"/>
                <w:sz w:val="15"/>
                <w:szCs w:val="15"/>
              </w:rPr>
              <w:t>公司第二期限制</w:t>
            </w:r>
            <w:r>
              <w:rPr>
                <w:rFonts w:ascii="宋体" w:hAnsi="宋体" w:cs="宋体" w:eastAsia="宋体" w:hint="default"/>
                <w:w w:val="100"/>
                <w:sz w:val="15"/>
                <w:szCs w:val="15"/>
              </w:rPr>
              <w:t> </w:t>
            </w:r>
            <w:r>
              <w:rPr>
                <w:rFonts w:ascii="宋体" w:hAnsi="宋体" w:cs="宋体" w:eastAsia="宋体" w:hint="default"/>
                <w:sz w:val="15"/>
                <w:szCs w:val="15"/>
              </w:rPr>
              <w:t>性股票激励计划</w:t>
            </w:r>
            <w:r>
              <w:rPr>
                <w:rFonts w:ascii="宋体" w:hAnsi="宋体" w:cs="宋体" w:eastAsia="宋体" w:hint="default"/>
                <w:spacing w:val="-73"/>
                <w:sz w:val="15"/>
                <w:szCs w:val="15"/>
              </w:rPr>
              <w:t> </w:t>
            </w:r>
            <w:r>
              <w:rPr>
                <w:rFonts w:ascii="宋体" w:hAnsi="宋体" w:cs="宋体" w:eastAsia="宋体" w:hint="default"/>
                <w:spacing w:val="-73"/>
                <w:sz w:val="15"/>
                <w:szCs w:val="15"/>
              </w:rPr>
            </w:r>
            <w:r>
              <w:rPr>
                <w:rFonts w:ascii="宋体" w:hAnsi="宋体" w:cs="宋体" w:eastAsia="宋体" w:hint="default"/>
                <w:sz w:val="15"/>
                <w:szCs w:val="15"/>
              </w:rPr>
              <w:t>221</w:t>
            </w:r>
            <w:r>
              <w:rPr>
                <w:rFonts w:ascii="宋体" w:hAnsi="宋体" w:cs="宋体" w:eastAsia="宋体" w:hint="default"/>
                <w:spacing w:val="-42"/>
                <w:sz w:val="15"/>
                <w:szCs w:val="15"/>
              </w:rPr>
              <w:t> </w:t>
            </w:r>
            <w:r>
              <w:rPr>
                <w:rFonts w:ascii="宋体" w:hAnsi="宋体" w:cs="宋体" w:eastAsia="宋体" w:hint="default"/>
                <w:sz w:val="15"/>
                <w:szCs w:val="15"/>
              </w:rPr>
              <w:t>名被激励对象</w:t>
            </w:r>
            <w:r>
              <w:rPr>
                <w:rFonts w:ascii="宋体" w:hAnsi="宋体" w:cs="宋体" w:eastAsia="宋体" w:hint="default"/>
                <w:sz w:val="15"/>
                <w:szCs w:val="15"/>
              </w:rPr>
              <w:t> </w:t>
            </w:r>
          </w:p>
        </w:tc>
        <w:tc>
          <w:tcPr>
            <w:tcW w:w="3443"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33"/>
              <w:ind w:left="103" w:right="98"/>
              <w:jc w:val="left"/>
              <w:rPr>
                <w:rFonts w:ascii="宋体" w:hAnsi="宋体" w:cs="宋体" w:eastAsia="宋体" w:hint="default"/>
                <w:sz w:val="15"/>
                <w:szCs w:val="15"/>
              </w:rPr>
            </w:pPr>
            <w:r>
              <w:rPr>
                <w:rFonts w:ascii="宋体" w:hAnsi="宋体" w:cs="宋体" w:eastAsia="宋体" w:hint="default"/>
                <w:sz w:val="15"/>
                <w:szCs w:val="15"/>
              </w:rPr>
              <w:t>自限制性股票授予日起</w:t>
            </w:r>
            <w:r>
              <w:rPr>
                <w:rFonts w:ascii="宋体" w:hAnsi="宋体" w:cs="宋体" w:eastAsia="宋体" w:hint="default"/>
                <w:spacing w:val="-35"/>
                <w:sz w:val="15"/>
                <w:szCs w:val="15"/>
              </w:rPr>
              <w:t> </w:t>
            </w:r>
            <w:r>
              <w:rPr>
                <w:rFonts w:ascii="宋体" w:hAnsi="宋体" w:cs="宋体" w:eastAsia="宋体" w:hint="default"/>
                <w:sz w:val="15"/>
                <w:szCs w:val="15"/>
              </w:rPr>
              <w:t>12</w:t>
            </w:r>
            <w:r>
              <w:rPr>
                <w:rFonts w:ascii="宋体" w:hAnsi="宋体" w:cs="宋体" w:eastAsia="宋体" w:hint="default"/>
                <w:spacing w:val="-34"/>
                <w:sz w:val="15"/>
                <w:szCs w:val="15"/>
              </w:rPr>
              <w:t> </w:t>
            </w:r>
            <w:r>
              <w:rPr>
                <w:rFonts w:ascii="宋体" w:hAnsi="宋体" w:cs="宋体" w:eastAsia="宋体" w:hint="default"/>
                <w:spacing w:val="-5"/>
                <w:sz w:val="15"/>
                <w:szCs w:val="15"/>
              </w:rPr>
              <w:t>个月后、</w:t>
            </w:r>
            <w:r>
              <w:rPr>
                <w:rFonts w:ascii="宋体" w:hAnsi="宋体" w:cs="宋体" w:eastAsia="宋体" w:hint="default"/>
                <w:spacing w:val="-5"/>
                <w:sz w:val="15"/>
                <w:szCs w:val="15"/>
              </w:rPr>
              <w:t>24</w:t>
            </w:r>
            <w:r>
              <w:rPr>
                <w:rFonts w:ascii="宋体" w:hAnsi="宋体" w:cs="宋体" w:eastAsia="宋体" w:hint="default"/>
                <w:spacing w:val="-34"/>
                <w:sz w:val="15"/>
                <w:szCs w:val="15"/>
              </w:rPr>
              <w:t> </w:t>
            </w:r>
            <w:r>
              <w:rPr>
                <w:rFonts w:ascii="宋体" w:hAnsi="宋体" w:cs="宋体" w:eastAsia="宋体" w:hint="default"/>
                <w:spacing w:val="-4"/>
                <w:sz w:val="15"/>
                <w:szCs w:val="15"/>
              </w:rPr>
              <w:t>个月后、</w:t>
            </w:r>
            <w:r>
              <w:rPr>
                <w:rFonts w:ascii="宋体" w:hAnsi="宋体" w:cs="宋体" w:eastAsia="宋体" w:hint="default"/>
                <w:spacing w:val="-4"/>
                <w:sz w:val="15"/>
                <w:szCs w:val="15"/>
              </w:rPr>
              <w:t>36</w:t>
            </w:r>
            <w:r>
              <w:rPr>
                <w:rFonts w:ascii="宋体" w:hAnsi="宋体" w:cs="宋体" w:eastAsia="宋体" w:hint="default"/>
                <w:spacing w:val="-73"/>
                <w:sz w:val="15"/>
                <w:szCs w:val="15"/>
              </w:rPr>
              <w:t> </w:t>
            </w:r>
            <w:r>
              <w:rPr>
                <w:rFonts w:ascii="宋体" w:hAnsi="宋体" w:cs="宋体" w:eastAsia="宋体" w:hint="default"/>
                <w:sz w:val="15"/>
                <w:szCs w:val="15"/>
              </w:rPr>
              <w:t>个月后各申请解锁授予限制性股票总量的</w:t>
            </w:r>
            <w:r>
              <w:rPr>
                <w:rFonts w:ascii="宋体" w:hAnsi="宋体" w:cs="宋体" w:eastAsia="宋体" w:hint="default"/>
                <w:spacing w:val="-40"/>
                <w:sz w:val="15"/>
                <w:szCs w:val="15"/>
              </w:rPr>
              <w:t> </w:t>
            </w:r>
            <w:r>
              <w:rPr>
                <w:rFonts w:ascii="宋体" w:hAnsi="宋体" w:cs="宋体" w:eastAsia="宋体" w:hint="default"/>
                <w:sz w:val="15"/>
                <w:szCs w:val="15"/>
              </w:rPr>
              <w:t>30%</w:t>
            </w:r>
            <w:r>
              <w:rPr>
                <w:rFonts w:ascii="宋体" w:hAnsi="宋体" w:cs="宋体" w:eastAsia="宋体" w:hint="default"/>
                <w:sz w:val="15"/>
                <w:szCs w:val="15"/>
              </w:rPr>
              <w:t>、</w:t>
            </w:r>
            <w:r>
              <w:rPr>
                <w:rFonts w:ascii="宋体" w:hAnsi="宋体" w:cs="宋体" w:eastAsia="宋体" w:hint="default"/>
                <w:w w:val="100"/>
                <w:sz w:val="15"/>
                <w:szCs w:val="15"/>
              </w:rPr>
              <w:t> </w:t>
            </w:r>
            <w:r>
              <w:rPr>
                <w:rFonts w:ascii="宋体" w:hAnsi="宋体" w:cs="宋体" w:eastAsia="宋体" w:hint="default"/>
                <w:sz w:val="15"/>
                <w:szCs w:val="15"/>
              </w:rPr>
              <w:t>30%</w:t>
            </w:r>
            <w:r>
              <w:rPr>
                <w:rFonts w:ascii="宋体" w:hAnsi="宋体" w:cs="宋体" w:eastAsia="宋体" w:hint="default"/>
                <w:sz w:val="15"/>
                <w:szCs w:val="15"/>
              </w:rPr>
              <w:t>、</w:t>
            </w:r>
            <w:r>
              <w:rPr>
                <w:rFonts w:ascii="宋体" w:hAnsi="宋体" w:cs="宋体" w:eastAsia="宋体" w:hint="default"/>
                <w:sz w:val="15"/>
                <w:szCs w:val="15"/>
              </w:rPr>
              <w:t>40%</w:t>
            </w:r>
            <w:r>
              <w:rPr>
                <w:rFonts w:ascii="宋体" w:hAnsi="宋体" w:cs="宋体" w:eastAsia="宋体" w:hint="default"/>
                <w:sz w:val="15"/>
                <w:szCs w:val="15"/>
              </w:rPr>
              <w:t>。</w:t>
            </w:r>
            <w:r>
              <w:rPr>
                <w:rFonts w:ascii="宋体" w:hAnsi="宋体" w:cs="宋体" w:eastAsia="宋体" w:hint="default"/>
                <w:sz w:val="15"/>
                <w:szCs w:val="15"/>
              </w:rPr>
              <w:t> </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73" w:right="0"/>
              <w:jc w:val="center"/>
              <w:rPr>
                <w:rFonts w:ascii="宋体" w:hAnsi="宋体" w:cs="宋体" w:eastAsia="宋体" w:hint="default"/>
                <w:sz w:val="15"/>
                <w:szCs w:val="15"/>
              </w:rPr>
            </w:pPr>
            <w:r>
              <w:rPr>
                <w:rFonts w:ascii="宋体"/>
                <w:sz w:val="15"/>
              </w:rPr>
              <w:t>2017.2.7-2020.2.7 </w:t>
            </w:r>
          </w:p>
        </w:tc>
        <w:tc>
          <w:tcPr>
            <w:tcW w:w="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149"/>
              <w:jc w:val="right"/>
              <w:rPr>
                <w:rFonts w:ascii="宋体" w:hAnsi="宋体" w:cs="宋体" w:eastAsia="宋体" w:hint="default"/>
                <w:sz w:val="15"/>
                <w:szCs w:val="15"/>
              </w:rPr>
            </w:pPr>
            <w:r>
              <w:rPr>
                <w:rFonts w:ascii="宋体" w:hAnsi="宋体" w:cs="宋体" w:eastAsia="宋体" w:hint="default"/>
                <w:sz w:val="15"/>
                <w:szCs w:val="15"/>
              </w:rPr>
              <w:t>是</w:t>
            </w:r>
            <w:r>
              <w:rPr>
                <w:rFonts w:ascii="宋体" w:hAnsi="宋体" w:cs="宋体" w:eastAsia="宋体" w:hint="default"/>
                <w:color w:val="FFC000"/>
                <w:sz w:val="15"/>
                <w:szCs w:val="15"/>
              </w:rPr>
              <w:t> </w:t>
            </w:r>
            <w:r>
              <w:rPr>
                <w:rFonts w:ascii="宋体" w:hAnsi="宋体" w:cs="宋体" w:eastAsia="宋体" w:hint="default"/>
                <w:sz w:val="15"/>
                <w:szCs w:val="15"/>
              </w:rPr>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73" w:right="0"/>
              <w:jc w:val="center"/>
              <w:rPr>
                <w:rFonts w:ascii="宋体" w:hAnsi="宋体" w:cs="宋体" w:eastAsia="宋体" w:hint="default"/>
                <w:sz w:val="15"/>
                <w:szCs w:val="15"/>
              </w:rPr>
            </w:pPr>
            <w:r>
              <w:rPr>
                <w:rFonts w:ascii="宋体" w:hAnsi="宋体" w:cs="宋体" w:eastAsia="宋体" w:hint="default"/>
                <w:sz w:val="15"/>
                <w:szCs w:val="15"/>
              </w:rPr>
              <w:t>是</w:t>
            </w:r>
            <w:r>
              <w:rPr>
                <w:rFonts w:ascii="宋体" w:hAnsi="宋体" w:cs="宋体" w:eastAsia="宋体" w:hint="default"/>
                <w:color w:val="FFC000"/>
                <w:sz w:val="15"/>
                <w:szCs w:val="15"/>
              </w:rPr>
              <w:t> </w:t>
            </w:r>
            <w:r>
              <w:rPr>
                <w:rFonts w:ascii="宋体" w:hAnsi="宋体" w:cs="宋体" w:eastAsia="宋体" w:hint="default"/>
                <w:sz w:val="15"/>
                <w:szCs w:val="15"/>
              </w:rPr>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389"/>
              <w:jc w:val="right"/>
              <w:rPr>
                <w:rFonts w:ascii="宋体" w:hAnsi="宋体" w:cs="宋体" w:eastAsia="宋体" w:hint="default"/>
                <w:sz w:val="15"/>
                <w:szCs w:val="15"/>
              </w:rPr>
            </w:pPr>
            <w:r>
              <w:rPr>
                <w:rFonts w:ascii="宋体"/>
                <w:w w:val="100"/>
                <w:sz w:val="15"/>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73" w:right="0"/>
              <w:jc w:val="center"/>
              <w:rPr>
                <w:rFonts w:ascii="宋体" w:hAnsi="宋体" w:cs="宋体" w:eastAsia="宋体" w:hint="default"/>
                <w:sz w:val="15"/>
                <w:szCs w:val="15"/>
              </w:rPr>
            </w:pPr>
            <w:r>
              <w:rPr>
                <w:rFonts w:ascii="宋体"/>
                <w:w w:val="100"/>
                <w:sz w:val="15"/>
              </w:rPr>
              <w:t> </w:t>
            </w:r>
          </w:p>
        </w:tc>
      </w:tr>
      <w:tr>
        <w:trPr>
          <w:trHeight w:val="1258" w:hRule="exact"/>
        </w:trPr>
        <w:tc>
          <w:tcPr>
            <w:tcW w:w="992" w:type="dxa"/>
            <w:vMerge/>
            <w:tcBorders>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2"/>
                <w:szCs w:val="12"/>
              </w:rPr>
            </w:pPr>
          </w:p>
          <w:p>
            <w:pPr>
              <w:pStyle w:val="TableParagraph"/>
              <w:spacing w:line="381" w:lineRule="auto"/>
              <w:ind w:left="129" w:right="51"/>
              <w:jc w:val="left"/>
              <w:rPr>
                <w:rFonts w:ascii="宋体" w:hAnsi="宋体" w:cs="宋体" w:eastAsia="宋体" w:hint="default"/>
                <w:sz w:val="15"/>
                <w:szCs w:val="15"/>
              </w:rPr>
            </w:pPr>
            <w:r>
              <w:rPr>
                <w:rFonts w:ascii="宋体" w:hAnsi="宋体" w:cs="宋体" w:eastAsia="宋体" w:hint="default"/>
                <w:sz w:val="15"/>
                <w:szCs w:val="15"/>
              </w:rPr>
              <w:t>股份</w:t>
            </w:r>
            <w:r>
              <w:rPr>
                <w:rFonts w:ascii="宋体" w:hAnsi="宋体" w:cs="宋体" w:eastAsia="宋体" w:hint="default"/>
                <w:spacing w:val="-73"/>
                <w:sz w:val="15"/>
                <w:szCs w:val="15"/>
              </w:rPr>
              <w:t> </w:t>
            </w:r>
            <w:r>
              <w:rPr>
                <w:rFonts w:ascii="宋体" w:hAnsi="宋体" w:cs="宋体" w:eastAsia="宋体" w:hint="default"/>
                <w:sz w:val="15"/>
                <w:szCs w:val="15"/>
              </w:rPr>
              <w:t>限售</w:t>
            </w:r>
            <w:r>
              <w:rPr>
                <w:rFonts w:ascii="宋体" w:hAnsi="宋体" w:cs="宋体" w:eastAsia="宋体" w:hint="default"/>
                <w:color w:val="FFC000"/>
                <w:sz w:val="15"/>
                <w:szCs w:val="15"/>
              </w:rPr>
              <w:t> </w:t>
            </w:r>
            <w:r>
              <w:rPr>
                <w:rFonts w:ascii="宋体" w:hAnsi="宋体" w:cs="宋体" w:eastAsia="宋体" w:hint="default"/>
                <w:sz w:val="15"/>
                <w:szCs w:val="15"/>
              </w:rPr>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33"/>
              <w:ind w:left="134" w:right="132" w:firstLine="2"/>
              <w:jc w:val="center"/>
              <w:rPr>
                <w:rFonts w:ascii="宋体" w:hAnsi="宋体" w:cs="宋体" w:eastAsia="宋体" w:hint="default"/>
                <w:sz w:val="15"/>
                <w:szCs w:val="15"/>
              </w:rPr>
            </w:pPr>
            <w:r>
              <w:rPr>
                <w:rFonts w:ascii="宋体" w:hAnsi="宋体" w:cs="宋体" w:eastAsia="宋体" w:hint="default"/>
                <w:sz w:val="15"/>
                <w:szCs w:val="15"/>
              </w:rPr>
              <w:t>公司第二期限制</w:t>
            </w:r>
            <w:r>
              <w:rPr>
                <w:rFonts w:ascii="宋体" w:hAnsi="宋体" w:cs="宋体" w:eastAsia="宋体" w:hint="default"/>
                <w:w w:val="100"/>
                <w:sz w:val="15"/>
                <w:szCs w:val="15"/>
              </w:rPr>
              <w:t> </w:t>
            </w:r>
            <w:r>
              <w:rPr>
                <w:rFonts w:ascii="宋体" w:hAnsi="宋体" w:cs="宋体" w:eastAsia="宋体" w:hint="default"/>
                <w:sz w:val="15"/>
                <w:szCs w:val="15"/>
              </w:rPr>
              <w:t>性股票激励计划</w:t>
            </w:r>
            <w:r>
              <w:rPr>
                <w:rFonts w:ascii="宋体" w:hAnsi="宋体" w:cs="宋体" w:eastAsia="宋体" w:hint="default"/>
                <w:w w:val="100"/>
                <w:sz w:val="15"/>
                <w:szCs w:val="15"/>
              </w:rPr>
              <w:t> </w:t>
            </w:r>
            <w:r>
              <w:rPr>
                <w:rFonts w:ascii="宋体" w:hAnsi="宋体" w:cs="宋体" w:eastAsia="宋体" w:hint="default"/>
                <w:sz w:val="15"/>
                <w:szCs w:val="15"/>
              </w:rPr>
              <w:t>预留部分</w:t>
            </w:r>
            <w:r>
              <w:rPr>
                <w:rFonts w:ascii="宋体" w:hAnsi="宋体" w:cs="宋体" w:eastAsia="宋体" w:hint="default"/>
                <w:spacing w:val="-38"/>
                <w:sz w:val="15"/>
                <w:szCs w:val="15"/>
              </w:rPr>
              <w:t> </w:t>
            </w:r>
            <w:r>
              <w:rPr>
                <w:rFonts w:ascii="宋体" w:hAnsi="宋体" w:cs="宋体" w:eastAsia="宋体" w:hint="default"/>
                <w:sz w:val="15"/>
                <w:szCs w:val="15"/>
              </w:rPr>
              <w:t>20</w:t>
            </w:r>
            <w:r>
              <w:rPr>
                <w:rFonts w:ascii="宋体" w:hAnsi="宋体" w:cs="宋体" w:eastAsia="宋体" w:hint="default"/>
                <w:spacing w:val="-37"/>
                <w:sz w:val="15"/>
                <w:szCs w:val="15"/>
              </w:rPr>
              <w:t> </w:t>
            </w:r>
            <w:r>
              <w:rPr>
                <w:rFonts w:ascii="宋体" w:hAnsi="宋体" w:cs="宋体" w:eastAsia="宋体" w:hint="default"/>
                <w:sz w:val="15"/>
                <w:szCs w:val="15"/>
              </w:rPr>
              <w:t>名被</w:t>
            </w:r>
            <w:r>
              <w:rPr>
                <w:rFonts w:ascii="宋体" w:hAnsi="宋体" w:cs="宋体" w:eastAsia="宋体" w:hint="default"/>
                <w:w w:val="100"/>
                <w:sz w:val="15"/>
                <w:szCs w:val="15"/>
              </w:rPr>
              <w:t> </w:t>
            </w:r>
            <w:r>
              <w:rPr>
                <w:rFonts w:ascii="宋体" w:hAnsi="宋体" w:cs="宋体" w:eastAsia="宋体" w:hint="default"/>
                <w:sz w:val="15"/>
                <w:szCs w:val="15"/>
              </w:rPr>
              <w:t>激励对象</w:t>
            </w:r>
            <w:r>
              <w:rPr>
                <w:rFonts w:ascii="宋体" w:hAnsi="宋体" w:cs="宋体" w:eastAsia="宋体" w:hint="default"/>
                <w:sz w:val="15"/>
                <w:szCs w:val="15"/>
              </w:rPr>
              <w:t> </w:t>
            </w:r>
          </w:p>
        </w:tc>
        <w:tc>
          <w:tcPr>
            <w:tcW w:w="34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2"/>
                <w:szCs w:val="12"/>
              </w:rPr>
            </w:pPr>
          </w:p>
          <w:p>
            <w:pPr>
              <w:pStyle w:val="TableParagraph"/>
              <w:spacing w:line="381" w:lineRule="auto"/>
              <w:ind w:left="103" w:right="101"/>
              <w:jc w:val="left"/>
              <w:rPr>
                <w:rFonts w:ascii="宋体" w:hAnsi="宋体" w:cs="宋体" w:eastAsia="宋体" w:hint="default"/>
                <w:sz w:val="15"/>
                <w:szCs w:val="15"/>
              </w:rPr>
            </w:pPr>
            <w:r>
              <w:rPr>
                <w:rFonts w:ascii="宋体" w:hAnsi="宋体" w:cs="宋体" w:eastAsia="宋体" w:hint="default"/>
                <w:sz w:val="15"/>
                <w:szCs w:val="15"/>
              </w:rPr>
              <w:t>自限制性股票授予日起</w:t>
            </w:r>
            <w:r>
              <w:rPr>
                <w:rFonts w:ascii="宋体" w:hAnsi="宋体" w:cs="宋体" w:eastAsia="宋体" w:hint="default"/>
                <w:spacing w:val="-37"/>
                <w:sz w:val="15"/>
                <w:szCs w:val="15"/>
              </w:rPr>
              <w:t> </w:t>
            </w:r>
            <w:r>
              <w:rPr>
                <w:rFonts w:ascii="宋体" w:hAnsi="宋体" w:cs="宋体" w:eastAsia="宋体" w:hint="default"/>
                <w:sz w:val="15"/>
                <w:szCs w:val="15"/>
              </w:rPr>
              <w:t>12</w:t>
            </w:r>
            <w:r>
              <w:rPr>
                <w:rFonts w:ascii="宋体" w:hAnsi="宋体" w:cs="宋体" w:eastAsia="宋体" w:hint="default"/>
                <w:spacing w:val="-36"/>
                <w:sz w:val="15"/>
                <w:szCs w:val="15"/>
              </w:rPr>
              <w:t> </w:t>
            </w:r>
            <w:r>
              <w:rPr>
                <w:rFonts w:ascii="宋体" w:hAnsi="宋体" w:cs="宋体" w:eastAsia="宋体" w:hint="default"/>
                <w:spacing w:val="-8"/>
                <w:sz w:val="15"/>
                <w:szCs w:val="15"/>
              </w:rPr>
              <w:t>个月后、</w:t>
            </w:r>
            <w:r>
              <w:rPr>
                <w:rFonts w:ascii="宋体" w:hAnsi="宋体" w:cs="宋体" w:eastAsia="宋体" w:hint="default"/>
                <w:spacing w:val="-8"/>
                <w:sz w:val="15"/>
                <w:szCs w:val="15"/>
              </w:rPr>
              <w:t>24</w:t>
            </w:r>
            <w:r>
              <w:rPr>
                <w:rFonts w:ascii="宋体" w:hAnsi="宋体" w:cs="宋体" w:eastAsia="宋体" w:hint="default"/>
                <w:spacing w:val="-36"/>
                <w:sz w:val="15"/>
                <w:szCs w:val="15"/>
              </w:rPr>
              <w:t> </w:t>
            </w:r>
            <w:r>
              <w:rPr>
                <w:rFonts w:ascii="宋体" w:hAnsi="宋体" w:cs="宋体" w:eastAsia="宋体" w:hint="default"/>
                <w:sz w:val="15"/>
                <w:szCs w:val="15"/>
              </w:rPr>
              <w:t>个月后各申</w:t>
            </w:r>
            <w:r>
              <w:rPr>
                <w:rFonts w:ascii="宋体" w:hAnsi="宋体" w:cs="宋体" w:eastAsia="宋体" w:hint="default"/>
                <w:w w:val="100"/>
                <w:sz w:val="15"/>
                <w:szCs w:val="15"/>
              </w:rPr>
              <w:t> </w:t>
            </w:r>
            <w:r>
              <w:rPr>
                <w:rFonts w:ascii="宋体" w:hAnsi="宋体" w:cs="宋体" w:eastAsia="宋体" w:hint="default"/>
                <w:spacing w:val="-2"/>
                <w:sz w:val="15"/>
                <w:szCs w:val="15"/>
              </w:rPr>
              <w:t>请解锁授予限制性股票总量的</w:t>
            </w:r>
            <w:r>
              <w:rPr>
                <w:rFonts w:ascii="宋体" w:hAnsi="宋体" w:cs="宋体" w:eastAsia="宋体" w:hint="default"/>
                <w:spacing w:val="-3"/>
                <w:sz w:val="15"/>
                <w:szCs w:val="15"/>
              </w:rPr>
              <w:t> </w:t>
            </w:r>
            <w:r>
              <w:rPr>
                <w:rFonts w:ascii="宋体" w:hAnsi="宋体" w:cs="宋体" w:eastAsia="宋体" w:hint="default"/>
                <w:spacing w:val="-2"/>
                <w:sz w:val="15"/>
                <w:szCs w:val="15"/>
              </w:rPr>
              <w:t>50%</w:t>
            </w:r>
            <w:r>
              <w:rPr>
                <w:rFonts w:ascii="宋体" w:hAnsi="宋体" w:cs="宋体" w:eastAsia="宋体" w:hint="default"/>
                <w:spacing w:val="-2"/>
                <w:sz w:val="15"/>
                <w:szCs w:val="15"/>
              </w:rPr>
              <w:t>、</w:t>
            </w:r>
            <w:r>
              <w:rPr>
                <w:rFonts w:ascii="宋体" w:hAnsi="宋体" w:cs="宋体" w:eastAsia="宋体" w:hint="default"/>
                <w:spacing w:val="-2"/>
                <w:sz w:val="15"/>
                <w:szCs w:val="15"/>
              </w:rPr>
              <w:t>50%</w:t>
            </w:r>
            <w:r>
              <w:rPr>
                <w:rFonts w:ascii="宋体" w:hAnsi="宋体" w:cs="宋体" w:eastAsia="宋体" w:hint="default"/>
                <w:spacing w:val="-2"/>
                <w:sz w:val="15"/>
                <w:szCs w:val="15"/>
              </w:rPr>
              <w:t>。</w:t>
            </w:r>
            <w:r>
              <w:rPr>
                <w:rFonts w:ascii="宋体" w:hAnsi="宋体" w:cs="宋体" w:eastAsia="宋体" w:hint="default"/>
                <w:sz w:val="15"/>
                <w:szCs w:val="15"/>
              </w:rPr>
              <w:t> </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left="75" w:right="0"/>
              <w:jc w:val="center"/>
              <w:rPr>
                <w:rFonts w:ascii="宋体" w:hAnsi="宋体" w:cs="宋体" w:eastAsia="宋体" w:hint="default"/>
                <w:sz w:val="15"/>
                <w:szCs w:val="15"/>
              </w:rPr>
            </w:pPr>
            <w:r>
              <w:rPr>
                <w:rFonts w:ascii="宋体"/>
                <w:sz w:val="15"/>
              </w:rPr>
              <w:t>2017.12.21-2019.12.21 </w:t>
            </w:r>
          </w:p>
        </w:tc>
        <w:tc>
          <w:tcPr>
            <w:tcW w:w="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right="149"/>
              <w:jc w:val="right"/>
              <w:rPr>
                <w:rFonts w:ascii="宋体" w:hAnsi="宋体" w:cs="宋体" w:eastAsia="宋体" w:hint="default"/>
                <w:sz w:val="15"/>
                <w:szCs w:val="15"/>
              </w:rPr>
            </w:pPr>
            <w:r>
              <w:rPr>
                <w:rFonts w:ascii="宋体" w:hAnsi="宋体" w:cs="宋体" w:eastAsia="宋体" w:hint="default"/>
                <w:sz w:val="15"/>
                <w:szCs w:val="15"/>
              </w:rPr>
              <w:t>是</w:t>
            </w:r>
            <w:r>
              <w:rPr>
                <w:rFonts w:ascii="宋体" w:hAnsi="宋体" w:cs="宋体" w:eastAsia="宋体" w:hint="default"/>
                <w:color w:val="FFC000"/>
                <w:sz w:val="15"/>
                <w:szCs w:val="15"/>
              </w:rPr>
              <w:t> </w:t>
            </w:r>
            <w:r>
              <w:rPr>
                <w:rFonts w:ascii="宋体" w:hAnsi="宋体" w:cs="宋体" w:eastAsia="宋体" w:hint="default"/>
                <w:sz w:val="15"/>
                <w:szCs w:val="15"/>
              </w:rPr>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left="73" w:right="0"/>
              <w:jc w:val="center"/>
              <w:rPr>
                <w:rFonts w:ascii="宋体" w:hAnsi="宋体" w:cs="宋体" w:eastAsia="宋体" w:hint="default"/>
                <w:sz w:val="15"/>
                <w:szCs w:val="15"/>
              </w:rPr>
            </w:pPr>
            <w:r>
              <w:rPr>
                <w:rFonts w:ascii="宋体" w:hAnsi="宋体" w:cs="宋体" w:eastAsia="宋体" w:hint="default"/>
                <w:sz w:val="15"/>
                <w:szCs w:val="15"/>
              </w:rPr>
              <w:t>是</w:t>
            </w:r>
            <w:r>
              <w:rPr>
                <w:rFonts w:ascii="宋体" w:hAnsi="宋体" w:cs="宋体" w:eastAsia="宋体" w:hint="default"/>
                <w:color w:val="FFC000"/>
                <w:sz w:val="15"/>
                <w:szCs w:val="15"/>
              </w:rPr>
              <w:t> </w:t>
            </w:r>
            <w:r>
              <w:rPr>
                <w:rFonts w:ascii="宋体" w:hAnsi="宋体" w:cs="宋体" w:eastAsia="宋体" w:hint="default"/>
                <w:sz w:val="15"/>
                <w:szCs w:val="15"/>
              </w:rPr>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right="389"/>
              <w:jc w:val="right"/>
              <w:rPr>
                <w:rFonts w:ascii="宋体" w:hAnsi="宋体" w:cs="宋体" w:eastAsia="宋体" w:hint="default"/>
                <w:sz w:val="15"/>
                <w:szCs w:val="15"/>
              </w:rPr>
            </w:pPr>
            <w:r>
              <w:rPr>
                <w:rFonts w:ascii="宋体"/>
                <w:w w:val="100"/>
                <w:sz w:val="15"/>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left="73" w:right="0"/>
              <w:jc w:val="center"/>
              <w:rPr>
                <w:rFonts w:ascii="宋体" w:hAnsi="宋体" w:cs="宋体" w:eastAsia="宋体" w:hint="default"/>
                <w:sz w:val="15"/>
                <w:szCs w:val="15"/>
              </w:rPr>
            </w:pPr>
            <w:r>
              <w:rPr>
                <w:rFonts w:ascii="宋体"/>
                <w:w w:val="100"/>
                <w:sz w:val="15"/>
              </w:rPr>
              <w:t> </w:t>
            </w:r>
          </w:p>
        </w:tc>
      </w:tr>
    </w:tbl>
    <w:p>
      <w:pPr>
        <w:pStyle w:val="Heading2"/>
        <w:spacing w:line="274" w:lineRule="exact"/>
        <w:ind w:left="1398" w:right="0"/>
        <w:jc w:val="left"/>
        <w:rPr>
          <w:rFonts w:ascii="宋体" w:hAnsi="宋体" w:cs="宋体" w:eastAsia="宋体" w:hint="default"/>
        </w:rPr>
      </w:pPr>
      <w:r>
        <w:rPr>
          <w:rFonts w:ascii="宋体"/>
        </w:rPr>
        <w:t> </w:t>
      </w:r>
    </w:p>
    <w:p>
      <w:pPr>
        <w:pStyle w:val="Heading3"/>
        <w:tabs>
          <w:tab w:pos="1964" w:val="left" w:leader="none"/>
        </w:tabs>
        <w:spacing w:line="295" w:lineRule="auto" w:before="85"/>
        <w:ind w:left="1398" w:right="1750"/>
        <w:jc w:val="left"/>
        <w:rPr>
          <w:rFonts w:ascii="宋体" w:hAnsi="宋体" w:cs="宋体" w:eastAsia="宋体" w:hint="default"/>
          <w:b w:val="0"/>
          <w:bCs w:val="0"/>
        </w:rPr>
      </w:pPr>
      <w:r>
        <w:rPr>
          <w:rFonts w:ascii="Calibri" w:hAnsi="Calibri" w:cs="Calibri" w:eastAsia="Calibri" w:hint="default"/>
        </w:rPr>
        <w:t>(</w:t>
      </w:r>
      <w:r>
        <w:rPr/>
        <w:t>二</w:t>
      </w:r>
      <w:r>
        <w:rPr>
          <w:rFonts w:ascii="Calibri" w:hAnsi="Calibri" w:cs="Calibri" w:eastAsia="Calibri" w:hint="default"/>
        </w:rPr>
        <w:t>)</w:t>
        <w:tab/>
      </w:r>
      <w:r>
        <w:rPr>
          <w:spacing w:val="-1"/>
        </w:rPr>
        <w:t>公司资产或项目存在盈利预测，且报告期仍处在盈利预测期间，公司就资产或项目</w:t>
      </w:r>
      <w:r>
        <w:rPr>
          <w:spacing w:val="-75"/>
        </w:rPr>
        <w:t> </w:t>
      </w:r>
      <w:r>
        <w:rPr>
          <w:spacing w:val="-75"/>
        </w:rPr>
      </w:r>
      <w:r>
        <w:rPr/>
        <w:t>是否达到原盈利预测及其原因作出说明</w:t>
      </w:r>
      <w:r>
        <w:rPr>
          <w:rFonts w:ascii="宋体" w:hAnsi="宋体" w:cs="宋体" w:eastAsia="宋体" w:hint="default"/>
          <w:w w:val="99"/>
        </w:rPr>
        <w:t> </w:t>
      </w:r>
      <w:r>
        <w:rPr>
          <w:rFonts w:ascii="宋体" w:hAnsi="宋体" w:cs="宋体" w:eastAsia="宋体" w:hint="default"/>
          <w:b w:val="0"/>
          <w:bCs w:val="0"/>
        </w:rPr>
      </w:r>
    </w:p>
    <w:p>
      <w:pPr>
        <w:pStyle w:val="BodyText"/>
        <w:spacing w:line="264" w:lineRule="exact"/>
        <w:ind w:left="1398" w:right="0"/>
        <w:jc w:val="left"/>
        <w:rPr>
          <w:rFonts w:ascii="宋体" w:hAnsi="宋体" w:cs="宋体" w:eastAsia="宋体" w:hint="default"/>
        </w:rPr>
      </w:pPr>
      <w:r>
        <w:rPr/>
        <w:t>□已达到 </w:t>
      </w:r>
      <w:r>
        <w:rPr>
          <w:rFonts w:ascii="宋体" w:hAnsi="宋体" w:cs="宋体" w:eastAsia="宋体" w:hint="default"/>
        </w:rPr>
      </w:r>
      <w:r>
        <w:rPr/>
        <w:t>□未达到</w:t>
      </w:r>
      <w:r>
        <w:rPr>
          <w:spacing w:val="-4"/>
        </w:rPr>
        <w:t> </w:t>
      </w:r>
      <w:r>
        <w:rPr>
          <w:rFonts w:ascii="宋体" w:hAnsi="宋体" w:cs="宋体" w:eastAsia="宋体" w:hint="default"/>
          <w:spacing w:val="-4"/>
        </w:rPr>
      </w:r>
      <w:r>
        <w:rPr/>
        <w:t>√不适用</w:t>
      </w:r>
      <w:r>
        <w:rPr>
          <w:rFonts w:ascii="宋体" w:hAnsi="宋体" w:cs="宋体" w:eastAsia="宋体" w:hint="default"/>
          <w:spacing w:val="-3"/>
        </w:rPr>
        <w:t> </w:t>
      </w:r>
      <w:r>
        <w:rPr>
          <w:rFonts w:ascii="宋体" w:hAnsi="宋体" w:cs="宋体" w:eastAsia="宋体" w:hint="default"/>
        </w:rPr>
        <w:t> </w:t>
      </w:r>
    </w:p>
    <w:p>
      <w:pPr>
        <w:pStyle w:val="Heading2"/>
        <w:spacing w:line="240" w:lineRule="auto" w:before="9"/>
        <w:ind w:left="1398" w:right="0"/>
        <w:jc w:val="left"/>
        <w:rPr>
          <w:rFonts w:ascii="宋体" w:hAnsi="宋体" w:cs="宋体" w:eastAsia="宋体" w:hint="default"/>
        </w:rPr>
      </w:pPr>
      <w:r>
        <w:rPr>
          <w:rFonts w:ascii="宋体"/>
        </w:rPr>
        <w:t> </w:t>
      </w:r>
    </w:p>
    <w:p>
      <w:pPr>
        <w:pStyle w:val="Heading3"/>
        <w:tabs>
          <w:tab w:pos="1964" w:val="left" w:leader="none"/>
        </w:tabs>
        <w:spacing w:line="240" w:lineRule="auto" w:before="85"/>
        <w:ind w:left="1398" w:right="0"/>
        <w:jc w:val="left"/>
        <w:rPr>
          <w:b w:val="0"/>
          <w:bCs w:val="0"/>
        </w:rPr>
      </w:pPr>
      <w:r>
        <w:rPr>
          <w:rFonts w:ascii="Calibri" w:hAnsi="Calibri" w:cs="Calibri" w:eastAsia="Calibri" w:hint="default"/>
        </w:rPr>
        <w:t>(</w:t>
      </w:r>
      <w:r>
        <w:rPr/>
        <w:t>三</w:t>
      </w:r>
      <w:r>
        <w:rPr>
          <w:rFonts w:ascii="Calibri" w:hAnsi="Calibri" w:cs="Calibri" w:eastAsia="Calibri" w:hint="default"/>
        </w:rPr>
        <w:t>)</w:t>
        <w:tab/>
      </w:r>
      <w:r>
        <w:rPr/>
        <w:t>业绩承诺的完成情况及其对商誉减值测试的影响</w:t>
      </w:r>
      <w:r>
        <w:rPr>
          <w:b w:val="0"/>
          <w:bCs w:val="0"/>
        </w:rPr>
      </w:r>
    </w:p>
    <w:p>
      <w:pPr>
        <w:pStyle w:val="BodyText"/>
        <w:spacing w:line="240" w:lineRule="auto" w:before="70"/>
        <w:ind w:left="139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2"/>
        <w:spacing w:line="240" w:lineRule="auto" w:before="9"/>
        <w:ind w:left="1398" w:right="0"/>
        <w:jc w:val="left"/>
        <w:rPr>
          <w:rFonts w:ascii="宋体" w:hAnsi="宋体" w:cs="宋体" w:eastAsia="宋体" w:hint="default"/>
        </w:rPr>
      </w:pPr>
      <w:r>
        <w:rPr>
          <w:rFonts w:ascii="宋体"/>
        </w:rPr>
        <w:t> </w:t>
      </w:r>
    </w:p>
    <w:p>
      <w:pPr>
        <w:pStyle w:val="Heading3"/>
        <w:spacing w:line="240" w:lineRule="auto" w:before="85"/>
        <w:ind w:left="1398" w:right="0"/>
        <w:jc w:val="left"/>
        <w:rPr>
          <w:b w:val="0"/>
          <w:bCs w:val="0"/>
        </w:rPr>
      </w:pPr>
      <w:r>
        <w:rPr/>
        <w:t>三、报告期内资金被占用情况及清欠进展情况</w:t>
      </w:r>
      <w:r>
        <w:rPr>
          <w:b w:val="0"/>
          <w:bCs w:val="0"/>
        </w:rPr>
      </w:r>
    </w:p>
    <w:p>
      <w:pPr>
        <w:pStyle w:val="Heading2"/>
        <w:spacing w:line="313" w:lineRule="exact" w:before="69"/>
        <w:ind w:left="1398"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2"/>
        <w:spacing w:line="313" w:lineRule="exact"/>
        <w:ind w:left="1398" w:right="0"/>
        <w:jc w:val="left"/>
        <w:rPr>
          <w:rFonts w:ascii="宋体" w:hAnsi="宋体" w:cs="宋体" w:eastAsia="宋体" w:hint="default"/>
        </w:rPr>
      </w:pPr>
      <w:r>
        <w:rPr>
          <w:rFonts w:ascii="宋体"/>
        </w:rPr>
        <w:t> </w:t>
      </w:r>
    </w:p>
    <w:p>
      <w:pPr>
        <w:pStyle w:val="Heading3"/>
        <w:spacing w:line="240" w:lineRule="auto" w:before="85"/>
        <w:ind w:left="1398" w:right="0"/>
        <w:jc w:val="left"/>
        <w:rPr>
          <w:b w:val="0"/>
          <w:bCs w:val="0"/>
        </w:rPr>
      </w:pPr>
      <w:r>
        <w:rPr/>
        <w:t>四、公司对会计师事务所“非标准意见审计报告”的说明</w:t>
      </w:r>
      <w:r>
        <w:rPr>
          <w:b w:val="0"/>
          <w:bCs w:val="0"/>
        </w:rPr>
      </w:r>
    </w:p>
    <w:p>
      <w:pPr>
        <w:pStyle w:val="BodyText"/>
        <w:spacing w:line="240" w:lineRule="auto" w:before="97"/>
        <w:ind w:left="139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2"/>
        <w:spacing w:line="240" w:lineRule="auto" w:before="9"/>
        <w:ind w:left="1398" w:right="0"/>
        <w:jc w:val="left"/>
        <w:rPr>
          <w:rFonts w:ascii="宋体" w:hAnsi="宋体" w:cs="宋体" w:eastAsia="宋体" w:hint="default"/>
        </w:rPr>
      </w:pPr>
      <w:r>
        <w:rPr>
          <w:rFonts w:ascii="宋体"/>
        </w:rPr>
        <w:t> </w:t>
      </w:r>
    </w:p>
    <w:p>
      <w:pPr>
        <w:pStyle w:val="Heading3"/>
        <w:spacing w:line="240" w:lineRule="auto" w:before="85"/>
        <w:ind w:left="1398" w:right="0"/>
        <w:jc w:val="left"/>
        <w:rPr>
          <w:b w:val="0"/>
          <w:bCs w:val="0"/>
        </w:rPr>
      </w:pPr>
      <w:r>
        <w:rPr/>
        <w:t>五、公司对会计政策、会计估计变更或重大会计差错更正原因和影响的分析说明</w:t>
      </w:r>
      <w:r>
        <w:rPr>
          <w:b w:val="0"/>
          <w:bCs w:val="0"/>
        </w:rPr>
      </w:r>
    </w:p>
    <w:p>
      <w:pPr>
        <w:pStyle w:val="Heading3"/>
        <w:spacing w:line="240" w:lineRule="auto"/>
        <w:ind w:left="1398" w:right="0"/>
        <w:jc w:val="left"/>
        <w:rPr>
          <w:b w:val="0"/>
          <w:bCs w:val="0"/>
        </w:rPr>
      </w:pPr>
      <w:r>
        <w:rPr/>
        <w:t>（一）公司对会计政策、会计估计变更原因及影响的分析说明</w:t>
      </w:r>
      <w:r>
        <w:rPr>
          <w:b w:val="0"/>
          <w:bCs w:val="0"/>
        </w:rPr>
      </w:r>
    </w:p>
    <w:p>
      <w:pPr>
        <w:pStyle w:val="BodyText"/>
        <w:spacing w:line="240" w:lineRule="auto" w:before="97"/>
        <w:ind w:left="139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left="1818" w:right="0"/>
        <w:jc w:val="left"/>
        <w:rPr>
          <w:rFonts w:ascii="宋体" w:hAnsi="宋体" w:cs="宋体" w:eastAsia="宋体" w:hint="default"/>
        </w:rPr>
      </w:pPr>
      <w:r>
        <w:rPr/>
        <w:t>见本报告附注五</w:t>
      </w:r>
      <w:r>
        <w:rPr>
          <w:rFonts w:ascii="宋体" w:hAnsi="宋体" w:cs="宋体" w:eastAsia="宋体" w:hint="default"/>
        </w:rPr>
        <w:t>-41</w:t>
      </w:r>
      <w:r>
        <w:rPr>
          <w:rFonts w:ascii="宋体" w:hAnsi="宋体" w:cs="宋体" w:eastAsia="宋体" w:hint="default"/>
          <w:spacing w:val="-57"/>
        </w:rPr>
        <w:t> </w:t>
      </w:r>
      <w:r>
        <w:rPr/>
        <w:t>重要会计政策和会计估计的变更。</w:t>
      </w:r>
      <w:r>
        <w:rPr>
          <w:rFonts w:ascii="宋体" w:hAnsi="宋体" w:cs="宋体" w:eastAsia="宋体" w:hint="default"/>
        </w:rPr>
        <w:t> </w:t>
      </w:r>
    </w:p>
    <w:p>
      <w:pPr>
        <w:pStyle w:val="Heading2"/>
        <w:spacing w:line="240" w:lineRule="auto" w:before="9"/>
        <w:ind w:left="1398" w:right="0"/>
        <w:jc w:val="left"/>
        <w:rPr>
          <w:rFonts w:ascii="宋体" w:hAnsi="宋体" w:cs="宋体" w:eastAsia="宋体" w:hint="default"/>
        </w:rPr>
      </w:pPr>
      <w:r>
        <w:rPr>
          <w:rFonts w:ascii="宋体"/>
        </w:rPr>
        <w:t> </w:t>
      </w:r>
    </w:p>
    <w:p>
      <w:pPr>
        <w:pStyle w:val="Heading3"/>
        <w:spacing w:line="240" w:lineRule="auto" w:before="85"/>
        <w:ind w:left="1398" w:right="0"/>
        <w:jc w:val="left"/>
        <w:rPr>
          <w:b w:val="0"/>
          <w:bCs w:val="0"/>
        </w:rPr>
      </w:pPr>
      <w:r>
        <w:rPr/>
        <w:t>（二）公司对重大会计差错更正原因及影响的分析说明</w:t>
      </w:r>
      <w:r>
        <w:rPr>
          <w:b w:val="0"/>
          <w:bCs w:val="0"/>
        </w:rPr>
      </w:r>
    </w:p>
    <w:p>
      <w:pPr>
        <w:pStyle w:val="BodyText"/>
        <w:spacing w:line="240" w:lineRule="auto" w:before="97"/>
        <w:ind w:left="139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after="0" w:line="240" w:lineRule="auto"/>
        <w:jc w:val="left"/>
        <w:rPr>
          <w:rFonts w:ascii="宋体" w:hAnsi="宋体" w:cs="宋体" w:eastAsia="宋体" w:hint="default"/>
        </w:rPr>
        <w:sectPr>
          <w:pgSz w:w="11910" w:h="16840"/>
          <w:pgMar w:header="747" w:footer="974" w:top="1140" w:bottom="1160" w:left="400" w:right="200"/>
        </w:sectPr>
      </w:pPr>
    </w:p>
    <w:p>
      <w:pPr>
        <w:spacing w:line="240" w:lineRule="auto" w:before="4"/>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pgSz w:w="11910" w:h="16840"/>
          <w:pgMar w:header="747" w:footer="974" w:top="1140" w:bottom="1160" w:left="1580" w:right="1040"/>
        </w:sectPr>
      </w:pPr>
    </w:p>
    <w:p>
      <w:pPr>
        <w:pStyle w:val="Heading2"/>
        <w:spacing w:line="240" w:lineRule="auto" w:before="26"/>
        <w:ind w:right="0"/>
        <w:jc w:val="left"/>
        <w:rPr>
          <w:rFonts w:ascii="宋体" w:hAnsi="宋体" w:cs="宋体" w:eastAsia="宋体" w:hint="default"/>
        </w:rPr>
      </w:pPr>
      <w:r>
        <w:rPr>
          <w:rFonts w:ascii="宋体"/>
        </w:rPr>
        <w:t> </w:t>
      </w:r>
    </w:p>
    <w:p>
      <w:pPr>
        <w:pStyle w:val="Heading3"/>
        <w:spacing w:line="240" w:lineRule="auto" w:before="85"/>
        <w:ind w:right="0"/>
        <w:jc w:val="left"/>
        <w:rPr>
          <w:b w:val="0"/>
          <w:bCs w:val="0"/>
        </w:rPr>
      </w:pPr>
      <w:r>
        <w:rPr>
          <w:spacing w:val="-1"/>
        </w:rPr>
        <w:t>（三）与前任会计师事务所进行的沟通情况</w:t>
      </w:r>
      <w:r>
        <w:rPr>
          <w:b w:val="0"/>
          <w:bCs w:val="0"/>
          <w:spacing w:val="-1"/>
        </w:rPr>
      </w:r>
    </w:p>
    <w:p>
      <w:pPr>
        <w:pStyle w:val="Heading2"/>
        <w:spacing w:line="313" w:lineRule="exact" w:before="69"/>
        <w:ind w:right="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Heading2"/>
        <w:spacing w:line="313" w:lineRule="exact"/>
        <w:ind w:right="0"/>
        <w:jc w:val="left"/>
        <w:rPr>
          <w:rFonts w:ascii="宋体" w:hAnsi="宋体" w:cs="宋体" w:eastAsia="宋体" w:hint="default"/>
        </w:rPr>
      </w:pPr>
      <w:r>
        <w:rPr>
          <w:rFonts w:ascii="宋体"/>
        </w:rPr>
        <w:t> </w:t>
      </w:r>
    </w:p>
    <w:p>
      <w:pPr>
        <w:pStyle w:val="Heading3"/>
        <w:spacing w:line="240" w:lineRule="auto" w:before="85"/>
        <w:ind w:right="0"/>
        <w:jc w:val="left"/>
        <w:rPr>
          <w:b w:val="0"/>
          <w:bCs w:val="0"/>
        </w:rPr>
      </w:pPr>
      <w:r>
        <w:rPr/>
        <w:t>（四）其他说明</w:t>
      </w:r>
      <w:r>
        <w:rPr>
          <w:b w:val="0"/>
          <w:bCs w:val="0"/>
        </w:rPr>
      </w:r>
    </w:p>
    <w:p>
      <w:pPr>
        <w:pStyle w:val="Heading2"/>
        <w:spacing w:line="313" w:lineRule="exact" w:before="69"/>
        <w:ind w:right="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Heading2"/>
        <w:spacing w:line="313" w:lineRule="exact"/>
        <w:ind w:right="0"/>
        <w:jc w:val="left"/>
        <w:rPr>
          <w:rFonts w:ascii="宋体" w:hAnsi="宋体" w:cs="宋体" w:eastAsia="宋体" w:hint="default"/>
        </w:rPr>
      </w:pPr>
      <w:r>
        <w:rPr>
          <w:rFonts w:ascii="宋体"/>
        </w:rPr>
        <w:t> </w:t>
      </w:r>
    </w:p>
    <w:p>
      <w:pPr>
        <w:pStyle w:val="Heading3"/>
        <w:spacing w:line="240" w:lineRule="auto" w:before="85"/>
        <w:ind w:right="0"/>
        <w:jc w:val="left"/>
        <w:rPr>
          <w:b w:val="0"/>
          <w:bCs w:val="0"/>
        </w:rPr>
      </w:pPr>
      <w:r>
        <w:rPr/>
        <w:t>六、聘任、解聘会计师事务所情况</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22"/>
          <w:szCs w:val="22"/>
        </w:rPr>
      </w:pPr>
    </w:p>
    <w:p>
      <w:pPr>
        <w:pStyle w:val="BodyText"/>
        <w:spacing w:line="240" w:lineRule="auto"/>
        <w:ind w:right="0"/>
        <w:jc w:val="left"/>
        <w:rPr>
          <w:rFonts w:ascii="宋体" w:hAnsi="宋体" w:cs="宋体" w:eastAsia="宋体" w:hint="default"/>
        </w:rPr>
      </w:pPr>
      <w:r>
        <w:rPr/>
        <w:t>单位：万元币种：人民币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580" w:bottom="280" w:left="1580" w:right="1040"/>
          <w:cols w:num="2" w:equalWidth="0">
            <w:col w:w="4227" w:space="2295"/>
            <w:col w:w="2768"/>
          </w:cols>
        </w:sectPr>
      </w:pP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4525"/>
        <w:gridCol w:w="4525"/>
      </w:tblGrid>
      <w:tr>
        <w:trPr>
          <w:trHeight w:val="324"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w w:val="100"/>
                <w:sz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5" w:right="0"/>
              <w:jc w:val="center"/>
              <w:rPr>
                <w:rFonts w:ascii="宋体" w:hAnsi="宋体" w:cs="宋体" w:eastAsia="宋体" w:hint="default"/>
                <w:sz w:val="21"/>
                <w:szCs w:val="21"/>
              </w:rPr>
            </w:pPr>
            <w:r>
              <w:rPr>
                <w:rFonts w:ascii="宋体" w:hAnsi="宋体" w:cs="宋体" w:eastAsia="宋体" w:hint="default"/>
                <w:sz w:val="21"/>
                <w:szCs w:val="21"/>
              </w:rPr>
              <w:t>现聘任</w:t>
            </w:r>
            <w:r>
              <w:rPr>
                <w:rFonts w:ascii="宋体" w:hAnsi="宋体" w:cs="宋体" w:eastAsia="宋体" w:hint="default"/>
                <w:sz w:val="21"/>
                <w:szCs w:val="21"/>
              </w:rPr>
              <w:t> </w:t>
            </w:r>
          </w:p>
        </w:tc>
      </w:tr>
      <w:tr>
        <w:trPr>
          <w:trHeight w:val="322"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境内会计师事务所名称</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5" w:right="0"/>
              <w:jc w:val="center"/>
              <w:rPr>
                <w:rFonts w:ascii="宋体" w:hAnsi="宋体" w:cs="宋体" w:eastAsia="宋体" w:hint="default"/>
                <w:sz w:val="21"/>
                <w:szCs w:val="21"/>
              </w:rPr>
            </w:pPr>
            <w:r>
              <w:rPr>
                <w:rFonts w:ascii="宋体" w:hAnsi="宋体" w:cs="宋体" w:eastAsia="宋体" w:hint="default"/>
                <w:sz w:val="21"/>
                <w:szCs w:val="21"/>
              </w:rPr>
              <w:t>立信会计师事务所（特殊普通合伙）</w:t>
            </w:r>
            <w:r>
              <w:rPr>
                <w:rFonts w:ascii="宋体" w:hAnsi="宋体" w:cs="宋体" w:eastAsia="宋体" w:hint="default"/>
                <w:sz w:val="21"/>
                <w:szCs w:val="21"/>
              </w:rPr>
              <w:t> </w:t>
            </w:r>
          </w:p>
        </w:tc>
      </w:tr>
      <w:tr>
        <w:trPr>
          <w:trHeight w:val="322"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境内会计师事务所报酬</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5" w:right="0"/>
              <w:jc w:val="center"/>
              <w:rPr>
                <w:rFonts w:ascii="宋体" w:hAnsi="宋体" w:cs="宋体" w:eastAsia="宋体" w:hint="default"/>
                <w:sz w:val="21"/>
                <w:szCs w:val="21"/>
              </w:rPr>
            </w:pPr>
            <w:r>
              <w:rPr>
                <w:rFonts w:ascii="宋体"/>
                <w:sz w:val="21"/>
              </w:rPr>
              <w:t>185 </w:t>
            </w:r>
          </w:p>
        </w:tc>
      </w:tr>
      <w:tr>
        <w:trPr>
          <w:trHeight w:val="322"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境内会计师事务所审计年限</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2" w:right="0"/>
              <w:jc w:val="center"/>
              <w:rPr>
                <w:rFonts w:ascii="宋体" w:hAnsi="宋体" w:cs="宋体" w:eastAsia="宋体" w:hint="default"/>
                <w:sz w:val="21"/>
                <w:szCs w:val="21"/>
              </w:rPr>
            </w:pPr>
            <w:r>
              <w:rPr>
                <w:rFonts w:ascii="宋体"/>
                <w:sz w:val="21"/>
              </w:rPr>
              <w:t>12 </w:t>
            </w:r>
          </w:p>
        </w:tc>
      </w:tr>
    </w:tbl>
    <w:p>
      <w:pPr>
        <w:spacing w:line="240" w:lineRule="auto" w:before="11"/>
        <w:rPr>
          <w:rFonts w:ascii="宋体" w:hAnsi="宋体" w:cs="宋体" w:eastAsia="宋体" w:hint="default"/>
          <w:sz w:val="23"/>
          <w:szCs w:val="23"/>
        </w:rPr>
      </w:pPr>
    </w:p>
    <w:tbl>
      <w:tblPr>
        <w:tblW w:w="0" w:type="auto"/>
        <w:jc w:val="left"/>
        <w:tblInd w:w="105" w:type="dxa"/>
        <w:tblLayout w:type="fixed"/>
        <w:tblCellMar>
          <w:top w:w="0" w:type="dxa"/>
          <w:left w:w="0" w:type="dxa"/>
          <w:bottom w:w="0" w:type="dxa"/>
          <w:right w:w="0" w:type="dxa"/>
        </w:tblCellMar>
        <w:tblLook w:val="01E0"/>
      </w:tblPr>
      <w:tblGrid>
        <w:gridCol w:w="3229"/>
        <w:gridCol w:w="3826"/>
        <w:gridCol w:w="1995"/>
      </w:tblGrid>
      <w:tr>
        <w:trPr>
          <w:trHeight w:val="322"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w w:val="100"/>
                <w:sz w:val="21"/>
              </w:rPr>
              <w:t> </w:t>
            </w:r>
          </w:p>
        </w:tc>
        <w:tc>
          <w:tcPr>
            <w:tcW w:w="382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center"/>
              <w:rPr>
                <w:rFonts w:ascii="宋体" w:hAnsi="宋体" w:cs="宋体" w:eastAsia="宋体" w:hint="default"/>
                <w:sz w:val="21"/>
                <w:szCs w:val="21"/>
              </w:rPr>
            </w:pPr>
            <w:r>
              <w:rPr>
                <w:rFonts w:ascii="宋体" w:hAnsi="宋体" w:cs="宋体" w:eastAsia="宋体" w:hint="default"/>
                <w:sz w:val="21"/>
                <w:szCs w:val="21"/>
              </w:rPr>
              <w:t>名称</w:t>
            </w:r>
            <w:r>
              <w:rPr>
                <w:rFonts w:ascii="宋体" w:hAnsi="宋体" w:cs="宋体" w:eastAsia="宋体" w:hint="default"/>
                <w:sz w:val="21"/>
                <w:szCs w:val="21"/>
              </w:rPr>
              <w:t> </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6" w:right="0"/>
              <w:jc w:val="center"/>
              <w:rPr>
                <w:rFonts w:ascii="宋体" w:hAnsi="宋体" w:cs="宋体" w:eastAsia="宋体" w:hint="default"/>
                <w:sz w:val="21"/>
                <w:szCs w:val="21"/>
              </w:rPr>
            </w:pPr>
            <w:r>
              <w:rPr>
                <w:rFonts w:ascii="宋体" w:hAnsi="宋体" w:cs="宋体" w:eastAsia="宋体" w:hint="default"/>
                <w:sz w:val="21"/>
                <w:szCs w:val="21"/>
              </w:rPr>
              <w:t>报酬</w:t>
            </w:r>
            <w:r>
              <w:rPr>
                <w:rFonts w:ascii="宋体" w:hAnsi="宋体" w:cs="宋体" w:eastAsia="宋体" w:hint="default"/>
                <w:sz w:val="21"/>
                <w:szCs w:val="21"/>
              </w:rPr>
              <w:t> </w:t>
            </w:r>
          </w:p>
        </w:tc>
      </w:tr>
      <w:tr>
        <w:trPr>
          <w:trHeight w:val="324"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内部控制审计会计师事务所</w:t>
            </w:r>
            <w:r>
              <w:rPr>
                <w:rFonts w:ascii="宋体" w:hAnsi="宋体" w:cs="宋体" w:eastAsia="宋体" w:hint="default"/>
                <w:sz w:val="21"/>
                <w:szCs w:val="21"/>
              </w:rPr>
              <w:t> </w:t>
            </w:r>
          </w:p>
        </w:tc>
        <w:tc>
          <w:tcPr>
            <w:tcW w:w="382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0" w:right="0"/>
              <w:jc w:val="left"/>
              <w:rPr>
                <w:rFonts w:ascii="宋体" w:hAnsi="宋体" w:cs="宋体" w:eastAsia="宋体" w:hint="default"/>
                <w:sz w:val="21"/>
                <w:szCs w:val="21"/>
              </w:rPr>
            </w:pPr>
            <w:r>
              <w:rPr>
                <w:rFonts w:ascii="宋体" w:hAnsi="宋体" w:cs="宋体" w:eastAsia="宋体" w:hint="default"/>
                <w:sz w:val="21"/>
                <w:szCs w:val="21"/>
              </w:rPr>
              <w:t>立信会计师事务所（特殊普通合伙）</w:t>
            </w:r>
            <w:r>
              <w:rPr>
                <w:rFonts w:ascii="宋体" w:hAnsi="宋体" w:cs="宋体" w:eastAsia="宋体" w:hint="default"/>
                <w:sz w:val="21"/>
                <w:szCs w:val="21"/>
              </w:rPr>
              <w:t> </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center"/>
              <w:rPr>
                <w:rFonts w:ascii="宋体" w:hAnsi="宋体" w:cs="宋体" w:eastAsia="宋体" w:hint="default"/>
                <w:sz w:val="21"/>
                <w:szCs w:val="21"/>
              </w:rPr>
            </w:pPr>
            <w:r>
              <w:rPr>
                <w:rFonts w:ascii="宋体"/>
                <w:sz w:val="21"/>
              </w:rPr>
              <w:t>75 </w:t>
            </w:r>
          </w:p>
        </w:tc>
      </w:tr>
    </w:tbl>
    <w:p>
      <w:pPr>
        <w:pStyle w:val="Heading2"/>
        <w:spacing w:line="273" w:lineRule="exact"/>
        <w:ind w:right="0"/>
        <w:jc w:val="left"/>
        <w:rPr>
          <w:rFonts w:ascii="宋体" w:hAnsi="宋体" w:cs="宋体" w:eastAsia="宋体" w:hint="default"/>
        </w:rPr>
      </w:pPr>
      <w:r>
        <w:rPr>
          <w:rFonts w:ascii="宋体"/>
        </w:rPr>
        <w:t> </w:t>
      </w:r>
    </w:p>
    <w:p>
      <w:pPr>
        <w:pStyle w:val="Heading2"/>
        <w:spacing w:line="312" w:lineRule="exact"/>
        <w:ind w:right="0"/>
        <w:jc w:val="left"/>
        <w:rPr>
          <w:rFonts w:ascii="宋体" w:hAnsi="宋体" w:cs="宋体" w:eastAsia="宋体" w:hint="default"/>
        </w:rPr>
      </w:pPr>
      <w:r>
        <w:rPr/>
        <w:t>聘任、解聘会计师事务所的情况说明</w:t>
      </w:r>
      <w:r>
        <w:rPr>
          <w:rFonts w:ascii="宋体" w:hAnsi="宋体" w:cs="宋体" w:eastAsia="宋体" w:hint="default"/>
        </w:rPr>
        <w:t> </w:t>
      </w:r>
    </w:p>
    <w:p>
      <w:pPr>
        <w:pStyle w:val="Heading2"/>
        <w:spacing w:line="313" w:lineRule="exact"/>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BodyText"/>
        <w:spacing w:line="240" w:lineRule="auto" w:before="25"/>
        <w:ind w:left="638" w:right="0"/>
        <w:jc w:val="left"/>
      </w:pPr>
      <w:r>
        <w:rPr>
          <w:rFonts w:ascii="宋体" w:hAnsi="宋体" w:cs="宋体" w:eastAsia="宋体" w:hint="default"/>
          <w:w w:val="100"/>
        </w:rPr>
        <w:t>2019</w:t>
      </w:r>
      <w:r>
        <w:rPr>
          <w:rFonts w:ascii="宋体" w:hAnsi="宋体" w:cs="宋体" w:eastAsia="宋体" w:hint="default"/>
          <w:spacing w:val="-55"/>
        </w:rPr>
        <w:t> </w:t>
      </w:r>
      <w:r>
        <w:rPr>
          <w:w w:val="100"/>
        </w:rPr>
        <w:t>年</w:t>
      </w:r>
      <w:r>
        <w:rPr>
          <w:spacing w:val="-53"/>
        </w:rPr>
        <w:t> </w:t>
      </w:r>
      <w:r>
        <w:rPr>
          <w:rFonts w:ascii="宋体" w:hAnsi="宋体" w:cs="宋体" w:eastAsia="宋体" w:hint="default"/>
          <w:w w:val="100"/>
        </w:rPr>
        <w:t>5</w:t>
      </w:r>
      <w:r>
        <w:rPr>
          <w:rFonts w:ascii="宋体" w:hAnsi="宋体" w:cs="宋体" w:eastAsia="宋体" w:hint="default"/>
          <w:spacing w:val="-55"/>
        </w:rPr>
        <w:t> </w:t>
      </w:r>
      <w:r>
        <w:rPr>
          <w:w w:val="100"/>
        </w:rPr>
        <w:t>月</w:t>
      </w:r>
      <w:r>
        <w:rPr>
          <w:spacing w:val="-53"/>
        </w:rPr>
        <w:t> </w:t>
      </w:r>
      <w:r>
        <w:rPr>
          <w:rFonts w:ascii="宋体" w:hAnsi="宋体" w:cs="宋体" w:eastAsia="宋体" w:hint="default"/>
          <w:w w:val="100"/>
        </w:rPr>
        <w:t>28</w:t>
      </w:r>
      <w:r>
        <w:rPr>
          <w:rFonts w:ascii="宋体" w:hAnsi="宋体" w:cs="宋体" w:eastAsia="宋体" w:hint="default"/>
          <w:spacing w:val="-55"/>
        </w:rPr>
        <w:t> </w:t>
      </w:r>
      <w:r>
        <w:rPr>
          <w:w w:val="100"/>
        </w:rPr>
        <w:t>日</w:t>
      </w:r>
      <w:r>
        <w:rPr>
          <w:spacing w:val="-85"/>
          <w:w w:val="100"/>
        </w:rPr>
        <w:t>，</w:t>
      </w:r>
      <w:r>
        <w:rPr>
          <w:spacing w:val="-3"/>
          <w:w w:val="100"/>
        </w:rPr>
        <w:t>经公</w:t>
      </w:r>
      <w:r>
        <w:rPr>
          <w:w w:val="100"/>
        </w:rPr>
        <w:t>司</w:t>
      </w:r>
      <w:r>
        <w:rPr>
          <w:spacing w:val="-55"/>
        </w:rPr>
        <w:t> </w:t>
      </w:r>
      <w:r>
        <w:rPr>
          <w:rFonts w:ascii="宋体" w:hAnsi="宋体" w:cs="宋体" w:eastAsia="宋体" w:hint="default"/>
          <w:w w:val="100"/>
        </w:rPr>
        <w:t>2018</w:t>
      </w:r>
      <w:r>
        <w:rPr>
          <w:rFonts w:ascii="宋体" w:hAnsi="宋体" w:cs="宋体" w:eastAsia="宋体" w:hint="default"/>
          <w:spacing w:val="-55"/>
        </w:rPr>
        <w:t> </w:t>
      </w:r>
      <w:r>
        <w:rPr>
          <w:w w:val="100"/>
        </w:rPr>
        <w:t>年</w:t>
      </w:r>
      <w:r>
        <w:rPr>
          <w:spacing w:val="-3"/>
          <w:w w:val="100"/>
        </w:rPr>
        <w:t>度</w:t>
      </w:r>
      <w:r>
        <w:rPr>
          <w:w w:val="100"/>
        </w:rPr>
        <w:t>股</w:t>
      </w:r>
      <w:r>
        <w:rPr>
          <w:spacing w:val="-3"/>
          <w:w w:val="100"/>
        </w:rPr>
        <w:t>东</w:t>
      </w:r>
      <w:r>
        <w:rPr>
          <w:w w:val="100"/>
        </w:rPr>
        <w:t>大</w:t>
      </w:r>
      <w:r>
        <w:rPr>
          <w:spacing w:val="-3"/>
          <w:w w:val="100"/>
        </w:rPr>
        <w:t>会</w:t>
      </w:r>
      <w:r>
        <w:rPr>
          <w:w w:val="100"/>
        </w:rPr>
        <w:t>审</w:t>
      </w:r>
      <w:r>
        <w:rPr>
          <w:spacing w:val="-3"/>
          <w:w w:val="100"/>
        </w:rPr>
        <w:t>议通</w:t>
      </w:r>
      <w:r>
        <w:rPr>
          <w:w w:val="100"/>
        </w:rPr>
        <w:t>过</w:t>
      </w:r>
      <w:r>
        <w:rPr>
          <w:spacing w:val="-85"/>
          <w:w w:val="100"/>
        </w:rPr>
        <w:t>，</w:t>
      </w:r>
      <w:r>
        <w:rPr>
          <w:spacing w:val="-3"/>
          <w:w w:val="100"/>
        </w:rPr>
        <w:t>聘</w:t>
      </w:r>
      <w:r>
        <w:rPr>
          <w:w w:val="100"/>
        </w:rPr>
        <w:t>请</w:t>
      </w:r>
      <w:r>
        <w:rPr>
          <w:spacing w:val="-3"/>
          <w:w w:val="100"/>
        </w:rPr>
        <w:t>会</w:t>
      </w:r>
      <w:r>
        <w:rPr>
          <w:w w:val="100"/>
        </w:rPr>
        <w:t>计</w:t>
      </w:r>
      <w:r>
        <w:rPr>
          <w:spacing w:val="-3"/>
          <w:w w:val="100"/>
        </w:rPr>
        <w:t>师</w:t>
      </w:r>
      <w:r>
        <w:rPr>
          <w:w w:val="100"/>
        </w:rPr>
        <w:t>事</w:t>
      </w:r>
      <w:r>
        <w:rPr>
          <w:spacing w:val="-3"/>
          <w:w w:val="100"/>
        </w:rPr>
        <w:t>务</w:t>
      </w:r>
      <w:r>
        <w:rPr>
          <w:spacing w:val="-85"/>
          <w:w w:val="100"/>
        </w:rPr>
        <w:t>所</w:t>
      </w:r>
      <w:r>
        <w:rPr>
          <w:w w:val="100"/>
        </w:rPr>
        <w:t>（</w:t>
      </w:r>
      <w:r>
        <w:rPr>
          <w:spacing w:val="-3"/>
          <w:w w:val="100"/>
        </w:rPr>
        <w:t>特</w:t>
      </w:r>
      <w:r>
        <w:rPr>
          <w:w w:val="100"/>
        </w:rPr>
        <w:t>殊普</w:t>
      </w:r>
      <w:r>
        <w:rPr>
          <w:spacing w:val="-3"/>
          <w:w w:val="100"/>
        </w:rPr>
        <w:t>通</w:t>
      </w:r>
      <w:r>
        <w:rPr>
          <w:w w:val="100"/>
        </w:rPr>
        <w:t>合</w:t>
      </w:r>
      <w:r>
        <w:rPr>
          <w:spacing w:val="-3"/>
          <w:w w:val="100"/>
        </w:rPr>
        <w:t>伙</w:t>
      </w:r>
      <w:r>
        <w:rPr>
          <w:w w:val="100"/>
        </w:rPr>
        <w:t>）</w:t>
      </w:r>
    </w:p>
    <w:p>
      <w:pPr>
        <w:pStyle w:val="BodyText"/>
        <w:spacing w:line="240" w:lineRule="auto" w:before="37"/>
        <w:ind w:right="0"/>
        <w:jc w:val="left"/>
        <w:rPr>
          <w:rFonts w:ascii="宋体" w:hAnsi="宋体" w:cs="宋体" w:eastAsia="宋体" w:hint="default"/>
        </w:rPr>
      </w:pPr>
      <w:r>
        <w:rPr/>
        <w:t>为公司</w:t>
      </w:r>
      <w:r>
        <w:rPr>
          <w:spacing w:val="-57"/>
        </w:rPr>
        <w:t> </w:t>
      </w:r>
      <w:r>
        <w:rPr>
          <w:rFonts w:ascii="宋体" w:hAnsi="宋体" w:cs="宋体" w:eastAsia="宋体" w:hint="default"/>
        </w:rPr>
        <w:t>2019</w:t>
      </w:r>
      <w:r>
        <w:rPr>
          <w:rFonts w:ascii="宋体" w:hAnsi="宋体" w:cs="宋体" w:eastAsia="宋体" w:hint="default"/>
          <w:spacing w:val="-57"/>
        </w:rPr>
        <w:t> </w:t>
      </w:r>
      <w:r>
        <w:rPr/>
        <w:t>年度财务报告和内部控制审计机构。</w:t>
      </w:r>
      <w:r>
        <w:rPr>
          <w:rFonts w:ascii="宋体" w:hAnsi="宋体" w:cs="宋体" w:eastAsia="宋体" w:hint="default"/>
        </w:rPr>
        <w:t> </w:t>
      </w:r>
    </w:p>
    <w:p>
      <w:pPr>
        <w:pStyle w:val="Heading2"/>
        <w:spacing w:line="312" w:lineRule="exact" w:before="40"/>
        <w:ind w:right="0"/>
        <w:jc w:val="left"/>
        <w:rPr>
          <w:rFonts w:ascii="宋体" w:hAnsi="宋体" w:cs="宋体" w:eastAsia="宋体" w:hint="default"/>
        </w:rPr>
      </w:pPr>
      <w:r>
        <w:rPr>
          <w:rFonts w:ascii="宋体" w:hAnsi="宋体" w:cs="宋体" w:eastAsia="宋体" w:hint="default"/>
        </w:rPr>
        <w:t>  </w:t>
      </w:r>
      <w:r>
        <w:rPr/>
        <w:t>审计期间改聘会计师事务所的情况说明</w:t>
      </w:r>
      <w:r>
        <w:rPr>
          <w:rFonts w:ascii="宋体" w:hAnsi="宋体" w:cs="宋体" w:eastAsia="宋体" w:hint="default"/>
        </w:rPr>
        <w:t> </w:t>
      </w:r>
    </w:p>
    <w:p>
      <w:pPr>
        <w:pStyle w:val="Heading2"/>
        <w:spacing w:line="282" w:lineRule="exact"/>
        <w:ind w:right="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Heading3"/>
        <w:spacing w:line="314" w:lineRule="auto" w:before="0"/>
        <w:ind w:right="6307"/>
        <w:jc w:val="left"/>
        <w:rPr>
          <w:b w:val="0"/>
          <w:bCs w:val="0"/>
        </w:rPr>
      </w:pPr>
      <w:r>
        <w:rPr>
          <w:rFonts w:ascii="宋体" w:hAnsi="宋体" w:cs="宋体" w:eastAsia="宋体" w:hint="default"/>
          <w:b w:val="0"/>
          <w:bCs w:val="0"/>
          <w:sz w:val="24"/>
          <w:szCs w:val="24"/>
        </w:rPr>
        <w:t> </w:t>
      </w:r>
      <w:r>
        <w:rPr/>
        <w:t>七、面临暂停上市风险的情况</w:t>
      </w:r>
      <w:r>
        <w:rPr>
          <w:spacing w:val="104"/>
        </w:rPr>
        <w:t> </w:t>
      </w:r>
      <w:r>
        <w:rPr>
          <w:spacing w:val="104"/>
        </w:rPr>
      </w:r>
      <w:r>
        <w:rPr>
          <w:rFonts w:ascii="宋体" w:hAnsi="宋体" w:cs="宋体" w:eastAsia="宋体" w:hint="default"/>
          <w:w w:val="99"/>
        </w:rPr>
        <w:t>(</w:t>
      </w:r>
      <w:r>
        <w:rPr>
          <w:spacing w:val="-1"/>
          <w:w w:val="100"/>
        </w:rPr>
        <w:t>一</w:t>
      </w:r>
      <w:r>
        <w:rPr>
          <w:rFonts w:ascii="宋体" w:hAnsi="宋体" w:cs="宋体" w:eastAsia="宋体" w:hint="default"/>
          <w:w w:val="99"/>
        </w:rPr>
        <w:t>)</w:t>
      </w:r>
      <w:r>
        <w:rPr>
          <w:w w:val="100"/>
        </w:rPr>
        <w:t>导致暂停上市的原因</w:t>
      </w:r>
      <w:r>
        <w:rPr>
          <w:b w:val="0"/>
          <w:bCs w:val="0"/>
          <w:w w:val="100"/>
        </w:rPr>
      </w:r>
    </w:p>
    <w:p>
      <w:pPr>
        <w:spacing w:line="324" w:lineRule="auto" w:before="32"/>
        <w:ind w:left="218" w:right="6517"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w:t>
      </w:r>
      <w:r>
        <w:rPr>
          <w:rFonts w:ascii="宋体" w:hAnsi="宋体" w:cs="宋体" w:eastAsia="宋体" w:hint="default"/>
          <w:b/>
          <w:bCs/>
          <w:sz w:val="21"/>
          <w:szCs w:val="21"/>
        </w:rPr>
        <w:t>二</w:t>
      </w:r>
      <w:r>
        <w:rPr>
          <w:rFonts w:ascii="宋体" w:hAnsi="宋体" w:cs="宋体" w:eastAsia="宋体" w:hint="default"/>
          <w:b/>
          <w:bCs/>
          <w:sz w:val="21"/>
          <w:szCs w:val="21"/>
        </w:rPr>
        <w:t>)</w:t>
      </w:r>
      <w:r>
        <w:rPr>
          <w:rFonts w:ascii="宋体" w:hAnsi="宋体" w:cs="宋体" w:eastAsia="宋体" w:hint="default"/>
          <w:b/>
          <w:bCs/>
          <w:sz w:val="21"/>
          <w:szCs w:val="21"/>
        </w:rPr>
        <w:t>公司拟采取的应对措施</w:t>
      </w:r>
      <w:r>
        <w:rPr>
          <w:rFonts w:ascii="宋体" w:hAnsi="宋体" w:cs="宋体" w:eastAsia="宋体" w:hint="default"/>
          <w:sz w:val="21"/>
          <w:szCs w:val="21"/>
        </w:rPr>
      </w:r>
    </w:p>
    <w:p>
      <w:pPr>
        <w:pStyle w:val="BodyText"/>
        <w:spacing w:line="240" w:lineRule="auto" w:before="23"/>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324" w:lineRule="auto" w:before="37"/>
        <w:ind w:right="5993"/>
        <w:jc w:val="left"/>
        <w:rPr>
          <w:b w:val="0"/>
          <w:bCs w:val="0"/>
        </w:rPr>
      </w:pPr>
      <w:r>
        <w:rPr>
          <w:rFonts w:ascii="宋体" w:hAnsi="宋体" w:cs="宋体" w:eastAsia="宋体" w:hint="default"/>
          <w:b w:val="0"/>
          <w:bCs w:val="0"/>
          <w:w w:val="100"/>
        </w:rPr>
        <w:t> </w:t>
      </w:r>
      <w:r>
        <w:rPr>
          <w:w w:val="100"/>
        </w:rPr>
        <w:t>八</w:t>
      </w:r>
      <w:r>
        <w:rPr>
          <w:spacing w:val="-1"/>
          <w:w w:val="100"/>
        </w:rPr>
        <w:t>、</w:t>
      </w:r>
      <w:r>
        <w:rPr>
          <w:w w:val="100"/>
        </w:rPr>
        <w:t>面临终止上市的情</w:t>
      </w:r>
      <w:r>
        <w:rPr>
          <w:spacing w:val="-3"/>
          <w:w w:val="100"/>
        </w:rPr>
        <w:t>况</w:t>
      </w:r>
      <w:r>
        <w:rPr>
          <w:w w:val="100"/>
        </w:rPr>
        <w:t>和</w:t>
      </w:r>
      <w:r>
        <w:rPr>
          <w:spacing w:val="-3"/>
          <w:w w:val="100"/>
        </w:rPr>
        <w:t>原</w:t>
      </w:r>
      <w:r>
        <w:rPr>
          <w:w w:val="100"/>
        </w:rPr>
        <w:t>因</w:t>
      </w:r>
      <w:r>
        <w:rPr>
          <w:b w:val="0"/>
          <w:bCs w:val="0"/>
          <w:w w:val="100"/>
        </w:rPr>
      </w:r>
    </w:p>
    <w:p>
      <w:pPr>
        <w:pStyle w:val="BodyText"/>
        <w:spacing w:line="240" w:lineRule="auto" w:before="24"/>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324" w:lineRule="auto" w:before="37"/>
        <w:ind w:right="6831"/>
        <w:jc w:val="left"/>
        <w:rPr>
          <w:b w:val="0"/>
          <w:bCs w:val="0"/>
        </w:rPr>
      </w:pPr>
      <w:r>
        <w:rPr>
          <w:rFonts w:ascii="宋体" w:hAnsi="宋体" w:cs="宋体" w:eastAsia="宋体" w:hint="default"/>
          <w:b w:val="0"/>
          <w:bCs w:val="0"/>
          <w:w w:val="100"/>
        </w:rPr>
        <w:t> </w:t>
      </w:r>
      <w:r>
        <w:rPr>
          <w:w w:val="100"/>
        </w:rPr>
        <w:t>九</w:t>
      </w:r>
      <w:r>
        <w:rPr>
          <w:spacing w:val="-1"/>
          <w:w w:val="100"/>
        </w:rPr>
        <w:t>、</w:t>
      </w:r>
      <w:r>
        <w:rPr>
          <w:w w:val="100"/>
        </w:rPr>
        <w:t>破产重整相关事项</w:t>
      </w:r>
      <w:r>
        <w:rPr>
          <w:b w:val="0"/>
          <w:bCs w:val="0"/>
          <w:w w:val="100"/>
        </w:rPr>
      </w:r>
    </w:p>
    <w:p>
      <w:pPr>
        <w:pStyle w:val="Heading2"/>
        <w:spacing w:line="309" w:lineRule="exact"/>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2"/>
        <w:spacing w:line="313" w:lineRule="exact"/>
        <w:ind w:right="0"/>
        <w:jc w:val="left"/>
        <w:rPr>
          <w:rFonts w:ascii="宋体" w:hAnsi="宋体" w:cs="宋体" w:eastAsia="宋体" w:hint="default"/>
        </w:rPr>
      </w:pPr>
      <w:r>
        <w:rPr>
          <w:rFonts w:ascii="宋体"/>
        </w:rPr>
        <w:t> </w:t>
      </w:r>
    </w:p>
    <w:p>
      <w:pPr>
        <w:pStyle w:val="Heading3"/>
        <w:spacing w:line="240" w:lineRule="auto" w:before="85"/>
        <w:ind w:right="0"/>
        <w:jc w:val="left"/>
        <w:rPr>
          <w:b w:val="0"/>
          <w:bCs w:val="0"/>
        </w:rPr>
      </w:pPr>
      <w:r>
        <w:rPr/>
        <w:t>十、重大诉讼、仲裁事项</w:t>
      </w:r>
      <w:r>
        <w:rPr>
          <w:b w:val="0"/>
          <w:bCs w:val="0"/>
        </w:rPr>
      </w:r>
    </w:p>
    <w:p>
      <w:pPr>
        <w:pStyle w:val="BodyText"/>
        <w:spacing w:line="240" w:lineRule="auto" w:before="97"/>
        <w:ind w:right="0"/>
        <w:jc w:val="left"/>
        <w:rPr>
          <w:rFonts w:ascii="宋体" w:hAnsi="宋体" w:cs="宋体" w:eastAsia="宋体" w:hint="default"/>
        </w:rPr>
      </w:pPr>
      <w:r>
        <w:rPr/>
        <w:t>□本年度公司有重大诉讼、仲裁事项</w:t>
      </w:r>
      <w:r>
        <w:rPr>
          <w:spacing w:val="-8"/>
        </w:rPr>
        <w:t> </w:t>
      </w:r>
      <w:r>
        <w:rPr>
          <w:rFonts w:ascii="宋体" w:hAnsi="宋体" w:cs="宋体" w:eastAsia="宋体" w:hint="default"/>
          <w:spacing w:val="-8"/>
        </w:rPr>
      </w:r>
      <w:r>
        <w:rPr/>
        <w:t>√本年度公司无重大诉讼、仲裁事项</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right="0"/>
        <w:jc w:val="left"/>
        <w:rPr>
          <w:rFonts w:ascii="宋体" w:hAnsi="宋体" w:cs="宋体" w:eastAsia="宋体" w:hint="default"/>
        </w:rPr>
      </w:pPr>
      <w:r>
        <w:rPr>
          <w:rFonts w:ascii="宋体"/>
          <w:w w:val="100"/>
        </w:rPr>
        <w:t> </w:t>
      </w:r>
    </w:p>
    <w:p>
      <w:pPr>
        <w:spacing w:after="0" w:line="240" w:lineRule="auto"/>
        <w:jc w:val="left"/>
        <w:rPr>
          <w:rFonts w:ascii="宋体" w:hAnsi="宋体" w:cs="宋体" w:eastAsia="宋体" w:hint="default"/>
        </w:rPr>
        <w:sectPr>
          <w:type w:val="continuous"/>
          <w:pgSz w:w="11910" w:h="16840"/>
          <w:pgMar w:top="1580" w:bottom="280" w:left="1580" w:right="1040"/>
        </w:sectPr>
      </w:pPr>
    </w:p>
    <w:p>
      <w:pPr>
        <w:spacing w:line="240" w:lineRule="auto" w:before="9"/>
        <w:rPr>
          <w:rFonts w:ascii="宋体" w:hAnsi="宋体" w:cs="宋体" w:eastAsia="宋体" w:hint="default"/>
          <w:sz w:val="25"/>
          <w:szCs w:val="25"/>
        </w:rPr>
      </w:pPr>
    </w:p>
    <w:p>
      <w:pPr>
        <w:pStyle w:val="Heading3"/>
        <w:spacing w:line="273" w:lineRule="auto" w:before="36"/>
        <w:ind w:left="638" w:right="0" w:hanging="420"/>
        <w:jc w:val="left"/>
        <w:rPr>
          <w:b w:val="0"/>
          <w:bCs w:val="0"/>
        </w:rPr>
      </w:pPr>
      <w:r>
        <w:rPr>
          <w:spacing w:val="-1"/>
        </w:rPr>
        <w:t>十一、上市公司及其董事、监事、高级管理人员、控股股东、实际控制人、收购人处罚及整改情</w:t>
      </w:r>
      <w:r>
        <w:rPr>
          <w:spacing w:val="-83"/>
        </w:rPr>
        <w:t> </w:t>
      </w:r>
      <w:r>
        <w:rPr>
          <w:spacing w:val="-83"/>
        </w:rPr>
      </w:r>
      <w:r>
        <w:rPr/>
        <w:t>况</w:t>
      </w:r>
      <w:r>
        <w:rPr>
          <w:b w:val="0"/>
          <w:bCs w:val="0"/>
        </w:rPr>
      </w:r>
    </w:p>
    <w:p>
      <w:pPr>
        <w:pStyle w:val="BodyText"/>
        <w:spacing w:line="240" w:lineRule="auto" w:before="67"/>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2"/>
        <w:spacing w:line="240" w:lineRule="auto" w:before="9"/>
        <w:ind w:right="0"/>
        <w:jc w:val="left"/>
        <w:rPr>
          <w:rFonts w:ascii="宋体" w:hAnsi="宋体" w:cs="宋体" w:eastAsia="宋体" w:hint="default"/>
        </w:rPr>
      </w:pPr>
      <w:r>
        <w:rPr>
          <w:rFonts w:ascii="宋体"/>
        </w:rPr>
        <w:t> </w:t>
      </w:r>
    </w:p>
    <w:p>
      <w:pPr>
        <w:pStyle w:val="Heading3"/>
        <w:spacing w:line="240" w:lineRule="auto" w:before="85"/>
        <w:ind w:right="0"/>
        <w:jc w:val="left"/>
        <w:rPr>
          <w:b w:val="0"/>
          <w:bCs w:val="0"/>
        </w:rPr>
      </w:pPr>
      <w:r>
        <w:rPr/>
        <w:t>十二、报告期内公司及其控股股东、实际控制人诚信状况的说明</w:t>
      </w:r>
      <w:r>
        <w:rPr>
          <w:b w:val="0"/>
          <w:bCs w:val="0"/>
        </w:rPr>
      </w:r>
    </w:p>
    <w:p>
      <w:pPr>
        <w:pStyle w:val="BodyText"/>
        <w:spacing w:line="273" w:lineRule="auto" w:before="97"/>
        <w:ind w:left="638" w:right="0" w:hanging="420"/>
        <w:jc w:val="left"/>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报告期内，公司及控股股东、实际控制人诚信状况良好，不存在未履行法院生效判决、所负</w:t>
      </w:r>
    </w:p>
    <w:p>
      <w:pPr>
        <w:pStyle w:val="BodyText"/>
        <w:spacing w:line="240" w:lineRule="auto" w:before="7"/>
        <w:ind w:right="0"/>
        <w:jc w:val="left"/>
        <w:rPr>
          <w:rFonts w:ascii="宋体" w:hAnsi="宋体" w:cs="宋体" w:eastAsia="宋体" w:hint="default"/>
        </w:rPr>
      </w:pPr>
      <w:r>
        <w:rPr/>
        <w:t>数额较大的债务到期未清偿等情况。</w:t>
      </w:r>
      <w:r>
        <w:rPr>
          <w:rFonts w:ascii="宋体" w:hAnsi="宋体" w:cs="宋体" w:eastAsia="宋体" w:hint="default"/>
        </w:rPr>
        <w:t> </w:t>
      </w:r>
    </w:p>
    <w:p>
      <w:pPr>
        <w:pStyle w:val="Heading3"/>
        <w:spacing w:line="324" w:lineRule="auto" w:before="37"/>
        <w:ind w:right="1800"/>
        <w:jc w:val="left"/>
        <w:rPr>
          <w:b w:val="0"/>
          <w:bCs w:val="0"/>
        </w:rPr>
      </w:pPr>
      <w:r>
        <w:rPr>
          <w:rFonts w:ascii="宋体" w:hAnsi="宋体" w:cs="宋体" w:eastAsia="宋体" w:hint="default"/>
          <w:b w:val="0"/>
          <w:bCs w:val="0"/>
          <w:w w:val="100"/>
        </w:rPr>
        <w:t> </w:t>
      </w:r>
      <w:r>
        <w:rPr>
          <w:w w:val="100"/>
        </w:rPr>
        <w:t>十三</w:t>
      </w:r>
      <w:r>
        <w:rPr>
          <w:spacing w:val="-1"/>
          <w:w w:val="100"/>
        </w:rPr>
        <w:t>、</w:t>
      </w:r>
      <w:r>
        <w:rPr>
          <w:w w:val="100"/>
        </w:rPr>
        <w:t>公司股权激励计划</w:t>
      </w:r>
      <w:r>
        <w:rPr>
          <w:spacing w:val="-3"/>
          <w:w w:val="100"/>
        </w:rPr>
        <w:t>、</w:t>
      </w:r>
      <w:r>
        <w:rPr>
          <w:w w:val="100"/>
        </w:rPr>
        <w:t>员</w:t>
      </w:r>
      <w:r>
        <w:rPr>
          <w:spacing w:val="-3"/>
          <w:w w:val="100"/>
        </w:rPr>
        <w:t>工</w:t>
      </w:r>
      <w:r>
        <w:rPr>
          <w:w w:val="100"/>
        </w:rPr>
        <w:t>持股计划或其他员</w:t>
      </w:r>
      <w:r>
        <w:rPr>
          <w:spacing w:val="-3"/>
          <w:w w:val="100"/>
        </w:rPr>
        <w:t>工</w:t>
      </w:r>
      <w:r>
        <w:rPr>
          <w:w w:val="100"/>
        </w:rPr>
        <w:t>激</w:t>
      </w:r>
      <w:r>
        <w:rPr>
          <w:spacing w:val="-3"/>
          <w:w w:val="100"/>
        </w:rPr>
        <w:t>励</w:t>
      </w:r>
      <w:r>
        <w:rPr>
          <w:w w:val="100"/>
        </w:rPr>
        <w:t>措施的情况及其影响</w:t>
      </w:r>
      <w:r>
        <w:rPr>
          <w:w w:val="100"/>
        </w:rPr>
        <w:t> </w:t>
      </w:r>
      <w:r>
        <w:rPr>
          <w:rFonts w:ascii="宋体" w:hAnsi="宋体" w:cs="宋体" w:eastAsia="宋体" w:hint="default"/>
          <w:w w:val="99"/>
        </w:rPr>
        <w:t>(</w:t>
      </w:r>
      <w:r>
        <w:rPr>
          <w:spacing w:val="-1"/>
          <w:w w:val="100"/>
        </w:rPr>
        <w:t>一</w:t>
      </w:r>
      <w:r>
        <w:rPr>
          <w:rFonts w:ascii="宋体" w:hAnsi="宋体" w:cs="宋体" w:eastAsia="宋体" w:hint="default"/>
          <w:w w:val="99"/>
        </w:rPr>
        <w:t>)</w:t>
      </w:r>
      <w:r>
        <w:rPr>
          <w:rFonts w:ascii="宋体" w:hAnsi="宋体" w:cs="宋体" w:eastAsia="宋体" w:hint="default"/>
          <w:spacing w:val="38"/>
        </w:rPr>
        <w:t> </w:t>
      </w:r>
      <w:r>
        <w:rPr>
          <w:w w:val="100"/>
        </w:rPr>
        <w:t>相关激励事项已在</w:t>
      </w:r>
      <w:r>
        <w:rPr>
          <w:spacing w:val="-3"/>
          <w:w w:val="100"/>
        </w:rPr>
        <w:t>临</w:t>
      </w:r>
      <w:r>
        <w:rPr>
          <w:w w:val="100"/>
        </w:rPr>
        <w:t>时</w:t>
      </w:r>
      <w:r>
        <w:rPr>
          <w:spacing w:val="-3"/>
          <w:w w:val="100"/>
        </w:rPr>
        <w:t>公</w:t>
      </w:r>
      <w:r>
        <w:rPr>
          <w:w w:val="100"/>
        </w:rPr>
        <w:t>告披露且后续实施</w:t>
      </w:r>
      <w:r>
        <w:rPr>
          <w:spacing w:val="-3"/>
          <w:w w:val="100"/>
        </w:rPr>
        <w:t>无</w:t>
      </w:r>
      <w:r>
        <w:rPr>
          <w:w w:val="100"/>
        </w:rPr>
        <w:t>进</w:t>
      </w:r>
      <w:r>
        <w:rPr>
          <w:spacing w:val="-3"/>
          <w:w w:val="100"/>
        </w:rPr>
        <w:t>展</w:t>
      </w:r>
      <w:r>
        <w:rPr>
          <w:w w:val="100"/>
        </w:rPr>
        <w:t>或变化的</w:t>
      </w:r>
      <w:r>
        <w:rPr>
          <w:b w:val="0"/>
          <w:bCs w:val="0"/>
          <w:w w:val="100"/>
        </w:rPr>
      </w:r>
    </w:p>
    <w:p>
      <w:pPr>
        <w:pStyle w:val="Heading2"/>
        <w:spacing w:line="311" w:lineRule="exact"/>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12"/>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503"/>
        <w:gridCol w:w="4467"/>
      </w:tblGrid>
      <w:tr>
        <w:trPr>
          <w:trHeight w:val="324"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5" w:right="0"/>
              <w:jc w:val="center"/>
              <w:rPr>
                <w:rFonts w:ascii="宋体" w:hAnsi="宋体" w:cs="宋体" w:eastAsia="宋体" w:hint="default"/>
                <w:sz w:val="21"/>
                <w:szCs w:val="21"/>
              </w:rPr>
            </w:pPr>
            <w:r>
              <w:rPr>
                <w:rFonts w:ascii="宋体" w:hAnsi="宋体" w:cs="宋体" w:eastAsia="宋体" w:hint="default"/>
                <w:sz w:val="21"/>
                <w:szCs w:val="21"/>
              </w:rPr>
              <w:t>事项概述</w:t>
            </w:r>
            <w:r>
              <w:rPr>
                <w:rFonts w:ascii="宋体" w:hAnsi="宋体" w:cs="宋体" w:eastAsia="宋体" w:hint="default"/>
                <w:sz w:val="21"/>
                <w:szCs w:val="21"/>
              </w:rPr>
              <w:t> </w:t>
            </w:r>
          </w:p>
        </w:tc>
        <w:tc>
          <w:tcPr>
            <w:tcW w:w="446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2" w:right="0"/>
              <w:jc w:val="center"/>
              <w:rPr>
                <w:rFonts w:ascii="宋体" w:hAnsi="宋体" w:cs="宋体" w:eastAsia="宋体" w:hint="default"/>
                <w:sz w:val="21"/>
                <w:szCs w:val="21"/>
              </w:rPr>
            </w:pPr>
            <w:r>
              <w:rPr>
                <w:rFonts w:ascii="宋体" w:hAnsi="宋体" w:cs="宋体" w:eastAsia="宋体" w:hint="default"/>
                <w:sz w:val="21"/>
                <w:szCs w:val="21"/>
              </w:rPr>
              <w:t>查询索引</w:t>
            </w:r>
            <w:r>
              <w:rPr>
                <w:rFonts w:ascii="宋体" w:hAnsi="宋体" w:cs="宋体" w:eastAsia="宋体" w:hint="default"/>
                <w:sz w:val="21"/>
                <w:szCs w:val="21"/>
              </w:rPr>
              <w:t> </w:t>
            </w:r>
          </w:p>
        </w:tc>
      </w:tr>
      <w:tr>
        <w:trPr>
          <w:trHeight w:val="1570"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8"/>
              <w:jc w:val="both"/>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0"/>
                <w:sz w:val="21"/>
                <w:szCs w:val="21"/>
              </w:rPr>
              <w:t> </w:t>
            </w:r>
            <w:r>
              <w:rPr>
                <w:rFonts w:ascii="宋体" w:hAnsi="宋体" w:cs="宋体" w:eastAsia="宋体" w:hint="default"/>
                <w:sz w:val="21"/>
                <w:szCs w:val="21"/>
              </w:rPr>
              <w:t>年</w:t>
            </w:r>
            <w:r>
              <w:rPr>
                <w:rFonts w:ascii="宋体" w:hAnsi="宋体" w:cs="宋体" w:eastAsia="宋体" w:hint="default"/>
                <w:spacing w:val="-47"/>
                <w:sz w:val="21"/>
                <w:szCs w:val="21"/>
              </w:rPr>
              <w:t> </w:t>
            </w:r>
            <w:r>
              <w:rPr>
                <w:rFonts w:ascii="宋体" w:hAnsi="宋体" w:cs="宋体" w:eastAsia="宋体" w:hint="default"/>
                <w:sz w:val="21"/>
                <w:szCs w:val="21"/>
              </w:rPr>
              <w:t>1</w:t>
            </w:r>
            <w:r>
              <w:rPr>
                <w:rFonts w:ascii="宋体" w:hAnsi="宋体" w:cs="宋体" w:eastAsia="宋体" w:hint="default"/>
                <w:spacing w:val="-50"/>
                <w:sz w:val="21"/>
                <w:szCs w:val="21"/>
              </w:rPr>
              <w:t> </w:t>
            </w:r>
            <w:r>
              <w:rPr>
                <w:rFonts w:ascii="宋体" w:hAnsi="宋体" w:cs="宋体" w:eastAsia="宋体" w:hint="default"/>
                <w:sz w:val="21"/>
                <w:szCs w:val="21"/>
              </w:rPr>
              <w:t>月</w:t>
            </w:r>
            <w:r>
              <w:rPr>
                <w:rFonts w:ascii="宋体" w:hAnsi="宋体" w:cs="宋体" w:eastAsia="宋体" w:hint="default"/>
                <w:spacing w:val="-47"/>
                <w:sz w:val="21"/>
                <w:szCs w:val="21"/>
              </w:rPr>
              <w:t> </w:t>
            </w:r>
            <w:r>
              <w:rPr>
                <w:rFonts w:ascii="宋体" w:hAnsi="宋体" w:cs="宋体" w:eastAsia="宋体" w:hint="default"/>
                <w:sz w:val="21"/>
                <w:szCs w:val="21"/>
              </w:rPr>
              <w:t>21</w:t>
            </w:r>
            <w:r>
              <w:rPr>
                <w:rFonts w:ascii="宋体" w:hAnsi="宋体" w:cs="宋体" w:eastAsia="宋体" w:hint="default"/>
                <w:spacing w:val="-50"/>
                <w:sz w:val="21"/>
                <w:szCs w:val="21"/>
              </w:rPr>
              <w:t> </w:t>
            </w:r>
            <w:r>
              <w:rPr>
                <w:rFonts w:ascii="宋体" w:hAnsi="宋体" w:cs="宋体" w:eastAsia="宋体" w:hint="default"/>
                <w:spacing w:val="-7"/>
                <w:sz w:val="21"/>
                <w:szCs w:val="21"/>
              </w:rPr>
              <w:t>日，公司第三届董事会第三十九</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2"/>
                <w:sz w:val="21"/>
                <w:szCs w:val="21"/>
              </w:rPr>
              <w:t>次会议审议通过了《关于回购注销部分激励对</w:t>
            </w:r>
            <w:r>
              <w:rPr>
                <w:rFonts w:ascii="宋体" w:hAnsi="宋体" w:cs="宋体" w:eastAsia="宋体" w:hint="default"/>
                <w:spacing w:val="-68"/>
                <w:sz w:val="21"/>
                <w:szCs w:val="21"/>
              </w:rPr>
              <w:t> </w:t>
            </w:r>
            <w:r>
              <w:rPr>
                <w:rFonts w:ascii="宋体" w:hAnsi="宋体" w:cs="宋体" w:eastAsia="宋体" w:hint="default"/>
                <w:spacing w:val="-68"/>
                <w:sz w:val="21"/>
                <w:szCs w:val="21"/>
              </w:rPr>
            </w:r>
            <w:r>
              <w:rPr>
                <w:rFonts w:ascii="宋体" w:hAnsi="宋体" w:cs="宋体" w:eastAsia="宋体" w:hint="default"/>
                <w:spacing w:val="2"/>
                <w:sz w:val="21"/>
                <w:szCs w:val="21"/>
              </w:rPr>
              <w:t>象已获授但尚未解锁的第二期限制性股票的议</w:t>
            </w:r>
            <w:r>
              <w:rPr>
                <w:rFonts w:ascii="宋体" w:hAnsi="宋体" w:cs="宋体" w:eastAsia="宋体" w:hint="default"/>
                <w:spacing w:val="-68"/>
                <w:sz w:val="21"/>
                <w:szCs w:val="21"/>
              </w:rPr>
              <w:t> </w:t>
            </w:r>
            <w:r>
              <w:rPr>
                <w:rFonts w:ascii="宋体" w:hAnsi="宋体" w:cs="宋体" w:eastAsia="宋体" w:hint="default"/>
                <w:spacing w:val="-68"/>
                <w:sz w:val="21"/>
                <w:szCs w:val="21"/>
              </w:rPr>
            </w:r>
            <w:r>
              <w:rPr>
                <w:rFonts w:ascii="宋体" w:hAnsi="宋体" w:cs="宋体" w:eastAsia="宋体" w:hint="default"/>
                <w:sz w:val="21"/>
                <w:szCs w:val="21"/>
              </w:rPr>
              <w:t>案》</w:t>
            </w:r>
            <w:r>
              <w:rPr>
                <w:rFonts w:ascii="宋体" w:hAnsi="宋体" w:cs="宋体" w:eastAsia="宋体" w:hint="default"/>
                <w:sz w:val="21"/>
                <w:szCs w:val="21"/>
              </w:rPr>
              <w:t>,</w:t>
            </w:r>
            <w:r>
              <w:rPr>
                <w:rFonts w:ascii="宋体" w:hAnsi="宋体" w:cs="宋体" w:eastAsia="宋体" w:hint="default"/>
                <w:sz w:val="21"/>
                <w:szCs w:val="21"/>
              </w:rPr>
              <w:t>同意公司回购注销 </w:t>
            </w:r>
            <w:r>
              <w:rPr>
                <w:rFonts w:ascii="宋体" w:hAnsi="宋体" w:cs="宋体" w:eastAsia="宋体" w:hint="default"/>
                <w:sz w:val="21"/>
                <w:szCs w:val="21"/>
              </w:rPr>
              <w:t>11</w:t>
            </w:r>
            <w:r>
              <w:rPr>
                <w:rFonts w:ascii="宋体" w:hAnsi="宋体" w:cs="宋体" w:eastAsia="宋体" w:hint="default"/>
                <w:spacing w:val="-23"/>
                <w:sz w:val="21"/>
                <w:szCs w:val="21"/>
              </w:rPr>
              <w:t> </w:t>
            </w:r>
            <w:r>
              <w:rPr>
                <w:rFonts w:ascii="宋体" w:hAnsi="宋体" w:cs="宋体" w:eastAsia="宋体" w:hint="default"/>
                <w:sz w:val="21"/>
                <w:szCs w:val="21"/>
              </w:rPr>
              <w:t>名激励对象已获授</w:t>
            </w:r>
          </w:p>
          <w:p>
            <w:pPr>
              <w:pStyle w:val="TableParagraph"/>
              <w:spacing w:line="240" w:lineRule="auto" w:before="7"/>
              <w:ind w:left="103" w:right="0"/>
              <w:jc w:val="both"/>
              <w:rPr>
                <w:rFonts w:ascii="宋体" w:hAnsi="宋体" w:cs="宋体" w:eastAsia="宋体" w:hint="default"/>
                <w:sz w:val="21"/>
                <w:szCs w:val="21"/>
              </w:rPr>
            </w:pPr>
            <w:r>
              <w:rPr>
                <w:rFonts w:ascii="宋体" w:hAnsi="宋体" w:cs="宋体" w:eastAsia="宋体" w:hint="default"/>
                <w:sz w:val="21"/>
                <w:szCs w:val="21"/>
              </w:rPr>
              <w:t>但尚未解锁的</w:t>
            </w:r>
            <w:r>
              <w:rPr>
                <w:rFonts w:ascii="宋体" w:hAnsi="宋体" w:cs="宋体" w:eastAsia="宋体" w:hint="default"/>
                <w:spacing w:val="-56"/>
                <w:sz w:val="21"/>
                <w:szCs w:val="21"/>
              </w:rPr>
              <w:t> </w:t>
            </w:r>
            <w:r>
              <w:rPr>
                <w:rFonts w:ascii="宋体" w:hAnsi="宋体" w:cs="宋体" w:eastAsia="宋体" w:hint="default"/>
                <w:sz w:val="21"/>
                <w:szCs w:val="21"/>
              </w:rPr>
              <w:t>448,000</w:t>
            </w:r>
            <w:r>
              <w:rPr>
                <w:rFonts w:ascii="宋体" w:hAnsi="宋体" w:cs="宋体" w:eastAsia="宋体" w:hint="default"/>
                <w:spacing w:val="-55"/>
                <w:sz w:val="21"/>
                <w:szCs w:val="21"/>
              </w:rPr>
              <w:t> </w:t>
            </w:r>
            <w:r>
              <w:rPr>
                <w:rFonts w:ascii="宋体" w:hAnsi="宋体" w:cs="宋体" w:eastAsia="宋体" w:hint="default"/>
                <w:sz w:val="21"/>
                <w:szCs w:val="21"/>
              </w:rPr>
              <w:t>股限制性股票。</w:t>
            </w:r>
            <w:r>
              <w:rPr>
                <w:rFonts w:ascii="宋体" w:hAnsi="宋体" w:cs="宋体" w:eastAsia="宋体" w:hint="default"/>
                <w:sz w:val="21"/>
                <w:szCs w:val="21"/>
              </w:rPr>
              <w:t> </w:t>
            </w:r>
          </w:p>
        </w:tc>
        <w:tc>
          <w:tcPr>
            <w:tcW w:w="446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1"/>
              <w:jc w:val="both"/>
              <w:rPr>
                <w:rFonts w:ascii="宋体" w:hAnsi="宋体" w:cs="宋体" w:eastAsia="宋体" w:hint="default"/>
                <w:sz w:val="21"/>
                <w:szCs w:val="21"/>
              </w:rPr>
            </w:pPr>
            <w:r>
              <w:rPr>
                <w:rFonts w:ascii="宋体" w:hAnsi="宋体" w:cs="宋体" w:eastAsia="宋体" w:hint="default"/>
                <w:sz w:val="21"/>
                <w:szCs w:val="21"/>
              </w:rPr>
              <w:t>上海证券交易所网站公司公告中：《关于回购</w:t>
            </w:r>
            <w:r>
              <w:rPr>
                <w:rFonts w:ascii="宋体" w:hAnsi="宋体" w:cs="宋体" w:eastAsia="宋体" w:hint="default"/>
                <w:spacing w:val="-56"/>
                <w:sz w:val="21"/>
                <w:szCs w:val="21"/>
              </w:rPr>
              <w:t> </w:t>
            </w:r>
            <w:r>
              <w:rPr>
                <w:rFonts w:ascii="宋体" w:hAnsi="宋体" w:cs="宋体" w:eastAsia="宋体" w:hint="default"/>
                <w:spacing w:val="-56"/>
                <w:sz w:val="21"/>
                <w:szCs w:val="21"/>
              </w:rPr>
            </w:r>
            <w:r>
              <w:rPr>
                <w:rFonts w:ascii="宋体" w:hAnsi="宋体" w:cs="宋体" w:eastAsia="宋体" w:hint="default"/>
                <w:sz w:val="21"/>
                <w:szCs w:val="21"/>
              </w:rPr>
              <w:t>注销部分激励对象已获授但尚未解锁的第二期</w:t>
            </w:r>
            <w:r>
              <w:rPr>
                <w:rFonts w:ascii="宋体" w:hAnsi="宋体" w:cs="宋体" w:eastAsia="宋体" w:hint="default"/>
                <w:spacing w:val="-56"/>
                <w:sz w:val="21"/>
                <w:szCs w:val="21"/>
              </w:rPr>
              <w:t> </w:t>
            </w:r>
            <w:r>
              <w:rPr>
                <w:rFonts w:ascii="宋体" w:hAnsi="宋体" w:cs="宋体" w:eastAsia="宋体" w:hint="default"/>
                <w:spacing w:val="-56"/>
                <w:sz w:val="21"/>
                <w:szCs w:val="21"/>
              </w:rPr>
            </w:r>
            <w:r>
              <w:rPr>
                <w:rFonts w:ascii="宋体" w:hAnsi="宋体" w:cs="宋体" w:eastAsia="宋体" w:hint="default"/>
                <w:sz w:val="21"/>
                <w:szCs w:val="21"/>
              </w:rPr>
              <w:t>限制性股票的公告》和《关于回购注销部分第</w:t>
            </w:r>
            <w:r>
              <w:rPr>
                <w:rFonts w:ascii="宋体" w:hAnsi="宋体" w:cs="宋体" w:eastAsia="宋体" w:hint="default"/>
                <w:spacing w:val="-56"/>
                <w:sz w:val="21"/>
                <w:szCs w:val="21"/>
              </w:rPr>
              <w:t> </w:t>
            </w:r>
            <w:r>
              <w:rPr>
                <w:rFonts w:ascii="宋体" w:hAnsi="宋体" w:cs="宋体" w:eastAsia="宋体" w:hint="default"/>
                <w:spacing w:val="-56"/>
                <w:sz w:val="21"/>
                <w:szCs w:val="21"/>
              </w:rPr>
            </w:r>
            <w:r>
              <w:rPr>
                <w:rFonts w:ascii="宋体" w:hAnsi="宋体" w:cs="宋体" w:eastAsia="宋体" w:hint="default"/>
                <w:sz w:val="21"/>
                <w:szCs w:val="21"/>
              </w:rPr>
              <w:t>二期限制性股票通知债权人的公告》，公告编</w:t>
            </w:r>
            <w:r>
              <w:rPr>
                <w:rFonts w:ascii="宋体" w:hAnsi="宋体" w:cs="宋体" w:eastAsia="宋体" w:hint="default"/>
                <w:spacing w:val="-56"/>
                <w:sz w:val="21"/>
                <w:szCs w:val="21"/>
              </w:rPr>
              <w:t> </w:t>
            </w:r>
            <w:r>
              <w:rPr>
                <w:rFonts w:ascii="宋体" w:hAnsi="宋体" w:cs="宋体" w:eastAsia="宋体" w:hint="default"/>
                <w:spacing w:val="-56"/>
                <w:sz w:val="21"/>
                <w:szCs w:val="21"/>
              </w:rPr>
            </w:r>
            <w:r>
              <w:rPr>
                <w:rFonts w:ascii="宋体" w:hAnsi="宋体" w:cs="宋体" w:eastAsia="宋体" w:hint="default"/>
                <w:sz w:val="21"/>
                <w:szCs w:val="21"/>
              </w:rPr>
              <w:t>号分别为临</w:t>
            </w:r>
            <w:r>
              <w:rPr>
                <w:rFonts w:ascii="宋体" w:hAnsi="宋体" w:cs="宋体" w:eastAsia="宋体" w:hint="default"/>
                <w:spacing w:val="-53"/>
                <w:sz w:val="21"/>
                <w:szCs w:val="21"/>
              </w:rPr>
              <w:t> </w:t>
            </w:r>
            <w:r>
              <w:rPr>
                <w:rFonts w:ascii="宋体" w:hAnsi="宋体" w:cs="宋体" w:eastAsia="宋体" w:hint="default"/>
                <w:sz w:val="21"/>
                <w:szCs w:val="21"/>
              </w:rPr>
              <w:t>2019-06</w:t>
            </w:r>
            <w:r>
              <w:rPr>
                <w:rFonts w:ascii="宋体" w:hAnsi="宋体" w:cs="宋体" w:eastAsia="宋体" w:hint="default"/>
                <w:spacing w:val="-56"/>
                <w:sz w:val="21"/>
                <w:szCs w:val="21"/>
              </w:rPr>
              <w:t> </w:t>
            </w:r>
            <w:r>
              <w:rPr>
                <w:rFonts w:ascii="宋体" w:hAnsi="宋体" w:cs="宋体" w:eastAsia="宋体" w:hint="default"/>
                <w:sz w:val="21"/>
                <w:szCs w:val="21"/>
              </w:rPr>
              <w:t>和临</w:t>
            </w:r>
            <w:r>
              <w:rPr>
                <w:rFonts w:ascii="宋体" w:hAnsi="宋体" w:cs="宋体" w:eastAsia="宋体" w:hint="default"/>
                <w:spacing w:val="-56"/>
                <w:sz w:val="21"/>
                <w:szCs w:val="21"/>
              </w:rPr>
              <w:t> </w:t>
            </w:r>
            <w:r>
              <w:rPr>
                <w:rFonts w:ascii="宋体" w:hAnsi="宋体" w:cs="宋体" w:eastAsia="宋体" w:hint="default"/>
                <w:sz w:val="21"/>
                <w:szCs w:val="21"/>
              </w:rPr>
              <w:t>2019-07</w:t>
            </w:r>
            <w:r>
              <w:rPr>
                <w:rFonts w:ascii="宋体" w:hAnsi="宋体" w:cs="宋体" w:eastAsia="宋体" w:hint="default"/>
                <w:sz w:val="21"/>
                <w:szCs w:val="21"/>
              </w:rPr>
              <w:t>。</w:t>
            </w:r>
            <w:r>
              <w:rPr>
                <w:rFonts w:ascii="宋体" w:hAnsi="宋体" w:cs="宋体" w:eastAsia="宋体" w:hint="default"/>
                <w:sz w:val="21"/>
                <w:szCs w:val="21"/>
              </w:rPr>
              <w:t> </w:t>
            </w:r>
          </w:p>
        </w:tc>
      </w:tr>
      <w:tr>
        <w:trPr>
          <w:trHeight w:val="1258"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8"/>
              <w:jc w:val="both"/>
              <w:rPr>
                <w:rFonts w:ascii="宋体" w:hAnsi="宋体" w:cs="宋体" w:eastAsia="宋体" w:hint="default"/>
                <w:sz w:val="21"/>
                <w:szCs w:val="21"/>
              </w:rPr>
            </w:pPr>
            <w:r>
              <w:rPr>
                <w:rFonts w:ascii="宋体" w:hAnsi="宋体" w:cs="宋体" w:eastAsia="宋体" w:hint="default"/>
                <w:spacing w:val="2"/>
                <w:sz w:val="21"/>
                <w:szCs w:val="21"/>
              </w:rPr>
              <w:t>公司收到中国证券登记结算有限责任公司上海</w:t>
            </w:r>
            <w:r>
              <w:rPr>
                <w:rFonts w:ascii="宋体" w:hAnsi="宋体" w:cs="宋体" w:eastAsia="宋体" w:hint="default"/>
                <w:spacing w:val="-68"/>
                <w:sz w:val="21"/>
                <w:szCs w:val="21"/>
              </w:rPr>
              <w:t> </w:t>
            </w:r>
            <w:r>
              <w:rPr>
                <w:rFonts w:ascii="宋体" w:hAnsi="宋体" w:cs="宋体" w:eastAsia="宋体" w:hint="default"/>
                <w:spacing w:val="-68"/>
                <w:sz w:val="21"/>
                <w:szCs w:val="21"/>
              </w:rPr>
            </w:r>
            <w:r>
              <w:rPr>
                <w:rFonts w:ascii="宋体" w:hAnsi="宋体" w:cs="宋体" w:eastAsia="宋体" w:hint="default"/>
                <w:spacing w:val="-5"/>
                <w:sz w:val="21"/>
                <w:szCs w:val="21"/>
              </w:rPr>
              <w:t>分公司出具的过户登记确认书，</w:t>
            </w:r>
            <w:r>
              <w:rPr>
                <w:rFonts w:ascii="宋体" w:hAnsi="宋体" w:cs="宋体" w:eastAsia="宋体" w:hint="default"/>
                <w:spacing w:val="-5"/>
                <w:sz w:val="21"/>
                <w:szCs w:val="21"/>
              </w:rPr>
              <w:t>448,000</w:t>
            </w:r>
            <w:r>
              <w:rPr>
                <w:rFonts w:ascii="宋体" w:hAnsi="宋体" w:cs="宋体" w:eastAsia="宋体" w:hint="default"/>
                <w:spacing w:val="-31"/>
                <w:sz w:val="21"/>
                <w:szCs w:val="21"/>
              </w:rPr>
              <w:t> </w:t>
            </w:r>
            <w:r>
              <w:rPr>
                <w:rFonts w:ascii="宋体" w:hAnsi="宋体" w:cs="宋体" w:eastAsia="宋体" w:hint="default"/>
                <w:sz w:val="21"/>
                <w:szCs w:val="21"/>
              </w:rPr>
              <w:t>股限制</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pacing w:val="13"/>
                <w:sz w:val="21"/>
                <w:szCs w:val="21"/>
              </w:rPr>
              <w:t>性股票已过户至公司回购专用证券账户，于</w:t>
            </w:r>
            <w:r>
              <w:rPr>
                <w:rFonts w:ascii="宋体" w:hAnsi="宋体" w:cs="宋体" w:eastAsia="宋体" w:hint="default"/>
                <w:spacing w:val="-64"/>
                <w:sz w:val="21"/>
                <w:szCs w:val="21"/>
              </w:rPr>
              <w:t> </w:t>
            </w:r>
            <w:r>
              <w:rPr>
                <w:rFonts w:ascii="宋体" w:hAnsi="宋体" w:cs="宋体" w:eastAsia="宋体" w:hint="default"/>
                <w:spacing w:val="-64"/>
                <w:sz w:val="21"/>
                <w:szCs w:val="21"/>
              </w:rPr>
            </w: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日注销完成。</w:t>
            </w:r>
            <w:r>
              <w:rPr>
                <w:rFonts w:ascii="宋体" w:hAnsi="宋体" w:cs="宋体" w:eastAsia="宋体" w:hint="default"/>
                <w:sz w:val="21"/>
                <w:szCs w:val="21"/>
              </w:rPr>
              <w:t> </w:t>
            </w:r>
          </w:p>
        </w:tc>
        <w:tc>
          <w:tcPr>
            <w:tcW w:w="446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103" w:right="96"/>
              <w:jc w:val="both"/>
              <w:rPr>
                <w:rFonts w:ascii="宋体" w:hAnsi="宋体" w:cs="宋体" w:eastAsia="宋体" w:hint="default"/>
                <w:sz w:val="21"/>
                <w:szCs w:val="21"/>
              </w:rPr>
            </w:pPr>
            <w:r>
              <w:rPr>
                <w:rFonts w:ascii="宋体" w:hAnsi="宋体" w:cs="宋体" w:eastAsia="宋体" w:hint="default"/>
                <w:sz w:val="21"/>
                <w:szCs w:val="21"/>
              </w:rPr>
              <w:t>上海证券交易所网站公司公告中：《关于部分</w:t>
            </w:r>
            <w:r>
              <w:rPr>
                <w:rFonts w:ascii="宋体" w:hAnsi="宋体" w:cs="宋体" w:eastAsia="宋体" w:hint="default"/>
                <w:spacing w:val="-56"/>
                <w:sz w:val="21"/>
                <w:szCs w:val="21"/>
              </w:rPr>
              <w:t> </w:t>
            </w:r>
            <w:r>
              <w:rPr>
                <w:rFonts w:ascii="宋体" w:hAnsi="宋体" w:cs="宋体" w:eastAsia="宋体" w:hint="default"/>
                <w:spacing w:val="-56"/>
                <w:sz w:val="21"/>
                <w:szCs w:val="21"/>
              </w:rPr>
            </w:r>
            <w:r>
              <w:rPr>
                <w:rFonts w:ascii="宋体" w:hAnsi="宋体" w:cs="宋体" w:eastAsia="宋体" w:hint="default"/>
                <w:spacing w:val="-4"/>
                <w:sz w:val="21"/>
                <w:szCs w:val="21"/>
              </w:rPr>
              <w:t>限制性股票回购注销完成的公告》</w:t>
            </w:r>
            <w:r>
              <w:rPr>
                <w:rFonts w:ascii="宋体" w:hAnsi="宋体" w:cs="宋体" w:eastAsia="宋体" w:hint="default"/>
                <w:spacing w:val="-4"/>
                <w:sz w:val="21"/>
                <w:szCs w:val="21"/>
              </w:rPr>
              <w:t>,</w:t>
            </w:r>
            <w:r>
              <w:rPr>
                <w:rFonts w:ascii="宋体" w:hAnsi="宋体" w:cs="宋体" w:eastAsia="宋体" w:hint="default"/>
                <w:spacing w:val="-4"/>
                <w:sz w:val="21"/>
                <w:szCs w:val="21"/>
              </w:rPr>
              <w:t>公告编号为</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临</w:t>
            </w:r>
            <w:r>
              <w:rPr>
                <w:rFonts w:ascii="宋体" w:hAnsi="宋体" w:cs="宋体" w:eastAsia="宋体" w:hint="default"/>
                <w:spacing w:val="-56"/>
                <w:sz w:val="21"/>
                <w:szCs w:val="21"/>
              </w:rPr>
              <w:t> </w:t>
            </w:r>
            <w:r>
              <w:rPr>
                <w:rFonts w:ascii="宋体" w:hAnsi="宋体" w:cs="宋体" w:eastAsia="宋体" w:hint="default"/>
                <w:sz w:val="21"/>
                <w:szCs w:val="21"/>
              </w:rPr>
              <w:t>2019-30</w:t>
            </w:r>
            <w:r>
              <w:rPr>
                <w:rFonts w:ascii="宋体" w:hAnsi="宋体" w:cs="宋体" w:eastAsia="宋体" w:hint="default"/>
                <w:sz w:val="21"/>
                <w:szCs w:val="21"/>
              </w:rPr>
              <w:t>。</w:t>
            </w:r>
            <w:r>
              <w:rPr>
                <w:rFonts w:ascii="宋体" w:hAnsi="宋体" w:cs="宋体" w:eastAsia="宋体" w:hint="default"/>
                <w:sz w:val="21"/>
                <w:szCs w:val="21"/>
              </w:rPr>
              <w:t> </w:t>
            </w:r>
          </w:p>
        </w:tc>
      </w:tr>
      <w:tr>
        <w:trPr>
          <w:trHeight w:val="1882"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103" w:right="98"/>
              <w:jc w:val="both"/>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0"/>
                <w:sz w:val="21"/>
                <w:szCs w:val="21"/>
              </w:rPr>
              <w:t> </w:t>
            </w:r>
            <w:r>
              <w:rPr>
                <w:rFonts w:ascii="宋体" w:hAnsi="宋体" w:cs="宋体" w:eastAsia="宋体" w:hint="default"/>
                <w:sz w:val="21"/>
                <w:szCs w:val="21"/>
              </w:rPr>
              <w:t>年</w:t>
            </w:r>
            <w:r>
              <w:rPr>
                <w:rFonts w:ascii="宋体" w:hAnsi="宋体" w:cs="宋体" w:eastAsia="宋体" w:hint="default"/>
                <w:spacing w:val="-47"/>
                <w:sz w:val="21"/>
                <w:szCs w:val="21"/>
              </w:rPr>
              <w:t> </w:t>
            </w:r>
            <w:r>
              <w:rPr>
                <w:rFonts w:ascii="宋体" w:hAnsi="宋体" w:cs="宋体" w:eastAsia="宋体" w:hint="default"/>
                <w:sz w:val="21"/>
                <w:szCs w:val="21"/>
              </w:rPr>
              <w:t>4</w:t>
            </w:r>
            <w:r>
              <w:rPr>
                <w:rFonts w:ascii="宋体" w:hAnsi="宋体" w:cs="宋体" w:eastAsia="宋体" w:hint="default"/>
                <w:spacing w:val="-50"/>
                <w:sz w:val="21"/>
                <w:szCs w:val="21"/>
              </w:rPr>
              <w:t> </w:t>
            </w:r>
            <w:r>
              <w:rPr>
                <w:rFonts w:ascii="宋体" w:hAnsi="宋体" w:cs="宋体" w:eastAsia="宋体" w:hint="default"/>
                <w:sz w:val="21"/>
                <w:szCs w:val="21"/>
              </w:rPr>
              <w:t>月</w:t>
            </w:r>
            <w:r>
              <w:rPr>
                <w:rFonts w:ascii="宋体" w:hAnsi="宋体" w:cs="宋体" w:eastAsia="宋体" w:hint="default"/>
                <w:spacing w:val="-47"/>
                <w:sz w:val="21"/>
                <w:szCs w:val="21"/>
              </w:rPr>
              <w:t> </w:t>
            </w:r>
            <w:r>
              <w:rPr>
                <w:rFonts w:ascii="宋体" w:hAnsi="宋体" w:cs="宋体" w:eastAsia="宋体" w:hint="default"/>
                <w:sz w:val="21"/>
                <w:szCs w:val="21"/>
              </w:rPr>
              <w:t>25</w:t>
            </w:r>
            <w:r>
              <w:rPr>
                <w:rFonts w:ascii="宋体" w:hAnsi="宋体" w:cs="宋体" w:eastAsia="宋体" w:hint="default"/>
                <w:spacing w:val="-50"/>
                <w:sz w:val="21"/>
                <w:szCs w:val="21"/>
              </w:rPr>
              <w:t> </w:t>
            </w:r>
            <w:r>
              <w:rPr>
                <w:rFonts w:ascii="宋体" w:hAnsi="宋体" w:cs="宋体" w:eastAsia="宋体" w:hint="default"/>
                <w:spacing w:val="-7"/>
                <w:sz w:val="21"/>
                <w:szCs w:val="21"/>
              </w:rPr>
              <w:t>日，公司第四届董事会第二次会</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2"/>
                <w:sz w:val="21"/>
                <w:szCs w:val="21"/>
              </w:rPr>
              <w:t>议审议通过了《关于回购注销部分第二期股权</w:t>
            </w:r>
            <w:r>
              <w:rPr>
                <w:rFonts w:ascii="宋体" w:hAnsi="宋体" w:cs="宋体" w:eastAsia="宋体" w:hint="default"/>
                <w:spacing w:val="-68"/>
                <w:sz w:val="21"/>
                <w:szCs w:val="21"/>
              </w:rPr>
              <w:t> </w:t>
            </w:r>
            <w:r>
              <w:rPr>
                <w:rFonts w:ascii="宋体" w:hAnsi="宋体" w:cs="宋体" w:eastAsia="宋体" w:hint="default"/>
                <w:spacing w:val="-68"/>
                <w:sz w:val="21"/>
                <w:szCs w:val="21"/>
              </w:rPr>
            </w:r>
            <w:r>
              <w:rPr>
                <w:rFonts w:ascii="宋体" w:hAnsi="宋体" w:cs="宋体" w:eastAsia="宋体" w:hint="default"/>
                <w:spacing w:val="2"/>
                <w:sz w:val="21"/>
                <w:szCs w:val="21"/>
              </w:rPr>
              <w:t>激励计划限制性股票的议案》，同意公司将合</w:t>
            </w:r>
            <w:r>
              <w:rPr>
                <w:rFonts w:ascii="宋体" w:hAnsi="宋体" w:cs="宋体" w:eastAsia="宋体" w:hint="default"/>
                <w:spacing w:val="-68"/>
                <w:sz w:val="21"/>
                <w:szCs w:val="21"/>
              </w:rPr>
              <w:t> </w:t>
            </w:r>
            <w:r>
              <w:rPr>
                <w:rFonts w:ascii="宋体" w:hAnsi="宋体" w:cs="宋体" w:eastAsia="宋体" w:hint="default"/>
                <w:spacing w:val="-68"/>
                <w:sz w:val="21"/>
                <w:szCs w:val="21"/>
              </w:rPr>
            </w:r>
            <w:r>
              <w:rPr>
                <w:rFonts w:ascii="宋体" w:hAnsi="宋体" w:cs="宋体" w:eastAsia="宋体" w:hint="default"/>
                <w:sz w:val="21"/>
                <w:szCs w:val="21"/>
              </w:rPr>
              <w:t>计 </w:t>
            </w:r>
            <w:r>
              <w:rPr>
                <w:rFonts w:ascii="宋体" w:hAnsi="宋体" w:cs="宋体" w:eastAsia="宋体" w:hint="default"/>
                <w:sz w:val="21"/>
                <w:szCs w:val="21"/>
              </w:rPr>
              <w:t>7,221,000</w:t>
            </w:r>
            <w:r>
              <w:rPr>
                <w:rFonts w:ascii="宋体" w:hAnsi="宋体" w:cs="宋体" w:eastAsia="宋体" w:hint="default"/>
                <w:spacing w:val="-23"/>
                <w:sz w:val="21"/>
                <w:szCs w:val="21"/>
              </w:rPr>
              <w:t> </w:t>
            </w:r>
            <w:r>
              <w:rPr>
                <w:rFonts w:ascii="宋体" w:hAnsi="宋体" w:cs="宋体" w:eastAsia="宋体" w:hint="default"/>
                <w:sz w:val="21"/>
                <w:szCs w:val="21"/>
              </w:rPr>
              <w:t>股未解锁的限制性股票进行回购</w:t>
            </w:r>
            <w:r>
              <w:rPr>
                <w:rFonts w:ascii="宋体" w:hAnsi="宋体" w:cs="宋体" w:eastAsia="宋体" w:hint="default"/>
                <w:w w:val="100"/>
                <w:sz w:val="21"/>
                <w:szCs w:val="21"/>
              </w:rPr>
              <w:t> </w:t>
            </w:r>
            <w:r>
              <w:rPr>
                <w:rFonts w:ascii="宋体" w:hAnsi="宋体" w:cs="宋体" w:eastAsia="宋体" w:hint="default"/>
                <w:sz w:val="21"/>
                <w:szCs w:val="21"/>
              </w:rPr>
              <w:t>注销。</w:t>
            </w:r>
            <w:r>
              <w:rPr>
                <w:rFonts w:ascii="宋体" w:hAnsi="宋体" w:cs="宋体" w:eastAsia="宋体" w:hint="default"/>
                <w:sz w:val="21"/>
                <w:szCs w:val="21"/>
              </w:rPr>
              <w:t> </w:t>
            </w:r>
          </w:p>
        </w:tc>
        <w:tc>
          <w:tcPr>
            <w:tcW w:w="446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3"/>
              <w:jc w:val="both"/>
              <w:rPr>
                <w:rFonts w:ascii="宋体" w:hAnsi="宋体" w:cs="宋体" w:eastAsia="宋体" w:hint="default"/>
                <w:sz w:val="21"/>
                <w:szCs w:val="21"/>
              </w:rPr>
            </w:pPr>
            <w:r>
              <w:rPr>
                <w:rFonts w:ascii="宋体" w:hAnsi="宋体" w:cs="宋体" w:eastAsia="宋体" w:hint="default"/>
                <w:sz w:val="21"/>
                <w:szCs w:val="21"/>
              </w:rPr>
              <w:t>上海证券交易所网站公司公告中：《公司第四</w:t>
            </w:r>
            <w:r>
              <w:rPr>
                <w:rFonts w:ascii="宋体" w:hAnsi="宋体" w:cs="宋体" w:eastAsia="宋体" w:hint="default"/>
                <w:spacing w:val="-56"/>
                <w:sz w:val="21"/>
                <w:szCs w:val="21"/>
              </w:rPr>
              <w:t> </w:t>
            </w:r>
            <w:r>
              <w:rPr>
                <w:rFonts w:ascii="宋体" w:hAnsi="宋体" w:cs="宋体" w:eastAsia="宋体" w:hint="default"/>
                <w:spacing w:val="-56"/>
                <w:sz w:val="21"/>
                <w:szCs w:val="21"/>
              </w:rPr>
            </w:r>
            <w:r>
              <w:rPr>
                <w:rFonts w:ascii="宋体" w:hAnsi="宋体" w:cs="宋体" w:eastAsia="宋体" w:hint="default"/>
                <w:sz w:val="21"/>
                <w:szCs w:val="21"/>
              </w:rPr>
              <w:t>届董事会第二次会议决议公告》、《关于回购</w:t>
            </w:r>
            <w:r>
              <w:rPr>
                <w:rFonts w:ascii="宋体" w:hAnsi="宋体" w:cs="宋体" w:eastAsia="宋体" w:hint="default"/>
                <w:spacing w:val="-54"/>
                <w:sz w:val="21"/>
                <w:szCs w:val="21"/>
              </w:rPr>
              <w:t> </w:t>
            </w:r>
            <w:r>
              <w:rPr>
                <w:rFonts w:ascii="宋体" w:hAnsi="宋体" w:cs="宋体" w:eastAsia="宋体" w:hint="default"/>
                <w:spacing w:val="-54"/>
                <w:sz w:val="21"/>
                <w:szCs w:val="21"/>
              </w:rPr>
            </w:r>
            <w:r>
              <w:rPr>
                <w:rFonts w:ascii="宋体" w:hAnsi="宋体" w:cs="宋体" w:eastAsia="宋体" w:hint="default"/>
                <w:sz w:val="21"/>
                <w:szCs w:val="21"/>
              </w:rPr>
              <w:t>注销部分第二期股权激励计划限制性股票的公</w:t>
            </w:r>
            <w:r>
              <w:rPr>
                <w:rFonts w:ascii="宋体" w:hAnsi="宋体" w:cs="宋体" w:eastAsia="宋体" w:hint="default"/>
                <w:spacing w:val="-56"/>
                <w:sz w:val="21"/>
                <w:szCs w:val="21"/>
              </w:rPr>
              <w:t> </w:t>
            </w:r>
            <w:r>
              <w:rPr>
                <w:rFonts w:ascii="宋体" w:hAnsi="宋体" w:cs="宋体" w:eastAsia="宋体" w:hint="default"/>
                <w:spacing w:val="-56"/>
                <w:sz w:val="21"/>
                <w:szCs w:val="21"/>
              </w:rPr>
            </w:r>
            <w:r>
              <w:rPr>
                <w:rFonts w:ascii="宋体" w:hAnsi="宋体" w:cs="宋体" w:eastAsia="宋体" w:hint="default"/>
                <w:sz w:val="21"/>
                <w:szCs w:val="21"/>
              </w:rPr>
              <w:t>告》和《关于回购注销部分第二期限制性股票</w:t>
            </w:r>
            <w:r>
              <w:rPr>
                <w:rFonts w:ascii="宋体" w:hAnsi="宋体" w:cs="宋体" w:eastAsia="宋体" w:hint="default"/>
                <w:spacing w:val="-56"/>
                <w:sz w:val="21"/>
                <w:szCs w:val="21"/>
              </w:rPr>
              <w:t> </w:t>
            </w:r>
            <w:r>
              <w:rPr>
                <w:rFonts w:ascii="宋体" w:hAnsi="宋体" w:cs="宋体" w:eastAsia="宋体" w:hint="default"/>
                <w:spacing w:val="-56"/>
                <w:sz w:val="21"/>
                <w:szCs w:val="21"/>
              </w:rPr>
            </w:r>
            <w:r>
              <w:rPr>
                <w:rFonts w:ascii="宋体" w:hAnsi="宋体" w:cs="宋体" w:eastAsia="宋体" w:hint="default"/>
                <w:sz w:val="21"/>
                <w:szCs w:val="21"/>
              </w:rPr>
              <w:t>通</w:t>
            </w:r>
            <w:r>
              <w:rPr>
                <w:rFonts w:ascii="宋体" w:hAnsi="宋体" w:cs="宋体" w:eastAsia="宋体" w:hint="default"/>
                <w:spacing w:val="-71"/>
                <w:sz w:val="21"/>
                <w:szCs w:val="21"/>
              </w:rPr>
              <w:t> </w:t>
            </w:r>
            <w:r>
              <w:rPr>
                <w:rFonts w:ascii="宋体" w:hAnsi="宋体" w:cs="宋体" w:eastAsia="宋体" w:hint="default"/>
                <w:sz w:val="21"/>
                <w:szCs w:val="21"/>
              </w:rPr>
              <w:t>知</w:t>
            </w:r>
            <w:r>
              <w:rPr>
                <w:rFonts w:ascii="宋体" w:hAnsi="宋体" w:cs="宋体" w:eastAsia="宋体" w:hint="default"/>
                <w:spacing w:val="-71"/>
                <w:sz w:val="21"/>
                <w:szCs w:val="21"/>
              </w:rPr>
              <w:t> </w:t>
            </w:r>
            <w:r>
              <w:rPr>
                <w:rFonts w:ascii="宋体" w:hAnsi="宋体" w:cs="宋体" w:eastAsia="宋体" w:hint="default"/>
                <w:sz w:val="21"/>
                <w:szCs w:val="21"/>
              </w:rPr>
              <w:t>债</w:t>
            </w:r>
            <w:r>
              <w:rPr>
                <w:rFonts w:ascii="宋体" w:hAnsi="宋体" w:cs="宋体" w:eastAsia="宋体" w:hint="default"/>
                <w:spacing w:val="-71"/>
                <w:sz w:val="21"/>
                <w:szCs w:val="21"/>
              </w:rPr>
              <w:t> </w:t>
            </w:r>
            <w:r>
              <w:rPr>
                <w:rFonts w:ascii="宋体" w:hAnsi="宋体" w:cs="宋体" w:eastAsia="宋体" w:hint="default"/>
                <w:sz w:val="21"/>
                <w:szCs w:val="21"/>
              </w:rPr>
              <w:t>权</w:t>
            </w:r>
            <w:r>
              <w:rPr>
                <w:rFonts w:ascii="宋体" w:hAnsi="宋体" w:cs="宋体" w:eastAsia="宋体" w:hint="default"/>
                <w:spacing w:val="-73"/>
                <w:sz w:val="21"/>
                <w:szCs w:val="21"/>
              </w:rPr>
              <w:t> </w:t>
            </w:r>
            <w:r>
              <w:rPr>
                <w:rFonts w:ascii="宋体" w:hAnsi="宋体" w:cs="宋体" w:eastAsia="宋体" w:hint="default"/>
                <w:sz w:val="21"/>
                <w:szCs w:val="21"/>
              </w:rPr>
              <w:t>人</w:t>
            </w:r>
            <w:r>
              <w:rPr>
                <w:rFonts w:ascii="宋体" w:hAnsi="宋体" w:cs="宋体" w:eastAsia="宋体" w:hint="default"/>
                <w:spacing w:val="-71"/>
                <w:sz w:val="21"/>
                <w:szCs w:val="21"/>
              </w:rPr>
              <w:t> </w:t>
            </w:r>
            <w:r>
              <w:rPr>
                <w:rFonts w:ascii="宋体" w:hAnsi="宋体" w:cs="宋体" w:eastAsia="宋体" w:hint="default"/>
                <w:sz w:val="21"/>
                <w:szCs w:val="21"/>
              </w:rPr>
              <w:t>的</w:t>
            </w:r>
            <w:r>
              <w:rPr>
                <w:rFonts w:ascii="宋体" w:hAnsi="宋体" w:cs="宋体" w:eastAsia="宋体" w:hint="default"/>
                <w:spacing w:val="-73"/>
                <w:sz w:val="21"/>
                <w:szCs w:val="21"/>
              </w:rPr>
              <w:t> </w:t>
            </w:r>
            <w:r>
              <w:rPr>
                <w:rFonts w:ascii="宋体" w:hAnsi="宋体" w:cs="宋体" w:eastAsia="宋体" w:hint="default"/>
                <w:sz w:val="21"/>
                <w:szCs w:val="21"/>
              </w:rPr>
              <w:t>公</w:t>
            </w:r>
            <w:r>
              <w:rPr>
                <w:rFonts w:ascii="宋体" w:hAnsi="宋体" w:cs="宋体" w:eastAsia="宋体" w:hint="default"/>
                <w:spacing w:val="-71"/>
                <w:sz w:val="21"/>
                <w:szCs w:val="21"/>
              </w:rPr>
              <w:t> </w:t>
            </w:r>
            <w:r>
              <w:rPr>
                <w:rFonts w:ascii="宋体" w:hAnsi="宋体" w:cs="宋体" w:eastAsia="宋体" w:hint="default"/>
                <w:sz w:val="21"/>
                <w:szCs w:val="21"/>
              </w:rPr>
              <w:t>告</w:t>
            </w:r>
            <w:r>
              <w:rPr>
                <w:rFonts w:ascii="宋体" w:hAnsi="宋体" w:cs="宋体" w:eastAsia="宋体" w:hint="default"/>
                <w:spacing w:val="-71"/>
                <w:sz w:val="21"/>
                <w:szCs w:val="21"/>
              </w:rPr>
              <w:t> </w:t>
            </w:r>
            <w:r>
              <w:rPr>
                <w:rFonts w:ascii="宋体" w:hAnsi="宋体" w:cs="宋体" w:eastAsia="宋体" w:hint="default"/>
                <w:sz w:val="21"/>
                <w:szCs w:val="21"/>
              </w:rPr>
              <w:t>》</w:t>
            </w:r>
            <w:r>
              <w:rPr>
                <w:rFonts w:ascii="宋体" w:hAnsi="宋体" w:cs="宋体" w:eastAsia="宋体" w:hint="default"/>
                <w:spacing w:val="-69"/>
                <w:sz w:val="21"/>
                <w:szCs w:val="21"/>
              </w:rPr>
              <w:t> </w:t>
            </w:r>
            <w:r>
              <w:rPr>
                <w:rFonts w:ascii="宋体" w:hAnsi="宋体" w:cs="宋体" w:eastAsia="宋体" w:hint="default"/>
                <w:sz w:val="21"/>
                <w:szCs w:val="21"/>
              </w:rPr>
              <w:t>,</w:t>
            </w:r>
            <w:r>
              <w:rPr>
                <w:rFonts w:ascii="宋体" w:hAnsi="宋体" w:cs="宋体" w:eastAsia="宋体" w:hint="default"/>
                <w:spacing w:val="-73"/>
                <w:sz w:val="21"/>
                <w:szCs w:val="21"/>
              </w:rPr>
              <w:t> </w:t>
            </w:r>
            <w:r>
              <w:rPr>
                <w:rFonts w:ascii="宋体" w:hAnsi="宋体" w:cs="宋体" w:eastAsia="宋体" w:hint="default"/>
                <w:sz w:val="21"/>
                <w:szCs w:val="21"/>
              </w:rPr>
              <w:t>公</w:t>
            </w:r>
            <w:r>
              <w:rPr>
                <w:rFonts w:ascii="宋体" w:hAnsi="宋体" w:cs="宋体" w:eastAsia="宋体" w:hint="default"/>
                <w:spacing w:val="-71"/>
                <w:sz w:val="21"/>
                <w:szCs w:val="21"/>
              </w:rPr>
              <w:t> </w:t>
            </w:r>
            <w:r>
              <w:rPr>
                <w:rFonts w:ascii="宋体" w:hAnsi="宋体" w:cs="宋体" w:eastAsia="宋体" w:hint="default"/>
                <w:sz w:val="21"/>
                <w:szCs w:val="21"/>
              </w:rPr>
              <w:t>告</w:t>
            </w:r>
            <w:r>
              <w:rPr>
                <w:rFonts w:ascii="宋体" w:hAnsi="宋体" w:cs="宋体" w:eastAsia="宋体" w:hint="default"/>
                <w:spacing w:val="-71"/>
                <w:sz w:val="21"/>
                <w:szCs w:val="21"/>
              </w:rPr>
              <w:t> </w:t>
            </w:r>
            <w:r>
              <w:rPr>
                <w:rFonts w:ascii="宋体" w:hAnsi="宋体" w:cs="宋体" w:eastAsia="宋体" w:hint="default"/>
                <w:sz w:val="21"/>
                <w:szCs w:val="21"/>
              </w:rPr>
              <w:t>编</w:t>
            </w:r>
            <w:r>
              <w:rPr>
                <w:rFonts w:ascii="宋体" w:hAnsi="宋体" w:cs="宋体" w:eastAsia="宋体" w:hint="default"/>
                <w:spacing w:val="-71"/>
                <w:sz w:val="21"/>
                <w:szCs w:val="21"/>
              </w:rPr>
              <w:t> </w:t>
            </w:r>
            <w:r>
              <w:rPr>
                <w:rFonts w:ascii="宋体" w:hAnsi="宋体" w:cs="宋体" w:eastAsia="宋体" w:hint="default"/>
                <w:sz w:val="21"/>
                <w:szCs w:val="21"/>
              </w:rPr>
              <w:t>号</w:t>
            </w:r>
            <w:r>
              <w:rPr>
                <w:rFonts w:ascii="宋体" w:hAnsi="宋体" w:cs="宋体" w:eastAsia="宋体" w:hint="default"/>
                <w:spacing w:val="-73"/>
                <w:sz w:val="21"/>
                <w:szCs w:val="21"/>
              </w:rPr>
              <w:t> </w:t>
            </w:r>
            <w:r>
              <w:rPr>
                <w:rFonts w:ascii="宋体" w:hAnsi="宋体" w:cs="宋体" w:eastAsia="宋体" w:hint="default"/>
                <w:sz w:val="21"/>
                <w:szCs w:val="21"/>
              </w:rPr>
              <w:t>分</w:t>
            </w:r>
            <w:r>
              <w:rPr>
                <w:rFonts w:ascii="宋体" w:hAnsi="宋体" w:cs="宋体" w:eastAsia="宋体" w:hint="default"/>
                <w:spacing w:val="-71"/>
                <w:sz w:val="21"/>
                <w:szCs w:val="21"/>
              </w:rPr>
              <w:t> </w:t>
            </w:r>
            <w:r>
              <w:rPr>
                <w:rFonts w:ascii="宋体" w:hAnsi="宋体" w:cs="宋体" w:eastAsia="宋体" w:hint="default"/>
                <w:sz w:val="21"/>
                <w:szCs w:val="21"/>
              </w:rPr>
              <w:t>别</w:t>
            </w:r>
            <w:r>
              <w:rPr>
                <w:rFonts w:ascii="宋体" w:hAnsi="宋体" w:cs="宋体" w:eastAsia="宋体" w:hint="default"/>
                <w:spacing w:val="-73"/>
                <w:sz w:val="21"/>
                <w:szCs w:val="21"/>
              </w:rPr>
              <w:t> </w:t>
            </w:r>
            <w:r>
              <w:rPr>
                <w:rFonts w:ascii="宋体" w:hAnsi="宋体" w:cs="宋体" w:eastAsia="宋体" w:hint="default"/>
                <w:sz w:val="21"/>
                <w:szCs w:val="21"/>
              </w:rPr>
              <w:t>为</w:t>
            </w:r>
            <w:r>
              <w:rPr>
                <w:rFonts w:ascii="宋体" w:hAnsi="宋体" w:cs="宋体" w:eastAsia="宋体" w:hint="default"/>
                <w:spacing w:val="-71"/>
                <w:sz w:val="21"/>
                <w:szCs w:val="21"/>
              </w:rPr>
              <w:t> </w:t>
            </w:r>
            <w:r>
              <w:rPr>
                <w:rFonts w:ascii="宋体" w:hAnsi="宋体" w:cs="宋体" w:eastAsia="宋体" w:hint="default"/>
                <w:sz w:val="21"/>
                <w:szCs w:val="21"/>
              </w:rPr>
              <w:t>临</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13"/>
                <w:w w:val="100"/>
                <w:sz w:val="21"/>
                <w:szCs w:val="21"/>
              </w:rPr>
              <w:t>2019-34</w:t>
            </w:r>
            <w:r>
              <w:rPr>
                <w:rFonts w:ascii="宋体" w:hAnsi="宋体" w:cs="宋体" w:eastAsia="宋体" w:hint="default"/>
                <w:spacing w:val="-13"/>
                <w:w w:val="100"/>
                <w:sz w:val="21"/>
                <w:szCs w:val="21"/>
              </w:rPr>
              <w:t>、临</w:t>
            </w:r>
            <w:r>
              <w:rPr>
                <w:rFonts w:ascii="宋体" w:hAnsi="宋体" w:cs="宋体" w:eastAsia="宋体" w:hint="default"/>
                <w:spacing w:val="-63"/>
                <w:w w:val="100"/>
                <w:sz w:val="21"/>
                <w:szCs w:val="21"/>
              </w:rPr>
              <w:t> </w:t>
            </w:r>
            <w:r>
              <w:rPr>
                <w:rFonts w:ascii="宋体" w:hAnsi="宋体" w:cs="宋体" w:eastAsia="宋体" w:hint="default"/>
                <w:spacing w:val="-13"/>
                <w:w w:val="100"/>
                <w:sz w:val="21"/>
                <w:szCs w:val="21"/>
              </w:rPr>
              <w:t>2019-42</w:t>
            </w:r>
            <w:r>
              <w:rPr>
                <w:rFonts w:ascii="宋体" w:hAnsi="宋体" w:cs="宋体" w:eastAsia="宋体" w:hint="default"/>
                <w:spacing w:val="-13"/>
                <w:w w:val="100"/>
                <w:sz w:val="21"/>
                <w:szCs w:val="21"/>
              </w:rPr>
              <w:t>、临</w:t>
            </w:r>
            <w:r>
              <w:rPr>
                <w:rFonts w:ascii="宋体" w:hAnsi="宋体" w:cs="宋体" w:eastAsia="宋体" w:hint="default"/>
                <w:spacing w:val="-65"/>
                <w:w w:val="100"/>
                <w:sz w:val="21"/>
                <w:szCs w:val="21"/>
              </w:rPr>
              <w:t> </w:t>
            </w:r>
            <w:r>
              <w:rPr>
                <w:rFonts w:ascii="宋体" w:hAnsi="宋体" w:cs="宋体" w:eastAsia="宋体" w:hint="default"/>
                <w:spacing w:val="-1"/>
                <w:w w:val="100"/>
                <w:sz w:val="21"/>
                <w:szCs w:val="21"/>
              </w:rPr>
              <w:t>2019-38</w:t>
            </w:r>
            <w:r>
              <w:rPr>
                <w:rFonts w:ascii="宋体" w:hAnsi="宋体" w:cs="宋体" w:eastAsia="宋体" w:hint="default"/>
                <w:spacing w:val="-62"/>
                <w:w w:val="100"/>
                <w:sz w:val="21"/>
                <w:szCs w:val="21"/>
              </w:rPr>
              <w:t> </w:t>
            </w:r>
            <w:r>
              <w:rPr>
                <w:rFonts w:ascii="宋体" w:hAnsi="宋体" w:cs="宋体" w:eastAsia="宋体" w:hint="default"/>
                <w:spacing w:val="-2"/>
                <w:w w:val="100"/>
                <w:sz w:val="21"/>
                <w:szCs w:val="21"/>
              </w:rPr>
              <w:t>和临</w:t>
            </w:r>
            <w:r>
              <w:rPr>
                <w:rFonts w:ascii="宋体" w:hAnsi="宋体" w:cs="宋体" w:eastAsia="宋体" w:hint="default"/>
                <w:spacing w:val="-63"/>
                <w:w w:val="100"/>
                <w:sz w:val="21"/>
                <w:szCs w:val="21"/>
              </w:rPr>
              <w:t> </w:t>
            </w:r>
            <w:r>
              <w:rPr>
                <w:rFonts w:ascii="宋体" w:hAnsi="宋体" w:cs="宋体" w:eastAsia="宋体" w:hint="default"/>
                <w:spacing w:val="-15"/>
                <w:w w:val="100"/>
                <w:sz w:val="21"/>
                <w:szCs w:val="21"/>
              </w:rPr>
              <w:t>2019-46</w:t>
            </w:r>
            <w:r>
              <w:rPr>
                <w:rFonts w:ascii="宋体" w:hAnsi="宋体" w:cs="宋体" w:eastAsia="宋体" w:hint="default"/>
                <w:spacing w:val="-15"/>
                <w:w w:val="100"/>
                <w:sz w:val="21"/>
                <w:szCs w:val="21"/>
              </w:rPr>
              <w:t>。</w:t>
            </w:r>
            <w:r>
              <w:rPr>
                <w:rFonts w:ascii="宋体" w:hAnsi="宋体" w:cs="宋体" w:eastAsia="宋体" w:hint="default"/>
                <w:w w:val="100"/>
                <w:sz w:val="21"/>
                <w:szCs w:val="21"/>
              </w:rPr>
              <w:t> </w:t>
            </w:r>
          </w:p>
        </w:tc>
      </w:tr>
      <w:tr>
        <w:trPr>
          <w:trHeight w:val="1570"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8"/>
              <w:jc w:val="both"/>
              <w:rPr>
                <w:rFonts w:ascii="宋体" w:hAnsi="宋体" w:cs="宋体" w:eastAsia="宋体" w:hint="default"/>
                <w:sz w:val="21"/>
                <w:szCs w:val="21"/>
              </w:rPr>
            </w:pPr>
            <w:r>
              <w:rPr>
                <w:rFonts w:ascii="宋体" w:hAnsi="宋体" w:cs="宋体" w:eastAsia="宋体" w:hint="default"/>
                <w:sz w:val="21"/>
                <w:szCs w:val="21"/>
              </w:rPr>
              <w:t>公司于</w:t>
            </w:r>
            <w:r>
              <w:rPr>
                <w:rFonts w:ascii="宋体" w:hAnsi="宋体" w:cs="宋体" w:eastAsia="宋体" w:hint="default"/>
                <w:spacing w:val="-38"/>
                <w:sz w:val="21"/>
                <w:szCs w:val="21"/>
              </w:rPr>
              <w:t> </w:t>
            </w:r>
            <w:r>
              <w:rPr>
                <w:rFonts w:ascii="宋体" w:hAnsi="宋体" w:cs="宋体" w:eastAsia="宋体" w:hint="default"/>
                <w:sz w:val="21"/>
                <w:szCs w:val="21"/>
              </w:rPr>
              <w:t>2019</w:t>
            </w:r>
            <w:r>
              <w:rPr>
                <w:rFonts w:ascii="宋体" w:hAnsi="宋体" w:cs="宋体" w:eastAsia="宋体" w:hint="default"/>
                <w:spacing w:val="-38"/>
                <w:sz w:val="21"/>
                <w:szCs w:val="21"/>
              </w:rPr>
              <w:t> </w:t>
            </w:r>
            <w:r>
              <w:rPr>
                <w:rFonts w:ascii="宋体" w:hAnsi="宋体" w:cs="宋体" w:eastAsia="宋体" w:hint="default"/>
                <w:sz w:val="21"/>
                <w:szCs w:val="21"/>
              </w:rPr>
              <w:t>年</w:t>
            </w:r>
            <w:r>
              <w:rPr>
                <w:rFonts w:ascii="宋体" w:hAnsi="宋体" w:cs="宋体" w:eastAsia="宋体" w:hint="default"/>
                <w:spacing w:val="-41"/>
                <w:sz w:val="21"/>
                <w:szCs w:val="21"/>
              </w:rPr>
              <w:t> </w:t>
            </w:r>
            <w:r>
              <w:rPr>
                <w:rFonts w:ascii="宋体" w:hAnsi="宋体" w:cs="宋体" w:eastAsia="宋体" w:hint="default"/>
                <w:sz w:val="21"/>
                <w:szCs w:val="21"/>
              </w:rPr>
              <w:t>6</w:t>
            </w:r>
            <w:r>
              <w:rPr>
                <w:rFonts w:ascii="宋体" w:hAnsi="宋体" w:cs="宋体" w:eastAsia="宋体" w:hint="default"/>
                <w:spacing w:val="-38"/>
                <w:sz w:val="21"/>
                <w:szCs w:val="21"/>
              </w:rPr>
              <w:t> </w:t>
            </w:r>
            <w:r>
              <w:rPr>
                <w:rFonts w:ascii="宋体" w:hAnsi="宋体" w:cs="宋体" w:eastAsia="宋体" w:hint="default"/>
                <w:sz w:val="21"/>
                <w:szCs w:val="21"/>
              </w:rPr>
              <w:t>月</w:t>
            </w:r>
            <w:r>
              <w:rPr>
                <w:rFonts w:ascii="宋体" w:hAnsi="宋体" w:cs="宋体" w:eastAsia="宋体" w:hint="default"/>
                <w:spacing w:val="-41"/>
                <w:sz w:val="21"/>
                <w:szCs w:val="21"/>
              </w:rPr>
              <w:t> </w:t>
            </w:r>
            <w:r>
              <w:rPr>
                <w:rFonts w:ascii="宋体" w:hAnsi="宋体" w:cs="宋体" w:eastAsia="宋体" w:hint="default"/>
                <w:sz w:val="21"/>
                <w:szCs w:val="21"/>
              </w:rPr>
              <w:t>20</w:t>
            </w:r>
            <w:r>
              <w:rPr>
                <w:rFonts w:ascii="宋体" w:hAnsi="宋体" w:cs="宋体" w:eastAsia="宋体" w:hint="default"/>
                <w:spacing w:val="-40"/>
                <w:sz w:val="21"/>
                <w:szCs w:val="21"/>
              </w:rPr>
              <w:t> </w:t>
            </w:r>
            <w:r>
              <w:rPr>
                <w:rFonts w:ascii="宋体" w:hAnsi="宋体" w:cs="宋体" w:eastAsia="宋体" w:hint="default"/>
                <w:sz w:val="21"/>
                <w:szCs w:val="21"/>
              </w:rPr>
              <w:t>日向中国证券登记结算</w:t>
            </w:r>
            <w:r>
              <w:rPr>
                <w:rFonts w:ascii="宋体" w:hAnsi="宋体" w:cs="宋体" w:eastAsia="宋体" w:hint="default"/>
                <w:w w:val="100"/>
                <w:sz w:val="21"/>
                <w:szCs w:val="21"/>
              </w:rPr>
              <w:t> </w:t>
            </w:r>
            <w:r>
              <w:rPr>
                <w:rFonts w:ascii="宋体" w:hAnsi="宋体" w:cs="宋体" w:eastAsia="宋体" w:hint="default"/>
                <w:spacing w:val="2"/>
                <w:sz w:val="21"/>
                <w:szCs w:val="21"/>
              </w:rPr>
              <w:t>有限责任公司上海分公司提交了办理激励对象</w:t>
            </w:r>
            <w:r>
              <w:rPr>
                <w:rFonts w:ascii="宋体" w:hAnsi="宋体" w:cs="宋体" w:eastAsia="宋体" w:hint="default"/>
                <w:spacing w:val="-68"/>
                <w:sz w:val="21"/>
                <w:szCs w:val="21"/>
              </w:rPr>
              <w:t> </w:t>
            </w:r>
            <w:r>
              <w:rPr>
                <w:rFonts w:ascii="宋体" w:hAnsi="宋体" w:cs="宋体" w:eastAsia="宋体" w:hint="default"/>
                <w:spacing w:val="-68"/>
                <w:sz w:val="21"/>
                <w:szCs w:val="21"/>
              </w:rPr>
            </w:r>
            <w:r>
              <w:rPr>
                <w:rFonts w:ascii="宋体" w:hAnsi="宋体" w:cs="宋体" w:eastAsia="宋体" w:hint="default"/>
                <w:sz w:val="21"/>
                <w:szCs w:val="21"/>
              </w:rPr>
              <w:t>部分已获授但尚未解锁的 </w:t>
            </w:r>
            <w:r>
              <w:rPr>
                <w:rFonts w:ascii="宋体" w:hAnsi="宋体" w:cs="宋体" w:eastAsia="宋体" w:hint="default"/>
                <w:sz w:val="21"/>
                <w:szCs w:val="21"/>
              </w:rPr>
              <w:t>7,301,000</w:t>
            </w:r>
            <w:r>
              <w:rPr>
                <w:rFonts w:ascii="宋体" w:hAnsi="宋体" w:cs="宋体" w:eastAsia="宋体" w:hint="default"/>
                <w:spacing w:val="-22"/>
                <w:sz w:val="21"/>
                <w:szCs w:val="21"/>
              </w:rPr>
              <w:t> </w:t>
            </w:r>
            <w:r>
              <w:rPr>
                <w:rFonts w:ascii="宋体" w:hAnsi="宋体" w:cs="宋体" w:eastAsia="宋体" w:hint="default"/>
                <w:sz w:val="21"/>
                <w:szCs w:val="21"/>
              </w:rPr>
              <w:t>股限制性</w:t>
            </w:r>
          </w:p>
          <w:p>
            <w:pPr>
              <w:pStyle w:val="TableParagraph"/>
              <w:spacing w:line="273" w:lineRule="auto" w:before="7"/>
              <w:ind w:left="103" w:right="101"/>
              <w:jc w:val="both"/>
              <w:rPr>
                <w:rFonts w:ascii="宋体" w:hAnsi="宋体" w:cs="宋体" w:eastAsia="宋体" w:hint="default"/>
                <w:sz w:val="21"/>
                <w:szCs w:val="21"/>
              </w:rPr>
            </w:pPr>
            <w:r>
              <w:rPr>
                <w:rFonts w:ascii="宋体" w:hAnsi="宋体" w:cs="宋体" w:eastAsia="宋体" w:hint="default"/>
                <w:spacing w:val="-3"/>
                <w:sz w:val="21"/>
                <w:szCs w:val="21"/>
              </w:rPr>
              <w:t>股票的回购注销申请，并于</w:t>
            </w:r>
            <w:r>
              <w:rPr>
                <w:rFonts w:ascii="宋体" w:hAnsi="宋体" w:cs="宋体" w:eastAsia="宋体" w:hint="default"/>
                <w:spacing w:val="-50"/>
                <w:sz w:val="21"/>
                <w:szCs w:val="21"/>
              </w:rPr>
              <w:t> </w:t>
            </w:r>
            <w:r>
              <w:rPr>
                <w:rFonts w:ascii="宋体" w:hAnsi="宋体" w:cs="宋体" w:eastAsia="宋体" w:hint="default"/>
                <w:sz w:val="21"/>
                <w:szCs w:val="21"/>
              </w:rPr>
              <w:t>2019</w:t>
            </w:r>
            <w:r>
              <w:rPr>
                <w:rFonts w:ascii="宋体" w:hAnsi="宋体" w:cs="宋体" w:eastAsia="宋体" w:hint="default"/>
                <w:spacing w:val="-50"/>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0"/>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0"/>
                <w:sz w:val="21"/>
                <w:szCs w:val="21"/>
              </w:rPr>
              <w:t> </w:t>
            </w:r>
            <w:r>
              <w:rPr>
                <w:rFonts w:ascii="宋体" w:hAnsi="宋体" w:cs="宋体" w:eastAsia="宋体" w:hint="default"/>
                <w:spacing w:val="-3"/>
                <w:sz w:val="21"/>
                <w:szCs w:val="21"/>
              </w:rPr>
              <w:t>日完</w:t>
            </w:r>
            <w:r>
              <w:rPr>
                <w:rFonts w:ascii="宋体" w:hAnsi="宋体" w:cs="宋体" w:eastAsia="宋体" w:hint="default"/>
                <w:spacing w:val="-3"/>
                <w:w w:val="100"/>
                <w:sz w:val="21"/>
                <w:szCs w:val="21"/>
              </w:rPr>
              <w:t> </w:t>
            </w:r>
            <w:r>
              <w:rPr>
                <w:rFonts w:ascii="宋体" w:hAnsi="宋体" w:cs="宋体" w:eastAsia="宋体" w:hint="default"/>
                <w:sz w:val="21"/>
                <w:szCs w:val="21"/>
              </w:rPr>
              <w:t>成注销。</w:t>
            </w:r>
            <w:r>
              <w:rPr>
                <w:rFonts w:ascii="宋体" w:hAnsi="宋体" w:cs="宋体" w:eastAsia="宋体" w:hint="default"/>
                <w:sz w:val="21"/>
                <w:szCs w:val="21"/>
              </w:rPr>
              <w:t> </w:t>
            </w:r>
          </w:p>
        </w:tc>
        <w:tc>
          <w:tcPr>
            <w:tcW w:w="4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73" w:lineRule="auto"/>
              <w:ind w:left="103" w:right="98"/>
              <w:jc w:val="both"/>
              <w:rPr>
                <w:rFonts w:ascii="宋体" w:hAnsi="宋体" w:cs="宋体" w:eastAsia="宋体" w:hint="default"/>
                <w:sz w:val="21"/>
                <w:szCs w:val="21"/>
              </w:rPr>
            </w:pPr>
            <w:r>
              <w:rPr>
                <w:rFonts w:ascii="宋体" w:hAnsi="宋体" w:cs="宋体" w:eastAsia="宋体" w:hint="default"/>
                <w:sz w:val="21"/>
                <w:szCs w:val="21"/>
              </w:rPr>
              <w:t>上海证券交易所网站公司公告中：《关于第二</w:t>
            </w:r>
            <w:r>
              <w:rPr>
                <w:rFonts w:ascii="宋体" w:hAnsi="宋体" w:cs="宋体" w:eastAsia="宋体" w:hint="default"/>
                <w:spacing w:val="-56"/>
                <w:sz w:val="21"/>
                <w:szCs w:val="21"/>
              </w:rPr>
              <w:t> </w:t>
            </w:r>
            <w:r>
              <w:rPr>
                <w:rFonts w:ascii="宋体" w:hAnsi="宋体" w:cs="宋体" w:eastAsia="宋体" w:hint="default"/>
                <w:spacing w:val="-56"/>
                <w:sz w:val="21"/>
                <w:szCs w:val="21"/>
              </w:rPr>
            </w:r>
            <w:r>
              <w:rPr>
                <w:rFonts w:ascii="宋体" w:hAnsi="宋体" w:cs="宋体" w:eastAsia="宋体" w:hint="default"/>
                <w:spacing w:val="5"/>
                <w:sz w:val="21"/>
                <w:szCs w:val="21"/>
              </w:rPr>
              <w:t>期股权激励限制性股票回购注销实施公告》</w:t>
            </w:r>
            <w:r>
              <w:rPr>
                <w:rFonts w:ascii="宋体" w:hAnsi="宋体" w:cs="宋体" w:eastAsia="宋体" w:hint="default"/>
                <w:spacing w:val="5"/>
                <w:sz w:val="21"/>
                <w:szCs w:val="21"/>
              </w:rPr>
              <w:t>,</w:t>
            </w:r>
            <w:r>
              <w:rPr>
                <w:rFonts w:ascii="宋体" w:hAnsi="宋体" w:cs="宋体" w:eastAsia="宋体" w:hint="default"/>
                <w:spacing w:val="-51"/>
                <w:sz w:val="21"/>
                <w:szCs w:val="21"/>
              </w:rPr>
              <w:t> </w:t>
            </w:r>
            <w:r>
              <w:rPr>
                <w:rFonts w:ascii="宋体" w:hAnsi="宋体" w:cs="宋体" w:eastAsia="宋体" w:hint="default"/>
                <w:sz w:val="21"/>
                <w:szCs w:val="21"/>
              </w:rPr>
              <w:t>公告编号为临</w:t>
            </w:r>
            <w:r>
              <w:rPr>
                <w:rFonts w:ascii="宋体" w:hAnsi="宋体" w:cs="宋体" w:eastAsia="宋体" w:hint="default"/>
                <w:spacing w:val="-56"/>
                <w:sz w:val="21"/>
                <w:szCs w:val="21"/>
              </w:rPr>
              <w:t> </w:t>
            </w:r>
            <w:r>
              <w:rPr>
                <w:rFonts w:ascii="宋体" w:hAnsi="宋体" w:cs="宋体" w:eastAsia="宋体" w:hint="default"/>
                <w:sz w:val="21"/>
                <w:szCs w:val="21"/>
              </w:rPr>
              <w:t>2019-59</w:t>
            </w:r>
            <w:r>
              <w:rPr>
                <w:rFonts w:ascii="宋体" w:hAnsi="宋体" w:cs="宋体" w:eastAsia="宋体" w:hint="default"/>
                <w:sz w:val="21"/>
                <w:szCs w:val="21"/>
              </w:rPr>
              <w:t>。</w:t>
            </w:r>
            <w:r>
              <w:rPr>
                <w:rFonts w:ascii="宋体" w:hAnsi="宋体" w:cs="宋体" w:eastAsia="宋体" w:hint="default"/>
                <w:sz w:val="21"/>
                <w:szCs w:val="21"/>
              </w:rPr>
              <w:t> </w:t>
            </w:r>
          </w:p>
        </w:tc>
      </w:tr>
    </w:tbl>
    <w:p>
      <w:pPr>
        <w:pStyle w:val="Heading2"/>
        <w:spacing w:line="274" w:lineRule="exact"/>
        <w:ind w:right="0"/>
        <w:jc w:val="left"/>
        <w:rPr>
          <w:rFonts w:ascii="宋体" w:hAnsi="宋体" w:cs="宋体" w:eastAsia="宋体" w:hint="default"/>
        </w:rPr>
      </w:pPr>
      <w:r>
        <w:rPr>
          <w:rFonts w:ascii="宋体"/>
        </w:rPr>
        <w:t> </w:t>
      </w:r>
    </w:p>
    <w:p>
      <w:pPr>
        <w:pStyle w:val="Heading3"/>
        <w:spacing w:line="240" w:lineRule="auto" w:before="85"/>
        <w:ind w:right="0"/>
        <w:jc w:val="left"/>
        <w:rPr>
          <w:b w:val="0"/>
          <w:bCs w:val="0"/>
        </w:rPr>
      </w:pPr>
      <w:r>
        <w:rPr>
          <w:rFonts w:ascii="宋体" w:hAnsi="宋体" w:cs="宋体" w:eastAsia="宋体" w:hint="default"/>
        </w:rPr>
        <w:t>(</w:t>
      </w:r>
      <w:r>
        <w:rPr/>
        <w:t>二</w:t>
      </w:r>
      <w:r>
        <w:rPr>
          <w:rFonts w:ascii="宋体" w:hAnsi="宋体" w:cs="宋体" w:eastAsia="宋体" w:hint="default"/>
        </w:rPr>
        <w:t>)</w:t>
      </w:r>
      <w:r>
        <w:rPr>
          <w:rFonts w:ascii="宋体" w:hAnsi="宋体" w:cs="宋体" w:eastAsia="宋体" w:hint="default"/>
          <w:spacing w:val="37"/>
        </w:rPr>
        <w:t> </w:t>
      </w:r>
      <w:r>
        <w:rPr/>
        <w:t>临时公告未披露或有后续进展的激励情况</w:t>
      </w:r>
      <w:r>
        <w:rPr>
          <w:b w:val="0"/>
          <w:bCs w:val="0"/>
        </w:rPr>
      </w:r>
    </w:p>
    <w:p>
      <w:pPr>
        <w:pStyle w:val="Heading2"/>
        <w:spacing w:line="240" w:lineRule="auto" w:before="69"/>
        <w:ind w:right="0"/>
        <w:jc w:val="left"/>
        <w:rPr>
          <w:rFonts w:ascii="宋体" w:hAnsi="宋体" w:cs="宋体" w:eastAsia="宋体" w:hint="default"/>
        </w:rPr>
      </w:pPr>
      <w:r>
        <w:rPr/>
        <w:t>股权激励情况</w:t>
      </w:r>
      <w:r>
        <w:rPr>
          <w:rFonts w:ascii="宋体" w:hAnsi="宋体" w:cs="宋体" w:eastAsia="宋体" w:hint="default"/>
        </w:rPr>
        <w:t> </w:t>
      </w:r>
    </w:p>
    <w:p>
      <w:pPr>
        <w:pStyle w:val="BodyText"/>
        <w:spacing w:line="273" w:lineRule="auto" w:before="25"/>
        <w:ind w:right="6594"/>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其他说明</w:t>
      </w:r>
      <w:r>
        <w:rPr>
          <w:rFonts w:ascii="宋体" w:hAnsi="宋体" w:cs="宋体" w:eastAsia="宋体" w:hint="default"/>
        </w:rPr>
        <w:t> </w:t>
      </w:r>
    </w:p>
    <w:p>
      <w:pPr>
        <w:pStyle w:val="BodyText"/>
        <w:spacing w:line="240" w:lineRule="auto" w:before="7"/>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auto" w:before="37"/>
        <w:ind w:right="0"/>
        <w:jc w:val="left"/>
        <w:rPr>
          <w:rFonts w:ascii="宋体" w:hAnsi="宋体" w:cs="宋体" w:eastAsia="宋体" w:hint="default"/>
        </w:rPr>
      </w:pPr>
      <w:r>
        <w:rPr>
          <w:rFonts w:ascii="宋体" w:hAnsi="宋体" w:cs="宋体" w:eastAsia="宋体" w:hint="default"/>
          <w:w w:val="100"/>
        </w:rPr>
        <w:t>  </w:t>
      </w:r>
      <w:r>
        <w:rPr>
          <w:w w:val="100"/>
        </w:rPr>
        <w:t>员工</w:t>
      </w:r>
      <w:r>
        <w:rPr>
          <w:spacing w:val="-3"/>
          <w:w w:val="100"/>
        </w:rPr>
        <w:t>持</w:t>
      </w:r>
      <w:r>
        <w:rPr>
          <w:w w:val="100"/>
        </w:rPr>
        <w:t>股</w:t>
      </w:r>
      <w:r>
        <w:rPr>
          <w:spacing w:val="-3"/>
          <w:w w:val="100"/>
        </w:rPr>
        <w:t>计</w:t>
      </w:r>
      <w:r>
        <w:rPr>
          <w:w w:val="100"/>
        </w:rPr>
        <w:t>划</w:t>
      </w:r>
      <w:r>
        <w:rPr>
          <w:spacing w:val="-3"/>
          <w:w w:val="100"/>
        </w:rPr>
        <w:t>情况</w:t>
      </w:r>
      <w:r>
        <w:rPr>
          <w:rFonts w:ascii="宋体" w:hAnsi="宋体" w:cs="宋体" w:eastAsia="宋体" w:hint="default"/>
          <w:w w:val="100"/>
        </w:rPr>
        <w:t> </w:t>
      </w:r>
    </w:p>
    <w:p>
      <w:pPr>
        <w:pStyle w:val="BodyText"/>
        <w:spacing w:line="240" w:lineRule="auto" w:before="7"/>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after="0" w:line="240" w:lineRule="auto"/>
        <w:jc w:val="left"/>
        <w:rPr>
          <w:rFonts w:ascii="宋体" w:hAnsi="宋体" w:cs="宋体" w:eastAsia="宋体" w:hint="default"/>
        </w:rPr>
        <w:sectPr>
          <w:pgSz w:w="11910" w:h="16840"/>
          <w:pgMar w:header="747" w:footer="974" w:top="1140" w:bottom="1160" w:left="1580" w:right="1120"/>
        </w:sectPr>
      </w:pPr>
    </w:p>
    <w:p>
      <w:pPr>
        <w:spacing w:line="240" w:lineRule="auto" w:before="9"/>
        <w:rPr>
          <w:rFonts w:ascii="宋体" w:hAnsi="宋体" w:cs="宋体" w:eastAsia="宋体" w:hint="default"/>
          <w:sz w:val="25"/>
          <w:szCs w:val="25"/>
        </w:rPr>
      </w:pPr>
    </w:p>
    <w:p>
      <w:pPr>
        <w:pStyle w:val="BodyText"/>
        <w:spacing w:line="240" w:lineRule="auto" w:before="36"/>
        <w:ind w:left="1098" w:right="0"/>
        <w:jc w:val="left"/>
      </w:pPr>
      <w:r>
        <w:rPr>
          <w:rFonts w:ascii="宋体" w:hAnsi="宋体" w:cs="宋体" w:eastAsia="宋体" w:hint="default"/>
        </w:rPr>
        <w:t>2018</w:t>
      </w:r>
      <w:r>
        <w:rPr>
          <w:rFonts w:ascii="宋体" w:hAnsi="宋体" w:cs="宋体" w:eastAsia="宋体" w:hint="default"/>
          <w:spacing w:val="-55"/>
        </w:rPr>
        <w:t> </w:t>
      </w:r>
      <w:r>
        <w:rPr/>
        <w:t>年</w:t>
      </w:r>
      <w:r>
        <w:rPr>
          <w:spacing w:val="-53"/>
        </w:rPr>
        <w:t> </w:t>
      </w:r>
      <w:r>
        <w:rPr>
          <w:rFonts w:ascii="宋体" w:hAnsi="宋体" w:cs="宋体" w:eastAsia="宋体" w:hint="default"/>
        </w:rPr>
        <w:t>7</w:t>
      </w:r>
      <w:r>
        <w:rPr>
          <w:rFonts w:ascii="宋体" w:hAnsi="宋体" w:cs="宋体" w:eastAsia="宋体" w:hint="default"/>
          <w:spacing w:val="-55"/>
        </w:rPr>
        <w:t> </w:t>
      </w:r>
      <w:r>
        <w:rPr/>
        <w:t>月</w:t>
      </w:r>
      <w:r>
        <w:rPr>
          <w:spacing w:val="-53"/>
        </w:rPr>
        <w:t> </w:t>
      </w:r>
      <w:r>
        <w:rPr>
          <w:rFonts w:ascii="宋体" w:hAnsi="宋体" w:cs="宋体" w:eastAsia="宋体" w:hint="default"/>
        </w:rPr>
        <w:t>16</w:t>
      </w:r>
      <w:r>
        <w:rPr>
          <w:rFonts w:ascii="宋体" w:hAnsi="宋体" w:cs="宋体" w:eastAsia="宋体" w:hint="default"/>
          <w:spacing w:val="-55"/>
        </w:rPr>
        <w:t> </w:t>
      </w:r>
      <w:r>
        <w:rPr/>
        <w:t>日，公司第三届董事会第三十四次会议审议通过了《关于以集中竞价交易方</w:t>
      </w:r>
    </w:p>
    <w:p>
      <w:pPr>
        <w:pStyle w:val="BodyText"/>
        <w:spacing w:line="273" w:lineRule="auto" w:before="37"/>
        <w:ind w:left="678" w:right="350"/>
        <w:jc w:val="both"/>
      </w:pPr>
      <w:r>
        <w:rPr/>
        <w:t>式回购股份预案的议案》等相关公告。经慎重考虑，公司于</w:t>
      </w:r>
      <w:r>
        <w:rPr>
          <w:spacing w:val="-53"/>
        </w:rPr>
        <w:t> </w:t>
      </w:r>
      <w:r>
        <w:rPr>
          <w:rFonts w:ascii="宋体" w:hAnsi="宋体" w:cs="宋体" w:eastAsia="宋体" w:hint="default"/>
        </w:rPr>
        <w:t>2018</w:t>
      </w:r>
      <w:r>
        <w:rPr>
          <w:rFonts w:ascii="宋体" w:hAnsi="宋体" w:cs="宋体" w:eastAsia="宋体" w:hint="default"/>
          <w:spacing w:val="-55"/>
        </w:rPr>
        <w:t> </w:t>
      </w:r>
      <w:r>
        <w:rPr/>
        <w:t>年</w:t>
      </w:r>
      <w:r>
        <w:rPr>
          <w:spacing w:val="-53"/>
        </w:rPr>
        <w:t> </w:t>
      </w:r>
      <w:r>
        <w:rPr>
          <w:rFonts w:ascii="宋体" w:hAnsi="宋体" w:cs="宋体" w:eastAsia="宋体" w:hint="default"/>
        </w:rPr>
        <w:t>7</w:t>
      </w:r>
      <w:r>
        <w:rPr>
          <w:rFonts w:ascii="宋体" w:hAnsi="宋体" w:cs="宋体" w:eastAsia="宋体" w:hint="default"/>
          <w:spacing w:val="-55"/>
        </w:rPr>
        <w:t> </w:t>
      </w:r>
      <w:r>
        <w:rPr/>
        <w:t>月</w:t>
      </w:r>
      <w:r>
        <w:rPr>
          <w:spacing w:val="-53"/>
        </w:rPr>
        <w:t> </w:t>
      </w:r>
      <w:r>
        <w:rPr>
          <w:rFonts w:ascii="宋体" w:hAnsi="宋体" w:cs="宋体" w:eastAsia="宋体" w:hint="default"/>
        </w:rPr>
        <w:t>29</w:t>
      </w:r>
      <w:r>
        <w:rPr>
          <w:rFonts w:ascii="宋体" w:hAnsi="宋体" w:cs="宋体" w:eastAsia="宋体" w:hint="default"/>
          <w:spacing w:val="-55"/>
        </w:rPr>
        <w:t> </w:t>
      </w:r>
      <w:r>
        <w:rPr/>
        <w:t>日召开了第三届董事</w:t>
      </w:r>
      <w:r>
        <w:rPr>
          <w:w w:val="100"/>
        </w:rPr>
        <w:t> </w:t>
      </w:r>
      <w:r>
        <w:rPr>
          <w:spacing w:val="-2"/>
        </w:rPr>
        <w:t>会第三十五次会议，对原《关于以集中竞价交易方式回购股份预案》的内容作出部分调整，进一</w:t>
      </w:r>
      <w:r>
        <w:rPr>
          <w:spacing w:val="-25"/>
        </w:rPr>
        <w:t> </w:t>
      </w:r>
      <w:r>
        <w:rPr>
          <w:spacing w:val="-25"/>
        </w:rPr>
      </w:r>
      <w:r>
        <w:rPr>
          <w:spacing w:val="-2"/>
        </w:rPr>
        <w:t>步明确本次回购股份的用途，审议通过了《关于以集中竞价交易方式回购股份用于员工持股计划</w:t>
      </w:r>
      <w:r>
        <w:rPr>
          <w:spacing w:val="-25"/>
        </w:rPr>
        <w:t> </w:t>
      </w:r>
      <w:r>
        <w:rPr>
          <w:spacing w:val="-25"/>
        </w:rPr>
      </w:r>
      <w:r>
        <w:rPr>
          <w:spacing w:val="-8"/>
        </w:rPr>
        <w:t>预案的议案》等相关公告，公司于</w:t>
      </w:r>
      <w:r>
        <w:rPr>
          <w:spacing w:val="-50"/>
        </w:rPr>
        <w:t> </w:t>
      </w:r>
      <w:r>
        <w:rPr>
          <w:rFonts w:ascii="宋体" w:hAnsi="宋体" w:cs="宋体" w:eastAsia="宋体" w:hint="default"/>
        </w:rPr>
        <w:t>2018</w:t>
      </w:r>
      <w:r>
        <w:rPr>
          <w:rFonts w:ascii="宋体" w:hAnsi="宋体" w:cs="宋体" w:eastAsia="宋体" w:hint="default"/>
          <w:spacing w:val="-50"/>
        </w:rPr>
        <w:t> </w:t>
      </w:r>
      <w:r>
        <w:rPr/>
        <w:t>年</w:t>
      </w:r>
      <w:r>
        <w:rPr>
          <w:spacing w:val="-52"/>
        </w:rPr>
        <w:t> </w:t>
      </w:r>
      <w:r>
        <w:rPr>
          <w:rFonts w:ascii="宋体" w:hAnsi="宋体" w:cs="宋体" w:eastAsia="宋体" w:hint="default"/>
        </w:rPr>
        <w:t>8</w:t>
      </w:r>
      <w:r>
        <w:rPr>
          <w:rFonts w:ascii="宋体" w:hAnsi="宋体" w:cs="宋体" w:eastAsia="宋体" w:hint="default"/>
          <w:spacing w:val="-50"/>
        </w:rPr>
        <w:t> </w:t>
      </w:r>
      <w:r>
        <w:rPr/>
        <w:t>月</w:t>
      </w:r>
      <w:r>
        <w:rPr>
          <w:spacing w:val="-52"/>
        </w:rPr>
        <w:t> </w:t>
      </w:r>
      <w:r>
        <w:rPr>
          <w:rFonts w:ascii="宋体" w:hAnsi="宋体" w:cs="宋体" w:eastAsia="宋体" w:hint="default"/>
        </w:rPr>
        <w:t>15</w:t>
      </w:r>
      <w:r>
        <w:rPr>
          <w:rFonts w:ascii="宋体" w:hAnsi="宋体" w:cs="宋体" w:eastAsia="宋体" w:hint="default"/>
          <w:spacing w:val="-50"/>
        </w:rPr>
        <w:t> </w:t>
      </w:r>
      <w:r>
        <w:rPr/>
        <w:t>日召开</w:t>
      </w:r>
      <w:r>
        <w:rPr>
          <w:spacing w:val="-49"/>
        </w:rPr>
        <w:t> </w:t>
      </w:r>
      <w:r>
        <w:rPr>
          <w:rFonts w:ascii="宋体" w:hAnsi="宋体" w:cs="宋体" w:eastAsia="宋体" w:hint="default"/>
        </w:rPr>
        <w:t>2018</w:t>
      </w:r>
      <w:r>
        <w:rPr>
          <w:rFonts w:ascii="宋体" w:hAnsi="宋体" w:cs="宋体" w:eastAsia="宋体" w:hint="default"/>
          <w:spacing w:val="-52"/>
        </w:rPr>
        <w:t> </w:t>
      </w:r>
      <w:r>
        <w:rPr/>
        <w:t>年第五次临时股东大会审议通过了</w:t>
      </w:r>
    </w:p>
    <w:p>
      <w:pPr>
        <w:pStyle w:val="BodyText"/>
        <w:spacing w:line="240" w:lineRule="auto" w:before="7"/>
        <w:ind w:left="678" w:right="0"/>
        <w:jc w:val="both"/>
      </w:pPr>
      <w:r>
        <w:rPr/>
        <w:t>上述议案。截止</w:t>
      </w:r>
      <w:r>
        <w:rPr>
          <w:spacing w:val="-54"/>
        </w:rPr>
        <w:t> </w:t>
      </w:r>
      <w:r>
        <w:rPr>
          <w:rFonts w:ascii="宋体" w:hAnsi="宋体" w:cs="宋体" w:eastAsia="宋体" w:hint="default"/>
        </w:rPr>
        <w:t>2019</w:t>
      </w:r>
      <w:r>
        <w:rPr>
          <w:rFonts w:ascii="宋体" w:hAnsi="宋体" w:cs="宋体" w:eastAsia="宋体" w:hint="default"/>
          <w:spacing w:val="-54"/>
        </w:rPr>
        <w:t> </w:t>
      </w:r>
      <w:r>
        <w:rPr/>
        <w:t>年</w:t>
      </w:r>
      <w:r>
        <w:rPr>
          <w:spacing w:val="-55"/>
        </w:rPr>
        <w:t> </w:t>
      </w:r>
      <w:r>
        <w:rPr>
          <w:rFonts w:ascii="宋体" w:hAnsi="宋体" w:cs="宋体" w:eastAsia="宋体" w:hint="default"/>
        </w:rPr>
        <w:t>2</w:t>
      </w:r>
      <w:r>
        <w:rPr>
          <w:rFonts w:ascii="宋体" w:hAnsi="宋体" w:cs="宋体" w:eastAsia="宋体" w:hint="default"/>
          <w:spacing w:val="-56"/>
        </w:rPr>
        <w:t> </w:t>
      </w:r>
      <w:r>
        <w:rPr/>
        <w:t>月</w:t>
      </w:r>
      <w:r>
        <w:rPr>
          <w:spacing w:val="-54"/>
        </w:rPr>
        <w:t> </w:t>
      </w:r>
      <w:r>
        <w:rPr>
          <w:rFonts w:ascii="宋体" w:hAnsi="宋体" w:cs="宋体" w:eastAsia="宋体" w:hint="default"/>
        </w:rPr>
        <w:t>14</w:t>
      </w:r>
      <w:r>
        <w:rPr>
          <w:rFonts w:ascii="宋体" w:hAnsi="宋体" w:cs="宋体" w:eastAsia="宋体" w:hint="default"/>
          <w:spacing w:val="-56"/>
        </w:rPr>
        <w:t> </w:t>
      </w:r>
      <w:r>
        <w:rPr/>
        <w:t>日，公司本次回购股份计划已实施完成，实际回购公司股份</w:t>
      </w:r>
    </w:p>
    <w:p>
      <w:pPr>
        <w:pStyle w:val="BodyText"/>
        <w:spacing w:line="240" w:lineRule="auto" w:before="37"/>
        <w:ind w:left="678" w:right="0"/>
        <w:jc w:val="both"/>
      </w:pPr>
      <w:r>
        <w:rPr>
          <w:rFonts w:ascii="宋体" w:hAnsi="宋体" w:cs="宋体" w:eastAsia="宋体" w:hint="default"/>
        </w:rPr>
        <w:t>21,956,999</w:t>
      </w:r>
      <w:r>
        <w:rPr>
          <w:rFonts w:ascii="宋体" w:hAnsi="宋体" w:cs="宋体" w:eastAsia="宋体" w:hint="default"/>
          <w:spacing w:val="-55"/>
        </w:rPr>
        <w:t> </w:t>
      </w:r>
      <w:r>
        <w:rPr/>
        <w:t>股，占公司总股本的</w:t>
      </w:r>
      <w:r>
        <w:rPr>
          <w:spacing w:val="-54"/>
        </w:rPr>
        <w:t> </w:t>
      </w:r>
      <w:r>
        <w:rPr>
          <w:rFonts w:ascii="宋体" w:hAnsi="宋体" w:cs="宋体" w:eastAsia="宋体" w:hint="default"/>
        </w:rPr>
        <w:t>1.25%</w:t>
      </w:r>
      <w:r>
        <w:rPr/>
        <w:t>，回购最高价格</w:t>
      </w:r>
      <w:r>
        <w:rPr>
          <w:spacing w:val="-55"/>
        </w:rPr>
        <w:t> </w:t>
      </w:r>
      <w:r>
        <w:rPr>
          <w:rFonts w:ascii="宋体" w:hAnsi="宋体" w:cs="宋体" w:eastAsia="宋体" w:hint="default"/>
        </w:rPr>
        <w:t>5.56</w:t>
      </w:r>
      <w:r>
        <w:rPr>
          <w:rFonts w:ascii="宋体" w:hAnsi="宋体" w:cs="宋体" w:eastAsia="宋体" w:hint="default"/>
          <w:spacing w:val="-56"/>
        </w:rPr>
        <w:t> </w:t>
      </w:r>
      <w:r>
        <w:rPr/>
        <w:t>元</w:t>
      </w:r>
      <w:r>
        <w:rPr>
          <w:rFonts w:ascii="宋体" w:hAnsi="宋体" w:cs="宋体" w:eastAsia="宋体" w:hint="default"/>
        </w:rPr>
        <w:t>/</w:t>
      </w:r>
      <w:r>
        <w:rPr/>
        <w:t>股，回购最低价格</w:t>
      </w:r>
      <w:r>
        <w:rPr>
          <w:spacing w:val="-54"/>
        </w:rPr>
        <w:t> </w:t>
      </w:r>
      <w:r>
        <w:rPr>
          <w:rFonts w:ascii="宋体" w:hAnsi="宋体" w:cs="宋体" w:eastAsia="宋体" w:hint="default"/>
        </w:rPr>
        <w:t>4.24</w:t>
      </w:r>
      <w:r>
        <w:rPr>
          <w:rFonts w:ascii="宋体" w:hAnsi="宋体" w:cs="宋体" w:eastAsia="宋体" w:hint="default"/>
          <w:spacing w:val="-55"/>
        </w:rPr>
        <w:t> </w:t>
      </w:r>
      <w:r>
        <w:rPr/>
        <w:t>元</w:t>
      </w:r>
      <w:r>
        <w:rPr>
          <w:rFonts w:ascii="宋体" w:hAnsi="宋体" w:cs="宋体" w:eastAsia="宋体" w:hint="default"/>
        </w:rPr>
        <w:t>/</w:t>
      </w:r>
      <w:r>
        <w:rPr/>
        <w:t>股，</w:t>
      </w:r>
    </w:p>
    <w:p>
      <w:pPr>
        <w:pStyle w:val="BodyText"/>
        <w:spacing w:line="240" w:lineRule="auto" w:before="37"/>
        <w:ind w:left="678" w:right="0"/>
        <w:jc w:val="both"/>
        <w:rPr>
          <w:rFonts w:ascii="宋体" w:hAnsi="宋体" w:cs="宋体" w:eastAsia="宋体" w:hint="default"/>
        </w:rPr>
      </w:pPr>
      <w:r>
        <w:rPr/>
        <w:t>回购均价</w:t>
      </w:r>
      <w:r>
        <w:rPr>
          <w:spacing w:val="-55"/>
        </w:rPr>
        <w:t> </w:t>
      </w:r>
      <w:r>
        <w:rPr>
          <w:rFonts w:ascii="宋体" w:hAnsi="宋体" w:cs="宋体" w:eastAsia="宋体" w:hint="default"/>
        </w:rPr>
        <w:t>4.58</w:t>
      </w:r>
      <w:r>
        <w:rPr>
          <w:rFonts w:ascii="宋体" w:hAnsi="宋体" w:cs="宋体" w:eastAsia="宋体" w:hint="default"/>
          <w:spacing w:val="-56"/>
        </w:rPr>
        <w:t> </w:t>
      </w:r>
      <w:r>
        <w:rPr/>
        <w:t>元</w:t>
      </w:r>
      <w:r>
        <w:rPr>
          <w:rFonts w:ascii="宋体" w:hAnsi="宋体" w:cs="宋体" w:eastAsia="宋体" w:hint="default"/>
        </w:rPr>
        <w:t>/</w:t>
      </w:r>
      <w:r>
        <w:rPr/>
        <w:t>股，使用资金总额</w:t>
      </w:r>
      <w:r>
        <w:rPr>
          <w:spacing w:val="-54"/>
        </w:rPr>
        <w:t> </w:t>
      </w:r>
      <w:r>
        <w:rPr>
          <w:rFonts w:ascii="宋体" w:hAnsi="宋体" w:cs="宋体" w:eastAsia="宋体" w:hint="default"/>
        </w:rPr>
        <w:t>10,048.41</w:t>
      </w:r>
      <w:r>
        <w:rPr>
          <w:rFonts w:ascii="宋体" w:hAnsi="宋体" w:cs="宋体" w:eastAsia="宋体" w:hint="default"/>
          <w:spacing w:val="-55"/>
        </w:rPr>
        <w:t> </w:t>
      </w:r>
      <w:r>
        <w:rPr/>
        <w:t>万元（不含佣金、过户费等交易费用）。</w:t>
      </w:r>
      <w:r>
        <w:rPr>
          <w:rFonts w:ascii="宋体" w:hAnsi="宋体" w:cs="宋体" w:eastAsia="宋体" w:hint="default"/>
        </w:rPr>
        <w:t> </w:t>
      </w:r>
    </w:p>
    <w:p>
      <w:pPr>
        <w:pStyle w:val="BodyText"/>
        <w:spacing w:line="273" w:lineRule="auto" w:before="37"/>
        <w:ind w:left="678" w:right="0" w:firstLine="419"/>
        <w:jc w:val="left"/>
        <w:rPr>
          <w:rFonts w:ascii="宋体" w:hAnsi="宋体" w:cs="宋体" w:eastAsia="宋体" w:hint="default"/>
        </w:rPr>
      </w:pPr>
      <w:r>
        <w:rPr/>
        <w:t>公司分别于</w:t>
      </w:r>
      <w:r>
        <w:rPr>
          <w:spacing w:val="-53"/>
        </w:rPr>
        <w:t> </w:t>
      </w:r>
      <w:r>
        <w:rPr>
          <w:rFonts w:ascii="宋体" w:hAnsi="宋体" w:cs="宋体" w:eastAsia="宋体" w:hint="default"/>
        </w:rPr>
        <w:t>2019</w:t>
      </w:r>
      <w:r>
        <w:rPr>
          <w:rFonts w:ascii="宋体" w:hAnsi="宋体" w:cs="宋体" w:eastAsia="宋体" w:hint="default"/>
          <w:spacing w:val="-53"/>
        </w:rPr>
        <w:t> </w:t>
      </w:r>
      <w:r>
        <w:rPr/>
        <w:t>年</w:t>
      </w:r>
      <w:r>
        <w:rPr>
          <w:spacing w:val="-54"/>
        </w:rPr>
        <w:t> </w:t>
      </w:r>
      <w:r>
        <w:rPr>
          <w:rFonts w:ascii="宋体" w:hAnsi="宋体" w:cs="宋体" w:eastAsia="宋体" w:hint="default"/>
        </w:rPr>
        <w:t>7</w:t>
      </w:r>
      <w:r>
        <w:rPr>
          <w:rFonts w:ascii="宋体" w:hAnsi="宋体" w:cs="宋体" w:eastAsia="宋体" w:hint="default"/>
          <w:spacing w:val="-53"/>
        </w:rPr>
        <w:t> </w:t>
      </w:r>
      <w:r>
        <w:rPr/>
        <w:t>月</w:t>
      </w:r>
      <w:r>
        <w:rPr>
          <w:spacing w:val="-55"/>
        </w:rPr>
        <w:t> </w:t>
      </w:r>
      <w:r>
        <w:rPr>
          <w:rFonts w:ascii="宋体" w:hAnsi="宋体" w:cs="宋体" w:eastAsia="宋体" w:hint="default"/>
        </w:rPr>
        <w:t>8</w:t>
      </w:r>
      <w:r>
        <w:rPr>
          <w:rFonts w:ascii="宋体" w:hAnsi="宋体" w:cs="宋体" w:eastAsia="宋体" w:hint="default"/>
          <w:spacing w:val="-55"/>
        </w:rPr>
        <w:t> </w:t>
      </w:r>
      <w:r>
        <w:rPr/>
        <w:t>日和</w:t>
      </w:r>
      <w:r>
        <w:rPr>
          <w:spacing w:val="-53"/>
        </w:rPr>
        <w:t> </w:t>
      </w:r>
      <w:r>
        <w:rPr>
          <w:rFonts w:ascii="宋体" w:hAnsi="宋体" w:cs="宋体" w:eastAsia="宋体" w:hint="default"/>
        </w:rPr>
        <w:t>2019</w:t>
      </w:r>
      <w:r>
        <w:rPr>
          <w:rFonts w:ascii="宋体" w:hAnsi="宋体" w:cs="宋体" w:eastAsia="宋体" w:hint="default"/>
          <w:spacing w:val="-55"/>
        </w:rPr>
        <w:t> </w:t>
      </w:r>
      <w:r>
        <w:rPr/>
        <w:t>年</w:t>
      </w:r>
      <w:r>
        <w:rPr>
          <w:spacing w:val="-53"/>
        </w:rPr>
        <w:t> </w:t>
      </w:r>
      <w:r>
        <w:rPr>
          <w:rFonts w:ascii="宋体" w:hAnsi="宋体" w:cs="宋体" w:eastAsia="宋体" w:hint="default"/>
        </w:rPr>
        <w:t>7</w:t>
      </w:r>
      <w:r>
        <w:rPr>
          <w:rFonts w:ascii="宋体" w:hAnsi="宋体" w:cs="宋体" w:eastAsia="宋体" w:hint="default"/>
          <w:spacing w:val="-55"/>
        </w:rPr>
        <w:t> </w:t>
      </w:r>
      <w:r>
        <w:rPr/>
        <w:t>月</w:t>
      </w:r>
      <w:r>
        <w:rPr>
          <w:spacing w:val="-53"/>
        </w:rPr>
        <w:t> </w:t>
      </w:r>
      <w:r>
        <w:rPr>
          <w:rFonts w:ascii="宋体" w:hAnsi="宋体" w:cs="宋体" w:eastAsia="宋体" w:hint="default"/>
        </w:rPr>
        <w:t>25</w:t>
      </w:r>
      <w:r>
        <w:rPr>
          <w:rFonts w:ascii="宋体" w:hAnsi="宋体" w:cs="宋体" w:eastAsia="宋体" w:hint="default"/>
          <w:spacing w:val="-55"/>
        </w:rPr>
        <w:t> </w:t>
      </w:r>
      <w:r>
        <w:rPr/>
        <w:t>日召开第四节董事会第四次会议和</w:t>
      </w:r>
      <w:r>
        <w:rPr>
          <w:spacing w:val="-53"/>
        </w:rPr>
        <w:t> </w:t>
      </w:r>
      <w:r>
        <w:rPr>
          <w:rFonts w:ascii="宋体" w:hAnsi="宋体" w:cs="宋体" w:eastAsia="宋体" w:hint="default"/>
        </w:rPr>
        <w:t>2019</w:t>
      </w:r>
      <w:r>
        <w:rPr>
          <w:rFonts w:ascii="宋体" w:hAnsi="宋体" w:cs="宋体" w:eastAsia="宋体" w:hint="default"/>
          <w:spacing w:val="-55"/>
        </w:rPr>
        <w:t> </w:t>
      </w:r>
      <w:r>
        <w:rPr/>
        <w:t>年第</w:t>
      </w:r>
      <w:r>
        <w:rPr>
          <w:w w:val="100"/>
        </w:rPr>
        <w:t> </w:t>
      </w:r>
      <w:r>
        <w:rPr>
          <w:spacing w:val="-6"/>
          <w:w w:val="100"/>
        </w:rPr>
        <w:t>三次临时股东大会审议通过了《关于延长回购股份用于员工持股计划股东大会决议有效期的议案》，</w:t>
      </w:r>
      <w:r>
        <w:rPr>
          <w:spacing w:val="-101"/>
          <w:w w:val="100"/>
        </w:rPr>
        <w:t> </w:t>
      </w:r>
      <w:r>
        <w:rPr>
          <w:spacing w:val="-101"/>
          <w:w w:val="100"/>
        </w:rPr>
      </w:r>
      <w:r>
        <w:rPr/>
        <w:t>将本次回购预案决议的有效期限延长至</w:t>
      </w:r>
      <w:r>
        <w:rPr>
          <w:spacing w:val="-53"/>
        </w:rPr>
        <w:t> </w:t>
      </w:r>
      <w:r>
        <w:rPr>
          <w:rFonts w:ascii="宋体" w:hAnsi="宋体" w:cs="宋体" w:eastAsia="宋体" w:hint="default"/>
        </w:rPr>
        <w:t>2022</w:t>
      </w:r>
      <w:r>
        <w:rPr>
          <w:rFonts w:ascii="宋体" w:hAnsi="宋体" w:cs="宋体" w:eastAsia="宋体" w:hint="default"/>
          <w:spacing w:val="-55"/>
        </w:rPr>
        <w:t> </w:t>
      </w:r>
      <w:r>
        <w:rPr/>
        <w:t>年</w:t>
      </w:r>
      <w:r>
        <w:rPr>
          <w:spacing w:val="-53"/>
        </w:rPr>
        <w:t> </w:t>
      </w:r>
      <w:r>
        <w:rPr>
          <w:rFonts w:ascii="宋体" w:hAnsi="宋体" w:cs="宋体" w:eastAsia="宋体" w:hint="default"/>
        </w:rPr>
        <w:t>2</w:t>
      </w:r>
      <w:r>
        <w:rPr>
          <w:rFonts w:ascii="宋体" w:hAnsi="宋体" w:cs="宋体" w:eastAsia="宋体" w:hint="default"/>
          <w:spacing w:val="-55"/>
        </w:rPr>
        <w:t> </w:t>
      </w:r>
      <w:r>
        <w:rPr/>
        <w:t>月</w:t>
      </w:r>
      <w:r>
        <w:rPr>
          <w:spacing w:val="-52"/>
        </w:rPr>
        <w:t> </w:t>
      </w:r>
      <w:r>
        <w:rPr>
          <w:rFonts w:ascii="宋体" w:hAnsi="宋体" w:cs="宋体" w:eastAsia="宋体" w:hint="default"/>
        </w:rPr>
        <w:t>14</w:t>
      </w:r>
      <w:r>
        <w:rPr>
          <w:rFonts w:ascii="宋体" w:hAnsi="宋体" w:cs="宋体" w:eastAsia="宋体" w:hint="default"/>
          <w:spacing w:val="-55"/>
        </w:rPr>
        <w:t> </w:t>
      </w:r>
      <w:r>
        <w:rPr/>
        <w:t>日，有效期与《公司章程》的规定保持一</w:t>
      </w:r>
      <w:r>
        <w:rPr>
          <w:w w:val="100"/>
        </w:rPr>
        <w:t> </w:t>
      </w:r>
      <w:r>
        <w:rPr/>
        <w:t>致。</w:t>
      </w:r>
      <w:r>
        <w:rPr>
          <w:rFonts w:ascii="宋体" w:hAnsi="宋体" w:cs="宋体" w:eastAsia="宋体" w:hint="default"/>
        </w:rPr>
        <w:t> </w:t>
      </w:r>
    </w:p>
    <w:p>
      <w:pPr>
        <w:pStyle w:val="BodyText"/>
        <w:spacing w:line="273" w:lineRule="auto" w:before="8"/>
        <w:ind w:left="678" w:right="0"/>
        <w:jc w:val="left"/>
        <w:rPr>
          <w:rFonts w:ascii="宋体" w:hAnsi="宋体" w:cs="宋体" w:eastAsia="宋体" w:hint="default"/>
        </w:rPr>
      </w:pPr>
      <w:r>
        <w:rPr>
          <w:rFonts w:ascii="宋体" w:hAnsi="宋体" w:cs="宋体" w:eastAsia="宋体" w:hint="default"/>
          <w:w w:val="100"/>
        </w:rPr>
        <w:t>  </w:t>
      </w:r>
      <w:r>
        <w:rPr>
          <w:w w:val="100"/>
        </w:rPr>
        <w:t>其他</w:t>
      </w:r>
      <w:r>
        <w:rPr>
          <w:spacing w:val="-3"/>
          <w:w w:val="100"/>
        </w:rPr>
        <w:t>激</w:t>
      </w:r>
      <w:r>
        <w:rPr>
          <w:w w:val="100"/>
        </w:rPr>
        <w:t>励</w:t>
      </w:r>
      <w:r>
        <w:rPr>
          <w:spacing w:val="-3"/>
          <w:w w:val="100"/>
        </w:rPr>
        <w:t>措施</w:t>
      </w:r>
      <w:r>
        <w:rPr>
          <w:rFonts w:ascii="宋体" w:hAnsi="宋体" w:cs="宋体" w:eastAsia="宋体" w:hint="default"/>
          <w:w w:val="100"/>
        </w:rPr>
        <w:t> </w:t>
      </w:r>
    </w:p>
    <w:p>
      <w:pPr>
        <w:pStyle w:val="BodyText"/>
        <w:spacing w:line="240" w:lineRule="auto" w:before="7"/>
        <w:ind w:left="678" w:right="0"/>
        <w:jc w:val="both"/>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324" w:lineRule="auto" w:before="37"/>
        <w:ind w:left="678" w:right="7163"/>
        <w:jc w:val="left"/>
        <w:rPr>
          <w:b w:val="0"/>
          <w:bCs w:val="0"/>
        </w:rPr>
      </w:pPr>
      <w:r>
        <w:rPr>
          <w:rFonts w:ascii="宋体" w:hAnsi="宋体" w:cs="宋体" w:eastAsia="宋体" w:hint="default"/>
          <w:b w:val="0"/>
          <w:bCs w:val="0"/>
          <w:w w:val="100"/>
        </w:rPr>
        <w:t> </w:t>
      </w:r>
      <w:r>
        <w:rPr>
          <w:w w:val="100"/>
        </w:rPr>
        <w:t>十四</w:t>
      </w:r>
      <w:r>
        <w:rPr>
          <w:spacing w:val="-1"/>
          <w:w w:val="100"/>
        </w:rPr>
        <w:t>、</w:t>
      </w:r>
      <w:r>
        <w:rPr>
          <w:w w:val="100"/>
        </w:rPr>
        <w:t>重大关联交易</w:t>
      </w:r>
      <w:r>
        <w:rPr>
          <w:b w:val="0"/>
          <w:bCs w:val="0"/>
          <w:w w:val="100"/>
        </w:rPr>
      </w:r>
    </w:p>
    <w:p>
      <w:pPr>
        <w:pStyle w:val="Heading3"/>
        <w:spacing w:line="240" w:lineRule="auto" w:before="23"/>
        <w:ind w:left="678" w:right="0"/>
        <w:jc w:val="both"/>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28"/>
        </w:rPr>
        <w:t> </w:t>
      </w:r>
      <w:r>
        <w:rPr/>
        <w:t>与日常经营相关的关联交易</w:t>
      </w:r>
      <w:r>
        <w:rPr>
          <w:b w:val="0"/>
          <w:bCs w:val="0"/>
        </w:rPr>
      </w:r>
    </w:p>
    <w:p>
      <w:pPr>
        <w:pStyle w:val="Heading3"/>
        <w:spacing w:line="240" w:lineRule="auto" w:before="70"/>
        <w:ind w:left="678" w:right="0"/>
        <w:jc w:val="both"/>
        <w:rPr>
          <w:rFonts w:ascii="宋体" w:hAnsi="宋体" w:cs="宋体" w:eastAsia="宋体" w:hint="default"/>
          <w:b w:val="0"/>
          <w:bCs w:val="0"/>
        </w:rPr>
      </w:pPr>
      <w:r>
        <w:rPr>
          <w:rFonts w:ascii="宋体" w:hAnsi="宋体" w:cs="宋体" w:eastAsia="宋体" w:hint="default"/>
        </w:rPr>
        <w:t>1</w:t>
      </w:r>
      <w:r>
        <w:rPr/>
        <w:t>、</w:t>
      </w:r>
      <w:r>
        <w:rPr>
          <w:spacing w:val="-6"/>
        </w:rPr>
        <w:t> </w:t>
      </w:r>
      <w:r>
        <w:rPr/>
        <w:t>已在临时公告披露且后续实施无进展或变化的事项</w:t>
      </w:r>
      <w:r>
        <w:rPr>
          <w:rFonts w:ascii="宋体" w:hAnsi="宋体" w:cs="宋体" w:eastAsia="宋体" w:hint="default"/>
          <w:w w:val="99"/>
        </w:rPr>
        <w:t> </w:t>
      </w:r>
      <w:r>
        <w:rPr>
          <w:rFonts w:ascii="宋体" w:hAnsi="宋体" w:cs="宋体" w:eastAsia="宋体" w:hint="default"/>
          <w:b w:val="0"/>
          <w:bCs w:val="0"/>
        </w:rPr>
      </w:r>
    </w:p>
    <w:p>
      <w:pPr>
        <w:pStyle w:val="Heading2"/>
        <w:spacing w:line="240" w:lineRule="auto" w:before="69"/>
        <w:ind w:left="678" w:right="0"/>
        <w:jc w:val="both"/>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12"/>
        <w:rPr>
          <w:rFonts w:ascii="宋体" w:hAnsi="宋体" w:cs="宋体" w:eastAsia="宋体" w:hint="default"/>
          <w:sz w:val="2"/>
          <w:szCs w:val="2"/>
        </w:rPr>
      </w:pPr>
    </w:p>
    <w:tbl>
      <w:tblPr>
        <w:tblW w:w="0" w:type="auto"/>
        <w:jc w:val="left"/>
        <w:tblInd w:w="565" w:type="dxa"/>
        <w:tblLayout w:type="fixed"/>
        <w:tblCellMar>
          <w:top w:w="0" w:type="dxa"/>
          <w:left w:w="0" w:type="dxa"/>
          <w:bottom w:w="0" w:type="dxa"/>
          <w:right w:w="0" w:type="dxa"/>
        </w:tblCellMar>
        <w:tblLook w:val="01E0"/>
      </w:tblPr>
      <w:tblGrid>
        <w:gridCol w:w="4525"/>
        <w:gridCol w:w="4525"/>
      </w:tblGrid>
      <w:tr>
        <w:trPr>
          <w:trHeight w:val="324"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center"/>
              <w:rPr>
                <w:rFonts w:ascii="宋体" w:hAnsi="宋体" w:cs="宋体" w:eastAsia="宋体" w:hint="default"/>
                <w:sz w:val="21"/>
                <w:szCs w:val="21"/>
              </w:rPr>
            </w:pPr>
            <w:r>
              <w:rPr>
                <w:rFonts w:ascii="宋体" w:hAnsi="宋体" w:cs="宋体" w:eastAsia="宋体" w:hint="default"/>
                <w:sz w:val="21"/>
                <w:szCs w:val="21"/>
              </w:rPr>
              <w:t>事项概述</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2" w:right="0"/>
              <w:jc w:val="center"/>
              <w:rPr>
                <w:rFonts w:ascii="宋体" w:hAnsi="宋体" w:cs="宋体" w:eastAsia="宋体" w:hint="default"/>
                <w:sz w:val="21"/>
                <w:szCs w:val="21"/>
              </w:rPr>
            </w:pPr>
            <w:r>
              <w:rPr>
                <w:rFonts w:ascii="宋体" w:hAnsi="宋体" w:cs="宋体" w:eastAsia="宋体" w:hint="default"/>
                <w:sz w:val="21"/>
                <w:szCs w:val="21"/>
              </w:rPr>
              <w:t>查询索引</w:t>
            </w:r>
            <w:r>
              <w:rPr>
                <w:rFonts w:ascii="宋体" w:hAnsi="宋体" w:cs="宋体" w:eastAsia="宋体" w:hint="default"/>
                <w:sz w:val="21"/>
                <w:szCs w:val="21"/>
              </w:rPr>
              <w:t> </w:t>
            </w:r>
          </w:p>
        </w:tc>
      </w:tr>
      <w:tr>
        <w:trPr>
          <w:trHeight w:val="946"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45"/>
                <w:sz w:val="21"/>
                <w:szCs w:val="21"/>
              </w:rPr>
              <w:t> </w:t>
            </w:r>
            <w:r>
              <w:rPr>
                <w:rFonts w:ascii="宋体" w:hAnsi="宋体" w:cs="宋体" w:eastAsia="宋体" w:hint="default"/>
                <w:sz w:val="21"/>
                <w:szCs w:val="21"/>
              </w:rPr>
              <w:t>年</w:t>
            </w:r>
            <w:r>
              <w:rPr>
                <w:rFonts w:ascii="宋体" w:hAnsi="宋体" w:cs="宋体" w:eastAsia="宋体" w:hint="default"/>
                <w:spacing w:val="-44"/>
                <w:sz w:val="21"/>
                <w:szCs w:val="21"/>
              </w:rPr>
              <w:t> </w:t>
            </w:r>
            <w:r>
              <w:rPr>
                <w:rFonts w:ascii="宋体" w:hAnsi="宋体" w:cs="宋体" w:eastAsia="宋体" w:hint="default"/>
                <w:sz w:val="21"/>
                <w:szCs w:val="21"/>
              </w:rPr>
              <w:t>5</w:t>
            </w:r>
            <w:r>
              <w:rPr>
                <w:rFonts w:ascii="宋体" w:hAnsi="宋体" w:cs="宋体" w:eastAsia="宋体" w:hint="default"/>
                <w:spacing w:val="-44"/>
                <w:sz w:val="21"/>
                <w:szCs w:val="21"/>
              </w:rPr>
              <w:t> </w:t>
            </w:r>
            <w:r>
              <w:rPr>
                <w:rFonts w:ascii="宋体" w:hAnsi="宋体" w:cs="宋体" w:eastAsia="宋体" w:hint="default"/>
                <w:sz w:val="21"/>
                <w:szCs w:val="21"/>
              </w:rPr>
              <w:t>月</w:t>
            </w:r>
            <w:r>
              <w:rPr>
                <w:rFonts w:ascii="宋体" w:hAnsi="宋体" w:cs="宋体" w:eastAsia="宋体" w:hint="default"/>
                <w:spacing w:val="-47"/>
                <w:sz w:val="21"/>
                <w:szCs w:val="21"/>
              </w:rPr>
              <w:t> </w:t>
            </w:r>
            <w:r>
              <w:rPr>
                <w:rFonts w:ascii="宋体" w:hAnsi="宋体" w:cs="宋体" w:eastAsia="宋体" w:hint="default"/>
                <w:sz w:val="21"/>
                <w:szCs w:val="21"/>
              </w:rPr>
              <w:t>28</w:t>
            </w:r>
            <w:r>
              <w:rPr>
                <w:rFonts w:ascii="宋体" w:hAnsi="宋体" w:cs="宋体" w:eastAsia="宋体" w:hint="default"/>
                <w:spacing w:val="-44"/>
                <w:sz w:val="21"/>
                <w:szCs w:val="21"/>
              </w:rPr>
              <w:t> </w:t>
            </w:r>
            <w:r>
              <w:rPr>
                <w:rFonts w:ascii="宋体" w:hAnsi="宋体" w:cs="宋体" w:eastAsia="宋体" w:hint="default"/>
                <w:sz w:val="21"/>
                <w:szCs w:val="21"/>
              </w:rPr>
              <w:t>日，公司</w:t>
            </w:r>
            <w:r>
              <w:rPr>
                <w:rFonts w:ascii="宋体" w:hAnsi="宋体" w:cs="宋体" w:eastAsia="宋体" w:hint="default"/>
                <w:spacing w:val="-46"/>
                <w:sz w:val="21"/>
                <w:szCs w:val="21"/>
              </w:rPr>
              <w:t> </w:t>
            </w:r>
            <w:r>
              <w:rPr>
                <w:rFonts w:ascii="宋体" w:hAnsi="宋体" w:cs="宋体" w:eastAsia="宋体" w:hint="default"/>
                <w:sz w:val="21"/>
                <w:szCs w:val="21"/>
              </w:rPr>
              <w:t>2018</w:t>
            </w:r>
            <w:r>
              <w:rPr>
                <w:rFonts w:ascii="宋体" w:hAnsi="宋体" w:cs="宋体" w:eastAsia="宋体" w:hint="default"/>
                <w:spacing w:val="-44"/>
                <w:sz w:val="21"/>
                <w:szCs w:val="21"/>
              </w:rPr>
              <w:t> </w:t>
            </w:r>
            <w:r>
              <w:rPr>
                <w:rFonts w:ascii="宋体" w:hAnsi="宋体" w:cs="宋体" w:eastAsia="宋体" w:hint="default"/>
                <w:sz w:val="21"/>
                <w:szCs w:val="21"/>
              </w:rPr>
              <w:t>年度股东大会审</w:t>
            </w:r>
          </w:p>
          <w:p>
            <w:pPr>
              <w:pStyle w:val="TableParagraph"/>
              <w:spacing w:line="273" w:lineRule="auto" w:before="37"/>
              <w:ind w:left="103" w:right="96"/>
              <w:jc w:val="left"/>
              <w:rPr>
                <w:rFonts w:ascii="宋体" w:hAnsi="宋体" w:cs="宋体" w:eastAsia="宋体" w:hint="default"/>
                <w:sz w:val="21"/>
                <w:szCs w:val="21"/>
              </w:rPr>
            </w:pPr>
            <w:r>
              <w:rPr>
                <w:rFonts w:ascii="宋体" w:hAnsi="宋体" w:cs="宋体" w:eastAsia="宋体" w:hint="default"/>
                <w:sz w:val="21"/>
                <w:szCs w:val="21"/>
              </w:rPr>
              <w:t>议通过了《关于公司</w:t>
            </w:r>
            <w:r>
              <w:rPr>
                <w:rFonts w:ascii="宋体" w:hAnsi="宋体" w:cs="宋体" w:eastAsia="宋体" w:hint="default"/>
                <w:spacing w:val="-51"/>
                <w:sz w:val="21"/>
                <w:szCs w:val="21"/>
              </w:rPr>
              <w:t> </w:t>
            </w:r>
            <w:r>
              <w:rPr>
                <w:rFonts w:ascii="宋体" w:hAnsi="宋体" w:cs="宋体" w:eastAsia="宋体" w:hint="default"/>
                <w:sz w:val="21"/>
                <w:szCs w:val="21"/>
              </w:rPr>
              <w:t>2019</w:t>
            </w:r>
            <w:r>
              <w:rPr>
                <w:rFonts w:ascii="宋体" w:hAnsi="宋体" w:cs="宋体" w:eastAsia="宋体" w:hint="default"/>
                <w:spacing w:val="-52"/>
                <w:sz w:val="21"/>
                <w:szCs w:val="21"/>
              </w:rPr>
              <w:t> </w:t>
            </w:r>
            <w:r>
              <w:rPr>
                <w:rFonts w:ascii="宋体" w:hAnsi="宋体" w:cs="宋体" w:eastAsia="宋体" w:hint="default"/>
                <w:sz w:val="21"/>
                <w:szCs w:val="21"/>
              </w:rPr>
              <w:t>年度预计日常关联交</w:t>
            </w:r>
            <w:r>
              <w:rPr>
                <w:rFonts w:ascii="宋体" w:hAnsi="宋体" w:cs="宋体" w:eastAsia="宋体" w:hint="default"/>
                <w:w w:val="100"/>
                <w:sz w:val="21"/>
                <w:szCs w:val="21"/>
              </w:rPr>
              <w:t> </w:t>
            </w:r>
            <w:r>
              <w:rPr>
                <w:rFonts w:ascii="宋体" w:hAnsi="宋体" w:cs="宋体" w:eastAsia="宋体" w:hint="default"/>
                <w:sz w:val="21"/>
                <w:szCs w:val="21"/>
              </w:rPr>
              <w:t>易的议案》。</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6"/>
              <w:jc w:val="both"/>
              <w:rPr>
                <w:rFonts w:ascii="宋体" w:hAnsi="宋体" w:cs="宋体" w:eastAsia="宋体" w:hint="default"/>
                <w:sz w:val="21"/>
                <w:szCs w:val="21"/>
              </w:rPr>
            </w:pPr>
            <w:r>
              <w:rPr>
                <w:rFonts w:ascii="宋体" w:hAnsi="宋体" w:cs="宋体" w:eastAsia="宋体" w:hint="default"/>
                <w:sz w:val="21"/>
                <w:szCs w:val="21"/>
              </w:rPr>
              <w:t>上海证券交易所网站公司公告中：</w:t>
            </w:r>
            <w:r>
              <w:rPr>
                <w:rFonts w:ascii="宋体" w:hAnsi="宋体" w:cs="宋体" w:eastAsia="宋体" w:hint="default"/>
                <w:sz w:val="21"/>
                <w:szCs w:val="21"/>
              </w:rPr>
              <w:t>2019</w:t>
            </w:r>
            <w:r>
              <w:rPr>
                <w:rFonts w:ascii="宋体" w:hAnsi="宋体" w:cs="宋体" w:eastAsia="宋体" w:hint="default"/>
                <w:spacing w:val="-36"/>
                <w:sz w:val="21"/>
                <w:szCs w:val="21"/>
              </w:rPr>
              <w:t> </w:t>
            </w:r>
            <w:r>
              <w:rPr>
                <w:rFonts w:ascii="宋体" w:hAnsi="宋体" w:cs="宋体" w:eastAsia="宋体" w:hint="default"/>
                <w:sz w:val="21"/>
                <w:szCs w:val="21"/>
              </w:rPr>
              <w:t>年</w:t>
            </w:r>
            <w:r>
              <w:rPr>
                <w:rFonts w:ascii="宋体" w:hAnsi="宋体" w:cs="宋体" w:eastAsia="宋体" w:hint="default"/>
                <w:spacing w:val="-36"/>
                <w:sz w:val="21"/>
                <w:szCs w:val="21"/>
              </w:rPr>
              <w:t> </w:t>
            </w:r>
            <w:r>
              <w:rPr>
                <w:rFonts w:ascii="宋体" w:hAnsi="宋体" w:cs="宋体" w:eastAsia="宋体" w:hint="default"/>
                <w:sz w:val="21"/>
                <w:szCs w:val="21"/>
              </w:rPr>
              <w:t>4</w:t>
            </w:r>
            <w:r>
              <w:rPr>
                <w:rFonts w:ascii="宋体" w:hAnsi="宋体" w:cs="宋体" w:eastAsia="宋体" w:hint="default"/>
                <w:spacing w:val="-33"/>
                <w:sz w:val="21"/>
                <w:szCs w:val="21"/>
              </w:rPr>
              <w:t> </w:t>
            </w:r>
            <w:r>
              <w:rPr>
                <w:rFonts w:ascii="宋体" w:hAnsi="宋体" w:cs="宋体" w:eastAsia="宋体" w:hint="default"/>
                <w:sz w:val="21"/>
                <w:szCs w:val="21"/>
              </w:rPr>
              <w:t>月</w:t>
            </w:r>
            <w:r>
              <w:rPr>
                <w:rFonts w:ascii="宋体" w:hAnsi="宋体" w:cs="宋体" w:eastAsia="宋体" w:hint="default"/>
                <w:w w:val="100"/>
                <w:sz w:val="21"/>
                <w:szCs w:val="21"/>
              </w:rPr>
              <w:t> </w:t>
            </w:r>
            <w:r>
              <w:rPr>
                <w:rFonts w:ascii="宋体" w:hAnsi="宋体" w:cs="宋体" w:eastAsia="宋体" w:hint="default"/>
                <w:sz w:val="21"/>
                <w:szCs w:val="21"/>
              </w:rPr>
              <w:t>26 </w:t>
            </w:r>
            <w:r>
              <w:rPr>
                <w:rFonts w:ascii="宋体" w:hAnsi="宋体" w:cs="宋体" w:eastAsia="宋体" w:hint="default"/>
                <w:sz w:val="21"/>
                <w:szCs w:val="21"/>
              </w:rPr>
              <w:t>日公告的《公司 </w:t>
            </w:r>
            <w:r>
              <w:rPr>
                <w:rFonts w:ascii="宋体" w:hAnsi="宋体" w:cs="宋体" w:eastAsia="宋体" w:hint="default"/>
                <w:sz w:val="21"/>
                <w:szCs w:val="21"/>
              </w:rPr>
              <w:t>2019 </w:t>
            </w:r>
            <w:r>
              <w:rPr>
                <w:rFonts w:ascii="宋体" w:hAnsi="宋体" w:cs="宋体" w:eastAsia="宋体" w:hint="default"/>
                <w:sz w:val="21"/>
                <w:szCs w:val="21"/>
              </w:rPr>
              <w:t>年度日常关联交易公</w:t>
            </w:r>
            <w:r>
              <w:rPr>
                <w:rFonts w:ascii="宋体" w:hAnsi="宋体" w:cs="宋体" w:eastAsia="宋体" w:hint="default"/>
                <w:w w:val="100"/>
                <w:sz w:val="21"/>
                <w:szCs w:val="21"/>
              </w:rPr>
              <w:t> </w:t>
            </w:r>
            <w:r>
              <w:rPr>
                <w:rFonts w:ascii="宋体" w:hAnsi="宋体" w:cs="宋体" w:eastAsia="宋体" w:hint="default"/>
                <w:sz w:val="21"/>
                <w:szCs w:val="21"/>
              </w:rPr>
              <w:t>告》，公告编号为临</w:t>
            </w:r>
            <w:r>
              <w:rPr>
                <w:rFonts w:ascii="宋体" w:hAnsi="宋体" w:cs="宋体" w:eastAsia="宋体" w:hint="default"/>
                <w:spacing w:val="-57"/>
                <w:sz w:val="21"/>
                <w:szCs w:val="21"/>
              </w:rPr>
              <w:t> </w:t>
            </w:r>
            <w:r>
              <w:rPr>
                <w:rFonts w:ascii="宋体" w:hAnsi="宋体" w:cs="宋体" w:eastAsia="宋体" w:hint="default"/>
                <w:sz w:val="21"/>
                <w:szCs w:val="21"/>
              </w:rPr>
              <w:t>2019-37</w:t>
            </w:r>
            <w:r>
              <w:rPr>
                <w:rFonts w:ascii="宋体" w:hAnsi="宋体" w:cs="宋体" w:eastAsia="宋体" w:hint="default"/>
                <w:sz w:val="21"/>
                <w:szCs w:val="21"/>
              </w:rPr>
              <w:t>。</w:t>
            </w:r>
            <w:r>
              <w:rPr>
                <w:rFonts w:ascii="宋体" w:hAnsi="宋体" w:cs="宋体" w:eastAsia="宋体" w:hint="default"/>
                <w:sz w:val="21"/>
                <w:szCs w:val="21"/>
              </w:rPr>
              <w:t> </w:t>
            </w:r>
          </w:p>
        </w:tc>
      </w:tr>
    </w:tbl>
    <w:p>
      <w:pPr>
        <w:pStyle w:val="Heading2"/>
        <w:spacing w:line="274" w:lineRule="exact"/>
        <w:ind w:left="678" w:right="0"/>
        <w:jc w:val="left"/>
        <w:rPr>
          <w:rFonts w:ascii="宋体" w:hAnsi="宋体" w:cs="宋体" w:eastAsia="宋体" w:hint="default"/>
        </w:rPr>
      </w:pPr>
      <w:r>
        <w:rPr>
          <w:rFonts w:ascii="宋体"/>
        </w:rPr>
        <w:t> </w:t>
      </w:r>
    </w:p>
    <w:p>
      <w:pPr>
        <w:pStyle w:val="Heading3"/>
        <w:spacing w:line="240" w:lineRule="auto" w:before="85"/>
        <w:ind w:left="678" w:right="0"/>
        <w:jc w:val="left"/>
        <w:rPr>
          <w:rFonts w:ascii="宋体" w:hAnsi="宋体" w:cs="宋体" w:eastAsia="宋体" w:hint="default"/>
          <w:b w:val="0"/>
          <w:bCs w:val="0"/>
        </w:rPr>
      </w:pPr>
      <w:r>
        <w:rPr>
          <w:rFonts w:ascii="宋体" w:hAnsi="宋体" w:cs="宋体" w:eastAsia="宋体" w:hint="default"/>
        </w:rPr>
        <w:t>2</w:t>
      </w:r>
      <w:r>
        <w:rPr/>
        <w:t>、</w:t>
      </w:r>
      <w:r>
        <w:rPr>
          <w:spacing w:val="-6"/>
        </w:rPr>
        <w:t> </w:t>
      </w:r>
      <w:r>
        <w:rPr/>
        <w:t>已在临时公告披露，但有后续实施的进展或变化的事项</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7"/>
        <w:ind w:left="67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left="678" w:right="0"/>
        <w:jc w:val="left"/>
        <w:rPr>
          <w:rFonts w:ascii="宋体" w:hAnsi="宋体" w:cs="宋体" w:eastAsia="宋体" w:hint="default"/>
        </w:rPr>
      </w:pPr>
      <w:r>
        <w:rPr>
          <w:rFonts w:ascii="宋体"/>
          <w:w w:val="100"/>
        </w:rPr>
        <w:t> </w:t>
      </w:r>
    </w:p>
    <w:p>
      <w:pPr>
        <w:spacing w:line="240" w:lineRule="auto" w:before="10"/>
        <w:rPr>
          <w:rFonts w:ascii="宋体" w:hAnsi="宋体" w:cs="宋体" w:eastAsia="宋体" w:hint="default"/>
          <w:sz w:val="3"/>
          <w:szCs w:val="3"/>
        </w:rPr>
      </w:pPr>
    </w:p>
    <w:tbl>
      <w:tblPr>
        <w:tblW w:w="0" w:type="auto"/>
        <w:jc w:val="left"/>
        <w:tblInd w:w="270" w:type="dxa"/>
        <w:tblLayout w:type="fixed"/>
        <w:tblCellMar>
          <w:top w:w="0" w:type="dxa"/>
          <w:left w:w="0" w:type="dxa"/>
          <w:bottom w:w="0" w:type="dxa"/>
          <w:right w:w="0" w:type="dxa"/>
        </w:tblCellMar>
        <w:tblLook w:val="01E0"/>
      </w:tblPr>
      <w:tblGrid>
        <w:gridCol w:w="2672"/>
        <w:gridCol w:w="1063"/>
        <w:gridCol w:w="1063"/>
        <w:gridCol w:w="1176"/>
        <w:gridCol w:w="1234"/>
        <w:gridCol w:w="1906"/>
      </w:tblGrid>
      <w:tr>
        <w:trPr>
          <w:trHeight w:val="634" w:hRule="exact"/>
        </w:trPr>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103" w:right="0"/>
              <w:jc w:val="left"/>
              <w:rPr>
                <w:rFonts w:ascii="宋体" w:hAnsi="宋体" w:cs="宋体" w:eastAsia="宋体" w:hint="default"/>
                <w:sz w:val="20"/>
                <w:szCs w:val="20"/>
              </w:rPr>
            </w:pPr>
            <w:r>
              <w:rPr>
                <w:rFonts w:ascii="宋体" w:hAnsi="宋体" w:cs="宋体" w:eastAsia="宋体" w:hint="default"/>
                <w:sz w:val="20"/>
                <w:szCs w:val="20"/>
              </w:rPr>
              <w:t>关联交易方</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103" w:right="0"/>
              <w:jc w:val="left"/>
              <w:rPr>
                <w:rFonts w:ascii="宋体" w:hAnsi="宋体" w:cs="宋体" w:eastAsia="宋体" w:hint="default"/>
                <w:sz w:val="20"/>
                <w:szCs w:val="20"/>
              </w:rPr>
            </w:pPr>
            <w:r>
              <w:rPr>
                <w:rFonts w:ascii="宋体" w:hAnsi="宋体" w:cs="宋体" w:eastAsia="宋体" w:hint="default"/>
                <w:sz w:val="20"/>
                <w:szCs w:val="20"/>
              </w:rPr>
              <w:t>关联关系</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84"/>
              <w:jc w:val="left"/>
              <w:rPr>
                <w:rFonts w:ascii="宋体" w:hAnsi="宋体" w:cs="宋体" w:eastAsia="宋体" w:hint="default"/>
                <w:sz w:val="20"/>
                <w:szCs w:val="20"/>
              </w:rPr>
            </w:pPr>
            <w:r>
              <w:rPr>
                <w:rFonts w:ascii="宋体" w:hAnsi="宋体" w:cs="宋体" w:eastAsia="宋体" w:hint="default"/>
                <w:spacing w:val="16"/>
                <w:sz w:val="20"/>
                <w:szCs w:val="20"/>
              </w:rPr>
              <w:t>关联交易</w:t>
            </w:r>
            <w:r>
              <w:rPr>
                <w:rFonts w:ascii="宋体" w:hAnsi="宋体" w:cs="宋体" w:eastAsia="宋体" w:hint="default"/>
                <w:spacing w:val="16"/>
                <w:w w:val="99"/>
                <w:sz w:val="20"/>
                <w:szCs w:val="20"/>
              </w:rPr>
              <w:t> </w:t>
            </w:r>
            <w:r>
              <w:rPr>
                <w:rFonts w:ascii="宋体" w:hAnsi="宋体" w:cs="宋体" w:eastAsia="宋体" w:hint="default"/>
                <w:sz w:val="20"/>
                <w:szCs w:val="20"/>
              </w:rPr>
              <w:t>类型</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104"/>
              <w:jc w:val="left"/>
              <w:rPr>
                <w:rFonts w:ascii="宋体" w:hAnsi="宋体" w:cs="宋体" w:eastAsia="宋体" w:hint="default"/>
                <w:sz w:val="20"/>
                <w:szCs w:val="20"/>
              </w:rPr>
            </w:pPr>
            <w:r>
              <w:rPr>
                <w:rFonts w:ascii="宋体" w:hAnsi="宋体" w:cs="宋体" w:eastAsia="宋体" w:hint="default"/>
                <w:sz w:val="20"/>
                <w:szCs w:val="20"/>
              </w:rPr>
              <w:t>关</w:t>
            </w:r>
            <w:r>
              <w:rPr>
                <w:rFonts w:ascii="宋体" w:hAnsi="宋体" w:cs="宋体" w:eastAsia="宋体" w:hint="default"/>
                <w:spacing w:val="-49"/>
                <w:sz w:val="20"/>
                <w:szCs w:val="20"/>
              </w:rPr>
              <w:t> </w:t>
            </w:r>
            <w:r>
              <w:rPr>
                <w:rFonts w:ascii="宋体" w:hAnsi="宋体" w:cs="宋体" w:eastAsia="宋体" w:hint="default"/>
                <w:sz w:val="20"/>
                <w:szCs w:val="20"/>
              </w:rPr>
              <w:t>联</w:t>
            </w:r>
            <w:r>
              <w:rPr>
                <w:rFonts w:ascii="宋体" w:hAnsi="宋体" w:cs="宋体" w:eastAsia="宋体" w:hint="default"/>
                <w:spacing w:val="-49"/>
                <w:sz w:val="20"/>
                <w:szCs w:val="20"/>
              </w:rPr>
              <w:t> </w:t>
            </w:r>
            <w:r>
              <w:rPr>
                <w:rFonts w:ascii="宋体" w:hAnsi="宋体" w:cs="宋体" w:eastAsia="宋体" w:hint="default"/>
                <w:sz w:val="20"/>
                <w:szCs w:val="20"/>
              </w:rPr>
              <w:t>交</w:t>
            </w:r>
            <w:r>
              <w:rPr>
                <w:rFonts w:ascii="宋体" w:hAnsi="宋体" w:cs="宋体" w:eastAsia="宋体" w:hint="default"/>
                <w:spacing w:val="-47"/>
                <w:sz w:val="20"/>
                <w:szCs w:val="20"/>
              </w:rPr>
              <w:t> </w:t>
            </w:r>
            <w:r>
              <w:rPr>
                <w:rFonts w:ascii="宋体" w:hAnsi="宋体" w:cs="宋体" w:eastAsia="宋体" w:hint="default"/>
                <w:sz w:val="20"/>
                <w:szCs w:val="20"/>
              </w:rPr>
              <w:t>易</w:t>
            </w:r>
            <w:r>
              <w:rPr>
                <w:rFonts w:ascii="宋体" w:hAnsi="宋体" w:cs="宋体" w:eastAsia="宋体" w:hint="default"/>
                <w:w w:val="99"/>
                <w:sz w:val="20"/>
                <w:szCs w:val="20"/>
              </w:rPr>
              <w:t> </w:t>
            </w:r>
            <w:r>
              <w:rPr>
                <w:rFonts w:ascii="宋体" w:hAnsi="宋体" w:cs="宋体" w:eastAsia="宋体" w:hint="default"/>
                <w:sz w:val="20"/>
                <w:szCs w:val="20"/>
              </w:rPr>
              <w:t>内容</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120"/>
              <w:jc w:val="left"/>
              <w:rPr>
                <w:rFonts w:ascii="宋体" w:hAnsi="宋体" w:cs="宋体" w:eastAsia="宋体" w:hint="default"/>
                <w:sz w:val="20"/>
                <w:szCs w:val="20"/>
              </w:rPr>
            </w:pPr>
            <w:r>
              <w:rPr>
                <w:rFonts w:ascii="宋体" w:hAnsi="宋体" w:cs="宋体" w:eastAsia="宋体" w:hint="default"/>
                <w:sz w:val="20"/>
                <w:szCs w:val="20"/>
              </w:rPr>
              <w:t>关联交易金</w:t>
            </w:r>
            <w:r>
              <w:rPr>
                <w:rFonts w:ascii="宋体" w:hAnsi="宋体" w:cs="宋体" w:eastAsia="宋体" w:hint="default"/>
                <w:w w:val="99"/>
                <w:sz w:val="20"/>
                <w:szCs w:val="20"/>
              </w:rPr>
              <w:t> </w:t>
            </w:r>
            <w:r>
              <w:rPr>
                <w:rFonts w:ascii="宋体" w:hAnsi="宋体" w:cs="宋体" w:eastAsia="宋体" w:hint="default"/>
                <w:sz w:val="20"/>
                <w:szCs w:val="20"/>
              </w:rPr>
              <w:t>额（万元）</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103" w:right="0"/>
              <w:jc w:val="left"/>
              <w:rPr>
                <w:rFonts w:ascii="宋体" w:hAnsi="宋体" w:cs="宋体" w:eastAsia="宋体" w:hint="default"/>
                <w:sz w:val="20"/>
                <w:szCs w:val="20"/>
              </w:rPr>
            </w:pPr>
            <w:r>
              <w:rPr>
                <w:rFonts w:ascii="宋体" w:hAnsi="宋体" w:cs="宋体" w:eastAsia="宋体" w:hint="default"/>
                <w:sz w:val="20"/>
                <w:szCs w:val="20"/>
              </w:rPr>
              <w:t>临时公告披露</w:t>
            </w:r>
          </w:p>
        </w:tc>
      </w:tr>
      <w:tr>
        <w:trPr>
          <w:trHeight w:val="322" w:hRule="exact"/>
        </w:trPr>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0"/>
                <w:szCs w:val="20"/>
              </w:rPr>
            </w:pPr>
            <w:r>
              <w:rPr>
                <w:rFonts w:ascii="宋体" w:hAnsi="宋体" w:cs="宋体" w:eastAsia="宋体" w:hint="default"/>
                <w:sz w:val="20"/>
                <w:szCs w:val="20"/>
              </w:rPr>
              <w:t>启东市华虹电子有限公司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0"/>
                <w:szCs w:val="20"/>
              </w:rPr>
            </w:pPr>
            <w:r>
              <w:rPr>
                <w:rFonts w:ascii="宋体" w:hAnsi="宋体" w:cs="宋体" w:eastAsia="宋体" w:hint="default"/>
                <w:sz w:val="20"/>
                <w:szCs w:val="20"/>
              </w:rPr>
              <w:t>母公司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0"/>
                <w:szCs w:val="20"/>
              </w:rPr>
            </w:pPr>
            <w:r>
              <w:rPr>
                <w:rFonts w:ascii="宋体" w:hAnsi="宋体" w:cs="宋体" w:eastAsia="宋体" w:hint="default"/>
                <w:sz w:val="20"/>
                <w:szCs w:val="20"/>
              </w:rPr>
              <w:t>租赁资产</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0"/>
                <w:szCs w:val="20"/>
              </w:rPr>
            </w:pPr>
            <w:r>
              <w:rPr>
                <w:rFonts w:ascii="宋体" w:hAnsi="宋体" w:cs="宋体" w:eastAsia="宋体" w:hint="default"/>
                <w:sz w:val="20"/>
                <w:szCs w:val="20"/>
              </w:rPr>
              <w:t>员工宿舍</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0"/>
              <w:jc w:val="right"/>
              <w:rPr>
                <w:rFonts w:ascii="Times New Roman" w:hAnsi="Times New Roman" w:cs="Times New Roman" w:eastAsia="Times New Roman" w:hint="default"/>
                <w:sz w:val="20"/>
                <w:szCs w:val="20"/>
              </w:rPr>
            </w:pPr>
            <w:r>
              <w:rPr>
                <w:rFonts w:ascii="Times New Roman"/>
                <w:w w:val="95"/>
                <w:sz w:val="20"/>
              </w:rPr>
              <w:t>132.60</w:t>
            </w:r>
            <w:r>
              <w:rPr>
                <w:rFonts w:ascii="Times New Roman"/>
                <w:sz w:val="20"/>
              </w:rPr>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left="103" w:right="0"/>
              <w:jc w:val="left"/>
              <w:rPr>
                <w:rFonts w:ascii="宋体" w:hAnsi="宋体" w:cs="宋体" w:eastAsia="宋体" w:hint="default"/>
                <w:sz w:val="20"/>
                <w:szCs w:val="20"/>
              </w:rPr>
            </w:pPr>
            <w:r>
              <w:rPr>
                <w:rFonts w:ascii="宋体" w:hAnsi="宋体" w:cs="宋体" w:eastAsia="宋体" w:hint="default"/>
                <w:sz w:val="20"/>
                <w:szCs w:val="20"/>
              </w:rPr>
              <w:t>总计不超过</w:t>
            </w:r>
            <w:r>
              <w:rPr>
                <w:rFonts w:ascii="宋体" w:hAnsi="宋体" w:cs="宋体" w:eastAsia="宋体" w:hint="default"/>
                <w:spacing w:val="-50"/>
                <w:sz w:val="20"/>
                <w:szCs w:val="20"/>
              </w:rPr>
              <w:t> </w:t>
            </w:r>
            <w:r>
              <w:rPr>
                <w:rFonts w:ascii="Times New Roman" w:hAnsi="Times New Roman" w:cs="Times New Roman" w:eastAsia="Times New Roman" w:hint="default"/>
                <w:sz w:val="20"/>
                <w:szCs w:val="20"/>
              </w:rPr>
              <w:t>200 </w:t>
            </w:r>
            <w:r>
              <w:rPr>
                <w:rFonts w:ascii="宋体" w:hAnsi="宋体" w:cs="宋体" w:eastAsia="宋体" w:hint="default"/>
                <w:sz w:val="20"/>
                <w:szCs w:val="20"/>
              </w:rPr>
              <w:t>万</w:t>
            </w:r>
          </w:p>
        </w:tc>
      </w:tr>
      <w:tr>
        <w:trPr>
          <w:trHeight w:val="322" w:hRule="exact"/>
        </w:trPr>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0"/>
                <w:szCs w:val="20"/>
              </w:rPr>
            </w:pPr>
            <w:r>
              <w:rPr>
                <w:rFonts w:ascii="宋体" w:hAnsi="宋体" w:cs="宋体" w:eastAsia="宋体" w:hint="default"/>
                <w:sz w:val="20"/>
                <w:szCs w:val="20"/>
              </w:rPr>
              <w:t>启东市华虹电子有限公司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0"/>
                <w:szCs w:val="20"/>
              </w:rPr>
            </w:pPr>
            <w:r>
              <w:rPr>
                <w:rFonts w:ascii="宋体" w:hAnsi="宋体" w:cs="宋体" w:eastAsia="宋体" w:hint="default"/>
                <w:sz w:val="20"/>
                <w:szCs w:val="20"/>
              </w:rPr>
              <w:t>母公司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0"/>
                <w:szCs w:val="20"/>
              </w:rPr>
            </w:pPr>
            <w:r>
              <w:rPr>
                <w:rFonts w:ascii="宋体" w:hAnsi="宋体" w:cs="宋体" w:eastAsia="宋体" w:hint="default"/>
                <w:sz w:val="20"/>
                <w:szCs w:val="20"/>
              </w:rPr>
              <w:t>租赁资产</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0"/>
                <w:szCs w:val="20"/>
              </w:rPr>
            </w:pPr>
            <w:r>
              <w:rPr>
                <w:rFonts w:ascii="宋体" w:hAnsi="宋体" w:cs="宋体" w:eastAsia="宋体" w:hint="default"/>
                <w:sz w:val="20"/>
                <w:szCs w:val="20"/>
              </w:rPr>
              <w:t>办公场所</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0"/>
              <w:jc w:val="right"/>
              <w:rPr>
                <w:rFonts w:ascii="Times New Roman" w:hAnsi="Times New Roman" w:cs="Times New Roman" w:eastAsia="Times New Roman" w:hint="default"/>
                <w:sz w:val="20"/>
                <w:szCs w:val="20"/>
              </w:rPr>
            </w:pPr>
            <w:r>
              <w:rPr>
                <w:rFonts w:ascii="Times New Roman"/>
                <w:w w:val="95"/>
                <w:sz w:val="20"/>
              </w:rPr>
              <w:t>260.00</w:t>
            </w:r>
            <w:r>
              <w:rPr>
                <w:rFonts w:ascii="Times New Roman"/>
                <w:sz w:val="20"/>
              </w:rPr>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left="103" w:right="0"/>
              <w:jc w:val="left"/>
              <w:rPr>
                <w:rFonts w:ascii="宋体" w:hAnsi="宋体" w:cs="宋体" w:eastAsia="宋体" w:hint="default"/>
                <w:sz w:val="20"/>
                <w:szCs w:val="20"/>
              </w:rPr>
            </w:pPr>
            <w:r>
              <w:rPr>
                <w:rFonts w:ascii="宋体" w:hAnsi="宋体" w:cs="宋体" w:eastAsia="宋体" w:hint="default"/>
                <w:sz w:val="20"/>
                <w:szCs w:val="20"/>
              </w:rPr>
              <w:t>总计不超过</w:t>
            </w:r>
            <w:r>
              <w:rPr>
                <w:rFonts w:ascii="宋体" w:hAnsi="宋体" w:cs="宋体" w:eastAsia="宋体" w:hint="default"/>
                <w:spacing w:val="-50"/>
                <w:sz w:val="20"/>
                <w:szCs w:val="20"/>
              </w:rPr>
              <w:t> </w:t>
            </w:r>
            <w:r>
              <w:rPr>
                <w:rFonts w:ascii="Times New Roman" w:hAnsi="Times New Roman" w:cs="Times New Roman" w:eastAsia="Times New Roman" w:hint="default"/>
                <w:sz w:val="20"/>
                <w:szCs w:val="20"/>
              </w:rPr>
              <w:t>500 </w:t>
            </w:r>
            <w:r>
              <w:rPr>
                <w:rFonts w:ascii="宋体" w:hAnsi="宋体" w:cs="宋体" w:eastAsia="宋体" w:hint="default"/>
                <w:sz w:val="20"/>
                <w:szCs w:val="20"/>
              </w:rPr>
              <w:t>万</w:t>
            </w:r>
          </w:p>
        </w:tc>
      </w:tr>
      <w:tr>
        <w:trPr>
          <w:trHeight w:val="325" w:hRule="exact"/>
        </w:trPr>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江苏华源仪器仪表有限公司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联营公司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销售商品</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销售产品</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Times New Roman" w:hAnsi="Times New Roman" w:cs="Times New Roman" w:eastAsia="Times New Roman" w:hint="default"/>
                <w:sz w:val="20"/>
                <w:szCs w:val="20"/>
              </w:rPr>
            </w:pPr>
            <w:r>
              <w:rPr>
                <w:rFonts w:ascii="Times New Roman"/>
                <w:w w:val="95"/>
                <w:sz w:val="20"/>
              </w:rPr>
              <w:t>1,375.28</w:t>
            </w:r>
            <w:r>
              <w:rPr>
                <w:rFonts w:ascii="Times New Roman"/>
                <w:sz w:val="20"/>
              </w:rPr>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103" w:right="0"/>
              <w:jc w:val="left"/>
              <w:rPr>
                <w:rFonts w:ascii="宋体" w:hAnsi="宋体" w:cs="宋体" w:eastAsia="宋体" w:hint="default"/>
                <w:sz w:val="20"/>
                <w:szCs w:val="20"/>
              </w:rPr>
            </w:pPr>
            <w:r>
              <w:rPr>
                <w:rFonts w:ascii="宋体" w:hAnsi="宋体" w:cs="宋体" w:eastAsia="宋体" w:hint="default"/>
                <w:sz w:val="20"/>
                <w:szCs w:val="20"/>
              </w:rPr>
              <w:t>总计不超过</w:t>
            </w:r>
            <w:r>
              <w:rPr>
                <w:rFonts w:ascii="宋体" w:hAnsi="宋体" w:cs="宋体" w:eastAsia="宋体" w:hint="default"/>
                <w:spacing w:val="-50"/>
                <w:sz w:val="20"/>
                <w:szCs w:val="20"/>
              </w:rPr>
              <w:t> </w:t>
            </w:r>
            <w:r>
              <w:rPr>
                <w:rFonts w:ascii="Times New Roman" w:hAnsi="Times New Roman" w:cs="Times New Roman" w:eastAsia="Times New Roman" w:hint="default"/>
                <w:sz w:val="20"/>
                <w:szCs w:val="20"/>
              </w:rPr>
              <w:t>500 </w:t>
            </w:r>
            <w:r>
              <w:rPr>
                <w:rFonts w:ascii="宋体" w:hAnsi="宋体" w:cs="宋体" w:eastAsia="宋体" w:hint="default"/>
                <w:sz w:val="20"/>
                <w:szCs w:val="20"/>
              </w:rPr>
              <w:t>万</w:t>
            </w:r>
          </w:p>
        </w:tc>
      </w:tr>
      <w:tr>
        <w:trPr>
          <w:trHeight w:val="322" w:hRule="exact"/>
        </w:trPr>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0"/>
                <w:szCs w:val="20"/>
              </w:rPr>
            </w:pPr>
            <w:r>
              <w:rPr>
                <w:rFonts w:ascii="宋体" w:hAnsi="宋体" w:cs="宋体" w:eastAsia="宋体" w:hint="default"/>
                <w:sz w:val="20"/>
                <w:szCs w:val="20"/>
              </w:rPr>
              <w:t>南通华虹生态园艺有限公司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0"/>
                <w:szCs w:val="20"/>
              </w:rPr>
            </w:pPr>
            <w:r>
              <w:rPr>
                <w:rFonts w:ascii="宋体" w:hAnsi="宋体" w:cs="宋体" w:eastAsia="宋体" w:hint="default"/>
                <w:sz w:val="20"/>
                <w:szCs w:val="20"/>
              </w:rPr>
              <w:t>关联人</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0"/>
                <w:szCs w:val="20"/>
              </w:rPr>
            </w:pPr>
            <w:r>
              <w:rPr>
                <w:rFonts w:ascii="宋体" w:hAnsi="宋体" w:cs="宋体" w:eastAsia="宋体" w:hint="default"/>
                <w:sz w:val="20"/>
                <w:szCs w:val="20"/>
              </w:rPr>
              <w:t>接受劳务</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0"/>
                <w:szCs w:val="20"/>
              </w:rPr>
            </w:pPr>
            <w:r>
              <w:rPr>
                <w:rFonts w:ascii="宋体" w:hAnsi="宋体" w:cs="宋体" w:eastAsia="宋体" w:hint="default"/>
                <w:sz w:val="20"/>
                <w:szCs w:val="20"/>
              </w:rPr>
              <w:t>绿化景观</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0"/>
              <w:jc w:val="right"/>
              <w:rPr>
                <w:rFonts w:ascii="Times New Roman" w:hAnsi="Times New Roman" w:cs="Times New Roman" w:eastAsia="Times New Roman" w:hint="default"/>
                <w:sz w:val="20"/>
                <w:szCs w:val="20"/>
              </w:rPr>
            </w:pPr>
            <w:r>
              <w:rPr>
                <w:rFonts w:ascii="Times New Roman"/>
                <w:sz w:val="20"/>
              </w:rPr>
              <w:t>39.00</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left="103" w:right="0"/>
              <w:jc w:val="left"/>
              <w:rPr>
                <w:rFonts w:ascii="宋体" w:hAnsi="宋体" w:cs="宋体" w:eastAsia="宋体" w:hint="default"/>
                <w:sz w:val="20"/>
                <w:szCs w:val="20"/>
              </w:rPr>
            </w:pPr>
            <w:r>
              <w:rPr>
                <w:rFonts w:ascii="宋体" w:hAnsi="宋体" w:cs="宋体" w:eastAsia="宋体" w:hint="default"/>
                <w:sz w:val="20"/>
                <w:szCs w:val="20"/>
              </w:rPr>
              <w:t>总计不超过</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80</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万</w:t>
            </w:r>
          </w:p>
        </w:tc>
      </w:tr>
      <w:tr>
        <w:trPr>
          <w:trHeight w:val="634" w:hRule="exact"/>
        </w:trPr>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103" w:right="0"/>
              <w:jc w:val="left"/>
              <w:rPr>
                <w:rFonts w:ascii="宋体" w:hAnsi="宋体" w:cs="宋体" w:eastAsia="宋体" w:hint="default"/>
                <w:sz w:val="20"/>
                <w:szCs w:val="20"/>
              </w:rPr>
            </w:pPr>
            <w:r>
              <w:rPr>
                <w:rFonts w:ascii="宋体" w:hAnsi="宋体" w:cs="宋体" w:eastAsia="宋体" w:hint="default"/>
                <w:sz w:val="20"/>
                <w:szCs w:val="20"/>
              </w:rPr>
              <w:t>上海精鼎电力科技有限公司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103" w:right="0"/>
              <w:jc w:val="left"/>
              <w:rPr>
                <w:rFonts w:ascii="宋体" w:hAnsi="宋体" w:cs="宋体" w:eastAsia="宋体" w:hint="default"/>
                <w:sz w:val="20"/>
                <w:szCs w:val="20"/>
              </w:rPr>
            </w:pPr>
            <w:r>
              <w:rPr>
                <w:rFonts w:ascii="宋体" w:hAnsi="宋体" w:cs="宋体" w:eastAsia="宋体" w:hint="default"/>
                <w:sz w:val="20"/>
                <w:szCs w:val="20"/>
              </w:rPr>
              <w:t>关联人</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103" w:right="0"/>
              <w:jc w:val="left"/>
              <w:rPr>
                <w:rFonts w:ascii="宋体" w:hAnsi="宋体" w:cs="宋体" w:eastAsia="宋体" w:hint="default"/>
                <w:sz w:val="20"/>
                <w:szCs w:val="20"/>
              </w:rPr>
            </w:pPr>
            <w:r>
              <w:rPr>
                <w:rFonts w:ascii="宋体" w:hAnsi="宋体" w:cs="宋体" w:eastAsia="宋体" w:hint="default"/>
                <w:sz w:val="20"/>
                <w:szCs w:val="20"/>
              </w:rPr>
              <w:t>采购商品</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104"/>
              <w:jc w:val="left"/>
              <w:rPr>
                <w:rFonts w:ascii="宋体" w:hAnsi="宋体" w:cs="宋体" w:eastAsia="宋体" w:hint="default"/>
                <w:sz w:val="20"/>
                <w:szCs w:val="20"/>
              </w:rPr>
            </w:pPr>
            <w:r>
              <w:rPr>
                <w:rFonts w:ascii="宋体" w:hAnsi="宋体" w:cs="宋体" w:eastAsia="宋体" w:hint="default"/>
                <w:sz w:val="20"/>
                <w:szCs w:val="20"/>
              </w:rPr>
              <w:t>电</w:t>
            </w:r>
            <w:r>
              <w:rPr>
                <w:rFonts w:ascii="宋体" w:hAnsi="宋体" w:cs="宋体" w:eastAsia="宋体" w:hint="default"/>
                <w:spacing w:val="-49"/>
                <w:sz w:val="20"/>
                <w:szCs w:val="20"/>
              </w:rPr>
              <w:t> </w:t>
            </w:r>
            <w:r>
              <w:rPr>
                <w:rFonts w:ascii="宋体" w:hAnsi="宋体" w:cs="宋体" w:eastAsia="宋体" w:hint="default"/>
                <w:sz w:val="20"/>
                <w:szCs w:val="20"/>
              </w:rPr>
              <w:t>站</w:t>
            </w:r>
            <w:r>
              <w:rPr>
                <w:rFonts w:ascii="宋体" w:hAnsi="宋体" w:cs="宋体" w:eastAsia="宋体" w:hint="default"/>
                <w:spacing w:val="-49"/>
                <w:sz w:val="20"/>
                <w:szCs w:val="20"/>
              </w:rPr>
              <w:t> </w:t>
            </w:r>
            <w:r>
              <w:rPr>
                <w:rFonts w:ascii="宋体" w:hAnsi="宋体" w:cs="宋体" w:eastAsia="宋体" w:hint="default"/>
                <w:sz w:val="20"/>
                <w:szCs w:val="20"/>
              </w:rPr>
              <w:t>系</w:t>
            </w:r>
            <w:r>
              <w:rPr>
                <w:rFonts w:ascii="宋体" w:hAnsi="宋体" w:cs="宋体" w:eastAsia="宋体" w:hint="default"/>
                <w:spacing w:val="-47"/>
                <w:sz w:val="20"/>
                <w:szCs w:val="20"/>
              </w:rPr>
              <w:t> </w:t>
            </w:r>
            <w:r>
              <w:rPr>
                <w:rFonts w:ascii="宋体" w:hAnsi="宋体" w:cs="宋体" w:eastAsia="宋体" w:hint="default"/>
                <w:sz w:val="20"/>
                <w:szCs w:val="20"/>
              </w:rPr>
              <w:t>统</w:t>
            </w:r>
            <w:r>
              <w:rPr>
                <w:rFonts w:ascii="宋体" w:hAnsi="宋体" w:cs="宋体" w:eastAsia="宋体" w:hint="default"/>
                <w:w w:val="99"/>
                <w:sz w:val="20"/>
                <w:szCs w:val="20"/>
              </w:rPr>
              <w:t> </w:t>
            </w:r>
            <w:r>
              <w:rPr>
                <w:rFonts w:ascii="宋体" w:hAnsi="宋体" w:cs="宋体" w:eastAsia="宋体" w:hint="default"/>
                <w:sz w:val="20"/>
                <w:szCs w:val="20"/>
              </w:rPr>
              <w:t>工程</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0"/>
                <w:szCs w:val="20"/>
              </w:rPr>
            </w:pPr>
            <w:r>
              <w:rPr>
                <w:rFonts w:ascii="Times New Roman"/>
                <w:w w:val="95"/>
                <w:sz w:val="20"/>
              </w:rPr>
              <w:t>341.70</w:t>
            </w:r>
            <w:r>
              <w:rPr>
                <w:rFonts w:ascii="Times New Roman"/>
                <w:sz w:val="20"/>
              </w:rPr>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103" w:right="0"/>
              <w:jc w:val="left"/>
              <w:rPr>
                <w:rFonts w:ascii="宋体" w:hAnsi="宋体" w:cs="宋体" w:eastAsia="宋体" w:hint="default"/>
                <w:sz w:val="20"/>
                <w:szCs w:val="20"/>
              </w:rPr>
            </w:pPr>
            <w:r>
              <w:rPr>
                <w:rFonts w:ascii="宋体" w:hAnsi="宋体" w:cs="宋体" w:eastAsia="宋体" w:hint="default"/>
                <w:sz w:val="20"/>
                <w:szCs w:val="20"/>
              </w:rPr>
              <w:t>总计不超过</w:t>
            </w:r>
            <w:r>
              <w:rPr>
                <w:rFonts w:ascii="宋体" w:hAnsi="宋体" w:cs="宋体" w:eastAsia="宋体" w:hint="default"/>
                <w:spacing w:val="-50"/>
                <w:sz w:val="20"/>
                <w:szCs w:val="20"/>
              </w:rPr>
              <w:t> </w:t>
            </w:r>
            <w:r>
              <w:rPr>
                <w:rFonts w:ascii="Times New Roman" w:hAnsi="Times New Roman" w:cs="Times New Roman" w:eastAsia="Times New Roman" w:hint="default"/>
                <w:sz w:val="20"/>
                <w:szCs w:val="20"/>
              </w:rPr>
              <w:t>350 </w:t>
            </w:r>
            <w:r>
              <w:rPr>
                <w:rFonts w:ascii="宋体" w:hAnsi="宋体" w:cs="宋体" w:eastAsia="宋体" w:hint="default"/>
                <w:sz w:val="20"/>
                <w:szCs w:val="20"/>
              </w:rPr>
              <w:t>万</w:t>
            </w:r>
          </w:p>
        </w:tc>
      </w:tr>
    </w:tbl>
    <w:p>
      <w:pPr>
        <w:spacing w:after="0" w:line="240" w:lineRule="auto"/>
        <w:jc w:val="left"/>
        <w:rPr>
          <w:rFonts w:ascii="宋体" w:hAnsi="宋体" w:cs="宋体" w:eastAsia="宋体" w:hint="default"/>
          <w:sz w:val="20"/>
          <w:szCs w:val="20"/>
        </w:rPr>
        <w:sectPr>
          <w:footerReference w:type="default" r:id="rId35"/>
          <w:pgSz w:w="11910" w:h="16840"/>
          <w:pgMar w:footer="974" w:header="747" w:top="1140" w:bottom="1160" w:left="1120" w:right="920"/>
        </w:sectPr>
      </w:pPr>
    </w:p>
    <w:p>
      <w:pPr>
        <w:pStyle w:val="BodyText"/>
        <w:spacing w:line="262" w:lineRule="exact"/>
        <w:ind w:left="678" w:right="0"/>
        <w:jc w:val="left"/>
        <w:rPr>
          <w:rFonts w:ascii="宋体" w:hAnsi="宋体" w:cs="宋体" w:eastAsia="宋体" w:hint="default"/>
        </w:rPr>
      </w:pPr>
      <w:r>
        <w:rPr>
          <w:rFonts w:ascii="宋体"/>
          <w:w w:val="100"/>
        </w:rPr>
        <w:t> </w:t>
      </w:r>
    </w:p>
    <w:p>
      <w:pPr>
        <w:pStyle w:val="Heading3"/>
        <w:spacing w:line="240" w:lineRule="auto"/>
        <w:ind w:left="678" w:right="0"/>
        <w:jc w:val="left"/>
        <w:rPr>
          <w:rFonts w:ascii="宋体" w:hAnsi="宋体" w:cs="宋体" w:eastAsia="宋体" w:hint="default"/>
          <w:b w:val="0"/>
          <w:bCs w:val="0"/>
        </w:rPr>
      </w:pPr>
      <w:r>
        <w:rPr>
          <w:rFonts w:ascii="宋体" w:hAnsi="宋体" w:cs="宋体" w:eastAsia="宋体" w:hint="default"/>
        </w:rPr>
        <w:t>3</w:t>
      </w:r>
      <w:r>
        <w:rPr/>
        <w:t>、</w:t>
      </w:r>
      <w:r>
        <w:rPr>
          <w:spacing w:val="-5"/>
        </w:rPr>
        <w:t> </w:t>
      </w:r>
      <w:r>
        <w:rPr/>
        <w:t>临时公告未披露的事项</w:t>
      </w:r>
      <w:r>
        <w:rPr>
          <w:rFonts w:ascii="宋体" w:hAnsi="宋体" w:cs="宋体" w:eastAsia="宋体" w:hint="default"/>
          <w:w w:val="99"/>
        </w:rPr>
        <w:t> </w:t>
      </w:r>
      <w:r>
        <w:rPr>
          <w:rFonts w:ascii="宋体" w:hAnsi="宋体" w:cs="宋体" w:eastAsia="宋体" w:hint="default"/>
          <w:b w:val="0"/>
          <w:bCs w:val="0"/>
        </w:rPr>
      </w:r>
    </w:p>
    <w:p>
      <w:pPr>
        <w:pStyle w:val="Heading2"/>
        <w:spacing w:line="240" w:lineRule="auto" w:before="69"/>
        <w:ind w:left="678"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pStyle w:val="BodyText"/>
        <w:spacing w:line="240" w:lineRule="auto"/>
        <w:ind w:left="678" w:right="0"/>
        <w:jc w:val="left"/>
        <w:rPr>
          <w:rFonts w:ascii="宋体" w:hAnsi="宋体" w:cs="宋体" w:eastAsia="宋体" w:hint="default"/>
        </w:rPr>
      </w:pPr>
      <w:r>
        <w:rPr/>
        <w:t>单位</w:t>
      </w:r>
      <w:r>
        <w:rPr>
          <w:rFonts w:ascii="宋体" w:hAnsi="宋体" w:cs="宋体" w:eastAsia="宋体" w:hint="default"/>
        </w:rPr>
        <w:t>:</w:t>
      </w:r>
      <w:r>
        <w:rPr/>
        <w:t>元币种</w:t>
      </w:r>
      <w:r>
        <w:rPr>
          <w:rFonts w:ascii="宋体" w:hAnsi="宋体" w:cs="宋体" w:eastAsia="宋体" w:hint="default"/>
        </w:rPr>
        <w:t>:</w:t>
      </w:r>
      <w:r>
        <w:rPr/>
        <w:t>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580" w:bottom="280" w:left="1120" w:right="920"/>
          <w:cols w:num="2" w:equalWidth="0">
            <w:col w:w="3312" w:space="3630"/>
            <w:col w:w="2928"/>
          </w:cols>
        </w:sectPr>
      </w:pPr>
    </w:p>
    <w:p>
      <w:pPr>
        <w:spacing w:line="240" w:lineRule="auto" w:before="10"/>
        <w:rPr>
          <w:rFonts w:ascii="宋体" w:hAnsi="宋体" w:cs="宋体" w:eastAsia="宋体" w:hint="default"/>
          <w:sz w:val="3"/>
          <w:szCs w:val="3"/>
        </w:rPr>
      </w:pPr>
    </w:p>
    <w:tbl>
      <w:tblPr>
        <w:tblW w:w="0" w:type="auto"/>
        <w:jc w:val="left"/>
        <w:tblInd w:w="106" w:type="dxa"/>
        <w:tblLayout w:type="fixed"/>
        <w:tblCellMar>
          <w:top w:w="0" w:type="dxa"/>
          <w:left w:w="0" w:type="dxa"/>
          <w:bottom w:w="0" w:type="dxa"/>
          <w:right w:w="0" w:type="dxa"/>
        </w:tblCellMar>
        <w:tblLook w:val="01E0"/>
      </w:tblPr>
      <w:tblGrid>
        <w:gridCol w:w="1236"/>
        <w:gridCol w:w="703"/>
        <w:gridCol w:w="703"/>
        <w:gridCol w:w="708"/>
        <w:gridCol w:w="746"/>
        <w:gridCol w:w="718"/>
        <w:gridCol w:w="1424"/>
        <w:gridCol w:w="1032"/>
        <w:gridCol w:w="622"/>
        <w:gridCol w:w="602"/>
        <w:gridCol w:w="1145"/>
      </w:tblGrid>
      <w:tr>
        <w:trPr>
          <w:trHeight w:val="634" w:hRule="exact"/>
        </w:trPr>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110" w:right="0"/>
              <w:jc w:val="left"/>
              <w:rPr>
                <w:rFonts w:ascii="宋体" w:hAnsi="宋体" w:cs="宋体" w:eastAsia="宋体" w:hint="default"/>
                <w:sz w:val="20"/>
                <w:szCs w:val="20"/>
              </w:rPr>
            </w:pPr>
            <w:r>
              <w:rPr>
                <w:rFonts w:ascii="宋体" w:hAnsi="宋体" w:cs="宋体" w:eastAsia="宋体" w:hint="default"/>
                <w:sz w:val="20"/>
                <w:szCs w:val="20"/>
              </w:rPr>
              <w:t>关联交易方</w:t>
            </w:r>
            <w:r>
              <w:rPr>
                <w:rFonts w:ascii="宋体" w:hAnsi="宋体" w:cs="宋体" w:eastAsia="宋体" w:hint="default"/>
                <w:sz w:val="20"/>
                <w:szCs w:val="20"/>
              </w:rPr>
              <w:t> </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244" w:right="48" w:hanging="200"/>
              <w:jc w:val="left"/>
              <w:rPr>
                <w:rFonts w:ascii="宋体" w:hAnsi="宋体" w:cs="宋体" w:eastAsia="宋体" w:hint="default"/>
                <w:sz w:val="20"/>
                <w:szCs w:val="20"/>
              </w:rPr>
            </w:pPr>
            <w:r>
              <w:rPr>
                <w:rFonts w:ascii="宋体" w:hAnsi="宋体" w:cs="宋体" w:eastAsia="宋体" w:hint="default"/>
                <w:sz w:val="20"/>
                <w:szCs w:val="20"/>
              </w:rPr>
              <w:t>关联关</w:t>
            </w:r>
            <w:r>
              <w:rPr>
                <w:rFonts w:ascii="宋体" w:hAnsi="宋体" w:cs="宋体" w:eastAsia="宋体" w:hint="default"/>
                <w:w w:val="99"/>
                <w:sz w:val="20"/>
                <w:szCs w:val="20"/>
              </w:rPr>
              <w:t> </w:t>
            </w:r>
            <w:r>
              <w:rPr>
                <w:rFonts w:ascii="宋体" w:hAnsi="宋体" w:cs="宋体" w:eastAsia="宋体" w:hint="default"/>
                <w:sz w:val="20"/>
                <w:szCs w:val="20"/>
              </w:rPr>
              <w:t>系</w:t>
            </w:r>
            <w:r>
              <w:rPr>
                <w:rFonts w:ascii="宋体" w:hAnsi="宋体" w:cs="宋体" w:eastAsia="宋体" w:hint="default"/>
                <w:sz w:val="20"/>
                <w:szCs w:val="20"/>
              </w:rPr>
              <w:t> </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45" w:right="48"/>
              <w:jc w:val="left"/>
              <w:rPr>
                <w:rFonts w:ascii="宋体" w:hAnsi="宋体" w:cs="宋体" w:eastAsia="宋体" w:hint="default"/>
                <w:sz w:val="20"/>
                <w:szCs w:val="20"/>
              </w:rPr>
            </w:pPr>
            <w:r>
              <w:rPr>
                <w:rFonts w:ascii="宋体" w:hAnsi="宋体" w:cs="宋体" w:eastAsia="宋体" w:hint="default"/>
                <w:sz w:val="20"/>
                <w:szCs w:val="20"/>
              </w:rPr>
              <w:t>关联交</w:t>
            </w:r>
            <w:r>
              <w:rPr>
                <w:rFonts w:ascii="宋体" w:hAnsi="宋体" w:cs="宋体" w:eastAsia="宋体" w:hint="default"/>
                <w:w w:val="99"/>
                <w:sz w:val="20"/>
                <w:szCs w:val="20"/>
              </w:rPr>
              <w:t> </w:t>
            </w:r>
            <w:r>
              <w:rPr>
                <w:rFonts w:ascii="宋体" w:hAnsi="宋体" w:cs="宋体" w:eastAsia="宋体" w:hint="default"/>
                <w:sz w:val="20"/>
                <w:szCs w:val="20"/>
              </w:rPr>
              <w:t>易类型</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48" w:right="50"/>
              <w:jc w:val="left"/>
              <w:rPr>
                <w:rFonts w:ascii="宋体" w:hAnsi="宋体" w:cs="宋体" w:eastAsia="宋体" w:hint="default"/>
                <w:sz w:val="20"/>
                <w:szCs w:val="20"/>
              </w:rPr>
            </w:pPr>
            <w:r>
              <w:rPr>
                <w:rFonts w:ascii="宋体" w:hAnsi="宋体" w:cs="宋体" w:eastAsia="宋体" w:hint="default"/>
                <w:sz w:val="20"/>
                <w:szCs w:val="20"/>
              </w:rPr>
              <w:t>关联交</w:t>
            </w:r>
            <w:r>
              <w:rPr>
                <w:rFonts w:ascii="宋体" w:hAnsi="宋体" w:cs="宋体" w:eastAsia="宋体" w:hint="default"/>
                <w:w w:val="99"/>
                <w:sz w:val="20"/>
                <w:szCs w:val="20"/>
              </w:rPr>
              <w:t> </w:t>
            </w:r>
            <w:r>
              <w:rPr>
                <w:rFonts w:ascii="宋体" w:hAnsi="宋体" w:cs="宋体" w:eastAsia="宋体" w:hint="default"/>
                <w:sz w:val="20"/>
                <w:szCs w:val="20"/>
              </w:rPr>
              <w:t>易内容</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67" w:right="71"/>
              <w:jc w:val="left"/>
              <w:rPr>
                <w:rFonts w:ascii="宋体" w:hAnsi="宋体" w:cs="宋体" w:eastAsia="宋体" w:hint="default"/>
                <w:sz w:val="20"/>
                <w:szCs w:val="20"/>
              </w:rPr>
            </w:pPr>
            <w:r>
              <w:rPr>
                <w:rFonts w:ascii="宋体" w:hAnsi="宋体" w:cs="宋体" w:eastAsia="宋体" w:hint="default"/>
                <w:sz w:val="20"/>
                <w:szCs w:val="20"/>
              </w:rPr>
              <w:t>关联交</w:t>
            </w:r>
            <w:r>
              <w:rPr>
                <w:rFonts w:ascii="宋体" w:hAnsi="宋体" w:cs="宋体" w:eastAsia="宋体" w:hint="default"/>
                <w:w w:val="99"/>
                <w:sz w:val="20"/>
                <w:szCs w:val="20"/>
              </w:rPr>
              <w:t> </w:t>
            </w:r>
            <w:r>
              <w:rPr>
                <w:rFonts w:ascii="宋体" w:hAnsi="宋体" w:cs="宋体" w:eastAsia="宋体" w:hint="default"/>
                <w:sz w:val="20"/>
                <w:szCs w:val="20"/>
              </w:rPr>
              <w:t>易定价</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55" w:right="-47"/>
              <w:jc w:val="left"/>
              <w:rPr>
                <w:rFonts w:ascii="宋体" w:hAnsi="宋体" w:cs="宋体" w:eastAsia="宋体" w:hint="default"/>
                <w:sz w:val="20"/>
                <w:szCs w:val="20"/>
              </w:rPr>
            </w:pPr>
            <w:r>
              <w:rPr>
                <w:rFonts w:ascii="宋体" w:hAnsi="宋体" w:cs="宋体" w:eastAsia="宋体" w:hint="default"/>
                <w:sz w:val="20"/>
                <w:szCs w:val="20"/>
              </w:rPr>
              <w:t>关联交</w:t>
            </w:r>
            <w:r>
              <w:rPr>
                <w:rFonts w:ascii="宋体" w:hAnsi="宋体" w:cs="宋体" w:eastAsia="宋体" w:hint="default"/>
                <w:w w:val="99"/>
                <w:sz w:val="20"/>
                <w:szCs w:val="20"/>
              </w:rPr>
              <w:t> </w:t>
            </w:r>
            <w:r>
              <w:rPr>
                <w:rFonts w:ascii="宋体" w:hAnsi="宋体" w:cs="宋体" w:eastAsia="宋体" w:hint="default"/>
                <w:sz w:val="20"/>
                <w:szCs w:val="20"/>
              </w:rPr>
              <w:t>易价格</w:t>
            </w:r>
            <w:r>
              <w:rPr>
                <w:rFonts w:ascii="宋体" w:hAnsi="宋体" w:cs="宋体" w:eastAsia="宋体" w:hint="default"/>
                <w:sz w:val="20"/>
                <w:szCs w:val="20"/>
              </w:rPr>
              <w:t> </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105" w:right="0"/>
              <w:jc w:val="left"/>
              <w:rPr>
                <w:rFonts w:ascii="宋体" w:hAnsi="宋体" w:cs="宋体" w:eastAsia="宋体" w:hint="default"/>
                <w:sz w:val="20"/>
                <w:szCs w:val="20"/>
              </w:rPr>
            </w:pPr>
            <w:r>
              <w:rPr>
                <w:rFonts w:ascii="宋体" w:hAnsi="宋体" w:cs="宋体" w:eastAsia="宋体" w:hint="default"/>
                <w:sz w:val="20"/>
                <w:szCs w:val="20"/>
              </w:rPr>
              <w:t>关联交易金额</w:t>
            </w:r>
            <w:r>
              <w:rPr>
                <w:rFonts w:ascii="宋体" w:hAnsi="宋体" w:cs="宋体" w:eastAsia="宋体" w:hint="default"/>
                <w:sz w:val="20"/>
                <w:szCs w:val="20"/>
              </w:rPr>
              <w:t> </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10" w:right="113"/>
              <w:jc w:val="left"/>
              <w:rPr>
                <w:rFonts w:ascii="宋体" w:hAnsi="宋体" w:cs="宋体" w:eastAsia="宋体" w:hint="default"/>
                <w:sz w:val="20"/>
                <w:szCs w:val="20"/>
              </w:rPr>
            </w:pPr>
            <w:r>
              <w:rPr>
                <w:rFonts w:ascii="宋体" w:hAnsi="宋体" w:cs="宋体" w:eastAsia="宋体" w:hint="default"/>
                <w:sz w:val="20"/>
                <w:szCs w:val="20"/>
              </w:rPr>
              <w:t>占同类交</w:t>
            </w:r>
            <w:r>
              <w:rPr>
                <w:rFonts w:ascii="宋体" w:hAnsi="宋体" w:cs="宋体" w:eastAsia="宋体" w:hint="default"/>
                <w:w w:val="99"/>
                <w:sz w:val="20"/>
                <w:szCs w:val="20"/>
              </w:rPr>
              <w:t> </w:t>
            </w:r>
            <w:r>
              <w:rPr>
                <w:rFonts w:ascii="宋体" w:hAnsi="宋体" w:cs="宋体" w:eastAsia="宋体" w:hint="default"/>
                <w:sz w:val="20"/>
                <w:szCs w:val="20"/>
              </w:rPr>
              <w:t>易金额的</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5" w:right="106"/>
              <w:jc w:val="left"/>
              <w:rPr>
                <w:rFonts w:ascii="宋体" w:hAnsi="宋体" w:cs="宋体" w:eastAsia="宋体" w:hint="default"/>
                <w:sz w:val="20"/>
                <w:szCs w:val="20"/>
              </w:rPr>
            </w:pPr>
            <w:r>
              <w:rPr>
                <w:rFonts w:ascii="宋体" w:hAnsi="宋体" w:cs="宋体" w:eastAsia="宋体" w:hint="default"/>
                <w:sz w:val="20"/>
                <w:szCs w:val="20"/>
              </w:rPr>
              <w:t>关联</w:t>
            </w:r>
            <w:r>
              <w:rPr>
                <w:rFonts w:ascii="宋体" w:hAnsi="宋体" w:cs="宋体" w:eastAsia="宋体" w:hint="default"/>
                <w:w w:val="99"/>
                <w:sz w:val="20"/>
                <w:szCs w:val="20"/>
              </w:rPr>
              <w:t> </w:t>
            </w:r>
            <w:r>
              <w:rPr>
                <w:rFonts w:ascii="宋体" w:hAnsi="宋体" w:cs="宋体" w:eastAsia="宋体" w:hint="default"/>
                <w:sz w:val="20"/>
                <w:szCs w:val="20"/>
              </w:rPr>
              <w:t>交易</w:t>
            </w:r>
          </w:p>
        </w:tc>
        <w:tc>
          <w:tcPr>
            <w:tcW w:w="602"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93" w:right="-2"/>
              <w:jc w:val="left"/>
              <w:rPr>
                <w:rFonts w:ascii="宋体" w:hAnsi="宋体" w:cs="宋体" w:eastAsia="宋体" w:hint="default"/>
                <w:sz w:val="20"/>
                <w:szCs w:val="20"/>
              </w:rPr>
            </w:pPr>
            <w:r>
              <w:rPr>
                <w:rFonts w:ascii="宋体" w:hAnsi="宋体" w:cs="宋体" w:eastAsia="宋体" w:hint="default"/>
                <w:sz w:val="20"/>
                <w:szCs w:val="20"/>
              </w:rPr>
              <w:t>市场</w:t>
            </w:r>
            <w:r>
              <w:rPr>
                <w:rFonts w:ascii="宋体" w:hAnsi="宋体" w:cs="宋体" w:eastAsia="宋体" w:hint="default"/>
                <w:w w:val="99"/>
                <w:sz w:val="20"/>
                <w:szCs w:val="20"/>
              </w:rPr>
              <w:t> </w:t>
            </w:r>
            <w:r>
              <w:rPr>
                <w:rFonts w:ascii="宋体" w:hAnsi="宋体" w:cs="宋体" w:eastAsia="宋体" w:hint="default"/>
                <w:sz w:val="20"/>
                <w:szCs w:val="20"/>
              </w:rPr>
              <w:t>价格</w:t>
            </w:r>
            <w:r>
              <w:rPr>
                <w:rFonts w:ascii="宋体" w:hAnsi="宋体" w:cs="宋体" w:eastAsia="宋体" w:hint="default"/>
                <w:sz w:val="20"/>
                <w:szCs w:val="20"/>
              </w:rPr>
              <w:t> </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64" w:right="70"/>
              <w:jc w:val="left"/>
              <w:rPr>
                <w:rFonts w:ascii="宋体" w:hAnsi="宋体" w:cs="宋体" w:eastAsia="宋体" w:hint="default"/>
                <w:sz w:val="20"/>
                <w:szCs w:val="20"/>
              </w:rPr>
            </w:pPr>
            <w:r>
              <w:rPr>
                <w:rFonts w:ascii="宋体" w:hAnsi="宋体" w:cs="宋体" w:eastAsia="宋体" w:hint="default"/>
                <w:sz w:val="20"/>
                <w:szCs w:val="20"/>
              </w:rPr>
              <w:t>交易价格与</w:t>
            </w:r>
            <w:r>
              <w:rPr>
                <w:rFonts w:ascii="宋体" w:hAnsi="宋体" w:cs="宋体" w:eastAsia="宋体" w:hint="default"/>
                <w:w w:val="99"/>
                <w:sz w:val="20"/>
                <w:szCs w:val="20"/>
              </w:rPr>
              <w:t> </w:t>
            </w:r>
            <w:r>
              <w:rPr>
                <w:rFonts w:ascii="宋体" w:hAnsi="宋体" w:cs="宋体" w:eastAsia="宋体" w:hint="default"/>
                <w:sz w:val="20"/>
                <w:szCs w:val="20"/>
              </w:rPr>
              <w:t>市场参考价</w:t>
            </w:r>
          </w:p>
        </w:tc>
      </w:tr>
    </w:tbl>
    <w:p>
      <w:pPr>
        <w:spacing w:after="0" w:line="285" w:lineRule="auto"/>
        <w:jc w:val="left"/>
        <w:rPr>
          <w:rFonts w:ascii="宋体" w:hAnsi="宋体" w:cs="宋体" w:eastAsia="宋体" w:hint="default"/>
          <w:sz w:val="20"/>
          <w:szCs w:val="20"/>
        </w:rPr>
        <w:sectPr>
          <w:type w:val="continuous"/>
          <w:pgSz w:w="11910" w:h="16840"/>
          <w:pgMar w:top="1580" w:bottom="280" w:left="1120" w:right="920"/>
        </w:sectPr>
      </w:pPr>
    </w:p>
    <w:p>
      <w:pPr>
        <w:spacing w:line="240" w:lineRule="auto" w:before="5"/>
        <w:rPr>
          <w:rFonts w:ascii="宋体" w:hAnsi="宋体" w:cs="宋体" w:eastAsia="宋体" w:hint="default"/>
          <w:sz w:val="29"/>
          <w:szCs w:val="29"/>
        </w:rPr>
      </w:pPr>
    </w:p>
    <w:tbl>
      <w:tblPr>
        <w:tblW w:w="0" w:type="auto"/>
        <w:jc w:val="left"/>
        <w:tblInd w:w="106" w:type="dxa"/>
        <w:tblLayout w:type="fixed"/>
        <w:tblCellMar>
          <w:top w:w="0" w:type="dxa"/>
          <w:left w:w="0" w:type="dxa"/>
          <w:bottom w:w="0" w:type="dxa"/>
          <w:right w:w="0" w:type="dxa"/>
        </w:tblCellMar>
        <w:tblLook w:val="01E0"/>
      </w:tblPr>
      <w:tblGrid>
        <w:gridCol w:w="1236"/>
        <w:gridCol w:w="703"/>
        <w:gridCol w:w="703"/>
        <w:gridCol w:w="708"/>
        <w:gridCol w:w="746"/>
        <w:gridCol w:w="718"/>
        <w:gridCol w:w="1424"/>
        <w:gridCol w:w="1032"/>
        <w:gridCol w:w="622"/>
        <w:gridCol w:w="602"/>
        <w:gridCol w:w="1145"/>
      </w:tblGrid>
      <w:tr>
        <w:trPr>
          <w:trHeight w:val="636" w:hRule="exact"/>
        </w:trPr>
        <w:tc>
          <w:tcPr>
            <w:tcW w:w="1236" w:type="dxa"/>
            <w:tcBorders>
              <w:top w:val="single" w:sz="4" w:space="0" w:color="000000"/>
              <w:left w:val="single" w:sz="4" w:space="0" w:color="000000"/>
              <w:bottom w:val="single" w:sz="4" w:space="0" w:color="000000"/>
              <w:right w:val="single" w:sz="4" w:space="0" w:color="000000"/>
            </w:tcBorders>
          </w:tcPr>
          <w:p>
            <w:pPr/>
          </w:p>
        </w:tc>
        <w:tc>
          <w:tcPr>
            <w:tcW w:w="703" w:type="dxa"/>
            <w:tcBorders>
              <w:top w:val="single" w:sz="4" w:space="0" w:color="000000"/>
              <w:left w:val="single" w:sz="4" w:space="0" w:color="000000"/>
              <w:bottom w:val="single" w:sz="4" w:space="0" w:color="000000"/>
              <w:right w:val="single" w:sz="4" w:space="0" w:color="000000"/>
            </w:tcBorders>
          </w:tcPr>
          <w:p>
            <w:pPr/>
          </w:p>
        </w:tc>
        <w:tc>
          <w:tcPr>
            <w:tcW w:w="703"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99" w:right="0"/>
              <w:jc w:val="center"/>
              <w:rPr>
                <w:rFonts w:ascii="宋体" w:hAnsi="宋体" w:cs="宋体" w:eastAsia="宋体" w:hint="default"/>
                <w:sz w:val="20"/>
                <w:szCs w:val="20"/>
              </w:rPr>
            </w:pPr>
            <w:r>
              <w:rPr>
                <w:rFonts w:ascii="宋体" w:hAnsi="宋体" w:cs="宋体" w:eastAsia="宋体" w:hint="default"/>
                <w:sz w:val="20"/>
                <w:szCs w:val="20"/>
              </w:rPr>
              <w:t>原则</w:t>
            </w:r>
            <w:r>
              <w:rPr>
                <w:rFonts w:ascii="宋体" w:hAnsi="宋体" w:cs="宋体" w:eastAsia="宋体" w:hint="default"/>
                <w:sz w:val="20"/>
                <w:szCs w:val="20"/>
              </w:rPr>
              <w:t> </w:t>
            </w:r>
          </w:p>
        </w:tc>
        <w:tc>
          <w:tcPr>
            <w:tcW w:w="718"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359" w:right="210" w:hanging="51"/>
              <w:jc w:val="left"/>
              <w:rPr>
                <w:rFonts w:ascii="宋体" w:hAnsi="宋体" w:cs="宋体" w:eastAsia="宋体" w:hint="default"/>
                <w:sz w:val="20"/>
                <w:szCs w:val="20"/>
              </w:rPr>
            </w:pPr>
            <w:r>
              <w:rPr>
                <w:rFonts w:ascii="宋体" w:hAnsi="宋体" w:cs="宋体" w:eastAsia="宋体" w:hint="default"/>
                <w:sz w:val="20"/>
                <w:szCs w:val="20"/>
              </w:rPr>
              <w:t>比例</w:t>
            </w:r>
            <w:r>
              <w:rPr>
                <w:rFonts w:ascii="宋体" w:hAnsi="宋体" w:cs="宋体" w:eastAsia="宋体" w:hint="default"/>
                <w:w w:val="99"/>
                <w:sz w:val="20"/>
                <w:szCs w:val="20"/>
              </w:rPr>
              <w:t> </w:t>
            </w:r>
            <w:r>
              <w:rPr>
                <w:rFonts w:ascii="宋体" w:hAnsi="宋体" w:cs="宋体" w:eastAsia="宋体" w:hint="default"/>
                <w:sz w:val="20"/>
                <w:szCs w:val="20"/>
              </w:rPr>
              <w:t>(%) </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5" w:right="4"/>
              <w:jc w:val="left"/>
              <w:rPr>
                <w:rFonts w:ascii="宋体" w:hAnsi="宋体" w:cs="宋体" w:eastAsia="宋体" w:hint="default"/>
                <w:sz w:val="20"/>
                <w:szCs w:val="20"/>
              </w:rPr>
            </w:pPr>
            <w:r>
              <w:rPr>
                <w:rFonts w:ascii="宋体" w:hAnsi="宋体" w:cs="宋体" w:eastAsia="宋体" w:hint="default"/>
                <w:sz w:val="20"/>
                <w:szCs w:val="20"/>
              </w:rPr>
              <w:t>结算</w:t>
            </w:r>
            <w:r>
              <w:rPr>
                <w:rFonts w:ascii="宋体" w:hAnsi="宋体" w:cs="宋体" w:eastAsia="宋体" w:hint="default"/>
                <w:w w:val="99"/>
                <w:sz w:val="20"/>
                <w:szCs w:val="20"/>
              </w:rPr>
              <w:t> </w:t>
            </w:r>
            <w:r>
              <w:rPr>
                <w:rFonts w:ascii="宋体" w:hAnsi="宋体" w:cs="宋体" w:eastAsia="宋体" w:hint="default"/>
                <w:sz w:val="20"/>
                <w:szCs w:val="20"/>
              </w:rPr>
              <w:t>方式</w:t>
            </w:r>
            <w:r>
              <w:rPr>
                <w:rFonts w:ascii="宋体" w:hAnsi="宋体" w:cs="宋体" w:eastAsia="宋体" w:hint="default"/>
                <w:sz w:val="20"/>
                <w:szCs w:val="20"/>
              </w:rPr>
              <w:t> </w:t>
            </w:r>
          </w:p>
        </w:tc>
        <w:tc>
          <w:tcPr>
            <w:tcW w:w="602" w:type="dxa"/>
            <w:tcBorders>
              <w:top w:val="single" w:sz="4" w:space="0" w:color="000000"/>
              <w:left w:val="single" w:sz="4" w:space="0" w:color="000000"/>
              <w:bottom w:val="single" w:sz="4" w:space="0" w:color="000000"/>
              <w:right w:val="single" w:sz="4" w:space="0" w:color="000000"/>
            </w:tcBorders>
          </w:tcPr>
          <w:p>
            <w:pP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266" w:right="70" w:hanging="202"/>
              <w:jc w:val="left"/>
              <w:rPr>
                <w:rFonts w:ascii="宋体" w:hAnsi="宋体" w:cs="宋体" w:eastAsia="宋体" w:hint="default"/>
                <w:sz w:val="20"/>
                <w:szCs w:val="20"/>
              </w:rPr>
            </w:pPr>
            <w:r>
              <w:rPr>
                <w:rFonts w:ascii="宋体" w:hAnsi="宋体" w:cs="宋体" w:eastAsia="宋体" w:hint="default"/>
                <w:sz w:val="20"/>
                <w:szCs w:val="20"/>
              </w:rPr>
              <w:t>格差异较大</w:t>
            </w:r>
            <w:r>
              <w:rPr>
                <w:rFonts w:ascii="宋体" w:hAnsi="宋体" w:cs="宋体" w:eastAsia="宋体" w:hint="default"/>
                <w:w w:val="99"/>
                <w:sz w:val="20"/>
                <w:szCs w:val="20"/>
              </w:rPr>
              <w:t> </w:t>
            </w:r>
            <w:r>
              <w:rPr>
                <w:rFonts w:ascii="宋体" w:hAnsi="宋体" w:cs="宋体" w:eastAsia="宋体" w:hint="default"/>
                <w:sz w:val="20"/>
                <w:szCs w:val="20"/>
              </w:rPr>
              <w:t>的原因</w:t>
            </w:r>
            <w:r>
              <w:rPr>
                <w:rFonts w:ascii="宋体" w:hAnsi="宋体" w:cs="宋体" w:eastAsia="宋体" w:hint="default"/>
                <w:sz w:val="20"/>
                <w:szCs w:val="20"/>
              </w:rPr>
              <w:t> </w:t>
            </w:r>
          </w:p>
        </w:tc>
      </w:tr>
      <w:tr>
        <w:trPr>
          <w:trHeight w:val="946" w:hRule="exact"/>
        </w:trPr>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24" w:right="202"/>
              <w:jc w:val="both"/>
              <w:rPr>
                <w:rFonts w:ascii="宋体" w:hAnsi="宋体" w:cs="宋体" w:eastAsia="宋体" w:hint="default"/>
                <w:sz w:val="20"/>
                <w:szCs w:val="20"/>
              </w:rPr>
            </w:pPr>
            <w:r>
              <w:rPr>
                <w:rFonts w:ascii="宋体" w:hAnsi="宋体" w:cs="宋体" w:eastAsia="宋体" w:hint="default"/>
                <w:sz w:val="20"/>
                <w:szCs w:val="20"/>
              </w:rPr>
              <w:t>南通林洋交</w:t>
            </w:r>
            <w:r>
              <w:rPr>
                <w:rFonts w:ascii="宋体" w:hAnsi="宋体" w:cs="宋体" w:eastAsia="宋体" w:hint="default"/>
                <w:w w:val="99"/>
                <w:sz w:val="20"/>
                <w:szCs w:val="20"/>
              </w:rPr>
              <w:t> </w:t>
            </w:r>
            <w:r>
              <w:rPr>
                <w:rFonts w:ascii="宋体" w:hAnsi="宋体" w:cs="宋体" w:eastAsia="宋体" w:hint="default"/>
                <w:sz w:val="20"/>
                <w:szCs w:val="20"/>
              </w:rPr>
              <w:t>通建设工程</w:t>
            </w:r>
            <w:r>
              <w:rPr>
                <w:rFonts w:ascii="宋体" w:hAnsi="宋体" w:cs="宋体" w:eastAsia="宋体" w:hint="default"/>
                <w:w w:val="99"/>
                <w:sz w:val="20"/>
                <w:szCs w:val="20"/>
              </w:rPr>
              <w:t> </w:t>
            </w:r>
            <w:r>
              <w:rPr>
                <w:rFonts w:ascii="宋体" w:hAnsi="宋体" w:cs="宋体" w:eastAsia="宋体" w:hint="default"/>
                <w:sz w:val="20"/>
                <w:szCs w:val="20"/>
              </w:rPr>
              <w:t>有限公司</w:t>
            </w:r>
            <w:r>
              <w:rPr>
                <w:rFonts w:ascii="宋体" w:hAnsi="宋体" w:cs="宋体" w:eastAsia="宋体" w:hint="default"/>
                <w:sz w:val="20"/>
                <w:szCs w:val="20"/>
              </w:rPr>
              <w:t> </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23" w:right="71"/>
              <w:jc w:val="both"/>
              <w:rPr>
                <w:rFonts w:ascii="宋体" w:hAnsi="宋体" w:cs="宋体" w:eastAsia="宋体" w:hint="default"/>
                <w:sz w:val="20"/>
                <w:szCs w:val="20"/>
              </w:rPr>
            </w:pPr>
            <w:r>
              <w:rPr>
                <w:rFonts w:ascii="宋体" w:hAnsi="宋体" w:cs="宋体" w:eastAsia="宋体" w:hint="default"/>
                <w:sz w:val="20"/>
                <w:szCs w:val="20"/>
              </w:rPr>
              <w:t>母公司</w:t>
            </w:r>
            <w:r>
              <w:rPr>
                <w:rFonts w:ascii="宋体" w:hAnsi="宋体" w:cs="宋体" w:eastAsia="宋体" w:hint="default"/>
                <w:w w:val="99"/>
                <w:sz w:val="20"/>
                <w:szCs w:val="20"/>
              </w:rPr>
              <w:t> </w:t>
            </w:r>
            <w:r>
              <w:rPr>
                <w:rFonts w:ascii="宋体" w:hAnsi="宋体" w:cs="宋体" w:eastAsia="宋体" w:hint="default"/>
                <w:sz w:val="20"/>
                <w:szCs w:val="20"/>
              </w:rPr>
              <w:t>控投子</w:t>
            </w:r>
            <w:r>
              <w:rPr>
                <w:rFonts w:ascii="宋体" w:hAnsi="宋体" w:cs="宋体" w:eastAsia="宋体" w:hint="default"/>
                <w:w w:val="99"/>
                <w:sz w:val="20"/>
                <w:szCs w:val="20"/>
              </w:rPr>
              <w:t> </w:t>
            </w:r>
            <w:r>
              <w:rPr>
                <w:rFonts w:ascii="宋体" w:hAnsi="宋体" w:cs="宋体" w:eastAsia="宋体" w:hint="default"/>
                <w:sz w:val="20"/>
                <w:szCs w:val="20"/>
              </w:rPr>
              <w:t>公司</w:t>
            </w:r>
            <w:r>
              <w:rPr>
                <w:rFonts w:ascii="宋体" w:hAnsi="宋体" w:cs="宋体" w:eastAsia="宋体" w:hint="default"/>
                <w:sz w:val="20"/>
                <w:szCs w:val="20"/>
              </w:rPr>
              <w:t> </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148"/>
              <w:ind w:left="23" w:right="71"/>
              <w:jc w:val="left"/>
              <w:rPr>
                <w:rFonts w:ascii="宋体" w:hAnsi="宋体" w:cs="宋体" w:eastAsia="宋体" w:hint="default"/>
                <w:sz w:val="20"/>
                <w:szCs w:val="20"/>
              </w:rPr>
            </w:pPr>
            <w:r>
              <w:rPr>
                <w:rFonts w:ascii="宋体" w:hAnsi="宋体" w:cs="宋体" w:eastAsia="宋体" w:hint="default"/>
                <w:sz w:val="20"/>
                <w:szCs w:val="20"/>
              </w:rPr>
              <w:t>采购劳</w:t>
            </w:r>
            <w:r>
              <w:rPr>
                <w:rFonts w:ascii="宋体" w:hAnsi="宋体" w:cs="宋体" w:eastAsia="宋体" w:hint="default"/>
                <w:w w:val="99"/>
                <w:sz w:val="20"/>
                <w:szCs w:val="20"/>
              </w:rPr>
              <w:t> </w:t>
            </w:r>
            <w:r>
              <w:rPr>
                <w:rFonts w:ascii="宋体" w:hAnsi="宋体" w:cs="宋体" w:eastAsia="宋体" w:hint="default"/>
                <w:sz w:val="20"/>
                <w:szCs w:val="20"/>
              </w:rPr>
              <w:t>务</w:t>
            </w:r>
            <w:r>
              <w:rPr>
                <w:rFonts w:ascii="宋体" w:hAnsi="宋体" w:cs="宋体" w:eastAsia="宋体" w:hint="default"/>
                <w:sz w:val="20"/>
                <w:szCs w:val="20"/>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28"/>
              <w:jc w:val="right"/>
              <w:rPr>
                <w:rFonts w:ascii="宋体" w:hAnsi="宋体" w:cs="宋体" w:eastAsia="宋体" w:hint="default"/>
                <w:sz w:val="20"/>
                <w:szCs w:val="20"/>
              </w:rPr>
            </w:pPr>
            <w:r>
              <w:rPr>
                <w:rFonts w:ascii="宋体" w:hAnsi="宋体" w:cs="宋体" w:eastAsia="宋体" w:hint="default"/>
                <w:w w:val="95"/>
                <w:sz w:val="20"/>
                <w:szCs w:val="20"/>
              </w:rPr>
              <w:t>工程款</w:t>
            </w:r>
            <w:r>
              <w:rPr>
                <w:rFonts w:ascii="宋体" w:hAnsi="宋体" w:cs="宋体" w:eastAsia="宋体" w:hint="default"/>
                <w:w w:val="95"/>
                <w:sz w:val="20"/>
                <w:szCs w:val="20"/>
              </w:rPr>
              <w:t> </w:t>
            </w:r>
            <w:r>
              <w:rPr>
                <w:rFonts w:ascii="宋体" w:hAnsi="宋体" w:cs="宋体" w:eastAsia="宋体" w:hint="default"/>
                <w:sz w:val="20"/>
                <w:szCs w:val="20"/>
              </w:rPr>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148"/>
              <w:ind w:left="23" w:right="11"/>
              <w:jc w:val="left"/>
              <w:rPr>
                <w:rFonts w:ascii="宋体" w:hAnsi="宋体" w:cs="宋体" w:eastAsia="宋体" w:hint="default"/>
                <w:sz w:val="20"/>
                <w:szCs w:val="20"/>
              </w:rPr>
            </w:pPr>
            <w:r>
              <w:rPr>
                <w:rFonts w:ascii="宋体" w:hAnsi="宋体" w:cs="宋体" w:eastAsia="宋体" w:hint="default"/>
                <w:sz w:val="20"/>
                <w:szCs w:val="20"/>
              </w:rPr>
              <w:t>参照市</w:t>
            </w:r>
            <w:r>
              <w:rPr>
                <w:rFonts w:ascii="宋体" w:hAnsi="宋体" w:cs="宋体" w:eastAsia="宋体" w:hint="default"/>
                <w:w w:val="99"/>
                <w:sz w:val="20"/>
                <w:szCs w:val="20"/>
              </w:rPr>
              <w:t> </w:t>
            </w:r>
            <w:r>
              <w:rPr>
                <w:rFonts w:ascii="宋体" w:hAnsi="宋体" w:cs="宋体" w:eastAsia="宋体" w:hint="default"/>
                <w:sz w:val="20"/>
                <w:szCs w:val="20"/>
              </w:rPr>
              <w:t>场定价</w:t>
            </w:r>
            <w:r>
              <w:rPr>
                <w:rFonts w:ascii="宋体" w:hAnsi="宋体" w:cs="宋体" w:eastAsia="宋体" w:hint="default"/>
                <w:sz w:val="20"/>
                <w:szCs w:val="20"/>
              </w:rPr>
              <w:t> </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26" w:right="0"/>
              <w:jc w:val="left"/>
              <w:rPr>
                <w:rFonts w:ascii="宋体" w:hAnsi="宋体" w:cs="宋体" w:eastAsia="宋体" w:hint="default"/>
                <w:sz w:val="20"/>
                <w:szCs w:val="20"/>
              </w:rPr>
            </w:pPr>
            <w:r>
              <w:rPr>
                <w:rFonts w:ascii="宋体"/>
                <w:w w:val="99"/>
                <w:sz w:val="20"/>
              </w:rPr>
              <w:t> </w:t>
            </w:r>
            <w:r>
              <w:rPr>
                <w:rFonts w:ascii="宋体"/>
                <w:sz w:val="20"/>
              </w:rPr>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8"/>
              <w:jc w:val="right"/>
              <w:rPr>
                <w:rFonts w:ascii="宋体" w:hAnsi="宋体" w:cs="宋体" w:eastAsia="宋体" w:hint="default"/>
                <w:sz w:val="20"/>
                <w:szCs w:val="20"/>
              </w:rPr>
            </w:pPr>
            <w:r>
              <w:rPr>
                <w:rFonts w:ascii="宋体"/>
                <w:w w:val="95"/>
                <w:sz w:val="20"/>
              </w:rPr>
              <w:t>6,817,598.47 </w:t>
            </w:r>
            <w:r>
              <w:rPr>
                <w:rFonts w:ascii="宋体"/>
                <w:sz w:val="20"/>
              </w:rPr>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8"/>
              <w:jc w:val="right"/>
              <w:rPr>
                <w:rFonts w:ascii="宋体" w:hAnsi="宋体" w:cs="宋体" w:eastAsia="宋体" w:hint="default"/>
                <w:sz w:val="20"/>
                <w:szCs w:val="20"/>
              </w:rPr>
            </w:pPr>
            <w:r>
              <w:rPr>
                <w:rFonts w:ascii="宋体"/>
                <w:w w:val="95"/>
                <w:sz w:val="20"/>
              </w:rPr>
              <w:t>4.32 </w:t>
            </w:r>
            <w:r>
              <w:rPr>
                <w:rFonts w:ascii="宋体"/>
                <w:sz w:val="20"/>
              </w:rPr>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24" w:right="86"/>
              <w:jc w:val="both"/>
              <w:rPr>
                <w:rFonts w:ascii="宋体" w:hAnsi="宋体" w:cs="宋体" w:eastAsia="宋体" w:hint="default"/>
                <w:sz w:val="20"/>
                <w:szCs w:val="20"/>
              </w:rPr>
            </w:pPr>
            <w:r>
              <w:rPr>
                <w:rFonts w:ascii="宋体" w:hAnsi="宋体" w:cs="宋体" w:eastAsia="宋体" w:hint="default"/>
                <w:sz w:val="20"/>
                <w:szCs w:val="20"/>
              </w:rPr>
              <w:t>工程</w:t>
            </w:r>
            <w:r>
              <w:rPr>
                <w:rFonts w:ascii="宋体" w:hAnsi="宋体" w:cs="宋体" w:eastAsia="宋体" w:hint="default"/>
                <w:w w:val="99"/>
                <w:sz w:val="20"/>
                <w:szCs w:val="20"/>
              </w:rPr>
              <w:t> </w:t>
            </w:r>
            <w:r>
              <w:rPr>
                <w:rFonts w:ascii="宋体" w:hAnsi="宋体" w:cs="宋体" w:eastAsia="宋体" w:hint="default"/>
                <w:sz w:val="20"/>
                <w:szCs w:val="20"/>
              </w:rPr>
              <w:t>进度</w:t>
            </w:r>
            <w:r>
              <w:rPr>
                <w:rFonts w:ascii="宋体" w:hAnsi="宋体" w:cs="宋体" w:eastAsia="宋体" w:hint="default"/>
                <w:w w:val="99"/>
                <w:sz w:val="20"/>
                <w:szCs w:val="20"/>
              </w:rPr>
              <w:t> </w:t>
            </w:r>
            <w:r>
              <w:rPr>
                <w:rFonts w:ascii="宋体" w:hAnsi="宋体" w:cs="宋体" w:eastAsia="宋体" w:hint="default"/>
                <w:sz w:val="20"/>
                <w:szCs w:val="20"/>
              </w:rPr>
              <w:t>付款</w:t>
            </w:r>
            <w:r>
              <w:rPr>
                <w:rFonts w:ascii="宋体" w:hAnsi="宋体" w:cs="宋体" w:eastAsia="宋体" w:hint="default"/>
                <w:sz w:val="20"/>
                <w:szCs w:val="20"/>
              </w:rPr>
              <w:t> </w:t>
            </w:r>
          </w:p>
        </w:tc>
        <w:tc>
          <w:tcPr>
            <w:tcW w:w="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11"/>
              <w:jc w:val="right"/>
              <w:rPr>
                <w:rFonts w:ascii="宋体" w:hAnsi="宋体" w:cs="宋体" w:eastAsia="宋体" w:hint="default"/>
                <w:sz w:val="20"/>
                <w:szCs w:val="20"/>
              </w:rPr>
            </w:pPr>
            <w:r>
              <w:rPr>
                <w:rFonts w:ascii="宋体"/>
                <w:w w:val="99"/>
                <w:sz w:val="20"/>
              </w:rPr>
              <w:t> </w:t>
            </w:r>
            <w:r>
              <w:rPr>
                <w:rFonts w:ascii="宋体"/>
                <w:sz w:val="20"/>
              </w:rPr>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23" w:right="0"/>
              <w:jc w:val="left"/>
              <w:rPr>
                <w:rFonts w:ascii="宋体" w:hAnsi="宋体" w:cs="宋体" w:eastAsia="宋体" w:hint="default"/>
                <w:sz w:val="20"/>
                <w:szCs w:val="20"/>
              </w:rPr>
            </w:pPr>
            <w:r>
              <w:rPr>
                <w:rFonts w:ascii="宋体"/>
                <w:w w:val="99"/>
                <w:sz w:val="20"/>
              </w:rPr>
              <w:t> </w:t>
            </w:r>
            <w:r>
              <w:rPr>
                <w:rFonts w:ascii="宋体"/>
                <w:sz w:val="20"/>
              </w:rPr>
            </w:r>
          </w:p>
        </w:tc>
      </w:tr>
      <w:tr>
        <w:trPr>
          <w:trHeight w:val="946" w:hRule="exact"/>
        </w:trPr>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24" w:right="202"/>
              <w:jc w:val="both"/>
              <w:rPr>
                <w:rFonts w:ascii="宋体" w:hAnsi="宋体" w:cs="宋体" w:eastAsia="宋体" w:hint="default"/>
                <w:sz w:val="20"/>
                <w:szCs w:val="20"/>
              </w:rPr>
            </w:pPr>
            <w:r>
              <w:rPr>
                <w:rFonts w:ascii="宋体" w:hAnsi="宋体" w:cs="宋体" w:eastAsia="宋体" w:hint="default"/>
                <w:sz w:val="20"/>
                <w:szCs w:val="20"/>
              </w:rPr>
              <w:t>江苏林洋现</w:t>
            </w:r>
            <w:r>
              <w:rPr>
                <w:rFonts w:ascii="宋体" w:hAnsi="宋体" w:cs="宋体" w:eastAsia="宋体" w:hint="default"/>
                <w:w w:val="99"/>
                <w:sz w:val="20"/>
                <w:szCs w:val="20"/>
              </w:rPr>
              <w:t> </w:t>
            </w:r>
            <w:r>
              <w:rPr>
                <w:rFonts w:ascii="宋体" w:hAnsi="宋体" w:cs="宋体" w:eastAsia="宋体" w:hint="default"/>
                <w:sz w:val="20"/>
                <w:szCs w:val="20"/>
              </w:rPr>
              <w:t>代农业有限</w:t>
            </w:r>
            <w:r>
              <w:rPr>
                <w:rFonts w:ascii="宋体" w:hAnsi="宋体" w:cs="宋体" w:eastAsia="宋体" w:hint="default"/>
                <w:w w:val="99"/>
                <w:sz w:val="20"/>
                <w:szCs w:val="20"/>
              </w:rPr>
              <w:t> </w:t>
            </w:r>
            <w:r>
              <w:rPr>
                <w:rFonts w:ascii="宋体" w:hAnsi="宋体" w:cs="宋体" w:eastAsia="宋体" w:hint="default"/>
                <w:sz w:val="20"/>
                <w:szCs w:val="20"/>
              </w:rPr>
              <w:t>公司</w:t>
            </w:r>
            <w:r>
              <w:rPr>
                <w:rFonts w:ascii="宋体" w:hAnsi="宋体" w:cs="宋体" w:eastAsia="宋体" w:hint="default"/>
                <w:sz w:val="20"/>
                <w:szCs w:val="20"/>
              </w:rPr>
              <w:t> </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23" w:right="71"/>
              <w:jc w:val="both"/>
              <w:rPr>
                <w:rFonts w:ascii="宋体" w:hAnsi="宋体" w:cs="宋体" w:eastAsia="宋体" w:hint="default"/>
                <w:sz w:val="20"/>
                <w:szCs w:val="20"/>
              </w:rPr>
            </w:pPr>
            <w:r>
              <w:rPr>
                <w:rFonts w:ascii="宋体" w:hAnsi="宋体" w:cs="宋体" w:eastAsia="宋体" w:hint="default"/>
                <w:sz w:val="20"/>
                <w:szCs w:val="20"/>
              </w:rPr>
              <w:t>母公司</w:t>
            </w:r>
            <w:r>
              <w:rPr>
                <w:rFonts w:ascii="宋体" w:hAnsi="宋体" w:cs="宋体" w:eastAsia="宋体" w:hint="default"/>
                <w:w w:val="99"/>
                <w:sz w:val="20"/>
                <w:szCs w:val="20"/>
              </w:rPr>
              <w:t> </w:t>
            </w:r>
            <w:r>
              <w:rPr>
                <w:rFonts w:ascii="宋体" w:hAnsi="宋体" w:cs="宋体" w:eastAsia="宋体" w:hint="default"/>
                <w:sz w:val="20"/>
                <w:szCs w:val="20"/>
              </w:rPr>
              <w:t>控投子</w:t>
            </w:r>
            <w:r>
              <w:rPr>
                <w:rFonts w:ascii="宋体" w:hAnsi="宋体" w:cs="宋体" w:eastAsia="宋体" w:hint="default"/>
                <w:w w:val="99"/>
                <w:sz w:val="20"/>
                <w:szCs w:val="20"/>
              </w:rPr>
              <w:t> </w:t>
            </w:r>
            <w:r>
              <w:rPr>
                <w:rFonts w:ascii="宋体" w:hAnsi="宋体" w:cs="宋体" w:eastAsia="宋体" w:hint="default"/>
                <w:sz w:val="20"/>
                <w:szCs w:val="20"/>
              </w:rPr>
              <w:t>公司</w:t>
            </w:r>
            <w:r>
              <w:rPr>
                <w:rFonts w:ascii="宋体" w:hAnsi="宋体" w:cs="宋体" w:eastAsia="宋体" w:hint="default"/>
                <w:sz w:val="20"/>
                <w:szCs w:val="20"/>
              </w:rPr>
              <w:t> </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148"/>
              <w:ind w:left="23" w:right="71"/>
              <w:jc w:val="left"/>
              <w:rPr>
                <w:rFonts w:ascii="宋体" w:hAnsi="宋体" w:cs="宋体" w:eastAsia="宋体" w:hint="default"/>
                <w:sz w:val="20"/>
                <w:szCs w:val="20"/>
              </w:rPr>
            </w:pPr>
            <w:r>
              <w:rPr>
                <w:rFonts w:ascii="宋体" w:hAnsi="宋体" w:cs="宋体" w:eastAsia="宋体" w:hint="default"/>
                <w:sz w:val="20"/>
                <w:szCs w:val="20"/>
              </w:rPr>
              <w:t>采购商</w:t>
            </w:r>
            <w:r>
              <w:rPr>
                <w:rFonts w:ascii="宋体" w:hAnsi="宋体" w:cs="宋体" w:eastAsia="宋体" w:hint="default"/>
                <w:w w:val="99"/>
                <w:sz w:val="20"/>
                <w:szCs w:val="20"/>
              </w:rPr>
              <w:t> </w:t>
            </w:r>
            <w:r>
              <w:rPr>
                <w:rFonts w:ascii="宋体" w:hAnsi="宋体" w:cs="宋体" w:eastAsia="宋体" w:hint="default"/>
                <w:sz w:val="20"/>
                <w:szCs w:val="20"/>
              </w:rPr>
              <w:t>品</w:t>
            </w:r>
            <w:r>
              <w:rPr>
                <w:rFonts w:ascii="宋体" w:hAnsi="宋体" w:cs="宋体" w:eastAsia="宋体" w:hint="default"/>
                <w:sz w:val="20"/>
                <w:szCs w:val="20"/>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28"/>
              <w:jc w:val="right"/>
              <w:rPr>
                <w:rFonts w:ascii="宋体" w:hAnsi="宋体" w:cs="宋体" w:eastAsia="宋体" w:hint="default"/>
                <w:sz w:val="20"/>
                <w:szCs w:val="20"/>
              </w:rPr>
            </w:pPr>
            <w:r>
              <w:rPr>
                <w:rFonts w:ascii="宋体" w:hAnsi="宋体" w:cs="宋体" w:eastAsia="宋体" w:hint="default"/>
                <w:w w:val="95"/>
                <w:sz w:val="20"/>
                <w:szCs w:val="20"/>
              </w:rPr>
              <w:t>原材料</w:t>
            </w:r>
            <w:r>
              <w:rPr>
                <w:rFonts w:ascii="宋体" w:hAnsi="宋体" w:cs="宋体" w:eastAsia="宋体" w:hint="default"/>
                <w:w w:val="95"/>
                <w:sz w:val="20"/>
                <w:szCs w:val="20"/>
              </w:rPr>
              <w:t> </w:t>
            </w:r>
            <w:r>
              <w:rPr>
                <w:rFonts w:ascii="宋体" w:hAnsi="宋体" w:cs="宋体" w:eastAsia="宋体" w:hint="default"/>
                <w:sz w:val="20"/>
                <w:szCs w:val="20"/>
              </w:rPr>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148"/>
              <w:ind w:left="23" w:right="11"/>
              <w:jc w:val="left"/>
              <w:rPr>
                <w:rFonts w:ascii="宋体" w:hAnsi="宋体" w:cs="宋体" w:eastAsia="宋体" w:hint="default"/>
                <w:sz w:val="20"/>
                <w:szCs w:val="20"/>
              </w:rPr>
            </w:pPr>
            <w:r>
              <w:rPr>
                <w:rFonts w:ascii="宋体" w:hAnsi="宋体" w:cs="宋体" w:eastAsia="宋体" w:hint="default"/>
                <w:sz w:val="20"/>
                <w:szCs w:val="20"/>
              </w:rPr>
              <w:t>参照市</w:t>
            </w:r>
            <w:r>
              <w:rPr>
                <w:rFonts w:ascii="宋体" w:hAnsi="宋体" w:cs="宋体" w:eastAsia="宋体" w:hint="default"/>
                <w:w w:val="99"/>
                <w:sz w:val="20"/>
                <w:szCs w:val="20"/>
              </w:rPr>
              <w:t> </w:t>
            </w:r>
            <w:r>
              <w:rPr>
                <w:rFonts w:ascii="宋体" w:hAnsi="宋体" w:cs="宋体" w:eastAsia="宋体" w:hint="default"/>
                <w:sz w:val="20"/>
                <w:szCs w:val="20"/>
              </w:rPr>
              <w:t>场定价</w:t>
            </w:r>
            <w:r>
              <w:rPr>
                <w:rFonts w:ascii="宋体" w:hAnsi="宋体" w:cs="宋体" w:eastAsia="宋体" w:hint="default"/>
                <w:sz w:val="20"/>
                <w:szCs w:val="20"/>
              </w:rPr>
              <w:t> </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26" w:right="0"/>
              <w:jc w:val="left"/>
              <w:rPr>
                <w:rFonts w:ascii="宋体" w:hAnsi="宋体" w:cs="宋体" w:eastAsia="宋体" w:hint="default"/>
                <w:sz w:val="20"/>
                <w:szCs w:val="20"/>
              </w:rPr>
            </w:pPr>
            <w:r>
              <w:rPr>
                <w:rFonts w:ascii="宋体"/>
                <w:w w:val="99"/>
                <w:sz w:val="20"/>
              </w:rPr>
              <w:t> </w:t>
            </w:r>
            <w:r>
              <w:rPr>
                <w:rFonts w:ascii="宋体"/>
                <w:sz w:val="20"/>
              </w:rPr>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8"/>
              <w:jc w:val="right"/>
              <w:rPr>
                <w:rFonts w:ascii="宋体" w:hAnsi="宋体" w:cs="宋体" w:eastAsia="宋体" w:hint="default"/>
                <w:sz w:val="20"/>
                <w:szCs w:val="20"/>
              </w:rPr>
            </w:pPr>
            <w:r>
              <w:rPr>
                <w:rFonts w:ascii="宋体"/>
                <w:w w:val="95"/>
                <w:sz w:val="20"/>
              </w:rPr>
              <w:t>41,263.21 </w:t>
            </w:r>
            <w:r>
              <w:rPr>
                <w:rFonts w:ascii="宋体"/>
                <w:sz w:val="20"/>
              </w:rPr>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8"/>
              <w:jc w:val="right"/>
              <w:rPr>
                <w:rFonts w:ascii="宋体" w:hAnsi="宋体" w:cs="宋体" w:eastAsia="宋体" w:hint="default"/>
                <w:sz w:val="20"/>
                <w:szCs w:val="20"/>
              </w:rPr>
            </w:pPr>
            <w:r>
              <w:rPr>
                <w:rFonts w:ascii="宋体"/>
                <w:w w:val="95"/>
                <w:sz w:val="20"/>
              </w:rPr>
              <w:t>0.002 </w:t>
            </w:r>
            <w:r>
              <w:rPr>
                <w:rFonts w:ascii="宋体"/>
                <w:sz w:val="20"/>
              </w:rPr>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148"/>
              <w:ind w:left="24" w:right="86"/>
              <w:jc w:val="left"/>
              <w:rPr>
                <w:rFonts w:ascii="宋体" w:hAnsi="宋体" w:cs="宋体" w:eastAsia="宋体" w:hint="default"/>
                <w:sz w:val="20"/>
                <w:szCs w:val="20"/>
              </w:rPr>
            </w:pPr>
            <w:r>
              <w:rPr>
                <w:rFonts w:ascii="宋体" w:hAnsi="宋体" w:cs="宋体" w:eastAsia="宋体" w:hint="default"/>
                <w:sz w:val="20"/>
                <w:szCs w:val="20"/>
              </w:rPr>
              <w:t>货到</w:t>
            </w:r>
            <w:r>
              <w:rPr>
                <w:rFonts w:ascii="宋体" w:hAnsi="宋体" w:cs="宋体" w:eastAsia="宋体" w:hint="default"/>
                <w:w w:val="99"/>
                <w:sz w:val="20"/>
                <w:szCs w:val="20"/>
              </w:rPr>
              <w:t> </w:t>
            </w:r>
            <w:r>
              <w:rPr>
                <w:rFonts w:ascii="宋体" w:hAnsi="宋体" w:cs="宋体" w:eastAsia="宋体" w:hint="default"/>
                <w:sz w:val="20"/>
                <w:szCs w:val="20"/>
              </w:rPr>
              <w:t>付款</w:t>
            </w:r>
            <w:r>
              <w:rPr>
                <w:rFonts w:ascii="宋体" w:hAnsi="宋体" w:cs="宋体" w:eastAsia="宋体" w:hint="default"/>
                <w:sz w:val="20"/>
                <w:szCs w:val="20"/>
              </w:rPr>
              <w:t> </w:t>
            </w:r>
          </w:p>
        </w:tc>
        <w:tc>
          <w:tcPr>
            <w:tcW w:w="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11"/>
              <w:jc w:val="right"/>
              <w:rPr>
                <w:rFonts w:ascii="宋体" w:hAnsi="宋体" w:cs="宋体" w:eastAsia="宋体" w:hint="default"/>
                <w:sz w:val="20"/>
                <w:szCs w:val="20"/>
              </w:rPr>
            </w:pPr>
            <w:r>
              <w:rPr>
                <w:rFonts w:ascii="宋体"/>
                <w:w w:val="99"/>
                <w:sz w:val="20"/>
              </w:rPr>
              <w:t> </w:t>
            </w:r>
            <w:r>
              <w:rPr>
                <w:rFonts w:ascii="宋体"/>
                <w:sz w:val="20"/>
              </w:rPr>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23" w:right="0"/>
              <w:jc w:val="left"/>
              <w:rPr>
                <w:rFonts w:ascii="宋体" w:hAnsi="宋体" w:cs="宋体" w:eastAsia="宋体" w:hint="default"/>
                <w:sz w:val="20"/>
                <w:szCs w:val="20"/>
              </w:rPr>
            </w:pPr>
            <w:r>
              <w:rPr>
                <w:rFonts w:ascii="宋体"/>
                <w:w w:val="99"/>
                <w:sz w:val="20"/>
              </w:rPr>
              <w:t> </w:t>
            </w:r>
            <w:r>
              <w:rPr>
                <w:rFonts w:ascii="宋体"/>
                <w:sz w:val="20"/>
              </w:rPr>
            </w:r>
          </w:p>
        </w:tc>
      </w:tr>
      <w:tr>
        <w:trPr>
          <w:trHeight w:val="322" w:hRule="exact"/>
        </w:trPr>
        <w:tc>
          <w:tcPr>
            <w:tcW w:w="3351" w:type="dxa"/>
            <w:gridSpan w:val="4"/>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97" w:right="0"/>
              <w:jc w:val="center"/>
              <w:rPr>
                <w:rFonts w:ascii="宋体" w:hAnsi="宋体" w:cs="宋体" w:eastAsia="宋体" w:hint="default"/>
                <w:sz w:val="20"/>
                <w:szCs w:val="20"/>
              </w:rPr>
            </w:pPr>
            <w:r>
              <w:rPr>
                <w:rFonts w:ascii="宋体" w:hAnsi="宋体" w:cs="宋体" w:eastAsia="宋体" w:hint="default"/>
                <w:sz w:val="20"/>
                <w:szCs w:val="20"/>
              </w:rPr>
              <w:t>合计</w:t>
            </w:r>
            <w:r>
              <w:rPr>
                <w:rFonts w:ascii="宋体" w:hAnsi="宋体" w:cs="宋体" w:eastAsia="宋体" w:hint="default"/>
                <w:sz w:val="20"/>
                <w:szCs w:val="20"/>
              </w:rPr>
              <w:t> </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97" w:right="0"/>
              <w:jc w:val="center"/>
              <w:rPr>
                <w:rFonts w:ascii="宋体" w:hAnsi="宋体" w:cs="宋体" w:eastAsia="宋体" w:hint="default"/>
                <w:sz w:val="20"/>
                <w:szCs w:val="20"/>
              </w:rPr>
            </w:pPr>
            <w:r>
              <w:rPr>
                <w:rFonts w:ascii="宋体"/>
                <w:sz w:val="20"/>
              </w:rPr>
              <w:t>/ </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304" w:right="0"/>
              <w:jc w:val="left"/>
              <w:rPr>
                <w:rFonts w:ascii="宋体" w:hAnsi="宋体" w:cs="宋体" w:eastAsia="宋体" w:hint="default"/>
                <w:sz w:val="20"/>
                <w:szCs w:val="20"/>
              </w:rPr>
            </w:pPr>
            <w:r>
              <w:rPr>
                <w:rFonts w:ascii="宋体"/>
                <w:sz w:val="20"/>
              </w:rPr>
              <w:t>/ </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8"/>
              <w:jc w:val="right"/>
              <w:rPr>
                <w:rFonts w:ascii="宋体" w:hAnsi="宋体" w:cs="宋体" w:eastAsia="宋体" w:hint="default"/>
                <w:sz w:val="20"/>
                <w:szCs w:val="20"/>
              </w:rPr>
            </w:pPr>
            <w:r>
              <w:rPr>
                <w:rFonts w:ascii="宋体"/>
                <w:w w:val="95"/>
                <w:sz w:val="20"/>
              </w:rPr>
              <w:t>6,858,861.68 </w:t>
            </w:r>
            <w:r>
              <w:rPr>
                <w:rFonts w:ascii="宋体"/>
                <w:sz w:val="20"/>
              </w:rPr>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8"/>
              <w:jc w:val="right"/>
              <w:rPr>
                <w:rFonts w:ascii="宋体" w:hAnsi="宋体" w:cs="宋体" w:eastAsia="宋体" w:hint="default"/>
                <w:sz w:val="20"/>
                <w:szCs w:val="20"/>
              </w:rPr>
            </w:pPr>
            <w:r>
              <w:rPr>
                <w:rFonts w:ascii="宋体"/>
                <w:w w:val="99"/>
                <w:sz w:val="20"/>
              </w:rPr>
              <w:t> </w:t>
            </w:r>
            <w:r>
              <w:rPr>
                <w:rFonts w:ascii="宋体"/>
                <w:sz w:val="20"/>
              </w:rPr>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254" w:right="0"/>
              <w:jc w:val="left"/>
              <w:rPr>
                <w:rFonts w:ascii="宋体" w:hAnsi="宋体" w:cs="宋体" w:eastAsia="宋体" w:hint="default"/>
                <w:sz w:val="20"/>
                <w:szCs w:val="20"/>
              </w:rPr>
            </w:pPr>
            <w:r>
              <w:rPr>
                <w:rFonts w:ascii="宋体"/>
                <w:sz w:val="20"/>
              </w:rPr>
              <w:t>/ </w:t>
            </w:r>
          </w:p>
        </w:tc>
        <w:tc>
          <w:tcPr>
            <w:tcW w:w="602"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242" w:right="0"/>
              <w:jc w:val="left"/>
              <w:rPr>
                <w:rFonts w:ascii="宋体" w:hAnsi="宋体" w:cs="宋体" w:eastAsia="宋体" w:hint="default"/>
                <w:sz w:val="20"/>
                <w:szCs w:val="20"/>
              </w:rPr>
            </w:pPr>
            <w:r>
              <w:rPr>
                <w:rFonts w:ascii="宋体"/>
                <w:sz w:val="20"/>
              </w:rPr>
              <w:t>/ </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97" w:right="0"/>
              <w:jc w:val="center"/>
              <w:rPr>
                <w:rFonts w:ascii="宋体" w:hAnsi="宋体" w:cs="宋体" w:eastAsia="宋体" w:hint="default"/>
                <w:sz w:val="20"/>
                <w:szCs w:val="20"/>
              </w:rPr>
            </w:pPr>
            <w:r>
              <w:rPr>
                <w:rFonts w:ascii="宋体"/>
                <w:sz w:val="20"/>
              </w:rPr>
              <w:t>/ </w:t>
            </w:r>
          </w:p>
        </w:tc>
      </w:tr>
      <w:tr>
        <w:trPr>
          <w:trHeight w:val="322" w:hRule="exact"/>
        </w:trPr>
        <w:tc>
          <w:tcPr>
            <w:tcW w:w="4098" w:type="dxa"/>
            <w:gridSpan w:val="5"/>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24" w:right="0"/>
              <w:jc w:val="left"/>
              <w:rPr>
                <w:rFonts w:ascii="宋体" w:hAnsi="宋体" w:cs="宋体" w:eastAsia="宋体" w:hint="default"/>
                <w:sz w:val="20"/>
                <w:szCs w:val="20"/>
              </w:rPr>
            </w:pPr>
            <w:r>
              <w:rPr>
                <w:rFonts w:ascii="宋体" w:hAnsi="宋体" w:cs="宋体" w:eastAsia="宋体" w:hint="default"/>
                <w:sz w:val="20"/>
                <w:szCs w:val="20"/>
              </w:rPr>
              <w:t>大额销货退回的详细情况</w:t>
            </w:r>
            <w:r>
              <w:rPr>
                <w:rFonts w:ascii="宋体" w:hAnsi="宋体" w:cs="宋体" w:eastAsia="宋体" w:hint="default"/>
                <w:sz w:val="20"/>
                <w:szCs w:val="20"/>
              </w:rPr>
              <w:t> </w:t>
            </w:r>
          </w:p>
        </w:tc>
        <w:tc>
          <w:tcPr>
            <w:tcW w:w="5543" w:type="dxa"/>
            <w:gridSpan w:val="6"/>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26" w:right="0"/>
              <w:jc w:val="left"/>
              <w:rPr>
                <w:rFonts w:ascii="宋体" w:hAnsi="宋体" w:cs="宋体" w:eastAsia="宋体" w:hint="default"/>
                <w:sz w:val="20"/>
                <w:szCs w:val="20"/>
              </w:rPr>
            </w:pPr>
            <w:r>
              <w:rPr>
                <w:rFonts w:ascii="宋体"/>
                <w:w w:val="99"/>
                <w:sz w:val="20"/>
              </w:rPr>
              <w:t> </w:t>
            </w:r>
            <w:r>
              <w:rPr>
                <w:rFonts w:ascii="宋体"/>
                <w:sz w:val="20"/>
              </w:rPr>
            </w:r>
          </w:p>
        </w:tc>
      </w:tr>
      <w:tr>
        <w:trPr>
          <w:trHeight w:val="324" w:hRule="exact"/>
        </w:trPr>
        <w:tc>
          <w:tcPr>
            <w:tcW w:w="4098" w:type="dxa"/>
            <w:gridSpan w:val="5"/>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24" w:right="0"/>
              <w:jc w:val="left"/>
              <w:rPr>
                <w:rFonts w:ascii="宋体" w:hAnsi="宋体" w:cs="宋体" w:eastAsia="宋体" w:hint="default"/>
                <w:sz w:val="20"/>
                <w:szCs w:val="20"/>
              </w:rPr>
            </w:pPr>
            <w:r>
              <w:rPr>
                <w:rFonts w:ascii="宋体" w:hAnsi="宋体" w:cs="宋体" w:eastAsia="宋体" w:hint="default"/>
                <w:sz w:val="20"/>
                <w:szCs w:val="20"/>
              </w:rPr>
              <w:t>关联交易的说明</w:t>
            </w:r>
            <w:r>
              <w:rPr>
                <w:rFonts w:ascii="宋体" w:hAnsi="宋体" w:cs="宋体" w:eastAsia="宋体" w:hint="default"/>
                <w:sz w:val="20"/>
                <w:szCs w:val="20"/>
              </w:rPr>
              <w:t> </w:t>
            </w:r>
          </w:p>
        </w:tc>
        <w:tc>
          <w:tcPr>
            <w:tcW w:w="5543" w:type="dxa"/>
            <w:gridSpan w:val="6"/>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26" w:right="0"/>
              <w:jc w:val="left"/>
              <w:rPr>
                <w:rFonts w:ascii="宋体" w:hAnsi="宋体" w:cs="宋体" w:eastAsia="宋体" w:hint="default"/>
                <w:sz w:val="20"/>
                <w:szCs w:val="20"/>
              </w:rPr>
            </w:pPr>
            <w:r>
              <w:rPr>
                <w:rFonts w:ascii="宋体"/>
                <w:w w:val="99"/>
                <w:sz w:val="20"/>
              </w:rPr>
              <w:t> </w:t>
            </w:r>
            <w:r>
              <w:rPr>
                <w:rFonts w:ascii="宋体"/>
                <w:sz w:val="20"/>
              </w:rPr>
            </w:r>
          </w:p>
        </w:tc>
      </w:tr>
    </w:tbl>
    <w:p>
      <w:pPr>
        <w:pStyle w:val="Heading2"/>
        <w:spacing w:line="274" w:lineRule="exact"/>
        <w:ind w:left="678" w:right="0"/>
        <w:jc w:val="both"/>
        <w:rPr>
          <w:rFonts w:ascii="宋体" w:hAnsi="宋体" w:cs="宋体" w:eastAsia="宋体" w:hint="default"/>
        </w:rPr>
      </w:pPr>
      <w:r>
        <w:rPr>
          <w:rFonts w:ascii="宋体"/>
        </w:rPr>
        <w:t> </w:t>
      </w:r>
    </w:p>
    <w:p>
      <w:pPr>
        <w:pStyle w:val="Heading3"/>
        <w:spacing w:line="240" w:lineRule="auto" w:before="85"/>
        <w:ind w:left="678" w:right="0"/>
        <w:jc w:val="both"/>
        <w:rPr>
          <w:rFonts w:ascii="宋体" w:hAnsi="宋体" w:cs="宋体" w:eastAsia="宋体" w:hint="default"/>
          <w:b w:val="0"/>
          <w:bCs w:val="0"/>
        </w:rPr>
      </w:pPr>
      <w:r>
        <w:rPr>
          <w:rFonts w:ascii="宋体" w:hAnsi="宋体" w:cs="宋体" w:eastAsia="宋体" w:hint="default"/>
        </w:rPr>
        <w:t>(</w:t>
      </w:r>
      <w:r>
        <w:rPr/>
        <w:t>二</w:t>
      </w:r>
      <w:r>
        <w:rPr>
          <w:rFonts w:ascii="宋体" w:hAnsi="宋体" w:cs="宋体" w:eastAsia="宋体" w:hint="default"/>
        </w:rPr>
        <w:t>)</w:t>
      </w:r>
      <w:r>
        <w:rPr/>
        <w:t>资产或股权收购、出售发生的关联交易</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ind w:left="678" w:right="0"/>
        <w:jc w:val="both"/>
        <w:rPr>
          <w:rFonts w:ascii="宋体" w:hAnsi="宋体" w:cs="宋体" w:eastAsia="宋体" w:hint="default"/>
          <w:b w:val="0"/>
          <w:bCs w:val="0"/>
        </w:rPr>
      </w:pPr>
      <w:r>
        <w:rPr>
          <w:rFonts w:ascii="宋体" w:hAnsi="宋体" w:cs="宋体" w:eastAsia="宋体" w:hint="default"/>
        </w:rPr>
        <w:t>1</w:t>
      </w:r>
      <w:r>
        <w:rPr/>
        <w:t>、</w:t>
      </w:r>
      <w:r>
        <w:rPr>
          <w:spacing w:val="-6"/>
        </w:rPr>
        <w:t> </w:t>
      </w:r>
      <w:r>
        <w:rPr/>
        <w:t>已在临时公告披露且后续实施无进展或变化的事项</w:t>
      </w:r>
      <w:r>
        <w:rPr>
          <w:rFonts w:ascii="宋体" w:hAnsi="宋体" w:cs="宋体" w:eastAsia="宋体" w:hint="default"/>
          <w:w w:val="99"/>
        </w:rPr>
        <w:t> </w:t>
      </w:r>
      <w:r>
        <w:rPr>
          <w:rFonts w:ascii="宋体" w:hAnsi="宋体" w:cs="宋体" w:eastAsia="宋体" w:hint="default"/>
          <w:b w:val="0"/>
          <w:bCs w:val="0"/>
        </w:rPr>
      </w:r>
    </w:p>
    <w:p>
      <w:pPr>
        <w:pStyle w:val="Heading2"/>
        <w:spacing w:line="313" w:lineRule="exact" w:before="69"/>
        <w:ind w:left="678" w:right="0"/>
        <w:jc w:val="both"/>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2"/>
        <w:spacing w:line="313" w:lineRule="exact"/>
        <w:ind w:left="678" w:right="0"/>
        <w:jc w:val="both"/>
        <w:rPr>
          <w:rFonts w:ascii="宋体" w:hAnsi="宋体" w:cs="宋体" w:eastAsia="宋体" w:hint="default"/>
        </w:rPr>
      </w:pPr>
      <w:r>
        <w:rPr>
          <w:rFonts w:ascii="宋体"/>
        </w:rPr>
        <w:t> </w:t>
      </w:r>
    </w:p>
    <w:p>
      <w:pPr>
        <w:pStyle w:val="Heading3"/>
        <w:spacing w:line="240" w:lineRule="auto" w:before="85"/>
        <w:ind w:left="678" w:right="0"/>
        <w:jc w:val="both"/>
        <w:rPr>
          <w:rFonts w:ascii="宋体" w:hAnsi="宋体" w:cs="宋体" w:eastAsia="宋体" w:hint="default"/>
          <w:b w:val="0"/>
          <w:bCs w:val="0"/>
        </w:rPr>
      </w:pPr>
      <w:r>
        <w:rPr>
          <w:rFonts w:ascii="宋体" w:hAnsi="宋体" w:cs="宋体" w:eastAsia="宋体" w:hint="default"/>
        </w:rPr>
        <w:t>2</w:t>
      </w:r>
      <w:r>
        <w:rPr/>
        <w:t>、</w:t>
      </w:r>
      <w:r>
        <w:rPr>
          <w:spacing w:val="-6"/>
        </w:rPr>
        <w:t> </w:t>
      </w:r>
      <w:r>
        <w:rPr/>
        <w:t>已在临时公告披露，但有后续实施的进展或变化的事项</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7"/>
        <w:ind w:left="678" w:right="0"/>
        <w:jc w:val="both"/>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auto" w:before="37"/>
        <w:ind w:left="678" w:right="350"/>
        <w:jc w:val="both"/>
        <w:rPr>
          <w:rFonts w:ascii="宋体" w:hAnsi="宋体" w:cs="宋体" w:eastAsia="宋体" w:hint="default"/>
        </w:rPr>
      </w:pPr>
      <w:r>
        <w:rPr/>
        <w:t>公司分别于</w:t>
      </w:r>
      <w:r>
        <w:rPr>
          <w:spacing w:val="-61"/>
        </w:rPr>
        <w:t> </w:t>
      </w:r>
      <w:r>
        <w:rPr>
          <w:rFonts w:ascii="宋体" w:hAnsi="宋体" w:cs="宋体" w:eastAsia="宋体" w:hint="default"/>
        </w:rPr>
        <w:t>2019</w:t>
      </w:r>
      <w:r>
        <w:rPr>
          <w:rFonts w:ascii="宋体" w:hAnsi="宋体" w:cs="宋体" w:eastAsia="宋体" w:hint="default"/>
          <w:spacing w:val="-63"/>
        </w:rPr>
        <w:t> </w:t>
      </w:r>
      <w:r>
        <w:rPr/>
        <w:t>年</w:t>
      </w:r>
      <w:r>
        <w:rPr>
          <w:spacing w:val="-61"/>
        </w:rPr>
        <w:t> </w:t>
      </w:r>
      <w:r>
        <w:rPr>
          <w:rFonts w:ascii="宋体" w:hAnsi="宋体" w:cs="宋体" w:eastAsia="宋体" w:hint="default"/>
        </w:rPr>
        <w:t>10</w:t>
      </w:r>
      <w:r>
        <w:rPr>
          <w:rFonts w:ascii="宋体" w:hAnsi="宋体" w:cs="宋体" w:eastAsia="宋体" w:hint="default"/>
          <w:spacing w:val="-63"/>
        </w:rPr>
        <w:t> </w:t>
      </w:r>
      <w:r>
        <w:rPr/>
        <w:t>月</w:t>
      </w:r>
      <w:r>
        <w:rPr>
          <w:spacing w:val="-60"/>
        </w:rPr>
        <w:t> </w:t>
      </w:r>
      <w:r>
        <w:rPr>
          <w:rFonts w:ascii="宋体" w:hAnsi="宋体" w:cs="宋体" w:eastAsia="宋体" w:hint="default"/>
        </w:rPr>
        <w:t>21</w:t>
      </w:r>
      <w:r>
        <w:rPr>
          <w:rFonts w:ascii="宋体" w:hAnsi="宋体" w:cs="宋体" w:eastAsia="宋体" w:hint="default"/>
          <w:spacing w:val="-61"/>
        </w:rPr>
        <w:t> </w:t>
      </w:r>
      <w:r>
        <w:rPr/>
        <w:t>日和</w:t>
      </w:r>
      <w:r>
        <w:rPr>
          <w:spacing w:val="-61"/>
        </w:rPr>
        <w:t> </w:t>
      </w:r>
      <w:r>
        <w:rPr>
          <w:rFonts w:ascii="宋体" w:hAnsi="宋体" w:cs="宋体" w:eastAsia="宋体" w:hint="default"/>
        </w:rPr>
        <w:t>11</w:t>
      </w:r>
      <w:r>
        <w:rPr>
          <w:rFonts w:ascii="宋体" w:hAnsi="宋体" w:cs="宋体" w:eastAsia="宋体" w:hint="default"/>
          <w:spacing w:val="-61"/>
        </w:rPr>
        <w:t> </w:t>
      </w:r>
      <w:r>
        <w:rPr/>
        <w:t>月</w:t>
      </w:r>
      <w:r>
        <w:rPr>
          <w:spacing w:val="-63"/>
        </w:rPr>
        <w:t> </w:t>
      </w:r>
      <w:r>
        <w:rPr>
          <w:rFonts w:ascii="宋体" w:hAnsi="宋体" w:cs="宋体" w:eastAsia="宋体" w:hint="default"/>
        </w:rPr>
        <w:t>6</w:t>
      </w:r>
      <w:r>
        <w:rPr>
          <w:rFonts w:ascii="宋体" w:hAnsi="宋体" w:cs="宋体" w:eastAsia="宋体" w:hint="default"/>
          <w:spacing w:val="-63"/>
        </w:rPr>
        <w:t> </w:t>
      </w:r>
      <w:r>
        <w:rPr/>
        <w:t>日召开第四届董事会第六次会议和</w:t>
      </w:r>
      <w:r>
        <w:rPr>
          <w:spacing w:val="-61"/>
        </w:rPr>
        <w:t> </w:t>
      </w:r>
      <w:r>
        <w:rPr>
          <w:rFonts w:ascii="宋体" w:hAnsi="宋体" w:cs="宋体" w:eastAsia="宋体" w:hint="default"/>
        </w:rPr>
        <w:t>2019</w:t>
      </w:r>
      <w:r>
        <w:rPr>
          <w:rFonts w:ascii="宋体" w:hAnsi="宋体" w:cs="宋体" w:eastAsia="宋体" w:hint="default"/>
          <w:spacing w:val="-60"/>
        </w:rPr>
        <w:t> </w:t>
      </w:r>
      <w:r>
        <w:rPr/>
        <w:t>年第四次临时股</w:t>
      </w:r>
      <w:r>
        <w:rPr>
          <w:w w:val="100"/>
        </w:rPr>
        <w:t> </w:t>
      </w:r>
      <w:r>
        <w:rPr>
          <w:spacing w:val="-3"/>
        </w:rPr>
        <w:t>东大会，审议通过了《关于收购南京华虹融资租赁有限公司 </w:t>
      </w:r>
      <w:r>
        <w:rPr>
          <w:rFonts w:ascii="宋体" w:hAnsi="宋体" w:cs="宋体" w:eastAsia="宋体" w:hint="default"/>
          <w:spacing w:val="-3"/>
        </w:rPr>
        <w:t>100%</w:t>
      </w:r>
      <w:r>
        <w:rPr>
          <w:spacing w:val="-3"/>
        </w:rPr>
        <w:t>股权暨关联交易的议案》，公告</w:t>
      </w:r>
      <w:r>
        <w:rPr>
          <w:spacing w:val="-79"/>
        </w:rPr>
        <w:t> </w:t>
      </w:r>
      <w:r>
        <w:rPr>
          <w:spacing w:val="-79"/>
        </w:rPr>
      </w:r>
      <w:r>
        <w:rPr/>
        <w:t>编号为临</w:t>
      </w:r>
      <w:r>
        <w:rPr>
          <w:spacing w:val="-49"/>
        </w:rPr>
        <w:t> </w:t>
      </w:r>
      <w:r>
        <w:rPr>
          <w:rFonts w:ascii="宋体" w:hAnsi="宋体" w:cs="宋体" w:eastAsia="宋体" w:hint="default"/>
          <w:spacing w:val="-3"/>
        </w:rPr>
        <w:t>2019-88</w:t>
      </w:r>
      <w:r>
        <w:rPr>
          <w:spacing w:val="-3"/>
        </w:rPr>
        <w:t>，本次交易金额为人民币</w:t>
      </w:r>
      <w:r>
        <w:rPr>
          <w:spacing w:val="-48"/>
        </w:rPr>
        <w:t> </w:t>
      </w:r>
      <w:r>
        <w:rPr>
          <w:rFonts w:ascii="宋体" w:hAnsi="宋体" w:cs="宋体" w:eastAsia="宋体" w:hint="default"/>
        </w:rPr>
        <w:t>32,100</w:t>
      </w:r>
      <w:r>
        <w:rPr>
          <w:rFonts w:ascii="宋体" w:hAnsi="宋体" w:cs="宋体" w:eastAsia="宋体" w:hint="default"/>
          <w:spacing w:val="-51"/>
        </w:rPr>
        <w:t> </w:t>
      </w:r>
      <w:r>
        <w:rPr>
          <w:spacing w:val="-5"/>
        </w:rPr>
        <w:t>万元，并于</w:t>
      </w:r>
      <w:r>
        <w:rPr>
          <w:spacing w:val="-51"/>
        </w:rPr>
        <w:t> </w:t>
      </w:r>
      <w:r>
        <w:rPr>
          <w:rFonts w:ascii="宋体" w:hAnsi="宋体" w:cs="宋体" w:eastAsia="宋体" w:hint="default"/>
        </w:rPr>
        <w:t>2019</w:t>
      </w:r>
      <w:r>
        <w:rPr>
          <w:rFonts w:ascii="宋体" w:hAnsi="宋体" w:cs="宋体" w:eastAsia="宋体" w:hint="default"/>
          <w:spacing w:val="-51"/>
        </w:rPr>
        <w:t> </w:t>
      </w:r>
      <w:r>
        <w:rPr/>
        <w:t>年</w:t>
      </w:r>
      <w:r>
        <w:rPr>
          <w:spacing w:val="-49"/>
        </w:rPr>
        <w:t> </w:t>
      </w:r>
      <w:r>
        <w:rPr>
          <w:rFonts w:ascii="宋体" w:hAnsi="宋体" w:cs="宋体" w:eastAsia="宋体" w:hint="default"/>
        </w:rPr>
        <w:t>12</w:t>
      </w:r>
      <w:r>
        <w:rPr>
          <w:rFonts w:ascii="宋体" w:hAnsi="宋体" w:cs="宋体" w:eastAsia="宋体" w:hint="default"/>
          <w:spacing w:val="-49"/>
        </w:rPr>
        <w:t> </w:t>
      </w:r>
      <w:r>
        <w:rPr/>
        <w:t>月办理完成工商变更手</w:t>
      </w:r>
      <w:r>
        <w:rPr>
          <w:spacing w:val="-103"/>
        </w:rPr>
        <w:t> </w:t>
      </w:r>
      <w:r>
        <w:rPr>
          <w:spacing w:val="-103"/>
        </w:rPr>
      </w:r>
      <w:r>
        <w:rPr/>
        <w:t>续，南京华虹融资租赁有限公司成为公司全资子公司。</w:t>
      </w:r>
      <w:r>
        <w:rPr>
          <w:rFonts w:ascii="宋体" w:hAnsi="宋体" w:cs="宋体" w:eastAsia="宋体" w:hint="default"/>
        </w:rPr>
        <w:t> </w:t>
      </w:r>
    </w:p>
    <w:p>
      <w:pPr>
        <w:pStyle w:val="BodyText"/>
        <w:spacing w:line="240" w:lineRule="auto" w:before="8"/>
        <w:ind w:left="678" w:right="0"/>
        <w:jc w:val="both"/>
        <w:rPr>
          <w:rFonts w:ascii="宋体" w:hAnsi="宋体" w:cs="宋体" w:eastAsia="宋体" w:hint="default"/>
        </w:rPr>
      </w:pPr>
      <w:r>
        <w:rPr>
          <w:rFonts w:ascii="宋体"/>
          <w:w w:val="100"/>
        </w:rPr>
        <w:t> </w:t>
      </w:r>
    </w:p>
    <w:p>
      <w:pPr>
        <w:pStyle w:val="Heading3"/>
        <w:spacing w:line="240" w:lineRule="auto"/>
        <w:ind w:left="678" w:right="0"/>
        <w:jc w:val="both"/>
        <w:rPr>
          <w:rFonts w:ascii="宋体" w:hAnsi="宋体" w:cs="宋体" w:eastAsia="宋体" w:hint="default"/>
          <w:b w:val="0"/>
          <w:bCs w:val="0"/>
        </w:rPr>
      </w:pPr>
      <w:r>
        <w:rPr>
          <w:rFonts w:ascii="宋体" w:hAnsi="宋体" w:cs="宋体" w:eastAsia="宋体" w:hint="default"/>
        </w:rPr>
        <w:t>3</w:t>
      </w:r>
      <w:r>
        <w:rPr/>
        <w:t>、</w:t>
      </w:r>
      <w:r>
        <w:rPr>
          <w:spacing w:val="-5"/>
        </w:rPr>
        <w:t> </w:t>
      </w:r>
      <w:r>
        <w:rPr/>
        <w:t>临时公告未披露的事项</w:t>
      </w:r>
      <w:r>
        <w:rPr>
          <w:rFonts w:ascii="宋体" w:hAnsi="宋体" w:cs="宋体" w:eastAsia="宋体" w:hint="default"/>
          <w:w w:val="99"/>
        </w:rPr>
        <w:t> </w:t>
      </w:r>
      <w:r>
        <w:rPr>
          <w:rFonts w:ascii="宋体" w:hAnsi="宋体" w:cs="宋体" w:eastAsia="宋体" w:hint="default"/>
          <w:b w:val="0"/>
          <w:bCs w:val="0"/>
        </w:rPr>
      </w:r>
    </w:p>
    <w:p>
      <w:pPr>
        <w:pStyle w:val="Heading2"/>
        <w:spacing w:line="313" w:lineRule="exact" w:before="69"/>
        <w:ind w:left="678" w:right="0"/>
        <w:jc w:val="both"/>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2"/>
        <w:spacing w:line="313" w:lineRule="exact"/>
        <w:ind w:left="678" w:right="0"/>
        <w:jc w:val="both"/>
        <w:rPr>
          <w:rFonts w:ascii="宋体" w:hAnsi="宋体" w:cs="宋体" w:eastAsia="宋体" w:hint="default"/>
        </w:rPr>
      </w:pPr>
      <w:r>
        <w:rPr>
          <w:rFonts w:ascii="宋体"/>
        </w:rPr>
        <w:t> </w:t>
      </w:r>
    </w:p>
    <w:p>
      <w:pPr>
        <w:pStyle w:val="Heading3"/>
        <w:spacing w:line="240" w:lineRule="auto" w:before="85"/>
        <w:ind w:left="678" w:right="0"/>
        <w:jc w:val="both"/>
        <w:rPr>
          <w:rFonts w:ascii="宋体" w:hAnsi="宋体" w:cs="宋体" w:eastAsia="宋体" w:hint="default"/>
          <w:b w:val="0"/>
          <w:bCs w:val="0"/>
        </w:rPr>
      </w:pPr>
      <w:r>
        <w:rPr>
          <w:rFonts w:ascii="宋体" w:hAnsi="宋体" w:cs="宋体" w:eastAsia="宋体" w:hint="default"/>
        </w:rPr>
        <w:t>4</w:t>
      </w:r>
      <w:r>
        <w:rPr/>
        <w:t>、</w:t>
      </w:r>
      <w:r>
        <w:rPr>
          <w:spacing w:val="-7"/>
        </w:rPr>
        <w:t> </w:t>
      </w:r>
      <w:r>
        <w:rPr/>
        <w:t>涉及业绩约定的，应当披露报告期内的业绩实现情况</w:t>
      </w:r>
      <w:r>
        <w:rPr>
          <w:rFonts w:ascii="宋体" w:hAnsi="宋体" w:cs="宋体" w:eastAsia="宋体" w:hint="default"/>
          <w:w w:val="99"/>
        </w:rPr>
        <w:t> </w:t>
      </w:r>
      <w:r>
        <w:rPr>
          <w:rFonts w:ascii="宋体" w:hAnsi="宋体" w:cs="宋体" w:eastAsia="宋体" w:hint="default"/>
          <w:b w:val="0"/>
          <w:bCs w:val="0"/>
        </w:rPr>
      </w:r>
    </w:p>
    <w:p>
      <w:pPr>
        <w:pStyle w:val="Heading2"/>
        <w:spacing w:line="313" w:lineRule="exact" w:before="69"/>
        <w:ind w:left="678" w:right="0"/>
        <w:jc w:val="both"/>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Heading2"/>
        <w:spacing w:line="313" w:lineRule="exact"/>
        <w:ind w:left="678" w:right="0"/>
        <w:jc w:val="both"/>
        <w:rPr>
          <w:rFonts w:ascii="宋体" w:hAnsi="宋体" w:cs="宋体" w:eastAsia="宋体" w:hint="default"/>
        </w:rPr>
      </w:pPr>
      <w:r>
        <w:rPr>
          <w:rFonts w:ascii="宋体"/>
        </w:rPr>
        <w:t> </w:t>
      </w:r>
    </w:p>
    <w:p>
      <w:pPr>
        <w:pStyle w:val="Heading3"/>
        <w:spacing w:line="240" w:lineRule="auto" w:before="85"/>
        <w:ind w:left="678" w:right="0"/>
        <w:jc w:val="both"/>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28"/>
        </w:rPr>
        <w:t> </w:t>
      </w:r>
      <w:r>
        <w:rPr/>
        <w:t>共同对外投资的重大关联交易</w:t>
      </w:r>
      <w:r>
        <w:rPr>
          <w:b w:val="0"/>
          <w:bCs w:val="0"/>
        </w:rPr>
      </w:r>
    </w:p>
    <w:p>
      <w:pPr>
        <w:pStyle w:val="Heading3"/>
        <w:spacing w:line="240" w:lineRule="auto" w:before="70"/>
        <w:ind w:left="678" w:right="0"/>
        <w:jc w:val="both"/>
        <w:rPr>
          <w:rFonts w:ascii="宋体" w:hAnsi="宋体" w:cs="宋体" w:eastAsia="宋体" w:hint="default"/>
          <w:b w:val="0"/>
          <w:bCs w:val="0"/>
        </w:rPr>
      </w:pPr>
      <w:r>
        <w:rPr>
          <w:rFonts w:ascii="宋体" w:hAnsi="宋体" w:cs="宋体" w:eastAsia="宋体" w:hint="default"/>
        </w:rPr>
        <w:t>1</w:t>
      </w:r>
      <w:r>
        <w:rPr/>
        <w:t>、</w:t>
      </w:r>
      <w:r>
        <w:rPr>
          <w:spacing w:val="-6"/>
        </w:rPr>
        <w:t> </w:t>
      </w:r>
      <w:r>
        <w:rPr/>
        <w:t>已在临时公告披露且后续实施无进展或变化的事项</w:t>
      </w:r>
      <w:r>
        <w:rPr>
          <w:rFonts w:ascii="宋体" w:hAnsi="宋体" w:cs="宋体" w:eastAsia="宋体" w:hint="default"/>
          <w:w w:val="99"/>
        </w:rPr>
        <w:t> </w:t>
      </w:r>
      <w:r>
        <w:rPr>
          <w:rFonts w:ascii="宋体" w:hAnsi="宋体" w:cs="宋体" w:eastAsia="宋体" w:hint="default"/>
          <w:b w:val="0"/>
          <w:bCs w:val="0"/>
        </w:rPr>
      </w:r>
    </w:p>
    <w:p>
      <w:pPr>
        <w:pStyle w:val="Heading2"/>
        <w:spacing w:line="240" w:lineRule="auto" w:before="69"/>
        <w:ind w:left="678" w:right="0"/>
        <w:jc w:val="both"/>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3"/>
        <w:spacing w:line="240" w:lineRule="auto" w:before="86"/>
        <w:ind w:left="678" w:right="0"/>
        <w:jc w:val="both"/>
        <w:rPr>
          <w:rFonts w:ascii="宋体" w:hAnsi="宋体" w:cs="宋体" w:eastAsia="宋体" w:hint="default"/>
          <w:b w:val="0"/>
          <w:bCs w:val="0"/>
        </w:rPr>
      </w:pPr>
      <w:r>
        <w:rPr>
          <w:rFonts w:ascii="宋体" w:hAnsi="宋体" w:cs="宋体" w:eastAsia="宋体" w:hint="default"/>
        </w:rPr>
        <w:t>2</w:t>
      </w:r>
      <w:r>
        <w:rPr/>
        <w:t>、</w:t>
      </w:r>
      <w:r>
        <w:rPr>
          <w:spacing w:val="-6"/>
        </w:rPr>
        <w:t> </w:t>
      </w:r>
      <w:r>
        <w:rPr/>
        <w:t>已在临时公告披露，但有后续实施的进展或变化的事项</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7"/>
        <w:ind w:left="678" w:right="0"/>
        <w:jc w:val="both"/>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240" w:lineRule="auto"/>
        <w:ind w:left="678" w:right="0"/>
        <w:jc w:val="both"/>
        <w:rPr>
          <w:rFonts w:ascii="宋体" w:hAnsi="宋体" w:cs="宋体" w:eastAsia="宋体" w:hint="default"/>
          <w:b w:val="0"/>
          <w:bCs w:val="0"/>
        </w:rPr>
      </w:pPr>
      <w:r>
        <w:rPr>
          <w:rFonts w:ascii="宋体" w:hAnsi="宋体" w:cs="宋体" w:eastAsia="宋体" w:hint="default"/>
        </w:rPr>
        <w:t>3</w:t>
      </w:r>
      <w:r>
        <w:rPr/>
        <w:t>、</w:t>
      </w:r>
      <w:r>
        <w:rPr>
          <w:spacing w:val="-5"/>
        </w:rPr>
        <w:t> </w:t>
      </w:r>
      <w:r>
        <w:rPr/>
        <w:t>临时公告未披露的事项</w:t>
      </w:r>
      <w:r>
        <w:rPr>
          <w:rFonts w:ascii="宋体" w:hAnsi="宋体" w:cs="宋体" w:eastAsia="宋体" w:hint="default"/>
          <w:w w:val="99"/>
        </w:rPr>
        <w:t> </w:t>
      </w:r>
      <w:r>
        <w:rPr>
          <w:rFonts w:ascii="宋体" w:hAnsi="宋体" w:cs="宋体" w:eastAsia="宋体" w:hint="default"/>
          <w:b w:val="0"/>
          <w:bCs w:val="0"/>
        </w:rPr>
      </w:r>
    </w:p>
    <w:p>
      <w:pPr>
        <w:pStyle w:val="Heading2"/>
        <w:spacing w:line="240" w:lineRule="auto" w:before="69"/>
        <w:ind w:left="678" w:right="0"/>
        <w:jc w:val="both"/>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BodyText"/>
        <w:spacing w:line="240" w:lineRule="auto" w:before="25"/>
        <w:ind w:left="678" w:right="0"/>
        <w:jc w:val="both"/>
        <w:rPr>
          <w:rFonts w:ascii="宋体" w:hAnsi="宋体" w:cs="宋体" w:eastAsia="宋体" w:hint="default"/>
        </w:rPr>
      </w:pPr>
      <w:r>
        <w:rPr>
          <w:rFonts w:ascii="宋体"/>
          <w:w w:val="100"/>
        </w:rPr>
        <w:t> </w:t>
      </w:r>
    </w:p>
    <w:p>
      <w:pPr>
        <w:pStyle w:val="Heading3"/>
        <w:spacing w:line="240" w:lineRule="auto"/>
        <w:ind w:left="678" w:right="0"/>
        <w:jc w:val="both"/>
        <w:rPr>
          <w:b w:val="0"/>
          <w:bCs w:val="0"/>
        </w:rPr>
      </w:pPr>
      <w:r>
        <w:rPr>
          <w:rFonts w:ascii="Calibri" w:hAnsi="Calibri" w:cs="Calibri" w:eastAsia="Calibri" w:hint="default"/>
        </w:rPr>
        <w:t>(</w:t>
      </w:r>
      <w:r>
        <w:rPr/>
        <w:t>四</w:t>
      </w:r>
      <w:r>
        <w:rPr>
          <w:rFonts w:ascii="Calibri" w:hAnsi="Calibri" w:cs="Calibri" w:eastAsia="Calibri" w:hint="default"/>
        </w:rPr>
        <w:t>)</w:t>
      </w:r>
      <w:r>
        <w:rPr>
          <w:rFonts w:ascii="Calibri" w:hAnsi="Calibri" w:cs="Calibri" w:eastAsia="Calibri" w:hint="default"/>
          <w:spacing w:val="32"/>
        </w:rPr>
        <w:t> </w:t>
      </w:r>
      <w:r>
        <w:rPr/>
        <w:t>关联债权债务往来</w:t>
      </w:r>
      <w:r>
        <w:rPr>
          <w:b w:val="0"/>
          <w:bCs w:val="0"/>
        </w:rPr>
      </w:r>
    </w:p>
    <w:p>
      <w:pPr>
        <w:pStyle w:val="Heading3"/>
        <w:spacing w:line="240" w:lineRule="auto" w:before="70"/>
        <w:ind w:left="678" w:right="0"/>
        <w:jc w:val="both"/>
        <w:rPr>
          <w:rFonts w:ascii="宋体" w:hAnsi="宋体" w:cs="宋体" w:eastAsia="宋体" w:hint="default"/>
          <w:b w:val="0"/>
          <w:bCs w:val="0"/>
        </w:rPr>
      </w:pPr>
      <w:r>
        <w:rPr>
          <w:rFonts w:ascii="宋体" w:hAnsi="宋体" w:cs="宋体" w:eastAsia="宋体" w:hint="default"/>
        </w:rPr>
        <w:t>1</w:t>
      </w:r>
      <w:r>
        <w:rPr/>
        <w:t>、</w:t>
      </w:r>
      <w:r>
        <w:rPr>
          <w:spacing w:val="-6"/>
        </w:rPr>
        <w:t> </w:t>
      </w:r>
      <w:r>
        <w:rPr/>
        <w:t>已在临时公告披露且后续实施无进展或变化的事项</w:t>
      </w:r>
      <w:r>
        <w:rPr>
          <w:rFonts w:ascii="宋体" w:hAnsi="宋体" w:cs="宋体" w:eastAsia="宋体" w:hint="default"/>
          <w:w w:val="99"/>
        </w:rPr>
        <w:t> </w:t>
      </w:r>
      <w:r>
        <w:rPr>
          <w:rFonts w:ascii="宋体" w:hAnsi="宋体" w:cs="宋体" w:eastAsia="宋体" w:hint="default"/>
          <w:b w:val="0"/>
          <w:bCs w:val="0"/>
        </w:rPr>
      </w:r>
    </w:p>
    <w:p>
      <w:pPr>
        <w:pStyle w:val="Heading2"/>
        <w:spacing w:line="240" w:lineRule="auto" w:before="69"/>
        <w:ind w:left="678" w:right="0"/>
        <w:jc w:val="both"/>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after="0" w:line="240" w:lineRule="auto"/>
        <w:jc w:val="both"/>
        <w:rPr>
          <w:rFonts w:ascii="宋体" w:hAnsi="宋体" w:cs="宋体" w:eastAsia="宋体" w:hint="default"/>
        </w:rPr>
        <w:sectPr>
          <w:footerReference w:type="default" r:id="rId36"/>
          <w:pgSz w:w="11910" w:h="16840"/>
          <w:pgMar w:footer="974" w:header="747" w:top="1140" w:bottom="1160" w:left="1120" w:right="920"/>
          <w:pgNumType w:start="51"/>
        </w:sectPr>
      </w:pPr>
    </w:p>
    <w:p>
      <w:pPr>
        <w:spacing w:line="240" w:lineRule="auto" w:before="9"/>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747" w:footer="974" w:top="1140" w:bottom="1160" w:left="1580" w:right="1060"/>
        </w:sectPr>
      </w:pPr>
    </w:p>
    <w:p>
      <w:pPr>
        <w:pStyle w:val="Heading3"/>
        <w:spacing w:line="240" w:lineRule="auto" w:before="36"/>
        <w:ind w:right="0"/>
        <w:jc w:val="left"/>
        <w:rPr>
          <w:rFonts w:ascii="宋体" w:hAnsi="宋体" w:cs="宋体" w:eastAsia="宋体" w:hint="default"/>
          <w:b w:val="0"/>
          <w:bCs w:val="0"/>
        </w:rPr>
      </w:pPr>
      <w:r>
        <w:rPr>
          <w:rFonts w:ascii="宋体" w:hAnsi="宋体" w:cs="宋体" w:eastAsia="宋体" w:hint="default"/>
        </w:rPr>
        <w:t>2</w:t>
      </w:r>
      <w:r>
        <w:rPr/>
        <w:t>、</w:t>
      </w:r>
      <w:r>
        <w:rPr>
          <w:spacing w:val="-6"/>
        </w:rPr>
        <w:t> </w:t>
      </w:r>
      <w:r>
        <w:rPr/>
        <w:t>已在临时公告披露，但有后续实施的进展或变化的事项</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7"/>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240" w:lineRule="auto"/>
        <w:ind w:right="0"/>
        <w:jc w:val="left"/>
        <w:rPr>
          <w:rFonts w:ascii="宋体" w:hAnsi="宋体" w:cs="宋体" w:eastAsia="宋体" w:hint="default"/>
          <w:b w:val="0"/>
          <w:bCs w:val="0"/>
        </w:rPr>
      </w:pPr>
      <w:r>
        <w:rPr>
          <w:rFonts w:ascii="宋体" w:hAnsi="宋体" w:cs="宋体" w:eastAsia="宋体" w:hint="default"/>
        </w:rPr>
        <w:t>3</w:t>
      </w:r>
      <w:r>
        <w:rPr/>
        <w:t>、</w:t>
      </w:r>
      <w:r>
        <w:rPr>
          <w:spacing w:val="-5"/>
        </w:rPr>
        <w:t> </w:t>
      </w:r>
      <w:r>
        <w:rPr/>
        <w:t>临时公告未披露的事项</w:t>
      </w:r>
      <w:r>
        <w:rPr>
          <w:rFonts w:ascii="宋体" w:hAnsi="宋体" w:cs="宋体" w:eastAsia="宋体" w:hint="default"/>
          <w:w w:val="99"/>
        </w:rPr>
        <w:t> </w:t>
      </w:r>
      <w:r>
        <w:rPr>
          <w:rFonts w:ascii="宋体" w:hAnsi="宋体" w:cs="宋体" w:eastAsia="宋体" w:hint="default"/>
          <w:b w:val="0"/>
          <w:bCs w:val="0"/>
        </w:rPr>
      </w:r>
    </w:p>
    <w:p>
      <w:pPr>
        <w:pStyle w:val="Heading2"/>
        <w:spacing w:line="313" w:lineRule="exact" w:before="69"/>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2"/>
        <w:spacing w:line="313" w:lineRule="exact"/>
        <w:ind w:right="0"/>
        <w:jc w:val="left"/>
        <w:rPr>
          <w:rFonts w:ascii="宋体" w:hAnsi="宋体" w:cs="宋体" w:eastAsia="宋体" w:hint="default"/>
        </w:rPr>
      </w:pPr>
      <w:r>
        <w:rPr>
          <w:rFonts w:ascii="宋体"/>
        </w:rPr>
        <w:t> </w:t>
      </w:r>
    </w:p>
    <w:p>
      <w:pPr>
        <w:pStyle w:val="Heading3"/>
        <w:spacing w:line="240" w:lineRule="auto" w:before="85"/>
        <w:ind w:right="0"/>
        <w:jc w:val="left"/>
        <w:rPr>
          <w:b w:val="0"/>
          <w:bCs w:val="0"/>
        </w:rPr>
      </w:pPr>
      <w:r>
        <w:rPr>
          <w:rFonts w:ascii="Calibri" w:hAnsi="Calibri" w:cs="Calibri" w:eastAsia="Calibri" w:hint="default"/>
        </w:rPr>
        <w:t>(</w:t>
      </w:r>
      <w:r>
        <w:rPr/>
        <w:t>五</w:t>
      </w:r>
      <w:r>
        <w:rPr>
          <w:rFonts w:ascii="Calibri" w:hAnsi="Calibri" w:cs="Calibri" w:eastAsia="Calibri" w:hint="default"/>
        </w:rPr>
        <w:t>)</w:t>
      </w:r>
      <w:r>
        <w:rPr>
          <w:rFonts w:ascii="Calibri" w:hAnsi="Calibri" w:cs="Calibri" w:eastAsia="Calibri" w:hint="default"/>
          <w:spacing w:val="30"/>
        </w:rPr>
        <w:t> </w:t>
      </w:r>
      <w:r>
        <w:rPr/>
        <w:t>其他</w:t>
      </w:r>
      <w:r>
        <w:rPr>
          <w:b w:val="0"/>
          <w:bCs w:val="0"/>
        </w:rPr>
      </w:r>
    </w:p>
    <w:p>
      <w:pPr>
        <w:pStyle w:val="BodyText"/>
        <w:spacing w:line="240" w:lineRule="auto" w:before="70"/>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3"/>
        <w:tabs>
          <w:tab w:pos="1057" w:val="left" w:leader="none"/>
        </w:tabs>
        <w:spacing w:line="324" w:lineRule="auto" w:before="37"/>
        <w:ind w:right="2634"/>
        <w:jc w:val="left"/>
        <w:rPr>
          <w:rFonts w:ascii="宋体" w:hAnsi="宋体" w:cs="宋体" w:eastAsia="宋体" w:hint="default"/>
          <w:b w:val="0"/>
          <w:bCs w:val="0"/>
        </w:rPr>
      </w:pPr>
      <w:r>
        <w:rPr>
          <w:rFonts w:ascii="宋体" w:hAnsi="宋体" w:cs="宋体" w:eastAsia="宋体" w:hint="default"/>
          <w:b w:val="0"/>
          <w:bCs w:val="0"/>
          <w:w w:val="100"/>
        </w:rPr>
        <w:t>  </w:t>
      </w:r>
      <w:r>
        <w:rPr>
          <w:w w:val="100"/>
        </w:rPr>
        <w:t>十五</w:t>
      </w:r>
      <w:r>
        <w:rPr>
          <w:spacing w:val="-1"/>
          <w:w w:val="100"/>
        </w:rPr>
        <w:t>、</w:t>
      </w:r>
      <w:r>
        <w:rPr>
          <w:w w:val="100"/>
        </w:rPr>
        <w:t>重大合同及其履行</w:t>
      </w:r>
      <w:r>
        <w:rPr>
          <w:spacing w:val="-3"/>
          <w:w w:val="100"/>
        </w:rPr>
        <w:t>情</w:t>
      </w:r>
      <w:r>
        <w:rPr>
          <w:w w:val="100"/>
        </w:rPr>
        <w:t>况</w:t>
      </w:r>
      <w:r>
        <w:rPr>
          <w:w w:val="100"/>
        </w:rPr>
        <w:t> </w:t>
      </w:r>
      <w:r>
        <w:rPr>
          <w:rFonts w:ascii="宋体" w:hAnsi="宋体" w:cs="宋体" w:eastAsia="宋体" w:hint="default"/>
        </w:rPr>
        <w:t>(</w:t>
      </w:r>
      <w:r>
        <w:rPr/>
        <w:t>一</w:t>
      </w:r>
      <w:r>
        <w:rPr>
          <w:rFonts w:ascii="宋体" w:hAnsi="宋体" w:cs="宋体" w:eastAsia="宋体" w:hint="default"/>
        </w:rPr>
        <w:t>)</w:t>
        <w:tab/>
      </w:r>
      <w:r>
        <w:rPr/>
        <w:t>托管、承包、租赁事项              </w:t>
      </w:r>
      <w:r>
        <w:rPr>
          <w:spacing w:val="99"/>
        </w:rPr>
        <w:t> </w:t>
      </w:r>
      <w:r>
        <w:rPr>
          <w:spacing w:val="99"/>
        </w:rPr>
      </w:r>
      <w:r>
        <w:rPr>
          <w:rFonts w:ascii="宋体" w:hAnsi="宋体" w:cs="宋体" w:eastAsia="宋体" w:hint="default"/>
          <w:w w:val="99"/>
        </w:rPr>
        <w:t>1</w:t>
      </w:r>
      <w:r>
        <w:rPr>
          <w:w w:val="100"/>
        </w:rPr>
        <w:t>、</w:t>
      </w:r>
      <w:r>
        <w:rPr>
          <w:spacing w:val="-3"/>
        </w:rPr>
        <w:t> </w:t>
      </w:r>
      <w:r>
        <w:rPr>
          <w:w w:val="100"/>
        </w:rPr>
        <w:t>托管情</w:t>
      </w:r>
      <w:r>
        <w:rPr>
          <w:spacing w:val="-3"/>
          <w:w w:val="100"/>
        </w:rPr>
        <w:t>况</w:t>
      </w:r>
      <w:r>
        <w:rPr>
          <w:rFonts w:ascii="宋体" w:hAnsi="宋体" w:cs="宋体" w:eastAsia="宋体" w:hint="default"/>
          <w:w w:val="99"/>
        </w:rPr>
        <w:t> </w:t>
      </w:r>
      <w:r>
        <w:rPr>
          <w:rFonts w:ascii="宋体" w:hAnsi="宋体" w:cs="宋体" w:eastAsia="宋体" w:hint="default"/>
          <w:b w:val="0"/>
          <w:bCs w:val="0"/>
        </w:rPr>
      </w:r>
    </w:p>
    <w:p>
      <w:pPr>
        <w:pStyle w:val="Heading2"/>
        <w:spacing w:line="310" w:lineRule="exact"/>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3"/>
        <w:spacing w:line="240" w:lineRule="auto" w:before="85"/>
        <w:ind w:right="0"/>
        <w:jc w:val="left"/>
        <w:rPr>
          <w:rFonts w:ascii="宋体" w:hAnsi="宋体" w:cs="宋体" w:eastAsia="宋体" w:hint="default"/>
          <w:b w:val="0"/>
          <w:bCs w:val="0"/>
        </w:rPr>
      </w:pPr>
      <w:r>
        <w:rPr>
          <w:rFonts w:ascii="宋体" w:hAnsi="宋体" w:cs="宋体" w:eastAsia="宋体" w:hint="default"/>
        </w:rPr>
        <w:t>2</w:t>
      </w:r>
      <w:r>
        <w:rPr/>
        <w:t>、</w:t>
      </w:r>
      <w:r>
        <w:rPr>
          <w:spacing w:val="-5"/>
        </w:rPr>
        <w:t> </w:t>
      </w:r>
      <w:r>
        <w:rPr/>
        <w:t>承包情况</w:t>
      </w:r>
      <w:r>
        <w:rPr>
          <w:rFonts w:ascii="宋体" w:hAnsi="宋体" w:cs="宋体" w:eastAsia="宋体" w:hint="default"/>
          <w:w w:val="99"/>
        </w:rPr>
        <w:t> </w:t>
      </w:r>
      <w:r>
        <w:rPr>
          <w:rFonts w:ascii="宋体" w:hAnsi="宋体" w:cs="宋体" w:eastAsia="宋体" w:hint="default"/>
          <w:b w:val="0"/>
          <w:bCs w:val="0"/>
        </w:rPr>
      </w:r>
    </w:p>
    <w:p>
      <w:pPr>
        <w:pStyle w:val="Heading2"/>
        <w:spacing w:line="240" w:lineRule="auto" w:before="69"/>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3"/>
        <w:spacing w:line="240" w:lineRule="auto" w:before="85"/>
        <w:ind w:right="0"/>
        <w:jc w:val="left"/>
        <w:rPr>
          <w:rFonts w:ascii="宋体" w:hAnsi="宋体" w:cs="宋体" w:eastAsia="宋体" w:hint="default"/>
          <w:b w:val="0"/>
          <w:bCs w:val="0"/>
        </w:rPr>
      </w:pPr>
      <w:r>
        <w:rPr>
          <w:rFonts w:ascii="宋体" w:hAnsi="宋体" w:cs="宋体" w:eastAsia="宋体" w:hint="default"/>
        </w:rPr>
        <w:t>3</w:t>
      </w:r>
      <w:r>
        <w:rPr/>
        <w:t>、</w:t>
      </w:r>
      <w:r>
        <w:rPr>
          <w:spacing w:val="-5"/>
        </w:rPr>
        <w:t> </w:t>
      </w:r>
      <w:r>
        <w:rPr/>
        <w:t>租赁情况</w:t>
      </w:r>
      <w:r>
        <w:rPr>
          <w:rFonts w:ascii="宋体" w:hAnsi="宋体" w:cs="宋体" w:eastAsia="宋体" w:hint="default"/>
          <w:w w:val="99"/>
        </w:rPr>
        <w:t> </w:t>
      </w:r>
      <w:r>
        <w:rPr>
          <w:rFonts w:ascii="宋体" w:hAnsi="宋体" w:cs="宋体" w:eastAsia="宋体" w:hint="default"/>
          <w:b w:val="0"/>
          <w:bCs w:val="0"/>
        </w:rPr>
      </w:r>
    </w:p>
    <w:p>
      <w:pPr>
        <w:pStyle w:val="Heading2"/>
        <w:spacing w:line="240" w:lineRule="auto" w:before="69"/>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BodyText"/>
        <w:spacing w:line="240" w:lineRule="auto" w:before="25"/>
        <w:ind w:right="0"/>
        <w:jc w:val="left"/>
        <w:rPr>
          <w:rFonts w:ascii="宋体" w:hAnsi="宋体" w:cs="宋体" w:eastAsia="宋体" w:hint="default"/>
        </w:rPr>
      </w:pPr>
      <w:r>
        <w:rPr>
          <w:rFonts w:ascii="宋体"/>
          <w:w w:val="100"/>
        </w:rPr>
        <w:t> </w:t>
      </w:r>
    </w:p>
    <w:p>
      <w:pPr>
        <w:pStyle w:val="Heading3"/>
        <w:tabs>
          <w:tab w:pos="1057" w:val="left" w:leader="none"/>
        </w:tabs>
        <w:spacing w:line="240" w:lineRule="auto"/>
        <w:ind w:right="0"/>
        <w:jc w:val="left"/>
        <w:rPr>
          <w:b w:val="0"/>
          <w:bCs w:val="0"/>
        </w:rPr>
      </w:pPr>
      <w:bookmarkStart w:name="OLE_LINK2" w:id="6"/>
      <w:bookmarkEnd w:id="6"/>
      <w:r>
        <w:rPr>
          <w:b w:val="0"/>
          <w:bCs w:val="0"/>
        </w:rPr>
      </w:r>
      <w:bookmarkStart w:name="OLE_LINK3" w:id="7"/>
      <w:bookmarkEnd w:id="7"/>
      <w:r>
        <w:rPr>
          <w:b w:val="0"/>
          <w:bCs w:val="0"/>
        </w:rPr>
      </w:r>
      <w:r>
        <w:rPr>
          <w:rFonts w:ascii="宋体" w:hAnsi="宋体" w:cs="宋体" w:eastAsia="宋体" w:hint="default"/>
          <w:spacing w:val="-1"/>
        </w:rPr>
        <w:t>(</w:t>
      </w:r>
      <w:r>
        <w:rPr>
          <w:spacing w:val="-1"/>
        </w:rPr>
        <w:t>二</w:t>
      </w:r>
      <w:r>
        <w:rPr>
          <w:rFonts w:ascii="宋体" w:hAnsi="宋体" w:cs="宋体" w:eastAsia="宋体" w:hint="default"/>
          <w:spacing w:val="-1"/>
        </w:rPr>
        <w:t>)</w:t>
        <w:tab/>
      </w:r>
      <w:r>
        <w:rPr/>
        <w:t>担保情况</w:t>
      </w:r>
      <w:r>
        <w:rPr>
          <w:b w:val="0"/>
          <w:bCs w:val="0"/>
        </w:rPr>
      </w:r>
    </w:p>
    <w:p>
      <w:pPr>
        <w:pStyle w:val="BodyText"/>
        <w:spacing w:line="240" w:lineRule="auto" w:before="97"/>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4"/>
          <w:szCs w:val="24"/>
        </w:rPr>
      </w:pPr>
    </w:p>
    <w:p>
      <w:pPr>
        <w:pStyle w:val="BodyText"/>
        <w:spacing w:line="240" w:lineRule="auto"/>
        <w:ind w:right="0"/>
        <w:jc w:val="left"/>
        <w:rPr>
          <w:rFonts w:ascii="宋体" w:hAnsi="宋体" w:cs="宋体" w:eastAsia="宋体" w:hint="default"/>
        </w:rPr>
      </w:pPr>
      <w:r>
        <w:rPr/>
        <w:t>单位</w:t>
      </w:r>
      <w:r>
        <w:rPr>
          <w:rFonts w:ascii="宋体" w:hAnsi="宋体" w:cs="宋体" w:eastAsia="宋体" w:hint="default"/>
        </w:rPr>
        <w:t>:</w:t>
      </w:r>
      <w:r>
        <w:rPr/>
        <w:t>万元币种</w:t>
      </w:r>
      <w:r>
        <w:rPr>
          <w:rFonts w:ascii="宋体" w:hAnsi="宋体" w:cs="宋体" w:eastAsia="宋体" w:hint="default"/>
        </w:rPr>
        <w:t>:</w:t>
      </w:r>
      <w:r>
        <w:rPr/>
        <w:t>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580" w:bottom="280" w:left="1580" w:right="1060"/>
          <w:cols w:num="2" w:equalWidth="0">
            <w:col w:w="5804" w:space="929"/>
            <w:col w:w="2537"/>
          </w:cols>
        </w:sectPr>
      </w:pPr>
    </w:p>
    <w:p>
      <w:pPr>
        <w:spacing w:line="240" w:lineRule="auto" w:before="10"/>
        <w:rPr>
          <w:rFonts w:ascii="宋体" w:hAnsi="宋体" w:cs="宋体" w:eastAsia="宋体" w:hint="default"/>
          <w:sz w:val="3"/>
          <w:szCs w:val="3"/>
        </w:rPr>
      </w:pPr>
    </w:p>
    <w:tbl>
      <w:tblPr>
        <w:tblW w:w="0" w:type="auto"/>
        <w:jc w:val="left"/>
        <w:tblInd w:w="182" w:type="dxa"/>
        <w:tblLayout w:type="fixed"/>
        <w:tblCellMar>
          <w:top w:w="0" w:type="dxa"/>
          <w:left w:w="0" w:type="dxa"/>
          <w:bottom w:w="0" w:type="dxa"/>
          <w:right w:w="0" w:type="dxa"/>
        </w:tblCellMar>
        <w:tblLook w:val="01E0"/>
      </w:tblPr>
      <w:tblGrid>
        <w:gridCol w:w="619"/>
        <w:gridCol w:w="626"/>
        <w:gridCol w:w="626"/>
        <w:gridCol w:w="701"/>
        <w:gridCol w:w="626"/>
        <w:gridCol w:w="624"/>
        <w:gridCol w:w="624"/>
        <w:gridCol w:w="624"/>
        <w:gridCol w:w="626"/>
        <w:gridCol w:w="626"/>
        <w:gridCol w:w="698"/>
        <w:gridCol w:w="627"/>
        <w:gridCol w:w="626"/>
        <w:gridCol w:w="619"/>
      </w:tblGrid>
      <w:tr>
        <w:trPr>
          <w:trHeight w:val="324" w:hRule="exact"/>
        </w:trPr>
        <w:tc>
          <w:tcPr>
            <w:tcW w:w="8896" w:type="dxa"/>
            <w:gridSpan w:val="14"/>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340" w:right="0"/>
              <w:jc w:val="left"/>
              <w:rPr>
                <w:rFonts w:ascii="宋体" w:hAnsi="宋体" w:cs="宋体" w:eastAsia="宋体" w:hint="default"/>
                <w:sz w:val="21"/>
                <w:szCs w:val="21"/>
              </w:rPr>
            </w:pPr>
            <w:r>
              <w:rPr>
                <w:rFonts w:ascii="宋体" w:hAnsi="宋体" w:cs="宋体" w:eastAsia="宋体" w:hint="default"/>
                <w:sz w:val="21"/>
                <w:szCs w:val="21"/>
              </w:rPr>
              <w:t>公司对外担保情况（不包括对子公司的担保）</w:t>
            </w:r>
            <w:r>
              <w:rPr>
                <w:rFonts w:ascii="宋体" w:hAnsi="宋体" w:cs="宋体" w:eastAsia="宋体" w:hint="default"/>
                <w:sz w:val="21"/>
                <w:szCs w:val="21"/>
              </w:rPr>
              <w:t> </w:t>
            </w:r>
          </w:p>
        </w:tc>
      </w:tr>
      <w:tr>
        <w:trPr>
          <w:trHeight w:val="1882" w:hRule="exact"/>
        </w:trPr>
        <w:tc>
          <w:tcPr>
            <w:tcW w:w="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73" w:lineRule="auto"/>
              <w:ind w:left="199" w:right="91" w:hanging="106"/>
              <w:jc w:val="left"/>
              <w:rPr>
                <w:rFonts w:ascii="宋体" w:hAnsi="宋体" w:cs="宋体" w:eastAsia="宋体" w:hint="default"/>
                <w:sz w:val="21"/>
                <w:szCs w:val="21"/>
              </w:rPr>
            </w:pPr>
            <w:r>
              <w:rPr>
                <w:rFonts w:ascii="宋体" w:hAnsi="宋体" w:cs="宋体" w:eastAsia="宋体" w:hint="default"/>
                <w:sz w:val="21"/>
                <w:szCs w:val="21"/>
              </w:rPr>
              <w:t>担保</w:t>
            </w:r>
            <w:r>
              <w:rPr>
                <w:rFonts w:ascii="宋体" w:hAnsi="宋体" w:cs="宋体" w:eastAsia="宋体" w:hint="default"/>
                <w:spacing w:val="-103"/>
                <w:sz w:val="21"/>
                <w:szCs w:val="21"/>
              </w:rPr>
              <w:t> </w:t>
            </w:r>
            <w:r>
              <w:rPr>
                <w:rFonts w:ascii="宋体" w:hAnsi="宋体" w:cs="宋体" w:eastAsia="宋体" w:hint="default"/>
                <w:sz w:val="21"/>
                <w:szCs w:val="21"/>
              </w:rPr>
              <w:t>方</w:t>
            </w:r>
            <w:r>
              <w:rPr>
                <w:rFonts w:ascii="宋体" w:hAnsi="宋体" w:cs="宋体" w:eastAsia="宋体" w:hint="default"/>
                <w:sz w:val="21"/>
                <w:szCs w:val="21"/>
              </w:rPr>
              <w:t> </w:t>
            </w:r>
          </w:p>
        </w:tc>
        <w:tc>
          <w:tcPr>
            <w:tcW w:w="62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95" w:right="96"/>
              <w:jc w:val="both"/>
              <w:rPr>
                <w:rFonts w:ascii="宋体" w:hAnsi="宋体" w:cs="宋体" w:eastAsia="宋体" w:hint="default"/>
                <w:sz w:val="21"/>
                <w:szCs w:val="21"/>
              </w:rPr>
            </w:pPr>
            <w:r>
              <w:rPr>
                <w:rFonts w:ascii="宋体" w:hAnsi="宋体" w:cs="宋体" w:eastAsia="宋体" w:hint="default"/>
                <w:sz w:val="21"/>
                <w:szCs w:val="21"/>
              </w:rPr>
              <w:t>担保</w:t>
            </w:r>
            <w:r>
              <w:rPr>
                <w:rFonts w:ascii="宋体" w:hAnsi="宋体" w:cs="宋体" w:eastAsia="宋体" w:hint="default"/>
                <w:spacing w:val="-103"/>
                <w:sz w:val="21"/>
                <w:szCs w:val="21"/>
              </w:rPr>
              <w:t> </w:t>
            </w:r>
            <w:r>
              <w:rPr>
                <w:rFonts w:ascii="宋体" w:hAnsi="宋体" w:cs="宋体" w:eastAsia="宋体" w:hint="default"/>
                <w:sz w:val="21"/>
                <w:szCs w:val="21"/>
              </w:rPr>
              <w:t>方与</w:t>
            </w:r>
            <w:r>
              <w:rPr>
                <w:rFonts w:ascii="宋体" w:hAnsi="宋体" w:cs="宋体" w:eastAsia="宋体" w:hint="default"/>
                <w:spacing w:val="-103"/>
                <w:sz w:val="21"/>
                <w:szCs w:val="21"/>
              </w:rPr>
              <w:t> </w:t>
            </w:r>
            <w:r>
              <w:rPr>
                <w:rFonts w:ascii="宋体" w:hAnsi="宋体" w:cs="宋体" w:eastAsia="宋体" w:hint="default"/>
                <w:sz w:val="21"/>
                <w:szCs w:val="21"/>
              </w:rPr>
              <w:t>上市</w:t>
            </w:r>
            <w:r>
              <w:rPr>
                <w:rFonts w:ascii="宋体" w:hAnsi="宋体" w:cs="宋体" w:eastAsia="宋体" w:hint="default"/>
                <w:spacing w:val="-103"/>
                <w:sz w:val="21"/>
                <w:szCs w:val="21"/>
              </w:rPr>
              <w:t> </w:t>
            </w:r>
            <w:r>
              <w:rPr>
                <w:rFonts w:ascii="宋体" w:hAnsi="宋体" w:cs="宋体" w:eastAsia="宋体" w:hint="default"/>
                <w:sz w:val="21"/>
                <w:szCs w:val="21"/>
              </w:rPr>
              <w:t>公司</w:t>
            </w:r>
            <w:r>
              <w:rPr>
                <w:rFonts w:ascii="宋体" w:hAnsi="宋体" w:cs="宋体" w:eastAsia="宋体" w:hint="default"/>
                <w:spacing w:val="-103"/>
                <w:sz w:val="21"/>
                <w:szCs w:val="21"/>
              </w:rPr>
              <w:t> </w:t>
            </w:r>
            <w:r>
              <w:rPr>
                <w:rFonts w:ascii="宋体" w:hAnsi="宋体" w:cs="宋体" w:eastAsia="宋体" w:hint="default"/>
                <w:sz w:val="21"/>
                <w:szCs w:val="21"/>
              </w:rPr>
              <w:t>的关</w:t>
            </w:r>
            <w:r>
              <w:rPr>
                <w:rFonts w:ascii="宋体" w:hAnsi="宋体" w:cs="宋体" w:eastAsia="宋体" w:hint="default"/>
                <w:spacing w:val="-103"/>
                <w:sz w:val="21"/>
                <w:szCs w:val="21"/>
              </w:rPr>
              <w:t> </w:t>
            </w:r>
            <w:r>
              <w:rPr>
                <w:rFonts w:ascii="宋体" w:hAnsi="宋体" w:cs="宋体" w:eastAsia="宋体" w:hint="default"/>
                <w:sz w:val="21"/>
                <w:szCs w:val="21"/>
              </w:rPr>
              <w:t>系</w:t>
            </w:r>
            <w:r>
              <w:rPr>
                <w:rFonts w:ascii="宋体" w:hAnsi="宋体" w:cs="宋体" w:eastAsia="宋体" w:hint="default"/>
                <w:sz w:val="21"/>
                <w:szCs w:val="21"/>
              </w:rPr>
              <w:t> </w:t>
            </w:r>
          </w:p>
        </w:tc>
        <w:tc>
          <w:tcPr>
            <w:tcW w:w="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73" w:lineRule="auto"/>
              <w:ind w:left="95" w:right="-5"/>
              <w:jc w:val="left"/>
              <w:rPr>
                <w:rFonts w:ascii="宋体" w:hAnsi="宋体" w:cs="宋体" w:eastAsia="宋体" w:hint="default"/>
                <w:sz w:val="21"/>
                <w:szCs w:val="21"/>
              </w:rPr>
            </w:pPr>
            <w:r>
              <w:rPr>
                <w:rFonts w:ascii="宋体" w:hAnsi="宋体" w:cs="宋体" w:eastAsia="宋体" w:hint="default"/>
                <w:sz w:val="21"/>
                <w:szCs w:val="21"/>
              </w:rPr>
              <w:t>被担</w:t>
            </w:r>
            <w:r>
              <w:rPr>
                <w:rFonts w:ascii="宋体" w:hAnsi="宋体" w:cs="宋体" w:eastAsia="宋体" w:hint="default"/>
                <w:spacing w:val="-103"/>
                <w:sz w:val="21"/>
                <w:szCs w:val="21"/>
              </w:rPr>
              <w:t> </w:t>
            </w:r>
            <w:r>
              <w:rPr>
                <w:rFonts w:ascii="宋体" w:hAnsi="宋体" w:cs="宋体" w:eastAsia="宋体" w:hint="default"/>
                <w:sz w:val="21"/>
                <w:szCs w:val="21"/>
              </w:rPr>
              <w:t>保方</w:t>
            </w:r>
            <w:r>
              <w:rPr>
                <w:rFonts w:ascii="宋体" w:hAnsi="宋体" w:cs="宋体" w:eastAsia="宋体" w:hint="default"/>
                <w:sz w:val="21"/>
                <w:szCs w:val="21"/>
              </w:rPr>
              <w:t> </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73" w:lineRule="auto"/>
              <w:ind w:left="238" w:right="27" w:hanging="210"/>
              <w:jc w:val="left"/>
              <w:rPr>
                <w:rFonts w:ascii="宋体" w:hAnsi="宋体" w:cs="宋体" w:eastAsia="宋体" w:hint="default"/>
                <w:sz w:val="21"/>
                <w:szCs w:val="21"/>
              </w:rPr>
            </w:pPr>
            <w:r>
              <w:rPr>
                <w:rFonts w:ascii="宋体" w:hAnsi="宋体" w:cs="宋体" w:eastAsia="宋体" w:hint="default"/>
                <w:sz w:val="21"/>
                <w:szCs w:val="21"/>
              </w:rPr>
              <w:t>担保金</w:t>
            </w:r>
            <w:r>
              <w:rPr>
                <w:rFonts w:ascii="宋体" w:hAnsi="宋体" w:cs="宋体" w:eastAsia="宋体" w:hint="default"/>
                <w:spacing w:val="-102"/>
                <w:sz w:val="21"/>
                <w:szCs w:val="21"/>
              </w:rPr>
              <w:t> </w:t>
            </w:r>
            <w:r>
              <w:rPr>
                <w:rFonts w:ascii="宋体" w:hAnsi="宋体" w:cs="宋体" w:eastAsia="宋体" w:hint="default"/>
                <w:sz w:val="21"/>
                <w:szCs w:val="21"/>
              </w:rPr>
              <w:t>额</w:t>
            </w:r>
            <w:r>
              <w:rPr>
                <w:rFonts w:ascii="宋体" w:hAnsi="宋体" w:cs="宋体" w:eastAsia="宋体" w:hint="default"/>
                <w:sz w:val="21"/>
                <w:szCs w:val="21"/>
              </w:rPr>
              <w:t> </w:t>
            </w:r>
          </w:p>
        </w:tc>
        <w:tc>
          <w:tcPr>
            <w:tcW w:w="62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43" w:right="43" w:firstLine="52"/>
              <w:jc w:val="both"/>
              <w:rPr>
                <w:rFonts w:ascii="宋体" w:hAnsi="宋体" w:cs="宋体" w:eastAsia="宋体" w:hint="default"/>
                <w:sz w:val="21"/>
                <w:szCs w:val="21"/>
              </w:rPr>
            </w:pPr>
            <w:r>
              <w:rPr>
                <w:rFonts w:ascii="宋体" w:hAnsi="宋体" w:cs="宋体" w:eastAsia="宋体" w:hint="default"/>
                <w:sz w:val="21"/>
                <w:szCs w:val="21"/>
              </w:rPr>
              <w:t>担保</w:t>
            </w:r>
            <w:r>
              <w:rPr>
                <w:rFonts w:ascii="宋体" w:hAnsi="宋体" w:cs="宋体" w:eastAsia="宋体" w:hint="default"/>
                <w:w w:val="100"/>
                <w:sz w:val="21"/>
                <w:szCs w:val="21"/>
              </w:rPr>
              <w:t> </w:t>
            </w:r>
            <w:r>
              <w:rPr>
                <w:rFonts w:ascii="宋体" w:hAnsi="宋体" w:cs="宋体" w:eastAsia="宋体" w:hint="default"/>
                <w:sz w:val="21"/>
                <w:szCs w:val="21"/>
              </w:rPr>
              <w:t>发生</w:t>
            </w:r>
            <w:r>
              <w:rPr>
                <w:rFonts w:ascii="宋体" w:hAnsi="宋体" w:cs="宋体" w:eastAsia="宋体" w:hint="default"/>
                <w:spacing w:val="-103"/>
                <w:sz w:val="21"/>
                <w:szCs w:val="21"/>
              </w:rPr>
              <w:t> </w:t>
            </w:r>
            <w:r>
              <w:rPr>
                <w:rFonts w:ascii="宋体" w:hAnsi="宋体" w:cs="宋体" w:eastAsia="宋体" w:hint="default"/>
                <w:sz w:val="21"/>
                <w:szCs w:val="21"/>
              </w:rPr>
              <w:t>日期</w:t>
            </w:r>
            <w:r>
              <w:rPr>
                <w:rFonts w:ascii="宋体" w:hAnsi="宋体" w:cs="宋体" w:eastAsia="宋体" w:hint="default"/>
                <w:spacing w:val="-103"/>
                <w:sz w:val="21"/>
                <w:szCs w:val="21"/>
              </w:rPr>
              <w:t> </w:t>
            </w:r>
            <w:r>
              <w:rPr>
                <w:rFonts w:ascii="宋体" w:hAnsi="宋体" w:cs="宋体" w:eastAsia="宋体" w:hint="default"/>
                <w:sz w:val="21"/>
                <w:szCs w:val="21"/>
              </w:rPr>
              <w:t>(</w:t>
            </w:r>
            <w:r>
              <w:rPr>
                <w:rFonts w:ascii="宋体" w:hAnsi="宋体" w:cs="宋体" w:eastAsia="宋体" w:hint="default"/>
                <w:sz w:val="21"/>
                <w:szCs w:val="21"/>
              </w:rPr>
              <w:t>协议</w:t>
            </w:r>
            <w:r>
              <w:rPr>
                <w:rFonts w:ascii="宋体" w:hAnsi="宋体" w:cs="宋体" w:eastAsia="宋体" w:hint="default"/>
                <w:spacing w:val="-102"/>
                <w:sz w:val="21"/>
                <w:szCs w:val="21"/>
              </w:rPr>
              <w:t> </w:t>
            </w:r>
            <w:r>
              <w:rPr>
                <w:rFonts w:ascii="宋体" w:hAnsi="宋体" w:cs="宋体" w:eastAsia="宋体" w:hint="default"/>
                <w:sz w:val="21"/>
                <w:szCs w:val="21"/>
              </w:rPr>
              <w:t>签署</w:t>
            </w:r>
            <w:r>
              <w:rPr>
                <w:rFonts w:ascii="宋体" w:hAnsi="宋体" w:cs="宋体" w:eastAsia="宋体" w:hint="default"/>
                <w:spacing w:val="-103"/>
                <w:sz w:val="21"/>
                <w:szCs w:val="21"/>
              </w:rPr>
              <w:t> </w:t>
            </w:r>
            <w:r>
              <w:rPr>
                <w:rFonts w:ascii="宋体" w:hAnsi="宋体" w:cs="宋体" w:eastAsia="宋体" w:hint="default"/>
                <w:sz w:val="21"/>
                <w:szCs w:val="21"/>
              </w:rPr>
              <w:t>日</w:t>
            </w:r>
            <w:r>
              <w:rPr>
                <w:rFonts w:ascii="宋体" w:hAnsi="宋体" w:cs="宋体" w:eastAsia="宋体" w:hint="default"/>
                <w:sz w:val="21"/>
                <w:szCs w:val="21"/>
              </w:rPr>
              <w:t>) </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73" w:lineRule="auto"/>
              <w:ind w:left="95" w:right="-8"/>
              <w:jc w:val="center"/>
              <w:rPr>
                <w:rFonts w:ascii="宋体" w:hAnsi="宋体" w:cs="宋体" w:eastAsia="宋体" w:hint="default"/>
                <w:sz w:val="21"/>
                <w:szCs w:val="21"/>
              </w:rPr>
            </w:pPr>
            <w:r>
              <w:rPr>
                <w:rFonts w:ascii="宋体" w:hAnsi="宋体" w:cs="宋体" w:eastAsia="宋体" w:hint="default"/>
                <w:sz w:val="21"/>
                <w:szCs w:val="21"/>
              </w:rPr>
              <w:t>担保</w:t>
            </w:r>
            <w:r>
              <w:rPr>
                <w:rFonts w:ascii="宋体" w:hAnsi="宋体" w:cs="宋体" w:eastAsia="宋体" w:hint="default"/>
                <w:w w:val="100"/>
                <w:sz w:val="21"/>
                <w:szCs w:val="21"/>
              </w:rPr>
              <w:t> </w:t>
            </w:r>
            <w:r>
              <w:rPr>
                <w:rFonts w:ascii="宋体" w:hAnsi="宋体" w:cs="宋体" w:eastAsia="宋体" w:hint="default"/>
                <w:sz w:val="21"/>
                <w:szCs w:val="21"/>
              </w:rPr>
              <w:t>起始</w:t>
            </w:r>
            <w:r>
              <w:rPr>
                <w:rFonts w:ascii="宋体" w:hAnsi="宋体" w:cs="宋体" w:eastAsia="宋体" w:hint="default"/>
                <w:w w:val="100"/>
                <w:sz w:val="21"/>
                <w:szCs w:val="21"/>
              </w:rPr>
              <w:t> </w:t>
            </w:r>
            <w:r>
              <w:rPr>
                <w:rFonts w:ascii="宋体" w:hAnsi="宋体" w:cs="宋体" w:eastAsia="宋体" w:hint="default"/>
                <w:sz w:val="21"/>
                <w:szCs w:val="21"/>
              </w:rPr>
              <w:t>日</w:t>
            </w:r>
            <w:r>
              <w:rPr>
                <w:rFonts w:ascii="宋体" w:hAnsi="宋体" w:cs="宋体" w:eastAsia="宋体" w:hint="default"/>
                <w:sz w:val="21"/>
                <w:szCs w:val="21"/>
              </w:rPr>
              <w:t> </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73" w:lineRule="auto"/>
              <w:ind w:left="95" w:right="-8"/>
              <w:jc w:val="center"/>
              <w:rPr>
                <w:rFonts w:ascii="宋体" w:hAnsi="宋体" w:cs="宋体" w:eastAsia="宋体" w:hint="default"/>
                <w:sz w:val="21"/>
                <w:szCs w:val="21"/>
              </w:rPr>
            </w:pPr>
            <w:r>
              <w:rPr>
                <w:rFonts w:ascii="宋体" w:hAnsi="宋体" w:cs="宋体" w:eastAsia="宋体" w:hint="default"/>
                <w:sz w:val="21"/>
                <w:szCs w:val="21"/>
              </w:rPr>
              <w:t>担保</w:t>
            </w:r>
            <w:r>
              <w:rPr>
                <w:rFonts w:ascii="宋体" w:hAnsi="宋体" w:cs="宋体" w:eastAsia="宋体" w:hint="default"/>
                <w:w w:val="100"/>
                <w:sz w:val="21"/>
                <w:szCs w:val="21"/>
              </w:rPr>
              <w:t> </w:t>
            </w:r>
            <w:r>
              <w:rPr>
                <w:rFonts w:ascii="宋体" w:hAnsi="宋体" w:cs="宋体" w:eastAsia="宋体" w:hint="default"/>
                <w:sz w:val="21"/>
                <w:szCs w:val="21"/>
              </w:rPr>
              <w:t>到期</w:t>
            </w:r>
            <w:r>
              <w:rPr>
                <w:rFonts w:ascii="宋体" w:hAnsi="宋体" w:cs="宋体" w:eastAsia="宋体" w:hint="default"/>
                <w:w w:val="100"/>
                <w:sz w:val="21"/>
                <w:szCs w:val="21"/>
              </w:rPr>
              <w:t> </w:t>
            </w:r>
            <w:r>
              <w:rPr>
                <w:rFonts w:ascii="宋体" w:hAnsi="宋体" w:cs="宋体" w:eastAsia="宋体" w:hint="default"/>
                <w:sz w:val="21"/>
                <w:szCs w:val="21"/>
              </w:rPr>
              <w:t>日</w:t>
            </w:r>
            <w:r>
              <w:rPr>
                <w:rFonts w:ascii="宋体" w:hAnsi="宋体" w:cs="宋体" w:eastAsia="宋体" w:hint="default"/>
                <w:sz w:val="21"/>
                <w:szCs w:val="21"/>
              </w:rPr>
              <w:t> </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73" w:lineRule="auto"/>
              <w:ind w:left="95" w:right="-8"/>
              <w:jc w:val="left"/>
              <w:rPr>
                <w:rFonts w:ascii="宋体" w:hAnsi="宋体" w:cs="宋体" w:eastAsia="宋体" w:hint="default"/>
                <w:sz w:val="21"/>
                <w:szCs w:val="21"/>
              </w:rPr>
            </w:pPr>
            <w:r>
              <w:rPr>
                <w:rFonts w:ascii="宋体" w:hAnsi="宋体" w:cs="宋体" w:eastAsia="宋体" w:hint="default"/>
                <w:sz w:val="21"/>
                <w:szCs w:val="21"/>
              </w:rPr>
              <w:t>担保</w:t>
            </w:r>
            <w:r>
              <w:rPr>
                <w:rFonts w:ascii="宋体" w:hAnsi="宋体" w:cs="宋体" w:eastAsia="宋体" w:hint="default"/>
                <w:spacing w:val="-103"/>
                <w:sz w:val="21"/>
                <w:szCs w:val="21"/>
              </w:rPr>
              <w:t> </w:t>
            </w:r>
            <w:r>
              <w:rPr>
                <w:rFonts w:ascii="宋体" w:hAnsi="宋体" w:cs="宋体" w:eastAsia="宋体" w:hint="default"/>
                <w:sz w:val="21"/>
                <w:szCs w:val="21"/>
              </w:rPr>
              <w:t>类型</w:t>
            </w:r>
            <w:r>
              <w:rPr>
                <w:rFonts w:ascii="宋体" w:hAnsi="宋体" w:cs="宋体" w:eastAsia="宋体" w:hint="default"/>
                <w:sz w:val="21"/>
                <w:szCs w:val="21"/>
              </w:rPr>
              <w:t> </w:t>
            </w:r>
          </w:p>
        </w:tc>
        <w:tc>
          <w:tcPr>
            <w:tcW w:w="62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98" w:right="-8"/>
              <w:jc w:val="both"/>
              <w:rPr>
                <w:rFonts w:ascii="宋体" w:hAnsi="宋体" w:cs="宋体" w:eastAsia="宋体" w:hint="default"/>
                <w:sz w:val="21"/>
                <w:szCs w:val="21"/>
              </w:rPr>
            </w:pPr>
            <w:r>
              <w:rPr>
                <w:rFonts w:ascii="宋体" w:hAnsi="宋体" w:cs="宋体" w:eastAsia="宋体" w:hint="default"/>
                <w:sz w:val="21"/>
                <w:szCs w:val="21"/>
              </w:rPr>
              <w:t>担保</w:t>
            </w:r>
            <w:r>
              <w:rPr>
                <w:rFonts w:ascii="宋体" w:hAnsi="宋体" w:cs="宋体" w:eastAsia="宋体" w:hint="default"/>
                <w:spacing w:val="-103"/>
                <w:sz w:val="21"/>
                <w:szCs w:val="21"/>
              </w:rPr>
              <w:t> </w:t>
            </w:r>
            <w:r>
              <w:rPr>
                <w:rFonts w:ascii="宋体" w:hAnsi="宋体" w:cs="宋体" w:eastAsia="宋体" w:hint="default"/>
                <w:sz w:val="21"/>
                <w:szCs w:val="21"/>
              </w:rPr>
              <w:t>是否</w:t>
            </w:r>
            <w:r>
              <w:rPr>
                <w:rFonts w:ascii="宋体" w:hAnsi="宋体" w:cs="宋体" w:eastAsia="宋体" w:hint="default"/>
                <w:spacing w:val="-103"/>
                <w:sz w:val="21"/>
                <w:szCs w:val="21"/>
              </w:rPr>
              <w:t> </w:t>
            </w:r>
            <w:r>
              <w:rPr>
                <w:rFonts w:ascii="宋体" w:hAnsi="宋体" w:cs="宋体" w:eastAsia="宋体" w:hint="default"/>
                <w:sz w:val="21"/>
                <w:szCs w:val="21"/>
              </w:rPr>
              <w:t>已经</w:t>
            </w:r>
            <w:r>
              <w:rPr>
                <w:rFonts w:ascii="宋体" w:hAnsi="宋体" w:cs="宋体" w:eastAsia="宋体" w:hint="default"/>
                <w:spacing w:val="-103"/>
                <w:sz w:val="21"/>
                <w:szCs w:val="21"/>
              </w:rPr>
              <w:t> </w:t>
            </w:r>
            <w:r>
              <w:rPr>
                <w:rFonts w:ascii="宋体" w:hAnsi="宋体" w:cs="宋体" w:eastAsia="宋体" w:hint="default"/>
                <w:sz w:val="21"/>
                <w:szCs w:val="21"/>
              </w:rPr>
              <w:t>履行</w:t>
            </w:r>
            <w:r>
              <w:rPr>
                <w:rFonts w:ascii="宋体" w:hAnsi="宋体" w:cs="宋体" w:eastAsia="宋体" w:hint="default"/>
                <w:spacing w:val="-103"/>
                <w:sz w:val="21"/>
                <w:szCs w:val="21"/>
              </w:rPr>
              <w:t> </w:t>
            </w:r>
            <w:r>
              <w:rPr>
                <w:rFonts w:ascii="宋体" w:hAnsi="宋体" w:cs="宋体" w:eastAsia="宋体" w:hint="default"/>
                <w:sz w:val="21"/>
                <w:szCs w:val="21"/>
              </w:rPr>
              <w:t>完毕</w:t>
            </w:r>
            <w:r>
              <w:rPr>
                <w:rFonts w:ascii="宋体" w:hAnsi="宋体" w:cs="宋体" w:eastAsia="宋体" w:hint="default"/>
                <w:sz w:val="21"/>
                <w:szCs w:val="21"/>
              </w:rPr>
              <w:t> </w:t>
            </w:r>
          </w:p>
        </w:tc>
        <w:tc>
          <w:tcPr>
            <w:tcW w:w="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73" w:lineRule="auto"/>
              <w:ind w:left="98" w:right="-8"/>
              <w:jc w:val="both"/>
              <w:rPr>
                <w:rFonts w:ascii="宋体" w:hAnsi="宋体" w:cs="宋体" w:eastAsia="宋体" w:hint="default"/>
                <w:sz w:val="21"/>
                <w:szCs w:val="21"/>
              </w:rPr>
            </w:pPr>
            <w:r>
              <w:rPr>
                <w:rFonts w:ascii="宋体" w:hAnsi="宋体" w:cs="宋体" w:eastAsia="宋体" w:hint="default"/>
                <w:sz w:val="21"/>
                <w:szCs w:val="21"/>
              </w:rPr>
              <w:t>担保</w:t>
            </w:r>
            <w:r>
              <w:rPr>
                <w:rFonts w:ascii="宋体" w:hAnsi="宋体" w:cs="宋体" w:eastAsia="宋体" w:hint="default"/>
                <w:spacing w:val="-103"/>
                <w:sz w:val="21"/>
                <w:szCs w:val="21"/>
              </w:rPr>
              <w:t> </w:t>
            </w:r>
            <w:r>
              <w:rPr>
                <w:rFonts w:ascii="宋体" w:hAnsi="宋体" w:cs="宋体" w:eastAsia="宋体" w:hint="default"/>
                <w:sz w:val="21"/>
                <w:szCs w:val="21"/>
              </w:rPr>
              <w:t>是否</w:t>
            </w:r>
            <w:r>
              <w:rPr>
                <w:rFonts w:ascii="宋体" w:hAnsi="宋体" w:cs="宋体" w:eastAsia="宋体" w:hint="default"/>
                <w:spacing w:val="-103"/>
                <w:sz w:val="21"/>
                <w:szCs w:val="21"/>
              </w:rPr>
              <w:t> </w:t>
            </w:r>
            <w:r>
              <w:rPr>
                <w:rFonts w:ascii="宋体" w:hAnsi="宋体" w:cs="宋体" w:eastAsia="宋体" w:hint="default"/>
                <w:sz w:val="21"/>
                <w:szCs w:val="21"/>
              </w:rPr>
              <w:t>逾期</w:t>
            </w:r>
            <w:r>
              <w:rPr>
                <w:rFonts w:ascii="宋体" w:hAnsi="宋体" w:cs="宋体" w:eastAsia="宋体" w:hint="default"/>
                <w:sz w:val="21"/>
                <w:szCs w:val="21"/>
              </w:rPr>
              <w:t> </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73" w:lineRule="auto"/>
              <w:ind w:left="26" w:right="26"/>
              <w:jc w:val="left"/>
              <w:rPr>
                <w:rFonts w:ascii="宋体" w:hAnsi="宋体" w:cs="宋体" w:eastAsia="宋体" w:hint="default"/>
                <w:sz w:val="21"/>
                <w:szCs w:val="21"/>
              </w:rPr>
            </w:pPr>
            <w:r>
              <w:rPr>
                <w:rFonts w:ascii="宋体" w:hAnsi="宋体" w:cs="宋体" w:eastAsia="宋体" w:hint="default"/>
                <w:sz w:val="21"/>
                <w:szCs w:val="21"/>
              </w:rPr>
              <w:t>担保逾</w:t>
            </w:r>
            <w:r>
              <w:rPr>
                <w:rFonts w:ascii="宋体" w:hAnsi="宋体" w:cs="宋体" w:eastAsia="宋体" w:hint="default"/>
                <w:spacing w:val="-102"/>
                <w:sz w:val="21"/>
                <w:szCs w:val="21"/>
              </w:rPr>
              <w:t> </w:t>
            </w:r>
            <w:r>
              <w:rPr>
                <w:rFonts w:ascii="宋体" w:hAnsi="宋体" w:cs="宋体" w:eastAsia="宋体" w:hint="default"/>
                <w:sz w:val="21"/>
                <w:szCs w:val="21"/>
              </w:rPr>
              <w:t>期金额</w:t>
            </w:r>
          </w:p>
        </w:tc>
        <w:tc>
          <w:tcPr>
            <w:tcW w:w="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73" w:lineRule="auto"/>
              <w:ind w:left="98" w:right="95"/>
              <w:jc w:val="both"/>
              <w:rPr>
                <w:rFonts w:ascii="宋体" w:hAnsi="宋体" w:cs="宋体" w:eastAsia="宋体" w:hint="default"/>
                <w:sz w:val="21"/>
                <w:szCs w:val="21"/>
              </w:rPr>
            </w:pPr>
            <w:r>
              <w:rPr>
                <w:rFonts w:ascii="宋体" w:hAnsi="宋体" w:cs="宋体" w:eastAsia="宋体" w:hint="default"/>
                <w:sz w:val="21"/>
                <w:szCs w:val="21"/>
              </w:rPr>
              <w:t>是否</w:t>
            </w:r>
            <w:r>
              <w:rPr>
                <w:rFonts w:ascii="宋体" w:hAnsi="宋体" w:cs="宋体" w:eastAsia="宋体" w:hint="default"/>
                <w:spacing w:val="-103"/>
                <w:sz w:val="21"/>
                <w:szCs w:val="21"/>
              </w:rPr>
              <w:t> </w:t>
            </w:r>
            <w:r>
              <w:rPr>
                <w:rFonts w:ascii="宋体" w:hAnsi="宋体" w:cs="宋体" w:eastAsia="宋体" w:hint="default"/>
                <w:sz w:val="21"/>
                <w:szCs w:val="21"/>
              </w:rPr>
              <w:t>存在</w:t>
            </w:r>
            <w:r>
              <w:rPr>
                <w:rFonts w:ascii="宋体" w:hAnsi="宋体" w:cs="宋体" w:eastAsia="宋体" w:hint="default"/>
                <w:spacing w:val="-103"/>
                <w:sz w:val="21"/>
                <w:szCs w:val="21"/>
              </w:rPr>
              <w:t> </w:t>
            </w:r>
            <w:r>
              <w:rPr>
                <w:rFonts w:ascii="宋体" w:hAnsi="宋体" w:cs="宋体" w:eastAsia="宋体" w:hint="default"/>
                <w:sz w:val="21"/>
                <w:szCs w:val="21"/>
              </w:rPr>
              <w:t>反担</w:t>
            </w:r>
            <w:r>
              <w:rPr>
                <w:rFonts w:ascii="宋体" w:hAnsi="宋体" w:cs="宋体" w:eastAsia="宋体" w:hint="default"/>
                <w:spacing w:val="-103"/>
                <w:sz w:val="21"/>
                <w:szCs w:val="21"/>
              </w:rPr>
              <w:t> </w:t>
            </w:r>
            <w:r>
              <w:rPr>
                <w:rFonts w:ascii="宋体" w:hAnsi="宋体" w:cs="宋体" w:eastAsia="宋体" w:hint="default"/>
                <w:sz w:val="21"/>
                <w:szCs w:val="21"/>
              </w:rPr>
              <w:t>保</w:t>
            </w:r>
            <w:r>
              <w:rPr>
                <w:rFonts w:ascii="宋体" w:hAnsi="宋体" w:cs="宋体" w:eastAsia="宋体" w:hint="default"/>
                <w:sz w:val="21"/>
                <w:szCs w:val="21"/>
              </w:rPr>
              <w:t> </w:t>
            </w:r>
          </w:p>
        </w:tc>
        <w:tc>
          <w:tcPr>
            <w:tcW w:w="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73" w:lineRule="auto"/>
              <w:ind w:left="95" w:right="-5"/>
              <w:jc w:val="both"/>
              <w:rPr>
                <w:rFonts w:ascii="宋体" w:hAnsi="宋体" w:cs="宋体" w:eastAsia="宋体" w:hint="default"/>
                <w:sz w:val="21"/>
                <w:szCs w:val="21"/>
              </w:rPr>
            </w:pPr>
            <w:r>
              <w:rPr>
                <w:rFonts w:ascii="宋体" w:hAnsi="宋体" w:cs="宋体" w:eastAsia="宋体" w:hint="default"/>
                <w:sz w:val="21"/>
                <w:szCs w:val="21"/>
              </w:rPr>
              <w:t>是否</w:t>
            </w:r>
            <w:r>
              <w:rPr>
                <w:rFonts w:ascii="宋体" w:hAnsi="宋体" w:cs="宋体" w:eastAsia="宋体" w:hint="default"/>
                <w:spacing w:val="-103"/>
                <w:sz w:val="21"/>
                <w:szCs w:val="21"/>
              </w:rPr>
              <w:t> </w:t>
            </w:r>
            <w:r>
              <w:rPr>
                <w:rFonts w:ascii="宋体" w:hAnsi="宋体" w:cs="宋体" w:eastAsia="宋体" w:hint="default"/>
                <w:sz w:val="21"/>
                <w:szCs w:val="21"/>
              </w:rPr>
              <w:t>为关</w:t>
            </w:r>
            <w:r>
              <w:rPr>
                <w:rFonts w:ascii="宋体" w:hAnsi="宋体" w:cs="宋体" w:eastAsia="宋体" w:hint="default"/>
                <w:spacing w:val="-103"/>
                <w:sz w:val="21"/>
                <w:szCs w:val="21"/>
              </w:rPr>
              <w:t> </w:t>
            </w:r>
            <w:r>
              <w:rPr>
                <w:rFonts w:ascii="宋体" w:hAnsi="宋体" w:cs="宋体" w:eastAsia="宋体" w:hint="default"/>
                <w:sz w:val="21"/>
                <w:szCs w:val="21"/>
              </w:rPr>
              <w:t>联方</w:t>
            </w:r>
            <w:r>
              <w:rPr>
                <w:rFonts w:ascii="宋体" w:hAnsi="宋体" w:cs="宋体" w:eastAsia="宋体" w:hint="default"/>
                <w:spacing w:val="-103"/>
                <w:sz w:val="21"/>
                <w:szCs w:val="21"/>
              </w:rPr>
              <w:t> </w:t>
            </w:r>
            <w:r>
              <w:rPr>
                <w:rFonts w:ascii="宋体" w:hAnsi="宋体" w:cs="宋体" w:eastAsia="宋体" w:hint="default"/>
                <w:sz w:val="21"/>
                <w:szCs w:val="21"/>
              </w:rPr>
              <w:t>担保</w:t>
            </w:r>
            <w:r>
              <w:rPr>
                <w:rFonts w:ascii="宋体" w:hAnsi="宋体" w:cs="宋体" w:eastAsia="宋体" w:hint="default"/>
                <w:sz w:val="21"/>
                <w:szCs w:val="21"/>
              </w:rPr>
              <w:t> </w:t>
            </w:r>
          </w:p>
        </w:tc>
        <w:tc>
          <w:tcPr>
            <w:tcW w:w="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73" w:lineRule="auto"/>
              <w:ind w:left="93" w:right="-10"/>
              <w:jc w:val="left"/>
              <w:rPr>
                <w:rFonts w:ascii="宋体" w:hAnsi="宋体" w:cs="宋体" w:eastAsia="宋体" w:hint="default"/>
                <w:sz w:val="21"/>
                <w:szCs w:val="21"/>
              </w:rPr>
            </w:pPr>
            <w:r>
              <w:rPr>
                <w:rFonts w:ascii="宋体" w:hAnsi="宋体" w:cs="宋体" w:eastAsia="宋体" w:hint="default"/>
                <w:sz w:val="21"/>
                <w:szCs w:val="21"/>
              </w:rPr>
              <w:t>关联</w:t>
            </w:r>
            <w:r>
              <w:rPr>
                <w:rFonts w:ascii="宋体" w:hAnsi="宋体" w:cs="宋体" w:eastAsia="宋体" w:hint="default"/>
                <w:w w:val="100"/>
                <w:sz w:val="21"/>
                <w:szCs w:val="21"/>
              </w:rPr>
              <w:t> </w:t>
            </w:r>
            <w:r>
              <w:rPr>
                <w:rFonts w:ascii="宋体" w:hAnsi="宋体" w:cs="宋体" w:eastAsia="宋体" w:hint="default"/>
                <w:sz w:val="21"/>
                <w:szCs w:val="21"/>
              </w:rPr>
              <w:t>关系</w:t>
            </w:r>
            <w:r>
              <w:rPr>
                <w:rFonts w:ascii="宋体" w:hAnsi="宋体" w:cs="宋体" w:eastAsia="宋体" w:hint="default"/>
                <w:sz w:val="21"/>
                <w:szCs w:val="21"/>
              </w:rPr>
              <w:t> </w:t>
            </w:r>
          </w:p>
        </w:tc>
      </w:tr>
      <w:tr>
        <w:trPr>
          <w:trHeight w:val="322" w:hRule="exact"/>
        </w:trPr>
        <w:tc>
          <w:tcPr>
            <w:tcW w:w="61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w w:val="100"/>
                <w:sz w:val="21"/>
              </w:rPr>
              <w:t> </w:t>
            </w:r>
          </w:p>
        </w:tc>
        <w:tc>
          <w:tcPr>
            <w:tcW w:w="62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color w:val="FFC000"/>
                <w:w w:val="100"/>
                <w:sz w:val="21"/>
              </w:rPr>
              <w:t> </w:t>
            </w:r>
            <w:r>
              <w:rPr>
                <w:rFonts w:ascii="宋体"/>
                <w:w w:val="100"/>
                <w:sz w:val="21"/>
              </w:rPr>
            </w:r>
          </w:p>
        </w:tc>
        <w:tc>
          <w:tcPr>
            <w:tcW w:w="62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w w:val="100"/>
                <w:sz w:val="21"/>
              </w:rPr>
              <w:t> </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
              <w:jc w:val="right"/>
              <w:rPr>
                <w:rFonts w:ascii="宋体" w:hAnsi="宋体" w:cs="宋体" w:eastAsia="宋体" w:hint="default"/>
                <w:sz w:val="21"/>
                <w:szCs w:val="21"/>
              </w:rPr>
            </w:pPr>
            <w:r>
              <w:rPr>
                <w:rFonts w:ascii="宋体"/>
                <w:w w:val="100"/>
                <w:sz w:val="21"/>
              </w:rPr>
              <w:t> </w:t>
            </w:r>
          </w:p>
        </w:tc>
        <w:tc>
          <w:tcPr>
            <w:tcW w:w="62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w w:val="100"/>
                <w:sz w:val="21"/>
              </w:rPr>
              <w:t> </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w w:val="100"/>
                <w:sz w:val="21"/>
              </w:rPr>
              <w:t> </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w w:val="100"/>
                <w:sz w:val="21"/>
              </w:rPr>
              <w:t> </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color w:val="FFC000"/>
                <w:w w:val="100"/>
                <w:sz w:val="21"/>
              </w:rPr>
              <w:t> </w:t>
            </w:r>
            <w:r>
              <w:rPr>
                <w:rFonts w:ascii="宋体"/>
                <w:w w:val="100"/>
                <w:sz w:val="21"/>
              </w:rPr>
            </w:r>
          </w:p>
        </w:tc>
        <w:tc>
          <w:tcPr>
            <w:tcW w:w="62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color w:val="FFC000"/>
                <w:w w:val="100"/>
                <w:sz w:val="21"/>
              </w:rPr>
              <w:t> </w:t>
            </w:r>
            <w:r>
              <w:rPr>
                <w:rFonts w:ascii="宋体"/>
                <w:w w:val="100"/>
                <w:sz w:val="21"/>
              </w:rPr>
            </w:r>
          </w:p>
        </w:tc>
        <w:tc>
          <w:tcPr>
            <w:tcW w:w="62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color w:val="FFC000"/>
                <w:w w:val="100"/>
                <w:sz w:val="21"/>
              </w:rPr>
              <w:t> </w:t>
            </w:r>
            <w:r>
              <w:rPr>
                <w:rFonts w:ascii="宋体"/>
                <w:w w:val="100"/>
                <w:sz w:val="21"/>
              </w:rPr>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
              <w:jc w:val="right"/>
              <w:rPr>
                <w:rFonts w:ascii="宋体" w:hAnsi="宋体" w:cs="宋体" w:eastAsia="宋体" w:hint="default"/>
                <w:sz w:val="21"/>
                <w:szCs w:val="21"/>
              </w:rPr>
            </w:pPr>
            <w:r>
              <w:rPr>
                <w:rFonts w:ascii="宋体"/>
                <w:w w:val="100"/>
                <w:sz w:val="21"/>
              </w:rPr>
              <w:t> </w:t>
            </w:r>
          </w:p>
        </w:tc>
        <w:tc>
          <w:tcPr>
            <w:tcW w:w="62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color w:val="FFC000"/>
                <w:w w:val="100"/>
                <w:sz w:val="21"/>
              </w:rPr>
              <w:t> </w:t>
            </w:r>
            <w:r>
              <w:rPr>
                <w:rFonts w:ascii="宋体"/>
                <w:w w:val="100"/>
                <w:sz w:val="21"/>
              </w:rPr>
            </w:r>
          </w:p>
        </w:tc>
        <w:tc>
          <w:tcPr>
            <w:tcW w:w="62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color w:val="FFC000"/>
                <w:w w:val="100"/>
                <w:sz w:val="21"/>
              </w:rPr>
              <w:t> </w:t>
            </w:r>
            <w:r>
              <w:rPr>
                <w:rFonts w:ascii="宋体"/>
                <w:w w:val="100"/>
                <w:sz w:val="21"/>
              </w:rPr>
            </w:r>
          </w:p>
        </w:tc>
        <w:tc>
          <w:tcPr>
            <w:tcW w:w="61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02" w:right="-10"/>
              <w:jc w:val="left"/>
              <w:rPr>
                <w:rFonts w:ascii="宋体" w:hAnsi="宋体" w:cs="宋体" w:eastAsia="宋体" w:hint="default"/>
                <w:sz w:val="21"/>
                <w:szCs w:val="21"/>
              </w:rPr>
            </w:pPr>
            <w:r>
              <w:rPr>
                <w:rFonts w:ascii="宋体"/>
                <w:w w:val="100"/>
                <w:sz w:val="21"/>
              </w:rPr>
              <w:t> </w:t>
            </w:r>
            <w:r>
              <w:rPr>
                <w:rFonts w:ascii="宋体"/>
                <w:sz w:val="21"/>
              </w:rPr>
              <w:t> </w:t>
            </w:r>
            <w:r>
              <w:rPr>
                <w:rFonts w:ascii="宋体"/>
                <w:color w:val="FFC000"/>
                <w:w w:val="100"/>
                <w:sz w:val="21"/>
              </w:rPr>
              <w:t> </w:t>
            </w:r>
            <w:r>
              <w:rPr>
                <w:rFonts w:ascii="宋体"/>
                <w:w w:val="100"/>
                <w:sz w:val="21"/>
              </w:rPr>
            </w:r>
          </w:p>
        </w:tc>
      </w:tr>
      <w:tr>
        <w:trPr>
          <w:trHeight w:val="634" w:hRule="exact"/>
        </w:trPr>
        <w:tc>
          <w:tcPr>
            <w:tcW w:w="3824" w:type="dxa"/>
            <w:gridSpan w:val="6"/>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19"/>
              <w:jc w:val="left"/>
              <w:rPr>
                <w:rFonts w:ascii="宋体" w:hAnsi="宋体" w:cs="宋体" w:eastAsia="宋体" w:hint="default"/>
                <w:sz w:val="21"/>
                <w:szCs w:val="21"/>
              </w:rPr>
            </w:pPr>
            <w:r>
              <w:rPr>
                <w:rFonts w:ascii="宋体" w:hAnsi="宋体" w:cs="宋体" w:eastAsia="宋体" w:hint="default"/>
                <w:spacing w:val="-3"/>
                <w:sz w:val="21"/>
                <w:szCs w:val="21"/>
              </w:rPr>
              <w:t>报告期内担保发生额合计（不包括对子公</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z w:val="21"/>
                <w:szCs w:val="21"/>
              </w:rPr>
              <w:t>司的担保）</w:t>
            </w:r>
            <w:r>
              <w:rPr>
                <w:rFonts w:ascii="宋体" w:hAnsi="宋体" w:cs="宋体" w:eastAsia="宋体" w:hint="default"/>
                <w:sz w:val="21"/>
                <w:szCs w:val="21"/>
              </w:rPr>
              <w:t> </w:t>
            </w:r>
          </w:p>
        </w:tc>
        <w:tc>
          <w:tcPr>
            <w:tcW w:w="5072" w:type="dxa"/>
            <w:gridSpan w:val="8"/>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
              <w:jc w:val="right"/>
              <w:rPr>
                <w:rFonts w:ascii="宋体" w:hAnsi="宋体" w:cs="宋体" w:eastAsia="宋体" w:hint="default"/>
                <w:sz w:val="21"/>
                <w:szCs w:val="21"/>
              </w:rPr>
            </w:pPr>
            <w:r>
              <w:rPr>
                <w:rFonts w:ascii="宋体"/>
                <w:w w:val="100"/>
                <w:sz w:val="21"/>
              </w:rPr>
              <w:t> </w:t>
            </w:r>
          </w:p>
        </w:tc>
      </w:tr>
      <w:tr>
        <w:trPr>
          <w:trHeight w:val="634" w:hRule="exact"/>
        </w:trPr>
        <w:tc>
          <w:tcPr>
            <w:tcW w:w="3824" w:type="dxa"/>
            <w:gridSpan w:val="6"/>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108"/>
              <w:jc w:val="left"/>
              <w:rPr>
                <w:rFonts w:ascii="宋体" w:hAnsi="宋体" w:cs="宋体" w:eastAsia="宋体" w:hint="default"/>
                <w:sz w:val="21"/>
                <w:szCs w:val="21"/>
              </w:rPr>
            </w:pPr>
            <w:r>
              <w:rPr>
                <w:rFonts w:ascii="宋体" w:hAnsi="宋体" w:cs="宋体" w:eastAsia="宋体" w:hint="default"/>
                <w:spacing w:val="-2"/>
                <w:sz w:val="21"/>
                <w:szCs w:val="21"/>
              </w:rPr>
              <w:t>报告期末担保余额合计（</w:t>
            </w:r>
            <w:r>
              <w:rPr>
                <w:rFonts w:ascii="宋体" w:hAnsi="宋体" w:cs="宋体" w:eastAsia="宋体" w:hint="default"/>
                <w:spacing w:val="-2"/>
                <w:sz w:val="21"/>
                <w:szCs w:val="21"/>
              </w:rPr>
              <w:t>A</w:t>
            </w:r>
            <w:r>
              <w:rPr>
                <w:rFonts w:ascii="宋体" w:hAnsi="宋体" w:cs="宋体" w:eastAsia="宋体" w:hint="default"/>
                <w:spacing w:val="-2"/>
                <w:sz w:val="21"/>
                <w:szCs w:val="21"/>
              </w:rPr>
              <w:t>）（不包括对</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子公司的担保）</w:t>
            </w:r>
            <w:r>
              <w:rPr>
                <w:rFonts w:ascii="宋体" w:hAnsi="宋体" w:cs="宋体" w:eastAsia="宋体" w:hint="default"/>
                <w:sz w:val="21"/>
                <w:szCs w:val="21"/>
              </w:rPr>
              <w:t> </w:t>
            </w:r>
          </w:p>
        </w:tc>
        <w:tc>
          <w:tcPr>
            <w:tcW w:w="5072" w:type="dxa"/>
            <w:gridSpan w:val="8"/>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
              <w:jc w:val="right"/>
              <w:rPr>
                <w:rFonts w:ascii="宋体" w:hAnsi="宋体" w:cs="宋体" w:eastAsia="宋体" w:hint="default"/>
                <w:sz w:val="21"/>
                <w:szCs w:val="21"/>
              </w:rPr>
            </w:pPr>
            <w:r>
              <w:rPr>
                <w:rFonts w:ascii="宋体"/>
                <w:w w:val="100"/>
                <w:sz w:val="21"/>
              </w:rPr>
              <w:t> </w:t>
            </w:r>
          </w:p>
        </w:tc>
      </w:tr>
      <w:tr>
        <w:trPr>
          <w:trHeight w:val="322" w:hRule="exact"/>
        </w:trPr>
        <w:tc>
          <w:tcPr>
            <w:tcW w:w="8896" w:type="dxa"/>
            <w:gridSpan w:val="14"/>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719" w:right="0"/>
              <w:jc w:val="left"/>
              <w:rPr>
                <w:rFonts w:ascii="宋体" w:hAnsi="宋体" w:cs="宋体" w:eastAsia="宋体" w:hint="default"/>
                <w:sz w:val="21"/>
                <w:szCs w:val="21"/>
              </w:rPr>
            </w:pPr>
            <w:r>
              <w:rPr>
                <w:rFonts w:ascii="宋体" w:hAnsi="宋体" w:cs="宋体" w:eastAsia="宋体" w:hint="default"/>
                <w:sz w:val="21"/>
                <w:szCs w:val="21"/>
              </w:rPr>
              <w:t>公司及其子公司对子公司的担保情况</w:t>
            </w:r>
            <w:r>
              <w:rPr>
                <w:rFonts w:ascii="宋体" w:hAnsi="宋体" w:cs="宋体" w:eastAsia="宋体" w:hint="default"/>
                <w:sz w:val="21"/>
                <w:szCs w:val="21"/>
              </w:rPr>
              <w:t> </w:t>
            </w:r>
          </w:p>
        </w:tc>
      </w:tr>
      <w:tr>
        <w:trPr>
          <w:trHeight w:val="324" w:hRule="exact"/>
        </w:trPr>
        <w:tc>
          <w:tcPr>
            <w:tcW w:w="3824" w:type="dxa"/>
            <w:gridSpan w:val="6"/>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6" w:right="0"/>
              <w:jc w:val="left"/>
              <w:rPr>
                <w:rFonts w:ascii="宋体" w:hAnsi="宋体" w:cs="宋体" w:eastAsia="宋体" w:hint="default"/>
                <w:sz w:val="21"/>
                <w:szCs w:val="21"/>
              </w:rPr>
            </w:pPr>
            <w:r>
              <w:rPr>
                <w:rFonts w:ascii="宋体" w:hAnsi="宋体" w:cs="宋体" w:eastAsia="宋体" w:hint="default"/>
                <w:sz w:val="21"/>
                <w:szCs w:val="21"/>
              </w:rPr>
              <w:t>报告期内对子公司担保发生额合计</w:t>
            </w:r>
            <w:r>
              <w:rPr>
                <w:rFonts w:ascii="宋体" w:hAnsi="宋体" w:cs="宋体" w:eastAsia="宋体" w:hint="default"/>
                <w:color w:val="FF0000"/>
                <w:sz w:val="21"/>
                <w:szCs w:val="21"/>
              </w:rPr>
              <w:t> </w:t>
            </w:r>
            <w:r>
              <w:rPr>
                <w:rFonts w:ascii="宋体" w:hAnsi="宋体" w:cs="宋体" w:eastAsia="宋体" w:hint="default"/>
                <w:sz w:val="21"/>
                <w:szCs w:val="21"/>
              </w:rPr>
            </w:r>
          </w:p>
        </w:tc>
        <w:tc>
          <w:tcPr>
            <w:tcW w:w="5072" w:type="dxa"/>
            <w:gridSpan w:val="8"/>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
              <w:jc w:val="right"/>
              <w:rPr>
                <w:rFonts w:ascii="宋体" w:hAnsi="宋体" w:cs="宋体" w:eastAsia="宋体" w:hint="default"/>
                <w:sz w:val="21"/>
                <w:szCs w:val="21"/>
              </w:rPr>
            </w:pPr>
            <w:r>
              <w:rPr>
                <w:rFonts w:ascii="宋体"/>
                <w:spacing w:val="-1"/>
                <w:sz w:val="21"/>
              </w:rPr>
              <w:t>91,500</w:t>
            </w:r>
            <w:r>
              <w:rPr>
                <w:rFonts w:ascii="宋体"/>
                <w:sz w:val="21"/>
              </w:rPr>
              <w:t> </w:t>
            </w:r>
          </w:p>
        </w:tc>
      </w:tr>
      <w:tr>
        <w:trPr>
          <w:trHeight w:val="322" w:hRule="exact"/>
        </w:trPr>
        <w:tc>
          <w:tcPr>
            <w:tcW w:w="3824" w:type="dxa"/>
            <w:gridSpan w:val="6"/>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报告期末对子公司担保余额合计（</w:t>
            </w:r>
            <w:r>
              <w:rPr>
                <w:rFonts w:ascii="宋体" w:hAnsi="宋体" w:cs="宋体" w:eastAsia="宋体" w:hint="default"/>
                <w:sz w:val="21"/>
                <w:szCs w:val="21"/>
              </w:rPr>
              <w:t>B</w:t>
            </w:r>
            <w:r>
              <w:rPr>
                <w:rFonts w:ascii="宋体" w:hAnsi="宋体" w:cs="宋体" w:eastAsia="宋体" w:hint="default"/>
                <w:sz w:val="21"/>
                <w:szCs w:val="21"/>
              </w:rPr>
              <w:t>）</w:t>
            </w:r>
            <w:r>
              <w:rPr>
                <w:rFonts w:ascii="宋体" w:hAnsi="宋体" w:cs="宋体" w:eastAsia="宋体" w:hint="default"/>
                <w:color w:val="FF0000"/>
                <w:sz w:val="21"/>
                <w:szCs w:val="21"/>
              </w:rPr>
              <w:t> </w:t>
            </w:r>
            <w:r>
              <w:rPr>
                <w:rFonts w:ascii="宋体" w:hAnsi="宋体" w:cs="宋体" w:eastAsia="宋体" w:hint="default"/>
                <w:sz w:val="21"/>
                <w:szCs w:val="21"/>
              </w:rPr>
            </w:r>
          </w:p>
        </w:tc>
        <w:tc>
          <w:tcPr>
            <w:tcW w:w="5072" w:type="dxa"/>
            <w:gridSpan w:val="8"/>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
              <w:jc w:val="right"/>
              <w:rPr>
                <w:rFonts w:ascii="宋体" w:hAnsi="宋体" w:cs="宋体" w:eastAsia="宋体" w:hint="default"/>
                <w:sz w:val="21"/>
                <w:szCs w:val="21"/>
              </w:rPr>
            </w:pPr>
            <w:r>
              <w:rPr>
                <w:rFonts w:ascii="宋体"/>
                <w:spacing w:val="-1"/>
                <w:sz w:val="21"/>
              </w:rPr>
              <w:t>287,082.50</w:t>
            </w:r>
            <w:r>
              <w:rPr>
                <w:rFonts w:ascii="宋体"/>
                <w:sz w:val="21"/>
              </w:rPr>
              <w:t> </w:t>
            </w:r>
          </w:p>
        </w:tc>
      </w:tr>
      <w:tr>
        <w:trPr>
          <w:trHeight w:val="322" w:hRule="exact"/>
        </w:trPr>
        <w:tc>
          <w:tcPr>
            <w:tcW w:w="8896" w:type="dxa"/>
            <w:gridSpan w:val="14"/>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05" w:right="0"/>
              <w:jc w:val="left"/>
              <w:rPr>
                <w:rFonts w:ascii="宋体" w:hAnsi="宋体" w:cs="宋体" w:eastAsia="宋体" w:hint="default"/>
                <w:sz w:val="21"/>
                <w:szCs w:val="21"/>
              </w:rPr>
            </w:pPr>
            <w:r>
              <w:rPr>
                <w:rFonts w:ascii="宋体" w:hAnsi="宋体" w:cs="宋体" w:eastAsia="宋体" w:hint="default"/>
                <w:sz w:val="21"/>
                <w:szCs w:val="21"/>
              </w:rPr>
              <w:t>公司担保总额情况（包括对子公司的担保）</w:t>
            </w:r>
            <w:r>
              <w:rPr>
                <w:rFonts w:ascii="宋体" w:hAnsi="宋体" w:cs="宋体" w:eastAsia="宋体" w:hint="default"/>
                <w:sz w:val="21"/>
                <w:szCs w:val="21"/>
              </w:rPr>
              <w:t> </w:t>
            </w:r>
          </w:p>
        </w:tc>
      </w:tr>
      <w:tr>
        <w:trPr>
          <w:trHeight w:val="480" w:hRule="exact"/>
        </w:trPr>
        <w:tc>
          <w:tcPr>
            <w:tcW w:w="3824" w:type="dxa"/>
            <w:gridSpan w:val="6"/>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担保总额（</w:t>
            </w:r>
            <w:r>
              <w:rPr>
                <w:rFonts w:ascii="宋体" w:hAnsi="宋体" w:cs="宋体" w:eastAsia="宋体" w:hint="default"/>
                <w:sz w:val="21"/>
                <w:szCs w:val="21"/>
              </w:rPr>
              <w:t>A+B</w:t>
            </w:r>
            <w:r>
              <w:rPr>
                <w:rFonts w:ascii="宋体" w:hAnsi="宋体" w:cs="宋体" w:eastAsia="宋体" w:hint="default"/>
                <w:sz w:val="21"/>
                <w:szCs w:val="21"/>
              </w:rPr>
              <w:t>）</w:t>
            </w:r>
            <w:r>
              <w:rPr>
                <w:rFonts w:ascii="宋体" w:hAnsi="宋体" w:cs="宋体" w:eastAsia="宋体" w:hint="default"/>
                <w:sz w:val="21"/>
                <w:szCs w:val="21"/>
              </w:rPr>
              <w:t> </w:t>
            </w:r>
          </w:p>
        </w:tc>
        <w:tc>
          <w:tcPr>
            <w:tcW w:w="5072"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2"/>
              <w:jc w:val="right"/>
              <w:rPr>
                <w:rFonts w:ascii="宋体" w:hAnsi="宋体" w:cs="宋体" w:eastAsia="宋体" w:hint="default"/>
                <w:sz w:val="21"/>
                <w:szCs w:val="21"/>
              </w:rPr>
            </w:pPr>
            <w:r>
              <w:rPr>
                <w:rFonts w:ascii="宋体"/>
                <w:spacing w:val="-1"/>
                <w:sz w:val="21"/>
              </w:rPr>
              <w:t>287,082.50</w:t>
            </w:r>
            <w:r>
              <w:rPr>
                <w:rFonts w:ascii="宋体"/>
                <w:sz w:val="21"/>
              </w:rPr>
              <w:t> </w:t>
            </w:r>
          </w:p>
        </w:tc>
      </w:tr>
      <w:tr>
        <w:trPr>
          <w:trHeight w:val="322" w:hRule="exact"/>
        </w:trPr>
        <w:tc>
          <w:tcPr>
            <w:tcW w:w="3824" w:type="dxa"/>
            <w:gridSpan w:val="6"/>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担保总额占公司净资产的比例</w:t>
            </w:r>
            <w:r>
              <w:rPr>
                <w:rFonts w:ascii="宋体" w:hAnsi="宋体" w:cs="宋体" w:eastAsia="宋体" w:hint="default"/>
                <w:sz w:val="21"/>
                <w:szCs w:val="21"/>
              </w:rPr>
              <w:t>(%) </w:t>
            </w:r>
          </w:p>
        </w:tc>
        <w:tc>
          <w:tcPr>
            <w:tcW w:w="5072" w:type="dxa"/>
            <w:gridSpan w:val="8"/>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
              <w:jc w:val="right"/>
              <w:rPr>
                <w:rFonts w:ascii="宋体" w:hAnsi="宋体" w:cs="宋体" w:eastAsia="宋体" w:hint="default"/>
                <w:sz w:val="21"/>
                <w:szCs w:val="21"/>
              </w:rPr>
            </w:pPr>
            <w:r>
              <w:rPr>
                <w:rFonts w:ascii="宋体"/>
                <w:w w:val="100"/>
                <w:sz w:val="21"/>
              </w:rPr>
              <w:t> </w:t>
            </w:r>
          </w:p>
        </w:tc>
      </w:tr>
      <w:tr>
        <w:trPr>
          <w:trHeight w:val="322" w:hRule="exact"/>
        </w:trPr>
        <w:tc>
          <w:tcPr>
            <w:tcW w:w="8896" w:type="dxa"/>
            <w:gridSpan w:val="14"/>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 </w:t>
            </w:r>
          </w:p>
        </w:tc>
      </w:tr>
      <w:tr>
        <w:trPr>
          <w:trHeight w:val="324" w:hRule="exact"/>
        </w:trPr>
        <w:tc>
          <w:tcPr>
            <w:tcW w:w="3824" w:type="dxa"/>
            <w:gridSpan w:val="6"/>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pacing w:val="-3"/>
                <w:sz w:val="21"/>
                <w:szCs w:val="21"/>
              </w:rPr>
              <w:t>为股东、实际控制人及其关联方提供担保</w:t>
            </w:r>
          </w:p>
        </w:tc>
        <w:tc>
          <w:tcPr>
            <w:tcW w:w="5072" w:type="dxa"/>
            <w:gridSpan w:val="8"/>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
              <w:jc w:val="right"/>
              <w:rPr>
                <w:rFonts w:ascii="宋体" w:hAnsi="宋体" w:cs="宋体" w:eastAsia="宋体" w:hint="default"/>
                <w:sz w:val="21"/>
                <w:szCs w:val="21"/>
              </w:rPr>
            </w:pPr>
            <w:r>
              <w:rPr>
                <w:rFonts w:ascii="宋体"/>
                <w:w w:val="100"/>
                <w:sz w:val="21"/>
              </w:rPr>
              <w:t> </w:t>
            </w:r>
          </w:p>
        </w:tc>
      </w:tr>
    </w:tbl>
    <w:p>
      <w:pPr>
        <w:spacing w:after="0" w:line="262" w:lineRule="exact"/>
        <w:jc w:val="right"/>
        <w:rPr>
          <w:rFonts w:ascii="宋体" w:hAnsi="宋体" w:cs="宋体" w:eastAsia="宋体" w:hint="default"/>
          <w:sz w:val="21"/>
          <w:szCs w:val="21"/>
        </w:rPr>
        <w:sectPr>
          <w:type w:val="continuous"/>
          <w:pgSz w:w="11910" w:h="16840"/>
          <w:pgMar w:top="1580" w:bottom="280" w:left="1580" w:right="1060"/>
        </w:sectPr>
      </w:pPr>
    </w:p>
    <w:p>
      <w:pPr>
        <w:spacing w:line="240" w:lineRule="auto" w:before="5"/>
        <w:rPr>
          <w:rFonts w:ascii="宋体" w:hAnsi="宋体" w:cs="宋体" w:eastAsia="宋体" w:hint="default"/>
          <w:sz w:val="29"/>
          <w:szCs w:val="29"/>
        </w:rPr>
      </w:pPr>
    </w:p>
    <w:tbl>
      <w:tblPr>
        <w:tblW w:w="0" w:type="auto"/>
        <w:jc w:val="left"/>
        <w:tblInd w:w="182" w:type="dxa"/>
        <w:tblLayout w:type="fixed"/>
        <w:tblCellMar>
          <w:top w:w="0" w:type="dxa"/>
          <w:left w:w="0" w:type="dxa"/>
          <w:bottom w:w="0" w:type="dxa"/>
          <w:right w:w="0" w:type="dxa"/>
        </w:tblCellMar>
        <w:tblLook w:val="01E0"/>
      </w:tblPr>
      <w:tblGrid>
        <w:gridCol w:w="3824"/>
        <w:gridCol w:w="5072"/>
      </w:tblGrid>
      <w:tr>
        <w:trPr>
          <w:trHeight w:val="324" w:hRule="exact"/>
        </w:trPr>
        <w:tc>
          <w:tcPr>
            <w:tcW w:w="382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6" w:right="0"/>
              <w:jc w:val="left"/>
              <w:rPr>
                <w:rFonts w:ascii="宋体" w:hAnsi="宋体" w:cs="宋体" w:eastAsia="宋体" w:hint="default"/>
                <w:sz w:val="21"/>
                <w:szCs w:val="21"/>
              </w:rPr>
            </w:pPr>
            <w:r>
              <w:rPr>
                <w:rFonts w:ascii="宋体" w:hAnsi="宋体" w:cs="宋体" w:eastAsia="宋体" w:hint="default"/>
                <w:sz w:val="21"/>
                <w:szCs w:val="21"/>
              </w:rPr>
              <w:t>的金额（</w:t>
            </w:r>
            <w:r>
              <w:rPr>
                <w:rFonts w:ascii="宋体" w:hAnsi="宋体" w:cs="宋体" w:eastAsia="宋体" w:hint="default"/>
                <w:sz w:val="21"/>
                <w:szCs w:val="21"/>
              </w:rPr>
              <w:t>C</w:t>
            </w:r>
            <w:r>
              <w:rPr>
                <w:rFonts w:ascii="宋体" w:hAnsi="宋体" w:cs="宋体" w:eastAsia="宋体" w:hint="default"/>
                <w:sz w:val="21"/>
                <w:szCs w:val="21"/>
              </w:rPr>
              <w:t>）</w:t>
            </w:r>
            <w:r>
              <w:rPr>
                <w:rFonts w:ascii="宋体" w:hAnsi="宋体" w:cs="宋体" w:eastAsia="宋体" w:hint="default"/>
                <w:sz w:val="21"/>
                <w:szCs w:val="21"/>
              </w:rPr>
              <w:t> </w:t>
            </w:r>
          </w:p>
        </w:tc>
        <w:tc>
          <w:tcPr>
            <w:tcW w:w="5072"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382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105"/>
              <w:jc w:val="left"/>
              <w:rPr>
                <w:rFonts w:ascii="宋体" w:hAnsi="宋体" w:cs="宋体" w:eastAsia="宋体" w:hint="default"/>
                <w:sz w:val="21"/>
                <w:szCs w:val="21"/>
              </w:rPr>
            </w:pPr>
            <w:r>
              <w:rPr>
                <w:rFonts w:ascii="宋体" w:hAnsi="宋体" w:cs="宋体" w:eastAsia="宋体" w:hint="default"/>
                <w:spacing w:val="-2"/>
                <w:sz w:val="21"/>
                <w:szCs w:val="21"/>
              </w:rPr>
              <w:t>直接或间接为资产负债率超过</w:t>
            </w:r>
            <w:r>
              <w:rPr>
                <w:rFonts w:ascii="宋体" w:hAnsi="宋体" w:cs="宋体" w:eastAsia="宋体" w:hint="default"/>
                <w:spacing w:val="-2"/>
                <w:sz w:val="21"/>
                <w:szCs w:val="21"/>
              </w:rPr>
              <w:t>70%</w:t>
            </w:r>
            <w:r>
              <w:rPr>
                <w:rFonts w:ascii="宋体" w:hAnsi="宋体" w:cs="宋体" w:eastAsia="宋体" w:hint="default"/>
                <w:spacing w:val="-2"/>
                <w:sz w:val="21"/>
                <w:szCs w:val="21"/>
              </w:rPr>
              <w:t>的被担</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z w:val="21"/>
                <w:szCs w:val="21"/>
              </w:rPr>
              <w:t>保对象提供的债务担保金额（</w:t>
            </w:r>
            <w:r>
              <w:rPr>
                <w:rFonts w:ascii="宋体" w:hAnsi="宋体" w:cs="宋体" w:eastAsia="宋体" w:hint="default"/>
                <w:sz w:val="21"/>
                <w:szCs w:val="21"/>
              </w:rPr>
              <w:t>D</w:t>
            </w:r>
            <w:r>
              <w:rPr>
                <w:rFonts w:ascii="宋体" w:hAnsi="宋体" w:cs="宋体" w:eastAsia="宋体" w:hint="default"/>
                <w:sz w:val="21"/>
                <w:szCs w:val="21"/>
              </w:rPr>
              <w:t>）</w:t>
            </w:r>
            <w:r>
              <w:rPr>
                <w:rFonts w:ascii="宋体" w:hAnsi="宋体" w:cs="宋体" w:eastAsia="宋体" w:hint="default"/>
                <w:sz w:val="21"/>
                <w:szCs w:val="21"/>
              </w:rPr>
              <w:t> </w:t>
            </w:r>
          </w:p>
        </w:tc>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
              <w:jc w:val="right"/>
              <w:rPr>
                <w:rFonts w:ascii="宋体" w:hAnsi="宋体" w:cs="宋体" w:eastAsia="宋体" w:hint="default"/>
                <w:sz w:val="21"/>
                <w:szCs w:val="21"/>
              </w:rPr>
            </w:pPr>
            <w:r>
              <w:rPr>
                <w:rFonts w:ascii="宋体"/>
                <w:spacing w:val="-1"/>
                <w:sz w:val="21"/>
              </w:rPr>
              <w:t>35,000</w:t>
            </w:r>
            <w:r>
              <w:rPr>
                <w:rFonts w:ascii="宋体"/>
                <w:sz w:val="21"/>
              </w:rPr>
              <w:t> </w:t>
            </w:r>
          </w:p>
        </w:tc>
      </w:tr>
      <w:tr>
        <w:trPr>
          <w:trHeight w:val="322" w:hRule="exact"/>
        </w:trPr>
        <w:tc>
          <w:tcPr>
            <w:tcW w:w="382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pacing w:val="-2"/>
                <w:sz w:val="21"/>
                <w:szCs w:val="21"/>
              </w:rPr>
              <w:t>担保总额超过净资产</w:t>
            </w:r>
            <w:r>
              <w:rPr>
                <w:rFonts w:ascii="宋体" w:hAnsi="宋体" w:cs="宋体" w:eastAsia="宋体" w:hint="default"/>
                <w:spacing w:val="-2"/>
                <w:sz w:val="21"/>
                <w:szCs w:val="21"/>
              </w:rPr>
              <w:t>50%</w:t>
            </w:r>
            <w:r>
              <w:rPr>
                <w:rFonts w:ascii="宋体" w:hAnsi="宋体" w:cs="宋体" w:eastAsia="宋体" w:hint="default"/>
                <w:spacing w:val="-2"/>
                <w:sz w:val="21"/>
                <w:szCs w:val="21"/>
              </w:rPr>
              <w:t>部分的金额（</w:t>
            </w:r>
            <w:r>
              <w:rPr>
                <w:rFonts w:ascii="宋体" w:hAnsi="宋体" w:cs="宋体" w:eastAsia="宋体" w:hint="default"/>
                <w:spacing w:val="-2"/>
                <w:sz w:val="21"/>
                <w:szCs w:val="21"/>
              </w:rPr>
              <w:t>E</w:t>
            </w:r>
            <w:r>
              <w:rPr>
                <w:rFonts w:ascii="宋体" w:hAnsi="宋体" w:cs="宋体" w:eastAsia="宋体" w:hint="default"/>
                <w:spacing w:val="-2"/>
                <w:sz w:val="21"/>
                <w:szCs w:val="21"/>
              </w:rPr>
              <w:t>）</w:t>
            </w:r>
          </w:p>
        </w:tc>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
              <w:jc w:val="right"/>
              <w:rPr>
                <w:rFonts w:ascii="宋体" w:hAnsi="宋体" w:cs="宋体" w:eastAsia="宋体" w:hint="default"/>
                <w:sz w:val="21"/>
                <w:szCs w:val="21"/>
              </w:rPr>
            </w:pPr>
            <w:r>
              <w:rPr>
                <w:rFonts w:ascii="宋体"/>
                <w:w w:val="100"/>
                <w:sz w:val="21"/>
              </w:rPr>
              <w:t> </w:t>
            </w:r>
          </w:p>
        </w:tc>
      </w:tr>
      <w:tr>
        <w:trPr>
          <w:trHeight w:val="322" w:hRule="exact"/>
        </w:trPr>
        <w:tc>
          <w:tcPr>
            <w:tcW w:w="382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上述三项担保金额合计（</w:t>
            </w:r>
            <w:r>
              <w:rPr>
                <w:rFonts w:ascii="宋体" w:hAnsi="宋体" w:cs="宋体" w:eastAsia="宋体" w:hint="default"/>
                <w:sz w:val="21"/>
                <w:szCs w:val="21"/>
              </w:rPr>
              <w:t>C+D+E</w:t>
            </w:r>
            <w:r>
              <w:rPr>
                <w:rFonts w:ascii="宋体" w:hAnsi="宋体" w:cs="宋体" w:eastAsia="宋体" w:hint="default"/>
                <w:sz w:val="21"/>
                <w:szCs w:val="21"/>
              </w:rPr>
              <w:t>）</w:t>
            </w:r>
            <w:r>
              <w:rPr>
                <w:rFonts w:ascii="宋体" w:hAnsi="宋体" w:cs="宋体" w:eastAsia="宋体" w:hint="default"/>
                <w:sz w:val="21"/>
                <w:szCs w:val="21"/>
              </w:rPr>
              <w:t> </w:t>
            </w:r>
          </w:p>
        </w:tc>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
              <w:jc w:val="right"/>
              <w:rPr>
                <w:rFonts w:ascii="宋体" w:hAnsi="宋体" w:cs="宋体" w:eastAsia="宋体" w:hint="default"/>
                <w:sz w:val="21"/>
                <w:szCs w:val="21"/>
              </w:rPr>
            </w:pPr>
            <w:r>
              <w:rPr>
                <w:rFonts w:ascii="宋体"/>
                <w:spacing w:val="-1"/>
                <w:sz w:val="21"/>
              </w:rPr>
              <w:t>35,000</w:t>
            </w:r>
            <w:r>
              <w:rPr>
                <w:rFonts w:ascii="宋体"/>
                <w:sz w:val="21"/>
              </w:rPr>
              <w:t> </w:t>
            </w:r>
          </w:p>
        </w:tc>
      </w:tr>
      <w:tr>
        <w:trPr>
          <w:trHeight w:val="322" w:hRule="exact"/>
        </w:trPr>
        <w:tc>
          <w:tcPr>
            <w:tcW w:w="382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未到期担保可能承担连带清偿责任说明</w:t>
            </w:r>
            <w:r>
              <w:rPr>
                <w:rFonts w:ascii="宋体" w:hAnsi="宋体" w:cs="宋体" w:eastAsia="宋体" w:hint="default"/>
                <w:sz w:val="21"/>
                <w:szCs w:val="21"/>
              </w:rPr>
              <w:t> </w:t>
            </w:r>
          </w:p>
        </w:tc>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w w:val="100"/>
                <w:sz w:val="21"/>
              </w:rPr>
              <w:t> </w:t>
            </w:r>
          </w:p>
        </w:tc>
      </w:tr>
      <w:tr>
        <w:trPr>
          <w:trHeight w:val="324" w:hRule="exact"/>
        </w:trPr>
        <w:tc>
          <w:tcPr>
            <w:tcW w:w="382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担保情况说明</w:t>
            </w:r>
            <w:r>
              <w:rPr>
                <w:rFonts w:ascii="宋体" w:hAnsi="宋体" w:cs="宋体" w:eastAsia="宋体" w:hint="default"/>
                <w:sz w:val="21"/>
                <w:szCs w:val="21"/>
              </w:rPr>
              <w:t> </w:t>
            </w:r>
          </w:p>
        </w:tc>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w w:val="100"/>
                <w:sz w:val="21"/>
              </w:rPr>
              <w:t> </w:t>
            </w:r>
          </w:p>
        </w:tc>
      </w:tr>
    </w:tbl>
    <w:p>
      <w:pPr>
        <w:spacing w:after="0" w:line="262" w:lineRule="exact"/>
        <w:jc w:val="left"/>
        <w:rPr>
          <w:rFonts w:ascii="宋体" w:hAnsi="宋体" w:cs="宋体" w:eastAsia="宋体" w:hint="default"/>
          <w:sz w:val="21"/>
          <w:szCs w:val="21"/>
        </w:rPr>
        <w:sectPr>
          <w:pgSz w:w="11910" w:h="16840"/>
          <w:pgMar w:header="747" w:footer="974" w:top="1140" w:bottom="1160" w:left="1580" w:right="1060"/>
        </w:sectPr>
      </w:pPr>
    </w:p>
    <w:p>
      <w:pPr>
        <w:pStyle w:val="BodyText"/>
        <w:spacing w:line="262" w:lineRule="exact"/>
        <w:ind w:right="0"/>
        <w:jc w:val="left"/>
        <w:rPr>
          <w:rFonts w:ascii="宋体" w:hAnsi="宋体" w:cs="宋体" w:eastAsia="宋体" w:hint="default"/>
        </w:rPr>
      </w:pPr>
      <w:r>
        <w:rPr>
          <w:rFonts w:ascii="宋体"/>
          <w:w w:val="100"/>
        </w:rPr>
        <w:t> </w:t>
      </w:r>
    </w:p>
    <w:p>
      <w:pPr>
        <w:pStyle w:val="Heading3"/>
        <w:tabs>
          <w:tab w:pos="642" w:val="left" w:leader="none"/>
          <w:tab w:pos="1057" w:val="left" w:leader="none"/>
        </w:tabs>
        <w:spacing w:line="324" w:lineRule="auto"/>
        <w:ind w:right="0"/>
        <w:jc w:val="left"/>
        <w:rPr>
          <w:rFonts w:ascii="宋体" w:hAnsi="宋体" w:cs="宋体" w:eastAsia="宋体" w:hint="default"/>
          <w:b w:val="0"/>
          <w:bCs w:val="0"/>
        </w:rPr>
      </w:pPr>
      <w:r>
        <w:rPr>
          <w:rFonts w:ascii="宋体" w:hAnsi="宋体" w:cs="宋体" w:eastAsia="宋体" w:hint="default"/>
          <w:spacing w:val="-1"/>
        </w:rPr>
        <w:t>(</w:t>
      </w:r>
      <w:r>
        <w:rPr>
          <w:spacing w:val="-1"/>
        </w:rPr>
        <w:t>三</w:t>
      </w:r>
      <w:r>
        <w:rPr>
          <w:rFonts w:ascii="宋体" w:hAnsi="宋体" w:cs="宋体" w:eastAsia="宋体" w:hint="default"/>
          <w:spacing w:val="-1"/>
        </w:rPr>
        <w:t>)</w:t>
        <w:tab/>
        <w:tab/>
      </w:r>
      <w:r>
        <w:rPr>
          <w:spacing w:val="-1"/>
        </w:rPr>
        <w:t>委托他人进行现金资产管理的情况</w:t>
      </w:r>
      <w:r>
        <w:rPr>
          <w:spacing w:val="-92"/>
        </w:rPr>
        <w:t> </w:t>
      </w:r>
      <w:r>
        <w:rPr>
          <w:spacing w:val="-92"/>
        </w:rPr>
      </w:r>
      <w:r>
        <w:rPr>
          <w:rFonts w:ascii="宋体" w:hAnsi="宋体" w:cs="宋体" w:eastAsia="宋体" w:hint="default"/>
          <w:w w:val="95"/>
        </w:rPr>
        <w:t>1.</w:t>
        <w:tab/>
      </w:r>
      <w:r>
        <w:rPr/>
        <w:t>委托理财情况</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23"/>
        <w:ind w:right="0"/>
        <w:jc w:val="left"/>
        <w:rPr>
          <w:b w:val="0"/>
          <w:bCs w:val="0"/>
        </w:rPr>
      </w:pPr>
      <w:r>
        <w:rPr>
          <w:rFonts w:ascii="宋体" w:hAnsi="宋体" w:cs="宋体" w:eastAsia="宋体" w:hint="default"/>
        </w:rPr>
        <w:t>(1)</w:t>
      </w:r>
      <w:r>
        <w:rPr>
          <w:rFonts w:ascii="宋体" w:hAnsi="宋体" w:cs="宋体" w:eastAsia="宋体" w:hint="default"/>
          <w:spacing w:val="-61"/>
        </w:rPr>
        <w:t> </w:t>
      </w:r>
      <w:r>
        <w:rPr/>
        <w:t>委托理财总体情况</w:t>
      </w:r>
      <w:r>
        <w:rPr>
          <w:b w:val="0"/>
          <w:bCs w:val="0"/>
        </w:rPr>
      </w:r>
    </w:p>
    <w:p>
      <w:pPr>
        <w:pStyle w:val="Heading2"/>
        <w:spacing w:line="240" w:lineRule="auto" w:before="70"/>
        <w:ind w:right="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6"/>
          <w:szCs w:val="16"/>
        </w:rPr>
      </w:pPr>
    </w:p>
    <w:p>
      <w:pPr>
        <w:pStyle w:val="BodyText"/>
        <w:spacing w:line="240" w:lineRule="auto"/>
        <w:ind w:right="0"/>
        <w:jc w:val="left"/>
        <w:rPr>
          <w:rFonts w:ascii="宋体" w:hAnsi="宋体" w:cs="宋体" w:eastAsia="宋体" w:hint="default"/>
        </w:rPr>
      </w:pPr>
      <w:r>
        <w:rPr/>
        <w:t>单位：万元币种：人民币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580" w:bottom="280" w:left="1580" w:right="1060"/>
          <w:cols w:num="2" w:equalWidth="0">
            <w:col w:w="4222" w:space="2300"/>
            <w:col w:w="2748"/>
          </w:cols>
        </w:sectPr>
      </w:pP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1670"/>
        <w:gridCol w:w="1702"/>
        <w:gridCol w:w="1702"/>
        <w:gridCol w:w="1702"/>
        <w:gridCol w:w="1981"/>
      </w:tblGrid>
      <w:tr>
        <w:trPr>
          <w:trHeight w:val="322" w:hRule="exact"/>
        </w:trPr>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58" w:right="0"/>
              <w:jc w:val="left"/>
              <w:rPr>
                <w:rFonts w:ascii="宋体" w:hAnsi="宋体" w:cs="宋体" w:eastAsia="宋体" w:hint="default"/>
                <w:sz w:val="21"/>
                <w:szCs w:val="21"/>
              </w:rPr>
            </w:pPr>
            <w:r>
              <w:rPr>
                <w:rFonts w:ascii="宋体" w:hAnsi="宋体" w:cs="宋体" w:eastAsia="宋体" w:hint="default"/>
                <w:sz w:val="21"/>
                <w:szCs w:val="21"/>
              </w:rPr>
              <w:t>类型</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27" w:right="0"/>
              <w:jc w:val="left"/>
              <w:rPr>
                <w:rFonts w:ascii="宋体" w:hAnsi="宋体" w:cs="宋体" w:eastAsia="宋体" w:hint="default"/>
                <w:sz w:val="21"/>
                <w:szCs w:val="21"/>
              </w:rPr>
            </w:pPr>
            <w:r>
              <w:rPr>
                <w:rFonts w:ascii="宋体" w:hAnsi="宋体" w:cs="宋体" w:eastAsia="宋体" w:hint="default"/>
                <w:sz w:val="21"/>
                <w:szCs w:val="21"/>
              </w:rPr>
              <w:t>资金来源</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30" w:right="0"/>
              <w:jc w:val="left"/>
              <w:rPr>
                <w:rFonts w:ascii="宋体" w:hAnsi="宋体" w:cs="宋体" w:eastAsia="宋体" w:hint="default"/>
                <w:sz w:val="21"/>
                <w:szCs w:val="21"/>
              </w:rPr>
            </w:pPr>
            <w:r>
              <w:rPr>
                <w:rFonts w:ascii="宋体" w:hAnsi="宋体" w:cs="宋体" w:eastAsia="宋体" w:hint="default"/>
                <w:sz w:val="21"/>
                <w:szCs w:val="21"/>
              </w:rPr>
              <w:t>发生额</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9" w:right="0"/>
              <w:jc w:val="left"/>
              <w:rPr>
                <w:rFonts w:ascii="宋体" w:hAnsi="宋体" w:cs="宋体" w:eastAsia="宋体" w:hint="default"/>
                <w:sz w:val="21"/>
                <w:szCs w:val="21"/>
              </w:rPr>
            </w:pPr>
            <w:r>
              <w:rPr>
                <w:rFonts w:ascii="宋体" w:hAnsi="宋体" w:cs="宋体" w:eastAsia="宋体" w:hint="default"/>
                <w:sz w:val="21"/>
                <w:szCs w:val="21"/>
              </w:rPr>
              <w:t>未到期余额</w:t>
            </w:r>
            <w:r>
              <w:rPr>
                <w:rFonts w:ascii="宋体" w:hAnsi="宋体" w:cs="宋体" w:eastAsia="宋体" w:hint="default"/>
                <w:sz w:val="21"/>
                <w:szCs w:val="21"/>
              </w:rPr>
              <w:t> </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7" w:right="0"/>
              <w:jc w:val="left"/>
              <w:rPr>
                <w:rFonts w:ascii="宋体" w:hAnsi="宋体" w:cs="宋体" w:eastAsia="宋体" w:hint="default"/>
                <w:sz w:val="21"/>
                <w:szCs w:val="21"/>
              </w:rPr>
            </w:pPr>
            <w:r>
              <w:rPr>
                <w:rFonts w:ascii="宋体" w:hAnsi="宋体" w:cs="宋体" w:eastAsia="宋体" w:hint="default"/>
                <w:sz w:val="21"/>
                <w:szCs w:val="21"/>
              </w:rPr>
              <w:t>逾期未收回金额</w:t>
            </w:r>
            <w:r>
              <w:rPr>
                <w:rFonts w:ascii="宋体" w:hAnsi="宋体" w:cs="宋体" w:eastAsia="宋体" w:hint="default"/>
                <w:sz w:val="21"/>
                <w:szCs w:val="21"/>
              </w:rPr>
              <w:t> </w:t>
            </w:r>
          </w:p>
        </w:tc>
      </w:tr>
      <w:tr>
        <w:trPr>
          <w:trHeight w:val="322" w:hRule="exact"/>
        </w:trPr>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保本收益型</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自有资金</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37" w:right="-3"/>
              <w:jc w:val="left"/>
              <w:rPr>
                <w:rFonts w:ascii="宋体" w:hAnsi="宋体" w:cs="宋体" w:eastAsia="宋体" w:hint="default"/>
                <w:sz w:val="21"/>
                <w:szCs w:val="21"/>
              </w:rPr>
            </w:pPr>
            <w:r>
              <w:rPr>
                <w:rFonts w:ascii="宋体"/>
                <w:sz w:val="21"/>
              </w:rPr>
              <w:t>111,952.44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19,301.54</w:t>
            </w:r>
            <w:r>
              <w:rPr>
                <w:rFonts w:ascii="宋体"/>
                <w:sz w:val="21"/>
              </w:rPr>
              <w:t> </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保本收益型</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可转债</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37" w:right="-3"/>
              <w:jc w:val="left"/>
              <w:rPr>
                <w:rFonts w:ascii="宋体" w:hAnsi="宋体" w:cs="宋体" w:eastAsia="宋体" w:hint="default"/>
                <w:sz w:val="21"/>
                <w:szCs w:val="21"/>
              </w:rPr>
            </w:pPr>
            <w:r>
              <w:rPr>
                <w:rFonts w:ascii="宋体"/>
                <w:sz w:val="21"/>
              </w:rPr>
              <w:t>533,500.00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34,000.00</w:t>
            </w:r>
            <w:r>
              <w:rPr>
                <w:rFonts w:ascii="宋体"/>
                <w:sz w:val="21"/>
              </w:rPr>
              <w:t> </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低风险型</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自有资金</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37" w:right="-3"/>
              <w:jc w:val="left"/>
              <w:rPr>
                <w:rFonts w:ascii="宋体" w:hAnsi="宋体" w:cs="宋体" w:eastAsia="宋体" w:hint="default"/>
                <w:sz w:val="21"/>
                <w:szCs w:val="21"/>
              </w:rPr>
            </w:pPr>
            <w:r>
              <w:rPr>
                <w:rFonts w:ascii="宋体"/>
                <w:sz w:val="21"/>
              </w:rPr>
              <w:t>216,920.00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46,757.13</w:t>
            </w:r>
            <w:r>
              <w:rPr>
                <w:rFonts w:ascii="宋体"/>
                <w:sz w:val="21"/>
              </w:rPr>
              <w:t> </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bl>
    <w:p>
      <w:pPr>
        <w:pStyle w:val="Heading2"/>
        <w:spacing w:line="274" w:lineRule="exact"/>
        <w:ind w:right="0"/>
        <w:jc w:val="left"/>
        <w:rPr>
          <w:rFonts w:ascii="宋体" w:hAnsi="宋体" w:cs="宋体" w:eastAsia="宋体" w:hint="default"/>
        </w:rPr>
      </w:pPr>
      <w:r>
        <w:rPr>
          <w:rFonts w:ascii="宋体"/>
        </w:rPr>
        <w:t> </w:t>
      </w:r>
    </w:p>
    <w:p>
      <w:pPr>
        <w:pStyle w:val="Heading3"/>
        <w:spacing w:line="240" w:lineRule="auto" w:before="25"/>
        <w:ind w:right="0"/>
        <w:jc w:val="left"/>
        <w:rPr>
          <w:rFonts w:ascii="宋体" w:hAnsi="宋体" w:cs="宋体" w:eastAsia="宋体" w:hint="default"/>
          <w:b w:val="0"/>
          <w:bCs w:val="0"/>
        </w:rPr>
      </w:pPr>
      <w:r>
        <w:rPr/>
        <w:t>其他情况</w:t>
      </w:r>
      <w:r>
        <w:rPr>
          <w:rFonts w:ascii="宋体" w:hAnsi="宋体" w:cs="宋体" w:eastAsia="宋体" w:hint="default"/>
          <w:w w:val="99"/>
        </w:rPr>
        <w:t> </w:t>
      </w:r>
      <w:r>
        <w:rPr>
          <w:rFonts w:ascii="宋体" w:hAnsi="宋体" w:cs="宋体" w:eastAsia="宋体" w:hint="default"/>
          <w:b w:val="0"/>
          <w:bCs w:val="0"/>
        </w:rPr>
      </w:r>
    </w:p>
    <w:p>
      <w:pPr>
        <w:pStyle w:val="Heading2"/>
        <w:spacing w:line="313" w:lineRule="exact" w:before="9"/>
        <w:ind w:right="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Heading2"/>
        <w:spacing w:line="313" w:lineRule="exact"/>
        <w:ind w:right="0"/>
        <w:jc w:val="left"/>
        <w:rPr>
          <w:rFonts w:ascii="宋体" w:hAnsi="宋体" w:cs="宋体" w:eastAsia="宋体" w:hint="default"/>
        </w:rPr>
      </w:pPr>
      <w:r>
        <w:rPr>
          <w:rFonts w:ascii="宋体"/>
        </w:rPr>
        <w:t> </w:t>
      </w:r>
    </w:p>
    <w:p>
      <w:pPr>
        <w:pStyle w:val="Heading3"/>
        <w:spacing w:line="240" w:lineRule="auto" w:before="85"/>
        <w:ind w:right="0"/>
        <w:jc w:val="left"/>
        <w:rPr>
          <w:b w:val="0"/>
          <w:bCs w:val="0"/>
        </w:rPr>
      </w:pPr>
      <w:r>
        <w:rPr>
          <w:rFonts w:ascii="宋体" w:hAnsi="宋体" w:cs="宋体" w:eastAsia="宋体" w:hint="default"/>
        </w:rPr>
        <w:t>(2)</w:t>
      </w:r>
      <w:r>
        <w:rPr>
          <w:rFonts w:ascii="宋体" w:hAnsi="宋体" w:cs="宋体" w:eastAsia="宋体" w:hint="default"/>
          <w:spacing w:val="-61"/>
        </w:rPr>
        <w:t> </w:t>
      </w:r>
      <w:r>
        <w:rPr/>
        <w:t>单项委托理财情况</w:t>
      </w:r>
      <w:r>
        <w:rPr>
          <w:b w:val="0"/>
          <w:bCs w:val="0"/>
        </w:rPr>
      </w:r>
    </w:p>
    <w:p>
      <w:pPr>
        <w:pStyle w:val="Heading2"/>
        <w:spacing w:line="240" w:lineRule="auto" w:before="69"/>
        <w:ind w:right="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Heading3"/>
        <w:spacing w:line="240" w:lineRule="auto" w:before="25"/>
        <w:ind w:right="0"/>
        <w:jc w:val="left"/>
        <w:rPr>
          <w:rFonts w:ascii="宋体" w:hAnsi="宋体" w:cs="宋体" w:eastAsia="宋体" w:hint="default"/>
          <w:b w:val="0"/>
          <w:bCs w:val="0"/>
        </w:rPr>
      </w:pPr>
      <w:r>
        <w:rPr/>
        <w:t>其他情况</w:t>
      </w:r>
      <w:r>
        <w:rPr>
          <w:rFonts w:ascii="宋体" w:hAnsi="宋体" w:cs="宋体" w:eastAsia="宋体" w:hint="default"/>
          <w:w w:val="99"/>
        </w:rPr>
        <w:t> </w:t>
      </w:r>
      <w:r>
        <w:rPr>
          <w:rFonts w:ascii="宋体" w:hAnsi="宋体" w:cs="宋体" w:eastAsia="宋体" w:hint="default"/>
          <w:b w:val="0"/>
          <w:bCs w:val="0"/>
        </w:rPr>
      </w:r>
    </w:p>
    <w:p>
      <w:pPr>
        <w:pStyle w:val="Heading2"/>
        <w:spacing w:line="313" w:lineRule="exact" w:before="9"/>
        <w:ind w:right="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Heading2"/>
        <w:spacing w:line="313" w:lineRule="exact"/>
        <w:ind w:right="0"/>
        <w:jc w:val="left"/>
        <w:rPr>
          <w:rFonts w:ascii="宋体" w:hAnsi="宋体" w:cs="宋体" w:eastAsia="宋体" w:hint="default"/>
        </w:rPr>
      </w:pPr>
      <w:r>
        <w:rPr>
          <w:rFonts w:ascii="宋体"/>
        </w:rPr>
        <w:t> </w:t>
      </w:r>
    </w:p>
    <w:p>
      <w:pPr>
        <w:pStyle w:val="Heading3"/>
        <w:spacing w:line="240" w:lineRule="auto" w:before="85"/>
        <w:ind w:right="0"/>
        <w:jc w:val="left"/>
        <w:rPr>
          <w:b w:val="0"/>
          <w:bCs w:val="0"/>
        </w:rPr>
      </w:pPr>
      <w:r>
        <w:rPr>
          <w:rFonts w:ascii="宋体" w:hAnsi="宋体" w:cs="宋体" w:eastAsia="宋体" w:hint="default"/>
        </w:rPr>
        <w:t>(3)</w:t>
      </w:r>
      <w:r>
        <w:rPr>
          <w:rFonts w:ascii="宋体" w:hAnsi="宋体" w:cs="宋体" w:eastAsia="宋体" w:hint="default"/>
          <w:spacing w:val="-61"/>
        </w:rPr>
        <w:t> </w:t>
      </w:r>
      <w:r>
        <w:rPr/>
        <w:t>委托理财减值准备</w:t>
      </w:r>
      <w:r>
        <w:rPr>
          <w:b w:val="0"/>
          <w:bCs w:val="0"/>
        </w:rPr>
      </w:r>
    </w:p>
    <w:p>
      <w:pPr>
        <w:pStyle w:val="Heading2"/>
        <w:spacing w:line="313" w:lineRule="exact" w:before="69"/>
        <w:ind w:right="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Heading2"/>
        <w:spacing w:line="313" w:lineRule="exact"/>
        <w:ind w:right="0"/>
        <w:jc w:val="left"/>
        <w:rPr>
          <w:rFonts w:ascii="宋体" w:hAnsi="宋体" w:cs="宋体" w:eastAsia="宋体" w:hint="default"/>
        </w:rPr>
      </w:pPr>
      <w:r>
        <w:rPr>
          <w:rFonts w:ascii="宋体"/>
        </w:rPr>
        <w:t> </w:t>
      </w:r>
    </w:p>
    <w:p>
      <w:pPr>
        <w:pStyle w:val="Heading3"/>
        <w:tabs>
          <w:tab w:pos="642" w:val="left" w:leader="none"/>
        </w:tabs>
        <w:spacing w:line="240" w:lineRule="auto" w:before="85"/>
        <w:ind w:right="0"/>
        <w:jc w:val="left"/>
        <w:rPr>
          <w:rFonts w:ascii="宋体" w:hAnsi="宋体" w:cs="宋体" w:eastAsia="宋体" w:hint="default"/>
          <w:b w:val="0"/>
          <w:bCs w:val="0"/>
        </w:rPr>
      </w:pPr>
      <w:r>
        <w:rPr>
          <w:rFonts w:ascii="宋体" w:hAnsi="宋体" w:cs="宋体" w:eastAsia="宋体" w:hint="default"/>
          <w:w w:val="95"/>
        </w:rPr>
        <w:t>2.</w:t>
        <w:tab/>
      </w:r>
      <w:r>
        <w:rPr/>
        <w:t>委托贷款情况</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ind w:right="0"/>
        <w:jc w:val="left"/>
        <w:rPr>
          <w:b w:val="0"/>
          <w:bCs w:val="0"/>
        </w:rPr>
      </w:pPr>
      <w:r>
        <w:rPr>
          <w:rFonts w:ascii="宋体" w:hAnsi="宋体" w:cs="宋体" w:eastAsia="宋体" w:hint="default"/>
        </w:rPr>
        <w:t>(1)</w:t>
      </w:r>
      <w:r>
        <w:rPr>
          <w:rFonts w:ascii="宋体" w:hAnsi="宋体" w:cs="宋体" w:eastAsia="宋体" w:hint="default"/>
          <w:spacing w:val="-61"/>
        </w:rPr>
        <w:t> </w:t>
      </w:r>
      <w:r>
        <w:rPr/>
        <w:t>委托贷款总体情况</w:t>
      </w:r>
      <w:r>
        <w:rPr>
          <w:b w:val="0"/>
          <w:bCs w:val="0"/>
        </w:rPr>
      </w:r>
    </w:p>
    <w:p>
      <w:pPr>
        <w:pStyle w:val="Heading2"/>
        <w:spacing w:line="240" w:lineRule="auto" w:before="69"/>
        <w:ind w:right="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Heading3"/>
        <w:spacing w:line="240" w:lineRule="auto" w:before="26"/>
        <w:ind w:right="0"/>
        <w:jc w:val="left"/>
        <w:rPr>
          <w:rFonts w:ascii="宋体" w:hAnsi="宋体" w:cs="宋体" w:eastAsia="宋体" w:hint="default"/>
          <w:b w:val="0"/>
          <w:bCs w:val="0"/>
        </w:rPr>
      </w:pPr>
      <w:r>
        <w:rPr/>
        <w:t>其他情况</w:t>
      </w:r>
      <w:r>
        <w:rPr>
          <w:rFonts w:ascii="宋体" w:hAnsi="宋体" w:cs="宋体" w:eastAsia="宋体" w:hint="default"/>
          <w:w w:val="99"/>
        </w:rPr>
        <w:t> </w:t>
      </w:r>
      <w:r>
        <w:rPr>
          <w:rFonts w:ascii="宋体" w:hAnsi="宋体" w:cs="宋体" w:eastAsia="宋体" w:hint="default"/>
          <w:b w:val="0"/>
          <w:bCs w:val="0"/>
        </w:rPr>
      </w:r>
    </w:p>
    <w:p>
      <w:pPr>
        <w:pStyle w:val="Heading2"/>
        <w:spacing w:line="240" w:lineRule="auto" w:before="9"/>
        <w:ind w:right="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Heading3"/>
        <w:spacing w:line="240" w:lineRule="auto" w:before="85"/>
        <w:ind w:right="0"/>
        <w:jc w:val="left"/>
        <w:rPr>
          <w:b w:val="0"/>
          <w:bCs w:val="0"/>
        </w:rPr>
      </w:pPr>
      <w:r>
        <w:rPr>
          <w:rFonts w:ascii="宋体" w:hAnsi="宋体" w:cs="宋体" w:eastAsia="宋体" w:hint="default"/>
        </w:rPr>
        <w:t>(2)</w:t>
      </w:r>
      <w:r>
        <w:rPr>
          <w:rFonts w:ascii="宋体" w:hAnsi="宋体" w:cs="宋体" w:eastAsia="宋体" w:hint="default"/>
          <w:spacing w:val="-61"/>
        </w:rPr>
        <w:t> </w:t>
      </w:r>
      <w:r>
        <w:rPr/>
        <w:t>单项委托贷款情况</w:t>
      </w:r>
      <w:r>
        <w:rPr>
          <w:b w:val="0"/>
          <w:bCs w:val="0"/>
        </w:rPr>
      </w:r>
    </w:p>
    <w:p>
      <w:pPr>
        <w:pStyle w:val="Heading2"/>
        <w:spacing w:line="240" w:lineRule="auto" w:before="69"/>
        <w:ind w:right="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Heading3"/>
        <w:spacing w:line="240" w:lineRule="auto" w:before="25"/>
        <w:ind w:right="0"/>
        <w:jc w:val="left"/>
        <w:rPr>
          <w:rFonts w:ascii="宋体" w:hAnsi="宋体" w:cs="宋体" w:eastAsia="宋体" w:hint="default"/>
          <w:b w:val="0"/>
          <w:bCs w:val="0"/>
        </w:rPr>
      </w:pPr>
      <w:r>
        <w:rPr/>
        <w:t>其他情况</w:t>
      </w:r>
      <w:r>
        <w:rPr>
          <w:rFonts w:ascii="宋体" w:hAnsi="宋体" w:cs="宋体" w:eastAsia="宋体" w:hint="default"/>
          <w:w w:val="99"/>
        </w:rPr>
        <w:t> </w:t>
      </w:r>
      <w:r>
        <w:rPr>
          <w:rFonts w:ascii="宋体" w:hAnsi="宋体" w:cs="宋体" w:eastAsia="宋体" w:hint="default"/>
          <w:b w:val="0"/>
          <w:bCs w:val="0"/>
        </w:rPr>
      </w:r>
    </w:p>
    <w:p>
      <w:pPr>
        <w:pStyle w:val="Heading2"/>
        <w:spacing w:line="240" w:lineRule="auto" w:before="9"/>
        <w:ind w:right="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Heading3"/>
        <w:spacing w:line="240" w:lineRule="auto" w:before="85"/>
        <w:ind w:right="0"/>
        <w:jc w:val="left"/>
        <w:rPr>
          <w:b w:val="0"/>
          <w:bCs w:val="0"/>
        </w:rPr>
      </w:pPr>
      <w:r>
        <w:rPr>
          <w:rFonts w:ascii="宋体" w:hAnsi="宋体" w:cs="宋体" w:eastAsia="宋体" w:hint="default"/>
        </w:rPr>
        <w:t>(3)</w:t>
      </w:r>
      <w:r>
        <w:rPr>
          <w:rFonts w:ascii="宋体" w:hAnsi="宋体" w:cs="宋体" w:eastAsia="宋体" w:hint="default"/>
          <w:spacing w:val="-61"/>
        </w:rPr>
        <w:t> </w:t>
      </w:r>
      <w:r>
        <w:rPr/>
        <w:t>委托贷款减值准备</w:t>
      </w:r>
      <w:r>
        <w:rPr>
          <w:b w:val="0"/>
          <w:bCs w:val="0"/>
        </w:rPr>
      </w:r>
    </w:p>
    <w:p>
      <w:pPr>
        <w:pStyle w:val="Heading2"/>
        <w:spacing w:line="313" w:lineRule="exact" w:before="69"/>
        <w:ind w:right="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Heading2"/>
        <w:spacing w:line="313" w:lineRule="exact"/>
        <w:ind w:right="0"/>
        <w:jc w:val="left"/>
        <w:rPr>
          <w:rFonts w:ascii="宋体" w:hAnsi="宋体" w:cs="宋体" w:eastAsia="宋体" w:hint="default"/>
        </w:rPr>
      </w:pPr>
      <w:r>
        <w:rPr>
          <w:rFonts w:ascii="宋体"/>
        </w:rPr>
        <w:t> </w:t>
      </w:r>
    </w:p>
    <w:p>
      <w:pPr>
        <w:spacing w:after="0" w:line="313" w:lineRule="exact"/>
        <w:jc w:val="left"/>
        <w:rPr>
          <w:rFonts w:ascii="宋体" w:hAnsi="宋体" w:cs="宋体" w:eastAsia="宋体" w:hint="default"/>
        </w:rPr>
        <w:sectPr>
          <w:type w:val="continuous"/>
          <w:pgSz w:w="11910" w:h="16840"/>
          <w:pgMar w:top="1580" w:bottom="280" w:left="1580" w:right="1060"/>
        </w:sectPr>
      </w:pPr>
    </w:p>
    <w:p>
      <w:pPr>
        <w:spacing w:line="240" w:lineRule="auto" w:before="9"/>
        <w:rPr>
          <w:rFonts w:ascii="宋体" w:hAnsi="宋体" w:cs="宋体" w:eastAsia="宋体" w:hint="default"/>
          <w:sz w:val="25"/>
          <w:szCs w:val="25"/>
        </w:rPr>
      </w:pPr>
    </w:p>
    <w:p>
      <w:pPr>
        <w:pStyle w:val="Heading3"/>
        <w:tabs>
          <w:tab w:pos="642" w:val="left" w:leader="none"/>
        </w:tabs>
        <w:spacing w:line="240" w:lineRule="auto" w:before="36"/>
        <w:ind w:right="0"/>
        <w:jc w:val="left"/>
        <w:rPr>
          <w:rFonts w:ascii="宋体" w:hAnsi="宋体" w:cs="宋体" w:eastAsia="宋体" w:hint="default"/>
          <w:b w:val="0"/>
          <w:bCs w:val="0"/>
        </w:rPr>
      </w:pPr>
      <w:r>
        <w:rPr>
          <w:rFonts w:ascii="宋体" w:hAnsi="宋体" w:cs="宋体" w:eastAsia="宋体" w:hint="default"/>
          <w:w w:val="95"/>
        </w:rPr>
        <w:t>3.</w:t>
        <w:tab/>
      </w:r>
      <w:r>
        <w:rPr/>
        <w:t>其他情况</w:t>
      </w:r>
      <w:r>
        <w:rPr>
          <w:rFonts w:ascii="宋体" w:hAnsi="宋体" w:cs="宋体" w:eastAsia="宋体" w:hint="default"/>
          <w:w w:val="99"/>
        </w:rPr>
        <w:t> </w:t>
      </w:r>
      <w:r>
        <w:rPr>
          <w:rFonts w:ascii="宋体" w:hAnsi="宋体" w:cs="宋体" w:eastAsia="宋体" w:hint="default"/>
          <w:b w:val="0"/>
          <w:bCs w:val="0"/>
        </w:rPr>
      </w:r>
    </w:p>
    <w:p>
      <w:pPr>
        <w:pStyle w:val="Heading2"/>
        <w:spacing w:line="313" w:lineRule="exact" w:before="69"/>
        <w:ind w:right="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Heading2"/>
        <w:spacing w:line="313" w:lineRule="exact"/>
        <w:ind w:right="0"/>
        <w:jc w:val="left"/>
        <w:rPr>
          <w:rFonts w:ascii="宋体" w:hAnsi="宋体" w:cs="宋体" w:eastAsia="宋体" w:hint="default"/>
        </w:rPr>
      </w:pPr>
      <w:r>
        <w:rPr>
          <w:rFonts w:ascii="宋体"/>
        </w:rPr>
        <w:t> </w:t>
      </w:r>
    </w:p>
    <w:p>
      <w:pPr>
        <w:pStyle w:val="Heading3"/>
        <w:tabs>
          <w:tab w:pos="1057" w:val="left" w:leader="none"/>
        </w:tabs>
        <w:spacing w:line="240" w:lineRule="auto" w:before="85"/>
        <w:ind w:right="0"/>
        <w:jc w:val="left"/>
        <w:rPr>
          <w:b w:val="0"/>
          <w:bCs w:val="0"/>
        </w:rPr>
      </w:pPr>
      <w:r>
        <w:rPr>
          <w:rFonts w:ascii="宋体" w:hAnsi="宋体" w:cs="宋体" w:eastAsia="宋体" w:hint="default"/>
          <w:spacing w:val="-1"/>
        </w:rPr>
        <w:t>(</w:t>
      </w:r>
      <w:r>
        <w:rPr>
          <w:spacing w:val="-1"/>
        </w:rPr>
        <w:t>四</w:t>
      </w:r>
      <w:r>
        <w:rPr>
          <w:rFonts w:ascii="宋体" w:hAnsi="宋体" w:cs="宋体" w:eastAsia="宋体" w:hint="default"/>
          <w:spacing w:val="-1"/>
        </w:rPr>
        <w:t>)</w:t>
        <w:tab/>
      </w:r>
      <w:r>
        <w:rPr/>
        <w:t>其他重大合同</w:t>
      </w:r>
      <w:r>
        <w:rPr>
          <w:b w:val="0"/>
          <w:bCs w:val="0"/>
        </w:rPr>
      </w:r>
    </w:p>
    <w:p>
      <w:pPr>
        <w:pStyle w:val="BodyText"/>
        <w:spacing w:line="240" w:lineRule="auto" w:before="97"/>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auto" w:before="37"/>
        <w:ind w:right="137" w:firstLine="419"/>
        <w:jc w:val="both"/>
        <w:rPr>
          <w:rFonts w:ascii="宋体" w:hAnsi="宋体" w:cs="宋体" w:eastAsia="宋体" w:hint="default"/>
        </w:rPr>
      </w:pPr>
      <w:r>
        <w:rPr/>
        <w:t>（</w:t>
      </w:r>
      <w:r>
        <w:rPr>
          <w:rFonts w:ascii="宋体" w:hAnsi="宋体" w:cs="宋体" w:eastAsia="宋体" w:hint="default"/>
        </w:rPr>
        <w:t>1</w:t>
      </w:r>
      <w:r>
        <w:rPr/>
        <w:t>）</w:t>
      </w:r>
      <w:r>
        <w:rPr>
          <w:rFonts w:ascii="宋体" w:hAnsi="宋体" w:cs="宋体" w:eastAsia="宋体" w:hint="default"/>
        </w:rPr>
        <w:t>2019</w:t>
      </w:r>
      <w:r>
        <w:rPr>
          <w:rFonts w:ascii="宋体" w:hAnsi="宋体" w:cs="宋体" w:eastAsia="宋体" w:hint="default"/>
          <w:spacing w:val="-55"/>
        </w:rPr>
        <w:t> </w:t>
      </w:r>
      <w:r>
        <w:rPr/>
        <w:t>年</w:t>
      </w:r>
      <w:r>
        <w:rPr>
          <w:spacing w:val="-53"/>
        </w:rPr>
        <w:t> </w:t>
      </w:r>
      <w:r>
        <w:rPr>
          <w:rFonts w:ascii="宋体" w:hAnsi="宋体" w:cs="宋体" w:eastAsia="宋体" w:hint="default"/>
        </w:rPr>
        <w:t>1</w:t>
      </w:r>
      <w:r>
        <w:rPr>
          <w:rFonts w:ascii="宋体" w:hAnsi="宋体" w:cs="宋体" w:eastAsia="宋体" w:hint="default"/>
          <w:spacing w:val="-55"/>
        </w:rPr>
        <w:t> </w:t>
      </w:r>
      <w:r>
        <w:rPr/>
        <w:t>月，在广州供电局有限公司“2019</w:t>
      </w:r>
      <w:r>
        <w:rPr>
          <w:spacing w:val="-55"/>
        </w:rPr>
        <w:t> </w:t>
      </w:r>
      <w:r>
        <w:rPr/>
        <w:t>年营销类物资框架招标活动”中，公司为</w:t>
      </w:r>
      <w:r>
        <w:rPr>
          <w:w w:val="100"/>
        </w:rPr>
        <w:t> </w:t>
      </w:r>
      <w:r>
        <w:rPr>
          <w:spacing w:val="-2"/>
        </w:rPr>
        <w:t>三相多功能电子式电能表（高稳定）、单相智能电能表（费控）、三相智能电能表（费控）、电</w:t>
      </w:r>
      <w:r>
        <w:rPr>
          <w:spacing w:val="-25"/>
        </w:rPr>
        <w:t> </w:t>
      </w:r>
      <w:r>
        <w:rPr>
          <w:spacing w:val="-25"/>
        </w:rPr>
      </w:r>
      <w:r>
        <w:rPr/>
        <w:t>能表外置断路器（单相）的中标候选人，预计中标金额约为</w:t>
      </w:r>
      <w:r>
        <w:rPr>
          <w:spacing w:val="-54"/>
        </w:rPr>
        <w:t> </w:t>
      </w:r>
      <w:r>
        <w:rPr>
          <w:rFonts w:ascii="宋体" w:hAnsi="宋体" w:cs="宋体" w:eastAsia="宋体" w:hint="default"/>
        </w:rPr>
        <w:t>6,910</w:t>
      </w:r>
      <w:r>
        <w:rPr>
          <w:rFonts w:ascii="宋体" w:hAnsi="宋体" w:cs="宋体" w:eastAsia="宋体" w:hint="default"/>
          <w:spacing w:val="-56"/>
        </w:rPr>
        <w:t> </w:t>
      </w:r>
      <w:r>
        <w:rPr/>
        <w:t>万元。截至本报告披露日，公</w:t>
      </w:r>
      <w:r>
        <w:rPr>
          <w:w w:val="100"/>
        </w:rPr>
        <w:t> </w:t>
      </w:r>
      <w:r>
        <w:rPr/>
        <w:t>司按要求与项目单位签订书面合同，并按合同的规定履行相应事宜。</w:t>
      </w:r>
      <w:r>
        <w:rPr>
          <w:rFonts w:ascii="宋体" w:hAnsi="宋体" w:cs="宋体" w:eastAsia="宋体" w:hint="default"/>
        </w:rPr>
        <w:t> </w:t>
      </w:r>
    </w:p>
    <w:p>
      <w:pPr>
        <w:pStyle w:val="BodyText"/>
        <w:spacing w:line="273" w:lineRule="auto" w:before="7"/>
        <w:ind w:right="137" w:firstLine="419"/>
        <w:jc w:val="both"/>
        <w:rPr>
          <w:rFonts w:ascii="宋体" w:hAnsi="宋体" w:cs="宋体" w:eastAsia="宋体" w:hint="default"/>
        </w:rPr>
      </w:pPr>
      <w:r>
        <w:rPr/>
        <w:t>（</w:t>
      </w:r>
      <w:r>
        <w:rPr>
          <w:rFonts w:ascii="宋体" w:hAnsi="宋体" w:cs="宋体" w:eastAsia="宋体" w:hint="default"/>
        </w:rPr>
        <w:t>2</w:t>
      </w:r>
      <w:r>
        <w:rPr/>
        <w:t>）</w:t>
      </w:r>
      <w:r>
        <w:rPr>
          <w:rFonts w:ascii="宋体" w:hAnsi="宋体" w:cs="宋体" w:eastAsia="宋体" w:hint="default"/>
        </w:rPr>
        <w:t>2019</w:t>
      </w:r>
      <w:r>
        <w:rPr>
          <w:rFonts w:ascii="宋体" w:hAnsi="宋体" w:cs="宋体" w:eastAsia="宋体" w:hint="default"/>
          <w:spacing w:val="-56"/>
        </w:rPr>
        <w:t> </w:t>
      </w:r>
      <w:r>
        <w:rPr/>
        <w:t>年</w:t>
      </w:r>
      <w:r>
        <w:rPr>
          <w:spacing w:val="-54"/>
        </w:rPr>
        <w:t> </w:t>
      </w:r>
      <w:r>
        <w:rPr>
          <w:rFonts w:ascii="宋体" w:hAnsi="宋体" w:cs="宋体" w:eastAsia="宋体" w:hint="default"/>
        </w:rPr>
        <w:t>2</w:t>
      </w:r>
      <w:r>
        <w:rPr>
          <w:rFonts w:ascii="宋体" w:hAnsi="宋体" w:cs="宋体" w:eastAsia="宋体" w:hint="default"/>
          <w:spacing w:val="-56"/>
        </w:rPr>
        <w:t> </w:t>
      </w:r>
      <w:r>
        <w:rPr/>
        <w:t>月，在云南电网有限责任公司“2019</w:t>
      </w:r>
      <w:r>
        <w:rPr>
          <w:spacing w:val="-53"/>
        </w:rPr>
        <w:t> </w:t>
      </w:r>
      <w:r>
        <w:rPr/>
        <w:t>年电能表框架招标活动”中，公司为单</w:t>
      </w:r>
      <w:r>
        <w:rPr>
          <w:w w:val="100"/>
        </w:rPr>
        <w:t> </w:t>
      </w:r>
      <w:r>
        <w:rPr/>
        <w:t>相智能电能表和三相多功能电能表的中标候选人，预计中标金额约为</w:t>
      </w:r>
      <w:r>
        <w:rPr>
          <w:spacing w:val="-54"/>
        </w:rPr>
        <w:t> </w:t>
      </w:r>
      <w:r>
        <w:rPr>
          <w:rFonts w:ascii="宋体" w:hAnsi="宋体" w:cs="宋体" w:eastAsia="宋体" w:hint="default"/>
        </w:rPr>
        <w:t>6,380</w:t>
      </w:r>
      <w:r>
        <w:rPr>
          <w:rFonts w:ascii="宋体" w:hAnsi="宋体" w:cs="宋体" w:eastAsia="宋体" w:hint="default"/>
          <w:spacing w:val="-56"/>
        </w:rPr>
        <w:t> </w:t>
      </w:r>
      <w:r>
        <w:rPr/>
        <w:t>万元。截至本报告披</w:t>
      </w:r>
      <w:r>
        <w:rPr>
          <w:w w:val="100"/>
        </w:rPr>
        <w:t> </w:t>
      </w:r>
      <w:r>
        <w:rPr/>
        <w:t>露日，公司按要求与项目单位签订书面合同，并按合同的规定履行相应事宜。</w:t>
      </w:r>
      <w:r>
        <w:rPr>
          <w:rFonts w:ascii="宋体" w:hAnsi="宋体" w:cs="宋体" w:eastAsia="宋体" w:hint="default"/>
        </w:rPr>
        <w:t> </w:t>
      </w:r>
    </w:p>
    <w:p>
      <w:pPr>
        <w:pStyle w:val="BodyText"/>
        <w:spacing w:line="273" w:lineRule="auto" w:before="7"/>
        <w:ind w:right="137" w:firstLine="419"/>
        <w:jc w:val="both"/>
        <w:rPr>
          <w:rFonts w:ascii="宋体" w:hAnsi="宋体" w:cs="宋体" w:eastAsia="宋体" w:hint="default"/>
        </w:rPr>
      </w:pPr>
      <w:r>
        <w:rPr/>
        <w:t>（</w:t>
      </w:r>
      <w:r>
        <w:rPr>
          <w:rFonts w:ascii="宋体" w:hAnsi="宋体" w:cs="宋体" w:eastAsia="宋体" w:hint="default"/>
        </w:rPr>
        <w:t>3</w:t>
      </w:r>
      <w:r>
        <w:rPr/>
        <w:t>）</w:t>
      </w:r>
      <w:r>
        <w:rPr>
          <w:rFonts w:ascii="宋体" w:hAnsi="宋体" w:cs="宋体" w:eastAsia="宋体" w:hint="default"/>
        </w:rPr>
        <w:t>2019</w:t>
      </w:r>
      <w:r>
        <w:rPr>
          <w:rFonts w:ascii="宋体" w:hAnsi="宋体" w:cs="宋体" w:eastAsia="宋体" w:hint="default"/>
          <w:spacing w:val="-55"/>
        </w:rPr>
        <w:t> </w:t>
      </w:r>
      <w:r>
        <w:rPr/>
        <w:t>年</w:t>
      </w:r>
      <w:r>
        <w:rPr>
          <w:spacing w:val="-53"/>
        </w:rPr>
        <w:t> </w:t>
      </w:r>
      <w:r>
        <w:rPr>
          <w:rFonts w:ascii="宋体" w:hAnsi="宋体" w:cs="宋体" w:eastAsia="宋体" w:hint="default"/>
        </w:rPr>
        <w:t>2</w:t>
      </w:r>
      <w:r>
        <w:rPr>
          <w:rFonts w:ascii="宋体" w:hAnsi="宋体" w:cs="宋体" w:eastAsia="宋体" w:hint="default"/>
          <w:spacing w:val="-55"/>
        </w:rPr>
        <w:t> </w:t>
      </w:r>
      <w:r>
        <w:rPr/>
        <w:t>月，公司全资子公司南京林洋电力科技有限公司参与张石高速公路保定段照</w:t>
      </w:r>
      <w:r>
        <w:rPr>
          <w:w w:val="100"/>
        </w:rPr>
        <w:t> </w:t>
      </w:r>
      <w:r>
        <w:rPr/>
        <w:t>明节能改造工程合同能源管理合作方的投标成为中标人，本次项目预计投资金额为</w:t>
      </w:r>
      <w:r>
        <w:rPr>
          <w:spacing w:val="-54"/>
        </w:rPr>
        <w:t> </w:t>
      </w:r>
      <w:r>
        <w:rPr>
          <w:rFonts w:ascii="宋体" w:hAnsi="宋体" w:cs="宋体" w:eastAsia="宋体" w:hint="default"/>
        </w:rPr>
        <w:t>7,175</w:t>
      </w:r>
      <w:r>
        <w:rPr>
          <w:rFonts w:ascii="宋体" w:hAnsi="宋体" w:cs="宋体" w:eastAsia="宋体" w:hint="default"/>
          <w:spacing w:val="-55"/>
        </w:rPr>
        <w:t> </w:t>
      </w:r>
      <w:r>
        <w:rPr/>
        <w:t>万元。</w:t>
      </w:r>
      <w:r>
        <w:rPr>
          <w:w w:val="100"/>
        </w:rPr>
        <w:t> </w:t>
      </w:r>
      <w:r>
        <w:rPr/>
        <w:t>截至本报告披露日，公司按要求与项目单位签订书面合同，并按合同的规定履行相应事宜。</w:t>
      </w:r>
      <w:r>
        <w:rPr>
          <w:rFonts w:ascii="宋体" w:hAnsi="宋体" w:cs="宋体" w:eastAsia="宋体" w:hint="default"/>
        </w:rPr>
        <w:t> </w:t>
      </w:r>
    </w:p>
    <w:p>
      <w:pPr>
        <w:pStyle w:val="BodyText"/>
        <w:spacing w:line="273" w:lineRule="auto" w:before="7"/>
        <w:ind w:right="130" w:firstLine="419"/>
        <w:jc w:val="both"/>
        <w:rPr>
          <w:rFonts w:ascii="宋体" w:hAnsi="宋体" w:cs="宋体" w:eastAsia="宋体" w:hint="default"/>
        </w:rPr>
      </w:pPr>
      <w:r>
        <w:rPr>
          <w:spacing w:val="-11"/>
        </w:rPr>
        <w:t>（</w:t>
      </w:r>
      <w:r>
        <w:rPr>
          <w:rFonts w:ascii="宋体" w:hAnsi="宋体" w:cs="宋体" w:eastAsia="宋体" w:hint="default"/>
          <w:spacing w:val="-11"/>
        </w:rPr>
        <w:t>4</w:t>
      </w:r>
      <w:r>
        <w:rPr>
          <w:spacing w:val="-11"/>
        </w:rPr>
        <w:t>）</w:t>
      </w:r>
      <w:r>
        <w:rPr>
          <w:rFonts w:ascii="宋体" w:hAnsi="宋体" w:cs="宋体" w:eastAsia="宋体" w:hint="default"/>
          <w:spacing w:val="-11"/>
        </w:rPr>
        <w:t>2019</w:t>
      </w:r>
      <w:r>
        <w:rPr>
          <w:rFonts w:ascii="宋体" w:hAnsi="宋体" w:cs="宋体" w:eastAsia="宋体" w:hint="default"/>
          <w:spacing w:val="-37"/>
        </w:rPr>
        <w:t> </w:t>
      </w:r>
      <w:r>
        <w:rPr/>
        <w:t>年</w:t>
      </w:r>
      <w:r>
        <w:rPr>
          <w:spacing w:val="-40"/>
        </w:rPr>
        <w:t> </w:t>
      </w:r>
      <w:r>
        <w:rPr>
          <w:rFonts w:ascii="宋体" w:hAnsi="宋体" w:cs="宋体" w:eastAsia="宋体" w:hint="default"/>
        </w:rPr>
        <w:t>3</w:t>
      </w:r>
      <w:r>
        <w:rPr>
          <w:rFonts w:ascii="宋体" w:hAnsi="宋体" w:cs="宋体" w:eastAsia="宋体" w:hint="default"/>
          <w:spacing w:val="-37"/>
        </w:rPr>
        <w:t> </w:t>
      </w:r>
      <w:r>
        <w:rPr>
          <w:spacing w:val="-6"/>
        </w:rPr>
        <w:t>月，在贵州电网有限责任公司“2019</w:t>
      </w:r>
      <w:r>
        <w:rPr>
          <w:spacing w:val="-40"/>
        </w:rPr>
        <w:t> </w:t>
      </w:r>
      <w:r>
        <w:rPr>
          <w:spacing w:val="-5"/>
        </w:rPr>
        <w:t>年第一批省级集中采购物资框架招标（营</w:t>
      </w:r>
      <w:r>
        <w:rPr>
          <w:w w:val="100"/>
        </w:rPr>
        <w:t> </w:t>
      </w:r>
      <w:r>
        <w:rPr>
          <w:spacing w:val="-2"/>
        </w:rPr>
        <w:t>销类设备）活动”中，公司为集中器、负荷管理终端、配变监测计量终端、费控电能表用外置断</w:t>
      </w:r>
      <w:r>
        <w:rPr>
          <w:spacing w:val="-25"/>
        </w:rPr>
        <w:t> </w:t>
      </w:r>
      <w:r>
        <w:rPr>
          <w:spacing w:val="-25"/>
        </w:rPr>
      </w:r>
      <w:r>
        <w:rPr>
          <w:spacing w:val="-2"/>
        </w:rPr>
        <w:t>路器、单相智能电能表、三相智能电能表和三相多功能电能表的中标候选人，预计中标金额约为</w:t>
      </w:r>
      <w:r>
        <w:rPr>
          <w:spacing w:val="-25"/>
        </w:rPr>
        <w:t> </w:t>
      </w:r>
      <w:r>
        <w:rPr>
          <w:spacing w:val="-25"/>
        </w:rPr>
      </w:r>
      <w:r>
        <w:rPr>
          <w:rFonts w:ascii="宋体" w:hAnsi="宋体" w:cs="宋体" w:eastAsia="宋体" w:hint="default"/>
        </w:rPr>
        <w:t>8,000</w:t>
      </w:r>
      <w:r>
        <w:rPr>
          <w:rFonts w:ascii="宋体" w:hAnsi="宋体" w:cs="宋体" w:eastAsia="宋体" w:hint="default"/>
          <w:spacing w:val="-56"/>
        </w:rPr>
        <w:t> </w:t>
      </w:r>
      <w:r>
        <w:rPr/>
        <w:t>万元。截至本报告披露日，公司按要求与项目单位签订书面合同，并按合同的规定履行相</w:t>
      </w:r>
      <w:r>
        <w:rPr>
          <w:w w:val="100"/>
        </w:rPr>
        <w:t> </w:t>
      </w:r>
      <w:r>
        <w:rPr/>
        <w:t>应事宜。</w:t>
      </w:r>
      <w:r>
        <w:rPr>
          <w:rFonts w:ascii="宋体" w:hAnsi="宋体" w:cs="宋体" w:eastAsia="宋体" w:hint="default"/>
        </w:rPr>
        <w:t> </w:t>
      </w:r>
    </w:p>
    <w:p>
      <w:pPr>
        <w:pStyle w:val="BodyText"/>
        <w:spacing w:line="273" w:lineRule="auto" w:before="7"/>
        <w:ind w:right="128" w:firstLine="419"/>
        <w:jc w:val="both"/>
        <w:rPr>
          <w:rFonts w:ascii="宋体" w:hAnsi="宋体" w:cs="宋体" w:eastAsia="宋体" w:hint="default"/>
        </w:rPr>
      </w:pPr>
      <w:r>
        <w:rPr/>
        <w:t>（</w:t>
      </w:r>
      <w:r>
        <w:rPr>
          <w:rFonts w:ascii="宋体" w:hAnsi="宋体" w:cs="宋体" w:eastAsia="宋体" w:hint="default"/>
        </w:rPr>
        <w:t>5</w:t>
      </w:r>
      <w:r>
        <w:rPr/>
        <w:t>）</w:t>
      </w:r>
      <w:r>
        <w:rPr>
          <w:rFonts w:ascii="宋体" w:hAnsi="宋体" w:cs="宋体" w:eastAsia="宋体" w:hint="default"/>
        </w:rPr>
        <w:t>2019</w:t>
      </w:r>
      <w:r>
        <w:rPr>
          <w:rFonts w:ascii="宋体" w:hAnsi="宋体" w:cs="宋体" w:eastAsia="宋体" w:hint="default"/>
          <w:spacing w:val="-56"/>
        </w:rPr>
        <w:t> </w:t>
      </w:r>
      <w:r>
        <w:rPr/>
        <w:t>年</w:t>
      </w:r>
      <w:r>
        <w:rPr>
          <w:spacing w:val="-54"/>
        </w:rPr>
        <w:t> </w:t>
      </w:r>
      <w:r>
        <w:rPr>
          <w:rFonts w:ascii="宋体" w:hAnsi="宋体" w:cs="宋体" w:eastAsia="宋体" w:hint="default"/>
        </w:rPr>
        <w:t>3</w:t>
      </w:r>
      <w:r>
        <w:rPr>
          <w:rFonts w:ascii="宋体" w:hAnsi="宋体" w:cs="宋体" w:eastAsia="宋体" w:hint="default"/>
          <w:spacing w:val="-56"/>
        </w:rPr>
        <w:t> </w:t>
      </w:r>
      <w:r>
        <w:rPr/>
        <w:t>月，在广东电网有限责任公司“2019</w:t>
      </w:r>
      <w:r>
        <w:rPr>
          <w:spacing w:val="-53"/>
        </w:rPr>
        <w:t> </w:t>
      </w:r>
      <w:r>
        <w:rPr/>
        <w:t>年电能表、计量表箱、低压集抄等营销</w:t>
      </w:r>
      <w:r>
        <w:rPr>
          <w:w w:val="100"/>
        </w:rPr>
        <w:t> </w:t>
      </w:r>
      <w:r>
        <w:rPr>
          <w:spacing w:val="-2"/>
        </w:rPr>
        <w:t>类设备框架招标活动”中，公司为负荷管理终端、配变监测计量终端、低压集抄终端设备、</w:t>
      </w:r>
      <w:r>
        <w:rPr>
          <w:rFonts w:ascii="宋体" w:hAnsi="宋体" w:cs="宋体" w:eastAsia="宋体" w:hint="default"/>
          <w:spacing w:val="-2"/>
        </w:rPr>
        <w:t>0.2S</w:t>
      </w:r>
      <w:r>
        <w:rPr>
          <w:rFonts w:ascii="宋体" w:hAnsi="宋体" w:cs="宋体" w:eastAsia="宋体" w:hint="default"/>
          <w:spacing w:val="-21"/>
        </w:rPr>
        <w:t> </w:t>
      </w:r>
      <w:r>
        <w:rPr/>
        <w:t>级三相多功能电能表、三相多功能电能表（</w:t>
      </w:r>
      <w:r>
        <w:rPr>
          <w:rFonts w:ascii="宋体" w:hAnsi="宋体" w:cs="宋体" w:eastAsia="宋体" w:hint="default"/>
        </w:rPr>
        <w:t>1</w:t>
      </w:r>
      <w:r>
        <w:rPr>
          <w:rFonts w:ascii="宋体" w:hAnsi="宋体" w:cs="宋体" w:eastAsia="宋体" w:hint="default"/>
          <w:spacing w:val="-57"/>
        </w:rPr>
        <w:t> </w:t>
      </w:r>
      <w:r>
        <w:rPr/>
        <w:t>级、</w:t>
      </w:r>
      <w:r>
        <w:rPr>
          <w:rFonts w:ascii="宋体" w:hAnsi="宋体" w:cs="宋体" w:eastAsia="宋体" w:hint="default"/>
        </w:rPr>
        <w:t>0.5S</w:t>
      </w:r>
      <w:r>
        <w:rPr>
          <w:rFonts w:ascii="宋体" w:hAnsi="宋体" w:cs="宋体" w:eastAsia="宋体" w:hint="default"/>
          <w:spacing w:val="-54"/>
        </w:rPr>
        <w:t> </w:t>
      </w:r>
      <w:r>
        <w:rPr/>
        <w:t>级高压电能表）、单相智能电能表、三相</w:t>
      </w:r>
      <w:r>
        <w:rPr>
          <w:w w:val="100"/>
        </w:rPr>
        <w:t> </w:t>
      </w:r>
      <w:r>
        <w:rPr>
          <w:spacing w:val="-4"/>
        </w:rPr>
        <w:t>智能电能表的中标候选人，中标金额为</w:t>
      </w:r>
      <w:r>
        <w:rPr>
          <w:spacing w:val="-20"/>
        </w:rPr>
        <w:t> </w:t>
      </w:r>
      <w:r>
        <w:rPr>
          <w:rFonts w:ascii="宋体" w:hAnsi="宋体" w:cs="宋体" w:eastAsia="宋体" w:hint="default"/>
        </w:rPr>
        <w:t>15,312</w:t>
      </w:r>
      <w:r>
        <w:rPr>
          <w:rFonts w:ascii="宋体" w:hAnsi="宋体" w:cs="宋体" w:eastAsia="宋体" w:hint="default"/>
          <w:spacing w:val="-23"/>
        </w:rPr>
        <w:t> </w:t>
      </w:r>
      <w:r>
        <w:rPr>
          <w:spacing w:val="-5"/>
        </w:rPr>
        <w:t>万元。截至本报告披露日，公司按要求与项目单位</w:t>
      </w:r>
      <w:r>
        <w:rPr>
          <w:spacing w:val="-92"/>
        </w:rPr>
        <w:t> </w:t>
      </w:r>
      <w:r>
        <w:rPr>
          <w:spacing w:val="-92"/>
        </w:rPr>
      </w:r>
      <w:r>
        <w:rPr/>
        <w:t>签订书面合同，并按合同的规定履行相应事宜。</w:t>
      </w:r>
      <w:r>
        <w:rPr>
          <w:rFonts w:ascii="宋体" w:hAnsi="宋体" w:cs="宋体" w:eastAsia="宋体" w:hint="default"/>
        </w:rPr>
        <w:t> </w:t>
      </w:r>
    </w:p>
    <w:p>
      <w:pPr>
        <w:pStyle w:val="BodyText"/>
        <w:spacing w:line="273" w:lineRule="auto" w:before="7"/>
        <w:ind w:right="139" w:firstLine="419"/>
        <w:jc w:val="both"/>
        <w:rPr>
          <w:rFonts w:ascii="宋体" w:hAnsi="宋体" w:cs="宋体" w:eastAsia="宋体" w:hint="default"/>
        </w:rPr>
      </w:pPr>
      <w:r>
        <w:rPr/>
        <w:t>（</w:t>
      </w:r>
      <w:r>
        <w:rPr>
          <w:rFonts w:ascii="宋体" w:hAnsi="宋体" w:cs="宋体" w:eastAsia="宋体" w:hint="default"/>
        </w:rPr>
        <w:t>6</w:t>
      </w:r>
      <w:r>
        <w:rPr/>
        <w:t>）</w:t>
      </w:r>
      <w:r>
        <w:rPr>
          <w:rFonts w:ascii="宋体" w:hAnsi="宋体" w:cs="宋体" w:eastAsia="宋体" w:hint="default"/>
        </w:rPr>
        <w:t>2019</w:t>
      </w:r>
      <w:r>
        <w:rPr>
          <w:rFonts w:ascii="宋体" w:hAnsi="宋体" w:cs="宋体" w:eastAsia="宋体" w:hint="default"/>
          <w:spacing w:val="-56"/>
        </w:rPr>
        <w:t> </w:t>
      </w:r>
      <w:r>
        <w:rPr/>
        <w:t>年</w:t>
      </w:r>
      <w:r>
        <w:rPr>
          <w:spacing w:val="-54"/>
        </w:rPr>
        <w:t> </w:t>
      </w:r>
      <w:r>
        <w:rPr>
          <w:rFonts w:ascii="宋体" w:hAnsi="宋体" w:cs="宋体" w:eastAsia="宋体" w:hint="default"/>
        </w:rPr>
        <w:t>6</w:t>
      </w:r>
      <w:r>
        <w:rPr>
          <w:rFonts w:ascii="宋体" w:hAnsi="宋体" w:cs="宋体" w:eastAsia="宋体" w:hint="default"/>
          <w:spacing w:val="-56"/>
        </w:rPr>
        <w:t> </w:t>
      </w:r>
      <w:r>
        <w:rPr/>
        <w:t>月，公司在国家电网有限公司“2019</w:t>
      </w:r>
      <w:r>
        <w:rPr>
          <w:spacing w:val="-53"/>
        </w:rPr>
        <w:t> </w:t>
      </w:r>
      <w:r>
        <w:rPr/>
        <w:t>年第一次电能表及用电信息采集设备招</w:t>
      </w:r>
      <w:r>
        <w:rPr>
          <w:w w:val="100"/>
        </w:rPr>
        <w:t> </w:t>
      </w:r>
      <w:r>
        <w:rPr/>
        <w:t>标活动”中，公司共计中标</w:t>
      </w:r>
      <w:r>
        <w:rPr>
          <w:spacing w:val="-53"/>
        </w:rPr>
        <w:t> </w:t>
      </w:r>
      <w:r>
        <w:rPr>
          <w:rFonts w:ascii="宋体" w:hAnsi="宋体" w:cs="宋体" w:eastAsia="宋体" w:hint="default"/>
        </w:rPr>
        <w:t>7</w:t>
      </w:r>
      <w:r>
        <w:rPr>
          <w:rFonts w:ascii="宋体" w:hAnsi="宋体" w:cs="宋体" w:eastAsia="宋体" w:hint="default"/>
          <w:spacing w:val="-54"/>
        </w:rPr>
        <w:t> </w:t>
      </w:r>
      <w:r>
        <w:rPr/>
        <w:t>个包，合计总数量</w:t>
      </w:r>
      <w:r>
        <w:rPr>
          <w:spacing w:val="-54"/>
        </w:rPr>
        <w:t> </w:t>
      </w:r>
      <w:r>
        <w:rPr>
          <w:rFonts w:ascii="宋体" w:hAnsi="宋体" w:cs="宋体" w:eastAsia="宋体" w:hint="default"/>
        </w:rPr>
        <w:t>908,130</w:t>
      </w:r>
      <w:r>
        <w:rPr>
          <w:rFonts w:ascii="宋体" w:hAnsi="宋体" w:cs="宋体" w:eastAsia="宋体" w:hint="default"/>
          <w:spacing w:val="-56"/>
        </w:rPr>
        <w:t> </w:t>
      </w:r>
      <w:r>
        <w:rPr/>
        <w:t>只，合计中标金额约</w:t>
      </w:r>
      <w:r>
        <w:rPr>
          <w:spacing w:val="-54"/>
        </w:rPr>
        <w:t> </w:t>
      </w:r>
      <w:r>
        <w:rPr>
          <w:rFonts w:ascii="宋体" w:hAnsi="宋体" w:cs="宋体" w:eastAsia="宋体" w:hint="default"/>
        </w:rPr>
        <w:t>24,036.23</w:t>
      </w:r>
      <w:r>
        <w:rPr>
          <w:rFonts w:ascii="宋体" w:hAnsi="宋体" w:cs="宋体" w:eastAsia="宋体" w:hint="default"/>
          <w:spacing w:val="-53"/>
        </w:rPr>
        <w:t> </w:t>
      </w:r>
      <w:r>
        <w:rPr/>
        <w:t>万元。</w:t>
      </w:r>
      <w:r>
        <w:rPr>
          <w:w w:val="100"/>
        </w:rPr>
        <w:t> </w:t>
      </w:r>
      <w:r>
        <w:rPr/>
        <w:t>截至本报告披露日，公司按要求与项目单位签订书面合同，并按合同的规定履行相应事宜。</w:t>
      </w:r>
      <w:r>
        <w:rPr>
          <w:rFonts w:ascii="宋体" w:hAnsi="宋体" w:cs="宋体" w:eastAsia="宋体" w:hint="default"/>
        </w:rPr>
        <w:t> </w:t>
      </w:r>
    </w:p>
    <w:p>
      <w:pPr>
        <w:pStyle w:val="BodyText"/>
        <w:spacing w:line="273" w:lineRule="auto" w:before="7"/>
        <w:ind w:right="128" w:firstLine="419"/>
        <w:jc w:val="both"/>
        <w:rPr>
          <w:rFonts w:ascii="宋体" w:hAnsi="宋体" w:cs="宋体" w:eastAsia="宋体" w:hint="default"/>
        </w:rPr>
      </w:pPr>
      <w:r>
        <w:rPr>
          <w:spacing w:val="-8"/>
        </w:rPr>
        <w:t>（</w:t>
      </w:r>
      <w:r>
        <w:rPr>
          <w:rFonts w:ascii="宋体" w:hAnsi="宋体" w:cs="宋体" w:eastAsia="宋体" w:hint="default"/>
          <w:spacing w:val="-8"/>
        </w:rPr>
        <w:t>7</w:t>
      </w:r>
      <w:r>
        <w:rPr>
          <w:spacing w:val="-8"/>
        </w:rPr>
        <w:t>）</w:t>
      </w:r>
      <w:r>
        <w:rPr>
          <w:rFonts w:ascii="宋体" w:hAnsi="宋体" w:cs="宋体" w:eastAsia="宋体" w:hint="default"/>
          <w:spacing w:val="-8"/>
        </w:rPr>
        <w:t>2019</w:t>
      </w:r>
      <w:r>
        <w:rPr>
          <w:rFonts w:ascii="宋体" w:hAnsi="宋体" w:cs="宋体" w:eastAsia="宋体" w:hint="default"/>
          <w:spacing w:val="-38"/>
        </w:rPr>
        <w:t> </w:t>
      </w:r>
      <w:r>
        <w:rPr/>
        <w:t>年</w:t>
      </w:r>
      <w:r>
        <w:rPr>
          <w:spacing w:val="-41"/>
        </w:rPr>
        <w:t> </w:t>
      </w:r>
      <w:r>
        <w:rPr>
          <w:rFonts w:ascii="宋体" w:hAnsi="宋体" w:cs="宋体" w:eastAsia="宋体" w:hint="default"/>
        </w:rPr>
        <w:t>9</w:t>
      </w:r>
      <w:r>
        <w:rPr>
          <w:rFonts w:ascii="宋体" w:hAnsi="宋体" w:cs="宋体" w:eastAsia="宋体" w:hint="default"/>
          <w:spacing w:val="-38"/>
        </w:rPr>
        <w:t> </w:t>
      </w:r>
      <w:r>
        <w:rPr>
          <w:spacing w:val="-5"/>
        </w:rPr>
        <w:t>月，公司在南方电网公司“2019</w:t>
      </w:r>
      <w:r>
        <w:rPr>
          <w:spacing w:val="-37"/>
        </w:rPr>
        <w:t> </w:t>
      </w:r>
      <w:r>
        <w:rPr>
          <w:spacing w:val="-7"/>
        </w:rPr>
        <w:t>年计量产品（电能表）第一批框架招标项目”</w:t>
      </w:r>
      <w:r>
        <w:rPr>
          <w:w w:val="100"/>
        </w:rPr>
        <w:t> </w:t>
      </w:r>
      <w:r>
        <w:rPr>
          <w:spacing w:val="-4"/>
        </w:rPr>
        <w:t>中，公司共计中标</w:t>
      </w:r>
      <w:r>
        <w:rPr>
          <w:spacing w:val="-36"/>
        </w:rPr>
        <w:t> </w:t>
      </w:r>
      <w:r>
        <w:rPr>
          <w:rFonts w:ascii="宋体" w:hAnsi="宋体" w:cs="宋体" w:eastAsia="宋体" w:hint="default"/>
        </w:rPr>
        <w:t>2</w:t>
      </w:r>
      <w:r>
        <w:rPr>
          <w:rFonts w:ascii="宋体" w:hAnsi="宋体" w:cs="宋体" w:eastAsia="宋体" w:hint="default"/>
          <w:spacing w:val="-39"/>
        </w:rPr>
        <w:t> </w:t>
      </w:r>
      <w:r>
        <w:rPr>
          <w:spacing w:val="-4"/>
        </w:rPr>
        <w:t>个包，合计中标金额约</w:t>
      </w:r>
      <w:r>
        <w:rPr>
          <w:spacing w:val="-35"/>
        </w:rPr>
        <w:t> </w:t>
      </w:r>
      <w:r>
        <w:rPr>
          <w:rFonts w:ascii="宋体" w:hAnsi="宋体" w:cs="宋体" w:eastAsia="宋体" w:hint="default"/>
        </w:rPr>
        <w:t>2019</w:t>
      </w:r>
      <w:r>
        <w:rPr>
          <w:rFonts w:ascii="宋体" w:hAnsi="宋体" w:cs="宋体" w:eastAsia="宋体" w:hint="default"/>
          <w:spacing w:val="-36"/>
        </w:rPr>
        <w:t> </w:t>
      </w:r>
      <w:r>
        <w:rPr>
          <w:spacing w:val="-5"/>
        </w:rPr>
        <w:t>年计量产品（电能表）第一批框架招标项目。截</w:t>
      </w:r>
      <w:r>
        <w:rPr>
          <w:spacing w:val="-98"/>
        </w:rPr>
        <w:t> </w:t>
      </w:r>
      <w:r>
        <w:rPr>
          <w:spacing w:val="-98"/>
        </w:rPr>
      </w:r>
      <w:r>
        <w:rPr/>
        <w:t>至本报告披露日，公司按要求与项目单位签订书面合同，并按合同的规定履行相应事宜。</w:t>
      </w:r>
      <w:r>
        <w:rPr>
          <w:rFonts w:ascii="宋体" w:hAnsi="宋体" w:cs="宋体" w:eastAsia="宋体" w:hint="default"/>
        </w:rPr>
        <w:t> </w:t>
      </w:r>
    </w:p>
    <w:p>
      <w:pPr>
        <w:pStyle w:val="BodyText"/>
        <w:spacing w:line="273" w:lineRule="auto" w:before="7"/>
        <w:ind w:right="128" w:firstLine="419"/>
        <w:jc w:val="both"/>
        <w:rPr>
          <w:rFonts w:ascii="宋体" w:hAnsi="宋体" w:cs="宋体" w:eastAsia="宋体" w:hint="default"/>
        </w:rPr>
      </w:pPr>
      <w:r>
        <w:rPr>
          <w:spacing w:val="-8"/>
        </w:rPr>
        <w:t>（</w:t>
      </w:r>
      <w:r>
        <w:rPr>
          <w:rFonts w:ascii="宋体" w:hAnsi="宋体" w:cs="宋体" w:eastAsia="宋体" w:hint="default"/>
          <w:spacing w:val="-8"/>
        </w:rPr>
        <w:t>8</w:t>
      </w:r>
      <w:r>
        <w:rPr>
          <w:spacing w:val="-8"/>
        </w:rPr>
        <w:t>）</w:t>
      </w:r>
      <w:r>
        <w:rPr>
          <w:rFonts w:ascii="宋体" w:hAnsi="宋体" w:cs="宋体" w:eastAsia="宋体" w:hint="default"/>
          <w:spacing w:val="-8"/>
        </w:rPr>
        <w:t>2019</w:t>
      </w:r>
      <w:r>
        <w:rPr>
          <w:rFonts w:ascii="宋体" w:hAnsi="宋体" w:cs="宋体" w:eastAsia="宋体" w:hint="default"/>
          <w:spacing w:val="-47"/>
        </w:rPr>
        <w:t> </w:t>
      </w:r>
      <w:r>
        <w:rPr/>
        <w:t>年</w:t>
      </w:r>
      <w:r>
        <w:rPr>
          <w:spacing w:val="-47"/>
        </w:rPr>
        <w:t> </w:t>
      </w:r>
      <w:r>
        <w:rPr>
          <w:rFonts w:ascii="宋体" w:hAnsi="宋体" w:cs="宋体" w:eastAsia="宋体" w:hint="default"/>
        </w:rPr>
        <w:t>11</w:t>
      </w:r>
      <w:r>
        <w:rPr>
          <w:rFonts w:ascii="宋体" w:hAnsi="宋体" w:cs="宋体" w:eastAsia="宋体" w:hint="default"/>
          <w:spacing w:val="-47"/>
        </w:rPr>
        <w:t> </w:t>
      </w:r>
      <w:r>
        <w:rPr>
          <w:spacing w:val="-4"/>
        </w:rPr>
        <w:t>月，公司在国家电网有限公司“2019</w:t>
      </w:r>
      <w:r>
        <w:rPr>
          <w:spacing w:val="-46"/>
        </w:rPr>
        <w:t> </w:t>
      </w:r>
      <w:r>
        <w:rPr/>
        <w:t>年第二次电能表及用电信息采集设备招</w:t>
      </w:r>
      <w:r>
        <w:rPr>
          <w:w w:val="100"/>
        </w:rPr>
        <w:t> </w:t>
      </w:r>
      <w:r>
        <w:rPr>
          <w:spacing w:val="-4"/>
        </w:rPr>
        <w:t>标活动”中，公司共计中标</w:t>
      </w:r>
      <w:r>
        <w:rPr>
          <w:spacing w:val="-36"/>
        </w:rPr>
        <w:t> </w:t>
      </w:r>
      <w:r>
        <w:rPr>
          <w:rFonts w:ascii="宋体" w:hAnsi="宋体" w:cs="宋体" w:eastAsia="宋体" w:hint="default"/>
        </w:rPr>
        <w:t>7</w:t>
      </w:r>
      <w:r>
        <w:rPr>
          <w:rFonts w:ascii="宋体" w:hAnsi="宋体" w:cs="宋体" w:eastAsia="宋体" w:hint="default"/>
          <w:spacing w:val="-37"/>
        </w:rPr>
        <w:t> </w:t>
      </w:r>
      <w:r>
        <w:rPr>
          <w:spacing w:val="-4"/>
        </w:rPr>
        <w:t>个包，合计中标金额约</w:t>
      </w:r>
      <w:r>
        <w:rPr>
          <w:spacing w:val="-37"/>
        </w:rPr>
        <w:t> </w:t>
      </w:r>
      <w:r>
        <w:rPr>
          <w:rFonts w:ascii="宋体" w:hAnsi="宋体" w:cs="宋体" w:eastAsia="宋体" w:hint="default"/>
        </w:rPr>
        <w:t>23,593</w:t>
      </w:r>
      <w:r>
        <w:rPr>
          <w:rFonts w:ascii="宋体" w:hAnsi="宋体" w:cs="宋体" w:eastAsia="宋体" w:hint="default"/>
          <w:spacing w:val="-40"/>
        </w:rPr>
        <w:t> </w:t>
      </w:r>
      <w:r>
        <w:rPr>
          <w:spacing w:val="-5"/>
        </w:rPr>
        <w:t>万元。截至本报告披露日，公司按要</w:t>
      </w:r>
      <w:r>
        <w:rPr>
          <w:spacing w:val="-99"/>
        </w:rPr>
        <w:t> </w:t>
      </w:r>
      <w:r>
        <w:rPr>
          <w:spacing w:val="-99"/>
        </w:rPr>
      </w:r>
      <w:r>
        <w:rPr/>
        <w:t>求与项目单位签订书面合同，并按合同的规定履行相应事宜。</w:t>
      </w:r>
      <w:r>
        <w:rPr>
          <w:rFonts w:ascii="宋体" w:hAnsi="宋体" w:cs="宋体" w:eastAsia="宋体" w:hint="default"/>
        </w:rPr>
        <w:t> </w:t>
      </w:r>
    </w:p>
    <w:p>
      <w:pPr>
        <w:pStyle w:val="BodyText"/>
        <w:spacing w:line="273" w:lineRule="auto" w:before="8"/>
        <w:ind w:right="128" w:firstLine="419"/>
        <w:jc w:val="both"/>
        <w:rPr>
          <w:rFonts w:ascii="宋体" w:hAnsi="宋体" w:cs="宋体" w:eastAsia="宋体" w:hint="default"/>
        </w:rPr>
      </w:pPr>
      <w:r>
        <w:rPr>
          <w:spacing w:val="-8"/>
        </w:rPr>
        <w:t>（</w:t>
      </w:r>
      <w:r>
        <w:rPr>
          <w:rFonts w:ascii="宋体" w:hAnsi="宋体" w:cs="宋体" w:eastAsia="宋体" w:hint="default"/>
          <w:spacing w:val="-8"/>
        </w:rPr>
        <w:t>9</w:t>
      </w:r>
      <w:r>
        <w:rPr>
          <w:spacing w:val="-8"/>
        </w:rPr>
        <w:t>）</w:t>
      </w:r>
      <w:r>
        <w:rPr>
          <w:rFonts w:ascii="宋体" w:hAnsi="宋体" w:cs="宋体" w:eastAsia="宋体" w:hint="default"/>
          <w:spacing w:val="-8"/>
        </w:rPr>
        <w:t>2020</w:t>
      </w:r>
      <w:r>
        <w:rPr>
          <w:rFonts w:ascii="宋体" w:hAnsi="宋体" w:cs="宋体" w:eastAsia="宋体" w:hint="default"/>
          <w:spacing w:val="-32"/>
        </w:rPr>
        <w:t> </w:t>
      </w:r>
      <w:r>
        <w:rPr/>
        <w:t>年</w:t>
      </w:r>
      <w:r>
        <w:rPr>
          <w:spacing w:val="-30"/>
        </w:rPr>
        <w:t> </w:t>
      </w:r>
      <w:r>
        <w:rPr>
          <w:rFonts w:ascii="宋体" w:hAnsi="宋体" w:cs="宋体" w:eastAsia="宋体" w:hint="default"/>
        </w:rPr>
        <w:t>1</w:t>
      </w:r>
      <w:r>
        <w:rPr>
          <w:rFonts w:ascii="宋体" w:hAnsi="宋体" w:cs="宋体" w:eastAsia="宋体" w:hint="default"/>
          <w:spacing w:val="-32"/>
        </w:rPr>
        <w:t> </w:t>
      </w:r>
      <w:r>
        <w:rPr>
          <w:spacing w:val="-5"/>
        </w:rPr>
        <w:t>月，公司在“中国电力技术装备有限公司沙特智能电表项目国内第一批设备”</w:t>
      </w:r>
      <w:r>
        <w:rPr>
          <w:w w:val="100"/>
        </w:rPr>
        <w:t> </w:t>
      </w:r>
      <w:r>
        <w:rPr/>
        <w:t>的采购活动中，公司共计中标</w:t>
      </w:r>
      <w:r>
        <w:rPr>
          <w:spacing w:val="-54"/>
        </w:rPr>
        <w:t> </w:t>
      </w:r>
      <w:r>
        <w:rPr>
          <w:rFonts w:ascii="宋体" w:hAnsi="宋体" w:cs="宋体" w:eastAsia="宋体" w:hint="default"/>
        </w:rPr>
        <w:t>2</w:t>
      </w:r>
      <w:r>
        <w:rPr>
          <w:rFonts w:ascii="宋体" w:hAnsi="宋体" w:cs="宋体" w:eastAsia="宋体" w:hint="default"/>
          <w:spacing w:val="-56"/>
        </w:rPr>
        <w:t> </w:t>
      </w:r>
      <w:r>
        <w:rPr/>
        <w:t>个包，预估中标总金额为</w:t>
      </w:r>
      <w:r>
        <w:rPr>
          <w:spacing w:val="-53"/>
        </w:rPr>
        <w:t> </w:t>
      </w:r>
      <w:r>
        <w:rPr>
          <w:rFonts w:ascii="宋体" w:hAnsi="宋体" w:cs="宋体" w:eastAsia="宋体" w:hint="default"/>
        </w:rPr>
        <w:t>26,286.65</w:t>
      </w:r>
      <w:r>
        <w:rPr>
          <w:rFonts w:ascii="宋体" w:hAnsi="宋体" w:cs="宋体" w:eastAsia="宋体" w:hint="default"/>
          <w:spacing w:val="-54"/>
        </w:rPr>
        <w:t> </w:t>
      </w:r>
      <w:r>
        <w:rPr/>
        <w:t>万元。截至本报告披露日，</w:t>
      </w:r>
      <w:r>
        <w:rPr>
          <w:w w:val="100"/>
        </w:rPr>
        <w:t> </w:t>
      </w:r>
      <w:r>
        <w:rPr/>
        <w:t>公司按要求与项目单位签订书面合同，并按合同的规定履行相应事宜。</w:t>
      </w:r>
      <w:r>
        <w:rPr>
          <w:rFonts w:ascii="宋体" w:hAnsi="宋体" w:cs="宋体" w:eastAsia="宋体" w:hint="default"/>
        </w:rPr>
        <w:t> </w:t>
      </w:r>
    </w:p>
    <w:p>
      <w:pPr>
        <w:pStyle w:val="BodyText"/>
        <w:spacing w:line="273" w:lineRule="auto" w:before="7"/>
        <w:ind w:right="128" w:firstLine="419"/>
        <w:jc w:val="both"/>
      </w:pPr>
      <w:r>
        <w:rPr>
          <w:spacing w:val="-4"/>
        </w:rPr>
        <w:t>（</w:t>
      </w:r>
      <w:r>
        <w:rPr>
          <w:rFonts w:ascii="宋体" w:hAnsi="宋体" w:cs="宋体" w:eastAsia="宋体" w:hint="default"/>
          <w:spacing w:val="-4"/>
        </w:rPr>
        <w:t>10</w:t>
      </w:r>
      <w:r>
        <w:rPr>
          <w:spacing w:val="-4"/>
        </w:rPr>
        <w:t>）</w:t>
      </w:r>
      <w:r>
        <w:rPr>
          <w:rFonts w:ascii="宋体" w:hAnsi="宋体" w:cs="宋体" w:eastAsia="宋体" w:hint="default"/>
          <w:spacing w:val="-4"/>
        </w:rPr>
        <w:t>2020</w:t>
      </w:r>
      <w:r>
        <w:rPr>
          <w:rFonts w:ascii="宋体" w:hAnsi="宋体" w:cs="宋体" w:eastAsia="宋体" w:hint="default"/>
          <w:spacing w:val="-28"/>
        </w:rPr>
        <w:t> </w:t>
      </w:r>
      <w:r>
        <w:rPr/>
        <w:t>年</w:t>
      </w:r>
      <w:r>
        <w:rPr>
          <w:spacing w:val="-31"/>
        </w:rPr>
        <w:t> </w:t>
      </w:r>
      <w:r>
        <w:rPr>
          <w:rFonts w:ascii="宋体" w:hAnsi="宋体" w:cs="宋体" w:eastAsia="宋体" w:hint="default"/>
        </w:rPr>
        <w:t>3</w:t>
      </w:r>
      <w:r>
        <w:rPr>
          <w:rFonts w:ascii="宋体" w:hAnsi="宋体" w:cs="宋体" w:eastAsia="宋体" w:hint="default"/>
          <w:spacing w:val="-28"/>
        </w:rPr>
        <w:t> </w:t>
      </w:r>
      <w:r>
        <w:rPr>
          <w:spacing w:val="-3"/>
        </w:rPr>
        <w:t>月，公司和全资子公司电力服务组成联合体与中广核林洋新能源泗洪有限公</w:t>
      </w:r>
      <w:r>
        <w:rPr>
          <w:w w:val="100"/>
        </w:rPr>
        <w:t> </w:t>
      </w:r>
      <w:r>
        <w:rPr/>
        <w:t>司就泗洪光伏领跑奖励激励基地</w:t>
      </w:r>
      <w:r>
        <w:rPr>
          <w:spacing w:val="-54"/>
        </w:rPr>
        <w:t> </w:t>
      </w:r>
      <w:r>
        <w:rPr>
          <w:rFonts w:ascii="宋体" w:hAnsi="宋体" w:cs="宋体" w:eastAsia="宋体" w:hint="default"/>
        </w:rPr>
        <w:t>2</w:t>
      </w:r>
      <w:r>
        <w:rPr>
          <w:rFonts w:ascii="宋体" w:hAnsi="宋体" w:cs="宋体" w:eastAsia="宋体" w:hint="default"/>
          <w:spacing w:val="-54"/>
        </w:rPr>
        <w:t> </w:t>
      </w:r>
      <w:r>
        <w:rPr/>
        <w:t>号农光互补项目和</w:t>
      </w:r>
      <w:r>
        <w:rPr>
          <w:spacing w:val="-54"/>
        </w:rPr>
        <w:t> </w:t>
      </w:r>
      <w:r>
        <w:rPr>
          <w:rFonts w:ascii="宋体" w:hAnsi="宋体" w:cs="宋体" w:eastAsia="宋体" w:hint="default"/>
        </w:rPr>
        <w:t>3</w:t>
      </w:r>
      <w:r>
        <w:rPr>
          <w:rFonts w:ascii="宋体" w:hAnsi="宋体" w:cs="宋体" w:eastAsia="宋体" w:hint="default"/>
          <w:spacing w:val="-54"/>
        </w:rPr>
        <w:t> </w:t>
      </w:r>
      <w:r>
        <w:rPr/>
        <w:t>号渔光互补项目共同签订《</w:t>
      </w:r>
      <w:r>
        <w:rPr>
          <w:rFonts w:ascii="宋体" w:hAnsi="宋体" w:cs="宋体" w:eastAsia="宋体" w:hint="default"/>
        </w:rPr>
        <w:t>EPC</w:t>
      </w:r>
      <w:r>
        <w:rPr>
          <w:rFonts w:ascii="宋体" w:hAnsi="宋体" w:cs="宋体" w:eastAsia="宋体" w:hint="default"/>
          <w:spacing w:val="-56"/>
        </w:rPr>
        <w:t> </w:t>
      </w:r>
      <w:r>
        <w:rPr/>
        <w:t>总承包合</w:t>
      </w:r>
    </w:p>
    <w:p>
      <w:pPr>
        <w:pStyle w:val="BodyText"/>
        <w:spacing w:line="273" w:lineRule="auto" w:before="7"/>
        <w:ind w:right="0"/>
        <w:jc w:val="left"/>
        <w:rPr>
          <w:rFonts w:ascii="宋体" w:hAnsi="宋体" w:cs="宋体" w:eastAsia="宋体" w:hint="default"/>
        </w:rPr>
      </w:pPr>
      <w:r>
        <w:rPr>
          <w:spacing w:val="-13"/>
        </w:rPr>
        <w:t>同》，合同总价合计为人民币</w:t>
      </w:r>
      <w:r>
        <w:rPr>
          <w:spacing w:val="-31"/>
        </w:rPr>
        <w:t> </w:t>
      </w:r>
      <w:r>
        <w:rPr>
          <w:rFonts w:ascii="宋体" w:hAnsi="宋体" w:cs="宋体" w:eastAsia="宋体" w:hint="default"/>
        </w:rPr>
        <w:t>80,162</w:t>
      </w:r>
      <w:r>
        <w:rPr>
          <w:rFonts w:ascii="宋体" w:hAnsi="宋体" w:cs="宋体" w:eastAsia="宋体" w:hint="default"/>
          <w:spacing w:val="-35"/>
        </w:rPr>
        <w:t> </w:t>
      </w:r>
      <w:r>
        <w:rPr>
          <w:spacing w:val="-7"/>
        </w:rPr>
        <w:t>万元。截至本报告披露日，公司已与项目单位签订书面合同，</w:t>
      </w:r>
      <w:r>
        <w:rPr>
          <w:spacing w:val="-98"/>
        </w:rPr>
        <w:t> </w:t>
      </w:r>
      <w:r>
        <w:rPr>
          <w:spacing w:val="-98"/>
        </w:rPr>
      </w:r>
      <w:r>
        <w:rPr/>
        <w:t>并按合同的规定履行相应事宜。</w:t>
      </w:r>
      <w:r>
        <w:rPr>
          <w:rFonts w:ascii="宋体" w:hAnsi="宋体" w:cs="宋体" w:eastAsia="宋体" w:hint="default"/>
        </w:rPr>
        <w:t> </w:t>
      </w:r>
    </w:p>
    <w:p>
      <w:pPr>
        <w:pStyle w:val="BodyText"/>
        <w:spacing w:line="273" w:lineRule="auto" w:before="7"/>
        <w:ind w:right="128" w:firstLine="419"/>
        <w:jc w:val="both"/>
      </w:pPr>
      <w:r>
        <w:rPr>
          <w:spacing w:val="-4"/>
        </w:rPr>
        <w:t>（</w:t>
      </w:r>
      <w:r>
        <w:rPr>
          <w:rFonts w:ascii="宋体" w:hAnsi="宋体" w:cs="宋体" w:eastAsia="宋体" w:hint="default"/>
          <w:spacing w:val="-4"/>
        </w:rPr>
        <w:t>11</w:t>
      </w:r>
      <w:r>
        <w:rPr>
          <w:spacing w:val="-4"/>
        </w:rPr>
        <w:t>）</w:t>
      </w:r>
      <w:r>
        <w:rPr>
          <w:rFonts w:ascii="宋体" w:hAnsi="宋体" w:cs="宋体" w:eastAsia="宋体" w:hint="default"/>
          <w:spacing w:val="-4"/>
        </w:rPr>
        <w:t>2020</w:t>
      </w:r>
      <w:r>
        <w:rPr>
          <w:rFonts w:ascii="宋体" w:hAnsi="宋体" w:cs="宋体" w:eastAsia="宋体" w:hint="default"/>
          <w:spacing w:val="-28"/>
        </w:rPr>
        <w:t> </w:t>
      </w:r>
      <w:r>
        <w:rPr/>
        <w:t>年</w:t>
      </w:r>
      <w:r>
        <w:rPr>
          <w:spacing w:val="-31"/>
        </w:rPr>
        <w:t> </w:t>
      </w:r>
      <w:r>
        <w:rPr>
          <w:rFonts w:ascii="宋体" w:hAnsi="宋体" w:cs="宋体" w:eastAsia="宋体" w:hint="default"/>
        </w:rPr>
        <w:t>3</w:t>
      </w:r>
      <w:r>
        <w:rPr>
          <w:rFonts w:ascii="宋体" w:hAnsi="宋体" w:cs="宋体" w:eastAsia="宋体" w:hint="default"/>
          <w:spacing w:val="-28"/>
        </w:rPr>
        <w:t> </w:t>
      </w:r>
      <w:r>
        <w:rPr>
          <w:spacing w:val="-3"/>
        </w:rPr>
        <w:t>月，公司全资子公司南京华耀新能源科技有限公司将持有的灌云永贯新能源</w:t>
      </w:r>
      <w:r>
        <w:rPr>
          <w:w w:val="100"/>
        </w:rPr>
        <w:t> </w:t>
      </w:r>
      <w:r>
        <w:rPr>
          <w:spacing w:val="-2"/>
        </w:rPr>
        <w:t>科技有限公司（以下简称“灌云永贯”）</w:t>
      </w:r>
      <w:r>
        <w:rPr>
          <w:rFonts w:ascii="宋体" w:hAnsi="宋体" w:cs="宋体" w:eastAsia="宋体" w:hint="default"/>
          <w:spacing w:val="-2"/>
        </w:rPr>
        <w:t>100%</w:t>
      </w:r>
      <w:r>
        <w:rPr>
          <w:spacing w:val="-2"/>
        </w:rPr>
        <w:t>股权进行转让，公司全资子公司江苏林洋电力服务</w:t>
      </w:r>
    </w:p>
    <w:p>
      <w:pPr>
        <w:spacing w:after="0" w:line="273" w:lineRule="auto"/>
        <w:jc w:val="both"/>
        <w:sectPr>
          <w:pgSz w:w="11910" w:h="16840"/>
          <w:pgMar w:header="747" w:footer="974" w:top="1140" w:bottom="1160" w:left="1580" w:right="1140"/>
        </w:sectPr>
      </w:pPr>
    </w:p>
    <w:p>
      <w:pPr>
        <w:spacing w:line="240" w:lineRule="auto" w:before="9"/>
        <w:rPr>
          <w:rFonts w:ascii="宋体" w:hAnsi="宋体" w:cs="宋体" w:eastAsia="宋体" w:hint="default"/>
          <w:sz w:val="25"/>
          <w:szCs w:val="25"/>
        </w:rPr>
      </w:pPr>
    </w:p>
    <w:p>
      <w:pPr>
        <w:pStyle w:val="BodyText"/>
        <w:spacing w:line="273" w:lineRule="auto" w:before="36"/>
        <w:ind w:right="239"/>
        <w:jc w:val="both"/>
        <w:rPr>
          <w:rFonts w:ascii="宋体" w:hAnsi="宋体" w:cs="宋体" w:eastAsia="宋体" w:hint="default"/>
        </w:rPr>
      </w:pPr>
      <w:r>
        <w:rPr/>
        <w:t>有限公司此前已与灌云永贯就灌云永贯</w:t>
      </w:r>
      <w:r>
        <w:rPr>
          <w:spacing w:val="-54"/>
        </w:rPr>
        <w:t> </w:t>
      </w:r>
      <w:r>
        <w:rPr>
          <w:rFonts w:ascii="宋体" w:hAnsi="宋体" w:cs="宋体" w:eastAsia="宋体" w:hint="default"/>
        </w:rPr>
        <w:t>98MW</w:t>
      </w:r>
      <w:r>
        <w:rPr>
          <w:rFonts w:ascii="宋体" w:hAnsi="宋体" w:cs="宋体" w:eastAsia="宋体" w:hint="default"/>
          <w:spacing w:val="-56"/>
        </w:rPr>
        <w:t> </w:t>
      </w:r>
      <w:r>
        <w:rPr/>
        <w:t>光伏发电项目签订了《灌云永贯</w:t>
      </w:r>
      <w:r>
        <w:rPr>
          <w:spacing w:val="-56"/>
        </w:rPr>
        <w:t> </w:t>
      </w:r>
      <w:r>
        <w:rPr>
          <w:rFonts w:ascii="宋体" w:hAnsi="宋体" w:cs="宋体" w:eastAsia="宋体" w:hint="default"/>
        </w:rPr>
        <w:t>98MW</w:t>
      </w:r>
      <w:r>
        <w:rPr>
          <w:rFonts w:ascii="宋体" w:hAnsi="宋体" w:cs="宋体" w:eastAsia="宋体" w:hint="default"/>
          <w:spacing w:val="-55"/>
        </w:rPr>
        <w:t> </w:t>
      </w:r>
      <w:r>
        <w:rPr/>
        <w:t>光伏发电项目</w:t>
      </w:r>
      <w:r>
        <w:rPr>
          <w:w w:val="100"/>
        </w:rPr>
        <w:t> </w:t>
      </w:r>
      <w:r>
        <w:rPr>
          <w:rFonts w:ascii="宋体" w:hAnsi="宋体" w:cs="宋体" w:eastAsia="宋体" w:hint="default"/>
        </w:rPr>
        <w:t>EPC</w:t>
      </w:r>
      <w:r>
        <w:rPr>
          <w:rFonts w:ascii="宋体" w:hAnsi="宋体" w:cs="宋体" w:eastAsia="宋体" w:hint="default"/>
          <w:spacing w:val="-55"/>
        </w:rPr>
        <w:t> </w:t>
      </w:r>
      <w:r>
        <w:rPr/>
        <w:t>总承包合同》，合同总价为人民币</w:t>
      </w:r>
      <w:r>
        <w:rPr>
          <w:spacing w:val="-55"/>
        </w:rPr>
        <w:t> </w:t>
      </w:r>
      <w:r>
        <w:rPr>
          <w:rFonts w:ascii="宋体" w:hAnsi="宋体" w:cs="宋体" w:eastAsia="宋体" w:hint="default"/>
        </w:rPr>
        <w:t>40,474</w:t>
      </w:r>
      <w:r>
        <w:rPr>
          <w:rFonts w:ascii="宋体" w:hAnsi="宋体" w:cs="宋体" w:eastAsia="宋体" w:hint="default"/>
          <w:spacing w:val="-55"/>
        </w:rPr>
        <w:t> </w:t>
      </w:r>
      <w:r>
        <w:rPr/>
        <w:t>万元。截至本报告披露日，</w:t>
      </w:r>
      <w:r>
        <w:rPr>
          <w:rFonts w:ascii="宋体" w:hAnsi="宋体" w:cs="宋体" w:eastAsia="宋体" w:hint="default"/>
        </w:rPr>
        <w:t>EPC</w:t>
      </w:r>
      <w:r>
        <w:rPr>
          <w:rFonts w:ascii="宋体" w:hAnsi="宋体" w:cs="宋体" w:eastAsia="宋体" w:hint="default"/>
          <w:spacing w:val="-55"/>
        </w:rPr>
        <w:t> </w:t>
      </w:r>
      <w:r>
        <w:rPr/>
        <w:t>合同按规定履行相</w:t>
      </w:r>
      <w:r>
        <w:rPr>
          <w:w w:val="100"/>
        </w:rPr>
        <w:t> </w:t>
      </w:r>
      <w:r>
        <w:rPr/>
        <w:t>应事宜。</w:t>
      </w:r>
      <w:r>
        <w:rPr>
          <w:rFonts w:ascii="宋体" w:hAnsi="宋体" w:cs="宋体" w:eastAsia="宋体" w:hint="default"/>
        </w:rPr>
        <w:t> </w:t>
      </w:r>
    </w:p>
    <w:p>
      <w:pPr>
        <w:pStyle w:val="Heading3"/>
        <w:spacing w:line="324" w:lineRule="auto" w:before="7"/>
        <w:ind w:right="6409"/>
        <w:jc w:val="left"/>
        <w:rPr>
          <w:b w:val="0"/>
          <w:bCs w:val="0"/>
        </w:rPr>
      </w:pPr>
      <w:r>
        <w:rPr>
          <w:rFonts w:ascii="宋体" w:hAnsi="宋体" w:cs="宋体" w:eastAsia="宋体" w:hint="default"/>
          <w:b w:val="0"/>
          <w:bCs w:val="0"/>
          <w:w w:val="100"/>
        </w:rPr>
        <w:t> </w:t>
      </w:r>
      <w:r>
        <w:rPr>
          <w:w w:val="100"/>
        </w:rPr>
        <w:t>十六</w:t>
      </w:r>
      <w:r>
        <w:rPr>
          <w:spacing w:val="-1"/>
          <w:w w:val="100"/>
        </w:rPr>
        <w:t>、</w:t>
      </w:r>
      <w:r>
        <w:rPr>
          <w:w w:val="100"/>
        </w:rPr>
        <w:t>其他重大事项的说明</w:t>
      </w:r>
      <w:r>
        <w:rPr>
          <w:b w:val="0"/>
          <w:bCs w:val="0"/>
          <w:w w:val="100"/>
        </w:rPr>
      </w:r>
    </w:p>
    <w:p>
      <w:pPr>
        <w:pStyle w:val="BodyText"/>
        <w:spacing w:line="240" w:lineRule="auto" w:before="23"/>
        <w:ind w:right="0"/>
        <w:jc w:val="both"/>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3"/>
        <w:tabs>
          <w:tab w:pos="1069" w:val="left" w:leader="none"/>
        </w:tabs>
        <w:spacing w:line="324" w:lineRule="auto" w:before="37"/>
        <w:ind w:right="5691"/>
        <w:jc w:val="left"/>
        <w:rPr>
          <w:b w:val="0"/>
          <w:bCs w:val="0"/>
        </w:rPr>
      </w:pPr>
      <w:r>
        <w:rPr>
          <w:rFonts w:ascii="宋体" w:hAnsi="宋体" w:cs="宋体" w:eastAsia="宋体" w:hint="default"/>
          <w:b w:val="0"/>
          <w:bCs w:val="0"/>
          <w:w w:val="100"/>
        </w:rPr>
        <w:t> </w:t>
      </w:r>
      <w:r>
        <w:rPr>
          <w:w w:val="100"/>
        </w:rPr>
        <w:t>十七</w:t>
      </w:r>
      <w:r>
        <w:rPr>
          <w:spacing w:val="-1"/>
          <w:w w:val="100"/>
        </w:rPr>
        <w:t>、</w:t>
      </w:r>
      <w:r>
        <w:rPr>
          <w:w w:val="100"/>
        </w:rPr>
        <w:t>积极履行社会责任</w:t>
      </w:r>
      <w:r>
        <w:rPr>
          <w:spacing w:val="-3"/>
          <w:w w:val="100"/>
        </w:rPr>
        <w:t>的</w:t>
      </w:r>
      <w:r>
        <w:rPr>
          <w:w w:val="100"/>
        </w:rPr>
        <w:t>工</w:t>
      </w:r>
      <w:r>
        <w:rPr>
          <w:spacing w:val="-3"/>
          <w:w w:val="100"/>
        </w:rPr>
        <w:t>作</w:t>
      </w:r>
      <w:r>
        <w:rPr>
          <w:w w:val="100"/>
        </w:rPr>
        <w:t>情况</w:t>
      </w:r>
      <w:r>
        <w:rPr>
          <w:w w:val="100"/>
        </w:rPr>
        <w:t> </w:t>
      </w:r>
      <w:r>
        <w:rPr>
          <w:rFonts w:ascii="宋体" w:hAnsi="宋体" w:cs="宋体" w:eastAsia="宋体" w:hint="default"/>
          <w:w w:val="99"/>
        </w:rPr>
        <w:t>(</w:t>
      </w:r>
      <w:r>
        <w:rPr>
          <w:spacing w:val="-1"/>
          <w:w w:val="100"/>
        </w:rPr>
        <w:t>一</w:t>
      </w:r>
      <w:r>
        <w:rPr>
          <w:rFonts w:ascii="宋体" w:hAnsi="宋体" w:cs="宋体" w:eastAsia="宋体" w:hint="default"/>
          <w:w w:val="99"/>
        </w:rPr>
        <w:t>)</w:t>
      </w:r>
      <w:r>
        <w:rPr>
          <w:rFonts w:ascii="宋体" w:hAnsi="宋体" w:cs="宋体" w:eastAsia="宋体" w:hint="default"/>
        </w:rPr>
        <w:tab/>
      </w:r>
      <w:r>
        <w:rPr>
          <w:w w:val="100"/>
        </w:rPr>
        <w:t>上市公司扶贫工作</w:t>
      </w:r>
      <w:r>
        <w:rPr>
          <w:spacing w:val="-3"/>
          <w:w w:val="100"/>
        </w:rPr>
        <w:t>情</w:t>
      </w:r>
      <w:r>
        <w:rPr>
          <w:w w:val="100"/>
        </w:rPr>
        <w:t>况</w:t>
      </w:r>
      <w:r>
        <w:rPr>
          <w:b w:val="0"/>
          <w:bCs w:val="0"/>
          <w:w w:val="100"/>
        </w:rPr>
      </w:r>
    </w:p>
    <w:p>
      <w:pPr>
        <w:pStyle w:val="Heading2"/>
        <w:spacing w:line="310" w:lineRule="exact"/>
        <w:ind w:right="0"/>
        <w:jc w:val="both"/>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3"/>
        <w:spacing w:line="240" w:lineRule="auto" w:before="85"/>
        <w:ind w:right="0"/>
        <w:jc w:val="both"/>
        <w:rPr>
          <w:rFonts w:ascii="宋体" w:hAnsi="宋体" w:cs="宋体" w:eastAsia="宋体" w:hint="default"/>
          <w:b w:val="0"/>
          <w:bCs w:val="0"/>
        </w:rPr>
      </w:pPr>
      <w:r>
        <w:rPr>
          <w:rFonts w:ascii="宋体" w:hAnsi="宋体" w:cs="宋体" w:eastAsia="宋体" w:hint="default"/>
        </w:rPr>
        <w:t>1.</w:t>
      </w:r>
      <w:r>
        <w:rPr>
          <w:rFonts w:ascii="宋体" w:hAnsi="宋体" w:cs="宋体" w:eastAsia="宋体" w:hint="default"/>
          <w:spacing w:val="105"/>
        </w:rPr>
        <w:t> </w:t>
      </w:r>
      <w:r>
        <w:rPr/>
        <w:t>精准扶贫规划</w:t>
      </w:r>
      <w:r>
        <w:rPr>
          <w:rFonts w:ascii="宋体" w:hAnsi="宋体" w:cs="宋体" w:eastAsia="宋体" w:hint="default"/>
          <w:w w:val="99"/>
        </w:rPr>
        <w:t> </w:t>
      </w:r>
      <w:r>
        <w:rPr>
          <w:rFonts w:ascii="宋体" w:hAnsi="宋体" w:cs="宋体" w:eastAsia="宋体" w:hint="default"/>
          <w:b w:val="0"/>
          <w:bCs w:val="0"/>
        </w:rPr>
      </w:r>
    </w:p>
    <w:p>
      <w:pPr>
        <w:pStyle w:val="Heading2"/>
        <w:spacing w:line="240" w:lineRule="auto" w:before="70"/>
        <w:ind w:right="0"/>
        <w:jc w:val="both"/>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BodyText"/>
        <w:spacing w:line="273" w:lineRule="auto" w:before="25"/>
        <w:ind w:right="237" w:firstLine="419"/>
        <w:jc w:val="both"/>
        <w:rPr>
          <w:rFonts w:ascii="宋体" w:hAnsi="宋体" w:cs="宋体" w:eastAsia="宋体" w:hint="default"/>
        </w:rPr>
      </w:pPr>
      <w:r>
        <w:rPr>
          <w:spacing w:val="-2"/>
        </w:rPr>
        <w:t>为深入贯彻落实国家扶贫开发战略和精神，推进科学扶贫、精准扶贫、精准脱贫，公司加强</w:t>
      </w:r>
      <w:r>
        <w:rPr>
          <w:w w:val="100"/>
        </w:rPr>
        <w:t> </w:t>
      </w:r>
      <w:r>
        <w:rPr>
          <w:spacing w:val="-2"/>
        </w:rPr>
        <w:t>了对于贫困地区的扶贫光伏电站的投资开发，在发展新能源业务的同时，也帮扶了当地居民，提</w:t>
      </w:r>
      <w:r>
        <w:rPr>
          <w:spacing w:val="-25"/>
        </w:rPr>
        <w:t> </w:t>
      </w:r>
      <w:r>
        <w:rPr>
          <w:spacing w:val="-25"/>
        </w:rPr>
      </w:r>
      <w:r>
        <w:rPr/>
        <w:t>高了居民的收入，加快推进脱贫攻坚步伐。</w:t>
      </w:r>
      <w:r>
        <w:rPr>
          <w:rFonts w:ascii="宋体" w:hAnsi="宋体" w:cs="宋体" w:eastAsia="宋体" w:hint="default"/>
        </w:rPr>
        <w:t> </w:t>
      </w:r>
    </w:p>
    <w:p>
      <w:pPr>
        <w:pStyle w:val="Heading2"/>
        <w:spacing w:line="294" w:lineRule="exact"/>
        <w:ind w:right="0"/>
        <w:jc w:val="both"/>
        <w:rPr>
          <w:rFonts w:ascii="宋体" w:hAnsi="宋体" w:cs="宋体" w:eastAsia="宋体" w:hint="default"/>
        </w:rPr>
      </w:pPr>
      <w:r>
        <w:rPr>
          <w:rFonts w:ascii="宋体"/>
        </w:rPr>
        <w:t> </w:t>
      </w:r>
    </w:p>
    <w:p>
      <w:pPr>
        <w:pStyle w:val="Heading3"/>
        <w:spacing w:line="240" w:lineRule="auto" w:before="85"/>
        <w:ind w:right="0"/>
        <w:jc w:val="both"/>
        <w:rPr>
          <w:rFonts w:ascii="宋体" w:hAnsi="宋体" w:cs="宋体" w:eastAsia="宋体" w:hint="default"/>
          <w:b w:val="0"/>
          <w:bCs w:val="0"/>
        </w:rPr>
      </w:pPr>
      <w:r>
        <w:rPr>
          <w:rFonts w:ascii="宋体" w:hAnsi="宋体" w:cs="宋体" w:eastAsia="宋体" w:hint="default"/>
        </w:rPr>
        <w:t>2. </w:t>
      </w:r>
      <w:r>
        <w:rPr>
          <w:rFonts w:ascii="宋体" w:hAnsi="宋体" w:cs="宋体" w:eastAsia="宋体" w:hint="default"/>
          <w:spacing w:val="1"/>
        </w:rPr>
        <w:t> </w:t>
      </w:r>
      <w:r>
        <w:rPr/>
        <w:t>年度精准扶贫概要</w:t>
      </w:r>
      <w:r>
        <w:rPr>
          <w:rFonts w:ascii="宋体" w:hAnsi="宋体" w:cs="宋体" w:eastAsia="宋体" w:hint="default"/>
          <w:w w:val="99"/>
        </w:rPr>
        <w:t> </w:t>
      </w:r>
      <w:r>
        <w:rPr>
          <w:rFonts w:ascii="宋体" w:hAnsi="宋体" w:cs="宋体" w:eastAsia="宋体" w:hint="default"/>
          <w:b w:val="0"/>
          <w:bCs w:val="0"/>
        </w:rPr>
      </w:r>
    </w:p>
    <w:p>
      <w:pPr>
        <w:pStyle w:val="Heading2"/>
        <w:spacing w:line="240" w:lineRule="auto" w:before="69"/>
        <w:ind w:right="0"/>
        <w:jc w:val="both"/>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BodyText"/>
        <w:spacing w:line="273" w:lineRule="auto" w:before="25"/>
        <w:ind w:right="237" w:firstLine="419"/>
        <w:jc w:val="both"/>
        <w:rPr>
          <w:rFonts w:ascii="宋体" w:hAnsi="宋体" w:cs="宋体" w:eastAsia="宋体" w:hint="default"/>
        </w:rPr>
      </w:pPr>
      <w:r>
        <w:rPr>
          <w:spacing w:val="-2"/>
        </w:rPr>
        <w:t>公司在经营发展中离不开党和政府的支持和关心，做好本职工作的同时也不忘回报社会，积</w:t>
      </w:r>
      <w:r>
        <w:rPr>
          <w:w w:val="100"/>
        </w:rPr>
        <w:t> </w:t>
      </w:r>
      <w:r>
        <w:rPr/>
        <w:t>极做好慈善工作，公司从</w:t>
      </w:r>
      <w:r>
        <w:rPr>
          <w:spacing w:val="-56"/>
        </w:rPr>
        <w:t> </w:t>
      </w:r>
      <w:r>
        <w:rPr>
          <w:rFonts w:ascii="宋体" w:hAnsi="宋体" w:cs="宋体" w:eastAsia="宋体" w:hint="default"/>
        </w:rPr>
        <w:t>2007</w:t>
      </w:r>
      <w:r>
        <w:rPr>
          <w:rFonts w:ascii="宋体" w:hAnsi="宋体" w:cs="宋体" w:eastAsia="宋体" w:hint="default"/>
          <w:spacing w:val="-56"/>
        </w:rPr>
        <w:t> </w:t>
      </w:r>
      <w:r>
        <w:rPr/>
        <w:t>年开始每年都会向启东市慈善基金会捐款</w:t>
      </w:r>
      <w:r>
        <w:rPr>
          <w:spacing w:val="-55"/>
        </w:rPr>
        <w:t> </w:t>
      </w:r>
      <w:r>
        <w:rPr>
          <w:rFonts w:ascii="宋体" w:hAnsi="宋体" w:cs="宋体" w:eastAsia="宋体" w:hint="default"/>
        </w:rPr>
        <w:t>75</w:t>
      </w:r>
      <w:r>
        <w:rPr>
          <w:rFonts w:ascii="宋体" w:hAnsi="宋体" w:cs="宋体" w:eastAsia="宋体" w:hint="default"/>
          <w:spacing w:val="-56"/>
        </w:rPr>
        <w:t> </w:t>
      </w:r>
      <w:r>
        <w:rPr/>
        <w:t>万元，看望市困难职</w:t>
      </w:r>
      <w:r>
        <w:rPr>
          <w:w w:val="100"/>
        </w:rPr>
        <w:t> </w:t>
      </w:r>
      <w:r>
        <w:rPr/>
        <w:t>工、困难劳模和结对帮扶村的困难户，送去慰问金等。</w:t>
      </w:r>
      <w:r>
        <w:rPr>
          <w:rFonts w:ascii="宋体" w:hAnsi="宋体" w:cs="宋体" w:eastAsia="宋体" w:hint="default"/>
        </w:rPr>
        <w:t> </w:t>
      </w:r>
    </w:p>
    <w:p>
      <w:pPr>
        <w:pStyle w:val="BodyText"/>
        <w:spacing w:line="273" w:lineRule="auto" w:before="8"/>
        <w:ind w:right="0" w:firstLine="419"/>
        <w:jc w:val="left"/>
      </w:pPr>
      <w:r>
        <w:rPr>
          <w:rFonts w:ascii="宋体" w:hAnsi="宋体" w:cs="宋体" w:eastAsia="宋体" w:hint="default"/>
        </w:rPr>
        <w:t>2019</w:t>
      </w:r>
      <w:r>
        <w:rPr>
          <w:rFonts w:ascii="宋体" w:hAnsi="宋体" w:cs="宋体" w:eastAsia="宋体" w:hint="default"/>
          <w:spacing w:val="-7"/>
        </w:rPr>
        <w:t> </w:t>
      </w:r>
      <w:r>
        <w:rPr>
          <w:spacing w:val="-3"/>
        </w:rPr>
        <w:t>年，公司继续推进光伏精准扶贫项目，运用光伏发电与农业设施相结合的方式，充分利</w:t>
      </w:r>
      <w:r>
        <w:rPr>
          <w:w w:val="100"/>
        </w:rPr>
        <w:t> </w:t>
      </w:r>
      <w:r>
        <w:rPr>
          <w:spacing w:val="-2"/>
        </w:rPr>
        <w:t>用贫困地区的现有资源，完成从扶贫向脱贫的产业方式目标的转变。目前公司主要扶贫项目有：</w:t>
      </w:r>
      <w:r>
        <w:rPr>
          <w:spacing w:val="-25"/>
        </w:rPr>
        <w:t> </w:t>
      </w:r>
      <w:r>
        <w:rPr>
          <w:spacing w:val="-25"/>
        </w:rPr>
      </w:r>
      <w:r>
        <w:rPr/>
        <w:t>位于山东冠县的冠县</w:t>
      </w:r>
      <w:r>
        <w:rPr>
          <w:spacing w:val="-54"/>
        </w:rPr>
        <w:t> </w:t>
      </w:r>
      <w:r>
        <w:rPr>
          <w:rFonts w:ascii="宋体" w:hAnsi="宋体" w:cs="宋体" w:eastAsia="宋体" w:hint="default"/>
        </w:rPr>
        <w:t>70MW</w:t>
      </w:r>
      <w:r>
        <w:rPr>
          <w:rFonts w:ascii="宋体" w:hAnsi="宋体" w:cs="宋体" w:eastAsia="宋体" w:hint="default"/>
          <w:spacing w:val="-56"/>
        </w:rPr>
        <w:t> </w:t>
      </w:r>
      <w:r>
        <w:rPr/>
        <w:t>光伏扶贫电站每年给当地</w:t>
      </w:r>
      <w:r>
        <w:rPr>
          <w:spacing w:val="-56"/>
        </w:rPr>
        <w:t> </w:t>
      </w:r>
      <w:r>
        <w:rPr>
          <w:rFonts w:ascii="宋体" w:hAnsi="宋体" w:cs="宋体" w:eastAsia="宋体" w:hint="default"/>
        </w:rPr>
        <w:t>2333</w:t>
      </w:r>
      <w:r>
        <w:rPr>
          <w:rFonts w:ascii="宋体" w:hAnsi="宋体" w:cs="宋体" w:eastAsia="宋体" w:hint="default"/>
          <w:spacing w:val="-56"/>
        </w:rPr>
        <w:t> </w:t>
      </w:r>
      <w:r>
        <w:rPr/>
        <w:t>户贫困户每年增加</w:t>
      </w:r>
      <w:r>
        <w:rPr>
          <w:spacing w:val="-54"/>
        </w:rPr>
        <w:t> </w:t>
      </w:r>
      <w:r>
        <w:rPr>
          <w:rFonts w:ascii="宋体" w:hAnsi="宋体" w:cs="宋体" w:eastAsia="宋体" w:hint="default"/>
        </w:rPr>
        <w:t>3000</w:t>
      </w:r>
      <w:r>
        <w:rPr>
          <w:rFonts w:ascii="宋体" w:hAnsi="宋体" w:cs="宋体" w:eastAsia="宋体" w:hint="default"/>
          <w:spacing w:val="-53"/>
        </w:rPr>
        <w:t> </w:t>
      </w:r>
      <w:r>
        <w:rPr/>
        <w:t>元收入，冠县</w:t>
      </w:r>
      <w:r>
        <w:rPr>
          <w:w w:val="100"/>
        </w:rPr>
        <w:t> </w:t>
      </w:r>
      <w:r>
        <w:rPr>
          <w:rFonts w:ascii="宋体" w:hAnsi="宋体" w:cs="宋体" w:eastAsia="宋体" w:hint="default"/>
        </w:rPr>
        <w:t>11.8MW</w:t>
      </w:r>
      <w:r>
        <w:rPr>
          <w:rFonts w:ascii="宋体" w:hAnsi="宋体" w:cs="宋体" w:eastAsia="宋体" w:hint="default"/>
          <w:spacing w:val="-55"/>
        </w:rPr>
        <w:t> </w:t>
      </w:r>
      <w:r>
        <w:rPr/>
        <w:t>村级光伏扶贫电站每年给当地</w:t>
      </w:r>
      <w:r>
        <w:rPr>
          <w:spacing w:val="-55"/>
        </w:rPr>
        <w:t> </w:t>
      </w:r>
      <w:r>
        <w:rPr>
          <w:rFonts w:ascii="宋体" w:hAnsi="宋体" w:cs="宋体" w:eastAsia="宋体" w:hint="default"/>
        </w:rPr>
        <w:t>471</w:t>
      </w:r>
      <w:r>
        <w:rPr>
          <w:rFonts w:ascii="宋体" w:hAnsi="宋体" w:cs="宋体" w:eastAsia="宋体" w:hint="default"/>
          <w:spacing w:val="-56"/>
        </w:rPr>
        <w:t> </w:t>
      </w:r>
      <w:r>
        <w:rPr/>
        <w:t>户贫困户每年增加</w:t>
      </w:r>
      <w:r>
        <w:rPr>
          <w:spacing w:val="-55"/>
        </w:rPr>
        <w:t> </w:t>
      </w:r>
      <w:r>
        <w:rPr>
          <w:rFonts w:ascii="宋体" w:hAnsi="宋体" w:cs="宋体" w:eastAsia="宋体" w:hint="default"/>
        </w:rPr>
        <w:t>3000</w:t>
      </w:r>
      <w:r>
        <w:rPr>
          <w:rFonts w:ascii="宋体" w:hAnsi="宋体" w:cs="宋体" w:eastAsia="宋体" w:hint="default"/>
          <w:spacing w:val="-56"/>
        </w:rPr>
        <w:t> </w:t>
      </w:r>
      <w:r>
        <w:rPr/>
        <w:t>元收入；位于安徽阜阳临泉的</w:t>
      </w:r>
    </w:p>
    <w:p>
      <w:pPr>
        <w:pStyle w:val="BodyText"/>
        <w:spacing w:line="273" w:lineRule="auto" w:before="7"/>
        <w:ind w:right="227"/>
        <w:jc w:val="both"/>
        <w:rPr>
          <w:rFonts w:ascii="宋体" w:hAnsi="宋体" w:cs="宋体" w:eastAsia="宋体" w:hint="default"/>
        </w:rPr>
      </w:pPr>
      <w:r>
        <w:rPr>
          <w:rFonts w:ascii="宋体" w:hAnsi="宋体" w:cs="宋体" w:eastAsia="宋体" w:hint="default"/>
        </w:rPr>
        <w:t>20MW</w:t>
      </w:r>
      <w:r>
        <w:rPr>
          <w:rFonts w:ascii="宋体" w:hAnsi="宋体" w:cs="宋体" w:eastAsia="宋体" w:hint="default"/>
          <w:spacing w:val="-56"/>
        </w:rPr>
        <w:t> </w:t>
      </w:r>
      <w:r>
        <w:rPr/>
        <w:t>农光互补分布式光伏发电项目给当地</w:t>
      </w:r>
      <w:r>
        <w:rPr>
          <w:spacing w:val="-54"/>
        </w:rPr>
        <w:t> </w:t>
      </w:r>
      <w:r>
        <w:rPr>
          <w:rFonts w:ascii="宋体" w:hAnsi="宋体" w:cs="宋体" w:eastAsia="宋体" w:hint="default"/>
        </w:rPr>
        <w:t>800</w:t>
      </w:r>
      <w:r>
        <w:rPr>
          <w:rFonts w:ascii="宋体" w:hAnsi="宋体" w:cs="宋体" w:eastAsia="宋体" w:hint="default"/>
          <w:spacing w:val="-56"/>
        </w:rPr>
        <w:t> </w:t>
      </w:r>
      <w:r>
        <w:rPr/>
        <w:t>户贫困户每年增加</w:t>
      </w:r>
      <w:r>
        <w:rPr>
          <w:spacing w:val="-54"/>
        </w:rPr>
        <w:t> </w:t>
      </w:r>
      <w:r>
        <w:rPr>
          <w:rFonts w:ascii="宋体" w:hAnsi="宋体" w:cs="宋体" w:eastAsia="宋体" w:hint="default"/>
        </w:rPr>
        <w:t>3000</w:t>
      </w:r>
      <w:r>
        <w:rPr>
          <w:rFonts w:ascii="宋体" w:hAnsi="宋体" w:cs="宋体" w:eastAsia="宋体" w:hint="default"/>
          <w:spacing w:val="-56"/>
        </w:rPr>
        <w:t> </w:t>
      </w:r>
      <w:r>
        <w:rPr/>
        <w:t>元的收入；位于江苏泗洪</w:t>
      </w:r>
      <w:r>
        <w:rPr>
          <w:w w:val="100"/>
        </w:rPr>
        <w:t> </w:t>
      </w:r>
      <w:r>
        <w:rPr/>
        <w:t>县的泗洪孙园镇</w:t>
      </w:r>
      <w:r>
        <w:rPr>
          <w:spacing w:val="-47"/>
        </w:rPr>
        <w:t> </w:t>
      </w:r>
      <w:r>
        <w:rPr>
          <w:rFonts w:ascii="宋体" w:hAnsi="宋体" w:cs="宋体" w:eastAsia="宋体" w:hint="default"/>
        </w:rPr>
        <w:t>20MW</w:t>
      </w:r>
      <w:r>
        <w:rPr>
          <w:rFonts w:ascii="宋体" w:hAnsi="宋体" w:cs="宋体" w:eastAsia="宋体" w:hint="default"/>
          <w:spacing w:val="-47"/>
        </w:rPr>
        <w:t> </w:t>
      </w:r>
      <w:r>
        <w:rPr>
          <w:spacing w:val="-4"/>
        </w:rPr>
        <w:t>渔光互补分布式光伏发电项目，公司支助当地</w:t>
      </w:r>
      <w:r>
        <w:rPr>
          <w:spacing w:val="-46"/>
        </w:rPr>
        <w:t> </w:t>
      </w:r>
      <w:r>
        <w:rPr>
          <w:rFonts w:ascii="宋体" w:hAnsi="宋体" w:cs="宋体" w:eastAsia="宋体" w:hint="default"/>
        </w:rPr>
        <w:t>12</w:t>
      </w:r>
      <w:r>
        <w:rPr>
          <w:rFonts w:ascii="宋体" w:hAnsi="宋体" w:cs="宋体" w:eastAsia="宋体" w:hint="default"/>
          <w:spacing w:val="-49"/>
        </w:rPr>
        <w:t> </w:t>
      </w:r>
      <w:r>
        <w:rPr/>
        <w:t>个村和</w:t>
      </w:r>
      <w:r>
        <w:rPr>
          <w:spacing w:val="-49"/>
        </w:rPr>
        <w:t> </w:t>
      </w:r>
      <w:r>
        <w:rPr>
          <w:rFonts w:ascii="宋体" w:hAnsi="宋体" w:cs="宋体" w:eastAsia="宋体" w:hint="default"/>
        </w:rPr>
        <w:t>60</w:t>
      </w:r>
      <w:r>
        <w:rPr>
          <w:rFonts w:ascii="宋体" w:hAnsi="宋体" w:cs="宋体" w:eastAsia="宋体" w:hint="default"/>
          <w:spacing w:val="-46"/>
        </w:rPr>
        <w:t> </w:t>
      </w:r>
      <w:r>
        <w:rPr>
          <w:spacing w:val="-8"/>
        </w:rPr>
        <w:t>户贫困户，合计</w:t>
      </w:r>
      <w:r>
        <w:rPr>
          <w:spacing w:val="-103"/>
        </w:rPr>
        <w:t> </w:t>
      </w:r>
      <w:r>
        <w:rPr>
          <w:spacing w:val="-103"/>
        </w:rPr>
      </w:r>
      <w:r>
        <w:rPr/>
        <w:t>每年</w:t>
      </w:r>
      <w:r>
        <w:rPr>
          <w:spacing w:val="-55"/>
        </w:rPr>
        <w:t> </w:t>
      </w:r>
      <w:r>
        <w:rPr>
          <w:rFonts w:ascii="宋体" w:hAnsi="宋体" w:cs="宋体" w:eastAsia="宋体" w:hint="default"/>
        </w:rPr>
        <w:t>24</w:t>
      </w:r>
      <w:r>
        <w:rPr>
          <w:rFonts w:ascii="宋体" w:hAnsi="宋体" w:cs="宋体" w:eastAsia="宋体" w:hint="default"/>
          <w:spacing w:val="-55"/>
        </w:rPr>
        <w:t> </w:t>
      </w:r>
      <w:r>
        <w:rPr/>
        <w:t>万元用于帮扶当地的扶贫建设工作；位于江苏泗洪县的天岗湖乡</w:t>
      </w:r>
      <w:r>
        <w:rPr>
          <w:spacing w:val="-55"/>
        </w:rPr>
        <w:t> </w:t>
      </w:r>
      <w:r>
        <w:rPr>
          <w:rFonts w:ascii="宋体" w:hAnsi="宋体" w:cs="宋体" w:eastAsia="宋体" w:hint="default"/>
        </w:rPr>
        <w:t>36MW</w:t>
      </w:r>
      <w:r>
        <w:rPr>
          <w:rFonts w:ascii="宋体" w:hAnsi="宋体" w:cs="宋体" w:eastAsia="宋体" w:hint="default"/>
          <w:spacing w:val="-57"/>
        </w:rPr>
        <w:t> </w:t>
      </w:r>
      <w:r>
        <w:rPr/>
        <w:t>农渔光互补光伏发</w:t>
      </w:r>
      <w:r>
        <w:rPr>
          <w:w w:val="100"/>
        </w:rPr>
        <w:t> </w:t>
      </w:r>
      <w:r>
        <w:rPr>
          <w:spacing w:val="-10"/>
          <w:w w:val="100"/>
        </w:rPr>
        <w:t>电扶贫项目，公司支助当地</w:t>
      </w:r>
      <w:r>
        <w:rPr>
          <w:spacing w:val="-49"/>
          <w:w w:val="100"/>
        </w:rPr>
        <w:t> </w:t>
      </w:r>
      <w:r>
        <w:rPr>
          <w:rFonts w:ascii="宋体" w:hAnsi="宋体" w:cs="宋体" w:eastAsia="宋体" w:hint="default"/>
          <w:w w:val="100"/>
        </w:rPr>
        <w:t>480</w:t>
      </w:r>
      <w:r>
        <w:rPr>
          <w:rFonts w:ascii="宋体" w:hAnsi="宋体" w:cs="宋体" w:eastAsia="宋体" w:hint="default"/>
          <w:spacing w:val="-51"/>
          <w:w w:val="100"/>
        </w:rPr>
        <w:t> </w:t>
      </w:r>
      <w:r>
        <w:rPr>
          <w:spacing w:val="-13"/>
          <w:w w:val="100"/>
        </w:rPr>
        <w:t>户贫困户，合计每年</w:t>
      </w:r>
      <w:r>
        <w:rPr>
          <w:spacing w:val="-49"/>
          <w:w w:val="100"/>
        </w:rPr>
        <w:t> </w:t>
      </w:r>
      <w:r>
        <w:rPr>
          <w:rFonts w:ascii="宋体" w:hAnsi="宋体" w:cs="宋体" w:eastAsia="宋体" w:hint="default"/>
          <w:spacing w:val="-1"/>
          <w:w w:val="100"/>
        </w:rPr>
        <w:t>86.4</w:t>
      </w:r>
      <w:r>
        <w:rPr>
          <w:rFonts w:ascii="宋体" w:hAnsi="宋体" w:cs="宋体" w:eastAsia="宋体" w:hint="default"/>
          <w:spacing w:val="-49"/>
          <w:w w:val="100"/>
        </w:rPr>
        <w:t> </w:t>
      </w:r>
      <w:r>
        <w:rPr>
          <w:spacing w:val="-7"/>
          <w:w w:val="100"/>
        </w:rPr>
        <w:t>万元用于帮扶当地的扶贫建设工作。</w:t>
      </w:r>
      <w:r>
        <w:rPr>
          <w:rFonts w:ascii="宋体" w:hAnsi="宋体" w:cs="宋体" w:eastAsia="宋体" w:hint="default"/>
          <w:spacing w:val="-7"/>
          <w:w w:val="100"/>
        </w:rPr>
        <w:t>2019</w:t>
      </w:r>
    </w:p>
    <w:p>
      <w:pPr>
        <w:pStyle w:val="BodyText"/>
        <w:spacing w:line="240" w:lineRule="auto" w:before="7"/>
        <w:ind w:right="0"/>
        <w:jc w:val="both"/>
        <w:rPr>
          <w:rFonts w:ascii="宋体" w:hAnsi="宋体" w:cs="宋体" w:eastAsia="宋体" w:hint="default"/>
        </w:rPr>
      </w:pPr>
      <w:r>
        <w:rPr/>
        <w:t>年度，公司已投入</w:t>
      </w:r>
      <w:r>
        <w:rPr>
          <w:spacing w:val="-59"/>
        </w:rPr>
        <w:t> </w:t>
      </w:r>
      <w:r>
        <w:rPr>
          <w:rFonts w:ascii="宋体" w:hAnsi="宋体" w:cs="宋体" w:eastAsia="宋体" w:hint="default"/>
        </w:rPr>
        <w:t>2,469.25</w:t>
      </w:r>
      <w:r>
        <w:rPr>
          <w:rFonts w:ascii="宋体" w:hAnsi="宋体" w:cs="宋体" w:eastAsia="宋体" w:hint="default"/>
          <w:spacing w:val="-58"/>
        </w:rPr>
        <w:t> </w:t>
      </w:r>
      <w:r>
        <w:rPr/>
        <w:t>万元扶持了当地政府的地方经济建设和提高居民收入水平。</w:t>
      </w:r>
      <w:r>
        <w:rPr>
          <w:rFonts w:ascii="宋体" w:hAnsi="宋体" w:cs="宋体" w:eastAsia="宋体" w:hint="default"/>
        </w:rPr>
        <w:t> </w:t>
      </w:r>
    </w:p>
    <w:p>
      <w:pPr>
        <w:pStyle w:val="Heading2"/>
        <w:spacing w:line="240" w:lineRule="auto" w:before="9"/>
        <w:ind w:right="0"/>
        <w:jc w:val="both"/>
        <w:rPr>
          <w:rFonts w:ascii="宋体" w:hAnsi="宋体" w:cs="宋体" w:eastAsia="宋体" w:hint="default"/>
        </w:rPr>
      </w:pPr>
      <w:r>
        <w:rPr>
          <w:rFonts w:ascii="宋体"/>
        </w:rPr>
        <w:t> </w:t>
      </w:r>
    </w:p>
    <w:p>
      <w:pPr>
        <w:pStyle w:val="Heading3"/>
        <w:spacing w:line="240" w:lineRule="auto" w:before="85"/>
        <w:ind w:right="0"/>
        <w:jc w:val="both"/>
        <w:rPr>
          <w:rFonts w:ascii="宋体" w:hAnsi="宋体" w:cs="宋体" w:eastAsia="宋体" w:hint="default"/>
          <w:b w:val="0"/>
          <w:bCs w:val="0"/>
        </w:rPr>
      </w:pPr>
      <w:r>
        <w:rPr>
          <w:rFonts w:ascii="宋体" w:hAnsi="宋体" w:cs="宋体" w:eastAsia="宋体" w:hint="default"/>
        </w:rPr>
        <w:t>3.</w:t>
      </w:r>
      <w:r>
        <w:rPr>
          <w:rFonts w:ascii="宋体" w:hAnsi="宋体" w:cs="宋体" w:eastAsia="宋体" w:hint="default"/>
          <w:spacing w:val="105"/>
        </w:rPr>
        <w:t> </w:t>
      </w:r>
      <w:r>
        <w:rPr/>
        <w:t>精准扶贫成效</w:t>
      </w:r>
      <w:r>
        <w:rPr>
          <w:rFonts w:ascii="宋体" w:hAnsi="宋体" w:cs="宋体" w:eastAsia="宋体" w:hint="default"/>
          <w:w w:val="99"/>
        </w:rPr>
        <w:t> </w:t>
      </w:r>
      <w:r>
        <w:rPr>
          <w:rFonts w:ascii="宋体" w:hAnsi="宋体" w:cs="宋体" w:eastAsia="宋体" w:hint="default"/>
          <w:b w:val="0"/>
          <w:bCs w:val="0"/>
        </w:rPr>
      </w:r>
    </w:p>
    <w:p>
      <w:pPr>
        <w:pStyle w:val="Heading2"/>
        <w:spacing w:line="240" w:lineRule="auto" w:before="70"/>
        <w:ind w:right="0"/>
        <w:jc w:val="both"/>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BodyText"/>
        <w:spacing w:line="240" w:lineRule="auto" w:before="25"/>
        <w:ind w:left="0" w:right="127"/>
        <w:jc w:val="right"/>
        <w:rPr>
          <w:rFonts w:ascii="宋体" w:hAnsi="宋体" w:cs="宋体" w:eastAsia="宋体" w:hint="default"/>
        </w:rPr>
      </w:pPr>
      <w:r>
        <w:rPr>
          <w:spacing w:val="-2"/>
        </w:rPr>
        <w:t>单位：万元币种：人民币</w:t>
      </w:r>
      <w:r>
        <w:rPr>
          <w:rFonts w:ascii="宋体" w:hAnsi="宋体" w:cs="宋体" w:eastAsia="宋体" w:hint="default"/>
        </w:rPr>
        <w:t> </w:t>
      </w: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4787"/>
        <w:gridCol w:w="4263"/>
      </w:tblGrid>
      <w:tr>
        <w:trPr>
          <w:trHeight w:val="324"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2" w:right="0"/>
              <w:jc w:val="center"/>
              <w:rPr>
                <w:rFonts w:ascii="宋体" w:hAnsi="宋体" w:cs="宋体" w:eastAsia="宋体" w:hint="default"/>
                <w:sz w:val="21"/>
                <w:szCs w:val="21"/>
              </w:rPr>
            </w:pPr>
            <w:r>
              <w:rPr>
                <w:rFonts w:ascii="宋体" w:hAnsi="宋体" w:cs="宋体" w:eastAsia="宋体" w:hint="default"/>
                <w:sz w:val="21"/>
                <w:szCs w:val="21"/>
              </w:rPr>
              <w:t>指标</w:t>
            </w:r>
            <w:r>
              <w:rPr>
                <w:rFonts w:ascii="宋体" w:hAnsi="宋体" w:cs="宋体" w:eastAsia="宋体" w:hint="default"/>
                <w:sz w:val="21"/>
                <w:szCs w:val="21"/>
              </w:rPr>
              <w:t> </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392" w:right="0"/>
              <w:jc w:val="left"/>
              <w:rPr>
                <w:rFonts w:ascii="宋体" w:hAnsi="宋体" w:cs="宋体" w:eastAsia="宋体" w:hint="default"/>
                <w:sz w:val="21"/>
                <w:szCs w:val="21"/>
              </w:rPr>
            </w:pPr>
            <w:r>
              <w:rPr>
                <w:rFonts w:ascii="宋体" w:hAnsi="宋体" w:cs="宋体" w:eastAsia="宋体" w:hint="default"/>
                <w:sz w:val="21"/>
                <w:szCs w:val="21"/>
              </w:rPr>
              <w:t>数量及开展情况</w:t>
            </w:r>
            <w:r>
              <w:rPr>
                <w:rFonts w:ascii="宋体" w:hAnsi="宋体" w:cs="宋体" w:eastAsia="宋体" w:hint="default"/>
                <w:sz w:val="21"/>
                <w:szCs w:val="21"/>
              </w:rPr>
              <w:t> </w:t>
            </w:r>
          </w:p>
        </w:tc>
      </w:tr>
      <w:tr>
        <w:trPr>
          <w:trHeight w:val="322" w:hRule="exact"/>
        </w:trPr>
        <w:tc>
          <w:tcPr>
            <w:tcW w:w="90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一、总体情况</w:t>
            </w:r>
            <w:r>
              <w:rPr>
                <w:rFonts w:ascii="宋体" w:hAnsi="宋体" w:cs="宋体" w:eastAsia="宋体" w:hint="default"/>
                <w:sz w:val="21"/>
                <w:szCs w:val="21"/>
              </w:rPr>
              <w:t> </w:t>
            </w:r>
          </w:p>
        </w:tc>
      </w:tr>
      <w:tr>
        <w:trPr>
          <w:trHeight w:val="322"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1.</w:t>
            </w:r>
            <w:r>
              <w:rPr>
                <w:rFonts w:ascii="宋体" w:hAnsi="宋体" w:cs="宋体" w:eastAsia="宋体" w:hint="default"/>
                <w:sz w:val="21"/>
                <w:szCs w:val="21"/>
              </w:rPr>
              <w:t>资金</w:t>
            </w:r>
            <w:r>
              <w:rPr>
                <w:rFonts w:ascii="宋体" w:hAnsi="宋体" w:cs="宋体" w:eastAsia="宋体" w:hint="default"/>
                <w:sz w:val="21"/>
                <w:szCs w:val="21"/>
              </w:rPr>
              <w:t> </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right"/>
              <w:rPr>
                <w:rFonts w:ascii="宋体" w:hAnsi="宋体" w:cs="宋体" w:eastAsia="宋体" w:hint="default"/>
                <w:sz w:val="21"/>
                <w:szCs w:val="21"/>
              </w:rPr>
            </w:pPr>
            <w:r>
              <w:rPr>
                <w:rFonts w:ascii="宋体"/>
                <w:spacing w:val="-1"/>
                <w:sz w:val="21"/>
              </w:rPr>
              <w:t>2,468.5</w:t>
            </w:r>
            <w:r>
              <w:rPr>
                <w:rFonts w:ascii="宋体"/>
                <w:sz w:val="21"/>
              </w:rPr>
              <w:t> </w:t>
            </w:r>
          </w:p>
        </w:tc>
      </w:tr>
      <w:tr>
        <w:trPr>
          <w:trHeight w:val="322"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34"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物资折款</w:t>
            </w:r>
            <w:r>
              <w:rPr>
                <w:rFonts w:ascii="宋体" w:hAnsi="宋体" w:cs="宋体" w:eastAsia="宋体" w:hint="default"/>
                <w:sz w:val="21"/>
                <w:szCs w:val="21"/>
              </w:rPr>
              <w:t> </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right"/>
              <w:rPr>
                <w:rFonts w:ascii="宋体" w:hAnsi="宋体" w:cs="宋体" w:eastAsia="宋体" w:hint="default"/>
                <w:sz w:val="21"/>
                <w:szCs w:val="21"/>
              </w:rPr>
            </w:pPr>
            <w:r>
              <w:rPr>
                <w:rFonts w:ascii="宋体"/>
                <w:spacing w:val="-1"/>
                <w:sz w:val="21"/>
              </w:rPr>
              <w:t>0.75</w:t>
            </w:r>
            <w:r>
              <w:rPr>
                <w:rFonts w:ascii="宋体"/>
                <w:sz w:val="21"/>
              </w:rPr>
              <w:t> </w:t>
            </w:r>
          </w:p>
        </w:tc>
      </w:tr>
      <w:tr>
        <w:trPr>
          <w:trHeight w:val="322" w:hRule="exact"/>
        </w:trPr>
        <w:tc>
          <w:tcPr>
            <w:tcW w:w="90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二、分项投入</w:t>
            </w:r>
            <w:r>
              <w:rPr>
                <w:rFonts w:ascii="宋体" w:hAnsi="宋体" w:cs="宋体" w:eastAsia="宋体" w:hint="default"/>
                <w:sz w:val="21"/>
                <w:szCs w:val="21"/>
              </w:rPr>
              <w:t> </w:t>
            </w:r>
          </w:p>
        </w:tc>
      </w:tr>
      <w:tr>
        <w:trPr>
          <w:trHeight w:val="324" w:hRule="exact"/>
        </w:trPr>
        <w:tc>
          <w:tcPr>
            <w:tcW w:w="90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17"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产业发展脱贫</w:t>
            </w:r>
            <w:r>
              <w:rPr>
                <w:rFonts w:ascii="宋体" w:hAnsi="宋体" w:cs="宋体" w:eastAsia="宋体" w:hint="default"/>
                <w:sz w:val="21"/>
                <w:szCs w:val="21"/>
              </w:rPr>
              <w:t> </w:t>
            </w:r>
          </w:p>
        </w:tc>
      </w:tr>
    </w:tbl>
    <w:p>
      <w:pPr>
        <w:spacing w:after="0" w:line="262" w:lineRule="exact"/>
        <w:jc w:val="left"/>
        <w:rPr>
          <w:rFonts w:ascii="宋体" w:hAnsi="宋体" w:cs="宋体" w:eastAsia="宋体" w:hint="default"/>
          <w:sz w:val="21"/>
          <w:szCs w:val="21"/>
        </w:rPr>
        <w:sectPr>
          <w:pgSz w:w="11910" w:h="16840"/>
          <w:pgMar w:header="747" w:footer="974" w:top="1140" w:bottom="1160" w:left="1580" w:right="1040"/>
        </w:sectPr>
      </w:pPr>
    </w:p>
    <w:p>
      <w:pPr>
        <w:spacing w:line="240" w:lineRule="auto" w:before="5"/>
        <w:rPr>
          <w:rFonts w:ascii="宋体" w:hAnsi="宋体" w:cs="宋体" w:eastAsia="宋体" w:hint="default"/>
          <w:sz w:val="29"/>
          <w:szCs w:val="29"/>
        </w:rPr>
      </w:pPr>
    </w:p>
    <w:tbl>
      <w:tblPr>
        <w:tblW w:w="0" w:type="auto"/>
        <w:jc w:val="left"/>
        <w:tblInd w:w="105" w:type="dxa"/>
        <w:tblLayout w:type="fixed"/>
        <w:tblCellMar>
          <w:top w:w="0" w:type="dxa"/>
          <w:left w:w="0" w:type="dxa"/>
          <w:bottom w:w="0" w:type="dxa"/>
          <w:right w:w="0" w:type="dxa"/>
        </w:tblCellMar>
        <w:tblLook w:val="01E0"/>
      </w:tblPr>
      <w:tblGrid>
        <w:gridCol w:w="4787"/>
        <w:gridCol w:w="4263"/>
      </w:tblGrid>
      <w:tr>
        <w:trPr>
          <w:trHeight w:val="1884"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1.1</w:t>
            </w:r>
            <w:r>
              <w:rPr>
                <w:rFonts w:ascii="宋体" w:hAnsi="宋体" w:cs="宋体" w:eastAsia="宋体" w:hint="default"/>
                <w:spacing w:val="-55"/>
                <w:sz w:val="21"/>
                <w:szCs w:val="21"/>
              </w:rPr>
              <w:t> </w:t>
            </w:r>
            <w:r>
              <w:rPr>
                <w:rFonts w:ascii="宋体" w:hAnsi="宋体" w:cs="宋体" w:eastAsia="宋体" w:hint="default"/>
                <w:sz w:val="21"/>
                <w:szCs w:val="21"/>
              </w:rPr>
              <w:t>产业扶贫项目类型</w:t>
            </w:r>
            <w:r>
              <w:rPr>
                <w:rFonts w:ascii="宋体" w:hAnsi="宋体" w:cs="宋体" w:eastAsia="宋体" w:hint="default"/>
                <w:sz w:val="21"/>
                <w:szCs w:val="21"/>
              </w:rPr>
              <w:t> </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农林产业扶贫</w:t>
            </w:r>
            <w:r>
              <w:rPr>
                <w:rFonts w:ascii="宋体" w:hAnsi="宋体" w:cs="宋体" w:eastAsia="宋体" w:hint="default"/>
                <w:spacing w:val="-3"/>
                <w:sz w:val="21"/>
                <w:szCs w:val="21"/>
              </w:rPr>
              <w:t> </w:t>
            </w:r>
            <w:r>
              <w:rPr>
                <w:rFonts w:ascii="宋体" w:hAnsi="宋体" w:cs="宋体" w:eastAsia="宋体" w:hint="default"/>
                <w:sz w:val="21"/>
                <w:szCs w:val="21"/>
              </w:rPr>
              <w:t> </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旅游扶贫</w:t>
            </w:r>
            <w:r>
              <w:rPr>
                <w:rFonts w:ascii="宋体" w:hAnsi="宋体" w:cs="宋体" w:eastAsia="宋体" w:hint="default"/>
                <w:spacing w:val="-3"/>
                <w:sz w:val="21"/>
                <w:szCs w:val="21"/>
              </w:rPr>
              <w:t> </w:t>
            </w:r>
            <w:r>
              <w:rPr>
                <w:rFonts w:ascii="宋体" w:hAnsi="宋体" w:cs="宋体" w:eastAsia="宋体" w:hint="default"/>
                <w:sz w:val="21"/>
                <w:szCs w:val="21"/>
              </w:rPr>
              <w:t> </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电商扶贫</w:t>
            </w:r>
            <w:r>
              <w:rPr>
                <w:rFonts w:ascii="宋体" w:hAnsi="宋体" w:cs="宋体" w:eastAsia="宋体" w:hint="default"/>
                <w:spacing w:val="-3"/>
                <w:sz w:val="21"/>
                <w:szCs w:val="21"/>
              </w:rPr>
              <w:t> </w:t>
            </w:r>
            <w:r>
              <w:rPr>
                <w:rFonts w:ascii="宋体" w:hAnsi="宋体" w:cs="宋体" w:eastAsia="宋体" w:hint="default"/>
                <w:sz w:val="21"/>
                <w:szCs w:val="21"/>
              </w:rPr>
              <w:t> </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pacing w:val="-1"/>
                <w:sz w:val="21"/>
                <w:szCs w:val="21"/>
              </w:rPr>
              <w:t> </w:t>
            </w:r>
            <w:r>
              <w:rPr>
                <w:rFonts w:ascii="宋体" w:hAnsi="宋体" w:cs="宋体" w:eastAsia="宋体" w:hint="default"/>
                <w:sz w:val="21"/>
                <w:szCs w:val="21"/>
              </w:rPr>
              <w:t>资产收益扶贫</w:t>
            </w:r>
            <w:r>
              <w:rPr>
                <w:rFonts w:ascii="宋体" w:hAnsi="宋体" w:cs="宋体" w:eastAsia="宋体" w:hint="default"/>
                <w:spacing w:val="-3"/>
                <w:sz w:val="21"/>
                <w:szCs w:val="21"/>
              </w:rPr>
              <w:t> </w:t>
            </w:r>
            <w:r>
              <w:rPr>
                <w:rFonts w:ascii="宋体" w:hAnsi="宋体" w:cs="宋体" w:eastAsia="宋体" w:hint="default"/>
                <w:sz w:val="21"/>
                <w:szCs w:val="21"/>
              </w:rPr>
              <w:t> </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科技扶贫</w:t>
            </w:r>
            <w:r>
              <w:rPr>
                <w:rFonts w:ascii="宋体" w:hAnsi="宋体" w:cs="宋体" w:eastAsia="宋体" w:hint="default"/>
                <w:spacing w:val="-3"/>
                <w:sz w:val="21"/>
                <w:szCs w:val="21"/>
              </w:rPr>
              <w:t> </w:t>
            </w:r>
            <w:r>
              <w:rPr>
                <w:rFonts w:ascii="宋体" w:hAnsi="宋体" w:cs="宋体" w:eastAsia="宋体" w:hint="default"/>
                <w:sz w:val="21"/>
                <w:szCs w:val="21"/>
              </w:rPr>
              <w:t> </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pacing w:val="1"/>
                <w:sz w:val="21"/>
                <w:szCs w:val="21"/>
              </w:rPr>
              <w:t> </w:t>
            </w:r>
            <w:r>
              <w:rPr>
                <w:rFonts w:ascii="宋体" w:hAnsi="宋体" w:cs="宋体" w:eastAsia="宋体" w:hint="default"/>
                <w:sz w:val="21"/>
                <w:szCs w:val="21"/>
              </w:rPr>
              <w:t>其他</w:t>
            </w:r>
            <w:r>
              <w:rPr>
                <w:rFonts w:ascii="宋体" w:hAnsi="宋体" w:cs="宋体" w:eastAsia="宋体" w:hint="default"/>
                <w:spacing w:val="-3"/>
                <w:sz w:val="21"/>
                <w:szCs w:val="21"/>
              </w:rPr>
              <w:t> </w:t>
            </w:r>
            <w:r>
              <w:rPr>
                <w:rFonts w:ascii="宋体" w:hAnsi="宋体" w:cs="宋体" w:eastAsia="宋体" w:hint="default"/>
                <w:sz w:val="21"/>
                <w:szCs w:val="21"/>
              </w:rPr>
              <w:t> </w:t>
            </w:r>
          </w:p>
        </w:tc>
      </w:tr>
      <w:tr>
        <w:trPr>
          <w:trHeight w:val="322"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34"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6"/>
                <w:sz w:val="21"/>
                <w:szCs w:val="21"/>
              </w:rPr>
              <w:t> </w:t>
            </w:r>
            <w:r>
              <w:rPr>
                <w:rFonts w:ascii="宋体" w:hAnsi="宋体" w:cs="宋体" w:eastAsia="宋体" w:hint="default"/>
                <w:sz w:val="21"/>
                <w:szCs w:val="21"/>
              </w:rPr>
              <w:t>产业扶贫项目个数（个）</w:t>
            </w:r>
            <w:r>
              <w:rPr>
                <w:rFonts w:ascii="宋体" w:hAnsi="宋体" w:cs="宋体" w:eastAsia="宋体" w:hint="default"/>
                <w:sz w:val="21"/>
                <w:szCs w:val="21"/>
              </w:rPr>
              <w:t> </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right"/>
              <w:rPr>
                <w:rFonts w:ascii="宋体" w:hAnsi="宋体" w:cs="宋体" w:eastAsia="宋体" w:hint="default"/>
                <w:sz w:val="21"/>
                <w:szCs w:val="21"/>
              </w:rPr>
            </w:pPr>
            <w:r>
              <w:rPr>
                <w:rFonts w:ascii="宋体"/>
                <w:sz w:val="21"/>
              </w:rPr>
              <w:t>7 </w:t>
            </w:r>
          </w:p>
        </w:tc>
      </w:tr>
      <w:tr>
        <w:trPr>
          <w:trHeight w:val="322"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34" w:right="0"/>
              <w:jc w:val="left"/>
              <w:rPr>
                <w:rFonts w:ascii="宋体" w:hAnsi="宋体" w:cs="宋体" w:eastAsia="宋体" w:hint="default"/>
                <w:sz w:val="21"/>
                <w:szCs w:val="21"/>
              </w:rPr>
            </w:pPr>
            <w:r>
              <w:rPr>
                <w:rFonts w:ascii="宋体" w:hAnsi="宋体" w:cs="宋体" w:eastAsia="宋体" w:hint="default"/>
                <w:sz w:val="21"/>
                <w:szCs w:val="21"/>
              </w:rPr>
              <w:t>1.3</w:t>
            </w:r>
            <w:r>
              <w:rPr>
                <w:rFonts w:ascii="宋体" w:hAnsi="宋体" w:cs="宋体" w:eastAsia="宋体" w:hint="default"/>
                <w:spacing w:val="-55"/>
                <w:sz w:val="21"/>
                <w:szCs w:val="21"/>
              </w:rPr>
              <w:t> </w:t>
            </w:r>
            <w:r>
              <w:rPr>
                <w:rFonts w:ascii="宋体" w:hAnsi="宋体" w:cs="宋体" w:eastAsia="宋体" w:hint="default"/>
                <w:sz w:val="21"/>
                <w:szCs w:val="21"/>
              </w:rPr>
              <w:t>产业扶贫项目投入金额</w:t>
            </w:r>
            <w:r>
              <w:rPr>
                <w:rFonts w:ascii="宋体" w:hAnsi="宋体" w:cs="宋体" w:eastAsia="宋体" w:hint="default"/>
                <w:sz w:val="21"/>
                <w:szCs w:val="21"/>
              </w:rPr>
              <w:t> </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right"/>
              <w:rPr>
                <w:rFonts w:ascii="宋体" w:hAnsi="宋体" w:cs="宋体" w:eastAsia="宋体" w:hint="default"/>
                <w:sz w:val="21"/>
                <w:szCs w:val="21"/>
              </w:rPr>
            </w:pPr>
            <w:r>
              <w:rPr>
                <w:rFonts w:ascii="宋体"/>
                <w:spacing w:val="-1"/>
                <w:sz w:val="21"/>
              </w:rPr>
              <w:t>1,365.9</w:t>
            </w:r>
            <w:r>
              <w:rPr>
                <w:rFonts w:ascii="宋体"/>
                <w:sz w:val="21"/>
              </w:rPr>
              <w:t> </w:t>
            </w:r>
          </w:p>
        </w:tc>
      </w:tr>
      <w:tr>
        <w:trPr>
          <w:trHeight w:val="322" w:hRule="exact"/>
        </w:trPr>
        <w:tc>
          <w:tcPr>
            <w:tcW w:w="90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17"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转移就业脱贫</w:t>
            </w:r>
            <w:r>
              <w:rPr>
                <w:rFonts w:ascii="宋体" w:hAnsi="宋体" w:cs="宋体" w:eastAsia="宋体" w:hint="default"/>
                <w:sz w:val="21"/>
                <w:szCs w:val="21"/>
              </w:rPr>
              <w:t> </w:t>
            </w:r>
          </w:p>
        </w:tc>
      </w:tr>
      <w:tr>
        <w:trPr>
          <w:trHeight w:val="322" w:hRule="exact"/>
        </w:trPr>
        <w:tc>
          <w:tcPr>
            <w:tcW w:w="90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17"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易地搬迁脱贫</w:t>
            </w:r>
            <w:r>
              <w:rPr>
                <w:rFonts w:ascii="宋体" w:hAnsi="宋体" w:cs="宋体" w:eastAsia="宋体" w:hint="default"/>
                <w:sz w:val="21"/>
                <w:szCs w:val="21"/>
              </w:rPr>
              <w:t> </w:t>
            </w:r>
          </w:p>
        </w:tc>
      </w:tr>
      <w:tr>
        <w:trPr>
          <w:trHeight w:val="322" w:hRule="exact"/>
        </w:trPr>
        <w:tc>
          <w:tcPr>
            <w:tcW w:w="90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17"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教育脱贫</w:t>
            </w:r>
            <w:r>
              <w:rPr>
                <w:rFonts w:ascii="宋体" w:hAnsi="宋体" w:cs="宋体" w:eastAsia="宋体" w:hint="default"/>
                <w:sz w:val="21"/>
                <w:szCs w:val="21"/>
              </w:rPr>
              <w:t> </w:t>
            </w:r>
          </w:p>
        </w:tc>
      </w:tr>
      <w:tr>
        <w:trPr>
          <w:trHeight w:val="325" w:hRule="exact"/>
        </w:trPr>
        <w:tc>
          <w:tcPr>
            <w:tcW w:w="90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417"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z w:val="21"/>
                <w:szCs w:val="21"/>
              </w:rPr>
              <w:t>健康扶贫</w:t>
            </w:r>
            <w:r>
              <w:rPr>
                <w:rFonts w:ascii="宋体" w:hAnsi="宋体" w:cs="宋体" w:eastAsia="宋体" w:hint="default"/>
                <w:sz w:val="21"/>
                <w:szCs w:val="21"/>
              </w:rPr>
              <w:t> </w:t>
            </w:r>
          </w:p>
        </w:tc>
      </w:tr>
      <w:tr>
        <w:trPr>
          <w:trHeight w:val="322" w:hRule="exact"/>
        </w:trPr>
        <w:tc>
          <w:tcPr>
            <w:tcW w:w="90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17" w:right="0"/>
              <w:jc w:val="left"/>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z w:val="21"/>
                <w:szCs w:val="21"/>
              </w:rPr>
              <w:t>生态保护扶贫</w:t>
            </w:r>
            <w:r>
              <w:rPr>
                <w:rFonts w:ascii="宋体" w:hAnsi="宋体" w:cs="宋体" w:eastAsia="宋体" w:hint="default"/>
                <w:sz w:val="21"/>
                <w:szCs w:val="21"/>
              </w:rPr>
              <w:t> </w:t>
            </w:r>
          </w:p>
        </w:tc>
      </w:tr>
      <w:tr>
        <w:trPr>
          <w:trHeight w:val="322" w:hRule="exact"/>
        </w:trPr>
        <w:tc>
          <w:tcPr>
            <w:tcW w:w="90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17" w:right="0"/>
              <w:jc w:val="left"/>
              <w:rPr>
                <w:rFonts w:ascii="宋体" w:hAnsi="宋体" w:cs="宋体" w:eastAsia="宋体" w:hint="default"/>
                <w:sz w:val="21"/>
                <w:szCs w:val="21"/>
              </w:rPr>
            </w:pPr>
            <w:r>
              <w:rPr>
                <w:rFonts w:ascii="宋体" w:hAnsi="宋体" w:cs="宋体" w:eastAsia="宋体" w:hint="default"/>
                <w:sz w:val="21"/>
                <w:szCs w:val="21"/>
              </w:rPr>
              <w:t>7.</w:t>
            </w:r>
            <w:r>
              <w:rPr>
                <w:rFonts w:ascii="宋体" w:hAnsi="宋体" w:cs="宋体" w:eastAsia="宋体" w:hint="default"/>
                <w:sz w:val="21"/>
                <w:szCs w:val="21"/>
              </w:rPr>
              <w:t>兜底保障</w:t>
            </w:r>
            <w:r>
              <w:rPr>
                <w:rFonts w:ascii="宋体" w:hAnsi="宋体" w:cs="宋体" w:eastAsia="宋体" w:hint="default"/>
                <w:sz w:val="21"/>
                <w:szCs w:val="21"/>
              </w:rPr>
              <w:t> </w:t>
            </w:r>
          </w:p>
        </w:tc>
      </w:tr>
      <w:tr>
        <w:trPr>
          <w:trHeight w:val="322" w:hRule="exact"/>
        </w:trPr>
        <w:tc>
          <w:tcPr>
            <w:tcW w:w="90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17" w:right="0"/>
              <w:jc w:val="left"/>
              <w:rPr>
                <w:rFonts w:ascii="宋体" w:hAnsi="宋体" w:cs="宋体" w:eastAsia="宋体" w:hint="default"/>
                <w:sz w:val="21"/>
                <w:szCs w:val="21"/>
              </w:rPr>
            </w:pPr>
            <w:r>
              <w:rPr>
                <w:rFonts w:ascii="宋体" w:hAnsi="宋体" w:cs="宋体" w:eastAsia="宋体" w:hint="default"/>
                <w:sz w:val="21"/>
                <w:szCs w:val="21"/>
              </w:rPr>
              <w:t>8.</w:t>
            </w:r>
            <w:r>
              <w:rPr>
                <w:rFonts w:ascii="宋体" w:hAnsi="宋体" w:cs="宋体" w:eastAsia="宋体" w:hint="default"/>
                <w:sz w:val="21"/>
                <w:szCs w:val="21"/>
              </w:rPr>
              <w:t>社会扶贫</w:t>
            </w:r>
            <w:r>
              <w:rPr>
                <w:rFonts w:ascii="宋体" w:hAnsi="宋体" w:cs="宋体" w:eastAsia="宋体" w:hint="default"/>
                <w:sz w:val="21"/>
                <w:szCs w:val="21"/>
              </w:rPr>
              <w:t> </w:t>
            </w:r>
          </w:p>
        </w:tc>
      </w:tr>
      <w:tr>
        <w:trPr>
          <w:trHeight w:val="322"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34" w:right="0"/>
              <w:jc w:val="left"/>
              <w:rPr>
                <w:rFonts w:ascii="宋体" w:hAnsi="宋体" w:cs="宋体" w:eastAsia="宋体" w:hint="default"/>
                <w:sz w:val="21"/>
                <w:szCs w:val="21"/>
              </w:rPr>
            </w:pPr>
            <w:r>
              <w:rPr>
                <w:rFonts w:ascii="宋体" w:hAnsi="宋体" w:cs="宋体" w:eastAsia="宋体" w:hint="default"/>
                <w:sz w:val="21"/>
                <w:szCs w:val="21"/>
              </w:rPr>
              <w:t>8.2</w:t>
            </w:r>
            <w:r>
              <w:rPr>
                <w:rFonts w:ascii="宋体" w:hAnsi="宋体" w:cs="宋体" w:eastAsia="宋体" w:hint="default"/>
                <w:spacing w:val="-55"/>
                <w:sz w:val="21"/>
                <w:szCs w:val="21"/>
              </w:rPr>
              <w:t> </w:t>
            </w:r>
            <w:r>
              <w:rPr>
                <w:rFonts w:ascii="宋体" w:hAnsi="宋体" w:cs="宋体" w:eastAsia="宋体" w:hint="default"/>
                <w:sz w:val="21"/>
                <w:szCs w:val="21"/>
              </w:rPr>
              <w:t>定点扶贫工作投入金额</w:t>
            </w:r>
            <w:r>
              <w:rPr>
                <w:rFonts w:ascii="宋体" w:hAnsi="宋体" w:cs="宋体" w:eastAsia="宋体" w:hint="default"/>
                <w:sz w:val="21"/>
                <w:szCs w:val="21"/>
              </w:rPr>
              <w:t> </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right"/>
              <w:rPr>
                <w:rFonts w:ascii="宋体" w:hAnsi="宋体" w:cs="宋体" w:eastAsia="宋体" w:hint="default"/>
                <w:sz w:val="21"/>
                <w:szCs w:val="21"/>
              </w:rPr>
            </w:pPr>
            <w:r>
              <w:rPr>
                <w:rFonts w:ascii="宋体"/>
                <w:spacing w:val="-1"/>
                <w:sz w:val="21"/>
              </w:rPr>
              <w:t>1,100</w:t>
            </w:r>
            <w:r>
              <w:rPr>
                <w:rFonts w:ascii="宋体"/>
                <w:sz w:val="21"/>
              </w:rPr>
              <w:t> </w:t>
            </w:r>
          </w:p>
        </w:tc>
      </w:tr>
      <w:tr>
        <w:trPr>
          <w:trHeight w:val="322" w:hRule="exact"/>
        </w:trPr>
        <w:tc>
          <w:tcPr>
            <w:tcW w:w="90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17" w:right="0"/>
              <w:jc w:val="left"/>
              <w:rPr>
                <w:rFonts w:ascii="宋体" w:hAnsi="宋体" w:cs="宋体" w:eastAsia="宋体" w:hint="default"/>
                <w:sz w:val="21"/>
                <w:szCs w:val="21"/>
              </w:rPr>
            </w:pPr>
            <w:r>
              <w:rPr>
                <w:rFonts w:ascii="宋体" w:hAnsi="宋体" w:cs="宋体" w:eastAsia="宋体" w:hint="default"/>
                <w:sz w:val="21"/>
                <w:szCs w:val="21"/>
              </w:rPr>
              <w:t>9.</w:t>
            </w:r>
            <w:r>
              <w:rPr>
                <w:rFonts w:ascii="宋体" w:hAnsi="宋体" w:cs="宋体" w:eastAsia="宋体" w:hint="default"/>
                <w:sz w:val="21"/>
                <w:szCs w:val="21"/>
              </w:rPr>
              <w:t>其他项目</w:t>
            </w:r>
            <w:r>
              <w:rPr>
                <w:rFonts w:ascii="宋体" w:hAnsi="宋体" w:cs="宋体" w:eastAsia="宋体" w:hint="default"/>
                <w:sz w:val="21"/>
                <w:szCs w:val="21"/>
              </w:rPr>
              <w:t> </w:t>
            </w:r>
          </w:p>
        </w:tc>
      </w:tr>
      <w:tr>
        <w:trPr>
          <w:trHeight w:val="324"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9.1</w:t>
            </w:r>
            <w:r>
              <w:rPr>
                <w:rFonts w:ascii="宋体" w:hAnsi="宋体" w:cs="宋体" w:eastAsia="宋体" w:hint="default"/>
                <w:spacing w:val="-54"/>
                <w:sz w:val="21"/>
                <w:szCs w:val="21"/>
              </w:rPr>
              <w:t> </w:t>
            </w:r>
            <w:r>
              <w:rPr>
                <w:rFonts w:ascii="宋体" w:hAnsi="宋体" w:cs="宋体" w:eastAsia="宋体" w:hint="default"/>
                <w:sz w:val="21"/>
                <w:szCs w:val="21"/>
              </w:rPr>
              <w:t>项目个数（个）</w:t>
            </w:r>
            <w:r>
              <w:rPr>
                <w:rFonts w:ascii="宋体" w:hAnsi="宋体" w:cs="宋体" w:eastAsia="宋体" w:hint="default"/>
                <w:sz w:val="21"/>
                <w:szCs w:val="21"/>
              </w:rPr>
              <w:t> </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5"/>
              <w:jc w:val="right"/>
              <w:rPr>
                <w:rFonts w:ascii="宋体" w:hAnsi="宋体" w:cs="宋体" w:eastAsia="宋体" w:hint="default"/>
                <w:sz w:val="21"/>
                <w:szCs w:val="21"/>
              </w:rPr>
            </w:pPr>
            <w:r>
              <w:rPr>
                <w:rFonts w:ascii="宋体"/>
                <w:sz w:val="21"/>
              </w:rPr>
              <w:t>6 </w:t>
            </w:r>
          </w:p>
        </w:tc>
      </w:tr>
      <w:tr>
        <w:trPr>
          <w:trHeight w:val="322"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34" w:right="0"/>
              <w:jc w:val="left"/>
              <w:rPr>
                <w:rFonts w:ascii="宋体" w:hAnsi="宋体" w:cs="宋体" w:eastAsia="宋体" w:hint="default"/>
                <w:sz w:val="21"/>
                <w:szCs w:val="21"/>
              </w:rPr>
            </w:pPr>
            <w:r>
              <w:rPr>
                <w:rFonts w:ascii="宋体" w:hAnsi="宋体" w:cs="宋体" w:eastAsia="宋体" w:hint="default"/>
                <w:sz w:val="21"/>
                <w:szCs w:val="21"/>
              </w:rPr>
              <w:t>9.2</w:t>
            </w:r>
            <w:r>
              <w:rPr>
                <w:rFonts w:ascii="宋体" w:hAnsi="宋体" w:cs="宋体" w:eastAsia="宋体" w:hint="default"/>
                <w:spacing w:val="-44"/>
                <w:sz w:val="21"/>
                <w:szCs w:val="21"/>
              </w:rPr>
              <w:t> </w:t>
            </w:r>
            <w:r>
              <w:rPr>
                <w:rFonts w:ascii="宋体" w:hAnsi="宋体" w:cs="宋体" w:eastAsia="宋体" w:hint="default"/>
                <w:spacing w:val="-3"/>
                <w:sz w:val="21"/>
                <w:szCs w:val="21"/>
              </w:rPr>
              <w:t>投入金额</w:t>
            </w:r>
            <w:r>
              <w:rPr>
                <w:rFonts w:ascii="宋体" w:hAnsi="宋体" w:cs="宋体" w:eastAsia="宋体" w:hint="default"/>
                <w:sz w:val="21"/>
                <w:szCs w:val="21"/>
              </w:rPr>
              <w:t> </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right"/>
              <w:rPr>
                <w:rFonts w:ascii="宋体" w:hAnsi="宋体" w:cs="宋体" w:eastAsia="宋体" w:hint="default"/>
                <w:sz w:val="21"/>
                <w:szCs w:val="21"/>
              </w:rPr>
            </w:pPr>
            <w:r>
              <w:rPr>
                <w:rFonts w:ascii="宋体"/>
                <w:spacing w:val="-1"/>
                <w:sz w:val="21"/>
              </w:rPr>
              <w:t>3.35</w:t>
            </w:r>
            <w:r>
              <w:rPr>
                <w:rFonts w:ascii="宋体"/>
                <w:sz w:val="21"/>
              </w:rPr>
              <w:t> </w:t>
            </w:r>
          </w:p>
        </w:tc>
      </w:tr>
      <w:tr>
        <w:trPr>
          <w:trHeight w:val="322" w:hRule="exact"/>
        </w:trPr>
        <w:tc>
          <w:tcPr>
            <w:tcW w:w="90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三、所获奖项（内容、级别）</w:t>
            </w:r>
            <w:r>
              <w:rPr>
                <w:rFonts w:ascii="宋体" w:hAnsi="宋体" w:cs="宋体" w:eastAsia="宋体" w:hint="default"/>
                <w:sz w:val="21"/>
                <w:szCs w:val="21"/>
              </w:rPr>
              <w:t> </w:t>
            </w:r>
          </w:p>
        </w:tc>
      </w:tr>
    </w:tbl>
    <w:p>
      <w:pPr>
        <w:pStyle w:val="Heading2"/>
        <w:spacing w:line="274" w:lineRule="exact"/>
        <w:ind w:right="0"/>
        <w:jc w:val="left"/>
        <w:rPr>
          <w:rFonts w:ascii="宋体" w:hAnsi="宋体" w:cs="宋体" w:eastAsia="宋体" w:hint="default"/>
        </w:rPr>
      </w:pPr>
      <w:r>
        <w:rPr>
          <w:rFonts w:ascii="宋体"/>
        </w:rPr>
        <w:t> </w:t>
      </w:r>
    </w:p>
    <w:p>
      <w:pPr>
        <w:pStyle w:val="Heading3"/>
        <w:tabs>
          <w:tab w:pos="642" w:val="left" w:leader="none"/>
        </w:tabs>
        <w:spacing w:line="240" w:lineRule="auto" w:before="85"/>
        <w:ind w:right="0"/>
        <w:jc w:val="left"/>
        <w:rPr>
          <w:rFonts w:ascii="宋体" w:hAnsi="宋体" w:cs="宋体" w:eastAsia="宋体" w:hint="default"/>
          <w:b w:val="0"/>
          <w:bCs w:val="0"/>
        </w:rPr>
      </w:pPr>
      <w:r>
        <w:rPr>
          <w:rFonts w:ascii="宋体" w:hAnsi="宋体" w:cs="宋体" w:eastAsia="宋体" w:hint="default"/>
          <w:w w:val="95"/>
        </w:rPr>
        <w:t>4.</w:t>
        <w:tab/>
      </w:r>
      <w:r>
        <w:rPr/>
        <w:t>后续精准扶贫计划</w:t>
      </w:r>
      <w:r>
        <w:rPr>
          <w:rFonts w:ascii="宋体" w:hAnsi="宋体" w:cs="宋体" w:eastAsia="宋体" w:hint="default"/>
          <w:w w:val="99"/>
        </w:rPr>
        <w:t> </w:t>
      </w:r>
      <w:r>
        <w:rPr>
          <w:rFonts w:ascii="宋体" w:hAnsi="宋体" w:cs="宋体" w:eastAsia="宋体" w:hint="default"/>
          <w:b w:val="0"/>
          <w:bCs w:val="0"/>
        </w:rPr>
      </w:r>
    </w:p>
    <w:p>
      <w:pPr>
        <w:pStyle w:val="Heading2"/>
        <w:spacing w:line="240" w:lineRule="auto" w:before="69"/>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BodyText"/>
        <w:spacing w:line="273" w:lineRule="auto" w:before="25"/>
        <w:ind w:right="0" w:firstLine="419"/>
        <w:jc w:val="left"/>
        <w:rPr>
          <w:rFonts w:ascii="宋体" w:hAnsi="宋体" w:cs="宋体" w:eastAsia="宋体" w:hint="default"/>
        </w:rPr>
      </w:pPr>
      <w:r>
        <w:rPr>
          <w:rFonts w:ascii="宋体" w:hAnsi="宋体" w:cs="宋体" w:eastAsia="宋体" w:hint="default"/>
          <w:spacing w:val="-2"/>
        </w:rPr>
        <w:t>1</w:t>
      </w:r>
      <w:r>
        <w:rPr>
          <w:spacing w:val="-2"/>
        </w:rPr>
        <w:t>、公司将结合实际情况，做好企业内部及当地困难群众帮扶工作，继续吸收贫困人口就业，</w:t>
      </w:r>
      <w:r>
        <w:rPr>
          <w:w w:val="100"/>
        </w:rPr>
        <w:t> </w:t>
      </w:r>
      <w:r>
        <w:rPr/>
        <w:t>加强职业技能培训，帮助贫困人口实现就业脱贫，全力以赴配合协助本地政府部门的扶贫攻坚工</w:t>
      </w:r>
      <w:r>
        <w:rPr>
          <w:w w:val="100"/>
        </w:rPr>
        <w:t> </w:t>
      </w:r>
      <w:r>
        <w:rPr/>
        <w:t>作。</w:t>
      </w:r>
      <w:r>
        <w:rPr>
          <w:rFonts w:ascii="宋体" w:hAnsi="宋体" w:cs="宋体" w:eastAsia="宋体" w:hint="default"/>
        </w:rPr>
        <w:t> </w:t>
      </w:r>
    </w:p>
    <w:p>
      <w:pPr>
        <w:pStyle w:val="BodyText"/>
        <w:spacing w:line="273" w:lineRule="auto" w:before="7"/>
        <w:ind w:right="228" w:firstLine="419"/>
        <w:jc w:val="both"/>
        <w:rPr>
          <w:rFonts w:ascii="宋体" w:hAnsi="宋体" w:cs="宋体" w:eastAsia="宋体" w:hint="default"/>
        </w:rPr>
      </w:pPr>
      <w:r>
        <w:rPr>
          <w:rFonts w:ascii="宋体" w:hAnsi="宋体" w:cs="宋体" w:eastAsia="宋体" w:hint="default"/>
          <w:spacing w:val="-4"/>
        </w:rPr>
        <w:t>2</w:t>
      </w:r>
      <w:r>
        <w:rPr>
          <w:spacing w:val="-4"/>
        </w:rPr>
        <w:t>、公司将继续在贫困地区与当地政府进行合作，达成相关协议后进行扶贫帮困，利用建设农</w:t>
      </w:r>
      <w:r>
        <w:rPr>
          <w:w w:val="100"/>
        </w:rPr>
        <w:t> </w:t>
      </w:r>
      <w:r>
        <w:rPr>
          <w:spacing w:val="-2"/>
        </w:rPr>
        <w:t>光互补光伏电站取得相关收益以后扶持当地贫困户，当地居民一方面可以获得土地租金，另一方</w:t>
      </w:r>
      <w:r>
        <w:rPr>
          <w:spacing w:val="-25"/>
        </w:rPr>
        <w:t> </w:t>
      </w:r>
      <w:r>
        <w:rPr>
          <w:spacing w:val="-25"/>
        </w:rPr>
      </w:r>
      <w:r>
        <w:rPr/>
        <w:t>面通过在光伏大棚下集中种植油用牡丹等经济作物来取得收益。</w:t>
      </w:r>
      <w:r>
        <w:rPr>
          <w:rFonts w:ascii="宋体" w:hAnsi="宋体" w:cs="宋体" w:eastAsia="宋体" w:hint="default"/>
        </w:rPr>
        <w:t> </w:t>
      </w:r>
    </w:p>
    <w:p>
      <w:pPr>
        <w:pStyle w:val="Heading2"/>
        <w:spacing w:line="294" w:lineRule="exact"/>
        <w:ind w:right="0"/>
        <w:jc w:val="left"/>
        <w:rPr>
          <w:rFonts w:ascii="宋体" w:hAnsi="宋体" w:cs="宋体" w:eastAsia="宋体" w:hint="default"/>
        </w:rPr>
      </w:pPr>
      <w:r>
        <w:rPr>
          <w:rFonts w:ascii="宋体"/>
        </w:rPr>
        <w:t> </w:t>
      </w:r>
    </w:p>
    <w:p>
      <w:pPr>
        <w:pStyle w:val="Heading3"/>
        <w:tabs>
          <w:tab w:pos="861" w:val="left" w:leader="none"/>
        </w:tabs>
        <w:spacing w:line="240" w:lineRule="auto" w:before="85"/>
        <w:ind w:right="0"/>
        <w:jc w:val="left"/>
        <w:rPr>
          <w:b w:val="0"/>
          <w:bCs w:val="0"/>
        </w:rPr>
      </w:pPr>
      <w:r>
        <w:rPr>
          <w:rFonts w:ascii="宋体" w:hAnsi="宋体" w:cs="宋体" w:eastAsia="宋体" w:hint="default"/>
          <w:spacing w:val="-1"/>
        </w:rPr>
        <w:t>(</w:t>
      </w:r>
      <w:r>
        <w:rPr>
          <w:spacing w:val="-1"/>
        </w:rPr>
        <w:t>二</w:t>
      </w:r>
      <w:r>
        <w:rPr>
          <w:rFonts w:ascii="宋体" w:hAnsi="宋体" w:cs="宋体" w:eastAsia="宋体" w:hint="default"/>
          <w:spacing w:val="-1"/>
        </w:rPr>
        <w:t>)</w:t>
        <w:tab/>
      </w:r>
      <w:r>
        <w:rPr/>
        <w:t>社会责任工作情况</w:t>
      </w:r>
      <w:r>
        <w:rPr>
          <w:b w:val="0"/>
          <w:bCs w:val="0"/>
        </w:rPr>
      </w:r>
    </w:p>
    <w:p>
      <w:pPr>
        <w:pStyle w:val="Heading2"/>
        <w:spacing w:line="240" w:lineRule="auto" w:before="69"/>
        <w:ind w:right="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BodyText"/>
        <w:spacing w:line="273" w:lineRule="auto" w:before="25"/>
        <w:ind w:right="0" w:firstLine="419"/>
        <w:jc w:val="left"/>
        <w:rPr>
          <w:rFonts w:ascii="宋体" w:hAnsi="宋体" w:cs="宋体" w:eastAsia="宋体" w:hint="default"/>
        </w:rPr>
      </w:pPr>
      <w:r>
        <w:rPr>
          <w:spacing w:val="-5"/>
          <w:w w:val="100"/>
        </w:rPr>
        <w:t>具体内容详见同日刊登于上海证券交易所网站的《江苏林洋能源股份有限公司</w:t>
      </w:r>
      <w:r>
        <w:rPr>
          <w:w w:val="100"/>
        </w:rPr>
        <w:t> </w:t>
      </w:r>
      <w:r>
        <w:rPr>
          <w:rFonts w:ascii="宋体" w:hAnsi="宋体" w:cs="宋体" w:eastAsia="宋体" w:hint="default"/>
          <w:w w:val="100"/>
        </w:rPr>
        <w:t>2019</w:t>
      </w:r>
      <w:r>
        <w:rPr>
          <w:rFonts w:ascii="宋体" w:hAnsi="宋体" w:cs="宋体" w:eastAsia="宋体" w:hint="default"/>
          <w:spacing w:val="-85"/>
          <w:w w:val="100"/>
        </w:rPr>
        <w:t> </w:t>
      </w:r>
      <w:r>
        <w:rPr>
          <w:spacing w:val="-1"/>
          <w:w w:val="100"/>
        </w:rPr>
        <w:t>年度社会</w:t>
      </w:r>
      <w:r>
        <w:rPr>
          <w:w w:val="100"/>
        </w:rPr>
        <w:t> </w:t>
      </w:r>
      <w:r>
        <w:rPr/>
        <w:t>责任报告》。</w:t>
      </w:r>
      <w:r>
        <w:rPr>
          <w:rFonts w:ascii="宋体" w:hAnsi="宋体" w:cs="宋体" w:eastAsia="宋体" w:hint="default"/>
        </w:rPr>
        <w:t> </w:t>
      </w:r>
    </w:p>
    <w:p>
      <w:pPr>
        <w:pStyle w:val="Heading2"/>
        <w:spacing w:line="294" w:lineRule="exact"/>
        <w:ind w:right="0"/>
        <w:jc w:val="left"/>
        <w:rPr>
          <w:rFonts w:ascii="宋体" w:hAnsi="宋体" w:cs="宋体" w:eastAsia="宋体" w:hint="default"/>
        </w:rPr>
      </w:pPr>
      <w:r>
        <w:rPr>
          <w:rFonts w:ascii="宋体"/>
        </w:rPr>
        <w:t> </w:t>
      </w:r>
    </w:p>
    <w:p>
      <w:pPr>
        <w:pStyle w:val="Heading3"/>
        <w:tabs>
          <w:tab w:pos="861" w:val="left" w:leader="none"/>
        </w:tabs>
        <w:spacing w:line="240" w:lineRule="auto" w:before="85"/>
        <w:ind w:right="0"/>
        <w:jc w:val="left"/>
        <w:rPr>
          <w:b w:val="0"/>
          <w:bCs w:val="0"/>
        </w:rPr>
      </w:pPr>
      <w:r>
        <w:rPr>
          <w:rFonts w:ascii="宋体" w:hAnsi="宋体" w:cs="宋体" w:eastAsia="宋体" w:hint="default"/>
          <w:spacing w:val="-1"/>
        </w:rPr>
        <w:t>(</w:t>
      </w:r>
      <w:r>
        <w:rPr>
          <w:spacing w:val="-1"/>
        </w:rPr>
        <w:t>三</w:t>
      </w:r>
      <w:r>
        <w:rPr>
          <w:rFonts w:ascii="宋体" w:hAnsi="宋体" w:cs="宋体" w:eastAsia="宋体" w:hint="default"/>
          <w:spacing w:val="-1"/>
        </w:rPr>
        <w:t>)</w:t>
        <w:tab/>
      </w:r>
      <w:r>
        <w:rPr/>
        <w:t>环境信息情况</w:t>
      </w:r>
      <w:r>
        <w:rPr>
          <w:b w:val="0"/>
          <w:bCs w:val="0"/>
        </w:rPr>
      </w:r>
    </w:p>
    <w:p>
      <w:pPr>
        <w:pStyle w:val="Heading3"/>
        <w:tabs>
          <w:tab w:pos="642" w:val="left" w:leader="none"/>
        </w:tabs>
        <w:spacing w:line="240" w:lineRule="auto"/>
        <w:ind w:right="0"/>
        <w:jc w:val="left"/>
        <w:rPr>
          <w:rFonts w:ascii="宋体" w:hAnsi="宋体" w:cs="宋体" w:eastAsia="宋体" w:hint="default"/>
          <w:b w:val="0"/>
          <w:bCs w:val="0"/>
        </w:rPr>
      </w:pPr>
      <w:r>
        <w:rPr>
          <w:rFonts w:ascii="宋体" w:hAnsi="宋体" w:cs="宋体" w:eastAsia="宋体" w:hint="default"/>
          <w:w w:val="95"/>
        </w:rPr>
        <w:t>1.</w:t>
        <w:tab/>
      </w:r>
      <w:r>
        <w:rPr/>
        <w:t>属于环境保护部门公布的重点排污单位的公司及其重要子公司的环保情况说明</w:t>
      </w:r>
      <w:r>
        <w:rPr>
          <w:rFonts w:ascii="宋体" w:hAnsi="宋体" w:cs="宋体" w:eastAsia="宋体" w:hint="default"/>
          <w:w w:val="99"/>
        </w:rPr>
        <w:t> </w:t>
      </w:r>
      <w:r>
        <w:rPr>
          <w:rFonts w:ascii="宋体" w:hAnsi="宋体" w:cs="宋体" w:eastAsia="宋体" w:hint="default"/>
          <w:b w:val="0"/>
          <w:bCs w:val="0"/>
        </w:rPr>
      </w:r>
    </w:p>
    <w:p>
      <w:pPr>
        <w:pStyle w:val="Heading2"/>
        <w:spacing w:line="240" w:lineRule="auto" w:before="69"/>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5"/>
        <w:rPr>
          <w:rFonts w:ascii="宋体" w:hAnsi="宋体" w:cs="宋体" w:eastAsia="宋体" w:hint="default"/>
          <w:sz w:val="30"/>
          <w:szCs w:val="30"/>
        </w:rPr>
      </w:pPr>
    </w:p>
    <w:p>
      <w:pPr>
        <w:pStyle w:val="Heading3"/>
        <w:tabs>
          <w:tab w:pos="642" w:val="left" w:leader="none"/>
        </w:tabs>
        <w:spacing w:line="240" w:lineRule="auto" w:before="0"/>
        <w:ind w:right="0"/>
        <w:jc w:val="left"/>
        <w:rPr>
          <w:rFonts w:ascii="宋体" w:hAnsi="宋体" w:cs="宋体" w:eastAsia="宋体" w:hint="default"/>
          <w:b w:val="0"/>
          <w:bCs w:val="0"/>
        </w:rPr>
      </w:pPr>
      <w:r>
        <w:rPr>
          <w:rFonts w:ascii="宋体" w:hAnsi="宋体" w:cs="宋体" w:eastAsia="宋体" w:hint="default"/>
          <w:w w:val="95"/>
        </w:rPr>
        <w:t>2.</w:t>
        <w:tab/>
      </w:r>
      <w:r>
        <w:rPr/>
        <w:t>重点排污单位之外的公司的环保情况说明</w:t>
      </w:r>
      <w:r>
        <w:rPr>
          <w:rFonts w:ascii="宋体" w:hAnsi="宋体" w:cs="宋体" w:eastAsia="宋体" w:hint="default"/>
          <w:w w:val="99"/>
        </w:rPr>
        <w:t> </w:t>
      </w:r>
      <w:r>
        <w:rPr>
          <w:rFonts w:ascii="宋体" w:hAnsi="宋体" w:cs="宋体" w:eastAsia="宋体" w:hint="default"/>
          <w:b w:val="0"/>
          <w:bCs w:val="0"/>
        </w:rPr>
      </w:r>
    </w:p>
    <w:p>
      <w:pPr>
        <w:pStyle w:val="Heading2"/>
        <w:spacing w:line="240" w:lineRule="auto" w:before="69"/>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after="0" w:line="240" w:lineRule="auto"/>
        <w:jc w:val="left"/>
        <w:rPr>
          <w:rFonts w:ascii="宋体" w:hAnsi="宋体" w:cs="宋体" w:eastAsia="宋体" w:hint="default"/>
        </w:rPr>
        <w:sectPr>
          <w:pgSz w:w="11910" w:h="16840"/>
          <w:pgMar w:header="747" w:footer="974" w:top="1140" w:bottom="1160" w:left="1580" w:right="1040"/>
        </w:sectPr>
      </w:pPr>
    </w:p>
    <w:p>
      <w:pPr>
        <w:spacing w:line="240" w:lineRule="auto" w:before="9"/>
        <w:rPr>
          <w:rFonts w:ascii="宋体" w:hAnsi="宋体" w:cs="宋体" w:eastAsia="宋体" w:hint="default"/>
          <w:sz w:val="25"/>
          <w:szCs w:val="25"/>
        </w:rPr>
      </w:pPr>
    </w:p>
    <w:p>
      <w:pPr>
        <w:pStyle w:val="BodyText"/>
        <w:spacing w:line="273" w:lineRule="auto" w:before="36"/>
        <w:ind w:right="0" w:firstLine="419"/>
        <w:jc w:val="left"/>
        <w:rPr>
          <w:rFonts w:ascii="宋体" w:hAnsi="宋体" w:cs="宋体" w:eastAsia="宋体" w:hint="default"/>
        </w:rPr>
      </w:pPr>
      <w:r>
        <w:rPr>
          <w:spacing w:val="-2"/>
        </w:rPr>
        <w:t>报告期内，公司及下属公司认真遵守国家环境保护法律法规，未发生重大环境违法行为被处</w:t>
      </w:r>
      <w:r>
        <w:rPr>
          <w:w w:val="100"/>
        </w:rPr>
        <w:t> </w:t>
      </w:r>
      <w:r>
        <w:rPr/>
        <w:t>罚的情况。</w:t>
      </w:r>
      <w:r>
        <w:rPr>
          <w:rFonts w:ascii="宋体" w:hAnsi="宋体" w:cs="宋体" w:eastAsia="宋体" w:hint="default"/>
        </w:rPr>
        <w:t> </w:t>
      </w:r>
    </w:p>
    <w:p>
      <w:pPr>
        <w:spacing w:line="240" w:lineRule="auto" w:before="0"/>
        <w:rPr>
          <w:rFonts w:ascii="宋体" w:hAnsi="宋体" w:cs="宋体" w:eastAsia="宋体" w:hint="default"/>
          <w:sz w:val="29"/>
          <w:szCs w:val="29"/>
        </w:rPr>
      </w:pPr>
    </w:p>
    <w:p>
      <w:pPr>
        <w:pStyle w:val="Heading3"/>
        <w:spacing w:line="240" w:lineRule="auto" w:before="0"/>
        <w:ind w:right="0"/>
        <w:jc w:val="both"/>
        <w:rPr>
          <w:rFonts w:ascii="宋体" w:hAnsi="宋体" w:cs="宋体" w:eastAsia="宋体" w:hint="default"/>
          <w:b w:val="0"/>
          <w:bCs w:val="0"/>
        </w:rPr>
      </w:pPr>
      <w:r>
        <w:rPr>
          <w:rFonts w:ascii="宋体" w:hAnsi="宋体" w:cs="宋体" w:eastAsia="宋体" w:hint="default"/>
        </w:rPr>
        <w:t>3.</w:t>
      </w:r>
      <w:r>
        <w:rPr>
          <w:rFonts w:ascii="宋体" w:hAnsi="宋体" w:cs="宋体" w:eastAsia="宋体" w:hint="default"/>
          <w:spacing w:val="103"/>
        </w:rPr>
        <w:t> </w:t>
      </w:r>
      <w:r>
        <w:rPr/>
        <w:t>重点排污单位之外的公司未披露环境信息的原因说明</w:t>
      </w:r>
      <w:r>
        <w:rPr>
          <w:rFonts w:ascii="宋体" w:hAnsi="宋体" w:cs="宋体" w:eastAsia="宋体" w:hint="default"/>
          <w:w w:val="99"/>
        </w:rPr>
        <w:t> </w:t>
      </w:r>
      <w:r>
        <w:rPr>
          <w:rFonts w:ascii="宋体" w:hAnsi="宋体" w:cs="宋体" w:eastAsia="宋体" w:hint="default"/>
          <w:b w:val="0"/>
          <w:bCs w:val="0"/>
        </w:rPr>
      </w:r>
    </w:p>
    <w:p>
      <w:pPr>
        <w:pStyle w:val="Heading2"/>
        <w:spacing w:line="240" w:lineRule="auto" w:before="69"/>
        <w:ind w:right="0"/>
        <w:jc w:val="both"/>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5"/>
        <w:rPr>
          <w:rFonts w:ascii="宋体" w:hAnsi="宋体" w:cs="宋体" w:eastAsia="宋体" w:hint="default"/>
          <w:sz w:val="30"/>
          <w:szCs w:val="30"/>
        </w:rPr>
      </w:pPr>
    </w:p>
    <w:p>
      <w:pPr>
        <w:pStyle w:val="Heading3"/>
        <w:spacing w:line="240" w:lineRule="auto" w:before="0"/>
        <w:ind w:right="0"/>
        <w:jc w:val="both"/>
        <w:rPr>
          <w:rFonts w:ascii="宋体" w:hAnsi="宋体" w:cs="宋体" w:eastAsia="宋体" w:hint="default"/>
          <w:b w:val="0"/>
          <w:bCs w:val="0"/>
        </w:rPr>
      </w:pPr>
      <w:r>
        <w:rPr>
          <w:rFonts w:ascii="宋体" w:hAnsi="宋体" w:cs="宋体" w:eastAsia="宋体" w:hint="default"/>
        </w:rPr>
        <w:t>4.</w:t>
      </w:r>
      <w:r>
        <w:rPr>
          <w:rFonts w:ascii="宋体" w:hAnsi="宋体" w:cs="宋体" w:eastAsia="宋体" w:hint="default"/>
          <w:spacing w:val="103"/>
        </w:rPr>
        <w:t> </w:t>
      </w:r>
      <w:r>
        <w:rPr/>
        <w:t>报告期内披露环境信息内容的后续进展或变化情况的说明</w:t>
      </w:r>
      <w:r>
        <w:rPr>
          <w:rFonts w:ascii="宋体" w:hAnsi="宋体" w:cs="宋体" w:eastAsia="宋体" w:hint="default"/>
          <w:w w:val="99"/>
        </w:rPr>
        <w:t> </w:t>
      </w:r>
      <w:r>
        <w:rPr>
          <w:rFonts w:ascii="宋体" w:hAnsi="宋体" w:cs="宋体" w:eastAsia="宋体" w:hint="default"/>
          <w:b w:val="0"/>
          <w:bCs w:val="0"/>
        </w:rPr>
      </w:r>
    </w:p>
    <w:p>
      <w:pPr>
        <w:pStyle w:val="Heading2"/>
        <w:spacing w:line="240" w:lineRule="auto" w:before="69"/>
        <w:ind w:right="0"/>
        <w:jc w:val="both"/>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5"/>
        <w:rPr>
          <w:rFonts w:ascii="宋体" w:hAnsi="宋体" w:cs="宋体" w:eastAsia="宋体" w:hint="default"/>
          <w:sz w:val="30"/>
          <w:szCs w:val="30"/>
        </w:rPr>
      </w:pPr>
    </w:p>
    <w:p>
      <w:pPr>
        <w:pStyle w:val="Heading3"/>
        <w:spacing w:line="240" w:lineRule="auto" w:before="0"/>
        <w:ind w:right="0"/>
        <w:jc w:val="both"/>
        <w:rPr>
          <w:b w:val="0"/>
          <w:bCs w:val="0"/>
        </w:rPr>
      </w:pPr>
      <w:r>
        <w:rPr>
          <w:rFonts w:ascii="宋体" w:hAnsi="宋体" w:cs="宋体" w:eastAsia="宋体" w:hint="default"/>
        </w:rPr>
        <w:t>(</w:t>
      </w:r>
      <w:r>
        <w:rPr/>
        <w:t>四</w:t>
      </w:r>
      <w:r>
        <w:rPr>
          <w:rFonts w:ascii="宋体" w:hAnsi="宋体" w:cs="宋体" w:eastAsia="宋体" w:hint="default"/>
        </w:rPr>
        <w:t>) </w:t>
      </w:r>
      <w:r>
        <w:rPr>
          <w:rFonts w:ascii="宋体" w:hAnsi="宋体" w:cs="宋体" w:eastAsia="宋体" w:hint="default"/>
          <w:spacing w:val="9"/>
        </w:rPr>
        <w:t> </w:t>
      </w:r>
      <w:r>
        <w:rPr/>
        <w:t>其他说明</w:t>
      </w:r>
      <w:r>
        <w:rPr>
          <w:b w:val="0"/>
          <w:bCs w:val="0"/>
        </w:rPr>
      </w:r>
    </w:p>
    <w:p>
      <w:pPr>
        <w:pStyle w:val="BodyText"/>
        <w:spacing w:line="240" w:lineRule="auto" w:before="97"/>
        <w:ind w:right="0"/>
        <w:jc w:val="both"/>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324" w:lineRule="auto" w:before="37"/>
        <w:ind w:right="6409"/>
        <w:jc w:val="left"/>
        <w:rPr>
          <w:b w:val="0"/>
          <w:bCs w:val="0"/>
        </w:rPr>
      </w:pPr>
      <w:r>
        <w:rPr>
          <w:rFonts w:ascii="宋体" w:hAnsi="宋体" w:cs="宋体" w:eastAsia="宋体" w:hint="default"/>
          <w:b w:val="0"/>
          <w:bCs w:val="0"/>
          <w:w w:val="100"/>
        </w:rPr>
        <w:t> </w:t>
      </w:r>
      <w:r>
        <w:rPr>
          <w:w w:val="100"/>
        </w:rPr>
        <w:t>十八</w:t>
      </w:r>
      <w:r>
        <w:rPr>
          <w:spacing w:val="-1"/>
          <w:w w:val="100"/>
        </w:rPr>
        <w:t>、</w:t>
      </w:r>
      <w:r>
        <w:rPr>
          <w:w w:val="100"/>
        </w:rPr>
        <w:t>可转换公司债券情况</w:t>
      </w:r>
      <w:r>
        <w:rPr>
          <w:b w:val="0"/>
          <w:bCs w:val="0"/>
          <w:w w:val="100"/>
        </w:rPr>
      </w:r>
    </w:p>
    <w:p>
      <w:pPr>
        <w:pStyle w:val="Heading2"/>
        <w:spacing w:line="310" w:lineRule="exact"/>
        <w:ind w:right="0"/>
        <w:jc w:val="both"/>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3"/>
        <w:spacing w:line="240" w:lineRule="auto" w:before="85"/>
        <w:ind w:right="0"/>
        <w:jc w:val="both"/>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1"/>
        </w:rPr>
        <w:t> </w:t>
      </w:r>
      <w:r>
        <w:rPr/>
        <w:t>转债发行情况</w:t>
      </w:r>
      <w:r>
        <w:rPr>
          <w:b w:val="0"/>
          <w:bCs w:val="0"/>
        </w:rPr>
      </w:r>
    </w:p>
    <w:p>
      <w:pPr>
        <w:pStyle w:val="BodyText"/>
        <w:spacing w:line="240" w:lineRule="auto" w:before="70"/>
        <w:ind w:right="0"/>
        <w:jc w:val="both"/>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left="638" w:right="0"/>
        <w:jc w:val="left"/>
      </w:pPr>
      <w:r>
        <w:rPr/>
        <w:t>经中国证券监督管理委员会证监许可</w:t>
      </w:r>
      <w:r>
        <w:rPr>
          <w:rFonts w:ascii="宋体" w:hAnsi="宋体" w:cs="宋体" w:eastAsia="宋体" w:hint="default"/>
        </w:rPr>
        <w:t>[2017]1214</w:t>
      </w:r>
      <w:r>
        <w:rPr>
          <w:rFonts w:ascii="宋体" w:hAnsi="宋体" w:cs="宋体" w:eastAsia="宋体" w:hint="default"/>
          <w:spacing w:val="-56"/>
        </w:rPr>
        <w:t> </w:t>
      </w:r>
      <w:r>
        <w:rPr/>
        <w:t>号文核准，公司于</w:t>
      </w:r>
      <w:r>
        <w:rPr>
          <w:spacing w:val="-54"/>
        </w:rPr>
        <w:t> </w:t>
      </w:r>
      <w:r>
        <w:rPr>
          <w:rFonts w:ascii="宋体" w:hAnsi="宋体" w:cs="宋体" w:eastAsia="宋体" w:hint="default"/>
        </w:rPr>
        <w:t>2017</w:t>
      </w:r>
      <w:r>
        <w:rPr>
          <w:rFonts w:ascii="宋体" w:hAnsi="宋体" w:cs="宋体" w:eastAsia="宋体" w:hint="default"/>
          <w:spacing w:val="-54"/>
        </w:rPr>
        <w:t> </w:t>
      </w:r>
      <w:r>
        <w:rPr/>
        <w:t>年</w:t>
      </w:r>
      <w:r>
        <w:rPr>
          <w:spacing w:val="-55"/>
        </w:rPr>
        <w:t> </w:t>
      </w:r>
      <w:r>
        <w:rPr>
          <w:rFonts w:ascii="宋体" w:hAnsi="宋体" w:cs="宋体" w:eastAsia="宋体" w:hint="default"/>
        </w:rPr>
        <w:t>10</w:t>
      </w:r>
      <w:r>
        <w:rPr>
          <w:rFonts w:ascii="宋体" w:hAnsi="宋体" w:cs="宋体" w:eastAsia="宋体" w:hint="default"/>
          <w:spacing w:val="-54"/>
        </w:rPr>
        <w:t> </w:t>
      </w:r>
      <w:r>
        <w:rPr/>
        <w:t>月</w:t>
      </w:r>
      <w:r>
        <w:rPr>
          <w:spacing w:val="-54"/>
        </w:rPr>
        <w:t> </w:t>
      </w:r>
      <w:r>
        <w:rPr>
          <w:rFonts w:ascii="宋体" w:hAnsi="宋体" w:cs="宋体" w:eastAsia="宋体" w:hint="default"/>
        </w:rPr>
        <w:t>27</w:t>
      </w:r>
      <w:r>
        <w:rPr>
          <w:rFonts w:ascii="宋体" w:hAnsi="宋体" w:cs="宋体" w:eastAsia="宋体" w:hint="default"/>
          <w:spacing w:val="-54"/>
        </w:rPr>
        <w:t> </w:t>
      </w:r>
      <w:r>
        <w:rPr/>
        <w:t>日公开</w:t>
      </w:r>
    </w:p>
    <w:p>
      <w:pPr>
        <w:pStyle w:val="BodyText"/>
        <w:spacing w:line="273" w:lineRule="auto" w:before="37"/>
        <w:ind w:right="0"/>
        <w:jc w:val="left"/>
        <w:rPr>
          <w:rFonts w:ascii="宋体" w:hAnsi="宋体" w:cs="宋体" w:eastAsia="宋体" w:hint="default"/>
        </w:rPr>
      </w:pPr>
      <w:r>
        <w:rPr/>
        <w:t>发行了人民币</w:t>
      </w:r>
      <w:r>
        <w:rPr>
          <w:spacing w:val="-46"/>
        </w:rPr>
        <w:t> </w:t>
      </w:r>
      <w:r>
        <w:rPr>
          <w:rFonts w:ascii="宋体" w:hAnsi="宋体" w:cs="宋体" w:eastAsia="宋体" w:hint="default"/>
        </w:rPr>
        <w:t>30</w:t>
      </w:r>
      <w:r>
        <w:rPr>
          <w:rFonts w:ascii="宋体" w:hAnsi="宋体" w:cs="宋体" w:eastAsia="宋体" w:hint="default"/>
          <w:spacing w:val="-46"/>
        </w:rPr>
        <w:t> </w:t>
      </w:r>
      <w:r>
        <w:rPr>
          <w:spacing w:val="-3"/>
        </w:rPr>
        <w:t>亿元可转换公司债券，债券每张面值为人民币</w:t>
      </w:r>
      <w:r>
        <w:rPr>
          <w:spacing w:val="-45"/>
        </w:rPr>
        <w:t> </w:t>
      </w:r>
      <w:r>
        <w:rPr>
          <w:rFonts w:ascii="宋体" w:hAnsi="宋体" w:cs="宋体" w:eastAsia="宋体" w:hint="default"/>
        </w:rPr>
        <w:t>100</w:t>
      </w:r>
      <w:r>
        <w:rPr>
          <w:rFonts w:ascii="宋体" w:hAnsi="宋体" w:cs="宋体" w:eastAsia="宋体" w:hint="default"/>
          <w:spacing w:val="-48"/>
        </w:rPr>
        <w:t> </w:t>
      </w:r>
      <w:r>
        <w:rPr>
          <w:spacing w:val="-5"/>
        </w:rPr>
        <w:t>元，共计</w:t>
      </w:r>
      <w:r>
        <w:rPr>
          <w:spacing w:val="-46"/>
        </w:rPr>
        <w:t> </w:t>
      </w:r>
      <w:r>
        <w:rPr>
          <w:rFonts w:ascii="宋体" w:hAnsi="宋体" w:cs="宋体" w:eastAsia="宋体" w:hint="default"/>
        </w:rPr>
        <w:t>3,000</w:t>
      </w:r>
      <w:r>
        <w:rPr>
          <w:rFonts w:ascii="宋体" w:hAnsi="宋体" w:cs="宋体" w:eastAsia="宋体" w:hint="default"/>
          <w:spacing w:val="-48"/>
        </w:rPr>
        <w:t> </w:t>
      </w:r>
      <w:r>
        <w:rPr>
          <w:spacing w:val="-4"/>
        </w:rPr>
        <w:t>万张（</w:t>
      </w:r>
      <w:r>
        <w:rPr>
          <w:rFonts w:ascii="宋体" w:hAnsi="宋体" w:cs="宋体" w:eastAsia="宋体" w:hint="default"/>
          <w:spacing w:val="-4"/>
        </w:rPr>
        <w:t>300</w:t>
      </w:r>
      <w:r>
        <w:rPr>
          <w:rFonts w:ascii="宋体" w:hAnsi="宋体" w:cs="宋体" w:eastAsia="宋体" w:hint="default"/>
          <w:spacing w:val="-46"/>
        </w:rPr>
        <w:t> </w:t>
      </w:r>
      <w:r>
        <w:rPr/>
        <w:t>万</w:t>
      </w:r>
      <w:r>
        <w:rPr>
          <w:spacing w:val="-102"/>
        </w:rPr>
        <w:t> </w:t>
      </w:r>
      <w:r>
        <w:rPr/>
        <w:t>手）。</w:t>
      </w:r>
      <w:r>
        <w:rPr>
          <w:rFonts w:ascii="宋体" w:hAnsi="宋体" w:cs="宋体" w:eastAsia="宋体" w:hint="default"/>
        </w:rPr>
        <w:t> </w:t>
      </w:r>
    </w:p>
    <w:p>
      <w:pPr>
        <w:pStyle w:val="BodyText"/>
        <w:spacing w:line="240" w:lineRule="auto" w:before="7"/>
        <w:ind w:left="638" w:right="0"/>
        <w:jc w:val="left"/>
      </w:pPr>
      <w:r>
        <w:rPr/>
        <w:t>经上交所自律监管决定书</w:t>
      </w:r>
      <w:r>
        <w:rPr>
          <w:rFonts w:ascii="宋体" w:hAnsi="宋体" w:cs="宋体" w:eastAsia="宋体" w:hint="default"/>
        </w:rPr>
        <w:t>[2017]418</w:t>
      </w:r>
      <w:r>
        <w:rPr>
          <w:rFonts w:ascii="宋体" w:hAnsi="宋体" w:cs="宋体" w:eastAsia="宋体" w:hint="default"/>
          <w:spacing w:val="-54"/>
        </w:rPr>
        <w:t> </w:t>
      </w:r>
      <w:r>
        <w:rPr>
          <w:spacing w:val="-7"/>
        </w:rPr>
        <w:t>号文同意，公司</w:t>
      </w:r>
      <w:r>
        <w:rPr>
          <w:spacing w:val="-54"/>
        </w:rPr>
        <w:t> </w:t>
      </w:r>
      <w:r>
        <w:rPr>
          <w:rFonts w:ascii="宋体" w:hAnsi="宋体" w:cs="宋体" w:eastAsia="宋体" w:hint="default"/>
        </w:rPr>
        <w:t>30</w:t>
      </w:r>
      <w:r>
        <w:rPr>
          <w:rFonts w:ascii="宋体" w:hAnsi="宋体" w:cs="宋体" w:eastAsia="宋体" w:hint="default"/>
          <w:spacing w:val="-52"/>
        </w:rPr>
        <w:t> </w:t>
      </w:r>
      <w:r>
        <w:rPr/>
        <w:t>亿元可转换公司债券于</w:t>
      </w:r>
      <w:r>
        <w:rPr>
          <w:spacing w:val="-54"/>
        </w:rPr>
        <w:t> </w:t>
      </w:r>
      <w:r>
        <w:rPr>
          <w:rFonts w:ascii="宋体" w:hAnsi="宋体" w:cs="宋体" w:eastAsia="宋体" w:hint="default"/>
        </w:rPr>
        <w:t>2017</w:t>
      </w:r>
      <w:r>
        <w:rPr>
          <w:rFonts w:ascii="宋体" w:hAnsi="宋体" w:cs="宋体" w:eastAsia="宋体" w:hint="default"/>
          <w:spacing w:val="-54"/>
        </w:rPr>
        <w:t> </w:t>
      </w:r>
      <w:r>
        <w:rPr/>
        <w:t>年</w:t>
      </w:r>
      <w:r>
        <w:rPr>
          <w:spacing w:val="-52"/>
        </w:rPr>
        <w:t> </w:t>
      </w:r>
      <w:r>
        <w:rPr>
          <w:rFonts w:ascii="宋体" w:hAnsi="宋体" w:cs="宋体" w:eastAsia="宋体" w:hint="default"/>
        </w:rPr>
        <w:t>11</w:t>
      </w:r>
      <w:r>
        <w:rPr>
          <w:rFonts w:ascii="宋体" w:hAnsi="宋体" w:cs="宋体" w:eastAsia="宋体" w:hint="default"/>
          <w:spacing w:val="-54"/>
        </w:rPr>
        <w:t> </w:t>
      </w:r>
      <w:r>
        <w:rPr/>
        <w:t>月</w:t>
      </w:r>
    </w:p>
    <w:p>
      <w:pPr>
        <w:pStyle w:val="BodyText"/>
        <w:spacing w:line="273" w:lineRule="auto" w:before="37"/>
        <w:ind w:left="638" w:right="0" w:hanging="420"/>
        <w:jc w:val="left"/>
      </w:pPr>
      <w:r>
        <w:rPr>
          <w:rFonts w:ascii="宋体" w:hAnsi="宋体" w:cs="宋体" w:eastAsia="宋体" w:hint="default"/>
        </w:rPr>
        <w:t>13</w:t>
      </w:r>
      <w:r>
        <w:rPr>
          <w:rFonts w:ascii="宋体" w:hAnsi="宋体" w:cs="宋体" w:eastAsia="宋体" w:hint="default"/>
          <w:spacing w:val="-54"/>
        </w:rPr>
        <w:t> </w:t>
      </w:r>
      <w:r>
        <w:rPr/>
        <w:t>日起在上交所挂牌交易，债券简称“林洋转债”，债券代码“113014”。</w:t>
      </w:r>
      <w:r>
        <w:rPr>
          <w:rFonts w:ascii="宋体" w:hAnsi="宋体" w:cs="宋体" w:eastAsia="宋体" w:hint="default"/>
          <w:w w:val="100"/>
        </w:rPr>
        <w:t> </w:t>
      </w:r>
      <w:r>
        <w:rPr>
          <w:spacing w:val="-7"/>
          <w:w w:val="100"/>
        </w:rPr>
        <w:t>根据有关规定和《江苏林洋能源股份有限公司公开发行可转换公司债券募集说明书》的约定，</w:t>
      </w:r>
    </w:p>
    <w:p>
      <w:pPr>
        <w:pStyle w:val="BodyText"/>
        <w:spacing w:line="273" w:lineRule="auto" w:before="7"/>
        <w:ind w:right="228"/>
        <w:jc w:val="both"/>
        <w:rPr>
          <w:rFonts w:ascii="宋体" w:hAnsi="宋体" w:cs="宋体" w:eastAsia="宋体" w:hint="default"/>
        </w:rPr>
      </w:pPr>
      <w:r>
        <w:rPr/>
        <w:t>公司本次发行的林洋转债期限为自发行之日起</w:t>
      </w:r>
      <w:r>
        <w:rPr>
          <w:spacing w:val="-53"/>
        </w:rPr>
        <w:t> </w:t>
      </w:r>
      <w:r>
        <w:rPr>
          <w:rFonts w:ascii="宋体" w:hAnsi="宋体" w:cs="宋体" w:eastAsia="宋体" w:hint="default"/>
        </w:rPr>
        <w:t>6</w:t>
      </w:r>
      <w:r>
        <w:rPr>
          <w:rFonts w:ascii="宋体" w:hAnsi="宋体" w:cs="宋体" w:eastAsia="宋体" w:hint="default"/>
          <w:spacing w:val="-53"/>
        </w:rPr>
        <w:t> </w:t>
      </w:r>
      <w:r>
        <w:rPr/>
        <w:t>年，即自</w:t>
      </w:r>
      <w:r>
        <w:rPr>
          <w:spacing w:val="-52"/>
        </w:rPr>
        <w:t> </w:t>
      </w:r>
      <w:r>
        <w:rPr>
          <w:rFonts w:ascii="宋体" w:hAnsi="宋体" w:cs="宋体" w:eastAsia="宋体" w:hint="default"/>
        </w:rPr>
        <w:t>2017</w:t>
      </w:r>
      <w:r>
        <w:rPr>
          <w:rFonts w:ascii="宋体" w:hAnsi="宋体" w:cs="宋体" w:eastAsia="宋体" w:hint="default"/>
          <w:spacing w:val="-53"/>
        </w:rPr>
        <w:t> </w:t>
      </w:r>
      <w:r>
        <w:rPr/>
        <w:t>年</w:t>
      </w:r>
      <w:r>
        <w:rPr>
          <w:spacing w:val="-55"/>
        </w:rPr>
        <w:t> </w:t>
      </w:r>
      <w:r>
        <w:rPr>
          <w:rFonts w:ascii="宋体" w:hAnsi="宋体" w:cs="宋体" w:eastAsia="宋体" w:hint="default"/>
        </w:rPr>
        <w:t>10</w:t>
      </w:r>
      <w:r>
        <w:rPr>
          <w:rFonts w:ascii="宋体" w:hAnsi="宋体" w:cs="宋体" w:eastAsia="宋体" w:hint="default"/>
          <w:spacing w:val="-55"/>
        </w:rPr>
        <w:t> </w:t>
      </w:r>
      <w:r>
        <w:rPr/>
        <w:t>月</w:t>
      </w:r>
      <w:r>
        <w:rPr>
          <w:spacing w:val="-53"/>
        </w:rPr>
        <w:t> </w:t>
      </w:r>
      <w:r>
        <w:rPr>
          <w:rFonts w:ascii="宋体" w:hAnsi="宋体" w:cs="宋体" w:eastAsia="宋体" w:hint="default"/>
        </w:rPr>
        <w:t>27</w:t>
      </w:r>
      <w:r>
        <w:rPr>
          <w:rFonts w:ascii="宋体" w:hAnsi="宋体" w:cs="宋体" w:eastAsia="宋体" w:hint="default"/>
          <w:spacing w:val="-55"/>
        </w:rPr>
        <w:t> </w:t>
      </w:r>
      <w:r>
        <w:rPr/>
        <w:t>日至</w:t>
      </w:r>
      <w:r>
        <w:rPr>
          <w:spacing w:val="-52"/>
        </w:rPr>
        <w:t> </w:t>
      </w:r>
      <w:r>
        <w:rPr>
          <w:rFonts w:ascii="宋体" w:hAnsi="宋体" w:cs="宋体" w:eastAsia="宋体" w:hint="default"/>
        </w:rPr>
        <w:t>2023</w:t>
      </w:r>
      <w:r>
        <w:rPr>
          <w:rFonts w:ascii="宋体" w:hAnsi="宋体" w:cs="宋体" w:eastAsia="宋体" w:hint="default"/>
          <w:spacing w:val="-53"/>
        </w:rPr>
        <w:t> </w:t>
      </w:r>
      <w:r>
        <w:rPr/>
        <w:t>年</w:t>
      </w:r>
      <w:r>
        <w:rPr>
          <w:spacing w:val="-55"/>
        </w:rPr>
        <w:t> </w:t>
      </w:r>
      <w:r>
        <w:rPr>
          <w:rFonts w:ascii="宋体" w:hAnsi="宋体" w:cs="宋体" w:eastAsia="宋体" w:hint="default"/>
        </w:rPr>
        <w:t>10</w:t>
      </w:r>
      <w:r>
        <w:rPr>
          <w:rFonts w:ascii="宋体" w:hAnsi="宋体" w:cs="宋体" w:eastAsia="宋体" w:hint="default"/>
          <w:spacing w:val="-55"/>
        </w:rPr>
        <w:t> </w:t>
      </w:r>
      <w:r>
        <w:rPr/>
        <w:t>月</w:t>
      </w:r>
      <w:r>
        <w:rPr>
          <w:spacing w:val="-53"/>
        </w:rPr>
        <w:t> </w:t>
      </w:r>
      <w:r>
        <w:rPr>
          <w:rFonts w:ascii="宋体" w:hAnsi="宋体" w:cs="宋体" w:eastAsia="宋体" w:hint="default"/>
        </w:rPr>
        <w:t>26</w:t>
      </w:r>
      <w:r>
        <w:rPr>
          <w:rFonts w:ascii="宋体" w:hAnsi="宋体" w:cs="宋体" w:eastAsia="宋体" w:hint="default"/>
          <w:w w:val="100"/>
        </w:rPr>
        <w:t> </w:t>
      </w:r>
      <w:r>
        <w:rPr>
          <w:spacing w:val="-10"/>
          <w:w w:val="100"/>
        </w:rPr>
        <w:t>日。债券利率为第一年</w:t>
      </w:r>
      <w:r>
        <w:rPr>
          <w:spacing w:val="-50"/>
          <w:w w:val="100"/>
        </w:rPr>
        <w:t> </w:t>
      </w:r>
      <w:r>
        <w:rPr>
          <w:rFonts w:ascii="宋体" w:hAnsi="宋体" w:cs="宋体" w:eastAsia="宋体" w:hint="default"/>
          <w:spacing w:val="-12"/>
          <w:w w:val="100"/>
        </w:rPr>
        <w:t>0.3%</w:t>
      </w:r>
      <w:r>
        <w:rPr>
          <w:spacing w:val="-12"/>
          <w:w w:val="100"/>
        </w:rPr>
        <w:t>，第二年</w:t>
      </w:r>
      <w:r>
        <w:rPr>
          <w:spacing w:val="-50"/>
          <w:w w:val="100"/>
        </w:rPr>
        <w:t> </w:t>
      </w:r>
      <w:r>
        <w:rPr>
          <w:rFonts w:ascii="宋体" w:hAnsi="宋体" w:cs="宋体" w:eastAsia="宋体" w:hint="default"/>
          <w:spacing w:val="-13"/>
          <w:w w:val="100"/>
        </w:rPr>
        <w:t>0.5%</w:t>
      </w:r>
      <w:r>
        <w:rPr>
          <w:spacing w:val="-13"/>
          <w:w w:val="100"/>
        </w:rPr>
        <w:t>，第三年</w:t>
      </w:r>
      <w:r>
        <w:rPr>
          <w:spacing w:val="-50"/>
          <w:w w:val="100"/>
        </w:rPr>
        <w:t> </w:t>
      </w:r>
      <w:r>
        <w:rPr>
          <w:rFonts w:ascii="宋体" w:hAnsi="宋体" w:cs="宋体" w:eastAsia="宋体" w:hint="default"/>
          <w:spacing w:val="-12"/>
          <w:w w:val="100"/>
        </w:rPr>
        <w:t>1.0%</w:t>
      </w:r>
      <w:r>
        <w:rPr>
          <w:spacing w:val="-12"/>
          <w:w w:val="100"/>
        </w:rPr>
        <w:t>，第四年</w:t>
      </w:r>
      <w:r>
        <w:rPr>
          <w:spacing w:val="-50"/>
          <w:w w:val="100"/>
        </w:rPr>
        <w:t> </w:t>
      </w:r>
      <w:r>
        <w:rPr>
          <w:rFonts w:ascii="宋体" w:hAnsi="宋体" w:cs="宋体" w:eastAsia="宋体" w:hint="default"/>
          <w:spacing w:val="-13"/>
          <w:w w:val="100"/>
        </w:rPr>
        <w:t>1.5%</w:t>
      </w:r>
      <w:r>
        <w:rPr>
          <w:spacing w:val="-13"/>
          <w:w w:val="100"/>
        </w:rPr>
        <w:t>，第五年</w:t>
      </w:r>
      <w:r>
        <w:rPr>
          <w:spacing w:val="-50"/>
          <w:w w:val="100"/>
        </w:rPr>
        <w:t> </w:t>
      </w:r>
      <w:r>
        <w:rPr>
          <w:rFonts w:ascii="宋体" w:hAnsi="宋体" w:cs="宋体" w:eastAsia="宋体" w:hint="default"/>
          <w:spacing w:val="-12"/>
          <w:w w:val="100"/>
        </w:rPr>
        <w:t>1.8%</w:t>
      </w:r>
      <w:r>
        <w:rPr>
          <w:spacing w:val="-12"/>
          <w:w w:val="100"/>
        </w:rPr>
        <w:t>，第六年</w:t>
      </w:r>
      <w:r>
        <w:rPr>
          <w:spacing w:val="-50"/>
          <w:w w:val="100"/>
        </w:rPr>
        <w:t> </w:t>
      </w:r>
      <w:r>
        <w:rPr>
          <w:rFonts w:ascii="宋体" w:hAnsi="宋体" w:cs="宋体" w:eastAsia="宋体" w:hint="default"/>
          <w:spacing w:val="-2"/>
          <w:w w:val="100"/>
        </w:rPr>
        <w:t>2.0%</w:t>
      </w:r>
      <w:r>
        <w:rPr>
          <w:spacing w:val="-2"/>
          <w:w w:val="100"/>
        </w:rPr>
        <w:t>。</w:t>
      </w:r>
      <w:r>
        <w:rPr>
          <w:spacing w:val="-104"/>
          <w:w w:val="100"/>
        </w:rPr>
        <w:t> </w:t>
      </w:r>
      <w:r>
        <w:rPr/>
        <w:t>转股期起止日期为</w:t>
      </w:r>
      <w:r>
        <w:rPr>
          <w:spacing w:val="-53"/>
        </w:rPr>
        <w:t> </w:t>
      </w:r>
      <w:r>
        <w:rPr>
          <w:rFonts w:ascii="宋体" w:hAnsi="宋体" w:cs="宋体" w:eastAsia="宋体" w:hint="default"/>
        </w:rPr>
        <w:t>2018</w:t>
      </w:r>
      <w:r>
        <w:rPr>
          <w:rFonts w:ascii="宋体" w:hAnsi="宋体" w:cs="宋体" w:eastAsia="宋体" w:hint="default"/>
          <w:spacing w:val="-55"/>
        </w:rPr>
        <w:t> </w:t>
      </w:r>
      <w:r>
        <w:rPr/>
        <w:t>年</w:t>
      </w:r>
      <w:r>
        <w:rPr>
          <w:spacing w:val="-53"/>
        </w:rPr>
        <w:t> </w:t>
      </w:r>
      <w:r>
        <w:rPr>
          <w:rFonts w:ascii="宋体" w:hAnsi="宋体" w:cs="宋体" w:eastAsia="宋体" w:hint="default"/>
        </w:rPr>
        <w:t>5</w:t>
      </w:r>
      <w:r>
        <w:rPr>
          <w:rFonts w:ascii="宋体" w:hAnsi="宋体" w:cs="宋体" w:eastAsia="宋体" w:hint="default"/>
          <w:spacing w:val="-55"/>
        </w:rPr>
        <w:t> </w:t>
      </w:r>
      <w:r>
        <w:rPr/>
        <w:t>月</w:t>
      </w:r>
      <w:r>
        <w:rPr>
          <w:spacing w:val="-53"/>
        </w:rPr>
        <w:t> </w:t>
      </w:r>
      <w:r>
        <w:rPr>
          <w:rFonts w:ascii="宋体" w:hAnsi="宋体" w:cs="宋体" w:eastAsia="宋体" w:hint="default"/>
        </w:rPr>
        <w:t>3</w:t>
      </w:r>
      <w:r>
        <w:rPr>
          <w:rFonts w:ascii="宋体" w:hAnsi="宋体" w:cs="宋体" w:eastAsia="宋体" w:hint="default"/>
          <w:spacing w:val="-53"/>
        </w:rPr>
        <w:t> </w:t>
      </w:r>
      <w:r>
        <w:rPr/>
        <w:t>日至</w:t>
      </w:r>
      <w:r>
        <w:rPr>
          <w:spacing w:val="-53"/>
        </w:rPr>
        <w:t> </w:t>
      </w:r>
      <w:r>
        <w:rPr>
          <w:rFonts w:ascii="宋体" w:hAnsi="宋体" w:cs="宋体" w:eastAsia="宋体" w:hint="default"/>
        </w:rPr>
        <w:t>2023</w:t>
      </w:r>
      <w:r>
        <w:rPr>
          <w:rFonts w:ascii="宋体" w:hAnsi="宋体" w:cs="宋体" w:eastAsia="宋体" w:hint="default"/>
          <w:spacing w:val="-55"/>
        </w:rPr>
        <w:t> </w:t>
      </w:r>
      <w:r>
        <w:rPr/>
        <w:t>年</w:t>
      </w:r>
      <w:r>
        <w:rPr>
          <w:spacing w:val="-53"/>
        </w:rPr>
        <w:t> </w:t>
      </w:r>
      <w:r>
        <w:rPr>
          <w:rFonts w:ascii="宋体" w:hAnsi="宋体" w:cs="宋体" w:eastAsia="宋体" w:hint="default"/>
        </w:rPr>
        <w:t>10</w:t>
      </w:r>
      <w:r>
        <w:rPr>
          <w:rFonts w:ascii="宋体" w:hAnsi="宋体" w:cs="宋体" w:eastAsia="宋体" w:hint="default"/>
          <w:spacing w:val="-55"/>
        </w:rPr>
        <w:t> </w:t>
      </w:r>
      <w:r>
        <w:rPr/>
        <w:t>月</w:t>
      </w:r>
      <w:r>
        <w:rPr>
          <w:spacing w:val="-52"/>
        </w:rPr>
        <w:t> </w:t>
      </w:r>
      <w:r>
        <w:rPr>
          <w:rFonts w:ascii="宋体" w:hAnsi="宋体" w:cs="宋体" w:eastAsia="宋体" w:hint="default"/>
        </w:rPr>
        <w:t>26</w:t>
      </w:r>
      <w:r>
        <w:rPr>
          <w:rFonts w:ascii="宋体" w:hAnsi="宋体" w:cs="宋体" w:eastAsia="宋体" w:hint="default"/>
          <w:spacing w:val="-55"/>
        </w:rPr>
        <w:t> </w:t>
      </w:r>
      <w:r>
        <w:rPr/>
        <w:t>日。</w:t>
      </w:r>
      <w:r>
        <w:rPr>
          <w:rFonts w:ascii="宋体" w:hAnsi="宋体" w:cs="宋体" w:eastAsia="宋体" w:hint="default"/>
        </w:rPr>
        <w:t> </w:t>
      </w:r>
    </w:p>
    <w:p>
      <w:pPr>
        <w:pStyle w:val="BodyText"/>
        <w:spacing w:line="240" w:lineRule="auto" w:before="7"/>
        <w:ind w:left="638" w:right="0"/>
        <w:jc w:val="left"/>
        <w:rPr>
          <w:rFonts w:ascii="宋体" w:hAnsi="宋体" w:cs="宋体" w:eastAsia="宋体" w:hint="default"/>
        </w:rPr>
      </w:pPr>
      <w:r>
        <w:rPr>
          <w:rFonts w:ascii="宋体" w:hAnsi="宋体" w:cs="宋体" w:eastAsia="宋体" w:hint="default"/>
        </w:rPr>
        <w:t>2018</w:t>
      </w:r>
      <w:r>
        <w:rPr>
          <w:rFonts w:ascii="宋体" w:hAnsi="宋体" w:cs="宋体" w:eastAsia="宋体" w:hint="default"/>
          <w:spacing w:val="-56"/>
        </w:rPr>
        <w:t> </w:t>
      </w:r>
      <w:r>
        <w:rPr/>
        <w:t>年</w:t>
      </w:r>
      <w:r>
        <w:rPr>
          <w:spacing w:val="-54"/>
        </w:rPr>
        <w:t> </w:t>
      </w:r>
      <w:r>
        <w:rPr>
          <w:rFonts w:ascii="宋体" w:hAnsi="宋体" w:cs="宋体" w:eastAsia="宋体" w:hint="default"/>
        </w:rPr>
        <w:t>7</w:t>
      </w:r>
      <w:r>
        <w:rPr>
          <w:rFonts w:ascii="宋体" w:hAnsi="宋体" w:cs="宋体" w:eastAsia="宋体" w:hint="default"/>
          <w:spacing w:val="-56"/>
        </w:rPr>
        <w:t> </w:t>
      </w:r>
      <w:r>
        <w:rPr/>
        <w:t>月</w:t>
      </w:r>
      <w:r>
        <w:rPr>
          <w:spacing w:val="-54"/>
        </w:rPr>
        <w:t> </w:t>
      </w:r>
      <w:r>
        <w:rPr>
          <w:rFonts w:ascii="宋体" w:hAnsi="宋体" w:cs="宋体" w:eastAsia="宋体" w:hint="default"/>
        </w:rPr>
        <w:t>18</w:t>
      </w:r>
      <w:r>
        <w:rPr>
          <w:rFonts w:ascii="宋体" w:hAnsi="宋体" w:cs="宋体" w:eastAsia="宋体" w:hint="default"/>
          <w:spacing w:val="-56"/>
        </w:rPr>
        <w:t> </w:t>
      </w:r>
      <w:r>
        <w:rPr/>
        <w:t>日，因公司实施</w:t>
      </w:r>
      <w:r>
        <w:rPr>
          <w:spacing w:val="-53"/>
        </w:rPr>
        <w:t> </w:t>
      </w:r>
      <w:r>
        <w:rPr>
          <w:rFonts w:ascii="宋体" w:hAnsi="宋体" w:cs="宋体" w:eastAsia="宋体" w:hint="default"/>
        </w:rPr>
        <w:t>2017</w:t>
      </w:r>
      <w:r>
        <w:rPr>
          <w:rFonts w:ascii="宋体" w:hAnsi="宋体" w:cs="宋体" w:eastAsia="宋体" w:hint="default"/>
          <w:spacing w:val="-54"/>
        </w:rPr>
        <w:t> </w:t>
      </w:r>
      <w:r>
        <w:rPr/>
        <w:t>年度利润分配方案，“林洋转债”的转股价格由</w:t>
      </w:r>
      <w:r>
        <w:rPr>
          <w:spacing w:val="-53"/>
        </w:rPr>
        <w:t> </w:t>
      </w:r>
      <w:r>
        <w:rPr>
          <w:rFonts w:ascii="宋体" w:hAnsi="宋体" w:cs="宋体" w:eastAsia="宋体" w:hint="default"/>
        </w:rPr>
        <w:t>8.80</w:t>
      </w:r>
    </w:p>
    <w:p>
      <w:pPr>
        <w:pStyle w:val="BodyText"/>
        <w:spacing w:line="240" w:lineRule="auto" w:before="37"/>
        <w:ind w:right="0"/>
        <w:jc w:val="both"/>
      </w:pPr>
      <w:r>
        <w:rPr/>
        <w:t>元</w:t>
      </w:r>
      <w:r>
        <w:rPr>
          <w:rFonts w:ascii="宋体" w:hAnsi="宋体" w:cs="宋体" w:eastAsia="宋体" w:hint="default"/>
        </w:rPr>
        <w:t>/</w:t>
      </w:r>
      <w:r>
        <w:rPr/>
        <w:t>股调整为</w:t>
      </w:r>
      <w:r>
        <w:rPr>
          <w:spacing w:val="-48"/>
        </w:rPr>
        <w:t> </w:t>
      </w:r>
      <w:r>
        <w:rPr>
          <w:rFonts w:ascii="宋体" w:hAnsi="宋体" w:cs="宋体" w:eastAsia="宋体" w:hint="default"/>
        </w:rPr>
        <w:t>8.76</w:t>
      </w:r>
      <w:r>
        <w:rPr>
          <w:rFonts w:ascii="宋体" w:hAnsi="宋体" w:cs="宋体" w:eastAsia="宋体" w:hint="default"/>
          <w:spacing w:val="-48"/>
        </w:rPr>
        <w:t> </w:t>
      </w:r>
      <w:r>
        <w:rPr>
          <w:spacing w:val="-7"/>
        </w:rPr>
        <w:t>元</w:t>
      </w:r>
      <w:r>
        <w:rPr>
          <w:rFonts w:ascii="宋体" w:hAnsi="宋体" w:cs="宋体" w:eastAsia="宋体" w:hint="default"/>
          <w:spacing w:val="-7"/>
        </w:rPr>
        <w:t>/</w:t>
      </w:r>
      <w:r>
        <w:rPr>
          <w:spacing w:val="-7"/>
        </w:rPr>
        <w:t>股。</w:t>
      </w:r>
      <w:r>
        <w:rPr>
          <w:rFonts w:ascii="宋体" w:hAnsi="宋体" w:cs="宋体" w:eastAsia="宋体" w:hint="default"/>
          <w:spacing w:val="-7"/>
        </w:rPr>
        <w:t>2019</w:t>
      </w:r>
      <w:r>
        <w:rPr>
          <w:rFonts w:ascii="宋体" w:hAnsi="宋体" w:cs="宋体" w:eastAsia="宋体" w:hint="default"/>
          <w:spacing w:val="-50"/>
        </w:rPr>
        <w:t> </w:t>
      </w:r>
      <w:r>
        <w:rPr/>
        <w:t>年</w:t>
      </w:r>
      <w:r>
        <w:rPr>
          <w:spacing w:val="-48"/>
        </w:rPr>
        <w:t> </w:t>
      </w:r>
      <w:r>
        <w:rPr>
          <w:rFonts w:ascii="宋体" w:hAnsi="宋体" w:cs="宋体" w:eastAsia="宋体" w:hint="default"/>
        </w:rPr>
        <w:t>7</w:t>
      </w:r>
      <w:r>
        <w:rPr>
          <w:rFonts w:ascii="宋体" w:hAnsi="宋体" w:cs="宋体" w:eastAsia="宋体" w:hint="default"/>
          <w:spacing w:val="-50"/>
        </w:rPr>
        <w:t> </w:t>
      </w:r>
      <w:r>
        <w:rPr/>
        <w:t>月</w:t>
      </w:r>
      <w:r>
        <w:rPr>
          <w:spacing w:val="-48"/>
        </w:rPr>
        <w:t> </w:t>
      </w:r>
      <w:r>
        <w:rPr>
          <w:rFonts w:ascii="宋体" w:hAnsi="宋体" w:cs="宋体" w:eastAsia="宋体" w:hint="default"/>
        </w:rPr>
        <w:t>19</w:t>
      </w:r>
      <w:r>
        <w:rPr>
          <w:rFonts w:ascii="宋体" w:hAnsi="宋体" w:cs="宋体" w:eastAsia="宋体" w:hint="default"/>
          <w:spacing w:val="-50"/>
        </w:rPr>
        <w:t> </w:t>
      </w:r>
      <w:r>
        <w:rPr>
          <w:spacing w:val="-9"/>
        </w:rPr>
        <w:t>日，因公司实施</w:t>
      </w:r>
      <w:r>
        <w:rPr>
          <w:spacing w:val="-47"/>
        </w:rPr>
        <w:t> </w:t>
      </w:r>
      <w:r>
        <w:rPr>
          <w:rFonts w:ascii="宋体" w:hAnsi="宋体" w:cs="宋体" w:eastAsia="宋体" w:hint="default"/>
        </w:rPr>
        <w:t>2018</w:t>
      </w:r>
      <w:r>
        <w:rPr>
          <w:rFonts w:ascii="宋体" w:hAnsi="宋体" w:cs="宋体" w:eastAsia="宋体" w:hint="default"/>
          <w:spacing w:val="-50"/>
        </w:rPr>
        <w:t> </w:t>
      </w:r>
      <w:r>
        <w:rPr>
          <w:spacing w:val="-5"/>
        </w:rPr>
        <w:t>年度利润分配方案，“林洋转债”</w:t>
      </w:r>
    </w:p>
    <w:p>
      <w:pPr>
        <w:pStyle w:val="BodyText"/>
        <w:spacing w:line="240" w:lineRule="auto" w:before="37"/>
        <w:ind w:right="0"/>
        <w:jc w:val="both"/>
        <w:rPr>
          <w:rFonts w:ascii="宋体" w:hAnsi="宋体" w:cs="宋体" w:eastAsia="宋体" w:hint="default"/>
        </w:rPr>
      </w:pPr>
      <w:r>
        <w:rPr/>
        <w:t>的转股价格由</w:t>
      </w:r>
      <w:r>
        <w:rPr>
          <w:spacing w:val="-54"/>
        </w:rPr>
        <w:t> </w:t>
      </w:r>
      <w:r>
        <w:rPr>
          <w:rFonts w:ascii="宋体" w:hAnsi="宋体" w:cs="宋体" w:eastAsia="宋体" w:hint="default"/>
        </w:rPr>
        <w:t>8.76</w:t>
      </w:r>
      <w:r>
        <w:rPr>
          <w:rFonts w:ascii="宋体" w:hAnsi="宋体" w:cs="宋体" w:eastAsia="宋体" w:hint="default"/>
          <w:spacing w:val="-56"/>
        </w:rPr>
        <w:t> </w:t>
      </w:r>
      <w:r>
        <w:rPr/>
        <w:t>元</w:t>
      </w:r>
      <w:r>
        <w:rPr>
          <w:rFonts w:ascii="宋体" w:hAnsi="宋体" w:cs="宋体" w:eastAsia="宋体" w:hint="default"/>
        </w:rPr>
        <w:t>/</w:t>
      </w:r>
      <w:r>
        <w:rPr/>
        <w:t>股调整为</w:t>
      </w:r>
      <w:r>
        <w:rPr>
          <w:spacing w:val="-54"/>
        </w:rPr>
        <w:t> </w:t>
      </w:r>
      <w:r>
        <w:rPr>
          <w:rFonts w:ascii="宋体" w:hAnsi="宋体" w:cs="宋体" w:eastAsia="宋体" w:hint="default"/>
        </w:rPr>
        <w:t>8.59</w:t>
      </w:r>
      <w:r>
        <w:rPr>
          <w:rFonts w:ascii="宋体" w:hAnsi="宋体" w:cs="宋体" w:eastAsia="宋体" w:hint="default"/>
          <w:spacing w:val="-54"/>
        </w:rPr>
        <w:t> </w:t>
      </w:r>
      <w:r>
        <w:rPr/>
        <w:t>元</w:t>
      </w:r>
      <w:r>
        <w:rPr>
          <w:rFonts w:ascii="宋体" w:hAnsi="宋体" w:cs="宋体" w:eastAsia="宋体" w:hint="default"/>
        </w:rPr>
        <w:t>/</w:t>
      </w:r>
      <w:r>
        <w:rPr/>
        <w:t>股。</w:t>
      </w:r>
      <w:r>
        <w:rPr>
          <w:rFonts w:ascii="宋体" w:hAnsi="宋体" w:cs="宋体" w:eastAsia="宋体" w:hint="default"/>
        </w:rPr>
        <w:t> </w:t>
      </w:r>
    </w:p>
    <w:p>
      <w:pPr>
        <w:pStyle w:val="BodyText"/>
        <w:spacing w:line="273" w:lineRule="auto" w:before="37"/>
        <w:ind w:right="226" w:firstLine="419"/>
        <w:jc w:val="left"/>
        <w:rPr>
          <w:rFonts w:ascii="宋体" w:hAnsi="宋体" w:cs="宋体" w:eastAsia="宋体" w:hint="default"/>
        </w:rPr>
      </w:pPr>
      <w:r>
        <w:rPr/>
        <w:t>截至</w:t>
      </w:r>
      <w:r>
        <w:rPr>
          <w:spacing w:val="-48"/>
        </w:rPr>
        <w:t> </w:t>
      </w:r>
      <w:r>
        <w:rPr>
          <w:rFonts w:ascii="宋体" w:hAnsi="宋体" w:cs="宋体" w:eastAsia="宋体" w:hint="default"/>
        </w:rPr>
        <w:t>2019</w:t>
      </w:r>
      <w:r>
        <w:rPr>
          <w:rFonts w:ascii="宋体" w:hAnsi="宋体" w:cs="宋体" w:eastAsia="宋体" w:hint="default"/>
          <w:spacing w:val="-51"/>
        </w:rPr>
        <w:t> </w:t>
      </w:r>
      <w:r>
        <w:rPr/>
        <w:t>年</w:t>
      </w:r>
      <w:r>
        <w:rPr>
          <w:spacing w:val="-48"/>
        </w:rPr>
        <w:t> </w:t>
      </w:r>
      <w:r>
        <w:rPr>
          <w:rFonts w:ascii="宋体" w:hAnsi="宋体" w:cs="宋体" w:eastAsia="宋体" w:hint="default"/>
        </w:rPr>
        <w:t>12</w:t>
      </w:r>
      <w:r>
        <w:rPr>
          <w:rFonts w:ascii="宋体" w:hAnsi="宋体" w:cs="宋体" w:eastAsia="宋体" w:hint="default"/>
          <w:spacing w:val="-51"/>
        </w:rPr>
        <w:t> </w:t>
      </w:r>
      <w:r>
        <w:rPr/>
        <w:t>月</w:t>
      </w:r>
      <w:r>
        <w:rPr>
          <w:spacing w:val="-47"/>
        </w:rPr>
        <w:t> </w:t>
      </w:r>
      <w:r>
        <w:rPr>
          <w:rFonts w:ascii="宋体" w:hAnsi="宋体" w:cs="宋体" w:eastAsia="宋体" w:hint="default"/>
        </w:rPr>
        <w:t>31</w:t>
      </w:r>
      <w:r>
        <w:rPr>
          <w:rFonts w:ascii="宋体" w:hAnsi="宋体" w:cs="宋体" w:eastAsia="宋体" w:hint="default"/>
          <w:spacing w:val="-48"/>
        </w:rPr>
        <w:t> </w:t>
      </w:r>
      <w:r>
        <w:rPr>
          <w:spacing w:val="-9"/>
        </w:rPr>
        <w:t>日，累计共有</w:t>
      </w:r>
      <w:r>
        <w:rPr>
          <w:spacing w:val="-48"/>
        </w:rPr>
        <w:t> </w:t>
      </w:r>
      <w:r>
        <w:rPr>
          <w:rFonts w:ascii="宋体" w:hAnsi="宋体" w:cs="宋体" w:eastAsia="宋体" w:hint="default"/>
        </w:rPr>
        <w:t>118,000</w:t>
      </w:r>
      <w:r>
        <w:rPr>
          <w:rFonts w:ascii="宋体" w:hAnsi="宋体" w:cs="宋体" w:eastAsia="宋体" w:hint="default"/>
          <w:spacing w:val="-48"/>
        </w:rPr>
        <w:t> </w:t>
      </w:r>
      <w:r>
        <w:rPr>
          <w:spacing w:val="-4"/>
        </w:rPr>
        <w:t>元“林洋转债”已转换成公司股票，累计转股数</w:t>
      </w:r>
      <w:r>
        <w:rPr>
          <w:w w:val="100"/>
        </w:rPr>
        <w:t> </w:t>
      </w:r>
      <w:r>
        <w:rPr/>
        <w:t>为</w:t>
      </w:r>
      <w:r>
        <w:rPr>
          <w:spacing w:val="-54"/>
        </w:rPr>
        <w:t> </w:t>
      </w:r>
      <w:r>
        <w:rPr>
          <w:rFonts w:ascii="宋体" w:hAnsi="宋体" w:cs="宋体" w:eastAsia="宋体" w:hint="default"/>
        </w:rPr>
        <w:t>13,441</w:t>
      </w:r>
      <w:r>
        <w:rPr>
          <w:rFonts w:ascii="宋体" w:hAnsi="宋体" w:cs="宋体" w:eastAsia="宋体" w:hint="default"/>
          <w:spacing w:val="-56"/>
        </w:rPr>
        <w:t> </w:t>
      </w:r>
      <w:r>
        <w:rPr/>
        <w:t>股，占可转债转股前公司已发行股份总额的</w:t>
      </w:r>
      <w:r>
        <w:rPr>
          <w:spacing w:val="-53"/>
        </w:rPr>
        <w:t> </w:t>
      </w:r>
      <w:r>
        <w:rPr>
          <w:rFonts w:ascii="宋体" w:hAnsi="宋体" w:cs="宋体" w:eastAsia="宋体" w:hint="default"/>
        </w:rPr>
        <w:t>0.00076%</w:t>
      </w:r>
      <w:r>
        <w:rPr/>
        <w:t>；尚未转股的可转债金额为</w:t>
      </w:r>
      <w:r>
        <w:rPr>
          <w:w w:val="100"/>
        </w:rPr>
        <w:t> </w:t>
      </w:r>
      <w:r>
        <w:rPr>
          <w:rFonts w:ascii="宋体" w:hAnsi="宋体" w:cs="宋体" w:eastAsia="宋体" w:hint="default"/>
        </w:rPr>
        <w:t>2,999,882,000</w:t>
      </w:r>
      <w:r>
        <w:rPr>
          <w:rFonts w:ascii="宋体" w:hAnsi="宋体" w:cs="宋体" w:eastAsia="宋体" w:hint="default"/>
          <w:spacing w:val="-57"/>
        </w:rPr>
        <w:t> </w:t>
      </w:r>
      <w:r>
        <w:rPr/>
        <w:t>元，占可转债发行总量的</w:t>
      </w:r>
      <w:r>
        <w:rPr>
          <w:spacing w:val="-54"/>
        </w:rPr>
        <w:t> </w:t>
      </w:r>
      <w:r>
        <w:rPr>
          <w:rFonts w:ascii="宋体" w:hAnsi="宋体" w:cs="宋体" w:eastAsia="宋体" w:hint="default"/>
        </w:rPr>
        <w:t>99.9961%</w:t>
      </w:r>
      <w:r>
        <w:rPr/>
        <w:t>。</w:t>
      </w:r>
      <w:r>
        <w:rPr>
          <w:rFonts w:ascii="宋体" w:hAnsi="宋体" w:cs="宋体" w:eastAsia="宋体" w:hint="default"/>
        </w:rPr>
        <w:t> </w:t>
      </w:r>
    </w:p>
    <w:p>
      <w:pPr>
        <w:pStyle w:val="BodyText"/>
        <w:spacing w:line="240" w:lineRule="auto" w:before="7"/>
        <w:ind w:right="0"/>
        <w:jc w:val="both"/>
        <w:rPr>
          <w:rFonts w:ascii="宋体" w:hAnsi="宋体" w:cs="宋体" w:eastAsia="宋体" w:hint="default"/>
        </w:rPr>
      </w:pPr>
      <w:r>
        <w:rPr>
          <w:rFonts w:ascii="宋体"/>
          <w:w w:val="100"/>
        </w:rPr>
        <w:t> </w:t>
      </w:r>
    </w:p>
    <w:p>
      <w:pPr>
        <w:pStyle w:val="Heading3"/>
        <w:spacing w:line="240" w:lineRule="auto"/>
        <w:ind w:right="0"/>
        <w:jc w:val="both"/>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28"/>
        </w:rPr>
        <w:t> </w:t>
      </w:r>
      <w:r>
        <w:rPr/>
        <w:t>报告期转债持有人及担保人情况</w:t>
      </w:r>
      <w:r>
        <w:rPr>
          <w:b w:val="0"/>
          <w:bCs w:val="0"/>
        </w:rPr>
      </w:r>
    </w:p>
    <w:p>
      <w:pPr>
        <w:pStyle w:val="Heading2"/>
        <w:spacing w:line="240" w:lineRule="auto" w:before="42"/>
        <w:ind w:right="0"/>
        <w:jc w:val="both"/>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12"/>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787"/>
        <w:gridCol w:w="2270"/>
        <w:gridCol w:w="1993"/>
      </w:tblGrid>
      <w:tr>
        <w:trPr>
          <w:trHeight w:val="324"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期末转债持有人数</w:t>
            </w:r>
            <w:r>
              <w:rPr>
                <w:rFonts w:ascii="宋体" w:hAnsi="宋体" w:cs="宋体" w:eastAsia="宋体" w:hint="default"/>
                <w:sz w:val="21"/>
                <w:szCs w:val="21"/>
              </w:rPr>
              <w:t> </w:t>
            </w:r>
          </w:p>
        </w:tc>
        <w:tc>
          <w:tcPr>
            <w:tcW w:w="4263" w:type="dxa"/>
            <w:gridSpan w:val="2"/>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spacing w:val="-1"/>
                <w:sz w:val="21"/>
              </w:rPr>
              <w:t>9,039</w:t>
            </w:r>
            <w:r>
              <w:rPr>
                <w:rFonts w:ascii="宋体"/>
                <w:sz w:val="21"/>
              </w:rPr>
              <w:t> </w:t>
            </w:r>
          </w:p>
        </w:tc>
      </w:tr>
      <w:tr>
        <w:trPr>
          <w:trHeight w:val="322"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本公司转债的担保人</w:t>
            </w:r>
            <w:r>
              <w:rPr>
                <w:rFonts w:ascii="宋体" w:hAnsi="宋体" w:cs="宋体" w:eastAsia="宋体" w:hint="default"/>
                <w:color w:val="FF0000"/>
                <w:sz w:val="21"/>
                <w:szCs w:val="21"/>
              </w:rPr>
              <w:t> </w:t>
            </w:r>
            <w:r>
              <w:rPr>
                <w:rFonts w:ascii="宋体" w:hAnsi="宋体" w:cs="宋体" w:eastAsia="宋体" w:hint="default"/>
                <w:sz w:val="21"/>
                <w:szCs w:val="21"/>
              </w:rPr>
            </w:r>
          </w:p>
        </w:tc>
        <w:tc>
          <w:tcPr>
            <w:tcW w:w="4263"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z w:val="21"/>
                <w:szCs w:val="21"/>
              </w:rPr>
              <w:t> </w:t>
            </w:r>
          </w:p>
        </w:tc>
      </w:tr>
      <w:tr>
        <w:trPr>
          <w:trHeight w:val="322" w:hRule="exact"/>
        </w:trPr>
        <w:tc>
          <w:tcPr>
            <w:tcW w:w="9050" w:type="dxa"/>
            <w:gridSpan w:val="3"/>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前十名转债持有人情况如下：</w:t>
            </w:r>
            <w:r>
              <w:rPr>
                <w:rFonts w:ascii="宋体" w:hAnsi="宋体" w:cs="宋体" w:eastAsia="宋体" w:hint="default"/>
                <w:sz w:val="21"/>
                <w:szCs w:val="21"/>
              </w:rPr>
              <w:t> </w:t>
            </w:r>
          </w:p>
        </w:tc>
      </w:tr>
      <w:tr>
        <w:trPr>
          <w:trHeight w:val="322"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125" w:right="0"/>
              <w:jc w:val="left"/>
              <w:rPr>
                <w:rFonts w:ascii="宋体" w:hAnsi="宋体" w:cs="宋体" w:eastAsia="宋体" w:hint="default"/>
                <w:sz w:val="21"/>
                <w:szCs w:val="21"/>
              </w:rPr>
            </w:pPr>
            <w:r>
              <w:rPr>
                <w:rFonts w:ascii="宋体" w:hAnsi="宋体" w:cs="宋体" w:eastAsia="宋体" w:hint="default"/>
                <w:sz w:val="21"/>
                <w:szCs w:val="21"/>
              </w:rPr>
              <w:t>可转换公司债券持有人名称</w:t>
            </w:r>
            <w:r>
              <w:rPr>
                <w:rFonts w:ascii="宋体" w:hAnsi="宋体" w:cs="宋体" w:eastAsia="宋体" w:hint="default"/>
                <w:sz w:val="21"/>
                <w:szCs w:val="21"/>
              </w:rPr>
              <w:t> </w:t>
            </w:r>
          </w:p>
        </w:tc>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82" w:right="0"/>
              <w:jc w:val="left"/>
              <w:rPr>
                <w:rFonts w:ascii="宋体" w:hAnsi="宋体" w:cs="宋体" w:eastAsia="宋体" w:hint="default"/>
                <w:sz w:val="21"/>
                <w:szCs w:val="21"/>
              </w:rPr>
            </w:pPr>
            <w:r>
              <w:rPr>
                <w:rFonts w:ascii="宋体" w:hAnsi="宋体" w:cs="宋体" w:eastAsia="宋体" w:hint="default"/>
                <w:sz w:val="21"/>
                <w:szCs w:val="21"/>
              </w:rPr>
              <w:t>期末持债数量（元）</w:t>
            </w:r>
            <w:r>
              <w:rPr>
                <w:rFonts w:ascii="宋体" w:hAnsi="宋体" w:cs="宋体" w:eastAsia="宋体" w:hint="default"/>
                <w:sz w:val="21"/>
                <w:szCs w:val="21"/>
              </w:rPr>
              <w:t> </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13" w:right="0"/>
              <w:jc w:val="left"/>
              <w:rPr>
                <w:rFonts w:ascii="宋体" w:hAnsi="宋体" w:cs="宋体" w:eastAsia="宋体" w:hint="default"/>
                <w:sz w:val="21"/>
                <w:szCs w:val="21"/>
              </w:rPr>
            </w:pPr>
            <w:r>
              <w:rPr>
                <w:rFonts w:ascii="宋体" w:hAnsi="宋体" w:cs="宋体" w:eastAsia="宋体" w:hint="default"/>
                <w:sz w:val="21"/>
                <w:szCs w:val="21"/>
              </w:rPr>
              <w:t>持有比例</w:t>
            </w:r>
            <w:r>
              <w:rPr>
                <w:rFonts w:ascii="宋体" w:hAnsi="宋体" w:cs="宋体" w:eastAsia="宋体" w:hint="default"/>
                <w:sz w:val="21"/>
                <w:szCs w:val="21"/>
              </w:rPr>
              <w:t>(%) </w:t>
            </w:r>
          </w:p>
        </w:tc>
      </w:tr>
      <w:tr>
        <w:trPr>
          <w:trHeight w:val="322"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全国社保基金一零零二组合</w:t>
            </w:r>
            <w:r>
              <w:rPr>
                <w:rFonts w:ascii="宋体" w:hAnsi="宋体" w:cs="宋体" w:eastAsia="宋体" w:hint="default"/>
                <w:sz w:val="21"/>
                <w:szCs w:val="21"/>
              </w:rPr>
              <w:t> </w:t>
            </w:r>
          </w:p>
        </w:tc>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right"/>
              <w:rPr>
                <w:rFonts w:ascii="宋体" w:hAnsi="宋体" w:cs="宋体" w:eastAsia="宋体" w:hint="default"/>
                <w:sz w:val="21"/>
                <w:szCs w:val="21"/>
              </w:rPr>
            </w:pPr>
            <w:r>
              <w:rPr>
                <w:rFonts w:ascii="Times New Roman"/>
                <w:spacing w:val="-1"/>
                <w:sz w:val="21"/>
              </w:rPr>
              <w:t>140,309,000</w:t>
            </w:r>
            <w:r>
              <w:rPr>
                <w:rFonts w:ascii="宋体"/>
                <w:sz w:val="21"/>
              </w:rPr>
              <w:t> </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4.68</w:t>
            </w:r>
            <w:r>
              <w:rPr>
                <w:rFonts w:ascii="宋体"/>
                <w:sz w:val="21"/>
              </w:rPr>
              <w:t> </w:t>
            </w:r>
          </w:p>
        </w:tc>
      </w:tr>
      <w:tr>
        <w:trPr>
          <w:trHeight w:val="322"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全国社保基金一零零八组合</w:t>
            </w:r>
            <w:r>
              <w:rPr>
                <w:rFonts w:ascii="宋体" w:hAnsi="宋体" w:cs="宋体" w:eastAsia="宋体" w:hint="default"/>
                <w:sz w:val="21"/>
                <w:szCs w:val="21"/>
              </w:rPr>
              <w:t> </w:t>
            </w:r>
          </w:p>
        </w:tc>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right"/>
              <w:rPr>
                <w:rFonts w:ascii="宋体" w:hAnsi="宋体" w:cs="宋体" w:eastAsia="宋体" w:hint="default"/>
                <w:sz w:val="21"/>
                <w:szCs w:val="21"/>
              </w:rPr>
            </w:pPr>
            <w:r>
              <w:rPr>
                <w:rFonts w:ascii="Times New Roman"/>
                <w:spacing w:val="-1"/>
                <w:sz w:val="21"/>
              </w:rPr>
              <w:t>98,167,000</w:t>
            </w:r>
            <w:r>
              <w:rPr>
                <w:rFonts w:ascii="宋体"/>
                <w:sz w:val="21"/>
              </w:rPr>
              <w:t> </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3.27</w:t>
            </w:r>
            <w:r>
              <w:rPr>
                <w:rFonts w:ascii="宋体"/>
                <w:sz w:val="21"/>
              </w:rPr>
              <w:t> </w:t>
            </w:r>
          </w:p>
        </w:tc>
      </w:tr>
      <w:tr>
        <w:trPr>
          <w:trHeight w:val="324"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中银基金公司－中行－中国银行股份有限公司</w:t>
            </w:r>
            <w:r>
              <w:rPr>
                <w:rFonts w:ascii="宋体" w:hAnsi="宋体" w:cs="宋体" w:eastAsia="宋体" w:hint="default"/>
                <w:sz w:val="21"/>
                <w:szCs w:val="21"/>
              </w:rPr>
              <w:t> </w:t>
            </w:r>
          </w:p>
        </w:tc>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
              <w:jc w:val="right"/>
              <w:rPr>
                <w:rFonts w:ascii="宋体" w:hAnsi="宋体" w:cs="宋体" w:eastAsia="宋体" w:hint="default"/>
                <w:sz w:val="21"/>
                <w:szCs w:val="21"/>
              </w:rPr>
            </w:pPr>
            <w:r>
              <w:rPr>
                <w:rFonts w:ascii="Times New Roman"/>
                <w:spacing w:val="-1"/>
                <w:sz w:val="21"/>
              </w:rPr>
              <w:t>96,872,000</w:t>
            </w:r>
            <w:r>
              <w:rPr>
                <w:rFonts w:ascii="宋体"/>
                <w:sz w:val="21"/>
              </w:rPr>
              <w:t> </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spacing w:val="-1"/>
                <w:sz w:val="21"/>
              </w:rPr>
              <w:t>3.23</w:t>
            </w:r>
            <w:r>
              <w:rPr>
                <w:rFonts w:ascii="宋体"/>
                <w:sz w:val="21"/>
              </w:rPr>
              <w:t> </w:t>
            </w:r>
          </w:p>
        </w:tc>
      </w:tr>
    </w:tbl>
    <w:p>
      <w:pPr>
        <w:spacing w:after="0" w:line="265" w:lineRule="exact"/>
        <w:jc w:val="right"/>
        <w:rPr>
          <w:rFonts w:ascii="宋体" w:hAnsi="宋体" w:cs="宋体" w:eastAsia="宋体" w:hint="default"/>
          <w:sz w:val="21"/>
          <w:szCs w:val="21"/>
        </w:rPr>
        <w:sectPr>
          <w:pgSz w:w="11910" w:h="16840"/>
          <w:pgMar w:header="747" w:footer="974" w:top="1140" w:bottom="1160" w:left="1580" w:right="1040"/>
        </w:sectPr>
      </w:pPr>
    </w:p>
    <w:p>
      <w:pPr>
        <w:spacing w:line="240" w:lineRule="auto" w:before="5"/>
        <w:rPr>
          <w:rFonts w:ascii="宋体" w:hAnsi="宋体" w:cs="宋体" w:eastAsia="宋体" w:hint="default"/>
          <w:sz w:val="29"/>
          <w:szCs w:val="29"/>
        </w:rPr>
      </w:pPr>
    </w:p>
    <w:tbl>
      <w:tblPr>
        <w:tblW w:w="0" w:type="auto"/>
        <w:jc w:val="left"/>
        <w:tblInd w:w="285" w:type="dxa"/>
        <w:tblLayout w:type="fixed"/>
        <w:tblCellMar>
          <w:top w:w="0" w:type="dxa"/>
          <w:left w:w="0" w:type="dxa"/>
          <w:bottom w:w="0" w:type="dxa"/>
          <w:right w:w="0" w:type="dxa"/>
        </w:tblCellMar>
        <w:tblLook w:val="01E0"/>
      </w:tblPr>
      <w:tblGrid>
        <w:gridCol w:w="4787"/>
        <w:gridCol w:w="2270"/>
        <w:gridCol w:w="1993"/>
      </w:tblGrid>
      <w:tr>
        <w:trPr>
          <w:trHeight w:val="636"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9"/>
              <w:jc w:val="left"/>
              <w:rPr>
                <w:rFonts w:ascii="宋体" w:hAnsi="宋体" w:cs="宋体" w:eastAsia="宋体" w:hint="default"/>
                <w:sz w:val="21"/>
                <w:szCs w:val="21"/>
              </w:rPr>
            </w:pPr>
            <w:r>
              <w:rPr>
                <w:rFonts w:ascii="宋体" w:hAnsi="宋体" w:cs="宋体" w:eastAsia="宋体" w:hint="default"/>
                <w:spacing w:val="5"/>
                <w:sz w:val="21"/>
                <w:szCs w:val="21"/>
              </w:rPr>
              <w:t>中国工商银行股份有限公司－易方达安心回报债</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z w:val="21"/>
                <w:szCs w:val="21"/>
              </w:rPr>
              <w:t>券型证券投资基金</w:t>
            </w:r>
            <w:r>
              <w:rPr>
                <w:rFonts w:ascii="宋体" w:hAnsi="宋体" w:cs="宋体" w:eastAsia="宋体" w:hint="default"/>
                <w:sz w:val="21"/>
                <w:szCs w:val="21"/>
              </w:rPr>
              <w:t> </w:t>
            </w:r>
          </w:p>
        </w:tc>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3"/>
              <w:ind w:right="-1"/>
              <w:jc w:val="right"/>
              <w:rPr>
                <w:rFonts w:ascii="宋体" w:hAnsi="宋体" w:cs="宋体" w:eastAsia="宋体" w:hint="default"/>
                <w:sz w:val="21"/>
                <w:szCs w:val="21"/>
              </w:rPr>
            </w:pPr>
            <w:r>
              <w:rPr>
                <w:rFonts w:ascii="Times New Roman"/>
                <w:spacing w:val="-1"/>
                <w:sz w:val="21"/>
              </w:rPr>
              <w:t>87,245,000</w:t>
            </w:r>
            <w:r>
              <w:rPr>
                <w:rFonts w:ascii="宋体"/>
                <w:sz w:val="21"/>
              </w:rPr>
              <w:t> </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3"/>
              <w:jc w:val="right"/>
              <w:rPr>
                <w:rFonts w:ascii="宋体" w:hAnsi="宋体" w:cs="宋体" w:eastAsia="宋体" w:hint="default"/>
                <w:sz w:val="21"/>
                <w:szCs w:val="21"/>
              </w:rPr>
            </w:pPr>
            <w:r>
              <w:rPr>
                <w:rFonts w:ascii="宋体"/>
                <w:spacing w:val="-1"/>
                <w:sz w:val="21"/>
              </w:rPr>
              <w:t>2.91</w:t>
            </w:r>
            <w:r>
              <w:rPr>
                <w:rFonts w:ascii="宋体"/>
                <w:sz w:val="21"/>
              </w:rPr>
              <w:t> </w:t>
            </w:r>
          </w:p>
        </w:tc>
      </w:tr>
      <w:tr>
        <w:trPr>
          <w:trHeight w:val="322"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启东市华虹电子有限公司</w:t>
            </w:r>
            <w:r>
              <w:rPr>
                <w:rFonts w:ascii="宋体" w:hAnsi="宋体" w:cs="宋体" w:eastAsia="宋体" w:hint="default"/>
                <w:sz w:val="21"/>
                <w:szCs w:val="21"/>
              </w:rPr>
              <w:t> </w:t>
            </w:r>
          </w:p>
        </w:tc>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right"/>
              <w:rPr>
                <w:rFonts w:ascii="宋体" w:hAnsi="宋体" w:cs="宋体" w:eastAsia="宋体" w:hint="default"/>
                <w:sz w:val="21"/>
                <w:szCs w:val="21"/>
              </w:rPr>
            </w:pPr>
            <w:r>
              <w:rPr>
                <w:rFonts w:ascii="Times New Roman"/>
                <w:spacing w:val="-1"/>
                <w:sz w:val="21"/>
              </w:rPr>
              <w:t>80,212,000</w:t>
            </w:r>
            <w:r>
              <w:rPr>
                <w:rFonts w:ascii="宋体"/>
                <w:sz w:val="21"/>
              </w:rPr>
              <w:t> </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2.67</w:t>
            </w:r>
            <w:r>
              <w:rPr>
                <w:rFonts w:ascii="宋体"/>
                <w:sz w:val="21"/>
              </w:rPr>
              <w:t> </w:t>
            </w:r>
          </w:p>
        </w:tc>
      </w:tr>
      <w:tr>
        <w:trPr>
          <w:trHeight w:val="634"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9"/>
              <w:jc w:val="left"/>
              <w:rPr>
                <w:rFonts w:ascii="宋体" w:hAnsi="宋体" w:cs="宋体" w:eastAsia="宋体" w:hint="default"/>
                <w:sz w:val="21"/>
                <w:szCs w:val="21"/>
              </w:rPr>
            </w:pPr>
            <w:r>
              <w:rPr>
                <w:rFonts w:ascii="宋体" w:hAnsi="宋体" w:cs="宋体" w:eastAsia="宋体" w:hint="default"/>
                <w:spacing w:val="5"/>
                <w:sz w:val="21"/>
                <w:szCs w:val="21"/>
              </w:rPr>
              <w:t>中信银行股份有限公司－中银信用增利债券型证</w:t>
            </w:r>
            <w:r>
              <w:rPr>
                <w:rFonts w:ascii="宋体" w:hAnsi="宋体" w:cs="宋体" w:eastAsia="宋体" w:hint="default"/>
                <w:spacing w:val="-54"/>
                <w:sz w:val="21"/>
                <w:szCs w:val="21"/>
              </w:rPr>
              <w:t> </w:t>
            </w:r>
            <w:r>
              <w:rPr>
                <w:rFonts w:ascii="宋体" w:hAnsi="宋体" w:cs="宋体" w:eastAsia="宋体" w:hint="default"/>
                <w:spacing w:val="-54"/>
                <w:sz w:val="21"/>
                <w:szCs w:val="21"/>
              </w:rPr>
            </w:r>
            <w:r>
              <w:rPr>
                <w:rFonts w:ascii="宋体" w:hAnsi="宋体" w:cs="宋体" w:eastAsia="宋体" w:hint="default"/>
                <w:sz w:val="21"/>
                <w:szCs w:val="21"/>
              </w:rPr>
              <w:t>券投资基金</w:t>
            </w:r>
            <w:r>
              <w:rPr>
                <w:rFonts w:ascii="宋体" w:hAnsi="宋体" w:cs="宋体" w:eastAsia="宋体" w:hint="default"/>
                <w:sz w:val="21"/>
                <w:szCs w:val="21"/>
              </w:rPr>
              <w:t> </w:t>
            </w:r>
          </w:p>
        </w:tc>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0"/>
              <w:ind w:right="-1"/>
              <w:jc w:val="right"/>
              <w:rPr>
                <w:rFonts w:ascii="宋体" w:hAnsi="宋体" w:cs="宋体" w:eastAsia="宋体" w:hint="default"/>
                <w:sz w:val="21"/>
                <w:szCs w:val="21"/>
              </w:rPr>
            </w:pPr>
            <w:r>
              <w:rPr>
                <w:rFonts w:ascii="Times New Roman"/>
                <w:spacing w:val="-1"/>
                <w:sz w:val="21"/>
              </w:rPr>
              <w:t>78,712,000</w:t>
            </w:r>
            <w:r>
              <w:rPr>
                <w:rFonts w:ascii="宋体"/>
                <w:sz w:val="21"/>
              </w:rPr>
              <w:t> </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3"/>
              <w:jc w:val="right"/>
              <w:rPr>
                <w:rFonts w:ascii="宋体" w:hAnsi="宋体" w:cs="宋体" w:eastAsia="宋体" w:hint="default"/>
                <w:sz w:val="21"/>
                <w:szCs w:val="21"/>
              </w:rPr>
            </w:pPr>
            <w:r>
              <w:rPr>
                <w:rFonts w:ascii="宋体"/>
                <w:spacing w:val="-1"/>
                <w:sz w:val="21"/>
              </w:rPr>
              <w:t>2.62</w:t>
            </w:r>
            <w:r>
              <w:rPr>
                <w:rFonts w:ascii="宋体"/>
                <w:sz w:val="21"/>
              </w:rPr>
              <w:t> </w:t>
            </w:r>
          </w:p>
        </w:tc>
      </w:tr>
      <w:tr>
        <w:trPr>
          <w:trHeight w:val="634"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9"/>
              <w:jc w:val="left"/>
              <w:rPr>
                <w:rFonts w:ascii="宋体" w:hAnsi="宋体" w:cs="宋体" w:eastAsia="宋体" w:hint="default"/>
                <w:sz w:val="21"/>
                <w:szCs w:val="21"/>
              </w:rPr>
            </w:pPr>
            <w:r>
              <w:rPr>
                <w:rFonts w:ascii="宋体" w:hAnsi="宋体" w:cs="宋体" w:eastAsia="宋体" w:hint="default"/>
                <w:spacing w:val="5"/>
                <w:sz w:val="21"/>
                <w:szCs w:val="21"/>
              </w:rPr>
              <w:t>工银瑞信基金－交通银行－工银瑞信投资管理有</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z w:val="21"/>
                <w:szCs w:val="21"/>
              </w:rPr>
              <w:t>限公司</w:t>
            </w:r>
            <w:r>
              <w:rPr>
                <w:rFonts w:ascii="宋体" w:hAnsi="宋体" w:cs="宋体" w:eastAsia="宋体" w:hint="default"/>
                <w:sz w:val="21"/>
                <w:szCs w:val="21"/>
              </w:rPr>
              <w:t> </w:t>
            </w:r>
          </w:p>
        </w:tc>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0"/>
              <w:ind w:right="-1"/>
              <w:jc w:val="right"/>
              <w:rPr>
                <w:rFonts w:ascii="宋体" w:hAnsi="宋体" w:cs="宋体" w:eastAsia="宋体" w:hint="default"/>
                <w:sz w:val="21"/>
                <w:szCs w:val="21"/>
              </w:rPr>
            </w:pPr>
            <w:r>
              <w:rPr>
                <w:rFonts w:ascii="Times New Roman"/>
                <w:spacing w:val="-1"/>
                <w:sz w:val="21"/>
              </w:rPr>
              <w:t>70,495,000</w:t>
            </w:r>
            <w:r>
              <w:rPr>
                <w:rFonts w:ascii="宋体"/>
                <w:sz w:val="21"/>
              </w:rPr>
              <w:t> </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3"/>
              <w:jc w:val="right"/>
              <w:rPr>
                <w:rFonts w:ascii="宋体" w:hAnsi="宋体" w:cs="宋体" w:eastAsia="宋体" w:hint="default"/>
                <w:sz w:val="21"/>
                <w:szCs w:val="21"/>
              </w:rPr>
            </w:pPr>
            <w:r>
              <w:rPr>
                <w:rFonts w:ascii="宋体"/>
                <w:spacing w:val="-1"/>
                <w:sz w:val="21"/>
              </w:rPr>
              <w:t>2.35</w:t>
            </w:r>
            <w:r>
              <w:rPr>
                <w:rFonts w:ascii="宋体"/>
                <w:sz w:val="21"/>
              </w:rPr>
              <w:t> </w:t>
            </w:r>
          </w:p>
        </w:tc>
      </w:tr>
      <w:tr>
        <w:trPr>
          <w:trHeight w:val="322"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基本养老保险基金一零六组合</w:t>
            </w:r>
            <w:r>
              <w:rPr>
                <w:rFonts w:ascii="宋体" w:hAnsi="宋体" w:cs="宋体" w:eastAsia="宋体" w:hint="default"/>
                <w:sz w:val="21"/>
                <w:szCs w:val="21"/>
              </w:rPr>
              <w:t> </w:t>
            </w:r>
          </w:p>
        </w:tc>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right"/>
              <w:rPr>
                <w:rFonts w:ascii="宋体" w:hAnsi="宋体" w:cs="宋体" w:eastAsia="宋体" w:hint="default"/>
                <w:sz w:val="21"/>
                <w:szCs w:val="21"/>
              </w:rPr>
            </w:pPr>
            <w:r>
              <w:rPr>
                <w:rFonts w:ascii="Times New Roman"/>
                <w:spacing w:val="-1"/>
                <w:sz w:val="21"/>
              </w:rPr>
              <w:t>64,997,000</w:t>
            </w:r>
            <w:r>
              <w:rPr>
                <w:rFonts w:ascii="宋体"/>
                <w:sz w:val="21"/>
              </w:rPr>
              <w:t> </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2.17</w:t>
            </w:r>
            <w:r>
              <w:rPr>
                <w:rFonts w:ascii="宋体"/>
                <w:sz w:val="21"/>
              </w:rPr>
              <w:t> </w:t>
            </w:r>
          </w:p>
        </w:tc>
      </w:tr>
      <w:tr>
        <w:trPr>
          <w:trHeight w:val="634"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9"/>
              <w:jc w:val="left"/>
              <w:rPr>
                <w:rFonts w:ascii="宋体" w:hAnsi="宋体" w:cs="宋体" w:eastAsia="宋体" w:hint="default"/>
                <w:sz w:val="21"/>
                <w:szCs w:val="21"/>
              </w:rPr>
            </w:pPr>
            <w:r>
              <w:rPr>
                <w:rFonts w:ascii="宋体" w:hAnsi="宋体" w:cs="宋体" w:eastAsia="宋体" w:hint="default"/>
                <w:spacing w:val="5"/>
                <w:sz w:val="21"/>
                <w:szCs w:val="21"/>
              </w:rPr>
              <w:t>中国工商银行股份有限公司－兴全可转债混合型</w:t>
            </w:r>
            <w:r>
              <w:rPr>
                <w:rFonts w:ascii="宋体" w:hAnsi="宋体" w:cs="宋体" w:eastAsia="宋体" w:hint="default"/>
                <w:spacing w:val="-54"/>
                <w:sz w:val="21"/>
                <w:szCs w:val="21"/>
              </w:rPr>
              <w:t> </w:t>
            </w:r>
            <w:r>
              <w:rPr>
                <w:rFonts w:ascii="宋体" w:hAnsi="宋体" w:cs="宋体" w:eastAsia="宋体" w:hint="default"/>
                <w:spacing w:val="-54"/>
                <w:sz w:val="21"/>
                <w:szCs w:val="21"/>
              </w:rPr>
            </w:r>
            <w:r>
              <w:rPr>
                <w:rFonts w:ascii="宋体" w:hAnsi="宋体" w:cs="宋体" w:eastAsia="宋体" w:hint="default"/>
                <w:sz w:val="21"/>
                <w:szCs w:val="21"/>
              </w:rPr>
              <w:t>证券投资基金</w:t>
            </w:r>
            <w:r>
              <w:rPr>
                <w:rFonts w:ascii="宋体" w:hAnsi="宋体" w:cs="宋体" w:eastAsia="宋体" w:hint="default"/>
                <w:sz w:val="21"/>
                <w:szCs w:val="21"/>
              </w:rPr>
              <w:t> </w:t>
            </w:r>
          </w:p>
        </w:tc>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0"/>
              <w:ind w:right="-1"/>
              <w:jc w:val="right"/>
              <w:rPr>
                <w:rFonts w:ascii="宋体" w:hAnsi="宋体" w:cs="宋体" w:eastAsia="宋体" w:hint="default"/>
                <w:sz w:val="21"/>
                <w:szCs w:val="21"/>
              </w:rPr>
            </w:pPr>
            <w:r>
              <w:rPr>
                <w:rFonts w:ascii="Times New Roman"/>
                <w:spacing w:val="-1"/>
                <w:sz w:val="21"/>
              </w:rPr>
              <w:t>62,712,000</w:t>
            </w:r>
            <w:r>
              <w:rPr>
                <w:rFonts w:ascii="宋体"/>
                <w:sz w:val="21"/>
              </w:rPr>
              <w:t> </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3"/>
              <w:jc w:val="right"/>
              <w:rPr>
                <w:rFonts w:ascii="宋体" w:hAnsi="宋体" w:cs="宋体" w:eastAsia="宋体" w:hint="default"/>
                <w:sz w:val="21"/>
                <w:szCs w:val="21"/>
              </w:rPr>
            </w:pPr>
            <w:r>
              <w:rPr>
                <w:rFonts w:ascii="宋体"/>
                <w:spacing w:val="-1"/>
                <w:sz w:val="21"/>
              </w:rPr>
              <w:t>2.09</w:t>
            </w:r>
            <w:r>
              <w:rPr>
                <w:rFonts w:ascii="宋体"/>
                <w:sz w:val="21"/>
              </w:rPr>
              <w:t> </w:t>
            </w:r>
          </w:p>
        </w:tc>
      </w:tr>
      <w:tr>
        <w:trPr>
          <w:trHeight w:val="324"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中国银行－易方达稳健收益债券型证券投资基金</w:t>
            </w:r>
            <w:r>
              <w:rPr>
                <w:rFonts w:ascii="宋体" w:hAnsi="宋体" w:cs="宋体" w:eastAsia="宋体" w:hint="default"/>
                <w:sz w:val="21"/>
                <w:szCs w:val="21"/>
              </w:rPr>
              <w:t> </w:t>
            </w:r>
          </w:p>
        </w:tc>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
              <w:jc w:val="right"/>
              <w:rPr>
                <w:rFonts w:ascii="宋体" w:hAnsi="宋体" w:cs="宋体" w:eastAsia="宋体" w:hint="default"/>
                <w:sz w:val="21"/>
                <w:szCs w:val="21"/>
              </w:rPr>
            </w:pPr>
            <w:r>
              <w:rPr>
                <w:rFonts w:ascii="Times New Roman"/>
                <w:spacing w:val="-1"/>
                <w:sz w:val="21"/>
              </w:rPr>
              <w:t>60,077,000</w:t>
            </w:r>
            <w:r>
              <w:rPr>
                <w:rFonts w:ascii="宋体"/>
                <w:sz w:val="21"/>
              </w:rPr>
              <w:t> </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spacing w:val="-1"/>
                <w:sz w:val="21"/>
              </w:rPr>
              <w:t>2.00</w:t>
            </w:r>
            <w:r>
              <w:rPr>
                <w:rFonts w:ascii="宋体"/>
                <w:sz w:val="21"/>
              </w:rPr>
              <w:t> </w:t>
            </w:r>
          </w:p>
        </w:tc>
      </w:tr>
    </w:tbl>
    <w:p>
      <w:pPr>
        <w:spacing w:after="0" w:line="265" w:lineRule="exact"/>
        <w:jc w:val="right"/>
        <w:rPr>
          <w:rFonts w:ascii="宋体" w:hAnsi="宋体" w:cs="宋体" w:eastAsia="宋体" w:hint="default"/>
          <w:sz w:val="21"/>
          <w:szCs w:val="21"/>
        </w:rPr>
        <w:sectPr>
          <w:pgSz w:w="11910" w:h="16840"/>
          <w:pgMar w:header="747" w:footer="974" w:top="1140" w:bottom="1160" w:left="1400" w:right="1040"/>
        </w:sectPr>
      </w:pPr>
    </w:p>
    <w:p>
      <w:pPr>
        <w:pStyle w:val="Heading2"/>
        <w:spacing w:line="274" w:lineRule="exact"/>
        <w:ind w:left="398" w:right="0"/>
        <w:jc w:val="left"/>
        <w:rPr>
          <w:rFonts w:ascii="宋体" w:hAnsi="宋体" w:cs="宋体" w:eastAsia="宋体" w:hint="default"/>
        </w:rPr>
      </w:pPr>
      <w:r>
        <w:rPr>
          <w:rFonts w:ascii="宋体"/>
        </w:rPr>
        <w:t> </w:t>
      </w:r>
    </w:p>
    <w:p>
      <w:pPr>
        <w:pStyle w:val="Heading3"/>
        <w:spacing w:line="240" w:lineRule="auto" w:before="85"/>
        <w:ind w:left="398" w:right="-19"/>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33"/>
        </w:rPr>
        <w:t> </w:t>
      </w:r>
      <w:r>
        <w:rPr/>
        <w:t>报告期转债变动情况</w:t>
      </w:r>
      <w:r>
        <w:rPr>
          <w:b w:val="0"/>
          <w:bCs w:val="0"/>
        </w:rPr>
      </w:r>
    </w:p>
    <w:p>
      <w:pPr>
        <w:pStyle w:val="Heading2"/>
        <w:spacing w:line="240" w:lineRule="auto" w:before="42"/>
        <w:ind w:left="398"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pStyle w:val="BodyText"/>
        <w:spacing w:line="240" w:lineRule="auto"/>
        <w:ind w:left="398" w:right="0"/>
        <w:jc w:val="left"/>
        <w:rPr>
          <w:rFonts w:ascii="宋体" w:hAnsi="宋体" w:cs="宋体" w:eastAsia="宋体" w:hint="default"/>
        </w:rPr>
      </w:pPr>
      <w:r>
        <w:rPr/>
        <w:t>单位</w:t>
      </w:r>
      <w:r>
        <w:rPr>
          <w:rFonts w:ascii="宋体" w:hAnsi="宋体" w:cs="宋体" w:eastAsia="宋体" w:hint="default"/>
        </w:rPr>
        <w:t>:</w:t>
      </w:r>
      <w:r>
        <w:rPr/>
        <w:t>元币种</w:t>
      </w:r>
      <w:r>
        <w:rPr>
          <w:rFonts w:ascii="宋体" w:hAnsi="宋体" w:cs="宋体" w:eastAsia="宋体" w:hint="default"/>
        </w:rPr>
        <w:t>:</w:t>
      </w:r>
      <w:r>
        <w:rPr/>
        <w:t>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580" w:bottom="280" w:left="1400" w:right="1040"/>
          <w:cols w:num="2" w:equalWidth="0">
            <w:col w:w="2719" w:space="4222"/>
            <w:col w:w="2529"/>
          </w:cols>
        </w:sectPr>
      </w:pPr>
    </w:p>
    <w:p>
      <w:pPr>
        <w:spacing w:line="240" w:lineRule="auto" w:before="10"/>
        <w:rPr>
          <w:rFonts w:ascii="宋体" w:hAnsi="宋体" w:cs="宋体" w:eastAsia="宋体" w:hint="default"/>
          <w:sz w:val="3"/>
          <w:szCs w:val="3"/>
        </w:rPr>
      </w:pPr>
    </w:p>
    <w:tbl>
      <w:tblPr>
        <w:tblW w:w="0" w:type="auto"/>
        <w:jc w:val="left"/>
        <w:tblInd w:w="285" w:type="dxa"/>
        <w:tblLayout w:type="fixed"/>
        <w:tblCellMar>
          <w:top w:w="0" w:type="dxa"/>
          <w:left w:w="0" w:type="dxa"/>
          <w:bottom w:w="0" w:type="dxa"/>
          <w:right w:w="0" w:type="dxa"/>
        </w:tblCellMar>
        <w:tblLook w:val="01E0"/>
      </w:tblPr>
      <w:tblGrid>
        <w:gridCol w:w="1469"/>
        <w:gridCol w:w="1580"/>
        <w:gridCol w:w="1483"/>
        <w:gridCol w:w="1469"/>
        <w:gridCol w:w="1469"/>
        <w:gridCol w:w="1579"/>
      </w:tblGrid>
      <w:tr>
        <w:trPr>
          <w:trHeight w:val="322" w:hRule="exact"/>
        </w:trPr>
        <w:tc>
          <w:tcPr>
            <w:tcW w:w="1469" w:type="dxa"/>
            <w:vMerge w:val="restart"/>
            <w:tcBorders>
              <w:top w:val="single" w:sz="4" w:space="0" w:color="000000"/>
              <w:left w:val="single" w:sz="4" w:space="0" w:color="000000"/>
              <w:right w:val="single" w:sz="4" w:space="0" w:color="000000"/>
            </w:tcBorders>
          </w:tcPr>
          <w:p>
            <w:pPr>
              <w:pStyle w:val="TableParagraph"/>
              <w:spacing w:line="273" w:lineRule="auto"/>
              <w:ind w:left="309" w:right="199" w:hanging="106"/>
              <w:jc w:val="left"/>
              <w:rPr>
                <w:rFonts w:ascii="宋体" w:hAnsi="宋体" w:cs="宋体" w:eastAsia="宋体" w:hint="default"/>
                <w:sz w:val="21"/>
                <w:szCs w:val="21"/>
              </w:rPr>
            </w:pPr>
            <w:r>
              <w:rPr>
                <w:rFonts w:ascii="宋体" w:hAnsi="宋体" w:cs="宋体" w:eastAsia="宋体" w:hint="default"/>
                <w:sz w:val="21"/>
                <w:szCs w:val="21"/>
              </w:rPr>
              <w:t>可转换公司</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债券名称</w:t>
            </w:r>
            <w:r>
              <w:rPr>
                <w:rFonts w:ascii="宋体" w:hAnsi="宋体" w:cs="宋体" w:eastAsia="宋体" w:hint="default"/>
                <w:sz w:val="21"/>
                <w:szCs w:val="21"/>
              </w:rPr>
              <w:t> </w:t>
            </w:r>
          </w:p>
        </w:tc>
        <w:tc>
          <w:tcPr>
            <w:tcW w:w="1580" w:type="dxa"/>
            <w:vMerge w:val="restart"/>
            <w:tcBorders>
              <w:top w:val="single" w:sz="4" w:space="0" w:color="000000"/>
              <w:left w:val="single" w:sz="4" w:space="0" w:color="000000"/>
              <w:right w:val="single" w:sz="4" w:space="0" w:color="000000"/>
            </w:tcBorders>
          </w:tcPr>
          <w:p>
            <w:pPr>
              <w:pStyle w:val="TableParagraph"/>
              <w:spacing w:line="240" w:lineRule="auto" w:before="148"/>
              <w:ind w:left="256" w:right="0"/>
              <w:jc w:val="left"/>
              <w:rPr>
                <w:rFonts w:ascii="宋体" w:hAnsi="宋体" w:cs="宋体" w:eastAsia="宋体" w:hint="default"/>
                <w:sz w:val="21"/>
                <w:szCs w:val="21"/>
              </w:rPr>
            </w:pPr>
            <w:r>
              <w:rPr>
                <w:rFonts w:ascii="宋体" w:hAnsi="宋体" w:cs="宋体" w:eastAsia="宋体" w:hint="default"/>
                <w:sz w:val="21"/>
                <w:szCs w:val="21"/>
              </w:rPr>
              <w:t>本次变动前</w:t>
            </w:r>
            <w:r>
              <w:rPr>
                <w:rFonts w:ascii="宋体" w:hAnsi="宋体" w:cs="宋体" w:eastAsia="宋体" w:hint="default"/>
                <w:sz w:val="21"/>
                <w:szCs w:val="21"/>
              </w:rPr>
              <w:t> </w:t>
            </w:r>
          </w:p>
        </w:tc>
        <w:tc>
          <w:tcPr>
            <w:tcW w:w="4422" w:type="dxa"/>
            <w:gridSpan w:val="3"/>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2" w:right="0"/>
              <w:jc w:val="center"/>
              <w:rPr>
                <w:rFonts w:ascii="宋体" w:hAnsi="宋体" w:cs="宋体" w:eastAsia="宋体" w:hint="default"/>
                <w:sz w:val="21"/>
                <w:szCs w:val="21"/>
              </w:rPr>
            </w:pPr>
            <w:r>
              <w:rPr>
                <w:rFonts w:ascii="宋体" w:hAnsi="宋体" w:cs="宋体" w:eastAsia="宋体" w:hint="default"/>
                <w:sz w:val="21"/>
                <w:szCs w:val="21"/>
              </w:rPr>
              <w:t>本次变动增减</w:t>
            </w:r>
            <w:r>
              <w:rPr>
                <w:rFonts w:ascii="宋体" w:hAnsi="宋体" w:cs="宋体" w:eastAsia="宋体" w:hint="default"/>
                <w:sz w:val="21"/>
                <w:szCs w:val="21"/>
              </w:rPr>
              <w:t> </w:t>
            </w:r>
          </w:p>
        </w:tc>
        <w:tc>
          <w:tcPr>
            <w:tcW w:w="1579" w:type="dxa"/>
            <w:vMerge w:val="restart"/>
            <w:tcBorders>
              <w:top w:val="single" w:sz="4" w:space="0" w:color="000000"/>
              <w:left w:val="single" w:sz="4" w:space="0" w:color="000000"/>
              <w:right w:val="single" w:sz="4" w:space="0" w:color="000000"/>
            </w:tcBorders>
          </w:tcPr>
          <w:p>
            <w:pPr>
              <w:pStyle w:val="TableParagraph"/>
              <w:spacing w:line="240" w:lineRule="auto" w:before="148"/>
              <w:ind w:left="256" w:right="0"/>
              <w:jc w:val="left"/>
              <w:rPr>
                <w:rFonts w:ascii="宋体" w:hAnsi="宋体" w:cs="宋体" w:eastAsia="宋体" w:hint="default"/>
                <w:sz w:val="21"/>
                <w:szCs w:val="21"/>
              </w:rPr>
            </w:pPr>
            <w:r>
              <w:rPr>
                <w:rFonts w:ascii="宋体" w:hAnsi="宋体" w:cs="宋体" w:eastAsia="宋体" w:hint="default"/>
                <w:sz w:val="21"/>
                <w:szCs w:val="21"/>
              </w:rPr>
              <w:t>本次变动后</w:t>
            </w:r>
            <w:r>
              <w:rPr>
                <w:rFonts w:ascii="宋体" w:hAnsi="宋体" w:cs="宋体" w:eastAsia="宋体" w:hint="default"/>
                <w:sz w:val="21"/>
                <w:szCs w:val="21"/>
              </w:rPr>
              <w:t> </w:t>
            </w:r>
          </w:p>
        </w:tc>
      </w:tr>
      <w:tr>
        <w:trPr>
          <w:trHeight w:val="322" w:hRule="exact"/>
        </w:trPr>
        <w:tc>
          <w:tcPr>
            <w:tcW w:w="1469" w:type="dxa"/>
            <w:vMerge/>
            <w:tcBorders>
              <w:left w:val="single" w:sz="4" w:space="0" w:color="000000"/>
              <w:bottom w:val="single" w:sz="4" w:space="0" w:color="000000"/>
              <w:right w:val="single" w:sz="4" w:space="0" w:color="000000"/>
            </w:tcBorders>
          </w:tcPr>
          <w:p>
            <w:pPr/>
          </w:p>
        </w:tc>
        <w:tc>
          <w:tcPr>
            <w:tcW w:w="1580" w:type="dxa"/>
            <w:vMerge/>
            <w:tcBorders>
              <w:left w:val="single" w:sz="4" w:space="0" w:color="000000"/>
              <w:bottom w:val="single" w:sz="4" w:space="0" w:color="000000"/>
              <w:right w:val="single" w:sz="4" w:space="0" w:color="000000"/>
            </w:tcBorders>
          </w:tcPr>
          <w:p>
            <w:pP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25" w:right="0"/>
              <w:jc w:val="left"/>
              <w:rPr>
                <w:rFonts w:ascii="宋体" w:hAnsi="宋体" w:cs="宋体" w:eastAsia="宋体" w:hint="default"/>
                <w:sz w:val="21"/>
                <w:szCs w:val="21"/>
              </w:rPr>
            </w:pPr>
            <w:r>
              <w:rPr>
                <w:rFonts w:ascii="宋体" w:hAnsi="宋体" w:cs="宋体" w:eastAsia="宋体" w:hint="default"/>
                <w:sz w:val="21"/>
                <w:szCs w:val="21"/>
              </w:rPr>
              <w:t>转股</w:t>
            </w:r>
            <w:r>
              <w:rPr>
                <w:rFonts w:ascii="宋体" w:hAnsi="宋体" w:cs="宋体" w:eastAsia="宋体" w:hint="default"/>
                <w:sz w:val="21"/>
                <w:szCs w:val="21"/>
              </w:rPr>
              <w:t> </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18" w:right="0"/>
              <w:jc w:val="left"/>
              <w:rPr>
                <w:rFonts w:ascii="宋体" w:hAnsi="宋体" w:cs="宋体" w:eastAsia="宋体" w:hint="default"/>
                <w:sz w:val="21"/>
                <w:szCs w:val="21"/>
              </w:rPr>
            </w:pPr>
            <w:r>
              <w:rPr>
                <w:rFonts w:ascii="宋体" w:hAnsi="宋体" w:cs="宋体" w:eastAsia="宋体" w:hint="default"/>
                <w:sz w:val="21"/>
                <w:szCs w:val="21"/>
              </w:rPr>
              <w:t>赎回</w:t>
            </w:r>
            <w:r>
              <w:rPr>
                <w:rFonts w:ascii="宋体" w:hAnsi="宋体" w:cs="宋体" w:eastAsia="宋体" w:hint="default"/>
                <w:sz w:val="21"/>
                <w:szCs w:val="21"/>
              </w:rPr>
              <w:t> </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18" w:right="0"/>
              <w:jc w:val="left"/>
              <w:rPr>
                <w:rFonts w:ascii="宋体" w:hAnsi="宋体" w:cs="宋体" w:eastAsia="宋体" w:hint="default"/>
                <w:sz w:val="21"/>
                <w:szCs w:val="21"/>
              </w:rPr>
            </w:pPr>
            <w:r>
              <w:rPr>
                <w:rFonts w:ascii="宋体" w:hAnsi="宋体" w:cs="宋体" w:eastAsia="宋体" w:hint="default"/>
                <w:sz w:val="21"/>
                <w:szCs w:val="21"/>
              </w:rPr>
              <w:t>回售</w:t>
            </w:r>
            <w:r>
              <w:rPr>
                <w:rFonts w:ascii="宋体" w:hAnsi="宋体" w:cs="宋体" w:eastAsia="宋体" w:hint="default"/>
                <w:sz w:val="21"/>
                <w:szCs w:val="21"/>
              </w:rPr>
              <w:t> </w:t>
            </w:r>
          </w:p>
        </w:tc>
        <w:tc>
          <w:tcPr>
            <w:tcW w:w="1579" w:type="dxa"/>
            <w:vMerge/>
            <w:tcBorders>
              <w:left w:val="single" w:sz="4" w:space="0" w:color="000000"/>
              <w:bottom w:val="single" w:sz="4" w:space="0" w:color="000000"/>
              <w:right w:val="single" w:sz="4" w:space="0" w:color="000000"/>
            </w:tcBorders>
          </w:tcPr>
          <w:p>
            <w:pPr/>
          </w:p>
        </w:tc>
      </w:tr>
      <w:tr>
        <w:trPr>
          <w:trHeight w:val="322"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林洋转债</w:t>
            </w:r>
            <w:r>
              <w:rPr>
                <w:rFonts w:ascii="宋体" w:hAnsi="宋体" w:cs="宋体" w:eastAsia="宋体" w:hint="default"/>
                <w:sz w:val="21"/>
                <w:szCs w:val="21"/>
              </w:rPr>
              <w:t> </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3"/>
              <w:jc w:val="left"/>
              <w:rPr>
                <w:rFonts w:ascii="宋体" w:hAnsi="宋体" w:cs="宋体" w:eastAsia="宋体" w:hint="default"/>
                <w:sz w:val="21"/>
                <w:szCs w:val="21"/>
              </w:rPr>
            </w:pPr>
            <w:r>
              <w:rPr>
                <w:rFonts w:ascii="宋体"/>
                <w:sz w:val="21"/>
              </w:rPr>
              <w:t>2,999,961,000 </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39" w:right="-3"/>
              <w:jc w:val="left"/>
              <w:rPr>
                <w:rFonts w:ascii="宋体" w:hAnsi="宋体" w:cs="宋体" w:eastAsia="宋体" w:hint="default"/>
                <w:sz w:val="21"/>
                <w:szCs w:val="21"/>
              </w:rPr>
            </w:pPr>
            <w:r>
              <w:rPr>
                <w:rFonts w:ascii="宋体"/>
                <w:sz w:val="21"/>
              </w:rPr>
              <w:t>79,000 </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3"/>
              <w:jc w:val="left"/>
              <w:rPr>
                <w:rFonts w:ascii="宋体" w:hAnsi="宋体" w:cs="宋体" w:eastAsia="宋体" w:hint="default"/>
                <w:sz w:val="21"/>
                <w:szCs w:val="21"/>
              </w:rPr>
            </w:pPr>
            <w:r>
              <w:rPr>
                <w:rFonts w:ascii="宋体"/>
                <w:sz w:val="21"/>
              </w:rPr>
              <w:t>2,999,882,000 </w:t>
            </w:r>
          </w:p>
        </w:tc>
      </w:tr>
    </w:tbl>
    <w:p>
      <w:pPr>
        <w:pStyle w:val="Heading2"/>
        <w:spacing w:line="273" w:lineRule="exact"/>
        <w:ind w:left="398" w:right="0"/>
        <w:jc w:val="left"/>
        <w:rPr>
          <w:rFonts w:ascii="宋体" w:hAnsi="宋体" w:cs="宋体" w:eastAsia="宋体" w:hint="default"/>
        </w:rPr>
      </w:pPr>
      <w:r>
        <w:rPr>
          <w:rFonts w:ascii="宋体"/>
        </w:rPr>
        <w:t> </w:t>
      </w:r>
    </w:p>
    <w:p>
      <w:pPr>
        <w:pStyle w:val="Heading2"/>
        <w:spacing w:line="312" w:lineRule="exact"/>
        <w:ind w:left="398" w:right="0"/>
        <w:jc w:val="left"/>
        <w:rPr>
          <w:rFonts w:ascii="宋体" w:hAnsi="宋体" w:cs="宋体" w:eastAsia="宋体" w:hint="default"/>
        </w:rPr>
      </w:pPr>
      <w:r>
        <w:rPr/>
        <w:t>报告期转债累计转股情况</w:t>
      </w:r>
      <w:r>
        <w:rPr>
          <w:rFonts w:ascii="宋体" w:hAnsi="宋体" w:cs="宋体" w:eastAsia="宋体" w:hint="default"/>
        </w:rPr>
        <w:t> </w:t>
      </w:r>
    </w:p>
    <w:p>
      <w:pPr>
        <w:pStyle w:val="Heading2"/>
        <w:spacing w:line="313" w:lineRule="exact"/>
        <w:ind w:left="398"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12"/>
        <w:rPr>
          <w:rFonts w:ascii="宋体" w:hAnsi="宋体" w:cs="宋体" w:eastAsia="宋体" w:hint="default"/>
          <w:sz w:val="2"/>
          <w:szCs w:val="2"/>
        </w:rPr>
      </w:pPr>
    </w:p>
    <w:tbl>
      <w:tblPr>
        <w:tblW w:w="0" w:type="auto"/>
        <w:jc w:val="left"/>
        <w:tblInd w:w="285" w:type="dxa"/>
        <w:tblLayout w:type="fixed"/>
        <w:tblCellMar>
          <w:top w:w="0" w:type="dxa"/>
          <w:left w:w="0" w:type="dxa"/>
          <w:bottom w:w="0" w:type="dxa"/>
          <w:right w:w="0" w:type="dxa"/>
        </w:tblCellMar>
        <w:tblLook w:val="01E0"/>
      </w:tblPr>
      <w:tblGrid>
        <w:gridCol w:w="4525"/>
        <w:gridCol w:w="4525"/>
      </w:tblGrid>
      <w:tr>
        <w:trPr>
          <w:trHeight w:val="324"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报告期转股额（元）</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spacing w:val="-1"/>
                <w:sz w:val="21"/>
              </w:rPr>
              <w:t>79,000</w:t>
            </w:r>
            <w:r>
              <w:rPr>
                <w:rFonts w:ascii="宋体"/>
                <w:sz w:val="21"/>
              </w:rPr>
              <w:t> </w:t>
            </w:r>
          </w:p>
        </w:tc>
      </w:tr>
      <w:tr>
        <w:trPr>
          <w:trHeight w:val="322"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3" w:right="0"/>
              <w:jc w:val="left"/>
              <w:rPr>
                <w:rFonts w:ascii="宋体" w:hAnsi="宋体" w:cs="宋体" w:eastAsia="宋体" w:hint="default"/>
                <w:sz w:val="21"/>
                <w:szCs w:val="21"/>
              </w:rPr>
            </w:pPr>
            <w:r>
              <w:rPr>
                <w:rFonts w:ascii="宋体" w:hAnsi="宋体" w:cs="宋体" w:eastAsia="宋体" w:hint="default"/>
                <w:sz w:val="21"/>
                <w:szCs w:val="21"/>
              </w:rPr>
              <w:t>报告期转股数（股）</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3"/>
              <w:jc w:val="right"/>
              <w:rPr>
                <w:rFonts w:ascii="宋体" w:hAnsi="宋体" w:cs="宋体" w:eastAsia="宋体" w:hint="default"/>
                <w:sz w:val="21"/>
                <w:szCs w:val="21"/>
              </w:rPr>
            </w:pPr>
            <w:r>
              <w:rPr>
                <w:rFonts w:ascii="宋体"/>
                <w:spacing w:val="-1"/>
                <w:sz w:val="21"/>
              </w:rPr>
              <w:t>9,017</w:t>
            </w:r>
            <w:r>
              <w:rPr>
                <w:rFonts w:ascii="宋体"/>
                <w:sz w:val="21"/>
              </w:rPr>
              <w:t> </w:t>
            </w:r>
          </w:p>
        </w:tc>
      </w:tr>
      <w:tr>
        <w:trPr>
          <w:trHeight w:val="322"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累计转股数（股）</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13,441</w:t>
            </w:r>
            <w:r>
              <w:rPr>
                <w:rFonts w:ascii="宋体"/>
                <w:sz w:val="21"/>
              </w:rPr>
              <w:t> </w:t>
            </w:r>
          </w:p>
        </w:tc>
      </w:tr>
      <w:tr>
        <w:trPr>
          <w:trHeight w:val="322"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1"/>
              <w:jc w:val="left"/>
              <w:rPr>
                <w:rFonts w:ascii="宋体" w:hAnsi="宋体" w:cs="宋体" w:eastAsia="宋体" w:hint="default"/>
                <w:sz w:val="21"/>
                <w:szCs w:val="21"/>
              </w:rPr>
            </w:pPr>
            <w:r>
              <w:rPr>
                <w:rFonts w:ascii="宋体" w:hAnsi="宋体" w:cs="宋体" w:eastAsia="宋体" w:hint="default"/>
                <w:sz w:val="21"/>
                <w:szCs w:val="21"/>
              </w:rPr>
              <w:t>累计转股数占转股前公司已发行股份总数（</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0.00076</w:t>
            </w:r>
            <w:r>
              <w:rPr>
                <w:rFonts w:ascii="宋体"/>
                <w:sz w:val="21"/>
              </w:rPr>
              <w:t> </w:t>
            </w:r>
          </w:p>
        </w:tc>
      </w:tr>
      <w:tr>
        <w:trPr>
          <w:trHeight w:val="322"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尚未转股额（元）</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2,999,882,000</w:t>
            </w:r>
            <w:r>
              <w:rPr>
                <w:rFonts w:ascii="宋体"/>
                <w:sz w:val="21"/>
              </w:rPr>
              <w:t> </w:t>
            </w:r>
          </w:p>
        </w:tc>
      </w:tr>
      <w:tr>
        <w:trPr>
          <w:trHeight w:val="324"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未转股转债占转债发行总量比例（</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99.9961</w:t>
            </w:r>
            <w:r>
              <w:rPr>
                <w:rFonts w:ascii="宋体"/>
                <w:sz w:val="21"/>
              </w:rPr>
              <w:t> </w:t>
            </w:r>
          </w:p>
        </w:tc>
      </w:tr>
    </w:tbl>
    <w:p>
      <w:pPr>
        <w:spacing w:after="0" w:line="262" w:lineRule="exact"/>
        <w:jc w:val="right"/>
        <w:rPr>
          <w:rFonts w:ascii="宋体" w:hAnsi="宋体" w:cs="宋体" w:eastAsia="宋体" w:hint="default"/>
          <w:sz w:val="21"/>
          <w:szCs w:val="21"/>
        </w:rPr>
        <w:sectPr>
          <w:type w:val="continuous"/>
          <w:pgSz w:w="11910" w:h="16840"/>
          <w:pgMar w:top="1580" w:bottom="280" w:left="1400" w:right="1040"/>
        </w:sectPr>
      </w:pPr>
    </w:p>
    <w:p>
      <w:pPr>
        <w:pStyle w:val="BodyText"/>
        <w:spacing w:line="262" w:lineRule="exact"/>
        <w:ind w:left="398" w:right="0"/>
        <w:jc w:val="left"/>
        <w:rPr>
          <w:rFonts w:ascii="宋体" w:hAnsi="宋体" w:cs="宋体" w:eastAsia="宋体" w:hint="default"/>
        </w:rPr>
      </w:pPr>
      <w:r>
        <w:rPr>
          <w:rFonts w:ascii="宋体"/>
          <w:w w:val="100"/>
        </w:rPr>
        <w:t> </w:t>
      </w:r>
    </w:p>
    <w:p>
      <w:pPr>
        <w:pStyle w:val="Heading3"/>
        <w:spacing w:line="240" w:lineRule="auto"/>
        <w:ind w:left="398" w:right="-18"/>
        <w:jc w:val="left"/>
        <w:rPr>
          <w:b w:val="0"/>
          <w:bCs w:val="0"/>
        </w:rPr>
      </w:pPr>
      <w:r>
        <w:rPr>
          <w:rFonts w:ascii="Calibri" w:hAnsi="Calibri" w:cs="Calibri" w:eastAsia="Calibri" w:hint="default"/>
        </w:rPr>
        <w:t>(</w:t>
      </w:r>
      <w:r>
        <w:rPr/>
        <w:t>四</w:t>
      </w:r>
      <w:r>
        <w:rPr>
          <w:rFonts w:ascii="Calibri" w:hAnsi="Calibri" w:cs="Calibri" w:eastAsia="Calibri" w:hint="default"/>
        </w:rPr>
        <w:t>)</w:t>
      </w:r>
      <w:r>
        <w:rPr>
          <w:rFonts w:ascii="Calibri" w:hAnsi="Calibri" w:cs="Calibri" w:eastAsia="Calibri" w:hint="default"/>
          <w:spacing w:val="30"/>
        </w:rPr>
        <w:t> </w:t>
      </w:r>
      <w:r>
        <w:rPr/>
        <w:t>转股价格历次调整情况</w:t>
      </w:r>
      <w:r>
        <w:rPr>
          <w:b w:val="0"/>
          <w:bCs w:val="0"/>
        </w:rPr>
      </w:r>
    </w:p>
    <w:p>
      <w:pPr>
        <w:pStyle w:val="Heading2"/>
        <w:spacing w:line="240" w:lineRule="auto" w:before="42"/>
        <w:ind w:left="398"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pStyle w:val="BodyText"/>
        <w:spacing w:line="240" w:lineRule="auto"/>
        <w:ind w:left="398" w:right="0"/>
        <w:jc w:val="left"/>
        <w:rPr>
          <w:rFonts w:ascii="宋体" w:hAnsi="宋体" w:cs="宋体" w:eastAsia="宋体" w:hint="default"/>
        </w:rPr>
      </w:pPr>
      <w:r>
        <w:rPr/>
        <w:t>单位</w:t>
      </w:r>
      <w:r>
        <w:rPr>
          <w:rFonts w:ascii="宋体" w:hAnsi="宋体" w:cs="宋体" w:eastAsia="宋体" w:hint="default"/>
        </w:rPr>
        <w:t>:</w:t>
      </w:r>
      <w:r>
        <w:rPr/>
        <w:t>元币种</w:t>
      </w:r>
      <w:r>
        <w:rPr>
          <w:rFonts w:ascii="宋体" w:hAnsi="宋体" w:cs="宋体" w:eastAsia="宋体" w:hint="default"/>
        </w:rPr>
        <w:t>:</w:t>
      </w:r>
      <w:r>
        <w:rPr/>
        <w:t>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580" w:bottom="280" w:left="1400" w:right="1040"/>
          <w:cols w:num="2" w:equalWidth="0">
            <w:col w:w="2928" w:space="4014"/>
            <w:col w:w="2528"/>
          </w:cols>
        </w:sectPr>
      </w:pPr>
    </w:p>
    <w:p>
      <w:pPr>
        <w:spacing w:line="240" w:lineRule="auto" w:before="10"/>
        <w:rPr>
          <w:rFonts w:ascii="宋体" w:hAnsi="宋体" w:cs="宋体" w:eastAsia="宋体" w:hint="default"/>
          <w:sz w:val="3"/>
          <w:szCs w:val="3"/>
        </w:rPr>
      </w:pPr>
    </w:p>
    <w:tbl>
      <w:tblPr>
        <w:tblW w:w="0" w:type="auto"/>
        <w:jc w:val="left"/>
        <w:tblInd w:w="110" w:type="dxa"/>
        <w:tblLayout w:type="fixed"/>
        <w:tblCellMar>
          <w:top w:w="0" w:type="dxa"/>
          <w:left w:w="0" w:type="dxa"/>
          <w:bottom w:w="0" w:type="dxa"/>
          <w:right w:w="0" w:type="dxa"/>
        </w:tblCellMar>
        <w:tblLook w:val="01E0"/>
      </w:tblPr>
      <w:tblGrid>
        <w:gridCol w:w="1910"/>
        <w:gridCol w:w="1069"/>
        <w:gridCol w:w="1841"/>
        <w:gridCol w:w="2127"/>
        <w:gridCol w:w="2278"/>
      </w:tblGrid>
      <w:tr>
        <w:trPr>
          <w:trHeight w:val="634" w:hRule="exact"/>
        </w:trPr>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center"/>
              <w:rPr>
                <w:rFonts w:ascii="宋体" w:hAnsi="宋体" w:cs="宋体" w:eastAsia="宋体" w:hint="default"/>
                <w:sz w:val="21"/>
                <w:szCs w:val="21"/>
              </w:rPr>
            </w:pPr>
            <w:r>
              <w:rPr>
                <w:rFonts w:ascii="宋体" w:hAnsi="宋体" w:cs="宋体" w:eastAsia="宋体" w:hint="default"/>
                <w:sz w:val="21"/>
                <w:szCs w:val="21"/>
              </w:rPr>
              <w:t>转股价格调整日</w:t>
            </w:r>
            <w:r>
              <w:rPr>
                <w:rFonts w:ascii="宋体" w:hAnsi="宋体" w:cs="宋体" w:eastAsia="宋体" w:hint="default"/>
                <w:sz w:val="21"/>
                <w:szCs w:val="21"/>
              </w:rPr>
              <w:t> </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11" w:right="106" w:hanging="104"/>
              <w:jc w:val="left"/>
              <w:rPr>
                <w:rFonts w:ascii="宋体" w:hAnsi="宋体" w:cs="宋体" w:eastAsia="宋体" w:hint="default"/>
                <w:sz w:val="21"/>
                <w:szCs w:val="21"/>
              </w:rPr>
            </w:pPr>
            <w:r>
              <w:rPr>
                <w:rFonts w:ascii="宋体" w:hAnsi="宋体" w:cs="宋体" w:eastAsia="宋体" w:hint="default"/>
                <w:sz w:val="21"/>
                <w:szCs w:val="21"/>
              </w:rPr>
              <w:t>调整后转</w:t>
            </w:r>
            <w:r>
              <w:rPr>
                <w:rFonts w:ascii="宋体" w:hAnsi="宋体" w:cs="宋体" w:eastAsia="宋体" w:hint="default"/>
                <w:w w:val="100"/>
                <w:sz w:val="21"/>
                <w:szCs w:val="21"/>
              </w:rPr>
              <w:t> </w:t>
            </w:r>
            <w:r>
              <w:rPr>
                <w:rFonts w:ascii="宋体" w:hAnsi="宋体" w:cs="宋体" w:eastAsia="宋体" w:hint="default"/>
                <w:sz w:val="21"/>
                <w:szCs w:val="21"/>
              </w:rPr>
              <w:t>股价格</w:t>
            </w:r>
            <w:r>
              <w:rPr>
                <w:rFonts w:ascii="宋体" w:hAnsi="宋体" w:cs="宋体" w:eastAsia="宋体" w:hint="default"/>
                <w:sz w:val="21"/>
                <w:szCs w:val="21"/>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center"/>
              <w:rPr>
                <w:rFonts w:ascii="宋体" w:hAnsi="宋体" w:cs="宋体" w:eastAsia="宋体" w:hint="default"/>
                <w:sz w:val="21"/>
                <w:szCs w:val="21"/>
              </w:rPr>
            </w:pPr>
            <w:r>
              <w:rPr>
                <w:rFonts w:ascii="宋体" w:hAnsi="宋体" w:cs="宋体" w:eastAsia="宋体" w:hint="default"/>
                <w:sz w:val="21"/>
                <w:szCs w:val="21"/>
              </w:rPr>
              <w:t>披露时间</w:t>
            </w:r>
            <w:r>
              <w:rPr>
                <w:rFonts w:ascii="宋体" w:hAnsi="宋体" w:cs="宋体" w:eastAsia="宋体" w:hint="default"/>
                <w:sz w:val="21"/>
                <w:szCs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638" w:right="0"/>
              <w:jc w:val="left"/>
              <w:rPr>
                <w:rFonts w:ascii="宋体" w:hAnsi="宋体" w:cs="宋体" w:eastAsia="宋体" w:hint="default"/>
                <w:sz w:val="21"/>
                <w:szCs w:val="21"/>
              </w:rPr>
            </w:pPr>
            <w:r>
              <w:rPr>
                <w:rFonts w:ascii="宋体" w:hAnsi="宋体" w:cs="宋体" w:eastAsia="宋体" w:hint="default"/>
                <w:sz w:val="21"/>
                <w:szCs w:val="21"/>
              </w:rPr>
              <w:t>披露媒体</w:t>
            </w:r>
            <w:r>
              <w:rPr>
                <w:rFonts w:ascii="宋体" w:hAnsi="宋体" w:cs="宋体" w:eastAsia="宋体" w:hint="default"/>
                <w:sz w:val="21"/>
                <w:szCs w:val="21"/>
              </w:rPr>
              <w:t> </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924" w:right="396" w:hanging="421"/>
              <w:jc w:val="left"/>
              <w:rPr>
                <w:rFonts w:ascii="宋体" w:hAnsi="宋体" w:cs="宋体" w:eastAsia="宋体" w:hint="default"/>
                <w:sz w:val="21"/>
                <w:szCs w:val="21"/>
              </w:rPr>
            </w:pPr>
            <w:r>
              <w:rPr>
                <w:rFonts w:ascii="宋体" w:hAnsi="宋体" w:cs="宋体" w:eastAsia="宋体" w:hint="default"/>
                <w:sz w:val="21"/>
                <w:szCs w:val="21"/>
              </w:rPr>
              <w:t>转股价格调整</w:t>
            </w:r>
            <w:r>
              <w:rPr>
                <w:rFonts w:ascii="宋体" w:hAnsi="宋体" w:cs="宋体" w:eastAsia="宋体" w:hint="default"/>
                <w:w w:val="100"/>
                <w:sz w:val="21"/>
                <w:szCs w:val="21"/>
              </w:rPr>
              <w:t> </w:t>
            </w:r>
            <w:r>
              <w:rPr>
                <w:rFonts w:ascii="宋体" w:hAnsi="宋体" w:cs="宋体" w:eastAsia="宋体" w:hint="default"/>
                <w:sz w:val="21"/>
                <w:szCs w:val="21"/>
              </w:rPr>
              <w:t>说明</w:t>
            </w:r>
            <w:r>
              <w:rPr>
                <w:rFonts w:ascii="宋体" w:hAnsi="宋体" w:cs="宋体" w:eastAsia="宋体" w:hint="default"/>
                <w:sz w:val="21"/>
                <w:szCs w:val="21"/>
              </w:rPr>
              <w:t> </w:t>
            </w:r>
          </w:p>
        </w:tc>
      </w:tr>
      <w:tr>
        <w:trPr>
          <w:trHeight w:val="1258" w:hRule="exact"/>
        </w:trPr>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00" w:right="0"/>
              <w:jc w:val="center"/>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18</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215"/>
              <w:jc w:val="right"/>
              <w:rPr>
                <w:rFonts w:ascii="宋体" w:hAnsi="宋体" w:cs="宋体" w:eastAsia="宋体" w:hint="default"/>
                <w:sz w:val="21"/>
                <w:szCs w:val="21"/>
              </w:rPr>
            </w:pPr>
            <w:r>
              <w:rPr>
                <w:rFonts w:ascii="宋体"/>
                <w:spacing w:val="-1"/>
                <w:sz w:val="21"/>
              </w:rPr>
              <w:t>8.76</w:t>
            </w:r>
            <w:r>
              <w:rPr>
                <w:rFonts w:ascii="宋体"/>
                <w:sz w:val="21"/>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00" w:right="-3"/>
              <w:jc w:val="center"/>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2"/>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8"/>
              <w:jc w:val="both"/>
              <w:rPr>
                <w:rFonts w:ascii="宋体" w:hAnsi="宋体" w:cs="宋体" w:eastAsia="宋体" w:hint="default"/>
                <w:sz w:val="21"/>
                <w:szCs w:val="21"/>
              </w:rPr>
            </w:pPr>
            <w:r>
              <w:rPr>
                <w:rFonts w:ascii="宋体" w:hAnsi="宋体" w:cs="宋体" w:eastAsia="宋体" w:hint="default"/>
                <w:spacing w:val="-21"/>
                <w:w w:val="100"/>
                <w:sz w:val="21"/>
                <w:szCs w:val="21"/>
              </w:rPr>
              <w:t>《上海证券报》、《证</w:t>
            </w:r>
            <w:r>
              <w:rPr>
                <w:rFonts w:ascii="宋体" w:hAnsi="宋体" w:cs="宋体" w:eastAsia="宋体" w:hint="default"/>
                <w:spacing w:val="-99"/>
                <w:w w:val="100"/>
                <w:sz w:val="21"/>
                <w:szCs w:val="21"/>
              </w:rPr>
              <w:t> </w:t>
            </w:r>
            <w:r>
              <w:rPr>
                <w:rFonts w:ascii="宋体" w:hAnsi="宋体" w:cs="宋体" w:eastAsia="宋体" w:hint="default"/>
                <w:spacing w:val="-99"/>
                <w:w w:val="100"/>
                <w:sz w:val="21"/>
                <w:szCs w:val="21"/>
              </w:rPr>
            </w:r>
            <w:r>
              <w:rPr>
                <w:rFonts w:ascii="宋体" w:hAnsi="宋体" w:cs="宋体" w:eastAsia="宋体" w:hint="default"/>
                <w:sz w:val="21"/>
                <w:szCs w:val="21"/>
              </w:rPr>
              <w:t>券时报》和上海证券</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交  易  所  网 </w:t>
            </w:r>
            <w:r>
              <w:rPr>
                <w:rFonts w:ascii="宋体" w:hAnsi="宋体" w:cs="宋体" w:eastAsia="宋体" w:hint="default"/>
                <w:spacing w:val="19"/>
                <w:sz w:val="21"/>
                <w:szCs w:val="21"/>
              </w:rPr>
              <w:t> </w:t>
            </w:r>
            <w:r>
              <w:rPr>
                <w:rFonts w:ascii="宋体" w:hAnsi="宋体" w:cs="宋体" w:eastAsia="宋体" w:hint="default"/>
                <w:sz w:val="21"/>
                <w:szCs w:val="21"/>
              </w:rPr>
              <w:t>站</w:t>
            </w:r>
          </w:p>
          <w:p>
            <w:pPr>
              <w:pStyle w:val="TableParagraph"/>
              <w:spacing w:line="240" w:lineRule="auto" w:before="7"/>
              <w:ind w:left="103" w:right="0"/>
              <w:jc w:val="both"/>
              <w:rPr>
                <w:rFonts w:ascii="宋体" w:hAnsi="宋体" w:cs="宋体" w:eastAsia="宋体" w:hint="default"/>
                <w:sz w:val="21"/>
                <w:szCs w:val="21"/>
              </w:rPr>
            </w:pPr>
            <w:r>
              <w:rPr>
                <w:rFonts w:ascii="宋体" w:hAnsi="宋体" w:cs="宋体" w:eastAsia="宋体" w:hint="default"/>
                <w:sz w:val="21"/>
                <w:szCs w:val="21"/>
              </w:rPr>
              <w:t>（</w:t>
            </w:r>
            <w:hyperlink r:id="rId16">
              <w:r>
                <w:rPr>
                  <w:rFonts w:ascii="宋体" w:hAnsi="宋体" w:cs="宋体" w:eastAsia="宋体" w:hint="default"/>
                  <w:sz w:val="21"/>
                  <w:szCs w:val="21"/>
                </w:rPr>
                <w:t>www.sse.com.cn</w:t>
              </w:r>
            </w:hyperlink>
            <w:r>
              <w:rPr>
                <w:rFonts w:ascii="宋体" w:hAnsi="宋体" w:cs="宋体" w:eastAsia="宋体" w:hint="default"/>
                <w:sz w:val="21"/>
                <w:szCs w:val="21"/>
              </w:rPr>
              <w:t>）</w:t>
            </w:r>
            <w:r>
              <w:rPr>
                <w:rFonts w:ascii="宋体" w:hAnsi="宋体" w:cs="宋体" w:eastAsia="宋体" w:hint="default"/>
                <w:sz w:val="21"/>
                <w:szCs w:val="21"/>
              </w:rPr>
              <w:t> </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8"/>
              <w:jc w:val="both"/>
              <w:rPr>
                <w:rFonts w:ascii="宋体" w:hAnsi="宋体" w:cs="宋体" w:eastAsia="宋体" w:hint="default"/>
                <w:sz w:val="21"/>
                <w:szCs w:val="21"/>
              </w:rPr>
            </w:pPr>
            <w:r>
              <w:rPr>
                <w:rFonts w:ascii="宋体" w:hAnsi="宋体" w:cs="宋体" w:eastAsia="宋体" w:hint="default"/>
                <w:sz w:val="21"/>
                <w:szCs w:val="21"/>
              </w:rPr>
              <w:t>因实施 </w:t>
            </w:r>
            <w:r>
              <w:rPr>
                <w:rFonts w:ascii="宋体" w:hAnsi="宋体" w:cs="宋体" w:eastAsia="宋体" w:hint="default"/>
                <w:sz w:val="21"/>
                <w:szCs w:val="21"/>
              </w:rPr>
              <w:t>2017</w:t>
            </w:r>
            <w:r>
              <w:rPr>
                <w:rFonts w:ascii="宋体" w:hAnsi="宋体" w:cs="宋体" w:eastAsia="宋体" w:hint="default"/>
                <w:spacing w:val="-40"/>
                <w:sz w:val="21"/>
                <w:szCs w:val="21"/>
              </w:rPr>
              <w:t> </w:t>
            </w:r>
            <w:r>
              <w:rPr>
                <w:rFonts w:ascii="宋体" w:hAnsi="宋体" w:cs="宋体" w:eastAsia="宋体" w:hint="default"/>
                <w:sz w:val="21"/>
                <w:szCs w:val="21"/>
              </w:rPr>
              <w:t>年利润分</w:t>
            </w:r>
            <w:r>
              <w:rPr>
                <w:rFonts w:ascii="宋体" w:hAnsi="宋体" w:cs="宋体" w:eastAsia="宋体" w:hint="default"/>
                <w:w w:val="100"/>
                <w:sz w:val="21"/>
                <w:szCs w:val="21"/>
              </w:rPr>
              <w:t> </w:t>
            </w:r>
            <w:r>
              <w:rPr>
                <w:rFonts w:ascii="宋体" w:hAnsi="宋体" w:cs="宋体" w:eastAsia="宋体" w:hint="default"/>
                <w:spacing w:val="-5"/>
                <w:sz w:val="21"/>
                <w:szCs w:val="21"/>
              </w:rPr>
              <w:t>配方案，“林洋转债”</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的转股价格由</w:t>
            </w:r>
            <w:r>
              <w:rPr>
                <w:rFonts w:ascii="宋体" w:hAnsi="宋体" w:cs="宋体" w:eastAsia="宋体" w:hint="default"/>
                <w:spacing w:val="-70"/>
                <w:sz w:val="21"/>
                <w:szCs w:val="21"/>
              </w:rPr>
              <w:t> </w:t>
            </w:r>
            <w:r>
              <w:rPr>
                <w:rFonts w:ascii="宋体" w:hAnsi="宋体" w:cs="宋体" w:eastAsia="宋体" w:hint="default"/>
                <w:sz w:val="21"/>
                <w:szCs w:val="21"/>
              </w:rPr>
              <w:t>8.80</w:t>
            </w:r>
            <w:r>
              <w:rPr>
                <w:rFonts w:ascii="宋体" w:hAnsi="宋体" w:cs="宋体" w:eastAsia="宋体" w:hint="default"/>
                <w:spacing w:val="-73"/>
                <w:sz w:val="21"/>
                <w:szCs w:val="21"/>
              </w:rPr>
              <w:t> </w:t>
            </w:r>
            <w:r>
              <w:rPr>
                <w:rFonts w:ascii="宋体" w:hAnsi="宋体" w:cs="宋体" w:eastAsia="宋体" w:hint="default"/>
                <w:sz w:val="21"/>
                <w:szCs w:val="21"/>
              </w:rPr>
              <w:t>元</w:t>
            </w:r>
            <w:r>
              <w:rPr>
                <w:rFonts w:ascii="宋体" w:hAnsi="宋体" w:cs="宋体" w:eastAsia="宋体" w:hint="default"/>
                <w:sz w:val="21"/>
                <w:szCs w:val="21"/>
              </w:rPr>
              <w:t>/</w:t>
            </w:r>
          </w:p>
          <w:p>
            <w:pPr>
              <w:pStyle w:val="TableParagraph"/>
              <w:spacing w:line="240" w:lineRule="auto" w:before="7"/>
              <w:ind w:left="103" w:right="0"/>
              <w:jc w:val="both"/>
              <w:rPr>
                <w:rFonts w:ascii="宋体" w:hAnsi="宋体" w:cs="宋体" w:eastAsia="宋体" w:hint="default"/>
                <w:sz w:val="21"/>
                <w:szCs w:val="21"/>
              </w:rPr>
            </w:pPr>
            <w:r>
              <w:rPr>
                <w:rFonts w:ascii="宋体" w:hAnsi="宋体" w:cs="宋体" w:eastAsia="宋体" w:hint="default"/>
                <w:sz w:val="21"/>
                <w:szCs w:val="21"/>
              </w:rPr>
              <w:t>股调整为</w:t>
            </w:r>
            <w:r>
              <w:rPr>
                <w:rFonts w:ascii="宋体" w:hAnsi="宋体" w:cs="宋体" w:eastAsia="宋体" w:hint="default"/>
                <w:spacing w:val="-50"/>
                <w:sz w:val="21"/>
                <w:szCs w:val="21"/>
              </w:rPr>
              <w:t> </w:t>
            </w:r>
            <w:r>
              <w:rPr>
                <w:rFonts w:ascii="宋体" w:hAnsi="宋体" w:cs="宋体" w:eastAsia="宋体" w:hint="default"/>
                <w:sz w:val="21"/>
                <w:szCs w:val="21"/>
              </w:rPr>
              <w:t>8.76</w:t>
            </w:r>
            <w:r>
              <w:rPr>
                <w:rFonts w:ascii="宋体" w:hAnsi="宋体" w:cs="宋体" w:eastAsia="宋体" w:hint="default"/>
                <w:spacing w:val="-53"/>
                <w:sz w:val="21"/>
                <w:szCs w:val="21"/>
              </w:rPr>
              <w:t> </w:t>
            </w:r>
            <w:r>
              <w:rPr>
                <w:rFonts w:ascii="宋体" w:hAnsi="宋体" w:cs="宋体" w:eastAsia="宋体" w:hint="default"/>
                <w:spacing w:val="-11"/>
                <w:sz w:val="21"/>
                <w:szCs w:val="21"/>
              </w:rPr>
              <w:t>元</w:t>
            </w:r>
            <w:r>
              <w:rPr>
                <w:rFonts w:ascii="宋体" w:hAnsi="宋体" w:cs="宋体" w:eastAsia="宋体" w:hint="default"/>
                <w:spacing w:val="-11"/>
                <w:sz w:val="21"/>
                <w:szCs w:val="21"/>
              </w:rPr>
              <w:t>/</w:t>
            </w:r>
            <w:r>
              <w:rPr>
                <w:rFonts w:ascii="宋体" w:hAnsi="宋体" w:cs="宋体" w:eastAsia="宋体" w:hint="default"/>
                <w:spacing w:val="-11"/>
                <w:sz w:val="21"/>
                <w:szCs w:val="21"/>
              </w:rPr>
              <w:t>股。</w:t>
            </w:r>
            <w:r>
              <w:rPr>
                <w:rFonts w:ascii="宋体" w:hAnsi="宋体" w:cs="宋体" w:eastAsia="宋体" w:hint="default"/>
                <w:sz w:val="21"/>
                <w:szCs w:val="21"/>
              </w:rPr>
              <w:t> </w:t>
            </w:r>
          </w:p>
        </w:tc>
      </w:tr>
      <w:tr>
        <w:trPr>
          <w:trHeight w:val="1258" w:hRule="exact"/>
        </w:trPr>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00" w:right="0"/>
              <w:jc w:val="center"/>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19</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215"/>
              <w:jc w:val="right"/>
              <w:rPr>
                <w:rFonts w:ascii="宋体" w:hAnsi="宋体" w:cs="宋体" w:eastAsia="宋体" w:hint="default"/>
                <w:sz w:val="21"/>
                <w:szCs w:val="21"/>
              </w:rPr>
            </w:pPr>
            <w:r>
              <w:rPr>
                <w:rFonts w:ascii="宋体"/>
                <w:spacing w:val="-1"/>
                <w:sz w:val="21"/>
              </w:rPr>
              <w:t>8.59</w:t>
            </w:r>
            <w:r>
              <w:rPr>
                <w:rFonts w:ascii="宋体"/>
                <w:sz w:val="21"/>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00" w:right="-3"/>
              <w:jc w:val="center"/>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2"/>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8"/>
              <w:jc w:val="both"/>
              <w:rPr>
                <w:rFonts w:ascii="宋体" w:hAnsi="宋体" w:cs="宋体" w:eastAsia="宋体" w:hint="default"/>
                <w:sz w:val="21"/>
                <w:szCs w:val="21"/>
              </w:rPr>
            </w:pPr>
            <w:r>
              <w:rPr>
                <w:rFonts w:ascii="宋体" w:hAnsi="宋体" w:cs="宋体" w:eastAsia="宋体" w:hint="default"/>
                <w:spacing w:val="-21"/>
                <w:w w:val="100"/>
                <w:sz w:val="21"/>
                <w:szCs w:val="21"/>
              </w:rPr>
              <w:t>《上海证券报》、《证</w:t>
            </w:r>
            <w:r>
              <w:rPr>
                <w:rFonts w:ascii="宋体" w:hAnsi="宋体" w:cs="宋体" w:eastAsia="宋体" w:hint="default"/>
                <w:spacing w:val="-99"/>
                <w:w w:val="100"/>
                <w:sz w:val="21"/>
                <w:szCs w:val="21"/>
              </w:rPr>
              <w:t> </w:t>
            </w:r>
            <w:r>
              <w:rPr>
                <w:rFonts w:ascii="宋体" w:hAnsi="宋体" w:cs="宋体" w:eastAsia="宋体" w:hint="default"/>
                <w:spacing w:val="-99"/>
                <w:w w:val="100"/>
                <w:sz w:val="21"/>
                <w:szCs w:val="21"/>
              </w:rPr>
            </w:r>
            <w:r>
              <w:rPr>
                <w:rFonts w:ascii="宋体" w:hAnsi="宋体" w:cs="宋体" w:eastAsia="宋体" w:hint="default"/>
                <w:sz w:val="21"/>
                <w:szCs w:val="21"/>
              </w:rPr>
              <w:t>券时报》和上海证券</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交  易  所  网 </w:t>
            </w:r>
            <w:r>
              <w:rPr>
                <w:rFonts w:ascii="宋体" w:hAnsi="宋体" w:cs="宋体" w:eastAsia="宋体" w:hint="default"/>
                <w:spacing w:val="19"/>
                <w:sz w:val="21"/>
                <w:szCs w:val="21"/>
              </w:rPr>
              <w:t> </w:t>
            </w:r>
            <w:r>
              <w:rPr>
                <w:rFonts w:ascii="宋体" w:hAnsi="宋体" w:cs="宋体" w:eastAsia="宋体" w:hint="default"/>
                <w:sz w:val="21"/>
                <w:szCs w:val="21"/>
              </w:rPr>
              <w:t>站</w:t>
            </w:r>
          </w:p>
          <w:p>
            <w:pPr>
              <w:pStyle w:val="TableParagraph"/>
              <w:spacing w:line="240" w:lineRule="auto" w:before="7"/>
              <w:ind w:left="103" w:right="0"/>
              <w:jc w:val="both"/>
              <w:rPr>
                <w:rFonts w:ascii="宋体" w:hAnsi="宋体" w:cs="宋体" w:eastAsia="宋体" w:hint="default"/>
                <w:sz w:val="21"/>
                <w:szCs w:val="21"/>
              </w:rPr>
            </w:pPr>
            <w:r>
              <w:rPr>
                <w:rFonts w:ascii="宋体" w:hAnsi="宋体" w:cs="宋体" w:eastAsia="宋体" w:hint="default"/>
                <w:sz w:val="21"/>
                <w:szCs w:val="21"/>
              </w:rPr>
              <w:t>（</w:t>
            </w:r>
            <w:hyperlink r:id="rId16">
              <w:r>
                <w:rPr>
                  <w:rFonts w:ascii="宋体" w:hAnsi="宋体" w:cs="宋体" w:eastAsia="宋体" w:hint="default"/>
                  <w:sz w:val="21"/>
                  <w:szCs w:val="21"/>
                </w:rPr>
                <w:t>www.sse.com.cn</w:t>
              </w:r>
            </w:hyperlink>
            <w:r>
              <w:rPr>
                <w:rFonts w:ascii="宋体" w:hAnsi="宋体" w:cs="宋体" w:eastAsia="宋体" w:hint="default"/>
                <w:sz w:val="21"/>
                <w:szCs w:val="21"/>
              </w:rPr>
              <w:t>）</w:t>
            </w:r>
            <w:r>
              <w:rPr>
                <w:rFonts w:ascii="宋体" w:hAnsi="宋体" w:cs="宋体" w:eastAsia="宋体" w:hint="default"/>
                <w:sz w:val="21"/>
                <w:szCs w:val="21"/>
              </w:rPr>
              <w:t> </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8"/>
              <w:jc w:val="both"/>
              <w:rPr>
                <w:rFonts w:ascii="宋体" w:hAnsi="宋体" w:cs="宋体" w:eastAsia="宋体" w:hint="default"/>
                <w:sz w:val="21"/>
                <w:szCs w:val="21"/>
              </w:rPr>
            </w:pPr>
            <w:r>
              <w:rPr>
                <w:rFonts w:ascii="宋体" w:hAnsi="宋体" w:cs="宋体" w:eastAsia="宋体" w:hint="default"/>
                <w:sz w:val="21"/>
                <w:szCs w:val="21"/>
              </w:rPr>
              <w:t>因实施 </w:t>
            </w:r>
            <w:r>
              <w:rPr>
                <w:rFonts w:ascii="宋体" w:hAnsi="宋体" w:cs="宋体" w:eastAsia="宋体" w:hint="default"/>
                <w:sz w:val="21"/>
                <w:szCs w:val="21"/>
              </w:rPr>
              <w:t>2018</w:t>
            </w:r>
            <w:r>
              <w:rPr>
                <w:rFonts w:ascii="宋体" w:hAnsi="宋体" w:cs="宋体" w:eastAsia="宋体" w:hint="default"/>
                <w:spacing w:val="-40"/>
                <w:sz w:val="21"/>
                <w:szCs w:val="21"/>
              </w:rPr>
              <w:t> </w:t>
            </w:r>
            <w:r>
              <w:rPr>
                <w:rFonts w:ascii="宋体" w:hAnsi="宋体" w:cs="宋体" w:eastAsia="宋体" w:hint="default"/>
                <w:sz w:val="21"/>
                <w:szCs w:val="21"/>
              </w:rPr>
              <w:t>利润分配</w:t>
            </w:r>
            <w:r>
              <w:rPr>
                <w:rFonts w:ascii="宋体" w:hAnsi="宋体" w:cs="宋体" w:eastAsia="宋体" w:hint="default"/>
                <w:w w:val="100"/>
                <w:sz w:val="21"/>
                <w:szCs w:val="21"/>
              </w:rPr>
              <w:t> </w:t>
            </w:r>
            <w:r>
              <w:rPr>
                <w:rFonts w:ascii="宋体" w:hAnsi="宋体" w:cs="宋体" w:eastAsia="宋体" w:hint="default"/>
                <w:spacing w:val="-6"/>
                <w:sz w:val="21"/>
                <w:szCs w:val="21"/>
              </w:rPr>
              <w:t>方案，“林洋转债”的</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转股价格由 </w:t>
            </w:r>
            <w:r>
              <w:rPr>
                <w:rFonts w:ascii="宋体" w:hAnsi="宋体" w:cs="宋体" w:eastAsia="宋体" w:hint="default"/>
                <w:sz w:val="21"/>
                <w:szCs w:val="21"/>
              </w:rPr>
              <w:t>8.76</w:t>
            </w:r>
            <w:r>
              <w:rPr>
                <w:rFonts w:ascii="宋体" w:hAnsi="宋体" w:cs="宋体" w:eastAsia="宋体" w:hint="default"/>
                <w:spacing w:val="-37"/>
                <w:sz w:val="21"/>
                <w:szCs w:val="21"/>
              </w:rPr>
              <w:t> </w:t>
            </w:r>
            <w:r>
              <w:rPr>
                <w:rFonts w:ascii="宋体" w:hAnsi="宋体" w:cs="宋体" w:eastAsia="宋体" w:hint="default"/>
                <w:spacing w:val="-3"/>
                <w:sz w:val="21"/>
                <w:szCs w:val="21"/>
              </w:rPr>
              <w:t>股调</w:t>
            </w:r>
            <w:r>
              <w:rPr>
                <w:rFonts w:ascii="宋体" w:hAnsi="宋体" w:cs="宋体" w:eastAsia="宋体" w:hint="default"/>
                <w:sz w:val="21"/>
                <w:szCs w:val="21"/>
              </w:rPr>
            </w:r>
          </w:p>
          <w:p>
            <w:pPr>
              <w:pStyle w:val="TableParagraph"/>
              <w:spacing w:line="240" w:lineRule="auto" w:before="7"/>
              <w:ind w:left="103" w:right="0"/>
              <w:jc w:val="both"/>
              <w:rPr>
                <w:rFonts w:ascii="宋体" w:hAnsi="宋体" w:cs="宋体" w:eastAsia="宋体" w:hint="default"/>
                <w:sz w:val="21"/>
                <w:szCs w:val="21"/>
              </w:rPr>
            </w:pPr>
            <w:r>
              <w:rPr>
                <w:rFonts w:ascii="宋体" w:hAnsi="宋体" w:cs="宋体" w:eastAsia="宋体" w:hint="default"/>
                <w:sz w:val="21"/>
                <w:szCs w:val="21"/>
              </w:rPr>
              <w:t>整为</w:t>
            </w:r>
            <w:r>
              <w:rPr>
                <w:rFonts w:ascii="宋体" w:hAnsi="宋体" w:cs="宋体" w:eastAsia="宋体" w:hint="default"/>
                <w:spacing w:val="-53"/>
                <w:sz w:val="21"/>
                <w:szCs w:val="21"/>
              </w:rPr>
              <w:t> </w:t>
            </w:r>
            <w:r>
              <w:rPr>
                <w:rFonts w:ascii="宋体" w:hAnsi="宋体" w:cs="宋体" w:eastAsia="宋体" w:hint="default"/>
                <w:sz w:val="21"/>
                <w:szCs w:val="21"/>
              </w:rPr>
              <w:t>8.59</w:t>
            </w:r>
            <w:r>
              <w:rPr>
                <w:rFonts w:ascii="宋体" w:hAnsi="宋体" w:cs="宋体" w:eastAsia="宋体" w:hint="default"/>
                <w:spacing w:val="-55"/>
                <w:sz w:val="21"/>
                <w:szCs w:val="21"/>
              </w:rPr>
              <w:t> </w:t>
            </w:r>
            <w:r>
              <w:rPr>
                <w:rFonts w:ascii="宋体" w:hAnsi="宋体" w:cs="宋体" w:eastAsia="宋体" w:hint="default"/>
                <w:sz w:val="21"/>
                <w:szCs w:val="21"/>
              </w:rPr>
              <w:t>股。</w:t>
            </w:r>
            <w:r>
              <w:rPr>
                <w:rFonts w:ascii="宋体" w:hAnsi="宋体" w:cs="宋体" w:eastAsia="宋体" w:hint="default"/>
                <w:sz w:val="21"/>
                <w:szCs w:val="21"/>
              </w:rPr>
              <w:t> </w:t>
            </w:r>
          </w:p>
        </w:tc>
      </w:tr>
      <w:tr>
        <w:trPr>
          <w:trHeight w:val="322" w:hRule="exact"/>
        </w:trPr>
        <w:tc>
          <w:tcPr>
            <w:tcW w:w="2979"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截止本报告期末最新转股价格</w:t>
            </w:r>
            <w:r>
              <w:rPr>
                <w:rFonts w:ascii="宋体" w:hAnsi="宋体" w:cs="宋体" w:eastAsia="宋体" w:hint="default"/>
                <w:sz w:val="21"/>
                <w:szCs w:val="21"/>
              </w:rPr>
              <w:t> </w:t>
            </w:r>
          </w:p>
        </w:tc>
        <w:tc>
          <w:tcPr>
            <w:tcW w:w="6246" w:type="dxa"/>
            <w:gridSpan w:val="3"/>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8.59</w:t>
            </w:r>
            <w:r>
              <w:rPr>
                <w:rFonts w:ascii="宋体"/>
                <w:sz w:val="21"/>
              </w:rPr>
              <w:t> </w:t>
            </w:r>
          </w:p>
        </w:tc>
      </w:tr>
    </w:tbl>
    <w:p>
      <w:pPr>
        <w:spacing w:after="0" w:line="262" w:lineRule="exact"/>
        <w:jc w:val="right"/>
        <w:rPr>
          <w:rFonts w:ascii="宋体" w:hAnsi="宋体" w:cs="宋体" w:eastAsia="宋体" w:hint="default"/>
          <w:sz w:val="21"/>
          <w:szCs w:val="21"/>
        </w:rPr>
        <w:sectPr>
          <w:type w:val="continuous"/>
          <w:pgSz w:w="11910" w:h="16840"/>
          <w:pgMar w:top="1580" w:bottom="280" w:left="1400" w:right="1040"/>
        </w:sectPr>
      </w:pPr>
    </w:p>
    <w:p>
      <w:pPr>
        <w:spacing w:line="240" w:lineRule="auto" w:before="4"/>
        <w:rPr>
          <w:rFonts w:ascii="宋体" w:hAnsi="宋体" w:cs="宋体" w:eastAsia="宋体" w:hint="default"/>
          <w:sz w:val="24"/>
          <w:szCs w:val="24"/>
        </w:rPr>
      </w:pPr>
    </w:p>
    <w:p>
      <w:pPr>
        <w:pStyle w:val="Heading2"/>
        <w:spacing w:line="240" w:lineRule="auto" w:before="26"/>
        <w:ind w:right="0"/>
        <w:jc w:val="left"/>
        <w:rPr>
          <w:rFonts w:ascii="宋体" w:hAnsi="宋体" w:cs="宋体" w:eastAsia="宋体" w:hint="default"/>
        </w:rPr>
      </w:pPr>
      <w:r>
        <w:rPr>
          <w:rFonts w:ascii="宋体"/>
        </w:rPr>
        <w:t> </w:t>
      </w:r>
    </w:p>
    <w:p>
      <w:pPr>
        <w:pStyle w:val="Heading3"/>
        <w:spacing w:line="240" w:lineRule="auto" w:before="85"/>
        <w:ind w:right="0"/>
        <w:jc w:val="left"/>
        <w:rPr>
          <w:b w:val="0"/>
          <w:bCs w:val="0"/>
        </w:rPr>
      </w:pPr>
      <w:r>
        <w:rPr>
          <w:rFonts w:ascii="Calibri" w:hAnsi="Calibri" w:cs="Calibri" w:eastAsia="Calibri" w:hint="default"/>
        </w:rPr>
        <w:t>(</w:t>
      </w:r>
      <w:r>
        <w:rPr/>
        <w:t>五</w:t>
      </w:r>
      <w:r>
        <w:rPr>
          <w:rFonts w:ascii="Calibri" w:hAnsi="Calibri" w:cs="Calibri" w:eastAsia="Calibri" w:hint="default"/>
        </w:rPr>
        <w:t>)</w:t>
      </w:r>
      <w:r>
        <w:rPr>
          <w:rFonts w:ascii="Calibri" w:hAnsi="Calibri" w:cs="Calibri" w:eastAsia="Calibri" w:hint="default"/>
          <w:spacing w:val="27"/>
        </w:rPr>
        <w:t> </w:t>
      </w:r>
      <w:r>
        <w:rPr/>
        <w:t>公司的负债情况、资信变化情况及在未来年度还债的现金安排</w:t>
      </w:r>
      <w:r>
        <w:rPr>
          <w:b w:val="0"/>
          <w:bCs w:val="0"/>
        </w:rPr>
      </w:r>
    </w:p>
    <w:p>
      <w:pPr>
        <w:pStyle w:val="BodyText"/>
        <w:spacing w:line="273" w:lineRule="auto" w:before="70"/>
        <w:ind w:left="638" w:right="6712" w:hanging="42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rPr>
        <w:t>1</w:t>
      </w:r>
      <w:r>
        <w:rPr/>
        <w:t>、公司负债情况：</w:t>
      </w:r>
      <w:r>
        <w:rPr>
          <w:rFonts w:ascii="宋体" w:hAnsi="宋体" w:cs="宋体" w:eastAsia="宋体" w:hint="default"/>
        </w:rPr>
        <w:t> </w:t>
      </w:r>
    </w:p>
    <w:p>
      <w:pPr>
        <w:pStyle w:val="BodyText"/>
        <w:spacing w:line="273" w:lineRule="auto" w:before="7"/>
        <w:ind w:left="638" w:right="3537"/>
        <w:jc w:val="left"/>
        <w:rPr>
          <w:rFonts w:ascii="宋体" w:hAnsi="宋体" w:cs="宋体" w:eastAsia="宋体" w:hint="default"/>
        </w:rPr>
      </w:pPr>
      <w:r>
        <w:rPr/>
        <w:t>截止</w:t>
      </w:r>
      <w:r>
        <w:rPr>
          <w:spacing w:val="-54"/>
        </w:rPr>
        <w:t> </w:t>
      </w:r>
      <w:r>
        <w:rPr>
          <w:rFonts w:ascii="宋体" w:hAnsi="宋体" w:cs="宋体" w:eastAsia="宋体" w:hint="default"/>
        </w:rPr>
        <w:t>2019</w:t>
      </w:r>
      <w:r>
        <w:rPr>
          <w:rFonts w:ascii="宋体" w:hAnsi="宋体" w:cs="宋体" w:eastAsia="宋体" w:hint="default"/>
          <w:spacing w:val="-56"/>
        </w:rPr>
        <w:t> </w:t>
      </w:r>
      <w:r>
        <w:rPr/>
        <w:t>年</w:t>
      </w:r>
      <w:r>
        <w:rPr>
          <w:spacing w:val="-54"/>
        </w:rPr>
        <w:t> </w:t>
      </w:r>
      <w:r>
        <w:rPr>
          <w:rFonts w:ascii="宋体" w:hAnsi="宋体" w:cs="宋体" w:eastAsia="宋体" w:hint="default"/>
        </w:rPr>
        <w:t>12</w:t>
      </w:r>
      <w:r>
        <w:rPr>
          <w:rFonts w:ascii="宋体" w:hAnsi="宋体" w:cs="宋体" w:eastAsia="宋体" w:hint="default"/>
          <w:spacing w:val="-56"/>
        </w:rPr>
        <w:t> </w:t>
      </w:r>
      <w:r>
        <w:rPr/>
        <w:t>月</w:t>
      </w:r>
      <w:r>
        <w:rPr>
          <w:spacing w:val="-53"/>
        </w:rPr>
        <w:t> </w:t>
      </w:r>
      <w:r>
        <w:rPr>
          <w:rFonts w:ascii="宋体" w:hAnsi="宋体" w:cs="宋体" w:eastAsia="宋体" w:hint="default"/>
        </w:rPr>
        <w:t>31</w:t>
      </w:r>
      <w:r>
        <w:rPr>
          <w:rFonts w:ascii="宋体" w:hAnsi="宋体" w:cs="宋体" w:eastAsia="宋体" w:hint="default"/>
          <w:spacing w:val="-54"/>
        </w:rPr>
        <w:t> </w:t>
      </w:r>
      <w:r>
        <w:rPr/>
        <w:t>日，公司资产负债率为</w:t>
      </w:r>
      <w:r>
        <w:rPr>
          <w:spacing w:val="-54"/>
        </w:rPr>
        <w:t> </w:t>
      </w:r>
      <w:r>
        <w:rPr>
          <w:rFonts w:ascii="宋体" w:hAnsi="宋体" w:cs="宋体" w:eastAsia="宋体" w:hint="default"/>
        </w:rPr>
        <w:t>40.94%</w:t>
      </w:r>
      <w:r>
        <w:rPr/>
        <w:t>。</w:t>
      </w:r>
      <w:r>
        <w:rPr>
          <w:rFonts w:ascii="宋体" w:hAnsi="宋体" w:cs="宋体" w:eastAsia="宋体" w:hint="default"/>
          <w:w w:val="100"/>
        </w:rPr>
        <w:t> </w:t>
      </w:r>
      <w:r>
        <w:rPr>
          <w:rFonts w:ascii="宋体" w:hAnsi="宋体" w:cs="宋体" w:eastAsia="宋体" w:hint="default"/>
        </w:rPr>
        <w:t>2</w:t>
      </w:r>
      <w:r>
        <w:rPr/>
        <w:t>、公司资信情况：</w:t>
      </w:r>
      <w:r>
        <w:rPr>
          <w:rFonts w:ascii="宋体" w:hAnsi="宋体" w:cs="宋体" w:eastAsia="宋体" w:hint="default"/>
        </w:rPr>
        <w:t> </w:t>
      </w:r>
    </w:p>
    <w:p>
      <w:pPr>
        <w:pStyle w:val="BodyText"/>
        <w:spacing w:line="273" w:lineRule="auto" w:before="7"/>
        <w:ind w:right="209" w:firstLine="419"/>
        <w:jc w:val="both"/>
        <w:rPr>
          <w:rFonts w:ascii="宋体" w:hAnsi="宋体" w:cs="宋体" w:eastAsia="宋体" w:hint="default"/>
        </w:rPr>
      </w:pPr>
      <w:r>
        <w:rPr/>
        <w:t>上海新世纪资信评估投资服务有限公司于</w:t>
      </w:r>
      <w:r>
        <w:rPr>
          <w:spacing w:val="-78"/>
        </w:rPr>
        <w:t> </w:t>
      </w:r>
      <w:r>
        <w:rPr>
          <w:rFonts w:ascii="宋体" w:hAnsi="宋体" w:cs="宋体" w:eastAsia="宋体" w:hint="default"/>
        </w:rPr>
        <w:t>2017</w:t>
      </w:r>
      <w:r>
        <w:rPr>
          <w:rFonts w:ascii="宋体" w:hAnsi="宋体" w:cs="宋体" w:eastAsia="宋体" w:hint="default"/>
          <w:spacing w:val="-77"/>
        </w:rPr>
        <w:t> </w:t>
      </w:r>
      <w:r>
        <w:rPr/>
        <w:t>年</w:t>
      </w:r>
      <w:r>
        <w:rPr>
          <w:spacing w:val="-78"/>
        </w:rPr>
        <w:t> </w:t>
      </w:r>
      <w:r>
        <w:rPr>
          <w:rFonts w:ascii="宋体" w:hAnsi="宋体" w:cs="宋体" w:eastAsia="宋体" w:hint="default"/>
        </w:rPr>
        <w:t>8</w:t>
      </w:r>
      <w:r>
        <w:rPr>
          <w:rFonts w:ascii="宋体" w:hAnsi="宋体" w:cs="宋体" w:eastAsia="宋体" w:hint="default"/>
          <w:spacing w:val="-80"/>
        </w:rPr>
        <w:t> </w:t>
      </w:r>
      <w:r>
        <w:rPr/>
        <w:t>月对公司发行的可转换公司债券出具信用</w:t>
      </w:r>
      <w:r>
        <w:rPr>
          <w:w w:val="100"/>
        </w:rPr>
        <w:t> </w:t>
      </w:r>
      <w:r>
        <w:rPr>
          <w:spacing w:val="-2"/>
        </w:rPr>
        <w:t>评级分析报告，评定公司主体长期信用等级为“AA”，评级展望为“稳定”；评定“林洋转债”</w:t>
      </w:r>
      <w:r>
        <w:rPr>
          <w:spacing w:val="-23"/>
        </w:rPr>
        <w:t> </w:t>
      </w:r>
      <w:r>
        <w:rPr>
          <w:spacing w:val="-23"/>
        </w:rPr>
      </w:r>
      <w:r>
        <w:rPr/>
        <w:t>债项信用等级为“AA”。</w:t>
      </w:r>
      <w:r>
        <w:rPr>
          <w:rFonts w:ascii="宋体" w:hAnsi="宋体" w:cs="宋体" w:eastAsia="宋体" w:hint="default"/>
        </w:rPr>
        <w:t> </w:t>
      </w:r>
    </w:p>
    <w:p>
      <w:pPr>
        <w:pStyle w:val="BodyText"/>
        <w:spacing w:line="273" w:lineRule="auto" w:before="7"/>
        <w:ind w:right="0" w:firstLine="419"/>
        <w:jc w:val="left"/>
        <w:rPr>
          <w:rFonts w:ascii="宋体" w:hAnsi="宋体" w:cs="宋体" w:eastAsia="宋体" w:hint="default"/>
        </w:rPr>
      </w:pPr>
      <w:r>
        <w:rPr>
          <w:rFonts w:ascii="宋体" w:hAnsi="宋体" w:cs="宋体" w:eastAsia="宋体" w:hint="default"/>
        </w:rPr>
        <w:t>2018</w:t>
      </w:r>
      <w:r>
        <w:rPr>
          <w:rFonts w:ascii="宋体" w:hAnsi="宋体" w:cs="宋体" w:eastAsia="宋体" w:hint="default"/>
          <w:spacing w:val="-43"/>
        </w:rPr>
        <w:t> </w:t>
      </w:r>
      <w:r>
        <w:rPr/>
        <w:t>年</w:t>
      </w:r>
      <w:r>
        <w:rPr>
          <w:spacing w:val="-41"/>
        </w:rPr>
        <w:t> </w:t>
      </w:r>
      <w:r>
        <w:rPr>
          <w:rFonts w:ascii="宋体" w:hAnsi="宋体" w:cs="宋体" w:eastAsia="宋体" w:hint="default"/>
        </w:rPr>
        <w:t>6</w:t>
      </w:r>
      <w:r>
        <w:rPr>
          <w:rFonts w:ascii="宋体" w:hAnsi="宋体" w:cs="宋体" w:eastAsia="宋体" w:hint="default"/>
          <w:spacing w:val="-43"/>
        </w:rPr>
        <w:t> </w:t>
      </w:r>
      <w:r>
        <w:rPr>
          <w:spacing w:val="-3"/>
        </w:rPr>
        <w:t>月，上海新世纪资信评估投资服务有限公司对公司可转债进行跟踪信用评级，维持</w:t>
      </w:r>
      <w:r>
        <w:rPr>
          <w:w w:val="100"/>
        </w:rPr>
        <w:t> </w:t>
      </w:r>
      <w:r>
        <w:rPr>
          <w:spacing w:val="-6"/>
          <w:w w:val="100"/>
        </w:rPr>
        <w:t>公司主体信用等级为“AA”，评级展望维持“稳定”；维持“林洋转债”债项信用等级为“AA”。</w:t>
      </w:r>
      <w:r>
        <w:rPr>
          <w:rFonts w:ascii="宋体" w:hAnsi="宋体" w:cs="宋体" w:eastAsia="宋体" w:hint="default"/>
          <w:w w:val="100"/>
        </w:rPr>
        <w:t> </w:t>
      </w:r>
    </w:p>
    <w:p>
      <w:pPr>
        <w:pStyle w:val="BodyText"/>
        <w:spacing w:line="273" w:lineRule="auto" w:before="8"/>
        <w:ind w:right="0" w:firstLine="419"/>
        <w:jc w:val="left"/>
        <w:rPr>
          <w:rFonts w:ascii="宋体" w:hAnsi="宋体" w:cs="宋体" w:eastAsia="宋体" w:hint="default"/>
        </w:rPr>
      </w:pPr>
      <w:r>
        <w:rPr>
          <w:rFonts w:ascii="宋体" w:hAnsi="宋体" w:cs="宋体" w:eastAsia="宋体" w:hint="default"/>
        </w:rPr>
        <w:t>2019</w:t>
      </w:r>
      <w:r>
        <w:rPr>
          <w:rFonts w:ascii="宋体" w:hAnsi="宋体" w:cs="宋体" w:eastAsia="宋体" w:hint="default"/>
          <w:spacing w:val="-43"/>
        </w:rPr>
        <w:t> </w:t>
      </w:r>
      <w:r>
        <w:rPr/>
        <w:t>年</w:t>
      </w:r>
      <w:r>
        <w:rPr>
          <w:spacing w:val="-41"/>
        </w:rPr>
        <w:t> </w:t>
      </w:r>
      <w:r>
        <w:rPr>
          <w:rFonts w:ascii="宋体" w:hAnsi="宋体" w:cs="宋体" w:eastAsia="宋体" w:hint="default"/>
        </w:rPr>
        <w:t>6</w:t>
      </w:r>
      <w:r>
        <w:rPr>
          <w:rFonts w:ascii="宋体" w:hAnsi="宋体" w:cs="宋体" w:eastAsia="宋体" w:hint="default"/>
          <w:spacing w:val="-43"/>
        </w:rPr>
        <w:t> </w:t>
      </w:r>
      <w:r>
        <w:rPr>
          <w:spacing w:val="-3"/>
        </w:rPr>
        <w:t>月，上海新世纪资信评估投资服务有限公司对公司可转债进行跟踪信用评级，维持</w:t>
      </w:r>
      <w:r>
        <w:rPr>
          <w:w w:val="100"/>
        </w:rPr>
        <w:t> </w:t>
      </w:r>
      <w:r>
        <w:rPr>
          <w:spacing w:val="-6"/>
          <w:w w:val="100"/>
        </w:rPr>
        <w:t>公司主体信用等级为“AA”，评级展望维持“稳定”；维持“林洋转债”债项信用等级为“AA”。</w:t>
      </w:r>
      <w:r>
        <w:rPr>
          <w:rFonts w:ascii="宋体" w:hAnsi="宋体" w:cs="宋体" w:eastAsia="宋体" w:hint="default"/>
          <w:w w:val="100"/>
        </w:rPr>
        <w:t> </w:t>
      </w:r>
    </w:p>
    <w:p>
      <w:pPr>
        <w:pStyle w:val="BodyText"/>
        <w:spacing w:line="240" w:lineRule="auto" w:before="7"/>
        <w:ind w:right="0"/>
        <w:jc w:val="left"/>
        <w:rPr>
          <w:rFonts w:ascii="宋体" w:hAnsi="宋体" w:cs="宋体" w:eastAsia="宋体" w:hint="default"/>
        </w:rPr>
      </w:pPr>
      <w:r>
        <w:rPr>
          <w:rFonts w:ascii="宋体"/>
          <w:w w:val="100"/>
        </w:rPr>
        <w:t> </w:t>
      </w:r>
    </w:p>
    <w:p>
      <w:pPr>
        <w:pStyle w:val="Heading3"/>
        <w:spacing w:line="240" w:lineRule="auto"/>
        <w:ind w:right="0"/>
        <w:jc w:val="left"/>
        <w:rPr>
          <w:b w:val="0"/>
          <w:bCs w:val="0"/>
        </w:rPr>
      </w:pPr>
      <w:r>
        <w:rPr>
          <w:rFonts w:ascii="Calibri" w:hAnsi="Calibri" w:cs="Calibri" w:eastAsia="Calibri" w:hint="default"/>
        </w:rPr>
        <w:t>(</w:t>
      </w:r>
      <w:r>
        <w:rPr/>
        <w:t>六</w:t>
      </w:r>
      <w:r>
        <w:rPr>
          <w:rFonts w:ascii="Calibri" w:hAnsi="Calibri" w:cs="Calibri" w:eastAsia="Calibri" w:hint="default"/>
        </w:rPr>
        <w:t>)</w:t>
      </w:r>
      <w:r>
        <w:rPr>
          <w:rFonts w:ascii="Calibri" w:hAnsi="Calibri" w:cs="Calibri" w:eastAsia="Calibri" w:hint="default"/>
          <w:spacing w:val="32"/>
        </w:rPr>
        <w:t> </w:t>
      </w:r>
      <w:r>
        <w:rPr/>
        <w:t>转债其他情况说明</w:t>
      </w:r>
      <w:r>
        <w:rPr>
          <w:b w:val="0"/>
          <w:bCs w:val="0"/>
        </w:rPr>
      </w:r>
    </w:p>
    <w:p>
      <w:pPr>
        <w:pStyle w:val="BodyText"/>
        <w:spacing w:line="240" w:lineRule="auto" w:before="70"/>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2"/>
        <w:tabs>
          <w:tab w:pos="3098" w:val="left" w:leader="none"/>
        </w:tabs>
        <w:spacing w:line="240" w:lineRule="auto" w:before="9"/>
        <w:ind w:right="0"/>
        <w:jc w:val="left"/>
        <w:rPr>
          <w:rFonts w:ascii="宋体" w:hAnsi="宋体" w:cs="宋体" w:eastAsia="宋体" w:hint="default"/>
        </w:rPr>
      </w:pPr>
      <w:r>
        <w:rPr>
          <w:rFonts w:ascii="宋体"/>
        </w:rPr>
        <w:t> </w:t>
        <w:tab/>
        <w:t> </w:t>
      </w:r>
    </w:p>
    <w:p>
      <w:pPr>
        <w:spacing w:after="0" w:line="240" w:lineRule="auto"/>
        <w:jc w:val="left"/>
        <w:rPr>
          <w:rFonts w:ascii="宋体" w:hAnsi="宋体" w:cs="宋体" w:eastAsia="宋体" w:hint="default"/>
        </w:rPr>
        <w:sectPr>
          <w:pgSz w:w="11910" w:h="16840"/>
          <w:pgMar w:header="747" w:footer="974" w:top="1140" w:bottom="1160" w:left="1580" w:right="1060"/>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4"/>
          <w:szCs w:val="14"/>
        </w:rPr>
      </w:pPr>
    </w:p>
    <w:p>
      <w:pPr>
        <w:pStyle w:val="Heading1"/>
        <w:tabs>
          <w:tab w:pos="4756" w:val="left" w:leader="none"/>
        </w:tabs>
        <w:spacing w:line="240" w:lineRule="auto"/>
        <w:ind w:left="3496" w:right="0"/>
        <w:jc w:val="left"/>
        <w:rPr>
          <w:rFonts w:ascii="宋体" w:hAnsi="宋体" w:cs="宋体" w:eastAsia="宋体" w:hint="default"/>
          <w:b w:val="0"/>
          <w:bCs w:val="0"/>
          <w:sz w:val="24"/>
          <w:szCs w:val="24"/>
        </w:rPr>
      </w:pPr>
      <w:bookmarkStart w:name="_bookmark5" w:id="8"/>
      <w:bookmarkEnd w:id="8"/>
      <w:r>
        <w:rPr>
          <w:b w:val="0"/>
          <w:bCs w:val="0"/>
        </w:rPr>
      </w:r>
      <w:r>
        <w:rPr>
          <w:rFonts w:ascii="黑体" w:hAnsi="黑体" w:cs="黑体" w:eastAsia="黑体" w:hint="default"/>
          <w:w w:val="95"/>
        </w:rPr>
        <w:t>第六节</w:t>
      </w:r>
      <w:r>
        <w:rPr>
          <w:rFonts w:ascii="宋体" w:hAnsi="宋体" w:cs="宋体" w:eastAsia="宋体" w:hint="default"/>
          <w:w w:val="95"/>
        </w:rPr>
        <w:tab/>
      </w:r>
      <w:r>
        <w:rPr>
          <w:rFonts w:ascii="黑体" w:hAnsi="黑体" w:cs="黑体" w:eastAsia="黑体" w:hint="default"/>
        </w:rPr>
        <w:t>普通股股份变动及股东情况</w:t>
      </w:r>
      <w:r>
        <w:rPr>
          <w:rFonts w:ascii="宋体" w:hAnsi="宋体" w:cs="宋体" w:eastAsia="宋体" w:hint="default"/>
          <w:b w:val="0"/>
          <w:bCs w:val="0"/>
          <w:sz w:val="24"/>
          <w:szCs w:val="24"/>
        </w:rPr>
        <w:t> </w:t>
      </w:r>
    </w:p>
    <w:p>
      <w:pPr>
        <w:spacing w:line="240" w:lineRule="auto" w:before="13"/>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footerReference w:type="default" r:id="rId37"/>
          <w:pgSz w:w="11910" w:h="16840"/>
          <w:pgMar w:footer="974" w:header="747" w:top="1140" w:bottom="1160" w:left="400" w:right="200"/>
        </w:sectPr>
      </w:pPr>
    </w:p>
    <w:p>
      <w:pPr>
        <w:pStyle w:val="Heading3"/>
        <w:tabs>
          <w:tab w:pos="1964" w:val="left" w:leader="none"/>
        </w:tabs>
        <w:spacing w:line="309" w:lineRule="auto" w:before="36"/>
        <w:ind w:left="1398" w:right="0"/>
        <w:jc w:val="left"/>
        <w:rPr>
          <w:rFonts w:ascii="宋体" w:hAnsi="宋体" w:cs="宋体" w:eastAsia="宋体" w:hint="default"/>
          <w:b w:val="0"/>
          <w:bCs w:val="0"/>
        </w:rPr>
      </w:pPr>
      <w:r>
        <w:rPr/>
        <w:t>一、</w:t>
      </w:r>
      <w:r>
        <w:rPr>
          <w:spacing w:val="-77"/>
        </w:rPr>
        <w:t> </w:t>
      </w:r>
      <w:r>
        <w:rPr>
          <w:rFonts w:ascii="宋体" w:hAnsi="宋体" w:cs="宋体" w:eastAsia="宋体" w:hint="default"/>
          <w:spacing w:val="-77"/>
        </w:rPr>
      </w:r>
      <w:r>
        <w:rPr/>
        <w:t>普通股股本变动情况</w:t>
      </w:r>
      <w:r>
        <w:rPr>
          <w:spacing w:val="-103"/>
        </w:rPr>
        <w:t> </w:t>
      </w:r>
      <w:r>
        <w:rPr>
          <w:rFonts w:ascii="Calibri" w:hAnsi="Calibri" w:cs="Calibri" w:eastAsia="Calibri" w:hint="default"/>
        </w:rPr>
        <w:t>(</w:t>
      </w:r>
      <w:r>
        <w:rPr/>
        <w:t>一</w:t>
      </w:r>
      <w:r>
        <w:rPr>
          <w:rFonts w:ascii="Calibri" w:hAnsi="Calibri" w:cs="Calibri" w:eastAsia="Calibri" w:hint="default"/>
        </w:rPr>
        <w:t>)</w:t>
        <w:tab/>
      </w:r>
      <w:r>
        <w:rPr>
          <w:spacing w:val="-1"/>
        </w:rPr>
        <w:t>普通股股份变动情况表</w:t>
      </w:r>
      <w:r>
        <w:rPr>
          <w:spacing w:val="-96"/>
        </w:rPr>
        <w:t> </w:t>
      </w:r>
      <w:r>
        <w:rPr>
          <w:spacing w:val="-96"/>
        </w:rPr>
      </w:r>
      <w:r>
        <w:rPr>
          <w:rFonts w:ascii="宋体" w:hAnsi="宋体" w:cs="宋体" w:eastAsia="宋体" w:hint="default"/>
        </w:rPr>
        <w:t>1</w:t>
      </w:r>
      <w:r>
        <w:rPr/>
        <w:t>、</w:t>
      </w:r>
      <w:r>
        <w:rPr>
          <w:spacing w:val="-5"/>
        </w:rPr>
        <w:t> </w:t>
      </w:r>
      <w:r>
        <w:rPr/>
        <w:t>普通股股份变动情况表</w:t>
      </w:r>
      <w:r>
        <w:rPr>
          <w:rFonts w:ascii="宋体" w:hAnsi="宋体" w:cs="宋体" w:eastAsia="宋体" w:hint="default"/>
          <w:w w:val="99"/>
        </w:rPr>
        <w:t> </w:t>
      </w:r>
      <w:r>
        <w:rPr>
          <w:rFonts w:ascii="宋体" w:hAnsi="宋体" w:cs="宋体" w:eastAsia="宋体" w:hint="default"/>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8"/>
          <w:szCs w:val="28"/>
        </w:rPr>
      </w:pPr>
    </w:p>
    <w:p>
      <w:pPr>
        <w:pStyle w:val="BodyText"/>
        <w:spacing w:line="240" w:lineRule="auto"/>
        <w:ind w:left="1398" w:right="0"/>
        <w:jc w:val="left"/>
        <w:rPr>
          <w:rFonts w:ascii="宋体" w:hAnsi="宋体" w:cs="宋体" w:eastAsia="宋体" w:hint="default"/>
        </w:rPr>
      </w:pPr>
      <w:r>
        <w:rPr/>
        <w:t>单位：股</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580" w:bottom="280" w:left="400" w:right="200"/>
          <w:cols w:num="2" w:equalWidth="0">
            <w:col w:w="4075" w:space="3919"/>
            <w:col w:w="3316"/>
          </w:cols>
        </w:sectPr>
      </w:pPr>
    </w:p>
    <w:p>
      <w:pPr>
        <w:spacing w:line="240" w:lineRule="auto" w:before="10"/>
        <w:rPr>
          <w:rFonts w:ascii="宋体" w:hAnsi="宋体" w:cs="宋体" w:eastAsia="宋体" w:hint="default"/>
          <w:sz w:val="3"/>
          <w:szCs w:val="3"/>
        </w:rPr>
      </w:pPr>
    </w:p>
    <w:tbl>
      <w:tblPr>
        <w:tblW w:w="0" w:type="auto"/>
        <w:jc w:val="left"/>
        <w:tblInd w:w="116" w:type="dxa"/>
        <w:tblLayout w:type="fixed"/>
        <w:tblCellMar>
          <w:top w:w="0" w:type="dxa"/>
          <w:left w:w="0" w:type="dxa"/>
          <w:bottom w:w="0" w:type="dxa"/>
          <w:right w:w="0" w:type="dxa"/>
        </w:tblCellMar>
        <w:tblLook w:val="01E0"/>
      </w:tblPr>
      <w:tblGrid>
        <w:gridCol w:w="2412"/>
        <w:gridCol w:w="1417"/>
        <w:gridCol w:w="850"/>
        <w:gridCol w:w="710"/>
        <w:gridCol w:w="425"/>
        <w:gridCol w:w="713"/>
        <w:gridCol w:w="1130"/>
        <w:gridCol w:w="1136"/>
        <w:gridCol w:w="1421"/>
        <w:gridCol w:w="847"/>
      </w:tblGrid>
      <w:tr>
        <w:trPr>
          <w:trHeight w:val="324" w:hRule="exact"/>
        </w:trPr>
        <w:tc>
          <w:tcPr>
            <w:tcW w:w="2412" w:type="dxa"/>
            <w:vMerge w:val="restart"/>
            <w:tcBorders>
              <w:top w:val="single" w:sz="4" w:space="0" w:color="000000"/>
              <w:left w:val="single" w:sz="4" w:space="0" w:color="000000"/>
              <w:right w:val="single" w:sz="4" w:space="0" w:color="000000"/>
            </w:tcBorders>
          </w:tcPr>
          <w:p>
            <w:pPr>
              <w:pStyle w:val="TableParagraph"/>
              <w:spacing w:line="240" w:lineRule="auto" w:before="10"/>
              <w:ind w:left="88" w:right="0"/>
              <w:jc w:val="center"/>
              <w:rPr>
                <w:rFonts w:ascii="宋体" w:hAnsi="宋体" w:cs="宋体" w:eastAsia="宋体" w:hint="default"/>
                <w:sz w:val="18"/>
                <w:szCs w:val="18"/>
              </w:rPr>
            </w:pPr>
            <w:r>
              <w:rPr>
                <w:rFonts w:ascii="宋体"/>
                <w:sz w:val="18"/>
              </w:rPr>
              <w:t> </w:t>
            </w:r>
          </w:p>
        </w:tc>
        <w:tc>
          <w:tcPr>
            <w:tcW w:w="22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676"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11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60" w:right="0"/>
              <w:jc w:val="left"/>
              <w:rPr>
                <w:rFonts w:ascii="宋体" w:hAnsi="宋体" w:cs="宋体" w:eastAsia="宋体" w:hint="default"/>
                <w:sz w:val="18"/>
                <w:szCs w:val="18"/>
              </w:rPr>
            </w:pPr>
            <w:r>
              <w:rPr>
                <w:rFonts w:ascii="宋体" w:hAnsi="宋体" w:cs="宋体" w:eastAsia="宋体" w:hint="default"/>
                <w:sz w:val="18"/>
                <w:szCs w:val="18"/>
              </w:rPr>
              <w:t>本次变动增减（＋，－）</w:t>
            </w:r>
            <w:r>
              <w:rPr>
                <w:rFonts w:ascii="宋体" w:hAnsi="宋体" w:cs="宋体" w:eastAsia="宋体" w:hint="default"/>
                <w:sz w:val="18"/>
                <w:szCs w:val="18"/>
              </w:rPr>
              <w:t> </w:t>
            </w:r>
          </w:p>
        </w:tc>
        <w:tc>
          <w:tcPr>
            <w:tcW w:w="22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679" w:right="0"/>
              <w:jc w:val="left"/>
              <w:rPr>
                <w:rFonts w:ascii="宋体" w:hAnsi="宋体" w:cs="宋体" w:eastAsia="宋体" w:hint="default"/>
                <w:sz w:val="18"/>
                <w:szCs w:val="18"/>
              </w:rPr>
            </w:pPr>
            <w:r>
              <w:rPr>
                <w:rFonts w:ascii="宋体" w:hAnsi="宋体" w:cs="宋体" w:eastAsia="宋体" w:hint="default"/>
                <w:sz w:val="18"/>
                <w:szCs w:val="18"/>
              </w:rPr>
              <w:t>本次变动后</w:t>
            </w:r>
            <w:r>
              <w:rPr>
                <w:rFonts w:ascii="宋体" w:hAnsi="宋体" w:cs="宋体" w:eastAsia="宋体" w:hint="default"/>
                <w:sz w:val="18"/>
                <w:szCs w:val="18"/>
              </w:rPr>
              <w:t> </w:t>
            </w:r>
          </w:p>
        </w:tc>
      </w:tr>
      <w:tr>
        <w:trPr>
          <w:trHeight w:val="946" w:hRule="exact"/>
        </w:trPr>
        <w:tc>
          <w:tcPr>
            <w:tcW w:w="2412" w:type="dxa"/>
            <w:vMerge/>
            <w:tcBorders>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数量</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170" w:right="168"/>
              <w:jc w:val="left"/>
              <w:rPr>
                <w:rFonts w:ascii="宋体" w:hAnsi="宋体" w:cs="宋体" w:eastAsia="宋体" w:hint="default"/>
                <w:sz w:val="18"/>
                <w:szCs w:val="18"/>
              </w:rPr>
            </w:pPr>
            <w:r>
              <w:rPr>
                <w:rFonts w:ascii="宋体" w:hAnsi="宋体" w:cs="宋体" w:eastAsia="宋体" w:hint="default"/>
                <w:sz w:val="18"/>
                <w:szCs w:val="18"/>
              </w:rPr>
              <w:t>发行 新股</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117" w:right="25"/>
              <w:jc w:val="left"/>
              <w:rPr>
                <w:rFonts w:ascii="宋体" w:hAnsi="宋体" w:cs="宋体" w:eastAsia="宋体" w:hint="default"/>
                <w:sz w:val="18"/>
                <w:szCs w:val="18"/>
              </w:rPr>
            </w:pPr>
            <w:r>
              <w:rPr>
                <w:rFonts w:ascii="宋体" w:hAnsi="宋体" w:cs="宋体" w:eastAsia="宋体" w:hint="default"/>
                <w:sz w:val="18"/>
                <w:szCs w:val="18"/>
              </w:rPr>
              <w:t>送 股</w:t>
            </w:r>
            <w:r>
              <w:rPr>
                <w:rFonts w:ascii="宋体" w:hAnsi="宋体" w:cs="宋体" w:eastAsia="宋体" w:hint="default"/>
                <w:sz w:val="18"/>
                <w:szCs w:val="18"/>
              </w:rPr>
              <w:t> </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70" w:right="169"/>
              <w:jc w:val="both"/>
              <w:rPr>
                <w:rFonts w:ascii="宋体" w:hAnsi="宋体" w:cs="宋体" w:eastAsia="宋体" w:hint="default"/>
                <w:sz w:val="18"/>
                <w:szCs w:val="18"/>
              </w:rPr>
            </w:pPr>
            <w:r>
              <w:rPr>
                <w:rFonts w:ascii="宋体" w:hAnsi="宋体" w:cs="宋体" w:eastAsia="宋体" w:hint="default"/>
                <w:sz w:val="18"/>
                <w:szCs w:val="18"/>
              </w:rPr>
              <w:t>公积 金转 股</w:t>
            </w:r>
            <w:r>
              <w:rPr>
                <w:rFonts w:ascii="宋体" w:hAnsi="宋体" w:cs="宋体" w:eastAsia="宋体" w:hint="default"/>
                <w:sz w:val="18"/>
                <w:szCs w:val="18"/>
              </w:rPr>
              <w:t> </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小计</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数量</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r>
      <w:tr>
        <w:trPr>
          <w:trHeight w:val="322" w:hRule="exact"/>
        </w:trPr>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一、有限售条件股份</w:t>
            </w:r>
            <w:r>
              <w:rPr>
                <w:rFonts w:ascii="宋体" w:hAnsi="宋体" w:cs="宋体" w:eastAsia="宋体" w:hint="default"/>
                <w:sz w:val="18"/>
                <w:szCs w:val="18"/>
              </w:rPr>
              <w:t> </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pacing w:val="-1"/>
                <w:sz w:val="18"/>
              </w:rPr>
              <w:t>16,541,000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pacing w:val="-1"/>
                <w:sz w:val="18"/>
              </w:rPr>
              <w:t>0.94</w:t>
            </w:r>
            <w:r>
              <w:rPr>
                <w:rFonts w:ascii="宋体"/>
                <w:sz w:val="18"/>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z w:val="18"/>
              </w:rPr>
              <w:t> </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z w:val="18"/>
              </w:rPr>
              <w:t> </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pacing w:val="-1"/>
                <w:sz w:val="18"/>
              </w:rPr>
              <w:t>-7,749,000</w:t>
            </w:r>
            <w:r>
              <w:rPr>
                <w:rFonts w:ascii="宋体"/>
                <w:sz w:val="18"/>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pacing w:val="-1"/>
                <w:sz w:val="18"/>
              </w:rPr>
              <w:t>-7,749,000 </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pacing w:val="-1"/>
                <w:sz w:val="18"/>
              </w:rPr>
              <w:t>8,792,000</w:t>
            </w:r>
            <w:r>
              <w:rPr>
                <w:rFonts w:ascii="宋体"/>
                <w:sz w:val="18"/>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pacing w:val="-1"/>
                <w:sz w:val="18"/>
              </w:rPr>
              <w:t>0.50</w:t>
            </w:r>
            <w:r>
              <w:rPr>
                <w:rFonts w:ascii="宋体"/>
                <w:sz w:val="18"/>
              </w:rPr>
              <w:t> </w:t>
            </w:r>
          </w:p>
        </w:tc>
      </w:tr>
      <w:tr>
        <w:trPr>
          <w:trHeight w:val="322" w:hRule="exact"/>
        </w:trPr>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、国家持股</w:t>
            </w:r>
            <w:r>
              <w:rPr>
                <w:rFonts w:ascii="宋体" w:hAnsi="宋体" w:cs="宋体" w:eastAsia="宋体" w:hint="default"/>
                <w:sz w:val="18"/>
                <w:szCs w:val="18"/>
              </w:rPr>
              <w:t> </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z w:val="18"/>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z w:val="18"/>
              </w:rPr>
              <w:t> </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z w:val="18"/>
              </w:rPr>
              <w:t> </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z w:val="18"/>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z w:val="18"/>
              </w:rPr>
              <w:t> </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z w:val="18"/>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z w:val="18"/>
              </w:rPr>
              <w:t> </w:t>
            </w:r>
          </w:p>
        </w:tc>
      </w:tr>
      <w:tr>
        <w:trPr>
          <w:trHeight w:val="322" w:hRule="exact"/>
        </w:trPr>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、国有法人持股</w:t>
            </w:r>
            <w:r>
              <w:rPr>
                <w:rFonts w:ascii="宋体" w:hAnsi="宋体" w:cs="宋体" w:eastAsia="宋体" w:hint="default"/>
                <w:sz w:val="18"/>
                <w:szCs w:val="18"/>
              </w:rPr>
              <w:t> </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z w:val="18"/>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z w:val="18"/>
              </w:rPr>
              <w:t> </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z w:val="18"/>
              </w:rPr>
              <w:t> </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z w:val="18"/>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z w:val="18"/>
              </w:rPr>
              <w:t> </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z w:val="18"/>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z w:val="18"/>
              </w:rPr>
              <w:t> </w:t>
            </w:r>
          </w:p>
        </w:tc>
      </w:tr>
      <w:tr>
        <w:trPr>
          <w:trHeight w:val="322" w:hRule="exact"/>
        </w:trPr>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、其他内资持股</w:t>
            </w:r>
            <w:r>
              <w:rPr>
                <w:rFonts w:ascii="宋体" w:hAnsi="宋体" w:cs="宋体" w:eastAsia="宋体" w:hint="default"/>
                <w:sz w:val="18"/>
                <w:szCs w:val="18"/>
              </w:rPr>
              <w:t> </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pacing w:val="-1"/>
                <w:sz w:val="18"/>
              </w:rPr>
              <w:t>16,541,000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pacing w:val="-1"/>
                <w:sz w:val="18"/>
              </w:rPr>
              <w:t>0.94</w:t>
            </w:r>
            <w:r>
              <w:rPr>
                <w:rFonts w:ascii="宋体"/>
                <w:sz w:val="18"/>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z w:val="18"/>
              </w:rPr>
              <w:t> </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z w:val="18"/>
              </w:rPr>
              <w:t> </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pacing w:val="-1"/>
                <w:sz w:val="18"/>
              </w:rPr>
              <w:t>-7,749,000</w:t>
            </w:r>
            <w:r>
              <w:rPr>
                <w:rFonts w:ascii="宋体"/>
                <w:sz w:val="18"/>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pacing w:val="-1"/>
                <w:sz w:val="18"/>
              </w:rPr>
              <w:t>-7,749,000 </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pacing w:val="-1"/>
                <w:sz w:val="18"/>
              </w:rPr>
              <w:t>8,792,000</w:t>
            </w:r>
            <w:r>
              <w:rPr>
                <w:rFonts w:ascii="宋体"/>
                <w:sz w:val="18"/>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pacing w:val="-1"/>
                <w:sz w:val="18"/>
              </w:rPr>
              <w:t>0.50</w:t>
            </w:r>
            <w:r>
              <w:rPr>
                <w:rFonts w:ascii="宋体"/>
                <w:sz w:val="18"/>
              </w:rPr>
              <w:t> </w:t>
            </w:r>
          </w:p>
        </w:tc>
      </w:tr>
      <w:tr>
        <w:trPr>
          <w:trHeight w:val="324" w:hRule="exact"/>
        </w:trPr>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其中：境内非国有法人持股</w:t>
            </w:r>
            <w:r>
              <w:rPr>
                <w:rFonts w:ascii="宋体" w:hAnsi="宋体" w:cs="宋体" w:eastAsia="宋体" w:hint="default"/>
                <w:sz w:val="18"/>
                <w:szCs w:val="18"/>
              </w:rPr>
              <w:t> </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 </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 </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 </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 </w:t>
            </w:r>
          </w:p>
        </w:tc>
      </w:tr>
      <w:tr>
        <w:trPr>
          <w:trHeight w:val="322" w:hRule="exact"/>
        </w:trPr>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643" w:right="0"/>
              <w:jc w:val="left"/>
              <w:rPr>
                <w:rFonts w:ascii="宋体" w:hAnsi="宋体" w:cs="宋体" w:eastAsia="宋体" w:hint="default"/>
                <w:sz w:val="18"/>
                <w:szCs w:val="18"/>
              </w:rPr>
            </w:pPr>
            <w:r>
              <w:rPr>
                <w:rFonts w:ascii="宋体" w:hAnsi="宋体" w:cs="宋体" w:eastAsia="宋体" w:hint="default"/>
                <w:sz w:val="18"/>
                <w:szCs w:val="18"/>
              </w:rPr>
              <w:t>境内自然人持股</w:t>
            </w:r>
            <w:r>
              <w:rPr>
                <w:rFonts w:ascii="宋体" w:hAnsi="宋体" w:cs="宋体" w:eastAsia="宋体" w:hint="default"/>
                <w:sz w:val="18"/>
                <w:szCs w:val="18"/>
              </w:rPr>
              <w:t> </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pacing w:val="-1"/>
                <w:sz w:val="18"/>
              </w:rPr>
              <w:t>16,541,000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pacing w:val="-1"/>
                <w:sz w:val="18"/>
              </w:rPr>
              <w:t>0.94</w:t>
            </w:r>
            <w:r>
              <w:rPr>
                <w:rFonts w:ascii="宋体"/>
                <w:sz w:val="18"/>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z w:val="18"/>
              </w:rPr>
              <w:t> </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z w:val="18"/>
              </w:rPr>
              <w:t> </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pacing w:val="-1"/>
                <w:sz w:val="18"/>
              </w:rPr>
              <w:t>-7,749,000</w:t>
            </w:r>
            <w:r>
              <w:rPr>
                <w:rFonts w:ascii="宋体"/>
                <w:sz w:val="18"/>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pacing w:val="-1"/>
                <w:sz w:val="18"/>
              </w:rPr>
              <w:t>-7,749,000 </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pacing w:val="-1"/>
                <w:sz w:val="18"/>
              </w:rPr>
              <w:t>8,792,000</w:t>
            </w:r>
            <w:r>
              <w:rPr>
                <w:rFonts w:ascii="宋体"/>
                <w:sz w:val="18"/>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pacing w:val="-1"/>
                <w:sz w:val="18"/>
              </w:rPr>
              <w:t>0.50</w:t>
            </w:r>
            <w:r>
              <w:rPr>
                <w:rFonts w:ascii="宋体"/>
                <w:sz w:val="18"/>
              </w:rPr>
              <w:t> </w:t>
            </w:r>
          </w:p>
        </w:tc>
      </w:tr>
      <w:tr>
        <w:trPr>
          <w:trHeight w:val="322" w:hRule="exact"/>
        </w:trPr>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、外资持股</w:t>
            </w:r>
            <w:r>
              <w:rPr>
                <w:rFonts w:ascii="宋体" w:hAnsi="宋体" w:cs="宋体" w:eastAsia="宋体" w:hint="default"/>
                <w:sz w:val="18"/>
                <w:szCs w:val="18"/>
              </w:rPr>
              <w:t> </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z w:val="18"/>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z w:val="18"/>
              </w:rPr>
              <w:t> </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z w:val="18"/>
              </w:rPr>
              <w:t> </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z w:val="18"/>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z w:val="18"/>
              </w:rPr>
              <w:t> </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z w:val="18"/>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z w:val="18"/>
              </w:rPr>
              <w:t> </w:t>
            </w:r>
          </w:p>
        </w:tc>
      </w:tr>
      <w:tr>
        <w:trPr>
          <w:trHeight w:val="322" w:hRule="exact"/>
        </w:trPr>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其中：境外法人持股</w:t>
            </w:r>
            <w:r>
              <w:rPr>
                <w:rFonts w:ascii="宋体" w:hAnsi="宋体" w:cs="宋体" w:eastAsia="宋体" w:hint="default"/>
                <w:sz w:val="18"/>
                <w:szCs w:val="18"/>
              </w:rPr>
              <w:t> </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z w:val="18"/>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z w:val="18"/>
              </w:rPr>
              <w:t> </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z w:val="18"/>
              </w:rPr>
              <w:t> </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z w:val="18"/>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z w:val="18"/>
              </w:rPr>
              <w:t> </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z w:val="18"/>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z w:val="18"/>
              </w:rPr>
              <w:t> </w:t>
            </w:r>
          </w:p>
        </w:tc>
      </w:tr>
      <w:tr>
        <w:trPr>
          <w:trHeight w:val="322" w:hRule="exact"/>
        </w:trPr>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643" w:right="0"/>
              <w:jc w:val="left"/>
              <w:rPr>
                <w:rFonts w:ascii="宋体" w:hAnsi="宋体" w:cs="宋体" w:eastAsia="宋体" w:hint="default"/>
                <w:sz w:val="18"/>
                <w:szCs w:val="18"/>
              </w:rPr>
            </w:pPr>
            <w:r>
              <w:rPr>
                <w:rFonts w:ascii="宋体" w:hAnsi="宋体" w:cs="宋体" w:eastAsia="宋体" w:hint="default"/>
                <w:sz w:val="18"/>
                <w:szCs w:val="18"/>
              </w:rPr>
              <w:t>境外自然人持股</w:t>
            </w:r>
            <w:r>
              <w:rPr>
                <w:rFonts w:ascii="宋体" w:hAnsi="宋体" w:cs="宋体" w:eastAsia="宋体" w:hint="default"/>
                <w:sz w:val="18"/>
                <w:szCs w:val="18"/>
              </w:rPr>
              <w:t> </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z w:val="18"/>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z w:val="18"/>
              </w:rPr>
              <w:t> </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z w:val="18"/>
              </w:rPr>
              <w:t> </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z w:val="18"/>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z w:val="18"/>
              </w:rPr>
              <w:t> </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z w:val="18"/>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z w:val="18"/>
              </w:rPr>
              <w:t> </w:t>
            </w:r>
          </w:p>
        </w:tc>
      </w:tr>
      <w:tr>
        <w:trPr>
          <w:trHeight w:val="322" w:hRule="exact"/>
        </w:trPr>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二、无限售条件流通股份</w:t>
            </w:r>
            <w:r>
              <w:rPr>
                <w:rFonts w:ascii="宋体" w:hAnsi="宋体" w:cs="宋体" w:eastAsia="宋体" w:hint="default"/>
                <w:sz w:val="18"/>
                <w:szCs w:val="18"/>
              </w:rPr>
              <w:t> </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pacing w:val="-1"/>
                <w:sz w:val="18"/>
              </w:rPr>
              <w:t>1,748,869,843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z w:val="18"/>
              </w:rPr>
              <w:t>99.06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z w:val="18"/>
              </w:rPr>
              <w:t> </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z w:val="18"/>
              </w:rPr>
              <w:t> </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z w:val="18"/>
              </w:rPr>
              <w:t>9,017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z w:val="18"/>
              </w:rPr>
              <w:t>9,017 </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pacing w:val="-1"/>
                <w:sz w:val="18"/>
              </w:rPr>
              <w:t>1,748,878,860</w:t>
            </w:r>
            <w:r>
              <w:rPr>
                <w:rFonts w:ascii="宋体"/>
                <w:sz w:val="18"/>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z w:val="18"/>
              </w:rPr>
              <w:t>99.50 </w:t>
            </w:r>
          </w:p>
        </w:tc>
      </w:tr>
      <w:tr>
        <w:trPr>
          <w:trHeight w:val="324" w:hRule="exact"/>
        </w:trPr>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、人民币普通股</w:t>
            </w:r>
            <w:r>
              <w:rPr>
                <w:rFonts w:ascii="宋体" w:hAnsi="宋体" w:cs="宋体" w:eastAsia="宋体" w:hint="default"/>
                <w:sz w:val="18"/>
                <w:szCs w:val="18"/>
              </w:rPr>
              <w:t> </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pacing w:val="-1"/>
                <w:sz w:val="18"/>
              </w:rPr>
              <w:t>1,748,869,843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99.06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 </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 </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9,017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9,017 </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pacing w:val="-1"/>
                <w:sz w:val="18"/>
              </w:rPr>
              <w:t>1,748,878,860</w:t>
            </w:r>
            <w:r>
              <w:rPr>
                <w:rFonts w:ascii="宋体"/>
                <w:sz w:val="18"/>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99.50 </w:t>
            </w:r>
          </w:p>
        </w:tc>
      </w:tr>
      <w:tr>
        <w:trPr>
          <w:trHeight w:val="322" w:hRule="exact"/>
        </w:trPr>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、境内上市的外资股</w:t>
            </w:r>
            <w:r>
              <w:rPr>
                <w:rFonts w:ascii="宋体" w:hAnsi="宋体" w:cs="宋体" w:eastAsia="宋体" w:hint="default"/>
                <w:sz w:val="18"/>
                <w:szCs w:val="18"/>
              </w:rPr>
              <w:t> </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z w:val="18"/>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z w:val="18"/>
              </w:rPr>
              <w:t> </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z w:val="18"/>
              </w:rPr>
              <w:t> </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z w:val="18"/>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z w:val="18"/>
              </w:rPr>
              <w:t> </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z w:val="18"/>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z w:val="18"/>
              </w:rPr>
              <w:t> </w:t>
            </w:r>
          </w:p>
        </w:tc>
      </w:tr>
      <w:tr>
        <w:trPr>
          <w:trHeight w:val="322" w:hRule="exact"/>
        </w:trPr>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、境外上市的外资股</w:t>
            </w:r>
            <w:r>
              <w:rPr>
                <w:rFonts w:ascii="宋体" w:hAnsi="宋体" w:cs="宋体" w:eastAsia="宋体" w:hint="default"/>
                <w:sz w:val="18"/>
                <w:szCs w:val="18"/>
              </w:rPr>
              <w:t> </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z w:val="18"/>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z w:val="18"/>
              </w:rPr>
              <w:t> </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z w:val="18"/>
              </w:rPr>
              <w:t> </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z w:val="18"/>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z w:val="18"/>
              </w:rPr>
              <w:t> </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z w:val="18"/>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z w:val="18"/>
              </w:rPr>
              <w:t> </w:t>
            </w:r>
          </w:p>
        </w:tc>
      </w:tr>
      <w:tr>
        <w:trPr>
          <w:trHeight w:val="322" w:hRule="exact"/>
        </w:trPr>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r>
              <w:rPr>
                <w:rFonts w:ascii="宋体" w:hAnsi="宋体" w:cs="宋体" w:eastAsia="宋体" w:hint="default"/>
                <w:sz w:val="18"/>
                <w:szCs w:val="18"/>
              </w:rPr>
              <w:t> </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z w:val="18"/>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z w:val="18"/>
              </w:rPr>
              <w:t> </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z w:val="18"/>
              </w:rPr>
              <w:t> </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z w:val="18"/>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z w:val="18"/>
              </w:rPr>
              <w:t> </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z w:val="18"/>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z w:val="18"/>
              </w:rPr>
              <w:t> </w:t>
            </w:r>
          </w:p>
        </w:tc>
      </w:tr>
      <w:tr>
        <w:trPr>
          <w:trHeight w:val="322" w:hRule="exact"/>
        </w:trPr>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三、普通股股份总数</w:t>
            </w:r>
            <w:r>
              <w:rPr>
                <w:rFonts w:ascii="宋体" w:hAnsi="宋体" w:cs="宋体" w:eastAsia="宋体" w:hint="default"/>
                <w:sz w:val="18"/>
                <w:szCs w:val="18"/>
              </w:rPr>
              <w:t> </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pacing w:val="-1"/>
                <w:sz w:val="18"/>
              </w:rPr>
              <w:t>1,765,410,843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pacing w:val="-1"/>
                <w:sz w:val="18"/>
              </w:rPr>
              <w:t>100.00</w:t>
            </w:r>
            <w:r>
              <w:rPr>
                <w:rFonts w:ascii="宋体"/>
                <w:sz w:val="18"/>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z w:val="18"/>
              </w:rPr>
              <w:t> </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z w:val="18"/>
              </w:rPr>
              <w:t> </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pacing w:val="-1"/>
                <w:sz w:val="18"/>
              </w:rPr>
              <w:t>-7,739,983</w:t>
            </w:r>
            <w:r>
              <w:rPr>
                <w:rFonts w:ascii="宋体"/>
                <w:sz w:val="18"/>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pacing w:val="-1"/>
                <w:sz w:val="18"/>
              </w:rPr>
              <w:t>-7,739,983 </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pacing w:val="-1"/>
                <w:sz w:val="18"/>
              </w:rPr>
              <w:t>1,757,670,860</w:t>
            </w:r>
            <w:r>
              <w:rPr>
                <w:rFonts w:ascii="宋体"/>
                <w:sz w:val="18"/>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pacing w:val="-1"/>
                <w:sz w:val="18"/>
              </w:rPr>
              <w:t>100.00</w:t>
            </w:r>
            <w:r>
              <w:rPr>
                <w:rFonts w:ascii="宋体"/>
                <w:sz w:val="18"/>
              </w:rPr>
              <w:t> </w:t>
            </w:r>
          </w:p>
        </w:tc>
      </w:tr>
    </w:tbl>
    <w:p>
      <w:pPr>
        <w:pStyle w:val="Heading2"/>
        <w:spacing w:line="274" w:lineRule="exact"/>
        <w:ind w:left="1398" w:right="0"/>
        <w:jc w:val="left"/>
        <w:rPr>
          <w:rFonts w:ascii="宋体" w:hAnsi="宋体" w:cs="宋体" w:eastAsia="宋体" w:hint="default"/>
        </w:rPr>
      </w:pPr>
      <w:r>
        <w:rPr>
          <w:rFonts w:ascii="宋体"/>
        </w:rPr>
        <w:t> </w:t>
      </w:r>
    </w:p>
    <w:p>
      <w:pPr>
        <w:pStyle w:val="Heading3"/>
        <w:spacing w:line="240" w:lineRule="auto" w:before="85"/>
        <w:ind w:left="1398" w:right="0"/>
        <w:jc w:val="left"/>
        <w:rPr>
          <w:rFonts w:ascii="宋体" w:hAnsi="宋体" w:cs="宋体" w:eastAsia="宋体" w:hint="default"/>
          <w:b w:val="0"/>
          <w:bCs w:val="0"/>
        </w:rPr>
      </w:pPr>
      <w:r>
        <w:rPr>
          <w:rFonts w:ascii="宋体" w:hAnsi="宋体" w:cs="宋体" w:eastAsia="宋体" w:hint="default"/>
        </w:rPr>
        <w:t>2</w:t>
      </w:r>
      <w:r>
        <w:rPr/>
        <w:t>、</w:t>
      </w:r>
      <w:r>
        <w:rPr>
          <w:spacing w:val="-4"/>
        </w:rPr>
        <w:t> </w:t>
      </w:r>
      <w:r>
        <w:rPr/>
        <w:t>普通股股份变动情况说明</w:t>
      </w:r>
      <w:r>
        <w:rPr>
          <w:rFonts w:ascii="宋体" w:hAnsi="宋体" w:cs="宋体" w:eastAsia="宋体" w:hint="default"/>
          <w:w w:val="99"/>
        </w:rPr>
        <w:t> </w:t>
      </w:r>
      <w:r>
        <w:rPr>
          <w:rFonts w:ascii="宋体" w:hAnsi="宋体" w:cs="宋体" w:eastAsia="宋体" w:hint="default"/>
          <w:b w:val="0"/>
          <w:bCs w:val="0"/>
        </w:rPr>
      </w:r>
    </w:p>
    <w:p>
      <w:pPr>
        <w:pStyle w:val="BodyText"/>
        <w:spacing w:line="273" w:lineRule="auto" w:before="97"/>
        <w:ind w:left="1818" w:right="1057" w:hanging="420"/>
        <w:jc w:val="left"/>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报告期内，公司分两次对第二期股权激励计划部分已获授但尚未解锁的限制性股票进行回购</w:t>
      </w:r>
    </w:p>
    <w:p>
      <w:pPr>
        <w:pStyle w:val="BodyText"/>
        <w:spacing w:line="240" w:lineRule="auto" w:before="7"/>
        <w:ind w:left="1398" w:right="0"/>
        <w:jc w:val="left"/>
      </w:pPr>
      <w:r>
        <w:rPr/>
        <w:t>注销，共计</w:t>
      </w:r>
      <w:r>
        <w:rPr>
          <w:spacing w:val="-55"/>
        </w:rPr>
        <w:t> </w:t>
      </w:r>
      <w:r>
        <w:rPr>
          <w:rFonts w:ascii="宋体" w:hAnsi="宋体" w:cs="宋体" w:eastAsia="宋体" w:hint="default"/>
        </w:rPr>
        <w:t>7,749,000</w:t>
      </w:r>
      <w:r>
        <w:rPr>
          <w:rFonts w:ascii="宋体" w:hAnsi="宋体" w:cs="宋体" w:eastAsia="宋体" w:hint="default"/>
          <w:spacing w:val="-54"/>
        </w:rPr>
        <w:t> </w:t>
      </w:r>
      <w:r>
        <w:rPr/>
        <w:t>股，注销完成后，使得公司有限售条件股份由</w:t>
      </w:r>
      <w:r>
        <w:rPr>
          <w:spacing w:val="-55"/>
        </w:rPr>
        <w:t> </w:t>
      </w:r>
      <w:r>
        <w:rPr>
          <w:rFonts w:ascii="宋体" w:hAnsi="宋体" w:cs="宋体" w:eastAsia="宋体" w:hint="default"/>
        </w:rPr>
        <w:t>16,541,400</w:t>
      </w:r>
      <w:r>
        <w:rPr>
          <w:rFonts w:ascii="宋体" w:hAnsi="宋体" w:cs="宋体" w:eastAsia="宋体" w:hint="default"/>
          <w:spacing w:val="-57"/>
        </w:rPr>
        <w:t> </w:t>
      </w:r>
      <w:r>
        <w:rPr/>
        <w:t>股减少至</w:t>
      </w:r>
    </w:p>
    <w:p>
      <w:pPr>
        <w:pStyle w:val="BodyText"/>
        <w:spacing w:line="240" w:lineRule="auto" w:before="37"/>
        <w:ind w:left="1398" w:right="0"/>
        <w:jc w:val="left"/>
        <w:rPr>
          <w:rFonts w:ascii="宋体" w:hAnsi="宋体" w:cs="宋体" w:eastAsia="宋体" w:hint="default"/>
        </w:rPr>
      </w:pPr>
      <w:r>
        <w:rPr>
          <w:rFonts w:ascii="宋体" w:hAnsi="宋体" w:cs="宋体" w:eastAsia="宋体" w:hint="default"/>
        </w:rPr>
        <w:t>8,792,000</w:t>
      </w:r>
      <w:r>
        <w:rPr>
          <w:rFonts w:ascii="宋体" w:hAnsi="宋体" w:cs="宋体" w:eastAsia="宋体" w:hint="default"/>
          <w:spacing w:val="-55"/>
        </w:rPr>
        <w:t> </w:t>
      </w:r>
      <w:r>
        <w:rPr/>
        <w:t>股。</w:t>
      </w:r>
      <w:r>
        <w:rPr>
          <w:rFonts w:ascii="宋体" w:hAnsi="宋体" w:cs="宋体" w:eastAsia="宋体" w:hint="default"/>
        </w:rPr>
        <w:t> </w:t>
      </w:r>
    </w:p>
    <w:p>
      <w:pPr>
        <w:pStyle w:val="BodyText"/>
        <w:spacing w:line="240" w:lineRule="auto" w:before="37"/>
        <w:ind w:left="1818" w:right="0"/>
        <w:jc w:val="left"/>
      </w:pPr>
      <w:r>
        <w:rPr>
          <w:w w:val="100"/>
        </w:rPr>
        <w:t>公司</w:t>
      </w:r>
      <w:r>
        <w:rPr>
          <w:spacing w:val="-53"/>
        </w:rPr>
        <w:t> </w:t>
      </w:r>
      <w:r>
        <w:rPr>
          <w:rFonts w:ascii="宋体" w:hAnsi="宋体" w:cs="宋体" w:eastAsia="宋体" w:hint="default"/>
          <w:spacing w:val="-3"/>
          <w:w w:val="100"/>
        </w:rPr>
        <w:t>2</w:t>
      </w:r>
      <w:r>
        <w:rPr>
          <w:rFonts w:ascii="宋体" w:hAnsi="宋体" w:cs="宋体" w:eastAsia="宋体" w:hint="default"/>
          <w:w w:val="100"/>
        </w:rPr>
        <w:t>017</w:t>
      </w:r>
      <w:r>
        <w:rPr>
          <w:rFonts w:ascii="宋体" w:hAnsi="宋体" w:cs="宋体" w:eastAsia="宋体" w:hint="default"/>
          <w:spacing w:val="-55"/>
        </w:rPr>
        <w:t> </w:t>
      </w:r>
      <w:r>
        <w:rPr>
          <w:w w:val="100"/>
        </w:rPr>
        <w:t>年</w:t>
      </w:r>
      <w:r>
        <w:rPr>
          <w:spacing w:val="-3"/>
          <w:w w:val="100"/>
        </w:rPr>
        <w:t>发</w:t>
      </w:r>
      <w:r>
        <w:rPr>
          <w:w w:val="100"/>
        </w:rPr>
        <w:t>行的</w:t>
      </w:r>
      <w:r>
        <w:rPr>
          <w:spacing w:val="-55"/>
        </w:rPr>
        <w:t> </w:t>
      </w:r>
      <w:r>
        <w:rPr>
          <w:rFonts w:ascii="宋体" w:hAnsi="宋体" w:cs="宋体" w:eastAsia="宋体" w:hint="default"/>
          <w:w w:val="100"/>
        </w:rPr>
        <w:t>30</w:t>
      </w:r>
      <w:r>
        <w:rPr>
          <w:rFonts w:ascii="宋体" w:hAnsi="宋体" w:cs="宋体" w:eastAsia="宋体" w:hint="default"/>
          <w:spacing w:val="-53"/>
        </w:rPr>
        <w:t> </w:t>
      </w:r>
      <w:r>
        <w:rPr>
          <w:spacing w:val="-3"/>
          <w:w w:val="100"/>
        </w:rPr>
        <w:t>亿</w:t>
      </w:r>
      <w:r>
        <w:rPr>
          <w:w w:val="100"/>
        </w:rPr>
        <w:t>元可</w:t>
      </w:r>
      <w:r>
        <w:rPr>
          <w:spacing w:val="-3"/>
          <w:w w:val="100"/>
        </w:rPr>
        <w:t>转</w:t>
      </w:r>
      <w:r>
        <w:rPr>
          <w:w w:val="100"/>
        </w:rPr>
        <w:t>换</w:t>
      </w:r>
      <w:r>
        <w:rPr>
          <w:spacing w:val="-3"/>
          <w:w w:val="100"/>
        </w:rPr>
        <w:t>公</w:t>
      </w:r>
      <w:r>
        <w:rPr>
          <w:w w:val="100"/>
        </w:rPr>
        <w:t>司</w:t>
      </w:r>
      <w:r>
        <w:rPr>
          <w:spacing w:val="-3"/>
          <w:w w:val="100"/>
        </w:rPr>
        <w:t>债券</w:t>
      </w:r>
      <w:r>
        <w:rPr>
          <w:w w:val="100"/>
        </w:rPr>
        <w:t>于</w:t>
      </w:r>
      <w:r>
        <w:rPr>
          <w:spacing w:val="-53"/>
        </w:rPr>
        <w:t> </w:t>
      </w:r>
      <w:r>
        <w:rPr>
          <w:rFonts w:ascii="宋体" w:hAnsi="宋体" w:cs="宋体" w:eastAsia="宋体" w:hint="default"/>
          <w:w w:val="100"/>
        </w:rPr>
        <w:t>20</w:t>
      </w:r>
      <w:r>
        <w:rPr>
          <w:rFonts w:ascii="宋体" w:hAnsi="宋体" w:cs="宋体" w:eastAsia="宋体" w:hint="default"/>
          <w:spacing w:val="-3"/>
          <w:w w:val="100"/>
        </w:rPr>
        <w:t>1</w:t>
      </w:r>
      <w:r>
        <w:rPr>
          <w:rFonts w:ascii="宋体" w:hAnsi="宋体" w:cs="宋体" w:eastAsia="宋体" w:hint="default"/>
          <w:w w:val="100"/>
        </w:rPr>
        <w:t>8</w:t>
      </w:r>
      <w:r>
        <w:rPr>
          <w:rFonts w:ascii="宋体" w:hAnsi="宋体" w:cs="宋体" w:eastAsia="宋体" w:hint="default"/>
          <w:spacing w:val="-55"/>
        </w:rPr>
        <w:t> </w:t>
      </w:r>
      <w:r>
        <w:rPr>
          <w:w w:val="100"/>
        </w:rPr>
        <w:t>年</w:t>
      </w:r>
      <w:r>
        <w:rPr>
          <w:spacing w:val="-53"/>
        </w:rPr>
        <w:t> </w:t>
      </w:r>
      <w:r>
        <w:rPr>
          <w:rFonts w:ascii="宋体" w:hAnsi="宋体" w:cs="宋体" w:eastAsia="宋体" w:hint="default"/>
          <w:w w:val="100"/>
        </w:rPr>
        <w:t>5</w:t>
      </w:r>
      <w:r>
        <w:rPr>
          <w:rFonts w:ascii="宋体" w:hAnsi="宋体" w:cs="宋体" w:eastAsia="宋体" w:hint="default"/>
          <w:spacing w:val="-55"/>
        </w:rPr>
        <w:t> </w:t>
      </w:r>
      <w:r>
        <w:rPr>
          <w:w w:val="100"/>
        </w:rPr>
        <w:t>月</w:t>
      </w:r>
      <w:r>
        <w:rPr>
          <w:spacing w:val="-53"/>
        </w:rPr>
        <w:t> </w:t>
      </w:r>
      <w:r>
        <w:rPr>
          <w:rFonts w:ascii="宋体" w:hAnsi="宋体" w:cs="宋体" w:eastAsia="宋体" w:hint="default"/>
          <w:w w:val="100"/>
        </w:rPr>
        <w:t>3</w:t>
      </w:r>
      <w:r>
        <w:rPr>
          <w:rFonts w:ascii="宋体" w:hAnsi="宋体" w:cs="宋体" w:eastAsia="宋体" w:hint="default"/>
          <w:spacing w:val="-53"/>
        </w:rPr>
        <w:t> </w:t>
      </w:r>
      <w:r>
        <w:rPr>
          <w:spacing w:val="-3"/>
          <w:w w:val="100"/>
        </w:rPr>
        <w:t>日</w:t>
      </w:r>
      <w:r>
        <w:rPr>
          <w:w w:val="100"/>
        </w:rPr>
        <w:t>起</w:t>
      </w:r>
      <w:r>
        <w:rPr>
          <w:spacing w:val="-3"/>
          <w:w w:val="100"/>
        </w:rPr>
        <w:t>进</w:t>
      </w:r>
      <w:r>
        <w:rPr>
          <w:w w:val="100"/>
        </w:rPr>
        <w:t>入</w:t>
      </w:r>
      <w:r>
        <w:rPr>
          <w:spacing w:val="-3"/>
          <w:w w:val="100"/>
        </w:rPr>
        <w:t>转</w:t>
      </w:r>
      <w:r>
        <w:rPr>
          <w:w w:val="100"/>
        </w:rPr>
        <w:t>股</w:t>
      </w:r>
      <w:r>
        <w:rPr>
          <w:spacing w:val="-3"/>
          <w:w w:val="100"/>
        </w:rPr>
        <w:t>期</w:t>
      </w:r>
      <w:r>
        <w:rPr>
          <w:spacing w:val="-94"/>
          <w:w w:val="100"/>
        </w:rPr>
        <w:t>，</w:t>
      </w:r>
      <w:r>
        <w:rPr>
          <w:w w:val="100"/>
        </w:rPr>
        <w:t>因可</w:t>
      </w:r>
      <w:r>
        <w:rPr>
          <w:spacing w:val="-3"/>
          <w:w w:val="100"/>
        </w:rPr>
        <w:t>转</w:t>
      </w:r>
      <w:r>
        <w:rPr>
          <w:w w:val="100"/>
        </w:rPr>
        <w:t>债</w:t>
      </w:r>
      <w:r>
        <w:rPr>
          <w:spacing w:val="-3"/>
          <w:w w:val="100"/>
        </w:rPr>
        <w:t>转</w:t>
      </w:r>
      <w:r>
        <w:rPr>
          <w:w w:val="100"/>
        </w:rPr>
        <w:t>股</w:t>
      </w:r>
    </w:p>
    <w:p>
      <w:pPr>
        <w:pStyle w:val="BodyText"/>
        <w:spacing w:line="240" w:lineRule="auto" w:before="37"/>
        <w:ind w:left="1398" w:right="0"/>
        <w:jc w:val="left"/>
        <w:rPr>
          <w:rFonts w:ascii="宋体" w:hAnsi="宋体" w:cs="宋体" w:eastAsia="宋体" w:hint="default"/>
        </w:rPr>
      </w:pPr>
      <w:r>
        <w:rPr/>
        <w:t>使得公司报告期内普通股股数增加了</w:t>
      </w:r>
      <w:r>
        <w:rPr>
          <w:spacing w:val="-53"/>
        </w:rPr>
        <w:t> </w:t>
      </w:r>
      <w:r>
        <w:rPr>
          <w:rFonts w:ascii="宋体" w:hAnsi="宋体" w:cs="宋体" w:eastAsia="宋体" w:hint="default"/>
        </w:rPr>
        <w:t>9,017</w:t>
      </w:r>
      <w:r>
        <w:rPr>
          <w:rFonts w:ascii="宋体" w:hAnsi="宋体" w:cs="宋体" w:eastAsia="宋体" w:hint="default"/>
          <w:spacing w:val="-53"/>
        </w:rPr>
        <w:t> </w:t>
      </w:r>
      <w:r>
        <w:rPr>
          <w:spacing w:val="-3"/>
        </w:rPr>
        <w:t>股。</w:t>
      </w:r>
      <w:r>
        <w:rPr>
          <w:rFonts w:ascii="宋体" w:hAnsi="宋体" w:cs="宋体" w:eastAsia="宋体" w:hint="default"/>
        </w:rPr>
        <w:t> </w:t>
      </w:r>
    </w:p>
    <w:p>
      <w:pPr>
        <w:pStyle w:val="BodyText"/>
        <w:spacing w:line="240" w:lineRule="auto" w:before="37"/>
        <w:ind w:left="1398" w:right="0"/>
        <w:jc w:val="left"/>
        <w:rPr>
          <w:rFonts w:ascii="宋体" w:hAnsi="宋体" w:cs="宋体" w:eastAsia="宋体" w:hint="default"/>
        </w:rPr>
      </w:pPr>
      <w:r>
        <w:rPr>
          <w:rFonts w:ascii="宋体"/>
          <w:w w:val="100"/>
        </w:rPr>
        <w:t> </w:t>
      </w:r>
    </w:p>
    <w:p>
      <w:pPr>
        <w:pStyle w:val="Heading3"/>
        <w:spacing w:line="240" w:lineRule="auto"/>
        <w:ind w:left="1398" w:right="0"/>
        <w:jc w:val="left"/>
        <w:rPr>
          <w:rFonts w:ascii="宋体" w:hAnsi="宋体" w:cs="宋体" w:eastAsia="宋体" w:hint="default"/>
          <w:b w:val="0"/>
          <w:bCs w:val="0"/>
        </w:rPr>
      </w:pPr>
      <w:r>
        <w:rPr>
          <w:rFonts w:ascii="宋体" w:hAnsi="宋体" w:cs="宋体" w:eastAsia="宋体" w:hint="default"/>
        </w:rPr>
        <w:t>3</w:t>
      </w:r>
      <w:r>
        <w:rPr/>
        <w:t>、</w:t>
      </w:r>
      <w:r>
        <w:rPr>
          <w:spacing w:val="-8"/>
        </w:rPr>
        <w:t> </w:t>
      </w:r>
      <w:r>
        <w:rPr/>
        <w:t>普通股股份变动对最近一年和最近一期每股收益、每股净资产等财务指标的影响（如有）</w:t>
      </w:r>
      <w:r>
        <w:rPr>
          <w:rFonts w:ascii="宋体" w:hAnsi="宋体" w:cs="宋体" w:eastAsia="宋体" w:hint="default"/>
          <w:w w:val="99"/>
        </w:rPr>
        <w:t> </w:t>
      </w:r>
      <w:r>
        <w:rPr>
          <w:rFonts w:ascii="宋体" w:hAnsi="宋体" w:cs="宋体" w:eastAsia="宋体" w:hint="default"/>
          <w:b w:val="0"/>
          <w:bCs w:val="0"/>
        </w:rPr>
      </w:r>
    </w:p>
    <w:p>
      <w:pPr>
        <w:pStyle w:val="BodyText"/>
        <w:spacing w:line="273" w:lineRule="auto" w:before="97"/>
        <w:ind w:left="1818" w:right="1057" w:hanging="420"/>
        <w:jc w:val="left"/>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报告期内，公司注销第二期股权激励计划部分已获授但尚未解锁的限制性股票共计</w:t>
      </w:r>
    </w:p>
    <w:p>
      <w:pPr>
        <w:pStyle w:val="BodyText"/>
        <w:spacing w:line="273" w:lineRule="auto" w:before="7"/>
        <w:ind w:left="1398" w:right="1129"/>
        <w:jc w:val="left"/>
        <w:rPr>
          <w:rFonts w:ascii="宋体" w:hAnsi="宋体" w:cs="宋体" w:eastAsia="宋体" w:hint="default"/>
        </w:rPr>
      </w:pPr>
      <w:r>
        <w:rPr>
          <w:rFonts w:ascii="宋体" w:hAnsi="宋体" w:cs="宋体" w:eastAsia="宋体" w:hint="default"/>
        </w:rPr>
        <w:t>7,749,000</w:t>
      </w:r>
      <w:r>
        <w:rPr>
          <w:rFonts w:ascii="宋体" w:hAnsi="宋体" w:cs="宋体" w:eastAsia="宋体" w:hint="default"/>
          <w:spacing w:val="-57"/>
        </w:rPr>
        <w:t> </w:t>
      </w:r>
      <w:r>
        <w:rPr/>
        <w:t>股，以及因可转换债券转股增加股份</w:t>
      </w:r>
      <w:r>
        <w:rPr>
          <w:spacing w:val="-55"/>
        </w:rPr>
        <w:t> </w:t>
      </w:r>
      <w:r>
        <w:rPr>
          <w:rFonts w:ascii="宋体" w:hAnsi="宋体" w:cs="宋体" w:eastAsia="宋体" w:hint="default"/>
        </w:rPr>
        <w:t>9,017</w:t>
      </w:r>
      <w:r>
        <w:rPr>
          <w:rFonts w:ascii="宋体" w:hAnsi="宋体" w:cs="宋体" w:eastAsia="宋体" w:hint="default"/>
          <w:spacing w:val="-54"/>
        </w:rPr>
        <w:t> </w:t>
      </w:r>
      <w:r>
        <w:rPr/>
        <w:t>股。上述股份变动数量较小，对公司每股</w:t>
      </w:r>
      <w:r>
        <w:rPr>
          <w:w w:val="100"/>
        </w:rPr>
        <w:t> </w:t>
      </w:r>
      <w:r>
        <w:rPr/>
        <w:t>收益和每股净资产的影响很小。</w:t>
      </w:r>
      <w:r>
        <w:rPr>
          <w:rFonts w:ascii="宋体" w:hAnsi="宋体" w:cs="宋体" w:eastAsia="宋体" w:hint="default"/>
        </w:rPr>
        <w:t> </w:t>
      </w:r>
    </w:p>
    <w:p>
      <w:pPr>
        <w:pStyle w:val="BodyText"/>
        <w:spacing w:line="240" w:lineRule="auto" w:before="7"/>
        <w:ind w:left="1398" w:right="0"/>
        <w:jc w:val="left"/>
        <w:rPr>
          <w:rFonts w:ascii="宋体" w:hAnsi="宋体" w:cs="宋体" w:eastAsia="宋体" w:hint="default"/>
        </w:rPr>
      </w:pPr>
      <w:r>
        <w:rPr>
          <w:rFonts w:ascii="宋体"/>
          <w:w w:val="100"/>
        </w:rPr>
        <w:t> </w:t>
      </w:r>
    </w:p>
    <w:p>
      <w:pPr>
        <w:pStyle w:val="Heading3"/>
        <w:spacing w:line="240" w:lineRule="auto"/>
        <w:ind w:left="1398" w:right="0"/>
        <w:jc w:val="left"/>
        <w:rPr>
          <w:rFonts w:ascii="宋体" w:hAnsi="宋体" w:cs="宋体" w:eastAsia="宋体" w:hint="default"/>
          <w:b w:val="0"/>
          <w:bCs w:val="0"/>
        </w:rPr>
      </w:pPr>
      <w:r>
        <w:rPr>
          <w:rFonts w:ascii="宋体" w:hAnsi="宋体" w:cs="宋体" w:eastAsia="宋体" w:hint="default"/>
        </w:rPr>
        <w:t>4</w:t>
      </w:r>
      <w:r>
        <w:rPr/>
        <w:t>、</w:t>
      </w:r>
      <w:r>
        <w:rPr>
          <w:spacing w:val="-6"/>
        </w:rPr>
        <w:t> </w:t>
      </w:r>
      <w:r>
        <w:rPr/>
        <w:t>公司认为必要或证券监管机构要求披露的其他内容</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7"/>
        <w:ind w:left="139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580" w:bottom="280" w:left="400" w:right="200"/>
        </w:sectPr>
      </w:pPr>
    </w:p>
    <w:p>
      <w:pPr>
        <w:spacing w:line="240" w:lineRule="auto" w:before="9"/>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footerReference w:type="default" r:id="rId38"/>
          <w:pgSz w:w="11910" w:h="16840"/>
          <w:pgMar w:footer="974" w:header="747" w:top="1140" w:bottom="1160" w:left="1580" w:right="1040"/>
          <w:pgNumType w:start="61"/>
        </w:sectPr>
      </w:pPr>
    </w:p>
    <w:p>
      <w:pPr>
        <w:pStyle w:val="Heading3"/>
        <w:tabs>
          <w:tab w:pos="784" w:val="left" w:leader="none"/>
        </w:tabs>
        <w:spacing w:line="240" w:lineRule="auto" w:before="36"/>
        <w:ind w:right="-17"/>
        <w:jc w:val="left"/>
        <w:rPr>
          <w:b w:val="0"/>
          <w:bCs w:val="0"/>
        </w:rPr>
      </w:pPr>
      <w:r>
        <w:rPr>
          <w:rFonts w:ascii="Calibri" w:hAnsi="Calibri" w:cs="Calibri" w:eastAsia="Calibri" w:hint="default"/>
        </w:rPr>
        <w:t>(</w:t>
      </w:r>
      <w:r>
        <w:rPr/>
        <w:t>二</w:t>
      </w:r>
      <w:r>
        <w:rPr>
          <w:rFonts w:ascii="Calibri" w:hAnsi="Calibri" w:cs="Calibri" w:eastAsia="Calibri" w:hint="default"/>
        </w:rPr>
        <w:t>)</w:t>
        <w:tab/>
      </w:r>
      <w:r>
        <w:rPr/>
        <w:t>限售股份变动情况</w:t>
      </w:r>
      <w:r>
        <w:rPr>
          <w:b w:val="0"/>
          <w:bCs w:val="0"/>
        </w:rPr>
      </w:r>
    </w:p>
    <w:p>
      <w:pPr>
        <w:pStyle w:val="Heading2"/>
        <w:spacing w:line="240" w:lineRule="auto" w:before="42"/>
        <w:ind w:right="-17"/>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spacing w:line="240" w:lineRule="auto"/>
        <w:ind w:right="0"/>
        <w:jc w:val="left"/>
        <w:rPr>
          <w:rFonts w:ascii="宋体" w:hAnsi="宋体" w:cs="宋体" w:eastAsia="宋体" w:hint="default"/>
        </w:rPr>
      </w:pPr>
      <w:r>
        <w:rPr/>
        <w:t>单位</w:t>
      </w:r>
      <w:r>
        <w:rPr>
          <w:rFonts w:ascii="宋体" w:hAnsi="宋体" w:cs="宋体" w:eastAsia="宋体" w:hint="default"/>
        </w:rPr>
        <w:t>:</w:t>
      </w:r>
      <w:r>
        <w:rPr/>
        <w:t>股</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580" w:bottom="280" w:left="1580" w:right="1040"/>
          <w:cols w:num="2" w:equalWidth="0">
            <w:col w:w="2475" w:space="5625"/>
            <w:col w:w="1190"/>
          </w:cols>
        </w:sectPr>
      </w:pP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1949"/>
        <w:gridCol w:w="1268"/>
        <w:gridCol w:w="1255"/>
        <w:gridCol w:w="1172"/>
        <w:gridCol w:w="1258"/>
        <w:gridCol w:w="1172"/>
        <w:gridCol w:w="977"/>
      </w:tblGrid>
      <w:tr>
        <w:trPr>
          <w:trHeight w:val="636" w:hRule="exact"/>
        </w:trPr>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89" w:right="0"/>
              <w:jc w:val="center"/>
              <w:rPr>
                <w:rFonts w:ascii="宋体" w:hAnsi="宋体" w:cs="宋体" w:eastAsia="宋体" w:hint="default"/>
                <w:sz w:val="18"/>
                <w:szCs w:val="18"/>
              </w:rPr>
            </w:pPr>
            <w:r>
              <w:rPr>
                <w:rFonts w:ascii="宋体" w:hAnsi="宋体" w:cs="宋体" w:eastAsia="宋体" w:hint="default"/>
                <w:sz w:val="18"/>
                <w:szCs w:val="18"/>
              </w:rPr>
              <w:t>股东名称</w:t>
            </w:r>
            <w:r>
              <w:rPr>
                <w:rFonts w:ascii="宋体" w:hAnsi="宋体" w:cs="宋体" w:eastAsia="宋体" w:hint="default"/>
                <w:sz w:val="18"/>
                <w:szCs w:val="18"/>
              </w:rPr>
              <w:t> </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535" w:right="180" w:hanging="361"/>
              <w:jc w:val="left"/>
              <w:rPr>
                <w:rFonts w:ascii="宋体" w:hAnsi="宋体" w:cs="宋体" w:eastAsia="宋体" w:hint="default"/>
                <w:sz w:val="18"/>
                <w:szCs w:val="18"/>
              </w:rPr>
            </w:pPr>
            <w:r>
              <w:rPr>
                <w:rFonts w:ascii="宋体" w:hAnsi="宋体" w:cs="宋体" w:eastAsia="宋体" w:hint="default"/>
                <w:sz w:val="18"/>
                <w:szCs w:val="18"/>
              </w:rPr>
              <w:t>年初限售股 数</w:t>
            </w:r>
            <w:r>
              <w:rPr>
                <w:rFonts w:ascii="宋体" w:hAnsi="宋体" w:cs="宋体" w:eastAsia="宋体" w:hint="default"/>
                <w:sz w:val="18"/>
                <w:szCs w:val="18"/>
              </w:rPr>
              <w:t> </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352" w:right="170" w:hanging="180"/>
              <w:jc w:val="left"/>
              <w:rPr>
                <w:rFonts w:ascii="宋体" w:hAnsi="宋体" w:cs="宋体" w:eastAsia="宋体" w:hint="default"/>
                <w:sz w:val="18"/>
                <w:szCs w:val="18"/>
              </w:rPr>
            </w:pPr>
            <w:r>
              <w:rPr>
                <w:rFonts w:ascii="宋体" w:hAnsi="宋体" w:cs="宋体" w:eastAsia="宋体" w:hint="default"/>
                <w:sz w:val="18"/>
                <w:szCs w:val="18"/>
              </w:rPr>
              <w:t>本年解除限 售股数</w:t>
            </w:r>
            <w:r>
              <w:rPr>
                <w:rFonts w:ascii="宋体" w:hAnsi="宋体" w:cs="宋体" w:eastAsia="宋体" w:hint="default"/>
                <w:sz w:val="18"/>
                <w:szCs w:val="18"/>
              </w:rPr>
              <w:t> </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309" w:right="131" w:hanging="181"/>
              <w:jc w:val="left"/>
              <w:rPr>
                <w:rFonts w:ascii="宋体" w:hAnsi="宋体" w:cs="宋体" w:eastAsia="宋体" w:hint="default"/>
                <w:sz w:val="18"/>
                <w:szCs w:val="18"/>
              </w:rPr>
            </w:pPr>
            <w:r>
              <w:rPr>
                <w:rFonts w:ascii="宋体" w:hAnsi="宋体" w:cs="宋体" w:eastAsia="宋体" w:hint="default"/>
                <w:sz w:val="18"/>
                <w:szCs w:val="18"/>
              </w:rPr>
              <w:t>本年增加限 售股数</w:t>
            </w:r>
            <w:r>
              <w:rPr>
                <w:rFonts w:ascii="宋体" w:hAnsi="宋体" w:cs="宋体" w:eastAsia="宋体" w:hint="default"/>
                <w:sz w:val="18"/>
                <w:szCs w:val="18"/>
              </w:rPr>
              <w:t> </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532" w:right="173" w:hanging="360"/>
              <w:jc w:val="left"/>
              <w:rPr>
                <w:rFonts w:ascii="宋体" w:hAnsi="宋体" w:cs="宋体" w:eastAsia="宋体" w:hint="default"/>
                <w:sz w:val="18"/>
                <w:szCs w:val="18"/>
              </w:rPr>
            </w:pPr>
            <w:r>
              <w:rPr>
                <w:rFonts w:ascii="宋体" w:hAnsi="宋体" w:cs="宋体" w:eastAsia="宋体" w:hint="default"/>
                <w:sz w:val="18"/>
                <w:szCs w:val="18"/>
              </w:rPr>
              <w:t>年末限售股 数</w:t>
            </w:r>
            <w:r>
              <w:rPr>
                <w:rFonts w:ascii="宋体" w:hAnsi="宋体" w:cs="宋体" w:eastAsia="宋体" w:hint="default"/>
                <w:sz w:val="18"/>
                <w:szCs w:val="18"/>
              </w:rPr>
              <w:t> </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90" w:right="0"/>
              <w:jc w:val="center"/>
              <w:rPr>
                <w:rFonts w:ascii="宋体" w:hAnsi="宋体" w:cs="宋体" w:eastAsia="宋体" w:hint="default"/>
                <w:sz w:val="18"/>
                <w:szCs w:val="18"/>
              </w:rPr>
            </w:pPr>
            <w:r>
              <w:rPr>
                <w:rFonts w:ascii="宋体" w:hAnsi="宋体" w:cs="宋体" w:eastAsia="宋体" w:hint="default"/>
                <w:sz w:val="18"/>
                <w:szCs w:val="18"/>
              </w:rPr>
              <w:t>限售原因</w:t>
            </w:r>
            <w:r>
              <w:rPr>
                <w:rFonts w:ascii="宋体" w:hAnsi="宋体" w:cs="宋体" w:eastAsia="宋体" w:hint="default"/>
                <w:sz w:val="18"/>
                <w:szCs w:val="18"/>
              </w:rPr>
              <w:t> </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304" w:right="120" w:hanging="180"/>
              <w:jc w:val="left"/>
              <w:rPr>
                <w:rFonts w:ascii="宋体" w:hAnsi="宋体" w:cs="宋体" w:eastAsia="宋体" w:hint="default"/>
                <w:sz w:val="18"/>
                <w:szCs w:val="18"/>
              </w:rPr>
            </w:pPr>
            <w:r>
              <w:rPr>
                <w:rFonts w:ascii="宋体" w:hAnsi="宋体" w:cs="宋体" w:eastAsia="宋体" w:hint="default"/>
                <w:sz w:val="18"/>
                <w:szCs w:val="18"/>
              </w:rPr>
              <w:t>解除限售 日期</w:t>
            </w:r>
            <w:r>
              <w:rPr>
                <w:rFonts w:ascii="宋体" w:hAnsi="宋体" w:cs="宋体" w:eastAsia="宋体" w:hint="default"/>
                <w:sz w:val="18"/>
                <w:szCs w:val="18"/>
              </w:rPr>
              <w:t> </w:t>
            </w:r>
          </w:p>
        </w:tc>
      </w:tr>
      <w:tr>
        <w:trPr>
          <w:trHeight w:val="322" w:hRule="exact"/>
        </w:trPr>
        <w:tc>
          <w:tcPr>
            <w:tcW w:w="194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698" w:right="0"/>
              <w:jc w:val="left"/>
              <w:rPr>
                <w:rFonts w:ascii="宋体" w:hAnsi="宋体" w:cs="宋体" w:eastAsia="宋体" w:hint="default"/>
                <w:sz w:val="18"/>
                <w:szCs w:val="18"/>
              </w:rPr>
            </w:pPr>
            <w:r>
              <w:rPr>
                <w:rFonts w:ascii="宋体" w:hAnsi="宋体" w:cs="宋体" w:eastAsia="宋体" w:hint="default"/>
                <w:sz w:val="18"/>
                <w:szCs w:val="18"/>
              </w:rPr>
              <w:t>沈凯平</w:t>
            </w:r>
            <w:r>
              <w:rPr>
                <w:rFonts w:ascii="宋体" w:hAnsi="宋体" w:cs="宋体" w:eastAsia="宋体" w:hint="default"/>
                <w:sz w:val="18"/>
                <w:szCs w:val="18"/>
              </w:rPr>
              <w:t> </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3"/>
              <w:jc w:val="right"/>
              <w:rPr>
                <w:rFonts w:ascii="宋体" w:hAnsi="宋体" w:cs="宋体" w:eastAsia="宋体" w:hint="default"/>
                <w:sz w:val="18"/>
                <w:szCs w:val="18"/>
              </w:rPr>
            </w:pPr>
            <w:r>
              <w:rPr>
                <w:rFonts w:ascii="宋体"/>
                <w:spacing w:val="-1"/>
                <w:sz w:val="18"/>
              </w:rPr>
              <w:t>75,000</w:t>
            </w:r>
            <w:r>
              <w:rPr>
                <w:rFonts w:ascii="宋体"/>
                <w:sz w:val="18"/>
              </w:rPr>
              <w:t> </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pacing w:val="-1"/>
                <w:sz w:val="18"/>
              </w:rPr>
              <w:t>75,000</w:t>
            </w:r>
            <w:r>
              <w:rPr>
                <w:rFonts w:ascii="宋体"/>
                <w:sz w:val="18"/>
              </w:rPr>
              <w:t> </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z w:val="18"/>
              </w:rPr>
              <w:t>0 </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z w:val="18"/>
              </w:rPr>
              <w:t>0 </w:t>
            </w:r>
          </w:p>
        </w:tc>
        <w:tc>
          <w:tcPr>
            <w:tcW w:w="117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left="220" w:right="0"/>
              <w:jc w:val="left"/>
              <w:rPr>
                <w:rFonts w:ascii="宋体" w:hAnsi="宋体" w:cs="宋体" w:eastAsia="宋体" w:hint="default"/>
                <w:sz w:val="18"/>
                <w:szCs w:val="18"/>
              </w:rPr>
            </w:pPr>
            <w:r>
              <w:rPr>
                <w:rFonts w:ascii="宋体" w:hAnsi="宋体" w:cs="宋体" w:eastAsia="宋体" w:hint="default"/>
                <w:sz w:val="18"/>
                <w:szCs w:val="18"/>
              </w:rPr>
              <w:t>股权激励</w:t>
            </w:r>
            <w:r>
              <w:rPr>
                <w:rFonts w:ascii="宋体" w:hAnsi="宋体" w:cs="宋体" w:eastAsia="宋体" w:hint="default"/>
                <w:sz w:val="18"/>
                <w:szCs w:val="18"/>
              </w:rPr>
              <w:t> </w:t>
            </w:r>
          </w:p>
        </w:tc>
        <w:tc>
          <w:tcPr>
            <w:tcW w:w="97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不适用</w:t>
            </w:r>
            <w:r>
              <w:rPr>
                <w:rFonts w:ascii="宋体" w:hAnsi="宋体" w:cs="宋体" w:eastAsia="宋体" w:hint="default"/>
                <w:sz w:val="18"/>
                <w:szCs w:val="18"/>
              </w:rPr>
              <w:t> </w:t>
            </w:r>
          </w:p>
        </w:tc>
      </w:tr>
      <w:tr>
        <w:trPr>
          <w:trHeight w:val="322" w:hRule="exact"/>
        </w:trPr>
        <w:tc>
          <w:tcPr>
            <w:tcW w:w="1949" w:type="dxa"/>
            <w:vMerge/>
            <w:tcBorders>
              <w:left w:val="single" w:sz="4" w:space="0" w:color="000000"/>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3"/>
              <w:jc w:val="right"/>
              <w:rPr>
                <w:rFonts w:ascii="宋体" w:hAnsi="宋体" w:cs="宋体" w:eastAsia="宋体" w:hint="default"/>
                <w:sz w:val="18"/>
                <w:szCs w:val="18"/>
              </w:rPr>
            </w:pPr>
            <w:r>
              <w:rPr>
                <w:rFonts w:ascii="宋体"/>
                <w:spacing w:val="-1"/>
                <w:sz w:val="18"/>
              </w:rPr>
              <w:t>100,000</w:t>
            </w:r>
            <w:r>
              <w:rPr>
                <w:rFonts w:ascii="宋体"/>
                <w:sz w:val="18"/>
              </w:rPr>
              <w:t> </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z w:val="18"/>
              </w:rPr>
              <w:t>0 </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z w:val="18"/>
              </w:rPr>
              <w:t>0 </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pacing w:val="-1"/>
                <w:sz w:val="18"/>
              </w:rPr>
              <w:t>100,000</w:t>
            </w:r>
            <w:r>
              <w:rPr>
                <w:rFonts w:ascii="宋体"/>
                <w:sz w:val="18"/>
              </w:rPr>
              <w:t> </w:t>
            </w:r>
          </w:p>
        </w:tc>
        <w:tc>
          <w:tcPr>
            <w:tcW w:w="1172" w:type="dxa"/>
            <w:vMerge/>
            <w:tcBorders>
              <w:left w:val="single" w:sz="4" w:space="0" w:color="000000"/>
              <w:right w:val="single" w:sz="4" w:space="0" w:color="000000"/>
            </w:tcBorders>
          </w:tcPr>
          <w:p>
            <w:pPr/>
          </w:p>
        </w:tc>
        <w:tc>
          <w:tcPr>
            <w:tcW w:w="977" w:type="dxa"/>
            <w:vMerge/>
            <w:tcBorders>
              <w:left w:val="single" w:sz="4" w:space="0" w:color="000000"/>
              <w:right w:val="single" w:sz="4" w:space="0" w:color="000000"/>
            </w:tcBorders>
          </w:tcPr>
          <w:p>
            <w:pPr/>
          </w:p>
        </w:tc>
      </w:tr>
      <w:tr>
        <w:trPr>
          <w:trHeight w:val="322" w:hRule="exact"/>
        </w:trPr>
        <w:tc>
          <w:tcPr>
            <w:tcW w:w="194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698" w:right="0"/>
              <w:jc w:val="left"/>
              <w:rPr>
                <w:rFonts w:ascii="宋体" w:hAnsi="宋体" w:cs="宋体" w:eastAsia="宋体" w:hint="default"/>
                <w:sz w:val="18"/>
                <w:szCs w:val="18"/>
              </w:rPr>
            </w:pPr>
            <w:r>
              <w:rPr>
                <w:rFonts w:ascii="宋体" w:hAnsi="宋体" w:cs="宋体" w:eastAsia="宋体" w:hint="default"/>
                <w:sz w:val="18"/>
                <w:szCs w:val="18"/>
              </w:rPr>
              <w:t>方壮志</w:t>
            </w:r>
            <w:r>
              <w:rPr>
                <w:rFonts w:ascii="宋体" w:hAnsi="宋体" w:cs="宋体" w:eastAsia="宋体" w:hint="default"/>
                <w:sz w:val="18"/>
                <w:szCs w:val="18"/>
              </w:rPr>
              <w:t> </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3"/>
              <w:jc w:val="right"/>
              <w:rPr>
                <w:rFonts w:ascii="宋体" w:hAnsi="宋体" w:cs="宋体" w:eastAsia="宋体" w:hint="default"/>
                <w:sz w:val="18"/>
                <w:szCs w:val="18"/>
              </w:rPr>
            </w:pPr>
            <w:r>
              <w:rPr>
                <w:rFonts w:ascii="宋体"/>
                <w:spacing w:val="-1"/>
                <w:sz w:val="18"/>
              </w:rPr>
              <w:t>150,000</w:t>
            </w:r>
            <w:r>
              <w:rPr>
                <w:rFonts w:ascii="宋体"/>
                <w:sz w:val="18"/>
              </w:rPr>
              <w:t> </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pacing w:val="-1"/>
                <w:sz w:val="18"/>
              </w:rPr>
              <w:t>150,000</w:t>
            </w:r>
            <w:r>
              <w:rPr>
                <w:rFonts w:ascii="宋体"/>
                <w:sz w:val="18"/>
              </w:rPr>
              <w:t> </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z w:val="18"/>
              </w:rPr>
              <w:t>0 </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z w:val="18"/>
              </w:rPr>
              <w:t>0 </w:t>
            </w:r>
          </w:p>
        </w:tc>
        <w:tc>
          <w:tcPr>
            <w:tcW w:w="1172" w:type="dxa"/>
            <w:vMerge/>
            <w:tcBorders>
              <w:left w:val="single" w:sz="4" w:space="0" w:color="000000"/>
              <w:right w:val="single" w:sz="4" w:space="0" w:color="000000"/>
            </w:tcBorders>
          </w:tcPr>
          <w:p>
            <w:pPr/>
          </w:p>
        </w:tc>
        <w:tc>
          <w:tcPr>
            <w:tcW w:w="977" w:type="dxa"/>
            <w:vMerge/>
            <w:tcBorders>
              <w:left w:val="single" w:sz="4" w:space="0" w:color="000000"/>
              <w:right w:val="single" w:sz="4" w:space="0" w:color="000000"/>
            </w:tcBorders>
          </w:tcPr>
          <w:p>
            <w:pPr/>
          </w:p>
        </w:tc>
      </w:tr>
      <w:tr>
        <w:trPr>
          <w:trHeight w:val="322" w:hRule="exact"/>
        </w:trPr>
        <w:tc>
          <w:tcPr>
            <w:tcW w:w="1949" w:type="dxa"/>
            <w:vMerge/>
            <w:tcBorders>
              <w:left w:val="single" w:sz="4" w:space="0" w:color="000000"/>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3"/>
              <w:jc w:val="right"/>
              <w:rPr>
                <w:rFonts w:ascii="宋体" w:hAnsi="宋体" w:cs="宋体" w:eastAsia="宋体" w:hint="default"/>
                <w:sz w:val="18"/>
                <w:szCs w:val="18"/>
              </w:rPr>
            </w:pPr>
            <w:r>
              <w:rPr>
                <w:rFonts w:ascii="宋体"/>
                <w:spacing w:val="-1"/>
                <w:sz w:val="18"/>
              </w:rPr>
              <w:t>200,000</w:t>
            </w:r>
            <w:r>
              <w:rPr>
                <w:rFonts w:ascii="宋体"/>
                <w:sz w:val="18"/>
              </w:rPr>
              <w:t> </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z w:val="18"/>
              </w:rPr>
              <w:t>0 </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z w:val="18"/>
              </w:rPr>
              <w:t>0 </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pacing w:val="-1"/>
                <w:sz w:val="18"/>
              </w:rPr>
              <w:t>200,000</w:t>
            </w:r>
            <w:r>
              <w:rPr>
                <w:rFonts w:ascii="宋体"/>
                <w:sz w:val="18"/>
              </w:rPr>
              <w:t> </w:t>
            </w:r>
          </w:p>
        </w:tc>
        <w:tc>
          <w:tcPr>
            <w:tcW w:w="1172" w:type="dxa"/>
            <w:vMerge/>
            <w:tcBorders>
              <w:left w:val="single" w:sz="4" w:space="0" w:color="000000"/>
              <w:right w:val="single" w:sz="4" w:space="0" w:color="000000"/>
            </w:tcBorders>
          </w:tcPr>
          <w:p>
            <w:pPr/>
          </w:p>
        </w:tc>
        <w:tc>
          <w:tcPr>
            <w:tcW w:w="977" w:type="dxa"/>
            <w:vMerge/>
            <w:tcBorders>
              <w:left w:val="single" w:sz="4" w:space="0" w:color="000000"/>
              <w:right w:val="single" w:sz="4" w:space="0" w:color="000000"/>
            </w:tcBorders>
          </w:tcPr>
          <w:p>
            <w:pPr/>
          </w:p>
        </w:tc>
      </w:tr>
      <w:tr>
        <w:trPr>
          <w:trHeight w:val="322" w:hRule="exact"/>
        </w:trPr>
        <w:tc>
          <w:tcPr>
            <w:tcW w:w="1949"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left="89" w:right="0"/>
              <w:jc w:val="center"/>
              <w:rPr>
                <w:rFonts w:ascii="宋体" w:hAnsi="宋体" w:cs="宋体" w:eastAsia="宋体" w:hint="default"/>
                <w:sz w:val="18"/>
                <w:szCs w:val="18"/>
              </w:rPr>
            </w:pPr>
            <w:r>
              <w:rPr>
                <w:rFonts w:ascii="宋体" w:hAnsi="宋体" w:cs="宋体" w:eastAsia="宋体" w:hint="default"/>
                <w:sz w:val="18"/>
                <w:szCs w:val="18"/>
              </w:rPr>
              <w:t>裴骏</w:t>
            </w:r>
            <w:r>
              <w:rPr>
                <w:rFonts w:ascii="宋体" w:hAnsi="宋体" w:cs="宋体" w:eastAsia="宋体" w:hint="default"/>
                <w:sz w:val="18"/>
                <w:szCs w:val="18"/>
              </w:rPr>
              <w:t> </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3"/>
              <w:jc w:val="right"/>
              <w:rPr>
                <w:rFonts w:ascii="宋体" w:hAnsi="宋体" w:cs="宋体" w:eastAsia="宋体" w:hint="default"/>
                <w:sz w:val="18"/>
                <w:szCs w:val="18"/>
              </w:rPr>
            </w:pPr>
            <w:r>
              <w:rPr>
                <w:rFonts w:ascii="宋体"/>
                <w:spacing w:val="-1"/>
                <w:sz w:val="18"/>
              </w:rPr>
              <w:t>220,000</w:t>
            </w:r>
            <w:r>
              <w:rPr>
                <w:rFonts w:ascii="宋体"/>
                <w:sz w:val="18"/>
              </w:rPr>
              <w:t> </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pacing w:val="-1"/>
                <w:sz w:val="18"/>
              </w:rPr>
              <w:t>220,000</w:t>
            </w:r>
            <w:r>
              <w:rPr>
                <w:rFonts w:ascii="宋体"/>
                <w:sz w:val="18"/>
              </w:rPr>
              <w:t> </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z w:val="18"/>
              </w:rPr>
              <w:t>0 </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z w:val="18"/>
              </w:rPr>
              <w:t>0 </w:t>
            </w:r>
          </w:p>
        </w:tc>
        <w:tc>
          <w:tcPr>
            <w:tcW w:w="1172" w:type="dxa"/>
            <w:vMerge/>
            <w:tcBorders>
              <w:left w:val="single" w:sz="4" w:space="0" w:color="000000"/>
              <w:right w:val="single" w:sz="4" w:space="0" w:color="000000"/>
            </w:tcBorders>
          </w:tcPr>
          <w:p>
            <w:pPr/>
          </w:p>
        </w:tc>
        <w:tc>
          <w:tcPr>
            <w:tcW w:w="977" w:type="dxa"/>
            <w:vMerge/>
            <w:tcBorders>
              <w:left w:val="single" w:sz="4" w:space="0" w:color="000000"/>
              <w:right w:val="single" w:sz="4" w:space="0" w:color="000000"/>
            </w:tcBorders>
          </w:tcPr>
          <w:p>
            <w:pPr/>
          </w:p>
        </w:tc>
      </w:tr>
      <w:tr>
        <w:trPr>
          <w:trHeight w:val="324" w:hRule="exact"/>
        </w:trPr>
        <w:tc>
          <w:tcPr>
            <w:tcW w:w="1949" w:type="dxa"/>
            <w:vMerge/>
            <w:tcBorders>
              <w:left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3"/>
              <w:jc w:val="right"/>
              <w:rPr>
                <w:rFonts w:ascii="宋体" w:hAnsi="宋体" w:cs="宋体" w:eastAsia="宋体" w:hint="default"/>
                <w:sz w:val="18"/>
                <w:szCs w:val="18"/>
              </w:rPr>
            </w:pPr>
            <w:r>
              <w:rPr>
                <w:rFonts w:ascii="宋体"/>
                <w:spacing w:val="-1"/>
                <w:sz w:val="18"/>
              </w:rPr>
              <w:t>160,000</w:t>
            </w:r>
            <w:r>
              <w:rPr>
                <w:rFonts w:ascii="宋体"/>
                <w:sz w:val="18"/>
              </w:rPr>
              <w:t> </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0 </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0 </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pacing w:val="-1"/>
                <w:sz w:val="18"/>
              </w:rPr>
              <w:t>160,000</w:t>
            </w:r>
            <w:r>
              <w:rPr>
                <w:rFonts w:ascii="宋体"/>
                <w:sz w:val="18"/>
              </w:rPr>
              <w:t> </w:t>
            </w:r>
          </w:p>
        </w:tc>
        <w:tc>
          <w:tcPr>
            <w:tcW w:w="1172" w:type="dxa"/>
            <w:vMerge/>
            <w:tcBorders>
              <w:left w:val="single" w:sz="4" w:space="0" w:color="000000"/>
              <w:right w:val="single" w:sz="4" w:space="0" w:color="000000"/>
            </w:tcBorders>
          </w:tcPr>
          <w:p>
            <w:pPr/>
          </w:p>
        </w:tc>
        <w:tc>
          <w:tcPr>
            <w:tcW w:w="977" w:type="dxa"/>
            <w:vMerge/>
            <w:tcBorders>
              <w:left w:val="single" w:sz="4" w:space="0" w:color="000000"/>
              <w:right w:val="single" w:sz="4" w:space="0" w:color="000000"/>
            </w:tcBorders>
          </w:tcPr>
          <w:p>
            <w:pPr/>
          </w:p>
        </w:tc>
      </w:tr>
      <w:tr>
        <w:trPr>
          <w:trHeight w:val="322" w:hRule="exact"/>
        </w:trPr>
        <w:tc>
          <w:tcPr>
            <w:tcW w:w="1949" w:type="dxa"/>
            <w:vMerge/>
            <w:tcBorders>
              <w:left w:val="single" w:sz="4" w:space="0" w:color="000000"/>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3"/>
              <w:jc w:val="right"/>
              <w:rPr>
                <w:rFonts w:ascii="宋体" w:hAnsi="宋体" w:cs="宋体" w:eastAsia="宋体" w:hint="default"/>
                <w:sz w:val="18"/>
                <w:szCs w:val="18"/>
              </w:rPr>
            </w:pPr>
            <w:r>
              <w:rPr>
                <w:rFonts w:ascii="宋体"/>
                <w:spacing w:val="-1"/>
                <w:sz w:val="18"/>
              </w:rPr>
              <w:t>100,000</w:t>
            </w:r>
            <w:r>
              <w:rPr>
                <w:rFonts w:ascii="宋体"/>
                <w:sz w:val="18"/>
              </w:rPr>
              <w:t> </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z w:val="18"/>
              </w:rPr>
              <w:t>0 </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z w:val="18"/>
              </w:rPr>
              <w:t>0 </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pacing w:val="-1"/>
                <w:sz w:val="18"/>
              </w:rPr>
              <w:t>100,000</w:t>
            </w:r>
            <w:r>
              <w:rPr>
                <w:rFonts w:ascii="宋体"/>
                <w:sz w:val="18"/>
              </w:rPr>
              <w:t> </w:t>
            </w:r>
          </w:p>
        </w:tc>
        <w:tc>
          <w:tcPr>
            <w:tcW w:w="1172" w:type="dxa"/>
            <w:vMerge/>
            <w:tcBorders>
              <w:left w:val="single" w:sz="4" w:space="0" w:color="000000"/>
              <w:right w:val="single" w:sz="4" w:space="0" w:color="000000"/>
            </w:tcBorders>
          </w:tcPr>
          <w:p>
            <w:pPr/>
          </w:p>
        </w:tc>
        <w:tc>
          <w:tcPr>
            <w:tcW w:w="977" w:type="dxa"/>
            <w:vMerge/>
            <w:tcBorders>
              <w:left w:val="single" w:sz="4" w:space="0" w:color="000000"/>
              <w:right w:val="single" w:sz="4" w:space="0" w:color="000000"/>
            </w:tcBorders>
          </w:tcPr>
          <w:p>
            <w:pPr/>
          </w:p>
        </w:tc>
      </w:tr>
      <w:tr>
        <w:trPr>
          <w:trHeight w:val="322" w:hRule="exact"/>
        </w:trPr>
        <w:tc>
          <w:tcPr>
            <w:tcW w:w="1949"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left="698" w:right="0"/>
              <w:jc w:val="left"/>
              <w:rPr>
                <w:rFonts w:ascii="宋体" w:hAnsi="宋体" w:cs="宋体" w:eastAsia="宋体" w:hint="default"/>
                <w:sz w:val="18"/>
                <w:szCs w:val="18"/>
              </w:rPr>
            </w:pPr>
            <w:r>
              <w:rPr>
                <w:rFonts w:ascii="宋体" w:hAnsi="宋体" w:cs="宋体" w:eastAsia="宋体" w:hint="default"/>
                <w:sz w:val="18"/>
                <w:szCs w:val="18"/>
              </w:rPr>
              <w:t>朱德省</w:t>
            </w:r>
            <w:r>
              <w:rPr>
                <w:rFonts w:ascii="宋体" w:hAnsi="宋体" w:cs="宋体" w:eastAsia="宋体" w:hint="default"/>
                <w:sz w:val="18"/>
                <w:szCs w:val="18"/>
              </w:rPr>
              <w:t> </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3"/>
              <w:jc w:val="right"/>
              <w:rPr>
                <w:rFonts w:ascii="宋体" w:hAnsi="宋体" w:cs="宋体" w:eastAsia="宋体" w:hint="default"/>
                <w:sz w:val="18"/>
                <w:szCs w:val="18"/>
              </w:rPr>
            </w:pPr>
            <w:r>
              <w:rPr>
                <w:rFonts w:ascii="宋体"/>
                <w:spacing w:val="-1"/>
                <w:sz w:val="18"/>
              </w:rPr>
              <w:t>130,000</w:t>
            </w:r>
            <w:r>
              <w:rPr>
                <w:rFonts w:ascii="宋体"/>
                <w:sz w:val="18"/>
              </w:rPr>
              <w:t> </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pacing w:val="-1"/>
                <w:sz w:val="18"/>
              </w:rPr>
              <w:t>130,000</w:t>
            </w:r>
            <w:r>
              <w:rPr>
                <w:rFonts w:ascii="宋体"/>
                <w:sz w:val="18"/>
              </w:rPr>
              <w:t> </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z w:val="18"/>
              </w:rPr>
              <w:t>0 </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z w:val="18"/>
              </w:rPr>
              <w:t>0 </w:t>
            </w:r>
          </w:p>
        </w:tc>
        <w:tc>
          <w:tcPr>
            <w:tcW w:w="1172" w:type="dxa"/>
            <w:vMerge/>
            <w:tcBorders>
              <w:left w:val="single" w:sz="4" w:space="0" w:color="000000"/>
              <w:right w:val="single" w:sz="4" w:space="0" w:color="000000"/>
            </w:tcBorders>
          </w:tcPr>
          <w:p>
            <w:pPr/>
          </w:p>
        </w:tc>
        <w:tc>
          <w:tcPr>
            <w:tcW w:w="977" w:type="dxa"/>
            <w:vMerge/>
            <w:tcBorders>
              <w:left w:val="single" w:sz="4" w:space="0" w:color="000000"/>
              <w:right w:val="single" w:sz="4" w:space="0" w:color="000000"/>
            </w:tcBorders>
          </w:tcPr>
          <w:p>
            <w:pPr/>
          </w:p>
        </w:tc>
      </w:tr>
      <w:tr>
        <w:trPr>
          <w:trHeight w:val="322" w:hRule="exact"/>
        </w:trPr>
        <w:tc>
          <w:tcPr>
            <w:tcW w:w="1949" w:type="dxa"/>
            <w:vMerge/>
            <w:tcBorders>
              <w:left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3"/>
              <w:jc w:val="right"/>
              <w:rPr>
                <w:rFonts w:ascii="宋体" w:hAnsi="宋体" w:cs="宋体" w:eastAsia="宋体" w:hint="default"/>
                <w:sz w:val="18"/>
                <w:szCs w:val="18"/>
              </w:rPr>
            </w:pPr>
            <w:r>
              <w:rPr>
                <w:rFonts w:ascii="宋体"/>
                <w:spacing w:val="-1"/>
                <w:sz w:val="18"/>
              </w:rPr>
              <w:t>140,000</w:t>
            </w:r>
            <w:r>
              <w:rPr>
                <w:rFonts w:ascii="宋体"/>
                <w:sz w:val="18"/>
              </w:rPr>
              <w:t> </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z w:val="18"/>
              </w:rPr>
              <w:t>0 </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z w:val="18"/>
              </w:rPr>
              <w:t>0 </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pacing w:val="-1"/>
                <w:sz w:val="18"/>
              </w:rPr>
              <w:t>140,000</w:t>
            </w:r>
            <w:r>
              <w:rPr>
                <w:rFonts w:ascii="宋体"/>
                <w:sz w:val="18"/>
              </w:rPr>
              <w:t> </w:t>
            </w:r>
          </w:p>
        </w:tc>
        <w:tc>
          <w:tcPr>
            <w:tcW w:w="1172" w:type="dxa"/>
            <w:vMerge/>
            <w:tcBorders>
              <w:left w:val="single" w:sz="4" w:space="0" w:color="000000"/>
              <w:right w:val="single" w:sz="4" w:space="0" w:color="000000"/>
            </w:tcBorders>
          </w:tcPr>
          <w:p>
            <w:pPr/>
          </w:p>
        </w:tc>
        <w:tc>
          <w:tcPr>
            <w:tcW w:w="977" w:type="dxa"/>
            <w:vMerge/>
            <w:tcBorders>
              <w:left w:val="single" w:sz="4" w:space="0" w:color="000000"/>
              <w:right w:val="single" w:sz="4" w:space="0" w:color="000000"/>
            </w:tcBorders>
          </w:tcPr>
          <w:p>
            <w:pPr/>
          </w:p>
        </w:tc>
      </w:tr>
      <w:tr>
        <w:trPr>
          <w:trHeight w:val="322" w:hRule="exact"/>
        </w:trPr>
        <w:tc>
          <w:tcPr>
            <w:tcW w:w="1949" w:type="dxa"/>
            <w:vMerge/>
            <w:tcBorders>
              <w:left w:val="single" w:sz="4" w:space="0" w:color="000000"/>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3"/>
              <w:jc w:val="right"/>
              <w:rPr>
                <w:rFonts w:ascii="宋体" w:hAnsi="宋体" w:cs="宋体" w:eastAsia="宋体" w:hint="default"/>
                <w:sz w:val="18"/>
                <w:szCs w:val="18"/>
              </w:rPr>
            </w:pPr>
            <w:r>
              <w:rPr>
                <w:rFonts w:ascii="宋体"/>
                <w:spacing w:val="-1"/>
                <w:sz w:val="18"/>
              </w:rPr>
              <w:t>25,000</w:t>
            </w:r>
            <w:r>
              <w:rPr>
                <w:rFonts w:ascii="宋体"/>
                <w:sz w:val="18"/>
              </w:rPr>
              <w:t> </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z w:val="18"/>
              </w:rPr>
              <w:t>0 </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z w:val="18"/>
              </w:rPr>
              <w:t>0 </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pacing w:val="-1"/>
                <w:sz w:val="18"/>
              </w:rPr>
              <w:t>25,000</w:t>
            </w:r>
            <w:r>
              <w:rPr>
                <w:rFonts w:ascii="宋体"/>
                <w:sz w:val="18"/>
              </w:rPr>
              <w:t> </w:t>
            </w:r>
          </w:p>
        </w:tc>
        <w:tc>
          <w:tcPr>
            <w:tcW w:w="1172" w:type="dxa"/>
            <w:vMerge/>
            <w:tcBorders>
              <w:left w:val="single" w:sz="4" w:space="0" w:color="000000"/>
              <w:right w:val="single" w:sz="4" w:space="0" w:color="000000"/>
            </w:tcBorders>
          </w:tcPr>
          <w:p>
            <w:pPr/>
          </w:p>
        </w:tc>
        <w:tc>
          <w:tcPr>
            <w:tcW w:w="977" w:type="dxa"/>
            <w:vMerge/>
            <w:tcBorders>
              <w:left w:val="single" w:sz="4" w:space="0" w:color="000000"/>
              <w:right w:val="single" w:sz="4" w:space="0" w:color="000000"/>
            </w:tcBorders>
          </w:tcPr>
          <w:p>
            <w:pPr/>
          </w:p>
        </w:tc>
      </w:tr>
      <w:tr>
        <w:trPr>
          <w:trHeight w:val="322" w:hRule="exact"/>
        </w:trPr>
        <w:tc>
          <w:tcPr>
            <w:tcW w:w="194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698" w:right="0"/>
              <w:jc w:val="left"/>
              <w:rPr>
                <w:rFonts w:ascii="宋体" w:hAnsi="宋体" w:cs="宋体" w:eastAsia="宋体" w:hint="default"/>
                <w:sz w:val="18"/>
                <w:szCs w:val="18"/>
              </w:rPr>
            </w:pPr>
            <w:r>
              <w:rPr>
                <w:rFonts w:ascii="宋体" w:hAnsi="宋体" w:cs="宋体" w:eastAsia="宋体" w:hint="default"/>
                <w:sz w:val="18"/>
                <w:szCs w:val="18"/>
              </w:rPr>
              <w:t>陆寒熹</w:t>
            </w:r>
            <w:r>
              <w:rPr>
                <w:rFonts w:ascii="宋体" w:hAnsi="宋体" w:cs="宋体" w:eastAsia="宋体" w:hint="default"/>
                <w:sz w:val="18"/>
                <w:szCs w:val="18"/>
              </w:rPr>
              <w:t> </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3"/>
              <w:jc w:val="right"/>
              <w:rPr>
                <w:rFonts w:ascii="宋体" w:hAnsi="宋体" w:cs="宋体" w:eastAsia="宋体" w:hint="default"/>
                <w:sz w:val="18"/>
                <w:szCs w:val="18"/>
              </w:rPr>
            </w:pPr>
            <w:r>
              <w:rPr>
                <w:rFonts w:ascii="宋体"/>
                <w:spacing w:val="-1"/>
                <w:sz w:val="18"/>
              </w:rPr>
              <w:t>105,000</w:t>
            </w:r>
            <w:r>
              <w:rPr>
                <w:rFonts w:ascii="宋体"/>
                <w:sz w:val="18"/>
              </w:rPr>
              <w:t> </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pacing w:val="-1"/>
                <w:sz w:val="18"/>
              </w:rPr>
              <w:t>105,000</w:t>
            </w:r>
            <w:r>
              <w:rPr>
                <w:rFonts w:ascii="宋体"/>
                <w:sz w:val="18"/>
              </w:rPr>
              <w:t> </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z w:val="18"/>
              </w:rPr>
              <w:t>0 </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z w:val="18"/>
              </w:rPr>
              <w:t>0 </w:t>
            </w:r>
          </w:p>
        </w:tc>
        <w:tc>
          <w:tcPr>
            <w:tcW w:w="1172" w:type="dxa"/>
            <w:vMerge/>
            <w:tcBorders>
              <w:left w:val="single" w:sz="4" w:space="0" w:color="000000"/>
              <w:right w:val="single" w:sz="4" w:space="0" w:color="000000"/>
            </w:tcBorders>
          </w:tcPr>
          <w:p>
            <w:pPr/>
          </w:p>
        </w:tc>
        <w:tc>
          <w:tcPr>
            <w:tcW w:w="977" w:type="dxa"/>
            <w:vMerge/>
            <w:tcBorders>
              <w:left w:val="single" w:sz="4" w:space="0" w:color="000000"/>
              <w:right w:val="single" w:sz="4" w:space="0" w:color="000000"/>
            </w:tcBorders>
          </w:tcPr>
          <w:p>
            <w:pPr/>
          </w:p>
        </w:tc>
      </w:tr>
      <w:tr>
        <w:trPr>
          <w:trHeight w:val="324" w:hRule="exact"/>
        </w:trPr>
        <w:tc>
          <w:tcPr>
            <w:tcW w:w="1949" w:type="dxa"/>
            <w:vMerge/>
            <w:tcBorders>
              <w:left w:val="single" w:sz="4" w:space="0" w:color="000000"/>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3"/>
              <w:jc w:val="right"/>
              <w:rPr>
                <w:rFonts w:ascii="宋体" w:hAnsi="宋体" w:cs="宋体" w:eastAsia="宋体" w:hint="default"/>
                <w:sz w:val="18"/>
                <w:szCs w:val="18"/>
              </w:rPr>
            </w:pPr>
            <w:r>
              <w:rPr>
                <w:rFonts w:ascii="宋体"/>
                <w:spacing w:val="-1"/>
                <w:sz w:val="18"/>
              </w:rPr>
              <w:t>140,000</w:t>
            </w:r>
            <w:r>
              <w:rPr>
                <w:rFonts w:ascii="宋体"/>
                <w:sz w:val="18"/>
              </w:rPr>
              <w:t> </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0 </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z w:val="18"/>
              </w:rPr>
              <w:t>0 </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spacing w:val="-1"/>
                <w:sz w:val="18"/>
              </w:rPr>
              <w:t>140,000</w:t>
            </w:r>
            <w:r>
              <w:rPr>
                <w:rFonts w:ascii="宋体"/>
                <w:sz w:val="18"/>
              </w:rPr>
              <w:t> </w:t>
            </w:r>
          </w:p>
        </w:tc>
        <w:tc>
          <w:tcPr>
            <w:tcW w:w="1172" w:type="dxa"/>
            <w:vMerge/>
            <w:tcBorders>
              <w:left w:val="single" w:sz="4" w:space="0" w:color="000000"/>
              <w:right w:val="single" w:sz="4" w:space="0" w:color="000000"/>
            </w:tcBorders>
          </w:tcPr>
          <w:p>
            <w:pPr/>
          </w:p>
        </w:tc>
        <w:tc>
          <w:tcPr>
            <w:tcW w:w="977" w:type="dxa"/>
            <w:vMerge/>
            <w:tcBorders>
              <w:left w:val="single" w:sz="4" w:space="0" w:color="000000"/>
              <w:right w:val="single" w:sz="4" w:space="0" w:color="000000"/>
            </w:tcBorders>
          </w:tcPr>
          <w:p>
            <w:pPr/>
          </w:p>
        </w:tc>
      </w:tr>
      <w:tr>
        <w:trPr>
          <w:trHeight w:val="322" w:hRule="exact"/>
        </w:trPr>
        <w:tc>
          <w:tcPr>
            <w:tcW w:w="194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698" w:right="0"/>
              <w:jc w:val="left"/>
              <w:rPr>
                <w:rFonts w:ascii="宋体" w:hAnsi="宋体" w:cs="宋体" w:eastAsia="宋体" w:hint="default"/>
                <w:sz w:val="18"/>
                <w:szCs w:val="18"/>
              </w:rPr>
            </w:pPr>
            <w:r>
              <w:rPr>
                <w:rFonts w:ascii="宋体" w:hAnsi="宋体" w:cs="宋体" w:eastAsia="宋体" w:hint="default"/>
                <w:sz w:val="18"/>
                <w:szCs w:val="18"/>
              </w:rPr>
              <w:t>林少武</w:t>
            </w:r>
            <w:r>
              <w:rPr>
                <w:rFonts w:ascii="宋体" w:hAnsi="宋体" w:cs="宋体" w:eastAsia="宋体" w:hint="default"/>
                <w:sz w:val="18"/>
                <w:szCs w:val="18"/>
              </w:rPr>
              <w:t> </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3"/>
              <w:jc w:val="right"/>
              <w:rPr>
                <w:rFonts w:ascii="宋体" w:hAnsi="宋体" w:cs="宋体" w:eastAsia="宋体" w:hint="default"/>
                <w:sz w:val="18"/>
                <w:szCs w:val="18"/>
              </w:rPr>
            </w:pPr>
            <w:r>
              <w:rPr>
                <w:rFonts w:ascii="宋体"/>
                <w:spacing w:val="-1"/>
                <w:sz w:val="18"/>
              </w:rPr>
              <w:t>90,000</w:t>
            </w:r>
            <w:r>
              <w:rPr>
                <w:rFonts w:ascii="宋体"/>
                <w:sz w:val="18"/>
              </w:rPr>
              <w:t> </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pacing w:val="-1"/>
                <w:sz w:val="18"/>
              </w:rPr>
              <w:t>90,000</w:t>
            </w:r>
            <w:r>
              <w:rPr>
                <w:rFonts w:ascii="宋体"/>
                <w:sz w:val="18"/>
              </w:rPr>
              <w:t> </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z w:val="18"/>
              </w:rPr>
              <w:t>0 </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z w:val="18"/>
              </w:rPr>
              <w:t>0 </w:t>
            </w:r>
          </w:p>
        </w:tc>
        <w:tc>
          <w:tcPr>
            <w:tcW w:w="1172" w:type="dxa"/>
            <w:vMerge/>
            <w:tcBorders>
              <w:left w:val="single" w:sz="4" w:space="0" w:color="000000"/>
              <w:right w:val="single" w:sz="4" w:space="0" w:color="000000"/>
            </w:tcBorders>
          </w:tcPr>
          <w:p>
            <w:pPr/>
          </w:p>
        </w:tc>
        <w:tc>
          <w:tcPr>
            <w:tcW w:w="977" w:type="dxa"/>
            <w:vMerge/>
            <w:tcBorders>
              <w:left w:val="single" w:sz="4" w:space="0" w:color="000000"/>
              <w:right w:val="single" w:sz="4" w:space="0" w:color="000000"/>
            </w:tcBorders>
          </w:tcPr>
          <w:p>
            <w:pPr/>
          </w:p>
        </w:tc>
      </w:tr>
      <w:tr>
        <w:trPr>
          <w:trHeight w:val="322" w:hRule="exact"/>
        </w:trPr>
        <w:tc>
          <w:tcPr>
            <w:tcW w:w="1949" w:type="dxa"/>
            <w:vMerge/>
            <w:tcBorders>
              <w:left w:val="single" w:sz="4" w:space="0" w:color="000000"/>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3"/>
              <w:jc w:val="right"/>
              <w:rPr>
                <w:rFonts w:ascii="宋体" w:hAnsi="宋体" w:cs="宋体" w:eastAsia="宋体" w:hint="default"/>
                <w:sz w:val="18"/>
                <w:szCs w:val="18"/>
              </w:rPr>
            </w:pPr>
            <w:r>
              <w:rPr>
                <w:rFonts w:ascii="宋体"/>
                <w:spacing w:val="-1"/>
                <w:sz w:val="18"/>
              </w:rPr>
              <w:t>120,000</w:t>
            </w:r>
            <w:r>
              <w:rPr>
                <w:rFonts w:ascii="宋体"/>
                <w:sz w:val="18"/>
              </w:rPr>
              <w:t> </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z w:val="18"/>
              </w:rPr>
              <w:t>0 </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z w:val="18"/>
              </w:rPr>
              <w:t>0 </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pacing w:val="-1"/>
                <w:sz w:val="18"/>
              </w:rPr>
              <w:t>120,000</w:t>
            </w:r>
            <w:r>
              <w:rPr>
                <w:rFonts w:ascii="宋体"/>
                <w:sz w:val="18"/>
              </w:rPr>
              <w:t> </w:t>
            </w:r>
          </w:p>
        </w:tc>
        <w:tc>
          <w:tcPr>
            <w:tcW w:w="1172" w:type="dxa"/>
            <w:vMerge/>
            <w:tcBorders>
              <w:left w:val="single" w:sz="4" w:space="0" w:color="000000"/>
              <w:right w:val="single" w:sz="4" w:space="0" w:color="000000"/>
            </w:tcBorders>
          </w:tcPr>
          <w:p>
            <w:pPr/>
          </w:p>
        </w:tc>
        <w:tc>
          <w:tcPr>
            <w:tcW w:w="977" w:type="dxa"/>
            <w:vMerge/>
            <w:tcBorders>
              <w:left w:val="single" w:sz="4" w:space="0" w:color="000000"/>
              <w:right w:val="single" w:sz="4" w:space="0" w:color="000000"/>
            </w:tcBorders>
          </w:tcPr>
          <w:p>
            <w:pPr/>
          </w:p>
        </w:tc>
      </w:tr>
      <w:tr>
        <w:trPr>
          <w:trHeight w:val="322" w:hRule="exact"/>
        </w:trPr>
        <w:tc>
          <w:tcPr>
            <w:tcW w:w="194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698" w:right="0"/>
              <w:jc w:val="left"/>
              <w:rPr>
                <w:rFonts w:ascii="宋体" w:hAnsi="宋体" w:cs="宋体" w:eastAsia="宋体" w:hint="default"/>
                <w:sz w:val="18"/>
                <w:szCs w:val="18"/>
              </w:rPr>
            </w:pPr>
            <w:r>
              <w:rPr>
                <w:rFonts w:ascii="宋体" w:hAnsi="宋体" w:cs="宋体" w:eastAsia="宋体" w:hint="default"/>
                <w:sz w:val="18"/>
                <w:szCs w:val="18"/>
              </w:rPr>
              <w:t>施洪生</w:t>
            </w:r>
            <w:r>
              <w:rPr>
                <w:rFonts w:ascii="宋体" w:hAnsi="宋体" w:cs="宋体" w:eastAsia="宋体" w:hint="default"/>
                <w:sz w:val="18"/>
                <w:szCs w:val="18"/>
              </w:rPr>
              <w:t> </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3"/>
              <w:jc w:val="right"/>
              <w:rPr>
                <w:rFonts w:ascii="宋体" w:hAnsi="宋体" w:cs="宋体" w:eastAsia="宋体" w:hint="default"/>
                <w:sz w:val="18"/>
                <w:szCs w:val="18"/>
              </w:rPr>
            </w:pPr>
            <w:r>
              <w:rPr>
                <w:rFonts w:ascii="宋体"/>
                <w:spacing w:val="-1"/>
                <w:sz w:val="18"/>
              </w:rPr>
              <w:t>69,000</w:t>
            </w:r>
            <w:r>
              <w:rPr>
                <w:rFonts w:ascii="宋体"/>
                <w:sz w:val="18"/>
              </w:rPr>
              <w:t> </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pacing w:val="-1"/>
                <w:sz w:val="18"/>
              </w:rPr>
              <w:t>69,000</w:t>
            </w:r>
            <w:r>
              <w:rPr>
                <w:rFonts w:ascii="宋体"/>
                <w:sz w:val="18"/>
              </w:rPr>
              <w:t> </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z w:val="18"/>
              </w:rPr>
              <w:t>0 </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z w:val="18"/>
              </w:rPr>
              <w:t>0 </w:t>
            </w:r>
          </w:p>
        </w:tc>
        <w:tc>
          <w:tcPr>
            <w:tcW w:w="1172" w:type="dxa"/>
            <w:vMerge/>
            <w:tcBorders>
              <w:left w:val="single" w:sz="4" w:space="0" w:color="000000"/>
              <w:right w:val="single" w:sz="4" w:space="0" w:color="000000"/>
            </w:tcBorders>
          </w:tcPr>
          <w:p>
            <w:pPr/>
          </w:p>
        </w:tc>
        <w:tc>
          <w:tcPr>
            <w:tcW w:w="977" w:type="dxa"/>
            <w:vMerge/>
            <w:tcBorders>
              <w:left w:val="single" w:sz="4" w:space="0" w:color="000000"/>
              <w:right w:val="single" w:sz="4" w:space="0" w:color="000000"/>
            </w:tcBorders>
          </w:tcPr>
          <w:p>
            <w:pPr/>
          </w:p>
        </w:tc>
      </w:tr>
      <w:tr>
        <w:trPr>
          <w:trHeight w:val="322" w:hRule="exact"/>
        </w:trPr>
        <w:tc>
          <w:tcPr>
            <w:tcW w:w="1949" w:type="dxa"/>
            <w:vMerge/>
            <w:tcBorders>
              <w:left w:val="single" w:sz="4" w:space="0" w:color="000000"/>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3"/>
              <w:jc w:val="right"/>
              <w:rPr>
                <w:rFonts w:ascii="宋体" w:hAnsi="宋体" w:cs="宋体" w:eastAsia="宋体" w:hint="default"/>
                <w:sz w:val="18"/>
                <w:szCs w:val="18"/>
              </w:rPr>
            </w:pPr>
            <w:r>
              <w:rPr>
                <w:rFonts w:ascii="宋体"/>
                <w:spacing w:val="-1"/>
                <w:sz w:val="18"/>
              </w:rPr>
              <w:t>92,000</w:t>
            </w:r>
            <w:r>
              <w:rPr>
                <w:rFonts w:ascii="宋体"/>
                <w:sz w:val="18"/>
              </w:rPr>
              <w:t> </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z w:val="18"/>
              </w:rPr>
              <w:t>0 </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z w:val="18"/>
              </w:rPr>
              <w:t>0 </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pacing w:val="-1"/>
                <w:sz w:val="18"/>
              </w:rPr>
              <w:t>92,000</w:t>
            </w:r>
            <w:r>
              <w:rPr>
                <w:rFonts w:ascii="宋体"/>
                <w:sz w:val="18"/>
              </w:rPr>
              <w:t> </w:t>
            </w:r>
          </w:p>
        </w:tc>
        <w:tc>
          <w:tcPr>
            <w:tcW w:w="1172" w:type="dxa"/>
            <w:vMerge/>
            <w:tcBorders>
              <w:left w:val="single" w:sz="4" w:space="0" w:color="000000"/>
              <w:right w:val="single" w:sz="4" w:space="0" w:color="000000"/>
            </w:tcBorders>
          </w:tcPr>
          <w:p>
            <w:pPr/>
          </w:p>
        </w:tc>
        <w:tc>
          <w:tcPr>
            <w:tcW w:w="977" w:type="dxa"/>
            <w:vMerge/>
            <w:tcBorders>
              <w:left w:val="single" w:sz="4" w:space="0" w:color="000000"/>
              <w:right w:val="single" w:sz="4" w:space="0" w:color="000000"/>
            </w:tcBorders>
          </w:tcPr>
          <w:p>
            <w:pPr/>
          </w:p>
        </w:tc>
      </w:tr>
      <w:tr>
        <w:trPr>
          <w:trHeight w:val="322" w:hRule="exact"/>
        </w:trPr>
        <w:tc>
          <w:tcPr>
            <w:tcW w:w="1949"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left="698" w:right="0"/>
              <w:jc w:val="left"/>
              <w:rPr>
                <w:rFonts w:ascii="宋体" w:hAnsi="宋体" w:cs="宋体" w:eastAsia="宋体" w:hint="default"/>
                <w:sz w:val="18"/>
                <w:szCs w:val="18"/>
              </w:rPr>
            </w:pPr>
            <w:r>
              <w:rPr>
                <w:rFonts w:ascii="宋体" w:hAnsi="宋体" w:cs="宋体" w:eastAsia="宋体" w:hint="default"/>
                <w:sz w:val="18"/>
                <w:szCs w:val="18"/>
              </w:rPr>
              <w:t>崔东旭</w:t>
            </w:r>
            <w:r>
              <w:rPr>
                <w:rFonts w:ascii="宋体" w:hAnsi="宋体" w:cs="宋体" w:eastAsia="宋体" w:hint="default"/>
                <w:sz w:val="18"/>
                <w:szCs w:val="18"/>
              </w:rPr>
              <w:t> </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3"/>
              <w:jc w:val="right"/>
              <w:rPr>
                <w:rFonts w:ascii="宋体" w:hAnsi="宋体" w:cs="宋体" w:eastAsia="宋体" w:hint="default"/>
                <w:sz w:val="18"/>
                <w:szCs w:val="18"/>
              </w:rPr>
            </w:pPr>
            <w:r>
              <w:rPr>
                <w:rFonts w:ascii="宋体"/>
                <w:spacing w:val="-1"/>
                <w:sz w:val="18"/>
              </w:rPr>
              <w:t>110,000</w:t>
            </w:r>
            <w:r>
              <w:rPr>
                <w:rFonts w:ascii="宋体"/>
                <w:sz w:val="18"/>
              </w:rPr>
              <w:t> </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pacing w:val="-1"/>
                <w:sz w:val="18"/>
              </w:rPr>
              <w:t>110,000</w:t>
            </w:r>
            <w:r>
              <w:rPr>
                <w:rFonts w:ascii="宋体"/>
                <w:sz w:val="18"/>
              </w:rPr>
              <w:t> </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z w:val="18"/>
              </w:rPr>
              <w:t>0 </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z w:val="18"/>
              </w:rPr>
              <w:t>0 </w:t>
            </w:r>
          </w:p>
        </w:tc>
        <w:tc>
          <w:tcPr>
            <w:tcW w:w="1172" w:type="dxa"/>
            <w:vMerge/>
            <w:tcBorders>
              <w:left w:val="single" w:sz="4" w:space="0" w:color="000000"/>
              <w:right w:val="single" w:sz="4" w:space="0" w:color="000000"/>
            </w:tcBorders>
          </w:tcPr>
          <w:p>
            <w:pPr/>
          </w:p>
        </w:tc>
        <w:tc>
          <w:tcPr>
            <w:tcW w:w="977" w:type="dxa"/>
            <w:vMerge/>
            <w:tcBorders>
              <w:left w:val="single" w:sz="4" w:space="0" w:color="000000"/>
              <w:right w:val="single" w:sz="4" w:space="0" w:color="000000"/>
            </w:tcBorders>
          </w:tcPr>
          <w:p>
            <w:pPr/>
          </w:p>
        </w:tc>
      </w:tr>
      <w:tr>
        <w:trPr>
          <w:trHeight w:val="324" w:hRule="exact"/>
        </w:trPr>
        <w:tc>
          <w:tcPr>
            <w:tcW w:w="1949" w:type="dxa"/>
            <w:vMerge/>
            <w:tcBorders>
              <w:left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3"/>
              <w:jc w:val="right"/>
              <w:rPr>
                <w:rFonts w:ascii="宋体" w:hAnsi="宋体" w:cs="宋体" w:eastAsia="宋体" w:hint="default"/>
                <w:sz w:val="18"/>
                <w:szCs w:val="18"/>
              </w:rPr>
            </w:pPr>
            <w:r>
              <w:rPr>
                <w:rFonts w:ascii="宋体"/>
                <w:spacing w:val="-1"/>
                <w:sz w:val="18"/>
              </w:rPr>
              <w:t>80,000</w:t>
            </w:r>
            <w:r>
              <w:rPr>
                <w:rFonts w:ascii="宋体"/>
                <w:sz w:val="18"/>
              </w:rPr>
              <w:t> </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1"/>
              <w:jc w:val="right"/>
              <w:rPr>
                <w:rFonts w:ascii="宋体" w:hAnsi="宋体" w:cs="宋体" w:eastAsia="宋体" w:hint="default"/>
                <w:sz w:val="18"/>
                <w:szCs w:val="18"/>
              </w:rPr>
            </w:pPr>
            <w:r>
              <w:rPr>
                <w:rFonts w:ascii="宋体"/>
                <w:sz w:val="18"/>
              </w:rPr>
              <w:t>0 </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1"/>
              <w:jc w:val="right"/>
              <w:rPr>
                <w:rFonts w:ascii="宋体" w:hAnsi="宋体" w:cs="宋体" w:eastAsia="宋体" w:hint="default"/>
                <w:sz w:val="18"/>
                <w:szCs w:val="18"/>
              </w:rPr>
            </w:pPr>
            <w:r>
              <w:rPr>
                <w:rFonts w:ascii="宋体"/>
                <w:sz w:val="18"/>
              </w:rPr>
              <w:t>0 </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1"/>
              <w:jc w:val="right"/>
              <w:rPr>
                <w:rFonts w:ascii="宋体" w:hAnsi="宋体" w:cs="宋体" w:eastAsia="宋体" w:hint="default"/>
                <w:sz w:val="18"/>
                <w:szCs w:val="18"/>
              </w:rPr>
            </w:pPr>
            <w:r>
              <w:rPr>
                <w:rFonts w:ascii="宋体"/>
                <w:spacing w:val="-1"/>
                <w:sz w:val="18"/>
              </w:rPr>
              <w:t>80,000</w:t>
            </w:r>
            <w:r>
              <w:rPr>
                <w:rFonts w:ascii="宋体"/>
                <w:sz w:val="18"/>
              </w:rPr>
              <w:t> </w:t>
            </w:r>
          </w:p>
        </w:tc>
        <w:tc>
          <w:tcPr>
            <w:tcW w:w="1172" w:type="dxa"/>
            <w:vMerge/>
            <w:tcBorders>
              <w:left w:val="single" w:sz="4" w:space="0" w:color="000000"/>
              <w:right w:val="single" w:sz="4" w:space="0" w:color="000000"/>
            </w:tcBorders>
          </w:tcPr>
          <w:p>
            <w:pPr/>
          </w:p>
        </w:tc>
        <w:tc>
          <w:tcPr>
            <w:tcW w:w="977" w:type="dxa"/>
            <w:vMerge/>
            <w:tcBorders>
              <w:left w:val="single" w:sz="4" w:space="0" w:color="000000"/>
              <w:right w:val="single" w:sz="4" w:space="0" w:color="000000"/>
            </w:tcBorders>
          </w:tcPr>
          <w:p>
            <w:pPr/>
          </w:p>
        </w:tc>
      </w:tr>
      <w:tr>
        <w:trPr>
          <w:trHeight w:val="322" w:hRule="exact"/>
        </w:trPr>
        <w:tc>
          <w:tcPr>
            <w:tcW w:w="1949" w:type="dxa"/>
            <w:vMerge/>
            <w:tcBorders>
              <w:left w:val="single" w:sz="4" w:space="0" w:color="000000"/>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3"/>
              <w:jc w:val="right"/>
              <w:rPr>
                <w:rFonts w:ascii="宋体" w:hAnsi="宋体" w:cs="宋体" w:eastAsia="宋体" w:hint="default"/>
                <w:sz w:val="18"/>
                <w:szCs w:val="18"/>
              </w:rPr>
            </w:pPr>
            <w:r>
              <w:rPr>
                <w:rFonts w:ascii="宋体"/>
                <w:spacing w:val="-1"/>
                <w:sz w:val="18"/>
              </w:rPr>
              <w:t>50,000</w:t>
            </w:r>
            <w:r>
              <w:rPr>
                <w:rFonts w:ascii="宋体"/>
                <w:sz w:val="18"/>
              </w:rPr>
              <w:t> </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z w:val="18"/>
              </w:rPr>
              <w:t>0 </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z w:val="18"/>
              </w:rPr>
              <w:t>0 </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pacing w:val="-1"/>
                <w:sz w:val="18"/>
              </w:rPr>
              <w:t>50,000</w:t>
            </w:r>
            <w:r>
              <w:rPr>
                <w:rFonts w:ascii="宋体"/>
                <w:sz w:val="18"/>
              </w:rPr>
              <w:t> </w:t>
            </w:r>
          </w:p>
        </w:tc>
        <w:tc>
          <w:tcPr>
            <w:tcW w:w="1172" w:type="dxa"/>
            <w:vMerge/>
            <w:tcBorders>
              <w:left w:val="single" w:sz="4" w:space="0" w:color="000000"/>
              <w:right w:val="single" w:sz="4" w:space="0" w:color="000000"/>
            </w:tcBorders>
          </w:tcPr>
          <w:p>
            <w:pPr/>
          </w:p>
        </w:tc>
        <w:tc>
          <w:tcPr>
            <w:tcW w:w="977" w:type="dxa"/>
            <w:vMerge/>
            <w:tcBorders>
              <w:left w:val="single" w:sz="4" w:space="0" w:color="000000"/>
              <w:right w:val="single" w:sz="4" w:space="0" w:color="000000"/>
            </w:tcBorders>
          </w:tcPr>
          <w:p>
            <w:pPr/>
          </w:p>
        </w:tc>
      </w:tr>
      <w:tr>
        <w:trPr>
          <w:trHeight w:val="322" w:hRule="exact"/>
        </w:trPr>
        <w:tc>
          <w:tcPr>
            <w:tcW w:w="1949" w:type="dxa"/>
            <w:vMerge w:val="restart"/>
            <w:tcBorders>
              <w:top w:val="single" w:sz="4" w:space="0" w:color="000000"/>
              <w:left w:val="single" w:sz="4" w:space="0" w:color="000000"/>
              <w:right w:val="single" w:sz="4" w:space="0" w:color="000000"/>
            </w:tcBorders>
          </w:tcPr>
          <w:p>
            <w:pPr>
              <w:pStyle w:val="TableParagraph"/>
              <w:spacing w:line="304" w:lineRule="auto" w:before="8"/>
              <w:ind w:left="156" w:right="156"/>
              <w:jc w:val="center"/>
              <w:rPr>
                <w:rFonts w:ascii="宋体" w:hAnsi="宋体" w:cs="宋体" w:eastAsia="宋体" w:hint="default"/>
                <w:sz w:val="18"/>
                <w:szCs w:val="18"/>
              </w:rPr>
            </w:pPr>
            <w:r>
              <w:rPr>
                <w:rFonts w:ascii="宋体" w:hAnsi="宋体" w:cs="宋体" w:eastAsia="宋体" w:hint="default"/>
                <w:sz w:val="18"/>
                <w:szCs w:val="18"/>
              </w:rPr>
              <w:t>第二期激励计划首次 授予的其他</w:t>
            </w:r>
            <w:r>
              <w:rPr>
                <w:rFonts w:ascii="宋体" w:hAnsi="宋体" w:cs="宋体" w:eastAsia="宋体" w:hint="default"/>
                <w:spacing w:val="-46"/>
                <w:sz w:val="18"/>
                <w:szCs w:val="18"/>
              </w:rPr>
              <w:t> </w:t>
            </w:r>
            <w:r>
              <w:rPr>
                <w:rFonts w:ascii="Calibri" w:hAnsi="Calibri" w:cs="Calibri" w:eastAsia="Calibri" w:hint="default"/>
                <w:sz w:val="18"/>
                <w:szCs w:val="18"/>
              </w:rPr>
              <w:t>213</w:t>
            </w:r>
            <w:r>
              <w:rPr>
                <w:rFonts w:ascii="Calibri" w:hAnsi="Calibri" w:cs="Calibri" w:eastAsia="Calibri" w:hint="default"/>
                <w:spacing w:val="3"/>
                <w:sz w:val="18"/>
                <w:szCs w:val="18"/>
              </w:rPr>
              <w:t> </w:t>
            </w:r>
            <w:r>
              <w:rPr>
                <w:rFonts w:ascii="宋体" w:hAnsi="宋体" w:cs="宋体" w:eastAsia="宋体" w:hint="default"/>
                <w:sz w:val="18"/>
                <w:szCs w:val="18"/>
              </w:rPr>
              <w:t>名激 励对象</w:t>
            </w:r>
            <w:r>
              <w:rPr>
                <w:rFonts w:ascii="宋体" w:hAnsi="宋体" w:cs="宋体" w:eastAsia="宋体" w:hint="default"/>
                <w:sz w:val="18"/>
                <w:szCs w:val="18"/>
              </w:rPr>
              <w:t> </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3"/>
              <w:jc w:val="right"/>
              <w:rPr>
                <w:rFonts w:ascii="宋体" w:hAnsi="宋体" w:cs="宋体" w:eastAsia="宋体" w:hint="default"/>
                <w:sz w:val="18"/>
                <w:szCs w:val="18"/>
              </w:rPr>
            </w:pPr>
            <w:r>
              <w:rPr>
                <w:rFonts w:ascii="宋体"/>
                <w:spacing w:val="-1"/>
                <w:sz w:val="18"/>
              </w:rPr>
              <w:t>5,643,000</w:t>
            </w:r>
            <w:r>
              <w:rPr>
                <w:rFonts w:ascii="宋体"/>
                <w:sz w:val="18"/>
              </w:rPr>
              <w:t> </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pacing w:val="-1"/>
                <w:sz w:val="18"/>
              </w:rPr>
              <w:t>5,643,000</w:t>
            </w:r>
            <w:r>
              <w:rPr>
                <w:rFonts w:ascii="宋体"/>
                <w:sz w:val="18"/>
              </w:rPr>
              <w:t> </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z w:val="18"/>
              </w:rPr>
              <w:t>0 </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z w:val="18"/>
              </w:rPr>
              <w:t>0 </w:t>
            </w:r>
          </w:p>
        </w:tc>
        <w:tc>
          <w:tcPr>
            <w:tcW w:w="1172" w:type="dxa"/>
            <w:vMerge/>
            <w:tcBorders>
              <w:left w:val="single" w:sz="4" w:space="0" w:color="000000"/>
              <w:right w:val="single" w:sz="4" w:space="0" w:color="000000"/>
            </w:tcBorders>
          </w:tcPr>
          <w:p>
            <w:pPr/>
          </w:p>
        </w:tc>
        <w:tc>
          <w:tcPr>
            <w:tcW w:w="977" w:type="dxa"/>
            <w:vMerge/>
            <w:tcBorders>
              <w:left w:val="single" w:sz="4" w:space="0" w:color="000000"/>
              <w:right w:val="single" w:sz="4" w:space="0" w:color="000000"/>
            </w:tcBorders>
          </w:tcPr>
          <w:p>
            <w:pPr/>
          </w:p>
        </w:tc>
      </w:tr>
      <w:tr>
        <w:trPr>
          <w:trHeight w:val="624" w:hRule="exact"/>
        </w:trPr>
        <w:tc>
          <w:tcPr>
            <w:tcW w:w="1949" w:type="dxa"/>
            <w:vMerge/>
            <w:tcBorders>
              <w:left w:val="single" w:sz="4" w:space="0" w:color="000000"/>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13"/>
              <w:jc w:val="right"/>
              <w:rPr>
                <w:rFonts w:ascii="宋体" w:hAnsi="宋体" w:cs="宋体" w:eastAsia="宋体" w:hint="default"/>
                <w:sz w:val="18"/>
                <w:szCs w:val="18"/>
              </w:rPr>
            </w:pPr>
            <w:r>
              <w:rPr>
                <w:rFonts w:ascii="宋体"/>
                <w:spacing w:val="-1"/>
                <w:sz w:val="18"/>
              </w:rPr>
              <w:t>7,492,000</w:t>
            </w:r>
            <w:r>
              <w:rPr>
                <w:rFonts w:ascii="宋体"/>
                <w:sz w:val="18"/>
              </w:rPr>
              <w:t> </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11"/>
              <w:jc w:val="right"/>
              <w:rPr>
                <w:rFonts w:ascii="宋体" w:hAnsi="宋体" w:cs="宋体" w:eastAsia="宋体" w:hint="default"/>
                <w:sz w:val="18"/>
                <w:szCs w:val="18"/>
              </w:rPr>
            </w:pPr>
            <w:r>
              <w:rPr>
                <w:rFonts w:ascii="宋体"/>
                <w:spacing w:val="-1"/>
                <w:sz w:val="18"/>
              </w:rPr>
              <w:t>432,000</w:t>
            </w:r>
            <w:r>
              <w:rPr>
                <w:rFonts w:ascii="宋体"/>
                <w:sz w:val="18"/>
              </w:rPr>
              <w:t> </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11"/>
              <w:jc w:val="right"/>
              <w:rPr>
                <w:rFonts w:ascii="宋体" w:hAnsi="宋体" w:cs="宋体" w:eastAsia="宋体" w:hint="default"/>
                <w:sz w:val="18"/>
                <w:szCs w:val="18"/>
              </w:rPr>
            </w:pPr>
            <w:r>
              <w:rPr>
                <w:rFonts w:ascii="宋体"/>
                <w:sz w:val="18"/>
              </w:rPr>
              <w:t>0 </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11"/>
              <w:jc w:val="right"/>
              <w:rPr>
                <w:rFonts w:ascii="宋体" w:hAnsi="宋体" w:cs="宋体" w:eastAsia="宋体" w:hint="default"/>
                <w:sz w:val="18"/>
                <w:szCs w:val="18"/>
              </w:rPr>
            </w:pPr>
            <w:r>
              <w:rPr>
                <w:rFonts w:ascii="宋体"/>
                <w:spacing w:val="-1"/>
                <w:sz w:val="18"/>
              </w:rPr>
              <w:t>7,060,000</w:t>
            </w:r>
            <w:r>
              <w:rPr>
                <w:rFonts w:ascii="宋体"/>
                <w:sz w:val="18"/>
              </w:rPr>
              <w:t> </w:t>
            </w:r>
          </w:p>
        </w:tc>
        <w:tc>
          <w:tcPr>
            <w:tcW w:w="1172" w:type="dxa"/>
            <w:vMerge/>
            <w:tcBorders>
              <w:left w:val="single" w:sz="4" w:space="0" w:color="000000"/>
              <w:right w:val="single" w:sz="4" w:space="0" w:color="000000"/>
            </w:tcBorders>
          </w:tcPr>
          <w:p>
            <w:pPr/>
          </w:p>
        </w:tc>
        <w:tc>
          <w:tcPr>
            <w:tcW w:w="977" w:type="dxa"/>
            <w:vMerge/>
            <w:tcBorders>
              <w:left w:val="single" w:sz="4" w:space="0" w:color="000000"/>
              <w:right w:val="single" w:sz="4" w:space="0" w:color="000000"/>
            </w:tcBorders>
          </w:tcPr>
          <w:p>
            <w:pPr/>
          </w:p>
        </w:tc>
      </w:tr>
      <w:tr>
        <w:trPr>
          <w:trHeight w:val="322" w:hRule="exact"/>
        </w:trPr>
        <w:tc>
          <w:tcPr>
            <w:tcW w:w="1949" w:type="dxa"/>
            <w:vMerge w:val="restart"/>
            <w:tcBorders>
              <w:top w:val="single" w:sz="4" w:space="0" w:color="000000"/>
              <w:left w:val="single" w:sz="4" w:space="0" w:color="000000"/>
              <w:right w:val="single" w:sz="4" w:space="0" w:color="000000"/>
            </w:tcBorders>
          </w:tcPr>
          <w:p>
            <w:pPr>
              <w:pStyle w:val="TableParagraph"/>
              <w:spacing w:line="304" w:lineRule="auto" w:before="8"/>
              <w:ind w:left="112" w:right="110" w:hanging="3"/>
              <w:jc w:val="center"/>
              <w:rPr>
                <w:rFonts w:ascii="宋体" w:hAnsi="宋体" w:cs="宋体" w:eastAsia="宋体" w:hint="default"/>
                <w:sz w:val="18"/>
                <w:szCs w:val="18"/>
              </w:rPr>
            </w:pPr>
            <w:r>
              <w:rPr>
                <w:rFonts w:ascii="宋体" w:hAnsi="宋体" w:cs="宋体" w:eastAsia="宋体" w:hint="default"/>
                <w:sz w:val="18"/>
                <w:szCs w:val="18"/>
              </w:rPr>
              <w:t>第二期激励计划预留 授予的其他</w:t>
            </w:r>
            <w:r>
              <w:rPr>
                <w:rFonts w:ascii="宋体" w:hAnsi="宋体" w:cs="宋体" w:eastAsia="宋体" w:hint="default"/>
                <w:spacing w:val="-46"/>
                <w:sz w:val="18"/>
                <w:szCs w:val="18"/>
              </w:rPr>
              <w:t> </w:t>
            </w:r>
            <w:r>
              <w:rPr>
                <w:rFonts w:ascii="Calibri" w:hAnsi="Calibri" w:cs="Calibri" w:eastAsia="Calibri" w:hint="default"/>
                <w:sz w:val="18"/>
                <w:szCs w:val="18"/>
              </w:rPr>
              <w:t>17</w:t>
            </w:r>
            <w:r>
              <w:rPr>
                <w:rFonts w:ascii="Calibri" w:hAnsi="Calibri" w:cs="Calibri" w:eastAsia="Calibri" w:hint="default"/>
                <w:spacing w:val="3"/>
                <w:sz w:val="18"/>
                <w:szCs w:val="18"/>
              </w:rPr>
              <w:t> </w:t>
            </w:r>
            <w:r>
              <w:rPr>
                <w:rFonts w:ascii="宋体" w:hAnsi="宋体" w:cs="宋体" w:eastAsia="宋体" w:hint="default"/>
                <w:sz w:val="18"/>
                <w:szCs w:val="18"/>
              </w:rPr>
              <w:t>名激励 对象</w:t>
            </w:r>
            <w:r>
              <w:rPr>
                <w:rFonts w:ascii="宋体" w:hAnsi="宋体" w:cs="宋体" w:eastAsia="宋体" w:hint="default"/>
                <w:sz w:val="18"/>
                <w:szCs w:val="18"/>
              </w:rPr>
              <w:t> </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3"/>
              <w:jc w:val="right"/>
              <w:rPr>
                <w:rFonts w:ascii="宋体" w:hAnsi="宋体" w:cs="宋体" w:eastAsia="宋体" w:hint="default"/>
                <w:sz w:val="18"/>
                <w:szCs w:val="18"/>
              </w:rPr>
            </w:pPr>
            <w:r>
              <w:rPr>
                <w:rFonts w:ascii="宋体"/>
                <w:spacing w:val="-1"/>
                <w:sz w:val="18"/>
              </w:rPr>
              <w:t>625,000</w:t>
            </w:r>
            <w:r>
              <w:rPr>
                <w:rFonts w:ascii="宋体"/>
                <w:sz w:val="18"/>
              </w:rPr>
              <w:t> </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pacing w:val="-1"/>
                <w:sz w:val="18"/>
              </w:rPr>
              <w:t>625,000</w:t>
            </w:r>
            <w:r>
              <w:rPr>
                <w:rFonts w:ascii="宋体"/>
                <w:sz w:val="18"/>
              </w:rPr>
              <w:t> </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z w:val="18"/>
              </w:rPr>
              <w:t>0 </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z w:val="18"/>
              </w:rPr>
              <w:t>0 </w:t>
            </w:r>
          </w:p>
        </w:tc>
        <w:tc>
          <w:tcPr>
            <w:tcW w:w="1172" w:type="dxa"/>
            <w:vMerge/>
            <w:tcBorders>
              <w:left w:val="single" w:sz="4" w:space="0" w:color="000000"/>
              <w:right w:val="single" w:sz="4" w:space="0" w:color="000000"/>
            </w:tcBorders>
          </w:tcPr>
          <w:p>
            <w:pPr/>
          </w:p>
        </w:tc>
        <w:tc>
          <w:tcPr>
            <w:tcW w:w="977" w:type="dxa"/>
            <w:vMerge/>
            <w:tcBorders>
              <w:left w:val="single" w:sz="4" w:space="0" w:color="000000"/>
              <w:right w:val="single" w:sz="4" w:space="0" w:color="000000"/>
            </w:tcBorders>
          </w:tcPr>
          <w:p>
            <w:pPr/>
          </w:p>
        </w:tc>
      </w:tr>
      <w:tr>
        <w:trPr>
          <w:trHeight w:val="624" w:hRule="exact"/>
        </w:trPr>
        <w:tc>
          <w:tcPr>
            <w:tcW w:w="1949" w:type="dxa"/>
            <w:vMerge/>
            <w:tcBorders>
              <w:left w:val="single" w:sz="4" w:space="0" w:color="000000"/>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13"/>
              <w:jc w:val="right"/>
              <w:rPr>
                <w:rFonts w:ascii="宋体" w:hAnsi="宋体" w:cs="宋体" w:eastAsia="宋体" w:hint="default"/>
                <w:sz w:val="18"/>
                <w:szCs w:val="18"/>
              </w:rPr>
            </w:pPr>
            <w:r>
              <w:rPr>
                <w:rFonts w:ascii="宋体"/>
                <w:spacing w:val="-1"/>
                <w:sz w:val="18"/>
              </w:rPr>
              <w:t>625,000</w:t>
            </w:r>
            <w:r>
              <w:rPr>
                <w:rFonts w:ascii="宋体"/>
                <w:sz w:val="18"/>
              </w:rPr>
              <w:t> </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11"/>
              <w:jc w:val="right"/>
              <w:rPr>
                <w:rFonts w:ascii="宋体" w:hAnsi="宋体" w:cs="宋体" w:eastAsia="宋体" w:hint="default"/>
                <w:sz w:val="18"/>
                <w:szCs w:val="18"/>
              </w:rPr>
            </w:pPr>
            <w:r>
              <w:rPr>
                <w:rFonts w:ascii="宋体"/>
                <w:spacing w:val="-1"/>
                <w:sz w:val="18"/>
              </w:rPr>
              <w:t>100,000</w:t>
            </w:r>
            <w:r>
              <w:rPr>
                <w:rFonts w:ascii="宋体"/>
                <w:sz w:val="18"/>
              </w:rPr>
              <w:t> </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11"/>
              <w:jc w:val="right"/>
              <w:rPr>
                <w:rFonts w:ascii="宋体" w:hAnsi="宋体" w:cs="宋体" w:eastAsia="宋体" w:hint="default"/>
                <w:sz w:val="18"/>
                <w:szCs w:val="18"/>
              </w:rPr>
            </w:pPr>
            <w:r>
              <w:rPr>
                <w:rFonts w:ascii="宋体"/>
                <w:sz w:val="18"/>
              </w:rPr>
              <w:t>0 </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11"/>
              <w:jc w:val="right"/>
              <w:rPr>
                <w:rFonts w:ascii="宋体" w:hAnsi="宋体" w:cs="宋体" w:eastAsia="宋体" w:hint="default"/>
                <w:sz w:val="18"/>
                <w:szCs w:val="18"/>
              </w:rPr>
            </w:pPr>
            <w:r>
              <w:rPr>
                <w:rFonts w:ascii="宋体"/>
                <w:spacing w:val="-1"/>
                <w:sz w:val="18"/>
              </w:rPr>
              <w:t>525,000</w:t>
            </w:r>
            <w:r>
              <w:rPr>
                <w:rFonts w:ascii="宋体"/>
                <w:sz w:val="18"/>
              </w:rPr>
              <w:t> </w:t>
            </w:r>
          </w:p>
        </w:tc>
        <w:tc>
          <w:tcPr>
            <w:tcW w:w="1172" w:type="dxa"/>
            <w:vMerge/>
            <w:tcBorders>
              <w:left w:val="single" w:sz="4" w:space="0" w:color="000000"/>
              <w:bottom w:val="single" w:sz="4" w:space="0" w:color="000000"/>
              <w:right w:val="single" w:sz="4" w:space="0" w:color="000000"/>
            </w:tcBorders>
          </w:tcPr>
          <w:p>
            <w:pPr/>
          </w:p>
        </w:tc>
        <w:tc>
          <w:tcPr>
            <w:tcW w:w="977" w:type="dxa"/>
            <w:vMerge/>
            <w:tcBorders>
              <w:left w:val="single" w:sz="4" w:space="0" w:color="000000"/>
              <w:bottom w:val="single" w:sz="4" w:space="0" w:color="000000"/>
              <w:right w:val="single" w:sz="4" w:space="0" w:color="000000"/>
            </w:tcBorders>
          </w:tcPr>
          <w:p>
            <w:pPr/>
          </w:p>
        </w:tc>
      </w:tr>
      <w:tr>
        <w:trPr>
          <w:trHeight w:val="322" w:hRule="exact"/>
        </w:trPr>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89" w:right="0"/>
              <w:jc w:val="center"/>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3"/>
              <w:jc w:val="right"/>
              <w:rPr>
                <w:rFonts w:ascii="宋体" w:hAnsi="宋体" w:cs="宋体" w:eastAsia="宋体" w:hint="default"/>
                <w:sz w:val="18"/>
                <w:szCs w:val="18"/>
              </w:rPr>
            </w:pPr>
            <w:r>
              <w:rPr>
                <w:rFonts w:ascii="宋体"/>
                <w:spacing w:val="-1"/>
                <w:sz w:val="18"/>
              </w:rPr>
              <w:t>16,541,000</w:t>
            </w:r>
            <w:r>
              <w:rPr>
                <w:rFonts w:ascii="宋体"/>
                <w:sz w:val="18"/>
              </w:rPr>
              <w:t> </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pacing w:val="-1"/>
                <w:sz w:val="18"/>
              </w:rPr>
              <w:t>7,749,000</w:t>
            </w:r>
            <w:r>
              <w:rPr>
                <w:rFonts w:ascii="宋体"/>
                <w:sz w:val="18"/>
              </w:rPr>
              <w:t> </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z w:val="18"/>
              </w:rPr>
              <w:t>0 </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pacing w:val="-1"/>
                <w:sz w:val="18"/>
              </w:rPr>
              <w:t>8,792,000</w:t>
            </w:r>
            <w:r>
              <w:rPr>
                <w:rFonts w:ascii="宋体"/>
                <w:sz w:val="18"/>
              </w:rPr>
              <w:t> </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90" w:right="0"/>
              <w:jc w:val="center"/>
              <w:rPr>
                <w:rFonts w:ascii="宋体" w:hAnsi="宋体" w:cs="宋体" w:eastAsia="宋体" w:hint="default"/>
                <w:sz w:val="18"/>
                <w:szCs w:val="18"/>
              </w:rPr>
            </w:pPr>
            <w:r>
              <w:rPr>
                <w:rFonts w:ascii="宋体"/>
                <w:sz w:val="18"/>
              </w:rPr>
              <w:t>/ </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92" w:right="0"/>
              <w:jc w:val="center"/>
              <w:rPr>
                <w:rFonts w:ascii="宋体" w:hAnsi="宋体" w:cs="宋体" w:eastAsia="宋体" w:hint="default"/>
                <w:sz w:val="18"/>
                <w:szCs w:val="18"/>
              </w:rPr>
            </w:pPr>
            <w:r>
              <w:rPr>
                <w:rFonts w:ascii="宋体"/>
                <w:sz w:val="18"/>
              </w:rPr>
              <w:t>/ </w:t>
            </w:r>
          </w:p>
        </w:tc>
      </w:tr>
    </w:tbl>
    <w:p>
      <w:pPr>
        <w:spacing w:before="33"/>
        <w:ind w:left="218" w:right="0" w:firstLine="0"/>
        <w:jc w:val="left"/>
        <w:rPr>
          <w:rFonts w:ascii="宋体" w:hAnsi="宋体" w:cs="宋体" w:eastAsia="宋体" w:hint="default"/>
          <w:sz w:val="15"/>
          <w:szCs w:val="15"/>
        </w:rPr>
      </w:pPr>
      <w:r>
        <w:rPr>
          <w:rFonts w:ascii="宋体" w:hAnsi="宋体" w:cs="宋体" w:eastAsia="宋体" w:hint="default"/>
          <w:spacing w:val="-2"/>
          <w:sz w:val="15"/>
          <w:szCs w:val="15"/>
        </w:rPr>
        <w:t>注：（</w:t>
      </w:r>
      <w:r>
        <w:rPr>
          <w:rFonts w:ascii="宋体" w:hAnsi="宋体" w:cs="宋体" w:eastAsia="宋体" w:hint="default"/>
          <w:spacing w:val="-2"/>
          <w:sz w:val="15"/>
          <w:szCs w:val="15"/>
        </w:rPr>
        <w:t>1</w:t>
      </w:r>
      <w:r>
        <w:rPr>
          <w:rFonts w:ascii="宋体" w:hAnsi="宋体" w:cs="宋体" w:eastAsia="宋体" w:hint="default"/>
          <w:spacing w:val="-2"/>
          <w:sz w:val="15"/>
          <w:szCs w:val="15"/>
        </w:rPr>
        <w:t>）上述“本年解除限售股数”合计</w:t>
      </w:r>
      <w:r>
        <w:rPr>
          <w:rFonts w:ascii="宋体" w:hAnsi="宋体" w:cs="宋体" w:eastAsia="宋体" w:hint="default"/>
          <w:sz w:val="15"/>
          <w:szCs w:val="15"/>
        </w:rPr>
        <w:t> </w:t>
      </w:r>
      <w:r>
        <w:rPr>
          <w:rFonts w:ascii="宋体" w:hAnsi="宋体" w:cs="宋体" w:eastAsia="宋体" w:hint="default"/>
          <w:spacing w:val="-2"/>
          <w:sz w:val="15"/>
          <w:szCs w:val="15"/>
        </w:rPr>
        <w:t>7,749,000</w:t>
      </w:r>
      <w:r>
        <w:rPr>
          <w:rFonts w:ascii="宋体" w:hAnsi="宋体" w:cs="宋体" w:eastAsia="宋体" w:hint="default"/>
          <w:spacing w:val="34"/>
          <w:sz w:val="15"/>
          <w:szCs w:val="15"/>
        </w:rPr>
        <w:t> </w:t>
      </w:r>
      <w:r>
        <w:rPr>
          <w:rFonts w:ascii="宋体" w:hAnsi="宋体" w:cs="宋体" w:eastAsia="宋体" w:hint="default"/>
          <w:spacing w:val="-2"/>
          <w:sz w:val="15"/>
          <w:szCs w:val="15"/>
        </w:rPr>
        <w:t>股为公司第二期股权激励计划回购注销的限制性股票数量。具体内容详见公司于</w:t>
      </w:r>
    </w:p>
    <w:p>
      <w:pPr>
        <w:spacing w:before="115"/>
        <w:ind w:left="218" w:right="0" w:firstLine="0"/>
        <w:jc w:val="left"/>
        <w:rPr>
          <w:rFonts w:ascii="宋体" w:hAnsi="宋体" w:cs="宋体" w:eastAsia="宋体" w:hint="default"/>
          <w:sz w:val="15"/>
          <w:szCs w:val="15"/>
        </w:rPr>
      </w:pPr>
      <w:r>
        <w:rPr>
          <w:rFonts w:ascii="宋体" w:hAnsi="宋体" w:cs="宋体" w:eastAsia="宋体" w:hint="default"/>
          <w:sz w:val="15"/>
          <w:szCs w:val="15"/>
        </w:rPr>
        <w:t>2019</w:t>
      </w:r>
      <w:r>
        <w:rPr>
          <w:rFonts w:ascii="宋体" w:hAnsi="宋体" w:cs="宋体" w:eastAsia="宋体" w:hint="default"/>
          <w:spacing w:val="-39"/>
          <w:sz w:val="15"/>
          <w:szCs w:val="15"/>
        </w:rPr>
        <w:t> </w:t>
      </w:r>
      <w:r>
        <w:rPr>
          <w:rFonts w:ascii="宋体" w:hAnsi="宋体" w:cs="宋体" w:eastAsia="宋体" w:hint="default"/>
          <w:sz w:val="15"/>
          <w:szCs w:val="15"/>
        </w:rPr>
        <w:t>年</w:t>
      </w:r>
      <w:r>
        <w:rPr>
          <w:rFonts w:ascii="宋体" w:hAnsi="宋体" w:cs="宋体" w:eastAsia="宋体" w:hint="default"/>
          <w:spacing w:val="-40"/>
          <w:sz w:val="15"/>
          <w:szCs w:val="15"/>
        </w:rPr>
        <w:t> </w:t>
      </w:r>
      <w:r>
        <w:rPr>
          <w:rFonts w:ascii="宋体" w:hAnsi="宋体" w:cs="宋体" w:eastAsia="宋体" w:hint="default"/>
          <w:sz w:val="15"/>
          <w:szCs w:val="15"/>
        </w:rPr>
        <w:t>4</w:t>
      </w:r>
      <w:r>
        <w:rPr>
          <w:rFonts w:ascii="宋体" w:hAnsi="宋体" w:cs="宋体" w:eastAsia="宋体" w:hint="default"/>
          <w:spacing w:val="-39"/>
          <w:sz w:val="15"/>
          <w:szCs w:val="15"/>
        </w:rPr>
        <w:t> </w:t>
      </w:r>
      <w:r>
        <w:rPr>
          <w:rFonts w:ascii="宋体" w:hAnsi="宋体" w:cs="宋体" w:eastAsia="宋体" w:hint="default"/>
          <w:sz w:val="15"/>
          <w:szCs w:val="15"/>
        </w:rPr>
        <w:t>月</w:t>
      </w:r>
      <w:r>
        <w:rPr>
          <w:rFonts w:ascii="宋体" w:hAnsi="宋体" w:cs="宋体" w:eastAsia="宋体" w:hint="default"/>
          <w:spacing w:val="-40"/>
          <w:sz w:val="15"/>
          <w:szCs w:val="15"/>
        </w:rPr>
        <w:t> </w:t>
      </w:r>
      <w:r>
        <w:rPr>
          <w:rFonts w:ascii="宋体" w:hAnsi="宋体" w:cs="宋体" w:eastAsia="宋体" w:hint="default"/>
          <w:sz w:val="15"/>
          <w:szCs w:val="15"/>
        </w:rPr>
        <w:t>11</w:t>
      </w:r>
      <w:r>
        <w:rPr>
          <w:rFonts w:ascii="宋体" w:hAnsi="宋体" w:cs="宋体" w:eastAsia="宋体" w:hint="default"/>
          <w:spacing w:val="-39"/>
          <w:sz w:val="15"/>
          <w:szCs w:val="15"/>
        </w:rPr>
        <w:t> </w:t>
      </w:r>
      <w:r>
        <w:rPr>
          <w:rFonts w:ascii="宋体" w:hAnsi="宋体" w:cs="宋体" w:eastAsia="宋体" w:hint="default"/>
          <w:sz w:val="15"/>
          <w:szCs w:val="15"/>
        </w:rPr>
        <w:t>日和</w:t>
      </w:r>
      <w:r>
        <w:rPr>
          <w:rFonts w:ascii="宋体" w:hAnsi="宋体" w:cs="宋体" w:eastAsia="宋体" w:hint="default"/>
          <w:spacing w:val="-40"/>
          <w:sz w:val="15"/>
          <w:szCs w:val="15"/>
        </w:rPr>
        <w:t> </w:t>
      </w:r>
      <w:r>
        <w:rPr>
          <w:rFonts w:ascii="宋体" w:hAnsi="宋体" w:cs="宋体" w:eastAsia="宋体" w:hint="default"/>
          <w:sz w:val="15"/>
          <w:szCs w:val="15"/>
        </w:rPr>
        <w:t>6</w:t>
      </w:r>
      <w:r>
        <w:rPr>
          <w:rFonts w:ascii="宋体" w:hAnsi="宋体" w:cs="宋体" w:eastAsia="宋体" w:hint="default"/>
          <w:spacing w:val="-39"/>
          <w:sz w:val="15"/>
          <w:szCs w:val="15"/>
        </w:rPr>
        <w:t> </w:t>
      </w:r>
      <w:r>
        <w:rPr>
          <w:rFonts w:ascii="宋体" w:hAnsi="宋体" w:cs="宋体" w:eastAsia="宋体" w:hint="default"/>
          <w:sz w:val="15"/>
          <w:szCs w:val="15"/>
        </w:rPr>
        <w:t>月</w:t>
      </w:r>
      <w:r>
        <w:rPr>
          <w:rFonts w:ascii="宋体" w:hAnsi="宋体" w:cs="宋体" w:eastAsia="宋体" w:hint="default"/>
          <w:spacing w:val="-40"/>
          <w:sz w:val="15"/>
          <w:szCs w:val="15"/>
        </w:rPr>
        <w:t> </w:t>
      </w:r>
      <w:r>
        <w:rPr>
          <w:rFonts w:ascii="宋体" w:hAnsi="宋体" w:cs="宋体" w:eastAsia="宋体" w:hint="default"/>
          <w:sz w:val="15"/>
          <w:szCs w:val="15"/>
        </w:rPr>
        <w:t>27</w:t>
      </w:r>
      <w:r>
        <w:rPr>
          <w:rFonts w:ascii="宋体" w:hAnsi="宋体" w:cs="宋体" w:eastAsia="宋体" w:hint="default"/>
          <w:spacing w:val="-39"/>
          <w:sz w:val="15"/>
          <w:szCs w:val="15"/>
        </w:rPr>
        <w:t> </w:t>
      </w:r>
      <w:r>
        <w:rPr>
          <w:rFonts w:ascii="宋体" w:hAnsi="宋体" w:cs="宋体" w:eastAsia="宋体" w:hint="default"/>
          <w:sz w:val="15"/>
          <w:szCs w:val="15"/>
        </w:rPr>
        <w:t>日发布的公告（公告编号：临</w:t>
      </w:r>
      <w:r>
        <w:rPr>
          <w:rFonts w:ascii="宋体" w:hAnsi="宋体" w:cs="宋体" w:eastAsia="宋体" w:hint="default"/>
          <w:spacing w:val="-40"/>
          <w:sz w:val="15"/>
          <w:szCs w:val="15"/>
        </w:rPr>
        <w:t> </w:t>
      </w:r>
      <w:r>
        <w:rPr>
          <w:rFonts w:ascii="宋体" w:hAnsi="宋体" w:cs="宋体" w:eastAsia="宋体" w:hint="default"/>
          <w:sz w:val="15"/>
          <w:szCs w:val="15"/>
        </w:rPr>
        <w:t>2019-30</w:t>
      </w:r>
      <w:r>
        <w:rPr>
          <w:rFonts w:ascii="宋体" w:hAnsi="宋体" w:cs="宋体" w:eastAsia="宋体" w:hint="default"/>
          <w:spacing w:val="-39"/>
          <w:sz w:val="15"/>
          <w:szCs w:val="15"/>
        </w:rPr>
        <w:t> </w:t>
      </w:r>
      <w:r>
        <w:rPr>
          <w:rFonts w:ascii="宋体" w:hAnsi="宋体" w:cs="宋体" w:eastAsia="宋体" w:hint="default"/>
          <w:sz w:val="15"/>
          <w:szCs w:val="15"/>
        </w:rPr>
        <w:t>和临</w:t>
      </w:r>
      <w:r>
        <w:rPr>
          <w:rFonts w:ascii="宋体" w:hAnsi="宋体" w:cs="宋体" w:eastAsia="宋体" w:hint="default"/>
          <w:spacing w:val="-40"/>
          <w:sz w:val="15"/>
          <w:szCs w:val="15"/>
        </w:rPr>
        <w:t> </w:t>
      </w:r>
      <w:r>
        <w:rPr>
          <w:rFonts w:ascii="宋体" w:hAnsi="宋体" w:cs="宋体" w:eastAsia="宋体" w:hint="default"/>
          <w:sz w:val="15"/>
          <w:szCs w:val="15"/>
        </w:rPr>
        <w:t>2019-59</w:t>
      </w:r>
      <w:r>
        <w:rPr>
          <w:rFonts w:ascii="宋体" w:hAnsi="宋体" w:cs="宋体" w:eastAsia="宋体" w:hint="default"/>
          <w:sz w:val="15"/>
          <w:szCs w:val="15"/>
        </w:rPr>
        <w:t>）。</w:t>
      </w:r>
      <w:r>
        <w:rPr>
          <w:rFonts w:ascii="宋体" w:hAnsi="宋体" w:cs="宋体" w:eastAsia="宋体" w:hint="default"/>
          <w:sz w:val="15"/>
          <w:szCs w:val="15"/>
        </w:rPr>
        <w:t> </w:t>
      </w:r>
    </w:p>
    <w:p>
      <w:pPr>
        <w:spacing w:line="381" w:lineRule="auto" w:before="116"/>
        <w:ind w:left="218" w:right="0" w:firstLine="0"/>
        <w:jc w:val="left"/>
        <w:rPr>
          <w:rFonts w:ascii="宋体" w:hAnsi="宋体" w:cs="宋体" w:eastAsia="宋体" w:hint="default"/>
          <w:sz w:val="15"/>
          <w:szCs w:val="15"/>
        </w:rPr>
      </w:pPr>
      <w:r>
        <w:rPr>
          <w:rFonts w:ascii="宋体" w:hAnsi="宋体" w:cs="宋体" w:eastAsia="宋体" w:hint="default"/>
          <w:spacing w:val="-3"/>
          <w:sz w:val="15"/>
          <w:szCs w:val="15"/>
        </w:rPr>
        <w:t>（</w:t>
      </w:r>
      <w:r>
        <w:rPr>
          <w:rFonts w:ascii="宋体" w:hAnsi="宋体" w:cs="宋体" w:eastAsia="宋体" w:hint="default"/>
          <w:spacing w:val="-3"/>
          <w:sz w:val="15"/>
          <w:szCs w:val="15"/>
        </w:rPr>
        <w:t>2</w:t>
      </w:r>
      <w:r>
        <w:rPr>
          <w:rFonts w:ascii="宋体" w:hAnsi="宋体" w:cs="宋体" w:eastAsia="宋体" w:hint="default"/>
          <w:spacing w:val="-3"/>
          <w:sz w:val="15"/>
          <w:szCs w:val="15"/>
        </w:rPr>
        <w:t>）因</w:t>
      </w:r>
      <w:r>
        <w:rPr>
          <w:rFonts w:ascii="宋体" w:hAnsi="宋体" w:cs="宋体" w:eastAsia="宋体" w:hint="default"/>
          <w:sz w:val="15"/>
          <w:szCs w:val="15"/>
        </w:rPr>
        <w:t> </w:t>
      </w:r>
      <w:r>
        <w:rPr>
          <w:rFonts w:ascii="宋体" w:hAnsi="宋体" w:cs="宋体" w:eastAsia="宋体" w:hint="default"/>
          <w:spacing w:val="-1"/>
          <w:sz w:val="15"/>
          <w:szCs w:val="15"/>
        </w:rPr>
        <w:t>2019</w:t>
      </w:r>
      <w:r>
        <w:rPr>
          <w:rFonts w:ascii="宋体" w:hAnsi="宋体" w:cs="宋体" w:eastAsia="宋体" w:hint="default"/>
          <w:sz w:val="15"/>
          <w:szCs w:val="15"/>
        </w:rPr>
        <w:t> </w:t>
      </w:r>
      <w:r>
        <w:rPr>
          <w:rFonts w:ascii="宋体" w:hAnsi="宋体" w:cs="宋体" w:eastAsia="宋体" w:hint="default"/>
          <w:spacing w:val="-2"/>
          <w:sz w:val="15"/>
          <w:szCs w:val="15"/>
        </w:rPr>
        <w:t>年度公司层面考核结果未能达到规定的业绩考核指标，第二次股权激励计划首次授予限制性股票第三次解锁条件和预留授</w:t>
      </w:r>
      <w:r>
        <w:rPr>
          <w:rFonts w:ascii="宋体" w:hAnsi="宋体" w:cs="宋体" w:eastAsia="宋体" w:hint="default"/>
          <w:spacing w:val="-58"/>
          <w:sz w:val="15"/>
          <w:szCs w:val="15"/>
        </w:rPr>
        <w:t> </w:t>
      </w:r>
      <w:r>
        <w:rPr>
          <w:rFonts w:ascii="宋体" w:hAnsi="宋体" w:cs="宋体" w:eastAsia="宋体" w:hint="default"/>
          <w:spacing w:val="-58"/>
          <w:sz w:val="15"/>
          <w:szCs w:val="15"/>
        </w:rPr>
      </w:r>
      <w:r>
        <w:rPr>
          <w:rFonts w:ascii="宋体" w:hAnsi="宋体" w:cs="宋体" w:eastAsia="宋体" w:hint="default"/>
          <w:sz w:val="15"/>
          <w:szCs w:val="15"/>
        </w:rPr>
        <w:t>予限制性股票第二次解锁条件未成就，故未达解锁条件的限制性股票将由公司回购注销，解除限售日期均为不适用。</w:t>
      </w:r>
      <w:r>
        <w:rPr>
          <w:rFonts w:ascii="宋体" w:hAnsi="宋体" w:cs="宋体" w:eastAsia="宋体" w:hint="default"/>
          <w:sz w:val="15"/>
          <w:szCs w:val="15"/>
        </w:rPr>
        <w:t> </w:t>
      </w:r>
    </w:p>
    <w:p>
      <w:pPr>
        <w:spacing w:before="27"/>
        <w:ind w:left="218" w:right="0" w:firstLine="0"/>
        <w:jc w:val="left"/>
        <w:rPr>
          <w:rFonts w:ascii="宋体" w:hAnsi="宋体" w:cs="宋体" w:eastAsia="宋体" w:hint="default"/>
          <w:sz w:val="15"/>
          <w:szCs w:val="15"/>
        </w:rPr>
      </w:pPr>
      <w:r>
        <w:rPr>
          <w:rFonts w:ascii="宋体"/>
          <w:w w:val="100"/>
          <w:sz w:val="15"/>
        </w:rPr>
        <w:t> </w:t>
      </w:r>
    </w:p>
    <w:p>
      <w:pPr>
        <w:spacing w:line="240" w:lineRule="auto" w:before="12"/>
        <w:rPr>
          <w:rFonts w:ascii="宋体" w:hAnsi="宋体" w:cs="宋体" w:eastAsia="宋体" w:hint="default"/>
          <w:sz w:val="9"/>
          <w:szCs w:val="9"/>
        </w:rPr>
      </w:pPr>
    </w:p>
    <w:p>
      <w:pPr>
        <w:pStyle w:val="Heading3"/>
        <w:spacing w:line="324" w:lineRule="auto" w:before="0"/>
        <w:ind w:right="6096"/>
        <w:jc w:val="left"/>
        <w:rPr>
          <w:b w:val="0"/>
          <w:bCs w:val="0"/>
        </w:rPr>
      </w:pPr>
      <w:r>
        <w:rPr/>
        <w:t>二、</w:t>
      </w:r>
      <w:r>
        <w:rPr>
          <w:spacing w:val="-78"/>
        </w:rPr>
        <w:t> </w:t>
      </w:r>
      <w:r>
        <w:rPr>
          <w:rFonts w:ascii="宋体" w:hAnsi="宋体" w:cs="宋体" w:eastAsia="宋体" w:hint="default"/>
          <w:spacing w:val="-78"/>
        </w:rPr>
      </w:r>
      <w:r>
        <w:rPr/>
        <w:t>证券发行与上市情况</w:t>
      </w:r>
      <w:r>
        <w:rPr>
          <w:spacing w:val="-103"/>
        </w:rPr>
        <w:t> </w:t>
      </w:r>
      <w:r>
        <w:rPr>
          <w:rFonts w:ascii="宋体" w:hAnsi="宋体" w:cs="宋体" w:eastAsia="宋体" w:hint="default"/>
        </w:rPr>
        <w:t>(</w:t>
      </w:r>
      <w:r>
        <w:rPr/>
        <w:t>一</w:t>
      </w:r>
      <w:r>
        <w:rPr>
          <w:rFonts w:ascii="宋体" w:hAnsi="宋体" w:cs="宋体" w:eastAsia="宋体" w:hint="default"/>
        </w:rPr>
        <w:t>)</w:t>
      </w:r>
      <w:r>
        <w:rPr/>
        <w:t>截至报告期内证券发行情况</w:t>
      </w:r>
      <w:r>
        <w:rPr>
          <w:b w:val="0"/>
          <w:bCs w:val="0"/>
        </w:rPr>
      </w:r>
    </w:p>
    <w:p>
      <w:pPr>
        <w:pStyle w:val="BodyText"/>
        <w:spacing w:line="273" w:lineRule="auto" w:before="23"/>
        <w:ind w:right="226"/>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t>截至报告期内证券发行情况的说明（存续期内利率不同的债券，请分别说明）：</w:t>
      </w:r>
      <w:r>
        <w:rPr>
          <w:rFonts w:ascii="宋体" w:hAnsi="宋体" w:cs="宋体" w:eastAsia="宋体" w:hint="default"/>
        </w:rPr>
        <w:t> </w:t>
      </w:r>
    </w:p>
    <w:p>
      <w:pPr>
        <w:pStyle w:val="BodyText"/>
        <w:spacing w:line="240" w:lineRule="auto" w:before="7"/>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right="0"/>
        <w:jc w:val="left"/>
        <w:rPr>
          <w:rFonts w:ascii="宋体" w:hAnsi="宋体" w:cs="宋体" w:eastAsia="宋体" w:hint="default"/>
        </w:rPr>
      </w:pPr>
      <w:r>
        <w:rPr>
          <w:rFonts w:ascii="宋体"/>
          <w:w w:val="100"/>
        </w:rPr>
        <w:t> </w:t>
      </w:r>
    </w:p>
    <w:p>
      <w:pPr>
        <w:spacing w:after="0" w:line="240" w:lineRule="auto"/>
        <w:jc w:val="left"/>
        <w:rPr>
          <w:rFonts w:ascii="宋体" w:hAnsi="宋体" w:cs="宋体" w:eastAsia="宋体" w:hint="default"/>
        </w:rPr>
        <w:sectPr>
          <w:type w:val="continuous"/>
          <w:pgSz w:w="11910" w:h="16840"/>
          <w:pgMar w:top="1580" w:bottom="280" w:left="1580" w:right="1040"/>
        </w:sectPr>
      </w:pPr>
    </w:p>
    <w:p>
      <w:pPr>
        <w:spacing w:line="240" w:lineRule="auto" w:before="9"/>
        <w:rPr>
          <w:rFonts w:ascii="宋体" w:hAnsi="宋体" w:cs="宋体" w:eastAsia="宋体" w:hint="default"/>
          <w:sz w:val="25"/>
          <w:szCs w:val="25"/>
        </w:rPr>
      </w:pPr>
    </w:p>
    <w:p>
      <w:pPr>
        <w:pStyle w:val="Heading3"/>
        <w:spacing w:line="240" w:lineRule="auto" w:before="36"/>
        <w:ind w:left="518" w:right="0"/>
        <w:jc w:val="left"/>
        <w:rPr>
          <w:b w:val="0"/>
          <w:bCs w:val="0"/>
        </w:rPr>
      </w:pPr>
      <w:r>
        <w:rPr>
          <w:rFonts w:ascii="宋体" w:hAnsi="宋体" w:cs="宋体" w:eastAsia="宋体" w:hint="default"/>
        </w:rPr>
        <w:t>(</w:t>
      </w:r>
      <w:r>
        <w:rPr/>
        <w:t>二</w:t>
      </w:r>
      <w:r>
        <w:rPr>
          <w:rFonts w:ascii="宋体" w:hAnsi="宋体" w:cs="宋体" w:eastAsia="宋体" w:hint="default"/>
        </w:rPr>
        <w:t>)</w:t>
      </w:r>
      <w:r>
        <w:rPr/>
        <w:t>公司普通股股份总数及股东结构变动及公司资产和负债结构的变动情况</w:t>
      </w:r>
      <w:r>
        <w:rPr>
          <w:b w:val="0"/>
          <w:bCs w:val="0"/>
        </w:rPr>
      </w:r>
    </w:p>
    <w:p>
      <w:pPr>
        <w:pStyle w:val="BodyText"/>
        <w:spacing w:line="273" w:lineRule="auto" w:before="97"/>
        <w:ind w:left="938" w:right="0" w:hanging="420"/>
        <w:jc w:val="left"/>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报告期内，公司分两次对第二期股权激励计划部分已获授但尚未解锁的限制性股票进行回购</w:t>
      </w:r>
    </w:p>
    <w:p>
      <w:pPr>
        <w:pStyle w:val="BodyText"/>
        <w:spacing w:line="240" w:lineRule="auto" w:before="7"/>
        <w:ind w:left="518" w:right="0"/>
        <w:jc w:val="left"/>
      </w:pPr>
      <w:r>
        <w:rPr/>
        <w:t>注销，共计</w:t>
      </w:r>
      <w:r>
        <w:rPr>
          <w:spacing w:val="-55"/>
        </w:rPr>
        <w:t> </w:t>
      </w:r>
      <w:r>
        <w:rPr>
          <w:rFonts w:ascii="宋体" w:hAnsi="宋体" w:cs="宋体" w:eastAsia="宋体" w:hint="default"/>
        </w:rPr>
        <w:t>7,749,000</w:t>
      </w:r>
      <w:r>
        <w:rPr>
          <w:rFonts w:ascii="宋体" w:hAnsi="宋体" w:cs="宋体" w:eastAsia="宋体" w:hint="default"/>
          <w:spacing w:val="-54"/>
        </w:rPr>
        <w:t> </w:t>
      </w:r>
      <w:r>
        <w:rPr/>
        <w:t>股，注销完成后，使得公司有限售条件股份由</w:t>
      </w:r>
      <w:r>
        <w:rPr>
          <w:spacing w:val="-55"/>
        </w:rPr>
        <w:t> </w:t>
      </w:r>
      <w:r>
        <w:rPr>
          <w:rFonts w:ascii="宋体" w:hAnsi="宋体" w:cs="宋体" w:eastAsia="宋体" w:hint="default"/>
        </w:rPr>
        <w:t>16,541,400</w:t>
      </w:r>
      <w:r>
        <w:rPr>
          <w:rFonts w:ascii="宋体" w:hAnsi="宋体" w:cs="宋体" w:eastAsia="宋体" w:hint="default"/>
          <w:spacing w:val="-57"/>
        </w:rPr>
        <w:t> </w:t>
      </w:r>
      <w:r>
        <w:rPr/>
        <w:t>股减少至</w:t>
      </w:r>
    </w:p>
    <w:p>
      <w:pPr>
        <w:pStyle w:val="BodyText"/>
        <w:spacing w:line="240" w:lineRule="auto" w:before="37"/>
        <w:ind w:left="518" w:right="0"/>
        <w:jc w:val="left"/>
        <w:rPr>
          <w:rFonts w:ascii="宋体" w:hAnsi="宋体" w:cs="宋体" w:eastAsia="宋体" w:hint="default"/>
        </w:rPr>
      </w:pPr>
      <w:r>
        <w:rPr>
          <w:rFonts w:ascii="宋体" w:hAnsi="宋体" w:cs="宋体" w:eastAsia="宋体" w:hint="default"/>
        </w:rPr>
        <w:t>8,792,000</w:t>
      </w:r>
      <w:r>
        <w:rPr>
          <w:rFonts w:ascii="宋体" w:hAnsi="宋体" w:cs="宋体" w:eastAsia="宋体" w:hint="default"/>
          <w:spacing w:val="-54"/>
        </w:rPr>
        <w:t> </w:t>
      </w:r>
      <w:r>
        <w:rPr/>
        <w:t>股。</w:t>
      </w:r>
      <w:r>
        <w:rPr>
          <w:rFonts w:ascii="宋体" w:hAnsi="宋体" w:cs="宋体" w:eastAsia="宋体" w:hint="default"/>
        </w:rPr>
        <w:t> </w:t>
      </w:r>
    </w:p>
    <w:p>
      <w:pPr>
        <w:pStyle w:val="BodyText"/>
        <w:spacing w:line="240" w:lineRule="auto" w:before="37"/>
        <w:ind w:left="938" w:right="0"/>
        <w:jc w:val="left"/>
      </w:pPr>
      <w:r>
        <w:rPr>
          <w:w w:val="100"/>
        </w:rPr>
        <w:t>公司</w:t>
      </w:r>
      <w:r>
        <w:rPr>
          <w:spacing w:val="-53"/>
        </w:rPr>
        <w:t> </w:t>
      </w:r>
      <w:r>
        <w:rPr>
          <w:rFonts w:ascii="宋体" w:hAnsi="宋体" w:cs="宋体" w:eastAsia="宋体" w:hint="default"/>
          <w:spacing w:val="-3"/>
          <w:w w:val="100"/>
        </w:rPr>
        <w:t>2</w:t>
      </w:r>
      <w:r>
        <w:rPr>
          <w:rFonts w:ascii="宋体" w:hAnsi="宋体" w:cs="宋体" w:eastAsia="宋体" w:hint="default"/>
          <w:w w:val="100"/>
        </w:rPr>
        <w:t>017</w:t>
      </w:r>
      <w:r>
        <w:rPr>
          <w:rFonts w:ascii="宋体" w:hAnsi="宋体" w:cs="宋体" w:eastAsia="宋体" w:hint="default"/>
          <w:spacing w:val="-55"/>
        </w:rPr>
        <w:t> </w:t>
      </w:r>
      <w:r>
        <w:rPr>
          <w:w w:val="100"/>
        </w:rPr>
        <w:t>年</w:t>
      </w:r>
      <w:r>
        <w:rPr>
          <w:spacing w:val="-3"/>
          <w:w w:val="100"/>
        </w:rPr>
        <w:t>发</w:t>
      </w:r>
      <w:r>
        <w:rPr>
          <w:w w:val="100"/>
        </w:rPr>
        <w:t>行的</w:t>
      </w:r>
      <w:r>
        <w:rPr>
          <w:spacing w:val="-55"/>
        </w:rPr>
        <w:t> </w:t>
      </w:r>
      <w:r>
        <w:rPr>
          <w:rFonts w:ascii="宋体" w:hAnsi="宋体" w:cs="宋体" w:eastAsia="宋体" w:hint="default"/>
          <w:w w:val="100"/>
        </w:rPr>
        <w:t>30</w:t>
      </w:r>
      <w:r>
        <w:rPr>
          <w:rFonts w:ascii="宋体" w:hAnsi="宋体" w:cs="宋体" w:eastAsia="宋体" w:hint="default"/>
          <w:spacing w:val="-53"/>
        </w:rPr>
        <w:t> </w:t>
      </w:r>
      <w:r>
        <w:rPr>
          <w:spacing w:val="-3"/>
          <w:w w:val="100"/>
        </w:rPr>
        <w:t>亿</w:t>
      </w:r>
      <w:r>
        <w:rPr>
          <w:w w:val="100"/>
        </w:rPr>
        <w:t>元可</w:t>
      </w:r>
      <w:r>
        <w:rPr>
          <w:spacing w:val="-3"/>
          <w:w w:val="100"/>
        </w:rPr>
        <w:t>转</w:t>
      </w:r>
      <w:r>
        <w:rPr>
          <w:w w:val="100"/>
        </w:rPr>
        <w:t>换</w:t>
      </w:r>
      <w:r>
        <w:rPr>
          <w:spacing w:val="-3"/>
          <w:w w:val="100"/>
        </w:rPr>
        <w:t>公</w:t>
      </w:r>
      <w:r>
        <w:rPr>
          <w:w w:val="100"/>
        </w:rPr>
        <w:t>司</w:t>
      </w:r>
      <w:r>
        <w:rPr>
          <w:spacing w:val="-3"/>
          <w:w w:val="100"/>
        </w:rPr>
        <w:t>债券</w:t>
      </w:r>
      <w:r>
        <w:rPr>
          <w:w w:val="100"/>
        </w:rPr>
        <w:t>于</w:t>
      </w:r>
      <w:r>
        <w:rPr>
          <w:spacing w:val="-53"/>
        </w:rPr>
        <w:t> </w:t>
      </w:r>
      <w:r>
        <w:rPr>
          <w:rFonts w:ascii="宋体" w:hAnsi="宋体" w:cs="宋体" w:eastAsia="宋体" w:hint="default"/>
          <w:w w:val="100"/>
        </w:rPr>
        <w:t>20</w:t>
      </w:r>
      <w:r>
        <w:rPr>
          <w:rFonts w:ascii="宋体" w:hAnsi="宋体" w:cs="宋体" w:eastAsia="宋体" w:hint="default"/>
          <w:spacing w:val="-3"/>
          <w:w w:val="100"/>
        </w:rPr>
        <w:t>1</w:t>
      </w:r>
      <w:r>
        <w:rPr>
          <w:rFonts w:ascii="宋体" w:hAnsi="宋体" w:cs="宋体" w:eastAsia="宋体" w:hint="default"/>
          <w:w w:val="100"/>
        </w:rPr>
        <w:t>8</w:t>
      </w:r>
      <w:r>
        <w:rPr>
          <w:rFonts w:ascii="宋体" w:hAnsi="宋体" w:cs="宋体" w:eastAsia="宋体" w:hint="default"/>
          <w:spacing w:val="-55"/>
        </w:rPr>
        <w:t> </w:t>
      </w:r>
      <w:r>
        <w:rPr>
          <w:w w:val="100"/>
        </w:rPr>
        <w:t>年</w:t>
      </w:r>
      <w:r>
        <w:rPr>
          <w:spacing w:val="-53"/>
        </w:rPr>
        <w:t> </w:t>
      </w:r>
      <w:r>
        <w:rPr>
          <w:rFonts w:ascii="宋体" w:hAnsi="宋体" w:cs="宋体" w:eastAsia="宋体" w:hint="default"/>
          <w:w w:val="100"/>
        </w:rPr>
        <w:t>5</w:t>
      </w:r>
      <w:r>
        <w:rPr>
          <w:rFonts w:ascii="宋体" w:hAnsi="宋体" w:cs="宋体" w:eastAsia="宋体" w:hint="default"/>
          <w:spacing w:val="-55"/>
        </w:rPr>
        <w:t> </w:t>
      </w:r>
      <w:r>
        <w:rPr>
          <w:w w:val="100"/>
        </w:rPr>
        <w:t>月</w:t>
      </w:r>
      <w:r>
        <w:rPr>
          <w:spacing w:val="-53"/>
        </w:rPr>
        <w:t> </w:t>
      </w:r>
      <w:r>
        <w:rPr>
          <w:rFonts w:ascii="宋体" w:hAnsi="宋体" w:cs="宋体" w:eastAsia="宋体" w:hint="default"/>
          <w:w w:val="100"/>
        </w:rPr>
        <w:t>3</w:t>
      </w:r>
      <w:r>
        <w:rPr>
          <w:rFonts w:ascii="宋体" w:hAnsi="宋体" w:cs="宋体" w:eastAsia="宋体" w:hint="default"/>
          <w:spacing w:val="-53"/>
        </w:rPr>
        <w:t> </w:t>
      </w:r>
      <w:r>
        <w:rPr>
          <w:spacing w:val="-3"/>
          <w:w w:val="100"/>
        </w:rPr>
        <w:t>日</w:t>
      </w:r>
      <w:r>
        <w:rPr>
          <w:w w:val="100"/>
        </w:rPr>
        <w:t>起</w:t>
      </w:r>
      <w:r>
        <w:rPr>
          <w:spacing w:val="-3"/>
          <w:w w:val="100"/>
        </w:rPr>
        <w:t>进</w:t>
      </w:r>
      <w:r>
        <w:rPr>
          <w:w w:val="100"/>
        </w:rPr>
        <w:t>入</w:t>
      </w:r>
      <w:r>
        <w:rPr>
          <w:spacing w:val="-3"/>
          <w:w w:val="100"/>
        </w:rPr>
        <w:t>转</w:t>
      </w:r>
      <w:r>
        <w:rPr>
          <w:w w:val="100"/>
        </w:rPr>
        <w:t>股</w:t>
      </w:r>
      <w:r>
        <w:rPr>
          <w:spacing w:val="-3"/>
          <w:w w:val="100"/>
        </w:rPr>
        <w:t>期</w:t>
      </w:r>
      <w:r>
        <w:rPr>
          <w:spacing w:val="-94"/>
          <w:w w:val="100"/>
        </w:rPr>
        <w:t>，</w:t>
      </w:r>
      <w:r>
        <w:rPr>
          <w:w w:val="100"/>
        </w:rPr>
        <w:t>因可</w:t>
      </w:r>
      <w:r>
        <w:rPr>
          <w:spacing w:val="-3"/>
          <w:w w:val="100"/>
        </w:rPr>
        <w:t>转</w:t>
      </w:r>
      <w:r>
        <w:rPr>
          <w:w w:val="100"/>
        </w:rPr>
        <w:t>债</w:t>
      </w:r>
      <w:r>
        <w:rPr>
          <w:spacing w:val="-3"/>
          <w:w w:val="100"/>
        </w:rPr>
        <w:t>转</w:t>
      </w:r>
      <w:r>
        <w:rPr>
          <w:w w:val="100"/>
        </w:rPr>
        <w:t>股</w:t>
      </w:r>
    </w:p>
    <w:p>
      <w:pPr>
        <w:pStyle w:val="BodyText"/>
        <w:spacing w:line="273" w:lineRule="auto" w:before="37"/>
        <w:ind w:left="938" w:right="0" w:hanging="420"/>
        <w:jc w:val="left"/>
        <w:rPr>
          <w:rFonts w:ascii="宋体" w:hAnsi="宋体" w:cs="宋体" w:eastAsia="宋体" w:hint="default"/>
        </w:rPr>
      </w:pPr>
      <w:r>
        <w:rPr/>
        <w:t>使得公司报告期内普通股股数增加了</w:t>
      </w:r>
      <w:r>
        <w:rPr>
          <w:spacing w:val="-53"/>
        </w:rPr>
        <w:t> </w:t>
      </w:r>
      <w:r>
        <w:rPr>
          <w:rFonts w:ascii="宋体" w:hAnsi="宋体" w:cs="宋体" w:eastAsia="宋体" w:hint="default"/>
        </w:rPr>
        <w:t>9,017</w:t>
      </w:r>
      <w:r>
        <w:rPr>
          <w:rFonts w:ascii="宋体" w:hAnsi="宋体" w:cs="宋体" w:eastAsia="宋体" w:hint="default"/>
          <w:spacing w:val="-53"/>
        </w:rPr>
        <w:t> </w:t>
      </w:r>
      <w:r>
        <w:rPr>
          <w:spacing w:val="-3"/>
        </w:rPr>
        <w:t>股。</w:t>
      </w:r>
      <w:r>
        <w:rPr>
          <w:rFonts w:ascii="宋体" w:hAnsi="宋体" w:cs="宋体" w:eastAsia="宋体" w:hint="default"/>
          <w:w w:val="100"/>
        </w:rPr>
        <w:t> </w:t>
      </w:r>
      <w:r>
        <w:rPr/>
        <w:t>上述股份变动将会导致公司资产减少、负债结构下降，但由于变动数量较少，影响很小。</w:t>
      </w:r>
      <w:r>
        <w:rPr>
          <w:rFonts w:ascii="宋体" w:hAnsi="宋体" w:cs="宋体" w:eastAsia="宋体" w:hint="default"/>
        </w:rPr>
        <w:t> </w:t>
      </w:r>
    </w:p>
    <w:p>
      <w:pPr>
        <w:pStyle w:val="Heading3"/>
        <w:spacing w:line="324" w:lineRule="auto" w:before="7"/>
        <w:ind w:left="518" w:right="6690"/>
        <w:jc w:val="left"/>
        <w:rPr>
          <w:b w:val="0"/>
          <w:bCs w:val="0"/>
        </w:rPr>
      </w:pPr>
      <w:r>
        <w:rPr>
          <w:rFonts w:ascii="宋体" w:hAnsi="宋体" w:cs="宋体" w:eastAsia="宋体" w:hint="default"/>
          <w:b w:val="0"/>
          <w:bCs w:val="0"/>
          <w:w w:val="100"/>
        </w:rPr>
        <w:t> </w:t>
      </w:r>
      <w:r>
        <w:rPr>
          <w:rFonts w:ascii="宋体" w:hAnsi="宋体" w:cs="宋体" w:eastAsia="宋体" w:hint="default"/>
          <w:w w:val="99"/>
        </w:rPr>
        <w:t>(</w:t>
      </w:r>
      <w:r>
        <w:rPr>
          <w:spacing w:val="-1"/>
          <w:w w:val="100"/>
        </w:rPr>
        <w:t>三</w:t>
      </w:r>
      <w:r>
        <w:rPr>
          <w:rFonts w:ascii="宋体" w:hAnsi="宋体" w:cs="宋体" w:eastAsia="宋体" w:hint="default"/>
          <w:spacing w:val="2"/>
          <w:w w:val="99"/>
        </w:rPr>
        <w:t>)</w:t>
      </w:r>
      <w:r>
        <w:rPr>
          <w:w w:val="100"/>
        </w:rPr>
        <w:t>现存的内部职工股</w:t>
      </w:r>
      <w:r>
        <w:rPr>
          <w:spacing w:val="-3"/>
          <w:w w:val="100"/>
        </w:rPr>
        <w:t>情</w:t>
      </w:r>
      <w:r>
        <w:rPr>
          <w:w w:val="100"/>
        </w:rPr>
        <w:t>况</w:t>
      </w:r>
      <w:r>
        <w:rPr>
          <w:b w:val="0"/>
          <w:bCs w:val="0"/>
          <w:w w:val="100"/>
        </w:rPr>
      </w:r>
    </w:p>
    <w:p>
      <w:pPr>
        <w:pStyle w:val="BodyText"/>
        <w:spacing w:line="240" w:lineRule="auto" w:before="23"/>
        <w:ind w:left="51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2"/>
        <w:spacing w:line="240" w:lineRule="auto" w:before="10"/>
        <w:ind w:left="518" w:right="0"/>
        <w:jc w:val="left"/>
        <w:rPr>
          <w:rFonts w:ascii="宋体" w:hAnsi="宋体" w:cs="宋体" w:eastAsia="宋体" w:hint="default"/>
        </w:rPr>
      </w:pPr>
      <w:r>
        <w:rPr>
          <w:rFonts w:ascii="宋体"/>
        </w:rPr>
        <w:t> </w:t>
      </w:r>
    </w:p>
    <w:p>
      <w:pPr>
        <w:pStyle w:val="Heading3"/>
        <w:spacing w:line="240" w:lineRule="auto" w:before="85"/>
        <w:ind w:left="518" w:right="0"/>
        <w:jc w:val="left"/>
        <w:rPr>
          <w:b w:val="0"/>
          <w:bCs w:val="0"/>
        </w:rPr>
      </w:pPr>
      <w:r>
        <w:rPr/>
        <w:t>三、</w:t>
      </w:r>
      <w:r>
        <w:rPr>
          <w:spacing w:val="-80"/>
        </w:rPr>
        <w:t> </w:t>
      </w:r>
      <w:r>
        <w:rPr>
          <w:rFonts w:ascii="宋体" w:hAnsi="宋体" w:cs="宋体" w:eastAsia="宋体" w:hint="default"/>
          <w:spacing w:val="-80"/>
        </w:rPr>
      </w:r>
      <w:r>
        <w:rPr/>
        <w:t>股东和实际控制人情况</w:t>
      </w:r>
      <w:r>
        <w:rPr>
          <w:b w:val="0"/>
          <w:bCs w:val="0"/>
        </w:rPr>
      </w:r>
    </w:p>
    <w:p>
      <w:pPr>
        <w:pStyle w:val="Heading3"/>
        <w:spacing w:line="240" w:lineRule="auto"/>
        <w:ind w:left="518" w:right="0"/>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9"/>
        </w:rPr>
        <w:t> </w:t>
      </w:r>
      <w:r>
        <w:rPr/>
        <w:t>股东总数</w:t>
      </w:r>
      <w:r>
        <w:rPr>
          <w:b w:val="0"/>
          <w:bCs w:val="0"/>
        </w:rPr>
      </w:r>
    </w:p>
    <w:p>
      <w:pPr>
        <w:spacing w:line="240" w:lineRule="auto" w:before="4"/>
        <w:rPr>
          <w:rFonts w:ascii="宋体" w:hAnsi="宋体" w:cs="宋体" w:eastAsia="宋体" w:hint="default"/>
          <w:b/>
          <w:bCs/>
          <w:sz w:val="6"/>
          <w:szCs w:val="6"/>
        </w:rPr>
      </w:pPr>
    </w:p>
    <w:tbl>
      <w:tblPr>
        <w:tblW w:w="0" w:type="auto"/>
        <w:jc w:val="left"/>
        <w:tblInd w:w="405" w:type="dxa"/>
        <w:tblLayout w:type="fixed"/>
        <w:tblCellMar>
          <w:top w:w="0" w:type="dxa"/>
          <w:left w:w="0" w:type="dxa"/>
          <w:bottom w:w="0" w:type="dxa"/>
          <w:right w:w="0" w:type="dxa"/>
        </w:tblCellMar>
        <w:tblLook w:val="01E0"/>
      </w:tblPr>
      <w:tblGrid>
        <w:gridCol w:w="6063"/>
        <w:gridCol w:w="2986"/>
      </w:tblGrid>
      <w:tr>
        <w:trPr>
          <w:trHeight w:val="324" w:hRule="exact"/>
        </w:trPr>
        <w:tc>
          <w:tcPr>
            <w:tcW w:w="606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截止报告期末普通股股东总数</w:t>
            </w:r>
            <w:r>
              <w:rPr>
                <w:rFonts w:ascii="宋体" w:hAnsi="宋体" w:cs="宋体" w:eastAsia="宋体" w:hint="default"/>
                <w:sz w:val="21"/>
                <w:szCs w:val="21"/>
              </w:rPr>
              <w:t>(</w:t>
            </w:r>
            <w:r>
              <w:rPr>
                <w:rFonts w:ascii="宋体" w:hAnsi="宋体" w:cs="宋体" w:eastAsia="宋体" w:hint="default"/>
                <w:sz w:val="21"/>
                <w:szCs w:val="21"/>
              </w:rPr>
              <w:t>户</w:t>
            </w:r>
            <w:r>
              <w:rPr>
                <w:rFonts w:ascii="宋体" w:hAnsi="宋体" w:cs="宋体" w:eastAsia="宋体" w:hint="default"/>
                <w:sz w:val="21"/>
                <w:szCs w:val="21"/>
              </w:rPr>
              <w:t>) </w:t>
            </w:r>
          </w:p>
        </w:tc>
        <w:tc>
          <w:tcPr>
            <w:tcW w:w="298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spacing w:val="-1"/>
                <w:sz w:val="21"/>
              </w:rPr>
              <w:t>49,951</w:t>
            </w:r>
            <w:r>
              <w:rPr>
                <w:rFonts w:ascii="宋体"/>
                <w:sz w:val="21"/>
              </w:rPr>
              <w:t> </w:t>
            </w:r>
          </w:p>
        </w:tc>
      </w:tr>
      <w:tr>
        <w:trPr>
          <w:trHeight w:val="322" w:hRule="exact"/>
        </w:trPr>
        <w:tc>
          <w:tcPr>
            <w:tcW w:w="606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年度报告披露日前上一月末的普通股股东总数</w:t>
            </w:r>
            <w:r>
              <w:rPr>
                <w:rFonts w:ascii="宋体" w:hAnsi="宋体" w:cs="宋体" w:eastAsia="宋体" w:hint="default"/>
                <w:sz w:val="21"/>
                <w:szCs w:val="21"/>
              </w:rPr>
              <w:t>(</w:t>
            </w:r>
            <w:r>
              <w:rPr>
                <w:rFonts w:ascii="宋体" w:hAnsi="宋体" w:cs="宋体" w:eastAsia="宋体" w:hint="default"/>
                <w:sz w:val="21"/>
                <w:szCs w:val="21"/>
              </w:rPr>
              <w:t>户</w:t>
            </w:r>
            <w:r>
              <w:rPr>
                <w:rFonts w:ascii="宋体" w:hAnsi="宋体" w:cs="宋体" w:eastAsia="宋体" w:hint="default"/>
                <w:sz w:val="21"/>
                <w:szCs w:val="21"/>
              </w:rPr>
              <w:t>) </w:t>
            </w:r>
          </w:p>
        </w:tc>
        <w:tc>
          <w:tcPr>
            <w:tcW w:w="298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51,643</w:t>
            </w:r>
            <w:r>
              <w:rPr>
                <w:rFonts w:ascii="宋体"/>
                <w:sz w:val="21"/>
              </w:rPr>
              <w:t> </w:t>
            </w:r>
          </w:p>
        </w:tc>
      </w:tr>
    </w:tbl>
    <w:p>
      <w:pPr>
        <w:spacing w:after="0" w:line="262" w:lineRule="exact"/>
        <w:jc w:val="right"/>
        <w:rPr>
          <w:rFonts w:ascii="宋体" w:hAnsi="宋体" w:cs="宋体" w:eastAsia="宋体" w:hint="default"/>
          <w:sz w:val="21"/>
          <w:szCs w:val="21"/>
        </w:rPr>
        <w:sectPr>
          <w:pgSz w:w="11910" w:h="16840"/>
          <w:pgMar w:header="747" w:footer="974" w:top="1140" w:bottom="1160" w:left="1280" w:right="760"/>
        </w:sectPr>
      </w:pPr>
    </w:p>
    <w:p>
      <w:pPr>
        <w:pStyle w:val="BodyText"/>
        <w:spacing w:line="262" w:lineRule="exact"/>
        <w:ind w:left="518" w:right="0"/>
        <w:jc w:val="left"/>
        <w:rPr>
          <w:rFonts w:ascii="宋体" w:hAnsi="宋体" w:cs="宋体" w:eastAsia="宋体" w:hint="default"/>
        </w:rPr>
      </w:pPr>
      <w:r>
        <w:rPr>
          <w:rFonts w:ascii="宋体"/>
          <w:w w:val="100"/>
        </w:rPr>
        <w:t> </w:t>
      </w:r>
    </w:p>
    <w:p>
      <w:pPr>
        <w:pStyle w:val="Heading3"/>
        <w:spacing w:line="240" w:lineRule="auto"/>
        <w:ind w:left="518" w:right="-15"/>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2"/>
        </w:rPr>
        <w:t> </w:t>
      </w:r>
      <w:r>
        <w:rPr/>
        <w:t>截止报告期末前十名股东、前十名流通股东（或无限售条件股东）持股情况表</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5"/>
          <w:szCs w:val="15"/>
        </w:rPr>
      </w:pPr>
    </w:p>
    <w:p>
      <w:pPr>
        <w:pStyle w:val="BodyText"/>
        <w:spacing w:line="240" w:lineRule="auto"/>
        <w:ind w:left="465" w:right="0"/>
        <w:jc w:val="left"/>
        <w:rPr>
          <w:rFonts w:ascii="宋体" w:hAnsi="宋体" w:cs="宋体" w:eastAsia="宋体" w:hint="default"/>
        </w:rPr>
      </w:pPr>
      <w:r>
        <w:rPr/>
        <w:t>单位</w:t>
      </w:r>
      <w:r>
        <w:rPr>
          <w:rFonts w:ascii="宋体" w:hAnsi="宋体" w:cs="宋体" w:eastAsia="宋体" w:hint="default"/>
        </w:rPr>
        <w:t>:</w:t>
      </w:r>
      <w:r>
        <w:rPr/>
        <w:t>股</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580" w:bottom="280" w:left="1280" w:right="760"/>
          <w:cols w:num="2" w:equalWidth="0">
            <w:col w:w="8113" w:space="40"/>
            <w:col w:w="1717"/>
          </w:cols>
        </w:sectPr>
      </w:pPr>
    </w:p>
    <w:p>
      <w:pPr>
        <w:spacing w:line="240" w:lineRule="auto" w:before="10"/>
        <w:rPr>
          <w:rFonts w:ascii="宋体" w:hAnsi="宋体" w:cs="宋体" w:eastAsia="宋体" w:hint="default"/>
          <w:sz w:val="3"/>
          <w:szCs w:val="3"/>
        </w:rPr>
      </w:pPr>
    </w:p>
    <w:tbl>
      <w:tblPr>
        <w:tblW w:w="0" w:type="auto"/>
        <w:jc w:val="left"/>
        <w:tblInd w:w="110" w:type="dxa"/>
        <w:tblLayout w:type="fixed"/>
        <w:tblCellMar>
          <w:top w:w="0" w:type="dxa"/>
          <w:left w:w="0" w:type="dxa"/>
          <w:bottom w:w="0" w:type="dxa"/>
          <w:right w:w="0" w:type="dxa"/>
        </w:tblCellMar>
        <w:tblLook w:val="01E0"/>
      </w:tblPr>
      <w:tblGrid>
        <w:gridCol w:w="2316"/>
        <w:gridCol w:w="1239"/>
        <w:gridCol w:w="1450"/>
        <w:gridCol w:w="257"/>
        <w:gridCol w:w="576"/>
        <w:gridCol w:w="941"/>
        <w:gridCol w:w="826"/>
        <w:gridCol w:w="505"/>
        <w:gridCol w:w="257"/>
        <w:gridCol w:w="1274"/>
      </w:tblGrid>
      <w:tr>
        <w:trPr>
          <w:trHeight w:val="322" w:hRule="exact"/>
        </w:trPr>
        <w:tc>
          <w:tcPr>
            <w:tcW w:w="9640"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73" w:right="0"/>
              <w:jc w:val="center"/>
              <w:rPr>
                <w:rFonts w:ascii="宋体" w:hAnsi="宋体" w:cs="宋体" w:eastAsia="宋体" w:hint="default"/>
                <w:sz w:val="15"/>
                <w:szCs w:val="15"/>
              </w:rPr>
            </w:pPr>
            <w:r>
              <w:rPr>
                <w:rFonts w:ascii="宋体" w:hAnsi="宋体" w:cs="宋体" w:eastAsia="宋体" w:hint="default"/>
                <w:sz w:val="15"/>
                <w:szCs w:val="15"/>
              </w:rPr>
              <w:t>前十名股东持股情况</w:t>
            </w:r>
            <w:r>
              <w:rPr>
                <w:rFonts w:ascii="宋体" w:hAnsi="宋体" w:cs="宋体" w:eastAsia="宋体" w:hint="default"/>
                <w:sz w:val="15"/>
                <w:szCs w:val="15"/>
              </w:rPr>
              <w:t> </w:t>
            </w:r>
          </w:p>
        </w:tc>
      </w:tr>
      <w:tr>
        <w:trPr>
          <w:trHeight w:val="322" w:hRule="exact"/>
        </w:trPr>
        <w:tc>
          <w:tcPr>
            <w:tcW w:w="2316"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68" w:right="0"/>
              <w:jc w:val="center"/>
              <w:rPr>
                <w:rFonts w:ascii="宋体" w:hAnsi="宋体" w:cs="宋体" w:eastAsia="宋体" w:hint="default"/>
                <w:sz w:val="15"/>
                <w:szCs w:val="15"/>
              </w:rPr>
            </w:pPr>
            <w:r>
              <w:rPr>
                <w:rFonts w:ascii="宋体" w:hAnsi="宋体" w:cs="宋体" w:eastAsia="宋体" w:hint="default"/>
                <w:sz w:val="15"/>
                <w:szCs w:val="15"/>
              </w:rPr>
              <w:t>股东名称</w:t>
            </w:r>
            <w:r>
              <w:rPr>
                <w:rFonts w:ascii="宋体" w:hAnsi="宋体" w:cs="宋体" w:eastAsia="宋体" w:hint="default"/>
                <w:sz w:val="15"/>
                <w:szCs w:val="15"/>
              </w:rPr>
              <w:t> </w:t>
            </w:r>
          </w:p>
          <w:p>
            <w:pPr>
              <w:pStyle w:val="TableParagraph"/>
              <w:spacing w:line="240" w:lineRule="auto" w:before="116"/>
              <w:ind w:left="68" w:right="0"/>
              <w:jc w:val="center"/>
              <w:rPr>
                <w:rFonts w:ascii="宋体" w:hAnsi="宋体" w:cs="宋体" w:eastAsia="宋体" w:hint="default"/>
                <w:sz w:val="15"/>
                <w:szCs w:val="15"/>
              </w:rPr>
            </w:pPr>
            <w:r>
              <w:rPr>
                <w:rFonts w:ascii="宋体" w:hAnsi="宋体" w:cs="宋体" w:eastAsia="宋体" w:hint="default"/>
                <w:sz w:val="15"/>
                <w:szCs w:val="15"/>
              </w:rPr>
              <w:t>（全称）</w:t>
            </w:r>
            <w:r>
              <w:rPr>
                <w:rFonts w:ascii="宋体" w:hAnsi="宋体" w:cs="宋体" w:eastAsia="宋体" w:hint="default"/>
                <w:sz w:val="15"/>
                <w:szCs w:val="15"/>
              </w:rPr>
              <w:t> </w:t>
            </w:r>
          </w:p>
        </w:tc>
        <w:tc>
          <w:tcPr>
            <w:tcW w:w="123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63" w:right="0"/>
              <w:jc w:val="left"/>
              <w:rPr>
                <w:rFonts w:ascii="宋体" w:hAnsi="宋体" w:cs="宋体" w:eastAsia="宋体" w:hint="default"/>
                <w:sz w:val="15"/>
                <w:szCs w:val="15"/>
              </w:rPr>
            </w:pPr>
            <w:r>
              <w:rPr>
                <w:rFonts w:ascii="宋体" w:hAnsi="宋体" w:cs="宋体" w:eastAsia="宋体" w:hint="default"/>
                <w:sz w:val="15"/>
                <w:szCs w:val="15"/>
              </w:rPr>
              <w:t>报告期内增减</w:t>
            </w:r>
            <w:r>
              <w:rPr>
                <w:rFonts w:ascii="宋体" w:hAnsi="宋体" w:cs="宋体" w:eastAsia="宋体" w:hint="default"/>
                <w:sz w:val="15"/>
                <w:szCs w:val="15"/>
              </w:rPr>
              <w:t> </w:t>
            </w:r>
          </w:p>
        </w:tc>
        <w:tc>
          <w:tcPr>
            <w:tcW w:w="145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8" w:right="0"/>
              <w:jc w:val="left"/>
              <w:rPr>
                <w:rFonts w:ascii="宋体" w:hAnsi="宋体" w:cs="宋体" w:eastAsia="宋体" w:hint="default"/>
                <w:sz w:val="15"/>
                <w:szCs w:val="15"/>
              </w:rPr>
            </w:pPr>
            <w:r>
              <w:rPr>
                <w:rFonts w:ascii="宋体" w:hAnsi="宋体" w:cs="宋体" w:eastAsia="宋体" w:hint="default"/>
                <w:sz w:val="15"/>
                <w:szCs w:val="15"/>
              </w:rPr>
              <w:t>期末持股数量</w:t>
            </w:r>
            <w:r>
              <w:rPr>
                <w:rFonts w:ascii="宋体" w:hAnsi="宋体" w:cs="宋体" w:eastAsia="宋体" w:hint="default"/>
                <w:sz w:val="15"/>
                <w:szCs w:val="15"/>
              </w:rPr>
              <w:t> </w:t>
            </w:r>
          </w:p>
        </w:tc>
        <w:tc>
          <w:tcPr>
            <w:tcW w:w="833" w:type="dxa"/>
            <w:gridSpan w:val="2"/>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46" w:right="0"/>
              <w:jc w:val="left"/>
              <w:rPr>
                <w:rFonts w:ascii="宋体" w:hAnsi="宋体" w:cs="宋体" w:eastAsia="宋体" w:hint="default"/>
                <w:sz w:val="15"/>
                <w:szCs w:val="15"/>
              </w:rPr>
            </w:pPr>
            <w:r>
              <w:rPr>
                <w:rFonts w:ascii="宋体" w:hAnsi="宋体" w:cs="宋体" w:eastAsia="宋体" w:hint="default"/>
                <w:sz w:val="15"/>
                <w:szCs w:val="15"/>
              </w:rPr>
              <w:t>比例</w:t>
            </w:r>
            <w:r>
              <w:rPr>
                <w:rFonts w:ascii="宋体" w:hAnsi="宋体" w:cs="宋体" w:eastAsia="宋体" w:hint="default"/>
                <w:sz w:val="15"/>
                <w:szCs w:val="15"/>
              </w:rPr>
              <w:t>(%) </w:t>
            </w:r>
          </w:p>
        </w:tc>
        <w:tc>
          <w:tcPr>
            <w:tcW w:w="941" w:type="dxa"/>
            <w:vMerge w:val="restart"/>
            <w:tcBorders>
              <w:top w:val="single" w:sz="4" w:space="0" w:color="000000"/>
              <w:left w:val="single" w:sz="4" w:space="0" w:color="000000"/>
              <w:right w:val="single" w:sz="4" w:space="0" w:color="000000"/>
            </w:tcBorders>
          </w:tcPr>
          <w:p>
            <w:pPr>
              <w:pStyle w:val="TableParagraph"/>
              <w:spacing w:line="381" w:lineRule="auto" w:before="38"/>
              <w:ind w:left="165" w:right="161"/>
              <w:jc w:val="both"/>
              <w:rPr>
                <w:rFonts w:ascii="宋体" w:hAnsi="宋体" w:cs="宋体" w:eastAsia="宋体" w:hint="default"/>
                <w:sz w:val="15"/>
                <w:szCs w:val="15"/>
              </w:rPr>
            </w:pPr>
            <w:r>
              <w:rPr>
                <w:rFonts w:ascii="宋体" w:hAnsi="宋体" w:cs="宋体" w:eastAsia="宋体" w:hint="default"/>
                <w:sz w:val="15"/>
                <w:szCs w:val="15"/>
              </w:rPr>
              <w:t>持有有限</w:t>
            </w:r>
            <w:r>
              <w:rPr>
                <w:rFonts w:ascii="宋体" w:hAnsi="宋体" w:cs="宋体" w:eastAsia="宋体" w:hint="default"/>
                <w:w w:val="100"/>
                <w:sz w:val="15"/>
                <w:szCs w:val="15"/>
              </w:rPr>
              <w:t> </w:t>
            </w:r>
            <w:r>
              <w:rPr>
                <w:rFonts w:ascii="宋体" w:hAnsi="宋体" w:cs="宋体" w:eastAsia="宋体" w:hint="default"/>
                <w:sz w:val="15"/>
                <w:szCs w:val="15"/>
              </w:rPr>
              <w:t>售条件股</w:t>
            </w:r>
            <w:r>
              <w:rPr>
                <w:rFonts w:ascii="宋体" w:hAnsi="宋体" w:cs="宋体" w:eastAsia="宋体" w:hint="default"/>
                <w:w w:val="100"/>
                <w:sz w:val="15"/>
                <w:szCs w:val="15"/>
              </w:rPr>
              <w:t> </w:t>
            </w:r>
            <w:r>
              <w:rPr>
                <w:rFonts w:ascii="宋体" w:hAnsi="宋体" w:cs="宋体" w:eastAsia="宋体" w:hint="default"/>
                <w:sz w:val="15"/>
                <w:szCs w:val="15"/>
              </w:rPr>
              <w:t>份数量</w:t>
            </w:r>
            <w:r>
              <w:rPr>
                <w:rFonts w:ascii="宋体" w:hAnsi="宋体" w:cs="宋体" w:eastAsia="宋体" w:hint="default"/>
                <w:sz w:val="15"/>
                <w:szCs w:val="15"/>
              </w:rPr>
              <w:t> </w:t>
            </w:r>
          </w:p>
        </w:tc>
        <w:tc>
          <w:tcPr>
            <w:tcW w:w="133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34" w:right="0"/>
              <w:jc w:val="left"/>
              <w:rPr>
                <w:rFonts w:ascii="宋体" w:hAnsi="宋体" w:cs="宋体" w:eastAsia="宋体" w:hint="default"/>
                <w:sz w:val="15"/>
                <w:szCs w:val="15"/>
              </w:rPr>
            </w:pPr>
            <w:r>
              <w:rPr>
                <w:rFonts w:ascii="宋体" w:hAnsi="宋体" w:cs="宋体" w:eastAsia="宋体" w:hint="default"/>
                <w:sz w:val="15"/>
                <w:szCs w:val="15"/>
              </w:rPr>
              <w:t>质押或冻结情况</w:t>
            </w:r>
            <w:r>
              <w:rPr>
                <w:rFonts w:ascii="宋体" w:hAnsi="宋体" w:cs="宋体" w:eastAsia="宋体" w:hint="default"/>
                <w:sz w:val="15"/>
                <w:szCs w:val="15"/>
              </w:rPr>
              <w:t> </w:t>
            </w:r>
          </w:p>
        </w:tc>
        <w:tc>
          <w:tcPr>
            <w:tcW w:w="1531" w:type="dxa"/>
            <w:gridSpan w:val="2"/>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381" w:lineRule="auto"/>
              <w:ind w:left="609" w:right="534"/>
              <w:jc w:val="center"/>
              <w:rPr>
                <w:rFonts w:ascii="宋体" w:hAnsi="宋体" w:cs="宋体" w:eastAsia="宋体" w:hint="default"/>
                <w:sz w:val="15"/>
                <w:szCs w:val="15"/>
              </w:rPr>
            </w:pPr>
            <w:r>
              <w:rPr>
                <w:rFonts w:ascii="宋体" w:hAnsi="宋体" w:cs="宋体" w:eastAsia="宋体" w:hint="default"/>
                <w:sz w:val="15"/>
                <w:szCs w:val="15"/>
              </w:rPr>
              <w:t>股东</w:t>
            </w:r>
            <w:r>
              <w:rPr>
                <w:rFonts w:ascii="宋体" w:hAnsi="宋体" w:cs="宋体" w:eastAsia="宋体" w:hint="default"/>
                <w:w w:val="100"/>
                <w:sz w:val="15"/>
                <w:szCs w:val="15"/>
              </w:rPr>
              <w:t> </w:t>
            </w:r>
            <w:r>
              <w:rPr>
                <w:rFonts w:ascii="宋体" w:hAnsi="宋体" w:cs="宋体" w:eastAsia="宋体" w:hint="default"/>
                <w:sz w:val="15"/>
                <w:szCs w:val="15"/>
              </w:rPr>
              <w:t>性质</w:t>
            </w:r>
            <w:r>
              <w:rPr>
                <w:rFonts w:ascii="宋体" w:hAnsi="宋体" w:cs="宋体" w:eastAsia="宋体" w:hint="default"/>
                <w:sz w:val="15"/>
                <w:szCs w:val="15"/>
              </w:rPr>
              <w:t> </w:t>
            </w:r>
          </w:p>
        </w:tc>
      </w:tr>
      <w:tr>
        <w:trPr>
          <w:trHeight w:val="634" w:hRule="exact"/>
        </w:trPr>
        <w:tc>
          <w:tcPr>
            <w:tcW w:w="2316" w:type="dxa"/>
            <w:vMerge/>
            <w:tcBorders>
              <w:left w:val="single" w:sz="4" w:space="0" w:color="000000"/>
              <w:bottom w:val="single" w:sz="4" w:space="0" w:color="000000"/>
              <w:right w:val="single" w:sz="4" w:space="0" w:color="000000"/>
            </w:tcBorders>
          </w:tcPr>
          <w:p>
            <w:pPr/>
          </w:p>
        </w:tc>
        <w:tc>
          <w:tcPr>
            <w:tcW w:w="1239" w:type="dxa"/>
            <w:vMerge/>
            <w:tcBorders>
              <w:left w:val="single" w:sz="4" w:space="0" w:color="000000"/>
              <w:bottom w:val="single" w:sz="4" w:space="0" w:color="000000"/>
              <w:right w:val="single" w:sz="4" w:space="0" w:color="000000"/>
            </w:tcBorders>
          </w:tcPr>
          <w:p>
            <w:pPr/>
          </w:p>
        </w:tc>
        <w:tc>
          <w:tcPr>
            <w:tcW w:w="1450" w:type="dxa"/>
            <w:vMerge/>
            <w:tcBorders>
              <w:left w:val="single" w:sz="4" w:space="0" w:color="000000"/>
              <w:bottom w:val="single" w:sz="4" w:space="0" w:color="000000"/>
              <w:right w:val="single" w:sz="4" w:space="0" w:color="000000"/>
            </w:tcBorders>
          </w:tcPr>
          <w:p>
            <w:pPr/>
          </w:p>
        </w:tc>
        <w:tc>
          <w:tcPr>
            <w:tcW w:w="833" w:type="dxa"/>
            <w:gridSpan w:val="2"/>
            <w:vMerge/>
            <w:tcBorders>
              <w:left w:val="single" w:sz="4" w:space="0" w:color="000000"/>
              <w:bottom w:val="single" w:sz="4" w:space="0" w:color="000000"/>
              <w:right w:val="single" w:sz="4" w:space="0" w:color="000000"/>
            </w:tcBorders>
          </w:tcPr>
          <w:p>
            <w:pPr/>
          </w:p>
        </w:tc>
        <w:tc>
          <w:tcPr>
            <w:tcW w:w="941" w:type="dxa"/>
            <w:vMerge/>
            <w:tcBorders>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34"/>
              <w:ind w:left="256" w:right="181"/>
              <w:jc w:val="left"/>
              <w:rPr>
                <w:rFonts w:ascii="宋体" w:hAnsi="宋体" w:cs="宋体" w:eastAsia="宋体" w:hint="default"/>
                <w:sz w:val="15"/>
                <w:szCs w:val="15"/>
              </w:rPr>
            </w:pPr>
            <w:r>
              <w:rPr>
                <w:rFonts w:ascii="宋体" w:hAnsi="宋体" w:cs="宋体" w:eastAsia="宋体" w:hint="default"/>
                <w:sz w:val="15"/>
                <w:szCs w:val="15"/>
              </w:rPr>
              <w:t>股份</w:t>
            </w:r>
            <w:r>
              <w:rPr>
                <w:rFonts w:ascii="宋体" w:hAnsi="宋体" w:cs="宋体" w:eastAsia="宋体" w:hint="default"/>
                <w:w w:val="100"/>
                <w:sz w:val="15"/>
                <w:szCs w:val="15"/>
              </w:rPr>
              <w:t> </w:t>
            </w:r>
            <w:r>
              <w:rPr>
                <w:rFonts w:ascii="宋体" w:hAnsi="宋体" w:cs="宋体" w:eastAsia="宋体" w:hint="default"/>
                <w:sz w:val="15"/>
                <w:szCs w:val="15"/>
              </w:rPr>
              <w:t>状态</w:t>
            </w:r>
            <w:r>
              <w:rPr>
                <w:rFonts w:ascii="宋体" w:hAnsi="宋体" w:cs="宋体" w:eastAsia="宋体" w:hint="default"/>
                <w:sz w:val="15"/>
                <w:szCs w:val="15"/>
              </w:rPr>
              <w:t> </w:t>
            </w:r>
          </w:p>
        </w:tc>
        <w:tc>
          <w:tcPr>
            <w:tcW w:w="505"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34"/>
              <w:ind w:left="170" w:right="95"/>
              <w:jc w:val="left"/>
              <w:rPr>
                <w:rFonts w:ascii="宋体" w:hAnsi="宋体" w:cs="宋体" w:eastAsia="宋体" w:hint="default"/>
                <w:sz w:val="15"/>
                <w:szCs w:val="15"/>
              </w:rPr>
            </w:pPr>
            <w:r>
              <w:rPr>
                <w:rFonts w:ascii="宋体" w:hAnsi="宋体" w:cs="宋体" w:eastAsia="宋体" w:hint="default"/>
                <w:sz w:val="15"/>
                <w:szCs w:val="15"/>
              </w:rPr>
              <w:t>数</w:t>
            </w:r>
            <w:r>
              <w:rPr>
                <w:rFonts w:ascii="宋体" w:hAnsi="宋体" w:cs="宋体" w:eastAsia="宋体" w:hint="default"/>
                <w:w w:val="100"/>
                <w:sz w:val="15"/>
                <w:szCs w:val="15"/>
              </w:rPr>
              <w:t> </w:t>
            </w:r>
            <w:r>
              <w:rPr>
                <w:rFonts w:ascii="宋体" w:hAnsi="宋体" w:cs="宋体" w:eastAsia="宋体" w:hint="default"/>
                <w:sz w:val="15"/>
                <w:szCs w:val="15"/>
              </w:rPr>
              <w:t>量</w:t>
            </w:r>
            <w:r>
              <w:rPr>
                <w:rFonts w:ascii="宋体" w:hAnsi="宋体" w:cs="宋体" w:eastAsia="宋体" w:hint="default"/>
                <w:sz w:val="15"/>
                <w:szCs w:val="15"/>
              </w:rPr>
              <w:t> </w:t>
            </w:r>
          </w:p>
        </w:tc>
        <w:tc>
          <w:tcPr>
            <w:tcW w:w="1531" w:type="dxa"/>
            <w:gridSpan w:val="2"/>
            <w:vMerge/>
            <w:tcBorders>
              <w:left w:val="single" w:sz="4" w:space="0" w:color="000000"/>
              <w:bottom w:val="single" w:sz="4" w:space="0" w:color="000000"/>
              <w:right w:val="single" w:sz="4" w:space="0" w:color="000000"/>
            </w:tcBorders>
          </w:tcPr>
          <w:p>
            <w:pPr/>
          </w:p>
        </w:tc>
      </w:tr>
      <w:tr>
        <w:trPr>
          <w:trHeight w:val="324" w:hRule="exact"/>
        </w:trPr>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00" w:right="0"/>
              <w:jc w:val="left"/>
              <w:rPr>
                <w:rFonts w:ascii="宋体" w:hAnsi="宋体" w:cs="宋体" w:eastAsia="宋体" w:hint="default"/>
                <w:sz w:val="15"/>
                <w:szCs w:val="15"/>
              </w:rPr>
            </w:pPr>
            <w:r>
              <w:rPr>
                <w:rFonts w:ascii="宋体" w:hAnsi="宋体" w:cs="宋体" w:eastAsia="宋体" w:hint="default"/>
                <w:sz w:val="15"/>
                <w:szCs w:val="15"/>
              </w:rPr>
              <w:t>启东市华虹电子有限公司</w:t>
            </w:r>
            <w:r>
              <w:rPr>
                <w:rFonts w:ascii="宋体" w:hAnsi="宋体" w:cs="宋体" w:eastAsia="宋体" w:hint="default"/>
                <w:sz w:val="15"/>
                <w:szCs w:val="15"/>
              </w:rPr>
              <w:t> </w:t>
            </w:r>
          </w:p>
        </w:tc>
        <w:tc>
          <w:tcPr>
            <w:tcW w:w="1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25"/>
              <w:jc w:val="right"/>
              <w:rPr>
                <w:rFonts w:ascii="宋体" w:hAnsi="宋体" w:cs="宋体" w:eastAsia="宋体" w:hint="default"/>
                <w:sz w:val="15"/>
                <w:szCs w:val="15"/>
              </w:rPr>
            </w:pPr>
            <w:r>
              <w:rPr>
                <w:rFonts w:ascii="宋体"/>
                <w:spacing w:val="-2"/>
                <w:sz w:val="15"/>
              </w:rPr>
              <w:t>133,450,000</w:t>
            </w:r>
            <w:r>
              <w:rPr>
                <w:rFonts w:ascii="宋体"/>
                <w:sz w:val="15"/>
              </w:rPr>
              <w:t> </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29"/>
              <w:jc w:val="right"/>
              <w:rPr>
                <w:rFonts w:ascii="宋体" w:hAnsi="宋体" w:cs="宋体" w:eastAsia="宋体" w:hint="default"/>
                <w:sz w:val="15"/>
                <w:szCs w:val="15"/>
              </w:rPr>
            </w:pPr>
            <w:r>
              <w:rPr>
                <w:rFonts w:ascii="宋体"/>
                <w:spacing w:val="-2"/>
                <w:sz w:val="15"/>
              </w:rPr>
              <w:t>715,241,427</w:t>
            </w:r>
            <w:r>
              <w:rPr>
                <w:rFonts w:ascii="宋体"/>
                <w:sz w:val="15"/>
              </w:rPr>
              <w:t> </w:t>
            </w:r>
          </w:p>
        </w:tc>
        <w:tc>
          <w:tcPr>
            <w:tcW w:w="8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343" w:right="0"/>
              <w:jc w:val="left"/>
              <w:rPr>
                <w:rFonts w:ascii="宋体" w:hAnsi="宋体" w:cs="宋体" w:eastAsia="宋体" w:hint="default"/>
                <w:sz w:val="15"/>
                <w:szCs w:val="15"/>
              </w:rPr>
            </w:pPr>
            <w:r>
              <w:rPr>
                <w:rFonts w:ascii="宋体"/>
                <w:sz w:val="15"/>
              </w:rPr>
              <w:t>40.69 </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25"/>
              <w:jc w:val="right"/>
              <w:rPr>
                <w:rFonts w:ascii="宋体" w:hAnsi="宋体" w:cs="宋体" w:eastAsia="宋体" w:hint="default"/>
                <w:sz w:val="15"/>
                <w:szCs w:val="15"/>
              </w:rPr>
            </w:pPr>
            <w:r>
              <w:rPr>
                <w:rFonts w:ascii="宋体"/>
                <w:spacing w:val="-2"/>
                <w:sz w:val="15"/>
              </w:rPr>
              <w:t>0</w:t>
            </w:r>
            <w:r>
              <w:rPr>
                <w:rFonts w:ascii="宋体"/>
                <w:sz w:val="15"/>
              </w:rPr>
              <w:t> </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73" w:right="0"/>
              <w:jc w:val="center"/>
              <w:rPr>
                <w:rFonts w:ascii="宋体" w:hAnsi="宋体" w:cs="宋体" w:eastAsia="宋体" w:hint="default"/>
                <w:sz w:val="15"/>
                <w:szCs w:val="15"/>
              </w:rPr>
            </w:pPr>
            <w:r>
              <w:rPr>
                <w:rFonts w:ascii="宋体" w:hAnsi="宋体" w:cs="宋体" w:eastAsia="宋体" w:hint="default"/>
                <w:sz w:val="15"/>
                <w:szCs w:val="15"/>
              </w:rPr>
              <w:t>无</w:t>
            </w:r>
            <w:r>
              <w:rPr>
                <w:rFonts w:ascii="宋体" w:hAnsi="宋体" w:cs="宋体" w:eastAsia="宋体" w:hint="default"/>
                <w:sz w:val="15"/>
                <w:szCs w:val="15"/>
              </w:rPr>
              <w:t> </w:t>
            </w:r>
          </w:p>
        </w:tc>
        <w:tc>
          <w:tcPr>
            <w:tcW w:w="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25"/>
              <w:jc w:val="right"/>
              <w:rPr>
                <w:rFonts w:ascii="宋体" w:hAnsi="宋体" w:cs="宋体" w:eastAsia="宋体" w:hint="default"/>
                <w:sz w:val="15"/>
                <w:szCs w:val="15"/>
              </w:rPr>
            </w:pPr>
            <w:r>
              <w:rPr>
                <w:rFonts w:ascii="宋体"/>
                <w:w w:val="100"/>
                <w:sz w:val="15"/>
              </w:rPr>
              <w:t> </w:t>
            </w:r>
          </w:p>
        </w:tc>
        <w:tc>
          <w:tcPr>
            <w:tcW w:w="153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235" w:right="0"/>
              <w:jc w:val="left"/>
              <w:rPr>
                <w:rFonts w:ascii="宋体" w:hAnsi="宋体" w:cs="宋体" w:eastAsia="宋体" w:hint="default"/>
                <w:sz w:val="15"/>
                <w:szCs w:val="15"/>
              </w:rPr>
            </w:pPr>
            <w:r>
              <w:rPr>
                <w:rFonts w:ascii="宋体" w:hAnsi="宋体" w:cs="宋体" w:eastAsia="宋体" w:hint="default"/>
                <w:sz w:val="15"/>
                <w:szCs w:val="15"/>
              </w:rPr>
              <w:t>境内非国有法人</w:t>
            </w:r>
            <w:r>
              <w:rPr>
                <w:rFonts w:ascii="宋体" w:hAnsi="宋体" w:cs="宋体" w:eastAsia="宋体" w:hint="default"/>
                <w:sz w:val="15"/>
                <w:szCs w:val="15"/>
              </w:rPr>
              <w:t> </w:t>
            </w:r>
          </w:p>
        </w:tc>
      </w:tr>
      <w:tr>
        <w:trPr>
          <w:trHeight w:val="322" w:hRule="exact"/>
        </w:trPr>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0" w:right="0"/>
              <w:jc w:val="left"/>
              <w:rPr>
                <w:rFonts w:ascii="宋体" w:hAnsi="宋体" w:cs="宋体" w:eastAsia="宋体" w:hint="default"/>
                <w:sz w:val="15"/>
                <w:szCs w:val="15"/>
              </w:rPr>
            </w:pPr>
            <w:r>
              <w:rPr>
                <w:rFonts w:ascii="宋体" w:hAnsi="宋体" w:cs="宋体" w:eastAsia="宋体" w:hint="default"/>
                <w:sz w:val="15"/>
                <w:szCs w:val="15"/>
              </w:rPr>
              <w:t>陆永华</w:t>
            </w:r>
            <w:r>
              <w:rPr>
                <w:rFonts w:ascii="宋体" w:hAnsi="宋体" w:cs="宋体" w:eastAsia="宋体" w:hint="default"/>
                <w:sz w:val="15"/>
                <w:szCs w:val="15"/>
              </w:rPr>
              <w:t> </w:t>
            </w:r>
          </w:p>
        </w:tc>
        <w:tc>
          <w:tcPr>
            <w:tcW w:w="1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5"/>
              <w:jc w:val="right"/>
              <w:rPr>
                <w:rFonts w:ascii="宋体" w:hAnsi="宋体" w:cs="宋体" w:eastAsia="宋体" w:hint="default"/>
                <w:sz w:val="15"/>
                <w:szCs w:val="15"/>
              </w:rPr>
            </w:pPr>
            <w:r>
              <w:rPr>
                <w:rFonts w:ascii="宋体"/>
                <w:spacing w:val="-1"/>
                <w:sz w:val="15"/>
              </w:rPr>
              <w:t>79,852,500</w:t>
            </w:r>
            <w:r>
              <w:rPr>
                <w:rFonts w:ascii="宋体"/>
                <w:sz w:val="15"/>
              </w:rPr>
              <w:t> </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9"/>
              <w:jc w:val="right"/>
              <w:rPr>
                <w:rFonts w:ascii="宋体" w:hAnsi="宋体" w:cs="宋体" w:eastAsia="宋体" w:hint="default"/>
                <w:sz w:val="15"/>
                <w:szCs w:val="15"/>
              </w:rPr>
            </w:pPr>
            <w:r>
              <w:rPr>
                <w:rFonts w:ascii="宋体"/>
                <w:spacing w:val="-1"/>
                <w:sz w:val="15"/>
              </w:rPr>
              <w:t>79,852,500</w:t>
            </w:r>
            <w:r>
              <w:rPr>
                <w:rFonts w:ascii="宋体"/>
                <w:sz w:val="15"/>
              </w:rPr>
              <w:t> </w:t>
            </w:r>
          </w:p>
        </w:tc>
        <w:tc>
          <w:tcPr>
            <w:tcW w:w="8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417" w:right="0"/>
              <w:jc w:val="left"/>
              <w:rPr>
                <w:rFonts w:ascii="宋体" w:hAnsi="宋体" w:cs="宋体" w:eastAsia="宋体" w:hint="default"/>
                <w:sz w:val="15"/>
                <w:szCs w:val="15"/>
              </w:rPr>
            </w:pPr>
            <w:r>
              <w:rPr>
                <w:rFonts w:ascii="宋体"/>
                <w:sz w:val="15"/>
              </w:rPr>
              <w:t>4.54 </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5"/>
              <w:jc w:val="right"/>
              <w:rPr>
                <w:rFonts w:ascii="宋体" w:hAnsi="宋体" w:cs="宋体" w:eastAsia="宋体" w:hint="default"/>
                <w:sz w:val="15"/>
                <w:szCs w:val="15"/>
              </w:rPr>
            </w:pPr>
            <w:r>
              <w:rPr>
                <w:rFonts w:ascii="宋体"/>
                <w:spacing w:val="-2"/>
                <w:sz w:val="15"/>
              </w:rPr>
              <w:t>0</w:t>
            </w:r>
            <w:r>
              <w:rPr>
                <w:rFonts w:ascii="宋体"/>
                <w:sz w:val="15"/>
              </w:rPr>
              <w:t> </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73" w:right="0"/>
              <w:jc w:val="center"/>
              <w:rPr>
                <w:rFonts w:ascii="宋体" w:hAnsi="宋体" w:cs="宋体" w:eastAsia="宋体" w:hint="default"/>
                <w:sz w:val="15"/>
                <w:szCs w:val="15"/>
              </w:rPr>
            </w:pPr>
            <w:r>
              <w:rPr>
                <w:rFonts w:ascii="宋体" w:hAnsi="宋体" w:cs="宋体" w:eastAsia="宋体" w:hint="default"/>
                <w:sz w:val="15"/>
                <w:szCs w:val="15"/>
              </w:rPr>
              <w:t>无</w:t>
            </w:r>
            <w:r>
              <w:rPr>
                <w:rFonts w:ascii="宋体" w:hAnsi="宋体" w:cs="宋体" w:eastAsia="宋体" w:hint="default"/>
                <w:sz w:val="15"/>
                <w:szCs w:val="15"/>
              </w:rPr>
              <w:t> </w:t>
            </w:r>
          </w:p>
        </w:tc>
        <w:tc>
          <w:tcPr>
            <w:tcW w:w="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5"/>
              <w:jc w:val="right"/>
              <w:rPr>
                <w:rFonts w:ascii="宋体" w:hAnsi="宋体" w:cs="宋体" w:eastAsia="宋体" w:hint="default"/>
                <w:sz w:val="15"/>
                <w:szCs w:val="15"/>
              </w:rPr>
            </w:pPr>
            <w:r>
              <w:rPr>
                <w:rFonts w:ascii="宋体"/>
                <w:w w:val="100"/>
                <w:sz w:val="15"/>
              </w:rPr>
              <w:t> </w:t>
            </w:r>
          </w:p>
        </w:tc>
        <w:tc>
          <w:tcPr>
            <w:tcW w:w="153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383" w:right="0"/>
              <w:jc w:val="left"/>
              <w:rPr>
                <w:rFonts w:ascii="宋体" w:hAnsi="宋体" w:cs="宋体" w:eastAsia="宋体" w:hint="default"/>
                <w:sz w:val="15"/>
                <w:szCs w:val="15"/>
              </w:rPr>
            </w:pPr>
            <w:r>
              <w:rPr>
                <w:rFonts w:ascii="宋体" w:hAnsi="宋体" w:cs="宋体" w:eastAsia="宋体" w:hint="default"/>
                <w:sz w:val="15"/>
                <w:szCs w:val="15"/>
              </w:rPr>
              <w:t>境内自然人</w:t>
            </w:r>
            <w:r>
              <w:rPr>
                <w:rFonts w:ascii="宋体" w:hAnsi="宋体" w:cs="宋体" w:eastAsia="宋体" w:hint="default"/>
                <w:sz w:val="15"/>
                <w:szCs w:val="15"/>
              </w:rPr>
              <w:t> </w:t>
            </w:r>
          </w:p>
        </w:tc>
      </w:tr>
      <w:tr>
        <w:trPr>
          <w:trHeight w:val="322" w:hRule="exact"/>
        </w:trPr>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0" w:right="0"/>
              <w:jc w:val="left"/>
              <w:rPr>
                <w:rFonts w:ascii="宋体" w:hAnsi="宋体" w:cs="宋体" w:eastAsia="宋体" w:hint="default"/>
                <w:sz w:val="15"/>
                <w:szCs w:val="15"/>
              </w:rPr>
            </w:pPr>
            <w:r>
              <w:rPr>
                <w:rFonts w:ascii="宋体" w:hAnsi="宋体" w:cs="宋体" w:eastAsia="宋体" w:hint="default"/>
                <w:sz w:val="15"/>
                <w:szCs w:val="15"/>
              </w:rPr>
              <w:t>中国长城资产管理股份有限公司</w:t>
            </w:r>
            <w:r>
              <w:rPr>
                <w:rFonts w:ascii="宋体" w:hAnsi="宋体" w:cs="宋体" w:eastAsia="宋体" w:hint="default"/>
                <w:sz w:val="15"/>
                <w:szCs w:val="15"/>
              </w:rPr>
              <w:t> </w:t>
            </w:r>
          </w:p>
        </w:tc>
        <w:tc>
          <w:tcPr>
            <w:tcW w:w="1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5"/>
              <w:jc w:val="right"/>
              <w:rPr>
                <w:rFonts w:ascii="宋体" w:hAnsi="宋体" w:cs="宋体" w:eastAsia="宋体" w:hint="default"/>
                <w:sz w:val="15"/>
                <w:szCs w:val="15"/>
              </w:rPr>
            </w:pPr>
            <w:r>
              <w:rPr>
                <w:rFonts w:ascii="宋体"/>
                <w:spacing w:val="-2"/>
                <w:sz w:val="15"/>
              </w:rPr>
              <w:t>0</w:t>
            </w:r>
            <w:r>
              <w:rPr>
                <w:rFonts w:ascii="宋体"/>
                <w:sz w:val="15"/>
              </w:rPr>
              <w:t> </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9"/>
              <w:jc w:val="right"/>
              <w:rPr>
                <w:rFonts w:ascii="宋体" w:hAnsi="宋体" w:cs="宋体" w:eastAsia="宋体" w:hint="default"/>
                <w:sz w:val="15"/>
                <w:szCs w:val="15"/>
              </w:rPr>
            </w:pPr>
            <w:r>
              <w:rPr>
                <w:rFonts w:ascii="宋体"/>
                <w:spacing w:val="-1"/>
                <w:sz w:val="15"/>
              </w:rPr>
              <w:t>46,258,658</w:t>
            </w:r>
            <w:r>
              <w:rPr>
                <w:rFonts w:ascii="宋体"/>
                <w:sz w:val="15"/>
              </w:rPr>
              <w:t> </w:t>
            </w:r>
          </w:p>
        </w:tc>
        <w:tc>
          <w:tcPr>
            <w:tcW w:w="8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417" w:right="0"/>
              <w:jc w:val="left"/>
              <w:rPr>
                <w:rFonts w:ascii="宋体" w:hAnsi="宋体" w:cs="宋体" w:eastAsia="宋体" w:hint="default"/>
                <w:sz w:val="15"/>
                <w:szCs w:val="15"/>
              </w:rPr>
            </w:pPr>
            <w:r>
              <w:rPr>
                <w:rFonts w:ascii="宋体"/>
                <w:sz w:val="15"/>
              </w:rPr>
              <w:t>2.63 </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5"/>
              <w:jc w:val="right"/>
              <w:rPr>
                <w:rFonts w:ascii="宋体" w:hAnsi="宋体" w:cs="宋体" w:eastAsia="宋体" w:hint="default"/>
                <w:sz w:val="15"/>
                <w:szCs w:val="15"/>
              </w:rPr>
            </w:pPr>
            <w:r>
              <w:rPr>
                <w:rFonts w:ascii="宋体"/>
                <w:spacing w:val="-2"/>
                <w:sz w:val="15"/>
              </w:rPr>
              <w:t>0</w:t>
            </w:r>
            <w:r>
              <w:rPr>
                <w:rFonts w:ascii="宋体"/>
                <w:sz w:val="15"/>
              </w:rPr>
              <w:t> </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73" w:right="0"/>
              <w:jc w:val="center"/>
              <w:rPr>
                <w:rFonts w:ascii="宋体" w:hAnsi="宋体" w:cs="宋体" w:eastAsia="宋体" w:hint="default"/>
                <w:sz w:val="15"/>
                <w:szCs w:val="15"/>
              </w:rPr>
            </w:pPr>
            <w:r>
              <w:rPr>
                <w:rFonts w:ascii="宋体" w:hAnsi="宋体" w:cs="宋体" w:eastAsia="宋体" w:hint="default"/>
                <w:sz w:val="15"/>
                <w:szCs w:val="15"/>
              </w:rPr>
              <w:t>未知</w:t>
            </w:r>
            <w:r>
              <w:rPr>
                <w:rFonts w:ascii="宋体" w:hAnsi="宋体" w:cs="宋体" w:eastAsia="宋体" w:hint="default"/>
                <w:sz w:val="15"/>
                <w:szCs w:val="15"/>
              </w:rPr>
              <w:t> </w:t>
            </w:r>
          </w:p>
        </w:tc>
        <w:tc>
          <w:tcPr>
            <w:tcW w:w="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5"/>
              <w:jc w:val="right"/>
              <w:rPr>
                <w:rFonts w:ascii="宋体" w:hAnsi="宋体" w:cs="宋体" w:eastAsia="宋体" w:hint="default"/>
                <w:sz w:val="15"/>
                <w:szCs w:val="15"/>
              </w:rPr>
            </w:pPr>
            <w:r>
              <w:rPr>
                <w:rFonts w:ascii="宋体"/>
                <w:w w:val="100"/>
                <w:sz w:val="15"/>
              </w:rPr>
              <w:t> </w:t>
            </w:r>
          </w:p>
        </w:tc>
        <w:tc>
          <w:tcPr>
            <w:tcW w:w="153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35" w:right="0"/>
              <w:jc w:val="left"/>
              <w:rPr>
                <w:rFonts w:ascii="宋体" w:hAnsi="宋体" w:cs="宋体" w:eastAsia="宋体" w:hint="default"/>
                <w:sz w:val="15"/>
                <w:szCs w:val="15"/>
              </w:rPr>
            </w:pPr>
            <w:r>
              <w:rPr>
                <w:rFonts w:ascii="宋体" w:hAnsi="宋体" w:cs="宋体" w:eastAsia="宋体" w:hint="default"/>
                <w:sz w:val="15"/>
                <w:szCs w:val="15"/>
              </w:rPr>
              <w:t>境内非国有法人</w:t>
            </w:r>
            <w:r>
              <w:rPr>
                <w:rFonts w:ascii="宋体" w:hAnsi="宋体" w:cs="宋体" w:eastAsia="宋体" w:hint="default"/>
                <w:sz w:val="15"/>
                <w:szCs w:val="15"/>
              </w:rPr>
              <w:t> </w:t>
            </w:r>
          </w:p>
        </w:tc>
      </w:tr>
      <w:tr>
        <w:trPr>
          <w:trHeight w:val="322" w:hRule="exact"/>
        </w:trPr>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0" w:right="0"/>
              <w:jc w:val="left"/>
              <w:rPr>
                <w:rFonts w:ascii="宋体" w:hAnsi="宋体" w:cs="宋体" w:eastAsia="宋体" w:hint="default"/>
                <w:sz w:val="15"/>
                <w:szCs w:val="15"/>
              </w:rPr>
            </w:pPr>
            <w:r>
              <w:rPr>
                <w:rFonts w:ascii="宋体" w:hAnsi="宋体" w:cs="宋体" w:eastAsia="宋体" w:hint="default"/>
                <w:sz w:val="15"/>
                <w:szCs w:val="15"/>
              </w:rPr>
              <w:t>全国社保基金四一三组合</w:t>
            </w:r>
            <w:r>
              <w:rPr>
                <w:rFonts w:ascii="宋体" w:hAnsi="宋体" w:cs="宋体" w:eastAsia="宋体" w:hint="default"/>
                <w:sz w:val="15"/>
                <w:szCs w:val="15"/>
              </w:rPr>
              <w:t> </w:t>
            </w:r>
          </w:p>
        </w:tc>
        <w:tc>
          <w:tcPr>
            <w:tcW w:w="1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5"/>
              <w:jc w:val="right"/>
              <w:rPr>
                <w:rFonts w:ascii="宋体" w:hAnsi="宋体" w:cs="宋体" w:eastAsia="宋体" w:hint="default"/>
                <w:sz w:val="15"/>
                <w:szCs w:val="15"/>
              </w:rPr>
            </w:pPr>
            <w:r>
              <w:rPr>
                <w:rFonts w:ascii="宋体"/>
                <w:spacing w:val="-1"/>
                <w:sz w:val="15"/>
              </w:rPr>
              <w:t>19,388,150</w:t>
            </w:r>
            <w:r>
              <w:rPr>
                <w:rFonts w:ascii="宋体"/>
                <w:sz w:val="15"/>
              </w:rPr>
              <w:t> </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9"/>
              <w:jc w:val="right"/>
              <w:rPr>
                <w:rFonts w:ascii="宋体" w:hAnsi="宋体" w:cs="宋体" w:eastAsia="宋体" w:hint="default"/>
                <w:sz w:val="15"/>
                <w:szCs w:val="15"/>
              </w:rPr>
            </w:pPr>
            <w:r>
              <w:rPr>
                <w:rFonts w:ascii="宋体"/>
                <w:spacing w:val="-1"/>
                <w:sz w:val="15"/>
              </w:rPr>
              <w:t>37,586,366</w:t>
            </w:r>
            <w:r>
              <w:rPr>
                <w:rFonts w:ascii="宋体"/>
                <w:sz w:val="15"/>
              </w:rPr>
              <w:t> </w:t>
            </w:r>
          </w:p>
        </w:tc>
        <w:tc>
          <w:tcPr>
            <w:tcW w:w="8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417" w:right="0"/>
              <w:jc w:val="left"/>
              <w:rPr>
                <w:rFonts w:ascii="宋体" w:hAnsi="宋体" w:cs="宋体" w:eastAsia="宋体" w:hint="default"/>
                <w:sz w:val="15"/>
                <w:szCs w:val="15"/>
              </w:rPr>
            </w:pPr>
            <w:r>
              <w:rPr>
                <w:rFonts w:ascii="宋体"/>
                <w:sz w:val="15"/>
              </w:rPr>
              <w:t>2.14 </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5"/>
              <w:jc w:val="right"/>
              <w:rPr>
                <w:rFonts w:ascii="宋体" w:hAnsi="宋体" w:cs="宋体" w:eastAsia="宋体" w:hint="default"/>
                <w:sz w:val="15"/>
                <w:szCs w:val="15"/>
              </w:rPr>
            </w:pPr>
            <w:r>
              <w:rPr>
                <w:rFonts w:ascii="宋体"/>
                <w:spacing w:val="-2"/>
                <w:sz w:val="15"/>
              </w:rPr>
              <w:t>0</w:t>
            </w:r>
            <w:r>
              <w:rPr>
                <w:rFonts w:ascii="宋体"/>
                <w:sz w:val="15"/>
              </w:rPr>
              <w:t> </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73" w:right="0"/>
              <w:jc w:val="center"/>
              <w:rPr>
                <w:rFonts w:ascii="宋体" w:hAnsi="宋体" w:cs="宋体" w:eastAsia="宋体" w:hint="default"/>
                <w:sz w:val="15"/>
                <w:szCs w:val="15"/>
              </w:rPr>
            </w:pPr>
            <w:r>
              <w:rPr>
                <w:rFonts w:ascii="宋体" w:hAnsi="宋体" w:cs="宋体" w:eastAsia="宋体" w:hint="default"/>
                <w:sz w:val="15"/>
                <w:szCs w:val="15"/>
              </w:rPr>
              <w:t>未知</w:t>
            </w:r>
            <w:r>
              <w:rPr>
                <w:rFonts w:ascii="宋体" w:hAnsi="宋体" w:cs="宋体" w:eastAsia="宋体" w:hint="default"/>
                <w:sz w:val="15"/>
                <w:szCs w:val="15"/>
              </w:rPr>
              <w:t> </w:t>
            </w:r>
          </w:p>
        </w:tc>
        <w:tc>
          <w:tcPr>
            <w:tcW w:w="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5"/>
              <w:jc w:val="right"/>
              <w:rPr>
                <w:rFonts w:ascii="宋体" w:hAnsi="宋体" w:cs="宋体" w:eastAsia="宋体" w:hint="default"/>
                <w:sz w:val="15"/>
                <w:szCs w:val="15"/>
              </w:rPr>
            </w:pPr>
            <w:r>
              <w:rPr>
                <w:rFonts w:ascii="宋体"/>
                <w:w w:val="100"/>
                <w:sz w:val="15"/>
              </w:rPr>
              <w:t> </w:t>
            </w:r>
          </w:p>
        </w:tc>
        <w:tc>
          <w:tcPr>
            <w:tcW w:w="153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35" w:right="0"/>
              <w:jc w:val="left"/>
              <w:rPr>
                <w:rFonts w:ascii="宋体" w:hAnsi="宋体" w:cs="宋体" w:eastAsia="宋体" w:hint="default"/>
                <w:sz w:val="15"/>
                <w:szCs w:val="15"/>
              </w:rPr>
            </w:pPr>
            <w:r>
              <w:rPr>
                <w:rFonts w:ascii="宋体" w:hAnsi="宋体" w:cs="宋体" w:eastAsia="宋体" w:hint="default"/>
                <w:sz w:val="15"/>
                <w:szCs w:val="15"/>
              </w:rPr>
              <w:t>境内非国有法人</w:t>
            </w:r>
            <w:r>
              <w:rPr>
                <w:rFonts w:ascii="宋体" w:hAnsi="宋体" w:cs="宋体" w:eastAsia="宋体" w:hint="default"/>
                <w:sz w:val="15"/>
                <w:szCs w:val="15"/>
              </w:rPr>
              <w:t> </w:t>
            </w:r>
          </w:p>
        </w:tc>
      </w:tr>
      <w:tr>
        <w:trPr>
          <w:trHeight w:val="322" w:hRule="exact"/>
        </w:trPr>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0" w:right="0"/>
              <w:jc w:val="left"/>
              <w:rPr>
                <w:rFonts w:ascii="宋体" w:hAnsi="宋体" w:cs="宋体" w:eastAsia="宋体" w:hint="default"/>
                <w:sz w:val="15"/>
                <w:szCs w:val="15"/>
              </w:rPr>
            </w:pPr>
            <w:r>
              <w:rPr>
                <w:rFonts w:ascii="宋体" w:hAnsi="宋体" w:cs="宋体" w:eastAsia="宋体" w:hint="default"/>
                <w:sz w:val="15"/>
                <w:szCs w:val="15"/>
              </w:rPr>
              <w:t>中国华电集团资本控股有限公司</w:t>
            </w:r>
            <w:r>
              <w:rPr>
                <w:rFonts w:ascii="宋体" w:hAnsi="宋体" w:cs="宋体" w:eastAsia="宋体" w:hint="default"/>
                <w:sz w:val="15"/>
                <w:szCs w:val="15"/>
              </w:rPr>
              <w:t> </w:t>
            </w:r>
          </w:p>
        </w:tc>
        <w:tc>
          <w:tcPr>
            <w:tcW w:w="1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5"/>
              <w:jc w:val="right"/>
              <w:rPr>
                <w:rFonts w:ascii="宋体" w:hAnsi="宋体" w:cs="宋体" w:eastAsia="宋体" w:hint="default"/>
                <w:sz w:val="15"/>
                <w:szCs w:val="15"/>
              </w:rPr>
            </w:pPr>
            <w:r>
              <w:rPr>
                <w:rFonts w:ascii="宋体"/>
                <w:spacing w:val="-2"/>
                <w:sz w:val="15"/>
              </w:rPr>
              <w:t>0</w:t>
            </w:r>
            <w:r>
              <w:rPr>
                <w:rFonts w:ascii="宋体"/>
                <w:sz w:val="15"/>
              </w:rPr>
              <w:t> </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9"/>
              <w:jc w:val="right"/>
              <w:rPr>
                <w:rFonts w:ascii="宋体" w:hAnsi="宋体" w:cs="宋体" w:eastAsia="宋体" w:hint="default"/>
                <w:sz w:val="15"/>
                <w:szCs w:val="15"/>
              </w:rPr>
            </w:pPr>
            <w:r>
              <w:rPr>
                <w:rFonts w:ascii="宋体"/>
                <w:spacing w:val="-1"/>
                <w:sz w:val="15"/>
              </w:rPr>
              <w:t>29,074,709</w:t>
            </w:r>
            <w:r>
              <w:rPr>
                <w:rFonts w:ascii="宋体"/>
                <w:sz w:val="15"/>
              </w:rPr>
              <w:t> </w:t>
            </w:r>
          </w:p>
        </w:tc>
        <w:tc>
          <w:tcPr>
            <w:tcW w:w="8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417" w:right="0"/>
              <w:jc w:val="left"/>
              <w:rPr>
                <w:rFonts w:ascii="宋体" w:hAnsi="宋体" w:cs="宋体" w:eastAsia="宋体" w:hint="default"/>
                <w:sz w:val="15"/>
                <w:szCs w:val="15"/>
              </w:rPr>
            </w:pPr>
            <w:r>
              <w:rPr>
                <w:rFonts w:ascii="宋体"/>
                <w:sz w:val="15"/>
              </w:rPr>
              <w:t>1.65 </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5"/>
              <w:jc w:val="right"/>
              <w:rPr>
                <w:rFonts w:ascii="宋体" w:hAnsi="宋体" w:cs="宋体" w:eastAsia="宋体" w:hint="default"/>
                <w:sz w:val="15"/>
                <w:szCs w:val="15"/>
              </w:rPr>
            </w:pPr>
            <w:r>
              <w:rPr>
                <w:rFonts w:ascii="宋体"/>
                <w:spacing w:val="-2"/>
                <w:sz w:val="15"/>
              </w:rPr>
              <w:t>0</w:t>
            </w:r>
            <w:r>
              <w:rPr>
                <w:rFonts w:ascii="宋体"/>
                <w:sz w:val="15"/>
              </w:rPr>
              <w:t> </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73" w:right="0"/>
              <w:jc w:val="center"/>
              <w:rPr>
                <w:rFonts w:ascii="宋体" w:hAnsi="宋体" w:cs="宋体" w:eastAsia="宋体" w:hint="default"/>
                <w:sz w:val="15"/>
                <w:szCs w:val="15"/>
              </w:rPr>
            </w:pPr>
            <w:r>
              <w:rPr>
                <w:rFonts w:ascii="宋体" w:hAnsi="宋体" w:cs="宋体" w:eastAsia="宋体" w:hint="default"/>
                <w:sz w:val="15"/>
                <w:szCs w:val="15"/>
              </w:rPr>
              <w:t>未知</w:t>
            </w:r>
            <w:r>
              <w:rPr>
                <w:rFonts w:ascii="宋体" w:hAnsi="宋体" w:cs="宋体" w:eastAsia="宋体" w:hint="default"/>
                <w:sz w:val="15"/>
                <w:szCs w:val="15"/>
              </w:rPr>
              <w:t> </w:t>
            </w:r>
          </w:p>
        </w:tc>
        <w:tc>
          <w:tcPr>
            <w:tcW w:w="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5"/>
              <w:jc w:val="right"/>
              <w:rPr>
                <w:rFonts w:ascii="宋体" w:hAnsi="宋体" w:cs="宋体" w:eastAsia="宋体" w:hint="default"/>
                <w:sz w:val="15"/>
                <w:szCs w:val="15"/>
              </w:rPr>
            </w:pPr>
            <w:r>
              <w:rPr>
                <w:rFonts w:ascii="宋体"/>
                <w:w w:val="100"/>
                <w:sz w:val="15"/>
              </w:rPr>
              <w:t> </w:t>
            </w:r>
          </w:p>
        </w:tc>
        <w:tc>
          <w:tcPr>
            <w:tcW w:w="153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35" w:right="0"/>
              <w:jc w:val="left"/>
              <w:rPr>
                <w:rFonts w:ascii="宋体" w:hAnsi="宋体" w:cs="宋体" w:eastAsia="宋体" w:hint="default"/>
                <w:sz w:val="15"/>
                <w:szCs w:val="15"/>
              </w:rPr>
            </w:pPr>
            <w:r>
              <w:rPr>
                <w:rFonts w:ascii="宋体" w:hAnsi="宋体" w:cs="宋体" w:eastAsia="宋体" w:hint="default"/>
                <w:sz w:val="15"/>
                <w:szCs w:val="15"/>
              </w:rPr>
              <w:t>境内非国有法人</w:t>
            </w:r>
            <w:r>
              <w:rPr>
                <w:rFonts w:ascii="宋体" w:hAnsi="宋体" w:cs="宋体" w:eastAsia="宋体" w:hint="default"/>
                <w:sz w:val="15"/>
                <w:szCs w:val="15"/>
              </w:rPr>
              <w:t> </w:t>
            </w:r>
          </w:p>
        </w:tc>
      </w:tr>
      <w:tr>
        <w:trPr>
          <w:trHeight w:val="634" w:hRule="exact"/>
        </w:trPr>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33"/>
              <w:ind w:left="100" w:right="101"/>
              <w:jc w:val="left"/>
              <w:rPr>
                <w:rFonts w:ascii="宋体" w:hAnsi="宋体" w:cs="宋体" w:eastAsia="宋体" w:hint="default"/>
                <w:sz w:val="15"/>
                <w:szCs w:val="15"/>
              </w:rPr>
            </w:pPr>
            <w:r>
              <w:rPr>
                <w:rFonts w:ascii="宋体" w:hAnsi="宋体" w:cs="宋体" w:eastAsia="宋体" w:hint="default"/>
                <w:spacing w:val="-2"/>
                <w:sz w:val="15"/>
                <w:szCs w:val="15"/>
              </w:rPr>
              <w:t>安耐德合伙人有限公司－客户资</w:t>
            </w:r>
            <w:r>
              <w:rPr>
                <w:rFonts w:ascii="宋体" w:hAnsi="宋体" w:cs="宋体" w:eastAsia="宋体" w:hint="default"/>
                <w:spacing w:val="-49"/>
                <w:sz w:val="15"/>
                <w:szCs w:val="15"/>
              </w:rPr>
              <w:t> </w:t>
            </w:r>
            <w:r>
              <w:rPr>
                <w:rFonts w:ascii="宋体" w:hAnsi="宋体" w:cs="宋体" w:eastAsia="宋体" w:hint="default"/>
                <w:spacing w:val="-49"/>
                <w:sz w:val="15"/>
                <w:szCs w:val="15"/>
              </w:rPr>
            </w:r>
            <w:r>
              <w:rPr>
                <w:rFonts w:ascii="宋体" w:hAnsi="宋体" w:cs="宋体" w:eastAsia="宋体" w:hint="default"/>
                <w:sz w:val="15"/>
                <w:szCs w:val="15"/>
              </w:rPr>
              <w:t>金</w:t>
            </w:r>
            <w:r>
              <w:rPr>
                <w:rFonts w:ascii="宋体" w:hAnsi="宋体" w:cs="宋体" w:eastAsia="宋体" w:hint="default"/>
                <w:sz w:val="15"/>
                <w:szCs w:val="15"/>
              </w:rPr>
              <w:t> </w:t>
            </w:r>
          </w:p>
        </w:tc>
        <w:tc>
          <w:tcPr>
            <w:tcW w:w="1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25"/>
              <w:jc w:val="right"/>
              <w:rPr>
                <w:rFonts w:ascii="宋体" w:hAnsi="宋体" w:cs="宋体" w:eastAsia="宋体" w:hint="default"/>
                <w:sz w:val="15"/>
                <w:szCs w:val="15"/>
              </w:rPr>
            </w:pPr>
            <w:r>
              <w:rPr>
                <w:rFonts w:ascii="宋体"/>
                <w:spacing w:val="-2"/>
                <w:sz w:val="15"/>
              </w:rPr>
              <w:t>9,849,600</w:t>
            </w:r>
            <w:r>
              <w:rPr>
                <w:rFonts w:ascii="宋体"/>
                <w:sz w:val="15"/>
              </w:rPr>
              <w:t> </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29"/>
              <w:jc w:val="right"/>
              <w:rPr>
                <w:rFonts w:ascii="宋体" w:hAnsi="宋体" w:cs="宋体" w:eastAsia="宋体" w:hint="default"/>
                <w:sz w:val="15"/>
                <w:szCs w:val="15"/>
              </w:rPr>
            </w:pPr>
            <w:r>
              <w:rPr>
                <w:rFonts w:ascii="宋体"/>
                <w:spacing w:val="-1"/>
                <w:sz w:val="15"/>
              </w:rPr>
              <w:t>27,265,296</w:t>
            </w:r>
            <w:r>
              <w:rPr>
                <w:rFonts w:ascii="宋体"/>
                <w:sz w:val="15"/>
              </w:rPr>
              <w:t> </w:t>
            </w:r>
          </w:p>
        </w:tc>
        <w:tc>
          <w:tcPr>
            <w:tcW w:w="8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417" w:right="0"/>
              <w:jc w:val="left"/>
              <w:rPr>
                <w:rFonts w:ascii="宋体" w:hAnsi="宋体" w:cs="宋体" w:eastAsia="宋体" w:hint="default"/>
                <w:sz w:val="15"/>
                <w:szCs w:val="15"/>
              </w:rPr>
            </w:pPr>
            <w:r>
              <w:rPr>
                <w:rFonts w:ascii="宋体"/>
                <w:sz w:val="15"/>
              </w:rPr>
              <w:t>1.55 </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25"/>
              <w:jc w:val="right"/>
              <w:rPr>
                <w:rFonts w:ascii="宋体" w:hAnsi="宋体" w:cs="宋体" w:eastAsia="宋体" w:hint="default"/>
                <w:sz w:val="15"/>
                <w:szCs w:val="15"/>
              </w:rPr>
            </w:pPr>
            <w:r>
              <w:rPr>
                <w:rFonts w:ascii="宋体"/>
                <w:spacing w:val="-2"/>
                <w:sz w:val="15"/>
              </w:rPr>
              <w:t>0</w:t>
            </w:r>
            <w:r>
              <w:rPr>
                <w:rFonts w:ascii="宋体"/>
                <w:sz w:val="15"/>
              </w:rPr>
              <w:t> </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73" w:right="0"/>
              <w:jc w:val="center"/>
              <w:rPr>
                <w:rFonts w:ascii="宋体" w:hAnsi="宋体" w:cs="宋体" w:eastAsia="宋体" w:hint="default"/>
                <w:sz w:val="15"/>
                <w:szCs w:val="15"/>
              </w:rPr>
            </w:pPr>
            <w:r>
              <w:rPr>
                <w:rFonts w:ascii="宋体" w:hAnsi="宋体" w:cs="宋体" w:eastAsia="宋体" w:hint="default"/>
                <w:sz w:val="15"/>
                <w:szCs w:val="15"/>
              </w:rPr>
              <w:t>未知</w:t>
            </w:r>
            <w:r>
              <w:rPr>
                <w:rFonts w:ascii="宋体" w:hAnsi="宋体" w:cs="宋体" w:eastAsia="宋体" w:hint="default"/>
                <w:sz w:val="15"/>
                <w:szCs w:val="15"/>
              </w:rPr>
              <w:t> </w:t>
            </w:r>
          </w:p>
        </w:tc>
        <w:tc>
          <w:tcPr>
            <w:tcW w:w="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5"/>
              <w:jc w:val="right"/>
              <w:rPr>
                <w:rFonts w:ascii="宋体" w:hAnsi="宋体" w:cs="宋体" w:eastAsia="宋体" w:hint="default"/>
                <w:sz w:val="15"/>
                <w:szCs w:val="15"/>
              </w:rPr>
            </w:pPr>
            <w:r>
              <w:rPr>
                <w:rFonts w:ascii="宋体"/>
                <w:w w:val="100"/>
                <w:sz w:val="15"/>
              </w:rPr>
              <w:t> </w:t>
            </w:r>
          </w:p>
        </w:tc>
        <w:tc>
          <w:tcPr>
            <w:tcW w:w="153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235" w:right="0"/>
              <w:jc w:val="left"/>
              <w:rPr>
                <w:rFonts w:ascii="宋体" w:hAnsi="宋体" w:cs="宋体" w:eastAsia="宋体" w:hint="default"/>
                <w:sz w:val="15"/>
                <w:szCs w:val="15"/>
              </w:rPr>
            </w:pPr>
            <w:r>
              <w:rPr>
                <w:rFonts w:ascii="宋体" w:hAnsi="宋体" w:cs="宋体" w:eastAsia="宋体" w:hint="default"/>
                <w:sz w:val="15"/>
                <w:szCs w:val="15"/>
              </w:rPr>
              <w:t>境内非国有法人</w:t>
            </w:r>
            <w:r>
              <w:rPr>
                <w:rFonts w:ascii="宋体" w:hAnsi="宋体" w:cs="宋体" w:eastAsia="宋体" w:hint="default"/>
                <w:sz w:val="15"/>
                <w:szCs w:val="15"/>
              </w:rPr>
              <w:t> </w:t>
            </w:r>
          </w:p>
        </w:tc>
      </w:tr>
      <w:tr>
        <w:trPr>
          <w:trHeight w:val="324" w:hRule="exact"/>
        </w:trPr>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00" w:right="0"/>
              <w:jc w:val="left"/>
              <w:rPr>
                <w:rFonts w:ascii="宋体" w:hAnsi="宋体" w:cs="宋体" w:eastAsia="宋体" w:hint="default"/>
                <w:sz w:val="15"/>
                <w:szCs w:val="15"/>
              </w:rPr>
            </w:pPr>
            <w:r>
              <w:rPr>
                <w:rFonts w:ascii="宋体" w:hAnsi="宋体" w:cs="宋体" w:eastAsia="宋体" w:hint="default"/>
                <w:sz w:val="15"/>
                <w:szCs w:val="15"/>
              </w:rPr>
              <w:t>虞海娟</w:t>
            </w:r>
            <w:r>
              <w:rPr>
                <w:rFonts w:ascii="宋体" w:hAnsi="宋体" w:cs="宋体" w:eastAsia="宋体" w:hint="default"/>
                <w:sz w:val="15"/>
                <w:szCs w:val="15"/>
              </w:rPr>
              <w:t> </w:t>
            </w:r>
          </w:p>
        </w:tc>
        <w:tc>
          <w:tcPr>
            <w:tcW w:w="1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25"/>
              <w:jc w:val="right"/>
              <w:rPr>
                <w:rFonts w:ascii="宋体" w:hAnsi="宋体" w:cs="宋体" w:eastAsia="宋体" w:hint="default"/>
                <w:sz w:val="15"/>
                <w:szCs w:val="15"/>
              </w:rPr>
            </w:pPr>
            <w:r>
              <w:rPr>
                <w:rFonts w:ascii="宋体"/>
                <w:spacing w:val="-2"/>
                <w:sz w:val="15"/>
              </w:rPr>
              <w:t>0</w:t>
            </w:r>
            <w:r>
              <w:rPr>
                <w:rFonts w:ascii="宋体"/>
                <w:sz w:val="15"/>
              </w:rPr>
              <w:t> </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29"/>
              <w:jc w:val="right"/>
              <w:rPr>
                <w:rFonts w:ascii="宋体" w:hAnsi="宋体" w:cs="宋体" w:eastAsia="宋体" w:hint="default"/>
                <w:sz w:val="15"/>
                <w:szCs w:val="15"/>
              </w:rPr>
            </w:pPr>
            <w:r>
              <w:rPr>
                <w:rFonts w:ascii="宋体"/>
                <w:spacing w:val="-1"/>
                <w:sz w:val="15"/>
              </w:rPr>
              <w:t>26,150,000</w:t>
            </w:r>
            <w:r>
              <w:rPr>
                <w:rFonts w:ascii="宋体"/>
                <w:sz w:val="15"/>
              </w:rPr>
              <w:t> </w:t>
            </w:r>
          </w:p>
        </w:tc>
        <w:tc>
          <w:tcPr>
            <w:tcW w:w="8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417" w:right="0"/>
              <w:jc w:val="left"/>
              <w:rPr>
                <w:rFonts w:ascii="宋体" w:hAnsi="宋体" w:cs="宋体" w:eastAsia="宋体" w:hint="default"/>
                <w:sz w:val="15"/>
                <w:szCs w:val="15"/>
              </w:rPr>
            </w:pPr>
            <w:r>
              <w:rPr>
                <w:rFonts w:ascii="宋体"/>
                <w:sz w:val="15"/>
              </w:rPr>
              <w:t>1.49 </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25"/>
              <w:jc w:val="right"/>
              <w:rPr>
                <w:rFonts w:ascii="宋体" w:hAnsi="宋体" w:cs="宋体" w:eastAsia="宋体" w:hint="default"/>
                <w:sz w:val="15"/>
                <w:szCs w:val="15"/>
              </w:rPr>
            </w:pPr>
            <w:r>
              <w:rPr>
                <w:rFonts w:ascii="宋体"/>
                <w:spacing w:val="-2"/>
                <w:sz w:val="15"/>
              </w:rPr>
              <w:t>0</w:t>
            </w:r>
            <w:r>
              <w:rPr>
                <w:rFonts w:ascii="宋体"/>
                <w:sz w:val="15"/>
              </w:rPr>
              <w:t> </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73" w:right="0"/>
              <w:jc w:val="center"/>
              <w:rPr>
                <w:rFonts w:ascii="宋体" w:hAnsi="宋体" w:cs="宋体" w:eastAsia="宋体" w:hint="default"/>
                <w:sz w:val="15"/>
                <w:szCs w:val="15"/>
              </w:rPr>
            </w:pPr>
            <w:r>
              <w:rPr>
                <w:rFonts w:ascii="宋体" w:hAnsi="宋体" w:cs="宋体" w:eastAsia="宋体" w:hint="default"/>
                <w:sz w:val="15"/>
                <w:szCs w:val="15"/>
              </w:rPr>
              <w:t>无</w:t>
            </w:r>
            <w:r>
              <w:rPr>
                <w:rFonts w:ascii="宋体" w:hAnsi="宋体" w:cs="宋体" w:eastAsia="宋体" w:hint="default"/>
                <w:sz w:val="15"/>
                <w:szCs w:val="15"/>
              </w:rPr>
              <w:t> </w:t>
            </w:r>
          </w:p>
        </w:tc>
        <w:tc>
          <w:tcPr>
            <w:tcW w:w="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25"/>
              <w:jc w:val="right"/>
              <w:rPr>
                <w:rFonts w:ascii="宋体" w:hAnsi="宋体" w:cs="宋体" w:eastAsia="宋体" w:hint="default"/>
                <w:sz w:val="15"/>
                <w:szCs w:val="15"/>
              </w:rPr>
            </w:pPr>
            <w:r>
              <w:rPr>
                <w:rFonts w:ascii="宋体"/>
                <w:w w:val="100"/>
                <w:sz w:val="15"/>
              </w:rPr>
              <w:t> </w:t>
            </w:r>
          </w:p>
        </w:tc>
        <w:tc>
          <w:tcPr>
            <w:tcW w:w="153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383" w:right="0"/>
              <w:jc w:val="left"/>
              <w:rPr>
                <w:rFonts w:ascii="宋体" w:hAnsi="宋体" w:cs="宋体" w:eastAsia="宋体" w:hint="default"/>
                <w:sz w:val="15"/>
                <w:szCs w:val="15"/>
              </w:rPr>
            </w:pPr>
            <w:r>
              <w:rPr>
                <w:rFonts w:ascii="宋体" w:hAnsi="宋体" w:cs="宋体" w:eastAsia="宋体" w:hint="default"/>
                <w:sz w:val="15"/>
                <w:szCs w:val="15"/>
              </w:rPr>
              <w:t>境内自然人</w:t>
            </w:r>
            <w:r>
              <w:rPr>
                <w:rFonts w:ascii="宋体" w:hAnsi="宋体" w:cs="宋体" w:eastAsia="宋体" w:hint="default"/>
                <w:sz w:val="15"/>
                <w:szCs w:val="15"/>
              </w:rPr>
              <w:t> </w:t>
            </w:r>
          </w:p>
        </w:tc>
      </w:tr>
      <w:tr>
        <w:trPr>
          <w:trHeight w:val="634" w:hRule="exact"/>
        </w:trPr>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33"/>
              <w:ind w:left="100" w:right="101"/>
              <w:jc w:val="left"/>
              <w:rPr>
                <w:rFonts w:ascii="宋体" w:hAnsi="宋体" w:cs="宋体" w:eastAsia="宋体" w:hint="default"/>
                <w:sz w:val="15"/>
                <w:szCs w:val="15"/>
              </w:rPr>
            </w:pPr>
            <w:r>
              <w:rPr>
                <w:rFonts w:ascii="宋体" w:hAnsi="宋体" w:cs="宋体" w:eastAsia="宋体" w:hint="default"/>
                <w:spacing w:val="-2"/>
                <w:sz w:val="15"/>
                <w:szCs w:val="15"/>
              </w:rPr>
              <w:t>江苏林洋能源股份有限公司回购</w:t>
            </w:r>
            <w:r>
              <w:rPr>
                <w:rFonts w:ascii="宋体" w:hAnsi="宋体" w:cs="宋体" w:eastAsia="宋体" w:hint="default"/>
                <w:spacing w:val="-49"/>
                <w:sz w:val="15"/>
                <w:szCs w:val="15"/>
              </w:rPr>
              <w:t> </w:t>
            </w:r>
            <w:r>
              <w:rPr>
                <w:rFonts w:ascii="宋体" w:hAnsi="宋体" w:cs="宋体" w:eastAsia="宋体" w:hint="default"/>
                <w:spacing w:val="-49"/>
                <w:sz w:val="15"/>
                <w:szCs w:val="15"/>
              </w:rPr>
            </w:r>
            <w:r>
              <w:rPr>
                <w:rFonts w:ascii="宋体" w:hAnsi="宋体" w:cs="宋体" w:eastAsia="宋体" w:hint="default"/>
                <w:sz w:val="15"/>
                <w:szCs w:val="15"/>
              </w:rPr>
              <w:t>专用证券账户</w:t>
            </w:r>
            <w:r>
              <w:rPr>
                <w:rFonts w:ascii="宋体" w:hAnsi="宋体" w:cs="宋体" w:eastAsia="宋体" w:hint="default"/>
                <w:sz w:val="15"/>
                <w:szCs w:val="15"/>
              </w:rPr>
              <w:t> </w:t>
            </w:r>
          </w:p>
        </w:tc>
        <w:tc>
          <w:tcPr>
            <w:tcW w:w="1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25"/>
              <w:jc w:val="right"/>
              <w:rPr>
                <w:rFonts w:ascii="宋体" w:hAnsi="宋体" w:cs="宋体" w:eastAsia="宋体" w:hint="default"/>
                <w:sz w:val="15"/>
                <w:szCs w:val="15"/>
              </w:rPr>
            </w:pPr>
            <w:r>
              <w:rPr>
                <w:rFonts w:ascii="宋体"/>
                <w:spacing w:val="-1"/>
                <w:sz w:val="15"/>
              </w:rPr>
              <w:t>160,000</w:t>
            </w:r>
            <w:r>
              <w:rPr>
                <w:rFonts w:ascii="宋体"/>
                <w:sz w:val="15"/>
              </w:rPr>
              <w:t> </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29"/>
              <w:jc w:val="right"/>
              <w:rPr>
                <w:rFonts w:ascii="宋体" w:hAnsi="宋体" w:cs="宋体" w:eastAsia="宋体" w:hint="default"/>
                <w:sz w:val="15"/>
                <w:szCs w:val="15"/>
              </w:rPr>
            </w:pPr>
            <w:r>
              <w:rPr>
                <w:rFonts w:ascii="宋体"/>
                <w:spacing w:val="-1"/>
                <w:sz w:val="15"/>
              </w:rPr>
              <w:t>21,956,999</w:t>
            </w:r>
            <w:r>
              <w:rPr>
                <w:rFonts w:ascii="宋体"/>
                <w:sz w:val="15"/>
              </w:rPr>
              <w:t> </w:t>
            </w:r>
          </w:p>
        </w:tc>
        <w:tc>
          <w:tcPr>
            <w:tcW w:w="8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417" w:right="0"/>
              <w:jc w:val="left"/>
              <w:rPr>
                <w:rFonts w:ascii="宋体" w:hAnsi="宋体" w:cs="宋体" w:eastAsia="宋体" w:hint="default"/>
                <w:sz w:val="15"/>
                <w:szCs w:val="15"/>
              </w:rPr>
            </w:pPr>
            <w:r>
              <w:rPr>
                <w:rFonts w:ascii="宋体"/>
                <w:sz w:val="15"/>
              </w:rPr>
              <w:t>1.25 </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25"/>
              <w:jc w:val="right"/>
              <w:rPr>
                <w:rFonts w:ascii="宋体" w:hAnsi="宋体" w:cs="宋体" w:eastAsia="宋体" w:hint="default"/>
                <w:sz w:val="15"/>
                <w:szCs w:val="15"/>
              </w:rPr>
            </w:pPr>
            <w:r>
              <w:rPr>
                <w:rFonts w:ascii="宋体"/>
                <w:spacing w:val="-2"/>
                <w:sz w:val="15"/>
              </w:rPr>
              <w:t>0</w:t>
            </w:r>
            <w:r>
              <w:rPr>
                <w:rFonts w:ascii="宋体"/>
                <w:sz w:val="15"/>
              </w:rPr>
              <w:t> </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73" w:right="0"/>
              <w:jc w:val="center"/>
              <w:rPr>
                <w:rFonts w:ascii="宋体" w:hAnsi="宋体" w:cs="宋体" w:eastAsia="宋体" w:hint="default"/>
                <w:sz w:val="15"/>
                <w:szCs w:val="15"/>
              </w:rPr>
            </w:pPr>
            <w:r>
              <w:rPr>
                <w:rFonts w:ascii="宋体" w:hAnsi="宋体" w:cs="宋体" w:eastAsia="宋体" w:hint="default"/>
                <w:sz w:val="15"/>
                <w:szCs w:val="15"/>
              </w:rPr>
              <w:t>无</w:t>
            </w:r>
            <w:r>
              <w:rPr>
                <w:rFonts w:ascii="宋体" w:hAnsi="宋体" w:cs="宋体" w:eastAsia="宋体" w:hint="default"/>
                <w:sz w:val="15"/>
                <w:szCs w:val="15"/>
              </w:rPr>
              <w:t> </w:t>
            </w:r>
          </w:p>
        </w:tc>
        <w:tc>
          <w:tcPr>
            <w:tcW w:w="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5"/>
              <w:jc w:val="right"/>
              <w:rPr>
                <w:rFonts w:ascii="宋体" w:hAnsi="宋体" w:cs="宋体" w:eastAsia="宋体" w:hint="default"/>
                <w:sz w:val="15"/>
                <w:szCs w:val="15"/>
              </w:rPr>
            </w:pPr>
            <w:r>
              <w:rPr>
                <w:rFonts w:ascii="宋体"/>
                <w:w w:val="100"/>
                <w:sz w:val="15"/>
              </w:rPr>
              <w:t> </w:t>
            </w:r>
          </w:p>
        </w:tc>
        <w:tc>
          <w:tcPr>
            <w:tcW w:w="153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235" w:right="0"/>
              <w:jc w:val="left"/>
              <w:rPr>
                <w:rFonts w:ascii="宋体" w:hAnsi="宋体" w:cs="宋体" w:eastAsia="宋体" w:hint="default"/>
                <w:sz w:val="15"/>
                <w:szCs w:val="15"/>
              </w:rPr>
            </w:pPr>
            <w:r>
              <w:rPr>
                <w:rFonts w:ascii="宋体" w:hAnsi="宋体" w:cs="宋体" w:eastAsia="宋体" w:hint="default"/>
                <w:sz w:val="15"/>
                <w:szCs w:val="15"/>
              </w:rPr>
              <w:t>境内非国有法人</w:t>
            </w:r>
            <w:r>
              <w:rPr>
                <w:rFonts w:ascii="宋体" w:hAnsi="宋体" w:cs="宋体" w:eastAsia="宋体" w:hint="default"/>
                <w:sz w:val="15"/>
                <w:szCs w:val="15"/>
              </w:rPr>
              <w:t> </w:t>
            </w:r>
          </w:p>
        </w:tc>
      </w:tr>
      <w:tr>
        <w:trPr>
          <w:trHeight w:val="946" w:hRule="exact"/>
        </w:trPr>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33"/>
              <w:ind w:left="100" w:right="101"/>
              <w:jc w:val="both"/>
              <w:rPr>
                <w:rFonts w:ascii="宋体" w:hAnsi="宋体" w:cs="宋体" w:eastAsia="宋体" w:hint="default"/>
                <w:sz w:val="15"/>
                <w:szCs w:val="15"/>
              </w:rPr>
            </w:pPr>
            <w:r>
              <w:rPr>
                <w:rFonts w:ascii="宋体" w:hAnsi="宋体" w:cs="宋体" w:eastAsia="宋体" w:hint="default"/>
                <w:spacing w:val="-2"/>
                <w:sz w:val="15"/>
                <w:szCs w:val="15"/>
              </w:rPr>
              <w:t>中国农业银行股份有限公司－工</w:t>
            </w:r>
            <w:r>
              <w:rPr>
                <w:rFonts w:ascii="宋体" w:hAnsi="宋体" w:cs="宋体" w:eastAsia="宋体" w:hint="default"/>
                <w:spacing w:val="-49"/>
                <w:sz w:val="15"/>
                <w:szCs w:val="15"/>
              </w:rPr>
              <w:t> </w:t>
            </w:r>
            <w:r>
              <w:rPr>
                <w:rFonts w:ascii="宋体" w:hAnsi="宋体" w:cs="宋体" w:eastAsia="宋体" w:hint="default"/>
                <w:spacing w:val="-49"/>
                <w:sz w:val="15"/>
                <w:szCs w:val="15"/>
              </w:rPr>
            </w:r>
            <w:r>
              <w:rPr>
                <w:rFonts w:ascii="宋体" w:hAnsi="宋体" w:cs="宋体" w:eastAsia="宋体" w:hint="default"/>
                <w:spacing w:val="-2"/>
                <w:sz w:val="15"/>
                <w:szCs w:val="15"/>
              </w:rPr>
              <w:t>银瑞信战略转型主题股票型证券</w:t>
            </w:r>
            <w:r>
              <w:rPr>
                <w:rFonts w:ascii="宋体" w:hAnsi="宋体" w:cs="宋体" w:eastAsia="宋体" w:hint="default"/>
                <w:spacing w:val="-49"/>
                <w:sz w:val="15"/>
                <w:szCs w:val="15"/>
              </w:rPr>
              <w:t> </w:t>
            </w:r>
            <w:r>
              <w:rPr>
                <w:rFonts w:ascii="宋体" w:hAnsi="宋体" w:cs="宋体" w:eastAsia="宋体" w:hint="default"/>
                <w:spacing w:val="-49"/>
                <w:sz w:val="15"/>
                <w:szCs w:val="15"/>
              </w:rPr>
            </w:r>
            <w:r>
              <w:rPr>
                <w:rFonts w:ascii="宋体" w:hAnsi="宋体" w:cs="宋体" w:eastAsia="宋体" w:hint="default"/>
                <w:sz w:val="15"/>
                <w:szCs w:val="15"/>
              </w:rPr>
              <w:t>投资基金</w:t>
            </w:r>
            <w:r>
              <w:rPr>
                <w:rFonts w:ascii="宋体" w:hAnsi="宋体" w:cs="宋体" w:eastAsia="宋体" w:hint="default"/>
                <w:sz w:val="15"/>
                <w:szCs w:val="15"/>
              </w:rPr>
              <w:t> </w:t>
            </w:r>
          </w:p>
        </w:tc>
        <w:tc>
          <w:tcPr>
            <w:tcW w:w="1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25"/>
              <w:jc w:val="right"/>
              <w:rPr>
                <w:rFonts w:ascii="宋体" w:hAnsi="宋体" w:cs="宋体" w:eastAsia="宋体" w:hint="default"/>
                <w:sz w:val="15"/>
                <w:szCs w:val="15"/>
              </w:rPr>
            </w:pPr>
            <w:r>
              <w:rPr>
                <w:rFonts w:ascii="宋体"/>
                <w:spacing w:val="-1"/>
                <w:sz w:val="15"/>
              </w:rPr>
              <w:t>11,267,091</w:t>
            </w:r>
            <w:r>
              <w:rPr>
                <w:rFonts w:ascii="宋体"/>
                <w:sz w:val="15"/>
              </w:rPr>
              <w:t> </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29"/>
              <w:jc w:val="right"/>
              <w:rPr>
                <w:rFonts w:ascii="宋体" w:hAnsi="宋体" w:cs="宋体" w:eastAsia="宋体" w:hint="default"/>
                <w:sz w:val="15"/>
                <w:szCs w:val="15"/>
              </w:rPr>
            </w:pPr>
            <w:r>
              <w:rPr>
                <w:rFonts w:ascii="宋体"/>
                <w:spacing w:val="-1"/>
                <w:sz w:val="15"/>
              </w:rPr>
              <w:t>21,392,713</w:t>
            </w:r>
            <w:r>
              <w:rPr>
                <w:rFonts w:ascii="宋体"/>
                <w:sz w:val="15"/>
              </w:rPr>
              <w:t> </w:t>
            </w:r>
          </w:p>
        </w:tc>
        <w:tc>
          <w:tcPr>
            <w:tcW w:w="8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417" w:right="0"/>
              <w:jc w:val="left"/>
              <w:rPr>
                <w:rFonts w:ascii="宋体" w:hAnsi="宋体" w:cs="宋体" w:eastAsia="宋体" w:hint="default"/>
                <w:sz w:val="15"/>
                <w:szCs w:val="15"/>
              </w:rPr>
            </w:pPr>
            <w:r>
              <w:rPr>
                <w:rFonts w:ascii="宋体"/>
                <w:sz w:val="15"/>
              </w:rPr>
              <w:t>1.22 </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25"/>
              <w:jc w:val="right"/>
              <w:rPr>
                <w:rFonts w:ascii="宋体" w:hAnsi="宋体" w:cs="宋体" w:eastAsia="宋体" w:hint="default"/>
                <w:sz w:val="15"/>
                <w:szCs w:val="15"/>
              </w:rPr>
            </w:pPr>
            <w:r>
              <w:rPr>
                <w:rFonts w:ascii="宋体"/>
                <w:spacing w:val="-2"/>
                <w:sz w:val="15"/>
              </w:rPr>
              <w:t>0</w:t>
            </w:r>
            <w:r>
              <w:rPr>
                <w:rFonts w:ascii="宋体"/>
                <w:sz w:val="15"/>
              </w:rPr>
              <w:t> </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73" w:right="0"/>
              <w:jc w:val="center"/>
              <w:rPr>
                <w:rFonts w:ascii="宋体" w:hAnsi="宋体" w:cs="宋体" w:eastAsia="宋体" w:hint="default"/>
                <w:sz w:val="15"/>
                <w:szCs w:val="15"/>
              </w:rPr>
            </w:pPr>
            <w:r>
              <w:rPr>
                <w:rFonts w:ascii="宋体" w:hAnsi="宋体" w:cs="宋体" w:eastAsia="宋体" w:hint="default"/>
                <w:sz w:val="15"/>
                <w:szCs w:val="15"/>
              </w:rPr>
              <w:t>未知</w:t>
            </w:r>
            <w:r>
              <w:rPr>
                <w:rFonts w:ascii="宋体" w:hAnsi="宋体" w:cs="宋体" w:eastAsia="宋体" w:hint="default"/>
                <w:sz w:val="15"/>
                <w:szCs w:val="15"/>
              </w:rPr>
              <w:t> </w:t>
            </w:r>
          </w:p>
        </w:tc>
        <w:tc>
          <w:tcPr>
            <w:tcW w:w="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5"/>
              <w:jc w:val="right"/>
              <w:rPr>
                <w:rFonts w:ascii="宋体" w:hAnsi="宋体" w:cs="宋体" w:eastAsia="宋体" w:hint="default"/>
                <w:sz w:val="15"/>
                <w:szCs w:val="15"/>
              </w:rPr>
            </w:pPr>
            <w:r>
              <w:rPr>
                <w:rFonts w:ascii="宋体"/>
                <w:w w:val="100"/>
                <w:sz w:val="15"/>
              </w:rPr>
              <w:t> </w:t>
            </w:r>
          </w:p>
        </w:tc>
        <w:tc>
          <w:tcPr>
            <w:tcW w:w="153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235" w:right="0"/>
              <w:jc w:val="left"/>
              <w:rPr>
                <w:rFonts w:ascii="宋体" w:hAnsi="宋体" w:cs="宋体" w:eastAsia="宋体" w:hint="default"/>
                <w:sz w:val="15"/>
                <w:szCs w:val="15"/>
              </w:rPr>
            </w:pPr>
            <w:r>
              <w:rPr>
                <w:rFonts w:ascii="宋体" w:hAnsi="宋体" w:cs="宋体" w:eastAsia="宋体" w:hint="default"/>
                <w:sz w:val="15"/>
                <w:szCs w:val="15"/>
              </w:rPr>
              <w:t>境内非国有法人</w:t>
            </w:r>
            <w:r>
              <w:rPr>
                <w:rFonts w:ascii="宋体" w:hAnsi="宋体" w:cs="宋体" w:eastAsia="宋体" w:hint="default"/>
                <w:sz w:val="15"/>
                <w:szCs w:val="15"/>
              </w:rPr>
              <w:t> </w:t>
            </w:r>
          </w:p>
        </w:tc>
      </w:tr>
      <w:tr>
        <w:trPr>
          <w:trHeight w:val="634" w:hRule="exact"/>
        </w:trPr>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33"/>
              <w:ind w:left="100" w:right="101"/>
              <w:jc w:val="left"/>
              <w:rPr>
                <w:rFonts w:ascii="宋体" w:hAnsi="宋体" w:cs="宋体" w:eastAsia="宋体" w:hint="default"/>
                <w:sz w:val="15"/>
                <w:szCs w:val="15"/>
              </w:rPr>
            </w:pPr>
            <w:r>
              <w:rPr>
                <w:rFonts w:ascii="宋体" w:hAnsi="宋体" w:cs="宋体" w:eastAsia="宋体" w:hint="default"/>
                <w:spacing w:val="-2"/>
                <w:sz w:val="15"/>
                <w:szCs w:val="15"/>
              </w:rPr>
              <w:t>天安人寿保险股份有限公司－传</w:t>
            </w:r>
            <w:r>
              <w:rPr>
                <w:rFonts w:ascii="宋体" w:hAnsi="宋体" w:cs="宋体" w:eastAsia="宋体" w:hint="default"/>
                <w:spacing w:val="-49"/>
                <w:sz w:val="15"/>
                <w:szCs w:val="15"/>
              </w:rPr>
              <w:t> </w:t>
            </w:r>
            <w:r>
              <w:rPr>
                <w:rFonts w:ascii="宋体" w:hAnsi="宋体" w:cs="宋体" w:eastAsia="宋体" w:hint="default"/>
                <w:spacing w:val="-49"/>
                <w:sz w:val="15"/>
                <w:szCs w:val="15"/>
              </w:rPr>
            </w:r>
            <w:r>
              <w:rPr>
                <w:rFonts w:ascii="宋体" w:hAnsi="宋体" w:cs="宋体" w:eastAsia="宋体" w:hint="default"/>
                <w:sz w:val="15"/>
                <w:szCs w:val="15"/>
              </w:rPr>
              <w:t>统产品</w:t>
            </w:r>
            <w:r>
              <w:rPr>
                <w:rFonts w:ascii="宋体" w:hAnsi="宋体" w:cs="宋体" w:eastAsia="宋体" w:hint="default"/>
                <w:sz w:val="15"/>
                <w:szCs w:val="15"/>
              </w:rPr>
              <w:t> </w:t>
            </w:r>
          </w:p>
        </w:tc>
        <w:tc>
          <w:tcPr>
            <w:tcW w:w="1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25"/>
              <w:jc w:val="right"/>
              <w:rPr>
                <w:rFonts w:ascii="宋体" w:hAnsi="宋体" w:cs="宋体" w:eastAsia="宋体" w:hint="default"/>
                <w:sz w:val="15"/>
                <w:szCs w:val="15"/>
              </w:rPr>
            </w:pPr>
            <w:r>
              <w:rPr>
                <w:rFonts w:ascii="宋体"/>
                <w:spacing w:val="-2"/>
                <w:sz w:val="15"/>
              </w:rPr>
              <w:t>0</w:t>
            </w:r>
            <w:r>
              <w:rPr>
                <w:rFonts w:ascii="宋体"/>
                <w:sz w:val="15"/>
              </w:rPr>
              <w:t> </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29"/>
              <w:jc w:val="right"/>
              <w:rPr>
                <w:rFonts w:ascii="宋体" w:hAnsi="宋体" w:cs="宋体" w:eastAsia="宋体" w:hint="default"/>
                <w:sz w:val="15"/>
                <w:szCs w:val="15"/>
              </w:rPr>
            </w:pPr>
            <w:r>
              <w:rPr>
                <w:rFonts w:ascii="宋体"/>
                <w:spacing w:val="-1"/>
                <w:sz w:val="15"/>
              </w:rPr>
              <w:t>15,971,416</w:t>
            </w:r>
            <w:r>
              <w:rPr>
                <w:rFonts w:ascii="宋体"/>
                <w:sz w:val="15"/>
              </w:rPr>
              <w:t> </w:t>
            </w:r>
          </w:p>
        </w:tc>
        <w:tc>
          <w:tcPr>
            <w:tcW w:w="8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417" w:right="0"/>
              <w:jc w:val="left"/>
              <w:rPr>
                <w:rFonts w:ascii="宋体" w:hAnsi="宋体" w:cs="宋体" w:eastAsia="宋体" w:hint="default"/>
                <w:sz w:val="15"/>
                <w:szCs w:val="15"/>
              </w:rPr>
            </w:pPr>
            <w:r>
              <w:rPr>
                <w:rFonts w:ascii="宋体"/>
                <w:sz w:val="15"/>
              </w:rPr>
              <w:t>0.91 </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25"/>
              <w:jc w:val="right"/>
              <w:rPr>
                <w:rFonts w:ascii="宋体" w:hAnsi="宋体" w:cs="宋体" w:eastAsia="宋体" w:hint="default"/>
                <w:sz w:val="15"/>
                <w:szCs w:val="15"/>
              </w:rPr>
            </w:pPr>
            <w:r>
              <w:rPr>
                <w:rFonts w:ascii="宋体"/>
                <w:spacing w:val="-2"/>
                <w:sz w:val="15"/>
              </w:rPr>
              <w:t>0</w:t>
            </w:r>
            <w:r>
              <w:rPr>
                <w:rFonts w:ascii="宋体"/>
                <w:sz w:val="15"/>
              </w:rPr>
              <w:t> </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73" w:right="0"/>
              <w:jc w:val="center"/>
              <w:rPr>
                <w:rFonts w:ascii="宋体" w:hAnsi="宋体" w:cs="宋体" w:eastAsia="宋体" w:hint="default"/>
                <w:sz w:val="15"/>
                <w:szCs w:val="15"/>
              </w:rPr>
            </w:pPr>
            <w:r>
              <w:rPr>
                <w:rFonts w:ascii="宋体" w:hAnsi="宋体" w:cs="宋体" w:eastAsia="宋体" w:hint="default"/>
                <w:sz w:val="15"/>
                <w:szCs w:val="15"/>
              </w:rPr>
              <w:t>未知</w:t>
            </w:r>
            <w:r>
              <w:rPr>
                <w:rFonts w:ascii="宋体" w:hAnsi="宋体" w:cs="宋体" w:eastAsia="宋体" w:hint="default"/>
                <w:sz w:val="15"/>
                <w:szCs w:val="15"/>
              </w:rPr>
              <w:t> </w:t>
            </w:r>
          </w:p>
        </w:tc>
        <w:tc>
          <w:tcPr>
            <w:tcW w:w="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5"/>
              <w:jc w:val="right"/>
              <w:rPr>
                <w:rFonts w:ascii="宋体" w:hAnsi="宋体" w:cs="宋体" w:eastAsia="宋体" w:hint="default"/>
                <w:sz w:val="15"/>
                <w:szCs w:val="15"/>
              </w:rPr>
            </w:pPr>
            <w:r>
              <w:rPr>
                <w:rFonts w:ascii="宋体"/>
                <w:w w:val="100"/>
                <w:sz w:val="15"/>
              </w:rPr>
              <w:t> </w:t>
            </w:r>
          </w:p>
        </w:tc>
        <w:tc>
          <w:tcPr>
            <w:tcW w:w="153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235" w:right="0"/>
              <w:jc w:val="left"/>
              <w:rPr>
                <w:rFonts w:ascii="宋体" w:hAnsi="宋体" w:cs="宋体" w:eastAsia="宋体" w:hint="default"/>
                <w:sz w:val="15"/>
                <w:szCs w:val="15"/>
              </w:rPr>
            </w:pPr>
            <w:r>
              <w:rPr>
                <w:rFonts w:ascii="宋体" w:hAnsi="宋体" w:cs="宋体" w:eastAsia="宋体" w:hint="default"/>
                <w:sz w:val="15"/>
                <w:szCs w:val="15"/>
              </w:rPr>
              <w:t>境内非国有法人</w:t>
            </w:r>
            <w:r>
              <w:rPr>
                <w:rFonts w:ascii="宋体" w:hAnsi="宋体" w:cs="宋体" w:eastAsia="宋体" w:hint="default"/>
                <w:sz w:val="15"/>
                <w:szCs w:val="15"/>
              </w:rPr>
              <w:t> </w:t>
            </w:r>
          </w:p>
        </w:tc>
      </w:tr>
      <w:tr>
        <w:trPr>
          <w:trHeight w:val="322" w:hRule="exact"/>
        </w:trPr>
        <w:tc>
          <w:tcPr>
            <w:tcW w:w="9640"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73" w:right="0"/>
              <w:jc w:val="center"/>
              <w:rPr>
                <w:rFonts w:ascii="宋体" w:hAnsi="宋体" w:cs="宋体" w:eastAsia="宋体" w:hint="default"/>
                <w:sz w:val="15"/>
                <w:szCs w:val="15"/>
              </w:rPr>
            </w:pPr>
            <w:r>
              <w:rPr>
                <w:rFonts w:ascii="宋体" w:hAnsi="宋体" w:cs="宋体" w:eastAsia="宋体" w:hint="default"/>
                <w:sz w:val="15"/>
                <w:szCs w:val="15"/>
              </w:rPr>
              <w:t>前十名无限售条件股东持股情况</w:t>
            </w:r>
            <w:r>
              <w:rPr>
                <w:rFonts w:ascii="宋体" w:hAnsi="宋体" w:cs="宋体" w:eastAsia="宋体" w:hint="default"/>
                <w:sz w:val="15"/>
                <w:szCs w:val="15"/>
              </w:rPr>
              <w:t> </w:t>
            </w:r>
          </w:p>
        </w:tc>
      </w:tr>
      <w:tr>
        <w:trPr>
          <w:trHeight w:val="322" w:hRule="exact"/>
        </w:trPr>
        <w:tc>
          <w:tcPr>
            <w:tcW w:w="5262" w:type="dxa"/>
            <w:gridSpan w:val="4"/>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70" w:right="0"/>
              <w:jc w:val="center"/>
              <w:rPr>
                <w:rFonts w:ascii="宋体" w:hAnsi="宋体" w:cs="宋体" w:eastAsia="宋体" w:hint="default"/>
                <w:sz w:val="15"/>
                <w:szCs w:val="15"/>
              </w:rPr>
            </w:pPr>
            <w:r>
              <w:rPr>
                <w:rFonts w:ascii="宋体" w:hAnsi="宋体" w:cs="宋体" w:eastAsia="宋体" w:hint="default"/>
                <w:sz w:val="15"/>
                <w:szCs w:val="15"/>
              </w:rPr>
              <w:t>股东名称</w:t>
            </w:r>
            <w:r>
              <w:rPr>
                <w:rFonts w:ascii="宋体" w:hAnsi="宋体" w:cs="宋体" w:eastAsia="宋体" w:hint="default"/>
                <w:sz w:val="15"/>
                <w:szCs w:val="15"/>
              </w:rPr>
              <w:t> </w:t>
            </w:r>
          </w:p>
        </w:tc>
        <w:tc>
          <w:tcPr>
            <w:tcW w:w="1517" w:type="dxa"/>
            <w:gridSpan w:val="2"/>
            <w:vMerge w:val="restart"/>
            <w:tcBorders>
              <w:top w:val="single" w:sz="4" w:space="0" w:color="000000"/>
              <w:left w:val="single" w:sz="4" w:space="0" w:color="000000"/>
              <w:right w:val="single" w:sz="4" w:space="0" w:color="000000"/>
            </w:tcBorders>
          </w:tcPr>
          <w:p>
            <w:pPr>
              <w:pStyle w:val="TableParagraph"/>
              <w:spacing w:line="381" w:lineRule="auto" w:before="38"/>
              <w:ind w:left="376" w:right="149" w:hanging="224"/>
              <w:jc w:val="left"/>
              <w:rPr>
                <w:rFonts w:ascii="宋体" w:hAnsi="宋体" w:cs="宋体" w:eastAsia="宋体" w:hint="default"/>
                <w:sz w:val="15"/>
                <w:szCs w:val="15"/>
              </w:rPr>
            </w:pPr>
            <w:r>
              <w:rPr>
                <w:rFonts w:ascii="宋体" w:hAnsi="宋体" w:cs="宋体" w:eastAsia="宋体" w:hint="default"/>
                <w:sz w:val="15"/>
                <w:szCs w:val="15"/>
              </w:rPr>
              <w:t>持有无限售条件流</w:t>
            </w:r>
            <w:r>
              <w:rPr>
                <w:rFonts w:ascii="宋体" w:hAnsi="宋体" w:cs="宋体" w:eastAsia="宋体" w:hint="default"/>
                <w:w w:val="100"/>
                <w:sz w:val="15"/>
                <w:szCs w:val="15"/>
              </w:rPr>
              <w:t> </w:t>
            </w:r>
            <w:r>
              <w:rPr>
                <w:rFonts w:ascii="宋体" w:hAnsi="宋体" w:cs="宋体" w:eastAsia="宋体" w:hint="default"/>
                <w:sz w:val="15"/>
                <w:szCs w:val="15"/>
              </w:rPr>
              <w:t>通股的数量</w:t>
            </w:r>
            <w:r>
              <w:rPr>
                <w:rFonts w:ascii="宋体" w:hAnsi="宋体" w:cs="宋体" w:eastAsia="宋体" w:hint="default"/>
                <w:sz w:val="15"/>
                <w:szCs w:val="15"/>
              </w:rPr>
              <w:t> </w:t>
            </w:r>
          </w:p>
        </w:tc>
        <w:tc>
          <w:tcPr>
            <w:tcW w:w="2861"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900" w:right="0"/>
              <w:jc w:val="left"/>
              <w:rPr>
                <w:rFonts w:ascii="宋体" w:hAnsi="宋体" w:cs="宋体" w:eastAsia="宋体" w:hint="default"/>
                <w:sz w:val="15"/>
                <w:szCs w:val="15"/>
              </w:rPr>
            </w:pPr>
            <w:r>
              <w:rPr>
                <w:rFonts w:ascii="宋体" w:hAnsi="宋体" w:cs="宋体" w:eastAsia="宋体" w:hint="default"/>
                <w:sz w:val="15"/>
                <w:szCs w:val="15"/>
              </w:rPr>
              <w:t>股份种类及数量</w:t>
            </w:r>
            <w:r>
              <w:rPr>
                <w:rFonts w:ascii="宋体" w:hAnsi="宋体" w:cs="宋体" w:eastAsia="宋体" w:hint="default"/>
                <w:sz w:val="15"/>
                <w:szCs w:val="15"/>
              </w:rPr>
              <w:t> </w:t>
            </w:r>
          </w:p>
        </w:tc>
      </w:tr>
      <w:tr>
        <w:trPr>
          <w:trHeight w:val="324" w:hRule="exact"/>
        </w:trPr>
        <w:tc>
          <w:tcPr>
            <w:tcW w:w="5262" w:type="dxa"/>
            <w:gridSpan w:val="4"/>
            <w:vMerge/>
            <w:tcBorders>
              <w:left w:val="single" w:sz="4" w:space="0" w:color="000000"/>
              <w:bottom w:val="single" w:sz="4" w:space="0" w:color="000000"/>
              <w:right w:val="single" w:sz="4" w:space="0" w:color="000000"/>
            </w:tcBorders>
          </w:tcPr>
          <w:p>
            <w:pPr/>
          </w:p>
        </w:tc>
        <w:tc>
          <w:tcPr>
            <w:tcW w:w="1517" w:type="dxa"/>
            <w:gridSpan w:val="2"/>
            <w:vMerge/>
            <w:tcBorders>
              <w:left w:val="single" w:sz="4" w:space="0" w:color="000000"/>
              <w:bottom w:val="single" w:sz="4" w:space="0" w:color="000000"/>
              <w:right w:val="single" w:sz="4" w:space="0" w:color="000000"/>
            </w:tcBorders>
          </w:tcPr>
          <w:p>
            <w:pPr/>
          </w:p>
        </w:tc>
        <w:tc>
          <w:tcPr>
            <w:tcW w:w="158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75" w:right="0"/>
              <w:jc w:val="center"/>
              <w:rPr>
                <w:rFonts w:ascii="宋体" w:hAnsi="宋体" w:cs="宋体" w:eastAsia="宋体" w:hint="default"/>
                <w:sz w:val="15"/>
                <w:szCs w:val="15"/>
              </w:rPr>
            </w:pPr>
            <w:r>
              <w:rPr>
                <w:rFonts w:ascii="宋体" w:hAnsi="宋体" w:cs="宋体" w:eastAsia="宋体" w:hint="default"/>
                <w:sz w:val="15"/>
                <w:szCs w:val="15"/>
              </w:rPr>
              <w:t>种类</w:t>
            </w:r>
            <w:r>
              <w:rPr>
                <w:rFonts w:ascii="宋体" w:hAnsi="宋体" w:cs="宋体" w:eastAsia="宋体" w:hint="default"/>
                <w:sz w:val="15"/>
                <w:szCs w:val="15"/>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479" w:right="0"/>
              <w:jc w:val="left"/>
              <w:rPr>
                <w:rFonts w:ascii="宋体" w:hAnsi="宋体" w:cs="宋体" w:eastAsia="宋体" w:hint="default"/>
                <w:sz w:val="15"/>
                <w:szCs w:val="15"/>
              </w:rPr>
            </w:pPr>
            <w:r>
              <w:rPr>
                <w:rFonts w:ascii="宋体" w:hAnsi="宋体" w:cs="宋体" w:eastAsia="宋体" w:hint="default"/>
                <w:sz w:val="15"/>
                <w:szCs w:val="15"/>
              </w:rPr>
              <w:t>数量</w:t>
            </w:r>
            <w:r>
              <w:rPr>
                <w:rFonts w:ascii="宋体" w:hAnsi="宋体" w:cs="宋体" w:eastAsia="宋体" w:hint="default"/>
                <w:sz w:val="15"/>
                <w:szCs w:val="15"/>
              </w:rPr>
              <w:t> </w:t>
            </w:r>
          </w:p>
        </w:tc>
      </w:tr>
      <w:tr>
        <w:trPr>
          <w:trHeight w:val="322" w:hRule="exact"/>
        </w:trPr>
        <w:tc>
          <w:tcPr>
            <w:tcW w:w="526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0" w:right="0"/>
              <w:jc w:val="left"/>
              <w:rPr>
                <w:rFonts w:ascii="宋体" w:hAnsi="宋体" w:cs="宋体" w:eastAsia="宋体" w:hint="default"/>
                <w:sz w:val="15"/>
                <w:szCs w:val="15"/>
              </w:rPr>
            </w:pPr>
            <w:r>
              <w:rPr>
                <w:rFonts w:ascii="宋体" w:hAnsi="宋体" w:cs="宋体" w:eastAsia="宋体" w:hint="default"/>
                <w:sz w:val="15"/>
                <w:szCs w:val="15"/>
              </w:rPr>
              <w:t>启东市华虹电子有限公司</w:t>
            </w:r>
            <w:r>
              <w:rPr>
                <w:rFonts w:ascii="宋体" w:hAnsi="宋体" w:cs="宋体" w:eastAsia="宋体" w:hint="default"/>
                <w:sz w:val="15"/>
                <w:szCs w:val="15"/>
              </w:rPr>
              <w:t> </w:t>
            </w:r>
          </w:p>
        </w:tc>
        <w:tc>
          <w:tcPr>
            <w:tcW w:w="151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578" w:right="0"/>
              <w:jc w:val="left"/>
              <w:rPr>
                <w:rFonts w:ascii="宋体" w:hAnsi="宋体" w:cs="宋体" w:eastAsia="宋体" w:hint="default"/>
                <w:sz w:val="15"/>
                <w:szCs w:val="15"/>
              </w:rPr>
            </w:pPr>
            <w:r>
              <w:rPr>
                <w:rFonts w:ascii="宋体"/>
                <w:sz w:val="15"/>
              </w:rPr>
              <w:t>715,241,427 </w:t>
            </w:r>
          </w:p>
        </w:tc>
        <w:tc>
          <w:tcPr>
            <w:tcW w:w="158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338" w:right="0"/>
              <w:jc w:val="left"/>
              <w:rPr>
                <w:rFonts w:ascii="宋体" w:hAnsi="宋体" w:cs="宋体" w:eastAsia="宋体" w:hint="default"/>
                <w:sz w:val="15"/>
                <w:szCs w:val="15"/>
              </w:rPr>
            </w:pPr>
            <w:r>
              <w:rPr>
                <w:rFonts w:ascii="宋体" w:hAnsi="宋体" w:cs="宋体" w:eastAsia="宋体" w:hint="default"/>
                <w:sz w:val="15"/>
                <w:szCs w:val="15"/>
              </w:rPr>
              <w:t>人民币普通股</w:t>
            </w:r>
            <w:r>
              <w:rPr>
                <w:rFonts w:ascii="宋体" w:hAnsi="宋体" w:cs="宋体" w:eastAsia="宋体" w:hint="default"/>
                <w:sz w:val="15"/>
                <w:szCs w:val="15"/>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335" w:right="0"/>
              <w:jc w:val="left"/>
              <w:rPr>
                <w:rFonts w:ascii="宋体" w:hAnsi="宋体" w:cs="宋体" w:eastAsia="宋体" w:hint="default"/>
                <w:sz w:val="15"/>
                <w:szCs w:val="15"/>
              </w:rPr>
            </w:pPr>
            <w:r>
              <w:rPr>
                <w:rFonts w:ascii="宋体"/>
                <w:sz w:val="15"/>
              </w:rPr>
              <w:t>715,241,427 </w:t>
            </w:r>
          </w:p>
        </w:tc>
      </w:tr>
    </w:tbl>
    <w:p>
      <w:pPr>
        <w:spacing w:after="0" w:line="240" w:lineRule="auto"/>
        <w:jc w:val="left"/>
        <w:rPr>
          <w:rFonts w:ascii="宋体" w:hAnsi="宋体" w:cs="宋体" w:eastAsia="宋体" w:hint="default"/>
          <w:sz w:val="15"/>
          <w:szCs w:val="15"/>
        </w:rPr>
        <w:sectPr>
          <w:type w:val="continuous"/>
          <w:pgSz w:w="11910" w:h="16840"/>
          <w:pgMar w:top="1580" w:bottom="280" w:left="1280" w:right="760"/>
        </w:sectPr>
      </w:pPr>
    </w:p>
    <w:p>
      <w:pPr>
        <w:spacing w:line="240" w:lineRule="auto" w:before="5"/>
        <w:rPr>
          <w:rFonts w:ascii="宋体" w:hAnsi="宋体" w:cs="宋体" w:eastAsia="宋体" w:hint="default"/>
          <w:sz w:val="29"/>
          <w:szCs w:val="29"/>
        </w:rPr>
      </w:pPr>
    </w:p>
    <w:tbl>
      <w:tblPr>
        <w:tblW w:w="0" w:type="auto"/>
        <w:jc w:val="left"/>
        <w:tblInd w:w="110" w:type="dxa"/>
        <w:tblLayout w:type="fixed"/>
        <w:tblCellMar>
          <w:top w:w="0" w:type="dxa"/>
          <w:left w:w="0" w:type="dxa"/>
          <w:bottom w:w="0" w:type="dxa"/>
          <w:right w:w="0" w:type="dxa"/>
        </w:tblCellMar>
        <w:tblLook w:val="01E0"/>
      </w:tblPr>
      <w:tblGrid>
        <w:gridCol w:w="5262"/>
        <w:gridCol w:w="1517"/>
        <w:gridCol w:w="1587"/>
        <w:gridCol w:w="1274"/>
      </w:tblGrid>
      <w:tr>
        <w:trPr>
          <w:trHeight w:val="324" w:hRule="exact"/>
        </w:trPr>
        <w:tc>
          <w:tcPr>
            <w:tcW w:w="5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00" w:right="0"/>
              <w:jc w:val="left"/>
              <w:rPr>
                <w:rFonts w:ascii="宋体" w:hAnsi="宋体" w:cs="宋体" w:eastAsia="宋体" w:hint="default"/>
                <w:sz w:val="15"/>
                <w:szCs w:val="15"/>
              </w:rPr>
            </w:pPr>
            <w:r>
              <w:rPr>
                <w:rFonts w:ascii="宋体" w:hAnsi="宋体" w:cs="宋体" w:eastAsia="宋体" w:hint="default"/>
                <w:sz w:val="15"/>
                <w:szCs w:val="15"/>
              </w:rPr>
              <w:t>陆永华</w:t>
            </w:r>
            <w:r>
              <w:rPr>
                <w:rFonts w:ascii="宋体" w:hAnsi="宋体" w:cs="宋体" w:eastAsia="宋体" w:hint="default"/>
                <w:sz w:val="15"/>
                <w:szCs w:val="15"/>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25"/>
              <w:jc w:val="right"/>
              <w:rPr>
                <w:rFonts w:ascii="宋体" w:hAnsi="宋体" w:cs="宋体" w:eastAsia="宋体" w:hint="default"/>
                <w:sz w:val="15"/>
                <w:szCs w:val="15"/>
              </w:rPr>
            </w:pPr>
            <w:r>
              <w:rPr>
                <w:rFonts w:ascii="宋体"/>
                <w:spacing w:val="-1"/>
                <w:sz w:val="15"/>
              </w:rPr>
              <w:t>79,852,500</w:t>
            </w:r>
            <w:r>
              <w:rPr>
                <w:rFonts w:ascii="宋体"/>
                <w:sz w:val="15"/>
              </w:rPr>
              <w:t> </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260"/>
              <w:jc w:val="right"/>
              <w:rPr>
                <w:rFonts w:ascii="宋体" w:hAnsi="宋体" w:cs="宋体" w:eastAsia="宋体" w:hint="default"/>
                <w:sz w:val="15"/>
                <w:szCs w:val="15"/>
              </w:rPr>
            </w:pPr>
            <w:r>
              <w:rPr>
                <w:rFonts w:ascii="宋体" w:hAnsi="宋体" w:cs="宋体" w:eastAsia="宋体" w:hint="default"/>
                <w:spacing w:val="-2"/>
                <w:sz w:val="15"/>
                <w:szCs w:val="15"/>
              </w:rPr>
              <w:t>人民币普通股</w:t>
            </w:r>
            <w:r>
              <w:rPr>
                <w:rFonts w:ascii="宋体" w:hAnsi="宋体" w:cs="宋体" w:eastAsia="宋体" w:hint="default"/>
                <w:sz w:val="15"/>
                <w:szCs w:val="15"/>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25"/>
              <w:jc w:val="right"/>
              <w:rPr>
                <w:rFonts w:ascii="宋体" w:hAnsi="宋体" w:cs="宋体" w:eastAsia="宋体" w:hint="default"/>
                <w:sz w:val="15"/>
                <w:szCs w:val="15"/>
              </w:rPr>
            </w:pPr>
            <w:r>
              <w:rPr>
                <w:rFonts w:ascii="宋体"/>
                <w:spacing w:val="-1"/>
                <w:sz w:val="15"/>
              </w:rPr>
              <w:t>79,852,500</w:t>
            </w:r>
            <w:r>
              <w:rPr>
                <w:rFonts w:ascii="宋体"/>
                <w:sz w:val="15"/>
              </w:rPr>
              <w:t> </w:t>
            </w:r>
          </w:p>
        </w:tc>
      </w:tr>
      <w:tr>
        <w:trPr>
          <w:trHeight w:val="322" w:hRule="exact"/>
        </w:trPr>
        <w:tc>
          <w:tcPr>
            <w:tcW w:w="5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0" w:right="0"/>
              <w:jc w:val="left"/>
              <w:rPr>
                <w:rFonts w:ascii="宋体" w:hAnsi="宋体" w:cs="宋体" w:eastAsia="宋体" w:hint="default"/>
                <w:sz w:val="15"/>
                <w:szCs w:val="15"/>
              </w:rPr>
            </w:pPr>
            <w:r>
              <w:rPr>
                <w:rFonts w:ascii="宋体" w:hAnsi="宋体" w:cs="宋体" w:eastAsia="宋体" w:hint="default"/>
                <w:sz w:val="15"/>
                <w:szCs w:val="15"/>
              </w:rPr>
              <w:t>中国长城资产管理股份有限公司</w:t>
            </w:r>
            <w:r>
              <w:rPr>
                <w:rFonts w:ascii="宋体" w:hAnsi="宋体" w:cs="宋体" w:eastAsia="宋体" w:hint="default"/>
                <w:sz w:val="15"/>
                <w:szCs w:val="15"/>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5"/>
              <w:jc w:val="right"/>
              <w:rPr>
                <w:rFonts w:ascii="宋体" w:hAnsi="宋体" w:cs="宋体" w:eastAsia="宋体" w:hint="default"/>
                <w:sz w:val="15"/>
                <w:szCs w:val="15"/>
              </w:rPr>
            </w:pPr>
            <w:r>
              <w:rPr>
                <w:rFonts w:ascii="宋体"/>
                <w:spacing w:val="-1"/>
                <w:sz w:val="15"/>
              </w:rPr>
              <w:t>46,258,658</w:t>
            </w:r>
            <w:r>
              <w:rPr>
                <w:rFonts w:ascii="宋体"/>
                <w:sz w:val="15"/>
              </w:rPr>
              <w:t> </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60"/>
              <w:jc w:val="right"/>
              <w:rPr>
                <w:rFonts w:ascii="宋体" w:hAnsi="宋体" w:cs="宋体" w:eastAsia="宋体" w:hint="default"/>
                <w:sz w:val="15"/>
                <w:szCs w:val="15"/>
              </w:rPr>
            </w:pPr>
            <w:r>
              <w:rPr>
                <w:rFonts w:ascii="宋体" w:hAnsi="宋体" w:cs="宋体" w:eastAsia="宋体" w:hint="default"/>
                <w:spacing w:val="-2"/>
                <w:sz w:val="15"/>
                <w:szCs w:val="15"/>
              </w:rPr>
              <w:t>人民币普通股</w:t>
            </w:r>
            <w:r>
              <w:rPr>
                <w:rFonts w:ascii="宋体" w:hAnsi="宋体" w:cs="宋体" w:eastAsia="宋体" w:hint="default"/>
                <w:sz w:val="15"/>
                <w:szCs w:val="15"/>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5"/>
              <w:jc w:val="right"/>
              <w:rPr>
                <w:rFonts w:ascii="宋体" w:hAnsi="宋体" w:cs="宋体" w:eastAsia="宋体" w:hint="default"/>
                <w:sz w:val="15"/>
                <w:szCs w:val="15"/>
              </w:rPr>
            </w:pPr>
            <w:r>
              <w:rPr>
                <w:rFonts w:ascii="宋体"/>
                <w:spacing w:val="-1"/>
                <w:sz w:val="15"/>
              </w:rPr>
              <w:t>46,258,658</w:t>
            </w:r>
            <w:r>
              <w:rPr>
                <w:rFonts w:ascii="宋体"/>
                <w:sz w:val="15"/>
              </w:rPr>
              <w:t> </w:t>
            </w:r>
          </w:p>
        </w:tc>
      </w:tr>
      <w:tr>
        <w:trPr>
          <w:trHeight w:val="322" w:hRule="exact"/>
        </w:trPr>
        <w:tc>
          <w:tcPr>
            <w:tcW w:w="5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0" w:right="0"/>
              <w:jc w:val="left"/>
              <w:rPr>
                <w:rFonts w:ascii="宋体" w:hAnsi="宋体" w:cs="宋体" w:eastAsia="宋体" w:hint="default"/>
                <w:sz w:val="15"/>
                <w:szCs w:val="15"/>
              </w:rPr>
            </w:pPr>
            <w:r>
              <w:rPr>
                <w:rFonts w:ascii="宋体" w:hAnsi="宋体" w:cs="宋体" w:eastAsia="宋体" w:hint="default"/>
                <w:sz w:val="15"/>
                <w:szCs w:val="15"/>
              </w:rPr>
              <w:t>全国社保基金四一三组合</w:t>
            </w:r>
            <w:r>
              <w:rPr>
                <w:rFonts w:ascii="宋体" w:hAnsi="宋体" w:cs="宋体" w:eastAsia="宋体" w:hint="default"/>
                <w:sz w:val="15"/>
                <w:szCs w:val="15"/>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5"/>
              <w:jc w:val="right"/>
              <w:rPr>
                <w:rFonts w:ascii="宋体" w:hAnsi="宋体" w:cs="宋体" w:eastAsia="宋体" w:hint="default"/>
                <w:sz w:val="15"/>
                <w:szCs w:val="15"/>
              </w:rPr>
            </w:pPr>
            <w:r>
              <w:rPr>
                <w:rFonts w:ascii="宋体"/>
                <w:spacing w:val="-1"/>
                <w:sz w:val="15"/>
              </w:rPr>
              <w:t>37,586,366</w:t>
            </w:r>
            <w:r>
              <w:rPr>
                <w:rFonts w:ascii="宋体"/>
                <w:sz w:val="15"/>
              </w:rPr>
              <w:t> </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60"/>
              <w:jc w:val="right"/>
              <w:rPr>
                <w:rFonts w:ascii="宋体" w:hAnsi="宋体" w:cs="宋体" w:eastAsia="宋体" w:hint="default"/>
                <w:sz w:val="15"/>
                <w:szCs w:val="15"/>
              </w:rPr>
            </w:pPr>
            <w:r>
              <w:rPr>
                <w:rFonts w:ascii="宋体" w:hAnsi="宋体" w:cs="宋体" w:eastAsia="宋体" w:hint="default"/>
                <w:spacing w:val="-2"/>
                <w:sz w:val="15"/>
                <w:szCs w:val="15"/>
              </w:rPr>
              <w:t>人民币普通股</w:t>
            </w:r>
            <w:r>
              <w:rPr>
                <w:rFonts w:ascii="宋体" w:hAnsi="宋体" w:cs="宋体" w:eastAsia="宋体" w:hint="default"/>
                <w:sz w:val="15"/>
                <w:szCs w:val="15"/>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5"/>
              <w:jc w:val="right"/>
              <w:rPr>
                <w:rFonts w:ascii="宋体" w:hAnsi="宋体" w:cs="宋体" w:eastAsia="宋体" w:hint="default"/>
                <w:sz w:val="15"/>
                <w:szCs w:val="15"/>
              </w:rPr>
            </w:pPr>
            <w:r>
              <w:rPr>
                <w:rFonts w:ascii="宋体"/>
                <w:spacing w:val="-1"/>
                <w:sz w:val="15"/>
              </w:rPr>
              <w:t>37,586,366</w:t>
            </w:r>
            <w:r>
              <w:rPr>
                <w:rFonts w:ascii="宋体"/>
                <w:sz w:val="15"/>
              </w:rPr>
              <w:t> </w:t>
            </w:r>
          </w:p>
        </w:tc>
      </w:tr>
      <w:tr>
        <w:trPr>
          <w:trHeight w:val="322" w:hRule="exact"/>
        </w:trPr>
        <w:tc>
          <w:tcPr>
            <w:tcW w:w="5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0" w:right="0"/>
              <w:jc w:val="left"/>
              <w:rPr>
                <w:rFonts w:ascii="宋体" w:hAnsi="宋体" w:cs="宋体" w:eastAsia="宋体" w:hint="default"/>
                <w:sz w:val="15"/>
                <w:szCs w:val="15"/>
              </w:rPr>
            </w:pPr>
            <w:r>
              <w:rPr>
                <w:rFonts w:ascii="宋体" w:hAnsi="宋体" w:cs="宋体" w:eastAsia="宋体" w:hint="default"/>
                <w:sz w:val="15"/>
                <w:szCs w:val="15"/>
              </w:rPr>
              <w:t>中国华电集团资本控股有限公司</w:t>
            </w:r>
            <w:r>
              <w:rPr>
                <w:rFonts w:ascii="宋体" w:hAnsi="宋体" w:cs="宋体" w:eastAsia="宋体" w:hint="default"/>
                <w:sz w:val="15"/>
                <w:szCs w:val="15"/>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5"/>
              <w:jc w:val="right"/>
              <w:rPr>
                <w:rFonts w:ascii="宋体" w:hAnsi="宋体" w:cs="宋体" w:eastAsia="宋体" w:hint="default"/>
                <w:sz w:val="15"/>
                <w:szCs w:val="15"/>
              </w:rPr>
            </w:pPr>
            <w:r>
              <w:rPr>
                <w:rFonts w:ascii="宋体"/>
                <w:spacing w:val="-1"/>
                <w:sz w:val="15"/>
              </w:rPr>
              <w:t>29,074,709</w:t>
            </w:r>
            <w:r>
              <w:rPr>
                <w:rFonts w:ascii="宋体"/>
                <w:sz w:val="15"/>
              </w:rPr>
              <w:t> </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60"/>
              <w:jc w:val="right"/>
              <w:rPr>
                <w:rFonts w:ascii="宋体" w:hAnsi="宋体" w:cs="宋体" w:eastAsia="宋体" w:hint="default"/>
                <w:sz w:val="15"/>
                <w:szCs w:val="15"/>
              </w:rPr>
            </w:pPr>
            <w:r>
              <w:rPr>
                <w:rFonts w:ascii="宋体" w:hAnsi="宋体" w:cs="宋体" w:eastAsia="宋体" w:hint="default"/>
                <w:spacing w:val="-2"/>
                <w:sz w:val="15"/>
                <w:szCs w:val="15"/>
              </w:rPr>
              <w:t>人民币普通股</w:t>
            </w:r>
            <w:r>
              <w:rPr>
                <w:rFonts w:ascii="宋体" w:hAnsi="宋体" w:cs="宋体" w:eastAsia="宋体" w:hint="default"/>
                <w:sz w:val="15"/>
                <w:szCs w:val="15"/>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5"/>
              <w:jc w:val="right"/>
              <w:rPr>
                <w:rFonts w:ascii="宋体" w:hAnsi="宋体" w:cs="宋体" w:eastAsia="宋体" w:hint="default"/>
                <w:sz w:val="15"/>
                <w:szCs w:val="15"/>
              </w:rPr>
            </w:pPr>
            <w:r>
              <w:rPr>
                <w:rFonts w:ascii="宋体"/>
                <w:spacing w:val="-1"/>
                <w:sz w:val="15"/>
              </w:rPr>
              <w:t>29,074,709</w:t>
            </w:r>
            <w:r>
              <w:rPr>
                <w:rFonts w:ascii="宋体"/>
                <w:sz w:val="15"/>
              </w:rPr>
              <w:t> </w:t>
            </w:r>
          </w:p>
        </w:tc>
      </w:tr>
      <w:tr>
        <w:trPr>
          <w:trHeight w:val="322" w:hRule="exact"/>
        </w:trPr>
        <w:tc>
          <w:tcPr>
            <w:tcW w:w="5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0" w:right="0"/>
              <w:jc w:val="left"/>
              <w:rPr>
                <w:rFonts w:ascii="宋体" w:hAnsi="宋体" w:cs="宋体" w:eastAsia="宋体" w:hint="default"/>
                <w:sz w:val="15"/>
                <w:szCs w:val="15"/>
              </w:rPr>
            </w:pPr>
            <w:r>
              <w:rPr>
                <w:rFonts w:ascii="宋体" w:hAnsi="宋体" w:cs="宋体" w:eastAsia="宋体" w:hint="default"/>
                <w:sz w:val="15"/>
                <w:szCs w:val="15"/>
              </w:rPr>
              <w:t>安耐德合伙人有限公司－客户资金</w:t>
            </w:r>
            <w:r>
              <w:rPr>
                <w:rFonts w:ascii="宋体" w:hAnsi="宋体" w:cs="宋体" w:eastAsia="宋体" w:hint="default"/>
                <w:sz w:val="15"/>
                <w:szCs w:val="15"/>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5"/>
              <w:jc w:val="right"/>
              <w:rPr>
                <w:rFonts w:ascii="宋体" w:hAnsi="宋体" w:cs="宋体" w:eastAsia="宋体" w:hint="default"/>
                <w:sz w:val="15"/>
                <w:szCs w:val="15"/>
              </w:rPr>
            </w:pPr>
            <w:r>
              <w:rPr>
                <w:rFonts w:ascii="宋体"/>
                <w:spacing w:val="-1"/>
                <w:sz w:val="15"/>
              </w:rPr>
              <w:t>27,265,296</w:t>
            </w:r>
            <w:r>
              <w:rPr>
                <w:rFonts w:ascii="宋体"/>
                <w:sz w:val="15"/>
              </w:rPr>
              <w:t> </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60"/>
              <w:jc w:val="right"/>
              <w:rPr>
                <w:rFonts w:ascii="宋体" w:hAnsi="宋体" w:cs="宋体" w:eastAsia="宋体" w:hint="default"/>
                <w:sz w:val="15"/>
                <w:szCs w:val="15"/>
              </w:rPr>
            </w:pPr>
            <w:r>
              <w:rPr>
                <w:rFonts w:ascii="宋体" w:hAnsi="宋体" w:cs="宋体" w:eastAsia="宋体" w:hint="default"/>
                <w:spacing w:val="-2"/>
                <w:sz w:val="15"/>
                <w:szCs w:val="15"/>
              </w:rPr>
              <w:t>人民币普通股</w:t>
            </w:r>
            <w:r>
              <w:rPr>
                <w:rFonts w:ascii="宋体" w:hAnsi="宋体" w:cs="宋体" w:eastAsia="宋体" w:hint="default"/>
                <w:sz w:val="15"/>
                <w:szCs w:val="15"/>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5"/>
              <w:jc w:val="right"/>
              <w:rPr>
                <w:rFonts w:ascii="宋体" w:hAnsi="宋体" w:cs="宋体" w:eastAsia="宋体" w:hint="default"/>
                <w:sz w:val="15"/>
                <w:szCs w:val="15"/>
              </w:rPr>
            </w:pPr>
            <w:r>
              <w:rPr>
                <w:rFonts w:ascii="宋体"/>
                <w:spacing w:val="-1"/>
                <w:sz w:val="15"/>
              </w:rPr>
              <w:t>27,265,296</w:t>
            </w:r>
            <w:r>
              <w:rPr>
                <w:rFonts w:ascii="宋体"/>
                <w:sz w:val="15"/>
              </w:rPr>
              <w:t> </w:t>
            </w:r>
          </w:p>
        </w:tc>
      </w:tr>
      <w:tr>
        <w:trPr>
          <w:trHeight w:val="322" w:hRule="exact"/>
        </w:trPr>
        <w:tc>
          <w:tcPr>
            <w:tcW w:w="5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0" w:right="0"/>
              <w:jc w:val="left"/>
              <w:rPr>
                <w:rFonts w:ascii="宋体" w:hAnsi="宋体" w:cs="宋体" w:eastAsia="宋体" w:hint="default"/>
                <w:sz w:val="15"/>
                <w:szCs w:val="15"/>
              </w:rPr>
            </w:pPr>
            <w:r>
              <w:rPr>
                <w:rFonts w:ascii="宋体" w:hAnsi="宋体" w:cs="宋体" w:eastAsia="宋体" w:hint="default"/>
                <w:sz w:val="15"/>
                <w:szCs w:val="15"/>
              </w:rPr>
              <w:t>虞海娟</w:t>
            </w:r>
            <w:r>
              <w:rPr>
                <w:rFonts w:ascii="宋体" w:hAnsi="宋体" w:cs="宋体" w:eastAsia="宋体" w:hint="default"/>
                <w:sz w:val="15"/>
                <w:szCs w:val="15"/>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5"/>
              <w:jc w:val="right"/>
              <w:rPr>
                <w:rFonts w:ascii="宋体" w:hAnsi="宋体" w:cs="宋体" w:eastAsia="宋体" w:hint="default"/>
                <w:sz w:val="15"/>
                <w:szCs w:val="15"/>
              </w:rPr>
            </w:pPr>
            <w:r>
              <w:rPr>
                <w:rFonts w:ascii="宋体"/>
                <w:spacing w:val="-1"/>
                <w:sz w:val="15"/>
              </w:rPr>
              <w:t>26,150,000</w:t>
            </w:r>
            <w:r>
              <w:rPr>
                <w:rFonts w:ascii="宋体"/>
                <w:sz w:val="15"/>
              </w:rPr>
              <w:t> </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60"/>
              <w:jc w:val="right"/>
              <w:rPr>
                <w:rFonts w:ascii="宋体" w:hAnsi="宋体" w:cs="宋体" w:eastAsia="宋体" w:hint="default"/>
                <w:sz w:val="15"/>
                <w:szCs w:val="15"/>
              </w:rPr>
            </w:pPr>
            <w:r>
              <w:rPr>
                <w:rFonts w:ascii="宋体" w:hAnsi="宋体" w:cs="宋体" w:eastAsia="宋体" w:hint="default"/>
                <w:spacing w:val="-2"/>
                <w:sz w:val="15"/>
                <w:szCs w:val="15"/>
              </w:rPr>
              <w:t>人民币普通股</w:t>
            </w:r>
            <w:r>
              <w:rPr>
                <w:rFonts w:ascii="宋体" w:hAnsi="宋体" w:cs="宋体" w:eastAsia="宋体" w:hint="default"/>
                <w:sz w:val="15"/>
                <w:szCs w:val="15"/>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5"/>
              <w:jc w:val="right"/>
              <w:rPr>
                <w:rFonts w:ascii="宋体" w:hAnsi="宋体" w:cs="宋体" w:eastAsia="宋体" w:hint="default"/>
                <w:sz w:val="15"/>
                <w:szCs w:val="15"/>
              </w:rPr>
            </w:pPr>
            <w:r>
              <w:rPr>
                <w:rFonts w:ascii="宋体"/>
                <w:spacing w:val="-1"/>
                <w:sz w:val="15"/>
              </w:rPr>
              <w:t>26,150,000</w:t>
            </w:r>
            <w:r>
              <w:rPr>
                <w:rFonts w:ascii="宋体"/>
                <w:sz w:val="15"/>
              </w:rPr>
              <w:t> </w:t>
            </w:r>
          </w:p>
        </w:tc>
      </w:tr>
      <w:tr>
        <w:trPr>
          <w:trHeight w:val="324" w:hRule="exact"/>
        </w:trPr>
        <w:tc>
          <w:tcPr>
            <w:tcW w:w="5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00" w:right="0"/>
              <w:jc w:val="left"/>
              <w:rPr>
                <w:rFonts w:ascii="宋体" w:hAnsi="宋体" w:cs="宋体" w:eastAsia="宋体" w:hint="default"/>
                <w:sz w:val="15"/>
                <w:szCs w:val="15"/>
              </w:rPr>
            </w:pPr>
            <w:r>
              <w:rPr>
                <w:rFonts w:ascii="宋体" w:hAnsi="宋体" w:cs="宋体" w:eastAsia="宋体" w:hint="default"/>
                <w:sz w:val="15"/>
                <w:szCs w:val="15"/>
              </w:rPr>
              <w:t>江苏林洋能源股份有限公司回购专用证券账户</w:t>
            </w:r>
            <w:r>
              <w:rPr>
                <w:rFonts w:ascii="宋体" w:hAnsi="宋体" w:cs="宋体" w:eastAsia="宋体" w:hint="default"/>
                <w:sz w:val="15"/>
                <w:szCs w:val="15"/>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25"/>
              <w:jc w:val="right"/>
              <w:rPr>
                <w:rFonts w:ascii="宋体" w:hAnsi="宋体" w:cs="宋体" w:eastAsia="宋体" w:hint="default"/>
                <w:sz w:val="15"/>
                <w:szCs w:val="15"/>
              </w:rPr>
            </w:pPr>
            <w:r>
              <w:rPr>
                <w:rFonts w:ascii="宋体"/>
                <w:spacing w:val="-1"/>
                <w:sz w:val="15"/>
              </w:rPr>
              <w:t>21,956,999</w:t>
            </w:r>
            <w:r>
              <w:rPr>
                <w:rFonts w:ascii="宋体"/>
                <w:sz w:val="15"/>
              </w:rPr>
              <w:t> </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260"/>
              <w:jc w:val="right"/>
              <w:rPr>
                <w:rFonts w:ascii="宋体" w:hAnsi="宋体" w:cs="宋体" w:eastAsia="宋体" w:hint="default"/>
                <w:sz w:val="15"/>
                <w:szCs w:val="15"/>
              </w:rPr>
            </w:pPr>
            <w:r>
              <w:rPr>
                <w:rFonts w:ascii="宋体" w:hAnsi="宋体" w:cs="宋体" w:eastAsia="宋体" w:hint="default"/>
                <w:spacing w:val="-2"/>
                <w:sz w:val="15"/>
                <w:szCs w:val="15"/>
              </w:rPr>
              <w:t>人民币普通股</w:t>
            </w:r>
            <w:r>
              <w:rPr>
                <w:rFonts w:ascii="宋体" w:hAnsi="宋体" w:cs="宋体" w:eastAsia="宋体" w:hint="default"/>
                <w:sz w:val="15"/>
                <w:szCs w:val="15"/>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25"/>
              <w:jc w:val="right"/>
              <w:rPr>
                <w:rFonts w:ascii="宋体" w:hAnsi="宋体" w:cs="宋体" w:eastAsia="宋体" w:hint="default"/>
                <w:sz w:val="15"/>
                <w:szCs w:val="15"/>
              </w:rPr>
            </w:pPr>
            <w:r>
              <w:rPr>
                <w:rFonts w:ascii="宋体"/>
                <w:spacing w:val="-1"/>
                <w:sz w:val="15"/>
              </w:rPr>
              <w:t>21,956,999</w:t>
            </w:r>
            <w:r>
              <w:rPr>
                <w:rFonts w:ascii="宋体"/>
                <w:sz w:val="15"/>
              </w:rPr>
              <w:t> </w:t>
            </w:r>
          </w:p>
        </w:tc>
      </w:tr>
      <w:tr>
        <w:trPr>
          <w:trHeight w:val="336" w:hRule="exact"/>
        </w:trPr>
        <w:tc>
          <w:tcPr>
            <w:tcW w:w="5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0" w:right="0"/>
              <w:jc w:val="left"/>
              <w:rPr>
                <w:rFonts w:ascii="宋体" w:hAnsi="宋体" w:cs="宋体" w:eastAsia="宋体" w:hint="default"/>
                <w:sz w:val="15"/>
                <w:szCs w:val="15"/>
              </w:rPr>
            </w:pPr>
            <w:r>
              <w:rPr>
                <w:rFonts w:ascii="宋体" w:hAnsi="宋体" w:cs="宋体" w:eastAsia="宋体" w:hint="default"/>
                <w:sz w:val="15"/>
                <w:szCs w:val="15"/>
              </w:rPr>
              <w:t>中国农业银行股份有限公司－工银瑞信战略转型主题股票型证券投资基金</w:t>
            </w:r>
            <w:r>
              <w:rPr>
                <w:rFonts w:ascii="宋体" w:hAnsi="宋体" w:cs="宋体" w:eastAsia="宋体" w:hint="default"/>
                <w:sz w:val="15"/>
                <w:szCs w:val="15"/>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5"/>
              <w:jc w:val="right"/>
              <w:rPr>
                <w:rFonts w:ascii="宋体" w:hAnsi="宋体" w:cs="宋体" w:eastAsia="宋体" w:hint="default"/>
                <w:sz w:val="15"/>
                <w:szCs w:val="15"/>
              </w:rPr>
            </w:pPr>
            <w:r>
              <w:rPr>
                <w:rFonts w:ascii="宋体"/>
                <w:spacing w:val="-1"/>
                <w:sz w:val="15"/>
              </w:rPr>
              <w:t>21,392,713</w:t>
            </w:r>
            <w:r>
              <w:rPr>
                <w:rFonts w:ascii="宋体"/>
                <w:sz w:val="15"/>
              </w:rPr>
              <w:t> </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260"/>
              <w:jc w:val="right"/>
              <w:rPr>
                <w:rFonts w:ascii="宋体" w:hAnsi="宋体" w:cs="宋体" w:eastAsia="宋体" w:hint="default"/>
                <w:sz w:val="15"/>
                <w:szCs w:val="15"/>
              </w:rPr>
            </w:pPr>
            <w:r>
              <w:rPr>
                <w:rFonts w:ascii="宋体" w:hAnsi="宋体" w:cs="宋体" w:eastAsia="宋体" w:hint="default"/>
                <w:spacing w:val="-2"/>
                <w:sz w:val="15"/>
                <w:szCs w:val="15"/>
              </w:rPr>
              <w:t>人民币普通股</w:t>
            </w:r>
            <w:r>
              <w:rPr>
                <w:rFonts w:ascii="宋体" w:hAnsi="宋体" w:cs="宋体" w:eastAsia="宋体" w:hint="default"/>
                <w:sz w:val="15"/>
                <w:szCs w:val="15"/>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5"/>
              <w:jc w:val="right"/>
              <w:rPr>
                <w:rFonts w:ascii="宋体" w:hAnsi="宋体" w:cs="宋体" w:eastAsia="宋体" w:hint="default"/>
                <w:sz w:val="15"/>
                <w:szCs w:val="15"/>
              </w:rPr>
            </w:pPr>
            <w:r>
              <w:rPr>
                <w:rFonts w:ascii="宋体"/>
                <w:spacing w:val="-1"/>
                <w:sz w:val="15"/>
              </w:rPr>
              <w:t>21,392,713</w:t>
            </w:r>
            <w:r>
              <w:rPr>
                <w:rFonts w:ascii="宋体"/>
                <w:sz w:val="15"/>
              </w:rPr>
              <w:t> </w:t>
            </w:r>
          </w:p>
        </w:tc>
      </w:tr>
      <w:tr>
        <w:trPr>
          <w:trHeight w:val="322" w:hRule="exact"/>
        </w:trPr>
        <w:tc>
          <w:tcPr>
            <w:tcW w:w="5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0" w:right="0"/>
              <w:jc w:val="left"/>
              <w:rPr>
                <w:rFonts w:ascii="宋体" w:hAnsi="宋体" w:cs="宋体" w:eastAsia="宋体" w:hint="default"/>
                <w:sz w:val="15"/>
                <w:szCs w:val="15"/>
              </w:rPr>
            </w:pPr>
            <w:r>
              <w:rPr>
                <w:rFonts w:ascii="宋体" w:hAnsi="宋体" w:cs="宋体" w:eastAsia="宋体" w:hint="default"/>
                <w:sz w:val="15"/>
                <w:szCs w:val="15"/>
              </w:rPr>
              <w:t>天安人寿保险股份有限公司－传统产品</w:t>
            </w:r>
            <w:r>
              <w:rPr>
                <w:rFonts w:ascii="宋体" w:hAnsi="宋体" w:cs="宋体" w:eastAsia="宋体" w:hint="default"/>
                <w:sz w:val="15"/>
                <w:szCs w:val="15"/>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5"/>
              <w:jc w:val="right"/>
              <w:rPr>
                <w:rFonts w:ascii="宋体" w:hAnsi="宋体" w:cs="宋体" w:eastAsia="宋体" w:hint="default"/>
                <w:sz w:val="15"/>
                <w:szCs w:val="15"/>
              </w:rPr>
            </w:pPr>
            <w:r>
              <w:rPr>
                <w:rFonts w:ascii="宋体"/>
                <w:spacing w:val="-1"/>
                <w:sz w:val="15"/>
              </w:rPr>
              <w:t>15,971,416</w:t>
            </w:r>
            <w:r>
              <w:rPr>
                <w:rFonts w:ascii="宋体"/>
                <w:sz w:val="15"/>
              </w:rPr>
              <w:t> </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60"/>
              <w:jc w:val="right"/>
              <w:rPr>
                <w:rFonts w:ascii="宋体" w:hAnsi="宋体" w:cs="宋体" w:eastAsia="宋体" w:hint="default"/>
                <w:sz w:val="15"/>
                <w:szCs w:val="15"/>
              </w:rPr>
            </w:pPr>
            <w:r>
              <w:rPr>
                <w:rFonts w:ascii="宋体" w:hAnsi="宋体" w:cs="宋体" w:eastAsia="宋体" w:hint="default"/>
                <w:spacing w:val="-2"/>
                <w:sz w:val="15"/>
                <w:szCs w:val="15"/>
              </w:rPr>
              <w:t>人民币普通股</w:t>
            </w:r>
            <w:r>
              <w:rPr>
                <w:rFonts w:ascii="宋体" w:hAnsi="宋体" w:cs="宋体" w:eastAsia="宋体" w:hint="default"/>
                <w:sz w:val="15"/>
                <w:szCs w:val="15"/>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5"/>
              <w:jc w:val="right"/>
              <w:rPr>
                <w:rFonts w:ascii="宋体" w:hAnsi="宋体" w:cs="宋体" w:eastAsia="宋体" w:hint="default"/>
                <w:sz w:val="15"/>
                <w:szCs w:val="15"/>
              </w:rPr>
            </w:pPr>
            <w:r>
              <w:rPr>
                <w:rFonts w:ascii="宋体"/>
                <w:spacing w:val="-1"/>
                <w:sz w:val="15"/>
              </w:rPr>
              <w:t>15,971,416</w:t>
            </w:r>
            <w:r>
              <w:rPr>
                <w:rFonts w:ascii="宋体"/>
                <w:sz w:val="15"/>
              </w:rPr>
              <w:t> </w:t>
            </w:r>
          </w:p>
        </w:tc>
      </w:tr>
      <w:tr>
        <w:trPr>
          <w:trHeight w:val="1570" w:hRule="exact"/>
        </w:trPr>
        <w:tc>
          <w:tcPr>
            <w:tcW w:w="5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8"/>
              <w:ind w:left="100" w:right="0"/>
              <w:jc w:val="left"/>
              <w:rPr>
                <w:rFonts w:ascii="宋体" w:hAnsi="宋体" w:cs="宋体" w:eastAsia="宋体" w:hint="default"/>
                <w:sz w:val="15"/>
                <w:szCs w:val="15"/>
              </w:rPr>
            </w:pPr>
            <w:r>
              <w:rPr>
                <w:rFonts w:ascii="宋体" w:hAnsi="宋体" w:cs="宋体" w:eastAsia="宋体" w:hint="default"/>
                <w:sz w:val="15"/>
                <w:szCs w:val="15"/>
              </w:rPr>
              <w:t>上述股东关联关系或一致行动的说明</w:t>
            </w:r>
            <w:r>
              <w:rPr>
                <w:rFonts w:ascii="宋体" w:hAnsi="宋体" w:cs="宋体" w:eastAsia="宋体" w:hint="default"/>
                <w:sz w:val="15"/>
                <w:szCs w:val="15"/>
              </w:rPr>
              <w:t> </w:t>
            </w:r>
          </w:p>
        </w:tc>
        <w:tc>
          <w:tcPr>
            <w:tcW w:w="4378" w:type="dxa"/>
            <w:gridSpan w:val="3"/>
            <w:tcBorders>
              <w:top w:val="single" w:sz="4" w:space="0" w:color="000000"/>
              <w:left w:val="single" w:sz="4" w:space="0" w:color="000000"/>
              <w:bottom w:val="single" w:sz="4" w:space="0" w:color="000000"/>
              <w:right w:val="single" w:sz="4" w:space="0" w:color="000000"/>
            </w:tcBorders>
          </w:tcPr>
          <w:p>
            <w:pPr>
              <w:pStyle w:val="TableParagraph"/>
              <w:spacing w:line="381" w:lineRule="auto" w:before="33"/>
              <w:ind w:left="103" w:right="97"/>
              <w:jc w:val="both"/>
              <w:rPr>
                <w:rFonts w:ascii="宋体" w:hAnsi="宋体" w:cs="宋体" w:eastAsia="宋体" w:hint="default"/>
                <w:sz w:val="15"/>
                <w:szCs w:val="15"/>
              </w:rPr>
            </w:pPr>
            <w:r>
              <w:rPr>
                <w:rFonts w:ascii="宋体" w:hAnsi="宋体" w:cs="宋体" w:eastAsia="宋体" w:hint="default"/>
                <w:spacing w:val="-3"/>
                <w:sz w:val="15"/>
                <w:szCs w:val="15"/>
              </w:rPr>
              <w:t>启东市华虹电子有限公司的实际控制人为陆永华先生。其中华虹</w:t>
            </w:r>
            <w:r>
              <w:rPr>
                <w:rFonts w:ascii="宋体" w:hAnsi="宋体" w:cs="宋体" w:eastAsia="宋体" w:hint="default"/>
                <w:spacing w:val="-33"/>
                <w:sz w:val="15"/>
                <w:szCs w:val="15"/>
              </w:rPr>
              <w:t> </w:t>
            </w:r>
            <w:r>
              <w:rPr>
                <w:rFonts w:ascii="宋体" w:hAnsi="宋体" w:cs="宋体" w:eastAsia="宋体" w:hint="default"/>
                <w:spacing w:val="-33"/>
                <w:sz w:val="15"/>
                <w:szCs w:val="15"/>
              </w:rPr>
            </w:r>
            <w:r>
              <w:rPr>
                <w:rFonts w:ascii="宋体" w:hAnsi="宋体" w:cs="宋体" w:eastAsia="宋体" w:hint="default"/>
                <w:spacing w:val="-3"/>
                <w:sz w:val="15"/>
                <w:szCs w:val="15"/>
              </w:rPr>
              <w:t>电子、陆永华、虞海娟及江苏林洋能源股份有限公司回购专用证</w:t>
            </w:r>
            <w:r>
              <w:rPr>
                <w:rFonts w:ascii="宋体" w:hAnsi="宋体" w:cs="宋体" w:eastAsia="宋体" w:hint="default"/>
                <w:spacing w:val="-33"/>
                <w:sz w:val="15"/>
                <w:szCs w:val="15"/>
              </w:rPr>
              <w:t> </w:t>
            </w:r>
            <w:r>
              <w:rPr>
                <w:rFonts w:ascii="宋体" w:hAnsi="宋体" w:cs="宋体" w:eastAsia="宋体" w:hint="default"/>
                <w:spacing w:val="-33"/>
                <w:sz w:val="15"/>
                <w:szCs w:val="15"/>
              </w:rPr>
            </w:r>
            <w:r>
              <w:rPr>
                <w:rFonts w:ascii="宋体" w:hAnsi="宋体" w:cs="宋体" w:eastAsia="宋体" w:hint="default"/>
                <w:spacing w:val="-3"/>
                <w:sz w:val="15"/>
                <w:szCs w:val="15"/>
              </w:rPr>
              <w:t>券账户与其他股东间不存在关联关系。本公司未知上述其他股东</w:t>
            </w:r>
            <w:r>
              <w:rPr>
                <w:rFonts w:ascii="宋体" w:hAnsi="宋体" w:cs="宋体" w:eastAsia="宋体" w:hint="default"/>
                <w:spacing w:val="-33"/>
                <w:sz w:val="15"/>
                <w:szCs w:val="15"/>
              </w:rPr>
              <w:t> </w:t>
            </w:r>
            <w:r>
              <w:rPr>
                <w:rFonts w:ascii="宋体" w:hAnsi="宋体" w:cs="宋体" w:eastAsia="宋体" w:hint="default"/>
                <w:spacing w:val="-33"/>
                <w:sz w:val="15"/>
                <w:szCs w:val="15"/>
              </w:rPr>
            </w:r>
            <w:r>
              <w:rPr>
                <w:rFonts w:ascii="宋体" w:hAnsi="宋体" w:cs="宋体" w:eastAsia="宋体" w:hint="default"/>
                <w:spacing w:val="-3"/>
                <w:sz w:val="15"/>
                <w:szCs w:val="15"/>
              </w:rPr>
              <w:t>之间是否存在关联关系，也未知上述其他股东是否属于《上市公</w:t>
            </w:r>
            <w:r>
              <w:rPr>
                <w:rFonts w:ascii="宋体" w:hAnsi="宋体" w:cs="宋体" w:eastAsia="宋体" w:hint="default"/>
                <w:spacing w:val="-36"/>
                <w:sz w:val="15"/>
                <w:szCs w:val="15"/>
              </w:rPr>
              <w:t> </w:t>
            </w:r>
            <w:r>
              <w:rPr>
                <w:rFonts w:ascii="宋体" w:hAnsi="宋体" w:cs="宋体" w:eastAsia="宋体" w:hint="default"/>
                <w:spacing w:val="-36"/>
                <w:sz w:val="15"/>
                <w:szCs w:val="15"/>
              </w:rPr>
            </w:r>
            <w:r>
              <w:rPr>
                <w:rFonts w:ascii="宋体" w:hAnsi="宋体" w:cs="宋体" w:eastAsia="宋体" w:hint="default"/>
                <w:sz w:val="15"/>
                <w:szCs w:val="15"/>
              </w:rPr>
              <w:t>司股东持股变动信息披露管理办法》规定的一致行动人。</w:t>
            </w:r>
            <w:r>
              <w:rPr>
                <w:rFonts w:ascii="宋体" w:hAnsi="宋体" w:cs="宋体" w:eastAsia="宋体" w:hint="default"/>
                <w:sz w:val="15"/>
                <w:szCs w:val="15"/>
              </w:rPr>
              <w:t> </w:t>
            </w:r>
          </w:p>
        </w:tc>
      </w:tr>
      <w:tr>
        <w:trPr>
          <w:trHeight w:val="324" w:hRule="exact"/>
        </w:trPr>
        <w:tc>
          <w:tcPr>
            <w:tcW w:w="5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0" w:right="0"/>
              <w:jc w:val="left"/>
              <w:rPr>
                <w:rFonts w:ascii="宋体" w:hAnsi="宋体" w:cs="宋体" w:eastAsia="宋体" w:hint="default"/>
                <w:sz w:val="15"/>
                <w:szCs w:val="15"/>
              </w:rPr>
            </w:pPr>
            <w:r>
              <w:rPr>
                <w:rFonts w:ascii="宋体" w:hAnsi="宋体" w:cs="宋体" w:eastAsia="宋体" w:hint="default"/>
                <w:sz w:val="15"/>
                <w:szCs w:val="15"/>
              </w:rPr>
              <w:t>表决权恢复的优先股股东及持股数量的说明</w:t>
            </w:r>
            <w:r>
              <w:rPr>
                <w:rFonts w:ascii="宋体" w:hAnsi="宋体" w:cs="宋体" w:eastAsia="宋体" w:hint="default"/>
                <w:sz w:val="15"/>
                <w:szCs w:val="15"/>
              </w:rPr>
              <w:t> </w:t>
            </w:r>
          </w:p>
        </w:tc>
        <w:tc>
          <w:tcPr>
            <w:tcW w:w="437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5"/>
                <w:szCs w:val="15"/>
              </w:rPr>
            </w:pPr>
            <w:r>
              <w:rPr>
                <w:rFonts w:ascii="宋体"/>
                <w:w w:val="100"/>
                <w:sz w:val="15"/>
              </w:rPr>
              <w:t> </w:t>
            </w:r>
          </w:p>
        </w:tc>
      </w:tr>
    </w:tbl>
    <w:p>
      <w:pPr>
        <w:spacing w:after="0" w:line="240" w:lineRule="auto"/>
        <w:jc w:val="left"/>
        <w:rPr>
          <w:rFonts w:ascii="宋体" w:hAnsi="宋体" w:cs="宋体" w:eastAsia="宋体" w:hint="default"/>
          <w:sz w:val="15"/>
          <w:szCs w:val="15"/>
        </w:rPr>
        <w:sectPr>
          <w:pgSz w:w="11910" w:h="16840"/>
          <w:pgMar w:header="747" w:footer="974" w:top="1140" w:bottom="1160" w:left="1280" w:right="740"/>
        </w:sectPr>
      </w:pPr>
    </w:p>
    <w:p>
      <w:pPr>
        <w:pStyle w:val="Heading2"/>
        <w:spacing w:line="274" w:lineRule="exact"/>
        <w:ind w:left="518" w:right="0"/>
        <w:jc w:val="left"/>
        <w:rPr>
          <w:rFonts w:ascii="宋体" w:hAnsi="宋体" w:cs="宋体" w:eastAsia="宋体" w:hint="default"/>
        </w:rPr>
      </w:pPr>
      <w:r>
        <w:rPr>
          <w:rFonts w:ascii="宋体"/>
        </w:rPr>
        <w:t> </w:t>
      </w:r>
    </w:p>
    <w:p>
      <w:pPr>
        <w:pStyle w:val="BodyText"/>
        <w:spacing w:line="240" w:lineRule="auto" w:before="25"/>
        <w:ind w:left="518" w:right="0"/>
        <w:jc w:val="left"/>
        <w:rPr>
          <w:rFonts w:ascii="宋体" w:hAnsi="宋体" w:cs="宋体" w:eastAsia="宋体" w:hint="default"/>
        </w:rPr>
      </w:pPr>
      <w:r>
        <w:rPr/>
        <w:t>前十名有限售条件股东持股数量及限售条件</w:t>
      </w:r>
      <w:r>
        <w:rPr>
          <w:rFonts w:ascii="宋体" w:hAnsi="宋体" w:cs="宋体" w:eastAsia="宋体" w:hint="default"/>
        </w:rPr>
        <w:t> </w:t>
      </w:r>
    </w:p>
    <w:p>
      <w:pPr>
        <w:pStyle w:val="BodyText"/>
        <w:spacing w:line="240" w:lineRule="auto" w:before="37"/>
        <w:ind w:left="51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38"/>
        <w:ind w:left="518" w:right="0"/>
        <w:jc w:val="left"/>
        <w:rPr>
          <w:rFonts w:ascii="宋体" w:hAnsi="宋体" w:cs="宋体" w:eastAsia="宋体" w:hint="default"/>
        </w:rPr>
      </w:pPr>
      <w:r>
        <w:rPr/>
        <w:t>单位：股</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580" w:bottom="280" w:left="1280" w:right="740"/>
          <w:cols w:num="2" w:equalWidth="0">
            <w:col w:w="4616" w:space="3378"/>
            <w:col w:w="1896"/>
          </w:cols>
        </w:sectPr>
      </w:pPr>
    </w:p>
    <w:p>
      <w:pPr>
        <w:spacing w:line="240" w:lineRule="auto" w:before="10"/>
        <w:rPr>
          <w:rFonts w:ascii="宋体" w:hAnsi="宋体" w:cs="宋体" w:eastAsia="宋体" w:hint="default"/>
          <w:sz w:val="3"/>
          <w:szCs w:val="3"/>
        </w:rPr>
      </w:pPr>
    </w:p>
    <w:tbl>
      <w:tblPr>
        <w:tblW w:w="0" w:type="auto"/>
        <w:jc w:val="left"/>
        <w:tblInd w:w="100" w:type="dxa"/>
        <w:tblLayout w:type="fixed"/>
        <w:tblCellMar>
          <w:top w:w="0" w:type="dxa"/>
          <w:left w:w="0" w:type="dxa"/>
          <w:bottom w:w="0" w:type="dxa"/>
          <w:right w:w="0" w:type="dxa"/>
        </w:tblCellMar>
        <w:tblLook w:val="01E0"/>
      </w:tblPr>
      <w:tblGrid>
        <w:gridCol w:w="708"/>
        <w:gridCol w:w="1277"/>
        <w:gridCol w:w="1328"/>
        <w:gridCol w:w="960"/>
        <w:gridCol w:w="1596"/>
        <w:gridCol w:w="3793"/>
      </w:tblGrid>
      <w:tr>
        <w:trPr>
          <w:trHeight w:val="634" w:hRule="exact"/>
        </w:trPr>
        <w:tc>
          <w:tcPr>
            <w:tcW w:w="70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序号</w:t>
            </w:r>
            <w:r>
              <w:rPr>
                <w:rFonts w:ascii="宋体" w:hAnsi="宋体" w:cs="宋体" w:eastAsia="宋体" w:hint="default"/>
                <w:sz w:val="18"/>
                <w:szCs w:val="18"/>
              </w:rPr>
              <w:t> </w:t>
            </w:r>
          </w:p>
        </w:tc>
        <w:tc>
          <w:tcPr>
            <w:tcW w:w="1277"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316" w:lineRule="auto"/>
              <w:ind w:left="273" w:right="181" w:hanging="92"/>
              <w:jc w:val="left"/>
              <w:rPr>
                <w:rFonts w:ascii="宋体" w:hAnsi="宋体" w:cs="宋体" w:eastAsia="宋体" w:hint="default"/>
                <w:sz w:val="18"/>
                <w:szCs w:val="18"/>
              </w:rPr>
            </w:pPr>
            <w:r>
              <w:rPr>
                <w:rFonts w:ascii="宋体" w:hAnsi="宋体" w:cs="宋体" w:eastAsia="宋体" w:hint="default"/>
                <w:sz w:val="18"/>
                <w:szCs w:val="18"/>
              </w:rPr>
              <w:t>有限售条件 股东名称</w:t>
            </w:r>
            <w:r>
              <w:rPr>
                <w:rFonts w:ascii="宋体" w:hAnsi="宋体" w:cs="宋体" w:eastAsia="宋体" w:hint="default"/>
                <w:sz w:val="18"/>
                <w:szCs w:val="18"/>
              </w:rPr>
              <w:t> </w:t>
            </w:r>
          </w:p>
        </w:tc>
        <w:tc>
          <w:tcPr>
            <w:tcW w:w="1328"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316" w:lineRule="auto"/>
              <w:ind w:left="117" w:right="29"/>
              <w:jc w:val="left"/>
              <w:rPr>
                <w:rFonts w:ascii="宋体" w:hAnsi="宋体" w:cs="宋体" w:eastAsia="宋体" w:hint="default"/>
                <w:sz w:val="18"/>
                <w:szCs w:val="18"/>
              </w:rPr>
            </w:pPr>
            <w:r>
              <w:rPr>
                <w:rFonts w:ascii="宋体" w:hAnsi="宋体" w:cs="宋体" w:eastAsia="宋体" w:hint="default"/>
                <w:sz w:val="18"/>
                <w:szCs w:val="18"/>
              </w:rPr>
              <w:t>持有的有限售 条件股份数量</w:t>
            </w:r>
            <w:r>
              <w:rPr>
                <w:rFonts w:ascii="宋体" w:hAnsi="宋体" w:cs="宋体" w:eastAsia="宋体" w:hint="default"/>
                <w:sz w:val="18"/>
                <w:szCs w:val="18"/>
              </w:rPr>
              <w:t> </w:t>
            </w:r>
          </w:p>
        </w:tc>
        <w:tc>
          <w:tcPr>
            <w:tcW w:w="2556"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180" w:right="105" w:hanging="1080"/>
              <w:jc w:val="left"/>
              <w:rPr>
                <w:rFonts w:ascii="宋体" w:hAnsi="宋体" w:cs="宋体" w:eastAsia="宋体" w:hint="default"/>
                <w:sz w:val="18"/>
                <w:szCs w:val="18"/>
              </w:rPr>
            </w:pPr>
            <w:r>
              <w:rPr>
                <w:rFonts w:ascii="宋体" w:hAnsi="宋体" w:cs="宋体" w:eastAsia="宋体" w:hint="default"/>
                <w:sz w:val="18"/>
                <w:szCs w:val="18"/>
              </w:rPr>
              <w:t>有限售条件股份可上市交易情 况</w:t>
            </w:r>
            <w:r>
              <w:rPr>
                <w:rFonts w:ascii="宋体" w:hAnsi="宋体" w:cs="宋体" w:eastAsia="宋体" w:hint="default"/>
                <w:sz w:val="18"/>
                <w:szCs w:val="18"/>
              </w:rPr>
              <w:t> </w:t>
            </w:r>
          </w:p>
        </w:tc>
        <w:tc>
          <w:tcPr>
            <w:tcW w:w="379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85" w:right="0"/>
              <w:jc w:val="center"/>
              <w:rPr>
                <w:rFonts w:ascii="宋体" w:hAnsi="宋体" w:cs="宋体" w:eastAsia="宋体" w:hint="default"/>
                <w:sz w:val="18"/>
                <w:szCs w:val="18"/>
              </w:rPr>
            </w:pPr>
            <w:r>
              <w:rPr>
                <w:rFonts w:ascii="宋体" w:hAnsi="宋体" w:cs="宋体" w:eastAsia="宋体" w:hint="default"/>
                <w:sz w:val="18"/>
                <w:szCs w:val="18"/>
              </w:rPr>
              <w:t>限售条件</w:t>
            </w:r>
            <w:r>
              <w:rPr>
                <w:rFonts w:ascii="宋体" w:hAnsi="宋体" w:cs="宋体" w:eastAsia="宋体" w:hint="default"/>
                <w:sz w:val="18"/>
                <w:szCs w:val="18"/>
              </w:rPr>
              <w:t> </w:t>
            </w:r>
          </w:p>
        </w:tc>
      </w:tr>
      <w:tr>
        <w:trPr>
          <w:trHeight w:val="634" w:hRule="exact"/>
        </w:trPr>
        <w:tc>
          <w:tcPr>
            <w:tcW w:w="708"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1328" w:type="dxa"/>
            <w:vMerge/>
            <w:tcBorders>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03" w:right="114" w:hanging="92"/>
              <w:jc w:val="left"/>
              <w:rPr>
                <w:rFonts w:ascii="宋体" w:hAnsi="宋体" w:cs="宋体" w:eastAsia="宋体" w:hint="default"/>
                <w:sz w:val="18"/>
                <w:szCs w:val="18"/>
              </w:rPr>
            </w:pPr>
            <w:r>
              <w:rPr>
                <w:rFonts w:ascii="宋体" w:hAnsi="宋体" w:cs="宋体" w:eastAsia="宋体" w:hint="default"/>
                <w:sz w:val="18"/>
                <w:szCs w:val="18"/>
              </w:rPr>
              <w:t>可上市交 易时间</w:t>
            </w:r>
            <w:r>
              <w:rPr>
                <w:rFonts w:ascii="宋体" w:hAnsi="宋体" w:cs="宋体" w:eastAsia="宋体" w:hint="default"/>
                <w:sz w:val="18"/>
                <w:szCs w:val="18"/>
              </w:rPr>
              <w:t> </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432" w:right="165" w:hanging="272"/>
              <w:jc w:val="left"/>
              <w:rPr>
                <w:rFonts w:ascii="宋体" w:hAnsi="宋体" w:cs="宋体" w:eastAsia="宋体" w:hint="default"/>
                <w:sz w:val="18"/>
                <w:szCs w:val="18"/>
              </w:rPr>
            </w:pPr>
            <w:r>
              <w:rPr>
                <w:rFonts w:ascii="宋体" w:hAnsi="宋体" w:cs="宋体" w:eastAsia="宋体" w:hint="default"/>
                <w:sz w:val="18"/>
                <w:szCs w:val="18"/>
              </w:rPr>
              <w:t>新增可上市交易 股份数量</w:t>
            </w:r>
            <w:r>
              <w:rPr>
                <w:rFonts w:ascii="宋体" w:hAnsi="宋体" w:cs="宋体" w:eastAsia="宋体" w:hint="default"/>
                <w:sz w:val="18"/>
                <w:szCs w:val="18"/>
              </w:rPr>
              <w:t> </w:t>
            </w:r>
          </w:p>
        </w:tc>
        <w:tc>
          <w:tcPr>
            <w:tcW w:w="3793" w:type="dxa"/>
            <w:vMerge/>
            <w:tcBorders>
              <w:left w:val="single" w:sz="4" w:space="0" w:color="000000"/>
              <w:bottom w:val="single" w:sz="4" w:space="0" w:color="000000"/>
              <w:right w:val="single" w:sz="4" w:space="0" w:color="000000"/>
            </w:tcBorders>
          </w:tcPr>
          <w:p>
            <w:pPr/>
          </w:p>
        </w:tc>
      </w:tr>
      <w:tr>
        <w:trPr>
          <w:trHeight w:val="355"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12"/>
              <w:jc w:val="right"/>
              <w:rPr>
                <w:rFonts w:ascii="宋体" w:hAnsi="宋体" w:cs="宋体" w:eastAsia="宋体" w:hint="default"/>
                <w:sz w:val="18"/>
                <w:szCs w:val="18"/>
              </w:rPr>
            </w:pPr>
            <w:r>
              <w:rPr>
                <w:rFonts w:ascii="宋体"/>
                <w:sz w:val="18"/>
              </w:rPr>
              <w:t>1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90" w:right="0"/>
              <w:jc w:val="center"/>
              <w:rPr>
                <w:rFonts w:ascii="宋体" w:hAnsi="宋体" w:cs="宋体" w:eastAsia="宋体" w:hint="default"/>
                <w:sz w:val="18"/>
                <w:szCs w:val="18"/>
              </w:rPr>
            </w:pPr>
            <w:r>
              <w:rPr>
                <w:rFonts w:ascii="宋体" w:hAnsi="宋体" w:cs="宋体" w:eastAsia="宋体" w:hint="default"/>
                <w:sz w:val="18"/>
                <w:szCs w:val="18"/>
              </w:rPr>
              <w:t>裴骏</w:t>
            </w:r>
            <w:r>
              <w:rPr>
                <w:rFonts w:ascii="宋体" w:hAnsi="宋体" w:cs="宋体" w:eastAsia="宋体" w:hint="default"/>
                <w:sz w:val="18"/>
                <w:szCs w:val="18"/>
              </w:rPr>
              <w:t> </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3"/>
              <w:jc w:val="right"/>
              <w:rPr>
                <w:rFonts w:ascii="宋体" w:hAnsi="宋体" w:cs="宋体" w:eastAsia="宋体" w:hint="default"/>
                <w:sz w:val="18"/>
                <w:szCs w:val="18"/>
              </w:rPr>
            </w:pPr>
            <w:r>
              <w:rPr>
                <w:rFonts w:ascii="宋体"/>
                <w:spacing w:val="-1"/>
                <w:sz w:val="18"/>
              </w:rPr>
              <w:t>260,000</w:t>
            </w:r>
            <w:r>
              <w:rPr>
                <w:rFonts w:ascii="宋体"/>
                <w:sz w:val="18"/>
              </w:rPr>
              <w:t> </w:t>
            </w:r>
          </w:p>
        </w:tc>
        <w:tc>
          <w:tcPr>
            <w:tcW w:w="96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203" w:right="0"/>
              <w:jc w:val="left"/>
              <w:rPr>
                <w:rFonts w:ascii="宋体" w:hAnsi="宋体" w:cs="宋体" w:eastAsia="宋体" w:hint="default"/>
                <w:sz w:val="18"/>
                <w:szCs w:val="18"/>
              </w:rPr>
            </w:pPr>
            <w:r>
              <w:rPr>
                <w:rFonts w:ascii="宋体" w:hAnsi="宋体" w:cs="宋体" w:eastAsia="宋体" w:hint="default"/>
                <w:sz w:val="18"/>
                <w:szCs w:val="18"/>
              </w:rPr>
              <w:t>不适用</w:t>
            </w:r>
            <w:r>
              <w:rPr>
                <w:rFonts w:ascii="宋体" w:hAnsi="宋体" w:cs="宋体" w:eastAsia="宋体" w:hint="default"/>
                <w:sz w:val="18"/>
                <w:szCs w:val="18"/>
              </w:rPr>
              <w:t> </w:t>
            </w:r>
          </w:p>
        </w:tc>
        <w:tc>
          <w:tcPr>
            <w:tcW w:w="159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87" w:right="0"/>
              <w:jc w:val="center"/>
              <w:rPr>
                <w:rFonts w:ascii="宋体" w:hAnsi="宋体" w:cs="宋体" w:eastAsia="宋体" w:hint="default"/>
                <w:sz w:val="18"/>
                <w:szCs w:val="18"/>
              </w:rPr>
            </w:pPr>
            <w:r>
              <w:rPr>
                <w:rFonts w:ascii="宋体"/>
                <w:sz w:val="18"/>
              </w:rPr>
              <w:t>0 </w:t>
            </w:r>
          </w:p>
        </w:tc>
        <w:tc>
          <w:tcPr>
            <w:tcW w:w="3793" w:type="dxa"/>
            <w:vMerge w:val="restart"/>
            <w:tcBorders>
              <w:top w:val="single" w:sz="4" w:space="0" w:color="000000"/>
              <w:left w:val="single" w:sz="4" w:space="0" w:color="000000"/>
              <w:right w:val="single" w:sz="4" w:space="0" w:color="000000"/>
            </w:tcBorders>
          </w:tcPr>
          <w:p>
            <w:pPr>
              <w:pStyle w:val="TableParagraph"/>
              <w:spacing w:line="240" w:lineRule="auto" w:before="33"/>
              <w:ind w:left="100" w:right="0"/>
              <w:jc w:val="both"/>
              <w:rPr>
                <w:rFonts w:ascii="宋体" w:hAnsi="宋体" w:cs="宋体" w:eastAsia="宋体" w:hint="default"/>
                <w:sz w:val="15"/>
                <w:szCs w:val="15"/>
              </w:rPr>
            </w:pPr>
            <w:r>
              <w:rPr>
                <w:rFonts w:ascii="宋体" w:hAnsi="宋体" w:cs="宋体" w:eastAsia="宋体" w:hint="default"/>
                <w:spacing w:val="-2"/>
                <w:sz w:val="15"/>
                <w:szCs w:val="15"/>
              </w:rPr>
              <w:t>公司第二期限制性股票激励计划的首次授予日为</w:t>
            </w:r>
            <w:r>
              <w:rPr>
                <w:rFonts w:ascii="宋体" w:hAnsi="宋体" w:cs="宋体" w:eastAsia="宋体" w:hint="default"/>
                <w:spacing w:val="1"/>
                <w:sz w:val="15"/>
                <w:szCs w:val="15"/>
              </w:rPr>
              <w:t> </w:t>
            </w:r>
            <w:r>
              <w:rPr>
                <w:rFonts w:ascii="宋体" w:hAnsi="宋体" w:cs="宋体" w:eastAsia="宋体" w:hint="default"/>
                <w:spacing w:val="-1"/>
                <w:sz w:val="15"/>
                <w:szCs w:val="15"/>
              </w:rPr>
              <w:t>2017</w:t>
            </w:r>
          </w:p>
          <w:p>
            <w:pPr>
              <w:pStyle w:val="TableParagraph"/>
              <w:spacing w:line="240" w:lineRule="auto" w:before="115"/>
              <w:ind w:left="100" w:right="0"/>
              <w:jc w:val="both"/>
              <w:rPr>
                <w:rFonts w:ascii="宋体" w:hAnsi="宋体" w:cs="宋体" w:eastAsia="宋体" w:hint="default"/>
                <w:sz w:val="15"/>
                <w:szCs w:val="15"/>
              </w:rPr>
            </w:pPr>
            <w:r>
              <w:rPr>
                <w:rFonts w:ascii="宋体" w:hAnsi="宋体" w:cs="宋体" w:eastAsia="宋体" w:hint="default"/>
                <w:sz w:val="15"/>
                <w:szCs w:val="15"/>
              </w:rPr>
              <w:t>年</w:t>
            </w:r>
            <w:r>
              <w:rPr>
                <w:rFonts w:ascii="宋体" w:hAnsi="宋体" w:cs="宋体" w:eastAsia="宋体" w:hint="default"/>
                <w:spacing w:val="-31"/>
                <w:sz w:val="15"/>
                <w:szCs w:val="15"/>
              </w:rPr>
              <w:t> </w:t>
            </w:r>
            <w:r>
              <w:rPr>
                <w:rFonts w:ascii="宋体" w:hAnsi="宋体" w:cs="宋体" w:eastAsia="宋体" w:hint="default"/>
                <w:sz w:val="15"/>
                <w:szCs w:val="15"/>
              </w:rPr>
              <w:t>2</w:t>
            </w:r>
            <w:r>
              <w:rPr>
                <w:rFonts w:ascii="宋体" w:hAnsi="宋体" w:cs="宋体" w:eastAsia="宋体" w:hint="default"/>
                <w:spacing w:val="-30"/>
                <w:sz w:val="15"/>
                <w:szCs w:val="15"/>
              </w:rPr>
              <w:t> </w:t>
            </w:r>
            <w:r>
              <w:rPr>
                <w:rFonts w:ascii="宋体" w:hAnsi="宋体" w:cs="宋体" w:eastAsia="宋体" w:hint="default"/>
                <w:sz w:val="15"/>
                <w:szCs w:val="15"/>
              </w:rPr>
              <w:t>月</w:t>
            </w:r>
            <w:r>
              <w:rPr>
                <w:rFonts w:ascii="宋体" w:hAnsi="宋体" w:cs="宋体" w:eastAsia="宋体" w:hint="default"/>
                <w:spacing w:val="-31"/>
                <w:sz w:val="15"/>
                <w:szCs w:val="15"/>
              </w:rPr>
              <w:t> </w:t>
            </w:r>
            <w:r>
              <w:rPr>
                <w:rFonts w:ascii="宋体" w:hAnsi="宋体" w:cs="宋体" w:eastAsia="宋体" w:hint="default"/>
                <w:sz w:val="15"/>
                <w:szCs w:val="15"/>
              </w:rPr>
              <w:t>7</w:t>
            </w:r>
            <w:r>
              <w:rPr>
                <w:rFonts w:ascii="宋体" w:hAnsi="宋体" w:cs="宋体" w:eastAsia="宋体" w:hint="default"/>
                <w:spacing w:val="-28"/>
                <w:sz w:val="15"/>
                <w:szCs w:val="15"/>
              </w:rPr>
              <w:t> </w:t>
            </w:r>
            <w:r>
              <w:rPr>
                <w:rFonts w:ascii="宋体" w:hAnsi="宋体" w:cs="宋体" w:eastAsia="宋体" w:hint="default"/>
                <w:spacing w:val="-3"/>
                <w:sz w:val="15"/>
                <w:szCs w:val="15"/>
              </w:rPr>
              <w:t>日，若达到激励计划规定的解锁条件，激励对</w:t>
            </w:r>
          </w:p>
          <w:p>
            <w:pPr>
              <w:pStyle w:val="TableParagraph"/>
              <w:spacing w:line="240" w:lineRule="auto" w:before="115"/>
              <w:ind w:left="100" w:right="0"/>
              <w:jc w:val="both"/>
              <w:rPr>
                <w:rFonts w:ascii="宋体" w:hAnsi="宋体" w:cs="宋体" w:eastAsia="宋体" w:hint="default"/>
                <w:sz w:val="15"/>
                <w:szCs w:val="15"/>
              </w:rPr>
            </w:pPr>
            <w:r>
              <w:rPr>
                <w:rFonts w:ascii="宋体" w:hAnsi="宋体" w:cs="宋体" w:eastAsia="宋体" w:hint="default"/>
                <w:sz w:val="15"/>
                <w:szCs w:val="15"/>
              </w:rPr>
              <w:t>象可分三次申请解锁，分别自授予日起的</w:t>
            </w:r>
            <w:r>
              <w:rPr>
                <w:rFonts w:ascii="宋体" w:hAnsi="宋体" w:cs="宋体" w:eastAsia="宋体" w:hint="default"/>
                <w:spacing w:val="-40"/>
                <w:sz w:val="15"/>
                <w:szCs w:val="15"/>
              </w:rPr>
              <w:t> </w:t>
            </w:r>
            <w:r>
              <w:rPr>
                <w:rFonts w:ascii="宋体" w:hAnsi="宋体" w:cs="宋体" w:eastAsia="宋体" w:hint="default"/>
                <w:sz w:val="15"/>
                <w:szCs w:val="15"/>
              </w:rPr>
              <w:t>12</w:t>
            </w:r>
            <w:r>
              <w:rPr>
                <w:rFonts w:ascii="宋体" w:hAnsi="宋体" w:cs="宋体" w:eastAsia="宋体" w:hint="default"/>
                <w:spacing w:val="-39"/>
                <w:sz w:val="15"/>
                <w:szCs w:val="15"/>
              </w:rPr>
              <w:t> </w:t>
            </w:r>
            <w:r>
              <w:rPr>
                <w:rFonts w:ascii="宋体" w:hAnsi="宋体" w:cs="宋体" w:eastAsia="宋体" w:hint="default"/>
                <w:sz w:val="15"/>
                <w:szCs w:val="15"/>
              </w:rPr>
              <w:t>个月后、</w:t>
            </w:r>
          </w:p>
          <w:p>
            <w:pPr>
              <w:pStyle w:val="TableParagraph"/>
              <w:spacing w:line="381" w:lineRule="auto" w:before="115"/>
              <w:ind w:left="100" w:right="99"/>
              <w:jc w:val="both"/>
              <w:rPr>
                <w:rFonts w:ascii="宋体" w:hAnsi="宋体" w:cs="宋体" w:eastAsia="宋体" w:hint="default"/>
                <w:sz w:val="18"/>
                <w:szCs w:val="18"/>
              </w:rPr>
            </w:pPr>
            <w:r>
              <w:rPr>
                <w:rFonts w:ascii="宋体" w:hAnsi="宋体" w:cs="宋体" w:eastAsia="宋体" w:hint="default"/>
                <w:sz w:val="15"/>
                <w:szCs w:val="15"/>
              </w:rPr>
              <w:t>24</w:t>
            </w:r>
            <w:r>
              <w:rPr>
                <w:rFonts w:ascii="宋体" w:hAnsi="宋体" w:cs="宋体" w:eastAsia="宋体" w:hint="default"/>
                <w:spacing w:val="-39"/>
                <w:sz w:val="15"/>
                <w:szCs w:val="15"/>
              </w:rPr>
              <w:t> </w:t>
            </w:r>
            <w:r>
              <w:rPr>
                <w:rFonts w:ascii="宋体" w:hAnsi="宋体" w:cs="宋体" w:eastAsia="宋体" w:hint="default"/>
                <w:sz w:val="15"/>
                <w:szCs w:val="15"/>
              </w:rPr>
              <w:t>个月后、</w:t>
            </w:r>
            <w:r>
              <w:rPr>
                <w:rFonts w:ascii="宋体" w:hAnsi="宋体" w:cs="宋体" w:eastAsia="宋体" w:hint="default"/>
                <w:sz w:val="15"/>
                <w:szCs w:val="15"/>
              </w:rPr>
              <w:t>36</w:t>
            </w:r>
            <w:r>
              <w:rPr>
                <w:rFonts w:ascii="宋体" w:hAnsi="宋体" w:cs="宋体" w:eastAsia="宋体" w:hint="default"/>
                <w:spacing w:val="-39"/>
                <w:sz w:val="15"/>
                <w:szCs w:val="15"/>
              </w:rPr>
              <w:t> </w:t>
            </w:r>
            <w:r>
              <w:rPr>
                <w:rFonts w:ascii="宋体" w:hAnsi="宋体" w:cs="宋体" w:eastAsia="宋体" w:hint="default"/>
                <w:sz w:val="15"/>
                <w:szCs w:val="15"/>
              </w:rPr>
              <w:t>个月后各申请解锁授予限制性股票总量</w:t>
            </w:r>
            <w:r>
              <w:rPr>
                <w:rFonts w:ascii="宋体" w:hAnsi="宋体" w:cs="宋体" w:eastAsia="宋体" w:hint="default"/>
                <w:w w:val="100"/>
                <w:sz w:val="15"/>
                <w:szCs w:val="15"/>
              </w:rPr>
              <w:t> </w:t>
            </w:r>
            <w:r>
              <w:rPr>
                <w:rFonts w:ascii="宋体" w:hAnsi="宋体" w:cs="宋体" w:eastAsia="宋体" w:hint="default"/>
                <w:sz w:val="15"/>
                <w:szCs w:val="15"/>
              </w:rPr>
              <w:t>的</w:t>
            </w:r>
            <w:r>
              <w:rPr>
                <w:rFonts w:ascii="宋体" w:hAnsi="宋体" w:cs="宋体" w:eastAsia="宋体" w:hint="default"/>
                <w:spacing w:val="-43"/>
                <w:sz w:val="15"/>
                <w:szCs w:val="15"/>
              </w:rPr>
              <w:t> </w:t>
            </w:r>
            <w:r>
              <w:rPr>
                <w:rFonts w:ascii="宋体" w:hAnsi="宋体" w:cs="宋体" w:eastAsia="宋体" w:hint="default"/>
                <w:sz w:val="15"/>
                <w:szCs w:val="15"/>
              </w:rPr>
              <w:t>30%</w:t>
            </w:r>
            <w:r>
              <w:rPr>
                <w:rFonts w:ascii="宋体" w:hAnsi="宋体" w:cs="宋体" w:eastAsia="宋体" w:hint="default"/>
                <w:sz w:val="15"/>
                <w:szCs w:val="15"/>
              </w:rPr>
              <w:t>、</w:t>
            </w:r>
            <w:r>
              <w:rPr>
                <w:rFonts w:ascii="宋体" w:hAnsi="宋体" w:cs="宋体" w:eastAsia="宋体" w:hint="default"/>
                <w:sz w:val="15"/>
                <w:szCs w:val="15"/>
              </w:rPr>
              <w:t>30%</w:t>
            </w:r>
            <w:r>
              <w:rPr>
                <w:rFonts w:ascii="宋体" w:hAnsi="宋体" w:cs="宋体" w:eastAsia="宋体" w:hint="default"/>
                <w:sz w:val="15"/>
                <w:szCs w:val="15"/>
              </w:rPr>
              <w:t>、</w:t>
            </w:r>
            <w:r>
              <w:rPr>
                <w:rFonts w:ascii="宋体" w:hAnsi="宋体" w:cs="宋体" w:eastAsia="宋体" w:hint="default"/>
                <w:sz w:val="15"/>
                <w:szCs w:val="15"/>
              </w:rPr>
              <w:t>40%</w:t>
            </w:r>
            <w:r>
              <w:rPr>
                <w:rFonts w:ascii="宋体" w:hAnsi="宋体" w:cs="宋体" w:eastAsia="宋体" w:hint="default"/>
                <w:sz w:val="15"/>
                <w:szCs w:val="15"/>
              </w:rPr>
              <w:t>；第二期限制性股票激励计划预留部</w:t>
            </w:r>
            <w:r>
              <w:rPr>
                <w:rFonts w:ascii="宋体" w:hAnsi="宋体" w:cs="宋体" w:eastAsia="宋体" w:hint="default"/>
                <w:w w:val="100"/>
                <w:sz w:val="15"/>
                <w:szCs w:val="15"/>
              </w:rPr>
              <w:t> </w:t>
            </w:r>
            <w:r>
              <w:rPr>
                <w:rFonts w:ascii="宋体" w:hAnsi="宋体" w:cs="宋体" w:eastAsia="宋体" w:hint="default"/>
                <w:sz w:val="15"/>
                <w:szCs w:val="15"/>
              </w:rPr>
              <w:t>分的授予日为</w:t>
            </w:r>
            <w:r>
              <w:rPr>
                <w:rFonts w:ascii="宋体" w:hAnsi="宋体" w:cs="宋体" w:eastAsia="宋体" w:hint="default"/>
                <w:spacing w:val="-40"/>
                <w:sz w:val="15"/>
                <w:szCs w:val="15"/>
              </w:rPr>
              <w:t> </w:t>
            </w:r>
            <w:r>
              <w:rPr>
                <w:rFonts w:ascii="宋体" w:hAnsi="宋体" w:cs="宋体" w:eastAsia="宋体" w:hint="default"/>
                <w:sz w:val="15"/>
                <w:szCs w:val="15"/>
              </w:rPr>
              <w:t>2017</w:t>
            </w:r>
            <w:r>
              <w:rPr>
                <w:rFonts w:ascii="宋体" w:hAnsi="宋体" w:cs="宋体" w:eastAsia="宋体" w:hint="default"/>
                <w:spacing w:val="-39"/>
                <w:sz w:val="15"/>
                <w:szCs w:val="15"/>
              </w:rPr>
              <w:t> </w:t>
            </w:r>
            <w:r>
              <w:rPr>
                <w:rFonts w:ascii="宋体" w:hAnsi="宋体" w:cs="宋体" w:eastAsia="宋体" w:hint="default"/>
                <w:sz w:val="15"/>
                <w:szCs w:val="15"/>
              </w:rPr>
              <w:t>年</w:t>
            </w:r>
            <w:r>
              <w:rPr>
                <w:rFonts w:ascii="宋体" w:hAnsi="宋体" w:cs="宋体" w:eastAsia="宋体" w:hint="default"/>
                <w:spacing w:val="-38"/>
                <w:sz w:val="15"/>
                <w:szCs w:val="15"/>
              </w:rPr>
              <w:t> </w:t>
            </w:r>
            <w:r>
              <w:rPr>
                <w:rFonts w:ascii="宋体" w:hAnsi="宋体" w:cs="宋体" w:eastAsia="宋体" w:hint="default"/>
                <w:sz w:val="15"/>
                <w:szCs w:val="15"/>
              </w:rPr>
              <w:t>12</w:t>
            </w:r>
            <w:r>
              <w:rPr>
                <w:rFonts w:ascii="宋体" w:hAnsi="宋体" w:cs="宋体" w:eastAsia="宋体" w:hint="default"/>
                <w:spacing w:val="-39"/>
                <w:sz w:val="15"/>
                <w:szCs w:val="15"/>
              </w:rPr>
              <w:t> </w:t>
            </w:r>
            <w:r>
              <w:rPr>
                <w:rFonts w:ascii="宋体" w:hAnsi="宋体" w:cs="宋体" w:eastAsia="宋体" w:hint="default"/>
                <w:sz w:val="15"/>
                <w:szCs w:val="15"/>
              </w:rPr>
              <w:t>月</w:t>
            </w:r>
            <w:r>
              <w:rPr>
                <w:rFonts w:ascii="宋体" w:hAnsi="宋体" w:cs="宋体" w:eastAsia="宋体" w:hint="default"/>
                <w:spacing w:val="-40"/>
                <w:sz w:val="15"/>
                <w:szCs w:val="15"/>
              </w:rPr>
              <w:t> </w:t>
            </w:r>
            <w:r>
              <w:rPr>
                <w:rFonts w:ascii="宋体" w:hAnsi="宋体" w:cs="宋体" w:eastAsia="宋体" w:hint="default"/>
                <w:sz w:val="15"/>
                <w:szCs w:val="15"/>
              </w:rPr>
              <w:t>21</w:t>
            </w:r>
            <w:r>
              <w:rPr>
                <w:rFonts w:ascii="宋体" w:hAnsi="宋体" w:cs="宋体" w:eastAsia="宋体" w:hint="default"/>
                <w:spacing w:val="-39"/>
                <w:sz w:val="15"/>
                <w:szCs w:val="15"/>
              </w:rPr>
              <w:t> </w:t>
            </w:r>
            <w:r>
              <w:rPr>
                <w:rFonts w:ascii="宋体" w:hAnsi="宋体" w:cs="宋体" w:eastAsia="宋体" w:hint="default"/>
                <w:sz w:val="15"/>
                <w:szCs w:val="15"/>
              </w:rPr>
              <w:t>日，若达到激励计划规</w:t>
            </w:r>
            <w:r>
              <w:rPr>
                <w:rFonts w:ascii="宋体" w:hAnsi="宋体" w:cs="宋体" w:eastAsia="宋体" w:hint="default"/>
                <w:w w:val="100"/>
                <w:sz w:val="15"/>
                <w:szCs w:val="15"/>
              </w:rPr>
              <w:t> </w:t>
            </w:r>
            <w:r>
              <w:rPr>
                <w:rFonts w:ascii="宋体" w:hAnsi="宋体" w:cs="宋体" w:eastAsia="宋体" w:hint="default"/>
                <w:spacing w:val="-3"/>
                <w:sz w:val="15"/>
                <w:szCs w:val="15"/>
              </w:rPr>
              <w:t>定的解锁条件，激励对象可分两次申请解锁，分别自授</w:t>
            </w:r>
            <w:r>
              <w:rPr>
                <w:rFonts w:ascii="宋体" w:hAnsi="宋体" w:cs="宋体" w:eastAsia="宋体" w:hint="default"/>
                <w:spacing w:val="-32"/>
                <w:sz w:val="15"/>
                <w:szCs w:val="15"/>
              </w:rPr>
              <w:t> </w:t>
            </w:r>
            <w:r>
              <w:rPr>
                <w:rFonts w:ascii="宋体" w:hAnsi="宋体" w:cs="宋体" w:eastAsia="宋体" w:hint="default"/>
                <w:spacing w:val="-32"/>
                <w:sz w:val="15"/>
                <w:szCs w:val="15"/>
              </w:rPr>
            </w:r>
            <w:r>
              <w:rPr>
                <w:rFonts w:ascii="宋体" w:hAnsi="宋体" w:cs="宋体" w:eastAsia="宋体" w:hint="default"/>
                <w:sz w:val="15"/>
                <w:szCs w:val="15"/>
              </w:rPr>
              <w:t>予日起的</w:t>
            </w:r>
            <w:r>
              <w:rPr>
                <w:rFonts w:ascii="宋体" w:hAnsi="宋体" w:cs="宋体" w:eastAsia="宋体" w:hint="default"/>
                <w:spacing w:val="-40"/>
                <w:sz w:val="15"/>
                <w:szCs w:val="15"/>
              </w:rPr>
              <w:t> </w:t>
            </w:r>
            <w:r>
              <w:rPr>
                <w:rFonts w:ascii="宋体" w:hAnsi="宋体" w:cs="宋体" w:eastAsia="宋体" w:hint="default"/>
                <w:sz w:val="15"/>
                <w:szCs w:val="15"/>
              </w:rPr>
              <w:t>12</w:t>
            </w:r>
            <w:r>
              <w:rPr>
                <w:rFonts w:ascii="宋体" w:hAnsi="宋体" w:cs="宋体" w:eastAsia="宋体" w:hint="default"/>
                <w:spacing w:val="-39"/>
                <w:sz w:val="15"/>
                <w:szCs w:val="15"/>
              </w:rPr>
              <w:t> </w:t>
            </w:r>
            <w:r>
              <w:rPr>
                <w:rFonts w:ascii="宋体" w:hAnsi="宋体" w:cs="宋体" w:eastAsia="宋体" w:hint="default"/>
                <w:sz w:val="15"/>
                <w:szCs w:val="15"/>
              </w:rPr>
              <w:t>个月后、</w:t>
            </w:r>
            <w:r>
              <w:rPr>
                <w:rFonts w:ascii="宋体" w:hAnsi="宋体" w:cs="宋体" w:eastAsia="宋体" w:hint="default"/>
                <w:sz w:val="15"/>
                <w:szCs w:val="15"/>
              </w:rPr>
              <w:t>24</w:t>
            </w:r>
            <w:r>
              <w:rPr>
                <w:rFonts w:ascii="宋体" w:hAnsi="宋体" w:cs="宋体" w:eastAsia="宋体" w:hint="default"/>
                <w:spacing w:val="-39"/>
                <w:sz w:val="15"/>
                <w:szCs w:val="15"/>
              </w:rPr>
              <w:t> </w:t>
            </w:r>
            <w:r>
              <w:rPr>
                <w:rFonts w:ascii="宋体" w:hAnsi="宋体" w:cs="宋体" w:eastAsia="宋体" w:hint="default"/>
                <w:sz w:val="15"/>
                <w:szCs w:val="15"/>
              </w:rPr>
              <w:t>个月后各申请解锁授予限制性</w:t>
            </w:r>
            <w:r>
              <w:rPr>
                <w:rFonts w:ascii="宋体" w:hAnsi="宋体" w:cs="宋体" w:eastAsia="宋体" w:hint="default"/>
                <w:w w:val="100"/>
                <w:sz w:val="15"/>
                <w:szCs w:val="15"/>
              </w:rPr>
              <w:t> </w:t>
            </w:r>
            <w:r>
              <w:rPr>
                <w:rFonts w:ascii="宋体" w:hAnsi="宋体" w:cs="宋体" w:eastAsia="宋体" w:hint="default"/>
                <w:sz w:val="15"/>
                <w:szCs w:val="15"/>
              </w:rPr>
              <w:t>股票总量的</w:t>
            </w:r>
            <w:r>
              <w:rPr>
                <w:rFonts w:ascii="宋体" w:hAnsi="宋体" w:cs="宋体" w:eastAsia="宋体" w:hint="default"/>
                <w:spacing w:val="-13"/>
                <w:sz w:val="15"/>
                <w:szCs w:val="15"/>
              </w:rPr>
              <w:t> </w:t>
            </w:r>
            <w:r>
              <w:rPr>
                <w:rFonts w:ascii="宋体" w:hAnsi="宋体" w:cs="宋体" w:eastAsia="宋体" w:hint="default"/>
                <w:spacing w:val="-5"/>
                <w:sz w:val="15"/>
                <w:szCs w:val="15"/>
              </w:rPr>
              <w:t>50%</w:t>
            </w:r>
            <w:r>
              <w:rPr>
                <w:rFonts w:ascii="宋体" w:hAnsi="宋体" w:cs="宋体" w:eastAsia="宋体" w:hint="default"/>
                <w:spacing w:val="-5"/>
                <w:sz w:val="15"/>
                <w:szCs w:val="15"/>
              </w:rPr>
              <w:t>、</w:t>
            </w:r>
            <w:r>
              <w:rPr>
                <w:rFonts w:ascii="宋体" w:hAnsi="宋体" w:cs="宋体" w:eastAsia="宋体" w:hint="default"/>
                <w:spacing w:val="-5"/>
                <w:sz w:val="15"/>
                <w:szCs w:val="15"/>
              </w:rPr>
              <w:t>50%</w:t>
            </w:r>
            <w:r>
              <w:rPr>
                <w:rFonts w:ascii="宋体" w:hAnsi="宋体" w:cs="宋体" w:eastAsia="宋体" w:hint="default"/>
                <w:spacing w:val="-5"/>
                <w:sz w:val="15"/>
                <w:szCs w:val="15"/>
              </w:rPr>
              <w:t>。公司董事、高级管理人员所持股</w:t>
            </w:r>
            <w:r>
              <w:rPr>
                <w:rFonts w:ascii="宋体" w:hAnsi="宋体" w:cs="宋体" w:eastAsia="宋体" w:hint="default"/>
                <w:spacing w:val="-58"/>
                <w:sz w:val="15"/>
                <w:szCs w:val="15"/>
              </w:rPr>
              <w:t> </w:t>
            </w:r>
            <w:r>
              <w:rPr>
                <w:rFonts w:ascii="宋体" w:hAnsi="宋体" w:cs="宋体" w:eastAsia="宋体" w:hint="default"/>
                <w:spacing w:val="-58"/>
                <w:sz w:val="15"/>
                <w:szCs w:val="15"/>
              </w:rPr>
            </w:r>
            <w:r>
              <w:rPr>
                <w:rFonts w:ascii="宋体" w:hAnsi="宋体" w:cs="宋体" w:eastAsia="宋体" w:hint="default"/>
                <w:spacing w:val="-3"/>
                <w:sz w:val="15"/>
                <w:szCs w:val="15"/>
              </w:rPr>
              <w:t>份的转让应当符合《公司法》和《证券法》等法律法规</w:t>
            </w:r>
            <w:r>
              <w:rPr>
                <w:rFonts w:ascii="宋体" w:hAnsi="宋体" w:cs="宋体" w:eastAsia="宋体" w:hint="default"/>
                <w:spacing w:val="-30"/>
                <w:sz w:val="15"/>
                <w:szCs w:val="15"/>
              </w:rPr>
              <w:t> </w:t>
            </w:r>
            <w:r>
              <w:rPr>
                <w:rFonts w:ascii="宋体" w:hAnsi="宋体" w:cs="宋体" w:eastAsia="宋体" w:hint="default"/>
                <w:spacing w:val="-30"/>
                <w:sz w:val="15"/>
                <w:szCs w:val="15"/>
              </w:rPr>
            </w:r>
            <w:r>
              <w:rPr>
                <w:rFonts w:ascii="宋体" w:hAnsi="宋体" w:cs="宋体" w:eastAsia="宋体" w:hint="default"/>
                <w:sz w:val="15"/>
                <w:szCs w:val="15"/>
              </w:rPr>
              <w:t>和规范性文件以及《公司章程》的相关规定。</w:t>
            </w:r>
            <w:r>
              <w:rPr>
                <w:rFonts w:ascii="宋体" w:hAnsi="宋体" w:cs="宋体" w:eastAsia="宋体" w:hint="default"/>
                <w:sz w:val="18"/>
                <w:szCs w:val="18"/>
              </w:rPr>
              <w:t> </w:t>
            </w:r>
          </w:p>
        </w:tc>
      </w:tr>
      <w:tr>
        <w:trPr>
          <w:trHeight w:val="355"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12"/>
              <w:jc w:val="right"/>
              <w:rPr>
                <w:rFonts w:ascii="宋体" w:hAnsi="宋体" w:cs="宋体" w:eastAsia="宋体" w:hint="default"/>
                <w:sz w:val="18"/>
                <w:szCs w:val="18"/>
              </w:rPr>
            </w:pPr>
            <w:r>
              <w:rPr>
                <w:rFonts w:ascii="宋体"/>
                <w:sz w:val="18"/>
              </w:rPr>
              <w:t>2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87" w:right="0"/>
              <w:jc w:val="center"/>
              <w:rPr>
                <w:rFonts w:ascii="宋体" w:hAnsi="宋体" w:cs="宋体" w:eastAsia="宋体" w:hint="default"/>
                <w:sz w:val="18"/>
                <w:szCs w:val="18"/>
              </w:rPr>
            </w:pPr>
            <w:r>
              <w:rPr>
                <w:rFonts w:ascii="宋体" w:hAnsi="宋体" w:cs="宋体" w:eastAsia="宋体" w:hint="default"/>
                <w:sz w:val="18"/>
                <w:szCs w:val="18"/>
              </w:rPr>
              <w:t>方壮志</w:t>
            </w:r>
            <w:r>
              <w:rPr>
                <w:rFonts w:ascii="宋体" w:hAnsi="宋体" w:cs="宋体" w:eastAsia="宋体" w:hint="default"/>
                <w:sz w:val="18"/>
                <w:szCs w:val="18"/>
              </w:rPr>
              <w:t> </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3"/>
              <w:jc w:val="right"/>
              <w:rPr>
                <w:rFonts w:ascii="宋体" w:hAnsi="宋体" w:cs="宋体" w:eastAsia="宋体" w:hint="default"/>
                <w:sz w:val="18"/>
                <w:szCs w:val="18"/>
              </w:rPr>
            </w:pPr>
            <w:r>
              <w:rPr>
                <w:rFonts w:ascii="宋体"/>
                <w:spacing w:val="-1"/>
                <w:sz w:val="18"/>
              </w:rPr>
              <w:t>200,000</w:t>
            </w:r>
            <w:r>
              <w:rPr>
                <w:rFonts w:ascii="宋体"/>
                <w:sz w:val="18"/>
              </w:rPr>
              <w:t> </w:t>
            </w:r>
          </w:p>
        </w:tc>
        <w:tc>
          <w:tcPr>
            <w:tcW w:w="960" w:type="dxa"/>
            <w:vMerge/>
            <w:tcBorders>
              <w:left w:val="single" w:sz="4" w:space="0" w:color="000000"/>
              <w:right w:val="single" w:sz="4" w:space="0" w:color="000000"/>
            </w:tcBorders>
          </w:tcPr>
          <w:p>
            <w:pPr/>
          </w:p>
        </w:tc>
        <w:tc>
          <w:tcPr>
            <w:tcW w:w="1596" w:type="dxa"/>
            <w:vMerge/>
            <w:tcBorders>
              <w:left w:val="single" w:sz="4" w:space="0" w:color="000000"/>
              <w:right w:val="single" w:sz="4" w:space="0" w:color="000000"/>
            </w:tcBorders>
          </w:tcPr>
          <w:p>
            <w:pPr/>
          </w:p>
        </w:tc>
        <w:tc>
          <w:tcPr>
            <w:tcW w:w="3793" w:type="dxa"/>
            <w:vMerge/>
            <w:tcBorders>
              <w:left w:val="single" w:sz="4" w:space="0" w:color="000000"/>
              <w:right w:val="single" w:sz="4" w:space="0" w:color="000000"/>
            </w:tcBorders>
          </w:tcPr>
          <w:p>
            <w:pPr/>
          </w:p>
        </w:tc>
      </w:tr>
      <w:tr>
        <w:trPr>
          <w:trHeight w:val="355"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12"/>
              <w:jc w:val="right"/>
              <w:rPr>
                <w:rFonts w:ascii="宋体" w:hAnsi="宋体" w:cs="宋体" w:eastAsia="宋体" w:hint="default"/>
                <w:sz w:val="18"/>
                <w:szCs w:val="18"/>
              </w:rPr>
            </w:pPr>
            <w:r>
              <w:rPr>
                <w:rFonts w:ascii="宋体"/>
                <w:sz w:val="18"/>
              </w:rPr>
              <w:t>3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87" w:right="0"/>
              <w:jc w:val="center"/>
              <w:rPr>
                <w:rFonts w:ascii="宋体" w:hAnsi="宋体" w:cs="宋体" w:eastAsia="宋体" w:hint="default"/>
                <w:sz w:val="18"/>
                <w:szCs w:val="18"/>
              </w:rPr>
            </w:pPr>
            <w:r>
              <w:rPr>
                <w:rFonts w:ascii="宋体" w:hAnsi="宋体" w:cs="宋体" w:eastAsia="宋体" w:hint="default"/>
                <w:sz w:val="18"/>
                <w:szCs w:val="18"/>
              </w:rPr>
              <w:t>朱德省</w:t>
            </w:r>
            <w:r>
              <w:rPr>
                <w:rFonts w:ascii="宋体" w:hAnsi="宋体" w:cs="宋体" w:eastAsia="宋体" w:hint="default"/>
                <w:sz w:val="18"/>
                <w:szCs w:val="18"/>
              </w:rPr>
              <w:t> </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3"/>
              <w:jc w:val="right"/>
              <w:rPr>
                <w:rFonts w:ascii="宋体" w:hAnsi="宋体" w:cs="宋体" w:eastAsia="宋体" w:hint="default"/>
                <w:sz w:val="18"/>
                <w:szCs w:val="18"/>
              </w:rPr>
            </w:pPr>
            <w:r>
              <w:rPr>
                <w:rFonts w:ascii="宋体"/>
                <w:spacing w:val="-1"/>
                <w:sz w:val="18"/>
              </w:rPr>
              <w:t>165,000</w:t>
            </w:r>
            <w:r>
              <w:rPr>
                <w:rFonts w:ascii="宋体"/>
                <w:sz w:val="18"/>
              </w:rPr>
              <w:t> </w:t>
            </w:r>
          </w:p>
        </w:tc>
        <w:tc>
          <w:tcPr>
            <w:tcW w:w="960" w:type="dxa"/>
            <w:vMerge/>
            <w:tcBorders>
              <w:left w:val="single" w:sz="4" w:space="0" w:color="000000"/>
              <w:right w:val="single" w:sz="4" w:space="0" w:color="000000"/>
            </w:tcBorders>
          </w:tcPr>
          <w:p>
            <w:pPr/>
          </w:p>
        </w:tc>
        <w:tc>
          <w:tcPr>
            <w:tcW w:w="1596" w:type="dxa"/>
            <w:vMerge/>
            <w:tcBorders>
              <w:left w:val="single" w:sz="4" w:space="0" w:color="000000"/>
              <w:right w:val="single" w:sz="4" w:space="0" w:color="000000"/>
            </w:tcBorders>
          </w:tcPr>
          <w:p>
            <w:pPr/>
          </w:p>
        </w:tc>
        <w:tc>
          <w:tcPr>
            <w:tcW w:w="3793" w:type="dxa"/>
            <w:vMerge/>
            <w:tcBorders>
              <w:left w:val="single" w:sz="4" w:space="0" w:color="000000"/>
              <w:right w:val="single" w:sz="4" w:space="0" w:color="000000"/>
            </w:tcBorders>
          </w:tcPr>
          <w:p>
            <w:pPr/>
          </w:p>
        </w:tc>
      </w:tr>
      <w:tr>
        <w:trPr>
          <w:trHeight w:val="355"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12"/>
              <w:jc w:val="right"/>
              <w:rPr>
                <w:rFonts w:ascii="宋体" w:hAnsi="宋体" w:cs="宋体" w:eastAsia="宋体" w:hint="default"/>
                <w:sz w:val="18"/>
                <w:szCs w:val="18"/>
              </w:rPr>
            </w:pPr>
            <w:r>
              <w:rPr>
                <w:rFonts w:ascii="宋体"/>
                <w:sz w:val="18"/>
              </w:rPr>
              <w:t>4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87" w:right="0"/>
              <w:jc w:val="center"/>
              <w:rPr>
                <w:rFonts w:ascii="宋体" w:hAnsi="宋体" w:cs="宋体" w:eastAsia="宋体" w:hint="default"/>
                <w:sz w:val="18"/>
                <w:szCs w:val="18"/>
              </w:rPr>
            </w:pPr>
            <w:r>
              <w:rPr>
                <w:rFonts w:ascii="宋体" w:hAnsi="宋体" w:cs="宋体" w:eastAsia="宋体" w:hint="default"/>
                <w:sz w:val="18"/>
                <w:szCs w:val="18"/>
              </w:rPr>
              <w:t>陆云海</w:t>
            </w:r>
            <w:r>
              <w:rPr>
                <w:rFonts w:ascii="宋体" w:hAnsi="宋体" w:cs="宋体" w:eastAsia="宋体" w:hint="default"/>
                <w:sz w:val="18"/>
                <w:szCs w:val="18"/>
              </w:rPr>
              <w:t> </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3"/>
              <w:jc w:val="right"/>
              <w:rPr>
                <w:rFonts w:ascii="宋体" w:hAnsi="宋体" w:cs="宋体" w:eastAsia="宋体" w:hint="default"/>
                <w:sz w:val="18"/>
                <w:szCs w:val="18"/>
              </w:rPr>
            </w:pPr>
            <w:r>
              <w:rPr>
                <w:rFonts w:ascii="宋体"/>
                <w:spacing w:val="-1"/>
                <w:sz w:val="18"/>
              </w:rPr>
              <w:t>160,000</w:t>
            </w:r>
            <w:r>
              <w:rPr>
                <w:rFonts w:ascii="宋体"/>
                <w:sz w:val="18"/>
              </w:rPr>
              <w:t> </w:t>
            </w:r>
          </w:p>
        </w:tc>
        <w:tc>
          <w:tcPr>
            <w:tcW w:w="960" w:type="dxa"/>
            <w:vMerge/>
            <w:tcBorders>
              <w:left w:val="single" w:sz="4" w:space="0" w:color="000000"/>
              <w:right w:val="single" w:sz="4" w:space="0" w:color="000000"/>
            </w:tcBorders>
          </w:tcPr>
          <w:p>
            <w:pPr/>
          </w:p>
        </w:tc>
        <w:tc>
          <w:tcPr>
            <w:tcW w:w="1596" w:type="dxa"/>
            <w:vMerge/>
            <w:tcBorders>
              <w:left w:val="single" w:sz="4" w:space="0" w:color="000000"/>
              <w:right w:val="single" w:sz="4" w:space="0" w:color="000000"/>
            </w:tcBorders>
          </w:tcPr>
          <w:p>
            <w:pPr/>
          </w:p>
        </w:tc>
        <w:tc>
          <w:tcPr>
            <w:tcW w:w="3793" w:type="dxa"/>
            <w:vMerge/>
            <w:tcBorders>
              <w:left w:val="single" w:sz="4" w:space="0" w:color="000000"/>
              <w:right w:val="single" w:sz="4" w:space="0" w:color="000000"/>
            </w:tcBorders>
          </w:tcPr>
          <w:p>
            <w:pPr/>
          </w:p>
        </w:tc>
      </w:tr>
      <w:tr>
        <w:trPr>
          <w:trHeight w:val="355"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12"/>
              <w:jc w:val="right"/>
              <w:rPr>
                <w:rFonts w:ascii="宋体" w:hAnsi="宋体" w:cs="宋体" w:eastAsia="宋体" w:hint="default"/>
                <w:sz w:val="18"/>
                <w:szCs w:val="18"/>
              </w:rPr>
            </w:pPr>
            <w:r>
              <w:rPr>
                <w:rFonts w:ascii="宋体"/>
                <w:sz w:val="18"/>
              </w:rPr>
              <w:t>5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87" w:right="0"/>
              <w:jc w:val="center"/>
              <w:rPr>
                <w:rFonts w:ascii="宋体" w:hAnsi="宋体" w:cs="宋体" w:eastAsia="宋体" w:hint="default"/>
                <w:sz w:val="18"/>
                <w:szCs w:val="18"/>
              </w:rPr>
            </w:pPr>
            <w:r>
              <w:rPr>
                <w:rFonts w:ascii="宋体" w:hAnsi="宋体" w:cs="宋体" w:eastAsia="宋体" w:hint="default"/>
                <w:sz w:val="18"/>
                <w:szCs w:val="18"/>
              </w:rPr>
              <w:t>陆寒熹</w:t>
            </w:r>
            <w:r>
              <w:rPr>
                <w:rFonts w:ascii="宋体" w:hAnsi="宋体" w:cs="宋体" w:eastAsia="宋体" w:hint="default"/>
                <w:sz w:val="18"/>
                <w:szCs w:val="18"/>
              </w:rPr>
              <w:t> </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3"/>
              <w:jc w:val="right"/>
              <w:rPr>
                <w:rFonts w:ascii="宋体" w:hAnsi="宋体" w:cs="宋体" w:eastAsia="宋体" w:hint="default"/>
                <w:sz w:val="18"/>
                <w:szCs w:val="18"/>
              </w:rPr>
            </w:pPr>
            <w:r>
              <w:rPr>
                <w:rFonts w:ascii="宋体"/>
                <w:spacing w:val="-1"/>
                <w:sz w:val="18"/>
              </w:rPr>
              <w:t>140,000</w:t>
            </w:r>
            <w:r>
              <w:rPr>
                <w:rFonts w:ascii="宋体"/>
                <w:sz w:val="18"/>
              </w:rPr>
              <w:t> </w:t>
            </w:r>
          </w:p>
        </w:tc>
        <w:tc>
          <w:tcPr>
            <w:tcW w:w="960" w:type="dxa"/>
            <w:vMerge/>
            <w:tcBorders>
              <w:left w:val="single" w:sz="4" w:space="0" w:color="000000"/>
              <w:right w:val="single" w:sz="4" w:space="0" w:color="000000"/>
            </w:tcBorders>
          </w:tcPr>
          <w:p>
            <w:pPr/>
          </w:p>
        </w:tc>
        <w:tc>
          <w:tcPr>
            <w:tcW w:w="1596" w:type="dxa"/>
            <w:vMerge/>
            <w:tcBorders>
              <w:left w:val="single" w:sz="4" w:space="0" w:color="000000"/>
              <w:right w:val="single" w:sz="4" w:space="0" w:color="000000"/>
            </w:tcBorders>
          </w:tcPr>
          <w:p>
            <w:pPr/>
          </w:p>
        </w:tc>
        <w:tc>
          <w:tcPr>
            <w:tcW w:w="3793" w:type="dxa"/>
            <w:vMerge/>
            <w:tcBorders>
              <w:left w:val="single" w:sz="4" w:space="0" w:color="000000"/>
              <w:right w:val="single" w:sz="4" w:space="0" w:color="000000"/>
            </w:tcBorders>
          </w:tcPr>
          <w:p>
            <w:pPr/>
          </w:p>
        </w:tc>
      </w:tr>
      <w:tr>
        <w:trPr>
          <w:trHeight w:val="35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12"/>
              <w:jc w:val="right"/>
              <w:rPr>
                <w:rFonts w:ascii="宋体" w:hAnsi="宋体" w:cs="宋体" w:eastAsia="宋体" w:hint="default"/>
                <w:sz w:val="18"/>
                <w:szCs w:val="18"/>
              </w:rPr>
            </w:pPr>
            <w:r>
              <w:rPr>
                <w:rFonts w:ascii="宋体"/>
                <w:sz w:val="18"/>
              </w:rPr>
              <w:t>6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90" w:right="0"/>
              <w:jc w:val="center"/>
              <w:rPr>
                <w:rFonts w:ascii="宋体" w:hAnsi="宋体" w:cs="宋体" w:eastAsia="宋体" w:hint="default"/>
                <w:sz w:val="18"/>
                <w:szCs w:val="18"/>
              </w:rPr>
            </w:pPr>
            <w:r>
              <w:rPr>
                <w:rFonts w:ascii="宋体" w:hAnsi="宋体" w:cs="宋体" w:eastAsia="宋体" w:hint="default"/>
                <w:sz w:val="18"/>
                <w:szCs w:val="18"/>
              </w:rPr>
              <w:t>陆健</w:t>
            </w:r>
            <w:r>
              <w:rPr>
                <w:rFonts w:ascii="宋体" w:hAnsi="宋体" w:cs="宋体" w:eastAsia="宋体" w:hint="default"/>
                <w:sz w:val="18"/>
                <w:szCs w:val="18"/>
              </w:rPr>
              <w:t> </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3"/>
              <w:jc w:val="right"/>
              <w:rPr>
                <w:rFonts w:ascii="宋体" w:hAnsi="宋体" w:cs="宋体" w:eastAsia="宋体" w:hint="default"/>
                <w:sz w:val="18"/>
                <w:szCs w:val="18"/>
              </w:rPr>
            </w:pPr>
            <w:r>
              <w:rPr>
                <w:rFonts w:ascii="宋体"/>
                <w:spacing w:val="-1"/>
                <w:sz w:val="18"/>
              </w:rPr>
              <w:t>140,000</w:t>
            </w:r>
            <w:r>
              <w:rPr>
                <w:rFonts w:ascii="宋体"/>
                <w:sz w:val="18"/>
              </w:rPr>
              <w:t> </w:t>
            </w:r>
          </w:p>
        </w:tc>
        <w:tc>
          <w:tcPr>
            <w:tcW w:w="960" w:type="dxa"/>
            <w:vMerge/>
            <w:tcBorders>
              <w:left w:val="single" w:sz="4" w:space="0" w:color="000000"/>
              <w:right w:val="single" w:sz="4" w:space="0" w:color="000000"/>
            </w:tcBorders>
          </w:tcPr>
          <w:p>
            <w:pPr/>
          </w:p>
        </w:tc>
        <w:tc>
          <w:tcPr>
            <w:tcW w:w="1596" w:type="dxa"/>
            <w:vMerge/>
            <w:tcBorders>
              <w:left w:val="single" w:sz="4" w:space="0" w:color="000000"/>
              <w:right w:val="single" w:sz="4" w:space="0" w:color="000000"/>
            </w:tcBorders>
          </w:tcPr>
          <w:p>
            <w:pPr/>
          </w:p>
        </w:tc>
        <w:tc>
          <w:tcPr>
            <w:tcW w:w="3793" w:type="dxa"/>
            <w:vMerge/>
            <w:tcBorders>
              <w:left w:val="single" w:sz="4" w:space="0" w:color="000000"/>
              <w:right w:val="single" w:sz="4" w:space="0" w:color="000000"/>
            </w:tcBorders>
          </w:tcPr>
          <w:p>
            <w:pPr/>
          </w:p>
        </w:tc>
      </w:tr>
      <w:tr>
        <w:trPr>
          <w:trHeight w:val="355"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12"/>
              <w:jc w:val="right"/>
              <w:rPr>
                <w:rFonts w:ascii="宋体" w:hAnsi="宋体" w:cs="宋体" w:eastAsia="宋体" w:hint="default"/>
                <w:sz w:val="18"/>
                <w:szCs w:val="18"/>
              </w:rPr>
            </w:pPr>
            <w:r>
              <w:rPr>
                <w:rFonts w:ascii="宋体"/>
                <w:sz w:val="18"/>
              </w:rPr>
              <w:t>7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87" w:right="0"/>
              <w:jc w:val="center"/>
              <w:rPr>
                <w:rFonts w:ascii="宋体" w:hAnsi="宋体" w:cs="宋体" w:eastAsia="宋体" w:hint="default"/>
                <w:sz w:val="18"/>
                <w:szCs w:val="18"/>
              </w:rPr>
            </w:pPr>
            <w:r>
              <w:rPr>
                <w:rFonts w:ascii="宋体" w:hAnsi="宋体" w:cs="宋体" w:eastAsia="宋体" w:hint="default"/>
                <w:sz w:val="18"/>
                <w:szCs w:val="18"/>
              </w:rPr>
              <w:t>崔东旭</w:t>
            </w:r>
            <w:r>
              <w:rPr>
                <w:rFonts w:ascii="宋体" w:hAnsi="宋体" w:cs="宋体" w:eastAsia="宋体" w:hint="default"/>
                <w:sz w:val="18"/>
                <w:szCs w:val="18"/>
              </w:rPr>
              <w:t> </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3"/>
              <w:jc w:val="right"/>
              <w:rPr>
                <w:rFonts w:ascii="宋体" w:hAnsi="宋体" w:cs="宋体" w:eastAsia="宋体" w:hint="default"/>
                <w:sz w:val="18"/>
                <w:szCs w:val="18"/>
              </w:rPr>
            </w:pPr>
            <w:r>
              <w:rPr>
                <w:rFonts w:ascii="宋体"/>
                <w:spacing w:val="-1"/>
                <w:sz w:val="18"/>
              </w:rPr>
              <w:t>130,000</w:t>
            </w:r>
            <w:r>
              <w:rPr>
                <w:rFonts w:ascii="宋体"/>
                <w:sz w:val="18"/>
              </w:rPr>
              <w:t> </w:t>
            </w:r>
          </w:p>
        </w:tc>
        <w:tc>
          <w:tcPr>
            <w:tcW w:w="960" w:type="dxa"/>
            <w:vMerge/>
            <w:tcBorders>
              <w:left w:val="single" w:sz="4" w:space="0" w:color="000000"/>
              <w:right w:val="single" w:sz="4" w:space="0" w:color="000000"/>
            </w:tcBorders>
          </w:tcPr>
          <w:p>
            <w:pPr/>
          </w:p>
        </w:tc>
        <w:tc>
          <w:tcPr>
            <w:tcW w:w="1596" w:type="dxa"/>
            <w:vMerge/>
            <w:tcBorders>
              <w:left w:val="single" w:sz="4" w:space="0" w:color="000000"/>
              <w:right w:val="single" w:sz="4" w:space="0" w:color="000000"/>
            </w:tcBorders>
          </w:tcPr>
          <w:p>
            <w:pPr/>
          </w:p>
        </w:tc>
        <w:tc>
          <w:tcPr>
            <w:tcW w:w="3793" w:type="dxa"/>
            <w:vMerge/>
            <w:tcBorders>
              <w:left w:val="single" w:sz="4" w:space="0" w:color="000000"/>
              <w:right w:val="single" w:sz="4" w:space="0" w:color="000000"/>
            </w:tcBorders>
          </w:tcPr>
          <w:p>
            <w:pPr/>
          </w:p>
        </w:tc>
      </w:tr>
      <w:tr>
        <w:trPr>
          <w:trHeight w:val="355"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12"/>
              <w:jc w:val="right"/>
              <w:rPr>
                <w:rFonts w:ascii="宋体" w:hAnsi="宋体" w:cs="宋体" w:eastAsia="宋体" w:hint="default"/>
                <w:sz w:val="18"/>
                <w:szCs w:val="18"/>
              </w:rPr>
            </w:pPr>
            <w:r>
              <w:rPr>
                <w:rFonts w:ascii="宋体"/>
                <w:sz w:val="18"/>
              </w:rPr>
              <w:t>8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87" w:right="0"/>
              <w:jc w:val="center"/>
              <w:rPr>
                <w:rFonts w:ascii="宋体" w:hAnsi="宋体" w:cs="宋体" w:eastAsia="宋体" w:hint="default"/>
                <w:sz w:val="18"/>
                <w:szCs w:val="18"/>
              </w:rPr>
            </w:pPr>
            <w:r>
              <w:rPr>
                <w:rFonts w:ascii="宋体" w:hAnsi="宋体" w:cs="宋体" w:eastAsia="宋体" w:hint="default"/>
                <w:sz w:val="18"/>
                <w:szCs w:val="18"/>
              </w:rPr>
              <w:t>陈金敏</w:t>
            </w:r>
            <w:r>
              <w:rPr>
                <w:rFonts w:ascii="宋体" w:hAnsi="宋体" w:cs="宋体" w:eastAsia="宋体" w:hint="default"/>
                <w:sz w:val="18"/>
                <w:szCs w:val="18"/>
              </w:rPr>
              <w:t> </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3"/>
              <w:jc w:val="right"/>
              <w:rPr>
                <w:rFonts w:ascii="宋体" w:hAnsi="宋体" w:cs="宋体" w:eastAsia="宋体" w:hint="default"/>
                <w:sz w:val="18"/>
                <w:szCs w:val="18"/>
              </w:rPr>
            </w:pPr>
            <w:r>
              <w:rPr>
                <w:rFonts w:ascii="宋体"/>
                <w:spacing w:val="-1"/>
                <w:sz w:val="18"/>
              </w:rPr>
              <w:t>125,000</w:t>
            </w:r>
            <w:r>
              <w:rPr>
                <w:rFonts w:ascii="宋体"/>
                <w:sz w:val="18"/>
              </w:rPr>
              <w:t> </w:t>
            </w:r>
          </w:p>
        </w:tc>
        <w:tc>
          <w:tcPr>
            <w:tcW w:w="960" w:type="dxa"/>
            <w:vMerge/>
            <w:tcBorders>
              <w:left w:val="single" w:sz="4" w:space="0" w:color="000000"/>
              <w:right w:val="single" w:sz="4" w:space="0" w:color="000000"/>
            </w:tcBorders>
          </w:tcPr>
          <w:p>
            <w:pPr/>
          </w:p>
        </w:tc>
        <w:tc>
          <w:tcPr>
            <w:tcW w:w="1596" w:type="dxa"/>
            <w:vMerge/>
            <w:tcBorders>
              <w:left w:val="single" w:sz="4" w:space="0" w:color="000000"/>
              <w:right w:val="single" w:sz="4" w:space="0" w:color="000000"/>
            </w:tcBorders>
          </w:tcPr>
          <w:p>
            <w:pPr/>
          </w:p>
        </w:tc>
        <w:tc>
          <w:tcPr>
            <w:tcW w:w="3793" w:type="dxa"/>
            <w:vMerge/>
            <w:tcBorders>
              <w:left w:val="single" w:sz="4" w:space="0" w:color="000000"/>
              <w:right w:val="single" w:sz="4" w:space="0" w:color="000000"/>
            </w:tcBorders>
          </w:tcPr>
          <w:p>
            <w:pPr/>
          </w:p>
        </w:tc>
      </w:tr>
      <w:tr>
        <w:trPr>
          <w:trHeight w:val="355"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12"/>
              <w:jc w:val="right"/>
              <w:rPr>
                <w:rFonts w:ascii="宋体" w:hAnsi="宋体" w:cs="宋体" w:eastAsia="宋体" w:hint="default"/>
                <w:sz w:val="18"/>
                <w:szCs w:val="18"/>
              </w:rPr>
            </w:pPr>
            <w:r>
              <w:rPr>
                <w:rFonts w:ascii="宋体"/>
                <w:sz w:val="18"/>
              </w:rPr>
              <w:t>9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87" w:right="0"/>
              <w:jc w:val="center"/>
              <w:rPr>
                <w:rFonts w:ascii="宋体" w:hAnsi="宋体" w:cs="宋体" w:eastAsia="宋体" w:hint="default"/>
                <w:sz w:val="18"/>
                <w:szCs w:val="18"/>
              </w:rPr>
            </w:pPr>
            <w:r>
              <w:rPr>
                <w:rFonts w:ascii="宋体" w:hAnsi="宋体" w:cs="宋体" w:eastAsia="宋体" w:hint="default"/>
                <w:sz w:val="18"/>
                <w:szCs w:val="18"/>
              </w:rPr>
              <w:t>林少武</w:t>
            </w:r>
            <w:r>
              <w:rPr>
                <w:rFonts w:ascii="宋体" w:hAnsi="宋体" w:cs="宋体" w:eastAsia="宋体" w:hint="default"/>
                <w:sz w:val="18"/>
                <w:szCs w:val="18"/>
              </w:rPr>
              <w:t> </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3"/>
              <w:jc w:val="right"/>
              <w:rPr>
                <w:rFonts w:ascii="宋体" w:hAnsi="宋体" w:cs="宋体" w:eastAsia="宋体" w:hint="default"/>
                <w:sz w:val="18"/>
                <w:szCs w:val="18"/>
              </w:rPr>
            </w:pPr>
            <w:r>
              <w:rPr>
                <w:rFonts w:ascii="宋体"/>
                <w:spacing w:val="-1"/>
                <w:sz w:val="18"/>
              </w:rPr>
              <w:t>120,000</w:t>
            </w:r>
            <w:r>
              <w:rPr>
                <w:rFonts w:ascii="宋体"/>
                <w:sz w:val="18"/>
              </w:rPr>
              <w:t> </w:t>
            </w:r>
          </w:p>
        </w:tc>
        <w:tc>
          <w:tcPr>
            <w:tcW w:w="960" w:type="dxa"/>
            <w:vMerge/>
            <w:tcBorders>
              <w:left w:val="single" w:sz="4" w:space="0" w:color="000000"/>
              <w:right w:val="single" w:sz="4" w:space="0" w:color="000000"/>
            </w:tcBorders>
          </w:tcPr>
          <w:p>
            <w:pPr/>
          </w:p>
        </w:tc>
        <w:tc>
          <w:tcPr>
            <w:tcW w:w="1596" w:type="dxa"/>
            <w:vMerge/>
            <w:tcBorders>
              <w:left w:val="single" w:sz="4" w:space="0" w:color="000000"/>
              <w:right w:val="single" w:sz="4" w:space="0" w:color="000000"/>
            </w:tcBorders>
          </w:tcPr>
          <w:p>
            <w:pPr/>
          </w:p>
        </w:tc>
        <w:tc>
          <w:tcPr>
            <w:tcW w:w="3793" w:type="dxa"/>
            <w:vMerge/>
            <w:tcBorders>
              <w:left w:val="single" w:sz="4" w:space="0" w:color="000000"/>
              <w:right w:val="single" w:sz="4" w:space="0" w:color="000000"/>
            </w:tcBorders>
          </w:tcPr>
          <w:p>
            <w:pPr/>
          </w:p>
        </w:tc>
      </w:tr>
      <w:tr>
        <w:trPr>
          <w:trHeight w:val="356"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67"/>
              <w:jc w:val="right"/>
              <w:rPr>
                <w:rFonts w:ascii="宋体" w:hAnsi="宋体" w:cs="宋体" w:eastAsia="宋体" w:hint="default"/>
                <w:sz w:val="18"/>
                <w:szCs w:val="18"/>
              </w:rPr>
            </w:pPr>
            <w:r>
              <w:rPr>
                <w:rFonts w:ascii="宋体"/>
                <w:spacing w:val="-1"/>
                <w:sz w:val="18"/>
              </w:rPr>
              <w:t>10</w:t>
            </w:r>
            <w:r>
              <w:rPr>
                <w:rFonts w:ascii="宋体"/>
                <w:sz w:val="18"/>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87" w:right="0"/>
              <w:jc w:val="center"/>
              <w:rPr>
                <w:rFonts w:ascii="宋体" w:hAnsi="宋体" w:cs="宋体" w:eastAsia="宋体" w:hint="default"/>
                <w:sz w:val="18"/>
                <w:szCs w:val="18"/>
              </w:rPr>
            </w:pPr>
            <w:r>
              <w:rPr>
                <w:rFonts w:ascii="宋体" w:hAnsi="宋体" w:cs="宋体" w:eastAsia="宋体" w:hint="default"/>
                <w:sz w:val="18"/>
                <w:szCs w:val="18"/>
              </w:rPr>
              <w:t>施卫兵</w:t>
            </w:r>
            <w:r>
              <w:rPr>
                <w:rFonts w:ascii="宋体" w:hAnsi="宋体" w:cs="宋体" w:eastAsia="宋体" w:hint="default"/>
                <w:sz w:val="18"/>
                <w:szCs w:val="18"/>
              </w:rPr>
              <w:t> </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3"/>
              <w:jc w:val="right"/>
              <w:rPr>
                <w:rFonts w:ascii="宋体" w:hAnsi="宋体" w:cs="宋体" w:eastAsia="宋体" w:hint="default"/>
                <w:sz w:val="18"/>
                <w:szCs w:val="18"/>
              </w:rPr>
            </w:pPr>
            <w:r>
              <w:rPr>
                <w:rFonts w:ascii="宋体"/>
                <w:spacing w:val="-1"/>
                <w:sz w:val="18"/>
              </w:rPr>
              <w:t>120,000</w:t>
            </w:r>
            <w:r>
              <w:rPr>
                <w:rFonts w:ascii="宋体"/>
                <w:sz w:val="18"/>
              </w:rPr>
              <w:t> </w:t>
            </w:r>
          </w:p>
        </w:tc>
        <w:tc>
          <w:tcPr>
            <w:tcW w:w="960" w:type="dxa"/>
            <w:vMerge/>
            <w:tcBorders>
              <w:left w:val="single" w:sz="4" w:space="0" w:color="000000"/>
              <w:bottom w:val="single" w:sz="4" w:space="0" w:color="000000"/>
              <w:right w:val="single" w:sz="4" w:space="0" w:color="000000"/>
            </w:tcBorders>
          </w:tcPr>
          <w:p>
            <w:pPr/>
          </w:p>
        </w:tc>
        <w:tc>
          <w:tcPr>
            <w:tcW w:w="1596" w:type="dxa"/>
            <w:vMerge/>
            <w:tcBorders>
              <w:left w:val="single" w:sz="4" w:space="0" w:color="000000"/>
              <w:bottom w:val="single" w:sz="4" w:space="0" w:color="000000"/>
              <w:right w:val="single" w:sz="4" w:space="0" w:color="000000"/>
            </w:tcBorders>
          </w:tcPr>
          <w:p>
            <w:pPr/>
          </w:p>
        </w:tc>
        <w:tc>
          <w:tcPr>
            <w:tcW w:w="3793" w:type="dxa"/>
            <w:vMerge/>
            <w:tcBorders>
              <w:left w:val="single" w:sz="4" w:space="0" w:color="000000"/>
              <w:bottom w:val="single" w:sz="4" w:space="0" w:color="000000"/>
              <w:right w:val="single" w:sz="4" w:space="0" w:color="000000"/>
            </w:tcBorders>
          </w:tcPr>
          <w:p>
            <w:pPr/>
          </w:p>
        </w:tc>
      </w:tr>
      <w:tr>
        <w:trPr>
          <w:trHeight w:val="634" w:hRule="exact"/>
        </w:trPr>
        <w:tc>
          <w:tcPr>
            <w:tcW w:w="1985"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249"/>
              <w:jc w:val="left"/>
              <w:rPr>
                <w:rFonts w:ascii="宋体" w:hAnsi="宋体" w:cs="宋体" w:eastAsia="宋体" w:hint="default"/>
                <w:sz w:val="18"/>
                <w:szCs w:val="18"/>
              </w:rPr>
            </w:pPr>
            <w:r>
              <w:rPr>
                <w:rFonts w:ascii="宋体" w:hAnsi="宋体" w:cs="宋体" w:eastAsia="宋体" w:hint="default"/>
                <w:sz w:val="18"/>
                <w:szCs w:val="18"/>
              </w:rPr>
              <w:t>上述股东关联关系或 一致行动的说明</w:t>
            </w:r>
            <w:r>
              <w:rPr>
                <w:rFonts w:ascii="宋体" w:hAnsi="宋体" w:cs="宋体" w:eastAsia="宋体" w:hint="default"/>
                <w:sz w:val="18"/>
                <w:szCs w:val="18"/>
              </w:rPr>
              <w:t> </w:t>
            </w:r>
          </w:p>
        </w:tc>
        <w:tc>
          <w:tcPr>
            <w:tcW w:w="7677"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上述前十名有限售条件股东均为公司第二期股权激励计划的部分激励对象。</w:t>
            </w:r>
            <w:r>
              <w:rPr>
                <w:rFonts w:ascii="宋体" w:hAnsi="宋体" w:cs="宋体" w:eastAsia="宋体" w:hint="default"/>
                <w:sz w:val="18"/>
                <w:szCs w:val="18"/>
              </w:rPr>
              <w:t> </w:t>
            </w:r>
          </w:p>
        </w:tc>
      </w:tr>
    </w:tbl>
    <w:p>
      <w:pPr>
        <w:spacing w:line="381" w:lineRule="auto" w:before="33"/>
        <w:ind w:left="518" w:right="0" w:firstLine="0"/>
        <w:jc w:val="left"/>
        <w:rPr>
          <w:rFonts w:ascii="宋体" w:hAnsi="宋体" w:cs="宋体" w:eastAsia="宋体" w:hint="default"/>
          <w:sz w:val="15"/>
          <w:szCs w:val="15"/>
        </w:rPr>
      </w:pPr>
      <w:r>
        <w:rPr>
          <w:rFonts w:ascii="宋体" w:hAnsi="宋体" w:cs="宋体" w:eastAsia="宋体" w:hint="default"/>
          <w:spacing w:val="-1"/>
          <w:sz w:val="15"/>
          <w:szCs w:val="15"/>
        </w:rPr>
        <w:t>注：因</w:t>
      </w:r>
      <w:r>
        <w:rPr>
          <w:rFonts w:ascii="宋体" w:hAnsi="宋体" w:cs="宋体" w:eastAsia="宋体" w:hint="default"/>
          <w:sz w:val="15"/>
          <w:szCs w:val="15"/>
        </w:rPr>
        <w:t> </w:t>
      </w:r>
      <w:r>
        <w:rPr>
          <w:rFonts w:ascii="宋体" w:hAnsi="宋体" w:cs="宋体" w:eastAsia="宋体" w:hint="default"/>
          <w:spacing w:val="-1"/>
          <w:sz w:val="15"/>
          <w:szCs w:val="15"/>
        </w:rPr>
        <w:t>2019</w:t>
      </w:r>
      <w:r>
        <w:rPr>
          <w:rFonts w:ascii="宋体" w:hAnsi="宋体" w:cs="宋体" w:eastAsia="宋体" w:hint="default"/>
          <w:sz w:val="15"/>
          <w:szCs w:val="15"/>
        </w:rPr>
        <w:t> </w:t>
      </w:r>
      <w:r>
        <w:rPr>
          <w:rFonts w:ascii="宋体" w:hAnsi="宋体" w:cs="宋体" w:eastAsia="宋体" w:hint="default"/>
          <w:spacing w:val="-2"/>
          <w:sz w:val="15"/>
          <w:szCs w:val="15"/>
        </w:rPr>
        <w:t>年度公司层面考核结果未能达到规定的业绩考核指标，第二次股权激励计划首次授予限制性股票第三次解锁条件和预留授</w:t>
      </w:r>
      <w:r>
        <w:rPr>
          <w:rFonts w:ascii="宋体" w:hAnsi="宋体" w:cs="宋体" w:eastAsia="宋体" w:hint="default"/>
          <w:spacing w:val="-50"/>
          <w:sz w:val="15"/>
          <w:szCs w:val="15"/>
        </w:rPr>
        <w:t> </w:t>
      </w:r>
      <w:r>
        <w:rPr>
          <w:rFonts w:ascii="宋体" w:hAnsi="宋体" w:cs="宋体" w:eastAsia="宋体" w:hint="default"/>
          <w:spacing w:val="-50"/>
          <w:sz w:val="15"/>
          <w:szCs w:val="15"/>
        </w:rPr>
      </w:r>
      <w:r>
        <w:rPr>
          <w:rFonts w:ascii="宋体" w:hAnsi="宋体" w:cs="宋体" w:eastAsia="宋体" w:hint="default"/>
          <w:sz w:val="15"/>
          <w:szCs w:val="15"/>
        </w:rPr>
        <w:t>予限制性股票第二次解锁条件未成就，故未达解锁条件的限制性股票将由公司回购注销。</w:t>
      </w:r>
      <w:r>
        <w:rPr>
          <w:rFonts w:ascii="宋体" w:hAnsi="宋体" w:cs="宋体" w:eastAsia="宋体" w:hint="default"/>
          <w:sz w:val="15"/>
          <w:szCs w:val="15"/>
        </w:rPr>
        <w:t> </w:t>
      </w:r>
    </w:p>
    <w:p>
      <w:pPr>
        <w:pStyle w:val="BodyText"/>
        <w:spacing w:line="256" w:lineRule="exact"/>
        <w:ind w:left="518" w:right="0"/>
        <w:jc w:val="left"/>
        <w:rPr>
          <w:rFonts w:ascii="宋体" w:hAnsi="宋体" w:cs="宋体" w:eastAsia="宋体" w:hint="default"/>
        </w:rPr>
      </w:pPr>
      <w:r>
        <w:rPr>
          <w:rFonts w:ascii="宋体"/>
          <w:w w:val="100"/>
        </w:rPr>
        <w:t> </w:t>
      </w:r>
    </w:p>
    <w:p>
      <w:pPr>
        <w:pStyle w:val="Heading3"/>
        <w:tabs>
          <w:tab w:pos="1084" w:val="left" w:leader="none"/>
        </w:tabs>
        <w:spacing w:line="240" w:lineRule="auto"/>
        <w:ind w:left="518" w:right="0"/>
        <w:jc w:val="left"/>
        <w:rPr>
          <w:b w:val="0"/>
          <w:bCs w:val="0"/>
        </w:rPr>
      </w:pPr>
      <w:r>
        <w:rPr>
          <w:rFonts w:ascii="Calibri" w:hAnsi="Calibri" w:cs="Calibri" w:eastAsia="Calibri" w:hint="default"/>
        </w:rPr>
        <w:t>(</w:t>
      </w:r>
      <w:r>
        <w:rPr/>
        <w:t>三</w:t>
      </w:r>
      <w:r>
        <w:rPr>
          <w:rFonts w:ascii="Calibri" w:hAnsi="Calibri" w:cs="Calibri" w:eastAsia="Calibri" w:hint="default"/>
        </w:rPr>
        <w:t>)</w:t>
        <w:tab/>
      </w:r>
      <w:r>
        <w:rPr/>
        <w:t>战略投资者或一般法人因配售新股成为前</w:t>
      </w:r>
      <w:r>
        <w:rPr>
          <w:spacing w:val="-53"/>
        </w:rPr>
        <w:t> </w:t>
      </w:r>
      <w:r>
        <w:rPr>
          <w:rFonts w:ascii="Calibri" w:hAnsi="Calibri" w:cs="Calibri" w:eastAsia="Calibri" w:hint="default"/>
        </w:rPr>
        <w:t>10</w:t>
      </w:r>
      <w:r>
        <w:rPr>
          <w:rFonts w:ascii="Calibri" w:hAnsi="Calibri" w:cs="Calibri" w:eastAsia="Calibri" w:hint="default"/>
          <w:spacing w:val="4"/>
        </w:rPr>
        <w:t> </w:t>
      </w:r>
      <w:r>
        <w:rPr/>
        <w:t>名股东</w:t>
      </w:r>
      <w:r>
        <w:rPr>
          <w:b w:val="0"/>
          <w:bCs w:val="0"/>
        </w:rPr>
      </w:r>
    </w:p>
    <w:p>
      <w:pPr>
        <w:pStyle w:val="BodyText"/>
        <w:spacing w:line="240" w:lineRule="auto" w:before="70"/>
        <w:ind w:left="51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left="518" w:right="0"/>
        <w:jc w:val="left"/>
        <w:rPr>
          <w:rFonts w:ascii="宋体" w:hAnsi="宋体" w:cs="宋体" w:eastAsia="宋体" w:hint="default"/>
        </w:rPr>
      </w:pPr>
      <w:r>
        <w:rPr>
          <w:rFonts w:ascii="宋体"/>
          <w:w w:val="100"/>
        </w:rPr>
        <w:t> </w:t>
      </w:r>
    </w:p>
    <w:p>
      <w:pPr>
        <w:spacing w:after="0" w:line="240" w:lineRule="auto"/>
        <w:jc w:val="left"/>
        <w:rPr>
          <w:rFonts w:ascii="宋体" w:hAnsi="宋体" w:cs="宋体" w:eastAsia="宋体" w:hint="default"/>
        </w:rPr>
        <w:sectPr>
          <w:type w:val="continuous"/>
          <w:pgSz w:w="11910" w:h="16840"/>
          <w:pgMar w:top="1580" w:bottom="280" w:left="1280" w:right="740"/>
        </w:sectPr>
      </w:pPr>
    </w:p>
    <w:p>
      <w:pPr>
        <w:spacing w:line="240" w:lineRule="auto" w:before="9"/>
        <w:rPr>
          <w:rFonts w:ascii="宋体" w:hAnsi="宋体" w:cs="宋体" w:eastAsia="宋体" w:hint="default"/>
          <w:sz w:val="25"/>
          <w:szCs w:val="25"/>
        </w:rPr>
      </w:pPr>
    </w:p>
    <w:p>
      <w:pPr>
        <w:pStyle w:val="Heading3"/>
        <w:spacing w:line="240" w:lineRule="auto" w:before="36"/>
        <w:ind w:right="0"/>
        <w:jc w:val="left"/>
        <w:rPr>
          <w:b w:val="0"/>
          <w:bCs w:val="0"/>
        </w:rPr>
      </w:pPr>
      <w:r>
        <w:rPr/>
        <w:t>四、</w:t>
      </w:r>
      <w:r>
        <w:rPr>
          <w:spacing w:val="-79"/>
        </w:rPr>
        <w:t> </w:t>
      </w:r>
      <w:r>
        <w:rPr>
          <w:rFonts w:ascii="宋体" w:hAnsi="宋体" w:cs="宋体" w:eastAsia="宋体" w:hint="default"/>
          <w:spacing w:val="-79"/>
        </w:rPr>
      </w:r>
      <w:r>
        <w:rPr/>
        <w:t>控股股东及实际控制人情况</w:t>
      </w:r>
      <w:r>
        <w:rPr>
          <w:b w:val="0"/>
          <w:bCs w:val="0"/>
        </w:rPr>
      </w:r>
    </w:p>
    <w:p>
      <w:pPr>
        <w:pStyle w:val="Heading3"/>
        <w:tabs>
          <w:tab w:pos="637" w:val="left" w:leader="none"/>
        </w:tabs>
        <w:spacing w:line="295" w:lineRule="auto"/>
        <w:ind w:right="7279"/>
        <w:jc w:val="left"/>
        <w:rPr>
          <w:rFonts w:ascii="宋体" w:hAnsi="宋体" w:cs="宋体" w:eastAsia="宋体" w:hint="default"/>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1"/>
        </w:rPr>
        <w:t> </w:t>
      </w:r>
      <w:r>
        <w:rPr/>
        <w:t>控股股东情况</w:t>
      </w:r>
      <w:r>
        <w:rPr>
          <w:w w:val="100"/>
        </w:rPr>
        <w:t> </w:t>
      </w:r>
      <w:r>
        <w:rPr>
          <w:rFonts w:ascii="宋体" w:hAnsi="宋体" w:cs="宋体" w:eastAsia="宋体" w:hint="default"/>
          <w:w w:val="95"/>
        </w:rPr>
        <w:t>1</w:t>
        <w:tab/>
      </w:r>
      <w:r>
        <w:rPr/>
        <w:t>法人</w:t>
      </w:r>
      <w:r>
        <w:rPr>
          <w:rFonts w:ascii="宋体" w:hAnsi="宋体" w:cs="宋体" w:eastAsia="宋体" w:hint="default"/>
          <w:w w:val="99"/>
        </w:rPr>
        <w:t> </w:t>
      </w:r>
      <w:r>
        <w:rPr>
          <w:rFonts w:ascii="宋体" w:hAnsi="宋体" w:cs="宋体" w:eastAsia="宋体" w:hint="default"/>
          <w:b w:val="0"/>
          <w:bCs w:val="0"/>
        </w:rPr>
      </w:r>
    </w:p>
    <w:p>
      <w:pPr>
        <w:pStyle w:val="Heading2"/>
        <w:spacing w:line="240" w:lineRule="auto" w:before="21"/>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12"/>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078"/>
        <w:gridCol w:w="4679"/>
      </w:tblGrid>
      <w:tr>
        <w:trPr>
          <w:trHeight w:val="324"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名称</w:t>
            </w:r>
            <w:r>
              <w:rPr>
                <w:rFonts w:ascii="宋体" w:hAnsi="宋体" w:cs="宋体" w:eastAsia="宋体" w:hint="default"/>
                <w:sz w:val="21"/>
                <w:szCs w:val="21"/>
              </w:rPr>
              <w:t> </w:t>
            </w:r>
          </w:p>
        </w:tc>
        <w:tc>
          <w:tcPr>
            <w:tcW w:w="467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0" w:right="0"/>
              <w:jc w:val="left"/>
              <w:rPr>
                <w:rFonts w:ascii="宋体" w:hAnsi="宋体" w:cs="宋体" w:eastAsia="宋体" w:hint="default"/>
                <w:sz w:val="21"/>
                <w:szCs w:val="21"/>
              </w:rPr>
            </w:pPr>
            <w:r>
              <w:rPr>
                <w:rFonts w:ascii="宋体" w:hAnsi="宋体" w:cs="宋体" w:eastAsia="宋体" w:hint="default"/>
                <w:sz w:val="21"/>
                <w:szCs w:val="21"/>
              </w:rPr>
              <w:t>启东市华虹电子有限公司</w:t>
            </w:r>
            <w:r>
              <w:rPr>
                <w:rFonts w:ascii="宋体" w:hAnsi="宋体" w:cs="宋体" w:eastAsia="宋体" w:hint="default"/>
                <w:sz w:val="21"/>
                <w:szCs w:val="21"/>
              </w:rPr>
              <w:t> </w:t>
            </w:r>
          </w:p>
        </w:tc>
      </w:tr>
      <w:tr>
        <w:trPr>
          <w:trHeight w:val="322"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单位负责人或法定代表人</w:t>
            </w:r>
            <w:r>
              <w:rPr>
                <w:rFonts w:ascii="宋体" w:hAnsi="宋体" w:cs="宋体" w:eastAsia="宋体" w:hint="default"/>
                <w:sz w:val="21"/>
                <w:szCs w:val="21"/>
              </w:rPr>
              <w:t> </w:t>
            </w:r>
          </w:p>
        </w:tc>
        <w:tc>
          <w:tcPr>
            <w:tcW w:w="467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陆永华</w:t>
            </w:r>
            <w:r>
              <w:rPr>
                <w:rFonts w:ascii="宋体" w:hAnsi="宋体" w:cs="宋体" w:eastAsia="宋体" w:hint="default"/>
                <w:sz w:val="21"/>
                <w:szCs w:val="21"/>
              </w:rPr>
              <w:t> </w:t>
            </w:r>
          </w:p>
        </w:tc>
      </w:tr>
      <w:tr>
        <w:trPr>
          <w:trHeight w:val="322"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成立日期</w:t>
            </w:r>
            <w:r>
              <w:rPr>
                <w:rFonts w:ascii="宋体" w:hAnsi="宋体" w:cs="宋体" w:eastAsia="宋体" w:hint="default"/>
                <w:sz w:val="21"/>
                <w:szCs w:val="21"/>
              </w:rPr>
              <w:t> </w:t>
            </w:r>
          </w:p>
        </w:tc>
        <w:tc>
          <w:tcPr>
            <w:tcW w:w="467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1998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20</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r>
      <w:tr>
        <w:trPr>
          <w:trHeight w:val="322"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主要经营业务</w:t>
            </w:r>
            <w:r>
              <w:rPr>
                <w:rFonts w:ascii="宋体" w:hAnsi="宋体" w:cs="宋体" w:eastAsia="宋体" w:hint="default"/>
                <w:sz w:val="21"/>
                <w:szCs w:val="21"/>
              </w:rPr>
              <w:t> </w:t>
            </w:r>
          </w:p>
        </w:tc>
        <w:tc>
          <w:tcPr>
            <w:tcW w:w="467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电子产品销售、投资及资产管理、管理咨询</w:t>
            </w:r>
            <w:r>
              <w:rPr>
                <w:rFonts w:ascii="宋体" w:hAnsi="宋体" w:cs="宋体" w:eastAsia="宋体" w:hint="default"/>
                <w:sz w:val="21"/>
                <w:szCs w:val="21"/>
              </w:rPr>
              <w:t> </w:t>
            </w:r>
          </w:p>
        </w:tc>
      </w:tr>
      <w:tr>
        <w:trPr>
          <w:trHeight w:val="634"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5"/>
              <w:jc w:val="left"/>
              <w:rPr>
                <w:rFonts w:ascii="宋体" w:hAnsi="宋体" w:cs="宋体" w:eastAsia="宋体" w:hint="default"/>
                <w:sz w:val="21"/>
                <w:szCs w:val="21"/>
              </w:rPr>
            </w:pPr>
            <w:r>
              <w:rPr>
                <w:rFonts w:ascii="宋体" w:hAnsi="宋体" w:cs="宋体" w:eastAsia="宋体" w:hint="default"/>
                <w:spacing w:val="2"/>
                <w:sz w:val="21"/>
                <w:szCs w:val="21"/>
              </w:rPr>
              <w:t>报告期内控股和参股的其他境内外上市公</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z w:val="21"/>
                <w:szCs w:val="21"/>
              </w:rPr>
              <w:t>司的股权情况</w:t>
            </w:r>
            <w:r>
              <w:rPr>
                <w:rFonts w:ascii="宋体" w:hAnsi="宋体" w:cs="宋体" w:eastAsia="宋体" w:hint="default"/>
                <w:sz w:val="21"/>
                <w:szCs w:val="21"/>
              </w:rPr>
              <w:t> </w:t>
            </w:r>
          </w:p>
        </w:tc>
        <w:tc>
          <w:tcPr>
            <w:tcW w:w="467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w w:val="100"/>
                <w:sz w:val="21"/>
              </w:rPr>
              <w:t> </w:t>
            </w:r>
          </w:p>
        </w:tc>
      </w:tr>
      <w:tr>
        <w:trPr>
          <w:trHeight w:val="324"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其他情况说明</w:t>
            </w:r>
            <w:r>
              <w:rPr>
                <w:rFonts w:ascii="宋体" w:hAnsi="宋体" w:cs="宋体" w:eastAsia="宋体" w:hint="default"/>
                <w:sz w:val="24"/>
                <w:szCs w:val="24"/>
              </w:rPr>
              <w:t> </w:t>
            </w:r>
          </w:p>
        </w:tc>
        <w:tc>
          <w:tcPr>
            <w:tcW w:w="467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sz w:val="24"/>
              </w:rPr>
              <w:t> </w:t>
            </w:r>
          </w:p>
        </w:tc>
      </w:tr>
    </w:tbl>
    <w:p>
      <w:pPr>
        <w:pStyle w:val="Heading2"/>
        <w:spacing w:line="274" w:lineRule="exact"/>
        <w:ind w:right="0"/>
        <w:jc w:val="left"/>
        <w:rPr>
          <w:rFonts w:ascii="宋体" w:hAnsi="宋体" w:cs="宋体" w:eastAsia="宋体" w:hint="default"/>
        </w:rPr>
      </w:pPr>
      <w:r>
        <w:rPr>
          <w:rFonts w:ascii="宋体"/>
        </w:rPr>
        <w:t> </w:t>
      </w:r>
    </w:p>
    <w:p>
      <w:pPr>
        <w:pStyle w:val="Heading3"/>
        <w:tabs>
          <w:tab w:pos="637" w:val="left" w:leader="none"/>
        </w:tabs>
        <w:spacing w:line="240" w:lineRule="auto" w:before="85"/>
        <w:ind w:right="0"/>
        <w:jc w:val="left"/>
        <w:rPr>
          <w:rFonts w:ascii="宋体" w:hAnsi="宋体" w:cs="宋体" w:eastAsia="宋体" w:hint="default"/>
          <w:b w:val="0"/>
          <w:bCs w:val="0"/>
        </w:rPr>
      </w:pPr>
      <w:r>
        <w:rPr>
          <w:rFonts w:ascii="宋体" w:hAnsi="宋体" w:cs="宋体" w:eastAsia="宋体" w:hint="default"/>
          <w:w w:val="95"/>
        </w:rPr>
        <w:t>2</w:t>
        <w:tab/>
      </w:r>
      <w:r>
        <w:rPr/>
        <w:t>自然人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7"/>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2"/>
        <w:spacing w:line="240" w:lineRule="auto" w:before="9"/>
        <w:ind w:right="0"/>
        <w:jc w:val="left"/>
        <w:rPr>
          <w:rFonts w:ascii="宋体" w:hAnsi="宋体" w:cs="宋体" w:eastAsia="宋体" w:hint="default"/>
        </w:rPr>
      </w:pPr>
      <w:r>
        <w:rPr>
          <w:rFonts w:ascii="宋体"/>
        </w:rPr>
        <w:t> </w:t>
      </w:r>
    </w:p>
    <w:p>
      <w:pPr>
        <w:pStyle w:val="Heading3"/>
        <w:tabs>
          <w:tab w:pos="637" w:val="left" w:leader="none"/>
        </w:tabs>
        <w:spacing w:line="240" w:lineRule="auto" w:before="85"/>
        <w:ind w:right="0"/>
        <w:jc w:val="left"/>
        <w:rPr>
          <w:rFonts w:ascii="宋体" w:hAnsi="宋体" w:cs="宋体" w:eastAsia="宋体" w:hint="default"/>
          <w:b w:val="0"/>
          <w:bCs w:val="0"/>
        </w:rPr>
      </w:pPr>
      <w:r>
        <w:rPr>
          <w:rFonts w:ascii="宋体" w:hAnsi="宋体" w:cs="宋体" w:eastAsia="宋体" w:hint="default"/>
          <w:w w:val="95"/>
        </w:rPr>
        <w:t>3</w:t>
        <w:tab/>
      </w:r>
      <w:r>
        <w:rPr/>
        <w:t>公司不存在控股股东情况的特别说明</w:t>
      </w:r>
      <w:r>
        <w:rPr>
          <w:rFonts w:ascii="宋体" w:hAnsi="宋体" w:cs="宋体" w:eastAsia="宋体" w:hint="default"/>
          <w:w w:val="99"/>
        </w:rPr>
        <w:t> </w:t>
      </w:r>
      <w:r>
        <w:rPr>
          <w:rFonts w:ascii="宋体" w:hAnsi="宋体" w:cs="宋体" w:eastAsia="宋体" w:hint="default"/>
          <w:b w:val="0"/>
          <w:bCs w:val="0"/>
        </w:rPr>
      </w:r>
    </w:p>
    <w:p>
      <w:pPr>
        <w:pStyle w:val="Heading2"/>
        <w:spacing w:line="240" w:lineRule="auto" w:before="69"/>
        <w:ind w:right="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BodyText"/>
        <w:spacing w:line="240" w:lineRule="auto" w:before="25"/>
        <w:ind w:right="0"/>
        <w:jc w:val="left"/>
        <w:rPr>
          <w:rFonts w:ascii="宋体" w:hAnsi="宋体" w:cs="宋体" w:eastAsia="宋体" w:hint="default"/>
        </w:rPr>
      </w:pPr>
      <w:r>
        <w:rPr>
          <w:rFonts w:ascii="宋体"/>
          <w:w w:val="100"/>
        </w:rPr>
        <w:t> </w:t>
      </w:r>
    </w:p>
    <w:p>
      <w:pPr>
        <w:pStyle w:val="Heading3"/>
        <w:tabs>
          <w:tab w:pos="637" w:val="left" w:leader="none"/>
        </w:tabs>
        <w:spacing w:line="240" w:lineRule="auto"/>
        <w:ind w:right="0"/>
        <w:jc w:val="left"/>
        <w:rPr>
          <w:rFonts w:ascii="宋体" w:hAnsi="宋体" w:cs="宋体" w:eastAsia="宋体" w:hint="default"/>
          <w:b w:val="0"/>
          <w:bCs w:val="0"/>
        </w:rPr>
      </w:pPr>
      <w:r>
        <w:rPr>
          <w:rFonts w:ascii="宋体" w:hAnsi="宋体" w:cs="宋体" w:eastAsia="宋体" w:hint="default"/>
          <w:w w:val="95"/>
        </w:rPr>
        <w:t>4</w:t>
        <w:tab/>
      </w:r>
      <w:r>
        <w:rPr/>
        <w:t>报告期内控股股东变更情况索引及日期</w:t>
      </w:r>
      <w:r>
        <w:rPr>
          <w:rFonts w:ascii="宋体" w:hAnsi="宋体" w:cs="宋体" w:eastAsia="宋体" w:hint="default"/>
          <w:w w:val="99"/>
        </w:rPr>
        <w:t> </w:t>
      </w:r>
      <w:r>
        <w:rPr>
          <w:rFonts w:ascii="宋体" w:hAnsi="宋体" w:cs="宋体" w:eastAsia="宋体" w:hint="default"/>
          <w:b w:val="0"/>
          <w:bCs w:val="0"/>
        </w:rPr>
      </w:r>
    </w:p>
    <w:p>
      <w:pPr>
        <w:pStyle w:val="Heading2"/>
        <w:spacing w:line="240" w:lineRule="auto" w:before="69"/>
        <w:ind w:right="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BodyText"/>
        <w:spacing w:line="240" w:lineRule="auto" w:before="25"/>
        <w:ind w:right="0"/>
        <w:jc w:val="left"/>
        <w:rPr>
          <w:rFonts w:ascii="宋体" w:hAnsi="宋体" w:cs="宋体" w:eastAsia="宋体" w:hint="default"/>
        </w:rPr>
      </w:pPr>
      <w:r>
        <w:rPr>
          <w:rFonts w:ascii="宋体"/>
          <w:w w:val="100"/>
        </w:rPr>
        <w:t> </w:t>
      </w:r>
    </w:p>
    <w:p>
      <w:pPr>
        <w:pStyle w:val="Heading3"/>
        <w:tabs>
          <w:tab w:pos="637" w:val="left" w:leader="none"/>
        </w:tabs>
        <w:spacing w:line="240" w:lineRule="auto"/>
        <w:ind w:right="0"/>
        <w:jc w:val="left"/>
        <w:rPr>
          <w:rFonts w:ascii="宋体" w:hAnsi="宋体" w:cs="宋体" w:eastAsia="宋体" w:hint="default"/>
          <w:b w:val="0"/>
          <w:bCs w:val="0"/>
        </w:rPr>
      </w:pPr>
      <w:r>
        <w:rPr>
          <w:rFonts w:ascii="宋体" w:hAnsi="宋体" w:cs="宋体" w:eastAsia="宋体" w:hint="default"/>
          <w:w w:val="95"/>
        </w:rPr>
        <w:t>5</w:t>
        <w:tab/>
      </w:r>
      <w:r>
        <w:rPr/>
        <w:t>公司与控股股东之间的产权及控制关系的方框图</w:t>
      </w:r>
      <w:r>
        <w:rPr>
          <w:rFonts w:ascii="宋体" w:hAnsi="宋体" w:cs="宋体" w:eastAsia="宋体" w:hint="default"/>
          <w:w w:val="99"/>
        </w:rPr>
        <w:t> </w:t>
      </w:r>
      <w:r>
        <w:rPr>
          <w:rFonts w:ascii="宋体" w:hAnsi="宋体" w:cs="宋体" w:eastAsia="宋体" w:hint="default"/>
          <w:b w:val="0"/>
          <w:bCs w:val="0"/>
        </w:rPr>
      </w:r>
    </w:p>
    <w:p>
      <w:pPr>
        <w:pStyle w:val="Heading2"/>
        <w:spacing w:line="240" w:lineRule="auto" w:before="69"/>
        <w:ind w:right="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spacing w:line="240" w:lineRule="auto" w:before="1"/>
        <w:rPr>
          <w:rFonts w:ascii="宋体" w:hAnsi="宋体" w:cs="宋体" w:eastAsia="宋体" w:hint="default"/>
          <w:sz w:val="6"/>
          <w:szCs w:val="6"/>
        </w:rPr>
      </w:pPr>
    </w:p>
    <w:p>
      <w:pPr>
        <w:spacing w:line="3327" w:lineRule="exact"/>
        <w:ind w:left="1963" w:right="0" w:firstLine="0"/>
        <w:rPr>
          <w:rFonts w:ascii="宋体" w:hAnsi="宋体" w:cs="宋体" w:eastAsia="宋体" w:hint="default"/>
          <w:sz w:val="20"/>
          <w:szCs w:val="20"/>
        </w:rPr>
      </w:pPr>
      <w:r>
        <w:rPr>
          <w:rFonts w:ascii="宋体" w:hAnsi="宋体" w:cs="宋体" w:eastAsia="宋体" w:hint="default"/>
          <w:position w:val="-66"/>
          <w:sz w:val="20"/>
          <w:szCs w:val="20"/>
        </w:rPr>
        <w:drawing>
          <wp:inline distT="0" distB="0" distL="0" distR="0">
            <wp:extent cx="3366565" cy="2113026"/>
            <wp:effectExtent l="0" t="0" r="0" b="0"/>
            <wp:docPr id="7" name="image5.jpeg" descr=""/>
            <wp:cNvGraphicFramePr>
              <a:graphicFrameLocks noChangeAspect="1"/>
            </wp:cNvGraphicFramePr>
            <a:graphic>
              <a:graphicData uri="http://schemas.openxmlformats.org/drawingml/2006/picture">
                <pic:pic>
                  <pic:nvPicPr>
                    <pic:cNvPr id="8" name="image5.jpeg"/>
                    <pic:cNvPicPr/>
                  </pic:nvPicPr>
                  <pic:blipFill>
                    <a:blip r:embed="rId39" cstate="print"/>
                    <a:stretch>
                      <a:fillRect/>
                    </a:stretch>
                  </pic:blipFill>
                  <pic:spPr>
                    <a:xfrm>
                      <a:off x="0" y="0"/>
                      <a:ext cx="3366565" cy="2113026"/>
                    </a:xfrm>
                    <a:prstGeom prst="rect">
                      <a:avLst/>
                    </a:prstGeom>
                  </pic:spPr>
                </pic:pic>
              </a:graphicData>
            </a:graphic>
          </wp:inline>
        </w:drawing>
      </w:r>
      <w:r>
        <w:rPr>
          <w:rFonts w:ascii="宋体" w:hAnsi="宋体" w:cs="宋体" w:eastAsia="宋体" w:hint="default"/>
          <w:position w:val="-66"/>
          <w:sz w:val="20"/>
          <w:szCs w:val="20"/>
        </w:rPr>
      </w:r>
    </w:p>
    <w:p>
      <w:pPr>
        <w:pStyle w:val="BodyText"/>
        <w:spacing w:line="240" w:lineRule="auto" w:before="52"/>
        <w:ind w:right="0"/>
        <w:jc w:val="left"/>
        <w:rPr>
          <w:rFonts w:ascii="宋体" w:hAnsi="宋体" w:cs="宋体" w:eastAsia="宋体" w:hint="default"/>
        </w:rPr>
      </w:pPr>
      <w:r>
        <w:rPr>
          <w:rFonts w:ascii="宋体"/>
          <w:w w:val="100"/>
        </w:rPr>
        <w:t> </w:t>
      </w:r>
    </w:p>
    <w:p>
      <w:pPr>
        <w:pStyle w:val="BodyText"/>
        <w:spacing w:line="240" w:lineRule="auto" w:before="37"/>
        <w:ind w:right="0"/>
        <w:jc w:val="left"/>
        <w:rPr>
          <w:rFonts w:ascii="宋体" w:hAnsi="宋体" w:cs="宋体" w:eastAsia="宋体" w:hint="default"/>
        </w:rPr>
      </w:pPr>
      <w:r>
        <w:rPr>
          <w:rFonts w:ascii="宋体"/>
          <w:w w:val="100"/>
        </w:rPr>
        <w:t> </w:t>
      </w:r>
    </w:p>
    <w:p>
      <w:pPr>
        <w:pStyle w:val="Heading3"/>
        <w:tabs>
          <w:tab w:pos="642" w:val="left" w:leader="none"/>
        </w:tabs>
        <w:spacing w:line="295" w:lineRule="auto"/>
        <w:ind w:right="7068"/>
        <w:jc w:val="left"/>
        <w:rPr>
          <w:rFonts w:ascii="宋体" w:hAnsi="宋体" w:cs="宋体" w:eastAsia="宋体" w:hint="default"/>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1"/>
        </w:rPr>
        <w:t> </w:t>
      </w:r>
      <w:r>
        <w:rPr/>
        <w:t>实际控制人情况</w:t>
      </w:r>
      <w:r>
        <w:rPr>
          <w:w w:val="100"/>
        </w:rPr>
        <w:t> </w:t>
      </w:r>
      <w:r>
        <w:rPr>
          <w:rFonts w:ascii="宋体" w:hAnsi="宋体" w:cs="宋体" w:eastAsia="宋体" w:hint="default"/>
          <w:w w:val="95"/>
        </w:rPr>
        <w:t>1</w:t>
        <w:tab/>
      </w:r>
      <w:r>
        <w:rPr/>
        <w:t>法人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49"/>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2"/>
        <w:spacing w:line="240" w:lineRule="auto" w:before="9"/>
        <w:ind w:right="0"/>
        <w:jc w:val="left"/>
        <w:rPr>
          <w:rFonts w:ascii="宋体" w:hAnsi="宋体" w:cs="宋体" w:eastAsia="宋体" w:hint="default"/>
        </w:rPr>
      </w:pPr>
      <w:r>
        <w:rPr>
          <w:rFonts w:ascii="宋体"/>
        </w:rPr>
        <w:t> </w:t>
      </w:r>
    </w:p>
    <w:p>
      <w:pPr>
        <w:spacing w:after="0" w:line="240" w:lineRule="auto"/>
        <w:jc w:val="left"/>
        <w:rPr>
          <w:rFonts w:ascii="宋体" w:hAnsi="宋体" w:cs="宋体" w:eastAsia="宋体" w:hint="default"/>
        </w:rPr>
        <w:sectPr>
          <w:pgSz w:w="11910" w:h="16840"/>
          <w:pgMar w:header="747" w:footer="974" w:top="1140" w:bottom="1160" w:left="1580" w:right="1140"/>
        </w:sectPr>
      </w:pPr>
    </w:p>
    <w:p>
      <w:pPr>
        <w:spacing w:line="240" w:lineRule="auto" w:before="9"/>
        <w:rPr>
          <w:rFonts w:ascii="宋体" w:hAnsi="宋体" w:cs="宋体" w:eastAsia="宋体" w:hint="default"/>
          <w:sz w:val="25"/>
          <w:szCs w:val="25"/>
        </w:rPr>
      </w:pPr>
    </w:p>
    <w:p>
      <w:pPr>
        <w:pStyle w:val="Heading3"/>
        <w:tabs>
          <w:tab w:pos="642" w:val="left" w:leader="none"/>
        </w:tabs>
        <w:spacing w:line="240" w:lineRule="auto" w:before="36"/>
        <w:ind w:right="0"/>
        <w:jc w:val="left"/>
        <w:rPr>
          <w:rFonts w:ascii="宋体" w:hAnsi="宋体" w:cs="宋体" w:eastAsia="宋体" w:hint="default"/>
          <w:b w:val="0"/>
          <w:bCs w:val="0"/>
        </w:rPr>
      </w:pPr>
      <w:r>
        <w:rPr>
          <w:rFonts w:ascii="宋体" w:hAnsi="宋体" w:cs="宋体" w:eastAsia="宋体" w:hint="default"/>
          <w:w w:val="95"/>
        </w:rPr>
        <w:t>2</w:t>
        <w:tab/>
      </w:r>
      <w:r>
        <w:rPr/>
        <w:t>自然人</w:t>
      </w:r>
      <w:r>
        <w:rPr>
          <w:rFonts w:ascii="宋体" w:hAnsi="宋体" w:cs="宋体" w:eastAsia="宋体" w:hint="default"/>
          <w:w w:val="99"/>
        </w:rPr>
        <w:t> </w:t>
      </w:r>
      <w:r>
        <w:rPr>
          <w:rFonts w:ascii="宋体" w:hAnsi="宋体" w:cs="宋体" w:eastAsia="宋体" w:hint="default"/>
          <w:b w:val="0"/>
          <w:bCs w:val="0"/>
        </w:rPr>
      </w:r>
    </w:p>
    <w:p>
      <w:pPr>
        <w:pStyle w:val="Heading2"/>
        <w:spacing w:line="240" w:lineRule="auto" w:before="69"/>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12"/>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392"/>
        <w:gridCol w:w="5658"/>
      </w:tblGrid>
      <w:tr>
        <w:trPr>
          <w:trHeight w:val="324" w:hRule="exact"/>
        </w:trPr>
        <w:tc>
          <w:tcPr>
            <w:tcW w:w="339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姓名</w:t>
            </w:r>
            <w:r>
              <w:rPr>
                <w:rFonts w:ascii="宋体" w:hAnsi="宋体" w:cs="宋体" w:eastAsia="宋体" w:hint="default"/>
                <w:sz w:val="21"/>
                <w:szCs w:val="21"/>
              </w:rPr>
              <w:t> </w:t>
            </w:r>
          </w:p>
        </w:tc>
        <w:tc>
          <w:tcPr>
            <w:tcW w:w="565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0" w:right="0"/>
              <w:jc w:val="left"/>
              <w:rPr>
                <w:rFonts w:ascii="宋体" w:hAnsi="宋体" w:cs="宋体" w:eastAsia="宋体" w:hint="default"/>
                <w:sz w:val="21"/>
                <w:szCs w:val="21"/>
              </w:rPr>
            </w:pPr>
            <w:r>
              <w:rPr>
                <w:rFonts w:ascii="宋体" w:hAnsi="宋体" w:cs="宋体" w:eastAsia="宋体" w:hint="default"/>
                <w:sz w:val="21"/>
                <w:szCs w:val="21"/>
              </w:rPr>
              <w:t>陆永华</w:t>
            </w:r>
            <w:r>
              <w:rPr>
                <w:rFonts w:ascii="宋体" w:hAnsi="宋体" w:cs="宋体" w:eastAsia="宋体" w:hint="default"/>
                <w:sz w:val="21"/>
                <w:szCs w:val="21"/>
              </w:rPr>
              <w:t> </w:t>
            </w:r>
          </w:p>
        </w:tc>
      </w:tr>
      <w:tr>
        <w:trPr>
          <w:trHeight w:val="322" w:hRule="exact"/>
        </w:trPr>
        <w:tc>
          <w:tcPr>
            <w:tcW w:w="339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国籍</w:t>
            </w:r>
            <w:r>
              <w:rPr>
                <w:rFonts w:ascii="宋体" w:hAnsi="宋体" w:cs="宋体" w:eastAsia="宋体" w:hint="default"/>
                <w:sz w:val="21"/>
                <w:szCs w:val="21"/>
              </w:rPr>
              <w:t> </w:t>
            </w:r>
          </w:p>
        </w:tc>
        <w:tc>
          <w:tcPr>
            <w:tcW w:w="565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w:t>
            </w:r>
            <w:r>
              <w:rPr>
                <w:rFonts w:ascii="宋体" w:hAnsi="宋体" w:cs="宋体" w:eastAsia="宋体" w:hint="default"/>
                <w:sz w:val="21"/>
                <w:szCs w:val="21"/>
              </w:rPr>
              <w:t> </w:t>
            </w:r>
          </w:p>
        </w:tc>
      </w:tr>
      <w:tr>
        <w:trPr>
          <w:trHeight w:val="322" w:hRule="exact"/>
        </w:trPr>
        <w:tc>
          <w:tcPr>
            <w:tcW w:w="339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是否取得其他国家或地区居留权</w:t>
            </w:r>
            <w:r>
              <w:rPr>
                <w:rFonts w:ascii="宋体" w:hAnsi="宋体" w:cs="宋体" w:eastAsia="宋体" w:hint="default"/>
                <w:sz w:val="21"/>
                <w:szCs w:val="21"/>
              </w:rPr>
              <w:t> </w:t>
            </w:r>
          </w:p>
        </w:tc>
        <w:tc>
          <w:tcPr>
            <w:tcW w:w="565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634" w:hRule="exact"/>
        </w:trPr>
        <w:tc>
          <w:tcPr>
            <w:tcW w:w="3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主要职业及职务</w:t>
            </w:r>
            <w:r>
              <w:rPr>
                <w:rFonts w:ascii="宋体" w:hAnsi="宋体" w:cs="宋体" w:eastAsia="宋体" w:hint="default"/>
                <w:sz w:val="21"/>
                <w:szCs w:val="21"/>
              </w:rPr>
              <w:t> </w:t>
            </w:r>
          </w:p>
        </w:tc>
        <w:tc>
          <w:tcPr>
            <w:tcW w:w="565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98"/>
              <w:jc w:val="left"/>
              <w:rPr>
                <w:rFonts w:ascii="宋体" w:hAnsi="宋体" w:cs="宋体" w:eastAsia="宋体" w:hint="default"/>
                <w:sz w:val="21"/>
                <w:szCs w:val="21"/>
              </w:rPr>
            </w:pPr>
            <w:r>
              <w:rPr>
                <w:rFonts w:ascii="宋体" w:hAnsi="宋体" w:cs="宋体" w:eastAsia="宋体" w:hint="default"/>
                <w:spacing w:val="-2"/>
                <w:sz w:val="21"/>
                <w:szCs w:val="21"/>
              </w:rPr>
              <w:t>任公司董事长、总经理，华虹电子、永安电子、上海会逸执</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z w:val="21"/>
                <w:szCs w:val="21"/>
              </w:rPr>
              <w:t>行董事等职。</w:t>
            </w:r>
            <w:r>
              <w:rPr>
                <w:rFonts w:ascii="宋体" w:hAnsi="宋体" w:cs="宋体" w:eastAsia="宋体" w:hint="default"/>
                <w:sz w:val="21"/>
                <w:szCs w:val="21"/>
              </w:rPr>
              <w:t> </w:t>
            </w:r>
          </w:p>
        </w:tc>
      </w:tr>
      <w:tr>
        <w:trPr>
          <w:trHeight w:val="946" w:hRule="exact"/>
        </w:trPr>
        <w:tc>
          <w:tcPr>
            <w:tcW w:w="339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103" w:right="102"/>
              <w:jc w:val="left"/>
              <w:rPr>
                <w:rFonts w:ascii="宋体" w:hAnsi="宋体" w:cs="宋体" w:eastAsia="宋体" w:hint="default"/>
                <w:sz w:val="21"/>
                <w:szCs w:val="21"/>
              </w:rPr>
            </w:pPr>
            <w:r>
              <w:rPr>
                <w:rFonts w:ascii="宋体" w:hAnsi="宋体" w:cs="宋体" w:eastAsia="宋体" w:hint="default"/>
                <w:sz w:val="21"/>
                <w:szCs w:val="21"/>
              </w:rPr>
              <w:t>过去 </w:t>
            </w:r>
            <w:r>
              <w:rPr>
                <w:rFonts w:ascii="宋体" w:hAnsi="宋体" w:cs="宋体" w:eastAsia="宋体" w:hint="default"/>
                <w:sz w:val="21"/>
                <w:szCs w:val="21"/>
              </w:rPr>
              <w:t>10</w:t>
            </w:r>
            <w:r>
              <w:rPr>
                <w:rFonts w:ascii="宋体" w:hAnsi="宋体" w:cs="宋体" w:eastAsia="宋体" w:hint="default"/>
                <w:spacing w:val="21"/>
                <w:sz w:val="21"/>
                <w:szCs w:val="21"/>
              </w:rPr>
              <w:t> </w:t>
            </w:r>
            <w:r>
              <w:rPr>
                <w:rFonts w:ascii="宋体" w:hAnsi="宋体" w:cs="宋体" w:eastAsia="宋体" w:hint="default"/>
                <w:sz w:val="21"/>
                <w:szCs w:val="21"/>
              </w:rPr>
              <w:t>年曾控股的境内外上市公</w:t>
            </w:r>
            <w:r>
              <w:rPr>
                <w:rFonts w:ascii="宋体" w:hAnsi="宋体" w:cs="宋体" w:eastAsia="宋体" w:hint="default"/>
                <w:w w:val="100"/>
                <w:sz w:val="21"/>
                <w:szCs w:val="21"/>
              </w:rPr>
              <w:t> </w:t>
            </w:r>
            <w:r>
              <w:rPr>
                <w:rFonts w:ascii="宋体" w:hAnsi="宋体" w:cs="宋体" w:eastAsia="宋体" w:hint="default"/>
                <w:sz w:val="21"/>
                <w:szCs w:val="21"/>
              </w:rPr>
              <w:t>司情况</w:t>
            </w:r>
            <w:r>
              <w:rPr>
                <w:rFonts w:ascii="宋体" w:hAnsi="宋体" w:cs="宋体" w:eastAsia="宋体" w:hint="default"/>
                <w:sz w:val="21"/>
                <w:szCs w:val="21"/>
              </w:rPr>
              <w:t> </w:t>
            </w:r>
          </w:p>
        </w:tc>
        <w:tc>
          <w:tcPr>
            <w:tcW w:w="565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98"/>
              <w:jc w:val="both"/>
              <w:rPr>
                <w:rFonts w:ascii="宋体" w:hAnsi="宋体" w:cs="宋体" w:eastAsia="宋体" w:hint="default"/>
                <w:sz w:val="21"/>
                <w:szCs w:val="21"/>
              </w:rPr>
            </w:pPr>
            <w:r>
              <w:rPr>
                <w:rFonts w:ascii="宋体" w:hAnsi="宋体" w:cs="宋体" w:eastAsia="宋体" w:hint="default"/>
                <w:spacing w:val="-3"/>
                <w:sz w:val="21"/>
                <w:szCs w:val="21"/>
              </w:rPr>
              <w:t>韩华新能源（启东）有限公司（原名江苏林洋新能源有限公</w:t>
            </w:r>
            <w:r>
              <w:rPr>
                <w:rFonts w:ascii="宋体" w:hAnsi="宋体" w:cs="宋体" w:eastAsia="宋体" w:hint="default"/>
                <w:spacing w:val="-50"/>
                <w:sz w:val="21"/>
                <w:szCs w:val="21"/>
              </w:rPr>
              <w:t> </w:t>
            </w:r>
            <w:r>
              <w:rPr>
                <w:rFonts w:ascii="宋体" w:hAnsi="宋体" w:cs="宋体" w:eastAsia="宋体" w:hint="default"/>
                <w:spacing w:val="-50"/>
                <w:sz w:val="21"/>
                <w:szCs w:val="21"/>
              </w:rPr>
            </w:r>
            <w:r>
              <w:rPr>
                <w:rFonts w:ascii="宋体" w:hAnsi="宋体" w:cs="宋体" w:eastAsia="宋体" w:hint="default"/>
                <w:sz w:val="21"/>
                <w:szCs w:val="21"/>
              </w:rPr>
              <w:t>司）于</w:t>
            </w:r>
            <w:r>
              <w:rPr>
                <w:rFonts w:ascii="宋体" w:hAnsi="宋体" w:cs="宋体" w:eastAsia="宋体" w:hint="default"/>
                <w:spacing w:val="-43"/>
                <w:sz w:val="21"/>
                <w:szCs w:val="21"/>
              </w:rPr>
              <w:t> </w:t>
            </w:r>
            <w:r>
              <w:rPr>
                <w:rFonts w:ascii="宋体" w:hAnsi="宋体" w:cs="宋体" w:eastAsia="宋体" w:hint="default"/>
                <w:sz w:val="21"/>
                <w:szCs w:val="21"/>
              </w:rPr>
              <w:t>2006</w:t>
            </w:r>
            <w:r>
              <w:rPr>
                <w:rFonts w:ascii="宋体" w:hAnsi="宋体" w:cs="宋体" w:eastAsia="宋体" w:hint="default"/>
                <w:spacing w:val="-43"/>
                <w:sz w:val="21"/>
                <w:szCs w:val="21"/>
              </w:rPr>
              <w:t> </w:t>
            </w:r>
            <w:r>
              <w:rPr>
                <w:rFonts w:ascii="宋体" w:hAnsi="宋体" w:cs="宋体" w:eastAsia="宋体" w:hint="default"/>
                <w:sz w:val="21"/>
                <w:szCs w:val="21"/>
              </w:rPr>
              <w:t>年</w:t>
            </w:r>
            <w:r>
              <w:rPr>
                <w:rFonts w:ascii="宋体" w:hAnsi="宋体" w:cs="宋体" w:eastAsia="宋体" w:hint="default"/>
                <w:spacing w:val="-43"/>
                <w:sz w:val="21"/>
                <w:szCs w:val="21"/>
              </w:rPr>
              <w:t> </w:t>
            </w:r>
            <w:r>
              <w:rPr>
                <w:rFonts w:ascii="宋体" w:hAnsi="宋体" w:cs="宋体" w:eastAsia="宋体" w:hint="default"/>
                <w:sz w:val="21"/>
                <w:szCs w:val="21"/>
              </w:rPr>
              <w:t>12</w:t>
            </w:r>
            <w:r>
              <w:rPr>
                <w:rFonts w:ascii="宋体" w:hAnsi="宋体" w:cs="宋体" w:eastAsia="宋体" w:hint="default"/>
                <w:spacing w:val="-43"/>
                <w:sz w:val="21"/>
                <w:szCs w:val="21"/>
              </w:rPr>
              <w:t> </w:t>
            </w:r>
            <w:r>
              <w:rPr>
                <w:rFonts w:ascii="宋体" w:hAnsi="宋体" w:cs="宋体" w:eastAsia="宋体" w:hint="default"/>
                <w:sz w:val="21"/>
                <w:szCs w:val="21"/>
              </w:rPr>
              <w:t>月</w:t>
            </w:r>
            <w:r>
              <w:rPr>
                <w:rFonts w:ascii="宋体" w:hAnsi="宋体" w:cs="宋体" w:eastAsia="宋体" w:hint="default"/>
                <w:spacing w:val="-43"/>
                <w:sz w:val="21"/>
                <w:szCs w:val="21"/>
              </w:rPr>
              <w:t> </w:t>
            </w:r>
            <w:r>
              <w:rPr>
                <w:rFonts w:ascii="宋体" w:hAnsi="宋体" w:cs="宋体" w:eastAsia="宋体" w:hint="default"/>
                <w:sz w:val="21"/>
                <w:szCs w:val="21"/>
              </w:rPr>
              <w:t>21</w:t>
            </w:r>
            <w:r>
              <w:rPr>
                <w:rFonts w:ascii="宋体" w:hAnsi="宋体" w:cs="宋体" w:eastAsia="宋体" w:hint="default"/>
                <w:spacing w:val="-45"/>
                <w:sz w:val="21"/>
                <w:szCs w:val="21"/>
              </w:rPr>
              <w:t> </w:t>
            </w:r>
            <w:r>
              <w:rPr>
                <w:rFonts w:ascii="宋体" w:hAnsi="宋体" w:cs="宋体" w:eastAsia="宋体" w:hint="default"/>
                <w:sz w:val="21"/>
                <w:szCs w:val="21"/>
              </w:rPr>
              <w:t>日在美国纳斯达克上市，</w:t>
            </w:r>
            <w:r>
              <w:rPr>
                <w:rFonts w:ascii="宋体" w:hAnsi="宋体" w:cs="宋体" w:eastAsia="宋体" w:hint="default"/>
                <w:sz w:val="21"/>
                <w:szCs w:val="21"/>
              </w:rPr>
              <w:t>2009</w:t>
            </w:r>
            <w:r>
              <w:rPr>
                <w:rFonts w:ascii="宋体" w:hAnsi="宋体" w:cs="宋体" w:eastAsia="宋体" w:hint="default"/>
                <w:spacing w:val="-43"/>
                <w:sz w:val="21"/>
                <w:szCs w:val="21"/>
              </w:rPr>
              <w:t> </w:t>
            </w:r>
            <w:r>
              <w:rPr>
                <w:rFonts w:ascii="宋体" w:hAnsi="宋体" w:cs="宋体" w:eastAsia="宋体" w:hint="default"/>
                <w:sz w:val="21"/>
                <w:szCs w:val="21"/>
              </w:rPr>
              <w:t>年</w:t>
            </w:r>
            <w:r>
              <w:rPr>
                <w:rFonts w:ascii="宋体" w:hAnsi="宋体" w:cs="宋体" w:eastAsia="宋体" w:hint="default"/>
                <w:spacing w:val="-43"/>
                <w:sz w:val="21"/>
                <w:szCs w:val="21"/>
              </w:rPr>
              <w:t> </w:t>
            </w:r>
            <w:r>
              <w:rPr>
                <w:rFonts w:ascii="宋体" w:hAnsi="宋体" w:cs="宋体" w:eastAsia="宋体" w:hint="default"/>
                <w:sz w:val="21"/>
                <w:szCs w:val="21"/>
              </w:rPr>
              <w:t>9</w:t>
            </w:r>
            <w:r>
              <w:rPr>
                <w:rFonts w:ascii="宋体" w:hAnsi="宋体" w:cs="宋体" w:eastAsia="宋体" w:hint="default"/>
                <w:w w:val="100"/>
                <w:sz w:val="21"/>
                <w:szCs w:val="21"/>
              </w:rPr>
              <w:t> </w:t>
            </w:r>
            <w:r>
              <w:rPr>
                <w:rFonts w:ascii="宋体" w:hAnsi="宋体" w:cs="宋体" w:eastAsia="宋体" w:hint="default"/>
                <w:sz w:val="21"/>
                <w:szCs w:val="21"/>
              </w:rPr>
              <w:t>月已将持有股份全部转让。</w:t>
            </w:r>
            <w:r>
              <w:rPr>
                <w:rFonts w:ascii="宋体" w:hAnsi="宋体" w:cs="宋体" w:eastAsia="宋体" w:hint="default"/>
                <w:sz w:val="21"/>
                <w:szCs w:val="21"/>
              </w:rPr>
              <w:t> </w:t>
            </w:r>
          </w:p>
        </w:tc>
      </w:tr>
    </w:tbl>
    <w:p>
      <w:pPr>
        <w:pStyle w:val="BodyText"/>
        <w:spacing w:line="262" w:lineRule="exact"/>
        <w:ind w:right="0"/>
        <w:jc w:val="left"/>
        <w:rPr>
          <w:rFonts w:ascii="宋体" w:hAnsi="宋体" w:cs="宋体" w:eastAsia="宋体" w:hint="default"/>
        </w:rPr>
      </w:pPr>
      <w:r>
        <w:rPr>
          <w:rFonts w:ascii="宋体"/>
          <w:w w:val="100"/>
        </w:rPr>
        <w:t> </w:t>
      </w:r>
    </w:p>
    <w:p>
      <w:pPr>
        <w:pStyle w:val="Heading3"/>
        <w:tabs>
          <w:tab w:pos="642" w:val="left" w:leader="none"/>
        </w:tabs>
        <w:spacing w:line="240" w:lineRule="auto"/>
        <w:ind w:right="0"/>
        <w:jc w:val="left"/>
        <w:rPr>
          <w:rFonts w:ascii="宋体" w:hAnsi="宋体" w:cs="宋体" w:eastAsia="宋体" w:hint="default"/>
          <w:b w:val="0"/>
          <w:bCs w:val="0"/>
        </w:rPr>
      </w:pPr>
      <w:r>
        <w:rPr>
          <w:rFonts w:ascii="宋体" w:hAnsi="宋体" w:cs="宋体" w:eastAsia="宋体" w:hint="default"/>
          <w:w w:val="95"/>
        </w:rPr>
        <w:t>3</w:t>
        <w:tab/>
      </w:r>
      <w:r>
        <w:rPr/>
        <w:t>公司不存在实际控制人情况的特别说明</w:t>
      </w:r>
      <w:r>
        <w:rPr>
          <w:rFonts w:ascii="宋体" w:hAnsi="宋体" w:cs="宋体" w:eastAsia="宋体" w:hint="default"/>
          <w:w w:val="99"/>
        </w:rPr>
        <w:t> </w:t>
      </w:r>
      <w:r>
        <w:rPr>
          <w:rFonts w:ascii="宋体" w:hAnsi="宋体" w:cs="宋体" w:eastAsia="宋体" w:hint="default"/>
          <w:b w:val="0"/>
          <w:bCs w:val="0"/>
        </w:rPr>
      </w:r>
    </w:p>
    <w:p>
      <w:pPr>
        <w:pStyle w:val="Heading2"/>
        <w:spacing w:line="240" w:lineRule="auto" w:before="69"/>
        <w:ind w:right="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BodyText"/>
        <w:spacing w:line="240" w:lineRule="auto" w:before="25"/>
        <w:ind w:right="0"/>
        <w:jc w:val="left"/>
        <w:rPr>
          <w:rFonts w:ascii="宋体" w:hAnsi="宋体" w:cs="宋体" w:eastAsia="宋体" w:hint="default"/>
        </w:rPr>
      </w:pPr>
      <w:r>
        <w:rPr>
          <w:rFonts w:ascii="宋体"/>
          <w:w w:val="100"/>
        </w:rPr>
        <w:t> </w:t>
      </w:r>
    </w:p>
    <w:p>
      <w:pPr>
        <w:pStyle w:val="Heading3"/>
        <w:tabs>
          <w:tab w:pos="642" w:val="left" w:leader="none"/>
        </w:tabs>
        <w:spacing w:line="240" w:lineRule="auto"/>
        <w:ind w:right="0"/>
        <w:jc w:val="left"/>
        <w:rPr>
          <w:rFonts w:ascii="宋体" w:hAnsi="宋体" w:cs="宋体" w:eastAsia="宋体" w:hint="default"/>
          <w:b w:val="0"/>
          <w:bCs w:val="0"/>
        </w:rPr>
      </w:pPr>
      <w:r>
        <w:rPr>
          <w:rFonts w:ascii="宋体" w:hAnsi="宋体" w:cs="宋体" w:eastAsia="宋体" w:hint="default"/>
          <w:w w:val="95"/>
        </w:rPr>
        <w:t>4</w:t>
        <w:tab/>
      </w:r>
      <w:r>
        <w:rPr/>
        <w:t>报告期内实际控制人变更情况索引及日期</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7"/>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2"/>
        <w:spacing w:line="240" w:lineRule="auto" w:before="9"/>
        <w:ind w:right="0"/>
        <w:jc w:val="left"/>
        <w:rPr>
          <w:rFonts w:ascii="宋体" w:hAnsi="宋体" w:cs="宋体" w:eastAsia="宋体" w:hint="default"/>
        </w:rPr>
      </w:pPr>
      <w:r>
        <w:rPr>
          <w:rFonts w:ascii="宋体"/>
        </w:rPr>
        <w:t> </w:t>
      </w:r>
    </w:p>
    <w:p>
      <w:pPr>
        <w:pStyle w:val="Heading3"/>
        <w:tabs>
          <w:tab w:pos="642" w:val="left" w:leader="none"/>
        </w:tabs>
        <w:spacing w:line="240" w:lineRule="auto" w:before="85"/>
        <w:ind w:right="0"/>
        <w:jc w:val="left"/>
        <w:rPr>
          <w:rFonts w:ascii="宋体" w:hAnsi="宋体" w:cs="宋体" w:eastAsia="宋体" w:hint="default"/>
          <w:b w:val="0"/>
          <w:bCs w:val="0"/>
        </w:rPr>
      </w:pPr>
      <w:r>
        <w:rPr>
          <w:rFonts w:ascii="宋体" w:hAnsi="宋体" w:cs="宋体" w:eastAsia="宋体" w:hint="default"/>
          <w:w w:val="95"/>
        </w:rPr>
        <w:t>5</w:t>
        <w:tab/>
      </w:r>
      <w:r>
        <w:rPr/>
        <w:t>公司与实际控制人之间的产权及控制关系的方框图</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7"/>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7"/>
        <w:rPr>
          <w:rFonts w:ascii="宋体" w:hAnsi="宋体" w:cs="宋体" w:eastAsia="宋体" w:hint="default"/>
          <w:sz w:val="10"/>
          <w:szCs w:val="10"/>
        </w:rPr>
      </w:pPr>
    </w:p>
    <w:p>
      <w:pPr>
        <w:spacing w:line="3254" w:lineRule="exact"/>
        <w:ind w:left="2263" w:right="0" w:firstLine="0"/>
        <w:rPr>
          <w:rFonts w:ascii="宋体" w:hAnsi="宋体" w:cs="宋体" w:eastAsia="宋体" w:hint="default"/>
          <w:sz w:val="20"/>
          <w:szCs w:val="20"/>
        </w:rPr>
      </w:pPr>
      <w:r>
        <w:rPr>
          <w:rFonts w:ascii="宋体" w:hAnsi="宋体" w:cs="宋体" w:eastAsia="宋体" w:hint="default"/>
          <w:position w:val="-64"/>
          <w:sz w:val="20"/>
          <w:szCs w:val="20"/>
        </w:rPr>
        <w:drawing>
          <wp:inline distT="0" distB="0" distL="0" distR="0">
            <wp:extent cx="3007059" cy="2066544"/>
            <wp:effectExtent l="0" t="0" r="0" b="0"/>
            <wp:docPr id="9" name="image6.jpeg" descr=""/>
            <wp:cNvGraphicFramePr>
              <a:graphicFrameLocks noChangeAspect="1"/>
            </wp:cNvGraphicFramePr>
            <a:graphic>
              <a:graphicData uri="http://schemas.openxmlformats.org/drawingml/2006/picture">
                <pic:pic>
                  <pic:nvPicPr>
                    <pic:cNvPr id="10" name="image6.jpeg"/>
                    <pic:cNvPicPr/>
                  </pic:nvPicPr>
                  <pic:blipFill>
                    <a:blip r:embed="rId40" cstate="print"/>
                    <a:stretch>
                      <a:fillRect/>
                    </a:stretch>
                  </pic:blipFill>
                  <pic:spPr>
                    <a:xfrm>
                      <a:off x="0" y="0"/>
                      <a:ext cx="3007059" cy="2066544"/>
                    </a:xfrm>
                    <a:prstGeom prst="rect">
                      <a:avLst/>
                    </a:prstGeom>
                  </pic:spPr>
                </pic:pic>
              </a:graphicData>
            </a:graphic>
          </wp:inline>
        </w:drawing>
      </w:r>
      <w:r>
        <w:rPr>
          <w:rFonts w:ascii="宋体" w:hAnsi="宋体" w:cs="宋体" w:eastAsia="宋体" w:hint="default"/>
          <w:position w:val="-64"/>
          <w:sz w:val="20"/>
          <w:szCs w:val="20"/>
        </w:rPr>
      </w:r>
    </w:p>
    <w:p>
      <w:pPr>
        <w:pStyle w:val="Heading2"/>
        <w:spacing w:line="240" w:lineRule="auto" w:before="49"/>
        <w:ind w:right="0"/>
        <w:jc w:val="left"/>
        <w:rPr>
          <w:rFonts w:ascii="宋体" w:hAnsi="宋体" w:cs="宋体" w:eastAsia="宋体" w:hint="default"/>
        </w:rPr>
      </w:pPr>
      <w:r>
        <w:rPr>
          <w:rFonts w:ascii="宋体"/>
        </w:rPr>
        <w:t> </w:t>
      </w:r>
    </w:p>
    <w:p>
      <w:pPr>
        <w:pStyle w:val="Heading3"/>
        <w:tabs>
          <w:tab w:pos="642" w:val="left" w:leader="none"/>
        </w:tabs>
        <w:spacing w:line="240" w:lineRule="auto" w:before="85"/>
        <w:ind w:right="0"/>
        <w:jc w:val="left"/>
        <w:rPr>
          <w:rFonts w:ascii="宋体" w:hAnsi="宋体" w:cs="宋体" w:eastAsia="宋体" w:hint="default"/>
          <w:b w:val="0"/>
          <w:bCs w:val="0"/>
        </w:rPr>
      </w:pPr>
      <w:r>
        <w:rPr>
          <w:rFonts w:ascii="宋体" w:hAnsi="宋体" w:cs="宋体" w:eastAsia="宋体" w:hint="default"/>
          <w:w w:val="95"/>
        </w:rPr>
        <w:t>6</w:t>
        <w:tab/>
      </w:r>
      <w:r>
        <w:rPr/>
        <w:t>实际控制人通过信托或其他资产管理方式控制公司</w:t>
      </w:r>
      <w:r>
        <w:rPr>
          <w:rFonts w:ascii="宋体" w:hAnsi="宋体" w:cs="宋体" w:eastAsia="宋体" w:hint="default"/>
          <w:w w:val="99"/>
        </w:rPr>
        <w:t> </w:t>
      </w:r>
      <w:r>
        <w:rPr>
          <w:rFonts w:ascii="宋体" w:hAnsi="宋体" w:cs="宋体" w:eastAsia="宋体" w:hint="default"/>
          <w:b w:val="0"/>
          <w:bCs w:val="0"/>
        </w:rPr>
      </w:r>
    </w:p>
    <w:p>
      <w:pPr>
        <w:pStyle w:val="Heading2"/>
        <w:spacing w:line="240" w:lineRule="auto" w:before="70"/>
        <w:ind w:right="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BodyText"/>
        <w:spacing w:line="240" w:lineRule="auto" w:before="25"/>
        <w:ind w:right="0"/>
        <w:jc w:val="left"/>
        <w:rPr>
          <w:rFonts w:ascii="宋体" w:hAnsi="宋体" w:cs="宋体" w:eastAsia="宋体" w:hint="default"/>
        </w:rPr>
      </w:pPr>
      <w:r>
        <w:rPr>
          <w:rFonts w:ascii="宋体"/>
          <w:w w:val="100"/>
        </w:rPr>
        <w:t> </w:t>
      </w:r>
    </w:p>
    <w:p>
      <w:pPr>
        <w:pStyle w:val="Heading3"/>
        <w:spacing w:line="240" w:lineRule="auto"/>
        <w:ind w:right="0"/>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29"/>
        </w:rPr>
        <w:t> </w:t>
      </w:r>
      <w:r>
        <w:rPr/>
        <w:t>控股股东及实际控制人其他情况介绍</w:t>
      </w:r>
      <w:r>
        <w:rPr>
          <w:b w:val="0"/>
          <w:bCs w:val="0"/>
        </w:rPr>
      </w:r>
    </w:p>
    <w:p>
      <w:pPr>
        <w:pStyle w:val="Heading2"/>
        <w:spacing w:line="240" w:lineRule="auto" w:before="42"/>
        <w:ind w:right="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BodyText"/>
        <w:spacing w:line="240" w:lineRule="auto" w:before="25"/>
        <w:ind w:left="638" w:right="0"/>
        <w:jc w:val="left"/>
      </w:pPr>
      <w:r>
        <w:rPr/>
        <w:t>截止本报告期末，启东市华虹电子有限公司持有本公司股份</w:t>
      </w:r>
      <w:r>
        <w:rPr>
          <w:spacing w:val="-55"/>
        </w:rPr>
        <w:t> </w:t>
      </w:r>
      <w:r>
        <w:rPr>
          <w:rFonts w:ascii="宋体" w:hAnsi="宋体" w:cs="宋体" w:eastAsia="宋体" w:hint="default"/>
        </w:rPr>
        <w:t>715,241,427</w:t>
      </w:r>
      <w:r>
        <w:rPr>
          <w:rFonts w:ascii="宋体" w:hAnsi="宋体" w:cs="宋体" w:eastAsia="宋体" w:hint="default"/>
          <w:spacing w:val="-55"/>
        </w:rPr>
        <w:t> </w:t>
      </w:r>
      <w:r>
        <w:rPr/>
        <w:t>股，占公司总股本</w:t>
      </w:r>
    </w:p>
    <w:p>
      <w:pPr>
        <w:pStyle w:val="BodyText"/>
        <w:spacing w:line="240" w:lineRule="auto" w:before="37"/>
        <w:ind w:right="0"/>
        <w:jc w:val="left"/>
      </w:pPr>
      <w:r>
        <w:rPr>
          <w:rFonts w:ascii="宋体" w:hAnsi="宋体" w:cs="宋体" w:eastAsia="宋体" w:hint="default"/>
          <w:spacing w:val="-4"/>
        </w:rPr>
        <w:t>40.69%</w:t>
      </w:r>
      <w:r>
        <w:rPr>
          <w:spacing w:val="-4"/>
        </w:rPr>
        <w:t>，为本公司的控股股东。陆永华先生直接持有本公司股份 </w:t>
      </w:r>
      <w:r>
        <w:rPr>
          <w:rFonts w:ascii="宋体" w:hAnsi="宋体" w:cs="宋体" w:eastAsia="宋体" w:hint="default"/>
        </w:rPr>
        <w:t>79,852,500</w:t>
      </w:r>
      <w:r>
        <w:rPr>
          <w:rFonts w:ascii="宋体" w:hAnsi="宋体" w:cs="宋体" w:eastAsia="宋体" w:hint="default"/>
          <w:spacing w:val="-35"/>
        </w:rPr>
        <w:t> </w:t>
      </w:r>
      <w:r>
        <w:rPr>
          <w:spacing w:val="-5"/>
        </w:rPr>
        <w:t>股，占公司总股本的</w:t>
      </w:r>
    </w:p>
    <w:p>
      <w:pPr>
        <w:pStyle w:val="BodyText"/>
        <w:spacing w:line="240" w:lineRule="auto" w:before="37"/>
        <w:ind w:right="0"/>
        <w:jc w:val="left"/>
        <w:rPr>
          <w:rFonts w:ascii="宋体" w:hAnsi="宋体" w:cs="宋体" w:eastAsia="宋体" w:hint="default"/>
        </w:rPr>
      </w:pPr>
      <w:r>
        <w:rPr>
          <w:rFonts w:ascii="宋体" w:hAnsi="宋体" w:cs="宋体" w:eastAsia="宋体" w:hint="default"/>
          <w:spacing w:val="-2"/>
        </w:rPr>
        <w:t>4.54%</w:t>
      </w:r>
      <w:r>
        <w:rPr>
          <w:spacing w:val="-2"/>
        </w:rPr>
        <w:t>。陆永华先生直接和间接合计持有公司</w:t>
      </w:r>
      <w:r>
        <w:rPr>
          <w:spacing w:val="17"/>
        </w:rPr>
        <w:t> </w:t>
      </w:r>
      <w:r>
        <w:rPr>
          <w:rFonts w:ascii="宋体" w:hAnsi="宋体" w:cs="宋体" w:eastAsia="宋体" w:hint="default"/>
          <w:spacing w:val="-2"/>
        </w:rPr>
        <w:t>41.16%</w:t>
      </w:r>
      <w:r>
        <w:rPr>
          <w:spacing w:val="-2"/>
        </w:rPr>
        <w:t>的股份，为公司实际控制人。</w:t>
      </w:r>
      <w:r>
        <w:rPr>
          <w:rFonts w:ascii="宋体" w:hAnsi="宋体" w:cs="宋体" w:eastAsia="宋体" w:hint="default"/>
        </w:rPr>
        <w:t> </w:t>
      </w:r>
    </w:p>
    <w:p>
      <w:pPr>
        <w:pStyle w:val="BodyText"/>
        <w:spacing w:line="240" w:lineRule="auto" w:before="37"/>
        <w:ind w:right="0"/>
        <w:jc w:val="left"/>
        <w:rPr>
          <w:rFonts w:ascii="宋体" w:hAnsi="宋体" w:cs="宋体" w:eastAsia="宋体" w:hint="default"/>
        </w:rPr>
      </w:pPr>
      <w:r>
        <w:rPr>
          <w:rFonts w:ascii="宋体"/>
          <w:w w:val="100"/>
        </w:rPr>
        <w:t> </w:t>
      </w:r>
    </w:p>
    <w:p>
      <w:pPr>
        <w:spacing w:after="0" w:line="240" w:lineRule="auto"/>
        <w:jc w:val="left"/>
        <w:rPr>
          <w:rFonts w:ascii="宋体" w:hAnsi="宋体" w:cs="宋体" w:eastAsia="宋体" w:hint="default"/>
        </w:rPr>
        <w:sectPr>
          <w:pgSz w:w="11910" w:h="16840"/>
          <w:pgMar w:header="747" w:footer="974" w:top="1140" w:bottom="1160" w:left="1580" w:right="1040"/>
        </w:sectPr>
      </w:pPr>
    </w:p>
    <w:p>
      <w:pPr>
        <w:spacing w:line="240" w:lineRule="auto" w:before="9"/>
        <w:rPr>
          <w:rFonts w:ascii="宋体" w:hAnsi="宋体" w:cs="宋体" w:eastAsia="宋体" w:hint="default"/>
          <w:sz w:val="25"/>
          <w:szCs w:val="25"/>
        </w:rPr>
      </w:pPr>
    </w:p>
    <w:p>
      <w:pPr>
        <w:pStyle w:val="Heading3"/>
        <w:spacing w:line="240" w:lineRule="auto" w:before="36"/>
        <w:ind w:right="0"/>
        <w:jc w:val="left"/>
        <w:rPr>
          <w:b w:val="0"/>
          <w:bCs w:val="0"/>
        </w:rPr>
      </w:pPr>
      <w:r>
        <w:rPr/>
        <w:t>五、</w:t>
      </w:r>
      <w:r>
        <w:rPr>
          <w:spacing w:val="-78"/>
        </w:rPr>
        <w:t> </w:t>
      </w:r>
      <w:r>
        <w:rPr>
          <w:rFonts w:ascii="宋体" w:hAnsi="宋体" w:cs="宋体" w:eastAsia="宋体" w:hint="default"/>
          <w:spacing w:val="-78"/>
        </w:rPr>
      </w:r>
      <w:r>
        <w:rPr/>
        <w:t>其他持股在百分之十以上的法人股东</w:t>
      </w:r>
      <w:r>
        <w:rPr>
          <w:b w:val="0"/>
          <w:bCs w:val="0"/>
        </w:rPr>
      </w:r>
    </w:p>
    <w:p>
      <w:pPr>
        <w:pStyle w:val="BodyText"/>
        <w:spacing w:line="240" w:lineRule="auto" w:before="97"/>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2"/>
        <w:spacing w:line="240" w:lineRule="auto" w:before="9"/>
        <w:ind w:right="0"/>
        <w:jc w:val="left"/>
        <w:rPr>
          <w:rFonts w:ascii="宋体" w:hAnsi="宋体" w:cs="宋体" w:eastAsia="宋体" w:hint="default"/>
        </w:rPr>
      </w:pPr>
      <w:r>
        <w:rPr>
          <w:rFonts w:ascii="宋体"/>
        </w:rPr>
        <w:t> </w:t>
      </w:r>
    </w:p>
    <w:p>
      <w:pPr>
        <w:pStyle w:val="Heading3"/>
        <w:spacing w:line="240" w:lineRule="auto" w:before="85"/>
        <w:ind w:right="0"/>
        <w:jc w:val="left"/>
        <w:rPr>
          <w:b w:val="0"/>
          <w:bCs w:val="0"/>
        </w:rPr>
      </w:pPr>
      <w:r>
        <w:rPr/>
        <w:t>六、</w:t>
      </w:r>
      <w:r>
        <w:rPr>
          <w:spacing w:val="-77"/>
        </w:rPr>
        <w:t> </w:t>
      </w:r>
      <w:r>
        <w:rPr>
          <w:rFonts w:ascii="宋体" w:hAnsi="宋体" w:cs="宋体" w:eastAsia="宋体" w:hint="default"/>
          <w:spacing w:val="-77"/>
        </w:rPr>
      </w:r>
      <w:r>
        <w:rPr/>
        <w:t>股份限制减持情况说明</w:t>
      </w:r>
      <w:r>
        <w:rPr>
          <w:b w:val="0"/>
          <w:bCs w:val="0"/>
        </w:rPr>
      </w:r>
    </w:p>
    <w:p>
      <w:pPr>
        <w:pStyle w:val="Heading2"/>
        <w:spacing w:line="313" w:lineRule="exact" w:before="69"/>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2"/>
        <w:spacing w:line="313" w:lineRule="exact"/>
        <w:ind w:right="0"/>
        <w:jc w:val="left"/>
        <w:rPr>
          <w:rFonts w:ascii="宋体" w:hAnsi="宋体" w:cs="宋体" w:eastAsia="宋体" w:hint="default"/>
        </w:rPr>
      </w:pPr>
      <w:r>
        <w:rPr>
          <w:rFonts w:ascii="宋体"/>
        </w:rPr>
        <w:t> </w:t>
      </w:r>
    </w:p>
    <w:p>
      <w:pPr>
        <w:spacing w:line="240" w:lineRule="auto" w:before="13"/>
        <w:rPr>
          <w:rFonts w:ascii="宋体" w:hAnsi="宋体" w:cs="宋体" w:eastAsia="宋体" w:hint="default"/>
          <w:sz w:val="12"/>
          <w:szCs w:val="12"/>
        </w:rPr>
      </w:pPr>
    </w:p>
    <w:p>
      <w:pPr>
        <w:pStyle w:val="Heading1"/>
        <w:tabs>
          <w:tab w:pos="4279" w:val="left" w:leader="none"/>
        </w:tabs>
        <w:spacing w:line="240" w:lineRule="auto"/>
        <w:ind w:left="3019" w:right="0"/>
        <w:jc w:val="left"/>
        <w:rPr>
          <w:rFonts w:ascii="黑体" w:hAnsi="黑体" w:cs="黑体" w:eastAsia="黑体" w:hint="default"/>
          <w:b w:val="0"/>
          <w:bCs w:val="0"/>
        </w:rPr>
      </w:pPr>
      <w:bookmarkStart w:name="_bookmark6" w:id="9"/>
      <w:bookmarkEnd w:id="9"/>
      <w:r>
        <w:rPr>
          <w:b w:val="0"/>
          <w:bCs w:val="0"/>
        </w:rPr>
      </w:r>
      <w:r>
        <w:rPr>
          <w:rFonts w:ascii="黑体" w:hAnsi="黑体" w:cs="黑体" w:eastAsia="黑体" w:hint="default"/>
          <w:w w:val="95"/>
        </w:rPr>
        <w:t>第七节</w:t>
      </w:r>
      <w:r>
        <w:rPr>
          <w:rFonts w:ascii="宋体" w:hAnsi="宋体" w:cs="宋体" w:eastAsia="宋体" w:hint="default"/>
          <w:w w:val="95"/>
        </w:rPr>
        <w:tab/>
      </w:r>
      <w:r>
        <w:rPr>
          <w:rFonts w:ascii="黑体" w:hAnsi="黑体" w:cs="黑体" w:eastAsia="黑体" w:hint="default"/>
        </w:rPr>
        <w:t>优先股相关情况</w:t>
      </w:r>
      <w:r>
        <w:rPr>
          <w:rFonts w:ascii="黑体" w:hAnsi="黑体" w:cs="黑体" w:eastAsia="黑体" w:hint="default"/>
          <w:b w:val="0"/>
          <w:bCs w:val="0"/>
        </w:rPr>
      </w:r>
    </w:p>
    <w:p>
      <w:pPr>
        <w:spacing w:line="240" w:lineRule="auto" w:before="9"/>
        <w:rPr>
          <w:rFonts w:ascii="黑体" w:hAnsi="黑体" w:cs="黑体" w:eastAsia="黑体" w:hint="default"/>
          <w:b/>
          <w:bCs/>
          <w:sz w:val="12"/>
          <w:szCs w:val="12"/>
        </w:rPr>
      </w:pPr>
    </w:p>
    <w:p>
      <w:pPr>
        <w:pStyle w:val="Heading2"/>
        <w:spacing w:line="313" w:lineRule="exact" w:before="26"/>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2"/>
        <w:spacing w:line="313" w:lineRule="exact"/>
        <w:ind w:right="0"/>
        <w:jc w:val="left"/>
        <w:rPr>
          <w:rFonts w:ascii="宋体" w:hAnsi="宋体" w:cs="宋体" w:eastAsia="宋体" w:hint="default"/>
        </w:rPr>
      </w:pPr>
      <w:r>
        <w:rPr>
          <w:rFonts w:ascii="宋体"/>
        </w:rPr>
        <w:t> </w:t>
      </w:r>
    </w:p>
    <w:p>
      <w:pPr>
        <w:spacing w:after="0" w:line="313" w:lineRule="exact"/>
        <w:jc w:val="left"/>
        <w:rPr>
          <w:rFonts w:ascii="宋体" w:hAnsi="宋体" w:cs="宋体" w:eastAsia="宋体" w:hint="default"/>
        </w:rPr>
        <w:sectPr>
          <w:pgSz w:w="11910" w:h="16840"/>
          <w:pgMar w:header="747" w:footer="974" w:top="1140" w:bottom="1160" w:left="1580" w:right="1140"/>
        </w:sectPr>
      </w:pPr>
    </w:p>
    <w:p>
      <w:pPr>
        <w:pStyle w:val="Heading1"/>
        <w:tabs>
          <w:tab w:pos="5401" w:val="left" w:leader="none"/>
        </w:tabs>
        <w:spacing w:line="240" w:lineRule="auto" w:before="88"/>
        <w:ind w:left="4141" w:right="0"/>
        <w:jc w:val="left"/>
        <w:rPr>
          <w:rFonts w:ascii="黑体" w:hAnsi="黑体" w:cs="黑体" w:eastAsia="黑体" w:hint="default"/>
          <w:b w:val="0"/>
          <w:bCs w:val="0"/>
        </w:rPr>
      </w:pPr>
      <w:bookmarkStart w:name="_bookmark7" w:id="10"/>
      <w:bookmarkEnd w:id="10"/>
      <w:r>
        <w:rPr>
          <w:b w:val="0"/>
          <w:bCs w:val="0"/>
        </w:rPr>
      </w:r>
      <w:r>
        <w:rPr>
          <w:rFonts w:ascii="黑体" w:hAnsi="黑体" w:cs="黑体" w:eastAsia="黑体" w:hint="default"/>
          <w:w w:val="95"/>
        </w:rPr>
        <w:t>第八节</w:t>
      </w:r>
      <w:r>
        <w:rPr>
          <w:rFonts w:ascii="宋体" w:hAnsi="宋体" w:cs="宋体" w:eastAsia="宋体" w:hint="default"/>
          <w:w w:val="95"/>
        </w:rPr>
        <w:tab/>
      </w:r>
      <w:r>
        <w:rPr>
          <w:rFonts w:ascii="黑体" w:hAnsi="黑体" w:cs="黑体" w:eastAsia="黑体" w:hint="default"/>
        </w:rPr>
        <w:t>董事、监事、高级管理人员和员工情况</w:t>
      </w:r>
      <w:r>
        <w:rPr>
          <w:rFonts w:ascii="黑体" w:hAnsi="黑体" w:cs="黑体" w:eastAsia="黑体" w:hint="default"/>
          <w:b w:val="0"/>
          <w:bCs w:val="0"/>
        </w:rPr>
      </w:r>
    </w:p>
    <w:p>
      <w:pPr>
        <w:spacing w:line="240" w:lineRule="auto" w:before="7"/>
        <w:rPr>
          <w:rFonts w:ascii="黑体" w:hAnsi="黑体" w:cs="黑体" w:eastAsia="黑体" w:hint="default"/>
          <w:b/>
          <w:bCs/>
          <w:sz w:val="16"/>
          <w:szCs w:val="16"/>
        </w:rPr>
      </w:pPr>
    </w:p>
    <w:p>
      <w:pPr>
        <w:spacing w:after="0" w:line="240" w:lineRule="auto"/>
        <w:rPr>
          <w:rFonts w:ascii="黑体" w:hAnsi="黑体" w:cs="黑体" w:eastAsia="黑体" w:hint="default"/>
          <w:sz w:val="16"/>
          <w:szCs w:val="16"/>
        </w:rPr>
        <w:sectPr>
          <w:headerReference w:type="default" r:id="rId41"/>
          <w:footerReference w:type="default" r:id="rId42"/>
          <w:pgSz w:w="16840" w:h="11910" w:orient="landscape"/>
          <w:pgMar w:header="747" w:footer="975" w:top="1140" w:bottom="1160" w:left="1300" w:right="1020"/>
          <w:pgNumType w:start="67"/>
        </w:sectPr>
      </w:pPr>
    </w:p>
    <w:p>
      <w:pPr>
        <w:pStyle w:val="Heading3"/>
        <w:spacing w:line="240" w:lineRule="auto" w:before="36"/>
        <w:ind w:left="224" w:right="-15"/>
        <w:jc w:val="left"/>
        <w:rPr>
          <w:b w:val="0"/>
          <w:bCs w:val="0"/>
        </w:rPr>
      </w:pPr>
      <w:r>
        <w:rPr/>
        <w:t>一、持股变动情况及报酬情况</w:t>
      </w:r>
      <w:r>
        <w:rPr>
          <w:b w:val="0"/>
          <w:bCs w:val="0"/>
        </w:rPr>
      </w:r>
    </w:p>
    <w:p>
      <w:pPr>
        <w:pStyle w:val="Heading3"/>
        <w:spacing w:line="240" w:lineRule="auto" w:before="56"/>
        <w:ind w:left="224" w:right="-15"/>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28"/>
        </w:rPr>
        <w:t> </w:t>
      </w:r>
      <w:r>
        <w:rPr/>
        <w:t>现任及报告期内离任董事、监事和高级管理人员持股变动及报酬情况</w:t>
      </w:r>
      <w:r>
        <w:rPr>
          <w:b w:val="0"/>
          <w:bCs w:val="0"/>
        </w:rPr>
      </w:r>
    </w:p>
    <w:p>
      <w:pPr>
        <w:pStyle w:val="Heading2"/>
        <w:spacing w:line="240" w:lineRule="auto" w:before="25"/>
        <w:ind w:left="224" w:right="-15"/>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7"/>
          <w:szCs w:val="17"/>
        </w:rPr>
      </w:pPr>
    </w:p>
    <w:p>
      <w:pPr>
        <w:pStyle w:val="BodyText"/>
        <w:spacing w:line="240" w:lineRule="auto"/>
        <w:ind w:left="224" w:right="0"/>
        <w:jc w:val="left"/>
        <w:rPr>
          <w:rFonts w:ascii="宋体" w:hAnsi="宋体" w:cs="宋体" w:eastAsia="宋体" w:hint="default"/>
        </w:rPr>
      </w:pPr>
      <w:r>
        <w:rPr/>
        <w:t>单位：股</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6840" w:h="11910" w:orient="landscape"/>
          <w:pgMar w:top="1580" w:bottom="280" w:left="1300" w:right="1020"/>
          <w:cols w:num="2" w:equalWidth="0">
            <w:col w:w="6971" w:space="6063"/>
            <w:col w:w="1486"/>
          </w:cols>
        </w:sectPr>
      </w:pPr>
    </w:p>
    <w:p>
      <w:pPr>
        <w:spacing w:line="240" w:lineRule="auto" w:before="7"/>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1056"/>
        <w:gridCol w:w="1723"/>
        <w:gridCol w:w="564"/>
        <w:gridCol w:w="577"/>
        <w:gridCol w:w="1222"/>
        <w:gridCol w:w="1219"/>
        <w:gridCol w:w="1152"/>
        <w:gridCol w:w="1205"/>
        <w:gridCol w:w="1346"/>
        <w:gridCol w:w="1546"/>
        <w:gridCol w:w="1548"/>
        <w:gridCol w:w="1126"/>
      </w:tblGrid>
      <w:tr>
        <w:trPr>
          <w:trHeight w:val="977" w:hRule="exact"/>
        </w:trPr>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left="90" w:right="0"/>
              <w:jc w:val="center"/>
              <w:rPr>
                <w:rFonts w:ascii="宋体" w:hAnsi="宋体" w:cs="宋体" w:eastAsia="宋体" w:hint="default"/>
                <w:sz w:val="18"/>
                <w:szCs w:val="18"/>
              </w:rPr>
            </w:pPr>
            <w:r>
              <w:rPr>
                <w:rFonts w:ascii="宋体" w:hAnsi="宋体" w:cs="宋体" w:eastAsia="宋体" w:hint="default"/>
                <w:sz w:val="18"/>
                <w:szCs w:val="18"/>
              </w:rPr>
              <w:t>姓名</w:t>
            </w:r>
            <w:r>
              <w:rPr>
                <w:rFonts w:ascii="宋体" w:hAnsi="宋体" w:cs="宋体" w:eastAsia="宋体" w:hint="default"/>
                <w:sz w:val="18"/>
                <w:szCs w:val="18"/>
              </w:rPr>
              <w:t> </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left="90" w:right="0"/>
              <w:jc w:val="center"/>
              <w:rPr>
                <w:rFonts w:ascii="宋体" w:hAnsi="宋体" w:cs="宋体" w:eastAsia="宋体" w:hint="default"/>
                <w:sz w:val="18"/>
                <w:szCs w:val="18"/>
              </w:rPr>
            </w:pPr>
            <w:r>
              <w:rPr>
                <w:rFonts w:ascii="宋体" w:hAnsi="宋体" w:cs="宋体" w:eastAsia="宋体" w:hint="default"/>
                <w:sz w:val="18"/>
                <w:szCs w:val="18"/>
              </w:rPr>
              <w:t>职务</w:t>
            </w: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z w:val="18"/>
                <w:szCs w:val="18"/>
              </w:rPr>
              <w:t>) </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187" w:right="95"/>
              <w:jc w:val="left"/>
              <w:rPr>
                <w:rFonts w:ascii="宋体" w:hAnsi="宋体" w:cs="宋体" w:eastAsia="宋体" w:hint="default"/>
                <w:sz w:val="18"/>
                <w:szCs w:val="18"/>
              </w:rPr>
            </w:pPr>
            <w:r>
              <w:rPr>
                <w:rFonts w:ascii="宋体" w:hAnsi="宋体" w:cs="宋体" w:eastAsia="宋体" w:hint="default"/>
                <w:sz w:val="18"/>
                <w:szCs w:val="18"/>
              </w:rPr>
              <w:t>性 别</w:t>
            </w:r>
            <w:r>
              <w:rPr>
                <w:rFonts w:ascii="宋体" w:hAnsi="宋体" w:cs="宋体" w:eastAsia="宋体" w:hint="default"/>
                <w:sz w:val="18"/>
                <w:szCs w:val="18"/>
              </w:rPr>
              <w:t> </w:t>
            </w: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194" w:right="100"/>
              <w:jc w:val="left"/>
              <w:rPr>
                <w:rFonts w:ascii="宋体" w:hAnsi="宋体" w:cs="宋体" w:eastAsia="宋体" w:hint="default"/>
                <w:sz w:val="18"/>
                <w:szCs w:val="18"/>
              </w:rPr>
            </w:pPr>
            <w:r>
              <w:rPr>
                <w:rFonts w:ascii="宋体" w:hAnsi="宋体" w:cs="宋体" w:eastAsia="宋体" w:hint="default"/>
                <w:sz w:val="18"/>
                <w:szCs w:val="18"/>
              </w:rPr>
              <w:t>年 龄</w:t>
            </w:r>
            <w:r>
              <w:rPr>
                <w:rFonts w:ascii="宋体" w:hAnsi="宋体" w:cs="宋体" w:eastAsia="宋体" w:hint="default"/>
                <w:sz w:val="18"/>
                <w:szCs w:val="18"/>
              </w:rPr>
              <w:t> </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515" w:right="155" w:hanging="360"/>
              <w:jc w:val="left"/>
              <w:rPr>
                <w:rFonts w:ascii="宋体" w:hAnsi="宋体" w:cs="宋体" w:eastAsia="宋体" w:hint="default"/>
                <w:sz w:val="18"/>
                <w:szCs w:val="18"/>
              </w:rPr>
            </w:pPr>
            <w:r>
              <w:rPr>
                <w:rFonts w:ascii="宋体" w:hAnsi="宋体" w:cs="宋体" w:eastAsia="宋体" w:hint="default"/>
                <w:sz w:val="18"/>
                <w:szCs w:val="18"/>
              </w:rPr>
              <w:t>任期起始日 期</w:t>
            </w:r>
            <w:r>
              <w:rPr>
                <w:rFonts w:ascii="宋体" w:hAnsi="宋体" w:cs="宋体" w:eastAsia="宋体" w:hint="default"/>
                <w:sz w:val="18"/>
                <w:szCs w:val="18"/>
              </w:rPr>
              <w:t> </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513" w:right="155" w:hanging="360"/>
              <w:jc w:val="left"/>
              <w:rPr>
                <w:rFonts w:ascii="宋体" w:hAnsi="宋体" w:cs="宋体" w:eastAsia="宋体" w:hint="default"/>
                <w:sz w:val="18"/>
                <w:szCs w:val="18"/>
              </w:rPr>
            </w:pPr>
            <w:r>
              <w:rPr>
                <w:rFonts w:ascii="宋体" w:hAnsi="宋体" w:cs="宋体" w:eastAsia="宋体" w:hint="default"/>
                <w:sz w:val="18"/>
                <w:szCs w:val="18"/>
              </w:rPr>
              <w:t>任期终止日 期</w:t>
            </w:r>
            <w:r>
              <w:rPr>
                <w:rFonts w:ascii="宋体" w:hAnsi="宋体" w:cs="宋体" w:eastAsia="宋体" w:hint="default"/>
                <w:sz w:val="18"/>
                <w:szCs w:val="18"/>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right="30"/>
              <w:jc w:val="right"/>
              <w:rPr>
                <w:rFonts w:ascii="宋体" w:hAnsi="宋体" w:cs="宋体" w:eastAsia="宋体" w:hint="default"/>
                <w:sz w:val="18"/>
                <w:szCs w:val="18"/>
              </w:rPr>
            </w:pPr>
            <w:r>
              <w:rPr>
                <w:rFonts w:ascii="宋体" w:hAnsi="宋体" w:cs="宋体" w:eastAsia="宋体" w:hint="default"/>
                <w:sz w:val="18"/>
                <w:szCs w:val="18"/>
              </w:rPr>
              <w:t>年初持股数</w:t>
            </w:r>
            <w:r>
              <w:rPr>
                <w:rFonts w:ascii="宋体" w:hAnsi="宋体" w:cs="宋体" w:eastAsia="宋体" w:hint="default"/>
                <w:sz w:val="18"/>
                <w:szCs w:val="18"/>
              </w:rPr>
              <w:t> </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right="54"/>
              <w:jc w:val="right"/>
              <w:rPr>
                <w:rFonts w:ascii="宋体" w:hAnsi="宋体" w:cs="宋体" w:eastAsia="宋体" w:hint="default"/>
                <w:sz w:val="18"/>
                <w:szCs w:val="18"/>
              </w:rPr>
            </w:pPr>
            <w:r>
              <w:rPr>
                <w:rFonts w:ascii="宋体" w:hAnsi="宋体" w:cs="宋体" w:eastAsia="宋体" w:hint="default"/>
                <w:sz w:val="18"/>
                <w:szCs w:val="18"/>
              </w:rPr>
              <w:t>年末持股数</w:t>
            </w:r>
            <w:r>
              <w:rPr>
                <w:rFonts w:ascii="宋体" w:hAnsi="宋体" w:cs="宋体" w:eastAsia="宋体" w:hint="default"/>
                <w:sz w:val="18"/>
                <w:szCs w:val="18"/>
              </w:rPr>
              <w:t> </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307" w:right="127" w:hanging="180"/>
              <w:jc w:val="left"/>
              <w:rPr>
                <w:rFonts w:ascii="宋体" w:hAnsi="宋体" w:cs="宋体" w:eastAsia="宋体" w:hint="default"/>
                <w:sz w:val="18"/>
                <w:szCs w:val="18"/>
              </w:rPr>
            </w:pPr>
            <w:r>
              <w:rPr>
                <w:rFonts w:ascii="宋体" w:hAnsi="宋体" w:cs="宋体" w:eastAsia="宋体" w:hint="default"/>
                <w:sz w:val="18"/>
                <w:szCs w:val="18"/>
              </w:rPr>
              <w:t>年度内股份增 减变动量</w:t>
            </w:r>
            <w:r>
              <w:rPr>
                <w:rFonts w:ascii="宋体" w:hAnsi="宋体" w:cs="宋体" w:eastAsia="宋体" w:hint="default"/>
                <w:sz w:val="18"/>
                <w:szCs w:val="18"/>
              </w:rPr>
              <w:t> </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增减变动原因</w:t>
            </w:r>
            <w:r>
              <w:rPr>
                <w:rFonts w:ascii="宋体" w:hAnsi="宋体" w:cs="宋体" w:eastAsia="宋体" w:hint="default"/>
                <w:sz w:val="18"/>
                <w:szCs w:val="18"/>
              </w:rPr>
              <w:t> </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6"/>
              <w:ind w:left="139" w:right="137"/>
              <w:jc w:val="both"/>
              <w:rPr>
                <w:rFonts w:ascii="宋体" w:hAnsi="宋体" w:cs="宋体" w:eastAsia="宋体" w:hint="default"/>
                <w:sz w:val="18"/>
                <w:szCs w:val="18"/>
              </w:rPr>
            </w:pPr>
            <w:r>
              <w:rPr>
                <w:rFonts w:ascii="宋体" w:hAnsi="宋体" w:cs="宋体" w:eastAsia="宋体" w:hint="default"/>
                <w:sz w:val="18"/>
                <w:szCs w:val="18"/>
              </w:rPr>
              <w:t>报告期内从公司 获得的税前报酬 总额（万元）</w:t>
            </w:r>
            <w:r>
              <w:rPr>
                <w:rFonts w:ascii="宋体" w:hAnsi="宋体" w:cs="宋体" w:eastAsia="宋体" w:hint="default"/>
                <w:sz w:val="18"/>
                <w:szCs w:val="18"/>
              </w:rPr>
              <w:t> </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6"/>
              <w:ind w:left="108" w:right="107"/>
              <w:jc w:val="center"/>
              <w:rPr>
                <w:rFonts w:ascii="宋体" w:hAnsi="宋体" w:cs="宋体" w:eastAsia="宋体" w:hint="default"/>
                <w:sz w:val="18"/>
                <w:szCs w:val="18"/>
              </w:rPr>
            </w:pPr>
            <w:r>
              <w:rPr>
                <w:rFonts w:ascii="宋体" w:hAnsi="宋体" w:cs="宋体" w:eastAsia="宋体" w:hint="default"/>
                <w:sz w:val="18"/>
                <w:szCs w:val="18"/>
              </w:rPr>
              <w:t>是否在公司 关联方获取 报酬</w:t>
            </w:r>
            <w:r>
              <w:rPr>
                <w:rFonts w:ascii="宋体" w:hAnsi="宋体" w:cs="宋体" w:eastAsia="宋体" w:hint="default"/>
                <w:sz w:val="18"/>
                <w:szCs w:val="18"/>
              </w:rPr>
              <w:t> </w:t>
            </w:r>
          </w:p>
        </w:tc>
      </w:tr>
      <w:tr>
        <w:trPr>
          <w:trHeight w:val="710" w:hRule="exact"/>
        </w:trPr>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87" w:right="0"/>
              <w:jc w:val="center"/>
              <w:rPr>
                <w:rFonts w:ascii="宋体" w:hAnsi="宋体" w:cs="宋体" w:eastAsia="宋体" w:hint="default"/>
                <w:sz w:val="18"/>
                <w:szCs w:val="18"/>
              </w:rPr>
            </w:pPr>
            <w:r>
              <w:rPr>
                <w:rFonts w:ascii="宋体" w:hAnsi="宋体" w:cs="宋体" w:eastAsia="宋体" w:hint="default"/>
                <w:sz w:val="18"/>
                <w:szCs w:val="18"/>
              </w:rPr>
              <w:t>陆永华</w:t>
            </w:r>
            <w:r>
              <w:rPr>
                <w:rFonts w:ascii="宋体" w:hAnsi="宋体" w:cs="宋体" w:eastAsia="宋体" w:hint="default"/>
                <w:sz w:val="18"/>
                <w:szCs w:val="18"/>
              </w:rPr>
              <w:t> </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87" w:right="0"/>
              <w:jc w:val="center"/>
              <w:rPr>
                <w:rFonts w:ascii="宋体" w:hAnsi="宋体" w:cs="宋体" w:eastAsia="宋体" w:hint="default"/>
                <w:sz w:val="18"/>
                <w:szCs w:val="18"/>
              </w:rPr>
            </w:pPr>
            <w:r>
              <w:rPr>
                <w:rFonts w:ascii="宋体" w:hAnsi="宋体" w:cs="宋体" w:eastAsia="宋体" w:hint="default"/>
                <w:sz w:val="18"/>
                <w:szCs w:val="18"/>
              </w:rPr>
              <w:t>董事长、总经理</w:t>
            </w:r>
            <w:r>
              <w:rPr>
                <w:rFonts w:ascii="宋体" w:hAnsi="宋体" w:cs="宋体" w:eastAsia="宋体" w:hint="default"/>
                <w:sz w:val="18"/>
                <w:szCs w:val="18"/>
              </w:rPr>
              <w:t> </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95"/>
              <w:jc w:val="right"/>
              <w:rPr>
                <w:rFonts w:ascii="宋体" w:hAnsi="宋体" w:cs="宋体" w:eastAsia="宋体" w:hint="default"/>
                <w:sz w:val="18"/>
                <w:szCs w:val="18"/>
              </w:rPr>
            </w:pPr>
            <w:r>
              <w:rPr>
                <w:rFonts w:ascii="宋体" w:hAnsi="宋体" w:cs="宋体" w:eastAsia="宋体" w:hint="default"/>
                <w:sz w:val="18"/>
                <w:szCs w:val="18"/>
              </w:rPr>
              <w:t>男</w:t>
            </w:r>
            <w:r>
              <w:rPr>
                <w:rFonts w:ascii="宋体" w:hAnsi="宋体" w:cs="宋体" w:eastAsia="宋体" w:hint="default"/>
                <w:sz w:val="18"/>
                <w:szCs w:val="18"/>
              </w:rPr>
              <w:t> </w:t>
            </w: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57</w:t>
            </w:r>
            <w:r>
              <w:rPr>
                <w:rFonts w:ascii="宋体"/>
                <w:sz w:val="18"/>
              </w:rPr>
              <w:t> </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4" w:right="0"/>
              <w:jc w:val="left"/>
              <w:rPr>
                <w:rFonts w:ascii="宋体" w:hAnsi="宋体" w:cs="宋体" w:eastAsia="宋体" w:hint="default"/>
                <w:sz w:val="18"/>
                <w:szCs w:val="18"/>
              </w:rPr>
            </w:pPr>
            <w:r>
              <w:rPr>
                <w:rFonts w:ascii="宋体"/>
                <w:sz w:val="18"/>
              </w:rPr>
              <w:t>2010/2/2 </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52"/>
              <w:jc w:val="right"/>
              <w:rPr>
                <w:rFonts w:ascii="宋体" w:hAnsi="宋体" w:cs="宋体" w:eastAsia="宋体" w:hint="default"/>
                <w:sz w:val="18"/>
                <w:szCs w:val="18"/>
              </w:rPr>
            </w:pPr>
            <w:r>
              <w:rPr>
                <w:rFonts w:ascii="宋体"/>
                <w:spacing w:val="-1"/>
                <w:sz w:val="18"/>
              </w:rPr>
              <w:t>2022/3/1</w:t>
            </w:r>
            <w:r>
              <w:rPr>
                <w:rFonts w:ascii="宋体"/>
                <w:sz w:val="18"/>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z w:val="18"/>
              </w:rPr>
              <w:t>0 </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8"/>
              <w:jc w:val="right"/>
              <w:rPr>
                <w:rFonts w:ascii="宋体" w:hAnsi="宋体" w:cs="宋体" w:eastAsia="宋体" w:hint="default"/>
                <w:sz w:val="18"/>
                <w:szCs w:val="18"/>
              </w:rPr>
            </w:pPr>
            <w:r>
              <w:rPr>
                <w:rFonts w:ascii="宋体"/>
                <w:spacing w:val="-1"/>
                <w:sz w:val="18"/>
              </w:rPr>
              <w:t>79,852,500</w:t>
            </w:r>
            <w:r>
              <w:rPr>
                <w:rFonts w:ascii="宋体"/>
                <w:sz w:val="18"/>
              </w:rPr>
              <w:t> </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79,852,500</w:t>
            </w:r>
            <w:r>
              <w:rPr>
                <w:rFonts w:ascii="宋体"/>
                <w:sz w:val="18"/>
              </w:rPr>
              <w:t> </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pacing w:val="12"/>
                <w:sz w:val="18"/>
                <w:szCs w:val="18"/>
              </w:rPr>
              <w:t>由通过上海会逸</w:t>
            </w:r>
            <w:r>
              <w:rPr>
                <w:rFonts w:ascii="宋体" w:hAnsi="宋体" w:cs="宋体" w:eastAsia="宋体" w:hint="default"/>
                <w:sz w:val="18"/>
                <w:szCs w:val="18"/>
              </w:rPr>
            </w:r>
          </w:p>
          <w:p>
            <w:pPr>
              <w:pStyle w:val="TableParagraph"/>
              <w:spacing w:line="232" w:lineRule="exact" w:before="24"/>
              <w:ind w:left="105" w:right="86"/>
              <w:jc w:val="left"/>
              <w:rPr>
                <w:rFonts w:ascii="宋体" w:hAnsi="宋体" w:cs="宋体" w:eastAsia="宋体" w:hint="default"/>
                <w:sz w:val="18"/>
                <w:szCs w:val="18"/>
              </w:rPr>
            </w:pPr>
            <w:r>
              <w:rPr>
                <w:rFonts w:ascii="宋体" w:hAnsi="宋体" w:cs="宋体" w:eastAsia="宋体" w:hint="default"/>
                <w:spacing w:val="12"/>
                <w:sz w:val="18"/>
                <w:szCs w:val="18"/>
              </w:rPr>
              <w:t>间接持股转为直 </w:t>
            </w:r>
            <w:r>
              <w:rPr>
                <w:rFonts w:ascii="宋体" w:hAnsi="宋体" w:cs="宋体" w:eastAsia="宋体" w:hint="default"/>
                <w:sz w:val="18"/>
                <w:szCs w:val="18"/>
              </w:rPr>
              <w:t>接持股</w:t>
            </w:r>
            <w:r>
              <w:rPr>
                <w:rFonts w:ascii="宋体" w:hAnsi="宋体" w:cs="宋体" w:eastAsia="宋体" w:hint="default"/>
                <w:sz w:val="18"/>
                <w:szCs w:val="18"/>
              </w:rPr>
              <w:t> </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z w:val="18"/>
              </w:rPr>
              <w:t>24.00 </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377"/>
              <w:jc w:val="righ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r>
      <w:tr>
        <w:trPr>
          <w:trHeight w:val="710" w:hRule="exact"/>
        </w:trPr>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87" w:right="0"/>
              <w:jc w:val="center"/>
              <w:rPr>
                <w:rFonts w:ascii="宋体" w:hAnsi="宋体" w:cs="宋体" w:eastAsia="宋体" w:hint="default"/>
                <w:sz w:val="18"/>
                <w:szCs w:val="18"/>
              </w:rPr>
            </w:pPr>
            <w:r>
              <w:rPr>
                <w:rFonts w:ascii="宋体" w:hAnsi="宋体" w:cs="宋体" w:eastAsia="宋体" w:hint="default"/>
                <w:sz w:val="18"/>
                <w:szCs w:val="18"/>
              </w:rPr>
              <w:t>沈凯平</w:t>
            </w:r>
            <w:r>
              <w:rPr>
                <w:rFonts w:ascii="宋体" w:hAnsi="宋体" w:cs="宋体" w:eastAsia="宋体" w:hint="default"/>
                <w:sz w:val="18"/>
                <w:szCs w:val="18"/>
              </w:rPr>
              <w:t> </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90" w:right="0"/>
              <w:jc w:val="center"/>
              <w:rPr>
                <w:rFonts w:ascii="宋体" w:hAnsi="宋体" w:cs="宋体" w:eastAsia="宋体" w:hint="default"/>
                <w:sz w:val="18"/>
                <w:szCs w:val="18"/>
              </w:rPr>
            </w:pPr>
            <w:r>
              <w:rPr>
                <w:rFonts w:ascii="宋体" w:hAnsi="宋体" w:cs="宋体" w:eastAsia="宋体" w:hint="default"/>
                <w:sz w:val="18"/>
                <w:szCs w:val="18"/>
              </w:rPr>
              <w:t>副董事长</w:t>
            </w:r>
            <w:r>
              <w:rPr>
                <w:rFonts w:ascii="宋体" w:hAnsi="宋体" w:cs="宋体" w:eastAsia="宋体" w:hint="default"/>
                <w:sz w:val="18"/>
                <w:szCs w:val="18"/>
              </w:rPr>
              <w:t> </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95"/>
              <w:jc w:val="right"/>
              <w:rPr>
                <w:rFonts w:ascii="宋体" w:hAnsi="宋体" w:cs="宋体" w:eastAsia="宋体" w:hint="default"/>
                <w:sz w:val="18"/>
                <w:szCs w:val="18"/>
              </w:rPr>
            </w:pPr>
            <w:r>
              <w:rPr>
                <w:rFonts w:ascii="宋体" w:hAnsi="宋体" w:cs="宋体" w:eastAsia="宋体" w:hint="default"/>
                <w:sz w:val="18"/>
                <w:szCs w:val="18"/>
              </w:rPr>
              <w:t>男</w:t>
            </w:r>
            <w:r>
              <w:rPr>
                <w:rFonts w:ascii="宋体" w:hAnsi="宋体" w:cs="宋体" w:eastAsia="宋体" w:hint="default"/>
                <w:sz w:val="18"/>
                <w:szCs w:val="18"/>
              </w:rPr>
              <w:t> </w:t>
            </w: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64</w:t>
            </w:r>
            <w:r>
              <w:rPr>
                <w:rFonts w:ascii="宋体"/>
                <w:sz w:val="18"/>
              </w:rPr>
              <w:t> </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9" w:right="0"/>
              <w:jc w:val="left"/>
              <w:rPr>
                <w:rFonts w:ascii="宋体" w:hAnsi="宋体" w:cs="宋体" w:eastAsia="宋体" w:hint="default"/>
                <w:sz w:val="18"/>
                <w:szCs w:val="18"/>
              </w:rPr>
            </w:pPr>
            <w:r>
              <w:rPr>
                <w:rFonts w:ascii="宋体"/>
                <w:sz w:val="18"/>
              </w:rPr>
              <w:t>2012/3/16 </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52"/>
              <w:jc w:val="right"/>
              <w:rPr>
                <w:rFonts w:ascii="宋体" w:hAnsi="宋体" w:cs="宋体" w:eastAsia="宋体" w:hint="default"/>
                <w:sz w:val="18"/>
                <w:szCs w:val="18"/>
              </w:rPr>
            </w:pPr>
            <w:r>
              <w:rPr>
                <w:rFonts w:ascii="宋体"/>
                <w:spacing w:val="-1"/>
                <w:sz w:val="18"/>
              </w:rPr>
              <w:t>2022/3/1</w:t>
            </w:r>
            <w:r>
              <w:rPr>
                <w:rFonts w:ascii="宋体"/>
                <w:sz w:val="18"/>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643,750</w:t>
            </w:r>
            <w:r>
              <w:rPr>
                <w:rFonts w:ascii="宋体"/>
                <w:sz w:val="18"/>
              </w:rPr>
              <w:t> </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8"/>
              <w:jc w:val="right"/>
              <w:rPr>
                <w:rFonts w:ascii="宋体" w:hAnsi="宋体" w:cs="宋体" w:eastAsia="宋体" w:hint="default"/>
                <w:sz w:val="18"/>
                <w:szCs w:val="18"/>
              </w:rPr>
            </w:pPr>
            <w:r>
              <w:rPr>
                <w:rFonts w:ascii="宋体"/>
                <w:spacing w:val="-1"/>
                <w:sz w:val="18"/>
              </w:rPr>
              <w:t>568,750</w:t>
            </w:r>
            <w:r>
              <w:rPr>
                <w:rFonts w:ascii="宋体"/>
                <w:sz w:val="18"/>
              </w:rPr>
              <w:t> </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-75,000</w:t>
            </w:r>
            <w:r>
              <w:rPr>
                <w:rFonts w:ascii="宋体"/>
                <w:sz w:val="18"/>
              </w:rPr>
              <w:t> </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pacing w:val="12"/>
                <w:sz w:val="18"/>
                <w:szCs w:val="18"/>
              </w:rPr>
              <w:t>第二期股权激励</w:t>
            </w:r>
            <w:r>
              <w:rPr>
                <w:rFonts w:ascii="宋体" w:hAnsi="宋体" w:cs="宋体" w:eastAsia="宋体" w:hint="default"/>
                <w:sz w:val="18"/>
                <w:szCs w:val="18"/>
              </w:rPr>
            </w:r>
          </w:p>
          <w:p>
            <w:pPr>
              <w:pStyle w:val="TableParagraph"/>
              <w:spacing w:line="232" w:lineRule="exact" w:before="24"/>
              <w:ind w:left="105" w:right="86"/>
              <w:jc w:val="left"/>
              <w:rPr>
                <w:rFonts w:ascii="宋体" w:hAnsi="宋体" w:cs="宋体" w:eastAsia="宋体" w:hint="default"/>
                <w:sz w:val="18"/>
                <w:szCs w:val="18"/>
              </w:rPr>
            </w:pPr>
            <w:r>
              <w:rPr>
                <w:rFonts w:ascii="宋体" w:hAnsi="宋体" w:cs="宋体" w:eastAsia="宋体" w:hint="default"/>
                <w:spacing w:val="12"/>
                <w:sz w:val="18"/>
                <w:szCs w:val="18"/>
              </w:rPr>
              <w:t>计划部分限制性 </w:t>
            </w:r>
            <w:r>
              <w:rPr>
                <w:rFonts w:ascii="宋体" w:hAnsi="宋体" w:cs="宋体" w:eastAsia="宋体" w:hint="default"/>
                <w:sz w:val="18"/>
                <w:szCs w:val="18"/>
              </w:rPr>
              <w:t>股票回购注销</w:t>
            </w:r>
            <w:r>
              <w:rPr>
                <w:rFonts w:ascii="宋体" w:hAnsi="宋体" w:cs="宋体" w:eastAsia="宋体" w:hint="default"/>
                <w:sz w:val="18"/>
                <w:szCs w:val="18"/>
              </w:rPr>
              <w:t> </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z w:val="18"/>
              </w:rPr>
              <w:t>50.40 </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377"/>
              <w:jc w:val="righ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r>
      <w:tr>
        <w:trPr>
          <w:trHeight w:val="245" w:hRule="exact"/>
        </w:trPr>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7" w:right="0"/>
              <w:jc w:val="center"/>
              <w:rPr>
                <w:rFonts w:ascii="宋体" w:hAnsi="宋体" w:cs="宋体" w:eastAsia="宋体" w:hint="default"/>
                <w:sz w:val="18"/>
                <w:szCs w:val="18"/>
              </w:rPr>
            </w:pPr>
            <w:r>
              <w:rPr>
                <w:rFonts w:ascii="宋体" w:hAnsi="宋体" w:cs="宋体" w:eastAsia="宋体" w:hint="default"/>
                <w:sz w:val="18"/>
                <w:szCs w:val="18"/>
              </w:rPr>
              <w:t>陆永新</w:t>
            </w:r>
            <w:r>
              <w:rPr>
                <w:rFonts w:ascii="宋体" w:hAnsi="宋体" w:cs="宋体" w:eastAsia="宋体" w:hint="default"/>
                <w:sz w:val="18"/>
                <w:szCs w:val="18"/>
              </w:rPr>
              <w:t> </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90" w:right="0"/>
              <w:jc w:val="center"/>
              <w:rPr>
                <w:rFonts w:ascii="宋体" w:hAnsi="宋体" w:cs="宋体" w:eastAsia="宋体" w:hint="default"/>
                <w:sz w:val="18"/>
                <w:szCs w:val="18"/>
              </w:rPr>
            </w:pPr>
            <w:r>
              <w:rPr>
                <w:rFonts w:ascii="宋体" w:hAnsi="宋体" w:cs="宋体" w:eastAsia="宋体" w:hint="default"/>
                <w:sz w:val="18"/>
                <w:szCs w:val="18"/>
              </w:rPr>
              <w:t>董事</w:t>
            </w:r>
            <w:r>
              <w:rPr>
                <w:rFonts w:ascii="宋体" w:hAnsi="宋体" w:cs="宋体" w:eastAsia="宋体" w:hint="default"/>
                <w:sz w:val="18"/>
                <w:szCs w:val="18"/>
              </w:rPr>
              <w:t> </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5"/>
              <w:jc w:val="right"/>
              <w:rPr>
                <w:rFonts w:ascii="宋体" w:hAnsi="宋体" w:cs="宋体" w:eastAsia="宋体" w:hint="default"/>
                <w:sz w:val="18"/>
                <w:szCs w:val="18"/>
              </w:rPr>
            </w:pPr>
            <w:r>
              <w:rPr>
                <w:rFonts w:ascii="宋体" w:hAnsi="宋体" w:cs="宋体" w:eastAsia="宋体" w:hint="default"/>
                <w:sz w:val="18"/>
                <w:szCs w:val="18"/>
              </w:rPr>
              <w:t>男</w:t>
            </w:r>
            <w:r>
              <w:rPr>
                <w:rFonts w:ascii="宋体" w:hAnsi="宋体" w:cs="宋体" w:eastAsia="宋体" w:hint="default"/>
                <w:sz w:val="18"/>
                <w:szCs w:val="18"/>
              </w:rPr>
              <w:t> </w:t>
            </w: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60</w:t>
            </w:r>
            <w:r>
              <w:rPr>
                <w:rFonts w:ascii="宋体"/>
                <w:sz w:val="18"/>
              </w:rPr>
              <w:t> </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4" w:right="0"/>
              <w:jc w:val="left"/>
              <w:rPr>
                <w:rFonts w:ascii="宋体" w:hAnsi="宋体" w:cs="宋体" w:eastAsia="宋体" w:hint="default"/>
                <w:sz w:val="18"/>
                <w:szCs w:val="18"/>
              </w:rPr>
            </w:pPr>
            <w:r>
              <w:rPr>
                <w:rFonts w:ascii="宋体"/>
                <w:sz w:val="18"/>
              </w:rPr>
              <w:t>2010/2/2 </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52"/>
              <w:jc w:val="right"/>
              <w:rPr>
                <w:rFonts w:ascii="宋体" w:hAnsi="宋体" w:cs="宋体" w:eastAsia="宋体" w:hint="default"/>
                <w:sz w:val="18"/>
                <w:szCs w:val="18"/>
              </w:rPr>
            </w:pPr>
            <w:r>
              <w:rPr>
                <w:rFonts w:ascii="宋体"/>
                <w:spacing w:val="-1"/>
                <w:sz w:val="18"/>
              </w:rPr>
              <w:t>2022/3/1</w:t>
            </w:r>
            <w:r>
              <w:rPr>
                <w:rFonts w:ascii="宋体"/>
                <w:sz w:val="18"/>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0 </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0 </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sz w:val="18"/>
              </w:rPr>
              <w:t> </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29.50 </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77"/>
              <w:jc w:val="righ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r>
      <w:tr>
        <w:trPr>
          <w:trHeight w:val="475" w:hRule="exact"/>
        </w:trPr>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87" w:right="0"/>
              <w:jc w:val="center"/>
              <w:rPr>
                <w:rFonts w:ascii="宋体" w:hAnsi="宋体" w:cs="宋体" w:eastAsia="宋体" w:hint="default"/>
                <w:sz w:val="18"/>
                <w:szCs w:val="18"/>
              </w:rPr>
            </w:pPr>
            <w:r>
              <w:rPr>
                <w:rFonts w:ascii="宋体" w:hAnsi="宋体" w:cs="宋体" w:eastAsia="宋体" w:hint="default"/>
                <w:sz w:val="18"/>
                <w:szCs w:val="18"/>
              </w:rPr>
              <w:t>虞海娟</w:t>
            </w:r>
            <w:r>
              <w:rPr>
                <w:rFonts w:ascii="宋体" w:hAnsi="宋体" w:cs="宋体" w:eastAsia="宋体" w:hint="default"/>
                <w:sz w:val="18"/>
                <w:szCs w:val="18"/>
              </w:rPr>
              <w:t> </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sz w:val="18"/>
                <w:szCs w:val="18"/>
              </w:rPr>
              <w:t>董事、副总经理、</w:t>
            </w:r>
          </w:p>
          <w:p>
            <w:pPr>
              <w:pStyle w:val="TableParagraph"/>
              <w:spacing w:line="234" w:lineRule="exact"/>
              <w:ind w:left="87" w:right="0"/>
              <w:jc w:val="center"/>
              <w:rPr>
                <w:rFonts w:ascii="宋体" w:hAnsi="宋体" w:cs="宋体" w:eastAsia="宋体" w:hint="default"/>
                <w:sz w:val="18"/>
                <w:szCs w:val="18"/>
              </w:rPr>
            </w:pPr>
            <w:r>
              <w:rPr>
                <w:rFonts w:ascii="宋体" w:hAnsi="宋体" w:cs="宋体" w:eastAsia="宋体" w:hint="default"/>
                <w:sz w:val="18"/>
                <w:szCs w:val="18"/>
              </w:rPr>
              <w:t>财务负责人</w:t>
            </w:r>
            <w:r>
              <w:rPr>
                <w:rFonts w:ascii="宋体" w:hAnsi="宋体" w:cs="宋体" w:eastAsia="宋体" w:hint="default"/>
                <w:sz w:val="18"/>
                <w:szCs w:val="18"/>
              </w:rPr>
              <w:t> </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95"/>
              <w:jc w:val="right"/>
              <w:rPr>
                <w:rFonts w:ascii="宋体" w:hAnsi="宋体" w:cs="宋体" w:eastAsia="宋体" w:hint="default"/>
                <w:sz w:val="18"/>
                <w:szCs w:val="18"/>
              </w:rPr>
            </w:pPr>
            <w:r>
              <w:rPr>
                <w:rFonts w:ascii="宋体" w:hAnsi="宋体" w:cs="宋体" w:eastAsia="宋体" w:hint="default"/>
                <w:sz w:val="18"/>
                <w:szCs w:val="18"/>
              </w:rPr>
              <w:t>女</w:t>
            </w:r>
            <w:r>
              <w:rPr>
                <w:rFonts w:ascii="宋体" w:hAnsi="宋体" w:cs="宋体" w:eastAsia="宋体" w:hint="default"/>
                <w:sz w:val="18"/>
                <w:szCs w:val="18"/>
              </w:rPr>
              <w:t> </w:t>
            </w: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0"/>
              <w:jc w:val="right"/>
              <w:rPr>
                <w:rFonts w:ascii="宋体" w:hAnsi="宋体" w:cs="宋体" w:eastAsia="宋体" w:hint="default"/>
                <w:sz w:val="18"/>
                <w:szCs w:val="18"/>
              </w:rPr>
            </w:pPr>
            <w:r>
              <w:rPr>
                <w:rFonts w:ascii="宋体"/>
                <w:spacing w:val="-1"/>
                <w:sz w:val="18"/>
              </w:rPr>
              <w:t>48</w:t>
            </w:r>
            <w:r>
              <w:rPr>
                <w:rFonts w:ascii="宋体"/>
                <w:sz w:val="18"/>
              </w:rPr>
              <w:t> </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244" w:right="0"/>
              <w:jc w:val="left"/>
              <w:rPr>
                <w:rFonts w:ascii="宋体" w:hAnsi="宋体" w:cs="宋体" w:eastAsia="宋体" w:hint="default"/>
                <w:sz w:val="18"/>
                <w:szCs w:val="18"/>
              </w:rPr>
            </w:pPr>
            <w:r>
              <w:rPr>
                <w:rFonts w:ascii="宋体"/>
                <w:sz w:val="18"/>
              </w:rPr>
              <w:t>2010/2/2 </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52"/>
              <w:jc w:val="right"/>
              <w:rPr>
                <w:rFonts w:ascii="宋体" w:hAnsi="宋体" w:cs="宋体" w:eastAsia="宋体" w:hint="default"/>
                <w:sz w:val="18"/>
                <w:szCs w:val="18"/>
              </w:rPr>
            </w:pPr>
            <w:r>
              <w:rPr>
                <w:rFonts w:ascii="宋体"/>
                <w:spacing w:val="-1"/>
                <w:sz w:val="18"/>
              </w:rPr>
              <w:t>2022/3/1</w:t>
            </w:r>
            <w:r>
              <w:rPr>
                <w:rFonts w:ascii="宋体"/>
                <w:sz w:val="18"/>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pacing w:val="-1"/>
                <w:sz w:val="18"/>
              </w:rPr>
              <w:t>26,150,000 </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8"/>
              <w:jc w:val="right"/>
              <w:rPr>
                <w:rFonts w:ascii="宋体" w:hAnsi="宋体" w:cs="宋体" w:eastAsia="宋体" w:hint="default"/>
                <w:sz w:val="18"/>
                <w:szCs w:val="18"/>
              </w:rPr>
            </w:pPr>
            <w:r>
              <w:rPr>
                <w:rFonts w:ascii="宋体"/>
                <w:spacing w:val="-1"/>
                <w:sz w:val="18"/>
              </w:rPr>
              <w:t>26,150,000</w:t>
            </w:r>
            <w:r>
              <w:rPr>
                <w:rFonts w:ascii="宋体"/>
                <w:sz w:val="18"/>
              </w:rPr>
              <w:t> </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z w:val="18"/>
              </w:rPr>
              <w:t> </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5" w:right="0"/>
              <w:jc w:val="left"/>
              <w:rPr>
                <w:rFonts w:ascii="宋体" w:hAnsi="宋体" w:cs="宋体" w:eastAsia="宋体" w:hint="default"/>
                <w:sz w:val="18"/>
                <w:szCs w:val="18"/>
              </w:rPr>
            </w:pPr>
            <w:r>
              <w:rPr>
                <w:rFonts w:ascii="宋体"/>
                <w:sz w:val="18"/>
              </w:rPr>
              <w:t> </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z w:val="18"/>
              </w:rPr>
              <w:t>52.80 </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377"/>
              <w:jc w:val="righ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r>
      <w:tr>
        <w:trPr>
          <w:trHeight w:val="245" w:hRule="exact"/>
        </w:trPr>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7" w:right="0"/>
              <w:jc w:val="center"/>
              <w:rPr>
                <w:rFonts w:ascii="宋体" w:hAnsi="宋体" w:cs="宋体" w:eastAsia="宋体" w:hint="default"/>
                <w:sz w:val="18"/>
                <w:szCs w:val="18"/>
              </w:rPr>
            </w:pPr>
            <w:r>
              <w:rPr>
                <w:rFonts w:ascii="宋体" w:hAnsi="宋体" w:cs="宋体" w:eastAsia="宋体" w:hint="default"/>
                <w:sz w:val="18"/>
                <w:szCs w:val="18"/>
              </w:rPr>
              <w:t>贾丽娜</w:t>
            </w:r>
            <w:r>
              <w:rPr>
                <w:rFonts w:ascii="宋体" w:hAnsi="宋体" w:cs="宋体" w:eastAsia="宋体" w:hint="default"/>
                <w:sz w:val="18"/>
                <w:szCs w:val="18"/>
              </w:rPr>
              <w:t> </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90" w:right="0"/>
              <w:jc w:val="center"/>
              <w:rPr>
                <w:rFonts w:ascii="宋体" w:hAnsi="宋体" w:cs="宋体" w:eastAsia="宋体" w:hint="default"/>
                <w:sz w:val="18"/>
                <w:szCs w:val="18"/>
              </w:rPr>
            </w:pPr>
            <w:r>
              <w:rPr>
                <w:rFonts w:ascii="宋体" w:hAnsi="宋体" w:cs="宋体" w:eastAsia="宋体" w:hint="default"/>
                <w:sz w:val="18"/>
                <w:szCs w:val="18"/>
              </w:rPr>
              <w:t>独立董事</w:t>
            </w:r>
            <w:r>
              <w:rPr>
                <w:rFonts w:ascii="宋体" w:hAnsi="宋体" w:cs="宋体" w:eastAsia="宋体" w:hint="default"/>
                <w:sz w:val="18"/>
                <w:szCs w:val="18"/>
              </w:rPr>
              <w:t> </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5"/>
              <w:jc w:val="right"/>
              <w:rPr>
                <w:rFonts w:ascii="宋体" w:hAnsi="宋体" w:cs="宋体" w:eastAsia="宋体" w:hint="default"/>
                <w:sz w:val="18"/>
                <w:szCs w:val="18"/>
              </w:rPr>
            </w:pPr>
            <w:r>
              <w:rPr>
                <w:rFonts w:ascii="宋体" w:hAnsi="宋体" w:cs="宋体" w:eastAsia="宋体" w:hint="default"/>
                <w:sz w:val="18"/>
                <w:szCs w:val="18"/>
              </w:rPr>
              <w:t>女</w:t>
            </w:r>
            <w:r>
              <w:rPr>
                <w:rFonts w:ascii="宋体" w:hAnsi="宋体" w:cs="宋体" w:eastAsia="宋体" w:hint="default"/>
                <w:sz w:val="18"/>
                <w:szCs w:val="18"/>
              </w:rPr>
              <w:t> </w:t>
            </w: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54</w:t>
            </w:r>
            <w:r>
              <w:rPr>
                <w:rFonts w:ascii="宋体"/>
                <w:sz w:val="18"/>
              </w:rPr>
              <w:t> </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99" w:right="0"/>
              <w:jc w:val="left"/>
              <w:rPr>
                <w:rFonts w:ascii="宋体" w:hAnsi="宋体" w:cs="宋体" w:eastAsia="宋体" w:hint="default"/>
                <w:sz w:val="18"/>
                <w:szCs w:val="18"/>
              </w:rPr>
            </w:pPr>
            <w:r>
              <w:rPr>
                <w:rFonts w:ascii="宋体"/>
                <w:sz w:val="18"/>
              </w:rPr>
              <w:t>2016/2/23 </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52"/>
              <w:jc w:val="right"/>
              <w:rPr>
                <w:rFonts w:ascii="宋体" w:hAnsi="宋体" w:cs="宋体" w:eastAsia="宋体" w:hint="default"/>
                <w:sz w:val="18"/>
                <w:szCs w:val="18"/>
              </w:rPr>
            </w:pPr>
            <w:r>
              <w:rPr>
                <w:rFonts w:ascii="宋体"/>
                <w:spacing w:val="-1"/>
                <w:sz w:val="18"/>
              </w:rPr>
              <w:t>2022/3/1</w:t>
            </w:r>
            <w:r>
              <w:rPr>
                <w:rFonts w:ascii="宋体"/>
                <w:sz w:val="18"/>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0 </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0 </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sz w:val="18"/>
              </w:rPr>
              <w:t> </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7.20</w:t>
            </w:r>
            <w:r>
              <w:rPr>
                <w:rFonts w:ascii="宋体"/>
                <w:sz w:val="18"/>
              </w:rPr>
              <w:t> </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77"/>
              <w:jc w:val="righ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r>
      <w:tr>
        <w:trPr>
          <w:trHeight w:val="242" w:hRule="exact"/>
        </w:trPr>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7" w:right="0"/>
              <w:jc w:val="center"/>
              <w:rPr>
                <w:rFonts w:ascii="宋体" w:hAnsi="宋体" w:cs="宋体" w:eastAsia="宋体" w:hint="default"/>
                <w:sz w:val="18"/>
                <w:szCs w:val="18"/>
              </w:rPr>
            </w:pPr>
            <w:r>
              <w:rPr>
                <w:rFonts w:ascii="宋体" w:hAnsi="宋体" w:cs="宋体" w:eastAsia="宋体" w:hint="default"/>
                <w:sz w:val="18"/>
                <w:szCs w:val="18"/>
              </w:rPr>
              <w:t>蔡克亮</w:t>
            </w:r>
            <w:r>
              <w:rPr>
                <w:rFonts w:ascii="宋体" w:hAnsi="宋体" w:cs="宋体" w:eastAsia="宋体" w:hint="default"/>
                <w:sz w:val="18"/>
                <w:szCs w:val="18"/>
              </w:rPr>
              <w:t> </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90" w:right="0"/>
              <w:jc w:val="center"/>
              <w:rPr>
                <w:rFonts w:ascii="宋体" w:hAnsi="宋体" w:cs="宋体" w:eastAsia="宋体" w:hint="default"/>
                <w:sz w:val="18"/>
                <w:szCs w:val="18"/>
              </w:rPr>
            </w:pPr>
            <w:r>
              <w:rPr>
                <w:rFonts w:ascii="宋体" w:hAnsi="宋体" w:cs="宋体" w:eastAsia="宋体" w:hint="default"/>
                <w:sz w:val="18"/>
                <w:szCs w:val="18"/>
              </w:rPr>
              <w:t>独立董事</w:t>
            </w:r>
            <w:r>
              <w:rPr>
                <w:rFonts w:ascii="宋体" w:hAnsi="宋体" w:cs="宋体" w:eastAsia="宋体" w:hint="default"/>
                <w:sz w:val="18"/>
                <w:szCs w:val="18"/>
              </w:rPr>
              <w:t> </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5"/>
              <w:jc w:val="right"/>
              <w:rPr>
                <w:rFonts w:ascii="宋体" w:hAnsi="宋体" w:cs="宋体" w:eastAsia="宋体" w:hint="default"/>
                <w:sz w:val="18"/>
                <w:szCs w:val="18"/>
              </w:rPr>
            </w:pPr>
            <w:r>
              <w:rPr>
                <w:rFonts w:ascii="宋体" w:hAnsi="宋体" w:cs="宋体" w:eastAsia="宋体" w:hint="default"/>
                <w:sz w:val="18"/>
                <w:szCs w:val="18"/>
              </w:rPr>
              <w:t>男</w:t>
            </w:r>
            <w:r>
              <w:rPr>
                <w:rFonts w:ascii="宋体" w:hAnsi="宋体" w:cs="宋体" w:eastAsia="宋体" w:hint="default"/>
                <w:sz w:val="18"/>
                <w:szCs w:val="18"/>
              </w:rPr>
              <w:t> </w:t>
            </w: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46</w:t>
            </w:r>
            <w:r>
              <w:rPr>
                <w:rFonts w:ascii="宋体"/>
                <w:sz w:val="18"/>
              </w:rPr>
              <w:t> </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99" w:right="0"/>
              <w:jc w:val="left"/>
              <w:rPr>
                <w:rFonts w:ascii="宋体" w:hAnsi="宋体" w:cs="宋体" w:eastAsia="宋体" w:hint="default"/>
                <w:sz w:val="18"/>
                <w:szCs w:val="18"/>
              </w:rPr>
            </w:pPr>
            <w:r>
              <w:rPr>
                <w:rFonts w:ascii="宋体"/>
                <w:sz w:val="18"/>
              </w:rPr>
              <w:t>2016/2/23 </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52"/>
              <w:jc w:val="right"/>
              <w:rPr>
                <w:rFonts w:ascii="宋体" w:hAnsi="宋体" w:cs="宋体" w:eastAsia="宋体" w:hint="default"/>
                <w:sz w:val="18"/>
                <w:szCs w:val="18"/>
              </w:rPr>
            </w:pPr>
            <w:r>
              <w:rPr>
                <w:rFonts w:ascii="宋体"/>
                <w:spacing w:val="-1"/>
                <w:sz w:val="18"/>
              </w:rPr>
              <w:t>2022/3/1</w:t>
            </w:r>
            <w:r>
              <w:rPr>
                <w:rFonts w:ascii="宋体"/>
                <w:sz w:val="18"/>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0 </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0 </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sz w:val="18"/>
              </w:rPr>
              <w:t> </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7.20</w:t>
            </w:r>
            <w:r>
              <w:rPr>
                <w:rFonts w:ascii="宋体"/>
                <w:sz w:val="18"/>
              </w:rPr>
              <w:t> </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77"/>
              <w:jc w:val="righ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r>
      <w:tr>
        <w:trPr>
          <w:trHeight w:val="245" w:hRule="exact"/>
        </w:trPr>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90" w:right="0"/>
              <w:jc w:val="center"/>
              <w:rPr>
                <w:rFonts w:ascii="宋体" w:hAnsi="宋体" w:cs="宋体" w:eastAsia="宋体" w:hint="default"/>
                <w:sz w:val="18"/>
                <w:szCs w:val="18"/>
              </w:rPr>
            </w:pPr>
            <w:r>
              <w:rPr>
                <w:rFonts w:ascii="宋体" w:hAnsi="宋体" w:cs="宋体" w:eastAsia="宋体" w:hint="default"/>
                <w:sz w:val="18"/>
                <w:szCs w:val="18"/>
              </w:rPr>
              <w:t>苏凯</w:t>
            </w:r>
            <w:r>
              <w:rPr>
                <w:rFonts w:ascii="宋体" w:hAnsi="宋体" w:cs="宋体" w:eastAsia="宋体" w:hint="default"/>
                <w:sz w:val="18"/>
                <w:szCs w:val="18"/>
              </w:rPr>
              <w:t> </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90" w:right="0"/>
              <w:jc w:val="center"/>
              <w:rPr>
                <w:rFonts w:ascii="宋体" w:hAnsi="宋体" w:cs="宋体" w:eastAsia="宋体" w:hint="default"/>
                <w:sz w:val="18"/>
                <w:szCs w:val="18"/>
              </w:rPr>
            </w:pPr>
            <w:r>
              <w:rPr>
                <w:rFonts w:ascii="宋体" w:hAnsi="宋体" w:cs="宋体" w:eastAsia="宋体" w:hint="default"/>
                <w:sz w:val="18"/>
                <w:szCs w:val="18"/>
              </w:rPr>
              <w:t>独立董事</w:t>
            </w:r>
            <w:r>
              <w:rPr>
                <w:rFonts w:ascii="宋体" w:hAnsi="宋体" w:cs="宋体" w:eastAsia="宋体" w:hint="default"/>
                <w:sz w:val="18"/>
                <w:szCs w:val="18"/>
              </w:rPr>
              <w:t> </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5"/>
              <w:jc w:val="right"/>
              <w:rPr>
                <w:rFonts w:ascii="宋体" w:hAnsi="宋体" w:cs="宋体" w:eastAsia="宋体" w:hint="default"/>
                <w:sz w:val="18"/>
                <w:szCs w:val="18"/>
              </w:rPr>
            </w:pPr>
            <w:r>
              <w:rPr>
                <w:rFonts w:ascii="宋体" w:hAnsi="宋体" w:cs="宋体" w:eastAsia="宋体" w:hint="default"/>
                <w:sz w:val="18"/>
                <w:szCs w:val="18"/>
              </w:rPr>
              <w:t>男</w:t>
            </w:r>
            <w:r>
              <w:rPr>
                <w:rFonts w:ascii="宋体" w:hAnsi="宋体" w:cs="宋体" w:eastAsia="宋体" w:hint="default"/>
                <w:sz w:val="18"/>
                <w:szCs w:val="18"/>
              </w:rPr>
              <w:t> </w:t>
            </w: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42</w:t>
            </w:r>
            <w:r>
              <w:rPr>
                <w:rFonts w:ascii="宋体"/>
                <w:sz w:val="18"/>
              </w:rPr>
              <w:t> </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4" w:right="0"/>
              <w:jc w:val="left"/>
              <w:rPr>
                <w:rFonts w:ascii="宋体" w:hAnsi="宋体" w:cs="宋体" w:eastAsia="宋体" w:hint="default"/>
                <w:sz w:val="18"/>
                <w:szCs w:val="18"/>
              </w:rPr>
            </w:pPr>
            <w:r>
              <w:rPr>
                <w:rFonts w:ascii="宋体"/>
                <w:sz w:val="18"/>
              </w:rPr>
              <w:t>2019/3/1 </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52"/>
              <w:jc w:val="right"/>
              <w:rPr>
                <w:rFonts w:ascii="宋体" w:hAnsi="宋体" w:cs="宋体" w:eastAsia="宋体" w:hint="default"/>
                <w:sz w:val="18"/>
                <w:szCs w:val="18"/>
              </w:rPr>
            </w:pPr>
            <w:r>
              <w:rPr>
                <w:rFonts w:ascii="宋体"/>
                <w:spacing w:val="-1"/>
                <w:sz w:val="18"/>
              </w:rPr>
              <w:t>2022/3/1</w:t>
            </w:r>
            <w:r>
              <w:rPr>
                <w:rFonts w:ascii="宋体"/>
                <w:sz w:val="18"/>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21,000</w:t>
            </w:r>
            <w:r>
              <w:rPr>
                <w:rFonts w:ascii="宋体"/>
                <w:sz w:val="18"/>
              </w:rPr>
              <w:t> </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pacing w:val="-1"/>
                <w:sz w:val="18"/>
              </w:rPr>
              <w:t>21,000</w:t>
            </w:r>
            <w:r>
              <w:rPr>
                <w:rFonts w:ascii="宋体"/>
                <w:sz w:val="18"/>
              </w:rPr>
              <w:t> </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sz w:val="18"/>
              </w:rPr>
              <w:t> </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3.60</w:t>
            </w:r>
            <w:r>
              <w:rPr>
                <w:rFonts w:ascii="宋体"/>
                <w:sz w:val="18"/>
              </w:rPr>
              <w:t> </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77"/>
              <w:jc w:val="righ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r>
      <w:tr>
        <w:trPr>
          <w:trHeight w:val="242" w:hRule="exact"/>
        </w:trPr>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7" w:right="0"/>
              <w:jc w:val="center"/>
              <w:rPr>
                <w:rFonts w:ascii="宋体" w:hAnsi="宋体" w:cs="宋体" w:eastAsia="宋体" w:hint="default"/>
                <w:sz w:val="18"/>
                <w:szCs w:val="18"/>
              </w:rPr>
            </w:pPr>
            <w:r>
              <w:rPr>
                <w:rFonts w:ascii="宋体" w:hAnsi="宋体" w:cs="宋体" w:eastAsia="宋体" w:hint="default"/>
                <w:sz w:val="18"/>
                <w:szCs w:val="18"/>
              </w:rPr>
              <w:t>黄大森</w:t>
            </w:r>
            <w:r>
              <w:rPr>
                <w:rFonts w:ascii="宋体" w:hAnsi="宋体" w:cs="宋体" w:eastAsia="宋体" w:hint="default"/>
                <w:sz w:val="18"/>
                <w:szCs w:val="18"/>
              </w:rPr>
              <w:t> </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90" w:right="0"/>
              <w:jc w:val="center"/>
              <w:rPr>
                <w:rFonts w:ascii="宋体" w:hAnsi="宋体" w:cs="宋体" w:eastAsia="宋体" w:hint="default"/>
                <w:sz w:val="18"/>
                <w:szCs w:val="18"/>
              </w:rPr>
            </w:pPr>
            <w:r>
              <w:rPr>
                <w:rFonts w:ascii="宋体" w:hAnsi="宋体" w:cs="宋体" w:eastAsia="宋体" w:hint="default"/>
                <w:sz w:val="18"/>
                <w:szCs w:val="18"/>
              </w:rPr>
              <w:t>独立董事</w:t>
            </w:r>
            <w:r>
              <w:rPr>
                <w:rFonts w:ascii="宋体" w:hAnsi="宋体" w:cs="宋体" w:eastAsia="宋体" w:hint="default"/>
                <w:sz w:val="18"/>
                <w:szCs w:val="18"/>
              </w:rPr>
              <w:t> </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5"/>
              <w:jc w:val="right"/>
              <w:rPr>
                <w:rFonts w:ascii="宋体" w:hAnsi="宋体" w:cs="宋体" w:eastAsia="宋体" w:hint="default"/>
                <w:sz w:val="18"/>
                <w:szCs w:val="18"/>
              </w:rPr>
            </w:pPr>
            <w:r>
              <w:rPr>
                <w:rFonts w:ascii="宋体" w:hAnsi="宋体" w:cs="宋体" w:eastAsia="宋体" w:hint="default"/>
                <w:sz w:val="18"/>
                <w:szCs w:val="18"/>
              </w:rPr>
              <w:t>男</w:t>
            </w:r>
            <w:r>
              <w:rPr>
                <w:rFonts w:ascii="宋体" w:hAnsi="宋体" w:cs="宋体" w:eastAsia="宋体" w:hint="default"/>
                <w:sz w:val="18"/>
                <w:szCs w:val="18"/>
              </w:rPr>
              <w:t> </w:t>
            </w: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67</w:t>
            </w:r>
            <w:r>
              <w:rPr>
                <w:rFonts w:ascii="宋体"/>
                <w:sz w:val="18"/>
              </w:rPr>
              <w:t> </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4" w:right="0"/>
              <w:jc w:val="left"/>
              <w:rPr>
                <w:rFonts w:ascii="宋体" w:hAnsi="宋体" w:cs="宋体" w:eastAsia="宋体" w:hint="default"/>
                <w:sz w:val="18"/>
                <w:szCs w:val="18"/>
              </w:rPr>
            </w:pPr>
            <w:r>
              <w:rPr>
                <w:rFonts w:ascii="宋体"/>
                <w:sz w:val="18"/>
              </w:rPr>
              <w:t>2017/7/6 </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52"/>
              <w:jc w:val="right"/>
              <w:rPr>
                <w:rFonts w:ascii="宋体" w:hAnsi="宋体" w:cs="宋体" w:eastAsia="宋体" w:hint="default"/>
                <w:sz w:val="18"/>
                <w:szCs w:val="18"/>
              </w:rPr>
            </w:pPr>
            <w:r>
              <w:rPr>
                <w:rFonts w:ascii="宋体"/>
                <w:spacing w:val="-1"/>
                <w:sz w:val="18"/>
              </w:rPr>
              <w:t>2019/3/1</w:t>
            </w:r>
            <w:r>
              <w:rPr>
                <w:rFonts w:ascii="宋体"/>
                <w:sz w:val="18"/>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0 </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0 </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sz w:val="18"/>
              </w:rPr>
              <w:t> </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3.60</w:t>
            </w:r>
            <w:r>
              <w:rPr>
                <w:rFonts w:ascii="宋体"/>
                <w:sz w:val="18"/>
              </w:rPr>
              <w:t> </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77"/>
              <w:jc w:val="righ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r>
      <w:tr>
        <w:trPr>
          <w:trHeight w:val="242" w:hRule="exact"/>
        </w:trPr>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7" w:right="0"/>
              <w:jc w:val="center"/>
              <w:rPr>
                <w:rFonts w:ascii="宋体" w:hAnsi="宋体" w:cs="宋体" w:eastAsia="宋体" w:hint="default"/>
                <w:sz w:val="18"/>
                <w:szCs w:val="18"/>
              </w:rPr>
            </w:pPr>
            <w:r>
              <w:rPr>
                <w:rFonts w:ascii="宋体" w:hAnsi="宋体" w:cs="宋体" w:eastAsia="宋体" w:hint="default"/>
                <w:sz w:val="18"/>
                <w:szCs w:val="18"/>
              </w:rPr>
              <w:t>张桂琴</w:t>
            </w:r>
            <w:r>
              <w:rPr>
                <w:rFonts w:ascii="宋体" w:hAnsi="宋体" w:cs="宋体" w:eastAsia="宋体" w:hint="default"/>
                <w:sz w:val="18"/>
                <w:szCs w:val="18"/>
              </w:rPr>
              <w:t> </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7" w:right="0"/>
              <w:jc w:val="center"/>
              <w:rPr>
                <w:rFonts w:ascii="宋体" w:hAnsi="宋体" w:cs="宋体" w:eastAsia="宋体" w:hint="default"/>
                <w:sz w:val="18"/>
                <w:szCs w:val="18"/>
              </w:rPr>
            </w:pPr>
            <w:r>
              <w:rPr>
                <w:rFonts w:ascii="宋体" w:hAnsi="宋体" w:cs="宋体" w:eastAsia="宋体" w:hint="default"/>
                <w:sz w:val="18"/>
                <w:szCs w:val="18"/>
              </w:rPr>
              <w:t>监事会主席</w:t>
            </w:r>
            <w:r>
              <w:rPr>
                <w:rFonts w:ascii="宋体" w:hAnsi="宋体" w:cs="宋体" w:eastAsia="宋体" w:hint="default"/>
                <w:sz w:val="18"/>
                <w:szCs w:val="18"/>
              </w:rPr>
              <w:t> </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5"/>
              <w:jc w:val="right"/>
              <w:rPr>
                <w:rFonts w:ascii="宋体" w:hAnsi="宋体" w:cs="宋体" w:eastAsia="宋体" w:hint="default"/>
                <w:sz w:val="18"/>
                <w:szCs w:val="18"/>
              </w:rPr>
            </w:pPr>
            <w:r>
              <w:rPr>
                <w:rFonts w:ascii="宋体" w:hAnsi="宋体" w:cs="宋体" w:eastAsia="宋体" w:hint="default"/>
                <w:sz w:val="18"/>
                <w:szCs w:val="18"/>
              </w:rPr>
              <w:t>女</w:t>
            </w:r>
            <w:r>
              <w:rPr>
                <w:rFonts w:ascii="宋体" w:hAnsi="宋体" w:cs="宋体" w:eastAsia="宋体" w:hint="default"/>
                <w:sz w:val="18"/>
                <w:szCs w:val="18"/>
              </w:rPr>
              <w:t> </w:t>
            </w: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58</w:t>
            </w:r>
            <w:r>
              <w:rPr>
                <w:rFonts w:ascii="宋体"/>
                <w:sz w:val="18"/>
              </w:rPr>
              <w:t> </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4" w:right="0"/>
              <w:jc w:val="left"/>
              <w:rPr>
                <w:rFonts w:ascii="宋体" w:hAnsi="宋体" w:cs="宋体" w:eastAsia="宋体" w:hint="default"/>
                <w:sz w:val="18"/>
                <w:szCs w:val="18"/>
              </w:rPr>
            </w:pPr>
            <w:r>
              <w:rPr>
                <w:rFonts w:ascii="宋体"/>
                <w:sz w:val="18"/>
              </w:rPr>
              <w:t>2010/2/2 </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52"/>
              <w:jc w:val="right"/>
              <w:rPr>
                <w:rFonts w:ascii="宋体" w:hAnsi="宋体" w:cs="宋体" w:eastAsia="宋体" w:hint="default"/>
                <w:sz w:val="18"/>
                <w:szCs w:val="18"/>
              </w:rPr>
            </w:pPr>
            <w:r>
              <w:rPr>
                <w:rFonts w:ascii="宋体"/>
                <w:spacing w:val="-1"/>
                <w:sz w:val="18"/>
              </w:rPr>
              <w:t>2022/3/1</w:t>
            </w:r>
            <w:r>
              <w:rPr>
                <w:rFonts w:ascii="宋体"/>
                <w:sz w:val="18"/>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0 </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0 </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sz w:val="18"/>
              </w:rPr>
              <w:t> </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51.66 </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77"/>
              <w:jc w:val="righ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r>
      <w:tr>
        <w:trPr>
          <w:trHeight w:val="245" w:hRule="exact"/>
        </w:trPr>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90" w:right="0"/>
              <w:jc w:val="center"/>
              <w:rPr>
                <w:rFonts w:ascii="宋体" w:hAnsi="宋体" w:cs="宋体" w:eastAsia="宋体" w:hint="default"/>
                <w:sz w:val="18"/>
                <w:szCs w:val="18"/>
              </w:rPr>
            </w:pPr>
            <w:r>
              <w:rPr>
                <w:rFonts w:ascii="宋体" w:hAnsi="宋体" w:cs="宋体" w:eastAsia="宋体" w:hint="default"/>
                <w:sz w:val="18"/>
                <w:szCs w:val="18"/>
              </w:rPr>
              <w:t>朱英</w:t>
            </w:r>
            <w:r>
              <w:rPr>
                <w:rFonts w:ascii="宋体" w:hAnsi="宋体" w:cs="宋体" w:eastAsia="宋体" w:hint="default"/>
                <w:sz w:val="18"/>
                <w:szCs w:val="18"/>
              </w:rPr>
              <w:t> </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90" w:right="0"/>
              <w:jc w:val="center"/>
              <w:rPr>
                <w:rFonts w:ascii="宋体" w:hAnsi="宋体" w:cs="宋体" w:eastAsia="宋体" w:hint="default"/>
                <w:sz w:val="18"/>
                <w:szCs w:val="18"/>
              </w:rPr>
            </w:pPr>
            <w:r>
              <w:rPr>
                <w:rFonts w:ascii="宋体" w:hAnsi="宋体" w:cs="宋体" w:eastAsia="宋体" w:hint="default"/>
                <w:sz w:val="18"/>
                <w:szCs w:val="18"/>
              </w:rPr>
              <w:t>职工监事</w:t>
            </w:r>
            <w:r>
              <w:rPr>
                <w:rFonts w:ascii="宋体" w:hAnsi="宋体" w:cs="宋体" w:eastAsia="宋体" w:hint="default"/>
                <w:sz w:val="18"/>
                <w:szCs w:val="18"/>
              </w:rPr>
              <w:t> </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95"/>
              <w:jc w:val="right"/>
              <w:rPr>
                <w:rFonts w:ascii="宋体" w:hAnsi="宋体" w:cs="宋体" w:eastAsia="宋体" w:hint="default"/>
                <w:sz w:val="18"/>
                <w:szCs w:val="18"/>
              </w:rPr>
            </w:pPr>
            <w:r>
              <w:rPr>
                <w:rFonts w:ascii="宋体" w:hAnsi="宋体" w:cs="宋体" w:eastAsia="宋体" w:hint="default"/>
                <w:sz w:val="18"/>
                <w:szCs w:val="18"/>
              </w:rPr>
              <w:t>女</w:t>
            </w:r>
            <w:r>
              <w:rPr>
                <w:rFonts w:ascii="宋体" w:hAnsi="宋体" w:cs="宋体" w:eastAsia="宋体" w:hint="default"/>
                <w:sz w:val="18"/>
                <w:szCs w:val="18"/>
              </w:rPr>
              <w:t> </w:t>
            </w: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0"/>
              <w:jc w:val="right"/>
              <w:rPr>
                <w:rFonts w:ascii="宋体" w:hAnsi="宋体" w:cs="宋体" w:eastAsia="宋体" w:hint="default"/>
                <w:sz w:val="18"/>
                <w:szCs w:val="18"/>
              </w:rPr>
            </w:pPr>
            <w:r>
              <w:rPr>
                <w:rFonts w:ascii="宋体"/>
                <w:spacing w:val="-1"/>
                <w:sz w:val="18"/>
              </w:rPr>
              <w:t>49</w:t>
            </w:r>
            <w:r>
              <w:rPr>
                <w:rFonts w:ascii="宋体"/>
                <w:sz w:val="18"/>
              </w:rPr>
              <w:t> </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44" w:right="0"/>
              <w:jc w:val="left"/>
              <w:rPr>
                <w:rFonts w:ascii="宋体" w:hAnsi="宋体" w:cs="宋体" w:eastAsia="宋体" w:hint="default"/>
                <w:sz w:val="18"/>
                <w:szCs w:val="18"/>
              </w:rPr>
            </w:pPr>
            <w:r>
              <w:rPr>
                <w:rFonts w:ascii="宋体"/>
                <w:sz w:val="18"/>
              </w:rPr>
              <w:t>2010/2/2 </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52"/>
              <w:jc w:val="right"/>
              <w:rPr>
                <w:rFonts w:ascii="宋体" w:hAnsi="宋体" w:cs="宋体" w:eastAsia="宋体" w:hint="default"/>
                <w:sz w:val="18"/>
                <w:szCs w:val="18"/>
              </w:rPr>
            </w:pPr>
            <w:r>
              <w:rPr>
                <w:rFonts w:ascii="宋体"/>
                <w:spacing w:val="-1"/>
                <w:sz w:val="18"/>
              </w:rPr>
              <w:t>2022/3/1</w:t>
            </w:r>
            <w:r>
              <w:rPr>
                <w:rFonts w:ascii="宋体"/>
                <w:sz w:val="18"/>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0 </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0 </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5" w:right="0"/>
              <w:jc w:val="left"/>
              <w:rPr>
                <w:rFonts w:ascii="宋体" w:hAnsi="宋体" w:cs="宋体" w:eastAsia="宋体" w:hint="default"/>
                <w:sz w:val="18"/>
                <w:szCs w:val="18"/>
              </w:rPr>
            </w:pPr>
            <w:r>
              <w:rPr>
                <w:rFonts w:ascii="宋体"/>
                <w:sz w:val="18"/>
              </w:rPr>
              <w:t> </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pacing w:val="-1"/>
                <w:sz w:val="18"/>
              </w:rPr>
              <w:t>7.52</w:t>
            </w:r>
            <w:r>
              <w:rPr>
                <w:rFonts w:ascii="宋体"/>
                <w:sz w:val="18"/>
              </w:rPr>
              <w:t> </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377"/>
              <w:jc w:val="righ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r>
      <w:tr>
        <w:trPr>
          <w:trHeight w:val="242" w:hRule="exact"/>
        </w:trPr>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7" w:right="0"/>
              <w:jc w:val="center"/>
              <w:rPr>
                <w:rFonts w:ascii="宋体" w:hAnsi="宋体" w:cs="宋体" w:eastAsia="宋体" w:hint="default"/>
                <w:sz w:val="18"/>
                <w:szCs w:val="18"/>
              </w:rPr>
            </w:pPr>
            <w:r>
              <w:rPr>
                <w:rFonts w:ascii="宋体" w:hAnsi="宋体" w:cs="宋体" w:eastAsia="宋体" w:hint="default"/>
                <w:sz w:val="18"/>
                <w:szCs w:val="18"/>
              </w:rPr>
              <w:t>张天备</w:t>
            </w:r>
            <w:r>
              <w:rPr>
                <w:rFonts w:ascii="宋体" w:hAnsi="宋体" w:cs="宋体" w:eastAsia="宋体" w:hint="default"/>
                <w:sz w:val="18"/>
                <w:szCs w:val="18"/>
              </w:rPr>
              <w:t> </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90" w:right="0"/>
              <w:jc w:val="center"/>
              <w:rPr>
                <w:rFonts w:ascii="宋体" w:hAnsi="宋体" w:cs="宋体" w:eastAsia="宋体" w:hint="default"/>
                <w:sz w:val="18"/>
                <w:szCs w:val="18"/>
              </w:rPr>
            </w:pPr>
            <w:r>
              <w:rPr>
                <w:rFonts w:ascii="宋体" w:hAnsi="宋体" w:cs="宋体" w:eastAsia="宋体" w:hint="default"/>
                <w:sz w:val="18"/>
                <w:szCs w:val="18"/>
              </w:rPr>
              <w:t>监事</w:t>
            </w:r>
            <w:r>
              <w:rPr>
                <w:rFonts w:ascii="宋体" w:hAnsi="宋体" w:cs="宋体" w:eastAsia="宋体" w:hint="default"/>
                <w:sz w:val="18"/>
                <w:szCs w:val="18"/>
              </w:rPr>
              <w:t> </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5"/>
              <w:jc w:val="right"/>
              <w:rPr>
                <w:rFonts w:ascii="宋体" w:hAnsi="宋体" w:cs="宋体" w:eastAsia="宋体" w:hint="default"/>
                <w:sz w:val="18"/>
                <w:szCs w:val="18"/>
              </w:rPr>
            </w:pPr>
            <w:r>
              <w:rPr>
                <w:rFonts w:ascii="宋体" w:hAnsi="宋体" w:cs="宋体" w:eastAsia="宋体" w:hint="default"/>
                <w:sz w:val="18"/>
                <w:szCs w:val="18"/>
              </w:rPr>
              <w:t>女</w:t>
            </w:r>
            <w:r>
              <w:rPr>
                <w:rFonts w:ascii="宋体" w:hAnsi="宋体" w:cs="宋体" w:eastAsia="宋体" w:hint="default"/>
                <w:sz w:val="18"/>
                <w:szCs w:val="18"/>
              </w:rPr>
              <w:t> </w:t>
            </w: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39</w:t>
            </w:r>
            <w:r>
              <w:rPr>
                <w:rFonts w:ascii="宋体"/>
                <w:sz w:val="18"/>
              </w:rPr>
              <w:t> </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4" w:right="0"/>
              <w:jc w:val="left"/>
              <w:rPr>
                <w:rFonts w:ascii="宋体" w:hAnsi="宋体" w:cs="宋体" w:eastAsia="宋体" w:hint="default"/>
                <w:sz w:val="18"/>
                <w:szCs w:val="18"/>
              </w:rPr>
            </w:pPr>
            <w:r>
              <w:rPr>
                <w:rFonts w:ascii="宋体"/>
                <w:sz w:val="18"/>
              </w:rPr>
              <w:t>2010/2/2 </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52"/>
              <w:jc w:val="right"/>
              <w:rPr>
                <w:rFonts w:ascii="宋体" w:hAnsi="宋体" w:cs="宋体" w:eastAsia="宋体" w:hint="default"/>
                <w:sz w:val="18"/>
                <w:szCs w:val="18"/>
              </w:rPr>
            </w:pPr>
            <w:r>
              <w:rPr>
                <w:rFonts w:ascii="宋体"/>
                <w:spacing w:val="-1"/>
                <w:sz w:val="18"/>
              </w:rPr>
              <w:t>2022/3/1</w:t>
            </w:r>
            <w:r>
              <w:rPr>
                <w:rFonts w:ascii="宋体"/>
                <w:sz w:val="18"/>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0 </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0 </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sz w:val="18"/>
              </w:rPr>
              <w:t> </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8.14</w:t>
            </w:r>
            <w:r>
              <w:rPr>
                <w:rFonts w:ascii="宋体"/>
                <w:sz w:val="18"/>
              </w:rPr>
              <w:t> </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77"/>
              <w:jc w:val="righ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r>
      <w:tr>
        <w:trPr>
          <w:trHeight w:val="710" w:hRule="exact"/>
        </w:trPr>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87" w:right="0"/>
              <w:jc w:val="center"/>
              <w:rPr>
                <w:rFonts w:ascii="宋体" w:hAnsi="宋体" w:cs="宋体" w:eastAsia="宋体" w:hint="default"/>
                <w:sz w:val="18"/>
                <w:szCs w:val="18"/>
              </w:rPr>
            </w:pPr>
            <w:r>
              <w:rPr>
                <w:rFonts w:ascii="宋体" w:hAnsi="宋体" w:cs="宋体" w:eastAsia="宋体" w:hint="default"/>
                <w:sz w:val="18"/>
                <w:szCs w:val="18"/>
              </w:rPr>
              <w:t>方壮志</w:t>
            </w:r>
            <w:r>
              <w:rPr>
                <w:rFonts w:ascii="宋体" w:hAnsi="宋体" w:cs="宋体" w:eastAsia="宋体" w:hint="default"/>
                <w:sz w:val="18"/>
                <w:szCs w:val="18"/>
              </w:rPr>
              <w:t> </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90" w:right="0"/>
              <w:jc w:val="center"/>
              <w:rPr>
                <w:rFonts w:ascii="宋体" w:hAnsi="宋体" w:cs="宋体" w:eastAsia="宋体" w:hint="default"/>
                <w:sz w:val="18"/>
                <w:szCs w:val="18"/>
              </w:rPr>
            </w:pPr>
            <w:r>
              <w:rPr>
                <w:rFonts w:ascii="宋体" w:hAnsi="宋体" w:cs="宋体" w:eastAsia="宋体" w:hint="default"/>
                <w:sz w:val="18"/>
                <w:szCs w:val="18"/>
              </w:rPr>
              <w:t>副总经理</w:t>
            </w:r>
            <w:r>
              <w:rPr>
                <w:rFonts w:ascii="宋体" w:hAnsi="宋体" w:cs="宋体" w:eastAsia="宋体" w:hint="default"/>
                <w:sz w:val="18"/>
                <w:szCs w:val="18"/>
              </w:rPr>
              <w:t> </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95"/>
              <w:jc w:val="right"/>
              <w:rPr>
                <w:rFonts w:ascii="宋体" w:hAnsi="宋体" w:cs="宋体" w:eastAsia="宋体" w:hint="default"/>
                <w:sz w:val="18"/>
                <w:szCs w:val="18"/>
              </w:rPr>
            </w:pPr>
            <w:r>
              <w:rPr>
                <w:rFonts w:ascii="宋体" w:hAnsi="宋体" w:cs="宋体" w:eastAsia="宋体" w:hint="default"/>
                <w:sz w:val="18"/>
                <w:szCs w:val="18"/>
              </w:rPr>
              <w:t>男</w:t>
            </w:r>
            <w:r>
              <w:rPr>
                <w:rFonts w:ascii="宋体" w:hAnsi="宋体" w:cs="宋体" w:eastAsia="宋体" w:hint="default"/>
                <w:sz w:val="18"/>
                <w:szCs w:val="18"/>
              </w:rPr>
              <w:t> </w:t>
            </w: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45</w:t>
            </w:r>
            <w:r>
              <w:rPr>
                <w:rFonts w:ascii="宋体"/>
                <w:sz w:val="18"/>
              </w:rPr>
              <w:t> </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9" w:right="0"/>
              <w:jc w:val="left"/>
              <w:rPr>
                <w:rFonts w:ascii="宋体" w:hAnsi="宋体" w:cs="宋体" w:eastAsia="宋体" w:hint="default"/>
                <w:sz w:val="18"/>
                <w:szCs w:val="18"/>
              </w:rPr>
            </w:pPr>
            <w:r>
              <w:rPr>
                <w:rFonts w:ascii="宋体"/>
                <w:sz w:val="18"/>
              </w:rPr>
              <w:t>2012/3/16 </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52"/>
              <w:jc w:val="right"/>
              <w:rPr>
                <w:rFonts w:ascii="宋体" w:hAnsi="宋体" w:cs="宋体" w:eastAsia="宋体" w:hint="default"/>
                <w:sz w:val="18"/>
                <w:szCs w:val="18"/>
              </w:rPr>
            </w:pPr>
            <w:r>
              <w:rPr>
                <w:rFonts w:ascii="宋体"/>
                <w:spacing w:val="-1"/>
                <w:sz w:val="18"/>
              </w:rPr>
              <w:t>2022/3/1</w:t>
            </w:r>
            <w:r>
              <w:rPr>
                <w:rFonts w:ascii="宋体"/>
                <w:sz w:val="18"/>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795,750</w:t>
            </w:r>
            <w:r>
              <w:rPr>
                <w:rFonts w:ascii="宋体"/>
                <w:sz w:val="18"/>
              </w:rPr>
              <w:t> </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8"/>
              <w:jc w:val="right"/>
              <w:rPr>
                <w:rFonts w:ascii="宋体" w:hAnsi="宋体" w:cs="宋体" w:eastAsia="宋体" w:hint="default"/>
                <w:sz w:val="18"/>
                <w:szCs w:val="18"/>
              </w:rPr>
            </w:pPr>
            <w:r>
              <w:rPr>
                <w:rFonts w:ascii="宋体"/>
                <w:spacing w:val="-1"/>
                <w:sz w:val="18"/>
              </w:rPr>
              <w:t>645,750</w:t>
            </w:r>
            <w:r>
              <w:rPr>
                <w:rFonts w:ascii="宋体"/>
                <w:sz w:val="18"/>
              </w:rPr>
              <w:t> </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-150,000</w:t>
            </w:r>
            <w:r>
              <w:rPr>
                <w:rFonts w:ascii="宋体"/>
                <w:sz w:val="18"/>
              </w:rPr>
              <w:t> </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pacing w:val="12"/>
                <w:sz w:val="18"/>
                <w:szCs w:val="18"/>
              </w:rPr>
              <w:t>第二期股权激励</w:t>
            </w:r>
            <w:r>
              <w:rPr>
                <w:rFonts w:ascii="宋体" w:hAnsi="宋体" w:cs="宋体" w:eastAsia="宋体" w:hint="default"/>
                <w:sz w:val="18"/>
                <w:szCs w:val="18"/>
              </w:rPr>
            </w:r>
          </w:p>
          <w:p>
            <w:pPr>
              <w:pStyle w:val="TableParagraph"/>
              <w:spacing w:line="232" w:lineRule="exact" w:before="24"/>
              <w:ind w:left="105" w:right="86"/>
              <w:jc w:val="left"/>
              <w:rPr>
                <w:rFonts w:ascii="宋体" w:hAnsi="宋体" w:cs="宋体" w:eastAsia="宋体" w:hint="default"/>
                <w:sz w:val="18"/>
                <w:szCs w:val="18"/>
              </w:rPr>
            </w:pPr>
            <w:r>
              <w:rPr>
                <w:rFonts w:ascii="宋体" w:hAnsi="宋体" w:cs="宋体" w:eastAsia="宋体" w:hint="default"/>
                <w:spacing w:val="12"/>
                <w:sz w:val="18"/>
                <w:szCs w:val="18"/>
              </w:rPr>
              <w:t>计划部分限制性 </w:t>
            </w:r>
            <w:r>
              <w:rPr>
                <w:rFonts w:ascii="宋体" w:hAnsi="宋体" w:cs="宋体" w:eastAsia="宋体" w:hint="default"/>
                <w:sz w:val="18"/>
                <w:szCs w:val="18"/>
              </w:rPr>
              <w:t>股票回购注销</w:t>
            </w:r>
            <w:r>
              <w:rPr>
                <w:rFonts w:ascii="宋体" w:hAnsi="宋体" w:cs="宋体" w:eastAsia="宋体" w:hint="default"/>
                <w:sz w:val="18"/>
                <w:szCs w:val="18"/>
              </w:rPr>
              <w:t> </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108.00</w:t>
            </w:r>
            <w:r>
              <w:rPr>
                <w:rFonts w:ascii="宋体"/>
                <w:sz w:val="18"/>
              </w:rPr>
              <w:t> </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377"/>
              <w:jc w:val="righ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r>
      <w:tr>
        <w:trPr>
          <w:trHeight w:val="711" w:hRule="exact"/>
        </w:trPr>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90" w:right="0"/>
              <w:jc w:val="center"/>
              <w:rPr>
                <w:rFonts w:ascii="宋体" w:hAnsi="宋体" w:cs="宋体" w:eastAsia="宋体" w:hint="default"/>
                <w:sz w:val="18"/>
                <w:szCs w:val="18"/>
              </w:rPr>
            </w:pPr>
            <w:r>
              <w:rPr>
                <w:rFonts w:ascii="宋体" w:hAnsi="宋体" w:cs="宋体" w:eastAsia="宋体" w:hint="default"/>
                <w:sz w:val="18"/>
                <w:szCs w:val="18"/>
              </w:rPr>
              <w:t>裴骏</w:t>
            </w:r>
            <w:r>
              <w:rPr>
                <w:rFonts w:ascii="宋体" w:hAnsi="宋体" w:cs="宋体" w:eastAsia="宋体" w:hint="default"/>
                <w:sz w:val="18"/>
                <w:szCs w:val="18"/>
              </w:rPr>
              <w:t> </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90" w:right="0"/>
              <w:jc w:val="center"/>
              <w:rPr>
                <w:rFonts w:ascii="宋体" w:hAnsi="宋体" w:cs="宋体" w:eastAsia="宋体" w:hint="default"/>
                <w:sz w:val="18"/>
                <w:szCs w:val="18"/>
              </w:rPr>
            </w:pPr>
            <w:r>
              <w:rPr>
                <w:rFonts w:ascii="宋体" w:hAnsi="宋体" w:cs="宋体" w:eastAsia="宋体" w:hint="default"/>
                <w:sz w:val="18"/>
                <w:szCs w:val="18"/>
              </w:rPr>
              <w:t>副总经理</w:t>
            </w:r>
            <w:r>
              <w:rPr>
                <w:rFonts w:ascii="宋体" w:hAnsi="宋体" w:cs="宋体" w:eastAsia="宋体" w:hint="default"/>
                <w:sz w:val="18"/>
                <w:szCs w:val="18"/>
              </w:rPr>
              <w:t> </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95"/>
              <w:jc w:val="right"/>
              <w:rPr>
                <w:rFonts w:ascii="宋体" w:hAnsi="宋体" w:cs="宋体" w:eastAsia="宋体" w:hint="default"/>
                <w:sz w:val="18"/>
                <w:szCs w:val="18"/>
              </w:rPr>
            </w:pPr>
            <w:r>
              <w:rPr>
                <w:rFonts w:ascii="宋体" w:hAnsi="宋体" w:cs="宋体" w:eastAsia="宋体" w:hint="default"/>
                <w:sz w:val="18"/>
                <w:szCs w:val="18"/>
              </w:rPr>
              <w:t>男</w:t>
            </w:r>
            <w:r>
              <w:rPr>
                <w:rFonts w:ascii="宋体" w:hAnsi="宋体" w:cs="宋体" w:eastAsia="宋体" w:hint="default"/>
                <w:sz w:val="18"/>
                <w:szCs w:val="18"/>
              </w:rPr>
              <w:t> </w:t>
            </w: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37</w:t>
            </w:r>
            <w:r>
              <w:rPr>
                <w:rFonts w:ascii="宋体"/>
                <w:sz w:val="18"/>
              </w:rPr>
              <w:t> </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9" w:right="0"/>
              <w:jc w:val="left"/>
              <w:rPr>
                <w:rFonts w:ascii="宋体" w:hAnsi="宋体" w:cs="宋体" w:eastAsia="宋体" w:hint="default"/>
                <w:sz w:val="18"/>
                <w:szCs w:val="18"/>
              </w:rPr>
            </w:pPr>
            <w:r>
              <w:rPr>
                <w:rFonts w:ascii="宋体"/>
                <w:sz w:val="18"/>
              </w:rPr>
              <w:t>2016/4/26 </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52"/>
              <w:jc w:val="right"/>
              <w:rPr>
                <w:rFonts w:ascii="宋体" w:hAnsi="宋体" w:cs="宋体" w:eastAsia="宋体" w:hint="default"/>
                <w:sz w:val="18"/>
                <w:szCs w:val="18"/>
              </w:rPr>
            </w:pPr>
            <w:r>
              <w:rPr>
                <w:rFonts w:ascii="宋体"/>
                <w:spacing w:val="-1"/>
                <w:sz w:val="18"/>
              </w:rPr>
              <w:t>2022/3/1</w:t>
            </w:r>
            <w:r>
              <w:rPr>
                <w:rFonts w:ascii="宋体"/>
                <w:sz w:val="18"/>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600,000</w:t>
            </w:r>
            <w:r>
              <w:rPr>
                <w:rFonts w:ascii="宋体"/>
                <w:sz w:val="18"/>
              </w:rPr>
              <w:t> </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8"/>
              <w:jc w:val="right"/>
              <w:rPr>
                <w:rFonts w:ascii="宋体" w:hAnsi="宋体" w:cs="宋体" w:eastAsia="宋体" w:hint="default"/>
                <w:sz w:val="18"/>
                <w:szCs w:val="18"/>
              </w:rPr>
            </w:pPr>
            <w:r>
              <w:rPr>
                <w:rFonts w:ascii="宋体"/>
                <w:spacing w:val="-1"/>
                <w:sz w:val="18"/>
              </w:rPr>
              <w:t>380,000</w:t>
            </w:r>
            <w:r>
              <w:rPr>
                <w:rFonts w:ascii="宋体"/>
                <w:sz w:val="18"/>
              </w:rPr>
              <w:t> </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-220,000</w:t>
            </w:r>
            <w:r>
              <w:rPr>
                <w:rFonts w:ascii="宋体"/>
                <w:sz w:val="18"/>
              </w:rPr>
              <w:t> </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pacing w:val="12"/>
                <w:sz w:val="18"/>
                <w:szCs w:val="18"/>
              </w:rPr>
              <w:t>第二期股权激励</w:t>
            </w:r>
            <w:r>
              <w:rPr>
                <w:rFonts w:ascii="宋体" w:hAnsi="宋体" w:cs="宋体" w:eastAsia="宋体" w:hint="default"/>
                <w:sz w:val="18"/>
                <w:szCs w:val="18"/>
              </w:rPr>
            </w:r>
          </w:p>
          <w:p>
            <w:pPr>
              <w:pStyle w:val="TableParagraph"/>
              <w:spacing w:line="232" w:lineRule="exact" w:before="25"/>
              <w:ind w:left="105" w:right="86"/>
              <w:jc w:val="left"/>
              <w:rPr>
                <w:rFonts w:ascii="宋体" w:hAnsi="宋体" w:cs="宋体" w:eastAsia="宋体" w:hint="default"/>
                <w:sz w:val="18"/>
                <w:szCs w:val="18"/>
              </w:rPr>
            </w:pPr>
            <w:r>
              <w:rPr>
                <w:rFonts w:ascii="宋体" w:hAnsi="宋体" w:cs="宋体" w:eastAsia="宋体" w:hint="default"/>
                <w:spacing w:val="12"/>
                <w:sz w:val="18"/>
                <w:szCs w:val="18"/>
              </w:rPr>
              <w:t>计划部分限制性 </w:t>
            </w:r>
            <w:r>
              <w:rPr>
                <w:rFonts w:ascii="宋体" w:hAnsi="宋体" w:cs="宋体" w:eastAsia="宋体" w:hint="default"/>
                <w:sz w:val="18"/>
                <w:szCs w:val="18"/>
              </w:rPr>
              <w:t>股票回购注销</w:t>
            </w:r>
            <w:r>
              <w:rPr>
                <w:rFonts w:ascii="宋体" w:hAnsi="宋体" w:cs="宋体" w:eastAsia="宋体" w:hint="default"/>
                <w:sz w:val="18"/>
                <w:szCs w:val="18"/>
              </w:rPr>
              <w:t> </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114.92</w:t>
            </w:r>
            <w:r>
              <w:rPr>
                <w:rFonts w:ascii="宋体"/>
                <w:sz w:val="18"/>
              </w:rPr>
              <w:t> </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377"/>
              <w:jc w:val="righ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r>
      <w:tr>
        <w:trPr>
          <w:trHeight w:val="710" w:hRule="exact"/>
        </w:trPr>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87" w:right="0"/>
              <w:jc w:val="center"/>
              <w:rPr>
                <w:rFonts w:ascii="宋体" w:hAnsi="宋体" w:cs="宋体" w:eastAsia="宋体" w:hint="default"/>
                <w:sz w:val="18"/>
                <w:szCs w:val="18"/>
              </w:rPr>
            </w:pPr>
            <w:r>
              <w:rPr>
                <w:rFonts w:ascii="宋体" w:hAnsi="宋体" w:cs="宋体" w:eastAsia="宋体" w:hint="default"/>
                <w:sz w:val="18"/>
                <w:szCs w:val="18"/>
              </w:rPr>
              <w:t>朱德省</w:t>
            </w:r>
            <w:r>
              <w:rPr>
                <w:rFonts w:ascii="宋体" w:hAnsi="宋体" w:cs="宋体" w:eastAsia="宋体" w:hint="default"/>
                <w:sz w:val="18"/>
                <w:szCs w:val="18"/>
              </w:rPr>
              <w:t> </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90" w:right="0"/>
              <w:jc w:val="center"/>
              <w:rPr>
                <w:rFonts w:ascii="宋体" w:hAnsi="宋体" w:cs="宋体" w:eastAsia="宋体" w:hint="default"/>
                <w:sz w:val="18"/>
                <w:szCs w:val="18"/>
              </w:rPr>
            </w:pPr>
            <w:r>
              <w:rPr>
                <w:rFonts w:ascii="宋体" w:hAnsi="宋体" w:cs="宋体" w:eastAsia="宋体" w:hint="default"/>
                <w:sz w:val="18"/>
                <w:szCs w:val="18"/>
              </w:rPr>
              <w:t>副总经理</w:t>
            </w:r>
            <w:r>
              <w:rPr>
                <w:rFonts w:ascii="宋体" w:hAnsi="宋体" w:cs="宋体" w:eastAsia="宋体" w:hint="default"/>
                <w:sz w:val="18"/>
                <w:szCs w:val="18"/>
              </w:rPr>
              <w:t> </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95"/>
              <w:jc w:val="right"/>
              <w:rPr>
                <w:rFonts w:ascii="宋体" w:hAnsi="宋体" w:cs="宋体" w:eastAsia="宋体" w:hint="default"/>
                <w:sz w:val="18"/>
                <w:szCs w:val="18"/>
              </w:rPr>
            </w:pPr>
            <w:r>
              <w:rPr>
                <w:rFonts w:ascii="宋体" w:hAnsi="宋体" w:cs="宋体" w:eastAsia="宋体" w:hint="default"/>
                <w:sz w:val="18"/>
                <w:szCs w:val="18"/>
              </w:rPr>
              <w:t>男</w:t>
            </w:r>
            <w:r>
              <w:rPr>
                <w:rFonts w:ascii="宋体" w:hAnsi="宋体" w:cs="宋体" w:eastAsia="宋体" w:hint="default"/>
                <w:sz w:val="18"/>
                <w:szCs w:val="18"/>
              </w:rPr>
              <w:t> </w:t>
            </w: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57</w:t>
            </w:r>
            <w:r>
              <w:rPr>
                <w:rFonts w:ascii="宋体"/>
                <w:sz w:val="18"/>
              </w:rPr>
              <w:t> </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9" w:right="0"/>
              <w:jc w:val="left"/>
              <w:rPr>
                <w:rFonts w:ascii="宋体" w:hAnsi="宋体" w:cs="宋体" w:eastAsia="宋体" w:hint="default"/>
                <w:sz w:val="18"/>
                <w:szCs w:val="18"/>
              </w:rPr>
            </w:pPr>
            <w:r>
              <w:rPr>
                <w:rFonts w:ascii="宋体"/>
                <w:sz w:val="18"/>
              </w:rPr>
              <w:t>2012/3/16 </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52"/>
              <w:jc w:val="right"/>
              <w:rPr>
                <w:rFonts w:ascii="宋体" w:hAnsi="宋体" w:cs="宋体" w:eastAsia="宋体" w:hint="default"/>
                <w:sz w:val="18"/>
                <w:szCs w:val="18"/>
              </w:rPr>
            </w:pPr>
            <w:r>
              <w:rPr>
                <w:rFonts w:ascii="宋体"/>
                <w:spacing w:val="-1"/>
                <w:sz w:val="18"/>
              </w:rPr>
              <w:t>2022/3/1</w:t>
            </w:r>
            <w:r>
              <w:rPr>
                <w:rFonts w:ascii="宋体"/>
                <w:sz w:val="18"/>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400,000</w:t>
            </w:r>
            <w:r>
              <w:rPr>
                <w:rFonts w:ascii="宋体"/>
                <w:sz w:val="18"/>
              </w:rPr>
              <w:t> </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8"/>
              <w:jc w:val="right"/>
              <w:rPr>
                <w:rFonts w:ascii="宋体" w:hAnsi="宋体" w:cs="宋体" w:eastAsia="宋体" w:hint="default"/>
                <w:sz w:val="18"/>
                <w:szCs w:val="18"/>
              </w:rPr>
            </w:pPr>
            <w:r>
              <w:rPr>
                <w:rFonts w:ascii="宋体"/>
                <w:spacing w:val="-1"/>
                <w:sz w:val="18"/>
              </w:rPr>
              <w:t>270,000</w:t>
            </w:r>
            <w:r>
              <w:rPr>
                <w:rFonts w:ascii="宋体"/>
                <w:sz w:val="18"/>
              </w:rPr>
              <w:t> </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-130,000</w:t>
            </w:r>
            <w:r>
              <w:rPr>
                <w:rFonts w:ascii="宋体"/>
                <w:sz w:val="18"/>
              </w:rPr>
              <w:t> </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pacing w:val="12"/>
                <w:sz w:val="18"/>
                <w:szCs w:val="18"/>
              </w:rPr>
              <w:t>第二期股权激励</w:t>
            </w:r>
            <w:r>
              <w:rPr>
                <w:rFonts w:ascii="宋体" w:hAnsi="宋体" w:cs="宋体" w:eastAsia="宋体" w:hint="default"/>
                <w:sz w:val="18"/>
                <w:szCs w:val="18"/>
              </w:rPr>
            </w:r>
          </w:p>
          <w:p>
            <w:pPr>
              <w:pStyle w:val="TableParagraph"/>
              <w:spacing w:line="232" w:lineRule="exact" w:before="24"/>
              <w:ind w:left="105" w:right="86"/>
              <w:jc w:val="left"/>
              <w:rPr>
                <w:rFonts w:ascii="宋体" w:hAnsi="宋体" w:cs="宋体" w:eastAsia="宋体" w:hint="default"/>
                <w:sz w:val="18"/>
                <w:szCs w:val="18"/>
              </w:rPr>
            </w:pPr>
            <w:r>
              <w:rPr>
                <w:rFonts w:ascii="宋体" w:hAnsi="宋体" w:cs="宋体" w:eastAsia="宋体" w:hint="default"/>
                <w:spacing w:val="12"/>
                <w:sz w:val="18"/>
                <w:szCs w:val="18"/>
              </w:rPr>
              <w:t>计划部分限制性 </w:t>
            </w:r>
            <w:r>
              <w:rPr>
                <w:rFonts w:ascii="宋体" w:hAnsi="宋体" w:cs="宋体" w:eastAsia="宋体" w:hint="default"/>
                <w:sz w:val="18"/>
                <w:szCs w:val="18"/>
              </w:rPr>
              <w:t>股票回购注销</w:t>
            </w:r>
            <w:r>
              <w:rPr>
                <w:rFonts w:ascii="宋体" w:hAnsi="宋体" w:cs="宋体" w:eastAsia="宋体" w:hint="default"/>
                <w:sz w:val="18"/>
                <w:szCs w:val="18"/>
              </w:rPr>
              <w:t> </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z w:val="18"/>
              </w:rPr>
              <w:t>80.80 </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377"/>
              <w:jc w:val="righ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r>
    </w:tbl>
    <w:p>
      <w:pPr>
        <w:spacing w:after="0" w:line="240" w:lineRule="auto"/>
        <w:jc w:val="right"/>
        <w:rPr>
          <w:rFonts w:ascii="宋体" w:hAnsi="宋体" w:cs="宋体" w:eastAsia="宋体" w:hint="default"/>
          <w:sz w:val="18"/>
          <w:szCs w:val="18"/>
        </w:rPr>
        <w:sectPr>
          <w:type w:val="continuous"/>
          <w:pgSz w:w="16840" w:h="11910" w:orient="landscape"/>
          <w:pgMar w:top="1580" w:bottom="280" w:left="1300" w:right="1020"/>
        </w:sectPr>
      </w:pPr>
    </w:p>
    <w:p>
      <w:pPr>
        <w:spacing w:line="240" w:lineRule="auto" w:before="6"/>
        <w:rPr>
          <w:rFonts w:ascii="宋体" w:hAnsi="宋体" w:cs="宋体" w:eastAsia="宋体" w:hint="default"/>
          <w:sz w:val="10"/>
          <w:szCs w:val="10"/>
        </w:rPr>
      </w:pPr>
    </w:p>
    <w:tbl>
      <w:tblPr>
        <w:tblW w:w="0" w:type="auto"/>
        <w:jc w:val="left"/>
        <w:tblInd w:w="111" w:type="dxa"/>
        <w:tblLayout w:type="fixed"/>
        <w:tblCellMar>
          <w:top w:w="0" w:type="dxa"/>
          <w:left w:w="0" w:type="dxa"/>
          <w:bottom w:w="0" w:type="dxa"/>
          <w:right w:w="0" w:type="dxa"/>
        </w:tblCellMar>
        <w:tblLook w:val="01E0"/>
      </w:tblPr>
      <w:tblGrid>
        <w:gridCol w:w="1056"/>
        <w:gridCol w:w="1723"/>
        <w:gridCol w:w="564"/>
        <w:gridCol w:w="577"/>
        <w:gridCol w:w="1222"/>
        <w:gridCol w:w="1219"/>
        <w:gridCol w:w="1152"/>
        <w:gridCol w:w="1205"/>
        <w:gridCol w:w="1346"/>
        <w:gridCol w:w="1546"/>
        <w:gridCol w:w="1548"/>
        <w:gridCol w:w="1126"/>
      </w:tblGrid>
      <w:tr>
        <w:trPr>
          <w:trHeight w:val="711" w:hRule="exact"/>
        </w:trPr>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87" w:right="0"/>
              <w:jc w:val="center"/>
              <w:rPr>
                <w:rFonts w:ascii="宋体" w:hAnsi="宋体" w:cs="宋体" w:eastAsia="宋体" w:hint="default"/>
                <w:sz w:val="18"/>
                <w:szCs w:val="18"/>
              </w:rPr>
            </w:pPr>
            <w:r>
              <w:rPr>
                <w:rFonts w:ascii="宋体" w:hAnsi="宋体" w:cs="宋体" w:eastAsia="宋体" w:hint="default"/>
                <w:sz w:val="18"/>
                <w:szCs w:val="18"/>
              </w:rPr>
              <w:t>陆寒熹</w:t>
            </w:r>
            <w:r>
              <w:rPr>
                <w:rFonts w:ascii="宋体" w:hAnsi="宋体" w:cs="宋体" w:eastAsia="宋体" w:hint="default"/>
                <w:sz w:val="18"/>
                <w:szCs w:val="18"/>
              </w:rPr>
              <w:t> </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90" w:right="0"/>
              <w:jc w:val="center"/>
              <w:rPr>
                <w:rFonts w:ascii="宋体" w:hAnsi="宋体" w:cs="宋体" w:eastAsia="宋体" w:hint="default"/>
                <w:sz w:val="18"/>
                <w:szCs w:val="18"/>
              </w:rPr>
            </w:pPr>
            <w:r>
              <w:rPr>
                <w:rFonts w:ascii="宋体" w:hAnsi="宋体" w:cs="宋体" w:eastAsia="宋体" w:hint="default"/>
                <w:sz w:val="18"/>
                <w:szCs w:val="18"/>
              </w:rPr>
              <w:t>副总经理</w:t>
            </w:r>
            <w:r>
              <w:rPr>
                <w:rFonts w:ascii="宋体" w:hAnsi="宋体" w:cs="宋体" w:eastAsia="宋体" w:hint="default"/>
                <w:sz w:val="18"/>
                <w:szCs w:val="18"/>
              </w:rPr>
              <w:t> </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5"/>
              <w:jc w:val="right"/>
              <w:rPr>
                <w:rFonts w:ascii="宋体" w:hAnsi="宋体" w:cs="宋体" w:eastAsia="宋体" w:hint="default"/>
                <w:sz w:val="18"/>
                <w:szCs w:val="18"/>
              </w:rPr>
            </w:pPr>
            <w:r>
              <w:rPr>
                <w:rFonts w:ascii="宋体" w:hAnsi="宋体" w:cs="宋体" w:eastAsia="宋体" w:hint="default"/>
                <w:sz w:val="18"/>
                <w:szCs w:val="18"/>
              </w:rPr>
              <w:t>男</w:t>
            </w:r>
            <w:r>
              <w:rPr>
                <w:rFonts w:ascii="宋体" w:hAnsi="宋体" w:cs="宋体" w:eastAsia="宋体" w:hint="default"/>
                <w:sz w:val="18"/>
                <w:szCs w:val="18"/>
              </w:rPr>
              <w:t> </w:t>
            </w: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51</w:t>
            </w:r>
            <w:r>
              <w:rPr>
                <w:rFonts w:ascii="宋体"/>
                <w:sz w:val="18"/>
              </w:rPr>
              <w:t> </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87" w:right="0"/>
              <w:jc w:val="center"/>
              <w:rPr>
                <w:rFonts w:ascii="宋体" w:hAnsi="宋体" w:cs="宋体" w:eastAsia="宋体" w:hint="default"/>
                <w:sz w:val="18"/>
                <w:szCs w:val="18"/>
              </w:rPr>
            </w:pPr>
            <w:r>
              <w:rPr>
                <w:rFonts w:ascii="宋体"/>
                <w:sz w:val="18"/>
              </w:rPr>
              <w:t>2013/2/19 </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90" w:right="0"/>
              <w:jc w:val="center"/>
              <w:rPr>
                <w:rFonts w:ascii="宋体" w:hAnsi="宋体" w:cs="宋体" w:eastAsia="宋体" w:hint="default"/>
                <w:sz w:val="18"/>
                <w:szCs w:val="18"/>
              </w:rPr>
            </w:pPr>
            <w:r>
              <w:rPr>
                <w:rFonts w:ascii="宋体"/>
                <w:sz w:val="18"/>
              </w:rPr>
              <w:t>2022/3/1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724,750</w:t>
            </w:r>
            <w:r>
              <w:rPr>
                <w:rFonts w:ascii="宋体"/>
                <w:sz w:val="18"/>
              </w:rPr>
              <w:t> </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8"/>
              <w:jc w:val="right"/>
              <w:rPr>
                <w:rFonts w:ascii="宋体" w:hAnsi="宋体" w:cs="宋体" w:eastAsia="宋体" w:hint="default"/>
                <w:sz w:val="18"/>
                <w:szCs w:val="18"/>
              </w:rPr>
            </w:pPr>
            <w:r>
              <w:rPr>
                <w:rFonts w:ascii="宋体"/>
                <w:spacing w:val="-1"/>
                <w:sz w:val="18"/>
              </w:rPr>
              <w:t>619,750</w:t>
            </w:r>
            <w:r>
              <w:rPr>
                <w:rFonts w:ascii="宋体"/>
                <w:sz w:val="18"/>
              </w:rPr>
              <w:t> </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-105,000</w:t>
            </w:r>
            <w:r>
              <w:rPr>
                <w:rFonts w:ascii="宋体"/>
                <w:sz w:val="18"/>
              </w:rPr>
              <w:t> </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hAnsi="宋体" w:cs="宋体" w:eastAsia="宋体" w:hint="default"/>
                <w:spacing w:val="12"/>
                <w:sz w:val="18"/>
                <w:szCs w:val="18"/>
              </w:rPr>
              <w:t>第二期股权激励</w:t>
            </w:r>
            <w:r>
              <w:rPr>
                <w:rFonts w:ascii="宋体" w:hAnsi="宋体" w:cs="宋体" w:eastAsia="宋体" w:hint="default"/>
                <w:sz w:val="18"/>
                <w:szCs w:val="18"/>
              </w:rPr>
            </w:r>
          </w:p>
          <w:p>
            <w:pPr>
              <w:pStyle w:val="TableParagraph"/>
              <w:spacing w:line="232" w:lineRule="exact" w:before="23"/>
              <w:ind w:left="105" w:right="86"/>
              <w:jc w:val="left"/>
              <w:rPr>
                <w:rFonts w:ascii="宋体" w:hAnsi="宋体" w:cs="宋体" w:eastAsia="宋体" w:hint="default"/>
                <w:sz w:val="18"/>
                <w:szCs w:val="18"/>
              </w:rPr>
            </w:pPr>
            <w:r>
              <w:rPr>
                <w:rFonts w:ascii="宋体" w:hAnsi="宋体" w:cs="宋体" w:eastAsia="宋体" w:hint="default"/>
                <w:spacing w:val="12"/>
                <w:sz w:val="18"/>
                <w:szCs w:val="18"/>
              </w:rPr>
              <w:t>计划部分限制性 </w:t>
            </w:r>
            <w:r>
              <w:rPr>
                <w:rFonts w:ascii="宋体" w:hAnsi="宋体" w:cs="宋体" w:eastAsia="宋体" w:hint="default"/>
                <w:sz w:val="18"/>
                <w:szCs w:val="18"/>
              </w:rPr>
              <w:t>股票回购注销</w:t>
            </w:r>
            <w:r>
              <w:rPr>
                <w:rFonts w:ascii="宋体" w:hAnsi="宋体" w:cs="宋体" w:eastAsia="宋体" w:hint="default"/>
                <w:sz w:val="18"/>
                <w:szCs w:val="18"/>
              </w:rPr>
              <w:t> </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z w:val="18"/>
              </w:rPr>
              <w:t>50.40 </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377"/>
              <w:jc w:val="righ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r>
      <w:tr>
        <w:trPr>
          <w:trHeight w:val="710" w:hRule="exact"/>
        </w:trPr>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87" w:right="0"/>
              <w:jc w:val="center"/>
              <w:rPr>
                <w:rFonts w:ascii="宋体" w:hAnsi="宋体" w:cs="宋体" w:eastAsia="宋体" w:hint="default"/>
                <w:sz w:val="18"/>
                <w:szCs w:val="18"/>
              </w:rPr>
            </w:pPr>
            <w:r>
              <w:rPr>
                <w:rFonts w:ascii="宋体" w:hAnsi="宋体" w:cs="宋体" w:eastAsia="宋体" w:hint="default"/>
                <w:sz w:val="18"/>
                <w:szCs w:val="18"/>
              </w:rPr>
              <w:t>崔东旭</w:t>
            </w:r>
            <w:r>
              <w:rPr>
                <w:rFonts w:ascii="宋体" w:hAnsi="宋体" w:cs="宋体" w:eastAsia="宋体" w:hint="default"/>
                <w:sz w:val="18"/>
                <w:szCs w:val="18"/>
              </w:rPr>
              <w:t> </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87" w:right="0"/>
              <w:jc w:val="center"/>
              <w:rPr>
                <w:rFonts w:ascii="宋体" w:hAnsi="宋体" w:cs="宋体" w:eastAsia="宋体" w:hint="default"/>
                <w:sz w:val="18"/>
                <w:szCs w:val="18"/>
              </w:rPr>
            </w:pPr>
            <w:r>
              <w:rPr>
                <w:rFonts w:ascii="宋体" w:hAnsi="宋体" w:cs="宋体" w:eastAsia="宋体" w:hint="default"/>
                <w:sz w:val="18"/>
                <w:szCs w:val="18"/>
              </w:rPr>
              <w:t>董事会秘书</w:t>
            </w:r>
            <w:r>
              <w:rPr>
                <w:rFonts w:ascii="宋体" w:hAnsi="宋体" w:cs="宋体" w:eastAsia="宋体" w:hint="default"/>
                <w:sz w:val="18"/>
                <w:szCs w:val="18"/>
              </w:rPr>
              <w:t> </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95"/>
              <w:jc w:val="right"/>
              <w:rPr>
                <w:rFonts w:ascii="宋体" w:hAnsi="宋体" w:cs="宋体" w:eastAsia="宋体" w:hint="default"/>
                <w:sz w:val="18"/>
                <w:szCs w:val="18"/>
              </w:rPr>
            </w:pPr>
            <w:r>
              <w:rPr>
                <w:rFonts w:ascii="宋体" w:hAnsi="宋体" w:cs="宋体" w:eastAsia="宋体" w:hint="default"/>
                <w:sz w:val="18"/>
                <w:szCs w:val="18"/>
              </w:rPr>
              <w:t>男</w:t>
            </w:r>
            <w:r>
              <w:rPr>
                <w:rFonts w:ascii="宋体" w:hAnsi="宋体" w:cs="宋体" w:eastAsia="宋体" w:hint="default"/>
                <w:sz w:val="18"/>
                <w:szCs w:val="18"/>
              </w:rPr>
              <w:t> </w:t>
            </w: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33</w:t>
            </w:r>
            <w:r>
              <w:rPr>
                <w:rFonts w:ascii="宋体"/>
                <w:sz w:val="18"/>
              </w:rPr>
              <w:t> </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87" w:right="0"/>
              <w:jc w:val="center"/>
              <w:rPr>
                <w:rFonts w:ascii="宋体" w:hAnsi="宋体" w:cs="宋体" w:eastAsia="宋体" w:hint="default"/>
                <w:sz w:val="18"/>
                <w:szCs w:val="18"/>
              </w:rPr>
            </w:pPr>
            <w:r>
              <w:rPr>
                <w:rFonts w:ascii="宋体"/>
                <w:sz w:val="18"/>
              </w:rPr>
              <w:t>2016/4/26 </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90" w:right="0"/>
              <w:jc w:val="center"/>
              <w:rPr>
                <w:rFonts w:ascii="宋体" w:hAnsi="宋体" w:cs="宋体" w:eastAsia="宋体" w:hint="default"/>
                <w:sz w:val="18"/>
                <w:szCs w:val="18"/>
              </w:rPr>
            </w:pPr>
            <w:r>
              <w:rPr>
                <w:rFonts w:ascii="宋体"/>
                <w:sz w:val="18"/>
              </w:rPr>
              <w:t>2022/3/1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300,000</w:t>
            </w:r>
            <w:r>
              <w:rPr>
                <w:rFonts w:ascii="宋体"/>
                <w:sz w:val="18"/>
              </w:rPr>
              <w:t> </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8"/>
              <w:jc w:val="right"/>
              <w:rPr>
                <w:rFonts w:ascii="宋体" w:hAnsi="宋体" w:cs="宋体" w:eastAsia="宋体" w:hint="default"/>
                <w:sz w:val="18"/>
                <w:szCs w:val="18"/>
              </w:rPr>
            </w:pPr>
            <w:r>
              <w:rPr>
                <w:rFonts w:ascii="宋体"/>
                <w:spacing w:val="-1"/>
                <w:sz w:val="18"/>
              </w:rPr>
              <w:t>190,000</w:t>
            </w:r>
            <w:r>
              <w:rPr>
                <w:rFonts w:ascii="宋体"/>
                <w:sz w:val="18"/>
              </w:rPr>
              <w:t> </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-110,000</w:t>
            </w:r>
            <w:r>
              <w:rPr>
                <w:rFonts w:ascii="宋体"/>
                <w:sz w:val="18"/>
              </w:rPr>
              <w:t> </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hAnsi="宋体" w:cs="宋体" w:eastAsia="宋体" w:hint="default"/>
                <w:spacing w:val="12"/>
                <w:sz w:val="18"/>
                <w:szCs w:val="18"/>
              </w:rPr>
              <w:t>第二期股权激励</w:t>
            </w:r>
            <w:r>
              <w:rPr>
                <w:rFonts w:ascii="宋体" w:hAnsi="宋体" w:cs="宋体" w:eastAsia="宋体" w:hint="default"/>
                <w:sz w:val="18"/>
                <w:szCs w:val="18"/>
              </w:rPr>
            </w:r>
          </w:p>
          <w:p>
            <w:pPr>
              <w:pStyle w:val="TableParagraph"/>
              <w:spacing w:line="232" w:lineRule="exact" w:before="23"/>
              <w:ind w:left="105" w:right="86"/>
              <w:jc w:val="left"/>
              <w:rPr>
                <w:rFonts w:ascii="宋体" w:hAnsi="宋体" w:cs="宋体" w:eastAsia="宋体" w:hint="default"/>
                <w:sz w:val="18"/>
                <w:szCs w:val="18"/>
              </w:rPr>
            </w:pPr>
            <w:r>
              <w:rPr>
                <w:rFonts w:ascii="宋体" w:hAnsi="宋体" w:cs="宋体" w:eastAsia="宋体" w:hint="default"/>
                <w:spacing w:val="12"/>
                <w:sz w:val="18"/>
                <w:szCs w:val="18"/>
              </w:rPr>
              <w:t>计划部分限制性 </w:t>
            </w:r>
            <w:r>
              <w:rPr>
                <w:rFonts w:ascii="宋体" w:hAnsi="宋体" w:cs="宋体" w:eastAsia="宋体" w:hint="default"/>
                <w:sz w:val="18"/>
                <w:szCs w:val="18"/>
              </w:rPr>
              <w:t>股票回购注销</w:t>
            </w:r>
            <w:r>
              <w:rPr>
                <w:rFonts w:ascii="宋体" w:hAnsi="宋体" w:cs="宋体" w:eastAsia="宋体" w:hint="default"/>
                <w:sz w:val="18"/>
                <w:szCs w:val="18"/>
              </w:rPr>
              <w:t> </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z w:val="18"/>
              </w:rPr>
              <w:t>50.00 </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377"/>
              <w:jc w:val="righ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r>
      <w:tr>
        <w:trPr>
          <w:trHeight w:val="242" w:hRule="exact"/>
        </w:trPr>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90" w:right="0"/>
              <w:jc w:val="center"/>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90" w:right="0"/>
              <w:jc w:val="center"/>
              <w:rPr>
                <w:rFonts w:ascii="宋体" w:hAnsi="宋体" w:cs="宋体" w:eastAsia="宋体" w:hint="default"/>
                <w:sz w:val="18"/>
                <w:szCs w:val="18"/>
              </w:rPr>
            </w:pPr>
            <w:r>
              <w:rPr>
                <w:rFonts w:ascii="宋体"/>
                <w:sz w:val="18"/>
              </w:rPr>
              <w:t>/ </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40"/>
              <w:jc w:val="right"/>
              <w:rPr>
                <w:rFonts w:ascii="宋体" w:hAnsi="宋体" w:cs="宋体" w:eastAsia="宋体" w:hint="default"/>
                <w:sz w:val="18"/>
                <w:szCs w:val="18"/>
              </w:rPr>
            </w:pPr>
            <w:r>
              <w:rPr>
                <w:rFonts w:ascii="宋体"/>
                <w:sz w:val="18"/>
              </w:rPr>
              <w:t>/ </w:t>
            </w: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43"/>
              <w:jc w:val="right"/>
              <w:rPr>
                <w:rFonts w:ascii="宋体" w:hAnsi="宋体" w:cs="宋体" w:eastAsia="宋体" w:hint="default"/>
                <w:sz w:val="18"/>
                <w:szCs w:val="18"/>
              </w:rPr>
            </w:pPr>
            <w:r>
              <w:rPr>
                <w:rFonts w:ascii="宋体"/>
                <w:sz w:val="18"/>
              </w:rPr>
              <w:t>/ </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7" w:right="0"/>
              <w:jc w:val="center"/>
              <w:rPr>
                <w:rFonts w:ascii="宋体" w:hAnsi="宋体" w:cs="宋体" w:eastAsia="宋体" w:hint="default"/>
                <w:sz w:val="18"/>
                <w:szCs w:val="18"/>
              </w:rPr>
            </w:pPr>
            <w:r>
              <w:rPr>
                <w:rFonts w:ascii="宋体"/>
                <w:sz w:val="18"/>
              </w:rPr>
              <w:t>/ </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90" w:right="0"/>
              <w:jc w:val="center"/>
              <w:rPr>
                <w:rFonts w:ascii="宋体" w:hAnsi="宋体" w:cs="宋体" w:eastAsia="宋体" w:hint="default"/>
                <w:sz w:val="18"/>
                <w:szCs w:val="18"/>
              </w:rPr>
            </w:pPr>
            <w:r>
              <w:rPr>
                <w:rFonts w:ascii="宋体"/>
                <w:sz w:val="18"/>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29,635,250 </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pacing w:val="-1"/>
                <w:sz w:val="18"/>
              </w:rPr>
              <w:t>108,697,750</w:t>
            </w:r>
            <w:r>
              <w:rPr>
                <w:rFonts w:ascii="宋体"/>
                <w:sz w:val="18"/>
              </w:rPr>
              <w:t> </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79,062,500</w:t>
            </w:r>
            <w:r>
              <w:rPr>
                <w:rFonts w:ascii="宋体"/>
                <w:sz w:val="18"/>
              </w:rPr>
              <w:t> </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94" w:right="0"/>
              <w:jc w:val="center"/>
              <w:rPr>
                <w:rFonts w:ascii="宋体" w:hAnsi="宋体" w:cs="宋体" w:eastAsia="宋体" w:hint="default"/>
                <w:sz w:val="18"/>
                <w:szCs w:val="18"/>
              </w:rPr>
            </w:pPr>
            <w:r>
              <w:rPr>
                <w:rFonts w:ascii="宋体"/>
                <w:sz w:val="18"/>
              </w:rPr>
              <w:t>/ </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649.74</w:t>
            </w:r>
            <w:r>
              <w:rPr>
                <w:rFonts w:ascii="宋体"/>
                <w:sz w:val="18"/>
              </w:rPr>
              <w:t> </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419"/>
              <w:jc w:val="right"/>
              <w:rPr>
                <w:rFonts w:ascii="宋体" w:hAnsi="宋体" w:cs="宋体" w:eastAsia="宋体" w:hint="default"/>
                <w:sz w:val="18"/>
                <w:szCs w:val="18"/>
              </w:rPr>
            </w:pPr>
            <w:r>
              <w:rPr>
                <w:rFonts w:ascii="宋体"/>
                <w:sz w:val="18"/>
              </w:rPr>
              <w:t>/ </w:t>
            </w:r>
          </w:p>
        </w:tc>
      </w:tr>
    </w:tbl>
    <w:p>
      <w:pPr>
        <w:spacing w:line="240" w:lineRule="auto" w:before="12"/>
        <w:rPr>
          <w:rFonts w:ascii="宋体" w:hAnsi="宋体" w:cs="宋体" w:eastAsia="宋体" w:hint="default"/>
          <w:sz w:val="20"/>
          <w:szCs w:val="20"/>
        </w:rPr>
      </w:pPr>
    </w:p>
    <w:tbl>
      <w:tblPr>
        <w:tblW w:w="0" w:type="auto"/>
        <w:jc w:val="left"/>
        <w:tblInd w:w="111" w:type="dxa"/>
        <w:tblLayout w:type="fixed"/>
        <w:tblCellMar>
          <w:top w:w="0" w:type="dxa"/>
          <w:left w:w="0" w:type="dxa"/>
          <w:bottom w:w="0" w:type="dxa"/>
          <w:right w:w="0" w:type="dxa"/>
        </w:tblCellMar>
        <w:tblLook w:val="01E0"/>
      </w:tblPr>
      <w:tblGrid>
        <w:gridCol w:w="1385"/>
        <w:gridCol w:w="12705"/>
      </w:tblGrid>
      <w:tr>
        <w:trPr>
          <w:trHeight w:val="242"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8" w:right="0"/>
              <w:jc w:val="center"/>
              <w:rPr>
                <w:rFonts w:ascii="宋体" w:hAnsi="宋体" w:cs="宋体" w:eastAsia="宋体" w:hint="default"/>
                <w:sz w:val="18"/>
                <w:szCs w:val="18"/>
              </w:rPr>
            </w:pPr>
            <w:r>
              <w:rPr>
                <w:rFonts w:ascii="宋体" w:hAnsi="宋体" w:cs="宋体" w:eastAsia="宋体" w:hint="default"/>
                <w:sz w:val="18"/>
                <w:szCs w:val="18"/>
              </w:rPr>
              <w:t>姓名</w:t>
            </w:r>
            <w:r>
              <w:rPr>
                <w:rFonts w:ascii="宋体" w:hAnsi="宋体" w:cs="宋体" w:eastAsia="宋体" w:hint="default"/>
                <w:sz w:val="18"/>
                <w:szCs w:val="18"/>
              </w:rPr>
              <w:t> </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92" w:right="0"/>
              <w:jc w:val="center"/>
              <w:rPr>
                <w:rFonts w:ascii="宋体" w:hAnsi="宋体" w:cs="宋体" w:eastAsia="宋体" w:hint="default"/>
                <w:sz w:val="18"/>
                <w:szCs w:val="18"/>
              </w:rPr>
            </w:pPr>
            <w:r>
              <w:rPr>
                <w:rFonts w:ascii="宋体" w:hAnsi="宋体" w:cs="宋体" w:eastAsia="宋体" w:hint="default"/>
                <w:sz w:val="18"/>
                <w:szCs w:val="18"/>
              </w:rPr>
              <w:t>主要工作经历</w:t>
            </w:r>
            <w:r>
              <w:rPr>
                <w:rFonts w:ascii="宋体" w:hAnsi="宋体" w:cs="宋体" w:eastAsia="宋体" w:hint="default"/>
                <w:sz w:val="18"/>
                <w:szCs w:val="18"/>
              </w:rPr>
              <w:t> </w:t>
            </w:r>
          </w:p>
        </w:tc>
      </w:tr>
      <w:tr>
        <w:trPr>
          <w:trHeight w:val="245"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90" w:right="0"/>
              <w:jc w:val="center"/>
              <w:rPr>
                <w:rFonts w:ascii="宋体" w:hAnsi="宋体" w:cs="宋体" w:eastAsia="宋体" w:hint="default"/>
                <w:sz w:val="18"/>
                <w:szCs w:val="18"/>
              </w:rPr>
            </w:pPr>
            <w:r>
              <w:rPr>
                <w:rFonts w:ascii="宋体" w:hAnsi="宋体" w:cs="宋体" w:eastAsia="宋体" w:hint="default"/>
                <w:sz w:val="18"/>
                <w:szCs w:val="18"/>
              </w:rPr>
              <w:t>陆永华</w:t>
            </w:r>
            <w:r>
              <w:rPr>
                <w:rFonts w:ascii="宋体" w:hAnsi="宋体" w:cs="宋体" w:eastAsia="宋体" w:hint="default"/>
                <w:sz w:val="18"/>
                <w:szCs w:val="18"/>
              </w:rPr>
              <w:t> </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现任公司董事长、总经理，华虹电子、永安电子、南京林洋、上海会逸执行董事等职。</w:t>
            </w:r>
            <w:r>
              <w:rPr>
                <w:rFonts w:ascii="宋体" w:hAnsi="宋体" w:cs="宋体" w:eastAsia="宋体" w:hint="default"/>
                <w:sz w:val="18"/>
                <w:szCs w:val="18"/>
              </w:rPr>
              <w:t> </w:t>
            </w:r>
          </w:p>
        </w:tc>
      </w:tr>
      <w:tr>
        <w:trPr>
          <w:trHeight w:val="24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90" w:right="0"/>
              <w:jc w:val="center"/>
              <w:rPr>
                <w:rFonts w:ascii="宋体" w:hAnsi="宋体" w:cs="宋体" w:eastAsia="宋体" w:hint="default"/>
                <w:sz w:val="18"/>
                <w:szCs w:val="18"/>
              </w:rPr>
            </w:pPr>
            <w:r>
              <w:rPr>
                <w:rFonts w:ascii="宋体" w:hAnsi="宋体" w:cs="宋体" w:eastAsia="宋体" w:hint="default"/>
                <w:sz w:val="18"/>
                <w:szCs w:val="18"/>
              </w:rPr>
              <w:t>沈凯平</w:t>
            </w:r>
            <w:r>
              <w:rPr>
                <w:rFonts w:ascii="宋体" w:hAnsi="宋体" w:cs="宋体" w:eastAsia="宋体" w:hint="default"/>
                <w:sz w:val="18"/>
                <w:szCs w:val="18"/>
              </w:rPr>
              <w:t> </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曾任公司副总经理；现任公司副董事长。</w:t>
            </w:r>
            <w:r>
              <w:rPr>
                <w:rFonts w:ascii="宋体" w:hAnsi="宋体" w:cs="宋体" w:eastAsia="宋体" w:hint="default"/>
                <w:sz w:val="18"/>
                <w:szCs w:val="18"/>
              </w:rPr>
              <w:t> </w:t>
            </w:r>
          </w:p>
        </w:tc>
      </w:tr>
      <w:tr>
        <w:trPr>
          <w:trHeight w:val="242"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90" w:right="0"/>
              <w:jc w:val="center"/>
              <w:rPr>
                <w:rFonts w:ascii="宋体" w:hAnsi="宋体" w:cs="宋体" w:eastAsia="宋体" w:hint="default"/>
                <w:sz w:val="18"/>
                <w:szCs w:val="18"/>
              </w:rPr>
            </w:pPr>
            <w:r>
              <w:rPr>
                <w:rFonts w:ascii="宋体" w:hAnsi="宋体" w:cs="宋体" w:eastAsia="宋体" w:hint="default"/>
                <w:sz w:val="18"/>
                <w:szCs w:val="18"/>
              </w:rPr>
              <w:t>陆永新</w:t>
            </w:r>
            <w:r>
              <w:rPr>
                <w:rFonts w:ascii="宋体" w:hAnsi="宋体" w:cs="宋体" w:eastAsia="宋体" w:hint="default"/>
                <w:sz w:val="18"/>
                <w:szCs w:val="18"/>
              </w:rPr>
              <w:t> </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曾任公司副总经理；现任公司董事，安徽华乐执行董事兼总经理等职。</w:t>
            </w:r>
            <w:r>
              <w:rPr>
                <w:rFonts w:ascii="宋体" w:hAnsi="宋体" w:cs="宋体" w:eastAsia="宋体" w:hint="default"/>
                <w:sz w:val="18"/>
                <w:szCs w:val="18"/>
              </w:rPr>
              <w:t> </w:t>
            </w:r>
          </w:p>
        </w:tc>
      </w:tr>
      <w:tr>
        <w:trPr>
          <w:trHeight w:val="245"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90" w:right="0"/>
              <w:jc w:val="center"/>
              <w:rPr>
                <w:rFonts w:ascii="宋体" w:hAnsi="宋体" w:cs="宋体" w:eastAsia="宋体" w:hint="default"/>
                <w:sz w:val="18"/>
                <w:szCs w:val="18"/>
              </w:rPr>
            </w:pPr>
            <w:r>
              <w:rPr>
                <w:rFonts w:ascii="宋体" w:hAnsi="宋体" w:cs="宋体" w:eastAsia="宋体" w:hint="default"/>
                <w:sz w:val="18"/>
                <w:szCs w:val="18"/>
              </w:rPr>
              <w:t>虞海娟</w:t>
            </w:r>
            <w:r>
              <w:rPr>
                <w:rFonts w:ascii="宋体" w:hAnsi="宋体" w:cs="宋体" w:eastAsia="宋体" w:hint="default"/>
                <w:sz w:val="18"/>
                <w:szCs w:val="18"/>
              </w:rPr>
              <w:t> </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曾任公司董事会秘书等职。现任公司董事、副总经理、财务负责人等职。</w:t>
            </w:r>
            <w:r>
              <w:rPr>
                <w:rFonts w:ascii="宋体" w:hAnsi="宋体" w:cs="宋体" w:eastAsia="宋体" w:hint="default"/>
                <w:sz w:val="18"/>
                <w:szCs w:val="18"/>
              </w:rPr>
              <w:t> </w:t>
            </w:r>
          </w:p>
        </w:tc>
      </w:tr>
      <w:tr>
        <w:trPr>
          <w:trHeight w:val="242"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90" w:right="0"/>
              <w:jc w:val="center"/>
              <w:rPr>
                <w:rFonts w:ascii="宋体" w:hAnsi="宋体" w:cs="宋体" w:eastAsia="宋体" w:hint="default"/>
                <w:sz w:val="18"/>
                <w:szCs w:val="18"/>
              </w:rPr>
            </w:pPr>
            <w:r>
              <w:rPr>
                <w:rFonts w:ascii="宋体" w:hAnsi="宋体" w:cs="宋体" w:eastAsia="宋体" w:hint="default"/>
                <w:sz w:val="18"/>
                <w:szCs w:val="18"/>
              </w:rPr>
              <w:t>贾丽娜</w:t>
            </w:r>
            <w:r>
              <w:rPr>
                <w:rFonts w:ascii="宋体" w:hAnsi="宋体" w:cs="宋体" w:eastAsia="宋体" w:hint="default"/>
                <w:sz w:val="18"/>
                <w:szCs w:val="18"/>
              </w:rPr>
              <w:t> </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曾任南京金陵科技学院教师、天衡会计师事务所合伙人，现任中天运会计师事务所管理合伙人、公司独立董事。</w:t>
            </w:r>
            <w:r>
              <w:rPr>
                <w:rFonts w:ascii="宋体" w:hAnsi="宋体" w:cs="宋体" w:eastAsia="宋体" w:hint="default"/>
                <w:sz w:val="18"/>
                <w:szCs w:val="18"/>
              </w:rPr>
              <w:t> </w:t>
            </w:r>
          </w:p>
        </w:tc>
      </w:tr>
      <w:tr>
        <w:trPr>
          <w:trHeight w:val="245"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90" w:right="0"/>
              <w:jc w:val="center"/>
              <w:rPr>
                <w:rFonts w:ascii="宋体" w:hAnsi="宋体" w:cs="宋体" w:eastAsia="宋体" w:hint="default"/>
                <w:sz w:val="18"/>
                <w:szCs w:val="18"/>
              </w:rPr>
            </w:pPr>
            <w:r>
              <w:rPr>
                <w:rFonts w:ascii="宋体" w:hAnsi="宋体" w:cs="宋体" w:eastAsia="宋体" w:hint="default"/>
                <w:sz w:val="18"/>
                <w:szCs w:val="18"/>
              </w:rPr>
              <w:t>蔡克亮</w:t>
            </w:r>
            <w:r>
              <w:rPr>
                <w:rFonts w:ascii="宋体" w:hAnsi="宋体" w:cs="宋体" w:eastAsia="宋体" w:hint="default"/>
                <w:sz w:val="18"/>
                <w:szCs w:val="18"/>
              </w:rPr>
              <w:t> </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曾任上海东信律师事务所律师、北京中伦律师事务所律师，现任北京大成（上海）律师事务所合伙人、公司独立董事。</w:t>
            </w:r>
            <w:r>
              <w:rPr>
                <w:rFonts w:ascii="宋体" w:hAnsi="宋体" w:cs="宋体" w:eastAsia="宋体" w:hint="default"/>
                <w:sz w:val="18"/>
                <w:szCs w:val="18"/>
              </w:rPr>
              <w:t> </w:t>
            </w:r>
          </w:p>
        </w:tc>
      </w:tr>
      <w:tr>
        <w:trPr>
          <w:trHeight w:val="475"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88" w:right="0"/>
              <w:jc w:val="center"/>
              <w:rPr>
                <w:rFonts w:ascii="宋体" w:hAnsi="宋体" w:cs="宋体" w:eastAsia="宋体" w:hint="default"/>
                <w:sz w:val="18"/>
                <w:szCs w:val="18"/>
              </w:rPr>
            </w:pPr>
            <w:r>
              <w:rPr>
                <w:rFonts w:ascii="宋体" w:hAnsi="宋体" w:cs="宋体" w:eastAsia="宋体" w:hint="default"/>
                <w:sz w:val="18"/>
                <w:szCs w:val="18"/>
              </w:rPr>
              <w:t>苏凯</w:t>
            </w:r>
            <w:r>
              <w:rPr>
                <w:rFonts w:ascii="宋体" w:hAnsi="宋体" w:cs="宋体" w:eastAsia="宋体" w:hint="default"/>
                <w:sz w:val="18"/>
                <w:szCs w:val="18"/>
              </w:rPr>
              <w:t> </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曾任国家发改委职员、北京赛诺水务科技有限公司副总裁，现任任国能山水（深圳）生态科技有限公司董事长、北京易柯生态科技有限责任公司董事长、公司</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独立董事。</w:t>
            </w:r>
            <w:r>
              <w:rPr>
                <w:rFonts w:ascii="宋体" w:hAnsi="宋体" w:cs="宋体" w:eastAsia="宋体" w:hint="default"/>
                <w:sz w:val="18"/>
                <w:szCs w:val="18"/>
              </w:rPr>
              <w:t> </w:t>
            </w:r>
          </w:p>
        </w:tc>
      </w:tr>
      <w:tr>
        <w:trPr>
          <w:trHeight w:val="245"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90" w:right="0"/>
              <w:jc w:val="center"/>
              <w:rPr>
                <w:rFonts w:ascii="宋体" w:hAnsi="宋体" w:cs="宋体" w:eastAsia="宋体" w:hint="default"/>
                <w:sz w:val="18"/>
                <w:szCs w:val="18"/>
              </w:rPr>
            </w:pPr>
            <w:r>
              <w:rPr>
                <w:rFonts w:ascii="宋体" w:hAnsi="宋体" w:cs="宋体" w:eastAsia="宋体" w:hint="default"/>
                <w:sz w:val="18"/>
                <w:szCs w:val="18"/>
              </w:rPr>
              <w:t>黄大森</w:t>
            </w:r>
            <w:r>
              <w:rPr>
                <w:rFonts w:ascii="宋体" w:hAnsi="宋体" w:cs="宋体" w:eastAsia="宋体" w:hint="default"/>
                <w:sz w:val="18"/>
                <w:szCs w:val="18"/>
              </w:rPr>
              <w:t> </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曾任浦发银行南通分行行长、北京代表处首席代表、总行办公室主任兼行政部（保卫部）总经理、公司独立董事。</w:t>
            </w:r>
            <w:r>
              <w:rPr>
                <w:rFonts w:ascii="宋体" w:hAnsi="宋体" w:cs="宋体" w:eastAsia="宋体" w:hint="default"/>
                <w:sz w:val="18"/>
                <w:szCs w:val="18"/>
              </w:rPr>
              <w:t> </w:t>
            </w:r>
          </w:p>
        </w:tc>
      </w:tr>
      <w:tr>
        <w:trPr>
          <w:trHeight w:val="242"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90" w:right="0"/>
              <w:jc w:val="center"/>
              <w:rPr>
                <w:rFonts w:ascii="宋体" w:hAnsi="宋体" w:cs="宋体" w:eastAsia="宋体" w:hint="default"/>
                <w:sz w:val="18"/>
                <w:szCs w:val="18"/>
              </w:rPr>
            </w:pPr>
            <w:r>
              <w:rPr>
                <w:rFonts w:ascii="宋体" w:hAnsi="宋体" w:cs="宋体" w:eastAsia="宋体" w:hint="default"/>
                <w:sz w:val="18"/>
                <w:szCs w:val="18"/>
              </w:rPr>
              <w:t>张桂琴</w:t>
            </w:r>
            <w:r>
              <w:rPr>
                <w:rFonts w:ascii="宋体" w:hAnsi="宋体" w:cs="宋体" w:eastAsia="宋体" w:hint="default"/>
                <w:sz w:val="18"/>
                <w:szCs w:val="18"/>
              </w:rPr>
              <w:t> </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现任公司销售副总、监事会主席，华虹电子监事、上海会逸监事、武汉奥统董事兼总经理等职。</w:t>
            </w:r>
            <w:r>
              <w:rPr>
                <w:rFonts w:ascii="宋体" w:hAnsi="宋体" w:cs="宋体" w:eastAsia="宋体" w:hint="default"/>
                <w:sz w:val="18"/>
                <w:szCs w:val="18"/>
              </w:rPr>
              <w:t> </w:t>
            </w:r>
          </w:p>
        </w:tc>
      </w:tr>
      <w:tr>
        <w:trPr>
          <w:trHeight w:val="245"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8" w:right="0"/>
              <w:jc w:val="center"/>
              <w:rPr>
                <w:rFonts w:ascii="宋体" w:hAnsi="宋体" w:cs="宋体" w:eastAsia="宋体" w:hint="default"/>
                <w:sz w:val="18"/>
                <w:szCs w:val="18"/>
              </w:rPr>
            </w:pPr>
            <w:r>
              <w:rPr>
                <w:rFonts w:ascii="宋体" w:hAnsi="宋体" w:cs="宋体" w:eastAsia="宋体" w:hint="default"/>
                <w:sz w:val="18"/>
                <w:szCs w:val="18"/>
              </w:rPr>
              <w:t>朱英</w:t>
            </w:r>
            <w:r>
              <w:rPr>
                <w:rFonts w:ascii="宋体" w:hAnsi="宋体" w:cs="宋体" w:eastAsia="宋体" w:hint="default"/>
                <w:sz w:val="18"/>
                <w:szCs w:val="18"/>
              </w:rPr>
              <w:t> </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现任公司人心工程主任、职工代表监事。</w:t>
            </w:r>
            <w:r>
              <w:rPr>
                <w:rFonts w:ascii="宋体" w:hAnsi="宋体" w:cs="宋体" w:eastAsia="宋体" w:hint="default"/>
                <w:sz w:val="18"/>
                <w:szCs w:val="18"/>
              </w:rPr>
              <w:t> </w:t>
            </w:r>
          </w:p>
        </w:tc>
      </w:tr>
      <w:tr>
        <w:trPr>
          <w:trHeight w:val="242"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90" w:right="0"/>
              <w:jc w:val="center"/>
              <w:rPr>
                <w:rFonts w:ascii="宋体" w:hAnsi="宋体" w:cs="宋体" w:eastAsia="宋体" w:hint="default"/>
                <w:sz w:val="18"/>
                <w:szCs w:val="18"/>
              </w:rPr>
            </w:pPr>
            <w:r>
              <w:rPr>
                <w:rFonts w:ascii="宋体" w:hAnsi="宋体" w:cs="宋体" w:eastAsia="宋体" w:hint="default"/>
                <w:sz w:val="18"/>
                <w:szCs w:val="18"/>
              </w:rPr>
              <w:t>张天备</w:t>
            </w:r>
            <w:r>
              <w:rPr>
                <w:rFonts w:ascii="宋体" w:hAnsi="宋体" w:cs="宋体" w:eastAsia="宋体" w:hint="default"/>
                <w:sz w:val="18"/>
                <w:szCs w:val="18"/>
              </w:rPr>
              <w:t> </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现任公司监事。</w:t>
            </w:r>
            <w:r>
              <w:rPr>
                <w:rFonts w:ascii="宋体" w:hAnsi="宋体" w:cs="宋体" w:eastAsia="宋体" w:hint="default"/>
                <w:sz w:val="18"/>
                <w:szCs w:val="18"/>
              </w:rPr>
              <w:t> </w:t>
            </w:r>
          </w:p>
        </w:tc>
      </w:tr>
      <w:tr>
        <w:trPr>
          <w:trHeight w:val="245"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90" w:right="0"/>
              <w:jc w:val="center"/>
              <w:rPr>
                <w:rFonts w:ascii="宋体" w:hAnsi="宋体" w:cs="宋体" w:eastAsia="宋体" w:hint="default"/>
                <w:sz w:val="18"/>
                <w:szCs w:val="18"/>
              </w:rPr>
            </w:pPr>
            <w:r>
              <w:rPr>
                <w:rFonts w:ascii="宋体" w:hAnsi="宋体" w:cs="宋体" w:eastAsia="宋体" w:hint="default"/>
                <w:sz w:val="18"/>
                <w:szCs w:val="18"/>
              </w:rPr>
              <w:t>方壮志</w:t>
            </w:r>
            <w:r>
              <w:rPr>
                <w:rFonts w:ascii="宋体" w:hAnsi="宋体" w:cs="宋体" w:eastAsia="宋体" w:hint="default"/>
                <w:sz w:val="18"/>
                <w:szCs w:val="18"/>
              </w:rPr>
              <w:t> </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曾任天弘科技有限公司经理，明基电通信息技术有限公司经理，无锡市电子计算机厂工程师，现任公司副总经理。</w:t>
            </w:r>
            <w:r>
              <w:rPr>
                <w:rFonts w:ascii="宋体" w:hAnsi="宋体" w:cs="宋体" w:eastAsia="宋体" w:hint="default"/>
                <w:sz w:val="18"/>
                <w:szCs w:val="18"/>
              </w:rPr>
              <w:t> </w:t>
            </w:r>
          </w:p>
        </w:tc>
      </w:tr>
      <w:tr>
        <w:trPr>
          <w:trHeight w:val="242"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8" w:right="0"/>
              <w:jc w:val="center"/>
              <w:rPr>
                <w:rFonts w:ascii="宋体" w:hAnsi="宋体" w:cs="宋体" w:eastAsia="宋体" w:hint="default"/>
                <w:sz w:val="18"/>
                <w:szCs w:val="18"/>
              </w:rPr>
            </w:pPr>
            <w:r>
              <w:rPr>
                <w:rFonts w:ascii="宋体" w:hAnsi="宋体" w:cs="宋体" w:eastAsia="宋体" w:hint="default"/>
                <w:sz w:val="18"/>
                <w:szCs w:val="18"/>
              </w:rPr>
              <w:t>裴骏</w:t>
            </w:r>
            <w:r>
              <w:rPr>
                <w:rFonts w:ascii="宋体" w:hAnsi="宋体" w:cs="宋体" w:eastAsia="宋体" w:hint="default"/>
                <w:sz w:val="18"/>
                <w:szCs w:val="18"/>
              </w:rPr>
              <w:t> </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曾任上海神舟新能源发展有限公司副总经理；现任公司副总经理。</w:t>
            </w:r>
            <w:r>
              <w:rPr>
                <w:rFonts w:ascii="宋体" w:hAnsi="宋体" w:cs="宋体" w:eastAsia="宋体" w:hint="default"/>
                <w:sz w:val="18"/>
                <w:szCs w:val="18"/>
              </w:rPr>
              <w:t> </w:t>
            </w:r>
          </w:p>
        </w:tc>
      </w:tr>
      <w:tr>
        <w:trPr>
          <w:trHeight w:val="242"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90" w:right="0"/>
              <w:jc w:val="center"/>
              <w:rPr>
                <w:rFonts w:ascii="宋体" w:hAnsi="宋体" w:cs="宋体" w:eastAsia="宋体" w:hint="default"/>
                <w:sz w:val="18"/>
                <w:szCs w:val="18"/>
              </w:rPr>
            </w:pPr>
            <w:r>
              <w:rPr>
                <w:rFonts w:ascii="宋体" w:hAnsi="宋体" w:cs="宋体" w:eastAsia="宋体" w:hint="default"/>
                <w:sz w:val="18"/>
                <w:szCs w:val="18"/>
              </w:rPr>
              <w:t>朱德省</w:t>
            </w:r>
            <w:r>
              <w:rPr>
                <w:rFonts w:ascii="宋体" w:hAnsi="宋体" w:cs="宋体" w:eastAsia="宋体" w:hint="default"/>
                <w:sz w:val="18"/>
                <w:szCs w:val="18"/>
              </w:rPr>
              <w:t> </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现任公司副总经理。</w:t>
            </w:r>
            <w:r>
              <w:rPr>
                <w:rFonts w:ascii="宋体" w:hAnsi="宋体" w:cs="宋体" w:eastAsia="宋体" w:hint="default"/>
                <w:sz w:val="18"/>
                <w:szCs w:val="18"/>
              </w:rPr>
              <w:t> </w:t>
            </w:r>
          </w:p>
        </w:tc>
      </w:tr>
      <w:tr>
        <w:trPr>
          <w:trHeight w:val="245"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90" w:right="0"/>
              <w:jc w:val="center"/>
              <w:rPr>
                <w:rFonts w:ascii="宋体" w:hAnsi="宋体" w:cs="宋体" w:eastAsia="宋体" w:hint="default"/>
                <w:sz w:val="18"/>
                <w:szCs w:val="18"/>
              </w:rPr>
            </w:pPr>
            <w:r>
              <w:rPr>
                <w:rFonts w:ascii="宋体" w:hAnsi="宋体" w:cs="宋体" w:eastAsia="宋体" w:hint="default"/>
                <w:sz w:val="18"/>
                <w:szCs w:val="18"/>
              </w:rPr>
              <w:t>陆寒熹</w:t>
            </w:r>
            <w:r>
              <w:rPr>
                <w:rFonts w:ascii="宋体" w:hAnsi="宋体" w:cs="宋体" w:eastAsia="宋体" w:hint="default"/>
                <w:sz w:val="18"/>
                <w:szCs w:val="18"/>
              </w:rPr>
              <w:t> </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现任南京林洋总经理、公司副总经理。</w:t>
            </w:r>
            <w:r>
              <w:rPr>
                <w:rFonts w:ascii="宋体" w:hAnsi="宋体" w:cs="宋体" w:eastAsia="宋体" w:hint="default"/>
                <w:sz w:val="18"/>
                <w:szCs w:val="18"/>
              </w:rPr>
              <w:t> </w:t>
            </w:r>
          </w:p>
        </w:tc>
      </w:tr>
      <w:tr>
        <w:trPr>
          <w:trHeight w:val="242"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90" w:right="0"/>
              <w:jc w:val="center"/>
              <w:rPr>
                <w:rFonts w:ascii="宋体" w:hAnsi="宋体" w:cs="宋体" w:eastAsia="宋体" w:hint="default"/>
                <w:sz w:val="18"/>
                <w:szCs w:val="18"/>
              </w:rPr>
            </w:pPr>
            <w:r>
              <w:rPr>
                <w:rFonts w:ascii="宋体" w:hAnsi="宋体" w:cs="宋体" w:eastAsia="宋体" w:hint="default"/>
                <w:sz w:val="18"/>
                <w:szCs w:val="18"/>
              </w:rPr>
              <w:t>崔东旭</w:t>
            </w:r>
            <w:r>
              <w:rPr>
                <w:rFonts w:ascii="宋体" w:hAnsi="宋体" w:cs="宋体" w:eastAsia="宋体" w:hint="default"/>
                <w:sz w:val="18"/>
                <w:szCs w:val="18"/>
              </w:rPr>
              <w:t> </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曾任北京大成（上海）律师事务所律师、公司法务部长；现任公司董事会秘书。</w:t>
            </w:r>
            <w:r>
              <w:rPr>
                <w:rFonts w:ascii="宋体" w:hAnsi="宋体" w:cs="宋体" w:eastAsia="宋体" w:hint="default"/>
                <w:sz w:val="18"/>
                <w:szCs w:val="18"/>
              </w:rPr>
              <w:t> </w:t>
            </w:r>
          </w:p>
        </w:tc>
      </w:tr>
    </w:tbl>
    <w:p>
      <w:pPr>
        <w:pStyle w:val="Heading2"/>
        <w:spacing w:line="274" w:lineRule="exact"/>
        <w:ind w:left="224" w:right="0"/>
        <w:jc w:val="left"/>
        <w:rPr>
          <w:rFonts w:ascii="宋体" w:hAnsi="宋体" w:cs="宋体" w:eastAsia="宋体" w:hint="default"/>
        </w:rPr>
      </w:pPr>
      <w:r>
        <w:rPr>
          <w:rFonts w:ascii="宋体"/>
        </w:rPr>
        <w:t> </w:t>
      </w:r>
    </w:p>
    <w:p>
      <w:pPr>
        <w:pStyle w:val="BodyText"/>
        <w:spacing w:line="274" w:lineRule="exact" w:before="4"/>
        <w:ind w:left="224" w:right="0"/>
        <w:jc w:val="left"/>
        <w:rPr>
          <w:rFonts w:ascii="宋体" w:hAnsi="宋体" w:cs="宋体" w:eastAsia="宋体" w:hint="default"/>
        </w:rPr>
      </w:pPr>
      <w:r>
        <w:rPr/>
        <w:t>其它情况说明</w:t>
      </w:r>
      <w:r>
        <w:rPr>
          <w:rFonts w:ascii="宋体" w:hAnsi="宋体" w:cs="宋体" w:eastAsia="宋体" w:hint="default"/>
        </w:rPr>
        <w:t> </w:t>
      </w:r>
    </w:p>
    <w:p>
      <w:pPr>
        <w:pStyle w:val="BodyText"/>
        <w:spacing w:line="272" w:lineRule="exact"/>
        <w:ind w:left="224"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ind w:left="224" w:right="0" w:firstLine="420"/>
        <w:jc w:val="left"/>
        <w:rPr>
          <w:rFonts w:ascii="宋体" w:hAnsi="宋体" w:cs="宋体" w:eastAsia="宋体" w:hint="default"/>
        </w:rPr>
      </w:pPr>
      <w:r>
        <w:rPr>
          <w:w w:val="100"/>
        </w:rPr>
        <w:t>因</w:t>
      </w:r>
      <w:r>
        <w:rPr>
          <w:spacing w:val="-54"/>
          <w:w w:val="100"/>
        </w:rPr>
        <w:t> </w:t>
      </w:r>
      <w:r>
        <w:rPr>
          <w:rFonts w:ascii="宋体" w:hAnsi="宋体" w:cs="宋体" w:eastAsia="宋体" w:hint="default"/>
          <w:spacing w:val="-1"/>
          <w:w w:val="100"/>
        </w:rPr>
        <w:t>2019</w:t>
      </w:r>
      <w:r>
        <w:rPr>
          <w:rFonts w:ascii="宋体" w:hAnsi="宋体" w:cs="宋体" w:eastAsia="宋体" w:hint="default"/>
          <w:spacing w:val="-54"/>
          <w:w w:val="100"/>
        </w:rPr>
        <w:t> </w:t>
      </w:r>
      <w:r>
        <w:rPr>
          <w:spacing w:val="-3"/>
          <w:w w:val="100"/>
        </w:rPr>
        <w:t>年度公司层面考核结果未能达到规定的业绩考核指标，第二次股权激励计划首次授予限制性股票第三次解锁条件和预留授予限制性股票第二</w:t>
      </w:r>
      <w:r>
        <w:rPr>
          <w:w w:val="100"/>
        </w:rPr>
        <w:t> </w:t>
      </w:r>
      <w:r>
        <w:rPr/>
        <w:t>次解锁条件未成就，故未达解锁条件的限制性股票将由公司回购注销。</w:t>
      </w:r>
      <w:r>
        <w:rPr>
          <w:rFonts w:ascii="宋体" w:hAnsi="宋体" w:cs="宋体" w:eastAsia="宋体" w:hint="default"/>
        </w:rPr>
        <w:t> </w:t>
      </w:r>
    </w:p>
    <w:p>
      <w:pPr>
        <w:pStyle w:val="BodyText"/>
        <w:spacing w:line="272" w:lineRule="exact"/>
        <w:ind w:left="224" w:right="0"/>
        <w:jc w:val="left"/>
        <w:rPr>
          <w:rFonts w:ascii="宋体" w:hAnsi="宋体" w:cs="宋体" w:eastAsia="宋体" w:hint="default"/>
        </w:rPr>
      </w:pPr>
      <w:r>
        <w:rPr>
          <w:rFonts w:ascii="宋体"/>
          <w:w w:val="100"/>
        </w:rPr>
        <w:t> </w:t>
      </w:r>
    </w:p>
    <w:p>
      <w:pPr>
        <w:pStyle w:val="Heading3"/>
        <w:spacing w:line="240" w:lineRule="auto" w:before="58"/>
        <w:ind w:left="224" w:right="0"/>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26"/>
        </w:rPr>
        <w:t> </w:t>
      </w:r>
      <w:r>
        <w:rPr/>
        <w:t>董事、高级管理人员报告期内被授予的股权激励情况</w:t>
      </w:r>
      <w:r>
        <w:rPr>
          <w:b w:val="0"/>
          <w:bCs w:val="0"/>
        </w:rPr>
      </w:r>
    </w:p>
    <w:p>
      <w:pPr>
        <w:pStyle w:val="BodyText"/>
        <w:spacing w:line="240" w:lineRule="auto" w:before="29"/>
        <w:ind w:left="224"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rPr>
        <w:t> </w:t>
      </w:r>
    </w:p>
    <w:p>
      <w:pPr>
        <w:spacing w:after="0" w:line="240" w:lineRule="auto"/>
        <w:jc w:val="left"/>
        <w:rPr>
          <w:rFonts w:ascii="宋体" w:hAnsi="宋体" w:cs="宋体" w:eastAsia="宋体" w:hint="default"/>
        </w:rPr>
        <w:sectPr>
          <w:pgSz w:w="16840" w:h="11910" w:orient="landscape"/>
          <w:pgMar w:header="747" w:footer="975" w:top="1140" w:bottom="1160" w:left="1300" w:right="1020"/>
        </w:sectPr>
      </w:pPr>
    </w:p>
    <w:p>
      <w:pPr>
        <w:pStyle w:val="Heading3"/>
        <w:spacing w:line="240" w:lineRule="auto" w:before="103"/>
        <w:ind w:left="224" w:right="0"/>
        <w:jc w:val="left"/>
        <w:rPr>
          <w:b w:val="0"/>
          <w:bCs w:val="0"/>
        </w:rPr>
      </w:pPr>
      <w:r>
        <w:rPr/>
        <w:t>二、现任及报告期内离任董事、监事和高级管理人员的任职情况</w:t>
      </w:r>
      <w:r>
        <w:rPr>
          <w:b w:val="0"/>
          <w:bCs w:val="0"/>
        </w:rPr>
      </w:r>
    </w:p>
    <w:p>
      <w:pPr>
        <w:pStyle w:val="Heading3"/>
        <w:spacing w:line="240" w:lineRule="auto" w:before="56"/>
        <w:ind w:left="224" w:right="0"/>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8"/>
        </w:rPr>
        <w:t> </w:t>
      </w:r>
      <w:r>
        <w:rPr/>
        <w:t>在股东单位任职情况</w:t>
      </w:r>
      <w:r>
        <w:rPr>
          <w:b w:val="0"/>
          <w:bCs w:val="0"/>
        </w:rPr>
      </w:r>
    </w:p>
    <w:p>
      <w:pPr>
        <w:pStyle w:val="BodyText"/>
        <w:spacing w:line="240" w:lineRule="auto" w:before="32"/>
        <w:ind w:left="224"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2804"/>
        <w:gridCol w:w="3685"/>
        <w:gridCol w:w="2835"/>
        <w:gridCol w:w="2391"/>
        <w:gridCol w:w="2376"/>
      </w:tblGrid>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任职人员姓名</w:t>
            </w:r>
            <w:r>
              <w:rPr>
                <w:rFonts w:ascii="宋体" w:hAnsi="宋体" w:cs="宋体" w:eastAsia="宋体" w:hint="default"/>
                <w:sz w:val="21"/>
                <w:szCs w:val="21"/>
              </w:rPr>
              <w:t> </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股东单位名称</w:t>
            </w:r>
            <w:r>
              <w:rPr>
                <w:rFonts w:ascii="宋体" w:hAnsi="宋体" w:cs="宋体" w:eastAsia="宋体" w:hint="default"/>
                <w:sz w:val="21"/>
                <w:szCs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在股东单位担任的职务</w:t>
            </w:r>
            <w:r>
              <w:rPr>
                <w:rFonts w:ascii="宋体" w:hAnsi="宋体" w:cs="宋体" w:eastAsia="宋体" w:hint="default"/>
                <w:sz w:val="21"/>
                <w:szCs w:val="21"/>
              </w:rPr>
              <w:t> </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center"/>
              <w:rPr>
                <w:rFonts w:ascii="宋体" w:hAnsi="宋体" w:cs="宋体" w:eastAsia="宋体" w:hint="default"/>
                <w:sz w:val="21"/>
                <w:szCs w:val="21"/>
              </w:rPr>
            </w:pPr>
            <w:r>
              <w:rPr>
                <w:rFonts w:ascii="宋体" w:hAnsi="宋体" w:cs="宋体" w:eastAsia="宋体" w:hint="default"/>
                <w:sz w:val="21"/>
                <w:szCs w:val="21"/>
              </w:rPr>
              <w:t>任期起始日期</w:t>
            </w:r>
            <w:r>
              <w:rPr>
                <w:rFonts w:ascii="宋体" w:hAnsi="宋体" w:cs="宋体" w:eastAsia="宋体" w:hint="default"/>
                <w:sz w:val="21"/>
                <w:szCs w:val="21"/>
              </w:rPr>
              <w:t> </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任期终止日期</w:t>
            </w:r>
            <w:r>
              <w:rPr>
                <w:rFonts w:ascii="宋体" w:hAnsi="宋体" w:cs="宋体" w:eastAsia="宋体" w:hint="default"/>
                <w:sz w:val="21"/>
                <w:szCs w:val="21"/>
              </w:rPr>
              <w:t> </w:t>
            </w:r>
          </w:p>
        </w:tc>
      </w:tr>
      <w:tr>
        <w:trPr>
          <w:trHeight w:val="281"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陆永华</w:t>
            </w:r>
            <w:r>
              <w:rPr>
                <w:rFonts w:ascii="宋体" w:hAnsi="宋体" w:cs="宋体" w:eastAsia="宋体" w:hint="default"/>
                <w:sz w:val="21"/>
                <w:szCs w:val="21"/>
              </w:rPr>
              <w:t> </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启东市华虹电子有限公司</w:t>
            </w:r>
            <w:r>
              <w:rPr>
                <w:rFonts w:ascii="宋体" w:hAnsi="宋体" w:cs="宋体" w:eastAsia="宋体" w:hint="default"/>
                <w:sz w:val="21"/>
                <w:szCs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执行董事</w:t>
            </w:r>
            <w:r>
              <w:rPr>
                <w:rFonts w:ascii="宋体" w:hAnsi="宋体" w:cs="宋体" w:eastAsia="宋体" w:hint="default"/>
                <w:sz w:val="21"/>
                <w:szCs w:val="21"/>
              </w:rPr>
              <w:t> </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2021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r>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hAnsi="宋体" w:cs="宋体" w:eastAsia="宋体" w:hint="default"/>
                <w:sz w:val="21"/>
                <w:szCs w:val="21"/>
              </w:rPr>
              <w:t>陆永华</w:t>
            </w:r>
            <w:r>
              <w:rPr>
                <w:rFonts w:ascii="宋体" w:hAnsi="宋体" w:cs="宋体" w:eastAsia="宋体" w:hint="default"/>
                <w:sz w:val="21"/>
                <w:szCs w:val="21"/>
              </w:rPr>
              <w:t> </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center"/>
              <w:rPr>
                <w:rFonts w:ascii="宋体" w:hAnsi="宋体" w:cs="宋体" w:eastAsia="宋体" w:hint="default"/>
                <w:sz w:val="21"/>
                <w:szCs w:val="21"/>
              </w:rPr>
            </w:pPr>
            <w:r>
              <w:rPr>
                <w:rFonts w:ascii="宋体" w:hAnsi="宋体" w:cs="宋体" w:eastAsia="宋体" w:hint="default"/>
                <w:sz w:val="21"/>
                <w:szCs w:val="21"/>
              </w:rPr>
              <w:t>上海会逸企业管理有限公司</w:t>
            </w:r>
            <w:r>
              <w:rPr>
                <w:rFonts w:ascii="宋体" w:hAnsi="宋体" w:cs="宋体" w:eastAsia="宋体" w:hint="default"/>
                <w:sz w:val="21"/>
                <w:szCs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hAnsi="宋体" w:cs="宋体" w:eastAsia="宋体" w:hint="default"/>
                <w:sz w:val="21"/>
                <w:szCs w:val="21"/>
              </w:rPr>
              <w:t>执行董事</w:t>
            </w:r>
            <w:r>
              <w:rPr>
                <w:rFonts w:ascii="宋体" w:hAnsi="宋体" w:cs="宋体" w:eastAsia="宋体" w:hint="default"/>
                <w:sz w:val="21"/>
                <w:szCs w:val="21"/>
              </w:rPr>
              <w:t> </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10" w:right="0"/>
              <w:jc w:val="center"/>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center"/>
              <w:rPr>
                <w:rFonts w:ascii="宋体" w:hAnsi="宋体" w:cs="宋体" w:eastAsia="宋体" w:hint="default"/>
                <w:sz w:val="21"/>
                <w:szCs w:val="21"/>
              </w:rPr>
            </w:pPr>
            <w:r>
              <w:rPr>
                <w:rFonts w:ascii="宋体" w:hAnsi="宋体" w:cs="宋体" w:eastAsia="宋体" w:hint="default"/>
                <w:sz w:val="21"/>
                <w:szCs w:val="21"/>
              </w:rPr>
              <w:t>2021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r>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张桂琴</w:t>
            </w:r>
            <w:r>
              <w:rPr>
                <w:rFonts w:ascii="宋体" w:hAnsi="宋体" w:cs="宋体" w:eastAsia="宋体" w:hint="default"/>
                <w:sz w:val="21"/>
                <w:szCs w:val="21"/>
              </w:rPr>
              <w:t> </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启东市华虹电子有限公司</w:t>
            </w:r>
            <w:r>
              <w:rPr>
                <w:rFonts w:ascii="宋体" w:hAnsi="宋体" w:cs="宋体" w:eastAsia="宋体" w:hint="default"/>
                <w:sz w:val="21"/>
                <w:szCs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监事</w:t>
            </w:r>
            <w:r>
              <w:rPr>
                <w:rFonts w:ascii="宋体" w:hAnsi="宋体" w:cs="宋体" w:eastAsia="宋体" w:hint="default"/>
                <w:sz w:val="21"/>
                <w:szCs w:val="21"/>
              </w:rPr>
              <w:t> </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2021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r>
      <w:tr>
        <w:trPr>
          <w:trHeight w:val="281"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张桂琴</w:t>
            </w:r>
            <w:r>
              <w:rPr>
                <w:rFonts w:ascii="宋体" w:hAnsi="宋体" w:cs="宋体" w:eastAsia="宋体" w:hint="default"/>
                <w:sz w:val="21"/>
                <w:szCs w:val="21"/>
              </w:rPr>
              <w:t> </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上海会逸企业管理有限公司</w:t>
            </w:r>
            <w:r>
              <w:rPr>
                <w:rFonts w:ascii="宋体" w:hAnsi="宋体" w:cs="宋体" w:eastAsia="宋体" w:hint="default"/>
                <w:sz w:val="21"/>
                <w:szCs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监事</w:t>
            </w:r>
            <w:r>
              <w:rPr>
                <w:rFonts w:ascii="宋体" w:hAnsi="宋体" w:cs="宋体" w:eastAsia="宋体" w:hint="default"/>
                <w:sz w:val="21"/>
                <w:szCs w:val="21"/>
              </w:rPr>
              <w:t> </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2021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r>
      <w:tr>
        <w:trPr>
          <w:trHeight w:val="284"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0" w:right="0"/>
              <w:jc w:val="center"/>
              <w:rPr>
                <w:rFonts w:ascii="宋体" w:hAnsi="宋体" w:cs="宋体" w:eastAsia="宋体" w:hint="default"/>
                <w:sz w:val="21"/>
                <w:szCs w:val="21"/>
              </w:rPr>
            </w:pPr>
            <w:r>
              <w:rPr>
                <w:rFonts w:ascii="宋体" w:hAnsi="宋体" w:cs="宋体" w:eastAsia="宋体" w:hint="default"/>
                <w:sz w:val="21"/>
                <w:szCs w:val="21"/>
              </w:rPr>
              <w:t>在股东单位任职情况的说明</w:t>
            </w:r>
            <w:r>
              <w:rPr>
                <w:rFonts w:ascii="宋体" w:hAnsi="宋体" w:cs="宋体" w:eastAsia="宋体" w:hint="default"/>
                <w:sz w:val="21"/>
                <w:szCs w:val="21"/>
              </w:rPr>
              <w:t> </w:t>
            </w:r>
          </w:p>
        </w:tc>
        <w:tc>
          <w:tcPr>
            <w:tcW w:w="11286"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bl>
    <w:p>
      <w:pPr>
        <w:pStyle w:val="Heading2"/>
        <w:spacing w:line="274" w:lineRule="exact"/>
        <w:ind w:left="224" w:right="0"/>
        <w:jc w:val="left"/>
        <w:rPr>
          <w:rFonts w:ascii="宋体" w:hAnsi="宋体" w:cs="宋体" w:eastAsia="宋体" w:hint="default"/>
        </w:rPr>
      </w:pPr>
      <w:r>
        <w:rPr>
          <w:rFonts w:ascii="宋体"/>
        </w:rPr>
        <w:t> </w:t>
      </w:r>
    </w:p>
    <w:p>
      <w:pPr>
        <w:pStyle w:val="Heading3"/>
        <w:spacing w:line="240" w:lineRule="auto" w:before="64"/>
        <w:ind w:left="224" w:right="0"/>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8"/>
        </w:rPr>
        <w:t> </w:t>
      </w:r>
      <w:r>
        <w:rPr/>
        <w:t>在其他单位任职情况</w:t>
      </w:r>
      <w:r>
        <w:rPr>
          <w:b w:val="0"/>
          <w:bCs w:val="0"/>
        </w:rPr>
      </w:r>
    </w:p>
    <w:p>
      <w:pPr>
        <w:pStyle w:val="BodyText"/>
        <w:spacing w:line="240" w:lineRule="auto" w:before="29"/>
        <w:ind w:left="224"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2818"/>
        <w:gridCol w:w="3670"/>
        <w:gridCol w:w="2835"/>
        <w:gridCol w:w="2377"/>
        <w:gridCol w:w="2390"/>
      </w:tblGrid>
      <w:tr>
        <w:trPr>
          <w:trHeight w:val="281"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任职人员姓名</w:t>
            </w:r>
            <w:r>
              <w:rPr>
                <w:rFonts w:ascii="宋体" w:hAnsi="宋体" w:cs="宋体" w:eastAsia="宋体" w:hint="default"/>
                <w:sz w:val="21"/>
                <w:szCs w:val="21"/>
              </w:rPr>
              <w:t> </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其他单位名称</w:t>
            </w:r>
            <w:r>
              <w:rPr>
                <w:rFonts w:ascii="宋体" w:hAnsi="宋体" w:cs="宋体" w:eastAsia="宋体" w:hint="default"/>
                <w:sz w:val="21"/>
                <w:szCs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在其他单位担任的职务</w:t>
            </w:r>
            <w:r>
              <w:rPr>
                <w:rFonts w:ascii="宋体" w:hAnsi="宋体" w:cs="宋体" w:eastAsia="宋体" w:hint="default"/>
                <w:sz w:val="21"/>
                <w:szCs w:val="21"/>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center"/>
              <w:rPr>
                <w:rFonts w:ascii="宋体" w:hAnsi="宋体" w:cs="宋体" w:eastAsia="宋体" w:hint="default"/>
                <w:sz w:val="21"/>
                <w:szCs w:val="21"/>
              </w:rPr>
            </w:pPr>
            <w:r>
              <w:rPr>
                <w:rFonts w:ascii="宋体" w:hAnsi="宋体" w:cs="宋体" w:eastAsia="宋体" w:hint="default"/>
                <w:sz w:val="21"/>
                <w:szCs w:val="21"/>
              </w:rPr>
              <w:t>任期起始日期</w:t>
            </w:r>
            <w:r>
              <w:rPr>
                <w:rFonts w:ascii="宋体" w:hAnsi="宋体" w:cs="宋体" w:eastAsia="宋体" w:hint="default"/>
                <w:sz w:val="21"/>
                <w:szCs w:val="21"/>
              </w:rPr>
              <w:t>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61" w:right="0"/>
              <w:jc w:val="left"/>
              <w:rPr>
                <w:rFonts w:ascii="宋体" w:hAnsi="宋体" w:cs="宋体" w:eastAsia="宋体" w:hint="default"/>
                <w:sz w:val="21"/>
                <w:szCs w:val="21"/>
              </w:rPr>
            </w:pPr>
            <w:r>
              <w:rPr>
                <w:rFonts w:ascii="宋体" w:hAnsi="宋体" w:cs="宋体" w:eastAsia="宋体" w:hint="default"/>
                <w:sz w:val="21"/>
                <w:szCs w:val="21"/>
              </w:rPr>
              <w:t>任期终止日期</w:t>
            </w:r>
            <w:r>
              <w:rPr>
                <w:rFonts w:ascii="宋体" w:hAnsi="宋体" w:cs="宋体" w:eastAsia="宋体" w:hint="default"/>
                <w:sz w:val="21"/>
                <w:szCs w:val="21"/>
              </w:rPr>
              <w:t> </w:t>
            </w:r>
          </w:p>
        </w:tc>
      </w:tr>
      <w:tr>
        <w:trPr>
          <w:trHeight w:val="283" w:hRule="exact"/>
        </w:trPr>
        <w:tc>
          <w:tcPr>
            <w:tcW w:w="281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0"/>
              <w:ind w:left="103" w:right="0"/>
              <w:jc w:val="center"/>
              <w:rPr>
                <w:rFonts w:ascii="宋体" w:hAnsi="宋体" w:cs="宋体" w:eastAsia="宋体" w:hint="default"/>
                <w:sz w:val="21"/>
                <w:szCs w:val="21"/>
              </w:rPr>
            </w:pPr>
            <w:r>
              <w:rPr>
                <w:rFonts w:ascii="宋体" w:hAnsi="宋体" w:cs="宋体" w:eastAsia="宋体" w:hint="default"/>
                <w:sz w:val="21"/>
                <w:szCs w:val="21"/>
              </w:rPr>
              <w:t>陆永华</w:t>
            </w:r>
            <w:r>
              <w:rPr>
                <w:rFonts w:ascii="宋体" w:hAnsi="宋体" w:cs="宋体" w:eastAsia="宋体" w:hint="default"/>
                <w:sz w:val="21"/>
                <w:szCs w:val="21"/>
              </w:rPr>
              <w:t> </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center"/>
              <w:rPr>
                <w:rFonts w:ascii="宋体" w:hAnsi="宋体" w:cs="宋体" w:eastAsia="宋体" w:hint="default"/>
                <w:sz w:val="21"/>
                <w:szCs w:val="21"/>
              </w:rPr>
            </w:pPr>
            <w:r>
              <w:rPr>
                <w:rFonts w:ascii="宋体" w:hAnsi="宋体" w:cs="宋体" w:eastAsia="宋体" w:hint="default"/>
                <w:sz w:val="21"/>
                <w:szCs w:val="21"/>
              </w:rPr>
              <w:t>南通永盛电力投资有限公司</w:t>
            </w:r>
            <w:r>
              <w:rPr>
                <w:rFonts w:ascii="宋体" w:hAnsi="宋体" w:cs="宋体" w:eastAsia="宋体" w:hint="default"/>
                <w:sz w:val="21"/>
                <w:szCs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hAnsi="宋体" w:cs="宋体" w:eastAsia="宋体" w:hint="default"/>
                <w:sz w:val="21"/>
                <w:szCs w:val="21"/>
              </w:rPr>
              <w:t>执行董事</w:t>
            </w:r>
            <w:r>
              <w:rPr>
                <w:rFonts w:ascii="宋体" w:hAnsi="宋体" w:cs="宋体" w:eastAsia="宋体" w:hint="default"/>
                <w:sz w:val="21"/>
                <w:szCs w:val="21"/>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10" w:right="0"/>
              <w:jc w:val="center"/>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14</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79" w:right="0"/>
              <w:jc w:val="left"/>
              <w:rPr>
                <w:rFonts w:ascii="宋体" w:hAnsi="宋体" w:cs="宋体" w:eastAsia="宋体" w:hint="default"/>
                <w:sz w:val="21"/>
                <w:szCs w:val="21"/>
              </w:rPr>
            </w:pPr>
            <w:r>
              <w:rPr>
                <w:rFonts w:ascii="宋体" w:hAnsi="宋体" w:cs="宋体" w:eastAsia="宋体" w:hint="default"/>
                <w:sz w:val="21"/>
                <w:szCs w:val="21"/>
              </w:rPr>
              <w:t>2021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13</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r>
      <w:tr>
        <w:trPr>
          <w:trHeight w:val="283" w:hRule="exact"/>
        </w:trPr>
        <w:tc>
          <w:tcPr>
            <w:tcW w:w="2818" w:type="dxa"/>
            <w:vMerge/>
            <w:tcBorders>
              <w:left w:val="single" w:sz="4" w:space="0" w:color="000000"/>
              <w:right w:val="single" w:sz="4" w:space="0" w:color="000000"/>
            </w:tcBorders>
          </w:tcPr>
          <w:p>
            <w:pP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南通林洋房地产有限公司</w:t>
            </w:r>
            <w:r>
              <w:rPr>
                <w:rFonts w:ascii="宋体" w:hAnsi="宋体" w:cs="宋体" w:eastAsia="宋体" w:hint="default"/>
                <w:sz w:val="21"/>
                <w:szCs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执行董事</w:t>
            </w:r>
            <w:r>
              <w:rPr>
                <w:rFonts w:ascii="宋体" w:hAnsi="宋体" w:cs="宋体" w:eastAsia="宋体" w:hint="default"/>
                <w:sz w:val="21"/>
                <w:szCs w:val="21"/>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79" w:right="0"/>
              <w:jc w:val="left"/>
              <w:rPr>
                <w:rFonts w:ascii="宋体" w:hAnsi="宋体" w:cs="宋体" w:eastAsia="宋体" w:hint="default"/>
                <w:sz w:val="21"/>
                <w:szCs w:val="21"/>
              </w:rPr>
            </w:pPr>
            <w:r>
              <w:rPr>
                <w:rFonts w:ascii="宋体" w:hAnsi="宋体" w:cs="宋体" w:eastAsia="宋体" w:hint="default"/>
                <w:sz w:val="21"/>
                <w:szCs w:val="21"/>
              </w:rPr>
              <w:t>2022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r>
      <w:tr>
        <w:trPr>
          <w:trHeight w:val="281" w:hRule="exact"/>
        </w:trPr>
        <w:tc>
          <w:tcPr>
            <w:tcW w:w="2818" w:type="dxa"/>
            <w:vMerge/>
            <w:tcBorders>
              <w:left w:val="single" w:sz="4" w:space="0" w:color="000000"/>
              <w:right w:val="single" w:sz="4" w:space="0" w:color="000000"/>
            </w:tcBorders>
          </w:tcPr>
          <w:p>
            <w:pP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南通林洋交通建设工程有限公司</w:t>
            </w:r>
            <w:r>
              <w:rPr>
                <w:rFonts w:ascii="宋体" w:hAnsi="宋体" w:cs="宋体" w:eastAsia="宋体" w:hint="default"/>
                <w:sz w:val="21"/>
                <w:szCs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22</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79" w:right="0"/>
              <w:jc w:val="left"/>
              <w:rPr>
                <w:rFonts w:ascii="宋体" w:hAnsi="宋体" w:cs="宋体" w:eastAsia="宋体" w:hint="default"/>
                <w:sz w:val="21"/>
                <w:szCs w:val="21"/>
              </w:rPr>
            </w:pPr>
            <w:r>
              <w:rPr>
                <w:rFonts w:ascii="宋体" w:hAnsi="宋体" w:cs="宋体" w:eastAsia="宋体" w:hint="default"/>
                <w:sz w:val="21"/>
                <w:szCs w:val="21"/>
              </w:rPr>
              <w:t>2021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21</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r>
      <w:tr>
        <w:trPr>
          <w:trHeight w:val="283" w:hRule="exact"/>
        </w:trPr>
        <w:tc>
          <w:tcPr>
            <w:tcW w:w="2818" w:type="dxa"/>
            <w:vMerge/>
            <w:tcBorders>
              <w:left w:val="single" w:sz="4" w:space="0" w:color="000000"/>
              <w:right w:val="single" w:sz="4" w:space="0" w:color="000000"/>
            </w:tcBorders>
          </w:tcPr>
          <w:p>
            <w:pP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center"/>
              <w:rPr>
                <w:rFonts w:ascii="宋体" w:hAnsi="宋体" w:cs="宋体" w:eastAsia="宋体" w:hint="default"/>
                <w:sz w:val="21"/>
                <w:szCs w:val="21"/>
              </w:rPr>
            </w:pPr>
            <w:r>
              <w:rPr>
                <w:rFonts w:ascii="宋体" w:hAnsi="宋体" w:cs="宋体" w:eastAsia="宋体" w:hint="default"/>
                <w:sz w:val="21"/>
                <w:szCs w:val="21"/>
              </w:rPr>
              <w:t>南通华虹生态园艺有限公司</w:t>
            </w:r>
            <w:r>
              <w:rPr>
                <w:rFonts w:ascii="宋体" w:hAnsi="宋体" w:cs="宋体" w:eastAsia="宋体" w:hint="default"/>
                <w:sz w:val="21"/>
                <w:szCs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6" w:right="0"/>
              <w:jc w:val="center"/>
              <w:rPr>
                <w:rFonts w:ascii="宋体" w:hAnsi="宋体" w:cs="宋体" w:eastAsia="宋体" w:hint="default"/>
                <w:sz w:val="21"/>
                <w:szCs w:val="21"/>
              </w:rPr>
            </w:pPr>
            <w:r>
              <w:rPr>
                <w:rFonts w:ascii="宋体" w:hAnsi="宋体" w:cs="宋体" w:eastAsia="宋体" w:hint="default"/>
                <w:sz w:val="21"/>
                <w:szCs w:val="21"/>
              </w:rPr>
              <w:t>董事长</w:t>
            </w:r>
            <w:r>
              <w:rPr>
                <w:rFonts w:ascii="宋体" w:hAnsi="宋体" w:cs="宋体" w:eastAsia="宋体" w:hint="default"/>
                <w:sz w:val="21"/>
                <w:szCs w:val="21"/>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10" w:right="0"/>
              <w:jc w:val="center"/>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16</w:t>
            </w:r>
            <w:r>
              <w:rPr>
                <w:rFonts w:ascii="宋体" w:hAnsi="宋体" w:cs="宋体" w:eastAsia="宋体" w:hint="default"/>
                <w:spacing w:val="-52"/>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26" w:right="0"/>
              <w:jc w:val="left"/>
              <w:rPr>
                <w:rFonts w:ascii="宋体" w:hAnsi="宋体" w:cs="宋体" w:eastAsia="宋体" w:hint="default"/>
                <w:sz w:val="21"/>
                <w:szCs w:val="21"/>
              </w:rPr>
            </w:pPr>
            <w:r>
              <w:rPr>
                <w:rFonts w:ascii="宋体" w:hAnsi="宋体" w:cs="宋体" w:eastAsia="宋体" w:hint="default"/>
                <w:sz w:val="21"/>
                <w:szCs w:val="21"/>
              </w:rPr>
              <w:t>2021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15</w:t>
            </w:r>
            <w:r>
              <w:rPr>
                <w:rFonts w:ascii="宋体" w:hAnsi="宋体" w:cs="宋体" w:eastAsia="宋体" w:hint="default"/>
                <w:spacing w:val="-52"/>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r>
      <w:tr>
        <w:trPr>
          <w:trHeight w:val="284" w:hRule="exact"/>
        </w:trPr>
        <w:tc>
          <w:tcPr>
            <w:tcW w:w="2818" w:type="dxa"/>
            <w:vMerge/>
            <w:tcBorders>
              <w:left w:val="single" w:sz="4" w:space="0" w:color="000000"/>
              <w:right w:val="single" w:sz="4" w:space="0" w:color="000000"/>
            </w:tcBorders>
          </w:tcPr>
          <w:p>
            <w:pP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南通华虹农业发展有限公司</w:t>
            </w:r>
            <w:r>
              <w:rPr>
                <w:rFonts w:ascii="宋体" w:hAnsi="宋体" w:cs="宋体" w:eastAsia="宋体" w:hint="default"/>
                <w:sz w:val="21"/>
                <w:szCs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执行董事</w:t>
            </w:r>
            <w:r>
              <w:rPr>
                <w:rFonts w:ascii="宋体" w:hAnsi="宋体" w:cs="宋体" w:eastAsia="宋体" w:hint="default"/>
                <w:sz w:val="21"/>
                <w:szCs w:val="21"/>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22</w:t>
            </w:r>
            <w:r>
              <w:rPr>
                <w:rFonts w:ascii="宋体" w:hAnsi="宋体" w:cs="宋体" w:eastAsia="宋体" w:hint="default"/>
                <w:spacing w:val="-52"/>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26" w:right="0"/>
              <w:jc w:val="left"/>
              <w:rPr>
                <w:rFonts w:ascii="宋体" w:hAnsi="宋体" w:cs="宋体" w:eastAsia="宋体" w:hint="default"/>
                <w:sz w:val="21"/>
                <w:szCs w:val="21"/>
              </w:rPr>
            </w:pPr>
            <w:r>
              <w:rPr>
                <w:rFonts w:ascii="宋体" w:hAnsi="宋体" w:cs="宋体" w:eastAsia="宋体" w:hint="default"/>
                <w:sz w:val="21"/>
                <w:szCs w:val="21"/>
              </w:rPr>
              <w:t>2020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21</w:t>
            </w:r>
            <w:r>
              <w:rPr>
                <w:rFonts w:ascii="宋体" w:hAnsi="宋体" w:cs="宋体" w:eastAsia="宋体" w:hint="default"/>
                <w:spacing w:val="-52"/>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r>
      <w:tr>
        <w:trPr>
          <w:trHeight w:val="281" w:hRule="exact"/>
        </w:trPr>
        <w:tc>
          <w:tcPr>
            <w:tcW w:w="2818" w:type="dxa"/>
            <w:vMerge/>
            <w:tcBorders>
              <w:left w:val="single" w:sz="4" w:space="0" w:color="000000"/>
              <w:bottom w:val="single" w:sz="4" w:space="0" w:color="000000"/>
              <w:right w:val="single" w:sz="4" w:space="0" w:color="000000"/>
            </w:tcBorders>
          </w:tcPr>
          <w:p>
            <w:pP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江苏林洋现代农业有限公司</w:t>
            </w:r>
            <w:r>
              <w:rPr>
                <w:rFonts w:ascii="宋体" w:hAnsi="宋体" w:cs="宋体" w:eastAsia="宋体" w:hint="default"/>
                <w:sz w:val="21"/>
                <w:szCs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执行董事</w:t>
            </w:r>
            <w:r>
              <w:rPr>
                <w:rFonts w:ascii="宋体" w:hAnsi="宋体" w:cs="宋体" w:eastAsia="宋体" w:hint="default"/>
                <w:sz w:val="21"/>
                <w:szCs w:val="21"/>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79" w:right="0"/>
              <w:jc w:val="left"/>
              <w:rPr>
                <w:rFonts w:ascii="宋体" w:hAnsi="宋体" w:cs="宋体" w:eastAsia="宋体" w:hint="default"/>
                <w:sz w:val="21"/>
                <w:szCs w:val="21"/>
              </w:rPr>
            </w:pPr>
            <w:r>
              <w:rPr>
                <w:rFonts w:ascii="宋体" w:hAnsi="宋体" w:cs="宋体" w:eastAsia="宋体" w:hint="default"/>
                <w:sz w:val="21"/>
                <w:szCs w:val="21"/>
              </w:rPr>
              <w:t>2021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r>
      <w:tr>
        <w:trPr>
          <w:trHeight w:val="283" w:hRule="exact"/>
        </w:trPr>
        <w:tc>
          <w:tcPr>
            <w:tcW w:w="281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9"/>
              <w:ind w:left="103" w:right="0"/>
              <w:jc w:val="center"/>
              <w:rPr>
                <w:rFonts w:ascii="宋体" w:hAnsi="宋体" w:cs="宋体" w:eastAsia="宋体" w:hint="default"/>
                <w:sz w:val="21"/>
                <w:szCs w:val="21"/>
              </w:rPr>
            </w:pPr>
            <w:r>
              <w:rPr>
                <w:rFonts w:ascii="宋体" w:hAnsi="宋体" w:cs="宋体" w:eastAsia="宋体" w:hint="default"/>
                <w:sz w:val="21"/>
                <w:szCs w:val="21"/>
              </w:rPr>
              <w:t>陆永新</w:t>
            </w:r>
            <w:r>
              <w:rPr>
                <w:rFonts w:ascii="宋体" w:hAnsi="宋体" w:cs="宋体" w:eastAsia="宋体" w:hint="default"/>
                <w:sz w:val="21"/>
                <w:szCs w:val="21"/>
              </w:rPr>
              <w:t> </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南通永乐生态农业有限公司</w:t>
            </w:r>
            <w:r>
              <w:rPr>
                <w:rFonts w:ascii="宋体" w:hAnsi="宋体" w:cs="宋体" w:eastAsia="宋体" w:hint="default"/>
                <w:sz w:val="21"/>
                <w:szCs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执行董事</w:t>
            </w:r>
            <w:r>
              <w:rPr>
                <w:rFonts w:ascii="宋体" w:hAnsi="宋体" w:cs="宋体" w:eastAsia="宋体" w:hint="default"/>
                <w:sz w:val="21"/>
                <w:szCs w:val="21"/>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32" w:right="0"/>
              <w:jc w:val="left"/>
              <w:rPr>
                <w:rFonts w:ascii="宋体" w:hAnsi="宋体" w:cs="宋体" w:eastAsia="宋体" w:hint="default"/>
                <w:sz w:val="21"/>
                <w:szCs w:val="21"/>
              </w:rPr>
            </w:pPr>
            <w:r>
              <w:rPr>
                <w:rFonts w:ascii="宋体" w:hAnsi="宋体" w:cs="宋体" w:eastAsia="宋体" w:hint="default"/>
                <w:sz w:val="21"/>
                <w:szCs w:val="21"/>
              </w:rPr>
              <w:t>2022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r>
      <w:tr>
        <w:trPr>
          <w:trHeight w:val="283" w:hRule="exact"/>
        </w:trPr>
        <w:tc>
          <w:tcPr>
            <w:tcW w:w="2818" w:type="dxa"/>
            <w:vMerge/>
            <w:tcBorders>
              <w:left w:val="single" w:sz="4" w:space="0" w:color="000000"/>
              <w:right w:val="single" w:sz="4" w:space="0" w:color="000000"/>
            </w:tcBorders>
          </w:tcPr>
          <w:p>
            <w:pP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南通林洋交通建设工程有限公司</w:t>
            </w:r>
            <w:r>
              <w:rPr>
                <w:rFonts w:ascii="宋体" w:hAnsi="宋体" w:cs="宋体" w:eastAsia="宋体" w:hint="default"/>
                <w:sz w:val="21"/>
                <w:szCs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董事长</w:t>
            </w:r>
            <w:r>
              <w:rPr>
                <w:rFonts w:ascii="宋体" w:hAnsi="宋体" w:cs="宋体" w:eastAsia="宋体" w:hint="default"/>
                <w:sz w:val="21"/>
                <w:szCs w:val="21"/>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22</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79" w:right="0"/>
              <w:jc w:val="left"/>
              <w:rPr>
                <w:rFonts w:ascii="宋体" w:hAnsi="宋体" w:cs="宋体" w:eastAsia="宋体" w:hint="default"/>
                <w:sz w:val="21"/>
                <w:szCs w:val="21"/>
              </w:rPr>
            </w:pPr>
            <w:r>
              <w:rPr>
                <w:rFonts w:ascii="宋体" w:hAnsi="宋体" w:cs="宋体" w:eastAsia="宋体" w:hint="default"/>
                <w:sz w:val="21"/>
                <w:szCs w:val="21"/>
              </w:rPr>
              <w:t>2021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21</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r>
      <w:tr>
        <w:trPr>
          <w:trHeight w:val="281" w:hRule="exact"/>
        </w:trPr>
        <w:tc>
          <w:tcPr>
            <w:tcW w:w="2818" w:type="dxa"/>
            <w:vMerge/>
            <w:tcBorders>
              <w:left w:val="single" w:sz="4" w:space="0" w:color="000000"/>
              <w:right w:val="single" w:sz="4" w:space="0" w:color="000000"/>
            </w:tcBorders>
          </w:tcPr>
          <w:p>
            <w:pP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安徽华乐房地产有限公司</w:t>
            </w:r>
            <w:r>
              <w:rPr>
                <w:rFonts w:ascii="宋体" w:hAnsi="宋体" w:cs="宋体" w:eastAsia="宋体" w:hint="default"/>
                <w:sz w:val="21"/>
                <w:szCs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执行董事兼总经理</w:t>
            </w:r>
            <w:r>
              <w:rPr>
                <w:rFonts w:ascii="宋体" w:hAnsi="宋体" w:cs="宋体" w:eastAsia="宋体" w:hint="default"/>
                <w:sz w:val="21"/>
                <w:szCs w:val="21"/>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23</w:t>
            </w:r>
            <w:r>
              <w:rPr>
                <w:rFonts w:ascii="宋体" w:hAnsi="宋体" w:cs="宋体" w:eastAsia="宋体" w:hint="default"/>
                <w:spacing w:val="-52"/>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26" w:right="0"/>
              <w:jc w:val="left"/>
              <w:rPr>
                <w:rFonts w:ascii="宋体" w:hAnsi="宋体" w:cs="宋体" w:eastAsia="宋体" w:hint="default"/>
                <w:sz w:val="21"/>
                <w:szCs w:val="21"/>
              </w:rPr>
            </w:pPr>
            <w:r>
              <w:rPr>
                <w:rFonts w:ascii="宋体" w:hAnsi="宋体" w:cs="宋体" w:eastAsia="宋体" w:hint="default"/>
                <w:sz w:val="21"/>
                <w:szCs w:val="21"/>
              </w:rPr>
              <w:t>2021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22</w:t>
            </w:r>
            <w:r>
              <w:rPr>
                <w:rFonts w:ascii="宋体" w:hAnsi="宋体" w:cs="宋体" w:eastAsia="宋体" w:hint="default"/>
                <w:spacing w:val="-52"/>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r>
      <w:tr>
        <w:trPr>
          <w:trHeight w:val="283" w:hRule="exact"/>
        </w:trPr>
        <w:tc>
          <w:tcPr>
            <w:tcW w:w="2818" w:type="dxa"/>
            <w:vMerge/>
            <w:tcBorders>
              <w:left w:val="single" w:sz="4" w:space="0" w:color="000000"/>
              <w:right w:val="single" w:sz="4" w:space="0" w:color="000000"/>
            </w:tcBorders>
          </w:tcPr>
          <w:p>
            <w:pP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江苏林洋酒店管理有限公司</w:t>
            </w:r>
            <w:r>
              <w:rPr>
                <w:rFonts w:ascii="宋体" w:hAnsi="宋体" w:cs="宋体" w:eastAsia="宋体" w:hint="default"/>
                <w:sz w:val="21"/>
                <w:szCs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执行董事兼总经理</w:t>
            </w:r>
            <w:r>
              <w:rPr>
                <w:rFonts w:ascii="宋体" w:hAnsi="宋体" w:cs="宋体" w:eastAsia="宋体" w:hint="default"/>
                <w:sz w:val="21"/>
                <w:szCs w:val="21"/>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31</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79" w:right="0"/>
              <w:jc w:val="left"/>
              <w:rPr>
                <w:rFonts w:ascii="宋体" w:hAnsi="宋体" w:cs="宋体" w:eastAsia="宋体" w:hint="default"/>
                <w:sz w:val="21"/>
                <w:szCs w:val="21"/>
              </w:rPr>
            </w:pPr>
            <w:r>
              <w:rPr>
                <w:rFonts w:ascii="宋体" w:hAnsi="宋体" w:cs="宋体" w:eastAsia="宋体" w:hint="default"/>
                <w:sz w:val="21"/>
                <w:szCs w:val="21"/>
              </w:rPr>
              <w:t>2022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30</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r>
      <w:tr>
        <w:trPr>
          <w:trHeight w:val="281" w:hRule="exact"/>
        </w:trPr>
        <w:tc>
          <w:tcPr>
            <w:tcW w:w="2818" w:type="dxa"/>
            <w:vMerge/>
            <w:tcBorders>
              <w:left w:val="single" w:sz="4" w:space="0" w:color="000000"/>
              <w:right w:val="single" w:sz="4" w:space="0" w:color="000000"/>
            </w:tcBorders>
          </w:tcPr>
          <w:p>
            <w:pP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南通华虹生态园艺有限公司</w:t>
            </w:r>
            <w:r>
              <w:rPr>
                <w:rFonts w:ascii="宋体" w:hAnsi="宋体" w:cs="宋体" w:eastAsia="宋体" w:hint="default"/>
                <w:sz w:val="21"/>
                <w:szCs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董事兼总经理</w:t>
            </w:r>
            <w:r>
              <w:rPr>
                <w:rFonts w:ascii="宋体" w:hAnsi="宋体" w:cs="宋体" w:eastAsia="宋体" w:hint="default"/>
                <w:sz w:val="21"/>
                <w:szCs w:val="21"/>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16</w:t>
            </w:r>
            <w:r>
              <w:rPr>
                <w:rFonts w:ascii="宋体" w:hAnsi="宋体" w:cs="宋体" w:eastAsia="宋体" w:hint="default"/>
                <w:spacing w:val="-52"/>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26" w:right="0"/>
              <w:jc w:val="left"/>
              <w:rPr>
                <w:rFonts w:ascii="宋体" w:hAnsi="宋体" w:cs="宋体" w:eastAsia="宋体" w:hint="default"/>
                <w:sz w:val="21"/>
                <w:szCs w:val="21"/>
              </w:rPr>
            </w:pPr>
            <w:r>
              <w:rPr>
                <w:rFonts w:ascii="宋体" w:hAnsi="宋体" w:cs="宋体" w:eastAsia="宋体" w:hint="default"/>
                <w:sz w:val="21"/>
                <w:szCs w:val="21"/>
              </w:rPr>
              <w:t>2021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15</w:t>
            </w:r>
            <w:r>
              <w:rPr>
                <w:rFonts w:ascii="宋体" w:hAnsi="宋体" w:cs="宋体" w:eastAsia="宋体" w:hint="default"/>
                <w:spacing w:val="-52"/>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r>
      <w:tr>
        <w:trPr>
          <w:trHeight w:val="283" w:hRule="exact"/>
        </w:trPr>
        <w:tc>
          <w:tcPr>
            <w:tcW w:w="2818" w:type="dxa"/>
            <w:vMerge/>
            <w:tcBorders>
              <w:left w:val="single" w:sz="4" w:space="0" w:color="000000"/>
              <w:right w:val="single" w:sz="4" w:space="0" w:color="000000"/>
            </w:tcBorders>
          </w:tcPr>
          <w:p>
            <w:pP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center"/>
              <w:rPr>
                <w:rFonts w:ascii="宋体" w:hAnsi="宋体" w:cs="宋体" w:eastAsia="宋体" w:hint="default"/>
                <w:sz w:val="21"/>
                <w:szCs w:val="21"/>
              </w:rPr>
            </w:pPr>
            <w:r>
              <w:rPr>
                <w:rFonts w:ascii="宋体" w:hAnsi="宋体" w:cs="宋体" w:eastAsia="宋体" w:hint="default"/>
                <w:sz w:val="21"/>
                <w:szCs w:val="21"/>
              </w:rPr>
              <w:t>上海精鼎电力科技有限公司</w:t>
            </w:r>
            <w:r>
              <w:rPr>
                <w:rFonts w:ascii="宋体" w:hAnsi="宋体" w:cs="宋体" w:eastAsia="宋体" w:hint="default"/>
                <w:sz w:val="21"/>
                <w:szCs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6" w:right="0"/>
              <w:jc w:val="center"/>
              <w:rPr>
                <w:rFonts w:ascii="宋体" w:hAnsi="宋体" w:cs="宋体" w:eastAsia="宋体" w:hint="default"/>
                <w:sz w:val="21"/>
                <w:szCs w:val="21"/>
              </w:rPr>
            </w:pPr>
            <w:r>
              <w:rPr>
                <w:rFonts w:ascii="宋体" w:hAnsi="宋体" w:cs="宋体" w:eastAsia="宋体" w:hint="default"/>
                <w:sz w:val="21"/>
                <w:szCs w:val="21"/>
              </w:rPr>
              <w:t>董事长</w:t>
            </w:r>
            <w:r>
              <w:rPr>
                <w:rFonts w:ascii="宋体" w:hAnsi="宋体" w:cs="宋体" w:eastAsia="宋体" w:hint="default"/>
                <w:sz w:val="21"/>
                <w:szCs w:val="21"/>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10" w:right="0"/>
              <w:jc w:val="center"/>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30</w:t>
            </w:r>
            <w:r>
              <w:rPr>
                <w:rFonts w:ascii="宋体" w:hAnsi="宋体" w:cs="宋体" w:eastAsia="宋体" w:hint="default"/>
                <w:spacing w:val="-52"/>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26" w:right="0"/>
              <w:jc w:val="left"/>
              <w:rPr>
                <w:rFonts w:ascii="宋体" w:hAnsi="宋体" w:cs="宋体" w:eastAsia="宋体" w:hint="default"/>
                <w:sz w:val="21"/>
                <w:szCs w:val="21"/>
              </w:rPr>
            </w:pPr>
            <w:r>
              <w:rPr>
                <w:rFonts w:ascii="宋体" w:hAnsi="宋体" w:cs="宋体" w:eastAsia="宋体" w:hint="default"/>
                <w:sz w:val="21"/>
                <w:szCs w:val="21"/>
              </w:rPr>
              <w:t>2020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29</w:t>
            </w:r>
            <w:r>
              <w:rPr>
                <w:rFonts w:ascii="宋体" w:hAnsi="宋体" w:cs="宋体" w:eastAsia="宋体" w:hint="default"/>
                <w:spacing w:val="-52"/>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r>
      <w:tr>
        <w:trPr>
          <w:trHeight w:val="283" w:hRule="exact"/>
        </w:trPr>
        <w:tc>
          <w:tcPr>
            <w:tcW w:w="2818" w:type="dxa"/>
            <w:vMerge/>
            <w:tcBorders>
              <w:left w:val="single" w:sz="4" w:space="0" w:color="000000"/>
              <w:right w:val="single" w:sz="4" w:space="0" w:color="000000"/>
            </w:tcBorders>
          </w:tcPr>
          <w:p>
            <w:pP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南通永高物业有限公司</w:t>
            </w:r>
            <w:r>
              <w:rPr>
                <w:rFonts w:ascii="宋体" w:hAnsi="宋体" w:cs="宋体" w:eastAsia="宋体" w:hint="default"/>
                <w:sz w:val="21"/>
                <w:szCs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执行董事兼总经理</w:t>
            </w:r>
            <w:r>
              <w:rPr>
                <w:rFonts w:ascii="宋体" w:hAnsi="宋体" w:cs="宋体" w:eastAsia="宋体" w:hint="default"/>
                <w:sz w:val="21"/>
                <w:szCs w:val="21"/>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79" w:right="0"/>
              <w:jc w:val="left"/>
              <w:rPr>
                <w:rFonts w:ascii="宋体" w:hAnsi="宋体" w:cs="宋体" w:eastAsia="宋体" w:hint="default"/>
                <w:sz w:val="21"/>
                <w:szCs w:val="21"/>
              </w:rPr>
            </w:pPr>
            <w:r>
              <w:rPr>
                <w:rFonts w:ascii="宋体" w:hAnsi="宋体" w:cs="宋体" w:eastAsia="宋体" w:hint="default"/>
                <w:sz w:val="21"/>
                <w:szCs w:val="21"/>
              </w:rPr>
              <w:t>2022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30</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r>
      <w:tr>
        <w:trPr>
          <w:trHeight w:val="281" w:hRule="exact"/>
        </w:trPr>
        <w:tc>
          <w:tcPr>
            <w:tcW w:w="2818" w:type="dxa"/>
            <w:vMerge/>
            <w:tcBorders>
              <w:left w:val="single" w:sz="4" w:space="0" w:color="000000"/>
              <w:bottom w:val="single" w:sz="4" w:space="0" w:color="000000"/>
              <w:right w:val="single" w:sz="4" w:space="0" w:color="000000"/>
            </w:tcBorders>
          </w:tcPr>
          <w:p>
            <w:pP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江苏华尔锐风电科技有限公司</w:t>
            </w:r>
            <w:r>
              <w:rPr>
                <w:rFonts w:ascii="宋体" w:hAnsi="宋体" w:cs="宋体" w:eastAsia="宋体" w:hint="default"/>
                <w:sz w:val="21"/>
                <w:szCs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董事长</w:t>
            </w:r>
            <w:r>
              <w:rPr>
                <w:rFonts w:ascii="宋体" w:hAnsi="宋体" w:cs="宋体" w:eastAsia="宋体" w:hint="default"/>
                <w:sz w:val="21"/>
                <w:szCs w:val="21"/>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23</w:t>
            </w:r>
            <w:r>
              <w:rPr>
                <w:rFonts w:ascii="宋体" w:hAnsi="宋体" w:cs="宋体" w:eastAsia="宋体" w:hint="default"/>
                <w:spacing w:val="-52"/>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26" w:right="0"/>
              <w:jc w:val="left"/>
              <w:rPr>
                <w:rFonts w:ascii="宋体" w:hAnsi="宋体" w:cs="宋体" w:eastAsia="宋体" w:hint="default"/>
                <w:sz w:val="21"/>
                <w:szCs w:val="21"/>
              </w:rPr>
            </w:pPr>
            <w:r>
              <w:rPr>
                <w:rFonts w:ascii="宋体" w:hAnsi="宋体" w:cs="宋体" w:eastAsia="宋体" w:hint="default"/>
                <w:sz w:val="21"/>
                <w:szCs w:val="21"/>
              </w:rPr>
              <w:t>2020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22</w:t>
            </w:r>
            <w:r>
              <w:rPr>
                <w:rFonts w:ascii="宋体" w:hAnsi="宋体" w:cs="宋体" w:eastAsia="宋体" w:hint="default"/>
                <w:spacing w:val="-52"/>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r>
      <w:tr>
        <w:trPr>
          <w:trHeight w:val="283" w:hRule="exact"/>
        </w:trPr>
        <w:tc>
          <w:tcPr>
            <w:tcW w:w="2818" w:type="dxa"/>
            <w:vMerge w:val="restart"/>
            <w:tcBorders>
              <w:top w:val="single" w:sz="4" w:space="0" w:color="000000"/>
              <w:left w:val="single" w:sz="4" w:space="0" w:color="000000"/>
              <w:right w:val="single" w:sz="4" w:space="0" w:color="000000"/>
            </w:tcBorders>
          </w:tcPr>
          <w:p>
            <w:pPr>
              <w:pStyle w:val="TableParagraph"/>
              <w:spacing w:line="240" w:lineRule="auto" w:before="107"/>
              <w:ind w:left="103" w:right="0"/>
              <w:jc w:val="center"/>
              <w:rPr>
                <w:rFonts w:ascii="宋体" w:hAnsi="宋体" w:cs="宋体" w:eastAsia="宋体" w:hint="default"/>
                <w:sz w:val="21"/>
                <w:szCs w:val="21"/>
              </w:rPr>
            </w:pPr>
            <w:r>
              <w:rPr>
                <w:rFonts w:ascii="宋体" w:hAnsi="宋体" w:cs="宋体" w:eastAsia="宋体" w:hint="default"/>
                <w:sz w:val="21"/>
                <w:szCs w:val="21"/>
              </w:rPr>
              <w:t>虞海娟</w:t>
            </w:r>
            <w:r>
              <w:rPr>
                <w:rFonts w:ascii="宋体" w:hAnsi="宋体" w:cs="宋体" w:eastAsia="宋体" w:hint="default"/>
                <w:sz w:val="21"/>
                <w:szCs w:val="21"/>
              </w:rPr>
              <w:t> </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center"/>
              <w:rPr>
                <w:rFonts w:ascii="宋体" w:hAnsi="宋体" w:cs="宋体" w:eastAsia="宋体" w:hint="default"/>
                <w:sz w:val="21"/>
                <w:szCs w:val="21"/>
              </w:rPr>
            </w:pPr>
            <w:r>
              <w:rPr>
                <w:rFonts w:ascii="宋体" w:hAnsi="宋体" w:cs="宋体" w:eastAsia="宋体" w:hint="default"/>
                <w:sz w:val="21"/>
                <w:szCs w:val="21"/>
              </w:rPr>
              <w:t>南通永乐生态农业有限公司</w:t>
            </w:r>
            <w:r>
              <w:rPr>
                <w:rFonts w:ascii="宋体" w:hAnsi="宋体" w:cs="宋体" w:eastAsia="宋体" w:hint="default"/>
                <w:sz w:val="21"/>
                <w:szCs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6" w:right="0"/>
              <w:jc w:val="center"/>
              <w:rPr>
                <w:rFonts w:ascii="宋体" w:hAnsi="宋体" w:cs="宋体" w:eastAsia="宋体" w:hint="default"/>
                <w:sz w:val="21"/>
                <w:szCs w:val="21"/>
              </w:rPr>
            </w:pPr>
            <w:r>
              <w:rPr>
                <w:rFonts w:ascii="宋体" w:hAnsi="宋体" w:cs="宋体" w:eastAsia="宋体" w:hint="default"/>
                <w:sz w:val="21"/>
                <w:szCs w:val="21"/>
              </w:rPr>
              <w:t>监事</w:t>
            </w:r>
            <w:r>
              <w:rPr>
                <w:rFonts w:ascii="宋体" w:hAnsi="宋体" w:cs="宋体" w:eastAsia="宋体" w:hint="default"/>
                <w:sz w:val="21"/>
                <w:szCs w:val="21"/>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10" w:right="0"/>
              <w:jc w:val="center"/>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32" w:right="0"/>
              <w:jc w:val="left"/>
              <w:rPr>
                <w:rFonts w:ascii="宋体" w:hAnsi="宋体" w:cs="宋体" w:eastAsia="宋体" w:hint="default"/>
                <w:sz w:val="21"/>
                <w:szCs w:val="21"/>
              </w:rPr>
            </w:pPr>
            <w:r>
              <w:rPr>
                <w:rFonts w:ascii="宋体" w:hAnsi="宋体" w:cs="宋体" w:eastAsia="宋体" w:hint="default"/>
                <w:sz w:val="21"/>
                <w:szCs w:val="21"/>
              </w:rPr>
              <w:t>2022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r>
      <w:tr>
        <w:trPr>
          <w:trHeight w:val="283" w:hRule="exact"/>
        </w:trPr>
        <w:tc>
          <w:tcPr>
            <w:tcW w:w="2818" w:type="dxa"/>
            <w:vMerge/>
            <w:tcBorders>
              <w:left w:val="single" w:sz="4" w:space="0" w:color="000000"/>
              <w:bottom w:val="single" w:sz="4" w:space="0" w:color="000000"/>
              <w:right w:val="single" w:sz="4" w:space="0" w:color="000000"/>
            </w:tcBorders>
          </w:tcPr>
          <w:p>
            <w:pP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南通林洋交通建设工程有限公司</w:t>
            </w:r>
            <w:r>
              <w:rPr>
                <w:rFonts w:ascii="宋体" w:hAnsi="宋体" w:cs="宋体" w:eastAsia="宋体" w:hint="default"/>
                <w:sz w:val="21"/>
                <w:szCs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22</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79" w:right="0"/>
              <w:jc w:val="left"/>
              <w:rPr>
                <w:rFonts w:ascii="宋体" w:hAnsi="宋体" w:cs="宋体" w:eastAsia="宋体" w:hint="default"/>
                <w:sz w:val="21"/>
                <w:szCs w:val="21"/>
              </w:rPr>
            </w:pPr>
            <w:r>
              <w:rPr>
                <w:rFonts w:ascii="宋体" w:hAnsi="宋体" w:cs="宋体" w:eastAsia="宋体" w:hint="default"/>
                <w:sz w:val="21"/>
                <w:szCs w:val="21"/>
              </w:rPr>
              <w:t>2021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21</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张桂琴</w:t>
            </w:r>
            <w:r>
              <w:rPr>
                <w:rFonts w:ascii="宋体" w:hAnsi="宋体" w:cs="宋体" w:eastAsia="宋体" w:hint="default"/>
                <w:sz w:val="21"/>
                <w:szCs w:val="21"/>
              </w:rPr>
              <w:t> </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南通华虹生态园艺有限公司</w:t>
            </w:r>
            <w:r>
              <w:rPr>
                <w:rFonts w:ascii="宋体" w:hAnsi="宋体" w:cs="宋体" w:eastAsia="宋体" w:hint="default"/>
                <w:sz w:val="21"/>
                <w:szCs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监事</w:t>
            </w:r>
            <w:r>
              <w:rPr>
                <w:rFonts w:ascii="宋体" w:hAnsi="宋体" w:cs="宋体" w:eastAsia="宋体" w:hint="default"/>
                <w:sz w:val="21"/>
                <w:szCs w:val="21"/>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16</w:t>
            </w:r>
            <w:r>
              <w:rPr>
                <w:rFonts w:ascii="宋体" w:hAnsi="宋体" w:cs="宋体" w:eastAsia="宋体" w:hint="default"/>
                <w:spacing w:val="-52"/>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26" w:right="0"/>
              <w:jc w:val="left"/>
              <w:rPr>
                <w:rFonts w:ascii="宋体" w:hAnsi="宋体" w:cs="宋体" w:eastAsia="宋体" w:hint="default"/>
                <w:sz w:val="21"/>
                <w:szCs w:val="21"/>
              </w:rPr>
            </w:pPr>
            <w:r>
              <w:rPr>
                <w:rFonts w:ascii="宋体" w:hAnsi="宋体" w:cs="宋体" w:eastAsia="宋体" w:hint="default"/>
                <w:sz w:val="21"/>
                <w:szCs w:val="21"/>
              </w:rPr>
              <w:t>2021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15</w:t>
            </w:r>
            <w:r>
              <w:rPr>
                <w:rFonts w:ascii="宋体" w:hAnsi="宋体" w:cs="宋体" w:eastAsia="宋体" w:hint="default"/>
                <w:spacing w:val="-52"/>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r>
    </w:tbl>
    <w:p>
      <w:pPr>
        <w:spacing w:after="0" w:line="241" w:lineRule="exact"/>
        <w:jc w:val="left"/>
        <w:rPr>
          <w:rFonts w:ascii="宋体" w:hAnsi="宋体" w:cs="宋体" w:eastAsia="宋体" w:hint="default"/>
          <w:sz w:val="21"/>
          <w:szCs w:val="21"/>
        </w:rPr>
        <w:sectPr>
          <w:pgSz w:w="16840" w:h="11910" w:orient="landscape"/>
          <w:pgMar w:header="747" w:footer="975" w:top="1140" w:bottom="1160" w:left="1300" w:right="1220"/>
        </w:sectPr>
      </w:pPr>
    </w:p>
    <w:p>
      <w:pPr>
        <w:spacing w:line="240" w:lineRule="auto" w:before="6"/>
        <w:rPr>
          <w:rFonts w:ascii="宋体" w:hAnsi="宋体" w:cs="宋体" w:eastAsia="宋体" w:hint="default"/>
          <w:sz w:val="10"/>
          <w:szCs w:val="10"/>
        </w:rPr>
      </w:pPr>
    </w:p>
    <w:tbl>
      <w:tblPr>
        <w:tblW w:w="0" w:type="auto"/>
        <w:jc w:val="left"/>
        <w:tblInd w:w="111" w:type="dxa"/>
        <w:tblLayout w:type="fixed"/>
        <w:tblCellMar>
          <w:top w:w="0" w:type="dxa"/>
          <w:left w:w="0" w:type="dxa"/>
          <w:bottom w:w="0" w:type="dxa"/>
          <w:right w:w="0" w:type="dxa"/>
        </w:tblCellMar>
        <w:tblLook w:val="01E0"/>
      </w:tblPr>
      <w:tblGrid>
        <w:gridCol w:w="2818"/>
        <w:gridCol w:w="3670"/>
        <w:gridCol w:w="2835"/>
        <w:gridCol w:w="2377"/>
        <w:gridCol w:w="2390"/>
      </w:tblGrid>
      <w:tr>
        <w:trPr>
          <w:trHeight w:val="281" w:hRule="exact"/>
        </w:trPr>
        <w:tc>
          <w:tcPr>
            <w:tcW w:w="2818" w:type="dxa"/>
            <w:vMerge w:val="restart"/>
            <w:tcBorders>
              <w:top w:val="single" w:sz="4" w:space="0" w:color="000000"/>
              <w:left w:val="single" w:sz="4" w:space="0" w:color="000000"/>
              <w:right w:val="single" w:sz="4" w:space="0" w:color="000000"/>
            </w:tcBorders>
          </w:tcPr>
          <w:p>
            <w:pP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华尔利（南通）电子有限公司</w:t>
            </w:r>
            <w:r>
              <w:rPr>
                <w:rFonts w:ascii="宋体" w:hAnsi="宋体" w:cs="宋体" w:eastAsia="宋体" w:hint="default"/>
                <w:sz w:val="21"/>
                <w:szCs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94"/>
              <w:jc w:val="right"/>
              <w:rPr>
                <w:rFonts w:ascii="宋体" w:hAnsi="宋体" w:cs="宋体" w:eastAsia="宋体" w:hint="default"/>
                <w:sz w:val="21"/>
                <w:szCs w:val="21"/>
              </w:rPr>
            </w:pPr>
            <w:r>
              <w:rPr>
                <w:rFonts w:ascii="宋体" w:hAnsi="宋体" w:cs="宋体" w:eastAsia="宋体" w:hint="default"/>
                <w:spacing w:val="-2"/>
                <w:sz w:val="21"/>
                <w:szCs w:val="21"/>
              </w:rPr>
              <w:t>监事</w:t>
            </w:r>
            <w:r>
              <w:rPr>
                <w:rFonts w:ascii="宋体" w:hAnsi="宋体" w:cs="宋体" w:eastAsia="宋体" w:hint="default"/>
                <w:sz w:val="21"/>
                <w:szCs w:val="21"/>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59"/>
              <w:jc w:val="righ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16</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79" w:right="0"/>
              <w:jc w:val="left"/>
              <w:rPr>
                <w:rFonts w:ascii="宋体" w:hAnsi="宋体" w:cs="宋体" w:eastAsia="宋体" w:hint="default"/>
                <w:sz w:val="21"/>
                <w:szCs w:val="21"/>
              </w:rPr>
            </w:pPr>
            <w:r>
              <w:rPr>
                <w:rFonts w:ascii="宋体" w:hAnsi="宋体" w:cs="宋体" w:eastAsia="宋体" w:hint="default"/>
                <w:sz w:val="21"/>
                <w:szCs w:val="21"/>
              </w:rPr>
              <w:t>2022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15</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r>
      <w:tr>
        <w:trPr>
          <w:trHeight w:val="283" w:hRule="exact"/>
        </w:trPr>
        <w:tc>
          <w:tcPr>
            <w:tcW w:w="2818" w:type="dxa"/>
            <w:vMerge/>
            <w:tcBorders>
              <w:left w:val="single" w:sz="4" w:space="0" w:color="000000"/>
              <w:bottom w:val="single" w:sz="4" w:space="0" w:color="000000"/>
              <w:right w:val="single" w:sz="4" w:space="0" w:color="000000"/>
            </w:tcBorders>
          </w:tcPr>
          <w:p>
            <w:pP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南通华虹农业发展有限公司</w:t>
            </w:r>
            <w:r>
              <w:rPr>
                <w:rFonts w:ascii="宋体" w:hAnsi="宋体" w:cs="宋体" w:eastAsia="宋体" w:hint="default"/>
                <w:sz w:val="21"/>
                <w:szCs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94"/>
              <w:jc w:val="right"/>
              <w:rPr>
                <w:rFonts w:ascii="宋体" w:hAnsi="宋体" w:cs="宋体" w:eastAsia="宋体" w:hint="default"/>
                <w:sz w:val="21"/>
                <w:szCs w:val="21"/>
              </w:rPr>
            </w:pPr>
            <w:r>
              <w:rPr>
                <w:rFonts w:ascii="宋体" w:hAnsi="宋体" w:cs="宋体" w:eastAsia="宋体" w:hint="default"/>
                <w:spacing w:val="-2"/>
                <w:sz w:val="21"/>
                <w:szCs w:val="21"/>
              </w:rPr>
              <w:t>监事</w:t>
            </w:r>
            <w:r>
              <w:rPr>
                <w:rFonts w:ascii="宋体" w:hAnsi="宋体" w:cs="宋体" w:eastAsia="宋体" w:hint="default"/>
                <w:sz w:val="21"/>
                <w:szCs w:val="21"/>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6"/>
              <w:jc w:val="righ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22</w:t>
            </w:r>
            <w:r>
              <w:rPr>
                <w:rFonts w:ascii="宋体" w:hAnsi="宋体" w:cs="宋体" w:eastAsia="宋体" w:hint="default"/>
                <w:spacing w:val="-52"/>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26" w:right="0"/>
              <w:jc w:val="left"/>
              <w:rPr>
                <w:rFonts w:ascii="宋体" w:hAnsi="宋体" w:cs="宋体" w:eastAsia="宋体" w:hint="default"/>
                <w:sz w:val="21"/>
                <w:szCs w:val="21"/>
              </w:rPr>
            </w:pPr>
            <w:r>
              <w:rPr>
                <w:rFonts w:ascii="宋体" w:hAnsi="宋体" w:cs="宋体" w:eastAsia="宋体" w:hint="default"/>
                <w:sz w:val="21"/>
                <w:szCs w:val="21"/>
              </w:rPr>
              <w:t>2020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21</w:t>
            </w:r>
            <w:r>
              <w:rPr>
                <w:rFonts w:ascii="宋体" w:hAnsi="宋体" w:cs="宋体" w:eastAsia="宋体" w:hint="default"/>
                <w:spacing w:val="-52"/>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在其他单位任职情况的说明</w:t>
            </w:r>
            <w:r>
              <w:rPr>
                <w:rFonts w:ascii="宋体" w:hAnsi="宋体" w:cs="宋体" w:eastAsia="宋体" w:hint="default"/>
                <w:sz w:val="21"/>
                <w:szCs w:val="21"/>
              </w:rPr>
              <w:t> </w:t>
            </w:r>
          </w:p>
        </w:tc>
        <w:tc>
          <w:tcPr>
            <w:tcW w:w="1127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bl>
    <w:p>
      <w:pPr>
        <w:pStyle w:val="Heading2"/>
        <w:spacing w:line="274" w:lineRule="exact"/>
        <w:ind w:left="224" w:right="0"/>
        <w:jc w:val="left"/>
        <w:rPr>
          <w:rFonts w:ascii="宋体" w:hAnsi="宋体" w:cs="宋体" w:eastAsia="宋体" w:hint="default"/>
        </w:rPr>
      </w:pPr>
      <w:r>
        <w:rPr>
          <w:rFonts w:ascii="宋体"/>
        </w:rPr>
        <w:t> </w:t>
      </w:r>
    </w:p>
    <w:p>
      <w:pPr>
        <w:pStyle w:val="Heading3"/>
        <w:spacing w:line="240" w:lineRule="auto" w:before="61"/>
        <w:ind w:left="224" w:right="0"/>
        <w:jc w:val="left"/>
        <w:rPr>
          <w:b w:val="0"/>
          <w:bCs w:val="0"/>
        </w:rPr>
      </w:pPr>
      <w:r>
        <w:rPr/>
        <w:t>三、董事、监事、高级管理人员报酬情况</w:t>
      </w:r>
      <w:r>
        <w:rPr>
          <w:b w:val="0"/>
          <w:bCs w:val="0"/>
        </w:rPr>
      </w:r>
    </w:p>
    <w:p>
      <w:pPr>
        <w:pStyle w:val="Heading2"/>
        <w:spacing w:line="240" w:lineRule="auto" w:before="52"/>
        <w:ind w:left="224"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12"/>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4362"/>
        <w:gridCol w:w="9728"/>
      </w:tblGrid>
      <w:tr>
        <w:trPr>
          <w:trHeight w:val="554" w:hRule="exact"/>
        </w:trPr>
        <w:tc>
          <w:tcPr>
            <w:tcW w:w="4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董事、监事、高级管理人员报酬的决策程序</w:t>
            </w:r>
            <w:r>
              <w:rPr>
                <w:rFonts w:ascii="宋体" w:hAnsi="宋体" w:cs="宋体" w:eastAsia="宋体" w:hint="default"/>
                <w:sz w:val="21"/>
                <w:szCs w:val="21"/>
              </w:rPr>
              <w:t> </w:t>
            </w:r>
          </w:p>
        </w:tc>
        <w:tc>
          <w:tcPr>
            <w:tcW w:w="972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根据《公司章程》、《股东大会议事规则》和《董事会薪酬与考核委员会实施细则》的有关规定，本公</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司的董事、监事的报酬由公司股东大会决定，高级管理人员的报酬由公司董事会决定。</w:t>
            </w:r>
            <w:r>
              <w:rPr>
                <w:rFonts w:ascii="宋体" w:hAnsi="宋体" w:cs="宋体" w:eastAsia="宋体" w:hint="default"/>
                <w:sz w:val="21"/>
                <w:szCs w:val="21"/>
              </w:rPr>
              <w:t> </w:t>
            </w:r>
          </w:p>
        </w:tc>
      </w:tr>
      <w:tr>
        <w:trPr>
          <w:trHeight w:val="826" w:hRule="exact"/>
        </w:trPr>
        <w:tc>
          <w:tcPr>
            <w:tcW w:w="4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董事、监事、高级管理人员报酬确定依据</w:t>
            </w:r>
            <w:r>
              <w:rPr>
                <w:rFonts w:ascii="宋体" w:hAnsi="宋体" w:cs="宋体" w:eastAsia="宋体" w:hint="default"/>
                <w:sz w:val="21"/>
                <w:szCs w:val="21"/>
              </w:rPr>
              <w:t> </w:t>
            </w:r>
          </w:p>
        </w:tc>
        <w:tc>
          <w:tcPr>
            <w:tcW w:w="97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公司高级管理人员年度薪酬实行由基本年薪与绩效薪酬组成的激励机制，通过考评实施。基本年薪根据</w:t>
            </w:r>
          </w:p>
          <w:p>
            <w:pPr>
              <w:pStyle w:val="TableParagraph"/>
              <w:spacing w:line="240" w:lineRule="auto"/>
              <w:ind w:left="103" w:right="100"/>
              <w:jc w:val="left"/>
              <w:rPr>
                <w:rFonts w:ascii="宋体" w:hAnsi="宋体" w:cs="宋体" w:eastAsia="宋体" w:hint="default"/>
                <w:sz w:val="21"/>
                <w:szCs w:val="21"/>
              </w:rPr>
            </w:pPr>
            <w:r>
              <w:rPr>
                <w:rFonts w:ascii="宋体" w:hAnsi="宋体" w:cs="宋体" w:eastAsia="宋体" w:hint="default"/>
                <w:sz w:val="21"/>
                <w:szCs w:val="21"/>
              </w:rPr>
              <w:t>公司生产经营规模，参照市场工资价位和职工收入水平等因素确定，绩效薪酬根据岗位年度指标当年度</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z w:val="21"/>
                <w:szCs w:val="21"/>
              </w:rPr>
              <w:t>完成情况，由薪酬委员会考核后确定。</w:t>
            </w:r>
            <w:r>
              <w:rPr>
                <w:rFonts w:ascii="宋体" w:hAnsi="宋体" w:cs="宋体" w:eastAsia="宋体" w:hint="default"/>
                <w:sz w:val="21"/>
                <w:szCs w:val="21"/>
              </w:rPr>
              <w:t> </w:t>
            </w:r>
          </w:p>
        </w:tc>
      </w:tr>
      <w:tr>
        <w:trPr>
          <w:trHeight w:val="554" w:hRule="exact"/>
        </w:trPr>
        <w:tc>
          <w:tcPr>
            <w:tcW w:w="43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董事、监事和高级管理人员报酬的实际支付情</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况</w:t>
            </w:r>
            <w:r>
              <w:rPr>
                <w:rFonts w:ascii="宋体" w:hAnsi="宋体" w:cs="宋体" w:eastAsia="宋体" w:hint="default"/>
                <w:sz w:val="21"/>
                <w:szCs w:val="21"/>
              </w:rPr>
              <w:t> </w:t>
            </w:r>
          </w:p>
        </w:tc>
        <w:tc>
          <w:tcPr>
            <w:tcW w:w="9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报告期内，在公司取酬的董事、监事、高级管理人员年度报酬应付总额为</w:t>
            </w:r>
            <w:r>
              <w:rPr>
                <w:rFonts w:ascii="宋体" w:hAnsi="宋体" w:cs="宋体" w:eastAsia="宋体" w:hint="default"/>
                <w:spacing w:val="-58"/>
                <w:sz w:val="21"/>
                <w:szCs w:val="21"/>
              </w:rPr>
              <w:t> </w:t>
            </w:r>
            <w:r>
              <w:rPr>
                <w:rFonts w:ascii="宋体" w:hAnsi="宋体" w:cs="宋体" w:eastAsia="宋体" w:hint="default"/>
                <w:sz w:val="21"/>
                <w:szCs w:val="21"/>
              </w:rPr>
              <w:t>649.74</w:t>
            </w:r>
            <w:r>
              <w:rPr>
                <w:rFonts w:ascii="宋体" w:hAnsi="宋体" w:cs="宋体" w:eastAsia="宋体" w:hint="default"/>
                <w:spacing w:val="-59"/>
                <w:sz w:val="21"/>
                <w:szCs w:val="21"/>
              </w:rPr>
              <w:t> </w:t>
            </w:r>
            <w:r>
              <w:rPr>
                <w:rFonts w:ascii="宋体" w:hAnsi="宋体" w:cs="宋体" w:eastAsia="宋体" w:hint="default"/>
                <w:sz w:val="21"/>
                <w:szCs w:val="21"/>
              </w:rPr>
              <w:t>万元。</w:t>
            </w:r>
            <w:r>
              <w:rPr>
                <w:rFonts w:ascii="宋体" w:hAnsi="宋体" w:cs="宋体" w:eastAsia="宋体" w:hint="default"/>
                <w:sz w:val="21"/>
                <w:szCs w:val="21"/>
              </w:rPr>
              <w:t> </w:t>
            </w:r>
          </w:p>
        </w:tc>
      </w:tr>
      <w:tr>
        <w:trPr>
          <w:trHeight w:val="557" w:hRule="exact"/>
        </w:trPr>
        <w:tc>
          <w:tcPr>
            <w:tcW w:w="43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报告期末全体董事、监事和高级管理人员实际</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获得的报酬合计</w:t>
            </w:r>
            <w:r>
              <w:rPr>
                <w:rFonts w:ascii="宋体" w:hAnsi="宋体" w:cs="宋体" w:eastAsia="宋体" w:hint="default"/>
                <w:sz w:val="21"/>
                <w:szCs w:val="21"/>
              </w:rPr>
              <w:t> </w:t>
            </w:r>
          </w:p>
        </w:tc>
        <w:tc>
          <w:tcPr>
            <w:tcW w:w="9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报告期内，在公司取酬的董事、监事、高级管理人员年度报酬应付总额为</w:t>
            </w:r>
            <w:r>
              <w:rPr>
                <w:rFonts w:ascii="宋体" w:hAnsi="宋体" w:cs="宋体" w:eastAsia="宋体" w:hint="default"/>
                <w:spacing w:val="-58"/>
                <w:sz w:val="21"/>
                <w:szCs w:val="21"/>
              </w:rPr>
              <w:t> </w:t>
            </w:r>
            <w:r>
              <w:rPr>
                <w:rFonts w:ascii="宋体" w:hAnsi="宋体" w:cs="宋体" w:eastAsia="宋体" w:hint="default"/>
                <w:sz w:val="21"/>
                <w:szCs w:val="21"/>
              </w:rPr>
              <w:t>649.74</w:t>
            </w:r>
            <w:r>
              <w:rPr>
                <w:rFonts w:ascii="宋体" w:hAnsi="宋体" w:cs="宋体" w:eastAsia="宋体" w:hint="default"/>
                <w:spacing w:val="-59"/>
                <w:sz w:val="21"/>
                <w:szCs w:val="21"/>
              </w:rPr>
              <w:t> </w:t>
            </w:r>
            <w:r>
              <w:rPr>
                <w:rFonts w:ascii="宋体" w:hAnsi="宋体" w:cs="宋体" w:eastAsia="宋体" w:hint="default"/>
                <w:sz w:val="21"/>
                <w:szCs w:val="21"/>
              </w:rPr>
              <w:t>万元。</w:t>
            </w:r>
            <w:r>
              <w:rPr>
                <w:rFonts w:ascii="宋体" w:hAnsi="宋体" w:cs="宋体" w:eastAsia="宋体" w:hint="default"/>
                <w:sz w:val="21"/>
                <w:szCs w:val="21"/>
              </w:rPr>
              <w:t> </w:t>
            </w:r>
          </w:p>
        </w:tc>
      </w:tr>
    </w:tbl>
    <w:p>
      <w:pPr>
        <w:pStyle w:val="Heading2"/>
        <w:spacing w:line="274" w:lineRule="exact"/>
        <w:ind w:left="224" w:right="0"/>
        <w:jc w:val="left"/>
        <w:rPr>
          <w:rFonts w:ascii="宋体" w:hAnsi="宋体" w:cs="宋体" w:eastAsia="宋体" w:hint="default"/>
        </w:rPr>
      </w:pPr>
      <w:r>
        <w:rPr>
          <w:rFonts w:ascii="宋体"/>
        </w:rPr>
        <w:t> </w:t>
      </w:r>
    </w:p>
    <w:p>
      <w:pPr>
        <w:pStyle w:val="Heading3"/>
        <w:spacing w:line="240" w:lineRule="auto" w:before="61"/>
        <w:ind w:left="224" w:right="0"/>
        <w:jc w:val="left"/>
        <w:rPr>
          <w:b w:val="0"/>
          <w:bCs w:val="0"/>
        </w:rPr>
      </w:pPr>
      <w:r>
        <w:rPr/>
        <w:t>四、公司董事、监事、高级管理人员变动情况</w:t>
      </w:r>
      <w:r>
        <w:rPr>
          <w:b w:val="0"/>
          <w:bCs w:val="0"/>
        </w:rPr>
      </w:r>
    </w:p>
    <w:p>
      <w:pPr>
        <w:pStyle w:val="Heading2"/>
        <w:spacing w:line="240" w:lineRule="auto" w:before="53"/>
        <w:ind w:left="224"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12"/>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3524"/>
        <w:gridCol w:w="3521"/>
        <w:gridCol w:w="3524"/>
        <w:gridCol w:w="3521"/>
      </w:tblGrid>
      <w:tr>
        <w:trPr>
          <w:trHeight w:val="28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姓名</w:t>
            </w:r>
            <w:r>
              <w:rPr>
                <w:rFonts w:ascii="宋体" w:hAnsi="宋体" w:cs="宋体" w:eastAsia="宋体" w:hint="default"/>
                <w:sz w:val="21"/>
                <w:szCs w:val="21"/>
              </w:rPr>
              <w:t> </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31" w:right="0"/>
              <w:jc w:val="left"/>
              <w:rPr>
                <w:rFonts w:ascii="宋体" w:hAnsi="宋体" w:cs="宋体" w:eastAsia="宋体" w:hint="default"/>
                <w:sz w:val="21"/>
                <w:szCs w:val="21"/>
              </w:rPr>
            </w:pPr>
            <w:r>
              <w:rPr>
                <w:rFonts w:ascii="宋体" w:hAnsi="宋体" w:cs="宋体" w:eastAsia="宋体" w:hint="default"/>
                <w:sz w:val="21"/>
                <w:szCs w:val="21"/>
              </w:rPr>
              <w:t>担任的职务</w:t>
            </w:r>
            <w:r>
              <w:rPr>
                <w:rFonts w:ascii="宋体" w:hAnsi="宋体" w:cs="宋体" w:eastAsia="宋体" w:hint="default"/>
                <w:sz w:val="21"/>
                <w:szCs w:val="21"/>
              </w:rPr>
              <w:t> </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变动情形</w:t>
            </w:r>
            <w:r>
              <w:rPr>
                <w:rFonts w:ascii="宋体" w:hAnsi="宋体" w:cs="宋体" w:eastAsia="宋体" w:hint="default"/>
                <w:sz w:val="21"/>
                <w:szCs w:val="21"/>
              </w:rPr>
              <w:t> </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center"/>
              <w:rPr>
                <w:rFonts w:ascii="宋体" w:hAnsi="宋体" w:cs="宋体" w:eastAsia="宋体" w:hint="default"/>
                <w:sz w:val="21"/>
                <w:szCs w:val="21"/>
              </w:rPr>
            </w:pPr>
            <w:r>
              <w:rPr>
                <w:rFonts w:ascii="宋体" w:hAnsi="宋体" w:cs="宋体" w:eastAsia="宋体" w:hint="default"/>
                <w:sz w:val="21"/>
                <w:szCs w:val="21"/>
              </w:rPr>
              <w:t>变动原因</w:t>
            </w:r>
            <w:r>
              <w:rPr>
                <w:rFonts w:ascii="宋体" w:hAnsi="宋体" w:cs="宋体" w:eastAsia="宋体" w:hint="default"/>
                <w:sz w:val="21"/>
                <w:szCs w:val="21"/>
              </w:rPr>
              <w:t> </w:t>
            </w:r>
          </w:p>
        </w:tc>
      </w:tr>
      <w:tr>
        <w:trPr>
          <w:trHeight w:val="28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苏凯</w:t>
            </w:r>
            <w:r>
              <w:rPr>
                <w:rFonts w:ascii="宋体" w:hAnsi="宋体" w:cs="宋体" w:eastAsia="宋体" w:hint="default"/>
                <w:sz w:val="21"/>
                <w:szCs w:val="21"/>
              </w:rPr>
              <w:t> </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r>
              <w:rPr>
                <w:rFonts w:ascii="宋体" w:hAnsi="宋体" w:cs="宋体" w:eastAsia="宋体" w:hint="default"/>
                <w:sz w:val="21"/>
                <w:szCs w:val="21"/>
              </w:rPr>
              <w:t> </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选举</w:t>
            </w:r>
            <w:r>
              <w:rPr>
                <w:rFonts w:ascii="宋体" w:hAnsi="宋体" w:cs="宋体" w:eastAsia="宋体" w:hint="default"/>
                <w:sz w:val="21"/>
                <w:szCs w:val="21"/>
              </w:rPr>
              <w:t> </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换届选举</w:t>
            </w:r>
            <w:r>
              <w:rPr>
                <w:rFonts w:ascii="宋体" w:hAnsi="宋体" w:cs="宋体" w:eastAsia="宋体" w:hint="default"/>
                <w:sz w:val="21"/>
                <w:szCs w:val="21"/>
              </w:rPr>
              <w:t> </w:t>
            </w:r>
          </w:p>
        </w:tc>
      </w:tr>
      <w:tr>
        <w:trPr>
          <w:trHeight w:val="28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黄大森</w:t>
            </w:r>
            <w:r>
              <w:rPr>
                <w:rFonts w:ascii="宋体" w:hAnsi="宋体" w:cs="宋体" w:eastAsia="宋体" w:hint="default"/>
                <w:sz w:val="21"/>
                <w:szCs w:val="21"/>
              </w:rPr>
              <w:t> </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r>
              <w:rPr>
                <w:rFonts w:ascii="宋体" w:hAnsi="宋体" w:cs="宋体" w:eastAsia="宋体" w:hint="default"/>
                <w:sz w:val="21"/>
                <w:szCs w:val="21"/>
              </w:rPr>
              <w:t> </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离任</w:t>
            </w:r>
            <w:r>
              <w:rPr>
                <w:rFonts w:ascii="宋体" w:hAnsi="宋体" w:cs="宋体" w:eastAsia="宋体" w:hint="default"/>
                <w:sz w:val="21"/>
                <w:szCs w:val="21"/>
              </w:rPr>
              <w:t> </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换届选举</w:t>
            </w:r>
            <w:r>
              <w:rPr>
                <w:rFonts w:ascii="宋体" w:hAnsi="宋体" w:cs="宋体" w:eastAsia="宋体" w:hint="default"/>
                <w:sz w:val="21"/>
                <w:szCs w:val="21"/>
              </w:rPr>
              <w:t> </w:t>
            </w:r>
          </w:p>
        </w:tc>
      </w:tr>
    </w:tbl>
    <w:p>
      <w:pPr>
        <w:pStyle w:val="Heading2"/>
        <w:spacing w:line="274" w:lineRule="exact"/>
        <w:ind w:left="224" w:right="0"/>
        <w:jc w:val="left"/>
        <w:rPr>
          <w:rFonts w:ascii="宋体" w:hAnsi="宋体" w:cs="宋体" w:eastAsia="宋体" w:hint="default"/>
        </w:rPr>
      </w:pPr>
      <w:r>
        <w:rPr>
          <w:rFonts w:ascii="宋体"/>
        </w:rPr>
        <w:t> </w:t>
      </w:r>
    </w:p>
    <w:p>
      <w:pPr>
        <w:pStyle w:val="Heading3"/>
        <w:spacing w:line="240" w:lineRule="auto" w:before="61"/>
        <w:ind w:left="224" w:right="0"/>
        <w:jc w:val="left"/>
        <w:rPr>
          <w:b w:val="0"/>
          <w:bCs w:val="0"/>
        </w:rPr>
      </w:pPr>
      <w:r>
        <w:rPr/>
        <w:t>五、近三年受证券监管机构处罚的情况说明</w:t>
      </w:r>
      <w:r>
        <w:rPr>
          <w:b w:val="0"/>
          <w:bCs w:val="0"/>
        </w:rPr>
      </w:r>
    </w:p>
    <w:p>
      <w:pPr>
        <w:pStyle w:val="Heading2"/>
        <w:spacing w:line="313" w:lineRule="exact" w:before="52"/>
        <w:ind w:left="224"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2"/>
        <w:spacing w:line="313" w:lineRule="exact"/>
        <w:ind w:left="224" w:right="0"/>
        <w:jc w:val="left"/>
        <w:rPr>
          <w:rFonts w:ascii="宋体" w:hAnsi="宋体" w:cs="宋体" w:eastAsia="宋体" w:hint="default"/>
        </w:rPr>
      </w:pPr>
      <w:r>
        <w:rPr>
          <w:rFonts w:ascii="宋体"/>
        </w:rPr>
        <w:t> </w:t>
      </w:r>
    </w:p>
    <w:p>
      <w:pPr>
        <w:spacing w:after="0" w:line="313" w:lineRule="exact"/>
        <w:jc w:val="left"/>
        <w:rPr>
          <w:rFonts w:ascii="宋体" w:hAnsi="宋体" w:cs="宋体" w:eastAsia="宋体" w:hint="default"/>
        </w:rPr>
        <w:sectPr>
          <w:footerReference w:type="default" r:id="rId43"/>
          <w:pgSz w:w="16840" w:h="11910" w:orient="landscape"/>
          <w:pgMar w:footer="975" w:header="747" w:top="1140" w:bottom="1160" w:left="1300" w:right="1220"/>
        </w:sectPr>
      </w:pPr>
    </w:p>
    <w:p>
      <w:pPr>
        <w:spacing w:line="240" w:lineRule="auto" w:before="8"/>
        <w:rPr>
          <w:rFonts w:ascii="宋体" w:hAnsi="宋体" w:cs="宋体" w:eastAsia="宋体" w:hint="default"/>
          <w:sz w:val="24"/>
          <w:szCs w:val="24"/>
        </w:rPr>
      </w:pPr>
    </w:p>
    <w:p>
      <w:pPr>
        <w:pStyle w:val="Heading3"/>
        <w:spacing w:line="290" w:lineRule="auto" w:before="26"/>
        <w:ind w:right="5676"/>
        <w:jc w:val="left"/>
        <w:rPr>
          <w:b w:val="0"/>
          <w:bCs w:val="0"/>
        </w:rPr>
      </w:pPr>
      <w:r>
        <w:rPr>
          <w:rFonts w:ascii="宋体" w:hAnsi="宋体" w:cs="宋体" w:eastAsia="宋体" w:hint="default"/>
          <w:b w:val="0"/>
          <w:bCs w:val="0"/>
          <w:sz w:val="24"/>
          <w:szCs w:val="24"/>
        </w:rPr>
        <w:t> </w:t>
      </w:r>
      <w:r>
        <w:rPr>
          <w:w w:val="100"/>
        </w:rPr>
        <w:t>六</w:t>
      </w:r>
      <w:r>
        <w:rPr>
          <w:spacing w:val="-1"/>
          <w:w w:val="100"/>
        </w:rPr>
        <w:t>、</w:t>
      </w:r>
      <w:r>
        <w:rPr>
          <w:w w:val="100"/>
        </w:rPr>
        <w:t>母公司和主要子公</w:t>
      </w:r>
      <w:r>
        <w:rPr>
          <w:spacing w:val="-3"/>
          <w:w w:val="100"/>
        </w:rPr>
        <w:t>司</w:t>
      </w:r>
      <w:r>
        <w:rPr>
          <w:w w:val="100"/>
        </w:rPr>
        <w:t>的</w:t>
      </w:r>
      <w:r>
        <w:rPr>
          <w:spacing w:val="-3"/>
          <w:w w:val="100"/>
        </w:rPr>
        <w:t>员</w:t>
      </w:r>
      <w:r>
        <w:rPr>
          <w:w w:val="100"/>
        </w:rPr>
        <w:t>工情况</w:t>
      </w:r>
      <w:r>
        <w:rPr>
          <w:w w:val="100"/>
        </w:rPr>
        <w:t> </w:t>
      </w:r>
      <w:r>
        <w:rPr>
          <w:rFonts w:ascii="Calibri" w:hAnsi="Calibri" w:cs="Calibri" w:eastAsia="Calibri" w:hint="default"/>
          <w:spacing w:val="-1"/>
          <w:w w:val="100"/>
        </w:rPr>
        <w:t>(</w:t>
      </w:r>
      <w:r>
        <w:rPr>
          <w:spacing w:val="2"/>
          <w:w w:val="100"/>
        </w:rPr>
        <w:t>一</w:t>
      </w:r>
      <w:r>
        <w:rPr>
          <w:rFonts w:ascii="Calibri" w:hAnsi="Calibri" w:cs="Calibri" w:eastAsia="Calibri" w:hint="default"/>
          <w:w w:val="100"/>
        </w:rPr>
        <w:t>)</w:t>
      </w:r>
      <w:r>
        <w:rPr>
          <w:rFonts w:ascii="Calibri" w:hAnsi="Calibri" w:cs="Calibri" w:eastAsia="Calibri" w:hint="default"/>
        </w:rPr>
        <w:t> </w:t>
      </w:r>
      <w:r>
        <w:rPr>
          <w:rFonts w:ascii="Calibri" w:hAnsi="Calibri" w:cs="Calibri" w:eastAsia="Calibri" w:hint="default"/>
          <w:spacing w:val="-15"/>
        </w:rPr>
        <w:t> </w:t>
      </w:r>
      <w:r>
        <w:rPr>
          <w:w w:val="100"/>
        </w:rPr>
        <w:t>员工情况</w:t>
      </w:r>
      <w:r>
        <w:rPr>
          <w:b w:val="0"/>
          <w:bCs w:val="0"/>
          <w:w w:val="100"/>
        </w:rPr>
      </w:r>
    </w:p>
    <w:tbl>
      <w:tblPr>
        <w:tblW w:w="0" w:type="auto"/>
        <w:jc w:val="left"/>
        <w:tblInd w:w="105" w:type="dxa"/>
        <w:tblLayout w:type="fixed"/>
        <w:tblCellMar>
          <w:top w:w="0" w:type="dxa"/>
          <w:left w:w="0" w:type="dxa"/>
          <w:bottom w:w="0" w:type="dxa"/>
          <w:right w:w="0" w:type="dxa"/>
        </w:tblCellMar>
        <w:tblLook w:val="01E0"/>
      </w:tblPr>
      <w:tblGrid>
        <w:gridCol w:w="4525"/>
        <w:gridCol w:w="4525"/>
      </w:tblGrid>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母公司在职员工的数量</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2,070</w:t>
            </w:r>
            <w:r>
              <w:rPr>
                <w:rFonts w:ascii="宋体"/>
                <w:sz w:val="21"/>
              </w:rPr>
              <w:t> </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主要子公司在职员工的数量</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1,465</w:t>
            </w:r>
            <w:r>
              <w:rPr>
                <w:rFonts w:ascii="宋体"/>
                <w:sz w:val="21"/>
              </w:rPr>
              <w:t> </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在职员工的数量合计</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3,535</w:t>
            </w:r>
            <w:r>
              <w:rPr>
                <w:rFonts w:ascii="宋体"/>
                <w:sz w:val="21"/>
              </w:rPr>
              <w:t> </w:t>
            </w:r>
          </w:p>
        </w:tc>
      </w:tr>
      <w:tr>
        <w:trPr>
          <w:trHeight w:val="554"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母公司及主要子公司需承担费用的离退休职工</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人数</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90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专业构成</w:t>
            </w:r>
            <w:r>
              <w:rPr>
                <w:rFonts w:ascii="宋体" w:hAnsi="宋体" w:cs="宋体" w:eastAsia="宋体" w:hint="default"/>
                <w:sz w:val="21"/>
                <w:szCs w:val="21"/>
              </w:rPr>
              <w:t> </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519"/>
              <w:jc w:val="right"/>
              <w:rPr>
                <w:rFonts w:ascii="宋体" w:hAnsi="宋体" w:cs="宋体" w:eastAsia="宋体" w:hint="default"/>
                <w:sz w:val="21"/>
                <w:szCs w:val="21"/>
              </w:rPr>
            </w:pPr>
            <w:r>
              <w:rPr>
                <w:rFonts w:ascii="宋体" w:hAnsi="宋体" w:cs="宋体" w:eastAsia="宋体" w:hint="default"/>
                <w:spacing w:val="-2"/>
                <w:sz w:val="21"/>
                <w:szCs w:val="21"/>
              </w:rPr>
              <w:t>专业构成类别</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专业构成人数</w:t>
            </w:r>
            <w:r>
              <w:rPr>
                <w:rFonts w:ascii="宋体" w:hAnsi="宋体" w:cs="宋体" w:eastAsia="宋体" w:hint="default"/>
                <w:sz w:val="21"/>
                <w:szCs w:val="21"/>
              </w:rPr>
              <w:t> </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hAnsi="宋体" w:cs="宋体" w:eastAsia="宋体" w:hint="default"/>
                <w:sz w:val="21"/>
                <w:szCs w:val="21"/>
              </w:rPr>
              <w:t>生产人员</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2,085</w:t>
            </w:r>
            <w:r>
              <w:rPr>
                <w:rFonts w:ascii="宋体"/>
                <w:sz w:val="21"/>
              </w:rPr>
              <w:t> </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销售人员</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354</w:t>
            </w:r>
            <w:r>
              <w:rPr>
                <w:rFonts w:ascii="宋体"/>
                <w:sz w:val="21"/>
              </w:rPr>
              <w:t> </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技术人员</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618</w:t>
            </w:r>
            <w:r>
              <w:rPr>
                <w:rFonts w:ascii="宋体"/>
                <w:sz w:val="21"/>
              </w:rPr>
              <w:t> </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财务人员</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105</w:t>
            </w:r>
            <w:r>
              <w:rPr>
                <w:rFonts w:ascii="宋体"/>
                <w:sz w:val="21"/>
              </w:rPr>
              <w:t> </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行政人员</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373</w:t>
            </w:r>
            <w:r>
              <w:rPr>
                <w:rFonts w:ascii="宋体"/>
                <w:sz w:val="21"/>
              </w:rPr>
              <w:t> </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3,535</w:t>
            </w:r>
            <w:r>
              <w:rPr>
                <w:rFonts w:ascii="宋体"/>
                <w:sz w:val="21"/>
              </w:rPr>
              <w:t> </w:t>
            </w:r>
          </w:p>
        </w:tc>
      </w:tr>
      <w:tr>
        <w:trPr>
          <w:trHeight w:val="283" w:hRule="exact"/>
        </w:trPr>
        <w:tc>
          <w:tcPr>
            <w:tcW w:w="90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教育程度</w:t>
            </w:r>
            <w:r>
              <w:rPr>
                <w:rFonts w:ascii="宋体" w:hAnsi="宋体" w:cs="宋体" w:eastAsia="宋体" w:hint="default"/>
                <w:sz w:val="21"/>
                <w:szCs w:val="21"/>
              </w:rPr>
              <w:t> </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519"/>
              <w:jc w:val="right"/>
              <w:rPr>
                <w:rFonts w:ascii="宋体" w:hAnsi="宋体" w:cs="宋体" w:eastAsia="宋体" w:hint="default"/>
                <w:sz w:val="21"/>
                <w:szCs w:val="21"/>
              </w:rPr>
            </w:pPr>
            <w:r>
              <w:rPr>
                <w:rFonts w:ascii="宋体" w:hAnsi="宋体" w:cs="宋体" w:eastAsia="宋体" w:hint="default"/>
                <w:spacing w:val="-2"/>
                <w:sz w:val="21"/>
                <w:szCs w:val="21"/>
              </w:rPr>
              <w:t>教育程度类别</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sz w:val="21"/>
                <w:szCs w:val="21"/>
              </w:rPr>
              <w:t>数量（人）</w:t>
            </w:r>
            <w:r>
              <w:rPr>
                <w:rFonts w:ascii="宋体" w:hAnsi="宋体" w:cs="宋体" w:eastAsia="宋体" w:hint="default"/>
                <w:sz w:val="21"/>
                <w:szCs w:val="21"/>
              </w:rPr>
              <w:t> </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硕士及以上</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122</w:t>
            </w:r>
            <w:r>
              <w:rPr>
                <w:rFonts w:ascii="宋体"/>
                <w:sz w:val="21"/>
              </w:rPr>
              <w:t> </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本科</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897</w:t>
            </w:r>
            <w:r>
              <w:rPr>
                <w:rFonts w:ascii="宋体"/>
                <w:sz w:val="21"/>
              </w:rPr>
              <w:t> </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专科</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761</w:t>
            </w:r>
            <w:r>
              <w:rPr>
                <w:rFonts w:ascii="宋体"/>
                <w:sz w:val="21"/>
              </w:rPr>
              <w:t> </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hAnsi="宋体" w:cs="宋体" w:eastAsia="宋体" w:hint="default"/>
                <w:sz w:val="21"/>
                <w:szCs w:val="21"/>
              </w:rPr>
              <w:t>高中及以下</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1,755</w:t>
            </w:r>
            <w:r>
              <w:rPr>
                <w:rFonts w:ascii="宋体"/>
                <w:sz w:val="21"/>
              </w:rPr>
              <w:t> </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3,535</w:t>
            </w:r>
            <w:r>
              <w:rPr>
                <w:rFonts w:ascii="宋体"/>
                <w:sz w:val="21"/>
              </w:rPr>
              <w:t> </w:t>
            </w:r>
          </w:p>
        </w:tc>
      </w:tr>
    </w:tbl>
    <w:p>
      <w:pPr>
        <w:pStyle w:val="Heading2"/>
        <w:spacing w:line="284" w:lineRule="exact"/>
        <w:ind w:right="0"/>
        <w:jc w:val="left"/>
        <w:rPr>
          <w:rFonts w:ascii="宋体" w:hAnsi="宋体" w:cs="宋体" w:eastAsia="宋体" w:hint="default"/>
        </w:rPr>
      </w:pPr>
      <w:r>
        <w:rPr>
          <w:rFonts w:ascii="宋体"/>
        </w:rPr>
        <w:t> </w:t>
      </w:r>
    </w:p>
    <w:p>
      <w:pPr>
        <w:pStyle w:val="Heading3"/>
        <w:spacing w:line="240" w:lineRule="auto" w:before="64"/>
        <w:ind w:right="0"/>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6"/>
        </w:rPr>
        <w:t> </w:t>
      </w:r>
      <w:r>
        <w:rPr/>
        <w:t>薪酬政策</w:t>
      </w:r>
      <w:r>
        <w:rPr>
          <w:b w:val="0"/>
          <w:bCs w:val="0"/>
        </w:rPr>
      </w:r>
    </w:p>
    <w:p>
      <w:pPr>
        <w:pStyle w:val="BodyText"/>
        <w:spacing w:line="240" w:lineRule="auto" w:before="29"/>
        <w:ind w:left="638" w:right="0" w:hanging="420"/>
        <w:jc w:val="left"/>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公司高级管理人员年度薪酬实行由基本年薪与绩效薪酬组成的薪酬机制，通过考评实施。基</w:t>
      </w:r>
    </w:p>
    <w:p>
      <w:pPr>
        <w:pStyle w:val="BodyText"/>
        <w:spacing w:line="237" w:lineRule="auto"/>
        <w:ind w:right="228"/>
        <w:jc w:val="both"/>
        <w:rPr>
          <w:rFonts w:ascii="宋体" w:hAnsi="宋体" w:cs="宋体" w:eastAsia="宋体" w:hint="default"/>
        </w:rPr>
      </w:pPr>
      <w:r>
        <w:rPr>
          <w:spacing w:val="-2"/>
        </w:rPr>
        <w:t>本年薪根据公司生产经营规模，参照市场工资价位和职工收入水平等因素确定，绩效薪酬根据岗</w:t>
      </w:r>
      <w:r>
        <w:rPr>
          <w:spacing w:val="-25"/>
        </w:rPr>
        <w:t> </w:t>
      </w:r>
      <w:r>
        <w:rPr>
          <w:spacing w:val="-25"/>
        </w:rPr>
      </w:r>
      <w:r>
        <w:rPr>
          <w:spacing w:val="-6"/>
        </w:rPr>
        <w:t>位年度指标当年度完成情况，由薪酬委员会考核后确定。普通员工依据岗位定酬，根据工作绩效、</w:t>
      </w:r>
      <w:r>
        <w:rPr>
          <w:spacing w:val="-54"/>
        </w:rPr>
        <w:t> </w:t>
      </w:r>
      <w:r>
        <w:rPr>
          <w:spacing w:val="-54"/>
        </w:rPr>
      </w:r>
      <w:r>
        <w:rPr>
          <w:spacing w:val="-2"/>
        </w:rPr>
        <w:t>服务年限、工作态度等方面的表现不同进行考核制定薪酬，对于关键核心岗位及公司发展急需的</w:t>
      </w:r>
      <w:r>
        <w:rPr>
          <w:spacing w:val="-25"/>
        </w:rPr>
        <w:t> </w:t>
      </w:r>
      <w:r>
        <w:rPr>
          <w:spacing w:val="-25"/>
        </w:rPr>
      </w:r>
      <w:r>
        <w:rPr>
          <w:spacing w:val="-2"/>
        </w:rPr>
        <w:t>专业技术人才、后备人员等采取薪酬谈判制，以保证公司既避免关键人才流失，又能吸引新的人</w:t>
      </w:r>
      <w:r>
        <w:rPr>
          <w:spacing w:val="-25"/>
        </w:rPr>
        <w:t> </w:t>
      </w:r>
      <w:r>
        <w:rPr>
          <w:spacing w:val="-25"/>
        </w:rPr>
      </w:r>
      <w:r>
        <w:rPr/>
        <w:t>才加入，为公司的持续发展提供保障。</w:t>
      </w:r>
      <w:r>
        <w:rPr>
          <w:rFonts w:ascii="宋体" w:hAnsi="宋体" w:cs="宋体" w:eastAsia="宋体" w:hint="default"/>
        </w:rPr>
        <w:t> </w:t>
      </w:r>
    </w:p>
    <w:p>
      <w:pPr>
        <w:pStyle w:val="BodyText"/>
        <w:spacing w:line="274" w:lineRule="exact" w:before="22"/>
        <w:ind w:right="228" w:firstLine="419"/>
        <w:jc w:val="left"/>
      </w:pPr>
      <w:r>
        <w:rPr>
          <w:spacing w:val="-2"/>
        </w:rPr>
        <w:t>为促进公司健康稳定长远发展，改善公司治理水平，提高员工的凝聚力和公司竞争力，公司</w:t>
      </w:r>
      <w:r>
        <w:rPr>
          <w:w w:val="100"/>
        </w:rPr>
        <w:t> 于</w:t>
      </w:r>
      <w:r>
        <w:rPr>
          <w:spacing w:val="-52"/>
          <w:w w:val="100"/>
        </w:rPr>
        <w:t> </w:t>
      </w:r>
      <w:r>
        <w:rPr>
          <w:rFonts w:ascii="宋体" w:hAnsi="宋体" w:cs="宋体" w:eastAsia="宋体" w:hint="default"/>
          <w:spacing w:val="-1"/>
          <w:w w:val="100"/>
        </w:rPr>
        <w:t>2018</w:t>
      </w:r>
      <w:r>
        <w:rPr>
          <w:rFonts w:ascii="宋体" w:hAnsi="宋体" w:cs="宋体" w:eastAsia="宋体" w:hint="default"/>
          <w:spacing w:val="-52"/>
          <w:w w:val="100"/>
        </w:rPr>
        <w:t> </w:t>
      </w:r>
      <w:r>
        <w:rPr>
          <w:w w:val="100"/>
        </w:rPr>
        <w:t>年</w:t>
      </w:r>
      <w:r>
        <w:rPr>
          <w:spacing w:val="-54"/>
          <w:w w:val="100"/>
        </w:rPr>
        <w:t> </w:t>
      </w:r>
      <w:r>
        <w:rPr>
          <w:rFonts w:ascii="宋体" w:hAnsi="宋体" w:cs="宋体" w:eastAsia="宋体" w:hint="default"/>
          <w:w w:val="100"/>
        </w:rPr>
        <w:t>8</w:t>
      </w:r>
      <w:r>
        <w:rPr>
          <w:rFonts w:ascii="宋体" w:hAnsi="宋体" w:cs="宋体" w:eastAsia="宋体" w:hint="default"/>
          <w:spacing w:val="-52"/>
          <w:w w:val="100"/>
        </w:rPr>
        <w:t> </w:t>
      </w:r>
      <w:r>
        <w:rPr>
          <w:w w:val="100"/>
        </w:rPr>
        <w:t>月</w:t>
      </w:r>
      <w:r>
        <w:rPr>
          <w:spacing w:val="-54"/>
          <w:w w:val="100"/>
        </w:rPr>
        <w:t> </w:t>
      </w:r>
      <w:r>
        <w:rPr>
          <w:rFonts w:ascii="宋体" w:hAnsi="宋体" w:cs="宋体" w:eastAsia="宋体" w:hint="default"/>
          <w:w w:val="100"/>
        </w:rPr>
        <w:t>15</w:t>
      </w:r>
      <w:r>
        <w:rPr>
          <w:rFonts w:ascii="宋体" w:hAnsi="宋体" w:cs="宋体" w:eastAsia="宋体" w:hint="default"/>
          <w:spacing w:val="-52"/>
          <w:w w:val="100"/>
        </w:rPr>
        <w:t> </w:t>
      </w:r>
      <w:r>
        <w:rPr>
          <w:spacing w:val="-2"/>
          <w:w w:val="100"/>
        </w:rPr>
        <w:t>日召开</w:t>
      </w:r>
      <w:r>
        <w:rPr>
          <w:spacing w:val="-53"/>
          <w:w w:val="100"/>
        </w:rPr>
        <w:t> </w:t>
      </w:r>
      <w:r>
        <w:rPr>
          <w:rFonts w:ascii="宋体" w:hAnsi="宋体" w:cs="宋体" w:eastAsia="宋体" w:hint="default"/>
          <w:w w:val="100"/>
        </w:rPr>
        <w:t>2018</w:t>
      </w:r>
      <w:r>
        <w:rPr>
          <w:rFonts w:ascii="宋体" w:hAnsi="宋体" w:cs="宋体" w:eastAsia="宋体" w:hint="default"/>
          <w:spacing w:val="-54"/>
          <w:w w:val="100"/>
        </w:rPr>
        <w:t> </w:t>
      </w:r>
      <w:r>
        <w:rPr>
          <w:spacing w:val="-5"/>
          <w:w w:val="100"/>
        </w:rPr>
        <w:t>年第五次临时股东大会审议通过了《关于以集中竞价交易方式回购</w:t>
      </w:r>
    </w:p>
    <w:p>
      <w:pPr>
        <w:pStyle w:val="BodyText"/>
        <w:spacing w:line="245" w:lineRule="exact"/>
        <w:ind w:right="0"/>
        <w:jc w:val="left"/>
      </w:pPr>
      <w:r>
        <w:rPr/>
        <w:t>股份用于员工持股计划预案的议案》等相关公告。截止</w:t>
      </w:r>
      <w:r>
        <w:rPr>
          <w:spacing w:val="-53"/>
        </w:rPr>
        <w:t> </w:t>
      </w:r>
      <w:r>
        <w:rPr>
          <w:rFonts w:ascii="宋体" w:hAnsi="宋体" w:cs="宋体" w:eastAsia="宋体" w:hint="default"/>
        </w:rPr>
        <w:t>2019</w:t>
      </w:r>
      <w:r>
        <w:rPr>
          <w:rFonts w:ascii="宋体" w:hAnsi="宋体" w:cs="宋体" w:eastAsia="宋体" w:hint="default"/>
          <w:spacing w:val="-55"/>
        </w:rPr>
        <w:t> </w:t>
      </w:r>
      <w:r>
        <w:rPr/>
        <w:t>年</w:t>
      </w:r>
      <w:r>
        <w:rPr>
          <w:spacing w:val="-53"/>
        </w:rPr>
        <w:t> </w:t>
      </w:r>
      <w:r>
        <w:rPr>
          <w:rFonts w:ascii="宋体" w:hAnsi="宋体" w:cs="宋体" w:eastAsia="宋体" w:hint="default"/>
        </w:rPr>
        <w:t>2</w:t>
      </w:r>
      <w:r>
        <w:rPr>
          <w:rFonts w:ascii="宋体" w:hAnsi="宋体" w:cs="宋体" w:eastAsia="宋体" w:hint="default"/>
          <w:spacing w:val="-55"/>
        </w:rPr>
        <w:t> </w:t>
      </w:r>
      <w:r>
        <w:rPr/>
        <w:t>月</w:t>
      </w:r>
      <w:r>
        <w:rPr>
          <w:spacing w:val="-53"/>
        </w:rPr>
        <w:t> </w:t>
      </w:r>
      <w:r>
        <w:rPr>
          <w:rFonts w:ascii="宋体" w:hAnsi="宋体" w:cs="宋体" w:eastAsia="宋体" w:hint="default"/>
        </w:rPr>
        <w:t>14</w:t>
      </w:r>
      <w:r>
        <w:rPr>
          <w:rFonts w:ascii="宋体" w:hAnsi="宋体" w:cs="宋体" w:eastAsia="宋体" w:hint="default"/>
          <w:spacing w:val="-55"/>
        </w:rPr>
        <w:t> </w:t>
      </w:r>
      <w:r>
        <w:rPr/>
        <w:t>日，公司本次回购股份计</w:t>
      </w:r>
    </w:p>
    <w:p>
      <w:pPr>
        <w:pStyle w:val="BodyText"/>
        <w:spacing w:line="272" w:lineRule="exact" w:before="27"/>
        <w:ind w:right="0"/>
        <w:jc w:val="left"/>
        <w:rPr>
          <w:rFonts w:ascii="宋体" w:hAnsi="宋体" w:cs="宋体" w:eastAsia="宋体" w:hint="default"/>
        </w:rPr>
      </w:pPr>
      <w:r>
        <w:rPr>
          <w:spacing w:val="-3"/>
        </w:rPr>
        <w:t>划已实施完成，实际回购公司股份</w:t>
      </w:r>
      <w:r>
        <w:rPr>
          <w:spacing w:val="-42"/>
        </w:rPr>
        <w:t> </w:t>
      </w:r>
      <w:r>
        <w:rPr>
          <w:rFonts w:ascii="宋体" w:hAnsi="宋体" w:cs="宋体" w:eastAsia="宋体" w:hint="default"/>
        </w:rPr>
        <w:t>21,956,999</w:t>
      </w:r>
      <w:r>
        <w:rPr>
          <w:rFonts w:ascii="宋体" w:hAnsi="宋体" w:cs="宋体" w:eastAsia="宋体" w:hint="default"/>
          <w:spacing w:val="-42"/>
        </w:rPr>
        <w:t> </w:t>
      </w:r>
      <w:r>
        <w:rPr>
          <w:spacing w:val="-5"/>
        </w:rPr>
        <w:t>股，使用资金总额</w:t>
      </w:r>
      <w:r>
        <w:rPr>
          <w:spacing w:val="-41"/>
        </w:rPr>
        <w:t> </w:t>
      </w:r>
      <w:r>
        <w:rPr>
          <w:rFonts w:ascii="宋体" w:hAnsi="宋体" w:cs="宋体" w:eastAsia="宋体" w:hint="default"/>
        </w:rPr>
        <w:t>10,048.41</w:t>
      </w:r>
      <w:r>
        <w:rPr>
          <w:rFonts w:ascii="宋体" w:hAnsi="宋体" w:cs="宋体" w:eastAsia="宋体" w:hint="default"/>
          <w:spacing w:val="-44"/>
        </w:rPr>
        <w:t> </w:t>
      </w:r>
      <w:r>
        <w:rPr>
          <w:spacing w:val="-7"/>
        </w:rPr>
        <w:t>万元（不含佣金、过</w:t>
      </w:r>
      <w:r>
        <w:rPr>
          <w:spacing w:val="-101"/>
        </w:rPr>
        <w:t> </w:t>
      </w:r>
      <w:r>
        <w:rPr>
          <w:spacing w:val="-101"/>
        </w:rPr>
      </w:r>
      <w:r>
        <w:rPr/>
        <w:t>户费等交易费用），本次回购的股份将全部用于后续员工持股计划。</w:t>
      </w:r>
      <w:r>
        <w:rPr>
          <w:rFonts w:ascii="宋体" w:hAnsi="宋体" w:cs="宋体" w:eastAsia="宋体" w:hint="default"/>
        </w:rPr>
        <w:t> </w:t>
      </w:r>
    </w:p>
    <w:p>
      <w:pPr>
        <w:pStyle w:val="BodyText"/>
        <w:spacing w:line="249" w:lineRule="exact"/>
        <w:ind w:right="0"/>
        <w:jc w:val="left"/>
        <w:rPr>
          <w:rFonts w:ascii="宋体" w:hAnsi="宋体" w:cs="宋体" w:eastAsia="宋体" w:hint="default"/>
        </w:rPr>
      </w:pPr>
      <w:r>
        <w:rPr>
          <w:rFonts w:ascii="宋体"/>
          <w:w w:val="100"/>
        </w:rPr>
        <w:t> </w:t>
      </w:r>
    </w:p>
    <w:p>
      <w:pPr>
        <w:pStyle w:val="Heading3"/>
        <w:spacing w:line="240" w:lineRule="auto" w:before="56"/>
        <w:ind w:right="0"/>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36"/>
        </w:rPr>
        <w:t> </w:t>
      </w:r>
      <w:r>
        <w:rPr/>
        <w:t>培训计划</w:t>
      </w:r>
      <w:r>
        <w:rPr>
          <w:b w:val="0"/>
          <w:bCs w:val="0"/>
        </w:rPr>
      </w:r>
    </w:p>
    <w:p>
      <w:pPr>
        <w:pStyle w:val="BodyText"/>
        <w:spacing w:line="272" w:lineRule="exact" w:before="59"/>
        <w:ind w:left="638" w:right="0" w:hanging="420"/>
        <w:jc w:val="left"/>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培训是一项重要的人力投资，同时也是一种有效的激励方式。从宏观层面来说，培训满足了</w:t>
      </w:r>
    </w:p>
    <w:p>
      <w:pPr>
        <w:pStyle w:val="BodyText"/>
        <w:spacing w:line="272" w:lineRule="exact" w:before="1"/>
        <w:ind w:right="0"/>
        <w:jc w:val="left"/>
      </w:pPr>
      <w:r>
        <w:rPr>
          <w:spacing w:val="-2"/>
        </w:rPr>
        <w:t>企业战略对它的要求。林洋，历经二十多年的发展，期间一直注重人才培养，使员工的知识、技</w:t>
      </w:r>
      <w:r>
        <w:rPr>
          <w:spacing w:val="-25"/>
        </w:rPr>
        <w:t> </w:t>
      </w:r>
      <w:r>
        <w:rPr>
          <w:spacing w:val="-25"/>
        </w:rPr>
      </w:r>
      <w:r>
        <w:rPr>
          <w:spacing w:val="-2"/>
        </w:rPr>
        <w:t>能与态度得以提高及改善。通过培训使员工明确目标，并提升其综合素质，显著提高工作效益，</w:t>
      </w:r>
    </w:p>
    <w:p>
      <w:pPr>
        <w:pStyle w:val="BodyText"/>
        <w:spacing w:line="247" w:lineRule="exact"/>
        <w:ind w:right="0"/>
        <w:jc w:val="left"/>
        <w:rPr>
          <w:rFonts w:ascii="宋体" w:hAnsi="宋体" w:cs="宋体" w:eastAsia="宋体" w:hint="default"/>
        </w:rPr>
      </w:pPr>
      <w:r>
        <w:rPr/>
        <w:t>增强核心竞争力，为公司创造更多的价值。</w:t>
      </w:r>
      <w:r>
        <w:rPr>
          <w:rFonts w:ascii="宋体" w:hAnsi="宋体" w:cs="宋体" w:eastAsia="宋体" w:hint="default"/>
        </w:rPr>
        <w:t> </w:t>
      </w:r>
    </w:p>
    <w:p>
      <w:pPr>
        <w:pStyle w:val="BodyText"/>
        <w:spacing w:line="272" w:lineRule="exact"/>
        <w:ind w:left="638" w:right="0"/>
        <w:jc w:val="left"/>
        <w:rPr>
          <w:rFonts w:ascii="宋体" w:hAnsi="宋体" w:cs="宋体" w:eastAsia="宋体" w:hint="default"/>
        </w:rPr>
      </w:pPr>
      <w:r>
        <w:rPr>
          <w:rFonts w:ascii="宋体" w:hAnsi="宋体" w:cs="宋体" w:eastAsia="宋体" w:hint="default"/>
        </w:rPr>
        <w:t>2020</w:t>
      </w:r>
      <w:r>
        <w:rPr>
          <w:rFonts w:ascii="宋体" w:hAnsi="宋体" w:cs="宋体" w:eastAsia="宋体" w:hint="default"/>
          <w:spacing w:val="-57"/>
        </w:rPr>
        <w:t> </w:t>
      </w:r>
      <w:r>
        <w:rPr/>
        <w:t>年公司员工培训计划主要开展以下工作：</w:t>
      </w:r>
      <w:r>
        <w:rPr>
          <w:rFonts w:ascii="宋体" w:hAnsi="宋体" w:cs="宋体" w:eastAsia="宋体" w:hint="default"/>
        </w:rPr>
        <w:t> </w:t>
      </w:r>
    </w:p>
    <w:p>
      <w:pPr>
        <w:pStyle w:val="BodyText"/>
        <w:spacing w:line="272" w:lineRule="exact" w:before="27"/>
        <w:ind w:right="0" w:firstLine="419"/>
        <w:jc w:val="left"/>
        <w:rPr>
          <w:rFonts w:ascii="宋体" w:hAnsi="宋体" w:cs="宋体" w:eastAsia="宋体" w:hint="default"/>
        </w:rPr>
      </w:pPr>
      <w:r>
        <w:rPr>
          <w:rFonts w:ascii="宋体" w:hAnsi="宋体" w:cs="宋体" w:eastAsia="宋体" w:hint="default"/>
          <w:spacing w:val="-7"/>
        </w:rPr>
        <w:t>1.</w:t>
      </w:r>
      <w:r>
        <w:rPr>
          <w:spacing w:val="-7"/>
        </w:rPr>
        <w:t>让员工了解公司规章制度、加强员工对企业文化及组织架构的认识，增强归属感、责任感、</w:t>
      </w:r>
      <w:r>
        <w:rPr>
          <w:w w:val="100"/>
        </w:rPr>
        <w:t> </w:t>
      </w:r>
      <w:r>
        <w:rPr/>
        <w:t>使命感。</w:t>
      </w:r>
      <w:r>
        <w:rPr>
          <w:rFonts w:ascii="宋体" w:hAnsi="宋体" w:cs="宋体" w:eastAsia="宋体" w:hint="default"/>
        </w:rPr>
        <w:t> </w:t>
      </w:r>
    </w:p>
    <w:p>
      <w:pPr>
        <w:pStyle w:val="BodyText"/>
        <w:spacing w:line="249" w:lineRule="exact"/>
        <w:ind w:left="638" w:right="0"/>
        <w:jc w:val="left"/>
        <w:rPr>
          <w:rFonts w:ascii="宋体" w:hAnsi="宋体" w:cs="宋体" w:eastAsia="宋体" w:hint="default"/>
        </w:rPr>
      </w:pPr>
      <w:r>
        <w:rPr>
          <w:rFonts w:ascii="宋体" w:hAnsi="宋体" w:cs="宋体" w:eastAsia="宋体" w:hint="default"/>
        </w:rPr>
        <w:t>2.</w:t>
      </w:r>
      <w:r>
        <w:rPr/>
        <w:t>根据公司目标、本部门实际工作需要及员工能力素质的现状，制定培训计划。</w:t>
      </w:r>
      <w:r>
        <w:rPr>
          <w:rFonts w:ascii="宋体" w:hAnsi="宋体" w:cs="宋体" w:eastAsia="宋体" w:hint="default"/>
        </w:rPr>
        <w:t> </w:t>
      </w:r>
    </w:p>
    <w:p>
      <w:pPr>
        <w:spacing w:after="0" w:line="249" w:lineRule="exact"/>
        <w:jc w:val="left"/>
        <w:rPr>
          <w:rFonts w:ascii="宋体" w:hAnsi="宋体" w:cs="宋体" w:eastAsia="宋体" w:hint="default"/>
        </w:rPr>
        <w:sectPr>
          <w:headerReference w:type="default" r:id="rId44"/>
          <w:footerReference w:type="default" r:id="rId45"/>
          <w:pgSz w:w="11910" w:h="16840"/>
          <w:pgMar w:header="743" w:footer="974" w:top="1120" w:bottom="1160" w:left="1580" w:right="1040"/>
          <w:pgNumType w:start="71"/>
        </w:sectPr>
      </w:pPr>
    </w:p>
    <w:p>
      <w:pPr>
        <w:spacing w:line="240" w:lineRule="auto" w:before="4"/>
        <w:rPr>
          <w:rFonts w:ascii="宋体" w:hAnsi="宋体" w:cs="宋体" w:eastAsia="宋体" w:hint="default"/>
          <w:sz w:val="24"/>
          <w:szCs w:val="24"/>
        </w:rPr>
      </w:pPr>
    </w:p>
    <w:p>
      <w:pPr>
        <w:pStyle w:val="BodyText"/>
        <w:spacing w:line="240" w:lineRule="auto" w:before="36"/>
        <w:ind w:right="0" w:firstLine="419"/>
        <w:jc w:val="left"/>
        <w:rPr>
          <w:rFonts w:ascii="宋体" w:hAnsi="宋体" w:cs="宋体" w:eastAsia="宋体" w:hint="default"/>
        </w:rPr>
      </w:pPr>
      <w:r>
        <w:rPr>
          <w:rFonts w:ascii="宋体" w:hAnsi="宋体" w:cs="宋体" w:eastAsia="宋体" w:hint="default"/>
          <w:spacing w:val="-7"/>
        </w:rPr>
        <w:t>3.</w:t>
      </w:r>
      <w:r>
        <w:rPr>
          <w:spacing w:val="-7"/>
        </w:rPr>
        <w:t>通过制定有效的继任者培养计划，合理的发掘、开发、培养公司管理人才；建立人才梯队，</w:t>
      </w:r>
      <w:r>
        <w:rPr>
          <w:w w:val="100"/>
        </w:rPr>
        <w:t> </w:t>
      </w:r>
      <w:r>
        <w:rPr/>
        <w:t>为公司实现可持续发展提供优秀人才保障。</w:t>
      </w:r>
      <w:r>
        <w:rPr>
          <w:rFonts w:ascii="宋体" w:hAnsi="宋体" w:cs="宋体" w:eastAsia="宋体" w:hint="default"/>
        </w:rPr>
        <w:t> </w:t>
      </w:r>
    </w:p>
    <w:p>
      <w:pPr>
        <w:pStyle w:val="BodyText"/>
        <w:spacing w:line="274" w:lineRule="exact" w:before="22"/>
        <w:ind w:right="0" w:firstLine="419"/>
        <w:jc w:val="left"/>
        <w:rPr>
          <w:rFonts w:ascii="宋体" w:hAnsi="宋体" w:cs="宋体" w:eastAsia="宋体" w:hint="default"/>
        </w:rPr>
      </w:pPr>
      <w:r>
        <w:rPr>
          <w:rFonts w:ascii="宋体" w:hAnsi="宋体" w:cs="宋体" w:eastAsia="宋体" w:hint="default"/>
          <w:spacing w:val="-2"/>
        </w:rPr>
        <w:t>4.</w:t>
      </w:r>
      <w:r>
        <w:rPr>
          <w:spacing w:val="-2"/>
        </w:rPr>
        <w:t>随着公司海外业务扩张，公司内部严重缺乏具有良好英语沟通能力的复合型人才。为了打</w:t>
      </w:r>
      <w:r>
        <w:rPr>
          <w:w w:val="100"/>
        </w:rPr>
        <w:t> </w:t>
      </w:r>
      <w:r>
        <w:rPr/>
        <w:t>造更好的外语学习氛围，提升各部门英语水平，促进海外业务开展。组织开展英语角活动。</w:t>
      </w:r>
      <w:r>
        <w:rPr>
          <w:rFonts w:ascii="宋体" w:hAnsi="宋体" w:cs="宋体" w:eastAsia="宋体" w:hint="default"/>
        </w:rPr>
        <w:t> </w:t>
      </w:r>
    </w:p>
    <w:p>
      <w:pPr>
        <w:pStyle w:val="BodyText"/>
        <w:spacing w:line="245" w:lineRule="exact"/>
        <w:ind w:left="638" w:right="0"/>
        <w:jc w:val="left"/>
      </w:pPr>
      <w:r>
        <w:rPr>
          <w:rFonts w:ascii="宋体" w:hAnsi="宋体" w:cs="宋体" w:eastAsia="宋体" w:hint="default"/>
        </w:rPr>
        <w:t>5.</w:t>
      </w:r>
      <w:r>
        <w:rPr/>
        <w:t>依据公司目标及董事会要求，对管理者制定好培训实施方案，以提升管理团队的管理能力</w:t>
      </w:r>
    </w:p>
    <w:p>
      <w:pPr>
        <w:pStyle w:val="BodyText"/>
        <w:spacing w:line="272" w:lineRule="exact" w:before="27"/>
        <w:ind w:left="638" w:right="0" w:hanging="420"/>
        <w:jc w:val="left"/>
        <w:rPr>
          <w:rFonts w:ascii="宋体" w:hAnsi="宋体" w:cs="宋体" w:eastAsia="宋体" w:hint="default"/>
        </w:rPr>
      </w:pPr>
      <w:r>
        <w:rPr/>
        <w:t>与水平，实现公司的快速发展。</w:t>
      </w:r>
      <w:r>
        <w:rPr>
          <w:rFonts w:ascii="宋体" w:hAnsi="宋体" w:cs="宋体" w:eastAsia="宋体" w:hint="default"/>
          <w:w w:val="100"/>
        </w:rPr>
        <w:t> </w:t>
      </w:r>
      <w:r>
        <w:rPr>
          <w:rFonts w:ascii="宋体" w:hAnsi="宋体" w:cs="宋体" w:eastAsia="宋体" w:hint="default"/>
        </w:rPr>
        <w:t>6.</w:t>
      </w:r>
      <w:r>
        <w:rPr/>
        <w:t>建立属于公司自己的在线学习平台，满足公司全员培训和员工个性化培训的多重需要。</w:t>
      </w:r>
      <w:r>
        <w:rPr>
          <w:rFonts w:ascii="宋体" w:hAnsi="宋体" w:cs="宋体" w:eastAsia="宋体" w:hint="default"/>
        </w:rPr>
        <w:t> </w:t>
      </w:r>
    </w:p>
    <w:p>
      <w:pPr>
        <w:pStyle w:val="BodyText"/>
        <w:spacing w:line="272" w:lineRule="exact" w:before="1"/>
        <w:ind w:right="0" w:firstLine="419"/>
        <w:jc w:val="left"/>
        <w:rPr>
          <w:rFonts w:ascii="宋体" w:hAnsi="宋体" w:cs="宋体" w:eastAsia="宋体" w:hint="default"/>
        </w:rPr>
      </w:pPr>
      <w:r>
        <w:rPr>
          <w:rFonts w:ascii="宋体" w:hAnsi="宋体" w:cs="宋体" w:eastAsia="宋体" w:hint="default"/>
          <w:spacing w:val="-2"/>
        </w:rPr>
        <w:t>7.</w:t>
      </w:r>
      <w:r>
        <w:rPr>
          <w:spacing w:val="-2"/>
        </w:rPr>
        <w:t>充分开发公司内部讲师资源，开展内部讲师知识分享会，按课程表设定，定期举办课程，</w:t>
      </w:r>
      <w:r>
        <w:rPr>
          <w:w w:val="100"/>
        </w:rPr>
        <w:t> </w:t>
      </w:r>
      <w:r>
        <w:rPr/>
        <w:t>传授知识，带动公司培训氛围。</w:t>
      </w:r>
      <w:r>
        <w:rPr>
          <w:rFonts w:ascii="宋体" w:hAnsi="宋体" w:cs="宋体" w:eastAsia="宋体" w:hint="default"/>
        </w:rPr>
        <w:t> </w:t>
      </w:r>
    </w:p>
    <w:p>
      <w:pPr>
        <w:pStyle w:val="BodyText"/>
        <w:spacing w:line="272" w:lineRule="exact" w:before="1"/>
        <w:ind w:right="0" w:firstLine="419"/>
        <w:jc w:val="left"/>
      </w:pPr>
      <w:r>
        <w:rPr>
          <w:rFonts w:ascii="宋体" w:hAnsi="宋体" w:cs="宋体" w:eastAsia="宋体" w:hint="default"/>
          <w:spacing w:val="-2"/>
        </w:rPr>
        <w:t>8.</w:t>
      </w:r>
      <w:r>
        <w:rPr>
          <w:spacing w:val="-2"/>
        </w:rPr>
        <w:t>师徒结对的精髓实际在于，通过“身教”与“言教”，帮助徒弟不断提升业务能力，同时</w:t>
      </w:r>
      <w:r>
        <w:rPr>
          <w:w w:val="100"/>
        </w:rPr>
        <w:t> </w:t>
      </w:r>
      <w:r>
        <w:rPr>
          <w:spacing w:val="-2"/>
        </w:rPr>
        <w:t>使企业文化潜移转化在每一个人身上，最终造就志同道合的奋斗伙伴，为公司持续经营与发展奠</w:t>
      </w:r>
    </w:p>
    <w:p>
      <w:pPr>
        <w:pStyle w:val="BodyText"/>
        <w:spacing w:line="272" w:lineRule="exact" w:before="1"/>
        <w:ind w:left="638" w:right="0" w:hanging="420"/>
        <w:jc w:val="left"/>
      </w:pPr>
      <w:r>
        <w:rPr/>
        <w:t>定坚实的人才基础。</w:t>
      </w:r>
      <w:r>
        <w:rPr>
          <w:rFonts w:ascii="宋体" w:hAnsi="宋体" w:cs="宋体" w:eastAsia="宋体" w:hint="default"/>
          <w:w w:val="100"/>
        </w:rPr>
        <w:t> </w:t>
      </w:r>
      <w:r>
        <w:rPr>
          <w:rFonts w:ascii="宋体" w:hAnsi="宋体" w:cs="宋体" w:eastAsia="宋体" w:hint="default"/>
          <w:spacing w:val="-2"/>
        </w:rPr>
        <w:t>9.</w:t>
      </w:r>
      <w:r>
        <w:rPr>
          <w:spacing w:val="-2"/>
        </w:rPr>
        <w:t>采用以企业用人需求与岗位资格标准为导向，以学生（学徒）技能培养为核心，按照“学</w:t>
      </w:r>
    </w:p>
    <w:p>
      <w:pPr>
        <w:pStyle w:val="BodyText"/>
        <w:spacing w:line="272" w:lineRule="exact" w:before="2"/>
        <w:ind w:right="0"/>
        <w:jc w:val="left"/>
        <w:rPr>
          <w:rFonts w:ascii="宋体" w:hAnsi="宋体" w:cs="宋体" w:eastAsia="宋体" w:hint="default"/>
        </w:rPr>
      </w:pPr>
      <w:r>
        <w:rPr>
          <w:spacing w:val="-2"/>
        </w:rPr>
        <w:t>生→学徒→准员工→员工”四位一体的人才培养总体思路，以学校、企业的参与和教师、师傅共</w:t>
      </w:r>
      <w:r>
        <w:rPr>
          <w:spacing w:val="-26"/>
        </w:rPr>
        <w:t> </w:t>
      </w:r>
      <w:r>
        <w:rPr>
          <w:spacing w:val="-26"/>
        </w:rPr>
      </w:r>
      <w:r>
        <w:rPr/>
        <w:t>同教授为支撑，培养具备现代企业职业素养的技术技能型人才。</w:t>
      </w:r>
      <w:r>
        <w:rPr>
          <w:rFonts w:ascii="宋体" w:hAnsi="宋体" w:cs="宋体" w:eastAsia="宋体" w:hint="default"/>
        </w:rPr>
        <w:t> </w:t>
      </w:r>
    </w:p>
    <w:p>
      <w:pPr>
        <w:pStyle w:val="BodyText"/>
        <w:spacing w:line="249" w:lineRule="exact"/>
        <w:ind w:right="0"/>
        <w:jc w:val="left"/>
        <w:rPr>
          <w:rFonts w:ascii="宋体" w:hAnsi="宋体" w:cs="宋体" w:eastAsia="宋体" w:hint="default"/>
        </w:rPr>
      </w:pPr>
      <w:r>
        <w:rPr>
          <w:rFonts w:ascii="宋体"/>
          <w:w w:val="100"/>
        </w:rPr>
        <w:t> </w:t>
      </w:r>
    </w:p>
    <w:p>
      <w:pPr>
        <w:pStyle w:val="Heading3"/>
        <w:spacing w:line="240" w:lineRule="auto" w:before="56"/>
        <w:ind w:right="0"/>
        <w:jc w:val="left"/>
        <w:rPr>
          <w:b w:val="0"/>
          <w:bCs w:val="0"/>
        </w:rPr>
      </w:pPr>
      <w:r>
        <w:rPr>
          <w:rFonts w:ascii="Calibri" w:hAnsi="Calibri" w:cs="Calibri" w:eastAsia="Calibri" w:hint="default"/>
        </w:rPr>
        <w:t>(</w:t>
      </w:r>
      <w:r>
        <w:rPr/>
        <w:t>四</w:t>
      </w:r>
      <w:r>
        <w:rPr>
          <w:rFonts w:ascii="Calibri" w:hAnsi="Calibri" w:cs="Calibri" w:eastAsia="Calibri" w:hint="default"/>
        </w:rPr>
        <w:t>)</w:t>
      </w:r>
      <w:r>
        <w:rPr>
          <w:rFonts w:ascii="Calibri" w:hAnsi="Calibri" w:cs="Calibri" w:eastAsia="Calibri" w:hint="default"/>
          <w:spacing w:val="36"/>
        </w:rPr>
        <w:t> </w:t>
      </w:r>
      <w:r>
        <w:rPr/>
        <w:t>劳务外包情况</w:t>
      </w:r>
      <w:r>
        <w:rPr>
          <w:b w:val="0"/>
          <w:bCs w:val="0"/>
        </w:rPr>
      </w:r>
    </w:p>
    <w:p>
      <w:pPr>
        <w:pStyle w:val="Heading2"/>
        <w:spacing w:line="240" w:lineRule="auto" w:before="25"/>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10"/>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525"/>
        <w:gridCol w:w="4525"/>
      </w:tblGrid>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劳务外包的工时总数</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316,194.61</w:t>
            </w:r>
            <w:r>
              <w:rPr>
                <w:rFonts w:ascii="宋体"/>
                <w:sz w:val="21"/>
              </w:rPr>
              <w:t> </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劳务外包支付的报酬总额</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hAnsi="宋体" w:cs="宋体" w:eastAsia="宋体" w:hint="default"/>
                <w:sz w:val="21"/>
                <w:szCs w:val="21"/>
              </w:rPr>
              <w:t>6,804,032.56</w:t>
            </w:r>
            <w:r>
              <w:rPr>
                <w:rFonts w:ascii="宋体" w:hAnsi="宋体" w:cs="宋体" w:eastAsia="宋体" w:hint="default"/>
                <w:spacing w:val="-53"/>
                <w:sz w:val="21"/>
                <w:szCs w:val="21"/>
              </w:rPr>
              <w:t> </w:t>
            </w:r>
            <w:r>
              <w:rPr>
                <w:rFonts w:ascii="宋体" w:hAnsi="宋体" w:cs="宋体" w:eastAsia="宋体" w:hint="default"/>
                <w:spacing w:val="-3"/>
                <w:sz w:val="21"/>
                <w:szCs w:val="21"/>
              </w:rPr>
              <w:t>元</w:t>
            </w:r>
            <w:r>
              <w:rPr>
                <w:rFonts w:ascii="宋体" w:hAnsi="宋体" w:cs="宋体" w:eastAsia="宋体" w:hint="default"/>
                <w:sz w:val="21"/>
                <w:szCs w:val="21"/>
              </w:rPr>
              <w:t> </w:t>
            </w:r>
          </w:p>
        </w:tc>
      </w:tr>
    </w:tbl>
    <w:p>
      <w:pPr>
        <w:spacing w:after="0" w:line="241" w:lineRule="exact"/>
        <w:jc w:val="right"/>
        <w:rPr>
          <w:rFonts w:ascii="宋体" w:hAnsi="宋体" w:cs="宋体" w:eastAsia="宋体" w:hint="default"/>
          <w:sz w:val="21"/>
          <w:szCs w:val="21"/>
        </w:rPr>
        <w:sectPr>
          <w:pgSz w:w="11910" w:h="16840"/>
          <w:pgMar w:header="743" w:footer="974" w:top="1120" w:bottom="1160" w:left="1580" w:right="1040"/>
        </w:sectPr>
      </w:pPr>
    </w:p>
    <w:p>
      <w:pPr>
        <w:pStyle w:val="Heading2"/>
        <w:spacing w:line="274" w:lineRule="exact"/>
        <w:ind w:right="0"/>
        <w:jc w:val="left"/>
        <w:rPr>
          <w:rFonts w:ascii="宋体" w:hAnsi="宋体" w:cs="宋体" w:eastAsia="宋体" w:hint="default"/>
        </w:rPr>
      </w:pPr>
      <w:r>
        <w:rPr>
          <w:rFonts w:ascii="宋体"/>
        </w:rPr>
        <w:t> </w:t>
      </w:r>
    </w:p>
    <w:p>
      <w:pPr>
        <w:pStyle w:val="Heading3"/>
        <w:spacing w:line="240" w:lineRule="auto" w:before="61"/>
        <w:ind w:right="0"/>
        <w:jc w:val="left"/>
        <w:rPr>
          <w:b w:val="0"/>
          <w:bCs w:val="0"/>
        </w:rPr>
      </w:pPr>
      <w:r>
        <w:rPr/>
        <w:t>七、其他</w:t>
      </w:r>
      <w:r>
        <w:rPr>
          <w:b w:val="0"/>
          <w:bCs w:val="0"/>
        </w:rPr>
      </w:r>
    </w:p>
    <w:p>
      <w:pPr>
        <w:pStyle w:val="BodyText"/>
        <w:spacing w:line="273" w:lineRule="exact" w:before="58"/>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right="0"/>
        <w:jc w:val="left"/>
        <w:rPr>
          <w:rFonts w:ascii="宋体" w:hAnsi="宋体" w:cs="宋体" w:eastAsia="宋体" w:hint="default"/>
        </w:rPr>
      </w:pPr>
      <w:r>
        <w:rPr>
          <w:rFonts w:ascii="宋体"/>
          <w:w w:val="100"/>
        </w:rPr>
        <w:t> </w:t>
      </w:r>
    </w:p>
    <w:p>
      <w:pPr>
        <w:spacing w:line="240" w:lineRule="auto" w:before="0"/>
        <w:rPr>
          <w:rFonts w:ascii="宋体" w:hAnsi="宋体" w:cs="宋体" w:eastAsia="宋体" w:hint="default"/>
          <w:sz w:val="28"/>
          <w:szCs w:val="28"/>
        </w:rPr>
      </w:pPr>
      <w:r>
        <w:rPr/>
        <w:br w:type="column"/>
      </w:r>
      <w:r>
        <w:rPr>
          <w:rFonts w:ascii="宋体"/>
          <w:sz w:val="28"/>
        </w:rPr>
      </w:r>
    </w:p>
    <w:p>
      <w:pPr>
        <w:spacing w:line="240" w:lineRule="auto" w:before="0"/>
        <w:rPr>
          <w:rFonts w:ascii="宋体" w:hAnsi="宋体" w:cs="宋体" w:eastAsia="宋体" w:hint="default"/>
          <w:sz w:val="28"/>
          <w:szCs w:val="28"/>
        </w:rPr>
      </w:pPr>
    </w:p>
    <w:p>
      <w:pPr>
        <w:spacing w:line="240" w:lineRule="auto" w:before="9"/>
        <w:rPr>
          <w:rFonts w:ascii="宋体" w:hAnsi="宋体" w:cs="宋体" w:eastAsia="宋体" w:hint="default"/>
          <w:sz w:val="35"/>
          <w:szCs w:val="35"/>
        </w:rPr>
      </w:pPr>
    </w:p>
    <w:p>
      <w:pPr>
        <w:pStyle w:val="Heading1"/>
        <w:tabs>
          <w:tab w:pos="1477" w:val="left" w:leader="none"/>
        </w:tabs>
        <w:spacing w:line="240" w:lineRule="auto" w:before="0"/>
        <w:ind w:left="218" w:right="0"/>
        <w:jc w:val="left"/>
        <w:rPr>
          <w:rFonts w:ascii="黑体" w:hAnsi="黑体" w:cs="黑体" w:eastAsia="黑体" w:hint="default"/>
          <w:b w:val="0"/>
          <w:bCs w:val="0"/>
        </w:rPr>
      </w:pPr>
      <w:bookmarkStart w:name="_bookmark8" w:id="11"/>
      <w:bookmarkEnd w:id="11"/>
      <w:r>
        <w:rPr>
          <w:b w:val="0"/>
          <w:bCs w:val="0"/>
        </w:rPr>
      </w:r>
      <w:r>
        <w:rPr>
          <w:rFonts w:ascii="黑体" w:hAnsi="黑体" w:cs="黑体" w:eastAsia="黑体" w:hint="default"/>
          <w:w w:val="95"/>
        </w:rPr>
        <w:t>第九节</w:t>
      </w:r>
      <w:r>
        <w:rPr>
          <w:rFonts w:ascii="宋体" w:hAnsi="宋体" w:cs="宋体" w:eastAsia="宋体" w:hint="default"/>
          <w:w w:val="95"/>
        </w:rPr>
        <w:tab/>
      </w:r>
      <w:r>
        <w:rPr>
          <w:rFonts w:ascii="黑体" w:hAnsi="黑体" w:cs="黑体" w:eastAsia="黑体" w:hint="default"/>
        </w:rPr>
        <w:t>公司治理</w:t>
      </w:r>
      <w:r>
        <w:rPr>
          <w:rFonts w:ascii="黑体" w:hAnsi="黑体" w:cs="黑体" w:eastAsia="黑体" w:hint="default"/>
          <w:b w:val="0"/>
          <w:bCs w:val="0"/>
        </w:rPr>
      </w:r>
    </w:p>
    <w:p>
      <w:pPr>
        <w:spacing w:after="0" w:line="240" w:lineRule="auto"/>
        <w:jc w:val="left"/>
        <w:rPr>
          <w:rFonts w:ascii="黑体" w:hAnsi="黑体" w:cs="黑体" w:eastAsia="黑体" w:hint="default"/>
        </w:rPr>
        <w:sectPr>
          <w:type w:val="continuous"/>
          <w:pgSz w:w="11910" w:h="16840"/>
          <w:pgMar w:top="1580" w:bottom="280" w:left="1580" w:right="1040"/>
          <w:cols w:num="2" w:equalWidth="0">
            <w:col w:w="2110" w:space="1114"/>
            <w:col w:w="6066"/>
          </w:cols>
        </w:sectPr>
      </w:pPr>
    </w:p>
    <w:p>
      <w:pPr>
        <w:spacing w:line="240" w:lineRule="auto" w:before="8"/>
        <w:rPr>
          <w:rFonts w:ascii="黑体" w:hAnsi="黑体" w:cs="黑体" w:eastAsia="黑体" w:hint="default"/>
          <w:b/>
          <w:bCs/>
          <w:sz w:val="16"/>
          <w:szCs w:val="16"/>
        </w:rPr>
      </w:pPr>
    </w:p>
    <w:p>
      <w:pPr>
        <w:pStyle w:val="Heading3"/>
        <w:spacing w:line="240" w:lineRule="auto" w:before="36"/>
        <w:ind w:right="0"/>
        <w:jc w:val="left"/>
        <w:rPr>
          <w:b w:val="0"/>
          <w:bCs w:val="0"/>
        </w:rPr>
      </w:pPr>
      <w:r>
        <w:rPr>
          <w:spacing w:val="-1"/>
        </w:rPr>
        <w:t>一、</w:t>
      </w:r>
      <w:r>
        <w:rPr>
          <w:spacing w:val="-92"/>
        </w:rPr>
        <w:t> </w:t>
      </w:r>
      <w:r>
        <w:rPr>
          <w:rFonts w:ascii="宋体" w:hAnsi="宋体" w:cs="宋体" w:eastAsia="宋体" w:hint="default"/>
          <w:spacing w:val="-92"/>
        </w:rPr>
      </w:r>
      <w:r>
        <w:rPr>
          <w:spacing w:val="-1"/>
        </w:rPr>
        <w:t>公司治理相关情况说明</w:t>
      </w:r>
      <w:r>
        <w:rPr>
          <w:b w:val="0"/>
          <w:bCs w:val="0"/>
          <w:spacing w:val="-1"/>
        </w:rPr>
      </w:r>
    </w:p>
    <w:p>
      <w:pPr>
        <w:pStyle w:val="BodyText"/>
        <w:spacing w:line="274" w:lineRule="exact" w:before="56"/>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before="27"/>
        <w:ind w:left="638" w:right="0"/>
        <w:jc w:val="left"/>
      </w:pPr>
      <w:r>
        <w:rPr>
          <w:rFonts w:ascii="宋体" w:hAnsi="宋体" w:cs="宋体" w:eastAsia="宋体" w:hint="default"/>
          <w:b/>
          <w:bCs/>
        </w:rPr>
        <w:t>（一）公司治理情况</w:t>
      </w:r>
      <w:r>
        <w:rPr>
          <w:rFonts w:ascii="宋体" w:hAnsi="宋体" w:cs="宋体" w:eastAsia="宋体" w:hint="default"/>
          <w:b/>
          <w:bCs/>
          <w:w w:val="99"/>
        </w:rPr>
        <w:t> </w:t>
      </w:r>
      <w:r>
        <w:rPr>
          <w:spacing w:val="-2"/>
        </w:rPr>
        <w:t>报告期内，公司按照《公司法》、《证券法》、《上市公司治理准则》、《上海证券交易所</w:t>
      </w:r>
    </w:p>
    <w:p>
      <w:pPr>
        <w:pStyle w:val="BodyText"/>
        <w:spacing w:line="272" w:lineRule="exact" w:before="1"/>
        <w:ind w:right="0"/>
        <w:jc w:val="left"/>
      </w:pPr>
      <w:r>
        <w:rPr>
          <w:spacing w:val="-6"/>
        </w:rPr>
        <w:t>股票上市规则》和中国证监会有关法律法规的要求，不断完善公司法人治理结构，加强信息披露，</w:t>
      </w:r>
      <w:r>
        <w:rPr>
          <w:spacing w:val="-54"/>
        </w:rPr>
        <w:t> </w:t>
      </w:r>
      <w:r>
        <w:rPr>
          <w:spacing w:val="-54"/>
        </w:rPr>
      </w:r>
      <w:r>
        <w:rPr>
          <w:spacing w:val="-2"/>
        </w:rPr>
        <w:t>公司治理和内控制度建设更加规范。上市后，公司按照相关要求制定并审核实施了《重大事项内</w:t>
      </w:r>
    </w:p>
    <w:p>
      <w:pPr>
        <w:pStyle w:val="BodyText"/>
        <w:spacing w:line="272" w:lineRule="exact" w:before="1"/>
        <w:ind w:right="0"/>
        <w:jc w:val="left"/>
      </w:pPr>
      <w:r>
        <w:rPr>
          <w:spacing w:val="-13"/>
          <w:w w:val="100"/>
        </w:rPr>
        <w:t>部报告办法》、《内幕信息知情人登记管理制度》、《信息披露管理办法》等</w:t>
      </w:r>
      <w:r>
        <w:rPr>
          <w:rFonts w:ascii="宋体" w:hAnsi="宋体" w:cs="宋体" w:eastAsia="宋体" w:hint="default"/>
          <w:spacing w:val="-13"/>
          <w:w w:val="100"/>
        </w:rPr>
        <w:t>,</w:t>
      </w:r>
      <w:r>
        <w:rPr>
          <w:spacing w:val="-13"/>
          <w:w w:val="100"/>
        </w:rPr>
        <w:t>修订了《公司章程》。</w:t>
      </w:r>
      <w:r>
        <w:rPr>
          <w:spacing w:val="-96"/>
          <w:w w:val="100"/>
        </w:rPr>
        <w:t> </w:t>
      </w:r>
      <w:r>
        <w:rPr>
          <w:spacing w:val="-96"/>
          <w:w w:val="100"/>
        </w:rPr>
      </w:r>
      <w:r>
        <w:rPr>
          <w:spacing w:val="-2"/>
        </w:rPr>
        <w:t>公司董事会认为，按照中国证监会《上市公司治理准则》的文件要求，公司法人治理的实际状况</w:t>
      </w:r>
    </w:p>
    <w:p>
      <w:pPr>
        <w:pStyle w:val="BodyText"/>
        <w:spacing w:line="272" w:lineRule="exact" w:before="1"/>
        <w:ind w:right="0"/>
        <w:jc w:val="left"/>
        <w:rPr>
          <w:rFonts w:ascii="宋体" w:hAnsi="宋体" w:cs="宋体" w:eastAsia="宋体" w:hint="default"/>
        </w:rPr>
      </w:pPr>
      <w:r>
        <w:rPr>
          <w:spacing w:val="-2"/>
        </w:rPr>
        <w:t>与该文件的要求不存在差异，本公司、公司董事会及全体董事、监事未被证监会、交易所及其他</w:t>
      </w:r>
      <w:r>
        <w:rPr>
          <w:spacing w:val="-25"/>
        </w:rPr>
        <w:t> </w:t>
      </w:r>
      <w:r>
        <w:rPr>
          <w:spacing w:val="-25"/>
        </w:rPr>
      </w:r>
      <w:r>
        <w:rPr/>
        <w:t>行政管理部门处罚。</w:t>
      </w:r>
      <w:r>
        <w:rPr>
          <w:rFonts w:ascii="宋体" w:hAnsi="宋体" w:cs="宋体" w:eastAsia="宋体" w:hint="default"/>
        </w:rPr>
        <w:t> </w:t>
      </w:r>
    </w:p>
    <w:p>
      <w:pPr>
        <w:pStyle w:val="BodyText"/>
        <w:spacing w:line="246" w:lineRule="exact"/>
        <w:ind w:left="638" w:right="0"/>
        <w:jc w:val="left"/>
        <w:rPr>
          <w:rFonts w:ascii="宋体" w:hAnsi="宋体" w:cs="宋体" w:eastAsia="宋体" w:hint="default"/>
        </w:rPr>
      </w:pPr>
      <w:r>
        <w:rPr/>
        <w:t>公司的治理情况具体如下：</w:t>
      </w:r>
      <w:r>
        <w:rPr>
          <w:rFonts w:ascii="宋体" w:hAnsi="宋体" w:cs="宋体" w:eastAsia="宋体" w:hint="default"/>
        </w:rPr>
        <w:t> </w:t>
      </w:r>
    </w:p>
    <w:p>
      <w:pPr>
        <w:pStyle w:val="BodyText"/>
        <w:spacing w:line="272" w:lineRule="exact" w:before="27"/>
        <w:ind w:left="638" w:right="0"/>
        <w:jc w:val="left"/>
      </w:pPr>
      <w:r>
        <w:rPr>
          <w:rFonts w:ascii="宋体" w:hAnsi="宋体" w:cs="宋体" w:eastAsia="宋体" w:hint="default"/>
        </w:rPr>
        <w:t>1</w:t>
      </w:r>
      <w:r>
        <w:rPr/>
        <w:t>、股东和股东大会</w:t>
      </w:r>
      <w:r>
        <w:rPr>
          <w:rFonts w:ascii="宋体" w:hAnsi="宋体" w:cs="宋体" w:eastAsia="宋体" w:hint="default"/>
          <w:w w:val="100"/>
        </w:rPr>
        <w:t> </w:t>
      </w:r>
      <w:r>
        <w:rPr>
          <w:spacing w:val="-2"/>
        </w:rPr>
        <w:t>公司能够严格按照相关法律法规、《公司章程》和《股东大会议事规则》的要求召集股东大</w:t>
      </w:r>
    </w:p>
    <w:p>
      <w:pPr>
        <w:pStyle w:val="BodyText"/>
        <w:spacing w:line="272" w:lineRule="exact" w:before="1"/>
        <w:ind w:right="0"/>
        <w:jc w:val="left"/>
        <w:rPr>
          <w:rFonts w:ascii="宋体" w:hAnsi="宋体" w:cs="宋体" w:eastAsia="宋体" w:hint="default"/>
        </w:rPr>
      </w:pPr>
      <w:r>
        <w:rPr>
          <w:spacing w:val="-2"/>
        </w:rPr>
        <w:t>会，严格履行会议召开程序，平等对待全体股东，并能确保股东充分行使自己的权利，使其对重</w:t>
      </w:r>
      <w:r>
        <w:rPr>
          <w:spacing w:val="-25"/>
        </w:rPr>
        <w:t> </w:t>
      </w:r>
      <w:r>
        <w:rPr>
          <w:spacing w:val="-25"/>
        </w:rPr>
      </w:r>
      <w:r>
        <w:rPr/>
        <w:t>大事项享有知情权和决策参与权。</w:t>
      </w:r>
      <w:r>
        <w:rPr>
          <w:rFonts w:ascii="宋体" w:hAnsi="宋体" w:cs="宋体" w:eastAsia="宋体" w:hint="default"/>
        </w:rPr>
        <w:t> </w:t>
      </w:r>
    </w:p>
    <w:p>
      <w:pPr>
        <w:pStyle w:val="BodyText"/>
        <w:spacing w:line="272" w:lineRule="exact" w:before="1"/>
        <w:ind w:left="638" w:right="0"/>
        <w:jc w:val="left"/>
      </w:pPr>
      <w:r>
        <w:rPr>
          <w:rFonts w:ascii="宋体" w:hAnsi="宋体" w:cs="宋体" w:eastAsia="宋体" w:hint="default"/>
        </w:rPr>
        <w:t>2</w:t>
      </w:r>
      <w:r>
        <w:rPr/>
        <w:t>、控股股东和上市公司</w:t>
      </w:r>
      <w:r>
        <w:rPr>
          <w:rFonts w:ascii="宋体" w:hAnsi="宋体" w:cs="宋体" w:eastAsia="宋体" w:hint="default"/>
          <w:w w:val="100"/>
        </w:rPr>
        <w:t> </w:t>
      </w:r>
      <w:r>
        <w:rPr>
          <w:spacing w:val="-2"/>
        </w:rPr>
        <w:t>为了规范控股股东的行为，公司严格执行《关于防止大股东及关联方资金占用的专项制度》</w:t>
      </w:r>
    </w:p>
    <w:p>
      <w:pPr>
        <w:pStyle w:val="BodyText"/>
        <w:spacing w:line="272" w:lineRule="exact" w:before="1"/>
        <w:ind w:right="0"/>
        <w:jc w:val="left"/>
      </w:pPr>
      <w:r>
        <w:rPr>
          <w:spacing w:val="-2"/>
        </w:rPr>
        <w:t>和《关联交易制度》等一系列的制度。公司与控股股东在人员、资产、财务方面完全分开，机构</w:t>
      </w:r>
      <w:r>
        <w:rPr>
          <w:spacing w:val="-25"/>
        </w:rPr>
        <w:t> </w:t>
      </w:r>
      <w:r>
        <w:rPr>
          <w:spacing w:val="-25"/>
        </w:rPr>
      </w:r>
      <w:r>
        <w:rPr>
          <w:spacing w:val="-2"/>
        </w:rPr>
        <w:t>与业务独立。公司与控股股东的关联交易公平合理，符合市场定价原则，不存在控股股东占用公</w:t>
      </w:r>
    </w:p>
    <w:p>
      <w:pPr>
        <w:pStyle w:val="BodyText"/>
        <w:spacing w:line="272" w:lineRule="exact" w:before="1"/>
        <w:ind w:right="0"/>
        <w:jc w:val="left"/>
        <w:rPr>
          <w:rFonts w:ascii="宋体" w:hAnsi="宋体" w:cs="宋体" w:eastAsia="宋体" w:hint="default"/>
        </w:rPr>
      </w:pPr>
      <w:r>
        <w:rPr>
          <w:spacing w:val="-2"/>
        </w:rPr>
        <w:t>司资金的情况。公司董事长兼总经理陆永华先生作为本公司的控股股东及实际控制人，能够严格</w:t>
      </w:r>
      <w:r>
        <w:rPr>
          <w:spacing w:val="-25"/>
        </w:rPr>
        <w:t> </w:t>
      </w:r>
      <w:r>
        <w:rPr>
          <w:spacing w:val="-25"/>
        </w:rPr>
      </w:r>
      <w:r>
        <w:rPr/>
        <w:t>按照有关规定行使出资人的权利并履行相关义务，没有利用其控股地位损害公司利益。</w:t>
      </w:r>
      <w:r>
        <w:rPr>
          <w:rFonts w:ascii="宋体" w:hAnsi="宋体" w:cs="宋体" w:eastAsia="宋体" w:hint="default"/>
        </w:rPr>
        <w:t> </w:t>
      </w:r>
    </w:p>
    <w:p>
      <w:pPr>
        <w:pStyle w:val="BodyText"/>
        <w:spacing w:line="249" w:lineRule="exact"/>
        <w:ind w:left="638" w:right="0"/>
        <w:jc w:val="left"/>
        <w:rPr>
          <w:rFonts w:ascii="宋体" w:hAnsi="宋体" w:cs="宋体" w:eastAsia="宋体" w:hint="default"/>
        </w:rPr>
      </w:pPr>
      <w:r>
        <w:rPr>
          <w:rFonts w:ascii="宋体" w:hAnsi="宋体" w:cs="宋体" w:eastAsia="宋体" w:hint="default"/>
        </w:rPr>
        <w:t>3</w:t>
      </w:r>
      <w:r>
        <w:rPr/>
        <w:t>、董事和董事会</w:t>
      </w:r>
      <w:r>
        <w:rPr>
          <w:rFonts w:ascii="宋体" w:hAnsi="宋体" w:cs="宋体" w:eastAsia="宋体" w:hint="default"/>
        </w:rPr>
        <w:t> </w:t>
      </w:r>
    </w:p>
    <w:p>
      <w:pPr>
        <w:spacing w:after="0" w:line="249" w:lineRule="exact"/>
        <w:jc w:val="left"/>
        <w:rPr>
          <w:rFonts w:ascii="宋体" w:hAnsi="宋体" w:cs="宋体" w:eastAsia="宋体" w:hint="default"/>
        </w:rPr>
        <w:sectPr>
          <w:type w:val="continuous"/>
          <w:pgSz w:w="11910" w:h="16840"/>
          <w:pgMar w:top="1580" w:bottom="280" w:left="1580" w:right="1040"/>
        </w:sectPr>
      </w:pPr>
    </w:p>
    <w:p>
      <w:pPr>
        <w:spacing w:line="240" w:lineRule="auto" w:before="4"/>
        <w:rPr>
          <w:rFonts w:ascii="宋体" w:hAnsi="宋体" w:cs="宋体" w:eastAsia="宋体" w:hint="default"/>
          <w:sz w:val="24"/>
          <w:szCs w:val="24"/>
        </w:rPr>
      </w:pPr>
    </w:p>
    <w:p>
      <w:pPr>
        <w:pStyle w:val="BodyText"/>
        <w:spacing w:line="237" w:lineRule="auto" w:before="38"/>
        <w:ind w:right="107" w:firstLine="419"/>
        <w:jc w:val="both"/>
        <w:rPr>
          <w:rFonts w:ascii="宋体" w:hAnsi="宋体" w:cs="宋体" w:eastAsia="宋体" w:hint="default"/>
        </w:rPr>
      </w:pPr>
      <w:r>
        <w:rPr/>
        <w:t>公司董事会由</w:t>
      </w:r>
      <w:r>
        <w:rPr>
          <w:spacing w:val="-53"/>
        </w:rPr>
        <w:t> </w:t>
      </w:r>
      <w:r>
        <w:rPr>
          <w:rFonts w:ascii="宋体" w:hAnsi="宋体" w:cs="宋体" w:eastAsia="宋体" w:hint="default"/>
        </w:rPr>
        <w:t>7</w:t>
      </w:r>
      <w:r>
        <w:rPr>
          <w:rFonts w:ascii="宋体" w:hAnsi="宋体" w:cs="宋体" w:eastAsia="宋体" w:hint="default"/>
          <w:spacing w:val="-55"/>
        </w:rPr>
        <w:t> </w:t>
      </w:r>
      <w:r>
        <w:rPr/>
        <w:t>名董事组成，其中独立董事</w:t>
      </w:r>
      <w:r>
        <w:rPr>
          <w:spacing w:val="-52"/>
        </w:rPr>
        <w:t> </w:t>
      </w:r>
      <w:r>
        <w:rPr>
          <w:rFonts w:ascii="宋体" w:hAnsi="宋体" w:cs="宋体" w:eastAsia="宋体" w:hint="default"/>
        </w:rPr>
        <w:t>3</w:t>
      </w:r>
      <w:r>
        <w:rPr>
          <w:rFonts w:ascii="宋体" w:hAnsi="宋体" w:cs="宋体" w:eastAsia="宋体" w:hint="default"/>
          <w:spacing w:val="-55"/>
        </w:rPr>
        <w:t> </w:t>
      </w:r>
      <w:r>
        <w:rPr/>
        <w:t>名，董事会的人数、构成及选聘程序符合相关</w:t>
      </w:r>
      <w:r>
        <w:rPr>
          <w:w w:val="100"/>
        </w:rPr>
        <w:t> </w:t>
      </w:r>
      <w:r>
        <w:rPr/>
        <w:t>法律法规、《公司章程》及《董事会议事规则》的规定。为进一步完善公司治理结构，公司董事</w:t>
      </w:r>
      <w:r>
        <w:rPr>
          <w:w w:val="100"/>
        </w:rPr>
        <w:t> </w:t>
      </w:r>
      <w:r>
        <w:rPr/>
        <w:t>会成立了战略、提名、审计、薪酬与考核四个专业委员会，各委员会分工明确，运作正常，勤勉</w:t>
      </w:r>
      <w:r>
        <w:rPr>
          <w:w w:val="100"/>
        </w:rPr>
        <w:t> </w:t>
      </w:r>
      <w:r>
        <w:rPr/>
        <w:t>尽责地为董事会的决策提供了科学和专业的意见。公司董事能以认真负责、勤勉诚信的态度出席</w:t>
      </w:r>
      <w:r>
        <w:rPr>
          <w:w w:val="100"/>
        </w:rPr>
        <w:t> </w:t>
      </w:r>
      <w:r>
        <w:rPr/>
        <w:t>董事会和股东大会，切实履行各自的义务。独立董事能够严格按照公司《独立董事制度》独立履</w:t>
      </w:r>
      <w:r>
        <w:rPr>
          <w:w w:val="100"/>
        </w:rPr>
        <w:t> </w:t>
      </w:r>
      <w:r>
        <w:rPr>
          <w:spacing w:val="-7"/>
        </w:rPr>
        <w:t>行职责，参与公司的决策和监督，增强了董事会决策的科学性、客观性，提高了公司的治理水平。</w:t>
      </w:r>
      <w:r>
        <w:rPr>
          <w:rFonts w:ascii="宋体" w:hAnsi="宋体" w:cs="宋体" w:eastAsia="宋体" w:hint="default"/>
        </w:rPr>
        <w:t> </w:t>
      </w:r>
    </w:p>
    <w:p>
      <w:pPr>
        <w:pStyle w:val="BodyText"/>
        <w:spacing w:line="271" w:lineRule="exact"/>
        <w:ind w:left="638" w:right="0"/>
        <w:jc w:val="left"/>
        <w:rPr>
          <w:rFonts w:ascii="宋体" w:hAnsi="宋体" w:cs="宋体" w:eastAsia="宋体" w:hint="default"/>
        </w:rPr>
      </w:pPr>
      <w:r>
        <w:rPr>
          <w:rFonts w:ascii="宋体" w:hAnsi="宋体" w:cs="宋体" w:eastAsia="宋体" w:hint="default"/>
        </w:rPr>
        <w:t>4</w:t>
      </w:r>
      <w:r>
        <w:rPr/>
        <w:t>、监事和监事会</w:t>
      </w:r>
      <w:r>
        <w:rPr>
          <w:rFonts w:ascii="宋体" w:hAnsi="宋体" w:cs="宋体" w:eastAsia="宋体" w:hint="default"/>
        </w:rPr>
        <w:t> </w:t>
      </w:r>
    </w:p>
    <w:p>
      <w:pPr>
        <w:pStyle w:val="BodyText"/>
        <w:spacing w:line="272" w:lineRule="exact" w:before="27"/>
        <w:ind w:right="217" w:firstLine="419"/>
        <w:jc w:val="both"/>
      </w:pPr>
      <w:r>
        <w:rPr/>
        <w:t>公司监事会由</w:t>
      </w:r>
      <w:r>
        <w:rPr>
          <w:spacing w:val="-53"/>
        </w:rPr>
        <w:t> </w:t>
      </w:r>
      <w:r>
        <w:rPr>
          <w:rFonts w:ascii="宋体" w:hAnsi="宋体" w:cs="宋体" w:eastAsia="宋体" w:hint="default"/>
        </w:rPr>
        <w:t>3</w:t>
      </w:r>
      <w:r>
        <w:rPr>
          <w:rFonts w:ascii="宋体" w:hAnsi="宋体" w:cs="宋体" w:eastAsia="宋体" w:hint="default"/>
          <w:spacing w:val="-55"/>
        </w:rPr>
        <w:t> </w:t>
      </w:r>
      <w:r>
        <w:rPr/>
        <w:t>名监事组成，其中</w:t>
      </w:r>
      <w:r>
        <w:rPr>
          <w:spacing w:val="-52"/>
        </w:rPr>
        <w:t> </w:t>
      </w:r>
      <w:r>
        <w:rPr>
          <w:rFonts w:ascii="宋体" w:hAnsi="宋体" w:cs="宋体" w:eastAsia="宋体" w:hint="default"/>
        </w:rPr>
        <w:t>1</w:t>
      </w:r>
      <w:r>
        <w:rPr>
          <w:rFonts w:ascii="宋体" w:hAnsi="宋体" w:cs="宋体" w:eastAsia="宋体" w:hint="default"/>
          <w:spacing w:val="-55"/>
        </w:rPr>
        <w:t> </w:t>
      </w:r>
      <w:r>
        <w:rPr/>
        <w:t>名为职工代表监事，监事会的人数、构成及选聘程序均</w:t>
      </w:r>
      <w:r>
        <w:rPr>
          <w:w w:val="100"/>
        </w:rPr>
        <w:t> </w:t>
      </w:r>
      <w:r>
        <w:rPr>
          <w:spacing w:val="-2"/>
        </w:rPr>
        <w:t>符合相关法律法规、《公司章程》及《监事会议事规则》的规定。公司严格按照《公司章程》和</w:t>
      </w:r>
    </w:p>
    <w:p>
      <w:pPr>
        <w:pStyle w:val="BodyText"/>
        <w:spacing w:line="272" w:lineRule="exact" w:before="1"/>
        <w:ind w:right="0"/>
        <w:jc w:val="left"/>
      </w:pPr>
      <w:r>
        <w:rPr>
          <w:spacing w:val="-2"/>
        </w:rPr>
        <w:t>《监事会议事规则》的规定召集召开监事会，监事会的成员能够认真履行其职责，审议公司的定</w:t>
      </w:r>
      <w:r>
        <w:rPr>
          <w:spacing w:val="-25"/>
        </w:rPr>
        <w:t> </w:t>
      </w:r>
      <w:r>
        <w:rPr>
          <w:spacing w:val="-25"/>
        </w:rPr>
      </w:r>
      <w:r>
        <w:rPr>
          <w:spacing w:val="-2"/>
        </w:rPr>
        <w:t>期报告，列席公司股东大会和董事会，对董事、高级管理人员执行公司职务的行为进行监督，并</w:t>
      </w:r>
    </w:p>
    <w:p>
      <w:pPr>
        <w:pStyle w:val="BodyText"/>
        <w:spacing w:line="272" w:lineRule="exact" w:before="1"/>
        <w:ind w:left="638" w:right="3537" w:hanging="420"/>
        <w:jc w:val="left"/>
        <w:rPr>
          <w:rFonts w:ascii="宋体" w:hAnsi="宋体" w:cs="宋体" w:eastAsia="宋体" w:hint="default"/>
        </w:rPr>
      </w:pPr>
      <w:r>
        <w:rPr/>
        <w:t>发表意见，维护了公司及股东的合法权益。</w:t>
      </w:r>
      <w:r>
        <w:rPr>
          <w:rFonts w:ascii="宋体" w:hAnsi="宋体" w:cs="宋体" w:eastAsia="宋体" w:hint="default"/>
          <w:w w:val="100"/>
        </w:rPr>
        <w:t> </w:t>
      </w:r>
      <w:r>
        <w:rPr>
          <w:rFonts w:ascii="宋体" w:hAnsi="宋体" w:cs="宋体" w:eastAsia="宋体" w:hint="default"/>
        </w:rPr>
        <w:t>5</w:t>
      </w:r>
      <w:r>
        <w:rPr/>
        <w:t>、高级管理人员及经理层</w:t>
      </w:r>
      <w:r>
        <w:rPr>
          <w:rFonts w:ascii="宋体" w:hAnsi="宋体" w:cs="宋体" w:eastAsia="宋体" w:hint="default"/>
        </w:rPr>
        <w:t> </w:t>
      </w:r>
    </w:p>
    <w:p>
      <w:pPr>
        <w:pStyle w:val="BodyText"/>
        <w:spacing w:line="272" w:lineRule="exact" w:before="2"/>
        <w:ind w:right="217" w:firstLine="419"/>
        <w:jc w:val="both"/>
      </w:pPr>
      <w:r>
        <w:rPr>
          <w:spacing w:val="-2"/>
        </w:rPr>
        <w:t>公司的高级管理人员能够严格按照《公司章程》的要求，参与公司重大决策事项的讨论，审</w:t>
      </w:r>
      <w:r>
        <w:rPr>
          <w:w w:val="100"/>
        </w:rPr>
        <w:t> </w:t>
      </w:r>
      <w:r>
        <w:rPr>
          <w:spacing w:val="-2"/>
        </w:rPr>
        <w:t>议公司的定期报告，列席公司的董事会和股东大会。公司的经理层能够勤勉尽责，对公司日常生</w:t>
      </w:r>
    </w:p>
    <w:p>
      <w:pPr>
        <w:pStyle w:val="BodyText"/>
        <w:spacing w:line="272" w:lineRule="exact" w:before="1"/>
        <w:ind w:left="638" w:right="1479" w:hanging="420"/>
        <w:jc w:val="left"/>
        <w:rPr>
          <w:rFonts w:ascii="宋体" w:hAnsi="宋体" w:cs="宋体" w:eastAsia="宋体" w:hint="default"/>
        </w:rPr>
      </w:pPr>
      <w:r>
        <w:rPr/>
        <w:t>产经营实施有效的管理和控制，保障了公司每年制定的年度经营目标的完成。</w:t>
      </w:r>
      <w:r>
        <w:rPr>
          <w:rFonts w:ascii="宋体" w:hAnsi="宋体" w:cs="宋体" w:eastAsia="宋体" w:hint="default"/>
          <w:w w:val="100"/>
        </w:rPr>
        <w:t> </w:t>
      </w:r>
      <w:r>
        <w:rPr>
          <w:rFonts w:ascii="宋体" w:hAnsi="宋体" w:cs="宋体" w:eastAsia="宋体" w:hint="default"/>
        </w:rPr>
        <w:t>6</w:t>
      </w:r>
      <w:r>
        <w:rPr/>
        <w:t>、利益相关者</w:t>
      </w:r>
      <w:r>
        <w:rPr>
          <w:rFonts w:ascii="宋体" w:hAnsi="宋体" w:cs="宋体" w:eastAsia="宋体" w:hint="default"/>
        </w:rPr>
        <w:t> </w:t>
      </w:r>
    </w:p>
    <w:p>
      <w:pPr>
        <w:pStyle w:val="BodyText"/>
        <w:spacing w:line="272" w:lineRule="exact" w:before="1"/>
        <w:ind w:right="217" w:firstLine="419"/>
        <w:jc w:val="both"/>
        <w:rPr>
          <w:rFonts w:ascii="宋体" w:hAnsi="宋体" w:cs="宋体" w:eastAsia="宋体" w:hint="default"/>
        </w:rPr>
      </w:pPr>
      <w:r>
        <w:rPr>
          <w:spacing w:val="-2"/>
        </w:rPr>
        <w:t>公司尊重和维护银行及其他债权人、员工、客户、消费者、社区等利益相关者的合法权益；</w:t>
      </w:r>
      <w:r>
        <w:rPr>
          <w:w w:val="100"/>
        </w:rPr>
        <w:t> </w:t>
      </w:r>
      <w:r>
        <w:rPr>
          <w:spacing w:val="-2"/>
        </w:rPr>
        <w:t>公司重视社会责任，努力加强与利益相关者的沟通和交流，共同推进持续、健康地发展，积极承</w:t>
      </w:r>
      <w:r>
        <w:rPr>
          <w:spacing w:val="-25"/>
        </w:rPr>
        <w:t> </w:t>
      </w:r>
      <w:r>
        <w:rPr>
          <w:spacing w:val="-25"/>
        </w:rPr>
      </w:r>
      <w:r>
        <w:rPr/>
        <w:t>担社会责任。</w:t>
      </w:r>
      <w:r>
        <w:rPr>
          <w:rFonts w:ascii="宋体" w:hAnsi="宋体" w:cs="宋体" w:eastAsia="宋体" w:hint="default"/>
        </w:rPr>
        <w:t> </w:t>
      </w:r>
    </w:p>
    <w:p>
      <w:pPr>
        <w:pStyle w:val="BodyText"/>
        <w:spacing w:line="272" w:lineRule="exact" w:before="1"/>
        <w:ind w:left="638" w:right="0"/>
        <w:jc w:val="left"/>
      </w:pPr>
      <w:r>
        <w:rPr>
          <w:rFonts w:ascii="宋体" w:hAnsi="宋体" w:cs="宋体" w:eastAsia="宋体" w:hint="default"/>
        </w:rPr>
        <w:t>7</w:t>
      </w:r>
      <w:r>
        <w:rPr/>
        <w:t>、绩效评价与激励约束机制</w:t>
      </w:r>
      <w:r>
        <w:rPr>
          <w:rFonts w:ascii="宋体" w:hAnsi="宋体" w:cs="宋体" w:eastAsia="宋体" w:hint="default"/>
          <w:w w:val="100"/>
        </w:rPr>
        <w:t> </w:t>
      </w:r>
      <w:r>
        <w:rPr>
          <w:spacing w:val="-2"/>
        </w:rPr>
        <w:t>公司已初步建立董事、监事及高级管理人员的绩效评价标准与激励约束机制，公司经理人员</w:t>
      </w:r>
    </w:p>
    <w:p>
      <w:pPr>
        <w:pStyle w:val="BodyText"/>
        <w:spacing w:line="272" w:lineRule="exact" w:before="1"/>
        <w:ind w:right="0"/>
        <w:jc w:val="left"/>
      </w:pPr>
      <w:r>
        <w:rPr>
          <w:spacing w:val="-2"/>
        </w:rPr>
        <w:t>的聘任公开、透明、合规。每年年初，公司制定各部门和分子公司负责人经营考核目标，明确相</w:t>
      </w:r>
      <w:r>
        <w:rPr>
          <w:spacing w:val="-25"/>
        </w:rPr>
        <w:t> </w:t>
      </w:r>
      <w:r>
        <w:rPr>
          <w:spacing w:val="-25"/>
        </w:rPr>
      </w:r>
      <w:r>
        <w:rPr>
          <w:spacing w:val="-2"/>
        </w:rPr>
        <w:t>关人员、单位本年度的经营目标和考核指标，年终进行评价与考核，并以此对相关人员的业绩和</w:t>
      </w:r>
    </w:p>
    <w:p>
      <w:pPr>
        <w:pStyle w:val="BodyText"/>
        <w:spacing w:line="272" w:lineRule="exact" w:before="1"/>
        <w:ind w:left="638" w:right="5249" w:hanging="420"/>
        <w:jc w:val="left"/>
        <w:rPr>
          <w:rFonts w:ascii="宋体" w:hAnsi="宋体" w:cs="宋体" w:eastAsia="宋体" w:hint="default"/>
        </w:rPr>
      </w:pPr>
      <w:r>
        <w:rPr/>
        <w:t>绩效进行考评和奖惩。</w:t>
      </w:r>
      <w:r>
        <w:rPr>
          <w:rFonts w:ascii="宋体" w:hAnsi="宋体" w:cs="宋体" w:eastAsia="宋体" w:hint="default"/>
          <w:w w:val="100"/>
        </w:rPr>
        <w:t> </w:t>
      </w:r>
      <w:r>
        <w:rPr>
          <w:rFonts w:ascii="宋体" w:hAnsi="宋体" w:cs="宋体" w:eastAsia="宋体" w:hint="default"/>
        </w:rPr>
        <w:t>8</w:t>
      </w:r>
      <w:r>
        <w:rPr/>
        <w:t>、信息披露与透明度</w:t>
      </w:r>
      <w:r>
        <w:rPr>
          <w:rFonts w:ascii="宋体" w:hAnsi="宋体" w:cs="宋体" w:eastAsia="宋体" w:hint="default"/>
        </w:rPr>
        <w:t> </w:t>
      </w:r>
    </w:p>
    <w:p>
      <w:pPr>
        <w:pStyle w:val="BodyText"/>
        <w:spacing w:line="272" w:lineRule="exact" w:before="2"/>
        <w:ind w:right="217" w:firstLine="419"/>
        <w:jc w:val="both"/>
      </w:pPr>
      <w:r>
        <w:rPr>
          <w:spacing w:val="-2"/>
        </w:rPr>
        <w:t>公司指定董事会秘书负责信息披露，公司证券部在公司董事会秘书的领导下开展信息披露工</w:t>
      </w:r>
      <w:r>
        <w:rPr>
          <w:w w:val="100"/>
        </w:rPr>
        <w:t> </w:t>
      </w:r>
      <w:r>
        <w:rPr>
          <w:spacing w:val="-2"/>
        </w:rPr>
        <w:t>作、接待股东来访和咨询。《上海证券报》为公司信息披露的报纸，上海证券交易所网站为公司</w:t>
      </w:r>
    </w:p>
    <w:p>
      <w:pPr>
        <w:pStyle w:val="BodyText"/>
        <w:spacing w:line="272" w:lineRule="exact" w:before="1"/>
        <w:ind w:right="0"/>
        <w:jc w:val="left"/>
      </w:pPr>
      <w:r>
        <w:rPr>
          <w:spacing w:val="-2"/>
        </w:rPr>
        <w:t>信息披露网站；公司的会议决议及相关重大事项能够按照法律法规、《公司章程》和公司《信息</w:t>
      </w:r>
      <w:r>
        <w:rPr>
          <w:spacing w:val="-25"/>
        </w:rPr>
        <w:t> </w:t>
      </w:r>
      <w:r>
        <w:rPr>
          <w:spacing w:val="-25"/>
        </w:rPr>
      </w:r>
      <w:r>
        <w:rPr>
          <w:spacing w:val="-2"/>
        </w:rPr>
        <w:t>披露管理办法》的规定真实、准确、完整地披露有关信息。公司重大事项内幕信息能够按照公司</w:t>
      </w:r>
    </w:p>
    <w:p>
      <w:pPr>
        <w:pStyle w:val="BodyText"/>
        <w:spacing w:line="272" w:lineRule="exact" w:before="1"/>
        <w:ind w:right="0"/>
        <w:jc w:val="left"/>
        <w:rPr>
          <w:rFonts w:ascii="宋体" w:hAnsi="宋体" w:cs="宋体" w:eastAsia="宋体" w:hint="default"/>
        </w:rPr>
      </w:pPr>
      <w:r>
        <w:rPr>
          <w:spacing w:val="-2"/>
        </w:rPr>
        <w:t>《内幕信息知情人登记管理制度》并做好信息披露前的保密工作，确保所有股东均能公平、公正</w:t>
      </w:r>
      <w:r>
        <w:rPr>
          <w:spacing w:val="-25"/>
        </w:rPr>
        <w:t> </w:t>
      </w:r>
      <w:r>
        <w:rPr>
          <w:spacing w:val="-25"/>
        </w:rPr>
      </w:r>
      <w:r>
        <w:rPr/>
        <w:t>地获得信息。</w:t>
      </w:r>
      <w:r>
        <w:rPr>
          <w:rFonts w:ascii="宋体" w:hAnsi="宋体" w:cs="宋体" w:eastAsia="宋体" w:hint="default"/>
        </w:rPr>
        <w:t> </w:t>
      </w:r>
    </w:p>
    <w:p>
      <w:pPr>
        <w:pStyle w:val="BodyText"/>
        <w:spacing w:line="272" w:lineRule="exact" w:before="1"/>
        <w:ind w:left="638" w:right="0"/>
        <w:jc w:val="left"/>
      </w:pPr>
      <w:r>
        <w:rPr>
          <w:rFonts w:ascii="宋体" w:hAnsi="宋体" w:cs="宋体" w:eastAsia="宋体" w:hint="default"/>
        </w:rPr>
        <w:t>9</w:t>
      </w:r>
      <w:r>
        <w:rPr/>
        <w:t>、投资者关系</w:t>
      </w:r>
      <w:r>
        <w:rPr>
          <w:rFonts w:ascii="宋体" w:hAnsi="宋体" w:cs="宋体" w:eastAsia="宋体" w:hint="default"/>
          <w:w w:val="100"/>
        </w:rPr>
        <w:t> </w:t>
      </w:r>
      <w:r>
        <w:rPr>
          <w:spacing w:val="-2"/>
        </w:rPr>
        <w:t>公司按照《投资者关系管理制度》加强投资者关系管理工作，认真做好投资者来电的接听、</w:t>
      </w:r>
    </w:p>
    <w:p>
      <w:pPr>
        <w:pStyle w:val="BodyText"/>
        <w:spacing w:line="272" w:lineRule="exact" w:before="1"/>
        <w:ind w:right="0"/>
        <w:jc w:val="left"/>
        <w:rPr>
          <w:rFonts w:ascii="宋体" w:hAnsi="宋体" w:cs="宋体" w:eastAsia="宋体" w:hint="default"/>
        </w:rPr>
      </w:pPr>
      <w:r>
        <w:rPr>
          <w:spacing w:val="-2"/>
        </w:rPr>
        <w:t>答复以及传真、电子信箱的接收和回复，增强了与投资者的沟通，加强了公司与投资者及潜在投</w:t>
      </w:r>
      <w:r>
        <w:rPr>
          <w:spacing w:val="-25"/>
        </w:rPr>
        <w:t> </w:t>
      </w:r>
      <w:r>
        <w:rPr>
          <w:spacing w:val="-25"/>
        </w:rPr>
      </w:r>
      <w:r>
        <w:rPr/>
        <w:t>资者之间的联系，促进投资者对公司投资价值的全面、深入了解。</w:t>
      </w:r>
      <w:r>
        <w:rPr>
          <w:rFonts w:ascii="宋体" w:hAnsi="宋体" w:cs="宋体" w:eastAsia="宋体" w:hint="default"/>
        </w:rPr>
        <w:t> </w:t>
      </w:r>
    </w:p>
    <w:p>
      <w:pPr>
        <w:spacing w:line="272" w:lineRule="exact" w:before="1"/>
        <w:ind w:left="638" w:right="0" w:firstLine="2"/>
        <w:jc w:val="left"/>
        <w:rPr>
          <w:rFonts w:ascii="宋体" w:hAnsi="宋体" w:cs="宋体" w:eastAsia="宋体" w:hint="default"/>
          <w:sz w:val="21"/>
          <w:szCs w:val="21"/>
        </w:rPr>
      </w:pPr>
      <w:r>
        <w:rPr>
          <w:rFonts w:ascii="宋体" w:hAnsi="宋体" w:cs="宋体" w:eastAsia="宋体" w:hint="default"/>
          <w:b/>
          <w:bCs/>
          <w:sz w:val="21"/>
          <w:szCs w:val="21"/>
        </w:rPr>
        <w:t>（二）内幕知情人登记管理情况</w:t>
      </w:r>
      <w:r>
        <w:rPr>
          <w:rFonts w:ascii="宋体" w:hAnsi="宋体" w:cs="宋体" w:eastAsia="宋体" w:hint="default"/>
          <w:b/>
          <w:bCs/>
          <w:w w:val="99"/>
          <w:sz w:val="21"/>
          <w:szCs w:val="21"/>
        </w:rPr>
        <w:t> </w:t>
      </w:r>
      <w:r>
        <w:rPr>
          <w:rFonts w:ascii="宋体" w:hAnsi="宋体" w:cs="宋体" w:eastAsia="宋体" w:hint="default"/>
          <w:spacing w:val="-2"/>
          <w:sz w:val="21"/>
          <w:szCs w:val="21"/>
        </w:rPr>
        <w:t>报告期内，公司严格执行内幕信息登记管理制度，严格规范信息传递流程，在定期报告披露</w:t>
      </w:r>
    </w:p>
    <w:p>
      <w:pPr>
        <w:pStyle w:val="BodyText"/>
        <w:spacing w:line="247" w:lineRule="exact"/>
        <w:ind w:right="0"/>
        <w:jc w:val="left"/>
      </w:pPr>
      <w:r>
        <w:rPr/>
        <w:t>期间和临时公告披露期间，对未公开信息，公司证券部都会严格控制知情人范围并组织填写《内</w:t>
      </w:r>
    </w:p>
    <w:p>
      <w:pPr>
        <w:pStyle w:val="BodyText"/>
        <w:spacing w:line="272" w:lineRule="exact" w:before="26"/>
        <w:ind w:right="0"/>
        <w:jc w:val="left"/>
        <w:rPr>
          <w:rFonts w:ascii="宋体" w:hAnsi="宋体" w:cs="宋体" w:eastAsia="宋体" w:hint="default"/>
        </w:rPr>
      </w:pPr>
      <w:r>
        <w:rPr>
          <w:spacing w:val="-2"/>
        </w:rPr>
        <w:t>幕信息知情人档案表》，如实、完整记录上述信息在公开前的所有内幕信息知情人名单，以及知</w:t>
      </w:r>
      <w:r>
        <w:rPr>
          <w:spacing w:val="-25"/>
        </w:rPr>
        <w:t> </w:t>
      </w:r>
      <w:r>
        <w:rPr>
          <w:spacing w:val="-25"/>
        </w:rPr>
      </w:r>
      <w:r>
        <w:rPr/>
        <w:t>情人知悉内幕信息的时间等。</w:t>
      </w:r>
      <w:r>
        <w:rPr>
          <w:rFonts w:ascii="宋体" w:hAnsi="宋体" w:cs="宋体" w:eastAsia="宋体" w:hint="default"/>
        </w:rPr>
        <w:t> </w:t>
      </w:r>
    </w:p>
    <w:p>
      <w:pPr>
        <w:pStyle w:val="BodyText"/>
        <w:spacing w:line="272" w:lineRule="exact" w:before="1"/>
        <w:ind w:right="217" w:firstLine="419"/>
        <w:jc w:val="both"/>
      </w:pPr>
      <w:r>
        <w:rPr>
          <w:spacing w:val="-2"/>
        </w:rPr>
        <w:t>报告期内，公司董事、监事、高级管理人员及其他相关人员严格遵守内幕信息知情人登记管</w:t>
      </w:r>
      <w:r>
        <w:rPr>
          <w:w w:val="100"/>
        </w:rPr>
        <w:t> </w:t>
      </w:r>
      <w:r>
        <w:rPr>
          <w:spacing w:val="-2"/>
        </w:rPr>
        <w:t>理制度，未发现有内幕信息知情人利用内幕信息买卖公司股票的情况，未发生因内幕信息知情人</w:t>
      </w:r>
    </w:p>
    <w:p>
      <w:pPr>
        <w:pStyle w:val="BodyText"/>
        <w:spacing w:line="247" w:lineRule="exact"/>
        <w:ind w:right="0"/>
        <w:jc w:val="left"/>
        <w:rPr>
          <w:rFonts w:ascii="宋体" w:hAnsi="宋体" w:cs="宋体" w:eastAsia="宋体" w:hint="default"/>
        </w:rPr>
      </w:pPr>
      <w:r>
        <w:rPr/>
        <w:t>涉嫌内幕交易受到监管部门查处情况。</w:t>
      </w:r>
      <w:r>
        <w:rPr>
          <w:rFonts w:ascii="宋体" w:hAnsi="宋体" w:cs="宋体" w:eastAsia="宋体" w:hint="default"/>
        </w:rPr>
        <w:t> </w:t>
      </w:r>
    </w:p>
    <w:p>
      <w:pPr>
        <w:pStyle w:val="BodyText"/>
        <w:spacing w:line="240" w:lineRule="auto"/>
        <w:ind w:right="0"/>
        <w:jc w:val="left"/>
        <w:rPr>
          <w:rFonts w:ascii="宋体" w:hAnsi="宋体" w:cs="宋体" w:eastAsia="宋体" w:hint="default"/>
        </w:rPr>
      </w:pPr>
      <w:r>
        <w:rPr>
          <w:rFonts w:ascii="宋体" w:hAnsi="宋体" w:cs="宋体" w:eastAsia="宋体" w:hint="default"/>
          <w:w w:val="100"/>
        </w:rPr>
        <w:t>  </w:t>
      </w:r>
      <w:r>
        <w:rPr>
          <w:w w:val="100"/>
        </w:rPr>
        <w:t>公司</w:t>
      </w:r>
      <w:r>
        <w:rPr>
          <w:spacing w:val="-3"/>
          <w:w w:val="100"/>
        </w:rPr>
        <w:t>治</w:t>
      </w:r>
      <w:r>
        <w:rPr>
          <w:w w:val="100"/>
        </w:rPr>
        <w:t>理</w:t>
      </w:r>
      <w:r>
        <w:rPr>
          <w:spacing w:val="-3"/>
          <w:w w:val="100"/>
        </w:rPr>
        <w:t>与</w:t>
      </w:r>
      <w:r>
        <w:rPr>
          <w:w w:val="100"/>
        </w:rPr>
        <w:t>中</w:t>
      </w:r>
      <w:r>
        <w:rPr>
          <w:spacing w:val="-3"/>
          <w:w w:val="100"/>
        </w:rPr>
        <w:t>国</w:t>
      </w:r>
      <w:r>
        <w:rPr>
          <w:w w:val="100"/>
        </w:rPr>
        <w:t>证</w:t>
      </w:r>
      <w:r>
        <w:rPr>
          <w:spacing w:val="-3"/>
          <w:w w:val="100"/>
        </w:rPr>
        <w:t>监</w:t>
      </w:r>
      <w:r>
        <w:rPr>
          <w:w w:val="100"/>
        </w:rPr>
        <w:t>会</w:t>
      </w:r>
      <w:r>
        <w:rPr>
          <w:spacing w:val="-3"/>
          <w:w w:val="100"/>
        </w:rPr>
        <w:t>相</w:t>
      </w:r>
      <w:r>
        <w:rPr>
          <w:w w:val="100"/>
        </w:rPr>
        <w:t>关规</w:t>
      </w:r>
      <w:r>
        <w:rPr>
          <w:spacing w:val="-3"/>
          <w:w w:val="100"/>
        </w:rPr>
        <w:t>定</w:t>
      </w:r>
      <w:r>
        <w:rPr>
          <w:w w:val="100"/>
        </w:rPr>
        <w:t>的</w:t>
      </w:r>
      <w:r>
        <w:rPr>
          <w:spacing w:val="-3"/>
          <w:w w:val="100"/>
        </w:rPr>
        <w:t>要</w:t>
      </w:r>
      <w:r>
        <w:rPr>
          <w:w w:val="100"/>
        </w:rPr>
        <w:t>求</w:t>
      </w:r>
      <w:r>
        <w:rPr>
          <w:spacing w:val="-3"/>
          <w:w w:val="100"/>
        </w:rPr>
        <w:t>是</w:t>
      </w:r>
      <w:r>
        <w:rPr>
          <w:w w:val="100"/>
        </w:rPr>
        <w:t>否</w:t>
      </w:r>
      <w:r>
        <w:rPr>
          <w:spacing w:val="-3"/>
          <w:w w:val="100"/>
        </w:rPr>
        <w:t>存</w:t>
      </w:r>
      <w:r>
        <w:rPr>
          <w:spacing w:val="-1"/>
          <w:w w:val="100"/>
        </w:rPr>
        <w:t>在</w:t>
      </w:r>
      <w:r>
        <w:rPr>
          <w:spacing w:val="-3"/>
          <w:w w:val="100"/>
        </w:rPr>
        <w:t>重</w:t>
      </w:r>
      <w:r>
        <w:rPr>
          <w:w w:val="100"/>
        </w:rPr>
        <w:t>大差</w:t>
      </w:r>
      <w:r>
        <w:rPr>
          <w:spacing w:val="-3"/>
          <w:w w:val="100"/>
        </w:rPr>
        <w:t>异</w:t>
      </w:r>
      <w:r>
        <w:rPr>
          <w:w w:val="100"/>
        </w:rPr>
        <w:t>；</w:t>
      </w:r>
      <w:r>
        <w:rPr>
          <w:spacing w:val="-3"/>
          <w:w w:val="100"/>
        </w:rPr>
        <w:t>如</w:t>
      </w:r>
      <w:r>
        <w:rPr>
          <w:spacing w:val="-1"/>
          <w:w w:val="100"/>
        </w:rPr>
        <w:t>有</w:t>
      </w:r>
      <w:r>
        <w:rPr>
          <w:spacing w:val="-3"/>
          <w:w w:val="100"/>
        </w:rPr>
        <w:t>重</w:t>
      </w:r>
      <w:r>
        <w:rPr>
          <w:w w:val="100"/>
        </w:rPr>
        <w:t>大</w:t>
      </w:r>
      <w:r>
        <w:rPr>
          <w:spacing w:val="-3"/>
          <w:w w:val="100"/>
        </w:rPr>
        <w:t>差</w:t>
      </w:r>
      <w:r>
        <w:rPr>
          <w:w w:val="100"/>
        </w:rPr>
        <w:t>异</w:t>
      </w:r>
      <w:r>
        <w:rPr>
          <w:spacing w:val="-3"/>
          <w:w w:val="100"/>
        </w:rPr>
        <w:t>，</w:t>
      </w:r>
      <w:r>
        <w:rPr>
          <w:w w:val="100"/>
        </w:rPr>
        <w:t>应当</w:t>
      </w:r>
      <w:r>
        <w:rPr>
          <w:spacing w:val="-3"/>
          <w:w w:val="100"/>
        </w:rPr>
        <w:t>说</w:t>
      </w:r>
      <w:r>
        <w:rPr>
          <w:w w:val="100"/>
        </w:rPr>
        <w:t>明</w:t>
      </w:r>
      <w:r>
        <w:rPr>
          <w:spacing w:val="-3"/>
          <w:w w:val="100"/>
        </w:rPr>
        <w:t>原因</w:t>
      </w:r>
      <w:r>
        <w:rPr>
          <w:rFonts w:ascii="宋体" w:hAnsi="宋体" w:cs="宋体" w:eastAsia="宋体" w:hint="default"/>
          <w:w w:val="100"/>
        </w:rPr>
        <w:t> </w:t>
      </w:r>
    </w:p>
    <w:p>
      <w:pPr>
        <w:pStyle w:val="BodyText"/>
        <w:spacing w:line="274" w:lineRule="exact" w:before="22"/>
        <w:ind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t>截止本报告期末，公司法人治理结构完善，符合《公司法》和中国证监会相关规定的要求。</w:t>
      </w:r>
      <w:r>
        <w:rPr>
          <w:rFonts w:ascii="宋体" w:hAnsi="宋体" w:cs="宋体" w:eastAsia="宋体" w:hint="default"/>
        </w:rPr>
        <w:t> </w:t>
      </w:r>
    </w:p>
    <w:p>
      <w:pPr>
        <w:pStyle w:val="BodyText"/>
        <w:spacing w:line="246" w:lineRule="exact"/>
        <w:ind w:right="0"/>
        <w:jc w:val="left"/>
        <w:rPr>
          <w:rFonts w:ascii="宋体" w:hAnsi="宋体" w:cs="宋体" w:eastAsia="宋体" w:hint="default"/>
        </w:rPr>
      </w:pPr>
      <w:r>
        <w:rPr>
          <w:rFonts w:ascii="宋体"/>
          <w:w w:val="100"/>
        </w:rPr>
        <w:t> </w:t>
      </w:r>
    </w:p>
    <w:p>
      <w:pPr>
        <w:spacing w:after="0" w:line="246" w:lineRule="exact"/>
        <w:jc w:val="left"/>
        <w:rPr>
          <w:rFonts w:ascii="宋体" w:hAnsi="宋体" w:cs="宋体" w:eastAsia="宋体" w:hint="default"/>
        </w:rPr>
        <w:sectPr>
          <w:pgSz w:w="11910" w:h="16840"/>
          <w:pgMar w:header="743" w:footer="974" w:top="1120" w:bottom="1160" w:left="1580" w:right="1060"/>
        </w:sectPr>
      </w:pPr>
    </w:p>
    <w:p>
      <w:pPr>
        <w:spacing w:line="240" w:lineRule="auto" w:before="4"/>
        <w:rPr>
          <w:rFonts w:ascii="宋体" w:hAnsi="宋体" w:cs="宋体" w:eastAsia="宋体" w:hint="default"/>
          <w:sz w:val="24"/>
          <w:szCs w:val="24"/>
        </w:rPr>
      </w:pPr>
    </w:p>
    <w:p>
      <w:pPr>
        <w:pStyle w:val="Heading3"/>
        <w:spacing w:line="240" w:lineRule="auto" w:before="36"/>
        <w:ind w:right="0"/>
        <w:jc w:val="left"/>
        <w:rPr>
          <w:b w:val="0"/>
          <w:bCs w:val="0"/>
        </w:rPr>
      </w:pPr>
      <w:r>
        <w:rPr/>
        <w:t>二、</w:t>
      </w:r>
      <w:r>
        <w:rPr>
          <w:spacing w:val="-102"/>
        </w:rPr>
        <w:t> </w:t>
      </w:r>
      <w:r>
        <w:rPr>
          <w:rFonts w:ascii="宋体" w:hAnsi="宋体" w:cs="宋体" w:eastAsia="宋体" w:hint="default"/>
          <w:spacing w:val="-102"/>
        </w:rPr>
      </w:r>
      <w:r>
        <w:rPr/>
        <w:t>股东大会情况简介</w:t>
      </w:r>
      <w:r>
        <w:rPr>
          <w:b w:val="0"/>
          <w:bCs w:val="0"/>
        </w:rPr>
      </w:r>
    </w:p>
    <w:p>
      <w:pPr>
        <w:spacing w:line="240" w:lineRule="auto" w:before="2"/>
        <w:rPr>
          <w:rFonts w:ascii="宋体" w:hAnsi="宋体" w:cs="宋体" w:eastAsia="宋体" w:hint="default"/>
          <w:b/>
          <w:bCs/>
          <w:sz w:val="7"/>
          <w:szCs w:val="7"/>
        </w:rPr>
      </w:pPr>
    </w:p>
    <w:tbl>
      <w:tblPr>
        <w:tblW w:w="0" w:type="auto"/>
        <w:jc w:val="left"/>
        <w:tblInd w:w="105" w:type="dxa"/>
        <w:tblLayout w:type="fixed"/>
        <w:tblCellMar>
          <w:top w:w="0" w:type="dxa"/>
          <w:left w:w="0" w:type="dxa"/>
          <w:bottom w:w="0" w:type="dxa"/>
          <w:right w:w="0" w:type="dxa"/>
        </w:tblCellMar>
        <w:tblLook w:val="01E0"/>
      </w:tblPr>
      <w:tblGrid>
        <w:gridCol w:w="2312"/>
        <w:gridCol w:w="2165"/>
        <w:gridCol w:w="2408"/>
        <w:gridCol w:w="2165"/>
      </w:tblGrid>
      <w:tr>
        <w:trPr>
          <w:trHeight w:val="554" w:hRule="exact"/>
        </w:trPr>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2" w:right="0"/>
              <w:jc w:val="center"/>
              <w:rPr>
                <w:rFonts w:ascii="宋体" w:hAnsi="宋体" w:cs="宋体" w:eastAsia="宋体" w:hint="default"/>
                <w:sz w:val="21"/>
                <w:szCs w:val="21"/>
              </w:rPr>
            </w:pPr>
            <w:r>
              <w:rPr>
                <w:rFonts w:ascii="宋体" w:hAnsi="宋体" w:cs="宋体" w:eastAsia="宋体" w:hint="default"/>
                <w:sz w:val="21"/>
                <w:szCs w:val="21"/>
              </w:rPr>
              <w:t>会议届次</w:t>
            </w:r>
            <w:r>
              <w:rPr>
                <w:rFonts w:ascii="宋体" w:hAnsi="宋体" w:cs="宋体" w:eastAsia="宋体" w:hint="default"/>
                <w:sz w:val="21"/>
                <w:szCs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center"/>
              <w:rPr>
                <w:rFonts w:ascii="宋体" w:hAnsi="宋体" w:cs="宋体" w:eastAsia="宋体" w:hint="default"/>
                <w:sz w:val="21"/>
                <w:szCs w:val="21"/>
              </w:rPr>
            </w:pPr>
            <w:r>
              <w:rPr>
                <w:rFonts w:ascii="宋体" w:hAnsi="宋体" w:cs="宋体" w:eastAsia="宋体" w:hint="default"/>
                <w:sz w:val="21"/>
                <w:szCs w:val="21"/>
              </w:rPr>
              <w:t>召开日期</w:t>
            </w:r>
            <w:r>
              <w:rPr>
                <w:rFonts w:ascii="宋体" w:hAnsi="宋体" w:cs="宋体" w:eastAsia="宋体" w:hint="default"/>
                <w:sz w:val="21"/>
                <w:szCs w:val="21"/>
              </w:rPr>
              <w:t> </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决议刊登的指定网站的</w:t>
            </w:r>
          </w:p>
          <w:p>
            <w:pPr>
              <w:pStyle w:val="TableParagraph"/>
              <w:spacing w:line="274" w:lineRule="exact"/>
              <w:ind w:left="103" w:right="0"/>
              <w:jc w:val="center"/>
              <w:rPr>
                <w:rFonts w:ascii="宋体" w:hAnsi="宋体" w:cs="宋体" w:eastAsia="宋体" w:hint="default"/>
                <w:sz w:val="21"/>
                <w:szCs w:val="21"/>
              </w:rPr>
            </w:pPr>
            <w:r>
              <w:rPr>
                <w:rFonts w:ascii="宋体" w:hAnsi="宋体" w:cs="宋体" w:eastAsia="宋体" w:hint="default"/>
                <w:sz w:val="21"/>
                <w:szCs w:val="21"/>
              </w:rPr>
              <w:t>查询索引</w:t>
            </w:r>
            <w:r>
              <w:rPr>
                <w:rFonts w:ascii="宋体" w:hAnsi="宋体" w:cs="宋体" w:eastAsia="宋体" w:hint="default"/>
                <w:sz w:val="21"/>
                <w:szCs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0"/>
              <w:jc w:val="center"/>
              <w:rPr>
                <w:rFonts w:ascii="宋体" w:hAnsi="宋体" w:cs="宋体" w:eastAsia="宋体" w:hint="default"/>
                <w:sz w:val="21"/>
                <w:szCs w:val="21"/>
              </w:rPr>
            </w:pPr>
            <w:r>
              <w:rPr>
                <w:rFonts w:ascii="宋体" w:hAnsi="宋体" w:cs="宋体" w:eastAsia="宋体" w:hint="default"/>
                <w:sz w:val="21"/>
                <w:szCs w:val="21"/>
              </w:rPr>
              <w:t>决议刊登的披露日期</w:t>
            </w:r>
            <w:r>
              <w:rPr>
                <w:rFonts w:ascii="宋体" w:hAnsi="宋体" w:cs="宋体" w:eastAsia="宋体" w:hint="default"/>
                <w:sz w:val="21"/>
                <w:szCs w:val="21"/>
              </w:rPr>
              <w:t> </w:t>
            </w:r>
          </w:p>
        </w:tc>
      </w:tr>
      <w:tr>
        <w:trPr>
          <w:trHeight w:val="554" w:hRule="exact"/>
        </w:trPr>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5"/>
                <w:sz w:val="21"/>
                <w:szCs w:val="21"/>
              </w:rPr>
              <w:t> </w:t>
            </w:r>
            <w:r>
              <w:rPr>
                <w:rFonts w:ascii="宋体" w:hAnsi="宋体" w:cs="宋体" w:eastAsia="宋体" w:hint="default"/>
                <w:sz w:val="21"/>
                <w:szCs w:val="21"/>
              </w:rPr>
              <w:t>年第一次临时股</w:t>
            </w:r>
          </w:p>
          <w:p>
            <w:pPr>
              <w:pStyle w:val="TableParagraph"/>
              <w:spacing w:line="274" w:lineRule="exact"/>
              <w:ind w:left="100" w:right="0"/>
              <w:jc w:val="center"/>
              <w:rPr>
                <w:rFonts w:ascii="宋体" w:hAnsi="宋体" w:cs="宋体" w:eastAsia="宋体" w:hint="default"/>
                <w:sz w:val="21"/>
                <w:szCs w:val="21"/>
              </w:rPr>
            </w:pPr>
            <w:r>
              <w:rPr>
                <w:rFonts w:ascii="宋体" w:hAnsi="宋体" w:cs="宋体" w:eastAsia="宋体" w:hint="default"/>
                <w:sz w:val="21"/>
                <w:szCs w:val="21"/>
              </w:rPr>
              <w:t>东大会</w:t>
            </w:r>
            <w:r>
              <w:rPr>
                <w:rFonts w:ascii="宋体" w:hAnsi="宋体" w:cs="宋体" w:eastAsia="宋体" w:hint="default"/>
                <w:sz w:val="21"/>
                <w:szCs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center"/>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上海证券交易所网站</w:t>
            </w:r>
          </w:p>
          <w:p>
            <w:pPr>
              <w:pStyle w:val="TableParagraph"/>
              <w:spacing w:line="274" w:lineRule="exact"/>
              <w:ind w:left="106" w:right="0"/>
              <w:jc w:val="center"/>
              <w:rPr>
                <w:rFonts w:ascii="宋体" w:hAnsi="宋体" w:cs="宋体" w:eastAsia="宋体" w:hint="default"/>
                <w:sz w:val="21"/>
                <w:szCs w:val="21"/>
              </w:rPr>
            </w:pPr>
            <w:hyperlink r:id="rId16">
              <w:r>
                <w:rPr>
                  <w:rFonts w:ascii="宋体"/>
                  <w:sz w:val="21"/>
                </w:rPr>
                <w:t>www.sse.com.cn</w:t>
              </w:r>
            </w:hyperlink>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0"/>
              <w:jc w:val="center"/>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r>
      <w:tr>
        <w:trPr>
          <w:trHeight w:val="554" w:hRule="exact"/>
        </w:trPr>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5"/>
                <w:sz w:val="21"/>
                <w:szCs w:val="21"/>
              </w:rPr>
              <w:t> </w:t>
            </w:r>
            <w:r>
              <w:rPr>
                <w:rFonts w:ascii="宋体" w:hAnsi="宋体" w:cs="宋体" w:eastAsia="宋体" w:hint="default"/>
                <w:sz w:val="21"/>
                <w:szCs w:val="21"/>
              </w:rPr>
              <w:t>年第二次临时股</w:t>
            </w:r>
          </w:p>
          <w:p>
            <w:pPr>
              <w:pStyle w:val="TableParagraph"/>
              <w:spacing w:line="274" w:lineRule="exact"/>
              <w:ind w:left="100" w:right="0"/>
              <w:jc w:val="center"/>
              <w:rPr>
                <w:rFonts w:ascii="宋体" w:hAnsi="宋体" w:cs="宋体" w:eastAsia="宋体" w:hint="default"/>
                <w:sz w:val="21"/>
                <w:szCs w:val="21"/>
              </w:rPr>
            </w:pPr>
            <w:r>
              <w:rPr>
                <w:rFonts w:ascii="宋体" w:hAnsi="宋体" w:cs="宋体" w:eastAsia="宋体" w:hint="default"/>
                <w:sz w:val="21"/>
                <w:szCs w:val="21"/>
              </w:rPr>
              <w:t>东大会</w:t>
            </w:r>
            <w:r>
              <w:rPr>
                <w:rFonts w:ascii="宋体" w:hAnsi="宋体" w:cs="宋体" w:eastAsia="宋体" w:hint="default"/>
                <w:sz w:val="21"/>
                <w:szCs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center"/>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上海证券交易所网站</w:t>
            </w:r>
          </w:p>
          <w:p>
            <w:pPr>
              <w:pStyle w:val="TableParagraph"/>
              <w:spacing w:line="274" w:lineRule="exact"/>
              <w:ind w:left="106" w:right="0"/>
              <w:jc w:val="center"/>
              <w:rPr>
                <w:rFonts w:ascii="宋体" w:hAnsi="宋体" w:cs="宋体" w:eastAsia="宋体" w:hint="default"/>
                <w:sz w:val="21"/>
                <w:szCs w:val="21"/>
              </w:rPr>
            </w:pPr>
            <w:hyperlink r:id="rId16">
              <w:r>
                <w:rPr>
                  <w:rFonts w:ascii="宋体"/>
                  <w:sz w:val="21"/>
                </w:rPr>
                <w:t>www.sse.com.cn</w:t>
              </w:r>
            </w:hyperlink>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0"/>
              <w:jc w:val="center"/>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r>
      <w:tr>
        <w:trPr>
          <w:trHeight w:val="554" w:hRule="exact"/>
        </w:trPr>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center"/>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8"/>
                <w:sz w:val="21"/>
                <w:szCs w:val="21"/>
              </w:rPr>
              <w:t> </w:t>
            </w:r>
            <w:r>
              <w:rPr>
                <w:rFonts w:ascii="宋体" w:hAnsi="宋体" w:cs="宋体" w:eastAsia="宋体" w:hint="default"/>
                <w:sz w:val="21"/>
                <w:szCs w:val="21"/>
              </w:rPr>
              <w:t>年年度股东大会</w:t>
            </w:r>
            <w:r>
              <w:rPr>
                <w:rFonts w:ascii="宋体" w:hAnsi="宋体" w:cs="宋体" w:eastAsia="宋体" w:hint="default"/>
                <w:sz w:val="21"/>
                <w:szCs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center"/>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28</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上海证券交易所网站</w:t>
            </w:r>
          </w:p>
          <w:p>
            <w:pPr>
              <w:pStyle w:val="TableParagraph"/>
              <w:spacing w:line="274" w:lineRule="exact"/>
              <w:ind w:left="106" w:right="0"/>
              <w:jc w:val="center"/>
              <w:rPr>
                <w:rFonts w:ascii="宋体" w:hAnsi="宋体" w:cs="宋体" w:eastAsia="宋体" w:hint="default"/>
                <w:sz w:val="21"/>
                <w:szCs w:val="21"/>
              </w:rPr>
            </w:pPr>
            <w:hyperlink r:id="rId16">
              <w:r>
                <w:rPr>
                  <w:rFonts w:ascii="宋体"/>
                  <w:sz w:val="21"/>
                </w:rPr>
                <w:t>www.sse.com.cn</w:t>
              </w:r>
            </w:hyperlink>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0"/>
              <w:jc w:val="center"/>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29</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r>
      <w:tr>
        <w:trPr>
          <w:trHeight w:val="554" w:hRule="exact"/>
        </w:trPr>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5"/>
                <w:sz w:val="21"/>
                <w:szCs w:val="21"/>
              </w:rPr>
              <w:t> </w:t>
            </w:r>
            <w:r>
              <w:rPr>
                <w:rFonts w:ascii="宋体" w:hAnsi="宋体" w:cs="宋体" w:eastAsia="宋体" w:hint="default"/>
                <w:sz w:val="21"/>
                <w:szCs w:val="21"/>
              </w:rPr>
              <w:t>年第三次临时股</w:t>
            </w:r>
          </w:p>
          <w:p>
            <w:pPr>
              <w:pStyle w:val="TableParagraph"/>
              <w:spacing w:line="273" w:lineRule="exact"/>
              <w:ind w:left="100" w:right="0"/>
              <w:jc w:val="center"/>
              <w:rPr>
                <w:rFonts w:ascii="宋体" w:hAnsi="宋体" w:cs="宋体" w:eastAsia="宋体" w:hint="default"/>
                <w:sz w:val="21"/>
                <w:szCs w:val="21"/>
              </w:rPr>
            </w:pPr>
            <w:r>
              <w:rPr>
                <w:rFonts w:ascii="宋体" w:hAnsi="宋体" w:cs="宋体" w:eastAsia="宋体" w:hint="default"/>
                <w:sz w:val="21"/>
                <w:szCs w:val="21"/>
              </w:rPr>
              <w:t>东大会</w:t>
            </w:r>
            <w:r>
              <w:rPr>
                <w:rFonts w:ascii="宋体" w:hAnsi="宋体" w:cs="宋体" w:eastAsia="宋体" w:hint="default"/>
                <w:sz w:val="21"/>
                <w:szCs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center"/>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25</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上海证券交易所网站</w:t>
            </w:r>
          </w:p>
          <w:p>
            <w:pPr>
              <w:pStyle w:val="TableParagraph"/>
              <w:spacing w:line="273" w:lineRule="exact"/>
              <w:ind w:left="106" w:right="0"/>
              <w:jc w:val="center"/>
              <w:rPr>
                <w:rFonts w:ascii="宋体" w:hAnsi="宋体" w:cs="宋体" w:eastAsia="宋体" w:hint="default"/>
                <w:sz w:val="21"/>
                <w:szCs w:val="21"/>
              </w:rPr>
            </w:pPr>
            <w:hyperlink r:id="rId16">
              <w:r>
                <w:rPr>
                  <w:rFonts w:ascii="宋体"/>
                  <w:sz w:val="21"/>
                </w:rPr>
                <w:t>www.sse.com.cn</w:t>
              </w:r>
            </w:hyperlink>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0"/>
              <w:jc w:val="center"/>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26</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r>
      <w:tr>
        <w:trPr>
          <w:trHeight w:val="557" w:hRule="exact"/>
        </w:trPr>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5"/>
                <w:sz w:val="21"/>
                <w:szCs w:val="21"/>
              </w:rPr>
              <w:t> </w:t>
            </w:r>
            <w:r>
              <w:rPr>
                <w:rFonts w:ascii="宋体" w:hAnsi="宋体" w:cs="宋体" w:eastAsia="宋体" w:hint="default"/>
                <w:sz w:val="21"/>
                <w:szCs w:val="21"/>
              </w:rPr>
              <w:t>年第四次临时股</w:t>
            </w:r>
          </w:p>
          <w:p>
            <w:pPr>
              <w:pStyle w:val="TableParagraph"/>
              <w:spacing w:line="273" w:lineRule="exact"/>
              <w:ind w:left="100" w:right="0"/>
              <w:jc w:val="center"/>
              <w:rPr>
                <w:rFonts w:ascii="宋体" w:hAnsi="宋体" w:cs="宋体" w:eastAsia="宋体" w:hint="default"/>
                <w:sz w:val="21"/>
                <w:szCs w:val="21"/>
              </w:rPr>
            </w:pPr>
            <w:r>
              <w:rPr>
                <w:rFonts w:ascii="宋体" w:hAnsi="宋体" w:cs="宋体" w:eastAsia="宋体" w:hint="default"/>
                <w:sz w:val="21"/>
                <w:szCs w:val="21"/>
              </w:rPr>
              <w:t>东大会</w:t>
            </w:r>
            <w:r>
              <w:rPr>
                <w:rFonts w:ascii="宋体" w:hAnsi="宋体" w:cs="宋体" w:eastAsia="宋体" w:hint="default"/>
                <w:sz w:val="21"/>
                <w:szCs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center"/>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上海证券交易所网站</w:t>
            </w:r>
          </w:p>
          <w:p>
            <w:pPr>
              <w:pStyle w:val="TableParagraph"/>
              <w:spacing w:line="273" w:lineRule="exact"/>
              <w:ind w:left="106" w:right="0"/>
              <w:jc w:val="center"/>
              <w:rPr>
                <w:rFonts w:ascii="宋体" w:hAnsi="宋体" w:cs="宋体" w:eastAsia="宋体" w:hint="default"/>
                <w:sz w:val="21"/>
                <w:szCs w:val="21"/>
              </w:rPr>
            </w:pPr>
            <w:hyperlink r:id="rId16">
              <w:r>
                <w:rPr>
                  <w:rFonts w:ascii="宋体"/>
                  <w:sz w:val="21"/>
                </w:rPr>
                <w:t>www.sse.com.cn</w:t>
              </w:r>
            </w:hyperlink>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0"/>
              <w:jc w:val="center"/>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r>
    </w:tbl>
    <w:p>
      <w:pPr>
        <w:pStyle w:val="Heading2"/>
        <w:spacing w:line="274" w:lineRule="exact"/>
        <w:ind w:right="0"/>
        <w:jc w:val="left"/>
        <w:rPr>
          <w:rFonts w:ascii="宋体" w:hAnsi="宋体" w:cs="宋体" w:eastAsia="宋体" w:hint="default"/>
        </w:rPr>
      </w:pPr>
      <w:r>
        <w:rPr>
          <w:rFonts w:ascii="宋体"/>
        </w:rPr>
        <w:t> </w:t>
      </w:r>
    </w:p>
    <w:p>
      <w:pPr>
        <w:pStyle w:val="BodyText"/>
        <w:spacing w:line="274" w:lineRule="exact" w:before="1"/>
        <w:ind w:right="0"/>
        <w:jc w:val="left"/>
        <w:rPr>
          <w:rFonts w:ascii="宋体" w:hAnsi="宋体" w:cs="宋体" w:eastAsia="宋体" w:hint="default"/>
        </w:rPr>
      </w:pPr>
      <w:r>
        <w:rPr/>
        <w:t>股东大会情况说明</w:t>
      </w:r>
      <w:r>
        <w:rPr>
          <w:rFonts w:ascii="宋体" w:hAnsi="宋体" w:cs="宋体" w:eastAsia="宋体" w:hint="default"/>
        </w:rPr>
        <w:t> </w:t>
      </w:r>
    </w:p>
    <w:p>
      <w:pPr>
        <w:pStyle w:val="BodyText"/>
        <w:spacing w:line="272"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right="0"/>
        <w:jc w:val="left"/>
        <w:rPr>
          <w:rFonts w:ascii="宋体" w:hAnsi="宋体" w:cs="宋体" w:eastAsia="宋体" w:hint="default"/>
        </w:rPr>
      </w:pPr>
      <w:r>
        <w:rPr>
          <w:rFonts w:ascii="宋体"/>
          <w:w w:val="100"/>
        </w:rPr>
        <w:t> </w:t>
      </w:r>
    </w:p>
    <w:p>
      <w:pPr>
        <w:pStyle w:val="Heading3"/>
        <w:spacing w:line="240" w:lineRule="auto" w:before="58"/>
        <w:ind w:right="0"/>
        <w:jc w:val="left"/>
        <w:rPr>
          <w:b w:val="0"/>
          <w:bCs w:val="0"/>
        </w:rPr>
      </w:pPr>
      <w:r>
        <w:rPr/>
        <w:t>三、</w:t>
      </w:r>
      <w:r>
        <w:rPr>
          <w:spacing w:val="-102"/>
        </w:rPr>
        <w:t> </w:t>
      </w:r>
      <w:r>
        <w:rPr>
          <w:rFonts w:ascii="宋体" w:hAnsi="宋体" w:cs="宋体" w:eastAsia="宋体" w:hint="default"/>
          <w:spacing w:val="-102"/>
        </w:rPr>
      </w:r>
      <w:r>
        <w:rPr/>
        <w:t>董事履行职责情况</w:t>
      </w:r>
      <w:r>
        <w:rPr>
          <w:b w:val="0"/>
          <w:bCs w:val="0"/>
        </w:rPr>
      </w:r>
    </w:p>
    <w:p>
      <w:pPr>
        <w:pStyle w:val="Heading3"/>
        <w:spacing w:line="240" w:lineRule="auto" w:before="56"/>
        <w:ind w:right="0"/>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4"/>
        </w:rPr>
        <w:t> </w:t>
      </w:r>
      <w:r>
        <w:rPr/>
        <w:t>董事参加董事会和股东大会的情况</w:t>
      </w:r>
      <w:r>
        <w:rPr>
          <w:b w:val="0"/>
          <w:bCs w:val="0"/>
        </w:rPr>
      </w:r>
    </w:p>
    <w:p>
      <w:pPr>
        <w:spacing w:line="240" w:lineRule="auto" w:before="1"/>
        <w:rPr>
          <w:rFonts w:ascii="宋体" w:hAnsi="宋体" w:cs="宋体" w:eastAsia="宋体" w:hint="default"/>
          <w:b/>
          <w:bCs/>
          <w:sz w:val="5"/>
          <w:szCs w:val="5"/>
        </w:rPr>
      </w:pPr>
    </w:p>
    <w:tbl>
      <w:tblPr>
        <w:tblW w:w="0" w:type="auto"/>
        <w:jc w:val="left"/>
        <w:tblInd w:w="105" w:type="dxa"/>
        <w:tblLayout w:type="fixed"/>
        <w:tblCellMar>
          <w:top w:w="0" w:type="dxa"/>
          <w:left w:w="0" w:type="dxa"/>
          <w:bottom w:w="0" w:type="dxa"/>
          <w:right w:w="0" w:type="dxa"/>
        </w:tblCellMar>
        <w:tblLook w:val="01E0"/>
      </w:tblPr>
      <w:tblGrid>
        <w:gridCol w:w="979"/>
        <w:gridCol w:w="847"/>
        <w:gridCol w:w="1100"/>
        <w:gridCol w:w="852"/>
        <w:gridCol w:w="970"/>
        <w:gridCol w:w="905"/>
        <w:gridCol w:w="845"/>
        <w:gridCol w:w="1292"/>
        <w:gridCol w:w="1260"/>
      </w:tblGrid>
      <w:tr>
        <w:trPr>
          <w:trHeight w:val="571" w:hRule="exact"/>
        </w:trPr>
        <w:tc>
          <w:tcPr>
            <w:tcW w:w="97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72" w:lineRule="exact" w:before="154"/>
              <w:ind w:left="273" w:right="168"/>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w w:val="100"/>
                <w:sz w:val="21"/>
                <w:szCs w:val="21"/>
              </w:rPr>
              <w:t> </w:t>
            </w:r>
            <w:r>
              <w:rPr>
                <w:rFonts w:ascii="宋体" w:hAnsi="宋体" w:cs="宋体" w:eastAsia="宋体" w:hint="default"/>
                <w:sz w:val="21"/>
                <w:szCs w:val="21"/>
              </w:rPr>
              <w:t>姓名</w:t>
            </w:r>
            <w:r>
              <w:rPr>
                <w:rFonts w:ascii="宋体" w:hAnsi="宋体" w:cs="宋体" w:eastAsia="宋体" w:hint="default"/>
                <w:sz w:val="21"/>
                <w:szCs w:val="21"/>
              </w:rPr>
              <w:t> </w:t>
            </w:r>
          </w:p>
        </w:tc>
        <w:tc>
          <w:tcPr>
            <w:tcW w:w="84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72" w:lineRule="exact" w:before="154"/>
              <w:ind w:left="103" w:right="-3"/>
              <w:jc w:val="left"/>
              <w:rPr>
                <w:rFonts w:ascii="宋体" w:hAnsi="宋体" w:cs="宋体" w:eastAsia="宋体" w:hint="default"/>
                <w:sz w:val="21"/>
                <w:szCs w:val="21"/>
              </w:rPr>
            </w:pPr>
            <w:r>
              <w:rPr>
                <w:rFonts w:ascii="宋体" w:hAnsi="宋体" w:cs="宋体" w:eastAsia="宋体" w:hint="default"/>
                <w:sz w:val="21"/>
                <w:szCs w:val="21"/>
              </w:rPr>
              <w:t>是否独</w:t>
            </w:r>
            <w:r>
              <w:rPr>
                <w:rFonts w:ascii="宋体" w:hAnsi="宋体" w:cs="宋体" w:eastAsia="宋体" w:hint="default"/>
                <w:spacing w:val="-102"/>
                <w:sz w:val="21"/>
                <w:szCs w:val="21"/>
              </w:rPr>
              <w:t> </w:t>
            </w:r>
            <w:r>
              <w:rPr>
                <w:rFonts w:ascii="宋体" w:hAnsi="宋体" w:cs="宋体" w:eastAsia="宋体" w:hint="default"/>
                <w:sz w:val="21"/>
                <w:szCs w:val="21"/>
              </w:rPr>
              <w:t>立董事</w:t>
            </w:r>
            <w:r>
              <w:rPr>
                <w:rFonts w:ascii="宋体" w:hAnsi="宋体" w:cs="宋体" w:eastAsia="宋体" w:hint="default"/>
                <w:sz w:val="21"/>
                <w:szCs w:val="21"/>
              </w:rPr>
              <w:t> </w:t>
            </w:r>
          </w:p>
        </w:tc>
        <w:tc>
          <w:tcPr>
            <w:tcW w:w="5963"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103" w:right="0"/>
              <w:jc w:val="center"/>
              <w:rPr>
                <w:rFonts w:ascii="宋体" w:hAnsi="宋体" w:cs="宋体" w:eastAsia="宋体" w:hint="default"/>
                <w:sz w:val="21"/>
                <w:szCs w:val="21"/>
              </w:rPr>
            </w:pPr>
            <w:r>
              <w:rPr>
                <w:rFonts w:ascii="宋体" w:hAnsi="宋体" w:cs="宋体" w:eastAsia="宋体" w:hint="default"/>
                <w:sz w:val="21"/>
                <w:szCs w:val="21"/>
              </w:rPr>
              <w:t>参加董事会情况</w:t>
            </w:r>
            <w:r>
              <w:rPr>
                <w:rFonts w:ascii="宋体" w:hAnsi="宋体" w:cs="宋体" w:eastAsia="宋体" w:hint="default"/>
                <w:sz w:val="21"/>
                <w:szCs w:val="21"/>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203" w:right="0"/>
              <w:jc w:val="left"/>
              <w:rPr>
                <w:rFonts w:ascii="宋体" w:hAnsi="宋体" w:cs="宋体" w:eastAsia="宋体" w:hint="default"/>
                <w:sz w:val="21"/>
                <w:szCs w:val="21"/>
              </w:rPr>
            </w:pPr>
            <w:r>
              <w:rPr>
                <w:rFonts w:ascii="宋体" w:hAnsi="宋体" w:cs="宋体" w:eastAsia="宋体" w:hint="default"/>
                <w:sz w:val="21"/>
                <w:szCs w:val="21"/>
              </w:rPr>
              <w:t>参加股东</w:t>
            </w:r>
          </w:p>
          <w:p>
            <w:pPr>
              <w:pStyle w:val="TableParagraph"/>
              <w:spacing w:line="274" w:lineRule="exact"/>
              <w:ind w:left="203" w:right="0"/>
              <w:jc w:val="left"/>
              <w:rPr>
                <w:rFonts w:ascii="宋体" w:hAnsi="宋体" w:cs="宋体" w:eastAsia="宋体" w:hint="default"/>
                <w:sz w:val="21"/>
                <w:szCs w:val="21"/>
              </w:rPr>
            </w:pPr>
            <w:r>
              <w:rPr>
                <w:rFonts w:ascii="宋体" w:hAnsi="宋体" w:cs="宋体" w:eastAsia="宋体" w:hint="default"/>
                <w:sz w:val="21"/>
                <w:szCs w:val="21"/>
              </w:rPr>
              <w:t>大会情况</w:t>
            </w:r>
            <w:r>
              <w:rPr>
                <w:rFonts w:ascii="宋体" w:hAnsi="宋体" w:cs="宋体" w:eastAsia="宋体" w:hint="default"/>
                <w:sz w:val="21"/>
                <w:szCs w:val="21"/>
              </w:rPr>
              <w:t> </w:t>
            </w:r>
          </w:p>
        </w:tc>
      </w:tr>
      <w:tr>
        <w:trPr>
          <w:trHeight w:val="826" w:hRule="exact"/>
        </w:trPr>
        <w:tc>
          <w:tcPr>
            <w:tcW w:w="979" w:type="dxa"/>
            <w:vMerge/>
            <w:tcBorders>
              <w:left w:val="single" w:sz="4" w:space="0" w:color="000000"/>
              <w:bottom w:val="single" w:sz="4" w:space="0" w:color="000000"/>
              <w:right w:val="single" w:sz="4" w:space="0" w:color="000000"/>
            </w:tcBorders>
          </w:tcPr>
          <w:p>
            <w:pPr/>
          </w:p>
        </w:tc>
        <w:tc>
          <w:tcPr>
            <w:tcW w:w="847" w:type="dxa"/>
            <w:vMerge/>
            <w:tcBorders>
              <w:left w:val="single" w:sz="4" w:space="0" w:color="000000"/>
              <w:bottom w:val="single" w:sz="4" w:space="0" w:color="000000"/>
              <w:right w:val="single" w:sz="4" w:space="0" w:color="000000"/>
            </w:tcBorders>
          </w:tcPr>
          <w:p>
            <w:pP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24" w:right="0"/>
              <w:jc w:val="left"/>
              <w:rPr>
                <w:rFonts w:ascii="宋体" w:hAnsi="宋体" w:cs="宋体" w:eastAsia="宋体" w:hint="default"/>
                <w:sz w:val="21"/>
                <w:szCs w:val="21"/>
              </w:rPr>
            </w:pPr>
            <w:r>
              <w:rPr>
                <w:rFonts w:ascii="宋体" w:hAnsi="宋体" w:cs="宋体" w:eastAsia="宋体" w:hint="default"/>
                <w:sz w:val="21"/>
                <w:szCs w:val="21"/>
              </w:rPr>
              <w:t>本年应参</w:t>
            </w:r>
          </w:p>
          <w:p>
            <w:pPr>
              <w:pStyle w:val="TableParagraph"/>
              <w:spacing w:line="240" w:lineRule="auto"/>
              <w:ind w:left="333" w:right="120" w:hanging="209"/>
              <w:jc w:val="left"/>
              <w:rPr>
                <w:rFonts w:ascii="宋体" w:hAnsi="宋体" w:cs="宋体" w:eastAsia="宋体" w:hint="default"/>
                <w:sz w:val="21"/>
                <w:szCs w:val="21"/>
              </w:rPr>
            </w:pPr>
            <w:r>
              <w:rPr>
                <w:rFonts w:ascii="宋体" w:hAnsi="宋体" w:cs="宋体" w:eastAsia="宋体" w:hint="default"/>
                <w:sz w:val="21"/>
                <w:szCs w:val="21"/>
              </w:rPr>
              <w:t>加董事会</w:t>
            </w:r>
            <w:r>
              <w:rPr>
                <w:rFonts w:ascii="宋体" w:hAnsi="宋体" w:cs="宋体" w:eastAsia="宋体" w:hint="default"/>
                <w:w w:val="100"/>
                <w:sz w:val="21"/>
                <w:szCs w:val="21"/>
              </w:rPr>
              <w:t> </w:t>
            </w:r>
            <w:r>
              <w:rPr>
                <w:rFonts w:ascii="宋体" w:hAnsi="宋体" w:cs="宋体" w:eastAsia="宋体" w:hint="default"/>
                <w:sz w:val="21"/>
                <w:szCs w:val="21"/>
              </w:rPr>
              <w:t>次数</w:t>
            </w:r>
            <w:r>
              <w:rPr>
                <w:rFonts w:ascii="宋体" w:hAnsi="宋体" w:cs="宋体" w:eastAsia="宋体" w:hint="default"/>
                <w:sz w:val="21"/>
                <w:szCs w:val="21"/>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05" w:right="-1"/>
              <w:jc w:val="left"/>
              <w:rPr>
                <w:rFonts w:ascii="宋体" w:hAnsi="宋体" w:cs="宋体" w:eastAsia="宋体" w:hint="default"/>
                <w:sz w:val="21"/>
                <w:szCs w:val="21"/>
              </w:rPr>
            </w:pPr>
            <w:r>
              <w:rPr>
                <w:rFonts w:ascii="宋体" w:hAnsi="宋体" w:cs="宋体" w:eastAsia="宋体" w:hint="default"/>
                <w:sz w:val="21"/>
                <w:szCs w:val="21"/>
              </w:rPr>
              <w:t>亲自出</w:t>
            </w:r>
            <w:r>
              <w:rPr>
                <w:rFonts w:ascii="宋体" w:hAnsi="宋体" w:cs="宋体" w:eastAsia="宋体" w:hint="default"/>
                <w:spacing w:val="-102"/>
                <w:sz w:val="21"/>
                <w:szCs w:val="21"/>
              </w:rPr>
              <w:t> </w:t>
            </w:r>
            <w:r>
              <w:rPr>
                <w:rFonts w:ascii="宋体" w:hAnsi="宋体" w:cs="宋体" w:eastAsia="宋体" w:hint="default"/>
                <w:sz w:val="21"/>
                <w:szCs w:val="21"/>
              </w:rPr>
              <w:t>席次数</w:t>
            </w:r>
            <w:r>
              <w:rPr>
                <w:rFonts w:ascii="宋体" w:hAnsi="宋体" w:cs="宋体" w:eastAsia="宋体" w:hint="default"/>
                <w:sz w:val="21"/>
                <w:szCs w:val="21"/>
              </w:rPr>
              <w:t> </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63" w:right="0"/>
              <w:jc w:val="left"/>
              <w:rPr>
                <w:rFonts w:ascii="宋体" w:hAnsi="宋体" w:cs="宋体" w:eastAsia="宋体" w:hint="default"/>
                <w:sz w:val="21"/>
                <w:szCs w:val="21"/>
              </w:rPr>
            </w:pPr>
            <w:r>
              <w:rPr>
                <w:rFonts w:ascii="宋体" w:hAnsi="宋体" w:cs="宋体" w:eastAsia="宋体" w:hint="default"/>
                <w:sz w:val="21"/>
                <w:szCs w:val="21"/>
              </w:rPr>
              <w:t>以通讯</w:t>
            </w:r>
          </w:p>
          <w:p>
            <w:pPr>
              <w:pStyle w:val="TableParagraph"/>
              <w:spacing w:line="240" w:lineRule="auto"/>
              <w:ind w:left="163" w:right="59"/>
              <w:jc w:val="left"/>
              <w:rPr>
                <w:rFonts w:ascii="宋体" w:hAnsi="宋体" w:cs="宋体" w:eastAsia="宋体" w:hint="default"/>
                <w:sz w:val="21"/>
                <w:szCs w:val="21"/>
              </w:rPr>
            </w:pPr>
            <w:r>
              <w:rPr>
                <w:rFonts w:ascii="宋体" w:hAnsi="宋体" w:cs="宋体" w:eastAsia="宋体" w:hint="default"/>
                <w:sz w:val="21"/>
                <w:szCs w:val="21"/>
              </w:rPr>
              <w:t>方式参</w:t>
            </w:r>
            <w:r>
              <w:rPr>
                <w:rFonts w:ascii="宋体" w:hAnsi="宋体" w:cs="宋体" w:eastAsia="宋体" w:hint="default"/>
                <w:spacing w:val="-102"/>
                <w:sz w:val="21"/>
                <w:szCs w:val="21"/>
              </w:rPr>
              <w:t> </w:t>
            </w:r>
            <w:r>
              <w:rPr>
                <w:rFonts w:ascii="宋体" w:hAnsi="宋体" w:cs="宋体" w:eastAsia="宋体" w:hint="default"/>
                <w:sz w:val="21"/>
                <w:szCs w:val="21"/>
              </w:rPr>
              <w:t>加次数</w:t>
            </w:r>
            <w:r>
              <w:rPr>
                <w:rFonts w:ascii="宋体" w:hAnsi="宋体" w:cs="宋体" w:eastAsia="宋体" w:hint="default"/>
                <w:sz w:val="21"/>
                <w:szCs w:val="21"/>
              </w:rPr>
              <w:t> </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30" w:right="26"/>
              <w:jc w:val="left"/>
              <w:rPr>
                <w:rFonts w:ascii="宋体" w:hAnsi="宋体" w:cs="宋体" w:eastAsia="宋体" w:hint="default"/>
                <w:sz w:val="21"/>
                <w:szCs w:val="21"/>
              </w:rPr>
            </w:pPr>
            <w:r>
              <w:rPr>
                <w:rFonts w:ascii="宋体" w:hAnsi="宋体" w:cs="宋体" w:eastAsia="宋体" w:hint="default"/>
                <w:sz w:val="21"/>
                <w:szCs w:val="21"/>
              </w:rPr>
              <w:t>委托出</w:t>
            </w:r>
            <w:r>
              <w:rPr>
                <w:rFonts w:ascii="宋体" w:hAnsi="宋体" w:cs="宋体" w:eastAsia="宋体" w:hint="default"/>
                <w:spacing w:val="-102"/>
                <w:sz w:val="21"/>
                <w:szCs w:val="21"/>
              </w:rPr>
              <w:t> </w:t>
            </w:r>
            <w:r>
              <w:rPr>
                <w:rFonts w:ascii="宋体" w:hAnsi="宋体" w:cs="宋体" w:eastAsia="宋体" w:hint="default"/>
                <w:sz w:val="21"/>
                <w:szCs w:val="21"/>
              </w:rPr>
              <w:t>席次数</w:t>
            </w:r>
            <w:r>
              <w:rPr>
                <w:rFonts w:ascii="宋体" w:hAnsi="宋体" w:cs="宋体" w:eastAsia="宋体" w:hint="default"/>
                <w:sz w:val="21"/>
                <w:szCs w:val="21"/>
              </w:rPr>
              <w:t>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204" w:right="103"/>
              <w:jc w:val="left"/>
              <w:rPr>
                <w:rFonts w:ascii="宋体" w:hAnsi="宋体" w:cs="宋体" w:eastAsia="宋体" w:hint="default"/>
                <w:sz w:val="21"/>
                <w:szCs w:val="21"/>
              </w:rPr>
            </w:pPr>
            <w:r>
              <w:rPr>
                <w:rFonts w:ascii="宋体" w:hAnsi="宋体" w:cs="宋体" w:eastAsia="宋体" w:hint="default"/>
                <w:sz w:val="21"/>
                <w:szCs w:val="21"/>
              </w:rPr>
              <w:t>缺席</w:t>
            </w:r>
            <w:r>
              <w:rPr>
                <w:rFonts w:ascii="宋体" w:hAnsi="宋体" w:cs="宋体" w:eastAsia="宋体" w:hint="default"/>
                <w:w w:val="100"/>
                <w:sz w:val="21"/>
                <w:szCs w:val="21"/>
              </w:rPr>
              <w:t> </w:t>
            </w:r>
            <w:r>
              <w:rPr>
                <w:rFonts w:ascii="宋体" w:hAnsi="宋体" w:cs="宋体" w:eastAsia="宋体" w:hint="default"/>
                <w:sz w:val="21"/>
                <w:szCs w:val="21"/>
              </w:rPr>
              <w:t>次数</w:t>
            </w:r>
            <w:r>
              <w:rPr>
                <w:rFonts w:ascii="宋体" w:hAnsi="宋体" w:cs="宋体" w:eastAsia="宋体" w:hint="default"/>
                <w:sz w:val="21"/>
                <w:szCs w:val="21"/>
              </w:rPr>
              <w:t> </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2" w:right="0"/>
              <w:jc w:val="left"/>
              <w:rPr>
                <w:rFonts w:ascii="宋体" w:hAnsi="宋体" w:cs="宋体" w:eastAsia="宋体" w:hint="default"/>
                <w:sz w:val="21"/>
                <w:szCs w:val="21"/>
              </w:rPr>
            </w:pPr>
            <w:r>
              <w:rPr>
                <w:rFonts w:ascii="宋体" w:hAnsi="宋体" w:cs="宋体" w:eastAsia="宋体" w:hint="default"/>
                <w:sz w:val="21"/>
                <w:szCs w:val="21"/>
              </w:rPr>
              <w:t>是否连续两</w:t>
            </w:r>
          </w:p>
          <w:p>
            <w:pPr>
              <w:pStyle w:val="TableParagraph"/>
              <w:spacing w:line="240" w:lineRule="auto"/>
              <w:ind w:left="321" w:right="113" w:hanging="209"/>
              <w:jc w:val="left"/>
              <w:rPr>
                <w:rFonts w:ascii="宋体" w:hAnsi="宋体" w:cs="宋体" w:eastAsia="宋体" w:hint="default"/>
                <w:sz w:val="21"/>
                <w:szCs w:val="21"/>
              </w:rPr>
            </w:pPr>
            <w:r>
              <w:rPr>
                <w:rFonts w:ascii="宋体" w:hAnsi="宋体" w:cs="宋体" w:eastAsia="宋体" w:hint="default"/>
                <w:sz w:val="21"/>
                <w:szCs w:val="21"/>
              </w:rPr>
              <w:t>次未亲自参</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加会议</w:t>
            </w:r>
            <w:r>
              <w:rPr>
                <w:rFonts w:ascii="宋体" w:hAnsi="宋体" w:cs="宋体" w:eastAsia="宋体" w:hint="default"/>
                <w:sz w:val="21"/>
                <w:szCs w:val="21"/>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03" w:right="0"/>
              <w:jc w:val="left"/>
              <w:rPr>
                <w:rFonts w:ascii="宋体" w:hAnsi="宋体" w:cs="宋体" w:eastAsia="宋体" w:hint="default"/>
                <w:sz w:val="21"/>
                <w:szCs w:val="21"/>
              </w:rPr>
            </w:pPr>
            <w:r>
              <w:rPr>
                <w:rFonts w:ascii="宋体" w:hAnsi="宋体" w:cs="宋体" w:eastAsia="宋体" w:hint="default"/>
                <w:sz w:val="21"/>
                <w:szCs w:val="21"/>
              </w:rPr>
              <w:t>出席股东</w:t>
            </w:r>
          </w:p>
          <w:p>
            <w:pPr>
              <w:pStyle w:val="TableParagraph"/>
              <w:spacing w:line="240" w:lineRule="auto"/>
              <w:ind w:left="518" w:right="201" w:hanging="315"/>
              <w:jc w:val="left"/>
              <w:rPr>
                <w:rFonts w:ascii="宋体" w:hAnsi="宋体" w:cs="宋体" w:eastAsia="宋体" w:hint="default"/>
                <w:sz w:val="21"/>
                <w:szCs w:val="21"/>
              </w:rPr>
            </w:pPr>
            <w:r>
              <w:rPr>
                <w:rFonts w:ascii="宋体" w:hAnsi="宋体" w:cs="宋体" w:eastAsia="宋体" w:hint="default"/>
                <w:sz w:val="21"/>
                <w:szCs w:val="21"/>
              </w:rPr>
              <w:t>大会的次</w:t>
            </w:r>
            <w:r>
              <w:rPr>
                <w:rFonts w:ascii="宋体" w:hAnsi="宋体" w:cs="宋体" w:eastAsia="宋体" w:hint="default"/>
                <w:w w:val="100"/>
                <w:sz w:val="21"/>
                <w:szCs w:val="21"/>
              </w:rPr>
              <w:t> </w:t>
            </w:r>
            <w:r>
              <w:rPr>
                <w:rFonts w:ascii="宋体" w:hAnsi="宋体" w:cs="宋体" w:eastAsia="宋体" w:hint="default"/>
                <w:sz w:val="21"/>
                <w:szCs w:val="21"/>
              </w:rPr>
              <w:t>数</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283"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hAnsi="宋体" w:cs="宋体" w:eastAsia="宋体" w:hint="default"/>
                <w:sz w:val="21"/>
                <w:szCs w:val="21"/>
              </w:rPr>
              <w:t>陆永华</w:t>
            </w:r>
            <w:r>
              <w:rPr>
                <w:rFonts w:ascii="宋体" w:hAnsi="宋体" w:cs="宋体" w:eastAsia="宋体" w:hint="default"/>
                <w:sz w:val="21"/>
                <w:szCs w:val="21"/>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06"/>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84"/>
              <w:jc w:val="right"/>
              <w:rPr>
                <w:rFonts w:ascii="宋体" w:hAnsi="宋体" w:cs="宋体" w:eastAsia="宋体" w:hint="default"/>
                <w:sz w:val="21"/>
                <w:szCs w:val="21"/>
              </w:rPr>
            </w:pPr>
            <w:r>
              <w:rPr>
                <w:rFonts w:ascii="宋体"/>
                <w:sz w:val="21"/>
              </w:rPr>
              <w:t>9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63"/>
              <w:jc w:val="right"/>
              <w:rPr>
                <w:rFonts w:ascii="宋体" w:hAnsi="宋体" w:cs="宋体" w:eastAsia="宋体" w:hint="default"/>
                <w:sz w:val="21"/>
                <w:szCs w:val="21"/>
              </w:rPr>
            </w:pPr>
            <w:r>
              <w:rPr>
                <w:rFonts w:ascii="宋体"/>
                <w:sz w:val="21"/>
              </w:rPr>
              <w:t>9 </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74"/>
              <w:jc w:val="right"/>
              <w:rPr>
                <w:rFonts w:ascii="宋体" w:hAnsi="宋体" w:cs="宋体" w:eastAsia="宋体" w:hint="default"/>
                <w:sz w:val="21"/>
                <w:szCs w:val="21"/>
              </w:rPr>
            </w:pPr>
            <w:r>
              <w:rPr>
                <w:rFonts w:ascii="宋体"/>
                <w:w w:val="100"/>
                <w:sz w:val="21"/>
              </w:rPr>
              <w:t> </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43"/>
              <w:jc w:val="right"/>
              <w:rPr>
                <w:rFonts w:ascii="宋体" w:hAnsi="宋体" w:cs="宋体" w:eastAsia="宋体" w:hint="default"/>
                <w:sz w:val="21"/>
                <w:szCs w:val="21"/>
              </w:rPr>
            </w:pPr>
            <w:r>
              <w:rPr>
                <w:rFonts w:ascii="宋体"/>
                <w:w w:val="100"/>
                <w:sz w:val="21"/>
              </w:rPr>
              <w:t>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12"/>
              <w:jc w:val="right"/>
              <w:rPr>
                <w:rFonts w:ascii="宋体" w:hAnsi="宋体" w:cs="宋体" w:eastAsia="宋体" w:hint="default"/>
                <w:sz w:val="21"/>
                <w:szCs w:val="21"/>
              </w:rPr>
            </w:pPr>
            <w:r>
              <w:rPr>
                <w:rFonts w:ascii="宋体"/>
                <w:w w:val="100"/>
                <w:sz w:val="21"/>
              </w:rPr>
              <w:t> </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430"/>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467"/>
              <w:jc w:val="right"/>
              <w:rPr>
                <w:rFonts w:ascii="宋体" w:hAnsi="宋体" w:cs="宋体" w:eastAsia="宋体" w:hint="default"/>
                <w:sz w:val="21"/>
                <w:szCs w:val="21"/>
              </w:rPr>
            </w:pPr>
            <w:r>
              <w:rPr>
                <w:rFonts w:ascii="宋体"/>
                <w:sz w:val="21"/>
              </w:rPr>
              <w:t>5 </w:t>
            </w:r>
          </w:p>
        </w:tc>
      </w:tr>
      <w:tr>
        <w:trPr>
          <w:trHeight w:val="284"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沈凯平</w:t>
            </w:r>
            <w:r>
              <w:rPr>
                <w:rFonts w:ascii="宋体" w:hAnsi="宋体" w:cs="宋体" w:eastAsia="宋体" w:hint="default"/>
                <w:sz w:val="21"/>
                <w:szCs w:val="21"/>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6"/>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84"/>
              <w:jc w:val="right"/>
              <w:rPr>
                <w:rFonts w:ascii="宋体" w:hAnsi="宋体" w:cs="宋体" w:eastAsia="宋体" w:hint="default"/>
                <w:sz w:val="21"/>
                <w:szCs w:val="21"/>
              </w:rPr>
            </w:pPr>
            <w:r>
              <w:rPr>
                <w:rFonts w:ascii="宋体"/>
                <w:sz w:val="21"/>
              </w:rPr>
              <w:t>9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3"/>
              <w:jc w:val="right"/>
              <w:rPr>
                <w:rFonts w:ascii="宋体" w:hAnsi="宋体" w:cs="宋体" w:eastAsia="宋体" w:hint="default"/>
                <w:sz w:val="21"/>
                <w:szCs w:val="21"/>
              </w:rPr>
            </w:pPr>
            <w:r>
              <w:rPr>
                <w:rFonts w:ascii="宋体"/>
                <w:sz w:val="21"/>
              </w:rPr>
              <w:t>9 </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74"/>
              <w:jc w:val="right"/>
              <w:rPr>
                <w:rFonts w:ascii="宋体" w:hAnsi="宋体" w:cs="宋体" w:eastAsia="宋体" w:hint="default"/>
                <w:sz w:val="21"/>
                <w:szCs w:val="21"/>
              </w:rPr>
            </w:pPr>
            <w:r>
              <w:rPr>
                <w:rFonts w:ascii="宋体"/>
                <w:w w:val="100"/>
                <w:sz w:val="21"/>
              </w:rPr>
              <w:t> </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43"/>
              <w:jc w:val="right"/>
              <w:rPr>
                <w:rFonts w:ascii="宋体" w:hAnsi="宋体" w:cs="宋体" w:eastAsia="宋体" w:hint="default"/>
                <w:sz w:val="21"/>
                <w:szCs w:val="21"/>
              </w:rPr>
            </w:pPr>
            <w:r>
              <w:rPr>
                <w:rFonts w:ascii="宋体"/>
                <w:w w:val="100"/>
                <w:sz w:val="21"/>
              </w:rPr>
              <w:t>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12"/>
              <w:jc w:val="right"/>
              <w:rPr>
                <w:rFonts w:ascii="宋体" w:hAnsi="宋体" w:cs="宋体" w:eastAsia="宋体" w:hint="default"/>
                <w:sz w:val="21"/>
                <w:szCs w:val="21"/>
              </w:rPr>
            </w:pPr>
            <w:r>
              <w:rPr>
                <w:rFonts w:ascii="宋体"/>
                <w:w w:val="100"/>
                <w:sz w:val="21"/>
              </w:rPr>
              <w:t> </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30"/>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67"/>
              <w:jc w:val="right"/>
              <w:rPr>
                <w:rFonts w:ascii="宋体" w:hAnsi="宋体" w:cs="宋体" w:eastAsia="宋体" w:hint="default"/>
                <w:sz w:val="21"/>
                <w:szCs w:val="21"/>
              </w:rPr>
            </w:pPr>
            <w:r>
              <w:rPr>
                <w:rFonts w:ascii="宋体"/>
                <w:sz w:val="21"/>
              </w:rPr>
              <w:t>5 </w:t>
            </w:r>
          </w:p>
        </w:tc>
      </w:tr>
      <w:tr>
        <w:trPr>
          <w:trHeight w:val="281"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陆永新</w:t>
            </w:r>
            <w:r>
              <w:rPr>
                <w:rFonts w:ascii="宋体" w:hAnsi="宋体" w:cs="宋体" w:eastAsia="宋体" w:hint="default"/>
                <w:sz w:val="21"/>
                <w:szCs w:val="21"/>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6"/>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84"/>
              <w:jc w:val="right"/>
              <w:rPr>
                <w:rFonts w:ascii="宋体" w:hAnsi="宋体" w:cs="宋体" w:eastAsia="宋体" w:hint="default"/>
                <w:sz w:val="21"/>
                <w:szCs w:val="21"/>
              </w:rPr>
            </w:pPr>
            <w:r>
              <w:rPr>
                <w:rFonts w:ascii="宋体"/>
                <w:sz w:val="21"/>
              </w:rPr>
              <w:t>9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3"/>
              <w:jc w:val="right"/>
              <w:rPr>
                <w:rFonts w:ascii="宋体" w:hAnsi="宋体" w:cs="宋体" w:eastAsia="宋体" w:hint="default"/>
                <w:sz w:val="21"/>
                <w:szCs w:val="21"/>
              </w:rPr>
            </w:pPr>
            <w:r>
              <w:rPr>
                <w:rFonts w:ascii="宋体"/>
                <w:sz w:val="21"/>
              </w:rPr>
              <w:t>9 </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74"/>
              <w:jc w:val="right"/>
              <w:rPr>
                <w:rFonts w:ascii="宋体" w:hAnsi="宋体" w:cs="宋体" w:eastAsia="宋体" w:hint="default"/>
                <w:sz w:val="21"/>
                <w:szCs w:val="21"/>
              </w:rPr>
            </w:pPr>
            <w:r>
              <w:rPr>
                <w:rFonts w:ascii="宋体"/>
                <w:w w:val="100"/>
                <w:sz w:val="21"/>
              </w:rPr>
              <w:t> </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43"/>
              <w:jc w:val="right"/>
              <w:rPr>
                <w:rFonts w:ascii="宋体" w:hAnsi="宋体" w:cs="宋体" w:eastAsia="宋体" w:hint="default"/>
                <w:sz w:val="21"/>
                <w:szCs w:val="21"/>
              </w:rPr>
            </w:pPr>
            <w:r>
              <w:rPr>
                <w:rFonts w:ascii="宋体"/>
                <w:w w:val="100"/>
                <w:sz w:val="21"/>
              </w:rPr>
              <w:t>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12"/>
              <w:jc w:val="right"/>
              <w:rPr>
                <w:rFonts w:ascii="宋体" w:hAnsi="宋体" w:cs="宋体" w:eastAsia="宋体" w:hint="default"/>
                <w:sz w:val="21"/>
                <w:szCs w:val="21"/>
              </w:rPr>
            </w:pPr>
            <w:r>
              <w:rPr>
                <w:rFonts w:ascii="宋体"/>
                <w:w w:val="100"/>
                <w:sz w:val="21"/>
              </w:rPr>
              <w:t> </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30"/>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67"/>
              <w:jc w:val="right"/>
              <w:rPr>
                <w:rFonts w:ascii="宋体" w:hAnsi="宋体" w:cs="宋体" w:eastAsia="宋体" w:hint="default"/>
                <w:sz w:val="21"/>
                <w:szCs w:val="21"/>
              </w:rPr>
            </w:pPr>
            <w:r>
              <w:rPr>
                <w:rFonts w:ascii="宋体"/>
                <w:sz w:val="21"/>
              </w:rPr>
              <w:t>5 </w:t>
            </w:r>
          </w:p>
        </w:tc>
      </w:tr>
      <w:tr>
        <w:trPr>
          <w:trHeight w:val="283"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虞海娟</w:t>
            </w:r>
            <w:r>
              <w:rPr>
                <w:rFonts w:ascii="宋体" w:hAnsi="宋体" w:cs="宋体" w:eastAsia="宋体" w:hint="default"/>
                <w:sz w:val="21"/>
                <w:szCs w:val="21"/>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6"/>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84"/>
              <w:jc w:val="right"/>
              <w:rPr>
                <w:rFonts w:ascii="宋体" w:hAnsi="宋体" w:cs="宋体" w:eastAsia="宋体" w:hint="default"/>
                <w:sz w:val="21"/>
                <w:szCs w:val="21"/>
              </w:rPr>
            </w:pPr>
            <w:r>
              <w:rPr>
                <w:rFonts w:ascii="宋体"/>
                <w:sz w:val="21"/>
              </w:rPr>
              <w:t>9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3"/>
              <w:jc w:val="right"/>
              <w:rPr>
                <w:rFonts w:ascii="宋体" w:hAnsi="宋体" w:cs="宋体" w:eastAsia="宋体" w:hint="default"/>
                <w:sz w:val="21"/>
                <w:szCs w:val="21"/>
              </w:rPr>
            </w:pPr>
            <w:r>
              <w:rPr>
                <w:rFonts w:ascii="宋体"/>
                <w:sz w:val="21"/>
              </w:rPr>
              <w:t>9 </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74"/>
              <w:jc w:val="right"/>
              <w:rPr>
                <w:rFonts w:ascii="宋体" w:hAnsi="宋体" w:cs="宋体" w:eastAsia="宋体" w:hint="default"/>
                <w:sz w:val="21"/>
                <w:szCs w:val="21"/>
              </w:rPr>
            </w:pPr>
            <w:r>
              <w:rPr>
                <w:rFonts w:ascii="宋体"/>
                <w:w w:val="100"/>
                <w:sz w:val="21"/>
              </w:rPr>
              <w:t> </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43"/>
              <w:jc w:val="right"/>
              <w:rPr>
                <w:rFonts w:ascii="宋体" w:hAnsi="宋体" w:cs="宋体" w:eastAsia="宋体" w:hint="default"/>
                <w:sz w:val="21"/>
                <w:szCs w:val="21"/>
              </w:rPr>
            </w:pPr>
            <w:r>
              <w:rPr>
                <w:rFonts w:ascii="宋体"/>
                <w:w w:val="100"/>
                <w:sz w:val="21"/>
              </w:rPr>
              <w:t>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12"/>
              <w:jc w:val="right"/>
              <w:rPr>
                <w:rFonts w:ascii="宋体" w:hAnsi="宋体" w:cs="宋体" w:eastAsia="宋体" w:hint="default"/>
                <w:sz w:val="21"/>
                <w:szCs w:val="21"/>
              </w:rPr>
            </w:pPr>
            <w:r>
              <w:rPr>
                <w:rFonts w:ascii="宋体"/>
                <w:w w:val="100"/>
                <w:sz w:val="21"/>
              </w:rPr>
              <w:t> </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30"/>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67"/>
              <w:jc w:val="right"/>
              <w:rPr>
                <w:rFonts w:ascii="宋体" w:hAnsi="宋体" w:cs="宋体" w:eastAsia="宋体" w:hint="default"/>
                <w:sz w:val="21"/>
                <w:szCs w:val="21"/>
              </w:rPr>
            </w:pPr>
            <w:r>
              <w:rPr>
                <w:rFonts w:ascii="宋体"/>
                <w:sz w:val="21"/>
              </w:rPr>
              <w:t>5 </w:t>
            </w:r>
          </w:p>
        </w:tc>
      </w:tr>
      <w:tr>
        <w:trPr>
          <w:trHeight w:val="283"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贾丽娜</w:t>
            </w:r>
            <w:r>
              <w:rPr>
                <w:rFonts w:ascii="宋体" w:hAnsi="宋体" w:cs="宋体" w:eastAsia="宋体" w:hint="default"/>
                <w:sz w:val="21"/>
                <w:szCs w:val="21"/>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6"/>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84"/>
              <w:jc w:val="right"/>
              <w:rPr>
                <w:rFonts w:ascii="宋体" w:hAnsi="宋体" w:cs="宋体" w:eastAsia="宋体" w:hint="default"/>
                <w:sz w:val="21"/>
                <w:szCs w:val="21"/>
              </w:rPr>
            </w:pPr>
            <w:r>
              <w:rPr>
                <w:rFonts w:ascii="宋体"/>
                <w:sz w:val="21"/>
              </w:rPr>
              <w:t>9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3"/>
              <w:jc w:val="right"/>
              <w:rPr>
                <w:rFonts w:ascii="宋体" w:hAnsi="宋体" w:cs="宋体" w:eastAsia="宋体" w:hint="default"/>
                <w:sz w:val="21"/>
                <w:szCs w:val="21"/>
              </w:rPr>
            </w:pPr>
            <w:r>
              <w:rPr>
                <w:rFonts w:ascii="宋体"/>
                <w:sz w:val="21"/>
              </w:rPr>
              <w:t>9 </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23"/>
              <w:jc w:val="right"/>
              <w:rPr>
                <w:rFonts w:ascii="宋体" w:hAnsi="宋体" w:cs="宋体" w:eastAsia="宋体" w:hint="default"/>
                <w:sz w:val="21"/>
                <w:szCs w:val="21"/>
              </w:rPr>
            </w:pPr>
            <w:r>
              <w:rPr>
                <w:rFonts w:ascii="宋体"/>
                <w:sz w:val="21"/>
              </w:rPr>
              <w:t>6 </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43"/>
              <w:jc w:val="right"/>
              <w:rPr>
                <w:rFonts w:ascii="宋体" w:hAnsi="宋体" w:cs="宋体" w:eastAsia="宋体" w:hint="default"/>
                <w:sz w:val="21"/>
                <w:szCs w:val="21"/>
              </w:rPr>
            </w:pPr>
            <w:r>
              <w:rPr>
                <w:rFonts w:ascii="宋体"/>
                <w:w w:val="100"/>
                <w:sz w:val="21"/>
              </w:rPr>
              <w:t>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12"/>
              <w:jc w:val="right"/>
              <w:rPr>
                <w:rFonts w:ascii="宋体" w:hAnsi="宋体" w:cs="宋体" w:eastAsia="宋体" w:hint="default"/>
                <w:sz w:val="21"/>
                <w:szCs w:val="21"/>
              </w:rPr>
            </w:pPr>
            <w:r>
              <w:rPr>
                <w:rFonts w:ascii="宋体"/>
                <w:w w:val="100"/>
                <w:sz w:val="21"/>
              </w:rPr>
              <w:t> </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30"/>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67"/>
              <w:jc w:val="right"/>
              <w:rPr>
                <w:rFonts w:ascii="宋体" w:hAnsi="宋体" w:cs="宋体" w:eastAsia="宋体" w:hint="default"/>
                <w:sz w:val="21"/>
                <w:szCs w:val="21"/>
              </w:rPr>
            </w:pPr>
            <w:r>
              <w:rPr>
                <w:rFonts w:ascii="宋体"/>
                <w:sz w:val="21"/>
              </w:rPr>
              <w:t>5 </w:t>
            </w:r>
          </w:p>
        </w:tc>
      </w:tr>
      <w:tr>
        <w:trPr>
          <w:trHeight w:val="281"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蔡克亮</w:t>
            </w:r>
            <w:r>
              <w:rPr>
                <w:rFonts w:ascii="宋体" w:hAnsi="宋体" w:cs="宋体" w:eastAsia="宋体" w:hint="default"/>
                <w:sz w:val="21"/>
                <w:szCs w:val="21"/>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6"/>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84"/>
              <w:jc w:val="right"/>
              <w:rPr>
                <w:rFonts w:ascii="宋体" w:hAnsi="宋体" w:cs="宋体" w:eastAsia="宋体" w:hint="default"/>
                <w:sz w:val="21"/>
                <w:szCs w:val="21"/>
              </w:rPr>
            </w:pPr>
            <w:r>
              <w:rPr>
                <w:rFonts w:ascii="宋体"/>
                <w:sz w:val="21"/>
              </w:rPr>
              <w:t>9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3"/>
              <w:jc w:val="right"/>
              <w:rPr>
                <w:rFonts w:ascii="宋体" w:hAnsi="宋体" w:cs="宋体" w:eastAsia="宋体" w:hint="default"/>
                <w:sz w:val="21"/>
                <w:szCs w:val="21"/>
              </w:rPr>
            </w:pPr>
            <w:r>
              <w:rPr>
                <w:rFonts w:ascii="宋体"/>
                <w:sz w:val="21"/>
              </w:rPr>
              <w:t>9 </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23"/>
              <w:jc w:val="right"/>
              <w:rPr>
                <w:rFonts w:ascii="宋体" w:hAnsi="宋体" w:cs="宋体" w:eastAsia="宋体" w:hint="default"/>
                <w:sz w:val="21"/>
                <w:szCs w:val="21"/>
              </w:rPr>
            </w:pPr>
            <w:r>
              <w:rPr>
                <w:rFonts w:ascii="宋体"/>
                <w:sz w:val="21"/>
              </w:rPr>
              <w:t>4 </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43"/>
              <w:jc w:val="right"/>
              <w:rPr>
                <w:rFonts w:ascii="宋体" w:hAnsi="宋体" w:cs="宋体" w:eastAsia="宋体" w:hint="default"/>
                <w:sz w:val="21"/>
                <w:szCs w:val="21"/>
              </w:rPr>
            </w:pPr>
            <w:r>
              <w:rPr>
                <w:rFonts w:ascii="宋体"/>
                <w:w w:val="100"/>
                <w:sz w:val="21"/>
              </w:rPr>
              <w:t>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12"/>
              <w:jc w:val="right"/>
              <w:rPr>
                <w:rFonts w:ascii="宋体" w:hAnsi="宋体" w:cs="宋体" w:eastAsia="宋体" w:hint="default"/>
                <w:sz w:val="21"/>
                <w:szCs w:val="21"/>
              </w:rPr>
            </w:pPr>
            <w:r>
              <w:rPr>
                <w:rFonts w:ascii="宋体"/>
                <w:w w:val="100"/>
                <w:sz w:val="21"/>
              </w:rPr>
              <w:t> </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30"/>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67"/>
              <w:jc w:val="right"/>
              <w:rPr>
                <w:rFonts w:ascii="宋体" w:hAnsi="宋体" w:cs="宋体" w:eastAsia="宋体" w:hint="default"/>
                <w:sz w:val="21"/>
                <w:szCs w:val="21"/>
              </w:rPr>
            </w:pPr>
            <w:r>
              <w:rPr>
                <w:rFonts w:ascii="宋体"/>
                <w:sz w:val="21"/>
              </w:rPr>
              <w:t>5 </w:t>
            </w:r>
          </w:p>
        </w:tc>
      </w:tr>
      <w:tr>
        <w:trPr>
          <w:trHeight w:val="283"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苏凯</w:t>
            </w:r>
            <w:r>
              <w:rPr>
                <w:rFonts w:ascii="宋体" w:hAnsi="宋体" w:cs="宋体" w:eastAsia="宋体" w:hint="default"/>
                <w:sz w:val="21"/>
                <w:szCs w:val="21"/>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6"/>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84"/>
              <w:jc w:val="right"/>
              <w:rPr>
                <w:rFonts w:ascii="宋体" w:hAnsi="宋体" w:cs="宋体" w:eastAsia="宋体" w:hint="default"/>
                <w:sz w:val="21"/>
                <w:szCs w:val="21"/>
              </w:rPr>
            </w:pPr>
            <w:r>
              <w:rPr>
                <w:rFonts w:ascii="宋体"/>
                <w:sz w:val="21"/>
              </w:rPr>
              <w:t>7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3"/>
              <w:jc w:val="right"/>
              <w:rPr>
                <w:rFonts w:ascii="宋体" w:hAnsi="宋体" w:cs="宋体" w:eastAsia="宋体" w:hint="default"/>
                <w:sz w:val="21"/>
                <w:szCs w:val="21"/>
              </w:rPr>
            </w:pPr>
            <w:r>
              <w:rPr>
                <w:rFonts w:ascii="宋体"/>
                <w:sz w:val="21"/>
              </w:rPr>
              <w:t>7 </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23"/>
              <w:jc w:val="right"/>
              <w:rPr>
                <w:rFonts w:ascii="宋体" w:hAnsi="宋体" w:cs="宋体" w:eastAsia="宋体" w:hint="default"/>
                <w:sz w:val="21"/>
                <w:szCs w:val="21"/>
              </w:rPr>
            </w:pPr>
            <w:r>
              <w:rPr>
                <w:rFonts w:ascii="宋体"/>
                <w:sz w:val="21"/>
              </w:rPr>
              <w:t>3 </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43"/>
              <w:jc w:val="right"/>
              <w:rPr>
                <w:rFonts w:ascii="宋体" w:hAnsi="宋体" w:cs="宋体" w:eastAsia="宋体" w:hint="default"/>
                <w:sz w:val="21"/>
                <w:szCs w:val="21"/>
              </w:rPr>
            </w:pPr>
            <w:r>
              <w:rPr>
                <w:rFonts w:ascii="宋体"/>
                <w:w w:val="100"/>
                <w:sz w:val="21"/>
              </w:rPr>
              <w:t>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12"/>
              <w:jc w:val="right"/>
              <w:rPr>
                <w:rFonts w:ascii="宋体" w:hAnsi="宋体" w:cs="宋体" w:eastAsia="宋体" w:hint="default"/>
                <w:sz w:val="21"/>
                <w:szCs w:val="21"/>
              </w:rPr>
            </w:pPr>
            <w:r>
              <w:rPr>
                <w:rFonts w:ascii="宋体"/>
                <w:w w:val="100"/>
                <w:sz w:val="21"/>
              </w:rPr>
              <w:t> </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30"/>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67"/>
              <w:jc w:val="right"/>
              <w:rPr>
                <w:rFonts w:ascii="宋体" w:hAnsi="宋体" w:cs="宋体" w:eastAsia="宋体" w:hint="default"/>
                <w:sz w:val="21"/>
                <w:szCs w:val="21"/>
              </w:rPr>
            </w:pPr>
            <w:r>
              <w:rPr>
                <w:rFonts w:ascii="宋体"/>
                <w:sz w:val="21"/>
              </w:rPr>
              <w:t>3 </w:t>
            </w:r>
          </w:p>
        </w:tc>
      </w:tr>
      <w:tr>
        <w:trPr>
          <w:trHeight w:val="283"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黄大森</w:t>
            </w:r>
            <w:r>
              <w:rPr>
                <w:rFonts w:ascii="宋体" w:hAnsi="宋体" w:cs="宋体" w:eastAsia="宋体" w:hint="default"/>
                <w:sz w:val="21"/>
                <w:szCs w:val="21"/>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6"/>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84"/>
              <w:jc w:val="right"/>
              <w:rPr>
                <w:rFonts w:ascii="宋体" w:hAnsi="宋体" w:cs="宋体" w:eastAsia="宋体" w:hint="default"/>
                <w:sz w:val="21"/>
                <w:szCs w:val="21"/>
              </w:rPr>
            </w:pPr>
            <w:r>
              <w:rPr>
                <w:rFonts w:ascii="宋体"/>
                <w:sz w:val="21"/>
              </w:rPr>
              <w:t>2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3"/>
              <w:jc w:val="right"/>
              <w:rPr>
                <w:rFonts w:ascii="宋体" w:hAnsi="宋体" w:cs="宋体" w:eastAsia="宋体" w:hint="default"/>
                <w:sz w:val="21"/>
                <w:szCs w:val="21"/>
              </w:rPr>
            </w:pPr>
            <w:r>
              <w:rPr>
                <w:rFonts w:ascii="宋体"/>
                <w:sz w:val="21"/>
              </w:rPr>
              <w:t>2 </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23"/>
              <w:jc w:val="right"/>
              <w:rPr>
                <w:rFonts w:ascii="宋体" w:hAnsi="宋体" w:cs="宋体" w:eastAsia="宋体" w:hint="default"/>
                <w:sz w:val="21"/>
                <w:szCs w:val="21"/>
              </w:rPr>
            </w:pPr>
            <w:r>
              <w:rPr>
                <w:rFonts w:ascii="宋体"/>
                <w:sz w:val="21"/>
              </w:rPr>
              <w:t>1 </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43"/>
              <w:jc w:val="right"/>
              <w:rPr>
                <w:rFonts w:ascii="宋体" w:hAnsi="宋体" w:cs="宋体" w:eastAsia="宋体" w:hint="default"/>
                <w:sz w:val="21"/>
                <w:szCs w:val="21"/>
              </w:rPr>
            </w:pPr>
            <w:r>
              <w:rPr>
                <w:rFonts w:ascii="宋体"/>
                <w:w w:val="100"/>
                <w:sz w:val="21"/>
              </w:rPr>
              <w:t>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12"/>
              <w:jc w:val="right"/>
              <w:rPr>
                <w:rFonts w:ascii="宋体" w:hAnsi="宋体" w:cs="宋体" w:eastAsia="宋体" w:hint="default"/>
                <w:sz w:val="21"/>
                <w:szCs w:val="21"/>
              </w:rPr>
            </w:pPr>
            <w:r>
              <w:rPr>
                <w:rFonts w:ascii="宋体"/>
                <w:w w:val="100"/>
                <w:sz w:val="21"/>
              </w:rPr>
              <w:t> </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30"/>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67"/>
              <w:jc w:val="right"/>
              <w:rPr>
                <w:rFonts w:ascii="宋体" w:hAnsi="宋体" w:cs="宋体" w:eastAsia="宋体" w:hint="default"/>
                <w:sz w:val="21"/>
                <w:szCs w:val="21"/>
              </w:rPr>
            </w:pPr>
            <w:r>
              <w:rPr>
                <w:rFonts w:ascii="宋体"/>
                <w:sz w:val="21"/>
              </w:rPr>
              <w:t>2 </w:t>
            </w:r>
          </w:p>
        </w:tc>
      </w:tr>
    </w:tbl>
    <w:p>
      <w:pPr>
        <w:pStyle w:val="Heading2"/>
        <w:spacing w:line="274" w:lineRule="exact"/>
        <w:ind w:right="0"/>
        <w:jc w:val="left"/>
        <w:rPr>
          <w:rFonts w:ascii="宋体" w:hAnsi="宋体" w:cs="宋体" w:eastAsia="宋体" w:hint="default"/>
        </w:rPr>
      </w:pPr>
      <w:r>
        <w:rPr>
          <w:rFonts w:ascii="宋体"/>
        </w:rPr>
        <w:t> </w:t>
      </w:r>
    </w:p>
    <w:p>
      <w:pPr>
        <w:pStyle w:val="BodyText"/>
        <w:spacing w:line="274" w:lineRule="exact" w:before="1"/>
        <w:ind w:right="0"/>
        <w:jc w:val="left"/>
        <w:rPr>
          <w:rFonts w:ascii="宋体" w:hAnsi="宋体" w:cs="宋体" w:eastAsia="宋体" w:hint="default"/>
        </w:rPr>
      </w:pPr>
      <w:r>
        <w:rPr/>
        <w:t>连续两次未亲自出席董事会会议的说明</w:t>
      </w:r>
      <w:r>
        <w:rPr>
          <w:rFonts w:ascii="宋体" w:hAnsi="宋体" w:cs="宋体" w:eastAsia="宋体" w:hint="default"/>
        </w:rPr>
        <w:t> </w:t>
      </w:r>
    </w:p>
    <w:p>
      <w:pPr>
        <w:pStyle w:val="BodyText"/>
        <w:spacing w:line="272"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right="0"/>
        <w:jc w:val="left"/>
        <w:rPr>
          <w:rFonts w:ascii="宋体" w:hAnsi="宋体" w:cs="宋体" w:eastAsia="宋体" w:hint="default"/>
        </w:rPr>
      </w:pPr>
      <w:r>
        <w:rPr>
          <w:rFonts w:ascii="宋体"/>
          <w:w w:val="100"/>
        </w:rPr>
        <w:t> </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525"/>
        <w:gridCol w:w="4525"/>
      </w:tblGrid>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年内召开董事会会议次数</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9 </w:t>
            </w:r>
          </w:p>
        </w:tc>
      </w:tr>
      <w:tr>
        <w:trPr>
          <w:trHeight w:val="284"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其中：现场会议次数</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3"/>
              <w:jc w:val="right"/>
              <w:rPr>
                <w:rFonts w:ascii="宋体" w:hAnsi="宋体" w:cs="宋体" w:eastAsia="宋体" w:hint="default"/>
                <w:sz w:val="21"/>
                <w:szCs w:val="21"/>
              </w:rPr>
            </w:pPr>
            <w:r>
              <w:rPr>
                <w:rFonts w:ascii="宋体"/>
                <w:sz w:val="21"/>
              </w:rPr>
              <w:t>1 </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通讯方式召开会议次数</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现场结合通讯方式召开会议次数</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8 </w:t>
            </w:r>
          </w:p>
        </w:tc>
      </w:tr>
    </w:tbl>
    <w:p>
      <w:pPr>
        <w:pStyle w:val="BodyText"/>
        <w:spacing w:line="241" w:lineRule="exact"/>
        <w:ind w:right="0"/>
        <w:jc w:val="left"/>
        <w:rPr>
          <w:rFonts w:ascii="宋体" w:hAnsi="宋体" w:cs="宋体" w:eastAsia="宋体" w:hint="default"/>
        </w:rPr>
      </w:pPr>
      <w:r>
        <w:rPr>
          <w:rFonts w:ascii="宋体"/>
          <w:w w:val="100"/>
        </w:rPr>
        <w:t> </w:t>
      </w:r>
    </w:p>
    <w:p>
      <w:pPr>
        <w:pStyle w:val="Heading3"/>
        <w:spacing w:line="240" w:lineRule="auto" w:before="56"/>
        <w:ind w:right="0"/>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5"/>
        </w:rPr>
        <w:t> </w:t>
      </w:r>
      <w:r>
        <w:rPr/>
        <w:t>独立董事对公司有关事项提出异议的情况</w:t>
      </w:r>
      <w:r>
        <w:rPr>
          <w:b w:val="0"/>
          <w:bCs w:val="0"/>
        </w:rPr>
      </w:r>
    </w:p>
    <w:p>
      <w:pPr>
        <w:pStyle w:val="Heading2"/>
        <w:spacing w:line="240" w:lineRule="auto" w:before="23"/>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BodyText"/>
        <w:spacing w:line="240" w:lineRule="auto" w:before="4"/>
        <w:ind w:right="0"/>
        <w:jc w:val="left"/>
        <w:rPr>
          <w:rFonts w:ascii="宋体" w:hAnsi="宋体" w:cs="宋体" w:eastAsia="宋体" w:hint="default"/>
        </w:rPr>
      </w:pPr>
      <w:r>
        <w:rPr>
          <w:rFonts w:ascii="宋体"/>
          <w:w w:val="100"/>
        </w:rPr>
        <w:t> </w:t>
      </w:r>
    </w:p>
    <w:p>
      <w:pPr>
        <w:pStyle w:val="Heading3"/>
        <w:spacing w:line="240" w:lineRule="auto" w:before="58"/>
        <w:ind w:right="0"/>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35"/>
        </w:rPr>
        <w:t> </w:t>
      </w:r>
      <w:r>
        <w:rPr/>
        <w:t>其他</w:t>
      </w:r>
      <w:r>
        <w:rPr>
          <w:b w:val="0"/>
          <w:bCs w:val="0"/>
        </w:rPr>
      </w:r>
    </w:p>
    <w:p>
      <w:pPr>
        <w:pStyle w:val="BodyText"/>
        <w:spacing w:line="274" w:lineRule="exact" w:before="29"/>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right="0"/>
        <w:jc w:val="left"/>
        <w:rPr>
          <w:rFonts w:ascii="宋体" w:hAnsi="宋体" w:cs="宋体" w:eastAsia="宋体" w:hint="default"/>
        </w:rPr>
      </w:pPr>
      <w:r>
        <w:rPr>
          <w:rFonts w:ascii="宋体"/>
          <w:w w:val="100"/>
        </w:rPr>
        <w:t> </w:t>
      </w:r>
    </w:p>
    <w:p>
      <w:pPr>
        <w:spacing w:after="0" w:line="274" w:lineRule="exact"/>
        <w:jc w:val="left"/>
        <w:rPr>
          <w:rFonts w:ascii="宋体" w:hAnsi="宋体" w:cs="宋体" w:eastAsia="宋体" w:hint="default"/>
        </w:rPr>
        <w:sectPr>
          <w:pgSz w:w="11910" w:h="16840"/>
          <w:pgMar w:header="743" w:footer="974" w:top="1120" w:bottom="1160" w:left="1580" w:right="1040"/>
        </w:sectPr>
      </w:pPr>
    </w:p>
    <w:p>
      <w:pPr>
        <w:spacing w:line="240" w:lineRule="auto" w:before="4"/>
        <w:rPr>
          <w:rFonts w:ascii="宋体" w:hAnsi="宋体" w:cs="宋体" w:eastAsia="宋体" w:hint="default"/>
          <w:sz w:val="24"/>
          <w:szCs w:val="24"/>
        </w:rPr>
      </w:pPr>
    </w:p>
    <w:p>
      <w:pPr>
        <w:pStyle w:val="Heading3"/>
        <w:spacing w:line="240" w:lineRule="auto" w:before="36"/>
        <w:ind w:left="642" w:right="0" w:hanging="425"/>
        <w:jc w:val="left"/>
        <w:rPr>
          <w:b w:val="0"/>
          <w:bCs w:val="0"/>
        </w:rPr>
      </w:pPr>
      <w:r>
        <w:rPr/>
        <w:t>四、</w:t>
      </w:r>
      <w:r>
        <w:rPr>
          <w:spacing w:val="-96"/>
        </w:rPr>
        <w:t> </w:t>
      </w:r>
      <w:r>
        <w:rPr>
          <w:rFonts w:ascii="宋体" w:hAnsi="宋体" w:cs="宋体" w:eastAsia="宋体" w:hint="default"/>
          <w:spacing w:val="-96"/>
        </w:rPr>
      </w:r>
      <w:r>
        <w:rPr/>
        <w:t>董事会下设专门委员会在报告期内履行职责时所提出的重要意见和建议，存在异议事项的，</w:t>
      </w:r>
      <w:r>
        <w:rPr>
          <w:spacing w:val="-42"/>
        </w:rPr>
        <w:t> </w:t>
      </w:r>
      <w:r>
        <w:rPr>
          <w:spacing w:val="-42"/>
        </w:rPr>
      </w:r>
      <w:r>
        <w:rPr/>
        <w:t>应当披露具体情况</w:t>
      </w:r>
      <w:r>
        <w:rPr>
          <w:b w:val="0"/>
          <w:bCs w:val="0"/>
        </w:rPr>
      </w:r>
    </w:p>
    <w:p>
      <w:pPr>
        <w:pStyle w:val="BodyText"/>
        <w:spacing w:line="240" w:lineRule="auto" w:before="56"/>
        <w:ind w:left="638" w:right="0" w:hanging="420"/>
        <w:jc w:val="left"/>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报告期内，公司董事会各专门委员会按照各自工作细则的规定，以积极主动、认真负责、勤</w:t>
      </w:r>
    </w:p>
    <w:p>
      <w:pPr>
        <w:pStyle w:val="BodyText"/>
        <w:spacing w:line="274" w:lineRule="exact" w:before="22"/>
        <w:ind w:left="638" w:right="0" w:hanging="420"/>
        <w:jc w:val="left"/>
        <w:rPr>
          <w:rFonts w:ascii="宋体" w:hAnsi="宋体" w:cs="宋体" w:eastAsia="宋体" w:hint="default"/>
        </w:rPr>
      </w:pPr>
      <w:r>
        <w:rPr/>
        <w:t>勉诚信的态度忠实履行各自职责，为完善公司治理结构、促进公司发展起到了积极的作用。</w:t>
      </w:r>
      <w:r>
        <w:rPr>
          <w:rFonts w:ascii="宋体" w:hAnsi="宋体" w:cs="宋体" w:eastAsia="宋体" w:hint="default"/>
          <w:w w:val="100"/>
        </w:rPr>
        <w:t> </w:t>
      </w:r>
      <w:r>
        <w:rPr>
          <w:rFonts w:ascii="宋体" w:hAnsi="宋体" w:cs="宋体" w:eastAsia="宋体" w:hint="default"/>
        </w:rPr>
        <w:t>1</w:t>
      </w:r>
      <w:r>
        <w:rPr/>
        <w:t>、董事会下设的审计委员会的履职情况</w:t>
      </w:r>
      <w:r>
        <w:rPr>
          <w:rFonts w:ascii="宋体" w:hAnsi="宋体" w:cs="宋体" w:eastAsia="宋体" w:hint="default"/>
        </w:rPr>
        <w:t> </w:t>
      </w:r>
    </w:p>
    <w:p>
      <w:pPr>
        <w:pStyle w:val="BodyText"/>
        <w:spacing w:line="245" w:lineRule="exact"/>
        <w:ind w:left="638" w:right="0"/>
        <w:jc w:val="left"/>
      </w:pPr>
      <w:r>
        <w:rPr>
          <w:rFonts w:ascii="宋体" w:hAnsi="宋体" w:cs="宋体" w:eastAsia="宋体" w:hint="default"/>
        </w:rPr>
        <w:t>2019</w:t>
      </w:r>
      <w:r>
        <w:rPr>
          <w:rFonts w:ascii="宋体" w:hAnsi="宋体" w:cs="宋体" w:eastAsia="宋体" w:hint="default"/>
          <w:spacing w:val="-38"/>
        </w:rPr>
        <w:t> </w:t>
      </w:r>
      <w:r>
        <w:rPr/>
        <w:t>年度董事会审计委员会共召开</w:t>
      </w:r>
      <w:r>
        <w:rPr>
          <w:spacing w:val="-31"/>
        </w:rPr>
        <w:t> </w:t>
      </w:r>
      <w:r>
        <w:rPr>
          <w:rFonts w:ascii="宋体" w:hAnsi="宋体" w:cs="宋体" w:eastAsia="宋体" w:hint="default"/>
        </w:rPr>
        <w:t>7</w:t>
      </w:r>
      <w:r>
        <w:rPr>
          <w:rFonts w:ascii="宋体" w:hAnsi="宋体" w:cs="宋体" w:eastAsia="宋体" w:hint="default"/>
          <w:spacing w:val="-35"/>
        </w:rPr>
        <w:t> </w:t>
      </w:r>
      <w:r>
        <w:rPr/>
        <w:t>次会议，为定期报告及董事会相关事项决议建言献策。</w:t>
      </w:r>
    </w:p>
    <w:p>
      <w:pPr>
        <w:pStyle w:val="BodyText"/>
        <w:spacing w:line="237" w:lineRule="auto" w:before="2"/>
        <w:ind w:right="208"/>
        <w:jc w:val="both"/>
      </w:pPr>
      <w:r>
        <w:rPr>
          <w:spacing w:val="-2"/>
        </w:rPr>
        <w:t>公司审计委员会在年审会计师进场审计之前，对公司财务报表进行了审议并形成了书面意见。在</w:t>
      </w:r>
      <w:r>
        <w:rPr>
          <w:spacing w:val="-25"/>
        </w:rPr>
        <w:t> </w:t>
      </w:r>
      <w:r>
        <w:rPr>
          <w:spacing w:val="-25"/>
        </w:rPr>
      </w:r>
      <w:r>
        <w:rPr>
          <w:spacing w:val="-2"/>
        </w:rPr>
        <w:t>年审会计师进场开始审计工作后，审计委员会采取书面方式督促年审会计师按工作进度及时完成</w:t>
      </w:r>
      <w:r>
        <w:rPr>
          <w:spacing w:val="-26"/>
        </w:rPr>
        <w:t> </w:t>
      </w:r>
      <w:r>
        <w:rPr>
          <w:spacing w:val="-26"/>
        </w:rPr>
      </w:r>
      <w:r>
        <w:rPr>
          <w:spacing w:val="-2"/>
        </w:rPr>
        <w:t>年报审计工作。年审会计师出具初步审计意见后，审计委员会对公司财务报告又进行了认真审核</w:t>
      </w:r>
      <w:r>
        <w:rPr>
          <w:spacing w:val="-25"/>
        </w:rPr>
        <w:t> </w:t>
      </w:r>
      <w:r>
        <w:rPr>
          <w:spacing w:val="-25"/>
        </w:rPr>
      </w:r>
      <w:r>
        <w:rPr>
          <w:spacing w:val="-5"/>
          <w:w w:val="100"/>
        </w:rPr>
        <w:t>并形成书面意见，决定同意将经年审会计师正式审计的公司</w:t>
      </w:r>
      <w:r>
        <w:rPr>
          <w:spacing w:val="-48"/>
          <w:w w:val="100"/>
        </w:rPr>
        <w:t> </w:t>
      </w:r>
      <w:r>
        <w:rPr>
          <w:rFonts w:ascii="宋体" w:hAnsi="宋体" w:cs="宋体" w:eastAsia="宋体" w:hint="default"/>
          <w:spacing w:val="-1"/>
          <w:w w:val="100"/>
        </w:rPr>
        <w:t>2019</w:t>
      </w:r>
      <w:r>
        <w:rPr>
          <w:rFonts w:ascii="宋体" w:hAnsi="宋体" w:cs="宋体" w:eastAsia="宋体" w:hint="default"/>
          <w:spacing w:val="-48"/>
          <w:w w:val="100"/>
        </w:rPr>
        <w:t> </w:t>
      </w:r>
      <w:r>
        <w:rPr>
          <w:spacing w:val="-2"/>
          <w:w w:val="100"/>
        </w:rPr>
        <w:t>年度财务会计报表提交董事会审</w:t>
      </w:r>
    </w:p>
    <w:p>
      <w:pPr>
        <w:pStyle w:val="BodyText"/>
        <w:spacing w:line="237" w:lineRule="auto" w:before="1"/>
        <w:ind w:right="107"/>
        <w:jc w:val="both"/>
        <w:rPr>
          <w:rFonts w:ascii="宋体" w:hAnsi="宋体" w:cs="宋体" w:eastAsia="宋体" w:hint="default"/>
        </w:rPr>
      </w:pPr>
      <w:r>
        <w:rPr>
          <w:spacing w:val="-7"/>
        </w:rPr>
        <w:t>核。审计委员会还对立信从事</w:t>
      </w:r>
      <w:r>
        <w:rPr>
          <w:spacing w:val="-42"/>
        </w:rPr>
        <w:t> </w:t>
      </w:r>
      <w:r>
        <w:rPr>
          <w:rFonts w:ascii="宋体" w:hAnsi="宋体" w:cs="宋体" w:eastAsia="宋体" w:hint="default"/>
        </w:rPr>
        <w:t>2019</w:t>
      </w:r>
      <w:r>
        <w:rPr>
          <w:rFonts w:ascii="宋体" w:hAnsi="宋体" w:cs="宋体" w:eastAsia="宋体" w:hint="default"/>
          <w:spacing w:val="-42"/>
        </w:rPr>
        <w:t> </w:t>
      </w:r>
      <w:r>
        <w:rPr>
          <w:spacing w:val="-5"/>
        </w:rPr>
        <w:t>年公司审计所作的工作进行了总结，建议续聘立信为公司</w:t>
      </w:r>
      <w:r>
        <w:rPr>
          <w:spacing w:val="-42"/>
        </w:rPr>
        <w:t> </w:t>
      </w:r>
      <w:r>
        <w:rPr>
          <w:rFonts w:ascii="宋体" w:hAnsi="宋体" w:cs="宋体" w:eastAsia="宋体" w:hint="default"/>
        </w:rPr>
        <w:t>2020</w:t>
      </w:r>
      <w:r>
        <w:rPr>
          <w:rFonts w:ascii="宋体" w:hAnsi="宋体" w:cs="宋体" w:eastAsia="宋体" w:hint="default"/>
          <w:spacing w:val="-79"/>
        </w:rPr>
        <w:t> </w:t>
      </w:r>
      <w:r>
        <w:rPr>
          <w:rFonts w:ascii="宋体" w:hAnsi="宋体" w:cs="宋体" w:eastAsia="宋体" w:hint="default"/>
          <w:spacing w:val="-79"/>
        </w:rPr>
      </w:r>
      <w:r>
        <w:rPr/>
        <w:t>年度的财务报告和内部控制审计机构。此外，董事会审计委员会在审议日常关联交易时对关联交</w:t>
      </w:r>
      <w:r>
        <w:rPr>
          <w:w w:val="100"/>
        </w:rPr>
        <w:t> </w:t>
      </w:r>
      <w:r>
        <w:rPr>
          <w:spacing w:val="-7"/>
          <w:w w:val="100"/>
        </w:rPr>
        <w:t>易的必要性和合理性进行了认真审核，并与公司及年审会计师进行了充分沟通，实施了有效监督。</w:t>
      </w:r>
      <w:r>
        <w:rPr>
          <w:rFonts w:ascii="宋体" w:hAnsi="宋体" w:cs="宋体" w:eastAsia="宋体" w:hint="default"/>
          <w:w w:val="100"/>
        </w:rPr>
        <w:t> </w:t>
      </w:r>
    </w:p>
    <w:p>
      <w:pPr>
        <w:pStyle w:val="BodyText"/>
        <w:spacing w:line="274" w:lineRule="exact" w:before="22"/>
        <w:ind w:left="638" w:right="0"/>
        <w:jc w:val="left"/>
      </w:pPr>
      <w:r>
        <w:rPr>
          <w:rFonts w:ascii="宋体" w:hAnsi="宋体" w:cs="宋体" w:eastAsia="宋体" w:hint="default"/>
        </w:rPr>
        <w:t>2</w:t>
      </w:r>
      <w:r>
        <w:rPr/>
        <w:t>、董事会下设的薪酬与考核委员会的履职情况</w:t>
      </w:r>
      <w:r>
        <w:rPr>
          <w:rFonts w:ascii="宋体" w:hAnsi="宋体" w:cs="宋体" w:eastAsia="宋体" w:hint="default"/>
          <w:w w:val="100"/>
        </w:rPr>
        <w:t> </w:t>
      </w:r>
      <w:r>
        <w:rPr>
          <w:spacing w:val="-2"/>
        </w:rPr>
        <w:t>薪酬与考核委员会对报告期内董事会确定的考核目标进行了评估考核。薪酬与考核委员会认</w:t>
      </w:r>
    </w:p>
    <w:p>
      <w:pPr>
        <w:pStyle w:val="BodyText"/>
        <w:spacing w:line="245" w:lineRule="exact"/>
        <w:ind w:right="0"/>
        <w:jc w:val="left"/>
      </w:pPr>
      <w:r>
        <w:rPr>
          <w:spacing w:val="-3"/>
        </w:rPr>
        <w:t>真审核后认为：</w:t>
      </w:r>
      <w:r>
        <w:rPr>
          <w:rFonts w:ascii="宋体" w:hAnsi="宋体" w:cs="宋体" w:eastAsia="宋体" w:hint="default"/>
          <w:spacing w:val="-3"/>
        </w:rPr>
        <w:t>2019</w:t>
      </w:r>
      <w:r>
        <w:rPr>
          <w:rFonts w:ascii="宋体" w:hAnsi="宋体" w:cs="宋体" w:eastAsia="宋体" w:hint="default"/>
          <w:spacing w:val="30"/>
        </w:rPr>
        <w:t> </w:t>
      </w:r>
      <w:r>
        <w:rPr>
          <w:spacing w:val="-3"/>
        </w:rPr>
        <w:t>年度公司对董事、监事和高级管理人员支付的报酬、独立董事的年度津贴以</w:t>
      </w:r>
    </w:p>
    <w:p>
      <w:pPr>
        <w:pStyle w:val="BodyText"/>
        <w:spacing w:line="272" w:lineRule="exact" w:before="27"/>
        <w:ind w:right="0"/>
        <w:jc w:val="left"/>
        <w:rPr>
          <w:rFonts w:ascii="宋体" w:hAnsi="宋体" w:cs="宋体" w:eastAsia="宋体" w:hint="default"/>
        </w:rPr>
      </w:pPr>
      <w:r>
        <w:rPr>
          <w:spacing w:val="-2"/>
        </w:rPr>
        <w:t>及年度考核奖励意见，符合公司有关薪酬政策及考核标准，未有违反公司薪酬管理制度的情况发</w:t>
      </w:r>
      <w:r>
        <w:rPr>
          <w:spacing w:val="-25"/>
        </w:rPr>
        <w:t> </w:t>
      </w:r>
      <w:r>
        <w:rPr>
          <w:spacing w:val="-25"/>
        </w:rPr>
      </w:r>
      <w:r>
        <w:rPr/>
        <w:t>生。</w:t>
      </w:r>
      <w:r>
        <w:rPr>
          <w:rFonts w:ascii="宋体" w:hAnsi="宋体" w:cs="宋体" w:eastAsia="宋体" w:hint="default"/>
        </w:rPr>
        <w:t> </w:t>
      </w:r>
    </w:p>
    <w:p>
      <w:pPr>
        <w:pStyle w:val="BodyText"/>
        <w:spacing w:line="246" w:lineRule="exact"/>
        <w:ind w:left="638" w:right="0"/>
        <w:jc w:val="left"/>
        <w:rPr>
          <w:rFonts w:ascii="宋体" w:hAnsi="宋体" w:cs="宋体" w:eastAsia="宋体" w:hint="default"/>
        </w:rPr>
      </w:pPr>
      <w:r>
        <w:rPr>
          <w:rFonts w:ascii="宋体" w:hAnsi="宋体" w:cs="宋体" w:eastAsia="宋体" w:hint="default"/>
        </w:rPr>
        <w:t>3</w:t>
      </w:r>
      <w:r>
        <w:rPr/>
        <w:t>、董事会下设的战略委员会的履职情况</w:t>
      </w:r>
      <w:r>
        <w:rPr>
          <w:rFonts w:ascii="宋体" w:hAnsi="宋体" w:cs="宋体" w:eastAsia="宋体" w:hint="default"/>
        </w:rPr>
        <w:t> </w:t>
      </w:r>
    </w:p>
    <w:p>
      <w:pPr>
        <w:pStyle w:val="BodyText"/>
        <w:spacing w:line="237" w:lineRule="auto" w:before="2"/>
        <w:ind w:right="210" w:firstLine="419"/>
        <w:jc w:val="both"/>
        <w:rPr>
          <w:rFonts w:ascii="宋体" w:hAnsi="宋体" w:cs="宋体" w:eastAsia="宋体" w:hint="default"/>
        </w:rPr>
      </w:pPr>
      <w:r>
        <w:rPr>
          <w:spacing w:val="-2"/>
        </w:rPr>
        <w:t>报告期内，战略委员会按照《公司董事会战略委员会议事规则》等相关制度的规定，对公司</w:t>
      </w:r>
      <w:r>
        <w:rPr>
          <w:w w:val="100"/>
        </w:rPr>
        <w:t> </w:t>
      </w:r>
      <w:r>
        <w:rPr>
          <w:spacing w:val="-2"/>
        </w:rPr>
        <w:t>战略的制定、执行及重大投资项目进行了充分的调研和论证，与董事会及管理层认真分析了公司</w:t>
      </w:r>
      <w:r>
        <w:rPr>
          <w:spacing w:val="-25"/>
        </w:rPr>
        <w:t> </w:t>
      </w:r>
      <w:r>
        <w:rPr>
          <w:spacing w:val="-25"/>
        </w:rPr>
      </w:r>
      <w:r>
        <w:rPr>
          <w:spacing w:val="-6"/>
        </w:rPr>
        <w:t>所处的行业环境、技术发展状况和市场形势，对公司</w:t>
      </w:r>
      <w:r>
        <w:rPr>
          <w:spacing w:val="-39"/>
        </w:rPr>
        <w:t> </w:t>
      </w:r>
      <w:r>
        <w:rPr>
          <w:rFonts w:ascii="宋体" w:hAnsi="宋体" w:cs="宋体" w:eastAsia="宋体" w:hint="default"/>
        </w:rPr>
        <w:t>2019</w:t>
      </w:r>
      <w:r>
        <w:rPr>
          <w:rFonts w:ascii="宋体" w:hAnsi="宋体" w:cs="宋体" w:eastAsia="宋体" w:hint="default"/>
          <w:spacing w:val="-39"/>
        </w:rPr>
        <w:t> </w:t>
      </w:r>
      <w:r>
        <w:rPr/>
        <w:t>年发展目标和公司的中长期发展战略进</w:t>
      </w:r>
      <w:r>
        <w:rPr>
          <w:spacing w:val="-100"/>
        </w:rPr>
        <w:t> </w:t>
      </w:r>
      <w:r>
        <w:rPr>
          <w:spacing w:val="-100"/>
        </w:rPr>
      </w:r>
      <w:r>
        <w:rPr>
          <w:spacing w:val="-2"/>
        </w:rPr>
        <w:t>行了较为系统的规划研究，并对公司发展战略及实施提出了合理化建议。报告期内董事会战略委</w:t>
      </w:r>
      <w:r>
        <w:rPr>
          <w:spacing w:val="-25"/>
        </w:rPr>
        <w:t> </w:t>
      </w:r>
      <w:r>
        <w:rPr>
          <w:spacing w:val="-25"/>
        </w:rPr>
      </w:r>
      <w:r>
        <w:rPr>
          <w:spacing w:val="-2"/>
        </w:rPr>
        <w:t>员会重点对光伏电站的投资作出可行性分析，并对对外投资设立新公司以及进行战略合作及时履</w:t>
      </w:r>
      <w:r>
        <w:rPr>
          <w:spacing w:val="-25"/>
        </w:rPr>
        <w:t> </w:t>
      </w:r>
      <w:r>
        <w:rPr>
          <w:spacing w:val="-25"/>
        </w:rPr>
      </w:r>
      <w:r>
        <w:rPr/>
        <w:t>行了战略委员会委员的职责。</w:t>
      </w:r>
      <w:r>
        <w:rPr>
          <w:rFonts w:ascii="宋体" w:hAnsi="宋体" w:cs="宋体" w:eastAsia="宋体" w:hint="default"/>
        </w:rPr>
        <w:t> </w:t>
      </w:r>
    </w:p>
    <w:p>
      <w:pPr>
        <w:pStyle w:val="BodyText"/>
        <w:spacing w:line="272" w:lineRule="exact" w:before="27"/>
        <w:ind w:left="638" w:right="0"/>
        <w:jc w:val="left"/>
      </w:pPr>
      <w:r>
        <w:rPr>
          <w:rFonts w:ascii="宋体" w:hAnsi="宋体" w:cs="宋体" w:eastAsia="宋体" w:hint="default"/>
        </w:rPr>
        <w:t>4</w:t>
      </w:r>
      <w:r>
        <w:rPr/>
        <w:t>、董事会下设的提名委员会的履职情况</w:t>
      </w:r>
      <w:r>
        <w:rPr>
          <w:rFonts w:ascii="宋体" w:hAnsi="宋体" w:cs="宋体" w:eastAsia="宋体" w:hint="default"/>
          <w:w w:val="100"/>
        </w:rPr>
        <w:t> </w:t>
      </w:r>
      <w:r>
        <w:rPr>
          <w:spacing w:val="-2"/>
        </w:rPr>
        <w:t>报告期内，董事会提名委员会按照《公司董事会提名委员会议事规则》等相关制度的规定，</w:t>
      </w:r>
    </w:p>
    <w:p>
      <w:pPr>
        <w:pStyle w:val="BodyText"/>
        <w:spacing w:line="272" w:lineRule="exact" w:before="1"/>
        <w:ind w:right="0"/>
        <w:jc w:val="left"/>
      </w:pPr>
      <w:r>
        <w:rPr>
          <w:spacing w:val="-2"/>
        </w:rPr>
        <w:t>根据公司发展需要，对提名的董事、监事以及高级管理人员的工作履历、行业背景及专业经验进</w:t>
      </w:r>
      <w:r>
        <w:rPr>
          <w:spacing w:val="-25"/>
        </w:rPr>
        <w:t> </w:t>
      </w:r>
      <w:r>
        <w:rPr>
          <w:spacing w:val="-25"/>
        </w:rPr>
      </w:r>
      <w:r>
        <w:rPr>
          <w:spacing w:val="-2"/>
        </w:rPr>
        <w:t>行严格筛选，充分履行了提名委员会委员的职责，确保提名的候选人能够合格上任，维护公司的</w:t>
      </w:r>
    </w:p>
    <w:p>
      <w:pPr>
        <w:pStyle w:val="BodyText"/>
        <w:spacing w:line="247" w:lineRule="exact"/>
        <w:ind w:right="0"/>
        <w:jc w:val="left"/>
        <w:rPr>
          <w:rFonts w:ascii="宋体" w:hAnsi="宋体" w:cs="宋体" w:eastAsia="宋体" w:hint="default"/>
        </w:rPr>
      </w:pPr>
      <w:r>
        <w:rPr/>
        <w:t>持续稳定发展。</w:t>
      </w:r>
      <w:r>
        <w:rPr>
          <w:rFonts w:ascii="宋体" w:hAnsi="宋体" w:cs="宋体" w:eastAsia="宋体" w:hint="default"/>
        </w:rPr>
        <w:t> </w:t>
      </w:r>
    </w:p>
    <w:p>
      <w:pPr>
        <w:pStyle w:val="BodyText"/>
        <w:spacing w:line="273" w:lineRule="exact"/>
        <w:ind w:right="0"/>
        <w:jc w:val="left"/>
        <w:rPr>
          <w:rFonts w:ascii="宋体" w:hAnsi="宋体" w:cs="宋体" w:eastAsia="宋体" w:hint="default"/>
        </w:rPr>
      </w:pPr>
      <w:r>
        <w:rPr>
          <w:rFonts w:ascii="宋体"/>
          <w:w w:val="100"/>
        </w:rPr>
        <w:t> </w:t>
      </w:r>
    </w:p>
    <w:p>
      <w:pPr>
        <w:pStyle w:val="Heading3"/>
        <w:spacing w:line="240" w:lineRule="auto" w:before="58"/>
        <w:ind w:right="0"/>
        <w:jc w:val="left"/>
        <w:rPr>
          <w:b w:val="0"/>
          <w:bCs w:val="0"/>
        </w:rPr>
      </w:pPr>
      <w:r>
        <w:rPr>
          <w:spacing w:val="-1"/>
        </w:rPr>
        <w:t>五、</w:t>
      </w:r>
      <w:r>
        <w:rPr>
          <w:spacing w:val="-90"/>
        </w:rPr>
        <w:t> </w:t>
      </w:r>
      <w:r>
        <w:rPr>
          <w:rFonts w:ascii="宋体" w:hAnsi="宋体" w:cs="宋体" w:eastAsia="宋体" w:hint="default"/>
          <w:spacing w:val="-90"/>
        </w:rPr>
      </w:r>
      <w:r>
        <w:rPr>
          <w:spacing w:val="-1"/>
        </w:rPr>
        <w:t>监事会发现公司存在风险的说明</w:t>
      </w:r>
      <w:r>
        <w:rPr>
          <w:b w:val="0"/>
          <w:bCs w:val="0"/>
          <w:spacing w:val="-1"/>
        </w:rPr>
      </w:r>
    </w:p>
    <w:p>
      <w:pPr>
        <w:pStyle w:val="BodyText"/>
        <w:spacing w:line="274" w:lineRule="exact" w:before="56"/>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right="0"/>
        <w:jc w:val="left"/>
        <w:rPr>
          <w:rFonts w:ascii="宋体" w:hAnsi="宋体" w:cs="宋体" w:eastAsia="宋体" w:hint="default"/>
        </w:rPr>
      </w:pPr>
      <w:r>
        <w:rPr>
          <w:rFonts w:ascii="宋体"/>
          <w:w w:val="100"/>
        </w:rPr>
        <w:t> </w:t>
      </w:r>
    </w:p>
    <w:p>
      <w:pPr>
        <w:pStyle w:val="Heading3"/>
        <w:spacing w:line="240" w:lineRule="auto" w:before="56"/>
        <w:ind w:left="642" w:right="0" w:hanging="425"/>
        <w:jc w:val="left"/>
        <w:rPr>
          <w:b w:val="0"/>
          <w:bCs w:val="0"/>
        </w:rPr>
      </w:pPr>
      <w:r>
        <w:rPr>
          <w:spacing w:val="-1"/>
        </w:rPr>
        <w:t>六、</w:t>
      </w:r>
      <w:r>
        <w:rPr>
          <w:spacing w:val="-99"/>
        </w:rPr>
        <w:t> </w:t>
      </w:r>
      <w:r>
        <w:rPr>
          <w:rFonts w:ascii="宋体" w:hAnsi="宋体" w:cs="宋体" w:eastAsia="宋体" w:hint="default"/>
          <w:spacing w:val="-99"/>
        </w:rPr>
      </w:r>
      <w:r>
        <w:rPr>
          <w:spacing w:val="-2"/>
        </w:rPr>
        <w:t>公司就其与控股股东在业务、人员、资产、机构、财务等方面存在的不能保证独立性、不能</w:t>
      </w:r>
      <w:r>
        <w:rPr>
          <w:spacing w:val="-57"/>
        </w:rPr>
        <w:t> </w:t>
      </w:r>
      <w:r>
        <w:rPr>
          <w:spacing w:val="-57"/>
        </w:rPr>
      </w:r>
      <w:r>
        <w:rPr/>
        <w:t>保持自主经营能力的情况说明</w:t>
      </w:r>
      <w:r>
        <w:rPr>
          <w:b w:val="0"/>
          <w:bCs w:val="0"/>
        </w:rPr>
      </w:r>
    </w:p>
    <w:p>
      <w:pPr>
        <w:pStyle w:val="BodyText"/>
        <w:spacing w:line="275" w:lineRule="exact" w:before="56"/>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before="27"/>
        <w:ind w:right="0"/>
        <w:jc w:val="left"/>
        <w:rPr>
          <w:rFonts w:ascii="宋体" w:hAnsi="宋体" w:cs="宋体" w:eastAsia="宋体" w:hint="default"/>
        </w:rPr>
      </w:pPr>
      <w:r>
        <w:rPr>
          <w:rFonts w:ascii="宋体" w:hAnsi="宋体" w:cs="宋体" w:eastAsia="宋体" w:hint="default"/>
          <w:w w:val="100"/>
        </w:rPr>
        <w:t>  </w:t>
      </w:r>
      <w:r>
        <w:rPr>
          <w:w w:val="100"/>
        </w:rPr>
        <w:t>存在</w:t>
      </w:r>
      <w:r>
        <w:rPr>
          <w:spacing w:val="-3"/>
          <w:w w:val="100"/>
        </w:rPr>
        <w:t>同</w:t>
      </w:r>
      <w:r>
        <w:rPr>
          <w:w w:val="100"/>
        </w:rPr>
        <w:t>业</w:t>
      </w:r>
      <w:r>
        <w:rPr>
          <w:spacing w:val="-3"/>
          <w:w w:val="100"/>
        </w:rPr>
        <w:t>竞</w:t>
      </w:r>
      <w:r>
        <w:rPr>
          <w:w w:val="100"/>
        </w:rPr>
        <w:t>争</w:t>
      </w:r>
      <w:r>
        <w:rPr>
          <w:spacing w:val="-3"/>
          <w:w w:val="100"/>
        </w:rPr>
        <w:t>的</w:t>
      </w:r>
      <w:r>
        <w:rPr>
          <w:w w:val="100"/>
        </w:rPr>
        <w:t>，</w:t>
      </w:r>
      <w:r>
        <w:rPr>
          <w:spacing w:val="-3"/>
          <w:w w:val="100"/>
        </w:rPr>
        <w:t>公</w:t>
      </w:r>
      <w:r>
        <w:rPr>
          <w:w w:val="100"/>
        </w:rPr>
        <w:t>司</w:t>
      </w:r>
      <w:r>
        <w:rPr>
          <w:spacing w:val="-3"/>
          <w:w w:val="100"/>
        </w:rPr>
        <w:t>相</w:t>
      </w:r>
      <w:r>
        <w:rPr>
          <w:w w:val="100"/>
        </w:rPr>
        <w:t>应的</w:t>
      </w:r>
      <w:r>
        <w:rPr>
          <w:spacing w:val="-3"/>
          <w:w w:val="100"/>
        </w:rPr>
        <w:t>解</w:t>
      </w:r>
      <w:r>
        <w:rPr>
          <w:w w:val="100"/>
        </w:rPr>
        <w:t>决</w:t>
      </w:r>
      <w:r>
        <w:rPr>
          <w:spacing w:val="-3"/>
          <w:w w:val="100"/>
        </w:rPr>
        <w:t>措</w:t>
      </w:r>
      <w:r>
        <w:rPr>
          <w:w w:val="100"/>
        </w:rPr>
        <w:t>施</w:t>
      </w:r>
      <w:r>
        <w:rPr>
          <w:spacing w:val="-3"/>
          <w:w w:val="100"/>
        </w:rPr>
        <w:t>、</w:t>
      </w:r>
      <w:r>
        <w:rPr>
          <w:w w:val="100"/>
        </w:rPr>
        <w:t>工</w:t>
      </w:r>
      <w:r>
        <w:rPr>
          <w:spacing w:val="-3"/>
          <w:w w:val="100"/>
        </w:rPr>
        <w:t>作</w:t>
      </w:r>
      <w:r>
        <w:rPr>
          <w:w w:val="100"/>
        </w:rPr>
        <w:t>进</w:t>
      </w:r>
      <w:r>
        <w:rPr>
          <w:spacing w:val="-3"/>
          <w:w w:val="100"/>
        </w:rPr>
        <w:t>度</w:t>
      </w:r>
      <w:r>
        <w:rPr>
          <w:w w:val="100"/>
        </w:rPr>
        <w:t>及后</w:t>
      </w:r>
      <w:r>
        <w:rPr>
          <w:spacing w:val="-3"/>
          <w:w w:val="100"/>
        </w:rPr>
        <w:t>续</w:t>
      </w:r>
      <w:r>
        <w:rPr>
          <w:w w:val="100"/>
        </w:rPr>
        <w:t>工</w:t>
      </w:r>
      <w:r>
        <w:rPr>
          <w:spacing w:val="-3"/>
          <w:w w:val="100"/>
        </w:rPr>
        <w:t>作</w:t>
      </w:r>
      <w:r>
        <w:rPr>
          <w:w w:val="100"/>
        </w:rPr>
        <w:t>计</w:t>
      </w:r>
      <w:r>
        <w:rPr>
          <w:spacing w:val="-3"/>
          <w:w w:val="100"/>
        </w:rPr>
        <w:t>划</w:t>
      </w:r>
      <w:r>
        <w:rPr>
          <w:rFonts w:ascii="宋体" w:hAnsi="宋体" w:cs="宋体" w:eastAsia="宋体" w:hint="default"/>
          <w:w w:val="100"/>
        </w:rPr>
        <w:t> </w:t>
      </w:r>
    </w:p>
    <w:p>
      <w:pPr>
        <w:pStyle w:val="BodyText"/>
        <w:spacing w:line="246" w:lineRule="exact"/>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right="0"/>
        <w:jc w:val="left"/>
        <w:rPr>
          <w:rFonts w:ascii="宋体" w:hAnsi="宋体" w:cs="宋体" w:eastAsia="宋体" w:hint="default"/>
        </w:rPr>
      </w:pPr>
      <w:r>
        <w:rPr>
          <w:rFonts w:ascii="宋体"/>
          <w:w w:val="100"/>
        </w:rPr>
        <w:t> </w:t>
      </w:r>
    </w:p>
    <w:p>
      <w:pPr>
        <w:pStyle w:val="Heading3"/>
        <w:spacing w:line="240" w:lineRule="auto" w:before="56"/>
        <w:ind w:right="0"/>
        <w:jc w:val="left"/>
        <w:rPr>
          <w:b w:val="0"/>
          <w:bCs w:val="0"/>
        </w:rPr>
      </w:pPr>
      <w:r>
        <w:rPr>
          <w:spacing w:val="-1"/>
        </w:rPr>
        <w:t>七、</w:t>
      </w:r>
      <w:r>
        <w:rPr>
          <w:spacing w:val="-72"/>
        </w:rPr>
        <w:t> </w:t>
      </w:r>
      <w:r>
        <w:rPr>
          <w:rFonts w:ascii="宋体" w:hAnsi="宋体" w:cs="宋体" w:eastAsia="宋体" w:hint="default"/>
          <w:spacing w:val="-72"/>
        </w:rPr>
      </w:r>
      <w:r>
        <w:rPr>
          <w:spacing w:val="-1"/>
        </w:rPr>
        <w:t>报告期内对高级管理人员的考评机制，以及激励机制的建立、实施情况</w:t>
      </w:r>
      <w:r>
        <w:rPr>
          <w:b w:val="0"/>
          <w:bCs w:val="0"/>
          <w:spacing w:val="-1"/>
        </w:rPr>
      </w:r>
    </w:p>
    <w:p>
      <w:pPr>
        <w:pStyle w:val="BodyText"/>
        <w:spacing w:line="273" w:lineRule="exact" w:before="58"/>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37" w:lineRule="auto"/>
        <w:ind w:right="107" w:firstLine="419"/>
        <w:jc w:val="both"/>
        <w:rPr>
          <w:rFonts w:ascii="宋体" w:hAnsi="宋体" w:cs="宋体" w:eastAsia="宋体" w:hint="default"/>
        </w:rPr>
      </w:pPr>
      <w:r>
        <w:rPr/>
        <w:t>为了实现公司 </w:t>
      </w:r>
      <w:r>
        <w:rPr>
          <w:rFonts w:ascii="宋体" w:hAnsi="宋体" w:cs="宋体" w:eastAsia="宋体" w:hint="default"/>
        </w:rPr>
        <w:t>2019</w:t>
      </w:r>
      <w:r>
        <w:rPr>
          <w:rFonts w:ascii="宋体" w:hAnsi="宋体" w:cs="宋体" w:eastAsia="宋体" w:hint="default"/>
          <w:spacing w:val="-79"/>
        </w:rPr>
        <w:t> </w:t>
      </w:r>
      <w:r>
        <w:rPr>
          <w:spacing w:val="-5"/>
        </w:rPr>
        <w:t>年经营目标，报告期内，公司根据高级管理人员的绩效考评机制，通过年</w:t>
      </w:r>
      <w:r>
        <w:rPr>
          <w:w w:val="100"/>
        </w:rPr>
        <w:t> </w:t>
      </w:r>
      <w:r>
        <w:rPr/>
        <w:t>初绩效目标任务书对高级管理人员实施年度、季度、月度目标责任考核，依照公司全年经营目标</w:t>
      </w:r>
      <w:r>
        <w:rPr>
          <w:w w:val="100"/>
        </w:rPr>
        <w:t> </w:t>
      </w:r>
      <w:r>
        <w:rPr>
          <w:spacing w:val="-7"/>
          <w:w w:val="100"/>
        </w:rPr>
        <w:t>完成情况，结合年度个人考核评价结果，对高级管理人员进行了业绩考核并兑现年薪和绩效奖励。</w:t>
      </w:r>
      <w:r>
        <w:rPr>
          <w:rFonts w:ascii="宋体" w:hAnsi="宋体" w:cs="宋体" w:eastAsia="宋体" w:hint="default"/>
          <w:w w:val="100"/>
        </w:rPr>
        <w:t> </w:t>
      </w:r>
    </w:p>
    <w:p>
      <w:pPr>
        <w:pStyle w:val="BodyText"/>
        <w:spacing w:line="272" w:lineRule="exact" w:before="26"/>
        <w:ind w:right="207" w:firstLine="419"/>
        <w:jc w:val="left"/>
      </w:pPr>
      <w:r>
        <w:rPr>
          <w:spacing w:val="-2"/>
        </w:rPr>
        <w:t>董事会下设薪酬与考核委员会，建立了相应的工作细则，为有效调动高管人员的积极性和创</w:t>
      </w:r>
      <w:r>
        <w:rPr>
          <w:w w:val="100"/>
        </w:rPr>
        <w:t> </w:t>
      </w:r>
      <w:r>
        <w:rPr>
          <w:spacing w:val="-5"/>
        </w:rPr>
        <w:t>造力，董事会薪酬与考核委员根据 </w:t>
      </w:r>
      <w:r>
        <w:rPr>
          <w:rFonts w:ascii="宋体" w:hAnsi="宋体" w:cs="宋体" w:eastAsia="宋体" w:hint="default"/>
        </w:rPr>
        <w:t>2016</w:t>
      </w:r>
      <w:r>
        <w:rPr>
          <w:rFonts w:ascii="宋体" w:hAnsi="宋体" w:cs="宋体" w:eastAsia="宋体" w:hint="default"/>
          <w:spacing w:val="-29"/>
        </w:rPr>
        <w:t> </w:t>
      </w:r>
      <w:r>
        <w:rPr>
          <w:spacing w:val="-4"/>
        </w:rPr>
        <w:t>年第七次临时股东大会审议通过的《公司第二期限制性股</w:t>
      </w:r>
    </w:p>
    <w:p>
      <w:pPr>
        <w:spacing w:after="0" w:line="272" w:lineRule="exact"/>
        <w:jc w:val="left"/>
        <w:sectPr>
          <w:pgSz w:w="11910" w:h="16840"/>
          <w:pgMar w:header="743" w:footer="974" w:top="1120" w:bottom="1160" w:left="1580" w:right="1060"/>
        </w:sectPr>
      </w:pPr>
    </w:p>
    <w:p>
      <w:pPr>
        <w:spacing w:line="240" w:lineRule="auto" w:before="4"/>
        <w:rPr>
          <w:rFonts w:ascii="宋体" w:hAnsi="宋体" w:cs="宋体" w:eastAsia="宋体" w:hint="default"/>
          <w:sz w:val="24"/>
          <w:szCs w:val="24"/>
        </w:rPr>
      </w:pPr>
    </w:p>
    <w:p>
      <w:pPr>
        <w:pStyle w:val="BodyText"/>
        <w:spacing w:line="237" w:lineRule="auto" w:before="38"/>
        <w:ind w:right="208"/>
        <w:jc w:val="both"/>
        <w:rPr>
          <w:rFonts w:ascii="宋体" w:hAnsi="宋体" w:cs="宋体" w:eastAsia="宋体" w:hint="default"/>
        </w:rPr>
      </w:pPr>
      <w:r>
        <w:rPr>
          <w:spacing w:val="-2"/>
        </w:rPr>
        <w:t>票激励计划（草案）》和《公司第二期限制性股票激励计划实施考核管理办法》的议案。报告期</w:t>
      </w:r>
      <w:r>
        <w:rPr>
          <w:spacing w:val="-25"/>
        </w:rPr>
        <w:t> </w:t>
      </w:r>
      <w:r>
        <w:rPr>
          <w:spacing w:val="-25"/>
        </w:rPr>
      </w:r>
      <w:r>
        <w:rPr>
          <w:spacing w:val="-17"/>
        </w:rPr>
        <w:t>内，因</w:t>
      </w:r>
      <w:r>
        <w:rPr>
          <w:spacing w:val="-29"/>
        </w:rPr>
        <w:t> </w:t>
      </w:r>
      <w:r>
        <w:rPr>
          <w:rFonts w:ascii="宋体" w:hAnsi="宋体" w:cs="宋体" w:eastAsia="宋体" w:hint="default"/>
        </w:rPr>
        <w:t>2019</w:t>
      </w:r>
      <w:r>
        <w:rPr>
          <w:rFonts w:ascii="宋体" w:hAnsi="宋体" w:cs="宋体" w:eastAsia="宋体" w:hint="default"/>
          <w:spacing w:val="-29"/>
        </w:rPr>
        <w:t> </w:t>
      </w:r>
      <w:r>
        <w:rPr>
          <w:spacing w:val="-3"/>
        </w:rPr>
        <w:t>年度公司层面考核结果未能达到规定的业绩考核指标，第二次股权激励计划首次授予</w:t>
      </w:r>
      <w:r>
        <w:rPr>
          <w:spacing w:val="-95"/>
        </w:rPr>
        <w:t> </w:t>
      </w:r>
      <w:r>
        <w:rPr>
          <w:spacing w:val="-95"/>
        </w:rPr>
      </w:r>
      <w:r>
        <w:rPr>
          <w:spacing w:val="-2"/>
        </w:rPr>
        <w:t>限制性股票第三次解锁条件和预留授予限制性股票第二次解锁条件未成就，故未达解锁条件的限</w:t>
      </w:r>
      <w:r>
        <w:rPr>
          <w:spacing w:val="-25"/>
        </w:rPr>
        <w:t> </w:t>
      </w:r>
      <w:r>
        <w:rPr>
          <w:spacing w:val="-25"/>
        </w:rPr>
      </w:r>
      <w:r>
        <w:rPr/>
        <w:t>制性股票将由公司回购注销。</w:t>
      </w:r>
      <w:r>
        <w:rPr>
          <w:rFonts w:ascii="宋体" w:hAnsi="宋体" w:cs="宋体" w:eastAsia="宋体" w:hint="default"/>
        </w:rPr>
        <w:t> </w:t>
      </w:r>
    </w:p>
    <w:p>
      <w:pPr>
        <w:pStyle w:val="BodyText"/>
        <w:spacing w:line="271" w:lineRule="exact"/>
        <w:ind w:right="0"/>
        <w:jc w:val="both"/>
        <w:rPr>
          <w:rFonts w:ascii="宋体" w:hAnsi="宋体" w:cs="宋体" w:eastAsia="宋体" w:hint="default"/>
        </w:rPr>
      </w:pPr>
      <w:r>
        <w:rPr>
          <w:rFonts w:ascii="宋体"/>
          <w:w w:val="100"/>
        </w:rPr>
        <w:t> </w:t>
      </w:r>
    </w:p>
    <w:p>
      <w:pPr>
        <w:pStyle w:val="Heading3"/>
        <w:spacing w:line="240" w:lineRule="auto" w:before="58"/>
        <w:ind w:right="0"/>
        <w:jc w:val="both"/>
        <w:rPr>
          <w:b w:val="0"/>
          <w:bCs w:val="0"/>
        </w:rPr>
      </w:pPr>
      <w:r>
        <w:rPr>
          <w:spacing w:val="-1"/>
        </w:rPr>
        <w:t>八、</w:t>
      </w:r>
      <w:r>
        <w:rPr>
          <w:spacing w:val="-90"/>
        </w:rPr>
        <w:t> </w:t>
      </w:r>
      <w:r>
        <w:rPr>
          <w:rFonts w:ascii="宋体" w:hAnsi="宋体" w:cs="宋体" w:eastAsia="宋体" w:hint="default"/>
          <w:spacing w:val="-90"/>
        </w:rPr>
      </w:r>
      <w:r>
        <w:rPr>
          <w:spacing w:val="-1"/>
        </w:rPr>
        <w:t>是否披露内部控制自我评价报告</w:t>
      </w:r>
      <w:r>
        <w:rPr>
          <w:b w:val="0"/>
          <w:bCs w:val="0"/>
          <w:spacing w:val="-1"/>
        </w:rPr>
      </w:r>
    </w:p>
    <w:p>
      <w:pPr>
        <w:pStyle w:val="BodyText"/>
        <w:spacing w:line="274" w:lineRule="exact" w:before="56"/>
        <w:ind w:right="0"/>
        <w:jc w:val="both"/>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right="0"/>
        <w:jc w:val="both"/>
        <w:rPr>
          <w:rFonts w:ascii="宋体" w:hAnsi="宋体" w:cs="宋体" w:eastAsia="宋体" w:hint="default"/>
        </w:rPr>
      </w:pPr>
      <w:r>
        <w:rPr/>
        <w:t>公司</w:t>
      </w:r>
      <w:r>
        <w:rPr>
          <w:spacing w:val="-54"/>
        </w:rPr>
        <w:t> </w:t>
      </w:r>
      <w:r>
        <w:rPr>
          <w:rFonts w:ascii="宋体" w:hAnsi="宋体" w:cs="宋体" w:eastAsia="宋体" w:hint="default"/>
        </w:rPr>
        <w:t>2019</w:t>
      </w:r>
      <w:r>
        <w:rPr>
          <w:rFonts w:ascii="宋体" w:hAnsi="宋体" w:cs="宋体" w:eastAsia="宋体" w:hint="default"/>
          <w:spacing w:val="-56"/>
        </w:rPr>
        <w:t> </w:t>
      </w:r>
      <w:r>
        <w:rPr/>
        <w:t>年度内部控制评价报告详见于</w:t>
      </w:r>
      <w:r>
        <w:rPr>
          <w:spacing w:val="-54"/>
        </w:rPr>
        <w:t> </w:t>
      </w:r>
      <w:r>
        <w:rPr>
          <w:rFonts w:ascii="宋体" w:hAnsi="宋体" w:cs="宋体" w:eastAsia="宋体" w:hint="default"/>
        </w:rPr>
        <w:t>2020</w:t>
      </w:r>
      <w:r>
        <w:rPr>
          <w:rFonts w:ascii="宋体" w:hAnsi="宋体" w:cs="宋体" w:eastAsia="宋体" w:hint="default"/>
          <w:spacing w:val="-56"/>
        </w:rPr>
        <w:t> </w:t>
      </w:r>
      <w:r>
        <w:rPr/>
        <w:t>年</w:t>
      </w:r>
      <w:r>
        <w:rPr>
          <w:spacing w:val="-54"/>
        </w:rPr>
        <w:t> </w:t>
      </w:r>
      <w:r>
        <w:rPr>
          <w:rFonts w:ascii="宋体" w:hAnsi="宋体" w:cs="宋体" w:eastAsia="宋体" w:hint="default"/>
        </w:rPr>
        <w:t>4</w:t>
      </w:r>
      <w:r>
        <w:rPr>
          <w:rFonts w:ascii="宋体" w:hAnsi="宋体" w:cs="宋体" w:eastAsia="宋体" w:hint="default"/>
          <w:spacing w:val="-56"/>
        </w:rPr>
        <w:t> </w:t>
      </w:r>
      <w:r>
        <w:rPr/>
        <w:t>月</w:t>
      </w:r>
      <w:r>
        <w:rPr>
          <w:spacing w:val="-53"/>
        </w:rPr>
        <w:t> </w:t>
      </w:r>
      <w:r>
        <w:rPr>
          <w:rFonts w:ascii="宋体" w:hAnsi="宋体" w:cs="宋体" w:eastAsia="宋体" w:hint="default"/>
        </w:rPr>
        <w:t>25</w:t>
      </w:r>
      <w:r>
        <w:rPr>
          <w:rFonts w:ascii="宋体" w:hAnsi="宋体" w:cs="宋体" w:eastAsia="宋体" w:hint="default"/>
          <w:spacing w:val="-56"/>
        </w:rPr>
        <w:t> </w:t>
      </w:r>
      <w:r>
        <w:rPr/>
        <w:t>日在上海证券交易所网站披露的公告。</w:t>
      </w:r>
      <w:r>
        <w:rPr>
          <w:rFonts w:ascii="宋体" w:hAnsi="宋体" w:cs="宋体" w:eastAsia="宋体" w:hint="default"/>
        </w:rPr>
        <w:t> </w:t>
      </w:r>
    </w:p>
    <w:p>
      <w:pPr>
        <w:pStyle w:val="BodyText"/>
        <w:spacing w:line="240" w:lineRule="auto"/>
        <w:ind w:right="0"/>
        <w:jc w:val="left"/>
        <w:rPr>
          <w:rFonts w:ascii="宋体" w:hAnsi="宋体" w:cs="宋体" w:eastAsia="宋体" w:hint="default"/>
        </w:rPr>
      </w:pPr>
      <w:r>
        <w:rPr>
          <w:rFonts w:ascii="宋体" w:hAnsi="宋体" w:cs="宋体" w:eastAsia="宋体" w:hint="default"/>
          <w:w w:val="100"/>
        </w:rPr>
        <w:t>  </w:t>
      </w:r>
      <w:r>
        <w:rPr>
          <w:w w:val="100"/>
        </w:rPr>
        <w:t>报告</w:t>
      </w:r>
      <w:r>
        <w:rPr>
          <w:spacing w:val="-3"/>
          <w:w w:val="100"/>
        </w:rPr>
        <w:t>期</w:t>
      </w:r>
      <w:r>
        <w:rPr>
          <w:w w:val="100"/>
        </w:rPr>
        <w:t>内</w:t>
      </w:r>
      <w:r>
        <w:rPr>
          <w:spacing w:val="-3"/>
          <w:w w:val="100"/>
        </w:rPr>
        <w:t>部</w:t>
      </w:r>
      <w:r>
        <w:rPr>
          <w:w w:val="100"/>
        </w:rPr>
        <w:t>控</w:t>
      </w:r>
      <w:r>
        <w:rPr>
          <w:spacing w:val="-3"/>
          <w:w w:val="100"/>
        </w:rPr>
        <w:t>制</w:t>
      </w:r>
      <w:r>
        <w:rPr>
          <w:w w:val="100"/>
        </w:rPr>
        <w:t>存</w:t>
      </w:r>
      <w:r>
        <w:rPr>
          <w:spacing w:val="-3"/>
          <w:w w:val="100"/>
        </w:rPr>
        <w:t>在</w:t>
      </w:r>
      <w:r>
        <w:rPr>
          <w:w w:val="100"/>
        </w:rPr>
        <w:t>重</w:t>
      </w:r>
      <w:r>
        <w:rPr>
          <w:spacing w:val="-3"/>
          <w:w w:val="100"/>
        </w:rPr>
        <w:t>大</w:t>
      </w:r>
      <w:r>
        <w:rPr>
          <w:w w:val="100"/>
        </w:rPr>
        <w:t>缺陷</w:t>
      </w:r>
      <w:r>
        <w:rPr>
          <w:spacing w:val="-3"/>
          <w:w w:val="100"/>
        </w:rPr>
        <w:t>情</w:t>
      </w:r>
      <w:r>
        <w:rPr>
          <w:w w:val="100"/>
        </w:rPr>
        <w:t>况</w:t>
      </w:r>
      <w:r>
        <w:rPr>
          <w:spacing w:val="-3"/>
          <w:w w:val="100"/>
        </w:rPr>
        <w:t>的</w:t>
      </w:r>
      <w:r>
        <w:rPr>
          <w:w w:val="100"/>
        </w:rPr>
        <w:t>说</w:t>
      </w:r>
      <w:r>
        <w:rPr>
          <w:spacing w:val="-3"/>
          <w:w w:val="100"/>
        </w:rPr>
        <w:t>明</w:t>
      </w:r>
      <w:r>
        <w:rPr>
          <w:rFonts w:ascii="宋体" w:hAnsi="宋体" w:cs="宋体" w:eastAsia="宋体" w:hint="default"/>
          <w:w w:val="100"/>
        </w:rPr>
        <w:t> </w:t>
      </w:r>
    </w:p>
    <w:p>
      <w:pPr>
        <w:pStyle w:val="BodyText"/>
        <w:spacing w:line="271" w:lineRule="exact"/>
        <w:ind w:right="0"/>
        <w:jc w:val="both"/>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right="0"/>
        <w:jc w:val="both"/>
        <w:rPr>
          <w:rFonts w:ascii="宋体" w:hAnsi="宋体" w:cs="宋体" w:eastAsia="宋体" w:hint="default"/>
        </w:rPr>
      </w:pPr>
      <w:r>
        <w:rPr>
          <w:rFonts w:ascii="宋体"/>
          <w:w w:val="100"/>
        </w:rPr>
        <w:t> </w:t>
      </w:r>
    </w:p>
    <w:p>
      <w:pPr>
        <w:pStyle w:val="Heading3"/>
        <w:spacing w:line="240" w:lineRule="auto" w:before="56"/>
        <w:ind w:right="0"/>
        <w:jc w:val="both"/>
        <w:rPr>
          <w:b w:val="0"/>
          <w:bCs w:val="0"/>
        </w:rPr>
      </w:pPr>
      <w:r>
        <w:rPr>
          <w:spacing w:val="-1"/>
        </w:rPr>
        <w:t>九、</w:t>
      </w:r>
      <w:r>
        <w:rPr>
          <w:spacing w:val="-88"/>
        </w:rPr>
        <w:t> </w:t>
      </w:r>
      <w:r>
        <w:rPr>
          <w:rFonts w:ascii="宋体" w:hAnsi="宋体" w:cs="宋体" w:eastAsia="宋体" w:hint="default"/>
          <w:spacing w:val="-88"/>
        </w:rPr>
      </w:r>
      <w:r>
        <w:rPr>
          <w:spacing w:val="-1"/>
        </w:rPr>
        <w:t>内部控制审计报告的相关情况说明</w:t>
      </w:r>
      <w:r>
        <w:rPr>
          <w:b w:val="0"/>
          <w:bCs w:val="0"/>
          <w:spacing w:val="-1"/>
        </w:rPr>
      </w:r>
    </w:p>
    <w:p>
      <w:pPr>
        <w:pStyle w:val="BodyText"/>
        <w:spacing w:line="273" w:lineRule="exact" w:before="59"/>
        <w:ind w:right="0"/>
        <w:jc w:val="both"/>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37" w:lineRule="auto"/>
        <w:ind w:right="104" w:firstLine="419"/>
        <w:jc w:val="left"/>
        <w:rPr>
          <w:rFonts w:ascii="宋体" w:hAnsi="宋体" w:cs="宋体" w:eastAsia="宋体" w:hint="default"/>
        </w:rPr>
      </w:pPr>
      <w:r>
        <w:rPr/>
        <w:t>公司聘请立信会计师事务所（特殊普通合伙）对公司</w:t>
      </w:r>
      <w:r>
        <w:rPr>
          <w:spacing w:val="-52"/>
        </w:rPr>
        <w:t> </w:t>
      </w:r>
      <w:r>
        <w:rPr>
          <w:rFonts w:ascii="宋体" w:hAnsi="宋体" w:cs="宋体" w:eastAsia="宋体" w:hint="default"/>
        </w:rPr>
        <w:t>2019</w:t>
      </w:r>
      <w:r>
        <w:rPr>
          <w:rFonts w:ascii="宋体" w:hAnsi="宋体" w:cs="宋体" w:eastAsia="宋体" w:hint="default"/>
          <w:spacing w:val="-53"/>
        </w:rPr>
        <w:t> </w:t>
      </w:r>
      <w:r>
        <w:rPr/>
        <w:t>年度内部控制情况进行独立审计，</w:t>
      </w:r>
      <w:r>
        <w:rPr>
          <w:w w:val="100"/>
        </w:rPr>
        <w:t> </w:t>
      </w:r>
      <w:r>
        <w:rPr/>
        <w:t>会计师事务所出具了标准无保留意见的内部控制审计报告，并与公司董事会的内部控制评价报告</w:t>
      </w:r>
      <w:r>
        <w:rPr>
          <w:w w:val="100"/>
        </w:rPr>
        <w:t> </w:t>
      </w:r>
      <w:r>
        <w:rPr/>
        <w:t>意见一致。</w:t>
      </w:r>
      <w:r>
        <w:rPr>
          <w:rFonts w:ascii="宋体" w:hAnsi="宋体" w:cs="宋体" w:eastAsia="宋体" w:hint="default"/>
        </w:rPr>
        <w:t> </w:t>
      </w:r>
    </w:p>
    <w:p>
      <w:pPr>
        <w:pStyle w:val="BodyText"/>
        <w:spacing w:line="272" w:lineRule="exact"/>
        <w:ind w:right="0"/>
        <w:jc w:val="both"/>
        <w:rPr>
          <w:rFonts w:ascii="宋体" w:hAnsi="宋体" w:cs="宋体" w:eastAsia="宋体" w:hint="default"/>
        </w:rPr>
      </w:pPr>
      <w:r>
        <w:rPr/>
        <w:t>是否披露内部控制审计报告：是</w:t>
      </w:r>
      <w:r>
        <w:rPr>
          <w:rFonts w:ascii="宋体" w:hAnsi="宋体" w:cs="宋体" w:eastAsia="宋体" w:hint="default"/>
        </w:rPr>
        <w:t> </w:t>
      </w:r>
    </w:p>
    <w:p>
      <w:pPr>
        <w:pStyle w:val="BodyText"/>
        <w:spacing w:line="273" w:lineRule="exact"/>
        <w:ind w:right="0"/>
        <w:jc w:val="both"/>
        <w:rPr>
          <w:rFonts w:ascii="宋体" w:hAnsi="宋体" w:cs="宋体" w:eastAsia="宋体" w:hint="default"/>
        </w:rPr>
      </w:pPr>
      <w:r>
        <w:rPr>
          <w:rFonts w:ascii="宋体"/>
          <w:w w:val="100"/>
        </w:rPr>
        <w:t> </w:t>
      </w:r>
    </w:p>
    <w:p>
      <w:pPr>
        <w:pStyle w:val="Heading3"/>
        <w:spacing w:line="240" w:lineRule="auto" w:before="56"/>
        <w:ind w:right="0"/>
        <w:jc w:val="both"/>
        <w:rPr>
          <w:b w:val="0"/>
          <w:bCs w:val="0"/>
        </w:rPr>
      </w:pPr>
      <w:r>
        <w:rPr/>
        <w:t>十、</w:t>
      </w:r>
      <w:r>
        <w:rPr>
          <w:spacing w:val="-104"/>
        </w:rPr>
        <w:t> </w:t>
      </w:r>
      <w:r>
        <w:rPr>
          <w:rFonts w:ascii="宋体" w:hAnsi="宋体" w:cs="宋体" w:eastAsia="宋体" w:hint="default"/>
          <w:spacing w:val="-104"/>
        </w:rPr>
      </w:r>
      <w:r>
        <w:rPr/>
        <w:t>其他</w:t>
      </w:r>
      <w:r>
        <w:rPr>
          <w:b w:val="0"/>
          <w:bCs w:val="0"/>
        </w:rPr>
      </w:r>
    </w:p>
    <w:p>
      <w:pPr>
        <w:pStyle w:val="BodyText"/>
        <w:spacing w:line="273" w:lineRule="exact" w:before="58"/>
        <w:ind w:right="0"/>
        <w:jc w:val="both"/>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right="0"/>
        <w:jc w:val="both"/>
        <w:rPr>
          <w:rFonts w:ascii="宋体" w:hAnsi="宋体" w:cs="宋体" w:eastAsia="宋体" w:hint="default"/>
        </w:rPr>
      </w:pPr>
      <w:r>
        <w:rPr>
          <w:rFonts w:ascii="宋体"/>
          <w:w w:val="100"/>
        </w:rPr>
        <w:t> </w:t>
      </w:r>
    </w:p>
    <w:p>
      <w:pPr>
        <w:pStyle w:val="Heading1"/>
        <w:tabs>
          <w:tab w:pos="4140" w:val="left" w:leader="none"/>
        </w:tabs>
        <w:spacing w:line="240" w:lineRule="auto" w:before="44"/>
        <w:ind w:left="2880" w:right="0"/>
        <w:jc w:val="left"/>
        <w:rPr>
          <w:rFonts w:ascii="黑体" w:hAnsi="黑体" w:cs="黑体" w:eastAsia="黑体" w:hint="default"/>
          <w:b w:val="0"/>
          <w:bCs w:val="0"/>
        </w:rPr>
      </w:pPr>
      <w:bookmarkStart w:name="_bookmark9" w:id="12"/>
      <w:bookmarkEnd w:id="12"/>
      <w:r>
        <w:rPr>
          <w:b w:val="0"/>
          <w:bCs w:val="0"/>
        </w:rPr>
      </w:r>
      <w:r>
        <w:rPr>
          <w:rFonts w:ascii="黑体" w:hAnsi="黑体" w:cs="黑体" w:eastAsia="黑体" w:hint="default"/>
          <w:w w:val="95"/>
        </w:rPr>
        <w:t>第十节</w:t>
      </w:r>
      <w:r>
        <w:rPr>
          <w:rFonts w:ascii="宋体" w:hAnsi="宋体" w:cs="宋体" w:eastAsia="宋体" w:hint="default"/>
          <w:w w:val="95"/>
        </w:rPr>
        <w:tab/>
      </w:r>
      <w:r>
        <w:rPr>
          <w:rFonts w:ascii="黑体" w:hAnsi="黑体" w:cs="黑体" w:eastAsia="黑体" w:hint="default"/>
        </w:rPr>
        <w:t>公司债券相关情况</w:t>
      </w:r>
      <w:r>
        <w:rPr>
          <w:rFonts w:ascii="黑体" w:hAnsi="黑体" w:cs="黑体" w:eastAsia="黑体" w:hint="default"/>
          <w:b w:val="0"/>
          <w:bCs w:val="0"/>
        </w:rPr>
      </w:r>
    </w:p>
    <w:p>
      <w:pPr>
        <w:spacing w:line="240" w:lineRule="auto" w:before="8"/>
        <w:rPr>
          <w:rFonts w:ascii="黑体" w:hAnsi="黑体" w:cs="黑体" w:eastAsia="黑体" w:hint="default"/>
          <w:b/>
          <w:bCs/>
          <w:sz w:val="16"/>
          <w:szCs w:val="16"/>
        </w:rPr>
      </w:pPr>
    </w:p>
    <w:p>
      <w:pPr>
        <w:pStyle w:val="BodyText"/>
        <w:spacing w:line="273" w:lineRule="exact" w:before="36"/>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right="0"/>
        <w:jc w:val="left"/>
        <w:rPr>
          <w:rFonts w:ascii="宋体" w:hAnsi="宋体" w:cs="宋体" w:eastAsia="宋体" w:hint="default"/>
        </w:rPr>
      </w:pPr>
      <w:r>
        <w:rPr>
          <w:rFonts w:ascii="宋体"/>
          <w:w w:val="100"/>
        </w:rPr>
        <w:t> </w:t>
      </w:r>
    </w:p>
    <w:p>
      <w:pPr>
        <w:spacing w:after="0" w:line="273" w:lineRule="exact"/>
        <w:jc w:val="left"/>
        <w:rPr>
          <w:rFonts w:ascii="宋体" w:hAnsi="宋体" w:cs="宋体" w:eastAsia="宋体" w:hint="default"/>
        </w:rPr>
        <w:sectPr>
          <w:pgSz w:w="11910" w:h="16840"/>
          <w:pgMar w:header="743" w:footer="974" w:top="1120" w:bottom="1160" w:left="1580" w:right="1060"/>
        </w:sectPr>
      </w:pPr>
    </w:p>
    <w:p>
      <w:pPr>
        <w:spacing w:line="240" w:lineRule="auto" w:before="6"/>
        <w:rPr>
          <w:rFonts w:ascii="宋体" w:hAnsi="宋体" w:cs="宋体" w:eastAsia="宋体" w:hint="default"/>
          <w:sz w:val="29"/>
          <w:szCs w:val="29"/>
        </w:rPr>
      </w:pPr>
    </w:p>
    <w:p>
      <w:pPr>
        <w:pStyle w:val="Heading1"/>
        <w:spacing w:line="240" w:lineRule="auto"/>
        <w:ind w:left="618" w:right="395"/>
        <w:jc w:val="center"/>
        <w:rPr>
          <w:rFonts w:ascii="宋体" w:hAnsi="宋体" w:cs="宋体" w:eastAsia="宋体" w:hint="default"/>
          <w:b w:val="0"/>
          <w:bCs w:val="0"/>
        </w:rPr>
      </w:pPr>
      <w:bookmarkStart w:name="_bookmark10" w:id="13"/>
      <w:bookmarkEnd w:id="13"/>
      <w:r>
        <w:rPr>
          <w:b w:val="0"/>
          <w:bCs w:val="0"/>
        </w:rPr>
      </w:r>
      <w:r>
        <w:rPr/>
        <w:t>第十一节</w:t>
      </w:r>
      <w:r>
        <w:rPr>
          <w:spacing w:val="-7"/>
        </w:rPr>
        <w:t> </w:t>
      </w:r>
      <w:r>
        <w:rPr>
          <w:rFonts w:ascii="宋体" w:hAnsi="宋体" w:cs="宋体" w:eastAsia="宋体" w:hint="default"/>
          <w:spacing w:val="-7"/>
        </w:rPr>
      </w:r>
      <w:r>
        <w:rPr/>
        <w:t>财务报告</w:t>
      </w:r>
      <w:r>
        <w:rPr>
          <w:rFonts w:ascii="宋体" w:hAnsi="宋体" w:cs="宋体" w:eastAsia="宋体" w:hint="default"/>
          <w:w w:val="99"/>
        </w:rPr>
        <w:t> </w:t>
      </w:r>
      <w:r>
        <w:rPr>
          <w:rFonts w:ascii="宋体" w:hAnsi="宋体" w:cs="宋体" w:eastAsia="宋体" w:hint="default"/>
          <w:b w:val="0"/>
          <w:bCs w:val="0"/>
        </w:rPr>
      </w:r>
    </w:p>
    <w:p>
      <w:pPr>
        <w:spacing w:line="240" w:lineRule="auto" w:before="4"/>
        <w:rPr>
          <w:rFonts w:ascii="宋体" w:hAnsi="宋体" w:cs="宋体" w:eastAsia="宋体" w:hint="default"/>
          <w:b/>
          <w:bCs/>
          <w:sz w:val="19"/>
          <w:szCs w:val="19"/>
        </w:rPr>
      </w:pPr>
    </w:p>
    <w:p>
      <w:pPr>
        <w:pStyle w:val="Heading3"/>
        <w:spacing w:line="240" w:lineRule="auto" w:before="0"/>
        <w:ind w:right="0"/>
        <w:jc w:val="left"/>
        <w:rPr>
          <w:rFonts w:ascii="宋体" w:hAnsi="宋体" w:cs="宋体" w:eastAsia="宋体" w:hint="default"/>
          <w:b w:val="0"/>
          <w:bCs w:val="0"/>
        </w:rPr>
      </w:pPr>
      <w:r>
        <w:rPr>
          <w:spacing w:val="-1"/>
        </w:rPr>
        <w:t>一、</w:t>
      </w:r>
      <w:r>
        <w:rPr>
          <w:spacing w:val="-100"/>
        </w:rPr>
        <w:t> </w:t>
      </w:r>
      <w:r>
        <w:rPr>
          <w:rFonts w:ascii="宋体" w:hAnsi="宋体" w:cs="宋体" w:eastAsia="宋体" w:hint="default"/>
          <w:spacing w:val="-100"/>
        </w:rPr>
      </w:r>
      <w:r>
        <w:rPr>
          <w:spacing w:val="-1"/>
        </w:rPr>
        <w:t>审计报告</w:t>
      </w:r>
      <w:r>
        <w:rPr>
          <w:rFonts w:ascii="宋体" w:hAnsi="宋体" w:cs="宋体" w:eastAsia="宋体" w:hint="default"/>
          <w:w w:val="99"/>
        </w:rPr>
        <w:t> </w:t>
      </w:r>
      <w:r>
        <w:rPr>
          <w:rFonts w:ascii="宋体" w:hAnsi="宋体" w:cs="宋体" w:eastAsia="宋体" w:hint="default"/>
          <w:b w:val="0"/>
          <w:bCs w:val="0"/>
        </w:rPr>
      </w:r>
    </w:p>
    <w:p>
      <w:pPr>
        <w:pStyle w:val="Heading2"/>
        <w:tabs>
          <w:tab w:pos="925" w:val="left" w:leader="none"/>
        </w:tabs>
        <w:spacing w:line="321" w:lineRule="auto" w:before="52"/>
        <w:ind w:right="4886"/>
        <w:jc w:val="left"/>
        <w:rPr>
          <w:rFonts w:ascii="宋体" w:hAnsi="宋体" w:cs="宋体" w:eastAsia="宋体" w:hint="default"/>
          <w:sz w:val="21"/>
          <w:szCs w:val="21"/>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r>
        <w:rPr/>
        <w:t>江苏林洋能源股份有限公司全体股东： </w:t>
      </w:r>
      <w:r>
        <w:rPr>
          <w:rFonts w:ascii="宋体" w:hAnsi="宋体" w:cs="宋体" w:eastAsia="宋体" w:hint="default"/>
          <w:b/>
          <w:bCs/>
          <w:sz w:val="21"/>
          <w:szCs w:val="21"/>
        </w:rPr>
        <w:t>一、</w:t>
        <w:tab/>
        <w:t>审计意见</w:t>
      </w:r>
      <w:r>
        <w:rPr>
          <w:rFonts w:ascii="宋体" w:hAnsi="宋体" w:cs="宋体" w:eastAsia="宋体" w:hint="default"/>
          <w:sz w:val="21"/>
          <w:szCs w:val="21"/>
        </w:rPr>
      </w:r>
    </w:p>
    <w:p>
      <w:pPr>
        <w:pStyle w:val="BodyText"/>
        <w:spacing w:line="208" w:lineRule="exact"/>
        <w:ind w:right="0" w:firstLine="566"/>
        <w:jc w:val="left"/>
        <w:rPr>
          <w:rFonts w:ascii="Times New Roman" w:hAnsi="Times New Roman" w:cs="Times New Roman" w:eastAsia="Times New Roman" w:hint="default"/>
        </w:rPr>
      </w:pPr>
      <w:r>
        <w:rPr/>
        <w:t>我们审计了江苏林洋能源股份有限公司（以下简称林洋能源）财务报表，包括 </w:t>
      </w:r>
      <w:r>
        <w:rPr>
          <w:rFonts w:ascii="Times New Roman" w:hAnsi="Times New Roman" w:cs="Times New Roman" w:eastAsia="Times New Roman" w:hint="default"/>
        </w:rPr>
        <w:t>2019  </w:t>
      </w:r>
      <w:r>
        <w:rPr/>
        <w:t>年</w:t>
      </w:r>
      <w:r>
        <w:rPr>
          <w:spacing w:val="-33"/>
        </w:rPr>
        <w:t> </w:t>
      </w:r>
      <w:r>
        <w:rPr>
          <w:rFonts w:ascii="Times New Roman" w:hAnsi="Times New Roman" w:cs="Times New Roman" w:eastAsia="Times New Roman" w:hint="default"/>
          <w:spacing w:val="-3"/>
        </w:rPr>
        <w:t>12</w:t>
      </w:r>
      <w:r>
        <w:rPr>
          <w:rFonts w:ascii="Times New Roman" w:hAnsi="Times New Roman" w:cs="Times New Roman" w:eastAsia="Times New Roman" w:hint="default"/>
        </w:rPr>
      </w:r>
    </w:p>
    <w:p>
      <w:pPr>
        <w:pStyle w:val="BodyText"/>
        <w:spacing w:line="274" w:lineRule="exact" w:before="16"/>
        <w:ind w:right="124"/>
        <w:jc w:val="left"/>
      </w:pPr>
      <w:r>
        <w:rPr/>
        <w:t>月 </w:t>
      </w:r>
      <w:r>
        <w:rPr>
          <w:rFonts w:ascii="Times New Roman" w:hAnsi="Times New Roman" w:cs="Times New Roman" w:eastAsia="Times New Roman" w:hint="default"/>
        </w:rPr>
        <w:t>31 </w:t>
      </w:r>
      <w:r>
        <w:rPr/>
        <w:t>日的合并及母公司资产负债表，</w:t>
      </w:r>
      <w:r>
        <w:rPr>
          <w:rFonts w:ascii="Times New Roman" w:hAnsi="Times New Roman" w:cs="Times New Roman" w:eastAsia="Times New Roman" w:hint="default"/>
        </w:rPr>
        <w:t>2019</w:t>
      </w:r>
      <w:r>
        <w:rPr>
          <w:rFonts w:ascii="Times New Roman" w:hAnsi="Times New Roman" w:cs="Times New Roman" w:eastAsia="Times New Roman" w:hint="default"/>
          <w:spacing w:val="4"/>
        </w:rPr>
        <w:t> </w:t>
      </w:r>
      <w:r>
        <w:rPr/>
        <w:t>年度的合并及母公司利润表、合并及母公司现金流量</w:t>
      </w:r>
      <w:r>
        <w:rPr>
          <w:w w:val="100"/>
        </w:rPr>
        <w:t> </w:t>
      </w:r>
      <w:r>
        <w:rPr/>
        <w:t>表、合并及母公司所有者权益变动表以及相关财务报表附注。</w:t>
      </w:r>
    </w:p>
    <w:p>
      <w:pPr>
        <w:pStyle w:val="BodyText"/>
        <w:spacing w:line="245" w:lineRule="exact"/>
        <w:ind w:right="0" w:firstLine="566"/>
        <w:jc w:val="left"/>
      </w:pPr>
      <w:r>
        <w:rPr/>
        <w:t>我们认为，后附的财务报表在所有重大方面按照企业会计准则的规定编制，公允反映了林</w:t>
      </w:r>
    </w:p>
    <w:p>
      <w:pPr>
        <w:pStyle w:val="BodyText"/>
        <w:spacing w:line="272" w:lineRule="exact" w:before="27"/>
        <w:ind w:right="0"/>
        <w:jc w:val="left"/>
      </w:pPr>
      <w:r>
        <w:rPr/>
        <w:t>洋能源</w:t>
      </w:r>
      <w:r>
        <w:rPr>
          <w:spacing w:val="-51"/>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1"/>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日的合并及母公司财务状况以及</w:t>
      </w:r>
      <w:r>
        <w:rPr>
          <w:spacing w:val="-54"/>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年度的合并及母公司经营成果和现</w:t>
      </w:r>
      <w:r>
        <w:rPr>
          <w:w w:val="100"/>
        </w:rPr>
        <w:t> </w:t>
      </w:r>
      <w:r>
        <w:rPr/>
        <w:t>金流量。</w:t>
      </w:r>
    </w:p>
    <w:p>
      <w:pPr>
        <w:spacing w:line="240" w:lineRule="auto" w:before="1"/>
        <w:rPr>
          <w:rFonts w:ascii="宋体" w:hAnsi="宋体" w:cs="宋体" w:eastAsia="宋体" w:hint="default"/>
          <w:sz w:val="26"/>
          <w:szCs w:val="26"/>
        </w:rPr>
      </w:pPr>
    </w:p>
    <w:p>
      <w:pPr>
        <w:tabs>
          <w:tab w:pos="925" w:val="left" w:leader="none"/>
        </w:tabs>
        <w:spacing w:before="0"/>
        <w:ind w:left="784" w:right="170" w:hanging="567"/>
        <w:jc w:val="left"/>
        <w:rPr>
          <w:rFonts w:ascii="宋体" w:hAnsi="宋体" w:cs="宋体" w:eastAsia="宋体" w:hint="default"/>
          <w:sz w:val="21"/>
          <w:szCs w:val="21"/>
        </w:rPr>
      </w:pPr>
      <w:r>
        <w:rPr>
          <w:rFonts w:ascii="宋体" w:hAnsi="宋体" w:cs="宋体" w:eastAsia="宋体" w:hint="default"/>
          <w:b/>
          <w:bCs/>
          <w:sz w:val="21"/>
          <w:szCs w:val="21"/>
        </w:rPr>
        <w:t>二、</w:t>
        <w:tab/>
        <w:tab/>
        <w:t>形成审计意见的基础</w:t>
      </w:r>
      <w:r>
        <w:rPr>
          <w:rFonts w:ascii="宋体" w:hAnsi="宋体" w:cs="宋体" w:eastAsia="宋体" w:hint="default"/>
          <w:b/>
          <w:bCs/>
          <w:spacing w:val="-103"/>
          <w:sz w:val="21"/>
          <w:szCs w:val="21"/>
        </w:rPr>
        <w:t> </w:t>
      </w:r>
      <w:r>
        <w:rPr>
          <w:rFonts w:ascii="宋体" w:hAnsi="宋体" w:cs="宋体" w:eastAsia="宋体" w:hint="default"/>
          <w:b/>
          <w:bCs/>
          <w:spacing w:val="-103"/>
          <w:sz w:val="21"/>
          <w:szCs w:val="21"/>
        </w:rPr>
      </w:r>
      <w:r>
        <w:rPr>
          <w:rFonts w:ascii="宋体" w:hAnsi="宋体" w:cs="宋体" w:eastAsia="宋体" w:hint="default"/>
          <w:sz w:val="21"/>
          <w:szCs w:val="21"/>
        </w:rPr>
        <w:t>我们按照中国注册会计师审计准则的规定执行了审计工作。审计报告的“注册会计师对财</w:t>
      </w:r>
    </w:p>
    <w:p>
      <w:pPr>
        <w:pStyle w:val="BodyText"/>
        <w:spacing w:line="237" w:lineRule="auto"/>
        <w:ind w:right="128"/>
        <w:jc w:val="both"/>
      </w:pPr>
      <w:r>
        <w:rPr>
          <w:spacing w:val="-1"/>
        </w:rPr>
        <w:t>务报表审计的责任”部分进一步阐述了我们在这些准则下的责任。按照中国注册会计师职业道德</w:t>
      </w:r>
      <w:r>
        <w:rPr>
          <w:spacing w:val="-56"/>
        </w:rPr>
        <w:t> </w:t>
      </w:r>
      <w:r>
        <w:rPr>
          <w:spacing w:val="-56"/>
        </w:rPr>
      </w:r>
      <w:r>
        <w:rPr>
          <w:spacing w:val="-1"/>
        </w:rPr>
        <w:t>守则，我们独立于林洋能源，并履行了职业道德方面的其他责任。我们相信，我们获取的审计证</w:t>
      </w:r>
      <w:r>
        <w:rPr>
          <w:spacing w:val="-55"/>
        </w:rPr>
        <w:t> </w:t>
      </w:r>
      <w:r>
        <w:rPr>
          <w:spacing w:val="-55"/>
        </w:rPr>
      </w:r>
      <w:r>
        <w:rPr/>
        <w:t>据是充分、适当的，为发表审计意见提供了基础。</w:t>
      </w:r>
    </w:p>
    <w:p>
      <w:pPr>
        <w:spacing w:line="240" w:lineRule="auto" w:before="0"/>
        <w:rPr>
          <w:rFonts w:ascii="宋体" w:hAnsi="宋体" w:cs="宋体" w:eastAsia="宋体" w:hint="default"/>
          <w:sz w:val="20"/>
          <w:szCs w:val="20"/>
        </w:rPr>
      </w:pPr>
    </w:p>
    <w:p>
      <w:pPr>
        <w:tabs>
          <w:tab w:pos="925" w:val="left" w:leader="none"/>
        </w:tabs>
        <w:spacing w:line="272" w:lineRule="exact" w:before="134"/>
        <w:ind w:left="784" w:right="170" w:hanging="567"/>
        <w:jc w:val="left"/>
        <w:rPr>
          <w:rFonts w:ascii="宋体" w:hAnsi="宋体" w:cs="宋体" w:eastAsia="宋体" w:hint="default"/>
          <w:sz w:val="21"/>
          <w:szCs w:val="21"/>
        </w:rPr>
      </w:pPr>
      <w:r>
        <w:rPr>
          <w:rFonts w:ascii="宋体" w:hAnsi="宋体" w:cs="宋体" w:eastAsia="宋体" w:hint="default"/>
          <w:b/>
          <w:bCs/>
          <w:sz w:val="21"/>
          <w:szCs w:val="21"/>
        </w:rPr>
        <w:t>三、</w:t>
        <w:tab/>
        <w:tab/>
        <w:t>关键审计事项</w:t>
      </w:r>
      <w:r>
        <w:rPr>
          <w:rFonts w:ascii="宋体" w:hAnsi="宋体" w:cs="宋体" w:eastAsia="宋体" w:hint="default"/>
          <w:b/>
          <w:bCs/>
          <w:spacing w:val="-104"/>
          <w:sz w:val="21"/>
          <w:szCs w:val="21"/>
        </w:rPr>
        <w:t> </w:t>
      </w:r>
      <w:r>
        <w:rPr>
          <w:rFonts w:ascii="宋体" w:hAnsi="宋体" w:cs="宋体" w:eastAsia="宋体" w:hint="default"/>
          <w:b/>
          <w:bCs/>
          <w:spacing w:val="-104"/>
          <w:sz w:val="21"/>
          <w:szCs w:val="21"/>
        </w:rPr>
      </w:r>
      <w:r>
        <w:rPr>
          <w:rFonts w:ascii="宋体" w:hAnsi="宋体" w:cs="宋体" w:eastAsia="宋体" w:hint="default"/>
          <w:sz w:val="21"/>
          <w:szCs w:val="21"/>
        </w:rPr>
        <w:t>关键审计事项是我们根据职业判断，认为对本期财务报表审计最为重要的事项。这些事项</w:t>
      </w:r>
    </w:p>
    <w:p>
      <w:pPr>
        <w:pStyle w:val="BodyText"/>
        <w:spacing w:line="272" w:lineRule="exact" w:before="1"/>
        <w:ind w:right="0"/>
        <w:jc w:val="left"/>
      </w:pPr>
      <w:r>
        <w:rPr>
          <w:spacing w:val="-1"/>
        </w:rPr>
        <w:t>的应对以对财务报表整体进行审计并形成审计意见为背景，我们不对这些事项单独发表意见。我</w:t>
      </w:r>
      <w:r>
        <w:rPr>
          <w:spacing w:val="-55"/>
        </w:rPr>
        <w:t> </w:t>
      </w:r>
      <w:r>
        <w:rPr>
          <w:spacing w:val="-55"/>
        </w:rPr>
      </w:r>
      <w:r>
        <w:rPr/>
        <w:t>们确定下列事项是需要在审计报告中沟通的关键审计事项。</w:t>
      </w:r>
    </w:p>
    <w:tbl>
      <w:tblPr>
        <w:tblW w:w="0" w:type="auto"/>
        <w:jc w:val="left"/>
        <w:tblInd w:w="517" w:type="dxa"/>
        <w:tblLayout w:type="fixed"/>
        <w:tblCellMar>
          <w:top w:w="0" w:type="dxa"/>
          <w:left w:w="0" w:type="dxa"/>
          <w:bottom w:w="0" w:type="dxa"/>
          <w:right w:w="0" w:type="dxa"/>
        </w:tblCellMar>
        <w:tblLook w:val="01E0"/>
      </w:tblPr>
      <w:tblGrid>
        <w:gridCol w:w="4155"/>
        <w:gridCol w:w="4069"/>
      </w:tblGrid>
      <w:tr>
        <w:trPr>
          <w:trHeight w:val="242" w:hRule="exact"/>
        </w:trPr>
        <w:tc>
          <w:tcPr>
            <w:tcW w:w="41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b/>
                <w:bCs/>
                <w:sz w:val="18"/>
                <w:szCs w:val="18"/>
              </w:rPr>
              <w:t>关键审计事项</w:t>
            </w:r>
            <w:r>
              <w:rPr>
                <w:rFonts w:ascii="宋体" w:hAnsi="宋体" w:cs="宋体" w:eastAsia="宋体" w:hint="default"/>
                <w:sz w:val="18"/>
                <w:szCs w:val="18"/>
              </w:rPr>
            </w:r>
          </w:p>
        </w:tc>
        <w:tc>
          <w:tcPr>
            <w:tcW w:w="40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52" w:right="0"/>
              <w:jc w:val="left"/>
              <w:rPr>
                <w:rFonts w:ascii="宋体" w:hAnsi="宋体" w:cs="宋体" w:eastAsia="宋体" w:hint="default"/>
                <w:sz w:val="18"/>
                <w:szCs w:val="18"/>
              </w:rPr>
            </w:pPr>
            <w:r>
              <w:rPr>
                <w:rFonts w:ascii="宋体" w:hAnsi="宋体" w:cs="宋体" w:eastAsia="宋体" w:hint="default"/>
                <w:b/>
                <w:bCs/>
                <w:sz w:val="18"/>
                <w:szCs w:val="18"/>
              </w:rPr>
              <w:t>该事项在审计中是如何应对的</w:t>
            </w:r>
            <w:r>
              <w:rPr>
                <w:rFonts w:ascii="宋体" w:hAnsi="宋体" w:cs="宋体" w:eastAsia="宋体" w:hint="default"/>
                <w:sz w:val="18"/>
                <w:szCs w:val="18"/>
              </w:rPr>
            </w:r>
          </w:p>
        </w:tc>
      </w:tr>
      <w:tr>
        <w:trPr>
          <w:trHeight w:val="243" w:hRule="exact"/>
        </w:trPr>
        <w:tc>
          <w:tcPr>
            <w:tcW w:w="8224" w:type="dxa"/>
            <w:gridSpan w:val="2"/>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应收账款减值评估</w:t>
            </w:r>
          </w:p>
        </w:tc>
      </w:tr>
      <w:tr>
        <w:trPr>
          <w:trHeight w:val="3281" w:hRule="exact"/>
        </w:trPr>
        <w:tc>
          <w:tcPr>
            <w:tcW w:w="4155"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03" w:right="0"/>
              <w:jc w:val="both"/>
              <w:rPr>
                <w:rFonts w:ascii="宋体" w:hAnsi="宋体" w:cs="宋体" w:eastAsia="宋体" w:hint="default"/>
                <w:sz w:val="18"/>
                <w:szCs w:val="18"/>
              </w:rPr>
            </w:pPr>
            <w:r>
              <w:rPr>
                <w:rFonts w:ascii="宋体" w:hAnsi="宋体" w:cs="宋体" w:eastAsia="宋体" w:hint="default"/>
                <w:sz w:val="18"/>
                <w:szCs w:val="18"/>
              </w:rPr>
              <w:t>截止</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日，如林洋能源合并报表附</w:t>
            </w:r>
          </w:p>
          <w:p>
            <w:pPr>
              <w:pStyle w:val="TableParagraph"/>
              <w:spacing w:line="233" w:lineRule="exact"/>
              <w:ind w:left="103"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注七</w:t>
            </w:r>
            <w:r>
              <w:rPr>
                <w:rFonts w:ascii="宋体" w:hAnsi="宋体" w:cs="宋体" w:eastAsia="宋体" w:hint="default"/>
                <w:spacing w:val="-168"/>
                <w:sz w:val="18"/>
                <w:szCs w:val="18"/>
              </w:rPr>
              <w:t>、</w:t>
            </w:r>
            <w:r>
              <w:rPr>
                <w:rFonts w:ascii="宋体" w:hAnsi="宋体" w:cs="宋体" w:eastAsia="宋体" w:hint="default"/>
                <w:sz w:val="18"/>
                <w:szCs w:val="18"/>
              </w:rPr>
              <w:t>（五</w:t>
            </w:r>
            <w:r>
              <w:rPr>
                <w:rFonts w:ascii="宋体" w:hAnsi="宋体" w:cs="宋体" w:eastAsia="宋体" w:hint="default"/>
                <w:spacing w:val="-85"/>
                <w:sz w:val="18"/>
                <w:szCs w:val="18"/>
              </w:rPr>
              <w:t>）</w:t>
            </w:r>
            <w:r>
              <w:rPr>
                <w:rFonts w:ascii="宋体" w:hAnsi="宋体" w:cs="宋体" w:eastAsia="宋体" w:hint="default"/>
                <w:sz w:val="18"/>
                <w:szCs w:val="18"/>
              </w:rPr>
              <w:t>所述</w:t>
            </w:r>
            <w:r>
              <w:rPr>
                <w:rFonts w:ascii="宋体" w:hAnsi="宋体" w:cs="宋体" w:eastAsia="宋体" w:hint="default"/>
                <w:spacing w:val="-85"/>
                <w:sz w:val="18"/>
                <w:szCs w:val="18"/>
              </w:rPr>
              <w:t>，</w:t>
            </w:r>
            <w:r>
              <w:rPr>
                <w:rFonts w:ascii="宋体" w:hAnsi="宋体" w:cs="宋体" w:eastAsia="宋体" w:hint="default"/>
                <w:sz w:val="18"/>
                <w:szCs w:val="18"/>
              </w:rPr>
              <w:t>林洋能源应</w:t>
            </w:r>
            <w:r>
              <w:rPr>
                <w:rFonts w:ascii="宋体" w:hAnsi="宋体" w:cs="宋体" w:eastAsia="宋体" w:hint="default"/>
                <w:spacing w:val="-3"/>
                <w:sz w:val="18"/>
                <w:szCs w:val="18"/>
              </w:rPr>
              <w:t>收</w:t>
            </w:r>
            <w:r>
              <w:rPr>
                <w:rFonts w:ascii="宋体" w:hAnsi="宋体" w:cs="宋体" w:eastAsia="宋体" w:hint="default"/>
                <w:sz w:val="18"/>
                <w:szCs w:val="18"/>
              </w:rPr>
              <w:t>账款余额</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4</w:t>
            </w:r>
            <w:r>
              <w:rPr>
                <w:rFonts w:ascii="Times New Roman" w:hAnsi="Times New Roman" w:cs="Times New Roman" w:eastAsia="Times New Roman" w:hint="default"/>
                <w:spacing w:val="1"/>
                <w:sz w:val="18"/>
                <w:szCs w:val="18"/>
              </w:rPr>
              <w:t>4</w:t>
            </w:r>
            <w:r>
              <w:rPr>
                <w:rFonts w:ascii="Times New Roman" w:hAnsi="Times New Roman" w:cs="Times New Roman" w:eastAsia="Times New Roman" w:hint="default"/>
                <w:spacing w:val="-2"/>
                <w:sz w:val="18"/>
                <w:szCs w:val="18"/>
              </w:rPr>
              <w:t>5</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4</w:t>
            </w:r>
            <w:r>
              <w:rPr>
                <w:rFonts w:ascii="Times New Roman" w:hAnsi="Times New Roman" w:cs="Times New Roman" w:eastAsia="Times New Roman" w:hint="default"/>
                <w:sz w:val="18"/>
                <w:szCs w:val="18"/>
              </w:rPr>
              <w:t>6</w:t>
            </w:r>
          </w:p>
          <w:p>
            <w:pPr>
              <w:pStyle w:val="TableParagraph"/>
              <w:spacing w:line="232" w:lineRule="auto"/>
              <w:ind w:left="103" w:right="101"/>
              <w:jc w:val="both"/>
              <w:rPr>
                <w:rFonts w:ascii="宋体" w:hAnsi="宋体" w:cs="宋体" w:eastAsia="宋体" w:hint="default"/>
                <w:sz w:val="18"/>
                <w:szCs w:val="18"/>
              </w:rPr>
            </w:pPr>
            <w:r>
              <w:rPr>
                <w:rFonts w:ascii="宋体" w:hAnsi="宋体" w:cs="宋体" w:eastAsia="宋体" w:hint="default"/>
                <w:sz w:val="18"/>
                <w:szCs w:val="18"/>
              </w:rPr>
              <w:t>万元，计提坏账准备金额 </w:t>
            </w:r>
            <w:r>
              <w:rPr>
                <w:rFonts w:ascii="Times New Roman" w:hAnsi="Times New Roman" w:cs="Times New Roman" w:eastAsia="Times New Roman" w:hint="default"/>
                <w:sz w:val="18"/>
                <w:szCs w:val="18"/>
              </w:rPr>
              <w:t>12,928.38</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万元，期末账 </w:t>
            </w:r>
            <w:r>
              <w:rPr>
                <w:rFonts w:ascii="宋体" w:hAnsi="宋体" w:cs="宋体" w:eastAsia="宋体" w:hint="default"/>
                <w:spacing w:val="-2"/>
                <w:sz w:val="18"/>
                <w:szCs w:val="18"/>
              </w:rPr>
              <w:t>面价值较高。若应收账款不能按期收回或无法收回</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2"/>
                <w:sz w:val="18"/>
                <w:szCs w:val="18"/>
              </w:rPr>
              <w:t>而发生坏账对财务报表影响较为重大，为此我们确</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定应收账款的坏账准备为关键审计事项。</w:t>
            </w:r>
          </w:p>
        </w:tc>
        <w:tc>
          <w:tcPr>
            <w:tcW w:w="4069" w:type="dxa"/>
            <w:tcBorders>
              <w:top w:val="single" w:sz="4" w:space="0" w:color="000000"/>
              <w:left w:val="single" w:sz="4" w:space="0" w:color="000000"/>
              <w:bottom w:val="single" w:sz="4" w:space="0" w:color="000000"/>
              <w:right w:val="single" w:sz="4" w:space="0" w:color="000000"/>
            </w:tcBorders>
          </w:tcPr>
          <w:p>
            <w:pPr>
              <w:pStyle w:val="TableParagraph"/>
              <w:spacing w:line="216" w:lineRule="auto"/>
              <w:ind w:left="461" w:right="104" w:hanging="361"/>
              <w:jc w:val="both"/>
              <w:rPr>
                <w:rFonts w:ascii="宋体" w:hAnsi="宋体" w:cs="宋体" w:eastAsia="宋体" w:hint="default"/>
                <w:sz w:val="18"/>
                <w:szCs w:val="18"/>
              </w:rPr>
            </w:pPr>
            <w:r>
              <w:rPr>
                <w:rFonts w:ascii="Calibri" w:hAnsi="Calibri" w:cs="Calibri" w:eastAsia="Calibri" w:hint="default"/>
                <w:sz w:val="18"/>
                <w:szCs w:val="18"/>
              </w:rPr>
              <w:t>1</w:t>
            </w:r>
            <w:r>
              <w:rPr>
                <w:rFonts w:ascii="宋体" w:hAnsi="宋体" w:cs="宋体" w:eastAsia="宋体" w:hint="default"/>
                <w:sz w:val="18"/>
                <w:szCs w:val="18"/>
              </w:rPr>
              <w:t>）</w:t>
            </w:r>
            <w:r>
              <w:rPr>
                <w:rFonts w:ascii="宋体" w:hAnsi="宋体" w:cs="宋体" w:eastAsia="宋体" w:hint="default"/>
                <w:spacing w:val="1"/>
                <w:sz w:val="18"/>
                <w:szCs w:val="18"/>
              </w:rPr>
              <w:t> </w:t>
            </w:r>
            <w:r>
              <w:rPr>
                <w:rFonts w:ascii="宋体" w:hAnsi="宋体" w:cs="宋体" w:eastAsia="宋体" w:hint="default"/>
                <w:spacing w:val="3"/>
                <w:sz w:val="18"/>
                <w:szCs w:val="18"/>
              </w:rPr>
              <w:t>我们了解了林洋能源销售与收款循环相关的</w:t>
            </w:r>
            <w:r>
              <w:rPr>
                <w:rFonts w:ascii="宋体" w:hAnsi="宋体" w:cs="宋体" w:eastAsia="宋体" w:hint="default"/>
                <w:sz w:val="18"/>
                <w:szCs w:val="18"/>
              </w:rPr>
              <w:t> 内部控制并执行了控制测试；</w:t>
            </w:r>
          </w:p>
          <w:p>
            <w:pPr>
              <w:pStyle w:val="TableParagraph"/>
              <w:spacing w:line="230" w:lineRule="auto" w:before="8"/>
              <w:ind w:left="461" w:right="104" w:hanging="361"/>
              <w:jc w:val="both"/>
              <w:rPr>
                <w:rFonts w:ascii="宋体" w:hAnsi="宋体" w:cs="宋体" w:eastAsia="宋体" w:hint="default"/>
                <w:sz w:val="18"/>
                <w:szCs w:val="18"/>
              </w:rPr>
            </w:pPr>
            <w:r>
              <w:rPr>
                <w:rFonts w:ascii="Calibri" w:hAnsi="Calibri" w:cs="Calibri" w:eastAsia="Calibri" w:hint="default"/>
                <w:sz w:val="18"/>
                <w:szCs w:val="18"/>
              </w:rPr>
              <w:t>2</w:t>
            </w:r>
            <w:r>
              <w:rPr>
                <w:rFonts w:ascii="宋体" w:hAnsi="宋体" w:cs="宋体" w:eastAsia="宋体" w:hint="default"/>
                <w:sz w:val="18"/>
                <w:szCs w:val="18"/>
              </w:rPr>
              <w:t>）</w:t>
            </w:r>
            <w:r>
              <w:rPr>
                <w:rFonts w:ascii="宋体" w:hAnsi="宋体" w:cs="宋体" w:eastAsia="宋体" w:hint="default"/>
                <w:spacing w:val="1"/>
                <w:sz w:val="18"/>
                <w:szCs w:val="18"/>
              </w:rPr>
              <w:t> </w:t>
            </w:r>
            <w:r>
              <w:rPr>
                <w:rFonts w:ascii="宋体" w:hAnsi="宋体" w:cs="宋体" w:eastAsia="宋体" w:hint="default"/>
                <w:spacing w:val="3"/>
                <w:sz w:val="18"/>
                <w:szCs w:val="18"/>
              </w:rPr>
              <w:t>我们获取了林洋能源签订的销售合同，检查</w:t>
            </w:r>
            <w:r>
              <w:rPr>
                <w:rFonts w:ascii="宋体" w:hAnsi="宋体" w:cs="宋体" w:eastAsia="宋体" w:hint="default"/>
                <w:sz w:val="18"/>
                <w:szCs w:val="18"/>
              </w:rPr>
              <w:t> </w:t>
            </w:r>
            <w:r>
              <w:rPr>
                <w:rFonts w:ascii="宋体" w:hAnsi="宋体" w:cs="宋体" w:eastAsia="宋体" w:hint="default"/>
                <w:spacing w:val="3"/>
                <w:sz w:val="18"/>
                <w:szCs w:val="18"/>
              </w:rPr>
              <w:t>了客户的信用期，并对期末应收账款进行客</w:t>
            </w:r>
            <w:r>
              <w:rPr>
                <w:rFonts w:ascii="宋体" w:hAnsi="宋体" w:cs="宋体" w:eastAsia="宋体" w:hint="default"/>
                <w:sz w:val="18"/>
                <w:szCs w:val="18"/>
              </w:rPr>
              <w:t> </w:t>
            </w:r>
            <w:r>
              <w:rPr>
                <w:rFonts w:ascii="宋体" w:hAnsi="宋体" w:cs="宋体" w:eastAsia="宋体" w:hint="default"/>
                <w:spacing w:val="13"/>
                <w:sz w:val="18"/>
                <w:szCs w:val="18"/>
              </w:rPr>
              <w:t>户分类余额结存状况及信用期执行情况分</w:t>
            </w:r>
            <w:r>
              <w:rPr>
                <w:rFonts w:ascii="宋体" w:hAnsi="宋体" w:cs="宋体" w:eastAsia="宋体" w:hint="default"/>
                <w:sz w:val="18"/>
                <w:szCs w:val="18"/>
              </w:rPr>
              <w:t> 析；</w:t>
            </w:r>
          </w:p>
          <w:p>
            <w:pPr>
              <w:pStyle w:val="TableParagraph"/>
              <w:spacing w:line="236" w:lineRule="exact" w:before="19"/>
              <w:ind w:left="461" w:right="104" w:hanging="361"/>
              <w:jc w:val="both"/>
              <w:rPr>
                <w:rFonts w:ascii="宋体" w:hAnsi="宋体" w:cs="宋体" w:eastAsia="宋体" w:hint="default"/>
                <w:sz w:val="18"/>
                <w:szCs w:val="18"/>
              </w:rPr>
            </w:pPr>
            <w:r>
              <w:rPr>
                <w:rFonts w:ascii="Calibri" w:hAnsi="Calibri" w:cs="Calibri" w:eastAsia="Calibri" w:hint="default"/>
                <w:sz w:val="18"/>
                <w:szCs w:val="18"/>
              </w:rPr>
              <w:t>3</w:t>
            </w:r>
            <w:r>
              <w:rPr>
                <w:rFonts w:ascii="宋体" w:hAnsi="宋体" w:cs="宋体" w:eastAsia="宋体" w:hint="default"/>
                <w:sz w:val="18"/>
                <w:szCs w:val="18"/>
              </w:rPr>
              <w:t>）</w:t>
            </w:r>
            <w:r>
              <w:rPr>
                <w:rFonts w:ascii="宋体" w:hAnsi="宋体" w:cs="宋体" w:eastAsia="宋体" w:hint="default"/>
                <w:spacing w:val="1"/>
                <w:sz w:val="18"/>
                <w:szCs w:val="18"/>
              </w:rPr>
              <w:t> </w:t>
            </w:r>
            <w:r>
              <w:rPr>
                <w:rFonts w:ascii="宋体" w:hAnsi="宋体" w:cs="宋体" w:eastAsia="宋体" w:hint="default"/>
                <w:spacing w:val="3"/>
                <w:sz w:val="18"/>
                <w:szCs w:val="18"/>
              </w:rPr>
              <w:t>我们分析了林洋能源分客户的销售及回款情</w:t>
            </w:r>
            <w:r>
              <w:rPr>
                <w:rFonts w:ascii="宋体" w:hAnsi="宋体" w:cs="宋体" w:eastAsia="宋体" w:hint="default"/>
                <w:sz w:val="18"/>
                <w:szCs w:val="18"/>
              </w:rPr>
              <w:t> 况；</w:t>
            </w:r>
          </w:p>
          <w:p>
            <w:pPr>
              <w:pStyle w:val="TableParagraph"/>
              <w:spacing w:line="216" w:lineRule="auto"/>
              <w:ind w:left="461" w:right="104" w:hanging="361"/>
              <w:jc w:val="both"/>
              <w:rPr>
                <w:rFonts w:ascii="宋体" w:hAnsi="宋体" w:cs="宋体" w:eastAsia="宋体" w:hint="default"/>
                <w:sz w:val="18"/>
                <w:szCs w:val="18"/>
              </w:rPr>
            </w:pPr>
            <w:r>
              <w:rPr>
                <w:rFonts w:ascii="Calibri" w:hAnsi="Calibri" w:cs="Calibri" w:eastAsia="Calibri" w:hint="default"/>
                <w:sz w:val="18"/>
                <w:szCs w:val="18"/>
              </w:rPr>
              <w:t>4</w:t>
            </w:r>
            <w:r>
              <w:rPr>
                <w:rFonts w:ascii="宋体" w:hAnsi="宋体" w:cs="宋体" w:eastAsia="宋体" w:hint="default"/>
                <w:sz w:val="18"/>
                <w:szCs w:val="18"/>
              </w:rPr>
              <w:t>）</w:t>
            </w:r>
            <w:r>
              <w:rPr>
                <w:rFonts w:ascii="宋体" w:hAnsi="宋体" w:cs="宋体" w:eastAsia="宋体" w:hint="default"/>
                <w:spacing w:val="1"/>
                <w:sz w:val="18"/>
                <w:szCs w:val="18"/>
              </w:rPr>
              <w:t> </w:t>
            </w:r>
            <w:r>
              <w:rPr>
                <w:rFonts w:ascii="宋体" w:hAnsi="宋体" w:cs="宋体" w:eastAsia="宋体" w:hint="default"/>
                <w:spacing w:val="3"/>
                <w:sz w:val="18"/>
                <w:szCs w:val="18"/>
              </w:rPr>
              <w:t>我们复核了应收账款的账龄，对期末余额执</w:t>
            </w:r>
            <w:r>
              <w:rPr>
                <w:rFonts w:ascii="宋体" w:hAnsi="宋体" w:cs="宋体" w:eastAsia="宋体" w:hint="default"/>
                <w:sz w:val="18"/>
                <w:szCs w:val="18"/>
              </w:rPr>
              <w:t> 行了函证程序并检查了期后回款情况；</w:t>
            </w:r>
          </w:p>
          <w:p>
            <w:pPr>
              <w:pStyle w:val="TableParagraph"/>
              <w:spacing w:line="236" w:lineRule="exact" w:before="21"/>
              <w:ind w:left="461" w:right="109" w:hanging="361"/>
              <w:jc w:val="both"/>
              <w:rPr>
                <w:rFonts w:ascii="宋体" w:hAnsi="宋体" w:cs="宋体" w:eastAsia="宋体" w:hint="default"/>
                <w:sz w:val="18"/>
                <w:szCs w:val="18"/>
              </w:rPr>
            </w:pPr>
            <w:r>
              <w:rPr>
                <w:rFonts w:ascii="Calibri" w:hAnsi="Calibri" w:cs="Calibri" w:eastAsia="Calibri" w:hint="default"/>
                <w:sz w:val="18"/>
                <w:szCs w:val="18"/>
              </w:rPr>
              <w:t>5</w:t>
            </w:r>
            <w:r>
              <w:rPr>
                <w:rFonts w:ascii="宋体" w:hAnsi="宋体" w:cs="宋体" w:eastAsia="宋体" w:hint="default"/>
                <w:sz w:val="18"/>
                <w:szCs w:val="18"/>
              </w:rPr>
              <w:t>）</w:t>
            </w:r>
            <w:r>
              <w:rPr>
                <w:rFonts w:ascii="宋体" w:hAnsi="宋体" w:cs="宋体" w:eastAsia="宋体" w:hint="default"/>
                <w:spacing w:val="4"/>
                <w:sz w:val="18"/>
                <w:szCs w:val="18"/>
              </w:rPr>
              <w:t> </w:t>
            </w:r>
            <w:r>
              <w:rPr>
                <w:rFonts w:ascii="宋体" w:hAnsi="宋体" w:cs="宋体" w:eastAsia="宋体" w:hint="default"/>
                <w:spacing w:val="13"/>
                <w:sz w:val="18"/>
                <w:szCs w:val="18"/>
              </w:rPr>
              <w:t>我们对应收账款坏账准备的计提进行了复</w:t>
            </w:r>
            <w:r>
              <w:rPr>
                <w:rFonts w:ascii="宋体" w:hAnsi="宋体" w:cs="宋体" w:eastAsia="宋体" w:hint="default"/>
                <w:sz w:val="18"/>
                <w:szCs w:val="18"/>
              </w:rPr>
              <w:t> 核，并检查了公司坏账核销的审批手续；</w:t>
            </w:r>
          </w:p>
          <w:p>
            <w:pPr>
              <w:pStyle w:val="TableParagraph"/>
              <w:spacing w:line="216" w:lineRule="auto"/>
              <w:ind w:left="461" w:right="104" w:hanging="361"/>
              <w:jc w:val="both"/>
              <w:rPr>
                <w:rFonts w:ascii="宋体" w:hAnsi="宋体" w:cs="宋体" w:eastAsia="宋体" w:hint="default"/>
                <w:sz w:val="18"/>
                <w:szCs w:val="18"/>
              </w:rPr>
            </w:pPr>
            <w:r>
              <w:rPr>
                <w:rFonts w:ascii="Calibri" w:hAnsi="Calibri" w:cs="Calibri" w:eastAsia="Calibri" w:hint="default"/>
                <w:sz w:val="18"/>
                <w:szCs w:val="18"/>
              </w:rPr>
              <w:t>6</w:t>
            </w:r>
            <w:r>
              <w:rPr>
                <w:rFonts w:ascii="宋体" w:hAnsi="宋体" w:cs="宋体" w:eastAsia="宋体" w:hint="default"/>
                <w:sz w:val="18"/>
                <w:szCs w:val="18"/>
              </w:rPr>
              <w:t>）</w:t>
            </w:r>
            <w:r>
              <w:rPr>
                <w:rFonts w:ascii="宋体" w:hAnsi="宋体" w:cs="宋体" w:eastAsia="宋体" w:hint="default"/>
                <w:spacing w:val="1"/>
                <w:sz w:val="18"/>
                <w:szCs w:val="18"/>
              </w:rPr>
              <w:t> </w:t>
            </w:r>
            <w:r>
              <w:rPr>
                <w:rFonts w:ascii="宋体" w:hAnsi="宋体" w:cs="宋体" w:eastAsia="宋体" w:hint="default"/>
                <w:spacing w:val="3"/>
                <w:sz w:val="18"/>
                <w:szCs w:val="18"/>
              </w:rPr>
              <w:t>我们将林洋能源的坏账政策与有公开信息的</w:t>
            </w:r>
            <w:r>
              <w:rPr>
                <w:rFonts w:ascii="宋体" w:hAnsi="宋体" w:cs="宋体" w:eastAsia="宋体" w:hint="default"/>
                <w:sz w:val="18"/>
                <w:szCs w:val="18"/>
              </w:rPr>
              <w:t> 同行业可比公司进行了比较。</w:t>
            </w:r>
          </w:p>
        </w:tc>
      </w:tr>
    </w:tbl>
    <w:p>
      <w:pPr>
        <w:spacing w:line="240" w:lineRule="auto" w:before="5"/>
        <w:rPr>
          <w:rFonts w:ascii="宋体" w:hAnsi="宋体" w:cs="宋体" w:eastAsia="宋体" w:hint="default"/>
          <w:sz w:val="23"/>
          <w:szCs w:val="23"/>
        </w:rPr>
      </w:pPr>
    </w:p>
    <w:p>
      <w:pPr>
        <w:pStyle w:val="Heading3"/>
        <w:tabs>
          <w:tab w:pos="925" w:val="left" w:leader="none"/>
        </w:tabs>
        <w:spacing w:line="274" w:lineRule="exact" w:before="36"/>
        <w:ind w:right="0"/>
        <w:jc w:val="left"/>
        <w:rPr>
          <w:b w:val="0"/>
          <w:bCs w:val="0"/>
        </w:rPr>
      </w:pPr>
      <w:r>
        <w:rPr/>
        <w:t>四、</w:t>
        <w:tab/>
        <w:t>其他信息</w:t>
      </w:r>
      <w:r>
        <w:rPr>
          <w:b w:val="0"/>
          <w:bCs w:val="0"/>
        </w:rPr>
      </w:r>
    </w:p>
    <w:p>
      <w:pPr>
        <w:pStyle w:val="BodyText"/>
        <w:spacing w:line="272" w:lineRule="exact" w:before="27"/>
        <w:ind w:right="0" w:firstLine="566"/>
        <w:jc w:val="left"/>
      </w:pPr>
      <w:r>
        <w:rPr>
          <w:spacing w:val="-3"/>
        </w:rPr>
        <w:t>林洋能源管理层（以下简称管理层）对其他信息负责。其他信息包括林洋能源 </w:t>
      </w:r>
      <w:r>
        <w:rPr>
          <w:rFonts w:ascii="Times New Roman" w:hAnsi="Times New Roman" w:cs="Times New Roman" w:eastAsia="Times New Roman" w:hint="default"/>
        </w:rPr>
        <w:t>2019</w:t>
      </w:r>
      <w:r>
        <w:rPr>
          <w:rFonts w:ascii="Times New Roman" w:hAnsi="Times New Roman" w:cs="Times New Roman" w:eastAsia="Times New Roman" w:hint="default"/>
          <w:spacing w:val="10"/>
        </w:rPr>
        <w:t> </w:t>
      </w:r>
      <w:r>
        <w:rPr>
          <w:spacing w:val="-3"/>
        </w:rPr>
        <w:t>年年度</w:t>
      </w:r>
      <w:r>
        <w:rPr>
          <w:spacing w:val="-3"/>
          <w:w w:val="100"/>
        </w:rPr>
        <w:t> </w:t>
      </w:r>
      <w:r>
        <w:rPr/>
        <w:t>报告中涵盖的信息，但不包括财务报表和我们的审计报告。</w:t>
      </w:r>
    </w:p>
    <w:p>
      <w:pPr>
        <w:pStyle w:val="BodyText"/>
        <w:spacing w:line="272" w:lineRule="exact" w:before="1"/>
        <w:ind w:right="0" w:firstLine="566"/>
        <w:jc w:val="left"/>
      </w:pPr>
      <w:r>
        <w:rPr/>
        <w:t>我们对财务报表发表的审计意见不涵盖其他信息，我们也不对其他信息发表任何形式的鉴</w:t>
      </w:r>
      <w:r>
        <w:rPr>
          <w:w w:val="100"/>
        </w:rPr>
        <w:t> </w:t>
      </w:r>
      <w:r>
        <w:rPr/>
        <w:t>证结论。</w:t>
      </w:r>
    </w:p>
    <w:p>
      <w:pPr>
        <w:pStyle w:val="BodyText"/>
        <w:spacing w:line="272" w:lineRule="exact" w:before="1"/>
        <w:ind w:right="0" w:firstLine="566"/>
        <w:jc w:val="left"/>
      </w:pPr>
      <w:r>
        <w:rPr/>
        <w:t>结合我们对财务报表的审计，我们的责任是阅读其他信息，在此过程中，考虑其他信息是</w:t>
      </w:r>
      <w:r>
        <w:rPr>
          <w:w w:val="100"/>
        </w:rPr>
        <w:t> </w:t>
      </w:r>
      <w:r>
        <w:rPr/>
        <w:t>否与财务报表或我们在审计过程中了解到的情况存在重大不一致或者似乎存在重大错报。</w:t>
      </w:r>
    </w:p>
    <w:p>
      <w:pPr>
        <w:pStyle w:val="BodyText"/>
        <w:spacing w:line="272" w:lineRule="exact" w:before="1"/>
        <w:ind w:right="0" w:firstLine="566"/>
        <w:jc w:val="left"/>
      </w:pPr>
      <w:r>
        <w:rPr/>
        <w:t>基于我们已执行的工作，如果我们确定其他信息存在重大错报，我们应当报告该事实。在</w:t>
      </w:r>
      <w:r>
        <w:rPr>
          <w:w w:val="100"/>
        </w:rPr>
        <w:t> </w:t>
      </w:r>
      <w:r>
        <w:rPr/>
        <w:t>这方面，我们无任何事项需要报告。</w:t>
      </w:r>
    </w:p>
    <w:p>
      <w:pPr>
        <w:spacing w:after="0" w:line="272" w:lineRule="exact"/>
        <w:jc w:val="left"/>
        <w:sectPr>
          <w:pgSz w:w="11910" w:h="16840"/>
          <w:pgMar w:header="743" w:footer="974" w:top="1120" w:bottom="1160" w:left="1580" w:right="11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4"/>
          <w:szCs w:val="14"/>
        </w:rPr>
      </w:pPr>
    </w:p>
    <w:p>
      <w:pPr>
        <w:tabs>
          <w:tab w:pos="925" w:val="left" w:leader="none"/>
        </w:tabs>
        <w:spacing w:before="36"/>
        <w:ind w:left="784" w:right="170" w:hanging="567"/>
        <w:jc w:val="left"/>
        <w:rPr>
          <w:rFonts w:ascii="宋体" w:hAnsi="宋体" w:cs="宋体" w:eastAsia="宋体" w:hint="default"/>
          <w:sz w:val="21"/>
          <w:szCs w:val="21"/>
        </w:rPr>
      </w:pPr>
      <w:r>
        <w:rPr>
          <w:rFonts w:ascii="宋体" w:hAnsi="宋体" w:cs="宋体" w:eastAsia="宋体" w:hint="default"/>
          <w:b/>
          <w:bCs/>
          <w:sz w:val="21"/>
          <w:szCs w:val="21"/>
        </w:rPr>
        <w:t>五、</w:t>
        <w:tab/>
        <w:tab/>
        <w:t>管理层和治理层对财务报表的责任</w:t>
      </w:r>
      <w:r>
        <w:rPr>
          <w:rFonts w:ascii="宋体" w:hAnsi="宋体" w:cs="宋体" w:eastAsia="宋体" w:hint="default"/>
          <w:b/>
          <w:bCs/>
          <w:w w:val="100"/>
          <w:sz w:val="21"/>
          <w:szCs w:val="21"/>
        </w:rPr>
        <w:t> </w:t>
      </w:r>
      <w:r>
        <w:rPr>
          <w:rFonts w:ascii="宋体" w:hAnsi="宋体" w:cs="宋体" w:eastAsia="宋体" w:hint="default"/>
          <w:sz w:val="21"/>
          <w:szCs w:val="21"/>
        </w:rPr>
        <w:t>管理层负责按照企业会计准则的规定编制财务报表，使其实现公允反映，并设计、执行和</w:t>
      </w:r>
    </w:p>
    <w:p>
      <w:pPr>
        <w:pStyle w:val="BodyText"/>
        <w:spacing w:line="272" w:lineRule="exact" w:before="26"/>
        <w:ind w:left="784" w:right="0" w:hanging="567"/>
        <w:jc w:val="left"/>
      </w:pPr>
      <w:r>
        <w:rPr/>
        <w:t>维护必要的内部控制，以使财务报表不存在由于舞弊或错误导致的重大错报。</w:t>
      </w:r>
      <w:r>
        <w:rPr>
          <w:w w:val="100"/>
        </w:rPr>
        <w:t> </w:t>
      </w:r>
      <w:r>
        <w:rPr/>
        <w:t>在编制财务报表时，管理层负责评估林洋能源的持续经营能力，披露与持续经营相关的事</w:t>
      </w:r>
    </w:p>
    <w:p>
      <w:pPr>
        <w:pStyle w:val="BodyText"/>
        <w:spacing w:line="272" w:lineRule="exact" w:before="1"/>
        <w:ind w:left="784" w:right="0" w:hanging="567"/>
        <w:jc w:val="left"/>
      </w:pPr>
      <w:r>
        <w:rPr>
          <w:spacing w:val="-2"/>
        </w:rPr>
        <w:t>项（如适用），并运用持续经营假设，除非计划进行清算、终止运营或别无其他现实的选择。</w:t>
      </w:r>
      <w:r>
        <w:rPr>
          <w:spacing w:val="-28"/>
        </w:rPr>
        <w:t> </w:t>
      </w:r>
      <w:r>
        <w:rPr>
          <w:spacing w:val="-28"/>
        </w:rPr>
      </w:r>
      <w:r>
        <w:rPr/>
        <w:t>治理层负责监督林洋能源的财务报告过程。</w:t>
      </w:r>
    </w:p>
    <w:p>
      <w:pPr>
        <w:spacing w:line="240" w:lineRule="auto" w:before="1"/>
        <w:rPr>
          <w:rFonts w:ascii="宋体" w:hAnsi="宋体" w:cs="宋体" w:eastAsia="宋体" w:hint="default"/>
          <w:sz w:val="26"/>
          <w:szCs w:val="26"/>
        </w:rPr>
      </w:pPr>
    </w:p>
    <w:p>
      <w:pPr>
        <w:tabs>
          <w:tab w:pos="925" w:val="left" w:leader="none"/>
        </w:tabs>
        <w:spacing w:before="0"/>
        <w:ind w:left="784" w:right="170" w:hanging="567"/>
        <w:jc w:val="left"/>
        <w:rPr>
          <w:rFonts w:ascii="宋体" w:hAnsi="宋体" w:cs="宋体" w:eastAsia="宋体" w:hint="default"/>
          <w:sz w:val="21"/>
          <w:szCs w:val="21"/>
        </w:rPr>
      </w:pPr>
      <w:r>
        <w:rPr>
          <w:rFonts w:ascii="宋体" w:hAnsi="宋体" w:cs="宋体" w:eastAsia="宋体" w:hint="default"/>
          <w:b/>
          <w:bCs/>
          <w:sz w:val="21"/>
          <w:szCs w:val="21"/>
        </w:rPr>
        <w:t>六、</w:t>
        <w:tab/>
        <w:tab/>
        <w:t>注册会计师对财务报表审计的责任</w:t>
      </w:r>
      <w:r>
        <w:rPr>
          <w:rFonts w:ascii="宋体" w:hAnsi="宋体" w:cs="宋体" w:eastAsia="宋体" w:hint="default"/>
          <w:b/>
          <w:bCs/>
          <w:w w:val="100"/>
          <w:sz w:val="21"/>
          <w:szCs w:val="21"/>
        </w:rPr>
        <w:t> </w:t>
      </w:r>
      <w:r>
        <w:rPr>
          <w:rFonts w:ascii="宋体" w:hAnsi="宋体" w:cs="宋体" w:eastAsia="宋体" w:hint="default"/>
          <w:sz w:val="21"/>
          <w:szCs w:val="21"/>
        </w:rPr>
        <w:t>我们的目标是对财务报表整体是否不存在由于舞弊或错误导致的重大错报获取合理保证，</w:t>
      </w:r>
    </w:p>
    <w:p>
      <w:pPr>
        <w:pStyle w:val="BodyText"/>
        <w:spacing w:line="237" w:lineRule="auto"/>
        <w:ind w:right="128"/>
        <w:jc w:val="both"/>
      </w:pPr>
      <w:r>
        <w:rPr>
          <w:spacing w:val="-1"/>
        </w:rPr>
        <w:t>并出具包含审计意见的审计报告。合理保证是高水平的保证，但并不能保证按照审计准则执行的</w:t>
      </w:r>
      <w:r>
        <w:rPr>
          <w:spacing w:val="-55"/>
        </w:rPr>
        <w:t> </w:t>
      </w:r>
      <w:r>
        <w:rPr>
          <w:spacing w:val="-55"/>
        </w:rPr>
      </w:r>
      <w:r>
        <w:rPr>
          <w:spacing w:val="-1"/>
        </w:rPr>
        <w:t>审计在某一重大错报存在时总能发现。错报可能由于舞弊或错误导致，如果合理预期错报单独或</w:t>
      </w:r>
      <w:r>
        <w:rPr>
          <w:spacing w:val="-55"/>
        </w:rPr>
        <w:t> </w:t>
      </w:r>
      <w:r>
        <w:rPr>
          <w:spacing w:val="-55"/>
        </w:rPr>
      </w:r>
      <w:r>
        <w:rPr/>
        <w:t>汇总起来可能影响财务报表使用者依据财务报表作出的经济决策，则通常认为错报是重大的。</w:t>
      </w:r>
    </w:p>
    <w:p>
      <w:pPr>
        <w:pStyle w:val="BodyText"/>
        <w:spacing w:line="272" w:lineRule="exact" w:before="26"/>
        <w:ind w:right="133" w:firstLine="566"/>
        <w:jc w:val="both"/>
      </w:pPr>
      <w:r>
        <w:rPr/>
        <w:t>在按照审计准则执行审计工作的过程中，我们运用职业判断，并保持职业怀疑。同时，我</w:t>
      </w:r>
      <w:r>
        <w:rPr>
          <w:w w:val="100"/>
        </w:rPr>
        <w:t> </w:t>
      </w:r>
      <w:r>
        <w:rPr/>
        <w:t>们也执行以下工作：</w:t>
      </w:r>
    </w:p>
    <w:p>
      <w:pPr>
        <w:pStyle w:val="BodyText"/>
        <w:spacing w:line="272" w:lineRule="exact" w:before="1"/>
        <w:ind w:right="128" w:firstLine="566"/>
        <w:jc w:val="both"/>
      </w:pPr>
      <w:r>
        <w:rPr>
          <w:spacing w:val="-3"/>
        </w:rPr>
        <w:t>（</w:t>
      </w:r>
      <w:r>
        <w:rPr>
          <w:rFonts w:ascii="Times New Roman" w:hAnsi="Times New Roman" w:cs="Times New Roman" w:eastAsia="Times New Roman" w:hint="default"/>
          <w:spacing w:val="-3"/>
        </w:rPr>
        <w:t>1</w:t>
      </w:r>
      <w:r>
        <w:rPr>
          <w:spacing w:val="-3"/>
        </w:rPr>
        <w:t>）识别和评估由于舞弊或错误导致的财务报表重大错报风险，设计和实施审计程序以应</w:t>
      </w:r>
      <w:r>
        <w:rPr>
          <w:w w:val="100"/>
        </w:rPr>
        <w:t> </w:t>
      </w:r>
      <w:r>
        <w:rPr>
          <w:spacing w:val="-6"/>
        </w:rPr>
        <w:t>对这些风险，并获取充分、适当的审计证据，作为发表审计意见的基础。由于舞弊可能涉及串通、</w:t>
      </w:r>
    </w:p>
    <w:p>
      <w:pPr>
        <w:pStyle w:val="BodyText"/>
        <w:spacing w:line="272" w:lineRule="exact" w:before="1"/>
        <w:ind w:right="128"/>
        <w:jc w:val="both"/>
      </w:pPr>
      <w:r>
        <w:rPr>
          <w:spacing w:val="-1"/>
        </w:rPr>
        <w:t>伪造、故意遗漏、虚假陈述或凌驾于内部控制之上，未能发现由于舞弊导致的重大错报的风险高</w:t>
      </w:r>
      <w:r>
        <w:rPr>
          <w:spacing w:val="-55"/>
        </w:rPr>
        <w:t> </w:t>
      </w:r>
      <w:r>
        <w:rPr>
          <w:spacing w:val="-55"/>
        </w:rPr>
      </w:r>
      <w:r>
        <w:rPr/>
        <w:t>于未能发现由于错误导致的重大错报的风险。</w:t>
      </w:r>
    </w:p>
    <w:p>
      <w:pPr>
        <w:pStyle w:val="BodyText"/>
        <w:spacing w:line="255" w:lineRule="exact"/>
        <w:ind w:left="784" w:right="0"/>
        <w:jc w:val="left"/>
      </w:pPr>
      <w:r>
        <w:rPr/>
        <w:t>（</w:t>
      </w:r>
      <w:r>
        <w:rPr>
          <w:rFonts w:ascii="Times New Roman" w:hAnsi="Times New Roman" w:cs="Times New Roman" w:eastAsia="Times New Roman" w:hint="default"/>
        </w:rPr>
        <w:t>2</w:t>
      </w:r>
      <w:r>
        <w:rPr/>
        <w:t>）了解与审计相关的内部控制，以设计恰当的审计程序。</w:t>
      </w:r>
    </w:p>
    <w:p>
      <w:pPr>
        <w:pStyle w:val="BodyText"/>
        <w:spacing w:line="271" w:lineRule="exact"/>
        <w:ind w:left="784" w:right="0"/>
        <w:jc w:val="left"/>
      </w:pPr>
      <w:r>
        <w:rPr/>
        <w:t>（</w:t>
      </w:r>
      <w:r>
        <w:rPr>
          <w:rFonts w:ascii="Times New Roman" w:hAnsi="Times New Roman" w:cs="Times New Roman" w:eastAsia="Times New Roman" w:hint="default"/>
        </w:rPr>
        <w:t>3</w:t>
      </w:r>
      <w:r>
        <w:rPr/>
        <w:t>）评价管理层选用会计政策的恰当性和作出会计估计及相关披露的合理性。</w:t>
      </w:r>
    </w:p>
    <w:p>
      <w:pPr>
        <w:pStyle w:val="BodyText"/>
        <w:spacing w:line="235" w:lineRule="auto"/>
        <w:ind w:right="128" w:firstLine="566"/>
        <w:jc w:val="both"/>
      </w:pPr>
      <w:r>
        <w:rPr>
          <w:spacing w:val="-3"/>
        </w:rPr>
        <w:t>（</w:t>
      </w:r>
      <w:r>
        <w:rPr>
          <w:rFonts w:ascii="Times New Roman" w:hAnsi="Times New Roman" w:cs="Times New Roman" w:eastAsia="Times New Roman" w:hint="default"/>
          <w:spacing w:val="-3"/>
        </w:rPr>
        <w:t>4</w:t>
      </w:r>
      <w:r>
        <w:rPr>
          <w:spacing w:val="-3"/>
        </w:rPr>
        <w:t>）对管理层使用持续经营假设的恰当性得出结论。同时，根据获取的审计证据，就可能</w:t>
      </w:r>
      <w:r>
        <w:rPr>
          <w:w w:val="100"/>
        </w:rPr>
        <w:t> </w:t>
      </w:r>
      <w:r>
        <w:rPr>
          <w:spacing w:val="-1"/>
        </w:rPr>
        <w:t>导致对林洋能源持续经营能力产生重大疑虑的事项或情况是否存在重大不确定性得出结论。如果</w:t>
      </w:r>
      <w:r>
        <w:rPr>
          <w:spacing w:val="-55"/>
        </w:rPr>
        <w:t> </w:t>
      </w:r>
      <w:r>
        <w:rPr>
          <w:spacing w:val="-55"/>
        </w:rPr>
      </w:r>
      <w:r>
        <w:rPr>
          <w:spacing w:val="-1"/>
        </w:rPr>
        <w:t>我们得出结论认为存在重大不确定性，审计准则要求我们在审计报告中提请报表使用者注意财务</w:t>
      </w:r>
      <w:r>
        <w:rPr>
          <w:spacing w:val="-55"/>
        </w:rPr>
        <w:t> </w:t>
      </w:r>
      <w:r>
        <w:rPr>
          <w:spacing w:val="-55"/>
        </w:rPr>
      </w:r>
      <w:r>
        <w:rPr>
          <w:spacing w:val="-1"/>
        </w:rPr>
        <w:t>报表中的相关披露；如果披露不充分，我们应当发表非无保留意见。我们的结论基于截至审计报</w:t>
      </w:r>
      <w:r>
        <w:rPr>
          <w:spacing w:val="-55"/>
        </w:rPr>
        <w:t> </w:t>
      </w:r>
      <w:r>
        <w:rPr>
          <w:spacing w:val="-55"/>
        </w:rPr>
      </w:r>
      <w:r>
        <w:rPr/>
        <w:t>告日可获得的信息。然而，未来的事项或情况可能导致林洋能源不能持续经营。</w:t>
      </w:r>
    </w:p>
    <w:p>
      <w:pPr>
        <w:pStyle w:val="BodyText"/>
        <w:spacing w:line="272" w:lineRule="exact" w:before="27"/>
        <w:ind w:right="130" w:firstLine="566"/>
        <w:jc w:val="both"/>
      </w:pPr>
      <w:r>
        <w:rPr>
          <w:spacing w:val="-3"/>
        </w:rPr>
        <w:t>（</w:t>
      </w:r>
      <w:r>
        <w:rPr>
          <w:rFonts w:ascii="Times New Roman" w:hAnsi="Times New Roman" w:cs="Times New Roman" w:eastAsia="Times New Roman" w:hint="default"/>
          <w:spacing w:val="-3"/>
        </w:rPr>
        <w:t>5</w:t>
      </w:r>
      <w:r>
        <w:rPr>
          <w:spacing w:val="-3"/>
        </w:rPr>
        <w:t>）评价财务报表的总体列报（包括披露）、结构和内容，并评价财务报表是否公允反映</w:t>
      </w:r>
      <w:r>
        <w:rPr>
          <w:w w:val="100"/>
        </w:rPr>
        <w:t> </w:t>
      </w:r>
      <w:r>
        <w:rPr/>
        <w:t>相关交易和事项。</w:t>
      </w:r>
    </w:p>
    <w:p>
      <w:pPr>
        <w:pStyle w:val="BodyText"/>
        <w:spacing w:line="272" w:lineRule="exact" w:before="1"/>
        <w:ind w:right="128" w:firstLine="566"/>
        <w:jc w:val="both"/>
      </w:pPr>
      <w:r>
        <w:rPr>
          <w:spacing w:val="-3"/>
        </w:rPr>
        <w:t>（</w:t>
      </w:r>
      <w:r>
        <w:rPr>
          <w:rFonts w:ascii="Times New Roman" w:hAnsi="Times New Roman" w:cs="Times New Roman" w:eastAsia="Times New Roman" w:hint="default"/>
          <w:spacing w:val="-3"/>
        </w:rPr>
        <w:t>6</w:t>
      </w:r>
      <w:r>
        <w:rPr>
          <w:spacing w:val="-3"/>
        </w:rPr>
        <w:t>）就林洋能源中实体或业务活动的财务信息获取充分、适当的审计证据，以对财务报表</w:t>
      </w:r>
      <w:r>
        <w:rPr>
          <w:w w:val="100"/>
        </w:rPr>
        <w:t> </w:t>
      </w:r>
      <w:r>
        <w:rPr/>
        <w:t>发表审计意见。我们负责指导、监督和执行集团审计，并对审计意见承担全部责任。</w:t>
      </w:r>
    </w:p>
    <w:p>
      <w:pPr>
        <w:pStyle w:val="BodyText"/>
        <w:spacing w:line="272" w:lineRule="exact" w:before="1"/>
        <w:ind w:right="131" w:firstLine="566"/>
        <w:jc w:val="both"/>
      </w:pPr>
      <w:r>
        <w:rPr/>
        <w:t>我们与治理层就计划的审计范围、时间安排和重大审计发现等事项进行沟通，包括沟通我</w:t>
      </w:r>
      <w:r>
        <w:rPr>
          <w:w w:val="100"/>
        </w:rPr>
        <w:t> </w:t>
      </w:r>
      <w:r>
        <w:rPr/>
        <w:t>们在审计中识别出的值得关注的内部控制缺陷。</w:t>
      </w:r>
    </w:p>
    <w:p>
      <w:pPr>
        <w:pStyle w:val="BodyText"/>
        <w:spacing w:line="272" w:lineRule="exact" w:before="1"/>
        <w:ind w:right="133" w:firstLine="566"/>
        <w:jc w:val="both"/>
      </w:pPr>
      <w:r>
        <w:rPr/>
        <w:t>我们还就已遵守与独立性相关的职业道德要求向治理层提供声明，并与治理层沟通可能被</w:t>
      </w:r>
      <w:r>
        <w:rPr>
          <w:w w:val="100"/>
        </w:rPr>
        <w:t> </w:t>
      </w:r>
      <w:r>
        <w:rPr/>
        <w:t>合理认为影响我们独立性的所有关系和其他事项，以及相关的防范措施（如适用）。</w:t>
      </w:r>
    </w:p>
    <w:p>
      <w:pPr>
        <w:pStyle w:val="BodyText"/>
        <w:spacing w:line="272" w:lineRule="exact" w:before="1"/>
        <w:ind w:right="128" w:firstLine="566"/>
        <w:jc w:val="both"/>
      </w:pPr>
      <w:r>
        <w:rPr/>
        <w:t>从与治理层沟通过的事项中，我们确定哪些事项对本期财务报表审计最为重要，因而构成</w:t>
      </w:r>
      <w:r>
        <w:rPr>
          <w:w w:val="100"/>
        </w:rPr>
        <w:t> </w:t>
      </w:r>
      <w:r>
        <w:rPr>
          <w:spacing w:val="-1"/>
        </w:rPr>
        <w:t>关键审计事项。我们在审计报告中描述这些事项，除非法律法规禁止公开披露这些事项，或在极</w:t>
      </w:r>
    </w:p>
    <w:p>
      <w:pPr>
        <w:pStyle w:val="BodyText"/>
        <w:spacing w:line="272" w:lineRule="exact" w:before="1"/>
        <w:ind w:right="128"/>
        <w:jc w:val="both"/>
      </w:pPr>
      <w:r>
        <w:rPr>
          <w:spacing w:val="-1"/>
        </w:rPr>
        <w:t>少数情形下，如果合理预期在审计报告中沟通某事项造成的负面后果超过在公众利益方面产生的</w:t>
      </w:r>
      <w:r>
        <w:rPr>
          <w:spacing w:val="-55"/>
        </w:rPr>
        <w:t> </w:t>
      </w:r>
      <w:r>
        <w:rPr>
          <w:spacing w:val="-55"/>
        </w:rPr>
      </w:r>
      <w:r>
        <w:rPr/>
        <w:t>益处，我们确定不应在审计报告中沟通该事项。</w:t>
      </w:r>
    </w:p>
    <w:p>
      <w:pPr>
        <w:spacing w:line="240" w:lineRule="auto" w:before="8"/>
        <w:rPr>
          <w:rFonts w:ascii="宋体" w:hAnsi="宋体" w:cs="宋体" w:eastAsia="宋体" w:hint="default"/>
          <w:sz w:val="22"/>
          <w:szCs w:val="22"/>
        </w:rPr>
      </w:pPr>
    </w:p>
    <w:p>
      <w:pPr>
        <w:pStyle w:val="Heading3"/>
        <w:tabs>
          <w:tab w:pos="4742" w:val="left" w:leader="none"/>
        </w:tabs>
        <w:spacing w:line="273" w:lineRule="exact" w:before="0"/>
        <w:ind w:left="424" w:right="0"/>
        <w:jc w:val="left"/>
        <w:rPr>
          <w:b w:val="0"/>
          <w:bCs w:val="0"/>
        </w:rPr>
      </w:pPr>
      <w:r>
        <w:rPr/>
        <w:t>立信会计师事务所</w:t>
        <w:tab/>
        <w:t>中国注册会计师：严劼（项目合伙人）</w:t>
      </w:r>
      <w:r>
        <w:rPr>
          <w:b w:val="0"/>
          <w:bCs w:val="0"/>
        </w:rPr>
      </w:r>
    </w:p>
    <w:p>
      <w:pPr>
        <w:pStyle w:val="Heading3"/>
        <w:spacing w:line="273" w:lineRule="exact" w:before="0"/>
        <w:ind w:left="424" w:right="0"/>
        <w:jc w:val="left"/>
        <w:rPr>
          <w:b w:val="0"/>
          <w:bCs w:val="0"/>
        </w:rPr>
      </w:pPr>
      <w:r>
        <w:rPr/>
        <w:t>（特殊普通合伙）</w:t>
      </w:r>
      <w:r>
        <w:rPr>
          <w:b w:val="0"/>
          <w:bCs w:val="0"/>
        </w:rPr>
      </w: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6"/>
          <w:szCs w:val="16"/>
        </w:rPr>
      </w:pPr>
    </w:p>
    <w:p>
      <w:pPr>
        <w:pStyle w:val="Heading3"/>
        <w:spacing w:line="240" w:lineRule="auto" w:before="0"/>
        <w:ind w:left="4749" w:right="0"/>
        <w:jc w:val="left"/>
        <w:rPr>
          <w:b w:val="0"/>
          <w:bCs w:val="0"/>
        </w:rPr>
      </w:pPr>
      <w:r>
        <w:rPr/>
        <w:t>中国注册会计师：张涛</w:t>
      </w:r>
      <w:r>
        <w:rPr>
          <w:b w:val="0"/>
          <w:bCs w:val="0"/>
        </w:rPr>
      </w: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6"/>
          <w:szCs w:val="16"/>
        </w:rPr>
      </w:pPr>
    </w:p>
    <w:p>
      <w:pPr>
        <w:pStyle w:val="Heading3"/>
        <w:tabs>
          <w:tab w:pos="4742" w:val="left" w:leader="none"/>
        </w:tabs>
        <w:spacing w:line="240" w:lineRule="auto" w:before="0"/>
        <w:ind w:left="846" w:right="0"/>
        <w:jc w:val="left"/>
        <w:rPr>
          <w:b w:val="0"/>
          <w:bCs w:val="0"/>
        </w:rPr>
      </w:pPr>
      <w:r>
        <w:rPr>
          <w:spacing w:val="-1"/>
        </w:rPr>
        <w:t>中国</w:t>
      </w:r>
      <w:r>
        <w:rPr>
          <w:rFonts w:ascii="Times New Roman" w:hAnsi="Times New Roman" w:cs="Times New Roman" w:eastAsia="Times New Roman" w:hint="default"/>
          <w:spacing w:val="-1"/>
        </w:rPr>
        <w:t>•</w:t>
      </w:r>
      <w:r>
        <w:rPr>
          <w:spacing w:val="-1"/>
        </w:rPr>
        <w:t>上海</w:t>
        <w:tab/>
        <w:t>二〇二〇年四月二十三日</w:t>
      </w:r>
      <w:r>
        <w:rPr>
          <w:b w:val="0"/>
          <w:bCs w:val="0"/>
          <w:spacing w:val="-1"/>
        </w:rPr>
      </w:r>
    </w:p>
    <w:p>
      <w:pPr>
        <w:spacing w:after="0" w:line="240" w:lineRule="auto"/>
        <w:jc w:val="left"/>
        <w:sectPr>
          <w:pgSz w:w="11910" w:h="16840"/>
          <w:pgMar w:header="743" w:footer="974" w:top="1120" w:bottom="1160" w:left="1580" w:right="1140"/>
        </w:sectPr>
      </w:pPr>
    </w:p>
    <w:p>
      <w:pPr>
        <w:spacing w:line="240" w:lineRule="auto" w:before="4"/>
        <w:rPr>
          <w:rFonts w:ascii="宋体" w:hAnsi="宋体" w:cs="宋体" w:eastAsia="宋体" w:hint="default"/>
          <w:b/>
          <w:bCs/>
          <w:sz w:val="24"/>
          <w:szCs w:val="24"/>
        </w:rPr>
      </w:pPr>
    </w:p>
    <w:p>
      <w:pPr>
        <w:spacing w:after="0" w:line="240" w:lineRule="auto"/>
        <w:rPr>
          <w:rFonts w:ascii="宋体" w:hAnsi="宋体" w:cs="宋体" w:eastAsia="宋体" w:hint="default"/>
          <w:sz w:val="24"/>
          <w:szCs w:val="24"/>
        </w:rPr>
        <w:sectPr>
          <w:pgSz w:w="11910" w:h="16840"/>
          <w:pgMar w:header="743" w:footer="974" w:top="1120" w:bottom="1160" w:left="1580" w:right="1040"/>
        </w:sectPr>
      </w:pPr>
    </w:p>
    <w:p>
      <w:pPr>
        <w:pStyle w:val="Heading3"/>
        <w:spacing w:line="240" w:lineRule="auto" w:before="36"/>
        <w:ind w:right="0"/>
        <w:jc w:val="left"/>
        <w:rPr>
          <w:rFonts w:ascii="宋体" w:hAnsi="宋体" w:cs="宋体" w:eastAsia="宋体" w:hint="default"/>
          <w:b w:val="0"/>
          <w:bCs w:val="0"/>
        </w:rPr>
      </w:pPr>
      <w:r>
        <w:rPr>
          <w:spacing w:val="-1"/>
        </w:rPr>
        <w:t>二、</w:t>
      </w:r>
      <w:r>
        <w:rPr>
          <w:spacing w:val="-100"/>
        </w:rPr>
        <w:t> </w:t>
      </w:r>
      <w:r>
        <w:rPr>
          <w:rFonts w:ascii="宋体" w:hAnsi="宋体" w:cs="宋体" w:eastAsia="宋体" w:hint="default"/>
          <w:spacing w:val="-100"/>
        </w:rPr>
      </w:r>
      <w:r>
        <w:rPr>
          <w:spacing w:val="-1"/>
        </w:rPr>
        <w:t>财务报表</w:t>
      </w:r>
      <w:r>
        <w:rPr>
          <w:rFonts w:ascii="宋体" w:hAnsi="宋体" w:cs="宋体" w:eastAsia="宋体" w:hint="default"/>
          <w:w w:val="99"/>
        </w:rPr>
        <w:t> </w:t>
      </w:r>
      <w:r>
        <w:rPr>
          <w:rFonts w:ascii="宋体" w:hAnsi="宋体" w:cs="宋体" w:eastAsia="宋体" w:hint="default"/>
          <w:b w:val="0"/>
          <w:bCs w:val="0"/>
        </w:rPr>
      </w:r>
    </w:p>
    <w:p>
      <w:pPr>
        <w:spacing w:line="240" w:lineRule="auto" w:before="4"/>
        <w:rPr>
          <w:rFonts w:ascii="宋体" w:hAnsi="宋体" w:cs="宋体" w:eastAsia="宋体" w:hint="default"/>
          <w:b/>
          <w:bCs/>
          <w:sz w:val="28"/>
          <w:szCs w:val="28"/>
        </w:rPr>
      </w:pPr>
      <w:r>
        <w:rPr/>
        <w:br w:type="column"/>
      </w:r>
      <w:r>
        <w:rPr>
          <w:rFonts w:ascii="宋体"/>
          <w:b/>
          <w:sz w:val="28"/>
        </w:rPr>
      </w:r>
    </w:p>
    <w:p>
      <w:pPr>
        <w:spacing w:line="290" w:lineRule="auto" w:before="0"/>
        <w:ind w:left="218" w:right="3515" w:firstLine="127"/>
        <w:jc w:val="left"/>
        <w:rPr>
          <w:rFonts w:ascii="宋体" w:hAnsi="宋体" w:cs="宋体" w:eastAsia="宋体" w:hint="default"/>
          <w:sz w:val="21"/>
          <w:szCs w:val="21"/>
        </w:rPr>
      </w:pPr>
      <w:r>
        <w:rPr>
          <w:rFonts w:ascii="宋体" w:hAnsi="宋体" w:cs="宋体" w:eastAsia="宋体" w:hint="default"/>
          <w:b/>
          <w:bCs/>
          <w:sz w:val="21"/>
          <w:szCs w:val="21"/>
        </w:rPr>
        <w:t>合并资产负债表</w:t>
      </w:r>
      <w:r>
        <w:rPr>
          <w:rFonts w:ascii="宋体" w:hAnsi="宋体" w:cs="宋体" w:eastAsia="宋体" w:hint="default"/>
          <w:b/>
          <w:bCs/>
          <w:w w:val="100"/>
          <w:sz w:val="21"/>
          <w:szCs w:val="21"/>
        </w:rPr>
        <w:t> </w:t>
      </w: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pacing w:val="-3"/>
          <w:sz w:val="21"/>
          <w:szCs w:val="21"/>
        </w:rPr>
        <w:t>日</w:t>
      </w:r>
      <w:r>
        <w:rPr>
          <w:rFonts w:ascii="宋体" w:hAnsi="宋体" w:cs="宋体" w:eastAsia="宋体" w:hint="default"/>
          <w:b/>
          <w:bCs/>
          <w:w w:val="99"/>
          <w:sz w:val="21"/>
          <w:szCs w:val="21"/>
        </w:rPr>
        <w:t> </w:t>
      </w:r>
      <w:r>
        <w:rPr>
          <w:rFonts w:ascii="宋体" w:hAnsi="宋体" w:cs="宋体" w:eastAsia="宋体" w:hint="default"/>
          <w:sz w:val="21"/>
          <w:szCs w:val="21"/>
        </w:rPr>
      </w:r>
    </w:p>
    <w:p>
      <w:pPr>
        <w:spacing w:after="0" w:line="290" w:lineRule="auto"/>
        <w:jc w:val="left"/>
        <w:rPr>
          <w:rFonts w:ascii="宋体" w:hAnsi="宋体" w:cs="宋体" w:eastAsia="宋体" w:hint="default"/>
          <w:sz w:val="21"/>
          <w:szCs w:val="21"/>
        </w:rPr>
        <w:sectPr>
          <w:type w:val="continuous"/>
          <w:pgSz w:w="11910" w:h="16840"/>
          <w:pgMar w:top="1580" w:bottom="280" w:left="1580" w:right="1040"/>
          <w:cols w:num="2" w:equalWidth="0">
            <w:col w:w="1591" w:space="1959"/>
            <w:col w:w="5740"/>
          </w:cols>
        </w:sectPr>
      </w:pPr>
    </w:p>
    <w:p>
      <w:pPr>
        <w:pStyle w:val="BodyText"/>
        <w:spacing w:line="228" w:lineRule="exact"/>
        <w:ind w:right="0"/>
        <w:jc w:val="left"/>
        <w:rPr>
          <w:rFonts w:ascii="宋体" w:hAnsi="宋体" w:cs="宋体" w:eastAsia="宋体" w:hint="default"/>
        </w:rPr>
      </w:pPr>
      <w:r>
        <w:rPr/>
        <w:t>编制单位</w:t>
      </w:r>
      <w:r>
        <w:rPr>
          <w:rFonts w:ascii="宋体" w:hAnsi="宋体" w:cs="宋体" w:eastAsia="宋体" w:hint="default"/>
        </w:rPr>
        <w:t>:</w:t>
      </w:r>
      <w:r>
        <w:rPr/>
        <w:t>江苏林洋能源股份有限公司</w:t>
      </w:r>
      <w:r>
        <w:rPr>
          <w:rFonts w:ascii="宋体" w:hAnsi="宋体" w:cs="宋体" w:eastAsia="宋体" w:hint="default"/>
        </w:rPr>
        <w:t> </w:t>
      </w:r>
    </w:p>
    <w:p>
      <w:pPr>
        <w:pStyle w:val="BodyText"/>
        <w:spacing w:line="273" w:lineRule="exact"/>
        <w:ind w:left="0" w:right="127"/>
        <w:jc w:val="right"/>
        <w:rPr>
          <w:rFonts w:ascii="宋体" w:hAnsi="宋体" w:cs="宋体" w:eastAsia="宋体" w:hint="default"/>
        </w:rPr>
      </w:pPr>
      <w:r>
        <w:rPr>
          <w:spacing w:val="-2"/>
        </w:rPr>
        <w:t>单位</w:t>
      </w:r>
      <w:r>
        <w:rPr>
          <w:rFonts w:ascii="宋体" w:hAnsi="宋体" w:cs="宋体" w:eastAsia="宋体" w:hint="default"/>
          <w:spacing w:val="-2"/>
        </w:rPr>
        <w:t>:</w:t>
      </w:r>
      <w:r>
        <w:rPr>
          <w:spacing w:val="-2"/>
        </w:rPr>
        <w:t>元币种</w:t>
      </w:r>
      <w:r>
        <w:rPr>
          <w:rFonts w:ascii="宋体" w:hAnsi="宋体" w:cs="宋体" w:eastAsia="宋体" w:hint="default"/>
          <w:spacing w:val="-2"/>
        </w:rPr>
        <w:t>:</w:t>
      </w:r>
      <w:r>
        <w:rPr>
          <w:spacing w:val="-2"/>
        </w:rPr>
        <w:t>人民币</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2945"/>
        <w:gridCol w:w="1133"/>
        <w:gridCol w:w="2552"/>
        <w:gridCol w:w="2410"/>
      </w:tblGrid>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48"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95" w:right="0"/>
              <w:jc w:val="left"/>
              <w:rPr>
                <w:rFonts w:ascii="宋体" w:hAnsi="宋体" w:cs="宋体" w:eastAsia="宋体" w:hint="default"/>
                <w:sz w:val="21"/>
                <w:szCs w:val="21"/>
              </w:rPr>
            </w:pPr>
            <w:r>
              <w:rPr>
                <w:rFonts w:ascii="宋体" w:hAnsi="宋体" w:cs="宋体" w:eastAsia="宋体" w:hint="default"/>
                <w:b/>
                <w:bCs/>
                <w:sz w:val="21"/>
                <w:szCs w:val="21"/>
              </w:rPr>
              <w:t>2019</w:t>
            </w:r>
            <w:r>
              <w:rPr>
                <w:rFonts w:ascii="宋体" w:hAnsi="宋体" w:cs="宋体" w:eastAsia="宋体" w:hint="default"/>
                <w:b/>
                <w:bCs/>
                <w:spacing w:val="-54"/>
                <w:sz w:val="21"/>
                <w:szCs w:val="21"/>
              </w:rPr>
              <w:t> </w:t>
            </w:r>
            <w:r>
              <w:rPr>
                <w:rFonts w:ascii="宋体" w:hAnsi="宋体" w:cs="宋体" w:eastAsia="宋体" w:hint="default"/>
                <w:b/>
                <w:bCs/>
                <w:sz w:val="21"/>
                <w:szCs w:val="21"/>
              </w:rPr>
              <w:t>年</w:t>
            </w:r>
            <w:r>
              <w:rPr>
                <w:rFonts w:ascii="宋体" w:hAnsi="宋体" w:cs="宋体" w:eastAsia="宋体" w:hint="default"/>
                <w:b/>
                <w:bCs/>
                <w:spacing w:val="-55"/>
                <w:sz w:val="21"/>
                <w:szCs w:val="21"/>
              </w:rPr>
              <w:t> </w:t>
            </w:r>
            <w:r>
              <w:rPr>
                <w:rFonts w:ascii="宋体" w:hAnsi="宋体" w:cs="宋体" w:eastAsia="宋体" w:hint="default"/>
                <w:b/>
                <w:bCs/>
                <w:sz w:val="21"/>
                <w:szCs w:val="21"/>
              </w:rPr>
              <w:t>12</w:t>
            </w:r>
            <w:r>
              <w:rPr>
                <w:rFonts w:ascii="宋体" w:hAnsi="宋体" w:cs="宋体" w:eastAsia="宋体" w:hint="default"/>
                <w:b/>
                <w:bCs/>
                <w:spacing w:val="-55"/>
                <w:sz w:val="21"/>
                <w:szCs w:val="21"/>
              </w:rPr>
              <w:t> </w:t>
            </w:r>
            <w:r>
              <w:rPr>
                <w:rFonts w:ascii="宋体" w:hAnsi="宋体" w:cs="宋体" w:eastAsia="宋体" w:hint="default"/>
                <w:b/>
                <w:bCs/>
                <w:sz w:val="21"/>
                <w:szCs w:val="21"/>
              </w:rPr>
              <w:t>月</w:t>
            </w:r>
            <w:r>
              <w:rPr>
                <w:rFonts w:ascii="宋体" w:hAnsi="宋体" w:cs="宋体" w:eastAsia="宋体" w:hint="default"/>
                <w:b/>
                <w:bCs/>
                <w:spacing w:val="-55"/>
                <w:sz w:val="21"/>
                <w:szCs w:val="21"/>
              </w:rPr>
              <w:t> </w:t>
            </w:r>
            <w:r>
              <w:rPr>
                <w:rFonts w:ascii="宋体" w:hAnsi="宋体" w:cs="宋体" w:eastAsia="宋体" w:hint="default"/>
                <w:b/>
                <w:bCs/>
                <w:sz w:val="21"/>
                <w:szCs w:val="21"/>
              </w:rPr>
              <w:t>31</w:t>
            </w:r>
            <w:r>
              <w:rPr>
                <w:rFonts w:ascii="宋体" w:hAnsi="宋体" w:cs="宋体" w:eastAsia="宋体" w:hint="default"/>
                <w:b/>
                <w:bCs/>
                <w:spacing w:val="-55"/>
                <w:sz w:val="21"/>
                <w:szCs w:val="21"/>
              </w:rPr>
              <w:t> </w:t>
            </w:r>
            <w:r>
              <w:rPr>
                <w:rFonts w:ascii="宋体" w:hAnsi="宋体" w:cs="宋体" w:eastAsia="宋体" w:hint="default"/>
                <w:b/>
                <w:bCs/>
                <w:sz w:val="21"/>
                <w:szCs w:val="21"/>
              </w:rPr>
              <w:t>日</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26" w:right="0"/>
              <w:jc w:val="left"/>
              <w:rPr>
                <w:rFonts w:ascii="宋体" w:hAnsi="宋体" w:cs="宋体" w:eastAsia="宋体" w:hint="default"/>
                <w:sz w:val="21"/>
                <w:szCs w:val="21"/>
              </w:rPr>
            </w:pPr>
            <w:r>
              <w:rPr>
                <w:rFonts w:ascii="宋体" w:hAnsi="宋体" w:cs="宋体" w:eastAsia="宋体" w:hint="default"/>
                <w:b/>
                <w:bCs/>
                <w:sz w:val="21"/>
                <w:szCs w:val="21"/>
              </w:rPr>
              <w:t>2018</w:t>
            </w:r>
            <w:r>
              <w:rPr>
                <w:rFonts w:ascii="宋体" w:hAnsi="宋体" w:cs="宋体" w:eastAsia="宋体" w:hint="default"/>
                <w:b/>
                <w:bCs/>
                <w:spacing w:val="-54"/>
                <w:sz w:val="21"/>
                <w:szCs w:val="21"/>
              </w:rPr>
              <w:t> </w:t>
            </w:r>
            <w:r>
              <w:rPr>
                <w:rFonts w:ascii="宋体" w:hAnsi="宋体" w:cs="宋体" w:eastAsia="宋体" w:hint="default"/>
                <w:b/>
                <w:bCs/>
                <w:sz w:val="21"/>
                <w:szCs w:val="21"/>
              </w:rPr>
              <w:t>年</w:t>
            </w:r>
            <w:r>
              <w:rPr>
                <w:rFonts w:ascii="宋体" w:hAnsi="宋体" w:cs="宋体" w:eastAsia="宋体" w:hint="default"/>
                <w:b/>
                <w:bCs/>
                <w:spacing w:val="-55"/>
                <w:sz w:val="21"/>
                <w:szCs w:val="21"/>
              </w:rPr>
              <w:t> </w:t>
            </w:r>
            <w:r>
              <w:rPr>
                <w:rFonts w:ascii="宋体" w:hAnsi="宋体" w:cs="宋体" w:eastAsia="宋体" w:hint="default"/>
                <w:b/>
                <w:bCs/>
                <w:sz w:val="21"/>
                <w:szCs w:val="21"/>
              </w:rPr>
              <w:t>12</w:t>
            </w:r>
            <w:r>
              <w:rPr>
                <w:rFonts w:ascii="宋体" w:hAnsi="宋体" w:cs="宋体" w:eastAsia="宋体" w:hint="default"/>
                <w:b/>
                <w:bCs/>
                <w:spacing w:val="-55"/>
                <w:sz w:val="21"/>
                <w:szCs w:val="21"/>
              </w:rPr>
              <w:t> </w:t>
            </w:r>
            <w:r>
              <w:rPr>
                <w:rFonts w:ascii="宋体" w:hAnsi="宋体" w:cs="宋体" w:eastAsia="宋体" w:hint="default"/>
                <w:b/>
                <w:bCs/>
                <w:sz w:val="21"/>
                <w:szCs w:val="21"/>
              </w:rPr>
              <w:t>月</w:t>
            </w:r>
            <w:r>
              <w:rPr>
                <w:rFonts w:ascii="宋体" w:hAnsi="宋体" w:cs="宋体" w:eastAsia="宋体" w:hint="default"/>
                <w:b/>
                <w:bCs/>
                <w:spacing w:val="-55"/>
                <w:sz w:val="21"/>
                <w:szCs w:val="21"/>
              </w:rPr>
              <w:t> </w:t>
            </w:r>
            <w:r>
              <w:rPr>
                <w:rFonts w:ascii="宋体" w:hAnsi="宋体" w:cs="宋体" w:eastAsia="宋体" w:hint="default"/>
                <w:b/>
                <w:bCs/>
                <w:sz w:val="21"/>
                <w:szCs w:val="21"/>
              </w:rPr>
              <w:t>31</w:t>
            </w:r>
            <w:r>
              <w:rPr>
                <w:rFonts w:ascii="宋体" w:hAnsi="宋体" w:cs="宋体" w:eastAsia="宋体" w:hint="default"/>
                <w:b/>
                <w:bCs/>
                <w:spacing w:val="-55"/>
                <w:sz w:val="21"/>
                <w:szCs w:val="21"/>
              </w:rPr>
              <w:t> </w:t>
            </w:r>
            <w:r>
              <w:rPr>
                <w:rFonts w:ascii="宋体" w:hAnsi="宋体" w:cs="宋体" w:eastAsia="宋体" w:hint="default"/>
                <w:b/>
                <w:bCs/>
                <w:sz w:val="21"/>
                <w:szCs w:val="21"/>
              </w:rPr>
              <w:t>日</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流动资产：</w:t>
            </w:r>
            <w:r>
              <w:rPr>
                <w:rFonts w:ascii="宋体" w:hAnsi="宋体" w:cs="宋体" w:eastAsia="宋体" w:hint="default"/>
                <w:w w:val="100"/>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b/>
                <w:color w:val="FF00FF"/>
                <w:w w:val="99"/>
                <w:sz w:val="21"/>
              </w:rPr>
              <w:t> </w:t>
            </w:r>
            <w:r>
              <w:rPr>
                <w:rFonts w:ascii="宋体"/>
                <w:sz w:val="21"/>
              </w:rPr>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b/>
                <w:color w:val="FF00FF"/>
                <w:w w:val="99"/>
                <w:sz w:val="21"/>
              </w:rPr>
              <w:t> </w:t>
            </w:r>
            <w:r>
              <w:rPr>
                <w:rFonts w:ascii="宋体"/>
                <w:sz w:val="21"/>
              </w:rPr>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b/>
                <w:color w:val="FF00FF"/>
                <w:w w:val="99"/>
                <w:sz w:val="21"/>
              </w:rPr>
              <w:t> </w:t>
            </w:r>
            <w:r>
              <w:rPr>
                <w:rFonts w:ascii="宋体"/>
                <w:sz w:val="21"/>
              </w:rPr>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货币资金</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1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2,032,562,728.71</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2,188,424,717.93</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结算备付金</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拆出资金</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交易性金融资产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2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1,000,586,691.42</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r>
      <w:tr>
        <w:trPr>
          <w:trHeight w:val="560"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1" w:right="0"/>
              <w:jc w:val="left"/>
              <w:rPr>
                <w:rFonts w:ascii="宋体" w:hAnsi="宋体" w:cs="宋体" w:eastAsia="宋体" w:hint="default"/>
                <w:sz w:val="21"/>
                <w:szCs w:val="21"/>
              </w:rPr>
            </w:pPr>
            <w:r>
              <w:rPr>
                <w:rFonts w:ascii="宋体" w:hAnsi="宋体" w:cs="宋体" w:eastAsia="宋体" w:hint="default"/>
                <w:sz w:val="21"/>
                <w:szCs w:val="21"/>
              </w:rPr>
              <w:t>以公允价值计量且其变动</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计入当期损益的金融资产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衍生金融资产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应收票据</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4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72,943,700.52</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46,033,292.54</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应收账款</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5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3,005,170,860.83</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2,847,213,574.22</w:t>
            </w:r>
            <w:r>
              <w:rPr>
                <w:rFonts w:ascii="宋体"/>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应收款项融资</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6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21,311,502.62</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预付款项</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7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152,625,269.24</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108,363,988.14</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应收保费</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应收分保账款</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应收分保合同准备金</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其他应收款</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8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57,498,480.86</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55,982,635.30</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其中：应收利息</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2,687,513.89</w:t>
            </w:r>
            <w:r>
              <w:rPr>
                <w:rFonts w:ascii="宋体"/>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0" w:right="0"/>
              <w:jc w:val="left"/>
              <w:rPr>
                <w:rFonts w:ascii="宋体" w:hAnsi="宋体" w:cs="宋体" w:eastAsia="宋体" w:hint="default"/>
                <w:sz w:val="21"/>
                <w:szCs w:val="21"/>
              </w:rPr>
            </w:pPr>
            <w:r>
              <w:rPr>
                <w:rFonts w:ascii="宋体" w:hAnsi="宋体" w:cs="宋体" w:eastAsia="宋体" w:hint="default"/>
                <w:sz w:val="21"/>
                <w:szCs w:val="21"/>
              </w:rPr>
              <w:t>应收股利</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买入返售金融资产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存货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9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798,310,166.18</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459,804,650.78</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持有待售资产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一年内到期的非流动资产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19,437,529.51</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32,624,355.07</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其他流动资产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12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142,173,478.22</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1,404,304,432.53</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流动资产合计</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7,302,620,408.11</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7,142,751,646.51</w:t>
            </w:r>
            <w:r>
              <w:rPr>
                <w:rFonts w:ascii="宋体"/>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非流动资产：</w:t>
            </w:r>
            <w:r>
              <w:rPr>
                <w:rFonts w:ascii="宋体" w:hAnsi="宋体" w:cs="宋体" w:eastAsia="宋体" w:hint="default"/>
                <w:w w:val="100"/>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color w:val="008000"/>
                <w:w w:val="100"/>
                <w:sz w:val="21"/>
              </w:rPr>
              <w:t> </w:t>
            </w:r>
            <w:r>
              <w:rPr>
                <w:rFonts w:ascii="宋体"/>
                <w:w w:val="100"/>
                <w:sz w:val="21"/>
              </w:rPr>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color w:val="008000"/>
                <w:w w:val="100"/>
                <w:sz w:val="21"/>
              </w:rPr>
              <w:t> </w:t>
            </w:r>
            <w:r>
              <w:rPr>
                <w:rFonts w:ascii="宋体"/>
                <w:w w:val="100"/>
                <w:sz w:val="21"/>
              </w:rPr>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color w:val="008000"/>
                <w:w w:val="100"/>
                <w:sz w:val="21"/>
              </w:rPr>
              <w:t> </w:t>
            </w:r>
            <w:r>
              <w:rPr>
                <w:rFonts w:ascii="宋体"/>
                <w:w w:val="100"/>
                <w:sz w:val="21"/>
              </w:rPr>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发放贷款和垫款</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债权投资</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可供出售金融资产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39,362,000.00</w:t>
            </w:r>
            <w:r>
              <w:rPr>
                <w:rFonts w:ascii="宋体"/>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其他债权投资</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持有至到期投资</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长期应收款</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15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2,149,225.65</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6,038,763.14</w:t>
            </w:r>
            <w:r>
              <w:rPr>
                <w:rFonts w:ascii="宋体"/>
                <w:sz w:val="21"/>
              </w:rPr>
              <w:t> </w:t>
            </w:r>
          </w:p>
        </w:tc>
      </w:tr>
      <w:tr>
        <w:trPr>
          <w:trHeight w:val="289"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长期股权投资</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16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94,536,864.49</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108,539,394.75</w:t>
            </w:r>
            <w:r>
              <w:rPr>
                <w:rFonts w:ascii="宋体"/>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其他权益工具投资</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17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39,362,000.00</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其他非流动金融资产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投资性房地产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固定资产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20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8,888,763,009.02</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8,902,415,641.01</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在建工程</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21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234,295,860.39</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186,557,021.13</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生产性生物资产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22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48,380,925.06</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52,425,171.13</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油气资产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使用权资产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无形资产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25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117,372,289.07</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123,191,549.58</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开发支出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bl>
    <w:p>
      <w:pPr>
        <w:spacing w:after="0" w:line="241" w:lineRule="exact"/>
        <w:jc w:val="right"/>
        <w:rPr>
          <w:rFonts w:ascii="宋体" w:hAnsi="宋体" w:cs="宋体" w:eastAsia="宋体" w:hint="default"/>
          <w:sz w:val="21"/>
          <w:szCs w:val="21"/>
        </w:rPr>
        <w:sectPr>
          <w:type w:val="continuous"/>
          <w:pgSz w:w="11910" w:h="16840"/>
          <w:pgMar w:top="1580" w:bottom="2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3"/>
          <w:szCs w:val="13"/>
        </w:rPr>
      </w:pPr>
    </w:p>
    <w:tbl>
      <w:tblPr>
        <w:tblW w:w="0" w:type="auto"/>
        <w:jc w:val="left"/>
        <w:tblInd w:w="107" w:type="dxa"/>
        <w:tblLayout w:type="fixed"/>
        <w:tblCellMar>
          <w:top w:w="0" w:type="dxa"/>
          <w:left w:w="0" w:type="dxa"/>
          <w:bottom w:w="0" w:type="dxa"/>
          <w:right w:w="0" w:type="dxa"/>
        </w:tblCellMar>
        <w:tblLook w:val="01E0"/>
      </w:tblPr>
      <w:tblGrid>
        <w:gridCol w:w="2945"/>
        <w:gridCol w:w="1133"/>
        <w:gridCol w:w="2552"/>
        <w:gridCol w:w="2410"/>
      </w:tblGrid>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311" w:right="0"/>
              <w:jc w:val="left"/>
              <w:rPr>
                <w:rFonts w:ascii="宋体" w:hAnsi="宋体" w:cs="宋体" w:eastAsia="宋体" w:hint="default"/>
                <w:sz w:val="21"/>
                <w:szCs w:val="21"/>
              </w:rPr>
            </w:pPr>
            <w:r>
              <w:rPr>
                <w:rFonts w:ascii="宋体" w:hAnsi="宋体" w:cs="宋体" w:eastAsia="宋体" w:hint="default"/>
                <w:sz w:val="21"/>
                <w:szCs w:val="21"/>
              </w:rPr>
              <w:t>商誉</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27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5"/>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长期待摊费用</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28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110,524,325.68</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74,587,452.84</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递延所得税资产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29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60,205,928.91</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58,019,161.60</w:t>
            </w:r>
            <w:r>
              <w:rPr>
                <w:rFonts w:ascii="宋体"/>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其他非流动资产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30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569,892,201.37</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852,065,042.59</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520" w:right="0"/>
              <w:jc w:val="left"/>
              <w:rPr>
                <w:rFonts w:ascii="宋体" w:hAnsi="宋体" w:cs="宋体" w:eastAsia="宋体" w:hint="default"/>
                <w:sz w:val="21"/>
                <w:szCs w:val="21"/>
              </w:rPr>
            </w:pPr>
            <w:r>
              <w:rPr>
                <w:rFonts w:ascii="宋体" w:hAnsi="宋体" w:cs="宋体" w:eastAsia="宋体" w:hint="default"/>
                <w:sz w:val="21"/>
                <w:szCs w:val="21"/>
              </w:rPr>
              <w:t>非流动资产合计</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10,165,482,629.64</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10,403,201,197.77</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资产总计</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17,468,103,037.75</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17,545,952,844.28</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流动负债：</w:t>
            </w:r>
            <w:r>
              <w:rPr>
                <w:rFonts w:ascii="宋体" w:hAnsi="宋体" w:cs="宋体" w:eastAsia="宋体" w:hint="default"/>
                <w:w w:val="100"/>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color w:val="FF00FF"/>
                <w:w w:val="100"/>
                <w:sz w:val="21"/>
              </w:rPr>
              <w:t> </w:t>
            </w:r>
            <w:r>
              <w:rPr>
                <w:rFonts w:ascii="宋体"/>
                <w:w w:val="100"/>
                <w:sz w:val="21"/>
              </w:rPr>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color w:val="FF00FF"/>
                <w:w w:val="100"/>
                <w:sz w:val="21"/>
              </w:rPr>
              <w:t> </w:t>
            </w:r>
            <w:r>
              <w:rPr>
                <w:rFonts w:ascii="宋体"/>
                <w:w w:val="100"/>
                <w:sz w:val="21"/>
              </w:rPr>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color w:val="FF00FF"/>
                <w:w w:val="100"/>
                <w:sz w:val="21"/>
              </w:rPr>
              <w:t> </w:t>
            </w:r>
            <w:r>
              <w:rPr>
                <w:rFonts w:ascii="宋体"/>
                <w:w w:val="100"/>
                <w:sz w:val="21"/>
              </w:rPr>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短期借款</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31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901,123,671.16</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396,550,000.00</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向中央银行借款</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拆入资金</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交易性金融负债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562"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以公允价值计量且其变动</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计入当期损益的金融负债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w w:val="100"/>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衍生金融负债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应付票据</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34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313,406,831.93</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595,703,446.86</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应付账款</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35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838,946,144.83</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1,016,102,249.83</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预收款项</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36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71,514,403.14</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14,625,634.40</w:t>
            </w:r>
            <w:r>
              <w:rPr>
                <w:rFonts w:ascii="宋体"/>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卖出回购金融资产款</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吸收存款及同业存放</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代理买卖证券款</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代理承销证券款</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应付职工薪酬</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37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101,783,670.47</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99,423,531.98</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应交税费</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38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41,422,544.60</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78,401,926.46</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其他应付款</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39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85,553,807.73</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115,690,411.33</w:t>
            </w:r>
            <w:r>
              <w:rPr>
                <w:rFonts w:ascii="宋体"/>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其中：应付利息</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6,310,911.70</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940" w:right="0"/>
              <w:jc w:val="left"/>
              <w:rPr>
                <w:rFonts w:ascii="宋体" w:hAnsi="宋体" w:cs="宋体" w:eastAsia="宋体" w:hint="default"/>
                <w:sz w:val="21"/>
                <w:szCs w:val="21"/>
              </w:rPr>
            </w:pPr>
            <w:r>
              <w:rPr>
                <w:rFonts w:ascii="宋体" w:hAnsi="宋体" w:cs="宋体" w:eastAsia="宋体" w:hint="default"/>
                <w:sz w:val="21"/>
                <w:szCs w:val="21"/>
              </w:rPr>
              <w:t>应付股利</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100"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5"/>
              <w:jc w:val="right"/>
              <w:rPr>
                <w:rFonts w:ascii="宋体" w:hAnsi="宋体" w:cs="宋体" w:eastAsia="宋体" w:hint="default"/>
                <w:sz w:val="21"/>
                <w:szCs w:val="21"/>
              </w:rPr>
            </w:pPr>
            <w:r>
              <w:rPr>
                <w:rFonts w:ascii="宋体"/>
                <w:spacing w:val="-1"/>
                <w:sz w:val="21"/>
              </w:rPr>
              <w:t>1,000,000.00</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5"/>
              <w:jc w:val="right"/>
              <w:rPr>
                <w:rFonts w:ascii="宋体" w:hAnsi="宋体" w:cs="宋体" w:eastAsia="宋体" w:hint="default"/>
                <w:sz w:val="21"/>
                <w:szCs w:val="21"/>
              </w:rPr>
            </w:pPr>
            <w:r>
              <w:rPr>
                <w:rFonts w:ascii="宋体"/>
                <w:spacing w:val="-1"/>
                <w:sz w:val="21"/>
              </w:rPr>
              <w:t>1,000,000.00</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应付手续费及佣金</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应付分保账款</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持有待售负债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41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311,437,000.00</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276,100,000.00</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其他流动负债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流动负债合计</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2,665,188,073.86</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2,592,597,200.86</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非流动负债：</w:t>
            </w:r>
            <w:r>
              <w:rPr>
                <w:rFonts w:ascii="宋体" w:hAnsi="宋体" w:cs="宋体" w:eastAsia="宋体" w:hint="default"/>
                <w:w w:val="100"/>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color w:val="008000"/>
                <w:w w:val="100"/>
                <w:sz w:val="21"/>
              </w:rPr>
              <w:t> </w:t>
            </w:r>
            <w:r>
              <w:rPr>
                <w:rFonts w:ascii="宋体"/>
                <w:w w:val="100"/>
                <w:sz w:val="21"/>
              </w:rPr>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204"/>
              <w:jc w:val="right"/>
              <w:rPr>
                <w:rFonts w:ascii="宋体" w:hAnsi="宋体" w:cs="宋体" w:eastAsia="宋体" w:hint="default"/>
                <w:sz w:val="21"/>
                <w:szCs w:val="21"/>
              </w:rPr>
            </w:pPr>
            <w:r>
              <w:rPr>
                <w:rFonts w:ascii="宋体"/>
                <w:color w:val="008000"/>
                <w:w w:val="100"/>
                <w:sz w:val="21"/>
              </w:rPr>
              <w:t> </w:t>
            </w:r>
            <w:r>
              <w:rPr>
                <w:rFonts w:ascii="宋体"/>
                <w:w w:val="100"/>
                <w:sz w:val="21"/>
              </w:rPr>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color w:val="008000"/>
                <w:w w:val="100"/>
                <w:sz w:val="21"/>
              </w:rPr>
              <w:t> </w:t>
            </w:r>
            <w:r>
              <w:rPr>
                <w:rFonts w:ascii="宋体"/>
                <w:w w:val="100"/>
                <w:sz w:val="21"/>
              </w:rPr>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保险合同准备金</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长期借款</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43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1,878,046,229.33</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2,169,500,000.00</w:t>
            </w:r>
            <w:r>
              <w:rPr>
                <w:rFonts w:ascii="宋体"/>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应付债券</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44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2,590,800,905.84</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2,463,263,272.02</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其中：优先股</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r>
      <w:tr>
        <w:trPr>
          <w:trHeight w:val="289"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0" w:right="0"/>
              <w:jc w:val="left"/>
              <w:rPr>
                <w:rFonts w:ascii="宋体" w:hAnsi="宋体" w:cs="宋体" w:eastAsia="宋体" w:hint="default"/>
                <w:sz w:val="21"/>
                <w:szCs w:val="21"/>
              </w:rPr>
            </w:pPr>
            <w:r>
              <w:rPr>
                <w:rFonts w:ascii="宋体" w:hAnsi="宋体" w:cs="宋体" w:eastAsia="宋体" w:hint="default"/>
                <w:sz w:val="21"/>
                <w:szCs w:val="21"/>
              </w:rPr>
              <w:t>永续债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租赁负债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长期应付款</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46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长期应付职工薪酬</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预计负债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递延收益</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49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18,179,918.70</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20,062,060.70</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递延所得税负债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其他非流动负债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非流动负债合计</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4,487,027,053.87</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4,652,825,332.72</w:t>
            </w:r>
            <w:r>
              <w:rPr>
                <w:rFonts w:ascii="宋体"/>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负债合计</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7,152,215,127.73</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7,245,422,533.58</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5"/>
              <w:jc w:val="left"/>
              <w:rPr>
                <w:rFonts w:ascii="宋体" w:hAnsi="宋体" w:cs="宋体" w:eastAsia="宋体" w:hint="default"/>
                <w:sz w:val="21"/>
                <w:szCs w:val="21"/>
              </w:rPr>
            </w:pPr>
            <w:r>
              <w:rPr>
                <w:rFonts w:ascii="宋体" w:hAnsi="宋体" w:cs="宋体" w:eastAsia="宋体" w:hint="default"/>
                <w:b/>
                <w:bCs/>
                <w:sz w:val="21"/>
                <w:szCs w:val="21"/>
              </w:rPr>
              <w:t>所有者权益（或股东权益）：</w:t>
            </w:r>
            <w:r>
              <w:rPr>
                <w:rFonts w:ascii="宋体" w:hAnsi="宋体" w:cs="宋体" w:eastAsia="宋体" w:hint="default"/>
                <w:w w:val="100"/>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color w:val="008000"/>
                <w:w w:val="100"/>
                <w:sz w:val="21"/>
              </w:rPr>
              <w:t> </w:t>
            </w:r>
            <w:r>
              <w:rPr>
                <w:rFonts w:ascii="宋体"/>
                <w:w w:val="100"/>
                <w:sz w:val="21"/>
              </w:rPr>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color w:val="008000"/>
                <w:w w:val="100"/>
                <w:sz w:val="21"/>
              </w:rPr>
              <w:t> </w:t>
            </w:r>
            <w:r>
              <w:rPr>
                <w:rFonts w:ascii="宋体"/>
                <w:w w:val="100"/>
                <w:sz w:val="21"/>
              </w:rPr>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color w:val="008000"/>
                <w:w w:val="100"/>
                <w:sz w:val="21"/>
              </w:rPr>
              <w:t> </w:t>
            </w:r>
            <w:r>
              <w:rPr>
                <w:rFonts w:ascii="宋体"/>
                <w:w w:val="100"/>
                <w:sz w:val="21"/>
              </w:rPr>
            </w:r>
          </w:p>
        </w:tc>
      </w:tr>
    </w:tbl>
    <w:p>
      <w:pPr>
        <w:spacing w:after="0" w:line="243" w:lineRule="exact"/>
        <w:jc w:val="left"/>
        <w:rPr>
          <w:rFonts w:ascii="宋体" w:hAnsi="宋体" w:cs="宋体" w:eastAsia="宋体" w:hint="default"/>
          <w:sz w:val="21"/>
          <w:szCs w:val="21"/>
        </w:rPr>
        <w:sectPr>
          <w:footerReference w:type="default" r:id="rId46"/>
          <w:pgSz w:w="11910" w:h="16840"/>
          <w:pgMar w:footer="974" w:header="743" w:top="1120" w:bottom="116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3"/>
          <w:szCs w:val="13"/>
        </w:rPr>
      </w:pPr>
    </w:p>
    <w:tbl>
      <w:tblPr>
        <w:tblW w:w="0" w:type="auto"/>
        <w:jc w:val="left"/>
        <w:tblInd w:w="107" w:type="dxa"/>
        <w:tblLayout w:type="fixed"/>
        <w:tblCellMar>
          <w:top w:w="0" w:type="dxa"/>
          <w:left w:w="0" w:type="dxa"/>
          <w:bottom w:w="0" w:type="dxa"/>
          <w:right w:w="0" w:type="dxa"/>
        </w:tblCellMar>
        <w:tblLook w:val="01E0"/>
      </w:tblPr>
      <w:tblGrid>
        <w:gridCol w:w="2945"/>
        <w:gridCol w:w="1133"/>
        <w:gridCol w:w="2552"/>
        <w:gridCol w:w="2410"/>
      </w:tblGrid>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311" w:right="0"/>
              <w:jc w:val="left"/>
              <w:rPr>
                <w:rFonts w:ascii="宋体" w:hAnsi="宋体" w:cs="宋体" w:eastAsia="宋体" w:hint="default"/>
                <w:sz w:val="21"/>
                <w:szCs w:val="21"/>
              </w:rPr>
            </w:pPr>
            <w:r>
              <w:rPr>
                <w:rFonts w:ascii="宋体" w:hAnsi="宋体" w:cs="宋体" w:eastAsia="宋体" w:hint="default"/>
                <w:sz w:val="21"/>
                <w:szCs w:val="21"/>
              </w:rPr>
              <w:t>实收资本（或股本）</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51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5"/>
              <w:jc w:val="right"/>
              <w:rPr>
                <w:rFonts w:ascii="宋体" w:hAnsi="宋体" w:cs="宋体" w:eastAsia="宋体" w:hint="default"/>
                <w:sz w:val="21"/>
                <w:szCs w:val="21"/>
              </w:rPr>
            </w:pPr>
            <w:r>
              <w:rPr>
                <w:rFonts w:ascii="宋体"/>
                <w:spacing w:val="-1"/>
                <w:sz w:val="21"/>
              </w:rPr>
              <w:t>1,757,670,860.00</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5"/>
              <w:jc w:val="right"/>
              <w:rPr>
                <w:rFonts w:ascii="宋体" w:hAnsi="宋体" w:cs="宋体" w:eastAsia="宋体" w:hint="default"/>
                <w:sz w:val="21"/>
                <w:szCs w:val="21"/>
              </w:rPr>
            </w:pPr>
            <w:r>
              <w:rPr>
                <w:rFonts w:ascii="宋体"/>
                <w:spacing w:val="-1"/>
                <w:sz w:val="21"/>
              </w:rPr>
              <w:t>1,765,410,843.00</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其他权益工具</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52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648,669,813.57</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648,686,895.88</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其中：优先股</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0" w:right="0"/>
              <w:jc w:val="left"/>
              <w:rPr>
                <w:rFonts w:ascii="宋体" w:hAnsi="宋体" w:cs="宋体" w:eastAsia="宋体" w:hint="default"/>
                <w:sz w:val="21"/>
                <w:szCs w:val="21"/>
              </w:rPr>
            </w:pPr>
            <w:r>
              <w:rPr>
                <w:rFonts w:ascii="宋体" w:hAnsi="宋体" w:cs="宋体" w:eastAsia="宋体" w:hint="default"/>
                <w:sz w:val="21"/>
                <w:szCs w:val="21"/>
              </w:rPr>
              <w:t>永续债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资本公积</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53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4,713,698,068.21</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5,060,131,248.80</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减：库存股</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54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138,925,978.02</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173,515,620.20</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其他综合收益</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55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1,928,836.49</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1,441,757.55</w:t>
            </w:r>
            <w:r>
              <w:rPr>
                <w:rFonts w:ascii="宋体"/>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专项储备</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盈余公积</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57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240,619,644.19</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225,738,320.37</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一般风险准备</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未分配利润</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58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3,066,965,464.09</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2,747,790,903.50</w:t>
            </w:r>
            <w:r>
              <w:rPr>
                <w:rFonts w:ascii="宋体"/>
                <w:sz w:val="21"/>
              </w:rPr>
              <w:t> </w:t>
            </w:r>
          </w:p>
        </w:tc>
      </w:tr>
      <w:tr>
        <w:trPr>
          <w:trHeight w:val="562"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归属于母公司所有者权益</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（或股东权益）合计</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spacing w:val="-1"/>
                <w:sz w:val="21"/>
              </w:rPr>
              <w:t>10,290,626,708.53</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spacing w:val="-1"/>
                <w:sz w:val="21"/>
              </w:rPr>
              <w:t>10,275,684,348.90</w:t>
            </w:r>
            <w:r>
              <w:rPr>
                <w:rFonts w:ascii="宋体"/>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少数股东权益</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25,261,201.49</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24,845,961.80</w:t>
            </w:r>
            <w:r>
              <w:rPr>
                <w:rFonts w:ascii="宋体"/>
                <w:sz w:val="21"/>
              </w:rPr>
              <w:t> </w:t>
            </w:r>
          </w:p>
        </w:tc>
      </w:tr>
      <w:tr>
        <w:trPr>
          <w:trHeight w:val="562"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所有者权益（或股东权</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益）合计</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spacing w:val="-1"/>
                <w:sz w:val="21"/>
              </w:rPr>
              <w:t>10,315,887,910.02</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spacing w:val="-1"/>
                <w:sz w:val="21"/>
              </w:rPr>
              <w:t>10,300,530,310.70</w:t>
            </w:r>
            <w:r>
              <w:rPr>
                <w:rFonts w:ascii="宋体"/>
                <w:sz w:val="21"/>
              </w:rPr>
              <w:t> </w:t>
            </w:r>
          </w:p>
        </w:tc>
      </w:tr>
      <w:tr>
        <w:trPr>
          <w:trHeight w:val="559"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731" w:right="0"/>
              <w:jc w:val="left"/>
              <w:rPr>
                <w:rFonts w:ascii="宋体" w:hAnsi="宋体" w:cs="宋体" w:eastAsia="宋体" w:hint="default"/>
                <w:sz w:val="21"/>
                <w:szCs w:val="21"/>
              </w:rPr>
            </w:pPr>
            <w:r>
              <w:rPr>
                <w:rFonts w:ascii="宋体" w:hAnsi="宋体" w:cs="宋体" w:eastAsia="宋体" w:hint="default"/>
                <w:sz w:val="21"/>
                <w:szCs w:val="21"/>
              </w:rPr>
              <w:t>负债和所有者权益（或</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股东权益）总计</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spacing w:val="-1"/>
                <w:sz w:val="21"/>
              </w:rPr>
              <w:t>17,468,103,037.75</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spacing w:val="-1"/>
                <w:sz w:val="21"/>
              </w:rPr>
              <w:t>17,545,952,844.28</w:t>
            </w:r>
            <w:r>
              <w:rPr>
                <w:rFonts w:ascii="宋体"/>
                <w:sz w:val="21"/>
              </w:rPr>
              <w:t> </w:t>
            </w:r>
          </w:p>
        </w:tc>
      </w:tr>
    </w:tbl>
    <w:p>
      <w:pPr>
        <w:pStyle w:val="BodyText"/>
        <w:spacing w:line="236" w:lineRule="exact"/>
        <w:ind w:right="0"/>
        <w:jc w:val="left"/>
        <w:rPr>
          <w:rFonts w:ascii="宋体" w:hAnsi="宋体" w:cs="宋体" w:eastAsia="宋体" w:hint="default"/>
        </w:rPr>
      </w:pPr>
      <w:r>
        <w:rPr/>
        <w:t>法定代表人：陆永华       </w:t>
      </w:r>
      <w:r>
        <w:rPr>
          <w:rFonts w:ascii="宋体" w:hAnsi="宋体" w:cs="宋体" w:eastAsia="宋体" w:hint="default"/>
        </w:rPr>
      </w:r>
      <w:r>
        <w:rPr/>
        <w:t>主管会计工作负责人：虞海娟         </w:t>
      </w:r>
      <w:r>
        <w:rPr>
          <w:spacing w:val="94"/>
        </w:rPr>
        <w:t> </w:t>
      </w:r>
      <w:r>
        <w:rPr>
          <w:rFonts w:ascii="宋体" w:hAnsi="宋体" w:cs="宋体" w:eastAsia="宋体" w:hint="default"/>
          <w:spacing w:val="94"/>
        </w:rPr>
      </w:r>
      <w:r>
        <w:rPr/>
        <w:t>会计机构负责人：周辉</w:t>
      </w:r>
      <w:r>
        <w:rPr>
          <w:rFonts w:ascii="宋体" w:hAnsi="宋体" w:cs="宋体" w:eastAsia="宋体" w:hint="default"/>
          <w:color w:val="008000"/>
        </w:rPr>
        <w:t> </w:t>
      </w:r>
      <w:r>
        <w:rPr>
          <w:rFonts w:ascii="宋体" w:hAnsi="宋体" w:cs="宋体" w:eastAsia="宋体" w:hint="default"/>
        </w:rPr>
      </w:r>
    </w:p>
    <w:p>
      <w:pPr>
        <w:pStyle w:val="Heading2"/>
        <w:spacing w:line="308" w:lineRule="exact"/>
        <w:ind w:right="0"/>
        <w:jc w:val="left"/>
        <w:rPr>
          <w:rFonts w:ascii="宋体" w:hAnsi="宋体" w:cs="宋体" w:eastAsia="宋体" w:hint="default"/>
        </w:rPr>
      </w:pPr>
      <w:r>
        <w:rPr>
          <w:rFonts w:ascii="宋体"/>
        </w:rPr>
        <w:t> </w:t>
      </w:r>
    </w:p>
    <w:p>
      <w:pPr>
        <w:tabs>
          <w:tab w:pos="3098" w:val="left" w:leader="none"/>
        </w:tabs>
        <w:spacing w:line="313" w:lineRule="exact" w:before="0"/>
        <w:ind w:left="218" w:right="0" w:firstLine="0"/>
        <w:jc w:val="left"/>
        <w:rPr>
          <w:rFonts w:ascii="宋体" w:hAnsi="宋体" w:cs="宋体" w:eastAsia="宋体" w:hint="default"/>
          <w:sz w:val="24"/>
          <w:szCs w:val="24"/>
        </w:rPr>
      </w:pPr>
      <w:r>
        <w:rPr>
          <w:rFonts w:ascii="宋体"/>
          <w:w w:val="100"/>
          <w:sz w:val="21"/>
        </w:rPr>
        <w:t> </w:t>
      </w:r>
      <w:r>
        <w:rPr>
          <w:rFonts w:ascii="宋体"/>
          <w:sz w:val="21"/>
        </w:rPr>
        <w:tab/>
      </w:r>
      <w:r>
        <w:rPr>
          <w:rFonts w:ascii="宋体"/>
          <w:sz w:val="24"/>
        </w:rPr>
        <w:t> </w:t>
      </w:r>
    </w:p>
    <w:p>
      <w:pPr>
        <w:spacing w:after="0" w:line="313" w:lineRule="exact"/>
        <w:jc w:val="left"/>
        <w:rPr>
          <w:rFonts w:ascii="宋体" w:hAnsi="宋体" w:cs="宋体" w:eastAsia="宋体" w:hint="default"/>
          <w:sz w:val="24"/>
          <w:szCs w:val="24"/>
        </w:rPr>
        <w:sectPr>
          <w:footerReference w:type="default" r:id="rId47"/>
          <w:pgSz w:w="11910" w:h="16840"/>
          <w:pgMar w:footer="974" w:header="743" w:top="1120" w:bottom="1160" w:left="1580" w:right="1040"/>
          <w:pgNumType w:start="81"/>
        </w:sectPr>
      </w:pPr>
    </w:p>
    <w:p>
      <w:pPr>
        <w:spacing w:line="240" w:lineRule="auto" w:before="4"/>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pgSz w:w="11910" w:h="16840"/>
          <w:pgMar w:header="743" w:footer="974" w:top="1120" w:bottom="1160" w:left="1580" w:right="1040"/>
        </w:sectPr>
      </w:pPr>
    </w:p>
    <w:p>
      <w:pPr>
        <w:spacing w:line="292" w:lineRule="auto" w:before="36"/>
        <w:ind w:left="3768" w:right="0" w:firstLine="21"/>
        <w:jc w:val="left"/>
        <w:rPr>
          <w:rFonts w:ascii="宋体" w:hAnsi="宋体" w:cs="宋体" w:eastAsia="宋体" w:hint="default"/>
          <w:sz w:val="21"/>
          <w:szCs w:val="21"/>
        </w:rPr>
      </w:pPr>
      <w:r>
        <w:rPr>
          <w:rFonts w:ascii="宋体" w:hAnsi="宋体" w:cs="宋体" w:eastAsia="宋体" w:hint="default"/>
          <w:b/>
          <w:bCs/>
          <w:sz w:val="21"/>
          <w:szCs w:val="21"/>
        </w:rPr>
        <w:t>母公司资产负债表</w:t>
      </w:r>
      <w:r>
        <w:rPr>
          <w:rFonts w:ascii="宋体" w:hAnsi="宋体" w:cs="宋体" w:eastAsia="宋体" w:hint="default"/>
          <w:b/>
          <w:bCs/>
          <w:w w:val="100"/>
          <w:sz w:val="21"/>
          <w:szCs w:val="21"/>
        </w:rPr>
        <w:t> </w:t>
      </w: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pacing w:val="-3"/>
          <w:sz w:val="21"/>
          <w:szCs w:val="21"/>
        </w:rPr>
        <w:t>日</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25" w:lineRule="exact"/>
        <w:ind w:right="0"/>
        <w:jc w:val="left"/>
        <w:rPr>
          <w:rFonts w:ascii="宋体" w:hAnsi="宋体" w:cs="宋体" w:eastAsia="宋体" w:hint="default"/>
        </w:rPr>
      </w:pPr>
      <w:r>
        <w:rPr/>
        <w:t>编制单位</w:t>
      </w:r>
      <w:r>
        <w:rPr>
          <w:rFonts w:ascii="宋体" w:hAnsi="宋体" w:cs="宋体" w:eastAsia="宋体" w:hint="default"/>
        </w:rPr>
        <w:t>:</w:t>
      </w:r>
      <w:r>
        <w:rPr/>
        <w:t>江苏林洋能源股份有限公司</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9"/>
          <w:szCs w:val="29"/>
        </w:rPr>
      </w:pPr>
    </w:p>
    <w:p>
      <w:pPr>
        <w:pStyle w:val="BodyText"/>
        <w:spacing w:line="240" w:lineRule="auto"/>
        <w:ind w:right="0"/>
        <w:jc w:val="left"/>
        <w:rPr>
          <w:rFonts w:ascii="宋体" w:hAnsi="宋体" w:cs="宋体" w:eastAsia="宋体" w:hint="default"/>
        </w:rPr>
      </w:pPr>
      <w:r>
        <w:rPr/>
        <w:t>单位</w:t>
      </w:r>
      <w:r>
        <w:rPr>
          <w:rFonts w:ascii="宋体" w:hAnsi="宋体" w:cs="宋体" w:eastAsia="宋体" w:hint="default"/>
        </w:rPr>
        <w:t>:</w:t>
      </w:r>
      <w:r>
        <w:rPr/>
        <w:t>元币种</w:t>
      </w:r>
      <w:r>
        <w:rPr>
          <w:rFonts w:ascii="宋体" w:hAnsi="宋体" w:cs="宋体" w:eastAsia="宋体" w:hint="default"/>
        </w:rPr>
        <w:t>:</w:t>
      </w:r>
      <w:r>
        <w:rPr/>
        <w:t>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580" w:bottom="280" w:left="1580" w:right="1040"/>
          <w:cols w:num="2" w:equalWidth="0">
            <w:col w:w="5608" w:space="1334"/>
            <w:col w:w="2348"/>
          </w:cols>
        </w:sectPr>
      </w:pPr>
    </w:p>
    <w:p>
      <w:pPr>
        <w:spacing w:line="240" w:lineRule="auto" w:before="4"/>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2945"/>
        <w:gridCol w:w="1133"/>
        <w:gridCol w:w="2552"/>
        <w:gridCol w:w="2410"/>
      </w:tblGrid>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2"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48"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95" w:right="0"/>
              <w:jc w:val="left"/>
              <w:rPr>
                <w:rFonts w:ascii="宋体" w:hAnsi="宋体" w:cs="宋体" w:eastAsia="宋体" w:hint="default"/>
                <w:sz w:val="21"/>
                <w:szCs w:val="21"/>
              </w:rPr>
            </w:pPr>
            <w:r>
              <w:rPr>
                <w:rFonts w:ascii="宋体" w:hAnsi="宋体" w:cs="宋体" w:eastAsia="宋体" w:hint="default"/>
                <w:b/>
                <w:bCs/>
                <w:sz w:val="21"/>
                <w:szCs w:val="21"/>
              </w:rPr>
              <w:t>2019</w:t>
            </w:r>
            <w:r>
              <w:rPr>
                <w:rFonts w:ascii="宋体" w:hAnsi="宋体" w:cs="宋体" w:eastAsia="宋体" w:hint="default"/>
                <w:b/>
                <w:bCs/>
                <w:spacing w:val="-54"/>
                <w:sz w:val="21"/>
                <w:szCs w:val="21"/>
              </w:rPr>
              <w:t> </w:t>
            </w:r>
            <w:r>
              <w:rPr>
                <w:rFonts w:ascii="宋体" w:hAnsi="宋体" w:cs="宋体" w:eastAsia="宋体" w:hint="default"/>
                <w:b/>
                <w:bCs/>
                <w:sz w:val="21"/>
                <w:szCs w:val="21"/>
              </w:rPr>
              <w:t>年</w:t>
            </w:r>
            <w:r>
              <w:rPr>
                <w:rFonts w:ascii="宋体" w:hAnsi="宋体" w:cs="宋体" w:eastAsia="宋体" w:hint="default"/>
                <w:b/>
                <w:bCs/>
                <w:spacing w:val="-55"/>
                <w:sz w:val="21"/>
                <w:szCs w:val="21"/>
              </w:rPr>
              <w:t> </w:t>
            </w:r>
            <w:r>
              <w:rPr>
                <w:rFonts w:ascii="宋体" w:hAnsi="宋体" w:cs="宋体" w:eastAsia="宋体" w:hint="default"/>
                <w:b/>
                <w:bCs/>
                <w:sz w:val="21"/>
                <w:szCs w:val="21"/>
              </w:rPr>
              <w:t>12</w:t>
            </w:r>
            <w:r>
              <w:rPr>
                <w:rFonts w:ascii="宋体" w:hAnsi="宋体" w:cs="宋体" w:eastAsia="宋体" w:hint="default"/>
                <w:b/>
                <w:bCs/>
                <w:spacing w:val="-55"/>
                <w:sz w:val="21"/>
                <w:szCs w:val="21"/>
              </w:rPr>
              <w:t> </w:t>
            </w:r>
            <w:r>
              <w:rPr>
                <w:rFonts w:ascii="宋体" w:hAnsi="宋体" w:cs="宋体" w:eastAsia="宋体" w:hint="default"/>
                <w:b/>
                <w:bCs/>
                <w:sz w:val="21"/>
                <w:szCs w:val="21"/>
              </w:rPr>
              <w:t>月</w:t>
            </w:r>
            <w:r>
              <w:rPr>
                <w:rFonts w:ascii="宋体" w:hAnsi="宋体" w:cs="宋体" w:eastAsia="宋体" w:hint="default"/>
                <w:b/>
                <w:bCs/>
                <w:spacing w:val="-55"/>
                <w:sz w:val="21"/>
                <w:szCs w:val="21"/>
              </w:rPr>
              <w:t> </w:t>
            </w:r>
            <w:r>
              <w:rPr>
                <w:rFonts w:ascii="宋体" w:hAnsi="宋体" w:cs="宋体" w:eastAsia="宋体" w:hint="default"/>
                <w:b/>
                <w:bCs/>
                <w:sz w:val="21"/>
                <w:szCs w:val="21"/>
              </w:rPr>
              <w:t>31</w:t>
            </w:r>
            <w:r>
              <w:rPr>
                <w:rFonts w:ascii="宋体" w:hAnsi="宋体" w:cs="宋体" w:eastAsia="宋体" w:hint="default"/>
                <w:b/>
                <w:bCs/>
                <w:spacing w:val="-55"/>
                <w:sz w:val="21"/>
                <w:szCs w:val="21"/>
              </w:rPr>
              <w:t> </w:t>
            </w:r>
            <w:r>
              <w:rPr>
                <w:rFonts w:ascii="宋体" w:hAnsi="宋体" w:cs="宋体" w:eastAsia="宋体" w:hint="default"/>
                <w:b/>
                <w:bCs/>
                <w:sz w:val="21"/>
                <w:szCs w:val="21"/>
              </w:rPr>
              <w:t>日</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26" w:right="0"/>
              <w:jc w:val="left"/>
              <w:rPr>
                <w:rFonts w:ascii="宋体" w:hAnsi="宋体" w:cs="宋体" w:eastAsia="宋体" w:hint="default"/>
                <w:sz w:val="21"/>
                <w:szCs w:val="21"/>
              </w:rPr>
            </w:pPr>
            <w:r>
              <w:rPr>
                <w:rFonts w:ascii="宋体" w:hAnsi="宋体" w:cs="宋体" w:eastAsia="宋体" w:hint="default"/>
                <w:b/>
                <w:bCs/>
                <w:sz w:val="21"/>
                <w:szCs w:val="21"/>
              </w:rPr>
              <w:t>2018</w:t>
            </w:r>
            <w:r>
              <w:rPr>
                <w:rFonts w:ascii="宋体" w:hAnsi="宋体" w:cs="宋体" w:eastAsia="宋体" w:hint="default"/>
                <w:b/>
                <w:bCs/>
                <w:spacing w:val="-54"/>
                <w:sz w:val="21"/>
                <w:szCs w:val="21"/>
              </w:rPr>
              <w:t> </w:t>
            </w:r>
            <w:r>
              <w:rPr>
                <w:rFonts w:ascii="宋体" w:hAnsi="宋体" w:cs="宋体" w:eastAsia="宋体" w:hint="default"/>
                <w:b/>
                <w:bCs/>
                <w:sz w:val="21"/>
                <w:szCs w:val="21"/>
              </w:rPr>
              <w:t>年</w:t>
            </w:r>
            <w:r>
              <w:rPr>
                <w:rFonts w:ascii="宋体" w:hAnsi="宋体" w:cs="宋体" w:eastAsia="宋体" w:hint="default"/>
                <w:b/>
                <w:bCs/>
                <w:spacing w:val="-55"/>
                <w:sz w:val="21"/>
                <w:szCs w:val="21"/>
              </w:rPr>
              <w:t> </w:t>
            </w:r>
            <w:r>
              <w:rPr>
                <w:rFonts w:ascii="宋体" w:hAnsi="宋体" w:cs="宋体" w:eastAsia="宋体" w:hint="default"/>
                <w:b/>
                <w:bCs/>
                <w:sz w:val="21"/>
                <w:szCs w:val="21"/>
              </w:rPr>
              <w:t>12</w:t>
            </w:r>
            <w:r>
              <w:rPr>
                <w:rFonts w:ascii="宋体" w:hAnsi="宋体" w:cs="宋体" w:eastAsia="宋体" w:hint="default"/>
                <w:b/>
                <w:bCs/>
                <w:spacing w:val="-55"/>
                <w:sz w:val="21"/>
                <w:szCs w:val="21"/>
              </w:rPr>
              <w:t> </w:t>
            </w:r>
            <w:r>
              <w:rPr>
                <w:rFonts w:ascii="宋体" w:hAnsi="宋体" w:cs="宋体" w:eastAsia="宋体" w:hint="default"/>
                <w:b/>
                <w:bCs/>
                <w:sz w:val="21"/>
                <w:szCs w:val="21"/>
              </w:rPr>
              <w:t>月</w:t>
            </w:r>
            <w:r>
              <w:rPr>
                <w:rFonts w:ascii="宋体" w:hAnsi="宋体" w:cs="宋体" w:eastAsia="宋体" w:hint="default"/>
                <w:b/>
                <w:bCs/>
                <w:spacing w:val="-55"/>
                <w:sz w:val="21"/>
                <w:szCs w:val="21"/>
              </w:rPr>
              <w:t> </w:t>
            </w:r>
            <w:r>
              <w:rPr>
                <w:rFonts w:ascii="宋体" w:hAnsi="宋体" w:cs="宋体" w:eastAsia="宋体" w:hint="default"/>
                <w:b/>
                <w:bCs/>
                <w:sz w:val="21"/>
                <w:szCs w:val="21"/>
              </w:rPr>
              <w:t>31</w:t>
            </w:r>
            <w:r>
              <w:rPr>
                <w:rFonts w:ascii="宋体" w:hAnsi="宋体" w:cs="宋体" w:eastAsia="宋体" w:hint="default"/>
                <w:b/>
                <w:bCs/>
                <w:spacing w:val="-55"/>
                <w:sz w:val="21"/>
                <w:szCs w:val="21"/>
              </w:rPr>
              <w:t> </w:t>
            </w:r>
            <w:r>
              <w:rPr>
                <w:rFonts w:ascii="宋体" w:hAnsi="宋体" w:cs="宋体" w:eastAsia="宋体" w:hint="default"/>
                <w:b/>
                <w:bCs/>
                <w:sz w:val="21"/>
                <w:szCs w:val="21"/>
              </w:rPr>
              <w:t>日</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流动资产：</w:t>
            </w:r>
            <w:r>
              <w:rPr>
                <w:rFonts w:ascii="宋体" w:hAnsi="宋体" w:cs="宋体" w:eastAsia="宋体" w:hint="default"/>
                <w:w w:val="100"/>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b/>
                <w:color w:val="FF00FF"/>
                <w:w w:val="99"/>
                <w:sz w:val="21"/>
              </w:rPr>
              <w:t> </w:t>
            </w:r>
            <w:r>
              <w:rPr>
                <w:rFonts w:ascii="宋体"/>
                <w:sz w:val="21"/>
              </w:rPr>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b/>
                <w:color w:val="FF00FF"/>
                <w:w w:val="99"/>
                <w:sz w:val="21"/>
              </w:rPr>
              <w:t> </w:t>
            </w:r>
            <w:r>
              <w:rPr>
                <w:rFonts w:ascii="宋体"/>
                <w:sz w:val="21"/>
              </w:rPr>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b/>
                <w:color w:val="FF00FF"/>
                <w:w w:val="99"/>
                <w:sz w:val="21"/>
              </w:rPr>
              <w:t> </w:t>
            </w:r>
            <w:r>
              <w:rPr>
                <w:rFonts w:ascii="宋体"/>
                <w:sz w:val="21"/>
              </w:rPr>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货币资金</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1,406,667,619.33</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1,212,933,169.51</w:t>
            </w:r>
            <w:r>
              <w:rPr>
                <w:rFonts w:ascii="宋体"/>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交易性金融资产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599,571,258.47</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559"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1" w:right="0"/>
              <w:jc w:val="left"/>
              <w:rPr>
                <w:rFonts w:ascii="宋体" w:hAnsi="宋体" w:cs="宋体" w:eastAsia="宋体" w:hint="default"/>
                <w:sz w:val="21"/>
                <w:szCs w:val="21"/>
              </w:rPr>
            </w:pPr>
            <w:r>
              <w:rPr>
                <w:rFonts w:ascii="宋体" w:hAnsi="宋体" w:cs="宋体" w:eastAsia="宋体" w:hint="default"/>
                <w:sz w:val="21"/>
                <w:szCs w:val="21"/>
              </w:rPr>
              <w:t>以公允价值计量且其变动</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计入当期损益的金融资产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衍生金融资产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应收票据</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70,351,719.83</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32,581,788.52</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应收账款</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十七、</w:t>
            </w:r>
            <w:r>
              <w:rPr>
                <w:rFonts w:ascii="宋体" w:hAnsi="宋体" w:cs="宋体" w:eastAsia="宋体" w:hint="default"/>
                <w:sz w:val="21"/>
                <w:szCs w:val="21"/>
              </w:rPr>
              <w:t>1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818,820,556.55</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1,028,588,686.07</w:t>
            </w:r>
            <w:r>
              <w:rPr>
                <w:rFonts w:ascii="宋体"/>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应收款项融资</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13,890,905.67</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预付款项</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115,687,707.22</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59,334,810.27</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其他应收款</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十七、</w:t>
            </w:r>
            <w:r>
              <w:rPr>
                <w:rFonts w:ascii="宋体" w:hAnsi="宋体" w:cs="宋体" w:eastAsia="宋体" w:hint="default"/>
                <w:sz w:val="21"/>
                <w:szCs w:val="21"/>
              </w:rPr>
              <w:t>2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1,525,009,445.55</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1,138,173,040.65</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其中：应收利息</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0" w:right="0"/>
              <w:jc w:val="left"/>
              <w:rPr>
                <w:rFonts w:ascii="宋体" w:hAnsi="宋体" w:cs="宋体" w:eastAsia="宋体" w:hint="default"/>
                <w:sz w:val="21"/>
                <w:szCs w:val="21"/>
              </w:rPr>
            </w:pPr>
            <w:r>
              <w:rPr>
                <w:rFonts w:ascii="宋体" w:hAnsi="宋体" w:cs="宋体" w:eastAsia="宋体" w:hint="default"/>
                <w:sz w:val="21"/>
                <w:szCs w:val="21"/>
              </w:rPr>
              <w:t>应收股利</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85,000,000.00</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50,000,000.00</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存货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295,205,808.26</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292,747,830.13</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持有待售资产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一年内到期的非流动资产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其他流动资产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970,000,000.00</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流动资产合计</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4,845,205,020.88</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4,734,359,325.15</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非流动资产：</w:t>
            </w:r>
            <w:r>
              <w:rPr>
                <w:rFonts w:ascii="宋体" w:hAnsi="宋体" w:cs="宋体" w:eastAsia="宋体" w:hint="default"/>
                <w:w w:val="100"/>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color w:val="008000"/>
                <w:w w:val="100"/>
                <w:sz w:val="21"/>
              </w:rPr>
              <w:t> </w:t>
            </w:r>
            <w:r>
              <w:rPr>
                <w:rFonts w:ascii="宋体"/>
                <w:w w:val="100"/>
                <w:sz w:val="21"/>
              </w:rPr>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color w:val="008000"/>
                <w:w w:val="100"/>
                <w:sz w:val="21"/>
              </w:rPr>
              <w:t> </w:t>
            </w:r>
            <w:r>
              <w:rPr>
                <w:rFonts w:ascii="宋体"/>
                <w:w w:val="100"/>
                <w:sz w:val="21"/>
              </w:rPr>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color w:val="008000"/>
                <w:w w:val="100"/>
                <w:sz w:val="21"/>
              </w:rPr>
              <w:t> </w:t>
            </w:r>
            <w:r>
              <w:rPr>
                <w:rFonts w:ascii="宋体"/>
                <w:w w:val="100"/>
                <w:sz w:val="21"/>
              </w:rPr>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债权投资</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311" w:right="0"/>
              <w:jc w:val="left"/>
              <w:rPr>
                <w:rFonts w:ascii="宋体" w:hAnsi="宋体" w:cs="宋体" w:eastAsia="宋体" w:hint="default"/>
                <w:sz w:val="21"/>
                <w:szCs w:val="21"/>
              </w:rPr>
            </w:pPr>
            <w:r>
              <w:rPr>
                <w:rFonts w:ascii="宋体" w:hAnsi="宋体" w:cs="宋体" w:eastAsia="宋体" w:hint="default"/>
                <w:sz w:val="21"/>
                <w:szCs w:val="21"/>
              </w:rPr>
              <w:t>可供出售金融资产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100"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5"/>
              <w:jc w:val="right"/>
              <w:rPr>
                <w:rFonts w:ascii="宋体" w:hAnsi="宋体" w:cs="宋体" w:eastAsia="宋体" w:hint="default"/>
                <w:sz w:val="21"/>
                <w:szCs w:val="21"/>
              </w:rPr>
            </w:pPr>
            <w:r>
              <w:rPr>
                <w:rFonts w:ascii="宋体"/>
                <w:spacing w:val="-1"/>
                <w:sz w:val="21"/>
              </w:rPr>
              <w:t>39,362,000.00</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其他债权投资</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持有至到期投资</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长期应收款</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长期股权投资</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十七、</w:t>
            </w:r>
            <w:r>
              <w:rPr>
                <w:rFonts w:ascii="宋体" w:hAnsi="宋体" w:cs="宋体" w:eastAsia="宋体" w:hint="default"/>
                <w:sz w:val="21"/>
                <w:szCs w:val="21"/>
              </w:rPr>
              <w:t>3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5,249,086,337.52</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4,618,649,146.91</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其他权益工具投资</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39,362,000.00</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其他非流动金融资产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投资性房地产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固定资产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225,968,362.59</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235,702,213.14</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在建工程</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269,578.30</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2,296,846.62</w:t>
            </w:r>
            <w:r>
              <w:rPr>
                <w:rFonts w:ascii="宋体"/>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生产性生物资产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油气资产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r>
      <w:tr>
        <w:trPr>
          <w:trHeight w:val="289"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使用权资产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无形资产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26,982,927.67</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29,135,889.14</w:t>
            </w:r>
            <w:r>
              <w:rPr>
                <w:rFonts w:ascii="宋体"/>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开发支出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商誉</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长期待摊费用</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6,139,657.40</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3,101,687.07</w:t>
            </w:r>
            <w:r>
              <w:rPr>
                <w:rFonts w:ascii="宋体"/>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递延所得税资产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9,142,073.96</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31,837,213.78</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其他非流动资产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2,747,503,767.24</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3,166,239,130.00</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非流动资产合计</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8,304,454,704.68</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8,126,324,126.66</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资产总计</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13,149,659,725.56</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12,860,683,451.81</w:t>
            </w:r>
            <w:r>
              <w:rPr>
                <w:rFonts w:ascii="宋体"/>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流动负债：</w:t>
            </w:r>
            <w:r>
              <w:rPr>
                <w:rFonts w:ascii="宋体" w:hAnsi="宋体" w:cs="宋体" w:eastAsia="宋体" w:hint="default"/>
                <w:w w:val="100"/>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color w:val="FF00FF"/>
                <w:w w:val="100"/>
                <w:sz w:val="21"/>
              </w:rPr>
              <w:t> </w:t>
            </w:r>
            <w:r>
              <w:rPr>
                <w:rFonts w:ascii="宋体"/>
                <w:w w:val="100"/>
                <w:sz w:val="21"/>
              </w:rPr>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color w:val="FF00FF"/>
                <w:w w:val="100"/>
                <w:sz w:val="21"/>
              </w:rPr>
              <w:t> </w:t>
            </w:r>
            <w:r>
              <w:rPr>
                <w:rFonts w:ascii="宋体"/>
                <w:w w:val="100"/>
                <w:sz w:val="21"/>
              </w:rPr>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color w:val="FF00FF"/>
                <w:w w:val="100"/>
                <w:sz w:val="21"/>
              </w:rPr>
              <w:t> </w:t>
            </w:r>
            <w:r>
              <w:rPr>
                <w:rFonts w:ascii="宋体"/>
                <w:w w:val="100"/>
                <w:sz w:val="21"/>
              </w:rPr>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短期借款</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834,390,248.47</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340,000,000.00</w:t>
            </w:r>
            <w:r>
              <w:rPr>
                <w:rFonts w:ascii="宋体"/>
                <w:sz w:val="21"/>
              </w:rPr>
              <w:t> </w:t>
            </w:r>
          </w:p>
        </w:tc>
      </w:tr>
    </w:tbl>
    <w:p>
      <w:pPr>
        <w:spacing w:after="0" w:line="243" w:lineRule="exact"/>
        <w:jc w:val="right"/>
        <w:rPr>
          <w:rFonts w:ascii="宋体" w:hAnsi="宋体" w:cs="宋体" w:eastAsia="宋体" w:hint="default"/>
          <w:sz w:val="21"/>
          <w:szCs w:val="21"/>
        </w:rPr>
        <w:sectPr>
          <w:type w:val="continuous"/>
          <w:pgSz w:w="11910" w:h="16840"/>
          <w:pgMar w:top="1580" w:bottom="280" w:left="1580" w:right="1040"/>
        </w:sectPr>
      </w:pPr>
    </w:p>
    <w:p>
      <w:pPr>
        <w:spacing w:line="240" w:lineRule="auto" w:before="9"/>
        <w:rPr>
          <w:rFonts w:ascii="宋体" w:hAnsi="宋体" w:cs="宋体" w:eastAsia="宋体" w:hint="default"/>
          <w:sz w:val="29"/>
          <w:szCs w:val="29"/>
        </w:rPr>
      </w:pPr>
    </w:p>
    <w:tbl>
      <w:tblPr>
        <w:tblW w:w="0" w:type="auto"/>
        <w:jc w:val="left"/>
        <w:tblInd w:w="107" w:type="dxa"/>
        <w:tblLayout w:type="fixed"/>
        <w:tblCellMar>
          <w:top w:w="0" w:type="dxa"/>
          <w:left w:w="0" w:type="dxa"/>
          <w:bottom w:w="0" w:type="dxa"/>
          <w:right w:w="0" w:type="dxa"/>
        </w:tblCellMar>
        <w:tblLook w:val="01E0"/>
      </w:tblPr>
      <w:tblGrid>
        <w:gridCol w:w="2945"/>
        <w:gridCol w:w="1133"/>
        <w:gridCol w:w="2552"/>
        <w:gridCol w:w="2410"/>
      </w:tblGrid>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311" w:right="0"/>
              <w:jc w:val="left"/>
              <w:rPr>
                <w:rFonts w:ascii="宋体" w:hAnsi="宋体" w:cs="宋体" w:eastAsia="宋体" w:hint="default"/>
                <w:sz w:val="21"/>
                <w:szCs w:val="21"/>
              </w:rPr>
            </w:pPr>
            <w:r>
              <w:rPr>
                <w:rFonts w:ascii="宋体" w:hAnsi="宋体" w:cs="宋体" w:eastAsia="宋体" w:hint="default"/>
                <w:sz w:val="21"/>
                <w:szCs w:val="21"/>
              </w:rPr>
              <w:t>交易性金融负债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100"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5"/>
              <w:jc w:val="right"/>
              <w:rPr>
                <w:rFonts w:ascii="宋体" w:hAnsi="宋体" w:cs="宋体" w:eastAsia="宋体" w:hint="default"/>
                <w:sz w:val="21"/>
                <w:szCs w:val="21"/>
              </w:rPr>
            </w:pPr>
            <w:r>
              <w:rPr>
                <w:rFonts w:ascii="宋体"/>
                <w:w w:val="100"/>
                <w:sz w:val="21"/>
              </w:rPr>
              <w:t> </w:t>
            </w:r>
          </w:p>
        </w:tc>
      </w:tr>
      <w:tr>
        <w:trPr>
          <w:trHeight w:val="559"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1" w:right="0"/>
              <w:jc w:val="left"/>
              <w:rPr>
                <w:rFonts w:ascii="宋体" w:hAnsi="宋体" w:cs="宋体" w:eastAsia="宋体" w:hint="default"/>
                <w:sz w:val="21"/>
                <w:szCs w:val="21"/>
              </w:rPr>
            </w:pPr>
            <w:r>
              <w:rPr>
                <w:rFonts w:ascii="宋体" w:hAnsi="宋体" w:cs="宋体" w:eastAsia="宋体" w:hint="default"/>
                <w:sz w:val="21"/>
                <w:szCs w:val="21"/>
              </w:rPr>
              <w:t>以公允价值计量且其变动</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计入当期损益的金融负债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衍生金融负债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应付票据</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203,625,904.25</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467,553,549.72</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应付账款</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401,074,769.98</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386,862,850.44</w:t>
            </w:r>
            <w:r>
              <w:rPr>
                <w:rFonts w:ascii="宋体"/>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预收款项</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60,743,956.57</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11,182,660.46</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应付职工薪酬</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67,390,981.97</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59,045,893.27</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应交税费</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24,265,855.99</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54,468,130.90</w:t>
            </w:r>
            <w:r>
              <w:rPr>
                <w:rFonts w:ascii="宋体"/>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其他应付款</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159,112,571.86</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92,324,543.75</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其中：应付利息</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3,712,038.29</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0" w:right="0"/>
              <w:jc w:val="left"/>
              <w:rPr>
                <w:rFonts w:ascii="宋体" w:hAnsi="宋体" w:cs="宋体" w:eastAsia="宋体" w:hint="default"/>
                <w:sz w:val="21"/>
                <w:szCs w:val="21"/>
              </w:rPr>
            </w:pPr>
            <w:r>
              <w:rPr>
                <w:rFonts w:ascii="宋体" w:hAnsi="宋体" w:cs="宋体" w:eastAsia="宋体" w:hint="default"/>
                <w:sz w:val="21"/>
                <w:szCs w:val="21"/>
              </w:rPr>
              <w:t>应付股利</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持有待售负债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13,250,000.00</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23,000,000.00</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其他流动负债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流动负债合计</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1,763,854,289.09</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1,434,437,628.54</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非流动负债：</w:t>
            </w:r>
            <w:r>
              <w:rPr>
                <w:rFonts w:ascii="宋体" w:hAnsi="宋体" w:cs="宋体" w:eastAsia="宋体" w:hint="default"/>
                <w:w w:val="100"/>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color w:val="008000"/>
                <w:w w:val="100"/>
                <w:sz w:val="21"/>
              </w:rPr>
              <w:t> </w:t>
            </w:r>
            <w:r>
              <w:rPr>
                <w:rFonts w:ascii="宋体"/>
                <w:w w:val="100"/>
                <w:sz w:val="21"/>
              </w:rPr>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4"/>
              <w:jc w:val="right"/>
              <w:rPr>
                <w:rFonts w:ascii="宋体" w:hAnsi="宋体" w:cs="宋体" w:eastAsia="宋体" w:hint="default"/>
                <w:sz w:val="21"/>
                <w:szCs w:val="21"/>
              </w:rPr>
            </w:pPr>
            <w:r>
              <w:rPr>
                <w:rFonts w:ascii="宋体"/>
                <w:color w:val="008000"/>
                <w:w w:val="100"/>
                <w:sz w:val="21"/>
              </w:rPr>
              <w:t> </w:t>
            </w:r>
            <w:r>
              <w:rPr>
                <w:rFonts w:ascii="宋体"/>
                <w:w w:val="100"/>
                <w:sz w:val="21"/>
              </w:rPr>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color w:val="008000"/>
                <w:w w:val="100"/>
                <w:sz w:val="21"/>
              </w:rPr>
              <w:t> </w:t>
            </w:r>
            <w:r>
              <w:rPr>
                <w:rFonts w:ascii="宋体"/>
                <w:w w:val="100"/>
                <w:sz w:val="21"/>
              </w:rPr>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长期借款</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560,761,111.10</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573,250,000.00</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应付债券</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2,590,800,905.84</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2,463,263,272.02</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其中：优先股</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0" w:right="0"/>
              <w:jc w:val="left"/>
              <w:rPr>
                <w:rFonts w:ascii="宋体" w:hAnsi="宋体" w:cs="宋体" w:eastAsia="宋体" w:hint="default"/>
                <w:sz w:val="21"/>
                <w:szCs w:val="21"/>
              </w:rPr>
            </w:pPr>
            <w:r>
              <w:rPr>
                <w:rFonts w:ascii="宋体" w:hAnsi="宋体" w:cs="宋体" w:eastAsia="宋体" w:hint="default"/>
                <w:sz w:val="21"/>
                <w:szCs w:val="21"/>
              </w:rPr>
              <w:t>永续债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租赁负债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长期应付款</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长期应付职工薪酬</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预计负债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311" w:right="0"/>
              <w:jc w:val="left"/>
              <w:rPr>
                <w:rFonts w:ascii="宋体" w:hAnsi="宋体" w:cs="宋体" w:eastAsia="宋体" w:hint="default"/>
                <w:sz w:val="21"/>
                <w:szCs w:val="21"/>
              </w:rPr>
            </w:pPr>
            <w:r>
              <w:rPr>
                <w:rFonts w:ascii="宋体" w:hAnsi="宋体" w:cs="宋体" w:eastAsia="宋体" w:hint="default"/>
                <w:sz w:val="21"/>
                <w:szCs w:val="21"/>
              </w:rPr>
              <w:t>递延收益</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100"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5"/>
              <w:jc w:val="right"/>
              <w:rPr>
                <w:rFonts w:ascii="宋体" w:hAnsi="宋体" w:cs="宋体" w:eastAsia="宋体" w:hint="default"/>
                <w:sz w:val="21"/>
                <w:szCs w:val="21"/>
              </w:rPr>
            </w:pPr>
            <w:r>
              <w:rPr>
                <w:rFonts w:ascii="宋体"/>
                <w:spacing w:val="-1"/>
                <w:sz w:val="21"/>
              </w:rPr>
              <w:t>10,618,643.28</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5"/>
              <w:jc w:val="right"/>
              <w:rPr>
                <w:rFonts w:ascii="宋体" w:hAnsi="宋体" w:cs="宋体" w:eastAsia="宋体" w:hint="default"/>
                <w:sz w:val="21"/>
                <w:szCs w:val="21"/>
              </w:rPr>
            </w:pPr>
            <w:r>
              <w:rPr>
                <w:rFonts w:ascii="宋体"/>
                <w:spacing w:val="-1"/>
                <w:sz w:val="21"/>
              </w:rPr>
              <w:t>11,308,383.46</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递延所得税负债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其他非流动负债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非流动负债合计</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3,162,180,660.22</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3,047,821,655.48</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负债合计</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4,926,034,949.31</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4,482,259,284.02</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5"/>
              <w:jc w:val="left"/>
              <w:rPr>
                <w:rFonts w:ascii="宋体" w:hAnsi="宋体" w:cs="宋体" w:eastAsia="宋体" w:hint="default"/>
                <w:sz w:val="21"/>
                <w:szCs w:val="21"/>
              </w:rPr>
            </w:pPr>
            <w:r>
              <w:rPr>
                <w:rFonts w:ascii="宋体" w:hAnsi="宋体" w:cs="宋体" w:eastAsia="宋体" w:hint="default"/>
                <w:b/>
                <w:bCs/>
                <w:sz w:val="21"/>
                <w:szCs w:val="21"/>
              </w:rPr>
              <w:t>所有者权益（或股东权益）：</w:t>
            </w:r>
            <w:r>
              <w:rPr>
                <w:rFonts w:ascii="宋体" w:hAnsi="宋体" w:cs="宋体" w:eastAsia="宋体" w:hint="default"/>
                <w:w w:val="100"/>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color w:val="008000"/>
                <w:w w:val="100"/>
                <w:sz w:val="21"/>
              </w:rPr>
              <w:t> </w:t>
            </w:r>
            <w:r>
              <w:rPr>
                <w:rFonts w:ascii="宋体"/>
                <w:w w:val="100"/>
                <w:sz w:val="21"/>
              </w:rPr>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color w:val="008000"/>
                <w:w w:val="100"/>
                <w:sz w:val="21"/>
              </w:rPr>
              <w:t> </w:t>
            </w:r>
            <w:r>
              <w:rPr>
                <w:rFonts w:ascii="宋体"/>
                <w:w w:val="100"/>
                <w:sz w:val="21"/>
              </w:rPr>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color w:val="008000"/>
                <w:w w:val="100"/>
                <w:sz w:val="21"/>
              </w:rPr>
              <w:t> </w:t>
            </w:r>
            <w:r>
              <w:rPr>
                <w:rFonts w:ascii="宋体"/>
                <w:w w:val="100"/>
                <w:sz w:val="21"/>
              </w:rPr>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实收资本（或股本）</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1,757,670,860.00</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1,765,410,843.00</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其他权益工具</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648,669,813.57</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648,686,895.88</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其中：优先股</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0" w:right="0"/>
              <w:jc w:val="left"/>
              <w:rPr>
                <w:rFonts w:ascii="宋体" w:hAnsi="宋体" w:cs="宋体" w:eastAsia="宋体" w:hint="default"/>
                <w:sz w:val="21"/>
                <w:szCs w:val="21"/>
              </w:rPr>
            </w:pPr>
            <w:r>
              <w:rPr>
                <w:rFonts w:ascii="宋体" w:hAnsi="宋体" w:cs="宋体" w:eastAsia="宋体" w:hint="default"/>
                <w:sz w:val="21"/>
                <w:szCs w:val="21"/>
              </w:rPr>
              <w:t>永续债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资本公积</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4,607,922,535.92</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4,634,617,835.24</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减：库存股</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138,925,978.02</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173,515,620.20</w:t>
            </w:r>
            <w:r>
              <w:rPr>
                <w:rFonts w:ascii="宋体"/>
                <w:sz w:val="21"/>
              </w:rPr>
              <w:t> </w:t>
            </w:r>
          </w:p>
        </w:tc>
      </w:tr>
      <w:tr>
        <w:trPr>
          <w:trHeight w:val="289"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其他综合收益</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专项储备</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盈余公积</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240,619,644.19</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225,738,320.37</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未分配利润</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1,107,667,900.59</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1,277,485,893.50</w:t>
            </w:r>
            <w:r>
              <w:rPr>
                <w:rFonts w:ascii="宋体"/>
                <w:sz w:val="21"/>
              </w:rPr>
              <w:t> </w:t>
            </w:r>
          </w:p>
        </w:tc>
      </w:tr>
      <w:tr>
        <w:trPr>
          <w:trHeight w:val="559"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所有者权益（或股东权</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益）合计</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spacing w:val="-1"/>
                <w:sz w:val="21"/>
              </w:rPr>
              <w:t>8,223,624,776.25</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spacing w:val="-1"/>
                <w:sz w:val="21"/>
              </w:rPr>
              <w:t>8,378,424,167.79</w:t>
            </w:r>
            <w:r>
              <w:rPr>
                <w:rFonts w:ascii="宋体"/>
                <w:sz w:val="21"/>
              </w:rPr>
              <w:t> </w:t>
            </w:r>
          </w:p>
        </w:tc>
      </w:tr>
      <w:tr>
        <w:trPr>
          <w:trHeight w:val="562"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1" w:right="0"/>
              <w:jc w:val="left"/>
              <w:rPr>
                <w:rFonts w:ascii="宋体" w:hAnsi="宋体" w:cs="宋体" w:eastAsia="宋体" w:hint="default"/>
                <w:sz w:val="21"/>
                <w:szCs w:val="21"/>
              </w:rPr>
            </w:pPr>
            <w:r>
              <w:rPr>
                <w:rFonts w:ascii="宋体" w:hAnsi="宋体" w:cs="宋体" w:eastAsia="宋体" w:hint="default"/>
                <w:sz w:val="21"/>
                <w:szCs w:val="21"/>
              </w:rPr>
              <w:t>负债和所有者权益（或</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股东权益）总计</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spacing w:val="-1"/>
                <w:sz w:val="21"/>
              </w:rPr>
              <w:t>13,149,659,725.56</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spacing w:val="-1"/>
                <w:sz w:val="21"/>
              </w:rPr>
              <w:t>12,860,683,451.81</w:t>
            </w:r>
            <w:r>
              <w:rPr>
                <w:rFonts w:ascii="宋体"/>
                <w:sz w:val="21"/>
              </w:rPr>
              <w:t> </w:t>
            </w:r>
          </w:p>
        </w:tc>
      </w:tr>
    </w:tbl>
    <w:p>
      <w:pPr>
        <w:pStyle w:val="BodyText"/>
        <w:spacing w:line="236" w:lineRule="exact"/>
        <w:ind w:right="0"/>
        <w:jc w:val="left"/>
        <w:rPr>
          <w:rFonts w:ascii="宋体" w:hAnsi="宋体" w:cs="宋体" w:eastAsia="宋体" w:hint="default"/>
        </w:rPr>
      </w:pPr>
      <w:r>
        <w:rPr/>
        <w:t>法定代表人：陆永华         </w:t>
      </w:r>
      <w:r>
        <w:rPr>
          <w:rFonts w:ascii="宋体" w:hAnsi="宋体" w:cs="宋体" w:eastAsia="宋体" w:hint="default"/>
        </w:rPr>
      </w:r>
      <w:r>
        <w:rPr/>
        <w:t>主管会计工作负责人：虞海娟      </w:t>
      </w:r>
      <w:r>
        <w:rPr>
          <w:spacing w:val="94"/>
        </w:rPr>
        <w:t> </w:t>
      </w:r>
      <w:r>
        <w:rPr>
          <w:rFonts w:ascii="宋体" w:hAnsi="宋体" w:cs="宋体" w:eastAsia="宋体" w:hint="default"/>
          <w:spacing w:val="94"/>
        </w:rPr>
      </w:r>
      <w:r>
        <w:rPr/>
        <w:t>会计机构负责人：周辉</w:t>
      </w:r>
      <w:r>
        <w:rPr>
          <w:rFonts w:ascii="宋体" w:hAnsi="宋体" w:cs="宋体" w:eastAsia="宋体" w:hint="default"/>
        </w:rPr>
        <w:t> </w:t>
      </w:r>
    </w:p>
    <w:p>
      <w:pPr>
        <w:pStyle w:val="Heading2"/>
        <w:spacing w:line="309" w:lineRule="exact"/>
        <w:ind w:right="0"/>
        <w:jc w:val="left"/>
        <w:rPr>
          <w:rFonts w:ascii="宋体" w:hAnsi="宋体" w:cs="宋体" w:eastAsia="宋体" w:hint="default"/>
        </w:rPr>
      </w:pPr>
      <w:r>
        <w:rPr>
          <w:rFonts w:ascii="宋体"/>
        </w:rPr>
        <w:t> </w:t>
      </w:r>
    </w:p>
    <w:p>
      <w:pPr>
        <w:pStyle w:val="BodyText"/>
        <w:tabs>
          <w:tab w:pos="3098" w:val="left" w:leader="none"/>
        </w:tabs>
        <w:spacing w:line="240" w:lineRule="auto" w:before="4"/>
        <w:ind w:right="0"/>
        <w:jc w:val="left"/>
        <w:rPr>
          <w:rFonts w:ascii="宋体" w:hAnsi="宋体" w:cs="宋体" w:eastAsia="宋体" w:hint="default"/>
        </w:rPr>
      </w:pPr>
      <w:r>
        <w:rPr>
          <w:rFonts w:ascii="宋体"/>
          <w:color w:val="FF0000"/>
          <w:w w:val="100"/>
        </w:rPr>
        <w:t> </w:t>
      </w:r>
      <w:r>
        <w:rPr>
          <w:rFonts w:ascii="宋体"/>
          <w:color w:val="FF0000"/>
        </w:rPr>
        <w:tab/>
      </w:r>
      <w:r>
        <w:rPr>
          <w:rFonts w:ascii="宋体"/>
          <w:color w:val="FF0000"/>
          <w:w w:val="100"/>
        </w:rPr>
        <w:t> </w:t>
      </w:r>
      <w:r>
        <w:rPr>
          <w:rFonts w:ascii="宋体"/>
          <w:w w:val="100"/>
        </w:rPr>
      </w:r>
    </w:p>
    <w:p>
      <w:pPr>
        <w:spacing w:after="0" w:line="240" w:lineRule="auto"/>
        <w:jc w:val="left"/>
        <w:rPr>
          <w:rFonts w:ascii="宋体" w:hAnsi="宋体" w:cs="宋体" w:eastAsia="宋体" w:hint="default"/>
        </w:rPr>
        <w:sectPr>
          <w:pgSz w:w="11910" w:h="16840"/>
          <w:pgMar w:header="743" w:footer="974" w:top="1120" w:bottom="1160" w:left="1580" w:right="1040"/>
        </w:sectPr>
      </w:pPr>
    </w:p>
    <w:p>
      <w:pPr>
        <w:spacing w:line="240" w:lineRule="auto" w:before="4"/>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pgSz w:w="11910" w:h="16840"/>
          <w:pgMar w:header="743" w:footer="974" w:top="1120" w:bottom="1160" w:left="1280" w:right="740"/>
        </w:sectPr>
      </w:pPr>
    </w:p>
    <w:p>
      <w:pPr>
        <w:spacing w:line="292" w:lineRule="auto" w:before="36"/>
        <w:ind w:left="4173" w:right="0" w:firstLine="232"/>
        <w:jc w:val="left"/>
        <w:rPr>
          <w:rFonts w:ascii="宋体" w:hAnsi="宋体" w:cs="宋体" w:eastAsia="宋体" w:hint="default"/>
          <w:sz w:val="21"/>
          <w:szCs w:val="21"/>
        </w:rPr>
      </w:pPr>
      <w:r>
        <w:rPr>
          <w:rFonts w:ascii="宋体" w:hAnsi="宋体" w:cs="宋体" w:eastAsia="宋体" w:hint="default"/>
          <w:b/>
          <w:bCs/>
          <w:sz w:val="21"/>
          <w:szCs w:val="21"/>
        </w:rPr>
        <w:t>合并利润表</w:t>
      </w:r>
      <w:r>
        <w:rPr>
          <w:rFonts w:ascii="宋体" w:hAnsi="宋体" w:cs="宋体" w:eastAsia="宋体" w:hint="default"/>
          <w:b/>
          <w:bCs/>
          <w:w w:val="100"/>
          <w:sz w:val="21"/>
          <w:szCs w:val="21"/>
        </w:rPr>
        <w:t> </w:t>
      </w: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9"/>
          <w:szCs w:val="29"/>
        </w:rPr>
      </w:pPr>
    </w:p>
    <w:p>
      <w:pPr>
        <w:pStyle w:val="BodyText"/>
        <w:spacing w:line="240" w:lineRule="auto"/>
        <w:ind w:left="1618" w:right="0"/>
        <w:jc w:val="left"/>
        <w:rPr>
          <w:rFonts w:ascii="宋体" w:hAnsi="宋体" w:cs="宋体" w:eastAsia="宋体" w:hint="default"/>
        </w:rPr>
      </w:pPr>
      <w:r>
        <w:rPr/>
        <w:t>单位</w:t>
      </w:r>
      <w:r>
        <w:rPr>
          <w:rFonts w:ascii="宋体" w:hAnsi="宋体" w:cs="宋体" w:eastAsia="宋体" w:hint="default"/>
        </w:rPr>
        <w:t>:</w:t>
      </w:r>
      <w:r>
        <w:rPr/>
        <w:t>元币种</w:t>
      </w:r>
      <w:r>
        <w:rPr>
          <w:rFonts w:ascii="宋体" w:hAnsi="宋体" w:cs="宋体" w:eastAsia="宋体" w:hint="default"/>
        </w:rPr>
        <w:t>:</w:t>
      </w:r>
      <w:r>
        <w:rPr/>
        <w:t>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580" w:bottom="280" w:left="1280" w:right="740"/>
          <w:cols w:num="2" w:equalWidth="0">
            <w:col w:w="5802" w:space="40"/>
            <w:col w:w="404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040"/>
        <w:gridCol w:w="1450"/>
        <w:gridCol w:w="2211"/>
        <w:gridCol w:w="1949"/>
      </w:tblGrid>
      <w:tr>
        <w:trPr>
          <w:trHeight w:val="281" w:hRule="exact"/>
        </w:trPr>
        <w:tc>
          <w:tcPr>
            <w:tcW w:w="40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9"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08"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50" w:right="0"/>
              <w:jc w:val="left"/>
              <w:rPr>
                <w:rFonts w:ascii="宋体" w:hAnsi="宋体" w:cs="宋体" w:eastAsia="宋体" w:hint="default"/>
                <w:sz w:val="21"/>
                <w:szCs w:val="21"/>
              </w:rPr>
            </w:pPr>
            <w:r>
              <w:rPr>
                <w:rFonts w:ascii="宋体" w:hAnsi="宋体" w:cs="宋体" w:eastAsia="宋体" w:hint="default"/>
                <w:b/>
                <w:bCs/>
                <w:sz w:val="21"/>
                <w:szCs w:val="21"/>
              </w:rPr>
              <w:t>2019</w:t>
            </w:r>
            <w:r>
              <w:rPr>
                <w:rFonts w:ascii="宋体" w:hAnsi="宋体" w:cs="宋体" w:eastAsia="宋体" w:hint="default"/>
                <w:b/>
                <w:bCs/>
                <w:spacing w:val="-55"/>
                <w:sz w:val="21"/>
                <w:szCs w:val="21"/>
              </w:rPr>
              <w:t> </w:t>
            </w:r>
            <w:r>
              <w:rPr>
                <w:rFonts w:ascii="宋体" w:hAnsi="宋体" w:cs="宋体" w:eastAsia="宋体" w:hint="default"/>
                <w:b/>
                <w:bCs/>
                <w:sz w:val="21"/>
                <w:szCs w:val="21"/>
              </w:rPr>
              <w:t>年度</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b/>
                <w:bCs/>
                <w:sz w:val="21"/>
                <w:szCs w:val="21"/>
              </w:rPr>
              <w:t>2018</w:t>
            </w:r>
            <w:r>
              <w:rPr>
                <w:rFonts w:ascii="宋体" w:hAnsi="宋体" w:cs="宋体" w:eastAsia="宋体" w:hint="default"/>
                <w:b/>
                <w:bCs/>
                <w:spacing w:val="-55"/>
                <w:sz w:val="21"/>
                <w:szCs w:val="21"/>
              </w:rPr>
              <w:t> </w:t>
            </w:r>
            <w:r>
              <w:rPr>
                <w:rFonts w:ascii="宋体" w:hAnsi="宋体" w:cs="宋体" w:eastAsia="宋体" w:hint="default"/>
                <w:b/>
                <w:bCs/>
                <w:sz w:val="21"/>
                <w:szCs w:val="21"/>
              </w:rPr>
              <w:t>年度</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283" w:hRule="exact"/>
        </w:trPr>
        <w:tc>
          <w:tcPr>
            <w:tcW w:w="40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一、营业总收入</w:t>
            </w:r>
            <w:r>
              <w:rPr>
                <w:rFonts w:ascii="宋体" w:hAnsi="宋体" w:cs="宋体" w:eastAsia="宋体" w:hint="default"/>
                <w:sz w:val="21"/>
                <w:szCs w:val="21"/>
              </w:rPr>
              <w:t> </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right"/>
              <w:rPr>
                <w:rFonts w:ascii="宋体" w:hAnsi="宋体" w:cs="宋体" w:eastAsia="宋体" w:hint="default"/>
                <w:sz w:val="21"/>
                <w:szCs w:val="21"/>
              </w:rPr>
            </w:pPr>
            <w:r>
              <w:rPr>
                <w:rFonts w:ascii="宋体"/>
                <w:spacing w:val="-1"/>
                <w:sz w:val="21"/>
              </w:rPr>
              <w:t>3,359,243,789.30</w:t>
            </w:r>
            <w:r>
              <w:rPr>
                <w:rFonts w:ascii="宋体"/>
                <w:sz w:val="21"/>
              </w:rPr>
              <w:t> </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4,016,103,196.21</w:t>
            </w:r>
            <w:r>
              <w:rPr>
                <w:rFonts w:ascii="宋体"/>
                <w:sz w:val="21"/>
              </w:rPr>
              <w:t> </w:t>
            </w:r>
          </w:p>
        </w:tc>
      </w:tr>
      <w:tr>
        <w:trPr>
          <w:trHeight w:val="283" w:hRule="exact"/>
        </w:trPr>
        <w:tc>
          <w:tcPr>
            <w:tcW w:w="40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其中：营业收入</w:t>
            </w:r>
            <w:r>
              <w:rPr>
                <w:rFonts w:ascii="宋体" w:hAnsi="宋体" w:cs="宋体" w:eastAsia="宋体" w:hint="default"/>
                <w:sz w:val="21"/>
                <w:szCs w:val="21"/>
              </w:rPr>
              <w:t> </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59 </w:t>
            </w:r>
          </w:p>
        </w:tc>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3,359,243,789.30</w:t>
            </w:r>
            <w:r>
              <w:rPr>
                <w:rFonts w:ascii="宋体"/>
                <w:sz w:val="21"/>
              </w:rPr>
              <w:t> </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4,016,103,196.21</w:t>
            </w:r>
            <w:r>
              <w:rPr>
                <w:rFonts w:ascii="宋体"/>
                <w:sz w:val="21"/>
              </w:rPr>
              <w:t> </w:t>
            </w:r>
          </w:p>
        </w:tc>
      </w:tr>
      <w:tr>
        <w:trPr>
          <w:trHeight w:val="281" w:hRule="exact"/>
        </w:trPr>
        <w:tc>
          <w:tcPr>
            <w:tcW w:w="40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利息收入</w:t>
            </w:r>
            <w:r>
              <w:rPr>
                <w:rFonts w:ascii="宋体" w:hAnsi="宋体" w:cs="宋体" w:eastAsia="宋体" w:hint="default"/>
                <w:sz w:val="21"/>
                <w:szCs w:val="21"/>
              </w:rPr>
              <w:t> </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40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1" w:right="0"/>
              <w:jc w:val="left"/>
              <w:rPr>
                <w:rFonts w:ascii="宋体" w:hAnsi="宋体" w:cs="宋体" w:eastAsia="宋体" w:hint="default"/>
                <w:sz w:val="21"/>
                <w:szCs w:val="21"/>
              </w:rPr>
            </w:pPr>
            <w:r>
              <w:rPr>
                <w:rFonts w:ascii="宋体" w:hAnsi="宋体" w:cs="宋体" w:eastAsia="宋体" w:hint="default"/>
                <w:sz w:val="21"/>
                <w:szCs w:val="21"/>
              </w:rPr>
              <w:t>已赚保费</w:t>
            </w:r>
            <w:r>
              <w:rPr>
                <w:rFonts w:ascii="宋体" w:hAnsi="宋体" w:cs="宋体" w:eastAsia="宋体" w:hint="default"/>
                <w:sz w:val="21"/>
                <w:szCs w:val="21"/>
              </w:rPr>
              <w:t> </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right"/>
              <w:rPr>
                <w:rFonts w:ascii="宋体" w:hAnsi="宋体" w:cs="宋体" w:eastAsia="宋体" w:hint="default"/>
                <w:sz w:val="21"/>
                <w:szCs w:val="21"/>
              </w:rPr>
            </w:pPr>
            <w:r>
              <w:rPr>
                <w:rFonts w:ascii="宋体"/>
                <w:w w:val="100"/>
                <w:sz w:val="21"/>
              </w:rPr>
              <w:t> </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40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手续费及佣金收入</w:t>
            </w:r>
            <w:r>
              <w:rPr>
                <w:rFonts w:ascii="宋体" w:hAnsi="宋体" w:cs="宋体" w:eastAsia="宋体" w:hint="default"/>
                <w:sz w:val="21"/>
                <w:szCs w:val="21"/>
              </w:rPr>
              <w:t> </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40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二、营业总成本</w:t>
            </w:r>
            <w:r>
              <w:rPr>
                <w:rFonts w:ascii="宋体" w:hAnsi="宋体" w:cs="宋体" w:eastAsia="宋体" w:hint="default"/>
                <w:sz w:val="21"/>
                <w:szCs w:val="21"/>
              </w:rPr>
              <w:t> </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2,657,998,919.35</w:t>
            </w:r>
            <w:r>
              <w:rPr>
                <w:rFonts w:ascii="宋体"/>
                <w:sz w:val="21"/>
              </w:rPr>
              <w:t> </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3,254,007,518.65</w:t>
            </w:r>
            <w:r>
              <w:rPr>
                <w:rFonts w:ascii="宋体"/>
                <w:sz w:val="21"/>
              </w:rPr>
              <w:t> </w:t>
            </w:r>
          </w:p>
        </w:tc>
      </w:tr>
      <w:tr>
        <w:trPr>
          <w:trHeight w:val="283" w:hRule="exact"/>
        </w:trPr>
        <w:tc>
          <w:tcPr>
            <w:tcW w:w="40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其中：营业成本</w:t>
            </w:r>
            <w:r>
              <w:rPr>
                <w:rFonts w:ascii="宋体" w:hAnsi="宋体" w:cs="宋体" w:eastAsia="宋体" w:hint="default"/>
                <w:sz w:val="21"/>
                <w:szCs w:val="21"/>
              </w:rPr>
              <w:t> </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59 </w:t>
            </w:r>
          </w:p>
        </w:tc>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right"/>
              <w:rPr>
                <w:rFonts w:ascii="宋体" w:hAnsi="宋体" w:cs="宋体" w:eastAsia="宋体" w:hint="default"/>
                <w:sz w:val="21"/>
                <w:szCs w:val="21"/>
              </w:rPr>
            </w:pPr>
            <w:r>
              <w:rPr>
                <w:rFonts w:ascii="宋体"/>
                <w:spacing w:val="-1"/>
                <w:sz w:val="21"/>
              </w:rPr>
              <w:t>1,841,210,181.75</w:t>
            </w:r>
            <w:r>
              <w:rPr>
                <w:rFonts w:ascii="宋体"/>
                <w:sz w:val="21"/>
              </w:rPr>
              <w:t> </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2,496,886,378.00</w:t>
            </w:r>
            <w:r>
              <w:rPr>
                <w:rFonts w:ascii="宋体"/>
                <w:sz w:val="21"/>
              </w:rPr>
              <w:t> </w:t>
            </w:r>
          </w:p>
        </w:tc>
      </w:tr>
      <w:tr>
        <w:trPr>
          <w:trHeight w:val="283" w:hRule="exact"/>
        </w:trPr>
        <w:tc>
          <w:tcPr>
            <w:tcW w:w="40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利息支出</w:t>
            </w:r>
            <w:r>
              <w:rPr>
                <w:rFonts w:ascii="宋体" w:hAnsi="宋体" w:cs="宋体" w:eastAsia="宋体" w:hint="default"/>
                <w:sz w:val="21"/>
                <w:szCs w:val="21"/>
              </w:rPr>
              <w:t> </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40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手续费及佣金支出</w:t>
            </w:r>
            <w:r>
              <w:rPr>
                <w:rFonts w:ascii="宋体" w:hAnsi="宋体" w:cs="宋体" w:eastAsia="宋体" w:hint="default"/>
                <w:sz w:val="21"/>
                <w:szCs w:val="21"/>
              </w:rPr>
              <w:t> </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4" w:hRule="exact"/>
        </w:trPr>
        <w:tc>
          <w:tcPr>
            <w:tcW w:w="40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退保金</w:t>
            </w:r>
            <w:r>
              <w:rPr>
                <w:rFonts w:ascii="宋体" w:hAnsi="宋体" w:cs="宋体" w:eastAsia="宋体" w:hint="default"/>
                <w:sz w:val="21"/>
                <w:szCs w:val="21"/>
              </w:rPr>
              <w:t> </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40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赔付支出净额</w:t>
            </w:r>
            <w:r>
              <w:rPr>
                <w:rFonts w:ascii="宋体" w:hAnsi="宋体" w:cs="宋体" w:eastAsia="宋体" w:hint="default"/>
                <w:sz w:val="21"/>
                <w:szCs w:val="21"/>
              </w:rPr>
              <w:t> </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40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提取保险责任准备金净额</w:t>
            </w:r>
            <w:r>
              <w:rPr>
                <w:rFonts w:ascii="宋体" w:hAnsi="宋体" w:cs="宋体" w:eastAsia="宋体" w:hint="default"/>
                <w:sz w:val="21"/>
                <w:szCs w:val="21"/>
              </w:rPr>
              <w:t> </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40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保单红利支出</w:t>
            </w:r>
            <w:r>
              <w:rPr>
                <w:rFonts w:ascii="宋体" w:hAnsi="宋体" w:cs="宋体" w:eastAsia="宋体" w:hint="default"/>
                <w:sz w:val="21"/>
                <w:szCs w:val="21"/>
              </w:rPr>
              <w:t> </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40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分保费用</w:t>
            </w:r>
            <w:r>
              <w:rPr>
                <w:rFonts w:ascii="宋体" w:hAnsi="宋体" w:cs="宋体" w:eastAsia="宋体" w:hint="default"/>
                <w:sz w:val="21"/>
                <w:szCs w:val="21"/>
              </w:rPr>
              <w:t> </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40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1" w:right="0"/>
              <w:jc w:val="left"/>
              <w:rPr>
                <w:rFonts w:ascii="宋体" w:hAnsi="宋体" w:cs="宋体" w:eastAsia="宋体" w:hint="default"/>
                <w:sz w:val="21"/>
                <w:szCs w:val="21"/>
              </w:rPr>
            </w:pPr>
            <w:r>
              <w:rPr>
                <w:rFonts w:ascii="宋体" w:hAnsi="宋体" w:cs="宋体" w:eastAsia="宋体" w:hint="default"/>
                <w:sz w:val="21"/>
                <w:szCs w:val="21"/>
              </w:rPr>
              <w:t>税金及附加</w:t>
            </w:r>
            <w:r>
              <w:rPr>
                <w:rFonts w:ascii="宋体" w:hAnsi="宋体" w:cs="宋体" w:eastAsia="宋体" w:hint="default"/>
                <w:sz w:val="21"/>
                <w:szCs w:val="21"/>
              </w:rPr>
              <w:t> </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60 </w:t>
            </w:r>
          </w:p>
        </w:tc>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right"/>
              <w:rPr>
                <w:rFonts w:ascii="宋体" w:hAnsi="宋体" w:cs="宋体" w:eastAsia="宋体" w:hint="default"/>
                <w:sz w:val="21"/>
                <w:szCs w:val="21"/>
              </w:rPr>
            </w:pPr>
            <w:r>
              <w:rPr>
                <w:rFonts w:ascii="宋体"/>
                <w:spacing w:val="-1"/>
                <w:sz w:val="21"/>
              </w:rPr>
              <w:t>20,094,100.66</w:t>
            </w:r>
            <w:r>
              <w:rPr>
                <w:rFonts w:ascii="宋体"/>
                <w:sz w:val="21"/>
              </w:rPr>
              <w:t> </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26,576,049.20</w:t>
            </w:r>
            <w:r>
              <w:rPr>
                <w:rFonts w:ascii="宋体"/>
                <w:sz w:val="21"/>
              </w:rPr>
              <w:t> </w:t>
            </w:r>
          </w:p>
        </w:tc>
      </w:tr>
      <w:tr>
        <w:trPr>
          <w:trHeight w:val="283" w:hRule="exact"/>
        </w:trPr>
        <w:tc>
          <w:tcPr>
            <w:tcW w:w="40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销售费用</w:t>
            </w:r>
            <w:r>
              <w:rPr>
                <w:rFonts w:ascii="宋体" w:hAnsi="宋体" w:cs="宋体" w:eastAsia="宋体" w:hint="default"/>
                <w:sz w:val="21"/>
                <w:szCs w:val="21"/>
              </w:rPr>
              <w:t> </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61 </w:t>
            </w:r>
          </w:p>
        </w:tc>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156,872,233.79</w:t>
            </w:r>
            <w:r>
              <w:rPr>
                <w:rFonts w:ascii="宋体"/>
                <w:sz w:val="21"/>
              </w:rPr>
              <w:t> </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131,967,529.98</w:t>
            </w:r>
            <w:r>
              <w:rPr>
                <w:rFonts w:ascii="宋体"/>
                <w:sz w:val="21"/>
              </w:rPr>
              <w:t> </w:t>
            </w:r>
          </w:p>
        </w:tc>
      </w:tr>
      <w:tr>
        <w:trPr>
          <w:trHeight w:val="281" w:hRule="exact"/>
        </w:trPr>
        <w:tc>
          <w:tcPr>
            <w:tcW w:w="40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管理费用</w:t>
            </w:r>
            <w:r>
              <w:rPr>
                <w:rFonts w:ascii="宋体" w:hAnsi="宋体" w:cs="宋体" w:eastAsia="宋体" w:hint="default"/>
                <w:sz w:val="21"/>
                <w:szCs w:val="21"/>
              </w:rPr>
              <w:t> </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62 </w:t>
            </w:r>
          </w:p>
        </w:tc>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232,581,571.48</w:t>
            </w:r>
            <w:r>
              <w:rPr>
                <w:rFonts w:ascii="宋体"/>
                <w:sz w:val="21"/>
              </w:rPr>
              <w:t> </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219,769,164.04</w:t>
            </w:r>
            <w:r>
              <w:rPr>
                <w:rFonts w:ascii="宋体"/>
                <w:sz w:val="21"/>
              </w:rPr>
              <w:t> </w:t>
            </w:r>
          </w:p>
        </w:tc>
      </w:tr>
      <w:tr>
        <w:trPr>
          <w:trHeight w:val="283" w:hRule="exact"/>
        </w:trPr>
        <w:tc>
          <w:tcPr>
            <w:tcW w:w="40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1" w:right="0"/>
              <w:jc w:val="left"/>
              <w:rPr>
                <w:rFonts w:ascii="宋体" w:hAnsi="宋体" w:cs="宋体" w:eastAsia="宋体" w:hint="default"/>
                <w:sz w:val="21"/>
                <w:szCs w:val="21"/>
              </w:rPr>
            </w:pPr>
            <w:r>
              <w:rPr>
                <w:rFonts w:ascii="宋体" w:hAnsi="宋体" w:cs="宋体" w:eastAsia="宋体" w:hint="default"/>
                <w:sz w:val="21"/>
                <w:szCs w:val="21"/>
              </w:rPr>
              <w:t>研发费用</w:t>
            </w:r>
            <w:r>
              <w:rPr>
                <w:rFonts w:ascii="宋体" w:hAnsi="宋体" w:cs="宋体" w:eastAsia="宋体" w:hint="default"/>
                <w:sz w:val="21"/>
                <w:szCs w:val="21"/>
              </w:rPr>
              <w:t> </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63 </w:t>
            </w:r>
          </w:p>
        </w:tc>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right"/>
              <w:rPr>
                <w:rFonts w:ascii="宋体" w:hAnsi="宋体" w:cs="宋体" w:eastAsia="宋体" w:hint="default"/>
                <w:sz w:val="21"/>
                <w:szCs w:val="21"/>
              </w:rPr>
            </w:pPr>
            <w:r>
              <w:rPr>
                <w:rFonts w:ascii="宋体"/>
                <w:spacing w:val="-1"/>
                <w:sz w:val="21"/>
              </w:rPr>
              <w:t>138,561,387.70</w:t>
            </w:r>
            <w:r>
              <w:rPr>
                <w:rFonts w:ascii="宋体"/>
                <w:sz w:val="21"/>
              </w:rPr>
              <w:t> </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147,563,320.87</w:t>
            </w:r>
            <w:r>
              <w:rPr>
                <w:rFonts w:ascii="宋体"/>
                <w:sz w:val="21"/>
              </w:rPr>
              <w:t> </w:t>
            </w:r>
          </w:p>
        </w:tc>
      </w:tr>
      <w:tr>
        <w:trPr>
          <w:trHeight w:val="283" w:hRule="exact"/>
        </w:trPr>
        <w:tc>
          <w:tcPr>
            <w:tcW w:w="40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财务费用</w:t>
            </w:r>
            <w:r>
              <w:rPr>
                <w:rFonts w:ascii="宋体" w:hAnsi="宋体" w:cs="宋体" w:eastAsia="宋体" w:hint="default"/>
                <w:sz w:val="21"/>
                <w:szCs w:val="21"/>
              </w:rPr>
              <w:t> </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64 </w:t>
            </w:r>
          </w:p>
        </w:tc>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268,679,443.97</w:t>
            </w:r>
            <w:r>
              <w:rPr>
                <w:rFonts w:ascii="宋体"/>
                <w:sz w:val="21"/>
              </w:rPr>
              <w:t> </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231,245,076.56</w:t>
            </w:r>
            <w:r>
              <w:rPr>
                <w:rFonts w:ascii="宋体"/>
                <w:sz w:val="21"/>
              </w:rPr>
              <w:t> </w:t>
            </w:r>
          </w:p>
        </w:tc>
      </w:tr>
      <w:tr>
        <w:trPr>
          <w:trHeight w:val="281" w:hRule="exact"/>
        </w:trPr>
        <w:tc>
          <w:tcPr>
            <w:tcW w:w="40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其中：利息费用</w:t>
            </w:r>
            <w:r>
              <w:rPr>
                <w:rFonts w:ascii="宋体" w:hAnsi="宋体" w:cs="宋体" w:eastAsia="宋体" w:hint="default"/>
                <w:sz w:val="21"/>
                <w:szCs w:val="21"/>
              </w:rPr>
              <w:t> </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294,810,489.69</w:t>
            </w:r>
            <w:r>
              <w:rPr>
                <w:rFonts w:ascii="宋体"/>
                <w:sz w:val="21"/>
              </w:rPr>
              <w:t> </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268,235,455.34</w:t>
            </w:r>
            <w:r>
              <w:rPr>
                <w:rFonts w:ascii="宋体"/>
                <w:sz w:val="21"/>
              </w:rPr>
              <w:t> </w:t>
            </w:r>
          </w:p>
        </w:tc>
      </w:tr>
      <w:tr>
        <w:trPr>
          <w:trHeight w:val="283" w:hRule="exact"/>
        </w:trPr>
        <w:tc>
          <w:tcPr>
            <w:tcW w:w="40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61"/>
              <w:jc w:val="center"/>
              <w:rPr>
                <w:rFonts w:ascii="宋体" w:hAnsi="宋体" w:cs="宋体" w:eastAsia="宋体" w:hint="default"/>
                <w:sz w:val="21"/>
                <w:szCs w:val="21"/>
              </w:rPr>
            </w:pPr>
            <w:r>
              <w:rPr>
                <w:rFonts w:ascii="宋体" w:hAnsi="宋体" w:cs="宋体" w:eastAsia="宋体" w:hint="default"/>
                <w:sz w:val="21"/>
                <w:szCs w:val="21"/>
              </w:rPr>
              <w:t>利息收入</w:t>
            </w:r>
            <w:r>
              <w:rPr>
                <w:rFonts w:ascii="宋体" w:hAnsi="宋体" w:cs="宋体" w:eastAsia="宋体" w:hint="default"/>
                <w:sz w:val="21"/>
                <w:szCs w:val="21"/>
              </w:rPr>
              <w:t> </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right"/>
              <w:rPr>
                <w:rFonts w:ascii="宋体" w:hAnsi="宋体" w:cs="宋体" w:eastAsia="宋体" w:hint="default"/>
                <w:sz w:val="21"/>
                <w:szCs w:val="21"/>
              </w:rPr>
            </w:pPr>
            <w:r>
              <w:rPr>
                <w:rFonts w:ascii="宋体"/>
                <w:spacing w:val="-1"/>
                <w:sz w:val="21"/>
              </w:rPr>
              <w:t>17,564,398.65</w:t>
            </w:r>
            <w:r>
              <w:rPr>
                <w:rFonts w:ascii="宋体"/>
                <w:sz w:val="21"/>
              </w:rPr>
              <w:t> </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22,220,877.01</w:t>
            </w:r>
            <w:r>
              <w:rPr>
                <w:rFonts w:ascii="宋体"/>
                <w:sz w:val="21"/>
              </w:rPr>
              <w:t> </w:t>
            </w:r>
          </w:p>
        </w:tc>
      </w:tr>
      <w:tr>
        <w:trPr>
          <w:trHeight w:val="284" w:hRule="exact"/>
        </w:trPr>
        <w:tc>
          <w:tcPr>
            <w:tcW w:w="40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加：其他收益</w:t>
            </w:r>
            <w:r>
              <w:rPr>
                <w:rFonts w:ascii="宋体" w:hAnsi="宋体" w:cs="宋体" w:eastAsia="宋体" w:hint="default"/>
                <w:sz w:val="21"/>
                <w:szCs w:val="21"/>
              </w:rPr>
              <w:t> </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65 </w:t>
            </w:r>
          </w:p>
        </w:tc>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33,839,883.40</w:t>
            </w:r>
            <w:r>
              <w:rPr>
                <w:rFonts w:ascii="宋体"/>
                <w:sz w:val="21"/>
              </w:rPr>
              <w:t> </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11,939,155.76</w:t>
            </w:r>
            <w:r>
              <w:rPr>
                <w:rFonts w:ascii="宋体"/>
                <w:sz w:val="21"/>
              </w:rPr>
              <w:t> </w:t>
            </w:r>
          </w:p>
        </w:tc>
      </w:tr>
      <w:tr>
        <w:trPr>
          <w:trHeight w:val="281" w:hRule="exact"/>
        </w:trPr>
        <w:tc>
          <w:tcPr>
            <w:tcW w:w="40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8"/>
              <w:jc w:val="right"/>
              <w:rPr>
                <w:rFonts w:ascii="宋体" w:hAnsi="宋体" w:cs="宋体" w:eastAsia="宋体" w:hint="default"/>
                <w:sz w:val="21"/>
                <w:szCs w:val="21"/>
              </w:rPr>
            </w:pPr>
            <w:r>
              <w:rPr>
                <w:rFonts w:ascii="宋体" w:hAnsi="宋体" w:cs="宋体" w:eastAsia="宋体" w:hint="default"/>
                <w:spacing w:val="-2"/>
                <w:sz w:val="21"/>
                <w:szCs w:val="21"/>
              </w:rPr>
              <w:t>投资收益（损失以“－”号填列）</w:t>
            </w:r>
            <w:r>
              <w:rPr>
                <w:rFonts w:ascii="宋体" w:hAnsi="宋体" w:cs="宋体" w:eastAsia="宋体" w:hint="default"/>
                <w:sz w:val="21"/>
                <w:szCs w:val="21"/>
              </w:rPr>
              <w:t> </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66 </w:t>
            </w:r>
          </w:p>
        </w:tc>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81,114,579.38</w:t>
            </w:r>
            <w:r>
              <w:rPr>
                <w:rFonts w:ascii="宋体"/>
                <w:sz w:val="21"/>
              </w:rPr>
              <w:t> </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55,804,527.35</w:t>
            </w:r>
            <w:r>
              <w:rPr>
                <w:rFonts w:ascii="宋体"/>
                <w:sz w:val="21"/>
              </w:rPr>
              <w:t> </w:t>
            </w:r>
          </w:p>
        </w:tc>
      </w:tr>
      <w:tr>
        <w:trPr>
          <w:trHeight w:val="554" w:hRule="exact"/>
        </w:trPr>
        <w:tc>
          <w:tcPr>
            <w:tcW w:w="40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1" w:right="0"/>
              <w:jc w:val="left"/>
              <w:rPr>
                <w:rFonts w:ascii="宋体" w:hAnsi="宋体" w:cs="宋体" w:eastAsia="宋体" w:hint="default"/>
                <w:sz w:val="21"/>
                <w:szCs w:val="21"/>
              </w:rPr>
            </w:pPr>
            <w:r>
              <w:rPr>
                <w:rFonts w:ascii="宋体" w:hAnsi="宋体" w:cs="宋体" w:eastAsia="宋体" w:hint="default"/>
                <w:sz w:val="21"/>
                <w:szCs w:val="21"/>
              </w:rPr>
              <w:t>其中：对联营企业和合营企业的投</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资收益</w:t>
            </w:r>
            <w:r>
              <w:rPr>
                <w:rFonts w:ascii="宋体" w:hAnsi="宋体" w:cs="宋体" w:eastAsia="宋体" w:hint="default"/>
                <w:sz w:val="21"/>
                <w:szCs w:val="21"/>
              </w:rPr>
              <w:t> </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w w:val="100"/>
                <w:sz w:val="21"/>
              </w:rPr>
              <w:t> </w:t>
            </w:r>
          </w:p>
        </w:tc>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right"/>
              <w:rPr>
                <w:rFonts w:ascii="宋体" w:hAnsi="宋体" w:cs="宋体" w:eastAsia="宋体" w:hint="default"/>
                <w:sz w:val="21"/>
                <w:szCs w:val="21"/>
              </w:rPr>
            </w:pPr>
            <w:r>
              <w:rPr>
                <w:rFonts w:ascii="宋体"/>
                <w:spacing w:val="-1"/>
                <w:sz w:val="21"/>
              </w:rPr>
              <w:t>-2,237,313.08</w:t>
            </w:r>
            <w:r>
              <w:rPr>
                <w:rFonts w:ascii="宋体"/>
                <w:sz w:val="21"/>
              </w:rPr>
              <w:t> </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1,275,289.40</w:t>
            </w:r>
            <w:r>
              <w:rPr>
                <w:rFonts w:ascii="宋体"/>
                <w:sz w:val="21"/>
              </w:rPr>
              <w:t> </w:t>
            </w:r>
          </w:p>
        </w:tc>
      </w:tr>
      <w:tr>
        <w:trPr>
          <w:trHeight w:val="557" w:hRule="exact"/>
        </w:trPr>
        <w:tc>
          <w:tcPr>
            <w:tcW w:w="40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55" w:right="0"/>
              <w:jc w:val="left"/>
              <w:rPr>
                <w:rFonts w:ascii="宋体" w:hAnsi="宋体" w:cs="宋体" w:eastAsia="宋体" w:hint="default"/>
                <w:sz w:val="21"/>
                <w:szCs w:val="21"/>
              </w:rPr>
            </w:pPr>
            <w:r>
              <w:rPr>
                <w:rFonts w:ascii="宋体" w:hAnsi="宋体" w:cs="宋体" w:eastAsia="宋体" w:hint="default"/>
                <w:sz w:val="21"/>
                <w:szCs w:val="21"/>
              </w:rPr>
              <w:t>以摊余成本计量的金融资产</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终止确认收益</w:t>
            </w:r>
            <w:r>
              <w:rPr>
                <w:rFonts w:ascii="宋体" w:hAnsi="宋体" w:cs="宋体" w:eastAsia="宋体" w:hint="default"/>
                <w:sz w:val="21"/>
                <w:szCs w:val="21"/>
              </w:rPr>
              <w:t> </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w w:val="100"/>
                <w:sz w:val="21"/>
              </w:rPr>
              <w:t> </w:t>
            </w:r>
          </w:p>
        </w:tc>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right"/>
              <w:rPr>
                <w:rFonts w:ascii="宋体" w:hAnsi="宋体" w:cs="宋体" w:eastAsia="宋体" w:hint="default"/>
                <w:sz w:val="21"/>
                <w:szCs w:val="21"/>
              </w:rPr>
            </w:pPr>
            <w:r>
              <w:rPr>
                <w:rFonts w:ascii="宋体"/>
                <w:w w:val="100"/>
                <w:sz w:val="21"/>
              </w:rPr>
              <w:t> </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r>
      <w:tr>
        <w:trPr>
          <w:trHeight w:val="281" w:hRule="exact"/>
        </w:trPr>
        <w:tc>
          <w:tcPr>
            <w:tcW w:w="40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8"/>
              <w:jc w:val="right"/>
              <w:rPr>
                <w:rFonts w:ascii="宋体" w:hAnsi="宋体" w:cs="宋体" w:eastAsia="宋体" w:hint="default"/>
                <w:sz w:val="21"/>
                <w:szCs w:val="21"/>
              </w:rPr>
            </w:pPr>
            <w:r>
              <w:rPr>
                <w:rFonts w:ascii="宋体" w:hAnsi="宋体" w:cs="宋体" w:eastAsia="宋体" w:hint="default"/>
                <w:spacing w:val="-2"/>
                <w:sz w:val="21"/>
                <w:szCs w:val="21"/>
              </w:rPr>
              <w:t>汇兑收益（损失以“－”号填列）</w:t>
            </w:r>
            <w:r>
              <w:rPr>
                <w:rFonts w:ascii="宋体" w:hAnsi="宋体" w:cs="宋体" w:eastAsia="宋体" w:hint="default"/>
                <w:sz w:val="21"/>
                <w:szCs w:val="21"/>
              </w:rPr>
              <w:t> </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40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1" w:right="0"/>
              <w:jc w:val="left"/>
              <w:rPr>
                <w:rFonts w:ascii="宋体" w:hAnsi="宋体" w:cs="宋体" w:eastAsia="宋体" w:hint="default"/>
                <w:sz w:val="21"/>
                <w:szCs w:val="21"/>
              </w:rPr>
            </w:pPr>
            <w:r>
              <w:rPr>
                <w:rFonts w:ascii="宋体" w:hAnsi="宋体" w:cs="宋体" w:eastAsia="宋体" w:hint="default"/>
                <w:spacing w:val="-6"/>
                <w:sz w:val="21"/>
                <w:szCs w:val="21"/>
              </w:rPr>
              <w:t>净敞口套期收益（损失以“</w:t>
            </w:r>
            <w:r>
              <w:rPr>
                <w:rFonts w:ascii="宋体" w:hAnsi="宋体" w:cs="宋体" w:eastAsia="宋体" w:hint="default"/>
                <w:spacing w:val="-6"/>
                <w:sz w:val="21"/>
                <w:szCs w:val="21"/>
              </w:rPr>
              <w:t>-</w:t>
            </w:r>
            <w:r>
              <w:rPr>
                <w:rFonts w:ascii="宋体" w:hAnsi="宋体" w:cs="宋体" w:eastAsia="宋体" w:hint="default"/>
                <w:spacing w:val="-6"/>
                <w:sz w:val="21"/>
                <w:szCs w:val="21"/>
              </w:rPr>
              <w:t>”号填</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列）</w:t>
            </w:r>
            <w:r>
              <w:rPr>
                <w:rFonts w:ascii="宋体" w:hAnsi="宋体" w:cs="宋体" w:eastAsia="宋体" w:hint="default"/>
                <w:sz w:val="21"/>
                <w:szCs w:val="21"/>
              </w:rPr>
              <w:t> </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w w:val="100"/>
                <w:sz w:val="21"/>
              </w:rPr>
              <w:t> </w:t>
            </w:r>
          </w:p>
        </w:tc>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right"/>
              <w:rPr>
                <w:rFonts w:ascii="宋体" w:hAnsi="宋体" w:cs="宋体" w:eastAsia="宋体" w:hint="default"/>
                <w:sz w:val="21"/>
                <w:szCs w:val="21"/>
              </w:rPr>
            </w:pPr>
            <w:r>
              <w:rPr>
                <w:rFonts w:ascii="宋体"/>
                <w:w w:val="100"/>
                <w:sz w:val="21"/>
              </w:rPr>
              <w:t> </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r>
      <w:tr>
        <w:trPr>
          <w:trHeight w:val="554" w:hRule="exact"/>
        </w:trPr>
        <w:tc>
          <w:tcPr>
            <w:tcW w:w="40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1" w:right="0"/>
              <w:jc w:val="left"/>
              <w:rPr>
                <w:rFonts w:ascii="宋体" w:hAnsi="宋体" w:cs="宋体" w:eastAsia="宋体" w:hint="default"/>
                <w:sz w:val="21"/>
                <w:szCs w:val="21"/>
              </w:rPr>
            </w:pPr>
            <w:r>
              <w:rPr>
                <w:rFonts w:ascii="宋体" w:hAnsi="宋体" w:cs="宋体" w:eastAsia="宋体" w:hint="default"/>
                <w:sz w:val="21"/>
                <w:szCs w:val="21"/>
              </w:rPr>
              <w:t>公允价值变动收益（损失以“－”</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号填列）</w:t>
            </w:r>
            <w:r>
              <w:rPr>
                <w:rFonts w:ascii="宋体" w:hAnsi="宋体" w:cs="宋体" w:eastAsia="宋体" w:hint="default"/>
                <w:sz w:val="21"/>
                <w:szCs w:val="21"/>
              </w:rPr>
              <w:t> </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w w:val="100"/>
                <w:sz w:val="21"/>
              </w:rPr>
              <w:t> </w:t>
            </w:r>
          </w:p>
        </w:tc>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right"/>
              <w:rPr>
                <w:rFonts w:ascii="宋体" w:hAnsi="宋体" w:cs="宋体" w:eastAsia="宋体" w:hint="default"/>
                <w:sz w:val="21"/>
                <w:szCs w:val="21"/>
              </w:rPr>
            </w:pPr>
            <w:r>
              <w:rPr>
                <w:rFonts w:ascii="宋体"/>
                <w:w w:val="100"/>
                <w:sz w:val="21"/>
              </w:rPr>
              <w:t> </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r>
      <w:tr>
        <w:trPr>
          <w:trHeight w:val="283" w:hRule="exact"/>
        </w:trPr>
        <w:tc>
          <w:tcPr>
            <w:tcW w:w="40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hAnsi="宋体" w:cs="宋体" w:eastAsia="宋体" w:hint="default"/>
                <w:w w:val="100"/>
                <w:sz w:val="21"/>
                <w:szCs w:val="21"/>
              </w:rPr>
              <w:t>信用</w:t>
            </w:r>
            <w:r>
              <w:rPr>
                <w:rFonts w:ascii="宋体" w:hAnsi="宋体" w:cs="宋体" w:eastAsia="宋体" w:hint="default"/>
                <w:spacing w:val="-3"/>
                <w:w w:val="100"/>
                <w:sz w:val="21"/>
                <w:szCs w:val="21"/>
              </w:rPr>
              <w:t>减</w:t>
            </w:r>
            <w:r>
              <w:rPr>
                <w:rFonts w:ascii="宋体" w:hAnsi="宋体" w:cs="宋体" w:eastAsia="宋体" w:hint="default"/>
                <w:w w:val="100"/>
                <w:sz w:val="21"/>
                <w:szCs w:val="21"/>
              </w:rPr>
              <w:t>值</w:t>
            </w:r>
            <w:r>
              <w:rPr>
                <w:rFonts w:ascii="宋体" w:hAnsi="宋体" w:cs="宋体" w:eastAsia="宋体" w:hint="default"/>
                <w:spacing w:val="-3"/>
                <w:w w:val="100"/>
                <w:sz w:val="21"/>
                <w:szCs w:val="21"/>
              </w:rPr>
              <w:t>损</w:t>
            </w:r>
            <w:r>
              <w:rPr>
                <w:rFonts w:ascii="宋体" w:hAnsi="宋体" w:cs="宋体" w:eastAsia="宋体" w:hint="default"/>
                <w:spacing w:val="-85"/>
                <w:w w:val="100"/>
                <w:sz w:val="21"/>
                <w:szCs w:val="21"/>
              </w:rPr>
              <w:t>失</w:t>
            </w:r>
            <w:r>
              <w:rPr>
                <w:rFonts w:ascii="宋体" w:hAnsi="宋体" w:cs="宋体" w:eastAsia="宋体" w:hint="default"/>
                <w:spacing w:val="-3"/>
                <w:w w:val="100"/>
                <w:sz w:val="21"/>
                <w:szCs w:val="21"/>
              </w:rPr>
              <w:t>（</w:t>
            </w:r>
            <w:r>
              <w:rPr>
                <w:rFonts w:ascii="宋体" w:hAnsi="宋体" w:cs="宋体" w:eastAsia="宋体" w:hint="default"/>
                <w:w w:val="100"/>
                <w:sz w:val="21"/>
                <w:szCs w:val="21"/>
              </w:rPr>
              <w:t>损</w:t>
            </w:r>
            <w:r>
              <w:rPr>
                <w:rFonts w:ascii="宋体" w:hAnsi="宋体" w:cs="宋体" w:eastAsia="宋体" w:hint="default"/>
                <w:spacing w:val="-3"/>
                <w:w w:val="100"/>
                <w:sz w:val="21"/>
                <w:szCs w:val="21"/>
              </w:rPr>
              <w:t>失</w:t>
            </w:r>
            <w:r>
              <w:rPr>
                <w:rFonts w:ascii="宋体" w:hAnsi="宋体" w:cs="宋体" w:eastAsia="宋体" w:hint="default"/>
                <w:spacing w:val="-85"/>
                <w:w w:val="100"/>
                <w:sz w:val="21"/>
                <w:szCs w:val="21"/>
              </w:rPr>
              <w:t>以</w:t>
            </w:r>
            <w:r>
              <w:rPr>
                <w:rFonts w:ascii="宋体" w:hAnsi="宋体" w:cs="宋体" w:eastAsia="宋体" w:hint="default"/>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”号</w:t>
            </w:r>
            <w:r>
              <w:rPr>
                <w:rFonts w:ascii="宋体" w:hAnsi="宋体" w:cs="宋体" w:eastAsia="宋体" w:hint="default"/>
                <w:spacing w:val="-3"/>
                <w:w w:val="100"/>
                <w:sz w:val="21"/>
                <w:szCs w:val="21"/>
              </w:rPr>
              <w:t>填列</w:t>
            </w:r>
            <w:r>
              <w:rPr>
                <w:rFonts w:ascii="宋体" w:hAnsi="宋体" w:cs="宋体" w:eastAsia="宋体" w:hint="default"/>
                <w:spacing w:val="-109"/>
                <w:w w:val="100"/>
                <w:sz w:val="21"/>
                <w:szCs w:val="21"/>
              </w:rPr>
              <w:t>）</w:t>
            </w:r>
            <w:r>
              <w:rPr>
                <w:rFonts w:ascii="宋体" w:hAnsi="宋体" w:cs="宋体" w:eastAsia="宋体" w:hint="default"/>
                <w:w w:val="100"/>
                <w:sz w:val="21"/>
                <w:szCs w:val="21"/>
              </w:rPr>
              <w:t> </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69 </w:t>
            </w:r>
          </w:p>
        </w:tc>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right"/>
              <w:rPr>
                <w:rFonts w:ascii="宋体" w:hAnsi="宋体" w:cs="宋体" w:eastAsia="宋体" w:hint="default"/>
                <w:sz w:val="21"/>
                <w:szCs w:val="21"/>
              </w:rPr>
            </w:pPr>
            <w:r>
              <w:rPr>
                <w:rFonts w:ascii="宋体"/>
                <w:spacing w:val="-1"/>
                <w:sz w:val="21"/>
              </w:rPr>
              <w:t>4,046,747.05</w:t>
            </w:r>
            <w:r>
              <w:rPr>
                <w:rFonts w:ascii="宋体"/>
                <w:sz w:val="21"/>
              </w:rPr>
              <w:t> </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4" w:hRule="exact"/>
        </w:trPr>
        <w:tc>
          <w:tcPr>
            <w:tcW w:w="40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hAnsi="宋体" w:cs="宋体" w:eastAsia="宋体" w:hint="default"/>
                <w:w w:val="100"/>
                <w:sz w:val="21"/>
                <w:szCs w:val="21"/>
              </w:rPr>
              <w:t>资产</w:t>
            </w:r>
            <w:r>
              <w:rPr>
                <w:rFonts w:ascii="宋体" w:hAnsi="宋体" w:cs="宋体" w:eastAsia="宋体" w:hint="default"/>
                <w:spacing w:val="-3"/>
                <w:w w:val="100"/>
                <w:sz w:val="21"/>
                <w:szCs w:val="21"/>
              </w:rPr>
              <w:t>减</w:t>
            </w:r>
            <w:r>
              <w:rPr>
                <w:rFonts w:ascii="宋体" w:hAnsi="宋体" w:cs="宋体" w:eastAsia="宋体" w:hint="default"/>
                <w:w w:val="100"/>
                <w:sz w:val="21"/>
                <w:szCs w:val="21"/>
              </w:rPr>
              <w:t>值</w:t>
            </w:r>
            <w:r>
              <w:rPr>
                <w:rFonts w:ascii="宋体" w:hAnsi="宋体" w:cs="宋体" w:eastAsia="宋体" w:hint="default"/>
                <w:spacing w:val="-3"/>
                <w:w w:val="100"/>
                <w:sz w:val="21"/>
                <w:szCs w:val="21"/>
              </w:rPr>
              <w:t>损</w:t>
            </w:r>
            <w:r>
              <w:rPr>
                <w:rFonts w:ascii="宋体" w:hAnsi="宋体" w:cs="宋体" w:eastAsia="宋体" w:hint="default"/>
                <w:spacing w:val="-85"/>
                <w:w w:val="100"/>
                <w:sz w:val="21"/>
                <w:szCs w:val="21"/>
              </w:rPr>
              <w:t>失</w:t>
            </w:r>
            <w:r>
              <w:rPr>
                <w:rFonts w:ascii="宋体" w:hAnsi="宋体" w:cs="宋体" w:eastAsia="宋体" w:hint="default"/>
                <w:spacing w:val="-3"/>
                <w:w w:val="100"/>
                <w:sz w:val="21"/>
                <w:szCs w:val="21"/>
              </w:rPr>
              <w:t>（</w:t>
            </w:r>
            <w:r>
              <w:rPr>
                <w:rFonts w:ascii="宋体" w:hAnsi="宋体" w:cs="宋体" w:eastAsia="宋体" w:hint="default"/>
                <w:w w:val="100"/>
                <w:sz w:val="21"/>
                <w:szCs w:val="21"/>
              </w:rPr>
              <w:t>损</w:t>
            </w:r>
            <w:r>
              <w:rPr>
                <w:rFonts w:ascii="宋体" w:hAnsi="宋体" w:cs="宋体" w:eastAsia="宋体" w:hint="default"/>
                <w:spacing w:val="-3"/>
                <w:w w:val="100"/>
                <w:sz w:val="21"/>
                <w:szCs w:val="21"/>
              </w:rPr>
              <w:t>失</w:t>
            </w:r>
            <w:r>
              <w:rPr>
                <w:rFonts w:ascii="宋体" w:hAnsi="宋体" w:cs="宋体" w:eastAsia="宋体" w:hint="default"/>
                <w:spacing w:val="-85"/>
                <w:w w:val="100"/>
                <w:sz w:val="21"/>
                <w:szCs w:val="21"/>
              </w:rPr>
              <w:t>以</w:t>
            </w:r>
            <w:r>
              <w:rPr>
                <w:rFonts w:ascii="宋体" w:hAnsi="宋体" w:cs="宋体" w:eastAsia="宋体" w:hint="default"/>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”号</w:t>
            </w:r>
            <w:r>
              <w:rPr>
                <w:rFonts w:ascii="宋体" w:hAnsi="宋体" w:cs="宋体" w:eastAsia="宋体" w:hint="default"/>
                <w:spacing w:val="-3"/>
                <w:w w:val="100"/>
                <w:sz w:val="21"/>
                <w:szCs w:val="21"/>
              </w:rPr>
              <w:t>填列</w:t>
            </w:r>
            <w:r>
              <w:rPr>
                <w:rFonts w:ascii="宋体" w:hAnsi="宋体" w:cs="宋体" w:eastAsia="宋体" w:hint="default"/>
                <w:spacing w:val="-109"/>
                <w:w w:val="100"/>
                <w:sz w:val="21"/>
                <w:szCs w:val="21"/>
              </w:rPr>
              <w:t>）</w:t>
            </w:r>
            <w:r>
              <w:rPr>
                <w:rFonts w:ascii="宋体" w:hAnsi="宋体" w:cs="宋体" w:eastAsia="宋体" w:hint="default"/>
                <w:w w:val="100"/>
                <w:sz w:val="21"/>
                <w:szCs w:val="21"/>
              </w:rPr>
              <w:t> </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70 </w:t>
            </w:r>
          </w:p>
        </w:tc>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-4,098,019.48</w:t>
            </w:r>
            <w:r>
              <w:rPr>
                <w:rFonts w:ascii="宋体"/>
                <w:sz w:val="21"/>
              </w:rPr>
              <w:t> </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-13,623,504.45</w:t>
            </w:r>
            <w:r>
              <w:rPr>
                <w:rFonts w:ascii="宋体"/>
                <w:sz w:val="21"/>
              </w:rPr>
              <w:t> </w:t>
            </w:r>
          </w:p>
        </w:tc>
      </w:tr>
      <w:tr>
        <w:trPr>
          <w:trHeight w:val="555" w:hRule="exact"/>
        </w:trPr>
        <w:tc>
          <w:tcPr>
            <w:tcW w:w="404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731" w:right="0"/>
              <w:jc w:val="left"/>
              <w:rPr>
                <w:rFonts w:ascii="宋体" w:hAnsi="宋体" w:cs="宋体" w:eastAsia="宋体" w:hint="default"/>
                <w:sz w:val="21"/>
                <w:szCs w:val="21"/>
              </w:rPr>
            </w:pPr>
            <w:r>
              <w:rPr>
                <w:rFonts w:ascii="宋体" w:hAnsi="宋体" w:cs="宋体" w:eastAsia="宋体" w:hint="default"/>
                <w:sz w:val="21"/>
                <w:szCs w:val="21"/>
              </w:rPr>
              <w:t>资产处置收益（损失以“－”号填</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列）</w:t>
            </w:r>
            <w:r>
              <w:rPr>
                <w:rFonts w:ascii="宋体" w:hAnsi="宋体" w:cs="宋体" w:eastAsia="宋体" w:hint="default"/>
                <w:sz w:val="21"/>
                <w:szCs w:val="21"/>
              </w:rPr>
              <w:t> </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71 </w:t>
            </w:r>
          </w:p>
        </w:tc>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right"/>
              <w:rPr>
                <w:rFonts w:ascii="宋体" w:hAnsi="宋体" w:cs="宋体" w:eastAsia="宋体" w:hint="default"/>
                <w:sz w:val="21"/>
                <w:szCs w:val="21"/>
              </w:rPr>
            </w:pPr>
            <w:r>
              <w:rPr>
                <w:rFonts w:ascii="宋体"/>
                <w:spacing w:val="-1"/>
                <w:sz w:val="21"/>
              </w:rPr>
              <w:t>-17,846,496.98</w:t>
            </w:r>
            <w:r>
              <w:rPr>
                <w:rFonts w:ascii="宋体"/>
                <w:sz w:val="21"/>
              </w:rPr>
              <w:t> </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-651,082.13</w:t>
            </w:r>
            <w:r>
              <w:rPr>
                <w:rFonts w:ascii="宋体"/>
                <w:sz w:val="21"/>
              </w:rPr>
              <w:t> </w:t>
            </w:r>
          </w:p>
        </w:tc>
      </w:tr>
      <w:tr>
        <w:trPr>
          <w:trHeight w:val="281" w:hRule="exact"/>
        </w:trPr>
        <w:tc>
          <w:tcPr>
            <w:tcW w:w="40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三、营业利润（亏损以“－”号填列）</w:t>
            </w:r>
            <w:r>
              <w:rPr>
                <w:rFonts w:ascii="宋体" w:hAnsi="宋体" w:cs="宋体" w:eastAsia="宋体" w:hint="default"/>
                <w:sz w:val="21"/>
                <w:szCs w:val="21"/>
              </w:rPr>
              <w:t> </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798,301,563.32</w:t>
            </w:r>
            <w:r>
              <w:rPr>
                <w:rFonts w:ascii="宋体"/>
                <w:sz w:val="21"/>
              </w:rPr>
              <w:t> </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815,564,774.09</w:t>
            </w:r>
            <w:r>
              <w:rPr>
                <w:rFonts w:ascii="宋体"/>
                <w:sz w:val="21"/>
              </w:rPr>
              <w:t> </w:t>
            </w:r>
          </w:p>
        </w:tc>
      </w:tr>
      <w:tr>
        <w:trPr>
          <w:trHeight w:val="283" w:hRule="exact"/>
        </w:trPr>
        <w:tc>
          <w:tcPr>
            <w:tcW w:w="40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加：营业外收入</w:t>
            </w:r>
            <w:r>
              <w:rPr>
                <w:rFonts w:ascii="宋体" w:hAnsi="宋体" w:cs="宋体" w:eastAsia="宋体" w:hint="default"/>
                <w:sz w:val="21"/>
                <w:szCs w:val="21"/>
              </w:rPr>
              <w:t> </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72 </w:t>
            </w:r>
          </w:p>
        </w:tc>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right"/>
              <w:rPr>
                <w:rFonts w:ascii="宋体" w:hAnsi="宋体" w:cs="宋体" w:eastAsia="宋体" w:hint="default"/>
                <w:sz w:val="21"/>
                <w:szCs w:val="21"/>
              </w:rPr>
            </w:pPr>
            <w:r>
              <w:rPr>
                <w:rFonts w:ascii="宋体"/>
                <w:spacing w:val="-1"/>
                <w:sz w:val="21"/>
              </w:rPr>
              <w:t>4,422,980.41</w:t>
            </w:r>
            <w:r>
              <w:rPr>
                <w:rFonts w:ascii="宋体"/>
                <w:sz w:val="21"/>
              </w:rPr>
              <w:t> </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27,350,591.04</w:t>
            </w:r>
            <w:r>
              <w:rPr>
                <w:rFonts w:ascii="宋体"/>
                <w:sz w:val="21"/>
              </w:rPr>
              <w:t> </w:t>
            </w:r>
          </w:p>
        </w:tc>
      </w:tr>
      <w:tr>
        <w:trPr>
          <w:trHeight w:val="283" w:hRule="exact"/>
        </w:trPr>
        <w:tc>
          <w:tcPr>
            <w:tcW w:w="40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减：营业外支出</w:t>
            </w:r>
            <w:r>
              <w:rPr>
                <w:rFonts w:ascii="宋体" w:hAnsi="宋体" w:cs="宋体" w:eastAsia="宋体" w:hint="default"/>
                <w:sz w:val="21"/>
                <w:szCs w:val="21"/>
              </w:rPr>
              <w:t> </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73 </w:t>
            </w:r>
          </w:p>
        </w:tc>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23,425,186.40</w:t>
            </w:r>
            <w:r>
              <w:rPr>
                <w:rFonts w:ascii="宋体"/>
                <w:sz w:val="21"/>
              </w:rPr>
              <w:t> </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14,747,191.47</w:t>
            </w:r>
            <w:r>
              <w:rPr>
                <w:rFonts w:ascii="宋体"/>
                <w:sz w:val="21"/>
              </w:rPr>
              <w:t> </w:t>
            </w:r>
          </w:p>
        </w:tc>
      </w:tr>
      <w:tr>
        <w:trPr>
          <w:trHeight w:val="281" w:hRule="exact"/>
        </w:trPr>
        <w:tc>
          <w:tcPr>
            <w:tcW w:w="40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hAnsi="宋体" w:cs="宋体" w:eastAsia="宋体" w:hint="default"/>
                <w:w w:val="100"/>
                <w:sz w:val="21"/>
                <w:szCs w:val="21"/>
              </w:rPr>
              <w:t>四</w:t>
            </w:r>
            <w:r>
              <w:rPr>
                <w:rFonts w:ascii="宋体" w:hAnsi="宋体" w:cs="宋体" w:eastAsia="宋体" w:hint="default"/>
                <w:spacing w:val="-32"/>
                <w:w w:val="100"/>
                <w:sz w:val="21"/>
                <w:szCs w:val="21"/>
              </w:rPr>
              <w:t>、</w:t>
            </w:r>
            <w:r>
              <w:rPr>
                <w:rFonts w:ascii="宋体" w:hAnsi="宋体" w:cs="宋体" w:eastAsia="宋体" w:hint="default"/>
                <w:spacing w:val="-3"/>
                <w:w w:val="100"/>
                <w:sz w:val="21"/>
                <w:szCs w:val="21"/>
              </w:rPr>
              <w:t>利</w:t>
            </w:r>
            <w:r>
              <w:rPr>
                <w:rFonts w:ascii="宋体" w:hAnsi="宋体" w:cs="宋体" w:eastAsia="宋体" w:hint="default"/>
                <w:w w:val="100"/>
                <w:sz w:val="21"/>
                <w:szCs w:val="21"/>
              </w:rPr>
              <w:t>润</w:t>
            </w:r>
            <w:r>
              <w:rPr>
                <w:rFonts w:ascii="宋体" w:hAnsi="宋体" w:cs="宋体" w:eastAsia="宋体" w:hint="default"/>
                <w:spacing w:val="-3"/>
                <w:w w:val="100"/>
                <w:sz w:val="21"/>
                <w:szCs w:val="21"/>
              </w:rPr>
              <w:t>总</w:t>
            </w:r>
            <w:r>
              <w:rPr>
                <w:rFonts w:ascii="宋体" w:hAnsi="宋体" w:cs="宋体" w:eastAsia="宋体" w:hint="default"/>
                <w:spacing w:val="-32"/>
                <w:w w:val="100"/>
                <w:sz w:val="21"/>
                <w:szCs w:val="21"/>
              </w:rPr>
              <w:t>额</w:t>
            </w:r>
            <w:r>
              <w:rPr>
                <w:rFonts w:ascii="宋体" w:hAnsi="宋体" w:cs="宋体" w:eastAsia="宋体" w:hint="default"/>
                <w:w w:val="100"/>
                <w:sz w:val="21"/>
                <w:szCs w:val="21"/>
              </w:rPr>
              <w:t>（</w:t>
            </w:r>
            <w:r>
              <w:rPr>
                <w:rFonts w:ascii="宋体" w:hAnsi="宋体" w:cs="宋体" w:eastAsia="宋体" w:hint="default"/>
                <w:spacing w:val="-3"/>
                <w:w w:val="100"/>
                <w:sz w:val="21"/>
                <w:szCs w:val="21"/>
              </w:rPr>
              <w:t>亏</w:t>
            </w:r>
            <w:r>
              <w:rPr>
                <w:rFonts w:ascii="宋体" w:hAnsi="宋体" w:cs="宋体" w:eastAsia="宋体" w:hint="default"/>
                <w:w w:val="100"/>
                <w:sz w:val="21"/>
                <w:szCs w:val="21"/>
              </w:rPr>
              <w:t>损</w:t>
            </w:r>
            <w:r>
              <w:rPr>
                <w:rFonts w:ascii="宋体" w:hAnsi="宋体" w:cs="宋体" w:eastAsia="宋体" w:hint="default"/>
                <w:spacing w:val="-3"/>
                <w:w w:val="100"/>
                <w:sz w:val="21"/>
                <w:szCs w:val="21"/>
              </w:rPr>
              <w:t>总额</w:t>
            </w:r>
            <w:r>
              <w:rPr>
                <w:rFonts w:ascii="宋体" w:hAnsi="宋体" w:cs="宋体" w:eastAsia="宋体" w:hint="default"/>
                <w:w w:val="100"/>
                <w:sz w:val="21"/>
                <w:szCs w:val="21"/>
              </w:rPr>
              <w:t>以“</w:t>
            </w:r>
            <w:r>
              <w:rPr>
                <w:rFonts w:ascii="宋体" w:hAnsi="宋体" w:cs="宋体" w:eastAsia="宋体" w:hint="default"/>
                <w:spacing w:val="-3"/>
                <w:w w:val="100"/>
                <w:sz w:val="21"/>
                <w:szCs w:val="21"/>
              </w:rPr>
              <w:t>－</w:t>
            </w:r>
            <w:r>
              <w:rPr>
                <w:rFonts w:ascii="宋体" w:hAnsi="宋体" w:cs="宋体" w:eastAsia="宋体" w:hint="default"/>
                <w:w w:val="100"/>
                <w:sz w:val="21"/>
                <w:szCs w:val="21"/>
              </w:rPr>
              <w:t>”</w:t>
            </w:r>
            <w:r>
              <w:rPr>
                <w:rFonts w:ascii="宋体" w:hAnsi="宋体" w:cs="宋体" w:eastAsia="宋体" w:hint="default"/>
                <w:spacing w:val="-3"/>
                <w:w w:val="100"/>
                <w:sz w:val="21"/>
                <w:szCs w:val="21"/>
              </w:rPr>
              <w:t>号</w:t>
            </w:r>
            <w:r>
              <w:rPr>
                <w:rFonts w:ascii="宋体" w:hAnsi="宋体" w:cs="宋体" w:eastAsia="宋体" w:hint="default"/>
                <w:w w:val="100"/>
                <w:sz w:val="21"/>
                <w:szCs w:val="21"/>
              </w:rPr>
              <w:t>填</w:t>
            </w:r>
            <w:r>
              <w:rPr>
                <w:rFonts w:ascii="宋体" w:hAnsi="宋体" w:cs="宋体" w:eastAsia="宋体" w:hint="default"/>
                <w:spacing w:val="-3"/>
                <w:w w:val="100"/>
                <w:sz w:val="21"/>
                <w:szCs w:val="21"/>
              </w:rPr>
              <w:t>列</w:t>
            </w:r>
            <w:r>
              <w:rPr>
                <w:rFonts w:ascii="宋体" w:hAnsi="宋体" w:cs="宋体" w:eastAsia="宋体" w:hint="default"/>
                <w:spacing w:val="-109"/>
                <w:w w:val="100"/>
                <w:sz w:val="21"/>
                <w:szCs w:val="21"/>
              </w:rPr>
              <w:t>）</w:t>
            </w:r>
            <w:r>
              <w:rPr>
                <w:rFonts w:ascii="宋体" w:hAnsi="宋体" w:cs="宋体" w:eastAsia="宋体" w:hint="default"/>
                <w:w w:val="100"/>
                <w:sz w:val="21"/>
                <w:szCs w:val="21"/>
              </w:rPr>
              <w:t> </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779,299,357.33</w:t>
            </w:r>
            <w:r>
              <w:rPr>
                <w:rFonts w:ascii="宋体"/>
                <w:sz w:val="21"/>
              </w:rPr>
              <w:t> </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828,168,173.66</w:t>
            </w:r>
            <w:r>
              <w:rPr>
                <w:rFonts w:ascii="宋体"/>
                <w:sz w:val="21"/>
              </w:rPr>
              <w:t> </w:t>
            </w:r>
          </w:p>
        </w:tc>
      </w:tr>
      <w:tr>
        <w:trPr>
          <w:trHeight w:val="283" w:hRule="exact"/>
        </w:trPr>
        <w:tc>
          <w:tcPr>
            <w:tcW w:w="40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减：所得税费用</w:t>
            </w:r>
            <w:r>
              <w:rPr>
                <w:rFonts w:ascii="宋体" w:hAnsi="宋体" w:cs="宋体" w:eastAsia="宋体" w:hint="default"/>
                <w:sz w:val="21"/>
                <w:szCs w:val="21"/>
              </w:rPr>
              <w:t> </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74 </w:t>
            </w:r>
          </w:p>
        </w:tc>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right"/>
              <w:rPr>
                <w:rFonts w:ascii="宋体" w:hAnsi="宋体" w:cs="宋体" w:eastAsia="宋体" w:hint="default"/>
                <w:sz w:val="21"/>
                <w:szCs w:val="21"/>
              </w:rPr>
            </w:pPr>
            <w:r>
              <w:rPr>
                <w:rFonts w:ascii="宋体"/>
                <w:spacing w:val="-1"/>
                <w:sz w:val="21"/>
              </w:rPr>
              <w:t>75,839,014.59</w:t>
            </w:r>
            <w:r>
              <w:rPr>
                <w:rFonts w:ascii="宋体"/>
                <w:sz w:val="21"/>
              </w:rPr>
              <w:t> </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46,009,359.49</w:t>
            </w:r>
            <w:r>
              <w:rPr>
                <w:rFonts w:ascii="宋体"/>
                <w:sz w:val="21"/>
              </w:rPr>
              <w:t> </w:t>
            </w:r>
          </w:p>
        </w:tc>
      </w:tr>
      <w:tr>
        <w:trPr>
          <w:trHeight w:val="283" w:hRule="exact"/>
        </w:trPr>
        <w:tc>
          <w:tcPr>
            <w:tcW w:w="40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五、净利润（净亏损以“－”号填列）</w:t>
            </w:r>
            <w:r>
              <w:rPr>
                <w:rFonts w:ascii="宋体" w:hAnsi="宋体" w:cs="宋体" w:eastAsia="宋体" w:hint="default"/>
                <w:sz w:val="21"/>
                <w:szCs w:val="21"/>
              </w:rPr>
              <w:t> </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703,460,342.74</w:t>
            </w:r>
            <w:r>
              <w:rPr>
                <w:rFonts w:ascii="宋体"/>
                <w:sz w:val="21"/>
              </w:rPr>
              <w:t> </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782,158,814.17</w:t>
            </w:r>
            <w:r>
              <w:rPr>
                <w:rFonts w:ascii="宋体"/>
                <w:sz w:val="21"/>
              </w:rPr>
              <w:t> </w:t>
            </w:r>
          </w:p>
        </w:tc>
      </w:tr>
      <w:tr>
        <w:trPr>
          <w:trHeight w:val="281" w:hRule="exact"/>
        </w:trPr>
        <w:tc>
          <w:tcPr>
            <w:tcW w:w="965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（一）按经营持续性分类</w:t>
            </w:r>
            <w:r>
              <w:rPr>
                <w:rFonts w:ascii="宋体" w:hAnsi="宋体" w:cs="宋体" w:eastAsia="宋体" w:hint="default"/>
                <w:sz w:val="21"/>
                <w:szCs w:val="21"/>
              </w:rPr>
              <w:t> </w:t>
            </w:r>
          </w:p>
        </w:tc>
      </w:tr>
      <w:tr>
        <w:trPr>
          <w:trHeight w:val="557" w:hRule="exact"/>
        </w:trPr>
        <w:tc>
          <w:tcPr>
            <w:tcW w:w="40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持续经营净利润（净亏损以“－”</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号填列）</w:t>
            </w:r>
            <w:r>
              <w:rPr>
                <w:rFonts w:ascii="宋体" w:hAnsi="宋体" w:cs="宋体" w:eastAsia="宋体" w:hint="default"/>
                <w:sz w:val="21"/>
                <w:szCs w:val="21"/>
              </w:rPr>
              <w:t> </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w w:val="100"/>
                <w:sz w:val="21"/>
              </w:rPr>
              <w:t> </w:t>
            </w:r>
          </w:p>
        </w:tc>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right"/>
              <w:rPr>
                <w:rFonts w:ascii="宋体" w:hAnsi="宋体" w:cs="宋体" w:eastAsia="宋体" w:hint="default"/>
                <w:sz w:val="21"/>
                <w:szCs w:val="21"/>
              </w:rPr>
            </w:pPr>
            <w:r>
              <w:rPr>
                <w:rFonts w:ascii="宋体"/>
                <w:spacing w:val="-1"/>
                <w:sz w:val="21"/>
              </w:rPr>
              <w:t>703,460,342.74</w:t>
            </w:r>
            <w:r>
              <w:rPr>
                <w:rFonts w:ascii="宋体"/>
                <w:sz w:val="21"/>
              </w:rPr>
              <w:t> </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782,158,814.17</w:t>
            </w:r>
            <w:r>
              <w:rPr>
                <w:rFonts w:ascii="宋体"/>
                <w:sz w:val="21"/>
              </w:rPr>
              <w:t> </w:t>
            </w:r>
          </w:p>
        </w:tc>
      </w:tr>
    </w:tbl>
    <w:p>
      <w:pPr>
        <w:spacing w:after="0" w:line="240" w:lineRule="auto"/>
        <w:jc w:val="right"/>
        <w:rPr>
          <w:rFonts w:ascii="宋体" w:hAnsi="宋体" w:cs="宋体" w:eastAsia="宋体" w:hint="default"/>
          <w:sz w:val="21"/>
          <w:szCs w:val="21"/>
        </w:rPr>
        <w:sectPr>
          <w:type w:val="continuous"/>
          <w:pgSz w:w="11910" w:h="16840"/>
          <w:pgMar w:top="1580" w:bottom="280" w:left="1280" w:right="740"/>
        </w:sectPr>
      </w:pPr>
    </w:p>
    <w:p>
      <w:pPr>
        <w:spacing w:line="240" w:lineRule="auto" w:before="9"/>
        <w:rPr>
          <w:rFonts w:ascii="宋体" w:hAnsi="宋体" w:cs="宋体" w:eastAsia="宋体" w:hint="default"/>
          <w:sz w:val="29"/>
          <w:szCs w:val="29"/>
        </w:rPr>
      </w:pPr>
    </w:p>
    <w:tbl>
      <w:tblPr>
        <w:tblW w:w="0" w:type="auto"/>
        <w:jc w:val="left"/>
        <w:tblInd w:w="105" w:type="dxa"/>
        <w:tblLayout w:type="fixed"/>
        <w:tblCellMar>
          <w:top w:w="0" w:type="dxa"/>
          <w:left w:w="0" w:type="dxa"/>
          <w:bottom w:w="0" w:type="dxa"/>
          <w:right w:w="0" w:type="dxa"/>
        </w:tblCellMar>
        <w:tblLook w:val="01E0"/>
      </w:tblPr>
      <w:tblGrid>
        <w:gridCol w:w="4040"/>
        <w:gridCol w:w="1450"/>
        <w:gridCol w:w="2211"/>
        <w:gridCol w:w="1949"/>
      </w:tblGrid>
      <w:tr>
        <w:trPr>
          <w:trHeight w:val="557" w:hRule="exact"/>
        </w:trPr>
        <w:tc>
          <w:tcPr>
            <w:tcW w:w="404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终止经营净利润（净亏损以“－”</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号填列）</w:t>
            </w:r>
            <w:r>
              <w:rPr>
                <w:rFonts w:ascii="宋体" w:hAnsi="宋体" w:cs="宋体" w:eastAsia="宋体" w:hint="default"/>
                <w:sz w:val="21"/>
                <w:szCs w:val="21"/>
              </w:rPr>
              <w:t> </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left"/>
              <w:rPr>
                <w:rFonts w:ascii="宋体" w:hAnsi="宋体" w:cs="宋体" w:eastAsia="宋体" w:hint="default"/>
                <w:sz w:val="21"/>
                <w:szCs w:val="21"/>
              </w:rPr>
            </w:pPr>
            <w:r>
              <w:rPr>
                <w:rFonts w:ascii="宋体"/>
                <w:w w:val="100"/>
                <w:sz w:val="21"/>
              </w:rPr>
              <w:t> </w:t>
            </w:r>
          </w:p>
        </w:tc>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
              <w:jc w:val="right"/>
              <w:rPr>
                <w:rFonts w:ascii="宋体" w:hAnsi="宋体" w:cs="宋体" w:eastAsia="宋体" w:hint="default"/>
                <w:sz w:val="21"/>
                <w:szCs w:val="21"/>
              </w:rPr>
            </w:pPr>
            <w:r>
              <w:rPr>
                <w:rFonts w:ascii="宋体"/>
                <w:w w:val="100"/>
                <w:sz w:val="21"/>
              </w:rPr>
              <w:t> </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right"/>
              <w:rPr>
                <w:rFonts w:ascii="宋体" w:hAnsi="宋体" w:cs="宋体" w:eastAsia="宋体" w:hint="default"/>
                <w:sz w:val="21"/>
                <w:szCs w:val="21"/>
              </w:rPr>
            </w:pPr>
            <w:r>
              <w:rPr>
                <w:rFonts w:ascii="宋体"/>
                <w:w w:val="100"/>
                <w:sz w:val="21"/>
              </w:rPr>
              <w:t> </w:t>
            </w:r>
          </w:p>
        </w:tc>
      </w:tr>
      <w:tr>
        <w:trPr>
          <w:trHeight w:val="281" w:hRule="exact"/>
        </w:trPr>
        <w:tc>
          <w:tcPr>
            <w:tcW w:w="965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（二）按所有权归属分类</w:t>
            </w:r>
            <w:r>
              <w:rPr>
                <w:rFonts w:ascii="宋体" w:hAnsi="宋体" w:cs="宋体" w:eastAsia="宋体" w:hint="default"/>
                <w:sz w:val="21"/>
                <w:szCs w:val="21"/>
              </w:rPr>
              <w:t> </w:t>
            </w:r>
          </w:p>
        </w:tc>
      </w:tr>
      <w:tr>
        <w:trPr>
          <w:trHeight w:val="554" w:hRule="exact"/>
        </w:trPr>
        <w:tc>
          <w:tcPr>
            <w:tcW w:w="40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归属于母公司股东的净利润（净亏</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损以“</w:t>
            </w:r>
            <w:r>
              <w:rPr>
                <w:rFonts w:ascii="宋体" w:hAnsi="宋体" w:cs="宋体" w:eastAsia="宋体" w:hint="default"/>
                <w:sz w:val="21"/>
                <w:szCs w:val="21"/>
              </w:rPr>
              <w:t>-</w:t>
            </w:r>
            <w:r>
              <w:rPr>
                <w:rFonts w:ascii="宋体" w:hAnsi="宋体" w:cs="宋体" w:eastAsia="宋体" w:hint="default"/>
                <w:sz w:val="21"/>
                <w:szCs w:val="21"/>
              </w:rPr>
              <w:t>”号填列）</w:t>
            </w:r>
            <w:r>
              <w:rPr>
                <w:rFonts w:ascii="宋体" w:hAnsi="宋体" w:cs="宋体" w:eastAsia="宋体" w:hint="default"/>
                <w:sz w:val="21"/>
                <w:szCs w:val="21"/>
              </w:rPr>
              <w:t> </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w w:val="100"/>
                <w:sz w:val="21"/>
              </w:rPr>
              <w:t> </w:t>
            </w:r>
          </w:p>
        </w:tc>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right"/>
              <w:rPr>
                <w:rFonts w:ascii="宋体" w:hAnsi="宋体" w:cs="宋体" w:eastAsia="宋体" w:hint="default"/>
                <w:sz w:val="21"/>
                <w:szCs w:val="21"/>
              </w:rPr>
            </w:pPr>
            <w:r>
              <w:rPr>
                <w:rFonts w:ascii="宋体"/>
                <w:spacing w:val="-1"/>
                <w:sz w:val="21"/>
              </w:rPr>
              <w:t>700,405,103.05</w:t>
            </w:r>
            <w:r>
              <w:rPr>
                <w:rFonts w:ascii="宋体"/>
                <w:sz w:val="21"/>
              </w:rPr>
              <w:t> </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777,590,285.79</w:t>
            </w:r>
            <w:r>
              <w:rPr>
                <w:rFonts w:ascii="宋体"/>
                <w:sz w:val="21"/>
              </w:rPr>
              <w:t> </w:t>
            </w:r>
          </w:p>
        </w:tc>
      </w:tr>
      <w:tr>
        <w:trPr>
          <w:trHeight w:val="554" w:hRule="exact"/>
        </w:trPr>
        <w:tc>
          <w:tcPr>
            <w:tcW w:w="40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pacing w:val="-5"/>
                <w:sz w:val="21"/>
                <w:szCs w:val="21"/>
              </w:rPr>
              <w:t>2.</w:t>
            </w:r>
            <w:r>
              <w:rPr>
                <w:rFonts w:ascii="宋体" w:hAnsi="宋体" w:cs="宋体" w:eastAsia="宋体" w:hint="default"/>
                <w:spacing w:val="-5"/>
                <w:sz w:val="21"/>
                <w:szCs w:val="21"/>
              </w:rPr>
              <w:t>少数股东损益（净亏损以“</w:t>
            </w:r>
            <w:r>
              <w:rPr>
                <w:rFonts w:ascii="宋体" w:hAnsi="宋体" w:cs="宋体" w:eastAsia="宋体" w:hint="default"/>
                <w:spacing w:val="-5"/>
                <w:sz w:val="21"/>
                <w:szCs w:val="21"/>
              </w:rPr>
              <w:t>-</w:t>
            </w:r>
            <w:r>
              <w:rPr>
                <w:rFonts w:ascii="宋体" w:hAnsi="宋体" w:cs="宋体" w:eastAsia="宋体" w:hint="default"/>
                <w:spacing w:val="-5"/>
                <w:sz w:val="21"/>
                <w:szCs w:val="21"/>
              </w:rPr>
              <w:t>”号填</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列）</w:t>
            </w:r>
            <w:r>
              <w:rPr>
                <w:rFonts w:ascii="宋体" w:hAnsi="宋体" w:cs="宋体" w:eastAsia="宋体" w:hint="default"/>
                <w:sz w:val="21"/>
                <w:szCs w:val="21"/>
              </w:rPr>
              <w:t> </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w w:val="100"/>
                <w:sz w:val="21"/>
              </w:rPr>
              <w:t> </w:t>
            </w:r>
          </w:p>
        </w:tc>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right"/>
              <w:rPr>
                <w:rFonts w:ascii="宋体" w:hAnsi="宋体" w:cs="宋体" w:eastAsia="宋体" w:hint="default"/>
                <w:sz w:val="21"/>
                <w:szCs w:val="21"/>
              </w:rPr>
            </w:pPr>
            <w:r>
              <w:rPr>
                <w:rFonts w:ascii="宋体"/>
                <w:spacing w:val="-1"/>
                <w:sz w:val="21"/>
              </w:rPr>
              <w:t>3,055,239.69</w:t>
            </w:r>
            <w:r>
              <w:rPr>
                <w:rFonts w:ascii="宋体"/>
                <w:sz w:val="21"/>
              </w:rPr>
              <w:t> </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4,568,528.38</w:t>
            </w:r>
            <w:r>
              <w:rPr>
                <w:rFonts w:ascii="宋体"/>
                <w:sz w:val="21"/>
              </w:rPr>
              <w:t> </w:t>
            </w:r>
          </w:p>
        </w:tc>
      </w:tr>
      <w:tr>
        <w:trPr>
          <w:trHeight w:val="283" w:hRule="exact"/>
        </w:trPr>
        <w:tc>
          <w:tcPr>
            <w:tcW w:w="40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六、其他综合收益的税后净额</w:t>
            </w:r>
            <w:r>
              <w:rPr>
                <w:rFonts w:ascii="宋体" w:hAnsi="宋体" w:cs="宋体" w:eastAsia="宋体" w:hint="default"/>
                <w:sz w:val="21"/>
                <w:szCs w:val="21"/>
              </w:rPr>
              <w:t> </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right"/>
              <w:rPr>
                <w:rFonts w:ascii="宋体" w:hAnsi="宋体" w:cs="宋体" w:eastAsia="宋体" w:hint="default"/>
                <w:sz w:val="21"/>
                <w:szCs w:val="21"/>
              </w:rPr>
            </w:pPr>
            <w:r>
              <w:rPr>
                <w:rFonts w:ascii="宋体"/>
                <w:spacing w:val="-1"/>
                <w:sz w:val="21"/>
              </w:rPr>
              <w:t>487,078.94</w:t>
            </w:r>
            <w:r>
              <w:rPr>
                <w:rFonts w:ascii="宋体"/>
                <w:sz w:val="21"/>
              </w:rPr>
              <w:t> </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1,467,193.73</w:t>
            </w:r>
            <w:r>
              <w:rPr>
                <w:rFonts w:ascii="宋体"/>
                <w:sz w:val="21"/>
              </w:rPr>
              <w:t> </w:t>
            </w:r>
          </w:p>
        </w:tc>
      </w:tr>
      <w:tr>
        <w:trPr>
          <w:trHeight w:val="554" w:hRule="exact"/>
        </w:trPr>
        <w:tc>
          <w:tcPr>
            <w:tcW w:w="40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1" w:right="0"/>
              <w:jc w:val="left"/>
              <w:rPr>
                <w:rFonts w:ascii="宋体" w:hAnsi="宋体" w:cs="宋体" w:eastAsia="宋体" w:hint="default"/>
                <w:sz w:val="21"/>
                <w:szCs w:val="21"/>
              </w:rPr>
            </w:pPr>
            <w:r>
              <w:rPr>
                <w:rFonts w:ascii="宋体" w:hAnsi="宋体" w:cs="宋体" w:eastAsia="宋体" w:hint="default"/>
                <w:sz w:val="21"/>
                <w:szCs w:val="21"/>
              </w:rPr>
              <w:t>（一）归属母公司所有者的其他综合收</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益的税后净额</w:t>
            </w:r>
            <w:r>
              <w:rPr>
                <w:rFonts w:ascii="宋体" w:hAnsi="宋体" w:cs="宋体" w:eastAsia="宋体" w:hint="default"/>
                <w:sz w:val="21"/>
                <w:szCs w:val="21"/>
              </w:rPr>
              <w:t> </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w w:val="100"/>
                <w:sz w:val="21"/>
              </w:rPr>
              <w:t> </w:t>
            </w:r>
          </w:p>
        </w:tc>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right"/>
              <w:rPr>
                <w:rFonts w:ascii="宋体" w:hAnsi="宋体" w:cs="宋体" w:eastAsia="宋体" w:hint="default"/>
                <w:sz w:val="21"/>
                <w:szCs w:val="21"/>
              </w:rPr>
            </w:pPr>
            <w:r>
              <w:rPr>
                <w:rFonts w:ascii="宋体"/>
                <w:spacing w:val="-1"/>
                <w:sz w:val="21"/>
              </w:rPr>
              <w:t>487,078.94</w:t>
            </w:r>
            <w:r>
              <w:rPr>
                <w:rFonts w:ascii="宋体"/>
                <w:sz w:val="21"/>
              </w:rPr>
              <w:t> </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1,467,193.73</w:t>
            </w:r>
            <w:r>
              <w:rPr>
                <w:rFonts w:ascii="宋体"/>
                <w:sz w:val="21"/>
              </w:rPr>
              <w:t> </w:t>
            </w:r>
          </w:p>
        </w:tc>
      </w:tr>
      <w:tr>
        <w:trPr>
          <w:trHeight w:val="283" w:hRule="exact"/>
        </w:trPr>
        <w:tc>
          <w:tcPr>
            <w:tcW w:w="40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hAnsi="宋体" w:cs="宋体" w:eastAsia="宋体" w:hint="default"/>
                <w:spacing w:val="-6"/>
                <w:sz w:val="21"/>
                <w:szCs w:val="21"/>
              </w:rPr>
              <w:t>1</w:t>
            </w:r>
            <w:r>
              <w:rPr>
                <w:rFonts w:ascii="宋体" w:hAnsi="宋体" w:cs="宋体" w:eastAsia="宋体" w:hint="default"/>
                <w:spacing w:val="-6"/>
                <w:sz w:val="21"/>
                <w:szCs w:val="21"/>
              </w:rPr>
              <w:t>．不能重分类进损益的其他综合收益</w:t>
            </w:r>
            <w:r>
              <w:rPr>
                <w:rFonts w:ascii="宋体" w:hAnsi="宋体" w:cs="宋体" w:eastAsia="宋体" w:hint="default"/>
                <w:sz w:val="21"/>
                <w:szCs w:val="21"/>
              </w:rPr>
              <w:t> </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40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）重新计量设定受益计划变动额</w:t>
            </w:r>
            <w:r>
              <w:rPr>
                <w:rFonts w:ascii="宋体" w:hAnsi="宋体" w:cs="宋体" w:eastAsia="宋体" w:hint="default"/>
                <w:sz w:val="21"/>
                <w:szCs w:val="21"/>
              </w:rPr>
              <w:t> </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7" w:hRule="exact"/>
        </w:trPr>
        <w:tc>
          <w:tcPr>
            <w:tcW w:w="404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311" w:right="0"/>
              <w:jc w:val="left"/>
              <w:rPr>
                <w:rFonts w:ascii="宋体" w:hAnsi="宋体" w:cs="宋体" w:eastAsia="宋体" w:hint="default"/>
                <w:sz w:val="21"/>
                <w:szCs w:val="21"/>
              </w:rPr>
            </w:pPr>
            <w:r>
              <w:rPr>
                <w:rFonts w:ascii="宋体" w:hAnsi="宋体" w:cs="宋体" w:eastAsia="宋体" w:hint="default"/>
                <w:spacing w:val="-5"/>
                <w:sz w:val="21"/>
                <w:szCs w:val="21"/>
              </w:rPr>
              <w:t>（</w:t>
            </w:r>
            <w:r>
              <w:rPr>
                <w:rFonts w:ascii="宋体" w:hAnsi="宋体" w:cs="宋体" w:eastAsia="宋体" w:hint="default"/>
                <w:spacing w:val="-5"/>
                <w:sz w:val="21"/>
                <w:szCs w:val="21"/>
              </w:rPr>
              <w:t>2</w:t>
            </w:r>
            <w:r>
              <w:rPr>
                <w:rFonts w:ascii="宋体" w:hAnsi="宋体" w:cs="宋体" w:eastAsia="宋体" w:hint="default"/>
                <w:spacing w:val="-5"/>
                <w:sz w:val="21"/>
                <w:szCs w:val="21"/>
              </w:rPr>
              <w:t>）权益法下不能转损益的其他综合收</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益</w:t>
            </w:r>
            <w:r>
              <w:rPr>
                <w:rFonts w:ascii="宋体" w:hAnsi="宋体" w:cs="宋体" w:eastAsia="宋体" w:hint="default"/>
                <w:sz w:val="21"/>
                <w:szCs w:val="21"/>
              </w:rPr>
              <w:t> </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w w:val="100"/>
                <w:sz w:val="21"/>
              </w:rPr>
              <w:t> </w:t>
            </w:r>
          </w:p>
        </w:tc>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right"/>
              <w:rPr>
                <w:rFonts w:ascii="宋体" w:hAnsi="宋体" w:cs="宋体" w:eastAsia="宋体" w:hint="default"/>
                <w:sz w:val="21"/>
                <w:szCs w:val="21"/>
              </w:rPr>
            </w:pPr>
            <w:r>
              <w:rPr>
                <w:rFonts w:ascii="宋体"/>
                <w:w w:val="100"/>
                <w:sz w:val="21"/>
              </w:rPr>
              <w:t> </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r>
      <w:tr>
        <w:trPr>
          <w:trHeight w:val="281" w:hRule="exact"/>
        </w:trPr>
        <w:tc>
          <w:tcPr>
            <w:tcW w:w="40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）其他权益工具投资公允价值变动</w:t>
            </w:r>
            <w:r>
              <w:rPr>
                <w:rFonts w:ascii="宋体" w:hAnsi="宋体" w:cs="宋体" w:eastAsia="宋体" w:hint="default"/>
                <w:sz w:val="21"/>
                <w:szCs w:val="21"/>
              </w:rPr>
              <w:t> </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40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4</w:t>
            </w:r>
            <w:r>
              <w:rPr>
                <w:rFonts w:ascii="宋体" w:hAnsi="宋体" w:cs="宋体" w:eastAsia="宋体" w:hint="default"/>
                <w:sz w:val="21"/>
                <w:szCs w:val="21"/>
              </w:rPr>
              <w:t>）企业自身信用风险公允价值变动</w:t>
            </w:r>
            <w:r>
              <w:rPr>
                <w:rFonts w:ascii="宋体" w:hAnsi="宋体" w:cs="宋体" w:eastAsia="宋体" w:hint="default"/>
                <w:sz w:val="21"/>
                <w:szCs w:val="21"/>
              </w:rPr>
              <w:t> </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40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6"/>
              <w:jc w:val="right"/>
              <w:rPr>
                <w:rFonts w:ascii="宋体" w:hAnsi="宋体" w:cs="宋体" w:eastAsia="宋体" w:hint="default"/>
                <w:sz w:val="21"/>
                <w:szCs w:val="21"/>
              </w:rPr>
            </w:pPr>
            <w:r>
              <w:rPr>
                <w:rFonts w:ascii="宋体" w:hAnsi="宋体" w:cs="宋体" w:eastAsia="宋体" w:hint="default"/>
                <w:spacing w:val="-2"/>
                <w:sz w:val="21"/>
                <w:szCs w:val="21"/>
              </w:rPr>
              <w:t>2</w:t>
            </w:r>
            <w:r>
              <w:rPr>
                <w:rFonts w:ascii="宋体" w:hAnsi="宋体" w:cs="宋体" w:eastAsia="宋体" w:hint="default"/>
                <w:spacing w:val="-2"/>
                <w:sz w:val="21"/>
                <w:szCs w:val="21"/>
              </w:rPr>
              <w:t>．将重分类进损益的其他综合收益</w:t>
            </w:r>
            <w:r>
              <w:rPr>
                <w:rFonts w:ascii="宋体" w:hAnsi="宋体" w:cs="宋体" w:eastAsia="宋体" w:hint="default"/>
                <w:sz w:val="21"/>
                <w:szCs w:val="21"/>
              </w:rPr>
              <w:t> </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487,078.94</w:t>
            </w:r>
            <w:r>
              <w:rPr>
                <w:rFonts w:ascii="宋体"/>
                <w:sz w:val="21"/>
              </w:rPr>
              <w:t> </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1,467,193.73</w:t>
            </w:r>
            <w:r>
              <w:rPr>
                <w:rFonts w:ascii="宋体"/>
                <w:sz w:val="21"/>
              </w:rPr>
              <w:t> </w:t>
            </w:r>
          </w:p>
        </w:tc>
      </w:tr>
      <w:tr>
        <w:trPr>
          <w:trHeight w:val="281" w:hRule="exact"/>
        </w:trPr>
        <w:tc>
          <w:tcPr>
            <w:tcW w:w="40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hAnsi="宋体" w:cs="宋体" w:eastAsia="宋体" w:hint="default"/>
                <w:spacing w:val="-5"/>
                <w:sz w:val="21"/>
                <w:szCs w:val="21"/>
              </w:rPr>
              <w:t>（</w:t>
            </w:r>
            <w:r>
              <w:rPr>
                <w:rFonts w:ascii="宋体" w:hAnsi="宋体" w:cs="宋体" w:eastAsia="宋体" w:hint="default"/>
                <w:spacing w:val="-5"/>
                <w:sz w:val="21"/>
                <w:szCs w:val="21"/>
              </w:rPr>
              <w:t>1</w:t>
            </w:r>
            <w:r>
              <w:rPr>
                <w:rFonts w:ascii="宋体" w:hAnsi="宋体" w:cs="宋体" w:eastAsia="宋体" w:hint="default"/>
                <w:spacing w:val="-5"/>
                <w:sz w:val="21"/>
                <w:szCs w:val="21"/>
              </w:rPr>
              <w:t>）权益法下可转损益的其他综合收益</w:t>
            </w:r>
            <w:r>
              <w:rPr>
                <w:rFonts w:ascii="宋体" w:hAnsi="宋体" w:cs="宋体" w:eastAsia="宋体" w:hint="default"/>
                <w:sz w:val="21"/>
                <w:szCs w:val="21"/>
              </w:rPr>
              <w:t> </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40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）其他债权投资公允价值变动</w:t>
            </w:r>
            <w:r>
              <w:rPr>
                <w:rFonts w:ascii="宋体" w:hAnsi="宋体" w:cs="宋体" w:eastAsia="宋体" w:hint="default"/>
                <w:sz w:val="21"/>
                <w:szCs w:val="21"/>
              </w:rPr>
              <w:t> </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404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1" w:right="0"/>
              <w:jc w:val="left"/>
              <w:rPr>
                <w:rFonts w:ascii="宋体" w:hAnsi="宋体" w:cs="宋体" w:eastAsia="宋体" w:hint="default"/>
                <w:sz w:val="21"/>
                <w:szCs w:val="21"/>
              </w:rPr>
            </w:pPr>
            <w:r>
              <w:rPr>
                <w:rFonts w:ascii="宋体" w:hAnsi="宋体" w:cs="宋体" w:eastAsia="宋体" w:hint="default"/>
                <w:spacing w:val="-5"/>
                <w:sz w:val="21"/>
                <w:szCs w:val="21"/>
              </w:rPr>
              <w:t>（</w:t>
            </w:r>
            <w:r>
              <w:rPr>
                <w:rFonts w:ascii="宋体" w:hAnsi="宋体" w:cs="宋体" w:eastAsia="宋体" w:hint="default"/>
                <w:spacing w:val="-5"/>
                <w:sz w:val="21"/>
                <w:szCs w:val="21"/>
              </w:rPr>
              <w:t>3</w:t>
            </w:r>
            <w:r>
              <w:rPr>
                <w:rFonts w:ascii="宋体" w:hAnsi="宋体" w:cs="宋体" w:eastAsia="宋体" w:hint="default"/>
                <w:spacing w:val="-5"/>
                <w:sz w:val="21"/>
                <w:szCs w:val="21"/>
              </w:rPr>
              <w:t>）可供出售金融资产公允价值变动损</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益</w:t>
            </w:r>
            <w:r>
              <w:rPr>
                <w:rFonts w:ascii="宋体" w:hAnsi="宋体" w:cs="宋体" w:eastAsia="宋体" w:hint="default"/>
                <w:sz w:val="21"/>
                <w:szCs w:val="21"/>
              </w:rPr>
              <w:t> </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w w:val="100"/>
                <w:sz w:val="21"/>
              </w:rPr>
              <w:t> </w:t>
            </w:r>
          </w:p>
        </w:tc>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right"/>
              <w:rPr>
                <w:rFonts w:ascii="宋体" w:hAnsi="宋体" w:cs="宋体" w:eastAsia="宋体" w:hint="default"/>
                <w:sz w:val="21"/>
                <w:szCs w:val="21"/>
              </w:rPr>
            </w:pPr>
            <w:r>
              <w:rPr>
                <w:rFonts w:ascii="宋体"/>
                <w:w w:val="100"/>
                <w:sz w:val="21"/>
              </w:rPr>
              <w:t> </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r>
      <w:tr>
        <w:trPr>
          <w:trHeight w:val="554" w:hRule="exact"/>
        </w:trPr>
        <w:tc>
          <w:tcPr>
            <w:tcW w:w="40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1" w:right="0"/>
              <w:jc w:val="left"/>
              <w:rPr>
                <w:rFonts w:ascii="宋体" w:hAnsi="宋体" w:cs="宋体" w:eastAsia="宋体" w:hint="default"/>
                <w:sz w:val="21"/>
                <w:szCs w:val="21"/>
              </w:rPr>
            </w:pPr>
            <w:r>
              <w:rPr>
                <w:rFonts w:ascii="宋体" w:hAnsi="宋体" w:cs="宋体" w:eastAsia="宋体" w:hint="default"/>
                <w:spacing w:val="-5"/>
                <w:sz w:val="21"/>
                <w:szCs w:val="21"/>
              </w:rPr>
              <w:t>（</w:t>
            </w:r>
            <w:r>
              <w:rPr>
                <w:rFonts w:ascii="宋体" w:hAnsi="宋体" w:cs="宋体" w:eastAsia="宋体" w:hint="default"/>
                <w:spacing w:val="-5"/>
                <w:sz w:val="21"/>
                <w:szCs w:val="21"/>
              </w:rPr>
              <w:t>4</w:t>
            </w:r>
            <w:r>
              <w:rPr>
                <w:rFonts w:ascii="宋体" w:hAnsi="宋体" w:cs="宋体" w:eastAsia="宋体" w:hint="default"/>
                <w:spacing w:val="-5"/>
                <w:sz w:val="21"/>
                <w:szCs w:val="21"/>
              </w:rPr>
              <w:t>）金融资产重分类计入其他综合收益</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的金额</w:t>
            </w:r>
            <w:r>
              <w:rPr>
                <w:rFonts w:ascii="宋体" w:hAnsi="宋体" w:cs="宋体" w:eastAsia="宋体" w:hint="default"/>
                <w:sz w:val="21"/>
                <w:szCs w:val="21"/>
              </w:rPr>
              <w:t> </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w w:val="100"/>
                <w:sz w:val="21"/>
              </w:rPr>
              <w:t> </w:t>
            </w:r>
          </w:p>
        </w:tc>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right"/>
              <w:rPr>
                <w:rFonts w:ascii="宋体" w:hAnsi="宋体" w:cs="宋体" w:eastAsia="宋体" w:hint="default"/>
                <w:sz w:val="21"/>
                <w:szCs w:val="21"/>
              </w:rPr>
            </w:pPr>
            <w:r>
              <w:rPr>
                <w:rFonts w:ascii="宋体"/>
                <w:w w:val="100"/>
                <w:sz w:val="21"/>
              </w:rPr>
              <w:t> </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r>
      <w:tr>
        <w:trPr>
          <w:trHeight w:val="554" w:hRule="exact"/>
        </w:trPr>
        <w:tc>
          <w:tcPr>
            <w:tcW w:w="40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1" w:right="0"/>
              <w:jc w:val="left"/>
              <w:rPr>
                <w:rFonts w:ascii="宋体" w:hAnsi="宋体" w:cs="宋体" w:eastAsia="宋体" w:hint="default"/>
                <w:sz w:val="21"/>
                <w:szCs w:val="21"/>
              </w:rPr>
            </w:pPr>
            <w:r>
              <w:rPr>
                <w:rFonts w:ascii="宋体" w:hAnsi="宋体" w:cs="宋体" w:eastAsia="宋体" w:hint="default"/>
                <w:spacing w:val="-5"/>
                <w:sz w:val="21"/>
                <w:szCs w:val="21"/>
              </w:rPr>
              <w:t>（</w:t>
            </w:r>
            <w:r>
              <w:rPr>
                <w:rFonts w:ascii="宋体" w:hAnsi="宋体" w:cs="宋体" w:eastAsia="宋体" w:hint="default"/>
                <w:spacing w:val="-5"/>
                <w:sz w:val="21"/>
                <w:szCs w:val="21"/>
              </w:rPr>
              <w:t>5</w:t>
            </w:r>
            <w:r>
              <w:rPr>
                <w:rFonts w:ascii="宋体" w:hAnsi="宋体" w:cs="宋体" w:eastAsia="宋体" w:hint="default"/>
                <w:spacing w:val="-5"/>
                <w:sz w:val="21"/>
                <w:szCs w:val="21"/>
              </w:rPr>
              <w:t>）持有至到期投资重分类为可供出售</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金融资产损益</w:t>
            </w:r>
            <w:r>
              <w:rPr>
                <w:rFonts w:ascii="宋体" w:hAnsi="宋体" w:cs="宋体" w:eastAsia="宋体" w:hint="default"/>
                <w:sz w:val="21"/>
                <w:szCs w:val="21"/>
              </w:rPr>
              <w:t> </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w w:val="100"/>
                <w:sz w:val="21"/>
              </w:rPr>
              <w:t> </w:t>
            </w:r>
          </w:p>
        </w:tc>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right"/>
              <w:rPr>
                <w:rFonts w:ascii="宋体" w:hAnsi="宋体" w:cs="宋体" w:eastAsia="宋体" w:hint="default"/>
                <w:sz w:val="21"/>
                <w:szCs w:val="21"/>
              </w:rPr>
            </w:pPr>
            <w:r>
              <w:rPr>
                <w:rFonts w:ascii="宋体"/>
                <w:w w:val="100"/>
                <w:sz w:val="21"/>
              </w:rPr>
              <w:t> </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r>
      <w:tr>
        <w:trPr>
          <w:trHeight w:val="284" w:hRule="exact"/>
        </w:trPr>
        <w:tc>
          <w:tcPr>
            <w:tcW w:w="40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6</w:t>
            </w:r>
            <w:r>
              <w:rPr>
                <w:rFonts w:ascii="宋体" w:hAnsi="宋体" w:cs="宋体" w:eastAsia="宋体" w:hint="default"/>
                <w:sz w:val="21"/>
                <w:szCs w:val="21"/>
              </w:rPr>
              <w:t>）其他债权投资信用减值准备</w:t>
            </w:r>
            <w:r>
              <w:rPr>
                <w:rFonts w:ascii="宋体" w:hAnsi="宋体" w:cs="宋体" w:eastAsia="宋体" w:hint="default"/>
                <w:sz w:val="21"/>
                <w:szCs w:val="21"/>
              </w:rPr>
              <w:t> </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404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1" w:right="0"/>
              <w:jc w:val="left"/>
              <w:rPr>
                <w:rFonts w:ascii="宋体" w:hAnsi="宋体" w:cs="宋体" w:eastAsia="宋体" w:hint="default"/>
                <w:sz w:val="21"/>
                <w:szCs w:val="21"/>
              </w:rPr>
            </w:pPr>
            <w:r>
              <w:rPr>
                <w:rFonts w:ascii="宋体" w:hAnsi="宋体" w:cs="宋体" w:eastAsia="宋体" w:hint="default"/>
                <w:spacing w:val="-5"/>
                <w:sz w:val="21"/>
                <w:szCs w:val="21"/>
              </w:rPr>
              <w:t>（</w:t>
            </w:r>
            <w:r>
              <w:rPr>
                <w:rFonts w:ascii="宋体" w:hAnsi="宋体" w:cs="宋体" w:eastAsia="宋体" w:hint="default"/>
                <w:spacing w:val="-5"/>
                <w:sz w:val="21"/>
                <w:szCs w:val="21"/>
              </w:rPr>
              <w:t>7</w:t>
            </w:r>
            <w:r>
              <w:rPr>
                <w:rFonts w:ascii="宋体" w:hAnsi="宋体" w:cs="宋体" w:eastAsia="宋体" w:hint="default"/>
                <w:spacing w:val="-5"/>
                <w:sz w:val="21"/>
                <w:szCs w:val="21"/>
              </w:rPr>
              <w:t>）现金流量套期储备（现金流量套期</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损益的有效部分）</w:t>
            </w:r>
            <w:r>
              <w:rPr>
                <w:rFonts w:ascii="宋体" w:hAnsi="宋体" w:cs="宋体" w:eastAsia="宋体" w:hint="default"/>
                <w:sz w:val="21"/>
                <w:szCs w:val="21"/>
              </w:rPr>
              <w:t> </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w w:val="100"/>
                <w:sz w:val="21"/>
              </w:rPr>
              <w:t> </w:t>
            </w:r>
          </w:p>
        </w:tc>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right"/>
              <w:rPr>
                <w:rFonts w:ascii="宋体" w:hAnsi="宋体" w:cs="宋体" w:eastAsia="宋体" w:hint="default"/>
                <w:sz w:val="21"/>
                <w:szCs w:val="21"/>
              </w:rPr>
            </w:pPr>
            <w:r>
              <w:rPr>
                <w:rFonts w:ascii="宋体"/>
                <w:w w:val="100"/>
                <w:sz w:val="21"/>
              </w:rPr>
              <w:t> </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r>
      <w:tr>
        <w:trPr>
          <w:trHeight w:val="283" w:hRule="exact"/>
        </w:trPr>
        <w:tc>
          <w:tcPr>
            <w:tcW w:w="40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8</w:t>
            </w:r>
            <w:r>
              <w:rPr>
                <w:rFonts w:ascii="宋体" w:hAnsi="宋体" w:cs="宋体" w:eastAsia="宋体" w:hint="default"/>
                <w:sz w:val="21"/>
                <w:szCs w:val="21"/>
              </w:rPr>
              <w:t>）外币财务报表折算差额</w:t>
            </w:r>
            <w:r>
              <w:rPr>
                <w:rFonts w:ascii="宋体" w:hAnsi="宋体" w:cs="宋体" w:eastAsia="宋体" w:hint="default"/>
                <w:sz w:val="21"/>
                <w:szCs w:val="21"/>
              </w:rPr>
              <w:t> </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487,078.94</w:t>
            </w:r>
            <w:r>
              <w:rPr>
                <w:rFonts w:ascii="宋体"/>
                <w:sz w:val="21"/>
              </w:rPr>
              <w:t> </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1,467,193.73</w:t>
            </w:r>
            <w:r>
              <w:rPr>
                <w:rFonts w:ascii="宋体"/>
                <w:sz w:val="21"/>
              </w:rPr>
              <w:t> </w:t>
            </w:r>
          </w:p>
        </w:tc>
      </w:tr>
      <w:tr>
        <w:trPr>
          <w:trHeight w:val="281" w:hRule="exact"/>
        </w:trPr>
        <w:tc>
          <w:tcPr>
            <w:tcW w:w="40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9</w:t>
            </w:r>
            <w:r>
              <w:rPr>
                <w:rFonts w:ascii="宋体" w:hAnsi="宋体" w:cs="宋体" w:eastAsia="宋体" w:hint="default"/>
                <w:sz w:val="21"/>
                <w:szCs w:val="21"/>
              </w:rPr>
              <w:t>）其他</w:t>
            </w:r>
            <w:r>
              <w:rPr>
                <w:rFonts w:ascii="宋体" w:hAnsi="宋体" w:cs="宋体" w:eastAsia="宋体" w:hint="default"/>
                <w:sz w:val="21"/>
                <w:szCs w:val="21"/>
              </w:rPr>
              <w:t> </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40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1" w:right="0"/>
              <w:jc w:val="left"/>
              <w:rPr>
                <w:rFonts w:ascii="宋体" w:hAnsi="宋体" w:cs="宋体" w:eastAsia="宋体" w:hint="default"/>
                <w:sz w:val="21"/>
                <w:szCs w:val="21"/>
              </w:rPr>
            </w:pPr>
            <w:r>
              <w:rPr>
                <w:rFonts w:ascii="宋体" w:hAnsi="宋体" w:cs="宋体" w:eastAsia="宋体" w:hint="default"/>
                <w:sz w:val="21"/>
                <w:szCs w:val="21"/>
              </w:rPr>
              <w:t>（二）归属于少数股东的其他综合收益</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的税后净额</w:t>
            </w:r>
            <w:r>
              <w:rPr>
                <w:rFonts w:ascii="宋体" w:hAnsi="宋体" w:cs="宋体" w:eastAsia="宋体" w:hint="default"/>
                <w:sz w:val="21"/>
                <w:szCs w:val="21"/>
              </w:rPr>
              <w:t> </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w w:val="100"/>
                <w:sz w:val="21"/>
              </w:rPr>
              <w:t> </w:t>
            </w:r>
          </w:p>
        </w:tc>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right"/>
              <w:rPr>
                <w:rFonts w:ascii="宋体" w:hAnsi="宋体" w:cs="宋体" w:eastAsia="宋体" w:hint="default"/>
                <w:sz w:val="21"/>
                <w:szCs w:val="21"/>
              </w:rPr>
            </w:pPr>
            <w:r>
              <w:rPr>
                <w:rFonts w:ascii="宋体"/>
                <w:w w:val="100"/>
                <w:sz w:val="21"/>
              </w:rPr>
              <w:t> </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r>
      <w:tr>
        <w:trPr>
          <w:trHeight w:val="283" w:hRule="exact"/>
        </w:trPr>
        <w:tc>
          <w:tcPr>
            <w:tcW w:w="40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七、综合收益总额</w:t>
            </w:r>
            <w:r>
              <w:rPr>
                <w:rFonts w:ascii="宋体" w:hAnsi="宋体" w:cs="宋体" w:eastAsia="宋体" w:hint="default"/>
                <w:sz w:val="21"/>
                <w:szCs w:val="21"/>
              </w:rPr>
              <w:t> </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right"/>
              <w:rPr>
                <w:rFonts w:ascii="宋体" w:hAnsi="宋体" w:cs="宋体" w:eastAsia="宋体" w:hint="default"/>
                <w:sz w:val="21"/>
                <w:szCs w:val="21"/>
              </w:rPr>
            </w:pPr>
            <w:r>
              <w:rPr>
                <w:rFonts w:ascii="宋体"/>
                <w:spacing w:val="-1"/>
                <w:sz w:val="21"/>
              </w:rPr>
              <w:t>703,947,421.68</w:t>
            </w:r>
            <w:r>
              <w:rPr>
                <w:rFonts w:ascii="宋体"/>
                <w:sz w:val="21"/>
              </w:rPr>
              <w:t> </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783,626,007.90</w:t>
            </w:r>
            <w:r>
              <w:rPr>
                <w:rFonts w:ascii="宋体"/>
                <w:sz w:val="21"/>
              </w:rPr>
              <w:t> </w:t>
            </w:r>
          </w:p>
        </w:tc>
      </w:tr>
      <w:tr>
        <w:trPr>
          <w:trHeight w:val="554" w:hRule="exact"/>
        </w:trPr>
        <w:tc>
          <w:tcPr>
            <w:tcW w:w="40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1" w:right="0"/>
              <w:jc w:val="left"/>
              <w:rPr>
                <w:rFonts w:ascii="宋体" w:hAnsi="宋体" w:cs="宋体" w:eastAsia="宋体" w:hint="default"/>
                <w:sz w:val="21"/>
                <w:szCs w:val="21"/>
              </w:rPr>
            </w:pPr>
            <w:r>
              <w:rPr>
                <w:rFonts w:ascii="宋体" w:hAnsi="宋体" w:cs="宋体" w:eastAsia="宋体" w:hint="default"/>
                <w:sz w:val="21"/>
                <w:szCs w:val="21"/>
              </w:rPr>
              <w:t>（一）归属于母公司所有者的综合收益</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总额</w:t>
            </w:r>
            <w:r>
              <w:rPr>
                <w:rFonts w:ascii="宋体" w:hAnsi="宋体" w:cs="宋体" w:eastAsia="宋体" w:hint="default"/>
                <w:sz w:val="21"/>
                <w:szCs w:val="21"/>
              </w:rPr>
              <w:t> </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w w:val="100"/>
                <w:sz w:val="21"/>
              </w:rPr>
              <w:t> </w:t>
            </w:r>
          </w:p>
        </w:tc>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right"/>
              <w:rPr>
                <w:rFonts w:ascii="宋体" w:hAnsi="宋体" w:cs="宋体" w:eastAsia="宋体" w:hint="default"/>
                <w:sz w:val="21"/>
                <w:szCs w:val="21"/>
              </w:rPr>
            </w:pPr>
            <w:r>
              <w:rPr>
                <w:rFonts w:ascii="宋体"/>
                <w:spacing w:val="-1"/>
                <w:sz w:val="21"/>
              </w:rPr>
              <w:t>700,892,181.99</w:t>
            </w:r>
            <w:r>
              <w:rPr>
                <w:rFonts w:ascii="宋体"/>
                <w:sz w:val="21"/>
              </w:rPr>
              <w:t> </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779,057,479.52</w:t>
            </w:r>
            <w:r>
              <w:rPr>
                <w:rFonts w:ascii="宋体"/>
                <w:sz w:val="21"/>
              </w:rPr>
              <w:t> </w:t>
            </w:r>
          </w:p>
        </w:tc>
      </w:tr>
      <w:tr>
        <w:trPr>
          <w:trHeight w:val="283" w:hRule="exact"/>
        </w:trPr>
        <w:tc>
          <w:tcPr>
            <w:tcW w:w="40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8"/>
              <w:jc w:val="right"/>
              <w:rPr>
                <w:rFonts w:ascii="宋体" w:hAnsi="宋体" w:cs="宋体" w:eastAsia="宋体" w:hint="default"/>
                <w:sz w:val="21"/>
                <w:szCs w:val="21"/>
              </w:rPr>
            </w:pPr>
            <w:r>
              <w:rPr>
                <w:rFonts w:ascii="宋体" w:hAnsi="宋体" w:cs="宋体" w:eastAsia="宋体" w:hint="default"/>
                <w:spacing w:val="-2"/>
                <w:sz w:val="21"/>
                <w:szCs w:val="21"/>
              </w:rPr>
              <w:t>（二）归属于少数股东的综合收益总额</w:t>
            </w:r>
            <w:r>
              <w:rPr>
                <w:rFonts w:ascii="宋体" w:hAnsi="宋体" w:cs="宋体" w:eastAsia="宋体" w:hint="default"/>
                <w:sz w:val="21"/>
                <w:szCs w:val="21"/>
              </w:rPr>
              <w:t> </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3,055,239.69</w:t>
            </w:r>
            <w:r>
              <w:rPr>
                <w:rFonts w:ascii="宋体"/>
                <w:sz w:val="21"/>
              </w:rPr>
              <w:t> </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4,568,528.38</w:t>
            </w:r>
            <w:r>
              <w:rPr>
                <w:rFonts w:ascii="宋体"/>
                <w:sz w:val="21"/>
              </w:rPr>
              <w:t> </w:t>
            </w:r>
          </w:p>
        </w:tc>
      </w:tr>
      <w:tr>
        <w:trPr>
          <w:trHeight w:val="281" w:hRule="exact"/>
        </w:trPr>
        <w:tc>
          <w:tcPr>
            <w:tcW w:w="40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八、每股收益：</w:t>
            </w:r>
            <w:r>
              <w:rPr>
                <w:rFonts w:ascii="宋体" w:hAnsi="宋体" w:cs="宋体" w:eastAsia="宋体" w:hint="default"/>
                <w:sz w:val="21"/>
                <w:szCs w:val="21"/>
              </w:rPr>
              <w:t> </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color w:val="008000"/>
                <w:w w:val="100"/>
                <w:sz w:val="21"/>
              </w:rPr>
              <w:t> </w:t>
            </w:r>
            <w:r>
              <w:rPr>
                <w:rFonts w:ascii="宋体"/>
                <w:w w:val="100"/>
                <w:sz w:val="21"/>
              </w:rPr>
            </w:r>
          </w:p>
        </w:tc>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40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（一）基本每股收益</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股</w:t>
            </w:r>
            <w:r>
              <w:rPr>
                <w:rFonts w:ascii="宋体" w:hAnsi="宋体" w:cs="宋体" w:eastAsia="宋体" w:hint="default"/>
                <w:sz w:val="21"/>
                <w:szCs w:val="21"/>
              </w:rPr>
              <w:t>) </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right"/>
              <w:rPr>
                <w:rFonts w:ascii="宋体" w:hAnsi="宋体" w:cs="宋体" w:eastAsia="宋体" w:hint="default"/>
                <w:sz w:val="21"/>
                <w:szCs w:val="21"/>
              </w:rPr>
            </w:pPr>
            <w:r>
              <w:rPr>
                <w:rFonts w:ascii="宋体"/>
                <w:spacing w:val="-1"/>
                <w:sz w:val="21"/>
              </w:rPr>
              <w:t>0.40</w:t>
            </w:r>
            <w:r>
              <w:rPr>
                <w:rFonts w:ascii="宋体"/>
                <w:sz w:val="21"/>
              </w:rPr>
              <w:t> </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0.44</w:t>
            </w:r>
            <w:r>
              <w:rPr>
                <w:rFonts w:ascii="宋体"/>
                <w:sz w:val="21"/>
              </w:rPr>
              <w:t> </w:t>
            </w:r>
          </w:p>
        </w:tc>
      </w:tr>
      <w:tr>
        <w:trPr>
          <w:trHeight w:val="284" w:hRule="exact"/>
        </w:trPr>
        <w:tc>
          <w:tcPr>
            <w:tcW w:w="40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（二）稀释每股收益</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股</w:t>
            </w:r>
            <w:r>
              <w:rPr>
                <w:rFonts w:ascii="宋体" w:hAnsi="宋体" w:cs="宋体" w:eastAsia="宋体" w:hint="default"/>
                <w:sz w:val="21"/>
                <w:szCs w:val="21"/>
              </w:rPr>
              <w:t>) </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0.39</w:t>
            </w:r>
            <w:r>
              <w:rPr>
                <w:rFonts w:ascii="宋体"/>
                <w:sz w:val="21"/>
              </w:rPr>
              <w:t> </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0.42</w:t>
            </w:r>
            <w:r>
              <w:rPr>
                <w:rFonts w:ascii="宋体"/>
                <w:sz w:val="21"/>
              </w:rPr>
              <w:t> </w:t>
            </w:r>
          </w:p>
        </w:tc>
      </w:tr>
    </w:tbl>
    <w:p>
      <w:pPr>
        <w:pStyle w:val="BodyText"/>
        <w:spacing w:line="247" w:lineRule="exact"/>
        <w:ind w:left="518" w:right="0"/>
        <w:jc w:val="left"/>
      </w:pPr>
      <w:r>
        <w:rPr>
          <w:spacing w:val="-4"/>
        </w:rPr>
        <w:t>本期发生同一控制下企业合并的，被合并方在合并前实现的净利润为：</w:t>
      </w:r>
      <w:r>
        <w:rPr>
          <w:rFonts w:ascii="Times New Roman" w:hAnsi="Times New Roman" w:cs="Times New Roman" w:eastAsia="Times New Roman" w:hint="default"/>
          <w:spacing w:val="-4"/>
        </w:rPr>
      </w:r>
      <w:r>
        <w:rPr>
          <w:rFonts w:ascii="Times New Roman" w:hAnsi="Times New Roman" w:cs="Times New Roman" w:eastAsia="Times New Roman" w:hint="default"/>
          <w:spacing w:val="-4"/>
          <w:u w:val="single" w:color="000000"/>
        </w:rPr>
        <w:t>15,975,152.48 </w:t>
      </w:r>
      <w:r>
        <w:rPr>
          <w:rFonts w:ascii="Times New Roman" w:hAnsi="Times New Roman" w:cs="Times New Roman" w:eastAsia="Times New Roman" w:hint="default"/>
          <w:spacing w:val="27"/>
          <w:u w:val="single" w:color="000000"/>
        </w:rPr>
        <w:t> </w:t>
      </w:r>
      <w:r>
        <w:rPr>
          <w:rFonts w:ascii="Times New Roman" w:hAnsi="Times New Roman" w:cs="Times New Roman" w:eastAsia="Times New Roman" w:hint="default"/>
          <w:spacing w:val="27"/>
        </w:rPr>
      </w:r>
      <w:r>
        <w:rPr/>
        <w:t>元</w:t>
      </w:r>
      <w:r>
        <w:rPr>
          <w:rFonts w:ascii="宋体" w:hAnsi="宋体" w:cs="宋体" w:eastAsia="宋体" w:hint="default"/>
        </w:rPr>
        <w:t>,</w:t>
      </w:r>
      <w:r>
        <w:rPr/>
        <w:t>上期被合</w:t>
      </w:r>
    </w:p>
    <w:p>
      <w:pPr>
        <w:pStyle w:val="BodyText"/>
        <w:spacing w:line="272" w:lineRule="exact"/>
        <w:ind w:left="518" w:right="0"/>
        <w:jc w:val="left"/>
        <w:rPr>
          <w:rFonts w:ascii="宋体" w:hAnsi="宋体" w:cs="宋体" w:eastAsia="宋体" w:hint="default"/>
        </w:rPr>
      </w:pPr>
      <w:r>
        <w:rPr/>
        <w:t>并方实现的净利润为：</w:t>
      </w:r>
      <w:r>
        <w:rPr>
          <w:rFonts w:ascii="Times New Roman" w:hAnsi="Times New Roman" w:cs="Times New Roman" w:eastAsia="Times New Roman" w:hint="default"/>
        </w:rPr>
      </w:r>
      <w:r>
        <w:rPr>
          <w:rFonts w:ascii="Times New Roman" w:hAnsi="Times New Roman" w:cs="Times New Roman" w:eastAsia="Times New Roman" w:hint="default"/>
          <w:u w:val="single" w:color="000000"/>
        </w:rPr>
        <w:t>17,920,110.52</w:t>
      </w:r>
      <w:r>
        <w:rPr>
          <w:rFonts w:ascii="Times New Roman" w:hAnsi="Times New Roman" w:cs="Times New Roman" w:eastAsia="Times New Roman" w:hint="default"/>
          <w:spacing w:val="-6"/>
          <w:u w:val="single" w:color="000000"/>
        </w:rPr>
        <w:t> </w:t>
      </w:r>
      <w:r>
        <w:rPr>
          <w:rFonts w:ascii="Times New Roman" w:hAnsi="Times New Roman" w:cs="Times New Roman" w:eastAsia="Times New Roman" w:hint="default"/>
          <w:spacing w:val="-6"/>
        </w:rPr>
      </w:r>
      <w:r>
        <w:rPr/>
        <w:t>元。</w:t>
      </w:r>
      <w:r>
        <w:rPr>
          <w:rFonts w:ascii="宋体" w:hAnsi="宋体" w:cs="宋体" w:eastAsia="宋体" w:hint="default"/>
          <w:b/>
          <w:bCs/>
          <w:color w:val="FF0000"/>
          <w:w w:val="99"/>
        </w:rPr>
        <w:t> </w:t>
      </w:r>
      <w:r>
        <w:rPr>
          <w:rFonts w:ascii="宋体" w:hAnsi="宋体" w:cs="宋体" w:eastAsia="宋体" w:hint="default"/>
        </w:rPr>
      </w:r>
    </w:p>
    <w:p>
      <w:pPr>
        <w:pStyle w:val="BodyText"/>
        <w:spacing w:line="264" w:lineRule="exact"/>
        <w:ind w:left="518" w:right="0"/>
        <w:jc w:val="left"/>
        <w:rPr>
          <w:rFonts w:ascii="宋体" w:hAnsi="宋体" w:cs="宋体" w:eastAsia="宋体" w:hint="default"/>
        </w:rPr>
      </w:pPr>
      <w:r>
        <w:rPr/>
        <w:t>法定代表人：陆永华      </w:t>
      </w:r>
      <w:r>
        <w:rPr>
          <w:rFonts w:ascii="宋体" w:hAnsi="宋体" w:cs="宋体" w:eastAsia="宋体" w:hint="default"/>
        </w:rPr>
      </w:r>
      <w:r>
        <w:rPr/>
        <w:t>主管会计工作负责人：虞海娟       </w:t>
      </w:r>
      <w:r>
        <w:rPr>
          <w:spacing w:val="91"/>
        </w:rPr>
        <w:t> </w:t>
      </w:r>
      <w:r>
        <w:rPr>
          <w:rFonts w:ascii="宋体" w:hAnsi="宋体" w:cs="宋体" w:eastAsia="宋体" w:hint="default"/>
          <w:spacing w:val="91"/>
        </w:rPr>
      </w:r>
      <w:r>
        <w:rPr/>
        <w:t>会计机构负责人：周辉</w:t>
      </w:r>
      <w:r>
        <w:rPr>
          <w:rFonts w:ascii="宋体" w:hAnsi="宋体" w:cs="宋体" w:eastAsia="宋体" w:hint="default"/>
        </w:rPr>
        <w:t> </w:t>
      </w:r>
    </w:p>
    <w:p>
      <w:pPr>
        <w:pStyle w:val="BodyText"/>
        <w:tabs>
          <w:tab w:pos="3398" w:val="left" w:leader="none"/>
        </w:tabs>
        <w:spacing w:line="273" w:lineRule="exact"/>
        <w:ind w:left="518" w:right="0"/>
        <w:jc w:val="left"/>
        <w:rPr>
          <w:rFonts w:ascii="宋体" w:hAnsi="宋体" w:cs="宋体" w:eastAsia="宋体" w:hint="default"/>
        </w:rPr>
      </w:pPr>
      <w:r>
        <w:rPr>
          <w:rFonts w:ascii="宋体"/>
          <w:color w:val="FF0000"/>
          <w:w w:val="100"/>
        </w:rPr>
        <w:t> </w:t>
      </w:r>
      <w:r>
        <w:rPr>
          <w:rFonts w:ascii="宋体"/>
          <w:color w:val="FF0000"/>
        </w:rPr>
        <w:tab/>
      </w:r>
      <w:r>
        <w:rPr>
          <w:rFonts w:ascii="宋体"/>
          <w:color w:val="FF0000"/>
          <w:w w:val="100"/>
        </w:rPr>
        <w:t> </w:t>
      </w:r>
      <w:r>
        <w:rPr>
          <w:rFonts w:ascii="宋体"/>
          <w:w w:val="100"/>
        </w:rPr>
      </w:r>
    </w:p>
    <w:p>
      <w:pPr>
        <w:spacing w:after="0" w:line="273" w:lineRule="exact"/>
        <w:jc w:val="left"/>
        <w:rPr>
          <w:rFonts w:ascii="宋体" w:hAnsi="宋体" w:cs="宋体" w:eastAsia="宋体" w:hint="default"/>
        </w:rPr>
        <w:sectPr>
          <w:pgSz w:w="11910" w:h="16840"/>
          <w:pgMar w:header="743" w:footer="974" w:top="1120" w:bottom="1160" w:left="1280" w:right="740"/>
        </w:sectPr>
      </w:pPr>
    </w:p>
    <w:p>
      <w:pPr>
        <w:spacing w:line="240" w:lineRule="auto" w:before="4"/>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pgSz w:w="11910" w:h="16840"/>
          <w:pgMar w:header="743" w:footer="974" w:top="1120" w:bottom="1160" w:left="1580" w:right="1040"/>
        </w:sectPr>
      </w:pPr>
    </w:p>
    <w:p>
      <w:pPr>
        <w:spacing w:line="292" w:lineRule="auto" w:before="36"/>
        <w:ind w:left="3873" w:right="0" w:firstLine="127"/>
        <w:jc w:val="left"/>
        <w:rPr>
          <w:rFonts w:ascii="宋体" w:hAnsi="宋体" w:cs="宋体" w:eastAsia="宋体" w:hint="default"/>
          <w:sz w:val="21"/>
          <w:szCs w:val="21"/>
        </w:rPr>
      </w:pPr>
      <w:r>
        <w:rPr>
          <w:rFonts w:ascii="宋体" w:hAnsi="宋体" w:cs="宋体" w:eastAsia="宋体" w:hint="default"/>
          <w:b/>
          <w:bCs/>
          <w:sz w:val="21"/>
          <w:szCs w:val="21"/>
        </w:rPr>
        <w:t>母公司利润表</w:t>
      </w:r>
      <w:r>
        <w:rPr>
          <w:rFonts w:ascii="宋体" w:hAnsi="宋体" w:cs="宋体" w:eastAsia="宋体" w:hint="default"/>
          <w:b/>
          <w:bCs/>
          <w:w w:val="100"/>
          <w:sz w:val="21"/>
          <w:szCs w:val="21"/>
        </w:rPr>
        <w:t> </w:t>
      </w: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9"/>
          <w:szCs w:val="29"/>
        </w:rPr>
      </w:pPr>
    </w:p>
    <w:p>
      <w:pPr>
        <w:pStyle w:val="BodyText"/>
        <w:spacing w:line="240" w:lineRule="auto"/>
        <w:ind w:left="1618" w:right="0"/>
        <w:jc w:val="left"/>
        <w:rPr>
          <w:rFonts w:ascii="宋体" w:hAnsi="宋体" w:cs="宋体" w:eastAsia="宋体" w:hint="default"/>
        </w:rPr>
      </w:pPr>
      <w:r>
        <w:rPr/>
        <w:t>单位</w:t>
      </w:r>
      <w:r>
        <w:rPr>
          <w:rFonts w:ascii="宋体" w:hAnsi="宋体" w:cs="宋体" w:eastAsia="宋体" w:hint="default"/>
        </w:rPr>
        <w:t>:</w:t>
      </w:r>
      <w:r>
        <w:rPr/>
        <w:t>元币种</w:t>
      </w:r>
      <w:r>
        <w:rPr>
          <w:rFonts w:ascii="宋体" w:hAnsi="宋体" w:cs="宋体" w:eastAsia="宋体" w:hint="default"/>
        </w:rPr>
        <w:t>:</w:t>
      </w:r>
      <w:r>
        <w:rPr/>
        <w:t>人民币</w:t>
      </w:r>
      <w:r>
        <w:rPr>
          <w:rFonts w:ascii="宋体" w:hAnsi="宋体" w:cs="宋体" w:eastAsia="宋体" w:hint="default"/>
          <w:b/>
          <w:bCs/>
          <w:color w:val="FF0000"/>
          <w:w w:val="99"/>
        </w:rPr>
        <w:t> </w:t>
      </w:r>
      <w:r>
        <w:rPr>
          <w:rFonts w:ascii="宋体" w:hAnsi="宋体" w:cs="宋体" w:eastAsia="宋体" w:hint="default"/>
        </w:rPr>
      </w:r>
    </w:p>
    <w:p>
      <w:pPr>
        <w:spacing w:after="0" w:line="240" w:lineRule="auto"/>
        <w:jc w:val="left"/>
        <w:rPr>
          <w:rFonts w:ascii="宋体" w:hAnsi="宋体" w:cs="宋体" w:eastAsia="宋体" w:hint="default"/>
        </w:rPr>
        <w:sectPr>
          <w:type w:val="continuous"/>
          <w:pgSz w:w="11910" w:h="16840"/>
          <w:pgMar w:top="1580" w:bottom="280" w:left="1580" w:right="1040"/>
          <w:cols w:num="2" w:equalWidth="0">
            <w:col w:w="5502" w:space="40"/>
            <w:col w:w="3748"/>
          </w:cols>
        </w:sectPr>
      </w:pPr>
    </w:p>
    <w:p>
      <w:pPr>
        <w:spacing w:line="240" w:lineRule="auto" w:before="7"/>
        <w:rPr>
          <w:rFonts w:ascii="宋体" w:hAnsi="宋体" w:cs="宋体" w:eastAsia="宋体" w:hint="default"/>
          <w:b/>
          <w:bCs/>
          <w:sz w:val="2"/>
          <w:szCs w:val="2"/>
        </w:rPr>
      </w:pPr>
    </w:p>
    <w:tbl>
      <w:tblPr>
        <w:tblW w:w="0" w:type="auto"/>
        <w:jc w:val="left"/>
        <w:tblInd w:w="105" w:type="dxa"/>
        <w:tblLayout w:type="fixed"/>
        <w:tblCellMar>
          <w:top w:w="0" w:type="dxa"/>
          <w:left w:w="0" w:type="dxa"/>
          <w:bottom w:w="0" w:type="dxa"/>
          <w:right w:w="0" w:type="dxa"/>
        </w:tblCellMar>
        <w:tblLook w:val="01E0"/>
      </w:tblPr>
      <w:tblGrid>
        <w:gridCol w:w="3507"/>
        <w:gridCol w:w="1517"/>
        <w:gridCol w:w="2009"/>
        <w:gridCol w:w="2017"/>
      </w:tblGrid>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4"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42"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49" w:right="0"/>
              <w:jc w:val="left"/>
              <w:rPr>
                <w:rFonts w:ascii="宋体" w:hAnsi="宋体" w:cs="宋体" w:eastAsia="宋体" w:hint="default"/>
                <w:sz w:val="21"/>
                <w:szCs w:val="21"/>
              </w:rPr>
            </w:pPr>
            <w:r>
              <w:rPr>
                <w:rFonts w:ascii="宋体" w:hAnsi="宋体" w:cs="宋体" w:eastAsia="宋体" w:hint="default"/>
                <w:b/>
                <w:bCs/>
                <w:sz w:val="21"/>
                <w:szCs w:val="21"/>
              </w:rPr>
              <w:t>2019</w:t>
            </w:r>
            <w:r>
              <w:rPr>
                <w:rFonts w:ascii="宋体" w:hAnsi="宋体" w:cs="宋体" w:eastAsia="宋体" w:hint="default"/>
                <w:b/>
                <w:bCs/>
                <w:spacing w:val="-55"/>
                <w:sz w:val="21"/>
                <w:szCs w:val="21"/>
              </w:rPr>
              <w:t> </w:t>
            </w:r>
            <w:r>
              <w:rPr>
                <w:rFonts w:ascii="宋体" w:hAnsi="宋体" w:cs="宋体" w:eastAsia="宋体" w:hint="default"/>
                <w:b/>
                <w:bCs/>
                <w:sz w:val="21"/>
                <w:szCs w:val="21"/>
              </w:rPr>
              <w:t>年度</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55" w:right="0"/>
              <w:jc w:val="left"/>
              <w:rPr>
                <w:rFonts w:ascii="宋体" w:hAnsi="宋体" w:cs="宋体" w:eastAsia="宋体" w:hint="default"/>
                <w:sz w:val="21"/>
                <w:szCs w:val="21"/>
              </w:rPr>
            </w:pPr>
            <w:r>
              <w:rPr>
                <w:rFonts w:ascii="宋体" w:hAnsi="宋体" w:cs="宋体" w:eastAsia="宋体" w:hint="default"/>
                <w:b/>
                <w:bCs/>
                <w:sz w:val="21"/>
                <w:szCs w:val="21"/>
              </w:rPr>
              <w:t>2018</w:t>
            </w:r>
            <w:r>
              <w:rPr>
                <w:rFonts w:ascii="宋体" w:hAnsi="宋体" w:cs="宋体" w:eastAsia="宋体" w:hint="default"/>
                <w:b/>
                <w:bCs/>
                <w:spacing w:val="-55"/>
                <w:sz w:val="21"/>
                <w:szCs w:val="21"/>
              </w:rPr>
              <w:t> </w:t>
            </w:r>
            <w:r>
              <w:rPr>
                <w:rFonts w:ascii="宋体" w:hAnsi="宋体" w:cs="宋体" w:eastAsia="宋体" w:hint="default"/>
                <w:b/>
                <w:bCs/>
                <w:sz w:val="21"/>
                <w:szCs w:val="21"/>
              </w:rPr>
              <w:t>年度</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84" w:right="0"/>
              <w:jc w:val="left"/>
              <w:rPr>
                <w:rFonts w:ascii="宋体" w:hAnsi="宋体" w:cs="宋体" w:eastAsia="宋体" w:hint="default"/>
                <w:sz w:val="21"/>
                <w:szCs w:val="21"/>
              </w:rPr>
            </w:pPr>
            <w:r>
              <w:rPr>
                <w:rFonts w:ascii="宋体" w:hAnsi="宋体" w:cs="宋体" w:eastAsia="宋体" w:hint="default"/>
                <w:sz w:val="21"/>
                <w:szCs w:val="21"/>
              </w:rPr>
              <w:t>一、营业收入</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十七、</w:t>
            </w:r>
            <w:r>
              <w:rPr>
                <w:rFonts w:ascii="宋体" w:hAnsi="宋体" w:cs="宋体" w:eastAsia="宋体" w:hint="default"/>
                <w:sz w:val="21"/>
                <w:szCs w:val="21"/>
              </w:rPr>
              <w:t>4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1,779,819,198.31</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1,845,054,238.05</w:t>
            </w:r>
            <w:r>
              <w:rPr>
                <w:rFonts w:ascii="宋体"/>
                <w:sz w:val="21"/>
              </w:rPr>
              <w:t> </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减：营业成本</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1,386,941,371.28</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1,485,468,862.10</w:t>
            </w:r>
            <w:r>
              <w:rPr>
                <w:rFonts w:ascii="宋体"/>
                <w:sz w:val="21"/>
              </w:rPr>
              <w:t> </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税金及附加</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8,806,190.89</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14,870,233.91</w:t>
            </w:r>
            <w:r>
              <w:rPr>
                <w:rFonts w:ascii="宋体"/>
                <w:sz w:val="21"/>
              </w:rPr>
              <w:t> </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4" w:right="0"/>
              <w:jc w:val="left"/>
              <w:rPr>
                <w:rFonts w:ascii="宋体" w:hAnsi="宋体" w:cs="宋体" w:eastAsia="宋体" w:hint="default"/>
                <w:sz w:val="21"/>
                <w:szCs w:val="21"/>
              </w:rPr>
            </w:pPr>
            <w:r>
              <w:rPr>
                <w:rFonts w:ascii="宋体" w:hAnsi="宋体" w:cs="宋体" w:eastAsia="宋体" w:hint="default"/>
                <w:sz w:val="21"/>
                <w:szCs w:val="21"/>
              </w:rPr>
              <w:t>销售费用</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106,140,851.11</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88,788,449.33</w:t>
            </w:r>
            <w:r>
              <w:rPr>
                <w:rFonts w:ascii="宋体"/>
                <w:sz w:val="21"/>
              </w:rPr>
              <w:t> </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管理费用</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100,919,773.03</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91,934,719.70</w:t>
            </w:r>
            <w:r>
              <w:rPr>
                <w:rFonts w:ascii="宋体"/>
                <w:sz w:val="21"/>
              </w:rPr>
              <w:t> </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研发费用</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93,347,370.23</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94,058,641.49</w:t>
            </w:r>
            <w:r>
              <w:rPr>
                <w:rFonts w:ascii="宋体"/>
                <w:sz w:val="21"/>
              </w:rPr>
              <w:t> </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4" w:right="0"/>
              <w:jc w:val="left"/>
              <w:rPr>
                <w:rFonts w:ascii="宋体" w:hAnsi="宋体" w:cs="宋体" w:eastAsia="宋体" w:hint="default"/>
                <w:sz w:val="21"/>
                <w:szCs w:val="21"/>
              </w:rPr>
            </w:pPr>
            <w:r>
              <w:rPr>
                <w:rFonts w:ascii="宋体" w:hAnsi="宋体" w:cs="宋体" w:eastAsia="宋体" w:hint="default"/>
                <w:sz w:val="21"/>
                <w:szCs w:val="21"/>
              </w:rPr>
              <w:t>财务费用</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172,428,615.67</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149,367,486.54</w:t>
            </w:r>
            <w:r>
              <w:rPr>
                <w:rFonts w:ascii="宋体"/>
                <w:sz w:val="21"/>
              </w:rPr>
              <w:t> </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其中：利息费用</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185,524,140.00</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167,425,915.42</w:t>
            </w:r>
            <w:r>
              <w:rPr>
                <w:rFonts w:ascii="宋体"/>
                <w:sz w:val="21"/>
              </w:rPr>
              <w:t> </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5" w:right="0"/>
              <w:jc w:val="center"/>
              <w:rPr>
                <w:rFonts w:ascii="宋体" w:hAnsi="宋体" w:cs="宋体" w:eastAsia="宋体" w:hint="default"/>
                <w:sz w:val="21"/>
                <w:szCs w:val="21"/>
              </w:rPr>
            </w:pPr>
            <w:r>
              <w:rPr>
                <w:rFonts w:ascii="宋体" w:hAnsi="宋体" w:cs="宋体" w:eastAsia="宋体" w:hint="default"/>
                <w:sz w:val="21"/>
                <w:szCs w:val="21"/>
              </w:rPr>
              <w:t>利息收入</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9,886,775.60</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10,325,228.73</w:t>
            </w:r>
            <w:r>
              <w:rPr>
                <w:rFonts w:ascii="宋体"/>
                <w:sz w:val="21"/>
              </w:rPr>
              <w:t> </w:t>
            </w:r>
          </w:p>
        </w:tc>
      </w:tr>
      <w:tr>
        <w:trPr>
          <w:trHeight w:val="28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加：其他收益</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14,772,605.60</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3,196,631.88</w:t>
            </w:r>
            <w:r>
              <w:rPr>
                <w:rFonts w:ascii="宋体"/>
                <w:sz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4" w:right="0"/>
              <w:jc w:val="left"/>
              <w:rPr>
                <w:rFonts w:ascii="宋体" w:hAnsi="宋体" w:cs="宋体" w:eastAsia="宋体" w:hint="default"/>
                <w:sz w:val="21"/>
                <w:szCs w:val="21"/>
              </w:rPr>
            </w:pPr>
            <w:r>
              <w:rPr>
                <w:rFonts w:ascii="宋体" w:hAnsi="宋体" w:cs="宋体" w:eastAsia="宋体" w:hint="default"/>
                <w:spacing w:val="-7"/>
                <w:sz w:val="21"/>
                <w:szCs w:val="21"/>
              </w:rPr>
              <w:t>投资收益（损失以“－”号填</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列）</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十七、</w:t>
            </w:r>
            <w:r>
              <w:rPr>
                <w:rFonts w:ascii="宋体" w:hAnsi="宋体" w:cs="宋体" w:eastAsia="宋体" w:hint="default"/>
                <w:sz w:val="21"/>
                <w:szCs w:val="21"/>
              </w:rPr>
              <w:t>5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123,623,619.20</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188,943,013.30</w:t>
            </w:r>
            <w:r>
              <w:rPr>
                <w:rFonts w:ascii="宋体"/>
                <w:sz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4" w:right="0"/>
              <w:jc w:val="left"/>
              <w:rPr>
                <w:rFonts w:ascii="宋体" w:hAnsi="宋体" w:cs="宋体" w:eastAsia="宋体" w:hint="default"/>
                <w:sz w:val="21"/>
                <w:szCs w:val="21"/>
              </w:rPr>
            </w:pPr>
            <w:r>
              <w:rPr>
                <w:rFonts w:ascii="宋体" w:hAnsi="宋体" w:cs="宋体" w:eastAsia="宋体" w:hint="default"/>
                <w:spacing w:val="-7"/>
                <w:sz w:val="21"/>
                <w:szCs w:val="21"/>
              </w:rPr>
              <w:t>其中：对联营企业和合营企业</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的投资收益</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-4,356,724.14</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1,275,289.40</w:t>
            </w:r>
            <w:r>
              <w:rPr>
                <w:rFonts w:ascii="宋体"/>
                <w:sz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57" w:right="0"/>
              <w:jc w:val="left"/>
              <w:rPr>
                <w:rFonts w:ascii="宋体" w:hAnsi="宋体" w:cs="宋体" w:eastAsia="宋体" w:hint="default"/>
                <w:sz w:val="21"/>
                <w:szCs w:val="21"/>
              </w:rPr>
            </w:pPr>
            <w:r>
              <w:rPr>
                <w:rFonts w:ascii="宋体" w:hAnsi="宋体" w:cs="宋体" w:eastAsia="宋体" w:hint="default"/>
                <w:sz w:val="21"/>
                <w:szCs w:val="21"/>
              </w:rPr>
              <w:t>以摊余成本计量的金融</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资产终止确认收益</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4" w:right="0"/>
              <w:jc w:val="left"/>
              <w:rPr>
                <w:rFonts w:ascii="宋体" w:hAnsi="宋体" w:cs="宋体" w:eastAsia="宋体" w:hint="default"/>
                <w:sz w:val="21"/>
                <w:szCs w:val="21"/>
              </w:rPr>
            </w:pPr>
            <w:r>
              <w:rPr>
                <w:rFonts w:ascii="宋体" w:hAnsi="宋体" w:cs="宋体" w:eastAsia="宋体" w:hint="default"/>
                <w:w w:val="100"/>
                <w:sz w:val="21"/>
                <w:szCs w:val="21"/>
              </w:rPr>
              <w:t>净敞</w:t>
            </w:r>
            <w:r>
              <w:rPr>
                <w:rFonts w:ascii="宋体" w:hAnsi="宋体" w:cs="宋体" w:eastAsia="宋体" w:hint="default"/>
                <w:spacing w:val="-3"/>
                <w:w w:val="100"/>
                <w:sz w:val="21"/>
                <w:szCs w:val="21"/>
              </w:rPr>
              <w:t>口</w:t>
            </w:r>
            <w:r>
              <w:rPr>
                <w:rFonts w:ascii="宋体" w:hAnsi="宋体" w:cs="宋体" w:eastAsia="宋体" w:hint="default"/>
                <w:w w:val="100"/>
                <w:sz w:val="21"/>
                <w:szCs w:val="21"/>
              </w:rPr>
              <w:t>套</w:t>
            </w:r>
            <w:r>
              <w:rPr>
                <w:rFonts w:ascii="宋体" w:hAnsi="宋体" w:cs="宋体" w:eastAsia="宋体" w:hint="default"/>
                <w:spacing w:val="-3"/>
                <w:w w:val="100"/>
                <w:sz w:val="21"/>
                <w:szCs w:val="21"/>
              </w:rPr>
              <w:t>期</w:t>
            </w:r>
            <w:r>
              <w:rPr>
                <w:rFonts w:ascii="宋体" w:hAnsi="宋体" w:cs="宋体" w:eastAsia="宋体" w:hint="default"/>
                <w:w w:val="100"/>
                <w:sz w:val="21"/>
                <w:szCs w:val="21"/>
              </w:rPr>
              <w:t>收</w:t>
            </w:r>
            <w:r>
              <w:rPr>
                <w:rFonts w:ascii="宋体" w:hAnsi="宋体" w:cs="宋体" w:eastAsia="宋体" w:hint="default"/>
                <w:spacing w:val="-89"/>
                <w:w w:val="100"/>
                <w:sz w:val="21"/>
                <w:szCs w:val="21"/>
              </w:rPr>
              <w:t>益</w:t>
            </w:r>
            <w:r>
              <w:rPr>
                <w:rFonts w:ascii="宋体" w:hAnsi="宋体" w:cs="宋体" w:eastAsia="宋体" w:hint="default"/>
                <w:spacing w:val="-3"/>
                <w:w w:val="100"/>
                <w:sz w:val="21"/>
                <w:szCs w:val="21"/>
              </w:rPr>
              <w:t>（</w:t>
            </w:r>
            <w:r>
              <w:rPr>
                <w:rFonts w:ascii="宋体" w:hAnsi="宋体" w:cs="宋体" w:eastAsia="宋体" w:hint="default"/>
                <w:w w:val="100"/>
                <w:sz w:val="21"/>
                <w:szCs w:val="21"/>
              </w:rPr>
              <w:t>损</w:t>
            </w:r>
            <w:r>
              <w:rPr>
                <w:rFonts w:ascii="宋体" w:hAnsi="宋体" w:cs="宋体" w:eastAsia="宋体" w:hint="default"/>
                <w:spacing w:val="-3"/>
                <w:w w:val="100"/>
                <w:sz w:val="21"/>
                <w:szCs w:val="21"/>
              </w:rPr>
              <w:t>失</w:t>
            </w:r>
            <w:r>
              <w:rPr>
                <w:rFonts w:ascii="宋体" w:hAnsi="宋体" w:cs="宋体" w:eastAsia="宋体" w:hint="default"/>
                <w:spacing w:val="-87"/>
                <w:w w:val="100"/>
                <w:sz w:val="21"/>
                <w:szCs w:val="21"/>
              </w:rPr>
              <w:t>以</w:t>
            </w:r>
            <w:r>
              <w:rPr>
                <w:rFonts w:ascii="宋体" w:hAnsi="宋体" w:cs="宋体" w:eastAsia="宋体" w:hint="default"/>
                <w:spacing w:val="-3"/>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r>
      <w:tr>
        <w:trPr>
          <w:trHeight w:val="557"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公允价值变动收益（损失以</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r>
      <w:tr>
        <w:trPr>
          <w:trHeight w:val="555"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734" w:right="0"/>
              <w:jc w:val="left"/>
              <w:rPr>
                <w:rFonts w:ascii="宋体" w:hAnsi="宋体" w:cs="宋体" w:eastAsia="宋体" w:hint="default"/>
                <w:sz w:val="21"/>
                <w:szCs w:val="21"/>
              </w:rPr>
            </w:pPr>
            <w:r>
              <w:rPr>
                <w:rFonts w:ascii="宋体" w:hAnsi="宋体" w:cs="宋体" w:eastAsia="宋体" w:hint="default"/>
                <w:sz w:val="21"/>
                <w:szCs w:val="21"/>
              </w:rPr>
              <w:t>信用减值损失（损失以“</w:t>
            </w:r>
            <w:r>
              <w:rPr>
                <w:rFonts w:ascii="宋体" w:hAnsi="宋体" w:cs="宋体" w:eastAsia="宋体" w:hint="default"/>
                <w:sz w:val="21"/>
                <w:szCs w:val="21"/>
              </w:rPr>
              <w:t>-</w:t>
            </w:r>
            <w:r>
              <w:rPr>
                <w:rFonts w:ascii="宋体" w:hAnsi="宋体" w:cs="宋体" w:eastAsia="宋体" w:hint="default"/>
                <w:sz w:val="21"/>
                <w:szCs w:val="21"/>
              </w:rPr>
              <w:t>”</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right"/>
              <w:rPr>
                <w:rFonts w:ascii="宋体" w:hAnsi="宋体" w:cs="宋体" w:eastAsia="宋体" w:hint="default"/>
                <w:sz w:val="21"/>
                <w:szCs w:val="21"/>
              </w:rPr>
            </w:pPr>
            <w:r>
              <w:rPr>
                <w:rFonts w:ascii="宋体"/>
                <w:spacing w:val="-1"/>
                <w:sz w:val="21"/>
              </w:rPr>
              <w:t>132,940,213.63</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734" w:right="0"/>
              <w:jc w:val="left"/>
              <w:rPr>
                <w:rFonts w:ascii="宋体" w:hAnsi="宋体" w:cs="宋体" w:eastAsia="宋体" w:hint="default"/>
                <w:sz w:val="21"/>
                <w:szCs w:val="21"/>
              </w:rPr>
            </w:pPr>
            <w:r>
              <w:rPr>
                <w:rFonts w:ascii="宋体" w:hAnsi="宋体" w:cs="宋体" w:eastAsia="宋体" w:hint="default"/>
                <w:sz w:val="21"/>
                <w:szCs w:val="21"/>
              </w:rPr>
              <w:t>资产减值损失（损失以“</w:t>
            </w:r>
            <w:r>
              <w:rPr>
                <w:rFonts w:ascii="宋体" w:hAnsi="宋体" w:cs="宋体" w:eastAsia="宋体" w:hint="default"/>
                <w:sz w:val="21"/>
                <w:szCs w:val="21"/>
              </w:rPr>
              <w:t>-</w:t>
            </w:r>
            <w:r>
              <w:rPr>
                <w:rFonts w:ascii="宋体" w:hAnsi="宋体" w:cs="宋体" w:eastAsia="宋体" w:hint="default"/>
                <w:sz w:val="21"/>
                <w:szCs w:val="21"/>
              </w:rPr>
              <w:t>”</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-53,257,741.42</w:t>
            </w:r>
            <w:r>
              <w:rPr>
                <w:rFonts w:ascii="宋体"/>
                <w:sz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734" w:right="0"/>
              <w:jc w:val="left"/>
              <w:rPr>
                <w:rFonts w:ascii="宋体" w:hAnsi="宋体" w:cs="宋体" w:eastAsia="宋体" w:hint="default"/>
                <w:sz w:val="21"/>
                <w:szCs w:val="21"/>
              </w:rPr>
            </w:pPr>
            <w:r>
              <w:rPr>
                <w:rFonts w:ascii="宋体" w:hAnsi="宋体" w:cs="宋体" w:eastAsia="宋体" w:hint="default"/>
                <w:sz w:val="21"/>
                <w:szCs w:val="21"/>
              </w:rPr>
              <w:t>资产处置收益（损失以“－”</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-795,578.22</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-597,208.08</w:t>
            </w:r>
            <w:r>
              <w:rPr>
                <w:rFonts w:ascii="宋体"/>
                <w:sz w:val="21"/>
              </w:rPr>
              <w:t> </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4" w:right="-3"/>
              <w:jc w:val="left"/>
              <w:rPr>
                <w:rFonts w:ascii="宋体" w:hAnsi="宋体" w:cs="宋体" w:eastAsia="宋体" w:hint="default"/>
                <w:sz w:val="21"/>
                <w:szCs w:val="21"/>
              </w:rPr>
            </w:pPr>
            <w:r>
              <w:rPr>
                <w:rFonts w:ascii="宋体" w:hAnsi="宋体" w:cs="宋体" w:eastAsia="宋体" w:hint="default"/>
                <w:w w:val="100"/>
                <w:sz w:val="21"/>
                <w:szCs w:val="21"/>
              </w:rPr>
              <w:t>二</w:t>
            </w:r>
            <w:r>
              <w:rPr>
                <w:rFonts w:ascii="宋体" w:hAnsi="宋体" w:cs="宋体" w:eastAsia="宋体" w:hint="default"/>
                <w:spacing w:val="-41"/>
                <w:w w:val="100"/>
                <w:sz w:val="21"/>
                <w:szCs w:val="21"/>
              </w:rPr>
              <w:t>、</w:t>
            </w:r>
            <w:r>
              <w:rPr>
                <w:rFonts w:ascii="宋体" w:hAnsi="宋体" w:cs="宋体" w:eastAsia="宋体" w:hint="default"/>
                <w:w w:val="100"/>
                <w:sz w:val="21"/>
                <w:szCs w:val="21"/>
              </w:rPr>
              <w:t>营</w:t>
            </w:r>
            <w:r>
              <w:rPr>
                <w:rFonts w:ascii="宋体" w:hAnsi="宋体" w:cs="宋体" w:eastAsia="宋体" w:hint="default"/>
                <w:spacing w:val="-3"/>
                <w:w w:val="100"/>
                <w:sz w:val="21"/>
                <w:szCs w:val="21"/>
              </w:rPr>
              <w:t>业</w:t>
            </w:r>
            <w:r>
              <w:rPr>
                <w:rFonts w:ascii="宋体" w:hAnsi="宋体" w:cs="宋体" w:eastAsia="宋体" w:hint="default"/>
                <w:w w:val="100"/>
                <w:sz w:val="21"/>
                <w:szCs w:val="21"/>
              </w:rPr>
              <w:t>利</w:t>
            </w:r>
            <w:r>
              <w:rPr>
                <w:rFonts w:ascii="宋体" w:hAnsi="宋体" w:cs="宋体" w:eastAsia="宋体" w:hint="default"/>
                <w:spacing w:val="-41"/>
                <w:w w:val="100"/>
                <w:sz w:val="21"/>
                <w:szCs w:val="21"/>
              </w:rPr>
              <w:t>润</w:t>
            </w:r>
            <w:r>
              <w:rPr>
                <w:rFonts w:ascii="宋体" w:hAnsi="宋体" w:cs="宋体" w:eastAsia="宋体" w:hint="default"/>
                <w:w w:val="100"/>
                <w:sz w:val="21"/>
                <w:szCs w:val="21"/>
              </w:rPr>
              <w:t>（</w:t>
            </w:r>
            <w:r>
              <w:rPr>
                <w:rFonts w:ascii="宋体" w:hAnsi="宋体" w:cs="宋体" w:eastAsia="宋体" w:hint="default"/>
                <w:spacing w:val="-3"/>
                <w:w w:val="100"/>
                <w:sz w:val="21"/>
                <w:szCs w:val="21"/>
              </w:rPr>
              <w:t>亏</w:t>
            </w:r>
            <w:r>
              <w:rPr>
                <w:rFonts w:ascii="宋体" w:hAnsi="宋体" w:cs="宋体" w:eastAsia="宋体" w:hint="default"/>
                <w:w w:val="100"/>
                <w:sz w:val="21"/>
                <w:szCs w:val="21"/>
              </w:rPr>
              <w:t>损</w:t>
            </w:r>
            <w:r>
              <w:rPr>
                <w:rFonts w:ascii="宋体" w:hAnsi="宋体" w:cs="宋体" w:eastAsia="宋体" w:hint="default"/>
                <w:spacing w:val="-41"/>
                <w:w w:val="100"/>
                <w:sz w:val="21"/>
                <w:szCs w:val="21"/>
              </w:rPr>
              <w:t>以</w:t>
            </w:r>
            <w:r>
              <w:rPr>
                <w:rFonts w:ascii="宋体" w:hAnsi="宋体" w:cs="宋体" w:eastAsia="宋体" w:hint="default"/>
                <w:w w:val="100"/>
                <w:sz w:val="21"/>
                <w:szCs w:val="21"/>
              </w:rPr>
              <w:t>“</w:t>
            </w:r>
            <w:r>
              <w:rPr>
                <w:rFonts w:ascii="宋体" w:hAnsi="宋体" w:cs="宋体" w:eastAsia="宋体" w:hint="default"/>
                <w:spacing w:val="-3"/>
                <w:w w:val="100"/>
                <w:sz w:val="21"/>
                <w:szCs w:val="21"/>
              </w:rPr>
              <w:t>－</w:t>
            </w:r>
            <w:r>
              <w:rPr>
                <w:rFonts w:ascii="宋体" w:hAnsi="宋体" w:cs="宋体" w:eastAsia="宋体" w:hint="default"/>
                <w:spacing w:val="-39"/>
                <w:w w:val="100"/>
                <w:sz w:val="21"/>
                <w:szCs w:val="21"/>
              </w:rPr>
              <w:t>”</w:t>
            </w:r>
            <w:r>
              <w:rPr>
                <w:rFonts w:ascii="宋体" w:hAnsi="宋体" w:cs="宋体" w:eastAsia="宋体" w:hint="default"/>
                <w:spacing w:val="-3"/>
                <w:w w:val="100"/>
                <w:sz w:val="21"/>
                <w:szCs w:val="21"/>
              </w:rPr>
              <w:t>号</w:t>
            </w:r>
            <w:r>
              <w:rPr>
                <w:rFonts w:ascii="宋体" w:hAnsi="宋体" w:cs="宋体" w:eastAsia="宋体" w:hint="default"/>
                <w:w w:val="100"/>
                <w:sz w:val="21"/>
                <w:szCs w:val="21"/>
              </w:rPr>
              <w:t>填</w:t>
            </w:r>
            <w:r>
              <w:rPr>
                <w:rFonts w:ascii="宋体" w:hAnsi="宋体" w:cs="宋体" w:eastAsia="宋体" w:hint="default"/>
                <w:spacing w:val="-3"/>
                <w:w w:val="100"/>
                <w:sz w:val="21"/>
                <w:szCs w:val="21"/>
              </w:rPr>
              <w:t>列</w:t>
            </w:r>
            <w:r>
              <w:rPr>
                <w:rFonts w:ascii="宋体" w:hAnsi="宋体" w:cs="宋体" w:eastAsia="宋体" w:hint="default"/>
                <w:spacing w:val="-108"/>
                <w:w w:val="100"/>
                <w:sz w:val="21"/>
                <w:szCs w:val="21"/>
              </w:rPr>
              <w:t>）</w:t>
            </w:r>
            <w:r>
              <w:rPr>
                <w:rFonts w:ascii="宋体" w:hAnsi="宋体" w:cs="宋体" w:eastAsia="宋体" w:hint="default"/>
                <w:w w:val="100"/>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181,775,886.31</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58,850,540.66</w:t>
            </w:r>
            <w:r>
              <w:rPr>
                <w:rFonts w:ascii="宋体"/>
                <w:sz w:val="21"/>
              </w:rPr>
              <w:t> </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加：营业外收入</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571,009.37</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5,729,118.52</w:t>
            </w:r>
            <w:r>
              <w:rPr>
                <w:rFonts w:ascii="宋体"/>
                <w:sz w:val="21"/>
              </w:rPr>
              <w:t> </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减：营业外支出</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782,663.16</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823,868.64</w:t>
            </w:r>
            <w:r>
              <w:rPr>
                <w:rFonts w:ascii="宋体"/>
                <w:sz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84" w:right="0"/>
              <w:jc w:val="left"/>
              <w:rPr>
                <w:rFonts w:ascii="宋体" w:hAnsi="宋体" w:cs="宋体" w:eastAsia="宋体" w:hint="default"/>
                <w:sz w:val="21"/>
                <w:szCs w:val="21"/>
              </w:rPr>
            </w:pPr>
            <w:r>
              <w:rPr>
                <w:rFonts w:ascii="宋体" w:hAnsi="宋体" w:cs="宋体" w:eastAsia="宋体" w:hint="default"/>
                <w:spacing w:val="-5"/>
                <w:sz w:val="21"/>
                <w:szCs w:val="21"/>
              </w:rPr>
              <w:t>三、利润总额（亏损总额以“－”号</w:t>
            </w:r>
          </w:p>
          <w:p>
            <w:pPr>
              <w:pStyle w:val="TableParagraph"/>
              <w:spacing w:line="273" w:lineRule="exact"/>
              <w:ind w:left="84" w:right="0"/>
              <w:jc w:val="left"/>
              <w:rPr>
                <w:rFonts w:ascii="宋体" w:hAnsi="宋体" w:cs="宋体" w:eastAsia="宋体" w:hint="default"/>
                <w:sz w:val="21"/>
                <w:szCs w:val="21"/>
              </w:rPr>
            </w:pPr>
            <w:r>
              <w:rPr>
                <w:rFonts w:ascii="宋体" w:hAnsi="宋体" w:cs="宋体" w:eastAsia="宋体" w:hint="default"/>
                <w:sz w:val="21"/>
                <w:szCs w:val="21"/>
              </w:rPr>
              <w:t>填列）</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181,564,232.52</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63,755,790.54</w:t>
            </w:r>
            <w:r>
              <w:rPr>
                <w:rFonts w:ascii="宋体"/>
                <w:sz w:val="21"/>
              </w:rPr>
              <w:t> </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03" w:right="0"/>
              <w:jc w:val="left"/>
              <w:rPr>
                <w:rFonts w:ascii="宋体" w:hAnsi="宋体" w:cs="宋体" w:eastAsia="宋体" w:hint="default"/>
                <w:sz w:val="21"/>
                <w:szCs w:val="21"/>
              </w:rPr>
            </w:pPr>
            <w:r>
              <w:rPr>
                <w:rFonts w:ascii="宋体" w:hAnsi="宋体" w:cs="宋体" w:eastAsia="宋体" w:hint="default"/>
                <w:sz w:val="21"/>
                <w:szCs w:val="21"/>
              </w:rPr>
              <w:t>减：所得税费用</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32,371,372.40</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-4,091,361.40</w:t>
            </w:r>
            <w:r>
              <w:rPr>
                <w:rFonts w:ascii="宋体"/>
                <w:sz w:val="21"/>
              </w:rPr>
              <w:t> </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4" w:right="-3"/>
              <w:jc w:val="left"/>
              <w:rPr>
                <w:rFonts w:ascii="宋体" w:hAnsi="宋体" w:cs="宋体" w:eastAsia="宋体" w:hint="default"/>
                <w:sz w:val="21"/>
                <w:szCs w:val="21"/>
              </w:rPr>
            </w:pPr>
            <w:r>
              <w:rPr>
                <w:rFonts w:ascii="宋体" w:hAnsi="宋体" w:cs="宋体" w:eastAsia="宋体" w:hint="default"/>
                <w:w w:val="100"/>
                <w:sz w:val="21"/>
                <w:szCs w:val="21"/>
              </w:rPr>
              <w:t>四</w:t>
            </w:r>
            <w:r>
              <w:rPr>
                <w:rFonts w:ascii="宋体" w:hAnsi="宋体" w:cs="宋体" w:eastAsia="宋体" w:hint="default"/>
                <w:spacing w:val="-41"/>
                <w:w w:val="100"/>
                <w:sz w:val="21"/>
                <w:szCs w:val="21"/>
              </w:rPr>
              <w:t>、</w:t>
            </w:r>
            <w:r>
              <w:rPr>
                <w:rFonts w:ascii="宋体" w:hAnsi="宋体" w:cs="宋体" w:eastAsia="宋体" w:hint="default"/>
                <w:w w:val="100"/>
                <w:sz w:val="21"/>
                <w:szCs w:val="21"/>
              </w:rPr>
              <w:t>净</w:t>
            </w:r>
            <w:r>
              <w:rPr>
                <w:rFonts w:ascii="宋体" w:hAnsi="宋体" w:cs="宋体" w:eastAsia="宋体" w:hint="default"/>
                <w:spacing w:val="-3"/>
                <w:w w:val="100"/>
                <w:sz w:val="21"/>
                <w:szCs w:val="21"/>
              </w:rPr>
              <w:t>利</w:t>
            </w:r>
            <w:r>
              <w:rPr>
                <w:rFonts w:ascii="宋体" w:hAnsi="宋体" w:cs="宋体" w:eastAsia="宋体" w:hint="default"/>
                <w:spacing w:val="-39"/>
                <w:w w:val="100"/>
                <w:sz w:val="21"/>
                <w:szCs w:val="21"/>
              </w:rPr>
              <w:t>润</w:t>
            </w:r>
            <w:r>
              <w:rPr>
                <w:rFonts w:ascii="宋体" w:hAnsi="宋体" w:cs="宋体" w:eastAsia="宋体" w:hint="default"/>
                <w:spacing w:val="-3"/>
                <w:w w:val="100"/>
                <w:sz w:val="21"/>
                <w:szCs w:val="21"/>
              </w:rPr>
              <w:t>（</w:t>
            </w:r>
            <w:r>
              <w:rPr>
                <w:rFonts w:ascii="宋体" w:hAnsi="宋体" w:cs="宋体" w:eastAsia="宋体" w:hint="default"/>
                <w:w w:val="100"/>
                <w:sz w:val="21"/>
                <w:szCs w:val="21"/>
              </w:rPr>
              <w:t>净</w:t>
            </w:r>
            <w:r>
              <w:rPr>
                <w:rFonts w:ascii="宋体" w:hAnsi="宋体" w:cs="宋体" w:eastAsia="宋体" w:hint="default"/>
                <w:spacing w:val="-3"/>
                <w:w w:val="100"/>
                <w:sz w:val="21"/>
                <w:szCs w:val="21"/>
              </w:rPr>
              <w:t>亏</w:t>
            </w:r>
            <w:r>
              <w:rPr>
                <w:rFonts w:ascii="宋体" w:hAnsi="宋体" w:cs="宋体" w:eastAsia="宋体" w:hint="default"/>
                <w:w w:val="100"/>
                <w:sz w:val="21"/>
                <w:szCs w:val="21"/>
              </w:rPr>
              <w:t>损</w:t>
            </w:r>
            <w:r>
              <w:rPr>
                <w:rFonts w:ascii="宋体" w:hAnsi="宋体" w:cs="宋体" w:eastAsia="宋体" w:hint="default"/>
                <w:spacing w:val="-41"/>
                <w:w w:val="100"/>
                <w:sz w:val="21"/>
                <w:szCs w:val="21"/>
              </w:rPr>
              <w:t>以</w:t>
            </w:r>
            <w:r>
              <w:rPr>
                <w:rFonts w:ascii="宋体" w:hAnsi="宋体" w:cs="宋体" w:eastAsia="宋体" w:hint="default"/>
                <w:w w:val="100"/>
                <w:sz w:val="21"/>
                <w:szCs w:val="21"/>
              </w:rPr>
              <w:t>“</w:t>
            </w:r>
            <w:r>
              <w:rPr>
                <w:rFonts w:ascii="宋体" w:hAnsi="宋体" w:cs="宋体" w:eastAsia="宋体" w:hint="default"/>
                <w:spacing w:val="-3"/>
                <w:w w:val="100"/>
                <w:sz w:val="21"/>
                <w:szCs w:val="21"/>
              </w:rPr>
              <w:t>－</w:t>
            </w:r>
            <w:r>
              <w:rPr>
                <w:rFonts w:ascii="宋体" w:hAnsi="宋体" w:cs="宋体" w:eastAsia="宋体" w:hint="default"/>
                <w:spacing w:val="-39"/>
                <w:w w:val="100"/>
                <w:sz w:val="21"/>
                <w:szCs w:val="21"/>
              </w:rPr>
              <w:t>”</w:t>
            </w:r>
            <w:r>
              <w:rPr>
                <w:rFonts w:ascii="宋体" w:hAnsi="宋体" w:cs="宋体" w:eastAsia="宋体" w:hint="default"/>
                <w:spacing w:val="-3"/>
                <w:w w:val="100"/>
                <w:sz w:val="21"/>
                <w:szCs w:val="21"/>
              </w:rPr>
              <w:t>号</w:t>
            </w:r>
            <w:r>
              <w:rPr>
                <w:rFonts w:ascii="宋体" w:hAnsi="宋体" w:cs="宋体" w:eastAsia="宋体" w:hint="default"/>
                <w:w w:val="100"/>
                <w:sz w:val="21"/>
                <w:szCs w:val="21"/>
              </w:rPr>
              <w:t>填</w:t>
            </w:r>
            <w:r>
              <w:rPr>
                <w:rFonts w:ascii="宋体" w:hAnsi="宋体" w:cs="宋体" w:eastAsia="宋体" w:hint="default"/>
                <w:spacing w:val="-3"/>
                <w:w w:val="100"/>
                <w:sz w:val="21"/>
                <w:szCs w:val="21"/>
              </w:rPr>
              <w:t>列</w:t>
            </w:r>
            <w:r>
              <w:rPr>
                <w:rFonts w:ascii="宋体" w:hAnsi="宋体" w:cs="宋体" w:eastAsia="宋体" w:hint="default"/>
                <w:spacing w:val="-108"/>
                <w:w w:val="100"/>
                <w:sz w:val="21"/>
                <w:szCs w:val="21"/>
              </w:rPr>
              <w:t>）</w:t>
            </w:r>
            <w:r>
              <w:rPr>
                <w:rFonts w:ascii="宋体" w:hAnsi="宋体" w:cs="宋体" w:eastAsia="宋体" w:hint="default"/>
                <w:w w:val="100"/>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149,192,860.12</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67,847,151.94</w:t>
            </w:r>
            <w:r>
              <w:rPr>
                <w:rFonts w:ascii="宋体"/>
                <w:sz w:val="21"/>
              </w:rPr>
              <w:t> </w:t>
            </w:r>
          </w:p>
        </w:tc>
      </w:tr>
      <w:tr>
        <w:trPr>
          <w:trHeight w:val="555"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31" w:right="0"/>
              <w:jc w:val="left"/>
              <w:rPr>
                <w:rFonts w:ascii="宋体" w:hAnsi="宋体" w:cs="宋体" w:eastAsia="宋体" w:hint="default"/>
                <w:sz w:val="21"/>
                <w:szCs w:val="21"/>
              </w:rPr>
            </w:pPr>
            <w:r>
              <w:rPr>
                <w:rFonts w:ascii="宋体" w:hAnsi="宋体" w:cs="宋体" w:eastAsia="宋体" w:hint="default"/>
                <w:spacing w:val="-7"/>
                <w:sz w:val="21"/>
                <w:szCs w:val="21"/>
              </w:rPr>
              <w:t>（一）持续经营净利润（净亏损以</w:t>
            </w:r>
          </w:p>
          <w:p>
            <w:pPr>
              <w:pStyle w:val="TableParagraph"/>
              <w:spacing w:line="275"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right"/>
              <w:rPr>
                <w:rFonts w:ascii="宋体" w:hAnsi="宋体" w:cs="宋体" w:eastAsia="宋体" w:hint="default"/>
                <w:sz w:val="21"/>
                <w:szCs w:val="21"/>
              </w:rPr>
            </w:pPr>
            <w:r>
              <w:rPr>
                <w:rFonts w:ascii="宋体"/>
                <w:spacing w:val="-1"/>
                <w:sz w:val="21"/>
              </w:rPr>
              <w:t>149,192,860.12</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right"/>
              <w:rPr>
                <w:rFonts w:ascii="宋体" w:hAnsi="宋体" w:cs="宋体" w:eastAsia="宋体" w:hint="default"/>
                <w:sz w:val="21"/>
                <w:szCs w:val="21"/>
              </w:rPr>
            </w:pPr>
            <w:r>
              <w:rPr>
                <w:rFonts w:ascii="宋体"/>
                <w:spacing w:val="-1"/>
                <w:sz w:val="21"/>
              </w:rPr>
              <w:t>67,847,151.94</w:t>
            </w:r>
            <w:r>
              <w:rPr>
                <w:rFonts w:ascii="宋体"/>
                <w:sz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31" w:right="0"/>
              <w:jc w:val="left"/>
              <w:rPr>
                <w:rFonts w:ascii="宋体" w:hAnsi="宋体" w:cs="宋体" w:eastAsia="宋体" w:hint="default"/>
                <w:sz w:val="21"/>
                <w:szCs w:val="21"/>
              </w:rPr>
            </w:pPr>
            <w:r>
              <w:rPr>
                <w:rFonts w:ascii="宋体" w:hAnsi="宋体" w:cs="宋体" w:eastAsia="宋体" w:hint="default"/>
                <w:spacing w:val="-7"/>
                <w:sz w:val="21"/>
                <w:szCs w:val="21"/>
              </w:rPr>
              <w:t>（二）终止经营净利润（净亏损以</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62" w:right="0"/>
              <w:jc w:val="left"/>
              <w:rPr>
                <w:rFonts w:ascii="宋体" w:hAnsi="宋体" w:cs="宋体" w:eastAsia="宋体" w:hint="default"/>
                <w:sz w:val="21"/>
                <w:szCs w:val="21"/>
              </w:rPr>
            </w:pPr>
            <w:r>
              <w:rPr>
                <w:rFonts w:ascii="宋体" w:hAnsi="宋体" w:cs="宋体" w:eastAsia="宋体" w:hint="default"/>
                <w:sz w:val="21"/>
                <w:szCs w:val="21"/>
              </w:rPr>
              <w:t>五、其他综合收益的税后净额</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pacing w:val="-6"/>
                <w:sz w:val="21"/>
                <w:szCs w:val="21"/>
              </w:rPr>
              <w:t>（一）不能重分类进损益的其他综</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合收益</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重新计量设定受益计划变动</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额</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权益法下不能转损益的其他</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综合收益</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2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其他权益工具投资公允价值</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bl>
    <w:p>
      <w:pPr>
        <w:spacing w:after="0" w:line="243" w:lineRule="exact"/>
        <w:jc w:val="right"/>
        <w:rPr>
          <w:rFonts w:ascii="宋体" w:hAnsi="宋体" w:cs="宋体" w:eastAsia="宋体" w:hint="default"/>
          <w:sz w:val="21"/>
          <w:szCs w:val="21"/>
        </w:rPr>
        <w:sectPr>
          <w:type w:val="continuous"/>
          <w:pgSz w:w="11910" w:h="16840"/>
          <w:pgMar w:top="1580" w:bottom="280" w:left="1580" w:right="1040"/>
        </w:sectPr>
      </w:pPr>
    </w:p>
    <w:p>
      <w:pPr>
        <w:spacing w:line="240" w:lineRule="auto" w:before="9"/>
        <w:rPr>
          <w:rFonts w:ascii="宋体" w:hAnsi="宋体" w:cs="宋体" w:eastAsia="宋体" w:hint="default"/>
          <w:b/>
          <w:bCs/>
          <w:sz w:val="29"/>
          <w:szCs w:val="29"/>
        </w:rPr>
      </w:pPr>
    </w:p>
    <w:tbl>
      <w:tblPr>
        <w:tblW w:w="0" w:type="auto"/>
        <w:jc w:val="left"/>
        <w:tblInd w:w="105" w:type="dxa"/>
        <w:tblLayout w:type="fixed"/>
        <w:tblCellMar>
          <w:top w:w="0" w:type="dxa"/>
          <w:left w:w="0" w:type="dxa"/>
          <w:bottom w:w="0" w:type="dxa"/>
          <w:right w:w="0" w:type="dxa"/>
        </w:tblCellMar>
        <w:tblLook w:val="01E0"/>
      </w:tblPr>
      <w:tblGrid>
        <w:gridCol w:w="3507"/>
        <w:gridCol w:w="1517"/>
        <w:gridCol w:w="2009"/>
        <w:gridCol w:w="2017"/>
      </w:tblGrid>
      <w:tr>
        <w:trPr>
          <w:trHeight w:val="28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变动</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企业自身信用风险公允价值</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变动</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pacing w:val="-6"/>
                <w:sz w:val="21"/>
                <w:szCs w:val="21"/>
              </w:rPr>
              <w:t>（二）将重分类进损益的其他综合</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收益</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权益法下可转损益的其他综</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合收益</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34"/>
              <w:jc w:val="right"/>
              <w:rPr>
                <w:rFonts w:ascii="宋体" w:hAnsi="宋体" w:cs="宋体" w:eastAsia="宋体" w:hint="default"/>
                <w:sz w:val="21"/>
                <w:szCs w:val="21"/>
              </w:rPr>
            </w:pPr>
            <w:r>
              <w:rPr>
                <w:rFonts w:ascii="宋体" w:hAnsi="宋体" w:cs="宋体" w:eastAsia="宋体" w:hint="default"/>
                <w:spacing w:val="-2"/>
                <w:sz w:val="21"/>
                <w:szCs w:val="21"/>
              </w:rPr>
              <w:t>2.</w:t>
            </w:r>
            <w:r>
              <w:rPr>
                <w:rFonts w:ascii="宋体" w:hAnsi="宋体" w:cs="宋体" w:eastAsia="宋体" w:hint="default"/>
                <w:spacing w:val="-2"/>
                <w:sz w:val="21"/>
                <w:szCs w:val="21"/>
              </w:rPr>
              <w:t>其他债权投资公允价值变动</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可供出售金融资产公允价值</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变动损益</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金融资产重分类计入其他综</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合收益的金额</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r>
      <w:tr>
        <w:trPr>
          <w:trHeight w:val="555"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z w:val="21"/>
                <w:szCs w:val="21"/>
              </w:rPr>
              <w:t>持有至到期投资重分类为可</w:t>
            </w:r>
          </w:p>
          <w:p>
            <w:pPr>
              <w:pStyle w:val="TableParagraph"/>
              <w:spacing w:line="275" w:lineRule="exact"/>
              <w:ind w:left="103" w:right="0"/>
              <w:jc w:val="left"/>
              <w:rPr>
                <w:rFonts w:ascii="宋体" w:hAnsi="宋体" w:cs="宋体" w:eastAsia="宋体" w:hint="default"/>
                <w:sz w:val="21"/>
                <w:szCs w:val="21"/>
              </w:rPr>
            </w:pPr>
            <w:r>
              <w:rPr>
                <w:rFonts w:ascii="宋体" w:hAnsi="宋体" w:cs="宋体" w:eastAsia="宋体" w:hint="default"/>
                <w:sz w:val="21"/>
                <w:szCs w:val="21"/>
              </w:rPr>
              <w:t>供出售金融资产损益</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34"/>
              <w:jc w:val="right"/>
              <w:rPr>
                <w:rFonts w:ascii="宋体" w:hAnsi="宋体" w:cs="宋体" w:eastAsia="宋体" w:hint="default"/>
                <w:sz w:val="21"/>
                <w:szCs w:val="21"/>
              </w:rPr>
            </w:pPr>
            <w:r>
              <w:rPr>
                <w:rFonts w:ascii="宋体" w:hAnsi="宋体" w:cs="宋体" w:eastAsia="宋体" w:hint="default"/>
                <w:spacing w:val="-2"/>
                <w:sz w:val="21"/>
                <w:szCs w:val="21"/>
              </w:rPr>
              <w:t>6.</w:t>
            </w:r>
            <w:r>
              <w:rPr>
                <w:rFonts w:ascii="宋体" w:hAnsi="宋体" w:cs="宋体" w:eastAsia="宋体" w:hint="default"/>
                <w:spacing w:val="-2"/>
                <w:sz w:val="21"/>
                <w:szCs w:val="21"/>
              </w:rPr>
              <w:t>其他债权投资信用减值准备</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pacing w:val="-6"/>
                <w:sz w:val="21"/>
                <w:szCs w:val="21"/>
              </w:rPr>
              <w:t>7.</w:t>
            </w:r>
            <w:r>
              <w:rPr>
                <w:rFonts w:ascii="宋体" w:hAnsi="宋体" w:cs="宋体" w:eastAsia="宋体" w:hint="default"/>
                <w:spacing w:val="-6"/>
                <w:sz w:val="21"/>
                <w:szCs w:val="21"/>
              </w:rPr>
              <w:t>现金流量套期储备（现金流量</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套期损益的有效部分）</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8.</w:t>
            </w:r>
            <w:r>
              <w:rPr>
                <w:rFonts w:ascii="宋体" w:hAnsi="宋体" w:cs="宋体" w:eastAsia="宋体" w:hint="default"/>
                <w:sz w:val="21"/>
                <w:szCs w:val="21"/>
              </w:rPr>
              <w:t>外币财务报表折算差额</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9.</w:t>
            </w:r>
            <w:r>
              <w:rPr>
                <w:rFonts w:ascii="宋体" w:hAnsi="宋体" w:cs="宋体" w:eastAsia="宋体" w:hint="default"/>
                <w:sz w:val="21"/>
                <w:szCs w:val="21"/>
              </w:rPr>
              <w:t>其他</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84" w:right="0"/>
              <w:jc w:val="left"/>
              <w:rPr>
                <w:rFonts w:ascii="宋体" w:hAnsi="宋体" w:cs="宋体" w:eastAsia="宋体" w:hint="default"/>
                <w:sz w:val="21"/>
                <w:szCs w:val="21"/>
              </w:rPr>
            </w:pPr>
            <w:r>
              <w:rPr>
                <w:rFonts w:ascii="宋体" w:hAnsi="宋体" w:cs="宋体" w:eastAsia="宋体" w:hint="default"/>
                <w:sz w:val="21"/>
                <w:szCs w:val="21"/>
              </w:rPr>
              <w:t>六、综合收益总额</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149,192,860.12</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67,847,151.94</w:t>
            </w:r>
            <w:r>
              <w:rPr>
                <w:rFonts w:ascii="宋体"/>
                <w:sz w:val="21"/>
              </w:rPr>
              <w:t> </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2" w:right="0"/>
              <w:jc w:val="left"/>
              <w:rPr>
                <w:rFonts w:ascii="宋体" w:hAnsi="宋体" w:cs="宋体" w:eastAsia="宋体" w:hint="default"/>
                <w:sz w:val="21"/>
                <w:szCs w:val="21"/>
              </w:rPr>
            </w:pPr>
            <w:r>
              <w:rPr>
                <w:rFonts w:ascii="宋体" w:hAnsi="宋体" w:cs="宋体" w:eastAsia="宋体" w:hint="default"/>
                <w:sz w:val="21"/>
                <w:szCs w:val="21"/>
              </w:rPr>
              <w:t>七、每股收益：</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03" w:right="0"/>
              <w:jc w:val="left"/>
              <w:rPr>
                <w:rFonts w:ascii="宋体" w:hAnsi="宋体" w:cs="宋体" w:eastAsia="宋体" w:hint="default"/>
                <w:sz w:val="21"/>
                <w:szCs w:val="21"/>
              </w:rPr>
            </w:pPr>
            <w:r>
              <w:rPr>
                <w:rFonts w:ascii="宋体" w:hAnsi="宋体" w:cs="宋体" w:eastAsia="宋体" w:hint="default"/>
                <w:sz w:val="21"/>
                <w:szCs w:val="21"/>
              </w:rPr>
              <w:t>（一）基本每股收益</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股</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03" w:right="0"/>
              <w:jc w:val="left"/>
              <w:rPr>
                <w:rFonts w:ascii="宋体" w:hAnsi="宋体" w:cs="宋体" w:eastAsia="宋体" w:hint="default"/>
                <w:sz w:val="21"/>
                <w:szCs w:val="21"/>
              </w:rPr>
            </w:pPr>
            <w:r>
              <w:rPr>
                <w:rFonts w:ascii="宋体" w:hAnsi="宋体" w:cs="宋体" w:eastAsia="宋体" w:hint="default"/>
                <w:sz w:val="21"/>
                <w:szCs w:val="21"/>
              </w:rPr>
              <w:t>（二）稀释每股收益</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股</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bl>
    <w:p>
      <w:pPr>
        <w:pStyle w:val="BodyText"/>
        <w:spacing w:line="240" w:lineRule="exact"/>
        <w:ind w:right="0"/>
        <w:jc w:val="left"/>
        <w:rPr>
          <w:rFonts w:ascii="宋体" w:hAnsi="宋体" w:cs="宋体" w:eastAsia="宋体" w:hint="default"/>
        </w:rPr>
      </w:pPr>
      <w:r>
        <w:rPr/>
        <w:t>法定代表人：陆永华        </w:t>
      </w:r>
      <w:r>
        <w:rPr>
          <w:rFonts w:ascii="宋体" w:hAnsi="宋体" w:cs="宋体" w:eastAsia="宋体" w:hint="default"/>
        </w:rPr>
      </w:r>
      <w:r>
        <w:rPr/>
        <w:t>主管会计工作负责人：虞海娟       </w:t>
      </w:r>
      <w:r>
        <w:rPr>
          <w:spacing w:val="90"/>
        </w:rPr>
        <w:t> </w:t>
      </w:r>
      <w:r>
        <w:rPr>
          <w:rFonts w:ascii="宋体" w:hAnsi="宋体" w:cs="宋体" w:eastAsia="宋体" w:hint="default"/>
          <w:spacing w:val="90"/>
        </w:rPr>
      </w:r>
      <w:r>
        <w:rPr/>
        <w:t>会计机构负责人：周辉</w:t>
      </w:r>
      <w:r>
        <w:rPr>
          <w:rFonts w:ascii="宋体" w:hAnsi="宋体" w:cs="宋体" w:eastAsia="宋体" w:hint="default"/>
        </w:rPr>
        <w:t> </w:t>
      </w:r>
    </w:p>
    <w:p>
      <w:pPr>
        <w:pStyle w:val="BodyText"/>
        <w:spacing w:line="272" w:lineRule="exact"/>
        <w:ind w:right="0"/>
        <w:jc w:val="left"/>
        <w:rPr>
          <w:rFonts w:ascii="宋体" w:hAnsi="宋体" w:cs="宋体" w:eastAsia="宋体" w:hint="default"/>
        </w:rPr>
      </w:pPr>
      <w:r>
        <w:rPr>
          <w:rFonts w:ascii="宋体"/>
          <w:color w:val="FF0000"/>
          <w:w w:val="100"/>
        </w:rPr>
        <w:t> </w:t>
      </w:r>
      <w:r>
        <w:rPr>
          <w:rFonts w:ascii="宋体"/>
          <w:w w:val="100"/>
        </w:rPr>
      </w:r>
    </w:p>
    <w:p>
      <w:pPr>
        <w:pStyle w:val="BodyText"/>
        <w:tabs>
          <w:tab w:pos="3098" w:val="left" w:leader="none"/>
        </w:tabs>
        <w:spacing w:line="273" w:lineRule="exact"/>
        <w:ind w:right="0"/>
        <w:jc w:val="left"/>
        <w:rPr>
          <w:rFonts w:ascii="宋体" w:hAnsi="宋体" w:cs="宋体" w:eastAsia="宋体" w:hint="default"/>
        </w:rPr>
      </w:pPr>
      <w:r>
        <w:rPr>
          <w:rFonts w:ascii="宋体"/>
          <w:color w:val="FF0000"/>
          <w:w w:val="100"/>
        </w:rPr>
        <w:t> </w:t>
      </w:r>
      <w:r>
        <w:rPr>
          <w:rFonts w:ascii="宋体"/>
          <w:color w:val="FF0000"/>
        </w:rPr>
        <w:tab/>
      </w:r>
      <w:r>
        <w:rPr>
          <w:rFonts w:ascii="宋体"/>
          <w:color w:val="FF0000"/>
          <w:w w:val="100"/>
        </w:rPr>
        <w:t> </w:t>
      </w:r>
      <w:r>
        <w:rPr>
          <w:rFonts w:ascii="宋体"/>
          <w:w w:val="100"/>
        </w:rPr>
      </w:r>
    </w:p>
    <w:p>
      <w:pPr>
        <w:spacing w:after="0" w:line="273" w:lineRule="exact"/>
        <w:jc w:val="left"/>
        <w:rPr>
          <w:rFonts w:ascii="宋体" w:hAnsi="宋体" w:cs="宋体" w:eastAsia="宋体" w:hint="default"/>
        </w:rPr>
        <w:sectPr>
          <w:pgSz w:w="11910" w:h="16840"/>
          <w:pgMar w:header="743" w:footer="974" w:top="1120" w:bottom="1160" w:left="1580" w:right="1040"/>
        </w:sectPr>
      </w:pPr>
    </w:p>
    <w:p>
      <w:pPr>
        <w:spacing w:line="240" w:lineRule="auto" w:before="4"/>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pgSz w:w="11910" w:h="16840"/>
          <w:pgMar w:header="743" w:footer="974" w:top="1120" w:bottom="1160" w:left="1480" w:right="960"/>
        </w:sectPr>
      </w:pPr>
    </w:p>
    <w:p>
      <w:pPr>
        <w:spacing w:before="36"/>
        <w:ind w:left="3973" w:right="0" w:firstLine="21"/>
        <w:jc w:val="right"/>
        <w:rPr>
          <w:rFonts w:ascii="宋体" w:hAnsi="宋体" w:cs="宋体" w:eastAsia="宋体" w:hint="default"/>
          <w:sz w:val="21"/>
          <w:szCs w:val="21"/>
        </w:rPr>
      </w:pPr>
      <w:r>
        <w:rPr>
          <w:rFonts w:ascii="宋体" w:hAnsi="宋体" w:cs="宋体" w:eastAsia="宋体" w:hint="default"/>
          <w:b/>
          <w:bCs/>
          <w:spacing w:val="-1"/>
          <w:sz w:val="21"/>
          <w:szCs w:val="21"/>
        </w:rPr>
        <w:t>合并现金流量表</w:t>
      </w:r>
      <w:r>
        <w:rPr>
          <w:rFonts w:ascii="宋体" w:hAnsi="宋体" w:cs="宋体" w:eastAsia="宋体" w:hint="default"/>
          <w:b/>
          <w:bCs/>
          <w:w w:val="99"/>
          <w:sz w:val="21"/>
          <w:szCs w:val="21"/>
        </w:rPr>
        <w:t> </w:t>
      </w: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6"/>
        <w:rPr>
          <w:rFonts w:ascii="宋体" w:hAnsi="宋体" w:cs="宋体" w:eastAsia="宋体" w:hint="default"/>
          <w:b/>
          <w:bCs/>
          <w:sz w:val="24"/>
          <w:szCs w:val="24"/>
        </w:rPr>
      </w:pPr>
    </w:p>
    <w:p>
      <w:pPr>
        <w:pStyle w:val="BodyText"/>
        <w:spacing w:line="240" w:lineRule="auto"/>
        <w:ind w:left="1409" w:right="0"/>
        <w:jc w:val="left"/>
        <w:rPr>
          <w:rFonts w:ascii="宋体" w:hAnsi="宋体" w:cs="宋体" w:eastAsia="宋体" w:hint="default"/>
        </w:rPr>
      </w:pPr>
      <w:r>
        <w:rPr/>
        <w:t>单位：元币种：人民币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580" w:bottom="280" w:left="1480" w:right="960"/>
          <w:cols w:num="2" w:equalWidth="0">
            <w:col w:w="5602" w:space="40"/>
            <w:col w:w="3828"/>
          </w:cols>
        </w:sectPr>
      </w:pPr>
    </w:p>
    <w:p>
      <w:pPr>
        <w:spacing w:line="240" w:lineRule="auto" w:before="7"/>
        <w:rPr>
          <w:rFonts w:ascii="宋体" w:hAnsi="宋体" w:cs="宋体" w:eastAsia="宋体" w:hint="default"/>
          <w:sz w:val="2"/>
          <w:szCs w:val="2"/>
        </w:rPr>
      </w:pPr>
    </w:p>
    <w:tbl>
      <w:tblPr>
        <w:tblW w:w="0" w:type="auto"/>
        <w:jc w:val="left"/>
        <w:tblInd w:w="116" w:type="dxa"/>
        <w:tblLayout w:type="fixed"/>
        <w:tblCellMar>
          <w:top w:w="0" w:type="dxa"/>
          <w:left w:w="0" w:type="dxa"/>
          <w:bottom w:w="0" w:type="dxa"/>
          <w:right w:w="0" w:type="dxa"/>
        </w:tblCellMar>
        <w:tblLook w:val="01E0"/>
      </w:tblPr>
      <w:tblGrid>
        <w:gridCol w:w="3601"/>
        <w:gridCol w:w="1287"/>
        <w:gridCol w:w="2174"/>
        <w:gridCol w:w="2165"/>
      </w:tblGrid>
      <w:tr>
        <w:trPr>
          <w:trHeight w:val="281" w:hRule="exact"/>
        </w:trPr>
        <w:tc>
          <w:tcPr>
            <w:tcW w:w="36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4"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57" w:right="0"/>
              <w:jc w:val="left"/>
              <w:rPr>
                <w:rFonts w:ascii="宋体" w:hAnsi="宋体" w:cs="宋体" w:eastAsia="宋体" w:hint="default"/>
                <w:sz w:val="21"/>
                <w:szCs w:val="21"/>
              </w:rPr>
            </w:pPr>
            <w:r>
              <w:rPr>
                <w:rFonts w:ascii="宋体" w:hAnsi="宋体" w:cs="宋体" w:eastAsia="宋体" w:hint="default"/>
                <w:b/>
                <w:bCs/>
                <w:sz w:val="21"/>
                <w:szCs w:val="21"/>
              </w:rPr>
              <w:t>2019</w:t>
            </w:r>
            <w:r>
              <w:rPr>
                <w:rFonts w:ascii="宋体" w:hAnsi="宋体" w:cs="宋体" w:eastAsia="宋体" w:hint="default"/>
                <w:b/>
                <w:bCs/>
                <w:sz w:val="21"/>
                <w:szCs w:val="21"/>
              </w:rPr>
              <w:t>年度</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53" w:right="0"/>
              <w:jc w:val="left"/>
              <w:rPr>
                <w:rFonts w:ascii="宋体" w:hAnsi="宋体" w:cs="宋体" w:eastAsia="宋体" w:hint="default"/>
                <w:sz w:val="21"/>
                <w:szCs w:val="21"/>
              </w:rPr>
            </w:pPr>
            <w:r>
              <w:rPr>
                <w:rFonts w:ascii="宋体" w:hAnsi="宋体" w:cs="宋体" w:eastAsia="宋体" w:hint="default"/>
                <w:b/>
                <w:bCs/>
                <w:sz w:val="21"/>
                <w:szCs w:val="21"/>
              </w:rPr>
              <w:t>2018</w:t>
            </w:r>
            <w:r>
              <w:rPr>
                <w:rFonts w:ascii="宋体" w:hAnsi="宋体" w:cs="宋体" w:eastAsia="宋体" w:hint="default"/>
                <w:b/>
                <w:bCs/>
                <w:sz w:val="21"/>
                <w:szCs w:val="21"/>
              </w:rPr>
              <w:t>年度</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283" w:hRule="exact"/>
        </w:trPr>
        <w:tc>
          <w:tcPr>
            <w:tcW w:w="36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一、经营活动产生的现金流量：</w:t>
            </w:r>
            <w:r>
              <w:rPr>
                <w:rFonts w:ascii="宋体" w:hAnsi="宋体" w:cs="宋体" w:eastAsia="宋体" w:hint="default"/>
                <w:w w:val="100"/>
                <w:sz w:val="21"/>
                <w:szCs w:val="21"/>
              </w:rPr>
              <w:t> </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w w:val="100"/>
                <w:sz w:val="21"/>
              </w:rPr>
              <w:t> </w:t>
            </w: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w w:val="100"/>
                <w:sz w:val="21"/>
              </w:rPr>
              <w:t> </w:t>
            </w:r>
          </w:p>
        </w:tc>
      </w:tr>
      <w:tr>
        <w:trPr>
          <w:trHeight w:val="283" w:hRule="exact"/>
        </w:trPr>
        <w:tc>
          <w:tcPr>
            <w:tcW w:w="36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销售商品、提供劳务收到的现金</w:t>
            </w:r>
            <w:r>
              <w:rPr>
                <w:rFonts w:ascii="宋体" w:hAnsi="宋体" w:cs="宋体" w:eastAsia="宋体" w:hint="default"/>
                <w:sz w:val="21"/>
                <w:szCs w:val="21"/>
              </w:rPr>
              <w:t> </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3,371,876,125.25</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3,509,547,140.20</w:t>
            </w:r>
            <w:r>
              <w:rPr>
                <w:rFonts w:ascii="宋体"/>
                <w:sz w:val="21"/>
              </w:rPr>
              <w:t> </w:t>
            </w:r>
          </w:p>
        </w:tc>
      </w:tr>
      <w:tr>
        <w:trPr>
          <w:trHeight w:val="281" w:hRule="exact"/>
        </w:trPr>
        <w:tc>
          <w:tcPr>
            <w:tcW w:w="36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hAnsi="宋体" w:cs="宋体" w:eastAsia="宋体" w:hint="default"/>
                <w:spacing w:val="-2"/>
                <w:sz w:val="21"/>
                <w:szCs w:val="21"/>
              </w:rPr>
              <w:t>客户存款和同业存放款项净增加额</w:t>
            </w:r>
            <w:r>
              <w:rPr>
                <w:rFonts w:ascii="宋体" w:hAnsi="宋体" w:cs="宋体" w:eastAsia="宋体" w:hint="default"/>
                <w:sz w:val="21"/>
                <w:szCs w:val="21"/>
              </w:rPr>
              <w:t> </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6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向中央银行借款净增加额</w:t>
            </w:r>
            <w:r>
              <w:rPr>
                <w:rFonts w:ascii="宋体" w:hAnsi="宋体" w:cs="宋体" w:eastAsia="宋体" w:hint="default"/>
                <w:sz w:val="21"/>
                <w:szCs w:val="21"/>
              </w:rPr>
              <w:t> </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w w:val="100"/>
                <w:sz w:val="21"/>
              </w:rPr>
              <w:t> </w:t>
            </w: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6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hAnsi="宋体" w:cs="宋体" w:eastAsia="宋体" w:hint="default"/>
                <w:spacing w:val="-2"/>
                <w:sz w:val="21"/>
                <w:szCs w:val="21"/>
              </w:rPr>
              <w:t>向其他金融机构拆入资金净增加额</w:t>
            </w:r>
            <w:r>
              <w:rPr>
                <w:rFonts w:ascii="宋体" w:hAnsi="宋体" w:cs="宋体" w:eastAsia="宋体" w:hint="default"/>
                <w:sz w:val="21"/>
                <w:szCs w:val="21"/>
              </w:rPr>
              <w:t> </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6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收到原保险合同保费取得的现金</w:t>
            </w:r>
            <w:r>
              <w:rPr>
                <w:rFonts w:ascii="宋体" w:hAnsi="宋体" w:cs="宋体" w:eastAsia="宋体" w:hint="default"/>
                <w:sz w:val="21"/>
                <w:szCs w:val="21"/>
              </w:rPr>
              <w:t> </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6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收到再保业务现金净额</w:t>
            </w:r>
            <w:r>
              <w:rPr>
                <w:rFonts w:ascii="宋体" w:hAnsi="宋体" w:cs="宋体" w:eastAsia="宋体" w:hint="default"/>
                <w:sz w:val="21"/>
                <w:szCs w:val="21"/>
              </w:rPr>
              <w:t> </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w w:val="100"/>
                <w:sz w:val="21"/>
              </w:rPr>
              <w:t> </w:t>
            </w: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6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保户储金及投资款净增加额</w:t>
            </w:r>
            <w:r>
              <w:rPr>
                <w:rFonts w:ascii="宋体" w:hAnsi="宋体" w:cs="宋体" w:eastAsia="宋体" w:hint="default"/>
                <w:sz w:val="21"/>
                <w:szCs w:val="21"/>
              </w:rPr>
              <w:t> </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6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收取利息、手续费及佣金的现金</w:t>
            </w:r>
            <w:r>
              <w:rPr>
                <w:rFonts w:ascii="宋体" w:hAnsi="宋体" w:cs="宋体" w:eastAsia="宋体" w:hint="default"/>
                <w:sz w:val="21"/>
                <w:szCs w:val="21"/>
              </w:rPr>
              <w:t> </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4" w:hRule="exact"/>
        </w:trPr>
        <w:tc>
          <w:tcPr>
            <w:tcW w:w="36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拆入资金净增加额</w:t>
            </w:r>
            <w:r>
              <w:rPr>
                <w:rFonts w:ascii="宋体" w:hAnsi="宋体" w:cs="宋体" w:eastAsia="宋体" w:hint="default"/>
                <w:sz w:val="21"/>
                <w:szCs w:val="21"/>
              </w:rPr>
              <w:t> </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6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回购业务资金净增加额</w:t>
            </w:r>
            <w:r>
              <w:rPr>
                <w:rFonts w:ascii="宋体" w:hAnsi="宋体" w:cs="宋体" w:eastAsia="宋体" w:hint="default"/>
                <w:sz w:val="21"/>
                <w:szCs w:val="21"/>
              </w:rPr>
              <w:t> </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6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代理买卖证券收到的现金净额</w:t>
            </w:r>
            <w:r>
              <w:rPr>
                <w:rFonts w:ascii="宋体" w:hAnsi="宋体" w:cs="宋体" w:eastAsia="宋体" w:hint="default"/>
                <w:sz w:val="21"/>
                <w:szCs w:val="21"/>
              </w:rPr>
              <w:t> </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6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收到的税费返还</w:t>
            </w:r>
            <w:r>
              <w:rPr>
                <w:rFonts w:ascii="宋体" w:hAnsi="宋体" w:cs="宋体" w:eastAsia="宋体" w:hint="default"/>
                <w:sz w:val="21"/>
                <w:szCs w:val="21"/>
              </w:rPr>
              <w:t> </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60,806,242.14</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46,856,975.96</w:t>
            </w:r>
            <w:r>
              <w:rPr>
                <w:rFonts w:ascii="宋体"/>
                <w:sz w:val="21"/>
              </w:rPr>
              <w:t> </w:t>
            </w:r>
          </w:p>
        </w:tc>
      </w:tr>
      <w:tr>
        <w:trPr>
          <w:trHeight w:val="281" w:hRule="exact"/>
        </w:trPr>
        <w:tc>
          <w:tcPr>
            <w:tcW w:w="36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收到其他与经营活动有关的现金</w:t>
            </w:r>
            <w:r>
              <w:rPr>
                <w:rFonts w:ascii="宋体" w:hAnsi="宋体" w:cs="宋体" w:eastAsia="宋体" w:hint="default"/>
                <w:sz w:val="21"/>
                <w:szCs w:val="21"/>
              </w:rPr>
              <w:t> </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76 </w:t>
            </w: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182,285,005.01</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227,431,828.53</w:t>
            </w:r>
            <w:r>
              <w:rPr>
                <w:rFonts w:ascii="宋体"/>
                <w:sz w:val="21"/>
              </w:rPr>
              <w:t> </w:t>
            </w:r>
          </w:p>
        </w:tc>
      </w:tr>
      <w:tr>
        <w:trPr>
          <w:trHeight w:val="283" w:hRule="exact"/>
        </w:trPr>
        <w:tc>
          <w:tcPr>
            <w:tcW w:w="36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23" w:right="0"/>
              <w:jc w:val="left"/>
              <w:rPr>
                <w:rFonts w:ascii="宋体" w:hAnsi="宋体" w:cs="宋体" w:eastAsia="宋体" w:hint="default"/>
                <w:sz w:val="21"/>
                <w:szCs w:val="21"/>
              </w:rPr>
            </w:pPr>
            <w:r>
              <w:rPr>
                <w:rFonts w:ascii="宋体" w:hAnsi="宋体" w:cs="宋体" w:eastAsia="宋体" w:hint="default"/>
                <w:sz w:val="21"/>
                <w:szCs w:val="21"/>
              </w:rPr>
              <w:t>经营活动现金流入小计</w:t>
            </w:r>
            <w:r>
              <w:rPr>
                <w:rFonts w:ascii="宋体" w:hAnsi="宋体" w:cs="宋体" w:eastAsia="宋体" w:hint="default"/>
                <w:sz w:val="21"/>
                <w:szCs w:val="21"/>
              </w:rPr>
              <w:t> </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w w:val="100"/>
                <w:sz w:val="21"/>
              </w:rPr>
              <w:t> </w:t>
            </w: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3,614,967,372.40</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3,783,835,944.69</w:t>
            </w:r>
            <w:r>
              <w:rPr>
                <w:rFonts w:ascii="宋体"/>
                <w:sz w:val="21"/>
              </w:rPr>
              <w:t> </w:t>
            </w:r>
          </w:p>
        </w:tc>
      </w:tr>
      <w:tr>
        <w:trPr>
          <w:trHeight w:val="283" w:hRule="exact"/>
        </w:trPr>
        <w:tc>
          <w:tcPr>
            <w:tcW w:w="36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购买商品、接受劳务支付的现金</w:t>
            </w:r>
            <w:r>
              <w:rPr>
                <w:rFonts w:ascii="宋体" w:hAnsi="宋体" w:cs="宋体" w:eastAsia="宋体" w:hint="default"/>
                <w:sz w:val="21"/>
                <w:szCs w:val="21"/>
              </w:rPr>
              <w:t> </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2,311,467,943.53</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2,110,782,724.29</w:t>
            </w:r>
            <w:r>
              <w:rPr>
                <w:rFonts w:ascii="宋体"/>
                <w:sz w:val="21"/>
              </w:rPr>
              <w:t> </w:t>
            </w:r>
          </w:p>
        </w:tc>
      </w:tr>
      <w:tr>
        <w:trPr>
          <w:trHeight w:val="281" w:hRule="exact"/>
        </w:trPr>
        <w:tc>
          <w:tcPr>
            <w:tcW w:w="36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客户贷款及垫款净增加额</w:t>
            </w:r>
            <w:r>
              <w:rPr>
                <w:rFonts w:ascii="宋体" w:hAnsi="宋体" w:cs="宋体" w:eastAsia="宋体" w:hint="default"/>
                <w:sz w:val="21"/>
                <w:szCs w:val="21"/>
              </w:rPr>
              <w:t> </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6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7"/>
              <w:jc w:val="right"/>
              <w:rPr>
                <w:rFonts w:ascii="宋体" w:hAnsi="宋体" w:cs="宋体" w:eastAsia="宋体" w:hint="default"/>
                <w:sz w:val="21"/>
                <w:szCs w:val="21"/>
              </w:rPr>
            </w:pPr>
            <w:r>
              <w:rPr>
                <w:rFonts w:ascii="宋体" w:hAnsi="宋体" w:cs="宋体" w:eastAsia="宋体" w:hint="default"/>
                <w:spacing w:val="-2"/>
                <w:sz w:val="21"/>
                <w:szCs w:val="21"/>
              </w:rPr>
              <w:t>存放中央银行和同业款项净增加额</w:t>
            </w:r>
            <w:r>
              <w:rPr>
                <w:rFonts w:ascii="宋体" w:hAnsi="宋体" w:cs="宋体" w:eastAsia="宋体" w:hint="default"/>
                <w:sz w:val="21"/>
                <w:szCs w:val="21"/>
              </w:rPr>
              <w:t> </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w w:val="100"/>
                <w:sz w:val="21"/>
              </w:rPr>
              <w:t> </w:t>
            </w: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6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支付原保险合同赔付款项的现金</w:t>
            </w:r>
            <w:r>
              <w:rPr>
                <w:rFonts w:ascii="宋体" w:hAnsi="宋体" w:cs="宋体" w:eastAsia="宋体" w:hint="default"/>
                <w:sz w:val="21"/>
                <w:szCs w:val="21"/>
              </w:rPr>
              <w:t> </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6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拆出资金净增加额</w:t>
            </w:r>
            <w:r>
              <w:rPr>
                <w:rFonts w:ascii="宋体" w:hAnsi="宋体" w:cs="宋体" w:eastAsia="宋体" w:hint="default"/>
                <w:sz w:val="21"/>
                <w:szCs w:val="21"/>
              </w:rPr>
              <w:t> </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6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支付利息、手续费及佣金的现金</w:t>
            </w:r>
            <w:r>
              <w:rPr>
                <w:rFonts w:ascii="宋体" w:hAnsi="宋体" w:cs="宋体" w:eastAsia="宋体" w:hint="default"/>
                <w:sz w:val="21"/>
                <w:szCs w:val="21"/>
              </w:rPr>
              <w:t> </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w w:val="100"/>
                <w:sz w:val="21"/>
              </w:rPr>
              <w:t> </w:t>
            </w: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4" w:hRule="exact"/>
        </w:trPr>
        <w:tc>
          <w:tcPr>
            <w:tcW w:w="36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支付保单红利的现金</w:t>
            </w:r>
            <w:r>
              <w:rPr>
                <w:rFonts w:ascii="宋体" w:hAnsi="宋体" w:cs="宋体" w:eastAsia="宋体" w:hint="default"/>
                <w:sz w:val="21"/>
                <w:szCs w:val="21"/>
              </w:rPr>
              <w:t> </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6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支付给职工及为职工支付的现金</w:t>
            </w:r>
            <w:r>
              <w:rPr>
                <w:rFonts w:ascii="宋体" w:hAnsi="宋体" w:cs="宋体" w:eastAsia="宋体" w:hint="default"/>
                <w:sz w:val="21"/>
                <w:szCs w:val="21"/>
              </w:rPr>
              <w:t> </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450,761,142.96</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461,485,490.26</w:t>
            </w:r>
            <w:r>
              <w:rPr>
                <w:rFonts w:ascii="宋体"/>
                <w:sz w:val="21"/>
              </w:rPr>
              <w:t> </w:t>
            </w:r>
          </w:p>
        </w:tc>
      </w:tr>
      <w:tr>
        <w:trPr>
          <w:trHeight w:val="283" w:hRule="exact"/>
        </w:trPr>
        <w:tc>
          <w:tcPr>
            <w:tcW w:w="36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支付的各项税费</w:t>
            </w:r>
            <w:r>
              <w:rPr>
                <w:rFonts w:ascii="宋体" w:hAnsi="宋体" w:cs="宋体" w:eastAsia="宋体" w:hint="default"/>
                <w:sz w:val="21"/>
                <w:szCs w:val="21"/>
              </w:rPr>
              <w:t> </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193,689,191.07</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184,169,016.20</w:t>
            </w:r>
            <w:r>
              <w:rPr>
                <w:rFonts w:ascii="宋体"/>
                <w:sz w:val="21"/>
              </w:rPr>
              <w:t> </w:t>
            </w:r>
          </w:p>
        </w:tc>
      </w:tr>
      <w:tr>
        <w:trPr>
          <w:trHeight w:val="283" w:hRule="exact"/>
        </w:trPr>
        <w:tc>
          <w:tcPr>
            <w:tcW w:w="36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支付其他与经营活动有关的现金</w:t>
            </w:r>
            <w:r>
              <w:rPr>
                <w:rFonts w:ascii="宋体" w:hAnsi="宋体" w:cs="宋体" w:eastAsia="宋体" w:hint="default"/>
                <w:sz w:val="21"/>
                <w:szCs w:val="21"/>
              </w:rPr>
              <w:t> </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76 </w:t>
            </w: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257,063,011.48</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611,235,204.18</w:t>
            </w:r>
            <w:r>
              <w:rPr>
                <w:rFonts w:ascii="宋体"/>
                <w:sz w:val="21"/>
              </w:rPr>
              <w:t> </w:t>
            </w:r>
          </w:p>
        </w:tc>
      </w:tr>
      <w:tr>
        <w:trPr>
          <w:trHeight w:val="281" w:hRule="exact"/>
        </w:trPr>
        <w:tc>
          <w:tcPr>
            <w:tcW w:w="36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经营活动现金流出小计</w:t>
            </w:r>
            <w:r>
              <w:rPr>
                <w:rFonts w:ascii="宋体" w:hAnsi="宋体" w:cs="宋体" w:eastAsia="宋体" w:hint="default"/>
                <w:sz w:val="21"/>
                <w:szCs w:val="21"/>
              </w:rPr>
              <w:t> </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3,212,981,289.04</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3,367,672,434.93</w:t>
            </w:r>
            <w:r>
              <w:rPr>
                <w:rFonts w:ascii="宋体"/>
                <w:sz w:val="21"/>
              </w:rPr>
              <w:t> </w:t>
            </w:r>
          </w:p>
        </w:tc>
      </w:tr>
      <w:tr>
        <w:trPr>
          <w:trHeight w:val="283" w:hRule="exact"/>
        </w:trPr>
        <w:tc>
          <w:tcPr>
            <w:tcW w:w="36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hAnsi="宋体" w:cs="宋体" w:eastAsia="宋体" w:hint="default"/>
                <w:spacing w:val="-2"/>
                <w:sz w:val="21"/>
                <w:szCs w:val="21"/>
              </w:rPr>
              <w:t>经营活动产生的现金流量净额</w:t>
            </w:r>
            <w:r>
              <w:rPr>
                <w:rFonts w:ascii="宋体" w:hAnsi="宋体" w:cs="宋体" w:eastAsia="宋体" w:hint="default"/>
                <w:sz w:val="21"/>
                <w:szCs w:val="21"/>
              </w:rPr>
              <w:t> </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401,986,083.36</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416,163,509.76</w:t>
            </w:r>
            <w:r>
              <w:rPr>
                <w:rFonts w:ascii="宋体"/>
                <w:sz w:val="21"/>
              </w:rPr>
              <w:t> </w:t>
            </w:r>
          </w:p>
        </w:tc>
      </w:tr>
      <w:tr>
        <w:trPr>
          <w:trHeight w:val="283" w:hRule="exact"/>
        </w:trPr>
        <w:tc>
          <w:tcPr>
            <w:tcW w:w="36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二、投资活动产生的现金流量：</w:t>
            </w:r>
            <w:r>
              <w:rPr>
                <w:rFonts w:ascii="宋体" w:hAnsi="宋体" w:cs="宋体" w:eastAsia="宋体" w:hint="default"/>
                <w:w w:val="100"/>
                <w:sz w:val="21"/>
                <w:szCs w:val="21"/>
              </w:rPr>
              <w:t> </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color w:val="008000"/>
                <w:w w:val="100"/>
                <w:sz w:val="21"/>
              </w:rPr>
              <w:t> </w:t>
            </w:r>
            <w:r>
              <w:rPr>
                <w:rFonts w:ascii="宋体"/>
                <w:w w:val="100"/>
                <w:sz w:val="21"/>
              </w:rPr>
            </w: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6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收回投资收到的现金</w:t>
            </w:r>
            <w:r>
              <w:rPr>
                <w:rFonts w:ascii="宋体" w:hAnsi="宋体" w:cs="宋体" w:eastAsia="宋体" w:hint="default"/>
                <w:sz w:val="21"/>
                <w:szCs w:val="21"/>
              </w:rPr>
              <w:t> </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9,512,644,582.95</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7,832,150,365.24</w:t>
            </w:r>
            <w:r>
              <w:rPr>
                <w:rFonts w:ascii="宋体"/>
                <w:sz w:val="21"/>
              </w:rPr>
              <w:t> </w:t>
            </w:r>
          </w:p>
        </w:tc>
      </w:tr>
      <w:tr>
        <w:trPr>
          <w:trHeight w:val="283" w:hRule="exact"/>
        </w:trPr>
        <w:tc>
          <w:tcPr>
            <w:tcW w:w="36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取得投资收益收到的现金</w:t>
            </w:r>
            <w:r>
              <w:rPr>
                <w:rFonts w:ascii="宋体" w:hAnsi="宋体" w:cs="宋体" w:eastAsia="宋体" w:hint="default"/>
                <w:sz w:val="21"/>
                <w:szCs w:val="21"/>
              </w:rPr>
              <w:t> </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90,288,399.08</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58,742,499.11</w:t>
            </w:r>
            <w:r>
              <w:rPr>
                <w:rFonts w:ascii="宋体"/>
                <w:sz w:val="21"/>
              </w:rPr>
              <w:t> </w:t>
            </w:r>
          </w:p>
        </w:tc>
      </w:tr>
      <w:tr>
        <w:trPr>
          <w:trHeight w:val="554" w:hRule="exact"/>
        </w:trPr>
        <w:tc>
          <w:tcPr>
            <w:tcW w:w="360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z w:val="21"/>
                <w:szCs w:val="21"/>
              </w:rPr>
              <w:t>处置固定资产、无形资产和其他长</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期资产收回的现金净额</w:t>
            </w:r>
            <w:r>
              <w:rPr>
                <w:rFonts w:ascii="宋体" w:hAnsi="宋体" w:cs="宋体" w:eastAsia="宋体" w:hint="default"/>
                <w:sz w:val="21"/>
                <w:szCs w:val="21"/>
              </w:rPr>
              <w:t> </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w w:val="100"/>
                <w:sz w:val="21"/>
              </w:rPr>
              <w:t> </w:t>
            </w: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1,147,748.21</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536,390.92</w:t>
            </w:r>
            <w:r>
              <w:rPr>
                <w:rFonts w:ascii="宋体"/>
                <w:sz w:val="21"/>
              </w:rPr>
              <w:t> </w:t>
            </w:r>
          </w:p>
        </w:tc>
      </w:tr>
      <w:tr>
        <w:trPr>
          <w:trHeight w:val="554" w:hRule="exact"/>
        </w:trPr>
        <w:tc>
          <w:tcPr>
            <w:tcW w:w="36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处置子公司及其他营业单位收到的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现金净额</w:t>
            </w:r>
            <w:r>
              <w:rPr>
                <w:rFonts w:ascii="宋体" w:hAnsi="宋体" w:cs="宋体" w:eastAsia="宋体" w:hint="default"/>
                <w:sz w:val="21"/>
                <w:szCs w:val="21"/>
              </w:rPr>
              <w:t> </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w w:val="100"/>
                <w:sz w:val="21"/>
              </w:rPr>
              <w:t> </w:t>
            </w: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41,200,006.09</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r>
      <w:tr>
        <w:trPr>
          <w:trHeight w:val="284" w:hRule="exact"/>
        </w:trPr>
        <w:tc>
          <w:tcPr>
            <w:tcW w:w="36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收到其他与投资活动有关的现金</w:t>
            </w:r>
            <w:r>
              <w:rPr>
                <w:rFonts w:ascii="宋体" w:hAnsi="宋体" w:cs="宋体" w:eastAsia="宋体" w:hint="default"/>
                <w:sz w:val="21"/>
                <w:szCs w:val="21"/>
              </w:rPr>
              <w:t> </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32,175,212.44</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6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投资活动现金流入小计</w:t>
            </w:r>
            <w:r>
              <w:rPr>
                <w:rFonts w:ascii="宋体" w:hAnsi="宋体" w:cs="宋体" w:eastAsia="宋体" w:hint="default"/>
                <w:sz w:val="21"/>
                <w:szCs w:val="21"/>
              </w:rPr>
              <w:t> </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9,677,455,948.77</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7,891,429,255.27</w:t>
            </w:r>
            <w:r>
              <w:rPr>
                <w:rFonts w:ascii="宋体"/>
                <w:sz w:val="21"/>
              </w:rPr>
              <w:t> </w:t>
            </w:r>
          </w:p>
        </w:tc>
      </w:tr>
      <w:tr>
        <w:trPr>
          <w:trHeight w:val="554" w:hRule="exact"/>
        </w:trPr>
        <w:tc>
          <w:tcPr>
            <w:tcW w:w="36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购建固定资产、无形资产和其他长</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期资产支付的现金</w:t>
            </w:r>
            <w:r>
              <w:rPr>
                <w:rFonts w:ascii="宋体" w:hAnsi="宋体" w:cs="宋体" w:eastAsia="宋体" w:hint="default"/>
                <w:sz w:val="21"/>
                <w:szCs w:val="21"/>
              </w:rPr>
              <w:t> </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w w:val="100"/>
                <w:sz w:val="21"/>
              </w:rPr>
              <w:t> </w:t>
            </w: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344,718,369.06</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1,198,924,670.78</w:t>
            </w:r>
            <w:r>
              <w:rPr>
                <w:rFonts w:ascii="宋体"/>
                <w:sz w:val="21"/>
              </w:rPr>
              <w:t> </w:t>
            </w:r>
          </w:p>
        </w:tc>
      </w:tr>
      <w:tr>
        <w:trPr>
          <w:trHeight w:val="283" w:hRule="exact"/>
        </w:trPr>
        <w:tc>
          <w:tcPr>
            <w:tcW w:w="36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投资支付的现金</w:t>
            </w:r>
            <w:r>
              <w:rPr>
                <w:rFonts w:ascii="宋体" w:hAnsi="宋体" w:cs="宋体" w:eastAsia="宋体" w:hint="default"/>
                <w:sz w:val="21"/>
                <w:szCs w:val="21"/>
              </w:rPr>
              <w:t> </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w w:val="100"/>
                <w:sz w:val="21"/>
              </w:rPr>
              <w:t> </w:t>
            </w: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9,505,651,039.72</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7,472,562,857.17</w:t>
            </w:r>
            <w:r>
              <w:rPr>
                <w:rFonts w:ascii="宋体"/>
                <w:sz w:val="21"/>
              </w:rPr>
              <w:t> </w:t>
            </w:r>
          </w:p>
        </w:tc>
      </w:tr>
      <w:tr>
        <w:trPr>
          <w:trHeight w:val="283" w:hRule="exact"/>
        </w:trPr>
        <w:tc>
          <w:tcPr>
            <w:tcW w:w="36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质押贷款净增加额</w:t>
            </w:r>
            <w:r>
              <w:rPr>
                <w:rFonts w:ascii="宋体" w:hAnsi="宋体" w:cs="宋体" w:eastAsia="宋体" w:hint="default"/>
                <w:sz w:val="21"/>
                <w:szCs w:val="21"/>
              </w:rPr>
              <w:t> </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60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z w:val="21"/>
                <w:szCs w:val="21"/>
              </w:rPr>
              <w:t>取得子公司及其他营业单位支付的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现金净额</w:t>
            </w:r>
            <w:r>
              <w:rPr>
                <w:rFonts w:ascii="宋体" w:hAnsi="宋体" w:cs="宋体" w:eastAsia="宋体" w:hint="default"/>
                <w:sz w:val="21"/>
                <w:szCs w:val="21"/>
              </w:rPr>
              <w:t> </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w w:val="100"/>
                <w:sz w:val="21"/>
              </w:rPr>
              <w:t> </w:t>
            </w: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w w:val="100"/>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10,419.77</w:t>
            </w:r>
            <w:r>
              <w:rPr>
                <w:rFonts w:ascii="宋体"/>
                <w:sz w:val="21"/>
              </w:rPr>
              <w:t> </w:t>
            </w:r>
          </w:p>
        </w:tc>
      </w:tr>
      <w:tr>
        <w:trPr>
          <w:trHeight w:val="281" w:hRule="exact"/>
        </w:trPr>
        <w:tc>
          <w:tcPr>
            <w:tcW w:w="36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支付其他与投资活动有关的现金</w:t>
            </w:r>
            <w:r>
              <w:rPr>
                <w:rFonts w:ascii="宋体" w:hAnsi="宋体" w:cs="宋体" w:eastAsia="宋体" w:hint="default"/>
                <w:sz w:val="21"/>
                <w:szCs w:val="21"/>
              </w:rPr>
              <w:t> </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6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23" w:right="0"/>
              <w:jc w:val="left"/>
              <w:rPr>
                <w:rFonts w:ascii="宋体" w:hAnsi="宋体" w:cs="宋体" w:eastAsia="宋体" w:hint="default"/>
                <w:sz w:val="21"/>
                <w:szCs w:val="21"/>
              </w:rPr>
            </w:pPr>
            <w:r>
              <w:rPr>
                <w:rFonts w:ascii="宋体" w:hAnsi="宋体" w:cs="宋体" w:eastAsia="宋体" w:hint="default"/>
                <w:sz w:val="21"/>
                <w:szCs w:val="21"/>
              </w:rPr>
              <w:t>投资活动现金流出小计</w:t>
            </w:r>
            <w:r>
              <w:rPr>
                <w:rFonts w:ascii="宋体" w:hAnsi="宋体" w:cs="宋体" w:eastAsia="宋体" w:hint="default"/>
                <w:sz w:val="21"/>
                <w:szCs w:val="21"/>
              </w:rPr>
              <w:t> </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w w:val="100"/>
                <w:sz w:val="21"/>
              </w:rPr>
              <w:t> </w:t>
            </w: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9,850,369,408.78</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8,671,497,947.72</w:t>
            </w:r>
            <w:r>
              <w:rPr>
                <w:rFonts w:ascii="宋体"/>
                <w:sz w:val="21"/>
              </w:rPr>
              <w:t> </w:t>
            </w:r>
          </w:p>
        </w:tc>
      </w:tr>
      <w:tr>
        <w:trPr>
          <w:trHeight w:val="283" w:hRule="exact"/>
        </w:trPr>
        <w:tc>
          <w:tcPr>
            <w:tcW w:w="36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hAnsi="宋体" w:cs="宋体" w:eastAsia="宋体" w:hint="default"/>
                <w:spacing w:val="-2"/>
                <w:sz w:val="21"/>
                <w:szCs w:val="21"/>
              </w:rPr>
              <w:t>投资活动产生的现金流量净额</w:t>
            </w:r>
            <w:r>
              <w:rPr>
                <w:rFonts w:ascii="宋体" w:hAnsi="宋体" w:cs="宋体" w:eastAsia="宋体" w:hint="default"/>
                <w:sz w:val="21"/>
                <w:szCs w:val="21"/>
              </w:rPr>
              <w:t> </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-172,913,460.01</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-780,068,692.45</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10" w:h="16840"/>
          <w:pgMar w:top="1580" w:bottom="280" w:left="1480" w:right="960"/>
        </w:sectPr>
      </w:pPr>
    </w:p>
    <w:p>
      <w:pPr>
        <w:spacing w:line="240" w:lineRule="auto" w:before="9"/>
        <w:rPr>
          <w:rFonts w:ascii="宋体" w:hAnsi="宋体" w:cs="宋体" w:eastAsia="宋体" w:hint="default"/>
          <w:sz w:val="29"/>
          <w:szCs w:val="29"/>
        </w:rPr>
      </w:pPr>
    </w:p>
    <w:tbl>
      <w:tblPr>
        <w:tblW w:w="0" w:type="auto"/>
        <w:jc w:val="left"/>
        <w:tblInd w:w="116" w:type="dxa"/>
        <w:tblLayout w:type="fixed"/>
        <w:tblCellMar>
          <w:top w:w="0" w:type="dxa"/>
          <w:left w:w="0" w:type="dxa"/>
          <w:bottom w:w="0" w:type="dxa"/>
          <w:right w:w="0" w:type="dxa"/>
        </w:tblCellMar>
        <w:tblLook w:val="01E0"/>
      </w:tblPr>
      <w:tblGrid>
        <w:gridCol w:w="3601"/>
        <w:gridCol w:w="1287"/>
        <w:gridCol w:w="2174"/>
        <w:gridCol w:w="2165"/>
      </w:tblGrid>
      <w:tr>
        <w:trPr>
          <w:trHeight w:val="284" w:hRule="exact"/>
        </w:trPr>
        <w:tc>
          <w:tcPr>
            <w:tcW w:w="36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三、筹资活动产生的现金流量：</w:t>
            </w:r>
            <w:r>
              <w:rPr>
                <w:rFonts w:ascii="宋体" w:hAnsi="宋体" w:cs="宋体" w:eastAsia="宋体" w:hint="default"/>
                <w:w w:val="100"/>
                <w:sz w:val="21"/>
                <w:szCs w:val="21"/>
              </w:rPr>
              <w:t> </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color w:val="008000"/>
                <w:w w:val="100"/>
                <w:sz w:val="21"/>
              </w:rPr>
              <w:t> </w:t>
            </w:r>
            <w:r>
              <w:rPr>
                <w:rFonts w:ascii="宋体"/>
                <w:w w:val="100"/>
                <w:sz w:val="21"/>
              </w:rPr>
            </w: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6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吸收投资收到的现金</w:t>
            </w:r>
            <w:r>
              <w:rPr>
                <w:rFonts w:ascii="宋体" w:hAnsi="宋体" w:cs="宋体" w:eastAsia="宋体" w:hint="default"/>
                <w:sz w:val="21"/>
                <w:szCs w:val="21"/>
              </w:rPr>
              <w:t> </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17,066,532.00</w:t>
            </w:r>
            <w:r>
              <w:rPr>
                <w:rFonts w:ascii="宋体"/>
                <w:sz w:val="21"/>
              </w:rPr>
              <w:t> </w:t>
            </w:r>
          </w:p>
        </w:tc>
      </w:tr>
      <w:tr>
        <w:trPr>
          <w:trHeight w:val="554" w:hRule="exact"/>
        </w:trPr>
        <w:tc>
          <w:tcPr>
            <w:tcW w:w="360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其中：子公司吸收少数股东投资收</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到的现金</w:t>
            </w:r>
            <w:r>
              <w:rPr>
                <w:rFonts w:ascii="宋体" w:hAnsi="宋体" w:cs="宋体" w:eastAsia="宋体" w:hint="default"/>
                <w:sz w:val="21"/>
                <w:szCs w:val="21"/>
              </w:rPr>
              <w:t> </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w w:val="100"/>
                <w:sz w:val="21"/>
              </w:rPr>
              <w:t> </w:t>
            </w: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w w:val="100"/>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11,000,000.00</w:t>
            </w:r>
            <w:r>
              <w:rPr>
                <w:rFonts w:ascii="宋体"/>
                <w:sz w:val="21"/>
              </w:rPr>
              <w:t> </w:t>
            </w:r>
          </w:p>
        </w:tc>
      </w:tr>
      <w:tr>
        <w:trPr>
          <w:trHeight w:val="281" w:hRule="exact"/>
        </w:trPr>
        <w:tc>
          <w:tcPr>
            <w:tcW w:w="36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取得借款收到的现金</w:t>
            </w:r>
            <w:r>
              <w:rPr>
                <w:rFonts w:ascii="宋体" w:hAnsi="宋体" w:cs="宋体" w:eastAsia="宋体" w:hint="default"/>
                <w:sz w:val="21"/>
                <w:szCs w:val="21"/>
              </w:rPr>
              <w:t> </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1,276,743,007.37</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1,828,775,000.00</w:t>
            </w:r>
            <w:r>
              <w:rPr>
                <w:rFonts w:ascii="宋体"/>
                <w:sz w:val="21"/>
              </w:rPr>
              <w:t> </w:t>
            </w:r>
          </w:p>
        </w:tc>
      </w:tr>
      <w:tr>
        <w:trPr>
          <w:trHeight w:val="283" w:hRule="exact"/>
        </w:trPr>
        <w:tc>
          <w:tcPr>
            <w:tcW w:w="36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收到其他与筹资活动有关的现金</w:t>
            </w:r>
            <w:r>
              <w:rPr>
                <w:rFonts w:ascii="宋体" w:hAnsi="宋体" w:cs="宋体" w:eastAsia="宋体" w:hint="default"/>
                <w:sz w:val="21"/>
                <w:szCs w:val="21"/>
              </w:rPr>
              <w:t> </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w w:val="100"/>
                <w:sz w:val="21"/>
              </w:rPr>
              <w:t> </w:t>
            </w: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6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筹资活动现金流入小计</w:t>
            </w:r>
            <w:r>
              <w:rPr>
                <w:rFonts w:ascii="宋体" w:hAnsi="宋体" w:cs="宋体" w:eastAsia="宋体" w:hint="default"/>
                <w:sz w:val="21"/>
                <w:szCs w:val="21"/>
              </w:rPr>
              <w:t> </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1,276,743,007.37</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1,845,841,532.00</w:t>
            </w:r>
            <w:r>
              <w:rPr>
                <w:rFonts w:ascii="宋体"/>
                <w:sz w:val="21"/>
              </w:rPr>
              <w:t> </w:t>
            </w:r>
          </w:p>
        </w:tc>
      </w:tr>
      <w:tr>
        <w:trPr>
          <w:trHeight w:val="281" w:hRule="exact"/>
        </w:trPr>
        <w:tc>
          <w:tcPr>
            <w:tcW w:w="36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偿还债务支付的现金</w:t>
            </w:r>
            <w:r>
              <w:rPr>
                <w:rFonts w:ascii="宋体" w:hAnsi="宋体" w:cs="宋体" w:eastAsia="宋体" w:hint="default"/>
                <w:sz w:val="21"/>
                <w:szCs w:val="21"/>
              </w:rPr>
              <w:t> </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1,032,451,592.50</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1,304,793,313.83</w:t>
            </w:r>
            <w:r>
              <w:rPr>
                <w:rFonts w:ascii="宋体"/>
                <w:sz w:val="21"/>
              </w:rPr>
              <w:t> </w:t>
            </w:r>
          </w:p>
        </w:tc>
      </w:tr>
      <w:tr>
        <w:trPr>
          <w:trHeight w:val="557" w:hRule="exact"/>
        </w:trPr>
        <w:tc>
          <w:tcPr>
            <w:tcW w:w="36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分配股利、利润或偿付利息支付的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w:t>
            </w:r>
            <w:r>
              <w:rPr>
                <w:rFonts w:ascii="宋体" w:hAnsi="宋体" w:cs="宋体" w:eastAsia="宋体" w:hint="default"/>
                <w:sz w:val="21"/>
                <w:szCs w:val="21"/>
              </w:rPr>
              <w:t> </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w w:val="100"/>
                <w:sz w:val="21"/>
              </w:rPr>
              <w:t> </w:t>
            </w: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507,710,698.98</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249,072,691.00</w:t>
            </w:r>
            <w:r>
              <w:rPr>
                <w:rFonts w:ascii="宋体"/>
                <w:sz w:val="21"/>
              </w:rPr>
              <w:t> </w:t>
            </w:r>
          </w:p>
        </w:tc>
      </w:tr>
      <w:tr>
        <w:trPr>
          <w:trHeight w:val="554" w:hRule="exact"/>
        </w:trPr>
        <w:tc>
          <w:tcPr>
            <w:tcW w:w="360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其中：子公司支付给少数股东的股</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利、利润</w:t>
            </w:r>
            <w:r>
              <w:rPr>
                <w:rFonts w:ascii="宋体" w:hAnsi="宋体" w:cs="宋体" w:eastAsia="宋体" w:hint="default"/>
                <w:sz w:val="21"/>
                <w:szCs w:val="21"/>
              </w:rPr>
              <w:t> </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0" w:right="0"/>
              <w:jc w:val="left"/>
              <w:rPr>
                <w:rFonts w:ascii="宋体" w:hAnsi="宋体" w:cs="宋体" w:eastAsia="宋体" w:hint="default"/>
                <w:sz w:val="21"/>
                <w:szCs w:val="21"/>
              </w:rPr>
            </w:pPr>
            <w:r>
              <w:rPr>
                <w:rFonts w:ascii="宋体"/>
                <w:w w:val="100"/>
                <w:sz w:val="21"/>
              </w:rPr>
              <w:t> </w:t>
            </w: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right"/>
              <w:rPr>
                <w:rFonts w:ascii="宋体" w:hAnsi="宋体" w:cs="宋体" w:eastAsia="宋体" w:hint="default"/>
                <w:sz w:val="21"/>
                <w:szCs w:val="21"/>
              </w:rPr>
            </w:pPr>
            <w:r>
              <w:rPr>
                <w:rFonts w:ascii="宋体"/>
                <w:spacing w:val="-1"/>
                <w:sz w:val="21"/>
              </w:rPr>
              <w:t>2,640,000.00</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right"/>
              <w:rPr>
                <w:rFonts w:ascii="宋体" w:hAnsi="宋体" w:cs="宋体" w:eastAsia="宋体" w:hint="default"/>
                <w:sz w:val="21"/>
                <w:szCs w:val="21"/>
              </w:rPr>
            </w:pPr>
            <w:r>
              <w:rPr>
                <w:rFonts w:ascii="宋体"/>
                <w:spacing w:val="-1"/>
                <w:sz w:val="21"/>
              </w:rPr>
              <w:t>45,931,231.86</w:t>
            </w:r>
            <w:r>
              <w:rPr>
                <w:rFonts w:ascii="宋体"/>
                <w:sz w:val="21"/>
              </w:rPr>
              <w:t> </w:t>
            </w:r>
          </w:p>
        </w:tc>
      </w:tr>
      <w:tr>
        <w:trPr>
          <w:trHeight w:val="281" w:hRule="exact"/>
        </w:trPr>
        <w:tc>
          <w:tcPr>
            <w:tcW w:w="36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支付其他与筹资活动有关的现金</w:t>
            </w:r>
            <w:r>
              <w:rPr>
                <w:rFonts w:ascii="宋体" w:hAnsi="宋体" w:cs="宋体" w:eastAsia="宋体" w:hint="default"/>
                <w:sz w:val="21"/>
                <w:szCs w:val="21"/>
              </w:rPr>
              <w:t> </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34,983,797.82</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99,614,760.20</w:t>
            </w:r>
            <w:r>
              <w:rPr>
                <w:rFonts w:ascii="宋体"/>
                <w:sz w:val="21"/>
              </w:rPr>
              <w:t> </w:t>
            </w:r>
          </w:p>
        </w:tc>
      </w:tr>
      <w:tr>
        <w:trPr>
          <w:trHeight w:val="284" w:hRule="exact"/>
        </w:trPr>
        <w:tc>
          <w:tcPr>
            <w:tcW w:w="36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筹资活动现金流出小计</w:t>
            </w:r>
            <w:r>
              <w:rPr>
                <w:rFonts w:ascii="宋体" w:hAnsi="宋体" w:cs="宋体" w:eastAsia="宋体" w:hint="default"/>
                <w:sz w:val="21"/>
                <w:szCs w:val="21"/>
              </w:rPr>
              <w:t> </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1,575,146,089.30</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1,653,480,765.03</w:t>
            </w:r>
            <w:r>
              <w:rPr>
                <w:rFonts w:ascii="宋体"/>
                <w:sz w:val="21"/>
              </w:rPr>
              <w:t> </w:t>
            </w:r>
          </w:p>
        </w:tc>
      </w:tr>
      <w:tr>
        <w:trPr>
          <w:trHeight w:val="283" w:hRule="exact"/>
        </w:trPr>
        <w:tc>
          <w:tcPr>
            <w:tcW w:w="36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筹资活动产生的现金流量净额</w:t>
            </w:r>
            <w:r>
              <w:rPr>
                <w:rFonts w:ascii="宋体" w:hAnsi="宋体" w:cs="宋体" w:eastAsia="宋体" w:hint="default"/>
                <w:sz w:val="21"/>
                <w:szCs w:val="21"/>
              </w:rPr>
              <w:t> </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-298,403,081.93</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192,360,766.97</w:t>
            </w:r>
            <w:r>
              <w:rPr>
                <w:rFonts w:ascii="宋体"/>
                <w:sz w:val="21"/>
              </w:rPr>
              <w:t> </w:t>
            </w:r>
          </w:p>
        </w:tc>
      </w:tr>
      <w:tr>
        <w:trPr>
          <w:trHeight w:val="554" w:hRule="exact"/>
        </w:trPr>
        <w:tc>
          <w:tcPr>
            <w:tcW w:w="360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四、汇率变动对现金及现金等价物的</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影响</w:t>
            </w:r>
            <w:r>
              <w:rPr>
                <w:rFonts w:ascii="宋体" w:hAnsi="宋体" w:cs="宋体" w:eastAsia="宋体" w:hint="default"/>
                <w:w w:val="100"/>
                <w:sz w:val="21"/>
                <w:szCs w:val="21"/>
              </w:rPr>
              <w:t> </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0" w:right="0"/>
              <w:jc w:val="left"/>
              <w:rPr>
                <w:rFonts w:ascii="宋体" w:hAnsi="宋体" w:cs="宋体" w:eastAsia="宋体" w:hint="default"/>
                <w:sz w:val="21"/>
                <w:szCs w:val="21"/>
              </w:rPr>
            </w:pPr>
            <w:r>
              <w:rPr>
                <w:rFonts w:ascii="宋体"/>
                <w:w w:val="100"/>
                <w:sz w:val="21"/>
              </w:rPr>
              <w:t> </w:t>
            </w: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right"/>
              <w:rPr>
                <w:rFonts w:ascii="宋体" w:hAnsi="宋体" w:cs="宋体" w:eastAsia="宋体" w:hint="default"/>
                <w:sz w:val="21"/>
                <w:szCs w:val="21"/>
              </w:rPr>
            </w:pPr>
            <w:r>
              <w:rPr>
                <w:rFonts w:ascii="宋体"/>
                <w:spacing w:val="-1"/>
                <w:sz w:val="21"/>
              </w:rPr>
              <w:t>10,797,726.90</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right"/>
              <w:rPr>
                <w:rFonts w:ascii="宋体" w:hAnsi="宋体" w:cs="宋体" w:eastAsia="宋体" w:hint="default"/>
                <w:sz w:val="21"/>
                <w:szCs w:val="21"/>
              </w:rPr>
            </w:pPr>
            <w:r>
              <w:rPr>
                <w:rFonts w:ascii="宋体"/>
                <w:spacing w:val="-1"/>
                <w:sz w:val="21"/>
              </w:rPr>
              <w:t>15,399,308.76</w:t>
            </w:r>
            <w:r>
              <w:rPr>
                <w:rFonts w:ascii="宋体"/>
                <w:sz w:val="21"/>
              </w:rPr>
              <w:t> </w:t>
            </w:r>
          </w:p>
        </w:tc>
      </w:tr>
      <w:tr>
        <w:trPr>
          <w:trHeight w:val="281" w:hRule="exact"/>
        </w:trPr>
        <w:tc>
          <w:tcPr>
            <w:tcW w:w="36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五、现金及现金等价物净增加额</w:t>
            </w:r>
            <w:r>
              <w:rPr>
                <w:rFonts w:ascii="宋体" w:hAnsi="宋体" w:cs="宋体" w:eastAsia="宋体" w:hint="default"/>
                <w:w w:val="100"/>
                <w:sz w:val="21"/>
                <w:szCs w:val="21"/>
              </w:rPr>
              <w:t> </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-58,532,731.68</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-156,145,106.96</w:t>
            </w:r>
            <w:r>
              <w:rPr>
                <w:rFonts w:ascii="宋体"/>
                <w:sz w:val="21"/>
              </w:rPr>
              <w:t> </w:t>
            </w:r>
          </w:p>
        </w:tc>
      </w:tr>
      <w:tr>
        <w:trPr>
          <w:trHeight w:val="283" w:hRule="exact"/>
        </w:trPr>
        <w:tc>
          <w:tcPr>
            <w:tcW w:w="36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加：期初现金及现金等价物余额</w:t>
            </w:r>
            <w:r>
              <w:rPr>
                <w:rFonts w:ascii="宋体" w:hAnsi="宋体" w:cs="宋体" w:eastAsia="宋体" w:hint="default"/>
                <w:sz w:val="21"/>
                <w:szCs w:val="21"/>
              </w:rPr>
              <w:t> </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1,885,285,030.01</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2,041,430,136.97</w:t>
            </w:r>
            <w:r>
              <w:rPr>
                <w:rFonts w:ascii="宋体"/>
                <w:sz w:val="21"/>
              </w:rPr>
              <w:t> </w:t>
            </w:r>
          </w:p>
        </w:tc>
      </w:tr>
      <w:tr>
        <w:trPr>
          <w:trHeight w:val="283" w:hRule="exact"/>
        </w:trPr>
        <w:tc>
          <w:tcPr>
            <w:tcW w:w="36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六、期末现金及现金等价物余额</w:t>
            </w:r>
            <w:r>
              <w:rPr>
                <w:rFonts w:ascii="宋体" w:hAnsi="宋体" w:cs="宋体" w:eastAsia="宋体" w:hint="default"/>
                <w:w w:val="100"/>
                <w:sz w:val="21"/>
                <w:szCs w:val="21"/>
              </w:rPr>
              <w:t> </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1,826,752,298.33</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1,885,285,030.01</w:t>
            </w:r>
            <w:r>
              <w:rPr>
                <w:rFonts w:ascii="宋体"/>
                <w:sz w:val="21"/>
              </w:rPr>
              <w:t> </w:t>
            </w:r>
          </w:p>
        </w:tc>
      </w:tr>
    </w:tbl>
    <w:p>
      <w:pPr>
        <w:pStyle w:val="BodyText"/>
        <w:spacing w:line="239" w:lineRule="exact"/>
        <w:ind w:left="318" w:right="0"/>
        <w:jc w:val="left"/>
        <w:rPr>
          <w:rFonts w:ascii="宋体" w:hAnsi="宋体" w:cs="宋体" w:eastAsia="宋体" w:hint="default"/>
        </w:rPr>
      </w:pPr>
      <w:r>
        <w:rPr/>
        <w:t>法定代表人：陆永华      </w:t>
      </w:r>
      <w:r>
        <w:rPr>
          <w:rFonts w:ascii="宋体" w:hAnsi="宋体" w:cs="宋体" w:eastAsia="宋体" w:hint="default"/>
        </w:rPr>
      </w:r>
      <w:r>
        <w:rPr/>
        <w:t>主管会计工作负责人：虞海娟       </w:t>
      </w:r>
      <w:r>
        <w:rPr>
          <w:spacing w:val="91"/>
        </w:rPr>
        <w:t> </w:t>
      </w:r>
      <w:r>
        <w:rPr>
          <w:rFonts w:ascii="宋体" w:hAnsi="宋体" w:cs="宋体" w:eastAsia="宋体" w:hint="default"/>
          <w:spacing w:val="91"/>
        </w:rPr>
      </w:r>
      <w:r>
        <w:rPr/>
        <w:t>会计机构负责人：周辉</w:t>
      </w:r>
      <w:r>
        <w:rPr>
          <w:rFonts w:ascii="宋体" w:hAnsi="宋体" w:cs="宋体" w:eastAsia="宋体" w:hint="default"/>
          <w:b/>
          <w:bCs/>
          <w:color w:val="FF0000"/>
          <w:w w:val="99"/>
        </w:rPr>
        <w:t> </w:t>
      </w:r>
      <w:r>
        <w:rPr>
          <w:rFonts w:ascii="宋体" w:hAnsi="宋体" w:cs="宋体" w:eastAsia="宋体" w:hint="default"/>
        </w:rPr>
      </w:r>
    </w:p>
    <w:p>
      <w:pPr>
        <w:pStyle w:val="BodyText"/>
        <w:spacing w:line="272" w:lineRule="exact"/>
        <w:ind w:left="318" w:right="0"/>
        <w:jc w:val="left"/>
        <w:rPr>
          <w:rFonts w:ascii="宋体" w:hAnsi="宋体" w:cs="宋体" w:eastAsia="宋体" w:hint="default"/>
        </w:rPr>
      </w:pPr>
      <w:r>
        <w:rPr>
          <w:rFonts w:ascii="宋体"/>
          <w:w w:val="100"/>
        </w:rPr>
        <w:t> </w:t>
      </w:r>
    </w:p>
    <w:p>
      <w:pPr>
        <w:pStyle w:val="Heading3"/>
        <w:tabs>
          <w:tab w:pos="3198" w:val="left" w:leader="none"/>
        </w:tabs>
        <w:spacing w:line="274" w:lineRule="exact" w:before="0"/>
        <w:ind w:left="318" w:right="0"/>
        <w:jc w:val="left"/>
        <w:rPr>
          <w:rFonts w:ascii="宋体" w:hAnsi="宋体" w:cs="宋体" w:eastAsia="宋体" w:hint="default"/>
          <w:b w:val="0"/>
          <w:bCs w:val="0"/>
        </w:rPr>
      </w:pPr>
      <w:r>
        <w:rPr>
          <w:rFonts w:ascii="宋体"/>
          <w:w w:val="99"/>
        </w:rPr>
        <w:t> </w:t>
      </w:r>
      <w:r>
        <w:rPr>
          <w:rFonts w:ascii="宋体"/>
        </w:rPr>
        <w:tab/>
      </w:r>
      <w:r>
        <w:rPr>
          <w:rFonts w:ascii="宋体"/>
          <w:w w:val="99"/>
        </w:rPr>
        <w:t> </w:t>
      </w:r>
      <w:r>
        <w:rPr>
          <w:rFonts w:ascii="宋体"/>
          <w:b w:val="0"/>
        </w:rPr>
      </w:r>
    </w:p>
    <w:p>
      <w:pPr>
        <w:spacing w:after="0" w:line="274" w:lineRule="exact"/>
        <w:jc w:val="left"/>
        <w:rPr>
          <w:rFonts w:ascii="宋体" w:hAnsi="宋体" w:cs="宋体" w:eastAsia="宋体" w:hint="default"/>
        </w:rPr>
        <w:sectPr>
          <w:pgSz w:w="11910" w:h="16840"/>
          <w:pgMar w:header="743" w:footer="974" w:top="1120" w:bottom="1160" w:left="1480" w:right="960"/>
        </w:sectPr>
      </w:pPr>
    </w:p>
    <w:p>
      <w:pPr>
        <w:spacing w:line="240" w:lineRule="auto" w:before="4"/>
        <w:rPr>
          <w:rFonts w:ascii="宋体" w:hAnsi="宋体" w:cs="宋体" w:eastAsia="宋体" w:hint="default"/>
          <w:b/>
          <w:bCs/>
          <w:sz w:val="24"/>
          <w:szCs w:val="24"/>
        </w:rPr>
      </w:pPr>
    </w:p>
    <w:p>
      <w:pPr>
        <w:spacing w:after="0" w:line="240" w:lineRule="auto"/>
        <w:rPr>
          <w:rFonts w:ascii="宋体" w:hAnsi="宋体" w:cs="宋体" w:eastAsia="宋体" w:hint="default"/>
          <w:sz w:val="24"/>
          <w:szCs w:val="24"/>
        </w:rPr>
        <w:sectPr>
          <w:footerReference w:type="default" r:id="rId48"/>
          <w:pgSz w:w="11910" w:h="16840"/>
          <w:pgMar w:footer="974" w:header="743" w:top="1120" w:bottom="1160" w:left="1200" w:right="660"/>
        </w:sectPr>
      </w:pPr>
    </w:p>
    <w:p>
      <w:pPr>
        <w:spacing w:before="36"/>
        <w:ind w:left="4253" w:right="0" w:hanging="84"/>
        <w:jc w:val="left"/>
        <w:rPr>
          <w:rFonts w:ascii="宋体" w:hAnsi="宋体" w:cs="宋体" w:eastAsia="宋体" w:hint="default"/>
          <w:sz w:val="21"/>
          <w:szCs w:val="21"/>
        </w:rPr>
      </w:pPr>
      <w:r>
        <w:rPr>
          <w:rFonts w:ascii="宋体" w:hAnsi="宋体" w:cs="宋体" w:eastAsia="宋体" w:hint="default"/>
          <w:b/>
          <w:bCs/>
          <w:sz w:val="21"/>
          <w:szCs w:val="21"/>
        </w:rPr>
        <w:t>母公司现金流量表</w:t>
      </w:r>
      <w:r>
        <w:rPr>
          <w:rFonts w:ascii="宋体" w:hAnsi="宋体" w:cs="宋体" w:eastAsia="宋体" w:hint="default"/>
          <w:b/>
          <w:bCs/>
          <w:w w:val="99"/>
          <w:sz w:val="21"/>
          <w:szCs w:val="21"/>
        </w:rPr>
        <w:t> </w:t>
      </w: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6"/>
        <w:rPr>
          <w:rFonts w:ascii="宋体" w:hAnsi="宋体" w:cs="宋体" w:eastAsia="宋体" w:hint="default"/>
          <w:b/>
          <w:bCs/>
          <w:sz w:val="24"/>
          <w:szCs w:val="24"/>
        </w:rPr>
      </w:pPr>
    </w:p>
    <w:p>
      <w:pPr>
        <w:pStyle w:val="BodyText"/>
        <w:spacing w:line="240" w:lineRule="auto"/>
        <w:ind w:left="1536" w:right="0"/>
        <w:jc w:val="left"/>
        <w:rPr>
          <w:rFonts w:ascii="宋体" w:hAnsi="宋体" w:cs="宋体" w:eastAsia="宋体" w:hint="default"/>
        </w:rPr>
      </w:pPr>
      <w:r>
        <w:rPr/>
        <w:t>单位</w:t>
      </w:r>
      <w:r>
        <w:rPr>
          <w:rFonts w:ascii="宋体" w:hAnsi="宋体" w:cs="宋体" w:eastAsia="宋体" w:hint="default"/>
        </w:rPr>
        <w:t>:</w:t>
      </w:r>
      <w:r>
        <w:rPr/>
        <w:t>元币种</w:t>
      </w:r>
      <w:r>
        <w:rPr>
          <w:rFonts w:ascii="宋体" w:hAnsi="宋体" w:cs="宋体" w:eastAsia="宋体" w:hint="default"/>
        </w:rPr>
        <w:t>:</w:t>
      </w:r>
      <w:r>
        <w:rPr/>
        <w:t>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580" w:bottom="280" w:left="1200" w:right="660"/>
          <w:cols w:num="2" w:equalWidth="0">
            <w:col w:w="5964" w:space="40"/>
            <w:col w:w="4046"/>
          </w:cols>
        </w:sectPr>
      </w:pPr>
    </w:p>
    <w:p>
      <w:pPr>
        <w:spacing w:line="240" w:lineRule="auto" w:before="7"/>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4126"/>
        <w:gridCol w:w="1347"/>
        <w:gridCol w:w="2172"/>
        <w:gridCol w:w="2165"/>
      </w:tblGrid>
      <w:tr>
        <w:trPr>
          <w:trHeight w:val="281" w:hRule="exact"/>
        </w:trPr>
        <w:tc>
          <w:tcPr>
            <w:tcW w:w="41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55"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57" w:right="0"/>
              <w:jc w:val="left"/>
              <w:rPr>
                <w:rFonts w:ascii="宋体" w:hAnsi="宋体" w:cs="宋体" w:eastAsia="宋体" w:hint="default"/>
                <w:sz w:val="21"/>
                <w:szCs w:val="21"/>
              </w:rPr>
            </w:pPr>
            <w:r>
              <w:rPr>
                <w:rFonts w:ascii="宋体" w:hAnsi="宋体" w:cs="宋体" w:eastAsia="宋体" w:hint="default"/>
                <w:b/>
                <w:bCs/>
                <w:sz w:val="21"/>
                <w:szCs w:val="21"/>
              </w:rPr>
              <w:t>2019</w:t>
            </w:r>
            <w:r>
              <w:rPr>
                <w:rFonts w:ascii="宋体" w:hAnsi="宋体" w:cs="宋体" w:eastAsia="宋体" w:hint="default"/>
                <w:b/>
                <w:bCs/>
                <w:sz w:val="21"/>
                <w:szCs w:val="21"/>
              </w:rPr>
              <w:t>年度</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55" w:right="0"/>
              <w:jc w:val="left"/>
              <w:rPr>
                <w:rFonts w:ascii="宋体" w:hAnsi="宋体" w:cs="宋体" w:eastAsia="宋体" w:hint="default"/>
                <w:sz w:val="21"/>
                <w:szCs w:val="21"/>
              </w:rPr>
            </w:pPr>
            <w:r>
              <w:rPr>
                <w:rFonts w:ascii="宋体" w:hAnsi="宋体" w:cs="宋体" w:eastAsia="宋体" w:hint="default"/>
                <w:b/>
                <w:bCs/>
                <w:sz w:val="21"/>
                <w:szCs w:val="21"/>
              </w:rPr>
              <w:t>2018</w:t>
            </w:r>
            <w:r>
              <w:rPr>
                <w:rFonts w:ascii="宋体" w:hAnsi="宋体" w:cs="宋体" w:eastAsia="宋体" w:hint="default"/>
                <w:b/>
                <w:bCs/>
                <w:sz w:val="21"/>
                <w:szCs w:val="21"/>
              </w:rPr>
              <w:t>年度</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283" w:hRule="exact"/>
        </w:trPr>
        <w:tc>
          <w:tcPr>
            <w:tcW w:w="412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一、经营活动产生的现金流量：</w:t>
            </w:r>
            <w:r>
              <w:rPr>
                <w:rFonts w:ascii="宋体" w:hAnsi="宋体" w:cs="宋体" w:eastAsia="宋体" w:hint="default"/>
                <w:w w:val="100"/>
                <w:sz w:val="21"/>
                <w:szCs w:val="21"/>
              </w:rPr>
              <w:t> </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r>
      <w:tr>
        <w:trPr>
          <w:trHeight w:val="283" w:hRule="exact"/>
        </w:trPr>
        <w:tc>
          <w:tcPr>
            <w:tcW w:w="41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销售商品、提供劳务收到的现金</w:t>
            </w:r>
            <w:r>
              <w:rPr>
                <w:rFonts w:ascii="宋体" w:hAnsi="宋体" w:cs="宋体" w:eastAsia="宋体" w:hint="default"/>
                <w:sz w:val="21"/>
                <w:szCs w:val="21"/>
              </w:rPr>
              <w:t> </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2,027,529,382.99</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1,888,127,840.84</w:t>
            </w:r>
            <w:r>
              <w:rPr>
                <w:rFonts w:ascii="宋体"/>
                <w:sz w:val="21"/>
              </w:rPr>
              <w:t> </w:t>
            </w:r>
          </w:p>
        </w:tc>
      </w:tr>
      <w:tr>
        <w:trPr>
          <w:trHeight w:val="281" w:hRule="exact"/>
        </w:trPr>
        <w:tc>
          <w:tcPr>
            <w:tcW w:w="41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收到的税费返还</w:t>
            </w:r>
            <w:r>
              <w:rPr>
                <w:rFonts w:ascii="宋体" w:hAnsi="宋体" w:cs="宋体" w:eastAsia="宋体" w:hint="default"/>
                <w:sz w:val="21"/>
                <w:szCs w:val="21"/>
              </w:rPr>
              <w:t> </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19,539,718.51</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12,630,735.80</w:t>
            </w:r>
            <w:r>
              <w:rPr>
                <w:rFonts w:ascii="宋体"/>
                <w:sz w:val="21"/>
              </w:rPr>
              <w:t> </w:t>
            </w:r>
          </w:p>
        </w:tc>
      </w:tr>
      <w:tr>
        <w:trPr>
          <w:trHeight w:val="283" w:hRule="exact"/>
        </w:trPr>
        <w:tc>
          <w:tcPr>
            <w:tcW w:w="412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收到其他与经营活动有关的现金</w:t>
            </w:r>
            <w:r>
              <w:rPr>
                <w:rFonts w:ascii="宋体" w:hAnsi="宋体" w:cs="宋体" w:eastAsia="宋体" w:hint="default"/>
                <w:sz w:val="21"/>
                <w:szCs w:val="21"/>
              </w:rPr>
              <w:t> </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105,937,912.57</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18,137,090.23</w:t>
            </w:r>
            <w:r>
              <w:rPr>
                <w:rFonts w:ascii="宋体"/>
                <w:sz w:val="21"/>
              </w:rPr>
              <w:t> </w:t>
            </w:r>
          </w:p>
        </w:tc>
      </w:tr>
      <w:tr>
        <w:trPr>
          <w:trHeight w:val="283" w:hRule="exact"/>
        </w:trPr>
        <w:tc>
          <w:tcPr>
            <w:tcW w:w="41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经营活动现金流入小计</w:t>
            </w:r>
            <w:r>
              <w:rPr>
                <w:rFonts w:ascii="宋体" w:hAnsi="宋体" w:cs="宋体" w:eastAsia="宋体" w:hint="default"/>
                <w:sz w:val="21"/>
                <w:szCs w:val="21"/>
              </w:rPr>
              <w:t> </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2,153,007,014.07</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1,918,895,666.87</w:t>
            </w:r>
            <w:r>
              <w:rPr>
                <w:rFonts w:ascii="宋体"/>
                <w:sz w:val="21"/>
              </w:rPr>
              <w:t> </w:t>
            </w:r>
          </w:p>
        </w:tc>
      </w:tr>
      <w:tr>
        <w:trPr>
          <w:trHeight w:val="281" w:hRule="exact"/>
        </w:trPr>
        <w:tc>
          <w:tcPr>
            <w:tcW w:w="41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购买商品、接受劳务支付的现金</w:t>
            </w:r>
            <w:r>
              <w:rPr>
                <w:rFonts w:ascii="宋体" w:hAnsi="宋体" w:cs="宋体" w:eastAsia="宋体" w:hint="default"/>
                <w:sz w:val="21"/>
                <w:szCs w:val="21"/>
              </w:rPr>
              <w:t> </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1,578,743,844.64</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1,323,757,391.02</w:t>
            </w:r>
            <w:r>
              <w:rPr>
                <w:rFonts w:ascii="宋体"/>
                <w:sz w:val="21"/>
              </w:rPr>
              <w:t> </w:t>
            </w:r>
          </w:p>
        </w:tc>
      </w:tr>
      <w:tr>
        <w:trPr>
          <w:trHeight w:val="283" w:hRule="exact"/>
        </w:trPr>
        <w:tc>
          <w:tcPr>
            <w:tcW w:w="412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支付给职工及为职工支付的现金</w:t>
            </w:r>
            <w:r>
              <w:rPr>
                <w:rFonts w:ascii="宋体" w:hAnsi="宋体" w:cs="宋体" w:eastAsia="宋体" w:hint="default"/>
                <w:sz w:val="21"/>
                <w:szCs w:val="21"/>
              </w:rPr>
              <w:t> </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230,363,736.43</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215,114,508.68</w:t>
            </w:r>
            <w:r>
              <w:rPr>
                <w:rFonts w:ascii="宋体"/>
                <w:sz w:val="21"/>
              </w:rPr>
              <w:t> </w:t>
            </w:r>
          </w:p>
        </w:tc>
      </w:tr>
      <w:tr>
        <w:trPr>
          <w:trHeight w:val="283" w:hRule="exact"/>
        </w:trPr>
        <w:tc>
          <w:tcPr>
            <w:tcW w:w="41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支付的各项税费</w:t>
            </w:r>
            <w:r>
              <w:rPr>
                <w:rFonts w:ascii="宋体" w:hAnsi="宋体" w:cs="宋体" w:eastAsia="宋体" w:hint="default"/>
                <w:sz w:val="21"/>
                <w:szCs w:val="21"/>
              </w:rPr>
              <w:t> </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83,731,457.10</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93,207,682.01</w:t>
            </w:r>
            <w:r>
              <w:rPr>
                <w:rFonts w:ascii="宋体"/>
                <w:sz w:val="21"/>
              </w:rPr>
              <w:t> </w:t>
            </w:r>
          </w:p>
        </w:tc>
      </w:tr>
      <w:tr>
        <w:trPr>
          <w:trHeight w:val="281" w:hRule="exact"/>
        </w:trPr>
        <w:tc>
          <w:tcPr>
            <w:tcW w:w="41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支付其他与经营活动有关的现金</w:t>
            </w:r>
            <w:r>
              <w:rPr>
                <w:rFonts w:ascii="宋体" w:hAnsi="宋体" w:cs="宋体" w:eastAsia="宋体" w:hint="default"/>
                <w:sz w:val="21"/>
                <w:szCs w:val="21"/>
              </w:rPr>
              <w:t> </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112,935,092.78</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244,753,683.80</w:t>
            </w:r>
            <w:r>
              <w:rPr>
                <w:rFonts w:ascii="宋体"/>
                <w:sz w:val="21"/>
              </w:rPr>
              <w:t> </w:t>
            </w:r>
          </w:p>
        </w:tc>
      </w:tr>
      <w:tr>
        <w:trPr>
          <w:trHeight w:val="284" w:hRule="exact"/>
        </w:trPr>
        <w:tc>
          <w:tcPr>
            <w:tcW w:w="41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经营活动现金流出小计</w:t>
            </w:r>
            <w:r>
              <w:rPr>
                <w:rFonts w:ascii="宋体" w:hAnsi="宋体" w:cs="宋体" w:eastAsia="宋体" w:hint="default"/>
                <w:sz w:val="21"/>
                <w:szCs w:val="21"/>
              </w:rPr>
              <w:t> </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2,005,774,130.95</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1,876,833,265.51</w:t>
            </w:r>
            <w:r>
              <w:rPr>
                <w:rFonts w:ascii="宋体"/>
                <w:sz w:val="21"/>
              </w:rPr>
              <w:t> </w:t>
            </w:r>
          </w:p>
        </w:tc>
      </w:tr>
      <w:tr>
        <w:trPr>
          <w:trHeight w:val="283" w:hRule="exact"/>
        </w:trPr>
        <w:tc>
          <w:tcPr>
            <w:tcW w:w="41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r>
              <w:rPr>
                <w:rFonts w:ascii="宋体" w:hAnsi="宋体" w:cs="宋体" w:eastAsia="宋体" w:hint="default"/>
                <w:sz w:val="21"/>
                <w:szCs w:val="21"/>
              </w:rPr>
              <w:t> </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147,232,883.12</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42,062,401.36</w:t>
            </w:r>
            <w:r>
              <w:rPr>
                <w:rFonts w:ascii="宋体"/>
                <w:sz w:val="21"/>
              </w:rPr>
              <w:t> </w:t>
            </w:r>
          </w:p>
        </w:tc>
      </w:tr>
      <w:tr>
        <w:trPr>
          <w:trHeight w:val="281" w:hRule="exact"/>
        </w:trPr>
        <w:tc>
          <w:tcPr>
            <w:tcW w:w="41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二、投资活动产生的现金流量：</w:t>
            </w:r>
            <w:r>
              <w:rPr>
                <w:rFonts w:ascii="宋体" w:hAnsi="宋体" w:cs="宋体" w:eastAsia="宋体" w:hint="default"/>
                <w:w w:val="100"/>
                <w:sz w:val="21"/>
                <w:szCs w:val="21"/>
              </w:rPr>
              <w:t> </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color w:val="008000"/>
                <w:w w:val="100"/>
                <w:sz w:val="21"/>
              </w:rPr>
              <w:t> </w:t>
            </w:r>
            <w:r>
              <w:rPr>
                <w:rFonts w:ascii="宋体"/>
                <w:w w:val="100"/>
                <w:sz w:val="21"/>
              </w:rPr>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41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收回投资收到的现金</w:t>
            </w:r>
            <w:r>
              <w:rPr>
                <w:rFonts w:ascii="宋体" w:hAnsi="宋体" w:cs="宋体" w:eastAsia="宋体" w:hint="default"/>
                <w:sz w:val="21"/>
                <w:szCs w:val="21"/>
              </w:rPr>
              <w:t> </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7,211,597,670.00</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6,226,097,473.39</w:t>
            </w:r>
            <w:r>
              <w:rPr>
                <w:rFonts w:ascii="宋体"/>
                <w:sz w:val="21"/>
              </w:rPr>
              <w:t> </w:t>
            </w:r>
          </w:p>
        </w:tc>
      </w:tr>
      <w:tr>
        <w:trPr>
          <w:trHeight w:val="281" w:hRule="exact"/>
        </w:trPr>
        <w:tc>
          <w:tcPr>
            <w:tcW w:w="41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取得投资收益收到的现金</w:t>
            </w:r>
            <w:r>
              <w:rPr>
                <w:rFonts w:ascii="宋体" w:hAnsi="宋体" w:cs="宋体" w:eastAsia="宋体" w:hint="default"/>
                <w:sz w:val="21"/>
                <w:szCs w:val="21"/>
              </w:rPr>
              <w:t> </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144,837,422.88</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261,345,916.16</w:t>
            </w:r>
            <w:r>
              <w:rPr>
                <w:rFonts w:ascii="宋体"/>
                <w:sz w:val="21"/>
              </w:rPr>
              <w:t> </w:t>
            </w:r>
          </w:p>
        </w:tc>
      </w:tr>
      <w:tr>
        <w:trPr>
          <w:trHeight w:val="557" w:hRule="exact"/>
        </w:trPr>
        <w:tc>
          <w:tcPr>
            <w:tcW w:w="41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pacing w:val="-6"/>
                <w:sz w:val="21"/>
                <w:szCs w:val="21"/>
              </w:rPr>
              <w:t>处置固定资产、无形资产和其他长期资产</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收回的现金净额</w:t>
            </w:r>
            <w:r>
              <w:rPr>
                <w:rFonts w:ascii="宋体" w:hAnsi="宋体" w:cs="宋体" w:eastAsia="宋体" w:hint="default"/>
                <w:sz w:val="21"/>
                <w:szCs w:val="21"/>
              </w:rPr>
              <w:t> </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94,669.60</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292,846.91</w:t>
            </w:r>
            <w:r>
              <w:rPr>
                <w:rFonts w:ascii="宋体"/>
                <w:sz w:val="21"/>
              </w:rPr>
              <w:t> </w:t>
            </w:r>
          </w:p>
        </w:tc>
      </w:tr>
      <w:tr>
        <w:trPr>
          <w:trHeight w:val="554" w:hRule="exact"/>
        </w:trPr>
        <w:tc>
          <w:tcPr>
            <w:tcW w:w="412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1" w:right="0"/>
              <w:jc w:val="left"/>
              <w:rPr>
                <w:rFonts w:ascii="宋体" w:hAnsi="宋体" w:cs="宋体" w:eastAsia="宋体" w:hint="default"/>
                <w:sz w:val="21"/>
                <w:szCs w:val="21"/>
              </w:rPr>
            </w:pPr>
            <w:r>
              <w:rPr>
                <w:rFonts w:ascii="宋体" w:hAnsi="宋体" w:cs="宋体" w:eastAsia="宋体" w:hint="default"/>
                <w:sz w:val="21"/>
                <w:szCs w:val="21"/>
              </w:rPr>
              <w:t>处置子公司及其他营业单位收到的现金</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净额</w:t>
            </w:r>
            <w:r>
              <w:rPr>
                <w:rFonts w:ascii="宋体" w:hAnsi="宋体" w:cs="宋体" w:eastAsia="宋体" w:hint="default"/>
                <w:sz w:val="21"/>
                <w:szCs w:val="21"/>
              </w:rPr>
              <w:t> </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r>
      <w:tr>
        <w:trPr>
          <w:trHeight w:val="281" w:hRule="exact"/>
        </w:trPr>
        <w:tc>
          <w:tcPr>
            <w:tcW w:w="41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收到其他与投资活动有关的现金</w:t>
            </w:r>
            <w:r>
              <w:rPr>
                <w:rFonts w:ascii="宋体" w:hAnsi="宋体" w:cs="宋体" w:eastAsia="宋体" w:hint="default"/>
                <w:sz w:val="21"/>
                <w:szCs w:val="21"/>
              </w:rPr>
              <w:t> </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1,012,782,200.00</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574,684,283.35</w:t>
            </w:r>
            <w:r>
              <w:rPr>
                <w:rFonts w:ascii="宋体"/>
                <w:sz w:val="21"/>
              </w:rPr>
              <w:t> </w:t>
            </w:r>
          </w:p>
        </w:tc>
      </w:tr>
      <w:tr>
        <w:trPr>
          <w:trHeight w:val="283" w:hRule="exact"/>
        </w:trPr>
        <w:tc>
          <w:tcPr>
            <w:tcW w:w="412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20" w:right="0"/>
              <w:jc w:val="left"/>
              <w:rPr>
                <w:rFonts w:ascii="宋体" w:hAnsi="宋体" w:cs="宋体" w:eastAsia="宋体" w:hint="default"/>
                <w:sz w:val="21"/>
                <w:szCs w:val="21"/>
              </w:rPr>
            </w:pPr>
            <w:r>
              <w:rPr>
                <w:rFonts w:ascii="宋体" w:hAnsi="宋体" w:cs="宋体" w:eastAsia="宋体" w:hint="default"/>
                <w:sz w:val="21"/>
                <w:szCs w:val="21"/>
              </w:rPr>
              <w:t>投资活动现金流入小计</w:t>
            </w:r>
            <w:r>
              <w:rPr>
                <w:rFonts w:ascii="宋体" w:hAnsi="宋体" w:cs="宋体" w:eastAsia="宋体" w:hint="default"/>
                <w:sz w:val="21"/>
                <w:szCs w:val="21"/>
              </w:rPr>
              <w:t> </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8,369,311,962.48</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7,062,420,519.81</w:t>
            </w:r>
            <w:r>
              <w:rPr>
                <w:rFonts w:ascii="宋体"/>
                <w:sz w:val="21"/>
              </w:rPr>
              <w:t> </w:t>
            </w:r>
          </w:p>
        </w:tc>
      </w:tr>
      <w:tr>
        <w:trPr>
          <w:trHeight w:val="555" w:hRule="exact"/>
        </w:trPr>
        <w:tc>
          <w:tcPr>
            <w:tcW w:w="41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1" w:right="0"/>
              <w:jc w:val="left"/>
              <w:rPr>
                <w:rFonts w:ascii="宋体" w:hAnsi="宋体" w:cs="宋体" w:eastAsia="宋体" w:hint="default"/>
                <w:sz w:val="21"/>
                <w:szCs w:val="21"/>
              </w:rPr>
            </w:pPr>
            <w:r>
              <w:rPr>
                <w:rFonts w:ascii="宋体" w:hAnsi="宋体" w:cs="宋体" w:eastAsia="宋体" w:hint="default"/>
                <w:spacing w:val="-6"/>
                <w:sz w:val="21"/>
                <w:szCs w:val="21"/>
              </w:rPr>
              <w:t>购建固定资产、无形资产和其他长期资产</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支付的现金</w:t>
            </w:r>
            <w:r>
              <w:rPr>
                <w:rFonts w:ascii="宋体" w:hAnsi="宋体" w:cs="宋体" w:eastAsia="宋体" w:hint="default"/>
                <w:sz w:val="21"/>
                <w:szCs w:val="21"/>
              </w:rPr>
              <w:t> </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20,685,475.18</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41,629,092.61</w:t>
            </w:r>
            <w:r>
              <w:rPr>
                <w:rFonts w:ascii="宋体"/>
                <w:sz w:val="21"/>
              </w:rPr>
              <w:t> </w:t>
            </w:r>
          </w:p>
        </w:tc>
      </w:tr>
      <w:tr>
        <w:trPr>
          <w:trHeight w:val="283" w:hRule="exact"/>
        </w:trPr>
        <w:tc>
          <w:tcPr>
            <w:tcW w:w="41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投资支付的现金</w:t>
            </w:r>
            <w:r>
              <w:rPr>
                <w:rFonts w:ascii="宋体" w:hAnsi="宋体" w:cs="宋体" w:eastAsia="宋体" w:hint="default"/>
                <w:sz w:val="21"/>
                <w:szCs w:val="21"/>
              </w:rPr>
              <w:t> </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7,294,804,828.47</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6,197,650,217.17</w:t>
            </w:r>
            <w:r>
              <w:rPr>
                <w:rFonts w:ascii="宋体"/>
                <w:sz w:val="21"/>
              </w:rPr>
              <w:t> </w:t>
            </w:r>
          </w:p>
        </w:tc>
      </w:tr>
      <w:tr>
        <w:trPr>
          <w:trHeight w:val="554" w:hRule="exact"/>
        </w:trPr>
        <w:tc>
          <w:tcPr>
            <w:tcW w:w="412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1" w:right="0"/>
              <w:jc w:val="left"/>
              <w:rPr>
                <w:rFonts w:ascii="宋体" w:hAnsi="宋体" w:cs="宋体" w:eastAsia="宋体" w:hint="default"/>
                <w:sz w:val="21"/>
                <w:szCs w:val="21"/>
              </w:rPr>
            </w:pPr>
            <w:r>
              <w:rPr>
                <w:rFonts w:ascii="宋体" w:hAnsi="宋体" w:cs="宋体" w:eastAsia="宋体" w:hint="default"/>
                <w:sz w:val="21"/>
                <w:szCs w:val="21"/>
              </w:rPr>
              <w:t>取得子公司及其他营业单位支付的现金</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净额</w:t>
            </w:r>
            <w:r>
              <w:rPr>
                <w:rFonts w:ascii="宋体" w:hAnsi="宋体" w:cs="宋体" w:eastAsia="宋体" w:hint="default"/>
                <w:sz w:val="21"/>
                <w:szCs w:val="21"/>
              </w:rPr>
              <w:t> </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r>
      <w:tr>
        <w:trPr>
          <w:trHeight w:val="283" w:hRule="exact"/>
        </w:trPr>
        <w:tc>
          <w:tcPr>
            <w:tcW w:w="41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支付其他与投资活动有关的现金</w:t>
            </w:r>
            <w:r>
              <w:rPr>
                <w:rFonts w:ascii="宋体" w:hAnsi="宋体" w:cs="宋体" w:eastAsia="宋体" w:hint="default"/>
                <w:sz w:val="21"/>
                <w:szCs w:val="21"/>
              </w:rPr>
              <w:t> </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1,090,060,706.07</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875,300,000.00</w:t>
            </w:r>
            <w:r>
              <w:rPr>
                <w:rFonts w:ascii="宋体"/>
                <w:sz w:val="21"/>
              </w:rPr>
              <w:t> </w:t>
            </w:r>
          </w:p>
        </w:tc>
      </w:tr>
      <w:tr>
        <w:trPr>
          <w:trHeight w:val="281" w:hRule="exact"/>
        </w:trPr>
        <w:tc>
          <w:tcPr>
            <w:tcW w:w="41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投资活动现金流出小计</w:t>
            </w:r>
            <w:r>
              <w:rPr>
                <w:rFonts w:ascii="宋体" w:hAnsi="宋体" w:cs="宋体" w:eastAsia="宋体" w:hint="default"/>
                <w:sz w:val="21"/>
                <w:szCs w:val="21"/>
              </w:rPr>
              <w:t> </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8,405,551,009.72</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7,114,579,309.78</w:t>
            </w:r>
            <w:r>
              <w:rPr>
                <w:rFonts w:ascii="宋体"/>
                <w:sz w:val="21"/>
              </w:rPr>
              <w:t> </w:t>
            </w:r>
          </w:p>
        </w:tc>
      </w:tr>
      <w:tr>
        <w:trPr>
          <w:trHeight w:val="283" w:hRule="exact"/>
        </w:trPr>
        <w:tc>
          <w:tcPr>
            <w:tcW w:w="41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投资活动产生的现金流量净额</w:t>
            </w:r>
            <w:r>
              <w:rPr>
                <w:rFonts w:ascii="宋体" w:hAnsi="宋体" w:cs="宋体" w:eastAsia="宋体" w:hint="default"/>
                <w:sz w:val="21"/>
                <w:szCs w:val="21"/>
              </w:rPr>
              <w:t> </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-36,239,047.24</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-52,158,789.97</w:t>
            </w:r>
            <w:r>
              <w:rPr>
                <w:rFonts w:ascii="宋体"/>
                <w:sz w:val="21"/>
              </w:rPr>
              <w:t> </w:t>
            </w:r>
          </w:p>
        </w:tc>
      </w:tr>
      <w:tr>
        <w:trPr>
          <w:trHeight w:val="281" w:hRule="exact"/>
        </w:trPr>
        <w:tc>
          <w:tcPr>
            <w:tcW w:w="41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三、筹资活动产生的现金流量：</w:t>
            </w:r>
            <w:r>
              <w:rPr>
                <w:rFonts w:ascii="宋体" w:hAnsi="宋体" w:cs="宋体" w:eastAsia="宋体" w:hint="default"/>
                <w:w w:val="100"/>
                <w:sz w:val="21"/>
                <w:szCs w:val="21"/>
              </w:rPr>
              <w:t> </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color w:val="008000"/>
                <w:w w:val="100"/>
                <w:sz w:val="21"/>
              </w:rPr>
              <w:t> </w:t>
            </w:r>
            <w:r>
              <w:rPr>
                <w:rFonts w:ascii="宋体"/>
                <w:w w:val="100"/>
                <w:sz w:val="21"/>
              </w:rPr>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412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吸收投资收到的现金</w:t>
            </w:r>
            <w:r>
              <w:rPr>
                <w:rFonts w:ascii="宋体" w:hAnsi="宋体" w:cs="宋体" w:eastAsia="宋体" w:hint="default"/>
                <w:sz w:val="21"/>
                <w:szCs w:val="21"/>
              </w:rPr>
              <w:t> </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6,066,532.00</w:t>
            </w:r>
            <w:r>
              <w:rPr>
                <w:rFonts w:ascii="宋体"/>
                <w:sz w:val="21"/>
              </w:rPr>
              <w:t> </w:t>
            </w:r>
          </w:p>
        </w:tc>
      </w:tr>
      <w:tr>
        <w:trPr>
          <w:trHeight w:val="283" w:hRule="exact"/>
        </w:trPr>
        <w:tc>
          <w:tcPr>
            <w:tcW w:w="41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取得借款收到的现金</w:t>
            </w:r>
            <w:r>
              <w:rPr>
                <w:rFonts w:ascii="宋体" w:hAnsi="宋体" w:cs="宋体" w:eastAsia="宋体" w:hint="default"/>
                <w:sz w:val="21"/>
                <w:szCs w:val="21"/>
              </w:rPr>
              <w:t> </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1,321,675,785.43</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1,330,000,000.00</w:t>
            </w:r>
            <w:r>
              <w:rPr>
                <w:rFonts w:ascii="宋体"/>
                <w:sz w:val="21"/>
              </w:rPr>
              <w:t> </w:t>
            </w:r>
          </w:p>
        </w:tc>
      </w:tr>
      <w:tr>
        <w:trPr>
          <w:trHeight w:val="281" w:hRule="exact"/>
        </w:trPr>
        <w:tc>
          <w:tcPr>
            <w:tcW w:w="41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收到其他与筹资活动有关的现金</w:t>
            </w:r>
            <w:r>
              <w:rPr>
                <w:rFonts w:ascii="宋体" w:hAnsi="宋体" w:cs="宋体" w:eastAsia="宋体" w:hint="default"/>
                <w:sz w:val="21"/>
                <w:szCs w:val="21"/>
              </w:rPr>
              <w:t> </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412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20" w:right="0"/>
              <w:jc w:val="left"/>
              <w:rPr>
                <w:rFonts w:ascii="宋体" w:hAnsi="宋体" w:cs="宋体" w:eastAsia="宋体" w:hint="default"/>
                <w:sz w:val="21"/>
                <w:szCs w:val="21"/>
              </w:rPr>
            </w:pPr>
            <w:r>
              <w:rPr>
                <w:rFonts w:ascii="宋体" w:hAnsi="宋体" w:cs="宋体" w:eastAsia="宋体" w:hint="default"/>
                <w:sz w:val="21"/>
                <w:szCs w:val="21"/>
              </w:rPr>
              <w:t>筹资活动现金流入小计</w:t>
            </w:r>
            <w:r>
              <w:rPr>
                <w:rFonts w:ascii="宋体" w:hAnsi="宋体" w:cs="宋体" w:eastAsia="宋体" w:hint="default"/>
                <w:sz w:val="21"/>
                <w:szCs w:val="21"/>
              </w:rPr>
              <w:t> </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1,321,675,785.43</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1,336,066,532.00</w:t>
            </w:r>
            <w:r>
              <w:rPr>
                <w:rFonts w:ascii="宋体"/>
                <w:sz w:val="21"/>
              </w:rPr>
              <w:t> </w:t>
            </w:r>
          </w:p>
        </w:tc>
      </w:tr>
      <w:tr>
        <w:trPr>
          <w:trHeight w:val="283" w:hRule="exact"/>
        </w:trPr>
        <w:tc>
          <w:tcPr>
            <w:tcW w:w="41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偿还债务支付的现金</w:t>
            </w:r>
            <w:r>
              <w:rPr>
                <w:rFonts w:ascii="宋体" w:hAnsi="宋体" w:cs="宋体" w:eastAsia="宋体" w:hint="default"/>
                <w:sz w:val="21"/>
                <w:szCs w:val="21"/>
              </w:rPr>
              <w:t> </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743,320,686.43</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982,081,913.83</w:t>
            </w:r>
            <w:r>
              <w:rPr>
                <w:rFonts w:ascii="宋体"/>
                <w:sz w:val="21"/>
              </w:rPr>
              <w:t> </w:t>
            </w:r>
          </w:p>
        </w:tc>
      </w:tr>
      <w:tr>
        <w:trPr>
          <w:trHeight w:val="281" w:hRule="exact"/>
        </w:trPr>
        <w:tc>
          <w:tcPr>
            <w:tcW w:w="41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分配股利、利润或偿付利息支付的现金</w:t>
            </w:r>
            <w:r>
              <w:rPr>
                <w:rFonts w:ascii="宋体" w:hAnsi="宋体" w:cs="宋体" w:eastAsia="宋体" w:hint="default"/>
                <w:sz w:val="21"/>
                <w:szCs w:val="21"/>
              </w:rPr>
              <w:t> </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378,208,913.57</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121,838,878.06</w:t>
            </w:r>
            <w:r>
              <w:rPr>
                <w:rFonts w:ascii="宋体"/>
                <w:sz w:val="21"/>
              </w:rPr>
              <w:t> </w:t>
            </w:r>
          </w:p>
        </w:tc>
      </w:tr>
      <w:tr>
        <w:trPr>
          <w:trHeight w:val="283" w:hRule="exact"/>
        </w:trPr>
        <w:tc>
          <w:tcPr>
            <w:tcW w:w="412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支付其他与筹资活动有关的现金</w:t>
            </w:r>
            <w:r>
              <w:rPr>
                <w:rFonts w:ascii="宋体" w:hAnsi="宋体" w:cs="宋体" w:eastAsia="宋体" w:hint="default"/>
                <w:sz w:val="21"/>
                <w:szCs w:val="21"/>
              </w:rPr>
              <w:t> </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34,983,797.82</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99,614,760.20</w:t>
            </w:r>
            <w:r>
              <w:rPr>
                <w:rFonts w:ascii="宋体"/>
                <w:sz w:val="21"/>
              </w:rPr>
              <w:t> </w:t>
            </w:r>
          </w:p>
        </w:tc>
      </w:tr>
      <w:tr>
        <w:trPr>
          <w:trHeight w:val="283" w:hRule="exact"/>
        </w:trPr>
        <w:tc>
          <w:tcPr>
            <w:tcW w:w="41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筹资活动现金流出小计</w:t>
            </w:r>
            <w:r>
              <w:rPr>
                <w:rFonts w:ascii="宋体" w:hAnsi="宋体" w:cs="宋体" w:eastAsia="宋体" w:hint="default"/>
                <w:sz w:val="21"/>
                <w:szCs w:val="21"/>
              </w:rPr>
              <w:t> </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1,156,513,397.82</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1,203,535,552.09</w:t>
            </w:r>
            <w:r>
              <w:rPr>
                <w:rFonts w:ascii="宋体"/>
                <w:sz w:val="21"/>
              </w:rPr>
              <w:t> </w:t>
            </w:r>
          </w:p>
        </w:tc>
      </w:tr>
      <w:tr>
        <w:trPr>
          <w:trHeight w:val="281" w:hRule="exact"/>
        </w:trPr>
        <w:tc>
          <w:tcPr>
            <w:tcW w:w="41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筹资活动产生的现金流量净额</w:t>
            </w:r>
            <w:r>
              <w:rPr>
                <w:rFonts w:ascii="宋体" w:hAnsi="宋体" w:cs="宋体" w:eastAsia="宋体" w:hint="default"/>
                <w:sz w:val="21"/>
                <w:szCs w:val="21"/>
              </w:rPr>
              <w:t> </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165,162,387.61</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132,530,979.91</w:t>
            </w:r>
            <w:r>
              <w:rPr>
                <w:rFonts w:ascii="宋体"/>
                <w:sz w:val="21"/>
              </w:rPr>
              <w:t> </w:t>
            </w:r>
          </w:p>
        </w:tc>
      </w:tr>
      <w:tr>
        <w:trPr>
          <w:trHeight w:val="283" w:hRule="exact"/>
        </w:trPr>
        <w:tc>
          <w:tcPr>
            <w:tcW w:w="41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四、汇率变动对现金及现金等价物的影响</w:t>
            </w:r>
            <w:r>
              <w:rPr>
                <w:rFonts w:ascii="宋体" w:hAnsi="宋体" w:cs="宋体" w:eastAsia="宋体" w:hint="default"/>
                <w:w w:val="100"/>
                <w:sz w:val="21"/>
                <w:szCs w:val="21"/>
              </w:rPr>
              <w:t> </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4,308,408.75</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7,514,564.63</w:t>
            </w:r>
            <w:r>
              <w:rPr>
                <w:rFonts w:ascii="宋体"/>
                <w:sz w:val="21"/>
              </w:rPr>
              <w:t> </w:t>
            </w:r>
          </w:p>
        </w:tc>
      </w:tr>
      <w:tr>
        <w:trPr>
          <w:trHeight w:val="283" w:hRule="exact"/>
        </w:trPr>
        <w:tc>
          <w:tcPr>
            <w:tcW w:w="41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五、现金及现金等价物净增加额</w:t>
            </w:r>
            <w:r>
              <w:rPr>
                <w:rFonts w:ascii="宋体" w:hAnsi="宋体" w:cs="宋体" w:eastAsia="宋体" w:hint="default"/>
                <w:w w:val="100"/>
                <w:sz w:val="21"/>
                <w:szCs w:val="21"/>
              </w:rPr>
              <w:t> </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280,464,632.24</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129,949,155.93</w:t>
            </w:r>
            <w:r>
              <w:rPr>
                <w:rFonts w:ascii="宋体"/>
                <w:sz w:val="21"/>
              </w:rPr>
              <w:t> </w:t>
            </w:r>
          </w:p>
        </w:tc>
      </w:tr>
      <w:tr>
        <w:trPr>
          <w:trHeight w:val="281" w:hRule="exact"/>
        </w:trPr>
        <w:tc>
          <w:tcPr>
            <w:tcW w:w="41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加：期初现金及现金等价物余额</w:t>
            </w:r>
            <w:r>
              <w:rPr>
                <w:rFonts w:ascii="宋体" w:hAnsi="宋体" w:cs="宋体" w:eastAsia="宋体" w:hint="default"/>
                <w:sz w:val="21"/>
                <w:szCs w:val="21"/>
              </w:rPr>
              <w:t> </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1,039,152,455.87</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909,203,299.94</w:t>
            </w:r>
            <w:r>
              <w:rPr>
                <w:rFonts w:ascii="宋体"/>
                <w:sz w:val="21"/>
              </w:rPr>
              <w:t> </w:t>
            </w:r>
          </w:p>
        </w:tc>
      </w:tr>
      <w:tr>
        <w:trPr>
          <w:trHeight w:val="283" w:hRule="exact"/>
        </w:trPr>
        <w:tc>
          <w:tcPr>
            <w:tcW w:w="41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六、期末现金及现金等价物余额</w:t>
            </w:r>
            <w:r>
              <w:rPr>
                <w:rFonts w:ascii="宋体" w:hAnsi="宋体" w:cs="宋体" w:eastAsia="宋体" w:hint="default"/>
                <w:w w:val="100"/>
                <w:sz w:val="21"/>
                <w:szCs w:val="21"/>
              </w:rPr>
              <w:t> </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1,319,617,088.11</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1,039,152,455.87</w:t>
            </w:r>
            <w:r>
              <w:rPr>
                <w:rFonts w:ascii="宋体"/>
                <w:sz w:val="21"/>
              </w:rPr>
              <w:t> </w:t>
            </w:r>
          </w:p>
        </w:tc>
      </w:tr>
    </w:tbl>
    <w:p>
      <w:pPr>
        <w:pStyle w:val="BodyText"/>
        <w:spacing w:line="239" w:lineRule="exact"/>
        <w:ind w:left="598" w:right="0"/>
        <w:jc w:val="left"/>
        <w:rPr>
          <w:rFonts w:ascii="宋体" w:hAnsi="宋体" w:cs="宋体" w:eastAsia="宋体" w:hint="default"/>
        </w:rPr>
      </w:pPr>
      <w:r>
        <w:rPr/>
        <w:t>法定代表人：陆永华       </w:t>
      </w:r>
      <w:r>
        <w:rPr>
          <w:rFonts w:ascii="宋体" w:hAnsi="宋体" w:cs="宋体" w:eastAsia="宋体" w:hint="default"/>
        </w:rPr>
      </w:r>
      <w:r>
        <w:rPr/>
        <w:t>主管会计工作负责人：虞海娟        </w:t>
      </w:r>
      <w:r>
        <w:rPr>
          <w:spacing w:val="95"/>
        </w:rPr>
        <w:t> </w:t>
      </w:r>
      <w:r>
        <w:rPr>
          <w:rFonts w:ascii="宋体" w:hAnsi="宋体" w:cs="宋体" w:eastAsia="宋体" w:hint="default"/>
          <w:spacing w:val="95"/>
        </w:rPr>
      </w:r>
      <w:r>
        <w:rPr/>
        <w:t>会计机构负责人：周辉</w:t>
      </w:r>
      <w:r>
        <w:rPr>
          <w:rFonts w:ascii="宋体" w:hAnsi="宋体" w:cs="宋体" w:eastAsia="宋体" w:hint="default"/>
          <w:b/>
          <w:bCs/>
          <w:color w:val="FF0000"/>
          <w:w w:val="99"/>
        </w:rPr>
        <w:t> </w:t>
      </w:r>
      <w:r>
        <w:rPr>
          <w:rFonts w:ascii="宋体" w:hAnsi="宋体" w:cs="宋体" w:eastAsia="宋体" w:hint="default"/>
        </w:rPr>
      </w:r>
    </w:p>
    <w:p>
      <w:pPr>
        <w:pStyle w:val="BodyText"/>
        <w:spacing w:line="273" w:lineRule="exact"/>
        <w:ind w:left="598" w:right="0"/>
        <w:jc w:val="left"/>
        <w:rPr>
          <w:rFonts w:ascii="宋体" w:hAnsi="宋体" w:cs="宋体" w:eastAsia="宋体" w:hint="default"/>
        </w:rPr>
      </w:pPr>
      <w:r>
        <w:rPr>
          <w:rFonts w:ascii="宋体"/>
          <w:w w:val="100"/>
        </w:rPr>
        <w:t> </w:t>
      </w:r>
    </w:p>
    <w:p>
      <w:pPr>
        <w:spacing w:after="0" w:line="273" w:lineRule="exact"/>
        <w:jc w:val="left"/>
        <w:rPr>
          <w:rFonts w:ascii="宋体" w:hAnsi="宋体" w:cs="宋体" w:eastAsia="宋体" w:hint="default"/>
        </w:rPr>
        <w:sectPr>
          <w:type w:val="continuous"/>
          <w:pgSz w:w="11910" w:h="16840"/>
          <w:pgMar w:top="1580" w:bottom="280" w:left="1200" w:right="660"/>
        </w:sectPr>
      </w:pPr>
    </w:p>
    <w:p>
      <w:pPr>
        <w:spacing w:line="237" w:lineRule="auto" w:before="104"/>
        <w:ind w:left="7055" w:right="0" w:hanging="1"/>
        <w:jc w:val="center"/>
        <w:rPr>
          <w:rFonts w:ascii="宋体" w:hAnsi="宋体" w:cs="宋体" w:eastAsia="宋体" w:hint="default"/>
          <w:sz w:val="21"/>
          <w:szCs w:val="21"/>
        </w:rPr>
      </w:pPr>
      <w:r>
        <w:rPr>
          <w:rFonts w:ascii="宋体" w:hAnsi="宋体" w:cs="宋体" w:eastAsia="宋体" w:hint="default"/>
          <w:b/>
          <w:bCs/>
          <w:w w:val="99"/>
          <w:sz w:val="21"/>
          <w:szCs w:val="21"/>
        </w:rPr>
        <w:t>  </w:t>
      </w:r>
      <w:r>
        <w:rPr>
          <w:rFonts w:ascii="宋体" w:hAnsi="宋体" w:cs="宋体" w:eastAsia="宋体" w:hint="default"/>
          <w:b/>
          <w:bCs/>
          <w:w w:val="100"/>
          <w:sz w:val="21"/>
          <w:szCs w:val="21"/>
        </w:rPr>
        <w:t>合并所有者权益变</w:t>
      </w:r>
      <w:r>
        <w:rPr>
          <w:rFonts w:ascii="宋体" w:hAnsi="宋体" w:cs="宋体" w:eastAsia="宋体" w:hint="default"/>
          <w:b/>
          <w:bCs/>
          <w:spacing w:val="-3"/>
          <w:w w:val="100"/>
          <w:sz w:val="21"/>
          <w:szCs w:val="21"/>
        </w:rPr>
        <w:t>动表</w:t>
      </w:r>
      <w:r>
        <w:rPr>
          <w:rFonts w:ascii="宋体" w:hAnsi="宋体" w:cs="宋体" w:eastAsia="宋体" w:hint="default"/>
          <w:b/>
          <w:bCs/>
          <w:w w:val="99"/>
          <w:sz w:val="21"/>
          <w:szCs w:val="21"/>
        </w:rPr>
        <w:t> </w:t>
      </w:r>
      <w:r>
        <w:rPr>
          <w:rFonts w:ascii="宋体" w:hAnsi="宋体" w:cs="宋体" w:eastAsia="宋体" w:hint="default"/>
          <w:w w:val="100"/>
          <w:sz w:val="21"/>
          <w:szCs w:val="21"/>
        </w:rPr>
        <w:t>2019</w:t>
      </w:r>
      <w:r>
        <w:rPr>
          <w:rFonts w:ascii="宋体" w:hAnsi="宋体" w:cs="宋体" w:eastAsia="宋体" w:hint="default"/>
          <w:spacing w:val="-55"/>
          <w:sz w:val="21"/>
          <w:szCs w:val="21"/>
        </w:rPr>
        <w:t> </w:t>
      </w:r>
      <w:r>
        <w:rPr>
          <w:rFonts w:ascii="宋体" w:hAnsi="宋体" w:cs="宋体" w:eastAsia="宋体" w:hint="default"/>
          <w:w w:val="100"/>
          <w:sz w:val="21"/>
          <w:szCs w:val="21"/>
        </w:rPr>
        <w:t>年</w:t>
      </w:r>
      <w:r>
        <w:rPr>
          <w:rFonts w:ascii="宋体" w:hAnsi="宋体" w:cs="宋体" w:eastAsia="宋体" w:hint="default"/>
          <w:spacing w:val="-53"/>
          <w:sz w:val="21"/>
          <w:szCs w:val="21"/>
        </w:rPr>
        <w:t> </w:t>
      </w:r>
      <w:r>
        <w:rPr>
          <w:rFonts w:ascii="宋体" w:hAnsi="宋体" w:cs="宋体" w:eastAsia="宋体" w:hint="default"/>
          <w:w w:val="100"/>
          <w:sz w:val="21"/>
          <w:szCs w:val="21"/>
        </w:rPr>
        <w:t>1</w:t>
      </w:r>
      <w:r>
        <w:rPr>
          <w:rFonts w:ascii="宋体" w:hAnsi="宋体" w:cs="宋体" w:eastAsia="宋体" w:hint="default"/>
          <w:spacing w:val="-3"/>
          <w:w w:val="100"/>
          <w:sz w:val="21"/>
          <w:szCs w:val="21"/>
        </w:rPr>
        <w:t>—</w:t>
      </w:r>
      <w:r>
        <w:rPr>
          <w:rFonts w:ascii="宋体" w:hAnsi="宋体" w:cs="宋体" w:eastAsia="宋体" w:hint="default"/>
          <w:w w:val="100"/>
          <w:sz w:val="21"/>
          <w:szCs w:val="21"/>
        </w:rPr>
        <w:t>12</w:t>
      </w:r>
      <w:r>
        <w:rPr>
          <w:rFonts w:ascii="宋体" w:hAnsi="宋体" w:cs="宋体" w:eastAsia="宋体" w:hint="default"/>
          <w:spacing w:val="-55"/>
          <w:sz w:val="21"/>
          <w:szCs w:val="21"/>
        </w:rPr>
        <w:t> </w:t>
      </w:r>
      <w:r>
        <w:rPr>
          <w:rFonts w:ascii="宋体" w:hAnsi="宋体" w:cs="宋体" w:eastAsia="宋体" w:hint="default"/>
          <w:spacing w:val="-3"/>
          <w:w w:val="100"/>
          <w:sz w:val="21"/>
          <w:szCs w:val="21"/>
        </w:rPr>
        <w:t>月</w:t>
      </w:r>
      <w:r>
        <w:rPr>
          <w:rFonts w:ascii="宋体" w:hAnsi="宋体" w:cs="宋体" w:eastAsia="宋体" w:hint="default"/>
          <w:w w:val="100"/>
          <w:sz w:val="21"/>
          <w:szCs w:val="21"/>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33"/>
        <w:ind w:left="3858" w:right="0"/>
        <w:jc w:val="left"/>
        <w:rPr>
          <w:rFonts w:ascii="宋体" w:hAnsi="宋体" w:cs="宋体" w:eastAsia="宋体" w:hint="default"/>
        </w:rPr>
      </w:pPr>
      <w:r>
        <w:rPr/>
        <w:t>单位</w:t>
      </w:r>
      <w:r>
        <w:rPr>
          <w:rFonts w:ascii="宋体" w:hAnsi="宋体" w:cs="宋体" w:eastAsia="宋体" w:hint="default"/>
        </w:rPr>
        <w:t>:</w:t>
      </w:r>
      <w:r>
        <w:rPr/>
        <w:t>元币种</w:t>
      </w:r>
      <w:r>
        <w:rPr>
          <w:rFonts w:ascii="宋体" w:hAnsi="宋体" w:cs="宋体" w:eastAsia="宋体" w:hint="default"/>
        </w:rPr>
        <w:t>:</w:t>
      </w:r>
      <w:r>
        <w:rPr/>
        <w:t>人民币</w:t>
      </w:r>
      <w:r>
        <w:rPr>
          <w:rFonts w:ascii="宋体" w:hAnsi="宋体" w:cs="宋体" w:eastAsia="宋体" w:hint="default"/>
        </w:rPr>
        <w:t> </w:t>
      </w:r>
    </w:p>
    <w:p>
      <w:pPr>
        <w:spacing w:after="0" w:line="240" w:lineRule="auto"/>
        <w:jc w:val="left"/>
        <w:rPr>
          <w:rFonts w:ascii="宋体" w:hAnsi="宋体" w:cs="宋体" w:eastAsia="宋体" w:hint="default"/>
        </w:rPr>
        <w:sectPr>
          <w:headerReference w:type="default" r:id="rId49"/>
          <w:footerReference w:type="default" r:id="rId50"/>
          <w:pgSz w:w="16840" w:h="11910" w:orient="landscape"/>
          <w:pgMar w:header="748" w:footer="975" w:top="1140" w:bottom="1160" w:left="340" w:right="240"/>
          <w:pgNumType w:start="91"/>
          <w:cols w:num="2" w:equalWidth="0">
            <w:col w:w="9269" w:space="40"/>
            <w:col w:w="6951"/>
          </w:cols>
        </w:sectPr>
      </w:pPr>
    </w:p>
    <w:p>
      <w:pPr>
        <w:spacing w:line="240" w:lineRule="auto" w:before="7"/>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1702"/>
        <w:gridCol w:w="1274"/>
        <w:gridCol w:w="312"/>
        <w:gridCol w:w="353"/>
        <w:gridCol w:w="1157"/>
        <w:gridCol w:w="1287"/>
        <w:gridCol w:w="1154"/>
        <w:gridCol w:w="1018"/>
        <w:gridCol w:w="533"/>
        <w:gridCol w:w="1135"/>
        <w:gridCol w:w="566"/>
        <w:gridCol w:w="1274"/>
        <w:gridCol w:w="286"/>
        <w:gridCol w:w="1416"/>
        <w:gridCol w:w="1133"/>
        <w:gridCol w:w="1421"/>
      </w:tblGrid>
      <w:tr>
        <w:trPr>
          <w:trHeight w:val="250" w:hRule="exact"/>
        </w:trPr>
        <w:tc>
          <w:tcPr>
            <w:tcW w:w="170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83"/>
              <w:ind w:left="62" w:right="0"/>
              <w:jc w:val="center"/>
              <w:rPr>
                <w:rFonts w:ascii="宋体" w:hAnsi="宋体" w:cs="宋体" w:eastAsia="宋体" w:hint="default"/>
                <w:sz w:val="13"/>
                <w:szCs w:val="13"/>
              </w:rPr>
            </w:pPr>
            <w:r>
              <w:rPr>
                <w:rFonts w:ascii="宋体" w:hAnsi="宋体" w:cs="宋体" w:eastAsia="宋体" w:hint="default"/>
                <w:sz w:val="13"/>
                <w:szCs w:val="13"/>
              </w:rPr>
              <w:t>项目</w:t>
            </w:r>
            <w:r>
              <w:rPr>
                <w:rFonts w:ascii="宋体" w:hAnsi="宋体" w:cs="宋体" w:eastAsia="宋体" w:hint="default"/>
                <w:sz w:val="13"/>
                <w:szCs w:val="13"/>
              </w:rPr>
              <w:t> </w:t>
            </w:r>
          </w:p>
        </w:tc>
        <w:tc>
          <w:tcPr>
            <w:tcW w:w="14320" w:type="dxa"/>
            <w:gridSpan w:val="15"/>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658" w:right="0"/>
              <w:jc w:val="center"/>
              <w:rPr>
                <w:rFonts w:ascii="宋体" w:hAnsi="宋体" w:cs="宋体" w:eastAsia="宋体" w:hint="default"/>
                <w:sz w:val="13"/>
                <w:szCs w:val="13"/>
              </w:rPr>
            </w:pPr>
            <w:r>
              <w:rPr>
                <w:rFonts w:ascii="宋体" w:hAnsi="宋体" w:cs="宋体" w:eastAsia="宋体" w:hint="default"/>
                <w:sz w:val="13"/>
                <w:szCs w:val="13"/>
              </w:rPr>
              <w:t>2019</w:t>
            </w:r>
            <w:r>
              <w:rPr>
                <w:rFonts w:ascii="宋体" w:hAnsi="宋体" w:cs="宋体" w:eastAsia="宋体" w:hint="default"/>
                <w:spacing w:val="-34"/>
                <w:sz w:val="13"/>
                <w:szCs w:val="13"/>
              </w:rPr>
              <w:t> </w:t>
            </w:r>
            <w:r>
              <w:rPr>
                <w:rFonts w:ascii="宋体" w:hAnsi="宋体" w:cs="宋体" w:eastAsia="宋体" w:hint="default"/>
                <w:sz w:val="13"/>
                <w:szCs w:val="13"/>
              </w:rPr>
              <w:t>年度</w:t>
            </w:r>
            <w:r>
              <w:rPr>
                <w:rFonts w:ascii="宋体" w:hAnsi="宋体" w:cs="宋体" w:eastAsia="宋体" w:hint="default"/>
                <w:sz w:val="13"/>
                <w:szCs w:val="13"/>
              </w:rPr>
              <w:t> </w:t>
            </w:r>
          </w:p>
        </w:tc>
      </w:tr>
      <w:tr>
        <w:trPr>
          <w:trHeight w:val="550" w:hRule="exact"/>
        </w:trPr>
        <w:tc>
          <w:tcPr>
            <w:tcW w:w="1702" w:type="dxa"/>
            <w:vMerge/>
            <w:tcBorders>
              <w:left w:val="single" w:sz="4" w:space="0" w:color="000000"/>
              <w:right w:val="single" w:sz="4" w:space="0" w:color="000000"/>
            </w:tcBorders>
          </w:tcPr>
          <w:p>
            <w:pPr/>
          </w:p>
        </w:tc>
        <w:tc>
          <w:tcPr>
            <w:tcW w:w="11766" w:type="dxa"/>
            <w:gridSpan w:val="13"/>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2"/>
                <w:szCs w:val="12"/>
              </w:rPr>
            </w:pPr>
          </w:p>
          <w:p>
            <w:pPr>
              <w:pStyle w:val="TableParagraph"/>
              <w:spacing w:line="240" w:lineRule="auto"/>
              <w:ind w:left="64" w:right="0"/>
              <w:jc w:val="center"/>
              <w:rPr>
                <w:rFonts w:ascii="宋体" w:hAnsi="宋体" w:cs="宋体" w:eastAsia="宋体" w:hint="default"/>
                <w:sz w:val="13"/>
                <w:szCs w:val="13"/>
              </w:rPr>
            </w:pPr>
            <w:r>
              <w:rPr>
                <w:rFonts w:ascii="宋体" w:hAnsi="宋体" w:cs="宋体" w:eastAsia="宋体" w:hint="default"/>
                <w:sz w:val="13"/>
                <w:szCs w:val="13"/>
              </w:rPr>
              <w:t>归属于母公司所有者权益</w:t>
            </w:r>
            <w:r>
              <w:rPr>
                <w:rFonts w:ascii="宋体" w:hAnsi="宋体" w:cs="宋体" w:eastAsia="宋体" w:hint="default"/>
                <w:sz w:val="13"/>
                <w:szCs w:val="13"/>
              </w:rPr>
              <w:t> </w:t>
            </w:r>
          </w:p>
        </w:tc>
        <w:tc>
          <w:tcPr>
            <w:tcW w:w="113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79"/>
              <w:ind w:left="170" w:right="0"/>
              <w:jc w:val="left"/>
              <w:rPr>
                <w:rFonts w:ascii="宋体" w:hAnsi="宋体" w:cs="宋体" w:eastAsia="宋体" w:hint="default"/>
                <w:sz w:val="13"/>
                <w:szCs w:val="13"/>
              </w:rPr>
            </w:pPr>
            <w:r>
              <w:rPr>
                <w:rFonts w:ascii="宋体" w:hAnsi="宋体" w:cs="宋体" w:eastAsia="宋体" w:hint="default"/>
                <w:sz w:val="13"/>
                <w:szCs w:val="13"/>
              </w:rPr>
              <w:t>少数股东权益</w:t>
            </w:r>
            <w:r>
              <w:rPr>
                <w:rFonts w:ascii="宋体" w:hAnsi="宋体" w:cs="宋体" w:eastAsia="宋体" w:hint="default"/>
                <w:sz w:val="13"/>
                <w:szCs w:val="13"/>
              </w:rPr>
              <w:t> </w:t>
            </w:r>
          </w:p>
        </w:tc>
        <w:tc>
          <w:tcPr>
            <w:tcW w:w="142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79"/>
              <w:ind w:left="251" w:right="0"/>
              <w:jc w:val="left"/>
              <w:rPr>
                <w:rFonts w:ascii="宋体" w:hAnsi="宋体" w:cs="宋体" w:eastAsia="宋体" w:hint="default"/>
                <w:sz w:val="13"/>
                <w:szCs w:val="13"/>
              </w:rPr>
            </w:pPr>
            <w:r>
              <w:rPr>
                <w:rFonts w:ascii="宋体" w:hAnsi="宋体" w:cs="宋体" w:eastAsia="宋体" w:hint="default"/>
                <w:sz w:val="13"/>
                <w:szCs w:val="13"/>
              </w:rPr>
              <w:t>所有者权益合计</w:t>
            </w:r>
            <w:r>
              <w:rPr>
                <w:rFonts w:ascii="宋体" w:hAnsi="宋体" w:cs="宋体" w:eastAsia="宋体" w:hint="default"/>
                <w:sz w:val="13"/>
                <w:szCs w:val="13"/>
              </w:rPr>
              <w:t> </w:t>
            </w:r>
          </w:p>
        </w:tc>
      </w:tr>
      <w:tr>
        <w:trPr>
          <w:trHeight w:val="362" w:hRule="exact"/>
        </w:trPr>
        <w:tc>
          <w:tcPr>
            <w:tcW w:w="1702" w:type="dxa"/>
            <w:vMerge/>
            <w:tcBorders>
              <w:left w:val="single" w:sz="4" w:space="0" w:color="000000"/>
              <w:right w:val="single" w:sz="4" w:space="0" w:color="000000"/>
            </w:tcBorders>
          </w:tcPr>
          <w:p>
            <w:pPr/>
          </w:p>
        </w:tc>
        <w:tc>
          <w:tcPr>
            <w:tcW w:w="127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
              <w:ind w:right="0"/>
              <w:jc w:val="left"/>
              <w:rPr>
                <w:rFonts w:ascii="宋体" w:hAnsi="宋体" w:cs="宋体" w:eastAsia="宋体" w:hint="default"/>
                <w:sz w:val="11"/>
                <w:szCs w:val="11"/>
              </w:rPr>
            </w:pPr>
          </w:p>
          <w:p>
            <w:pPr>
              <w:pStyle w:val="TableParagraph"/>
              <w:spacing w:line="240" w:lineRule="auto"/>
              <w:ind w:left="112" w:right="0"/>
              <w:jc w:val="left"/>
              <w:rPr>
                <w:rFonts w:ascii="宋体" w:hAnsi="宋体" w:cs="宋体" w:eastAsia="宋体" w:hint="default"/>
                <w:sz w:val="13"/>
                <w:szCs w:val="13"/>
              </w:rPr>
            </w:pPr>
            <w:r>
              <w:rPr>
                <w:rFonts w:ascii="宋体" w:hAnsi="宋体" w:cs="宋体" w:eastAsia="宋体" w:hint="default"/>
                <w:sz w:val="13"/>
                <w:szCs w:val="13"/>
              </w:rPr>
              <w:t>实收资本</w:t>
            </w:r>
            <w:r>
              <w:rPr>
                <w:rFonts w:ascii="宋体" w:hAnsi="宋体" w:cs="宋体" w:eastAsia="宋体" w:hint="default"/>
                <w:sz w:val="13"/>
                <w:szCs w:val="13"/>
              </w:rPr>
              <w:t>(</w:t>
            </w:r>
            <w:r>
              <w:rPr>
                <w:rFonts w:ascii="宋体" w:hAnsi="宋体" w:cs="宋体" w:eastAsia="宋体" w:hint="default"/>
                <w:sz w:val="13"/>
                <w:szCs w:val="13"/>
              </w:rPr>
              <w:t>或股本</w:t>
            </w:r>
            <w:r>
              <w:rPr>
                <w:rFonts w:ascii="宋体" w:hAnsi="宋体" w:cs="宋体" w:eastAsia="宋体" w:hint="default"/>
                <w:sz w:val="13"/>
                <w:szCs w:val="13"/>
              </w:rPr>
              <w:t>) </w:t>
            </w:r>
          </w:p>
        </w:tc>
        <w:tc>
          <w:tcPr>
            <w:tcW w:w="182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515" w:right="0"/>
              <w:jc w:val="left"/>
              <w:rPr>
                <w:rFonts w:ascii="宋体" w:hAnsi="宋体" w:cs="宋体" w:eastAsia="宋体" w:hint="default"/>
                <w:sz w:val="13"/>
                <w:szCs w:val="13"/>
              </w:rPr>
            </w:pPr>
            <w:r>
              <w:rPr>
                <w:rFonts w:ascii="宋体" w:hAnsi="宋体" w:cs="宋体" w:eastAsia="宋体" w:hint="default"/>
                <w:sz w:val="13"/>
                <w:szCs w:val="13"/>
              </w:rPr>
              <w:t>其他权益工具</w:t>
            </w:r>
            <w:r>
              <w:rPr>
                <w:rFonts w:ascii="宋体" w:hAnsi="宋体" w:cs="宋体" w:eastAsia="宋体" w:hint="default"/>
                <w:sz w:val="13"/>
                <w:szCs w:val="13"/>
              </w:rPr>
              <w:t> </w:t>
            </w:r>
          </w:p>
        </w:tc>
        <w:tc>
          <w:tcPr>
            <w:tcW w:w="128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
              <w:ind w:right="0"/>
              <w:jc w:val="left"/>
              <w:rPr>
                <w:rFonts w:ascii="宋体" w:hAnsi="宋体" w:cs="宋体" w:eastAsia="宋体" w:hint="default"/>
                <w:sz w:val="11"/>
                <w:szCs w:val="11"/>
              </w:rPr>
            </w:pPr>
          </w:p>
          <w:p>
            <w:pPr>
              <w:pStyle w:val="TableParagraph"/>
              <w:spacing w:line="240" w:lineRule="auto"/>
              <w:ind w:left="379" w:right="0"/>
              <w:jc w:val="left"/>
              <w:rPr>
                <w:rFonts w:ascii="宋体" w:hAnsi="宋体" w:cs="宋体" w:eastAsia="宋体" w:hint="default"/>
                <w:sz w:val="13"/>
                <w:szCs w:val="13"/>
              </w:rPr>
            </w:pPr>
            <w:r>
              <w:rPr>
                <w:rFonts w:ascii="宋体" w:hAnsi="宋体" w:cs="宋体" w:eastAsia="宋体" w:hint="default"/>
                <w:sz w:val="13"/>
                <w:szCs w:val="13"/>
              </w:rPr>
              <w:t>资本公积</w:t>
            </w:r>
            <w:r>
              <w:rPr>
                <w:rFonts w:ascii="宋体" w:hAnsi="宋体" w:cs="宋体" w:eastAsia="宋体" w:hint="default"/>
                <w:sz w:val="13"/>
                <w:szCs w:val="13"/>
              </w:rPr>
              <w:t> </w:t>
            </w:r>
          </w:p>
        </w:tc>
        <w:tc>
          <w:tcPr>
            <w:tcW w:w="115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
              <w:ind w:right="0"/>
              <w:jc w:val="left"/>
              <w:rPr>
                <w:rFonts w:ascii="宋体" w:hAnsi="宋体" w:cs="宋体" w:eastAsia="宋体" w:hint="default"/>
                <w:sz w:val="11"/>
                <w:szCs w:val="11"/>
              </w:rPr>
            </w:pPr>
          </w:p>
          <w:p>
            <w:pPr>
              <w:pStyle w:val="TableParagraph"/>
              <w:spacing w:line="240" w:lineRule="auto"/>
              <w:ind w:left="247" w:right="0"/>
              <w:jc w:val="left"/>
              <w:rPr>
                <w:rFonts w:ascii="宋体" w:hAnsi="宋体" w:cs="宋体" w:eastAsia="宋体" w:hint="default"/>
                <w:sz w:val="13"/>
                <w:szCs w:val="13"/>
              </w:rPr>
            </w:pPr>
            <w:r>
              <w:rPr>
                <w:rFonts w:ascii="宋体" w:hAnsi="宋体" w:cs="宋体" w:eastAsia="宋体" w:hint="default"/>
                <w:sz w:val="13"/>
                <w:szCs w:val="13"/>
              </w:rPr>
              <w:t>减：库存股</w:t>
            </w:r>
            <w:r>
              <w:rPr>
                <w:rFonts w:ascii="宋体" w:hAnsi="宋体" w:cs="宋体" w:eastAsia="宋体" w:hint="default"/>
                <w:sz w:val="13"/>
                <w:szCs w:val="13"/>
              </w:rPr>
              <w:t> </w:t>
            </w:r>
          </w:p>
        </w:tc>
        <w:tc>
          <w:tcPr>
            <w:tcW w:w="101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
              <w:ind w:right="0"/>
              <w:jc w:val="left"/>
              <w:rPr>
                <w:rFonts w:ascii="宋体" w:hAnsi="宋体" w:cs="宋体" w:eastAsia="宋体" w:hint="default"/>
                <w:sz w:val="11"/>
                <w:szCs w:val="11"/>
              </w:rPr>
            </w:pPr>
          </w:p>
          <w:p>
            <w:pPr>
              <w:pStyle w:val="TableParagraph"/>
              <w:spacing w:line="240" w:lineRule="auto"/>
              <w:ind w:left="115" w:right="0"/>
              <w:jc w:val="left"/>
              <w:rPr>
                <w:rFonts w:ascii="宋体" w:hAnsi="宋体" w:cs="宋体" w:eastAsia="宋体" w:hint="default"/>
                <w:sz w:val="13"/>
                <w:szCs w:val="13"/>
              </w:rPr>
            </w:pPr>
            <w:r>
              <w:rPr>
                <w:rFonts w:ascii="宋体" w:hAnsi="宋体" w:cs="宋体" w:eastAsia="宋体" w:hint="default"/>
                <w:sz w:val="13"/>
                <w:szCs w:val="13"/>
              </w:rPr>
              <w:t>其他综合收益</w:t>
            </w:r>
            <w:r>
              <w:rPr>
                <w:rFonts w:ascii="宋体" w:hAnsi="宋体" w:cs="宋体" w:eastAsia="宋体" w:hint="default"/>
                <w:sz w:val="13"/>
                <w:szCs w:val="13"/>
              </w:rPr>
              <w:t> </w:t>
            </w:r>
          </w:p>
        </w:tc>
        <w:tc>
          <w:tcPr>
            <w:tcW w:w="53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338" w:lineRule="auto"/>
              <w:ind w:left="134" w:right="62"/>
              <w:jc w:val="left"/>
              <w:rPr>
                <w:rFonts w:ascii="宋体" w:hAnsi="宋体" w:cs="宋体" w:eastAsia="宋体" w:hint="default"/>
                <w:sz w:val="13"/>
                <w:szCs w:val="13"/>
              </w:rPr>
            </w:pPr>
            <w:r>
              <w:rPr>
                <w:rFonts w:ascii="宋体" w:hAnsi="宋体" w:cs="宋体" w:eastAsia="宋体" w:hint="default"/>
                <w:sz w:val="13"/>
                <w:szCs w:val="13"/>
              </w:rPr>
              <w:t>专项</w:t>
            </w:r>
            <w:r>
              <w:rPr>
                <w:rFonts w:ascii="宋体" w:hAnsi="宋体" w:cs="宋体" w:eastAsia="宋体" w:hint="default"/>
                <w:w w:val="99"/>
                <w:sz w:val="13"/>
                <w:szCs w:val="13"/>
              </w:rPr>
              <w:t> </w:t>
            </w:r>
            <w:r>
              <w:rPr>
                <w:rFonts w:ascii="宋体" w:hAnsi="宋体" w:cs="宋体" w:eastAsia="宋体" w:hint="default"/>
                <w:sz w:val="13"/>
                <w:szCs w:val="13"/>
              </w:rPr>
              <w:t>储备</w:t>
            </w:r>
            <w:r>
              <w:rPr>
                <w:rFonts w:ascii="宋体" w:hAnsi="宋体" w:cs="宋体" w:eastAsia="宋体" w:hint="default"/>
                <w:sz w:val="13"/>
                <w:szCs w:val="13"/>
              </w:rPr>
              <w:t> </w:t>
            </w:r>
          </w:p>
        </w:tc>
        <w:tc>
          <w:tcPr>
            <w:tcW w:w="113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
              <w:ind w:right="0"/>
              <w:jc w:val="left"/>
              <w:rPr>
                <w:rFonts w:ascii="宋体" w:hAnsi="宋体" w:cs="宋体" w:eastAsia="宋体" w:hint="default"/>
                <w:sz w:val="11"/>
                <w:szCs w:val="11"/>
              </w:rPr>
            </w:pPr>
          </w:p>
          <w:p>
            <w:pPr>
              <w:pStyle w:val="TableParagraph"/>
              <w:spacing w:line="240" w:lineRule="auto"/>
              <w:ind w:left="299" w:right="0"/>
              <w:jc w:val="left"/>
              <w:rPr>
                <w:rFonts w:ascii="宋体" w:hAnsi="宋体" w:cs="宋体" w:eastAsia="宋体" w:hint="default"/>
                <w:sz w:val="13"/>
                <w:szCs w:val="13"/>
              </w:rPr>
            </w:pPr>
            <w:r>
              <w:rPr>
                <w:rFonts w:ascii="宋体" w:hAnsi="宋体" w:cs="宋体" w:eastAsia="宋体" w:hint="default"/>
                <w:sz w:val="13"/>
                <w:szCs w:val="13"/>
              </w:rPr>
              <w:t>盈余公积</w:t>
            </w:r>
            <w:r>
              <w:rPr>
                <w:rFonts w:ascii="宋体" w:hAnsi="宋体" w:cs="宋体" w:eastAsia="宋体" w:hint="default"/>
                <w:sz w:val="13"/>
                <w:szCs w:val="13"/>
              </w:rPr>
              <w:t> </w:t>
            </w:r>
          </w:p>
        </w:tc>
        <w:tc>
          <w:tcPr>
            <w:tcW w:w="566"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338" w:lineRule="auto"/>
              <w:ind w:left="148" w:right="83"/>
              <w:jc w:val="both"/>
              <w:rPr>
                <w:rFonts w:ascii="宋体" w:hAnsi="宋体" w:cs="宋体" w:eastAsia="宋体" w:hint="default"/>
                <w:sz w:val="13"/>
                <w:szCs w:val="13"/>
              </w:rPr>
            </w:pPr>
            <w:r>
              <w:rPr>
                <w:rFonts w:ascii="宋体" w:hAnsi="宋体" w:cs="宋体" w:eastAsia="宋体" w:hint="default"/>
                <w:sz w:val="13"/>
                <w:szCs w:val="13"/>
              </w:rPr>
              <w:t>一般</w:t>
            </w:r>
            <w:r>
              <w:rPr>
                <w:rFonts w:ascii="宋体" w:hAnsi="宋体" w:cs="宋体" w:eastAsia="宋体" w:hint="default"/>
                <w:w w:val="99"/>
                <w:sz w:val="13"/>
                <w:szCs w:val="13"/>
              </w:rPr>
              <w:t> </w:t>
            </w:r>
            <w:r>
              <w:rPr>
                <w:rFonts w:ascii="宋体" w:hAnsi="宋体" w:cs="宋体" w:eastAsia="宋体" w:hint="default"/>
                <w:sz w:val="13"/>
                <w:szCs w:val="13"/>
              </w:rPr>
              <w:t>风险</w:t>
            </w:r>
            <w:r>
              <w:rPr>
                <w:rFonts w:ascii="宋体" w:hAnsi="宋体" w:cs="宋体" w:eastAsia="宋体" w:hint="default"/>
                <w:w w:val="99"/>
                <w:sz w:val="13"/>
                <w:szCs w:val="13"/>
              </w:rPr>
              <w:t> </w:t>
            </w:r>
            <w:r>
              <w:rPr>
                <w:rFonts w:ascii="宋体" w:hAnsi="宋体" w:cs="宋体" w:eastAsia="宋体" w:hint="default"/>
                <w:sz w:val="13"/>
                <w:szCs w:val="13"/>
              </w:rPr>
              <w:t>准备</w:t>
            </w:r>
            <w:r>
              <w:rPr>
                <w:rFonts w:ascii="宋体" w:hAnsi="宋体" w:cs="宋体" w:eastAsia="宋体" w:hint="default"/>
                <w:sz w:val="13"/>
                <w:szCs w:val="13"/>
              </w:rPr>
              <w:t> </w:t>
            </w:r>
          </w:p>
        </w:tc>
        <w:tc>
          <w:tcPr>
            <w:tcW w:w="127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
              <w:ind w:right="0"/>
              <w:jc w:val="left"/>
              <w:rPr>
                <w:rFonts w:ascii="宋体" w:hAnsi="宋体" w:cs="宋体" w:eastAsia="宋体" w:hint="default"/>
                <w:sz w:val="11"/>
                <w:szCs w:val="11"/>
              </w:rPr>
            </w:pPr>
          </w:p>
          <w:p>
            <w:pPr>
              <w:pStyle w:val="TableParagraph"/>
              <w:spacing w:line="240" w:lineRule="auto"/>
              <w:ind w:left="307" w:right="0"/>
              <w:jc w:val="left"/>
              <w:rPr>
                <w:rFonts w:ascii="宋体" w:hAnsi="宋体" w:cs="宋体" w:eastAsia="宋体" w:hint="default"/>
                <w:sz w:val="13"/>
                <w:szCs w:val="13"/>
              </w:rPr>
            </w:pPr>
            <w:r>
              <w:rPr>
                <w:rFonts w:ascii="宋体" w:hAnsi="宋体" w:cs="宋体" w:eastAsia="宋体" w:hint="default"/>
                <w:sz w:val="13"/>
                <w:szCs w:val="13"/>
              </w:rPr>
              <w:t>未分配利润</w:t>
            </w:r>
            <w:r>
              <w:rPr>
                <w:rFonts w:ascii="宋体" w:hAnsi="宋体" w:cs="宋体" w:eastAsia="宋体" w:hint="default"/>
                <w:sz w:val="13"/>
                <w:szCs w:val="13"/>
              </w:rPr>
              <w:t> </w:t>
            </w:r>
          </w:p>
        </w:tc>
        <w:tc>
          <w:tcPr>
            <w:tcW w:w="28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168" w:lineRule="exact"/>
              <w:ind w:left="103" w:right="-22"/>
              <w:jc w:val="left"/>
              <w:rPr>
                <w:rFonts w:ascii="宋体" w:hAnsi="宋体" w:cs="宋体" w:eastAsia="宋体" w:hint="default"/>
                <w:sz w:val="13"/>
                <w:szCs w:val="13"/>
              </w:rPr>
            </w:pPr>
            <w:r>
              <w:rPr>
                <w:rFonts w:ascii="宋体" w:hAnsi="宋体" w:cs="宋体" w:eastAsia="宋体" w:hint="default"/>
                <w:sz w:val="13"/>
                <w:szCs w:val="13"/>
              </w:rPr>
              <w:t>其</w:t>
            </w:r>
            <w:r>
              <w:rPr>
                <w:rFonts w:ascii="宋体" w:hAnsi="宋体" w:cs="宋体" w:eastAsia="宋体" w:hint="default"/>
                <w:w w:val="99"/>
                <w:sz w:val="13"/>
                <w:szCs w:val="13"/>
              </w:rPr>
              <w:t> </w:t>
            </w:r>
            <w:r>
              <w:rPr>
                <w:rFonts w:ascii="宋体" w:hAnsi="宋体" w:cs="宋体" w:eastAsia="宋体" w:hint="default"/>
                <w:sz w:val="13"/>
                <w:szCs w:val="13"/>
              </w:rPr>
              <w:t>他</w:t>
            </w:r>
            <w:r>
              <w:rPr>
                <w:rFonts w:ascii="宋体" w:hAnsi="宋体" w:cs="宋体" w:eastAsia="宋体" w:hint="default"/>
                <w:sz w:val="13"/>
                <w:szCs w:val="13"/>
              </w:rPr>
              <w:t> </w:t>
            </w:r>
          </w:p>
        </w:tc>
        <w:tc>
          <w:tcPr>
            <w:tcW w:w="141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3"/>
              <w:ind w:right="0"/>
              <w:jc w:val="left"/>
              <w:rPr>
                <w:rFonts w:ascii="宋体" w:hAnsi="宋体" w:cs="宋体" w:eastAsia="宋体" w:hint="default"/>
                <w:sz w:val="8"/>
                <w:szCs w:val="8"/>
              </w:rPr>
            </w:pPr>
          </w:p>
          <w:p>
            <w:pPr>
              <w:pStyle w:val="TableParagraph"/>
              <w:spacing w:line="240" w:lineRule="auto"/>
              <w:ind w:left="64" w:right="0"/>
              <w:jc w:val="center"/>
              <w:rPr>
                <w:rFonts w:ascii="宋体" w:hAnsi="宋体" w:cs="宋体" w:eastAsia="宋体" w:hint="default"/>
                <w:sz w:val="13"/>
                <w:szCs w:val="13"/>
              </w:rPr>
            </w:pPr>
            <w:r>
              <w:rPr>
                <w:rFonts w:ascii="宋体" w:hAnsi="宋体" w:cs="宋体" w:eastAsia="宋体" w:hint="default"/>
                <w:sz w:val="13"/>
                <w:szCs w:val="13"/>
              </w:rPr>
              <w:t>小计</w:t>
            </w:r>
            <w:r>
              <w:rPr>
                <w:rFonts w:ascii="宋体" w:hAnsi="宋体" w:cs="宋体" w:eastAsia="宋体" w:hint="default"/>
                <w:sz w:val="13"/>
                <w:szCs w:val="13"/>
              </w:rPr>
              <w:t> </w:t>
            </w:r>
          </w:p>
        </w:tc>
        <w:tc>
          <w:tcPr>
            <w:tcW w:w="1133" w:type="dxa"/>
            <w:vMerge/>
            <w:tcBorders>
              <w:left w:val="single" w:sz="4" w:space="0" w:color="000000"/>
              <w:right w:val="single" w:sz="4" w:space="0" w:color="000000"/>
            </w:tcBorders>
          </w:tcPr>
          <w:p>
            <w:pPr/>
          </w:p>
        </w:tc>
        <w:tc>
          <w:tcPr>
            <w:tcW w:w="1421" w:type="dxa"/>
            <w:vMerge/>
            <w:tcBorders>
              <w:left w:val="single" w:sz="4" w:space="0" w:color="000000"/>
              <w:right w:val="single" w:sz="4" w:space="0" w:color="000000"/>
            </w:tcBorders>
          </w:tcPr>
          <w:p>
            <w:pPr/>
          </w:p>
        </w:tc>
      </w:tr>
      <w:tr>
        <w:trPr>
          <w:trHeight w:val="730" w:hRule="exact"/>
        </w:trPr>
        <w:tc>
          <w:tcPr>
            <w:tcW w:w="1702" w:type="dxa"/>
            <w:vMerge/>
            <w:tcBorders>
              <w:left w:val="single" w:sz="4" w:space="0" w:color="000000"/>
              <w:bottom w:val="single" w:sz="4" w:space="0" w:color="000000"/>
              <w:right w:val="single" w:sz="4" w:space="0" w:color="000000"/>
            </w:tcBorders>
          </w:tcPr>
          <w:p>
            <w:pPr/>
          </w:p>
        </w:tc>
        <w:tc>
          <w:tcPr>
            <w:tcW w:w="1274" w:type="dxa"/>
            <w:vMerge/>
            <w:tcBorders>
              <w:left w:val="single" w:sz="4" w:space="0" w:color="000000"/>
              <w:bottom w:val="single" w:sz="4" w:space="0" w:color="000000"/>
              <w:right w:val="single" w:sz="4" w:space="0" w:color="000000"/>
            </w:tcBorders>
          </w:tcPr>
          <w:p>
            <w:pPr/>
          </w:p>
        </w:tc>
        <w:tc>
          <w:tcPr>
            <w:tcW w:w="312" w:type="dxa"/>
            <w:tcBorders>
              <w:top w:val="single" w:sz="4" w:space="0" w:color="000000"/>
              <w:left w:val="single" w:sz="4" w:space="0" w:color="000000"/>
              <w:bottom w:val="single" w:sz="4" w:space="0" w:color="000000"/>
              <w:right w:val="single" w:sz="4" w:space="0" w:color="000000"/>
            </w:tcBorders>
          </w:tcPr>
          <w:p>
            <w:pPr>
              <w:pStyle w:val="TableParagraph"/>
              <w:spacing w:line="338" w:lineRule="auto" w:before="47"/>
              <w:ind w:left="105" w:right="0"/>
              <w:jc w:val="both"/>
              <w:rPr>
                <w:rFonts w:ascii="宋体" w:hAnsi="宋体" w:cs="宋体" w:eastAsia="宋体" w:hint="default"/>
                <w:sz w:val="13"/>
                <w:szCs w:val="13"/>
              </w:rPr>
            </w:pPr>
            <w:r>
              <w:rPr>
                <w:rFonts w:ascii="宋体" w:hAnsi="宋体" w:cs="宋体" w:eastAsia="宋体" w:hint="default"/>
                <w:sz w:val="13"/>
                <w:szCs w:val="13"/>
              </w:rPr>
              <w:t>优</w:t>
            </w:r>
            <w:r>
              <w:rPr>
                <w:rFonts w:ascii="宋体" w:hAnsi="宋体" w:cs="宋体" w:eastAsia="宋体" w:hint="default"/>
                <w:w w:val="99"/>
                <w:sz w:val="13"/>
                <w:szCs w:val="13"/>
              </w:rPr>
              <w:t> </w:t>
            </w:r>
            <w:r>
              <w:rPr>
                <w:rFonts w:ascii="宋体" w:hAnsi="宋体" w:cs="宋体" w:eastAsia="宋体" w:hint="default"/>
                <w:sz w:val="13"/>
                <w:szCs w:val="13"/>
              </w:rPr>
              <w:t>先</w:t>
            </w:r>
            <w:r>
              <w:rPr>
                <w:rFonts w:ascii="宋体" w:hAnsi="宋体" w:cs="宋体" w:eastAsia="宋体" w:hint="default"/>
                <w:w w:val="99"/>
                <w:sz w:val="13"/>
                <w:szCs w:val="13"/>
              </w:rPr>
              <w:t> </w:t>
            </w:r>
            <w:r>
              <w:rPr>
                <w:rFonts w:ascii="宋体" w:hAnsi="宋体" w:cs="宋体" w:eastAsia="宋体" w:hint="default"/>
                <w:sz w:val="13"/>
                <w:szCs w:val="13"/>
              </w:rPr>
              <w:t>股</w:t>
            </w:r>
            <w:r>
              <w:rPr>
                <w:rFonts w:ascii="宋体" w:hAnsi="宋体" w:cs="宋体" w:eastAsia="宋体" w:hint="default"/>
                <w:sz w:val="13"/>
                <w:szCs w:val="13"/>
              </w:rPr>
              <w:t> </w:t>
            </w:r>
          </w:p>
        </w:tc>
        <w:tc>
          <w:tcPr>
            <w:tcW w:w="353" w:type="dxa"/>
            <w:tcBorders>
              <w:top w:val="single" w:sz="4" w:space="0" w:color="000000"/>
              <w:left w:val="single" w:sz="4" w:space="0" w:color="000000"/>
              <w:bottom w:val="single" w:sz="4" w:space="0" w:color="000000"/>
              <w:right w:val="single" w:sz="4" w:space="0" w:color="000000"/>
            </w:tcBorders>
          </w:tcPr>
          <w:p>
            <w:pPr>
              <w:pStyle w:val="TableParagraph"/>
              <w:spacing w:line="338" w:lineRule="auto" w:before="47"/>
              <w:ind w:left="105" w:right="41"/>
              <w:jc w:val="both"/>
              <w:rPr>
                <w:rFonts w:ascii="宋体" w:hAnsi="宋体" w:cs="宋体" w:eastAsia="宋体" w:hint="default"/>
                <w:sz w:val="13"/>
                <w:szCs w:val="13"/>
              </w:rPr>
            </w:pPr>
            <w:r>
              <w:rPr>
                <w:rFonts w:ascii="宋体" w:hAnsi="宋体" w:cs="宋体" w:eastAsia="宋体" w:hint="default"/>
                <w:sz w:val="13"/>
                <w:szCs w:val="13"/>
              </w:rPr>
              <w:t>永</w:t>
            </w:r>
            <w:r>
              <w:rPr>
                <w:rFonts w:ascii="宋体" w:hAnsi="宋体" w:cs="宋体" w:eastAsia="宋体" w:hint="default"/>
                <w:w w:val="99"/>
                <w:sz w:val="13"/>
                <w:szCs w:val="13"/>
              </w:rPr>
              <w:t> </w:t>
            </w:r>
            <w:r>
              <w:rPr>
                <w:rFonts w:ascii="宋体" w:hAnsi="宋体" w:cs="宋体" w:eastAsia="宋体" w:hint="default"/>
                <w:sz w:val="13"/>
                <w:szCs w:val="13"/>
              </w:rPr>
              <w:t>续</w:t>
            </w:r>
            <w:r>
              <w:rPr>
                <w:rFonts w:ascii="宋体" w:hAnsi="宋体" w:cs="宋体" w:eastAsia="宋体" w:hint="default"/>
                <w:w w:val="99"/>
                <w:sz w:val="13"/>
                <w:szCs w:val="13"/>
              </w:rPr>
              <w:t> </w:t>
            </w:r>
            <w:r>
              <w:rPr>
                <w:rFonts w:ascii="宋体" w:hAnsi="宋体" w:cs="宋体" w:eastAsia="宋体" w:hint="default"/>
                <w:sz w:val="13"/>
                <w:szCs w:val="13"/>
              </w:rPr>
              <w:t>债</w:t>
            </w:r>
            <w:r>
              <w:rPr>
                <w:rFonts w:ascii="宋体" w:hAnsi="宋体" w:cs="宋体" w:eastAsia="宋体" w:hint="default"/>
                <w:sz w:val="13"/>
                <w:szCs w:val="13"/>
              </w:rPr>
              <w:t> </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0"/>
                <w:szCs w:val="10"/>
              </w:rPr>
            </w:pPr>
          </w:p>
          <w:p>
            <w:pPr>
              <w:pStyle w:val="TableParagraph"/>
              <w:spacing w:line="240" w:lineRule="auto"/>
              <w:ind w:left="443" w:right="0"/>
              <w:jc w:val="left"/>
              <w:rPr>
                <w:rFonts w:ascii="宋体" w:hAnsi="宋体" w:cs="宋体" w:eastAsia="宋体" w:hint="default"/>
                <w:sz w:val="13"/>
                <w:szCs w:val="13"/>
              </w:rPr>
            </w:pPr>
            <w:r>
              <w:rPr>
                <w:rFonts w:ascii="宋体" w:hAnsi="宋体" w:cs="宋体" w:eastAsia="宋体" w:hint="default"/>
                <w:sz w:val="13"/>
                <w:szCs w:val="13"/>
              </w:rPr>
              <w:t>其他</w:t>
            </w:r>
            <w:r>
              <w:rPr>
                <w:rFonts w:ascii="宋体" w:hAnsi="宋体" w:cs="宋体" w:eastAsia="宋体" w:hint="default"/>
                <w:sz w:val="13"/>
                <w:szCs w:val="13"/>
              </w:rPr>
              <w:t> </w:t>
            </w:r>
          </w:p>
        </w:tc>
        <w:tc>
          <w:tcPr>
            <w:tcW w:w="1287" w:type="dxa"/>
            <w:vMerge/>
            <w:tcBorders>
              <w:left w:val="single" w:sz="4" w:space="0" w:color="000000"/>
              <w:bottom w:val="single" w:sz="4" w:space="0" w:color="000000"/>
              <w:right w:val="single" w:sz="4" w:space="0" w:color="000000"/>
            </w:tcBorders>
          </w:tcPr>
          <w:p>
            <w:pPr/>
          </w:p>
        </w:tc>
        <w:tc>
          <w:tcPr>
            <w:tcW w:w="1154" w:type="dxa"/>
            <w:vMerge/>
            <w:tcBorders>
              <w:left w:val="single" w:sz="4" w:space="0" w:color="000000"/>
              <w:bottom w:val="single" w:sz="4" w:space="0" w:color="000000"/>
              <w:right w:val="single" w:sz="4" w:space="0" w:color="000000"/>
            </w:tcBorders>
          </w:tcPr>
          <w:p>
            <w:pPr/>
          </w:p>
        </w:tc>
        <w:tc>
          <w:tcPr>
            <w:tcW w:w="1018" w:type="dxa"/>
            <w:vMerge/>
            <w:tcBorders>
              <w:left w:val="single" w:sz="4" w:space="0" w:color="000000"/>
              <w:bottom w:val="single" w:sz="4" w:space="0" w:color="000000"/>
              <w:right w:val="single" w:sz="4" w:space="0" w:color="000000"/>
            </w:tcBorders>
          </w:tcPr>
          <w:p>
            <w:pPr/>
          </w:p>
        </w:tc>
        <w:tc>
          <w:tcPr>
            <w:tcW w:w="533" w:type="dxa"/>
            <w:vMerge/>
            <w:tcBorders>
              <w:left w:val="single" w:sz="4" w:space="0" w:color="000000"/>
              <w:bottom w:val="single" w:sz="4" w:space="0" w:color="000000"/>
              <w:right w:val="single" w:sz="4" w:space="0" w:color="000000"/>
            </w:tcBorders>
          </w:tcPr>
          <w:p>
            <w:pPr/>
          </w:p>
        </w:tc>
        <w:tc>
          <w:tcPr>
            <w:tcW w:w="1135" w:type="dxa"/>
            <w:vMerge/>
            <w:tcBorders>
              <w:left w:val="single" w:sz="4" w:space="0" w:color="000000"/>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1274" w:type="dxa"/>
            <w:vMerge/>
            <w:tcBorders>
              <w:left w:val="single" w:sz="4" w:space="0" w:color="000000"/>
              <w:bottom w:val="single" w:sz="4" w:space="0" w:color="000000"/>
              <w:right w:val="single" w:sz="4" w:space="0" w:color="000000"/>
            </w:tcBorders>
          </w:tcPr>
          <w:p>
            <w:pPr/>
          </w:p>
        </w:tc>
        <w:tc>
          <w:tcPr>
            <w:tcW w:w="286" w:type="dxa"/>
            <w:vMerge/>
            <w:tcBorders>
              <w:left w:val="single" w:sz="4" w:space="0" w:color="000000"/>
              <w:bottom w:val="single" w:sz="4" w:space="0" w:color="000000"/>
              <w:right w:val="single" w:sz="4" w:space="0" w:color="000000"/>
            </w:tcBorders>
          </w:tcPr>
          <w:p>
            <w:pPr/>
          </w:p>
        </w:tc>
        <w:tc>
          <w:tcPr>
            <w:tcW w:w="1416" w:type="dxa"/>
            <w:vMerge/>
            <w:tcBorders>
              <w:left w:val="single" w:sz="4" w:space="0" w:color="000000"/>
              <w:bottom w:val="single" w:sz="4" w:space="0" w:color="000000"/>
              <w:right w:val="single" w:sz="4" w:space="0" w:color="000000"/>
            </w:tcBorders>
          </w:tcPr>
          <w:p>
            <w:pPr/>
          </w:p>
        </w:tc>
        <w:tc>
          <w:tcPr>
            <w:tcW w:w="1133" w:type="dxa"/>
            <w:vMerge/>
            <w:tcBorders>
              <w:left w:val="single" w:sz="4" w:space="0" w:color="000000"/>
              <w:bottom w:val="single" w:sz="4" w:space="0" w:color="000000"/>
              <w:right w:val="single" w:sz="4" w:space="0" w:color="000000"/>
            </w:tcBorders>
          </w:tcPr>
          <w:p>
            <w:pPr/>
          </w:p>
        </w:tc>
        <w:tc>
          <w:tcPr>
            <w:tcW w:w="1421" w:type="dxa"/>
            <w:vMerge/>
            <w:tcBorders>
              <w:left w:val="single" w:sz="4" w:space="0" w:color="000000"/>
              <w:bottom w:val="single" w:sz="4" w:space="0" w:color="000000"/>
              <w:right w:val="single" w:sz="4" w:space="0" w:color="000000"/>
            </w:tcBorders>
          </w:tcPr>
          <w:p>
            <w:pPr/>
          </w:p>
        </w:tc>
      </w:tr>
      <w:tr>
        <w:trPr>
          <w:trHeight w:val="178"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03" w:right="0"/>
              <w:jc w:val="left"/>
              <w:rPr>
                <w:rFonts w:ascii="宋体" w:hAnsi="宋体" w:cs="宋体" w:eastAsia="宋体" w:hint="default"/>
                <w:sz w:val="13"/>
                <w:szCs w:val="13"/>
              </w:rPr>
            </w:pPr>
            <w:r>
              <w:rPr>
                <w:rFonts w:ascii="宋体" w:hAnsi="宋体" w:cs="宋体" w:eastAsia="宋体" w:hint="default"/>
                <w:sz w:val="13"/>
                <w:szCs w:val="13"/>
              </w:rPr>
              <w:t>一、上年期末余额</w:t>
            </w:r>
            <w:r>
              <w:rPr>
                <w:rFonts w:ascii="宋体" w:hAnsi="宋体" w:cs="宋体" w:eastAsia="宋体" w:hint="default"/>
                <w:sz w:val="13"/>
                <w:szCs w:val="13"/>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5"/>
                <w:sz w:val="13"/>
              </w:rPr>
              <w:t>1,765,410,843.00 </w:t>
            </w:r>
            <w:r>
              <w:rPr>
                <w:rFonts w:ascii="宋体"/>
                <w:sz w:val="13"/>
              </w:rPr>
            </w:r>
          </w:p>
        </w:tc>
        <w:tc>
          <w:tcPr>
            <w:tcW w:w="312"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353"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5"/>
                <w:sz w:val="13"/>
              </w:rPr>
              <w:t>648,686,895.88 </w:t>
            </w:r>
            <w:r>
              <w:rPr>
                <w:rFonts w:ascii="宋体"/>
                <w:sz w:val="13"/>
              </w:rPr>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5"/>
              <w:jc w:val="right"/>
              <w:rPr>
                <w:rFonts w:ascii="宋体" w:hAnsi="宋体" w:cs="宋体" w:eastAsia="宋体" w:hint="default"/>
                <w:sz w:val="13"/>
                <w:szCs w:val="13"/>
              </w:rPr>
            </w:pPr>
            <w:r>
              <w:rPr>
                <w:rFonts w:ascii="宋体"/>
                <w:w w:val="95"/>
                <w:sz w:val="13"/>
              </w:rPr>
              <w:t>5,060,131,248.80 </w:t>
            </w:r>
            <w:r>
              <w:rPr>
                <w:rFonts w:ascii="宋体"/>
                <w:sz w:val="13"/>
              </w:rPr>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5"/>
                <w:sz w:val="13"/>
              </w:rPr>
              <w:t>173,515,620.20 </w:t>
            </w:r>
            <w:r>
              <w:rPr>
                <w:rFonts w:ascii="宋体"/>
                <w:sz w:val="13"/>
              </w:rPr>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5"/>
              <w:jc w:val="right"/>
              <w:rPr>
                <w:rFonts w:ascii="宋体" w:hAnsi="宋体" w:cs="宋体" w:eastAsia="宋体" w:hint="default"/>
                <w:sz w:val="13"/>
                <w:szCs w:val="13"/>
              </w:rPr>
            </w:pPr>
            <w:r>
              <w:rPr>
                <w:rFonts w:ascii="宋体"/>
                <w:w w:val="95"/>
                <w:sz w:val="13"/>
              </w:rPr>
              <w:t>1,441,757.55 </w:t>
            </w:r>
            <w:r>
              <w:rPr>
                <w:rFonts w:ascii="宋体"/>
                <w:sz w:val="13"/>
              </w:rPr>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8"/>
              <w:jc w:val="right"/>
              <w:rPr>
                <w:rFonts w:ascii="宋体" w:hAnsi="宋体" w:cs="宋体" w:eastAsia="宋体" w:hint="default"/>
                <w:sz w:val="13"/>
                <w:szCs w:val="13"/>
              </w:rPr>
            </w:pPr>
            <w:r>
              <w:rPr>
                <w:rFonts w:ascii="宋体"/>
                <w:w w:val="95"/>
                <w:sz w:val="13"/>
              </w:rPr>
              <w:t>225,738,320.37 </w:t>
            </w:r>
            <w:r>
              <w:rPr>
                <w:rFonts w:ascii="宋体"/>
                <w:sz w:val="13"/>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5"/>
                <w:sz w:val="13"/>
              </w:rPr>
              <w:t>2,747,790,903.50 </w:t>
            </w:r>
            <w:r>
              <w:rPr>
                <w:rFonts w:ascii="宋体"/>
                <w:sz w:val="13"/>
              </w:rPr>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5"/>
                <w:sz w:val="13"/>
              </w:rPr>
              <w:t>10,275,684,348.90 </w:t>
            </w:r>
            <w:r>
              <w:rPr>
                <w:rFonts w:ascii="宋体"/>
                <w:sz w:val="13"/>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5"/>
                <w:sz w:val="13"/>
              </w:rPr>
              <w:t>24,845,961.80 </w:t>
            </w:r>
            <w:r>
              <w:rPr>
                <w:rFonts w:ascii="宋体"/>
                <w:sz w:val="13"/>
              </w:rPr>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5"/>
                <w:sz w:val="13"/>
              </w:rPr>
              <w:t>10,300,530,310.70 </w:t>
            </w:r>
            <w:r>
              <w:rPr>
                <w:rFonts w:ascii="宋体"/>
                <w:sz w:val="13"/>
              </w:rPr>
            </w:r>
          </w:p>
        </w:tc>
      </w:tr>
      <w:tr>
        <w:trPr>
          <w:trHeight w:val="180"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03" w:right="0"/>
              <w:jc w:val="left"/>
              <w:rPr>
                <w:rFonts w:ascii="宋体" w:hAnsi="宋体" w:cs="宋体" w:eastAsia="宋体" w:hint="default"/>
                <w:sz w:val="13"/>
                <w:szCs w:val="13"/>
              </w:rPr>
            </w:pPr>
            <w:r>
              <w:rPr>
                <w:rFonts w:ascii="宋体" w:hAnsi="宋体" w:cs="宋体" w:eastAsia="宋体" w:hint="default"/>
                <w:sz w:val="13"/>
                <w:szCs w:val="13"/>
              </w:rPr>
              <w:t>加：会计政策变更</w:t>
            </w:r>
            <w:r>
              <w:rPr>
                <w:rFonts w:ascii="宋体" w:hAnsi="宋体" w:cs="宋体" w:eastAsia="宋体" w:hint="default"/>
                <w:sz w:val="13"/>
                <w:szCs w:val="13"/>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312"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353"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8"/>
              <w:jc w:val="right"/>
              <w:rPr>
                <w:rFonts w:ascii="宋体" w:hAnsi="宋体" w:cs="宋体" w:eastAsia="宋体" w:hint="default"/>
                <w:sz w:val="13"/>
                <w:szCs w:val="13"/>
              </w:rPr>
            </w:pPr>
            <w:r>
              <w:rPr>
                <w:rFonts w:ascii="宋体"/>
                <w:sz w:val="13"/>
              </w:rPr>
              <w:t>-37,962.19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5"/>
                <w:sz w:val="13"/>
              </w:rPr>
              <w:t>-21,116,994.91 </w:t>
            </w:r>
            <w:r>
              <w:rPr>
                <w:rFonts w:ascii="宋体"/>
                <w:sz w:val="13"/>
              </w:rPr>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5"/>
                <w:sz w:val="13"/>
              </w:rPr>
              <w:t>-21,154,957.10 </w:t>
            </w:r>
            <w:r>
              <w:rPr>
                <w:rFonts w:ascii="宋体"/>
                <w:sz w:val="13"/>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5"/>
                <w:sz w:val="13"/>
              </w:rPr>
              <w:t>-21,154,957.10 </w:t>
            </w:r>
            <w:r>
              <w:rPr>
                <w:rFonts w:ascii="宋体"/>
                <w:sz w:val="13"/>
              </w:rPr>
            </w:r>
          </w:p>
        </w:tc>
      </w:tr>
      <w:tr>
        <w:trPr>
          <w:trHeight w:val="178"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362" w:right="0"/>
              <w:jc w:val="left"/>
              <w:rPr>
                <w:rFonts w:ascii="宋体" w:hAnsi="宋体" w:cs="宋体" w:eastAsia="宋体" w:hint="default"/>
                <w:sz w:val="13"/>
                <w:szCs w:val="13"/>
              </w:rPr>
            </w:pPr>
            <w:r>
              <w:rPr>
                <w:rFonts w:ascii="宋体" w:hAnsi="宋体" w:cs="宋体" w:eastAsia="宋体" w:hint="default"/>
                <w:sz w:val="13"/>
                <w:szCs w:val="13"/>
              </w:rPr>
              <w:t>前期差错更正</w:t>
            </w:r>
            <w:r>
              <w:rPr>
                <w:rFonts w:ascii="宋体" w:hAnsi="宋体" w:cs="宋体" w:eastAsia="宋体" w:hint="default"/>
                <w:sz w:val="13"/>
                <w:szCs w:val="13"/>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312"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353"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8"/>
              <w:jc w:val="right"/>
              <w:rPr>
                <w:rFonts w:ascii="宋体" w:hAnsi="宋体" w:cs="宋体" w:eastAsia="宋体" w:hint="default"/>
                <w:sz w:val="13"/>
                <w:szCs w:val="13"/>
              </w:rPr>
            </w:pPr>
            <w:r>
              <w:rPr>
                <w:rFonts w:ascii="宋体"/>
                <w:w w:val="99"/>
                <w:sz w:val="13"/>
              </w:rPr>
              <w:t> </w:t>
            </w:r>
            <w:r>
              <w:rPr>
                <w:rFonts w:ascii="宋体"/>
                <w:sz w:val="13"/>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r>
      <w:tr>
        <w:trPr>
          <w:trHeight w:val="180"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362" w:right="0"/>
              <w:jc w:val="left"/>
              <w:rPr>
                <w:rFonts w:ascii="宋体" w:hAnsi="宋体" w:cs="宋体" w:eastAsia="宋体" w:hint="default"/>
                <w:sz w:val="13"/>
                <w:szCs w:val="13"/>
              </w:rPr>
            </w:pPr>
            <w:r>
              <w:rPr>
                <w:rFonts w:ascii="宋体" w:hAnsi="宋体" w:cs="宋体" w:eastAsia="宋体" w:hint="default"/>
                <w:sz w:val="13"/>
                <w:szCs w:val="13"/>
              </w:rPr>
              <w:t>同一控制下企业合并</w:t>
            </w:r>
            <w:r>
              <w:rPr>
                <w:rFonts w:ascii="宋体" w:hAnsi="宋体" w:cs="宋体" w:eastAsia="宋体" w:hint="default"/>
                <w:sz w:val="13"/>
                <w:szCs w:val="13"/>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312"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353"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8"/>
              <w:jc w:val="right"/>
              <w:rPr>
                <w:rFonts w:ascii="宋体" w:hAnsi="宋体" w:cs="宋体" w:eastAsia="宋体" w:hint="default"/>
                <w:sz w:val="13"/>
                <w:szCs w:val="13"/>
              </w:rPr>
            </w:pPr>
            <w:r>
              <w:rPr>
                <w:rFonts w:ascii="宋体"/>
                <w:w w:val="99"/>
                <w:sz w:val="13"/>
              </w:rPr>
              <w:t> </w:t>
            </w:r>
            <w:r>
              <w:rPr>
                <w:rFonts w:ascii="宋体"/>
                <w:sz w:val="13"/>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r>
      <w:tr>
        <w:trPr>
          <w:trHeight w:val="178"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362" w:right="0"/>
              <w:jc w:val="left"/>
              <w:rPr>
                <w:rFonts w:ascii="宋体" w:hAnsi="宋体" w:cs="宋体" w:eastAsia="宋体" w:hint="default"/>
                <w:sz w:val="13"/>
                <w:szCs w:val="13"/>
              </w:rPr>
            </w:pPr>
            <w:r>
              <w:rPr>
                <w:rFonts w:ascii="宋体" w:hAnsi="宋体" w:cs="宋体" w:eastAsia="宋体" w:hint="default"/>
                <w:sz w:val="13"/>
                <w:szCs w:val="13"/>
              </w:rPr>
              <w:t>其他</w:t>
            </w:r>
            <w:r>
              <w:rPr>
                <w:rFonts w:ascii="宋体" w:hAnsi="宋体" w:cs="宋体" w:eastAsia="宋体" w:hint="default"/>
                <w:sz w:val="13"/>
                <w:szCs w:val="13"/>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312"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353"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8"/>
              <w:jc w:val="right"/>
              <w:rPr>
                <w:rFonts w:ascii="宋体" w:hAnsi="宋体" w:cs="宋体" w:eastAsia="宋体" w:hint="default"/>
                <w:sz w:val="13"/>
                <w:szCs w:val="13"/>
              </w:rPr>
            </w:pPr>
            <w:r>
              <w:rPr>
                <w:rFonts w:ascii="宋体"/>
                <w:w w:val="99"/>
                <w:sz w:val="13"/>
              </w:rPr>
              <w:t> </w:t>
            </w:r>
            <w:r>
              <w:rPr>
                <w:rFonts w:ascii="宋体"/>
                <w:sz w:val="13"/>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r>
      <w:tr>
        <w:trPr>
          <w:trHeight w:val="178"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03" w:right="0"/>
              <w:jc w:val="left"/>
              <w:rPr>
                <w:rFonts w:ascii="宋体" w:hAnsi="宋体" w:cs="宋体" w:eastAsia="宋体" w:hint="default"/>
                <w:sz w:val="13"/>
                <w:szCs w:val="13"/>
              </w:rPr>
            </w:pPr>
            <w:r>
              <w:rPr>
                <w:rFonts w:ascii="宋体" w:hAnsi="宋体" w:cs="宋体" w:eastAsia="宋体" w:hint="default"/>
                <w:sz w:val="13"/>
                <w:szCs w:val="13"/>
              </w:rPr>
              <w:t>二、本年期初余额</w:t>
            </w:r>
            <w:r>
              <w:rPr>
                <w:rFonts w:ascii="宋体" w:hAnsi="宋体" w:cs="宋体" w:eastAsia="宋体" w:hint="default"/>
                <w:sz w:val="13"/>
                <w:szCs w:val="13"/>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5"/>
                <w:sz w:val="13"/>
              </w:rPr>
              <w:t>1,765,410,843.00 </w:t>
            </w:r>
            <w:r>
              <w:rPr>
                <w:rFonts w:ascii="宋体"/>
                <w:sz w:val="13"/>
              </w:rPr>
            </w:r>
          </w:p>
        </w:tc>
        <w:tc>
          <w:tcPr>
            <w:tcW w:w="312"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353"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5"/>
                <w:sz w:val="13"/>
              </w:rPr>
              <w:t>648,686,895.88 </w:t>
            </w:r>
            <w:r>
              <w:rPr>
                <w:rFonts w:ascii="宋体"/>
                <w:sz w:val="13"/>
              </w:rPr>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5"/>
              <w:jc w:val="right"/>
              <w:rPr>
                <w:rFonts w:ascii="宋体" w:hAnsi="宋体" w:cs="宋体" w:eastAsia="宋体" w:hint="default"/>
                <w:sz w:val="13"/>
                <w:szCs w:val="13"/>
              </w:rPr>
            </w:pPr>
            <w:r>
              <w:rPr>
                <w:rFonts w:ascii="宋体"/>
                <w:w w:val="95"/>
                <w:sz w:val="13"/>
              </w:rPr>
              <w:t>5,060,131,248.80 </w:t>
            </w:r>
            <w:r>
              <w:rPr>
                <w:rFonts w:ascii="宋体"/>
                <w:sz w:val="13"/>
              </w:rPr>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5"/>
                <w:sz w:val="13"/>
              </w:rPr>
              <w:t>173,515,620.20 </w:t>
            </w:r>
            <w:r>
              <w:rPr>
                <w:rFonts w:ascii="宋体"/>
                <w:sz w:val="13"/>
              </w:rPr>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5"/>
              <w:jc w:val="right"/>
              <w:rPr>
                <w:rFonts w:ascii="宋体" w:hAnsi="宋体" w:cs="宋体" w:eastAsia="宋体" w:hint="default"/>
                <w:sz w:val="13"/>
                <w:szCs w:val="13"/>
              </w:rPr>
            </w:pPr>
            <w:r>
              <w:rPr>
                <w:rFonts w:ascii="宋体"/>
                <w:w w:val="95"/>
                <w:sz w:val="13"/>
              </w:rPr>
              <w:t>1,441,757.55 </w:t>
            </w:r>
            <w:r>
              <w:rPr>
                <w:rFonts w:ascii="宋体"/>
                <w:sz w:val="13"/>
              </w:rPr>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8"/>
              <w:jc w:val="right"/>
              <w:rPr>
                <w:rFonts w:ascii="宋体" w:hAnsi="宋体" w:cs="宋体" w:eastAsia="宋体" w:hint="default"/>
                <w:sz w:val="13"/>
                <w:szCs w:val="13"/>
              </w:rPr>
            </w:pPr>
            <w:r>
              <w:rPr>
                <w:rFonts w:ascii="宋体"/>
                <w:w w:val="95"/>
                <w:sz w:val="13"/>
              </w:rPr>
              <w:t>225,700,358.18 </w:t>
            </w:r>
            <w:r>
              <w:rPr>
                <w:rFonts w:ascii="宋体"/>
                <w:sz w:val="13"/>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5"/>
                <w:sz w:val="13"/>
              </w:rPr>
              <w:t>2,726,673,908.59 </w:t>
            </w:r>
            <w:r>
              <w:rPr>
                <w:rFonts w:ascii="宋体"/>
                <w:sz w:val="13"/>
              </w:rPr>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5"/>
                <w:sz w:val="13"/>
              </w:rPr>
              <w:t>10,254,529,391.80 </w:t>
            </w:r>
            <w:r>
              <w:rPr>
                <w:rFonts w:ascii="宋体"/>
                <w:sz w:val="13"/>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5"/>
                <w:sz w:val="13"/>
              </w:rPr>
              <w:t>24,845,961.80 </w:t>
            </w:r>
            <w:r>
              <w:rPr>
                <w:rFonts w:ascii="宋体"/>
                <w:sz w:val="13"/>
              </w:rPr>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5"/>
                <w:sz w:val="13"/>
              </w:rPr>
              <w:t>10,279,375,353.60 </w:t>
            </w:r>
            <w:r>
              <w:rPr>
                <w:rFonts w:ascii="宋体"/>
                <w:sz w:val="13"/>
              </w:rPr>
            </w:r>
          </w:p>
        </w:tc>
      </w:tr>
      <w:tr>
        <w:trPr>
          <w:trHeight w:val="348"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left="103" w:right="0"/>
              <w:jc w:val="left"/>
              <w:rPr>
                <w:rFonts w:ascii="宋体" w:hAnsi="宋体" w:cs="宋体" w:eastAsia="宋体" w:hint="default"/>
                <w:sz w:val="13"/>
                <w:szCs w:val="13"/>
              </w:rPr>
            </w:pPr>
            <w:r>
              <w:rPr>
                <w:rFonts w:ascii="宋体" w:hAnsi="宋体" w:cs="宋体" w:eastAsia="宋体" w:hint="default"/>
                <w:spacing w:val="-7"/>
                <w:sz w:val="13"/>
                <w:szCs w:val="13"/>
              </w:rPr>
              <w:t>三、本期增减变动金额（减</w:t>
            </w:r>
          </w:p>
          <w:p>
            <w:pPr>
              <w:pStyle w:val="TableParagraph"/>
              <w:spacing w:line="169" w:lineRule="exact"/>
              <w:ind w:left="103" w:right="0"/>
              <w:jc w:val="left"/>
              <w:rPr>
                <w:rFonts w:ascii="宋体" w:hAnsi="宋体" w:cs="宋体" w:eastAsia="宋体" w:hint="default"/>
                <w:sz w:val="13"/>
                <w:szCs w:val="13"/>
              </w:rPr>
            </w:pPr>
            <w:r>
              <w:rPr>
                <w:rFonts w:ascii="宋体" w:hAnsi="宋体" w:cs="宋体" w:eastAsia="宋体" w:hint="default"/>
                <w:sz w:val="13"/>
                <w:szCs w:val="13"/>
              </w:rPr>
              <w:t>少以“－”号填列）</w:t>
            </w:r>
            <w:r>
              <w:rPr>
                <w:rFonts w:ascii="宋体" w:hAnsi="宋体" w:cs="宋体" w:eastAsia="宋体" w:hint="default"/>
                <w:sz w:val="13"/>
                <w:szCs w:val="13"/>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6"/>
              <w:jc w:val="right"/>
              <w:rPr>
                <w:rFonts w:ascii="宋体" w:hAnsi="宋体" w:cs="宋体" w:eastAsia="宋体" w:hint="default"/>
                <w:sz w:val="13"/>
                <w:szCs w:val="13"/>
              </w:rPr>
            </w:pPr>
            <w:r>
              <w:rPr>
                <w:rFonts w:ascii="宋体"/>
                <w:w w:val="95"/>
                <w:sz w:val="13"/>
              </w:rPr>
              <w:t>-7,739,983.00 </w:t>
            </w:r>
            <w:r>
              <w:rPr>
                <w:rFonts w:ascii="宋体"/>
                <w:sz w:val="13"/>
              </w:rPr>
            </w:r>
          </w:p>
        </w:tc>
        <w:tc>
          <w:tcPr>
            <w:tcW w:w="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5"/>
              <w:jc w:val="right"/>
              <w:rPr>
                <w:rFonts w:ascii="宋体" w:hAnsi="宋体" w:cs="宋体" w:eastAsia="宋体" w:hint="default"/>
                <w:sz w:val="13"/>
                <w:szCs w:val="13"/>
              </w:rPr>
            </w:pPr>
            <w:r>
              <w:rPr>
                <w:rFonts w:ascii="宋体"/>
                <w:w w:val="99"/>
                <w:sz w:val="13"/>
              </w:rPr>
              <w:t> </w:t>
            </w:r>
            <w:r>
              <w:rPr>
                <w:rFonts w:ascii="宋体"/>
                <w:sz w:val="13"/>
              </w:rPr>
            </w:r>
          </w:p>
        </w:tc>
        <w:tc>
          <w:tcPr>
            <w:tcW w:w="3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6"/>
              <w:jc w:val="right"/>
              <w:rPr>
                <w:rFonts w:ascii="宋体" w:hAnsi="宋体" w:cs="宋体" w:eastAsia="宋体" w:hint="default"/>
                <w:sz w:val="13"/>
                <w:szCs w:val="13"/>
              </w:rPr>
            </w:pPr>
            <w:r>
              <w:rPr>
                <w:rFonts w:ascii="宋体"/>
                <w:w w:val="99"/>
                <w:sz w:val="13"/>
              </w:rPr>
              <w:t> </w:t>
            </w:r>
            <w:r>
              <w:rPr>
                <w:rFonts w:ascii="宋体"/>
                <w:sz w:val="13"/>
              </w:rPr>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6"/>
              <w:jc w:val="right"/>
              <w:rPr>
                <w:rFonts w:ascii="宋体" w:hAnsi="宋体" w:cs="宋体" w:eastAsia="宋体" w:hint="default"/>
                <w:sz w:val="13"/>
                <w:szCs w:val="13"/>
              </w:rPr>
            </w:pPr>
            <w:r>
              <w:rPr>
                <w:rFonts w:ascii="宋体"/>
                <w:sz w:val="13"/>
              </w:rPr>
              <w:t>-17,082.31 </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5"/>
              <w:jc w:val="right"/>
              <w:rPr>
                <w:rFonts w:ascii="宋体" w:hAnsi="宋体" w:cs="宋体" w:eastAsia="宋体" w:hint="default"/>
                <w:sz w:val="13"/>
                <w:szCs w:val="13"/>
              </w:rPr>
            </w:pPr>
            <w:r>
              <w:rPr>
                <w:rFonts w:ascii="宋体"/>
                <w:w w:val="95"/>
                <w:sz w:val="13"/>
              </w:rPr>
              <w:t>-346,433,180.59 </w:t>
            </w:r>
            <w:r>
              <w:rPr>
                <w:rFonts w:ascii="宋体"/>
                <w:sz w:val="13"/>
              </w:rPr>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6"/>
              <w:jc w:val="right"/>
              <w:rPr>
                <w:rFonts w:ascii="宋体" w:hAnsi="宋体" w:cs="宋体" w:eastAsia="宋体" w:hint="default"/>
                <w:sz w:val="13"/>
                <w:szCs w:val="13"/>
              </w:rPr>
            </w:pPr>
            <w:r>
              <w:rPr>
                <w:rFonts w:ascii="宋体"/>
                <w:w w:val="95"/>
                <w:sz w:val="13"/>
              </w:rPr>
              <w:t>-34,589,642.18 </w:t>
            </w:r>
            <w:r>
              <w:rPr>
                <w:rFonts w:ascii="宋体"/>
                <w:sz w:val="13"/>
              </w:rPr>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5"/>
              <w:jc w:val="right"/>
              <w:rPr>
                <w:rFonts w:ascii="宋体" w:hAnsi="宋体" w:cs="宋体" w:eastAsia="宋体" w:hint="default"/>
                <w:sz w:val="13"/>
                <w:szCs w:val="13"/>
              </w:rPr>
            </w:pPr>
            <w:r>
              <w:rPr>
                <w:rFonts w:ascii="宋体"/>
                <w:sz w:val="13"/>
              </w:rPr>
              <w:t>487,078.94 </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5"/>
              <w:jc w:val="right"/>
              <w:rPr>
                <w:rFonts w:ascii="宋体" w:hAnsi="宋体" w:cs="宋体" w:eastAsia="宋体" w:hint="default"/>
                <w:sz w:val="13"/>
                <w:szCs w:val="13"/>
              </w:rPr>
            </w:pPr>
            <w:r>
              <w:rPr>
                <w:rFonts w:ascii="宋体"/>
                <w:w w:val="99"/>
                <w:sz w:val="13"/>
              </w:rPr>
              <w:t> </w:t>
            </w:r>
            <w:r>
              <w:rPr>
                <w:rFonts w:ascii="宋体"/>
                <w:sz w:val="13"/>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8"/>
              <w:jc w:val="right"/>
              <w:rPr>
                <w:rFonts w:ascii="宋体" w:hAnsi="宋体" w:cs="宋体" w:eastAsia="宋体" w:hint="default"/>
                <w:sz w:val="13"/>
                <w:szCs w:val="13"/>
              </w:rPr>
            </w:pPr>
            <w:r>
              <w:rPr>
                <w:rFonts w:ascii="宋体"/>
                <w:w w:val="95"/>
                <w:sz w:val="13"/>
              </w:rPr>
              <w:t>14,919,286.01 </w:t>
            </w:r>
            <w:r>
              <w:rPr>
                <w:rFonts w:ascii="宋体"/>
                <w:sz w:val="13"/>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6"/>
              <w:jc w:val="right"/>
              <w:rPr>
                <w:rFonts w:ascii="宋体" w:hAnsi="宋体" w:cs="宋体" w:eastAsia="宋体" w:hint="default"/>
                <w:sz w:val="13"/>
                <w:szCs w:val="13"/>
              </w:rPr>
            </w:pPr>
            <w:r>
              <w:rPr>
                <w:rFonts w:ascii="宋体"/>
                <w:w w:val="99"/>
                <w:sz w:val="13"/>
              </w:rPr>
              <w:t> </w:t>
            </w:r>
            <w:r>
              <w:rPr>
                <w:rFonts w:ascii="宋体"/>
                <w:sz w:val="13"/>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6"/>
              <w:jc w:val="right"/>
              <w:rPr>
                <w:rFonts w:ascii="宋体" w:hAnsi="宋体" w:cs="宋体" w:eastAsia="宋体" w:hint="default"/>
                <w:sz w:val="13"/>
                <w:szCs w:val="13"/>
              </w:rPr>
            </w:pPr>
            <w:r>
              <w:rPr>
                <w:rFonts w:ascii="宋体"/>
                <w:w w:val="95"/>
                <w:sz w:val="13"/>
              </w:rPr>
              <w:t>340,291,555.50 </w:t>
            </w:r>
            <w:r>
              <w:rPr>
                <w:rFonts w:ascii="宋体"/>
                <w:sz w:val="13"/>
              </w:rPr>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6"/>
              <w:jc w:val="right"/>
              <w:rPr>
                <w:rFonts w:ascii="宋体" w:hAnsi="宋体" w:cs="宋体" w:eastAsia="宋体" w:hint="default"/>
                <w:sz w:val="13"/>
                <w:szCs w:val="13"/>
              </w:rPr>
            </w:pPr>
            <w:r>
              <w:rPr>
                <w:rFonts w:ascii="宋体"/>
                <w:w w:val="99"/>
                <w:sz w:val="13"/>
              </w:rPr>
              <w:t> </w:t>
            </w:r>
            <w:r>
              <w:rPr>
                <w:rFonts w:ascii="宋体"/>
                <w:sz w:val="13"/>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6"/>
              <w:jc w:val="right"/>
              <w:rPr>
                <w:rFonts w:ascii="宋体" w:hAnsi="宋体" w:cs="宋体" w:eastAsia="宋体" w:hint="default"/>
                <w:sz w:val="13"/>
                <w:szCs w:val="13"/>
              </w:rPr>
            </w:pPr>
            <w:r>
              <w:rPr>
                <w:rFonts w:ascii="宋体"/>
                <w:w w:val="95"/>
                <w:sz w:val="13"/>
              </w:rPr>
              <w:t>36,097,316.73 </w:t>
            </w:r>
            <w:r>
              <w:rPr>
                <w:rFonts w:ascii="宋体"/>
                <w:sz w:val="13"/>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6"/>
              <w:jc w:val="right"/>
              <w:rPr>
                <w:rFonts w:ascii="宋体" w:hAnsi="宋体" w:cs="宋体" w:eastAsia="宋体" w:hint="default"/>
                <w:sz w:val="13"/>
                <w:szCs w:val="13"/>
              </w:rPr>
            </w:pPr>
            <w:r>
              <w:rPr>
                <w:rFonts w:ascii="宋体"/>
                <w:sz w:val="13"/>
              </w:rPr>
              <w:t>415,239.69 </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6"/>
              <w:jc w:val="right"/>
              <w:rPr>
                <w:rFonts w:ascii="宋体" w:hAnsi="宋体" w:cs="宋体" w:eastAsia="宋体" w:hint="default"/>
                <w:sz w:val="13"/>
                <w:szCs w:val="13"/>
              </w:rPr>
            </w:pPr>
            <w:r>
              <w:rPr>
                <w:rFonts w:ascii="宋体"/>
                <w:w w:val="95"/>
                <w:sz w:val="13"/>
              </w:rPr>
              <w:t>36,512,556.42 </w:t>
            </w:r>
            <w:r>
              <w:rPr>
                <w:rFonts w:ascii="宋体"/>
                <w:sz w:val="13"/>
              </w:rPr>
            </w:r>
          </w:p>
        </w:tc>
      </w:tr>
      <w:tr>
        <w:trPr>
          <w:trHeight w:val="178"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03" w:right="0"/>
              <w:jc w:val="left"/>
              <w:rPr>
                <w:rFonts w:ascii="宋体" w:hAnsi="宋体" w:cs="宋体" w:eastAsia="宋体" w:hint="default"/>
                <w:sz w:val="13"/>
                <w:szCs w:val="13"/>
              </w:rPr>
            </w:pPr>
            <w:r>
              <w:rPr>
                <w:rFonts w:ascii="宋体" w:hAnsi="宋体" w:cs="宋体" w:eastAsia="宋体" w:hint="default"/>
                <w:sz w:val="13"/>
                <w:szCs w:val="13"/>
              </w:rPr>
              <w:t>（一）综合收益总额</w:t>
            </w:r>
            <w:r>
              <w:rPr>
                <w:rFonts w:ascii="宋体" w:hAnsi="宋体" w:cs="宋体" w:eastAsia="宋体" w:hint="default"/>
                <w:sz w:val="13"/>
                <w:szCs w:val="13"/>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312"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353"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5"/>
              <w:jc w:val="right"/>
              <w:rPr>
                <w:rFonts w:ascii="宋体" w:hAnsi="宋体" w:cs="宋体" w:eastAsia="宋体" w:hint="default"/>
                <w:sz w:val="13"/>
                <w:szCs w:val="13"/>
              </w:rPr>
            </w:pPr>
            <w:r>
              <w:rPr>
                <w:rFonts w:ascii="宋体"/>
                <w:sz w:val="13"/>
              </w:rPr>
              <w:t>487,078.94 </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8"/>
              <w:jc w:val="right"/>
              <w:rPr>
                <w:rFonts w:ascii="宋体" w:hAnsi="宋体" w:cs="宋体" w:eastAsia="宋体" w:hint="default"/>
                <w:sz w:val="13"/>
                <w:szCs w:val="13"/>
              </w:rPr>
            </w:pPr>
            <w:r>
              <w:rPr>
                <w:rFonts w:ascii="宋体"/>
                <w:w w:val="99"/>
                <w:sz w:val="13"/>
              </w:rPr>
              <w:t> </w:t>
            </w:r>
            <w:r>
              <w:rPr>
                <w:rFonts w:ascii="宋体"/>
                <w:sz w:val="13"/>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5"/>
                <w:sz w:val="13"/>
              </w:rPr>
              <w:t>700,405,103.05 </w:t>
            </w:r>
            <w:r>
              <w:rPr>
                <w:rFonts w:ascii="宋体"/>
                <w:sz w:val="13"/>
              </w:rPr>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5"/>
                <w:sz w:val="13"/>
              </w:rPr>
              <w:t>700,892,181.99 </w:t>
            </w:r>
            <w:r>
              <w:rPr>
                <w:rFonts w:ascii="宋体"/>
                <w:sz w:val="13"/>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5"/>
                <w:sz w:val="13"/>
              </w:rPr>
              <w:t>3,055,239.69 </w:t>
            </w:r>
            <w:r>
              <w:rPr>
                <w:rFonts w:ascii="宋体"/>
                <w:sz w:val="13"/>
              </w:rPr>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5"/>
                <w:sz w:val="13"/>
              </w:rPr>
              <w:t>703,947,421.68 </w:t>
            </w:r>
            <w:r>
              <w:rPr>
                <w:rFonts w:ascii="宋体"/>
                <w:sz w:val="13"/>
              </w:rPr>
            </w:r>
          </w:p>
        </w:tc>
      </w:tr>
      <w:tr>
        <w:trPr>
          <w:trHeight w:val="348"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left="103" w:right="0"/>
              <w:jc w:val="left"/>
              <w:rPr>
                <w:rFonts w:ascii="宋体" w:hAnsi="宋体" w:cs="宋体" w:eastAsia="宋体" w:hint="default"/>
                <w:sz w:val="13"/>
                <w:szCs w:val="13"/>
              </w:rPr>
            </w:pPr>
            <w:r>
              <w:rPr>
                <w:rFonts w:ascii="宋体" w:hAnsi="宋体" w:cs="宋体" w:eastAsia="宋体" w:hint="default"/>
                <w:sz w:val="13"/>
                <w:szCs w:val="13"/>
              </w:rPr>
              <w:t>（二）所有者投入和减少</w:t>
            </w:r>
          </w:p>
          <w:p>
            <w:pPr>
              <w:pStyle w:val="TableParagraph"/>
              <w:spacing w:line="169" w:lineRule="exact"/>
              <w:ind w:left="103" w:right="0"/>
              <w:jc w:val="left"/>
              <w:rPr>
                <w:rFonts w:ascii="宋体" w:hAnsi="宋体" w:cs="宋体" w:eastAsia="宋体" w:hint="default"/>
                <w:sz w:val="13"/>
                <w:szCs w:val="13"/>
              </w:rPr>
            </w:pPr>
            <w:r>
              <w:rPr>
                <w:rFonts w:ascii="宋体" w:hAnsi="宋体" w:cs="宋体" w:eastAsia="宋体" w:hint="default"/>
                <w:sz w:val="13"/>
                <w:szCs w:val="13"/>
              </w:rPr>
              <w:t>资本</w:t>
            </w:r>
            <w:r>
              <w:rPr>
                <w:rFonts w:ascii="宋体" w:hAnsi="宋体" w:cs="宋体" w:eastAsia="宋体" w:hint="default"/>
                <w:sz w:val="13"/>
                <w:szCs w:val="13"/>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6"/>
              <w:jc w:val="right"/>
              <w:rPr>
                <w:rFonts w:ascii="宋体" w:hAnsi="宋体" w:cs="宋体" w:eastAsia="宋体" w:hint="default"/>
                <w:sz w:val="13"/>
                <w:szCs w:val="13"/>
              </w:rPr>
            </w:pPr>
            <w:r>
              <w:rPr>
                <w:rFonts w:ascii="宋体"/>
                <w:w w:val="95"/>
                <w:sz w:val="13"/>
              </w:rPr>
              <w:t>-7,739,983.00 </w:t>
            </w:r>
            <w:r>
              <w:rPr>
                <w:rFonts w:ascii="宋体"/>
                <w:sz w:val="13"/>
              </w:rPr>
            </w:r>
          </w:p>
        </w:tc>
        <w:tc>
          <w:tcPr>
            <w:tcW w:w="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5"/>
              <w:jc w:val="right"/>
              <w:rPr>
                <w:rFonts w:ascii="宋体" w:hAnsi="宋体" w:cs="宋体" w:eastAsia="宋体" w:hint="default"/>
                <w:sz w:val="13"/>
                <w:szCs w:val="13"/>
              </w:rPr>
            </w:pPr>
            <w:r>
              <w:rPr>
                <w:rFonts w:ascii="宋体"/>
                <w:w w:val="99"/>
                <w:sz w:val="13"/>
              </w:rPr>
              <w:t> </w:t>
            </w:r>
            <w:r>
              <w:rPr>
                <w:rFonts w:ascii="宋体"/>
                <w:sz w:val="13"/>
              </w:rPr>
            </w:r>
          </w:p>
        </w:tc>
        <w:tc>
          <w:tcPr>
            <w:tcW w:w="3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6"/>
              <w:jc w:val="right"/>
              <w:rPr>
                <w:rFonts w:ascii="宋体" w:hAnsi="宋体" w:cs="宋体" w:eastAsia="宋体" w:hint="default"/>
                <w:sz w:val="13"/>
                <w:szCs w:val="13"/>
              </w:rPr>
            </w:pPr>
            <w:r>
              <w:rPr>
                <w:rFonts w:ascii="宋体"/>
                <w:w w:val="99"/>
                <w:sz w:val="13"/>
              </w:rPr>
              <w:t> </w:t>
            </w:r>
            <w:r>
              <w:rPr>
                <w:rFonts w:ascii="宋体"/>
                <w:sz w:val="13"/>
              </w:rPr>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6"/>
              <w:jc w:val="right"/>
              <w:rPr>
                <w:rFonts w:ascii="宋体" w:hAnsi="宋体" w:cs="宋体" w:eastAsia="宋体" w:hint="default"/>
                <w:sz w:val="13"/>
                <w:szCs w:val="13"/>
              </w:rPr>
            </w:pPr>
            <w:r>
              <w:rPr>
                <w:rFonts w:ascii="宋体"/>
                <w:sz w:val="13"/>
              </w:rPr>
              <w:t>-17,082.31 </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5"/>
              <w:jc w:val="right"/>
              <w:rPr>
                <w:rFonts w:ascii="宋体" w:hAnsi="宋体" w:cs="宋体" w:eastAsia="宋体" w:hint="default"/>
                <w:sz w:val="13"/>
                <w:szCs w:val="13"/>
              </w:rPr>
            </w:pPr>
            <w:r>
              <w:rPr>
                <w:rFonts w:ascii="宋体"/>
                <w:w w:val="95"/>
                <w:sz w:val="13"/>
              </w:rPr>
              <w:t>-26,695,299.32 </w:t>
            </w:r>
            <w:r>
              <w:rPr>
                <w:rFonts w:ascii="宋体"/>
                <w:sz w:val="13"/>
              </w:rPr>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6"/>
              <w:jc w:val="right"/>
              <w:rPr>
                <w:rFonts w:ascii="宋体" w:hAnsi="宋体" w:cs="宋体" w:eastAsia="宋体" w:hint="default"/>
                <w:sz w:val="13"/>
                <w:szCs w:val="13"/>
              </w:rPr>
            </w:pPr>
            <w:r>
              <w:rPr>
                <w:rFonts w:ascii="宋体"/>
                <w:w w:val="95"/>
                <w:sz w:val="13"/>
              </w:rPr>
              <w:t>-34,589,642.18 </w:t>
            </w:r>
            <w:r>
              <w:rPr>
                <w:rFonts w:ascii="宋体"/>
                <w:sz w:val="13"/>
              </w:rPr>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5"/>
              <w:jc w:val="right"/>
              <w:rPr>
                <w:rFonts w:ascii="宋体" w:hAnsi="宋体" w:cs="宋体" w:eastAsia="宋体" w:hint="default"/>
                <w:sz w:val="13"/>
                <w:szCs w:val="13"/>
              </w:rPr>
            </w:pPr>
            <w:r>
              <w:rPr>
                <w:rFonts w:ascii="宋体"/>
                <w:w w:val="99"/>
                <w:sz w:val="13"/>
              </w:rPr>
              <w:t> </w:t>
            </w:r>
            <w:r>
              <w:rPr>
                <w:rFonts w:ascii="宋体"/>
                <w:sz w:val="13"/>
              </w:rPr>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5"/>
              <w:jc w:val="right"/>
              <w:rPr>
                <w:rFonts w:ascii="宋体" w:hAnsi="宋体" w:cs="宋体" w:eastAsia="宋体" w:hint="default"/>
                <w:sz w:val="13"/>
                <w:szCs w:val="13"/>
              </w:rPr>
            </w:pPr>
            <w:r>
              <w:rPr>
                <w:rFonts w:ascii="宋体"/>
                <w:w w:val="99"/>
                <w:sz w:val="13"/>
              </w:rPr>
              <w:t> </w:t>
            </w:r>
            <w:r>
              <w:rPr>
                <w:rFonts w:ascii="宋体"/>
                <w:sz w:val="13"/>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8"/>
              <w:jc w:val="right"/>
              <w:rPr>
                <w:rFonts w:ascii="宋体" w:hAnsi="宋体" w:cs="宋体" w:eastAsia="宋体" w:hint="default"/>
                <w:sz w:val="13"/>
                <w:szCs w:val="13"/>
              </w:rPr>
            </w:pPr>
            <w:r>
              <w:rPr>
                <w:rFonts w:ascii="宋体"/>
                <w:w w:val="99"/>
                <w:sz w:val="13"/>
              </w:rPr>
              <w:t> </w:t>
            </w:r>
            <w:r>
              <w:rPr>
                <w:rFonts w:ascii="宋体"/>
                <w:sz w:val="13"/>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6"/>
              <w:jc w:val="right"/>
              <w:rPr>
                <w:rFonts w:ascii="宋体" w:hAnsi="宋体" w:cs="宋体" w:eastAsia="宋体" w:hint="default"/>
                <w:sz w:val="13"/>
                <w:szCs w:val="13"/>
              </w:rPr>
            </w:pPr>
            <w:r>
              <w:rPr>
                <w:rFonts w:ascii="宋体"/>
                <w:w w:val="99"/>
                <w:sz w:val="13"/>
              </w:rPr>
              <w:t> </w:t>
            </w:r>
            <w:r>
              <w:rPr>
                <w:rFonts w:ascii="宋体"/>
                <w:sz w:val="13"/>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6"/>
              <w:jc w:val="right"/>
              <w:rPr>
                <w:rFonts w:ascii="宋体" w:hAnsi="宋体" w:cs="宋体" w:eastAsia="宋体" w:hint="default"/>
                <w:sz w:val="13"/>
                <w:szCs w:val="13"/>
              </w:rPr>
            </w:pPr>
            <w:r>
              <w:rPr>
                <w:rFonts w:ascii="宋体"/>
                <w:w w:val="99"/>
                <w:sz w:val="13"/>
              </w:rPr>
              <w:t> </w:t>
            </w:r>
            <w:r>
              <w:rPr>
                <w:rFonts w:ascii="宋体"/>
                <w:sz w:val="13"/>
              </w:rPr>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6"/>
              <w:jc w:val="right"/>
              <w:rPr>
                <w:rFonts w:ascii="宋体" w:hAnsi="宋体" w:cs="宋体" w:eastAsia="宋体" w:hint="default"/>
                <w:sz w:val="13"/>
                <w:szCs w:val="13"/>
              </w:rPr>
            </w:pPr>
            <w:r>
              <w:rPr>
                <w:rFonts w:ascii="宋体"/>
                <w:w w:val="99"/>
                <w:sz w:val="13"/>
              </w:rPr>
              <w:t> </w:t>
            </w:r>
            <w:r>
              <w:rPr>
                <w:rFonts w:ascii="宋体"/>
                <w:sz w:val="13"/>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6"/>
              <w:jc w:val="right"/>
              <w:rPr>
                <w:rFonts w:ascii="宋体" w:hAnsi="宋体" w:cs="宋体" w:eastAsia="宋体" w:hint="default"/>
                <w:sz w:val="13"/>
                <w:szCs w:val="13"/>
              </w:rPr>
            </w:pPr>
            <w:r>
              <w:rPr>
                <w:rFonts w:ascii="宋体"/>
                <w:sz w:val="13"/>
              </w:rPr>
              <w:t>137,277.55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6"/>
              <w:jc w:val="right"/>
              <w:rPr>
                <w:rFonts w:ascii="宋体" w:hAnsi="宋体" w:cs="宋体" w:eastAsia="宋体" w:hint="default"/>
                <w:sz w:val="13"/>
                <w:szCs w:val="13"/>
              </w:rPr>
            </w:pPr>
            <w:r>
              <w:rPr>
                <w:rFonts w:ascii="宋体"/>
                <w:w w:val="99"/>
                <w:sz w:val="13"/>
              </w:rPr>
              <w:t> </w:t>
            </w:r>
            <w:r>
              <w:rPr>
                <w:rFonts w:ascii="宋体"/>
                <w:sz w:val="13"/>
              </w:rPr>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6"/>
              <w:jc w:val="right"/>
              <w:rPr>
                <w:rFonts w:ascii="宋体" w:hAnsi="宋体" w:cs="宋体" w:eastAsia="宋体" w:hint="default"/>
                <w:sz w:val="13"/>
                <w:szCs w:val="13"/>
              </w:rPr>
            </w:pPr>
            <w:r>
              <w:rPr>
                <w:rFonts w:ascii="宋体"/>
                <w:sz w:val="13"/>
              </w:rPr>
              <w:t>137,277.55 </w:t>
            </w:r>
          </w:p>
        </w:tc>
      </w:tr>
      <w:tr>
        <w:trPr>
          <w:trHeight w:val="180"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03" w:right="0"/>
              <w:jc w:val="left"/>
              <w:rPr>
                <w:rFonts w:ascii="宋体" w:hAnsi="宋体" w:cs="宋体" w:eastAsia="宋体" w:hint="default"/>
                <w:sz w:val="13"/>
                <w:szCs w:val="13"/>
              </w:rPr>
            </w:pPr>
            <w:r>
              <w:rPr>
                <w:rFonts w:ascii="宋体" w:hAnsi="宋体" w:cs="宋体" w:eastAsia="宋体" w:hint="default"/>
                <w:sz w:val="13"/>
                <w:szCs w:val="13"/>
              </w:rPr>
              <w:t>1</w:t>
            </w:r>
            <w:r>
              <w:rPr>
                <w:rFonts w:ascii="宋体" w:hAnsi="宋体" w:cs="宋体" w:eastAsia="宋体" w:hint="default"/>
                <w:sz w:val="13"/>
                <w:szCs w:val="13"/>
              </w:rPr>
              <w:t>．所有者投入的普通股</w:t>
            </w:r>
            <w:r>
              <w:rPr>
                <w:rFonts w:ascii="宋体" w:hAnsi="宋体" w:cs="宋体" w:eastAsia="宋体" w:hint="default"/>
                <w:sz w:val="13"/>
                <w:szCs w:val="13"/>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5"/>
                <w:sz w:val="13"/>
              </w:rPr>
              <w:t>-7,749,000.00 </w:t>
            </w:r>
            <w:r>
              <w:rPr>
                <w:rFonts w:ascii="宋体"/>
                <w:sz w:val="13"/>
              </w:rPr>
            </w:r>
          </w:p>
        </w:tc>
        <w:tc>
          <w:tcPr>
            <w:tcW w:w="312"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353"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5"/>
              <w:jc w:val="right"/>
              <w:rPr>
                <w:rFonts w:ascii="宋体" w:hAnsi="宋体" w:cs="宋体" w:eastAsia="宋体" w:hint="default"/>
                <w:sz w:val="13"/>
                <w:szCs w:val="13"/>
              </w:rPr>
            </w:pPr>
            <w:r>
              <w:rPr>
                <w:rFonts w:ascii="宋体"/>
                <w:w w:val="95"/>
                <w:sz w:val="13"/>
              </w:rPr>
              <w:t>-26,345,220.00 </w:t>
            </w:r>
            <w:r>
              <w:rPr>
                <w:rFonts w:ascii="宋体"/>
                <w:sz w:val="13"/>
              </w:rPr>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8"/>
              <w:jc w:val="right"/>
              <w:rPr>
                <w:rFonts w:ascii="宋体" w:hAnsi="宋体" w:cs="宋体" w:eastAsia="宋体" w:hint="default"/>
                <w:sz w:val="13"/>
                <w:szCs w:val="13"/>
              </w:rPr>
            </w:pPr>
            <w:r>
              <w:rPr>
                <w:rFonts w:ascii="宋体"/>
                <w:w w:val="99"/>
                <w:sz w:val="13"/>
              </w:rPr>
              <w:t> </w:t>
            </w:r>
            <w:r>
              <w:rPr>
                <w:rFonts w:ascii="宋体"/>
                <w:sz w:val="13"/>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5"/>
                <w:sz w:val="13"/>
              </w:rPr>
              <w:t>-34,094,220.00 </w:t>
            </w:r>
            <w:r>
              <w:rPr>
                <w:rFonts w:ascii="宋体"/>
                <w:sz w:val="13"/>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5"/>
                <w:sz w:val="13"/>
              </w:rPr>
              <w:t>-34,094,220.00 </w:t>
            </w:r>
            <w:r>
              <w:rPr>
                <w:rFonts w:ascii="宋体"/>
                <w:sz w:val="13"/>
              </w:rPr>
            </w:r>
          </w:p>
        </w:tc>
      </w:tr>
      <w:tr>
        <w:trPr>
          <w:trHeight w:val="346"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03" w:right="0"/>
              <w:jc w:val="left"/>
              <w:rPr>
                <w:rFonts w:ascii="宋体" w:hAnsi="宋体" w:cs="宋体" w:eastAsia="宋体" w:hint="default"/>
                <w:sz w:val="13"/>
                <w:szCs w:val="13"/>
              </w:rPr>
            </w:pPr>
            <w:r>
              <w:rPr>
                <w:rFonts w:ascii="宋体" w:hAnsi="宋体" w:cs="宋体" w:eastAsia="宋体" w:hint="default"/>
                <w:sz w:val="13"/>
                <w:szCs w:val="13"/>
              </w:rPr>
              <w:t>2</w:t>
            </w:r>
            <w:r>
              <w:rPr>
                <w:rFonts w:ascii="宋体" w:hAnsi="宋体" w:cs="宋体" w:eastAsia="宋体" w:hint="default"/>
                <w:sz w:val="13"/>
                <w:szCs w:val="13"/>
              </w:rPr>
              <w:t>．其他权益工具持有者投</w:t>
            </w:r>
          </w:p>
          <w:p>
            <w:pPr>
              <w:pStyle w:val="TableParagraph"/>
              <w:spacing w:line="169" w:lineRule="exact"/>
              <w:ind w:left="103" w:right="0"/>
              <w:jc w:val="left"/>
              <w:rPr>
                <w:rFonts w:ascii="宋体" w:hAnsi="宋体" w:cs="宋体" w:eastAsia="宋体" w:hint="default"/>
                <w:sz w:val="13"/>
                <w:szCs w:val="13"/>
              </w:rPr>
            </w:pPr>
            <w:r>
              <w:rPr>
                <w:rFonts w:ascii="宋体" w:hAnsi="宋体" w:cs="宋体" w:eastAsia="宋体" w:hint="default"/>
                <w:sz w:val="13"/>
                <w:szCs w:val="13"/>
              </w:rPr>
              <w:t>入资本</w:t>
            </w:r>
            <w:r>
              <w:rPr>
                <w:rFonts w:ascii="宋体" w:hAnsi="宋体" w:cs="宋体" w:eastAsia="宋体" w:hint="default"/>
                <w:sz w:val="13"/>
                <w:szCs w:val="13"/>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36"/>
              <w:jc w:val="right"/>
              <w:rPr>
                <w:rFonts w:ascii="宋体" w:hAnsi="宋体" w:cs="宋体" w:eastAsia="宋体" w:hint="default"/>
                <w:sz w:val="13"/>
                <w:szCs w:val="13"/>
              </w:rPr>
            </w:pPr>
            <w:r>
              <w:rPr>
                <w:rFonts w:ascii="宋体"/>
                <w:sz w:val="13"/>
              </w:rPr>
              <w:t>9,017.00 </w:t>
            </w:r>
          </w:p>
        </w:tc>
        <w:tc>
          <w:tcPr>
            <w:tcW w:w="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35"/>
              <w:jc w:val="right"/>
              <w:rPr>
                <w:rFonts w:ascii="宋体" w:hAnsi="宋体" w:cs="宋体" w:eastAsia="宋体" w:hint="default"/>
                <w:sz w:val="13"/>
                <w:szCs w:val="13"/>
              </w:rPr>
            </w:pPr>
            <w:r>
              <w:rPr>
                <w:rFonts w:ascii="宋体"/>
                <w:w w:val="99"/>
                <w:sz w:val="13"/>
              </w:rPr>
              <w:t> </w:t>
            </w:r>
            <w:r>
              <w:rPr>
                <w:rFonts w:ascii="宋体"/>
                <w:sz w:val="13"/>
              </w:rPr>
            </w:r>
          </w:p>
        </w:tc>
        <w:tc>
          <w:tcPr>
            <w:tcW w:w="3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36"/>
              <w:jc w:val="right"/>
              <w:rPr>
                <w:rFonts w:ascii="宋体" w:hAnsi="宋体" w:cs="宋体" w:eastAsia="宋体" w:hint="default"/>
                <w:sz w:val="13"/>
                <w:szCs w:val="13"/>
              </w:rPr>
            </w:pPr>
            <w:r>
              <w:rPr>
                <w:rFonts w:ascii="宋体"/>
                <w:w w:val="99"/>
                <w:sz w:val="13"/>
              </w:rPr>
              <w:t> </w:t>
            </w:r>
            <w:r>
              <w:rPr>
                <w:rFonts w:ascii="宋体"/>
                <w:sz w:val="13"/>
              </w:rPr>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36"/>
              <w:jc w:val="right"/>
              <w:rPr>
                <w:rFonts w:ascii="宋体" w:hAnsi="宋体" w:cs="宋体" w:eastAsia="宋体" w:hint="default"/>
                <w:sz w:val="13"/>
                <w:szCs w:val="13"/>
              </w:rPr>
            </w:pPr>
            <w:r>
              <w:rPr>
                <w:rFonts w:ascii="宋体"/>
                <w:sz w:val="13"/>
              </w:rPr>
              <w:t>-17,082.31 </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35"/>
              <w:jc w:val="right"/>
              <w:rPr>
                <w:rFonts w:ascii="宋体" w:hAnsi="宋体" w:cs="宋体" w:eastAsia="宋体" w:hint="default"/>
                <w:sz w:val="13"/>
                <w:szCs w:val="13"/>
              </w:rPr>
            </w:pPr>
            <w:r>
              <w:rPr>
                <w:rFonts w:ascii="宋体"/>
                <w:sz w:val="13"/>
              </w:rPr>
              <w:t>69,839.95 </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36"/>
              <w:jc w:val="right"/>
              <w:rPr>
                <w:rFonts w:ascii="宋体" w:hAnsi="宋体" w:cs="宋体" w:eastAsia="宋体" w:hint="default"/>
                <w:sz w:val="13"/>
                <w:szCs w:val="13"/>
              </w:rPr>
            </w:pPr>
            <w:r>
              <w:rPr>
                <w:rFonts w:ascii="宋体"/>
                <w:w w:val="99"/>
                <w:sz w:val="13"/>
              </w:rPr>
              <w:t> </w:t>
            </w:r>
            <w:r>
              <w:rPr>
                <w:rFonts w:ascii="宋体"/>
                <w:sz w:val="13"/>
              </w:rPr>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35"/>
              <w:jc w:val="right"/>
              <w:rPr>
                <w:rFonts w:ascii="宋体" w:hAnsi="宋体" w:cs="宋体" w:eastAsia="宋体" w:hint="default"/>
                <w:sz w:val="13"/>
                <w:szCs w:val="13"/>
              </w:rPr>
            </w:pPr>
            <w:r>
              <w:rPr>
                <w:rFonts w:ascii="宋体"/>
                <w:w w:val="99"/>
                <w:sz w:val="13"/>
              </w:rPr>
              <w:t> </w:t>
            </w:r>
            <w:r>
              <w:rPr>
                <w:rFonts w:ascii="宋体"/>
                <w:sz w:val="13"/>
              </w:rPr>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35"/>
              <w:jc w:val="right"/>
              <w:rPr>
                <w:rFonts w:ascii="宋体" w:hAnsi="宋体" w:cs="宋体" w:eastAsia="宋体" w:hint="default"/>
                <w:sz w:val="13"/>
                <w:szCs w:val="13"/>
              </w:rPr>
            </w:pPr>
            <w:r>
              <w:rPr>
                <w:rFonts w:ascii="宋体"/>
                <w:w w:val="99"/>
                <w:sz w:val="13"/>
              </w:rPr>
              <w:t> </w:t>
            </w:r>
            <w:r>
              <w:rPr>
                <w:rFonts w:ascii="宋体"/>
                <w:sz w:val="13"/>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38"/>
              <w:jc w:val="right"/>
              <w:rPr>
                <w:rFonts w:ascii="宋体" w:hAnsi="宋体" w:cs="宋体" w:eastAsia="宋体" w:hint="default"/>
                <w:sz w:val="13"/>
                <w:szCs w:val="13"/>
              </w:rPr>
            </w:pPr>
            <w:r>
              <w:rPr>
                <w:rFonts w:ascii="宋体"/>
                <w:w w:val="99"/>
                <w:sz w:val="13"/>
              </w:rPr>
              <w:t> </w:t>
            </w:r>
            <w:r>
              <w:rPr>
                <w:rFonts w:ascii="宋体"/>
                <w:sz w:val="13"/>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36"/>
              <w:jc w:val="right"/>
              <w:rPr>
                <w:rFonts w:ascii="宋体" w:hAnsi="宋体" w:cs="宋体" w:eastAsia="宋体" w:hint="default"/>
                <w:sz w:val="13"/>
                <w:szCs w:val="13"/>
              </w:rPr>
            </w:pPr>
            <w:r>
              <w:rPr>
                <w:rFonts w:ascii="宋体"/>
                <w:w w:val="99"/>
                <w:sz w:val="13"/>
              </w:rPr>
              <w:t> </w:t>
            </w:r>
            <w:r>
              <w:rPr>
                <w:rFonts w:ascii="宋体"/>
                <w:sz w:val="13"/>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36"/>
              <w:jc w:val="right"/>
              <w:rPr>
                <w:rFonts w:ascii="宋体" w:hAnsi="宋体" w:cs="宋体" w:eastAsia="宋体" w:hint="default"/>
                <w:sz w:val="13"/>
                <w:szCs w:val="13"/>
              </w:rPr>
            </w:pPr>
            <w:r>
              <w:rPr>
                <w:rFonts w:ascii="宋体"/>
                <w:w w:val="99"/>
                <w:sz w:val="13"/>
              </w:rPr>
              <w:t> </w:t>
            </w:r>
            <w:r>
              <w:rPr>
                <w:rFonts w:ascii="宋体"/>
                <w:sz w:val="13"/>
              </w:rPr>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36"/>
              <w:jc w:val="right"/>
              <w:rPr>
                <w:rFonts w:ascii="宋体" w:hAnsi="宋体" w:cs="宋体" w:eastAsia="宋体" w:hint="default"/>
                <w:sz w:val="13"/>
                <w:szCs w:val="13"/>
              </w:rPr>
            </w:pPr>
            <w:r>
              <w:rPr>
                <w:rFonts w:ascii="宋体"/>
                <w:w w:val="99"/>
                <w:sz w:val="13"/>
              </w:rPr>
              <w:t> </w:t>
            </w:r>
            <w:r>
              <w:rPr>
                <w:rFonts w:ascii="宋体"/>
                <w:sz w:val="13"/>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36"/>
              <w:jc w:val="right"/>
              <w:rPr>
                <w:rFonts w:ascii="宋体" w:hAnsi="宋体" w:cs="宋体" w:eastAsia="宋体" w:hint="default"/>
                <w:sz w:val="13"/>
                <w:szCs w:val="13"/>
              </w:rPr>
            </w:pPr>
            <w:r>
              <w:rPr>
                <w:rFonts w:ascii="宋体"/>
                <w:sz w:val="13"/>
              </w:rPr>
              <w:t>61,774.64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36"/>
              <w:jc w:val="right"/>
              <w:rPr>
                <w:rFonts w:ascii="宋体" w:hAnsi="宋体" w:cs="宋体" w:eastAsia="宋体" w:hint="default"/>
                <w:sz w:val="13"/>
                <w:szCs w:val="13"/>
              </w:rPr>
            </w:pPr>
            <w:r>
              <w:rPr>
                <w:rFonts w:ascii="宋体"/>
                <w:w w:val="99"/>
                <w:sz w:val="13"/>
              </w:rPr>
              <w:t> </w:t>
            </w:r>
            <w:r>
              <w:rPr>
                <w:rFonts w:ascii="宋体"/>
                <w:sz w:val="13"/>
              </w:rPr>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36"/>
              <w:jc w:val="right"/>
              <w:rPr>
                <w:rFonts w:ascii="宋体" w:hAnsi="宋体" w:cs="宋体" w:eastAsia="宋体" w:hint="default"/>
                <w:sz w:val="13"/>
                <w:szCs w:val="13"/>
              </w:rPr>
            </w:pPr>
            <w:r>
              <w:rPr>
                <w:rFonts w:ascii="宋体"/>
                <w:sz w:val="13"/>
              </w:rPr>
              <w:t>61,774.64 </w:t>
            </w:r>
          </w:p>
        </w:tc>
      </w:tr>
      <w:tr>
        <w:trPr>
          <w:trHeight w:val="348"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03" w:right="0"/>
              <w:jc w:val="left"/>
              <w:rPr>
                <w:rFonts w:ascii="宋体" w:hAnsi="宋体" w:cs="宋体" w:eastAsia="宋体" w:hint="default"/>
                <w:sz w:val="13"/>
                <w:szCs w:val="13"/>
              </w:rPr>
            </w:pPr>
            <w:r>
              <w:rPr>
                <w:rFonts w:ascii="宋体" w:hAnsi="宋体" w:cs="宋体" w:eastAsia="宋体" w:hint="default"/>
                <w:sz w:val="13"/>
                <w:szCs w:val="13"/>
              </w:rPr>
              <w:t>3</w:t>
            </w:r>
            <w:r>
              <w:rPr>
                <w:rFonts w:ascii="宋体" w:hAnsi="宋体" w:cs="宋体" w:eastAsia="宋体" w:hint="default"/>
                <w:sz w:val="13"/>
                <w:szCs w:val="13"/>
              </w:rPr>
              <w:t>．股份支付计入所有者权</w:t>
            </w:r>
          </w:p>
          <w:p>
            <w:pPr>
              <w:pStyle w:val="TableParagraph"/>
              <w:spacing w:line="240" w:lineRule="auto"/>
              <w:ind w:left="103" w:right="0"/>
              <w:jc w:val="left"/>
              <w:rPr>
                <w:rFonts w:ascii="宋体" w:hAnsi="宋体" w:cs="宋体" w:eastAsia="宋体" w:hint="default"/>
                <w:sz w:val="13"/>
                <w:szCs w:val="13"/>
              </w:rPr>
            </w:pPr>
            <w:r>
              <w:rPr>
                <w:rFonts w:ascii="宋体" w:hAnsi="宋体" w:cs="宋体" w:eastAsia="宋体" w:hint="default"/>
                <w:sz w:val="13"/>
                <w:szCs w:val="13"/>
              </w:rPr>
              <w:t>益的金额</w:t>
            </w:r>
            <w:r>
              <w:rPr>
                <w:rFonts w:ascii="宋体" w:hAnsi="宋体" w:cs="宋体" w:eastAsia="宋体" w:hint="default"/>
                <w:sz w:val="13"/>
                <w:szCs w:val="13"/>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36"/>
              <w:jc w:val="right"/>
              <w:rPr>
                <w:rFonts w:ascii="宋体" w:hAnsi="宋体" w:cs="宋体" w:eastAsia="宋体" w:hint="default"/>
                <w:sz w:val="13"/>
                <w:szCs w:val="13"/>
              </w:rPr>
            </w:pPr>
            <w:r>
              <w:rPr>
                <w:rFonts w:ascii="宋体"/>
                <w:w w:val="99"/>
                <w:sz w:val="13"/>
              </w:rPr>
              <w:t> </w:t>
            </w:r>
            <w:r>
              <w:rPr>
                <w:rFonts w:ascii="宋体"/>
                <w:sz w:val="13"/>
              </w:rPr>
            </w:r>
          </w:p>
        </w:tc>
        <w:tc>
          <w:tcPr>
            <w:tcW w:w="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35"/>
              <w:jc w:val="right"/>
              <w:rPr>
                <w:rFonts w:ascii="宋体" w:hAnsi="宋体" w:cs="宋体" w:eastAsia="宋体" w:hint="default"/>
                <w:sz w:val="13"/>
                <w:szCs w:val="13"/>
              </w:rPr>
            </w:pPr>
            <w:r>
              <w:rPr>
                <w:rFonts w:ascii="宋体"/>
                <w:w w:val="99"/>
                <w:sz w:val="13"/>
              </w:rPr>
              <w:t> </w:t>
            </w:r>
            <w:r>
              <w:rPr>
                <w:rFonts w:ascii="宋体"/>
                <w:sz w:val="13"/>
              </w:rPr>
            </w:r>
          </w:p>
        </w:tc>
        <w:tc>
          <w:tcPr>
            <w:tcW w:w="3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36"/>
              <w:jc w:val="right"/>
              <w:rPr>
                <w:rFonts w:ascii="宋体" w:hAnsi="宋体" w:cs="宋体" w:eastAsia="宋体" w:hint="default"/>
                <w:sz w:val="13"/>
                <w:szCs w:val="13"/>
              </w:rPr>
            </w:pPr>
            <w:r>
              <w:rPr>
                <w:rFonts w:ascii="宋体"/>
                <w:w w:val="99"/>
                <w:sz w:val="13"/>
              </w:rPr>
              <w:t> </w:t>
            </w:r>
            <w:r>
              <w:rPr>
                <w:rFonts w:ascii="宋体"/>
                <w:sz w:val="13"/>
              </w:rPr>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36"/>
              <w:jc w:val="right"/>
              <w:rPr>
                <w:rFonts w:ascii="宋体" w:hAnsi="宋体" w:cs="宋体" w:eastAsia="宋体" w:hint="default"/>
                <w:sz w:val="13"/>
                <w:szCs w:val="13"/>
              </w:rPr>
            </w:pPr>
            <w:r>
              <w:rPr>
                <w:rFonts w:ascii="宋体"/>
                <w:w w:val="99"/>
                <w:sz w:val="13"/>
              </w:rPr>
              <w:t> </w:t>
            </w:r>
            <w:r>
              <w:rPr>
                <w:rFonts w:ascii="宋体"/>
                <w:sz w:val="13"/>
              </w:rPr>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35"/>
              <w:jc w:val="right"/>
              <w:rPr>
                <w:rFonts w:ascii="宋体" w:hAnsi="宋体" w:cs="宋体" w:eastAsia="宋体" w:hint="default"/>
                <w:sz w:val="13"/>
                <w:szCs w:val="13"/>
              </w:rPr>
            </w:pPr>
            <w:r>
              <w:rPr>
                <w:rFonts w:ascii="宋体"/>
                <w:w w:val="99"/>
                <w:sz w:val="13"/>
              </w:rPr>
              <w:t> </w:t>
            </w:r>
            <w:r>
              <w:rPr>
                <w:rFonts w:ascii="宋体"/>
                <w:sz w:val="13"/>
              </w:rPr>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36"/>
              <w:jc w:val="right"/>
              <w:rPr>
                <w:rFonts w:ascii="宋体" w:hAnsi="宋体" w:cs="宋体" w:eastAsia="宋体" w:hint="default"/>
                <w:sz w:val="13"/>
                <w:szCs w:val="13"/>
              </w:rPr>
            </w:pPr>
            <w:r>
              <w:rPr>
                <w:rFonts w:ascii="宋体"/>
                <w:w w:val="95"/>
                <w:sz w:val="13"/>
              </w:rPr>
              <w:t>-35,479,220.00 </w:t>
            </w:r>
            <w:r>
              <w:rPr>
                <w:rFonts w:ascii="宋体"/>
                <w:sz w:val="13"/>
              </w:rPr>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35"/>
              <w:jc w:val="right"/>
              <w:rPr>
                <w:rFonts w:ascii="宋体" w:hAnsi="宋体" w:cs="宋体" w:eastAsia="宋体" w:hint="default"/>
                <w:sz w:val="13"/>
                <w:szCs w:val="13"/>
              </w:rPr>
            </w:pPr>
            <w:r>
              <w:rPr>
                <w:rFonts w:ascii="宋体"/>
                <w:w w:val="99"/>
                <w:sz w:val="13"/>
              </w:rPr>
              <w:t> </w:t>
            </w:r>
            <w:r>
              <w:rPr>
                <w:rFonts w:ascii="宋体"/>
                <w:sz w:val="13"/>
              </w:rPr>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35"/>
              <w:jc w:val="right"/>
              <w:rPr>
                <w:rFonts w:ascii="宋体" w:hAnsi="宋体" w:cs="宋体" w:eastAsia="宋体" w:hint="default"/>
                <w:sz w:val="13"/>
                <w:szCs w:val="13"/>
              </w:rPr>
            </w:pPr>
            <w:r>
              <w:rPr>
                <w:rFonts w:ascii="宋体"/>
                <w:w w:val="99"/>
                <w:sz w:val="13"/>
              </w:rPr>
              <w:t> </w:t>
            </w:r>
            <w:r>
              <w:rPr>
                <w:rFonts w:ascii="宋体"/>
                <w:sz w:val="13"/>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38"/>
              <w:jc w:val="right"/>
              <w:rPr>
                <w:rFonts w:ascii="宋体" w:hAnsi="宋体" w:cs="宋体" w:eastAsia="宋体" w:hint="default"/>
                <w:sz w:val="13"/>
                <w:szCs w:val="13"/>
              </w:rPr>
            </w:pPr>
            <w:r>
              <w:rPr>
                <w:rFonts w:ascii="宋体"/>
                <w:w w:val="99"/>
                <w:sz w:val="13"/>
              </w:rPr>
              <w:t> </w:t>
            </w:r>
            <w:r>
              <w:rPr>
                <w:rFonts w:ascii="宋体"/>
                <w:sz w:val="13"/>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36"/>
              <w:jc w:val="right"/>
              <w:rPr>
                <w:rFonts w:ascii="宋体" w:hAnsi="宋体" w:cs="宋体" w:eastAsia="宋体" w:hint="default"/>
                <w:sz w:val="13"/>
                <w:szCs w:val="13"/>
              </w:rPr>
            </w:pPr>
            <w:r>
              <w:rPr>
                <w:rFonts w:ascii="宋体"/>
                <w:w w:val="99"/>
                <w:sz w:val="13"/>
              </w:rPr>
              <w:t> </w:t>
            </w:r>
            <w:r>
              <w:rPr>
                <w:rFonts w:ascii="宋体"/>
                <w:sz w:val="13"/>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36"/>
              <w:jc w:val="right"/>
              <w:rPr>
                <w:rFonts w:ascii="宋体" w:hAnsi="宋体" w:cs="宋体" w:eastAsia="宋体" w:hint="default"/>
                <w:sz w:val="13"/>
                <w:szCs w:val="13"/>
              </w:rPr>
            </w:pPr>
            <w:r>
              <w:rPr>
                <w:rFonts w:ascii="宋体"/>
                <w:w w:val="99"/>
                <w:sz w:val="13"/>
              </w:rPr>
              <w:t> </w:t>
            </w:r>
            <w:r>
              <w:rPr>
                <w:rFonts w:ascii="宋体"/>
                <w:sz w:val="13"/>
              </w:rPr>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36"/>
              <w:jc w:val="right"/>
              <w:rPr>
                <w:rFonts w:ascii="宋体" w:hAnsi="宋体" w:cs="宋体" w:eastAsia="宋体" w:hint="default"/>
                <w:sz w:val="13"/>
                <w:szCs w:val="13"/>
              </w:rPr>
            </w:pPr>
            <w:r>
              <w:rPr>
                <w:rFonts w:ascii="宋体"/>
                <w:w w:val="99"/>
                <w:sz w:val="13"/>
              </w:rPr>
              <w:t> </w:t>
            </w:r>
            <w:r>
              <w:rPr>
                <w:rFonts w:ascii="宋体"/>
                <w:sz w:val="13"/>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36"/>
              <w:jc w:val="right"/>
              <w:rPr>
                <w:rFonts w:ascii="宋体" w:hAnsi="宋体" w:cs="宋体" w:eastAsia="宋体" w:hint="default"/>
                <w:sz w:val="13"/>
                <w:szCs w:val="13"/>
              </w:rPr>
            </w:pPr>
            <w:r>
              <w:rPr>
                <w:rFonts w:ascii="宋体"/>
                <w:w w:val="95"/>
                <w:sz w:val="13"/>
              </w:rPr>
              <w:t>35,479,220.00 </w:t>
            </w:r>
            <w:r>
              <w:rPr>
                <w:rFonts w:ascii="宋体"/>
                <w:sz w:val="13"/>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36"/>
              <w:jc w:val="right"/>
              <w:rPr>
                <w:rFonts w:ascii="宋体" w:hAnsi="宋体" w:cs="宋体" w:eastAsia="宋体" w:hint="default"/>
                <w:sz w:val="13"/>
                <w:szCs w:val="13"/>
              </w:rPr>
            </w:pPr>
            <w:r>
              <w:rPr>
                <w:rFonts w:ascii="宋体"/>
                <w:w w:val="99"/>
                <w:sz w:val="13"/>
              </w:rPr>
              <w:t> </w:t>
            </w:r>
            <w:r>
              <w:rPr>
                <w:rFonts w:ascii="宋体"/>
                <w:sz w:val="13"/>
              </w:rPr>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36"/>
              <w:jc w:val="right"/>
              <w:rPr>
                <w:rFonts w:ascii="宋体" w:hAnsi="宋体" w:cs="宋体" w:eastAsia="宋体" w:hint="default"/>
                <w:sz w:val="13"/>
                <w:szCs w:val="13"/>
              </w:rPr>
            </w:pPr>
            <w:r>
              <w:rPr>
                <w:rFonts w:ascii="宋体"/>
                <w:w w:val="95"/>
                <w:sz w:val="13"/>
              </w:rPr>
              <w:t>35,479,220.00 </w:t>
            </w:r>
            <w:r>
              <w:rPr>
                <w:rFonts w:ascii="宋体"/>
                <w:sz w:val="13"/>
              </w:rPr>
            </w:r>
          </w:p>
        </w:tc>
      </w:tr>
      <w:tr>
        <w:trPr>
          <w:trHeight w:val="178"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03" w:right="0"/>
              <w:jc w:val="left"/>
              <w:rPr>
                <w:rFonts w:ascii="宋体" w:hAnsi="宋体" w:cs="宋体" w:eastAsia="宋体" w:hint="default"/>
                <w:sz w:val="13"/>
                <w:szCs w:val="13"/>
              </w:rPr>
            </w:pPr>
            <w:r>
              <w:rPr>
                <w:rFonts w:ascii="宋体" w:hAnsi="宋体" w:cs="宋体" w:eastAsia="宋体" w:hint="default"/>
                <w:sz w:val="13"/>
                <w:szCs w:val="13"/>
              </w:rPr>
              <w:t>4</w:t>
            </w:r>
            <w:r>
              <w:rPr>
                <w:rFonts w:ascii="宋体" w:hAnsi="宋体" w:cs="宋体" w:eastAsia="宋体" w:hint="default"/>
                <w:sz w:val="13"/>
                <w:szCs w:val="13"/>
              </w:rPr>
              <w:t>．其他</w:t>
            </w:r>
            <w:r>
              <w:rPr>
                <w:rFonts w:ascii="宋体" w:hAnsi="宋体" w:cs="宋体" w:eastAsia="宋体" w:hint="default"/>
                <w:sz w:val="13"/>
                <w:szCs w:val="13"/>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312"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353"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5"/>
              <w:jc w:val="right"/>
              <w:rPr>
                <w:rFonts w:ascii="宋体" w:hAnsi="宋体" w:cs="宋体" w:eastAsia="宋体" w:hint="default"/>
                <w:sz w:val="13"/>
                <w:szCs w:val="13"/>
              </w:rPr>
            </w:pPr>
            <w:r>
              <w:rPr>
                <w:rFonts w:ascii="宋体"/>
                <w:w w:val="95"/>
                <w:sz w:val="13"/>
              </w:rPr>
              <w:t>-419,919.27 </w:t>
            </w:r>
            <w:r>
              <w:rPr>
                <w:rFonts w:ascii="宋体"/>
                <w:sz w:val="13"/>
              </w:rPr>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sz w:val="13"/>
              </w:rPr>
              <w:t>889,577.82 </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8"/>
              <w:jc w:val="right"/>
              <w:rPr>
                <w:rFonts w:ascii="宋体" w:hAnsi="宋体" w:cs="宋体" w:eastAsia="宋体" w:hint="default"/>
                <w:sz w:val="13"/>
                <w:szCs w:val="13"/>
              </w:rPr>
            </w:pPr>
            <w:r>
              <w:rPr>
                <w:rFonts w:ascii="宋体"/>
                <w:w w:val="99"/>
                <w:sz w:val="13"/>
              </w:rPr>
              <w:t> </w:t>
            </w:r>
            <w:r>
              <w:rPr>
                <w:rFonts w:ascii="宋体"/>
                <w:sz w:val="13"/>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5"/>
                <w:sz w:val="13"/>
              </w:rPr>
              <w:t>-1,309,497.09 </w:t>
            </w:r>
            <w:r>
              <w:rPr>
                <w:rFonts w:ascii="宋体"/>
                <w:sz w:val="13"/>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5"/>
                <w:sz w:val="13"/>
              </w:rPr>
              <w:t>-1,309,497.09 </w:t>
            </w:r>
            <w:r>
              <w:rPr>
                <w:rFonts w:ascii="宋体"/>
                <w:sz w:val="13"/>
              </w:rPr>
            </w:r>
          </w:p>
        </w:tc>
      </w:tr>
      <w:tr>
        <w:trPr>
          <w:trHeight w:val="180"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03" w:right="0"/>
              <w:jc w:val="left"/>
              <w:rPr>
                <w:rFonts w:ascii="宋体" w:hAnsi="宋体" w:cs="宋体" w:eastAsia="宋体" w:hint="default"/>
                <w:sz w:val="13"/>
                <w:szCs w:val="13"/>
              </w:rPr>
            </w:pPr>
            <w:r>
              <w:rPr>
                <w:rFonts w:ascii="宋体" w:hAnsi="宋体" w:cs="宋体" w:eastAsia="宋体" w:hint="default"/>
                <w:sz w:val="13"/>
                <w:szCs w:val="13"/>
              </w:rPr>
              <w:t>（三）利润分配</w:t>
            </w:r>
            <w:r>
              <w:rPr>
                <w:rFonts w:ascii="宋体" w:hAnsi="宋体" w:cs="宋体" w:eastAsia="宋体" w:hint="default"/>
                <w:sz w:val="13"/>
                <w:szCs w:val="13"/>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312"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353"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8"/>
              <w:jc w:val="right"/>
              <w:rPr>
                <w:rFonts w:ascii="宋体" w:hAnsi="宋体" w:cs="宋体" w:eastAsia="宋体" w:hint="default"/>
                <w:sz w:val="13"/>
                <w:szCs w:val="13"/>
              </w:rPr>
            </w:pPr>
            <w:r>
              <w:rPr>
                <w:rFonts w:ascii="宋体"/>
                <w:w w:val="95"/>
                <w:sz w:val="13"/>
              </w:rPr>
              <w:t>14,919,286.01 </w:t>
            </w:r>
            <w:r>
              <w:rPr>
                <w:rFonts w:ascii="宋体"/>
                <w:sz w:val="13"/>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5"/>
                <w:sz w:val="13"/>
              </w:rPr>
              <w:t>-318,669,193.35 </w:t>
            </w:r>
            <w:r>
              <w:rPr>
                <w:rFonts w:ascii="宋体"/>
                <w:sz w:val="13"/>
              </w:rPr>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5"/>
                <w:sz w:val="13"/>
              </w:rPr>
              <w:t>-303,749,907.34 </w:t>
            </w:r>
            <w:r>
              <w:rPr>
                <w:rFonts w:ascii="宋体"/>
                <w:sz w:val="13"/>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5"/>
                <w:sz w:val="13"/>
              </w:rPr>
              <w:t>-2,640,000.00 </w:t>
            </w:r>
            <w:r>
              <w:rPr>
                <w:rFonts w:ascii="宋体"/>
                <w:sz w:val="13"/>
              </w:rPr>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5"/>
                <w:sz w:val="13"/>
              </w:rPr>
              <w:t>-306,389,907.34 </w:t>
            </w:r>
            <w:r>
              <w:rPr>
                <w:rFonts w:ascii="宋体"/>
                <w:sz w:val="13"/>
              </w:rPr>
            </w:r>
          </w:p>
        </w:tc>
      </w:tr>
      <w:tr>
        <w:trPr>
          <w:trHeight w:val="178"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03" w:right="0"/>
              <w:jc w:val="left"/>
              <w:rPr>
                <w:rFonts w:ascii="宋体" w:hAnsi="宋体" w:cs="宋体" w:eastAsia="宋体" w:hint="default"/>
                <w:sz w:val="13"/>
                <w:szCs w:val="13"/>
              </w:rPr>
            </w:pPr>
            <w:r>
              <w:rPr>
                <w:rFonts w:ascii="宋体" w:hAnsi="宋体" w:cs="宋体" w:eastAsia="宋体" w:hint="default"/>
                <w:sz w:val="13"/>
                <w:szCs w:val="13"/>
              </w:rPr>
              <w:t>1</w:t>
            </w:r>
            <w:r>
              <w:rPr>
                <w:rFonts w:ascii="宋体" w:hAnsi="宋体" w:cs="宋体" w:eastAsia="宋体" w:hint="default"/>
                <w:sz w:val="13"/>
                <w:szCs w:val="13"/>
              </w:rPr>
              <w:t>．提取盈余公积</w:t>
            </w:r>
            <w:r>
              <w:rPr>
                <w:rFonts w:ascii="宋体" w:hAnsi="宋体" w:cs="宋体" w:eastAsia="宋体" w:hint="default"/>
                <w:sz w:val="13"/>
                <w:szCs w:val="13"/>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312"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353"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8"/>
              <w:jc w:val="right"/>
              <w:rPr>
                <w:rFonts w:ascii="宋体" w:hAnsi="宋体" w:cs="宋体" w:eastAsia="宋体" w:hint="default"/>
                <w:sz w:val="13"/>
                <w:szCs w:val="13"/>
              </w:rPr>
            </w:pPr>
            <w:r>
              <w:rPr>
                <w:rFonts w:ascii="宋体"/>
                <w:w w:val="95"/>
                <w:sz w:val="13"/>
              </w:rPr>
              <w:t>14,919,286.01 </w:t>
            </w:r>
            <w:r>
              <w:rPr>
                <w:rFonts w:ascii="宋体"/>
                <w:sz w:val="13"/>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5"/>
                <w:sz w:val="13"/>
              </w:rPr>
              <w:t>-14,919,286.01 </w:t>
            </w:r>
            <w:r>
              <w:rPr>
                <w:rFonts w:ascii="宋体"/>
                <w:sz w:val="13"/>
              </w:rPr>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r>
      <w:tr>
        <w:trPr>
          <w:trHeight w:val="180"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03" w:right="0"/>
              <w:jc w:val="left"/>
              <w:rPr>
                <w:rFonts w:ascii="宋体" w:hAnsi="宋体" w:cs="宋体" w:eastAsia="宋体" w:hint="default"/>
                <w:sz w:val="13"/>
                <w:szCs w:val="13"/>
              </w:rPr>
            </w:pPr>
            <w:r>
              <w:rPr>
                <w:rFonts w:ascii="宋体" w:hAnsi="宋体" w:cs="宋体" w:eastAsia="宋体" w:hint="default"/>
                <w:sz w:val="13"/>
                <w:szCs w:val="13"/>
              </w:rPr>
              <w:t>2</w:t>
            </w:r>
            <w:r>
              <w:rPr>
                <w:rFonts w:ascii="宋体" w:hAnsi="宋体" w:cs="宋体" w:eastAsia="宋体" w:hint="default"/>
                <w:sz w:val="13"/>
                <w:szCs w:val="13"/>
              </w:rPr>
              <w:t>．提取一般风险准备</w:t>
            </w:r>
            <w:r>
              <w:rPr>
                <w:rFonts w:ascii="宋体" w:hAnsi="宋体" w:cs="宋体" w:eastAsia="宋体" w:hint="default"/>
                <w:sz w:val="13"/>
                <w:szCs w:val="13"/>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312"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353"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8"/>
              <w:jc w:val="right"/>
              <w:rPr>
                <w:rFonts w:ascii="宋体" w:hAnsi="宋体" w:cs="宋体" w:eastAsia="宋体" w:hint="default"/>
                <w:sz w:val="13"/>
                <w:szCs w:val="13"/>
              </w:rPr>
            </w:pPr>
            <w:r>
              <w:rPr>
                <w:rFonts w:ascii="宋体"/>
                <w:w w:val="99"/>
                <w:sz w:val="13"/>
              </w:rPr>
              <w:t> </w:t>
            </w:r>
            <w:r>
              <w:rPr>
                <w:rFonts w:ascii="宋体"/>
                <w:sz w:val="13"/>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r>
      <w:tr>
        <w:trPr>
          <w:trHeight w:val="346"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144" w:lineRule="exact"/>
              <w:ind w:left="103" w:right="0"/>
              <w:jc w:val="left"/>
              <w:rPr>
                <w:rFonts w:ascii="宋体" w:hAnsi="宋体" w:cs="宋体" w:eastAsia="宋体" w:hint="default"/>
                <w:sz w:val="13"/>
                <w:szCs w:val="13"/>
              </w:rPr>
            </w:pPr>
            <w:r>
              <w:rPr>
                <w:rFonts w:ascii="宋体" w:hAnsi="宋体" w:cs="宋体" w:eastAsia="宋体" w:hint="default"/>
                <w:sz w:val="13"/>
                <w:szCs w:val="13"/>
              </w:rPr>
              <w:t>3</w:t>
            </w:r>
            <w:r>
              <w:rPr>
                <w:rFonts w:ascii="宋体" w:hAnsi="宋体" w:cs="宋体" w:eastAsia="宋体" w:hint="default"/>
                <w:sz w:val="13"/>
                <w:szCs w:val="13"/>
              </w:rPr>
              <w:t>．对所有者（或股东）的</w:t>
            </w:r>
          </w:p>
          <w:p>
            <w:pPr>
              <w:pStyle w:val="TableParagraph"/>
              <w:spacing w:line="169" w:lineRule="exact"/>
              <w:ind w:left="103" w:right="0"/>
              <w:jc w:val="left"/>
              <w:rPr>
                <w:rFonts w:ascii="宋体" w:hAnsi="宋体" w:cs="宋体" w:eastAsia="宋体" w:hint="default"/>
                <w:sz w:val="13"/>
                <w:szCs w:val="13"/>
              </w:rPr>
            </w:pPr>
            <w:r>
              <w:rPr>
                <w:rFonts w:ascii="宋体" w:hAnsi="宋体" w:cs="宋体" w:eastAsia="宋体" w:hint="default"/>
                <w:sz w:val="13"/>
                <w:szCs w:val="13"/>
              </w:rPr>
              <w:t>分配</w:t>
            </w:r>
            <w:r>
              <w:rPr>
                <w:rFonts w:ascii="宋体" w:hAnsi="宋体" w:cs="宋体" w:eastAsia="宋体" w:hint="default"/>
                <w:sz w:val="13"/>
                <w:szCs w:val="13"/>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36"/>
              <w:jc w:val="right"/>
              <w:rPr>
                <w:rFonts w:ascii="宋体" w:hAnsi="宋体" w:cs="宋体" w:eastAsia="宋体" w:hint="default"/>
                <w:sz w:val="13"/>
                <w:szCs w:val="13"/>
              </w:rPr>
            </w:pPr>
            <w:r>
              <w:rPr>
                <w:rFonts w:ascii="宋体"/>
                <w:w w:val="99"/>
                <w:sz w:val="13"/>
              </w:rPr>
              <w:t> </w:t>
            </w:r>
            <w:r>
              <w:rPr>
                <w:rFonts w:ascii="宋体"/>
                <w:sz w:val="13"/>
              </w:rPr>
            </w:r>
          </w:p>
        </w:tc>
        <w:tc>
          <w:tcPr>
            <w:tcW w:w="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35"/>
              <w:jc w:val="right"/>
              <w:rPr>
                <w:rFonts w:ascii="宋体" w:hAnsi="宋体" w:cs="宋体" w:eastAsia="宋体" w:hint="default"/>
                <w:sz w:val="13"/>
                <w:szCs w:val="13"/>
              </w:rPr>
            </w:pPr>
            <w:r>
              <w:rPr>
                <w:rFonts w:ascii="宋体"/>
                <w:w w:val="99"/>
                <w:sz w:val="13"/>
              </w:rPr>
              <w:t> </w:t>
            </w:r>
            <w:r>
              <w:rPr>
                <w:rFonts w:ascii="宋体"/>
                <w:sz w:val="13"/>
              </w:rPr>
            </w:r>
          </w:p>
        </w:tc>
        <w:tc>
          <w:tcPr>
            <w:tcW w:w="3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36"/>
              <w:jc w:val="right"/>
              <w:rPr>
                <w:rFonts w:ascii="宋体" w:hAnsi="宋体" w:cs="宋体" w:eastAsia="宋体" w:hint="default"/>
                <w:sz w:val="13"/>
                <w:szCs w:val="13"/>
              </w:rPr>
            </w:pPr>
            <w:r>
              <w:rPr>
                <w:rFonts w:ascii="宋体"/>
                <w:w w:val="99"/>
                <w:sz w:val="13"/>
              </w:rPr>
              <w:t> </w:t>
            </w:r>
            <w:r>
              <w:rPr>
                <w:rFonts w:ascii="宋体"/>
                <w:sz w:val="13"/>
              </w:rPr>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36"/>
              <w:jc w:val="right"/>
              <w:rPr>
                <w:rFonts w:ascii="宋体" w:hAnsi="宋体" w:cs="宋体" w:eastAsia="宋体" w:hint="default"/>
                <w:sz w:val="13"/>
                <w:szCs w:val="13"/>
              </w:rPr>
            </w:pPr>
            <w:r>
              <w:rPr>
                <w:rFonts w:ascii="宋体"/>
                <w:w w:val="99"/>
                <w:sz w:val="13"/>
              </w:rPr>
              <w:t> </w:t>
            </w:r>
            <w:r>
              <w:rPr>
                <w:rFonts w:ascii="宋体"/>
                <w:sz w:val="13"/>
              </w:rPr>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35"/>
              <w:jc w:val="right"/>
              <w:rPr>
                <w:rFonts w:ascii="宋体" w:hAnsi="宋体" w:cs="宋体" w:eastAsia="宋体" w:hint="default"/>
                <w:sz w:val="13"/>
                <w:szCs w:val="13"/>
              </w:rPr>
            </w:pPr>
            <w:r>
              <w:rPr>
                <w:rFonts w:ascii="宋体"/>
                <w:w w:val="99"/>
                <w:sz w:val="13"/>
              </w:rPr>
              <w:t> </w:t>
            </w:r>
            <w:r>
              <w:rPr>
                <w:rFonts w:ascii="宋体"/>
                <w:sz w:val="13"/>
              </w:rPr>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36"/>
              <w:jc w:val="right"/>
              <w:rPr>
                <w:rFonts w:ascii="宋体" w:hAnsi="宋体" w:cs="宋体" w:eastAsia="宋体" w:hint="default"/>
                <w:sz w:val="13"/>
                <w:szCs w:val="13"/>
              </w:rPr>
            </w:pPr>
            <w:r>
              <w:rPr>
                <w:rFonts w:ascii="宋体"/>
                <w:w w:val="99"/>
                <w:sz w:val="13"/>
              </w:rPr>
              <w:t> </w:t>
            </w:r>
            <w:r>
              <w:rPr>
                <w:rFonts w:ascii="宋体"/>
                <w:sz w:val="13"/>
              </w:rPr>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35"/>
              <w:jc w:val="right"/>
              <w:rPr>
                <w:rFonts w:ascii="宋体" w:hAnsi="宋体" w:cs="宋体" w:eastAsia="宋体" w:hint="default"/>
                <w:sz w:val="13"/>
                <w:szCs w:val="13"/>
              </w:rPr>
            </w:pPr>
            <w:r>
              <w:rPr>
                <w:rFonts w:ascii="宋体"/>
                <w:w w:val="99"/>
                <w:sz w:val="13"/>
              </w:rPr>
              <w:t> </w:t>
            </w:r>
            <w:r>
              <w:rPr>
                <w:rFonts w:ascii="宋体"/>
                <w:sz w:val="13"/>
              </w:rPr>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35"/>
              <w:jc w:val="right"/>
              <w:rPr>
                <w:rFonts w:ascii="宋体" w:hAnsi="宋体" w:cs="宋体" w:eastAsia="宋体" w:hint="default"/>
                <w:sz w:val="13"/>
                <w:szCs w:val="13"/>
              </w:rPr>
            </w:pPr>
            <w:r>
              <w:rPr>
                <w:rFonts w:ascii="宋体"/>
                <w:w w:val="99"/>
                <w:sz w:val="13"/>
              </w:rPr>
              <w:t> </w:t>
            </w:r>
            <w:r>
              <w:rPr>
                <w:rFonts w:ascii="宋体"/>
                <w:sz w:val="13"/>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38"/>
              <w:jc w:val="right"/>
              <w:rPr>
                <w:rFonts w:ascii="宋体" w:hAnsi="宋体" w:cs="宋体" w:eastAsia="宋体" w:hint="default"/>
                <w:sz w:val="13"/>
                <w:szCs w:val="13"/>
              </w:rPr>
            </w:pPr>
            <w:r>
              <w:rPr>
                <w:rFonts w:ascii="宋体"/>
                <w:w w:val="99"/>
                <w:sz w:val="13"/>
              </w:rPr>
              <w:t> </w:t>
            </w:r>
            <w:r>
              <w:rPr>
                <w:rFonts w:ascii="宋体"/>
                <w:sz w:val="13"/>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36"/>
              <w:jc w:val="right"/>
              <w:rPr>
                <w:rFonts w:ascii="宋体" w:hAnsi="宋体" w:cs="宋体" w:eastAsia="宋体" w:hint="default"/>
                <w:sz w:val="13"/>
                <w:szCs w:val="13"/>
              </w:rPr>
            </w:pPr>
            <w:r>
              <w:rPr>
                <w:rFonts w:ascii="宋体"/>
                <w:w w:val="99"/>
                <w:sz w:val="13"/>
              </w:rPr>
              <w:t> </w:t>
            </w:r>
            <w:r>
              <w:rPr>
                <w:rFonts w:ascii="宋体"/>
                <w:sz w:val="13"/>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36"/>
              <w:jc w:val="right"/>
              <w:rPr>
                <w:rFonts w:ascii="宋体" w:hAnsi="宋体" w:cs="宋体" w:eastAsia="宋体" w:hint="default"/>
                <w:sz w:val="13"/>
                <w:szCs w:val="13"/>
              </w:rPr>
            </w:pPr>
            <w:r>
              <w:rPr>
                <w:rFonts w:ascii="宋体"/>
                <w:w w:val="95"/>
                <w:sz w:val="13"/>
              </w:rPr>
              <w:t>-303,749,907.34 </w:t>
            </w:r>
            <w:r>
              <w:rPr>
                <w:rFonts w:ascii="宋体"/>
                <w:sz w:val="13"/>
              </w:rPr>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36"/>
              <w:jc w:val="right"/>
              <w:rPr>
                <w:rFonts w:ascii="宋体" w:hAnsi="宋体" w:cs="宋体" w:eastAsia="宋体" w:hint="default"/>
                <w:sz w:val="13"/>
                <w:szCs w:val="13"/>
              </w:rPr>
            </w:pPr>
            <w:r>
              <w:rPr>
                <w:rFonts w:ascii="宋体"/>
                <w:w w:val="99"/>
                <w:sz w:val="13"/>
              </w:rPr>
              <w:t> </w:t>
            </w:r>
            <w:r>
              <w:rPr>
                <w:rFonts w:ascii="宋体"/>
                <w:sz w:val="13"/>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36"/>
              <w:jc w:val="right"/>
              <w:rPr>
                <w:rFonts w:ascii="宋体" w:hAnsi="宋体" w:cs="宋体" w:eastAsia="宋体" w:hint="default"/>
                <w:sz w:val="13"/>
                <w:szCs w:val="13"/>
              </w:rPr>
            </w:pPr>
            <w:r>
              <w:rPr>
                <w:rFonts w:ascii="宋体"/>
                <w:w w:val="95"/>
                <w:sz w:val="13"/>
              </w:rPr>
              <w:t>-303,749,907.34 </w:t>
            </w:r>
            <w:r>
              <w:rPr>
                <w:rFonts w:ascii="宋体"/>
                <w:sz w:val="13"/>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36"/>
              <w:jc w:val="right"/>
              <w:rPr>
                <w:rFonts w:ascii="宋体" w:hAnsi="宋体" w:cs="宋体" w:eastAsia="宋体" w:hint="default"/>
                <w:sz w:val="13"/>
                <w:szCs w:val="13"/>
              </w:rPr>
            </w:pPr>
            <w:r>
              <w:rPr>
                <w:rFonts w:ascii="宋体"/>
                <w:w w:val="95"/>
                <w:sz w:val="13"/>
              </w:rPr>
              <w:t>-2,640,000.00 </w:t>
            </w:r>
            <w:r>
              <w:rPr>
                <w:rFonts w:ascii="宋体"/>
                <w:sz w:val="13"/>
              </w:rPr>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36"/>
              <w:jc w:val="right"/>
              <w:rPr>
                <w:rFonts w:ascii="宋体" w:hAnsi="宋体" w:cs="宋体" w:eastAsia="宋体" w:hint="default"/>
                <w:sz w:val="13"/>
                <w:szCs w:val="13"/>
              </w:rPr>
            </w:pPr>
            <w:r>
              <w:rPr>
                <w:rFonts w:ascii="宋体"/>
                <w:w w:val="95"/>
                <w:sz w:val="13"/>
              </w:rPr>
              <w:t>-306,389,907.34 </w:t>
            </w:r>
            <w:r>
              <w:rPr>
                <w:rFonts w:ascii="宋体"/>
                <w:sz w:val="13"/>
              </w:rPr>
            </w:r>
          </w:p>
        </w:tc>
      </w:tr>
      <w:tr>
        <w:trPr>
          <w:trHeight w:val="180"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03" w:right="0"/>
              <w:jc w:val="left"/>
              <w:rPr>
                <w:rFonts w:ascii="宋体" w:hAnsi="宋体" w:cs="宋体" w:eastAsia="宋体" w:hint="default"/>
                <w:sz w:val="13"/>
                <w:szCs w:val="13"/>
              </w:rPr>
            </w:pPr>
            <w:r>
              <w:rPr>
                <w:rFonts w:ascii="宋体" w:hAnsi="宋体" w:cs="宋体" w:eastAsia="宋体" w:hint="default"/>
                <w:sz w:val="13"/>
                <w:szCs w:val="13"/>
              </w:rPr>
              <w:t>4</w:t>
            </w:r>
            <w:r>
              <w:rPr>
                <w:rFonts w:ascii="宋体" w:hAnsi="宋体" w:cs="宋体" w:eastAsia="宋体" w:hint="default"/>
                <w:sz w:val="13"/>
                <w:szCs w:val="13"/>
              </w:rPr>
              <w:t>．其他</w:t>
            </w:r>
            <w:r>
              <w:rPr>
                <w:rFonts w:ascii="宋体" w:hAnsi="宋体" w:cs="宋体" w:eastAsia="宋体" w:hint="default"/>
                <w:sz w:val="13"/>
                <w:szCs w:val="13"/>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312"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353"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8"/>
              <w:jc w:val="right"/>
              <w:rPr>
                <w:rFonts w:ascii="宋体" w:hAnsi="宋体" w:cs="宋体" w:eastAsia="宋体" w:hint="default"/>
                <w:sz w:val="13"/>
                <w:szCs w:val="13"/>
              </w:rPr>
            </w:pPr>
            <w:r>
              <w:rPr>
                <w:rFonts w:ascii="宋体"/>
                <w:w w:val="99"/>
                <w:sz w:val="13"/>
              </w:rPr>
              <w:t> </w:t>
            </w:r>
            <w:r>
              <w:rPr>
                <w:rFonts w:ascii="宋体"/>
                <w:sz w:val="13"/>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r>
      <w:tr>
        <w:trPr>
          <w:trHeight w:val="346"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144" w:lineRule="exact"/>
              <w:ind w:left="103" w:right="0"/>
              <w:jc w:val="left"/>
              <w:rPr>
                <w:rFonts w:ascii="宋体" w:hAnsi="宋体" w:cs="宋体" w:eastAsia="宋体" w:hint="default"/>
                <w:sz w:val="13"/>
                <w:szCs w:val="13"/>
              </w:rPr>
            </w:pPr>
            <w:r>
              <w:rPr>
                <w:rFonts w:ascii="宋体" w:hAnsi="宋体" w:cs="宋体" w:eastAsia="宋体" w:hint="default"/>
                <w:sz w:val="13"/>
                <w:szCs w:val="13"/>
              </w:rPr>
              <w:t>（四）所有者权益内部结</w:t>
            </w:r>
          </w:p>
          <w:p>
            <w:pPr>
              <w:pStyle w:val="TableParagraph"/>
              <w:spacing w:line="169" w:lineRule="exact"/>
              <w:ind w:left="103" w:right="0"/>
              <w:jc w:val="left"/>
              <w:rPr>
                <w:rFonts w:ascii="宋体" w:hAnsi="宋体" w:cs="宋体" w:eastAsia="宋体" w:hint="default"/>
                <w:sz w:val="13"/>
                <w:szCs w:val="13"/>
              </w:rPr>
            </w:pPr>
            <w:r>
              <w:rPr>
                <w:rFonts w:ascii="宋体" w:hAnsi="宋体" w:cs="宋体" w:eastAsia="宋体" w:hint="default"/>
                <w:sz w:val="13"/>
                <w:szCs w:val="13"/>
              </w:rPr>
              <w:t>转</w:t>
            </w:r>
            <w:r>
              <w:rPr>
                <w:rFonts w:ascii="宋体" w:hAnsi="宋体" w:cs="宋体" w:eastAsia="宋体" w:hint="default"/>
                <w:sz w:val="13"/>
                <w:szCs w:val="13"/>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36"/>
              <w:jc w:val="right"/>
              <w:rPr>
                <w:rFonts w:ascii="宋体" w:hAnsi="宋体" w:cs="宋体" w:eastAsia="宋体" w:hint="default"/>
                <w:sz w:val="13"/>
                <w:szCs w:val="13"/>
              </w:rPr>
            </w:pPr>
            <w:r>
              <w:rPr>
                <w:rFonts w:ascii="宋体"/>
                <w:w w:val="99"/>
                <w:sz w:val="13"/>
              </w:rPr>
              <w:t> </w:t>
            </w:r>
            <w:r>
              <w:rPr>
                <w:rFonts w:ascii="宋体"/>
                <w:sz w:val="13"/>
              </w:rPr>
            </w:r>
          </w:p>
        </w:tc>
        <w:tc>
          <w:tcPr>
            <w:tcW w:w="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35"/>
              <w:jc w:val="right"/>
              <w:rPr>
                <w:rFonts w:ascii="宋体" w:hAnsi="宋体" w:cs="宋体" w:eastAsia="宋体" w:hint="default"/>
                <w:sz w:val="13"/>
                <w:szCs w:val="13"/>
              </w:rPr>
            </w:pPr>
            <w:r>
              <w:rPr>
                <w:rFonts w:ascii="宋体"/>
                <w:w w:val="99"/>
                <w:sz w:val="13"/>
              </w:rPr>
              <w:t> </w:t>
            </w:r>
            <w:r>
              <w:rPr>
                <w:rFonts w:ascii="宋体"/>
                <w:sz w:val="13"/>
              </w:rPr>
            </w:r>
          </w:p>
        </w:tc>
        <w:tc>
          <w:tcPr>
            <w:tcW w:w="3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36"/>
              <w:jc w:val="right"/>
              <w:rPr>
                <w:rFonts w:ascii="宋体" w:hAnsi="宋体" w:cs="宋体" w:eastAsia="宋体" w:hint="default"/>
                <w:sz w:val="13"/>
                <w:szCs w:val="13"/>
              </w:rPr>
            </w:pPr>
            <w:r>
              <w:rPr>
                <w:rFonts w:ascii="宋体"/>
                <w:w w:val="99"/>
                <w:sz w:val="13"/>
              </w:rPr>
              <w:t> </w:t>
            </w:r>
            <w:r>
              <w:rPr>
                <w:rFonts w:ascii="宋体"/>
                <w:sz w:val="13"/>
              </w:rPr>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36"/>
              <w:jc w:val="right"/>
              <w:rPr>
                <w:rFonts w:ascii="宋体" w:hAnsi="宋体" w:cs="宋体" w:eastAsia="宋体" w:hint="default"/>
                <w:sz w:val="13"/>
                <w:szCs w:val="13"/>
              </w:rPr>
            </w:pPr>
            <w:r>
              <w:rPr>
                <w:rFonts w:ascii="宋体"/>
                <w:w w:val="99"/>
                <w:sz w:val="13"/>
              </w:rPr>
              <w:t> </w:t>
            </w:r>
            <w:r>
              <w:rPr>
                <w:rFonts w:ascii="宋体"/>
                <w:sz w:val="13"/>
              </w:rPr>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35"/>
              <w:jc w:val="right"/>
              <w:rPr>
                <w:rFonts w:ascii="宋体" w:hAnsi="宋体" w:cs="宋体" w:eastAsia="宋体" w:hint="default"/>
                <w:sz w:val="13"/>
                <w:szCs w:val="13"/>
              </w:rPr>
            </w:pPr>
            <w:r>
              <w:rPr>
                <w:rFonts w:ascii="宋体"/>
                <w:w w:val="99"/>
                <w:sz w:val="13"/>
              </w:rPr>
              <w:t> </w:t>
            </w:r>
            <w:r>
              <w:rPr>
                <w:rFonts w:ascii="宋体"/>
                <w:sz w:val="13"/>
              </w:rPr>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36"/>
              <w:jc w:val="right"/>
              <w:rPr>
                <w:rFonts w:ascii="宋体" w:hAnsi="宋体" w:cs="宋体" w:eastAsia="宋体" w:hint="default"/>
                <w:sz w:val="13"/>
                <w:szCs w:val="13"/>
              </w:rPr>
            </w:pPr>
            <w:r>
              <w:rPr>
                <w:rFonts w:ascii="宋体"/>
                <w:w w:val="99"/>
                <w:sz w:val="13"/>
              </w:rPr>
              <w:t> </w:t>
            </w:r>
            <w:r>
              <w:rPr>
                <w:rFonts w:ascii="宋体"/>
                <w:sz w:val="13"/>
              </w:rPr>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35"/>
              <w:jc w:val="right"/>
              <w:rPr>
                <w:rFonts w:ascii="宋体" w:hAnsi="宋体" w:cs="宋体" w:eastAsia="宋体" w:hint="default"/>
                <w:sz w:val="13"/>
                <w:szCs w:val="13"/>
              </w:rPr>
            </w:pPr>
            <w:r>
              <w:rPr>
                <w:rFonts w:ascii="宋体"/>
                <w:w w:val="99"/>
                <w:sz w:val="13"/>
              </w:rPr>
              <w:t> </w:t>
            </w:r>
            <w:r>
              <w:rPr>
                <w:rFonts w:ascii="宋体"/>
                <w:sz w:val="13"/>
              </w:rPr>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35"/>
              <w:jc w:val="right"/>
              <w:rPr>
                <w:rFonts w:ascii="宋体" w:hAnsi="宋体" w:cs="宋体" w:eastAsia="宋体" w:hint="default"/>
                <w:sz w:val="13"/>
                <w:szCs w:val="13"/>
              </w:rPr>
            </w:pPr>
            <w:r>
              <w:rPr>
                <w:rFonts w:ascii="宋体"/>
                <w:w w:val="99"/>
                <w:sz w:val="13"/>
              </w:rPr>
              <w:t> </w:t>
            </w:r>
            <w:r>
              <w:rPr>
                <w:rFonts w:ascii="宋体"/>
                <w:sz w:val="13"/>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38"/>
              <w:jc w:val="right"/>
              <w:rPr>
                <w:rFonts w:ascii="宋体" w:hAnsi="宋体" w:cs="宋体" w:eastAsia="宋体" w:hint="default"/>
                <w:sz w:val="13"/>
                <w:szCs w:val="13"/>
              </w:rPr>
            </w:pPr>
            <w:r>
              <w:rPr>
                <w:rFonts w:ascii="宋体"/>
                <w:w w:val="99"/>
                <w:sz w:val="13"/>
              </w:rPr>
              <w:t> </w:t>
            </w:r>
            <w:r>
              <w:rPr>
                <w:rFonts w:ascii="宋体"/>
                <w:sz w:val="13"/>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36"/>
              <w:jc w:val="right"/>
              <w:rPr>
                <w:rFonts w:ascii="宋体" w:hAnsi="宋体" w:cs="宋体" w:eastAsia="宋体" w:hint="default"/>
                <w:sz w:val="13"/>
                <w:szCs w:val="13"/>
              </w:rPr>
            </w:pPr>
            <w:r>
              <w:rPr>
                <w:rFonts w:ascii="宋体"/>
                <w:w w:val="99"/>
                <w:sz w:val="13"/>
              </w:rPr>
              <w:t> </w:t>
            </w:r>
            <w:r>
              <w:rPr>
                <w:rFonts w:ascii="宋体"/>
                <w:sz w:val="13"/>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36"/>
              <w:jc w:val="right"/>
              <w:rPr>
                <w:rFonts w:ascii="宋体" w:hAnsi="宋体" w:cs="宋体" w:eastAsia="宋体" w:hint="default"/>
                <w:sz w:val="13"/>
                <w:szCs w:val="13"/>
              </w:rPr>
            </w:pPr>
            <w:r>
              <w:rPr>
                <w:rFonts w:ascii="宋体"/>
                <w:w w:val="99"/>
                <w:sz w:val="13"/>
              </w:rPr>
              <w:t> </w:t>
            </w:r>
            <w:r>
              <w:rPr>
                <w:rFonts w:ascii="宋体"/>
                <w:sz w:val="13"/>
              </w:rPr>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36"/>
              <w:jc w:val="right"/>
              <w:rPr>
                <w:rFonts w:ascii="宋体" w:hAnsi="宋体" w:cs="宋体" w:eastAsia="宋体" w:hint="default"/>
                <w:sz w:val="13"/>
                <w:szCs w:val="13"/>
              </w:rPr>
            </w:pPr>
            <w:r>
              <w:rPr>
                <w:rFonts w:ascii="宋体"/>
                <w:w w:val="99"/>
                <w:sz w:val="13"/>
              </w:rPr>
              <w:t> </w:t>
            </w:r>
            <w:r>
              <w:rPr>
                <w:rFonts w:ascii="宋体"/>
                <w:sz w:val="13"/>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36"/>
              <w:jc w:val="right"/>
              <w:rPr>
                <w:rFonts w:ascii="宋体" w:hAnsi="宋体" w:cs="宋体" w:eastAsia="宋体" w:hint="default"/>
                <w:sz w:val="13"/>
                <w:szCs w:val="13"/>
              </w:rPr>
            </w:pPr>
            <w:r>
              <w:rPr>
                <w:rFonts w:ascii="宋体"/>
                <w:w w:val="99"/>
                <w:sz w:val="13"/>
              </w:rPr>
              <w:t> </w:t>
            </w:r>
            <w:r>
              <w:rPr>
                <w:rFonts w:ascii="宋体"/>
                <w:sz w:val="13"/>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36"/>
              <w:jc w:val="right"/>
              <w:rPr>
                <w:rFonts w:ascii="宋体" w:hAnsi="宋体" w:cs="宋体" w:eastAsia="宋体" w:hint="default"/>
                <w:sz w:val="13"/>
                <w:szCs w:val="13"/>
              </w:rPr>
            </w:pPr>
            <w:r>
              <w:rPr>
                <w:rFonts w:ascii="宋体"/>
                <w:w w:val="99"/>
                <w:sz w:val="13"/>
              </w:rPr>
              <w:t> </w:t>
            </w:r>
            <w:r>
              <w:rPr>
                <w:rFonts w:ascii="宋体"/>
                <w:sz w:val="13"/>
              </w:rPr>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36"/>
              <w:jc w:val="right"/>
              <w:rPr>
                <w:rFonts w:ascii="宋体" w:hAnsi="宋体" w:cs="宋体" w:eastAsia="宋体" w:hint="default"/>
                <w:sz w:val="13"/>
                <w:szCs w:val="13"/>
              </w:rPr>
            </w:pPr>
            <w:r>
              <w:rPr>
                <w:rFonts w:ascii="宋体"/>
                <w:w w:val="99"/>
                <w:sz w:val="13"/>
              </w:rPr>
              <w:t> </w:t>
            </w:r>
            <w:r>
              <w:rPr>
                <w:rFonts w:ascii="宋体"/>
                <w:sz w:val="13"/>
              </w:rPr>
            </w:r>
          </w:p>
        </w:tc>
      </w:tr>
      <w:tr>
        <w:trPr>
          <w:trHeight w:val="348"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03" w:right="0"/>
              <w:jc w:val="left"/>
              <w:rPr>
                <w:rFonts w:ascii="宋体" w:hAnsi="宋体" w:cs="宋体" w:eastAsia="宋体" w:hint="default"/>
                <w:sz w:val="13"/>
                <w:szCs w:val="13"/>
              </w:rPr>
            </w:pPr>
            <w:r>
              <w:rPr>
                <w:rFonts w:ascii="宋体" w:hAnsi="宋体" w:cs="宋体" w:eastAsia="宋体" w:hint="default"/>
                <w:sz w:val="13"/>
                <w:szCs w:val="13"/>
              </w:rPr>
              <w:t>1</w:t>
            </w:r>
            <w:r>
              <w:rPr>
                <w:rFonts w:ascii="宋体" w:hAnsi="宋体" w:cs="宋体" w:eastAsia="宋体" w:hint="default"/>
                <w:sz w:val="13"/>
                <w:szCs w:val="13"/>
              </w:rPr>
              <w:t>．资本公积转增资本（或</w:t>
            </w:r>
          </w:p>
          <w:p>
            <w:pPr>
              <w:pStyle w:val="TableParagraph"/>
              <w:spacing w:line="240" w:lineRule="auto"/>
              <w:ind w:left="103" w:right="0"/>
              <w:jc w:val="left"/>
              <w:rPr>
                <w:rFonts w:ascii="宋体" w:hAnsi="宋体" w:cs="宋体" w:eastAsia="宋体" w:hint="default"/>
                <w:sz w:val="13"/>
                <w:szCs w:val="13"/>
              </w:rPr>
            </w:pPr>
            <w:r>
              <w:rPr>
                <w:rFonts w:ascii="宋体" w:hAnsi="宋体" w:cs="宋体" w:eastAsia="宋体" w:hint="default"/>
                <w:sz w:val="13"/>
                <w:szCs w:val="13"/>
              </w:rPr>
              <w:t>股本）</w:t>
            </w:r>
            <w:r>
              <w:rPr>
                <w:rFonts w:ascii="宋体" w:hAnsi="宋体" w:cs="宋体" w:eastAsia="宋体" w:hint="default"/>
                <w:sz w:val="13"/>
                <w:szCs w:val="13"/>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6"/>
              <w:jc w:val="right"/>
              <w:rPr>
                <w:rFonts w:ascii="宋体" w:hAnsi="宋体" w:cs="宋体" w:eastAsia="宋体" w:hint="default"/>
                <w:sz w:val="13"/>
                <w:szCs w:val="13"/>
              </w:rPr>
            </w:pPr>
            <w:r>
              <w:rPr>
                <w:rFonts w:ascii="宋体"/>
                <w:w w:val="99"/>
                <w:sz w:val="13"/>
              </w:rPr>
              <w:t> </w:t>
            </w:r>
            <w:r>
              <w:rPr>
                <w:rFonts w:ascii="宋体"/>
                <w:sz w:val="13"/>
              </w:rPr>
            </w:r>
          </w:p>
        </w:tc>
        <w:tc>
          <w:tcPr>
            <w:tcW w:w="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5"/>
              <w:jc w:val="right"/>
              <w:rPr>
                <w:rFonts w:ascii="宋体" w:hAnsi="宋体" w:cs="宋体" w:eastAsia="宋体" w:hint="default"/>
                <w:sz w:val="13"/>
                <w:szCs w:val="13"/>
              </w:rPr>
            </w:pPr>
            <w:r>
              <w:rPr>
                <w:rFonts w:ascii="宋体"/>
                <w:w w:val="99"/>
                <w:sz w:val="13"/>
              </w:rPr>
              <w:t> </w:t>
            </w:r>
            <w:r>
              <w:rPr>
                <w:rFonts w:ascii="宋体"/>
                <w:sz w:val="13"/>
              </w:rPr>
            </w:r>
          </w:p>
        </w:tc>
        <w:tc>
          <w:tcPr>
            <w:tcW w:w="3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6"/>
              <w:jc w:val="right"/>
              <w:rPr>
                <w:rFonts w:ascii="宋体" w:hAnsi="宋体" w:cs="宋体" w:eastAsia="宋体" w:hint="default"/>
                <w:sz w:val="13"/>
                <w:szCs w:val="13"/>
              </w:rPr>
            </w:pPr>
            <w:r>
              <w:rPr>
                <w:rFonts w:ascii="宋体"/>
                <w:w w:val="99"/>
                <w:sz w:val="13"/>
              </w:rPr>
              <w:t> </w:t>
            </w:r>
            <w:r>
              <w:rPr>
                <w:rFonts w:ascii="宋体"/>
                <w:sz w:val="13"/>
              </w:rPr>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6"/>
              <w:jc w:val="right"/>
              <w:rPr>
                <w:rFonts w:ascii="宋体" w:hAnsi="宋体" w:cs="宋体" w:eastAsia="宋体" w:hint="default"/>
                <w:sz w:val="13"/>
                <w:szCs w:val="13"/>
              </w:rPr>
            </w:pPr>
            <w:r>
              <w:rPr>
                <w:rFonts w:ascii="宋体"/>
                <w:w w:val="99"/>
                <w:sz w:val="13"/>
              </w:rPr>
              <w:t> </w:t>
            </w:r>
            <w:r>
              <w:rPr>
                <w:rFonts w:ascii="宋体"/>
                <w:sz w:val="13"/>
              </w:rPr>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5"/>
              <w:jc w:val="right"/>
              <w:rPr>
                <w:rFonts w:ascii="宋体" w:hAnsi="宋体" w:cs="宋体" w:eastAsia="宋体" w:hint="default"/>
                <w:sz w:val="13"/>
                <w:szCs w:val="13"/>
              </w:rPr>
            </w:pPr>
            <w:r>
              <w:rPr>
                <w:rFonts w:ascii="宋体"/>
                <w:w w:val="99"/>
                <w:sz w:val="13"/>
              </w:rPr>
              <w:t> </w:t>
            </w:r>
            <w:r>
              <w:rPr>
                <w:rFonts w:ascii="宋体"/>
                <w:sz w:val="13"/>
              </w:rPr>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6"/>
              <w:jc w:val="right"/>
              <w:rPr>
                <w:rFonts w:ascii="宋体" w:hAnsi="宋体" w:cs="宋体" w:eastAsia="宋体" w:hint="default"/>
                <w:sz w:val="13"/>
                <w:szCs w:val="13"/>
              </w:rPr>
            </w:pPr>
            <w:r>
              <w:rPr>
                <w:rFonts w:ascii="宋体"/>
                <w:w w:val="99"/>
                <w:sz w:val="13"/>
              </w:rPr>
              <w:t> </w:t>
            </w:r>
            <w:r>
              <w:rPr>
                <w:rFonts w:ascii="宋体"/>
                <w:sz w:val="13"/>
              </w:rPr>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5"/>
              <w:jc w:val="right"/>
              <w:rPr>
                <w:rFonts w:ascii="宋体" w:hAnsi="宋体" w:cs="宋体" w:eastAsia="宋体" w:hint="default"/>
                <w:sz w:val="13"/>
                <w:szCs w:val="13"/>
              </w:rPr>
            </w:pPr>
            <w:r>
              <w:rPr>
                <w:rFonts w:ascii="宋体"/>
                <w:w w:val="99"/>
                <w:sz w:val="13"/>
              </w:rPr>
              <w:t> </w:t>
            </w:r>
            <w:r>
              <w:rPr>
                <w:rFonts w:ascii="宋体"/>
                <w:sz w:val="13"/>
              </w:rPr>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5"/>
              <w:jc w:val="right"/>
              <w:rPr>
                <w:rFonts w:ascii="宋体" w:hAnsi="宋体" w:cs="宋体" w:eastAsia="宋体" w:hint="default"/>
                <w:sz w:val="13"/>
                <w:szCs w:val="13"/>
              </w:rPr>
            </w:pPr>
            <w:r>
              <w:rPr>
                <w:rFonts w:ascii="宋体"/>
                <w:w w:val="99"/>
                <w:sz w:val="13"/>
              </w:rPr>
              <w:t> </w:t>
            </w:r>
            <w:r>
              <w:rPr>
                <w:rFonts w:ascii="宋体"/>
                <w:sz w:val="13"/>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8"/>
              <w:jc w:val="right"/>
              <w:rPr>
                <w:rFonts w:ascii="宋体" w:hAnsi="宋体" w:cs="宋体" w:eastAsia="宋体" w:hint="default"/>
                <w:sz w:val="13"/>
                <w:szCs w:val="13"/>
              </w:rPr>
            </w:pPr>
            <w:r>
              <w:rPr>
                <w:rFonts w:ascii="宋体"/>
                <w:w w:val="99"/>
                <w:sz w:val="13"/>
              </w:rPr>
              <w:t> </w:t>
            </w:r>
            <w:r>
              <w:rPr>
                <w:rFonts w:ascii="宋体"/>
                <w:sz w:val="13"/>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6"/>
              <w:jc w:val="right"/>
              <w:rPr>
                <w:rFonts w:ascii="宋体" w:hAnsi="宋体" w:cs="宋体" w:eastAsia="宋体" w:hint="default"/>
                <w:sz w:val="13"/>
                <w:szCs w:val="13"/>
              </w:rPr>
            </w:pPr>
            <w:r>
              <w:rPr>
                <w:rFonts w:ascii="宋体"/>
                <w:w w:val="99"/>
                <w:sz w:val="13"/>
              </w:rPr>
              <w:t> </w:t>
            </w:r>
            <w:r>
              <w:rPr>
                <w:rFonts w:ascii="宋体"/>
                <w:sz w:val="13"/>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6"/>
              <w:jc w:val="right"/>
              <w:rPr>
                <w:rFonts w:ascii="宋体" w:hAnsi="宋体" w:cs="宋体" w:eastAsia="宋体" w:hint="default"/>
                <w:sz w:val="13"/>
                <w:szCs w:val="13"/>
              </w:rPr>
            </w:pPr>
            <w:r>
              <w:rPr>
                <w:rFonts w:ascii="宋体"/>
                <w:w w:val="99"/>
                <w:sz w:val="13"/>
              </w:rPr>
              <w:t> </w:t>
            </w:r>
            <w:r>
              <w:rPr>
                <w:rFonts w:ascii="宋体"/>
                <w:sz w:val="13"/>
              </w:rPr>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6"/>
              <w:jc w:val="right"/>
              <w:rPr>
                <w:rFonts w:ascii="宋体" w:hAnsi="宋体" w:cs="宋体" w:eastAsia="宋体" w:hint="default"/>
                <w:sz w:val="13"/>
                <w:szCs w:val="13"/>
              </w:rPr>
            </w:pPr>
            <w:r>
              <w:rPr>
                <w:rFonts w:ascii="宋体"/>
                <w:w w:val="99"/>
                <w:sz w:val="13"/>
              </w:rPr>
              <w:t> </w:t>
            </w:r>
            <w:r>
              <w:rPr>
                <w:rFonts w:ascii="宋体"/>
                <w:sz w:val="13"/>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6"/>
              <w:jc w:val="right"/>
              <w:rPr>
                <w:rFonts w:ascii="宋体" w:hAnsi="宋体" w:cs="宋体" w:eastAsia="宋体" w:hint="default"/>
                <w:sz w:val="13"/>
                <w:szCs w:val="13"/>
              </w:rPr>
            </w:pPr>
            <w:r>
              <w:rPr>
                <w:rFonts w:ascii="宋体"/>
                <w:w w:val="99"/>
                <w:sz w:val="13"/>
              </w:rPr>
              <w:t> </w:t>
            </w:r>
            <w:r>
              <w:rPr>
                <w:rFonts w:ascii="宋体"/>
                <w:sz w:val="13"/>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6"/>
              <w:jc w:val="right"/>
              <w:rPr>
                <w:rFonts w:ascii="宋体" w:hAnsi="宋体" w:cs="宋体" w:eastAsia="宋体" w:hint="default"/>
                <w:sz w:val="13"/>
                <w:szCs w:val="13"/>
              </w:rPr>
            </w:pPr>
            <w:r>
              <w:rPr>
                <w:rFonts w:ascii="宋体"/>
                <w:w w:val="99"/>
                <w:sz w:val="13"/>
              </w:rPr>
              <w:t> </w:t>
            </w:r>
            <w:r>
              <w:rPr>
                <w:rFonts w:ascii="宋体"/>
                <w:sz w:val="13"/>
              </w:rPr>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6"/>
              <w:jc w:val="right"/>
              <w:rPr>
                <w:rFonts w:ascii="宋体" w:hAnsi="宋体" w:cs="宋体" w:eastAsia="宋体" w:hint="default"/>
                <w:sz w:val="13"/>
                <w:szCs w:val="13"/>
              </w:rPr>
            </w:pPr>
            <w:r>
              <w:rPr>
                <w:rFonts w:ascii="宋体"/>
                <w:w w:val="99"/>
                <w:sz w:val="13"/>
              </w:rPr>
              <w:t> </w:t>
            </w:r>
            <w:r>
              <w:rPr>
                <w:rFonts w:ascii="宋体"/>
                <w:sz w:val="13"/>
              </w:rPr>
            </w:r>
          </w:p>
        </w:tc>
      </w:tr>
      <w:tr>
        <w:trPr>
          <w:trHeight w:val="349"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03" w:right="0"/>
              <w:jc w:val="left"/>
              <w:rPr>
                <w:rFonts w:ascii="宋体" w:hAnsi="宋体" w:cs="宋体" w:eastAsia="宋体" w:hint="default"/>
                <w:sz w:val="13"/>
                <w:szCs w:val="13"/>
              </w:rPr>
            </w:pPr>
            <w:r>
              <w:rPr>
                <w:rFonts w:ascii="宋体" w:hAnsi="宋体" w:cs="宋体" w:eastAsia="宋体" w:hint="default"/>
                <w:sz w:val="13"/>
                <w:szCs w:val="13"/>
              </w:rPr>
              <w:t>2</w:t>
            </w:r>
            <w:r>
              <w:rPr>
                <w:rFonts w:ascii="宋体" w:hAnsi="宋体" w:cs="宋体" w:eastAsia="宋体" w:hint="default"/>
                <w:sz w:val="13"/>
                <w:szCs w:val="13"/>
              </w:rPr>
              <w:t>．盈余公积转增资本（或</w:t>
            </w:r>
          </w:p>
          <w:p>
            <w:pPr>
              <w:pStyle w:val="TableParagraph"/>
              <w:spacing w:line="169" w:lineRule="exact"/>
              <w:ind w:left="103" w:right="0"/>
              <w:jc w:val="left"/>
              <w:rPr>
                <w:rFonts w:ascii="宋体" w:hAnsi="宋体" w:cs="宋体" w:eastAsia="宋体" w:hint="default"/>
                <w:sz w:val="13"/>
                <w:szCs w:val="13"/>
              </w:rPr>
            </w:pPr>
            <w:r>
              <w:rPr>
                <w:rFonts w:ascii="宋体" w:hAnsi="宋体" w:cs="宋体" w:eastAsia="宋体" w:hint="default"/>
                <w:sz w:val="13"/>
                <w:szCs w:val="13"/>
              </w:rPr>
              <w:t>股本）</w:t>
            </w:r>
            <w:r>
              <w:rPr>
                <w:rFonts w:ascii="宋体" w:hAnsi="宋体" w:cs="宋体" w:eastAsia="宋体" w:hint="default"/>
                <w:sz w:val="13"/>
                <w:szCs w:val="13"/>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6"/>
              <w:jc w:val="right"/>
              <w:rPr>
                <w:rFonts w:ascii="宋体" w:hAnsi="宋体" w:cs="宋体" w:eastAsia="宋体" w:hint="default"/>
                <w:sz w:val="13"/>
                <w:szCs w:val="13"/>
              </w:rPr>
            </w:pPr>
            <w:r>
              <w:rPr>
                <w:rFonts w:ascii="宋体"/>
                <w:w w:val="99"/>
                <w:sz w:val="13"/>
              </w:rPr>
              <w:t> </w:t>
            </w:r>
            <w:r>
              <w:rPr>
                <w:rFonts w:ascii="宋体"/>
                <w:sz w:val="13"/>
              </w:rPr>
            </w:r>
          </w:p>
        </w:tc>
        <w:tc>
          <w:tcPr>
            <w:tcW w:w="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5"/>
              <w:jc w:val="right"/>
              <w:rPr>
                <w:rFonts w:ascii="宋体" w:hAnsi="宋体" w:cs="宋体" w:eastAsia="宋体" w:hint="default"/>
                <w:sz w:val="13"/>
                <w:szCs w:val="13"/>
              </w:rPr>
            </w:pPr>
            <w:r>
              <w:rPr>
                <w:rFonts w:ascii="宋体"/>
                <w:w w:val="99"/>
                <w:sz w:val="13"/>
              </w:rPr>
              <w:t> </w:t>
            </w:r>
            <w:r>
              <w:rPr>
                <w:rFonts w:ascii="宋体"/>
                <w:sz w:val="13"/>
              </w:rPr>
            </w:r>
          </w:p>
        </w:tc>
        <w:tc>
          <w:tcPr>
            <w:tcW w:w="3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6"/>
              <w:jc w:val="right"/>
              <w:rPr>
                <w:rFonts w:ascii="宋体" w:hAnsi="宋体" w:cs="宋体" w:eastAsia="宋体" w:hint="default"/>
                <w:sz w:val="13"/>
                <w:szCs w:val="13"/>
              </w:rPr>
            </w:pPr>
            <w:r>
              <w:rPr>
                <w:rFonts w:ascii="宋体"/>
                <w:w w:val="99"/>
                <w:sz w:val="13"/>
              </w:rPr>
              <w:t> </w:t>
            </w:r>
            <w:r>
              <w:rPr>
                <w:rFonts w:ascii="宋体"/>
                <w:sz w:val="13"/>
              </w:rPr>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6"/>
              <w:jc w:val="right"/>
              <w:rPr>
                <w:rFonts w:ascii="宋体" w:hAnsi="宋体" w:cs="宋体" w:eastAsia="宋体" w:hint="default"/>
                <w:sz w:val="13"/>
                <w:szCs w:val="13"/>
              </w:rPr>
            </w:pPr>
            <w:r>
              <w:rPr>
                <w:rFonts w:ascii="宋体"/>
                <w:w w:val="99"/>
                <w:sz w:val="13"/>
              </w:rPr>
              <w:t> </w:t>
            </w:r>
            <w:r>
              <w:rPr>
                <w:rFonts w:ascii="宋体"/>
                <w:sz w:val="13"/>
              </w:rPr>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5"/>
              <w:jc w:val="right"/>
              <w:rPr>
                <w:rFonts w:ascii="宋体" w:hAnsi="宋体" w:cs="宋体" w:eastAsia="宋体" w:hint="default"/>
                <w:sz w:val="13"/>
                <w:szCs w:val="13"/>
              </w:rPr>
            </w:pPr>
            <w:r>
              <w:rPr>
                <w:rFonts w:ascii="宋体"/>
                <w:w w:val="99"/>
                <w:sz w:val="13"/>
              </w:rPr>
              <w:t> </w:t>
            </w:r>
            <w:r>
              <w:rPr>
                <w:rFonts w:ascii="宋体"/>
                <w:sz w:val="13"/>
              </w:rPr>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6"/>
              <w:jc w:val="right"/>
              <w:rPr>
                <w:rFonts w:ascii="宋体" w:hAnsi="宋体" w:cs="宋体" w:eastAsia="宋体" w:hint="default"/>
                <w:sz w:val="13"/>
                <w:szCs w:val="13"/>
              </w:rPr>
            </w:pPr>
            <w:r>
              <w:rPr>
                <w:rFonts w:ascii="宋体"/>
                <w:w w:val="99"/>
                <w:sz w:val="13"/>
              </w:rPr>
              <w:t> </w:t>
            </w:r>
            <w:r>
              <w:rPr>
                <w:rFonts w:ascii="宋体"/>
                <w:sz w:val="13"/>
              </w:rPr>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5"/>
              <w:jc w:val="right"/>
              <w:rPr>
                <w:rFonts w:ascii="宋体" w:hAnsi="宋体" w:cs="宋体" w:eastAsia="宋体" w:hint="default"/>
                <w:sz w:val="13"/>
                <w:szCs w:val="13"/>
              </w:rPr>
            </w:pPr>
            <w:r>
              <w:rPr>
                <w:rFonts w:ascii="宋体"/>
                <w:w w:val="99"/>
                <w:sz w:val="13"/>
              </w:rPr>
              <w:t> </w:t>
            </w:r>
            <w:r>
              <w:rPr>
                <w:rFonts w:ascii="宋体"/>
                <w:sz w:val="13"/>
              </w:rPr>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5"/>
              <w:jc w:val="right"/>
              <w:rPr>
                <w:rFonts w:ascii="宋体" w:hAnsi="宋体" w:cs="宋体" w:eastAsia="宋体" w:hint="default"/>
                <w:sz w:val="13"/>
                <w:szCs w:val="13"/>
              </w:rPr>
            </w:pPr>
            <w:r>
              <w:rPr>
                <w:rFonts w:ascii="宋体"/>
                <w:w w:val="99"/>
                <w:sz w:val="13"/>
              </w:rPr>
              <w:t> </w:t>
            </w:r>
            <w:r>
              <w:rPr>
                <w:rFonts w:ascii="宋体"/>
                <w:sz w:val="13"/>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8"/>
              <w:jc w:val="right"/>
              <w:rPr>
                <w:rFonts w:ascii="宋体" w:hAnsi="宋体" w:cs="宋体" w:eastAsia="宋体" w:hint="default"/>
                <w:sz w:val="13"/>
                <w:szCs w:val="13"/>
              </w:rPr>
            </w:pPr>
            <w:r>
              <w:rPr>
                <w:rFonts w:ascii="宋体"/>
                <w:w w:val="99"/>
                <w:sz w:val="13"/>
              </w:rPr>
              <w:t> </w:t>
            </w:r>
            <w:r>
              <w:rPr>
                <w:rFonts w:ascii="宋体"/>
                <w:sz w:val="13"/>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6"/>
              <w:jc w:val="right"/>
              <w:rPr>
                <w:rFonts w:ascii="宋体" w:hAnsi="宋体" w:cs="宋体" w:eastAsia="宋体" w:hint="default"/>
                <w:sz w:val="13"/>
                <w:szCs w:val="13"/>
              </w:rPr>
            </w:pPr>
            <w:r>
              <w:rPr>
                <w:rFonts w:ascii="宋体"/>
                <w:w w:val="99"/>
                <w:sz w:val="13"/>
              </w:rPr>
              <w:t> </w:t>
            </w:r>
            <w:r>
              <w:rPr>
                <w:rFonts w:ascii="宋体"/>
                <w:sz w:val="13"/>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6"/>
              <w:jc w:val="right"/>
              <w:rPr>
                <w:rFonts w:ascii="宋体" w:hAnsi="宋体" w:cs="宋体" w:eastAsia="宋体" w:hint="default"/>
                <w:sz w:val="13"/>
                <w:szCs w:val="13"/>
              </w:rPr>
            </w:pPr>
            <w:r>
              <w:rPr>
                <w:rFonts w:ascii="宋体"/>
                <w:w w:val="99"/>
                <w:sz w:val="13"/>
              </w:rPr>
              <w:t> </w:t>
            </w:r>
            <w:r>
              <w:rPr>
                <w:rFonts w:ascii="宋体"/>
                <w:sz w:val="13"/>
              </w:rPr>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6"/>
              <w:jc w:val="right"/>
              <w:rPr>
                <w:rFonts w:ascii="宋体" w:hAnsi="宋体" w:cs="宋体" w:eastAsia="宋体" w:hint="default"/>
                <w:sz w:val="13"/>
                <w:szCs w:val="13"/>
              </w:rPr>
            </w:pPr>
            <w:r>
              <w:rPr>
                <w:rFonts w:ascii="宋体"/>
                <w:w w:val="99"/>
                <w:sz w:val="13"/>
              </w:rPr>
              <w:t> </w:t>
            </w:r>
            <w:r>
              <w:rPr>
                <w:rFonts w:ascii="宋体"/>
                <w:sz w:val="13"/>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6"/>
              <w:jc w:val="right"/>
              <w:rPr>
                <w:rFonts w:ascii="宋体" w:hAnsi="宋体" w:cs="宋体" w:eastAsia="宋体" w:hint="default"/>
                <w:sz w:val="13"/>
                <w:szCs w:val="13"/>
              </w:rPr>
            </w:pPr>
            <w:r>
              <w:rPr>
                <w:rFonts w:ascii="宋体"/>
                <w:w w:val="99"/>
                <w:sz w:val="13"/>
              </w:rPr>
              <w:t> </w:t>
            </w:r>
            <w:r>
              <w:rPr>
                <w:rFonts w:ascii="宋体"/>
                <w:sz w:val="13"/>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6"/>
              <w:jc w:val="right"/>
              <w:rPr>
                <w:rFonts w:ascii="宋体" w:hAnsi="宋体" w:cs="宋体" w:eastAsia="宋体" w:hint="default"/>
                <w:sz w:val="13"/>
                <w:szCs w:val="13"/>
              </w:rPr>
            </w:pPr>
            <w:r>
              <w:rPr>
                <w:rFonts w:ascii="宋体"/>
                <w:w w:val="99"/>
                <w:sz w:val="13"/>
              </w:rPr>
              <w:t> </w:t>
            </w:r>
            <w:r>
              <w:rPr>
                <w:rFonts w:ascii="宋体"/>
                <w:sz w:val="13"/>
              </w:rPr>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6"/>
              <w:jc w:val="right"/>
              <w:rPr>
                <w:rFonts w:ascii="宋体" w:hAnsi="宋体" w:cs="宋体" w:eastAsia="宋体" w:hint="default"/>
                <w:sz w:val="13"/>
                <w:szCs w:val="13"/>
              </w:rPr>
            </w:pPr>
            <w:r>
              <w:rPr>
                <w:rFonts w:ascii="宋体"/>
                <w:w w:val="99"/>
                <w:sz w:val="13"/>
              </w:rPr>
              <w:t> </w:t>
            </w:r>
            <w:r>
              <w:rPr>
                <w:rFonts w:ascii="宋体"/>
                <w:sz w:val="13"/>
              </w:rPr>
            </w:r>
          </w:p>
        </w:tc>
      </w:tr>
      <w:tr>
        <w:trPr>
          <w:trHeight w:val="178"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03" w:right="0"/>
              <w:jc w:val="left"/>
              <w:rPr>
                <w:rFonts w:ascii="宋体" w:hAnsi="宋体" w:cs="宋体" w:eastAsia="宋体" w:hint="default"/>
                <w:sz w:val="13"/>
                <w:szCs w:val="13"/>
              </w:rPr>
            </w:pPr>
            <w:r>
              <w:rPr>
                <w:rFonts w:ascii="宋体" w:hAnsi="宋体" w:cs="宋体" w:eastAsia="宋体" w:hint="default"/>
                <w:sz w:val="13"/>
                <w:szCs w:val="13"/>
              </w:rPr>
              <w:t>3</w:t>
            </w:r>
            <w:r>
              <w:rPr>
                <w:rFonts w:ascii="宋体" w:hAnsi="宋体" w:cs="宋体" w:eastAsia="宋体" w:hint="default"/>
                <w:sz w:val="13"/>
                <w:szCs w:val="13"/>
              </w:rPr>
              <w:t>．盈余公积弥补亏损</w:t>
            </w:r>
            <w:r>
              <w:rPr>
                <w:rFonts w:ascii="宋体" w:hAnsi="宋体" w:cs="宋体" w:eastAsia="宋体" w:hint="default"/>
                <w:sz w:val="13"/>
                <w:szCs w:val="13"/>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312"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353"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8"/>
              <w:jc w:val="right"/>
              <w:rPr>
                <w:rFonts w:ascii="宋体" w:hAnsi="宋体" w:cs="宋体" w:eastAsia="宋体" w:hint="default"/>
                <w:sz w:val="13"/>
                <w:szCs w:val="13"/>
              </w:rPr>
            </w:pPr>
            <w:r>
              <w:rPr>
                <w:rFonts w:ascii="宋体"/>
                <w:w w:val="99"/>
                <w:sz w:val="13"/>
              </w:rPr>
              <w:t> </w:t>
            </w:r>
            <w:r>
              <w:rPr>
                <w:rFonts w:ascii="宋体"/>
                <w:sz w:val="13"/>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r>
      <w:tr>
        <w:trPr>
          <w:trHeight w:val="348"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144" w:lineRule="exact"/>
              <w:ind w:left="103" w:right="0"/>
              <w:jc w:val="left"/>
              <w:rPr>
                <w:rFonts w:ascii="宋体" w:hAnsi="宋体" w:cs="宋体" w:eastAsia="宋体" w:hint="default"/>
                <w:sz w:val="13"/>
                <w:szCs w:val="13"/>
              </w:rPr>
            </w:pPr>
            <w:r>
              <w:rPr>
                <w:rFonts w:ascii="宋体" w:hAnsi="宋体" w:cs="宋体" w:eastAsia="宋体" w:hint="default"/>
                <w:sz w:val="13"/>
                <w:szCs w:val="13"/>
              </w:rPr>
              <w:t>4</w:t>
            </w:r>
            <w:r>
              <w:rPr>
                <w:rFonts w:ascii="宋体" w:hAnsi="宋体" w:cs="宋体" w:eastAsia="宋体" w:hint="default"/>
                <w:sz w:val="13"/>
                <w:szCs w:val="13"/>
              </w:rPr>
              <w:t>．设定受益计划变动额结</w:t>
            </w:r>
          </w:p>
          <w:p>
            <w:pPr>
              <w:pStyle w:val="TableParagraph"/>
              <w:spacing w:line="169" w:lineRule="exact"/>
              <w:ind w:left="103" w:right="0"/>
              <w:jc w:val="left"/>
              <w:rPr>
                <w:rFonts w:ascii="宋体" w:hAnsi="宋体" w:cs="宋体" w:eastAsia="宋体" w:hint="default"/>
                <w:sz w:val="13"/>
                <w:szCs w:val="13"/>
              </w:rPr>
            </w:pPr>
            <w:r>
              <w:rPr>
                <w:rFonts w:ascii="宋体" w:hAnsi="宋体" w:cs="宋体" w:eastAsia="宋体" w:hint="default"/>
                <w:sz w:val="13"/>
                <w:szCs w:val="13"/>
              </w:rPr>
              <w:t>转留存收益</w:t>
            </w:r>
            <w:r>
              <w:rPr>
                <w:rFonts w:ascii="宋体" w:hAnsi="宋体" w:cs="宋体" w:eastAsia="宋体" w:hint="default"/>
                <w:sz w:val="13"/>
                <w:szCs w:val="13"/>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36"/>
              <w:jc w:val="right"/>
              <w:rPr>
                <w:rFonts w:ascii="宋体" w:hAnsi="宋体" w:cs="宋体" w:eastAsia="宋体" w:hint="default"/>
                <w:sz w:val="13"/>
                <w:szCs w:val="13"/>
              </w:rPr>
            </w:pPr>
            <w:r>
              <w:rPr>
                <w:rFonts w:ascii="宋体"/>
                <w:w w:val="99"/>
                <w:sz w:val="13"/>
              </w:rPr>
              <w:t> </w:t>
            </w:r>
            <w:r>
              <w:rPr>
                <w:rFonts w:ascii="宋体"/>
                <w:sz w:val="13"/>
              </w:rPr>
            </w:r>
          </w:p>
        </w:tc>
        <w:tc>
          <w:tcPr>
            <w:tcW w:w="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35"/>
              <w:jc w:val="right"/>
              <w:rPr>
                <w:rFonts w:ascii="宋体" w:hAnsi="宋体" w:cs="宋体" w:eastAsia="宋体" w:hint="default"/>
                <w:sz w:val="13"/>
                <w:szCs w:val="13"/>
              </w:rPr>
            </w:pPr>
            <w:r>
              <w:rPr>
                <w:rFonts w:ascii="宋体"/>
                <w:w w:val="99"/>
                <w:sz w:val="13"/>
              </w:rPr>
              <w:t> </w:t>
            </w:r>
            <w:r>
              <w:rPr>
                <w:rFonts w:ascii="宋体"/>
                <w:sz w:val="13"/>
              </w:rPr>
            </w:r>
          </w:p>
        </w:tc>
        <w:tc>
          <w:tcPr>
            <w:tcW w:w="3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36"/>
              <w:jc w:val="right"/>
              <w:rPr>
                <w:rFonts w:ascii="宋体" w:hAnsi="宋体" w:cs="宋体" w:eastAsia="宋体" w:hint="default"/>
                <w:sz w:val="13"/>
                <w:szCs w:val="13"/>
              </w:rPr>
            </w:pPr>
            <w:r>
              <w:rPr>
                <w:rFonts w:ascii="宋体"/>
                <w:w w:val="99"/>
                <w:sz w:val="13"/>
              </w:rPr>
              <w:t> </w:t>
            </w:r>
            <w:r>
              <w:rPr>
                <w:rFonts w:ascii="宋体"/>
                <w:sz w:val="13"/>
              </w:rPr>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36"/>
              <w:jc w:val="right"/>
              <w:rPr>
                <w:rFonts w:ascii="宋体" w:hAnsi="宋体" w:cs="宋体" w:eastAsia="宋体" w:hint="default"/>
                <w:sz w:val="13"/>
                <w:szCs w:val="13"/>
              </w:rPr>
            </w:pPr>
            <w:r>
              <w:rPr>
                <w:rFonts w:ascii="宋体"/>
                <w:w w:val="99"/>
                <w:sz w:val="13"/>
              </w:rPr>
              <w:t> </w:t>
            </w:r>
            <w:r>
              <w:rPr>
                <w:rFonts w:ascii="宋体"/>
                <w:sz w:val="13"/>
              </w:rPr>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35"/>
              <w:jc w:val="right"/>
              <w:rPr>
                <w:rFonts w:ascii="宋体" w:hAnsi="宋体" w:cs="宋体" w:eastAsia="宋体" w:hint="default"/>
                <w:sz w:val="13"/>
                <w:szCs w:val="13"/>
              </w:rPr>
            </w:pPr>
            <w:r>
              <w:rPr>
                <w:rFonts w:ascii="宋体"/>
                <w:w w:val="99"/>
                <w:sz w:val="13"/>
              </w:rPr>
              <w:t> </w:t>
            </w:r>
            <w:r>
              <w:rPr>
                <w:rFonts w:ascii="宋体"/>
                <w:sz w:val="13"/>
              </w:rPr>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36"/>
              <w:jc w:val="right"/>
              <w:rPr>
                <w:rFonts w:ascii="宋体" w:hAnsi="宋体" w:cs="宋体" w:eastAsia="宋体" w:hint="default"/>
                <w:sz w:val="13"/>
                <w:szCs w:val="13"/>
              </w:rPr>
            </w:pPr>
            <w:r>
              <w:rPr>
                <w:rFonts w:ascii="宋体"/>
                <w:w w:val="99"/>
                <w:sz w:val="13"/>
              </w:rPr>
              <w:t> </w:t>
            </w:r>
            <w:r>
              <w:rPr>
                <w:rFonts w:ascii="宋体"/>
                <w:sz w:val="13"/>
              </w:rPr>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35"/>
              <w:jc w:val="right"/>
              <w:rPr>
                <w:rFonts w:ascii="宋体" w:hAnsi="宋体" w:cs="宋体" w:eastAsia="宋体" w:hint="default"/>
                <w:sz w:val="13"/>
                <w:szCs w:val="13"/>
              </w:rPr>
            </w:pPr>
            <w:r>
              <w:rPr>
                <w:rFonts w:ascii="宋体"/>
                <w:w w:val="99"/>
                <w:sz w:val="13"/>
              </w:rPr>
              <w:t> </w:t>
            </w:r>
            <w:r>
              <w:rPr>
                <w:rFonts w:ascii="宋体"/>
                <w:sz w:val="13"/>
              </w:rPr>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35"/>
              <w:jc w:val="right"/>
              <w:rPr>
                <w:rFonts w:ascii="宋体" w:hAnsi="宋体" w:cs="宋体" w:eastAsia="宋体" w:hint="default"/>
                <w:sz w:val="13"/>
                <w:szCs w:val="13"/>
              </w:rPr>
            </w:pPr>
            <w:r>
              <w:rPr>
                <w:rFonts w:ascii="宋体"/>
                <w:w w:val="99"/>
                <w:sz w:val="13"/>
              </w:rPr>
              <w:t> </w:t>
            </w:r>
            <w:r>
              <w:rPr>
                <w:rFonts w:ascii="宋体"/>
                <w:sz w:val="13"/>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38"/>
              <w:jc w:val="right"/>
              <w:rPr>
                <w:rFonts w:ascii="宋体" w:hAnsi="宋体" w:cs="宋体" w:eastAsia="宋体" w:hint="default"/>
                <w:sz w:val="13"/>
                <w:szCs w:val="13"/>
              </w:rPr>
            </w:pPr>
            <w:r>
              <w:rPr>
                <w:rFonts w:ascii="宋体"/>
                <w:w w:val="99"/>
                <w:sz w:val="13"/>
              </w:rPr>
              <w:t> </w:t>
            </w:r>
            <w:r>
              <w:rPr>
                <w:rFonts w:ascii="宋体"/>
                <w:sz w:val="13"/>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36"/>
              <w:jc w:val="right"/>
              <w:rPr>
                <w:rFonts w:ascii="宋体" w:hAnsi="宋体" w:cs="宋体" w:eastAsia="宋体" w:hint="default"/>
                <w:sz w:val="13"/>
                <w:szCs w:val="13"/>
              </w:rPr>
            </w:pPr>
            <w:r>
              <w:rPr>
                <w:rFonts w:ascii="宋体"/>
                <w:w w:val="99"/>
                <w:sz w:val="13"/>
              </w:rPr>
              <w:t> </w:t>
            </w:r>
            <w:r>
              <w:rPr>
                <w:rFonts w:ascii="宋体"/>
                <w:sz w:val="13"/>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36"/>
              <w:jc w:val="right"/>
              <w:rPr>
                <w:rFonts w:ascii="宋体" w:hAnsi="宋体" w:cs="宋体" w:eastAsia="宋体" w:hint="default"/>
                <w:sz w:val="13"/>
                <w:szCs w:val="13"/>
              </w:rPr>
            </w:pPr>
            <w:r>
              <w:rPr>
                <w:rFonts w:ascii="宋体"/>
                <w:w w:val="99"/>
                <w:sz w:val="13"/>
              </w:rPr>
              <w:t> </w:t>
            </w:r>
            <w:r>
              <w:rPr>
                <w:rFonts w:ascii="宋体"/>
                <w:sz w:val="13"/>
              </w:rPr>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36"/>
              <w:jc w:val="right"/>
              <w:rPr>
                <w:rFonts w:ascii="宋体" w:hAnsi="宋体" w:cs="宋体" w:eastAsia="宋体" w:hint="default"/>
                <w:sz w:val="13"/>
                <w:szCs w:val="13"/>
              </w:rPr>
            </w:pPr>
            <w:r>
              <w:rPr>
                <w:rFonts w:ascii="宋体"/>
                <w:w w:val="99"/>
                <w:sz w:val="13"/>
              </w:rPr>
              <w:t> </w:t>
            </w:r>
            <w:r>
              <w:rPr>
                <w:rFonts w:ascii="宋体"/>
                <w:sz w:val="13"/>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36"/>
              <w:jc w:val="right"/>
              <w:rPr>
                <w:rFonts w:ascii="宋体" w:hAnsi="宋体" w:cs="宋体" w:eastAsia="宋体" w:hint="default"/>
                <w:sz w:val="13"/>
                <w:szCs w:val="13"/>
              </w:rPr>
            </w:pPr>
            <w:r>
              <w:rPr>
                <w:rFonts w:ascii="宋体"/>
                <w:w w:val="99"/>
                <w:sz w:val="13"/>
              </w:rPr>
              <w:t> </w:t>
            </w:r>
            <w:r>
              <w:rPr>
                <w:rFonts w:ascii="宋体"/>
                <w:sz w:val="13"/>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36"/>
              <w:jc w:val="right"/>
              <w:rPr>
                <w:rFonts w:ascii="宋体" w:hAnsi="宋体" w:cs="宋体" w:eastAsia="宋体" w:hint="default"/>
                <w:sz w:val="13"/>
                <w:szCs w:val="13"/>
              </w:rPr>
            </w:pPr>
            <w:r>
              <w:rPr>
                <w:rFonts w:ascii="宋体"/>
                <w:w w:val="99"/>
                <w:sz w:val="13"/>
              </w:rPr>
              <w:t> </w:t>
            </w:r>
            <w:r>
              <w:rPr>
                <w:rFonts w:ascii="宋体"/>
                <w:sz w:val="13"/>
              </w:rPr>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36"/>
              <w:jc w:val="right"/>
              <w:rPr>
                <w:rFonts w:ascii="宋体" w:hAnsi="宋体" w:cs="宋体" w:eastAsia="宋体" w:hint="default"/>
                <w:sz w:val="13"/>
                <w:szCs w:val="13"/>
              </w:rPr>
            </w:pPr>
            <w:r>
              <w:rPr>
                <w:rFonts w:ascii="宋体"/>
                <w:w w:val="99"/>
                <w:sz w:val="13"/>
              </w:rPr>
              <w:t> </w:t>
            </w:r>
            <w:r>
              <w:rPr>
                <w:rFonts w:ascii="宋体"/>
                <w:sz w:val="13"/>
              </w:rPr>
            </w:r>
          </w:p>
        </w:tc>
      </w:tr>
      <w:tr>
        <w:trPr>
          <w:trHeight w:val="178"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03" w:right="0"/>
              <w:jc w:val="left"/>
              <w:rPr>
                <w:rFonts w:ascii="宋体" w:hAnsi="宋体" w:cs="宋体" w:eastAsia="宋体" w:hint="default"/>
                <w:sz w:val="13"/>
                <w:szCs w:val="13"/>
              </w:rPr>
            </w:pPr>
            <w:r>
              <w:rPr>
                <w:rFonts w:ascii="宋体" w:hAnsi="宋体" w:cs="宋体" w:eastAsia="宋体" w:hint="default"/>
                <w:sz w:val="13"/>
                <w:szCs w:val="13"/>
              </w:rPr>
              <w:t>5</w:t>
            </w:r>
            <w:r>
              <w:rPr>
                <w:rFonts w:ascii="宋体" w:hAnsi="宋体" w:cs="宋体" w:eastAsia="宋体" w:hint="default"/>
                <w:sz w:val="13"/>
                <w:szCs w:val="13"/>
              </w:rPr>
              <w:t>．其他综合收益结转留存</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312"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353"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8"/>
              <w:jc w:val="right"/>
              <w:rPr>
                <w:rFonts w:ascii="宋体" w:hAnsi="宋体" w:cs="宋体" w:eastAsia="宋体" w:hint="default"/>
                <w:sz w:val="13"/>
                <w:szCs w:val="13"/>
              </w:rPr>
            </w:pPr>
            <w:r>
              <w:rPr>
                <w:rFonts w:ascii="宋体"/>
                <w:w w:val="99"/>
                <w:sz w:val="13"/>
              </w:rPr>
              <w:t> </w:t>
            </w:r>
            <w:r>
              <w:rPr>
                <w:rFonts w:ascii="宋体"/>
                <w:sz w:val="13"/>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r>
    </w:tbl>
    <w:p>
      <w:pPr>
        <w:spacing w:after="0" w:line="145" w:lineRule="exact"/>
        <w:jc w:val="right"/>
        <w:rPr>
          <w:rFonts w:ascii="宋体" w:hAnsi="宋体" w:cs="宋体" w:eastAsia="宋体" w:hint="default"/>
          <w:sz w:val="13"/>
          <w:szCs w:val="13"/>
        </w:rPr>
        <w:sectPr>
          <w:type w:val="continuous"/>
          <w:pgSz w:w="16840" w:h="11910" w:orient="landscape"/>
          <w:pgMar w:top="1580" w:bottom="280" w:left="340" w:right="240"/>
        </w:sectPr>
      </w:pPr>
    </w:p>
    <w:p>
      <w:pPr>
        <w:spacing w:line="240" w:lineRule="auto" w:before="5"/>
        <w:rPr>
          <w:rFonts w:ascii="宋体" w:hAnsi="宋体" w:cs="宋体" w:eastAsia="宋体" w:hint="default"/>
          <w:sz w:val="10"/>
          <w:szCs w:val="10"/>
        </w:rPr>
      </w:pPr>
    </w:p>
    <w:tbl>
      <w:tblPr>
        <w:tblW w:w="0" w:type="auto"/>
        <w:jc w:val="left"/>
        <w:tblInd w:w="306" w:type="dxa"/>
        <w:tblLayout w:type="fixed"/>
        <w:tblCellMar>
          <w:top w:w="0" w:type="dxa"/>
          <w:left w:w="0" w:type="dxa"/>
          <w:bottom w:w="0" w:type="dxa"/>
          <w:right w:w="0" w:type="dxa"/>
        </w:tblCellMar>
        <w:tblLook w:val="01E0"/>
      </w:tblPr>
      <w:tblGrid>
        <w:gridCol w:w="1702"/>
        <w:gridCol w:w="1274"/>
        <w:gridCol w:w="312"/>
        <w:gridCol w:w="353"/>
        <w:gridCol w:w="1157"/>
        <w:gridCol w:w="1287"/>
        <w:gridCol w:w="1154"/>
        <w:gridCol w:w="1018"/>
        <w:gridCol w:w="533"/>
        <w:gridCol w:w="1135"/>
        <w:gridCol w:w="566"/>
        <w:gridCol w:w="1274"/>
        <w:gridCol w:w="286"/>
        <w:gridCol w:w="1416"/>
        <w:gridCol w:w="1133"/>
        <w:gridCol w:w="1421"/>
      </w:tblGrid>
      <w:tr>
        <w:trPr>
          <w:trHeight w:val="178"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146" w:lineRule="exact"/>
              <w:ind w:left="103" w:right="0"/>
              <w:jc w:val="left"/>
              <w:rPr>
                <w:rFonts w:ascii="宋体" w:hAnsi="宋体" w:cs="宋体" w:eastAsia="宋体" w:hint="default"/>
                <w:sz w:val="13"/>
                <w:szCs w:val="13"/>
              </w:rPr>
            </w:pPr>
            <w:r>
              <w:rPr>
                <w:rFonts w:ascii="宋体" w:hAnsi="宋体" w:cs="宋体" w:eastAsia="宋体" w:hint="default"/>
                <w:sz w:val="13"/>
                <w:szCs w:val="13"/>
              </w:rPr>
              <w:t>收益</w:t>
            </w:r>
            <w:r>
              <w:rPr>
                <w:rFonts w:ascii="宋体" w:hAnsi="宋体" w:cs="宋体" w:eastAsia="宋体" w:hint="default"/>
                <w:sz w:val="13"/>
                <w:szCs w:val="13"/>
              </w:rPr>
              <w:t> </w:t>
            </w:r>
          </w:p>
        </w:tc>
        <w:tc>
          <w:tcPr>
            <w:tcW w:w="1274" w:type="dxa"/>
            <w:tcBorders>
              <w:top w:val="single" w:sz="4" w:space="0" w:color="000000"/>
              <w:left w:val="single" w:sz="4" w:space="0" w:color="000000"/>
              <w:bottom w:val="single" w:sz="4" w:space="0" w:color="000000"/>
              <w:right w:val="single" w:sz="4" w:space="0" w:color="000000"/>
            </w:tcBorders>
          </w:tcPr>
          <w:p>
            <w:pPr/>
          </w:p>
        </w:tc>
        <w:tc>
          <w:tcPr>
            <w:tcW w:w="312" w:type="dxa"/>
            <w:tcBorders>
              <w:top w:val="single" w:sz="4" w:space="0" w:color="000000"/>
              <w:left w:val="single" w:sz="4" w:space="0" w:color="000000"/>
              <w:bottom w:val="single" w:sz="4" w:space="0" w:color="000000"/>
              <w:right w:val="single" w:sz="4" w:space="0" w:color="000000"/>
            </w:tcBorders>
          </w:tcPr>
          <w:p>
            <w:pPr/>
          </w:p>
        </w:tc>
        <w:tc>
          <w:tcPr>
            <w:tcW w:w="353"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
        </w:tc>
        <w:tc>
          <w:tcPr>
            <w:tcW w:w="1287"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r>
      <w:tr>
        <w:trPr>
          <w:trHeight w:val="178"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03" w:right="0"/>
              <w:jc w:val="left"/>
              <w:rPr>
                <w:rFonts w:ascii="宋体" w:hAnsi="宋体" w:cs="宋体" w:eastAsia="宋体" w:hint="default"/>
                <w:sz w:val="13"/>
                <w:szCs w:val="13"/>
              </w:rPr>
            </w:pPr>
            <w:r>
              <w:rPr>
                <w:rFonts w:ascii="宋体" w:hAnsi="宋体" w:cs="宋体" w:eastAsia="宋体" w:hint="default"/>
                <w:sz w:val="13"/>
                <w:szCs w:val="13"/>
              </w:rPr>
              <w:t>6</w:t>
            </w:r>
            <w:r>
              <w:rPr>
                <w:rFonts w:ascii="宋体" w:hAnsi="宋体" w:cs="宋体" w:eastAsia="宋体" w:hint="default"/>
                <w:sz w:val="13"/>
                <w:szCs w:val="13"/>
              </w:rPr>
              <w:t>．其他</w:t>
            </w:r>
            <w:r>
              <w:rPr>
                <w:rFonts w:ascii="宋体" w:hAnsi="宋体" w:cs="宋体" w:eastAsia="宋体" w:hint="default"/>
                <w:sz w:val="13"/>
                <w:szCs w:val="13"/>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312"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353"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8"/>
              <w:jc w:val="right"/>
              <w:rPr>
                <w:rFonts w:ascii="宋体" w:hAnsi="宋体" w:cs="宋体" w:eastAsia="宋体" w:hint="default"/>
                <w:sz w:val="13"/>
                <w:szCs w:val="13"/>
              </w:rPr>
            </w:pPr>
            <w:r>
              <w:rPr>
                <w:rFonts w:ascii="宋体"/>
                <w:w w:val="99"/>
                <w:sz w:val="13"/>
              </w:rPr>
              <w:t> </w:t>
            </w:r>
            <w:r>
              <w:rPr>
                <w:rFonts w:ascii="宋体"/>
                <w:sz w:val="13"/>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r>
      <w:tr>
        <w:trPr>
          <w:trHeight w:val="180"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left="103" w:right="0"/>
              <w:jc w:val="left"/>
              <w:rPr>
                <w:rFonts w:ascii="宋体" w:hAnsi="宋体" w:cs="宋体" w:eastAsia="宋体" w:hint="default"/>
                <w:sz w:val="13"/>
                <w:szCs w:val="13"/>
              </w:rPr>
            </w:pPr>
            <w:r>
              <w:rPr>
                <w:rFonts w:ascii="宋体" w:hAnsi="宋体" w:cs="宋体" w:eastAsia="宋体" w:hint="default"/>
                <w:sz w:val="13"/>
                <w:szCs w:val="13"/>
              </w:rPr>
              <w:t>（五）专项储备</w:t>
            </w:r>
            <w:r>
              <w:rPr>
                <w:rFonts w:ascii="宋体" w:hAnsi="宋体" w:cs="宋体" w:eastAsia="宋体" w:hint="default"/>
                <w:sz w:val="13"/>
                <w:szCs w:val="13"/>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312"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353"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38"/>
              <w:jc w:val="right"/>
              <w:rPr>
                <w:rFonts w:ascii="宋体" w:hAnsi="宋体" w:cs="宋体" w:eastAsia="宋体" w:hint="default"/>
                <w:sz w:val="13"/>
                <w:szCs w:val="13"/>
              </w:rPr>
            </w:pPr>
            <w:r>
              <w:rPr>
                <w:rFonts w:ascii="宋体"/>
                <w:w w:val="99"/>
                <w:sz w:val="13"/>
              </w:rPr>
              <w:t> </w:t>
            </w:r>
            <w:r>
              <w:rPr>
                <w:rFonts w:ascii="宋体"/>
                <w:sz w:val="13"/>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36"/>
              <w:jc w:val="right"/>
              <w:rPr>
                <w:rFonts w:ascii="宋体" w:hAnsi="宋体" w:cs="宋体" w:eastAsia="宋体" w:hint="default"/>
                <w:sz w:val="13"/>
                <w:szCs w:val="13"/>
              </w:rPr>
            </w:pPr>
            <w:r>
              <w:rPr>
                <w:rFonts w:ascii="宋体"/>
                <w:w w:val="99"/>
                <w:sz w:val="13"/>
              </w:rPr>
              <w:t> </w:t>
            </w:r>
            <w:r>
              <w:rPr>
                <w:rFonts w:ascii="宋体"/>
                <w:sz w:val="13"/>
              </w:rPr>
            </w:r>
          </w:p>
        </w:tc>
      </w:tr>
      <w:tr>
        <w:trPr>
          <w:trHeight w:val="178"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03" w:right="0"/>
              <w:jc w:val="left"/>
              <w:rPr>
                <w:rFonts w:ascii="宋体" w:hAnsi="宋体" w:cs="宋体" w:eastAsia="宋体" w:hint="default"/>
                <w:sz w:val="13"/>
                <w:szCs w:val="13"/>
              </w:rPr>
            </w:pPr>
            <w:r>
              <w:rPr>
                <w:rFonts w:ascii="宋体" w:hAnsi="宋体" w:cs="宋体" w:eastAsia="宋体" w:hint="default"/>
                <w:sz w:val="13"/>
                <w:szCs w:val="13"/>
              </w:rPr>
              <w:t>1</w:t>
            </w:r>
            <w:r>
              <w:rPr>
                <w:rFonts w:ascii="宋体" w:hAnsi="宋体" w:cs="宋体" w:eastAsia="宋体" w:hint="default"/>
                <w:sz w:val="13"/>
                <w:szCs w:val="13"/>
              </w:rPr>
              <w:t>．本期提取</w:t>
            </w:r>
            <w:r>
              <w:rPr>
                <w:rFonts w:ascii="宋体" w:hAnsi="宋体" w:cs="宋体" w:eastAsia="宋体" w:hint="default"/>
                <w:sz w:val="13"/>
                <w:szCs w:val="13"/>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312"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353"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8"/>
              <w:jc w:val="right"/>
              <w:rPr>
                <w:rFonts w:ascii="宋体" w:hAnsi="宋体" w:cs="宋体" w:eastAsia="宋体" w:hint="default"/>
                <w:sz w:val="13"/>
                <w:szCs w:val="13"/>
              </w:rPr>
            </w:pPr>
            <w:r>
              <w:rPr>
                <w:rFonts w:ascii="宋体"/>
                <w:w w:val="99"/>
                <w:sz w:val="13"/>
              </w:rPr>
              <w:t> </w:t>
            </w:r>
            <w:r>
              <w:rPr>
                <w:rFonts w:ascii="宋体"/>
                <w:sz w:val="13"/>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r>
      <w:tr>
        <w:trPr>
          <w:trHeight w:val="180"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03" w:right="0"/>
              <w:jc w:val="left"/>
              <w:rPr>
                <w:rFonts w:ascii="宋体" w:hAnsi="宋体" w:cs="宋体" w:eastAsia="宋体" w:hint="default"/>
                <w:sz w:val="13"/>
                <w:szCs w:val="13"/>
              </w:rPr>
            </w:pPr>
            <w:r>
              <w:rPr>
                <w:rFonts w:ascii="宋体" w:hAnsi="宋体" w:cs="宋体" w:eastAsia="宋体" w:hint="default"/>
                <w:sz w:val="13"/>
                <w:szCs w:val="13"/>
              </w:rPr>
              <w:t>2</w:t>
            </w:r>
            <w:r>
              <w:rPr>
                <w:rFonts w:ascii="宋体" w:hAnsi="宋体" w:cs="宋体" w:eastAsia="宋体" w:hint="default"/>
                <w:sz w:val="13"/>
                <w:szCs w:val="13"/>
              </w:rPr>
              <w:t>．本期使用</w:t>
            </w:r>
            <w:r>
              <w:rPr>
                <w:rFonts w:ascii="宋体" w:hAnsi="宋体" w:cs="宋体" w:eastAsia="宋体" w:hint="default"/>
                <w:sz w:val="13"/>
                <w:szCs w:val="13"/>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312"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353"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8"/>
              <w:jc w:val="right"/>
              <w:rPr>
                <w:rFonts w:ascii="宋体" w:hAnsi="宋体" w:cs="宋体" w:eastAsia="宋体" w:hint="default"/>
                <w:sz w:val="13"/>
                <w:szCs w:val="13"/>
              </w:rPr>
            </w:pPr>
            <w:r>
              <w:rPr>
                <w:rFonts w:ascii="宋体"/>
                <w:w w:val="99"/>
                <w:sz w:val="13"/>
              </w:rPr>
              <w:t> </w:t>
            </w:r>
            <w:r>
              <w:rPr>
                <w:rFonts w:ascii="宋体"/>
                <w:sz w:val="13"/>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r>
      <w:tr>
        <w:trPr>
          <w:trHeight w:val="178"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03" w:right="0"/>
              <w:jc w:val="left"/>
              <w:rPr>
                <w:rFonts w:ascii="宋体" w:hAnsi="宋体" w:cs="宋体" w:eastAsia="宋体" w:hint="default"/>
                <w:sz w:val="13"/>
                <w:szCs w:val="13"/>
              </w:rPr>
            </w:pPr>
            <w:r>
              <w:rPr>
                <w:rFonts w:ascii="宋体" w:hAnsi="宋体" w:cs="宋体" w:eastAsia="宋体" w:hint="default"/>
                <w:sz w:val="13"/>
                <w:szCs w:val="13"/>
              </w:rPr>
              <w:t>（六）其他</w:t>
            </w:r>
            <w:r>
              <w:rPr>
                <w:rFonts w:ascii="宋体" w:hAnsi="宋体" w:cs="宋体" w:eastAsia="宋体" w:hint="default"/>
                <w:sz w:val="13"/>
                <w:szCs w:val="13"/>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312"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353"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5"/>
              <w:jc w:val="right"/>
              <w:rPr>
                <w:rFonts w:ascii="宋体" w:hAnsi="宋体" w:cs="宋体" w:eastAsia="宋体" w:hint="default"/>
                <w:sz w:val="13"/>
                <w:szCs w:val="13"/>
              </w:rPr>
            </w:pPr>
            <w:r>
              <w:rPr>
                <w:rFonts w:ascii="宋体"/>
                <w:w w:val="95"/>
                <w:sz w:val="13"/>
              </w:rPr>
              <w:t>-319,737,881.27 </w:t>
            </w:r>
            <w:r>
              <w:rPr>
                <w:rFonts w:ascii="宋体"/>
                <w:sz w:val="13"/>
              </w:rPr>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8"/>
              <w:jc w:val="right"/>
              <w:rPr>
                <w:rFonts w:ascii="宋体" w:hAnsi="宋体" w:cs="宋体" w:eastAsia="宋体" w:hint="default"/>
                <w:sz w:val="13"/>
                <w:szCs w:val="13"/>
              </w:rPr>
            </w:pPr>
            <w:r>
              <w:rPr>
                <w:rFonts w:ascii="宋体"/>
                <w:w w:val="99"/>
                <w:sz w:val="13"/>
              </w:rPr>
              <w:t> </w:t>
            </w:r>
            <w:r>
              <w:rPr>
                <w:rFonts w:ascii="宋体"/>
                <w:sz w:val="13"/>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5"/>
                <w:sz w:val="13"/>
              </w:rPr>
              <w:t>-41,444,354.20 </w:t>
            </w:r>
            <w:r>
              <w:rPr>
                <w:rFonts w:ascii="宋体"/>
                <w:sz w:val="13"/>
              </w:rPr>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5"/>
                <w:sz w:val="13"/>
              </w:rPr>
              <w:t>-361,182,235.47 </w:t>
            </w:r>
            <w:r>
              <w:rPr>
                <w:rFonts w:ascii="宋体"/>
                <w:sz w:val="13"/>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5"/>
                <w:sz w:val="13"/>
              </w:rPr>
              <w:t>-361,182,235.47 </w:t>
            </w:r>
            <w:r>
              <w:rPr>
                <w:rFonts w:ascii="宋体"/>
                <w:sz w:val="13"/>
              </w:rPr>
            </w:r>
          </w:p>
        </w:tc>
      </w:tr>
      <w:tr>
        <w:trPr>
          <w:trHeight w:val="180"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03" w:right="0"/>
              <w:jc w:val="left"/>
              <w:rPr>
                <w:rFonts w:ascii="宋体" w:hAnsi="宋体" w:cs="宋体" w:eastAsia="宋体" w:hint="default"/>
                <w:sz w:val="13"/>
                <w:szCs w:val="13"/>
              </w:rPr>
            </w:pPr>
            <w:r>
              <w:rPr>
                <w:rFonts w:ascii="宋体" w:hAnsi="宋体" w:cs="宋体" w:eastAsia="宋体" w:hint="default"/>
                <w:sz w:val="13"/>
                <w:szCs w:val="13"/>
              </w:rPr>
              <w:t>四、本期期末余额</w:t>
            </w:r>
            <w:r>
              <w:rPr>
                <w:rFonts w:ascii="宋体" w:hAnsi="宋体" w:cs="宋体" w:eastAsia="宋体" w:hint="default"/>
                <w:sz w:val="13"/>
                <w:szCs w:val="13"/>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5"/>
                <w:sz w:val="13"/>
              </w:rPr>
              <w:t>1,757,670,860.00 </w:t>
            </w:r>
            <w:r>
              <w:rPr>
                <w:rFonts w:ascii="宋体"/>
                <w:sz w:val="13"/>
              </w:rPr>
            </w:r>
          </w:p>
        </w:tc>
        <w:tc>
          <w:tcPr>
            <w:tcW w:w="312"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353"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5"/>
                <w:sz w:val="13"/>
              </w:rPr>
              <w:t>648,669,813.57 </w:t>
            </w:r>
            <w:r>
              <w:rPr>
                <w:rFonts w:ascii="宋体"/>
                <w:sz w:val="13"/>
              </w:rPr>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5"/>
              <w:jc w:val="right"/>
              <w:rPr>
                <w:rFonts w:ascii="宋体" w:hAnsi="宋体" w:cs="宋体" w:eastAsia="宋体" w:hint="default"/>
                <w:sz w:val="13"/>
                <w:szCs w:val="13"/>
              </w:rPr>
            </w:pPr>
            <w:r>
              <w:rPr>
                <w:rFonts w:ascii="宋体"/>
                <w:w w:val="95"/>
                <w:sz w:val="13"/>
              </w:rPr>
              <w:t>4,713,698,068.21 </w:t>
            </w:r>
            <w:r>
              <w:rPr>
                <w:rFonts w:ascii="宋体"/>
                <w:sz w:val="13"/>
              </w:rPr>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5"/>
                <w:sz w:val="13"/>
              </w:rPr>
              <w:t>138,925,978.02 </w:t>
            </w:r>
            <w:r>
              <w:rPr>
                <w:rFonts w:ascii="宋体"/>
                <w:sz w:val="13"/>
              </w:rPr>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5"/>
              <w:jc w:val="right"/>
              <w:rPr>
                <w:rFonts w:ascii="宋体" w:hAnsi="宋体" w:cs="宋体" w:eastAsia="宋体" w:hint="default"/>
                <w:sz w:val="13"/>
                <w:szCs w:val="13"/>
              </w:rPr>
            </w:pPr>
            <w:r>
              <w:rPr>
                <w:rFonts w:ascii="宋体"/>
                <w:w w:val="95"/>
                <w:sz w:val="13"/>
              </w:rPr>
              <w:t>1,928,836.49 </w:t>
            </w:r>
            <w:r>
              <w:rPr>
                <w:rFonts w:ascii="宋体"/>
                <w:sz w:val="13"/>
              </w:rPr>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8"/>
              <w:jc w:val="right"/>
              <w:rPr>
                <w:rFonts w:ascii="宋体" w:hAnsi="宋体" w:cs="宋体" w:eastAsia="宋体" w:hint="default"/>
                <w:sz w:val="13"/>
                <w:szCs w:val="13"/>
              </w:rPr>
            </w:pPr>
            <w:r>
              <w:rPr>
                <w:rFonts w:ascii="宋体"/>
                <w:w w:val="95"/>
                <w:sz w:val="13"/>
              </w:rPr>
              <w:t>240,619,644.19 </w:t>
            </w:r>
            <w:r>
              <w:rPr>
                <w:rFonts w:ascii="宋体"/>
                <w:sz w:val="13"/>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5"/>
                <w:sz w:val="13"/>
              </w:rPr>
              <w:t>3,066,965,464.09 </w:t>
            </w:r>
            <w:r>
              <w:rPr>
                <w:rFonts w:ascii="宋体"/>
                <w:sz w:val="13"/>
              </w:rPr>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5"/>
                <w:sz w:val="13"/>
              </w:rPr>
              <w:t>10,290,626,708.53 </w:t>
            </w:r>
            <w:r>
              <w:rPr>
                <w:rFonts w:ascii="宋体"/>
                <w:sz w:val="13"/>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5"/>
                <w:sz w:val="13"/>
              </w:rPr>
              <w:t>25,261,201.49 </w:t>
            </w:r>
            <w:r>
              <w:rPr>
                <w:rFonts w:ascii="宋体"/>
                <w:sz w:val="13"/>
              </w:rPr>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5"/>
                <w:sz w:val="13"/>
              </w:rPr>
              <w:t>10,315,887,910.02 </w:t>
            </w:r>
            <w:r>
              <w:rPr>
                <w:rFonts w:ascii="宋体"/>
                <w:sz w:val="13"/>
              </w:rPr>
            </w:r>
          </w:p>
        </w:tc>
      </w:tr>
    </w:tbl>
    <w:p>
      <w:pPr>
        <w:pStyle w:val="BodyText"/>
        <w:spacing w:line="241" w:lineRule="exact"/>
        <w:ind w:left="1384" w:right="0"/>
        <w:jc w:val="left"/>
        <w:rPr>
          <w:rFonts w:ascii="宋体" w:hAnsi="宋体" w:cs="宋体" w:eastAsia="宋体" w:hint="default"/>
        </w:rPr>
      </w:pPr>
      <w:r>
        <w:rPr>
          <w:rFonts w:ascii="宋体"/>
          <w:w w:val="100"/>
        </w:rPr>
        <w:t> </w:t>
      </w: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1702"/>
        <w:gridCol w:w="1274"/>
        <w:gridCol w:w="286"/>
        <w:gridCol w:w="283"/>
        <w:gridCol w:w="1274"/>
        <w:gridCol w:w="1280"/>
        <w:gridCol w:w="1135"/>
        <w:gridCol w:w="1130"/>
        <w:gridCol w:w="428"/>
        <w:gridCol w:w="1130"/>
        <w:gridCol w:w="571"/>
        <w:gridCol w:w="1272"/>
        <w:gridCol w:w="423"/>
        <w:gridCol w:w="1426"/>
        <w:gridCol w:w="1272"/>
        <w:gridCol w:w="1416"/>
      </w:tblGrid>
      <w:tr>
        <w:trPr>
          <w:trHeight w:val="250" w:hRule="exact"/>
        </w:trPr>
        <w:tc>
          <w:tcPr>
            <w:tcW w:w="170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left="66" w:right="0"/>
              <w:jc w:val="center"/>
              <w:rPr>
                <w:rFonts w:ascii="宋体" w:hAnsi="宋体" w:cs="宋体" w:eastAsia="宋体" w:hint="default"/>
                <w:sz w:val="13"/>
                <w:szCs w:val="13"/>
              </w:rPr>
            </w:pPr>
            <w:r>
              <w:rPr>
                <w:rFonts w:ascii="宋体" w:hAnsi="宋体" w:cs="宋体" w:eastAsia="宋体" w:hint="default"/>
                <w:sz w:val="13"/>
                <w:szCs w:val="13"/>
              </w:rPr>
              <w:t>项目</w:t>
            </w:r>
            <w:r>
              <w:rPr>
                <w:rFonts w:ascii="宋体" w:hAnsi="宋体" w:cs="宋体" w:eastAsia="宋体" w:hint="default"/>
                <w:sz w:val="13"/>
                <w:szCs w:val="13"/>
              </w:rPr>
              <w:t> </w:t>
            </w:r>
          </w:p>
        </w:tc>
        <w:tc>
          <w:tcPr>
            <w:tcW w:w="14601" w:type="dxa"/>
            <w:gridSpan w:val="15"/>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655" w:right="0"/>
              <w:jc w:val="center"/>
              <w:rPr>
                <w:rFonts w:ascii="宋体" w:hAnsi="宋体" w:cs="宋体" w:eastAsia="宋体" w:hint="default"/>
                <w:sz w:val="13"/>
                <w:szCs w:val="13"/>
              </w:rPr>
            </w:pPr>
            <w:r>
              <w:rPr>
                <w:rFonts w:ascii="宋体" w:hAnsi="宋体" w:cs="宋体" w:eastAsia="宋体" w:hint="default"/>
                <w:sz w:val="13"/>
                <w:szCs w:val="13"/>
              </w:rPr>
              <w:t>2018</w:t>
            </w:r>
            <w:r>
              <w:rPr>
                <w:rFonts w:ascii="宋体" w:hAnsi="宋体" w:cs="宋体" w:eastAsia="宋体" w:hint="default"/>
                <w:spacing w:val="-34"/>
                <w:sz w:val="13"/>
                <w:szCs w:val="13"/>
              </w:rPr>
              <w:t> </w:t>
            </w:r>
            <w:r>
              <w:rPr>
                <w:rFonts w:ascii="宋体" w:hAnsi="宋体" w:cs="宋体" w:eastAsia="宋体" w:hint="default"/>
                <w:sz w:val="13"/>
                <w:szCs w:val="13"/>
              </w:rPr>
              <w:t>年度</w:t>
            </w:r>
            <w:r>
              <w:rPr>
                <w:rFonts w:ascii="宋体" w:hAnsi="宋体" w:cs="宋体" w:eastAsia="宋体" w:hint="default"/>
                <w:sz w:val="13"/>
                <w:szCs w:val="13"/>
              </w:rPr>
              <w:t> </w:t>
            </w:r>
          </w:p>
        </w:tc>
      </w:tr>
      <w:tr>
        <w:trPr>
          <w:trHeight w:val="482" w:hRule="exact"/>
        </w:trPr>
        <w:tc>
          <w:tcPr>
            <w:tcW w:w="1702" w:type="dxa"/>
            <w:vMerge/>
            <w:tcBorders>
              <w:left w:val="single" w:sz="4" w:space="0" w:color="000000"/>
              <w:right w:val="single" w:sz="4" w:space="0" w:color="000000"/>
            </w:tcBorders>
          </w:tcPr>
          <w:p>
            <w:pPr/>
          </w:p>
        </w:tc>
        <w:tc>
          <w:tcPr>
            <w:tcW w:w="11913" w:type="dxa"/>
            <w:gridSpan w:val="13"/>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left="61" w:right="0"/>
              <w:jc w:val="center"/>
              <w:rPr>
                <w:rFonts w:ascii="宋体" w:hAnsi="宋体" w:cs="宋体" w:eastAsia="宋体" w:hint="default"/>
                <w:sz w:val="13"/>
                <w:szCs w:val="13"/>
              </w:rPr>
            </w:pPr>
            <w:r>
              <w:rPr>
                <w:rFonts w:ascii="宋体" w:hAnsi="宋体" w:cs="宋体" w:eastAsia="宋体" w:hint="default"/>
                <w:sz w:val="13"/>
                <w:szCs w:val="13"/>
              </w:rPr>
              <w:t>归属于母公司所有者权益</w:t>
            </w:r>
            <w:r>
              <w:rPr>
                <w:rFonts w:ascii="宋体" w:hAnsi="宋体" w:cs="宋体" w:eastAsia="宋体" w:hint="default"/>
                <w:sz w:val="13"/>
                <w:szCs w:val="13"/>
              </w:rPr>
              <w:t> </w:t>
            </w:r>
          </w:p>
        </w:tc>
        <w:tc>
          <w:tcPr>
            <w:tcW w:w="127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2"/>
              <w:ind w:right="0"/>
              <w:jc w:val="left"/>
              <w:rPr>
                <w:rFonts w:ascii="宋体" w:hAnsi="宋体" w:cs="宋体" w:eastAsia="宋体" w:hint="default"/>
                <w:sz w:val="10"/>
                <w:szCs w:val="10"/>
              </w:rPr>
            </w:pPr>
          </w:p>
          <w:p>
            <w:pPr>
              <w:pStyle w:val="TableParagraph"/>
              <w:spacing w:line="240" w:lineRule="auto"/>
              <w:ind w:left="240" w:right="0"/>
              <w:jc w:val="left"/>
              <w:rPr>
                <w:rFonts w:ascii="宋体" w:hAnsi="宋体" w:cs="宋体" w:eastAsia="宋体" w:hint="default"/>
                <w:sz w:val="13"/>
                <w:szCs w:val="13"/>
              </w:rPr>
            </w:pPr>
            <w:r>
              <w:rPr>
                <w:rFonts w:ascii="宋体" w:hAnsi="宋体" w:cs="宋体" w:eastAsia="宋体" w:hint="default"/>
                <w:sz w:val="13"/>
                <w:szCs w:val="13"/>
              </w:rPr>
              <w:t>少数股东权益</w:t>
            </w:r>
            <w:r>
              <w:rPr>
                <w:rFonts w:ascii="宋体" w:hAnsi="宋体" w:cs="宋体" w:eastAsia="宋体" w:hint="default"/>
                <w:sz w:val="13"/>
                <w:szCs w:val="13"/>
              </w:rPr>
              <w:t> </w:t>
            </w:r>
          </w:p>
        </w:tc>
        <w:tc>
          <w:tcPr>
            <w:tcW w:w="141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2"/>
              <w:ind w:right="0"/>
              <w:jc w:val="left"/>
              <w:rPr>
                <w:rFonts w:ascii="宋体" w:hAnsi="宋体" w:cs="宋体" w:eastAsia="宋体" w:hint="default"/>
                <w:sz w:val="10"/>
                <w:szCs w:val="10"/>
              </w:rPr>
            </w:pPr>
          </w:p>
          <w:p>
            <w:pPr>
              <w:pStyle w:val="TableParagraph"/>
              <w:spacing w:line="240" w:lineRule="auto"/>
              <w:ind w:left="249" w:right="0"/>
              <w:jc w:val="left"/>
              <w:rPr>
                <w:rFonts w:ascii="宋体" w:hAnsi="宋体" w:cs="宋体" w:eastAsia="宋体" w:hint="default"/>
                <w:sz w:val="13"/>
                <w:szCs w:val="13"/>
              </w:rPr>
            </w:pPr>
            <w:r>
              <w:rPr>
                <w:rFonts w:ascii="宋体" w:hAnsi="宋体" w:cs="宋体" w:eastAsia="宋体" w:hint="default"/>
                <w:sz w:val="13"/>
                <w:szCs w:val="13"/>
              </w:rPr>
              <w:t>所有者权益合计</w:t>
            </w:r>
            <w:r>
              <w:rPr>
                <w:rFonts w:ascii="宋体" w:hAnsi="宋体" w:cs="宋体" w:eastAsia="宋体" w:hint="default"/>
                <w:sz w:val="13"/>
                <w:szCs w:val="13"/>
              </w:rPr>
              <w:t> </w:t>
            </w:r>
          </w:p>
        </w:tc>
      </w:tr>
      <w:tr>
        <w:trPr>
          <w:trHeight w:val="394" w:hRule="exact"/>
        </w:trPr>
        <w:tc>
          <w:tcPr>
            <w:tcW w:w="1702" w:type="dxa"/>
            <w:vMerge/>
            <w:tcBorders>
              <w:left w:val="single" w:sz="4" w:space="0" w:color="000000"/>
              <w:right w:val="single" w:sz="4" w:space="0" w:color="000000"/>
            </w:tcBorders>
          </w:tcPr>
          <w:p>
            <w:pPr/>
          </w:p>
        </w:tc>
        <w:tc>
          <w:tcPr>
            <w:tcW w:w="127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4"/>
              <w:ind w:left="112" w:right="0"/>
              <w:jc w:val="left"/>
              <w:rPr>
                <w:rFonts w:ascii="宋体" w:hAnsi="宋体" w:cs="宋体" w:eastAsia="宋体" w:hint="default"/>
                <w:sz w:val="13"/>
                <w:szCs w:val="13"/>
              </w:rPr>
            </w:pPr>
            <w:r>
              <w:rPr>
                <w:rFonts w:ascii="宋体" w:hAnsi="宋体" w:cs="宋体" w:eastAsia="宋体" w:hint="default"/>
                <w:sz w:val="13"/>
                <w:szCs w:val="13"/>
              </w:rPr>
              <w:t>实收资本</w:t>
            </w:r>
            <w:r>
              <w:rPr>
                <w:rFonts w:ascii="宋体" w:hAnsi="宋体" w:cs="宋体" w:eastAsia="宋体" w:hint="default"/>
                <w:sz w:val="13"/>
                <w:szCs w:val="13"/>
              </w:rPr>
              <w:t>(</w:t>
            </w:r>
            <w:r>
              <w:rPr>
                <w:rFonts w:ascii="宋体" w:hAnsi="宋体" w:cs="宋体" w:eastAsia="宋体" w:hint="default"/>
                <w:sz w:val="13"/>
                <w:szCs w:val="13"/>
              </w:rPr>
              <w:t>或股本</w:t>
            </w:r>
            <w:r>
              <w:rPr>
                <w:rFonts w:ascii="宋体" w:hAnsi="宋体" w:cs="宋体" w:eastAsia="宋体" w:hint="default"/>
                <w:sz w:val="13"/>
                <w:szCs w:val="13"/>
              </w:rPr>
              <w:t>) </w:t>
            </w:r>
          </w:p>
        </w:tc>
        <w:tc>
          <w:tcPr>
            <w:tcW w:w="184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9"/>
                <w:szCs w:val="9"/>
              </w:rPr>
            </w:pPr>
          </w:p>
          <w:p>
            <w:pPr>
              <w:pStyle w:val="TableParagraph"/>
              <w:spacing w:line="240" w:lineRule="auto"/>
              <w:ind w:left="527" w:right="0"/>
              <w:jc w:val="left"/>
              <w:rPr>
                <w:rFonts w:ascii="宋体" w:hAnsi="宋体" w:cs="宋体" w:eastAsia="宋体" w:hint="default"/>
                <w:sz w:val="13"/>
                <w:szCs w:val="13"/>
              </w:rPr>
            </w:pPr>
            <w:r>
              <w:rPr>
                <w:rFonts w:ascii="宋体" w:hAnsi="宋体" w:cs="宋体" w:eastAsia="宋体" w:hint="default"/>
                <w:sz w:val="13"/>
                <w:szCs w:val="13"/>
              </w:rPr>
              <w:t>其他权益工具</w:t>
            </w:r>
            <w:r>
              <w:rPr>
                <w:rFonts w:ascii="宋体" w:hAnsi="宋体" w:cs="宋体" w:eastAsia="宋体" w:hint="default"/>
                <w:sz w:val="13"/>
                <w:szCs w:val="13"/>
              </w:rPr>
              <w:t> </w:t>
            </w:r>
          </w:p>
        </w:tc>
        <w:tc>
          <w:tcPr>
            <w:tcW w:w="128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4"/>
              <w:ind w:left="377" w:right="0"/>
              <w:jc w:val="left"/>
              <w:rPr>
                <w:rFonts w:ascii="宋体" w:hAnsi="宋体" w:cs="宋体" w:eastAsia="宋体" w:hint="default"/>
                <w:sz w:val="13"/>
                <w:szCs w:val="13"/>
              </w:rPr>
            </w:pPr>
            <w:r>
              <w:rPr>
                <w:rFonts w:ascii="宋体" w:hAnsi="宋体" w:cs="宋体" w:eastAsia="宋体" w:hint="default"/>
                <w:sz w:val="13"/>
                <w:szCs w:val="13"/>
              </w:rPr>
              <w:t>资本公积</w:t>
            </w:r>
            <w:r>
              <w:rPr>
                <w:rFonts w:ascii="宋体" w:hAnsi="宋体" w:cs="宋体" w:eastAsia="宋体" w:hint="default"/>
                <w:sz w:val="13"/>
                <w:szCs w:val="13"/>
              </w:rPr>
              <w:t> </w:t>
            </w:r>
          </w:p>
        </w:tc>
        <w:tc>
          <w:tcPr>
            <w:tcW w:w="113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4"/>
              <w:ind w:left="237" w:right="0"/>
              <w:jc w:val="left"/>
              <w:rPr>
                <w:rFonts w:ascii="宋体" w:hAnsi="宋体" w:cs="宋体" w:eastAsia="宋体" w:hint="default"/>
                <w:sz w:val="13"/>
                <w:szCs w:val="13"/>
              </w:rPr>
            </w:pPr>
            <w:r>
              <w:rPr>
                <w:rFonts w:ascii="宋体" w:hAnsi="宋体" w:cs="宋体" w:eastAsia="宋体" w:hint="default"/>
                <w:sz w:val="13"/>
                <w:szCs w:val="13"/>
              </w:rPr>
              <w:t>减：库存股</w:t>
            </w:r>
            <w:r>
              <w:rPr>
                <w:rFonts w:ascii="宋体" w:hAnsi="宋体" w:cs="宋体" w:eastAsia="宋体" w:hint="default"/>
                <w:sz w:val="13"/>
                <w:szCs w:val="13"/>
              </w:rPr>
              <w:t> </w:t>
            </w:r>
          </w:p>
        </w:tc>
        <w:tc>
          <w:tcPr>
            <w:tcW w:w="113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4"/>
              <w:ind w:left="170" w:right="0"/>
              <w:jc w:val="left"/>
              <w:rPr>
                <w:rFonts w:ascii="宋体" w:hAnsi="宋体" w:cs="宋体" w:eastAsia="宋体" w:hint="default"/>
                <w:sz w:val="13"/>
                <w:szCs w:val="13"/>
              </w:rPr>
            </w:pPr>
            <w:r>
              <w:rPr>
                <w:rFonts w:ascii="宋体" w:hAnsi="宋体" w:cs="宋体" w:eastAsia="宋体" w:hint="default"/>
                <w:sz w:val="13"/>
                <w:szCs w:val="13"/>
              </w:rPr>
              <w:t>其他综合收益</w:t>
            </w:r>
            <w:r>
              <w:rPr>
                <w:rFonts w:ascii="宋体" w:hAnsi="宋体" w:cs="宋体" w:eastAsia="宋体" w:hint="default"/>
                <w:sz w:val="13"/>
                <w:szCs w:val="13"/>
              </w:rPr>
              <w:t> </w:t>
            </w:r>
          </w:p>
        </w:tc>
        <w:tc>
          <w:tcPr>
            <w:tcW w:w="428" w:type="dxa"/>
            <w:vMerge w:val="restart"/>
            <w:tcBorders>
              <w:top w:val="single" w:sz="4" w:space="0" w:color="000000"/>
              <w:left w:val="single" w:sz="4" w:space="0" w:color="000000"/>
              <w:right w:val="single" w:sz="4" w:space="0" w:color="000000"/>
            </w:tcBorders>
          </w:tcPr>
          <w:p>
            <w:pPr>
              <w:pStyle w:val="TableParagraph"/>
              <w:spacing w:line="338" w:lineRule="auto" w:before="47"/>
              <w:ind w:left="144" w:right="77"/>
              <w:jc w:val="both"/>
              <w:rPr>
                <w:rFonts w:ascii="宋体" w:hAnsi="宋体" w:cs="宋体" w:eastAsia="宋体" w:hint="default"/>
                <w:sz w:val="13"/>
                <w:szCs w:val="13"/>
              </w:rPr>
            </w:pPr>
            <w:r>
              <w:rPr>
                <w:rFonts w:ascii="宋体" w:hAnsi="宋体" w:cs="宋体" w:eastAsia="宋体" w:hint="default"/>
                <w:sz w:val="13"/>
                <w:szCs w:val="13"/>
              </w:rPr>
              <w:t>专</w:t>
            </w:r>
            <w:r>
              <w:rPr>
                <w:rFonts w:ascii="宋体" w:hAnsi="宋体" w:cs="宋体" w:eastAsia="宋体" w:hint="default"/>
                <w:w w:val="99"/>
                <w:sz w:val="13"/>
                <w:szCs w:val="13"/>
              </w:rPr>
              <w:t> </w:t>
            </w:r>
            <w:r>
              <w:rPr>
                <w:rFonts w:ascii="宋体" w:hAnsi="宋体" w:cs="宋体" w:eastAsia="宋体" w:hint="default"/>
                <w:sz w:val="13"/>
                <w:szCs w:val="13"/>
              </w:rPr>
              <w:t>项</w:t>
            </w:r>
            <w:r>
              <w:rPr>
                <w:rFonts w:ascii="宋体" w:hAnsi="宋体" w:cs="宋体" w:eastAsia="宋体" w:hint="default"/>
                <w:w w:val="99"/>
                <w:sz w:val="13"/>
                <w:szCs w:val="13"/>
              </w:rPr>
              <w:t> </w:t>
            </w:r>
            <w:r>
              <w:rPr>
                <w:rFonts w:ascii="宋体" w:hAnsi="宋体" w:cs="宋体" w:eastAsia="宋体" w:hint="default"/>
                <w:sz w:val="13"/>
                <w:szCs w:val="13"/>
              </w:rPr>
              <w:t>储</w:t>
            </w:r>
            <w:r>
              <w:rPr>
                <w:rFonts w:ascii="宋体" w:hAnsi="宋体" w:cs="宋体" w:eastAsia="宋体" w:hint="default"/>
                <w:w w:val="99"/>
                <w:sz w:val="13"/>
                <w:szCs w:val="13"/>
              </w:rPr>
              <w:t> </w:t>
            </w:r>
            <w:r>
              <w:rPr>
                <w:rFonts w:ascii="宋体" w:hAnsi="宋体" w:cs="宋体" w:eastAsia="宋体" w:hint="default"/>
                <w:sz w:val="13"/>
                <w:szCs w:val="13"/>
              </w:rPr>
              <w:t>备</w:t>
            </w:r>
            <w:r>
              <w:rPr>
                <w:rFonts w:ascii="宋体" w:hAnsi="宋体" w:cs="宋体" w:eastAsia="宋体" w:hint="default"/>
                <w:sz w:val="13"/>
                <w:szCs w:val="13"/>
              </w:rPr>
              <w:t> </w:t>
            </w:r>
          </w:p>
        </w:tc>
        <w:tc>
          <w:tcPr>
            <w:tcW w:w="113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4"/>
              <w:ind w:left="300" w:right="0"/>
              <w:jc w:val="left"/>
              <w:rPr>
                <w:rFonts w:ascii="宋体" w:hAnsi="宋体" w:cs="宋体" w:eastAsia="宋体" w:hint="default"/>
                <w:sz w:val="13"/>
                <w:szCs w:val="13"/>
              </w:rPr>
            </w:pPr>
            <w:r>
              <w:rPr>
                <w:rFonts w:ascii="宋体" w:hAnsi="宋体" w:cs="宋体" w:eastAsia="宋体" w:hint="default"/>
                <w:sz w:val="13"/>
                <w:szCs w:val="13"/>
              </w:rPr>
              <w:t>盈余公积</w:t>
            </w:r>
            <w:r>
              <w:rPr>
                <w:rFonts w:ascii="宋体" w:hAnsi="宋体" w:cs="宋体" w:eastAsia="宋体" w:hint="default"/>
                <w:sz w:val="13"/>
                <w:szCs w:val="13"/>
              </w:rPr>
              <w:t> </w:t>
            </w:r>
          </w:p>
        </w:tc>
        <w:tc>
          <w:tcPr>
            <w:tcW w:w="571"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38" w:lineRule="auto"/>
              <w:ind w:left="151" w:right="84"/>
              <w:jc w:val="both"/>
              <w:rPr>
                <w:rFonts w:ascii="宋体" w:hAnsi="宋体" w:cs="宋体" w:eastAsia="宋体" w:hint="default"/>
                <w:sz w:val="13"/>
                <w:szCs w:val="13"/>
              </w:rPr>
            </w:pPr>
            <w:r>
              <w:rPr>
                <w:rFonts w:ascii="宋体" w:hAnsi="宋体" w:cs="宋体" w:eastAsia="宋体" w:hint="default"/>
                <w:sz w:val="13"/>
                <w:szCs w:val="13"/>
              </w:rPr>
              <w:t>一般</w:t>
            </w:r>
            <w:r>
              <w:rPr>
                <w:rFonts w:ascii="宋体" w:hAnsi="宋体" w:cs="宋体" w:eastAsia="宋体" w:hint="default"/>
                <w:w w:val="99"/>
                <w:sz w:val="13"/>
                <w:szCs w:val="13"/>
              </w:rPr>
              <w:t> </w:t>
            </w:r>
            <w:r>
              <w:rPr>
                <w:rFonts w:ascii="宋体" w:hAnsi="宋体" w:cs="宋体" w:eastAsia="宋体" w:hint="default"/>
                <w:sz w:val="13"/>
                <w:szCs w:val="13"/>
              </w:rPr>
              <w:t>风险</w:t>
            </w:r>
            <w:r>
              <w:rPr>
                <w:rFonts w:ascii="宋体" w:hAnsi="宋体" w:cs="宋体" w:eastAsia="宋体" w:hint="default"/>
                <w:w w:val="99"/>
                <w:sz w:val="13"/>
                <w:szCs w:val="13"/>
              </w:rPr>
              <w:t> </w:t>
            </w:r>
            <w:r>
              <w:rPr>
                <w:rFonts w:ascii="宋体" w:hAnsi="宋体" w:cs="宋体" w:eastAsia="宋体" w:hint="default"/>
                <w:sz w:val="13"/>
                <w:szCs w:val="13"/>
              </w:rPr>
              <w:t>准备</w:t>
            </w:r>
            <w:r>
              <w:rPr>
                <w:rFonts w:ascii="宋体" w:hAnsi="宋体" w:cs="宋体" w:eastAsia="宋体" w:hint="default"/>
                <w:sz w:val="13"/>
                <w:szCs w:val="13"/>
              </w:rPr>
              <w:t> </w:t>
            </w:r>
          </w:p>
        </w:tc>
        <w:tc>
          <w:tcPr>
            <w:tcW w:w="127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94"/>
              <w:ind w:left="304" w:right="0"/>
              <w:jc w:val="left"/>
              <w:rPr>
                <w:rFonts w:ascii="宋体" w:hAnsi="宋体" w:cs="宋体" w:eastAsia="宋体" w:hint="default"/>
                <w:sz w:val="13"/>
                <w:szCs w:val="13"/>
              </w:rPr>
            </w:pPr>
            <w:r>
              <w:rPr>
                <w:rFonts w:ascii="宋体" w:hAnsi="宋体" w:cs="宋体" w:eastAsia="宋体" w:hint="default"/>
                <w:sz w:val="13"/>
                <w:szCs w:val="13"/>
              </w:rPr>
              <w:t>未分配利润</w:t>
            </w:r>
            <w:r>
              <w:rPr>
                <w:rFonts w:ascii="宋体" w:hAnsi="宋体" w:cs="宋体" w:eastAsia="宋体" w:hint="default"/>
                <w:sz w:val="13"/>
                <w:szCs w:val="13"/>
              </w:rPr>
              <w:t> </w:t>
            </w:r>
          </w:p>
        </w:tc>
        <w:tc>
          <w:tcPr>
            <w:tcW w:w="42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4"/>
              <w:ind w:right="0"/>
              <w:jc w:val="left"/>
              <w:rPr>
                <w:rFonts w:ascii="宋体" w:hAnsi="宋体" w:cs="宋体" w:eastAsia="宋体" w:hint="default"/>
                <w:sz w:val="11"/>
                <w:szCs w:val="11"/>
              </w:rPr>
            </w:pPr>
          </w:p>
          <w:p>
            <w:pPr>
              <w:pStyle w:val="TableParagraph"/>
              <w:spacing w:line="168" w:lineRule="exact"/>
              <w:ind w:left="141" w:right="74"/>
              <w:jc w:val="left"/>
              <w:rPr>
                <w:rFonts w:ascii="宋体" w:hAnsi="宋体" w:cs="宋体" w:eastAsia="宋体" w:hint="default"/>
                <w:sz w:val="13"/>
                <w:szCs w:val="13"/>
              </w:rPr>
            </w:pPr>
            <w:r>
              <w:rPr>
                <w:rFonts w:ascii="宋体" w:hAnsi="宋体" w:cs="宋体" w:eastAsia="宋体" w:hint="default"/>
                <w:sz w:val="13"/>
                <w:szCs w:val="13"/>
              </w:rPr>
              <w:t>其</w:t>
            </w:r>
            <w:r>
              <w:rPr>
                <w:rFonts w:ascii="宋体" w:hAnsi="宋体" w:cs="宋体" w:eastAsia="宋体" w:hint="default"/>
                <w:w w:val="99"/>
                <w:sz w:val="13"/>
                <w:szCs w:val="13"/>
              </w:rPr>
              <w:t> </w:t>
            </w:r>
            <w:r>
              <w:rPr>
                <w:rFonts w:ascii="宋体" w:hAnsi="宋体" w:cs="宋体" w:eastAsia="宋体" w:hint="default"/>
                <w:sz w:val="13"/>
                <w:szCs w:val="13"/>
              </w:rPr>
              <w:t>他</w:t>
            </w:r>
            <w:r>
              <w:rPr>
                <w:rFonts w:ascii="宋体" w:hAnsi="宋体" w:cs="宋体" w:eastAsia="宋体" w:hint="default"/>
                <w:sz w:val="13"/>
                <w:szCs w:val="13"/>
              </w:rPr>
              <w:t> </w:t>
            </w:r>
          </w:p>
        </w:tc>
        <w:tc>
          <w:tcPr>
            <w:tcW w:w="142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69" w:right="0"/>
              <w:jc w:val="center"/>
              <w:rPr>
                <w:rFonts w:ascii="宋体" w:hAnsi="宋体" w:cs="宋体" w:eastAsia="宋体" w:hint="default"/>
                <w:sz w:val="13"/>
                <w:szCs w:val="13"/>
              </w:rPr>
            </w:pPr>
            <w:r>
              <w:rPr>
                <w:rFonts w:ascii="宋体" w:hAnsi="宋体" w:cs="宋体" w:eastAsia="宋体" w:hint="default"/>
                <w:sz w:val="13"/>
                <w:szCs w:val="13"/>
              </w:rPr>
              <w:t>小计</w:t>
            </w:r>
            <w:r>
              <w:rPr>
                <w:rFonts w:ascii="宋体" w:hAnsi="宋体" w:cs="宋体" w:eastAsia="宋体" w:hint="default"/>
                <w:sz w:val="13"/>
                <w:szCs w:val="13"/>
              </w:rPr>
              <w:t> </w:t>
            </w:r>
          </w:p>
        </w:tc>
        <w:tc>
          <w:tcPr>
            <w:tcW w:w="1272"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r>
      <w:tr>
        <w:trPr>
          <w:trHeight w:val="576" w:hRule="exact"/>
        </w:trPr>
        <w:tc>
          <w:tcPr>
            <w:tcW w:w="1702" w:type="dxa"/>
            <w:vMerge/>
            <w:tcBorders>
              <w:left w:val="single" w:sz="4" w:space="0" w:color="000000"/>
              <w:bottom w:val="single" w:sz="4" w:space="0" w:color="000000"/>
              <w:right w:val="single" w:sz="4" w:space="0" w:color="000000"/>
            </w:tcBorders>
          </w:tcPr>
          <w:p>
            <w:pPr/>
          </w:p>
        </w:tc>
        <w:tc>
          <w:tcPr>
            <w:tcW w:w="1274" w:type="dxa"/>
            <w:vMerge/>
            <w:tcBorders>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5"/>
              <w:ind w:left="105" w:right="-25"/>
              <w:jc w:val="both"/>
              <w:rPr>
                <w:rFonts w:ascii="宋体" w:hAnsi="宋体" w:cs="宋体" w:eastAsia="宋体" w:hint="default"/>
                <w:sz w:val="13"/>
                <w:szCs w:val="13"/>
              </w:rPr>
            </w:pPr>
            <w:r>
              <w:rPr>
                <w:rFonts w:ascii="宋体" w:hAnsi="宋体" w:cs="宋体" w:eastAsia="宋体" w:hint="default"/>
                <w:sz w:val="13"/>
                <w:szCs w:val="13"/>
              </w:rPr>
              <w:t>优</w:t>
            </w:r>
            <w:r>
              <w:rPr>
                <w:rFonts w:ascii="宋体" w:hAnsi="宋体" w:cs="宋体" w:eastAsia="宋体" w:hint="default"/>
                <w:w w:val="99"/>
                <w:sz w:val="13"/>
                <w:szCs w:val="13"/>
              </w:rPr>
              <w:t> </w:t>
            </w:r>
            <w:r>
              <w:rPr>
                <w:rFonts w:ascii="宋体" w:hAnsi="宋体" w:cs="宋体" w:eastAsia="宋体" w:hint="default"/>
                <w:sz w:val="13"/>
                <w:szCs w:val="13"/>
              </w:rPr>
              <w:t>先</w:t>
            </w:r>
            <w:r>
              <w:rPr>
                <w:rFonts w:ascii="宋体" w:hAnsi="宋体" w:cs="宋体" w:eastAsia="宋体" w:hint="default"/>
                <w:w w:val="99"/>
                <w:sz w:val="13"/>
                <w:szCs w:val="13"/>
              </w:rPr>
              <w:t> </w:t>
            </w:r>
            <w:r>
              <w:rPr>
                <w:rFonts w:ascii="宋体" w:hAnsi="宋体" w:cs="宋体" w:eastAsia="宋体" w:hint="default"/>
                <w:sz w:val="13"/>
                <w:szCs w:val="13"/>
              </w:rPr>
              <w:t>股</w:t>
            </w:r>
            <w:r>
              <w:rPr>
                <w:rFonts w:ascii="宋体" w:hAnsi="宋体" w:cs="宋体" w:eastAsia="宋体" w:hint="default"/>
                <w:sz w:val="13"/>
                <w:szCs w:val="13"/>
              </w:rPr>
              <w:t> </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5"/>
              <w:ind w:left="103" w:right="-25"/>
              <w:jc w:val="both"/>
              <w:rPr>
                <w:rFonts w:ascii="宋体" w:hAnsi="宋体" w:cs="宋体" w:eastAsia="宋体" w:hint="default"/>
                <w:sz w:val="13"/>
                <w:szCs w:val="13"/>
              </w:rPr>
            </w:pPr>
            <w:r>
              <w:rPr>
                <w:rFonts w:ascii="宋体" w:hAnsi="宋体" w:cs="宋体" w:eastAsia="宋体" w:hint="default"/>
                <w:sz w:val="13"/>
                <w:szCs w:val="13"/>
              </w:rPr>
              <w:t>永</w:t>
            </w:r>
            <w:r>
              <w:rPr>
                <w:rFonts w:ascii="宋体" w:hAnsi="宋体" w:cs="宋体" w:eastAsia="宋体" w:hint="default"/>
                <w:w w:val="99"/>
                <w:sz w:val="13"/>
                <w:szCs w:val="13"/>
              </w:rPr>
              <w:t> </w:t>
            </w:r>
            <w:r>
              <w:rPr>
                <w:rFonts w:ascii="宋体" w:hAnsi="宋体" w:cs="宋体" w:eastAsia="宋体" w:hint="default"/>
                <w:sz w:val="13"/>
                <w:szCs w:val="13"/>
              </w:rPr>
              <w:t>续</w:t>
            </w:r>
            <w:r>
              <w:rPr>
                <w:rFonts w:ascii="宋体" w:hAnsi="宋体" w:cs="宋体" w:eastAsia="宋体" w:hint="default"/>
                <w:w w:val="99"/>
                <w:sz w:val="13"/>
                <w:szCs w:val="13"/>
              </w:rPr>
              <w:t> </w:t>
            </w:r>
            <w:r>
              <w:rPr>
                <w:rFonts w:ascii="宋体" w:hAnsi="宋体" w:cs="宋体" w:eastAsia="宋体" w:hint="default"/>
                <w:sz w:val="13"/>
                <w:szCs w:val="13"/>
              </w:rPr>
              <w:t>债</w:t>
            </w:r>
            <w:r>
              <w:rPr>
                <w:rFonts w:ascii="宋体" w:hAnsi="宋体" w:cs="宋体" w:eastAsia="宋体" w:hint="default"/>
                <w:sz w:val="13"/>
                <w:szCs w:val="13"/>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62" w:right="0"/>
              <w:jc w:val="center"/>
              <w:rPr>
                <w:rFonts w:ascii="宋体" w:hAnsi="宋体" w:cs="宋体" w:eastAsia="宋体" w:hint="default"/>
                <w:sz w:val="13"/>
                <w:szCs w:val="13"/>
              </w:rPr>
            </w:pPr>
            <w:r>
              <w:rPr>
                <w:rFonts w:ascii="宋体" w:hAnsi="宋体" w:cs="宋体" w:eastAsia="宋体" w:hint="default"/>
                <w:sz w:val="13"/>
                <w:szCs w:val="13"/>
              </w:rPr>
              <w:t>其他</w:t>
            </w:r>
            <w:r>
              <w:rPr>
                <w:rFonts w:ascii="宋体" w:hAnsi="宋体" w:cs="宋体" w:eastAsia="宋体" w:hint="default"/>
                <w:sz w:val="13"/>
                <w:szCs w:val="13"/>
              </w:rPr>
              <w:t> </w:t>
            </w:r>
          </w:p>
        </w:tc>
        <w:tc>
          <w:tcPr>
            <w:tcW w:w="1280" w:type="dxa"/>
            <w:vMerge/>
            <w:tcBorders>
              <w:left w:val="single" w:sz="4" w:space="0" w:color="000000"/>
              <w:bottom w:val="single" w:sz="4" w:space="0" w:color="000000"/>
              <w:right w:val="single" w:sz="4" w:space="0" w:color="000000"/>
            </w:tcBorders>
          </w:tcPr>
          <w:p>
            <w:pPr/>
          </w:p>
        </w:tc>
        <w:tc>
          <w:tcPr>
            <w:tcW w:w="1135" w:type="dxa"/>
            <w:vMerge/>
            <w:tcBorders>
              <w:left w:val="single" w:sz="4" w:space="0" w:color="000000"/>
              <w:bottom w:val="single" w:sz="4" w:space="0" w:color="000000"/>
              <w:right w:val="single" w:sz="4" w:space="0" w:color="000000"/>
            </w:tcBorders>
          </w:tcPr>
          <w:p>
            <w:pPr/>
          </w:p>
        </w:tc>
        <w:tc>
          <w:tcPr>
            <w:tcW w:w="1130" w:type="dxa"/>
            <w:vMerge/>
            <w:tcBorders>
              <w:left w:val="single" w:sz="4" w:space="0" w:color="000000"/>
              <w:bottom w:val="single" w:sz="4" w:space="0" w:color="000000"/>
              <w:right w:val="single" w:sz="4" w:space="0" w:color="000000"/>
            </w:tcBorders>
          </w:tcPr>
          <w:p>
            <w:pPr/>
          </w:p>
        </w:tc>
        <w:tc>
          <w:tcPr>
            <w:tcW w:w="428" w:type="dxa"/>
            <w:vMerge/>
            <w:tcBorders>
              <w:left w:val="single" w:sz="4" w:space="0" w:color="000000"/>
              <w:bottom w:val="single" w:sz="4" w:space="0" w:color="000000"/>
              <w:right w:val="single" w:sz="4" w:space="0" w:color="000000"/>
            </w:tcBorders>
          </w:tcPr>
          <w:p>
            <w:pPr/>
          </w:p>
        </w:tc>
        <w:tc>
          <w:tcPr>
            <w:tcW w:w="1130" w:type="dxa"/>
            <w:vMerge/>
            <w:tcBorders>
              <w:left w:val="single" w:sz="4" w:space="0" w:color="000000"/>
              <w:bottom w:val="single" w:sz="4" w:space="0" w:color="000000"/>
              <w:right w:val="single" w:sz="4" w:space="0" w:color="000000"/>
            </w:tcBorders>
          </w:tcPr>
          <w:p>
            <w:pPr/>
          </w:p>
        </w:tc>
        <w:tc>
          <w:tcPr>
            <w:tcW w:w="571" w:type="dxa"/>
            <w:vMerge/>
            <w:tcBorders>
              <w:left w:val="single" w:sz="4" w:space="0" w:color="000000"/>
              <w:bottom w:val="single" w:sz="4" w:space="0" w:color="000000"/>
              <w:right w:val="single" w:sz="4" w:space="0" w:color="000000"/>
            </w:tcBorders>
          </w:tcPr>
          <w:p>
            <w:pPr/>
          </w:p>
        </w:tc>
        <w:tc>
          <w:tcPr>
            <w:tcW w:w="1272" w:type="dxa"/>
            <w:vMerge/>
            <w:tcBorders>
              <w:left w:val="single" w:sz="4" w:space="0" w:color="000000"/>
              <w:bottom w:val="single" w:sz="4" w:space="0" w:color="000000"/>
              <w:right w:val="single" w:sz="4" w:space="0" w:color="000000"/>
            </w:tcBorders>
          </w:tcPr>
          <w:p>
            <w:pPr/>
          </w:p>
        </w:tc>
        <w:tc>
          <w:tcPr>
            <w:tcW w:w="423" w:type="dxa"/>
            <w:vMerge/>
            <w:tcBorders>
              <w:left w:val="single" w:sz="4" w:space="0" w:color="000000"/>
              <w:bottom w:val="single" w:sz="4" w:space="0" w:color="000000"/>
              <w:right w:val="single" w:sz="4" w:space="0" w:color="000000"/>
            </w:tcBorders>
          </w:tcPr>
          <w:p>
            <w:pPr/>
          </w:p>
        </w:tc>
        <w:tc>
          <w:tcPr>
            <w:tcW w:w="1426" w:type="dxa"/>
            <w:vMerge/>
            <w:tcBorders>
              <w:left w:val="single" w:sz="4" w:space="0" w:color="000000"/>
              <w:bottom w:val="single" w:sz="4" w:space="0" w:color="000000"/>
              <w:right w:val="single" w:sz="4" w:space="0" w:color="000000"/>
            </w:tcBorders>
          </w:tcPr>
          <w:p>
            <w:pPr/>
          </w:p>
        </w:tc>
        <w:tc>
          <w:tcPr>
            <w:tcW w:w="1272" w:type="dxa"/>
            <w:vMerge/>
            <w:tcBorders>
              <w:left w:val="single" w:sz="4" w:space="0" w:color="000000"/>
              <w:bottom w:val="single" w:sz="4" w:space="0" w:color="000000"/>
              <w:right w:val="single" w:sz="4" w:space="0" w:color="000000"/>
            </w:tcBorders>
          </w:tcPr>
          <w:p>
            <w:pPr/>
          </w:p>
        </w:tc>
        <w:tc>
          <w:tcPr>
            <w:tcW w:w="1416" w:type="dxa"/>
            <w:vMerge/>
            <w:tcBorders>
              <w:left w:val="single" w:sz="4" w:space="0" w:color="000000"/>
              <w:bottom w:val="single" w:sz="4" w:space="0" w:color="000000"/>
              <w:right w:val="single" w:sz="4" w:space="0" w:color="000000"/>
            </w:tcBorders>
          </w:tcPr>
          <w:p>
            <w:pPr/>
          </w:p>
        </w:tc>
      </w:tr>
      <w:tr>
        <w:trPr>
          <w:trHeight w:val="178"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05" w:right="0"/>
              <w:jc w:val="left"/>
              <w:rPr>
                <w:rFonts w:ascii="宋体" w:hAnsi="宋体" w:cs="宋体" w:eastAsia="宋体" w:hint="default"/>
                <w:sz w:val="13"/>
                <w:szCs w:val="13"/>
              </w:rPr>
            </w:pPr>
            <w:r>
              <w:rPr>
                <w:rFonts w:ascii="宋体" w:hAnsi="宋体" w:cs="宋体" w:eastAsia="宋体" w:hint="default"/>
                <w:sz w:val="13"/>
                <w:szCs w:val="13"/>
              </w:rPr>
              <w:t>一、上年期末余额</w:t>
            </w:r>
            <w:r>
              <w:rPr>
                <w:rFonts w:ascii="宋体" w:hAnsi="宋体" w:cs="宋体" w:eastAsia="宋体" w:hint="default"/>
                <w:sz w:val="13"/>
                <w:szCs w:val="13"/>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5"/>
                <w:sz w:val="13"/>
              </w:rPr>
              <w:t>1,764,091,819.00 </w:t>
            </w:r>
            <w:r>
              <w:rPr>
                <w:rFonts w:ascii="宋体"/>
                <w:sz w:val="13"/>
              </w:rPr>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5"/>
                <w:sz w:val="13"/>
              </w:rPr>
              <w:t>648,695,328.93 </w:t>
            </w:r>
            <w:r>
              <w:rPr>
                <w:rFonts w:ascii="宋体"/>
                <w:sz w:val="13"/>
              </w:rPr>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5"/>
              <w:jc w:val="right"/>
              <w:rPr>
                <w:rFonts w:ascii="宋体" w:hAnsi="宋体" w:cs="宋体" w:eastAsia="宋体" w:hint="default"/>
                <w:sz w:val="13"/>
                <w:szCs w:val="13"/>
              </w:rPr>
            </w:pPr>
            <w:r>
              <w:rPr>
                <w:rFonts w:ascii="宋体"/>
                <w:w w:val="95"/>
                <w:sz w:val="13"/>
              </w:rPr>
              <w:t>5,067,998,389.03 </w:t>
            </w:r>
            <w:r>
              <w:rPr>
                <w:rFonts w:ascii="宋体"/>
                <w:sz w:val="13"/>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5"/>
                <w:sz w:val="13"/>
              </w:rPr>
              <w:t>97,020,000.00 </w:t>
            </w:r>
            <w:r>
              <w:rPr>
                <w:rFonts w:ascii="宋体"/>
                <w:sz w:val="13"/>
              </w:rPr>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sz w:val="13"/>
              </w:rPr>
              <w:t>-25,436.18 </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5"/>
                <w:sz w:val="13"/>
              </w:rPr>
              <w:t>218,953,605.18 </w:t>
            </w:r>
            <w:r>
              <w:rPr>
                <w:rFonts w:ascii="宋体"/>
                <w:sz w:val="13"/>
              </w:rPr>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5"/>
                <w:sz w:val="13"/>
              </w:rPr>
              <w:t>2,047,601,739.26 </w:t>
            </w:r>
            <w:r>
              <w:rPr>
                <w:rFonts w:ascii="宋体"/>
                <w:sz w:val="13"/>
              </w:rPr>
            </w:r>
          </w:p>
        </w:tc>
        <w:tc>
          <w:tcPr>
            <w:tcW w:w="423"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5"/>
              <w:jc w:val="right"/>
              <w:rPr>
                <w:rFonts w:ascii="宋体" w:hAnsi="宋体" w:cs="宋体" w:eastAsia="宋体" w:hint="default"/>
                <w:sz w:val="13"/>
                <w:szCs w:val="13"/>
              </w:rPr>
            </w:pPr>
            <w:r>
              <w:rPr>
                <w:rFonts w:ascii="宋体"/>
                <w:w w:val="95"/>
                <w:sz w:val="13"/>
              </w:rPr>
              <w:t>9,650,295,445.22 </w:t>
            </w:r>
            <w:r>
              <w:rPr>
                <w:rFonts w:ascii="宋体"/>
                <w:sz w:val="13"/>
              </w:rPr>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5"/>
                <w:sz w:val="13"/>
              </w:rPr>
              <w:t>142,476,593.67 </w:t>
            </w:r>
            <w:r>
              <w:rPr>
                <w:rFonts w:ascii="宋体"/>
                <w:sz w:val="13"/>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5"/>
              <w:jc w:val="right"/>
              <w:rPr>
                <w:rFonts w:ascii="宋体" w:hAnsi="宋体" w:cs="宋体" w:eastAsia="宋体" w:hint="default"/>
                <w:sz w:val="13"/>
                <w:szCs w:val="13"/>
              </w:rPr>
            </w:pPr>
            <w:r>
              <w:rPr>
                <w:rFonts w:ascii="宋体"/>
                <w:w w:val="95"/>
                <w:sz w:val="13"/>
              </w:rPr>
              <w:t>9,792,772,038.89 </w:t>
            </w:r>
            <w:r>
              <w:rPr>
                <w:rFonts w:ascii="宋体"/>
                <w:sz w:val="13"/>
              </w:rPr>
            </w:r>
          </w:p>
        </w:tc>
      </w:tr>
      <w:tr>
        <w:trPr>
          <w:trHeight w:val="180"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left="105" w:right="0"/>
              <w:jc w:val="left"/>
              <w:rPr>
                <w:rFonts w:ascii="宋体" w:hAnsi="宋体" w:cs="宋体" w:eastAsia="宋体" w:hint="default"/>
                <w:sz w:val="13"/>
                <w:szCs w:val="13"/>
              </w:rPr>
            </w:pPr>
            <w:r>
              <w:rPr>
                <w:rFonts w:ascii="宋体" w:hAnsi="宋体" w:cs="宋体" w:eastAsia="宋体" w:hint="default"/>
                <w:sz w:val="13"/>
                <w:szCs w:val="13"/>
              </w:rPr>
              <w:t>加：会计政策变更</w:t>
            </w:r>
            <w:r>
              <w:rPr>
                <w:rFonts w:ascii="宋体" w:hAnsi="宋体" w:cs="宋体" w:eastAsia="宋体" w:hint="default"/>
                <w:sz w:val="13"/>
                <w:szCs w:val="13"/>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423"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35"/>
              <w:jc w:val="right"/>
              <w:rPr>
                <w:rFonts w:ascii="宋体" w:hAnsi="宋体" w:cs="宋体" w:eastAsia="宋体" w:hint="default"/>
                <w:sz w:val="13"/>
                <w:szCs w:val="13"/>
              </w:rPr>
            </w:pPr>
            <w:r>
              <w:rPr>
                <w:rFonts w:ascii="宋体"/>
                <w:w w:val="99"/>
                <w:sz w:val="13"/>
              </w:rPr>
              <w:t> </w:t>
            </w:r>
            <w:r>
              <w:rPr>
                <w:rFonts w:ascii="宋体"/>
                <w:sz w:val="13"/>
              </w:rPr>
            </w:r>
          </w:p>
        </w:tc>
      </w:tr>
      <w:tr>
        <w:trPr>
          <w:trHeight w:val="178"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364" w:right="0"/>
              <w:jc w:val="left"/>
              <w:rPr>
                <w:rFonts w:ascii="宋体" w:hAnsi="宋体" w:cs="宋体" w:eastAsia="宋体" w:hint="default"/>
                <w:sz w:val="13"/>
                <w:szCs w:val="13"/>
              </w:rPr>
            </w:pPr>
            <w:r>
              <w:rPr>
                <w:rFonts w:ascii="宋体" w:hAnsi="宋体" w:cs="宋体" w:eastAsia="宋体" w:hint="default"/>
                <w:sz w:val="13"/>
                <w:szCs w:val="13"/>
              </w:rPr>
              <w:t>前期差错更正</w:t>
            </w:r>
            <w:r>
              <w:rPr>
                <w:rFonts w:ascii="宋体" w:hAnsi="宋体" w:cs="宋体" w:eastAsia="宋体" w:hint="default"/>
                <w:sz w:val="13"/>
                <w:szCs w:val="13"/>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423"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5"/>
              <w:jc w:val="right"/>
              <w:rPr>
                <w:rFonts w:ascii="宋体" w:hAnsi="宋体" w:cs="宋体" w:eastAsia="宋体" w:hint="default"/>
                <w:sz w:val="13"/>
                <w:szCs w:val="13"/>
              </w:rPr>
            </w:pPr>
            <w:r>
              <w:rPr>
                <w:rFonts w:ascii="宋体"/>
                <w:w w:val="99"/>
                <w:sz w:val="13"/>
              </w:rPr>
              <w:t> </w:t>
            </w:r>
            <w:r>
              <w:rPr>
                <w:rFonts w:ascii="宋体"/>
                <w:sz w:val="13"/>
              </w:rPr>
            </w:r>
          </w:p>
        </w:tc>
      </w:tr>
      <w:tr>
        <w:trPr>
          <w:trHeight w:val="180"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364" w:right="0"/>
              <w:jc w:val="left"/>
              <w:rPr>
                <w:rFonts w:ascii="宋体" w:hAnsi="宋体" w:cs="宋体" w:eastAsia="宋体" w:hint="default"/>
                <w:sz w:val="13"/>
                <w:szCs w:val="13"/>
              </w:rPr>
            </w:pPr>
            <w:r>
              <w:rPr>
                <w:rFonts w:ascii="宋体" w:hAnsi="宋体" w:cs="宋体" w:eastAsia="宋体" w:hint="default"/>
                <w:sz w:val="13"/>
                <w:szCs w:val="13"/>
              </w:rPr>
              <w:t>同一控制下企业合并</w:t>
            </w:r>
            <w:r>
              <w:rPr>
                <w:rFonts w:ascii="宋体" w:hAnsi="宋体" w:cs="宋体" w:eastAsia="宋体" w:hint="default"/>
                <w:sz w:val="13"/>
                <w:szCs w:val="13"/>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423"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5"/>
              <w:jc w:val="right"/>
              <w:rPr>
                <w:rFonts w:ascii="宋体" w:hAnsi="宋体" w:cs="宋体" w:eastAsia="宋体" w:hint="default"/>
                <w:sz w:val="13"/>
                <w:szCs w:val="13"/>
              </w:rPr>
            </w:pPr>
            <w:r>
              <w:rPr>
                <w:rFonts w:ascii="宋体"/>
                <w:w w:val="99"/>
                <w:sz w:val="13"/>
              </w:rPr>
              <w:t> </w:t>
            </w:r>
            <w:r>
              <w:rPr>
                <w:rFonts w:ascii="宋体"/>
                <w:sz w:val="13"/>
              </w:rPr>
            </w:r>
          </w:p>
        </w:tc>
      </w:tr>
      <w:tr>
        <w:trPr>
          <w:trHeight w:val="178"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364" w:right="0"/>
              <w:jc w:val="left"/>
              <w:rPr>
                <w:rFonts w:ascii="宋体" w:hAnsi="宋体" w:cs="宋体" w:eastAsia="宋体" w:hint="default"/>
                <w:sz w:val="13"/>
                <w:szCs w:val="13"/>
              </w:rPr>
            </w:pPr>
            <w:r>
              <w:rPr>
                <w:rFonts w:ascii="宋体" w:hAnsi="宋体" w:cs="宋体" w:eastAsia="宋体" w:hint="default"/>
                <w:sz w:val="13"/>
                <w:szCs w:val="13"/>
              </w:rPr>
              <w:t>其他</w:t>
            </w:r>
            <w:r>
              <w:rPr>
                <w:rFonts w:ascii="宋体" w:hAnsi="宋体" w:cs="宋体" w:eastAsia="宋体" w:hint="default"/>
                <w:sz w:val="13"/>
                <w:szCs w:val="13"/>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423"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5"/>
              <w:jc w:val="right"/>
              <w:rPr>
                <w:rFonts w:ascii="宋体" w:hAnsi="宋体" w:cs="宋体" w:eastAsia="宋体" w:hint="default"/>
                <w:sz w:val="13"/>
                <w:szCs w:val="13"/>
              </w:rPr>
            </w:pPr>
            <w:r>
              <w:rPr>
                <w:rFonts w:ascii="宋体"/>
                <w:w w:val="99"/>
                <w:sz w:val="13"/>
              </w:rPr>
              <w:t> </w:t>
            </w:r>
            <w:r>
              <w:rPr>
                <w:rFonts w:ascii="宋体"/>
                <w:sz w:val="13"/>
              </w:rPr>
            </w:r>
          </w:p>
        </w:tc>
      </w:tr>
      <w:tr>
        <w:trPr>
          <w:trHeight w:val="178"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05" w:right="0"/>
              <w:jc w:val="left"/>
              <w:rPr>
                <w:rFonts w:ascii="宋体" w:hAnsi="宋体" w:cs="宋体" w:eastAsia="宋体" w:hint="default"/>
                <w:sz w:val="13"/>
                <w:szCs w:val="13"/>
              </w:rPr>
            </w:pPr>
            <w:r>
              <w:rPr>
                <w:rFonts w:ascii="宋体" w:hAnsi="宋体" w:cs="宋体" w:eastAsia="宋体" w:hint="default"/>
                <w:sz w:val="13"/>
                <w:szCs w:val="13"/>
              </w:rPr>
              <w:t>二、本年期初余额</w:t>
            </w:r>
            <w:r>
              <w:rPr>
                <w:rFonts w:ascii="宋体" w:hAnsi="宋体" w:cs="宋体" w:eastAsia="宋体" w:hint="default"/>
                <w:sz w:val="13"/>
                <w:szCs w:val="13"/>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5"/>
                <w:sz w:val="13"/>
              </w:rPr>
              <w:t>1,764,091,819.00 </w:t>
            </w:r>
            <w:r>
              <w:rPr>
                <w:rFonts w:ascii="宋体"/>
                <w:sz w:val="13"/>
              </w:rPr>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5"/>
                <w:sz w:val="13"/>
              </w:rPr>
              <w:t>648,695,328.93 </w:t>
            </w:r>
            <w:r>
              <w:rPr>
                <w:rFonts w:ascii="宋体"/>
                <w:sz w:val="13"/>
              </w:rPr>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5"/>
              <w:jc w:val="right"/>
              <w:rPr>
                <w:rFonts w:ascii="宋体" w:hAnsi="宋体" w:cs="宋体" w:eastAsia="宋体" w:hint="default"/>
                <w:sz w:val="13"/>
                <w:szCs w:val="13"/>
              </w:rPr>
            </w:pPr>
            <w:r>
              <w:rPr>
                <w:rFonts w:ascii="宋体"/>
                <w:w w:val="95"/>
                <w:sz w:val="13"/>
              </w:rPr>
              <w:t>5,067,998,389.03 </w:t>
            </w:r>
            <w:r>
              <w:rPr>
                <w:rFonts w:ascii="宋体"/>
                <w:sz w:val="13"/>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5"/>
                <w:sz w:val="13"/>
              </w:rPr>
              <w:t>97,020,000.00 </w:t>
            </w:r>
            <w:r>
              <w:rPr>
                <w:rFonts w:ascii="宋体"/>
                <w:sz w:val="13"/>
              </w:rPr>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sz w:val="13"/>
              </w:rPr>
              <w:t>-25,436.18 </w:t>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5"/>
                <w:sz w:val="13"/>
              </w:rPr>
              <w:t>218,953,605.18 </w:t>
            </w:r>
            <w:r>
              <w:rPr>
                <w:rFonts w:ascii="宋体"/>
                <w:sz w:val="13"/>
              </w:rPr>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5"/>
                <w:sz w:val="13"/>
              </w:rPr>
              <w:t>2,047,601,739.26 </w:t>
            </w:r>
            <w:r>
              <w:rPr>
                <w:rFonts w:ascii="宋体"/>
                <w:sz w:val="13"/>
              </w:rPr>
            </w:r>
          </w:p>
        </w:tc>
        <w:tc>
          <w:tcPr>
            <w:tcW w:w="423"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5"/>
              <w:jc w:val="right"/>
              <w:rPr>
                <w:rFonts w:ascii="宋体" w:hAnsi="宋体" w:cs="宋体" w:eastAsia="宋体" w:hint="default"/>
                <w:sz w:val="13"/>
                <w:szCs w:val="13"/>
              </w:rPr>
            </w:pPr>
            <w:r>
              <w:rPr>
                <w:rFonts w:ascii="宋体"/>
                <w:w w:val="95"/>
                <w:sz w:val="13"/>
              </w:rPr>
              <w:t>9,650,295,445.22 </w:t>
            </w:r>
            <w:r>
              <w:rPr>
                <w:rFonts w:ascii="宋体"/>
                <w:sz w:val="13"/>
              </w:rPr>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5"/>
                <w:sz w:val="13"/>
              </w:rPr>
              <w:t>142,476,593.67 </w:t>
            </w:r>
            <w:r>
              <w:rPr>
                <w:rFonts w:ascii="宋体"/>
                <w:sz w:val="13"/>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5"/>
              <w:jc w:val="right"/>
              <w:rPr>
                <w:rFonts w:ascii="宋体" w:hAnsi="宋体" w:cs="宋体" w:eastAsia="宋体" w:hint="default"/>
                <w:sz w:val="13"/>
                <w:szCs w:val="13"/>
              </w:rPr>
            </w:pPr>
            <w:r>
              <w:rPr>
                <w:rFonts w:ascii="宋体"/>
                <w:w w:val="95"/>
                <w:sz w:val="13"/>
              </w:rPr>
              <w:t>9,792,772,038.89 </w:t>
            </w:r>
            <w:r>
              <w:rPr>
                <w:rFonts w:ascii="宋体"/>
                <w:sz w:val="13"/>
              </w:rPr>
            </w:r>
          </w:p>
        </w:tc>
      </w:tr>
      <w:tr>
        <w:trPr>
          <w:trHeight w:val="348"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left="105" w:right="0"/>
              <w:jc w:val="left"/>
              <w:rPr>
                <w:rFonts w:ascii="宋体" w:hAnsi="宋体" w:cs="宋体" w:eastAsia="宋体" w:hint="default"/>
                <w:sz w:val="13"/>
                <w:szCs w:val="13"/>
              </w:rPr>
            </w:pPr>
            <w:r>
              <w:rPr>
                <w:rFonts w:ascii="宋体" w:hAnsi="宋体" w:cs="宋体" w:eastAsia="宋体" w:hint="default"/>
                <w:spacing w:val="-7"/>
                <w:sz w:val="13"/>
                <w:szCs w:val="13"/>
              </w:rPr>
              <w:t>三、本期增减变动金额（减</w:t>
            </w:r>
          </w:p>
          <w:p>
            <w:pPr>
              <w:pStyle w:val="TableParagraph"/>
              <w:spacing w:line="169" w:lineRule="exact"/>
              <w:ind w:left="105" w:right="0"/>
              <w:jc w:val="left"/>
              <w:rPr>
                <w:rFonts w:ascii="宋体" w:hAnsi="宋体" w:cs="宋体" w:eastAsia="宋体" w:hint="default"/>
                <w:sz w:val="13"/>
                <w:szCs w:val="13"/>
              </w:rPr>
            </w:pPr>
            <w:r>
              <w:rPr>
                <w:rFonts w:ascii="宋体" w:hAnsi="宋体" w:cs="宋体" w:eastAsia="宋体" w:hint="default"/>
                <w:sz w:val="13"/>
                <w:szCs w:val="13"/>
              </w:rPr>
              <w:t>少以“－”号填列）</w:t>
            </w:r>
            <w:r>
              <w:rPr>
                <w:rFonts w:ascii="宋体" w:hAnsi="宋体" w:cs="宋体" w:eastAsia="宋体" w:hint="default"/>
                <w:sz w:val="13"/>
                <w:szCs w:val="13"/>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6"/>
              <w:jc w:val="right"/>
              <w:rPr>
                <w:rFonts w:ascii="宋体" w:hAnsi="宋体" w:cs="宋体" w:eastAsia="宋体" w:hint="default"/>
                <w:sz w:val="13"/>
                <w:szCs w:val="13"/>
              </w:rPr>
            </w:pPr>
            <w:r>
              <w:rPr>
                <w:rFonts w:ascii="宋体"/>
                <w:w w:val="95"/>
                <w:sz w:val="13"/>
              </w:rPr>
              <w:t>1,319,024.00 </w:t>
            </w:r>
            <w:r>
              <w:rPr>
                <w:rFonts w:ascii="宋体"/>
                <w:sz w:val="13"/>
              </w:rPr>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6"/>
              <w:jc w:val="right"/>
              <w:rPr>
                <w:rFonts w:ascii="宋体" w:hAnsi="宋体" w:cs="宋体" w:eastAsia="宋体" w:hint="default"/>
                <w:sz w:val="13"/>
                <w:szCs w:val="13"/>
              </w:rPr>
            </w:pPr>
            <w:r>
              <w:rPr>
                <w:rFonts w:ascii="宋体"/>
                <w:w w:val="99"/>
                <w:sz w:val="13"/>
              </w:rPr>
              <w:t> </w:t>
            </w:r>
            <w:r>
              <w:rPr>
                <w:rFonts w:ascii="宋体"/>
                <w:sz w:val="13"/>
              </w:rPr>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6"/>
              <w:jc w:val="right"/>
              <w:rPr>
                <w:rFonts w:ascii="宋体" w:hAnsi="宋体" w:cs="宋体" w:eastAsia="宋体" w:hint="default"/>
                <w:sz w:val="13"/>
                <w:szCs w:val="13"/>
              </w:rPr>
            </w:pPr>
            <w:r>
              <w:rPr>
                <w:rFonts w:ascii="宋体"/>
                <w:w w:val="99"/>
                <w:sz w:val="13"/>
              </w:rPr>
              <w:t> </w:t>
            </w:r>
            <w:r>
              <w:rPr>
                <w:rFonts w:ascii="宋体"/>
                <w:sz w:val="13"/>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6"/>
              <w:jc w:val="right"/>
              <w:rPr>
                <w:rFonts w:ascii="宋体" w:hAnsi="宋体" w:cs="宋体" w:eastAsia="宋体" w:hint="default"/>
                <w:sz w:val="13"/>
                <w:szCs w:val="13"/>
              </w:rPr>
            </w:pPr>
            <w:r>
              <w:rPr>
                <w:rFonts w:ascii="宋体"/>
                <w:sz w:val="13"/>
              </w:rPr>
              <w:t>-8,433.05 </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5"/>
              <w:jc w:val="right"/>
              <w:rPr>
                <w:rFonts w:ascii="宋体" w:hAnsi="宋体" w:cs="宋体" w:eastAsia="宋体" w:hint="default"/>
                <w:sz w:val="13"/>
                <w:szCs w:val="13"/>
              </w:rPr>
            </w:pPr>
            <w:r>
              <w:rPr>
                <w:rFonts w:ascii="宋体"/>
                <w:w w:val="95"/>
                <w:sz w:val="13"/>
              </w:rPr>
              <w:t>-7,867,140.23 </w:t>
            </w:r>
            <w:r>
              <w:rPr>
                <w:rFonts w:ascii="宋体"/>
                <w:sz w:val="13"/>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6"/>
              <w:jc w:val="right"/>
              <w:rPr>
                <w:rFonts w:ascii="宋体" w:hAnsi="宋体" w:cs="宋体" w:eastAsia="宋体" w:hint="default"/>
                <w:sz w:val="13"/>
                <w:szCs w:val="13"/>
              </w:rPr>
            </w:pPr>
            <w:r>
              <w:rPr>
                <w:rFonts w:ascii="宋体"/>
                <w:w w:val="95"/>
                <w:sz w:val="13"/>
              </w:rPr>
              <w:t>76,495,620.20 </w:t>
            </w:r>
            <w:r>
              <w:rPr>
                <w:rFonts w:ascii="宋体"/>
                <w:sz w:val="13"/>
              </w:rPr>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6"/>
              <w:jc w:val="right"/>
              <w:rPr>
                <w:rFonts w:ascii="宋体" w:hAnsi="宋体" w:cs="宋体" w:eastAsia="宋体" w:hint="default"/>
                <w:sz w:val="13"/>
                <w:szCs w:val="13"/>
              </w:rPr>
            </w:pPr>
            <w:r>
              <w:rPr>
                <w:rFonts w:ascii="宋体"/>
                <w:w w:val="95"/>
                <w:sz w:val="13"/>
              </w:rPr>
              <w:t>1,467,193.73 </w:t>
            </w:r>
            <w:r>
              <w:rPr>
                <w:rFonts w:ascii="宋体"/>
                <w:sz w:val="13"/>
              </w:rPr>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6"/>
              <w:jc w:val="right"/>
              <w:rPr>
                <w:rFonts w:ascii="宋体" w:hAnsi="宋体" w:cs="宋体" w:eastAsia="宋体" w:hint="default"/>
                <w:sz w:val="13"/>
                <w:szCs w:val="13"/>
              </w:rPr>
            </w:pPr>
            <w:r>
              <w:rPr>
                <w:rFonts w:ascii="宋体"/>
                <w:w w:val="99"/>
                <w:sz w:val="13"/>
              </w:rPr>
              <w:t> </w:t>
            </w:r>
            <w:r>
              <w:rPr>
                <w:rFonts w:ascii="宋体"/>
                <w:sz w:val="13"/>
              </w:rPr>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6"/>
              <w:jc w:val="right"/>
              <w:rPr>
                <w:rFonts w:ascii="宋体" w:hAnsi="宋体" w:cs="宋体" w:eastAsia="宋体" w:hint="default"/>
                <w:sz w:val="13"/>
                <w:szCs w:val="13"/>
              </w:rPr>
            </w:pPr>
            <w:r>
              <w:rPr>
                <w:rFonts w:ascii="宋体"/>
                <w:w w:val="95"/>
                <w:sz w:val="13"/>
              </w:rPr>
              <w:t>6,784,715.19 </w:t>
            </w:r>
            <w:r>
              <w:rPr>
                <w:rFonts w:ascii="宋体"/>
                <w:sz w:val="13"/>
              </w:rPr>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6"/>
              <w:jc w:val="right"/>
              <w:rPr>
                <w:rFonts w:ascii="宋体" w:hAnsi="宋体" w:cs="宋体" w:eastAsia="宋体" w:hint="default"/>
                <w:sz w:val="13"/>
                <w:szCs w:val="13"/>
              </w:rPr>
            </w:pPr>
            <w:r>
              <w:rPr>
                <w:rFonts w:ascii="宋体"/>
                <w:w w:val="99"/>
                <w:sz w:val="13"/>
              </w:rPr>
              <w:t> </w:t>
            </w:r>
            <w:r>
              <w:rPr>
                <w:rFonts w:ascii="宋体"/>
                <w:sz w:val="13"/>
              </w:rPr>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6"/>
              <w:jc w:val="right"/>
              <w:rPr>
                <w:rFonts w:ascii="宋体" w:hAnsi="宋体" w:cs="宋体" w:eastAsia="宋体" w:hint="default"/>
                <w:sz w:val="13"/>
                <w:szCs w:val="13"/>
              </w:rPr>
            </w:pPr>
            <w:r>
              <w:rPr>
                <w:rFonts w:ascii="宋体"/>
                <w:w w:val="95"/>
                <w:sz w:val="13"/>
              </w:rPr>
              <w:t>700,189,164.24 </w:t>
            </w:r>
            <w:r>
              <w:rPr>
                <w:rFonts w:ascii="宋体"/>
                <w:sz w:val="13"/>
              </w:rPr>
            </w:r>
          </w:p>
        </w:tc>
        <w:tc>
          <w:tcPr>
            <w:tcW w:w="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5"/>
              <w:jc w:val="right"/>
              <w:rPr>
                <w:rFonts w:ascii="宋体" w:hAnsi="宋体" w:cs="宋体" w:eastAsia="宋体" w:hint="default"/>
                <w:sz w:val="13"/>
                <w:szCs w:val="13"/>
              </w:rPr>
            </w:pPr>
            <w:r>
              <w:rPr>
                <w:rFonts w:ascii="宋体"/>
                <w:w w:val="99"/>
                <w:sz w:val="13"/>
              </w:rPr>
              <w:t> </w:t>
            </w:r>
            <w:r>
              <w:rPr>
                <w:rFonts w:ascii="宋体"/>
                <w:sz w:val="13"/>
              </w:rPr>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5"/>
              <w:jc w:val="right"/>
              <w:rPr>
                <w:rFonts w:ascii="宋体" w:hAnsi="宋体" w:cs="宋体" w:eastAsia="宋体" w:hint="default"/>
                <w:sz w:val="13"/>
                <w:szCs w:val="13"/>
              </w:rPr>
            </w:pPr>
            <w:r>
              <w:rPr>
                <w:rFonts w:ascii="宋体"/>
                <w:w w:val="95"/>
                <w:sz w:val="13"/>
              </w:rPr>
              <w:t>625,388,903.68 </w:t>
            </w:r>
            <w:r>
              <w:rPr>
                <w:rFonts w:ascii="宋体"/>
                <w:sz w:val="13"/>
              </w:rPr>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6"/>
              <w:jc w:val="right"/>
              <w:rPr>
                <w:rFonts w:ascii="宋体" w:hAnsi="宋体" w:cs="宋体" w:eastAsia="宋体" w:hint="default"/>
                <w:sz w:val="13"/>
                <w:szCs w:val="13"/>
              </w:rPr>
            </w:pPr>
            <w:r>
              <w:rPr>
                <w:rFonts w:ascii="宋体"/>
                <w:w w:val="95"/>
                <w:sz w:val="13"/>
              </w:rPr>
              <w:t>-117,630,631.87 </w:t>
            </w:r>
            <w:r>
              <w:rPr>
                <w:rFonts w:ascii="宋体"/>
                <w:sz w:val="13"/>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5"/>
              <w:jc w:val="right"/>
              <w:rPr>
                <w:rFonts w:ascii="宋体" w:hAnsi="宋体" w:cs="宋体" w:eastAsia="宋体" w:hint="default"/>
                <w:sz w:val="13"/>
                <w:szCs w:val="13"/>
              </w:rPr>
            </w:pPr>
            <w:r>
              <w:rPr>
                <w:rFonts w:ascii="宋体"/>
                <w:w w:val="95"/>
                <w:sz w:val="13"/>
              </w:rPr>
              <w:t>507,758,271.81 </w:t>
            </w:r>
            <w:r>
              <w:rPr>
                <w:rFonts w:ascii="宋体"/>
                <w:sz w:val="13"/>
              </w:rPr>
            </w:r>
          </w:p>
        </w:tc>
      </w:tr>
      <w:tr>
        <w:trPr>
          <w:trHeight w:val="180"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05" w:right="0"/>
              <w:jc w:val="left"/>
              <w:rPr>
                <w:rFonts w:ascii="宋体" w:hAnsi="宋体" w:cs="宋体" w:eastAsia="宋体" w:hint="default"/>
                <w:sz w:val="13"/>
                <w:szCs w:val="13"/>
              </w:rPr>
            </w:pPr>
            <w:r>
              <w:rPr>
                <w:rFonts w:ascii="宋体" w:hAnsi="宋体" w:cs="宋体" w:eastAsia="宋体" w:hint="default"/>
                <w:sz w:val="13"/>
                <w:szCs w:val="13"/>
              </w:rPr>
              <w:t>（一）综合收益总额</w:t>
            </w:r>
            <w:r>
              <w:rPr>
                <w:rFonts w:ascii="宋体" w:hAnsi="宋体" w:cs="宋体" w:eastAsia="宋体" w:hint="default"/>
                <w:sz w:val="13"/>
                <w:szCs w:val="13"/>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5"/>
                <w:sz w:val="13"/>
              </w:rPr>
              <w:t>1,467,193.73 </w:t>
            </w:r>
            <w:r>
              <w:rPr>
                <w:rFonts w:ascii="宋体"/>
                <w:sz w:val="13"/>
              </w:rPr>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5"/>
                <w:sz w:val="13"/>
              </w:rPr>
              <w:t>777,590,285.79 </w:t>
            </w:r>
            <w:r>
              <w:rPr>
                <w:rFonts w:ascii="宋体"/>
                <w:sz w:val="13"/>
              </w:rPr>
            </w:r>
          </w:p>
        </w:tc>
        <w:tc>
          <w:tcPr>
            <w:tcW w:w="423"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5"/>
              <w:jc w:val="right"/>
              <w:rPr>
                <w:rFonts w:ascii="宋体" w:hAnsi="宋体" w:cs="宋体" w:eastAsia="宋体" w:hint="default"/>
                <w:sz w:val="13"/>
                <w:szCs w:val="13"/>
              </w:rPr>
            </w:pPr>
            <w:r>
              <w:rPr>
                <w:rFonts w:ascii="宋体"/>
                <w:w w:val="95"/>
                <w:sz w:val="13"/>
              </w:rPr>
              <w:t>779,057,479.52 </w:t>
            </w:r>
            <w:r>
              <w:rPr>
                <w:rFonts w:ascii="宋体"/>
                <w:sz w:val="13"/>
              </w:rPr>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5"/>
                <w:sz w:val="13"/>
              </w:rPr>
              <w:t>4,568,528.38 </w:t>
            </w:r>
            <w:r>
              <w:rPr>
                <w:rFonts w:ascii="宋体"/>
                <w:sz w:val="13"/>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5"/>
              <w:jc w:val="right"/>
              <w:rPr>
                <w:rFonts w:ascii="宋体" w:hAnsi="宋体" w:cs="宋体" w:eastAsia="宋体" w:hint="default"/>
                <w:sz w:val="13"/>
                <w:szCs w:val="13"/>
              </w:rPr>
            </w:pPr>
            <w:r>
              <w:rPr>
                <w:rFonts w:ascii="宋体"/>
                <w:w w:val="95"/>
                <w:sz w:val="13"/>
              </w:rPr>
              <w:t>783,626,007.90 </w:t>
            </w:r>
            <w:r>
              <w:rPr>
                <w:rFonts w:ascii="宋体"/>
                <w:sz w:val="13"/>
              </w:rPr>
            </w:r>
          </w:p>
        </w:tc>
      </w:tr>
      <w:tr>
        <w:trPr>
          <w:trHeight w:val="346"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144" w:lineRule="exact"/>
              <w:ind w:left="105" w:right="0"/>
              <w:jc w:val="left"/>
              <w:rPr>
                <w:rFonts w:ascii="宋体" w:hAnsi="宋体" w:cs="宋体" w:eastAsia="宋体" w:hint="default"/>
                <w:sz w:val="13"/>
                <w:szCs w:val="13"/>
              </w:rPr>
            </w:pPr>
            <w:r>
              <w:rPr>
                <w:rFonts w:ascii="宋体" w:hAnsi="宋体" w:cs="宋体" w:eastAsia="宋体" w:hint="default"/>
                <w:sz w:val="13"/>
                <w:szCs w:val="13"/>
              </w:rPr>
              <w:t>（二）所有者投入和减少</w:t>
            </w:r>
          </w:p>
          <w:p>
            <w:pPr>
              <w:pStyle w:val="TableParagraph"/>
              <w:spacing w:line="169" w:lineRule="exact"/>
              <w:ind w:left="105" w:right="0"/>
              <w:jc w:val="left"/>
              <w:rPr>
                <w:rFonts w:ascii="宋体" w:hAnsi="宋体" w:cs="宋体" w:eastAsia="宋体" w:hint="default"/>
                <w:sz w:val="13"/>
                <w:szCs w:val="13"/>
              </w:rPr>
            </w:pPr>
            <w:r>
              <w:rPr>
                <w:rFonts w:ascii="宋体" w:hAnsi="宋体" w:cs="宋体" w:eastAsia="宋体" w:hint="default"/>
                <w:sz w:val="13"/>
                <w:szCs w:val="13"/>
              </w:rPr>
              <w:t>资本</w:t>
            </w:r>
            <w:r>
              <w:rPr>
                <w:rFonts w:ascii="宋体" w:hAnsi="宋体" w:cs="宋体" w:eastAsia="宋体" w:hint="default"/>
                <w:sz w:val="13"/>
                <w:szCs w:val="13"/>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36"/>
              <w:jc w:val="right"/>
              <w:rPr>
                <w:rFonts w:ascii="宋体" w:hAnsi="宋体" w:cs="宋体" w:eastAsia="宋体" w:hint="default"/>
                <w:sz w:val="13"/>
                <w:szCs w:val="13"/>
              </w:rPr>
            </w:pPr>
            <w:r>
              <w:rPr>
                <w:rFonts w:ascii="宋体"/>
                <w:w w:val="95"/>
                <w:sz w:val="13"/>
              </w:rPr>
              <w:t>1,319,024.00 </w:t>
            </w:r>
            <w:r>
              <w:rPr>
                <w:rFonts w:ascii="宋体"/>
                <w:sz w:val="13"/>
              </w:rPr>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36"/>
              <w:jc w:val="right"/>
              <w:rPr>
                <w:rFonts w:ascii="宋体" w:hAnsi="宋体" w:cs="宋体" w:eastAsia="宋体" w:hint="default"/>
                <w:sz w:val="13"/>
                <w:szCs w:val="13"/>
              </w:rPr>
            </w:pPr>
            <w:r>
              <w:rPr>
                <w:rFonts w:ascii="宋体"/>
                <w:w w:val="99"/>
                <w:sz w:val="13"/>
              </w:rPr>
              <w:t> </w:t>
            </w:r>
            <w:r>
              <w:rPr>
                <w:rFonts w:ascii="宋体"/>
                <w:sz w:val="13"/>
              </w:rPr>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36"/>
              <w:jc w:val="right"/>
              <w:rPr>
                <w:rFonts w:ascii="宋体" w:hAnsi="宋体" w:cs="宋体" w:eastAsia="宋体" w:hint="default"/>
                <w:sz w:val="13"/>
                <w:szCs w:val="13"/>
              </w:rPr>
            </w:pPr>
            <w:r>
              <w:rPr>
                <w:rFonts w:ascii="宋体"/>
                <w:w w:val="99"/>
                <w:sz w:val="13"/>
              </w:rPr>
              <w:t> </w:t>
            </w:r>
            <w:r>
              <w:rPr>
                <w:rFonts w:ascii="宋体"/>
                <w:sz w:val="13"/>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36"/>
              <w:jc w:val="right"/>
              <w:rPr>
                <w:rFonts w:ascii="宋体" w:hAnsi="宋体" w:cs="宋体" w:eastAsia="宋体" w:hint="default"/>
                <w:sz w:val="13"/>
                <w:szCs w:val="13"/>
              </w:rPr>
            </w:pPr>
            <w:r>
              <w:rPr>
                <w:rFonts w:ascii="宋体"/>
                <w:sz w:val="13"/>
              </w:rPr>
              <w:t>-8,433.05 </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35"/>
              <w:jc w:val="right"/>
              <w:rPr>
                <w:rFonts w:ascii="宋体" w:hAnsi="宋体" w:cs="宋体" w:eastAsia="宋体" w:hint="default"/>
                <w:sz w:val="13"/>
                <w:szCs w:val="13"/>
              </w:rPr>
            </w:pPr>
            <w:r>
              <w:rPr>
                <w:rFonts w:ascii="宋体"/>
                <w:w w:val="95"/>
                <w:sz w:val="13"/>
              </w:rPr>
              <w:t>-7,867,140.23 </w:t>
            </w:r>
            <w:r>
              <w:rPr>
                <w:rFonts w:ascii="宋体"/>
                <w:sz w:val="13"/>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36"/>
              <w:jc w:val="right"/>
              <w:rPr>
                <w:rFonts w:ascii="宋体" w:hAnsi="宋体" w:cs="宋体" w:eastAsia="宋体" w:hint="default"/>
                <w:sz w:val="13"/>
                <w:szCs w:val="13"/>
              </w:rPr>
            </w:pPr>
            <w:r>
              <w:rPr>
                <w:rFonts w:ascii="宋体"/>
                <w:w w:val="95"/>
                <w:sz w:val="13"/>
              </w:rPr>
              <w:t>76,495,620.20 </w:t>
            </w:r>
            <w:r>
              <w:rPr>
                <w:rFonts w:ascii="宋体"/>
                <w:sz w:val="13"/>
              </w:rPr>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36"/>
              <w:jc w:val="right"/>
              <w:rPr>
                <w:rFonts w:ascii="宋体" w:hAnsi="宋体" w:cs="宋体" w:eastAsia="宋体" w:hint="default"/>
                <w:sz w:val="13"/>
                <w:szCs w:val="13"/>
              </w:rPr>
            </w:pPr>
            <w:r>
              <w:rPr>
                <w:rFonts w:ascii="宋体"/>
                <w:w w:val="99"/>
                <w:sz w:val="13"/>
              </w:rPr>
              <w:t> </w:t>
            </w:r>
            <w:r>
              <w:rPr>
                <w:rFonts w:ascii="宋体"/>
                <w:sz w:val="13"/>
              </w:rPr>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36"/>
              <w:jc w:val="right"/>
              <w:rPr>
                <w:rFonts w:ascii="宋体" w:hAnsi="宋体" w:cs="宋体" w:eastAsia="宋体" w:hint="default"/>
                <w:sz w:val="13"/>
                <w:szCs w:val="13"/>
              </w:rPr>
            </w:pPr>
            <w:r>
              <w:rPr>
                <w:rFonts w:ascii="宋体"/>
                <w:w w:val="99"/>
                <w:sz w:val="13"/>
              </w:rPr>
              <w:t> </w:t>
            </w:r>
            <w:r>
              <w:rPr>
                <w:rFonts w:ascii="宋体"/>
                <w:sz w:val="13"/>
              </w:rPr>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36"/>
              <w:jc w:val="right"/>
              <w:rPr>
                <w:rFonts w:ascii="宋体" w:hAnsi="宋体" w:cs="宋体" w:eastAsia="宋体" w:hint="default"/>
                <w:sz w:val="13"/>
                <w:szCs w:val="13"/>
              </w:rPr>
            </w:pPr>
            <w:r>
              <w:rPr>
                <w:rFonts w:ascii="宋体"/>
                <w:w w:val="99"/>
                <w:sz w:val="13"/>
              </w:rPr>
              <w:t> </w:t>
            </w:r>
            <w:r>
              <w:rPr>
                <w:rFonts w:ascii="宋体"/>
                <w:sz w:val="13"/>
              </w:rPr>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36"/>
              <w:jc w:val="right"/>
              <w:rPr>
                <w:rFonts w:ascii="宋体" w:hAnsi="宋体" w:cs="宋体" w:eastAsia="宋体" w:hint="default"/>
                <w:sz w:val="13"/>
                <w:szCs w:val="13"/>
              </w:rPr>
            </w:pPr>
            <w:r>
              <w:rPr>
                <w:rFonts w:ascii="宋体"/>
                <w:w w:val="99"/>
                <w:sz w:val="13"/>
              </w:rPr>
              <w:t> </w:t>
            </w:r>
            <w:r>
              <w:rPr>
                <w:rFonts w:ascii="宋体"/>
                <w:sz w:val="13"/>
              </w:rPr>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36"/>
              <w:jc w:val="right"/>
              <w:rPr>
                <w:rFonts w:ascii="宋体" w:hAnsi="宋体" w:cs="宋体" w:eastAsia="宋体" w:hint="default"/>
                <w:sz w:val="13"/>
                <w:szCs w:val="13"/>
              </w:rPr>
            </w:pPr>
            <w:r>
              <w:rPr>
                <w:rFonts w:ascii="宋体"/>
                <w:w w:val="99"/>
                <w:sz w:val="13"/>
              </w:rPr>
              <w:t> </w:t>
            </w:r>
            <w:r>
              <w:rPr>
                <w:rFonts w:ascii="宋体"/>
                <w:sz w:val="13"/>
              </w:rPr>
            </w:r>
          </w:p>
        </w:tc>
        <w:tc>
          <w:tcPr>
            <w:tcW w:w="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35"/>
              <w:jc w:val="right"/>
              <w:rPr>
                <w:rFonts w:ascii="宋体" w:hAnsi="宋体" w:cs="宋体" w:eastAsia="宋体" w:hint="default"/>
                <w:sz w:val="13"/>
                <w:szCs w:val="13"/>
              </w:rPr>
            </w:pPr>
            <w:r>
              <w:rPr>
                <w:rFonts w:ascii="宋体"/>
                <w:w w:val="99"/>
                <w:sz w:val="13"/>
              </w:rPr>
              <w:t> </w:t>
            </w:r>
            <w:r>
              <w:rPr>
                <w:rFonts w:ascii="宋体"/>
                <w:sz w:val="13"/>
              </w:rPr>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35"/>
              <w:jc w:val="right"/>
              <w:rPr>
                <w:rFonts w:ascii="宋体" w:hAnsi="宋体" w:cs="宋体" w:eastAsia="宋体" w:hint="default"/>
                <w:sz w:val="13"/>
                <w:szCs w:val="13"/>
              </w:rPr>
            </w:pPr>
            <w:r>
              <w:rPr>
                <w:rFonts w:ascii="宋体"/>
                <w:w w:val="95"/>
                <w:sz w:val="13"/>
              </w:rPr>
              <w:t>-83,052,169.48 </w:t>
            </w:r>
            <w:r>
              <w:rPr>
                <w:rFonts w:ascii="宋体"/>
                <w:sz w:val="13"/>
              </w:rPr>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36"/>
              <w:jc w:val="right"/>
              <w:rPr>
                <w:rFonts w:ascii="宋体" w:hAnsi="宋体" w:cs="宋体" w:eastAsia="宋体" w:hint="default"/>
                <w:sz w:val="13"/>
                <w:szCs w:val="13"/>
              </w:rPr>
            </w:pPr>
            <w:r>
              <w:rPr>
                <w:rFonts w:ascii="宋体"/>
                <w:w w:val="95"/>
                <w:sz w:val="13"/>
              </w:rPr>
              <w:t>-78,611,662.59 </w:t>
            </w:r>
            <w:r>
              <w:rPr>
                <w:rFonts w:ascii="宋体"/>
                <w:sz w:val="13"/>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35"/>
              <w:jc w:val="right"/>
              <w:rPr>
                <w:rFonts w:ascii="宋体" w:hAnsi="宋体" w:cs="宋体" w:eastAsia="宋体" w:hint="default"/>
                <w:sz w:val="13"/>
                <w:szCs w:val="13"/>
              </w:rPr>
            </w:pPr>
            <w:r>
              <w:rPr>
                <w:rFonts w:ascii="宋体"/>
                <w:w w:val="95"/>
                <w:sz w:val="13"/>
              </w:rPr>
              <w:t>-161,663,832.07 </w:t>
            </w:r>
            <w:r>
              <w:rPr>
                <w:rFonts w:ascii="宋体"/>
                <w:sz w:val="13"/>
              </w:rPr>
            </w:r>
          </w:p>
        </w:tc>
      </w:tr>
      <w:tr>
        <w:trPr>
          <w:trHeight w:val="180"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05" w:right="0"/>
              <w:jc w:val="left"/>
              <w:rPr>
                <w:rFonts w:ascii="宋体" w:hAnsi="宋体" w:cs="宋体" w:eastAsia="宋体" w:hint="default"/>
                <w:sz w:val="13"/>
                <w:szCs w:val="13"/>
              </w:rPr>
            </w:pPr>
            <w:r>
              <w:rPr>
                <w:rFonts w:ascii="宋体" w:hAnsi="宋体" w:cs="宋体" w:eastAsia="宋体" w:hint="default"/>
                <w:sz w:val="13"/>
                <w:szCs w:val="13"/>
              </w:rPr>
              <w:t>1</w:t>
            </w:r>
            <w:r>
              <w:rPr>
                <w:rFonts w:ascii="宋体" w:hAnsi="宋体" w:cs="宋体" w:eastAsia="宋体" w:hint="default"/>
                <w:sz w:val="13"/>
                <w:szCs w:val="13"/>
              </w:rPr>
              <w:t>．所有者投入的普通股</w:t>
            </w:r>
            <w:r>
              <w:rPr>
                <w:rFonts w:ascii="宋体" w:hAnsi="宋体" w:cs="宋体" w:eastAsia="宋体" w:hint="default"/>
                <w:sz w:val="13"/>
                <w:szCs w:val="13"/>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5"/>
                <w:sz w:val="13"/>
              </w:rPr>
              <w:t>1,314,600.00 </w:t>
            </w:r>
            <w:r>
              <w:rPr>
                <w:rFonts w:ascii="宋体"/>
                <w:sz w:val="13"/>
              </w:rPr>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5"/>
              <w:jc w:val="right"/>
              <w:rPr>
                <w:rFonts w:ascii="宋体" w:hAnsi="宋体" w:cs="宋体" w:eastAsia="宋体" w:hint="default"/>
                <w:sz w:val="13"/>
                <w:szCs w:val="13"/>
              </w:rPr>
            </w:pPr>
            <w:r>
              <w:rPr>
                <w:rFonts w:ascii="宋体"/>
                <w:w w:val="95"/>
                <w:sz w:val="13"/>
              </w:rPr>
              <w:t>4,751,932.00 </w:t>
            </w:r>
            <w:r>
              <w:rPr>
                <w:rFonts w:ascii="宋体"/>
                <w:sz w:val="13"/>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423"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5"/>
              <w:jc w:val="right"/>
              <w:rPr>
                <w:rFonts w:ascii="宋体" w:hAnsi="宋体" w:cs="宋体" w:eastAsia="宋体" w:hint="default"/>
                <w:sz w:val="13"/>
                <w:szCs w:val="13"/>
              </w:rPr>
            </w:pPr>
            <w:r>
              <w:rPr>
                <w:rFonts w:ascii="宋体"/>
                <w:w w:val="95"/>
                <w:sz w:val="13"/>
              </w:rPr>
              <w:t>6,066,532.00 </w:t>
            </w:r>
            <w:r>
              <w:rPr>
                <w:rFonts w:ascii="宋体"/>
                <w:sz w:val="13"/>
              </w:rPr>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5"/>
                <w:sz w:val="13"/>
              </w:rPr>
              <w:t>-78,611,718.73 </w:t>
            </w:r>
            <w:r>
              <w:rPr>
                <w:rFonts w:ascii="宋体"/>
                <w:sz w:val="13"/>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5"/>
              <w:jc w:val="right"/>
              <w:rPr>
                <w:rFonts w:ascii="宋体" w:hAnsi="宋体" w:cs="宋体" w:eastAsia="宋体" w:hint="default"/>
                <w:sz w:val="13"/>
                <w:szCs w:val="13"/>
              </w:rPr>
            </w:pPr>
            <w:r>
              <w:rPr>
                <w:rFonts w:ascii="宋体"/>
                <w:w w:val="95"/>
                <w:sz w:val="13"/>
              </w:rPr>
              <w:t>-72,545,186.73 </w:t>
            </w:r>
            <w:r>
              <w:rPr>
                <w:rFonts w:ascii="宋体"/>
                <w:sz w:val="13"/>
              </w:rPr>
            </w:r>
          </w:p>
        </w:tc>
      </w:tr>
      <w:tr>
        <w:trPr>
          <w:trHeight w:val="346"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144" w:lineRule="exact"/>
              <w:ind w:left="105" w:right="0"/>
              <w:jc w:val="left"/>
              <w:rPr>
                <w:rFonts w:ascii="宋体" w:hAnsi="宋体" w:cs="宋体" w:eastAsia="宋体" w:hint="default"/>
                <w:sz w:val="13"/>
                <w:szCs w:val="13"/>
              </w:rPr>
            </w:pPr>
            <w:r>
              <w:rPr>
                <w:rFonts w:ascii="宋体" w:hAnsi="宋体" w:cs="宋体" w:eastAsia="宋体" w:hint="default"/>
                <w:sz w:val="13"/>
                <w:szCs w:val="13"/>
              </w:rPr>
              <w:t>2</w:t>
            </w:r>
            <w:r>
              <w:rPr>
                <w:rFonts w:ascii="宋体" w:hAnsi="宋体" w:cs="宋体" w:eastAsia="宋体" w:hint="default"/>
                <w:sz w:val="13"/>
                <w:szCs w:val="13"/>
              </w:rPr>
              <w:t>．其他权益工具持有者投</w:t>
            </w:r>
          </w:p>
          <w:p>
            <w:pPr>
              <w:pStyle w:val="TableParagraph"/>
              <w:spacing w:line="169" w:lineRule="exact"/>
              <w:ind w:left="105" w:right="0"/>
              <w:jc w:val="left"/>
              <w:rPr>
                <w:rFonts w:ascii="宋体" w:hAnsi="宋体" w:cs="宋体" w:eastAsia="宋体" w:hint="default"/>
                <w:sz w:val="13"/>
                <w:szCs w:val="13"/>
              </w:rPr>
            </w:pPr>
            <w:r>
              <w:rPr>
                <w:rFonts w:ascii="宋体" w:hAnsi="宋体" w:cs="宋体" w:eastAsia="宋体" w:hint="default"/>
                <w:sz w:val="13"/>
                <w:szCs w:val="13"/>
              </w:rPr>
              <w:t>入资本</w:t>
            </w:r>
            <w:r>
              <w:rPr>
                <w:rFonts w:ascii="宋体" w:hAnsi="宋体" w:cs="宋体" w:eastAsia="宋体" w:hint="default"/>
                <w:sz w:val="13"/>
                <w:szCs w:val="13"/>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36"/>
              <w:jc w:val="right"/>
              <w:rPr>
                <w:rFonts w:ascii="宋体" w:hAnsi="宋体" w:cs="宋体" w:eastAsia="宋体" w:hint="default"/>
                <w:sz w:val="13"/>
                <w:szCs w:val="13"/>
              </w:rPr>
            </w:pPr>
            <w:r>
              <w:rPr>
                <w:rFonts w:ascii="宋体"/>
                <w:sz w:val="13"/>
              </w:rPr>
              <w:t>4,424.00 </w:t>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36"/>
              <w:jc w:val="right"/>
              <w:rPr>
                <w:rFonts w:ascii="宋体" w:hAnsi="宋体" w:cs="宋体" w:eastAsia="宋体" w:hint="default"/>
                <w:sz w:val="13"/>
                <w:szCs w:val="13"/>
              </w:rPr>
            </w:pPr>
            <w:r>
              <w:rPr>
                <w:rFonts w:ascii="宋体"/>
                <w:w w:val="99"/>
                <w:sz w:val="13"/>
              </w:rPr>
              <w:t> </w:t>
            </w:r>
            <w:r>
              <w:rPr>
                <w:rFonts w:ascii="宋体"/>
                <w:sz w:val="13"/>
              </w:rPr>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36"/>
              <w:jc w:val="right"/>
              <w:rPr>
                <w:rFonts w:ascii="宋体" w:hAnsi="宋体" w:cs="宋体" w:eastAsia="宋体" w:hint="default"/>
                <w:sz w:val="13"/>
                <w:szCs w:val="13"/>
              </w:rPr>
            </w:pPr>
            <w:r>
              <w:rPr>
                <w:rFonts w:ascii="宋体"/>
                <w:w w:val="99"/>
                <w:sz w:val="13"/>
              </w:rPr>
              <w:t> </w:t>
            </w:r>
            <w:r>
              <w:rPr>
                <w:rFonts w:ascii="宋体"/>
                <w:sz w:val="13"/>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36"/>
              <w:jc w:val="right"/>
              <w:rPr>
                <w:rFonts w:ascii="宋体" w:hAnsi="宋体" w:cs="宋体" w:eastAsia="宋体" w:hint="default"/>
                <w:sz w:val="13"/>
                <w:szCs w:val="13"/>
              </w:rPr>
            </w:pPr>
            <w:r>
              <w:rPr>
                <w:rFonts w:ascii="宋体"/>
                <w:sz w:val="13"/>
              </w:rPr>
              <w:t>-8,433.05 </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35"/>
              <w:jc w:val="right"/>
              <w:rPr>
                <w:rFonts w:ascii="宋体" w:hAnsi="宋体" w:cs="宋体" w:eastAsia="宋体" w:hint="default"/>
                <w:sz w:val="13"/>
                <w:szCs w:val="13"/>
              </w:rPr>
            </w:pPr>
            <w:r>
              <w:rPr>
                <w:rFonts w:ascii="宋体"/>
                <w:sz w:val="13"/>
              </w:rPr>
              <w:t>34,416.20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36"/>
              <w:jc w:val="right"/>
              <w:rPr>
                <w:rFonts w:ascii="宋体" w:hAnsi="宋体" w:cs="宋体" w:eastAsia="宋体" w:hint="default"/>
                <w:sz w:val="13"/>
                <w:szCs w:val="13"/>
              </w:rPr>
            </w:pPr>
            <w:r>
              <w:rPr>
                <w:rFonts w:ascii="宋体"/>
                <w:w w:val="99"/>
                <w:sz w:val="13"/>
              </w:rPr>
              <w:t> </w:t>
            </w:r>
            <w:r>
              <w:rPr>
                <w:rFonts w:ascii="宋体"/>
                <w:sz w:val="13"/>
              </w:rPr>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36"/>
              <w:jc w:val="right"/>
              <w:rPr>
                <w:rFonts w:ascii="宋体" w:hAnsi="宋体" w:cs="宋体" w:eastAsia="宋体" w:hint="default"/>
                <w:sz w:val="13"/>
                <w:szCs w:val="13"/>
              </w:rPr>
            </w:pPr>
            <w:r>
              <w:rPr>
                <w:rFonts w:ascii="宋体"/>
                <w:w w:val="99"/>
                <w:sz w:val="13"/>
              </w:rPr>
              <w:t> </w:t>
            </w:r>
            <w:r>
              <w:rPr>
                <w:rFonts w:ascii="宋体"/>
                <w:sz w:val="13"/>
              </w:rPr>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36"/>
              <w:jc w:val="right"/>
              <w:rPr>
                <w:rFonts w:ascii="宋体" w:hAnsi="宋体" w:cs="宋体" w:eastAsia="宋体" w:hint="default"/>
                <w:sz w:val="13"/>
                <w:szCs w:val="13"/>
              </w:rPr>
            </w:pPr>
            <w:r>
              <w:rPr>
                <w:rFonts w:ascii="宋体"/>
                <w:w w:val="99"/>
                <w:sz w:val="13"/>
              </w:rPr>
              <w:t> </w:t>
            </w:r>
            <w:r>
              <w:rPr>
                <w:rFonts w:ascii="宋体"/>
                <w:sz w:val="13"/>
              </w:rPr>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36"/>
              <w:jc w:val="right"/>
              <w:rPr>
                <w:rFonts w:ascii="宋体" w:hAnsi="宋体" w:cs="宋体" w:eastAsia="宋体" w:hint="default"/>
                <w:sz w:val="13"/>
                <w:szCs w:val="13"/>
              </w:rPr>
            </w:pPr>
            <w:r>
              <w:rPr>
                <w:rFonts w:ascii="宋体"/>
                <w:w w:val="99"/>
                <w:sz w:val="13"/>
              </w:rPr>
              <w:t> </w:t>
            </w:r>
            <w:r>
              <w:rPr>
                <w:rFonts w:ascii="宋体"/>
                <w:sz w:val="13"/>
              </w:rPr>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36"/>
              <w:jc w:val="right"/>
              <w:rPr>
                <w:rFonts w:ascii="宋体" w:hAnsi="宋体" w:cs="宋体" w:eastAsia="宋体" w:hint="default"/>
                <w:sz w:val="13"/>
                <w:szCs w:val="13"/>
              </w:rPr>
            </w:pPr>
            <w:r>
              <w:rPr>
                <w:rFonts w:ascii="宋体"/>
                <w:w w:val="99"/>
                <w:sz w:val="13"/>
              </w:rPr>
              <w:t> </w:t>
            </w:r>
            <w:r>
              <w:rPr>
                <w:rFonts w:ascii="宋体"/>
                <w:sz w:val="13"/>
              </w:rPr>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36"/>
              <w:jc w:val="right"/>
              <w:rPr>
                <w:rFonts w:ascii="宋体" w:hAnsi="宋体" w:cs="宋体" w:eastAsia="宋体" w:hint="default"/>
                <w:sz w:val="13"/>
                <w:szCs w:val="13"/>
              </w:rPr>
            </w:pPr>
            <w:r>
              <w:rPr>
                <w:rFonts w:ascii="宋体"/>
                <w:w w:val="99"/>
                <w:sz w:val="13"/>
              </w:rPr>
              <w:t> </w:t>
            </w:r>
            <w:r>
              <w:rPr>
                <w:rFonts w:ascii="宋体"/>
                <w:sz w:val="13"/>
              </w:rPr>
            </w:r>
          </w:p>
        </w:tc>
        <w:tc>
          <w:tcPr>
            <w:tcW w:w="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35"/>
              <w:jc w:val="right"/>
              <w:rPr>
                <w:rFonts w:ascii="宋体" w:hAnsi="宋体" w:cs="宋体" w:eastAsia="宋体" w:hint="default"/>
                <w:sz w:val="13"/>
                <w:szCs w:val="13"/>
              </w:rPr>
            </w:pPr>
            <w:r>
              <w:rPr>
                <w:rFonts w:ascii="宋体"/>
                <w:w w:val="99"/>
                <w:sz w:val="13"/>
              </w:rPr>
              <w:t> </w:t>
            </w:r>
            <w:r>
              <w:rPr>
                <w:rFonts w:ascii="宋体"/>
                <w:sz w:val="13"/>
              </w:rPr>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35"/>
              <w:jc w:val="right"/>
              <w:rPr>
                <w:rFonts w:ascii="宋体" w:hAnsi="宋体" w:cs="宋体" w:eastAsia="宋体" w:hint="default"/>
                <w:sz w:val="13"/>
                <w:szCs w:val="13"/>
              </w:rPr>
            </w:pPr>
            <w:r>
              <w:rPr>
                <w:rFonts w:ascii="宋体"/>
                <w:sz w:val="13"/>
              </w:rPr>
              <w:t>30,407.15 </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36"/>
              <w:jc w:val="right"/>
              <w:rPr>
                <w:rFonts w:ascii="宋体" w:hAnsi="宋体" w:cs="宋体" w:eastAsia="宋体" w:hint="default"/>
                <w:sz w:val="13"/>
                <w:szCs w:val="13"/>
              </w:rPr>
            </w:pPr>
            <w:r>
              <w:rPr>
                <w:rFonts w:ascii="宋体"/>
                <w:w w:val="99"/>
                <w:sz w:val="13"/>
              </w:rPr>
              <w:t> </w:t>
            </w:r>
            <w:r>
              <w:rPr>
                <w:rFonts w:ascii="宋体"/>
                <w:sz w:val="13"/>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35"/>
              <w:jc w:val="right"/>
              <w:rPr>
                <w:rFonts w:ascii="宋体" w:hAnsi="宋体" w:cs="宋体" w:eastAsia="宋体" w:hint="default"/>
                <w:sz w:val="13"/>
                <w:szCs w:val="13"/>
              </w:rPr>
            </w:pPr>
            <w:r>
              <w:rPr>
                <w:rFonts w:ascii="宋体"/>
                <w:sz w:val="13"/>
              </w:rPr>
              <w:t>30,407.15 </w:t>
            </w:r>
          </w:p>
        </w:tc>
      </w:tr>
      <w:tr>
        <w:trPr>
          <w:trHeight w:val="348"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05" w:right="0"/>
              <w:jc w:val="left"/>
              <w:rPr>
                <w:rFonts w:ascii="宋体" w:hAnsi="宋体" w:cs="宋体" w:eastAsia="宋体" w:hint="default"/>
                <w:sz w:val="13"/>
                <w:szCs w:val="13"/>
              </w:rPr>
            </w:pPr>
            <w:r>
              <w:rPr>
                <w:rFonts w:ascii="宋体" w:hAnsi="宋体" w:cs="宋体" w:eastAsia="宋体" w:hint="default"/>
                <w:sz w:val="13"/>
                <w:szCs w:val="13"/>
              </w:rPr>
              <w:t>3</w:t>
            </w:r>
            <w:r>
              <w:rPr>
                <w:rFonts w:ascii="宋体" w:hAnsi="宋体" w:cs="宋体" w:eastAsia="宋体" w:hint="default"/>
                <w:sz w:val="13"/>
                <w:szCs w:val="13"/>
              </w:rPr>
              <w:t>．股份支付计入所有者权</w:t>
            </w:r>
          </w:p>
          <w:p>
            <w:pPr>
              <w:pStyle w:val="TableParagraph"/>
              <w:spacing w:line="240" w:lineRule="auto"/>
              <w:ind w:left="105" w:right="0"/>
              <w:jc w:val="left"/>
              <w:rPr>
                <w:rFonts w:ascii="宋体" w:hAnsi="宋体" w:cs="宋体" w:eastAsia="宋体" w:hint="default"/>
                <w:sz w:val="13"/>
                <w:szCs w:val="13"/>
              </w:rPr>
            </w:pPr>
            <w:r>
              <w:rPr>
                <w:rFonts w:ascii="宋体" w:hAnsi="宋体" w:cs="宋体" w:eastAsia="宋体" w:hint="default"/>
                <w:sz w:val="13"/>
                <w:szCs w:val="13"/>
              </w:rPr>
              <w:t>益的金额</w:t>
            </w:r>
            <w:r>
              <w:rPr>
                <w:rFonts w:ascii="宋体" w:hAnsi="宋体" w:cs="宋体" w:eastAsia="宋体" w:hint="default"/>
                <w:sz w:val="13"/>
                <w:szCs w:val="13"/>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6"/>
              <w:jc w:val="right"/>
              <w:rPr>
                <w:rFonts w:ascii="宋体" w:hAnsi="宋体" w:cs="宋体" w:eastAsia="宋体" w:hint="default"/>
                <w:sz w:val="13"/>
                <w:szCs w:val="13"/>
              </w:rPr>
            </w:pPr>
            <w:r>
              <w:rPr>
                <w:rFonts w:ascii="宋体"/>
                <w:w w:val="99"/>
                <w:sz w:val="13"/>
              </w:rPr>
              <w:t> </w:t>
            </w:r>
            <w:r>
              <w:rPr>
                <w:rFonts w:ascii="宋体"/>
                <w:sz w:val="13"/>
              </w:rPr>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6"/>
              <w:jc w:val="right"/>
              <w:rPr>
                <w:rFonts w:ascii="宋体" w:hAnsi="宋体" w:cs="宋体" w:eastAsia="宋体" w:hint="default"/>
                <w:sz w:val="13"/>
                <w:szCs w:val="13"/>
              </w:rPr>
            </w:pPr>
            <w:r>
              <w:rPr>
                <w:rFonts w:ascii="宋体"/>
                <w:w w:val="99"/>
                <w:sz w:val="13"/>
              </w:rPr>
              <w:t> </w:t>
            </w:r>
            <w:r>
              <w:rPr>
                <w:rFonts w:ascii="宋体"/>
                <w:sz w:val="13"/>
              </w:rPr>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6"/>
              <w:jc w:val="right"/>
              <w:rPr>
                <w:rFonts w:ascii="宋体" w:hAnsi="宋体" w:cs="宋体" w:eastAsia="宋体" w:hint="default"/>
                <w:sz w:val="13"/>
                <w:szCs w:val="13"/>
              </w:rPr>
            </w:pPr>
            <w:r>
              <w:rPr>
                <w:rFonts w:ascii="宋体"/>
                <w:w w:val="99"/>
                <w:sz w:val="13"/>
              </w:rPr>
              <w:t> </w:t>
            </w:r>
            <w:r>
              <w:rPr>
                <w:rFonts w:ascii="宋体"/>
                <w:sz w:val="13"/>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6"/>
              <w:jc w:val="right"/>
              <w:rPr>
                <w:rFonts w:ascii="宋体" w:hAnsi="宋体" w:cs="宋体" w:eastAsia="宋体" w:hint="default"/>
                <w:sz w:val="13"/>
                <w:szCs w:val="13"/>
              </w:rPr>
            </w:pPr>
            <w:r>
              <w:rPr>
                <w:rFonts w:ascii="宋体"/>
                <w:w w:val="99"/>
                <w:sz w:val="13"/>
              </w:rPr>
              <w:t> </w:t>
            </w:r>
            <w:r>
              <w:rPr>
                <w:rFonts w:ascii="宋体"/>
                <w:sz w:val="13"/>
              </w:rPr>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5"/>
              <w:jc w:val="right"/>
              <w:rPr>
                <w:rFonts w:ascii="宋体" w:hAnsi="宋体" w:cs="宋体" w:eastAsia="宋体" w:hint="default"/>
                <w:sz w:val="13"/>
                <w:szCs w:val="13"/>
              </w:rPr>
            </w:pPr>
            <w:r>
              <w:rPr>
                <w:rFonts w:ascii="宋体"/>
                <w:w w:val="99"/>
                <w:sz w:val="13"/>
              </w:rPr>
              <w:t> </w:t>
            </w:r>
            <w:r>
              <w:rPr>
                <w:rFonts w:ascii="宋体"/>
                <w:sz w:val="13"/>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6"/>
              <w:jc w:val="right"/>
              <w:rPr>
                <w:rFonts w:ascii="宋体" w:hAnsi="宋体" w:cs="宋体" w:eastAsia="宋体" w:hint="default"/>
                <w:sz w:val="13"/>
                <w:szCs w:val="13"/>
              </w:rPr>
            </w:pPr>
            <w:r>
              <w:rPr>
                <w:rFonts w:ascii="宋体"/>
                <w:w w:val="95"/>
                <w:sz w:val="13"/>
              </w:rPr>
              <w:t>-23,119,140.00 </w:t>
            </w:r>
            <w:r>
              <w:rPr>
                <w:rFonts w:ascii="宋体"/>
                <w:sz w:val="13"/>
              </w:rPr>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6"/>
              <w:jc w:val="right"/>
              <w:rPr>
                <w:rFonts w:ascii="宋体" w:hAnsi="宋体" w:cs="宋体" w:eastAsia="宋体" w:hint="default"/>
                <w:sz w:val="13"/>
                <w:szCs w:val="13"/>
              </w:rPr>
            </w:pPr>
            <w:r>
              <w:rPr>
                <w:rFonts w:ascii="宋体"/>
                <w:w w:val="99"/>
                <w:sz w:val="13"/>
              </w:rPr>
              <w:t> </w:t>
            </w:r>
            <w:r>
              <w:rPr>
                <w:rFonts w:ascii="宋体"/>
                <w:sz w:val="13"/>
              </w:rPr>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6"/>
              <w:jc w:val="right"/>
              <w:rPr>
                <w:rFonts w:ascii="宋体" w:hAnsi="宋体" w:cs="宋体" w:eastAsia="宋体" w:hint="default"/>
                <w:sz w:val="13"/>
                <w:szCs w:val="13"/>
              </w:rPr>
            </w:pPr>
            <w:r>
              <w:rPr>
                <w:rFonts w:ascii="宋体"/>
                <w:w w:val="99"/>
                <w:sz w:val="13"/>
              </w:rPr>
              <w:t> </w:t>
            </w:r>
            <w:r>
              <w:rPr>
                <w:rFonts w:ascii="宋体"/>
                <w:sz w:val="13"/>
              </w:rPr>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6"/>
              <w:jc w:val="right"/>
              <w:rPr>
                <w:rFonts w:ascii="宋体" w:hAnsi="宋体" w:cs="宋体" w:eastAsia="宋体" w:hint="default"/>
                <w:sz w:val="13"/>
                <w:szCs w:val="13"/>
              </w:rPr>
            </w:pPr>
            <w:r>
              <w:rPr>
                <w:rFonts w:ascii="宋体"/>
                <w:w w:val="99"/>
                <w:sz w:val="13"/>
              </w:rPr>
              <w:t> </w:t>
            </w:r>
            <w:r>
              <w:rPr>
                <w:rFonts w:ascii="宋体"/>
                <w:sz w:val="13"/>
              </w:rPr>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6"/>
              <w:jc w:val="right"/>
              <w:rPr>
                <w:rFonts w:ascii="宋体" w:hAnsi="宋体" w:cs="宋体" w:eastAsia="宋体" w:hint="default"/>
                <w:sz w:val="13"/>
                <w:szCs w:val="13"/>
              </w:rPr>
            </w:pPr>
            <w:r>
              <w:rPr>
                <w:rFonts w:ascii="宋体"/>
                <w:w w:val="99"/>
                <w:sz w:val="13"/>
              </w:rPr>
              <w:t> </w:t>
            </w:r>
            <w:r>
              <w:rPr>
                <w:rFonts w:ascii="宋体"/>
                <w:sz w:val="13"/>
              </w:rPr>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6"/>
              <w:jc w:val="right"/>
              <w:rPr>
                <w:rFonts w:ascii="宋体" w:hAnsi="宋体" w:cs="宋体" w:eastAsia="宋体" w:hint="default"/>
                <w:sz w:val="13"/>
                <w:szCs w:val="13"/>
              </w:rPr>
            </w:pPr>
            <w:r>
              <w:rPr>
                <w:rFonts w:ascii="宋体"/>
                <w:w w:val="99"/>
                <w:sz w:val="13"/>
              </w:rPr>
              <w:t> </w:t>
            </w:r>
            <w:r>
              <w:rPr>
                <w:rFonts w:ascii="宋体"/>
                <w:sz w:val="13"/>
              </w:rPr>
            </w:r>
          </w:p>
        </w:tc>
        <w:tc>
          <w:tcPr>
            <w:tcW w:w="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5"/>
              <w:jc w:val="right"/>
              <w:rPr>
                <w:rFonts w:ascii="宋体" w:hAnsi="宋体" w:cs="宋体" w:eastAsia="宋体" w:hint="default"/>
                <w:sz w:val="13"/>
                <w:szCs w:val="13"/>
              </w:rPr>
            </w:pPr>
            <w:r>
              <w:rPr>
                <w:rFonts w:ascii="宋体"/>
                <w:w w:val="99"/>
                <w:sz w:val="13"/>
              </w:rPr>
              <w:t> </w:t>
            </w:r>
            <w:r>
              <w:rPr>
                <w:rFonts w:ascii="宋体"/>
                <w:sz w:val="13"/>
              </w:rPr>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5"/>
              <w:jc w:val="right"/>
              <w:rPr>
                <w:rFonts w:ascii="宋体" w:hAnsi="宋体" w:cs="宋体" w:eastAsia="宋体" w:hint="default"/>
                <w:sz w:val="13"/>
                <w:szCs w:val="13"/>
              </w:rPr>
            </w:pPr>
            <w:r>
              <w:rPr>
                <w:rFonts w:ascii="宋体"/>
                <w:w w:val="95"/>
                <w:sz w:val="13"/>
              </w:rPr>
              <w:t>23,119,140.00 </w:t>
            </w:r>
            <w:r>
              <w:rPr>
                <w:rFonts w:ascii="宋体"/>
                <w:sz w:val="13"/>
              </w:rPr>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6"/>
              <w:jc w:val="right"/>
              <w:rPr>
                <w:rFonts w:ascii="宋体" w:hAnsi="宋体" w:cs="宋体" w:eastAsia="宋体" w:hint="default"/>
                <w:sz w:val="13"/>
                <w:szCs w:val="13"/>
              </w:rPr>
            </w:pPr>
            <w:r>
              <w:rPr>
                <w:rFonts w:ascii="宋体"/>
                <w:w w:val="99"/>
                <w:sz w:val="13"/>
              </w:rPr>
              <w:t> </w:t>
            </w:r>
            <w:r>
              <w:rPr>
                <w:rFonts w:ascii="宋体"/>
                <w:sz w:val="13"/>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5"/>
              <w:jc w:val="right"/>
              <w:rPr>
                <w:rFonts w:ascii="宋体" w:hAnsi="宋体" w:cs="宋体" w:eastAsia="宋体" w:hint="default"/>
                <w:sz w:val="13"/>
                <w:szCs w:val="13"/>
              </w:rPr>
            </w:pPr>
            <w:r>
              <w:rPr>
                <w:rFonts w:ascii="宋体"/>
                <w:w w:val="95"/>
                <w:sz w:val="13"/>
              </w:rPr>
              <w:t>23,119,140.00 </w:t>
            </w:r>
            <w:r>
              <w:rPr>
                <w:rFonts w:ascii="宋体"/>
                <w:sz w:val="13"/>
              </w:rPr>
            </w:r>
          </w:p>
        </w:tc>
      </w:tr>
      <w:tr>
        <w:trPr>
          <w:trHeight w:val="178"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05" w:right="0"/>
              <w:jc w:val="left"/>
              <w:rPr>
                <w:rFonts w:ascii="宋体" w:hAnsi="宋体" w:cs="宋体" w:eastAsia="宋体" w:hint="default"/>
                <w:sz w:val="13"/>
                <w:szCs w:val="13"/>
              </w:rPr>
            </w:pPr>
            <w:r>
              <w:rPr>
                <w:rFonts w:ascii="宋体" w:hAnsi="宋体" w:cs="宋体" w:eastAsia="宋体" w:hint="default"/>
                <w:sz w:val="13"/>
                <w:szCs w:val="13"/>
              </w:rPr>
              <w:t>4</w:t>
            </w:r>
            <w:r>
              <w:rPr>
                <w:rFonts w:ascii="宋体" w:hAnsi="宋体" w:cs="宋体" w:eastAsia="宋体" w:hint="default"/>
                <w:sz w:val="13"/>
                <w:szCs w:val="13"/>
              </w:rPr>
              <w:t>．其他</w:t>
            </w:r>
            <w:r>
              <w:rPr>
                <w:rFonts w:ascii="宋体" w:hAnsi="宋体" w:cs="宋体" w:eastAsia="宋体" w:hint="default"/>
                <w:sz w:val="13"/>
                <w:szCs w:val="13"/>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5"/>
              <w:jc w:val="right"/>
              <w:rPr>
                <w:rFonts w:ascii="宋体" w:hAnsi="宋体" w:cs="宋体" w:eastAsia="宋体" w:hint="default"/>
                <w:sz w:val="13"/>
                <w:szCs w:val="13"/>
              </w:rPr>
            </w:pPr>
            <w:r>
              <w:rPr>
                <w:rFonts w:ascii="宋体"/>
                <w:w w:val="95"/>
                <w:sz w:val="13"/>
              </w:rPr>
              <w:t>-12,653,488.43 </w:t>
            </w:r>
            <w:r>
              <w:rPr>
                <w:rFonts w:ascii="宋体"/>
                <w:sz w:val="13"/>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5"/>
                <w:sz w:val="13"/>
              </w:rPr>
              <w:t>99,614,760.20 </w:t>
            </w:r>
            <w:r>
              <w:rPr>
                <w:rFonts w:ascii="宋体"/>
                <w:sz w:val="13"/>
              </w:rPr>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423"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5"/>
              <w:jc w:val="right"/>
              <w:rPr>
                <w:rFonts w:ascii="宋体" w:hAnsi="宋体" w:cs="宋体" w:eastAsia="宋体" w:hint="default"/>
                <w:sz w:val="13"/>
                <w:szCs w:val="13"/>
              </w:rPr>
            </w:pPr>
            <w:r>
              <w:rPr>
                <w:rFonts w:ascii="宋体"/>
                <w:w w:val="95"/>
                <w:sz w:val="13"/>
              </w:rPr>
              <w:t>-112,268,248.63 </w:t>
            </w:r>
            <w:r>
              <w:rPr>
                <w:rFonts w:ascii="宋体"/>
                <w:sz w:val="13"/>
              </w:rPr>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5"/>
                <w:sz w:val="13"/>
              </w:rPr>
              <w:t>56.14 </w:t>
            </w:r>
            <w:r>
              <w:rPr>
                <w:rFonts w:ascii="宋体"/>
                <w:sz w:val="13"/>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5"/>
              <w:jc w:val="right"/>
              <w:rPr>
                <w:rFonts w:ascii="宋体" w:hAnsi="宋体" w:cs="宋体" w:eastAsia="宋体" w:hint="default"/>
                <w:sz w:val="13"/>
                <w:szCs w:val="13"/>
              </w:rPr>
            </w:pPr>
            <w:r>
              <w:rPr>
                <w:rFonts w:ascii="宋体"/>
                <w:w w:val="95"/>
                <w:sz w:val="13"/>
              </w:rPr>
              <w:t>-112,268,192.49 </w:t>
            </w:r>
            <w:r>
              <w:rPr>
                <w:rFonts w:ascii="宋体"/>
                <w:sz w:val="13"/>
              </w:rPr>
            </w:r>
          </w:p>
        </w:tc>
      </w:tr>
      <w:tr>
        <w:trPr>
          <w:trHeight w:val="180"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05" w:right="0"/>
              <w:jc w:val="left"/>
              <w:rPr>
                <w:rFonts w:ascii="宋体" w:hAnsi="宋体" w:cs="宋体" w:eastAsia="宋体" w:hint="default"/>
                <w:sz w:val="13"/>
                <w:szCs w:val="13"/>
              </w:rPr>
            </w:pPr>
            <w:r>
              <w:rPr>
                <w:rFonts w:ascii="宋体" w:hAnsi="宋体" w:cs="宋体" w:eastAsia="宋体" w:hint="default"/>
                <w:sz w:val="13"/>
                <w:szCs w:val="13"/>
              </w:rPr>
              <w:t>（三）利润分配</w:t>
            </w:r>
            <w:r>
              <w:rPr>
                <w:rFonts w:ascii="宋体" w:hAnsi="宋体" w:cs="宋体" w:eastAsia="宋体" w:hint="default"/>
                <w:sz w:val="13"/>
                <w:szCs w:val="13"/>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5"/>
                <w:sz w:val="13"/>
              </w:rPr>
              <w:t>6,784,715.19 </w:t>
            </w:r>
            <w:r>
              <w:rPr>
                <w:rFonts w:ascii="宋体"/>
                <w:sz w:val="13"/>
              </w:rPr>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5"/>
                <w:sz w:val="13"/>
              </w:rPr>
              <w:t>-77,401,121.55 </w:t>
            </w:r>
            <w:r>
              <w:rPr>
                <w:rFonts w:ascii="宋体"/>
                <w:sz w:val="13"/>
              </w:rPr>
            </w:r>
          </w:p>
        </w:tc>
        <w:tc>
          <w:tcPr>
            <w:tcW w:w="423"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5"/>
              <w:jc w:val="right"/>
              <w:rPr>
                <w:rFonts w:ascii="宋体" w:hAnsi="宋体" w:cs="宋体" w:eastAsia="宋体" w:hint="default"/>
                <w:sz w:val="13"/>
                <w:szCs w:val="13"/>
              </w:rPr>
            </w:pPr>
            <w:r>
              <w:rPr>
                <w:rFonts w:ascii="宋体"/>
                <w:w w:val="95"/>
                <w:sz w:val="13"/>
              </w:rPr>
              <w:t>-70,616,406.36 </w:t>
            </w:r>
            <w:r>
              <w:rPr>
                <w:rFonts w:ascii="宋体"/>
                <w:sz w:val="13"/>
              </w:rPr>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5"/>
                <w:sz w:val="13"/>
              </w:rPr>
              <w:t>-43,587,497.66 </w:t>
            </w:r>
            <w:r>
              <w:rPr>
                <w:rFonts w:ascii="宋体"/>
                <w:sz w:val="13"/>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5"/>
              <w:jc w:val="right"/>
              <w:rPr>
                <w:rFonts w:ascii="宋体" w:hAnsi="宋体" w:cs="宋体" w:eastAsia="宋体" w:hint="default"/>
                <w:sz w:val="13"/>
                <w:szCs w:val="13"/>
              </w:rPr>
            </w:pPr>
            <w:r>
              <w:rPr>
                <w:rFonts w:ascii="宋体"/>
                <w:w w:val="95"/>
                <w:sz w:val="13"/>
              </w:rPr>
              <w:t>-114,203,904.02 </w:t>
            </w:r>
            <w:r>
              <w:rPr>
                <w:rFonts w:ascii="宋体"/>
                <w:sz w:val="13"/>
              </w:rPr>
            </w:r>
          </w:p>
        </w:tc>
      </w:tr>
      <w:tr>
        <w:trPr>
          <w:trHeight w:val="178"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05" w:right="0"/>
              <w:jc w:val="left"/>
              <w:rPr>
                <w:rFonts w:ascii="宋体" w:hAnsi="宋体" w:cs="宋体" w:eastAsia="宋体" w:hint="default"/>
                <w:sz w:val="13"/>
                <w:szCs w:val="13"/>
              </w:rPr>
            </w:pPr>
            <w:r>
              <w:rPr>
                <w:rFonts w:ascii="宋体" w:hAnsi="宋体" w:cs="宋体" w:eastAsia="宋体" w:hint="default"/>
                <w:sz w:val="13"/>
                <w:szCs w:val="13"/>
              </w:rPr>
              <w:t>1</w:t>
            </w:r>
            <w:r>
              <w:rPr>
                <w:rFonts w:ascii="宋体" w:hAnsi="宋体" w:cs="宋体" w:eastAsia="宋体" w:hint="default"/>
                <w:sz w:val="13"/>
                <w:szCs w:val="13"/>
              </w:rPr>
              <w:t>．提取盈余公积</w:t>
            </w:r>
            <w:r>
              <w:rPr>
                <w:rFonts w:ascii="宋体" w:hAnsi="宋体" w:cs="宋体" w:eastAsia="宋体" w:hint="default"/>
                <w:sz w:val="13"/>
                <w:szCs w:val="13"/>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5"/>
                <w:sz w:val="13"/>
              </w:rPr>
              <w:t>6,784,715.19 </w:t>
            </w:r>
            <w:r>
              <w:rPr>
                <w:rFonts w:ascii="宋体"/>
                <w:sz w:val="13"/>
              </w:rPr>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5"/>
                <w:sz w:val="13"/>
              </w:rPr>
              <w:t>-6,784,715.19 </w:t>
            </w:r>
            <w:r>
              <w:rPr>
                <w:rFonts w:ascii="宋体"/>
                <w:sz w:val="13"/>
              </w:rPr>
            </w:r>
          </w:p>
        </w:tc>
        <w:tc>
          <w:tcPr>
            <w:tcW w:w="423"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5"/>
              <w:jc w:val="right"/>
              <w:rPr>
                <w:rFonts w:ascii="宋体" w:hAnsi="宋体" w:cs="宋体" w:eastAsia="宋体" w:hint="default"/>
                <w:sz w:val="13"/>
                <w:szCs w:val="13"/>
              </w:rPr>
            </w:pPr>
            <w:r>
              <w:rPr>
                <w:rFonts w:ascii="宋体"/>
                <w:w w:val="99"/>
                <w:sz w:val="13"/>
              </w:rPr>
              <w:t> </w:t>
            </w:r>
            <w:r>
              <w:rPr>
                <w:rFonts w:ascii="宋体"/>
                <w:sz w:val="13"/>
              </w:rPr>
            </w:r>
          </w:p>
        </w:tc>
      </w:tr>
      <w:tr>
        <w:trPr>
          <w:trHeight w:val="180"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05" w:right="0"/>
              <w:jc w:val="left"/>
              <w:rPr>
                <w:rFonts w:ascii="宋体" w:hAnsi="宋体" w:cs="宋体" w:eastAsia="宋体" w:hint="default"/>
                <w:sz w:val="13"/>
                <w:szCs w:val="13"/>
              </w:rPr>
            </w:pPr>
            <w:r>
              <w:rPr>
                <w:rFonts w:ascii="宋体" w:hAnsi="宋体" w:cs="宋体" w:eastAsia="宋体" w:hint="default"/>
                <w:sz w:val="13"/>
                <w:szCs w:val="13"/>
              </w:rPr>
              <w:t>2</w:t>
            </w:r>
            <w:r>
              <w:rPr>
                <w:rFonts w:ascii="宋体" w:hAnsi="宋体" w:cs="宋体" w:eastAsia="宋体" w:hint="default"/>
                <w:sz w:val="13"/>
                <w:szCs w:val="13"/>
              </w:rPr>
              <w:t>．提取一般风险准备</w:t>
            </w:r>
            <w:r>
              <w:rPr>
                <w:rFonts w:ascii="宋体" w:hAnsi="宋体" w:cs="宋体" w:eastAsia="宋体" w:hint="default"/>
                <w:sz w:val="13"/>
                <w:szCs w:val="13"/>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423"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5"/>
              <w:jc w:val="right"/>
              <w:rPr>
                <w:rFonts w:ascii="宋体" w:hAnsi="宋体" w:cs="宋体" w:eastAsia="宋体" w:hint="default"/>
                <w:sz w:val="13"/>
                <w:szCs w:val="13"/>
              </w:rPr>
            </w:pPr>
            <w:r>
              <w:rPr>
                <w:rFonts w:ascii="宋体"/>
                <w:w w:val="99"/>
                <w:sz w:val="13"/>
              </w:rPr>
              <w:t> </w:t>
            </w:r>
            <w:r>
              <w:rPr>
                <w:rFonts w:ascii="宋体"/>
                <w:sz w:val="13"/>
              </w:rPr>
            </w:r>
          </w:p>
        </w:tc>
      </w:tr>
      <w:tr>
        <w:trPr>
          <w:trHeight w:val="346"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144" w:lineRule="exact"/>
              <w:ind w:left="105" w:right="0"/>
              <w:jc w:val="left"/>
              <w:rPr>
                <w:rFonts w:ascii="宋体" w:hAnsi="宋体" w:cs="宋体" w:eastAsia="宋体" w:hint="default"/>
                <w:sz w:val="13"/>
                <w:szCs w:val="13"/>
              </w:rPr>
            </w:pPr>
            <w:r>
              <w:rPr>
                <w:rFonts w:ascii="宋体" w:hAnsi="宋体" w:cs="宋体" w:eastAsia="宋体" w:hint="default"/>
                <w:sz w:val="13"/>
                <w:szCs w:val="13"/>
              </w:rPr>
              <w:t>3</w:t>
            </w:r>
            <w:r>
              <w:rPr>
                <w:rFonts w:ascii="宋体" w:hAnsi="宋体" w:cs="宋体" w:eastAsia="宋体" w:hint="default"/>
                <w:sz w:val="13"/>
                <w:szCs w:val="13"/>
              </w:rPr>
              <w:t>．对所有者（或股东）的</w:t>
            </w:r>
          </w:p>
          <w:p>
            <w:pPr>
              <w:pStyle w:val="TableParagraph"/>
              <w:spacing w:line="169" w:lineRule="exact"/>
              <w:ind w:left="105" w:right="0"/>
              <w:jc w:val="left"/>
              <w:rPr>
                <w:rFonts w:ascii="宋体" w:hAnsi="宋体" w:cs="宋体" w:eastAsia="宋体" w:hint="default"/>
                <w:sz w:val="13"/>
                <w:szCs w:val="13"/>
              </w:rPr>
            </w:pPr>
            <w:r>
              <w:rPr>
                <w:rFonts w:ascii="宋体" w:hAnsi="宋体" w:cs="宋体" w:eastAsia="宋体" w:hint="default"/>
                <w:sz w:val="13"/>
                <w:szCs w:val="13"/>
              </w:rPr>
              <w:t>分配</w:t>
            </w:r>
            <w:r>
              <w:rPr>
                <w:rFonts w:ascii="宋体" w:hAnsi="宋体" w:cs="宋体" w:eastAsia="宋体" w:hint="default"/>
                <w:sz w:val="13"/>
                <w:szCs w:val="13"/>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36"/>
              <w:jc w:val="right"/>
              <w:rPr>
                <w:rFonts w:ascii="宋体" w:hAnsi="宋体" w:cs="宋体" w:eastAsia="宋体" w:hint="default"/>
                <w:sz w:val="13"/>
                <w:szCs w:val="13"/>
              </w:rPr>
            </w:pPr>
            <w:r>
              <w:rPr>
                <w:rFonts w:ascii="宋体"/>
                <w:w w:val="99"/>
                <w:sz w:val="13"/>
              </w:rPr>
              <w:t> </w:t>
            </w:r>
            <w:r>
              <w:rPr>
                <w:rFonts w:ascii="宋体"/>
                <w:sz w:val="13"/>
              </w:rPr>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36"/>
              <w:jc w:val="right"/>
              <w:rPr>
                <w:rFonts w:ascii="宋体" w:hAnsi="宋体" w:cs="宋体" w:eastAsia="宋体" w:hint="default"/>
                <w:sz w:val="13"/>
                <w:szCs w:val="13"/>
              </w:rPr>
            </w:pPr>
            <w:r>
              <w:rPr>
                <w:rFonts w:ascii="宋体"/>
                <w:w w:val="99"/>
                <w:sz w:val="13"/>
              </w:rPr>
              <w:t> </w:t>
            </w:r>
            <w:r>
              <w:rPr>
                <w:rFonts w:ascii="宋体"/>
                <w:sz w:val="13"/>
              </w:rPr>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36"/>
              <w:jc w:val="right"/>
              <w:rPr>
                <w:rFonts w:ascii="宋体" w:hAnsi="宋体" w:cs="宋体" w:eastAsia="宋体" w:hint="default"/>
                <w:sz w:val="13"/>
                <w:szCs w:val="13"/>
              </w:rPr>
            </w:pPr>
            <w:r>
              <w:rPr>
                <w:rFonts w:ascii="宋体"/>
                <w:w w:val="99"/>
                <w:sz w:val="13"/>
              </w:rPr>
              <w:t> </w:t>
            </w:r>
            <w:r>
              <w:rPr>
                <w:rFonts w:ascii="宋体"/>
                <w:sz w:val="13"/>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36"/>
              <w:jc w:val="right"/>
              <w:rPr>
                <w:rFonts w:ascii="宋体" w:hAnsi="宋体" w:cs="宋体" w:eastAsia="宋体" w:hint="default"/>
                <w:sz w:val="13"/>
                <w:szCs w:val="13"/>
              </w:rPr>
            </w:pPr>
            <w:r>
              <w:rPr>
                <w:rFonts w:ascii="宋体"/>
                <w:w w:val="99"/>
                <w:sz w:val="13"/>
              </w:rPr>
              <w:t> </w:t>
            </w:r>
            <w:r>
              <w:rPr>
                <w:rFonts w:ascii="宋体"/>
                <w:sz w:val="13"/>
              </w:rPr>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35"/>
              <w:jc w:val="right"/>
              <w:rPr>
                <w:rFonts w:ascii="宋体" w:hAnsi="宋体" w:cs="宋体" w:eastAsia="宋体" w:hint="default"/>
                <w:sz w:val="13"/>
                <w:szCs w:val="13"/>
              </w:rPr>
            </w:pPr>
            <w:r>
              <w:rPr>
                <w:rFonts w:ascii="宋体"/>
                <w:w w:val="99"/>
                <w:sz w:val="13"/>
              </w:rPr>
              <w:t> </w:t>
            </w:r>
            <w:r>
              <w:rPr>
                <w:rFonts w:ascii="宋体"/>
                <w:sz w:val="13"/>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36"/>
              <w:jc w:val="right"/>
              <w:rPr>
                <w:rFonts w:ascii="宋体" w:hAnsi="宋体" w:cs="宋体" w:eastAsia="宋体" w:hint="default"/>
                <w:sz w:val="13"/>
                <w:szCs w:val="13"/>
              </w:rPr>
            </w:pPr>
            <w:r>
              <w:rPr>
                <w:rFonts w:ascii="宋体"/>
                <w:w w:val="99"/>
                <w:sz w:val="13"/>
              </w:rPr>
              <w:t> </w:t>
            </w:r>
            <w:r>
              <w:rPr>
                <w:rFonts w:ascii="宋体"/>
                <w:sz w:val="13"/>
              </w:rPr>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36"/>
              <w:jc w:val="right"/>
              <w:rPr>
                <w:rFonts w:ascii="宋体" w:hAnsi="宋体" w:cs="宋体" w:eastAsia="宋体" w:hint="default"/>
                <w:sz w:val="13"/>
                <w:szCs w:val="13"/>
              </w:rPr>
            </w:pPr>
            <w:r>
              <w:rPr>
                <w:rFonts w:ascii="宋体"/>
                <w:w w:val="99"/>
                <w:sz w:val="13"/>
              </w:rPr>
              <w:t> </w:t>
            </w:r>
            <w:r>
              <w:rPr>
                <w:rFonts w:ascii="宋体"/>
                <w:sz w:val="13"/>
              </w:rPr>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36"/>
              <w:jc w:val="right"/>
              <w:rPr>
                <w:rFonts w:ascii="宋体" w:hAnsi="宋体" w:cs="宋体" w:eastAsia="宋体" w:hint="default"/>
                <w:sz w:val="13"/>
                <w:szCs w:val="13"/>
              </w:rPr>
            </w:pPr>
            <w:r>
              <w:rPr>
                <w:rFonts w:ascii="宋体"/>
                <w:w w:val="99"/>
                <w:sz w:val="13"/>
              </w:rPr>
              <w:t> </w:t>
            </w:r>
            <w:r>
              <w:rPr>
                <w:rFonts w:ascii="宋体"/>
                <w:sz w:val="13"/>
              </w:rPr>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36"/>
              <w:jc w:val="right"/>
              <w:rPr>
                <w:rFonts w:ascii="宋体" w:hAnsi="宋体" w:cs="宋体" w:eastAsia="宋体" w:hint="default"/>
                <w:sz w:val="13"/>
                <w:szCs w:val="13"/>
              </w:rPr>
            </w:pPr>
            <w:r>
              <w:rPr>
                <w:rFonts w:ascii="宋体"/>
                <w:w w:val="99"/>
                <w:sz w:val="13"/>
              </w:rPr>
              <w:t> </w:t>
            </w:r>
            <w:r>
              <w:rPr>
                <w:rFonts w:ascii="宋体"/>
                <w:sz w:val="13"/>
              </w:rPr>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36"/>
              <w:jc w:val="right"/>
              <w:rPr>
                <w:rFonts w:ascii="宋体" w:hAnsi="宋体" w:cs="宋体" w:eastAsia="宋体" w:hint="default"/>
                <w:sz w:val="13"/>
                <w:szCs w:val="13"/>
              </w:rPr>
            </w:pPr>
            <w:r>
              <w:rPr>
                <w:rFonts w:ascii="宋体"/>
                <w:w w:val="99"/>
                <w:sz w:val="13"/>
              </w:rPr>
              <w:t> </w:t>
            </w:r>
            <w:r>
              <w:rPr>
                <w:rFonts w:ascii="宋体"/>
                <w:sz w:val="13"/>
              </w:rPr>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36"/>
              <w:jc w:val="right"/>
              <w:rPr>
                <w:rFonts w:ascii="宋体" w:hAnsi="宋体" w:cs="宋体" w:eastAsia="宋体" w:hint="default"/>
                <w:sz w:val="13"/>
                <w:szCs w:val="13"/>
              </w:rPr>
            </w:pPr>
            <w:r>
              <w:rPr>
                <w:rFonts w:ascii="宋体"/>
                <w:w w:val="95"/>
                <w:sz w:val="13"/>
              </w:rPr>
              <w:t>-70,616,406.36 </w:t>
            </w:r>
            <w:r>
              <w:rPr>
                <w:rFonts w:ascii="宋体"/>
                <w:sz w:val="13"/>
              </w:rPr>
            </w:r>
          </w:p>
        </w:tc>
        <w:tc>
          <w:tcPr>
            <w:tcW w:w="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35"/>
              <w:jc w:val="right"/>
              <w:rPr>
                <w:rFonts w:ascii="宋体" w:hAnsi="宋体" w:cs="宋体" w:eastAsia="宋体" w:hint="default"/>
                <w:sz w:val="13"/>
                <w:szCs w:val="13"/>
              </w:rPr>
            </w:pPr>
            <w:r>
              <w:rPr>
                <w:rFonts w:ascii="宋体"/>
                <w:w w:val="99"/>
                <w:sz w:val="13"/>
              </w:rPr>
              <w:t> </w:t>
            </w:r>
            <w:r>
              <w:rPr>
                <w:rFonts w:ascii="宋体"/>
                <w:sz w:val="13"/>
              </w:rPr>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35"/>
              <w:jc w:val="right"/>
              <w:rPr>
                <w:rFonts w:ascii="宋体" w:hAnsi="宋体" w:cs="宋体" w:eastAsia="宋体" w:hint="default"/>
                <w:sz w:val="13"/>
                <w:szCs w:val="13"/>
              </w:rPr>
            </w:pPr>
            <w:r>
              <w:rPr>
                <w:rFonts w:ascii="宋体"/>
                <w:w w:val="95"/>
                <w:sz w:val="13"/>
              </w:rPr>
              <w:t>-70,616,406.36 </w:t>
            </w:r>
            <w:r>
              <w:rPr>
                <w:rFonts w:ascii="宋体"/>
                <w:sz w:val="13"/>
              </w:rPr>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36"/>
              <w:jc w:val="right"/>
              <w:rPr>
                <w:rFonts w:ascii="宋体" w:hAnsi="宋体" w:cs="宋体" w:eastAsia="宋体" w:hint="default"/>
                <w:sz w:val="13"/>
                <w:szCs w:val="13"/>
              </w:rPr>
            </w:pPr>
            <w:r>
              <w:rPr>
                <w:rFonts w:ascii="宋体"/>
                <w:w w:val="95"/>
                <w:sz w:val="13"/>
              </w:rPr>
              <w:t>-43,587,497.66 </w:t>
            </w:r>
            <w:r>
              <w:rPr>
                <w:rFonts w:ascii="宋体"/>
                <w:sz w:val="13"/>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35"/>
              <w:jc w:val="right"/>
              <w:rPr>
                <w:rFonts w:ascii="宋体" w:hAnsi="宋体" w:cs="宋体" w:eastAsia="宋体" w:hint="default"/>
                <w:sz w:val="13"/>
                <w:szCs w:val="13"/>
              </w:rPr>
            </w:pPr>
            <w:r>
              <w:rPr>
                <w:rFonts w:ascii="宋体"/>
                <w:w w:val="95"/>
                <w:sz w:val="13"/>
              </w:rPr>
              <w:t>-114,203,904.02 </w:t>
            </w:r>
            <w:r>
              <w:rPr>
                <w:rFonts w:ascii="宋体"/>
                <w:sz w:val="13"/>
              </w:rPr>
            </w:r>
          </w:p>
        </w:tc>
      </w:tr>
      <w:tr>
        <w:trPr>
          <w:trHeight w:val="180"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05" w:right="0"/>
              <w:jc w:val="left"/>
              <w:rPr>
                <w:rFonts w:ascii="宋体" w:hAnsi="宋体" w:cs="宋体" w:eastAsia="宋体" w:hint="default"/>
                <w:sz w:val="13"/>
                <w:szCs w:val="13"/>
              </w:rPr>
            </w:pPr>
            <w:r>
              <w:rPr>
                <w:rFonts w:ascii="宋体" w:hAnsi="宋体" w:cs="宋体" w:eastAsia="宋体" w:hint="default"/>
                <w:sz w:val="13"/>
                <w:szCs w:val="13"/>
              </w:rPr>
              <w:t>4</w:t>
            </w:r>
            <w:r>
              <w:rPr>
                <w:rFonts w:ascii="宋体" w:hAnsi="宋体" w:cs="宋体" w:eastAsia="宋体" w:hint="default"/>
                <w:sz w:val="13"/>
                <w:szCs w:val="13"/>
              </w:rPr>
              <w:t>．其他</w:t>
            </w:r>
            <w:r>
              <w:rPr>
                <w:rFonts w:ascii="宋体" w:hAnsi="宋体" w:cs="宋体" w:eastAsia="宋体" w:hint="default"/>
                <w:sz w:val="13"/>
                <w:szCs w:val="13"/>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423"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5"/>
              <w:jc w:val="right"/>
              <w:rPr>
                <w:rFonts w:ascii="宋体" w:hAnsi="宋体" w:cs="宋体" w:eastAsia="宋体" w:hint="default"/>
                <w:sz w:val="13"/>
                <w:szCs w:val="13"/>
              </w:rPr>
            </w:pPr>
            <w:r>
              <w:rPr>
                <w:rFonts w:ascii="宋体"/>
                <w:w w:val="99"/>
                <w:sz w:val="13"/>
              </w:rPr>
              <w:t> </w:t>
            </w:r>
            <w:r>
              <w:rPr>
                <w:rFonts w:ascii="宋体"/>
                <w:sz w:val="13"/>
              </w:rPr>
            </w:r>
          </w:p>
        </w:tc>
      </w:tr>
      <w:tr>
        <w:trPr>
          <w:trHeight w:val="346"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144" w:lineRule="exact"/>
              <w:ind w:left="105" w:right="0"/>
              <w:jc w:val="left"/>
              <w:rPr>
                <w:rFonts w:ascii="宋体" w:hAnsi="宋体" w:cs="宋体" w:eastAsia="宋体" w:hint="default"/>
                <w:sz w:val="13"/>
                <w:szCs w:val="13"/>
              </w:rPr>
            </w:pPr>
            <w:r>
              <w:rPr>
                <w:rFonts w:ascii="宋体" w:hAnsi="宋体" w:cs="宋体" w:eastAsia="宋体" w:hint="default"/>
                <w:sz w:val="13"/>
                <w:szCs w:val="13"/>
              </w:rPr>
              <w:t>（四）所有者权益内部结</w:t>
            </w:r>
          </w:p>
          <w:p>
            <w:pPr>
              <w:pStyle w:val="TableParagraph"/>
              <w:spacing w:line="169" w:lineRule="exact"/>
              <w:ind w:left="105" w:right="0"/>
              <w:jc w:val="left"/>
              <w:rPr>
                <w:rFonts w:ascii="宋体" w:hAnsi="宋体" w:cs="宋体" w:eastAsia="宋体" w:hint="default"/>
                <w:sz w:val="13"/>
                <w:szCs w:val="13"/>
              </w:rPr>
            </w:pPr>
            <w:r>
              <w:rPr>
                <w:rFonts w:ascii="宋体" w:hAnsi="宋体" w:cs="宋体" w:eastAsia="宋体" w:hint="default"/>
                <w:sz w:val="13"/>
                <w:szCs w:val="13"/>
              </w:rPr>
              <w:t>转</w:t>
            </w:r>
            <w:r>
              <w:rPr>
                <w:rFonts w:ascii="宋体" w:hAnsi="宋体" w:cs="宋体" w:eastAsia="宋体" w:hint="default"/>
                <w:sz w:val="13"/>
                <w:szCs w:val="13"/>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36"/>
              <w:jc w:val="right"/>
              <w:rPr>
                <w:rFonts w:ascii="宋体" w:hAnsi="宋体" w:cs="宋体" w:eastAsia="宋体" w:hint="default"/>
                <w:sz w:val="13"/>
                <w:szCs w:val="13"/>
              </w:rPr>
            </w:pPr>
            <w:r>
              <w:rPr>
                <w:rFonts w:ascii="宋体"/>
                <w:w w:val="99"/>
                <w:sz w:val="13"/>
              </w:rPr>
              <w:t> </w:t>
            </w:r>
            <w:r>
              <w:rPr>
                <w:rFonts w:ascii="宋体"/>
                <w:sz w:val="13"/>
              </w:rPr>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36"/>
              <w:jc w:val="right"/>
              <w:rPr>
                <w:rFonts w:ascii="宋体" w:hAnsi="宋体" w:cs="宋体" w:eastAsia="宋体" w:hint="default"/>
                <w:sz w:val="13"/>
                <w:szCs w:val="13"/>
              </w:rPr>
            </w:pPr>
            <w:r>
              <w:rPr>
                <w:rFonts w:ascii="宋体"/>
                <w:w w:val="99"/>
                <w:sz w:val="13"/>
              </w:rPr>
              <w:t> </w:t>
            </w:r>
            <w:r>
              <w:rPr>
                <w:rFonts w:ascii="宋体"/>
                <w:sz w:val="13"/>
              </w:rPr>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36"/>
              <w:jc w:val="right"/>
              <w:rPr>
                <w:rFonts w:ascii="宋体" w:hAnsi="宋体" w:cs="宋体" w:eastAsia="宋体" w:hint="default"/>
                <w:sz w:val="13"/>
                <w:szCs w:val="13"/>
              </w:rPr>
            </w:pPr>
            <w:r>
              <w:rPr>
                <w:rFonts w:ascii="宋体"/>
                <w:w w:val="99"/>
                <w:sz w:val="13"/>
              </w:rPr>
              <w:t> </w:t>
            </w:r>
            <w:r>
              <w:rPr>
                <w:rFonts w:ascii="宋体"/>
                <w:sz w:val="13"/>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36"/>
              <w:jc w:val="right"/>
              <w:rPr>
                <w:rFonts w:ascii="宋体" w:hAnsi="宋体" w:cs="宋体" w:eastAsia="宋体" w:hint="default"/>
                <w:sz w:val="13"/>
                <w:szCs w:val="13"/>
              </w:rPr>
            </w:pPr>
            <w:r>
              <w:rPr>
                <w:rFonts w:ascii="宋体"/>
                <w:w w:val="99"/>
                <w:sz w:val="13"/>
              </w:rPr>
              <w:t> </w:t>
            </w:r>
            <w:r>
              <w:rPr>
                <w:rFonts w:ascii="宋体"/>
                <w:sz w:val="13"/>
              </w:rPr>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35"/>
              <w:jc w:val="right"/>
              <w:rPr>
                <w:rFonts w:ascii="宋体" w:hAnsi="宋体" w:cs="宋体" w:eastAsia="宋体" w:hint="default"/>
                <w:sz w:val="13"/>
                <w:szCs w:val="13"/>
              </w:rPr>
            </w:pPr>
            <w:r>
              <w:rPr>
                <w:rFonts w:ascii="宋体"/>
                <w:w w:val="99"/>
                <w:sz w:val="13"/>
              </w:rPr>
              <w:t> </w:t>
            </w:r>
            <w:r>
              <w:rPr>
                <w:rFonts w:ascii="宋体"/>
                <w:sz w:val="13"/>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36"/>
              <w:jc w:val="right"/>
              <w:rPr>
                <w:rFonts w:ascii="宋体" w:hAnsi="宋体" w:cs="宋体" w:eastAsia="宋体" w:hint="default"/>
                <w:sz w:val="13"/>
                <w:szCs w:val="13"/>
              </w:rPr>
            </w:pPr>
            <w:r>
              <w:rPr>
                <w:rFonts w:ascii="宋体"/>
                <w:w w:val="99"/>
                <w:sz w:val="13"/>
              </w:rPr>
              <w:t> </w:t>
            </w:r>
            <w:r>
              <w:rPr>
                <w:rFonts w:ascii="宋体"/>
                <w:sz w:val="13"/>
              </w:rPr>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36"/>
              <w:jc w:val="right"/>
              <w:rPr>
                <w:rFonts w:ascii="宋体" w:hAnsi="宋体" w:cs="宋体" w:eastAsia="宋体" w:hint="default"/>
                <w:sz w:val="13"/>
                <w:szCs w:val="13"/>
              </w:rPr>
            </w:pPr>
            <w:r>
              <w:rPr>
                <w:rFonts w:ascii="宋体"/>
                <w:w w:val="99"/>
                <w:sz w:val="13"/>
              </w:rPr>
              <w:t> </w:t>
            </w:r>
            <w:r>
              <w:rPr>
                <w:rFonts w:ascii="宋体"/>
                <w:sz w:val="13"/>
              </w:rPr>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36"/>
              <w:jc w:val="right"/>
              <w:rPr>
                <w:rFonts w:ascii="宋体" w:hAnsi="宋体" w:cs="宋体" w:eastAsia="宋体" w:hint="default"/>
                <w:sz w:val="13"/>
                <w:szCs w:val="13"/>
              </w:rPr>
            </w:pPr>
            <w:r>
              <w:rPr>
                <w:rFonts w:ascii="宋体"/>
                <w:w w:val="99"/>
                <w:sz w:val="13"/>
              </w:rPr>
              <w:t> </w:t>
            </w:r>
            <w:r>
              <w:rPr>
                <w:rFonts w:ascii="宋体"/>
                <w:sz w:val="13"/>
              </w:rPr>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36"/>
              <w:jc w:val="right"/>
              <w:rPr>
                <w:rFonts w:ascii="宋体" w:hAnsi="宋体" w:cs="宋体" w:eastAsia="宋体" w:hint="default"/>
                <w:sz w:val="13"/>
                <w:szCs w:val="13"/>
              </w:rPr>
            </w:pPr>
            <w:r>
              <w:rPr>
                <w:rFonts w:ascii="宋体"/>
                <w:w w:val="99"/>
                <w:sz w:val="13"/>
              </w:rPr>
              <w:t> </w:t>
            </w:r>
            <w:r>
              <w:rPr>
                <w:rFonts w:ascii="宋体"/>
                <w:sz w:val="13"/>
              </w:rPr>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36"/>
              <w:jc w:val="right"/>
              <w:rPr>
                <w:rFonts w:ascii="宋体" w:hAnsi="宋体" w:cs="宋体" w:eastAsia="宋体" w:hint="default"/>
                <w:sz w:val="13"/>
                <w:szCs w:val="13"/>
              </w:rPr>
            </w:pPr>
            <w:r>
              <w:rPr>
                <w:rFonts w:ascii="宋体"/>
                <w:w w:val="99"/>
                <w:sz w:val="13"/>
              </w:rPr>
              <w:t> </w:t>
            </w:r>
            <w:r>
              <w:rPr>
                <w:rFonts w:ascii="宋体"/>
                <w:sz w:val="13"/>
              </w:rPr>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36"/>
              <w:jc w:val="right"/>
              <w:rPr>
                <w:rFonts w:ascii="宋体" w:hAnsi="宋体" w:cs="宋体" w:eastAsia="宋体" w:hint="default"/>
                <w:sz w:val="13"/>
                <w:szCs w:val="13"/>
              </w:rPr>
            </w:pPr>
            <w:r>
              <w:rPr>
                <w:rFonts w:ascii="宋体"/>
                <w:w w:val="99"/>
                <w:sz w:val="13"/>
              </w:rPr>
              <w:t> </w:t>
            </w:r>
            <w:r>
              <w:rPr>
                <w:rFonts w:ascii="宋体"/>
                <w:sz w:val="13"/>
              </w:rPr>
            </w:r>
          </w:p>
        </w:tc>
        <w:tc>
          <w:tcPr>
            <w:tcW w:w="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35"/>
              <w:jc w:val="right"/>
              <w:rPr>
                <w:rFonts w:ascii="宋体" w:hAnsi="宋体" w:cs="宋体" w:eastAsia="宋体" w:hint="default"/>
                <w:sz w:val="13"/>
                <w:szCs w:val="13"/>
              </w:rPr>
            </w:pPr>
            <w:r>
              <w:rPr>
                <w:rFonts w:ascii="宋体"/>
                <w:w w:val="99"/>
                <w:sz w:val="13"/>
              </w:rPr>
              <w:t> </w:t>
            </w:r>
            <w:r>
              <w:rPr>
                <w:rFonts w:ascii="宋体"/>
                <w:sz w:val="13"/>
              </w:rPr>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35"/>
              <w:jc w:val="right"/>
              <w:rPr>
                <w:rFonts w:ascii="宋体" w:hAnsi="宋体" w:cs="宋体" w:eastAsia="宋体" w:hint="default"/>
                <w:sz w:val="13"/>
                <w:szCs w:val="13"/>
              </w:rPr>
            </w:pPr>
            <w:r>
              <w:rPr>
                <w:rFonts w:ascii="宋体"/>
                <w:w w:val="99"/>
                <w:sz w:val="13"/>
              </w:rPr>
              <w:t> </w:t>
            </w:r>
            <w:r>
              <w:rPr>
                <w:rFonts w:ascii="宋体"/>
                <w:sz w:val="13"/>
              </w:rPr>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36"/>
              <w:jc w:val="right"/>
              <w:rPr>
                <w:rFonts w:ascii="宋体" w:hAnsi="宋体" w:cs="宋体" w:eastAsia="宋体" w:hint="default"/>
                <w:sz w:val="13"/>
                <w:szCs w:val="13"/>
              </w:rPr>
            </w:pPr>
            <w:r>
              <w:rPr>
                <w:rFonts w:ascii="宋体"/>
                <w:w w:val="99"/>
                <w:sz w:val="13"/>
              </w:rPr>
              <w:t> </w:t>
            </w:r>
            <w:r>
              <w:rPr>
                <w:rFonts w:ascii="宋体"/>
                <w:sz w:val="13"/>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35"/>
              <w:jc w:val="right"/>
              <w:rPr>
                <w:rFonts w:ascii="宋体" w:hAnsi="宋体" w:cs="宋体" w:eastAsia="宋体" w:hint="default"/>
                <w:sz w:val="13"/>
                <w:szCs w:val="13"/>
              </w:rPr>
            </w:pPr>
            <w:r>
              <w:rPr>
                <w:rFonts w:ascii="宋体"/>
                <w:w w:val="99"/>
                <w:sz w:val="13"/>
              </w:rPr>
              <w:t> </w:t>
            </w:r>
            <w:r>
              <w:rPr>
                <w:rFonts w:ascii="宋体"/>
                <w:sz w:val="13"/>
              </w:rPr>
            </w:r>
          </w:p>
        </w:tc>
      </w:tr>
      <w:tr>
        <w:trPr>
          <w:trHeight w:val="349"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146" w:lineRule="exact"/>
              <w:ind w:left="105" w:right="0"/>
              <w:jc w:val="left"/>
              <w:rPr>
                <w:rFonts w:ascii="宋体" w:hAnsi="宋体" w:cs="宋体" w:eastAsia="宋体" w:hint="default"/>
                <w:sz w:val="13"/>
                <w:szCs w:val="13"/>
              </w:rPr>
            </w:pPr>
            <w:r>
              <w:rPr>
                <w:rFonts w:ascii="宋体" w:hAnsi="宋体" w:cs="宋体" w:eastAsia="宋体" w:hint="default"/>
                <w:sz w:val="13"/>
                <w:szCs w:val="13"/>
              </w:rPr>
              <w:t>1</w:t>
            </w:r>
            <w:r>
              <w:rPr>
                <w:rFonts w:ascii="宋体" w:hAnsi="宋体" w:cs="宋体" w:eastAsia="宋体" w:hint="default"/>
                <w:sz w:val="13"/>
                <w:szCs w:val="13"/>
              </w:rPr>
              <w:t>．资本公积转增资本（或</w:t>
            </w:r>
          </w:p>
          <w:p>
            <w:pPr>
              <w:pStyle w:val="TableParagraph"/>
              <w:spacing w:line="240" w:lineRule="auto"/>
              <w:ind w:left="105" w:right="0"/>
              <w:jc w:val="left"/>
              <w:rPr>
                <w:rFonts w:ascii="宋体" w:hAnsi="宋体" w:cs="宋体" w:eastAsia="宋体" w:hint="default"/>
                <w:sz w:val="13"/>
                <w:szCs w:val="13"/>
              </w:rPr>
            </w:pPr>
            <w:r>
              <w:rPr>
                <w:rFonts w:ascii="宋体" w:hAnsi="宋体" w:cs="宋体" w:eastAsia="宋体" w:hint="default"/>
                <w:sz w:val="13"/>
                <w:szCs w:val="13"/>
              </w:rPr>
              <w:t>股本）</w:t>
            </w:r>
            <w:r>
              <w:rPr>
                <w:rFonts w:ascii="宋体" w:hAnsi="宋体" w:cs="宋体" w:eastAsia="宋体" w:hint="default"/>
                <w:sz w:val="13"/>
                <w:szCs w:val="13"/>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6"/>
              <w:jc w:val="right"/>
              <w:rPr>
                <w:rFonts w:ascii="宋体" w:hAnsi="宋体" w:cs="宋体" w:eastAsia="宋体" w:hint="default"/>
                <w:sz w:val="13"/>
                <w:szCs w:val="13"/>
              </w:rPr>
            </w:pPr>
            <w:r>
              <w:rPr>
                <w:rFonts w:ascii="宋体"/>
                <w:w w:val="99"/>
                <w:sz w:val="13"/>
              </w:rPr>
              <w:t> </w:t>
            </w:r>
            <w:r>
              <w:rPr>
                <w:rFonts w:ascii="宋体"/>
                <w:sz w:val="13"/>
              </w:rPr>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6"/>
              <w:jc w:val="right"/>
              <w:rPr>
                <w:rFonts w:ascii="宋体" w:hAnsi="宋体" w:cs="宋体" w:eastAsia="宋体" w:hint="default"/>
                <w:sz w:val="13"/>
                <w:szCs w:val="13"/>
              </w:rPr>
            </w:pPr>
            <w:r>
              <w:rPr>
                <w:rFonts w:ascii="宋体"/>
                <w:w w:val="99"/>
                <w:sz w:val="13"/>
              </w:rPr>
              <w:t> </w:t>
            </w:r>
            <w:r>
              <w:rPr>
                <w:rFonts w:ascii="宋体"/>
                <w:sz w:val="13"/>
              </w:rPr>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6"/>
              <w:jc w:val="right"/>
              <w:rPr>
                <w:rFonts w:ascii="宋体" w:hAnsi="宋体" w:cs="宋体" w:eastAsia="宋体" w:hint="default"/>
                <w:sz w:val="13"/>
                <w:szCs w:val="13"/>
              </w:rPr>
            </w:pPr>
            <w:r>
              <w:rPr>
                <w:rFonts w:ascii="宋体"/>
                <w:w w:val="99"/>
                <w:sz w:val="13"/>
              </w:rPr>
              <w:t> </w:t>
            </w:r>
            <w:r>
              <w:rPr>
                <w:rFonts w:ascii="宋体"/>
                <w:sz w:val="13"/>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6"/>
              <w:jc w:val="right"/>
              <w:rPr>
                <w:rFonts w:ascii="宋体" w:hAnsi="宋体" w:cs="宋体" w:eastAsia="宋体" w:hint="default"/>
                <w:sz w:val="13"/>
                <w:szCs w:val="13"/>
              </w:rPr>
            </w:pPr>
            <w:r>
              <w:rPr>
                <w:rFonts w:ascii="宋体"/>
                <w:w w:val="99"/>
                <w:sz w:val="13"/>
              </w:rPr>
              <w:t> </w:t>
            </w:r>
            <w:r>
              <w:rPr>
                <w:rFonts w:ascii="宋体"/>
                <w:sz w:val="13"/>
              </w:rPr>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5"/>
              <w:jc w:val="right"/>
              <w:rPr>
                <w:rFonts w:ascii="宋体" w:hAnsi="宋体" w:cs="宋体" w:eastAsia="宋体" w:hint="default"/>
                <w:sz w:val="13"/>
                <w:szCs w:val="13"/>
              </w:rPr>
            </w:pPr>
            <w:r>
              <w:rPr>
                <w:rFonts w:ascii="宋体"/>
                <w:w w:val="99"/>
                <w:sz w:val="13"/>
              </w:rPr>
              <w:t> </w:t>
            </w:r>
            <w:r>
              <w:rPr>
                <w:rFonts w:ascii="宋体"/>
                <w:sz w:val="13"/>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6"/>
              <w:jc w:val="right"/>
              <w:rPr>
                <w:rFonts w:ascii="宋体" w:hAnsi="宋体" w:cs="宋体" w:eastAsia="宋体" w:hint="default"/>
                <w:sz w:val="13"/>
                <w:szCs w:val="13"/>
              </w:rPr>
            </w:pPr>
            <w:r>
              <w:rPr>
                <w:rFonts w:ascii="宋体"/>
                <w:w w:val="99"/>
                <w:sz w:val="13"/>
              </w:rPr>
              <w:t> </w:t>
            </w:r>
            <w:r>
              <w:rPr>
                <w:rFonts w:ascii="宋体"/>
                <w:sz w:val="13"/>
              </w:rPr>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6"/>
              <w:jc w:val="right"/>
              <w:rPr>
                <w:rFonts w:ascii="宋体" w:hAnsi="宋体" w:cs="宋体" w:eastAsia="宋体" w:hint="default"/>
                <w:sz w:val="13"/>
                <w:szCs w:val="13"/>
              </w:rPr>
            </w:pPr>
            <w:r>
              <w:rPr>
                <w:rFonts w:ascii="宋体"/>
                <w:w w:val="99"/>
                <w:sz w:val="13"/>
              </w:rPr>
              <w:t> </w:t>
            </w:r>
            <w:r>
              <w:rPr>
                <w:rFonts w:ascii="宋体"/>
                <w:sz w:val="13"/>
              </w:rPr>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6"/>
              <w:jc w:val="right"/>
              <w:rPr>
                <w:rFonts w:ascii="宋体" w:hAnsi="宋体" w:cs="宋体" w:eastAsia="宋体" w:hint="default"/>
                <w:sz w:val="13"/>
                <w:szCs w:val="13"/>
              </w:rPr>
            </w:pPr>
            <w:r>
              <w:rPr>
                <w:rFonts w:ascii="宋体"/>
                <w:w w:val="99"/>
                <w:sz w:val="13"/>
              </w:rPr>
              <w:t> </w:t>
            </w:r>
            <w:r>
              <w:rPr>
                <w:rFonts w:ascii="宋体"/>
                <w:sz w:val="13"/>
              </w:rPr>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6"/>
              <w:jc w:val="right"/>
              <w:rPr>
                <w:rFonts w:ascii="宋体" w:hAnsi="宋体" w:cs="宋体" w:eastAsia="宋体" w:hint="default"/>
                <w:sz w:val="13"/>
                <w:szCs w:val="13"/>
              </w:rPr>
            </w:pPr>
            <w:r>
              <w:rPr>
                <w:rFonts w:ascii="宋体"/>
                <w:w w:val="99"/>
                <w:sz w:val="13"/>
              </w:rPr>
              <w:t> </w:t>
            </w:r>
            <w:r>
              <w:rPr>
                <w:rFonts w:ascii="宋体"/>
                <w:sz w:val="13"/>
              </w:rPr>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6"/>
              <w:jc w:val="right"/>
              <w:rPr>
                <w:rFonts w:ascii="宋体" w:hAnsi="宋体" w:cs="宋体" w:eastAsia="宋体" w:hint="default"/>
                <w:sz w:val="13"/>
                <w:szCs w:val="13"/>
              </w:rPr>
            </w:pPr>
            <w:r>
              <w:rPr>
                <w:rFonts w:ascii="宋体"/>
                <w:w w:val="99"/>
                <w:sz w:val="13"/>
              </w:rPr>
              <w:t> </w:t>
            </w:r>
            <w:r>
              <w:rPr>
                <w:rFonts w:ascii="宋体"/>
                <w:sz w:val="13"/>
              </w:rPr>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6"/>
              <w:jc w:val="right"/>
              <w:rPr>
                <w:rFonts w:ascii="宋体" w:hAnsi="宋体" w:cs="宋体" w:eastAsia="宋体" w:hint="default"/>
                <w:sz w:val="13"/>
                <w:szCs w:val="13"/>
              </w:rPr>
            </w:pPr>
            <w:r>
              <w:rPr>
                <w:rFonts w:ascii="宋体"/>
                <w:w w:val="99"/>
                <w:sz w:val="13"/>
              </w:rPr>
              <w:t> </w:t>
            </w:r>
            <w:r>
              <w:rPr>
                <w:rFonts w:ascii="宋体"/>
                <w:sz w:val="13"/>
              </w:rPr>
            </w:r>
          </w:p>
        </w:tc>
        <w:tc>
          <w:tcPr>
            <w:tcW w:w="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5"/>
              <w:jc w:val="right"/>
              <w:rPr>
                <w:rFonts w:ascii="宋体" w:hAnsi="宋体" w:cs="宋体" w:eastAsia="宋体" w:hint="default"/>
                <w:sz w:val="13"/>
                <w:szCs w:val="13"/>
              </w:rPr>
            </w:pPr>
            <w:r>
              <w:rPr>
                <w:rFonts w:ascii="宋体"/>
                <w:w w:val="99"/>
                <w:sz w:val="13"/>
              </w:rPr>
              <w:t> </w:t>
            </w:r>
            <w:r>
              <w:rPr>
                <w:rFonts w:ascii="宋体"/>
                <w:sz w:val="13"/>
              </w:rPr>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5"/>
              <w:jc w:val="right"/>
              <w:rPr>
                <w:rFonts w:ascii="宋体" w:hAnsi="宋体" w:cs="宋体" w:eastAsia="宋体" w:hint="default"/>
                <w:sz w:val="13"/>
                <w:szCs w:val="13"/>
              </w:rPr>
            </w:pPr>
            <w:r>
              <w:rPr>
                <w:rFonts w:ascii="宋体"/>
                <w:w w:val="99"/>
                <w:sz w:val="13"/>
              </w:rPr>
              <w:t> </w:t>
            </w:r>
            <w:r>
              <w:rPr>
                <w:rFonts w:ascii="宋体"/>
                <w:sz w:val="13"/>
              </w:rPr>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6"/>
              <w:jc w:val="right"/>
              <w:rPr>
                <w:rFonts w:ascii="宋体" w:hAnsi="宋体" w:cs="宋体" w:eastAsia="宋体" w:hint="default"/>
                <w:sz w:val="13"/>
                <w:szCs w:val="13"/>
              </w:rPr>
            </w:pPr>
            <w:r>
              <w:rPr>
                <w:rFonts w:ascii="宋体"/>
                <w:w w:val="99"/>
                <w:sz w:val="13"/>
              </w:rPr>
              <w:t> </w:t>
            </w:r>
            <w:r>
              <w:rPr>
                <w:rFonts w:ascii="宋体"/>
                <w:sz w:val="13"/>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5"/>
              <w:jc w:val="right"/>
              <w:rPr>
                <w:rFonts w:ascii="宋体" w:hAnsi="宋体" w:cs="宋体" w:eastAsia="宋体" w:hint="default"/>
                <w:sz w:val="13"/>
                <w:szCs w:val="13"/>
              </w:rPr>
            </w:pPr>
            <w:r>
              <w:rPr>
                <w:rFonts w:ascii="宋体"/>
                <w:w w:val="99"/>
                <w:sz w:val="13"/>
              </w:rPr>
              <w:t> </w:t>
            </w:r>
            <w:r>
              <w:rPr>
                <w:rFonts w:ascii="宋体"/>
                <w:sz w:val="13"/>
              </w:rPr>
            </w:r>
          </w:p>
        </w:tc>
      </w:tr>
      <w:tr>
        <w:trPr>
          <w:trHeight w:val="348"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144" w:lineRule="exact"/>
              <w:ind w:left="105" w:right="0"/>
              <w:jc w:val="left"/>
              <w:rPr>
                <w:rFonts w:ascii="宋体" w:hAnsi="宋体" w:cs="宋体" w:eastAsia="宋体" w:hint="default"/>
                <w:sz w:val="13"/>
                <w:szCs w:val="13"/>
              </w:rPr>
            </w:pPr>
            <w:r>
              <w:rPr>
                <w:rFonts w:ascii="宋体" w:hAnsi="宋体" w:cs="宋体" w:eastAsia="宋体" w:hint="default"/>
                <w:sz w:val="13"/>
                <w:szCs w:val="13"/>
              </w:rPr>
              <w:t>2</w:t>
            </w:r>
            <w:r>
              <w:rPr>
                <w:rFonts w:ascii="宋体" w:hAnsi="宋体" w:cs="宋体" w:eastAsia="宋体" w:hint="default"/>
                <w:sz w:val="13"/>
                <w:szCs w:val="13"/>
              </w:rPr>
              <w:t>．盈余公积转增资本（或</w:t>
            </w:r>
          </w:p>
          <w:p>
            <w:pPr>
              <w:pStyle w:val="TableParagraph"/>
              <w:spacing w:line="169" w:lineRule="exact"/>
              <w:ind w:left="105" w:right="0"/>
              <w:jc w:val="left"/>
              <w:rPr>
                <w:rFonts w:ascii="宋体" w:hAnsi="宋体" w:cs="宋体" w:eastAsia="宋体" w:hint="default"/>
                <w:sz w:val="13"/>
                <w:szCs w:val="13"/>
              </w:rPr>
            </w:pPr>
            <w:r>
              <w:rPr>
                <w:rFonts w:ascii="宋体" w:hAnsi="宋体" w:cs="宋体" w:eastAsia="宋体" w:hint="default"/>
                <w:sz w:val="13"/>
                <w:szCs w:val="13"/>
              </w:rPr>
              <w:t>股本）</w:t>
            </w:r>
            <w:r>
              <w:rPr>
                <w:rFonts w:ascii="宋体" w:hAnsi="宋体" w:cs="宋体" w:eastAsia="宋体" w:hint="default"/>
                <w:sz w:val="13"/>
                <w:szCs w:val="13"/>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36"/>
              <w:jc w:val="right"/>
              <w:rPr>
                <w:rFonts w:ascii="宋体" w:hAnsi="宋体" w:cs="宋体" w:eastAsia="宋体" w:hint="default"/>
                <w:sz w:val="13"/>
                <w:szCs w:val="13"/>
              </w:rPr>
            </w:pPr>
            <w:r>
              <w:rPr>
                <w:rFonts w:ascii="宋体"/>
                <w:w w:val="99"/>
                <w:sz w:val="13"/>
              </w:rPr>
              <w:t> </w:t>
            </w:r>
            <w:r>
              <w:rPr>
                <w:rFonts w:ascii="宋体"/>
                <w:sz w:val="13"/>
              </w:rPr>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36"/>
              <w:jc w:val="right"/>
              <w:rPr>
                <w:rFonts w:ascii="宋体" w:hAnsi="宋体" w:cs="宋体" w:eastAsia="宋体" w:hint="default"/>
                <w:sz w:val="13"/>
                <w:szCs w:val="13"/>
              </w:rPr>
            </w:pPr>
            <w:r>
              <w:rPr>
                <w:rFonts w:ascii="宋体"/>
                <w:w w:val="99"/>
                <w:sz w:val="13"/>
              </w:rPr>
              <w:t> </w:t>
            </w:r>
            <w:r>
              <w:rPr>
                <w:rFonts w:ascii="宋体"/>
                <w:sz w:val="13"/>
              </w:rPr>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36"/>
              <w:jc w:val="right"/>
              <w:rPr>
                <w:rFonts w:ascii="宋体" w:hAnsi="宋体" w:cs="宋体" w:eastAsia="宋体" w:hint="default"/>
                <w:sz w:val="13"/>
                <w:szCs w:val="13"/>
              </w:rPr>
            </w:pPr>
            <w:r>
              <w:rPr>
                <w:rFonts w:ascii="宋体"/>
                <w:w w:val="99"/>
                <w:sz w:val="13"/>
              </w:rPr>
              <w:t> </w:t>
            </w:r>
            <w:r>
              <w:rPr>
                <w:rFonts w:ascii="宋体"/>
                <w:sz w:val="13"/>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36"/>
              <w:jc w:val="right"/>
              <w:rPr>
                <w:rFonts w:ascii="宋体" w:hAnsi="宋体" w:cs="宋体" w:eastAsia="宋体" w:hint="default"/>
                <w:sz w:val="13"/>
                <w:szCs w:val="13"/>
              </w:rPr>
            </w:pPr>
            <w:r>
              <w:rPr>
                <w:rFonts w:ascii="宋体"/>
                <w:w w:val="99"/>
                <w:sz w:val="13"/>
              </w:rPr>
              <w:t> </w:t>
            </w:r>
            <w:r>
              <w:rPr>
                <w:rFonts w:ascii="宋体"/>
                <w:sz w:val="13"/>
              </w:rPr>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35"/>
              <w:jc w:val="right"/>
              <w:rPr>
                <w:rFonts w:ascii="宋体" w:hAnsi="宋体" w:cs="宋体" w:eastAsia="宋体" w:hint="default"/>
                <w:sz w:val="13"/>
                <w:szCs w:val="13"/>
              </w:rPr>
            </w:pPr>
            <w:r>
              <w:rPr>
                <w:rFonts w:ascii="宋体"/>
                <w:w w:val="99"/>
                <w:sz w:val="13"/>
              </w:rPr>
              <w:t> </w:t>
            </w:r>
            <w:r>
              <w:rPr>
                <w:rFonts w:ascii="宋体"/>
                <w:sz w:val="13"/>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36"/>
              <w:jc w:val="right"/>
              <w:rPr>
                <w:rFonts w:ascii="宋体" w:hAnsi="宋体" w:cs="宋体" w:eastAsia="宋体" w:hint="default"/>
                <w:sz w:val="13"/>
                <w:szCs w:val="13"/>
              </w:rPr>
            </w:pPr>
            <w:r>
              <w:rPr>
                <w:rFonts w:ascii="宋体"/>
                <w:w w:val="99"/>
                <w:sz w:val="13"/>
              </w:rPr>
              <w:t> </w:t>
            </w:r>
            <w:r>
              <w:rPr>
                <w:rFonts w:ascii="宋体"/>
                <w:sz w:val="13"/>
              </w:rPr>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36"/>
              <w:jc w:val="right"/>
              <w:rPr>
                <w:rFonts w:ascii="宋体" w:hAnsi="宋体" w:cs="宋体" w:eastAsia="宋体" w:hint="default"/>
                <w:sz w:val="13"/>
                <w:szCs w:val="13"/>
              </w:rPr>
            </w:pPr>
            <w:r>
              <w:rPr>
                <w:rFonts w:ascii="宋体"/>
                <w:w w:val="99"/>
                <w:sz w:val="13"/>
              </w:rPr>
              <w:t> </w:t>
            </w:r>
            <w:r>
              <w:rPr>
                <w:rFonts w:ascii="宋体"/>
                <w:sz w:val="13"/>
              </w:rPr>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36"/>
              <w:jc w:val="right"/>
              <w:rPr>
                <w:rFonts w:ascii="宋体" w:hAnsi="宋体" w:cs="宋体" w:eastAsia="宋体" w:hint="default"/>
                <w:sz w:val="13"/>
                <w:szCs w:val="13"/>
              </w:rPr>
            </w:pPr>
            <w:r>
              <w:rPr>
                <w:rFonts w:ascii="宋体"/>
                <w:w w:val="99"/>
                <w:sz w:val="13"/>
              </w:rPr>
              <w:t> </w:t>
            </w:r>
            <w:r>
              <w:rPr>
                <w:rFonts w:ascii="宋体"/>
                <w:sz w:val="13"/>
              </w:rPr>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36"/>
              <w:jc w:val="right"/>
              <w:rPr>
                <w:rFonts w:ascii="宋体" w:hAnsi="宋体" w:cs="宋体" w:eastAsia="宋体" w:hint="default"/>
                <w:sz w:val="13"/>
                <w:szCs w:val="13"/>
              </w:rPr>
            </w:pPr>
            <w:r>
              <w:rPr>
                <w:rFonts w:ascii="宋体"/>
                <w:w w:val="99"/>
                <w:sz w:val="13"/>
              </w:rPr>
              <w:t> </w:t>
            </w:r>
            <w:r>
              <w:rPr>
                <w:rFonts w:ascii="宋体"/>
                <w:sz w:val="13"/>
              </w:rPr>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36"/>
              <w:jc w:val="right"/>
              <w:rPr>
                <w:rFonts w:ascii="宋体" w:hAnsi="宋体" w:cs="宋体" w:eastAsia="宋体" w:hint="default"/>
                <w:sz w:val="13"/>
                <w:szCs w:val="13"/>
              </w:rPr>
            </w:pPr>
            <w:r>
              <w:rPr>
                <w:rFonts w:ascii="宋体"/>
                <w:w w:val="99"/>
                <w:sz w:val="13"/>
              </w:rPr>
              <w:t> </w:t>
            </w:r>
            <w:r>
              <w:rPr>
                <w:rFonts w:ascii="宋体"/>
                <w:sz w:val="13"/>
              </w:rPr>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36"/>
              <w:jc w:val="right"/>
              <w:rPr>
                <w:rFonts w:ascii="宋体" w:hAnsi="宋体" w:cs="宋体" w:eastAsia="宋体" w:hint="default"/>
                <w:sz w:val="13"/>
                <w:szCs w:val="13"/>
              </w:rPr>
            </w:pPr>
            <w:r>
              <w:rPr>
                <w:rFonts w:ascii="宋体"/>
                <w:w w:val="99"/>
                <w:sz w:val="13"/>
              </w:rPr>
              <w:t> </w:t>
            </w:r>
            <w:r>
              <w:rPr>
                <w:rFonts w:ascii="宋体"/>
                <w:sz w:val="13"/>
              </w:rPr>
            </w:r>
          </w:p>
        </w:tc>
        <w:tc>
          <w:tcPr>
            <w:tcW w:w="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35"/>
              <w:jc w:val="right"/>
              <w:rPr>
                <w:rFonts w:ascii="宋体" w:hAnsi="宋体" w:cs="宋体" w:eastAsia="宋体" w:hint="default"/>
                <w:sz w:val="13"/>
                <w:szCs w:val="13"/>
              </w:rPr>
            </w:pPr>
            <w:r>
              <w:rPr>
                <w:rFonts w:ascii="宋体"/>
                <w:w w:val="99"/>
                <w:sz w:val="13"/>
              </w:rPr>
              <w:t> </w:t>
            </w:r>
            <w:r>
              <w:rPr>
                <w:rFonts w:ascii="宋体"/>
                <w:sz w:val="13"/>
              </w:rPr>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35"/>
              <w:jc w:val="right"/>
              <w:rPr>
                <w:rFonts w:ascii="宋体" w:hAnsi="宋体" w:cs="宋体" w:eastAsia="宋体" w:hint="default"/>
                <w:sz w:val="13"/>
                <w:szCs w:val="13"/>
              </w:rPr>
            </w:pPr>
            <w:r>
              <w:rPr>
                <w:rFonts w:ascii="宋体"/>
                <w:w w:val="99"/>
                <w:sz w:val="13"/>
              </w:rPr>
              <w:t> </w:t>
            </w:r>
            <w:r>
              <w:rPr>
                <w:rFonts w:ascii="宋体"/>
                <w:sz w:val="13"/>
              </w:rPr>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36"/>
              <w:jc w:val="right"/>
              <w:rPr>
                <w:rFonts w:ascii="宋体" w:hAnsi="宋体" w:cs="宋体" w:eastAsia="宋体" w:hint="default"/>
                <w:sz w:val="13"/>
                <w:szCs w:val="13"/>
              </w:rPr>
            </w:pPr>
            <w:r>
              <w:rPr>
                <w:rFonts w:ascii="宋体"/>
                <w:w w:val="99"/>
                <w:sz w:val="13"/>
              </w:rPr>
              <w:t> </w:t>
            </w:r>
            <w:r>
              <w:rPr>
                <w:rFonts w:ascii="宋体"/>
                <w:sz w:val="13"/>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35"/>
              <w:jc w:val="right"/>
              <w:rPr>
                <w:rFonts w:ascii="宋体" w:hAnsi="宋体" w:cs="宋体" w:eastAsia="宋体" w:hint="default"/>
                <w:sz w:val="13"/>
                <w:szCs w:val="13"/>
              </w:rPr>
            </w:pPr>
            <w:r>
              <w:rPr>
                <w:rFonts w:ascii="宋体"/>
                <w:w w:val="99"/>
                <w:sz w:val="13"/>
              </w:rPr>
              <w:t> </w:t>
            </w:r>
            <w:r>
              <w:rPr>
                <w:rFonts w:ascii="宋体"/>
                <w:sz w:val="13"/>
              </w:rPr>
            </w:r>
          </w:p>
        </w:tc>
      </w:tr>
      <w:tr>
        <w:trPr>
          <w:trHeight w:val="178"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05" w:right="0"/>
              <w:jc w:val="left"/>
              <w:rPr>
                <w:rFonts w:ascii="宋体" w:hAnsi="宋体" w:cs="宋体" w:eastAsia="宋体" w:hint="default"/>
                <w:sz w:val="13"/>
                <w:szCs w:val="13"/>
              </w:rPr>
            </w:pPr>
            <w:r>
              <w:rPr>
                <w:rFonts w:ascii="宋体" w:hAnsi="宋体" w:cs="宋体" w:eastAsia="宋体" w:hint="default"/>
                <w:sz w:val="13"/>
                <w:szCs w:val="13"/>
              </w:rPr>
              <w:t>3</w:t>
            </w:r>
            <w:r>
              <w:rPr>
                <w:rFonts w:ascii="宋体" w:hAnsi="宋体" w:cs="宋体" w:eastAsia="宋体" w:hint="default"/>
                <w:sz w:val="13"/>
                <w:szCs w:val="13"/>
              </w:rPr>
              <w:t>．盈余公积弥补亏损</w:t>
            </w:r>
            <w:r>
              <w:rPr>
                <w:rFonts w:ascii="宋体" w:hAnsi="宋体" w:cs="宋体" w:eastAsia="宋体" w:hint="default"/>
                <w:sz w:val="13"/>
                <w:szCs w:val="13"/>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423"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5"/>
              <w:jc w:val="right"/>
              <w:rPr>
                <w:rFonts w:ascii="宋体" w:hAnsi="宋体" w:cs="宋体" w:eastAsia="宋体" w:hint="default"/>
                <w:sz w:val="13"/>
                <w:szCs w:val="13"/>
              </w:rPr>
            </w:pPr>
            <w:r>
              <w:rPr>
                <w:rFonts w:ascii="宋体"/>
                <w:w w:val="99"/>
                <w:sz w:val="13"/>
              </w:rPr>
              <w:t> </w:t>
            </w:r>
            <w:r>
              <w:rPr>
                <w:rFonts w:ascii="宋体"/>
                <w:sz w:val="13"/>
              </w:rPr>
            </w:r>
          </w:p>
        </w:tc>
      </w:tr>
      <w:tr>
        <w:trPr>
          <w:trHeight w:val="180"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05" w:right="0"/>
              <w:jc w:val="left"/>
              <w:rPr>
                <w:rFonts w:ascii="宋体" w:hAnsi="宋体" w:cs="宋体" w:eastAsia="宋体" w:hint="default"/>
                <w:sz w:val="13"/>
                <w:szCs w:val="13"/>
              </w:rPr>
            </w:pPr>
            <w:r>
              <w:rPr>
                <w:rFonts w:ascii="宋体" w:hAnsi="宋体" w:cs="宋体" w:eastAsia="宋体" w:hint="default"/>
                <w:sz w:val="13"/>
                <w:szCs w:val="13"/>
              </w:rPr>
              <w:t>4</w:t>
            </w:r>
            <w:r>
              <w:rPr>
                <w:rFonts w:ascii="宋体" w:hAnsi="宋体" w:cs="宋体" w:eastAsia="宋体" w:hint="default"/>
                <w:sz w:val="13"/>
                <w:szCs w:val="13"/>
              </w:rPr>
              <w:t>．设定受益计划变动额结</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423"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5"/>
              <w:jc w:val="right"/>
              <w:rPr>
                <w:rFonts w:ascii="宋体" w:hAnsi="宋体" w:cs="宋体" w:eastAsia="宋体" w:hint="default"/>
                <w:sz w:val="13"/>
                <w:szCs w:val="13"/>
              </w:rPr>
            </w:pPr>
            <w:r>
              <w:rPr>
                <w:rFonts w:ascii="宋体"/>
                <w:w w:val="99"/>
                <w:sz w:val="13"/>
              </w:rPr>
              <w:t> </w:t>
            </w:r>
            <w:r>
              <w:rPr>
                <w:rFonts w:ascii="宋体"/>
                <w:sz w:val="13"/>
              </w:rPr>
            </w:r>
          </w:p>
        </w:tc>
      </w:tr>
    </w:tbl>
    <w:p>
      <w:pPr>
        <w:spacing w:after="0" w:line="145" w:lineRule="exact"/>
        <w:jc w:val="right"/>
        <w:rPr>
          <w:rFonts w:ascii="宋体" w:hAnsi="宋体" w:cs="宋体" w:eastAsia="宋体" w:hint="default"/>
          <w:sz w:val="13"/>
          <w:szCs w:val="13"/>
        </w:rPr>
        <w:sectPr>
          <w:pgSz w:w="16840" w:h="11910" w:orient="landscape"/>
          <w:pgMar w:header="748" w:footer="975" w:top="1140" w:bottom="1160" w:left="140" w:right="160"/>
        </w:sectPr>
      </w:pPr>
    </w:p>
    <w:p>
      <w:pPr>
        <w:spacing w:line="240" w:lineRule="auto" w:before="5"/>
        <w:rPr>
          <w:rFonts w:ascii="宋体" w:hAnsi="宋体" w:cs="宋体" w:eastAsia="宋体" w:hint="default"/>
          <w:sz w:val="10"/>
          <w:szCs w:val="10"/>
        </w:rPr>
      </w:pPr>
    </w:p>
    <w:tbl>
      <w:tblPr>
        <w:tblW w:w="0" w:type="auto"/>
        <w:jc w:val="left"/>
        <w:tblInd w:w="102" w:type="dxa"/>
        <w:tblLayout w:type="fixed"/>
        <w:tblCellMar>
          <w:top w:w="0" w:type="dxa"/>
          <w:left w:w="0" w:type="dxa"/>
          <w:bottom w:w="0" w:type="dxa"/>
          <w:right w:w="0" w:type="dxa"/>
        </w:tblCellMar>
        <w:tblLook w:val="01E0"/>
      </w:tblPr>
      <w:tblGrid>
        <w:gridCol w:w="1702"/>
        <w:gridCol w:w="1274"/>
        <w:gridCol w:w="286"/>
        <w:gridCol w:w="283"/>
        <w:gridCol w:w="1274"/>
        <w:gridCol w:w="1280"/>
        <w:gridCol w:w="1135"/>
        <w:gridCol w:w="1130"/>
        <w:gridCol w:w="428"/>
        <w:gridCol w:w="1130"/>
        <w:gridCol w:w="571"/>
        <w:gridCol w:w="1272"/>
        <w:gridCol w:w="423"/>
        <w:gridCol w:w="1426"/>
        <w:gridCol w:w="1272"/>
        <w:gridCol w:w="1416"/>
      </w:tblGrid>
      <w:tr>
        <w:trPr>
          <w:trHeight w:val="178"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146" w:lineRule="exact"/>
              <w:ind w:left="105" w:right="0"/>
              <w:jc w:val="left"/>
              <w:rPr>
                <w:rFonts w:ascii="宋体" w:hAnsi="宋体" w:cs="宋体" w:eastAsia="宋体" w:hint="default"/>
                <w:sz w:val="13"/>
                <w:szCs w:val="13"/>
              </w:rPr>
            </w:pPr>
            <w:r>
              <w:rPr>
                <w:rFonts w:ascii="宋体" w:hAnsi="宋体" w:cs="宋体" w:eastAsia="宋体" w:hint="default"/>
                <w:sz w:val="13"/>
                <w:szCs w:val="13"/>
              </w:rPr>
              <w:t>转留存收益</w:t>
            </w:r>
            <w:r>
              <w:rPr>
                <w:rFonts w:ascii="宋体" w:hAnsi="宋体" w:cs="宋体" w:eastAsia="宋体" w:hint="default"/>
                <w:sz w:val="13"/>
                <w:szCs w:val="13"/>
              </w:rPr>
              <w:t> </w:t>
            </w:r>
          </w:p>
        </w:tc>
        <w:tc>
          <w:tcPr>
            <w:tcW w:w="1274"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130"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1130"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c>
          <w:tcPr>
            <w:tcW w:w="423"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348"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144" w:lineRule="exact"/>
              <w:ind w:left="105" w:right="0"/>
              <w:jc w:val="left"/>
              <w:rPr>
                <w:rFonts w:ascii="宋体" w:hAnsi="宋体" w:cs="宋体" w:eastAsia="宋体" w:hint="default"/>
                <w:sz w:val="13"/>
                <w:szCs w:val="13"/>
              </w:rPr>
            </w:pPr>
            <w:r>
              <w:rPr>
                <w:rFonts w:ascii="宋体" w:hAnsi="宋体" w:cs="宋体" w:eastAsia="宋体" w:hint="default"/>
                <w:sz w:val="13"/>
                <w:szCs w:val="13"/>
              </w:rPr>
              <w:t>5</w:t>
            </w:r>
            <w:r>
              <w:rPr>
                <w:rFonts w:ascii="宋体" w:hAnsi="宋体" w:cs="宋体" w:eastAsia="宋体" w:hint="default"/>
                <w:sz w:val="13"/>
                <w:szCs w:val="13"/>
              </w:rPr>
              <w:t>．其他综合收益结转留存</w:t>
            </w:r>
          </w:p>
          <w:p>
            <w:pPr>
              <w:pStyle w:val="TableParagraph"/>
              <w:spacing w:line="169" w:lineRule="exact"/>
              <w:ind w:left="105" w:right="0"/>
              <w:jc w:val="left"/>
              <w:rPr>
                <w:rFonts w:ascii="宋体" w:hAnsi="宋体" w:cs="宋体" w:eastAsia="宋体" w:hint="default"/>
                <w:sz w:val="13"/>
                <w:szCs w:val="13"/>
              </w:rPr>
            </w:pPr>
            <w:r>
              <w:rPr>
                <w:rFonts w:ascii="宋体" w:hAnsi="宋体" w:cs="宋体" w:eastAsia="宋体" w:hint="default"/>
                <w:sz w:val="13"/>
                <w:szCs w:val="13"/>
              </w:rPr>
              <w:t>收益</w:t>
            </w:r>
            <w:r>
              <w:rPr>
                <w:rFonts w:ascii="宋体" w:hAnsi="宋体" w:cs="宋体" w:eastAsia="宋体" w:hint="default"/>
                <w:sz w:val="13"/>
                <w:szCs w:val="13"/>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36"/>
              <w:jc w:val="right"/>
              <w:rPr>
                <w:rFonts w:ascii="宋体" w:hAnsi="宋体" w:cs="宋体" w:eastAsia="宋体" w:hint="default"/>
                <w:sz w:val="13"/>
                <w:szCs w:val="13"/>
              </w:rPr>
            </w:pPr>
            <w:r>
              <w:rPr>
                <w:rFonts w:ascii="宋体"/>
                <w:w w:val="99"/>
                <w:sz w:val="13"/>
              </w:rPr>
              <w:t> </w:t>
            </w:r>
            <w:r>
              <w:rPr>
                <w:rFonts w:ascii="宋体"/>
                <w:sz w:val="13"/>
              </w:rPr>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36"/>
              <w:jc w:val="right"/>
              <w:rPr>
                <w:rFonts w:ascii="宋体" w:hAnsi="宋体" w:cs="宋体" w:eastAsia="宋体" w:hint="default"/>
                <w:sz w:val="13"/>
                <w:szCs w:val="13"/>
              </w:rPr>
            </w:pPr>
            <w:r>
              <w:rPr>
                <w:rFonts w:ascii="宋体"/>
                <w:w w:val="99"/>
                <w:sz w:val="13"/>
              </w:rPr>
              <w:t> </w:t>
            </w:r>
            <w:r>
              <w:rPr>
                <w:rFonts w:ascii="宋体"/>
                <w:sz w:val="13"/>
              </w:rPr>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36"/>
              <w:jc w:val="right"/>
              <w:rPr>
                <w:rFonts w:ascii="宋体" w:hAnsi="宋体" w:cs="宋体" w:eastAsia="宋体" w:hint="default"/>
                <w:sz w:val="13"/>
                <w:szCs w:val="13"/>
              </w:rPr>
            </w:pPr>
            <w:r>
              <w:rPr>
                <w:rFonts w:ascii="宋体"/>
                <w:w w:val="99"/>
                <w:sz w:val="13"/>
              </w:rPr>
              <w:t> </w:t>
            </w:r>
            <w:r>
              <w:rPr>
                <w:rFonts w:ascii="宋体"/>
                <w:sz w:val="13"/>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36"/>
              <w:jc w:val="right"/>
              <w:rPr>
                <w:rFonts w:ascii="宋体" w:hAnsi="宋体" w:cs="宋体" w:eastAsia="宋体" w:hint="default"/>
                <w:sz w:val="13"/>
                <w:szCs w:val="13"/>
              </w:rPr>
            </w:pPr>
            <w:r>
              <w:rPr>
                <w:rFonts w:ascii="宋体"/>
                <w:w w:val="99"/>
                <w:sz w:val="13"/>
              </w:rPr>
              <w:t> </w:t>
            </w:r>
            <w:r>
              <w:rPr>
                <w:rFonts w:ascii="宋体"/>
                <w:sz w:val="13"/>
              </w:rPr>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35"/>
              <w:jc w:val="right"/>
              <w:rPr>
                <w:rFonts w:ascii="宋体" w:hAnsi="宋体" w:cs="宋体" w:eastAsia="宋体" w:hint="default"/>
                <w:sz w:val="13"/>
                <w:szCs w:val="13"/>
              </w:rPr>
            </w:pPr>
            <w:r>
              <w:rPr>
                <w:rFonts w:ascii="宋体"/>
                <w:w w:val="99"/>
                <w:sz w:val="13"/>
              </w:rPr>
              <w:t> </w:t>
            </w:r>
            <w:r>
              <w:rPr>
                <w:rFonts w:ascii="宋体"/>
                <w:sz w:val="13"/>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36"/>
              <w:jc w:val="right"/>
              <w:rPr>
                <w:rFonts w:ascii="宋体" w:hAnsi="宋体" w:cs="宋体" w:eastAsia="宋体" w:hint="default"/>
                <w:sz w:val="13"/>
                <w:szCs w:val="13"/>
              </w:rPr>
            </w:pPr>
            <w:r>
              <w:rPr>
                <w:rFonts w:ascii="宋体"/>
                <w:w w:val="99"/>
                <w:sz w:val="13"/>
              </w:rPr>
              <w:t> </w:t>
            </w:r>
            <w:r>
              <w:rPr>
                <w:rFonts w:ascii="宋体"/>
                <w:sz w:val="13"/>
              </w:rPr>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36"/>
              <w:jc w:val="right"/>
              <w:rPr>
                <w:rFonts w:ascii="宋体" w:hAnsi="宋体" w:cs="宋体" w:eastAsia="宋体" w:hint="default"/>
                <w:sz w:val="13"/>
                <w:szCs w:val="13"/>
              </w:rPr>
            </w:pPr>
            <w:r>
              <w:rPr>
                <w:rFonts w:ascii="宋体"/>
                <w:w w:val="99"/>
                <w:sz w:val="13"/>
              </w:rPr>
              <w:t> </w:t>
            </w:r>
            <w:r>
              <w:rPr>
                <w:rFonts w:ascii="宋体"/>
                <w:sz w:val="13"/>
              </w:rPr>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36"/>
              <w:jc w:val="right"/>
              <w:rPr>
                <w:rFonts w:ascii="宋体" w:hAnsi="宋体" w:cs="宋体" w:eastAsia="宋体" w:hint="default"/>
                <w:sz w:val="13"/>
                <w:szCs w:val="13"/>
              </w:rPr>
            </w:pPr>
            <w:r>
              <w:rPr>
                <w:rFonts w:ascii="宋体"/>
                <w:w w:val="99"/>
                <w:sz w:val="13"/>
              </w:rPr>
              <w:t> </w:t>
            </w:r>
            <w:r>
              <w:rPr>
                <w:rFonts w:ascii="宋体"/>
                <w:sz w:val="13"/>
              </w:rPr>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36"/>
              <w:jc w:val="right"/>
              <w:rPr>
                <w:rFonts w:ascii="宋体" w:hAnsi="宋体" w:cs="宋体" w:eastAsia="宋体" w:hint="default"/>
                <w:sz w:val="13"/>
                <w:szCs w:val="13"/>
              </w:rPr>
            </w:pPr>
            <w:r>
              <w:rPr>
                <w:rFonts w:ascii="宋体"/>
                <w:w w:val="99"/>
                <w:sz w:val="13"/>
              </w:rPr>
              <w:t> </w:t>
            </w:r>
            <w:r>
              <w:rPr>
                <w:rFonts w:ascii="宋体"/>
                <w:sz w:val="13"/>
              </w:rPr>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36"/>
              <w:jc w:val="right"/>
              <w:rPr>
                <w:rFonts w:ascii="宋体" w:hAnsi="宋体" w:cs="宋体" w:eastAsia="宋体" w:hint="default"/>
                <w:sz w:val="13"/>
                <w:szCs w:val="13"/>
              </w:rPr>
            </w:pPr>
            <w:r>
              <w:rPr>
                <w:rFonts w:ascii="宋体"/>
                <w:w w:val="99"/>
                <w:sz w:val="13"/>
              </w:rPr>
              <w:t> </w:t>
            </w:r>
            <w:r>
              <w:rPr>
                <w:rFonts w:ascii="宋体"/>
                <w:sz w:val="13"/>
              </w:rPr>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36"/>
              <w:jc w:val="right"/>
              <w:rPr>
                <w:rFonts w:ascii="宋体" w:hAnsi="宋体" w:cs="宋体" w:eastAsia="宋体" w:hint="default"/>
                <w:sz w:val="13"/>
                <w:szCs w:val="13"/>
              </w:rPr>
            </w:pPr>
            <w:r>
              <w:rPr>
                <w:rFonts w:ascii="宋体"/>
                <w:w w:val="99"/>
                <w:sz w:val="13"/>
              </w:rPr>
              <w:t> </w:t>
            </w:r>
            <w:r>
              <w:rPr>
                <w:rFonts w:ascii="宋体"/>
                <w:sz w:val="13"/>
              </w:rPr>
            </w:r>
          </w:p>
        </w:tc>
        <w:tc>
          <w:tcPr>
            <w:tcW w:w="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35"/>
              <w:jc w:val="right"/>
              <w:rPr>
                <w:rFonts w:ascii="宋体" w:hAnsi="宋体" w:cs="宋体" w:eastAsia="宋体" w:hint="default"/>
                <w:sz w:val="13"/>
                <w:szCs w:val="13"/>
              </w:rPr>
            </w:pPr>
            <w:r>
              <w:rPr>
                <w:rFonts w:ascii="宋体"/>
                <w:w w:val="99"/>
                <w:sz w:val="13"/>
              </w:rPr>
              <w:t> </w:t>
            </w:r>
            <w:r>
              <w:rPr>
                <w:rFonts w:ascii="宋体"/>
                <w:sz w:val="13"/>
              </w:rPr>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35"/>
              <w:jc w:val="right"/>
              <w:rPr>
                <w:rFonts w:ascii="宋体" w:hAnsi="宋体" w:cs="宋体" w:eastAsia="宋体" w:hint="default"/>
                <w:sz w:val="13"/>
                <w:szCs w:val="13"/>
              </w:rPr>
            </w:pPr>
            <w:r>
              <w:rPr>
                <w:rFonts w:ascii="宋体"/>
                <w:w w:val="99"/>
                <w:sz w:val="13"/>
              </w:rPr>
              <w:t> </w:t>
            </w:r>
            <w:r>
              <w:rPr>
                <w:rFonts w:ascii="宋体"/>
                <w:sz w:val="13"/>
              </w:rPr>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36"/>
              <w:jc w:val="right"/>
              <w:rPr>
                <w:rFonts w:ascii="宋体" w:hAnsi="宋体" w:cs="宋体" w:eastAsia="宋体" w:hint="default"/>
                <w:sz w:val="13"/>
                <w:szCs w:val="13"/>
              </w:rPr>
            </w:pPr>
            <w:r>
              <w:rPr>
                <w:rFonts w:ascii="宋体"/>
                <w:w w:val="99"/>
                <w:sz w:val="13"/>
              </w:rPr>
              <w:t> </w:t>
            </w:r>
            <w:r>
              <w:rPr>
                <w:rFonts w:ascii="宋体"/>
                <w:sz w:val="13"/>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35"/>
              <w:jc w:val="right"/>
              <w:rPr>
                <w:rFonts w:ascii="宋体" w:hAnsi="宋体" w:cs="宋体" w:eastAsia="宋体" w:hint="default"/>
                <w:sz w:val="13"/>
                <w:szCs w:val="13"/>
              </w:rPr>
            </w:pPr>
            <w:r>
              <w:rPr>
                <w:rFonts w:ascii="宋体"/>
                <w:w w:val="99"/>
                <w:sz w:val="13"/>
              </w:rPr>
              <w:t> </w:t>
            </w:r>
            <w:r>
              <w:rPr>
                <w:rFonts w:ascii="宋体"/>
                <w:sz w:val="13"/>
              </w:rPr>
            </w:r>
          </w:p>
        </w:tc>
      </w:tr>
      <w:tr>
        <w:trPr>
          <w:trHeight w:val="178"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05" w:right="0"/>
              <w:jc w:val="left"/>
              <w:rPr>
                <w:rFonts w:ascii="宋体" w:hAnsi="宋体" w:cs="宋体" w:eastAsia="宋体" w:hint="default"/>
                <w:sz w:val="13"/>
                <w:szCs w:val="13"/>
              </w:rPr>
            </w:pPr>
            <w:r>
              <w:rPr>
                <w:rFonts w:ascii="宋体" w:hAnsi="宋体" w:cs="宋体" w:eastAsia="宋体" w:hint="default"/>
                <w:sz w:val="13"/>
                <w:szCs w:val="13"/>
              </w:rPr>
              <w:t>6</w:t>
            </w:r>
            <w:r>
              <w:rPr>
                <w:rFonts w:ascii="宋体" w:hAnsi="宋体" w:cs="宋体" w:eastAsia="宋体" w:hint="default"/>
                <w:sz w:val="13"/>
                <w:szCs w:val="13"/>
              </w:rPr>
              <w:t>．其他</w:t>
            </w:r>
            <w:r>
              <w:rPr>
                <w:rFonts w:ascii="宋体" w:hAnsi="宋体" w:cs="宋体" w:eastAsia="宋体" w:hint="default"/>
                <w:sz w:val="13"/>
                <w:szCs w:val="13"/>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423"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5"/>
              <w:jc w:val="right"/>
              <w:rPr>
                <w:rFonts w:ascii="宋体" w:hAnsi="宋体" w:cs="宋体" w:eastAsia="宋体" w:hint="default"/>
                <w:sz w:val="13"/>
                <w:szCs w:val="13"/>
              </w:rPr>
            </w:pPr>
            <w:r>
              <w:rPr>
                <w:rFonts w:ascii="宋体"/>
                <w:w w:val="99"/>
                <w:sz w:val="13"/>
              </w:rPr>
              <w:t> </w:t>
            </w:r>
            <w:r>
              <w:rPr>
                <w:rFonts w:ascii="宋体"/>
                <w:sz w:val="13"/>
              </w:rPr>
            </w:r>
          </w:p>
        </w:tc>
      </w:tr>
      <w:tr>
        <w:trPr>
          <w:trHeight w:val="180"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05" w:right="0"/>
              <w:jc w:val="left"/>
              <w:rPr>
                <w:rFonts w:ascii="宋体" w:hAnsi="宋体" w:cs="宋体" w:eastAsia="宋体" w:hint="default"/>
                <w:sz w:val="13"/>
                <w:szCs w:val="13"/>
              </w:rPr>
            </w:pPr>
            <w:r>
              <w:rPr>
                <w:rFonts w:ascii="宋体" w:hAnsi="宋体" w:cs="宋体" w:eastAsia="宋体" w:hint="default"/>
                <w:sz w:val="13"/>
                <w:szCs w:val="13"/>
              </w:rPr>
              <w:t>（五）专项储备</w:t>
            </w:r>
            <w:r>
              <w:rPr>
                <w:rFonts w:ascii="宋体" w:hAnsi="宋体" w:cs="宋体" w:eastAsia="宋体" w:hint="default"/>
                <w:sz w:val="13"/>
                <w:szCs w:val="13"/>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423"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5"/>
              <w:jc w:val="right"/>
              <w:rPr>
                <w:rFonts w:ascii="宋体" w:hAnsi="宋体" w:cs="宋体" w:eastAsia="宋体" w:hint="default"/>
                <w:sz w:val="13"/>
                <w:szCs w:val="13"/>
              </w:rPr>
            </w:pPr>
            <w:r>
              <w:rPr>
                <w:rFonts w:ascii="宋体"/>
                <w:w w:val="99"/>
                <w:sz w:val="13"/>
              </w:rPr>
              <w:t> </w:t>
            </w:r>
            <w:r>
              <w:rPr>
                <w:rFonts w:ascii="宋体"/>
                <w:sz w:val="13"/>
              </w:rPr>
            </w:r>
          </w:p>
        </w:tc>
      </w:tr>
      <w:tr>
        <w:trPr>
          <w:trHeight w:val="178"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05" w:right="0"/>
              <w:jc w:val="left"/>
              <w:rPr>
                <w:rFonts w:ascii="宋体" w:hAnsi="宋体" w:cs="宋体" w:eastAsia="宋体" w:hint="default"/>
                <w:sz w:val="13"/>
                <w:szCs w:val="13"/>
              </w:rPr>
            </w:pPr>
            <w:r>
              <w:rPr>
                <w:rFonts w:ascii="宋体" w:hAnsi="宋体" w:cs="宋体" w:eastAsia="宋体" w:hint="default"/>
                <w:sz w:val="13"/>
                <w:szCs w:val="13"/>
              </w:rPr>
              <w:t>1</w:t>
            </w:r>
            <w:r>
              <w:rPr>
                <w:rFonts w:ascii="宋体" w:hAnsi="宋体" w:cs="宋体" w:eastAsia="宋体" w:hint="default"/>
                <w:sz w:val="13"/>
                <w:szCs w:val="13"/>
              </w:rPr>
              <w:t>．本期提取</w:t>
            </w:r>
            <w:r>
              <w:rPr>
                <w:rFonts w:ascii="宋体" w:hAnsi="宋体" w:cs="宋体" w:eastAsia="宋体" w:hint="default"/>
                <w:sz w:val="13"/>
                <w:szCs w:val="13"/>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423"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5"/>
              <w:jc w:val="right"/>
              <w:rPr>
                <w:rFonts w:ascii="宋体" w:hAnsi="宋体" w:cs="宋体" w:eastAsia="宋体" w:hint="default"/>
                <w:sz w:val="13"/>
                <w:szCs w:val="13"/>
              </w:rPr>
            </w:pPr>
            <w:r>
              <w:rPr>
                <w:rFonts w:ascii="宋体"/>
                <w:w w:val="99"/>
                <w:sz w:val="13"/>
              </w:rPr>
              <w:t> </w:t>
            </w:r>
            <w:r>
              <w:rPr>
                <w:rFonts w:ascii="宋体"/>
                <w:sz w:val="13"/>
              </w:rPr>
            </w:r>
          </w:p>
        </w:tc>
      </w:tr>
      <w:tr>
        <w:trPr>
          <w:trHeight w:val="178"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05" w:right="0"/>
              <w:jc w:val="left"/>
              <w:rPr>
                <w:rFonts w:ascii="宋体" w:hAnsi="宋体" w:cs="宋体" w:eastAsia="宋体" w:hint="default"/>
                <w:sz w:val="13"/>
                <w:szCs w:val="13"/>
              </w:rPr>
            </w:pPr>
            <w:r>
              <w:rPr>
                <w:rFonts w:ascii="宋体" w:hAnsi="宋体" w:cs="宋体" w:eastAsia="宋体" w:hint="default"/>
                <w:sz w:val="13"/>
                <w:szCs w:val="13"/>
              </w:rPr>
              <w:t>2</w:t>
            </w:r>
            <w:r>
              <w:rPr>
                <w:rFonts w:ascii="宋体" w:hAnsi="宋体" w:cs="宋体" w:eastAsia="宋体" w:hint="default"/>
                <w:sz w:val="13"/>
                <w:szCs w:val="13"/>
              </w:rPr>
              <w:t>．本期使用</w:t>
            </w:r>
            <w:r>
              <w:rPr>
                <w:rFonts w:ascii="宋体" w:hAnsi="宋体" w:cs="宋体" w:eastAsia="宋体" w:hint="default"/>
                <w:sz w:val="13"/>
                <w:szCs w:val="13"/>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423"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5"/>
              <w:jc w:val="right"/>
              <w:rPr>
                <w:rFonts w:ascii="宋体" w:hAnsi="宋体" w:cs="宋体" w:eastAsia="宋体" w:hint="default"/>
                <w:sz w:val="13"/>
                <w:szCs w:val="13"/>
              </w:rPr>
            </w:pPr>
            <w:r>
              <w:rPr>
                <w:rFonts w:ascii="宋体"/>
                <w:w w:val="99"/>
                <w:sz w:val="13"/>
              </w:rPr>
              <w:t> </w:t>
            </w:r>
            <w:r>
              <w:rPr>
                <w:rFonts w:ascii="宋体"/>
                <w:sz w:val="13"/>
              </w:rPr>
            </w:r>
          </w:p>
        </w:tc>
      </w:tr>
      <w:tr>
        <w:trPr>
          <w:trHeight w:val="180"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left="105" w:right="0"/>
              <w:jc w:val="left"/>
              <w:rPr>
                <w:rFonts w:ascii="宋体" w:hAnsi="宋体" w:cs="宋体" w:eastAsia="宋体" w:hint="default"/>
                <w:sz w:val="13"/>
                <w:szCs w:val="13"/>
              </w:rPr>
            </w:pPr>
            <w:r>
              <w:rPr>
                <w:rFonts w:ascii="宋体" w:hAnsi="宋体" w:cs="宋体" w:eastAsia="宋体" w:hint="default"/>
                <w:sz w:val="13"/>
                <w:szCs w:val="13"/>
              </w:rPr>
              <w:t>（六）其他</w:t>
            </w:r>
            <w:r>
              <w:rPr>
                <w:rFonts w:ascii="宋体" w:hAnsi="宋体" w:cs="宋体" w:eastAsia="宋体" w:hint="default"/>
                <w:sz w:val="13"/>
                <w:szCs w:val="13"/>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423"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35"/>
              <w:jc w:val="right"/>
              <w:rPr>
                <w:rFonts w:ascii="宋体" w:hAnsi="宋体" w:cs="宋体" w:eastAsia="宋体" w:hint="default"/>
                <w:sz w:val="13"/>
                <w:szCs w:val="13"/>
              </w:rPr>
            </w:pPr>
            <w:r>
              <w:rPr>
                <w:rFonts w:ascii="宋体"/>
                <w:w w:val="99"/>
                <w:sz w:val="13"/>
              </w:rPr>
              <w:t> </w:t>
            </w:r>
            <w:r>
              <w:rPr>
                <w:rFonts w:ascii="宋体"/>
                <w:sz w:val="13"/>
              </w:rPr>
            </w:r>
          </w:p>
        </w:tc>
      </w:tr>
      <w:tr>
        <w:trPr>
          <w:trHeight w:val="178"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05" w:right="0"/>
              <w:jc w:val="left"/>
              <w:rPr>
                <w:rFonts w:ascii="宋体" w:hAnsi="宋体" w:cs="宋体" w:eastAsia="宋体" w:hint="default"/>
                <w:sz w:val="13"/>
                <w:szCs w:val="13"/>
              </w:rPr>
            </w:pPr>
            <w:r>
              <w:rPr>
                <w:rFonts w:ascii="宋体" w:hAnsi="宋体" w:cs="宋体" w:eastAsia="宋体" w:hint="default"/>
                <w:sz w:val="13"/>
                <w:szCs w:val="13"/>
              </w:rPr>
              <w:t>四、本期期末余额</w:t>
            </w:r>
            <w:r>
              <w:rPr>
                <w:rFonts w:ascii="宋体" w:hAnsi="宋体" w:cs="宋体" w:eastAsia="宋体" w:hint="default"/>
                <w:sz w:val="13"/>
                <w:szCs w:val="13"/>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5"/>
                <w:sz w:val="13"/>
              </w:rPr>
              <w:t>1,765,410,843.00 </w:t>
            </w:r>
            <w:r>
              <w:rPr>
                <w:rFonts w:ascii="宋体"/>
                <w:sz w:val="13"/>
              </w:rPr>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5"/>
                <w:sz w:val="13"/>
              </w:rPr>
              <w:t>648,686,895.88 </w:t>
            </w:r>
            <w:r>
              <w:rPr>
                <w:rFonts w:ascii="宋体"/>
                <w:sz w:val="13"/>
              </w:rPr>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5"/>
              <w:jc w:val="right"/>
              <w:rPr>
                <w:rFonts w:ascii="宋体" w:hAnsi="宋体" w:cs="宋体" w:eastAsia="宋体" w:hint="default"/>
                <w:sz w:val="13"/>
                <w:szCs w:val="13"/>
              </w:rPr>
            </w:pPr>
            <w:r>
              <w:rPr>
                <w:rFonts w:ascii="宋体"/>
                <w:w w:val="95"/>
                <w:sz w:val="13"/>
              </w:rPr>
              <w:t>5,060,131,248.80 </w:t>
            </w:r>
            <w:r>
              <w:rPr>
                <w:rFonts w:ascii="宋体"/>
                <w:sz w:val="13"/>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5"/>
                <w:sz w:val="13"/>
              </w:rPr>
              <w:t>173,515,620.20 </w:t>
            </w:r>
            <w:r>
              <w:rPr>
                <w:rFonts w:ascii="宋体"/>
                <w:sz w:val="13"/>
              </w:rPr>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5"/>
                <w:sz w:val="13"/>
              </w:rPr>
              <w:t>1,441,757.55 </w:t>
            </w:r>
            <w:r>
              <w:rPr>
                <w:rFonts w:ascii="宋体"/>
                <w:sz w:val="13"/>
              </w:rPr>
            </w:r>
          </w:p>
        </w:tc>
        <w:tc>
          <w:tcPr>
            <w:tcW w:w="428"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5"/>
                <w:sz w:val="13"/>
              </w:rPr>
              <w:t>225,738,320.37 </w:t>
            </w:r>
            <w:r>
              <w:rPr>
                <w:rFonts w:ascii="宋体"/>
                <w:sz w:val="13"/>
              </w:rPr>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9"/>
                <w:sz w:val="13"/>
              </w:rPr>
              <w:t> </w:t>
            </w:r>
            <w:r>
              <w:rPr>
                <w:rFonts w:ascii="宋体"/>
                <w:sz w:val="13"/>
              </w:rPr>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5"/>
                <w:sz w:val="13"/>
              </w:rPr>
              <w:t>2,747,790,903.50 </w:t>
            </w:r>
            <w:r>
              <w:rPr>
                <w:rFonts w:ascii="宋体"/>
                <w:sz w:val="13"/>
              </w:rPr>
            </w:r>
          </w:p>
        </w:tc>
        <w:tc>
          <w:tcPr>
            <w:tcW w:w="423"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5"/>
              <w:jc w:val="right"/>
              <w:rPr>
                <w:rFonts w:ascii="宋体" w:hAnsi="宋体" w:cs="宋体" w:eastAsia="宋体" w:hint="default"/>
                <w:sz w:val="13"/>
                <w:szCs w:val="13"/>
              </w:rPr>
            </w:pPr>
            <w:r>
              <w:rPr>
                <w:rFonts w:ascii="宋体"/>
                <w:w w:val="99"/>
                <w:sz w:val="13"/>
              </w:rPr>
              <w:t> </w:t>
            </w:r>
            <w:r>
              <w:rPr>
                <w:rFonts w:ascii="宋体"/>
                <w:sz w:val="13"/>
              </w:rPr>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5"/>
              <w:jc w:val="right"/>
              <w:rPr>
                <w:rFonts w:ascii="宋体" w:hAnsi="宋体" w:cs="宋体" w:eastAsia="宋体" w:hint="default"/>
                <w:sz w:val="13"/>
                <w:szCs w:val="13"/>
              </w:rPr>
            </w:pPr>
            <w:r>
              <w:rPr>
                <w:rFonts w:ascii="宋体"/>
                <w:w w:val="95"/>
                <w:sz w:val="13"/>
              </w:rPr>
              <w:t>10,275,684,348.90 </w:t>
            </w:r>
            <w:r>
              <w:rPr>
                <w:rFonts w:ascii="宋体"/>
                <w:sz w:val="13"/>
              </w:rPr>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6"/>
              <w:jc w:val="right"/>
              <w:rPr>
                <w:rFonts w:ascii="宋体" w:hAnsi="宋体" w:cs="宋体" w:eastAsia="宋体" w:hint="default"/>
                <w:sz w:val="13"/>
                <w:szCs w:val="13"/>
              </w:rPr>
            </w:pPr>
            <w:r>
              <w:rPr>
                <w:rFonts w:ascii="宋体"/>
                <w:w w:val="95"/>
                <w:sz w:val="13"/>
              </w:rPr>
              <w:t>24,845,961.80 </w:t>
            </w:r>
            <w:r>
              <w:rPr>
                <w:rFonts w:ascii="宋体"/>
                <w:sz w:val="13"/>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35"/>
              <w:jc w:val="right"/>
              <w:rPr>
                <w:rFonts w:ascii="宋体" w:hAnsi="宋体" w:cs="宋体" w:eastAsia="宋体" w:hint="default"/>
                <w:sz w:val="13"/>
                <w:szCs w:val="13"/>
              </w:rPr>
            </w:pPr>
            <w:r>
              <w:rPr>
                <w:rFonts w:ascii="宋体"/>
                <w:w w:val="95"/>
                <w:sz w:val="13"/>
              </w:rPr>
              <w:t>10,300,530,310.70 </w:t>
            </w:r>
            <w:r>
              <w:rPr>
                <w:rFonts w:ascii="宋体"/>
                <w:sz w:val="13"/>
              </w:rPr>
            </w:r>
          </w:p>
        </w:tc>
      </w:tr>
    </w:tbl>
    <w:p>
      <w:pPr>
        <w:pStyle w:val="BodyText"/>
        <w:spacing w:line="240" w:lineRule="exact"/>
        <w:ind w:left="1384" w:right="0"/>
        <w:jc w:val="left"/>
        <w:rPr>
          <w:rFonts w:ascii="宋体" w:hAnsi="宋体" w:cs="宋体" w:eastAsia="宋体" w:hint="default"/>
        </w:rPr>
      </w:pPr>
      <w:r>
        <w:rPr/>
        <w:t>法定代表人：陆永华         </w:t>
      </w:r>
      <w:r>
        <w:rPr>
          <w:rFonts w:ascii="宋体" w:hAnsi="宋体" w:cs="宋体" w:eastAsia="宋体" w:hint="default"/>
        </w:rPr>
      </w:r>
      <w:r>
        <w:rPr/>
        <w:t>主管会计工作负责人：虞海娟         </w:t>
      </w:r>
      <w:r>
        <w:rPr>
          <w:spacing w:val="89"/>
        </w:rPr>
        <w:t> </w:t>
      </w:r>
      <w:r>
        <w:rPr>
          <w:rFonts w:ascii="宋体" w:hAnsi="宋体" w:cs="宋体" w:eastAsia="宋体" w:hint="default"/>
          <w:spacing w:val="89"/>
        </w:rPr>
      </w:r>
      <w:r>
        <w:rPr/>
        <w:t>会计机构负责人：周辉</w:t>
      </w:r>
      <w:r>
        <w:rPr>
          <w:rFonts w:ascii="宋体" w:hAnsi="宋体" w:cs="宋体" w:eastAsia="宋体" w:hint="default"/>
          <w:b/>
          <w:bCs/>
          <w:color w:val="FF0000"/>
          <w:w w:val="99"/>
        </w:rPr>
        <w:t> </w:t>
      </w:r>
      <w:r>
        <w:rPr>
          <w:rFonts w:ascii="宋体" w:hAnsi="宋体" w:cs="宋体" w:eastAsia="宋体" w:hint="default"/>
        </w:rPr>
      </w:r>
    </w:p>
    <w:p>
      <w:pPr>
        <w:pStyle w:val="BodyText"/>
        <w:spacing w:line="272" w:lineRule="exact"/>
        <w:ind w:left="1384" w:right="0"/>
        <w:jc w:val="left"/>
        <w:rPr>
          <w:rFonts w:ascii="宋体" w:hAnsi="宋体" w:cs="宋体" w:eastAsia="宋体" w:hint="default"/>
        </w:rPr>
      </w:pPr>
      <w:r>
        <w:rPr>
          <w:rFonts w:ascii="宋体"/>
          <w:w w:val="100"/>
        </w:rPr>
        <w:t> </w:t>
      </w:r>
    </w:p>
    <w:p>
      <w:pPr>
        <w:pStyle w:val="BodyText"/>
        <w:tabs>
          <w:tab w:pos="4264" w:val="left" w:leader="none"/>
        </w:tabs>
        <w:spacing w:line="273" w:lineRule="exact"/>
        <w:ind w:left="1384" w:right="0"/>
        <w:jc w:val="left"/>
        <w:rPr>
          <w:rFonts w:ascii="宋体" w:hAnsi="宋体" w:cs="宋体" w:eastAsia="宋体" w:hint="default"/>
        </w:rPr>
      </w:pPr>
      <w:r>
        <w:rPr>
          <w:rFonts w:ascii="宋体"/>
          <w:w w:val="100"/>
        </w:rPr>
        <w:t> </w:t>
      </w:r>
      <w:r>
        <w:rPr>
          <w:rFonts w:ascii="宋体"/>
        </w:rPr>
        <w:tab/>
      </w:r>
      <w:r>
        <w:rPr>
          <w:rFonts w:ascii="宋体"/>
          <w:w w:val="100"/>
        </w:rPr>
        <w:t> </w:t>
      </w:r>
    </w:p>
    <w:p>
      <w:pPr>
        <w:spacing w:after="0" w:line="273" w:lineRule="exact"/>
        <w:jc w:val="left"/>
        <w:rPr>
          <w:rFonts w:ascii="宋体" w:hAnsi="宋体" w:cs="宋体" w:eastAsia="宋体" w:hint="default"/>
        </w:rPr>
        <w:sectPr>
          <w:pgSz w:w="16840" w:h="11910" w:orient="landscape"/>
          <w:pgMar w:header="748" w:footer="975" w:top="1140" w:bottom="1160" w:left="140" w:right="160"/>
        </w:sectPr>
      </w:pPr>
    </w:p>
    <w:p>
      <w:pPr>
        <w:spacing w:line="272" w:lineRule="exact" w:before="129"/>
        <w:ind w:left="6848" w:right="0" w:hanging="399"/>
        <w:jc w:val="left"/>
        <w:rPr>
          <w:rFonts w:ascii="宋体" w:hAnsi="宋体" w:cs="宋体" w:eastAsia="宋体" w:hint="default"/>
          <w:sz w:val="21"/>
          <w:szCs w:val="21"/>
        </w:rPr>
      </w:pPr>
      <w:r>
        <w:rPr>
          <w:rFonts w:ascii="宋体" w:hAnsi="宋体" w:cs="宋体" w:eastAsia="宋体" w:hint="default"/>
          <w:b/>
          <w:bCs/>
          <w:sz w:val="21"/>
          <w:szCs w:val="21"/>
        </w:rPr>
        <w:t>母公司所有者权益变动表</w:t>
      </w:r>
      <w:r>
        <w:rPr>
          <w:rFonts w:ascii="宋体" w:hAnsi="宋体" w:cs="宋体" w:eastAsia="宋体" w:hint="default"/>
          <w:b/>
          <w:bCs/>
          <w:w w:val="99"/>
          <w:sz w:val="21"/>
          <w:szCs w:val="21"/>
        </w:rPr>
        <w:t> </w:t>
      </w: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6"/>
        <w:rPr>
          <w:rFonts w:ascii="宋体" w:hAnsi="宋体" w:cs="宋体" w:eastAsia="宋体" w:hint="default"/>
          <w:b/>
          <w:bCs/>
          <w:sz w:val="29"/>
          <w:szCs w:val="29"/>
        </w:rPr>
      </w:pPr>
    </w:p>
    <w:p>
      <w:pPr>
        <w:pStyle w:val="BodyText"/>
        <w:spacing w:line="240" w:lineRule="auto"/>
        <w:ind w:left="3752" w:right="0"/>
        <w:jc w:val="left"/>
        <w:rPr>
          <w:rFonts w:ascii="宋体" w:hAnsi="宋体" w:cs="宋体" w:eastAsia="宋体" w:hint="default"/>
        </w:rPr>
      </w:pPr>
      <w:r>
        <w:rPr/>
        <w:t>单位</w:t>
      </w:r>
      <w:r>
        <w:rPr>
          <w:rFonts w:ascii="宋体" w:hAnsi="宋体" w:cs="宋体" w:eastAsia="宋体" w:hint="default"/>
        </w:rPr>
        <w:t>:</w:t>
      </w:r>
      <w:r>
        <w:rPr/>
        <w:t>元币种</w:t>
      </w:r>
      <w:r>
        <w:rPr>
          <w:rFonts w:ascii="宋体" w:hAnsi="宋体" w:cs="宋体" w:eastAsia="宋体" w:hint="default"/>
        </w:rPr>
        <w:t>:</w:t>
      </w:r>
      <w:r>
        <w:rPr/>
        <w:t>人民币</w:t>
      </w:r>
      <w:r>
        <w:rPr>
          <w:rFonts w:ascii="宋体" w:hAnsi="宋体" w:cs="宋体" w:eastAsia="宋体" w:hint="default"/>
        </w:rPr>
        <w:t> </w:t>
      </w:r>
    </w:p>
    <w:p>
      <w:pPr>
        <w:spacing w:after="0" w:line="240" w:lineRule="auto"/>
        <w:jc w:val="left"/>
        <w:rPr>
          <w:rFonts w:ascii="宋体" w:hAnsi="宋体" w:cs="宋体" w:eastAsia="宋体" w:hint="default"/>
        </w:rPr>
        <w:sectPr>
          <w:pgSz w:w="16840" w:h="11910" w:orient="landscape"/>
          <w:pgMar w:header="748" w:footer="975" w:top="1140" w:bottom="1160" w:left="840" w:right="740"/>
          <w:cols w:num="2" w:equalWidth="0">
            <w:col w:w="8875" w:space="40"/>
            <w:col w:w="6345"/>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535"/>
        <w:gridCol w:w="1435"/>
        <w:gridCol w:w="694"/>
        <w:gridCol w:w="722"/>
        <w:gridCol w:w="1277"/>
        <w:gridCol w:w="1416"/>
        <w:gridCol w:w="1277"/>
        <w:gridCol w:w="708"/>
        <w:gridCol w:w="569"/>
        <w:gridCol w:w="1381"/>
        <w:gridCol w:w="1454"/>
        <w:gridCol w:w="1558"/>
      </w:tblGrid>
      <w:tr>
        <w:trPr>
          <w:trHeight w:val="204" w:hRule="exact"/>
        </w:trPr>
        <w:tc>
          <w:tcPr>
            <w:tcW w:w="253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7"/>
              <w:ind w:left="78" w:right="0"/>
              <w:jc w:val="center"/>
              <w:rPr>
                <w:rFonts w:ascii="宋体" w:hAnsi="宋体" w:cs="宋体" w:eastAsia="宋体" w:hint="default"/>
                <w:sz w:val="15"/>
                <w:szCs w:val="15"/>
              </w:rPr>
            </w:pPr>
            <w:r>
              <w:rPr>
                <w:rFonts w:ascii="宋体" w:hAnsi="宋体" w:cs="宋体" w:eastAsia="宋体" w:hint="default"/>
                <w:sz w:val="15"/>
                <w:szCs w:val="15"/>
              </w:rPr>
              <w:t>项目</w:t>
            </w:r>
            <w:r>
              <w:rPr>
                <w:rFonts w:ascii="宋体" w:hAnsi="宋体" w:cs="宋体" w:eastAsia="宋体" w:hint="default"/>
                <w:sz w:val="15"/>
                <w:szCs w:val="15"/>
              </w:rPr>
              <w:t> </w:t>
            </w:r>
          </w:p>
        </w:tc>
        <w:tc>
          <w:tcPr>
            <w:tcW w:w="12492" w:type="dxa"/>
            <w:gridSpan w:val="11"/>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80" w:right="0"/>
              <w:jc w:val="center"/>
              <w:rPr>
                <w:rFonts w:ascii="宋体" w:hAnsi="宋体" w:cs="宋体" w:eastAsia="宋体" w:hint="default"/>
                <w:sz w:val="15"/>
                <w:szCs w:val="15"/>
              </w:rPr>
            </w:pPr>
            <w:r>
              <w:rPr>
                <w:rFonts w:ascii="宋体" w:hAnsi="宋体" w:cs="宋体" w:eastAsia="宋体" w:hint="default"/>
                <w:sz w:val="15"/>
                <w:szCs w:val="15"/>
              </w:rPr>
              <w:t>2019</w:t>
            </w:r>
            <w:r>
              <w:rPr>
                <w:rFonts w:ascii="宋体" w:hAnsi="宋体" w:cs="宋体" w:eastAsia="宋体" w:hint="default"/>
                <w:spacing w:val="-40"/>
                <w:sz w:val="15"/>
                <w:szCs w:val="15"/>
              </w:rPr>
              <w:t> </w:t>
            </w:r>
            <w:r>
              <w:rPr>
                <w:rFonts w:ascii="宋体" w:hAnsi="宋体" w:cs="宋体" w:eastAsia="宋体" w:hint="default"/>
                <w:sz w:val="15"/>
                <w:szCs w:val="15"/>
              </w:rPr>
              <w:t>年度</w:t>
            </w:r>
            <w:r>
              <w:rPr>
                <w:rFonts w:ascii="宋体" w:hAnsi="宋体" w:cs="宋体" w:eastAsia="宋体" w:hint="default"/>
                <w:sz w:val="15"/>
                <w:szCs w:val="15"/>
              </w:rPr>
              <w:t> </w:t>
            </w:r>
          </w:p>
        </w:tc>
      </w:tr>
      <w:tr>
        <w:trPr>
          <w:trHeight w:val="326" w:hRule="exact"/>
        </w:trPr>
        <w:tc>
          <w:tcPr>
            <w:tcW w:w="2535" w:type="dxa"/>
            <w:vMerge/>
            <w:tcBorders>
              <w:left w:val="single" w:sz="4" w:space="0" w:color="000000"/>
              <w:right w:val="single" w:sz="4" w:space="0" w:color="000000"/>
            </w:tcBorders>
          </w:tcPr>
          <w:p>
            <w:pPr/>
          </w:p>
        </w:tc>
        <w:tc>
          <w:tcPr>
            <w:tcW w:w="143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112" w:right="0"/>
              <w:jc w:val="left"/>
              <w:rPr>
                <w:rFonts w:ascii="宋体" w:hAnsi="宋体" w:cs="宋体" w:eastAsia="宋体" w:hint="default"/>
                <w:sz w:val="15"/>
                <w:szCs w:val="15"/>
              </w:rPr>
            </w:pPr>
            <w:r>
              <w:rPr>
                <w:rFonts w:ascii="宋体" w:hAnsi="宋体" w:cs="宋体" w:eastAsia="宋体" w:hint="default"/>
                <w:sz w:val="15"/>
                <w:szCs w:val="15"/>
              </w:rPr>
              <w:t>实收资本</w:t>
            </w:r>
            <w:r>
              <w:rPr>
                <w:rFonts w:ascii="宋体" w:hAnsi="宋体" w:cs="宋体" w:eastAsia="宋体" w:hint="default"/>
                <w:sz w:val="15"/>
                <w:szCs w:val="15"/>
              </w:rPr>
              <w:t>(</w:t>
            </w:r>
            <w:r>
              <w:rPr>
                <w:rFonts w:ascii="宋体" w:hAnsi="宋体" w:cs="宋体" w:eastAsia="宋体" w:hint="default"/>
                <w:sz w:val="15"/>
                <w:szCs w:val="15"/>
              </w:rPr>
              <w:t>或股本</w:t>
            </w:r>
            <w:r>
              <w:rPr>
                <w:rFonts w:ascii="宋体" w:hAnsi="宋体" w:cs="宋体" w:eastAsia="宋体" w:hint="default"/>
                <w:sz w:val="15"/>
                <w:szCs w:val="15"/>
              </w:rPr>
              <w:t>) </w:t>
            </w:r>
          </w:p>
        </w:tc>
        <w:tc>
          <w:tcPr>
            <w:tcW w:w="269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891" w:right="0"/>
              <w:jc w:val="left"/>
              <w:rPr>
                <w:rFonts w:ascii="宋体" w:hAnsi="宋体" w:cs="宋体" w:eastAsia="宋体" w:hint="default"/>
                <w:sz w:val="15"/>
                <w:szCs w:val="15"/>
              </w:rPr>
            </w:pPr>
            <w:r>
              <w:rPr>
                <w:rFonts w:ascii="宋体" w:hAnsi="宋体" w:cs="宋体" w:eastAsia="宋体" w:hint="default"/>
                <w:sz w:val="15"/>
                <w:szCs w:val="15"/>
              </w:rPr>
              <w:t>其他权益工具</w:t>
            </w:r>
            <w:r>
              <w:rPr>
                <w:rFonts w:ascii="宋体" w:hAnsi="宋体" w:cs="宋体" w:eastAsia="宋体" w:hint="default"/>
                <w:sz w:val="15"/>
                <w:szCs w:val="15"/>
              </w:rPr>
              <w:t> </w:t>
            </w:r>
          </w:p>
        </w:tc>
        <w:tc>
          <w:tcPr>
            <w:tcW w:w="1416"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403" w:right="0"/>
              <w:jc w:val="left"/>
              <w:rPr>
                <w:rFonts w:ascii="宋体" w:hAnsi="宋体" w:cs="宋体" w:eastAsia="宋体" w:hint="default"/>
                <w:sz w:val="15"/>
                <w:szCs w:val="15"/>
              </w:rPr>
            </w:pPr>
            <w:r>
              <w:rPr>
                <w:rFonts w:ascii="宋体" w:hAnsi="宋体" w:cs="宋体" w:eastAsia="宋体" w:hint="default"/>
                <w:sz w:val="15"/>
                <w:szCs w:val="15"/>
              </w:rPr>
              <w:t>资本公积</w:t>
            </w:r>
            <w:r>
              <w:rPr>
                <w:rFonts w:ascii="宋体" w:hAnsi="宋体" w:cs="宋体" w:eastAsia="宋体" w:hint="default"/>
                <w:sz w:val="15"/>
                <w:szCs w:val="15"/>
              </w:rPr>
              <w:t> </w:t>
            </w:r>
          </w:p>
        </w:tc>
        <w:tc>
          <w:tcPr>
            <w:tcW w:w="1277"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259" w:right="0"/>
              <w:jc w:val="left"/>
              <w:rPr>
                <w:rFonts w:ascii="宋体" w:hAnsi="宋体" w:cs="宋体" w:eastAsia="宋体" w:hint="default"/>
                <w:sz w:val="15"/>
                <w:szCs w:val="15"/>
              </w:rPr>
            </w:pPr>
            <w:r>
              <w:rPr>
                <w:rFonts w:ascii="宋体" w:hAnsi="宋体" w:cs="宋体" w:eastAsia="宋体" w:hint="default"/>
                <w:sz w:val="15"/>
                <w:szCs w:val="15"/>
              </w:rPr>
              <w:t>减：库存股</w:t>
            </w:r>
            <w:r>
              <w:rPr>
                <w:rFonts w:ascii="宋体" w:hAnsi="宋体" w:cs="宋体" w:eastAsia="宋体" w:hint="default"/>
                <w:sz w:val="15"/>
                <w:szCs w:val="15"/>
              </w:rPr>
              <w:t> </w:t>
            </w:r>
          </w:p>
        </w:tc>
        <w:tc>
          <w:tcPr>
            <w:tcW w:w="708" w:type="dxa"/>
            <w:vMerge w:val="restart"/>
            <w:tcBorders>
              <w:top w:val="single" w:sz="4" w:space="0" w:color="000000"/>
              <w:left w:val="single" w:sz="4" w:space="0" w:color="000000"/>
              <w:right w:val="single" w:sz="4" w:space="0" w:color="000000"/>
            </w:tcBorders>
          </w:tcPr>
          <w:p>
            <w:pPr>
              <w:pStyle w:val="TableParagraph"/>
              <w:spacing w:line="240" w:lineRule="auto" w:before="91"/>
              <w:ind w:left="122" w:right="47"/>
              <w:jc w:val="left"/>
              <w:rPr>
                <w:rFonts w:ascii="宋体" w:hAnsi="宋体" w:cs="宋体" w:eastAsia="宋体" w:hint="default"/>
                <w:sz w:val="15"/>
                <w:szCs w:val="15"/>
              </w:rPr>
            </w:pPr>
            <w:r>
              <w:rPr>
                <w:rFonts w:ascii="宋体" w:hAnsi="宋体" w:cs="宋体" w:eastAsia="宋体" w:hint="default"/>
                <w:sz w:val="15"/>
                <w:szCs w:val="15"/>
              </w:rPr>
              <w:t>其他综</w:t>
            </w:r>
            <w:r>
              <w:rPr>
                <w:rFonts w:ascii="宋体" w:hAnsi="宋体" w:cs="宋体" w:eastAsia="宋体" w:hint="default"/>
                <w:spacing w:val="-72"/>
                <w:sz w:val="15"/>
                <w:szCs w:val="15"/>
              </w:rPr>
              <w:t> </w:t>
            </w:r>
            <w:r>
              <w:rPr>
                <w:rFonts w:ascii="宋体" w:hAnsi="宋体" w:cs="宋体" w:eastAsia="宋体" w:hint="default"/>
                <w:sz w:val="15"/>
                <w:szCs w:val="15"/>
              </w:rPr>
              <w:t>合收益</w:t>
            </w:r>
            <w:r>
              <w:rPr>
                <w:rFonts w:ascii="宋体" w:hAnsi="宋体" w:cs="宋体" w:eastAsia="宋体" w:hint="default"/>
                <w:sz w:val="15"/>
                <w:szCs w:val="15"/>
              </w:rPr>
              <w:t> </w:t>
            </w:r>
          </w:p>
        </w:tc>
        <w:tc>
          <w:tcPr>
            <w:tcW w:w="569" w:type="dxa"/>
            <w:vMerge w:val="restart"/>
            <w:tcBorders>
              <w:top w:val="single" w:sz="4" w:space="0" w:color="000000"/>
              <w:left w:val="single" w:sz="4" w:space="0" w:color="000000"/>
              <w:right w:val="single" w:sz="4" w:space="0" w:color="000000"/>
            </w:tcBorders>
          </w:tcPr>
          <w:p>
            <w:pPr>
              <w:pStyle w:val="TableParagraph"/>
              <w:spacing w:line="240" w:lineRule="auto" w:before="91"/>
              <w:ind w:left="129" w:right="53"/>
              <w:jc w:val="left"/>
              <w:rPr>
                <w:rFonts w:ascii="宋体" w:hAnsi="宋体" w:cs="宋体" w:eastAsia="宋体" w:hint="default"/>
                <w:sz w:val="15"/>
                <w:szCs w:val="15"/>
              </w:rPr>
            </w:pPr>
            <w:r>
              <w:rPr>
                <w:rFonts w:ascii="宋体" w:hAnsi="宋体" w:cs="宋体" w:eastAsia="宋体" w:hint="default"/>
                <w:sz w:val="15"/>
                <w:szCs w:val="15"/>
              </w:rPr>
              <w:t>专项</w:t>
            </w:r>
            <w:r>
              <w:rPr>
                <w:rFonts w:ascii="宋体" w:hAnsi="宋体" w:cs="宋体" w:eastAsia="宋体" w:hint="default"/>
                <w:spacing w:val="-73"/>
                <w:sz w:val="15"/>
                <w:szCs w:val="15"/>
              </w:rPr>
              <w:t> </w:t>
            </w:r>
            <w:r>
              <w:rPr>
                <w:rFonts w:ascii="宋体" w:hAnsi="宋体" w:cs="宋体" w:eastAsia="宋体" w:hint="default"/>
                <w:sz w:val="15"/>
                <w:szCs w:val="15"/>
              </w:rPr>
              <w:t>储备</w:t>
            </w:r>
            <w:r>
              <w:rPr>
                <w:rFonts w:ascii="宋体" w:hAnsi="宋体" w:cs="宋体" w:eastAsia="宋体" w:hint="default"/>
                <w:sz w:val="15"/>
                <w:szCs w:val="15"/>
              </w:rPr>
              <w:t> </w:t>
            </w:r>
          </w:p>
        </w:tc>
        <w:tc>
          <w:tcPr>
            <w:tcW w:w="1381"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384" w:right="0"/>
              <w:jc w:val="left"/>
              <w:rPr>
                <w:rFonts w:ascii="宋体" w:hAnsi="宋体" w:cs="宋体" w:eastAsia="宋体" w:hint="default"/>
                <w:sz w:val="15"/>
                <w:szCs w:val="15"/>
              </w:rPr>
            </w:pPr>
            <w:r>
              <w:rPr>
                <w:rFonts w:ascii="宋体" w:hAnsi="宋体" w:cs="宋体" w:eastAsia="宋体" w:hint="default"/>
                <w:sz w:val="15"/>
                <w:szCs w:val="15"/>
              </w:rPr>
              <w:t>盈余公积</w:t>
            </w:r>
            <w:r>
              <w:rPr>
                <w:rFonts w:ascii="宋体" w:hAnsi="宋体" w:cs="宋体" w:eastAsia="宋体" w:hint="default"/>
                <w:sz w:val="15"/>
                <w:szCs w:val="15"/>
              </w:rPr>
              <w:t> </w:t>
            </w:r>
          </w:p>
        </w:tc>
        <w:tc>
          <w:tcPr>
            <w:tcW w:w="1454"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345" w:right="0"/>
              <w:jc w:val="left"/>
              <w:rPr>
                <w:rFonts w:ascii="宋体" w:hAnsi="宋体" w:cs="宋体" w:eastAsia="宋体" w:hint="default"/>
                <w:sz w:val="15"/>
                <w:szCs w:val="15"/>
              </w:rPr>
            </w:pPr>
            <w:r>
              <w:rPr>
                <w:rFonts w:ascii="宋体" w:hAnsi="宋体" w:cs="宋体" w:eastAsia="宋体" w:hint="default"/>
                <w:sz w:val="15"/>
                <w:szCs w:val="15"/>
              </w:rPr>
              <w:t>未分配利润</w:t>
            </w:r>
            <w:r>
              <w:rPr>
                <w:rFonts w:ascii="宋体" w:hAnsi="宋体" w:cs="宋体" w:eastAsia="宋体" w:hint="default"/>
                <w:sz w:val="15"/>
                <w:szCs w:val="15"/>
              </w:rPr>
              <w:t> </w:t>
            </w:r>
          </w:p>
        </w:tc>
        <w:tc>
          <w:tcPr>
            <w:tcW w:w="1558"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249" w:right="0"/>
              <w:jc w:val="left"/>
              <w:rPr>
                <w:rFonts w:ascii="宋体" w:hAnsi="宋体" w:cs="宋体" w:eastAsia="宋体" w:hint="default"/>
                <w:sz w:val="15"/>
                <w:szCs w:val="15"/>
              </w:rPr>
            </w:pPr>
            <w:r>
              <w:rPr>
                <w:rFonts w:ascii="宋体" w:hAnsi="宋体" w:cs="宋体" w:eastAsia="宋体" w:hint="default"/>
                <w:sz w:val="15"/>
                <w:szCs w:val="15"/>
              </w:rPr>
              <w:t>所有者权益合计</w:t>
            </w:r>
            <w:r>
              <w:rPr>
                <w:rFonts w:ascii="宋体" w:hAnsi="宋体" w:cs="宋体" w:eastAsia="宋体" w:hint="default"/>
                <w:sz w:val="15"/>
                <w:szCs w:val="15"/>
              </w:rPr>
              <w:t> </w:t>
            </w:r>
          </w:p>
        </w:tc>
      </w:tr>
      <w:tr>
        <w:trPr>
          <w:trHeight w:val="302" w:hRule="exact"/>
        </w:trPr>
        <w:tc>
          <w:tcPr>
            <w:tcW w:w="2535" w:type="dxa"/>
            <w:vMerge/>
            <w:tcBorders>
              <w:left w:val="single" w:sz="4" w:space="0" w:color="000000"/>
              <w:bottom w:val="single" w:sz="4" w:space="0" w:color="000000"/>
              <w:right w:val="single" w:sz="4" w:space="0" w:color="000000"/>
            </w:tcBorders>
          </w:tcPr>
          <w:p>
            <w:pPr/>
          </w:p>
        </w:tc>
        <w:tc>
          <w:tcPr>
            <w:tcW w:w="1435" w:type="dxa"/>
            <w:vMerge/>
            <w:tcBorders>
              <w:left w:val="single" w:sz="4" w:space="0" w:color="000000"/>
              <w:bottom w:val="single" w:sz="4" w:space="0" w:color="000000"/>
              <w:right w:val="single" w:sz="4" w:space="0" w:color="000000"/>
            </w:tcBorders>
          </w:tcPr>
          <w:p>
            <w:pP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41"/>
              <w:jc w:val="right"/>
              <w:rPr>
                <w:rFonts w:ascii="宋体" w:hAnsi="宋体" w:cs="宋体" w:eastAsia="宋体" w:hint="default"/>
                <w:sz w:val="15"/>
                <w:szCs w:val="15"/>
              </w:rPr>
            </w:pPr>
            <w:r>
              <w:rPr>
                <w:rFonts w:ascii="宋体" w:hAnsi="宋体" w:cs="宋体" w:eastAsia="宋体" w:hint="default"/>
                <w:spacing w:val="-1"/>
                <w:sz w:val="15"/>
                <w:szCs w:val="15"/>
              </w:rPr>
              <w:t>优先股</w:t>
            </w:r>
            <w:r>
              <w:rPr>
                <w:rFonts w:ascii="宋体" w:hAnsi="宋体" w:cs="宋体" w:eastAsia="宋体" w:hint="default"/>
                <w:sz w:val="15"/>
                <w:szCs w:val="15"/>
              </w:rPr>
              <w:t> </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54"/>
              <w:jc w:val="right"/>
              <w:rPr>
                <w:rFonts w:ascii="宋体" w:hAnsi="宋体" w:cs="宋体" w:eastAsia="宋体" w:hint="default"/>
                <w:sz w:val="15"/>
                <w:szCs w:val="15"/>
              </w:rPr>
            </w:pPr>
            <w:r>
              <w:rPr>
                <w:rFonts w:ascii="宋体" w:hAnsi="宋体" w:cs="宋体" w:eastAsia="宋体" w:hint="default"/>
                <w:spacing w:val="-1"/>
                <w:sz w:val="15"/>
                <w:szCs w:val="15"/>
              </w:rPr>
              <w:t>永续债</w:t>
            </w:r>
            <w:r>
              <w:rPr>
                <w:rFonts w:ascii="宋体" w:hAnsi="宋体" w:cs="宋体" w:eastAsia="宋体" w:hint="default"/>
                <w:sz w:val="15"/>
                <w:szCs w:val="15"/>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484" w:right="0"/>
              <w:jc w:val="left"/>
              <w:rPr>
                <w:rFonts w:ascii="宋体" w:hAnsi="宋体" w:cs="宋体" w:eastAsia="宋体" w:hint="default"/>
                <w:sz w:val="15"/>
                <w:szCs w:val="15"/>
              </w:rPr>
            </w:pPr>
            <w:r>
              <w:rPr>
                <w:rFonts w:ascii="宋体" w:hAnsi="宋体" w:cs="宋体" w:eastAsia="宋体" w:hint="default"/>
                <w:sz w:val="15"/>
                <w:szCs w:val="15"/>
              </w:rPr>
              <w:t>其他</w:t>
            </w:r>
            <w:r>
              <w:rPr>
                <w:rFonts w:ascii="宋体" w:hAnsi="宋体" w:cs="宋体" w:eastAsia="宋体" w:hint="default"/>
                <w:sz w:val="15"/>
                <w:szCs w:val="15"/>
              </w:rPr>
              <w:t> </w:t>
            </w:r>
          </w:p>
        </w:tc>
        <w:tc>
          <w:tcPr>
            <w:tcW w:w="1416"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708" w:type="dxa"/>
            <w:vMerge/>
            <w:tcBorders>
              <w:left w:val="single" w:sz="4" w:space="0" w:color="000000"/>
              <w:bottom w:val="single" w:sz="4" w:space="0" w:color="000000"/>
              <w:right w:val="single" w:sz="4" w:space="0" w:color="000000"/>
            </w:tcBorders>
          </w:tcPr>
          <w:p>
            <w:pPr/>
          </w:p>
        </w:tc>
        <w:tc>
          <w:tcPr>
            <w:tcW w:w="569" w:type="dxa"/>
            <w:vMerge/>
            <w:tcBorders>
              <w:left w:val="single" w:sz="4" w:space="0" w:color="000000"/>
              <w:bottom w:val="single" w:sz="4" w:space="0" w:color="000000"/>
              <w:right w:val="single" w:sz="4" w:space="0" w:color="000000"/>
            </w:tcBorders>
          </w:tcPr>
          <w:p>
            <w:pPr/>
          </w:p>
        </w:tc>
        <w:tc>
          <w:tcPr>
            <w:tcW w:w="1381" w:type="dxa"/>
            <w:vMerge/>
            <w:tcBorders>
              <w:left w:val="single" w:sz="4" w:space="0" w:color="000000"/>
              <w:bottom w:val="single" w:sz="4" w:space="0" w:color="000000"/>
              <w:right w:val="single" w:sz="4" w:space="0" w:color="000000"/>
            </w:tcBorders>
          </w:tcPr>
          <w:p>
            <w:pPr/>
          </w:p>
        </w:tc>
        <w:tc>
          <w:tcPr>
            <w:tcW w:w="1454" w:type="dxa"/>
            <w:vMerge/>
            <w:tcBorders>
              <w:left w:val="single" w:sz="4" w:space="0" w:color="000000"/>
              <w:bottom w:val="single" w:sz="4" w:space="0" w:color="000000"/>
              <w:right w:val="single" w:sz="4" w:space="0" w:color="000000"/>
            </w:tcBorders>
          </w:tcPr>
          <w:p>
            <w:pPr/>
          </w:p>
        </w:tc>
        <w:tc>
          <w:tcPr>
            <w:tcW w:w="1558" w:type="dxa"/>
            <w:vMerge/>
            <w:tcBorders>
              <w:left w:val="single" w:sz="4" w:space="0" w:color="000000"/>
              <w:bottom w:val="single" w:sz="4" w:space="0" w:color="000000"/>
              <w:right w:val="single" w:sz="4" w:space="0" w:color="000000"/>
            </w:tcBorders>
          </w:tcPr>
          <w:p>
            <w:pPr/>
          </w:p>
        </w:tc>
      </w:tr>
      <w:tr>
        <w:trPr>
          <w:trHeight w:val="206" w:hRule="exact"/>
        </w:trPr>
        <w:tc>
          <w:tcPr>
            <w:tcW w:w="2535"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103" w:right="0"/>
              <w:jc w:val="left"/>
              <w:rPr>
                <w:rFonts w:ascii="宋体" w:hAnsi="宋体" w:cs="宋体" w:eastAsia="宋体" w:hint="default"/>
                <w:sz w:val="15"/>
                <w:szCs w:val="15"/>
              </w:rPr>
            </w:pPr>
            <w:r>
              <w:rPr>
                <w:rFonts w:ascii="宋体" w:hAnsi="宋体" w:cs="宋体" w:eastAsia="宋体" w:hint="default"/>
                <w:sz w:val="15"/>
                <w:szCs w:val="15"/>
              </w:rPr>
              <w:t>一、上年期末余额</w:t>
            </w:r>
            <w:r>
              <w:rPr>
                <w:rFonts w:ascii="宋体" w:hAnsi="宋体" w:cs="宋体" w:eastAsia="宋体" w:hint="default"/>
                <w:sz w:val="15"/>
                <w:szCs w:val="15"/>
              </w:rPr>
              <w:t> </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5"/>
              <w:jc w:val="right"/>
              <w:rPr>
                <w:rFonts w:ascii="宋体" w:hAnsi="宋体" w:cs="宋体" w:eastAsia="宋体" w:hint="default"/>
                <w:sz w:val="15"/>
                <w:szCs w:val="15"/>
              </w:rPr>
            </w:pPr>
            <w:r>
              <w:rPr>
                <w:rFonts w:ascii="宋体"/>
                <w:spacing w:val="-2"/>
                <w:sz w:val="15"/>
              </w:rPr>
              <w:t>1,765,410,843.00</w:t>
            </w:r>
            <w:r>
              <w:rPr>
                <w:rFonts w:ascii="宋体"/>
                <w:sz w:val="15"/>
              </w:rPr>
              <w:t> </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5"/>
              <w:jc w:val="right"/>
              <w:rPr>
                <w:rFonts w:ascii="宋体" w:hAnsi="宋体" w:cs="宋体" w:eastAsia="宋体" w:hint="default"/>
                <w:sz w:val="15"/>
                <w:szCs w:val="15"/>
              </w:rPr>
            </w:pPr>
            <w:r>
              <w:rPr>
                <w:rFonts w:ascii="宋体"/>
                <w:w w:val="100"/>
                <w:sz w:val="15"/>
              </w:rPr>
              <w:t> </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5"/>
              <w:jc w:val="right"/>
              <w:rPr>
                <w:rFonts w:ascii="宋体" w:hAnsi="宋体" w:cs="宋体" w:eastAsia="宋体" w:hint="default"/>
                <w:sz w:val="15"/>
                <w:szCs w:val="15"/>
              </w:rPr>
            </w:pPr>
            <w:r>
              <w:rPr>
                <w:rFonts w:ascii="宋体"/>
                <w:w w:val="100"/>
                <w:sz w:val="15"/>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3"/>
              <w:jc w:val="right"/>
              <w:rPr>
                <w:rFonts w:ascii="宋体" w:hAnsi="宋体" w:cs="宋体" w:eastAsia="宋体" w:hint="default"/>
                <w:sz w:val="15"/>
                <w:szCs w:val="15"/>
              </w:rPr>
            </w:pPr>
            <w:r>
              <w:rPr>
                <w:rFonts w:ascii="宋体"/>
                <w:spacing w:val="-2"/>
                <w:sz w:val="15"/>
              </w:rPr>
              <w:t>648,686,895.88</w:t>
            </w:r>
            <w:r>
              <w:rPr>
                <w:rFonts w:ascii="宋体"/>
                <w:sz w:val="15"/>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5"/>
              <w:jc w:val="right"/>
              <w:rPr>
                <w:rFonts w:ascii="宋体" w:hAnsi="宋体" w:cs="宋体" w:eastAsia="宋体" w:hint="default"/>
                <w:sz w:val="15"/>
                <w:szCs w:val="15"/>
              </w:rPr>
            </w:pPr>
            <w:r>
              <w:rPr>
                <w:rFonts w:ascii="宋体"/>
                <w:spacing w:val="-2"/>
                <w:sz w:val="15"/>
              </w:rPr>
              <w:t>4,634,617,835.24</w:t>
            </w:r>
            <w:r>
              <w:rPr>
                <w:rFonts w:ascii="宋体"/>
                <w:sz w:val="15"/>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3"/>
              <w:jc w:val="right"/>
              <w:rPr>
                <w:rFonts w:ascii="宋体" w:hAnsi="宋体" w:cs="宋体" w:eastAsia="宋体" w:hint="default"/>
                <w:sz w:val="15"/>
                <w:szCs w:val="15"/>
              </w:rPr>
            </w:pPr>
            <w:r>
              <w:rPr>
                <w:rFonts w:ascii="宋体"/>
                <w:spacing w:val="-2"/>
                <w:sz w:val="15"/>
              </w:rPr>
              <w:t>173,515,620.20</w:t>
            </w:r>
            <w:r>
              <w:rPr>
                <w:rFonts w:ascii="宋体"/>
                <w:sz w:val="15"/>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5"/>
              <w:jc w:val="right"/>
              <w:rPr>
                <w:rFonts w:ascii="宋体" w:hAnsi="宋体" w:cs="宋体" w:eastAsia="宋体" w:hint="default"/>
                <w:sz w:val="15"/>
                <w:szCs w:val="15"/>
              </w:rPr>
            </w:pPr>
            <w:r>
              <w:rPr>
                <w:rFonts w:ascii="宋体"/>
                <w:w w:val="100"/>
                <w:sz w:val="15"/>
              </w:rPr>
              <w:t>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5"/>
              <w:jc w:val="right"/>
              <w:rPr>
                <w:rFonts w:ascii="宋体" w:hAnsi="宋体" w:cs="宋体" w:eastAsia="宋体" w:hint="default"/>
                <w:sz w:val="15"/>
                <w:szCs w:val="15"/>
              </w:rPr>
            </w:pPr>
            <w:r>
              <w:rPr>
                <w:rFonts w:ascii="宋体"/>
                <w:w w:val="100"/>
                <w:sz w:val="15"/>
              </w:rPr>
              <w:t> </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5"/>
              <w:jc w:val="right"/>
              <w:rPr>
                <w:rFonts w:ascii="宋体" w:hAnsi="宋体" w:cs="宋体" w:eastAsia="宋体" w:hint="default"/>
                <w:sz w:val="15"/>
                <w:szCs w:val="15"/>
              </w:rPr>
            </w:pPr>
            <w:r>
              <w:rPr>
                <w:rFonts w:ascii="宋体"/>
                <w:spacing w:val="-1"/>
                <w:sz w:val="15"/>
              </w:rPr>
              <w:t>225,738,320.37 </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5"/>
              <w:jc w:val="right"/>
              <w:rPr>
                <w:rFonts w:ascii="宋体" w:hAnsi="宋体" w:cs="宋体" w:eastAsia="宋体" w:hint="default"/>
                <w:sz w:val="15"/>
                <w:szCs w:val="15"/>
              </w:rPr>
            </w:pPr>
            <w:r>
              <w:rPr>
                <w:rFonts w:ascii="宋体"/>
                <w:spacing w:val="-2"/>
                <w:sz w:val="15"/>
              </w:rPr>
              <w:t>1,277,485,893.50</w:t>
            </w:r>
            <w:r>
              <w:rPr>
                <w:rFonts w:ascii="宋体"/>
                <w:sz w:val="15"/>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3"/>
              <w:jc w:val="right"/>
              <w:rPr>
                <w:rFonts w:ascii="宋体" w:hAnsi="宋体" w:cs="宋体" w:eastAsia="宋体" w:hint="default"/>
                <w:sz w:val="15"/>
                <w:szCs w:val="15"/>
              </w:rPr>
            </w:pPr>
            <w:r>
              <w:rPr>
                <w:rFonts w:ascii="宋体"/>
                <w:spacing w:val="-2"/>
                <w:sz w:val="15"/>
              </w:rPr>
              <w:t>8,378,424,167.79</w:t>
            </w:r>
            <w:r>
              <w:rPr>
                <w:rFonts w:ascii="宋体"/>
                <w:sz w:val="15"/>
              </w:rPr>
              <w:t> </w:t>
            </w:r>
          </w:p>
        </w:tc>
      </w:tr>
      <w:tr>
        <w:trPr>
          <w:trHeight w:val="204" w:hRule="exact"/>
        </w:trPr>
        <w:tc>
          <w:tcPr>
            <w:tcW w:w="253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加：会计政策变更</w:t>
            </w:r>
            <w:r>
              <w:rPr>
                <w:rFonts w:ascii="宋体" w:hAnsi="宋体" w:cs="宋体" w:eastAsia="宋体" w:hint="default"/>
                <w:sz w:val="15"/>
                <w:szCs w:val="15"/>
              </w:rPr>
              <w:t> </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spacing w:val="-1"/>
                <w:sz w:val="15"/>
              </w:rPr>
              <w:t>-37,962.19</w:t>
            </w:r>
            <w:r>
              <w:rPr>
                <w:rFonts w:ascii="宋体"/>
                <w:sz w:val="15"/>
              </w:rPr>
              <w:t> </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spacing w:val="-2"/>
                <w:sz w:val="15"/>
              </w:rPr>
              <w:t>-341,659.68</w:t>
            </w:r>
            <w:r>
              <w:rPr>
                <w:rFonts w:ascii="宋体"/>
                <w:sz w:val="15"/>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2"/>
                <w:sz w:val="15"/>
              </w:rPr>
              <w:t>-379,621.87</w:t>
            </w:r>
            <w:r>
              <w:rPr>
                <w:rFonts w:ascii="宋体"/>
                <w:sz w:val="15"/>
              </w:rPr>
              <w:t> </w:t>
            </w:r>
          </w:p>
        </w:tc>
      </w:tr>
      <w:tr>
        <w:trPr>
          <w:trHeight w:val="204" w:hRule="exact"/>
        </w:trPr>
        <w:tc>
          <w:tcPr>
            <w:tcW w:w="253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403" w:right="0"/>
              <w:jc w:val="left"/>
              <w:rPr>
                <w:rFonts w:ascii="宋体" w:hAnsi="宋体" w:cs="宋体" w:eastAsia="宋体" w:hint="default"/>
                <w:sz w:val="15"/>
                <w:szCs w:val="15"/>
              </w:rPr>
            </w:pPr>
            <w:r>
              <w:rPr>
                <w:rFonts w:ascii="宋体" w:hAnsi="宋体" w:cs="宋体" w:eastAsia="宋体" w:hint="default"/>
                <w:sz w:val="15"/>
                <w:szCs w:val="15"/>
              </w:rPr>
              <w:t>前期差错更正</w:t>
            </w:r>
            <w:r>
              <w:rPr>
                <w:rFonts w:ascii="宋体" w:hAnsi="宋体" w:cs="宋体" w:eastAsia="宋体" w:hint="default"/>
                <w:sz w:val="15"/>
                <w:szCs w:val="15"/>
              </w:rPr>
              <w:t> </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r>
      <w:tr>
        <w:trPr>
          <w:trHeight w:val="204" w:hRule="exact"/>
        </w:trPr>
        <w:tc>
          <w:tcPr>
            <w:tcW w:w="253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403" w:right="0"/>
              <w:jc w:val="left"/>
              <w:rPr>
                <w:rFonts w:ascii="宋体" w:hAnsi="宋体" w:cs="宋体" w:eastAsia="宋体" w:hint="default"/>
                <w:sz w:val="15"/>
                <w:szCs w:val="15"/>
              </w:rPr>
            </w:pPr>
            <w:r>
              <w:rPr>
                <w:rFonts w:ascii="宋体" w:hAnsi="宋体" w:cs="宋体" w:eastAsia="宋体" w:hint="default"/>
                <w:sz w:val="15"/>
                <w:szCs w:val="15"/>
              </w:rPr>
              <w:t>其他</w:t>
            </w:r>
            <w:r>
              <w:rPr>
                <w:rFonts w:ascii="宋体" w:hAnsi="宋体" w:cs="宋体" w:eastAsia="宋体" w:hint="default"/>
                <w:sz w:val="15"/>
                <w:szCs w:val="15"/>
              </w:rPr>
              <w:t> </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r>
      <w:tr>
        <w:trPr>
          <w:trHeight w:val="207" w:hRule="exact"/>
        </w:trPr>
        <w:tc>
          <w:tcPr>
            <w:tcW w:w="2535"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left="103" w:right="0"/>
              <w:jc w:val="left"/>
              <w:rPr>
                <w:rFonts w:ascii="宋体" w:hAnsi="宋体" w:cs="宋体" w:eastAsia="宋体" w:hint="default"/>
                <w:sz w:val="15"/>
                <w:szCs w:val="15"/>
              </w:rPr>
            </w:pPr>
            <w:r>
              <w:rPr>
                <w:rFonts w:ascii="宋体" w:hAnsi="宋体" w:cs="宋体" w:eastAsia="宋体" w:hint="default"/>
                <w:sz w:val="15"/>
                <w:szCs w:val="15"/>
              </w:rPr>
              <w:t>二、本年期初余额</w:t>
            </w:r>
            <w:r>
              <w:rPr>
                <w:rFonts w:ascii="宋体" w:hAnsi="宋体" w:cs="宋体" w:eastAsia="宋体" w:hint="default"/>
                <w:sz w:val="15"/>
                <w:szCs w:val="15"/>
              </w:rPr>
              <w:t> </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right="25"/>
              <w:jc w:val="right"/>
              <w:rPr>
                <w:rFonts w:ascii="宋体" w:hAnsi="宋体" w:cs="宋体" w:eastAsia="宋体" w:hint="default"/>
                <w:sz w:val="15"/>
                <w:szCs w:val="15"/>
              </w:rPr>
            </w:pPr>
            <w:r>
              <w:rPr>
                <w:rFonts w:ascii="宋体"/>
                <w:spacing w:val="-2"/>
                <w:sz w:val="15"/>
              </w:rPr>
              <w:t>1,765,410,843.00</w:t>
            </w:r>
            <w:r>
              <w:rPr>
                <w:rFonts w:ascii="宋体"/>
                <w:sz w:val="15"/>
              </w:rPr>
              <w:t> </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right="25"/>
              <w:jc w:val="right"/>
              <w:rPr>
                <w:rFonts w:ascii="宋体" w:hAnsi="宋体" w:cs="宋体" w:eastAsia="宋体" w:hint="default"/>
                <w:sz w:val="15"/>
                <w:szCs w:val="15"/>
              </w:rPr>
            </w:pPr>
            <w:r>
              <w:rPr>
                <w:rFonts w:ascii="宋体"/>
                <w:w w:val="100"/>
                <w:sz w:val="15"/>
              </w:rPr>
              <w:t> </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right="25"/>
              <w:jc w:val="right"/>
              <w:rPr>
                <w:rFonts w:ascii="宋体" w:hAnsi="宋体" w:cs="宋体" w:eastAsia="宋体" w:hint="default"/>
                <w:sz w:val="15"/>
                <w:szCs w:val="15"/>
              </w:rPr>
            </w:pPr>
            <w:r>
              <w:rPr>
                <w:rFonts w:ascii="宋体"/>
                <w:w w:val="100"/>
                <w:sz w:val="15"/>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right="23"/>
              <w:jc w:val="right"/>
              <w:rPr>
                <w:rFonts w:ascii="宋体" w:hAnsi="宋体" w:cs="宋体" w:eastAsia="宋体" w:hint="default"/>
                <w:sz w:val="15"/>
                <w:szCs w:val="15"/>
              </w:rPr>
            </w:pPr>
            <w:r>
              <w:rPr>
                <w:rFonts w:ascii="宋体"/>
                <w:spacing w:val="-2"/>
                <w:sz w:val="15"/>
              </w:rPr>
              <w:t>648,686,895.88</w:t>
            </w:r>
            <w:r>
              <w:rPr>
                <w:rFonts w:ascii="宋体"/>
                <w:sz w:val="15"/>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right="25"/>
              <w:jc w:val="right"/>
              <w:rPr>
                <w:rFonts w:ascii="宋体" w:hAnsi="宋体" w:cs="宋体" w:eastAsia="宋体" w:hint="default"/>
                <w:sz w:val="15"/>
                <w:szCs w:val="15"/>
              </w:rPr>
            </w:pPr>
            <w:r>
              <w:rPr>
                <w:rFonts w:ascii="宋体"/>
                <w:spacing w:val="-2"/>
                <w:sz w:val="15"/>
              </w:rPr>
              <w:t>4,634,617,835.24</w:t>
            </w:r>
            <w:r>
              <w:rPr>
                <w:rFonts w:ascii="宋体"/>
                <w:sz w:val="15"/>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right="23"/>
              <w:jc w:val="right"/>
              <w:rPr>
                <w:rFonts w:ascii="宋体" w:hAnsi="宋体" w:cs="宋体" w:eastAsia="宋体" w:hint="default"/>
                <w:sz w:val="15"/>
                <w:szCs w:val="15"/>
              </w:rPr>
            </w:pPr>
            <w:r>
              <w:rPr>
                <w:rFonts w:ascii="宋体"/>
                <w:spacing w:val="-2"/>
                <w:sz w:val="15"/>
              </w:rPr>
              <w:t>173,515,620.20</w:t>
            </w:r>
            <w:r>
              <w:rPr>
                <w:rFonts w:ascii="宋体"/>
                <w:sz w:val="15"/>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right="25"/>
              <w:jc w:val="right"/>
              <w:rPr>
                <w:rFonts w:ascii="宋体" w:hAnsi="宋体" w:cs="宋体" w:eastAsia="宋体" w:hint="default"/>
                <w:sz w:val="15"/>
                <w:szCs w:val="15"/>
              </w:rPr>
            </w:pPr>
            <w:r>
              <w:rPr>
                <w:rFonts w:ascii="宋体"/>
                <w:w w:val="100"/>
                <w:sz w:val="15"/>
              </w:rPr>
              <w:t>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right="25"/>
              <w:jc w:val="right"/>
              <w:rPr>
                <w:rFonts w:ascii="宋体" w:hAnsi="宋体" w:cs="宋体" w:eastAsia="宋体" w:hint="default"/>
                <w:sz w:val="15"/>
                <w:szCs w:val="15"/>
              </w:rPr>
            </w:pPr>
            <w:r>
              <w:rPr>
                <w:rFonts w:ascii="宋体"/>
                <w:w w:val="100"/>
                <w:sz w:val="15"/>
              </w:rPr>
              <w:t> </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right="25"/>
              <w:jc w:val="right"/>
              <w:rPr>
                <w:rFonts w:ascii="宋体" w:hAnsi="宋体" w:cs="宋体" w:eastAsia="宋体" w:hint="default"/>
                <w:sz w:val="15"/>
                <w:szCs w:val="15"/>
              </w:rPr>
            </w:pPr>
            <w:r>
              <w:rPr>
                <w:rFonts w:ascii="宋体"/>
                <w:spacing w:val="-1"/>
                <w:sz w:val="15"/>
              </w:rPr>
              <w:t>225,700,358.18 </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right="25"/>
              <w:jc w:val="right"/>
              <w:rPr>
                <w:rFonts w:ascii="宋体" w:hAnsi="宋体" w:cs="宋体" w:eastAsia="宋体" w:hint="default"/>
                <w:sz w:val="15"/>
                <w:szCs w:val="15"/>
              </w:rPr>
            </w:pPr>
            <w:r>
              <w:rPr>
                <w:rFonts w:ascii="宋体"/>
                <w:spacing w:val="-2"/>
                <w:sz w:val="15"/>
              </w:rPr>
              <w:t>1,277,144,233.82</w:t>
            </w:r>
            <w:r>
              <w:rPr>
                <w:rFonts w:ascii="宋体"/>
                <w:sz w:val="15"/>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right="23"/>
              <w:jc w:val="right"/>
              <w:rPr>
                <w:rFonts w:ascii="宋体" w:hAnsi="宋体" w:cs="宋体" w:eastAsia="宋体" w:hint="default"/>
                <w:sz w:val="15"/>
                <w:szCs w:val="15"/>
              </w:rPr>
            </w:pPr>
            <w:r>
              <w:rPr>
                <w:rFonts w:ascii="宋体"/>
                <w:spacing w:val="-2"/>
                <w:sz w:val="15"/>
              </w:rPr>
              <w:t>8,378,044,545.92</w:t>
            </w:r>
            <w:r>
              <w:rPr>
                <w:rFonts w:ascii="宋体"/>
                <w:sz w:val="15"/>
              </w:rPr>
              <w:t> </w:t>
            </w:r>
          </w:p>
        </w:tc>
      </w:tr>
      <w:tr>
        <w:trPr>
          <w:trHeight w:val="398" w:hRule="exact"/>
        </w:trPr>
        <w:tc>
          <w:tcPr>
            <w:tcW w:w="2535"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三、本期增减变动金额（减少以</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“－”号填列）</w:t>
            </w:r>
            <w:r>
              <w:rPr>
                <w:rFonts w:ascii="宋体" w:hAnsi="宋体" w:cs="宋体" w:eastAsia="宋体" w:hint="default"/>
                <w:sz w:val="15"/>
                <w:szCs w:val="15"/>
              </w:rPr>
              <w:t> </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25"/>
              <w:jc w:val="right"/>
              <w:rPr>
                <w:rFonts w:ascii="宋体" w:hAnsi="宋体" w:cs="宋体" w:eastAsia="宋体" w:hint="default"/>
                <w:sz w:val="15"/>
                <w:szCs w:val="15"/>
              </w:rPr>
            </w:pPr>
            <w:r>
              <w:rPr>
                <w:rFonts w:ascii="宋体"/>
                <w:spacing w:val="-2"/>
                <w:sz w:val="15"/>
              </w:rPr>
              <w:t>-7,739,983.00</w:t>
            </w:r>
            <w:r>
              <w:rPr>
                <w:rFonts w:ascii="宋体"/>
                <w:sz w:val="15"/>
              </w:rPr>
              <w:t> </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25"/>
              <w:jc w:val="right"/>
              <w:rPr>
                <w:rFonts w:ascii="宋体" w:hAnsi="宋体" w:cs="宋体" w:eastAsia="宋体" w:hint="default"/>
                <w:sz w:val="15"/>
                <w:szCs w:val="15"/>
              </w:rPr>
            </w:pPr>
            <w:r>
              <w:rPr>
                <w:rFonts w:ascii="宋体"/>
                <w:w w:val="100"/>
                <w:sz w:val="15"/>
              </w:rPr>
              <w:t> </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25"/>
              <w:jc w:val="right"/>
              <w:rPr>
                <w:rFonts w:ascii="宋体" w:hAnsi="宋体" w:cs="宋体" w:eastAsia="宋体" w:hint="default"/>
                <w:sz w:val="15"/>
                <w:szCs w:val="15"/>
              </w:rPr>
            </w:pPr>
            <w:r>
              <w:rPr>
                <w:rFonts w:ascii="宋体"/>
                <w:w w:val="100"/>
                <w:sz w:val="15"/>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23"/>
              <w:jc w:val="right"/>
              <w:rPr>
                <w:rFonts w:ascii="宋体" w:hAnsi="宋体" w:cs="宋体" w:eastAsia="宋体" w:hint="default"/>
                <w:sz w:val="15"/>
                <w:szCs w:val="15"/>
              </w:rPr>
            </w:pPr>
            <w:r>
              <w:rPr>
                <w:rFonts w:ascii="宋体"/>
                <w:spacing w:val="-1"/>
                <w:sz w:val="15"/>
              </w:rPr>
              <w:t>-17,082.31</w:t>
            </w:r>
            <w:r>
              <w:rPr>
                <w:rFonts w:ascii="宋体"/>
                <w:sz w:val="15"/>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25"/>
              <w:jc w:val="right"/>
              <w:rPr>
                <w:rFonts w:ascii="宋体" w:hAnsi="宋体" w:cs="宋体" w:eastAsia="宋体" w:hint="default"/>
                <w:sz w:val="15"/>
                <w:szCs w:val="15"/>
              </w:rPr>
            </w:pPr>
            <w:r>
              <w:rPr>
                <w:rFonts w:ascii="宋体"/>
                <w:spacing w:val="-2"/>
                <w:sz w:val="15"/>
              </w:rPr>
              <w:t>-26,695,299.32</w:t>
            </w:r>
            <w:r>
              <w:rPr>
                <w:rFonts w:ascii="宋体"/>
                <w:sz w:val="15"/>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23"/>
              <w:jc w:val="right"/>
              <w:rPr>
                <w:rFonts w:ascii="宋体" w:hAnsi="宋体" w:cs="宋体" w:eastAsia="宋体" w:hint="default"/>
                <w:sz w:val="15"/>
                <w:szCs w:val="15"/>
              </w:rPr>
            </w:pPr>
            <w:r>
              <w:rPr>
                <w:rFonts w:ascii="宋体"/>
                <w:spacing w:val="-2"/>
                <w:sz w:val="15"/>
              </w:rPr>
              <w:t>-34,589,642.18</w:t>
            </w:r>
            <w:r>
              <w:rPr>
                <w:rFonts w:ascii="宋体"/>
                <w:sz w:val="15"/>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25"/>
              <w:jc w:val="right"/>
              <w:rPr>
                <w:rFonts w:ascii="宋体" w:hAnsi="宋体" w:cs="宋体" w:eastAsia="宋体" w:hint="default"/>
                <w:sz w:val="15"/>
                <w:szCs w:val="15"/>
              </w:rPr>
            </w:pPr>
            <w:r>
              <w:rPr>
                <w:rFonts w:ascii="宋体"/>
                <w:w w:val="100"/>
                <w:sz w:val="15"/>
              </w:rPr>
              <w:t>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25"/>
              <w:jc w:val="right"/>
              <w:rPr>
                <w:rFonts w:ascii="宋体" w:hAnsi="宋体" w:cs="宋体" w:eastAsia="宋体" w:hint="default"/>
                <w:sz w:val="15"/>
                <w:szCs w:val="15"/>
              </w:rPr>
            </w:pPr>
            <w:r>
              <w:rPr>
                <w:rFonts w:ascii="宋体"/>
                <w:w w:val="100"/>
                <w:sz w:val="15"/>
              </w:rPr>
              <w:t> </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25"/>
              <w:jc w:val="right"/>
              <w:rPr>
                <w:rFonts w:ascii="宋体" w:hAnsi="宋体" w:cs="宋体" w:eastAsia="宋体" w:hint="default"/>
                <w:sz w:val="15"/>
                <w:szCs w:val="15"/>
              </w:rPr>
            </w:pPr>
            <w:r>
              <w:rPr>
                <w:rFonts w:ascii="宋体"/>
                <w:spacing w:val="-2"/>
                <w:sz w:val="15"/>
              </w:rPr>
              <w:t>14,919,286.01</w:t>
            </w:r>
            <w:r>
              <w:rPr>
                <w:rFonts w:ascii="宋体"/>
                <w:sz w:val="15"/>
              </w:rPr>
              <w:t> </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25"/>
              <w:jc w:val="right"/>
              <w:rPr>
                <w:rFonts w:ascii="宋体" w:hAnsi="宋体" w:cs="宋体" w:eastAsia="宋体" w:hint="default"/>
                <w:sz w:val="15"/>
                <w:szCs w:val="15"/>
              </w:rPr>
            </w:pPr>
            <w:r>
              <w:rPr>
                <w:rFonts w:ascii="宋体"/>
                <w:spacing w:val="-2"/>
                <w:sz w:val="15"/>
              </w:rPr>
              <w:t>-169,476,333.23</w:t>
            </w:r>
            <w:r>
              <w:rPr>
                <w:rFonts w:ascii="宋体"/>
                <w:sz w:val="15"/>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23"/>
              <w:jc w:val="right"/>
              <w:rPr>
                <w:rFonts w:ascii="宋体" w:hAnsi="宋体" w:cs="宋体" w:eastAsia="宋体" w:hint="default"/>
                <w:sz w:val="15"/>
                <w:szCs w:val="15"/>
              </w:rPr>
            </w:pPr>
            <w:r>
              <w:rPr>
                <w:rFonts w:ascii="宋体"/>
                <w:spacing w:val="-2"/>
                <w:sz w:val="15"/>
              </w:rPr>
              <w:t>-154,419,769.67</w:t>
            </w:r>
            <w:r>
              <w:rPr>
                <w:rFonts w:ascii="宋体"/>
                <w:sz w:val="15"/>
              </w:rPr>
              <w:t> </w:t>
            </w:r>
          </w:p>
        </w:tc>
      </w:tr>
      <w:tr>
        <w:trPr>
          <w:trHeight w:val="204" w:hRule="exact"/>
        </w:trPr>
        <w:tc>
          <w:tcPr>
            <w:tcW w:w="253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（一）综合收益总额</w:t>
            </w:r>
            <w:r>
              <w:rPr>
                <w:rFonts w:ascii="宋体" w:hAnsi="宋体" w:cs="宋体" w:eastAsia="宋体" w:hint="default"/>
                <w:sz w:val="15"/>
                <w:szCs w:val="15"/>
              </w:rPr>
              <w:t> </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spacing w:val="-2"/>
                <w:sz w:val="15"/>
              </w:rPr>
              <w:t>149,192,860.12</w:t>
            </w:r>
            <w:r>
              <w:rPr>
                <w:rFonts w:ascii="宋体"/>
                <w:sz w:val="15"/>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2"/>
                <w:sz w:val="15"/>
              </w:rPr>
              <w:t>149,192,860.12</w:t>
            </w:r>
            <w:r>
              <w:rPr>
                <w:rFonts w:ascii="宋体"/>
                <w:sz w:val="15"/>
              </w:rPr>
              <w:t> </w:t>
            </w:r>
          </w:p>
        </w:tc>
      </w:tr>
      <w:tr>
        <w:trPr>
          <w:trHeight w:val="204" w:hRule="exact"/>
        </w:trPr>
        <w:tc>
          <w:tcPr>
            <w:tcW w:w="253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（二）所有者投入和减少资本</w:t>
            </w:r>
            <w:r>
              <w:rPr>
                <w:rFonts w:ascii="宋体" w:hAnsi="宋体" w:cs="宋体" w:eastAsia="宋体" w:hint="default"/>
                <w:sz w:val="15"/>
                <w:szCs w:val="15"/>
              </w:rPr>
              <w:t> </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spacing w:val="-2"/>
                <w:sz w:val="15"/>
              </w:rPr>
              <w:t>-7,739,983.00</w:t>
            </w:r>
            <w:r>
              <w:rPr>
                <w:rFonts w:ascii="宋体"/>
                <w:sz w:val="15"/>
              </w:rPr>
              <w:t> </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1"/>
                <w:sz w:val="15"/>
              </w:rPr>
              <w:t>-17,082.31</w:t>
            </w:r>
            <w:r>
              <w:rPr>
                <w:rFonts w:ascii="宋体"/>
                <w:sz w:val="15"/>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spacing w:val="-2"/>
                <w:sz w:val="15"/>
              </w:rPr>
              <w:t>-26,695,299.32</w:t>
            </w:r>
            <w:r>
              <w:rPr>
                <w:rFonts w:ascii="宋体"/>
                <w:sz w:val="15"/>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2"/>
                <w:sz w:val="15"/>
              </w:rPr>
              <w:t>-34,589,642.18</w:t>
            </w:r>
            <w:r>
              <w:rPr>
                <w:rFonts w:ascii="宋体"/>
                <w:sz w:val="15"/>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1"/>
                <w:sz w:val="15"/>
              </w:rPr>
              <w:t>137,277.55</w:t>
            </w:r>
            <w:r>
              <w:rPr>
                <w:rFonts w:ascii="宋体"/>
                <w:sz w:val="15"/>
              </w:rPr>
              <w:t> </w:t>
            </w:r>
          </w:p>
        </w:tc>
      </w:tr>
      <w:tr>
        <w:trPr>
          <w:trHeight w:val="204" w:hRule="exact"/>
        </w:trPr>
        <w:tc>
          <w:tcPr>
            <w:tcW w:w="253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1</w:t>
            </w:r>
            <w:r>
              <w:rPr>
                <w:rFonts w:ascii="宋体" w:hAnsi="宋体" w:cs="宋体" w:eastAsia="宋体" w:hint="default"/>
                <w:sz w:val="15"/>
                <w:szCs w:val="15"/>
              </w:rPr>
              <w:t>．所有者投入的普通股</w:t>
            </w:r>
            <w:r>
              <w:rPr>
                <w:rFonts w:ascii="宋体" w:hAnsi="宋体" w:cs="宋体" w:eastAsia="宋体" w:hint="default"/>
                <w:sz w:val="15"/>
                <w:szCs w:val="15"/>
              </w:rPr>
              <w:t> </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spacing w:val="-2"/>
                <w:sz w:val="15"/>
              </w:rPr>
              <w:t>-7,749,000.00</w:t>
            </w:r>
            <w:r>
              <w:rPr>
                <w:rFonts w:ascii="宋体"/>
                <w:sz w:val="15"/>
              </w:rPr>
              <w:t> </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spacing w:val="-2"/>
                <w:sz w:val="15"/>
              </w:rPr>
              <w:t>-26,345,220.00</w:t>
            </w:r>
            <w:r>
              <w:rPr>
                <w:rFonts w:ascii="宋体"/>
                <w:sz w:val="15"/>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2"/>
                <w:sz w:val="15"/>
              </w:rPr>
              <w:t>-34,094,220.00</w:t>
            </w:r>
            <w:r>
              <w:rPr>
                <w:rFonts w:ascii="宋体"/>
                <w:sz w:val="15"/>
              </w:rPr>
              <w:t> </w:t>
            </w:r>
          </w:p>
        </w:tc>
      </w:tr>
      <w:tr>
        <w:trPr>
          <w:trHeight w:val="206" w:hRule="exact"/>
        </w:trPr>
        <w:tc>
          <w:tcPr>
            <w:tcW w:w="2535"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103" w:right="0"/>
              <w:jc w:val="left"/>
              <w:rPr>
                <w:rFonts w:ascii="宋体" w:hAnsi="宋体" w:cs="宋体" w:eastAsia="宋体" w:hint="default"/>
                <w:sz w:val="15"/>
                <w:szCs w:val="15"/>
              </w:rPr>
            </w:pPr>
            <w:r>
              <w:rPr>
                <w:rFonts w:ascii="宋体" w:hAnsi="宋体" w:cs="宋体" w:eastAsia="宋体" w:hint="default"/>
                <w:sz w:val="15"/>
                <w:szCs w:val="15"/>
              </w:rPr>
              <w:t>2</w:t>
            </w:r>
            <w:r>
              <w:rPr>
                <w:rFonts w:ascii="宋体" w:hAnsi="宋体" w:cs="宋体" w:eastAsia="宋体" w:hint="default"/>
                <w:sz w:val="15"/>
                <w:szCs w:val="15"/>
              </w:rPr>
              <w:t>．其他权益工具持有者投入资本</w:t>
            </w:r>
            <w:r>
              <w:rPr>
                <w:rFonts w:ascii="宋体" w:hAnsi="宋体" w:cs="宋体" w:eastAsia="宋体" w:hint="default"/>
                <w:sz w:val="15"/>
                <w:szCs w:val="15"/>
              </w:rPr>
              <w:t> </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5"/>
              <w:jc w:val="right"/>
              <w:rPr>
                <w:rFonts w:ascii="宋体" w:hAnsi="宋体" w:cs="宋体" w:eastAsia="宋体" w:hint="default"/>
                <w:sz w:val="15"/>
                <w:szCs w:val="15"/>
              </w:rPr>
            </w:pPr>
            <w:r>
              <w:rPr>
                <w:rFonts w:ascii="宋体"/>
                <w:spacing w:val="-2"/>
                <w:sz w:val="15"/>
              </w:rPr>
              <w:t>9,017.00</w:t>
            </w:r>
            <w:r>
              <w:rPr>
                <w:rFonts w:ascii="宋体"/>
                <w:sz w:val="15"/>
              </w:rPr>
              <w:t> </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5"/>
              <w:jc w:val="right"/>
              <w:rPr>
                <w:rFonts w:ascii="宋体" w:hAnsi="宋体" w:cs="宋体" w:eastAsia="宋体" w:hint="default"/>
                <w:sz w:val="15"/>
                <w:szCs w:val="15"/>
              </w:rPr>
            </w:pPr>
            <w:r>
              <w:rPr>
                <w:rFonts w:ascii="宋体"/>
                <w:w w:val="100"/>
                <w:sz w:val="15"/>
              </w:rPr>
              <w:t> </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5"/>
              <w:jc w:val="right"/>
              <w:rPr>
                <w:rFonts w:ascii="宋体" w:hAnsi="宋体" w:cs="宋体" w:eastAsia="宋体" w:hint="default"/>
                <w:sz w:val="15"/>
                <w:szCs w:val="15"/>
              </w:rPr>
            </w:pPr>
            <w:r>
              <w:rPr>
                <w:rFonts w:ascii="宋体"/>
                <w:w w:val="100"/>
                <w:sz w:val="15"/>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3"/>
              <w:jc w:val="right"/>
              <w:rPr>
                <w:rFonts w:ascii="宋体" w:hAnsi="宋体" w:cs="宋体" w:eastAsia="宋体" w:hint="default"/>
                <w:sz w:val="15"/>
                <w:szCs w:val="15"/>
              </w:rPr>
            </w:pPr>
            <w:r>
              <w:rPr>
                <w:rFonts w:ascii="宋体"/>
                <w:spacing w:val="-1"/>
                <w:sz w:val="15"/>
              </w:rPr>
              <w:t>-17,082.31</w:t>
            </w:r>
            <w:r>
              <w:rPr>
                <w:rFonts w:ascii="宋体"/>
                <w:sz w:val="15"/>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5"/>
              <w:jc w:val="right"/>
              <w:rPr>
                <w:rFonts w:ascii="宋体" w:hAnsi="宋体" w:cs="宋体" w:eastAsia="宋体" w:hint="default"/>
                <w:sz w:val="15"/>
                <w:szCs w:val="15"/>
              </w:rPr>
            </w:pPr>
            <w:r>
              <w:rPr>
                <w:rFonts w:ascii="宋体"/>
                <w:spacing w:val="-2"/>
                <w:sz w:val="15"/>
              </w:rPr>
              <w:t>69,839.95</w:t>
            </w:r>
            <w:r>
              <w:rPr>
                <w:rFonts w:ascii="宋体"/>
                <w:sz w:val="15"/>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3"/>
              <w:jc w:val="right"/>
              <w:rPr>
                <w:rFonts w:ascii="宋体" w:hAnsi="宋体" w:cs="宋体" w:eastAsia="宋体" w:hint="default"/>
                <w:sz w:val="15"/>
                <w:szCs w:val="15"/>
              </w:rPr>
            </w:pPr>
            <w:r>
              <w:rPr>
                <w:rFonts w:ascii="宋体"/>
                <w:w w:val="100"/>
                <w:sz w:val="15"/>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5"/>
              <w:jc w:val="right"/>
              <w:rPr>
                <w:rFonts w:ascii="宋体" w:hAnsi="宋体" w:cs="宋体" w:eastAsia="宋体" w:hint="default"/>
                <w:sz w:val="15"/>
                <w:szCs w:val="15"/>
              </w:rPr>
            </w:pPr>
            <w:r>
              <w:rPr>
                <w:rFonts w:ascii="宋体"/>
                <w:w w:val="100"/>
                <w:sz w:val="15"/>
              </w:rPr>
              <w:t>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5"/>
              <w:jc w:val="right"/>
              <w:rPr>
                <w:rFonts w:ascii="宋体" w:hAnsi="宋体" w:cs="宋体" w:eastAsia="宋体" w:hint="default"/>
                <w:sz w:val="15"/>
                <w:szCs w:val="15"/>
              </w:rPr>
            </w:pPr>
            <w:r>
              <w:rPr>
                <w:rFonts w:ascii="宋体"/>
                <w:w w:val="100"/>
                <w:sz w:val="15"/>
              </w:rPr>
              <w:t> </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5"/>
              <w:jc w:val="right"/>
              <w:rPr>
                <w:rFonts w:ascii="宋体" w:hAnsi="宋体" w:cs="宋体" w:eastAsia="宋体" w:hint="default"/>
                <w:sz w:val="15"/>
                <w:szCs w:val="15"/>
              </w:rPr>
            </w:pPr>
            <w:r>
              <w:rPr>
                <w:rFonts w:ascii="宋体"/>
                <w:w w:val="100"/>
                <w:sz w:val="15"/>
              </w:rPr>
              <w:t> </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5"/>
              <w:jc w:val="right"/>
              <w:rPr>
                <w:rFonts w:ascii="宋体" w:hAnsi="宋体" w:cs="宋体" w:eastAsia="宋体" w:hint="default"/>
                <w:sz w:val="15"/>
                <w:szCs w:val="15"/>
              </w:rPr>
            </w:pPr>
            <w:r>
              <w:rPr>
                <w:rFonts w:ascii="宋体"/>
                <w:w w:val="100"/>
                <w:sz w:val="15"/>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3"/>
              <w:jc w:val="right"/>
              <w:rPr>
                <w:rFonts w:ascii="宋体" w:hAnsi="宋体" w:cs="宋体" w:eastAsia="宋体" w:hint="default"/>
                <w:sz w:val="15"/>
                <w:szCs w:val="15"/>
              </w:rPr>
            </w:pPr>
            <w:r>
              <w:rPr>
                <w:rFonts w:ascii="宋体"/>
                <w:spacing w:val="-2"/>
                <w:sz w:val="15"/>
              </w:rPr>
              <w:t>61,774.64</w:t>
            </w:r>
            <w:r>
              <w:rPr>
                <w:rFonts w:ascii="宋体"/>
                <w:sz w:val="15"/>
              </w:rPr>
              <w:t> </w:t>
            </w:r>
          </w:p>
        </w:tc>
      </w:tr>
      <w:tr>
        <w:trPr>
          <w:trHeight w:val="204" w:hRule="exact"/>
        </w:trPr>
        <w:tc>
          <w:tcPr>
            <w:tcW w:w="253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3</w:t>
            </w:r>
            <w:r>
              <w:rPr>
                <w:rFonts w:ascii="宋体" w:hAnsi="宋体" w:cs="宋体" w:eastAsia="宋体" w:hint="default"/>
                <w:sz w:val="15"/>
                <w:szCs w:val="15"/>
              </w:rPr>
              <w:t>．股份支付计入所有者权益的金额</w:t>
            </w:r>
            <w:r>
              <w:rPr>
                <w:rFonts w:ascii="宋体" w:hAnsi="宋体" w:cs="宋体" w:eastAsia="宋体" w:hint="default"/>
                <w:sz w:val="15"/>
                <w:szCs w:val="15"/>
              </w:rPr>
              <w:t> </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2"/>
                <w:sz w:val="15"/>
              </w:rPr>
              <w:t>-35,479,220.00</w:t>
            </w:r>
            <w:r>
              <w:rPr>
                <w:rFonts w:ascii="宋体"/>
                <w:sz w:val="15"/>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2"/>
                <w:sz w:val="15"/>
              </w:rPr>
              <w:t>35,479,220.00</w:t>
            </w:r>
            <w:r>
              <w:rPr>
                <w:rFonts w:ascii="宋体"/>
                <w:sz w:val="15"/>
              </w:rPr>
              <w:t> </w:t>
            </w:r>
          </w:p>
        </w:tc>
      </w:tr>
      <w:tr>
        <w:trPr>
          <w:trHeight w:val="204" w:hRule="exact"/>
        </w:trPr>
        <w:tc>
          <w:tcPr>
            <w:tcW w:w="253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4</w:t>
            </w:r>
            <w:r>
              <w:rPr>
                <w:rFonts w:ascii="宋体" w:hAnsi="宋体" w:cs="宋体" w:eastAsia="宋体" w:hint="default"/>
                <w:sz w:val="15"/>
                <w:szCs w:val="15"/>
              </w:rPr>
              <w:t>．其他</w:t>
            </w:r>
            <w:r>
              <w:rPr>
                <w:rFonts w:ascii="宋体" w:hAnsi="宋体" w:cs="宋体" w:eastAsia="宋体" w:hint="default"/>
                <w:sz w:val="15"/>
                <w:szCs w:val="15"/>
              </w:rPr>
              <w:t> </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spacing w:val="-2"/>
                <w:sz w:val="15"/>
              </w:rPr>
              <w:t>-419,919.27</w:t>
            </w:r>
            <w:r>
              <w:rPr>
                <w:rFonts w:ascii="宋体"/>
                <w:sz w:val="15"/>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1"/>
                <w:sz w:val="15"/>
              </w:rPr>
              <w:t>889,577.82</w:t>
            </w:r>
            <w:r>
              <w:rPr>
                <w:rFonts w:ascii="宋体"/>
                <w:sz w:val="15"/>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2"/>
                <w:sz w:val="15"/>
              </w:rPr>
              <w:t>-1,309,497.09</w:t>
            </w:r>
            <w:r>
              <w:rPr>
                <w:rFonts w:ascii="宋体"/>
                <w:sz w:val="15"/>
              </w:rPr>
              <w:t> </w:t>
            </w:r>
          </w:p>
        </w:tc>
      </w:tr>
      <w:tr>
        <w:trPr>
          <w:trHeight w:val="204" w:hRule="exact"/>
        </w:trPr>
        <w:tc>
          <w:tcPr>
            <w:tcW w:w="253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（三）利润分配</w:t>
            </w:r>
            <w:r>
              <w:rPr>
                <w:rFonts w:ascii="宋体" w:hAnsi="宋体" w:cs="宋体" w:eastAsia="宋体" w:hint="default"/>
                <w:sz w:val="15"/>
                <w:szCs w:val="15"/>
              </w:rPr>
              <w:t> </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spacing w:val="-2"/>
                <w:sz w:val="15"/>
              </w:rPr>
              <w:t>14,919,286.01</w:t>
            </w:r>
            <w:r>
              <w:rPr>
                <w:rFonts w:ascii="宋体"/>
                <w:sz w:val="15"/>
              </w:rPr>
              <w:t> </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spacing w:val="-2"/>
                <w:sz w:val="15"/>
              </w:rPr>
              <w:t>-318,669,193.35</w:t>
            </w:r>
            <w:r>
              <w:rPr>
                <w:rFonts w:ascii="宋体"/>
                <w:sz w:val="15"/>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2"/>
                <w:sz w:val="15"/>
              </w:rPr>
              <w:t>-303,749,907.34</w:t>
            </w:r>
            <w:r>
              <w:rPr>
                <w:rFonts w:ascii="宋体"/>
                <w:sz w:val="15"/>
              </w:rPr>
              <w:t> </w:t>
            </w:r>
          </w:p>
        </w:tc>
      </w:tr>
      <w:tr>
        <w:trPr>
          <w:trHeight w:val="206" w:hRule="exact"/>
        </w:trPr>
        <w:tc>
          <w:tcPr>
            <w:tcW w:w="2535"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103" w:right="0"/>
              <w:jc w:val="left"/>
              <w:rPr>
                <w:rFonts w:ascii="宋体" w:hAnsi="宋体" w:cs="宋体" w:eastAsia="宋体" w:hint="default"/>
                <w:sz w:val="15"/>
                <w:szCs w:val="15"/>
              </w:rPr>
            </w:pPr>
            <w:r>
              <w:rPr>
                <w:rFonts w:ascii="宋体" w:hAnsi="宋体" w:cs="宋体" w:eastAsia="宋体" w:hint="default"/>
                <w:sz w:val="15"/>
                <w:szCs w:val="15"/>
              </w:rPr>
              <w:t>1</w:t>
            </w:r>
            <w:r>
              <w:rPr>
                <w:rFonts w:ascii="宋体" w:hAnsi="宋体" w:cs="宋体" w:eastAsia="宋体" w:hint="default"/>
                <w:sz w:val="15"/>
                <w:szCs w:val="15"/>
              </w:rPr>
              <w:t>．提取盈余公积</w:t>
            </w:r>
            <w:r>
              <w:rPr>
                <w:rFonts w:ascii="宋体" w:hAnsi="宋体" w:cs="宋体" w:eastAsia="宋体" w:hint="default"/>
                <w:sz w:val="15"/>
                <w:szCs w:val="15"/>
              </w:rPr>
              <w:t> </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5"/>
              <w:jc w:val="right"/>
              <w:rPr>
                <w:rFonts w:ascii="宋体" w:hAnsi="宋体" w:cs="宋体" w:eastAsia="宋体" w:hint="default"/>
                <w:sz w:val="15"/>
                <w:szCs w:val="15"/>
              </w:rPr>
            </w:pPr>
            <w:r>
              <w:rPr>
                <w:rFonts w:ascii="宋体"/>
                <w:w w:val="100"/>
                <w:sz w:val="15"/>
              </w:rPr>
              <w:t> </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5"/>
              <w:jc w:val="right"/>
              <w:rPr>
                <w:rFonts w:ascii="宋体" w:hAnsi="宋体" w:cs="宋体" w:eastAsia="宋体" w:hint="default"/>
                <w:sz w:val="15"/>
                <w:szCs w:val="15"/>
              </w:rPr>
            </w:pPr>
            <w:r>
              <w:rPr>
                <w:rFonts w:ascii="宋体"/>
                <w:w w:val="100"/>
                <w:sz w:val="15"/>
              </w:rPr>
              <w:t> </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5"/>
              <w:jc w:val="right"/>
              <w:rPr>
                <w:rFonts w:ascii="宋体" w:hAnsi="宋体" w:cs="宋体" w:eastAsia="宋体" w:hint="default"/>
                <w:sz w:val="15"/>
                <w:szCs w:val="15"/>
              </w:rPr>
            </w:pPr>
            <w:r>
              <w:rPr>
                <w:rFonts w:ascii="宋体"/>
                <w:w w:val="100"/>
                <w:sz w:val="15"/>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3"/>
              <w:jc w:val="right"/>
              <w:rPr>
                <w:rFonts w:ascii="宋体" w:hAnsi="宋体" w:cs="宋体" w:eastAsia="宋体" w:hint="default"/>
                <w:sz w:val="15"/>
                <w:szCs w:val="15"/>
              </w:rPr>
            </w:pPr>
            <w:r>
              <w:rPr>
                <w:rFonts w:ascii="宋体"/>
                <w:w w:val="100"/>
                <w:sz w:val="15"/>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5"/>
              <w:jc w:val="right"/>
              <w:rPr>
                <w:rFonts w:ascii="宋体" w:hAnsi="宋体" w:cs="宋体" w:eastAsia="宋体" w:hint="default"/>
                <w:sz w:val="15"/>
                <w:szCs w:val="15"/>
              </w:rPr>
            </w:pPr>
            <w:r>
              <w:rPr>
                <w:rFonts w:ascii="宋体"/>
                <w:w w:val="100"/>
                <w:sz w:val="15"/>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3"/>
              <w:jc w:val="right"/>
              <w:rPr>
                <w:rFonts w:ascii="宋体" w:hAnsi="宋体" w:cs="宋体" w:eastAsia="宋体" w:hint="default"/>
                <w:sz w:val="15"/>
                <w:szCs w:val="15"/>
              </w:rPr>
            </w:pPr>
            <w:r>
              <w:rPr>
                <w:rFonts w:ascii="宋体"/>
                <w:w w:val="100"/>
                <w:sz w:val="15"/>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5"/>
              <w:jc w:val="right"/>
              <w:rPr>
                <w:rFonts w:ascii="宋体" w:hAnsi="宋体" w:cs="宋体" w:eastAsia="宋体" w:hint="default"/>
                <w:sz w:val="15"/>
                <w:szCs w:val="15"/>
              </w:rPr>
            </w:pPr>
            <w:r>
              <w:rPr>
                <w:rFonts w:ascii="宋体"/>
                <w:w w:val="100"/>
                <w:sz w:val="15"/>
              </w:rPr>
              <w:t>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5"/>
              <w:jc w:val="right"/>
              <w:rPr>
                <w:rFonts w:ascii="宋体" w:hAnsi="宋体" w:cs="宋体" w:eastAsia="宋体" w:hint="default"/>
                <w:sz w:val="15"/>
                <w:szCs w:val="15"/>
              </w:rPr>
            </w:pPr>
            <w:r>
              <w:rPr>
                <w:rFonts w:ascii="宋体"/>
                <w:w w:val="100"/>
                <w:sz w:val="15"/>
              </w:rPr>
              <w:t> </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5"/>
              <w:jc w:val="right"/>
              <w:rPr>
                <w:rFonts w:ascii="宋体" w:hAnsi="宋体" w:cs="宋体" w:eastAsia="宋体" w:hint="default"/>
                <w:sz w:val="15"/>
                <w:szCs w:val="15"/>
              </w:rPr>
            </w:pPr>
            <w:r>
              <w:rPr>
                <w:rFonts w:ascii="宋体"/>
                <w:spacing w:val="-2"/>
                <w:sz w:val="15"/>
              </w:rPr>
              <w:t>14,919,286.01</w:t>
            </w:r>
            <w:r>
              <w:rPr>
                <w:rFonts w:ascii="宋体"/>
                <w:sz w:val="15"/>
              </w:rPr>
              <w:t> </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5"/>
              <w:jc w:val="right"/>
              <w:rPr>
                <w:rFonts w:ascii="宋体" w:hAnsi="宋体" w:cs="宋体" w:eastAsia="宋体" w:hint="default"/>
                <w:sz w:val="15"/>
                <w:szCs w:val="15"/>
              </w:rPr>
            </w:pPr>
            <w:r>
              <w:rPr>
                <w:rFonts w:ascii="宋体"/>
                <w:spacing w:val="-2"/>
                <w:sz w:val="15"/>
              </w:rPr>
              <w:t>-14,919,286.01</w:t>
            </w:r>
            <w:r>
              <w:rPr>
                <w:rFonts w:ascii="宋体"/>
                <w:sz w:val="15"/>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3"/>
              <w:jc w:val="right"/>
              <w:rPr>
                <w:rFonts w:ascii="宋体" w:hAnsi="宋体" w:cs="宋体" w:eastAsia="宋体" w:hint="default"/>
                <w:sz w:val="15"/>
                <w:szCs w:val="15"/>
              </w:rPr>
            </w:pPr>
            <w:r>
              <w:rPr>
                <w:rFonts w:ascii="宋体"/>
                <w:w w:val="100"/>
                <w:sz w:val="15"/>
              </w:rPr>
              <w:t> </w:t>
            </w:r>
          </w:p>
        </w:tc>
      </w:tr>
      <w:tr>
        <w:trPr>
          <w:trHeight w:val="204" w:hRule="exact"/>
        </w:trPr>
        <w:tc>
          <w:tcPr>
            <w:tcW w:w="253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2</w:t>
            </w:r>
            <w:r>
              <w:rPr>
                <w:rFonts w:ascii="宋体" w:hAnsi="宋体" w:cs="宋体" w:eastAsia="宋体" w:hint="default"/>
                <w:sz w:val="15"/>
                <w:szCs w:val="15"/>
              </w:rPr>
              <w:t>．对所有者（或股东）的分配</w:t>
            </w:r>
            <w:r>
              <w:rPr>
                <w:rFonts w:ascii="宋体" w:hAnsi="宋体" w:cs="宋体" w:eastAsia="宋体" w:hint="default"/>
                <w:sz w:val="15"/>
                <w:szCs w:val="15"/>
              </w:rPr>
              <w:t> </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spacing w:val="-2"/>
                <w:sz w:val="15"/>
              </w:rPr>
              <w:t>-303,749,907.34</w:t>
            </w:r>
            <w:r>
              <w:rPr>
                <w:rFonts w:ascii="宋体"/>
                <w:sz w:val="15"/>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2"/>
                <w:sz w:val="15"/>
              </w:rPr>
              <w:t>-303,749,907.34</w:t>
            </w:r>
            <w:r>
              <w:rPr>
                <w:rFonts w:ascii="宋体"/>
                <w:sz w:val="15"/>
              </w:rPr>
              <w:t> </w:t>
            </w:r>
          </w:p>
        </w:tc>
      </w:tr>
      <w:tr>
        <w:trPr>
          <w:trHeight w:val="204" w:hRule="exact"/>
        </w:trPr>
        <w:tc>
          <w:tcPr>
            <w:tcW w:w="253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3</w:t>
            </w:r>
            <w:r>
              <w:rPr>
                <w:rFonts w:ascii="宋体" w:hAnsi="宋体" w:cs="宋体" w:eastAsia="宋体" w:hint="default"/>
                <w:sz w:val="15"/>
                <w:szCs w:val="15"/>
              </w:rPr>
              <w:t>．其他</w:t>
            </w:r>
            <w:r>
              <w:rPr>
                <w:rFonts w:ascii="宋体" w:hAnsi="宋体" w:cs="宋体" w:eastAsia="宋体" w:hint="default"/>
                <w:sz w:val="15"/>
                <w:szCs w:val="15"/>
              </w:rPr>
              <w:t> </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r>
      <w:tr>
        <w:trPr>
          <w:trHeight w:val="204" w:hRule="exact"/>
        </w:trPr>
        <w:tc>
          <w:tcPr>
            <w:tcW w:w="2535"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left="103" w:right="0"/>
              <w:jc w:val="left"/>
              <w:rPr>
                <w:rFonts w:ascii="宋体" w:hAnsi="宋体" w:cs="宋体" w:eastAsia="宋体" w:hint="default"/>
                <w:sz w:val="15"/>
                <w:szCs w:val="15"/>
              </w:rPr>
            </w:pPr>
            <w:r>
              <w:rPr>
                <w:rFonts w:ascii="宋体" w:hAnsi="宋体" w:cs="宋体" w:eastAsia="宋体" w:hint="default"/>
                <w:sz w:val="15"/>
                <w:szCs w:val="15"/>
              </w:rPr>
              <w:t>（四）所有者权益内部结转</w:t>
            </w:r>
            <w:r>
              <w:rPr>
                <w:rFonts w:ascii="宋体" w:hAnsi="宋体" w:cs="宋体" w:eastAsia="宋体" w:hint="default"/>
                <w:sz w:val="15"/>
                <w:szCs w:val="15"/>
              </w:rPr>
              <w:t> </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right="25"/>
              <w:jc w:val="right"/>
              <w:rPr>
                <w:rFonts w:ascii="宋体" w:hAnsi="宋体" w:cs="宋体" w:eastAsia="宋体" w:hint="default"/>
                <w:sz w:val="15"/>
                <w:szCs w:val="15"/>
              </w:rPr>
            </w:pPr>
            <w:r>
              <w:rPr>
                <w:rFonts w:ascii="宋体"/>
                <w:w w:val="100"/>
                <w:sz w:val="15"/>
              </w:rPr>
              <w:t> </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right="25"/>
              <w:jc w:val="right"/>
              <w:rPr>
                <w:rFonts w:ascii="宋体" w:hAnsi="宋体" w:cs="宋体" w:eastAsia="宋体" w:hint="default"/>
                <w:sz w:val="15"/>
                <w:szCs w:val="15"/>
              </w:rPr>
            </w:pPr>
            <w:r>
              <w:rPr>
                <w:rFonts w:ascii="宋体"/>
                <w:w w:val="100"/>
                <w:sz w:val="15"/>
              </w:rPr>
              <w:t> </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right="25"/>
              <w:jc w:val="right"/>
              <w:rPr>
                <w:rFonts w:ascii="宋体" w:hAnsi="宋体" w:cs="宋体" w:eastAsia="宋体" w:hint="default"/>
                <w:sz w:val="15"/>
                <w:szCs w:val="15"/>
              </w:rPr>
            </w:pPr>
            <w:r>
              <w:rPr>
                <w:rFonts w:ascii="宋体"/>
                <w:w w:val="100"/>
                <w:sz w:val="15"/>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right="23"/>
              <w:jc w:val="right"/>
              <w:rPr>
                <w:rFonts w:ascii="宋体" w:hAnsi="宋体" w:cs="宋体" w:eastAsia="宋体" w:hint="default"/>
                <w:sz w:val="15"/>
                <w:szCs w:val="15"/>
              </w:rPr>
            </w:pPr>
            <w:r>
              <w:rPr>
                <w:rFonts w:ascii="宋体"/>
                <w:w w:val="100"/>
                <w:sz w:val="15"/>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right="25"/>
              <w:jc w:val="right"/>
              <w:rPr>
                <w:rFonts w:ascii="宋体" w:hAnsi="宋体" w:cs="宋体" w:eastAsia="宋体" w:hint="default"/>
                <w:sz w:val="15"/>
                <w:szCs w:val="15"/>
              </w:rPr>
            </w:pPr>
            <w:r>
              <w:rPr>
                <w:rFonts w:ascii="宋体"/>
                <w:w w:val="100"/>
                <w:sz w:val="15"/>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right="23"/>
              <w:jc w:val="right"/>
              <w:rPr>
                <w:rFonts w:ascii="宋体" w:hAnsi="宋体" w:cs="宋体" w:eastAsia="宋体" w:hint="default"/>
                <w:sz w:val="15"/>
                <w:szCs w:val="15"/>
              </w:rPr>
            </w:pPr>
            <w:r>
              <w:rPr>
                <w:rFonts w:ascii="宋体"/>
                <w:w w:val="100"/>
                <w:sz w:val="15"/>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right="25"/>
              <w:jc w:val="right"/>
              <w:rPr>
                <w:rFonts w:ascii="宋体" w:hAnsi="宋体" w:cs="宋体" w:eastAsia="宋体" w:hint="default"/>
                <w:sz w:val="15"/>
                <w:szCs w:val="15"/>
              </w:rPr>
            </w:pPr>
            <w:r>
              <w:rPr>
                <w:rFonts w:ascii="宋体"/>
                <w:w w:val="100"/>
                <w:sz w:val="15"/>
              </w:rPr>
              <w:t>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right="25"/>
              <w:jc w:val="right"/>
              <w:rPr>
                <w:rFonts w:ascii="宋体" w:hAnsi="宋体" w:cs="宋体" w:eastAsia="宋体" w:hint="default"/>
                <w:sz w:val="15"/>
                <w:szCs w:val="15"/>
              </w:rPr>
            </w:pPr>
            <w:r>
              <w:rPr>
                <w:rFonts w:ascii="宋体"/>
                <w:w w:val="100"/>
                <w:sz w:val="15"/>
              </w:rPr>
              <w:t> </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right="25"/>
              <w:jc w:val="right"/>
              <w:rPr>
                <w:rFonts w:ascii="宋体" w:hAnsi="宋体" w:cs="宋体" w:eastAsia="宋体" w:hint="default"/>
                <w:sz w:val="15"/>
                <w:szCs w:val="15"/>
              </w:rPr>
            </w:pPr>
            <w:r>
              <w:rPr>
                <w:rFonts w:ascii="宋体"/>
                <w:w w:val="100"/>
                <w:sz w:val="15"/>
              </w:rPr>
              <w:t> </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right="25"/>
              <w:jc w:val="right"/>
              <w:rPr>
                <w:rFonts w:ascii="宋体" w:hAnsi="宋体" w:cs="宋体" w:eastAsia="宋体" w:hint="default"/>
                <w:sz w:val="15"/>
                <w:szCs w:val="15"/>
              </w:rPr>
            </w:pPr>
            <w:r>
              <w:rPr>
                <w:rFonts w:ascii="宋体"/>
                <w:w w:val="100"/>
                <w:sz w:val="15"/>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right="23"/>
              <w:jc w:val="right"/>
              <w:rPr>
                <w:rFonts w:ascii="宋体" w:hAnsi="宋体" w:cs="宋体" w:eastAsia="宋体" w:hint="default"/>
                <w:sz w:val="15"/>
                <w:szCs w:val="15"/>
              </w:rPr>
            </w:pPr>
            <w:r>
              <w:rPr>
                <w:rFonts w:ascii="宋体"/>
                <w:w w:val="100"/>
                <w:sz w:val="15"/>
              </w:rPr>
              <w:t> </w:t>
            </w:r>
          </w:p>
        </w:tc>
      </w:tr>
      <w:tr>
        <w:trPr>
          <w:trHeight w:val="204" w:hRule="exact"/>
        </w:trPr>
        <w:tc>
          <w:tcPr>
            <w:tcW w:w="253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1</w:t>
            </w:r>
            <w:r>
              <w:rPr>
                <w:rFonts w:ascii="宋体" w:hAnsi="宋体" w:cs="宋体" w:eastAsia="宋体" w:hint="default"/>
                <w:sz w:val="15"/>
                <w:szCs w:val="15"/>
              </w:rPr>
              <w:t>．资本公积转增资本（或股本）</w:t>
            </w:r>
            <w:r>
              <w:rPr>
                <w:rFonts w:ascii="宋体" w:hAnsi="宋体" w:cs="宋体" w:eastAsia="宋体" w:hint="default"/>
                <w:sz w:val="15"/>
                <w:szCs w:val="15"/>
              </w:rPr>
              <w:t> </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r>
      <w:tr>
        <w:trPr>
          <w:trHeight w:val="206" w:hRule="exact"/>
        </w:trPr>
        <w:tc>
          <w:tcPr>
            <w:tcW w:w="2535"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103" w:right="0"/>
              <w:jc w:val="left"/>
              <w:rPr>
                <w:rFonts w:ascii="宋体" w:hAnsi="宋体" w:cs="宋体" w:eastAsia="宋体" w:hint="default"/>
                <w:sz w:val="15"/>
                <w:szCs w:val="15"/>
              </w:rPr>
            </w:pPr>
            <w:r>
              <w:rPr>
                <w:rFonts w:ascii="宋体" w:hAnsi="宋体" w:cs="宋体" w:eastAsia="宋体" w:hint="default"/>
                <w:sz w:val="15"/>
                <w:szCs w:val="15"/>
              </w:rPr>
              <w:t>2</w:t>
            </w:r>
            <w:r>
              <w:rPr>
                <w:rFonts w:ascii="宋体" w:hAnsi="宋体" w:cs="宋体" w:eastAsia="宋体" w:hint="default"/>
                <w:sz w:val="15"/>
                <w:szCs w:val="15"/>
              </w:rPr>
              <w:t>．盈余公积转增资本（或股本）</w:t>
            </w:r>
            <w:r>
              <w:rPr>
                <w:rFonts w:ascii="宋体" w:hAnsi="宋体" w:cs="宋体" w:eastAsia="宋体" w:hint="default"/>
                <w:sz w:val="15"/>
                <w:szCs w:val="15"/>
              </w:rPr>
              <w:t> </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5"/>
              <w:jc w:val="right"/>
              <w:rPr>
                <w:rFonts w:ascii="宋体" w:hAnsi="宋体" w:cs="宋体" w:eastAsia="宋体" w:hint="default"/>
                <w:sz w:val="15"/>
                <w:szCs w:val="15"/>
              </w:rPr>
            </w:pPr>
            <w:r>
              <w:rPr>
                <w:rFonts w:ascii="宋体"/>
                <w:w w:val="100"/>
                <w:sz w:val="15"/>
              </w:rPr>
              <w:t> </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5"/>
              <w:jc w:val="right"/>
              <w:rPr>
                <w:rFonts w:ascii="宋体" w:hAnsi="宋体" w:cs="宋体" w:eastAsia="宋体" w:hint="default"/>
                <w:sz w:val="15"/>
                <w:szCs w:val="15"/>
              </w:rPr>
            </w:pPr>
            <w:r>
              <w:rPr>
                <w:rFonts w:ascii="宋体"/>
                <w:w w:val="100"/>
                <w:sz w:val="15"/>
              </w:rPr>
              <w:t> </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5"/>
              <w:jc w:val="right"/>
              <w:rPr>
                <w:rFonts w:ascii="宋体" w:hAnsi="宋体" w:cs="宋体" w:eastAsia="宋体" w:hint="default"/>
                <w:sz w:val="15"/>
                <w:szCs w:val="15"/>
              </w:rPr>
            </w:pPr>
            <w:r>
              <w:rPr>
                <w:rFonts w:ascii="宋体"/>
                <w:w w:val="100"/>
                <w:sz w:val="15"/>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3"/>
              <w:jc w:val="right"/>
              <w:rPr>
                <w:rFonts w:ascii="宋体" w:hAnsi="宋体" w:cs="宋体" w:eastAsia="宋体" w:hint="default"/>
                <w:sz w:val="15"/>
                <w:szCs w:val="15"/>
              </w:rPr>
            </w:pPr>
            <w:r>
              <w:rPr>
                <w:rFonts w:ascii="宋体"/>
                <w:w w:val="100"/>
                <w:sz w:val="15"/>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5"/>
              <w:jc w:val="right"/>
              <w:rPr>
                <w:rFonts w:ascii="宋体" w:hAnsi="宋体" w:cs="宋体" w:eastAsia="宋体" w:hint="default"/>
                <w:sz w:val="15"/>
                <w:szCs w:val="15"/>
              </w:rPr>
            </w:pPr>
            <w:r>
              <w:rPr>
                <w:rFonts w:ascii="宋体"/>
                <w:w w:val="100"/>
                <w:sz w:val="15"/>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3"/>
              <w:jc w:val="right"/>
              <w:rPr>
                <w:rFonts w:ascii="宋体" w:hAnsi="宋体" w:cs="宋体" w:eastAsia="宋体" w:hint="default"/>
                <w:sz w:val="15"/>
                <w:szCs w:val="15"/>
              </w:rPr>
            </w:pPr>
            <w:r>
              <w:rPr>
                <w:rFonts w:ascii="宋体"/>
                <w:w w:val="100"/>
                <w:sz w:val="15"/>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5"/>
              <w:jc w:val="right"/>
              <w:rPr>
                <w:rFonts w:ascii="宋体" w:hAnsi="宋体" w:cs="宋体" w:eastAsia="宋体" w:hint="default"/>
                <w:sz w:val="15"/>
                <w:szCs w:val="15"/>
              </w:rPr>
            </w:pPr>
            <w:r>
              <w:rPr>
                <w:rFonts w:ascii="宋体"/>
                <w:w w:val="100"/>
                <w:sz w:val="15"/>
              </w:rPr>
              <w:t>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5"/>
              <w:jc w:val="right"/>
              <w:rPr>
                <w:rFonts w:ascii="宋体" w:hAnsi="宋体" w:cs="宋体" w:eastAsia="宋体" w:hint="default"/>
                <w:sz w:val="15"/>
                <w:szCs w:val="15"/>
              </w:rPr>
            </w:pPr>
            <w:r>
              <w:rPr>
                <w:rFonts w:ascii="宋体"/>
                <w:w w:val="100"/>
                <w:sz w:val="15"/>
              </w:rPr>
              <w:t> </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5"/>
              <w:jc w:val="right"/>
              <w:rPr>
                <w:rFonts w:ascii="宋体" w:hAnsi="宋体" w:cs="宋体" w:eastAsia="宋体" w:hint="default"/>
                <w:sz w:val="15"/>
                <w:szCs w:val="15"/>
              </w:rPr>
            </w:pPr>
            <w:r>
              <w:rPr>
                <w:rFonts w:ascii="宋体"/>
                <w:w w:val="100"/>
                <w:sz w:val="15"/>
              </w:rPr>
              <w:t> </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5"/>
              <w:jc w:val="right"/>
              <w:rPr>
                <w:rFonts w:ascii="宋体" w:hAnsi="宋体" w:cs="宋体" w:eastAsia="宋体" w:hint="default"/>
                <w:sz w:val="15"/>
                <w:szCs w:val="15"/>
              </w:rPr>
            </w:pPr>
            <w:r>
              <w:rPr>
                <w:rFonts w:ascii="宋体"/>
                <w:w w:val="100"/>
                <w:sz w:val="15"/>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3"/>
              <w:jc w:val="right"/>
              <w:rPr>
                <w:rFonts w:ascii="宋体" w:hAnsi="宋体" w:cs="宋体" w:eastAsia="宋体" w:hint="default"/>
                <w:sz w:val="15"/>
                <w:szCs w:val="15"/>
              </w:rPr>
            </w:pPr>
            <w:r>
              <w:rPr>
                <w:rFonts w:ascii="宋体"/>
                <w:w w:val="100"/>
                <w:sz w:val="15"/>
              </w:rPr>
              <w:t> </w:t>
            </w:r>
          </w:p>
        </w:tc>
      </w:tr>
      <w:tr>
        <w:trPr>
          <w:trHeight w:val="204" w:hRule="exact"/>
        </w:trPr>
        <w:tc>
          <w:tcPr>
            <w:tcW w:w="253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3</w:t>
            </w:r>
            <w:r>
              <w:rPr>
                <w:rFonts w:ascii="宋体" w:hAnsi="宋体" w:cs="宋体" w:eastAsia="宋体" w:hint="default"/>
                <w:sz w:val="15"/>
                <w:szCs w:val="15"/>
              </w:rPr>
              <w:t>．盈余公积弥补亏损</w:t>
            </w:r>
            <w:r>
              <w:rPr>
                <w:rFonts w:ascii="宋体" w:hAnsi="宋体" w:cs="宋体" w:eastAsia="宋体" w:hint="default"/>
                <w:sz w:val="15"/>
                <w:szCs w:val="15"/>
              </w:rPr>
              <w:t> </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r>
      <w:tr>
        <w:trPr>
          <w:trHeight w:val="398" w:hRule="exact"/>
        </w:trPr>
        <w:tc>
          <w:tcPr>
            <w:tcW w:w="2535"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z w:val="15"/>
                <w:szCs w:val="15"/>
              </w:rPr>
              <w:t>4</w:t>
            </w:r>
            <w:r>
              <w:rPr>
                <w:rFonts w:ascii="宋体" w:hAnsi="宋体" w:cs="宋体" w:eastAsia="宋体" w:hint="default"/>
                <w:sz w:val="15"/>
                <w:szCs w:val="15"/>
              </w:rPr>
              <w:t>．设定受益计划变动额结转留存收</w:t>
            </w:r>
          </w:p>
          <w:p>
            <w:pPr>
              <w:pStyle w:val="TableParagraph"/>
              <w:spacing w:line="195" w:lineRule="exact"/>
              <w:ind w:left="103" w:right="0"/>
              <w:jc w:val="left"/>
              <w:rPr>
                <w:rFonts w:ascii="宋体" w:hAnsi="宋体" w:cs="宋体" w:eastAsia="宋体" w:hint="default"/>
                <w:sz w:val="15"/>
                <w:szCs w:val="15"/>
              </w:rPr>
            </w:pPr>
            <w:r>
              <w:rPr>
                <w:rFonts w:ascii="宋体" w:hAnsi="宋体" w:cs="宋体" w:eastAsia="宋体" w:hint="default"/>
                <w:sz w:val="15"/>
                <w:szCs w:val="15"/>
              </w:rPr>
              <w:t>益</w:t>
            </w:r>
            <w:r>
              <w:rPr>
                <w:rFonts w:ascii="宋体" w:hAnsi="宋体" w:cs="宋体" w:eastAsia="宋体" w:hint="default"/>
                <w:sz w:val="15"/>
                <w:szCs w:val="15"/>
              </w:rPr>
              <w:t> </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5"/>
              <w:jc w:val="right"/>
              <w:rPr>
                <w:rFonts w:ascii="宋体" w:hAnsi="宋体" w:cs="宋体" w:eastAsia="宋体" w:hint="default"/>
                <w:sz w:val="15"/>
                <w:szCs w:val="15"/>
              </w:rPr>
            </w:pPr>
            <w:r>
              <w:rPr>
                <w:rFonts w:ascii="宋体"/>
                <w:w w:val="100"/>
                <w:sz w:val="15"/>
              </w:rPr>
              <w:t> </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5"/>
              <w:jc w:val="right"/>
              <w:rPr>
                <w:rFonts w:ascii="宋体" w:hAnsi="宋体" w:cs="宋体" w:eastAsia="宋体" w:hint="default"/>
                <w:sz w:val="15"/>
                <w:szCs w:val="15"/>
              </w:rPr>
            </w:pPr>
            <w:r>
              <w:rPr>
                <w:rFonts w:ascii="宋体"/>
                <w:w w:val="100"/>
                <w:sz w:val="15"/>
              </w:rPr>
              <w:t> </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5"/>
              <w:jc w:val="right"/>
              <w:rPr>
                <w:rFonts w:ascii="宋体" w:hAnsi="宋体" w:cs="宋体" w:eastAsia="宋体" w:hint="default"/>
                <w:sz w:val="15"/>
                <w:szCs w:val="15"/>
              </w:rPr>
            </w:pPr>
            <w:r>
              <w:rPr>
                <w:rFonts w:ascii="宋体"/>
                <w:w w:val="100"/>
                <w:sz w:val="15"/>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3"/>
              <w:jc w:val="right"/>
              <w:rPr>
                <w:rFonts w:ascii="宋体" w:hAnsi="宋体" w:cs="宋体" w:eastAsia="宋体" w:hint="default"/>
                <w:sz w:val="15"/>
                <w:szCs w:val="15"/>
              </w:rPr>
            </w:pPr>
            <w:r>
              <w:rPr>
                <w:rFonts w:ascii="宋体"/>
                <w:w w:val="100"/>
                <w:sz w:val="15"/>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5"/>
              <w:jc w:val="right"/>
              <w:rPr>
                <w:rFonts w:ascii="宋体" w:hAnsi="宋体" w:cs="宋体" w:eastAsia="宋体" w:hint="default"/>
                <w:sz w:val="15"/>
                <w:szCs w:val="15"/>
              </w:rPr>
            </w:pPr>
            <w:r>
              <w:rPr>
                <w:rFonts w:ascii="宋体"/>
                <w:w w:val="100"/>
                <w:sz w:val="15"/>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3"/>
              <w:jc w:val="right"/>
              <w:rPr>
                <w:rFonts w:ascii="宋体" w:hAnsi="宋体" w:cs="宋体" w:eastAsia="宋体" w:hint="default"/>
                <w:sz w:val="15"/>
                <w:szCs w:val="15"/>
              </w:rPr>
            </w:pPr>
            <w:r>
              <w:rPr>
                <w:rFonts w:ascii="宋体"/>
                <w:w w:val="100"/>
                <w:sz w:val="15"/>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5"/>
              <w:jc w:val="right"/>
              <w:rPr>
                <w:rFonts w:ascii="宋体" w:hAnsi="宋体" w:cs="宋体" w:eastAsia="宋体" w:hint="default"/>
                <w:sz w:val="15"/>
                <w:szCs w:val="15"/>
              </w:rPr>
            </w:pPr>
            <w:r>
              <w:rPr>
                <w:rFonts w:ascii="宋体"/>
                <w:w w:val="100"/>
                <w:sz w:val="15"/>
              </w:rPr>
              <w:t>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5"/>
              <w:jc w:val="right"/>
              <w:rPr>
                <w:rFonts w:ascii="宋体" w:hAnsi="宋体" w:cs="宋体" w:eastAsia="宋体" w:hint="default"/>
                <w:sz w:val="15"/>
                <w:szCs w:val="15"/>
              </w:rPr>
            </w:pPr>
            <w:r>
              <w:rPr>
                <w:rFonts w:ascii="宋体"/>
                <w:w w:val="100"/>
                <w:sz w:val="15"/>
              </w:rPr>
              <w:t> </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5"/>
              <w:jc w:val="right"/>
              <w:rPr>
                <w:rFonts w:ascii="宋体" w:hAnsi="宋体" w:cs="宋体" w:eastAsia="宋体" w:hint="default"/>
                <w:sz w:val="15"/>
                <w:szCs w:val="15"/>
              </w:rPr>
            </w:pPr>
            <w:r>
              <w:rPr>
                <w:rFonts w:ascii="宋体"/>
                <w:w w:val="100"/>
                <w:sz w:val="15"/>
              </w:rPr>
              <w:t> </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5"/>
              <w:jc w:val="right"/>
              <w:rPr>
                <w:rFonts w:ascii="宋体" w:hAnsi="宋体" w:cs="宋体" w:eastAsia="宋体" w:hint="default"/>
                <w:sz w:val="15"/>
                <w:szCs w:val="15"/>
              </w:rPr>
            </w:pPr>
            <w:r>
              <w:rPr>
                <w:rFonts w:ascii="宋体"/>
                <w:w w:val="100"/>
                <w:sz w:val="15"/>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3"/>
              <w:jc w:val="right"/>
              <w:rPr>
                <w:rFonts w:ascii="宋体" w:hAnsi="宋体" w:cs="宋体" w:eastAsia="宋体" w:hint="default"/>
                <w:sz w:val="15"/>
                <w:szCs w:val="15"/>
              </w:rPr>
            </w:pPr>
            <w:r>
              <w:rPr>
                <w:rFonts w:ascii="宋体"/>
                <w:w w:val="100"/>
                <w:sz w:val="15"/>
              </w:rPr>
              <w:t> </w:t>
            </w:r>
          </w:p>
        </w:tc>
      </w:tr>
      <w:tr>
        <w:trPr>
          <w:trHeight w:val="204" w:hRule="exact"/>
        </w:trPr>
        <w:tc>
          <w:tcPr>
            <w:tcW w:w="253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5</w:t>
            </w:r>
            <w:r>
              <w:rPr>
                <w:rFonts w:ascii="宋体" w:hAnsi="宋体" w:cs="宋体" w:eastAsia="宋体" w:hint="default"/>
                <w:sz w:val="15"/>
                <w:szCs w:val="15"/>
              </w:rPr>
              <w:t>．其他综合收益结转留存收益</w:t>
            </w:r>
            <w:r>
              <w:rPr>
                <w:rFonts w:ascii="宋体" w:hAnsi="宋体" w:cs="宋体" w:eastAsia="宋体" w:hint="default"/>
                <w:sz w:val="15"/>
                <w:szCs w:val="15"/>
              </w:rPr>
              <w:t> </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r>
      <w:tr>
        <w:trPr>
          <w:trHeight w:val="206" w:hRule="exact"/>
        </w:trPr>
        <w:tc>
          <w:tcPr>
            <w:tcW w:w="2535"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103" w:right="0"/>
              <w:jc w:val="left"/>
              <w:rPr>
                <w:rFonts w:ascii="宋体" w:hAnsi="宋体" w:cs="宋体" w:eastAsia="宋体" w:hint="default"/>
                <w:sz w:val="15"/>
                <w:szCs w:val="15"/>
              </w:rPr>
            </w:pPr>
            <w:r>
              <w:rPr>
                <w:rFonts w:ascii="宋体" w:hAnsi="宋体" w:cs="宋体" w:eastAsia="宋体" w:hint="default"/>
                <w:sz w:val="15"/>
                <w:szCs w:val="15"/>
              </w:rPr>
              <w:t>6</w:t>
            </w:r>
            <w:r>
              <w:rPr>
                <w:rFonts w:ascii="宋体" w:hAnsi="宋体" w:cs="宋体" w:eastAsia="宋体" w:hint="default"/>
                <w:sz w:val="15"/>
                <w:szCs w:val="15"/>
              </w:rPr>
              <w:t>．其他</w:t>
            </w:r>
            <w:r>
              <w:rPr>
                <w:rFonts w:ascii="宋体" w:hAnsi="宋体" w:cs="宋体" w:eastAsia="宋体" w:hint="default"/>
                <w:sz w:val="15"/>
                <w:szCs w:val="15"/>
              </w:rPr>
              <w:t> </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5"/>
              <w:jc w:val="right"/>
              <w:rPr>
                <w:rFonts w:ascii="宋体" w:hAnsi="宋体" w:cs="宋体" w:eastAsia="宋体" w:hint="default"/>
                <w:sz w:val="15"/>
                <w:szCs w:val="15"/>
              </w:rPr>
            </w:pPr>
            <w:r>
              <w:rPr>
                <w:rFonts w:ascii="宋体"/>
                <w:w w:val="100"/>
                <w:sz w:val="15"/>
              </w:rPr>
              <w:t> </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5"/>
              <w:jc w:val="right"/>
              <w:rPr>
                <w:rFonts w:ascii="宋体" w:hAnsi="宋体" w:cs="宋体" w:eastAsia="宋体" w:hint="default"/>
                <w:sz w:val="15"/>
                <w:szCs w:val="15"/>
              </w:rPr>
            </w:pPr>
            <w:r>
              <w:rPr>
                <w:rFonts w:ascii="宋体"/>
                <w:w w:val="100"/>
                <w:sz w:val="15"/>
              </w:rPr>
              <w:t> </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5"/>
              <w:jc w:val="right"/>
              <w:rPr>
                <w:rFonts w:ascii="宋体" w:hAnsi="宋体" w:cs="宋体" w:eastAsia="宋体" w:hint="default"/>
                <w:sz w:val="15"/>
                <w:szCs w:val="15"/>
              </w:rPr>
            </w:pPr>
            <w:r>
              <w:rPr>
                <w:rFonts w:ascii="宋体"/>
                <w:w w:val="100"/>
                <w:sz w:val="15"/>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3"/>
              <w:jc w:val="right"/>
              <w:rPr>
                <w:rFonts w:ascii="宋体" w:hAnsi="宋体" w:cs="宋体" w:eastAsia="宋体" w:hint="default"/>
                <w:sz w:val="15"/>
                <w:szCs w:val="15"/>
              </w:rPr>
            </w:pPr>
            <w:r>
              <w:rPr>
                <w:rFonts w:ascii="宋体"/>
                <w:w w:val="100"/>
                <w:sz w:val="15"/>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5"/>
              <w:jc w:val="right"/>
              <w:rPr>
                <w:rFonts w:ascii="宋体" w:hAnsi="宋体" w:cs="宋体" w:eastAsia="宋体" w:hint="default"/>
                <w:sz w:val="15"/>
                <w:szCs w:val="15"/>
              </w:rPr>
            </w:pPr>
            <w:r>
              <w:rPr>
                <w:rFonts w:ascii="宋体"/>
                <w:w w:val="100"/>
                <w:sz w:val="15"/>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3"/>
              <w:jc w:val="right"/>
              <w:rPr>
                <w:rFonts w:ascii="宋体" w:hAnsi="宋体" w:cs="宋体" w:eastAsia="宋体" w:hint="default"/>
                <w:sz w:val="15"/>
                <w:szCs w:val="15"/>
              </w:rPr>
            </w:pPr>
            <w:r>
              <w:rPr>
                <w:rFonts w:ascii="宋体"/>
                <w:w w:val="100"/>
                <w:sz w:val="15"/>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5"/>
              <w:jc w:val="right"/>
              <w:rPr>
                <w:rFonts w:ascii="宋体" w:hAnsi="宋体" w:cs="宋体" w:eastAsia="宋体" w:hint="default"/>
                <w:sz w:val="15"/>
                <w:szCs w:val="15"/>
              </w:rPr>
            </w:pPr>
            <w:r>
              <w:rPr>
                <w:rFonts w:ascii="宋体"/>
                <w:w w:val="100"/>
                <w:sz w:val="15"/>
              </w:rPr>
              <w:t>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5"/>
              <w:jc w:val="right"/>
              <w:rPr>
                <w:rFonts w:ascii="宋体" w:hAnsi="宋体" w:cs="宋体" w:eastAsia="宋体" w:hint="default"/>
                <w:sz w:val="15"/>
                <w:szCs w:val="15"/>
              </w:rPr>
            </w:pPr>
            <w:r>
              <w:rPr>
                <w:rFonts w:ascii="宋体"/>
                <w:w w:val="100"/>
                <w:sz w:val="15"/>
              </w:rPr>
              <w:t> </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5"/>
              <w:jc w:val="right"/>
              <w:rPr>
                <w:rFonts w:ascii="宋体" w:hAnsi="宋体" w:cs="宋体" w:eastAsia="宋体" w:hint="default"/>
                <w:sz w:val="15"/>
                <w:szCs w:val="15"/>
              </w:rPr>
            </w:pPr>
            <w:r>
              <w:rPr>
                <w:rFonts w:ascii="宋体"/>
                <w:w w:val="100"/>
                <w:sz w:val="15"/>
              </w:rPr>
              <w:t> </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5"/>
              <w:jc w:val="right"/>
              <w:rPr>
                <w:rFonts w:ascii="宋体" w:hAnsi="宋体" w:cs="宋体" w:eastAsia="宋体" w:hint="default"/>
                <w:sz w:val="15"/>
                <w:szCs w:val="15"/>
              </w:rPr>
            </w:pPr>
            <w:r>
              <w:rPr>
                <w:rFonts w:ascii="宋体"/>
                <w:w w:val="100"/>
                <w:sz w:val="15"/>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3"/>
              <w:jc w:val="right"/>
              <w:rPr>
                <w:rFonts w:ascii="宋体" w:hAnsi="宋体" w:cs="宋体" w:eastAsia="宋体" w:hint="default"/>
                <w:sz w:val="15"/>
                <w:szCs w:val="15"/>
              </w:rPr>
            </w:pPr>
            <w:r>
              <w:rPr>
                <w:rFonts w:ascii="宋体"/>
                <w:w w:val="100"/>
                <w:sz w:val="15"/>
              </w:rPr>
              <w:t> </w:t>
            </w:r>
          </w:p>
        </w:tc>
      </w:tr>
      <w:tr>
        <w:trPr>
          <w:trHeight w:val="204" w:hRule="exact"/>
        </w:trPr>
        <w:tc>
          <w:tcPr>
            <w:tcW w:w="253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（五）专项储备</w:t>
            </w:r>
            <w:r>
              <w:rPr>
                <w:rFonts w:ascii="宋体" w:hAnsi="宋体" w:cs="宋体" w:eastAsia="宋体" w:hint="default"/>
                <w:sz w:val="15"/>
                <w:szCs w:val="15"/>
              </w:rPr>
              <w:t> </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r>
      <w:tr>
        <w:trPr>
          <w:trHeight w:val="204" w:hRule="exact"/>
        </w:trPr>
        <w:tc>
          <w:tcPr>
            <w:tcW w:w="253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1</w:t>
            </w:r>
            <w:r>
              <w:rPr>
                <w:rFonts w:ascii="宋体" w:hAnsi="宋体" w:cs="宋体" w:eastAsia="宋体" w:hint="default"/>
                <w:sz w:val="15"/>
                <w:szCs w:val="15"/>
              </w:rPr>
              <w:t>．本期提取</w:t>
            </w:r>
            <w:r>
              <w:rPr>
                <w:rFonts w:ascii="宋体" w:hAnsi="宋体" w:cs="宋体" w:eastAsia="宋体" w:hint="default"/>
                <w:sz w:val="15"/>
                <w:szCs w:val="15"/>
              </w:rPr>
              <w:t> </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r>
      <w:tr>
        <w:trPr>
          <w:trHeight w:val="204" w:hRule="exact"/>
        </w:trPr>
        <w:tc>
          <w:tcPr>
            <w:tcW w:w="253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2</w:t>
            </w:r>
            <w:r>
              <w:rPr>
                <w:rFonts w:ascii="宋体" w:hAnsi="宋体" w:cs="宋体" w:eastAsia="宋体" w:hint="default"/>
                <w:sz w:val="15"/>
                <w:szCs w:val="15"/>
              </w:rPr>
              <w:t>．本期使用</w:t>
            </w:r>
            <w:r>
              <w:rPr>
                <w:rFonts w:ascii="宋体" w:hAnsi="宋体" w:cs="宋体" w:eastAsia="宋体" w:hint="default"/>
                <w:sz w:val="15"/>
                <w:szCs w:val="15"/>
              </w:rPr>
              <w:t> </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r>
      <w:tr>
        <w:trPr>
          <w:trHeight w:val="204" w:hRule="exact"/>
        </w:trPr>
        <w:tc>
          <w:tcPr>
            <w:tcW w:w="253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（六）其他</w:t>
            </w:r>
            <w:r>
              <w:rPr>
                <w:rFonts w:ascii="宋体" w:hAnsi="宋体" w:cs="宋体" w:eastAsia="宋体" w:hint="default"/>
                <w:sz w:val="15"/>
                <w:szCs w:val="15"/>
              </w:rPr>
              <w:t> </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r>
      <w:tr>
        <w:trPr>
          <w:trHeight w:val="207" w:hRule="exact"/>
        </w:trPr>
        <w:tc>
          <w:tcPr>
            <w:tcW w:w="2535"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left="103" w:right="0"/>
              <w:jc w:val="left"/>
              <w:rPr>
                <w:rFonts w:ascii="宋体" w:hAnsi="宋体" w:cs="宋体" w:eastAsia="宋体" w:hint="default"/>
                <w:sz w:val="15"/>
                <w:szCs w:val="15"/>
              </w:rPr>
            </w:pPr>
            <w:r>
              <w:rPr>
                <w:rFonts w:ascii="宋体" w:hAnsi="宋体" w:cs="宋体" w:eastAsia="宋体" w:hint="default"/>
                <w:sz w:val="15"/>
                <w:szCs w:val="15"/>
              </w:rPr>
              <w:t>四、本期期末余额</w:t>
            </w:r>
            <w:r>
              <w:rPr>
                <w:rFonts w:ascii="宋体" w:hAnsi="宋体" w:cs="宋体" w:eastAsia="宋体" w:hint="default"/>
                <w:sz w:val="15"/>
                <w:szCs w:val="15"/>
              </w:rPr>
              <w:t> </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5"/>
              <w:jc w:val="right"/>
              <w:rPr>
                <w:rFonts w:ascii="宋体" w:hAnsi="宋体" w:cs="宋体" w:eastAsia="宋体" w:hint="default"/>
                <w:sz w:val="15"/>
                <w:szCs w:val="15"/>
              </w:rPr>
            </w:pPr>
            <w:r>
              <w:rPr>
                <w:rFonts w:ascii="宋体"/>
                <w:spacing w:val="-2"/>
                <w:sz w:val="15"/>
              </w:rPr>
              <w:t>1,757,670,860.00</w:t>
            </w:r>
            <w:r>
              <w:rPr>
                <w:rFonts w:ascii="宋体"/>
                <w:sz w:val="15"/>
              </w:rPr>
              <w:t> </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5"/>
              <w:jc w:val="right"/>
              <w:rPr>
                <w:rFonts w:ascii="宋体" w:hAnsi="宋体" w:cs="宋体" w:eastAsia="宋体" w:hint="default"/>
                <w:sz w:val="15"/>
                <w:szCs w:val="15"/>
              </w:rPr>
            </w:pPr>
            <w:r>
              <w:rPr>
                <w:rFonts w:ascii="宋体"/>
                <w:w w:val="100"/>
                <w:sz w:val="15"/>
              </w:rPr>
              <w:t> </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5"/>
              <w:jc w:val="right"/>
              <w:rPr>
                <w:rFonts w:ascii="宋体" w:hAnsi="宋体" w:cs="宋体" w:eastAsia="宋体" w:hint="default"/>
                <w:sz w:val="15"/>
                <w:szCs w:val="15"/>
              </w:rPr>
            </w:pPr>
            <w:r>
              <w:rPr>
                <w:rFonts w:ascii="宋体"/>
                <w:w w:val="100"/>
                <w:sz w:val="15"/>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3"/>
              <w:jc w:val="right"/>
              <w:rPr>
                <w:rFonts w:ascii="宋体" w:hAnsi="宋体" w:cs="宋体" w:eastAsia="宋体" w:hint="default"/>
                <w:sz w:val="15"/>
                <w:szCs w:val="15"/>
              </w:rPr>
            </w:pPr>
            <w:r>
              <w:rPr>
                <w:rFonts w:ascii="宋体"/>
                <w:spacing w:val="-2"/>
                <w:sz w:val="15"/>
              </w:rPr>
              <w:t>648,669,813.57</w:t>
            </w:r>
            <w:r>
              <w:rPr>
                <w:rFonts w:ascii="宋体"/>
                <w:sz w:val="15"/>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5"/>
              <w:jc w:val="right"/>
              <w:rPr>
                <w:rFonts w:ascii="宋体" w:hAnsi="宋体" w:cs="宋体" w:eastAsia="宋体" w:hint="default"/>
                <w:sz w:val="15"/>
                <w:szCs w:val="15"/>
              </w:rPr>
            </w:pPr>
            <w:r>
              <w:rPr>
                <w:rFonts w:ascii="宋体"/>
                <w:spacing w:val="-2"/>
                <w:sz w:val="15"/>
              </w:rPr>
              <w:t>4,607,922,535.92</w:t>
            </w:r>
            <w:r>
              <w:rPr>
                <w:rFonts w:ascii="宋体"/>
                <w:sz w:val="15"/>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3"/>
              <w:jc w:val="right"/>
              <w:rPr>
                <w:rFonts w:ascii="宋体" w:hAnsi="宋体" w:cs="宋体" w:eastAsia="宋体" w:hint="default"/>
                <w:sz w:val="15"/>
                <w:szCs w:val="15"/>
              </w:rPr>
            </w:pPr>
            <w:r>
              <w:rPr>
                <w:rFonts w:ascii="宋体"/>
                <w:spacing w:val="-2"/>
                <w:sz w:val="15"/>
              </w:rPr>
              <w:t>138,925,978.02</w:t>
            </w:r>
            <w:r>
              <w:rPr>
                <w:rFonts w:ascii="宋体"/>
                <w:sz w:val="15"/>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5"/>
              <w:jc w:val="right"/>
              <w:rPr>
                <w:rFonts w:ascii="宋体" w:hAnsi="宋体" w:cs="宋体" w:eastAsia="宋体" w:hint="default"/>
                <w:sz w:val="15"/>
                <w:szCs w:val="15"/>
              </w:rPr>
            </w:pPr>
            <w:r>
              <w:rPr>
                <w:rFonts w:ascii="宋体"/>
                <w:w w:val="100"/>
                <w:sz w:val="15"/>
              </w:rPr>
              <w:t>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5"/>
              <w:jc w:val="right"/>
              <w:rPr>
                <w:rFonts w:ascii="宋体" w:hAnsi="宋体" w:cs="宋体" w:eastAsia="宋体" w:hint="default"/>
                <w:sz w:val="15"/>
                <w:szCs w:val="15"/>
              </w:rPr>
            </w:pPr>
            <w:r>
              <w:rPr>
                <w:rFonts w:ascii="宋体"/>
                <w:w w:val="100"/>
                <w:sz w:val="15"/>
              </w:rPr>
              <w:t> </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5"/>
              <w:jc w:val="right"/>
              <w:rPr>
                <w:rFonts w:ascii="宋体" w:hAnsi="宋体" w:cs="宋体" w:eastAsia="宋体" w:hint="default"/>
                <w:sz w:val="15"/>
                <w:szCs w:val="15"/>
              </w:rPr>
            </w:pPr>
            <w:r>
              <w:rPr>
                <w:rFonts w:ascii="宋体"/>
                <w:spacing w:val="-1"/>
                <w:sz w:val="15"/>
              </w:rPr>
              <w:t>240,619,644.19 </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5"/>
              <w:jc w:val="right"/>
              <w:rPr>
                <w:rFonts w:ascii="宋体" w:hAnsi="宋体" w:cs="宋体" w:eastAsia="宋体" w:hint="default"/>
                <w:sz w:val="15"/>
                <w:szCs w:val="15"/>
              </w:rPr>
            </w:pPr>
            <w:r>
              <w:rPr>
                <w:rFonts w:ascii="宋体"/>
                <w:spacing w:val="-2"/>
                <w:sz w:val="15"/>
              </w:rPr>
              <w:t>1,107,667,900.59</w:t>
            </w:r>
            <w:r>
              <w:rPr>
                <w:rFonts w:ascii="宋体"/>
                <w:sz w:val="15"/>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175" w:lineRule="exact"/>
              <w:ind w:right="23"/>
              <w:jc w:val="right"/>
              <w:rPr>
                <w:rFonts w:ascii="宋体" w:hAnsi="宋体" w:cs="宋体" w:eastAsia="宋体" w:hint="default"/>
                <w:sz w:val="15"/>
                <w:szCs w:val="15"/>
              </w:rPr>
            </w:pPr>
            <w:r>
              <w:rPr>
                <w:rFonts w:ascii="宋体"/>
                <w:spacing w:val="-2"/>
                <w:sz w:val="15"/>
              </w:rPr>
              <w:t>8,223,624,776.25</w:t>
            </w:r>
            <w:r>
              <w:rPr>
                <w:rFonts w:ascii="宋体"/>
                <w:sz w:val="15"/>
              </w:rPr>
              <w:t> </w:t>
            </w:r>
          </w:p>
        </w:tc>
      </w:tr>
    </w:tbl>
    <w:p>
      <w:pPr>
        <w:pStyle w:val="Heading2"/>
        <w:spacing w:line="274" w:lineRule="exact"/>
        <w:ind w:left="684" w:right="0"/>
        <w:jc w:val="left"/>
        <w:rPr>
          <w:rFonts w:ascii="宋体" w:hAnsi="宋体" w:cs="宋体" w:eastAsia="宋体" w:hint="default"/>
        </w:rPr>
      </w:pPr>
      <w:r>
        <w:rPr>
          <w:rFonts w:ascii="宋体"/>
        </w:rPr>
        <w:t> </w:t>
      </w:r>
    </w:p>
    <w:p>
      <w:pPr>
        <w:pStyle w:val="BodyText"/>
        <w:tabs>
          <w:tab w:pos="3564" w:val="left" w:leader="none"/>
        </w:tabs>
        <w:spacing w:line="240" w:lineRule="auto" w:before="4"/>
        <w:ind w:left="684" w:right="0"/>
        <w:jc w:val="left"/>
        <w:rPr>
          <w:rFonts w:ascii="宋体" w:hAnsi="宋体" w:cs="宋体" w:eastAsia="宋体" w:hint="default"/>
        </w:rPr>
      </w:pPr>
      <w:r>
        <w:rPr>
          <w:rFonts w:ascii="宋体"/>
          <w:w w:val="100"/>
        </w:rPr>
        <w:t> </w:t>
      </w:r>
      <w:r>
        <w:rPr>
          <w:rFonts w:ascii="宋体"/>
        </w:rPr>
        <w:tab/>
      </w:r>
      <w:r>
        <w:rPr>
          <w:rFonts w:ascii="宋体"/>
          <w:w w:val="100"/>
        </w:rPr>
        <w:t> </w:t>
      </w:r>
    </w:p>
    <w:p>
      <w:pPr>
        <w:spacing w:after="0" w:line="240" w:lineRule="auto"/>
        <w:jc w:val="left"/>
        <w:rPr>
          <w:rFonts w:ascii="宋体" w:hAnsi="宋体" w:cs="宋体" w:eastAsia="宋体" w:hint="default"/>
        </w:rPr>
        <w:sectPr>
          <w:type w:val="continuous"/>
          <w:pgSz w:w="16840" w:h="11910" w:orient="landscape"/>
          <w:pgMar w:top="1580" w:bottom="280" w:left="840" w:right="740"/>
        </w:sectPr>
      </w:pPr>
    </w:p>
    <w:p>
      <w:pPr>
        <w:spacing w:line="240" w:lineRule="auto" w:before="5"/>
        <w:rPr>
          <w:rFonts w:ascii="宋体" w:hAnsi="宋体" w:cs="宋体" w:eastAsia="宋体" w:hint="default"/>
          <w:sz w:val="10"/>
          <w:szCs w:val="10"/>
        </w:rPr>
      </w:pPr>
    </w:p>
    <w:tbl>
      <w:tblPr>
        <w:tblW w:w="0" w:type="auto"/>
        <w:jc w:val="left"/>
        <w:tblInd w:w="113" w:type="dxa"/>
        <w:tblLayout w:type="fixed"/>
        <w:tblCellMar>
          <w:top w:w="0" w:type="dxa"/>
          <w:left w:w="0" w:type="dxa"/>
          <w:bottom w:w="0" w:type="dxa"/>
          <w:right w:w="0" w:type="dxa"/>
        </w:tblCellMar>
        <w:tblLook w:val="01E0"/>
      </w:tblPr>
      <w:tblGrid>
        <w:gridCol w:w="2552"/>
        <w:gridCol w:w="1418"/>
        <w:gridCol w:w="709"/>
        <w:gridCol w:w="708"/>
        <w:gridCol w:w="1418"/>
        <w:gridCol w:w="1560"/>
        <w:gridCol w:w="1274"/>
        <w:gridCol w:w="569"/>
        <w:gridCol w:w="566"/>
        <w:gridCol w:w="1381"/>
        <w:gridCol w:w="1454"/>
        <w:gridCol w:w="1419"/>
      </w:tblGrid>
      <w:tr>
        <w:trPr>
          <w:trHeight w:val="209" w:hRule="exact"/>
        </w:trPr>
        <w:tc>
          <w:tcPr>
            <w:tcW w:w="2552"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2"/>
              <w:ind w:left="76" w:right="0"/>
              <w:jc w:val="center"/>
              <w:rPr>
                <w:rFonts w:ascii="宋体" w:hAnsi="宋体" w:cs="宋体" w:eastAsia="宋体" w:hint="default"/>
                <w:sz w:val="15"/>
                <w:szCs w:val="15"/>
              </w:rPr>
            </w:pPr>
            <w:r>
              <w:rPr>
                <w:rFonts w:ascii="宋体" w:hAnsi="宋体" w:cs="宋体" w:eastAsia="宋体" w:hint="default"/>
                <w:sz w:val="15"/>
                <w:szCs w:val="15"/>
              </w:rPr>
              <w:t>项目</w:t>
            </w:r>
            <w:r>
              <w:rPr>
                <w:rFonts w:ascii="宋体" w:hAnsi="宋体" w:cs="宋体" w:eastAsia="宋体" w:hint="default"/>
                <w:sz w:val="15"/>
                <w:szCs w:val="15"/>
              </w:rPr>
              <w:t> </w:t>
            </w:r>
          </w:p>
        </w:tc>
        <w:tc>
          <w:tcPr>
            <w:tcW w:w="12477" w:type="dxa"/>
            <w:gridSpan w:val="11"/>
            <w:tcBorders>
              <w:top w:val="single" w:sz="6" w:space="0" w:color="000000"/>
              <w:left w:val="single" w:sz="6" w:space="0" w:color="000000"/>
              <w:bottom w:val="single" w:sz="6" w:space="0" w:color="000000"/>
              <w:right w:val="single" w:sz="6" w:space="0" w:color="000000"/>
            </w:tcBorders>
          </w:tcPr>
          <w:p>
            <w:pPr>
              <w:pStyle w:val="TableParagraph"/>
              <w:spacing w:line="173" w:lineRule="exact"/>
              <w:ind w:left="70" w:right="0"/>
              <w:jc w:val="center"/>
              <w:rPr>
                <w:rFonts w:ascii="宋体" w:hAnsi="宋体" w:cs="宋体" w:eastAsia="宋体" w:hint="default"/>
                <w:sz w:val="15"/>
                <w:szCs w:val="15"/>
              </w:rPr>
            </w:pPr>
            <w:r>
              <w:rPr>
                <w:rFonts w:ascii="宋体" w:hAnsi="宋体" w:cs="宋体" w:eastAsia="宋体" w:hint="default"/>
                <w:sz w:val="15"/>
                <w:szCs w:val="15"/>
              </w:rPr>
              <w:t>2018</w:t>
            </w:r>
            <w:r>
              <w:rPr>
                <w:rFonts w:ascii="宋体" w:hAnsi="宋体" w:cs="宋体" w:eastAsia="宋体" w:hint="default"/>
                <w:spacing w:val="-40"/>
                <w:sz w:val="15"/>
                <w:szCs w:val="15"/>
              </w:rPr>
              <w:t> </w:t>
            </w:r>
            <w:r>
              <w:rPr>
                <w:rFonts w:ascii="宋体" w:hAnsi="宋体" w:cs="宋体" w:eastAsia="宋体" w:hint="default"/>
                <w:sz w:val="15"/>
                <w:szCs w:val="15"/>
              </w:rPr>
              <w:t>年度</w:t>
            </w:r>
            <w:r>
              <w:rPr>
                <w:rFonts w:ascii="宋体" w:hAnsi="宋体" w:cs="宋体" w:eastAsia="宋体" w:hint="default"/>
                <w:sz w:val="15"/>
                <w:szCs w:val="15"/>
              </w:rPr>
              <w:t> </w:t>
            </w:r>
          </w:p>
        </w:tc>
      </w:tr>
      <w:tr>
        <w:trPr>
          <w:trHeight w:val="326" w:hRule="exact"/>
        </w:trPr>
        <w:tc>
          <w:tcPr>
            <w:tcW w:w="2552" w:type="dxa"/>
            <w:vMerge/>
            <w:tcBorders>
              <w:left w:val="single" w:sz="6" w:space="0" w:color="000000"/>
              <w:right w:val="single" w:sz="6" w:space="0" w:color="000000"/>
            </w:tcBorders>
          </w:tcPr>
          <w:p>
            <w:pPr/>
          </w:p>
        </w:tc>
        <w:tc>
          <w:tcPr>
            <w:tcW w:w="1418" w:type="dxa"/>
            <w:vMerge w:val="restart"/>
            <w:tcBorders>
              <w:top w:val="single" w:sz="6" w:space="0" w:color="000000"/>
              <w:left w:val="single" w:sz="6"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100" w:right="0"/>
              <w:jc w:val="left"/>
              <w:rPr>
                <w:rFonts w:ascii="宋体" w:hAnsi="宋体" w:cs="宋体" w:eastAsia="宋体" w:hint="default"/>
                <w:sz w:val="15"/>
                <w:szCs w:val="15"/>
              </w:rPr>
            </w:pPr>
            <w:r>
              <w:rPr>
                <w:rFonts w:ascii="宋体" w:hAnsi="宋体" w:cs="宋体" w:eastAsia="宋体" w:hint="default"/>
                <w:sz w:val="15"/>
                <w:szCs w:val="15"/>
              </w:rPr>
              <w:t>实收资本</w:t>
            </w:r>
            <w:r>
              <w:rPr>
                <w:rFonts w:ascii="宋体" w:hAnsi="宋体" w:cs="宋体" w:eastAsia="宋体" w:hint="default"/>
                <w:sz w:val="15"/>
                <w:szCs w:val="15"/>
              </w:rPr>
              <w:t>(</w:t>
            </w:r>
            <w:r>
              <w:rPr>
                <w:rFonts w:ascii="宋体" w:hAnsi="宋体" w:cs="宋体" w:eastAsia="宋体" w:hint="default"/>
                <w:sz w:val="15"/>
                <w:szCs w:val="15"/>
              </w:rPr>
              <w:t>或股本</w:t>
            </w:r>
            <w:r>
              <w:rPr>
                <w:rFonts w:ascii="宋体" w:hAnsi="宋体" w:cs="宋体" w:eastAsia="宋体" w:hint="default"/>
                <w:sz w:val="15"/>
                <w:szCs w:val="15"/>
              </w:rPr>
              <w:t>) </w:t>
            </w:r>
          </w:p>
        </w:tc>
        <w:tc>
          <w:tcPr>
            <w:tcW w:w="2835" w:type="dxa"/>
            <w:gridSpan w:val="3"/>
            <w:tcBorders>
              <w:top w:val="single" w:sz="6" w:space="0" w:color="000000"/>
              <w:left w:val="single" w:sz="4" w:space="0" w:color="000000"/>
              <w:bottom w:val="single" w:sz="4" w:space="0" w:color="000000"/>
              <w:right w:val="single" w:sz="6" w:space="0" w:color="000000"/>
            </w:tcBorders>
          </w:tcPr>
          <w:p>
            <w:pPr>
              <w:pStyle w:val="TableParagraph"/>
              <w:spacing w:line="240" w:lineRule="auto" w:before="36"/>
              <w:ind w:left="963" w:right="0"/>
              <w:jc w:val="left"/>
              <w:rPr>
                <w:rFonts w:ascii="宋体" w:hAnsi="宋体" w:cs="宋体" w:eastAsia="宋体" w:hint="default"/>
                <w:sz w:val="15"/>
                <w:szCs w:val="15"/>
              </w:rPr>
            </w:pPr>
            <w:r>
              <w:rPr>
                <w:rFonts w:ascii="宋体" w:hAnsi="宋体" w:cs="宋体" w:eastAsia="宋体" w:hint="default"/>
                <w:sz w:val="15"/>
                <w:szCs w:val="15"/>
              </w:rPr>
              <w:t>其他权益工具</w:t>
            </w:r>
            <w:r>
              <w:rPr>
                <w:rFonts w:ascii="宋体" w:hAnsi="宋体" w:cs="宋体" w:eastAsia="宋体" w:hint="default"/>
                <w:sz w:val="15"/>
                <w:szCs w:val="15"/>
              </w:rPr>
              <w:t> </w:t>
            </w:r>
          </w:p>
        </w:tc>
        <w:tc>
          <w:tcPr>
            <w:tcW w:w="1560" w:type="dxa"/>
            <w:vMerge w:val="restart"/>
            <w:tcBorders>
              <w:top w:val="single" w:sz="6" w:space="0" w:color="000000"/>
              <w:left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475" w:right="0"/>
              <w:jc w:val="left"/>
              <w:rPr>
                <w:rFonts w:ascii="宋体" w:hAnsi="宋体" w:cs="宋体" w:eastAsia="宋体" w:hint="default"/>
                <w:sz w:val="15"/>
                <w:szCs w:val="15"/>
              </w:rPr>
            </w:pPr>
            <w:r>
              <w:rPr>
                <w:rFonts w:ascii="宋体" w:hAnsi="宋体" w:cs="宋体" w:eastAsia="宋体" w:hint="default"/>
                <w:sz w:val="15"/>
                <w:szCs w:val="15"/>
              </w:rPr>
              <w:t>资本公积</w:t>
            </w:r>
            <w:r>
              <w:rPr>
                <w:rFonts w:ascii="宋体" w:hAnsi="宋体" w:cs="宋体" w:eastAsia="宋体" w:hint="default"/>
                <w:sz w:val="15"/>
                <w:szCs w:val="15"/>
              </w:rPr>
              <w:t> </w:t>
            </w:r>
          </w:p>
        </w:tc>
        <w:tc>
          <w:tcPr>
            <w:tcW w:w="1274" w:type="dxa"/>
            <w:vMerge w:val="restart"/>
            <w:tcBorders>
              <w:top w:val="single" w:sz="6" w:space="0" w:color="000000"/>
              <w:left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254" w:right="0"/>
              <w:jc w:val="left"/>
              <w:rPr>
                <w:rFonts w:ascii="宋体" w:hAnsi="宋体" w:cs="宋体" w:eastAsia="宋体" w:hint="default"/>
                <w:sz w:val="15"/>
                <w:szCs w:val="15"/>
              </w:rPr>
            </w:pPr>
            <w:r>
              <w:rPr>
                <w:rFonts w:ascii="宋体" w:hAnsi="宋体" w:cs="宋体" w:eastAsia="宋体" w:hint="default"/>
                <w:sz w:val="15"/>
                <w:szCs w:val="15"/>
              </w:rPr>
              <w:t>减：库存股</w:t>
            </w:r>
            <w:r>
              <w:rPr>
                <w:rFonts w:ascii="宋体" w:hAnsi="宋体" w:cs="宋体" w:eastAsia="宋体" w:hint="default"/>
                <w:sz w:val="15"/>
                <w:szCs w:val="15"/>
              </w:rPr>
              <w:t> </w:t>
            </w:r>
          </w:p>
        </w:tc>
        <w:tc>
          <w:tcPr>
            <w:tcW w:w="569" w:type="dxa"/>
            <w:vMerge w:val="restart"/>
            <w:tcBorders>
              <w:top w:val="single" w:sz="6" w:space="0" w:color="000000"/>
              <w:left w:val="single" w:sz="6" w:space="0" w:color="000000"/>
              <w:right w:val="single" w:sz="6" w:space="0" w:color="000000"/>
            </w:tcBorders>
          </w:tcPr>
          <w:p>
            <w:pPr>
              <w:pStyle w:val="TableParagraph"/>
              <w:spacing w:line="194" w:lineRule="exact" w:before="17"/>
              <w:ind w:left="127" w:right="49"/>
              <w:jc w:val="both"/>
              <w:rPr>
                <w:rFonts w:ascii="宋体" w:hAnsi="宋体" w:cs="宋体" w:eastAsia="宋体" w:hint="default"/>
                <w:sz w:val="15"/>
                <w:szCs w:val="15"/>
              </w:rPr>
            </w:pPr>
            <w:r>
              <w:rPr>
                <w:rFonts w:ascii="宋体" w:hAnsi="宋体" w:cs="宋体" w:eastAsia="宋体" w:hint="default"/>
                <w:sz w:val="15"/>
                <w:szCs w:val="15"/>
              </w:rPr>
              <w:t>其他</w:t>
            </w:r>
            <w:r>
              <w:rPr>
                <w:rFonts w:ascii="宋体" w:hAnsi="宋体" w:cs="宋体" w:eastAsia="宋体" w:hint="default"/>
                <w:spacing w:val="-73"/>
                <w:sz w:val="15"/>
                <w:szCs w:val="15"/>
              </w:rPr>
              <w:t> </w:t>
            </w:r>
            <w:r>
              <w:rPr>
                <w:rFonts w:ascii="宋体" w:hAnsi="宋体" w:cs="宋体" w:eastAsia="宋体" w:hint="default"/>
                <w:sz w:val="15"/>
                <w:szCs w:val="15"/>
              </w:rPr>
              <w:t>综合</w:t>
            </w:r>
            <w:r>
              <w:rPr>
                <w:rFonts w:ascii="宋体" w:hAnsi="宋体" w:cs="宋体" w:eastAsia="宋体" w:hint="default"/>
                <w:spacing w:val="-73"/>
                <w:sz w:val="15"/>
                <w:szCs w:val="15"/>
              </w:rPr>
              <w:t> </w:t>
            </w:r>
            <w:r>
              <w:rPr>
                <w:rFonts w:ascii="宋体" w:hAnsi="宋体" w:cs="宋体" w:eastAsia="宋体" w:hint="default"/>
                <w:sz w:val="15"/>
                <w:szCs w:val="15"/>
              </w:rPr>
              <w:t>收益</w:t>
            </w:r>
            <w:r>
              <w:rPr>
                <w:rFonts w:ascii="宋体" w:hAnsi="宋体" w:cs="宋体" w:eastAsia="宋体" w:hint="default"/>
                <w:sz w:val="15"/>
                <w:szCs w:val="15"/>
              </w:rPr>
              <w:t> </w:t>
            </w:r>
          </w:p>
        </w:tc>
        <w:tc>
          <w:tcPr>
            <w:tcW w:w="566" w:type="dxa"/>
            <w:vMerge w:val="restart"/>
            <w:tcBorders>
              <w:top w:val="single" w:sz="6" w:space="0" w:color="000000"/>
              <w:left w:val="single" w:sz="6" w:space="0" w:color="000000"/>
              <w:right w:val="single" w:sz="6" w:space="0" w:color="000000"/>
            </w:tcBorders>
          </w:tcPr>
          <w:p>
            <w:pPr>
              <w:pStyle w:val="TableParagraph"/>
              <w:spacing w:line="240" w:lineRule="auto" w:before="93"/>
              <w:ind w:left="124" w:right="49"/>
              <w:jc w:val="left"/>
              <w:rPr>
                <w:rFonts w:ascii="宋体" w:hAnsi="宋体" w:cs="宋体" w:eastAsia="宋体" w:hint="default"/>
                <w:sz w:val="15"/>
                <w:szCs w:val="15"/>
              </w:rPr>
            </w:pPr>
            <w:r>
              <w:rPr>
                <w:rFonts w:ascii="宋体" w:hAnsi="宋体" w:cs="宋体" w:eastAsia="宋体" w:hint="default"/>
                <w:sz w:val="15"/>
                <w:szCs w:val="15"/>
              </w:rPr>
              <w:t>专项</w:t>
            </w:r>
            <w:r>
              <w:rPr>
                <w:rFonts w:ascii="宋体" w:hAnsi="宋体" w:cs="宋体" w:eastAsia="宋体" w:hint="default"/>
                <w:spacing w:val="-73"/>
                <w:sz w:val="15"/>
                <w:szCs w:val="15"/>
              </w:rPr>
              <w:t> </w:t>
            </w:r>
            <w:r>
              <w:rPr>
                <w:rFonts w:ascii="宋体" w:hAnsi="宋体" w:cs="宋体" w:eastAsia="宋体" w:hint="default"/>
                <w:sz w:val="15"/>
                <w:szCs w:val="15"/>
              </w:rPr>
              <w:t>储备</w:t>
            </w:r>
            <w:r>
              <w:rPr>
                <w:rFonts w:ascii="宋体" w:hAnsi="宋体" w:cs="宋体" w:eastAsia="宋体" w:hint="default"/>
                <w:sz w:val="15"/>
                <w:szCs w:val="15"/>
              </w:rPr>
              <w:t> </w:t>
            </w:r>
          </w:p>
        </w:tc>
        <w:tc>
          <w:tcPr>
            <w:tcW w:w="1381" w:type="dxa"/>
            <w:vMerge w:val="restart"/>
            <w:tcBorders>
              <w:top w:val="single" w:sz="6" w:space="0" w:color="000000"/>
              <w:left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382" w:right="0"/>
              <w:jc w:val="left"/>
              <w:rPr>
                <w:rFonts w:ascii="宋体" w:hAnsi="宋体" w:cs="宋体" w:eastAsia="宋体" w:hint="default"/>
                <w:sz w:val="15"/>
                <w:szCs w:val="15"/>
              </w:rPr>
            </w:pPr>
            <w:r>
              <w:rPr>
                <w:rFonts w:ascii="宋体" w:hAnsi="宋体" w:cs="宋体" w:eastAsia="宋体" w:hint="default"/>
                <w:sz w:val="15"/>
                <w:szCs w:val="15"/>
              </w:rPr>
              <w:t>盈余公积</w:t>
            </w:r>
            <w:r>
              <w:rPr>
                <w:rFonts w:ascii="宋体" w:hAnsi="宋体" w:cs="宋体" w:eastAsia="宋体" w:hint="default"/>
                <w:sz w:val="15"/>
                <w:szCs w:val="15"/>
              </w:rPr>
              <w:t> </w:t>
            </w:r>
          </w:p>
        </w:tc>
        <w:tc>
          <w:tcPr>
            <w:tcW w:w="1454" w:type="dxa"/>
            <w:vMerge w:val="restart"/>
            <w:tcBorders>
              <w:top w:val="single" w:sz="6" w:space="0" w:color="000000"/>
              <w:left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343" w:right="0"/>
              <w:jc w:val="left"/>
              <w:rPr>
                <w:rFonts w:ascii="宋体" w:hAnsi="宋体" w:cs="宋体" w:eastAsia="宋体" w:hint="default"/>
                <w:sz w:val="15"/>
                <w:szCs w:val="15"/>
              </w:rPr>
            </w:pPr>
            <w:r>
              <w:rPr>
                <w:rFonts w:ascii="宋体" w:hAnsi="宋体" w:cs="宋体" w:eastAsia="宋体" w:hint="default"/>
                <w:sz w:val="15"/>
                <w:szCs w:val="15"/>
              </w:rPr>
              <w:t>未分配利润</w:t>
            </w:r>
            <w:r>
              <w:rPr>
                <w:rFonts w:ascii="宋体" w:hAnsi="宋体" w:cs="宋体" w:eastAsia="宋体" w:hint="default"/>
                <w:sz w:val="15"/>
                <w:szCs w:val="15"/>
              </w:rPr>
              <w:t> </w:t>
            </w:r>
          </w:p>
        </w:tc>
        <w:tc>
          <w:tcPr>
            <w:tcW w:w="1419" w:type="dxa"/>
            <w:vMerge w:val="restart"/>
            <w:tcBorders>
              <w:top w:val="single" w:sz="6" w:space="0" w:color="000000"/>
              <w:left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177" w:right="0"/>
              <w:jc w:val="left"/>
              <w:rPr>
                <w:rFonts w:ascii="宋体" w:hAnsi="宋体" w:cs="宋体" w:eastAsia="宋体" w:hint="default"/>
                <w:sz w:val="15"/>
                <w:szCs w:val="15"/>
              </w:rPr>
            </w:pPr>
            <w:r>
              <w:rPr>
                <w:rFonts w:ascii="宋体" w:hAnsi="宋体" w:cs="宋体" w:eastAsia="宋体" w:hint="default"/>
                <w:sz w:val="15"/>
                <w:szCs w:val="15"/>
              </w:rPr>
              <w:t>所有者权益合计</w:t>
            </w:r>
            <w:r>
              <w:rPr>
                <w:rFonts w:ascii="宋体" w:hAnsi="宋体" w:cs="宋体" w:eastAsia="宋体" w:hint="default"/>
                <w:sz w:val="15"/>
                <w:szCs w:val="15"/>
              </w:rPr>
              <w:t> </w:t>
            </w:r>
          </w:p>
        </w:tc>
      </w:tr>
      <w:tr>
        <w:trPr>
          <w:trHeight w:val="312" w:hRule="exact"/>
        </w:trPr>
        <w:tc>
          <w:tcPr>
            <w:tcW w:w="2552" w:type="dxa"/>
            <w:vMerge/>
            <w:tcBorders>
              <w:left w:val="single" w:sz="6" w:space="0" w:color="000000"/>
              <w:bottom w:val="single" w:sz="6" w:space="0" w:color="000000"/>
              <w:right w:val="single" w:sz="6" w:space="0" w:color="000000"/>
            </w:tcBorders>
          </w:tcPr>
          <w:p>
            <w:pPr/>
          </w:p>
        </w:tc>
        <w:tc>
          <w:tcPr>
            <w:tcW w:w="1418" w:type="dxa"/>
            <w:vMerge/>
            <w:tcBorders>
              <w:left w:val="single" w:sz="6" w:space="0" w:color="000000"/>
              <w:bottom w:val="single" w:sz="6" w:space="0" w:color="000000"/>
              <w:right w:val="single" w:sz="4" w:space="0" w:color="000000"/>
            </w:tcBorders>
          </w:tcPr>
          <w:p>
            <w:pPr/>
          </w:p>
        </w:tc>
        <w:tc>
          <w:tcPr>
            <w:tcW w:w="709" w:type="dxa"/>
            <w:tcBorders>
              <w:top w:val="single" w:sz="4" w:space="0" w:color="000000"/>
              <w:left w:val="single" w:sz="4" w:space="0" w:color="000000"/>
              <w:bottom w:val="single" w:sz="6" w:space="0" w:color="000000"/>
              <w:right w:val="single" w:sz="4" w:space="0" w:color="000000"/>
            </w:tcBorders>
          </w:tcPr>
          <w:p>
            <w:pPr>
              <w:pStyle w:val="TableParagraph"/>
              <w:spacing w:line="240" w:lineRule="auto" w:before="31"/>
              <w:ind w:right="47"/>
              <w:jc w:val="right"/>
              <w:rPr>
                <w:rFonts w:ascii="宋体" w:hAnsi="宋体" w:cs="宋体" w:eastAsia="宋体" w:hint="default"/>
                <w:sz w:val="15"/>
                <w:szCs w:val="15"/>
              </w:rPr>
            </w:pPr>
            <w:r>
              <w:rPr>
                <w:rFonts w:ascii="宋体" w:hAnsi="宋体" w:cs="宋体" w:eastAsia="宋体" w:hint="default"/>
                <w:spacing w:val="-1"/>
                <w:sz w:val="15"/>
                <w:szCs w:val="15"/>
              </w:rPr>
              <w:t>优先股</w:t>
            </w:r>
            <w:r>
              <w:rPr>
                <w:rFonts w:ascii="宋体" w:hAnsi="宋体" w:cs="宋体" w:eastAsia="宋体" w:hint="default"/>
                <w:sz w:val="15"/>
                <w:szCs w:val="15"/>
              </w:rPr>
              <w:t> </w:t>
            </w:r>
          </w:p>
        </w:tc>
        <w:tc>
          <w:tcPr>
            <w:tcW w:w="708" w:type="dxa"/>
            <w:tcBorders>
              <w:top w:val="single" w:sz="4" w:space="0" w:color="000000"/>
              <w:left w:val="single" w:sz="4" w:space="0" w:color="000000"/>
              <w:bottom w:val="single" w:sz="6" w:space="0" w:color="000000"/>
              <w:right w:val="single" w:sz="4" w:space="0" w:color="000000"/>
            </w:tcBorders>
          </w:tcPr>
          <w:p>
            <w:pPr>
              <w:pStyle w:val="TableParagraph"/>
              <w:spacing w:line="240" w:lineRule="auto" w:before="31"/>
              <w:ind w:right="44"/>
              <w:jc w:val="right"/>
              <w:rPr>
                <w:rFonts w:ascii="宋体" w:hAnsi="宋体" w:cs="宋体" w:eastAsia="宋体" w:hint="default"/>
                <w:sz w:val="15"/>
                <w:szCs w:val="15"/>
              </w:rPr>
            </w:pPr>
            <w:r>
              <w:rPr>
                <w:rFonts w:ascii="宋体" w:hAnsi="宋体" w:cs="宋体" w:eastAsia="宋体" w:hint="default"/>
                <w:spacing w:val="-1"/>
                <w:sz w:val="15"/>
                <w:szCs w:val="15"/>
              </w:rPr>
              <w:t>永续债</w:t>
            </w:r>
            <w:r>
              <w:rPr>
                <w:rFonts w:ascii="宋体" w:hAnsi="宋体" w:cs="宋体" w:eastAsia="宋体" w:hint="default"/>
                <w:sz w:val="15"/>
                <w:szCs w:val="15"/>
              </w:rPr>
              <w:t> </w:t>
            </w:r>
          </w:p>
        </w:tc>
        <w:tc>
          <w:tcPr>
            <w:tcW w:w="1418" w:type="dxa"/>
            <w:tcBorders>
              <w:top w:val="single" w:sz="4" w:space="0" w:color="000000"/>
              <w:left w:val="single" w:sz="4" w:space="0" w:color="000000"/>
              <w:bottom w:val="single" w:sz="6" w:space="0" w:color="000000"/>
              <w:right w:val="single" w:sz="6" w:space="0" w:color="000000"/>
            </w:tcBorders>
          </w:tcPr>
          <w:p>
            <w:pPr>
              <w:pStyle w:val="TableParagraph"/>
              <w:spacing w:line="240" w:lineRule="auto" w:before="31"/>
              <w:ind w:left="82" w:right="0"/>
              <w:jc w:val="center"/>
              <w:rPr>
                <w:rFonts w:ascii="宋体" w:hAnsi="宋体" w:cs="宋体" w:eastAsia="宋体" w:hint="default"/>
                <w:sz w:val="15"/>
                <w:szCs w:val="15"/>
              </w:rPr>
            </w:pPr>
            <w:r>
              <w:rPr>
                <w:rFonts w:ascii="宋体" w:hAnsi="宋体" w:cs="宋体" w:eastAsia="宋体" w:hint="default"/>
                <w:sz w:val="15"/>
                <w:szCs w:val="15"/>
              </w:rPr>
              <w:t>其他</w:t>
            </w:r>
            <w:r>
              <w:rPr>
                <w:rFonts w:ascii="宋体" w:hAnsi="宋体" w:cs="宋体" w:eastAsia="宋体" w:hint="default"/>
                <w:sz w:val="15"/>
                <w:szCs w:val="15"/>
              </w:rPr>
              <w:t> </w:t>
            </w:r>
          </w:p>
        </w:tc>
        <w:tc>
          <w:tcPr>
            <w:tcW w:w="1560" w:type="dxa"/>
            <w:vMerge/>
            <w:tcBorders>
              <w:left w:val="single" w:sz="6" w:space="0" w:color="000000"/>
              <w:bottom w:val="single" w:sz="6" w:space="0" w:color="000000"/>
              <w:right w:val="single" w:sz="6" w:space="0" w:color="000000"/>
            </w:tcBorders>
          </w:tcPr>
          <w:p>
            <w:pPr/>
          </w:p>
        </w:tc>
        <w:tc>
          <w:tcPr>
            <w:tcW w:w="1274" w:type="dxa"/>
            <w:vMerge/>
            <w:tcBorders>
              <w:left w:val="single" w:sz="6" w:space="0" w:color="000000"/>
              <w:bottom w:val="single" w:sz="6" w:space="0" w:color="000000"/>
              <w:right w:val="single" w:sz="6" w:space="0" w:color="000000"/>
            </w:tcBorders>
          </w:tcPr>
          <w:p>
            <w:pPr/>
          </w:p>
        </w:tc>
        <w:tc>
          <w:tcPr>
            <w:tcW w:w="569" w:type="dxa"/>
            <w:vMerge/>
            <w:tcBorders>
              <w:left w:val="single" w:sz="6" w:space="0" w:color="000000"/>
              <w:bottom w:val="single" w:sz="6" w:space="0" w:color="000000"/>
              <w:right w:val="single" w:sz="6" w:space="0" w:color="000000"/>
            </w:tcBorders>
          </w:tcPr>
          <w:p>
            <w:pPr/>
          </w:p>
        </w:tc>
        <w:tc>
          <w:tcPr>
            <w:tcW w:w="566" w:type="dxa"/>
            <w:vMerge/>
            <w:tcBorders>
              <w:left w:val="single" w:sz="6" w:space="0" w:color="000000"/>
              <w:bottom w:val="single" w:sz="6" w:space="0" w:color="000000"/>
              <w:right w:val="single" w:sz="6" w:space="0" w:color="000000"/>
            </w:tcBorders>
          </w:tcPr>
          <w:p>
            <w:pPr/>
          </w:p>
        </w:tc>
        <w:tc>
          <w:tcPr>
            <w:tcW w:w="1381" w:type="dxa"/>
            <w:vMerge/>
            <w:tcBorders>
              <w:left w:val="single" w:sz="6" w:space="0" w:color="000000"/>
              <w:bottom w:val="single" w:sz="6" w:space="0" w:color="000000"/>
              <w:right w:val="single" w:sz="6" w:space="0" w:color="000000"/>
            </w:tcBorders>
          </w:tcPr>
          <w:p>
            <w:pPr/>
          </w:p>
        </w:tc>
        <w:tc>
          <w:tcPr>
            <w:tcW w:w="1454" w:type="dxa"/>
            <w:vMerge/>
            <w:tcBorders>
              <w:left w:val="single" w:sz="6" w:space="0" w:color="000000"/>
              <w:bottom w:val="single" w:sz="6" w:space="0" w:color="000000"/>
              <w:right w:val="single" w:sz="6" w:space="0" w:color="000000"/>
            </w:tcBorders>
          </w:tcPr>
          <w:p>
            <w:pPr/>
          </w:p>
        </w:tc>
        <w:tc>
          <w:tcPr>
            <w:tcW w:w="1419" w:type="dxa"/>
            <w:vMerge/>
            <w:tcBorders>
              <w:left w:val="single" w:sz="6" w:space="0" w:color="000000"/>
              <w:bottom w:val="single" w:sz="6" w:space="0" w:color="000000"/>
              <w:right w:val="single" w:sz="6" w:space="0" w:color="000000"/>
            </w:tcBorders>
          </w:tcPr>
          <w:p>
            <w:pPr/>
          </w:p>
        </w:tc>
      </w:tr>
      <w:tr>
        <w:trPr>
          <w:trHeight w:val="211" w:hRule="exact"/>
        </w:trPr>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一、上年期末余额</w:t>
            </w:r>
            <w:r>
              <w:rPr>
                <w:rFonts w:ascii="宋体" w:hAnsi="宋体" w:cs="宋体" w:eastAsia="宋体" w:hint="default"/>
                <w:sz w:val="15"/>
                <w:szCs w:val="15"/>
              </w:rPr>
              <w:t> </w:t>
            </w:r>
          </w:p>
        </w:tc>
        <w:tc>
          <w:tcPr>
            <w:tcW w:w="1418" w:type="dxa"/>
            <w:tcBorders>
              <w:top w:val="single" w:sz="6" w:space="0" w:color="000000"/>
              <w:left w:val="single" w:sz="6" w:space="0" w:color="000000"/>
              <w:bottom w:val="single" w:sz="6"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spacing w:val="-2"/>
                <w:sz w:val="15"/>
              </w:rPr>
              <w:t>1,764,091,819.00</w:t>
            </w:r>
            <w:r>
              <w:rPr>
                <w:rFonts w:ascii="宋体"/>
                <w:sz w:val="15"/>
              </w:rPr>
              <w:t> </w:t>
            </w:r>
          </w:p>
        </w:tc>
        <w:tc>
          <w:tcPr>
            <w:tcW w:w="709" w:type="dxa"/>
            <w:tcBorders>
              <w:top w:val="single" w:sz="6" w:space="0" w:color="000000"/>
              <w:left w:val="single" w:sz="4" w:space="0" w:color="000000"/>
              <w:bottom w:val="single" w:sz="6"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708" w:type="dxa"/>
            <w:tcBorders>
              <w:top w:val="single" w:sz="6" w:space="0" w:color="000000"/>
              <w:left w:val="single" w:sz="4" w:space="0" w:color="000000"/>
              <w:bottom w:val="single" w:sz="6"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418" w:type="dxa"/>
            <w:tcBorders>
              <w:top w:val="single" w:sz="6" w:space="0" w:color="000000"/>
              <w:left w:val="single" w:sz="4" w:space="0" w:color="000000"/>
              <w:bottom w:val="single" w:sz="6"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2"/>
                <w:sz w:val="15"/>
              </w:rPr>
              <w:t>648,695,328.93</w:t>
            </w:r>
            <w:r>
              <w:rPr>
                <w:rFonts w:ascii="宋体"/>
                <w:sz w:val="15"/>
              </w:rPr>
              <w:t> </w:t>
            </w:r>
          </w:p>
        </w:tc>
        <w:tc>
          <w:tcPr>
            <w:tcW w:w="1560" w:type="dxa"/>
            <w:tcBorders>
              <w:top w:val="single" w:sz="6" w:space="0" w:color="000000"/>
              <w:left w:val="single" w:sz="4" w:space="0" w:color="000000"/>
              <w:bottom w:val="single" w:sz="6" w:space="0" w:color="000000"/>
              <w:right w:val="single" w:sz="6"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2"/>
                <w:sz w:val="15"/>
              </w:rPr>
              <w:t>4,629,831,487.04</w:t>
            </w:r>
            <w:r>
              <w:rPr>
                <w:rFonts w:ascii="宋体"/>
                <w:sz w:val="15"/>
              </w:rPr>
              <w:t> </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0"/>
              <w:jc w:val="right"/>
              <w:rPr>
                <w:rFonts w:ascii="宋体" w:hAnsi="宋体" w:cs="宋体" w:eastAsia="宋体" w:hint="default"/>
                <w:sz w:val="15"/>
                <w:szCs w:val="15"/>
              </w:rPr>
            </w:pPr>
            <w:r>
              <w:rPr>
                <w:rFonts w:ascii="宋体"/>
                <w:spacing w:val="-2"/>
                <w:sz w:val="15"/>
              </w:rPr>
              <w:t>97,020,000.00</w:t>
            </w:r>
            <w:r>
              <w:rPr>
                <w:rFonts w:ascii="宋体"/>
                <w:sz w:val="15"/>
              </w:rPr>
              <w:t> </w:t>
            </w:r>
          </w:p>
        </w:tc>
        <w:tc>
          <w:tcPr>
            <w:tcW w:w="569"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381"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1"/>
                <w:sz w:val="15"/>
              </w:rPr>
              <w:t>218,953,605.18 </w:t>
            </w:r>
          </w:p>
        </w:tc>
        <w:tc>
          <w:tcPr>
            <w:tcW w:w="1454"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2"/>
                <w:sz w:val="15"/>
              </w:rPr>
              <w:t>1,287,039,863.11</w:t>
            </w:r>
            <w:r>
              <w:rPr>
                <w:rFonts w:ascii="宋体"/>
                <w:sz w:val="15"/>
              </w:rPr>
              <w:t> </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2"/>
                <w:sz w:val="15"/>
              </w:rPr>
              <w:t>8,451,592,103.26</w:t>
            </w:r>
            <w:r>
              <w:rPr>
                <w:rFonts w:ascii="宋体"/>
                <w:sz w:val="15"/>
              </w:rPr>
              <w:t> </w:t>
            </w:r>
          </w:p>
        </w:tc>
      </w:tr>
      <w:tr>
        <w:trPr>
          <w:trHeight w:val="209" w:hRule="exact"/>
        </w:trPr>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加：会计政策变更</w:t>
            </w:r>
            <w:r>
              <w:rPr>
                <w:rFonts w:ascii="宋体" w:hAnsi="宋体" w:cs="宋体" w:eastAsia="宋体" w:hint="default"/>
                <w:sz w:val="15"/>
                <w:szCs w:val="15"/>
              </w:rPr>
              <w:t> </w:t>
            </w:r>
          </w:p>
        </w:tc>
        <w:tc>
          <w:tcPr>
            <w:tcW w:w="1418" w:type="dxa"/>
            <w:tcBorders>
              <w:top w:val="single" w:sz="6" w:space="0" w:color="000000"/>
              <w:left w:val="single" w:sz="6" w:space="0" w:color="000000"/>
              <w:bottom w:val="single" w:sz="6"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709" w:type="dxa"/>
            <w:tcBorders>
              <w:top w:val="single" w:sz="6" w:space="0" w:color="000000"/>
              <w:left w:val="single" w:sz="4" w:space="0" w:color="000000"/>
              <w:bottom w:val="single" w:sz="6"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708" w:type="dxa"/>
            <w:tcBorders>
              <w:top w:val="single" w:sz="6" w:space="0" w:color="000000"/>
              <w:left w:val="single" w:sz="4" w:space="0" w:color="000000"/>
              <w:bottom w:val="single" w:sz="6"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418" w:type="dxa"/>
            <w:tcBorders>
              <w:top w:val="single" w:sz="6" w:space="0" w:color="000000"/>
              <w:left w:val="single" w:sz="4" w:space="0" w:color="000000"/>
              <w:bottom w:val="single" w:sz="6"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560" w:type="dxa"/>
            <w:tcBorders>
              <w:top w:val="single" w:sz="6" w:space="0" w:color="000000"/>
              <w:left w:val="single" w:sz="4" w:space="0" w:color="000000"/>
              <w:bottom w:val="single" w:sz="6" w:space="0" w:color="000000"/>
              <w:right w:val="single" w:sz="6"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0"/>
              <w:jc w:val="right"/>
              <w:rPr>
                <w:rFonts w:ascii="宋体" w:hAnsi="宋体" w:cs="宋体" w:eastAsia="宋体" w:hint="default"/>
                <w:sz w:val="15"/>
                <w:szCs w:val="15"/>
              </w:rPr>
            </w:pPr>
            <w:r>
              <w:rPr>
                <w:rFonts w:ascii="宋体"/>
                <w:w w:val="100"/>
                <w:sz w:val="15"/>
              </w:rPr>
              <w:t> </w:t>
            </w:r>
          </w:p>
        </w:tc>
        <w:tc>
          <w:tcPr>
            <w:tcW w:w="569"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381"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454"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r>
      <w:tr>
        <w:trPr>
          <w:trHeight w:val="209" w:hRule="exact"/>
        </w:trPr>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400" w:right="0"/>
              <w:jc w:val="left"/>
              <w:rPr>
                <w:rFonts w:ascii="宋体" w:hAnsi="宋体" w:cs="宋体" w:eastAsia="宋体" w:hint="default"/>
                <w:sz w:val="15"/>
                <w:szCs w:val="15"/>
              </w:rPr>
            </w:pPr>
            <w:r>
              <w:rPr>
                <w:rFonts w:ascii="宋体" w:hAnsi="宋体" w:cs="宋体" w:eastAsia="宋体" w:hint="default"/>
                <w:sz w:val="15"/>
                <w:szCs w:val="15"/>
              </w:rPr>
              <w:t>前期差错更正</w:t>
            </w:r>
            <w:r>
              <w:rPr>
                <w:rFonts w:ascii="宋体" w:hAnsi="宋体" w:cs="宋体" w:eastAsia="宋体" w:hint="default"/>
                <w:sz w:val="15"/>
                <w:szCs w:val="15"/>
              </w:rPr>
              <w:t> </w:t>
            </w:r>
          </w:p>
        </w:tc>
        <w:tc>
          <w:tcPr>
            <w:tcW w:w="1418" w:type="dxa"/>
            <w:tcBorders>
              <w:top w:val="single" w:sz="6" w:space="0" w:color="000000"/>
              <w:left w:val="single" w:sz="6" w:space="0" w:color="000000"/>
              <w:bottom w:val="single" w:sz="6"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709" w:type="dxa"/>
            <w:tcBorders>
              <w:top w:val="single" w:sz="6" w:space="0" w:color="000000"/>
              <w:left w:val="single" w:sz="4" w:space="0" w:color="000000"/>
              <w:bottom w:val="single" w:sz="6"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708" w:type="dxa"/>
            <w:tcBorders>
              <w:top w:val="single" w:sz="6" w:space="0" w:color="000000"/>
              <w:left w:val="single" w:sz="4" w:space="0" w:color="000000"/>
              <w:bottom w:val="single" w:sz="6"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418" w:type="dxa"/>
            <w:tcBorders>
              <w:top w:val="single" w:sz="6" w:space="0" w:color="000000"/>
              <w:left w:val="single" w:sz="4" w:space="0" w:color="000000"/>
              <w:bottom w:val="single" w:sz="6"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560" w:type="dxa"/>
            <w:tcBorders>
              <w:top w:val="single" w:sz="6" w:space="0" w:color="000000"/>
              <w:left w:val="single" w:sz="4" w:space="0" w:color="000000"/>
              <w:bottom w:val="single" w:sz="6" w:space="0" w:color="000000"/>
              <w:right w:val="single" w:sz="6"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0"/>
              <w:jc w:val="right"/>
              <w:rPr>
                <w:rFonts w:ascii="宋体" w:hAnsi="宋体" w:cs="宋体" w:eastAsia="宋体" w:hint="default"/>
                <w:sz w:val="15"/>
                <w:szCs w:val="15"/>
              </w:rPr>
            </w:pPr>
            <w:r>
              <w:rPr>
                <w:rFonts w:ascii="宋体"/>
                <w:w w:val="100"/>
                <w:sz w:val="15"/>
              </w:rPr>
              <w:t> </w:t>
            </w:r>
          </w:p>
        </w:tc>
        <w:tc>
          <w:tcPr>
            <w:tcW w:w="569"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381"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454"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r>
      <w:tr>
        <w:trPr>
          <w:trHeight w:val="209" w:hRule="exact"/>
        </w:trPr>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400" w:right="0"/>
              <w:jc w:val="left"/>
              <w:rPr>
                <w:rFonts w:ascii="宋体" w:hAnsi="宋体" w:cs="宋体" w:eastAsia="宋体" w:hint="default"/>
                <w:sz w:val="15"/>
                <w:szCs w:val="15"/>
              </w:rPr>
            </w:pPr>
            <w:r>
              <w:rPr>
                <w:rFonts w:ascii="宋体" w:hAnsi="宋体" w:cs="宋体" w:eastAsia="宋体" w:hint="default"/>
                <w:sz w:val="15"/>
                <w:szCs w:val="15"/>
              </w:rPr>
              <w:t>其他</w:t>
            </w:r>
            <w:r>
              <w:rPr>
                <w:rFonts w:ascii="宋体" w:hAnsi="宋体" w:cs="宋体" w:eastAsia="宋体" w:hint="default"/>
                <w:sz w:val="15"/>
                <w:szCs w:val="15"/>
              </w:rPr>
              <w:t> </w:t>
            </w:r>
          </w:p>
        </w:tc>
        <w:tc>
          <w:tcPr>
            <w:tcW w:w="1418" w:type="dxa"/>
            <w:tcBorders>
              <w:top w:val="single" w:sz="6" w:space="0" w:color="000000"/>
              <w:left w:val="single" w:sz="6" w:space="0" w:color="000000"/>
              <w:bottom w:val="single" w:sz="6"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709" w:type="dxa"/>
            <w:tcBorders>
              <w:top w:val="single" w:sz="6" w:space="0" w:color="000000"/>
              <w:left w:val="single" w:sz="4" w:space="0" w:color="000000"/>
              <w:bottom w:val="single" w:sz="6"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708" w:type="dxa"/>
            <w:tcBorders>
              <w:top w:val="single" w:sz="6" w:space="0" w:color="000000"/>
              <w:left w:val="single" w:sz="4" w:space="0" w:color="000000"/>
              <w:bottom w:val="single" w:sz="6"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418" w:type="dxa"/>
            <w:tcBorders>
              <w:top w:val="single" w:sz="6" w:space="0" w:color="000000"/>
              <w:left w:val="single" w:sz="4" w:space="0" w:color="000000"/>
              <w:bottom w:val="single" w:sz="6"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560" w:type="dxa"/>
            <w:tcBorders>
              <w:top w:val="single" w:sz="6" w:space="0" w:color="000000"/>
              <w:left w:val="single" w:sz="4" w:space="0" w:color="000000"/>
              <w:bottom w:val="single" w:sz="6" w:space="0" w:color="000000"/>
              <w:right w:val="single" w:sz="6"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0"/>
              <w:jc w:val="right"/>
              <w:rPr>
                <w:rFonts w:ascii="宋体" w:hAnsi="宋体" w:cs="宋体" w:eastAsia="宋体" w:hint="default"/>
                <w:sz w:val="15"/>
                <w:szCs w:val="15"/>
              </w:rPr>
            </w:pPr>
            <w:r>
              <w:rPr>
                <w:rFonts w:ascii="宋体"/>
                <w:w w:val="100"/>
                <w:sz w:val="15"/>
              </w:rPr>
              <w:t> </w:t>
            </w:r>
          </w:p>
        </w:tc>
        <w:tc>
          <w:tcPr>
            <w:tcW w:w="569"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381"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454"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r>
      <w:tr>
        <w:trPr>
          <w:trHeight w:val="211" w:hRule="exact"/>
        </w:trPr>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left="100" w:right="0"/>
              <w:jc w:val="left"/>
              <w:rPr>
                <w:rFonts w:ascii="宋体" w:hAnsi="宋体" w:cs="宋体" w:eastAsia="宋体" w:hint="default"/>
                <w:sz w:val="15"/>
                <w:szCs w:val="15"/>
              </w:rPr>
            </w:pPr>
            <w:r>
              <w:rPr>
                <w:rFonts w:ascii="宋体" w:hAnsi="宋体" w:cs="宋体" w:eastAsia="宋体" w:hint="default"/>
                <w:sz w:val="15"/>
                <w:szCs w:val="15"/>
              </w:rPr>
              <w:t>二、本年期初余额</w:t>
            </w:r>
            <w:r>
              <w:rPr>
                <w:rFonts w:ascii="宋体" w:hAnsi="宋体" w:cs="宋体" w:eastAsia="宋体" w:hint="default"/>
                <w:sz w:val="15"/>
                <w:szCs w:val="15"/>
              </w:rPr>
              <w:t> </w:t>
            </w:r>
          </w:p>
        </w:tc>
        <w:tc>
          <w:tcPr>
            <w:tcW w:w="1418" w:type="dxa"/>
            <w:tcBorders>
              <w:top w:val="single" w:sz="6" w:space="0" w:color="000000"/>
              <w:left w:val="single" w:sz="6" w:space="0" w:color="000000"/>
              <w:bottom w:val="single" w:sz="6" w:space="0" w:color="000000"/>
              <w:right w:val="single" w:sz="4" w:space="0" w:color="000000"/>
            </w:tcBorders>
          </w:tcPr>
          <w:p>
            <w:pPr>
              <w:pStyle w:val="TableParagraph"/>
              <w:spacing w:line="175" w:lineRule="exact"/>
              <w:ind w:right="25"/>
              <w:jc w:val="right"/>
              <w:rPr>
                <w:rFonts w:ascii="宋体" w:hAnsi="宋体" w:cs="宋体" w:eastAsia="宋体" w:hint="default"/>
                <w:sz w:val="15"/>
                <w:szCs w:val="15"/>
              </w:rPr>
            </w:pPr>
            <w:r>
              <w:rPr>
                <w:rFonts w:ascii="宋体"/>
                <w:spacing w:val="-2"/>
                <w:sz w:val="15"/>
              </w:rPr>
              <w:t>1,764,091,819.00</w:t>
            </w:r>
            <w:r>
              <w:rPr>
                <w:rFonts w:ascii="宋体"/>
                <w:sz w:val="15"/>
              </w:rPr>
              <w:t> </w:t>
            </w:r>
          </w:p>
        </w:tc>
        <w:tc>
          <w:tcPr>
            <w:tcW w:w="709" w:type="dxa"/>
            <w:tcBorders>
              <w:top w:val="single" w:sz="6" w:space="0" w:color="000000"/>
              <w:left w:val="single" w:sz="4" w:space="0" w:color="000000"/>
              <w:bottom w:val="single" w:sz="6" w:space="0" w:color="000000"/>
              <w:right w:val="single" w:sz="4" w:space="0" w:color="000000"/>
            </w:tcBorders>
          </w:tcPr>
          <w:p>
            <w:pPr>
              <w:pStyle w:val="TableParagraph"/>
              <w:spacing w:line="175" w:lineRule="exact"/>
              <w:ind w:right="25"/>
              <w:jc w:val="right"/>
              <w:rPr>
                <w:rFonts w:ascii="宋体" w:hAnsi="宋体" w:cs="宋体" w:eastAsia="宋体" w:hint="default"/>
                <w:sz w:val="15"/>
                <w:szCs w:val="15"/>
              </w:rPr>
            </w:pPr>
            <w:r>
              <w:rPr>
                <w:rFonts w:ascii="宋体"/>
                <w:w w:val="100"/>
                <w:sz w:val="15"/>
              </w:rPr>
              <w:t> </w:t>
            </w:r>
          </w:p>
        </w:tc>
        <w:tc>
          <w:tcPr>
            <w:tcW w:w="708" w:type="dxa"/>
            <w:tcBorders>
              <w:top w:val="single" w:sz="6" w:space="0" w:color="000000"/>
              <w:left w:val="single" w:sz="4" w:space="0" w:color="000000"/>
              <w:bottom w:val="single" w:sz="6" w:space="0" w:color="000000"/>
              <w:right w:val="single" w:sz="4" w:space="0" w:color="000000"/>
            </w:tcBorders>
          </w:tcPr>
          <w:p>
            <w:pPr>
              <w:pStyle w:val="TableParagraph"/>
              <w:spacing w:line="175" w:lineRule="exact"/>
              <w:ind w:right="23"/>
              <w:jc w:val="right"/>
              <w:rPr>
                <w:rFonts w:ascii="宋体" w:hAnsi="宋体" w:cs="宋体" w:eastAsia="宋体" w:hint="default"/>
                <w:sz w:val="15"/>
                <w:szCs w:val="15"/>
              </w:rPr>
            </w:pPr>
            <w:r>
              <w:rPr>
                <w:rFonts w:ascii="宋体"/>
                <w:w w:val="100"/>
                <w:sz w:val="15"/>
              </w:rPr>
              <w:t> </w:t>
            </w:r>
          </w:p>
        </w:tc>
        <w:tc>
          <w:tcPr>
            <w:tcW w:w="1418" w:type="dxa"/>
            <w:tcBorders>
              <w:top w:val="single" w:sz="6" w:space="0" w:color="000000"/>
              <w:left w:val="single" w:sz="4" w:space="0" w:color="000000"/>
              <w:bottom w:val="single" w:sz="6" w:space="0" w:color="000000"/>
              <w:right w:val="single" w:sz="4" w:space="0" w:color="000000"/>
            </w:tcBorders>
          </w:tcPr>
          <w:p>
            <w:pPr>
              <w:pStyle w:val="TableParagraph"/>
              <w:spacing w:line="175" w:lineRule="exact"/>
              <w:ind w:right="23"/>
              <w:jc w:val="right"/>
              <w:rPr>
                <w:rFonts w:ascii="宋体" w:hAnsi="宋体" w:cs="宋体" w:eastAsia="宋体" w:hint="default"/>
                <w:sz w:val="15"/>
                <w:szCs w:val="15"/>
              </w:rPr>
            </w:pPr>
            <w:r>
              <w:rPr>
                <w:rFonts w:ascii="宋体"/>
                <w:spacing w:val="-2"/>
                <w:sz w:val="15"/>
              </w:rPr>
              <w:t>648,695,328.93</w:t>
            </w:r>
            <w:r>
              <w:rPr>
                <w:rFonts w:ascii="宋体"/>
                <w:sz w:val="15"/>
              </w:rPr>
              <w:t> </w:t>
            </w:r>
          </w:p>
        </w:tc>
        <w:tc>
          <w:tcPr>
            <w:tcW w:w="1560" w:type="dxa"/>
            <w:tcBorders>
              <w:top w:val="single" w:sz="6" w:space="0" w:color="000000"/>
              <w:left w:val="single" w:sz="4" w:space="0" w:color="000000"/>
              <w:bottom w:val="single" w:sz="6" w:space="0" w:color="000000"/>
              <w:right w:val="single" w:sz="6" w:space="0" w:color="000000"/>
            </w:tcBorders>
          </w:tcPr>
          <w:p>
            <w:pPr>
              <w:pStyle w:val="TableParagraph"/>
              <w:spacing w:line="175" w:lineRule="exact"/>
              <w:ind w:right="23"/>
              <w:jc w:val="right"/>
              <w:rPr>
                <w:rFonts w:ascii="宋体" w:hAnsi="宋体" w:cs="宋体" w:eastAsia="宋体" w:hint="default"/>
                <w:sz w:val="15"/>
                <w:szCs w:val="15"/>
              </w:rPr>
            </w:pPr>
            <w:r>
              <w:rPr>
                <w:rFonts w:ascii="宋体"/>
                <w:spacing w:val="-2"/>
                <w:sz w:val="15"/>
              </w:rPr>
              <w:t>4,629,831,487.04</w:t>
            </w:r>
            <w:r>
              <w:rPr>
                <w:rFonts w:ascii="宋体"/>
                <w:sz w:val="15"/>
              </w:rPr>
              <w:t> </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right="20"/>
              <w:jc w:val="right"/>
              <w:rPr>
                <w:rFonts w:ascii="宋体" w:hAnsi="宋体" w:cs="宋体" w:eastAsia="宋体" w:hint="default"/>
                <w:sz w:val="15"/>
                <w:szCs w:val="15"/>
              </w:rPr>
            </w:pPr>
            <w:r>
              <w:rPr>
                <w:rFonts w:ascii="宋体"/>
                <w:spacing w:val="-2"/>
                <w:sz w:val="15"/>
              </w:rPr>
              <w:t>97,020,000.00</w:t>
            </w:r>
            <w:r>
              <w:rPr>
                <w:rFonts w:ascii="宋体"/>
                <w:sz w:val="15"/>
              </w:rPr>
              <w:t> </w:t>
            </w:r>
          </w:p>
        </w:tc>
        <w:tc>
          <w:tcPr>
            <w:tcW w:w="569"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right="23"/>
              <w:jc w:val="right"/>
              <w:rPr>
                <w:rFonts w:ascii="宋体" w:hAnsi="宋体" w:cs="宋体" w:eastAsia="宋体" w:hint="default"/>
                <w:sz w:val="15"/>
                <w:szCs w:val="15"/>
              </w:rPr>
            </w:pPr>
            <w:r>
              <w:rPr>
                <w:rFonts w:ascii="宋体"/>
                <w:w w:val="100"/>
                <w:sz w:val="15"/>
              </w:rPr>
              <w:t> </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right="23"/>
              <w:jc w:val="right"/>
              <w:rPr>
                <w:rFonts w:ascii="宋体" w:hAnsi="宋体" w:cs="宋体" w:eastAsia="宋体" w:hint="default"/>
                <w:sz w:val="15"/>
                <w:szCs w:val="15"/>
              </w:rPr>
            </w:pPr>
            <w:r>
              <w:rPr>
                <w:rFonts w:ascii="宋体"/>
                <w:w w:val="100"/>
                <w:sz w:val="15"/>
              </w:rPr>
              <w:t> </w:t>
            </w:r>
          </w:p>
        </w:tc>
        <w:tc>
          <w:tcPr>
            <w:tcW w:w="1381"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right="23"/>
              <w:jc w:val="right"/>
              <w:rPr>
                <w:rFonts w:ascii="宋体" w:hAnsi="宋体" w:cs="宋体" w:eastAsia="宋体" w:hint="default"/>
                <w:sz w:val="15"/>
                <w:szCs w:val="15"/>
              </w:rPr>
            </w:pPr>
            <w:r>
              <w:rPr>
                <w:rFonts w:ascii="宋体"/>
                <w:spacing w:val="-1"/>
                <w:sz w:val="15"/>
              </w:rPr>
              <w:t>218,953,605.18 </w:t>
            </w:r>
          </w:p>
        </w:tc>
        <w:tc>
          <w:tcPr>
            <w:tcW w:w="1454"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right="23"/>
              <w:jc w:val="right"/>
              <w:rPr>
                <w:rFonts w:ascii="宋体" w:hAnsi="宋体" w:cs="宋体" w:eastAsia="宋体" w:hint="default"/>
                <w:sz w:val="15"/>
                <w:szCs w:val="15"/>
              </w:rPr>
            </w:pPr>
            <w:r>
              <w:rPr>
                <w:rFonts w:ascii="宋体"/>
                <w:spacing w:val="-2"/>
                <w:sz w:val="15"/>
              </w:rPr>
              <w:t>1,287,039,863.11</w:t>
            </w:r>
            <w:r>
              <w:rPr>
                <w:rFonts w:ascii="宋体"/>
                <w:sz w:val="15"/>
              </w:rPr>
              <w:t> </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right="23"/>
              <w:jc w:val="right"/>
              <w:rPr>
                <w:rFonts w:ascii="宋体" w:hAnsi="宋体" w:cs="宋体" w:eastAsia="宋体" w:hint="default"/>
                <w:sz w:val="15"/>
                <w:szCs w:val="15"/>
              </w:rPr>
            </w:pPr>
            <w:r>
              <w:rPr>
                <w:rFonts w:ascii="宋体"/>
                <w:spacing w:val="-2"/>
                <w:sz w:val="15"/>
              </w:rPr>
              <w:t>8,451,592,103.26</w:t>
            </w:r>
            <w:r>
              <w:rPr>
                <w:rFonts w:ascii="宋体"/>
                <w:sz w:val="15"/>
              </w:rPr>
              <w:t> </w:t>
            </w:r>
          </w:p>
        </w:tc>
      </w:tr>
      <w:tr>
        <w:trPr>
          <w:trHeight w:val="403" w:hRule="exact"/>
        </w:trPr>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z w:val="15"/>
                <w:szCs w:val="15"/>
              </w:rPr>
              <w:t>三、本期增减变动金额（减少以</w:t>
            </w:r>
          </w:p>
          <w:p>
            <w:pPr>
              <w:pStyle w:val="TableParagraph"/>
              <w:spacing w:line="195" w:lineRule="exact"/>
              <w:ind w:left="100" w:right="0"/>
              <w:jc w:val="left"/>
              <w:rPr>
                <w:rFonts w:ascii="宋体" w:hAnsi="宋体" w:cs="宋体" w:eastAsia="宋体" w:hint="default"/>
                <w:sz w:val="15"/>
                <w:szCs w:val="15"/>
              </w:rPr>
            </w:pPr>
            <w:r>
              <w:rPr>
                <w:rFonts w:ascii="宋体" w:hAnsi="宋体" w:cs="宋体" w:eastAsia="宋体" w:hint="default"/>
                <w:sz w:val="15"/>
                <w:szCs w:val="15"/>
              </w:rPr>
              <w:t>“－”号填列）</w:t>
            </w:r>
            <w:r>
              <w:rPr>
                <w:rFonts w:ascii="宋体" w:hAnsi="宋体" w:cs="宋体" w:eastAsia="宋体" w:hint="default"/>
                <w:sz w:val="15"/>
                <w:szCs w:val="15"/>
              </w:rPr>
              <w:t> </w:t>
            </w:r>
          </w:p>
        </w:tc>
        <w:tc>
          <w:tcPr>
            <w:tcW w:w="1418"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74"/>
              <w:ind w:right="25"/>
              <w:jc w:val="right"/>
              <w:rPr>
                <w:rFonts w:ascii="宋体" w:hAnsi="宋体" w:cs="宋体" w:eastAsia="宋体" w:hint="default"/>
                <w:sz w:val="15"/>
                <w:szCs w:val="15"/>
              </w:rPr>
            </w:pPr>
            <w:r>
              <w:rPr>
                <w:rFonts w:ascii="宋体"/>
                <w:spacing w:val="-2"/>
                <w:sz w:val="15"/>
              </w:rPr>
              <w:t>1,319,024.00</w:t>
            </w:r>
            <w:r>
              <w:rPr>
                <w:rFonts w:ascii="宋体"/>
                <w:sz w:val="15"/>
              </w:rPr>
              <w:t> </w:t>
            </w:r>
          </w:p>
        </w:tc>
        <w:tc>
          <w:tcPr>
            <w:tcW w:w="709"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74"/>
              <w:ind w:right="25"/>
              <w:jc w:val="right"/>
              <w:rPr>
                <w:rFonts w:ascii="宋体" w:hAnsi="宋体" w:cs="宋体" w:eastAsia="宋体" w:hint="default"/>
                <w:sz w:val="15"/>
                <w:szCs w:val="15"/>
              </w:rPr>
            </w:pPr>
            <w:r>
              <w:rPr>
                <w:rFonts w:ascii="宋体"/>
                <w:w w:val="100"/>
                <w:sz w:val="15"/>
              </w:rPr>
              <w:t> </w:t>
            </w:r>
          </w:p>
        </w:tc>
        <w:tc>
          <w:tcPr>
            <w:tcW w:w="708"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74"/>
              <w:ind w:right="23"/>
              <w:jc w:val="right"/>
              <w:rPr>
                <w:rFonts w:ascii="宋体" w:hAnsi="宋体" w:cs="宋体" w:eastAsia="宋体" w:hint="default"/>
                <w:sz w:val="15"/>
                <w:szCs w:val="15"/>
              </w:rPr>
            </w:pPr>
            <w:r>
              <w:rPr>
                <w:rFonts w:ascii="宋体"/>
                <w:w w:val="100"/>
                <w:sz w:val="15"/>
              </w:rPr>
              <w:t> </w:t>
            </w:r>
          </w:p>
        </w:tc>
        <w:tc>
          <w:tcPr>
            <w:tcW w:w="1418"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74"/>
              <w:ind w:right="20"/>
              <w:jc w:val="right"/>
              <w:rPr>
                <w:rFonts w:ascii="宋体" w:hAnsi="宋体" w:cs="宋体" w:eastAsia="宋体" w:hint="default"/>
                <w:sz w:val="15"/>
                <w:szCs w:val="15"/>
              </w:rPr>
            </w:pPr>
            <w:r>
              <w:rPr>
                <w:rFonts w:ascii="宋体"/>
                <w:spacing w:val="-2"/>
                <w:sz w:val="15"/>
              </w:rPr>
              <w:t>-8,433.05</w:t>
            </w:r>
            <w:r>
              <w:rPr>
                <w:rFonts w:ascii="宋体"/>
                <w:sz w:val="15"/>
              </w:rPr>
              <w:t> </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right="20"/>
              <w:jc w:val="right"/>
              <w:rPr>
                <w:rFonts w:ascii="宋体" w:hAnsi="宋体" w:cs="宋体" w:eastAsia="宋体" w:hint="default"/>
                <w:sz w:val="15"/>
                <w:szCs w:val="15"/>
              </w:rPr>
            </w:pPr>
            <w:r>
              <w:rPr>
                <w:rFonts w:ascii="宋体"/>
                <w:spacing w:val="-2"/>
                <w:sz w:val="15"/>
              </w:rPr>
              <w:t>4,786,348.20</w:t>
            </w:r>
            <w:r>
              <w:rPr>
                <w:rFonts w:ascii="宋体"/>
                <w:sz w:val="15"/>
              </w:rPr>
              <w:t> </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right="20"/>
              <w:jc w:val="right"/>
              <w:rPr>
                <w:rFonts w:ascii="宋体" w:hAnsi="宋体" w:cs="宋体" w:eastAsia="宋体" w:hint="default"/>
                <w:sz w:val="15"/>
                <w:szCs w:val="15"/>
              </w:rPr>
            </w:pPr>
            <w:r>
              <w:rPr>
                <w:rFonts w:ascii="宋体"/>
                <w:spacing w:val="-2"/>
                <w:sz w:val="15"/>
              </w:rPr>
              <w:t>76,495,620.20</w:t>
            </w:r>
            <w:r>
              <w:rPr>
                <w:rFonts w:ascii="宋体"/>
                <w:sz w:val="15"/>
              </w:rPr>
              <w:t> </w:t>
            </w:r>
          </w:p>
        </w:tc>
        <w:tc>
          <w:tcPr>
            <w:tcW w:w="5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right="23"/>
              <w:jc w:val="right"/>
              <w:rPr>
                <w:rFonts w:ascii="宋体" w:hAnsi="宋体" w:cs="宋体" w:eastAsia="宋体" w:hint="default"/>
                <w:sz w:val="15"/>
                <w:szCs w:val="15"/>
              </w:rPr>
            </w:pPr>
            <w:r>
              <w:rPr>
                <w:rFonts w:ascii="宋体"/>
                <w:w w:val="100"/>
                <w:sz w:val="15"/>
              </w:rPr>
              <w:t> </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right="23"/>
              <w:jc w:val="right"/>
              <w:rPr>
                <w:rFonts w:ascii="宋体" w:hAnsi="宋体" w:cs="宋体" w:eastAsia="宋体" w:hint="default"/>
                <w:sz w:val="15"/>
                <w:szCs w:val="15"/>
              </w:rPr>
            </w:pPr>
            <w:r>
              <w:rPr>
                <w:rFonts w:ascii="宋体"/>
                <w:w w:val="100"/>
                <w:sz w:val="15"/>
              </w:rPr>
              <w:t> </w:t>
            </w:r>
          </w:p>
        </w:tc>
        <w:tc>
          <w:tcPr>
            <w:tcW w:w="13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right="23"/>
              <w:jc w:val="right"/>
              <w:rPr>
                <w:rFonts w:ascii="宋体" w:hAnsi="宋体" w:cs="宋体" w:eastAsia="宋体" w:hint="default"/>
                <w:sz w:val="15"/>
                <w:szCs w:val="15"/>
              </w:rPr>
            </w:pPr>
            <w:r>
              <w:rPr>
                <w:rFonts w:ascii="宋体"/>
                <w:spacing w:val="-2"/>
                <w:sz w:val="15"/>
              </w:rPr>
              <w:t>6,784,715.19</w:t>
            </w:r>
            <w:r>
              <w:rPr>
                <w:rFonts w:ascii="宋体"/>
                <w:sz w:val="15"/>
              </w:rPr>
              <w:t> </w:t>
            </w:r>
          </w:p>
        </w:tc>
        <w:tc>
          <w:tcPr>
            <w:tcW w:w="14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right="23"/>
              <w:jc w:val="right"/>
              <w:rPr>
                <w:rFonts w:ascii="宋体" w:hAnsi="宋体" w:cs="宋体" w:eastAsia="宋体" w:hint="default"/>
                <w:sz w:val="15"/>
                <w:szCs w:val="15"/>
              </w:rPr>
            </w:pPr>
            <w:r>
              <w:rPr>
                <w:rFonts w:ascii="宋体"/>
                <w:spacing w:val="-2"/>
                <w:sz w:val="15"/>
              </w:rPr>
              <w:t>-9,553,969.61</w:t>
            </w:r>
            <w:r>
              <w:rPr>
                <w:rFonts w:ascii="宋体"/>
                <w:sz w:val="15"/>
              </w:rPr>
              <w:t> </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right="23"/>
              <w:jc w:val="right"/>
              <w:rPr>
                <w:rFonts w:ascii="宋体" w:hAnsi="宋体" w:cs="宋体" w:eastAsia="宋体" w:hint="default"/>
                <w:sz w:val="15"/>
                <w:szCs w:val="15"/>
              </w:rPr>
            </w:pPr>
            <w:r>
              <w:rPr>
                <w:rFonts w:ascii="宋体"/>
                <w:spacing w:val="-2"/>
                <w:sz w:val="15"/>
              </w:rPr>
              <w:t>-73,167,935.47</w:t>
            </w:r>
            <w:r>
              <w:rPr>
                <w:rFonts w:ascii="宋体"/>
                <w:sz w:val="15"/>
              </w:rPr>
              <w:t> </w:t>
            </w:r>
          </w:p>
        </w:tc>
      </w:tr>
      <w:tr>
        <w:trPr>
          <w:trHeight w:val="209" w:hRule="exact"/>
        </w:trPr>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（一）综合收益总额</w:t>
            </w:r>
            <w:r>
              <w:rPr>
                <w:rFonts w:ascii="宋体" w:hAnsi="宋体" w:cs="宋体" w:eastAsia="宋体" w:hint="default"/>
                <w:sz w:val="15"/>
                <w:szCs w:val="15"/>
              </w:rPr>
              <w:t> </w:t>
            </w:r>
          </w:p>
        </w:tc>
        <w:tc>
          <w:tcPr>
            <w:tcW w:w="1418" w:type="dxa"/>
            <w:tcBorders>
              <w:top w:val="single" w:sz="6" w:space="0" w:color="000000"/>
              <w:left w:val="single" w:sz="6" w:space="0" w:color="000000"/>
              <w:bottom w:val="single" w:sz="6"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709" w:type="dxa"/>
            <w:tcBorders>
              <w:top w:val="single" w:sz="6" w:space="0" w:color="000000"/>
              <w:left w:val="single" w:sz="4" w:space="0" w:color="000000"/>
              <w:bottom w:val="single" w:sz="6"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708" w:type="dxa"/>
            <w:tcBorders>
              <w:top w:val="single" w:sz="6" w:space="0" w:color="000000"/>
              <w:left w:val="single" w:sz="4" w:space="0" w:color="000000"/>
              <w:bottom w:val="single" w:sz="6"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418" w:type="dxa"/>
            <w:tcBorders>
              <w:top w:val="single" w:sz="6" w:space="0" w:color="000000"/>
              <w:left w:val="single" w:sz="4" w:space="0" w:color="000000"/>
              <w:bottom w:val="single" w:sz="6" w:space="0" w:color="000000"/>
              <w:right w:val="single" w:sz="6" w:space="0" w:color="000000"/>
            </w:tcBorders>
          </w:tcPr>
          <w:p>
            <w:pPr>
              <w:pStyle w:val="TableParagraph"/>
              <w:spacing w:line="172" w:lineRule="exact"/>
              <w:ind w:right="20"/>
              <w:jc w:val="right"/>
              <w:rPr>
                <w:rFonts w:ascii="宋体" w:hAnsi="宋体" w:cs="宋体" w:eastAsia="宋体" w:hint="default"/>
                <w:sz w:val="15"/>
                <w:szCs w:val="15"/>
              </w:rPr>
            </w:pPr>
            <w:r>
              <w:rPr>
                <w:rFonts w:ascii="宋体"/>
                <w:w w:val="100"/>
                <w:sz w:val="15"/>
              </w:rPr>
              <w:t> </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0"/>
              <w:jc w:val="right"/>
              <w:rPr>
                <w:rFonts w:ascii="宋体" w:hAnsi="宋体" w:cs="宋体" w:eastAsia="宋体" w:hint="default"/>
                <w:sz w:val="15"/>
                <w:szCs w:val="15"/>
              </w:rPr>
            </w:pPr>
            <w:r>
              <w:rPr>
                <w:rFonts w:ascii="宋体"/>
                <w:w w:val="100"/>
                <w:sz w:val="15"/>
              </w:rPr>
              <w:t> </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0"/>
              <w:jc w:val="right"/>
              <w:rPr>
                <w:rFonts w:ascii="宋体" w:hAnsi="宋体" w:cs="宋体" w:eastAsia="宋体" w:hint="default"/>
                <w:sz w:val="15"/>
                <w:szCs w:val="15"/>
              </w:rPr>
            </w:pPr>
            <w:r>
              <w:rPr>
                <w:rFonts w:ascii="宋体"/>
                <w:w w:val="100"/>
                <w:sz w:val="15"/>
              </w:rPr>
              <w:t> </w:t>
            </w:r>
          </w:p>
        </w:tc>
        <w:tc>
          <w:tcPr>
            <w:tcW w:w="569"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381"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454"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2"/>
                <w:sz w:val="15"/>
              </w:rPr>
              <w:t>67,847,151.94</w:t>
            </w:r>
            <w:r>
              <w:rPr>
                <w:rFonts w:ascii="宋体"/>
                <w:sz w:val="15"/>
              </w:rPr>
              <w:t> </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2"/>
                <w:sz w:val="15"/>
              </w:rPr>
              <w:t>67,847,151.94</w:t>
            </w:r>
            <w:r>
              <w:rPr>
                <w:rFonts w:ascii="宋体"/>
                <w:sz w:val="15"/>
              </w:rPr>
              <w:t> </w:t>
            </w:r>
          </w:p>
        </w:tc>
      </w:tr>
      <w:tr>
        <w:trPr>
          <w:trHeight w:val="212" w:hRule="exact"/>
        </w:trPr>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left="100" w:right="0"/>
              <w:jc w:val="left"/>
              <w:rPr>
                <w:rFonts w:ascii="宋体" w:hAnsi="宋体" w:cs="宋体" w:eastAsia="宋体" w:hint="default"/>
                <w:sz w:val="15"/>
                <w:szCs w:val="15"/>
              </w:rPr>
            </w:pPr>
            <w:r>
              <w:rPr>
                <w:rFonts w:ascii="宋体" w:hAnsi="宋体" w:cs="宋体" w:eastAsia="宋体" w:hint="default"/>
                <w:sz w:val="15"/>
                <w:szCs w:val="15"/>
              </w:rPr>
              <w:t>（二）所有者投入和减少资本</w:t>
            </w:r>
            <w:r>
              <w:rPr>
                <w:rFonts w:ascii="宋体" w:hAnsi="宋体" w:cs="宋体" w:eastAsia="宋体" w:hint="default"/>
                <w:sz w:val="15"/>
                <w:szCs w:val="15"/>
              </w:rPr>
              <w:t> </w:t>
            </w:r>
          </w:p>
        </w:tc>
        <w:tc>
          <w:tcPr>
            <w:tcW w:w="1418" w:type="dxa"/>
            <w:tcBorders>
              <w:top w:val="single" w:sz="6" w:space="0" w:color="000000"/>
              <w:left w:val="single" w:sz="6" w:space="0" w:color="000000"/>
              <w:bottom w:val="single" w:sz="6" w:space="0" w:color="000000"/>
              <w:right w:val="single" w:sz="4" w:space="0" w:color="000000"/>
            </w:tcBorders>
          </w:tcPr>
          <w:p>
            <w:pPr>
              <w:pStyle w:val="TableParagraph"/>
              <w:spacing w:line="175" w:lineRule="exact"/>
              <w:ind w:right="25"/>
              <w:jc w:val="right"/>
              <w:rPr>
                <w:rFonts w:ascii="宋体" w:hAnsi="宋体" w:cs="宋体" w:eastAsia="宋体" w:hint="default"/>
                <w:sz w:val="15"/>
                <w:szCs w:val="15"/>
              </w:rPr>
            </w:pPr>
            <w:r>
              <w:rPr>
                <w:rFonts w:ascii="宋体"/>
                <w:spacing w:val="-2"/>
                <w:sz w:val="15"/>
              </w:rPr>
              <w:t>1,319,024.00</w:t>
            </w:r>
            <w:r>
              <w:rPr>
                <w:rFonts w:ascii="宋体"/>
                <w:sz w:val="15"/>
              </w:rPr>
              <w:t> </w:t>
            </w:r>
          </w:p>
        </w:tc>
        <w:tc>
          <w:tcPr>
            <w:tcW w:w="709" w:type="dxa"/>
            <w:tcBorders>
              <w:top w:val="single" w:sz="6" w:space="0" w:color="000000"/>
              <w:left w:val="single" w:sz="4" w:space="0" w:color="000000"/>
              <w:bottom w:val="single" w:sz="6" w:space="0" w:color="000000"/>
              <w:right w:val="single" w:sz="4" w:space="0" w:color="000000"/>
            </w:tcBorders>
          </w:tcPr>
          <w:p>
            <w:pPr>
              <w:pStyle w:val="TableParagraph"/>
              <w:spacing w:line="175" w:lineRule="exact"/>
              <w:ind w:right="25"/>
              <w:jc w:val="right"/>
              <w:rPr>
                <w:rFonts w:ascii="宋体" w:hAnsi="宋体" w:cs="宋体" w:eastAsia="宋体" w:hint="default"/>
                <w:sz w:val="15"/>
                <w:szCs w:val="15"/>
              </w:rPr>
            </w:pPr>
            <w:r>
              <w:rPr>
                <w:rFonts w:ascii="宋体"/>
                <w:w w:val="100"/>
                <w:sz w:val="15"/>
              </w:rPr>
              <w:t> </w:t>
            </w:r>
          </w:p>
        </w:tc>
        <w:tc>
          <w:tcPr>
            <w:tcW w:w="708" w:type="dxa"/>
            <w:tcBorders>
              <w:top w:val="single" w:sz="6" w:space="0" w:color="000000"/>
              <w:left w:val="single" w:sz="4" w:space="0" w:color="000000"/>
              <w:bottom w:val="single" w:sz="6" w:space="0" w:color="000000"/>
              <w:right w:val="single" w:sz="4" w:space="0" w:color="000000"/>
            </w:tcBorders>
          </w:tcPr>
          <w:p>
            <w:pPr>
              <w:pStyle w:val="TableParagraph"/>
              <w:spacing w:line="175" w:lineRule="exact"/>
              <w:ind w:right="23"/>
              <w:jc w:val="right"/>
              <w:rPr>
                <w:rFonts w:ascii="宋体" w:hAnsi="宋体" w:cs="宋体" w:eastAsia="宋体" w:hint="default"/>
                <w:sz w:val="15"/>
                <w:szCs w:val="15"/>
              </w:rPr>
            </w:pPr>
            <w:r>
              <w:rPr>
                <w:rFonts w:ascii="宋体"/>
                <w:w w:val="100"/>
                <w:sz w:val="15"/>
              </w:rPr>
              <w:t> </w:t>
            </w:r>
          </w:p>
        </w:tc>
        <w:tc>
          <w:tcPr>
            <w:tcW w:w="1418" w:type="dxa"/>
            <w:tcBorders>
              <w:top w:val="single" w:sz="6" w:space="0" w:color="000000"/>
              <w:left w:val="single" w:sz="4" w:space="0" w:color="000000"/>
              <w:bottom w:val="single" w:sz="6" w:space="0" w:color="000000"/>
              <w:right w:val="single" w:sz="6" w:space="0" w:color="000000"/>
            </w:tcBorders>
          </w:tcPr>
          <w:p>
            <w:pPr>
              <w:pStyle w:val="TableParagraph"/>
              <w:spacing w:line="175" w:lineRule="exact"/>
              <w:ind w:right="20"/>
              <w:jc w:val="right"/>
              <w:rPr>
                <w:rFonts w:ascii="宋体" w:hAnsi="宋体" w:cs="宋体" w:eastAsia="宋体" w:hint="default"/>
                <w:sz w:val="15"/>
                <w:szCs w:val="15"/>
              </w:rPr>
            </w:pPr>
            <w:r>
              <w:rPr>
                <w:rFonts w:ascii="宋体"/>
                <w:spacing w:val="-2"/>
                <w:sz w:val="15"/>
              </w:rPr>
              <w:t>-8,433.05</w:t>
            </w:r>
            <w:r>
              <w:rPr>
                <w:rFonts w:ascii="宋体"/>
                <w:sz w:val="15"/>
              </w:rPr>
              <w:t> </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right="20"/>
              <w:jc w:val="right"/>
              <w:rPr>
                <w:rFonts w:ascii="宋体" w:hAnsi="宋体" w:cs="宋体" w:eastAsia="宋体" w:hint="default"/>
                <w:sz w:val="15"/>
                <w:szCs w:val="15"/>
              </w:rPr>
            </w:pPr>
            <w:r>
              <w:rPr>
                <w:rFonts w:ascii="宋体"/>
                <w:spacing w:val="-2"/>
                <w:sz w:val="15"/>
              </w:rPr>
              <w:t>4,786,348.20</w:t>
            </w:r>
            <w:r>
              <w:rPr>
                <w:rFonts w:ascii="宋体"/>
                <w:sz w:val="15"/>
              </w:rPr>
              <w:t> </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right="20"/>
              <w:jc w:val="right"/>
              <w:rPr>
                <w:rFonts w:ascii="宋体" w:hAnsi="宋体" w:cs="宋体" w:eastAsia="宋体" w:hint="default"/>
                <w:sz w:val="15"/>
                <w:szCs w:val="15"/>
              </w:rPr>
            </w:pPr>
            <w:r>
              <w:rPr>
                <w:rFonts w:ascii="宋体"/>
                <w:spacing w:val="-2"/>
                <w:sz w:val="15"/>
              </w:rPr>
              <w:t>76,495,620.20</w:t>
            </w:r>
            <w:r>
              <w:rPr>
                <w:rFonts w:ascii="宋体"/>
                <w:sz w:val="15"/>
              </w:rPr>
              <w:t> </w:t>
            </w:r>
          </w:p>
        </w:tc>
        <w:tc>
          <w:tcPr>
            <w:tcW w:w="569"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right="23"/>
              <w:jc w:val="right"/>
              <w:rPr>
                <w:rFonts w:ascii="宋体" w:hAnsi="宋体" w:cs="宋体" w:eastAsia="宋体" w:hint="default"/>
                <w:sz w:val="15"/>
                <w:szCs w:val="15"/>
              </w:rPr>
            </w:pPr>
            <w:r>
              <w:rPr>
                <w:rFonts w:ascii="宋体"/>
                <w:w w:val="100"/>
                <w:sz w:val="15"/>
              </w:rPr>
              <w:t> </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right="23"/>
              <w:jc w:val="right"/>
              <w:rPr>
                <w:rFonts w:ascii="宋体" w:hAnsi="宋体" w:cs="宋体" w:eastAsia="宋体" w:hint="default"/>
                <w:sz w:val="15"/>
                <w:szCs w:val="15"/>
              </w:rPr>
            </w:pPr>
            <w:r>
              <w:rPr>
                <w:rFonts w:ascii="宋体"/>
                <w:w w:val="100"/>
                <w:sz w:val="15"/>
              </w:rPr>
              <w:t> </w:t>
            </w:r>
          </w:p>
        </w:tc>
        <w:tc>
          <w:tcPr>
            <w:tcW w:w="1381"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right="23"/>
              <w:jc w:val="right"/>
              <w:rPr>
                <w:rFonts w:ascii="宋体" w:hAnsi="宋体" w:cs="宋体" w:eastAsia="宋体" w:hint="default"/>
                <w:sz w:val="15"/>
                <w:szCs w:val="15"/>
              </w:rPr>
            </w:pPr>
            <w:r>
              <w:rPr>
                <w:rFonts w:ascii="宋体"/>
                <w:w w:val="100"/>
                <w:sz w:val="15"/>
              </w:rPr>
              <w:t> </w:t>
            </w:r>
          </w:p>
        </w:tc>
        <w:tc>
          <w:tcPr>
            <w:tcW w:w="1454"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right="23"/>
              <w:jc w:val="right"/>
              <w:rPr>
                <w:rFonts w:ascii="宋体" w:hAnsi="宋体" w:cs="宋体" w:eastAsia="宋体" w:hint="default"/>
                <w:sz w:val="15"/>
                <w:szCs w:val="15"/>
              </w:rPr>
            </w:pPr>
            <w:r>
              <w:rPr>
                <w:rFonts w:ascii="宋体"/>
                <w:w w:val="100"/>
                <w:sz w:val="15"/>
              </w:rPr>
              <w:t> </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right="23"/>
              <w:jc w:val="right"/>
              <w:rPr>
                <w:rFonts w:ascii="宋体" w:hAnsi="宋体" w:cs="宋体" w:eastAsia="宋体" w:hint="default"/>
                <w:sz w:val="15"/>
                <w:szCs w:val="15"/>
              </w:rPr>
            </w:pPr>
            <w:r>
              <w:rPr>
                <w:rFonts w:ascii="宋体"/>
                <w:spacing w:val="-2"/>
                <w:sz w:val="15"/>
              </w:rPr>
              <w:t>-70,398,681.05</w:t>
            </w:r>
            <w:r>
              <w:rPr>
                <w:rFonts w:ascii="宋体"/>
                <w:sz w:val="15"/>
              </w:rPr>
              <w:t> </w:t>
            </w:r>
          </w:p>
        </w:tc>
      </w:tr>
      <w:tr>
        <w:trPr>
          <w:trHeight w:val="209" w:hRule="exact"/>
        </w:trPr>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1</w:t>
            </w:r>
            <w:r>
              <w:rPr>
                <w:rFonts w:ascii="宋体" w:hAnsi="宋体" w:cs="宋体" w:eastAsia="宋体" w:hint="default"/>
                <w:sz w:val="15"/>
                <w:szCs w:val="15"/>
              </w:rPr>
              <w:t>．所有者投入的普通股</w:t>
            </w:r>
            <w:r>
              <w:rPr>
                <w:rFonts w:ascii="宋体" w:hAnsi="宋体" w:cs="宋体" w:eastAsia="宋体" w:hint="default"/>
                <w:sz w:val="15"/>
                <w:szCs w:val="15"/>
              </w:rPr>
              <w:t> </w:t>
            </w:r>
          </w:p>
        </w:tc>
        <w:tc>
          <w:tcPr>
            <w:tcW w:w="1418" w:type="dxa"/>
            <w:tcBorders>
              <w:top w:val="single" w:sz="6" w:space="0" w:color="000000"/>
              <w:left w:val="single" w:sz="6" w:space="0" w:color="000000"/>
              <w:bottom w:val="single" w:sz="6"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spacing w:val="-2"/>
                <w:sz w:val="15"/>
              </w:rPr>
              <w:t>1,314,600.00</w:t>
            </w:r>
            <w:r>
              <w:rPr>
                <w:rFonts w:ascii="宋体"/>
                <w:sz w:val="15"/>
              </w:rPr>
              <w:t> </w:t>
            </w:r>
          </w:p>
        </w:tc>
        <w:tc>
          <w:tcPr>
            <w:tcW w:w="709" w:type="dxa"/>
            <w:tcBorders>
              <w:top w:val="single" w:sz="6" w:space="0" w:color="000000"/>
              <w:left w:val="single" w:sz="4" w:space="0" w:color="000000"/>
              <w:bottom w:val="single" w:sz="6"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708" w:type="dxa"/>
            <w:tcBorders>
              <w:top w:val="single" w:sz="6" w:space="0" w:color="000000"/>
              <w:left w:val="single" w:sz="4" w:space="0" w:color="000000"/>
              <w:bottom w:val="single" w:sz="6"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418" w:type="dxa"/>
            <w:tcBorders>
              <w:top w:val="single" w:sz="6" w:space="0" w:color="000000"/>
              <w:left w:val="single" w:sz="4" w:space="0" w:color="000000"/>
              <w:bottom w:val="single" w:sz="6" w:space="0" w:color="000000"/>
              <w:right w:val="single" w:sz="6" w:space="0" w:color="000000"/>
            </w:tcBorders>
          </w:tcPr>
          <w:p>
            <w:pPr>
              <w:pStyle w:val="TableParagraph"/>
              <w:spacing w:line="172" w:lineRule="exact"/>
              <w:ind w:right="20"/>
              <w:jc w:val="right"/>
              <w:rPr>
                <w:rFonts w:ascii="宋体" w:hAnsi="宋体" w:cs="宋体" w:eastAsia="宋体" w:hint="default"/>
                <w:sz w:val="15"/>
                <w:szCs w:val="15"/>
              </w:rPr>
            </w:pPr>
            <w:r>
              <w:rPr>
                <w:rFonts w:ascii="宋体"/>
                <w:w w:val="100"/>
                <w:sz w:val="15"/>
              </w:rPr>
              <w:t> </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0"/>
              <w:jc w:val="right"/>
              <w:rPr>
                <w:rFonts w:ascii="宋体" w:hAnsi="宋体" w:cs="宋体" w:eastAsia="宋体" w:hint="default"/>
                <w:sz w:val="15"/>
                <w:szCs w:val="15"/>
              </w:rPr>
            </w:pPr>
            <w:r>
              <w:rPr>
                <w:rFonts w:ascii="宋体"/>
                <w:spacing w:val="-2"/>
                <w:sz w:val="15"/>
              </w:rPr>
              <w:t>4,751,932.00</w:t>
            </w:r>
            <w:r>
              <w:rPr>
                <w:rFonts w:ascii="宋体"/>
                <w:sz w:val="15"/>
              </w:rPr>
              <w:t> </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0"/>
              <w:jc w:val="right"/>
              <w:rPr>
                <w:rFonts w:ascii="宋体" w:hAnsi="宋体" w:cs="宋体" w:eastAsia="宋体" w:hint="default"/>
                <w:sz w:val="15"/>
                <w:szCs w:val="15"/>
              </w:rPr>
            </w:pPr>
            <w:r>
              <w:rPr>
                <w:rFonts w:ascii="宋体"/>
                <w:w w:val="100"/>
                <w:sz w:val="15"/>
              </w:rPr>
              <w:t> </w:t>
            </w:r>
          </w:p>
        </w:tc>
        <w:tc>
          <w:tcPr>
            <w:tcW w:w="569"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381"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454"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2"/>
                <w:sz w:val="15"/>
              </w:rPr>
              <w:t>6,066,532.00</w:t>
            </w:r>
            <w:r>
              <w:rPr>
                <w:rFonts w:ascii="宋体"/>
                <w:sz w:val="15"/>
              </w:rPr>
              <w:t> </w:t>
            </w:r>
          </w:p>
        </w:tc>
      </w:tr>
      <w:tr>
        <w:trPr>
          <w:trHeight w:val="209" w:hRule="exact"/>
        </w:trPr>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2</w:t>
            </w:r>
            <w:r>
              <w:rPr>
                <w:rFonts w:ascii="宋体" w:hAnsi="宋体" w:cs="宋体" w:eastAsia="宋体" w:hint="default"/>
                <w:sz w:val="15"/>
                <w:szCs w:val="15"/>
              </w:rPr>
              <w:t>．其他权益工具持有者投入资本</w:t>
            </w:r>
            <w:r>
              <w:rPr>
                <w:rFonts w:ascii="宋体" w:hAnsi="宋体" w:cs="宋体" w:eastAsia="宋体" w:hint="default"/>
                <w:sz w:val="15"/>
                <w:szCs w:val="15"/>
              </w:rPr>
              <w:t> </w:t>
            </w:r>
          </w:p>
        </w:tc>
        <w:tc>
          <w:tcPr>
            <w:tcW w:w="1418" w:type="dxa"/>
            <w:tcBorders>
              <w:top w:val="single" w:sz="6" w:space="0" w:color="000000"/>
              <w:left w:val="single" w:sz="6" w:space="0" w:color="000000"/>
              <w:bottom w:val="single" w:sz="6"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spacing w:val="-2"/>
                <w:sz w:val="15"/>
              </w:rPr>
              <w:t>4,424.00</w:t>
            </w:r>
            <w:r>
              <w:rPr>
                <w:rFonts w:ascii="宋体"/>
                <w:sz w:val="15"/>
              </w:rPr>
              <w:t> </w:t>
            </w:r>
          </w:p>
        </w:tc>
        <w:tc>
          <w:tcPr>
            <w:tcW w:w="709" w:type="dxa"/>
            <w:tcBorders>
              <w:top w:val="single" w:sz="6" w:space="0" w:color="000000"/>
              <w:left w:val="single" w:sz="4" w:space="0" w:color="000000"/>
              <w:bottom w:val="single" w:sz="6"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708" w:type="dxa"/>
            <w:tcBorders>
              <w:top w:val="single" w:sz="6" w:space="0" w:color="000000"/>
              <w:left w:val="single" w:sz="4" w:space="0" w:color="000000"/>
              <w:bottom w:val="single" w:sz="6"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418" w:type="dxa"/>
            <w:tcBorders>
              <w:top w:val="single" w:sz="6" w:space="0" w:color="000000"/>
              <w:left w:val="single" w:sz="4" w:space="0" w:color="000000"/>
              <w:bottom w:val="single" w:sz="6" w:space="0" w:color="000000"/>
              <w:right w:val="single" w:sz="6" w:space="0" w:color="000000"/>
            </w:tcBorders>
          </w:tcPr>
          <w:p>
            <w:pPr>
              <w:pStyle w:val="TableParagraph"/>
              <w:spacing w:line="172" w:lineRule="exact"/>
              <w:ind w:right="20"/>
              <w:jc w:val="right"/>
              <w:rPr>
                <w:rFonts w:ascii="宋体" w:hAnsi="宋体" w:cs="宋体" w:eastAsia="宋体" w:hint="default"/>
                <w:sz w:val="15"/>
                <w:szCs w:val="15"/>
              </w:rPr>
            </w:pPr>
            <w:r>
              <w:rPr>
                <w:rFonts w:ascii="宋体"/>
                <w:spacing w:val="-2"/>
                <w:sz w:val="15"/>
              </w:rPr>
              <w:t>-8,433.05</w:t>
            </w:r>
            <w:r>
              <w:rPr>
                <w:rFonts w:ascii="宋体"/>
                <w:sz w:val="15"/>
              </w:rPr>
              <w:t> </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0"/>
              <w:jc w:val="right"/>
              <w:rPr>
                <w:rFonts w:ascii="宋体" w:hAnsi="宋体" w:cs="宋体" w:eastAsia="宋体" w:hint="default"/>
                <w:sz w:val="15"/>
                <w:szCs w:val="15"/>
              </w:rPr>
            </w:pPr>
            <w:r>
              <w:rPr>
                <w:rFonts w:ascii="宋体"/>
                <w:spacing w:val="-2"/>
                <w:sz w:val="15"/>
              </w:rPr>
              <w:t>34,416.20</w:t>
            </w:r>
            <w:r>
              <w:rPr>
                <w:rFonts w:ascii="宋体"/>
                <w:sz w:val="15"/>
              </w:rPr>
              <w:t> </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0"/>
              <w:jc w:val="right"/>
              <w:rPr>
                <w:rFonts w:ascii="宋体" w:hAnsi="宋体" w:cs="宋体" w:eastAsia="宋体" w:hint="default"/>
                <w:sz w:val="15"/>
                <w:szCs w:val="15"/>
              </w:rPr>
            </w:pPr>
            <w:r>
              <w:rPr>
                <w:rFonts w:ascii="宋体"/>
                <w:w w:val="100"/>
                <w:sz w:val="15"/>
              </w:rPr>
              <w:t> </w:t>
            </w:r>
          </w:p>
        </w:tc>
        <w:tc>
          <w:tcPr>
            <w:tcW w:w="569"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381"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454"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2"/>
                <w:sz w:val="15"/>
              </w:rPr>
              <w:t>30,407.15</w:t>
            </w:r>
            <w:r>
              <w:rPr>
                <w:rFonts w:ascii="宋体"/>
                <w:sz w:val="15"/>
              </w:rPr>
              <w:t> </w:t>
            </w:r>
          </w:p>
        </w:tc>
      </w:tr>
      <w:tr>
        <w:trPr>
          <w:trHeight w:val="211" w:hRule="exact"/>
        </w:trPr>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left="100" w:right="0"/>
              <w:jc w:val="left"/>
              <w:rPr>
                <w:rFonts w:ascii="宋体" w:hAnsi="宋体" w:cs="宋体" w:eastAsia="宋体" w:hint="default"/>
                <w:sz w:val="15"/>
                <w:szCs w:val="15"/>
              </w:rPr>
            </w:pPr>
            <w:r>
              <w:rPr>
                <w:rFonts w:ascii="宋体" w:hAnsi="宋体" w:cs="宋体" w:eastAsia="宋体" w:hint="default"/>
                <w:sz w:val="15"/>
                <w:szCs w:val="15"/>
              </w:rPr>
              <w:t>3</w:t>
            </w:r>
            <w:r>
              <w:rPr>
                <w:rFonts w:ascii="宋体" w:hAnsi="宋体" w:cs="宋体" w:eastAsia="宋体" w:hint="default"/>
                <w:sz w:val="15"/>
                <w:szCs w:val="15"/>
              </w:rPr>
              <w:t>．股份支付计入所有者权益的金额</w:t>
            </w:r>
            <w:r>
              <w:rPr>
                <w:rFonts w:ascii="宋体" w:hAnsi="宋体" w:cs="宋体" w:eastAsia="宋体" w:hint="default"/>
                <w:sz w:val="15"/>
                <w:szCs w:val="15"/>
              </w:rPr>
              <w:t> </w:t>
            </w:r>
          </w:p>
        </w:tc>
        <w:tc>
          <w:tcPr>
            <w:tcW w:w="1418" w:type="dxa"/>
            <w:tcBorders>
              <w:top w:val="single" w:sz="6" w:space="0" w:color="000000"/>
              <w:left w:val="single" w:sz="6" w:space="0" w:color="000000"/>
              <w:bottom w:val="single" w:sz="6" w:space="0" w:color="000000"/>
              <w:right w:val="single" w:sz="4" w:space="0" w:color="000000"/>
            </w:tcBorders>
          </w:tcPr>
          <w:p>
            <w:pPr>
              <w:pStyle w:val="TableParagraph"/>
              <w:spacing w:line="175" w:lineRule="exact"/>
              <w:ind w:right="25"/>
              <w:jc w:val="right"/>
              <w:rPr>
                <w:rFonts w:ascii="宋体" w:hAnsi="宋体" w:cs="宋体" w:eastAsia="宋体" w:hint="default"/>
                <w:sz w:val="15"/>
                <w:szCs w:val="15"/>
              </w:rPr>
            </w:pPr>
            <w:r>
              <w:rPr>
                <w:rFonts w:ascii="宋体"/>
                <w:w w:val="100"/>
                <w:sz w:val="15"/>
              </w:rPr>
              <w:t> </w:t>
            </w:r>
          </w:p>
        </w:tc>
        <w:tc>
          <w:tcPr>
            <w:tcW w:w="709" w:type="dxa"/>
            <w:tcBorders>
              <w:top w:val="single" w:sz="6" w:space="0" w:color="000000"/>
              <w:left w:val="single" w:sz="4" w:space="0" w:color="000000"/>
              <w:bottom w:val="single" w:sz="6" w:space="0" w:color="000000"/>
              <w:right w:val="single" w:sz="4" w:space="0" w:color="000000"/>
            </w:tcBorders>
          </w:tcPr>
          <w:p>
            <w:pPr>
              <w:pStyle w:val="TableParagraph"/>
              <w:spacing w:line="175" w:lineRule="exact"/>
              <w:ind w:right="25"/>
              <w:jc w:val="right"/>
              <w:rPr>
                <w:rFonts w:ascii="宋体" w:hAnsi="宋体" w:cs="宋体" w:eastAsia="宋体" w:hint="default"/>
                <w:sz w:val="15"/>
                <w:szCs w:val="15"/>
              </w:rPr>
            </w:pPr>
            <w:r>
              <w:rPr>
                <w:rFonts w:ascii="宋体"/>
                <w:w w:val="100"/>
                <w:sz w:val="15"/>
              </w:rPr>
              <w:t> </w:t>
            </w:r>
          </w:p>
        </w:tc>
        <w:tc>
          <w:tcPr>
            <w:tcW w:w="708" w:type="dxa"/>
            <w:tcBorders>
              <w:top w:val="single" w:sz="6" w:space="0" w:color="000000"/>
              <w:left w:val="single" w:sz="4" w:space="0" w:color="000000"/>
              <w:bottom w:val="single" w:sz="6" w:space="0" w:color="000000"/>
              <w:right w:val="single" w:sz="4" w:space="0" w:color="000000"/>
            </w:tcBorders>
          </w:tcPr>
          <w:p>
            <w:pPr>
              <w:pStyle w:val="TableParagraph"/>
              <w:spacing w:line="175" w:lineRule="exact"/>
              <w:ind w:right="23"/>
              <w:jc w:val="right"/>
              <w:rPr>
                <w:rFonts w:ascii="宋体" w:hAnsi="宋体" w:cs="宋体" w:eastAsia="宋体" w:hint="default"/>
                <w:sz w:val="15"/>
                <w:szCs w:val="15"/>
              </w:rPr>
            </w:pPr>
            <w:r>
              <w:rPr>
                <w:rFonts w:ascii="宋体"/>
                <w:w w:val="100"/>
                <w:sz w:val="15"/>
              </w:rPr>
              <w:t> </w:t>
            </w:r>
          </w:p>
        </w:tc>
        <w:tc>
          <w:tcPr>
            <w:tcW w:w="1418" w:type="dxa"/>
            <w:tcBorders>
              <w:top w:val="single" w:sz="6" w:space="0" w:color="000000"/>
              <w:left w:val="single" w:sz="4" w:space="0" w:color="000000"/>
              <w:bottom w:val="single" w:sz="6" w:space="0" w:color="000000"/>
              <w:right w:val="single" w:sz="6" w:space="0" w:color="000000"/>
            </w:tcBorders>
          </w:tcPr>
          <w:p>
            <w:pPr>
              <w:pStyle w:val="TableParagraph"/>
              <w:spacing w:line="175" w:lineRule="exact"/>
              <w:ind w:right="20"/>
              <w:jc w:val="right"/>
              <w:rPr>
                <w:rFonts w:ascii="宋体" w:hAnsi="宋体" w:cs="宋体" w:eastAsia="宋体" w:hint="default"/>
                <w:sz w:val="15"/>
                <w:szCs w:val="15"/>
              </w:rPr>
            </w:pPr>
            <w:r>
              <w:rPr>
                <w:rFonts w:ascii="宋体"/>
                <w:w w:val="100"/>
                <w:sz w:val="15"/>
              </w:rPr>
              <w:t> </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right="20"/>
              <w:jc w:val="right"/>
              <w:rPr>
                <w:rFonts w:ascii="宋体" w:hAnsi="宋体" w:cs="宋体" w:eastAsia="宋体" w:hint="default"/>
                <w:sz w:val="15"/>
                <w:szCs w:val="15"/>
              </w:rPr>
            </w:pPr>
            <w:r>
              <w:rPr>
                <w:rFonts w:ascii="宋体"/>
                <w:w w:val="100"/>
                <w:sz w:val="15"/>
              </w:rPr>
              <w:t> </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right="20"/>
              <w:jc w:val="right"/>
              <w:rPr>
                <w:rFonts w:ascii="宋体" w:hAnsi="宋体" w:cs="宋体" w:eastAsia="宋体" w:hint="default"/>
                <w:sz w:val="15"/>
                <w:szCs w:val="15"/>
              </w:rPr>
            </w:pPr>
            <w:r>
              <w:rPr>
                <w:rFonts w:ascii="宋体"/>
                <w:spacing w:val="-2"/>
                <w:sz w:val="15"/>
              </w:rPr>
              <w:t>-23,119,140.00</w:t>
            </w:r>
            <w:r>
              <w:rPr>
                <w:rFonts w:ascii="宋体"/>
                <w:sz w:val="15"/>
              </w:rPr>
              <w:t> </w:t>
            </w:r>
          </w:p>
        </w:tc>
        <w:tc>
          <w:tcPr>
            <w:tcW w:w="569"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right="23"/>
              <w:jc w:val="right"/>
              <w:rPr>
                <w:rFonts w:ascii="宋体" w:hAnsi="宋体" w:cs="宋体" w:eastAsia="宋体" w:hint="default"/>
                <w:sz w:val="15"/>
                <w:szCs w:val="15"/>
              </w:rPr>
            </w:pPr>
            <w:r>
              <w:rPr>
                <w:rFonts w:ascii="宋体"/>
                <w:w w:val="100"/>
                <w:sz w:val="15"/>
              </w:rPr>
              <w:t> </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right="23"/>
              <w:jc w:val="right"/>
              <w:rPr>
                <w:rFonts w:ascii="宋体" w:hAnsi="宋体" w:cs="宋体" w:eastAsia="宋体" w:hint="default"/>
                <w:sz w:val="15"/>
                <w:szCs w:val="15"/>
              </w:rPr>
            </w:pPr>
            <w:r>
              <w:rPr>
                <w:rFonts w:ascii="宋体"/>
                <w:w w:val="100"/>
                <w:sz w:val="15"/>
              </w:rPr>
              <w:t> </w:t>
            </w:r>
          </w:p>
        </w:tc>
        <w:tc>
          <w:tcPr>
            <w:tcW w:w="1381"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right="23"/>
              <w:jc w:val="right"/>
              <w:rPr>
                <w:rFonts w:ascii="宋体" w:hAnsi="宋体" w:cs="宋体" w:eastAsia="宋体" w:hint="default"/>
                <w:sz w:val="15"/>
                <w:szCs w:val="15"/>
              </w:rPr>
            </w:pPr>
            <w:r>
              <w:rPr>
                <w:rFonts w:ascii="宋体"/>
                <w:w w:val="100"/>
                <w:sz w:val="15"/>
              </w:rPr>
              <w:t> </w:t>
            </w:r>
          </w:p>
        </w:tc>
        <w:tc>
          <w:tcPr>
            <w:tcW w:w="1454"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right="23"/>
              <w:jc w:val="right"/>
              <w:rPr>
                <w:rFonts w:ascii="宋体" w:hAnsi="宋体" w:cs="宋体" w:eastAsia="宋体" w:hint="default"/>
                <w:sz w:val="15"/>
                <w:szCs w:val="15"/>
              </w:rPr>
            </w:pPr>
            <w:r>
              <w:rPr>
                <w:rFonts w:ascii="宋体"/>
                <w:w w:val="100"/>
                <w:sz w:val="15"/>
              </w:rPr>
              <w:t> </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right="23"/>
              <w:jc w:val="right"/>
              <w:rPr>
                <w:rFonts w:ascii="宋体" w:hAnsi="宋体" w:cs="宋体" w:eastAsia="宋体" w:hint="default"/>
                <w:sz w:val="15"/>
                <w:szCs w:val="15"/>
              </w:rPr>
            </w:pPr>
            <w:r>
              <w:rPr>
                <w:rFonts w:ascii="宋体"/>
                <w:spacing w:val="-2"/>
                <w:sz w:val="15"/>
              </w:rPr>
              <w:t>23,119,140.00</w:t>
            </w:r>
            <w:r>
              <w:rPr>
                <w:rFonts w:ascii="宋体"/>
                <w:sz w:val="15"/>
              </w:rPr>
              <w:t> </w:t>
            </w:r>
          </w:p>
        </w:tc>
      </w:tr>
      <w:tr>
        <w:trPr>
          <w:trHeight w:val="209" w:hRule="exact"/>
        </w:trPr>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4</w:t>
            </w:r>
            <w:r>
              <w:rPr>
                <w:rFonts w:ascii="宋体" w:hAnsi="宋体" w:cs="宋体" w:eastAsia="宋体" w:hint="default"/>
                <w:sz w:val="15"/>
                <w:szCs w:val="15"/>
              </w:rPr>
              <w:t>．其他</w:t>
            </w:r>
            <w:r>
              <w:rPr>
                <w:rFonts w:ascii="宋体" w:hAnsi="宋体" w:cs="宋体" w:eastAsia="宋体" w:hint="default"/>
                <w:sz w:val="15"/>
                <w:szCs w:val="15"/>
              </w:rPr>
              <w:t> </w:t>
            </w:r>
          </w:p>
        </w:tc>
        <w:tc>
          <w:tcPr>
            <w:tcW w:w="1418" w:type="dxa"/>
            <w:tcBorders>
              <w:top w:val="single" w:sz="6" w:space="0" w:color="000000"/>
              <w:left w:val="single" w:sz="6" w:space="0" w:color="000000"/>
              <w:bottom w:val="single" w:sz="6"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709" w:type="dxa"/>
            <w:tcBorders>
              <w:top w:val="single" w:sz="6" w:space="0" w:color="000000"/>
              <w:left w:val="single" w:sz="4" w:space="0" w:color="000000"/>
              <w:bottom w:val="single" w:sz="6"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708" w:type="dxa"/>
            <w:tcBorders>
              <w:top w:val="single" w:sz="6" w:space="0" w:color="000000"/>
              <w:left w:val="single" w:sz="4" w:space="0" w:color="000000"/>
              <w:bottom w:val="single" w:sz="6"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418" w:type="dxa"/>
            <w:tcBorders>
              <w:top w:val="single" w:sz="6" w:space="0" w:color="000000"/>
              <w:left w:val="single" w:sz="4" w:space="0" w:color="000000"/>
              <w:bottom w:val="single" w:sz="6" w:space="0" w:color="000000"/>
              <w:right w:val="single" w:sz="6" w:space="0" w:color="000000"/>
            </w:tcBorders>
          </w:tcPr>
          <w:p>
            <w:pPr>
              <w:pStyle w:val="TableParagraph"/>
              <w:spacing w:line="172" w:lineRule="exact"/>
              <w:ind w:right="20"/>
              <w:jc w:val="right"/>
              <w:rPr>
                <w:rFonts w:ascii="宋体" w:hAnsi="宋体" w:cs="宋体" w:eastAsia="宋体" w:hint="default"/>
                <w:sz w:val="15"/>
                <w:szCs w:val="15"/>
              </w:rPr>
            </w:pPr>
            <w:r>
              <w:rPr>
                <w:rFonts w:ascii="宋体"/>
                <w:w w:val="100"/>
                <w:sz w:val="15"/>
              </w:rPr>
              <w:t> </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0"/>
              <w:jc w:val="right"/>
              <w:rPr>
                <w:rFonts w:ascii="宋体" w:hAnsi="宋体" w:cs="宋体" w:eastAsia="宋体" w:hint="default"/>
                <w:sz w:val="15"/>
                <w:szCs w:val="15"/>
              </w:rPr>
            </w:pPr>
            <w:r>
              <w:rPr>
                <w:rFonts w:ascii="宋体"/>
                <w:w w:val="100"/>
                <w:sz w:val="15"/>
              </w:rPr>
              <w:t> </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0"/>
              <w:jc w:val="right"/>
              <w:rPr>
                <w:rFonts w:ascii="宋体" w:hAnsi="宋体" w:cs="宋体" w:eastAsia="宋体" w:hint="default"/>
                <w:sz w:val="15"/>
                <w:szCs w:val="15"/>
              </w:rPr>
            </w:pPr>
            <w:r>
              <w:rPr>
                <w:rFonts w:ascii="宋体"/>
                <w:spacing w:val="-2"/>
                <w:sz w:val="15"/>
              </w:rPr>
              <w:t>99,614,760.20</w:t>
            </w:r>
            <w:r>
              <w:rPr>
                <w:rFonts w:ascii="宋体"/>
                <w:sz w:val="15"/>
              </w:rPr>
              <w:t> </w:t>
            </w:r>
          </w:p>
        </w:tc>
        <w:tc>
          <w:tcPr>
            <w:tcW w:w="569"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381"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454"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2"/>
                <w:sz w:val="15"/>
              </w:rPr>
              <w:t>-99,614,760.20</w:t>
            </w:r>
            <w:r>
              <w:rPr>
                <w:rFonts w:ascii="宋体"/>
                <w:sz w:val="15"/>
              </w:rPr>
              <w:t> </w:t>
            </w:r>
          </w:p>
        </w:tc>
      </w:tr>
      <w:tr>
        <w:trPr>
          <w:trHeight w:val="209" w:hRule="exact"/>
        </w:trPr>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（三）利润分配</w:t>
            </w:r>
            <w:r>
              <w:rPr>
                <w:rFonts w:ascii="宋体" w:hAnsi="宋体" w:cs="宋体" w:eastAsia="宋体" w:hint="default"/>
                <w:sz w:val="15"/>
                <w:szCs w:val="15"/>
              </w:rPr>
              <w:t> </w:t>
            </w:r>
          </w:p>
        </w:tc>
        <w:tc>
          <w:tcPr>
            <w:tcW w:w="1418" w:type="dxa"/>
            <w:tcBorders>
              <w:top w:val="single" w:sz="6" w:space="0" w:color="000000"/>
              <w:left w:val="single" w:sz="6" w:space="0" w:color="000000"/>
              <w:bottom w:val="single" w:sz="6"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709" w:type="dxa"/>
            <w:tcBorders>
              <w:top w:val="single" w:sz="6" w:space="0" w:color="000000"/>
              <w:left w:val="single" w:sz="4" w:space="0" w:color="000000"/>
              <w:bottom w:val="single" w:sz="6"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708" w:type="dxa"/>
            <w:tcBorders>
              <w:top w:val="single" w:sz="6" w:space="0" w:color="000000"/>
              <w:left w:val="single" w:sz="4" w:space="0" w:color="000000"/>
              <w:bottom w:val="single" w:sz="6"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418" w:type="dxa"/>
            <w:tcBorders>
              <w:top w:val="single" w:sz="6" w:space="0" w:color="000000"/>
              <w:left w:val="single" w:sz="4" w:space="0" w:color="000000"/>
              <w:bottom w:val="single" w:sz="6" w:space="0" w:color="000000"/>
              <w:right w:val="single" w:sz="6" w:space="0" w:color="000000"/>
            </w:tcBorders>
          </w:tcPr>
          <w:p>
            <w:pPr>
              <w:pStyle w:val="TableParagraph"/>
              <w:spacing w:line="172" w:lineRule="exact"/>
              <w:ind w:right="20"/>
              <w:jc w:val="right"/>
              <w:rPr>
                <w:rFonts w:ascii="宋体" w:hAnsi="宋体" w:cs="宋体" w:eastAsia="宋体" w:hint="default"/>
                <w:sz w:val="15"/>
                <w:szCs w:val="15"/>
              </w:rPr>
            </w:pPr>
            <w:r>
              <w:rPr>
                <w:rFonts w:ascii="宋体"/>
                <w:w w:val="100"/>
                <w:sz w:val="15"/>
              </w:rPr>
              <w:t> </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0"/>
              <w:jc w:val="right"/>
              <w:rPr>
                <w:rFonts w:ascii="宋体" w:hAnsi="宋体" w:cs="宋体" w:eastAsia="宋体" w:hint="default"/>
                <w:sz w:val="15"/>
                <w:szCs w:val="15"/>
              </w:rPr>
            </w:pPr>
            <w:r>
              <w:rPr>
                <w:rFonts w:ascii="宋体"/>
                <w:w w:val="100"/>
                <w:sz w:val="15"/>
              </w:rPr>
              <w:t> </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0"/>
              <w:jc w:val="right"/>
              <w:rPr>
                <w:rFonts w:ascii="宋体" w:hAnsi="宋体" w:cs="宋体" w:eastAsia="宋体" w:hint="default"/>
                <w:sz w:val="15"/>
                <w:szCs w:val="15"/>
              </w:rPr>
            </w:pPr>
            <w:r>
              <w:rPr>
                <w:rFonts w:ascii="宋体"/>
                <w:w w:val="100"/>
                <w:sz w:val="15"/>
              </w:rPr>
              <w:t> </w:t>
            </w:r>
          </w:p>
        </w:tc>
        <w:tc>
          <w:tcPr>
            <w:tcW w:w="569"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381"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2"/>
                <w:sz w:val="15"/>
              </w:rPr>
              <w:t>6,784,715.19</w:t>
            </w:r>
            <w:r>
              <w:rPr>
                <w:rFonts w:ascii="宋体"/>
                <w:sz w:val="15"/>
              </w:rPr>
              <w:t> </w:t>
            </w:r>
          </w:p>
        </w:tc>
        <w:tc>
          <w:tcPr>
            <w:tcW w:w="1454"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2"/>
                <w:sz w:val="15"/>
              </w:rPr>
              <w:t>-77,401,121.55</w:t>
            </w:r>
            <w:r>
              <w:rPr>
                <w:rFonts w:ascii="宋体"/>
                <w:sz w:val="15"/>
              </w:rPr>
              <w:t> </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2"/>
                <w:sz w:val="15"/>
              </w:rPr>
              <w:t>-70,616,406.36</w:t>
            </w:r>
            <w:r>
              <w:rPr>
                <w:rFonts w:ascii="宋体"/>
                <w:sz w:val="15"/>
              </w:rPr>
              <w:t> </w:t>
            </w:r>
          </w:p>
        </w:tc>
      </w:tr>
      <w:tr>
        <w:trPr>
          <w:trHeight w:val="211" w:hRule="exact"/>
        </w:trPr>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1</w:t>
            </w:r>
            <w:r>
              <w:rPr>
                <w:rFonts w:ascii="宋体" w:hAnsi="宋体" w:cs="宋体" w:eastAsia="宋体" w:hint="default"/>
                <w:sz w:val="15"/>
                <w:szCs w:val="15"/>
              </w:rPr>
              <w:t>．提取盈余公积</w:t>
            </w:r>
            <w:r>
              <w:rPr>
                <w:rFonts w:ascii="宋体" w:hAnsi="宋体" w:cs="宋体" w:eastAsia="宋体" w:hint="default"/>
                <w:sz w:val="15"/>
                <w:szCs w:val="15"/>
              </w:rPr>
              <w:t> </w:t>
            </w:r>
          </w:p>
        </w:tc>
        <w:tc>
          <w:tcPr>
            <w:tcW w:w="1418" w:type="dxa"/>
            <w:tcBorders>
              <w:top w:val="single" w:sz="6" w:space="0" w:color="000000"/>
              <w:left w:val="single" w:sz="6" w:space="0" w:color="000000"/>
              <w:bottom w:val="single" w:sz="6"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709" w:type="dxa"/>
            <w:tcBorders>
              <w:top w:val="single" w:sz="6" w:space="0" w:color="000000"/>
              <w:left w:val="single" w:sz="4" w:space="0" w:color="000000"/>
              <w:bottom w:val="single" w:sz="6"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708" w:type="dxa"/>
            <w:tcBorders>
              <w:top w:val="single" w:sz="6" w:space="0" w:color="000000"/>
              <w:left w:val="single" w:sz="4" w:space="0" w:color="000000"/>
              <w:bottom w:val="single" w:sz="6"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418" w:type="dxa"/>
            <w:tcBorders>
              <w:top w:val="single" w:sz="6" w:space="0" w:color="000000"/>
              <w:left w:val="single" w:sz="4" w:space="0" w:color="000000"/>
              <w:bottom w:val="single" w:sz="6" w:space="0" w:color="000000"/>
              <w:right w:val="single" w:sz="6" w:space="0" w:color="000000"/>
            </w:tcBorders>
          </w:tcPr>
          <w:p>
            <w:pPr>
              <w:pStyle w:val="TableParagraph"/>
              <w:spacing w:line="172" w:lineRule="exact"/>
              <w:ind w:right="20"/>
              <w:jc w:val="right"/>
              <w:rPr>
                <w:rFonts w:ascii="宋体" w:hAnsi="宋体" w:cs="宋体" w:eastAsia="宋体" w:hint="default"/>
                <w:sz w:val="15"/>
                <w:szCs w:val="15"/>
              </w:rPr>
            </w:pPr>
            <w:r>
              <w:rPr>
                <w:rFonts w:ascii="宋体"/>
                <w:w w:val="100"/>
                <w:sz w:val="15"/>
              </w:rPr>
              <w:t> </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0"/>
              <w:jc w:val="right"/>
              <w:rPr>
                <w:rFonts w:ascii="宋体" w:hAnsi="宋体" w:cs="宋体" w:eastAsia="宋体" w:hint="default"/>
                <w:sz w:val="15"/>
                <w:szCs w:val="15"/>
              </w:rPr>
            </w:pPr>
            <w:r>
              <w:rPr>
                <w:rFonts w:ascii="宋体"/>
                <w:w w:val="100"/>
                <w:sz w:val="15"/>
              </w:rPr>
              <w:t> </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0"/>
              <w:jc w:val="right"/>
              <w:rPr>
                <w:rFonts w:ascii="宋体" w:hAnsi="宋体" w:cs="宋体" w:eastAsia="宋体" w:hint="default"/>
                <w:sz w:val="15"/>
                <w:szCs w:val="15"/>
              </w:rPr>
            </w:pPr>
            <w:r>
              <w:rPr>
                <w:rFonts w:ascii="宋体"/>
                <w:w w:val="100"/>
                <w:sz w:val="15"/>
              </w:rPr>
              <w:t> </w:t>
            </w:r>
          </w:p>
        </w:tc>
        <w:tc>
          <w:tcPr>
            <w:tcW w:w="569"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381"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2"/>
                <w:sz w:val="15"/>
              </w:rPr>
              <w:t>6,784,715.19</w:t>
            </w:r>
            <w:r>
              <w:rPr>
                <w:rFonts w:ascii="宋体"/>
                <w:sz w:val="15"/>
              </w:rPr>
              <w:t> </w:t>
            </w:r>
          </w:p>
        </w:tc>
        <w:tc>
          <w:tcPr>
            <w:tcW w:w="1454"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2"/>
                <w:sz w:val="15"/>
              </w:rPr>
              <w:t>-6,784,715.19</w:t>
            </w:r>
            <w:r>
              <w:rPr>
                <w:rFonts w:ascii="宋体"/>
                <w:sz w:val="15"/>
              </w:rPr>
              <w:t> </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r>
      <w:tr>
        <w:trPr>
          <w:trHeight w:val="209" w:hRule="exact"/>
        </w:trPr>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2</w:t>
            </w:r>
            <w:r>
              <w:rPr>
                <w:rFonts w:ascii="宋体" w:hAnsi="宋体" w:cs="宋体" w:eastAsia="宋体" w:hint="default"/>
                <w:sz w:val="15"/>
                <w:szCs w:val="15"/>
              </w:rPr>
              <w:t>．对所有者（或股东）的分配</w:t>
            </w:r>
            <w:r>
              <w:rPr>
                <w:rFonts w:ascii="宋体" w:hAnsi="宋体" w:cs="宋体" w:eastAsia="宋体" w:hint="default"/>
                <w:sz w:val="15"/>
                <w:szCs w:val="15"/>
              </w:rPr>
              <w:t> </w:t>
            </w:r>
          </w:p>
        </w:tc>
        <w:tc>
          <w:tcPr>
            <w:tcW w:w="1418" w:type="dxa"/>
            <w:tcBorders>
              <w:top w:val="single" w:sz="6" w:space="0" w:color="000000"/>
              <w:left w:val="single" w:sz="6" w:space="0" w:color="000000"/>
              <w:bottom w:val="single" w:sz="6"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709" w:type="dxa"/>
            <w:tcBorders>
              <w:top w:val="single" w:sz="6" w:space="0" w:color="000000"/>
              <w:left w:val="single" w:sz="4" w:space="0" w:color="000000"/>
              <w:bottom w:val="single" w:sz="6"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708" w:type="dxa"/>
            <w:tcBorders>
              <w:top w:val="single" w:sz="6" w:space="0" w:color="000000"/>
              <w:left w:val="single" w:sz="4" w:space="0" w:color="000000"/>
              <w:bottom w:val="single" w:sz="6"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418" w:type="dxa"/>
            <w:tcBorders>
              <w:top w:val="single" w:sz="6" w:space="0" w:color="000000"/>
              <w:left w:val="single" w:sz="4" w:space="0" w:color="000000"/>
              <w:bottom w:val="single" w:sz="6" w:space="0" w:color="000000"/>
              <w:right w:val="single" w:sz="6" w:space="0" w:color="000000"/>
            </w:tcBorders>
          </w:tcPr>
          <w:p>
            <w:pPr>
              <w:pStyle w:val="TableParagraph"/>
              <w:spacing w:line="172" w:lineRule="exact"/>
              <w:ind w:right="20"/>
              <w:jc w:val="right"/>
              <w:rPr>
                <w:rFonts w:ascii="宋体" w:hAnsi="宋体" w:cs="宋体" w:eastAsia="宋体" w:hint="default"/>
                <w:sz w:val="15"/>
                <w:szCs w:val="15"/>
              </w:rPr>
            </w:pPr>
            <w:r>
              <w:rPr>
                <w:rFonts w:ascii="宋体"/>
                <w:w w:val="100"/>
                <w:sz w:val="15"/>
              </w:rPr>
              <w:t> </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0"/>
              <w:jc w:val="right"/>
              <w:rPr>
                <w:rFonts w:ascii="宋体" w:hAnsi="宋体" w:cs="宋体" w:eastAsia="宋体" w:hint="default"/>
                <w:sz w:val="15"/>
                <w:szCs w:val="15"/>
              </w:rPr>
            </w:pPr>
            <w:r>
              <w:rPr>
                <w:rFonts w:ascii="宋体"/>
                <w:w w:val="100"/>
                <w:sz w:val="15"/>
              </w:rPr>
              <w:t> </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0"/>
              <w:jc w:val="right"/>
              <w:rPr>
                <w:rFonts w:ascii="宋体" w:hAnsi="宋体" w:cs="宋体" w:eastAsia="宋体" w:hint="default"/>
                <w:sz w:val="15"/>
                <w:szCs w:val="15"/>
              </w:rPr>
            </w:pPr>
            <w:r>
              <w:rPr>
                <w:rFonts w:ascii="宋体"/>
                <w:w w:val="100"/>
                <w:sz w:val="15"/>
              </w:rPr>
              <w:t> </w:t>
            </w:r>
          </w:p>
        </w:tc>
        <w:tc>
          <w:tcPr>
            <w:tcW w:w="569"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381"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454"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2"/>
                <w:sz w:val="15"/>
              </w:rPr>
              <w:t>-70,616,406.36</w:t>
            </w:r>
            <w:r>
              <w:rPr>
                <w:rFonts w:ascii="宋体"/>
                <w:sz w:val="15"/>
              </w:rPr>
              <w:t> </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2"/>
                <w:sz w:val="15"/>
              </w:rPr>
              <w:t>-70,616,406.36</w:t>
            </w:r>
            <w:r>
              <w:rPr>
                <w:rFonts w:ascii="宋体"/>
                <w:sz w:val="15"/>
              </w:rPr>
              <w:t> </w:t>
            </w:r>
          </w:p>
        </w:tc>
      </w:tr>
      <w:tr>
        <w:trPr>
          <w:trHeight w:val="209" w:hRule="exact"/>
        </w:trPr>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3</w:t>
            </w:r>
            <w:r>
              <w:rPr>
                <w:rFonts w:ascii="宋体" w:hAnsi="宋体" w:cs="宋体" w:eastAsia="宋体" w:hint="default"/>
                <w:sz w:val="15"/>
                <w:szCs w:val="15"/>
              </w:rPr>
              <w:t>．其他</w:t>
            </w:r>
            <w:r>
              <w:rPr>
                <w:rFonts w:ascii="宋体" w:hAnsi="宋体" w:cs="宋体" w:eastAsia="宋体" w:hint="default"/>
                <w:sz w:val="15"/>
                <w:szCs w:val="15"/>
              </w:rPr>
              <w:t> </w:t>
            </w:r>
          </w:p>
        </w:tc>
        <w:tc>
          <w:tcPr>
            <w:tcW w:w="1418" w:type="dxa"/>
            <w:tcBorders>
              <w:top w:val="single" w:sz="6" w:space="0" w:color="000000"/>
              <w:left w:val="single" w:sz="6" w:space="0" w:color="000000"/>
              <w:bottom w:val="single" w:sz="6"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709" w:type="dxa"/>
            <w:tcBorders>
              <w:top w:val="single" w:sz="6" w:space="0" w:color="000000"/>
              <w:left w:val="single" w:sz="4" w:space="0" w:color="000000"/>
              <w:bottom w:val="single" w:sz="6"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708" w:type="dxa"/>
            <w:tcBorders>
              <w:top w:val="single" w:sz="6" w:space="0" w:color="000000"/>
              <w:left w:val="single" w:sz="4" w:space="0" w:color="000000"/>
              <w:bottom w:val="single" w:sz="6"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418" w:type="dxa"/>
            <w:tcBorders>
              <w:top w:val="single" w:sz="6" w:space="0" w:color="000000"/>
              <w:left w:val="single" w:sz="4" w:space="0" w:color="000000"/>
              <w:bottom w:val="single" w:sz="6" w:space="0" w:color="000000"/>
              <w:right w:val="single" w:sz="6" w:space="0" w:color="000000"/>
            </w:tcBorders>
          </w:tcPr>
          <w:p>
            <w:pPr>
              <w:pStyle w:val="TableParagraph"/>
              <w:spacing w:line="172" w:lineRule="exact"/>
              <w:ind w:right="20"/>
              <w:jc w:val="right"/>
              <w:rPr>
                <w:rFonts w:ascii="宋体" w:hAnsi="宋体" w:cs="宋体" w:eastAsia="宋体" w:hint="default"/>
                <w:sz w:val="15"/>
                <w:szCs w:val="15"/>
              </w:rPr>
            </w:pPr>
            <w:r>
              <w:rPr>
                <w:rFonts w:ascii="宋体"/>
                <w:w w:val="100"/>
                <w:sz w:val="15"/>
              </w:rPr>
              <w:t> </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0"/>
              <w:jc w:val="right"/>
              <w:rPr>
                <w:rFonts w:ascii="宋体" w:hAnsi="宋体" w:cs="宋体" w:eastAsia="宋体" w:hint="default"/>
                <w:sz w:val="15"/>
                <w:szCs w:val="15"/>
              </w:rPr>
            </w:pPr>
            <w:r>
              <w:rPr>
                <w:rFonts w:ascii="宋体"/>
                <w:w w:val="100"/>
                <w:sz w:val="15"/>
              </w:rPr>
              <w:t> </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0"/>
              <w:jc w:val="right"/>
              <w:rPr>
                <w:rFonts w:ascii="宋体" w:hAnsi="宋体" w:cs="宋体" w:eastAsia="宋体" w:hint="default"/>
                <w:sz w:val="15"/>
                <w:szCs w:val="15"/>
              </w:rPr>
            </w:pPr>
            <w:r>
              <w:rPr>
                <w:rFonts w:ascii="宋体"/>
                <w:w w:val="100"/>
                <w:sz w:val="15"/>
              </w:rPr>
              <w:t> </w:t>
            </w:r>
          </w:p>
        </w:tc>
        <w:tc>
          <w:tcPr>
            <w:tcW w:w="569"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381"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454"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r>
      <w:tr>
        <w:trPr>
          <w:trHeight w:val="209" w:hRule="exact"/>
        </w:trPr>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（四）所有者权益内部结转</w:t>
            </w:r>
            <w:r>
              <w:rPr>
                <w:rFonts w:ascii="宋体" w:hAnsi="宋体" w:cs="宋体" w:eastAsia="宋体" w:hint="default"/>
                <w:sz w:val="15"/>
                <w:szCs w:val="15"/>
              </w:rPr>
              <w:t> </w:t>
            </w:r>
          </w:p>
        </w:tc>
        <w:tc>
          <w:tcPr>
            <w:tcW w:w="1418" w:type="dxa"/>
            <w:tcBorders>
              <w:top w:val="single" w:sz="6" w:space="0" w:color="000000"/>
              <w:left w:val="single" w:sz="6" w:space="0" w:color="000000"/>
              <w:bottom w:val="single" w:sz="6"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709" w:type="dxa"/>
            <w:tcBorders>
              <w:top w:val="single" w:sz="6" w:space="0" w:color="000000"/>
              <w:left w:val="single" w:sz="4" w:space="0" w:color="000000"/>
              <w:bottom w:val="single" w:sz="6"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708" w:type="dxa"/>
            <w:tcBorders>
              <w:top w:val="single" w:sz="6" w:space="0" w:color="000000"/>
              <w:left w:val="single" w:sz="4" w:space="0" w:color="000000"/>
              <w:bottom w:val="single" w:sz="6"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418" w:type="dxa"/>
            <w:tcBorders>
              <w:top w:val="single" w:sz="6" w:space="0" w:color="000000"/>
              <w:left w:val="single" w:sz="4" w:space="0" w:color="000000"/>
              <w:bottom w:val="single" w:sz="6" w:space="0" w:color="000000"/>
              <w:right w:val="single" w:sz="6" w:space="0" w:color="000000"/>
            </w:tcBorders>
          </w:tcPr>
          <w:p>
            <w:pPr>
              <w:pStyle w:val="TableParagraph"/>
              <w:spacing w:line="172" w:lineRule="exact"/>
              <w:ind w:right="20"/>
              <w:jc w:val="right"/>
              <w:rPr>
                <w:rFonts w:ascii="宋体" w:hAnsi="宋体" w:cs="宋体" w:eastAsia="宋体" w:hint="default"/>
                <w:sz w:val="15"/>
                <w:szCs w:val="15"/>
              </w:rPr>
            </w:pPr>
            <w:r>
              <w:rPr>
                <w:rFonts w:ascii="宋体"/>
                <w:w w:val="100"/>
                <w:sz w:val="15"/>
              </w:rPr>
              <w:t> </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0"/>
              <w:jc w:val="right"/>
              <w:rPr>
                <w:rFonts w:ascii="宋体" w:hAnsi="宋体" w:cs="宋体" w:eastAsia="宋体" w:hint="default"/>
                <w:sz w:val="15"/>
                <w:szCs w:val="15"/>
              </w:rPr>
            </w:pPr>
            <w:r>
              <w:rPr>
                <w:rFonts w:ascii="宋体"/>
                <w:w w:val="100"/>
                <w:sz w:val="15"/>
              </w:rPr>
              <w:t> </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0"/>
              <w:jc w:val="right"/>
              <w:rPr>
                <w:rFonts w:ascii="宋体" w:hAnsi="宋体" w:cs="宋体" w:eastAsia="宋体" w:hint="default"/>
                <w:sz w:val="15"/>
                <w:szCs w:val="15"/>
              </w:rPr>
            </w:pPr>
            <w:r>
              <w:rPr>
                <w:rFonts w:ascii="宋体"/>
                <w:w w:val="100"/>
                <w:sz w:val="15"/>
              </w:rPr>
              <w:t> </w:t>
            </w:r>
          </w:p>
        </w:tc>
        <w:tc>
          <w:tcPr>
            <w:tcW w:w="569"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381"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454"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r>
      <w:tr>
        <w:trPr>
          <w:trHeight w:val="211" w:hRule="exact"/>
        </w:trPr>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left="100" w:right="0"/>
              <w:jc w:val="left"/>
              <w:rPr>
                <w:rFonts w:ascii="宋体" w:hAnsi="宋体" w:cs="宋体" w:eastAsia="宋体" w:hint="default"/>
                <w:sz w:val="15"/>
                <w:szCs w:val="15"/>
              </w:rPr>
            </w:pPr>
            <w:r>
              <w:rPr>
                <w:rFonts w:ascii="宋体" w:hAnsi="宋体" w:cs="宋体" w:eastAsia="宋体" w:hint="default"/>
                <w:sz w:val="15"/>
                <w:szCs w:val="15"/>
              </w:rPr>
              <w:t>1</w:t>
            </w:r>
            <w:r>
              <w:rPr>
                <w:rFonts w:ascii="宋体" w:hAnsi="宋体" w:cs="宋体" w:eastAsia="宋体" w:hint="default"/>
                <w:sz w:val="15"/>
                <w:szCs w:val="15"/>
              </w:rPr>
              <w:t>．资本公积转增资本（或股本）</w:t>
            </w:r>
            <w:r>
              <w:rPr>
                <w:rFonts w:ascii="宋体" w:hAnsi="宋体" w:cs="宋体" w:eastAsia="宋体" w:hint="default"/>
                <w:sz w:val="15"/>
                <w:szCs w:val="15"/>
              </w:rPr>
              <w:t> </w:t>
            </w:r>
          </w:p>
        </w:tc>
        <w:tc>
          <w:tcPr>
            <w:tcW w:w="1418" w:type="dxa"/>
            <w:tcBorders>
              <w:top w:val="single" w:sz="6" w:space="0" w:color="000000"/>
              <w:left w:val="single" w:sz="6" w:space="0" w:color="000000"/>
              <w:bottom w:val="single" w:sz="6" w:space="0" w:color="000000"/>
              <w:right w:val="single" w:sz="4" w:space="0" w:color="000000"/>
            </w:tcBorders>
          </w:tcPr>
          <w:p>
            <w:pPr>
              <w:pStyle w:val="TableParagraph"/>
              <w:spacing w:line="175" w:lineRule="exact"/>
              <w:ind w:right="25"/>
              <w:jc w:val="right"/>
              <w:rPr>
                <w:rFonts w:ascii="宋体" w:hAnsi="宋体" w:cs="宋体" w:eastAsia="宋体" w:hint="default"/>
                <w:sz w:val="15"/>
                <w:szCs w:val="15"/>
              </w:rPr>
            </w:pPr>
            <w:r>
              <w:rPr>
                <w:rFonts w:ascii="宋体"/>
                <w:w w:val="100"/>
                <w:sz w:val="15"/>
              </w:rPr>
              <w:t> </w:t>
            </w:r>
          </w:p>
        </w:tc>
        <w:tc>
          <w:tcPr>
            <w:tcW w:w="709" w:type="dxa"/>
            <w:tcBorders>
              <w:top w:val="single" w:sz="6" w:space="0" w:color="000000"/>
              <w:left w:val="single" w:sz="4" w:space="0" w:color="000000"/>
              <w:bottom w:val="single" w:sz="6" w:space="0" w:color="000000"/>
              <w:right w:val="single" w:sz="4" w:space="0" w:color="000000"/>
            </w:tcBorders>
          </w:tcPr>
          <w:p>
            <w:pPr>
              <w:pStyle w:val="TableParagraph"/>
              <w:spacing w:line="175" w:lineRule="exact"/>
              <w:ind w:right="25"/>
              <w:jc w:val="right"/>
              <w:rPr>
                <w:rFonts w:ascii="宋体" w:hAnsi="宋体" w:cs="宋体" w:eastAsia="宋体" w:hint="default"/>
                <w:sz w:val="15"/>
                <w:szCs w:val="15"/>
              </w:rPr>
            </w:pPr>
            <w:r>
              <w:rPr>
                <w:rFonts w:ascii="宋体"/>
                <w:w w:val="100"/>
                <w:sz w:val="15"/>
              </w:rPr>
              <w:t> </w:t>
            </w:r>
          </w:p>
        </w:tc>
        <w:tc>
          <w:tcPr>
            <w:tcW w:w="708" w:type="dxa"/>
            <w:tcBorders>
              <w:top w:val="single" w:sz="6" w:space="0" w:color="000000"/>
              <w:left w:val="single" w:sz="4" w:space="0" w:color="000000"/>
              <w:bottom w:val="single" w:sz="6" w:space="0" w:color="000000"/>
              <w:right w:val="single" w:sz="4" w:space="0" w:color="000000"/>
            </w:tcBorders>
          </w:tcPr>
          <w:p>
            <w:pPr>
              <w:pStyle w:val="TableParagraph"/>
              <w:spacing w:line="175" w:lineRule="exact"/>
              <w:ind w:right="23"/>
              <w:jc w:val="right"/>
              <w:rPr>
                <w:rFonts w:ascii="宋体" w:hAnsi="宋体" w:cs="宋体" w:eastAsia="宋体" w:hint="default"/>
                <w:sz w:val="15"/>
                <w:szCs w:val="15"/>
              </w:rPr>
            </w:pPr>
            <w:r>
              <w:rPr>
                <w:rFonts w:ascii="宋体"/>
                <w:w w:val="100"/>
                <w:sz w:val="15"/>
              </w:rPr>
              <w:t> </w:t>
            </w:r>
          </w:p>
        </w:tc>
        <w:tc>
          <w:tcPr>
            <w:tcW w:w="1418" w:type="dxa"/>
            <w:tcBorders>
              <w:top w:val="single" w:sz="6" w:space="0" w:color="000000"/>
              <w:left w:val="single" w:sz="4" w:space="0" w:color="000000"/>
              <w:bottom w:val="single" w:sz="6" w:space="0" w:color="000000"/>
              <w:right w:val="single" w:sz="6" w:space="0" w:color="000000"/>
            </w:tcBorders>
          </w:tcPr>
          <w:p>
            <w:pPr>
              <w:pStyle w:val="TableParagraph"/>
              <w:spacing w:line="175" w:lineRule="exact"/>
              <w:ind w:right="20"/>
              <w:jc w:val="right"/>
              <w:rPr>
                <w:rFonts w:ascii="宋体" w:hAnsi="宋体" w:cs="宋体" w:eastAsia="宋体" w:hint="default"/>
                <w:sz w:val="15"/>
                <w:szCs w:val="15"/>
              </w:rPr>
            </w:pPr>
            <w:r>
              <w:rPr>
                <w:rFonts w:ascii="宋体"/>
                <w:w w:val="100"/>
                <w:sz w:val="15"/>
              </w:rPr>
              <w:t> </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right="20"/>
              <w:jc w:val="right"/>
              <w:rPr>
                <w:rFonts w:ascii="宋体" w:hAnsi="宋体" w:cs="宋体" w:eastAsia="宋体" w:hint="default"/>
                <w:sz w:val="15"/>
                <w:szCs w:val="15"/>
              </w:rPr>
            </w:pPr>
            <w:r>
              <w:rPr>
                <w:rFonts w:ascii="宋体"/>
                <w:w w:val="100"/>
                <w:sz w:val="15"/>
              </w:rPr>
              <w:t> </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right="20"/>
              <w:jc w:val="right"/>
              <w:rPr>
                <w:rFonts w:ascii="宋体" w:hAnsi="宋体" w:cs="宋体" w:eastAsia="宋体" w:hint="default"/>
                <w:sz w:val="15"/>
                <w:szCs w:val="15"/>
              </w:rPr>
            </w:pPr>
            <w:r>
              <w:rPr>
                <w:rFonts w:ascii="宋体"/>
                <w:w w:val="100"/>
                <w:sz w:val="15"/>
              </w:rPr>
              <w:t> </w:t>
            </w:r>
          </w:p>
        </w:tc>
        <w:tc>
          <w:tcPr>
            <w:tcW w:w="569"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right="23"/>
              <w:jc w:val="right"/>
              <w:rPr>
                <w:rFonts w:ascii="宋体" w:hAnsi="宋体" w:cs="宋体" w:eastAsia="宋体" w:hint="default"/>
                <w:sz w:val="15"/>
                <w:szCs w:val="15"/>
              </w:rPr>
            </w:pPr>
            <w:r>
              <w:rPr>
                <w:rFonts w:ascii="宋体"/>
                <w:w w:val="100"/>
                <w:sz w:val="15"/>
              </w:rPr>
              <w:t> </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right="23"/>
              <w:jc w:val="right"/>
              <w:rPr>
                <w:rFonts w:ascii="宋体" w:hAnsi="宋体" w:cs="宋体" w:eastAsia="宋体" w:hint="default"/>
                <w:sz w:val="15"/>
                <w:szCs w:val="15"/>
              </w:rPr>
            </w:pPr>
            <w:r>
              <w:rPr>
                <w:rFonts w:ascii="宋体"/>
                <w:w w:val="100"/>
                <w:sz w:val="15"/>
              </w:rPr>
              <w:t> </w:t>
            </w:r>
          </w:p>
        </w:tc>
        <w:tc>
          <w:tcPr>
            <w:tcW w:w="1381"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right="23"/>
              <w:jc w:val="right"/>
              <w:rPr>
                <w:rFonts w:ascii="宋体" w:hAnsi="宋体" w:cs="宋体" w:eastAsia="宋体" w:hint="default"/>
                <w:sz w:val="15"/>
                <w:szCs w:val="15"/>
              </w:rPr>
            </w:pPr>
            <w:r>
              <w:rPr>
                <w:rFonts w:ascii="宋体"/>
                <w:w w:val="100"/>
                <w:sz w:val="15"/>
              </w:rPr>
              <w:t> </w:t>
            </w:r>
          </w:p>
        </w:tc>
        <w:tc>
          <w:tcPr>
            <w:tcW w:w="1454"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right="23"/>
              <w:jc w:val="right"/>
              <w:rPr>
                <w:rFonts w:ascii="宋体" w:hAnsi="宋体" w:cs="宋体" w:eastAsia="宋体" w:hint="default"/>
                <w:sz w:val="15"/>
                <w:szCs w:val="15"/>
              </w:rPr>
            </w:pPr>
            <w:r>
              <w:rPr>
                <w:rFonts w:ascii="宋体"/>
                <w:w w:val="100"/>
                <w:sz w:val="15"/>
              </w:rPr>
              <w:t> </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right="23"/>
              <w:jc w:val="right"/>
              <w:rPr>
                <w:rFonts w:ascii="宋体" w:hAnsi="宋体" w:cs="宋体" w:eastAsia="宋体" w:hint="default"/>
                <w:sz w:val="15"/>
                <w:szCs w:val="15"/>
              </w:rPr>
            </w:pPr>
            <w:r>
              <w:rPr>
                <w:rFonts w:ascii="宋体"/>
                <w:w w:val="100"/>
                <w:sz w:val="15"/>
              </w:rPr>
              <w:t> </w:t>
            </w:r>
          </w:p>
        </w:tc>
      </w:tr>
      <w:tr>
        <w:trPr>
          <w:trHeight w:val="209" w:hRule="exact"/>
        </w:trPr>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2</w:t>
            </w:r>
            <w:r>
              <w:rPr>
                <w:rFonts w:ascii="宋体" w:hAnsi="宋体" w:cs="宋体" w:eastAsia="宋体" w:hint="default"/>
                <w:sz w:val="15"/>
                <w:szCs w:val="15"/>
              </w:rPr>
              <w:t>．盈余公积转增资本（或股本）</w:t>
            </w:r>
            <w:r>
              <w:rPr>
                <w:rFonts w:ascii="宋体" w:hAnsi="宋体" w:cs="宋体" w:eastAsia="宋体" w:hint="default"/>
                <w:sz w:val="15"/>
                <w:szCs w:val="15"/>
              </w:rPr>
              <w:t> </w:t>
            </w:r>
          </w:p>
        </w:tc>
        <w:tc>
          <w:tcPr>
            <w:tcW w:w="1418" w:type="dxa"/>
            <w:tcBorders>
              <w:top w:val="single" w:sz="6" w:space="0" w:color="000000"/>
              <w:left w:val="single" w:sz="6" w:space="0" w:color="000000"/>
              <w:bottom w:val="single" w:sz="6"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709" w:type="dxa"/>
            <w:tcBorders>
              <w:top w:val="single" w:sz="6" w:space="0" w:color="000000"/>
              <w:left w:val="single" w:sz="4" w:space="0" w:color="000000"/>
              <w:bottom w:val="single" w:sz="6"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708" w:type="dxa"/>
            <w:tcBorders>
              <w:top w:val="single" w:sz="6" w:space="0" w:color="000000"/>
              <w:left w:val="single" w:sz="4" w:space="0" w:color="000000"/>
              <w:bottom w:val="single" w:sz="6"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418" w:type="dxa"/>
            <w:tcBorders>
              <w:top w:val="single" w:sz="6" w:space="0" w:color="000000"/>
              <w:left w:val="single" w:sz="4" w:space="0" w:color="000000"/>
              <w:bottom w:val="single" w:sz="6" w:space="0" w:color="000000"/>
              <w:right w:val="single" w:sz="6" w:space="0" w:color="000000"/>
            </w:tcBorders>
          </w:tcPr>
          <w:p>
            <w:pPr>
              <w:pStyle w:val="TableParagraph"/>
              <w:spacing w:line="172" w:lineRule="exact"/>
              <w:ind w:right="20"/>
              <w:jc w:val="right"/>
              <w:rPr>
                <w:rFonts w:ascii="宋体" w:hAnsi="宋体" w:cs="宋体" w:eastAsia="宋体" w:hint="default"/>
                <w:sz w:val="15"/>
                <w:szCs w:val="15"/>
              </w:rPr>
            </w:pPr>
            <w:r>
              <w:rPr>
                <w:rFonts w:ascii="宋体"/>
                <w:w w:val="100"/>
                <w:sz w:val="15"/>
              </w:rPr>
              <w:t> </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0"/>
              <w:jc w:val="right"/>
              <w:rPr>
                <w:rFonts w:ascii="宋体" w:hAnsi="宋体" w:cs="宋体" w:eastAsia="宋体" w:hint="default"/>
                <w:sz w:val="15"/>
                <w:szCs w:val="15"/>
              </w:rPr>
            </w:pPr>
            <w:r>
              <w:rPr>
                <w:rFonts w:ascii="宋体"/>
                <w:w w:val="100"/>
                <w:sz w:val="15"/>
              </w:rPr>
              <w:t> </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0"/>
              <w:jc w:val="right"/>
              <w:rPr>
                <w:rFonts w:ascii="宋体" w:hAnsi="宋体" w:cs="宋体" w:eastAsia="宋体" w:hint="default"/>
                <w:sz w:val="15"/>
                <w:szCs w:val="15"/>
              </w:rPr>
            </w:pPr>
            <w:r>
              <w:rPr>
                <w:rFonts w:ascii="宋体"/>
                <w:w w:val="100"/>
                <w:sz w:val="15"/>
              </w:rPr>
              <w:t> </w:t>
            </w:r>
          </w:p>
        </w:tc>
        <w:tc>
          <w:tcPr>
            <w:tcW w:w="569"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381"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454"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r>
      <w:tr>
        <w:trPr>
          <w:trHeight w:val="209" w:hRule="exact"/>
        </w:trPr>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173" w:lineRule="exact"/>
              <w:ind w:left="100" w:right="0"/>
              <w:jc w:val="left"/>
              <w:rPr>
                <w:rFonts w:ascii="宋体" w:hAnsi="宋体" w:cs="宋体" w:eastAsia="宋体" w:hint="default"/>
                <w:sz w:val="15"/>
                <w:szCs w:val="15"/>
              </w:rPr>
            </w:pPr>
            <w:r>
              <w:rPr>
                <w:rFonts w:ascii="宋体" w:hAnsi="宋体" w:cs="宋体" w:eastAsia="宋体" w:hint="default"/>
                <w:sz w:val="15"/>
                <w:szCs w:val="15"/>
              </w:rPr>
              <w:t>3</w:t>
            </w:r>
            <w:r>
              <w:rPr>
                <w:rFonts w:ascii="宋体" w:hAnsi="宋体" w:cs="宋体" w:eastAsia="宋体" w:hint="default"/>
                <w:sz w:val="15"/>
                <w:szCs w:val="15"/>
              </w:rPr>
              <w:t>．盈余公积弥补亏损</w:t>
            </w:r>
            <w:r>
              <w:rPr>
                <w:rFonts w:ascii="宋体" w:hAnsi="宋体" w:cs="宋体" w:eastAsia="宋体" w:hint="default"/>
                <w:sz w:val="15"/>
                <w:szCs w:val="15"/>
              </w:rPr>
              <w:t> </w:t>
            </w:r>
          </w:p>
        </w:tc>
        <w:tc>
          <w:tcPr>
            <w:tcW w:w="1418" w:type="dxa"/>
            <w:tcBorders>
              <w:top w:val="single" w:sz="6" w:space="0" w:color="000000"/>
              <w:left w:val="single" w:sz="6" w:space="0" w:color="000000"/>
              <w:bottom w:val="single" w:sz="6" w:space="0" w:color="000000"/>
              <w:right w:val="single" w:sz="4" w:space="0" w:color="000000"/>
            </w:tcBorders>
          </w:tcPr>
          <w:p>
            <w:pPr>
              <w:pStyle w:val="TableParagraph"/>
              <w:spacing w:line="173" w:lineRule="exact"/>
              <w:ind w:right="25"/>
              <w:jc w:val="right"/>
              <w:rPr>
                <w:rFonts w:ascii="宋体" w:hAnsi="宋体" w:cs="宋体" w:eastAsia="宋体" w:hint="default"/>
                <w:sz w:val="15"/>
                <w:szCs w:val="15"/>
              </w:rPr>
            </w:pPr>
            <w:r>
              <w:rPr>
                <w:rFonts w:ascii="宋体"/>
                <w:w w:val="100"/>
                <w:sz w:val="15"/>
              </w:rPr>
              <w:t> </w:t>
            </w:r>
          </w:p>
        </w:tc>
        <w:tc>
          <w:tcPr>
            <w:tcW w:w="709" w:type="dxa"/>
            <w:tcBorders>
              <w:top w:val="single" w:sz="6" w:space="0" w:color="000000"/>
              <w:left w:val="single" w:sz="4" w:space="0" w:color="000000"/>
              <w:bottom w:val="single" w:sz="6" w:space="0" w:color="000000"/>
              <w:right w:val="single" w:sz="4" w:space="0" w:color="000000"/>
            </w:tcBorders>
          </w:tcPr>
          <w:p>
            <w:pPr>
              <w:pStyle w:val="TableParagraph"/>
              <w:spacing w:line="173" w:lineRule="exact"/>
              <w:ind w:right="25"/>
              <w:jc w:val="right"/>
              <w:rPr>
                <w:rFonts w:ascii="宋体" w:hAnsi="宋体" w:cs="宋体" w:eastAsia="宋体" w:hint="default"/>
                <w:sz w:val="15"/>
                <w:szCs w:val="15"/>
              </w:rPr>
            </w:pPr>
            <w:r>
              <w:rPr>
                <w:rFonts w:ascii="宋体"/>
                <w:w w:val="100"/>
                <w:sz w:val="15"/>
              </w:rPr>
              <w:t> </w:t>
            </w:r>
          </w:p>
        </w:tc>
        <w:tc>
          <w:tcPr>
            <w:tcW w:w="708" w:type="dxa"/>
            <w:tcBorders>
              <w:top w:val="single" w:sz="6" w:space="0" w:color="000000"/>
              <w:left w:val="single" w:sz="4" w:space="0" w:color="000000"/>
              <w:bottom w:val="single" w:sz="6" w:space="0" w:color="000000"/>
              <w:right w:val="single" w:sz="4" w:space="0" w:color="000000"/>
            </w:tcBorders>
          </w:tcPr>
          <w:p>
            <w:pPr>
              <w:pStyle w:val="TableParagraph"/>
              <w:spacing w:line="173" w:lineRule="exact"/>
              <w:ind w:right="23"/>
              <w:jc w:val="right"/>
              <w:rPr>
                <w:rFonts w:ascii="宋体" w:hAnsi="宋体" w:cs="宋体" w:eastAsia="宋体" w:hint="default"/>
                <w:sz w:val="15"/>
                <w:szCs w:val="15"/>
              </w:rPr>
            </w:pPr>
            <w:r>
              <w:rPr>
                <w:rFonts w:ascii="宋体"/>
                <w:w w:val="100"/>
                <w:sz w:val="15"/>
              </w:rPr>
              <w:t> </w:t>
            </w:r>
          </w:p>
        </w:tc>
        <w:tc>
          <w:tcPr>
            <w:tcW w:w="1418" w:type="dxa"/>
            <w:tcBorders>
              <w:top w:val="single" w:sz="6" w:space="0" w:color="000000"/>
              <w:left w:val="single" w:sz="4" w:space="0" w:color="000000"/>
              <w:bottom w:val="single" w:sz="6" w:space="0" w:color="000000"/>
              <w:right w:val="single" w:sz="6" w:space="0" w:color="000000"/>
            </w:tcBorders>
          </w:tcPr>
          <w:p>
            <w:pPr>
              <w:pStyle w:val="TableParagraph"/>
              <w:spacing w:line="173" w:lineRule="exact"/>
              <w:ind w:right="20"/>
              <w:jc w:val="right"/>
              <w:rPr>
                <w:rFonts w:ascii="宋体" w:hAnsi="宋体" w:cs="宋体" w:eastAsia="宋体" w:hint="default"/>
                <w:sz w:val="15"/>
                <w:szCs w:val="15"/>
              </w:rPr>
            </w:pPr>
            <w:r>
              <w:rPr>
                <w:rFonts w:ascii="宋体"/>
                <w:w w:val="100"/>
                <w:sz w:val="15"/>
              </w:rPr>
              <w:t> </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173" w:lineRule="exact"/>
              <w:ind w:right="20"/>
              <w:jc w:val="right"/>
              <w:rPr>
                <w:rFonts w:ascii="宋体" w:hAnsi="宋体" w:cs="宋体" w:eastAsia="宋体" w:hint="default"/>
                <w:sz w:val="15"/>
                <w:szCs w:val="15"/>
              </w:rPr>
            </w:pPr>
            <w:r>
              <w:rPr>
                <w:rFonts w:ascii="宋体"/>
                <w:w w:val="100"/>
                <w:sz w:val="15"/>
              </w:rPr>
              <w:t> </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173" w:lineRule="exact"/>
              <w:ind w:right="20"/>
              <w:jc w:val="right"/>
              <w:rPr>
                <w:rFonts w:ascii="宋体" w:hAnsi="宋体" w:cs="宋体" w:eastAsia="宋体" w:hint="default"/>
                <w:sz w:val="15"/>
                <w:szCs w:val="15"/>
              </w:rPr>
            </w:pPr>
            <w:r>
              <w:rPr>
                <w:rFonts w:ascii="宋体"/>
                <w:w w:val="100"/>
                <w:sz w:val="15"/>
              </w:rPr>
              <w:t> </w:t>
            </w:r>
          </w:p>
        </w:tc>
        <w:tc>
          <w:tcPr>
            <w:tcW w:w="569" w:type="dxa"/>
            <w:tcBorders>
              <w:top w:val="single" w:sz="6" w:space="0" w:color="000000"/>
              <w:left w:val="single" w:sz="6" w:space="0" w:color="000000"/>
              <w:bottom w:val="single" w:sz="6" w:space="0" w:color="000000"/>
              <w:right w:val="single" w:sz="6" w:space="0" w:color="000000"/>
            </w:tcBorders>
          </w:tcPr>
          <w:p>
            <w:pPr>
              <w:pStyle w:val="TableParagraph"/>
              <w:spacing w:line="173" w:lineRule="exact"/>
              <w:ind w:right="23"/>
              <w:jc w:val="right"/>
              <w:rPr>
                <w:rFonts w:ascii="宋体" w:hAnsi="宋体" w:cs="宋体" w:eastAsia="宋体" w:hint="default"/>
                <w:sz w:val="15"/>
                <w:szCs w:val="15"/>
              </w:rPr>
            </w:pPr>
            <w:r>
              <w:rPr>
                <w:rFonts w:ascii="宋体"/>
                <w:w w:val="100"/>
                <w:sz w:val="15"/>
              </w:rPr>
              <w:t> </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173" w:lineRule="exact"/>
              <w:ind w:right="23"/>
              <w:jc w:val="right"/>
              <w:rPr>
                <w:rFonts w:ascii="宋体" w:hAnsi="宋体" w:cs="宋体" w:eastAsia="宋体" w:hint="default"/>
                <w:sz w:val="15"/>
                <w:szCs w:val="15"/>
              </w:rPr>
            </w:pPr>
            <w:r>
              <w:rPr>
                <w:rFonts w:ascii="宋体"/>
                <w:w w:val="100"/>
                <w:sz w:val="15"/>
              </w:rPr>
              <w:t> </w:t>
            </w:r>
          </w:p>
        </w:tc>
        <w:tc>
          <w:tcPr>
            <w:tcW w:w="1381" w:type="dxa"/>
            <w:tcBorders>
              <w:top w:val="single" w:sz="6" w:space="0" w:color="000000"/>
              <w:left w:val="single" w:sz="6" w:space="0" w:color="000000"/>
              <w:bottom w:val="single" w:sz="6" w:space="0" w:color="000000"/>
              <w:right w:val="single" w:sz="6" w:space="0" w:color="000000"/>
            </w:tcBorders>
          </w:tcPr>
          <w:p>
            <w:pPr>
              <w:pStyle w:val="TableParagraph"/>
              <w:spacing w:line="173" w:lineRule="exact"/>
              <w:ind w:right="23"/>
              <w:jc w:val="right"/>
              <w:rPr>
                <w:rFonts w:ascii="宋体" w:hAnsi="宋体" w:cs="宋体" w:eastAsia="宋体" w:hint="default"/>
                <w:sz w:val="15"/>
                <w:szCs w:val="15"/>
              </w:rPr>
            </w:pPr>
            <w:r>
              <w:rPr>
                <w:rFonts w:ascii="宋体"/>
                <w:w w:val="100"/>
                <w:sz w:val="15"/>
              </w:rPr>
              <w:t> </w:t>
            </w:r>
          </w:p>
        </w:tc>
        <w:tc>
          <w:tcPr>
            <w:tcW w:w="1454" w:type="dxa"/>
            <w:tcBorders>
              <w:top w:val="single" w:sz="6" w:space="0" w:color="000000"/>
              <w:left w:val="single" w:sz="6" w:space="0" w:color="000000"/>
              <w:bottom w:val="single" w:sz="6" w:space="0" w:color="000000"/>
              <w:right w:val="single" w:sz="6" w:space="0" w:color="000000"/>
            </w:tcBorders>
          </w:tcPr>
          <w:p>
            <w:pPr>
              <w:pStyle w:val="TableParagraph"/>
              <w:spacing w:line="173" w:lineRule="exact"/>
              <w:ind w:right="23"/>
              <w:jc w:val="right"/>
              <w:rPr>
                <w:rFonts w:ascii="宋体" w:hAnsi="宋体" w:cs="宋体" w:eastAsia="宋体" w:hint="default"/>
                <w:sz w:val="15"/>
                <w:szCs w:val="15"/>
              </w:rPr>
            </w:pPr>
            <w:r>
              <w:rPr>
                <w:rFonts w:ascii="宋体"/>
                <w:w w:val="100"/>
                <w:sz w:val="15"/>
              </w:rPr>
              <w:t> </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173" w:lineRule="exact"/>
              <w:ind w:right="23"/>
              <w:jc w:val="right"/>
              <w:rPr>
                <w:rFonts w:ascii="宋体" w:hAnsi="宋体" w:cs="宋体" w:eastAsia="宋体" w:hint="default"/>
                <w:sz w:val="15"/>
                <w:szCs w:val="15"/>
              </w:rPr>
            </w:pPr>
            <w:r>
              <w:rPr>
                <w:rFonts w:ascii="宋体"/>
                <w:w w:val="100"/>
                <w:sz w:val="15"/>
              </w:rPr>
              <w:t> </w:t>
            </w:r>
          </w:p>
        </w:tc>
      </w:tr>
      <w:tr>
        <w:trPr>
          <w:trHeight w:val="406" w:hRule="exact"/>
        </w:trPr>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174" w:lineRule="exact"/>
              <w:ind w:left="100" w:right="0"/>
              <w:jc w:val="left"/>
              <w:rPr>
                <w:rFonts w:ascii="宋体" w:hAnsi="宋体" w:cs="宋体" w:eastAsia="宋体" w:hint="default"/>
                <w:sz w:val="15"/>
                <w:szCs w:val="15"/>
              </w:rPr>
            </w:pPr>
            <w:r>
              <w:rPr>
                <w:rFonts w:ascii="宋体" w:hAnsi="宋体" w:cs="宋体" w:eastAsia="宋体" w:hint="default"/>
                <w:sz w:val="15"/>
                <w:szCs w:val="15"/>
              </w:rPr>
              <w:t>4</w:t>
            </w:r>
            <w:r>
              <w:rPr>
                <w:rFonts w:ascii="宋体" w:hAnsi="宋体" w:cs="宋体" w:eastAsia="宋体" w:hint="default"/>
                <w:sz w:val="15"/>
                <w:szCs w:val="15"/>
              </w:rPr>
              <w:t>．设定受益计划变动额结转留存收</w:t>
            </w:r>
          </w:p>
          <w:p>
            <w:pPr>
              <w:pStyle w:val="TableParagraph"/>
              <w:spacing w:line="195" w:lineRule="exact"/>
              <w:ind w:left="100" w:right="0"/>
              <w:jc w:val="left"/>
              <w:rPr>
                <w:rFonts w:ascii="宋体" w:hAnsi="宋体" w:cs="宋体" w:eastAsia="宋体" w:hint="default"/>
                <w:sz w:val="15"/>
                <w:szCs w:val="15"/>
              </w:rPr>
            </w:pPr>
            <w:r>
              <w:rPr>
                <w:rFonts w:ascii="宋体" w:hAnsi="宋体" w:cs="宋体" w:eastAsia="宋体" w:hint="default"/>
                <w:sz w:val="15"/>
                <w:szCs w:val="15"/>
              </w:rPr>
              <w:t>益</w:t>
            </w:r>
            <w:r>
              <w:rPr>
                <w:rFonts w:ascii="宋体" w:hAnsi="宋体" w:cs="宋体" w:eastAsia="宋体" w:hint="default"/>
                <w:sz w:val="15"/>
                <w:szCs w:val="15"/>
              </w:rPr>
              <w:t> </w:t>
            </w:r>
          </w:p>
        </w:tc>
        <w:tc>
          <w:tcPr>
            <w:tcW w:w="1418"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74"/>
              <w:ind w:right="25"/>
              <w:jc w:val="right"/>
              <w:rPr>
                <w:rFonts w:ascii="宋体" w:hAnsi="宋体" w:cs="宋体" w:eastAsia="宋体" w:hint="default"/>
                <w:sz w:val="15"/>
                <w:szCs w:val="15"/>
              </w:rPr>
            </w:pPr>
            <w:r>
              <w:rPr>
                <w:rFonts w:ascii="宋体"/>
                <w:w w:val="100"/>
                <w:sz w:val="15"/>
              </w:rPr>
              <w:t> </w:t>
            </w:r>
          </w:p>
        </w:tc>
        <w:tc>
          <w:tcPr>
            <w:tcW w:w="709"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74"/>
              <w:ind w:right="25"/>
              <w:jc w:val="right"/>
              <w:rPr>
                <w:rFonts w:ascii="宋体" w:hAnsi="宋体" w:cs="宋体" w:eastAsia="宋体" w:hint="default"/>
                <w:sz w:val="15"/>
                <w:szCs w:val="15"/>
              </w:rPr>
            </w:pPr>
            <w:r>
              <w:rPr>
                <w:rFonts w:ascii="宋体"/>
                <w:w w:val="100"/>
                <w:sz w:val="15"/>
              </w:rPr>
              <w:t> </w:t>
            </w:r>
          </w:p>
        </w:tc>
        <w:tc>
          <w:tcPr>
            <w:tcW w:w="708"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74"/>
              <w:ind w:right="23"/>
              <w:jc w:val="right"/>
              <w:rPr>
                <w:rFonts w:ascii="宋体" w:hAnsi="宋体" w:cs="宋体" w:eastAsia="宋体" w:hint="default"/>
                <w:sz w:val="15"/>
                <w:szCs w:val="15"/>
              </w:rPr>
            </w:pPr>
            <w:r>
              <w:rPr>
                <w:rFonts w:ascii="宋体"/>
                <w:w w:val="100"/>
                <w:sz w:val="15"/>
              </w:rPr>
              <w:t> </w:t>
            </w:r>
          </w:p>
        </w:tc>
        <w:tc>
          <w:tcPr>
            <w:tcW w:w="1418"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74"/>
              <w:ind w:right="20"/>
              <w:jc w:val="right"/>
              <w:rPr>
                <w:rFonts w:ascii="宋体" w:hAnsi="宋体" w:cs="宋体" w:eastAsia="宋体" w:hint="default"/>
                <w:sz w:val="15"/>
                <w:szCs w:val="15"/>
              </w:rPr>
            </w:pPr>
            <w:r>
              <w:rPr>
                <w:rFonts w:ascii="宋体"/>
                <w:w w:val="100"/>
                <w:sz w:val="15"/>
              </w:rPr>
              <w:t> </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right="20"/>
              <w:jc w:val="right"/>
              <w:rPr>
                <w:rFonts w:ascii="宋体" w:hAnsi="宋体" w:cs="宋体" w:eastAsia="宋体" w:hint="default"/>
                <w:sz w:val="15"/>
                <w:szCs w:val="15"/>
              </w:rPr>
            </w:pPr>
            <w:r>
              <w:rPr>
                <w:rFonts w:ascii="宋体"/>
                <w:w w:val="100"/>
                <w:sz w:val="15"/>
              </w:rPr>
              <w:t> </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right="20"/>
              <w:jc w:val="right"/>
              <w:rPr>
                <w:rFonts w:ascii="宋体" w:hAnsi="宋体" w:cs="宋体" w:eastAsia="宋体" w:hint="default"/>
                <w:sz w:val="15"/>
                <w:szCs w:val="15"/>
              </w:rPr>
            </w:pPr>
            <w:r>
              <w:rPr>
                <w:rFonts w:ascii="宋体"/>
                <w:w w:val="100"/>
                <w:sz w:val="15"/>
              </w:rPr>
              <w:t> </w:t>
            </w:r>
          </w:p>
        </w:tc>
        <w:tc>
          <w:tcPr>
            <w:tcW w:w="5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right="23"/>
              <w:jc w:val="right"/>
              <w:rPr>
                <w:rFonts w:ascii="宋体" w:hAnsi="宋体" w:cs="宋体" w:eastAsia="宋体" w:hint="default"/>
                <w:sz w:val="15"/>
                <w:szCs w:val="15"/>
              </w:rPr>
            </w:pPr>
            <w:r>
              <w:rPr>
                <w:rFonts w:ascii="宋体"/>
                <w:w w:val="100"/>
                <w:sz w:val="15"/>
              </w:rPr>
              <w:t> </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right="23"/>
              <w:jc w:val="right"/>
              <w:rPr>
                <w:rFonts w:ascii="宋体" w:hAnsi="宋体" w:cs="宋体" w:eastAsia="宋体" w:hint="default"/>
                <w:sz w:val="15"/>
                <w:szCs w:val="15"/>
              </w:rPr>
            </w:pPr>
            <w:r>
              <w:rPr>
                <w:rFonts w:ascii="宋体"/>
                <w:w w:val="100"/>
                <w:sz w:val="15"/>
              </w:rPr>
              <w:t> </w:t>
            </w:r>
          </w:p>
        </w:tc>
        <w:tc>
          <w:tcPr>
            <w:tcW w:w="13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right="23"/>
              <w:jc w:val="right"/>
              <w:rPr>
                <w:rFonts w:ascii="宋体" w:hAnsi="宋体" w:cs="宋体" w:eastAsia="宋体" w:hint="default"/>
                <w:sz w:val="15"/>
                <w:szCs w:val="15"/>
              </w:rPr>
            </w:pPr>
            <w:r>
              <w:rPr>
                <w:rFonts w:ascii="宋体"/>
                <w:w w:val="100"/>
                <w:sz w:val="15"/>
              </w:rPr>
              <w:t> </w:t>
            </w:r>
          </w:p>
        </w:tc>
        <w:tc>
          <w:tcPr>
            <w:tcW w:w="14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right="23"/>
              <w:jc w:val="right"/>
              <w:rPr>
                <w:rFonts w:ascii="宋体" w:hAnsi="宋体" w:cs="宋体" w:eastAsia="宋体" w:hint="default"/>
                <w:sz w:val="15"/>
                <w:szCs w:val="15"/>
              </w:rPr>
            </w:pPr>
            <w:r>
              <w:rPr>
                <w:rFonts w:ascii="宋体"/>
                <w:w w:val="100"/>
                <w:sz w:val="15"/>
              </w:rPr>
              <w:t> </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right="23"/>
              <w:jc w:val="right"/>
              <w:rPr>
                <w:rFonts w:ascii="宋体" w:hAnsi="宋体" w:cs="宋体" w:eastAsia="宋体" w:hint="default"/>
                <w:sz w:val="15"/>
                <w:szCs w:val="15"/>
              </w:rPr>
            </w:pPr>
            <w:r>
              <w:rPr>
                <w:rFonts w:ascii="宋体"/>
                <w:w w:val="100"/>
                <w:sz w:val="15"/>
              </w:rPr>
              <w:t> </w:t>
            </w:r>
          </w:p>
        </w:tc>
      </w:tr>
      <w:tr>
        <w:trPr>
          <w:trHeight w:val="209" w:hRule="exact"/>
        </w:trPr>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5</w:t>
            </w:r>
            <w:r>
              <w:rPr>
                <w:rFonts w:ascii="宋体" w:hAnsi="宋体" w:cs="宋体" w:eastAsia="宋体" w:hint="default"/>
                <w:sz w:val="15"/>
                <w:szCs w:val="15"/>
              </w:rPr>
              <w:t>．其他综合收益结转留存收益</w:t>
            </w:r>
            <w:r>
              <w:rPr>
                <w:rFonts w:ascii="宋体" w:hAnsi="宋体" w:cs="宋体" w:eastAsia="宋体" w:hint="default"/>
                <w:sz w:val="15"/>
                <w:szCs w:val="15"/>
              </w:rPr>
              <w:t> </w:t>
            </w:r>
          </w:p>
        </w:tc>
        <w:tc>
          <w:tcPr>
            <w:tcW w:w="1418" w:type="dxa"/>
            <w:tcBorders>
              <w:top w:val="single" w:sz="6" w:space="0" w:color="000000"/>
              <w:left w:val="single" w:sz="6" w:space="0" w:color="000000"/>
              <w:bottom w:val="single" w:sz="6"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709" w:type="dxa"/>
            <w:tcBorders>
              <w:top w:val="single" w:sz="6" w:space="0" w:color="000000"/>
              <w:left w:val="single" w:sz="4" w:space="0" w:color="000000"/>
              <w:bottom w:val="single" w:sz="6"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708" w:type="dxa"/>
            <w:tcBorders>
              <w:top w:val="single" w:sz="6" w:space="0" w:color="000000"/>
              <w:left w:val="single" w:sz="4" w:space="0" w:color="000000"/>
              <w:bottom w:val="single" w:sz="6"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418" w:type="dxa"/>
            <w:tcBorders>
              <w:top w:val="single" w:sz="6" w:space="0" w:color="000000"/>
              <w:left w:val="single" w:sz="4" w:space="0" w:color="000000"/>
              <w:bottom w:val="single" w:sz="6" w:space="0" w:color="000000"/>
              <w:right w:val="single" w:sz="6" w:space="0" w:color="000000"/>
            </w:tcBorders>
          </w:tcPr>
          <w:p>
            <w:pPr>
              <w:pStyle w:val="TableParagraph"/>
              <w:spacing w:line="172" w:lineRule="exact"/>
              <w:ind w:right="20"/>
              <w:jc w:val="right"/>
              <w:rPr>
                <w:rFonts w:ascii="宋体" w:hAnsi="宋体" w:cs="宋体" w:eastAsia="宋体" w:hint="default"/>
                <w:sz w:val="15"/>
                <w:szCs w:val="15"/>
              </w:rPr>
            </w:pPr>
            <w:r>
              <w:rPr>
                <w:rFonts w:ascii="宋体"/>
                <w:w w:val="100"/>
                <w:sz w:val="15"/>
              </w:rPr>
              <w:t> </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0"/>
              <w:jc w:val="right"/>
              <w:rPr>
                <w:rFonts w:ascii="宋体" w:hAnsi="宋体" w:cs="宋体" w:eastAsia="宋体" w:hint="default"/>
                <w:sz w:val="15"/>
                <w:szCs w:val="15"/>
              </w:rPr>
            </w:pPr>
            <w:r>
              <w:rPr>
                <w:rFonts w:ascii="宋体"/>
                <w:w w:val="100"/>
                <w:sz w:val="15"/>
              </w:rPr>
              <w:t> </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0"/>
              <w:jc w:val="right"/>
              <w:rPr>
                <w:rFonts w:ascii="宋体" w:hAnsi="宋体" w:cs="宋体" w:eastAsia="宋体" w:hint="default"/>
                <w:sz w:val="15"/>
                <w:szCs w:val="15"/>
              </w:rPr>
            </w:pPr>
            <w:r>
              <w:rPr>
                <w:rFonts w:ascii="宋体"/>
                <w:w w:val="100"/>
                <w:sz w:val="15"/>
              </w:rPr>
              <w:t> </w:t>
            </w:r>
          </w:p>
        </w:tc>
        <w:tc>
          <w:tcPr>
            <w:tcW w:w="569"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381"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454"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r>
      <w:tr>
        <w:trPr>
          <w:trHeight w:val="209" w:hRule="exact"/>
        </w:trPr>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6</w:t>
            </w:r>
            <w:r>
              <w:rPr>
                <w:rFonts w:ascii="宋体" w:hAnsi="宋体" w:cs="宋体" w:eastAsia="宋体" w:hint="default"/>
                <w:sz w:val="15"/>
                <w:szCs w:val="15"/>
              </w:rPr>
              <w:t>．其他</w:t>
            </w:r>
            <w:r>
              <w:rPr>
                <w:rFonts w:ascii="宋体" w:hAnsi="宋体" w:cs="宋体" w:eastAsia="宋体" w:hint="default"/>
                <w:sz w:val="15"/>
                <w:szCs w:val="15"/>
              </w:rPr>
              <w:t> </w:t>
            </w:r>
          </w:p>
        </w:tc>
        <w:tc>
          <w:tcPr>
            <w:tcW w:w="1418" w:type="dxa"/>
            <w:tcBorders>
              <w:top w:val="single" w:sz="6" w:space="0" w:color="000000"/>
              <w:left w:val="single" w:sz="6" w:space="0" w:color="000000"/>
              <w:bottom w:val="single" w:sz="6"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709" w:type="dxa"/>
            <w:tcBorders>
              <w:top w:val="single" w:sz="6" w:space="0" w:color="000000"/>
              <w:left w:val="single" w:sz="4" w:space="0" w:color="000000"/>
              <w:bottom w:val="single" w:sz="6"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708" w:type="dxa"/>
            <w:tcBorders>
              <w:top w:val="single" w:sz="6" w:space="0" w:color="000000"/>
              <w:left w:val="single" w:sz="4" w:space="0" w:color="000000"/>
              <w:bottom w:val="single" w:sz="6"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418" w:type="dxa"/>
            <w:tcBorders>
              <w:top w:val="single" w:sz="6" w:space="0" w:color="000000"/>
              <w:left w:val="single" w:sz="4" w:space="0" w:color="000000"/>
              <w:bottom w:val="single" w:sz="6" w:space="0" w:color="000000"/>
              <w:right w:val="single" w:sz="6" w:space="0" w:color="000000"/>
            </w:tcBorders>
          </w:tcPr>
          <w:p>
            <w:pPr>
              <w:pStyle w:val="TableParagraph"/>
              <w:spacing w:line="172" w:lineRule="exact"/>
              <w:ind w:right="20"/>
              <w:jc w:val="right"/>
              <w:rPr>
                <w:rFonts w:ascii="宋体" w:hAnsi="宋体" w:cs="宋体" w:eastAsia="宋体" w:hint="default"/>
                <w:sz w:val="15"/>
                <w:szCs w:val="15"/>
              </w:rPr>
            </w:pPr>
            <w:r>
              <w:rPr>
                <w:rFonts w:ascii="宋体"/>
                <w:w w:val="100"/>
                <w:sz w:val="15"/>
              </w:rPr>
              <w:t> </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0"/>
              <w:jc w:val="right"/>
              <w:rPr>
                <w:rFonts w:ascii="宋体" w:hAnsi="宋体" w:cs="宋体" w:eastAsia="宋体" w:hint="default"/>
                <w:sz w:val="15"/>
                <w:szCs w:val="15"/>
              </w:rPr>
            </w:pPr>
            <w:r>
              <w:rPr>
                <w:rFonts w:ascii="宋体"/>
                <w:w w:val="100"/>
                <w:sz w:val="15"/>
              </w:rPr>
              <w:t> </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0"/>
              <w:jc w:val="right"/>
              <w:rPr>
                <w:rFonts w:ascii="宋体" w:hAnsi="宋体" w:cs="宋体" w:eastAsia="宋体" w:hint="default"/>
                <w:sz w:val="15"/>
                <w:szCs w:val="15"/>
              </w:rPr>
            </w:pPr>
            <w:r>
              <w:rPr>
                <w:rFonts w:ascii="宋体"/>
                <w:w w:val="100"/>
                <w:sz w:val="15"/>
              </w:rPr>
              <w:t> </w:t>
            </w:r>
          </w:p>
        </w:tc>
        <w:tc>
          <w:tcPr>
            <w:tcW w:w="569"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381"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454"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r>
      <w:tr>
        <w:trPr>
          <w:trHeight w:val="211" w:hRule="exact"/>
        </w:trPr>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left="100" w:right="0"/>
              <w:jc w:val="left"/>
              <w:rPr>
                <w:rFonts w:ascii="宋体" w:hAnsi="宋体" w:cs="宋体" w:eastAsia="宋体" w:hint="default"/>
                <w:sz w:val="15"/>
                <w:szCs w:val="15"/>
              </w:rPr>
            </w:pPr>
            <w:r>
              <w:rPr>
                <w:rFonts w:ascii="宋体" w:hAnsi="宋体" w:cs="宋体" w:eastAsia="宋体" w:hint="default"/>
                <w:sz w:val="15"/>
                <w:szCs w:val="15"/>
              </w:rPr>
              <w:t>（五）专项储备</w:t>
            </w:r>
            <w:r>
              <w:rPr>
                <w:rFonts w:ascii="宋体" w:hAnsi="宋体" w:cs="宋体" w:eastAsia="宋体" w:hint="default"/>
                <w:sz w:val="15"/>
                <w:szCs w:val="15"/>
              </w:rPr>
              <w:t> </w:t>
            </w:r>
          </w:p>
        </w:tc>
        <w:tc>
          <w:tcPr>
            <w:tcW w:w="1418" w:type="dxa"/>
            <w:tcBorders>
              <w:top w:val="single" w:sz="6" w:space="0" w:color="000000"/>
              <w:left w:val="single" w:sz="6" w:space="0" w:color="000000"/>
              <w:bottom w:val="single" w:sz="6" w:space="0" w:color="000000"/>
              <w:right w:val="single" w:sz="4" w:space="0" w:color="000000"/>
            </w:tcBorders>
          </w:tcPr>
          <w:p>
            <w:pPr>
              <w:pStyle w:val="TableParagraph"/>
              <w:spacing w:line="175" w:lineRule="exact"/>
              <w:ind w:right="25"/>
              <w:jc w:val="right"/>
              <w:rPr>
                <w:rFonts w:ascii="宋体" w:hAnsi="宋体" w:cs="宋体" w:eastAsia="宋体" w:hint="default"/>
                <w:sz w:val="15"/>
                <w:szCs w:val="15"/>
              </w:rPr>
            </w:pPr>
            <w:r>
              <w:rPr>
                <w:rFonts w:ascii="宋体"/>
                <w:w w:val="100"/>
                <w:sz w:val="15"/>
              </w:rPr>
              <w:t> </w:t>
            </w:r>
          </w:p>
        </w:tc>
        <w:tc>
          <w:tcPr>
            <w:tcW w:w="709" w:type="dxa"/>
            <w:tcBorders>
              <w:top w:val="single" w:sz="6" w:space="0" w:color="000000"/>
              <w:left w:val="single" w:sz="4" w:space="0" w:color="000000"/>
              <w:bottom w:val="single" w:sz="6" w:space="0" w:color="000000"/>
              <w:right w:val="single" w:sz="4" w:space="0" w:color="000000"/>
            </w:tcBorders>
          </w:tcPr>
          <w:p>
            <w:pPr>
              <w:pStyle w:val="TableParagraph"/>
              <w:spacing w:line="175" w:lineRule="exact"/>
              <w:ind w:right="25"/>
              <w:jc w:val="right"/>
              <w:rPr>
                <w:rFonts w:ascii="宋体" w:hAnsi="宋体" w:cs="宋体" w:eastAsia="宋体" w:hint="default"/>
                <w:sz w:val="15"/>
                <w:szCs w:val="15"/>
              </w:rPr>
            </w:pPr>
            <w:r>
              <w:rPr>
                <w:rFonts w:ascii="宋体"/>
                <w:w w:val="100"/>
                <w:sz w:val="15"/>
              </w:rPr>
              <w:t> </w:t>
            </w:r>
          </w:p>
        </w:tc>
        <w:tc>
          <w:tcPr>
            <w:tcW w:w="708" w:type="dxa"/>
            <w:tcBorders>
              <w:top w:val="single" w:sz="6" w:space="0" w:color="000000"/>
              <w:left w:val="single" w:sz="4" w:space="0" w:color="000000"/>
              <w:bottom w:val="single" w:sz="6" w:space="0" w:color="000000"/>
              <w:right w:val="single" w:sz="4" w:space="0" w:color="000000"/>
            </w:tcBorders>
          </w:tcPr>
          <w:p>
            <w:pPr>
              <w:pStyle w:val="TableParagraph"/>
              <w:spacing w:line="175" w:lineRule="exact"/>
              <w:ind w:right="23"/>
              <w:jc w:val="right"/>
              <w:rPr>
                <w:rFonts w:ascii="宋体" w:hAnsi="宋体" w:cs="宋体" w:eastAsia="宋体" w:hint="default"/>
                <w:sz w:val="15"/>
                <w:szCs w:val="15"/>
              </w:rPr>
            </w:pPr>
            <w:r>
              <w:rPr>
                <w:rFonts w:ascii="宋体"/>
                <w:w w:val="100"/>
                <w:sz w:val="15"/>
              </w:rPr>
              <w:t> </w:t>
            </w:r>
          </w:p>
        </w:tc>
        <w:tc>
          <w:tcPr>
            <w:tcW w:w="1418" w:type="dxa"/>
            <w:tcBorders>
              <w:top w:val="single" w:sz="6" w:space="0" w:color="000000"/>
              <w:left w:val="single" w:sz="4" w:space="0" w:color="000000"/>
              <w:bottom w:val="single" w:sz="6" w:space="0" w:color="000000"/>
              <w:right w:val="single" w:sz="6" w:space="0" w:color="000000"/>
            </w:tcBorders>
          </w:tcPr>
          <w:p>
            <w:pPr>
              <w:pStyle w:val="TableParagraph"/>
              <w:spacing w:line="175" w:lineRule="exact"/>
              <w:ind w:right="20"/>
              <w:jc w:val="right"/>
              <w:rPr>
                <w:rFonts w:ascii="宋体" w:hAnsi="宋体" w:cs="宋体" w:eastAsia="宋体" w:hint="default"/>
                <w:sz w:val="15"/>
                <w:szCs w:val="15"/>
              </w:rPr>
            </w:pPr>
            <w:r>
              <w:rPr>
                <w:rFonts w:ascii="宋体"/>
                <w:w w:val="100"/>
                <w:sz w:val="15"/>
              </w:rPr>
              <w:t> </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right="20"/>
              <w:jc w:val="right"/>
              <w:rPr>
                <w:rFonts w:ascii="宋体" w:hAnsi="宋体" w:cs="宋体" w:eastAsia="宋体" w:hint="default"/>
                <w:sz w:val="15"/>
                <w:szCs w:val="15"/>
              </w:rPr>
            </w:pPr>
            <w:r>
              <w:rPr>
                <w:rFonts w:ascii="宋体"/>
                <w:w w:val="100"/>
                <w:sz w:val="15"/>
              </w:rPr>
              <w:t> </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right="20"/>
              <w:jc w:val="right"/>
              <w:rPr>
                <w:rFonts w:ascii="宋体" w:hAnsi="宋体" w:cs="宋体" w:eastAsia="宋体" w:hint="default"/>
                <w:sz w:val="15"/>
                <w:szCs w:val="15"/>
              </w:rPr>
            </w:pPr>
            <w:r>
              <w:rPr>
                <w:rFonts w:ascii="宋体"/>
                <w:w w:val="100"/>
                <w:sz w:val="15"/>
              </w:rPr>
              <w:t> </w:t>
            </w:r>
          </w:p>
        </w:tc>
        <w:tc>
          <w:tcPr>
            <w:tcW w:w="569"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right="23"/>
              <w:jc w:val="right"/>
              <w:rPr>
                <w:rFonts w:ascii="宋体" w:hAnsi="宋体" w:cs="宋体" w:eastAsia="宋体" w:hint="default"/>
                <w:sz w:val="15"/>
                <w:szCs w:val="15"/>
              </w:rPr>
            </w:pPr>
            <w:r>
              <w:rPr>
                <w:rFonts w:ascii="宋体"/>
                <w:w w:val="100"/>
                <w:sz w:val="15"/>
              </w:rPr>
              <w:t> </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right="23"/>
              <w:jc w:val="right"/>
              <w:rPr>
                <w:rFonts w:ascii="宋体" w:hAnsi="宋体" w:cs="宋体" w:eastAsia="宋体" w:hint="default"/>
                <w:sz w:val="15"/>
                <w:szCs w:val="15"/>
              </w:rPr>
            </w:pPr>
            <w:r>
              <w:rPr>
                <w:rFonts w:ascii="宋体"/>
                <w:w w:val="100"/>
                <w:sz w:val="15"/>
              </w:rPr>
              <w:t> </w:t>
            </w:r>
          </w:p>
        </w:tc>
        <w:tc>
          <w:tcPr>
            <w:tcW w:w="1381"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right="23"/>
              <w:jc w:val="right"/>
              <w:rPr>
                <w:rFonts w:ascii="宋体" w:hAnsi="宋体" w:cs="宋体" w:eastAsia="宋体" w:hint="default"/>
                <w:sz w:val="15"/>
                <w:szCs w:val="15"/>
              </w:rPr>
            </w:pPr>
            <w:r>
              <w:rPr>
                <w:rFonts w:ascii="宋体"/>
                <w:w w:val="100"/>
                <w:sz w:val="15"/>
              </w:rPr>
              <w:t> </w:t>
            </w:r>
          </w:p>
        </w:tc>
        <w:tc>
          <w:tcPr>
            <w:tcW w:w="1454"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right="23"/>
              <w:jc w:val="right"/>
              <w:rPr>
                <w:rFonts w:ascii="宋体" w:hAnsi="宋体" w:cs="宋体" w:eastAsia="宋体" w:hint="default"/>
                <w:sz w:val="15"/>
                <w:szCs w:val="15"/>
              </w:rPr>
            </w:pPr>
            <w:r>
              <w:rPr>
                <w:rFonts w:ascii="宋体"/>
                <w:w w:val="100"/>
                <w:sz w:val="15"/>
              </w:rPr>
              <w:t> </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right="23"/>
              <w:jc w:val="right"/>
              <w:rPr>
                <w:rFonts w:ascii="宋体" w:hAnsi="宋体" w:cs="宋体" w:eastAsia="宋体" w:hint="default"/>
                <w:sz w:val="15"/>
                <w:szCs w:val="15"/>
              </w:rPr>
            </w:pPr>
            <w:r>
              <w:rPr>
                <w:rFonts w:ascii="宋体"/>
                <w:w w:val="100"/>
                <w:sz w:val="15"/>
              </w:rPr>
              <w:t> </w:t>
            </w:r>
          </w:p>
        </w:tc>
      </w:tr>
      <w:tr>
        <w:trPr>
          <w:trHeight w:val="209" w:hRule="exact"/>
        </w:trPr>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1</w:t>
            </w:r>
            <w:r>
              <w:rPr>
                <w:rFonts w:ascii="宋体" w:hAnsi="宋体" w:cs="宋体" w:eastAsia="宋体" w:hint="default"/>
                <w:sz w:val="15"/>
                <w:szCs w:val="15"/>
              </w:rPr>
              <w:t>．本期提取</w:t>
            </w:r>
            <w:r>
              <w:rPr>
                <w:rFonts w:ascii="宋体" w:hAnsi="宋体" w:cs="宋体" w:eastAsia="宋体" w:hint="default"/>
                <w:sz w:val="15"/>
                <w:szCs w:val="15"/>
              </w:rPr>
              <w:t> </w:t>
            </w:r>
          </w:p>
        </w:tc>
        <w:tc>
          <w:tcPr>
            <w:tcW w:w="1418" w:type="dxa"/>
            <w:tcBorders>
              <w:top w:val="single" w:sz="6" w:space="0" w:color="000000"/>
              <w:left w:val="single" w:sz="6" w:space="0" w:color="000000"/>
              <w:bottom w:val="single" w:sz="6"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709" w:type="dxa"/>
            <w:tcBorders>
              <w:top w:val="single" w:sz="6" w:space="0" w:color="000000"/>
              <w:left w:val="single" w:sz="4" w:space="0" w:color="000000"/>
              <w:bottom w:val="single" w:sz="6"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708" w:type="dxa"/>
            <w:tcBorders>
              <w:top w:val="single" w:sz="6" w:space="0" w:color="000000"/>
              <w:left w:val="single" w:sz="4" w:space="0" w:color="000000"/>
              <w:bottom w:val="single" w:sz="6"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418" w:type="dxa"/>
            <w:tcBorders>
              <w:top w:val="single" w:sz="6" w:space="0" w:color="000000"/>
              <w:left w:val="single" w:sz="4" w:space="0" w:color="000000"/>
              <w:bottom w:val="single" w:sz="6" w:space="0" w:color="000000"/>
              <w:right w:val="single" w:sz="6" w:space="0" w:color="000000"/>
            </w:tcBorders>
          </w:tcPr>
          <w:p>
            <w:pPr>
              <w:pStyle w:val="TableParagraph"/>
              <w:spacing w:line="172" w:lineRule="exact"/>
              <w:ind w:right="20"/>
              <w:jc w:val="right"/>
              <w:rPr>
                <w:rFonts w:ascii="宋体" w:hAnsi="宋体" w:cs="宋体" w:eastAsia="宋体" w:hint="default"/>
                <w:sz w:val="15"/>
                <w:szCs w:val="15"/>
              </w:rPr>
            </w:pPr>
            <w:r>
              <w:rPr>
                <w:rFonts w:ascii="宋体"/>
                <w:w w:val="100"/>
                <w:sz w:val="15"/>
              </w:rPr>
              <w:t> </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0"/>
              <w:jc w:val="right"/>
              <w:rPr>
                <w:rFonts w:ascii="宋体" w:hAnsi="宋体" w:cs="宋体" w:eastAsia="宋体" w:hint="default"/>
                <w:sz w:val="15"/>
                <w:szCs w:val="15"/>
              </w:rPr>
            </w:pPr>
            <w:r>
              <w:rPr>
                <w:rFonts w:ascii="宋体"/>
                <w:w w:val="100"/>
                <w:sz w:val="15"/>
              </w:rPr>
              <w:t> </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0"/>
              <w:jc w:val="right"/>
              <w:rPr>
                <w:rFonts w:ascii="宋体" w:hAnsi="宋体" w:cs="宋体" w:eastAsia="宋体" w:hint="default"/>
                <w:sz w:val="15"/>
                <w:szCs w:val="15"/>
              </w:rPr>
            </w:pPr>
            <w:r>
              <w:rPr>
                <w:rFonts w:ascii="宋体"/>
                <w:w w:val="100"/>
                <w:sz w:val="15"/>
              </w:rPr>
              <w:t> </w:t>
            </w:r>
          </w:p>
        </w:tc>
        <w:tc>
          <w:tcPr>
            <w:tcW w:w="569"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381"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454"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r>
      <w:tr>
        <w:trPr>
          <w:trHeight w:val="209" w:hRule="exact"/>
        </w:trPr>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2</w:t>
            </w:r>
            <w:r>
              <w:rPr>
                <w:rFonts w:ascii="宋体" w:hAnsi="宋体" w:cs="宋体" w:eastAsia="宋体" w:hint="default"/>
                <w:sz w:val="15"/>
                <w:szCs w:val="15"/>
              </w:rPr>
              <w:t>．本期使用</w:t>
            </w:r>
            <w:r>
              <w:rPr>
                <w:rFonts w:ascii="宋体" w:hAnsi="宋体" w:cs="宋体" w:eastAsia="宋体" w:hint="default"/>
                <w:sz w:val="15"/>
                <w:szCs w:val="15"/>
              </w:rPr>
              <w:t> </w:t>
            </w:r>
          </w:p>
        </w:tc>
        <w:tc>
          <w:tcPr>
            <w:tcW w:w="1418" w:type="dxa"/>
            <w:tcBorders>
              <w:top w:val="single" w:sz="6" w:space="0" w:color="000000"/>
              <w:left w:val="single" w:sz="6" w:space="0" w:color="000000"/>
              <w:bottom w:val="single" w:sz="6"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709" w:type="dxa"/>
            <w:tcBorders>
              <w:top w:val="single" w:sz="6" w:space="0" w:color="000000"/>
              <w:left w:val="single" w:sz="4" w:space="0" w:color="000000"/>
              <w:bottom w:val="single" w:sz="6"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708" w:type="dxa"/>
            <w:tcBorders>
              <w:top w:val="single" w:sz="6" w:space="0" w:color="000000"/>
              <w:left w:val="single" w:sz="4" w:space="0" w:color="000000"/>
              <w:bottom w:val="single" w:sz="6"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418" w:type="dxa"/>
            <w:tcBorders>
              <w:top w:val="single" w:sz="6" w:space="0" w:color="000000"/>
              <w:left w:val="single" w:sz="4" w:space="0" w:color="000000"/>
              <w:bottom w:val="single" w:sz="6" w:space="0" w:color="000000"/>
              <w:right w:val="single" w:sz="6" w:space="0" w:color="000000"/>
            </w:tcBorders>
          </w:tcPr>
          <w:p>
            <w:pPr>
              <w:pStyle w:val="TableParagraph"/>
              <w:spacing w:line="172" w:lineRule="exact"/>
              <w:ind w:right="20"/>
              <w:jc w:val="right"/>
              <w:rPr>
                <w:rFonts w:ascii="宋体" w:hAnsi="宋体" w:cs="宋体" w:eastAsia="宋体" w:hint="default"/>
                <w:sz w:val="15"/>
                <w:szCs w:val="15"/>
              </w:rPr>
            </w:pPr>
            <w:r>
              <w:rPr>
                <w:rFonts w:ascii="宋体"/>
                <w:w w:val="100"/>
                <w:sz w:val="15"/>
              </w:rPr>
              <w:t> </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0"/>
              <w:jc w:val="right"/>
              <w:rPr>
                <w:rFonts w:ascii="宋体" w:hAnsi="宋体" w:cs="宋体" w:eastAsia="宋体" w:hint="default"/>
                <w:sz w:val="15"/>
                <w:szCs w:val="15"/>
              </w:rPr>
            </w:pPr>
            <w:r>
              <w:rPr>
                <w:rFonts w:ascii="宋体"/>
                <w:w w:val="100"/>
                <w:sz w:val="15"/>
              </w:rPr>
              <w:t> </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0"/>
              <w:jc w:val="right"/>
              <w:rPr>
                <w:rFonts w:ascii="宋体" w:hAnsi="宋体" w:cs="宋体" w:eastAsia="宋体" w:hint="default"/>
                <w:sz w:val="15"/>
                <w:szCs w:val="15"/>
              </w:rPr>
            </w:pPr>
            <w:r>
              <w:rPr>
                <w:rFonts w:ascii="宋体"/>
                <w:w w:val="100"/>
                <w:sz w:val="15"/>
              </w:rPr>
              <w:t> </w:t>
            </w:r>
          </w:p>
        </w:tc>
        <w:tc>
          <w:tcPr>
            <w:tcW w:w="569"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381"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454"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r>
      <w:tr>
        <w:trPr>
          <w:trHeight w:val="211" w:hRule="exact"/>
        </w:trPr>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left="100" w:right="0"/>
              <w:jc w:val="left"/>
              <w:rPr>
                <w:rFonts w:ascii="宋体" w:hAnsi="宋体" w:cs="宋体" w:eastAsia="宋体" w:hint="default"/>
                <w:sz w:val="15"/>
                <w:szCs w:val="15"/>
              </w:rPr>
            </w:pPr>
            <w:r>
              <w:rPr>
                <w:rFonts w:ascii="宋体" w:hAnsi="宋体" w:cs="宋体" w:eastAsia="宋体" w:hint="default"/>
                <w:sz w:val="15"/>
                <w:szCs w:val="15"/>
              </w:rPr>
              <w:t>（六）其他</w:t>
            </w:r>
            <w:r>
              <w:rPr>
                <w:rFonts w:ascii="宋体" w:hAnsi="宋体" w:cs="宋体" w:eastAsia="宋体" w:hint="default"/>
                <w:sz w:val="15"/>
                <w:szCs w:val="15"/>
              </w:rPr>
              <w:t> </w:t>
            </w:r>
          </w:p>
        </w:tc>
        <w:tc>
          <w:tcPr>
            <w:tcW w:w="1418" w:type="dxa"/>
            <w:tcBorders>
              <w:top w:val="single" w:sz="6" w:space="0" w:color="000000"/>
              <w:left w:val="single" w:sz="6" w:space="0" w:color="000000"/>
              <w:bottom w:val="single" w:sz="6" w:space="0" w:color="000000"/>
              <w:right w:val="single" w:sz="4" w:space="0" w:color="000000"/>
            </w:tcBorders>
          </w:tcPr>
          <w:p>
            <w:pPr>
              <w:pStyle w:val="TableParagraph"/>
              <w:spacing w:line="175" w:lineRule="exact"/>
              <w:ind w:right="25"/>
              <w:jc w:val="right"/>
              <w:rPr>
                <w:rFonts w:ascii="宋体" w:hAnsi="宋体" w:cs="宋体" w:eastAsia="宋体" w:hint="default"/>
                <w:sz w:val="15"/>
                <w:szCs w:val="15"/>
              </w:rPr>
            </w:pPr>
            <w:r>
              <w:rPr>
                <w:rFonts w:ascii="宋体"/>
                <w:w w:val="100"/>
                <w:sz w:val="15"/>
              </w:rPr>
              <w:t> </w:t>
            </w:r>
          </w:p>
        </w:tc>
        <w:tc>
          <w:tcPr>
            <w:tcW w:w="709" w:type="dxa"/>
            <w:tcBorders>
              <w:top w:val="single" w:sz="6" w:space="0" w:color="000000"/>
              <w:left w:val="single" w:sz="4" w:space="0" w:color="000000"/>
              <w:bottom w:val="single" w:sz="6" w:space="0" w:color="000000"/>
              <w:right w:val="single" w:sz="4" w:space="0" w:color="000000"/>
            </w:tcBorders>
          </w:tcPr>
          <w:p>
            <w:pPr>
              <w:pStyle w:val="TableParagraph"/>
              <w:spacing w:line="175" w:lineRule="exact"/>
              <w:ind w:right="25"/>
              <w:jc w:val="right"/>
              <w:rPr>
                <w:rFonts w:ascii="宋体" w:hAnsi="宋体" w:cs="宋体" w:eastAsia="宋体" w:hint="default"/>
                <w:sz w:val="15"/>
                <w:szCs w:val="15"/>
              </w:rPr>
            </w:pPr>
            <w:r>
              <w:rPr>
                <w:rFonts w:ascii="宋体"/>
                <w:w w:val="100"/>
                <w:sz w:val="15"/>
              </w:rPr>
              <w:t> </w:t>
            </w:r>
          </w:p>
        </w:tc>
        <w:tc>
          <w:tcPr>
            <w:tcW w:w="708" w:type="dxa"/>
            <w:tcBorders>
              <w:top w:val="single" w:sz="6" w:space="0" w:color="000000"/>
              <w:left w:val="single" w:sz="4" w:space="0" w:color="000000"/>
              <w:bottom w:val="single" w:sz="6" w:space="0" w:color="000000"/>
              <w:right w:val="single" w:sz="4" w:space="0" w:color="000000"/>
            </w:tcBorders>
          </w:tcPr>
          <w:p>
            <w:pPr>
              <w:pStyle w:val="TableParagraph"/>
              <w:spacing w:line="175" w:lineRule="exact"/>
              <w:ind w:right="23"/>
              <w:jc w:val="right"/>
              <w:rPr>
                <w:rFonts w:ascii="宋体" w:hAnsi="宋体" w:cs="宋体" w:eastAsia="宋体" w:hint="default"/>
                <w:sz w:val="15"/>
                <w:szCs w:val="15"/>
              </w:rPr>
            </w:pPr>
            <w:r>
              <w:rPr>
                <w:rFonts w:ascii="宋体"/>
                <w:w w:val="100"/>
                <w:sz w:val="15"/>
              </w:rPr>
              <w:t> </w:t>
            </w:r>
          </w:p>
        </w:tc>
        <w:tc>
          <w:tcPr>
            <w:tcW w:w="1418" w:type="dxa"/>
            <w:tcBorders>
              <w:top w:val="single" w:sz="6" w:space="0" w:color="000000"/>
              <w:left w:val="single" w:sz="4" w:space="0" w:color="000000"/>
              <w:bottom w:val="single" w:sz="6" w:space="0" w:color="000000"/>
              <w:right w:val="single" w:sz="6" w:space="0" w:color="000000"/>
            </w:tcBorders>
          </w:tcPr>
          <w:p>
            <w:pPr>
              <w:pStyle w:val="TableParagraph"/>
              <w:spacing w:line="175" w:lineRule="exact"/>
              <w:ind w:right="20"/>
              <w:jc w:val="right"/>
              <w:rPr>
                <w:rFonts w:ascii="宋体" w:hAnsi="宋体" w:cs="宋体" w:eastAsia="宋体" w:hint="default"/>
                <w:sz w:val="15"/>
                <w:szCs w:val="15"/>
              </w:rPr>
            </w:pPr>
            <w:r>
              <w:rPr>
                <w:rFonts w:ascii="宋体"/>
                <w:w w:val="100"/>
                <w:sz w:val="15"/>
              </w:rPr>
              <w:t> </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right="20"/>
              <w:jc w:val="right"/>
              <w:rPr>
                <w:rFonts w:ascii="宋体" w:hAnsi="宋体" w:cs="宋体" w:eastAsia="宋体" w:hint="default"/>
                <w:sz w:val="15"/>
                <w:szCs w:val="15"/>
              </w:rPr>
            </w:pPr>
            <w:r>
              <w:rPr>
                <w:rFonts w:ascii="宋体"/>
                <w:w w:val="100"/>
                <w:sz w:val="15"/>
              </w:rPr>
              <w:t> </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right="20"/>
              <w:jc w:val="right"/>
              <w:rPr>
                <w:rFonts w:ascii="宋体" w:hAnsi="宋体" w:cs="宋体" w:eastAsia="宋体" w:hint="default"/>
                <w:sz w:val="15"/>
                <w:szCs w:val="15"/>
              </w:rPr>
            </w:pPr>
            <w:r>
              <w:rPr>
                <w:rFonts w:ascii="宋体"/>
                <w:w w:val="100"/>
                <w:sz w:val="15"/>
              </w:rPr>
              <w:t> </w:t>
            </w:r>
          </w:p>
        </w:tc>
        <w:tc>
          <w:tcPr>
            <w:tcW w:w="569"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right="23"/>
              <w:jc w:val="right"/>
              <w:rPr>
                <w:rFonts w:ascii="宋体" w:hAnsi="宋体" w:cs="宋体" w:eastAsia="宋体" w:hint="default"/>
                <w:sz w:val="15"/>
                <w:szCs w:val="15"/>
              </w:rPr>
            </w:pPr>
            <w:r>
              <w:rPr>
                <w:rFonts w:ascii="宋体"/>
                <w:w w:val="100"/>
                <w:sz w:val="15"/>
              </w:rPr>
              <w:t> </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right="23"/>
              <w:jc w:val="right"/>
              <w:rPr>
                <w:rFonts w:ascii="宋体" w:hAnsi="宋体" w:cs="宋体" w:eastAsia="宋体" w:hint="default"/>
                <w:sz w:val="15"/>
                <w:szCs w:val="15"/>
              </w:rPr>
            </w:pPr>
            <w:r>
              <w:rPr>
                <w:rFonts w:ascii="宋体"/>
                <w:w w:val="100"/>
                <w:sz w:val="15"/>
              </w:rPr>
              <w:t> </w:t>
            </w:r>
          </w:p>
        </w:tc>
        <w:tc>
          <w:tcPr>
            <w:tcW w:w="1381"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right="23"/>
              <w:jc w:val="right"/>
              <w:rPr>
                <w:rFonts w:ascii="宋体" w:hAnsi="宋体" w:cs="宋体" w:eastAsia="宋体" w:hint="default"/>
                <w:sz w:val="15"/>
                <w:szCs w:val="15"/>
              </w:rPr>
            </w:pPr>
            <w:r>
              <w:rPr>
                <w:rFonts w:ascii="宋体"/>
                <w:w w:val="100"/>
                <w:sz w:val="15"/>
              </w:rPr>
              <w:t> </w:t>
            </w:r>
          </w:p>
        </w:tc>
        <w:tc>
          <w:tcPr>
            <w:tcW w:w="1454"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right="23"/>
              <w:jc w:val="right"/>
              <w:rPr>
                <w:rFonts w:ascii="宋体" w:hAnsi="宋体" w:cs="宋体" w:eastAsia="宋体" w:hint="default"/>
                <w:sz w:val="15"/>
                <w:szCs w:val="15"/>
              </w:rPr>
            </w:pPr>
            <w:r>
              <w:rPr>
                <w:rFonts w:ascii="宋体"/>
                <w:w w:val="100"/>
                <w:sz w:val="15"/>
              </w:rPr>
              <w:t> </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ind w:right="23"/>
              <w:jc w:val="right"/>
              <w:rPr>
                <w:rFonts w:ascii="宋体" w:hAnsi="宋体" w:cs="宋体" w:eastAsia="宋体" w:hint="default"/>
                <w:sz w:val="15"/>
                <w:szCs w:val="15"/>
              </w:rPr>
            </w:pPr>
            <w:r>
              <w:rPr>
                <w:rFonts w:ascii="宋体"/>
                <w:w w:val="100"/>
                <w:sz w:val="15"/>
              </w:rPr>
              <w:t> </w:t>
            </w:r>
          </w:p>
        </w:tc>
      </w:tr>
      <w:tr>
        <w:trPr>
          <w:trHeight w:val="209" w:hRule="exact"/>
        </w:trPr>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四、本期期末余额</w:t>
            </w:r>
            <w:r>
              <w:rPr>
                <w:rFonts w:ascii="宋体" w:hAnsi="宋体" w:cs="宋体" w:eastAsia="宋体" w:hint="default"/>
                <w:sz w:val="15"/>
                <w:szCs w:val="15"/>
              </w:rPr>
              <w:t> </w:t>
            </w:r>
          </w:p>
        </w:tc>
        <w:tc>
          <w:tcPr>
            <w:tcW w:w="1418" w:type="dxa"/>
            <w:tcBorders>
              <w:top w:val="single" w:sz="6" w:space="0" w:color="000000"/>
              <w:left w:val="single" w:sz="6" w:space="0" w:color="000000"/>
              <w:bottom w:val="single" w:sz="6"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spacing w:val="-2"/>
                <w:sz w:val="15"/>
              </w:rPr>
              <w:t>1,765,410,843.00</w:t>
            </w:r>
            <w:r>
              <w:rPr>
                <w:rFonts w:ascii="宋体"/>
                <w:sz w:val="15"/>
              </w:rPr>
              <w:t> </w:t>
            </w:r>
          </w:p>
        </w:tc>
        <w:tc>
          <w:tcPr>
            <w:tcW w:w="709" w:type="dxa"/>
            <w:tcBorders>
              <w:top w:val="single" w:sz="6" w:space="0" w:color="000000"/>
              <w:left w:val="single" w:sz="4" w:space="0" w:color="000000"/>
              <w:bottom w:val="single" w:sz="6" w:space="0" w:color="000000"/>
              <w:right w:val="single" w:sz="4" w:space="0" w:color="000000"/>
            </w:tcBorders>
          </w:tcPr>
          <w:p>
            <w:pPr>
              <w:pStyle w:val="TableParagraph"/>
              <w:spacing w:line="172" w:lineRule="exact"/>
              <w:ind w:right="25"/>
              <w:jc w:val="right"/>
              <w:rPr>
                <w:rFonts w:ascii="宋体" w:hAnsi="宋体" w:cs="宋体" w:eastAsia="宋体" w:hint="default"/>
                <w:sz w:val="15"/>
                <w:szCs w:val="15"/>
              </w:rPr>
            </w:pPr>
            <w:r>
              <w:rPr>
                <w:rFonts w:ascii="宋体"/>
                <w:w w:val="100"/>
                <w:sz w:val="15"/>
              </w:rPr>
              <w:t> </w:t>
            </w:r>
          </w:p>
        </w:tc>
        <w:tc>
          <w:tcPr>
            <w:tcW w:w="708" w:type="dxa"/>
            <w:tcBorders>
              <w:top w:val="single" w:sz="6" w:space="0" w:color="000000"/>
              <w:left w:val="single" w:sz="4" w:space="0" w:color="000000"/>
              <w:bottom w:val="single" w:sz="6" w:space="0" w:color="000000"/>
              <w:right w:val="single" w:sz="4"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418" w:type="dxa"/>
            <w:tcBorders>
              <w:top w:val="single" w:sz="6" w:space="0" w:color="000000"/>
              <w:left w:val="single" w:sz="4" w:space="0" w:color="000000"/>
              <w:bottom w:val="single" w:sz="6" w:space="0" w:color="000000"/>
              <w:right w:val="single" w:sz="6" w:space="0" w:color="000000"/>
            </w:tcBorders>
          </w:tcPr>
          <w:p>
            <w:pPr>
              <w:pStyle w:val="TableParagraph"/>
              <w:spacing w:line="172" w:lineRule="exact"/>
              <w:ind w:right="20"/>
              <w:jc w:val="right"/>
              <w:rPr>
                <w:rFonts w:ascii="宋体" w:hAnsi="宋体" w:cs="宋体" w:eastAsia="宋体" w:hint="default"/>
                <w:sz w:val="15"/>
                <w:szCs w:val="15"/>
              </w:rPr>
            </w:pPr>
            <w:r>
              <w:rPr>
                <w:rFonts w:ascii="宋体"/>
                <w:spacing w:val="-2"/>
                <w:sz w:val="15"/>
              </w:rPr>
              <w:t>648,686,895.88</w:t>
            </w:r>
            <w:r>
              <w:rPr>
                <w:rFonts w:ascii="宋体"/>
                <w:sz w:val="15"/>
              </w:rPr>
              <w:t> </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0"/>
              <w:jc w:val="right"/>
              <w:rPr>
                <w:rFonts w:ascii="宋体" w:hAnsi="宋体" w:cs="宋体" w:eastAsia="宋体" w:hint="default"/>
                <w:sz w:val="15"/>
                <w:szCs w:val="15"/>
              </w:rPr>
            </w:pPr>
            <w:r>
              <w:rPr>
                <w:rFonts w:ascii="宋体"/>
                <w:spacing w:val="-2"/>
                <w:sz w:val="15"/>
              </w:rPr>
              <w:t>4,634,617,835.24</w:t>
            </w:r>
            <w:r>
              <w:rPr>
                <w:rFonts w:ascii="宋体"/>
                <w:sz w:val="15"/>
              </w:rPr>
              <w:t> </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0"/>
              <w:jc w:val="right"/>
              <w:rPr>
                <w:rFonts w:ascii="宋体" w:hAnsi="宋体" w:cs="宋体" w:eastAsia="宋体" w:hint="default"/>
                <w:sz w:val="15"/>
                <w:szCs w:val="15"/>
              </w:rPr>
            </w:pPr>
            <w:r>
              <w:rPr>
                <w:rFonts w:ascii="宋体"/>
                <w:spacing w:val="-2"/>
                <w:sz w:val="15"/>
              </w:rPr>
              <w:t>173,515,620.20</w:t>
            </w:r>
            <w:r>
              <w:rPr>
                <w:rFonts w:ascii="宋体"/>
                <w:sz w:val="15"/>
              </w:rPr>
              <w:t> </w:t>
            </w:r>
          </w:p>
        </w:tc>
        <w:tc>
          <w:tcPr>
            <w:tcW w:w="569"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3"/>
              <w:jc w:val="right"/>
              <w:rPr>
                <w:rFonts w:ascii="宋体" w:hAnsi="宋体" w:cs="宋体" w:eastAsia="宋体" w:hint="default"/>
                <w:sz w:val="15"/>
                <w:szCs w:val="15"/>
              </w:rPr>
            </w:pPr>
            <w:r>
              <w:rPr>
                <w:rFonts w:ascii="宋体"/>
                <w:w w:val="100"/>
                <w:sz w:val="15"/>
              </w:rPr>
              <w:t> </w:t>
            </w:r>
          </w:p>
        </w:tc>
        <w:tc>
          <w:tcPr>
            <w:tcW w:w="1381"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1"/>
                <w:sz w:val="15"/>
              </w:rPr>
              <w:t>225,738,320.37 </w:t>
            </w:r>
          </w:p>
        </w:tc>
        <w:tc>
          <w:tcPr>
            <w:tcW w:w="1454"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2"/>
                <w:sz w:val="15"/>
              </w:rPr>
              <w:t>1,277,485,893.50</w:t>
            </w:r>
            <w:r>
              <w:rPr>
                <w:rFonts w:ascii="宋体"/>
                <w:sz w:val="15"/>
              </w:rPr>
              <w:t> </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3"/>
              <w:jc w:val="right"/>
              <w:rPr>
                <w:rFonts w:ascii="宋体" w:hAnsi="宋体" w:cs="宋体" w:eastAsia="宋体" w:hint="default"/>
                <w:sz w:val="15"/>
                <w:szCs w:val="15"/>
              </w:rPr>
            </w:pPr>
            <w:r>
              <w:rPr>
                <w:rFonts w:ascii="宋体"/>
                <w:spacing w:val="-2"/>
                <w:sz w:val="15"/>
              </w:rPr>
              <w:t>8,378,424,167.79</w:t>
            </w:r>
            <w:r>
              <w:rPr>
                <w:rFonts w:ascii="宋体"/>
                <w:sz w:val="15"/>
              </w:rPr>
              <w:t> </w:t>
            </w:r>
          </w:p>
        </w:tc>
      </w:tr>
    </w:tbl>
    <w:p>
      <w:pPr>
        <w:pStyle w:val="BodyText"/>
        <w:spacing w:line="240" w:lineRule="exact"/>
        <w:ind w:left="404" w:right="0"/>
        <w:jc w:val="left"/>
        <w:rPr>
          <w:rFonts w:ascii="宋体" w:hAnsi="宋体" w:cs="宋体" w:eastAsia="宋体" w:hint="default"/>
        </w:rPr>
      </w:pPr>
      <w:r>
        <w:rPr/>
        <w:t>法定代表人：陆永华          </w:t>
      </w:r>
      <w:r>
        <w:rPr>
          <w:rFonts w:ascii="宋体" w:hAnsi="宋体" w:cs="宋体" w:eastAsia="宋体" w:hint="default"/>
        </w:rPr>
      </w:r>
      <w:r>
        <w:rPr/>
        <w:t>主管会计工作负责人：虞海娟        </w:t>
      </w:r>
      <w:r>
        <w:rPr>
          <w:spacing w:val="91"/>
        </w:rPr>
        <w:t> </w:t>
      </w:r>
      <w:r>
        <w:rPr>
          <w:rFonts w:ascii="宋体" w:hAnsi="宋体" w:cs="宋体" w:eastAsia="宋体" w:hint="default"/>
          <w:spacing w:val="91"/>
        </w:rPr>
      </w:r>
      <w:r>
        <w:rPr/>
        <w:t>会计机构负责人：周辉</w:t>
      </w:r>
      <w:r>
        <w:rPr>
          <w:rFonts w:ascii="宋体" w:hAnsi="宋体" w:cs="宋体" w:eastAsia="宋体" w:hint="default"/>
          <w:b/>
          <w:bCs/>
          <w:color w:val="FF0000"/>
          <w:w w:val="99"/>
        </w:rPr>
        <w:t> </w:t>
      </w:r>
      <w:r>
        <w:rPr>
          <w:rFonts w:ascii="宋体" w:hAnsi="宋体" w:cs="宋体" w:eastAsia="宋体" w:hint="default"/>
        </w:rPr>
      </w:r>
    </w:p>
    <w:p>
      <w:pPr>
        <w:pStyle w:val="Heading3"/>
        <w:spacing w:line="274" w:lineRule="exact" w:before="0"/>
        <w:ind w:left="404" w:right="0"/>
        <w:jc w:val="left"/>
        <w:rPr>
          <w:rFonts w:ascii="宋体" w:hAnsi="宋体" w:cs="宋体" w:eastAsia="宋体" w:hint="default"/>
          <w:b w:val="0"/>
          <w:bCs w:val="0"/>
        </w:rPr>
      </w:pPr>
      <w:r>
        <w:rPr>
          <w:rFonts w:ascii="宋体"/>
          <w:color w:val="FF0000"/>
          <w:w w:val="99"/>
        </w:rPr>
        <w:t> </w:t>
      </w:r>
      <w:r>
        <w:rPr>
          <w:rFonts w:ascii="宋体"/>
          <w:b w:val="0"/>
        </w:rPr>
      </w:r>
    </w:p>
    <w:p>
      <w:pPr>
        <w:spacing w:after="0" w:line="274" w:lineRule="exact"/>
        <w:jc w:val="left"/>
        <w:rPr>
          <w:rFonts w:ascii="宋体" w:hAnsi="宋体" w:cs="宋体" w:eastAsia="宋体" w:hint="default"/>
        </w:rPr>
        <w:sectPr>
          <w:pgSz w:w="16840" w:h="11910" w:orient="landscape"/>
          <w:pgMar w:header="748" w:footer="975" w:top="1140" w:bottom="1160" w:left="1120" w:right="440"/>
        </w:sectPr>
      </w:pPr>
    </w:p>
    <w:p>
      <w:pPr>
        <w:spacing w:line="240" w:lineRule="auto" w:before="9"/>
        <w:rPr>
          <w:rFonts w:ascii="宋体" w:hAnsi="宋体" w:cs="宋体" w:eastAsia="宋体" w:hint="default"/>
          <w:b/>
          <w:bCs/>
          <w:sz w:val="23"/>
          <w:szCs w:val="23"/>
        </w:rPr>
      </w:pPr>
    </w:p>
    <w:p>
      <w:pPr>
        <w:pStyle w:val="Heading3"/>
        <w:tabs>
          <w:tab w:pos="637" w:val="left" w:leader="none"/>
        </w:tabs>
        <w:spacing w:line="326" w:lineRule="auto" w:before="36"/>
        <w:ind w:left="216" w:right="7352"/>
        <w:jc w:val="left"/>
        <w:rPr>
          <w:b w:val="0"/>
          <w:bCs w:val="0"/>
        </w:rPr>
      </w:pPr>
      <w:r>
        <w:rPr/>
        <w:t>三、</w:t>
      </w:r>
      <w:r>
        <w:rPr>
          <w:spacing w:val="-105"/>
        </w:rPr>
        <w:t> </w:t>
      </w:r>
      <w:r>
        <w:rPr>
          <w:rFonts w:ascii="宋体" w:hAnsi="宋体" w:cs="宋体" w:eastAsia="宋体" w:hint="default"/>
          <w:spacing w:val="-105"/>
        </w:rPr>
      </w:r>
      <w:r>
        <w:rPr/>
        <w:t>公司基本情况</w:t>
      </w:r>
      <w:r>
        <w:rPr>
          <w:rFonts w:ascii="宋体" w:hAnsi="宋体" w:cs="宋体" w:eastAsia="宋体" w:hint="default"/>
          <w:w w:val="99"/>
        </w:rPr>
        <w:t> </w:t>
      </w:r>
      <w:r>
        <w:rPr>
          <w:rFonts w:ascii="宋体" w:hAnsi="宋体" w:cs="宋体" w:eastAsia="宋体" w:hint="default"/>
          <w:w w:val="95"/>
        </w:rPr>
        <w:t>1.</w:t>
        <w:tab/>
      </w:r>
      <w:r>
        <w:rPr/>
        <w:t>公司概况</w:t>
      </w:r>
      <w:r>
        <w:rPr>
          <w:b w:val="0"/>
          <w:bCs w:val="0"/>
        </w:rPr>
      </w:r>
    </w:p>
    <w:p>
      <w:pPr>
        <w:pStyle w:val="BodyText"/>
        <w:spacing w:line="240" w:lineRule="auto" w:before="21"/>
        <w:ind w:left="216" w:right="7352"/>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319" w:lineRule="auto" w:before="109"/>
        <w:ind w:left="930" w:right="0"/>
        <w:jc w:val="left"/>
      </w:pPr>
      <w:r>
        <w:rPr>
          <w:spacing w:val="-1"/>
        </w:rPr>
        <w:t>江苏林洋能源股份有限公司（原名江苏林洋电子股份有限公司，以下简称公司或本公司）</w:t>
      </w:r>
      <w:r>
        <w:rPr>
          <w:spacing w:val="-29"/>
        </w:rPr>
        <w:t> </w:t>
      </w:r>
      <w:r>
        <w:rPr>
          <w:spacing w:val="-29"/>
        </w:rPr>
      </w:r>
      <w:r>
        <w:rPr/>
        <w:t>成立于</w:t>
      </w:r>
      <w:r>
        <w:rPr>
          <w:spacing w:val="-46"/>
        </w:rPr>
        <w:t> </w:t>
      </w:r>
      <w:r>
        <w:rPr>
          <w:rFonts w:ascii="Times New Roman" w:hAnsi="Times New Roman" w:cs="Times New Roman" w:eastAsia="Times New Roman" w:hint="default"/>
        </w:rPr>
        <w:t>2010</w:t>
      </w:r>
      <w:r>
        <w:rPr>
          <w:rFonts w:ascii="Times New Roman" w:hAnsi="Times New Roman" w:cs="Times New Roman" w:eastAsia="Times New Roman" w:hint="default"/>
          <w:spacing w:val="7"/>
        </w:rPr>
        <w:t> </w:t>
      </w:r>
      <w:r>
        <w:rPr/>
        <w:t>年</w:t>
      </w:r>
      <w:r>
        <w:rPr>
          <w:spacing w:val="-45"/>
        </w:rPr>
        <w:t> </w:t>
      </w:r>
      <w:r>
        <w:rPr>
          <w:rFonts w:ascii="Times New Roman" w:hAnsi="Times New Roman" w:cs="Times New Roman" w:eastAsia="Times New Roman" w:hint="default"/>
        </w:rPr>
        <w:t>2</w:t>
      </w:r>
      <w:r>
        <w:rPr>
          <w:rFonts w:ascii="Times New Roman" w:hAnsi="Times New Roman" w:cs="Times New Roman" w:eastAsia="Times New Roman" w:hint="default"/>
          <w:spacing w:val="7"/>
        </w:rPr>
        <w:t> </w:t>
      </w:r>
      <w:r>
        <w:rPr/>
        <w:t>月</w:t>
      </w:r>
      <w:r>
        <w:rPr>
          <w:spacing w:val="-45"/>
        </w:rPr>
        <w:t> </w:t>
      </w:r>
      <w:r>
        <w:rPr>
          <w:rFonts w:ascii="Times New Roman" w:hAnsi="Times New Roman" w:cs="Times New Roman" w:eastAsia="Times New Roman" w:hint="default"/>
        </w:rPr>
        <w:t>8</w:t>
      </w:r>
      <w:r>
        <w:rPr>
          <w:rFonts w:ascii="Times New Roman" w:hAnsi="Times New Roman" w:cs="Times New Roman" w:eastAsia="Times New Roman" w:hint="default"/>
          <w:spacing w:val="8"/>
        </w:rPr>
        <w:t> </w:t>
      </w:r>
      <w:r>
        <w:rPr/>
        <w:t>日，</w:t>
      </w:r>
      <w:r>
        <w:rPr>
          <w:rFonts w:ascii="Times New Roman" w:hAnsi="Times New Roman" w:cs="Times New Roman" w:eastAsia="Times New Roman" w:hint="default"/>
        </w:rPr>
        <w:t>2011</w:t>
      </w:r>
      <w:r>
        <w:rPr>
          <w:rFonts w:ascii="Times New Roman" w:hAnsi="Times New Roman" w:cs="Times New Roman" w:eastAsia="Times New Roman" w:hint="default"/>
          <w:spacing w:val="7"/>
        </w:rPr>
        <w:t> </w:t>
      </w:r>
      <w:r>
        <w:rPr/>
        <w:t>年</w:t>
      </w:r>
      <w:r>
        <w:rPr>
          <w:spacing w:val="-45"/>
        </w:rPr>
        <w:t> </w:t>
      </w:r>
      <w:r>
        <w:rPr>
          <w:rFonts w:ascii="Times New Roman" w:hAnsi="Times New Roman" w:cs="Times New Roman" w:eastAsia="Times New Roman" w:hint="default"/>
        </w:rPr>
        <w:t>4</w:t>
      </w:r>
      <w:r>
        <w:rPr>
          <w:rFonts w:ascii="Times New Roman" w:hAnsi="Times New Roman" w:cs="Times New Roman" w:eastAsia="Times New Roman" w:hint="default"/>
          <w:spacing w:val="7"/>
        </w:rPr>
        <w:t> </w:t>
      </w:r>
      <w:r>
        <w:rPr/>
        <w:t>月</w:t>
      </w:r>
      <w:r>
        <w:rPr>
          <w:spacing w:val="-45"/>
        </w:rPr>
        <w:t> </w:t>
      </w:r>
      <w:r>
        <w:rPr>
          <w:rFonts w:ascii="Times New Roman" w:hAnsi="Times New Roman" w:cs="Times New Roman" w:eastAsia="Times New Roman" w:hint="default"/>
        </w:rPr>
        <w:t>28</w:t>
      </w:r>
      <w:r>
        <w:rPr>
          <w:rFonts w:ascii="Times New Roman" w:hAnsi="Times New Roman" w:cs="Times New Roman" w:eastAsia="Times New Roman" w:hint="default"/>
          <w:spacing w:val="5"/>
        </w:rPr>
        <w:t> </w:t>
      </w:r>
      <w:r>
        <w:rPr/>
        <w:t>日经中国证券监督管理委员会《关于核准江苏</w:t>
      </w:r>
      <w:r>
        <w:rPr>
          <w:w w:val="100"/>
        </w:rPr>
        <w:t> </w:t>
      </w:r>
      <w:r>
        <w:rPr>
          <w:spacing w:val="-5"/>
          <w:w w:val="100"/>
        </w:rPr>
        <w:t>林洋电子股份有限公司首次公开发行股票的批复》（证监许可</w:t>
      </w:r>
      <w:r>
        <w:rPr>
          <w:rFonts w:ascii="Times New Roman" w:hAnsi="Times New Roman" w:cs="Times New Roman" w:eastAsia="Times New Roman" w:hint="default"/>
          <w:spacing w:val="-5"/>
          <w:w w:val="100"/>
        </w:rPr>
        <w:t>[2011]633</w:t>
      </w:r>
      <w:r>
        <w:rPr>
          <w:rFonts w:ascii="Times New Roman" w:hAnsi="Times New Roman" w:cs="Times New Roman" w:eastAsia="Times New Roman" w:hint="default"/>
          <w:w w:val="100"/>
        </w:rPr>
        <w:t> </w:t>
      </w:r>
      <w:r>
        <w:rPr>
          <w:spacing w:val="-6"/>
          <w:w w:val="100"/>
        </w:rPr>
        <w:t>号文）核准，首次</w:t>
      </w:r>
      <w:r>
        <w:rPr>
          <w:spacing w:val="-95"/>
          <w:w w:val="100"/>
        </w:rPr>
        <w:t> </w:t>
      </w:r>
      <w:r>
        <w:rPr>
          <w:spacing w:val="-95"/>
          <w:w w:val="100"/>
        </w:rPr>
      </w:r>
      <w:r>
        <w:rPr/>
        <w:t>向社会公开发行新股</w:t>
      </w:r>
      <w:r>
        <w:rPr>
          <w:spacing w:val="-40"/>
        </w:rPr>
        <w:t> </w:t>
      </w:r>
      <w:r>
        <w:rPr>
          <w:rFonts w:ascii="Times New Roman" w:hAnsi="Times New Roman" w:cs="Times New Roman" w:eastAsia="Times New Roman" w:hint="default"/>
        </w:rPr>
        <w:t>7,500</w:t>
      </w:r>
      <w:r>
        <w:rPr>
          <w:rFonts w:ascii="Times New Roman" w:hAnsi="Times New Roman" w:cs="Times New Roman" w:eastAsia="Times New Roman" w:hint="default"/>
          <w:spacing w:val="12"/>
        </w:rPr>
        <w:t> </w:t>
      </w:r>
      <w:r>
        <w:rPr/>
        <w:t>万股，并于</w:t>
      </w:r>
      <w:r>
        <w:rPr>
          <w:spacing w:val="-41"/>
        </w:rPr>
        <w:t> </w:t>
      </w:r>
      <w:r>
        <w:rPr>
          <w:rFonts w:ascii="Times New Roman" w:hAnsi="Times New Roman" w:cs="Times New Roman" w:eastAsia="Times New Roman" w:hint="default"/>
          <w:spacing w:val="-4"/>
        </w:rPr>
        <w:t>2011</w:t>
      </w:r>
      <w:r>
        <w:rPr>
          <w:rFonts w:ascii="Times New Roman" w:hAnsi="Times New Roman" w:cs="Times New Roman" w:eastAsia="Times New Roman" w:hint="default"/>
          <w:spacing w:val="12"/>
        </w:rPr>
        <w:t> </w:t>
      </w:r>
      <w:r>
        <w:rPr/>
        <w:t>年</w:t>
      </w:r>
      <w:r>
        <w:rPr>
          <w:spacing w:val="-43"/>
        </w:rPr>
        <w:t> </w:t>
      </w:r>
      <w:r>
        <w:rPr>
          <w:rFonts w:ascii="Times New Roman" w:hAnsi="Times New Roman" w:cs="Times New Roman" w:eastAsia="Times New Roman" w:hint="default"/>
        </w:rPr>
        <w:t>8</w:t>
      </w:r>
      <w:r>
        <w:rPr>
          <w:rFonts w:ascii="Times New Roman" w:hAnsi="Times New Roman" w:cs="Times New Roman" w:eastAsia="Times New Roman" w:hint="default"/>
          <w:spacing w:val="10"/>
        </w:rPr>
        <w:t> </w:t>
      </w:r>
      <w:r>
        <w:rPr/>
        <w:t>月</w:t>
      </w:r>
      <w:r>
        <w:rPr>
          <w:spacing w:val="-41"/>
        </w:rPr>
        <w:t> </w:t>
      </w:r>
      <w:r>
        <w:rPr>
          <w:rFonts w:ascii="Times New Roman" w:hAnsi="Times New Roman" w:cs="Times New Roman" w:eastAsia="Times New Roman" w:hint="default"/>
        </w:rPr>
        <w:t>8</w:t>
      </w:r>
      <w:r>
        <w:rPr>
          <w:rFonts w:ascii="Times New Roman" w:hAnsi="Times New Roman" w:cs="Times New Roman" w:eastAsia="Times New Roman" w:hint="default"/>
          <w:spacing w:val="9"/>
        </w:rPr>
        <w:t> </w:t>
      </w:r>
      <w:r>
        <w:rPr/>
        <w:t>日在上海证券交易所上市，公司注</w:t>
      </w:r>
    </w:p>
    <w:p>
      <w:pPr>
        <w:pStyle w:val="BodyText"/>
        <w:spacing w:line="328" w:lineRule="auto" w:before="11"/>
        <w:ind w:left="930" w:right="308"/>
        <w:jc w:val="both"/>
      </w:pPr>
      <w:r>
        <w:rPr/>
        <w:t>册资本为人民币</w:t>
      </w:r>
      <w:r>
        <w:rPr>
          <w:spacing w:val="-33"/>
        </w:rPr>
        <w:t> </w:t>
      </w:r>
      <w:r>
        <w:rPr>
          <w:rFonts w:ascii="Times New Roman" w:hAnsi="Times New Roman" w:cs="Times New Roman" w:eastAsia="Times New Roman" w:hint="default"/>
        </w:rPr>
        <w:t>290,000,000.00</w:t>
      </w:r>
      <w:r>
        <w:rPr>
          <w:rFonts w:ascii="Times New Roman" w:hAnsi="Times New Roman" w:cs="Times New Roman" w:eastAsia="Times New Roman" w:hint="default"/>
          <w:spacing w:val="18"/>
        </w:rPr>
        <w:t> </w:t>
      </w:r>
      <w:r>
        <w:rPr>
          <w:spacing w:val="-3"/>
        </w:rPr>
        <w:t>元。公司所属行业为电工仪器仪表行业，法定代表人为陆</w:t>
      </w:r>
      <w:r>
        <w:rPr>
          <w:spacing w:val="-97"/>
        </w:rPr>
        <w:t> </w:t>
      </w:r>
      <w:r>
        <w:rPr>
          <w:spacing w:val="-97"/>
        </w:rPr>
      </w:r>
      <w:r>
        <w:rPr>
          <w:spacing w:val="-4"/>
        </w:rPr>
        <w:t>永华，经营范围：仪器仪表、电子设备、电力电气设备、自动化设备、集成电路、光伏设</w:t>
      </w:r>
      <w:r>
        <w:rPr>
          <w:spacing w:val="-33"/>
        </w:rPr>
        <w:t> </w:t>
      </w:r>
      <w:r>
        <w:rPr>
          <w:spacing w:val="-33"/>
        </w:rPr>
      </w:r>
      <w:r>
        <w:rPr/>
        <w:t>备、照明器具、光电元器件、</w:t>
      </w:r>
      <w:r>
        <w:rPr>
          <w:rFonts w:ascii="Times New Roman" w:hAnsi="Times New Roman" w:cs="Times New Roman" w:eastAsia="Times New Roman" w:hint="default"/>
        </w:rPr>
        <w:t>LED</w:t>
      </w:r>
      <w:r>
        <w:rPr>
          <w:rFonts w:ascii="Times New Roman" w:hAnsi="Times New Roman" w:cs="Times New Roman" w:eastAsia="Times New Roman" w:hint="default"/>
          <w:spacing w:val="40"/>
        </w:rPr>
        <w:t> </w:t>
      </w:r>
      <w:r>
        <w:rPr/>
        <w:t>驱动电源、智能照明控制系统、计算机软硬件及系统</w:t>
      </w:r>
      <w:r>
        <w:rPr>
          <w:spacing w:val="-100"/>
        </w:rPr>
        <w:t> </w:t>
      </w:r>
      <w:r>
        <w:rPr>
          <w:spacing w:val="-100"/>
        </w:rPr>
      </w:r>
      <w:r>
        <w:rPr>
          <w:spacing w:val="-4"/>
        </w:rPr>
        <w:t>产品的研发、制造、销售；光伏发电项目的开发、建设、维护、经营管理及技术咨询；智</w:t>
      </w:r>
      <w:r>
        <w:rPr>
          <w:spacing w:val="-32"/>
        </w:rPr>
        <w:t> </w:t>
      </w:r>
      <w:r>
        <w:rPr>
          <w:spacing w:val="-32"/>
        </w:rPr>
      </w:r>
      <w:r>
        <w:rPr>
          <w:spacing w:val="-4"/>
        </w:rPr>
        <w:t>能电网系统集成；储能控制系统以及太阳能新能源应用的研发、生产、销售；电力电气工</w:t>
      </w:r>
      <w:r>
        <w:rPr>
          <w:spacing w:val="-27"/>
        </w:rPr>
        <w:t> </w:t>
      </w:r>
      <w:r>
        <w:rPr>
          <w:spacing w:val="-27"/>
        </w:rPr>
      </w:r>
      <w:r>
        <w:rPr>
          <w:spacing w:val="-4"/>
        </w:rPr>
        <w:t>程、建筑物照明设备、光伏电气设备、路牌、路标、广告牌的安装、施工；电力设备在线</w:t>
      </w:r>
      <w:r>
        <w:rPr>
          <w:spacing w:val="-32"/>
        </w:rPr>
        <w:t> </w:t>
      </w:r>
      <w:r>
        <w:rPr>
          <w:spacing w:val="-32"/>
        </w:rPr>
      </w:r>
      <w:r>
        <w:rPr>
          <w:spacing w:val="-4"/>
        </w:rPr>
        <w:t>监测系统、视频系统、变电站智能辅助系统、安防系统开发；新能源、节能环保相关产品</w:t>
      </w:r>
      <w:r>
        <w:rPr>
          <w:spacing w:val="-25"/>
        </w:rPr>
        <w:t> </w:t>
      </w:r>
      <w:r>
        <w:rPr>
          <w:spacing w:val="-25"/>
        </w:rPr>
      </w:r>
      <w:r>
        <w:rPr>
          <w:spacing w:val="-4"/>
        </w:rPr>
        <w:t>及零配件的研发、设计、制造、销售、安装；国际货运代理；自营和代理各类商品及技术</w:t>
      </w:r>
      <w:r>
        <w:rPr>
          <w:spacing w:val="-28"/>
        </w:rPr>
        <w:t> </w:t>
      </w:r>
      <w:r>
        <w:rPr>
          <w:spacing w:val="-28"/>
        </w:rPr>
      </w:r>
      <w:r>
        <w:rPr>
          <w:spacing w:val="-9"/>
          <w:w w:val="100"/>
        </w:rPr>
        <w:t>的进出口业务（国家限定公司经营或禁止进出口的商品及技术除外）。（依法须经批准的项</w:t>
      </w:r>
      <w:r>
        <w:rPr>
          <w:spacing w:val="-81"/>
          <w:w w:val="100"/>
        </w:rPr>
        <w:t> </w:t>
      </w:r>
      <w:r>
        <w:rPr>
          <w:spacing w:val="-81"/>
          <w:w w:val="100"/>
        </w:rPr>
      </w:r>
      <w:r>
        <w:rPr>
          <w:spacing w:val="-7"/>
          <w:w w:val="100"/>
        </w:rPr>
        <w:t>目，经相关部门批准后方可开展经营活动）。</w:t>
      </w:r>
    </w:p>
    <w:p>
      <w:pPr>
        <w:pStyle w:val="BodyText"/>
        <w:spacing w:line="240" w:lineRule="auto" w:before="29"/>
        <w:ind w:left="930" w:right="0"/>
        <w:jc w:val="both"/>
        <w:rPr>
          <w:rFonts w:ascii="Times New Roman" w:hAnsi="Times New Roman" w:cs="Times New Roman" w:eastAsia="Times New Roman" w:hint="default"/>
        </w:rPr>
      </w:pP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w:t>
      </w:r>
      <w:r>
        <w:rPr>
          <w:spacing w:val="-48"/>
        </w:rPr>
        <w:t> </w:t>
      </w:r>
      <w:r>
        <w:rPr>
          <w:rFonts w:ascii="Times New Roman" w:hAnsi="Times New Roman" w:cs="Times New Roman" w:eastAsia="Times New Roman" w:hint="default"/>
        </w:rPr>
        <w:t>5</w:t>
      </w:r>
      <w:r>
        <w:rPr>
          <w:rFonts w:ascii="Times New Roman" w:hAnsi="Times New Roman" w:cs="Times New Roman" w:eastAsia="Times New Roman" w:hint="default"/>
          <w:spacing w:val="2"/>
        </w:rPr>
        <w:t> </w:t>
      </w:r>
      <w:r>
        <w:rPr/>
        <w:t>月</w:t>
      </w:r>
      <w:r>
        <w:rPr>
          <w:spacing w:val="-48"/>
        </w:rPr>
        <w:t> </w:t>
      </w:r>
      <w:r>
        <w:rPr>
          <w:rFonts w:ascii="Times New Roman" w:hAnsi="Times New Roman" w:cs="Times New Roman" w:eastAsia="Times New Roman" w:hint="default"/>
        </w:rPr>
        <w:t>18</w:t>
      </w:r>
      <w:r>
        <w:rPr>
          <w:rFonts w:ascii="Times New Roman" w:hAnsi="Times New Roman" w:cs="Times New Roman" w:eastAsia="Times New Roman" w:hint="default"/>
          <w:spacing w:val="2"/>
        </w:rPr>
        <w:t> </w:t>
      </w:r>
      <w:r>
        <w:rPr>
          <w:spacing w:val="-11"/>
        </w:rPr>
        <w:t>日，根据公司</w:t>
      </w:r>
      <w:r>
        <w:rPr>
          <w:spacing w:val="-47"/>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5"/>
        </w:rPr>
        <w:t> </w:t>
      </w:r>
      <w:r>
        <w:rPr>
          <w:spacing w:val="-5"/>
        </w:rPr>
        <w:t>年度股东大会决议，以资本公积转增股本</w:t>
      </w:r>
      <w:r>
        <w:rPr>
          <w:spacing w:val="-48"/>
        </w:rPr>
        <w:t> </w:t>
      </w:r>
      <w:r>
        <w:rPr>
          <w:rFonts w:ascii="Times New Roman" w:hAnsi="Times New Roman" w:cs="Times New Roman" w:eastAsia="Times New Roman" w:hint="default"/>
        </w:rPr>
        <w:t>58,000,000.00</w:t>
      </w:r>
    </w:p>
    <w:p>
      <w:pPr>
        <w:pStyle w:val="BodyText"/>
        <w:spacing w:line="240" w:lineRule="auto" w:before="88"/>
        <w:ind w:left="930" w:right="0"/>
        <w:jc w:val="both"/>
      </w:pPr>
      <w:r>
        <w:rPr/>
        <w:t>元，转增后公司注册资本和股本为人民币</w:t>
      </w:r>
      <w:r>
        <w:rPr>
          <w:spacing w:val="-54"/>
        </w:rPr>
        <w:t> </w:t>
      </w:r>
      <w:r>
        <w:rPr>
          <w:rFonts w:ascii="Times New Roman" w:hAnsi="Times New Roman" w:cs="Times New Roman" w:eastAsia="Times New Roman" w:hint="default"/>
        </w:rPr>
        <w:t>348,000,000.00</w:t>
      </w:r>
      <w:r>
        <w:rPr>
          <w:rFonts w:ascii="Times New Roman" w:hAnsi="Times New Roman" w:cs="Times New Roman" w:eastAsia="Times New Roman" w:hint="default"/>
          <w:spacing w:val="-3"/>
        </w:rPr>
        <w:t> </w:t>
      </w:r>
      <w:r>
        <w:rPr/>
        <w:t>元。</w:t>
      </w:r>
    </w:p>
    <w:p>
      <w:pPr>
        <w:pStyle w:val="BodyText"/>
        <w:spacing w:line="314" w:lineRule="auto" w:before="89"/>
        <w:ind w:left="930" w:right="311"/>
        <w:jc w:val="both"/>
      </w:pPr>
      <w:r>
        <w:rPr>
          <w:rFonts w:ascii="Times New Roman" w:hAnsi="Times New Roman" w:cs="Times New Roman" w:eastAsia="Times New Roman" w:hint="default"/>
        </w:rPr>
        <w:t>2012</w:t>
      </w:r>
      <w:r>
        <w:rPr>
          <w:rFonts w:ascii="Times New Roman" w:hAnsi="Times New Roman" w:cs="Times New Roman" w:eastAsia="Times New Roman" w:hint="default"/>
          <w:spacing w:val="5"/>
        </w:rPr>
        <w:t> </w:t>
      </w:r>
      <w:r>
        <w:rPr/>
        <w:t>年</w:t>
      </w:r>
      <w:r>
        <w:rPr>
          <w:spacing w:val="-45"/>
        </w:rPr>
        <w:t> </w:t>
      </w:r>
      <w:r>
        <w:rPr>
          <w:rFonts w:ascii="Times New Roman" w:hAnsi="Times New Roman" w:cs="Times New Roman" w:eastAsia="Times New Roman" w:hint="default"/>
        </w:rPr>
        <w:t>8</w:t>
      </w:r>
      <w:r>
        <w:rPr>
          <w:rFonts w:ascii="Times New Roman" w:hAnsi="Times New Roman" w:cs="Times New Roman" w:eastAsia="Times New Roman" w:hint="default"/>
          <w:spacing w:val="5"/>
        </w:rPr>
        <w:t> </w:t>
      </w:r>
      <w:r>
        <w:rPr/>
        <w:t>月</w:t>
      </w:r>
      <w:r>
        <w:rPr>
          <w:spacing w:val="-45"/>
        </w:rPr>
        <w:t> </w:t>
      </w:r>
      <w:r>
        <w:rPr>
          <w:rFonts w:ascii="Times New Roman" w:hAnsi="Times New Roman" w:cs="Times New Roman" w:eastAsia="Times New Roman" w:hint="default"/>
        </w:rPr>
        <w:t>28</w:t>
      </w:r>
      <w:r>
        <w:rPr>
          <w:rFonts w:ascii="Times New Roman" w:hAnsi="Times New Roman" w:cs="Times New Roman" w:eastAsia="Times New Roman" w:hint="default"/>
          <w:spacing w:val="5"/>
        </w:rPr>
        <w:t> </w:t>
      </w:r>
      <w:r>
        <w:rPr>
          <w:spacing w:val="-4"/>
        </w:rPr>
        <w:t>日，根据公司</w:t>
      </w:r>
      <w:r>
        <w:rPr>
          <w:spacing w:val="-44"/>
        </w:rPr>
        <w:t> </w:t>
      </w:r>
      <w:r>
        <w:rPr>
          <w:rFonts w:ascii="Times New Roman" w:hAnsi="Times New Roman" w:cs="Times New Roman" w:eastAsia="Times New Roman" w:hint="default"/>
        </w:rPr>
        <w:t>2012</w:t>
      </w:r>
      <w:r>
        <w:rPr>
          <w:rFonts w:ascii="Times New Roman" w:hAnsi="Times New Roman" w:cs="Times New Roman" w:eastAsia="Times New Roman" w:hint="default"/>
          <w:spacing w:val="8"/>
        </w:rPr>
        <w:t> </w:t>
      </w:r>
      <w:r>
        <w:rPr>
          <w:spacing w:val="-3"/>
        </w:rPr>
        <w:t>年第三次临时股东大会审议通过的《关于</w:t>
      </w:r>
      <w:r>
        <w:rPr>
          <w:rFonts w:ascii="Times New Roman" w:hAnsi="Times New Roman" w:cs="Times New Roman" w:eastAsia="Times New Roman" w:hint="default"/>
          <w:spacing w:val="-3"/>
        </w:rPr>
        <w:t>&lt;</w:t>
      </w:r>
      <w:r>
        <w:rPr>
          <w:spacing w:val="-3"/>
        </w:rPr>
        <w:t>江苏林洋电</w:t>
      </w:r>
      <w:r>
        <w:rPr>
          <w:spacing w:val="-102"/>
        </w:rPr>
        <w:t> </w:t>
      </w:r>
      <w:r>
        <w:rPr>
          <w:spacing w:val="-102"/>
        </w:rPr>
      </w:r>
      <w:r>
        <w:rPr>
          <w:spacing w:val="-1"/>
        </w:rPr>
        <w:t>子股份有限公司首期限制性股票激励计划（草案）</w:t>
      </w:r>
      <w:r>
        <w:rPr>
          <w:rFonts w:ascii="Times New Roman" w:hAnsi="Times New Roman" w:cs="Times New Roman" w:eastAsia="Times New Roman" w:hint="default"/>
          <w:spacing w:val="-1"/>
        </w:rPr>
        <w:t>&gt;</w:t>
      </w:r>
      <w:r>
        <w:rPr>
          <w:spacing w:val="-1"/>
        </w:rPr>
        <w:t>及其摘要的议案》和修改后的章程规</w:t>
      </w:r>
      <w:r>
        <w:rPr>
          <w:spacing w:val="-49"/>
        </w:rPr>
        <w:t> </w:t>
      </w:r>
      <w:r>
        <w:rPr>
          <w:spacing w:val="-49"/>
        </w:rPr>
      </w:r>
      <w:r>
        <w:rPr>
          <w:spacing w:val="-19"/>
          <w:w w:val="100"/>
        </w:rPr>
        <w:t>定，公司向</w:t>
      </w:r>
      <w:r>
        <w:rPr>
          <w:spacing w:val="-53"/>
          <w:w w:val="100"/>
        </w:rPr>
        <w:t> </w:t>
      </w:r>
      <w:r>
        <w:rPr>
          <w:rFonts w:ascii="Times New Roman" w:hAnsi="Times New Roman" w:cs="Times New Roman" w:eastAsia="Times New Roman" w:hint="default"/>
          <w:w w:val="100"/>
        </w:rPr>
        <w:t>100</w:t>
      </w:r>
      <w:r>
        <w:rPr>
          <w:rFonts w:ascii="Times New Roman" w:hAnsi="Times New Roman" w:cs="Times New Roman" w:eastAsia="Times New Roman" w:hint="default"/>
          <w:spacing w:val="-1"/>
          <w:w w:val="100"/>
        </w:rPr>
        <w:t> </w:t>
      </w:r>
      <w:r>
        <w:rPr>
          <w:spacing w:val="-2"/>
          <w:w w:val="100"/>
        </w:rPr>
        <w:t>名自然人定向发行股票</w:t>
      </w:r>
      <w:r>
        <w:rPr>
          <w:spacing w:val="-50"/>
          <w:w w:val="100"/>
        </w:rPr>
        <w:t> </w:t>
      </w:r>
      <w:r>
        <w:rPr>
          <w:rFonts w:ascii="Times New Roman" w:hAnsi="Times New Roman" w:cs="Times New Roman" w:eastAsia="Times New Roman" w:hint="default"/>
          <w:w w:val="100"/>
        </w:rPr>
        <w:t>729</w:t>
      </w:r>
      <w:r>
        <w:rPr>
          <w:rFonts w:ascii="Times New Roman" w:hAnsi="Times New Roman" w:cs="Times New Roman" w:eastAsia="Times New Roman" w:hint="default"/>
          <w:spacing w:val="-1"/>
          <w:w w:val="100"/>
        </w:rPr>
        <w:t> </w:t>
      </w:r>
      <w:r>
        <w:rPr>
          <w:spacing w:val="-8"/>
          <w:w w:val="100"/>
        </w:rPr>
        <w:t>万股，定向增发变更后的股本为</w:t>
      </w:r>
      <w:r>
        <w:rPr>
          <w:spacing w:val="-51"/>
          <w:w w:val="100"/>
        </w:rPr>
        <w:t> </w:t>
      </w:r>
      <w:r>
        <w:rPr>
          <w:rFonts w:ascii="Times New Roman" w:hAnsi="Times New Roman" w:cs="Times New Roman" w:eastAsia="Times New Roman" w:hint="default"/>
          <w:spacing w:val="-1"/>
          <w:w w:val="100"/>
        </w:rPr>
        <w:t>355,290,000.00</w:t>
      </w:r>
      <w:r>
        <w:rPr>
          <w:rFonts w:ascii="Times New Roman" w:hAnsi="Times New Roman" w:cs="Times New Roman" w:eastAsia="Times New Roman" w:hint="default"/>
          <w:w w:val="100"/>
        </w:rPr>
        <w:t> </w:t>
      </w:r>
      <w:r>
        <w:rPr/>
        <w:t>元。</w:t>
      </w:r>
    </w:p>
    <w:p>
      <w:pPr>
        <w:pStyle w:val="BodyText"/>
        <w:spacing w:line="321" w:lineRule="auto" w:before="41"/>
        <w:ind w:left="930" w:right="0"/>
        <w:jc w:val="left"/>
      </w:pPr>
      <w:r>
        <w:rPr>
          <w:rFonts w:ascii="Times New Roman" w:hAnsi="Times New Roman" w:cs="Times New Roman" w:eastAsia="Times New Roman" w:hint="default"/>
        </w:rPr>
        <w:t>2014</w:t>
      </w:r>
      <w:r>
        <w:rPr>
          <w:rFonts w:ascii="Times New Roman" w:hAnsi="Times New Roman" w:cs="Times New Roman" w:eastAsia="Times New Roman" w:hint="default"/>
          <w:spacing w:val="11"/>
        </w:rPr>
        <w:t> </w:t>
      </w:r>
      <w:r>
        <w:rPr/>
        <w:t>年</w:t>
      </w:r>
      <w:r>
        <w:rPr>
          <w:spacing w:val="-44"/>
        </w:rPr>
        <w:t> </w:t>
      </w:r>
      <w:r>
        <w:rPr>
          <w:rFonts w:ascii="Times New Roman" w:hAnsi="Times New Roman" w:cs="Times New Roman" w:eastAsia="Times New Roman" w:hint="default"/>
        </w:rPr>
        <w:t>1</w:t>
      </w:r>
      <w:r>
        <w:rPr>
          <w:rFonts w:ascii="Times New Roman" w:hAnsi="Times New Roman" w:cs="Times New Roman" w:eastAsia="Times New Roman" w:hint="default"/>
          <w:spacing w:val="11"/>
        </w:rPr>
        <w:t> </w:t>
      </w:r>
      <w:r>
        <w:rPr/>
        <w:t>月</w:t>
      </w:r>
      <w:r>
        <w:rPr>
          <w:spacing w:val="-42"/>
        </w:rPr>
        <w:t> </w:t>
      </w:r>
      <w:r>
        <w:rPr>
          <w:rFonts w:ascii="Times New Roman" w:hAnsi="Times New Roman" w:cs="Times New Roman" w:eastAsia="Times New Roman" w:hint="default"/>
        </w:rPr>
        <w:t>24</w:t>
      </w:r>
      <w:r>
        <w:rPr>
          <w:rFonts w:ascii="Times New Roman" w:hAnsi="Times New Roman" w:cs="Times New Roman" w:eastAsia="Times New Roman" w:hint="default"/>
          <w:spacing w:val="11"/>
        </w:rPr>
        <w:t> </w:t>
      </w:r>
      <w:r>
        <w:rPr/>
        <w:t>日，根据公司</w:t>
      </w:r>
      <w:r>
        <w:rPr>
          <w:spacing w:val="-41"/>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1"/>
        </w:rPr>
        <w:t> </w:t>
      </w:r>
      <w:r>
        <w:rPr/>
        <w:t>年第一次临时股东大会审议通过的《关于提请股东大</w:t>
      </w:r>
      <w:r>
        <w:rPr>
          <w:w w:val="100"/>
        </w:rPr>
        <w:t> </w:t>
      </w:r>
      <w:r>
        <w:rPr>
          <w:spacing w:val="-1"/>
        </w:rPr>
        <w:t>会授权董事会办理公司首期限制性股票激励计划有关事项的议案》和修改后的章程规定，</w:t>
      </w:r>
      <w:r>
        <w:rPr>
          <w:spacing w:val="-29"/>
        </w:rPr>
        <w:t> </w:t>
      </w:r>
      <w:r>
        <w:rPr>
          <w:spacing w:val="-29"/>
        </w:rPr>
      </w:r>
      <w:r>
        <w:rPr/>
        <w:t>公司回购注销原部分激励对象已获授的全部限制性股票 </w:t>
      </w:r>
      <w:r>
        <w:rPr>
          <w:rFonts w:ascii="Times New Roman" w:hAnsi="Times New Roman" w:cs="Times New Roman" w:eastAsia="Times New Roman" w:hint="default"/>
          <w:spacing w:val="-5"/>
        </w:rPr>
        <w:t>11</w:t>
      </w:r>
      <w:r>
        <w:rPr>
          <w:rFonts w:ascii="Times New Roman" w:hAnsi="Times New Roman" w:cs="Times New Roman" w:eastAsia="Times New Roman" w:hint="default"/>
          <w:spacing w:val="-15"/>
        </w:rPr>
        <w:t> </w:t>
      </w:r>
      <w:r>
        <w:rPr/>
        <w:t>万股，公司减少注册资本人民</w:t>
      </w:r>
    </w:p>
    <w:p>
      <w:pPr>
        <w:pStyle w:val="BodyText"/>
        <w:spacing w:line="240" w:lineRule="auto" w:before="12"/>
        <w:ind w:left="930" w:right="0"/>
        <w:jc w:val="both"/>
      </w:pPr>
      <w:r>
        <w:rPr/>
        <w:t>币</w:t>
      </w:r>
      <w:r>
        <w:rPr>
          <w:spacing w:val="-56"/>
        </w:rPr>
        <w:t> </w:t>
      </w:r>
      <w:r>
        <w:rPr>
          <w:rFonts w:ascii="Times New Roman" w:hAnsi="Times New Roman" w:cs="Times New Roman" w:eastAsia="Times New Roman" w:hint="default"/>
        </w:rPr>
        <w:t>110,000.00</w:t>
      </w:r>
      <w:r>
        <w:rPr>
          <w:rFonts w:ascii="Times New Roman" w:hAnsi="Times New Roman" w:cs="Times New Roman" w:eastAsia="Times New Roman" w:hint="default"/>
          <w:spacing w:val="-6"/>
        </w:rPr>
        <w:t> </w:t>
      </w:r>
      <w:r>
        <w:rPr/>
        <w:t>元，变更后的注册资本为人民币</w:t>
      </w:r>
      <w:r>
        <w:rPr>
          <w:spacing w:val="-56"/>
        </w:rPr>
        <w:t> </w:t>
      </w:r>
      <w:r>
        <w:rPr>
          <w:rFonts w:ascii="Times New Roman" w:hAnsi="Times New Roman" w:cs="Times New Roman" w:eastAsia="Times New Roman" w:hint="default"/>
        </w:rPr>
        <w:t>355,180,000.00</w:t>
      </w:r>
      <w:r>
        <w:rPr>
          <w:rFonts w:ascii="Times New Roman" w:hAnsi="Times New Roman" w:cs="Times New Roman" w:eastAsia="Times New Roman" w:hint="default"/>
          <w:spacing w:val="-6"/>
        </w:rPr>
        <w:t> </w:t>
      </w:r>
      <w:r>
        <w:rPr/>
        <w:t>元。</w:t>
      </w:r>
    </w:p>
    <w:p>
      <w:pPr>
        <w:pStyle w:val="BodyText"/>
        <w:spacing w:line="324" w:lineRule="auto" w:before="88"/>
        <w:ind w:left="930" w:right="308"/>
        <w:jc w:val="both"/>
      </w:pPr>
      <w:r>
        <w:rPr>
          <w:rFonts w:ascii="Times New Roman" w:hAnsi="Times New Roman" w:cs="Times New Roman" w:eastAsia="Times New Roman" w:hint="default"/>
        </w:rPr>
        <w:t>2014</w:t>
      </w:r>
      <w:r>
        <w:rPr>
          <w:rFonts w:ascii="Times New Roman" w:hAnsi="Times New Roman" w:cs="Times New Roman" w:eastAsia="Times New Roman" w:hint="default"/>
          <w:spacing w:val="-3"/>
        </w:rPr>
        <w:t> </w:t>
      </w:r>
      <w:r>
        <w:rPr/>
        <w:t>年</w:t>
      </w:r>
      <w:r>
        <w:rPr>
          <w:spacing w:val="-53"/>
        </w:rPr>
        <w:t> </w:t>
      </w:r>
      <w:r>
        <w:rPr>
          <w:rFonts w:ascii="Times New Roman" w:hAnsi="Times New Roman" w:cs="Times New Roman" w:eastAsia="Times New Roman" w:hint="default"/>
        </w:rPr>
        <w:t>10</w:t>
      </w:r>
      <w:r>
        <w:rPr>
          <w:rFonts w:ascii="Times New Roman" w:hAnsi="Times New Roman" w:cs="Times New Roman" w:eastAsia="Times New Roman" w:hint="default"/>
          <w:spacing w:val="-3"/>
        </w:rPr>
        <w:t> </w:t>
      </w:r>
      <w:r>
        <w:rPr/>
        <w:t>月</w:t>
      </w:r>
      <w:r>
        <w:rPr>
          <w:spacing w:val="-53"/>
        </w:rPr>
        <w:t> </w:t>
      </w:r>
      <w:r>
        <w:rPr>
          <w:rFonts w:ascii="Times New Roman" w:hAnsi="Times New Roman" w:cs="Times New Roman" w:eastAsia="Times New Roman" w:hint="default"/>
        </w:rPr>
        <w:t>24 </w:t>
      </w:r>
      <w:r>
        <w:rPr>
          <w:spacing w:val="-3"/>
        </w:rPr>
        <w:t>日，根据公司</w:t>
      </w:r>
      <w:r>
        <w:rPr>
          <w:spacing w:val="-53"/>
        </w:rPr>
        <w:t> </w:t>
      </w:r>
      <w:r>
        <w:rPr>
          <w:rFonts w:ascii="Times New Roman" w:hAnsi="Times New Roman" w:cs="Times New Roman" w:eastAsia="Times New Roman" w:hint="default"/>
        </w:rPr>
        <w:t>2014</w:t>
      </w:r>
      <w:r>
        <w:rPr>
          <w:rFonts w:ascii="Times New Roman" w:hAnsi="Times New Roman" w:cs="Times New Roman" w:eastAsia="Times New Roman" w:hint="default"/>
          <w:spacing w:val="-3"/>
        </w:rPr>
        <w:t> </w:t>
      </w:r>
      <w:r>
        <w:rPr/>
        <w:t>年第二次临时股东大会审议通过的《关于减少公司注</w:t>
      </w:r>
      <w:r>
        <w:rPr>
          <w:w w:val="100"/>
        </w:rPr>
        <w:t> </w:t>
      </w:r>
      <w:r>
        <w:rPr>
          <w:spacing w:val="-4"/>
        </w:rPr>
        <w:t>册资本的议案》和修改后的章程规定，公司回购注销原部分激励对象已获授但尚未解锁的</w:t>
      </w:r>
      <w:r>
        <w:rPr>
          <w:spacing w:val="-25"/>
        </w:rPr>
        <w:t> </w:t>
      </w:r>
      <w:r>
        <w:rPr>
          <w:spacing w:val="-25"/>
        </w:rPr>
      </w:r>
      <w:r>
        <w:rPr/>
        <w:t>限制性股票</w:t>
      </w:r>
      <w:r>
        <w:rPr>
          <w:spacing w:val="-34"/>
        </w:rPr>
        <w:t> </w:t>
      </w:r>
      <w:r>
        <w:rPr>
          <w:rFonts w:ascii="Times New Roman" w:hAnsi="Times New Roman" w:cs="Times New Roman" w:eastAsia="Times New Roman" w:hint="default"/>
        </w:rPr>
        <w:t>0.70</w:t>
      </w:r>
      <w:r>
        <w:rPr>
          <w:rFonts w:ascii="Times New Roman" w:hAnsi="Times New Roman" w:cs="Times New Roman" w:eastAsia="Times New Roman" w:hint="default"/>
          <w:spacing w:val="18"/>
        </w:rPr>
        <w:t> </w:t>
      </w:r>
      <w:r>
        <w:rPr/>
        <w:t>万股，公司减少注册资本人民币</w:t>
      </w:r>
      <w:r>
        <w:rPr>
          <w:spacing w:val="-34"/>
        </w:rPr>
        <w:t> </w:t>
      </w:r>
      <w:r>
        <w:rPr>
          <w:rFonts w:ascii="Times New Roman" w:hAnsi="Times New Roman" w:cs="Times New Roman" w:eastAsia="Times New Roman" w:hint="default"/>
        </w:rPr>
        <w:t>7,000.00</w:t>
      </w:r>
      <w:r>
        <w:rPr>
          <w:rFonts w:ascii="Times New Roman" w:hAnsi="Times New Roman" w:cs="Times New Roman" w:eastAsia="Times New Roman" w:hint="default"/>
          <w:spacing w:val="16"/>
        </w:rPr>
        <w:t> </w:t>
      </w:r>
      <w:r>
        <w:rPr/>
        <w:t>元，变更后的注册资本为人民</w:t>
      </w:r>
    </w:p>
    <w:p>
      <w:pPr>
        <w:pStyle w:val="BodyText"/>
        <w:spacing w:line="240" w:lineRule="auto" w:before="7"/>
        <w:ind w:left="930" w:right="0"/>
        <w:jc w:val="both"/>
      </w:pPr>
      <w:r>
        <w:rPr/>
        <w:t>币</w:t>
      </w:r>
      <w:r>
        <w:rPr>
          <w:spacing w:val="-53"/>
        </w:rPr>
        <w:t> </w:t>
      </w:r>
      <w:r>
        <w:rPr>
          <w:rFonts w:ascii="Times New Roman" w:hAnsi="Times New Roman" w:cs="Times New Roman" w:eastAsia="Times New Roman" w:hint="default"/>
        </w:rPr>
        <w:t>355,173,000.00 </w:t>
      </w:r>
      <w:r>
        <w:rPr>
          <w:spacing w:val="-3"/>
        </w:rPr>
        <w:t>元。</w:t>
      </w:r>
      <w:r>
        <w:rPr/>
      </w:r>
    </w:p>
    <w:p>
      <w:pPr>
        <w:pStyle w:val="BodyText"/>
        <w:spacing w:line="331" w:lineRule="auto" w:before="103"/>
        <w:ind w:left="930" w:right="0"/>
        <w:jc w:val="left"/>
      </w:pP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w:t>
      </w:r>
      <w:r>
        <w:rPr>
          <w:spacing w:val="-50"/>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月</w:t>
      </w:r>
      <w:r>
        <w:rPr>
          <w:spacing w:val="-50"/>
        </w:rPr>
        <w:t> </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spacing w:val="-3"/>
        </w:rPr>
        <w:t>日，根据公司</w:t>
      </w:r>
      <w:r>
        <w:rPr>
          <w:spacing w:val="-49"/>
        </w:rPr>
        <w:t> </w:t>
      </w:r>
      <w:r>
        <w:rPr>
          <w:rFonts w:ascii="Times New Roman" w:hAnsi="Times New Roman" w:cs="Times New Roman" w:eastAsia="Times New Roman" w:hint="default"/>
        </w:rPr>
        <w:t>2014</w:t>
      </w:r>
      <w:r>
        <w:rPr>
          <w:rFonts w:ascii="Times New Roman" w:hAnsi="Times New Roman" w:cs="Times New Roman" w:eastAsia="Times New Roman" w:hint="default"/>
          <w:spacing w:val="3"/>
        </w:rPr>
        <w:t> </w:t>
      </w:r>
      <w:r>
        <w:rPr>
          <w:spacing w:val="-3"/>
        </w:rPr>
        <w:t>年第三次临时股东大会决议，公司于</w:t>
      </w:r>
      <w:r>
        <w:rPr>
          <w:spacing w:val="-50"/>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w:t>
      </w:r>
      <w:r>
        <w:rPr>
          <w:spacing w:val="-49"/>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月</w:t>
      </w:r>
      <w:r>
        <w:rPr>
          <w:spacing w:val="-50"/>
        </w:rPr>
        <w:t> </w:t>
      </w:r>
      <w:r>
        <w:rPr>
          <w:rFonts w:ascii="Times New Roman" w:hAnsi="Times New Roman" w:cs="Times New Roman" w:eastAsia="Times New Roman" w:hint="default"/>
        </w:rPr>
        <w:t>14</w:t>
      </w:r>
      <w:r>
        <w:rPr>
          <w:rFonts w:ascii="Times New Roman" w:hAnsi="Times New Roman" w:cs="Times New Roman" w:eastAsia="Times New Roman" w:hint="default"/>
          <w:spacing w:val="-1"/>
        </w:rPr>
        <w:t> </w:t>
      </w:r>
      <w:r>
        <w:rPr/>
        <w:t>日</w:t>
      </w:r>
      <w:r>
        <w:rPr>
          <w:spacing w:val="-92"/>
        </w:rPr>
        <w:t> </w:t>
      </w:r>
      <w:r>
        <w:rPr>
          <w:spacing w:val="-4"/>
        </w:rPr>
        <w:t>经中国证券监督管理委员会《关于核准江苏林洋电子股份有限公司非公开发行股票的批复》</w:t>
      </w:r>
    </w:p>
    <w:p>
      <w:pPr>
        <w:pStyle w:val="BodyText"/>
        <w:spacing w:line="240" w:lineRule="auto" w:before="46"/>
        <w:ind w:left="930" w:right="0"/>
        <w:jc w:val="both"/>
      </w:pPr>
      <w:r>
        <w:rPr/>
        <w:t>（证监许可</w:t>
      </w:r>
      <w:r>
        <w:rPr>
          <w:rFonts w:ascii="Times New Roman" w:hAnsi="Times New Roman" w:cs="Times New Roman" w:eastAsia="Times New Roman" w:hint="default"/>
        </w:rPr>
        <w:t>[2015]619   </w:t>
      </w:r>
      <w:r>
        <w:rPr>
          <w:spacing w:val="2"/>
        </w:rPr>
        <w:t>号）核准，采用非公开发行方式发行人民币普通股（</w:t>
      </w:r>
      <w:r>
        <w:rPr>
          <w:rFonts w:ascii="Times New Roman" w:hAnsi="Times New Roman" w:cs="Times New Roman" w:eastAsia="Times New Roman" w:hint="default"/>
          <w:spacing w:val="2"/>
        </w:rPr>
        <w:t>A </w:t>
      </w:r>
      <w:r>
        <w:rPr>
          <w:rFonts w:ascii="Times New Roman" w:hAnsi="Times New Roman" w:cs="Times New Roman" w:eastAsia="Times New Roman" w:hint="default"/>
          <w:spacing w:val="47"/>
        </w:rPr>
        <w:t> </w:t>
      </w:r>
      <w:r>
        <w:rPr/>
        <w:t>股）股票</w:t>
      </w:r>
    </w:p>
    <w:p>
      <w:pPr>
        <w:pStyle w:val="BodyText"/>
        <w:spacing w:line="240" w:lineRule="auto" w:before="107"/>
        <w:ind w:left="930" w:right="0"/>
        <w:jc w:val="both"/>
      </w:pPr>
      <w:r>
        <w:rPr>
          <w:rFonts w:ascii="Times New Roman" w:hAnsi="Times New Roman" w:cs="Times New Roman" w:eastAsia="Times New Roman" w:hint="default"/>
        </w:rPr>
        <w:t>51,428,571</w:t>
      </w:r>
      <w:r>
        <w:rPr>
          <w:rFonts w:ascii="Times New Roman" w:hAnsi="Times New Roman" w:cs="Times New Roman" w:eastAsia="Times New Roman" w:hint="default"/>
          <w:spacing w:val="-3"/>
        </w:rPr>
        <w:t> </w:t>
      </w:r>
      <w:r>
        <w:rPr/>
        <w:t>股，每股面值</w:t>
      </w:r>
      <w:r>
        <w:rPr>
          <w:spacing w:val="-55"/>
        </w:rPr>
        <w:t> </w:t>
      </w:r>
      <w:r>
        <w:rPr>
          <w:rFonts w:ascii="Times New Roman" w:hAnsi="Times New Roman" w:cs="Times New Roman" w:eastAsia="Times New Roman" w:hint="default"/>
        </w:rPr>
        <w:t>1 </w:t>
      </w:r>
      <w:r>
        <w:rPr/>
        <w:t>元，发行后公司注册资本为人民币</w:t>
      </w:r>
      <w:r>
        <w:rPr>
          <w:spacing w:val="-53"/>
        </w:rPr>
        <w:t> </w:t>
      </w:r>
      <w:r>
        <w:rPr>
          <w:rFonts w:ascii="Times New Roman" w:hAnsi="Times New Roman" w:cs="Times New Roman" w:eastAsia="Times New Roman" w:hint="default"/>
        </w:rPr>
        <w:t>406,601,571.00 </w:t>
      </w:r>
      <w:r>
        <w:rPr/>
        <w:t>元。</w:t>
      </w:r>
    </w:p>
    <w:p>
      <w:pPr>
        <w:pStyle w:val="BodyText"/>
        <w:spacing w:line="240" w:lineRule="auto" w:before="110"/>
        <w:ind w:left="930" w:right="0"/>
        <w:jc w:val="both"/>
        <w:rPr>
          <w:rFonts w:ascii="Times New Roman" w:hAnsi="Times New Roman" w:cs="Times New Roman" w:eastAsia="Times New Roman" w:hint="default"/>
        </w:rPr>
      </w:pPr>
      <w:r>
        <w:rPr>
          <w:rFonts w:ascii="Times New Roman" w:hAnsi="Times New Roman" w:cs="Times New Roman" w:eastAsia="Times New Roman" w:hint="default"/>
        </w:rPr>
        <w:t>2016</w:t>
      </w:r>
      <w:r>
        <w:rPr>
          <w:rFonts w:ascii="Times New Roman" w:hAnsi="Times New Roman" w:cs="Times New Roman" w:eastAsia="Times New Roman" w:hint="default"/>
          <w:spacing w:val="9"/>
        </w:rPr>
        <w:t> </w:t>
      </w:r>
      <w:r>
        <w:rPr/>
        <w:t>年</w:t>
      </w:r>
      <w:r>
        <w:rPr>
          <w:spacing w:val="-43"/>
        </w:rPr>
        <w:t> </w:t>
      </w:r>
      <w:r>
        <w:rPr>
          <w:rFonts w:ascii="Times New Roman" w:hAnsi="Times New Roman" w:cs="Times New Roman" w:eastAsia="Times New Roman" w:hint="default"/>
        </w:rPr>
        <w:t>4</w:t>
      </w:r>
      <w:r>
        <w:rPr>
          <w:rFonts w:ascii="Times New Roman" w:hAnsi="Times New Roman" w:cs="Times New Roman" w:eastAsia="Times New Roman" w:hint="default"/>
          <w:spacing w:val="12"/>
        </w:rPr>
        <w:t> </w:t>
      </w:r>
      <w:r>
        <w:rPr/>
        <w:t>月</w:t>
      </w:r>
      <w:r>
        <w:rPr>
          <w:spacing w:val="-43"/>
        </w:rPr>
        <w:t> </w:t>
      </w:r>
      <w:r>
        <w:rPr>
          <w:rFonts w:ascii="Times New Roman" w:hAnsi="Times New Roman" w:cs="Times New Roman" w:eastAsia="Times New Roman" w:hint="default"/>
        </w:rPr>
        <w:t>29</w:t>
      </w:r>
      <w:r>
        <w:rPr>
          <w:rFonts w:ascii="Times New Roman" w:hAnsi="Times New Roman" w:cs="Times New Roman" w:eastAsia="Times New Roman" w:hint="default"/>
          <w:spacing w:val="9"/>
        </w:rPr>
        <w:t> </w:t>
      </w:r>
      <w:r>
        <w:rPr/>
        <w:t>日，根据公司</w:t>
      </w:r>
      <w:r>
        <w:rPr>
          <w:spacing w:val="-43"/>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2"/>
        </w:rPr>
        <w:t> </w:t>
      </w:r>
      <w:r>
        <w:rPr/>
        <w:t>年第三次临时股东大会决议，公司于</w:t>
      </w:r>
      <w:r>
        <w:rPr>
          <w:spacing w:val="-41"/>
        </w:rPr>
        <w:t> </w:t>
      </w:r>
      <w:r>
        <w:rPr>
          <w:rFonts w:ascii="Times New Roman" w:hAnsi="Times New Roman" w:cs="Times New Roman" w:eastAsia="Times New Roman" w:hint="default"/>
        </w:rPr>
        <w:t>2016</w:t>
      </w:r>
      <w:r>
        <w:rPr>
          <w:rFonts w:ascii="Times New Roman" w:hAnsi="Times New Roman" w:cs="Times New Roman" w:eastAsia="Times New Roman" w:hint="default"/>
          <w:spacing w:val="10"/>
        </w:rPr>
        <w:t> </w:t>
      </w:r>
      <w:r>
        <w:rPr/>
        <w:t>年</w:t>
      </w:r>
      <w:r>
        <w:rPr>
          <w:spacing w:val="-41"/>
        </w:rPr>
        <w:t> </w:t>
      </w:r>
      <w:r>
        <w:rPr>
          <w:rFonts w:ascii="Times New Roman" w:hAnsi="Times New Roman" w:cs="Times New Roman" w:eastAsia="Times New Roman" w:hint="default"/>
        </w:rPr>
        <w:t>2</w:t>
      </w:r>
      <w:r>
        <w:rPr>
          <w:rFonts w:ascii="Times New Roman" w:hAnsi="Times New Roman" w:cs="Times New Roman" w:eastAsia="Times New Roman" w:hint="default"/>
          <w:spacing w:val="9"/>
        </w:rPr>
        <w:t> </w:t>
      </w:r>
      <w:r>
        <w:rPr/>
        <w:t>月</w:t>
      </w:r>
      <w:r>
        <w:rPr>
          <w:spacing w:val="-41"/>
        </w:rPr>
        <w:t> </w:t>
      </w:r>
      <w:r>
        <w:rPr>
          <w:rFonts w:ascii="Times New Roman" w:hAnsi="Times New Roman" w:cs="Times New Roman" w:eastAsia="Times New Roman" w:hint="default"/>
        </w:rPr>
        <w:t>23</w:t>
      </w:r>
    </w:p>
    <w:p>
      <w:pPr>
        <w:spacing w:after="0" w:line="240" w:lineRule="auto"/>
        <w:jc w:val="both"/>
        <w:rPr>
          <w:rFonts w:ascii="Times New Roman" w:hAnsi="Times New Roman" w:cs="Times New Roman" w:eastAsia="Times New Roman" w:hint="default"/>
        </w:rPr>
        <w:sectPr>
          <w:headerReference w:type="default" r:id="rId51"/>
          <w:footerReference w:type="default" r:id="rId52"/>
          <w:pgSz w:w="11910" w:h="16840"/>
          <w:pgMar w:header="748" w:footer="974" w:top="1140" w:bottom="1160" w:left="1060" w:right="1480"/>
          <w:pgNumType w:start="96"/>
        </w:sectPr>
      </w:pPr>
    </w:p>
    <w:p>
      <w:pPr>
        <w:spacing w:line="240" w:lineRule="auto" w:before="4"/>
        <w:rPr>
          <w:rFonts w:ascii="Times New Roman" w:hAnsi="Times New Roman" w:cs="Times New Roman" w:eastAsia="Times New Roman" w:hint="default"/>
          <w:sz w:val="29"/>
          <w:szCs w:val="29"/>
        </w:rPr>
      </w:pPr>
    </w:p>
    <w:p>
      <w:pPr>
        <w:pStyle w:val="BodyText"/>
        <w:spacing w:line="338" w:lineRule="auto" w:before="36"/>
        <w:ind w:left="930" w:right="128"/>
        <w:jc w:val="both"/>
      </w:pPr>
      <w:r>
        <w:rPr>
          <w:spacing w:val="-4"/>
        </w:rPr>
        <w:t>日经中国证券监督管理委员会《关于核准江苏林洋能源股份有限公司非公开发行股票的批</w:t>
      </w:r>
      <w:r>
        <w:rPr>
          <w:spacing w:val="-25"/>
        </w:rPr>
        <w:t> </w:t>
      </w:r>
      <w:r>
        <w:rPr>
          <w:spacing w:val="-25"/>
        </w:rPr>
      </w:r>
      <w:r>
        <w:rPr>
          <w:spacing w:val="-9"/>
          <w:w w:val="100"/>
        </w:rPr>
        <w:t>复》（证监许可</w:t>
      </w:r>
      <w:r>
        <w:rPr>
          <w:rFonts w:ascii="Times New Roman" w:hAnsi="Times New Roman" w:cs="Times New Roman" w:eastAsia="Times New Roman" w:hint="default"/>
          <w:spacing w:val="-9"/>
          <w:w w:val="100"/>
        </w:rPr>
        <w:t>[2016]323</w:t>
      </w:r>
      <w:r>
        <w:rPr>
          <w:rFonts w:ascii="Times New Roman" w:hAnsi="Times New Roman" w:cs="Times New Roman" w:eastAsia="Times New Roman" w:hint="default"/>
          <w:spacing w:val="7"/>
          <w:w w:val="100"/>
        </w:rPr>
        <w:t> </w:t>
      </w:r>
      <w:r>
        <w:rPr>
          <w:spacing w:val="-3"/>
          <w:w w:val="100"/>
        </w:rPr>
        <w:t>号）核准，采用非公开发行方式发行人民币普通股（</w:t>
      </w:r>
      <w:r>
        <w:rPr>
          <w:rFonts w:ascii="Times New Roman" w:hAnsi="Times New Roman" w:cs="Times New Roman" w:eastAsia="Times New Roman" w:hint="default"/>
          <w:spacing w:val="-3"/>
          <w:w w:val="100"/>
        </w:rPr>
        <w:t>A</w:t>
      </w:r>
      <w:r>
        <w:rPr>
          <w:rFonts w:ascii="Times New Roman" w:hAnsi="Times New Roman" w:cs="Times New Roman" w:eastAsia="Times New Roman" w:hint="default"/>
          <w:spacing w:val="10"/>
          <w:w w:val="100"/>
        </w:rPr>
        <w:t> </w:t>
      </w:r>
      <w:r>
        <w:rPr>
          <w:spacing w:val="-4"/>
          <w:w w:val="100"/>
        </w:rPr>
        <w:t>股）股票</w:t>
      </w:r>
      <w:r>
        <w:rPr>
          <w:spacing w:val="-101"/>
          <w:w w:val="100"/>
        </w:rPr>
        <w:t> </w:t>
      </w:r>
      <w:r>
        <w:rPr>
          <w:spacing w:val="-101"/>
          <w:w w:val="100"/>
        </w:rPr>
      </w:r>
      <w:r>
        <w:rPr>
          <w:rFonts w:ascii="Times New Roman" w:hAnsi="Times New Roman" w:cs="Times New Roman" w:eastAsia="Times New Roman" w:hint="default"/>
        </w:rPr>
        <w:t>91,264,663</w:t>
      </w:r>
      <w:r>
        <w:rPr>
          <w:rFonts w:ascii="Times New Roman" w:hAnsi="Times New Roman" w:cs="Times New Roman" w:eastAsia="Times New Roman" w:hint="default"/>
          <w:spacing w:val="-3"/>
        </w:rPr>
        <w:t> </w:t>
      </w:r>
      <w:r>
        <w:rPr/>
        <w:t>股，每股面值</w:t>
      </w:r>
      <w:r>
        <w:rPr>
          <w:spacing w:val="-55"/>
        </w:rPr>
        <w:t> </w:t>
      </w:r>
      <w:r>
        <w:rPr>
          <w:rFonts w:ascii="Times New Roman" w:hAnsi="Times New Roman" w:cs="Times New Roman" w:eastAsia="Times New Roman" w:hint="default"/>
        </w:rPr>
        <w:t>1 </w:t>
      </w:r>
      <w:r>
        <w:rPr/>
        <w:t>元，发行后公司注册资本为人民币</w:t>
      </w:r>
      <w:r>
        <w:rPr>
          <w:spacing w:val="-53"/>
        </w:rPr>
        <w:t> </w:t>
      </w:r>
      <w:r>
        <w:rPr>
          <w:rFonts w:ascii="Times New Roman" w:hAnsi="Times New Roman" w:cs="Times New Roman" w:eastAsia="Times New Roman" w:hint="default"/>
        </w:rPr>
        <w:t>497,866,234.00 </w:t>
      </w:r>
      <w:r>
        <w:rPr/>
        <w:t>元。</w:t>
      </w:r>
    </w:p>
    <w:p>
      <w:pPr>
        <w:pStyle w:val="BodyText"/>
        <w:spacing w:line="240" w:lineRule="auto" w:before="14"/>
        <w:ind w:left="930" w:right="0"/>
        <w:jc w:val="both"/>
      </w:pPr>
      <w:r>
        <w:rPr>
          <w:rFonts w:ascii="Times New Roman" w:hAnsi="Times New Roman" w:cs="Times New Roman" w:eastAsia="Times New Roman" w:hint="default"/>
        </w:rPr>
        <w:t>2016</w:t>
      </w:r>
      <w:r>
        <w:rPr>
          <w:rFonts w:ascii="Times New Roman" w:hAnsi="Times New Roman" w:cs="Times New Roman" w:eastAsia="Times New Roman" w:hint="default"/>
          <w:spacing w:val="5"/>
        </w:rPr>
        <w:t> </w:t>
      </w:r>
      <w:r>
        <w:rPr/>
        <w:t>年</w:t>
      </w:r>
      <w:r>
        <w:rPr>
          <w:spacing w:val="-48"/>
        </w:rPr>
        <w:t> </w:t>
      </w:r>
      <w:r>
        <w:rPr>
          <w:rFonts w:ascii="Times New Roman" w:hAnsi="Times New Roman" w:cs="Times New Roman" w:eastAsia="Times New Roman" w:hint="default"/>
        </w:rPr>
        <w:t>9</w:t>
      </w:r>
      <w:r>
        <w:rPr>
          <w:rFonts w:ascii="Times New Roman" w:hAnsi="Times New Roman" w:cs="Times New Roman" w:eastAsia="Times New Roman" w:hint="default"/>
          <w:spacing w:val="5"/>
        </w:rPr>
        <w:t> </w:t>
      </w:r>
      <w:r>
        <w:rPr/>
        <w:t>月</w:t>
      </w:r>
      <w:r>
        <w:rPr>
          <w:spacing w:val="-45"/>
        </w:rPr>
        <w:t> </w:t>
      </w:r>
      <w:r>
        <w:rPr>
          <w:rFonts w:ascii="Times New Roman" w:hAnsi="Times New Roman" w:cs="Times New Roman" w:eastAsia="Times New Roman" w:hint="default"/>
        </w:rPr>
        <w:t>28</w:t>
      </w:r>
      <w:r>
        <w:rPr>
          <w:rFonts w:ascii="Times New Roman" w:hAnsi="Times New Roman" w:cs="Times New Roman" w:eastAsia="Times New Roman" w:hint="default"/>
          <w:spacing w:val="5"/>
        </w:rPr>
        <w:t> </w:t>
      </w:r>
      <w:r>
        <w:rPr/>
        <w:t>日，根据公司</w:t>
      </w:r>
      <w:r>
        <w:rPr>
          <w:spacing w:val="-47"/>
        </w:rPr>
        <w:t> </w:t>
      </w:r>
      <w:r>
        <w:rPr>
          <w:rFonts w:ascii="Times New Roman" w:hAnsi="Times New Roman" w:cs="Times New Roman" w:eastAsia="Times New Roman" w:hint="default"/>
        </w:rPr>
        <w:t>2016</w:t>
      </w:r>
      <w:r>
        <w:rPr>
          <w:rFonts w:ascii="Times New Roman" w:hAnsi="Times New Roman" w:cs="Times New Roman" w:eastAsia="Times New Roman" w:hint="default"/>
          <w:spacing w:val="7"/>
        </w:rPr>
        <w:t> </w:t>
      </w:r>
      <w:r>
        <w:rPr/>
        <w:t>年第四次临时股东大会决议，以</w:t>
      </w:r>
      <w:r>
        <w:rPr>
          <w:spacing w:val="-45"/>
        </w:rPr>
        <w:t> </w:t>
      </w:r>
      <w:r>
        <w:rPr>
          <w:rFonts w:ascii="Times New Roman" w:hAnsi="Times New Roman" w:cs="Times New Roman" w:eastAsia="Times New Roman" w:hint="default"/>
        </w:rPr>
        <w:t>2016</w:t>
      </w:r>
      <w:r>
        <w:rPr>
          <w:rFonts w:ascii="Times New Roman" w:hAnsi="Times New Roman" w:cs="Times New Roman" w:eastAsia="Times New Roman" w:hint="default"/>
          <w:spacing w:val="5"/>
        </w:rPr>
        <w:t> </w:t>
      </w:r>
      <w:r>
        <w:rPr/>
        <w:t>年</w:t>
      </w:r>
      <w:r>
        <w:rPr>
          <w:spacing w:val="-48"/>
        </w:rPr>
        <w:t> </w:t>
      </w:r>
      <w:r>
        <w:rPr>
          <w:rFonts w:ascii="Times New Roman" w:hAnsi="Times New Roman" w:cs="Times New Roman" w:eastAsia="Times New Roman" w:hint="default"/>
        </w:rPr>
        <w:t>6</w:t>
      </w:r>
      <w:r>
        <w:rPr>
          <w:rFonts w:ascii="Times New Roman" w:hAnsi="Times New Roman" w:cs="Times New Roman" w:eastAsia="Times New Roman" w:hint="default"/>
          <w:spacing w:val="5"/>
        </w:rPr>
        <w:t> </w:t>
      </w:r>
      <w:r>
        <w:rPr/>
        <w:t>月</w:t>
      </w:r>
      <w:r>
        <w:rPr>
          <w:spacing w:val="-45"/>
        </w:rPr>
        <w:t> </w:t>
      </w:r>
      <w:r>
        <w:rPr>
          <w:rFonts w:ascii="Times New Roman" w:hAnsi="Times New Roman" w:cs="Times New Roman" w:eastAsia="Times New Roman" w:hint="default"/>
        </w:rPr>
        <w:t>30</w:t>
      </w:r>
      <w:r>
        <w:rPr>
          <w:rFonts w:ascii="Times New Roman" w:hAnsi="Times New Roman" w:cs="Times New Roman" w:eastAsia="Times New Roman" w:hint="default"/>
          <w:spacing w:val="7"/>
        </w:rPr>
        <w:t> </w:t>
      </w:r>
      <w:r>
        <w:rPr>
          <w:spacing w:val="-3"/>
        </w:rPr>
        <w:t>日末</w:t>
      </w:r>
      <w:r>
        <w:rPr/>
      </w:r>
    </w:p>
    <w:p>
      <w:pPr>
        <w:pStyle w:val="BodyText"/>
        <w:spacing w:line="240" w:lineRule="auto" w:before="110"/>
        <w:ind w:left="930" w:right="0"/>
        <w:jc w:val="both"/>
      </w:pPr>
      <w:r>
        <w:rPr>
          <w:w w:val="100"/>
        </w:rPr>
        <w:t>总</w:t>
      </w:r>
      <w:r>
        <w:rPr>
          <w:spacing w:val="-3"/>
          <w:w w:val="100"/>
        </w:rPr>
        <w:t>股</w:t>
      </w:r>
      <w:r>
        <w:rPr>
          <w:w w:val="100"/>
        </w:rPr>
        <w:t>本</w:t>
      </w:r>
      <w:r>
        <w:rPr>
          <w:spacing w:val="-53"/>
        </w:rPr>
        <w:t> </w:t>
      </w:r>
      <w:r>
        <w:rPr>
          <w:rFonts w:ascii="Times New Roman" w:hAnsi="Times New Roman" w:cs="Times New Roman" w:eastAsia="Times New Roman" w:hint="default"/>
          <w:w w:val="100"/>
        </w:rPr>
        <w:t>497</w:t>
      </w:r>
      <w:r>
        <w:rPr>
          <w:rFonts w:ascii="Times New Roman" w:hAnsi="Times New Roman" w:cs="Times New Roman" w:eastAsia="Times New Roman" w:hint="default"/>
          <w:spacing w:val="-3"/>
          <w:w w:val="100"/>
        </w:rPr>
        <w:t>,</w:t>
      </w:r>
      <w:r>
        <w:rPr>
          <w:rFonts w:ascii="Times New Roman" w:hAnsi="Times New Roman" w:cs="Times New Roman" w:eastAsia="Times New Roman" w:hint="default"/>
          <w:w w:val="100"/>
        </w:rPr>
        <w:t>866</w:t>
      </w:r>
      <w:r>
        <w:rPr>
          <w:rFonts w:ascii="Times New Roman" w:hAnsi="Times New Roman" w:cs="Times New Roman" w:eastAsia="Times New Roman" w:hint="default"/>
          <w:spacing w:val="-3"/>
          <w:w w:val="100"/>
        </w:rPr>
        <w:t>,</w:t>
      </w:r>
      <w:r>
        <w:rPr>
          <w:rFonts w:ascii="Times New Roman" w:hAnsi="Times New Roman" w:cs="Times New Roman" w:eastAsia="Times New Roman" w:hint="default"/>
          <w:w w:val="100"/>
        </w:rPr>
        <w:t>234</w:t>
      </w:r>
      <w:r>
        <w:rPr>
          <w:rFonts w:ascii="Times New Roman" w:hAnsi="Times New Roman" w:cs="Times New Roman" w:eastAsia="Times New Roman" w:hint="default"/>
          <w:spacing w:val="-3"/>
        </w:rPr>
        <w:t> </w:t>
      </w:r>
      <w:r>
        <w:rPr>
          <w:w w:val="100"/>
        </w:rPr>
        <w:t>股</w:t>
      </w:r>
      <w:r>
        <w:rPr>
          <w:spacing w:val="-3"/>
          <w:w w:val="100"/>
        </w:rPr>
        <w:t>为基</w:t>
      </w:r>
      <w:r>
        <w:rPr>
          <w:w w:val="100"/>
        </w:rPr>
        <w:t>数</w:t>
      </w:r>
      <w:r>
        <w:rPr>
          <w:spacing w:val="-89"/>
          <w:w w:val="100"/>
        </w:rPr>
        <w:t>，</w:t>
      </w:r>
      <w:r>
        <w:rPr>
          <w:spacing w:val="-3"/>
          <w:w w:val="100"/>
        </w:rPr>
        <w:t>由</w:t>
      </w:r>
      <w:r>
        <w:rPr>
          <w:w w:val="100"/>
        </w:rPr>
        <w:t>资</w:t>
      </w:r>
      <w:r>
        <w:rPr>
          <w:spacing w:val="-3"/>
          <w:w w:val="100"/>
        </w:rPr>
        <w:t>本</w:t>
      </w:r>
      <w:r>
        <w:rPr>
          <w:w w:val="100"/>
        </w:rPr>
        <w:t>公</w:t>
      </w:r>
      <w:r>
        <w:rPr>
          <w:spacing w:val="-3"/>
          <w:w w:val="100"/>
        </w:rPr>
        <w:t>积</w:t>
      </w:r>
      <w:r>
        <w:rPr>
          <w:w w:val="100"/>
        </w:rPr>
        <w:t>向</w:t>
      </w:r>
      <w:r>
        <w:rPr>
          <w:spacing w:val="-3"/>
          <w:w w:val="100"/>
        </w:rPr>
        <w:t>全</w:t>
      </w:r>
      <w:r>
        <w:rPr>
          <w:w w:val="100"/>
        </w:rPr>
        <w:t>体</w:t>
      </w:r>
      <w:r>
        <w:rPr>
          <w:spacing w:val="-3"/>
          <w:w w:val="100"/>
        </w:rPr>
        <w:t>股东</w:t>
      </w:r>
      <w:r>
        <w:rPr>
          <w:w w:val="100"/>
        </w:rPr>
        <w:t>每</w:t>
      </w:r>
      <w:r>
        <w:rPr>
          <w:spacing w:val="-52"/>
        </w:rPr>
        <w:t> </w:t>
      </w:r>
      <w:r>
        <w:rPr>
          <w:rFonts w:ascii="Times New Roman" w:hAnsi="Times New Roman" w:cs="Times New Roman" w:eastAsia="Times New Roman" w:hint="default"/>
          <w:w w:val="100"/>
        </w:rPr>
        <w:t>10</w:t>
      </w:r>
      <w:r>
        <w:rPr>
          <w:rFonts w:ascii="Times New Roman" w:hAnsi="Times New Roman" w:cs="Times New Roman" w:eastAsia="Times New Roman" w:hint="default"/>
          <w:spacing w:val="-3"/>
        </w:rPr>
        <w:t> </w:t>
      </w:r>
      <w:r>
        <w:rPr>
          <w:w w:val="100"/>
        </w:rPr>
        <w:t>股</w:t>
      </w:r>
      <w:r>
        <w:rPr>
          <w:spacing w:val="-3"/>
          <w:w w:val="100"/>
        </w:rPr>
        <w:t>转</w:t>
      </w:r>
      <w:r>
        <w:rPr>
          <w:w w:val="100"/>
        </w:rPr>
        <w:t>增</w:t>
      </w:r>
      <w:r>
        <w:rPr>
          <w:spacing w:val="-53"/>
        </w:rPr>
        <w:t> </w:t>
      </w:r>
      <w:r>
        <w:rPr>
          <w:rFonts w:ascii="Times New Roman" w:hAnsi="Times New Roman" w:cs="Times New Roman" w:eastAsia="Times New Roman" w:hint="default"/>
          <w:w w:val="100"/>
        </w:rPr>
        <w:t>25</w:t>
      </w:r>
      <w:r>
        <w:rPr>
          <w:rFonts w:ascii="Times New Roman" w:hAnsi="Times New Roman" w:cs="Times New Roman" w:eastAsia="Times New Roman" w:hint="default"/>
          <w:spacing w:val="-3"/>
        </w:rPr>
        <w:t> </w:t>
      </w:r>
      <w:r>
        <w:rPr>
          <w:w w:val="100"/>
        </w:rPr>
        <w:t>股</w:t>
      </w:r>
      <w:r>
        <w:rPr>
          <w:spacing w:val="-92"/>
          <w:w w:val="100"/>
        </w:rPr>
        <w:t>，</w:t>
      </w:r>
      <w:r>
        <w:rPr>
          <w:w w:val="100"/>
        </w:rPr>
        <w:t>每</w:t>
      </w:r>
      <w:r>
        <w:rPr>
          <w:spacing w:val="-3"/>
          <w:w w:val="100"/>
        </w:rPr>
        <w:t>股面</w:t>
      </w:r>
      <w:r>
        <w:rPr>
          <w:w w:val="100"/>
        </w:rPr>
        <w:t>值</w:t>
      </w:r>
      <w:r>
        <w:rPr>
          <w:spacing w:val="-52"/>
        </w:rPr>
        <w:t> </w:t>
      </w:r>
      <w:r>
        <w:rPr>
          <w:rFonts w:ascii="Times New Roman" w:hAnsi="Times New Roman" w:cs="Times New Roman" w:eastAsia="Times New Roman" w:hint="default"/>
          <w:w w:val="100"/>
        </w:rPr>
        <w:t>1</w:t>
      </w:r>
      <w:r>
        <w:rPr>
          <w:rFonts w:ascii="Times New Roman" w:hAnsi="Times New Roman" w:cs="Times New Roman" w:eastAsia="Times New Roman" w:hint="default"/>
        </w:rPr>
        <w:t> </w:t>
      </w:r>
      <w:r>
        <w:rPr>
          <w:spacing w:val="-3"/>
          <w:w w:val="100"/>
        </w:rPr>
        <w:t>元，</w:t>
      </w:r>
      <w:r>
        <w:rPr>
          <w:w w:val="100"/>
        </w:rPr>
      </w:r>
    </w:p>
    <w:p>
      <w:pPr>
        <w:pStyle w:val="BodyText"/>
        <w:spacing w:line="240" w:lineRule="auto" w:before="107"/>
        <w:ind w:left="930" w:right="0"/>
        <w:jc w:val="both"/>
      </w:pPr>
      <w:r>
        <w:rPr/>
        <w:t>合计增加股本人民币</w:t>
      </w:r>
      <w:r>
        <w:rPr>
          <w:spacing w:val="-53"/>
        </w:rPr>
        <w:t> </w:t>
      </w:r>
      <w:r>
        <w:rPr>
          <w:rFonts w:ascii="Times New Roman" w:hAnsi="Times New Roman" w:cs="Times New Roman" w:eastAsia="Times New Roman" w:hint="default"/>
        </w:rPr>
        <w:t>1,244,665,585.00</w:t>
      </w:r>
      <w:r>
        <w:rPr>
          <w:rFonts w:ascii="Times New Roman" w:hAnsi="Times New Roman" w:cs="Times New Roman" w:eastAsia="Times New Roman" w:hint="default"/>
          <w:spacing w:val="-4"/>
        </w:rPr>
        <w:t> </w:t>
      </w:r>
      <w:r>
        <w:rPr/>
        <w:t>元。</w:t>
      </w:r>
    </w:p>
    <w:p>
      <w:pPr>
        <w:pStyle w:val="BodyText"/>
        <w:spacing w:line="240" w:lineRule="auto" w:before="110"/>
        <w:ind w:left="930" w:right="0"/>
        <w:jc w:val="both"/>
      </w:pPr>
      <w:r>
        <w:rPr>
          <w:rFonts w:ascii="Times New Roman" w:hAnsi="Times New Roman" w:cs="Times New Roman" w:eastAsia="Times New Roman" w:hint="default"/>
        </w:rPr>
        <w:t>2017</w:t>
      </w:r>
      <w:r>
        <w:rPr>
          <w:rFonts w:ascii="Times New Roman" w:hAnsi="Times New Roman" w:cs="Times New Roman" w:eastAsia="Times New Roman" w:hint="default"/>
          <w:spacing w:val="9"/>
        </w:rPr>
        <w:t> </w:t>
      </w:r>
      <w:r>
        <w:rPr/>
        <w:t>年</w:t>
      </w:r>
      <w:r>
        <w:rPr>
          <w:spacing w:val="-43"/>
        </w:rPr>
        <w:t> </w:t>
      </w:r>
      <w:r>
        <w:rPr>
          <w:rFonts w:ascii="Times New Roman" w:hAnsi="Times New Roman" w:cs="Times New Roman" w:eastAsia="Times New Roman" w:hint="default"/>
        </w:rPr>
        <w:t>2</w:t>
      </w:r>
      <w:r>
        <w:rPr>
          <w:rFonts w:ascii="Times New Roman" w:hAnsi="Times New Roman" w:cs="Times New Roman" w:eastAsia="Times New Roman" w:hint="default"/>
          <w:spacing w:val="9"/>
        </w:rPr>
        <w:t> </w:t>
      </w:r>
      <w:r>
        <w:rPr/>
        <w:t>月</w:t>
      </w:r>
      <w:r>
        <w:rPr>
          <w:spacing w:val="-43"/>
        </w:rPr>
        <w:t> </w:t>
      </w:r>
      <w:r>
        <w:rPr>
          <w:rFonts w:ascii="Times New Roman" w:hAnsi="Times New Roman" w:cs="Times New Roman" w:eastAsia="Times New Roman" w:hint="default"/>
        </w:rPr>
        <w:t>7</w:t>
      </w:r>
      <w:r>
        <w:rPr>
          <w:rFonts w:ascii="Times New Roman" w:hAnsi="Times New Roman" w:cs="Times New Roman" w:eastAsia="Times New Roman" w:hint="default"/>
          <w:spacing w:val="7"/>
        </w:rPr>
        <w:t> </w:t>
      </w:r>
      <w:r>
        <w:rPr/>
        <w:t>日，根据公司</w:t>
      </w:r>
      <w:r>
        <w:rPr>
          <w:spacing w:val="-43"/>
        </w:rPr>
        <w:t> </w:t>
      </w:r>
      <w:r>
        <w:rPr>
          <w:rFonts w:ascii="Times New Roman" w:hAnsi="Times New Roman" w:cs="Times New Roman" w:eastAsia="Times New Roman" w:hint="default"/>
        </w:rPr>
        <w:t>2016</w:t>
      </w:r>
      <w:r>
        <w:rPr>
          <w:rFonts w:ascii="Times New Roman" w:hAnsi="Times New Roman" w:cs="Times New Roman" w:eastAsia="Times New Roman" w:hint="default"/>
          <w:spacing w:val="7"/>
        </w:rPr>
        <w:t> </w:t>
      </w:r>
      <w:r>
        <w:rPr/>
        <w:t>年第七次临时股东大会审议通过的《关于</w:t>
      </w:r>
      <w:r>
        <w:rPr>
          <w:rFonts w:ascii="Times New Roman" w:hAnsi="Times New Roman" w:cs="Times New Roman" w:eastAsia="Times New Roman" w:hint="default"/>
        </w:rPr>
        <w:t>&lt;</w:t>
      </w:r>
      <w:r>
        <w:rPr/>
        <w:t>第二期限制</w:t>
      </w:r>
    </w:p>
    <w:p>
      <w:pPr>
        <w:pStyle w:val="BodyText"/>
        <w:spacing w:line="240" w:lineRule="auto" w:before="110"/>
        <w:ind w:left="930" w:right="0"/>
        <w:jc w:val="both"/>
      </w:pPr>
      <w:r>
        <w:rPr/>
        <w:t>性股票激励计划（草案）</w:t>
      </w:r>
      <w:r>
        <w:rPr>
          <w:rFonts w:ascii="Times New Roman" w:hAnsi="Times New Roman" w:cs="Times New Roman" w:eastAsia="Times New Roman" w:hint="default"/>
        </w:rPr>
        <w:t>&gt;</w:t>
      </w:r>
      <w:r>
        <w:rPr/>
        <w:t>及其摘要的议案》和修改后的章程规定，公司向</w:t>
      </w:r>
      <w:r>
        <w:rPr>
          <w:spacing w:val="-46"/>
        </w:rPr>
        <w:t> </w:t>
      </w:r>
      <w:r>
        <w:rPr>
          <w:rFonts w:ascii="Times New Roman" w:hAnsi="Times New Roman" w:cs="Times New Roman" w:eastAsia="Times New Roman" w:hint="default"/>
        </w:rPr>
        <w:t>221</w:t>
      </w:r>
      <w:r>
        <w:rPr>
          <w:rFonts w:ascii="Times New Roman" w:hAnsi="Times New Roman" w:cs="Times New Roman" w:eastAsia="Times New Roman" w:hint="default"/>
          <w:spacing w:val="7"/>
        </w:rPr>
        <w:t> </w:t>
      </w:r>
      <w:r>
        <w:rPr/>
        <w:t>名自然人</w:t>
      </w:r>
    </w:p>
    <w:p>
      <w:pPr>
        <w:pStyle w:val="BodyText"/>
        <w:spacing w:line="240" w:lineRule="auto" w:before="107"/>
        <w:ind w:left="930" w:right="0"/>
        <w:jc w:val="both"/>
        <w:rPr>
          <w:rFonts w:ascii="Times New Roman" w:hAnsi="Times New Roman" w:cs="Times New Roman" w:eastAsia="Times New Roman" w:hint="default"/>
        </w:rPr>
      </w:pPr>
      <w:r>
        <w:rPr>
          <w:w w:val="100"/>
        </w:rPr>
        <w:t>定向</w:t>
      </w:r>
      <w:r>
        <w:rPr>
          <w:spacing w:val="-3"/>
          <w:w w:val="100"/>
        </w:rPr>
        <w:t>发</w:t>
      </w:r>
      <w:r>
        <w:rPr>
          <w:w w:val="100"/>
        </w:rPr>
        <w:t>行</w:t>
      </w:r>
      <w:r>
        <w:rPr>
          <w:spacing w:val="-3"/>
          <w:w w:val="100"/>
        </w:rPr>
        <w:t>股</w:t>
      </w:r>
      <w:r>
        <w:rPr>
          <w:w w:val="100"/>
        </w:rPr>
        <w:t>票</w:t>
      </w:r>
      <w:r>
        <w:rPr>
          <w:spacing w:val="-79"/>
        </w:rPr>
        <w:t> </w:t>
      </w:r>
      <w:r>
        <w:rPr>
          <w:rFonts w:ascii="Times New Roman" w:hAnsi="Times New Roman" w:cs="Times New Roman" w:eastAsia="Times New Roman" w:hint="default"/>
          <w:w w:val="100"/>
        </w:rPr>
        <w:t>2,1</w:t>
      </w:r>
      <w:r>
        <w:rPr>
          <w:rFonts w:ascii="Times New Roman" w:hAnsi="Times New Roman" w:cs="Times New Roman" w:eastAsia="Times New Roman" w:hint="default"/>
          <w:spacing w:val="-3"/>
          <w:w w:val="100"/>
        </w:rPr>
        <w:t>5</w:t>
      </w:r>
      <w:r>
        <w:rPr>
          <w:rFonts w:ascii="Times New Roman" w:hAnsi="Times New Roman" w:cs="Times New Roman" w:eastAsia="Times New Roman" w:hint="default"/>
          <w:w w:val="100"/>
        </w:rPr>
        <w:t>6</w:t>
      </w:r>
      <w:r>
        <w:rPr>
          <w:rFonts w:ascii="Times New Roman" w:hAnsi="Times New Roman" w:cs="Times New Roman" w:eastAsia="Times New Roman" w:hint="default"/>
          <w:spacing w:val="-24"/>
        </w:rPr>
        <w:t> </w:t>
      </w:r>
      <w:r>
        <w:rPr>
          <w:spacing w:val="-3"/>
          <w:w w:val="100"/>
        </w:rPr>
        <w:t>万</w:t>
      </w:r>
      <w:r>
        <w:rPr>
          <w:w w:val="100"/>
        </w:rPr>
        <w:t>股</w:t>
      </w:r>
      <w:r>
        <w:rPr>
          <w:spacing w:val="-108"/>
          <w:w w:val="100"/>
        </w:rPr>
        <w:t>，</w:t>
      </w:r>
      <w:r>
        <w:rPr>
          <w:w w:val="100"/>
        </w:rPr>
        <w:t>每股</w:t>
      </w:r>
      <w:r>
        <w:rPr>
          <w:spacing w:val="-3"/>
          <w:w w:val="100"/>
        </w:rPr>
        <w:t>面</w:t>
      </w:r>
      <w:r>
        <w:rPr>
          <w:w w:val="100"/>
        </w:rPr>
        <w:t>值</w:t>
      </w:r>
      <w:r>
        <w:rPr>
          <w:spacing w:val="-79"/>
        </w:rPr>
        <w:t> </w:t>
      </w:r>
      <w:r>
        <w:rPr>
          <w:rFonts w:ascii="Times New Roman" w:hAnsi="Times New Roman" w:cs="Times New Roman" w:eastAsia="Times New Roman" w:hint="default"/>
          <w:w w:val="100"/>
        </w:rPr>
        <w:t>1.</w:t>
      </w:r>
      <w:r>
        <w:rPr>
          <w:rFonts w:ascii="Times New Roman" w:hAnsi="Times New Roman" w:cs="Times New Roman" w:eastAsia="Times New Roman" w:hint="default"/>
          <w:spacing w:val="-3"/>
          <w:w w:val="100"/>
        </w:rPr>
        <w:t>0</w:t>
      </w:r>
      <w:r>
        <w:rPr>
          <w:rFonts w:ascii="Times New Roman" w:hAnsi="Times New Roman" w:cs="Times New Roman" w:eastAsia="Times New Roman" w:hint="default"/>
          <w:w w:val="100"/>
        </w:rPr>
        <w:t>0</w:t>
      </w:r>
      <w:r>
        <w:rPr>
          <w:rFonts w:ascii="Times New Roman" w:hAnsi="Times New Roman" w:cs="Times New Roman" w:eastAsia="Times New Roman" w:hint="default"/>
          <w:spacing w:val="-24"/>
        </w:rPr>
        <w:t> </w:t>
      </w:r>
      <w:r>
        <w:rPr>
          <w:w w:val="100"/>
        </w:rPr>
        <w:t>元</w:t>
      </w:r>
      <w:r>
        <w:rPr>
          <w:spacing w:val="-108"/>
          <w:w w:val="100"/>
        </w:rPr>
        <w:t>，</w:t>
      </w:r>
      <w:r>
        <w:rPr>
          <w:w w:val="100"/>
        </w:rPr>
        <w:t>发</w:t>
      </w:r>
      <w:r>
        <w:rPr>
          <w:spacing w:val="-3"/>
          <w:w w:val="100"/>
        </w:rPr>
        <w:t>行</w:t>
      </w:r>
      <w:r>
        <w:rPr>
          <w:w w:val="100"/>
        </w:rPr>
        <w:t>后</w:t>
      </w:r>
      <w:r>
        <w:rPr>
          <w:spacing w:val="-3"/>
          <w:w w:val="100"/>
        </w:rPr>
        <w:t>公</w:t>
      </w:r>
      <w:r>
        <w:rPr>
          <w:w w:val="100"/>
        </w:rPr>
        <w:t>司注</w:t>
      </w:r>
      <w:r>
        <w:rPr>
          <w:spacing w:val="-3"/>
          <w:w w:val="100"/>
        </w:rPr>
        <w:t>册</w:t>
      </w:r>
      <w:r>
        <w:rPr>
          <w:w w:val="100"/>
        </w:rPr>
        <w:t>资</w:t>
      </w:r>
      <w:r>
        <w:rPr>
          <w:spacing w:val="-3"/>
          <w:w w:val="100"/>
        </w:rPr>
        <w:t>本</w:t>
      </w:r>
      <w:r>
        <w:rPr>
          <w:w w:val="100"/>
        </w:rPr>
        <w:t>为</w:t>
      </w:r>
      <w:r>
        <w:rPr>
          <w:spacing w:val="-3"/>
          <w:w w:val="100"/>
        </w:rPr>
        <w:t>人民</w:t>
      </w:r>
      <w:r>
        <w:rPr>
          <w:w w:val="100"/>
        </w:rPr>
        <w:t>币</w:t>
      </w:r>
      <w:r>
        <w:rPr>
          <w:spacing w:val="-77"/>
        </w:rPr>
        <w:t> </w:t>
      </w:r>
      <w:r>
        <w:rPr>
          <w:rFonts w:ascii="Times New Roman" w:hAnsi="Times New Roman" w:cs="Times New Roman" w:eastAsia="Times New Roman" w:hint="default"/>
          <w:w w:val="100"/>
        </w:rPr>
        <w:t>1,</w:t>
      </w:r>
      <w:r>
        <w:rPr>
          <w:rFonts w:ascii="Times New Roman" w:hAnsi="Times New Roman" w:cs="Times New Roman" w:eastAsia="Times New Roman" w:hint="default"/>
          <w:spacing w:val="-3"/>
          <w:w w:val="100"/>
        </w:rPr>
        <w:t>7</w:t>
      </w:r>
      <w:r>
        <w:rPr>
          <w:rFonts w:ascii="Times New Roman" w:hAnsi="Times New Roman" w:cs="Times New Roman" w:eastAsia="Times New Roman" w:hint="default"/>
          <w:w w:val="100"/>
        </w:rPr>
        <w:t>64</w:t>
      </w:r>
      <w:r>
        <w:rPr>
          <w:rFonts w:ascii="Times New Roman" w:hAnsi="Times New Roman" w:cs="Times New Roman" w:eastAsia="Times New Roman" w:hint="default"/>
          <w:spacing w:val="-3"/>
          <w:w w:val="100"/>
        </w:rPr>
        <w:t>,</w:t>
      </w:r>
      <w:r>
        <w:rPr>
          <w:rFonts w:ascii="Times New Roman" w:hAnsi="Times New Roman" w:cs="Times New Roman" w:eastAsia="Times New Roman" w:hint="default"/>
          <w:w w:val="100"/>
        </w:rPr>
        <w:t>091,8</w:t>
      </w:r>
      <w:r>
        <w:rPr>
          <w:rFonts w:ascii="Times New Roman" w:hAnsi="Times New Roman" w:cs="Times New Roman" w:eastAsia="Times New Roman" w:hint="default"/>
          <w:spacing w:val="-3"/>
          <w:w w:val="100"/>
        </w:rPr>
        <w:t>1</w:t>
      </w:r>
      <w:r>
        <w:rPr>
          <w:rFonts w:ascii="Times New Roman" w:hAnsi="Times New Roman" w:cs="Times New Roman" w:eastAsia="Times New Roman" w:hint="default"/>
          <w:w w:val="100"/>
        </w:rPr>
        <w:t>9.00</w:t>
      </w:r>
    </w:p>
    <w:p>
      <w:pPr>
        <w:pStyle w:val="BodyText"/>
        <w:spacing w:line="240" w:lineRule="auto" w:before="110"/>
        <w:ind w:left="930" w:right="0"/>
        <w:jc w:val="both"/>
      </w:pPr>
      <w:r>
        <w:rPr/>
        <w:t>元。</w:t>
      </w:r>
    </w:p>
    <w:p>
      <w:pPr>
        <w:pStyle w:val="BodyText"/>
        <w:spacing w:line="338" w:lineRule="auto" w:before="126"/>
        <w:ind w:left="930" w:right="130"/>
        <w:jc w:val="both"/>
      </w:pPr>
      <w:r>
        <w:rPr>
          <w:rFonts w:ascii="Times New Roman" w:hAnsi="Times New Roman" w:cs="Times New Roman" w:eastAsia="Times New Roman" w:hint="default"/>
        </w:rPr>
        <w:t>2018</w:t>
      </w:r>
      <w:r>
        <w:rPr>
          <w:rFonts w:ascii="Times New Roman" w:hAnsi="Times New Roman" w:cs="Times New Roman" w:eastAsia="Times New Roman" w:hint="default"/>
          <w:spacing w:val="6"/>
        </w:rPr>
        <w:t> </w:t>
      </w:r>
      <w:r>
        <w:rPr/>
        <w:t>年</w:t>
      </w:r>
      <w:r>
        <w:rPr>
          <w:spacing w:val="-44"/>
        </w:rPr>
        <w:t> </w:t>
      </w:r>
      <w:r>
        <w:rPr>
          <w:rFonts w:ascii="Times New Roman" w:hAnsi="Times New Roman" w:cs="Times New Roman" w:eastAsia="Times New Roman" w:hint="default"/>
        </w:rPr>
        <w:t>2</w:t>
      </w:r>
      <w:r>
        <w:rPr>
          <w:rFonts w:ascii="Times New Roman" w:hAnsi="Times New Roman" w:cs="Times New Roman" w:eastAsia="Times New Roman" w:hint="default"/>
          <w:spacing w:val="6"/>
        </w:rPr>
        <w:t> </w:t>
      </w:r>
      <w:r>
        <w:rPr/>
        <w:t>月</w:t>
      </w:r>
      <w:r>
        <w:rPr>
          <w:spacing w:val="-44"/>
        </w:rPr>
        <w:t> </w:t>
      </w:r>
      <w:r>
        <w:rPr>
          <w:rFonts w:ascii="Times New Roman" w:hAnsi="Times New Roman" w:cs="Times New Roman" w:eastAsia="Times New Roman" w:hint="default"/>
        </w:rPr>
        <w:t>8</w:t>
      </w:r>
      <w:r>
        <w:rPr>
          <w:rFonts w:ascii="Times New Roman" w:hAnsi="Times New Roman" w:cs="Times New Roman" w:eastAsia="Times New Roman" w:hint="default"/>
          <w:spacing w:val="6"/>
        </w:rPr>
        <w:t> </w:t>
      </w:r>
      <w:r>
        <w:rPr/>
        <w:t>日，根据公司</w:t>
      </w:r>
      <w:r>
        <w:rPr>
          <w:spacing w:val="-44"/>
        </w:rPr>
        <w:t> </w:t>
      </w:r>
      <w:r>
        <w:rPr>
          <w:rFonts w:ascii="Times New Roman" w:hAnsi="Times New Roman" w:cs="Times New Roman" w:eastAsia="Times New Roman" w:hint="default"/>
        </w:rPr>
        <w:t>2016</w:t>
      </w:r>
      <w:r>
        <w:rPr>
          <w:rFonts w:ascii="Times New Roman" w:hAnsi="Times New Roman" w:cs="Times New Roman" w:eastAsia="Times New Roman" w:hint="default"/>
          <w:spacing w:val="8"/>
        </w:rPr>
        <w:t> </w:t>
      </w:r>
      <w:r>
        <w:rPr/>
        <w:t>年第七次临时股东大会决议和</w:t>
      </w:r>
      <w:r>
        <w:rPr>
          <w:spacing w:val="-44"/>
        </w:rPr>
        <w:t> </w:t>
      </w:r>
      <w:r>
        <w:rPr>
          <w:rFonts w:ascii="Times New Roman" w:hAnsi="Times New Roman" w:cs="Times New Roman" w:eastAsia="Times New Roman" w:hint="default"/>
        </w:rPr>
        <w:t>2017</w:t>
      </w:r>
      <w:r>
        <w:rPr>
          <w:rFonts w:ascii="Times New Roman" w:hAnsi="Times New Roman" w:cs="Times New Roman" w:eastAsia="Times New Roman" w:hint="default"/>
          <w:spacing w:val="8"/>
        </w:rPr>
        <w:t> </w:t>
      </w:r>
      <w:r>
        <w:rPr/>
        <w:t>年第三届董事会第</w:t>
      </w:r>
      <w:r>
        <w:rPr>
          <w:w w:val="100"/>
        </w:rPr>
        <w:t> </w:t>
      </w:r>
      <w:r>
        <w:rPr>
          <w:spacing w:val="-3"/>
          <w:w w:val="100"/>
        </w:rPr>
        <w:t>二十六次会议审议通过的《关于向激励对象授予第二期预留限制性股票的议案》，公司向</w:t>
      </w:r>
      <w:r>
        <w:rPr>
          <w:w w:val="100"/>
        </w:rPr>
        <w:t> </w:t>
      </w:r>
      <w:r>
        <w:rPr>
          <w:rFonts w:ascii="Times New Roman" w:hAnsi="Times New Roman" w:cs="Times New Roman" w:eastAsia="Times New Roman" w:hint="default"/>
        </w:rPr>
        <w:t>20  </w:t>
      </w:r>
      <w:r>
        <w:rPr/>
        <w:t>名自然人定向发行股票 </w:t>
      </w:r>
      <w:r>
        <w:rPr>
          <w:rFonts w:ascii="Times New Roman" w:hAnsi="Times New Roman" w:cs="Times New Roman" w:eastAsia="Times New Roman" w:hint="default"/>
        </w:rPr>
        <w:t>160  </w:t>
      </w:r>
      <w:r>
        <w:rPr/>
        <w:t>万股，每股面值 </w:t>
      </w:r>
      <w:r>
        <w:rPr>
          <w:rFonts w:ascii="Times New Roman" w:hAnsi="Times New Roman" w:cs="Times New Roman" w:eastAsia="Times New Roman" w:hint="default"/>
        </w:rPr>
        <w:t>1.00</w:t>
      </w:r>
      <w:r>
        <w:rPr>
          <w:rFonts w:ascii="Times New Roman" w:hAnsi="Times New Roman" w:cs="Times New Roman" w:eastAsia="Times New Roman" w:hint="default"/>
          <w:spacing w:val="24"/>
        </w:rPr>
        <w:t> </w:t>
      </w:r>
      <w:r>
        <w:rPr/>
        <w:t>元，发行后公司注册资本为人民币</w:t>
      </w:r>
    </w:p>
    <w:p>
      <w:pPr>
        <w:pStyle w:val="BodyText"/>
        <w:spacing w:line="240" w:lineRule="auto" w:before="14"/>
        <w:ind w:left="930" w:right="0"/>
        <w:jc w:val="both"/>
      </w:pPr>
      <w:r>
        <w:rPr>
          <w:rFonts w:ascii="Times New Roman" w:hAnsi="Times New Roman" w:cs="Times New Roman" w:eastAsia="Times New Roman" w:hint="default"/>
        </w:rPr>
        <w:t>1,765,691,819.00</w:t>
      </w:r>
      <w:r>
        <w:rPr>
          <w:rFonts w:ascii="Times New Roman" w:hAnsi="Times New Roman" w:cs="Times New Roman" w:eastAsia="Times New Roman" w:hint="default"/>
          <w:spacing w:val="1"/>
        </w:rPr>
        <w:t> </w:t>
      </w:r>
      <w:r>
        <w:rPr>
          <w:spacing w:val="-3"/>
        </w:rPr>
        <w:t>元。</w:t>
      </w:r>
      <w:r>
        <w:rPr/>
      </w:r>
    </w:p>
    <w:p>
      <w:pPr>
        <w:pStyle w:val="BodyText"/>
        <w:spacing w:line="340" w:lineRule="auto" w:before="107"/>
        <w:ind w:left="930" w:right="129"/>
        <w:jc w:val="both"/>
      </w:pPr>
      <w:r>
        <w:rPr>
          <w:rFonts w:ascii="Times New Roman" w:hAnsi="Times New Roman" w:cs="Times New Roman" w:eastAsia="Times New Roman" w:hint="default"/>
        </w:rPr>
        <w:t>2018</w:t>
      </w:r>
      <w:r>
        <w:rPr>
          <w:rFonts w:ascii="Times New Roman" w:hAnsi="Times New Roman" w:cs="Times New Roman" w:eastAsia="Times New Roman" w:hint="default"/>
          <w:spacing w:val="-3"/>
        </w:rPr>
        <w:t> </w:t>
      </w:r>
      <w:r>
        <w:rPr/>
        <w:t>年</w:t>
      </w:r>
      <w:r>
        <w:rPr>
          <w:spacing w:val="-53"/>
        </w:rPr>
        <w:t> </w:t>
      </w:r>
      <w:r>
        <w:rPr>
          <w:rFonts w:ascii="Times New Roman" w:hAnsi="Times New Roman" w:cs="Times New Roman" w:eastAsia="Times New Roman" w:hint="default"/>
        </w:rPr>
        <w:t>6</w:t>
      </w:r>
      <w:r>
        <w:rPr>
          <w:rFonts w:ascii="Times New Roman" w:hAnsi="Times New Roman" w:cs="Times New Roman" w:eastAsia="Times New Roman" w:hint="default"/>
          <w:spacing w:val="-3"/>
        </w:rPr>
        <w:t> </w:t>
      </w:r>
      <w:r>
        <w:rPr/>
        <w:t>月</w:t>
      </w:r>
      <w:r>
        <w:rPr>
          <w:spacing w:val="-53"/>
        </w:rPr>
        <w:t> </w:t>
      </w:r>
      <w:r>
        <w:rPr>
          <w:rFonts w:ascii="Times New Roman" w:hAnsi="Times New Roman" w:cs="Times New Roman" w:eastAsia="Times New Roman" w:hint="default"/>
        </w:rPr>
        <w:t>28</w:t>
      </w:r>
      <w:r>
        <w:rPr>
          <w:rFonts w:ascii="Times New Roman" w:hAnsi="Times New Roman" w:cs="Times New Roman" w:eastAsia="Times New Roman" w:hint="default"/>
          <w:spacing w:val="-3"/>
        </w:rPr>
        <w:t> </w:t>
      </w:r>
      <w:r>
        <w:rPr>
          <w:spacing w:val="-5"/>
        </w:rPr>
        <w:t>日，根据公司</w:t>
      </w:r>
      <w:r>
        <w:rPr>
          <w:spacing w:val="-52"/>
        </w:rPr>
        <w:t> </w:t>
      </w:r>
      <w:r>
        <w:rPr>
          <w:rFonts w:ascii="Times New Roman" w:hAnsi="Times New Roman" w:cs="Times New Roman" w:eastAsia="Times New Roman" w:hint="default"/>
        </w:rPr>
        <w:t>2016 </w:t>
      </w:r>
      <w:r>
        <w:rPr/>
        <w:t>年第七次临时股东大会决议和</w:t>
      </w:r>
      <w:r>
        <w:rPr>
          <w:spacing w:val="-53"/>
        </w:rPr>
        <w:t> </w:t>
      </w:r>
      <w:r>
        <w:rPr>
          <w:rFonts w:ascii="Times New Roman" w:hAnsi="Times New Roman" w:cs="Times New Roman" w:eastAsia="Times New Roman" w:hint="default"/>
        </w:rPr>
        <w:t>2018 </w:t>
      </w:r>
      <w:r>
        <w:rPr/>
        <w:t>年第三届董事会第</w:t>
      </w:r>
      <w:r>
        <w:rPr>
          <w:w w:val="100"/>
        </w:rPr>
        <w:t> </w:t>
      </w:r>
      <w:r>
        <w:rPr>
          <w:spacing w:val="-4"/>
        </w:rPr>
        <w:t>二十七次会议和第三十次会议，公司回购原部分激励对象已获授但尚未解锁的限制性股票</w:t>
      </w:r>
      <w:r>
        <w:rPr>
          <w:spacing w:val="-26"/>
        </w:rPr>
        <w:t> </w:t>
      </w:r>
      <w:r>
        <w:rPr>
          <w:spacing w:val="-26"/>
        </w:rPr>
      </w:r>
      <w:r>
        <w:rPr>
          <w:rFonts w:ascii="Times New Roman" w:hAnsi="Times New Roman" w:cs="Times New Roman" w:eastAsia="Times New Roman" w:hint="default"/>
        </w:rPr>
        <w:t>36.54   </w:t>
      </w:r>
      <w:r>
        <w:rPr>
          <w:spacing w:val="12"/>
        </w:rPr>
        <w:t>万股，其中 </w:t>
      </w:r>
      <w:r>
        <w:rPr>
          <w:rFonts w:ascii="Times New Roman" w:hAnsi="Times New Roman" w:cs="Times New Roman" w:eastAsia="Times New Roman" w:hint="default"/>
        </w:rPr>
        <w:t>285,400   </w:t>
      </w:r>
      <w:r>
        <w:rPr>
          <w:spacing w:val="14"/>
        </w:rPr>
        <w:t>股限制性股票已注销，</w:t>
      </w:r>
      <w:r>
        <w:rPr>
          <w:spacing w:val="-75"/>
        </w:rPr>
        <w:t> </w:t>
      </w:r>
      <w:r>
        <w:rPr>
          <w:spacing w:val="14"/>
        </w:rPr>
        <w:t>注销后的注册资本变更为人民币</w:t>
      </w:r>
    </w:p>
    <w:p>
      <w:pPr>
        <w:pStyle w:val="BodyText"/>
        <w:spacing w:line="240" w:lineRule="auto" w:before="10"/>
        <w:ind w:left="930" w:right="0"/>
        <w:jc w:val="both"/>
      </w:pPr>
      <w:r>
        <w:rPr>
          <w:rFonts w:ascii="Times New Roman" w:hAnsi="Times New Roman" w:cs="Times New Roman" w:eastAsia="Times New Roman" w:hint="default"/>
        </w:rPr>
        <w:t>1,765,406,419.00</w:t>
      </w:r>
      <w:r>
        <w:rPr>
          <w:rFonts w:ascii="Times New Roman" w:hAnsi="Times New Roman" w:cs="Times New Roman" w:eastAsia="Times New Roman" w:hint="default"/>
          <w:spacing w:val="1"/>
        </w:rPr>
        <w:t> </w:t>
      </w:r>
      <w:r>
        <w:rPr>
          <w:spacing w:val="-3"/>
        </w:rPr>
        <w:t>元。</w:t>
      </w:r>
      <w:r>
        <w:rPr/>
      </w:r>
    </w:p>
    <w:p>
      <w:pPr>
        <w:pStyle w:val="BodyText"/>
        <w:spacing w:line="240" w:lineRule="auto" w:before="110"/>
        <w:ind w:left="930" w:right="0"/>
        <w:jc w:val="both"/>
      </w:pPr>
      <w:r>
        <w:rPr>
          <w:rFonts w:ascii="Times New Roman" w:hAnsi="Times New Roman" w:cs="Times New Roman" w:eastAsia="Times New Roman" w:hint="default"/>
        </w:rPr>
        <w:t>2019</w:t>
      </w:r>
      <w:r>
        <w:rPr>
          <w:rFonts w:ascii="Times New Roman" w:hAnsi="Times New Roman" w:cs="Times New Roman" w:eastAsia="Times New Roman" w:hint="default"/>
          <w:spacing w:val="-3"/>
        </w:rPr>
        <w:t> </w:t>
      </w:r>
      <w:r>
        <w:rPr/>
        <w:t>年</w:t>
      </w:r>
      <w:r>
        <w:rPr>
          <w:spacing w:val="-53"/>
        </w:rPr>
        <w:t> </w:t>
      </w:r>
      <w:r>
        <w:rPr>
          <w:rFonts w:ascii="Times New Roman" w:hAnsi="Times New Roman" w:cs="Times New Roman" w:eastAsia="Times New Roman" w:hint="default"/>
        </w:rPr>
        <w:t>4</w:t>
      </w:r>
      <w:r>
        <w:rPr>
          <w:rFonts w:ascii="Times New Roman" w:hAnsi="Times New Roman" w:cs="Times New Roman" w:eastAsia="Times New Roman" w:hint="default"/>
          <w:spacing w:val="-3"/>
        </w:rPr>
        <w:t> </w:t>
      </w:r>
      <w:r>
        <w:rPr/>
        <w:t>月</w:t>
      </w:r>
      <w:r>
        <w:rPr>
          <w:spacing w:val="-53"/>
        </w:rPr>
        <w:t> </w:t>
      </w:r>
      <w:r>
        <w:rPr>
          <w:rFonts w:ascii="Times New Roman" w:hAnsi="Times New Roman" w:cs="Times New Roman" w:eastAsia="Times New Roman" w:hint="default"/>
          <w:spacing w:val="-5"/>
        </w:rPr>
        <w:t>11</w:t>
      </w:r>
      <w:r>
        <w:rPr>
          <w:rFonts w:ascii="Times New Roman" w:hAnsi="Times New Roman" w:cs="Times New Roman" w:eastAsia="Times New Roman" w:hint="default"/>
        </w:rPr>
        <w:t> </w:t>
      </w:r>
      <w:r>
        <w:rPr>
          <w:spacing w:val="-4"/>
        </w:rPr>
        <w:t>日，根据公司</w:t>
      </w:r>
      <w:r>
        <w:rPr>
          <w:spacing w:val="-52"/>
        </w:rPr>
        <w:t> </w:t>
      </w:r>
      <w:r>
        <w:rPr>
          <w:rFonts w:ascii="Times New Roman" w:hAnsi="Times New Roman" w:cs="Times New Roman" w:eastAsia="Times New Roman" w:hint="default"/>
        </w:rPr>
        <w:t>2016 </w:t>
      </w:r>
      <w:r>
        <w:rPr/>
        <w:t>年第七次临时股东大会决议和</w:t>
      </w:r>
      <w:r>
        <w:rPr>
          <w:spacing w:val="-53"/>
        </w:rPr>
        <w:t> </w:t>
      </w:r>
      <w:r>
        <w:rPr>
          <w:rFonts w:ascii="Times New Roman" w:hAnsi="Times New Roman" w:cs="Times New Roman" w:eastAsia="Times New Roman" w:hint="default"/>
        </w:rPr>
        <w:t>2019 </w:t>
      </w:r>
      <w:r>
        <w:rPr/>
        <w:t>年第三届董事会第</w:t>
      </w:r>
    </w:p>
    <w:p>
      <w:pPr>
        <w:pStyle w:val="BodyText"/>
        <w:spacing w:line="240" w:lineRule="auto" w:before="110"/>
        <w:ind w:left="930" w:right="0"/>
        <w:jc w:val="both"/>
      </w:pPr>
      <w:r>
        <w:rPr>
          <w:spacing w:val="-2"/>
        </w:rPr>
        <w:t>三十九次会议，公司回购原部分激励对象已获授但尚未解锁的限制性股票</w:t>
      </w:r>
      <w:r>
        <w:rPr/>
        <w:t> </w:t>
      </w:r>
      <w:r>
        <w:rPr>
          <w:rFonts w:ascii="Times New Roman" w:hAnsi="Times New Roman" w:cs="Times New Roman" w:eastAsia="Times New Roman" w:hint="default"/>
          <w:spacing w:val="-1"/>
        </w:rPr>
        <w:t>448,000</w:t>
      </w:r>
      <w:r>
        <w:rPr>
          <w:rFonts w:ascii="Times New Roman" w:hAnsi="Times New Roman" w:cs="Times New Roman" w:eastAsia="Times New Roman" w:hint="default"/>
          <w:spacing w:val="-5"/>
        </w:rPr>
        <w:t> </w:t>
      </w:r>
      <w:r>
        <w:rPr>
          <w:spacing w:val="-1"/>
        </w:rPr>
        <w:t>股并注</w:t>
      </w:r>
    </w:p>
    <w:p>
      <w:pPr>
        <w:pStyle w:val="BodyText"/>
        <w:spacing w:line="240" w:lineRule="auto" w:before="107"/>
        <w:ind w:left="930" w:right="0"/>
        <w:jc w:val="both"/>
      </w:pPr>
      <w:r>
        <w:rPr/>
        <w:t>销，注销后的注册资本变更为人民币</w:t>
      </w:r>
      <w:r>
        <w:rPr>
          <w:spacing w:val="-55"/>
        </w:rPr>
        <w:t> </w:t>
      </w:r>
      <w:r>
        <w:rPr>
          <w:rFonts w:ascii="Times New Roman" w:hAnsi="Times New Roman" w:cs="Times New Roman" w:eastAsia="Times New Roman" w:hint="default"/>
        </w:rPr>
        <w:t>1,764,958,419.00</w:t>
      </w:r>
      <w:r>
        <w:rPr>
          <w:rFonts w:ascii="Times New Roman" w:hAnsi="Times New Roman" w:cs="Times New Roman" w:eastAsia="Times New Roman" w:hint="default"/>
          <w:spacing w:val="-2"/>
        </w:rPr>
        <w:t> </w:t>
      </w:r>
      <w:r>
        <w:rPr>
          <w:spacing w:val="-3"/>
        </w:rPr>
        <w:t>元。</w:t>
      </w:r>
      <w:r>
        <w:rPr/>
      </w:r>
    </w:p>
    <w:p>
      <w:pPr>
        <w:pStyle w:val="BodyText"/>
        <w:spacing w:line="338" w:lineRule="auto" w:before="110"/>
        <w:ind w:left="930" w:right="129"/>
        <w:jc w:val="both"/>
      </w:pPr>
      <w:r>
        <w:rPr>
          <w:rFonts w:ascii="Times New Roman" w:hAnsi="Times New Roman" w:cs="Times New Roman" w:eastAsia="Times New Roman" w:hint="default"/>
        </w:rPr>
        <w:t>2019</w:t>
      </w:r>
      <w:r>
        <w:rPr>
          <w:rFonts w:ascii="Times New Roman" w:hAnsi="Times New Roman" w:cs="Times New Roman" w:eastAsia="Times New Roman" w:hint="default"/>
          <w:spacing w:val="6"/>
        </w:rPr>
        <w:t> </w:t>
      </w:r>
      <w:r>
        <w:rPr/>
        <w:t>年</w:t>
      </w:r>
      <w:r>
        <w:rPr>
          <w:spacing w:val="-44"/>
        </w:rPr>
        <w:t> </w:t>
      </w:r>
      <w:r>
        <w:rPr>
          <w:rFonts w:ascii="Times New Roman" w:hAnsi="Times New Roman" w:cs="Times New Roman" w:eastAsia="Times New Roman" w:hint="default"/>
        </w:rPr>
        <w:t>7</w:t>
      </w:r>
      <w:r>
        <w:rPr>
          <w:rFonts w:ascii="Times New Roman" w:hAnsi="Times New Roman" w:cs="Times New Roman" w:eastAsia="Times New Roman" w:hint="default"/>
          <w:spacing w:val="6"/>
        </w:rPr>
        <w:t> </w:t>
      </w:r>
      <w:r>
        <w:rPr/>
        <w:t>月</w:t>
      </w:r>
      <w:r>
        <w:rPr>
          <w:spacing w:val="-44"/>
        </w:rPr>
        <w:t> </w:t>
      </w:r>
      <w:r>
        <w:rPr>
          <w:rFonts w:ascii="Times New Roman" w:hAnsi="Times New Roman" w:cs="Times New Roman" w:eastAsia="Times New Roman" w:hint="default"/>
        </w:rPr>
        <w:t>1</w:t>
      </w:r>
      <w:r>
        <w:rPr>
          <w:rFonts w:ascii="Times New Roman" w:hAnsi="Times New Roman" w:cs="Times New Roman" w:eastAsia="Times New Roman" w:hint="default"/>
          <w:spacing w:val="6"/>
        </w:rPr>
        <w:t> </w:t>
      </w:r>
      <w:r>
        <w:rPr/>
        <w:t>日，根据公司</w:t>
      </w:r>
      <w:r>
        <w:rPr>
          <w:spacing w:val="-44"/>
        </w:rPr>
        <w:t> </w:t>
      </w:r>
      <w:r>
        <w:rPr>
          <w:rFonts w:ascii="Times New Roman" w:hAnsi="Times New Roman" w:cs="Times New Roman" w:eastAsia="Times New Roman" w:hint="default"/>
        </w:rPr>
        <w:t>2016</w:t>
      </w:r>
      <w:r>
        <w:rPr>
          <w:rFonts w:ascii="Times New Roman" w:hAnsi="Times New Roman" w:cs="Times New Roman" w:eastAsia="Times New Roman" w:hint="default"/>
          <w:spacing w:val="8"/>
        </w:rPr>
        <w:t> </w:t>
      </w:r>
      <w:r>
        <w:rPr/>
        <w:t>年第七次临时股东大会决议和</w:t>
      </w:r>
      <w:r>
        <w:rPr>
          <w:spacing w:val="-44"/>
        </w:rPr>
        <w:t> </w:t>
      </w:r>
      <w:r>
        <w:rPr>
          <w:rFonts w:ascii="Times New Roman" w:hAnsi="Times New Roman" w:cs="Times New Roman" w:eastAsia="Times New Roman" w:hint="default"/>
        </w:rPr>
        <w:t>2018</w:t>
      </w:r>
      <w:r>
        <w:rPr>
          <w:rFonts w:ascii="Times New Roman" w:hAnsi="Times New Roman" w:cs="Times New Roman" w:eastAsia="Times New Roman" w:hint="default"/>
          <w:spacing w:val="8"/>
        </w:rPr>
        <w:t> </w:t>
      </w:r>
      <w:r>
        <w:rPr/>
        <w:t>年第三届董事会第</w:t>
      </w:r>
      <w:r>
        <w:rPr>
          <w:w w:val="100"/>
        </w:rPr>
        <w:t> </w:t>
      </w:r>
      <w:r>
        <w:rPr>
          <w:spacing w:val="-4"/>
        </w:rPr>
        <w:t>二十七次会议和第三十次会议，公司回购原部分激励对象已获授但尚未解锁的限制性股票</w:t>
      </w:r>
      <w:r>
        <w:rPr>
          <w:spacing w:val="-26"/>
        </w:rPr>
        <w:t> </w:t>
      </w:r>
      <w:r>
        <w:rPr>
          <w:spacing w:val="-26"/>
        </w:rPr>
      </w:r>
      <w:r>
        <w:rPr>
          <w:rFonts w:ascii="Times New Roman" w:hAnsi="Times New Roman" w:cs="Times New Roman" w:eastAsia="Times New Roman" w:hint="default"/>
        </w:rPr>
        <w:t>80,000 </w:t>
      </w:r>
      <w:r>
        <w:rPr>
          <w:rFonts w:ascii="Times New Roman" w:hAnsi="Times New Roman" w:cs="Times New Roman" w:eastAsia="Times New Roman" w:hint="default"/>
          <w:spacing w:val="15"/>
        </w:rPr>
        <w:t> </w:t>
      </w:r>
      <w:r>
        <w:rPr>
          <w:spacing w:val="-4"/>
        </w:rPr>
        <w:t>股并注销，同日根据公司第四届董事会第二次会议和第四届监事会第二次会议，公</w:t>
      </w:r>
    </w:p>
    <w:p>
      <w:pPr>
        <w:pStyle w:val="BodyText"/>
        <w:spacing w:line="240" w:lineRule="auto" w:before="14"/>
        <w:ind w:left="930" w:right="0"/>
        <w:jc w:val="both"/>
      </w:pPr>
      <w:r>
        <w:rPr/>
        <w:t>司回购 </w:t>
      </w:r>
      <w:r>
        <w:rPr>
          <w:rFonts w:ascii="Times New Roman" w:hAnsi="Times New Roman" w:cs="Times New Roman" w:eastAsia="Times New Roman" w:hint="default"/>
        </w:rPr>
        <w:t>7,221,000</w:t>
      </w:r>
      <w:r>
        <w:rPr>
          <w:rFonts w:ascii="Times New Roman" w:hAnsi="Times New Roman" w:cs="Times New Roman" w:eastAsia="Times New Roman" w:hint="default"/>
          <w:spacing w:val="-26"/>
        </w:rPr>
        <w:t> </w:t>
      </w:r>
      <w:r>
        <w:rPr/>
        <w:t>股未解锁的限制性股票并注销，上述股票注销后注册资本变更为人民币</w:t>
      </w:r>
    </w:p>
    <w:p>
      <w:pPr>
        <w:pStyle w:val="BodyText"/>
        <w:spacing w:line="240" w:lineRule="auto" w:before="110"/>
        <w:ind w:left="930" w:right="0"/>
        <w:jc w:val="both"/>
      </w:pPr>
      <w:r>
        <w:rPr>
          <w:rFonts w:ascii="Times New Roman" w:hAnsi="Times New Roman" w:cs="Times New Roman" w:eastAsia="Times New Roman" w:hint="default"/>
        </w:rPr>
        <w:t>1,757,657,419.00</w:t>
      </w:r>
      <w:r>
        <w:rPr>
          <w:rFonts w:ascii="Times New Roman" w:hAnsi="Times New Roman" w:cs="Times New Roman" w:eastAsia="Times New Roman" w:hint="default"/>
          <w:spacing w:val="1"/>
        </w:rPr>
        <w:t> </w:t>
      </w:r>
      <w:r>
        <w:rPr>
          <w:spacing w:val="-3"/>
        </w:rPr>
        <w:t>元。</w:t>
      </w:r>
      <w:r>
        <w:rPr/>
      </w:r>
    </w:p>
    <w:p>
      <w:pPr>
        <w:pStyle w:val="BodyText"/>
        <w:spacing w:line="240" w:lineRule="auto" w:before="107"/>
        <w:ind w:left="930" w:right="0"/>
        <w:jc w:val="both"/>
      </w:pPr>
      <w:r>
        <w:rPr/>
        <w:t>经中国证券监督管理委员会证监许可</w:t>
      </w:r>
      <w:r>
        <w:rPr>
          <w:rFonts w:ascii="Times New Roman" w:hAnsi="Times New Roman" w:cs="Times New Roman" w:eastAsia="Times New Roman" w:hint="default"/>
        </w:rPr>
        <w:t>[2017]1214</w:t>
      </w:r>
      <w:r>
        <w:rPr>
          <w:rFonts w:ascii="Times New Roman" w:hAnsi="Times New Roman" w:cs="Times New Roman" w:eastAsia="Times New Roman" w:hint="default"/>
          <w:spacing w:val="4"/>
        </w:rPr>
        <w:t> </w:t>
      </w:r>
      <w:r>
        <w:rPr/>
        <w:t>号文核准，公司于</w:t>
      </w:r>
      <w:r>
        <w:rPr>
          <w:spacing w:val="-45"/>
        </w:rPr>
        <w:t> </w:t>
      </w:r>
      <w:r>
        <w:rPr>
          <w:rFonts w:ascii="Times New Roman" w:hAnsi="Times New Roman" w:cs="Times New Roman" w:eastAsia="Times New Roman" w:hint="default"/>
        </w:rPr>
        <w:t>2017</w:t>
      </w:r>
      <w:r>
        <w:rPr>
          <w:rFonts w:ascii="Times New Roman" w:hAnsi="Times New Roman" w:cs="Times New Roman" w:eastAsia="Times New Roman" w:hint="default"/>
          <w:spacing w:val="7"/>
        </w:rPr>
        <w:t> </w:t>
      </w:r>
      <w:r>
        <w:rPr/>
        <w:t>年</w:t>
      </w:r>
      <w:r>
        <w:rPr>
          <w:spacing w:val="-45"/>
        </w:rPr>
        <w:t> </w:t>
      </w:r>
      <w:r>
        <w:rPr>
          <w:rFonts w:ascii="Times New Roman" w:hAnsi="Times New Roman" w:cs="Times New Roman" w:eastAsia="Times New Roman" w:hint="default"/>
        </w:rPr>
        <w:t>10</w:t>
      </w:r>
      <w:r>
        <w:rPr>
          <w:rFonts w:ascii="Times New Roman" w:hAnsi="Times New Roman" w:cs="Times New Roman" w:eastAsia="Times New Roman" w:hint="default"/>
          <w:spacing w:val="8"/>
        </w:rPr>
        <w:t> </w:t>
      </w:r>
      <w:r>
        <w:rPr/>
        <w:t>月</w:t>
      </w:r>
      <w:r>
        <w:rPr>
          <w:spacing w:val="-45"/>
        </w:rPr>
        <w:t> </w:t>
      </w:r>
      <w:r>
        <w:rPr>
          <w:rFonts w:ascii="Times New Roman" w:hAnsi="Times New Roman" w:cs="Times New Roman" w:eastAsia="Times New Roman" w:hint="default"/>
        </w:rPr>
        <w:t>27</w:t>
      </w:r>
      <w:r>
        <w:rPr>
          <w:rFonts w:ascii="Times New Roman" w:hAnsi="Times New Roman" w:cs="Times New Roman" w:eastAsia="Times New Roman" w:hint="default"/>
          <w:spacing w:val="5"/>
        </w:rPr>
        <w:t> </w:t>
      </w:r>
      <w:r>
        <w:rPr/>
        <w:t>日公</w:t>
      </w:r>
    </w:p>
    <w:p>
      <w:pPr>
        <w:pStyle w:val="BodyText"/>
        <w:spacing w:line="240" w:lineRule="auto" w:before="110"/>
        <w:ind w:left="930" w:right="0"/>
        <w:jc w:val="both"/>
      </w:pPr>
      <w:r>
        <w:rPr/>
        <w:t>开发行人民币</w:t>
      </w:r>
      <w:r>
        <w:rPr>
          <w:spacing w:val="-47"/>
        </w:rPr>
        <w:t> </w:t>
      </w:r>
      <w:r>
        <w:rPr>
          <w:rFonts w:ascii="Times New Roman" w:hAnsi="Times New Roman" w:cs="Times New Roman" w:eastAsia="Times New Roman" w:hint="default"/>
        </w:rPr>
        <w:t>30</w:t>
      </w:r>
      <w:r>
        <w:rPr>
          <w:rFonts w:ascii="Times New Roman" w:hAnsi="Times New Roman" w:cs="Times New Roman" w:eastAsia="Times New Roman" w:hint="default"/>
          <w:spacing w:val="6"/>
        </w:rPr>
        <w:t> </w:t>
      </w:r>
      <w:r>
        <w:rPr>
          <w:spacing w:val="-5"/>
        </w:rPr>
        <w:t>亿元可转换公司债券，债券每张面值为人民币</w:t>
      </w:r>
      <w:r>
        <w:rPr>
          <w:spacing w:val="-47"/>
        </w:rPr>
        <w:t> </w:t>
      </w:r>
      <w:r>
        <w:rPr>
          <w:rFonts w:ascii="Times New Roman" w:hAnsi="Times New Roman" w:cs="Times New Roman" w:eastAsia="Times New Roman" w:hint="default"/>
        </w:rPr>
        <w:t>100</w:t>
      </w:r>
      <w:r>
        <w:rPr>
          <w:rFonts w:ascii="Times New Roman" w:hAnsi="Times New Roman" w:cs="Times New Roman" w:eastAsia="Times New Roman" w:hint="default"/>
          <w:spacing w:val="3"/>
        </w:rPr>
        <w:t> </w:t>
      </w:r>
      <w:r>
        <w:rPr>
          <w:spacing w:val="-17"/>
        </w:rPr>
        <w:t>元，共计</w:t>
      </w:r>
      <w:r>
        <w:rPr>
          <w:spacing w:val="-49"/>
        </w:rPr>
        <w:t> </w:t>
      </w:r>
      <w:r>
        <w:rPr>
          <w:rFonts w:ascii="Times New Roman" w:hAnsi="Times New Roman" w:cs="Times New Roman" w:eastAsia="Times New Roman" w:hint="default"/>
        </w:rPr>
        <w:t>3,000</w:t>
      </w:r>
      <w:r>
        <w:rPr>
          <w:rFonts w:ascii="Times New Roman" w:hAnsi="Times New Roman" w:cs="Times New Roman" w:eastAsia="Times New Roman" w:hint="default"/>
          <w:spacing w:val="6"/>
        </w:rPr>
        <w:t> </w:t>
      </w:r>
      <w:r>
        <w:rPr/>
        <w:t>万张。</w:t>
      </w:r>
    </w:p>
    <w:p>
      <w:pPr>
        <w:pStyle w:val="BodyText"/>
        <w:spacing w:line="240" w:lineRule="auto" w:before="110"/>
        <w:ind w:left="930" w:right="0"/>
        <w:jc w:val="both"/>
      </w:pPr>
      <w:r>
        <w:rPr/>
        <w:t>截止</w:t>
      </w:r>
      <w:r>
        <w:rPr>
          <w:spacing w:val="-43"/>
        </w:rPr>
        <w:t> </w:t>
      </w:r>
      <w:r>
        <w:rPr>
          <w:rFonts w:ascii="Times New Roman" w:hAnsi="Times New Roman" w:cs="Times New Roman" w:eastAsia="Times New Roman" w:hint="default"/>
        </w:rPr>
        <w:t>2019</w:t>
      </w:r>
      <w:r>
        <w:rPr>
          <w:rFonts w:ascii="Times New Roman" w:hAnsi="Times New Roman" w:cs="Times New Roman" w:eastAsia="Times New Roman" w:hint="default"/>
          <w:spacing w:val="7"/>
        </w:rPr>
        <w:t> </w:t>
      </w:r>
      <w:r>
        <w:rPr/>
        <w:t>年</w:t>
      </w:r>
      <w:r>
        <w:rPr>
          <w:spacing w:val="-43"/>
        </w:rPr>
        <w:t> </w:t>
      </w:r>
      <w:r>
        <w:rPr>
          <w:rFonts w:ascii="Times New Roman" w:hAnsi="Times New Roman" w:cs="Times New Roman" w:eastAsia="Times New Roman" w:hint="default"/>
        </w:rPr>
        <w:t>12</w:t>
      </w:r>
      <w:r>
        <w:rPr>
          <w:rFonts w:ascii="Times New Roman" w:hAnsi="Times New Roman" w:cs="Times New Roman" w:eastAsia="Times New Roman" w:hint="default"/>
          <w:spacing w:val="7"/>
        </w:rPr>
        <w:t> </w:t>
      </w:r>
      <w:r>
        <w:rPr/>
        <w:t>月</w:t>
      </w:r>
      <w:r>
        <w:rPr>
          <w:spacing w:val="-43"/>
        </w:rPr>
        <w:t> </w:t>
      </w:r>
      <w:r>
        <w:rPr>
          <w:rFonts w:ascii="Times New Roman" w:hAnsi="Times New Roman" w:cs="Times New Roman" w:eastAsia="Times New Roman" w:hint="default"/>
        </w:rPr>
        <w:t>31</w:t>
      </w:r>
      <w:r>
        <w:rPr>
          <w:rFonts w:ascii="Times New Roman" w:hAnsi="Times New Roman" w:cs="Times New Roman" w:eastAsia="Times New Roman" w:hint="default"/>
          <w:spacing w:val="8"/>
        </w:rPr>
        <w:t> </w:t>
      </w:r>
      <w:r>
        <w:rPr/>
        <w:t>日，累计共有</w:t>
      </w:r>
      <w:r>
        <w:rPr>
          <w:spacing w:val="-43"/>
        </w:rPr>
        <w:t> </w:t>
      </w:r>
      <w:r>
        <w:rPr>
          <w:rFonts w:ascii="Times New Roman" w:hAnsi="Times New Roman" w:cs="Times New Roman" w:eastAsia="Times New Roman" w:hint="default"/>
        </w:rPr>
        <w:t>118,000</w:t>
      </w:r>
      <w:r>
        <w:rPr>
          <w:rFonts w:ascii="Times New Roman" w:hAnsi="Times New Roman" w:cs="Times New Roman" w:eastAsia="Times New Roman" w:hint="default"/>
          <w:spacing w:val="10"/>
        </w:rPr>
        <w:t> </w:t>
      </w:r>
      <w:r>
        <w:rPr/>
        <w:t>元可转换公司债券已转换成公司股票，累计</w:t>
      </w:r>
    </w:p>
    <w:p>
      <w:pPr>
        <w:pStyle w:val="BodyText"/>
        <w:spacing w:line="240" w:lineRule="auto" w:before="107"/>
        <w:ind w:left="930" w:right="0"/>
        <w:jc w:val="both"/>
      </w:pPr>
      <w:r>
        <w:rPr/>
        <w:t>转股数为</w:t>
      </w:r>
      <w:r>
        <w:rPr>
          <w:spacing w:val="-55"/>
        </w:rPr>
        <w:t> </w:t>
      </w:r>
      <w:r>
        <w:rPr>
          <w:rFonts w:ascii="Times New Roman" w:hAnsi="Times New Roman" w:cs="Times New Roman" w:eastAsia="Times New Roman" w:hint="default"/>
        </w:rPr>
        <w:t>13,441</w:t>
      </w:r>
      <w:r>
        <w:rPr>
          <w:rFonts w:ascii="Times New Roman" w:hAnsi="Times New Roman" w:cs="Times New Roman" w:eastAsia="Times New Roman" w:hint="default"/>
          <w:spacing w:val="-2"/>
        </w:rPr>
        <w:t> </w:t>
      </w:r>
      <w:r>
        <w:rPr/>
        <w:t>股，公司股本变更为</w:t>
      </w:r>
      <w:r>
        <w:rPr>
          <w:spacing w:val="-54"/>
        </w:rPr>
        <w:t> </w:t>
      </w:r>
      <w:r>
        <w:rPr>
          <w:rFonts w:ascii="Times New Roman" w:hAnsi="Times New Roman" w:cs="Times New Roman" w:eastAsia="Times New Roman" w:hint="default"/>
        </w:rPr>
        <w:t>1,757,670,860.00</w:t>
      </w:r>
      <w:r>
        <w:rPr>
          <w:rFonts w:ascii="Times New Roman" w:hAnsi="Times New Roman" w:cs="Times New Roman" w:eastAsia="Times New Roman" w:hint="default"/>
          <w:spacing w:val="-2"/>
        </w:rPr>
        <w:t> </w:t>
      </w:r>
      <w:r>
        <w:rPr>
          <w:spacing w:val="-3"/>
        </w:rPr>
        <w:t>元。</w:t>
      </w:r>
      <w:r>
        <w:rPr/>
      </w:r>
    </w:p>
    <w:p>
      <w:pPr>
        <w:pStyle w:val="BodyText"/>
        <w:spacing w:line="240" w:lineRule="auto" w:before="129"/>
        <w:ind w:left="930" w:right="0"/>
        <w:jc w:val="both"/>
      </w:pPr>
      <w:r>
        <w:rPr/>
        <w:t>本财务报表已经公司董事会于</w:t>
      </w:r>
      <w:r>
        <w:rPr>
          <w:spacing w:val="-52"/>
        </w:rPr>
        <w:t> </w:t>
      </w:r>
      <w:r>
        <w:rPr>
          <w:rFonts w:ascii="Times New Roman" w:hAnsi="Times New Roman" w:cs="Times New Roman" w:eastAsia="Times New Roman" w:hint="default"/>
        </w:rPr>
        <w:t>2020</w:t>
      </w:r>
      <w:r>
        <w:rPr>
          <w:rFonts w:ascii="Times New Roman" w:hAnsi="Times New Roman" w:cs="Times New Roman" w:eastAsia="Times New Roman" w:hint="default"/>
          <w:spacing w:val="-3"/>
        </w:rPr>
        <w:t> </w:t>
      </w:r>
      <w:r>
        <w:rPr/>
        <w:t>年</w:t>
      </w:r>
      <w:r>
        <w:rPr>
          <w:spacing w:val="-53"/>
        </w:rPr>
        <w:t> </w:t>
      </w:r>
      <w:r>
        <w:rPr>
          <w:rFonts w:ascii="Times New Roman" w:hAnsi="Times New Roman" w:cs="Times New Roman" w:eastAsia="Times New Roman" w:hint="default"/>
        </w:rPr>
        <w:t>4</w:t>
      </w:r>
      <w:r>
        <w:rPr>
          <w:rFonts w:ascii="Times New Roman" w:hAnsi="Times New Roman" w:cs="Times New Roman" w:eastAsia="Times New Roman" w:hint="default"/>
          <w:spacing w:val="-3"/>
        </w:rPr>
        <w:t> </w:t>
      </w:r>
      <w:r>
        <w:rPr/>
        <w:t>月</w:t>
      </w:r>
      <w:r>
        <w:rPr>
          <w:spacing w:val="-53"/>
        </w:rPr>
        <w:t> </w:t>
      </w:r>
      <w:r>
        <w:rPr>
          <w:rFonts w:ascii="Times New Roman" w:hAnsi="Times New Roman" w:cs="Times New Roman" w:eastAsia="Times New Roman" w:hint="default"/>
        </w:rPr>
        <w:t>23</w:t>
      </w:r>
      <w:r>
        <w:rPr>
          <w:rFonts w:ascii="Times New Roman" w:hAnsi="Times New Roman" w:cs="Times New Roman" w:eastAsia="Times New Roman" w:hint="default"/>
          <w:spacing w:val="-3"/>
        </w:rPr>
        <w:t> </w:t>
      </w:r>
      <w:r>
        <w:rPr/>
        <w:t>日批准报出。</w:t>
      </w:r>
    </w:p>
    <w:p>
      <w:pPr>
        <w:spacing w:line="240" w:lineRule="auto" w:before="0"/>
        <w:rPr>
          <w:rFonts w:ascii="宋体" w:hAnsi="宋体" w:cs="宋体" w:eastAsia="宋体" w:hint="default"/>
          <w:sz w:val="26"/>
          <w:szCs w:val="26"/>
        </w:rPr>
      </w:pPr>
    </w:p>
    <w:p>
      <w:pPr>
        <w:pStyle w:val="Heading3"/>
        <w:tabs>
          <w:tab w:pos="637" w:val="left" w:leader="none"/>
        </w:tabs>
        <w:spacing w:line="240" w:lineRule="auto" w:before="36"/>
        <w:ind w:left="216" w:right="0"/>
        <w:jc w:val="left"/>
        <w:rPr>
          <w:b w:val="0"/>
          <w:bCs w:val="0"/>
        </w:rPr>
      </w:pPr>
      <w:r>
        <w:rPr>
          <w:rFonts w:ascii="宋体" w:hAnsi="宋体" w:cs="宋体" w:eastAsia="宋体" w:hint="default"/>
          <w:w w:val="95"/>
        </w:rPr>
        <w:t>2.</w:t>
        <w:tab/>
      </w:r>
      <w:r>
        <w:rPr/>
        <w:t>合并财务报表范围</w:t>
      </w:r>
      <w:r>
        <w:rPr>
          <w:b w:val="0"/>
          <w:bCs w:val="0"/>
        </w:rPr>
      </w:r>
    </w:p>
    <w:p>
      <w:pPr>
        <w:pStyle w:val="BodyText"/>
        <w:spacing w:line="240" w:lineRule="auto" w:before="97"/>
        <w:ind w:left="216"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142"/>
        <w:ind w:left="930" w:right="0"/>
        <w:jc w:val="left"/>
      </w:pPr>
      <w:r>
        <w:rPr/>
        <w:t>截至</w:t>
      </w:r>
      <w:r>
        <w:rPr>
          <w:spacing w:val="-54"/>
        </w:rPr>
        <w:t> </w:t>
      </w:r>
      <w:r>
        <w:rPr>
          <w:rFonts w:ascii="Times New Roman" w:hAnsi="Times New Roman" w:cs="Times New Roman" w:eastAsia="Times New Roman" w:hint="default"/>
        </w:rPr>
        <w:t>2019</w:t>
      </w:r>
      <w:r>
        <w:rPr>
          <w:rFonts w:ascii="Times New Roman" w:hAnsi="Times New Roman" w:cs="Times New Roman" w:eastAsia="Times New Roman" w:hint="default"/>
          <w:spacing w:val="-4"/>
        </w:rPr>
        <w:t>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月</w:t>
      </w:r>
      <w:r>
        <w:rPr>
          <w:spacing w:val="-54"/>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日止，本公司合并财务报表范围内子公司如下：</w:t>
      </w:r>
    </w:p>
    <w:p>
      <w:pPr>
        <w:spacing w:after="0" w:line="240" w:lineRule="auto"/>
        <w:jc w:val="left"/>
        <w:sectPr>
          <w:pgSz w:w="11910" w:h="16840"/>
          <w:pgMar w:header="748" w:footer="974" w:top="1140" w:bottom="1160" w:left="1060" w:right="166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20"/>
          <w:szCs w:val="20"/>
        </w:rPr>
      </w:pPr>
    </w:p>
    <w:tbl>
      <w:tblPr>
        <w:tblW w:w="0" w:type="auto"/>
        <w:jc w:val="left"/>
        <w:tblInd w:w="824" w:type="dxa"/>
        <w:tblLayout w:type="fixed"/>
        <w:tblCellMar>
          <w:top w:w="0" w:type="dxa"/>
          <w:left w:w="0" w:type="dxa"/>
          <w:bottom w:w="0" w:type="dxa"/>
          <w:right w:w="0" w:type="dxa"/>
        </w:tblCellMar>
        <w:tblLook w:val="01E0"/>
      </w:tblPr>
      <w:tblGrid>
        <w:gridCol w:w="7813"/>
      </w:tblGrid>
      <w:tr>
        <w:trPr>
          <w:trHeight w:val="420" w:hRule="exact"/>
        </w:trPr>
        <w:tc>
          <w:tcPr>
            <w:tcW w:w="7813" w:type="dxa"/>
            <w:tcBorders>
              <w:top w:val="single" w:sz="12" w:space="0" w:color="000000"/>
              <w:left w:val="nil" w:sz="6" w:space="0" w:color="auto"/>
              <w:bottom w:val="single" w:sz="4" w:space="0" w:color="000000"/>
              <w:right w:val="nil" w:sz="6" w:space="0" w:color="auto"/>
            </w:tcBorders>
          </w:tcPr>
          <w:p>
            <w:pPr>
              <w:pStyle w:val="TableParagraph"/>
              <w:spacing w:line="240" w:lineRule="auto" w:before="109"/>
              <w:ind w:left="-1" w:right="3"/>
              <w:jc w:val="center"/>
              <w:rPr>
                <w:rFonts w:ascii="宋体" w:hAnsi="宋体" w:cs="宋体" w:eastAsia="宋体" w:hint="default"/>
                <w:sz w:val="18"/>
                <w:szCs w:val="18"/>
              </w:rPr>
            </w:pPr>
            <w:r>
              <w:rPr>
                <w:rFonts w:ascii="宋体" w:hAnsi="宋体" w:cs="宋体" w:eastAsia="宋体" w:hint="default"/>
                <w:sz w:val="18"/>
                <w:szCs w:val="18"/>
              </w:rPr>
              <w:t>子公司名称</w:t>
            </w:r>
          </w:p>
        </w:tc>
      </w:tr>
      <w:tr>
        <w:trPr>
          <w:trHeight w:val="322" w:hRule="exact"/>
        </w:trPr>
        <w:tc>
          <w:tcPr>
            <w:tcW w:w="7813" w:type="dxa"/>
            <w:tcBorders>
              <w:top w:val="single" w:sz="4" w:space="0" w:color="000000"/>
              <w:left w:val="nil" w:sz="6" w:space="0" w:color="auto"/>
              <w:bottom w:val="single" w:sz="4" w:space="0" w:color="000000"/>
              <w:right w:val="nil" w:sz="6" w:space="0" w:color="auto"/>
            </w:tcBorders>
          </w:tcPr>
          <w:p>
            <w:pPr>
              <w:pStyle w:val="TableParagraph"/>
              <w:spacing w:line="262" w:lineRule="exact"/>
              <w:ind w:left="105" w:right="0"/>
              <w:jc w:val="left"/>
              <w:rPr>
                <w:rFonts w:ascii="宋体" w:hAnsi="宋体" w:cs="宋体" w:eastAsia="宋体" w:hint="default"/>
                <w:sz w:val="21"/>
                <w:szCs w:val="21"/>
              </w:rPr>
            </w:pPr>
            <w:r>
              <w:rPr>
                <w:rFonts w:ascii="宋体"/>
                <w:sz w:val="21"/>
              </w:rPr>
              <w:t>UABELGAMAELEKTRONIKA </w:t>
            </w:r>
          </w:p>
        </w:tc>
      </w:tr>
      <w:tr>
        <w:trPr>
          <w:trHeight w:val="322" w:hRule="exact"/>
        </w:trPr>
        <w:tc>
          <w:tcPr>
            <w:tcW w:w="7813" w:type="dxa"/>
            <w:tcBorders>
              <w:top w:val="single" w:sz="4" w:space="0" w:color="000000"/>
              <w:left w:val="nil" w:sz="6" w:space="0" w:color="auto"/>
              <w:bottom w:val="single" w:sz="4" w:space="0" w:color="000000"/>
              <w:right w:val="nil" w:sz="6" w:space="0" w:color="auto"/>
            </w:tcBorders>
          </w:tcPr>
          <w:p>
            <w:pPr>
              <w:pStyle w:val="TableParagraph"/>
              <w:spacing w:line="262" w:lineRule="exact"/>
              <w:ind w:left="105" w:right="0"/>
              <w:jc w:val="left"/>
              <w:rPr>
                <w:rFonts w:ascii="宋体" w:hAnsi="宋体" w:cs="宋体" w:eastAsia="宋体" w:hint="default"/>
                <w:sz w:val="21"/>
                <w:szCs w:val="21"/>
              </w:rPr>
            </w:pPr>
            <w:r>
              <w:rPr>
                <w:rFonts w:ascii="宋体" w:hAnsi="宋体" w:cs="宋体" w:eastAsia="宋体" w:hint="default"/>
                <w:sz w:val="21"/>
                <w:szCs w:val="21"/>
              </w:rPr>
              <w:t>安徽永安电子科技有限公司</w:t>
            </w:r>
            <w:r>
              <w:rPr>
                <w:rFonts w:ascii="宋体" w:hAnsi="宋体" w:cs="宋体" w:eastAsia="宋体" w:hint="default"/>
                <w:sz w:val="21"/>
                <w:szCs w:val="21"/>
              </w:rPr>
              <w:t> </w:t>
            </w:r>
          </w:p>
        </w:tc>
      </w:tr>
      <w:tr>
        <w:trPr>
          <w:trHeight w:val="322" w:hRule="exact"/>
        </w:trPr>
        <w:tc>
          <w:tcPr>
            <w:tcW w:w="7813" w:type="dxa"/>
            <w:tcBorders>
              <w:top w:val="single" w:sz="4" w:space="0" w:color="000000"/>
              <w:left w:val="nil" w:sz="6" w:space="0" w:color="auto"/>
              <w:bottom w:val="single" w:sz="4" w:space="0" w:color="000000"/>
              <w:right w:val="nil" w:sz="6" w:space="0" w:color="auto"/>
            </w:tcBorders>
          </w:tcPr>
          <w:p>
            <w:pPr>
              <w:pStyle w:val="TableParagraph"/>
              <w:spacing w:line="262" w:lineRule="exact"/>
              <w:ind w:left="105" w:right="0"/>
              <w:jc w:val="left"/>
              <w:rPr>
                <w:rFonts w:ascii="宋体" w:hAnsi="宋体" w:cs="宋体" w:eastAsia="宋体" w:hint="default"/>
                <w:sz w:val="21"/>
                <w:szCs w:val="21"/>
              </w:rPr>
            </w:pPr>
            <w:r>
              <w:rPr>
                <w:rFonts w:ascii="宋体" w:hAnsi="宋体" w:cs="宋体" w:eastAsia="宋体" w:hint="default"/>
                <w:sz w:val="21"/>
                <w:szCs w:val="21"/>
              </w:rPr>
              <w:t>江苏林洋电力服务有限公司</w:t>
            </w:r>
            <w:r>
              <w:rPr>
                <w:rFonts w:ascii="宋体" w:hAnsi="宋体" w:cs="宋体" w:eastAsia="宋体" w:hint="default"/>
                <w:sz w:val="21"/>
                <w:szCs w:val="21"/>
              </w:rPr>
              <w:t> </w:t>
            </w:r>
          </w:p>
        </w:tc>
      </w:tr>
      <w:tr>
        <w:trPr>
          <w:trHeight w:val="322" w:hRule="exact"/>
        </w:trPr>
        <w:tc>
          <w:tcPr>
            <w:tcW w:w="7813" w:type="dxa"/>
            <w:tcBorders>
              <w:top w:val="single" w:sz="4" w:space="0" w:color="000000"/>
              <w:left w:val="nil" w:sz="6" w:space="0" w:color="auto"/>
              <w:bottom w:val="single" w:sz="4" w:space="0" w:color="000000"/>
              <w:right w:val="nil" w:sz="6" w:space="0" w:color="auto"/>
            </w:tcBorders>
          </w:tcPr>
          <w:p>
            <w:pPr>
              <w:pStyle w:val="TableParagraph"/>
              <w:spacing w:line="262" w:lineRule="exact"/>
              <w:ind w:left="105" w:right="0"/>
              <w:jc w:val="left"/>
              <w:rPr>
                <w:rFonts w:ascii="宋体" w:hAnsi="宋体" w:cs="宋体" w:eastAsia="宋体" w:hint="default"/>
                <w:sz w:val="21"/>
                <w:szCs w:val="21"/>
              </w:rPr>
            </w:pPr>
            <w:r>
              <w:rPr>
                <w:rFonts w:ascii="宋体" w:hAnsi="宋体" w:cs="宋体" w:eastAsia="宋体" w:hint="default"/>
                <w:sz w:val="21"/>
                <w:szCs w:val="21"/>
              </w:rPr>
              <w:t>江苏林洋微网科技有限公司</w:t>
            </w:r>
            <w:r>
              <w:rPr>
                <w:rFonts w:ascii="宋体" w:hAnsi="宋体" w:cs="宋体" w:eastAsia="宋体" w:hint="default"/>
                <w:sz w:val="21"/>
                <w:szCs w:val="21"/>
              </w:rPr>
              <w:t> </w:t>
            </w:r>
          </w:p>
        </w:tc>
      </w:tr>
      <w:tr>
        <w:trPr>
          <w:trHeight w:val="324" w:hRule="exact"/>
        </w:trPr>
        <w:tc>
          <w:tcPr>
            <w:tcW w:w="7813" w:type="dxa"/>
            <w:tcBorders>
              <w:top w:val="single" w:sz="4" w:space="0" w:color="000000"/>
              <w:left w:val="nil" w:sz="6" w:space="0" w:color="auto"/>
              <w:bottom w:val="single" w:sz="4" w:space="0" w:color="000000"/>
              <w:right w:val="nil" w:sz="6" w:space="0" w:color="auto"/>
            </w:tcBorders>
          </w:tcPr>
          <w:p>
            <w:pPr>
              <w:pStyle w:val="TableParagraph"/>
              <w:spacing w:line="265" w:lineRule="exact"/>
              <w:ind w:left="105" w:right="0"/>
              <w:jc w:val="left"/>
              <w:rPr>
                <w:rFonts w:ascii="宋体" w:hAnsi="宋体" w:cs="宋体" w:eastAsia="宋体" w:hint="default"/>
                <w:sz w:val="21"/>
                <w:szCs w:val="21"/>
              </w:rPr>
            </w:pPr>
            <w:r>
              <w:rPr>
                <w:rFonts w:ascii="宋体" w:hAnsi="宋体" w:cs="宋体" w:eastAsia="宋体" w:hint="default"/>
                <w:sz w:val="21"/>
                <w:szCs w:val="21"/>
              </w:rPr>
              <w:t>林洋能源科技（上海）有限公司</w:t>
            </w:r>
            <w:r>
              <w:rPr>
                <w:rFonts w:ascii="宋体" w:hAnsi="宋体" w:cs="宋体" w:eastAsia="宋体" w:hint="default"/>
                <w:sz w:val="21"/>
                <w:szCs w:val="21"/>
              </w:rPr>
              <w:t> </w:t>
            </w:r>
          </w:p>
        </w:tc>
      </w:tr>
      <w:tr>
        <w:trPr>
          <w:trHeight w:val="322" w:hRule="exact"/>
        </w:trPr>
        <w:tc>
          <w:tcPr>
            <w:tcW w:w="7813" w:type="dxa"/>
            <w:tcBorders>
              <w:top w:val="single" w:sz="4" w:space="0" w:color="000000"/>
              <w:left w:val="nil" w:sz="6" w:space="0" w:color="auto"/>
              <w:bottom w:val="single" w:sz="4" w:space="0" w:color="000000"/>
              <w:right w:val="nil" w:sz="6" w:space="0" w:color="auto"/>
            </w:tcBorders>
          </w:tcPr>
          <w:p>
            <w:pPr>
              <w:pStyle w:val="TableParagraph"/>
              <w:spacing w:line="262" w:lineRule="exact"/>
              <w:ind w:left="105" w:right="0"/>
              <w:jc w:val="left"/>
              <w:rPr>
                <w:rFonts w:ascii="宋体" w:hAnsi="宋体" w:cs="宋体" w:eastAsia="宋体" w:hint="default"/>
                <w:sz w:val="21"/>
                <w:szCs w:val="21"/>
              </w:rPr>
            </w:pPr>
            <w:r>
              <w:rPr>
                <w:rFonts w:ascii="宋体" w:hAnsi="宋体" w:cs="宋体" w:eastAsia="宋体" w:hint="default"/>
                <w:sz w:val="21"/>
                <w:szCs w:val="21"/>
              </w:rPr>
              <w:t>南京林洋电力科技有限公司</w:t>
            </w:r>
            <w:r>
              <w:rPr>
                <w:rFonts w:ascii="宋体" w:hAnsi="宋体" w:cs="宋体" w:eastAsia="宋体" w:hint="default"/>
                <w:sz w:val="21"/>
                <w:szCs w:val="21"/>
              </w:rPr>
              <w:t> </w:t>
            </w:r>
          </w:p>
        </w:tc>
      </w:tr>
      <w:tr>
        <w:trPr>
          <w:trHeight w:val="322" w:hRule="exact"/>
        </w:trPr>
        <w:tc>
          <w:tcPr>
            <w:tcW w:w="7813" w:type="dxa"/>
            <w:tcBorders>
              <w:top w:val="single" w:sz="4" w:space="0" w:color="000000"/>
              <w:left w:val="nil" w:sz="6" w:space="0" w:color="auto"/>
              <w:bottom w:val="single" w:sz="4" w:space="0" w:color="000000"/>
              <w:right w:val="nil" w:sz="6" w:space="0" w:color="auto"/>
            </w:tcBorders>
          </w:tcPr>
          <w:p>
            <w:pPr>
              <w:pStyle w:val="TableParagraph"/>
              <w:spacing w:line="262" w:lineRule="exact"/>
              <w:ind w:left="105" w:right="0"/>
              <w:jc w:val="left"/>
              <w:rPr>
                <w:rFonts w:ascii="宋体" w:hAnsi="宋体" w:cs="宋体" w:eastAsia="宋体" w:hint="default"/>
                <w:sz w:val="21"/>
                <w:szCs w:val="21"/>
              </w:rPr>
            </w:pPr>
            <w:r>
              <w:rPr>
                <w:rFonts w:ascii="宋体" w:hAnsi="宋体" w:cs="宋体" w:eastAsia="宋体" w:hint="default"/>
                <w:sz w:val="21"/>
                <w:szCs w:val="21"/>
              </w:rPr>
              <w:t>安徽林洋能效管理有限公司</w:t>
            </w:r>
            <w:r>
              <w:rPr>
                <w:rFonts w:ascii="宋体" w:hAnsi="宋体" w:cs="宋体" w:eastAsia="宋体" w:hint="default"/>
                <w:sz w:val="21"/>
                <w:szCs w:val="21"/>
              </w:rPr>
              <w:t> </w:t>
            </w:r>
          </w:p>
        </w:tc>
      </w:tr>
      <w:tr>
        <w:trPr>
          <w:trHeight w:val="322" w:hRule="exact"/>
        </w:trPr>
        <w:tc>
          <w:tcPr>
            <w:tcW w:w="7813" w:type="dxa"/>
            <w:tcBorders>
              <w:top w:val="single" w:sz="4" w:space="0" w:color="000000"/>
              <w:left w:val="nil" w:sz="6" w:space="0" w:color="auto"/>
              <w:bottom w:val="single" w:sz="4" w:space="0" w:color="000000"/>
              <w:right w:val="nil" w:sz="6" w:space="0" w:color="auto"/>
            </w:tcBorders>
          </w:tcPr>
          <w:p>
            <w:pPr>
              <w:pStyle w:val="TableParagraph"/>
              <w:spacing w:line="262" w:lineRule="exact"/>
              <w:ind w:left="105" w:right="0"/>
              <w:jc w:val="left"/>
              <w:rPr>
                <w:rFonts w:ascii="宋体" w:hAnsi="宋体" w:cs="宋体" w:eastAsia="宋体" w:hint="default"/>
                <w:sz w:val="21"/>
                <w:szCs w:val="21"/>
              </w:rPr>
            </w:pPr>
            <w:r>
              <w:rPr>
                <w:rFonts w:ascii="宋体" w:hAnsi="宋体" w:cs="宋体" w:eastAsia="宋体" w:hint="default"/>
                <w:sz w:val="21"/>
                <w:szCs w:val="21"/>
              </w:rPr>
              <w:t>武汉奥统电气有限公司</w:t>
            </w:r>
            <w:r>
              <w:rPr>
                <w:rFonts w:ascii="宋体" w:hAnsi="宋体" w:cs="宋体" w:eastAsia="宋体" w:hint="default"/>
                <w:sz w:val="21"/>
                <w:szCs w:val="21"/>
              </w:rPr>
              <w:t> </w:t>
            </w:r>
          </w:p>
        </w:tc>
      </w:tr>
      <w:tr>
        <w:trPr>
          <w:trHeight w:val="322" w:hRule="exact"/>
        </w:trPr>
        <w:tc>
          <w:tcPr>
            <w:tcW w:w="7813" w:type="dxa"/>
            <w:tcBorders>
              <w:top w:val="single" w:sz="4" w:space="0" w:color="000000"/>
              <w:left w:val="nil" w:sz="6" w:space="0" w:color="auto"/>
              <w:bottom w:val="single" w:sz="4" w:space="0" w:color="000000"/>
              <w:right w:val="nil" w:sz="6" w:space="0" w:color="auto"/>
            </w:tcBorders>
          </w:tcPr>
          <w:p>
            <w:pPr>
              <w:pStyle w:val="TableParagraph"/>
              <w:spacing w:line="262" w:lineRule="exact"/>
              <w:ind w:left="105" w:right="0"/>
              <w:jc w:val="left"/>
              <w:rPr>
                <w:rFonts w:ascii="宋体" w:hAnsi="宋体" w:cs="宋体" w:eastAsia="宋体" w:hint="default"/>
                <w:sz w:val="21"/>
                <w:szCs w:val="21"/>
              </w:rPr>
            </w:pPr>
            <w:r>
              <w:rPr>
                <w:rFonts w:ascii="宋体" w:hAnsi="宋体" w:cs="宋体" w:eastAsia="宋体" w:hint="default"/>
                <w:sz w:val="21"/>
                <w:szCs w:val="21"/>
              </w:rPr>
              <w:t>江苏林洋照明科技有限公司</w:t>
            </w:r>
            <w:r>
              <w:rPr>
                <w:rFonts w:ascii="宋体" w:hAnsi="宋体" w:cs="宋体" w:eastAsia="宋体" w:hint="default"/>
                <w:sz w:val="21"/>
                <w:szCs w:val="21"/>
              </w:rPr>
              <w:t> </w:t>
            </w:r>
          </w:p>
        </w:tc>
      </w:tr>
      <w:tr>
        <w:trPr>
          <w:trHeight w:val="322" w:hRule="exact"/>
        </w:trPr>
        <w:tc>
          <w:tcPr>
            <w:tcW w:w="7813" w:type="dxa"/>
            <w:tcBorders>
              <w:top w:val="single" w:sz="4" w:space="0" w:color="000000"/>
              <w:left w:val="nil" w:sz="6" w:space="0" w:color="auto"/>
              <w:bottom w:val="single" w:sz="4" w:space="0" w:color="000000"/>
              <w:right w:val="nil" w:sz="6" w:space="0" w:color="auto"/>
            </w:tcBorders>
          </w:tcPr>
          <w:p>
            <w:pPr>
              <w:pStyle w:val="TableParagraph"/>
              <w:spacing w:line="263" w:lineRule="exact"/>
              <w:ind w:left="105" w:right="0"/>
              <w:jc w:val="left"/>
              <w:rPr>
                <w:rFonts w:ascii="宋体" w:hAnsi="宋体" w:cs="宋体" w:eastAsia="宋体" w:hint="default"/>
                <w:sz w:val="21"/>
                <w:szCs w:val="21"/>
              </w:rPr>
            </w:pPr>
            <w:r>
              <w:rPr>
                <w:rFonts w:ascii="宋体" w:hAnsi="宋体" w:cs="宋体" w:eastAsia="宋体" w:hint="default"/>
                <w:sz w:val="21"/>
                <w:szCs w:val="21"/>
              </w:rPr>
              <w:t>宿迁林洋光电有限公司</w:t>
            </w:r>
            <w:r>
              <w:rPr>
                <w:rFonts w:ascii="宋体" w:hAnsi="宋体" w:cs="宋体" w:eastAsia="宋体" w:hint="default"/>
                <w:sz w:val="21"/>
                <w:szCs w:val="21"/>
              </w:rPr>
              <w:t> </w:t>
            </w:r>
          </w:p>
        </w:tc>
      </w:tr>
      <w:tr>
        <w:trPr>
          <w:trHeight w:val="324" w:hRule="exact"/>
        </w:trPr>
        <w:tc>
          <w:tcPr>
            <w:tcW w:w="7813" w:type="dxa"/>
            <w:tcBorders>
              <w:top w:val="single" w:sz="4" w:space="0" w:color="000000"/>
              <w:left w:val="nil" w:sz="6" w:space="0" w:color="auto"/>
              <w:bottom w:val="single" w:sz="4" w:space="0" w:color="000000"/>
              <w:right w:val="nil" w:sz="6" w:space="0" w:color="auto"/>
            </w:tcBorders>
          </w:tcPr>
          <w:p>
            <w:pPr>
              <w:pStyle w:val="TableParagraph"/>
              <w:spacing w:line="265" w:lineRule="exact"/>
              <w:ind w:left="105" w:right="0"/>
              <w:jc w:val="left"/>
              <w:rPr>
                <w:rFonts w:ascii="宋体" w:hAnsi="宋体" w:cs="宋体" w:eastAsia="宋体" w:hint="default"/>
                <w:sz w:val="21"/>
                <w:szCs w:val="21"/>
              </w:rPr>
            </w:pPr>
            <w:r>
              <w:rPr>
                <w:rFonts w:ascii="宋体" w:hAnsi="宋体" w:cs="宋体" w:eastAsia="宋体" w:hint="default"/>
                <w:sz w:val="21"/>
                <w:szCs w:val="21"/>
              </w:rPr>
              <w:t>林洋新能源澳洲有限公司</w:t>
            </w:r>
            <w:r>
              <w:rPr>
                <w:rFonts w:ascii="宋体" w:hAnsi="宋体" w:cs="宋体" w:eastAsia="宋体" w:hint="default"/>
                <w:sz w:val="21"/>
                <w:szCs w:val="21"/>
              </w:rPr>
              <w:t> </w:t>
            </w:r>
          </w:p>
        </w:tc>
      </w:tr>
      <w:tr>
        <w:trPr>
          <w:trHeight w:val="322" w:hRule="exact"/>
        </w:trPr>
        <w:tc>
          <w:tcPr>
            <w:tcW w:w="7813" w:type="dxa"/>
            <w:tcBorders>
              <w:top w:val="single" w:sz="4" w:space="0" w:color="000000"/>
              <w:left w:val="nil" w:sz="6" w:space="0" w:color="auto"/>
              <w:bottom w:val="single" w:sz="4" w:space="0" w:color="000000"/>
              <w:right w:val="nil" w:sz="6" w:space="0" w:color="auto"/>
            </w:tcBorders>
          </w:tcPr>
          <w:p>
            <w:pPr>
              <w:pStyle w:val="TableParagraph"/>
              <w:spacing w:line="262" w:lineRule="exact"/>
              <w:ind w:left="105" w:right="0"/>
              <w:jc w:val="left"/>
              <w:rPr>
                <w:rFonts w:ascii="宋体" w:hAnsi="宋体" w:cs="宋体" w:eastAsia="宋体" w:hint="default"/>
                <w:sz w:val="21"/>
                <w:szCs w:val="21"/>
              </w:rPr>
            </w:pPr>
            <w:r>
              <w:rPr>
                <w:rFonts w:ascii="宋体" w:hAnsi="宋体" w:cs="宋体" w:eastAsia="宋体" w:hint="default"/>
                <w:sz w:val="21"/>
                <w:szCs w:val="21"/>
              </w:rPr>
              <w:t>新加坡林洋能源科技有限公司</w:t>
            </w:r>
            <w:r>
              <w:rPr>
                <w:rFonts w:ascii="宋体" w:hAnsi="宋体" w:cs="宋体" w:eastAsia="宋体" w:hint="default"/>
                <w:sz w:val="21"/>
                <w:szCs w:val="21"/>
              </w:rPr>
              <w:t> </w:t>
            </w:r>
          </w:p>
        </w:tc>
      </w:tr>
      <w:tr>
        <w:trPr>
          <w:trHeight w:val="322" w:hRule="exact"/>
        </w:trPr>
        <w:tc>
          <w:tcPr>
            <w:tcW w:w="7813" w:type="dxa"/>
            <w:tcBorders>
              <w:top w:val="single" w:sz="4" w:space="0" w:color="000000"/>
              <w:left w:val="nil" w:sz="6" w:space="0" w:color="auto"/>
              <w:bottom w:val="single" w:sz="4" w:space="0" w:color="000000"/>
              <w:right w:val="nil" w:sz="6" w:space="0" w:color="auto"/>
            </w:tcBorders>
          </w:tcPr>
          <w:p>
            <w:pPr>
              <w:pStyle w:val="TableParagraph"/>
              <w:spacing w:line="262" w:lineRule="exact"/>
              <w:ind w:left="105" w:right="0"/>
              <w:jc w:val="left"/>
              <w:rPr>
                <w:rFonts w:ascii="宋体" w:hAnsi="宋体" w:cs="宋体" w:eastAsia="宋体" w:hint="default"/>
                <w:sz w:val="21"/>
                <w:szCs w:val="21"/>
              </w:rPr>
            </w:pPr>
            <w:r>
              <w:rPr>
                <w:rFonts w:ascii="宋体" w:hAnsi="宋体" w:cs="宋体" w:eastAsia="宋体" w:hint="default"/>
                <w:sz w:val="21"/>
                <w:szCs w:val="21"/>
              </w:rPr>
              <w:t>林洋国际有限公司</w:t>
            </w:r>
            <w:r>
              <w:rPr>
                <w:rFonts w:ascii="宋体" w:hAnsi="宋体" w:cs="宋体" w:eastAsia="宋体" w:hint="default"/>
                <w:sz w:val="21"/>
                <w:szCs w:val="21"/>
              </w:rPr>
              <w:t> </w:t>
            </w:r>
          </w:p>
        </w:tc>
      </w:tr>
      <w:tr>
        <w:trPr>
          <w:trHeight w:val="322" w:hRule="exact"/>
        </w:trPr>
        <w:tc>
          <w:tcPr>
            <w:tcW w:w="7813" w:type="dxa"/>
            <w:tcBorders>
              <w:top w:val="single" w:sz="4" w:space="0" w:color="000000"/>
              <w:left w:val="nil" w:sz="6" w:space="0" w:color="auto"/>
              <w:bottom w:val="single" w:sz="4" w:space="0" w:color="000000"/>
              <w:right w:val="nil" w:sz="6" w:space="0" w:color="auto"/>
            </w:tcBorders>
          </w:tcPr>
          <w:p>
            <w:pPr>
              <w:pStyle w:val="TableParagraph"/>
              <w:spacing w:line="262" w:lineRule="exact"/>
              <w:ind w:left="105" w:right="0"/>
              <w:jc w:val="left"/>
              <w:rPr>
                <w:rFonts w:ascii="宋体" w:hAnsi="宋体" w:cs="宋体" w:eastAsia="宋体" w:hint="default"/>
                <w:sz w:val="21"/>
                <w:szCs w:val="21"/>
              </w:rPr>
            </w:pPr>
            <w:r>
              <w:rPr>
                <w:rFonts w:ascii="宋体" w:hAnsi="宋体"/>
                <w:sz w:val="21"/>
              </w:rPr>
              <w:t>LINYANG ENERGY EUROPE </w:t>
            </w:r>
            <w:r>
              <w:rPr>
                <w:rFonts w:ascii="宋体" w:hAnsi="宋体"/>
                <w:sz w:val="21"/>
              </w:rPr>
              <w:t>S.à</w:t>
            </w:r>
            <w:r>
              <w:rPr>
                <w:rFonts w:ascii="宋体" w:hAnsi="宋体"/>
                <w:spacing w:val="-8"/>
                <w:sz w:val="21"/>
              </w:rPr>
              <w:t> </w:t>
            </w:r>
            <w:r>
              <w:rPr>
                <w:rFonts w:ascii="宋体" w:hAnsi="宋体"/>
                <w:spacing w:val="-8"/>
                <w:sz w:val="21"/>
              </w:rPr>
            </w:r>
            <w:r>
              <w:rPr>
                <w:rFonts w:ascii="宋体" w:hAnsi="宋体"/>
                <w:sz w:val="21"/>
              </w:rPr>
              <w:t>r.l. </w:t>
            </w:r>
          </w:p>
        </w:tc>
      </w:tr>
      <w:tr>
        <w:trPr>
          <w:trHeight w:val="322" w:hRule="exact"/>
        </w:trPr>
        <w:tc>
          <w:tcPr>
            <w:tcW w:w="7813" w:type="dxa"/>
            <w:tcBorders>
              <w:top w:val="single" w:sz="4" w:space="0" w:color="000000"/>
              <w:left w:val="nil" w:sz="6" w:space="0" w:color="auto"/>
              <w:bottom w:val="single" w:sz="4" w:space="0" w:color="000000"/>
              <w:right w:val="nil" w:sz="6" w:space="0" w:color="auto"/>
            </w:tcBorders>
          </w:tcPr>
          <w:p>
            <w:pPr>
              <w:pStyle w:val="TableParagraph"/>
              <w:spacing w:line="262" w:lineRule="exact"/>
              <w:ind w:left="105" w:right="0"/>
              <w:jc w:val="left"/>
              <w:rPr>
                <w:rFonts w:ascii="宋体" w:hAnsi="宋体" w:cs="宋体" w:eastAsia="宋体" w:hint="default"/>
                <w:sz w:val="21"/>
                <w:szCs w:val="21"/>
              </w:rPr>
            </w:pPr>
            <w:r>
              <w:rPr>
                <w:rFonts w:ascii="宋体" w:hAnsi="宋体" w:cs="宋体" w:eastAsia="宋体" w:hint="default"/>
                <w:sz w:val="21"/>
                <w:szCs w:val="21"/>
              </w:rPr>
              <w:t>南京华虹融资租赁有限公司</w:t>
            </w:r>
            <w:r>
              <w:rPr>
                <w:rFonts w:ascii="宋体" w:hAnsi="宋体" w:cs="宋体" w:eastAsia="宋体" w:hint="default"/>
                <w:sz w:val="21"/>
                <w:szCs w:val="21"/>
              </w:rPr>
              <w:t> </w:t>
            </w:r>
          </w:p>
        </w:tc>
      </w:tr>
      <w:tr>
        <w:trPr>
          <w:trHeight w:val="322" w:hRule="exact"/>
        </w:trPr>
        <w:tc>
          <w:tcPr>
            <w:tcW w:w="7813" w:type="dxa"/>
            <w:tcBorders>
              <w:top w:val="single" w:sz="4" w:space="0" w:color="000000"/>
              <w:left w:val="nil" w:sz="6" w:space="0" w:color="auto"/>
              <w:bottom w:val="single" w:sz="4" w:space="0" w:color="000000"/>
              <w:right w:val="nil" w:sz="6" w:space="0" w:color="auto"/>
            </w:tcBorders>
          </w:tcPr>
          <w:p>
            <w:pPr>
              <w:pStyle w:val="TableParagraph"/>
              <w:spacing w:line="262" w:lineRule="exact"/>
              <w:ind w:left="105" w:right="0"/>
              <w:jc w:val="left"/>
              <w:rPr>
                <w:rFonts w:ascii="宋体" w:hAnsi="宋体" w:cs="宋体" w:eastAsia="宋体" w:hint="default"/>
                <w:sz w:val="21"/>
                <w:szCs w:val="21"/>
              </w:rPr>
            </w:pPr>
            <w:r>
              <w:rPr>
                <w:rFonts w:ascii="宋体" w:hAnsi="宋体" w:cs="宋体" w:eastAsia="宋体" w:hint="default"/>
                <w:sz w:val="21"/>
                <w:szCs w:val="21"/>
              </w:rPr>
              <w:t>江苏林洋光伏科技有限公司</w:t>
            </w:r>
            <w:r>
              <w:rPr>
                <w:rFonts w:ascii="宋体" w:hAnsi="宋体" w:cs="宋体" w:eastAsia="宋体" w:hint="default"/>
                <w:sz w:val="21"/>
                <w:szCs w:val="21"/>
              </w:rPr>
              <w:t> </w:t>
            </w:r>
          </w:p>
        </w:tc>
      </w:tr>
      <w:tr>
        <w:trPr>
          <w:trHeight w:val="324" w:hRule="exact"/>
        </w:trPr>
        <w:tc>
          <w:tcPr>
            <w:tcW w:w="7813" w:type="dxa"/>
            <w:tcBorders>
              <w:top w:val="single" w:sz="4" w:space="0" w:color="000000"/>
              <w:left w:val="nil" w:sz="6" w:space="0" w:color="auto"/>
              <w:bottom w:val="single" w:sz="4" w:space="0" w:color="000000"/>
              <w:right w:val="nil" w:sz="6" w:space="0" w:color="auto"/>
            </w:tcBorders>
          </w:tcPr>
          <w:p>
            <w:pPr>
              <w:pStyle w:val="TableParagraph"/>
              <w:spacing w:line="265" w:lineRule="exact"/>
              <w:ind w:left="105" w:right="0"/>
              <w:jc w:val="left"/>
              <w:rPr>
                <w:rFonts w:ascii="宋体" w:hAnsi="宋体" w:cs="宋体" w:eastAsia="宋体" w:hint="default"/>
                <w:sz w:val="21"/>
                <w:szCs w:val="21"/>
              </w:rPr>
            </w:pPr>
            <w:r>
              <w:rPr>
                <w:rFonts w:ascii="宋体" w:hAnsi="宋体" w:cs="宋体" w:eastAsia="宋体" w:hint="default"/>
                <w:sz w:val="21"/>
                <w:szCs w:val="21"/>
              </w:rPr>
              <w:t>江苏华乐光电有限公司</w:t>
            </w:r>
            <w:r>
              <w:rPr>
                <w:rFonts w:ascii="宋体" w:hAnsi="宋体" w:cs="宋体" w:eastAsia="宋体" w:hint="default"/>
                <w:sz w:val="21"/>
                <w:szCs w:val="21"/>
              </w:rPr>
              <w:t> </w:t>
            </w:r>
          </w:p>
        </w:tc>
      </w:tr>
      <w:tr>
        <w:trPr>
          <w:trHeight w:val="322" w:hRule="exact"/>
        </w:trPr>
        <w:tc>
          <w:tcPr>
            <w:tcW w:w="7813" w:type="dxa"/>
            <w:tcBorders>
              <w:top w:val="single" w:sz="4" w:space="0" w:color="000000"/>
              <w:left w:val="nil" w:sz="6" w:space="0" w:color="auto"/>
              <w:bottom w:val="single" w:sz="4" w:space="0" w:color="000000"/>
              <w:right w:val="nil" w:sz="6" w:space="0" w:color="auto"/>
            </w:tcBorders>
          </w:tcPr>
          <w:p>
            <w:pPr>
              <w:pStyle w:val="TableParagraph"/>
              <w:spacing w:line="262" w:lineRule="exact"/>
              <w:ind w:left="105" w:right="0"/>
              <w:jc w:val="left"/>
              <w:rPr>
                <w:rFonts w:ascii="宋体" w:hAnsi="宋体" w:cs="宋体" w:eastAsia="宋体" w:hint="default"/>
                <w:sz w:val="21"/>
                <w:szCs w:val="21"/>
              </w:rPr>
            </w:pPr>
            <w:r>
              <w:rPr>
                <w:rFonts w:ascii="宋体" w:hAnsi="宋体" w:cs="宋体" w:eastAsia="宋体" w:hint="default"/>
                <w:sz w:val="21"/>
                <w:szCs w:val="21"/>
              </w:rPr>
              <w:t>泗洪林洋光伏科技有限公司</w:t>
            </w:r>
            <w:r>
              <w:rPr>
                <w:rFonts w:ascii="宋体" w:hAnsi="宋体" w:cs="宋体" w:eastAsia="宋体" w:hint="default"/>
                <w:sz w:val="21"/>
                <w:szCs w:val="21"/>
              </w:rPr>
              <w:t> </w:t>
            </w:r>
          </w:p>
        </w:tc>
      </w:tr>
      <w:tr>
        <w:trPr>
          <w:trHeight w:val="322" w:hRule="exact"/>
        </w:trPr>
        <w:tc>
          <w:tcPr>
            <w:tcW w:w="7813" w:type="dxa"/>
            <w:tcBorders>
              <w:top w:val="single" w:sz="4" w:space="0" w:color="000000"/>
              <w:left w:val="nil" w:sz="6" w:space="0" w:color="auto"/>
              <w:bottom w:val="single" w:sz="4" w:space="0" w:color="000000"/>
              <w:right w:val="nil" w:sz="6" w:space="0" w:color="auto"/>
            </w:tcBorders>
          </w:tcPr>
          <w:p>
            <w:pPr>
              <w:pStyle w:val="TableParagraph"/>
              <w:spacing w:line="262" w:lineRule="exact"/>
              <w:ind w:left="105" w:right="0"/>
              <w:jc w:val="left"/>
              <w:rPr>
                <w:rFonts w:ascii="宋体" w:hAnsi="宋体" w:cs="宋体" w:eastAsia="宋体" w:hint="default"/>
                <w:sz w:val="21"/>
                <w:szCs w:val="21"/>
              </w:rPr>
            </w:pPr>
            <w:r>
              <w:rPr>
                <w:rFonts w:ascii="宋体" w:hAnsi="宋体" w:cs="宋体" w:eastAsia="宋体" w:hint="default"/>
                <w:sz w:val="21"/>
                <w:szCs w:val="21"/>
              </w:rPr>
              <w:t>江苏林洋光伏运维有限公司</w:t>
            </w:r>
            <w:r>
              <w:rPr>
                <w:rFonts w:ascii="宋体" w:hAnsi="宋体" w:cs="宋体" w:eastAsia="宋体" w:hint="default"/>
                <w:sz w:val="21"/>
                <w:szCs w:val="21"/>
              </w:rPr>
              <w:t> </w:t>
            </w:r>
          </w:p>
        </w:tc>
      </w:tr>
      <w:tr>
        <w:trPr>
          <w:trHeight w:val="322" w:hRule="exact"/>
        </w:trPr>
        <w:tc>
          <w:tcPr>
            <w:tcW w:w="7813" w:type="dxa"/>
            <w:tcBorders>
              <w:top w:val="single" w:sz="4" w:space="0" w:color="000000"/>
              <w:left w:val="nil" w:sz="6" w:space="0" w:color="auto"/>
              <w:bottom w:val="single" w:sz="4" w:space="0" w:color="000000"/>
              <w:right w:val="nil" w:sz="6" w:space="0" w:color="auto"/>
            </w:tcBorders>
          </w:tcPr>
          <w:p>
            <w:pPr>
              <w:pStyle w:val="TableParagraph"/>
              <w:spacing w:line="262" w:lineRule="exact"/>
              <w:ind w:left="105" w:right="0"/>
              <w:jc w:val="left"/>
              <w:rPr>
                <w:rFonts w:ascii="宋体" w:hAnsi="宋体" w:cs="宋体" w:eastAsia="宋体" w:hint="default"/>
                <w:sz w:val="21"/>
                <w:szCs w:val="21"/>
              </w:rPr>
            </w:pPr>
            <w:r>
              <w:rPr>
                <w:rFonts w:ascii="宋体" w:hAnsi="宋体" w:cs="宋体" w:eastAsia="宋体" w:hint="default"/>
                <w:sz w:val="21"/>
                <w:szCs w:val="21"/>
              </w:rPr>
              <w:t>内蒙古乾华农业发展有限公司</w:t>
            </w:r>
            <w:r>
              <w:rPr>
                <w:rFonts w:ascii="宋体" w:hAnsi="宋体" w:cs="宋体" w:eastAsia="宋体" w:hint="default"/>
                <w:sz w:val="21"/>
                <w:szCs w:val="21"/>
              </w:rPr>
              <w:t> </w:t>
            </w:r>
          </w:p>
        </w:tc>
      </w:tr>
      <w:tr>
        <w:trPr>
          <w:trHeight w:val="322" w:hRule="exact"/>
        </w:trPr>
        <w:tc>
          <w:tcPr>
            <w:tcW w:w="7813" w:type="dxa"/>
            <w:tcBorders>
              <w:top w:val="single" w:sz="4" w:space="0" w:color="000000"/>
              <w:left w:val="nil" w:sz="6" w:space="0" w:color="auto"/>
              <w:bottom w:val="single" w:sz="4" w:space="0" w:color="000000"/>
              <w:right w:val="nil" w:sz="6" w:space="0" w:color="auto"/>
            </w:tcBorders>
          </w:tcPr>
          <w:p>
            <w:pPr>
              <w:pStyle w:val="TableParagraph"/>
              <w:spacing w:line="263" w:lineRule="exact"/>
              <w:ind w:left="105" w:right="0"/>
              <w:jc w:val="left"/>
              <w:rPr>
                <w:rFonts w:ascii="宋体" w:hAnsi="宋体" w:cs="宋体" w:eastAsia="宋体" w:hint="default"/>
                <w:sz w:val="21"/>
                <w:szCs w:val="21"/>
              </w:rPr>
            </w:pPr>
            <w:r>
              <w:rPr>
                <w:rFonts w:ascii="宋体" w:hAnsi="宋体" w:cs="宋体" w:eastAsia="宋体" w:hint="default"/>
                <w:sz w:val="21"/>
                <w:szCs w:val="21"/>
              </w:rPr>
              <w:t>江苏林洋新能源科技有限公司</w:t>
            </w:r>
            <w:r>
              <w:rPr>
                <w:rFonts w:ascii="宋体" w:hAnsi="宋体" w:cs="宋体" w:eastAsia="宋体" w:hint="default"/>
                <w:sz w:val="21"/>
                <w:szCs w:val="21"/>
              </w:rPr>
              <w:t> </w:t>
            </w:r>
          </w:p>
        </w:tc>
      </w:tr>
      <w:tr>
        <w:trPr>
          <w:trHeight w:val="322" w:hRule="exact"/>
        </w:trPr>
        <w:tc>
          <w:tcPr>
            <w:tcW w:w="7813" w:type="dxa"/>
            <w:tcBorders>
              <w:top w:val="single" w:sz="4" w:space="0" w:color="000000"/>
              <w:left w:val="nil" w:sz="6" w:space="0" w:color="auto"/>
              <w:bottom w:val="single" w:sz="4" w:space="0" w:color="000000"/>
              <w:right w:val="nil" w:sz="6" w:space="0" w:color="auto"/>
            </w:tcBorders>
          </w:tcPr>
          <w:p>
            <w:pPr>
              <w:pStyle w:val="TableParagraph"/>
              <w:spacing w:line="262" w:lineRule="exact"/>
              <w:ind w:left="105" w:right="0"/>
              <w:jc w:val="left"/>
              <w:rPr>
                <w:rFonts w:ascii="宋体" w:hAnsi="宋体" w:cs="宋体" w:eastAsia="宋体" w:hint="default"/>
                <w:sz w:val="21"/>
                <w:szCs w:val="21"/>
              </w:rPr>
            </w:pPr>
            <w:r>
              <w:rPr>
                <w:rFonts w:ascii="宋体" w:hAnsi="宋体" w:cs="宋体" w:eastAsia="宋体" w:hint="default"/>
                <w:sz w:val="21"/>
                <w:szCs w:val="21"/>
              </w:rPr>
              <w:t>江苏昆瑞新能源有限公司</w:t>
            </w:r>
            <w:r>
              <w:rPr>
                <w:rFonts w:ascii="宋体" w:hAnsi="宋体" w:cs="宋体" w:eastAsia="宋体" w:hint="default"/>
                <w:sz w:val="21"/>
                <w:szCs w:val="21"/>
              </w:rPr>
              <w:t> </w:t>
            </w:r>
          </w:p>
        </w:tc>
      </w:tr>
      <w:tr>
        <w:trPr>
          <w:trHeight w:val="324" w:hRule="exact"/>
        </w:trPr>
        <w:tc>
          <w:tcPr>
            <w:tcW w:w="7813" w:type="dxa"/>
            <w:tcBorders>
              <w:top w:val="single" w:sz="4" w:space="0" w:color="000000"/>
              <w:left w:val="nil" w:sz="6" w:space="0" w:color="auto"/>
              <w:bottom w:val="single" w:sz="4" w:space="0" w:color="000000"/>
              <w:right w:val="nil" w:sz="6" w:space="0" w:color="auto"/>
            </w:tcBorders>
          </w:tcPr>
          <w:p>
            <w:pPr>
              <w:pStyle w:val="TableParagraph"/>
              <w:spacing w:line="265" w:lineRule="exact"/>
              <w:ind w:left="105" w:right="0"/>
              <w:jc w:val="left"/>
              <w:rPr>
                <w:rFonts w:ascii="宋体" w:hAnsi="宋体" w:cs="宋体" w:eastAsia="宋体" w:hint="default"/>
                <w:sz w:val="21"/>
                <w:szCs w:val="21"/>
              </w:rPr>
            </w:pPr>
            <w:r>
              <w:rPr>
                <w:rFonts w:ascii="宋体" w:hAnsi="宋体" w:cs="宋体" w:eastAsia="宋体" w:hint="default"/>
                <w:sz w:val="21"/>
                <w:szCs w:val="21"/>
              </w:rPr>
              <w:t>泗洪润晖新能源有限公司</w:t>
            </w:r>
            <w:r>
              <w:rPr>
                <w:rFonts w:ascii="宋体" w:hAnsi="宋体" w:cs="宋体" w:eastAsia="宋体" w:hint="default"/>
                <w:sz w:val="21"/>
                <w:szCs w:val="21"/>
              </w:rPr>
              <w:t> </w:t>
            </w:r>
          </w:p>
        </w:tc>
      </w:tr>
      <w:tr>
        <w:trPr>
          <w:trHeight w:val="322" w:hRule="exact"/>
        </w:trPr>
        <w:tc>
          <w:tcPr>
            <w:tcW w:w="7813" w:type="dxa"/>
            <w:tcBorders>
              <w:top w:val="single" w:sz="4" w:space="0" w:color="000000"/>
              <w:left w:val="nil" w:sz="6" w:space="0" w:color="auto"/>
              <w:bottom w:val="single" w:sz="4" w:space="0" w:color="000000"/>
              <w:right w:val="nil" w:sz="6" w:space="0" w:color="auto"/>
            </w:tcBorders>
          </w:tcPr>
          <w:p>
            <w:pPr>
              <w:pStyle w:val="TableParagraph"/>
              <w:spacing w:line="262" w:lineRule="exact"/>
              <w:ind w:left="105" w:right="0"/>
              <w:jc w:val="left"/>
              <w:rPr>
                <w:rFonts w:ascii="宋体" w:hAnsi="宋体" w:cs="宋体" w:eastAsia="宋体" w:hint="default"/>
                <w:sz w:val="21"/>
                <w:szCs w:val="21"/>
              </w:rPr>
            </w:pPr>
            <w:r>
              <w:rPr>
                <w:rFonts w:ascii="宋体" w:hAnsi="宋体" w:cs="宋体" w:eastAsia="宋体" w:hint="default"/>
                <w:sz w:val="21"/>
                <w:szCs w:val="21"/>
              </w:rPr>
              <w:t>泗洪县华乐新能源科技有限公司</w:t>
            </w:r>
            <w:r>
              <w:rPr>
                <w:rFonts w:ascii="宋体" w:hAnsi="宋体" w:cs="宋体" w:eastAsia="宋体" w:hint="default"/>
                <w:sz w:val="21"/>
                <w:szCs w:val="21"/>
              </w:rPr>
              <w:t> </w:t>
            </w:r>
          </w:p>
        </w:tc>
      </w:tr>
      <w:tr>
        <w:trPr>
          <w:trHeight w:val="322" w:hRule="exact"/>
        </w:trPr>
        <w:tc>
          <w:tcPr>
            <w:tcW w:w="7813" w:type="dxa"/>
            <w:tcBorders>
              <w:top w:val="single" w:sz="4" w:space="0" w:color="000000"/>
              <w:left w:val="nil" w:sz="6" w:space="0" w:color="auto"/>
              <w:bottom w:val="single" w:sz="4" w:space="0" w:color="000000"/>
              <w:right w:val="nil" w:sz="6" w:space="0" w:color="auto"/>
            </w:tcBorders>
          </w:tcPr>
          <w:p>
            <w:pPr>
              <w:pStyle w:val="TableParagraph"/>
              <w:spacing w:line="262" w:lineRule="exact"/>
              <w:ind w:left="105" w:right="0"/>
              <w:jc w:val="left"/>
              <w:rPr>
                <w:rFonts w:ascii="宋体" w:hAnsi="宋体" w:cs="宋体" w:eastAsia="宋体" w:hint="default"/>
                <w:sz w:val="21"/>
                <w:szCs w:val="21"/>
              </w:rPr>
            </w:pPr>
            <w:r>
              <w:rPr>
                <w:rFonts w:ascii="宋体" w:hAnsi="宋体" w:cs="宋体" w:eastAsia="宋体" w:hint="default"/>
                <w:sz w:val="21"/>
                <w:szCs w:val="21"/>
              </w:rPr>
              <w:t>泗洪县永乐新能源科技有限公司</w:t>
            </w:r>
            <w:r>
              <w:rPr>
                <w:rFonts w:ascii="宋体" w:hAnsi="宋体" w:cs="宋体" w:eastAsia="宋体" w:hint="default"/>
                <w:sz w:val="21"/>
                <w:szCs w:val="21"/>
              </w:rPr>
              <w:t> </w:t>
            </w:r>
          </w:p>
        </w:tc>
      </w:tr>
      <w:tr>
        <w:trPr>
          <w:trHeight w:val="322" w:hRule="exact"/>
        </w:trPr>
        <w:tc>
          <w:tcPr>
            <w:tcW w:w="7813" w:type="dxa"/>
            <w:tcBorders>
              <w:top w:val="single" w:sz="4" w:space="0" w:color="000000"/>
              <w:left w:val="nil" w:sz="6" w:space="0" w:color="auto"/>
              <w:bottom w:val="single" w:sz="4" w:space="0" w:color="000000"/>
              <w:right w:val="nil" w:sz="6" w:space="0" w:color="auto"/>
            </w:tcBorders>
          </w:tcPr>
          <w:p>
            <w:pPr>
              <w:pStyle w:val="TableParagraph"/>
              <w:spacing w:line="262" w:lineRule="exact"/>
              <w:ind w:left="105" w:right="0"/>
              <w:jc w:val="left"/>
              <w:rPr>
                <w:rFonts w:ascii="宋体" w:hAnsi="宋体" w:cs="宋体" w:eastAsia="宋体" w:hint="default"/>
                <w:sz w:val="21"/>
                <w:szCs w:val="21"/>
              </w:rPr>
            </w:pPr>
            <w:r>
              <w:rPr>
                <w:rFonts w:ascii="宋体" w:hAnsi="宋体" w:cs="宋体" w:eastAsia="宋体" w:hint="default"/>
                <w:sz w:val="21"/>
                <w:szCs w:val="21"/>
              </w:rPr>
              <w:t>盐城利能新能源有限公司</w:t>
            </w:r>
            <w:r>
              <w:rPr>
                <w:rFonts w:ascii="宋体" w:hAnsi="宋体" w:cs="宋体" w:eastAsia="宋体" w:hint="default"/>
                <w:sz w:val="21"/>
                <w:szCs w:val="21"/>
              </w:rPr>
              <w:t> </w:t>
            </w:r>
          </w:p>
        </w:tc>
      </w:tr>
      <w:tr>
        <w:trPr>
          <w:trHeight w:val="322" w:hRule="exact"/>
        </w:trPr>
        <w:tc>
          <w:tcPr>
            <w:tcW w:w="7813" w:type="dxa"/>
            <w:tcBorders>
              <w:top w:val="single" w:sz="4" w:space="0" w:color="000000"/>
              <w:left w:val="nil" w:sz="6" w:space="0" w:color="auto"/>
              <w:bottom w:val="single" w:sz="4" w:space="0" w:color="000000"/>
              <w:right w:val="nil" w:sz="6" w:space="0" w:color="auto"/>
            </w:tcBorders>
          </w:tcPr>
          <w:p>
            <w:pPr>
              <w:pStyle w:val="TableParagraph"/>
              <w:spacing w:line="262" w:lineRule="exact"/>
              <w:ind w:left="105" w:right="0"/>
              <w:jc w:val="left"/>
              <w:rPr>
                <w:rFonts w:ascii="宋体" w:hAnsi="宋体" w:cs="宋体" w:eastAsia="宋体" w:hint="default"/>
                <w:sz w:val="21"/>
                <w:szCs w:val="21"/>
              </w:rPr>
            </w:pPr>
            <w:r>
              <w:rPr>
                <w:rFonts w:ascii="宋体" w:hAnsi="宋体" w:cs="宋体" w:eastAsia="宋体" w:hint="default"/>
                <w:sz w:val="21"/>
                <w:szCs w:val="21"/>
              </w:rPr>
              <w:t>扬中市阜润电力科技有限公司</w:t>
            </w:r>
            <w:r>
              <w:rPr>
                <w:rFonts w:ascii="宋体" w:hAnsi="宋体" w:cs="宋体" w:eastAsia="宋体" w:hint="default"/>
                <w:sz w:val="21"/>
                <w:szCs w:val="21"/>
              </w:rPr>
              <w:t> </w:t>
            </w:r>
          </w:p>
        </w:tc>
      </w:tr>
      <w:tr>
        <w:trPr>
          <w:trHeight w:val="322" w:hRule="exact"/>
        </w:trPr>
        <w:tc>
          <w:tcPr>
            <w:tcW w:w="7813" w:type="dxa"/>
            <w:tcBorders>
              <w:top w:val="single" w:sz="4" w:space="0" w:color="000000"/>
              <w:left w:val="nil" w:sz="6" w:space="0" w:color="auto"/>
              <w:bottom w:val="single" w:sz="4" w:space="0" w:color="000000"/>
              <w:right w:val="nil" w:sz="6" w:space="0" w:color="auto"/>
            </w:tcBorders>
          </w:tcPr>
          <w:p>
            <w:pPr>
              <w:pStyle w:val="TableParagraph"/>
              <w:spacing w:line="262" w:lineRule="exact"/>
              <w:ind w:left="105" w:right="0"/>
              <w:jc w:val="left"/>
              <w:rPr>
                <w:rFonts w:ascii="宋体" w:hAnsi="宋体" w:cs="宋体" w:eastAsia="宋体" w:hint="default"/>
                <w:sz w:val="21"/>
                <w:szCs w:val="21"/>
              </w:rPr>
            </w:pPr>
            <w:r>
              <w:rPr>
                <w:rFonts w:ascii="宋体" w:hAnsi="宋体" w:cs="宋体" w:eastAsia="宋体" w:hint="default"/>
                <w:sz w:val="21"/>
                <w:szCs w:val="21"/>
              </w:rPr>
              <w:t>扬州林洋零点新能源科技有限公司</w:t>
            </w:r>
            <w:r>
              <w:rPr>
                <w:rFonts w:ascii="宋体" w:hAnsi="宋体" w:cs="宋体" w:eastAsia="宋体" w:hint="default"/>
                <w:sz w:val="21"/>
                <w:szCs w:val="21"/>
              </w:rPr>
              <w:t> </w:t>
            </w:r>
          </w:p>
        </w:tc>
      </w:tr>
      <w:tr>
        <w:trPr>
          <w:trHeight w:val="324" w:hRule="exact"/>
        </w:trPr>
        <w:tc>
          <w:tcPr>
            <w:tcW w:w="7813" w:type="dxa"/>
            <w:tcBorders>
              <w:top w:val="single" w:sz="4" w:space="0" w:color="000000"/>
              <w:left w:val="nil" w:sz="6" w:space="0" w:color="auto"/>
              <w:bottom w:val="single" w:sz="4" w:space="0" w:color="000000"/>
              <w:right w:val="nil" w:sz="6" w:space="0" w:color="auto"/>
            </w:tcBorders>
          </w:tcPr>
          <w:p>
            <w:pPr>
              <w:pStyle w:val="TableParagraph"/>
              <w:spacing w:line="265" w:lineRule="exact"/>
              <w:ind w:left="105" w:right="0"/>
              <w:jc w:val="left"/>
              <w:rPr>
                <w:rFonts w:ascii="宋体" w:hAnsi="宋体" w:cs="宋体" w:eastAsia="宋体" w:hint="default"/>
                <w:sz w:val="21"/>
                <w:szCs w:val="21"/>
              </w:rPr>
            </w:pPr>
            <w:r>
              <w:rPr>
                <w:rFonts w:ascii="宋体" w:hAnsi="宋体" w:cs="宋体" w:eastAsia="宋体" w:hint="default"/>
                <w:sz w:val="21"/>
                <w:szCs w:val="21"/>
              </w:rPr>
              <w:t>邳州市城阳电力科技有限公司</w:t>
            </w:r>
            <w:r>
              <w:rPr>
                <w:rFonts w:ascii="宋体" w:hAnsi="宋体" w:cs="宋体" w:eastAsia="宋体" w:hint="default"/>
                <w:sz w:val="21"/>
                <w:szCs w:val="21"/>
              </w:rPr>
              <w:t> </w:t>
            </w:r>
          </w:p>
        </w:tc>
      </w:tr>
      <w:tr>
        <w:trPr>
          <w:trHeight w:val="322" w:hRule="exact"/>
        </w:trPr>
        <w:tc>
          <w:tcPr>
            <w:tcW w:w="7813" w:type="dxa"/>
            <w:tcBorders>
              <w:top w:val="single" w:sz="4" w:space="0" w:color="000000"/>
              <w:left w:val="nil" w:sz="6" w:space="0" w:color="auto"/>
              <w:bottom w:val="single" w:sz="4" w:space="0" w:color="000000"/>
              <w:right w:val="nil" w:sz="6" w:space="0" w:color="auto"/>
            </w:tcBorders>
          </w:tcPr>
          <w:p>
            <w:pPr>
              <w:pStyle w:val="TableParagraph"/>
              <w:spacing w:line="262" w:lineRule="exact"/>
              <w:ind w:left="105" w:right="0"/>
              <w:jc w:val="left"/>
              <w:rPr>
                <w:rFonts w:ascii="宋体" w:hAnsi="宋体" w:cs="宋体" w:eastAsia="宋体" w:hint="default"/>
                <w:sz w:val="21"/>
                <w:szCs w:val="21"/>
              </w:rPr>
            </w:pPr>
            <w:r>
              <w:rPr>
                <w:rFonts w:ascii="宋体" w:hAnsi="宋体" w:cs="宋体" w:eastAsia="宋体" w:hint="default"/>
                <w:sz w:val="21"/>
                <w:szCs w:val="21"/>
              </w:rPr>
              <w:t>兴化市旭晖电力科技有限公司</w:t>
            </w:r>
            <w:r>
              <w:rPr>
                <w:rFonts w:ascii="宋体" w:hAnsi="宋体" w:cs="宋体" w:eastAsia="宋体" w:hint="default"/>
                <w:sz w:val="21"/>
                <w:szCs w:val="21"/>
              </w:rPr>
              <w:t> </w:t>
            </w:r>
          </w:p>
        </w:tc>
      </w:tr>
      <w:tr>
        <w:trPr>
          <w:trHeight w:val="322" w:hRule="exact"/>
        </w:trPr>
        <w:tc>
          <w:tcPr>
            <w:tcW w:w="7813" w:type="dxa"/>
            <w:tcBorders>
              <w:top w:val="single" w:sz="4" w:space="0" w:color="000000"/>
              <w:left w:val="nil" w:sz="6" w:space="0" w:color="auto"/>
              <w:bottom w:val="single" w:sz="4" w:space="0" w:color="000000"/>
              <w:right w:val="nil" w:sz="6" w:space="0" w:color="auto"/>
            </w:tcBorders>
          </w:tcPr>
          <w:p>
            <w:pPr>
              <w:pStyle w:val="TableParagraph"/>
              <w:spacing w:line="262" w:lineRule="exact"/>
              <w:ind w:left="105" w:right="0"/>
              <w:jc w:val="left"/>
              <w:rPr>
                <w:rFonts w:ascii="宋体" w:hAnsi="宋体" w:cs="宋体" w:eastAsia="宋体" w:hint="default"/>
                <w:sz w:val="21"/>
                <w:szCs w:val="21"/>
              </w:rPr>
            </w:pPr>
            <w:r>
              <w:rPr>
                <w:rFonts w:ascii="宋体" w:hAnsi="宋体" w:cs="宋体" w:eastAsia="宋体" w:hint="default"/>
                <w:sz w:val="21"/>
                <w:szCs w:val="21"/>
              </w:rPr>
              <w:t>四川林洋新能源科技有限公司</w:t>
            </w:r>
            <w:r>
              <w:rPr>
                <w:rFonts w:ascii="宋体" w:hAnsi="宋体" w:cs="宋体" w:eastAsia="宋体" w:hint="default"/>
                <w:sz w:val="21"/>
                <w:szCs w:val="21"/>
              </w:rPr>
              <w:t> </w:t>
            </w:r>
          </w:p>
        </w:tc>
      </w:tr>
      <w:tr>
        <w:trPr>
          <w:trHeight w:val="322" w:hRule="exact"/>
        </w:trPr>
        <w:tc>
          <w:tcPr>
            <w:tcW w:w="7813" w:type="dxa"/>
            <w:tcBorders>
              <w:top w:val="single" w:sz="4" w:space="0" w:color="000000"/>
              <w:left w:val="nil" w:sz="6" w:space="0" w:color="auto"/>
              <w:bottom w:val="single" w:sz="4" w:space="0" w:color="000000"/>
              <w:right w:val="nil" w:sz="6" w:space="0" w:color="auto"/>
            </w:tcBorders>
          </w:tcPr>
          <w:p>
            <w:pPr>
              <w:pStyle w:val="TableParagraph"/>
              <w:spacing w:line="262" w:lineRule="exact"/>
              <w:ind w:left="105" w:right="0"/>
              <w:jc w:val="left"/>
              <w:rPr>
                <w:rFonts w:ascii="宋体" w:hAnsi="宋体" w:cs="宋体" w:eastAsia="宋体" w:hint="default"/>
                <w:sz w:val="21"/>
                <w:szCs w:val="21"/>
              </w:rPr>
            </w:pPr>
            <w:r>
              <w:rPr>
                <w:rFonts w:ascii="宋体" w:hAnsi="宋体" w:cs="宋体" w:eastAsia="宋体" w:hint="default"/>
                <w:sz w:val="21"/>
                <w:szCs w:val="21"/>
              </w:rPr>
              <w:t>泗洪永盛新能源科技有限公司</w:t>
            </w:r>
            <w:r>
              <w:rPr>
                <w:rFonts w:ascii="宋体" w:hAnsi="宋体" w:cs="宋体" w:eastAsia="宋体" w:hint="default"/>
                <w:sz w:val="21"/>
                <w:szCs w:val="21"/>
              </w:rPr>
              <w:t> </w:t>
            </w:r>
          </w:p>
        </w:tc>
      </w:tr>
      <w:tr>
        <w:trPr>
          <w:trHeight w:val="322" w:hRule="exact"/>
        </w:trPr>
        <w:tc>
          <w:tcPr>
            <w:tcW w:w="7813" w:type="dxa"/>
            <w:tcBorders>
              <w:top w:val="single" w:sz="4" w:space="0" w:color="000000"/>
              <w:left w:val="nil" w:sz="6" w:space="0" w:color="auto"/>
              <w:bottom w:val="single" w:sz="4" w:space="0" w:color="000000"/>
              <w:right w:val="nil" w:sz="6" w:space="0" w:color="auto"/>
            </w:tcBorders>
          </w:tcPr>
          <w:p>
            <w:pPr>
              <w:pStyle w:val="TableParagraph"/>
              <w:spacing w:line="262" w:lineRule="exact"/>
              <w:ind w:left="105" w:right="0"/>
              <w:jc w:val="left"/>
              <w:rPr>
                <w:rFonts w:ascii="宋体" w:hAnsi="宋体" w:cs="宋体" w:eastAsia="宋体" w:hint="default"/>
                <w:sz w:val="21"/>
                <w:szCs w:val="21"/>
              </w:rPr>
            </w:pPr>
            <w:r>
              <w:rPr>
                <w:rFonts w:ascii="宋体" w:hAnsi="宋体" w:cs="宋体" w:eastAsia="宋体" w:hint="default"/>
                <w:sz w:val="21"/>
                <w:szCs w:val="21"/>
              </w:rPr>
              <w:t>东海县中盛红利新能源有限公司</w:t>
            </w:r>
            <w:r>
              <w:rPr>
                <w:rFonts w:ascii="宋体" w:hAnsi="宋体" w:cs="宋体" w:eastAsia="宋体" w:hint="default"/>
                <w:sz w:val="21"/>
                <w:szCs w:val="21"/>
              </w:rPr>
              <w:t> </w:t>
            </w:r>
          </w:p>
        </w:tc>
      </w:tr>
      <w:tr>
        <w:trPr>
          <w:trHeight w:val="322" w:hRule="exact"/>
        </w:trPr>
        <w:tc>
          <w:tcPr>
            <w:tcW w:w="7813" w:type="dxa"/>
            <w:tcBorders>
              <w:top w:val="single" w:sz="4" w:space="0" w:color="000000"/>
              <w:left w:val="nil" w:sz="6" w:space="0" w:color="auto"/>
              <w:bottom w:val="single" w:sz="4" w:space="0" w:color="000000"/>
              <w:right w:val="nil" w:sz="6" w:space="0" w:color="auto"/>
            </w:tcBorders>
          </w:tcPr>
          <w:p>
            <w:pPr>
              <w:pStyle w:val="TableParagraph"/>
              <w:spacing w:line="262" w:lineRule="exact"/>
              <w:ind w:left="105" w:right="0"/>
              <w:jc w:val="left"/>
              <w:rPr>
                <w:rFonts w:ascii="宋体" w:hAnsi="宋体" w:cs="宋体" w:eastAsia="宋体" w:hint="default"/>
                <w:sz w:val="21"/>
                <w:szCs w:val="21"/>
              </w:rPr>
            </w:pPr>
            <w:r>
              <w:rPr>
                <w:rFonts w:ascii="宋体" w:hAnsi="宋体" w:cs="宋体" w:eastAsia="宋体" w:hint="default"/>
                <w:sz w:val="21"/>
                <w:szCs w:val="21"/>
              </w:rPr>
              <w:t>灌云华虹农业科技有限公司</w:t>
            </w:r>
            <w:r>
              <w:rPr>
                <w:rFonts w:ascii="宋体" w:hAnsi="宋体" w:cs="宋体" w:eastAsia="宋体" w:hint="default"/>
                <w:sz w:val="21"/>
                <w:szCs w:val="21"/>
              </w:rPr>
              <w:t> </w:t>
            </w:r>
          </w:p>
        </w:tc>
      </w:tr>
      <w:tr>
        <w:trPr>
          <w:trHeight w:val="324" w:hRule="exact"/>
        </w:trPr>
        <w:tc>
          <w:tcPr>
            <w:tcW w:w="7813" w:type="dxa"/>
            <w:tcBorders>
              <w:top w:val="single" w:sz="4" w:space="0" w:color="000000"/>
              <w:left w:val="nil" w:sz="6" w:space="0" w:color="auto"/>
              <w:bottom w:val="single" w:sz="4" w:space="0" w:color="000000"/>
              <w:right w:val="nil" w:sz="6" w:space="0" w:color="auto"/>
            </w:tcBorders>
          </w:tcPr>
          <w:p>
            <w:pPr>
              <w:pStyle w:val="TableParagraph"/>
              <w:spacing w:line="265" w:lineRule="exact"/>
              <w:ind w:left="105" w:right="0"/>
              <w:jc w:val="left"/>
              <w:rPr>
                <w:rFonts w:ascii="宋体" w:hAnsi="宋体" w:cs="宋体" w:eastAsia="宋体" w:hint="default"/>
                <w:sz w:val="21"/>
                <w:szCs w:val="21"/>
              </w:rPr>
            </w:pPr>
            <w:r>
              <w:rPr>
                <w:rFonts w:ascii="宋体" w:hAnsi="宋体" w:cs="宋体" w:eastAsia="宋体" w:hint="default"/>
                <w:sz w:val="21"/>
                <w:szCs w:val="21"/>
              </w:rPr>
              <w:t>灌云林洋新能源科技有限公司</w:t>
            </w:r>
            <w:r>
              <w:rPr>
                <w:rFonts w:ascii="宋体" w:hAnsi="宋体" w:cs="宋体" w:eastAsia="宋体" w:hint="default"/>
                <w:sz w:val="21"/>
                <w:szCs w:val="21"/>
              </w:rPr>
              <w:t> </w:t>
            </w:r>
          </w:p>
        </w:tc>
      </w:tr>
      <w:tr>
        <w:trPr>
          <w:trHeight w:val="322" w:hRule="exact"/>
        </w:trPr>
        <w:tc>
          <w:tcPr>
            <w:tcW w:w="7813" w:type="dxa"/>
            <w:tcBorders>
              <w:top w:val="single" w:sz="4" w:space="0" w:color="000000"/>
              <w:left w:val="nil" w:sz="6" w:space="0" w:color="auto"/>
              <w:bottom w:val="single" w:sz="4" w:space="0" w:color="000000"/>
              <w:right w:val="nil" w:sz="6" w:space="0" w:color="auto"/>
            </w:tcBorders>
          </w:tcPr>
          <w:p>
            <w:pPr>
              <w:pStyle w:val="TableParagraph"/>
              <w:spacing w:line="262" w:lineRule="exact"/>
              <w:ind w:left="105" w:right="0"/>
              <w:jc w:val="left"/>
              <w:rPr>
                <w:rFonts w:ascii="宋体" w:hAnsi="宋体" w:cs="宋体" w:eastAsia="宋体" w:hint="default"/>
                <w:sz w:val="21"/>
                <w:szCs w:val="21"/>
              </w:rPr>
            </w:pPr>
            <w:r>
              <w:rPr>
                <w:rFonts w:ascii="宋体" w:hAnsi="宋体" w:cs="宋体" w:eastAsia="宋体" w:hint="default"/>
                <w:sz w:val="21"/>
                <w:szCs w:val="21"/>
              </w:rPr>
              <w:t>灌云中森太阳能科技有限公司</w:t>
            </w:r>
            <w:r>
              <w:rPr>
                <w:rFonts w:ascii="宋体" w:hAnsi="宋体" w:cs="宋体" w:eastAsia="宋体" w:hint="default"/>
                <w:sz w:val="21"/>
                <w:szCs w:val="21"/>
              </w:rPr>
              <w:t> </w:t>
            </w:r>
          </w:p>
        </w:tc>
      </w:tr>
      <w:tr>
        <w:trPr>
          <w:trHeight w:val="322" w:hRule="exact"/>
        </w:trPr>
        <w:tc>
          <w:tcPr>
            <w:tcW w:w="7813" w:type="dxa"/>
            <w:tcBorders>
              <w:top w:val="single" w:sz="4" w:space="0" w:color="000000"/>
              <w:left w:val="nil" w:sz="6" w:space="0" w:color="auto"/>
              <w:bottom w:val="single" w:sz="4" w:space="0" w:color="000000"/>
              <w:right w:val="nil" w:sz="6" w:space="0" w:color="auto"/>
            </w:tcBorders>
          </w:tcPr>
          <w:p>
            <w:pPr>
              <w:pStyle w:val="TableParagraph"/>
              <w:spacing w:line="262" w:lineRule="exact"/>
              <w:ind w:left="105" w:right="0"/>
              <w:jc w:val="left"/>
              <w:rPr>
                <w:rFonts w:ascii="宋体" w:hAnsi="宋体" w:cs="宋体" w:eastAsia="宋体" w:hint="default"/>
                <w:sz w:val="21"/>
                <w:szCs w:val="21"/>
              </w:rPr>
            </w:pPr>
            <w:r>
              <w:rPr>
                <w:rFonts w:ascii="宋体" w:hAnsi="宋体" w:cs="宋体" w:eastAsia="宋体" w:hint="default"/>
                <w:sz w:val="21"/>
                <w:szCs w:val="21"/>
              </w:rPr>
              <w:t>江苏飞展能源科技有限公司</w:t>
            </w:r>
            <w:r>
              <w:rPr>
                <w:rFonts w:ascii="宋体" w:hAnsi="宋体" w:cs="宋体" w:eastAsia="宋体" w:hint="default"/>
                <w:sz w:val="21"/>
                <w:szCs w:val="21"/>
              </w:rPr>
              <w:t> </w:t>
            </w:r>
          </w:p>
        </w:tc>
      </w:tr>
      <w:tr>
        <w:trPr>
          <w:trHeight w:val="322" w:hRule="exact"/>
        </w:trPr>
        <w:tc>
          <w:tcPr>
            <w:tcW w:w="7813" w:type="dxa"/>
            <w:tcBorders>
              <w:top w:val="single" w:sz="4" w:space="0" w:color="000000"/>
              <w:left w:val="nil" w:sz="6" w:space="0" w:color="auto"/>
              <w:bottom w:val="single" w:sz="4" w:space="0" w:color="000000"/>
              <w:right w:val="nil" w:sz="6" w:space="0" w:color="auto"/>
            </w:tcBorders>
          </w:tcPr>
          <w:p>
            <w:pPr>
              <w:pStyle w:val="TableParagraph"/>
              <w:spacing w:line="262" w:lineRule="exact"/>
              <w:ind w:left="105" w:right="0"/>
              <w:jc w:val="left"/>
              <w:rPr>
                <w:rFonts w:ascii="宋体" w:hAnsi="宋体" w:cs="宋体" w:eastAsia="宋体" w:hint="default"/>
                <w:sz w:val="21"/>
                <w:szCs w:val="21"/>
              </w:rPr>
            </w:pPr>
            <w:r>
              <w:rPr>
                <w:rFonts w:ascii="宋体" w:hAnsi="宋体" w:cs="宋体" w:eastAsia="宋体" w:hint="default"/>
                <w:sz w:val="21"/>
                <w:szCs w:val="21"/>
              </w:rPr>
              <w:t>连云港易睐珂新能源有限公司</w:t>
            </w:r>
            <w:r>
              <w:rPr>
                <w:rFonts w:ascii="宋体" w:hAnsi="宋体" w:cs="宋体" w:eastAsia="宋体" w:hint="default"/>
                <w:sz w:val="21"/>
                <w:szCs w:val="21"/>
              </w:rPr>
              <w:t> </w:t>
            </w:r>
          </w:p>
        </w:tc>
      </w:tr>
      <w:tr>
        <w:trPr>
          <w:trHeight w:val="322" w:hRule="exact"/>
        </w:trPr>
        <w:tc>
          <w:tcPr>
            <w:tcW w:w="7813" w:type="dxa"/>
            <w:tcBorders>
              <w:top w:val="single" w:sz="4" w:space="0" w:color="000000"/>
              <w:left w:val="nil" w:sz="6" w:space="0" w:color="auto"/>
              <w:bottom w:val="single" w:sz="4" w:space="0" w:color="000000"/>
              <w:right w:val="nil" w:sz="6" w:space="0" w:color="auto"/>
            </w:tcBorders>
          </w:tcPr>
          <w:p>
            <w:pPr>
              <w:pStyle w:val="TableParagraph"/>
              <w:spacing w:line="262" w:lineRule="exact"/>
              <w:ind w:left="105" w:right="0"/>
              <w:jc w:val="left"/>
              <w:rPr>
                <w:rFonts w:ascii="宋体" w:hAnsi="宋体" w:cs="宋体" w:eastAsia="宋体" w:hint="default"/>
                <w:sz w:val="21"/>
                <w:szCs w:val="21"/>
              </w:rPr>
            </w:pPr>
            <w:r>
              <w:rPr>
                <w:rFonts w:ascii="宋体" w:hAnsi="宋体" w:cs="宋体" w:eastAsia="宋体" w:hint="default"/>
                <w:sz w:val="21"/>
                <w:szCs w:val="21"/>
              </w:rPr>
              <w:t>连云港林洋新能源有限公司</w:t>
            </w:r>
            <w:r>
              <w:rPr>
                <w:rFonts w:ascii="宋体" w:hAnsi="宋体" w:cs="宋体" w:eastAsia="宋体" w:hint="default"/>
                <w:sz w:val="21"/>
                <w:szCs w:val="21"/>
              </w:rPr>
              <w:t> </w:t>
            </w:r>
          </w:p>
        </w:tc>
      </w:tr>
      <w:tr>
        <w:trPr>
          <w:trHeight w:val="334" w:hRule="exact"/>
        </w:trPr>
        <w:tc>
          <w:tcPr>
            <w:tcW w:w="7813" w:type="dxa"/>
            <w:tcBorders>
              <w:top w:val="single" w:sz="4" w:space="0" w:color="000000"/>
              <w:left w:val="nil" w:sz="6" w:space="0" w:color="auto"/>
              <w:bottom w:val="single" w:sz="12" w:space="0" w:color="000000"/>
              <w:right w:val="nil" w:sz="6" w:space="0" w:color="auto"/>
            </w:tcBorders>
          </w:tcPr>
          <w:p>
            <w:pPr>
              <w:pStyle w:val="TableParagraph"/>
              <w:spacing w:line="262" w:lineRule="exact"/>
              <w:ind w:left="105" w:right="0"/>
              <w:jc w:val="left"/>
              <w:rPr>
                <w:rFonts w:ascii="宋体" w:hAnsi="宋体" w:cs="宋体" w:eastAsia="宋体" w:hint="default"/>
                <w:sz w:val="21"/>
                <w:szCs w:val="21"/>
              </w:rPr>
            </w:pPr>
            <w:r>
              <w:rPr>
                <w:rFonts w:ascii="宋体" w:hAnsi="宋体" w:cs="宋体" w:eastAsia="宋体" w:hint="default"/>
                <w:sz w:val="21"/>
                <w:szCs w:val="21"/>
              </w:rPr>
              <w:t>连云港首耀新能源科技有限公司</w:t>
            </w:r>
            <w:r>
              <w:rPr>
                <w:rFonts w:ascii="宋体" w:hAnsi="宋体" w:cs="宋体" w:eastAsia="宋体" w:hint="default"/>
                <w:sz w:val="21"/>
                <w:szCs w:val="21"/>
              </w:rPr>
              <w:t> </w:t>
            </w:r>
          </w:p>
        </w:tc>
      </w:tr>
    </w:tbl>
    <w:p>
      <w:pPr>
        <w:spacing w:after="0" w:line="262" w:lineRule="exact"/>
        <w:jc w:val="left"/>
        <w:rPr>
          <w:rFonts w:ascii="宋体" w:hAnsi="宋体" w:cs="宋体" w:eastAsia="宋体" w:hint="default"/>
          <w:sz w:val="21"/>
          <w:szCs w:val="21"/>
        </w:rPr>
        <w:sectPr>
          <w:pgSz w:w="11910" w:h="16840"/>
          <w:pgMar w:header="748" w:footer="974" w:top="1140" w:bottom="1160" w:left="1060" w:right="1660"/>
        </w:sectPr>
      </w:pPr>
    </w:p>
    <w:p>
      <w:pPr>
        <w:spacing w:line="240" w:lineRule="auto" w:before="0"/>
        <w:rPr>
          <w:rFonts w:ascii="Times New Roman" w:hAnsi="Times New Roman" w:cs="Times New Roman" w:eastAsia="Times New Roman" w:hint="default"/>
          <w:sz w:val="26"/>
          <w:szCs w:val="26"/>
        </w:rPr>
      </w:pPr>
    </w:p>
    <w:tbl>
      <w:tblPr>
        <w:tblW w:w="0" w:type="auto"/>
        <w:jc w:val="left"/>
        <w:tblInd w:w="824" w:type="dxa"/>
        <w:tblLayout w:type="fixed"/>
        <w:tblCellMar>
          <w:top w:w="0" w:type="dxa"/>
          <w:left w:w="0" w:type="dxa"/>
          <w:bottom w:w="0" w:type="dxa"/>
          <w:right w:w="0" w:type="dxa"/>
        </w:tblCellMar>
        <w:tblLook w:val="01E0"/>
      </w:tblPr>
      <w:tblGrid>
        <w:gridCol w:w="7813"/>
      </w:tblGrid>
      <w:tr>
        <w:trPr>
          <w:trHeight w:val="420" w:hRule="exact"/>
        </w:trPr>
        <w:tc>
          <w:tcPr>
            <w:tcW w:w="7813" w:type="dxa"/>
            <w:tcBorders>
              <w:top w:val="single" w:sz="12" w:space="0" w:color="000000"/>
              <w:left w:val="nil" w:sz="6" w:space="0" w:color="auto"/>
              <w:bottom w:val="single" w:sz="4" w:space="0" w:color="000000"/>
              <w:right w:val="nil" w:sz="6" w:space="0" w:color="auto"/>
            </w:tcBorders>
          </w:tcPr>
          <w:p>
            <w:pPr>
              <w:pStyle w:val="TableParagraph"/>
              <w:spacing w:line="240" w:lineRule="auto" w:before="111"/>
              <w:ind w:left="-1" w:right="3"/>
              <w:jc w:val="center"/>
              <w:rPr>
                <w:rFonts w:ascii="宋体" w:hAnsi="宋体" w:cs="宋体" w:eastAsia="宋体" w:hint="default"/>
                <w:sz w:val="18"/>
                <w:szCs w:val="18"/>
              </w:rPr>
            </w:pPr>
            <w:r>
              <w:rPr>
                <w:rFonts w:ascii="宋体" w:hAnsi="宋体" w:cs="宋体" w:eastAsia="宋体" w:hint="default"/>
                <w:sz w:val="18"/>
                <w:szCs w:val="18"/>
              </w:rPr>
              <w:t>子公司名称</w:t>
            </w:r>
          </w:p>
        </w:tc>
      </w:tr>
      <w:tr>
        <w:trPr>
          <w:trHeight w:val="322" w:hRule="exact"/>
        </w:trPr>
        <w:tc>
          <w:tcPr>
            <w:tcW w:w="7813" w:type="dxa"/>
            <w:tcBorders>
              <w:top w:val="single" w:sz="4" w:space="0" w:color="000000"/>
              <w:left w:val="nil" w:sz="6" w:space="0" w:color="auto"/>
              <w:bottom w:val="single" w:sz="4" w:space="0" w:color="000000"/>
              <w:right w:val="nil" w:sz="6" w:space="0" w:color="auto"/>
            </w:tcBorders>
          </w:tcPr>
          <w:p>
            <w:pPr>
              <w:pStyle w:val="TableParagraph"/>
              <w:spacing w:line="262" w:lineRule="exact"/>
              <w:ind w:left="105" w:right="0"/>
              <w:jc w:val="left"/>
              <w:rPr>
                <w:rFonts w:ascii="宋体" w:hAnsi="宋体" w:cs="宋体" w:eastAsia="宋体" w:hint="default"/>
                <w:sz w:val="21"/>
                <w:szCs w:val="21"/>
              </w:rPr>
            </w:pPr>
            <w:r>
              <w:rPr>
                <w:rFonts w:ascii="宋体" w:hAnsi="宋体" w:cs="宋体" w:eastAsia="宋体" w:hint="default"/>
                <w:sz w:val="21"/>
                <w:szCs w:val="21"/>
              </w:rPr>
              <w:t>海门市林洋新能源电力有限公司</w:t>
            </w:r>
            <w:r>
              <w:rPr>
                <w:rFonts w:ascii="宋体" w:hAnsi="宋体" w:cs="宋体" w:eastAsia="宋体" w:hint="default"/>
                <w:sz w:val="21"/>
                <w:szCs w:val="21"/>
              </w:rPr>
              <w:t> </w:t>
            </w:r>
          </w:p>
        </w:tc>
      </w:tr>
      <w:tr>
        <w:trPr>
          <w:trHeight w:val="322" w:hRule="exact"/>
        </w:trPr>
        <w:tc>
          <w:tcPr>
            <w:tcW w:w="7813" w:type="dxa"/>
            <w:tcBorders>
              <w:top w:val="single" w:sz="4" w:space="0" w:color="000000"/>
              <w:left w:val="nil" w:sz="6" w:space="0" w:color="auto"/>
              <w:bottom w:val="single" w:sz="4" w:space="0" w:color="000000"/>
              <w:right w:val="nil" w:sz="6" w:space="0" w:color="auto"/>
            </w:tcBorders>
          </w:tcPr>
          <w:p>
            <w:pPr>
              <w:pStyle w:val="TableParagraph"/>
              <w:spacing w:line="262" w:lineRule="exact"/>
              <w:ind w:left="105" w:right="0"/>
              <w:jc w:val="left"/>
              <w:rPr>
                <w:rFonts w:ascii="宋体" w:hAnsi="宋体" w:cs="宋体" w:eastAsia="宋体" w:hint="default"/>
                <w:sz w:val="21"/>
                <w:szCs w:val="21"/>
              </w:rPr>
            </w:pPr>
            <w:r>
              <w:rPr>
                <w:rFonts w:ascii="宋体" w:hAnsi="宋体" w:cs="宋体" w:eastAsia="宋体" w:hint="default"/>
                <w:sz w:val="21"/>
                <w:szCs w:val="21"/>
              </w:rPr>
              <w:t>南通华陆新能源科技有限公司</w:t>
            </w:r>
            <w:r>
              <w:rPr>
                <w:rFonts w:ascii="宋体" w:hAnsi="宋体" w:cs="宋体" w:eastAsia="宋体" w:hint="default"/>
                <w:sz w:val="21"/>
                <w:szCs w:val="21"/>
              </w:rPr>
              <w:t> </w:t>
            </w:r>
          </w:p>
        </w:tc>
      </w:tr>
      <w:tr>
        <w:trPr>
          <w:trHeight w:val="324" w:hRule="exact"/>
        </w:trPr>
        <w:tc>
          <w:tcPr>
            <w:tcW w:w="7813" w:type="dxa"/>
            <w:tcBorders>
              <w:top w:val="single" w:sz="4" w:space="0" w:color="000000"/>
              <w:left w:val="nil" w:sz="6" w:space="0" w:color="auto"/>
              <w:bottom w:val="single" w:sz="4" w:space="0" w:color="000000"/>
              <w:right w:val="nil" w:sz="6" w:space="0" w:color="auto"/>
            </w:tcBorders>
          </w:tcPr>
          <w:p>
            <w:pPr>
              <w:pStyle w:val="TableParagraph"/>
              <w:spacing w:line="265" w:lineRule="exact"/>
              <w:ind w:left="105" w:right="0"/>
              <w:jc w:val="left"/>
              <w:rPr>
                <w:rFonts w:ascii="宋体" w:hAnsi="宋体" w:cs="宋体" w:eastAsia="宋体" w:hint="default"/>
                <w:sz w:val="21"/>
                <w:szCs w:val="21"/>
              </w:rPr>
            </w:pPr>
            <w:r>
              <w:rPr>
                <w:rFonts w:ascii="宋体" w:hAnsi="宋体" w:cs="宋体" w:eastAsia="宋体" w:hint="default"/>
                <w:sz w:val="21"/>
                <w:szCs w:val="21"/>
              </w:rPr>
              <w:t>南通林森新能源科技有限公司</w:t>
            </w:r>
            <w:r>
              <w:rPr>
                <w:rFonts w:ascii="宋体" w:hAnsi="宋体" w:cs="宋体" w:eastAsia="宋体" w:hint="default"/>
                <w:sz w:val="21"/>
                <w:szCs w:val="21"/>
              </w:rPr>
              <w:t> </w:t>
            </w:r>
          </w:p>
        </w:tc>
      </w:tr>
      <w:tr>
        <w:trPr>
          <w:trHeight w:val="322" w:hRule="exact"/>
        </w:trPr>
        <w:tc>
          <w:tcPr>
            <w:tcW w:w="7813" w:type="dxa"/>
            <w:tcBorders>
              <w:top w:val="single" w:sz="4" w:space="0" w:color="000000"/>
              <w:left w:val="nil" w:sz="6" w:space="0" w:color="auto"/>
              <w:bottom w:val="single" w:sz="4" w:space="0" w:color="000000"/>
              <w:right w:val="nil" w:sz="6" w:space="0" w:color="auto"/>
            </w:tcBorders>
          </w:tcPr>
          <w:p>
            <w:pPr>
              <w:pStyle w:val="TableParagraph"/>
              <w:spacing w:line="262" w:lineRule="exact"/>
              <w:ind w:left="105" w:right="0"/>
              <w:jc w:val="left"/>
              <w:rPr>
                <w:rFonts w:ascii="宋体" w:hAnsi="宋体" w:cs="宋体" w:eastAsia="宋体" w:hint="default"/>
                <w:sz w:val="21"/>
                <w:szCs w:val="21"/>
              </w:rPr>
            </w:pPr>
            <w:r>
              <w:rPr>
                <w:rFonts w:ascii="宋体" w:hAnsi="宋体" w:cs="宋体" w:eastAsia="宋体" w:hint="default"/>
                <w:sz w:val="21"/>
                <w:szCs w:val="21"/>
              </w:rPr>
              <w:t>江苏永林新能源科技有限公司</w:t>
            </w:r>
            <w:r>
              <w:rPr>
                <w:rFonts w:ascii="宋体" w:hAnsi="宋体" w:cs="宋体" w:eastAsia="宋体" w:hint="default"/>
                <w:sz w:val="21"/>
                <w:szCs w:val="21"/>
              </w:rPr>
              <w:t> </w:t>
            </w:r>
          </w:p>
        </w:tc>
      </w:tr>
      <w:tr>
        <w:trPr>
          <w:trHeight w:val="322" w:hRule="exact"/>
        </w:trPr>
        <w:tc>
          <w:tcPr>
            <w:tcW w:w="7813" w:type="dxa"/>
            <w:tcBorders>
              <w:top w:val="single" w:sz="4" w:space="0" w:color="000000"/>
              <w:left w:val="nil" w:sz="6" w:space="0" w:color="auto"/>
              <w:bottom w:val="single" w:sz="4" w:space="0" w:color="000000"/>
              <w:right w:val="nil" w:sz="6" w:space="0" w:color="auto"/>
            </w:tcBorders>
          </w:tcPr>
          <w:p>
            <w:pPr>
              <w:pStyle w:val="TableParagraph"/>
              <w:spacing w:line="262" w:lineRule="exact"/>
              <w:ind w:left="105" w:right="0"/>
              <w:jc w:val="left"/>
              <w:rPr>
                <w:rFonts w:ascii="宋体" w:hAnsi="宋体" w:cs="宋体" w:eastAsia="宋体" w:hint="default"/>
                <w:sz w:val="21"/>
                <w:szCs w:val="21"/>
              </w:rPr>
            </w:pPr>
            <w:r>
              <w:rPr>
                <w:rFonts w:ascii="宋体" w:hAnsi="宋体" w:cs="宋体" w:eastAsia="宋体" w:hint="default"/>
                <w:sz w:val="21"/>
                <w:szCs w:val="21"/>
              </w:rPr>
              <w:t>南通市华乐新能源电力有限公司</w:t>
            </w:r>
            <w:r>
              <w:rPr>
                <w:rFonts w:ascii="宋体" w:hAnsi="宋体" w:cs="宋体" w:eastAsia="宋体" w:hint="default"/>
                <w:sz w:val="21"/>
                <w:szCs w:val="21"/>
              </w:rPr>
              <w:t> </w:t>
            </w:r>
          </w:p>
        </w:tc>
      </w:tr>
      <w:tr>
        <w:trPr>
          <w:trHeight w:val="322" w:hRule="exact"/>
        </w:trPr>
        <w:tc>
          <w:tcPr>
            <w:tcW w:w="7813" w:type="dxa"/>
            <w:tcBorders>
              <w:top w:val="single" w:sz="4" w:space="0" w:color="000000"/>
              <w:left w:val="nil" w:sz="6" w:space="0" w:color="auto"/>
              <w:bottom w:val="single" w:sz="4" w:space="0" w:color="000000"/>
              <w:right w:val="nil" w:sz="6" w:space="0" w:color="auto"/>
            </w:tcBorders>
          </w:tcPr>
          <w:p>
            <w:pPr>
              <w:pStyle w:val="TableParagraph"/>
              <w:spacing w:line="262" w:lineRule="exact"/>
              <w:ind w:left="105" w:right="0"/>
              <w:jc w:val="left"/>
              <w:rPr>
                <w:rFonts w:ascii="宋体" w:hAnsi="宋体" w:cs="宋体" w:eastAsia="宋体" w:hint="default"/>
                <w:sz w:val="21"/>
                <w:szCs w:val="21"/>
              </w:rPr>
            </w:pPr>
            <w:r>
              <w:rPr>
                <w:rFonts w:ascii="宋体" w:hAnsi="宋体" w:cs="宋体" w:eastAsia="宋体" w:hint="default"/>
                <w:sz w:val="21"/>
                <w:szCs w:val="21"/>
              </w:rPr>
              <w:t>启东市华虹新能源电力有限公司</w:t>
            </w:r>
            <w:r>
              <w:rPr>
                <w:rFonts w:ascii="宋体" w:hAnsi="宋体" w:cs="宋体" w:eastAsia="宋体" w:hint="default"/>
                <w:sz w:val="21"/>
                <w:szCs w:val="21"/>
              </w:rPr>
              <w:t> </w:t>
            </w:r>
          </w:p>
        </w:tc>
      </w:tr>
      <w:tr>
        <w:trPr>
          <w:trHeight w:val="322" w:hRule="exact"/>
        </w:trPr>
        <w:tc>
          <w:tcPr>
            <w:tcW w:w="7813" w:type="dxa"/>
            <w:tcBorders>
              <w:top w:val="single" w:sz="4" w:space="0" w:color="000000"/>
              <w:left w:val="nil" w:sz="6" w:space="0" w:color="auto"/>
              <w:bottom w:val="single" w:sz="4" w:space="0" w:color="000000"/>
              <w:right w:val="nil" w:sz="6" w:space="0" w:color="auto"/>
            </w:tcBorders>
          </w:tcPr>
          <w:p>
            <w:pPr>
              <w:pStyle w:val="TableParagraph"/>
              <w:spacing w:line="262" w:lineRule="exact"/>
              <w:ind w:left="105" w:right="0"/>
              <w:jc w:val="left"/>
              <w:rPr>
                <w:rFonts w:ascii="宋体" w:hAnsi="宋体" w:cs="宋体" w:eastAsia="宋体" w:hint="default"/>
                <w:sz w:val="21"/>
                <w:szCs w:val="21"/>
              </w:rPr>
            </w:pPr>
            <w:r>
              <w:rPr>
                <w:rFonts w:ascii="宋体" w:hAnsi="宋体" w:cs="宋体" w:eastAsia="宋体" w:hint="default"/>
                <w:sz w:val="21"/>
                <w:szCs w:val="21"/>
              </w:rPr>
              <w:t>启东市华乐新能源电力有限公司</w:t>
            </w:r>
            <w:r>
              <w:rPr>
                <w:rFonts w:ascii="宋体" w:hAnsi="宋体" w:cs="宋体" w:eastAsia="宋体" w:hint="default"/>
                <w:sz w:val="21"/>
                <w:szCs w:val="21"/>
              </w:rPr>
              <w:t> </w:t>
            </w:r>
          </w:p>
        </w:tc>
      </w:tr>
      <w:tr>
        <w:trPr>
          <w:trHeight w:val="322" w:hRule="exact"/>
        </w:trPr>
        <w:tc>
          <w:tcPr>
            <w:tcW w:w="7813" w:type="dxa"/>
            <w:tcBorders>
              <w:top w:val="single" w:sz="4" w:space="0" w:color="000000"/>
              <w:left w:val="nil" w:sz="6" w:space="0" w:color="auto"/>
              <w:bottom w:val="single" w:sz="4" w:space="0" w:color="000000"/>
              <w:right w:val="nil" w:sz="6" w:space="0" w:color="auto"/>
            </w:tcBorders>
          </w:tcPr>
          <w:p>
            <w:pPr>
              <w:pStyle w:val="TableParagraph"/>
              <w:spacing w:line="262" w:lineRule="exact"/>
              <w:ind w:left="105" w:right="0"/>
              <w:jc w:val="left"/>
              <w:rPr>
                <w:rFonts w:ascii="宋体" w:hAnsi="宋体" w:cs="宋体" w:eastAsia="宋体" w:hint="default"/>
                <w:sz w:val="21"/>
                <w:szCs w:val="21"/>
              </w:rPr>
            </w:pPr>
            <w:r>
              <w:rPr>
                <w:rFonts w:ascii="宋体" w:hAnsi="宋体" w:cs="宋体" w:eastAsia="宋体" w:hint="default"/>
                <w:sz w:val="21"/>
                <w:szCs w:val="21"/>
              </w:rPr>
              <w:t>如皋市林洋新能源电力有限公司</w:t>
            </w:r>
            <w:r>
              <w:rPr>
                <w:rFonts w:ascii="宋体" w:hAnsi="宋体" w:cs="宋体" w:eastAsia="宋体" w:hint="default"/>
                <w:sz w:val="21"/>
                <w:szCs w:val="21"/>
              </w:rPr>
              <w:t> </w:t>
            </w:r>
          </w:p>
        </w:tc>
      </w:tr>
      <w:tr>
        <w:trPr>
          <w:trHeight w:val="324" w:hRule="exact"/>
        </w:trPr>
        <w:tc>
          <w:tcPr>
            <w:tcW w:w="7813" w:type="dxa"/>
            <w:tcBorders>
              <w:top w:val="single" w:sz="4" w:space="0" w:color="000000"/>
              <w:left w:val="nil" w:sz="6" w:space="0" w:color="auto"/>
              <w:bottom w:val="single" w:sz="4" w:space="0" w:color="000000"/>
              <w:right w:val="nil" w:sz="6" w:space="0" w:color="auto"/>
            </w:tcBorders>
          </w:tcPr>
          <w:p>
            <w:pPr>
              <w:pStyle w:val="TableParagraph"/>
              <w:spacing w:line="265" w:lineRule="exact"/>
              <w:ind w:left="105" w:right="0"/>
              <w:jc w:val="left"/>
              <w:rPr>
                <w:rFonts w:ascii="宋体" w:hAnsi="宋体" w:cs="宋体" w:eastAsia="宋体" w:hint="default"/>
                <w:sz w:val="21"/>
                <w:szCs w:val="21"/>
              </w:rPr>
            </w:pPr>
            <w:r>
              <w:rPr>
                <w:rFonts w:ascii="宋体" w:hAnsi="宋体" w:cs="宋体" w:eastAsia="宋体" w:hint="default"/>
                <w:sz w:val="21"/>
                <w:szCs w:val="21"/>
              </w:rPr>
              <w:t>启东市永乐新能源电力有限公司</w:t>
            </w:r>
            <w:r>
              <w:rPr>
                <w:rFonts w:ascii="宋体" w:hAnsi="宋体" w:cs="宋体" w:eastAsia="宋体" w:hint="default"/>
                <w:sz w:val="21"/>
                <w:szCs w:val="21"/>
              </w:rPr>
              <w:t> </w:t>
            </w:r>
          </w:p>
        </w:tc>
      </w:tr>
      <w:tr>
        <w:trPr>
          <w:trHeight w:val="322" w:hRule="exact"/>
        </w:trPr>
        <w:tc>
          <w:tcPr>
            <w:tcW w:w="7813" w:type="dxa"/>
            <w:tcBorders>
              <w:top w:val="single" w:sz="4" w:space="0" w:color="000000"/>
              <w:left w:val="nil" w:sz="6" w:space="0" w:color="auto"/>
              <w:bottom w:val="single" w:sz="4" w:space="0" w:color="000000"/>
              <w:right w:val="nil" w:sz="6" w:space="0" w:color="auto"/>
            </w:tcBorders>
          </w:tcPr>
          <w:p>
            <w:pPr>
              <w:pStyle w:val="TableParagraph"/>
              <w:spacing w:line="262" w:lineRule="exact"/>
              <w:ind w:left="105" w:right="0"/>
              <w:jc w:val="left"/>
              <w:rPr>
                <w:rFonts w:ascii="宋体" w:hAnsi="宋体" w:cs="宋体" w:eastAsia="宋体" w:hint="default"/>
                <w:sz w:val="21"/>
                <w:szCs w:val="21"/>
              </w:rPr>
            </w:pPr>
            <w:r>
              <w:rPr>
                <w:rFonts w:ascii="宋体" w:hAnsi="宋体" w:cs="宋体" w:eastAsia="宋体" w:hint="default"/>
                <w:sz w:val="21"/>
                <w:szCs w:val="21"/>
              </w:rPr>
              <w:t>灌云永贯新能源科技有限公司</w:t>
            </w:r>
            <w:r>
              <w:rPr>
                <w:rFonts w:ascii="宋体" w:hAnsi="宋体" w:cs="宋体" w:eastAsia="宋体" w:hint="default"/>
                <w:sz w:val="21"/>
                <w:szCs w:val="21"/>
              </w:rPr>
              <w:t> </w:t>
            </w:r>
          </w:p>
        </w:tc>
      </w:tr>
      <w:tr>
        <w:trPr>
          <w:trHeight w:val="322" w:hRule="exact"/>
        </w:trPr>
        <w:tc>
          <w:tcPr>
            <w:tcW w:w="7813" w:type="dxa"/>
            <w:tcBorders>
              <w:top w:val="single" w:sz="4" w:space="0" w:color="000000"/>
              <w:left w:val="nil" w:sz="6" w:space="0" w:color="auto"/>
              <w:bottom w:val="single" w:sz="4" w:space="0" w:color="000000"/>
              <w:right w:val="nil" w:sz="6" w:space="0" w:color="auto"/>
            </w:tcBorders>
          </w:tcPr>
          <w:p>
            <w:pPr>
              <w:pStyle w:val="TableParagraph"/>
              <w:spacing w:line="263" w:lineRule="exact"/>
              <w:ind w:left="105" w:right="0"/>
              <w:jc w:val="left"/>
              <w:rPr>
                <w:rFonts w:ascii="宋体" w:hAnsi="宋体" w:cs="宋体" w:eastAsia="宋体" w:hint="default"/>
                <w:sz w:val="21"/>
                <w:szCs w:val="21"/>
              </w:rPr>
            </w:pPr>
            <w:r>
              <w:rPr>
                <w:rFonts w:ascii="宋体" w:hAnsi="宋体" w:cs="宋体" w:eastAsia="宋体" w:hint="default"/>
                <w:sz w:val="21"/>
                <w:szCs w:val="21"/>
              </w:rPr>
              <w:t>南京华耀新能源科技有限公司</w:t>
            </w:r>
            <w:r>
              <w:rPr>
                <w:rFonts w:ascii="宋体" w:hAnsi="宋体" w:cs="宋体" w:eastAsia="宋体" w:hint="default"/>
                <w:sz w:val="21"/>
                <w:szCs w:val="21"/>
              </w:rPr>
              <w:t> </w:t>
            </w:r>
          </w:p>
        </w:tc>
      </w:tr>
      <w:tr>
        <w:trPr>
          <w:trHeight w:val="322" w:hRule="exact"/>
        </w:trPr>
        <w:tc>
          <w:tcPr>
            <w:tcW w:w="7813" w:type="dxa"/>
            <w:tcBorders>
              <w:top w:val="single" w:sz="4" w:space="0" w:color="000000"/>
              <w:left w:val="nil" w:sz="6" w:space="0" w:color="auto"/>
              <w:bottom w:val="single" w:sz="4" w:space="0" w:color="000000"/>
              <w:right w:val="nil" w:sz="6" w:space="0" w:color="auto"/>
            </w:tcBorders>
          </w:tcPr>
          <w:p>
            <w:pPr>
              <w:pStyle w:val="TableParagraph"/>
              <w:spacing w:line="262" w:lineRule="exact"/>
              <w:ind w:left="105" w:right="0"/>
              <w:jc w:val="left"/>
              <w:rPr>
                <w:rFonts w:ascii="宋体" w:hAnsi="宋体" w:cs="宋体" w:eastAsia="宋体" w:hint="default"/>
                <w:sz w:val="21"/>
                <w:szCs w:val="21"/>
              </w:rPr>
            </w:pPr>
            <w:r>
              <w:rPr>
                <w:rFonts w:ascii="宋体" w:hAnsi="宋体" w:cs="宋体" w:eastAsia="宋体" w:hint="default"/>
                <w:sz w:val="21"/>
                <w:szCs w:val="21"/>
              </w:rPr>
              <w:t>沈阳林洋新能源科技有限公司</w:t>
            </w:r>
            <w:r>
              <w:rPr>
                <w:rFonts w:ascii="宋体" w:hAnsi="宋体" w:cs="宋体" w:eastAsia="宋体" w:hint="default"/>
                <w:sz w:val="21"/>
                <w:szCs w:val="21"/>
              </w:rPr>
              <w:t> </w:t>
            </w:r>
          </w:p>
        </w:tc>
      </w:tr>
      <w:tr>
        <w:trPr>
          <w:trHeight w:val="322" w:hRule="exact"/>
        </w:trPr>
        <w:tc>
          <w:tcPr>
            <w:tcW w:w="7813" w:type="dxa"/>
            <w:tcBorders>
              <w:top w:val="single" w:sz="4" w:space="0" w:color="000000"/>
              <w:left w:val="nil" w:sz="6" w:space="0" w:color="auto"/>
              <w:bottom w:val="single" w:sz="4" w:space="0" w:color="000000"/>
              <w:right w:val="nil" w:sz="6" w:space="0" w:color="auto"/>
            </w:tcBorders>
          </w:tcPr>
          <w:p>
            <w:pPr>
              <w:pStyle w:val="TableParagraph"/>
              <w:spacing w:line="262" w:lineRule="exact"/>
              <w:ind w:left="105" w:right="0"/>
              <w:jc w:val="left"/>
              <w:rPr>
                <w:rFonts w:ascii="宋体" w:hAnsi="宋体" w:cs="宋体" w:eastAsia="宋体" w:hint="default"/>
                <w:sz w:val="21"/>
                <w:szCs w:val="21"/>
              </w:rPr>
            </w:pPr>
            <w:r>
              <w:rPr>
                <w:rFonts w:ascii="宋体" w:hAnsi="宋体" w:cs="宋体" w:eastAsia="宋体" w:hint="default"/>
                <w:sz w:val="21"/>
                <w:szCs w:val="21"/>
              </w:rPr>
              <w:t>沈阳林博新能源科技有限公司</w:t>
            </w:r>
            <w:r>
              <w:rPr>
                <w:rFonts w:ascii="宋体" w:hAnsi="宋体" w:cs="宋体" w:eastAsia="宋体" w:hint="default"/>
                <w:sz w:val="21"/>
                <w:szCs w:val="21"/>
              </w:rPr>
              <w:t> </w:t>
            </w:r>
          </w:p>
        </w:tc>
      </w:tr>
      <w:tr>
        <w:trPr>
          <w:trHeight w:val="322" w:hRule="exact"/>
        </w:trPr>
        <w:tc>
          <w:tcPr>
            <w:tcW w:w="7813" w:type="dxa"/>
            <w:tcBorders>
              <w:top w:val="single" w:sz="4" w:space="0" w:color="000000"/>
              <w:left w:val="nil" w:sz="6" w:space="0" w:color="auto"/>
              <w:bottom w:val="single" w:sz="4" w:space="0" w:color="000000"/>
              <w:right w:val="nil" w:sz="6" w:space="0" w:color="auto"/>
            </w:tcBorders>
          </w:tcPr>
          <w:p>
            <w:pPr>
              <w:pStyle w:val="TableParagraph"/>
              <w:spacing w:line="262" w:lineRule="exact"/>
              <w:ind w:left="105" w:right="0"/>
              <w:jc w:val="left"/>
              <w:rPr>
                <w:rFonts w:ascii="宋体" w:hAnsi="宋体" w:cs="宋体" w:eastAsia="宋体" w:hint="default"/>
                <w:sz w:val="21"/>
                <w:szCs w:val="21"/>
              </w:rPr>
            </w:pPr>
            <w:r>
              <w:rPr>
                <w:rFonts w:ascii="宋体" w:hAnsi="宋体" w:cs="宋体" w:eastAsia="宋体" w:hint="default"/>
                <w:sz w:val="21"/>
                <w:szCs w:val="21"/>
              </w:rPr>
              <w:t>铁岭林华新能源科技有限公司</w:t>
            </w:r>
            <w:r>
              <w:rPr>
                <w:rFonts w:ascii="宋体" w:hAnsi="宋体" w:cs="宋体" w:eastAsia="宋体" w:hint="default"/>
                <w:sz w:val="21"/>
                <w:szCs w:val="21"/>
              </w:rPr>
              <w:t> </w:t>
            </w:r>
          </w:p>
        </w:tc>
      </w:tr>
      <w:tr>
        <w:trPr>
          <w:trHeight w:val="324" w:hRule="exact"/>
        </w:trPr>
        <w:tc>
          <w:tcPr>
            <w:tcW w:w="7813" w:type="dxa"/>
            <w:tcBorders>
              <w:top w:val="single" w:sz="4" w:space="0" w:color="000000"/>
              <w:left w:val="nil" w:sz="6" w:space="0" w:color="auto"/>
              <w:bottom w:val="single" w:sz="4" w:space="0" w:color="000000"/>
              <w:right w:val="nil" w:sz="6" w:space="0" w:color="auto"/>
            </w:tcBorders>
          </w:tcPr>
          <w:p>
            <w:pPr>
              <w:pStyle w:val="TableParagraph"/>
              <w:spacing w:line="265" w:lineRule="exact"/>
              <w:ind w:left="105" w:right="0"/>
              <w:jc w:val="left"/>
              <w:rPr>
                <w:rFonts w:ascii="宋体" w:hAnsi="宋体" w:cs="宋体" w:eastAsia="宋体" w:hint="default"/>
                <w:sz w:val="21"/>
                <w:szCs w:val="21"/>
              </w:rPr>
            </w:pPr>
            <w:r>
              <w:rPr>
                <w:rFonts w:ascii="宋体" w:hAnsi="宋体" w:cs="宋体" w:eastAsia="宋体" w:hint="default"/>
                <w:sz w:val="21"/>
                <w:szCs w:val="21"/>
              </w:rPr>
              <w:t>铁岭林乾新能源科技有限公司</w:t>
            </w:r>
            <w:r>
              <w:rPr>
                <w:rFonts w:ascii="宋体" w:hAnsi="宋体" w:cs="宋体" w:eastAsia="宋体" w:hint="default"/>
                <w:sz w:val="21"/>
                <w:szCs w:val="21"/>
              </w:rPr>
              <w:t> </w:t>
            </w:r>
          </w:p>
        </w:tc>
      </w:tr>
      <w:tr>
        <w:trPr>
          <w:trHeight w:val="322" w:hRule="exact"/>
        </w:trPr>
        <w:tc>
          <w:tcPr>
            <w:tcW w:w="7813" w:type="dxa"/>
            <w:tcBorders>
              <w:top w:val="single" w:sz="4" w:space="0" w:color="000000"/>
              <w:left w:val="nil" w:sz="6" w:space="0" w:color="auto"/>
              <w:bottom w:val="single" w:sz="4" w:space="0" w:color="000000"/>
              <w:right w:val="nil" w:sz="6" w:space="0" w:color="auto"/>
            </w:tcBorders>
          </w:tcPr>
          <w:p>
            <w:pPr>
              <w:pStyle w:val="TableParagraph"/>
              <w:spacing w:line="262" w:lineRule="exact"/>
              <w:ind w:left="105" w:right="0"/>
              <w:jc w:val="left"/>
              <w:rPr>
                <w:rFonts w:ascii="宋体" w:hAnsi="宋体" w:cs="宋体" w:eastAsia="宋体" w:hint="default"/>
                <w:sz w:val="21"/>
                <w:szCs w:val="21"/>
              </w:rPr>
            </w:pPr>
            <w:r>
              <w:rPr>
                <w:rFonts w:ascii="宋体" w:hAnsi="宋体" w:cs="宋体" w:eastAsia="宋体" w:hint="default"/>
                <w:sz w:val="21"/>
                <w:szCs w:val="21"/>
              </w:rPr>
              <w:t>辽宁林洋新能源科技有限公司</w:t>
            </w:r>
            <w:r>
              <w:rPr>
                <w:rFonts w:ascii="宋体" w:hAnsi="宋体" w:cs="宋体" w:eastAsia="宋体" w:hint="default"/>
                <w:sz w:val="21"/>
                <w:szCs w:val="21"/>
              </w:rPr>
              <w:t> </w:t>
            </w:r>
          </w:p>
        </w:tc>
      </w:tr>
      <w:tr>
        <w:trPr>
          <w:trHeight w:val="322" w:hRule="exact"/>
        </w:trPr>
        <w:tc>
          <w:tcPr>
            <w:tcW w:w="7813" w:type="dxa"/>
            <w:tcBorders>
              <w:top w:val="single" w:sz="4" w:space="0" w:color="000000"/>
              <w:left w:val="nil" w:sz="6" w:space="0" w:color="auto"/>
              <w:bottom w:val="single" w:sz="4" w:space="0" w:color="000000"/>
              <w:right w:val="nil" w:sz="6" w:space="0" w:color="auto"/>
            </w:tcBorders>
          </w:tcPr>
          <w:p>
            <w:pPr>
              <w:pStyle w:val="TableParagraph"/>
              <w:spacing w:line="262" w:lineRule="exact"/>
              <w:ind w:left="105" w:right="0"/>
              <w:jc w:val="left"/>
              <w:rPr>
                <w:rFonts w:ascii="宋体" w:hAnsi="宋体" w:cs="宋体" w:eastAsia="宋体" w:hint="default"/>
                <w:sz w:val="21"/>
                <w:szCs w:val="21"/>
              </w:rPr>
            </w:pPr>
            <w:r>
              <w:rPr>
                <w:rFonts w:ascii="宋体" w:hAnsi="宋体" w:cs="宋体" w:eastAsia="宋体" w:hint="default"/>
                <w:sz w:val="21"/>
                <w:szCs w:val="21"/>
              </w:rPr>
              <w:t>铁岭林燕新能源科技有限公司</w:t>
            </w:r>
            <w:r>
              <w:rPr>
                <w:rFonts w:ascii="宋体" w:hAnsi="宋体" w:cs="宋体" w:eastAsia="宋体" w:hint="default"/>
                <w:sz w:val="21"/>
                <w:szCs w:val="21"/>
              </w:rPr>
              <w:t> </w:t>
            </w:r>
          </w:p>
        </w:tc>
      </w:tr>
      <w:tr>
        <w:trPr>
          <w:trHeight w:val="322" w:hRule="exact"/>
        </w:trPr>
        <w:tc>
          <w:tcPr>
            <w:tcW w:w="7813" w:type="dxa"/>
            <w:tcBorders>
              <w:top w:val="single" w:sz="4" w:space="0" w:color="000000"/>
              <w:left w:val="nil" w:sz="6" w:space="0" w:color="auto"/>
              <w:bottom w:val="single" w:sz="4" w:space="0" w:color="000000"/>
              <w:right w:val="nil" w:sz="6" w:space="0" w:color="auto"/>
            </w:tcBorders>
          </w:tcPr>
          <w:p>
            <w:pPr>
              <w:pStyle w:val="TableParagraph"/>
              <w:spacing w:line="262" w:lineRule="exact"/>
              <w:ind w:left="105" w:right="0"/>
              <w:jc w:val="left"/>
              <w:rPr>
                <w:rFonts w:ascii="宋体" w:hAnsi="宋体" w:cs="宋体" w:eastAsia="宋体" w:hint="default"/>
                <w:sz w:val="21"/>
                <w:szCs w:val="21"/>
              </w:rPr>
            </w:pPr>
            <w:r>
              <w:rPr>
                <w:rFonts w:ascii="宋体" w:hAnsi="宋体" w:cs="宋体" w:eastAsia="宋体" w:hint="default"/>
                <w:sz w:val="21"/>
                <w:szCs w:val="21"/>
              </w:rPr>
              <w:t>安徽林洋新能源科技有限公司</w:t>
            </w:r>
            <w:r>
              <w:rPr>
                <w:rFonts w:ascii="宋体" w:hAnsi="宋体" w:cs="宋体" w:eastAsia="宋体" w:hint="default"/>
                <w:sz w:val="21"/>
                <w:szCs w:val="21"/>
              </w:rPr>
              <w:t> </w:t>
            </w:r>
          </w:p>
        </w:tc>
      </w:tr>
      <w:tr>
        <w:trPr>
          <w:trHeight w:val="322" w:hRule="exact"/>
        </w:trPr>
        <w:tc>
          <w:tcPr>
            <w:tcW w:w="7813" w:type="dxa"/>
            <w:tcBorders>
              <w:top w:val="single" w:sz="4" w:space="0" w:color="000000"/>
              <w:left w:val="nil" w:sz="6" w:space="0" w:color="auto"/>
              <w:bottom w:val="single" w:sz="4" w:space="0" w:color="000000"/>
              <w:right w:val="nil" w:sz="6" w:space="0" w:color="auto"/>
            </w:tcBorders>
          </w:tcPr>
          <w:p>
            <w:pPr>
              <w:pStyle w:val="TableParagraph"/>
              <w:spacing w:line="262" w:lineRule="exact"/>
              <w:ind w:left="105" w:right="0"/>
              <w:jc w:val="left"/>
              <w:rPr>
                <w:rFonts w:ascii="宋体" w:hAnsi="宋体" w:cs="宋体" w:eastAsia="宋体" w:hint="default"/>
                <w:sz w:val="21"/>
                <w:szCs w:val="21"/>
              </w:rPr>
            </w:pPr>
            <w:r>
              <w:rPr>
                <w:rFonts w:ascii="宋体" w:hAnsi="宋体" w:cs="宋体" w:eastAsia="宋体" w:hint="default"/>
                <w:sz w:val="21"/>
                <w:szCs w:val="21"/>
              </w:rPr>
              <w:t>萧县耀洋新能源科技有限公司</w:t>
            </w:r>
            <w:r>
              <w:rPr>
                <w:rFonts w:ascii="宋体" w:hAnsi="宋体" w:cs="宋体" w:eastAsia="宋体" w:hint="default"/>
                <w:sz w:val="21"/>
                <w:szCs w:val="21"/>
              </w:rPr>
              <w:t> </w:t>
            </w:r>
          </w:p>
        </w:tc>
      </w:tr>
      <w:tr>
        <w:trPr>
          <w:trHeight w:val="322" w:hRule="exact"/>
        </w:trPr>
        <w:tc>
          <w:tcPr>
            <w:tcW w:w="7813" w:type="dxa"/>
            <w:tcBorders>
              <w:top w:val="single" w:sz="4" w:space="0" w:color="000000"/>
              <w:left w:val="nil" w:sz="6" w:space="0" w:color="auto"/>
              <w:bottom w:val="single" w:sz="4" w:space="0" w:color="000000"/>
              <w:right w:val="nil" w:sz="6" w:space="0" w:color="auto"/>
            </w:tcBorders>
          </w:tcPr>
          <w:p>
            <w:pPr>
              <w:pStyle w:val="TableParagraph"/>
              <w:spacing w:line="262" w:lineRule="exact"/>
              <w:ind w:left="105" w:right="0"/>
              <w:jc w:val="left"/>
              <w:rPr>
                <w:rFonts w:ascii="宋体" w:hAnsi="宋体" w:cs="宋体" w:eastAsia="宋体" w:hint="default"/>
                <w:sz w:val="21"/>
                <w:szCs w:val="21"/>
              </w:rPr>
            </w:pPr>
            <w:r>
              <w:rPr>
                <w:rFonts w:ascii="宋体" w:hAnsi="宋体" w:cs="宋体" w:eastAsia="宋体" w:hint="default"/>
                <w:sz w:val="21"/>
                <w:szCs w:val="21"/>
              </w:rPr>
              <w:t>亳州市谯城区华太新能源科技有限公司</w:t>
            </w:r>
            <w:r>
              <w:rPr>
                <w:rFonts w:ascii="宋体" w:hAnsi="宋体" w:cs="宋体" w:eastAsia="宋体" w:hint="default"/>
                <w:sz w:val="21"/>
                <w:szCs w:val="21"/>
              </w:rPr>
              <w:t> </w:t>
            </w:r>
          </w:p>
        </w:tc>
      </w:tr>
      <w:tr>
        <w:trPr>
          <w:trHeight w:val="324" w:hRule="exact"/>
        </w:trPr>
        <w:tc>
          <w:tcPr>
            <w:tcW w:w="7813" w:type="dxa"/>
            <w:tcBorders>
              <w:top w:val="single" w:sz="4" w:space="0" w:color="000000"/>
              <w:left w:val="nil" w:sz="6" w:space="0" w:color="auto"/>
              <w:bottom w:val="single" w:sz="4" w:space="0" w:color="000000"/>
              <w:right w:val="nil" w:sz="6" w:space="0" w:color="auto"/>
            </w:tcBorders>
          </w:tcPr>
          <w:p>
            <w:pPr>
              <w:pStyle w:val="TableParagraph"/>
              <w:spacing w:line="265" w:lineRule="exact"/>
              <w:ind w:left="105" w:right="0"/>
              <w:jc w:val="left"/>
              <w:rPr>
                <w:rFonts w:ascii="宋体" w:hAnsi="宋体" w:cs="宋体" w:eastAsia="宋体" w:hint="default"/>
                <w:sz w:val="21"/>
                <w:szCs w:val="21"/>
              </w:rPr>
            </w:pPr>
            <w:r>
              <w:rPr>
                <w:rFonts w:ascii="宋体" w:hAnsi="宋体" w:cs="宋体" w:eastAsia="宋体" w:hint="default"/>
                <w:sz w:val="21"/>
                <w:szCs w:val="21"/>
              </w:rPr>
              <w:t>亳州市谯城区华阳新能源科技有限公司</w:t>
            </w:r>
            <w:r>
              <w:rPr>
                <w:rFonts w:ascii="宋体" w:hAnsi="宋体" w:cs="宋体" w:eastAsia="宋体" w:hint="default"/>
                <w:sz w:val="21"/>
                <w:szCs w:val="21"/>
              </w:rPr>
              <w:t> </w:t>
            </w:r>
          </w:p>
        </w:tc>
      </w:tr>
      <w:tr>
        <w:trPr>
          <w:trHeight w:val="322" w:hRule="exact"/>
        </w:trPr>
        <w:tc>
          <w:tcPr>
            <w:tcW w:w="7813" w:type="dxa"/>
            <w:tcBorders>
              <w:top w:val="single" w:sz="4" w:space="0" w:color="000000"/>
              <w:left w:val="nil" w:sz="6" w:space="0" w:color="auto"/>
              <w:bottom w:val="single" w:sz="4" w:space="0" w:color="000000"/>
              <w:right w:val="nil" w:sz="6" w:space="0" w:color="auto"/>
            </w:tcBorders>
          </w:tcPr>
          <w:p>
            <w:pPr>
              <w:pStyle w:val="TableParagraph"/>
              <w:spacing w:line="263" w:lineRule="exact"/>
              <w:ind w:left="105" w:right="0"/>
              <w:jc w:val="left"/>
              <w:rPr>
                <w:rFonts w:ascii="宋体" w:hAnsi="宋体" w:cs="宋体" w:eastAsia="宋体" w:hint="default"/>
                <w:sz w:val="21"/>
                <w:szCs w:val="21"/>
              </w:rPr>
            </w:pPr>
            <w:r>
              <w:rPr>
                <w:rFonts w:ascii="宋体" w:hAnsi="宋体" w:cs="宋体" w:eastAsia="宋体" w:hint="default"/>
                <w:sz w:val="21"/>
                <w:szCs w:val="21"/>
              </w:rPr>
              <w:t>肥东县永耀新能源科技有限公司</w:t>
            </w:r>
            <w:r>
              <w:rPr>
                <w:rFonts w:ascii="宋体" w:hAnsi="宋体" w:cs="宋体" w:eastAsia="宋体" w:hint="default"/>
                <w:sz w:val="21"/>
                <w:szCs w:val="21"/>
              </w:rPr>
              <w:t> </w:t>
            </w:r>
          </w:p>
        </w:tc>
      </w:tr>
      <w:tr>
        <w:trPr>
          <w:trHeight w:val="322" w:hRule="exact"/>
        </w:trPr>
        <w:tc>
          <w:tcPr>
            <w:tcW w:w="7813" w:type="dxa"/>
            <w:tcBorders>
              <w:top w:val="single" w:sz="4" w:space="0" w:color="000000"/>
              <w:left w:val="nil" w:sz="6" w:space="0" w:color="auto"/>
              <w:bottom w:val="single" w:sz="4" w:space="0" w:color="000000"/>
              <w:right w:val="nil" w:sz="6" w:space="0" w:color="auto"/>
            </w:tcBorders>
          </w:tcPr>
          <w:p>
            <w:pPr>
              <w:pStyle w:val="TableParagraph"/>
              <w:spacing w:line="262" w:lineRule="exact"/>
              <w:ind w:left="105" w:right="0"/>
              <w:jc w:val="left"/>
              <w:rPr>
                <w:rFonts w:ascii="宋体" w:hAnsi="宋体" w:cs="宋体" w:eastAsia="宋体" w:hint="default"/>
                <w:sz w:val="21"/>
                <w:szCs w:val="21"/>
              </w:rPr>
            </w:pPr>
            <w:r>
              <w:rPr>
                <w:rFonts w:ascii="宋体" w:hAnsi="宋体" w:cs="宋体" w:eastAsia="宋体" w:hint="default"/>
                <w:sz w:val="21"/>
                <w:szCs w:val="21"/>
              </w:rPr>
              <w:t>肥西绿辉光伏科技工程有限公司</w:t>
            </w:r>
            <w:r>
              <w:rPr>
                <w:rFonts w:ascii="宋体" w:hAnsi="宋体" w:cs="宋体" w:eastAsia="宋体" w:hint="default"/>
                <w:sz w:val="21"/>
                <w:szCs w:val="21"/>
              </w:rPr>
              <w:t> </w:t>
            </w:r>
          </w:p>
        </w:tc>
      </w:tr>
      <w:tr>
        <w:trPr>
          <w:trHeight w:val="322" w:hRule="exact"/>
        </w:trPr>
        <w:tc>
          <w:tcPr>
            <w:tcW w:w="7813" w:type="dxa"/>
            <w:tcBorders>
              <w:top w:val="single" w:sz="4" w:space="0" w:color="000000"/>
              <w:left w:val="nil" w:sz="6" w:space="0" w:color="auto"/>
              <w:bottom w:val="single" w:sz="4" w:space="0" w:color="000000"/>
              <w:right w:val="nil" w:sz="6" w:space="0" w:color="auto"/>
            </w:tcBorders>
          </w:tcPr>
          <w:p>
            <w:pPr>
              <w:pStyle w:val="TableParagraph"/>
              <w:spacing w:line="262" w:lineRule="exact"/>
              <w:ind w:left="105" w:right="0"/>
              <w:jc w:val="left"/>
              <w:rPr>
                <w:rFonts w:ascii="宋体" w:hAnsi="宋体" w:cs="宋体" w:eastAsia="宋体" w:hint="default"/>
                <w:sz w:val="21"/>
                <w:szCs w:val="21"/>
              </w:rPr>
            </w:pPr>
            <w:r>
              <w:rPr>
                <w:rFonts w:ascii="宋体" w:hAnsi="宋体" w:cs="宋体" w:eastAsia="宋体" w:hint="default"/>
                <w:sz w:val="21"/>
                <w:szCs w:val="21"/>
              </w:rPr>
              <w:t>阜阳华明农业太阳能发电有限公司</w:t>
            </w:r>
            <w:r>
              <w:rPr>
                <w:rFonts w:ascii="宋体" w:hAnsi="宋体" w:cs="宋体" w:eastAsia="宋体" w:hint="default"/>
                <w:sz w:val="21"/>
                <w:szCs w:val="21"/>
              </w:rPr>
              <w:t> </w:t>
            </w:r>
          </w:p>
        </w:tc>
      </w:tr>
      <w:tr>
        <w:trPr>
          <w:trHeight w:val="322" w:hRule="exact"/>
        </w:trPr>
        <w:tc>
          <w:tcPr>
            <w:tcW w:w="7813" w:type="dxa"/>
            <w:tcBorders>
              <w:top w:val="single" w:sz="4" w:space="0" w:color="000000"/>
              <w:left w:val="nil" w:sz="6" w:space="0" w:color="auto"/>
              <w:bottom w:val="single" w:sz="4" w:space="0" w:color="000000"/>
              <w:right w:val="nil" w:sz="6" w:space="0" w:color="auto"/>
            </w:tcBorders>
          </w:tcPr>
          <w:p>
            <w:pPr>
              <w:pStyle w:val="TableParagraph"/>
              <w:spacing w:line="262" w:lineRule="exact"/>
              <w:ind w:left="105" w:right="0"/>
              <w:jc w:val="left"/>
              <w:rPr>
                <w:rFonts w:ascii="宋体" w:hAnsi="宋体" w:cs="宋体" w:eastAsia="宋体" w:hint="default"/>
                <w:sz w:val="21"/>
                <w:szCs w:val="21"/>
              </w:rPr>
            </w:pPr>
            <w:r>
              <w:rPr>
                <w:rFonts w:ascii="宋体" w:hAnsi="宋体" w:cs="宋体" w:eastAsia="宋体" w:hint="default"/>
                <w:sz w:val="21"/>
                <w:szCs w:val="21"/>
              </w:rPr>
              <w:t>阜阳金明农业太阳能发电有限公司</w:t>
            </w:r>
            <w:r>
              <w:rPr>
                <w:rFonts w:ascii="宋体" w:hAnsi="宋体" w:cs="宋体" w:eastAsia="宋体" w:hint="default"/>
                <w:sz w:val="21"/>
                <w:szCs w:val="21"/>
              </w:rPr>
              <w:t> </w:t>
            </w:r>
          </w:p>
        </w:tc>
      </w:tr>
      <w:tr>
        <w:trPr>
          <w:trHeight w:val="322" w:hRule="exact"/>
        </w:trPr>
        <w:tc>
          <w:tcPr>
            <w:tcW w:w="7813" w:type="dxa"/>
            <w:tcBorders>
              <w:top w:val="single" w:sz="4" w:space="0" w:color="000000"/>
              <w:left w:val="nil" w:sz="6" w:space="0" w:color="auto"/>
              <w:bottom w:val="single" w:sz="4" w:space="0" w:color="000000"/>
              <w:right w:val="nil" w:sz="6" w:space="0" w:color="auto"/>
            </w:tcBorders>
          </w:tcPr>
          <w:p>
            <w:pPr>
              <w:pStyle w:val="TableParagraph"/>
              <w:spacing w:line="262" w:lineRule="exact"/>
              <w:ind w:left="105" w:right="0"/>
              <w:jc w:val="left"/>
              <w:rPr>
                <w:rFonts w:ascii="宋体" w:hAnsi="宋体" w:cs="宋体" w:eastAsia="宋体" w:hint="default"/>
                <w:sz w:val="21"/>
                <w:szCs w:val="21"/>
              </w:rPr>
            </w:pPr>
            <w:r>
              <w:rPr>
                <w:rFonts w:ascii="宋体" w:hAnsi="宋体" w:cs="宋体" w:eastAsia="宋体" w:hint="default"/>
                <w:sz w:val="21"/>
                <w:szCs w:val="21"/>
              </w:rPr>
              <w:t>阜阳林洋新能源科技有限公司</w:t>
            </w:r>
            <w:r>
              <w:rPr>
                <w:rFonts w:ascii="宋体" w:hAnsi="宋体" w:cs="宋体" w:eastAsia="宋体" w:hint="default"/>
                <w:sz w:val="21"/>
                <w:szCs w:val="21"/>
              </w:rPr>
              <w:t> </w:t>
            </w:r>
          </w:p>
        </w:tc>
      </w:tr>
      <w:tr>
        <w:trPr>
          <w:trHeight w:val="324" w:hRule="exact"/>
        </w:trPr>
        <w:tc>
          <w:tcPr>
            <w:tcW w:w="7813" w:type="dxa"/>
            <w:tcBorders>
              <w:top w:val="single" w:sz="4" w:space="0" w:color="000000"/>
              <w:left w:val="nil" w:sz="6" w:space="0" w:color="auto"/>
              <w:bottom w:val="single" w:sz="4" w:space="0" w:color="000000"/>
              <w:right w:val="nil" w:sz="6" w:space="0" w:color="auto"/>
            </w:tcBorders>
          </w:tcPr>
          <w:p>
            <w:pPr>
              <w:pStyle w:val="TableParagraph"/>
              <w:spacing w:line="265" w:lineRule="exact"/>
              <w:ind w:left="105" w:right="0"/>
              <w:jc w:val="left"/>
              <w:rPr>
                <w:rFonts w:ascii="宋体" w:hAnsi="宋体" w:cs="宋体" w:eastAsia="宋体" w:hint="default"/>
                <w:sz w:val="21"/>
                <w:szCs w:val="21"/>
              </w:rPr>
            </w:pPr>
            <w:r>
              <w:rPr>
                <w:rFonts w:ascii="宋体" w:hAnsi="宋体" w:cs="宋体" w:eastAsia="宋体" w:hint="default"/>
                <w:sz w:val="21"/>
                <w:szCs w:val="21"/>
              </w:rPr>
              <w:t>临泉永明太阳能发电有限公司</w:t>
            </w:r>
            <w:r>
              <w:rPr>
                <w:rFonts w:ascii="宋体" w:hAnsi="宋体" w:cs="宋体" w:eastAsia="宋体" w:hint="default"/>
                <w:sz w:val="21"/>
                <w:szCs w:val="21"/>
              </w:rPr>
              <w:t> </w:t>
            </w:r>
          </w:p>
        </w:tc>
      </w:tr>
      <w:tr>
        <w:trPr>
          <w:trHeight w:val="322" w:hRule="exact"/>
        </w:trPr>
        <w:tc>
          <w:tcPr>
            <w:tcW w:w="7813" w:type="dxa"/>
            <w:tcBorders>
              <w:top w:val="single" w:sz="4" w:space="0" w:color="000000"/>
              <w:left w:val="nil" w:sz="6" w:space="0" w:color="auto"/>
              <w:bottom w:val="single" w:sz="4" w:space="0" w:color="000000"/>
              <w:right w:val="nil" w:sz="6" w:space="0" w:color="auto"/>
            </w:tcBorders>
          </w:tcPr>
          <w:p>
            <w:pPr>
              <w:pStyle w:val="TableParagraph"/>
              <w:spacing w:line="262" w:lineRule="exact"/>
              <w:ind w:left="105" w:right="0"/>
              <w:jc w:val="left"/>
              <w:rPr>
                <w:rFonts w:ascii="宋体" w:hAnsi="宋体" w:cs="宋体" w:eastAsia="宋体" w:hint="default"/>
                <w:sz w:val="21"/>
                <w:szCs w:val="21"/>
              </w:rPr>
            </w:pPr>
            <w:r>
              <w:rPr>
                <w:rFonts w:ascii="宋体" w:hAnsi="宋体" w:cs="宋体" w:eastAsia="宋体" w:hint="default"/>
                <w:sz w:val="21"/>
                <w:szCs w:val="21"/>
              </w:rPr>
              <w:t>阜阳永明农业太阳能发电有限公司</w:t>
            </w:r>
            <w:r>
              <w:rPr>
                <w:rFonts w:ascii="宋体" w:hAnsi="宋体" w:cs="宋体" w:eastAsia="宋体" w:hint="default"/>
                <w:sz w:val="21"/>
                <w:szCs w:val="21"/>
              </w:rPr>
              <w:t> </w:t>
            </w:r>
          </w:p>
        </w:tc>
      </w:tr>
      <w:tr>
        <w:trPr>
          <w:trHeight w:val="322" w:hRule="exact"/>
        </w:trPr>
        <w:tc>
          <w:tcPr>
            <w:tcW w:w="7813" w:type="dxa"/>
            <w:tcBorders>
              <w:top w:val="single" w:sz="4" w:space="0" w:color="000000"/>
              <w:left w:val="nil" w:sz="6" w:space="0" w:color="auto"/>
              <w:bottom w:val="single" w:sz="4" w:space="0" w:color="000000"/>
              <w:right w:val="nil" w:sz="6" w:space="0" w:color="auto"/>
            </w:tcBorders>
          </w:tcPr>
          <w:p>
            <w:pPr>
              <w:pStyle w:val="TableParagraph"/>
              <w:spacing w:line="262" w:lineRule="exact"/>
              <w:ind w:left="105" w:right="0"/>
              <w:jc w:val="left"/>
              <w:rPr>
                <w:rFonts w:ascii="宋体" w:hAnsi="宋体" w:cs="宋体" w:eastAsia="宋体" w:hint="default"/>
                <w:sz w:val="21"/>
                <w:szCs w:val="21"/>
              </w:rPr>
            </w:pPr>
            <w:r>
              <w:rPr>
                <w:rFonts w:ascii="宋体" w:hAnsi="宋体" w:cs="宋体" w:eastAsia="宋体" w:hint="default"/>
                <w:sz w:val="21"/>
                <w:szCs w:val="21"/>
              </w:rPr>
              <w:t>阜阳永强农业科技有限公司</w:t>
            </w:r>
            <w:r>
              <w:rPr>
                <w:rFonts w:ascii="宋体" w:hAnsi="宋体" w:cs="宋体" w:eastAsia="宋体" w:hint="default"/>
                <w:sz w:val="21"/>
                <w:szCs w:val="21"/>
              </w:rPr>
              <w:t> </w:t>
            </w:r>
          </w:p>
        </w:tc>
      </w:tr>
      <w:tr>
        <w:trPr>
          <w:trHeight w:val="322" w:hRule="exact"/>
        </w:trPr>
        <w:tc>
          <w:tcPr>
            <w:tcW w:w="7813" w:type="dxa"/>
            <w:tcBorders>
              <w:top w:val="single" w:sz="4" w:space="0" w:color="000000"/>
              <w:left w:val="nil" w:sz="6" w:space="0" w:color="auto"/>
              <w:bottom w:val="single" w:sz="4" w:space="0" w:color="000000"/>
              <w:right w:val="nil" w:sz="6" w:space="0" w:color="auto"/>
            </w:tcBorders>
          </w:tcPr>
          <w:p>
            <w:pPr>
              <w:pStyle w:val="TableParagraph"/>
              <w:spacing w:line="262" w:lineRule="exact"/>
              <w:ind w:left="105" w:right="0"/>
              <w:jc w:val="left"/>
              <w:rPr>
                <w:rFonts w:ascii="宋体" w:hAnsi="宋体" w:cs="宋体" w:eastAsia="宋体" w:hint="default"/>
                <w:sz w:val="21"/>
                <w:szCs w:val="21"/>
              </w:rPr>
            </w:pPr>
            <w:r>
              <w:rPr>
                <w:rFonts w:ascii="宋体" w:hAnsi="宋体" w:cs="宋体" w:eastAsia="宋体" w:hint="default"/>
                <w:sz w:val="21"/>
                <w:szCs w:val="21"/>
              </w:rPr>
              <w:t>合肥福润能源科技有限公司</w:t>
            </w:r>
            <w:r>
              <w:rPr>
                <w:rFonts w:ascii="宋体" w:hAnsi="宋体" w:cs="宋体" w:eastAsia="宋体" w:hint="default"/>
                <w:sz w:val="21"/>
                <w:szCs w:val="21"/>
              </w:rPr>
              <w:t> </w:t>
            </w:r>
          </w:p>
        </w:tc>
      </w:tr>
      <w:tr>
        <w:trPr>
          <w:trHeight w:val="322" w:hRule="exact"/>
        </w:trPr>
        <w:tc>
          <w:tcPr>
            <w:tcW w:w="7813" w:type="dxa"/>
            <w:tcBorders>
              <w:top w:val="single" w:sz="4" w:space="0" w:color="000000"/>
              <w:left w:val="nil" w:sz="6" w:space="0" w:color="auto"/>
              <w:bottom w:val="single" w:sz="4" w:space="0" w:color="000000"/>
              <w:right w:val="nil" w:sz="6" w:space="0" w:color="auto"/>
            </w:tcBorders>
          </w:tcPr>
          <w:p>
            <w:pPr>
              <w:pStyle w:val="TableParagraph"/>
              <w:spacing w:line="262" w:lineRule="exact"/>
              <w:ind w:left="105" w:right="0"/>
              <w:jc w:val="left"/>
              <w:rPr>
                <w:rFonts w:ascii="宋体" w:hAnsi="宋体" w:cs="宋体" w:eastAsia="宋体" w:hint="default"/>
                <w:sz w:val="21"/>
                <w:szCs w:val="21"/>
              </w:rPr>
            </w:pPr>
            <w:r>
              <w:rPr>
                <w:rFonts w:ascii="宋体" w:hAnsi="宋体" w:cs="宋体" w:eastAsia="宋体" w:hint="default"/>
                <w:sz w:val="21"/>
                <w:szCs w:val="21"/>
              </w:rPr>
              <w:t>合肥恒科光伏科技有限公司</w:t>
            </w:r>
            <w:r>
              <w:rPr>
                <w:rFonts w:ascii="宋体" w:hAnsi="宋体" w:cs="宋体" w:eastAsia="宋体" w:hint="default"/>
                <w:sz w:val="21"/>
                <w:szCs w:val="21"/>
              </w:rPr>
              <w:t> </w:t>
            </w:r>
          </w:p>
        </w:tc>
      </w:tr>
      <w:tr>
        <w:trPr>
          <w:trHeight w:val="322" w:hRule="exact"/>
        </w:trPr>
        <w:tc>
          <w:tcPr>
            <w:tcW w:w="7813" w:type="dxa"/>
            <w:tcBorders>
              <w:top w:val="single" w:sz="4" w:space="0" w:color="000000"/>
              <w:left w:val="nil" w:sz="6" w:space="0" w:color="auto"/>
              <w:bottom w:val="single" w:sz="4" w:space="0" w:color="000000"/>
              <w:right w:val="nil" w:sz="6" w:space="0" w:color="auto"/>
            </w:tcBorders>
          </w:tcPr>
          <w:p>
            <w:pPr>
              <w:pStyle w:val="TableParagraph"/>
              <w:spacing w:line="262" w:lineRule="exact"/>
              <w:ind w:left="105" w:right="0"/>
              <w:jc w:val="left"/>
              <w:rPr>
                <w:rFonts w:ascii="宋体" w:hAnsi="宋体" w:cs="宋体" w:eastAsia="宋体" w:hint="default"/>
                <w:sz w:val="21"/>
                <w:szCs w:val="21"/>
              </w:rPr>
            </w:pPr>
            <w:r>
              <w:rPr>
                <w:rFonts w:ascii="宋体" w:hAnsi="宋体" w:cs="宋体" w:eastAsia="宋体" w:hint="default"/>
                <w:sz w:val="21"/>
                <w:szCs w:val="21"/>
              </w:rPr>
              <w:t>合肥慧天云网新能源有限公司</w:t>
            </w:r>
            <w:r>
              <w:rPr>
                <w:rFonts w:ascii="宋体" w:hAnsi="宋体" w:cs="宋体" w:eastAsia="宋体" w:hint="default"/>
                <w:sz w:val="21"/>
                <w:szCs w:val="21"/>
              </w:rPr>
              <w:t> </w:t>
            </w:r>
          </w:p>
        </w:tc>
      </w:tr>
      <w:tr>
        <w:trPr>
          <w:trHeight w:val="325" w:hRule="exact"/>
        </w:trPr>
        <w:tc>
          <w:tcPr>
            <w:tcW w:w="7813" w:type="dxa"/>
            <w:tcBorders>
              <w:top w:val="single" w:sz="4" w:space="0" w:color="000000"/>
              <w:left w:val="nil" w:sz="6" w:space="0" w:color="auto"/>
              <w:bottom w:val="single" w:sz="4" w:space="0" w:color="000000"/>
              <w:right w:val="nil" w:sz="6" w:space="0" w:color="auto"/>
            </w:tcBorders>
          </w:tcPr>
          <w:p>
            <w:pPr>
              <w:pStyle w:val="TableParagraph"/>
              <w:spacing w:line="265" w:lineRule="exact"/>
              <w:ind w:left="105" w:right="0"/>
              <w:jc w:val="left"/>
              <w:rPr>
                <w:rFonts w:ascii="宋体" w:hAnsi="宋体" w:cs="宋体" w:eastAsia="宋体" w:hint="default"/>
                <w:sz w:val="21"/>
                <w:szCs w:val="21"/>
              </w:rPr>
            </w:pPr>
            <w:r>
              <w:rPr>
                <w:rFonts w:ascii="宋体" w:hAnsi="宋体" w:cs="宋体" w:eastAsia="宋体" w:hint="default"/>
                <w:sz w:val="21"/>
                <w:szCs w:val="21"/>
              </w:rPr>
              <w:t>合肥吉田新能源有限公司</w:t>
            </w:r>
            <w:r>
              <w:rPr>
                <w:rFonts w:ascii="宋体" w:hAnsi="宋体" w:cs="宋体" w:eastAsia="宋体" w:hint="default"/>
                <w:sz w:val="21"/>
                <w:szCs w:val="21"/>
              </w:rPr>
              <w:t> </w:t>
            </w:r>
          </w:p>
        </w:tc>
      </w:tr>
      <w:tr>
        <w:trPr>
          <w:trHeight w:val="322" w:hRule="exact"/>
        </w:trPr>
        <w:tc>
          <w:tcPr>
            <w:tcW w:w="7813" w:type="dxa"/>
            <w:tcBorders>
              <w:top w:val="single" w:sz="4" w:space="0" w:color="000000"/>
              <w:left w:val="nil" w:sz="6" w:space="0" w:color="auto"/>
              <w:bottom w:val="single" w:sz="4" w:space="0" w:color="000000"/>
              <w:right w:val="nil" w:sz="6" w:space="0" w:color="auto"/>
            </w:tcBorders>
          </w:tcPr>
          <w:p>
            <w:pPr>
              <w:pStyle w:val="TableParagraph"/>
              <w:spacing w:line="262" w:lineRule="exact"/>
              <w:ind w:left="105" w:right="0"/>
              <w:jc w:val="left"/>
              <w:rPr>
                <w:rFonts w:ascii="宋体" w:hAnsi="宋体" w:cs="宋体" w:eastAsia="宋体" w:hint="default"/>
                <w:sz w:val="21"/>
                <w:szCs w:val="21"/>
              </w:rPr>
            </w:pPr>
            <w:r>
              <w:rPr>
                <w:rFonts w:ascii="宋体" w:hAnsi="宋体" w:cs="宋体" w:eastAsia="宋体" w:hint="default"/>
                <w:sz w:val="21"/>
                <w:szCs w:val="21"/>
              </w:rPr>
              <w:t>界首市金明农业发展有限公司</w:t>
            </w:r>
            <w:r>
              <w:rPr>
                <w:rFonts w:ascii="宋体" w:hAnsi="宋体" w:cs="宋体" w:eastAsia="宋体" w:hint="default"/>
                <w:sz w:val="21"/>
                <w:szCs w:val="21"/>
              </w:rPr>
              <w:t> </w:t>
            </w:r>
          </w:p>
        </w:tc>
      </w:tr>
      <w:tr>
        <w:trPr>
          <w:trHeight w:val="322" w:hRule="exact"/>
        </w:trPr>
        <w:tc>
          <w:tcPr>
            <w:tcW w:w="7813" w:type="dxa"/>
            <w:tcBorders>
              <w:top w:val="single" w:sz="4" w:space="0" w:color="000000"/>
              <w:left w:val="nil" w:sz="6" w:space="0" w:color="auto"/>
              <w:bottom w:val="single" w:sz="4" w:space="0" w:color="000000"/>
              <w:right w:val="nil" w:sz="6" w:space="0" w:color="auto"/>
            </w:tcBorders>
          </w:tcPr>
          <w:p>
            <w:pPr>
              <w:pStyle w:val="TableParagraph"/>
              <w:spacing w:line="262" w:lineRule="exact"/>
              <w:ind w:left="105" w:right="0"/>
              <w:jc w:val="left"/>
              <w:rPr>
                <w:rFonts w:ascii="宋体" w:hAnsi="宋体" w:cs="宋体" w:eastAsia="宋体" w:hint="default"/>
                <w:sz w:val="21"/>
                <w:szCs w:val="21"/>
              </w:rPr>
            </w:pPr>
            <w:r>
              <w:rPr>
                <w:rFonts w:ascii="宋体" w:hAnsi="宋体" w:cs="宋体" w:eastAsia="宋体" w:hint="default"/>
                <w:sz w:val="21"/>
                <w:szCs w:val="21"/>
              </w:rPr>
              <w:t>界首市永明光伏科技有限公司</w:t>
            </w:r>
            <w:r>
              <w:rPr>
                <w:rFonts w:ascii="宋体" w:hAnsi="宋体" w:cs="宋体" w:eastAsia="宋体" w:hint="default"/>
                <w:sz w:val="21"/>
                <w:szCs w:val="21"/>
              </w:rPr>
              <w:t> </w:t>
            </w:r>
          </w:p>
        </w:tc>
      </w:tr>
      <w:tr>
        <w:trPr>
          <w:trHeight w:val="322" w:hRule="exact"/>
        </w:trPr>
        <w:tc>
          <w:tcPr>
            <w:tcW w:w="7813" w:type="dxa"/>
            <w:tcBorders>
              <w:top w:val="single" w:sz="4" w:space="0" w:color="000000"/>
              <w:left w:val="nil" w:sz="6" w:space="0" w:color="auto"/>
              <w:bottom w:val="single" w:sz="4" w:space="0" w:color="000000"/>
              <w:right w:val="nil" w:sz="6" w:space="0" w:color="auto"/>
            </w:tcBorders>
          </w:tcPr>
          <w:p>
            <w:pPr>
              <w:pStyle w:val="TableParagraph"/>
              <w:spacing w:line="262" w:lineRule="exact"/>
              <w:ind w:left="105" w:right="0"/>
              <w:jc w:val="left"/>
              <w:rPr>
                <w:rFonts w:ascii="宋体" w:hAnsi="宋体" w:cs="宋体" w:eastAsia="宋体" w:hint="default"/>
                <w:sz w:val="21"/>
                <w:szCs w:val="21"/>
              </w:rPr>
            </w:pPr>
            <w:r>
              <w:rPr>
                <w:rFonts w:ascii="宋体" w:hAnsi="宋体" w:cs="宋体" w:eastAsia="宋体" w:hint="default"/>
                <w:sz w:val="21"/>
                <w:szCs w:val="21"/>
              </w:rPr>
              <w:t>濉溪县永瑞现代农业科技有限公司</w:t>
            </w:r>
            <w:r>
              <w:rPr>
                <w:rFonts w:ascii="宋体" w:hAnsi="宋体" w:cs="宋体" w:eastAsia="宋体" w:hint="default"/>
                <w:sz w:val="21"/>
                <w:szCs w:val="21"/>
              </w:rPr>
              <w:t> </w:t>
            </w:r>
          </w:p>
        </w:tc>
      </w:tr>
      <w:tr>
        <w:trPr>
          <w:trHeight w:val="322" w:hRule="exact"/>
        </w:trPr>
        <w:tc>
          <w:tcPr>
            <w:tcW w:w="7813" w:type="dxa"/>
            <w:tcBorders>
              <w:top w:val="single" w:sz="4" w:space="0" w:color="000000"/>
              <w:left w:val="nil" w:sz="6" w:space="0" w:color="auto"/>
              <w:bottom w:val="single" w:sz="4" w:space="0" w:color="000000"/>
              <w:right w:val="nil" w:sz="6" w:space="0" w:color="auto"/>
            </w:tcBorders>
          </w:tcPr>
          <w:p>
            <w:pPr>
              <w:pStyle w:val="TableParagraph"/>
              <w:spacing w:line="262" w:lineRule="exact"/>
              <w:ind w:left="105" w:right="0"/>
              <w:jc w:val="left"/>
              <w:rPr>
                <w:rFonts w:ascii="宋体" w:hAnsi="宋体" w:cs="宋体" w:eastAsia="宋体" w:hint="default"/>
                <w:sz w:val="21"/>
                <w:szCs w:val="21"/>
              </w:rPr>
            </w:pPr>
            <w:r>
              <w:rPr>
                <w:rFonts w:ascii="宋体" w:hAnsi="宋体" w:cs="宋体" w:eastAsia="宋体" w:hint="default"/>
                <w:sz w:val="21"/>
                <w:szCs w:val="21"/>
              </w:rPr>
              <w:t>濉溪永晖新能源科技有限公司</w:t>
            </w:r>
            <w:r>
              <w:rPr>
                <w:rFonts w:ascii="宋体" w:hAnsi="宋体" w:cs="宋体" w:eastAsia="宋体" w:hint="default"/>
                <w:sz w:val="21"/>
                <w:szCs w:val="21"/>
              </w:rPr>
              <w:t> </w:t>
            </w:r>
          </w:p>
        </w:tc>
      </w:tr>
      <w:tr>
        <w:trPr>
          <w:trHeight w:val="322" w:hRule="exact"/>
        </w:trPr>
        <w:tc>
          <w:tcPr>
            <w:tcW w:w="7813" w:type="dxa"/>
            <w:tcBorders>
              <w:top w:val="single" w:sz="4" w:space="0" w:color="000000"/>
              <w:left w:val="nil" w:sz="6" w:space="0" w:color="auto"/>
              <w:bottom w:val="single" w:sz="4" w:space="0" w:color="000000"/>
              <w:right w:val="nil" w:sz="6" w:space="0" w:color="auto"/>
            </w:tcBorders>
          </w:tcPr>
          <w:p>
            <w:pPr>
              <w:pStyle w:val="TableParagraph"/>
              <w:spacing w:line="262" w:lineRule="exact"/>
              <w:ind w:left="105" w:right="0"/>
              <w:jc w:val="left"/>
              <w:rPr>
                <w:rFonts w:ascii="宋体" w:hAnsi="宋体" w:cs="宋体" w:eastAsia="宋体" w:hint="default"/>
                <w:sz w:val="21"/>
                <w:szCs w:val="21"/>
              </w:rPr>
            </w:pPr>
            <w:r>
              <w:rPr>
                <w:rFonts w:ascii="宋体" w:hAnsi="宋体" w:cs="宋体" w:eastAsia="宋体" w:hint="default"/>
                <w:sz w:val="21"/>
                <w:szCs w:val="21"/>
              </w:rPr>
              <w:t>太和县金明农业科技有限公司</w:t>
            </w:r>
            <w:r>
              <w:rPr>
                <w:rFonts w:ascii="宋体" w:hAnsi="宋体" w:cs="宋体" w:eastAsia="宋体" w:hint="default"/>
                <w:sz w:val="21"/>
                <w:szCs w:val="21"/>
              </w:rPr>
              <w:t> </w:t>
            </w:r>
          </w:p>
        </w:tc>
      </w:tr>
      <w:tr>
        <w:trPr>
          <w:trHeight w:val="324" w:hRule="exact"/>
        </w:trPr>
        <w:tc>
          <w:tcPr>
            <w:tcW w:w="7813" w:type="dxa"/>
            <w:tcBorders>
              <w:top w:val="single" w:sz="4" w:space="0" w:color="000000"/>
              <w:left w:val="nil" w:sz="6" w:space="0" w:color="auto"/>
              <w:bottom w:val="single" w:sz="4" w:space="0" w:color="000000"/>
              <w:right w:val="nil" w:sz="6" w:space="0" w:color="auto"/>
            </w:tcBorders>
          </w:tcPr>
          <w:p>
            <w:pPr>
              <w:pStyle w:val="TableParagraph"/>
              <w:spacing w:line="265" w:lineRule="exact"/>
              <w:ind w:left="105" w:right="0"/>
              <w:jc w:val="left"/>
              <w:rPr>
                <w:rFonts w:ascii="宋体" w:hAnsi="宋体" w:cs="宋体" w:eastAsia="宋体" w:hint="default"/>
                <w:sz w:val="21"/>
                <w:szCs w:val="21"/>
              </w:rPr>
            </w:pPr>
            <w:r>
              <w:rPr>
                <w:rFonts w:ascii="宋体" w:hAnsi="宋体" w:cs="宋体" w:eastAsia="宋体" w:hint="default"/>
                <w:sz w:val="21"/>
                <w:szCs w:val="21"/>
              </w:rPr>
              <w:t>萧县华丰现代农业有限公司</w:t>
            </w:r>
            <w:r>
              <w:rPr>
                <w:rFonts w:ascii="宋体" w:hAnsi="宋体" w:cs="宋体" w:eastAsia="宋体" w:hint="default"/>
                <w:sz w:val="21"/>
                <w:szCs w:val="21"/>
              </w:rPr>
              <w:t> </w:t>
            </w:r>
          </w:p>
        </w:tc>
      </w:tr>
      <w:tr>
        <w:trPr>
          <w:trHeight w:val="322" w:hRule="exact"/>
        </w:trPr>
        <w:tc>
          <w:tcPr>
            <w:tcW w:w="7813" w:type="dxa"/>
            <w:tcBorders>
              <w:top w:val="single" w:sz="4" w:space="0" w:color="000000"/>
              <w:left w:val="nil" w:sz="6" w:space="0" w:color="auto"/>
              <w:bottom w:val="single" w:sz="4" w:space="0" w:color="000000"/>
              <w:right w:val="nil" w:sz="6" w:space="0" w:color="auto"/>
            </w:tcBorders>
          </w:tcPr>
          <w:p>
            <w:pPr>
              <w:pStyle w:val="TableParagraph"/>
              <w:spacing w:line="262" w:lineRule="exact"/>
              <w:ind w:left="105" w:right="0"/>
              <w:jc w:val="left"/>
              <w:rPr>
                <w:rFonts w:ascii="宋体" w:hAnsi="宋体" w:cs="宋体" w:eastAsia="宋体" w:hint="default"/>
                <w:sz w:val="21"/>
                <w:szCs w:val="21"/>
              </w:rPr>
            </w:pPr>
            <w:r>
              <w:rPr>
                <w:rFonts w:ascii="宋体" w:hAnsi="宋体" w:cs="宋体" w:eastAsia="宋体" w:hint="default"/>
                <w:sz w:val="21"/>
                <w:szCs w:val="21"/>
              </w:rPr>
              <w:t>萧县华耀农业太阳能发电有限公司</w:t>
            </w:r>
            <w:r>
              <w:rPr>
                <w:rFonts w:ascii="宋体" w:hAnsi="宋体" w:cs="宋体" w:eastAsia="宋体" w:hint="default"/>
                <w:sz w:val="21"/>
                <w:szCs w:val="21"/>
              </w:rPr>
              <w:t> </w:t>
            </w:r>
          </w:p>
        </w:tc>
      </w:tr>
      <w:tr>
        <w:trPr>
          <w:trHeight w:val="331" w:hRule="exact"/>
        </w:trPr>
        <w:tc>
          <w:tcPr>
            <w:tcW w:w="7813" w:type="dxa"/>
            <w:tcBorders>
              <w:top w:val="single" w:sz="4" w:space="0" w:color="000000"/>
              <w:left w:val="nil" w:sz="6" w:space="0" w:color="auto"/>
              <w:bottom w:val="single" w:sz="12" w:space="0" w:color="000000"/>
              <w:right w:val="nil" w:sz="6" w:space="0" w:color="auto"/>
            </w:tcBorders>
          </w:tcPr>
          <w:p>
            <w:pPr>
              <w:pStyle w:val="TableParagraph"/>
              <w:spacing w:line="262" w:lineRule="exact"/>
              <w:ind w:left="105" w:right="0"/>
              <w:jc w:val="left"/>
              <w:rPr>
                <w:rFonts w:ascii="宋体" w:hAnsi="宋体" w:cs="宋体" w:eastAsia="宋体" w:hint="default"/>
                <w:sz w:val="21"/>
                <w:szCs w:val="21"/>
              </w:rPr>
            </w:pPr>
            <w:r>
              <w:rPr>
                <w:rFonts w:ascii="宋体" w:hAnsi="宋体" w:cs="宋体" w:eastAsia="宋体" w:hint="default"/>
                <w:sz w:val="21"/>
                <w:szCs w:val="21"/>
              </w:rPr>
              <w:t>萧县裕晟新能源科技有限公司</w:t>
            </w:r>
            <w:r>
              <w:rPr>
                <w:rFonts w:ascii="宋体" w:hAnsi="宋体" w:cs="宋体" w:eastAsia="宋体" w:hint="default"/>
                <w:sz w:val="21"/>
                <w:szCs w:val="21"/>
              </w:rPr>
              <w:t> </w:t>
            </w:r>
          </w:p>
        </w:tc>
      </w:tr>
    </w:tbl>
    <w:p>
      <w:pPr>
        <w:spacing w:after="0" w:line="262" w:lineRule="exact"/>
        <w:jc w:val="left"/>
        <w:rPr>
          <w:rFonts w:ascii="宋体" w:hAnsi="宋体" w:cs="宋体" w:eastAsia="宋体" w:hint="default"/>
          <w:sz w:val="21"/>
          <w:szCs w:val="21"/>
        </w:rPr>
        <w:sectPr>
          <w:pgSz w:w="11910" w:h="16840"/>
          <w:pgMar w:header="748" w:footer="974" w:top="1140" w:bottom="1160" w:left="1060" w:right="1660"/>
        </w:sectPr>
      </w:pPr>
    </w:p>
    <w:p>
      <w:pPr>
        <w:spacing w:line="240" w:lineRule="auto" w:before="0"/>
        <w:rPr>
          <w:rFonts w:ascii="Times New Roman" w:hAnsi="Times New Roman" w:cs="Times New Roman" w:eastAsia="Times New Roman" w:hint="default"/>
          <w:sz w:val="26"/>
          <w:szCs w:val="26"/>
        </w:rPr>
      </w:pPr>
    </w:p>
    <w:tbl>
      <w:tblPr>
        <w:tblW w:w="0" w:type="auto"/>
        <w:jc w:val="left"/>
        <w:tblInd w:w="824" w:type="dxa"/>
        <w:tblLayout w:type="fixed"/>
        <w:tblCellMar>
          <w:top w:w="0" w:type="dxa"/>
          <w:left w:w="0" w:type="dxa"/>
          <w:bottom w:w="0" w:type="dxa"/>
          <w:right w:w="0" w:type="dxa"/>
        </w:tblCellMar>
        <w:tblLook w:val="01E0"/>
      </w:tblPr>
      <w:tblGrid>
        <w:gridCol w:w="7813"/>
      </w:tblGrid>
      <w:tr>
        <w:trPr>
          <w:trHeight w:val="420" w:hRule="exact"/>
        </w:trPr>
        <w:tc>
          <w:tcPr>
            <w:tcW w:w="7813" w:type="dxa"/>
            <w:tcBorders>
              <w:top w:val="single" w:sz="12" w:space="0" w:color="000000"/>
              <w:left w:val="nil" w:sz="6" w:space="0" w:color="auto"/>
              <w:bottom w:val="single" w:sz="4" w:space="0" w:color="000000"/>
              <w:right w:val="nil" w:sz="6" w:space="0" w:color="auto"/>
            </w:tcBorders>
          </w:tcPr>
          <w:p>
            <w:pPr>
              <w:pStyle w:val="TableParagraph"/>
              <w:spacing w:line="240" w:lineRule="auto" w:before="111"/>
              <w:ind w:left="-1" w:right="3"/>
              <w:jc w:val="center"/>
              <w:rPr>
                <w:rFonts w:ascii="宋体" w:hAnsi="宋体" w:cs="宋体" w:eastAsia="宋体" w:hint="default"/>
                <w:sz w:val="18"/>
                <w:szCs w:val="18"/>
              </w:rPr>
            </w:pPr>
            <w:r>
              <w:rPr>
                <w:rFonts w:ascii="宋体" w:hAnsi="宋体" w:cs="宋体" w:eastAsia="宋体" w:hint="default"/>
                <w:sz w:val="18"/>
                <w:szCs w:val="18"/>
              </w:rPr>
              <w:t>子公司名称</w:t>
            </w:r>
          </w:p>
        </w:tc>
      </w:tr>
      <w:tr>
        <w:trPr>
          <w:trHeight w:val="322" w:hRule="exact"/>
        </w:trPr>
        <w:tc>
          <w:tcPr>
            <w:tcW w:w="7813" w:type="dxa"/>
            <w:tcBorders>
              <w:top w:val="single" w:sz="4" w:space="0" w:color="000000"/>
              <w:left w:val="nil" w:sz="6" w:space="0" w:color="auto"/>
              <w:bottom w:val="single" w:sz="4" w:space="0" w:color="000000"/>
              <w:right w:val="nil" w:sz="6" w:space="0" w:color="auto"/>
            </w:tcBorders>
          </w:tcPr>
          <w:p>
            <w:pPr>
              <w:pStyle w:val="TableParagraph"/>
              <w:spacing w:line="262" w:lineRule="exact"/>
              <w:ind w:left="105" w:right="0"/>
              <w:jc w:val="left"/>
              <w:rPr>
                <w:rFonts w:ascii="宋体" w:hAnsi="宋体" w:cs="宋体" w:eastAsia="宋体" w:hint="default"/>
                <w:sz w:val="21"/>
                <w:szCs w:val="21"/>
              </w:rPr>
            </w:pPr>
            <w:r>
              <w:rPr>
                <w:rFonts w:ascii="宋体" w:hAnsi="宋体" w:cs="宋体" w:eastAsia="宋体" w:hint="default"/>
                <w:sz w:val="21"/>
                <w:szCs w:val="21"/>
              </w:rPr>
              <w:t>宿州金耀新能源科技有限公司</w:t>
            </w:r>
            <w:r>
              <w:rPr>
                <w:rFonts w:ascii="宋体" w:hAnsi="宋体" w:cs="宋体" w:eastAsia="宋体" w:hint="default"/>
                <w:sz w:val="21"/>
                <w:szCs w:val="21"/>
              </w:rPr>
              <w:t> </w:t>
            </w:r>
          </w:p>
        </w:tc>
      </w:tr>
      <w:tr>
        <w:trPr>
          <w:trHeight w:val="322" w:hRule="exact"/>
        </w:trPr>
        <w:tc>
          <w:tcPr>
            <w:tcW w:w="7813" w:type="dxa"/>
            <w:tcBorders>
              <w:top w:val="single" w:sz="4" w:space="0" w:color="000000"/>
              <w:left w:val="nil" w:sz="6" w:space="0" w:color="auto"/>
              <w:bottom w:val="single" w:sz="4" w:space="0" w:color="000000"/>
              <w:right w:val="nil" w:sz="6" w:space="0" w:color="auto"/>
            </w:tcBorders>
          </w:tcPr>
          <w:p>
            <w:pPr>
              <w:pStyle w:val="TableParagraph"/>
              <w:spacing w:line="262" w:lineRule="exact"/>
              <w:ind w:left="105" w:right="0"/>
              <w:jc w:val="left"/>
              <w:rPr>
                <w:rFonts w:ascii="宋体" w:hAnsi="宋体" w:cs="宋体" w:eastAsia="宋体" w:hint="default"/>
                <w:sz w:val="21"/>
                <w:szCs w:val="21"/>
              </w:rPr>
            </w:pPr>
            <w:r>
              <w:rPr>
                <w:rFonts w:ascii="宋体" w:hAnsi="宋体" w:cs="宋体" w:eastAsia="宋体" w:hint="default"/>
                <w:sz w:val="21"/>
                <w:szCs w:val="21"/>
              </w:rPr>
              <w:t>颖上华盛农业太阳能发电有限公司</w:t>
            </w:r>
            <w:r>
              <w:rPr>
                <w:rFonts w:ascii="宋体" w:hAnsi="宋体" w:cs="宋体" w:eastAsia="宋体" w:hint="default"/>
                <w:sz w:val="21"/>
                <w:szCs w:val="21"/>
              </w:rPr>
              <w:t> </w:t>
            </w:r>
          </w:p>
        </w:tc>
      </w:tr>
      <w:tr>
        <w:trPr>
          <w:trHeight w:val="324" w:hRule="exact"/>
        </w:trPr>
        <w:tc>
          <w:tcPr>
            <w:tcW w:w="7813" w:type="dxa"/>
            <w:tcBorders>
              <w:top w:val="single" w:sz="4" w:space="0" w:color="000000"/>
              <w:left w:val="nil" w:sz="6" w:space="0" w:color="auto"/>
              <w:bottom w:val="single" w:sz="4" w:space="0" w:color="000000"/>
              <w:right w:val="nil" w:sz="6" w:space="0" w:color="auto"/>
            </w:tcBorders>
          </w:tcPr>
          <w:p>
            <w:pPr>
              <w:pStyle w:val="TableParagraph"/>
              <w:spacing w:line="265" w:lineRule="exact"/>
              <w:ind w:left="105" w:right="0"/>
              <w:jc w:val="left"/>
              <w:rPr>
                <w:rFonts w:ascii="宋体" w:hAnsi="宋体" w:cs="宋体" w:eastAsia="宋体" w:hint="default"/>
                <w:sz w:val="21"/>
                <w:szCs w:val="21"/>
              </w:rPr>
            </w:pPr>
            <w:r>
              <w:rPr>
                <w:rFonts w:ascii="宋体" w:hAnsi="宋体" w:cs="宋体" w:eastAsia="宋体" w:hint="default"/>
                <w:sz w:val="21"/>
                <w:szCs w:val="21"/>
              </w:rPr>
              <w:t>颖上华新新能源科技有限公司</w:t>
            </w:r>
            <w:r>
              <w:rPr>
                <w:rFonts w:ascii="宋体" w:hAnsi="宋体" w:cs="宋体" w:eastAsia="宋体" w:hint="default"/>
                <w:sz w:val="21"/>
                <w:szCs w:val="21"/>
              </w:rPr>
              <w:t> </w:t>
            </w:r>
          </w:p>
        </w:tc>
      </w:tr>
      <w:tr>
        <w:trPr>
          <w:trHeight w:val="322" w:hRule="exact"/>
        </w:trPr>
        <w:tc>
          <w:tcPr>
            <w:tcW w:w="7813" w:type="dxa"/>
            <w:tcBorders>
              <w:top w:val="single" w:sz="4" w:space="0" w:color="000000"/>
              <w:left w:val="nil" w:sz="6" w:space="0" w:color="auto"/>
              <w:bottom w:val="single" w:sz="4" w:space="0" w:color="000000"/>
              <w:right w:val="nil" w:sz="6" w:space="0" w:color="auto"/>
            </w:tcBorders>
          </w:tcPr>
          <w:p>
            <w:pPr>
              <w:pStyle w:val="TableParagraph"/>
              <w:spacing w:line="262" w:lineRule="exact"/>
              <w:ind w:left="105" w:right="0"/>
              <w:jc w:val="left"/>
              <w:rPr>
                <w:rFonts w:ascii="宋体" w:hAnsi="宋体" w:cs="宋体" w:eastAsia="宋体" w:hint="default"/>
                <w:sz w:val="21"/>
                <w:szCs w:val="21"/>
              </w:rPr>
            </w:pPr>
            <w:r>
              <w:rPr>
                <w:rFonts w:ascii="宋体" w:hAnsi="宋体" w:cs="宋体" w:eastAsia="宋体" w:hint="default"/>
                <w:sz w:val="21"/>
                <w:szCs w:val="21"/>
              </w:rPr>
              <w:t>颖上永阳新能源科技有限公司</w:t>
            </w:r>
            <w:r>
              <w:rPr>
                <w:rFonts w:ascii="宋体" w:hAnsi="宋体" w:cs="宋体" w:eastAsia="宋体" w:hint="default"/>
                <w:sz w:val="21"/>
                <w:szCs w:val="21"/>
              </w:rPr>
              <w:t> </w:t>
            </w:r>
          </w:p>
        </w:tc>
      </w:tr>
      <w:tr>
        <w:trPr>
          <w:trHeight w:val="322" w:hRule="exact"/>
        </w:trPr>
        <w:tc>
          <w:tcPr>
            <w:tcW w:w="7813" w:type="dxa"/>
            <w:tcBorders>
              <w:top w:val="single" w:sz="4" w:space="0" w:color="000000"/>
              <w:left w:val="nil" w:sz="6" w:space="0" w:color="auto"/>
              <w:bottom w:val="single" w:sz="4" w:space="0" w:color="000000"/>
              <w:right w:val="nil" w:sz="6" w:space="0" w:color="auto"/>
            </w:tcBorders>
          </w:tcPr>
          <w:p>
            <w:pPr>
              <w:pStyle w:val="TableParagraph"/>
              <w:spacing w:line="262" w:lineRule="exact"/>
              <w:ind w:left="105" w:right="0"/>
              <w:jc w:val="left"/>
              <w:rPr>
                <w:rFonts w:ascii="宋体" w:hAnsi="宋体" w:cs="宋体" w:eastAsia="宋体" w:hint="default"/>
                <w:sz w:val="21"/>
                <w:szCs w:val="21"/>
              </w:rPr>
            </w:pPr>
            <w:r>
              <w:rPr>
                <w:rFonts w:ascii="宋体" w:hAnsi="宋体" w:cs="宋体" w:eastAsia="宋体" w:hint="default"/>
                <w:sz w:val="21"/>
                <w:szCs w:val="21"/>
              </w:rPr>
              <w:t>宿州金阳新能源科技有限公司</w:t>
            </w:r>
            <w:r>
              <w:rPr>
                <w:rFonts w:ascii="宋体" w:hAnsi="宋体" w:cs="宋体" w:eastAsia="宋体" w:hint="default"/>
                <w:sz w:val="21"/>
                <w:szCs w:val="21"/>
              </w:rPr>
              <w:t> </w:t>
            </w:r>
          </w:p>
        </w:tc>
      </w:tr>
      <w:tr>
        <w:trPr>
          <w:trHeight w:val="322" w:hRule="exact"/>
        </w:trPr>
        <w:tc>
          <w:tcPr>
            <w:tcW w:w="7813" w:type="dxa"/>
            <w:tcBorders>
              <w:top w:val="single" w:sz="4" w:space="0" w:color="000000"/>
              <w:left w:val="nil" w:sz="6" w:space="0" w:color="auto"/>
              <w:bottom w:val="single" w:sz="4" w:space="0" w:color="000000"/>
              <w:right w:val="nil" w:sz="6" w:space="0" w:color="auto"/>
            </w:tcBorders>
          </w:tcPr>
          <w:p>
            <w:pPr>
              <w:pStyle w:val="TableParagraph"/>
              <w:spacing w:line="262" w:lineRule="exact"/>
              <w:ind w:left="105" w:right="0"/>
              <w:jc w:val="left"/>
              <w:rPr>
                <w:rFonts w:ascii="宋体" w:hAnsi="宋体" w:cs="宋体" w:eastAsia="宋体" w:hint="default"/>
                <w:sz w:val="21"/>
                <w:szCs w:val="21"/>
              </w:rPr>
            </w:pPr>
            <w:r>
              <w:rPr>
                <w:rFonts w:ascii="宋体" w:hAnsi="宋体" w:cs="宋体" w:eastAsia="宋体" w:hint="default"/>
                <w:sz w:val="21"/>
                <w:szCs w:val="21"/>
              </w:rPr>
              <w:t>灵璧华浍新能源科技有限公司</w:t>
            </w:r>
            <w:r>
              <w:rPr>
                <w:rFonts w:ascii="宋体" w:hAnsi="宋体" w:cs="宋体" w:eastAsia="宋体" w:hint="default"/>
                <w:sz w:val="21"/>
                <w:szCs w:val="21"/>
              </w:rPr>
              <w:t> </w:t>
            </w:r>
          </w:p>
        </w:tc>
      </w:tr>
      <w:tr>
        <w:trPr>
          <w:trHeight w:val="322" w:hRule="exact"/>
        </w:trPr>
        <w:tc>
          <w:tcPr>
            <w:tcW w:w="7813" w:type="dxa"/>
            <w:tcBorders>
              <w:top w:val="single" w:sz="4" w:space="0" w:color="000000"/>
              <w:left w:val="nil" w:sz="6" w:space="0" w:color="auto"/>
              <w:bottom w:val="single" w:sz="4" w:space="0" w:color="000000"/>
              <w:right w:val="nil" w:sz="6" w:space="0" w:color="auto"/>
            </w:tcBorders>
          </w:tcPr>
          <w:p>
            <w:pPr>
              <w:pStyle w:val="TableParagraph"/>
              <w:spacing w:line="262" w:lineRule="exact"/>
              <w:ind w:left="105" w:right="0"/>
              <w:jc w:val="left"/>
              <w:rPr>
                <w:rFonts w:ascii="宋体" w:hAnsi="宋体" w:cs="宋体" w:eastAsia="宋体" w:hint="default"/>
                <w:sz w:val="21"/>
                <w:szCs w:val="21"/>
              </w:rPr>
            </w:pPr>
            <w:r>
              <w:rPr>
                <w:rFonts w:ascii="宋体" w:hAnsi="宋体" w:cs="宋体" w:eastAsia="宋体" w:hint="default"/>
                <w:sz w:val="21"/>
                <w:szCs w:val="21"/>
              </w:rPr>
              <w:t>灵璧灵阳新能源科技有限公司</w:t>
            </w:r>
            <w:r>
              <w:rPr>
                <w:rFonts w:ascii="宋体" w:hAnsi="宋体" w:cs="宋体" w:eastAsia="宋体" w:hint="default"/>
                <w:sz w:val="21"/>
                <w:szCs w:val="21"/>
              </w:rPr>
              <w:t> </w:t>
            </w:r>
          </w:p>
        </w:tc>
      </w:tr>
      <w:tr>
        <w:trPr>
          <w:trHeight w:val="322" w:hRule="exact"/>
        </w:trPr>
        <w:tc>
          <w:tcPr>
            <w:tcW w:w="7813" w:type="dxa"/>
            <w:tcBorders>
              <w:top w:val="single" w:sz="4" w:space="0" w:color="000000"/>
              <w:left w:val="nil" w:sz="6" w:space="0" w:color="auto"/>
              <w:bottom w:val="single" w:sz="4" w:space="0" w:color="000000"/>
              <w:right w:val="nil" w:sz="6" w:space="0" w:color="auto"/>
            </w:tcBorders>
          </w:tcPr>
          <w:p>
            <w:pPr>
              <w:pStyle w:val="TableParagraph"/>
              <w:spacing w:line="262" w:lineRule="exact"/>
              <w:ind w:left="105" w:right="0"/>
              <w:jc w:val="left"/>
              <w:rPr>
                <w:rFonts w:ascii="宋体" w:hAnsi="宋体" w:cs="宋体" w:eastAsia="宋体" w:hint="default"/>
                <w:sz w:val="21"/>
                <w:szCs w:val="21"/>
              </w:rPr>
            </w:pPr>
            <w:r>
              <w:rPr>
                <w:rFonts w:ascii="宋体" w:hAnsi="宋体" w:cs="宋体" w:eastAsia="宋体" w:hint="default"/>
                <w:sz w:val="21"/>
                <w:szCs w:val="21"/>
              </w:rPr>
              <w:t>灵璧县明升新能源科技有限公司</w:t>
            </w:r>
            <w:r>
              <w:rPr>
                <w:rFonts w:ascii="宋体" w:hAnsi="宋体" w:cs="宋体" w:eastAsia="宋体" w:hint="default"/>
                <w:sz w:val="21"/>
                <w:szCs w:val="21"/>
              </w:rPr>
              <w:t> </w:t>
            </w:r>
          </w:p>
        </w:tc>
      </w:tr>
      <w:tr>
        <w:trPr>
          <w:trHeight w:val="324" w:hRule="exact"/>
        </w:trPr>
        <w:tc>
          <w:tcPr>
            <w:tcW w:w="7813" w:type="dxa"/>
            <w:tcBorders>
              <w:top w:val="single" w:sz="4" w:space="0" w:color="000000"/>
              <w:left w:val="nil" w:sz="6" w:space="0" w:color="auto"/>
              <w:bottom w:val="single" w:sz="4" w:space="0" w:color="000000"/>
              <w:right w:val="nil" w:sz="6" w:space="0" w:color="auto"/>
            </w:tcBorders>
          </w:tcPr>
          <w:p>
            <w:pPr>
              <w:pStyle w:val="TableParagraph"/>
              <w:spacing w:line="265" w:lineRule="exact"/>
              <w:ind w:left="105" w:right="0"/>
              <w:jc w:val="left"/>
              <w:rPr>
                <w:rFonts w:ascii="宋体" w:hAnsi="宋体" w:cs="宋体" w:eastAsia="宋体" w:hint="default"/>
                <w:sz w:val="21"/>
                <w:szCs w:val="21"/>
              </w:rPr>
            </w:pPr>
            <w:r>
              <w:rPr>
                <w:rFonts w:ascii="宋体" w:hAnsi="宋体" w:cs="宋体" w:eastAsia="宋体" w:hint="default"/>
                <w:sz w:val="21"/>
                <w:szCs w:val="21"/>
              </w:rPr>
              <w:t>河南林洋新能源科技有限公司</w:t>
            </w:r>
            <w:r>
              <w:rPr>
                <w:rFonts w:ascii="宋体" w:hAnsi="宋体" w:cs="宋体" w:eastAsia="宋体" w:hint="default"/>
                <w:sz w:val="21"/>
                <w:szCs w:val="21"/>
              </w:rPr>
              <w:t> </w:t>
            </w:r>
          </w:p>
        </w:tc>
      </w:tr>
      <w:tr>
        <w:trPr>
          <w:trHeight w:val="322" w:hRule="exact"/>
        </w:trPr>
        <w:tc>
          <w:tcPr>
            <w:tcW w:w="7813" w:type="dxa"/>
            <w:tcBorders>
              <w:top w:val="single" w:sz="4" w:space="0" w:color="000000"/>
              <w:left w:val="nil" w:sz="6" w:space="0" w:color="auto"/>
              <w:bottom w:val="single" w:sz="4" w:space="0" w:color="000000"/>
              <w:right w:val="nil" w:sz="6" w:space="0" w:color="auto"/>
            </w:tcBorders>
          </w:tcPr>
          <w:p>
            <w:pPr>
              <w:pStyle w:val="TableParagraph"/>
              <w:spacing w:line="262" w:lineRule="exact"/>
              <w:ind w:left="105" w:right="0"/>
              <w:jc w:val="left"/>
              <w:rPr>
                <w:rFonts w:ascii="宋体" w:hAnsi="宋体" w:cs="宋体" w:eastAsia="宋体" w:hint="default"/>
                <w:sz w:val="21"/>
                <w:szCs w:val="21"/>
              </w:rPr>
            </w:pPr>
            <w:r>
              <w:rPr>
                <w:rFonts w:ascii="宋体" w:hAnsi="宋体" w:cs="宋体" w:eastAsia="宋体" w:hint="default"/>
                <w:sz w:val="21"/>
                <w:szCs w:val="21"/>
              </w:rPr>
              <w:t>商丘林洋光伏科技有限公司</w:t>
            </w:r>
            <w:r>
              <w:rPr>
                <w:rFonts w:ascii="宋体" w:hAnsi="宋体" w:cs="宋体" w:eastAsia="宋体" w:hint="default"/>
                <w:sz w:val="21"/>
                <w:szCs w:val="21"/>
              </w:rPr>
              <w:t> </w:t>
            </w:r>
          </w:p>
        </w:tc>
      </w:tr>
      <w:tr>
        <w:trPr>
          <w:trHeight w:val="322" w:hRule="exact"/>
        </w:trPr>
        <w:tc>
          <w:tcPr>
            <w:tcW w:w="7813" w:type="dxa"/>
            <w:tcBorders>
              <w:top w:val="single" w:sz="4" w:space="0" w:color="000000"/>
              <w:left w:val="nil" w:sz="6" w:space="0" w:color="auto"/>
              <w:bottom w:val="single" w:sz="4" w:space="0" w:color="000000"/>
              <w:right w:val="nil" w:sz="6" w:space="0" w:color="auto"/>
            </w:tcBorders>
          </w:tcPr>
          <w:p>
            <w:pPr>
              <w:pStyle w:val="TableParagraph"/>
              <w:spacing w:line="263" w:lineRule="exact"/>
              <w:ind w:left="105" w:right="0"/>
              <w:jc w:val="left"/>
              <w:rPr>
                <w:rFonts w:ascii="宋体" w:hAnsi="宋体" w:cs="宋体" w:eastAsia="宋体" w:hint="default"/>
                <w:sz w:val="21"/>
                <w:szCs w:val="21"/>
              </w:rPr>
            </w:pPr>
            <w:r>
              <w:rPr>
                <w:rFonts w:ascii="宋体" w:hAnsi="宋体" w:cs="宋体" w:eastAsia="宋体" w:hint="default"/>
                <w:sz w:val="21"/>
                <w:szCs w:val="21"/>
              </w:rPr>
              <w:t>商丘市鑫炎新能源开发有限公司</w:t>
            </w:r>
            <w:r>
              <w:rPr>
                <w:rFonts w:ascii="宋体" w:hAnsi="宋体" w:cs="宋体" w:eastAsia="宋体" w:hint="default"/>
                <w:sz w:val="21"/>
                <w:szCs w:val="21"/>
              </w:rPr>
              <w:t> </w:t>
            </w:r>
          </w:p>
        </w:tc>
      </w:tr>
      <w:tr>
        <w:trPr>
          <w:trHeight w:val="322" w:hRule="exact"/>
        </w:trPr>
        <w:tc>
          <w:tcPr>
            <w:tcW w:w="7813" w:type="dxa"/>
            <w:tcBorders>
              <w:top w:val="single" w:sz="4" w:space="0" w:color="000000"/>
              <w:left w:val="nil" w:sz="6" w:space="0" w:color="auto"/>
              <w:bottom w:val="single" w:sz="4" w:space="0" w:color="000000"/>
              <w:right w:val="nil" w:sz="6" w:space="0" w:color="auto"/>
            </w:tcBorders>
          </w:tcPr>
          <w:p>
            <w:pPr>
              <w:pStyle w:val="TableParagraph"/>
              <w:spacing w:line="262" w:lineRule="exact"/>
              <w:ind w:left="105" w:right="0"/>
              <w:jc w:val="left"/>
              <w:rPr>
                <w:rFonts w:ascii="宋体" w:hAnsi="宋体" w:cs="宋体" w:eastAsia="宋体" w:hint="default"/>
                <w:sz w:val="21"/>
                <w:szCs w:val="21"/>
              </w:rPr>
            </w:pPr>
            <w:r>
              <w:rPr>
                <w:rFonts w:ascii="宋体" w:hAnsi="宋体" w:cs="宋体" w:eastAsia="宋体" w:hint="default"/>
                <w:sz w:val="21"/>
                <w:szCs w:val="21"/>
              </w:rPr>
              <w:t>永城永阳农业科技有限公司</w:t>
            </w:r>
            <w:r>
              <w:rPr>
                <w:rFonts w:ascii="宋体" w:hAnsi="宋体" w:cs="宋体" w:eastAsia="宋体" w:hint="default"/>
                <w:sz w:val="21"/>
                <w:szCs w:val="21"/>
              </w:rPr>
              <w:t> </w:t>
            </w:r>
          </w:p>
        </w:tc>
      </w:tr>
      <w:tr>
        <w:trPr>
          <w:trHeight w:val="322" w:hRule="exact"/>
        </w:trPr>
        <w:tc>
          <w:tcPr>
            <w:tcW w:w="7813" w:type="dxa"/>
            <w:tcBorders>
              <w:top w:val="single" w:sz="4" w:space="0" w:color="000000"/>
              <w:left w:val="nil" w:sz="6" w:space="0" w:color="auto"/>
              <w:bottom w:val="single" w:sz="4" w:space="0" w:color="000000"/>
              <w:right w:val="nil" w:sz="6" w:space="0" w:color="auto"/>
            </w:tcBorders>
          </w:tcPr>
          <w:p>
            <w:pPr>
              <w:pStyle w:val="TableParagraph"/>
              <w:spacing w:line="262" w:lineRule="exact"/>
              <w:ind w:left="105" w:right="0"/>
              <w:jc w:val="left"/>
              <w:rPr>
                <w:rFonts w:ascii="宋体" w:hAnsi="宋体" w:cs="宋体" w:eastAsia="宋体" w:hint="default"/>
                <w:sz w:val="21"/>
                <w:szCs w:val="21"/>
              </w:rPr>
            </w:pPr>
            <w:r>
              <w:rPr>
                <w:rFonts w:ascii="宋体" w:hAnsi="宋体" w:cs="宋体" w:eastAsia="宋体" w:hint="default"/>
                <w:sz w:val="21"/>
                <w:szCs w:val="21"/>
              </w:rPr>
              <w:t>山东林洋新能源科技有限公司</w:t>
            </w:r>
            <w:r>
              <w:rPr>
                <w:rFonts w:ascii="宋体" w:hAnsi="宋体" w:cs="宋体" w:eastAsia="宋体" w:hint="default"/>
                <w:sz w:val="21"/>
                <w:szCs w:val="21"/>
              </w:rPr>
              <w:t> </w:t>
            </w:r>
          </w:p>
        </w:tc>
      </w:tr>
      <w:tr>
        <w:trPr>
          <w:trHeight w:val="322" w:hRule="exact"/>
        </w:trPr>
        <w:tc>
          <w:tcPr>
            <w:tcW w:w="7813" w:type="dxa"/>
            <w:tcBorders>
              <w:top w:val="single" w:sz="4" w:space="0" w:color="000000"/>
              <w:left w:val="nil" w:sz="6" w:space="0" w:color="auto"/>
              <w:bottom w:val="single" w:sz="4" w:space="0" w:color="000000"/>
              <w:right w:val="nil" w:sz="6" w:space="0" w:color="auto"/>
            </w:tcBorders>
          </w:tcPr>
          <w:p>
            <w:pPr>
              <w:pStyle w:val="TableParagraph"/>
              <w:spacing w:line="262" w:lineRule="exact"/>
              <w:ind w:left="105" w:right="0"/>
              <w:jc w:val="left"/>
              <w:rPr>
                <w:rFonts w:ascii="宋体" w:hAnsi="宋体" w:cs="宋体" w:eastAsia="宋体" w:hint="default"/>
                <w:sz w:val="21"/>
                <w:szCs w:val="21"/>
              </w:rPr>
            </w:pPr>
            <w:r>
              <w:rPr>
                <w:rFonts w:ascii="宋体" w:hAnsi="宋体" w:cs="宋体" w:eastAsia="宋体" w:hint="default"/>
                <w:sz w:val="21"/>
                <w:szCs w:val="21"/>
              </w:rPr>
              <w:t>安丘晨晖光电科技有限公司</w:t>
            </w:r>
            <w:r>
              <w:rPr>
                <w:rFonts w:ascii="宋体" w:hAnsi="宋体" w:cs="宋体" w:eastAsia="宋体" w:hint="default"/>
                <w:sz w:val="21"/>
                <w:szCs w:val="21"/>
              </w:rPr>
              <w:t> </w:t>
            </w:r>
          </w:p>
        </w:tc>
      </w:tr>
      <w:tr>
        <w:trPr>
          <w:trHeight w:val="324" w:hRule="exact"/>
        </w:trPr>
        <w:tc>
          <w:tcPr>
            <w:tcW w:w="7813" w:type="dxa"/>
            <w:tcBorders>
              <w:top w:val="single" w:sz="4" w:space="0" w:color="000000"/>
              <w:left w:val="nil" w:sz="6" w:space="0" w:color="auto"/>
              <w:bottom w:val="single" w:sz="4" w:space="0" w:color="000000"/>
              <w:right w:val="nil" w:sz="6" w:space="0" w:color="auto"/>
            </w:tcBorders>
          </w:tcPr>
          <w:p>
            <w:pPr>
              <w:pStyle w:val="TableParagraph"/>
              <w:spacing w:line="265" w:lineRule="exact"/>
              <w:ind w:left="105" w:right="0"/>
              <w:jc w:val="left"/>
              <w:rPr>
                <w:rFonts w:ascii="宋体" w:hAnsi="宋体" w:cs="宋体" w:eastAsia="宋体" w:hint="default"/>
                <w:sz w:val="21"/>
                <w:szCs w:val="21"/>
              </w:rPr>
            </w:pPr>
            <w:r>
              <w:rPr>
                <w:rFonts w:ascii="宋体" w:hAnsi="宋体" w:cs="宋体" w:eastAsia="宋体" w:hint="default"/>
                <w:sz w:val="21"/>
                <w:szCs w:val="21"/>
              </w:rPr>
              <w:t>安丘汇创新能源科技有限公司</w:t>
            </w:r>
            <w:r>
              <w:rPr>
                <w:rFonts w:ascii="宋体" w:hAnsi="宋体" w:cs="宋体" w:eastAsia="宋体" w:hint="default"/>
                <w:sz w:val="21"/>
                <w:szCs w:val="21"/>
              </w:rPr>
              <w:t> </w:t>
            </w:r>
          </w:p>
        </w:tc>
      </w:tr>
      <w:tr>
        <w:trPr>
          <w:trHeight w:val="322" w:hRule="exact"/>
        </w:trPr>
        <w:tc>
          <w:tcPr>
            <w:tcW w:w="7813" w:type="dxa"/>
            <w:tcBorders>
              <w:top w:val="single" w:sz="4" w:space="0" w:color="000000"/>
              <w:left w:val="nil" w:sz="6" w:space="0" w:color="auto"/>
              <w:bottom w:val="single" w:sz="4" w:space="0" w:color="000000"/>
              <w:right w:val="nil" w:sz="6" w:space="0" w:color="auto"/>
            </w:tcBorders>
          </w:tcPr>
          <w:p>
            <w:pPr>
              <w:pStyle w:val="TableParagraph"/>
              <w:spacing w:line="262" w:lineRule="exact"/>
              <w:ind w:left="105" w:right="0"/>
              <w:jc w:val="left"/>
              <w:rPr>
                <w:rFonts w:ascii="宋体" w:hAnsi="宋体" w:cs="宋体" w:eastAsia="宋体" w:hint="default"/>
                <w:sz w:val="21"/>
                <w:szCs w:val="21"/>
              </w:rPr>
            </w:pPr>
            <w:r>
              <w:rPr>
                <w:rFonts w:ascii="宋体" w:hAnsi="宋体" w:cs="宋体" w:eastAsia="宋体" w:hint="default"/>
                <w:sz w:val="21"/>
                <w:szCs w:val="21"/>
              </w:rPr>
              <w:t>安丘永旭光电科技有限公司</w:t>
            </w:r>
            <w:r>
              <w:rPr>
                <w:rFonts w:ascii="宋体" w:hAnsi="宋体" w:cs="宋体" w:eastAsia="宋体" w:hint="default"/>
                <w:sz w:val="21"/>
                <w:szCs w:val="21"/>
              </w:rPr>
              <w:t> </w:t>
            </w:r>
          </w:p>
        </w:tc>
      </w:tr>
      <w:tr>
        <w:trPr>
          <w:trHeight w:val="322" w:hRule="exact"/>
        </w:trPr>
        <w:tc>
          <w:tcPr>
            <w:tcW w:w="7813" w:type="dxa"/>
            <w:tcBorders>
              <w:top w:val="single" w:sz="4" w:space="0" w:color="000000"/>
              <w:left w:val="nil" w:sz="6" w:space="0" w:color="auto"/>
              <w:bottom w:val="single" w:sz="4" w:space="0" w:color="000000"/>
              <w:right w:val="nil" w:sz="6" w:space="0" w:color="auto"/>
            </w:tcBorders>
          </w:tcPr>
          <w:p>
            <w:pPr>
              <w:pStyle w:val="TableParagraph"/>
              <w:spacing w:line="262" w:lineRule="exact"/>
              <w:ind w:left="105" w:right="0"/>
              <w:jc w:val="left"/>
              <w:rPr>
                <w:rFonts w:ascii="宋体" w:hAnsi="宋体" w:cs="宋体" w:eastAsia="宋体" w:hint="default"/>
                <w:sz w:val="21"/>
                <w:szCs w:val="21"/>
              </w:rPr>
            </w:pPr>
            <w:r>
              <w:rPr>
                <w:rFonts w:ascii="宋体" w:hAnsi="宋体" w:cs="宋体" w:eastAsia="宋体" w:hint="default"/>
                <w:sz w:val="21"/>
                <w:szCs w:val="21"/>
              </w:rPr>
              <w:t>德州市华耀光电科技有限公司</w:t>
            </w:r>
            <w:r>
              <w:rPr>
                <w:rFonts w:ascii="宋体" w:hAnsi="宋体" w:cs="宋体" w:eastAsia="宋体" w:hint="default"/>
                <w:sz w:val="21"/>
                <w:szCs w:val="21"/>
              </w:rPr>
              <w:t> </w:t>
            </w:r>
          </w:p>
        </w:tc>
      </w:tr>
      <w:tr>
        <w:trPr>
          <w:trHeight w:val="322" w:hRule="exact"/>
        </w:trPr>
        <w:tc>
          <w:tcPr>
            <w:tcW w:w="7813" w:type="dxa"/>
            <w:tcBorders>
              <w:top w:val="single" w:sz="4" w:space="0" w:color="000000"/>
              <w:left w:val="nil" w:sz="6" w:space="0" w:color="auto"/>
              <w:bottom w:val="single" w:sz="4" w:space="0" w:color="000000"/>
              <w:right w:val="nil" w:sz="6" w:space="0" w:color="auto"/>
            </w:tcBorders>
          </w:tcPr>
          <w:p>
            <w:pPr>
              <w:pStyle w:val="TableParagraph"/>
              <w:spacing w:line="262" w:lineRule="exact"/>
              <w:ind w:left="105" w:right="0"/>
              <w:jc w:val="left"/>
              <w:rPr>
                <w:rFonts w:ascii="宋体" w:hAnsi="宋体" w:cs="宋体" w:eastAsia="宋体" w:hint="default"/>
                <w:sz w:val="21"/>
                <w:szCs w:val="21"/>
              </w:rPr>
            </w:pPr>
            <w:r>
              <w:rPr>
                <w:rFonts w:ascii="宋体" w:hAnsi="宋体" w:cs="宋体" w:eastAsia="宋体" w:hint="default"/>
                <w:sz w:val="21"/>
                <w:szCs w:val="21"/>
              </w:rPr>
              <w:t>德州永创新能源有限公司</w:t>
            </w:r>
            <w:r>
              <w:rPr>
                <w:rFonts w:ascii="宋体" w:hAnsi="宋体" w:cs="宋体" w:eastAsia="宋体" w:hint="default"/>
                <w:sz w:val="21"/>
                <w:szCs w:val="21"/>
              </w:rPr>
              <w:t> </w:t>
            </w:r>
          </w:p>
        </w:tc>
      </w:tr>
      <w:tr>
        <w:trPr>
          <w:trHeight w:val="322" w:hRule="exact"/>
        </w:trPr>
        <w:tc>
          <w:tcPr>
            <w:tcW w:w="7813" w:type="dxa"/>
            <w:tcBorders>
              <w:top w:val="single" w:sz="4" w:space="0" w:color="000000"/>
              <w:left w:val="nil" w:sz="6" w:space="0" w:color="auto"/>
              <w:bottom w:val="single" w:sz="4" w:space="0" w:color="000000"/>
              <w:right w:val="nil" w:sz="6" w:space="0" w:color="auto"/>
            </w:tcBorders>
          </w:tcPr>
          <w:p>
            <w:pPr>
              <w:pStyle w:val="TableParagraph"/>
              <w:spacing w:line="262" w:lineRule="exact"/>
              <w:ind w:left="105" w:right="0"/>
              <w:jc w:val="left"/>
              <w:rPr>
                <w:rFonts w:ascii="宋体" w:hAnsi="宋体" w:cs="宋体" w:eastAsia="宋体" w:hint="default"/>
                <w:sz w:val="21"/>
                <w:szCs w:val="21"/>
              </w:rPr>
            </w:pPr>
            <w:r>
              <w:rPr>
                <w:rFonts w:ascii="宋体" w:hAnsi="宋体" w:cs="宋体" w:eastAsia="宋体" w:hint="default"/>
                <w:sz w:val="21"/>
                <w:szCs w:val="21"/>
              </w:rPr>
              <w:t>东营三力光伏发电有限公司</w:t>
            </w:r>
            <w:r>
              <w:rPr>
                <w:rFonts w:ascii="宋体" w:hAnsi="宋体" w:cs="宋体" w:eastAsia="宋体" w:hint="default"/>
                <w:sz w:val="21"/>
                <w:szCs w:val="21"/>
              </w:rPr>
              <w:t> </w:t>
            </w:r>
          </w:p>
        </w:tc>
      </w:tr>
      <w:tr>
        <w:trPr>
          <w:trHeight w:val="322" w:hRule="exact"/>
        </w:trPr>
        <w:tc>
          <w:tcPr>
            <w:tcW w:w="7813" w:type="dxa"/>
            <w:tcBorders>
              <w:top w:val="single" w:sz="4" w:space="0" w:color="000000"/>
              <w:left w:val="nil" w:sz="6" w:space="0" w:color="auto"/>
              <w:bottom w:val="single" w:sz="4" w:space="0" w:color="000000"/>
              <w:right w:val="nil" w:sz="6" w:space="0" w:color="auto"/>
            </w:tcBorders>
          </w:tcPr>
          <w:p>
            <w:pPr>
              <w:pStyle w:val="TableParagraph"/>
              <w:spacing w:line="262" w:lineRule="exact"/>
              <w:ind w:left="105" w:right="0"/>
              <w:jc w:val="left"/>
              <w:rPr>
                <w:rFonts w:ascii="宋体" w:hAnsi="宋体" w:cs="宋体" w:eastAsia="宋体" w:hint="default"/>
                <w:sz w:val="21"/>
                <w:szCs w:val="21"/>
              </w:rPr>
            </w:pPr>
            <w:r>
              <w:rPr>
                <w:rFonts w:ascii="宋体" w:hAnsi="宋体" w:cs="宋体" w:eastAsia="宋体" w:hint="default"/>
                <w:sz w:val="21"/>
                <w:szCs w:val="21"/>
              </w:rPr>
              <w:t>东营市津禾光伏有限公司</w:t>
            </w:r>
            <w:r>
              <w:rPr>
                <w:rFonts w:ascii="宋体" w:hAnsi="宋体" w:cs="宋体" w:eastAsia="宋体" w:hint="default"/>
                <w:sz w:val="21"/>
                <w:szCs w:val="21"/>
              </w:rPr>
              <w:t> </w:t>
            </w:r>
          </w:p>
        </w:tc>
      </w:tr>
      <w:tr>
        <w:trPr>
          <w:trHeight w:val="324" w:hRule="exact"/>
        </w:trPr>
        <w:tc>
          <w:tcPr>
            <w:tcW w:w="7813" w:type="dxa"/>
            <w:tcBorders>
              <w:top w:val="single" w:sz="4" w:space="0" w:color="000000"/>
              <w:left w:val="nil" w:sz="6" w:space="0" w:color="auto"/>
              <w:bottom w:val="single" w:sz="4" w:space="0" w:color="000000"/>
              <w:right w:val="nil" w:sz="6" w:space="0" w:color="auto"/>
            </w:tcBorders>
          </w:tcPr>
          <w:p>
            <w:pPr>
              <w:pStyle w:val="TableParagraph"/>
              <w:spacing w:line="265" w:lineRule="exact"/>
              <w:ind w:left="105" w:right="0"/>
              <w:jc w:val="left"/>
              <w:rPr>
                <w:rFonts w:ascii="宋体" w:hAnsi="宋体" w:cs="宋体" w:eastAsia="宋体" w:hint="default"/>
                <w:sz w:val="21"/>
                <w:szCs w:val="21"/>
              </w:rPr>
            </w:pPr>
            <w:r>
              <w:rPr>
                <w:rFonts w:ascii="宋体" w:hAnsi="宋体" w:cs="宋体" w:eastAsia="宋体" w:hint="default"/>
                <w:sz w:val="21"/>
                <w:szCs w:val="21"/>
              </w:rPr>
              <w:t>东营华创新能源有限公司</w:t>
            </w:r>
            <w:r>
              <w:rPr>
                <w:rFonts w:ascii="宋体" w:hAnsi="宋体" w:cs="宋体" w:eastAsia="宋体" w:hint="default"/>
                <w:sz w:val="21"/>
                <w:szCs w:val="21"/>
              </w:rPr>
              <w:t> </w:t>
            </w:r>
          </w:p>
        </w:tc>
      </w:tr>
      <w:tr>
        <w:trPr>
          <w:trHeight w:val="322" w:hRule="exact"/>
        </w:trPr>
        <w:tc>
          <w:tcPr>
            <w:tcW w:w="7813" w:type="dxa"/>
            <w:tcBorders>
              <w:top w:val="single" w:sz="4" w:space="0" w:color="000000"/>
              <w:left w:val="nil" w:sz="6" w:space="0" w:color="auto"/>
              <w:bottom w:val="single" w:sz="4" w:space="0" w:color="000000"/>
              <w:right w:val="nil" w:sz="6" w:space="0" w:color="auto"/>
            </w:tcBorders>
          </w:tcPr>
          <w:p>
            <w:pPr>
              <w:pStyle w:val="TableParagraph"/>
              <w:spacing w:line="263" w:lineRule="exact"/>
              <w:ind w:left="105" w:right="0"/>
              <w:jc w:val="left"/>
              <w:rPr>
                <w:rFonts w:ascii="宋体" w:hAnsi="宋体" w:cs="宋体" w:eastAsia="宋体" w:hint="default"/>
                <w:sz w:val="21"/>
                <w:szCs w:val="21"/>
              </w:rPr>
            </w:pPr>
            <w:r>
              <w:rPr>
                <w:rFonts w:ascii="宋体" w:hAnsi="宋体" w:cs="宋体" w:eastAsia="宋体" w:hint="default"/>
                <w:sz w:val="21"/>
                <w:szCs w:val="21"/>
              </w:rPr>
              <w:t>东营永洋光伏发电有限公司</w:t>
            </w:r>
            <w:r>
              <w:rPr>
                <w:rFonts w:ascii="宋体" w:hAnsi="宋体" w:cs="宋体" w:eastAsia="宋体" w:hint="default"/>
                <w:sz w:val="21"/>
                <w:szCs w:val="21"/>
              </w:rPr>
              <w:t> </w:t>
            </w:r>
          </w:p>
        </w:tc>
      </w:tr>
      <w:tr>
        <w:trPr>
          <w:trHeight w:val="322" w:hRule="exact"/>
        </w:trPr>
        <w:tc>
          <w:tcPr>
            <w:tcW w:w="7813" w:type="dxa"/>
            <w:tcBorders>
              <w:top w:val="single" w:sz="4" w:space="0" w:color="000000"/>
              <w:left w:val="nil" w:sz="6" w:space="0" w:color="auto"/>
              <w:bottom w:val="single" w:sz="4" w:space="0" w:color="000000"/>
              <w:right w:val="nil" w:sz="6" w:space="0" w:color="auto"/>
            </w:tcBorders>
          </w:tcPr>
          <w:p>
            <w:pPr>
              <w:pStyle w:val="TableParagraph"/>
              <w:spacing w:line="262" w:lineRule="exact"/>
              <w:ind w:left="105" w:right="0"/>
              <w:jc w:val="left"/>
              <w:rPr>
                <w:rFonts w:ascii="宋体" w:hAnsi="宋体" w:cs="宋体" w:eastAsia="宋体" w:hint="default"/>
                <w:sz w:val="21"/>
                <w:szCs w:val="21"/>
              </w:rPr>
            </w:pPr>
            <w:r>
              <w:rPr>
                <w:rFonts w:ascii="宋体" w:hAnsi="宋体" w:cs="宋体" w:eastAsia="宋体" w:hint="default"/>
                <w:sz w:val="21"/>
                <w:szCs w:val="21"/>
              </w:rPr>
              <w:t>冠县华博农业科技有限公司</w:t>
            </w:r>
            <w:r>
              <w:rPr>
                <w:rFonts w:ascii="宋体" w:hAnsi="宋体" w:cs="宋体" w:eastAsia="宋体" w:hint="default"/>
                <w:sz w:val="21"/>
                <w:szCs w:val="21"/>
              </w:rPr>
              <w:t> </w:t>
            </w:r>
          </w:p>
        </w:tc>
      </w:tr>
      <w:tr>
        <w:trPr>
          <w:trHeight w:val="322" w:hRule="exact"/>
        </w:trPr>
        <w:tc>
          <w:tcPr>
            <w:tcW w:w="7813" w:type="dxa"/>
            <w:tcBorders>
              <w:top w:val="single" w:sz="4" w:space="0" w:color="000000"/>
              <w:left w:val="nil" w:sz="6" w:space="0" w:color="auto"/>
              <w:bottom w:val="single" w:sz="4" w:space="0" w:color="000000"/>
              <w:right w:val="nil" w:sz="6" w:space="0" w:color="auto"/>
            </w:tcBorders>
          </w:tcPr>
          <w:p>
            <w:pPr>
              <w:pStyle w:val="TableParagraph"/>
              <w:spacing w:line="262" w:lineRule="exact"/>
              <w:ind w:left="105" w:right="0"/>
              <w:jc w:val="left"/>
              <w:rPr>
                <w:rFonts w:ascii="宋体" w:hAnsi="宋体" w:cs="宋体" w:eastAsia="宋体" w:hint="default"/>
                <w:sz w:val="21"/>
                <w:szCs w:val="21"/>
              </w:rPr>
            </w:pPr>
            <w:r>
              <w:rPr>
                <w:rFonts w:ascii="宋体" w:hAnsi="宋体" w:cs="宋体" w:eastAsia="宋体" w:hint="default"/>
                <w:sz w:val="21"/>
                <w:szCs w:val="21"/>
              </w:rPr>
              <w:t>惠民县永正农业科技有限公司</w:t>
            </w:r>
            <w:r>
              <w:rPr>
                <w:rFonts w:ascii="宋体" w:hAnsi="宋体" w:cs="宋体" w:eastAsia="宋体" w:hint="default"/>
                <w:sz w:val="21"/>
                <w:szCs w:val="21"/>
              </w:rPr>
              <w:t> </w:t>
            </w:r>
          </w:p>
        </w:tc>
      </w:tr>
      <w:tr>
        <w:trPr>
          <w:trHeight w:val="322" w:hRule="exact"/>
        </w:trPr>
        <w:tc>
          <w:tcPr>
            <w:tcW w:w="7813" w:type="dxa"/>
            <w:tcBorders>
              <w:top w:val="single" w:sz="4" w:space="0" w:color="000000"/>
              <w:left w:val="nil" w:sz="6" w:space="0" w:color="auto"/>
              <w:bottom w:val="single" w:sz="4" w:space="0" w:color="000000"/>
              <w:right w:val="nil" w:sz="6" w:space="0" w:color="auto"/>
            </w:tcBorders>
          </w:tcPr>
          <w:p>
            <w:pPr>
              <w:pStyle w:val="TableParagraph"/>
              <w:spacing w:line="262" w:lineRule="exact"/>
              <w:ind w:left="105" w:right="0"/>
              <w:jc w:val="left"/>
              <w:rPr>
                <w:rFonts w:ascii="宋体" w:hAnsi="宋体" w:cs="宋体" w:eastAsia="宋体" w:hint="default"/>
                <w:sz w:val="21"/>
                <w:szCs w:val="21"/>
              </w:rPr>
            </w:pPr>
            <w:r>
              <w:rPr>
                <w:rFonts w:ascii="宋体" w:hAnsi="宋体" w:cs="宋体" w:eastAsia="宋体" w:hint="default"/>
                <w:sz w:val="21"/>
                <w:szCs w:val="21"/>
              </w:rPr>
              <w:t>潍坊滨海融光新能源发展有限公司</w:t>
            </w:r>
            <w:r>
              <w:rPr>
                <w:rFonts w:ascii="宋体" w:hAnsi="宋体" w:cs="宋体" w:eastAsia="宋体" w:hint="default"/>
                <w:sz w:val="21"/>
                <w:szCs w:val="21"/>
              </w:rPr>
              <w:t> </w:t>
            </w:r>
          </w:p>
        </w:tc>
      </w:tr>
      <w:tr>
        <w:trPr>
          <w:trHeight w:val="322" w:hRule="exact"/>
        </w:trPr>
        <w:tc>
          <w:tcPr>
            <w:tcW w:w="7813" w:type="dxa"/>
            <w:tcBorders>
              <w:top w:val="single" w:sz="4" w:space="0" w:color="000000"/>
              <w:left w:val="nil" w:sz="6" w:space="0" w:color="auto"/>
              <w:bottom w:val="single" w:sz="4" w:space="0" w:color="000000"/>
              <w:right w:val="nil" w:sz="6" w:space="0" w:color="auto"/>
            </w:tcBorders>
          </w:tcPr>
          <w:p>
            <w:pPr>
              <w:pStyle w:val="TableParagraph"/>
              <w:spacing w:line="262" w:lineRule="exact"/>
              <w:ind w:left="105" w:right="0"/>
              <w:jc w:val="left"/>
              <w:rPr>
                <w:rFonts w:ascii="宋体" w:hAnsi="宋体" w:cs="宋体" w:eastAsia="宋体" w:hint="default"/>
                <w:sz w:val="21"/>
                <w:szCs w:val="21"/>
              </w:rPr>
            </w:pPr>
            <w:r>
              <w:rPr>
                <w:rFonts w:ascii="宋体" w:hAnsi="宋体" w:cs="宋体" w:eastAsia="宋体" w:hint="default"/>
                <w:sz w:val="21"/>
                <w:szCs w:val="21"/>
              </w:rPr>
              <w:t>潍坊创能新能源发展有限公司</w:t>
            </w:r>
            <w:r>
              <w:rPr>
                <w:rFonts w:ascii="宋体" w:hAnsi="宋体" w:cs="宋体" w:eastAsia="宋体" w:hint="default"/>
                <w:sz w:val="21"/>
                <w:szCs w:val="21"/>
              </w:rPr>
              <w:t> </w:t>
            </w:r>
          </w:p>
        </w:tc>
      </w:tr>
      <w:tr>
        <w:trPr>
          <w:trHeight w:val="324" w:hRule="exact"/>
        </w:trPr>
        <w:tc>
          <w:tcPr>
            <w:tcW w:w="7813" w:type="dxa"/>
            <w:tcBorders>
              <w:top w:val="single" w:sz="4" w:space="0" w:color="000000"/>
              <w:left w:val="nil" w:sz="6" w:space="0" w:color="auto"/>
              <w:bottom w:val="single" w:sz="4" w:space="0" w:color="000000"/>
              <w:right w:val="nil" w:sz="6" w:space="0" w:color="auto"/>
            </w:tcBorders>
          </w:tcPr>
          <w:p>
            <w:pPr>
              <w:pStyle w:val="TableParagraph"/>
              <w:spacing w:line="265" w:lineRule="exact"/>
              <w:ind w:left="105" w:right="0"/>
              <w:jc w:val="left"/>
              <w:rPr>
                <w:rFonts w:ascii="宋体" w:hAnsi="宋体" w:cs="宋体" w:eastAsia="宋体" w:hint="default"/>
                <w:sz w:val="21"/>
                <w:szCs w:val="21"/>
              </w:rPr>
            </w:pPr>
            <w:r>
              <w:rPr>
                <w:rFonts w:ascii="宋体" w:hAnsi="宋体" w:cs="宋体" w:eastAsia="宋体" w:hint="default"/>
                <w:sz w:val="21"/>
                <w:szCs w:val="21"/>
              </w:rPr>
              <w:t>潍坊祥光新能源发展有限公司</w:t>
            </w:r>
            <w:r>
              <w:rPr>
                <w:rFonts w:ascii="宋体" w:hAnsi="宋体" w:cs="宋体" w:eastAsia="宋体" w:hint="default"/>
                <w:sz w:val="21"/>
                <w:szCs w:val="21"/>
              </w:rPr>
              <w:t> </w:t>
            </w:r>
          </w:p>
        </w:tc>
      </w:tr>
      <w:tr>
        <w:trPr>
          <w:trHeight w:val="322" w:hRule="exact"/>
        </w:trPr>
        <w:tc>
          <w:tcPr>
            <w:tcW w:w="7813" w:type="dxa"/>
            <w:tcBorders>
              <w:top w:val="single" w:sz="4" w:space="0" w:color="000000"/>
              <w:left w:val="nil" w:sz="6" w:space="0" w:color="auto"/>
              <w:bottom w:val="single" w:sz="4" w:space="0" w:color="000000"/>
              <w:right w:val="nil" w:sz="6" w:space="0" w:color="auto"/>
            </w:tcBorders>
          </w:tcPr>
          <w:p>
            <w:pPr>
              <w:pStyle w:val="TableParagraph"/>
              <w:spacing w:line="262" w:lineRule="exact"/>
              <w:ind w:left="105" w:right="0"/>
              <w:jc w:val="left"/>
              <w:rPr>
                <w:rFonts w:ascii="宋体" w:hAnsi="宋体" w:cs="宋体" w:eastAsia="宋体" w:hint="default"/>
                <w:sz w:val="21"/>
                <w:szCs w:val="21"/>
              </w:rPr>
            </w:pPr>
            <w:r>
              <w:rPr>
                <w:rFonts w:ascii="宋体" w:hAnsi="宋体" w:cs="宋体" w:eastAsia="宋体" w:hint="default"/>
                <w:sz w:val="21"/>
                <w:szCs w:val="21"/>
              </w:rPr>
              <w:t>夏津力诺太阳能电力科技有限公司</w:t>
            </w:r>
            <w:r>
              <w:rPr>
                <w:rFonts w:ascii="宋体" w:hAnsi="宋体" w:cs="宋体" w:eastAsia="宋体" w:hint="default"/>
                <w:sz w:val="21"/>
                <w:szCs w:val="21"/>
              </w:rPr>
              <w:t> </w:t>
            </w:r>
          </w:p>
        </w:tc>
      </w:tr>
      <w:tr>
        <w:trPr>
          <w:trHeight w:val="322" w:hRule="exact"/>
        </w:trPr>
        <w:tc>
          <w:tcPr>
            <w:tcW w:w="7813" w:type="dxa"/>
            <w:tcBorders>
              <w:top w:val="single" w:sz="4" w:space="0" w:color="000000"/>
              <w:left w:val="nil" w:sz="6" w:space="0" w:color="auto"/>
              <w:bottom w:val="single" w:sz="4" w:space="0" w:color="000000"/>
              <w:right w:val="nil" w:sz="6" w:space="0" w:color="auto"/>
            </w:tcBorders>
          </w:tcPr>
          <w:p>
            <w:pPr>
              <w:pStyle w:val="TableParagraph"/>
              <w:spacing w:line="262" w:lineRule="exact"/>
              <w:ind w:left="105" w:right="0"/>
              <w:jc w:val="left"/>
              <w:rPr>
                <w:rFonts w:ascii="宋体" w:hAnsi="宋体" w:cs="宋体" w:eastAsia="宋体" w:hint="default"/>
                <w:sz w:val="21"/>
                <w:szCs w:val="21"/>
              </w:rPr>
            </w:pPr>
            <w:r>
              <w:rPr>
                <w:rFonts w:ascii="宋体" w:hAnsi="宋体" w:cs="宋体" w:eastAsia="宋体" w:hint="default"/>
                <w:sz w:val="21"/>
                <w:szCs w:val="21"/>
              </w:rPr>
              <w:t>淄博青意光伏发电有限公司</w:t>
            </w:r>
            <w:r>
              <w:rPr>
                <w:rFonts w:ascii="宋体" w:hAnsi="宋体" w:cs="宋体" w:eastAsia="宋体" w:hint="default"/>
                <w:sz w:val="21"/>
                <w:szCs w:val="21"/>
              </w:rPr>
              <w:t> </w:t>
            </w:r>
          </w:p>
        </w:tc>
      </w:tr>
      <w:tr>
        <w:trPr>
          <w:trHeight w:val="322" w:hRule="exact"/>
        </w:trPr>
        <w:tc>
          <w:tcPr>
            <w:tcW w:w="7813" w:type="dxa"/>
            <w:tcBorders>
              <w:top w:val="single" w:sz="4" w:space="0" w:color="000000"/>
              <w:left w:val="nil" w:sz="6" w:space="0" w:color="auto"/>
              <w:bottom w:val="single" w:sz="4" w:space="0" w:color="000000"/>
              <w:right w:val="nil" w:sz="6" w:space="0" w:color="auto"/>
            </w:tcBorders>
          </w:tcPr>
          <w:p>
            <w:pPr>
              <w:pStyle w:val="TableParagraph"/>
              <w:spacing w:line="262" w:lineRule="exact"/>
              <w:ind w:left="105" w:right="0"/>
              <w:jc w:val="left"/>
              <w:rPr>
                <w:rFonts w:ascii="宋体" w:hAnsi="宋体" w:cs="宋体" w:eastAsia="宋体" w:hint="default"/>
                <w:sz w:val="21"/>
                <w:szCs w:val="21"/>
              </w:rPr>
            </w:pPr>
            <w:r>
              <w:rPr>
                <w:rFonts w:ascii="宋体" w:hAnsi="宋体" w:cs="宋体" w:eastAsia="宋体" w:hint="default"/>
                <w:sz w:val="21"/>
                <w:szCs w:val="21"/>
              </w:rPr>
              <w:t>淄博开耀光伏电力有限公司</w:t>
            </w:r>
            <w:r>
              <w:rPr>
                <w:rFonts w:ascii="宋体" w:hAnsi="宋体" w:cs="宋体" w:eastAsia="宋体" w:hint="default"/>
                <w:sz w:val="21"/>
                <w:szCs w:val="21"/>
              </w:rPr>
              <w:t> </w:t>
            </w:r>
          </w:p>
        </w:tc>
      </w:tr>
      <w:tr>
        <w:trPr>
          <w:trHeight w:val="322" w:hRule="exact"/>
        </w:trPr>
        <w:tc>
          <w:tcPr>
            <w:tcW w:w="7813" w:type="dxa"/>
            <w:tcBorders>
              <w:top w:val="single" w:sz="4" w:space="0" w:color="000000"/>
              <w:left w:val="nil" w:sz="6" w:space="0" w:color="auto"/>
              <w:bottom w:val="single" w:sz="4" w:space="0" w:color="000000"/>
              <w:right w:val="nil" w:sz="6" w:space="0" w:color="auto"/>
            </w:tcBorders>
          </w:tcPr>
          <w:p>
            <w:pPr>
              <w:pStyle w:val="TableParagraph"/>
              <w:spacing w:line="262" w:lineRule="exact"/>
              <w:ind w:left="105" w:right="0"/>
              <w:jc w:val="left"/>
              <w:rPr>
                <w:rFonts w:ascii="宋体" w:hAnsi="宋体" w:cs="宋体" w:eastAsia="宋体" w:hint="default"/>
                <w:sz w:val="21"/>
                <w:szCs w:val="21"/>
              </w:rPr>
            </w:pPr>
            <w:r>
              <w:rPr>
                <w:rFonts w:ascii="宋体" w:hAnsi="宋体" w:cs="宋体" w:eastAsia="宋体" w:hint="default"/>
                <w:sz w:val="21"/>
                <w:szCs w:val="21"/>
              </w:rPr>
              <w:t>微山永旭新能源有限公司</w:t>
            </w:r>
            <w:r>
              <w:rPr>
                <w:rFonts w:ascii="宋体" w:hAnsi="宋体" w:cs="宋体" w:eastAsia="宋体" w:hint="default"/>
                <w:sz w:val="21"/>
                <w:szCs w:val="21"/>
              </w:rPr>
              <w:t> </w:t>
            </w:r>
          </w:p>
        </w:tc>
      </w:tr>
      <w:tr>
        <w:trPr>
          <w:trHeight w:val="322" w:hRule="exact"/>
        </w:trPr>
        <w:tc>
          <w:tcPr>
            <w:tcW w:w="7813" w:type="dxa"/>
            <w:tcBorders>
              <w:top w:val="single" w:sz="4" w:space="0" w:color="000000"/>
              <w:left w:val="nil" w:sz="6" w:space="0" w:color="auto"/>
              <w:bottom w:val="single" w:sz="4" w:space="0" w:color="000000"/>
              <w:right w:val="nil" w:sz="6" w:space="0" w:color="auto"/>
            </w:tcBorders>
          </w:tcPr>
          <w:p>
            <w:pPr>
              <w:pStyle w:val="TableParagraph"/>
              <w:spacing w:line="262" w:lineRule="exact"/>
              <w:ind w:left="105" w:right="0"/>
              <w:jc w:val="left"/>
              <w:rPr>
                <w:rFonts w:ascii="宋体" w:hAnsi="宋体" w:cs="宋体" w:eastAsia="宋体" w:hint="default"/>
                <w:sz w:val="21"/>
                <w:szCs w:val="21"/>
              </w:rPr>
            </w:pPr>
            <w:r>
              <w:rPr>
                <w:rFonts w:ascii="宋体" w:hAnsi="宋体" w:cs="宋体" w:eastAsia="宋体" w:hint="default"/>
                <w:sz w:val="21"/>
                <w:szCs w:val="21"/>
              </w:rPr>
              <w:t>河北林洋微网新能源科技有限公司</w:t>
            </w:r>
            <w:r>
              <w:rPr>
                <w:rFonts w:ascii="宋体" w:hAnsi="宋体" w:cs="宋体" w:eastAsia="宋体" w:hint="default"/>
                <w:sz w:val="21"/>
                <w:szCs w:val="21"/>
              </w:rPr>
              <w:t> </w:t>
            </w:r>
          </w:p>
        </w:tc>
      </w:tr>
      <w:tr>
        <w:trPr>
          <w:trHeight w:val="325" w:hRule="exact"/>
        </w:trPr>
        <w:tc>
          <w:tcPr>
            <w:tcW w:w="7813" w:type="dxa"/>
            <w:tcBorders>
              <w:top w:val="single" w:sz="4" w:space="0" w:color="000000"/>
              <w:left w:val="nil" w:sz="6" w:space="0" w:color="auto"/>
              <w:bottom w:val="single" w:sz="4" w:space="0" w:color="000000"/>
              <w:right w:val="nil" w:sz="6" w:space="0" w:color="auto"/>
            </w:tcBorders>
          </w:tcPr>
          <w:p>
            <w:pPr>
              <w:pStyle w:val="TableParagraph"/>
              <w:spacing w:line="265" w:lineRule="exact"/>
              <w:ind w:left="105" w:right="0"/>
              <w:jc w:val="left"/>
              <w:rPr>
                <w:rFonts w:ascii="宋体" w:hAnsi="宋体" w:cs="宋体" w:eastAsia="宋体" w:hint="default"/>
                <w:sz w:val="21"/>
                <w:szCs w:val="21"/>
              </w:rPr>
            </w:pPr>
            <w:r>
              <w:rPr>
                <w:rFonts w:ascii="宋体" w:hAnsi="宋体" w:cs="宋体" w:eastAsia="宋体" w:hint="default"/>
                <w:sz w:val="21"/>
                <w:szCs w:val="21"/>
              </w:rPr>
              <w:t>围场满族蒙古族自治县风阳光伏发电有限公司</w:t>
            </w:r>
            <w:r>
              <w:rPr>
                <w:rFonts w:ascii="宋体" w:hAnsi="宋体" w:cs="宋体" w:eastAsia="宋体" w:hint="default"/>
                <w:sz w:val="21"/>
                <w:szCs w:val="21"/>
              </w:rPr>
              <w:t> </w:t>
            </w:r>
          </w:p>
        </w:tc>
      </w:tr>
      <w:tr>
        <w:trPr>
          <w:trHeight w:val="322" w:hRule="exact"/>
        </w:trPr>
        <w:tc>
          <w:tcPr>
            <w:tcW w:w="7813" w:type="dxa"/>
            <w:tcBorders>
              <w:top w:val="single" w:sz="4" w:space="0" w:color="000000"/>
              <w:left w:val="nil" w:sz="6" w:space="0" w:color="auto"/>
              <w:bottom w:val="single" w:sz="4" w:space="0" w:color="000000"/>
              <w:right w:val="nil" w:sz="6" w:space="0" w:color="auto"/>
            </w:tcBorders>
          </w:tcPr>
          <w:p>
            <w:pPr>
              <w:pStyle w:val="TableParagraph"/>
              <w:spacing w:line="262" w:lineRule="exact"/>
              <w:ind w:left="105" w:right="0"/>
              <w:jc w:val="left"/>
              <w:rPr>
                <w:rFonts w:ascii="宋体" w:hAnsi="宋体" w:cs="宋体" w:eastAsia="宋体" w:hint="default"/>
                <w:sz w:val="21"/>
                <w:szCs w:val="21"/>
              </w:rPr>
            </w:pPr>
            <w:r>
              <w:rPr>
                <w:rFonts w:ascii="宋体" w:hAnsi="宋体" w:cs="宋体" w:eastAsia="宋体" w:hint="default"/>
                <w:sz w:val="21"/>
                <w:szCs w:val="21"/>
              </w:rPr>
              <w:t>长丰吉润新能源科技有限公司</w:t>
            </w:r>
            <w:r>
              <w:rPr>
                <w:rFonts w:ascii="宋体" w:hAnsi="宋体" w:cs="宋体" w:eastAsia="宋体" w:hint="default"/>
                <w:sz w:val="21"/>
                <w:szCs w:val="21"/>
              </w:rPr>
              <w:t> </w:t>
            </w:r>
          </w:p>
        </w:tc>
      </w:tr>
      <w:tr>
        <w:trPr>
          <w:trHeight w:val="322" w:hRule="exact"/>
        </w:trPr>
        <w:tc>
          <w:tcPr>
            <w:tcW w:w="7813" w:type="dxa"/>
            <w:tcBorders>
              <w:top w:val="single" w:sz="4" w:space="0" w:color="000000"/>
              <w:left w:val="nil" w:sz="6" w:space="0" w:color="auto"/>
              <w:bottom w:val="single" w:sz="4" w:space="0" w:color="000000"/>
              <w:right w:val="nil" w:sz="6" w:space="0" w:color="auto"/>
            </w:tcBorders>
          </w:tcPr>
          <w:p>
            <w:pPr>
              <w:pStyle w:val="TableParagraph"/>
              <w:spacing w:line="262" w:lineRule="exact"/>
              <w:ind w:left="105" w:right="0"/>
              <w:jc w:val="left"/>
              <w:rPr>
                <w:rFonts w:ascii="宋体" w:hAnsi="宋体" w:cs="宋体" w:eastAsia="宋体" w:hint="default"/>
                <w:sz w:val="21"/>
                <w:szCs w:val="21"/>
              </w:rPr>
            </w:pPr>
            <w:r>
              <w:rPr>
                <w:rFonts w:ascii="宋体" w:hAnsi="宋体" w:cs="宋体" w:eastAsia="宋体" w:hint="default"/>
                <w:sz w:val="21"/>
                <w:szCs w:val="21"/>
              </w:rPr>
              <w:t>合肥盛康电力有限责任公司</w:t>
            </w:r>
            <w:r>
              <w:rPr>
                <w:rFonts w:ascii="宋体" w:hAnsi="宋体" w:cs="宋体" w:eastAsia="宋体" w:hint="default"/>
                <w:sz w:val="21"/>
                <w:szCs w:val="21"/>
              </w:rPr>
              <w:t> </w:t>
            </w:r>
          </w:p>
        </w:tc>
      </w:tr>
      <w:tr>
        <w:trPr>
          <w:trHeight w:val="322" w:hRule="exact"/>
        </w:trPr>
        <w:tc>
          <w:tcPr>
            <w:tcW w:w="7813" w:type="dxa"/>
            <w:tcBorders>
              <w:top w:val="single" w:sz="4" w:space="0" w:color="000000"/>
              <w:left w:val="nil" w:sz="6" w:space="0" w:color="auto"/>
              <w:bottom w:val="single" w:sz="4" w:space="0" w:color="000000"/>
              <w:right w:val="nil" w:sz="6" w:space="0" w:color="auto"/>
            </w:tcBorders>
          </w:tcPr>
          <w:p>
            <w:pPr>
              <w:pStyle w:val="TableParagraph"/>
              <w:spacing w:line="262" w:lineRule="exact"/>
              <w:ind w:left="105" w:right="0"/>
              <w:jc w:val="left"/>
              <w:rPr>
                <w:rFonts w:ascii="宋体" w:hAnsi="宋体" w:cs="宋体" w:eastAsia="宋体" w:hint="default"/>
                <w:sz w:val="21"/>
                <w:szCs w:val="21"/>
              </w:rPr>
            </w:pPr>
            <w:r>
              <w:rPr>
                <w:rFonts w:ascii="宋体" w:hAnsi="宋体" w:cs="宋体" w:eastAsia="宋体" w:hint="default"/>
                <w:sz w:val="21"/>
                <w:szCs w:val="21"/>
              </w:rPr>
              <w:t>合肥华洋新能源科技有限公司</w:t>
            </w:r>
            <w:r>
              <w:rPr>
                <w:rFonts w:ascii="宋体" w:hAnsi="宋体" w:cs="宋体" w:eastAsia="宋体" w:hint="default"/>
                <w:sz w:val="21"/>
                <w:szCs w:val="21"/>
              </w:rPr>
              <w:t> </w:t>
            </w:r>
          </w:p>
        </w:tc>
      </w:tr>
      <w:tr>
        <w:trPr>
          <w:trHeight w:val="322" w:hRule="exact"/>
        </w:trPr>
        <w:tc>
          <w:tcPr>
            <w:tcW w:w="7813" w:type="dxa"/>
            <w:tcBorders>
              <w:top w:val="single" w:sz="4" w:space="0" w:color="000000"/>
              <w:left w:val="nil" w:sz="6" w:space="0" w:color="auto"/>
              <w:bottom w:val="single" w:sz="4" w:space="0" w:color="000000"/>
              <w:right w:val="nil" w:sz="6" w:space="0" w:color="auto"/>
            </w:tcBorders>
          </w:tcPr>
          <w:p>
            <w:pPr>
              <w:pStyle w:val="TableParagraph"/>
              <w:spacing w:line="262" w:lineRule="exact"/>
              <w:ind w:left="105" w:right="0"/>
              <w:jc w:val="left"/>
              <w:rPr>
                <w:rFonts w:ascii="宋体" w:hAnsi="宋体" w:cs="宋体" w:eastAsia="宋体" w:hint="default"/>
                <w:sz w:val="21"/>
                <w:szCs w:val="21"/>
              </w:rPr>
            </w:pPr>
            <w:r>
              <w:rPr>
                <w:rFonts w:ascii="宋体" w:hAnsi="宋体" w:cs="宋体" w:eastAsia="宋体" w:hint="default"/>
                <w:sz w:val="21"/>
                <w:szCs w:val="21"/>
              </w:rPr>
              <w:t>邳州市大诚电力科技有限公司</w:t>
            </w:r>
            <w:r>
              <w:rPr>
                <w:rFonts w:ascii="宋体" w:hAnsi="宋体" w:cs="宋体" w:eastAsia="宋体" w:hint="default"/>
                <w:sz w:val="21"/>
                <w:szCs w:val="21"/>
              </w:rPr>
              <w:t> </w:t>
            </w:r>
          </w:p>
        </w:tc>
      </w:tr>
      <w:tr>
        <w:trPr>
          <w:trHeight w:val="322" w:hRule="exact"/>
        </w:trPr>
        <w:tc>
          <w:tcPr>
            <w:tcW w:w="7813" w:type="dxa"/>
            <w:tcBorders>
              <w:top w:val="single" w:sz="4" w:space="0" w:color="000000"/>
              <w:left w:val="nil" w:sz="6" w:space="0" w:color="auto"/>
              <w:bottom w:val="single" w:sz="4" w:space="0" w:color="000000"/>
              <w:right w:val="nil" w:sz="6" w:space="0" w:color="auto"/>
            </w:tcBorders>
          </w:tcPr>
          <w:p>
            <w:pPr>
              <w:pStyle w:val="TableParagraph"/>
              <w:spacing w:line="262" w:lineRule="exact"/>
              <w:ind w:left="105" w:right="0"/>
              <w:jc w:val="left"/>
              <w:rPr>
                <w:rFonts w:ascii="宋体" w:hAnsi="宋体" w:cs="宋体" w:eastAsia="宋体" w:hint="default"/>
                <w:sz w:val="21"/>
                <w:szCs w:val="21"/>
              </w:rPr>
            </w:pPr>
            <w:r>
              <w:rPr>
                <w:rFonts w:ascii="宋体" w:hAnsi="宋体" w:cs="宋体" w:eastAsia="宋体" w:hint="default"/>
                <w:sz w:val="21"/>
                <w:szCs w:val="21"/>
              </w:rPr>
              <w:t>启东市永威新能源电力有限公司</w:t>
            </w:r>
            <w:r>
              <w:rPr>
                <w:rFonts w:ascii="宋体" w:hAnsi="宋体" w:cs="宋体" w:eastAsia="宋体" w:hint="default"/>
                <w:sz w:val="21"/>
                <w:szCs w:val="21"/>
              </w:rPr>
              <w:t> </w:t>
            </w:r>
          </w:p>
        </w:tc>
      </w:tr>
      <w:tr>
        <w:trPr>
          <w:trHeight w:val="324" w:hRule="exact"/>
        </w:trPr>
        <w:tc>
          <w:tcPr>
            <w:tcW w:w="7813" w:type="dxa"/>
            <w:tcBorders>
              <w:top w:val="single" w:sz="4" w:space="0" w:color="000000"/>
              <w:left w:val="nil" w:sz="6" w:space="0" w:color="auto"/>
              <w:bottom w:val="single" w:sz="4" w:space="0" w:color="000000"/>
              <w:right w:val="nil" w:sz="6" w:space="0" w:color="auto"/>
            </w:tcBorders>
          </w:tcPr>
          <w:p>
            <w:pPr>
              <w:pStyle w:val="TableParagraph"/>
              <w:spacing w:line="265" w:lineRule="exact"/>
              <w:ind w:left="105" w:right="0"/>
              <w:jc w:val="left"/>
              <w:rPr>
                <w:rFonts w:ascii="宋体" w:hAnsi="宋体" w:cs="宋体" w:eastAsia="宋体" w:hint="default"/>
                <w:sz w:val="21"/>
                <w:szCs w:val="21"/>
              </w:rPr>
            </w:pPr>
            <w:r>
              <w:rPr>
                <w:rFonts w:ascii="宋体" w:hAnsi="宋体" w:cs="宋体" w:eastAsia="宋体" w:hint="default"/>
                <w:sz w:val="21"/>
                <w:szCs w:val="21"/>
              </w:rPr>
              <w:t>肥东金润新能源有限公司</w:t>
            </w:r>
            <w:r>
              <w:rPr>
                <w:rFonts w:ascii="宋体" w:hAnsi="宋体" w:cs="宋体" w:eastAsia="宋体" w:hint="default"/>
                <w:sz w:val="21"/>
                <w:szCs w:val="21"/>
              </w:rPr>
              <w:t> </w:t>
            </w:r>
          </w:p>
        </w:tc>
      </w:tr>
      <w:tr>
        <w:trPr>
          <w:trHeight w:val="322" w:hRule="exact"/>
        </w:trPr>
        <w:tc>
          <w:tcPr>
            <w:tcW w:w="7813" w:type="dxa"/>
            <w:tcBorders>
              <w:top w:val="single" w:sz="4" w:space="0" w:color="000000"/>
              <w:left w:val="nil" w:sz="6" w:space="0" w:color="auto"/>
              <w:bottom w:val="single" w:sz="4" w:space="0" w:color="000000"/>
              <w:right w:val="nil" w:sz="6" w:space="0" w:color="auto"/>
            </w:tcBorders>
          </w:tcPr>
          <w:p>
            <w:pPr>
              <w:pStyle w:val="TableParagraph"/>
              <w:spacing w:line="262" w:lineRule="exact"/>
              <w:ind w:left="105" w:right="0"/>
              <w:jc w:val="left"/>
              <w:rPr>
                <w:rFonts w:ascii="宋体" w:hAnsi="宋体" w:cs="宋体" w:eastAsia="宋体" w:hint="default"/>
                <w:sz w:val="21"/>
                <w:szCs w:val="21"/>
              </w:rPr>
            </w:pPr>
            <w:r>
              <w:rPr>
                <w:rFonts w:ascii="宋体"/>
                <w:sz w:val="21"/>
              </w:rPr>
              <w:t>LINYANGSMARTENERGYAFRICA(PTY)LTD </w:t>
            </w:r>
          </w:p>
        </w:tc>
      </w:tr>
      <w:tr>
        <w:trPr>
          <w:trHeight w:val="331" w:hRule="exact"/>
        </w:trPr>
        <w:tc>
          <w:tcPr>
            <w:tcW w:w="7813" w:type="dxa"/>
            <w:tcBorders>
              <w:top w:val="single" w:sz="4" w:space="0" w:color="000000"/>
              <w:left w:val="nil" w:sz="6" w:space="0" w:color="auto"/>
              <w:bottom w:val="single" w:sz="12" w:space="0" w:color="000000"/>
              <w:right w:val="nil" w:sz="6" w:space="0" w:color="auto"/>
            </w:tcBorders>
          </w:tcPr>
          <w:p>
            <w:pPr>
              <w:pStyle w:val="TableParagraph"/>
              <w:spacing w:line="262" w:lineRule="exact"/>
              <w:ind w:left="105" w:right="0"/>
              <w:jc w:val="left"/>
              <w:rPr>
                <w:rFonts w:ascii="宋体" w:hAnsi="宋体" w:cs="宋体" w:eastAsia="宋体" w:hint="default"/>
                <w:sz w:val="21"/>
                <w:szCs w:val="21"/>
              </w:rPr>
            </w:pPr>
            <w:r>
              <w:rPr>
                <w:rFonts w:ascii="宋体" w:hAnsi="宋体" w:cs="宋体" w:eastAsia="宋体" w:hint="default"/>
                <w:sz w:val="21"/>
                <w:szCs w:val="21"/>
              </w:rPr>
              <w:t>北京林洋新能源科技有限公司</w:t>
            </w:r>
            <w:r>
              <w:rPr>
                <w:rFonts w:ascii="宋体" w:hAnsi="宋体" w:cs="宋体" w:eastAsia="宋体" w:hint="default"/>
                <w:sz w:val="21"/>
                <w:szCs w:val="21"/>
              </w:rPr>
              <w:t> </w:t>
            </w:r>
          </w:p>
        </w:tc>
      </w:tr>
    </w:tbl>
    <w:p>
      <w:pPr>
        <w:spacing w:after="0" w:line="262" w:lineRule="exact"/>
        <w:jc w:val="left"/>
        <w:rPr>
          <w:rFonts w:ascii="宋体" w:hAnsi="宋体" w:cs="宋体" w:eastAsia="宋体" w:hint="default"/>
          <w:sz w:val="21"/>
          <w:szCs w:val="21"/>
        </w:rPr>
        <w:sectPr>
          <w:footerReference w:type="default" r:id="rId53"/>
          <w:pgSz w:w="11910" w:h="16840"/>
          <w:pgMar w:footer="974" w:header="748" w:top="1140" w:bottom="1160" w:left="1060" w:right="1660"/>
        </w:sectPr>
      </w:pPr>
    </w:p>
    <w:p>
      <w:pPr>
        <w:spacing w:line="240" w:lineRule="auto" w:before="0"/>
        <w:rPr>
          <w:rFonts w:ascii="Times New Roman" w:hAnsi="Times New Roman" w:cs="Times New Roman" w:eastAsia="Times New Roman" w:hint="default"/>
          <w:sz w:val="26"/>
          <w:szCs w:val="26"/>
        </w:rPr>
      </w:pPr>
    </w:p>
    <w:tbl>
      <w:tblPr>
        <w:tblW w:w="0" w:type="auto"/>
        <w:jc w:val="left"/>
        <w:tblInd w:w="824" w:type="dxa"/>
        <w:tblLayout w:type="fixed"/>
        <w:tblCellMar>
          <w:top w:w="0" w:type="dxa"/>
          <w:left w:w="0" w:type="dxa"/>
          <w:bottom w:w="0" w:type="dxa"/>
          <w:right w:w="0" w:type="dxa"/>
        </w:tblCellMar>
        <w:tblLook w:val="01E0"/>
      </w:tblPr>
      <w:tblGrid>
        <w:gridCol w:w="7813"/>
      </w:tblGrid>
      <w:tr>
        <w:trPr>
          <w:trHeight w:val="420" w:hRule="exact"/>
        </w:trPr>
        <w:tc>
          <w:tcPr>
            <w:tcW w:w="7813" w:type="dxa"/>
            <w:tcBorders>
              <w:top w:val="single" w:sz="12" w:space="0" w:color="000000"/>
              <w:left w:val="nil" w:sz="6" w:space="0" w:color="auto"/>
              <w:bottom w:val="single" w:sz="4" w:space="0" w:color="000000"/>
              <w:right w:val="nil" w:sz="6" w:space="0" w:color="auto"/>
            </w:tcBorders>
          </w:tcPr>
          <w:p>
            <w:pPr>
              <w:pStyle w:val="TableParagraph"/>
              <w:spacing w:line="240" w:lineRule="auto" w:before="111"/>
              <w:ind w:left="-1" w:right="3"/>
              <w:jc w:val="center"/>
              <w:rPr>
                <w:rFonts w:ascii="宋体" w:hAnsi="宋体" w:cs="宋体" w:eastAsia="宋体" w:hint="default"/>
                <w:sz w:val="18"/>
                <w:szCs w:val="18"/>
              </w:rPr>
            </w:pPr>
            <w:r>
              <w:rPr>
                <w:rFonts w:ascii="宋体" w:hAnsi="宋体" w:cs="宋体" w:eastAsia="宋体" w:hint="default"/>
                <w:sz w:val="18"/>
                <w:szCs w:val="18"/>
              </w:rPr>
              <w:t>子公司名称</w:t>
            </w:r>
          </w:p>
        </w:tc>
      </w:tr>
      <w:tr>
        <w:trPr>
          <w:trHeight w:val="322" w:hRule="exact"/>
        </w:trPr>
        <w:tc>
          <w:tcPr>
            <w:tcW w:w="7813" w:type="dxa"/>
            <w:tcBorders>
              <w:top w:val="single" w:sz="4" w:space="0" w:color="000000"/>
              <w:left w:val="nil" w:sz="6" w:space="0" w:color="auto"/>
              <w:bottom w:val="single" w:sz="4" w:space="0" w:color="000000"/>
              <w:right w:val="nil" w:sz="6" w:space="0" w:color="auto"/>
            </w:tcBorders>
          </w:tcPr>
          <w:p>
            <w:pPr>
              <w:pStyle w:val="TableParagraph"/>
              <w:spacing w:line="262" w:lineRule="exact"/>
              <w:ind w:left="105" w:right="0"/>
              <w:jc w:val="left"/>
              <w:rPr>
                <w:rFonts w:ascii="宋体" w:hAnsi="宋体" w:cs="宋体" w:eastAsia="宋体" w:hint="default"/>
                <w:sz w:val="21"/>
                <w:szCs w:val="21"/>
              </w:rPr>
            </w:pPr>
            <w:r>
              <w:rPr>
                <w:rFonts w:ascii="宋体" w:hAnsi="宋体" w:cs="宋体" w:eastAsia="宋体" w:hint="default"/>
                <w:sz w:val="21"/>
                <w:szCs w:val="21"/>
              </w:rPr>
              <w:t>南通市永乐新能源电力有限公司</w:t>
            </w:r>
            <w:r>
              <w:rPr>
                <w:rFonts w:ascii="宋体" w:hAnsi="宋体" w:cs="宋体" w:eastAsia="宋体" w:hint="default"/>
                <w:sz w:val="21"/>
                <w:szCs w:val="21"/>
              </w:rPr>
              <w:t> </w:t>
            </w:r>
          </w:p>
        </w:tc>
      </w:tr>
      <w:tr>
        <w:trPr>
          <w:trHeight w:val="334" w:hRule="exact"/>
        </w:trPr>
        <w:tc>
          <w:tcPr>
            <w:tcW w:w="7813" w:type="dxa"/>
            <w:tcBorders>
              <w:top w:val="single" w:sz="4" w:space="0" w:color="000000"/>
              <w:left w:val="nil" w:sz="6" w:space="0" w:color="auto"/>
              <w:bottom w:val="single" w:sz="12" w:space="0" w:color="000000"/>
              <w:right w:val="nil" w:sz="6" w:space="0" w:color="auto"/>
            </w:tcBorders>
          </w:tcPr>
          <w:p>
            <w:pPr>
              <w:pStyle w:val="TableParagraph"/>
              <w:spacing w:line="262" w:lineRule="exact"/>
              <w:ind w:left="105" w:right="0"/>
              <w:jc w:val="left"/>
              <w:rPr>
                <w:rFonts w:ascii="宋体" w:hAnsi="宋体" w:cs="宋体" w:eastAsia="宋体" w:hint="default"/>
                <w:sz w:val="21"/>
                <w:szCs w:val="21"/>
              </w:rPr>
            </w:pPr>
            <w:r>
              <w:rPr>
                <w:rFonts w:ascii="宋体" w:hAnsi="宋体" w:cs="宋体" w:eastAsia="宋体" w:hint="default"/>
                <w:sz w:val="21"/>
                <w:szCs w:val="21"/>
              </w:rPr>
              <w:t>永城市林安新能源科技有限公司</w:t>
            </w:r>
            <w:r>
              <w:rPr>
                <w:rFonts w:ascii="宋体" w:hAnsi="宋体" w:cs="宋体" w:eastAsia="宋体" w:hint="default"/>
                <w:sz w:val="21"/>
                <w:szCs w:val="21"/>
              </w:rPr>
              <w:t> </w:t>
            </w:r>
          </w:p>
        </w:tc>
      </w:tr>
    </w:tbl>
    <w:p>
      <w:pPr>
        <w:pStyle w:val="BodyText"/>
        <w:spacing w:line="350" w:lineRule="auto" w:before="93"/>
        <w:ind w:left="930" w:right="0"/>
        <w:jc w:val="left"/>
      </w:pPr>
      <w:r>
        <w:rPr>
          <w:spacing w:val="-4"/>
        </w:rPr>
        <w:t>本期合并财务报表范围及其变化情况详见本附注“六、合并范围的变更”和“七、在其他</w:t>
      </w:r>
      <w:r>
        <w:rPr>
          <w:spacing w:val="-26"/>
        </w:rPr>
        <w:t> </w:t>
      </w:r>
      <w:r>
        <w:rPr>
          <w:spacing w:val="-26"/>
        </w:rPr>
      </w:r>
      <w:r>
        <w:rPr/>
        <w:t>主体中的权益”。</w:t>
      </w:r>
    </w:p>
    <w:p>
      <w:pPr>
        <w:spacing w:line="240" w:lineRule="auto" w:before="9"/>
        <w:rPr>
          <w:rFonts w:ascii="宋体" w:hAnsi="宋体" w:cs="宋体" w:eastAsia="宋体" w:hint="default"/>
          <w:sz w:val="19"/>
          <w:szCs w:val="19"/>
        </w:rPr>
      </w:pPr>
    </w:p>
    <w:p>
      <w:pPr>
        <w:pStyle w:val="Heading3"/>
        <w:tabs>
          <w:tab w:pos="641" w:val="left" w:leader="none"/>
        </w:tabs>
        <w:spacing w:line="324" w:lineRule="auto" w:before="36"/>
        <w:ind w:left="216" w:right="6603"/>
        <w:jc w:val="left"/>
        <w:rPr>
          <w:b w:val="0"/>
          <w:bCs w:val="0"/>
        </w:rPr>
      </w:pPr>
      <w:r>
        <w:rPr/>
        <w:t>四、</w:t>
      </w:r>
      <w:r>
        <w:rPr>
          <w:spacing w:val="-105"/>
        </w:rPr>
        <w:t> </w:t>
      </w:r>
      <w:r>
        <w:rPr>
          <w:rFonts w:ascii="宋体" w:hAnsi="宋体" w:cs="宋体" w:eastAsia="宋体" w:hint="default"/>
          <w:spacing w:val="-105"/>
        </w:rPr>
      </w:r>
      <w:r>
        <w:rPr/>
        <w:t>财务报表的编制基础</w:t>
      </w:r>
      <w:r>
        <w:rPr>
          <w:rFonts w:ascii="宋体" w:hAnsi="宋体" w:cs="宋体" w:eastAsia="宋体" w:hint="default"/>
          <w:w w:val="99"/>
        </w:rPr>
        <w:t> </w:t>
      </w:r>
      <w:r>
        <w:rPr>
          <w:rFonts w:ascii="宋体" w:hAnsi="宋体" w:cs="宋体" w:eastAsia="宋体" w:hint="default"/>
          <w:w w:val="95"/>
        </w:rPr>
        <w:t>1.</w:t>
        <w:tab/>
      </w:r>
      <w:r>
        <w:rPr/>
        <w:t>编制基础</w:t>
      </w:r>
      <w:r>
        <w:rPr>
          <w:b w:val="0"/>
          <w:bCs w:val="0"/>
        </w:rPr>
      </w:r>
    </w:p>
    <w:p>
      <w:pPr>
        <w:pStyle w:val="BodyText"/>
        <w:spacing w:line="273" w:lineRule="auto" w:before="23"/>
        <w:ind w:left="216" w:right="138"/>
        <w:jc w:val="both"/>
        <w:rPr>
          <w:rFonts w:ascii="宋体" w:hAnsi="宋体" w:cs="宋体" w:eastAsia="宋体" w:hint="default"/>
        </w:rPr>
      </w:pPr>
      <w:r>
        <w:rPr>
          <w:spacing w:val="-2"/>
        </w:rPr>
        <w:t>公司以持续经营为基础，根据实际发生的交易和事项，按照财政部颁布的《企业会计准则——基</w:t>
      </w:r>
      <w:r>
        <w:rPr>
          <w:spacing w:val="-25"/>
        </w:rPr>
        <w:t> </w:t>
      </w:r>
      <w:r>
        <w:rPr>
          <w:spacing w:val="-25"/>
        </w:rPr>
      </w:r>
      <w:r>
        <w:rPr>
          <w:spacing w:val="-2"/>
        </w:rPr>
        <w:t>本准则》和各项具体会计准则、企业会计准则应用指南、企业会计准则解释及其他相关规定（以</w:t>
      </w:r>
      <w:r>
        <w:rPr>
          <w:spacing w:val="-25"/>
        </w:rPr>
        <w:t> </w:t>
      </w:r>
      <w:r>
        <w:rPr>
          <w:spacing w:val="-25"/>
        </w:rPr>
      </w:r>
      <w:r>
        <w:rPr>
          <w:spacing w:val="-2"/>
        </w:rPr>
        <w:t>下合称“企业会计准则”），以及中国证券监督管理委员会《公开发行证券的公司信息披露编报</w:t>
      </w:r>
      <w:r>
        <w:rPr>
          <w:spacing w:val="-26"/>
        </w:rPr>
        <w:t> </w:t>
      </w:r>
      <w:r>
        <w:rPr>
          <w:spacing w:val="-26"/>
        </w:rPr>
      </w:r>
      <w:r>
        <w:rPr/>
        <w:t>规则第</w:t>
      </w:r>
      <w:r>
        <w:rPr>
          <w:spacing w:val="-55"/>
        </w:rPr>
        <w:t> </w:t>
      </w:r>
      <w:r>
        <w:rPr>
          <w:rFonts w:ascii="宋体" w:hAnsi="宋体" w:cs="宋体" w:eastAsia="宋体" w:hint="default"/>
        </w:rPr>
        <w:t>15</w:t>
      </w:r>
      <w:r>
        <w:rPr>
          <w:rFonts w:ascii="宋体" w:hAnsi="宋体" w:cs="宋体" w:eastAsia="宋体" w:hint="default"/>
          <w:spacing w:val="-57"/>
        </w:rPr>
        <w:t> </w:t>
      </w:r>
      <w:r>
        <w:rPr/>
        <w:t>号——财务报告的一般规定》的披露规定编制财务报表。</w:t>
      </w:r>
      <w:r>
        <w:rPr>
          <w:rFonts w:ascii="宋体" w:hAnsi="宋体" w:cs="宋体" w:eastAsia="宋体" w:hint="default"/>
        </w:rPr>
        <w:t> </w:t>
      </w:r>
    </w:p>
    <w:p>
      <w:pPr>
        <w:pStyle w:val="BodyText"/>
        <w:spacing w:line="240" w:lineRule="auto" w:before="7"/>
        <w:ind w:left="216" w:right="0"/>
        <w:jc w:val="left"/>
        <w:rPr>
          <w:rFonts w:ascii="宋体" w:hAnsi="宋体" w:cs="宋体" w:eastAsia="宋体" w:hint="default"/>
        </w:rPr>
      </w:pPr>
      <w:r>
        <w:rPr>
          <w:rFonts w:ascii="宋体"/>
          <w:w w:val="100"/>
        </w:rPr>
        <w:t> </w:t>
      </w:r>
    </w:p>
    <w:p>
      <w:pPr>
        <w:pStyle w:val="Heading3"/>
        <w:tabs>
          <w:tab w:pos="641" w:val="left" w:leader="none"/>
        </w:tabs>
        <w:spacing w:line="240" w:lineRule="auto"/>
        <w:ind w:left="216" w:right="0"/>
        <w:jc w:val="left"/>
        <w:rPr>
          <w:b w:val="0"/>
          <w:bCs w:val="0"/>
        </w:rPr>
      </w:pPr>
      <w:r>
        <w:rPr>
          <w:rFonts w:ascii="宋体" w:hAnsi="宋体" w:cs="宋体" w:eastAsia="宋体" w:hint="default"/>
          <w:w w:val="95"/>
        </w:rPr>
        <w:t>2.</w:t>
        <w:tab/>
      </w:r>
      <w:r>
        <w:rPr/>
        <w:t>持续经营</w:t>
      </w:r>
      <w:r>
        <w:rPr>
          <w:b w:val="0"/>
          <w:bCs w:val="0"/>
        </w:rPr>
      </w:r>
    </w:p>
    <w:p>
      <w:pPr>
        <w:pStyle w:val="BodyText"/>
        <w:spacing w:line="333" w:lineRule="auto" w:before="97"/>
        <w:ind w:left="216" w:right="170"/>
        <w:jc w:val="left"/>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t>公司不存在可能导致对公司自报告期末起</w:t>
      </w:r>
      <w:r>
        <w:rPr>
          <w:rFonts w:ascii="宋体" w:hAnsi="宋体" w:cs="宋体" w:eastAsia="宋体" w:hint="default"/>
        </w:rPr>
        <w:t>12</w:t>
      </w:r>
      <w:r>
        <w:rPr/>
        <w:t>个月内的持续经营能力产生重大疑虑</w:t>
      </w:r>
      <w:r>
        <w:rPr>
          <w:rFonts w:ascii="宋体" w:hAnsi="宋体" w:cs="宋体" w:eastAsia="宋体" w:hint="default"/>
          <w:w w:val="100"/>
        </w:rPr>
        <w:t> </w:t>
      </w:r>
      <w:r>
        <w:rPr/>
        <w:t>的事项或情况。</w:t>
      </w:r>
    </w:p>
    <w:p>
      <w:pPr>
        <w:pStyle w:val="BodyText"/>
        <w:spacing w:line="225" w:lineRule="exact"/>
        <w:ind w:left="216" w:right="0"/>
        <w:jc w:val="left"/>
        <w:rPr>
          <w:rFonts w:ascii="宋体" w:hAnsi="宋体" w:cs="宋体" w:eastAsia="宋体" w:hint="default"/>
        </w:rPr>
      </w:pPr>
      <w:r>
        <w:rPr>
          <w:rFonts w:ascii="宋体"/>
          <w:w w:val="100"/>
        </w:rPr>
        <w:t> </w:t>
      </w:r>
    </w:p>
    <w:p>
      <w:pPr>
        <w:pStyle w:val="Heading3"/>
        <w:spacing w:line="240" w:lineRule="auto"/>
        <w:ind w:left="216" w:right="0"/>
        <w:jc w:val="left"/>
        <w:rPr>
          <w:rFonts w:ascii="宋体" w:hAnsi="宋体" w:cs="宋体" w:eastAsia="宋体" w:hint="default"/>
          <w:b w:val="0"/>
          <w:bCs w:val="0"/>
        </w:rPr>
      </w:pPr>
      <w:r>
        <w:rPr/>
        <w:t>五、</w:t>
      </w:r>
      <w:r>
        <w:rPr>
          <w:spacing w:val="-95"/>
        </w:rPr>
        <w:t> </w:t>
      </w:r>
      <w:r>
        <w:rPr>
          <w:rFonts w:ascii="宋体" w:hAnsi="宋体" w:cs="宋体" w:eastAsia="宋体" w:hint="default"/>
          <w:spacing w:val="-95"/>
        </w:rPr>
      </w:r>
      <w:r>
        <w:rPr>
          <w:spacing w:val="-1"/>
        </w:rPr>
        <w:t>重要会计政策及会计估计</w:t>
      </w:r>
      <w:r>
        <w:rPr>
          <w:rFonts w:ascii="宋体" w:hAnsi="宋体" w:cs="宋体" w:eastAsia="宋体" w:hint="default"/>
          <w:w w:val="99"/>
        </w:rPr>
        <w:t> </w:t>
      </w:r>
      <w:r>
        <w:rPr>
          <w:rFonts w:ascii="宋体" w:hAnsi="宋体" w:cs="宋体" w:eastAsia="宋体" w:hint="default"/>
          <w:b w:val="0"/>
          <w:bCs w:val="0"/>
        </w:rPr>
      </w:r>
    </w:p>
    <w:p>
      <w:pPr>
        <w:pStyle w:val="Heading2"/>
        <w:spacing w:line="313" w:lineRule="exact" w:before="69"/>
        <w:ind w:left="216" w:right="0"/>
        <w:jc w:val="left"/>
        <w:rPr>
          <w:rFonts w:ascii="宋体" w:hAnsi="宋体" w:cs="宋体" w:eastAsia="宋体" w:hint="default"/>
        </w:rPr>
      </w:pPr>
      <w:r>
        <w:rPr/>
        <w:t>具体会计政策和会计估计提示：</w:t>
      </w:r>
      <w:r>
        <w:rPr>
          <w:rFonts w:ascii="宋体" w:hAnsi="宋体" w:cs="宋体" w:eastAsia="宋体" w:hint="default"/>
        </w:rPr>
        <w:t> </w:t>
      </w:r>
    </w:p>
    <w:p>
      <w:pPr>
        <w:tabs>
          <w:tab w:pos="641" w:val="left" w:leader="none"/>
        </w:tabs>
        <w:spacing w:line="316" w:lineRule="auto" w:before="0"/>
        <w:ind w:left="216" w:right="979" w:firstLine="0"/>
        <w:jc w:val="left"/>
        <w:rPr>
          <w:rFonts w:ascii="宋体" w:hAnsi="宋体" w:cs="宋体" w:eastAsia="宋体" w:hint="default"/>
          <w:sz w:val="21"/>
          <w:szCs w:val="21"/>
        </w:rPr>
      </w:pPr>
      <w:r>
        <w:rPr>
          <w:rFonts w:ascii="宋体" w:hAnsi="宋体" w:cs="宋体" w:eastAsia="宋体" w:hint="default"/>
          <w:sz w:val="24"/>
          <w:szCs w:val="24"/>
        </w:rPr>
        <w:t>√适用</w:t>
      </w:r>
      <w:r>
        <w:rPr>
          <w:rFonts w:ascii="宋体" w:hAnsi="宋体" w:cs="宋体" w:eastAsia="宋体" w:hint="default"/>
          <w:spacing w:val="-1"/>
          <w:sz w:val="24"/>
          <w:szCs w:val="24"/>
        </w:rPr>
        <w:t> </w:t>
      </w:r>
      <w:r>
        <w:rPr>
          <w:rFonts w:ascii="宋体" w:hAnsi="宋体" w:cs="宋体" w:eastAsia="宋体" w:hint="default"/>
          <w:spacing w:val="-1"/>
          <w:sz w:val="24"/>
          <w:szCs w:val="24"/>
        </w:rPr>
      </w:r>
      <w:r>
        <w:rPr>
          <w:rFonts w:ascii="宋体" w:hAnsi="宋体" w:cs="宋体" w:eastAsia="宋体" w:hint="default"/>
          <w:sz w:val="24"/>
          <w:szCs w:val="24"/>
        </w:rPr>
        <w:t>□不适用</w:t>
      </w:r>
      <w:r>
        <w:rPr>
          <w:rFonts w:ascii="宋体" w:hAnsi="宋体" w:cs="宋体" w:eastAsia="宋体" w:hint="default"/>
          <w:sz w:val="24"/>
          <w:szCs w:val="24"/>
        </w:rPr>
        <w:t>  </w:t>
      </w:r>
      <w:r>
        <w:rPr>
          <w:rFonts w:ascii="宋体" w:hAnsi="宋体" w:cs="宋体" w:eastAsia="宋体" w:hint="default"/>
          <w:spacing w:val="-2"/>
          <w:sz w:val="21"/>
          <w:szCs w:val="21"/>
        </w:rPr>
        <w:t>以下披露内容已涵盖了本公司根据实际生产经营特点制定的具体会计政策和会计估计。</w:t>
      </w:r>
      <w:r>
        <w:rPr>
          <w:rFonts w:ascii="宋体" w:hAnsi="宋体" w:cs="宋体" w:eastAsia="宋体" w:hint="default"/>
          <w:spacing w:val="-32"/>
          <w:sz w:val="21"/>
          <w:szCs w:val="21"/>
        </w:rPr>
        <w:t> </w:t>
      </w:r>
      <w:r>
        <w:rPr>
          <w:rFonts w:ascii="宋体" w:hAnsi="宋体" w:cs="宋体" w:eastAsia="宋体" w:hint="default"/>
          <w:spacing w:val="-32"/>
          <w:sz w:val="21"/>
          <w:szCs w:val="21"/>
        </w:rPr>
      </w:r>
      <w:r>
        <w:rPr>
          <w:rFonts w:ascii="宋体" w:hAnsi="宋体" w:cs="宋体" w:eastAsia="宋体" w:hint="default"/>
          <w:b/>
          <w:bCs/>
          <w:w w:val="95"/>
          <w:sz w:val="21"/>
          <w:szCs w:val="21"/>
        </w:rPr>
        <w:t>1.</w:t>
        <w:tab/>
      </w:r>
      <w:r>
        <w:rPr>
          <w:rFonts w:ascii="宋体" w:hAnsi="宋体" w:cs="宋体" w:eastAsia="宋体" w:hint="default"/>
          <w:b/>
          <w:bCs/>
          <w:sz w:val="21"/>
          <w:szCs w:val="21"/>
        </w:rPr>
        <w:t>遵循企业会计准则的声明</w:t>
      </w:r>
      <w:r>
        <w:rPr>
          <w:rFonts w:ascii="宋体" w:hAnsi="宋体" w:cs="宋体" w:eastAsia="宋体" w:hint="default"/>
          <w:sz w:val="21"/>
          <w:szCs w:val="21"/>
        </w:rPr>
      </w:r>
    </w:p>
    <w:p>
      <w:pPr>
        <w:pStyle w:val="BodyText"/>
        <w:spacing w:line="240" w:lineRule="auto" w:before="30"/>
        <w:ind w:left="216" w:right="0"/>
        <w:jc w:val="left"/>
        <w:rPr>
          <w:rFonts w:ascii="宋体" w:hAnsi="宋体" w:cs="宋体" w:eastAsia="宋体" w:hint="default"/>
        </w:rPr>
      </w:pPr>
      <w:r>
        <w:rPr>
          <w:spacing w:val="-3"/>
        </w:rPr>
        <w:t>本财务报表符合财政部颁布的企业会计准则的要求，真实、完整地反映了本公司</w:t>
      </w:r>
      <w:r>
        <w:rPr>
          <w:spacing w:val="-40"/>
        </w:rPr>
        <w:t> </w:t>
      </w:r>
      <w:r>
        <w:rPr>
          <w:rFonts w:ascii="宋体" w:hAnsi="宋体" w:cs="宋体" w:eastAsia="宋体" w:hint="default"/>
        </w:rPr>
        <w:t>2019</w:t>
      </w:r>
      <w:r>
        <w:rPr>
          <w:rFonts w:ascii="宋体" w:hAnsi="宋体" w:cs="宋体" w:eastAsia="宋体" w:hint="default"/>
          <w:spacing w:val="-43"/>
        </w:rPr>
        <w:t> </w:t>
      </w:r>
      <w:r>
        <w:rPr/>
        <w:t>年</w:t>
      </w:r>
      <w:r>
        <w:rPr>
          <w:spacing w:val="-40"/>
        </w:rPr>
        <w:t> </w:t>
      </w:r>
      <w:r>
        <w:rPr>
          <w:rFonts w:ascii="宋体" w:hAnsi="宋体" w:cs="宋体" w:eastAsia="宋体" w:hint="default"/>
        </w:rPr>
        <w:t>12</w:t>
      </w:r>
      <w:r>
        <w:rPr>
          <w:rFonts w:ascii="宋体" w:hAnsi="宋体" w:cs="宋体" w:eastAsia="宋体" w:hint="default"/>
          <w:spacing w:val="-43"/>
        </w:rPr>
        <w:t> </w:t>
      </w:r>
      <w:r>
        <w:rPr/>
        <w:t>月</w:t>
      </w:r>
      <w:r>
        <w:rPr>
          <w:spacing w:val="-40"/>
        </w:rPr>
        <w:t> </w:t>
      </w:r>
      <w:r>
        <w:rPr>
          <w:rFonts w:ascii="宋体" w:hAnsi="宋体" w:cs="宋体" w:eastAsia="宋体" w:hint="default"/>
          <w:spacing w:val="-3"/>
        </w:rPr>
        <w:t>31</w:t>
      </w:r>
      <w:r>
        <w:rPr>
          <w:rFonts w:ascii="宋体" w:hAnsi="宋体" w:cs="宋体" w:eastAsia="宋体" w:hint="default"/>
        </w:rPr>
      </w:r>
    </w:p>
    <w:p>
      <w:pPr>
        <w:pStyle w:val="BodyText"/>
        <w:spacing w:line="240" w:lineRule="auto" w:before="37"/>
        <w:ind w:left="216" w:right="0"/>
        <w:jc w:val="left"/>
        <w:rPr>
          <w:rFonts w:ascii="宋体" w:hAnsi="宋体" w:cs="宋体" w:eastAsia="宋体" w:hint="default"/>
        </w:rPr>
      </w:pPr>
      <w:r>
        <w:rPr/>
        <w:t>日的合并及母公司财务状况以及</w:t>
      </w:r>
      <w:r>
        <w:rPr>
          <w:spacing w:val="-58"/>
        </w:rPr>
        <w:t> </w:t>
      </w:r>
      <w:r>
        <w:rPr>
          <w:rFonts w:ascii="宋体" w:hAnsi="宋体" w:cs="宋体" w:eastAsia="宋体" w:hint="default"/>
        </w:rPr>
        <w:t>2019</w:t>
      </w:r>
      <w:r>
        <w:rPr>
          <w:rFonts w:ascii="宋体" w:hAnsi="宋体" w:cs="宋体" w:eastAsia="宋体" w:hint="default"/>
          <w:spacing w:val="-58"/>
        </w:rPr>
        <w:t> </w:t>
      </w:r>
      <w:r>
        <w:rPr/>
        <w:t>年度的合并及母公司经营成果和现金流量。</w:t>
      </w:r>
      <w:r>
        <w:rPr>
          <w:rFonts w:ascii="宋体" w:hAnsi="宋体" w:cs="宋体" w:eastAsia="宋体" w:hint="default"/>
        </w:rPr>
        <w:t> </w:t>
      </w:r>
    </w:p>
    <w:p>
      <w:pPr>
        <w:pStyle w:val="BodyText"/>
        <w:spacing w:line="240" w:lineRule="auto" w:before="37"/>
        <w:ind w:left="216" w:right="0"/>
        <w:jc w:val="left"/>
        <w:rPr>
          <w:rFonts w:ascii="宋体" w:hAnsi="宋体" w:cs="宋体" w:eastAsia="宋体" w:hint="default"/>
        </w:rPr>
      </w:pPr>
      <w:r>
        <w:rPr>
          <w:rFonts w:ascii="宋体"/>
          <w:w w:val="100"/>
        </w:rPr>
        <w:t> </w:t>
      </w:r>
    </w:p>
    <w:p>
      <w:pPr>
        <w:pStyle w:val="Heading3"/>
        <w:tabs>
          <w:tab w:pos="641" w:val="left" w:leader="none"/>
        </w:tabs>
        <w:spacing w:line="240" w:lineRule="auto"/>
        <w:ind w:left="216" w:right="0"/>
        <w:jc w:val="left"/>
        <w:rPr>
          <w:b w:val="0"/>
          <w:bCs w:val="0"/>
        </w:rPr>
      </w:pPr>
      <w:r>
        <w:rPr>
          <w:rFonts w:ascii="宋体" w:hAnsi="宋体" w:cs="宋体" w:eastAsia="宋体" w:hint="default"/>
          <w:w w:val="95"/>
        </w:rPr>
        <w:t>2.</w:t>
        <w:tab/>
      </w:r>
      <w:r>
        <w:rPr/>
        <w:t>会计期间</w:t>
      </w:r>
      <w:r>
        <w:rPr>
          <w:b w:val="0"/>
          <w:bCs w:val="0"/>
        </w:rPr>
      </w:r>
    </w:p>
    <w:p>
      <w:pPr>
        <w:pStyle w:val="BodyText"/>
        <w:spacing w:line="240" w:lineRule="auto" w:before="97"/>
        <w:ind w:left="216" w:right="0"/>
        <w:jc w:val="left"/>
        <w:rPr>
          <w:rFonts w:ascii="宋体" w:hAnsi="宋体" w:cs="宋体" w:eastAsia="宋体" w:hint="default"/>
        </w:rPr>
      </w:pPr>
      <w:r>
        <w:rPr/>
        <w:t>本公司会计年度自公历</w:t>
      </w:r>
      <w:r>
        <w:rPr>
          <w:spacing w:val="-53"/>
        </w:rPr>
        <w:t> </w:t>
      </w:r>
      <w:r>
        <w:rPr>
          <w:rFonts w:ascii="宋体" w:hAnsi="宋体" w:cs="宋体" w:eastAsia="宋体" w:hint="default"/>
        </w:rPr>
        <w:t>1</w:t>
      </w:r>
      <w:r>
        <w:rPr>
          <w:rFonts w:ascii="宋体" w:hAnsi="宋体" w:cs="宋体" w:eastAsia="宋体" w:hint="default"/>
          <w:spacing w:val="-55"/>
        </w:rPr>
        <w:t> </w:t>
      </w:r>
      <w:r>
        <w:rPr/>
        <w:t>月</w:t>
      </w:r>
      <w:r>
        <w:rPr>
          <w:spacing w:val="-53"/>
        </w:rPr>
        <w:t> </w:t>
      </w:r>
      <w:r>
        <w:rPr>
          <w:rFonts w:ascii="宋体" w:hAnsi="宋体" w:cs="宋体" w:eastAsia="宋体" w:hint="default"/>
        </w:rPr>
        <w:t>1</w:t>
      </w:r>
      <w:r>
        <w:rPr>
          <w:rFonts w:ascii="宋体" w:hAnsi="宋体" w:cs="宋体" w:eastAsia="宋体" w:hint="default"/>
          <w:spacing w:val="-52"/>
        </w:rPr>
        <w:t> </w:t>
      </w:r>
      <w:r>
        <w:rPr/>
        <w:t>日起至</w:t>
      </w:r>
      <w:r>
        <w:rPr>
          <w:spacing w:val="-53"/>
        </w:rPr>
        <w:t> </w:t>
      </w:r>
      <w:r>
        <w:rPr>
          <w:rFonts w:ascii="宋体" w:hAnsi="宋体" w:cs="宋体" w:eastAsia="宋体" w:hint="default"/>
        </w:rPr>
        <w:t>12</w:t>
      </w:r>
      <w:r>
        <w:rPr>
          <w:rFonts w:ascii="宋体" w:hAnsi="宋体" w:cs="宋体" w:eastAsia="宋体" w:hint="default"/>
          <w:spacing w:val="-55"/>
        </w:rPr>
        <w:t> </w:t>
      </w:r>
      <w:r>
        <w:rPr/>
        <w:t>月</w:t>
      </w:r>
      <w:r>
        <w:rPr>
          <w:spacing w:val="-53"/>
        </w:rPr>
        <w:t> </w:t>
      </w:r>
      <w:r>
        <w:rPr>
          <w:rFonts w:ascii="宋体" w:hAnsi="宋体" w:cs="宋体" w:eastAsia="宋体" w:hint="default"/>
        </w:rPr>
        <w:t>31</w:t>
      </w:r>
      <w:r>
        <w:rPr>
          <w:rFonts w:ascii="宋体" w:hAnsi="宋体" w:cs="宋体" w:eastAsia="宋体" w:hint="default"/>
          <w:spacing w:val="-55"/>
        </w:rPr>
        <w:t> </w:t>
      </w:r>
      <w:r>
        <w:rPr/>
        <w:t>日止。</w:t>
      </w:r>
      <w:r>
        <w:rPr>
          <w:rFonts w:ascii="宋体" w:hAnsi="宋体" w:cs="宋体" w:eastAsia="宋体" w:hint="default"/>
        </w:rPr>
        <w:t> </w:t>
      </w:r>
    </w:p>
    <w:p>
      <w:pPr>
        <w:pStyle w:val="BodyText"/>
        <w:spacing w:line="240" w:lineRule="auto" w:before="37"/>
        <w:ind w:left="216" w:right="0"/>
        <w:jc w:val="left"/>
        <w:rPr>
          <w:rFonts w:ascii="宋体" w:hAnsi="宋体" w:cs="宋体" w:eastAsia="宋体" w:hint="default"/>
        </w:rPr>
      </w:pPr>
      <w:r>
        <w:rPr>
          <w:rFonts w:ascii="宋体"/>
          <w:w w:val="100"/>
        </w:rPr>
        <w:t> </w:t>
      </w:r>
    </w:p>
    <w:p>
      <w:pPr>
        <w:pStyle w:val="Heading3"/>
        <w:tabs>
          <w:tab w:pos="641" w:val="left" w:leader="none"/>
        </w:tabs>
        <w:spacing w:line="240" w:lineRule="auto"/>
        <w:ind w:left="216" w:right="0"/>
        <w:jc w:val="left"/>
        <w:rPr>
          <w:b w:val="0"/>
          <w:bCs w:val="0"/>
        </w:rPr>
      </w:pPr>
      <w:r>
        <w:rPr>
          <w:rFonts w:ascii="宋体" w:hAnsi="宋体" w:cs="宋体" w:eastAsia="宋体" w:hint="default"/>
          <w:w w:val="95"/>
        </w:rPr>
        <w:t>3.</w:t>
        <w:tab/>
      </w:r>
      <w:r>
        <w:rPr/>
        <w:t>营业周期</w:t>
      </w:r>
      <w:r>
        <w:rPr>
          <w:b w:val="0"/>
          <w:bCs w:val="0"/>
        </w:rPr>
      </w:r>
    </w:p>
    <w:p>
      <w:pPr>
        <w:pStyle w:val="BodyText"/>
        <w:spacing w:line="273" w:lineRule="auto" w:before="97"/>
        <w:ind w:left="216" w:right="5918"/>
        <w:jc w:val="left"/>
        <w:rPr>
          <w:rFonts w:ascii="宋体" w:hAnsi="宋体" w:cs="宋体" w:eastAsia="宋体" w:hint="default"/>
        </w:rPr>
      </w:pPr>
      <w:r>
        <w:rPr/>
        <w:t>√适用</w:t>
      </w:r>
      <w:r>
        <w:rPr>
          <w:spacing w:val="104"/>
        </w:rPr>
        <w:t> </w:t>
      </w:r>
      <w:r>
        <w:rPr>
          <w:rFonts w:ascii="宋体" w:hAnsi="宋体" w:cs="宋体" w:eastAsia="宋体" w:hint="default"/>
          <w:spacing w:val="104"/>
        </w:rPr>
      </w:r>
      <w:r>
        <w:rPr/>
        <w:t>□不适用</w:t>
      </w:r>
      <w:r>
        <w:rPr>
          <w:rFonts w:ascii="宋体" w:hAnsi="宋体" w:cs="宋体" w:eastAsia="宋体" w:hint="default"/>
          <w:spacing w:val="-3"/>
          <w:w w:val="100"/>
        </w:rPr>
        <w:t> </w:t>
      </w:r>
      <w:r>
        <w:rPr>
          <w:rFonts w:ascii="宋体" w:hAnsi="宋体" w:cs="宋体" w:eastAsia="宋体" w:hint="default"/>
          <w:w w:val="100"/>
        </w:rPr>
        <w:t> </w:t>
      </w:r>
      <w:r>
        <w:rPr/>
        <w:t>本公司营业周期为</w:t>
      </w:r>
      <w:r>
        <w:rPr>
          <w:spacing w:val="-55"/>
        </w:rPr>
        <w:t> </w:t>
      </w:r>
      <w:r>
        <w:rPr>
          <w:rFonts w:ascii="宋体" w:hAnsi="宋体" w:cs="宋体" w:eastAsia="宋体" w:hint="default"/>
        </w:rPr>
        <w:t>12</w:t>
      </w:r>
      <w:r>
        <w:rPr>
          <w:rFonts w:ascii="宋体" w:hAnsi="宋体" w:cs="宋体" w:eastAsia="宋体" w:hint="default"/>
          <w:spacing w:val="-55"/>
        </w:rPr>
        <w:t> </w:t>
      </w:r>
      <w:r>
        <w:rPr/>
        <w:t>个月。</w:t>
      </w:r>
      <w:r>
        <w:rPr>
          <w:rFonts w:ascii="宋体" w:hAnsi="宋体" w:cs="宋体" w:eastAsia="宋体" w:hint="default"/>
        </w:rPr>
        <w:t> </w:t>
      </w:r>
    </w:p>
    <w:p>
      <w:pPr>
        <w:pStyle w:val="BodyText"/>
        <w:spacing w:line="240" w:lineRule="auto" w:before="7"/>
        <w:ind w:left="216" w:right="0"/>
        <w:jc w:val="left"/>
        <w:rPr>
          <w:rFonts w:ascii="宋体" w:hAnsi="宋体" w:cs="宋体" w:eastAsia="宋体" w:hint="default"/>
        </w:rPr>
      </w:pPr>
      <w:r>
        <w:rPr>
          <w:rFonts w:ascii="宋体"/>
          <w:w w:val="100"/>
        </w:rPr>
        <w:t> </w:t>
      </w:r>
    </w:p>
    <w:p>
      <w:pPr>
        <w:tabs>
          <w:tab w:pos="641" w:val="left" w:leader="none"/>
        </w:tabs>
        <w:spacing w:line="324" w:lineRule="auto" w:before="97"/>
        <w:ind w:left="216" w:right="5918" w:firstLine="0"/>
        <w:jc w:val="left"/>
        <w:rPr>
          <w:rFonts w:ascii="宋体" w:hAnsi="宋体" w:cs="宋体" w:eastAsia="宋体" w:hint="default"/>
          <w:sz w:val="21"/>
          <w:szCs w:val="21"/>
        </w:rPr>
      </w:pPr>
      <w:r>
        <w:rPr>
          <w:rFonts w:ascii="宋体" w:hAnsi="宋体" w:cs="宋体" w:eastAsia="宋体" w:hint="default"/>
          <w:b/>
          <w:bCs/>
          <w:w w:val="95"/>
          <w:sz w:val="21"/>
          <w:szCs w:val="21"/>
        </w:rPr>
        <w:t>4.</w:t>
        <w:tab/>
      </w:r>
      <w:r>
        <w:rPr>
          <w:rFonts w:ascii="宋体" w:hAnsi="宋体" w:cs="宋体" w:eastAsia="宋体" w:hint="default"/>
          <w:b/>
          <w:bCs/>
          <w:sz w:val="21"/>
          <w:szCs w:val="21"/>
        </w:rPr>
        <w:t>记账本位币</w:t>
      </w:r>
      <w:r>
        <w:rPr>
          <w:rFonts w:ascii="宋体" w:hAnsi="宋体" w:cs="宋体" w:eastAsia="宋体" w:hint="default"/>
          <w:b/>
          <w:bCs/>
          <w:w w:val="100"/>
          <w:sz w:val="21"/>
          <w:szCs w:val="21"/>
        </w:rPr>
        <w:t> </w:t>
      </w:r>
      <w:r>
        <w:rPr>
          <w:rFonts w:ascii="宋体" w:hAnsi="宋体" w:cs="宋体" w:eastAsia="宋体" w:hint="default"/>
          <w:sz w:val="21"/>
          <w:szCs w:val="21"/>
        </w:rPr>
        <w:t>本公司的记账本位币为人民币。</w:t>
      </w:r>
      <w:r>
        <w:rPr>
          <w:rFonts w:ascii="宋体" w:hAnsi="宋体" w:cs="宋体" w:eastAsia="宋体" w:hint="default"/>
          <w:sz w:val="21"/>
          <w:szCs w:val="21"/>
        </w:rPr>
        <w:t> </w:t>
      </w:r>
    </w:p>
    <w:p>
      <w:pPr>
        <w:pStyle w:val="BodyText"/>
        <w:spacing w:line="238" w:lineRule="exact"/>
        <w:ind w:left="216" w:right="0"/>
        <w:jc w:val="left"/>
        <w:rPr>
          <w:rFonts w:ascii="宋体" w:hAnsi="宋体" w:cs="宋体" w:eastAsia="宋体" w:hint="default"/>
        </w:rPr>
      </w:pPr>
      <w:r>
        <w:rPr>
          <w:rFonts w:ascii="宋体"/>
          <w:w w:val="100"/>
        </w:rPr>
        <w:t> </w:t>
      </w:r>
    </w:p>
    <w:p>
      <w:pPr>
        <w:pStyle w:val="Heading3"/>
        <w:tabs>
          <w:tab w:pos="641" w:val="left" w:leader="none"/>
        </w:tabs>
        <w:spacing w:line="240" w:lineRule="auto"/>
        <w:ind w:left="216" w:right="0"/>
        <w:jc w:val="left"/>
        <w:rPr>
          <w:b w:val="0"/>
          <w:bCs w:val="0"/>
        </w:rPr>
      </w:pPr>
      <w:r>
        <w:rPr>
          <w:rFonts w:ascii="宋体" w:hAnsi="宋体" w:cs="宋体" w:eastAsia="宋体" w:hint="default"/>
          <w:w w:val="95"/>
        </w:rPr>
        <w:t>5.</w:t>
        <w:tab/>
      </w:r>
      <w:r>
        <w:rPr/>
        <w:t>同一控制下和非同一控制下企业合并的会计处理方法</w:t>
      </w:r>
      <w:r>
        <w:rPr>
          <w:b w:val="0"/>
          <w:bCs w:val="0"/>
        </w:rPr>
      </w:r>
    </w:p>
    <w:p>
      <w:pPr>
        <w:pStyle w:val="BodyText"/>
        <w:spacing w:line="364" w:lineRule="auto" w:before="97"/>
        <w:ind w:left="216" w:right="0"/>
        <w:jc w:val="left"/>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1"/>
        </w:rPr>
        <w:t>同一控制下企业合并：合并方在企业合并中取得的资产和负债，按照合并日被合并方资产、负债</w:t>
      </w:r>
    </w:p>
    <w:p>
      <w:pPr>
        <w:spacing w:after="0" w:line="364" w:lineRule="auto"/>
        <w:jc w:val="left"/>
        <w:sectPr>
          <w:footerReference w:type="default" r:id="rId54"/>
          <w:pgSz w:w="11910" w:h="16840"/>
          <w:pgMar w:footer="974" w:header="748" w:top="1140" w:bottom="1160" w:left="1060" w:right="1660"/>
          <w:pgNumType w:start="101"/>
        </w:sectPr>
      </w:pPr>
    </w:p>
    <w:p>
      <w:pPr>
        <w:spacing w:line="240" w:lineRule="auto" w:before="3"/>
        <w:rPr>
          <w:rFonts w:ascii="宋体" w:hAnsi="宋体" w:cs="宋体" w:eastAsia="宋体" w:hint="default"/>
          <w:sz w:val="27"/>
          <w:szCs w:val="27"/>
        </w:rPr>
      </w:pPr>
    </w:p>
    <w:p>
      <w:pPr>
        <w:pStyle w:val="BodyText"/>
        <w:spacing w:line="348" w:lineRule="auto" w:before="36"/>
        <w:ind w:left="216" w:right="0"/>
        <w:jc w:val="left"/>
      </w:pPr>
      <w:r>
        <w:rPr>
          <w:spacing w:val="-1"/>
        </w:rPr>
        <w:t>（包括最终控制方收购被合并方而形成的商誉）在最终控制方合并财务报表中的账面价值计量。</w:t>
      </w:r>
      <w:r>
        <w:rPr>
          <w:spacing w:val="-55"/>
        </w:rPr>
        <w:t> </w:t>
      </w:r>
      <w:r>
        <w:rPr>
          <w:spacing w:val="-55"/>
        </w:rPr>
      </w:r>
      <w:r>
        <w:rPr>
          <w:spacing w:val="-1"/>
        </w:rPr>
        <w:t>在合并中取得的净资产账面价值与支付的合并对价账面价值（或发行股份面值总额）的差额，调</w:t>
      </w:r>
      <w:r>
        <w:rPr>
          <w:spacing w:val="-55"/>
        </w:rPr>
        <w:t> </w:t>
      </w:r>
      <w:r>
        <w:rPr>
          <w:spacing w:val="-55"/>
        </w:rPr>
      </w:r>
      <w:r>
        <w:rPr/>
        <w:t>整资本公积中的股本溢价，资本公积中的股本溢价不足冲减的，调整留存收益。</w:t>
      </w:r>
      <w:r>
        <w:rPr>
          <w:w w:val="100"/>
        </w:rPr>
        <w:t> </w:t>
      </w:r>
      <w:r>
        <w:rPr>
          <w:spacing w:val="-1"/>
        </w:rPr>
        <w:t>非同一控制下企业合并：购买方在购买日对作为企业合并对价付出的资产、发生或承担的负债按</w:t>
      </w:r>
      <w:r>
        <w:rPr>
          <w:spacing w:val="-55"/>
        </w:rPr>
        <w:t> </w:t>
      </w:r>
      <w:r>
        <w:rPr>
          <w:spacing w:val="-55"/>
        </w:rPr>
      </w:r>
      <w:r>
        <w:rPr>
          <w:spacing w:val="-1"/>
        </w:rPr>
        <w:t>照公允价值计量，公允价值与其账面价值的差额，计入当期损益。合并成本大于合并中取得的被</w:t>
      </w:r>
      <w:r>
        <w:rPr>
          <w:spacing w:val="-55"/>
        </w:rPr>
        <w:t> </w:t>
      </w:r>
      <w:r>
        <w:rPr>
          <w:spacing w:val="-55"/>
        </w:rPr>
      </w:r>
      <w:r>
        <w:rPr>
          <w:spacing w:val="-1"/>
        </w:rPr>
        <w:t>购买方可辨认净资产公允价值份额的差额，确认为商誉；合并成本小于合并中取得的被购买方可</w:t>
      </w:r>
    </w:p>
    <w:p>
      <w:pPr>
        <w:pStyle w:val="BodyText"/>
        <w:spacing w:line="264" w:lineRule="auto" w:before="31"/>
        <w:ind w:left="216" w:right="0"/>
        <w:jc w:val="left"/>
        <w:rPr>
          <w:rFonts w:ascii="宋体" w:hAnsi="宋体" w:cs="宋体" w:eastAsia="宋体" w:hint="default"/>
        </w:rPr>
      </w:pPr>
      <w:r>
        <w:rPr/>
        <w:t>辨认净资产公允价值份额的差额，计入当期损益。</w:t>
      </w:r>
      <w:r>
        <w:rPr>
          <w:w w:val="100"/>
        </w:rPr>
        <w:t> </w:t>
      </w:r>
      <w:r>
        <w:rPr>
          <w:spacing w:val="-2"/>
        </w:rPr>
        <w:t>为企业合并发生的直接相关费用于发生时计入当期损益；为企业合并而发行权益性证券或债务性</w:t>
      </w:r>
      <w:r>
        <w:rPr>
          <w:spacing w:val="-24"/>
        </w:rPr>
        <w:t> </w:t>
      </w:r>
      <w:r>
        <w:rPr>
          <w:spacing w:val="-24"/>
        </w:rPr>
      </w:r>
      <w:r>
        <w:rPr/>
        <w:t>证券的交易费用，计入权益性证券或债务性证券的初始确认金额。</w:t>
      </w:r>
      <w:r>
        <w:rPr>
          <w:rFonts w:ascii="宋体" w:hAnsi="宋体" w:cs="宋体" w:eastAsia="宋体" w:hint="default"/>
        </w:rPr>
        <w:t> </w:t>
      </w:r>
    </w:p>
    <w:p>
      <w:pPr>
        <w:pStyle w:val="BodyText"/>
        <w:spacing w:line="240" w:lineRule="auto" w:before="16"/>
        <w:ind w:left="216" w:right="0"/>
        <w:jc w:val="left"/>
        <w:rPr>
          <w:rFonts w:ascii="宋体" w:hAnsi="宋体" w:cs="宋体" w:eastAsia="宋体" w:hint="default"/>
        </w:rPr>
      </w:pPr>
      <w:r>
        <w:rPr>
          <w:rFonts w:ascii="宋体"/>
          <w:w w:val="100"/>
        </w:rPr>
        <w:t> </w:t>
      </w:r>
    </w:p>
    <w:p>
      <w:pPr>
        <w:pStyle w:val="Heading3"/>
        <w:tabs>
          <w:tab w:pos="641" w:val="left" w:leader="none"/>
        </w:tabs>
        <w:spacing w:line="240" w:lineRule="auto"/>
        <w:ind w:left="216" w:right="0"/>
        <w:jc w:val="left"/>
        <w:rPr>
          <w:b w:val="0"/>
          <w:bCs w:val="0"/>
        </w:rPr>
      </w:pPr>
      <w:r>
        <w:rPr>
          <w:rFonts w:ascii="宋体" w:hAnsi="宋体" w:cs="宋体" w:eastAsia="宋体" w:hint="default"/>
          <w:w w:val="95"/>
        </w:rPr>
        <w:t>6.</w:t>
        <w:tab/>
      </w:r>
      <w:r>
        <w:rPr/>
        <w:t>合并财务报表的编制方法</w:t>
      </w:r>
      <w:r>
        <w:rPr>
          <w:b w:val="0"/>
          <w:bCs w:val="0"/>
        </w:rPr>
      </w:r>
    </w:p>
    <w:p>
      <w:pPr>
        <w:pStyle w:val="BodyText"/>
        <w:spacing w:line="240" w:lineRule="auto" w:before="97"/>
        <w:ind w:left="216"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tabs>
          <w:tab w:pos="786" w:val="left" w:leader="none"/>
          <w:tab w:pos="865" w:val="left" w:leader="none"/>
        </w:tabs>
        <w:spacing w:line="338" w:lineRule="auto" w:before="142"/>
        <w:ind w:left="216" w:right="147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tab/>
        <w:tab/>
        <w:t>合并范围</w:t>
      </w:r>
      <w:r>
        <w:rPr>
          <w:rFonts w:ascii="宋体" w:hAnsi="宋体" w:cs="宋体" w:eastAsia="宋体" w:hint="default"/>
          <w:b/>
          <w:bCs/>
          <w:w w:val="100"/>
          <w:sz w:val="21"/>
          <w:szCs w:val="21"/>
        </w:rPr>
        <w:t> </w:t>
      </w:r>
      <w:r>
        <w:rPr>
          <w:rFonts w:ascii="宋体" w:hAnsi="宋体" w:cs="宋体" w:eastAsia="宋体" w:hint="default"/>
          <w:spacing w:val="-2"/>
          <w:sz w:val="21"/>
          <w:szCs w:val="21"/>
        </w:rPr>
        <w:t>合并财务报表的合并范围以控制为基础确定，合并范围包括本公司及全部子公司。</w:t>
      </w:r>
      <w:r>
        <w:rPr>
          <w:rFonts w:ascii="宋体" w:hAnsi="宋体" w:cs="宋体" w:eastAsia="宋体" w:hint="default"/>
          <w:spacing w:val="-35"/>
          <w:sz w:val="21"/>
          <w:szCs w:val="21"/>
        </w:rPr>
        <w:t> </w:t>
      </w:r>
      <w:r>
        <w:rPr>
          <w:rFonts w:ascii="宋体" w:hAnsi="宋体" w:cs="宋体" w:eastAsia="宋体" w:hint="default"/>
          <w:spacing w:val="-35"/>
          <w:sz w:val="21"/>
          <w:szCs w:val="21"/>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w:t>
        <w:tab/>
        <w:t>合并程序</w:t>
      </w:r>
      <w:r>
        <w:rPr>
          <w:rFonts w:ascii="宋体" w:hAnsi="宋体" w:cs="宋体" w:eastAsia="宋体" w:hint="default"/>
          <w:sz w:val="21"/>
          <w:szCs w:val="21"/>
        </w:rPr>
      </w:r>
    </w:p>
    <w:p>
      <w:pPr>
        <w:pStyle w:val="BodyText"/>
        <w:spacing w:line="350" w:lineRule="auto" w:before="14"/>
        <w:ind w:left="216" w:right="0"/>
        <w:jc w:val="left"/>
      </w:pPr>
      <w:r>
        <w:rPr>
          <w:spacing w:val="-1"/>
        </w:rPr>
        <w:t>本公司以自身和各子公司的财务报表为基础，根据其他有关资料，编制合并财务报表。本公司编</w:t>
      </w:r>
      <w:r>
        <w:rPr>
          <w:spacing w:val="-55"/>
        </w:rPr>
        <w:t> </w:t>
      </w:r>
      <w:r>
        <w:rPr>
          <w:spacing w:val="-55"/>
        </w:rPr>
      </w:r>
      <w:r>
        <w:rPr>
          <w:spacing w:val="-1"/>
        </w:rPr>
        <w:t>制合并财务报表，将整个企业集团视为一个会计主体，依据相关企业会计准则的确认、计量和列</w:t>
      </w:r>
      <w:r>
        <w:rPr>
          <w:spacing w:val="-55"/>
        </w:rPr>
        <w:t> </w:t>
      </w:r>
      <w:r>
        <w:rPr>
          <w:spacing w:val="-55"/>
        </w:rPr>
      </w:r>
      <w:r>
        <w:rPr/>
        <w:t>报要求，按照统一的会计政策，反映本企业集团整体财务状况、经营成果和现金流量。</w:t>
      </w:r>
      <w:r>
        <w:rPr>
          <w:w w:val="100"/>
        </w:rPr>
        <w:t> </w:t>
      </w:r>
      <w:r>
        <w:rPr>
          <w:spacing w:val="-1"/>
        </w:rPr>
        <w:t>所有纳入合并财务报表合并范围的子公司所采用的会计政策、会计期间与本公司一致，如子公司</w:t>
      </w:r>
      <w:r>
        <w:rPr>
          <w:spacing w:val="-55"/>
        </w:rPr>
        <w:t> </w:t>
      </w:r>
      <w:r>
        <w:rPr>
          <w:spacing w:val="-55"/>
        </w:rPr>
      </w:r>
      <w:r>
        <w:rPr>
          <w:spacing w:val="-1"/>
        </w:rPr>
        <w:t>采用的会计政策、会计期间与本公司不一致的，在编制合并财务报表时，按本公司的会计政策、</w:t>
      </w:r>
      <w:r>
        <w:rPr>
          <w:spacing w:val="-55"/>
        </w:rPr>
        <w:t> </w:t>
      </w:r>
      <w:r>
        <w:rPr>
          <w:spacing w:val="-55"/>
        </w:rPr>
      </w:r>
      <w:r>
        <w:rPr>
          <w:spacing w:val="-1"/>
        </w:rPr>
        <w:t>会计期间进行必要的调整。对于非同一控制下企业合并取得的子公司，以购买日可辨认净资产公</w:t>
      </w:r>
      <w:r>
        <w:rPr>
          <w:spacing w:val="-55"/>
        </w:rPr>
        <w:t> </w:t>
      </w:r>
      <w:r>
        <w:rPr>
          <w:spacing w:val="-55"/>
        </w:rPr>
      </w:r>
      <w:r>
        <w:rPr>
          <w:spacing w:val="-1"/>
        </w:rPr>
        <w:t>允价值为基础对其财务报表进行调整。对于同一控制下企业合并取得的子公司，以其资产、负债</w:t>
      </w:r>
    </w:p>
    <w:p>
      <w:pPr>
        <w:pStyle w:val="BodyText"/>
        <w:spacing w:line="350" w:lineRule="auto" w:before="27"/>
        <w:ind w:left="216" w:right="0"/>
        <w:jc w:val="left"/>
      </w:pPr>
      <w:r>
        <w:rPr>
          <w:spacing w:val="-1"/>
        </w:rPr>
        <w:t>（包括最终控制方收购该子公司而形成的商誉）在最终控制方财务报表中的账面价值为基础对其</w:t>
      </w:r>
      <w:r>
        <w:rPr>
          <w:spacing w:val="-55"/>
        </w:rPr>
        <w:t> </w:t>
      </w:r>
      <w:r>
        <w:rPr>
          <w:spacing w:val="-55"/>
        </w:rPr>
      </w:r>
      <w:r>
        <w:rPr/>
        <w:t>财务报表进行调整。</w:t>
      </w:r>
      <w:r>
        <w:rPr>
          <w:w w:val="100"/>
        </w:rPr>
        <w:t> </w:t>
      </w:r>
      <w:r>
        <w:rPr>
          <w:spacing w:val="-1"/>
        </w:rPr>
        <w:t>子公司所有者权益、当期净损益和当期综合收益中属于少数股东的份额分别在合并资产负债表中</w:t>
      </w:r>
      <w:r>
        <w:rPr>
          <w:spacing w:val="-55"/>
        </w:rPr>
        <w:t> </w:t>
      </w:r>
      <w:r>
        <w:rPr>
          <w:spacing w:val="-55"/>
        </w:rPr>
      </w:r>
      <w:r>
        <w:rPr>
          <w:spacing w:val="-1"/>
        </w:rPr>
        <w:t>所有者权益项目下、合并利润表中净利润项目下和综合收益总额项目下单独列示。子公司少数股</w:t>
      </w:r>
      <w:r>
        <w:rPr>
          <w:spacing w:val="-55"/>
        </w:rPr>
        <w:t> </w:t>
      </w:r>
      <w:r>
        <w:rPr>
          <w:spacing w:val="-55"/>
        </w:rPr>
      </w:r>
      <w:r>
        <w:rPr>
          <w:spacing w:val="-1"/>
        </w:rPr>
        <w:t>东分担的当期亏损超过了少数股东在该子公司期初所有者权益中所享有份额而形成的余额，冲减</w:t>
      </w:r>
      <w:r>
        <w:rPr>
          <w:spacing w:val="-55"/>
        </w:rPr>
        <w:t> </w:t>
      </w:r>
      <w:r>
        <w:rPr>
          <w:spacing w:val="-55"/>
        </w:rPr>
      </w:r>
      <w:r>
        <w:rPr/>
        <w:t>少数股东权益。</w:t>
      </w:r>
    </w:p>
    <w:p>
      <w:pPr>
        <w:pStyle w:val="BodyText"/>
        <w:spacing w:line="345" w:lineRule="auto" w:before="27"/>
        <w:ind w:left="216" w:right="0"/>
        <w:jc w:val="left"/>
      </w:pPr>
      <w:r>
        <w:rPr/>
        <w:t>（</w:t>
      </w:r>
      <w:r>
        <w:rPr>
          <w:rFonts w:ascii="Times New Roman" w:hAnsi="Times New Roman" w:cs="Times New Roman" w:eastAsia="Times New Roman" w:hint="default"/>
        </w:rPr>
        <w:t>1</w:t>
      </w:r>
      <w:r>
        <w:rPr/>
        <w:t>）增加子公司或业务</w:t>
      </w:r>
      <w:r>
        <w:rPr>
          <w:w w:val="100"/>
        </w:rPr>
        <w:t> </w:t>
      </w:r>
      <w:r>
        <w:rPr/>
        <w:t>在报告期内，若因同一控制下企业合并增加子公司或业务的，则调整合并资产负债表的期初数；</w:t>
      </w:r>
      <w:r>
        <w:rPr>
          <w:spacing w:val="-97"/>
        </w:rPr>
        <w:t> </w:t>
      </w:r>
      <w:r>
        <w:rPr>
          <w:spacing w:val="-97"/>
        </w:rPr>
      </w:r>
      <w:r>
        <w:rPr/>
        <w:t>将子公司或业务合并当期期初至报告期末的收入、费用、利润纳入合并利润表；将子公司或业务</w:t>
      </w:r>
      <w:r>
        <w:rPr>
          <w:spacing w:val="-97"/>
        </w:rPr>
        <w:t> </w:t>
      </w:r>
      <w:r>
        <w:rPr>
          <w:spacing w:val="-97"/>
        </w:rPr>
      </w:r>
      <w:r>
        <w:rPr>
          <w:spacing w:val="-4"/>
          <w:w w:val="100"/>
        </w:rPr>
        <w:t>合并当期期初至报告期末的现金流量纳入合并现金流量表，同时对比较报表的相关项目进行调整，</w:t>
      </w:r>
      <w:r>
        <w:rPr>
          <w:spacing w:val="-85"/>
          <w:w w:val="100"/>
        </w:rPr>
        <w:t> </w:t>
      </w:r>
      <w:r>
        <w:rPr>
          <w:spacing w:val="-85"/>
          <w:w w:val="100"/>
        </w:rPr>
      </w:r>
      <w:r>
        <w:rPr/>
        <w:t>视同合并后的报告主体自最终控制方开始控制时点起一直存在。</w:t>
      </w:r>
      <w:r>
        <w:rPr>
          <w:w w:val="100"/>
        </w:rPr>
        <w:t> </w:t>
      </w:r>
      <w:r>
        <w:rPr/>
        <w:t>因追加投资等原因能够对同一控制下的被投资方实施控制的，视同参与合并的各方在最终控制方</w:t>
      </w:r>
      <w:r>
        <w:rPr>
          <w:spacing w:val="-97"/>
        </w:rPr>
        <w:t> </w:t>
      </w:r>
      <w:r>
        <w:rPr>
          <w:spacing w:val="-97"/>
        </w:rPr>
      </w:r>
      <w:r>
        <w:rPr/>
        <w:t>开始控制时即以目前的状态存在进行调整。在取得被合并方控制权之前持有的股权投资，在取得</w:t>
      </w:r>
    </w:p>
    <w:p>
      <w:pPr>
        <w:spacing w:after="0" w:line="345" w:lineRule="auto"/>
        <w:jc w:val="left"/>
        <w:sectPr>
          <w:pgSz w:w="11910" w:h="16840"/>
          <w:pgMar w:header="748" w:footer="974" w:top="1140" w:bottom="1160" w:left="1060" w:right="1580"/>
        </w:sectPr>
      </w:pPr>
    </w:p>
    <w:p>
      <w:pPr>
        <w:spacing w:line="240" w:lineRule="auto" w:before="3"/>
        <w:rPr>
          <w:rFonts w:ascii="宋体" w:hAnsi="宋体" w:cs="宋体" w:eastAsia="宋体" w:hint="default"/>
          <w:sz w:val="27"/>
          <w:szCs w:val="27"/>
        </w:rPr>
      </w:pPr>
    </w:p>
    <w:p>
      <w:pPr>
        <w:pStyle w:val="BodyText"/>
        <w:spacing w:line="350" w:lineRule="auto" w:before="36"/>
        <w:ind w:left="216" w:right="126"/>
        <w:jc w:val="left"/>
      </w:pPr>
      <w:r>
        <w:rPr>
          <w:spacing w:val="-1"/>
        </w:rPr>
        <w:t>原股权之日与合并方和被合并方同处于同一控制之日孰晚日起至合并日之间已确认有关损益、其</w:t>
      </w:r>
      <w:r>
        <w:rPr>
          <w:spacing w:val="-54"/>
        </w:rPr>
        <w:t> </w:t>
      </w:r>
      <w:r>
        <w:rPr>
          <w:spacing w:val="-54"/>
        </w:rPr>
      </w:r>
      <w:r>
        <w:rPr/>
        <w:t>他综合收益以及其他净资产变动，分别冲减比较报表期间的期初留存收益或当期损益。</w:t>
      </w:r>
      <w:r>
        <w:rPr>
          <w:w w:val="100"/>
        </w:rPr>
        <w:t> </w:t>
      </w:r>
      <w:r>
        <w:rPr>
          <w:spacing w:val="-6"/>
          <w:w w:val="100"/>
        </w:rPr>
        <w:t>在报告期内，若因非同一控制下企业合并增加子公司或业务的，则不调整合并资产负债表期初数；</w:t>
      </w:r>
      <w:r>
        <w:rPr>
          <w:w w:val="100"/>
        </w:rPr>
        <w:t> </w:t>
      </w:r>
      <w:r>
        <w:rPr>
          <w:spacing w:val="-1"/>
        </w:rPr>
        <w:t>将该子公司或业务自购买日至报告期末的收入、费用、利润纳入合并利润表；该子公司或业务自</w:t>
      </w:r>
      <w:r>
        <w:rPr>
          <w:spacing w:val="-55"/>
        </w:rPr>
        <w:t> </w:t>
      </w:r>
      <w:r>
        <w:rPr>
          <w:spacing w:val="-55"/>
        </w:rPr>
      </w:r>
      <w:r>
        <w:rPr/>
        <w:t>购买日至报告期末的现金流量纳入合并现金流量表。</w:t>
      </w:r>
      <w:r>
        <w:rPr>
          <w:w w:val="100"/>
        </w:rPr>
        <w:t> </w:t>
      </w:r>
      <w:r>
        <w:rPr>
          <w:spacing w:val="-1"/>
        </w:rPr>
        <w:t>因追加投资等原因能够对非同一控制下的被投资方实施控制的，对于购买日之前持有的被购买方</w:t>
      </w:r>
      <w:r>
        <w:rPr>
          <w:spacing w:val="-55"/>
        </w:rPr>
        <w:t> </w:t>
      </w:r>
      <w:r>
        <w:rPr>
          <w:spacing w:val="-55"/>
        </w:rPr>
      </w:r>
      <w:r>
        <w:rPr>
          <w:spacing w:val="-1"/>
        </w:rPr>
        <w:t>的股权，本公司按照该股权在购买日的公允价值进行重新计量，公允价值与其账面价值的差额计</w:t>
      </w:r>
      <w:r>
        <w:rPr>
          <w:spacing w:val="-55"/>
        </w:rPr>
        <w:t> </w:t>
      </w:r>
      <w:r>
        <w:rPr>
          <w:spacing w:val="-55"/>
        </w:rPr>
      </w:r>
      <w:r>
        <w:rPr>
          <w:spacing w:val="-1"/>
        </w:rPr>
        <w:t>入当期投资收益。购买日之前持有的被购买方的股权涉及权益法核算下的其他综合收益以及除净</w:t>
      </w:r>
      <w:r>
        <w:rPr>
          <w:spacing w:val="-55"/>
        </w:rPr>
        <w:t> </w:t>
      </w:r>
      <w:r>
        <w:rPr>
          <w:spacing w:val="-55"/>
        </w:rPr>
      </w:r>
      <w:r>
        <w:rPr>
          <w:spacing w:val="-1"/>
        </w:rPr>
        <w:t>损益、其他综合收益和利润分配之外的其他所有者权益变动的，与其相关的其他综合收益、其他</w:t>
      </w:r>
      <w:r>
        <w:rPr>
          <w:spacing w:val="-55"/>
        </w:rPr>
        <w:t> </w:t>
      </w:r>
      <w:r>
        <w:rPr>
          <w:spacing w:val="-55"/>
        </w:rPr>
      </w:r>
      <w:r>
        <w:rPr>
          <w:spacing w:val="-1"/>
        </w:rPr>
        <w:t>所有者权益变动转为购买日所属当期投资收益，由于被投资方重新计量设定受益计划净负债或净</w:t>
      </w:r>
      <w:r>
        <w:rPr>
          <w:spacing w:val="-55"/>
        </w:rPr>
        <w:t> </w:t>
      </w:r>
      <w:r>
        <w:rPr>
          <w:spacing w:val="-55"/>
        </w:rPr>
      </w:r>
      <w:r>
        <w:rPr/>
        <w:t>资产变动而产生的其他综合收益除外。</w:t>
      </w:r>
    </w:p>
    <w:p>
      <w:pPr>
        <w:pStyle w:val="BodyText"/>
        <w:spacing w:line="240" w:lineRule="auto" w:before="27"/>
        <w:ind w:left="216" w:right="0"/>
        <w:jc w:val="left"/>
      </w:pPr>
      <w:r>
        <w:rPr/>
        <w:t>（</w:t>
      </w:r>
      <w:r>
        <w:rPr>
          <w:rFonts w:ascii="Times New Roman" w:hAnsi="Times New Roman" w:cs="Times New Roman" w:eastAsia="Times New Roman" w:hint="default"/>
        </w:rPr>
        <w:t>2</w:t>
      </w:r>
      <w:r>
        <w:rPr/>
        <w:t>）处置子公司或业务</w:t>
      </w:r>
    </w:p>
    <w:p>
      <w:pPr>
        <w:pStyle w:val="BodyText"/>
        <w:spacing w:line="350" w:lineRule="auto" w:before="110"/>
        <w:ind w:left="216" w:right="0"/>
        <w:jc w:val="left"/>
      </w:pPr>
      <w:r>
        <w:rPr/>
        <w:t>①一般处理方法</w:t>
      </w:r>
      <w:r>
        <w:rPr>
          <w:spacing w:val="-103"/>
        </w:rPr>
        <w:t> </w:t>
      </w:r>
      <w:r>
        <w:rPr>
          <w:spacing w:val="-103"/>
        </w:rPr>
      </w:r>
      <w:r>
        <w:rPr>
          <w:spacing w:val="-1"/>
        </w:rPr>
        <w:t>在报告期内，本公司处置子公司或业务，则该子公司或业务期初至处置日的收入、费用、利润纳</w:t>
      </w:r>
      <w:r>
        <w:rPr>
          <w:spacing w:val="-55"/>
        </w:rPr>
        <w:t> </w:t>
      </w:r>
      <w:r>
        <w:rPr>
          <w:spacing w:val="-55"/>
        </w:rPr>
      </w:r>
      <w:r>
        <w:rPr/>
        <w:t>入合并利润表；该子公司或业务期初至处置日的现金流量纳入合并现金流量表。</w:t>
      </w:r>
      <w:r>
        <w:rPr>
          <w:w w:val="100"/>
        </w:rPr>
        <w:t> </w:t>
      </w:r>
      <w:r>
        <w:rPr>
          <w:spacing w:val="-1"/>
        </w:rPr>
        <w:t>因处置部分股权投资或其他原因丧失了对被投资方控制权时，对于处置后的剩余股权投资，本公</w:t>
      </w:r>
      <w:r>
        <w:rPr>
          <w:spacing w:val="-55"/>
        </w:rPr>
        <w:t> </w:t>
      </w:r>
      <w:r>
        <w:rPr>
          <w:spacing w:val="-55"/>
        </w:rPr>
      </w:r>
      <w:r>
        <w:rPr>
          <w:spacing w:val="-1"/>
        </w:rPr>
        <w:t>司按照其在丧失控制权日的公允价值进行重新计量。处置股权取得的对价与剩余股权公允价值之</w:t>
      </w:r>
      <w:r>
        <w:rPr>
          <w:spacing w:val="-55"/>
        </w:rPr>
        <w:t> </w:t>
      </w:r>
      <w:r>
        <w:rPr>
          <w:spacing w:val="-55"/>
        </w:rPr>
      </w:r>
      <w:r>
        <w:rPr>
          <w:spacing w:val="-1"/>
        </w:rPr>
        <w:t>和，减去按原持股比例计算应享有原有子公司自购买日或合并日开始持续计算的净资产的份额与</w:t>
      </w:r>
      <w:r>
        <w:rPr>
          <w:spacing w:val="-55"/>
        </w:rPr>
        <w:t> </w:t>
      </w:r>
      <w:r>
        <w:rPr>
          <w:spacing w:val="-55"/>
        </w:rPr>
      </w:r>
      <w:r>
        <w:rPr>
          <w:spacing w:val="-1"/>
        </w:rPr>
        <w:t>商誉之和的差额，计入丧失控制权当期的投资收益。与原有子公司股权投资相关的其他综合收益</w:t>
      </w:r>
      <w:r>
        <w:rPr>
          <w:spacing w:val="-55"/>
        </w:rPr>
        <w:t> </w:t>
      </w:r>
      <w:r>
        <w:rPr>
          <w:spacing w:val="-55"/>
        </w:rPr>
      </w:r>
      <w:r>
        <w:rPr>
          <w:spacing w:val="-1"/>
        </w:rPr>
        <w:t>或除净损益、其他综合收益及利润分配之外的其他所有者权益变动，在丧失控制权时转为当期投</w:t>
      </w:r>
      <w:r>
        <w:rPr>
          <w:spacing w:val="-55"/>
        </w:rPr>
        <w:t> </w:t>
      </w:r>
      <w:r>
        <w:rPr>
          <w:spacing w:val="-55"/>
        </w:rPr>
      </w:r>
      <w:r>
        <w:rPr>
          <w:spacing w:val="-2"/>
        </w:rPr>
        <w:t>资收益，由于被投资方重新计量设定受益计划净负债或净资产变动而产生的其他综合收益除外。</w:t>
      </w:r>
      <w:r>
        <w:rPr>
          <w:spacing w:val="-25"/>
        </w:rPr>
        <w:t> </w:t>
      </w:r>
      <w:r>
        <w:rPr>
          <w:spacing w:val="-25"/>
        </w:rPr>
      </w:r>
      <w:r>
        <w:rPr>
          <w:spacing w:val="-1"/>
        </w:rPr>
        <w:t>因其他投资方对子公司增资而导致本公司持股比例下降从而丧失控制权的，按照上述原则进行会</w:t>
      </w:r>
      <w:r>
        <w:rPr>
          <w:spacing w:val="-55"/>
        </w:rPr>
        <w:t> </w:t>
      </w:r>
      <w:r>
        <w:rPr>
          <w:spacing w:val="-55"/>
        </w:rPr>
      </w:r>
      <w:r>
        <w:rPr/>
        <w:t>计处理。</w:t>
      </w:r>
    </w:p>
    <w:p>
      <w:pPr>
        <w:pStyle w:val="BodyText"/>
        <w:spacing w:line="350" w:lineRule="auto" w:before="27"/>
        <w:ind w:left="216" w:right="0"/>
        <w:jc w:val="left"/>
      </w:pPr>
      <w:r>
        <w:rPr/>
        <w:t>②分步处置子公司</w:t>
      </w:r>
      <w:r>
        <w:rPr>
          <w:w w:val="100"/>
        </w:rPr>
        <w:t> </w:t>
      </w:r>
      <w:r>
        <w:rPr>
          <w:spacing w:val="-1"/>
        </w:rPr>
        <w:t>通过多次交易分步处置对子公司股权投资直至丧失控制权的，处置对子公司股权投资的各项交易</w:t>
      </w:r>
      <w:r>
        <w:rPr>
          <w:spacing w:val="-55"/>
        </w:rPr>
        <w:t> </w:t>
      </w:r>
      <w:r>
        <w:rPr>
          <w:spacing w:val="-55"/>
        </w:rPr>
      </w:r>
      <w:r>
        <w:rPr>
          <w:spacing w:val="-1"/>
        </w:rPr>
        <w:t>的条款、条件以及经济影响符合以下一种或多种情况，通常表明应将多次交易事项作为一揽子交</w:t>
      </w:r>
      <w:r>
        <w:rPr>
          <w:spacing w:val="-55"/>
        </w:rPr>
        <w:t> </w:t>
      </w:r>
      <w:r>
        <w:rPr>
          <w:spacing w:val="-55"/>
        </w:rPr>
      </w:r>
      <w:r>
        <w:rPr/>
        <w:t>易进行会计处理：</w:t>
      </w:r>
    </w:p>
    <w:p>
      <w:pPr>
        <w:pStyle w:val="BodyText"/>
        <w:spacing w:line="350" w:lineRule="auto" w:before="30"/>
        <w:ind w:left="216" w:right="0"/>
        <w:jc w:val="left"/>
      </w:pPr>
      <w:r>
        <w:rPr/>
        <w:t>ⅰ．这些交易是同时或者在考虑了彼此影响的情况下订立的；</w:t>
      </w:r>
      <w:r>
        <w:rPr>
          <w:w w:val="100"/>
        </w:rPr>
        <w:t> </w:t>
      </w:r>
      <w:r>
        <w:rPr/>
        <w:t>ⅱ．这些交易整体才能达成一项完整的商业结果；</w:t>
      </w:r>
      <w:r>
        <w:rPr>
          <w:w w:val="100"/>
        </w:rPr>
        <w:t> </w:t>
      </w:r>
      <w:r>
        <w:rPr/>
        <w:t>ⅲ．一项交易的发生取决于其他至少一项交易的发生；</w:t>
      </w:r>
      <w:r>
        <w:rPr>
          <w:w w:val="100"/>
        </w:rPr>
        <w:t> </w:t>
      </w:r>
      <w:r>
        <w:rPr/>
        <w:t>ⅳ．一项交易单独看是不经济的，但是和其他交易一并考虑时是经济的。</w:t>
      </w:r>
      <w:r>
        <w:rPr>
          <w:w w:val="100"/>
        </w:rPr>
        <w:t> </w:t>
      </w:r>
      <w:r>
        <w:rPr>
          <w:spacing w:val="-1"/>
        </w:rPr>
        <w:t>处置对子公司股权投资直至丧失控制权的各项交易属于一揽子交易的，本公司将各项交易作为一</w:t>
      </w:r>
      <w:r>
        <w:rPr>
          <w:spacing w:val="-55"/>
        </w:rPr>
        <w:t> </w:t>
      </w:r>
      <w:r>
        <w:rPr>
          <w:spacing w:val="-55"/>
        </w:rPr>
      </w:r>
      <w:r>
        <w:rPr>
          <w:spacing w:val="-1"/>
        </w:rPr>
        <w:t>项处置子公司并丧失控制权的交易进行会计处理；但是，在丧失控制权之前每一次处置价款与处</w:t>
      </w:r>
      <w:r>
        <w:rPr>
          <w:spacing w:val="-55"/>
        </w:rPr>
        <w:t> </w:t>
      </w:r>
      <w:r>
        <w:rPr>
          <w:spacing w:val="-55"/>
        </w:rPr>
      </w:r>
      <w:r>
        <w:rPr>
          <w:spacing w:val="-1"/>
        </w:rPr>
        <w:t>置投资对应的享有该子公司净资产份额的差额，在合并财务报表中确认为其他综合收益，在丧失</w:t>
      </w:r>
    </w:p>
    <w:p>
      <w:pPr>
        <w:spacing w:after="0" w:line="350" w:lineRule="auto"/>
        <w:jc w:val="left"/>
        <w:sectPr>
          <w:pgSz w:w="11910" w:h="16840"/>
          <w:pgMar w:header="748" w:footer="974" w:top="1140" w:bottom="1160" w:left="1060" w:right="1660"/>
        </w:sectPr>
      </w:pPr>
    </w:p>
    <w:p>
      <w:pPr>
        <w:spacing w:line="240" w:lineRule="auto" w:before="3"/>
        <w:rPr>
          <w:rFonts w:ascii="宋体" w:hAnsi="宋体" w:cs="宋体" w:eastAsia="宋体" w:hint="default"/>
          <w:sz w:val="27"/>
          <w:szCs w:val="27"/>
        </w:rPr>
      </w:pPr>
    </w:p>
    <w:p>
      <w:pPr>
        <w:pStyle w:val="BodyText"/>
        <w:spacing w:line="350" w:lineRule="auto" w:before="36"/>
        <w:ind w:left="216" w:right="0"/>
        <w:jc w:val="left"/>
      </w:pPr>
      <w:r>
        <w:rPr/>
        <w:t>控制权时一并转入丧失控制权当期的损益。</w:t>
      </w:r>
      <w:r>
        <w:rPr>
          <w:w w:val="100"/>
        </w:rPr>
        <w:t> </w:t>
      </w:r>
      <w:r>
        <w:rPr/>
        <w:t>处置对子公司股权投资直至丧失控制权的各项交易不属于一揽子交易的，在丧失控制权之前，按</w:t>
      </w:r>
      <w:r>
        <w:rPr>
          <w:spacing w:val="-97"/>
        </w:rPr>
        <w:t> </w:t>
      </w:r>
      <w:r>
        <w:rPr>
          <w:spacing w:val="-97"/>
        </w:rPr>
      </w:r>
      <w:r>
        <w:rPr>
          <w:spacing w:val="-4"/>
          <w:w w:val="100"/>
        </w:rPr>
        <w:t>不丧失控制权的情况下部分处置对子公司的股权投资的相关政策进行会计处理；在丧失控制权时，</w:t>
      </w:r>
      <w:r>
        <w:rPr>
          <w:spacing w:val="-85"/>
          <w:w w:val="100"/>
        </w:rPr>
        <w:t> </w:t>
      </w:r>
      <w:r>
        <w:rPr>
          <w:spacing w:val="-85"/>
          <w:w w:val="100"/>
        </w:rPr>
      </w:r>
      <w:r>
        <w:rPr/>
        <w:t>按处置子公司一般处理方法进行会计处理。</w:t>
      </w:r>
    </w:p>
    <w:p>
      <w:pPr>
        <w:pStyle w:val="BodyText"/>
        <w:spacing w:line="328" w:lineRule="auto" w:before="29"/>
        <w:ind w:left="216" w:right="0"/>
        <w:jc w:val="left"/>
      </w:pPr>
      <w:r>
        <w:rPr/>
        <w:t>（</w:t>
      </w:r>
      <w:r>
        <w:rPr>
          <w:rFonts w:ascii="Times New Roman" w:hAnsi="Times New Roman" w:cs="Times New Roman" w:eastAsia="Times New Roman" w:hint="default"/>
        </w:rPr>
        <w:t>3</w:t>
      </w:r>
      <w:r>
        <w:rPr/>
        <w:t>）购买子公司少数股权</w:t>
      </w:r>
      <w:r>
        <w:rPr>
          <w:w w:val="100"/>
        </w:rPr>
        <w:t> </w:t>
      </w:r>
      <w:r>
        <w:rPr>
          <w:spacing w:val="2"/>
        </w:rPr>
        <w:t>本公司因购买少数股权新取得的长期股权投资与按照新增持股比例计算应享有子公司自购买日</w:t>
      </w:r>
    </w:p>
    <w:p>
      <w:pPr>
        <w:pStyle w:val="BodyText"/>
        <w:spacing w:line="350" w:lineRule="auto" w:before="48"/>
        <w:ind w:left="216" w:right="0"/>
        <w:jc w:val="left"/>
      </w:pPr>
      <w:r>
        <w:rPr>
          <w:spacing w:val="-1"/>
        </w:rPr>
        <w:t>（或合并日）开始持续计算的净资产份额之间的差额，调整合并资产负债表中的资本公积中的股</w:t>
      </w:r>
      <w:r>
        <w:rPr>
          <w:spacing w:val="-55"/>
        </w:rPr>
        <w:t> </w:t>
      </w:r>
      <w:r>
        <w:rPr>
          <w:spacing w:val="-55"/>
        </w:rPr>
      </w:r>
      <w:r>
        <w:rPr/>
        <w:t>本溢价，资本公积中的股本溢价不足冲减的，调整留存收益。</w:t>
      </w:r>
    </w:p>
    <w:p>
      <w:pPr>
        <w:pStyle w:val="BodyText"/>
        <w:spacing w:line="343" w:lineRule="auto" w:before="27"/>
        <w:ind w:left="216" w:right="0"/>
        <w:jc w:val="left"/>
      </w:pPr>
      <w:r>
        <w:rPr/>
        <w:t>（</w:t>
      </w:r>
      <w:r>
        <w:rPr>
          <w:rFonts w:ascii="Times New Roman" w:hAnsi="Times New Roman" w:cs="Times New Roman" w:eastAsia="Times New Roman" w:hint="default"/>
        </w:rPr>
        <w:t>4</w:t>
      </w:r>
      <w:r>
        <w:rPr/>
        <w:t>）不丧失控制权的情况下部分处置对子公司的股权投资</w:t>
      </w:r>
      <w:r>
        <w:rPr>
          <w:w w:val="100"/>
        </w:rPr>
        <w:t> </w:t>
      </w:r>
      <w:r>
        <w:rPr>
          <w:spacing w:val="-1"/>
        </w:rPr>
        <w:t>在不丧失控制权的情况下因部分处置对子公司的长期股权投资而取得的处置价款与处置长期股权</w:t>
      </w:r>
      <w:r>
        <w:rPr>
          <w:spacing w:val="-55"/>
        </w:rPr>
        <w:t> </w:t>
      </w:r>
      <w:r>
        <w:rPr>
          <w:spacing w:val="-55"/>
        </w:rPr>
      </w:r>
      <w:r>
        <w:rPr>
          <w:spacing w:val="-1"/>
        </w:rPr>
        <w:t>投资相对应享有子公司自购买日或合并日开始持续计算的净资产份额之间的差额，调整合并资产</w:t>
      </w:r>
      <w:r>
        <w:rPr>
          <w:spacing w:val="-55"/>
        </w:rPr>
        <w:t> </w:t>
      </w:r>
      <w:r>
        <w:rPr>
          <w:spacing w:val="-55"/>
        </w:rPr>
      </w:r>
      <w:r>
        <w:rPr/>
        <w:t>负债表中的资本公积中的股本溢价，资本公积中的股本溢价不足冲减的，调整留存收益。</w:t>
      </w:r>
    </w:p>
    <w:p>
      <w:pPr>
        <w:pStyle w:val="BodyText"/>
        <w:spacing w:line="205" w:lineRule="exact"/>
        <w:ind w:left="216" w:right="0"/>
        <w:jc w:val="left"/>
        <w:rPr>
          <w:rFonts w:ascii="宋体" w:hAnsi="宋体" w:cs="宋体" w:eastAsia="宋体" w:hint="default"/>
        </w:rPr>
      </w:pPr>
      <w:r>
        <w:rPr>
          <w:rFonts w:ascii="宋体"/>
          <w:w w:val="100"/>
        </w:rPr>
        <w:t> </w:t>
      </w:r>
    </w:p>
    <w:p>
      <w:pPr>
        <w:pStyle w:val="Heading3"/>
        <w:tabs>
          <w:tab w:pos="641" w:val="left" w:leader="none"/>
        </w:tabs>
        <w:spacing w:line="240" w:lineRule="auto"/>
        <w:ind w:left="216" w:right="0"/>
        <w:jc w:val="left"/>
        <w:rPr>
          <w:b w:val="0"/>
          <w:bCs w:val="0"/>
        </w:rPr>
      </w:pPr>
      <w:r>
        <w:rPr>
          <w:rFonts w:ascii="宋体" w:hAnsi="宋体" w:cs="宋体" w:eastAsia="宋体" w:hint="default"/>
          <w:w w:val="95"/>
        </w:rPr>
        <w:t>7.</w:t>
        <w:tab/>
      </w:r>
      <w:r>
        <w:rPr/>
        <w:t>合营安排分类及共同经营会计处理方法</w:t>
      </w:r>
      <w:r>
        <w:rPr>
          <w:b w:val="0"/>
          <w:bCs w:val="0"/>
        </w:rPr>
      </w:r>
    </w:p>
    <w:p>
      <w:pPr>
        <w:pStyle w:val="BodyText"/>
        <w:spacing w:line="240" w:lineRule="auto" w:before="97"/>
        <w:ind w:left="216"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b/>
          <w:bCs/>
          <w:w w:val="99"/>
        </w:rPr>
        <w:t> </w:t>
      </w:r>
      <w:r>
        <w:rPr>
          <w:rFonts w:ascii="宋体" w:hAnsi="宋体" w:cs="宋体" w:eastAsia="宋体" w:hint="default"/>
        </w:rPr>
      </w:r>
    </w:p>
    <w:p>
      <w:pPr>
        <w:pStyle w:val="Heading2"/>
        <w:spacing w:line="240" w:lineRule="auto" w:before="9"/>
        <w:ind w:left="216" w:right="0"/>
        <w:jc w:val="left"/>
        <w:rPr>
          <w:rFonts w:ascii="宋体" w:hAnsi="宋体" w:cs="宋体" w:eastAsia="宋体" w:hint="default"/>
        </w:rPr>
      </w:pPr>
      <w:r>
        <w:rPr>
          <w:rFonts w:ascii="宋体"/>
        </w:rPr>
        <w:t> </w:t>
      </w:r>
    </w:p>
    <w:p>
      <w:pPr>
        <w:pStyle w:val="Heading3"/>
        <w:tabs>
          <w:tab w:pos="641" w:val="left" w:leader="none"/>
        </w:tabs>
        <w:spacing w:line="240" w:lineRule="auto" w:before="85"/>
        <w:ind w:left="216" w:right="0"/>
        <w:jc w:val="left"/>
        <w:rPr>
          <w:b w:val="0"/>
          <w:bCs w:val="0"/>
        </w:rPr>
      </w:pPr>
      <w:r>
        <w:rPr>
          <w:rFonts w:ascii="宋体" w:hAnsi="宋体" w:cs="宋体" w:eastAsia="宋体" w:hint="default"/>
          <w:w w:val="95"/>
        </w:rPr>
        <w:t>8.</w:t>
        <w:tab/>
      </w:r>
      <w:r>
        <w:rPr/>
        <w:t>现金及现金等价物的确定标准</w:t>
      </w:r>
      <w:r>
        <w:rPr>
          <w:b w:val="0"/>
          <w:bCs w:val="0"/>
        </w:rPr>
      </w:r>
    </w:p>
    <w:p>
      <w:pPr>
        <w:pStyle w:val="BodyText"/>
        <w:spacing w:line="273" w:lineRule="auto" w:before="97"/>
        <w:ind w:left="216" w:right="219"/>
        <w:jc w:val="both"/>
        <w:rPr>
          <w:rFonts w:ascii="宋体" w:hAnsi="宋体" w:cs="宋体" w:eastAsia="宋体" w:hint="default"/>
        </w:rPr>
      </w:pPr>
      <w:r>
        <w:rPr>
          <w:spacing w:val="-2"/>
        </w:rPr>
        <w:t>在编制现金流量表时，将本公司库存现金以及可以随时用于支付的存款确认为现金。将同时具备</w:t>
      </w:r>
      <w:r>
        <w:rPr>
          <w:spacing w:val="-25"/>
        </w:rPr>
        <w:t> </w:t>
      </w:r>
      <w:r>
        <w:rPr>
          <w:spacing w:val="-25"/>
        </w:rPr>
      </w:r>
      <w:r>
        <w:rPr>
          <w:spacing w:val="-2"/>
        </w:rPr>
        <w:t>期限短（从购买日起三个月内到期）、流动性强、易于转换为已知现金、价值变动风险很小四个</w:t>
      </w:r>
      <w:r>
        <w:rPr>
          <w:spacing w:val="-25"/>
        </w:rPr>
        <w:t> </w:t>
      </w:r>
      <w:r>
        <w:rPr>
          <w:spacing w:val="-25"/>
        </w:rPr>
      </w:r>
      <w:r>
        <w:rPr/>
        <w:t>条件的投资，确定为现金等价物。</w:t>
      </w:r>
      <w:r>
        <w:rPr>
          <w:rFonts w:ascii="宋体" w:hAnsi="宋体" w:cs="宋体" w:eastAsia="宋体" w:hint="default"/>
        </w:rPr>
        <w:t> </w:t>
      </w:r>
    </w:p>
    <w:p>
      <w:pPr>
        <w:pStyle w:val="BodyText"/>
        <w:spacing w:line="240" w:lineRule="auto" w:before="7"/>
        <w:ind w:left="216" w:right="0"/>
        <w:jc w:val="left"/>
        <w:rPr>
          <w:rFonts w:ascii="宋体" w:hAnsi="宋体" w:cs="宋体" w:eastAsia="宋体" w:hint="default"/>
        </w:rPr>
      </w:pPr>
      <w:r>
        <w:rPr>
          <w:rFonts w:ascii="宋体"/>
          <w:w w:val="100"/>
        </w:rPr>
        <w:t> </w:t>
      </w:r>
    </w:p>
    <w:p>
      <w:pPr>
        <w:pStyle w:val="Heading3"/>
        <w:tabs>
          <w:tab w:pos="641" w:val="left" w:leader="none"/>
        </w:tabs>
        <w:spacing w:line="240" w:lineRule="auto"/>
        <w:ind w:left="216" w:right="0"/>
        <w:jc w:val="left"/>
        <w:rPr>
          <w:b w:val="0"/>
          <w:bCs w:val="0"/>
        </w:rPr>
      </w:pPr>
      <w:r>
        <w:rPr>
          <w:rFonts w:ascii="宋体" w:hAnsi="宋体" w:cs="宋体" w:eastAsia="宋体" w:hint="default"/>
          <w:w w:val="95"/>
        </w:rPr>
        <w:t>9.</w:t>
        <w:tab/>
      </w:r>
      <w:r>
        <w:rPr/>
        <w:t>外币业务和外币报表折算</w:t>
      </w:r>
      <w:r>
        <w:rPr>
          <w:b w:val="0"/>
          <w:bCs w:val="0"/>
        </w:rPr>
      </w:r>
    </w:p>
    <w:p>
      <w:pPr>
        <w:pStyle w:val="BodyText"/>
        <w:spacing w:line="240" w:lineRule="auto" w:before="97"/>
        <w:ind w:left="216"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tabs>
          <w:tab w:pos="865" w:val="left" w:leader="none"/>
        </w:tabs>
        <w:spacing w:line="314" w:lineRule="auto" w:before="142"/>
        <w:ind w:left="216" w:right="349"/>
        <w:jc w:val="left"/>
      </w:pPr>
      <w:r>
        <w:rPr>
          <w:rFonts w:ascii="Times New Roman" w:hAnsi="Times New Roman" w:cs="Times New Roman" w:eastAsia="Times New Roman" w:hint="default"/>
          <w:b/>
          <w:bCs/>
        </w:rPr>
        <w:t>1</w:t>
      </w:r>
      <w:r>
        <w:rPr>
          <w:rFonts w:ascii="宋体" w:hAnsi="宋体" w:cs="宋体" w:eastAsia="宋体" w:hint="default"/>
          <w:b/>
          <w:bCs/>
        </w:rPr>
        <w:t>、</w:t>
        <w:tab/>
        <w:t>外币业务</w:t>
      </w:r>
      <w:r>
        <w:rPr>
          <w:rFonts w:ascii="宋体" w:hAnsi="宋体" w:cs="宋体" w:eastAsia="宋体" w:hint="default"/>
          <w:b/>
          <w:bCs/>
          <w:w w:val="100"/>
        </w:rPr>
        <w:t> </w:t>
      </w:r>
      <w:r>
        <w:rPr/>
        <w:t>外币业务采用交易发生日的即期汇率作为折算汇率将外币金额折合成人民币记账。</w:t>
      </w:r>
    </w:p>
    <w:p>
      <w:pPr>
        <w:pStyle w:val="BodyText"/>
        <w:spacing w:line="350" w:lineRule="auto" w:before="77"/>
        <w:ind w:left="216" w:right="209"/>
        <w:jc w:val="both"/>
      </w:pPr>
      <w:r>
        <w:rPr>
          <w:spacing w:val="-1"/>
        </w:rPr>
        <w:t>资产负债表日外币货币性项目余额按资产负债表日即期汇率折算，由此产生的汇兑差额，除属于</w:t>
      </w:r>
      <w:r>
        <w:rPr>
          <w:spacing w:val="-55"/>
        </w:rPr>
        <w:t> </w:t>
      </w:r>
      <w:r>
        <w:rPr>
          <w:spacing w:val="-55"/>
        </w:rPr>
      </w:r>
      <w:r>
        <w:rPr>
          <w:spacing w:val="-1"/>
        </w:rPr>
        <w:t>与购建符合资本化条件的资产相关的外币专门借款产生的汇兑差额按照借款费用资本化的原则处</w:t>
      </w:r>
      <w:r>
        <w:rPr>
          <w:spacing w:val="-55"/>
        </w:rPr>
        <w:t> </w:t>
      </w:r>
      <w:r>
        <w:rPr>
          <w:spacing w:val="-55"/>
        </w:rPr>
      </w:r>
      <w:r>
        <w:rPr/>
        <w:t>理外，均计入当期损益。</w:t>
      </w:r>
    </w:p>
    <w:p>
      <w:pPr>
        <w:spacing w:line="240" w:lineRule="auto" w:before="4"/>
        <w:rPr>
          <w:rFonts w:ascii="宋体" w:hAnsi="宋体" w:cs="宋体" w:eastAsia="宋体" w:hint="default"/>
          <w:sz w:val="29"/>
          <w:szCs w:val="29"/>
        </w:rPr>
      </w:pPr>
    </w:p>
    <w:p>
      <w:pPr>
        <w:pStyle w:val="BodyText"/>
        <w:tabs>
          <w:tab w:pos="867" w:val="left" w:leader="none"/>
        </w:tabs>
        <w:spacing w:line="326" w:lineRule="auto"/>
        <w:ind w:left="216" w:right="208"/>
        <w:jc w:val="left"/>
      </w:pPr>
      <w:r>
        <w:rPr>
          <w:rFonts w:ascii="宋体" w:hAnsi="宋体" w:cs="宋体" w:eastAsia="宋体" w:hint="default"/>
          <w:b/>
          <w:bCs/>
          <w:sz w:val="24"/>
          <w:szCs w:val="24"/>
        </w:rPr>
        <w:t>2</w:t>
      </w:r>
      <w:r>
        <w:rPr>
          <w:rFonts w:ascii="宋体" w:hAnsi="宋体" w:cs="宋体" w:eastAsia="宋体" w:hint="default"/>
          <w:b/>
          <w:bCs/>
          <w:sz w:val="24"/>
          <w:szCs w:val="24"/>
        </w:rPr>
        <w:t>、</w:t>
        <w:tab/>
        <w:t>外币财务报表的折算</w:t>
      </w:r>
      <w:r>
        <w:rPr>
          <w:rFonts w:ascii="宋体" w:hAnsi="宋体" w:cs="宋体" w:eastAsia="宋体" w:hint="default"/>
          <w:b/>
          <w:bCs/>
          <w:w w:val="99"/>
          <w:sz w:val="24"/>
          <w:szCs w:val="24"/>
        </w:rPr>
        <w:t> </w:t>
      </w:r>
      <w:r>
        <w:rPr>
          <w:spacing w:val="-4"/>
        </w:rPr>
        <w:t>资产负债表中的资产和负债项目，采用资产负债表日的即期汇率折算；所有者权益项目除</w:t>
      </w:r>
      <w:r>
        <w:rPr>
          <w:rFonts w:ascii="Times New Roman" w:hAnsi="Times New Roman" w:cs="Times New Roman" w:eastAsia="Times New Roman" w:hint="default"/>
          <w:spacing w:val="-4"/>
        </w:rPr>
        <w:t>“</w:t>
      </w:r>
      <w:r>
        <w:rPr>
          <w:spacing w:val="-4"/>
        </w:rPr>
        <w:t>未分配</w:t>
      </w:r>
      <w:r>
        <w:rPr>
          <w:spacing w:val="-21"/>
        </w:rPr>
        <w:t> </w:t>
      </w:r>
      <w:r>
        <w:rPr>
          <w:spacing w:val="-21"/>
        </w:rPr>
      </w:r>
      <w:r>
        <w:rPr>
          <w:spacing w:val="-4"/>
        </w:rPr>
        <w:t>利润</w:t>
      </w:r>
      <w:r>
        <w:rPr>
          <w:rFonts w:ascii="Times New Roman" w:hAnsi="Times New Roman" w:cs="Times New Roman" w:eastAsia="Times New Roman" w:hint="default"/>
          <w:spacing w:val="-4"/>
        </w:rPr>
        <w:t>”</w:t>
      </w:r>
      <w:r>
        <w:rPr>
          <w:spacing w:val="-4"/>
        </w:rPr>
        <w:t>项目外，其他项目采用发生时的即期汇率折算。利润表中的收入和费用项目，采用与交易发</w:t>
      </w:r>
    </w:p>
    <w:p>
      <w:pPr>
        <w:pStyle w:val="BodyText"/>
        <w:spacing w:line="273" w:lineRule="auto" w:before="26"/>
        <w:ind w:left="216" w:right="0"/>
        <w:jc w:val="left"/>
        <w:rPr>
          <w:rFonts w:ascii="宋体" w:hAnsi="宋体" w:cs="宋体" w:eastAsia="宋体" w:hint="default"/>
        </w:rPr>
      </w:pPr>
      <w:r>
        <w:rPr/>
        <w:t>生日即期汇率近似的汇率（实际采用合并期间的平均汇率）折算。</w:t>
      </w:r>
      <w:r>
        <w:rPr>
          <w:w w:val="100"/>
        </w:rPr>
        <w:t> </w:t>
      </w:r>
      <w:r>
        <w:rPr>
          <w:spacing w:val="-2"/>
        </w:rPr>
        <w:t>处置境外经营时，将与该境外经营相关的外币财务报表折算差额，自所有者权益项目转入处置当</w:t>
      </w:r>
      <w:r>
        <w:rPr>
          <w:spacing w:val="-25"/>
        </w:rPr>
        <w:t> </w:t>
      </w:r>
      <w:r>
        <w:rPr>
          <w:spacing w:val="-25"/>
        </w:rPr>
      </w:r>
      <w:r>
        <w:rPr/>
        <w:t>期损益。</w:t>
      </w:r>
      <w:r>
        <w:rPr>
          <w:rFonts w:ascii="宋体" w:hAnsi="宋体" w:cs="宋体" w:eastAsia="宋体" w:hint="default"/>
        </w:rPr>
        <w:t> </w:t>
      </w:r>
    </w:p>
    <w:p>
      <w:pPr>
        <w:pStyle w:val="BodyText"/>
        <w:spacing w:line="240" w:lineRule="auto" w:before="7"/>
        <w:ind w:left="216" w:right="0"/>
        <w:jc w:val="left"/>
        <w:rPr>
          <w:rFonts w:ascii="宋体" w:hAnsi="宋体" w:cs="宋体" w:eastAsia="宋体" w:hint="default"/>
        </w:rPr>
      </w:pPr>
      <w:r>
        <w:rPr>
          <w:rFonts w:ascii="宋体"/>
          <w:w w:val="100"/>
        </w:rPr>
        <w:t> </w:t>
      </w:r>
    </w:p>
    <w:p>
      <w:pPr>
        <w:spacing w:after="0" w:line="240" w:lineRule="auto"/>
        <w:jc w:val="left"/>
        <w:rPr>
          <w:rFonts w:ascii="宋体" w:hAnsi="宋体" w:cs="宋体" w:eastAsia="宋体" w:hint="default"/>
        </w:rPr>
        <w:sectPr>
          <w:pgSz w:w="11910" w:h="16840"/>
          <w:pgMar w:header="748" w:footer="974" w:top="1140" w:bottom="1160" w:left="1060" w:right="1580"/>
        </w:sectPr>
      </w:pPr>
    </w:p>
    <w:p>
      <w:pPr>
        <w:spacing w:line="240" w:lineRule="auto" w:before="2"/>
        <w:rPr>
          <w:rFonts w:ascii="宋体" w:hAnsi="宋体" w:cs="宋体" w:eastAsia="宋体" w:hint="default"/>
          <w:sz w:val="19"/>
          <w:szCs w:val="19"/>
        </w:rPr>
      </w:pPr>
    </w:p>
    <w:p>
      <w:pPr>
        <w:pStyle w:val="Heading3"/>
        <w:spacing w:line="240" w:lineRule="auto" w:before="36"/>
        <w:ind w:left="216" w:right="0"/>
        <w:jc w:val="left"/>
        <w:rPr>
          <w:b w:val="0"/>
          <w:bCs w:val="0"/>
        </w:rPr>
      </w:pPr>
      <w:r>
        <w:rPr>
          <w:rFonts w:ascii="宋体" w:hAnsi="宋体" w:cs="宋体" w:eastAsia="宋体" w:hint="default"/>
        </w:rPr>
        <w:t>10.</w:t>
      </w:r>
      <w:r>
        <w:rPr>
          <w:rFonts w:ascii="宋体" w:hAnsi="宋体" w:cs="宋体" w:eastAsia="宋体" w:hint="default"/>
          <w:spacing w:val="2"/>
        </w:rPr>
        <w:t> </w:t>
      </w:r>
      <w:r>
        <w:rPr/>
        <w:t>金融工具</w:t>
      </w:r>
      <w:r>
        <w:rPr>
          <w:b w:val="0"/>
          <w:bCs w:val="0"/>
        </w:rPr>
      </w:r>
    </w:p>
    <w:p>
      <w:pPr>
        <w:tabs>
          <w:tab w:pos="786" w:val="left" w:leader="none"/>
        </w:tabs>
        <w:spacing w:line="357" w:lineRule="auto" w:before="97"/>
        <w:ind w:left="216" w:right="4633"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spacing w:val="-2"/>
          <w:sz w:val="21"/>
          <w:szCs w:val="21"/>
        </w:rPr>
        <w:t>金融工具包括金融资产、金融负债和权益工具。</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tab/>
        <w:t>金融工具的分类</w:t>
      </w:r>
      <w:r>
        <w:rPr>
          <w:rFonts w:ascii="宋体" w:hAnsi="宋体" w:cs="宋体" w:eastAsia="宋体" w:hint="default"/>
          <w:sz w:val="21"/>
          <w:szCs w:val="21"/>
        </w:rPr>
      </w:r>
    </w:p>
    <w:p>
      <w:pPr>
        <w:pStyle w:val="BodyText"/>
        <w:spacing w:line="348" w:lineRule="auto"/>
        <w:ind w:left="216" w:right="0"/>
        <w:jc w:val="left"/>
      </w:pPr>
      <w:r>
        <w:rPr>
          <w:rFonts w:ascii="宋体" w:hAnsi="宋体" w:cs="宋体" w:eastAsia="宋体" w:hint="default"/>
          <w:b/>
          <w:bCs/>
        </w:rPr>
        <w:t>自</w:t>
      </w:r>
      <w:r>
        <w:rPr>
          <w:rFonts w:ascii="宋体" w:hAnsi="宋体" w:cs="宋体" w:eastAsia="宋体" w:hint="default"/>
          <w:b/>
          <w:bCs/>
          <w:spacing w:val="-51"/>
        </w:rPr>
        <w:t> </w:t>
      </w:r>
      <w:r>
        <w:rPr>
          <w:rFonts w:ascii="Times New Roman" w:hAnsi="Times New Roman" w:cs="Times New Roman" w:eastAsia="Times New Roman" w:hint="default"/>
          <w:b/>
          <w:bCs/>
        </w:rPr>
        <w:t>2019</w:t>
      </w:r>
      <w:r>
        <w:rPr>
          <w:rFonts w:ascii="Times New Roman" w:hAnsi="Times New Roman" w:cs="Times New Roman" w:eastAsia="Times New Roman" w:hint="default"/>
          <w:b/>
          <w:bCs/>
          <w:spacing w:val="-3"/>
        </w:rPr>
        <w:t> </w:t>
      </w:r>
      <w:r>
        <w:rPr>
          <w:rFonts w:ascii="宋体" w:hAnsi="宋体" w:cs="宋体" w:eastAsia="宋体" w:hint="default"/>
          <w:b/>
          <w:bCs/>
        </w:rPr>
        <w:t>年</w:t>
      </w:r>
      <w:r>
        <w:rPr>
          <w:rFonts w:ascii="宋体" w:hAnsi="宋体" w:cs="宋体" w:eastAsia="宋体" w:hint="default"/>
          <w:b/>
          <w:bCs/>
          <w:spacing w:val="-54"/>
        </w:rPr>
        <w:t> </w:t>
      </w:r>
      <w:r>
        <w:rPr>
          <w:rFonts w:ascii="Times New Roman" w:hAnsi="Times New Roman" w:cs="Times New Roman" w:eastAsia="Times New Roman" w:hint="default"/>
          <w:b/>
          <w:bCs/>
        </w:rPr>
        <w:t>1</w:t>
      </w:r>
      <w:r>
        <w:rPr>
          <w:rFonts w:ascii="Times New Roman" w:hAnsi="Times New Roman" w:cs="Times New Roman" w:eastAsia="Times New Roman" w:hint="default"/>
          <w:b/>
          <w:bCs/>
          <w:spacing w:val="-3"/>
        </w:rPr>
        <w:t> </w:t>
      </w:r>
      <w:r>
        <w:rPr>
          <w:rFonts w:ascii="宋体" w:hAnsi="宋体" w:cs="宋体" w:eastAsia="宋体" w:hint="default"/>
          <w:b/>
          <w:bCs/>
        </w:rPr>
        <w:t>月</w:t>
      </w:r>
      <w:r>
        <w:rPr>
          <w:rFonts w:ascii="宋体" w:hAnsi="宋体" w:cs="宋体" w:eastAsia="宋体" w:hint="default"/>
          <w:b/>
          <w:bCs/>
          <w:spacing w:val="-51"/>
        </w:rPr>
        <w:t> </w:t>
      </w:r>
      <w:r>
        <w:rPr>
          <w:rFonts w:ascii="Times New Roman" w:hAnsi="Times New Roman" w:cs="Times New Roman" w:eastAsia="Times New Roman" w:hint="default"/>
          <w:b/>
          <w:bCs/>
        </w:rPr>
        <w:t>1</w:t>
      </w:r>
      <w:r>
        <w:rPr>
          <w:rFonts w:ascii="Times New Roman" w:hAnsi="Times New Roman" w:cs="Times New Roman" w:eastAsia="Times New Roman" w:hint="default"/>
          <w:b/>
          <w:bCs/>
          <w:spacing w:val="-3"/>
        </w:rPr>
        <w:t> </w:t>
      </w:r>
      <w:r>
        <w:rPr>
          <w:rFonts w:ascii="宋体" w:hAnsi="宋体" w:cs="宋体" w:eastAsia="宋体" w:hint="default"/>
          <w:b/>
          <w:bCs/>
        </w:rPr>
        <w:t>日起适用的会计政策</w:t>
      </w:r>
      <w:r>
        <w:rPr>
          <w:rFonts w:ascii="宋体" w:hAnsi="宋体" w:cs="宋体" w:eastAsia="宋体" w:hint="default"/>
          <w:b/>
          <w:bCs/>
          <w:w w:val="100"/>
        </w:rPr>
        <w:t> </w:t>
      </w:r>
      <w:r>
        <w:rPr/>
        <w:t>根据本公司管理金融资产的业务模式和金融资产的合同现金流量特征，金融资产于初始确认时分</w:t>
      </w:r>
      <w:r>
        <w:rPr>
          <w:spacing w:val="-97"/>
        </w:rPr>
        <w:t> </w:t>
      </w:r>
      <w:r>
        <w:rPr>
          <w:spacing w:val="-97"/>
        </w:rPr>
      </w:r>
      <w:r>
        <w:rPr/>
        <w:t>类为：以摊余成本计量的金融资产、以公允价值计量且其变动计入其他综合收益的金融资产（债</w:t>
      </w:r>
      <w:r>
        <w:rPr>
          <w:spacing w:val="-97"/>
        </w:rPr>
        <w:t> </w:t>
      </w:r>
      <w:r>
        <w:rPr>
          <w:spacing w:val="-97"/>
        </w:rPr>
      </w:r>
      <w:r>
        <w:rPr/>
        <w:t>务工具）和以公允价值计量且其变动计入当期损益的金融资产。</w:t>
      </w:r>
      <w:r>
        <w:rPr>
          <w:w w:val="100"/>
        </w:rPr>
        <w:t> </w:t>
      </w:r>
      <w:r>
        <w:rPr/>
        <w:t>业务模式是以收取合同现金流量为目标且合同现金流量仅为对本金和以未偿付本金金额为基础的</w:t>
      </w:r>
      <w:r>
        <w:rPr>
          <w:spacing w:val="-97"/>
        </w:rPr>
        <w:t> </w:t>
      </w:r>
      <w:r>
        <w:rPr>
          <w:spacing w:val="-97"/>
        </w:rPr>
      </w:r>
      <w:r>
        <w:rPr/>
        <w:t>利息的支付的，分类为以摊余成本计量的金融资产；业务模式既以收取合同现金流量又以出售该</w:t>
      </w:r>
      <w:r>
        <w:rPr>
          <w:spacing w:val="-97"/>
        </w:rPr>
        <w:t> </w:t>
      </w:r>
      <w:r>
        <w:rPr>
          <w:spacing w:val="-97"/>
        </w:rPr>
      </w:r>
      <w:r>
        <w:rPr/>
        <w:t>金融资产为目标且合同现金流量仅为对本金和以未偿付本金金额为基础的利息的支付的，分类为</w:t>
      </w:r>
      <w:r>
        <w:rPr>
          <w:spacing w:val="-97"/>
        </w:rPr>
        <w:t> </w:t>
      </w:r>
      <w:r>
        <w:rPr>
          <w:spacing w:val="-97"/>
        </w:rPr>
      </w:r>
      <w:r>
        <w:rPr>
          <w:spacing w:val="-4"/>
          <w:w w:val="100"/>
        </w:rPr>
        <w:t>以公允价值计量且其变动计入其他综合收益的金融资产（债务工具）；除此之外的其他金融资产，</w:t>
      </w:r>
      <w:r>
        <w:rPr>
          <w:spacing w:val="-82"/>
          <w:w w:val="100"/>
        </w:rPr>
        <w:t> </w:t>
      </w:r>
      <w:r>
        <w:rPr>
          <w:spacing w:val="-82"/>
          <w:w w:val="100"/>
        </w:rPr>
      </w:r>
      <w:r>
        <w:rPr/>
        <w:t>分类为以公允价值计量且其变动计入当期损益的金融资产。</w:t>
      </w:r>
      <w:r>
        <w:rPr>
          <w:w w:val="100"/>
        </w:rPr>
        <w:t> </w:t>
      </w:r>
      <w:r>
        <w:rPr/>
        <w:t>对于非交易性权益工具投资，本公司在初始确认时确定是否将其指定为以公允价值计量且其变动</w:t>
      </w:r>
      <w:r>
        <w:rPr>
          <w:spacing w:val="-97"/>
        </w:rPr>
        <w:t> </w:t>
      </w:r>
      <w:r>
        <w:rPr>
          <w:spacing w:val="-97"/>
        </w:rPr>
      </w:r>
      <w:r>
        <w:rPr>
          <w:spacing w:val="-4"/>
          <w:w w:val="100"/>
        </w:rPr>
        <w:t>计入其他综合收益的金融资产（权益工具）。在初始确认时，为了能够消除或显著减少会计错配，</w:t>
      </w:r>
      <w:r>
        <w:rPr>
          <w:spacing w:val="-83"/>
          <w:w w:val="100"/>
        </w:rPr>
        <w:t> </w:t>
      </w:r>
      <w:r>
        <w:rPr>
          <w:spacing w:val="-83"/>
          <w:w w:val="100"/>
        </w:rPr>
      </w:r>
      <w:r>
        <w:rPr/>
        <w:t>可以将金融资产指定为以公允价值计量且其变动计入当期损益的金融资产。</w:t>
      </w:r>
      <w:r>
        <w:rPr>
          <w:w w:val="100"/>
        </w:rPr>
        <w:t> </w:t>
      </w:r>
      <w:r>
        <w:rPr/>
        <w:t>金融负债于初始确认时分类为：以公允价值计量且其变动计入当期损益的金融负债和以摊余成本</w:t>
      </w:r>
      <w:r>
        <w:rPr>
          <w:spacing w:val="-97"/>
        </w:rPr>
        <w:t> </w:t>
      </w:r>
      <w:r>
        <w:rPr>
          <w:spacing w:val="-97"/>
        </w:rPr>
      </w:r>
      <w:r>
        <w:rPr/>
        <w:t>计量的金融负债。</w:t>
      </w:r>
      <w:r>
        <w:rPr>
          <w:w w:val="100"/>
        </w:rPr>
        <w:t> </w:t>
      </w:r>
      <w:r>
        <w:rPr/>
        <w:t>符合以下条件之一的金融负债可在初始计量时指定为以公允价值计量且其变动计入当期损益的金</w:t>
      </w:r>
      <w:r>
        <w:rPr>
          <w:spacing w:val="-97"/>
        </w:rPr>
        <w:t> </w:t>
      </w:r>
      <w:r>
        <w:rPr>
          <w:spacing w:val="-97"/>
        </w:rPr>
      </w:r>
      <w:r>
        <w:rPr/>
        <w:t>融负债：</w:t>
      </w:r>
    </w:p>
    <w:p>
      <w:pPr>
        <w:pStyle w:val="BodyText"/>
        <w:spacing w:line="240" w:lineRule="auto" w:before="31"/>
        <w:ind w:left="216" w:right="0"/>
        <w:jc w:val="left"/>
      </w:pPr>
      <w:r>
        <w:rPr>
          <w:rFonts w:ascii="Times New Roman" w:hAnsi="Times New Roman" w:cs="Times New Roman" w:eastAsia="Times New Roman" w:hint="default"/>
        </w:rPr>
        <w:t>1</w:t>
      </w:r>
      <w:r>
        <w:rPr/>
        <w:t>）该项指定能够消除或显著减少会计错配。</w:t>
      </w:r>
    </w:p>
    <w:p>
      <w:pPr>
        <w:pStyle w:val="BodyText"/>
        <w:spacing w:line="338" w:lineRule="auto" w:before="110"/>
        <w:ind w:left="216" w:right="0"/>
        <w:jc w:val="left"/>
      </w:pPr>
      <w:r>
        <w:rPr>
          <w:rFonts w:ascii="Times New Roman" w:hAnsi="Times New Roman" w:cs="Times New Roman" w:eastAsia="Times New Roman" w:hint="default"/>
          <w:spacing w:val="-4"/>
        </w:rPr>
        <w:t>2</w:t>
      </w:r>
      <w:r>
        <w:rPr>
          <w:spacing w:val="-4"/>
        </w:rPr>
        <w:t>）根据正式书面文件载明的企业风险管理或投资策略，以公允价值为基础对金融负债组合或金融</w:t>
      </w:r>
      <w:r>
        <w:rPr>
          <w:spacing w:val="-33"/>
        </w:rPr>
        <w:t> </w:t>
      </w:r>
      <w:r>
        <w:rPr>
          <w:spacing w:val="-33"/>
        </w:rPr>
      </w:r>
      <w:r>
        <w:rPr/>
        <w:t>资产和金融负债组合进行管理和业绩评价，并在企业内部以此为基础向关键管理人员报告。</w:t>
      </w:r>
      <w:r>
        <w:rPr>
          <w:w w:val="100"/>
        </w:rPr>
        <w:t> </w:t>
      </w:r>
      <w:r>
        <w:rPr>
          <w:rFonts w:ascii="Times New Roman" w:hAnsi="Times New Roman" w:cs="Times New Roman" w:eastAsia="Times New Roman" w:hint="default"/>
        </w:rPr>
        <w:t>3</w:t>
      </w:r>
      <w:r>
        <w:rPr/>
        <w:t>）该金融负债包含需单独分拆的嵌入衍生工具。</w:t>
      </w:r>
    </w:p>
    <w:p>
      <w:pPr>
        <w:pStyle w:val="BodyText"/>
        <w:spacing w:line="343" w:lineRule="auto" w:before="14"/>
        <w:ind w:left="216" w:right="0"/>
        <w:jc w:val="left"/>
      </w:pPr>
      <w:r>
        <w:rPr>
          <w:rFonts w:ascii="Times New Roman" w:hAnsi="Times New Roman" w:cs="Times New Roman" w:eastAsia="Times New Roman" w:hint="default"/>
          <w:b/>
          <w:bCs/>
        </w:rPr>
        <w:t>2019</w:t>
      </w:r>
      <w:r>
        <w:rPr>
          <w:rFonts w:ascii="Times New Roman" w:hAnsi="Times New Roman" w:cs="Times New Roman" w:eastAsia="Times New Roman" w:hint="default"/>
          <w:b/>
          <w:bCs/>
          <w:spacing w:val="-3"/>
        </w:rPr>
        <w:t> </w:t>
      </w:r>
      <w:r>
        <w:rPr>
          <w:rFonts w:ascii="宋体" w:hAnsi="宋体" w:cs="宋体" w:eastAsia="宋体" w:hint="default"/>
          <w:b/>
          <w:bCs/>
        </w:rPr>
        <w:t>年</w:t>
      </w:r>
      <w:r>
        <w:rPr>
          <w:rFonts w:ascii="宋体" w:hAnsi="宋体" w:cs="宋体" w:eastAsia="宋体" w:hint="default"/>
          <w:b/>
          <w:bCs/>
          <w:spacing w:val="-51"/>
        </w:rPr>
        <w:t> </w:t>
      </w:r>
      <w:r>
        <w:rPr>
          <w:rFonts w:ascii="Times New Roman" w:hAnsi="Times New Roman" w:cs="Times New Roman" w:eastAsia="Times New Roman" w:hint="default"/>
          <w:b/>
          <w:bCs/>
        </w:rPr>
        <w:t>1</w:t>
      </w:r>
      <w:r>
        <w:rPr>
          <w:rFonts w:ascii="Times New Roman" w:hAnsi="Times New Roman" w:cs="Times New Roman" w:eastAsia="Times New Roman" w:hint="default"/>
          <w:b/>
          <w:bCs/>
          <w:spacing w:val="-3"/>
        </w:rPr>
        <w:t> </w:t>
      </w:r>
      <w:r>
        <w:rPr>
          <w:rFonts w:ascii="宋体" w:hAnsi="宋体" w:cs="宋体" w:eastAsia="宋体" w:hint="default"/>
          <w:b/>
          <w:bCs/>
        </w:rPr>
        <w:t>月</w:t>
      </w:r>
      <w:r>
        <w:rPr>
          <w:rFonts w:ascii="宋体" w:hAnsi="宋体" w:cs="宋体" w:eastAsia="宋体" w:hint="default"/>
          <w:b/>
          <w:bCs/>
          <w:spacing w:val="-54"/>
        </w:rPr>
        <w:t> </w:t>
      </w:r>
      <w:r>
        <w:rPr>
          <w:rFonts w:ascii="Times New Roman" w:hAnsi="Times New Roman" w:cs="Times New Roman" w:eastAsia="Times New Roman" w:hint="default"/>
          <w:b/>
          <w:bCs/>
        </w:rPr>
        <w:t>1</w:t>
      </w:r>
      <w:r>
        <w:rPr>
          <w:rFonts w:ascii="Times New Roman" w:hAnsi="Times New Roman" w:cs="Times New Roman" w:eastAsia="Times New Roman" w:hint="default"/>
          <w:b/>
          <w:bCs/>
          <w:spacing w:val="-3"/>
        </w:rPr>
        <w:t> </w:t>
      </w:r>
      <w:r>
        <w:rPr>
          <w:rFonts w:ascii="宋体" w:hAnsi="宋体" w:cs="宋体" w:eastAsia="宋体" w:hint="default"/>
          <w:b/>
          <w:bCs/>
        </w:rPr>
        <w:t>日前适用的会计政策</w:t>
      </w:r>
      <w:r>
        <w:rPr>
          <w:rFonts w:ascii="宋体" w:hAnsi="宋体" w:cs="宋体" w:eastAsia="宋体" w:hint="default"/>
          <w:b/>
          <w:bCs/>
          <w:spacing w:val="-102"/>
        </w:rPr>
        <w:t> </w:t>
      </w:r>
      <w:r>
        <w:rPr>
          <w:rFonts w:ascii="宋体" w:hAnsi="宋体" w:cs="宋体" w:eastAsia="宋体" w:hint="default"/>
          <w:b/>
          <w:bCs/>
          <w:spacing w:val="-102"/>
        </w:rPr>
      </w:r>
      <w:r>
        <w:rPr>
          <w:spacing w:val="-1"/>
        </w:rPr>
        <w:t>金融资产和金融负债于初始确认时分类为：以公允价值计量且其变动计入当期损益的金融资产或</w:t>
      </w:r>
      <w:r>
        <w:rPr>
          <w:spacing w:val="-55"/>
        </w:rPr>
        <w:t> </w:t>
      </w:r>
      <w:r>
        <w:rPr>
          <w:spacing w:val="-55"/>
        </w:rPr>
      </w:r>
      <w:r>
        <w:rPr>
          <w:spacing w:val="-1"/>
        </w:rPr>
        <w:t>金融负债，包括交易性金融资产或金融负债和直接指定为以公允价值计量且其变动计入当期损益</w:t>
      </w:r>
      <w:r>
        <w:rPr>
          <w:spacing w:val="-55"/>
        </w:rPr>
        <w:t> </w:t>
      </w:r>
      <w:r>
        <w:rPr>
          <w:spacing w:val="-55"/>
        </w:rPr>
      </w:r>
      <w:r>
        <w:rPr/>
        <w:t>的金融资产或金融负债；持有至到期投资；应收款项；可供出售金融资产；其他金融负债等。</w:t>
      </w:r>
    </w:p>
    <w:p>
      <w:pPr>
        <w:spacing w:line="240" w:lineRule="auto" w:before="0"/>
        <w:rPr>
          <w:rFonts w:ascii="宋体" w:hAnsi="宋体" w:cs="宋体" w:eastAsia="宋体" w:hint="default"/>
          <w:sz w:val="20"/>
          <w:szCs w:val="20"/>
        </w:rPr>
      </w:pPr>
    </w:p>
    <w:p>
      <w:pPr>
        <w:pStyle w:val="Heading3"/>
        <w:tabs>
          <w:tab w:pos="786" w:val="left" w:leader="none"/>
        </w:tabs>
        <w:spacing w:line="331" w:lineRule="auto" w:before="172"/>
        <w:ind w:left="216" w:right="5526"/>
        <w:jc w:val="left"/>
        <w:rPr>
          <w:b w:val="0"/>
          <w:bCs w:val="0"/>
        </w:rPr>
      </w:pPr>
      <w:r>
        <w:rPr>
          <w:rFonts w:ascii="Times New Roman" w:hAnsi="Times New Roman" w:cs="Times New Roman" w:eastAsia="Times New Roman" w:hint="default"/>
        </w:rPr>
        <w:t>2</w:t>
      </w:r>
      <w:r>
        <w:rPr/>
        <w:t>、</w:t>
        <w:tab/>
      </w:r>
      <w:r>
        <w:rPr>
          <w:spacing w:val="-1"/>
        </w:rPr>
        <w:t>金融工具的确认依据和计量方法</w:t>
      </w:r>
      <w:r>
        <w:rPr>
          <w:spacing w:val="-93"/>
        </w:rPr>
        <w:t> </w:t>
      </w:r>
      <w:r>
        <w:rPr>
          <w:spacing w:val="-93"/>
        </w:rPr>
      </w:r>
      <w:r>
        <w:rPr/>
        <w:t>自</w:t>
      </w:r>
      <w:r>
        <w:rPr>
          <w:spacing w:val="-51"/>
        </w:rPr>
        <w:t> </w:t>
      </w:r>
      <w:r>
        <w:rPr>
          <w:rFonts w:ascii="Times New Roman" w:hAnsi="Times New Roman" w:cs="Times New Roman" w:eastAsia="Times New Roman" w:hint="default"/>
        </w:rPr>
        <w:t>2019</w:t>
      </w:r>
      <w:r>
        <w:rPr>
          <w:rFonts w:ascii="Times New Roman" w:hAnsi="Times New Roman" w:cs="Times New Roman" w:eastAsia="Times New Roman" w:hint="default"/>
          <w:spacing w:val="-3"/>
        </w:rPr>
        <w:t> </w:t>
      </w:r>
      <w:r>
        <w:rPr/>
        <w:t>年</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月</w:t>
      </w:r>
      <w:r>
        <w:rPr>
          <w:spacing w:val="-51"/>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日起适用的会计政策</w:t>
      </w:r>
      <w:r>
        <w:rPr>
          <w:b w:val="0"/>
          <w:bCs w:val="0"/>
        </w:rPr>
      </w:r>
    </w:p>
    <w:p>
      <w:pPr>
        <w:pStyle w:val="BodyText"/>
        <w:spacing w:line="340" w:lineRule="auto" w:before="19"/>
        <w:ind w:left="216" w:right="0"/>
        <w:jc w:val="left"/>
      </w:pPr>
      <w:r>
        <w:rPr/>
        <w:t>（</w:t>
      </w:r>
      <w:r>
        <w:rPr>
          <w:rFonts w:ascii="Times New Roman" w:hAnsi="Times New Roman" w:cs="Times New Roman" w:eastAsia="Times New Roman" w:hint="default"/>
        </w:rPr>
        <w:t>1</w:t>
      </w:r>
      <w:r>
        <w:rPr/>
        <w:t>）以摊余成本计量的金融资产</w:t>
      </w:r>
      <w:r>
        <w:rPr>
          <w:w w:val="100"/>
        </w:rPr>
        <w:t> </w:t>
      </w:r>
      <w:r>
        <w:rPr>
          <w:spacing w:val="-1"/>
        </w:rPr>
        <w:t>以摊余成本计量的金融资产包括应收票据、应收账款、其他应收款、长期应收款、债权投资等，</w:t>
      </w:r>
      <w:r>
        <w:rPr>
          <w:spacing w:val="-56"/>
        </w:rPr>
        <w:t> </w:t>
      </w:r>
      <w:r>
        <w:rPr>
          <w:spacing w:val="-56"/>
        </w:rPr>
      </w:r>
      <w:r>
        <w:rPr>
          <w:spacing w:val="-1"/>
        </w:rPr>
        <w:t>按公允价值进行初始计量，相关交易费用计入初始确认金额；不包含重大融资成分的应收账款以</w:t>
      </w:r>
    </w:p>
    <w:p>
      <w:pPr>
        <w:spacing w:after="0" w:line="340" w:lineRule="auto"/>
        <w:jc w:val="left"/>
        <w:sectPr>
          <w:pgSz w:w="11910" w:h="16840"/>
          <w:pgMar w:header="748" w:footer="974" w:top="1140" w:bottom="1160" w:left="1060" w:right="1580"/>
        </w:sectPr>
      </w:pPr>
    </w:p>
    <w:p>
      <w:pPr>
        <w:spacing w:line="240" w:lineRule="auto" w:before="3"/>
        <w:rPr>
          <w:rFonts w:ascii="宋体" w:hAnsi="宋体" w:cs="宋体" w:eastAsia="宋体" w:hint="default"/>
          <w:sz w:val="27"/>
          <w:szCs w:val="27"/>
        </w:rPr>
      </w:pPr>
    </w:p>
    <w:p>
      <w:pPr>
        <w:pStyle w:val="BodyText"/>
        <w:spacing w:line="348" w:lineRule="auto" w:before="36"/>
        <w:ind w:left="216" w:right="0"/>
        <w:jc w:val="left"/>
      </w:pPr>
      <w:r>
        <w:rPr>
          <w:spacing w:val="-2"/>
        </w:rPr>
        <w:t>及本公司决定不考虑不超过一年的融资成分的应收账款，以合同交易价格进行初始计量。</w:t>
      </w:r>
      <w:r>
        <w:rPr>
          <w:spacing w:val="-31"/>
        </w:rPr>
        <w:t> </w:t>
      </w:r>
      <w:r>
        <w:rPr>
          <w:spacing w:val="-31"/>
        </w:rPr>
      </w:r>
      <w:r>
        <w:rPr/>
        <w:t>持有期间采用实际利率法计算的利息计入当期损益。</w:t>
      </w:r>
      <w:r>
        <w:rPr>
          <w:w w:val="100"/>
        </w:rPr>
        <w:t> </w:t>
      </w:r>
      <w:r>
        <w:rPr/>
        <w:t>收回或处置时，将取得的价款与该金融资产账面价值之间的差额计入当期损益。</w:t>
      </w:r>
    </w:p>
    <w:p>
      <w:pPr>
        <w:pStyle w:val="BodyText"/>
        <w:spacing w:line="345" w:lineRule="auto" w:before="31"/>
        <w:ind w:left="216" w:right="0"/>
        <w:jc w:val="left"/>
      </w:pPr>
      <w:r>
        <w:rPr/>
        <w:t>（</w:t>
      </w:r>
      <w:r>
        <w:rPr>
          <w:rFonts w:ascii="Times New Roman" w:hAnsi="Times New Roman" w:cs="Times New Roman" w:eastAsia="Times New Roman" w:hint="default"/>
        </w:rPr>
        <w:t>2</w:t>
      </w:r>
      <w:r>
        <w:rPr/>
        <w:t>）以公允价值计量且其变动计入其他综合收益的金融资产（债务工具）</w:t>
      </w:r>
      <w:r>
        <w:rPr>
          <w:w w:val="100"/>
        </w:rPr>
        <w:t> </w:t>
      </w:r>
      <w:r>
        <w:rPr>
          <w:spacing w:val="-1"/>
        </w:rPr>
        <w:t>以公允价值计量且其变动计入其他综合收益的金融资产（债务工具）包括应收款项融资、其他债</w:t>
      </w:r>
      <w:r>
        <w:rPr>
          <w:spacing w:val="-54"/>
        </w:rPr>
        <w:t> </w:t>
      </w:r>
      <w:r>
        <w:rPr>
          <w:spacing w:val="-54"/>
        </w:rPr>
      </w:r>
      <w:r>
        <w:rPr>
          <w:spacing w:val="-1"/>
        </w:rPr>
        <w:t>权投资等，按公允价值进行初始计量，相关交易费用计入初始确认金额。该金融资产按公允价值</w:t>
      </w:r>
      <w:r>
        <w:rPr>
          <w:spacing w:val="-54"/>
        </w:rPr>
        <w:t> </w:t>
      </w:r>
      <w:r>
        <w:rPr>
          <w:spacing w:val="-54"/>
        </w:rPr>
      </w:r>
      <w:r>
        <w:rPr>
          <w:spacing w:val="-1"/>
        </w:rPr>
        <w:t>进行后续计量，公允价值变动除采用实际利率法计算的利息、减值损失或利得和汇兑损益之外，</w:t>
      </w:r>
      <w:r>
        <w:rPr>
          <w:spacing w:val="-55"/>
        </w:rPr>
        <w:t> </w:t>
      </w:r>
      <w:r>
        <w:rPr>
          <w:spacing w:val="-55"/>
        </w:rPr>
      </w:r>
      <w:r>
        <w:rPr/>
        <w:t>均计入其他综合收益。</w:t>
      </w:r>
      <w:r>
        <w:rPr>
          <w:w w:val="100"/>
        </w:rPr>
        <w:t> </w:t>
      </w:r>
      <w:r>
        <w:rPr>
          <w:spacing w:val="-2"/>
        </w:rPr>
        <w:t>终止确认时，之前计入其他综合收益的累计利得或损失从其他综合收益中转出，计入当期损益。</w:t>
      </w:r>
    </w:p>
    <w:p>
      <w:pPr>
        <w:pStyle w:val="BodyText"/>
        <w:spacing w:line="345" w:lineRule="auto" w:before="34"/>
        <w:ind w:left="216" w:right="0"/>
        <w:jc w:val="left"/>
      </w:pPr>
      <w:r>
        <w:rPr/>
        <w:t>（</w:t>
      </w:r>
      <w:r>
        <w:rPr>
          <w:rFonts w:ascii="Times New Roman" w:hAnsi="Times New Roman" w:cs="Times New Roman" w:eastAsia="Times New Roman" w:hint="default"/>
        </w:rPr>
        <w:t>3</w:t>
      </w:r>
      <w:r>
        <w:rPr/>
        <w:t>）以公允价值计量且其变动计入其他综合收益的金融资产（权益工具）</w:t>
      </w:r>
      <w:r>
        <w:rPr>
          <w:w w:val="100"/>
        </w:rPr>
        <w:t> </w:t>
      </w:r>
      <w:r>
        <w:rPr>
          <w:spacing w:val="-1"/>
        </w:rPr>
        <w:t>以公允价值计量且其变动计入其他综合收益的金融资产（权益工具）包括其他权益工具投资等，</w:t>
      </w:r>
      <w:r>
        <w:rPr>
          <w:spacing w:val="-55"/>
        </w:rPr>
        <w:t> </w:t>
      </w:r>
      <w:r>
        <w:rPr>
          <w:spacing w:val="-55"/>
        </w:rPr>
      </w:r>
      <w:r>
        <w:rPr>
          <w:spacing w:val="-1"/>
        </w:rPr>
        <w:t>按公允价值进行初始计量，相关交易费用计入初始确认金额。该金融资产按公允价值进行后续计</w:t>
      </w:r>
      <w:r>
        <w:rPr>
          <w:spacing w:val="-54"/>
        </w:rPr>
        <w:t> </w:t>
      </w:r>
      <w:r>
        <w:rPr>
          <w:spacing w:val="-54"/>
        </w:rPr>
      </w:r>
      <w:r>
        <w:rPr/>
        <w:t>量，公允价值变动计入其他综合收益。取得的股利计入当期损益。</w:t>
      </w:r>
      <w:r>
        <w:rPr>
          <w:w w:val="100"/>
        </w:rPr>
        <w:t> </w:t>
      </w:r>
      <w:r>
        <w:rPr>
          <w:spacing w:val="-2"/>
        </w:rPr>
        <w:t>终止确认时，之前计入其他综合收益的累计利得或损失从其他综合收益中转出，计入留存收益。</w:t>
      </w:r>
    </w:p>
    <w:p>
      <w:pPr>
        <w:pStyle w:val="BodyText"/>
        <w:spacing w:line="343" w:lineRule="auto" w:before="31"/>
        <w:ind w:left="216" w:right="0"/>
        <w:jc w:val="left"/>
      </w:pPr>
      <w:r>
        <w:rPr/>
        <w:t>（</w:t>
      </w:r>
      <w:r>
        <w:rPr>
          <w:rFonts w:ascii="Times New Roman" w:hAnsi="Times New Roman" w:cs="Times New Roman" w:eastAsia="Times New Roman" w:hint="default"/>
        </w:rPr>
        <w:t>4</w:t>
      </w:r>
      <w:r>
        <w:rPr/>
        <w:t>）以公允价值计量且其变动计入当期损益的金融资产</w:t>
      </w:r>
      <w:r>
        <w:rPr>
          <w:w w:val="100"/>
        </w:rPr>
        <w:t> </w:t>
      </w:r>
      <w:r>
        <w:rPr>
          <w:spacing w:val="-1"/>
        </w:rPr>
        <w:t>以公允价值计量且其变动计入当期损益的金融资产包括交易性金融资产、衍生金融资产、其他非</w:t>
      </w:r>
      <w:r>
        <w:rPr>
          <w:spacing w:val="-53"/>
        </w:rPr>
        <w:t> </w:t>
      </w:r>
      <w:r>
        <w:rPr>
          <w:spacing w:val="-53"/>
        </w:rPr>
      </w:r>
      <w:r>
        <w:rPr>
          <w:spacing w:val="-1"/>
        </w:rPr>
        <w:t>流动金融资产等，按公允价值进行初始计量，相关交易费用计入当期损益。该金融资产按公允价</w:t>
      </w:r>
      <w:r>
        <w:rPr>
          <w:spacing w:val="-55"/>
        </w:rPr>
        <w:t> </w:t>
      </w:r>
      <w:r>
        <w:rPr>
          <w:spacing w:val="-55"/>
        </w:rPr>
      </w:r>
      <w:r>
        <w:rPr/>
        <w:t>值进行后续计量，公允价值变动计入当期损益。</w:t>
      </w:r>
    </w:p>
    <w:p>
      <w:pPr>
        <w:pStyle w:val="BodyText"/>
        <w:spacing w:line="343" w:lineRule="auto" w:before="36"/>
        <w:ind w:left="216" w:right="0"/>
        <w:jc w:val="left"/>
      </w:pPr>
      <w:r>
        <w:rPr/>
        <w:t>（</w:t>
      </w:r>
      <w:r>
        <w:rPr>
          <w:rFonts w:ascii="Times New Roman" w:hAnsi="Times New Roman" w:cs="Times New Roman" w:eastAsia="Times New Roman" w:hint="default"/>
        </w:rPr>
        <w:t>5</w:t>
      </w:r>
      <w:r>
        <w:rPr/>
        <w:t>）以公允价值计量且其变动计入当期损益的金融负债</w:t>
      </w:r>
      <w:r>
        <w:rPr>
          <w:w w:val="100"/>
        </w:rPr>
        <w:t> </w:t>
      </w:r>
      <w:r>
        <w:rPr>
          <w:spacing w:val="-1"/>
        </w:rPr>
        <w:t>以公允价值计量且其变动计入当期损益的金融负债包括交易性金融负债、衍生金融负债等，按公</w:t>
      </w:r>
      <w:r>
        <w:rPr>
          <w:spacing w:val="-53"/>
        </w:rPr>
        <w:t> </w:t>
      </w:r>
      <w:r>
        <w:rPr>
          <w:spacing w:val="-53"/>
        </w:rPr>
      </w:r>
      <w:r>
        <w:rPr>
          <w:spacing w:val="-1"/>
        </w:rPr>
        <w:t>允价值进行初始计量，相关交易费用计入当期损益。该金融负债按公允价值进行后续计量，公允</w:t>
      </w:r>
      <w:r>
        <w:rPr>
          <w:spacing w:val="-55"/>
        </w:rPr>
        <w:t> </w:t>
      </w:r>
      <w:r>
        <w:rPr>
          <w:spacing w:val="-55"/>
        </w:rPr>
      </w:r>
      <w:r>
        <w:rPr/>
        <w:t>价值变动计入当期损益。</w:t>
      </w:r>
    </w:p>
    <w:p>
      <w:pPr>
        <w:pStyle w:val="BodyText"/>
        <w:spacing w:line="240" w:lineRule="auto" w:before="35"/>
        <w:ind w:left="216" w:right="0"/>
        <w:jc w:val="left"/>
      </w:pPr>
      <w:r>
        <w:rPr/>
        <w:t>终止确认时，其账面价值与支付的对价之间的差额计入当期损益。</w:t>
      </w:r>
    </w:p>
    <w:p>
      <w:pPr>
        <w:pStyle w:val="BodyText"/>
        <w:spacing w:line="345" w:lineRule="auto" w:before="123"/>
        <w:ind w:left="216" w:right="0"/>
        <w:jc w:val="left"/>
      </w:pPr>
      <w:r>
        <w:rPr/>
        <w:t>（</w:t>
      </w:r>
      <w:r>
        <w:rPr>
          <w:rFonts w:ascii="Times New Roman" w:hAnsi="Times New Roman" w:cs="Times New Roman" w:eastAsia="Times New Roman" w:hint="default"/>
        </w:rPr>
        <w:t>6</w:t>
      </w:r>
      <w:r>
        <w:rPr/>
        <w:t>）以摊余成本计量的金融负债</w:t>
      </w:r>
      <w:r>
        <w:rPr>
          <w:w w:val="100"/>
        </w:rPr>
        <w:t> </w:t>
      </w:r>
      <w:r>
        <w:rPr>
          <w:spacing w:val="-1"/>
        </w:rPr>
        <w:t>以摊余成本计量的金融负债包括短期借款、应付票据、应付账款、其他应付款、长期借款、应付</w:t>
      </w:r>
      <w:r>
        <w:rPr>
          <w:spacing w:val="-56"/>
        </w:rPr>
        <w:t> </w:t>
      </w:r>
      <w:r>
        <w:rPr>
          <w:spacing w:val="-56"/>
        </w:rPr>
      </w:r>
      <w:r>
        <w:rPr/>
        <w:t>债券、长期应付款，按公允价值进行初始计量，相关交易费用计入初始确认金额。</w:t>
      </w:r>
      <w:r>
        <w:rPr>
          <w:w w:val="100"/>
        </w:rPr>
        <w:t> </w:t>
      </w:r>
      <w:r>
        <w:rPr/>
        <w:t>持有期间采用实际利率法计算的利息计入当期损益。</w:t>
      </w:r>
      <w:r>
        <w:rPr>
          <w:w w:val="100"/>
        </w:rPr>
        <w:t> </w:t>
      </w:r>
      <w:r>
        <w:rPr/>
        <w:t>终止确认时，将支付的对价与该金融负债账面价值之间的差额计入当期损益。</w:t>
      </w:r>
    </w:p>
    <w:p>
      <w:pPr>
        <w:pStyle w:val="Heading3"/>
        <w:spacing w:line="240" w:lineRule="auto" w:before="33"/>
        <w:ind w:left="216" w:right="0"/>
        <w:jc w:val="left"/>
        <w:rPr>
          <w:b w:val="0"/>
          <w:bCs w:val="0"/>
        </w:rPr>
      </w:pPr>
      <w:r>
        <w:rPr>
          <w:rFonts w:ascii="Times New Roman" w:hAnsi="Times New Roman" w:cs="Times New Roman" w:eastAsia="Times New Roman" w:hint="default"/>
        </w:rPr>
        <w:t>2019</w:t>
      </w:r>
      <w:r>
        <w:rPr>
          <w:rFonts w:ascii="Times New Roman" w:hAnsi="Times New Roman" w:cs="Times New Roman" w:eastAsia="Times New Roman" w:hint="default"/>
          <w:spacing w:val="-3"/>
        </w:rPr>
        <w:t> </w:t>
      </w:r>
      <w:r>
        <w:rPr/>
        <w:t>年</w:t>
      </w:r>
      <w:r>
        <w:rPr>
          <w:spacing w:val="-50"/>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月</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日前适用的会计政策</w:t>
      </w:r>
      <w:r>
        <w:rPr>
          <w:b w:val="0"/>
          <w:bCs w:val="0"/>
        </w:rPr>
      </w:r>
    </w:p>
    <w:p>
      <w:pPr>
        <w:pStyle w:val="BodyText"/>
        <w:spacing w:line="345" w:lineRule="auto" w:before="107"/>
        <w:ind w:left="216" w:right="0"/>
        <w:jc w:val="left"/>
      </w:pPr>
      <w:r>
        <w:rPr/>
        <w:t>（</w:t>
      </w:r>
      <w:r>
        <w:rPr>
          <w:rFonts w:ascii="Times New Roman" w:hAnsi="Times New Roman" w:cs="Times New Roman" w:eastAsia="Times New Roman" w:hint="default"/>
        </w:rPr>
        <w:t>1</w:t>
      </w:r>
      <w:r>
        <w:rPr/>
        <w:t>）以公允价值计量且其变动计入当期损益的金融资产（金融负债）</w:t>
      </w:r>
      <w:r>
        <w:rPr>
          <w:w w:val="100"/>
        </w:rPr>
        <w:t> </w:t>
      </w:r>
      <w:r>
        <w:rPr>
          <w:spacing w:val="-1"/>
        </w:rPr>
        <w:t>取得时以公允价值（扣除已宣告但尚未发放的现金股利或已到付息期但尚未领取的债券利息）作</w:t>
      </w:r>
      <w:r>
        <w:rPr>
          <w:spacing w:val="-55"/>
        </w:rPr>
        <w:t> </w:t>
      </w:r>
      <w:r>
        <w:rPr>
          <w:spacing w:val="-55"/>
        </w:rPr>
      </w:r>
      <w:r>
        <w:rPr/>
        <w:t>为初始确认金额，相关的交易费用计入当期损益。</w:t>
      </w:r>
      <w:r>
        <w:rPr>
          <w:w w:val="100"/>
        </w:rPr>
        <w:t> </w:t>
      </w:r>
      <w:r>
        <w:rPr/>
        <w:t>持有期间将取得的利息或现金股利确认为投资收益，期末将公允价值变动计入当期损益。</w:t>
      </w:r>
      <w:r>
        <w:rPr>
          <w:w w:val="100"/>
        </w:rPr>
        <w:t> </w:t>
      </w:r>
      <w:r>
        <w:rPr>
          <w:spacing w:val="-2"/>
        </w:rPr>
        <w:t>处置时，其公允价值与初始入账金额之间的差额确认为投资收益，同时调整公允价值变动损益。</w:t>
      </w:r>
    </w:p>
    <w:p>
      <w:pPr>
        <w:spacing w:after="0" w:line="345" w:lineRule="auto"/>
        <w:jc w:val="left"/>
        <w:sectPr>
          <w:pgSz w:w="11910" w:h="16840"/>
          <w:pgMar w:header="748" w:footer="974" w:top="1140" w:bottom="1160" w:left="1060" w:right="1660"/>
        </w:sectPr>
      </w:pPr>
    </w:p>
    <w:p>
      <w:pPr>
        <w:spacing w:line="240" w:lineRule="auto" w:before="3"/>
        <w:rPr>
          <w:rFonts w:ascii="宋体" w:hAnsi="宋体" w:cs="宋体" w:eastAsia="宋体" w:hint="default"/>
          <w:sz w:val="27"/>
          <w:szCs w:val="27"/>
        </w:rPr>
      </w:pPr>
    </w:p>
    <w:p>
      <w:pPr>
        <w:pStyle w:val="BodyText"/>
        <w:spacing w:line="345" w:lineRule="auto" w:before="36"/>
        <w:ind w:left="216" w:right="0"/>
        <w:jc w:val="left"/>
      </w:pPr>
      <w:r>
        <w:rPr/>
        <w:t>（</w:t>
      </w:r>
      <w:r>
        <w:rPr>
          <w:rFonts w:ascii="Times New Roman" w:hAnsi="Times New Roman" w:cs="Times New Roman" w:eastAsia="Times New Roman" w:hint="default"/>
        </w:rPr>
        <w:t>2</w:t>
      </w:r>
      <w:r>
        <w:rPr/>
        <w:t>）持有至到期投资</w:t>
      </w:r>
      <w:r>
        <w:rPr>
          <w:w w:val="100"/>
        </w:rPr>
        <w:t> </w:t>
      </w:r>
      <w:r>
        <w:rPr>
          <w:spacing w:val="-1"/>
        </w:rPr>
        <w:t>取得时按公允价值（扣除已到付息期但尚未领取的债券利息）和相关交易费用之和作为初始确认</w:t>
      </w:r>
      <w:r>
        <w:rPr>
          <w:spacing w:val="-55"/>
        </w:rPr>
        <w:t> </w:t>
      </w:r>
      <w:r>
        <w:rPr>
          <w:spacing w:val="-55"/>
        </w:rPr>
      </w:r>
      <w:r>
        <w:rPr/>
        <w:t>金额。</w:t>
      </w:r>
      <w:r>
        <w:rPr>
          <w:spacing w:val="-102"/>
        </w:rPr>
        <w:t> </w:t>
      </w:r>
      <w:r>
        <w:rPr>
          <w:spacing w:val="-1"/>
        </w:rPr>
        <w:t>持有期间按照摊余成本和实际利率（如实际利率与票面利率差别较小的，按票面利率）计算确认</w:t>
      </w:r>
      <w:r>
        <w:rPr>
          <w:spacing w:val="-55"/>
        </w:rPr>
        <w:t> </w:t>
      </w:r>
      <w:r>
        <w:rPr>
          <w:spacing w:val="-55"/>
        </w:rPr>
      </w:r>
      <w:r>
        <w:rPr>
          <w:spacing w:val="-1"/>
        </w:rPr>
        <w:t>利息收入，计入投资收益。实际利率在取得时确定，在该预期存续期间或适用的更短期间内保持</w:t>
      </w:r>
      <w:r>
        <w:rPr>
          <w:spacing w:val="-55"/>
        </w:rPr>
        <w:t> </w:t>
      </w:r>
      <w:r>
        <w:rPr>
          <w:spacing w:val="-55"/>
        </w:rPr>
      </w:r>
      <w:r>
        <w:rPr/>
        <w:t>不变。</w:t>
      </w:r>
    </w:p>
    <w:p>
      <w:pPr>
        <w:pStyle w:val="BodyText"/>
        <w:spacing w:line="240" w:lineRule="auto" w:before="33"/>
        <w:ind w:left="216" w:right="0"/>
        <w:jc w:val="left"/>
      </w:pPr>
      <w:r>
        <w:rPr/>
        <w:t>处置时，将所取得价款与该投资账面价值之间的差额计入投资收益。</w:t>
      </w:r>
    </w:p>
    <w:p>
      <w:pPr>
        <w:pStyle w:val="BodyText"/>
        <w:spacing w:line="343" w:lineRule="auto" w:before="126"/>
        <w:ind w:left="216" w:right="0"/>
        <w:jc w:val="left"/>
      </w:pPr>
      <w:r>
        <w:rPr/>
        <w:t>（</w:t>
      </w:r>
      <w:r>
        <w:rPr>
          <w:rFonts w:ascii="Times New Roman" w:hAnsi="Times New Roman" w:cs="Times New Roman" w:eastAsia="Times New Roman" w:hint="default"/>
        </w:rPr>
        <w:t>3</w:t>
      </w:r>
      <w:r>
        <w:rPr/>
        <w:t>）应收款项</w:t>
      </w:r>
      <w:r>
        <w:rPr>
          <w:w w:val="100"/>
        </w:rPr>
        <w:t> </w:t>
      </w:r>
      <w:r>
        <w:rPr>
          <w:spacing w:val="-1"/>
        </w:rPr>
        <w:t>公司对外销售商品或提供劳务形成的应收债权，以及公司持有的其他企业的不包括在活跃市场上</w:t>
      </w:r>
      <w:r>
        <w:rPr>
          <w:spacing w:val="-55"/>
        </w:rPr>
        <w:t> </w:t>
      </w:r>
      <w:r>
        <w:rPr>
          <w:spacing w:val="-55"/>
        </w:rPr>
      </w:r>
      <w:r>
        <w:rPr>
          <w:spacing w:val="-1"/>
        </w:rPr>
        <w:t>有报价的债务工具的债权，包括应收账款、其他应收款等，以向购货方应收的合同或协议价款作</w:t>
      </w:r>
      <w:r>
        <w:rPr>
          <w:spacing w:val="-55"/>
        </w:rPr>
        <w:t> </w:t>
      </w:r>
      <w:r>
        <w:rPr>
          <w:spacing w:val="-55"/>
        </w:rPr>
      </w:r>
      <w:r>
        <w:rPr/>
        <w:t>为初始确认金额；具有融资性质的，按其现值进行初始确认。</w:t>
      </w:r>
      <w:r>
        <w:rPr>
          <w:w w:val="100"/>
        </w:rPr>
        <w:t> </w:t>
      </w:r>
      <w:r>
        <w:rPr/>
        <w:t>收回或处置时，将取得的价款与该应收款项账面价值之间的差额计入当期损益。</w:t>
      </w:r>
    </w:p>
    <w:p>
      <w:pPr>
        <w:pStyle w:val="BodyText"/>
        <w:spacing w:line="345" w:lineRule="auto" w:before="35"/>
        <w:ind w:left="216" w:right="0"/>
        <w:jc w:val="left"/>
      </w:pPr>
      <w:r>
        <w:rPr/>
        <w:t>（</w:t>
      </w:r>
      <w:r>
        <w:rPr>
          <w:rFonts w:ascii="Times New Roman" w:hAnsi="Times New Roman" w:cs="Times New Roman" w:eastAsia="Times New Roman" w:hint="default"/>
        </w:rPr>
        <w:t>4</w:t>
      </w:r>
      <w:r>
        <w:rPr/>
        <w:t>）可供出售金融资产</w:t>
      </w:r>
      <w:r>
        <w:rPr>
          <w:w w:val="100"/>
        </w:rPr>
        <w:t> </w:t>
      </w:r>
      <w:r>
        <w:rPr>
          <w:spacing w:val="-1"/>
        </w:rPr>
        <w:t>取得时按公允价值（扣除已宣告但尚未发放的现金股利或已到付息期但尚未领取的债券利息）和</w:t>
      </w:r>
      <w:r>
        <w:rPr>
          <w:spacing w:val="-55"/>
        </w:rPr>
        <w:t> </w:t>
      </w:r>
      <w:r>
        <w:rPr>
          <w:spacing w:val="-55"/>
        </w:rPr>
      </w:r>
      <w:r>
        <w:rPr/>
        <w:t>相关交易费用之和作为初始确认金额。</w:t>
      </w:r>
      <w:r>
        <w:rPr>
          <w:w w:val="100"/>
        </w:rPr>
        <w:t> </w:t>
      </w:r>
      <w:r>
        <w:rPr>
          <w:spacing w:val="-1"/>
        </w:rPr>
        <w:t>持有期间将取得的利息或现金股利确认为投资收益。期末以公允价值计量且将公允价值变动计入</w:t>
      </w:r>
      <w:r>
        <w:rPr>
          <w:spacing w:val="-55"/>
        </w:rPr>
        <w:t> </w:t>
      </w:r>
      <w:r>
        <w:rPr>
          <w:spacing w:val="-55"/>
        </w:rPr>
      </w:r>
      <w:r>
        <w:rPr>
          <w:spacing w:val="-1"/>
        </w:rPr>
        <w:t>其他综合收益。但是，在活跃市场中没有报价且其公允价值不能可靠计量的权益工具投资，以及</w:t>
      </w:r>
      <w:r>
        <w:rPr>
          <w:spacing w:val="-55"/>
        </w:rPr>
        <w:t> </w:t>
      </w:r>
      <w:r>
        <w:rPr>
          <w:spacing w:val="-55"/>
        </w:rPr>
      </w:r>
      <w:r>
        <w:rPr/>
        <w:t>与该权益工具挂钩并须通过交付该权益工具结算的衍生金融资产，按照成本计量。</w:t>
      </w:r>
      <w:r>
        <w:rPr>
          <w:w w:val="100"/>
        </w:rPr>
        <w:t> </w:t>
      </w:r>
      <w:r>
        <w:rPr>
          <w:spacing w:val="-1"/>
        </w:rPr>
        <w:t>处置时，将取得的价款与该金融资产账面价值之间的差额，计入投资损益；同时，将原直接计入</w:t>
      </w:r>
      <w:r>
        <w:rPr>
          <w:spacing w:val="-55"/>
        </w:rPr>
        <w:t> </w:t>
      </w:r>
      <w:r>
        <w:rPr>
          <w:spacing w:val="-55"/>
        </w:rPr>
      </w:r>
      <w:r>
        <w:rPr/>
        <w:t>其他综合收益的公允价值变动累计额对应处置部分的金额转出，计入当期损益。</w:t>
      </w:r>
    </w:p>
    <w:p>
      <w:pPr>
        <w:pStyle w:val="BodyText"/>
        <w:spacing w:line="331" w:lineRule="auto" w:before="31"/>
        <w:ind w:left="216" w:right="0"/>
        <w:jc w:val="left"/>
      </w:pPr>
      <w:r>
        <w:rPr/>
        <w:t>（</w:t>
      </w:r>
      <w:r>
        <w:rPr>
          <w:rFonts w:ascii="Times New Roman" w:hAnsi="Times New Roman" w:cs="Times New Roman" w:eastAsia="Times New Roman" w:hint="default"/>
        </w:rPr>
        <w:t>5</w:t>
      </w:r>
      <w:r>
        <w:rPr/>
        <w:t>）其他金融负债</w:t>
      </w:r>
      <w:r>
        <w:rPr>
          <w:w w:val="100"/>
        </w:rPr>
        <w:t> </w:t>
      </w:r>
      <w:r>
        <w:rPr>
          <w:spacing w:val="-2"/>
        </w:rPr>
        <w:t>按其公允价值和相关交易费用之和作为初始确认金额。采用摊余成本进行后续计量。</w:t>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3"/>
          <w:szCs w:val="13"/>
        </w:rPr>
      </w:pPr>
    </w:p>
    <w:p>
      <w:pPr>
        <w:pStyle w:val="BodyText"/>
        <w:tabs>
          <w:tab w:pos="786" w:val="left" w:leader="none"/>
        </w:tabs>
        <w:spacing w:line="343" w:lineRule="auto"/>
        <w:ind w:left="216" w:right="130"/>
        <w:jc w:val="left"/>
      </w:pPr>
      <w:r>
        <w:rPr>
          <w:rFonts w:ascii="Times New Roman" w:hAnsi="Times New Roman" w:cs="Times New Roman" w:eastAsia="Times New Roman" w:hint="default"/>
          <w:b/>
          <w:bCs/>
        </w:rPr>
        <w:t>3</w:t>
      </w:r>
      <w:r>
        <w:rPr>
          <w:rFonts w:ascii="宋体" w:hAnsi="宋体" w:cs="宋体" w:eastAsia="宋体" w:hint="default"/>
          <w:b/>
          <w:bCs/>
        </w:rPr>
        <w:t>、</w:t>
        <w:tab/>
      </w:r>
      <w:r>
        <w:rPr>
          <w:rFonts w:ascii="宋体" w:hAnsi="宋体" w:cs="宋体" w:eastAsia="宋体" w:hint="default"/>
          <w:b/>
          <w:bCs/>
          <w:spacing w:val="-1"/>
        </w:rPr>
        <w:t>金融资产转移的确认依据和计量方法</w:t>
      </w:r>
      <w:r>
        <w:rPr>
          <w:rFonts w:ascii="宋体" w:hAnsi="宋体" w:cs="宋体" w:eastAsia="宋体" w:hint="default"/>
          <w:b/>
          <w:bCs/>
          <w:spacing w:val="-90"/>
        </w:rPr>
        <w:t> </w:t>
      </w:r>
      <w:r>
        <w:rPr>
          <w:rFonts w:ascii="宋体" w:hAnsi="宋体" w:cs="宋体" w:eastAsia="宋体" w:hint="default"/>
          <w:b/>
          <w:bCs/>
          <w:spacing w:val="-90"/>
        </w:rPr>
      </w:r>
      <w:r>
        <w:rPr>
          <w:spacing w:val="-1"/>
        </w:rPr>
        <w:t>公司发生金融资产转移时，如已将金融资产所有权上几乎所有的风险和报酬转移给转入方，则终</w:t>
      </w:r>
      <w:r>
        <w:rPr>
          <w:spacing w:val="-55"/>
        </w:rPr>
        <w:t> </w:t>
      </w:r>
      <w:r>
        <w:rPr>
          <w:spacing w:val="-55"/>
        </w:rPr>
      </w:r>
      <w:r>
        <w:rPr>
          <w:spacing w:val="-1"/>
        </w:rPr>
        <w:t>止确认该金融资产；如保留了金融资产所有权上几乎所有的风险和报酬的，则不终止确认该金融</w:t>
      </w:r>
      <w:r>
        <w:rPr>
          <w:spacing w:val="-55"/>
        </w:rPr>
        <w:t> </w:t>
      </w:r>
      <w:r>
        <w:rPr>
          <w:spacing w:val="-55"/>
        </w:rPr>
      </w:r>
      <w:r>
        <w:rPr/>
        <w:t>资产。</w:t>
      </w:r>
    </w:p>
    <w:p>
      <w:pPr>
        <w:pStyle w:val="BodyText"/>
        <w:spacing w:line="348" w:lineRule="auto" w:before="36"/>
        <w:ind w:left="216" w:right="0"/>
        <w:jc w:val="left"/>
      </w:pPr>
      <w:r>
        <w:rPr/>
        <w:t>在判断金融资产转移是否满足上述金融资产终止确认条件时，采用实质重于形式的原则。</w:t>
      </w:r>
      <w:r>
        <w:rPr>
          <w:w w:val="100"/>
        </w:rPr>
        <w:t> </w:t>
      </w:r>
      <w:r>
        <w:rPr>
          <w:spacing w:val="-1"/>
        </w:rPr>
        <w:t>公司将金融资产转移区分为金融资产整体转移和部分转移。金融资产整体转移满足终止确认条件</w:t>
      </w:r>
      <w:r>
        <w:rPr>
          <w:spacing w:val="-54"/>
        </w:rPr>
        <w:t> </w:t>
      </w:r>
      <w:r>
        <w:rPr>
          <w:spacing w:val="-54"/>
        </w:rPr>
      </w:r>
      <w:r>
        <w:rPr/>
        <w:t>的，将下列两项金额的差额计入当期损益：</w:t>
      </w:r>
    </w:p>
    <w:p>
      <w:pPr>
        <w:pStyle w:val="BodyText"/>
        <w:spacing w:line="240" w:lineRule="auto" w:before="31"/>
        <w:ind w:left="216" w:right="0"/>
        <w:jc w:val="left"/>
      </w:pPr>
      <w:r>
        <w:rPr/>
        <w:t>（</w:t>
      </w:r>
      <w:r>
        <w:rPr>
          <w:rFonts w:ascii="Times New Roman" w:hAnsi="Times New Roman" w:cs="Times New Roman" w:eastAsia="Times New Roman" w:hint="default"/>
        </w:rPr>
        <w:t>1</w:t>
      </w:r>
      <w:r>
        <w:rPr/>
        <w:t>）所转移金融资产的账面价值；</w:t>
      </w:r>
    </w:p>
    <w:p>
      <w:pPr>
        <w:pStyle w:val="BodyText"/>
        <w:spacing w:line="338" w:lineRule="auto" w:before="110"/>
        <w:ind w:left="216" w:right="129"/>
        <w:jc w:val="both"/>
      </w:pPr>
      <w:r>
        <w:rPr>
          <w:spacing w:val="-4"/>
        </w:rPr>
        <w:t>（</w:t>
      </w:r>
      <w:r>
        <w:rPr>
          <w:rFonts w:ascii="Times New Roman" w:hAnsi="Times New Roman" w:cs="Times New Roman" w:eastAsia="Times New Roman" w:hint="default"/>
          <w:spacing w:val="-4"/>
        </w:rPr>
        <w:t>2</w:t>
      </w:r>
      <w:r>
        <w:rPr>
          <w:spacing w:val="-4"/>
        </w:rPr>
        <w:t>）因转移而收到的对价，与原直接计入所有者权益的公允价值变动累计额（涉及转移的金融资</w:t>
      </w:r>
      <w:r>
        <w:rPr>
          <w:spacing w:val="-33"/>
        </w:rPr>
        <w:t> </w:t>
      </w:r>
      <w:r>
        <w:rPr>
          <w:spacing w:val="-33"/>
        </w:rPr>
      </w:r>
      <w:r>
        <w:rPr>
          <w:spacing w:val="-6"/>
          <w:w w:val="100"/>
        </w:rPr>
        <w:t>产为以公允价值计量且其变动计入其他综合收益的金融资产（债务工具）、可供出售金融资产的情</w:t>
      </w:r>
      <w:r>
        <w:rPr>
          <w:spacing w:val="-104"/>
          <w:w w:val="100"/>
        </w:rPr>
        <w:t> </w:t>
      </w:r>
      <w:r>
        <w:rPr>
          <w:spacing w:val="-104"/>
          <w:w w:val="100"/>
        </w:rPr>
      </w:r>
      <w:r>
        <w:rPr/>
        <w:t>形）之和。</w:t>
      </w:r>
    </w:p>
    <w:p>
      <w:pPr>
        <w:spacing w:after="0" w:line="338" w:lineRule="auto"/>
        <w:jc w:val="both"/>
        <w:sectPr>
          <w:pgSz w:w="11910" w:h="16840"/>
          <w:pgMar w:header="748" w:footer="974" w:top="1140" w:bottom="1160" w:left="1060" w:right="16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7"/>
          <w:szCs w:val="17"/>
        </w:rPr>
      </w:pPr>
    </w:p>
    <w:p>
      <w:pPr>
        <w:pStyle w:val="BodyText"/>
        <w:spacing w:line="348" w:lineRule="auto" w:before="36"/>
        <w:ind w:left="216" w:right="129"/>
        <w:jc w:val="both"/>
      </w:pPr>
      <w:r>
        <w:rPr>
          <w:spacing w:val="-1"/>
        </w:rPr>
        <w:t>金融资产部分转移满足终止确认条件的，将所转移金融资产整体的账面价值，在终止确认部分和</w:t>
      </w:r>
      <w:r>
        <w:rPr>
          <w:spacing w:val="-55"/>
        </w:rPr>
        <w:t> </w:t>
      </w:r>
      <w:r>
        <w:rPr>
          <w:spacing w:val="-55"/>
        </w:rPr>
      </w:r>
      <w:r>
        <w:rPr>
          <w:spacing w:val="-1"/>
        </w:rPr>
        <w:t>未终止确认部分之间，按照各自的相对公允价值进行分摊，并将下列两项金额的差额计入当期损</w:t>
      </w:r>
      <w:r>
        <w:rPr>
          <w:spacing w:val="-55"/>
        </w:rPr>
        <w:t> </w:t>
      </w:r>
      <w:r>
        <w:rPr>
          <w:spacing w:val="-55"/>
        </w:rPr>
      </w:r>
      <w:r>
        <w:rPr/>
        <w:t>益：</w:t>
      </w:r>
    </w:p>
    <w:p>
      <w:pPr>
        <w:pStyle w:val="BodyText"/>
        <w:spacing w:line="240" w:lineRule="auto" w:before="31"/>
        <w:ind w:left="216" w:right="0"/>
        <w:jc w:val="left"/>
      </w:pPr>
      <w:r>
        <w:rPr/>
        <w:t>（</w:t>
      </w:r>
      <w:r>
        <w:rPr>
          <w:rFonts w:ascii="Times New Roman" w:hAnsi="Times New Roman" w:cs="Times New Roman" w:eastAsia="Times New Roman" w:hint="default"/>
        </w:rPr>
        <w:t>1</w:t>
      </w:r>
      <w:r>
        <w:rPr/>
        <w:t>）终止确认部分的账面价值；</w:t>
      </w:r>
    </w:p>
    <w:p>
      <w:pPr>
        <w:pStyle w:val="BodyText"/>
        <w:spacing w:line="343" w:lineRule="auto" w:before="107"/>
        <w:ind w:left="216" w:right="126"/>
        <w:jc w:val="left"/>
      </w:pPr>
      <w:r>
        <w:rPr>
          <w:spacing w:val="-4"/>
        </w:rPr>
        <w:t>（</w:t>
      </w:r>
      <w:r>
        <w:rPr>
          <w:rFonts w:ascii="Times New Roman" w:hAnsi="Times New Roman" w:cs="Times New Roman" w:eastAsia="Times New Roman" w:hint="default"/>
          <w:spacing w:val="-4"/>
        </w:rPr>
        <w:t>2</w:t>
      </w:r>
      <w:r>
        <w:rPr>
          <w:spacing w:val="-4"/>
        </w:rPr>
        <w:t>）终止确认部分的对价，与原直接计入所有者权益的公允价值变动累计额中对应终止确认部分</w:t>
      </w:r>
      <w:r>
        <w:rPr>
          <w:spacing w:val="-33"/>
        </w:rPr>
        <w:t> </w:t>
      </w:r>
      <w:r>
        <w:rPr>
          <w:spacing w:val="-33"/>
        </w:rPr>
      </w:r>
      <w:r>
        <w:rPr>
          <w:spacing w:val="-1"/>
        </w:rPr>
        <w:t>的金额（涉及转移的金融资产为以公允价值计量且其变动计入其他综合收益的金融资产（债务工</w:t>
      </w:r>
      <w:r>
        <w:rPr>
          <w:spacing w:val="-55"/>
        </w:rPr>
        <w:t> </w:t>
      </w:r>
      <w:r>
        <w:rPr>
          <w:spacing w:val="-55"/>
        </w:rPr>
      </w:r>
      <w:r>
        <w:rPr>
          <w:spacing w:val="-8"/>
          <w:w w:val="100"/>
        </w:rPr>
        <w:t>具）、可供出售金融资产的情形）之和。</w:t>
      </w:r>
      <w:r>
        <w:rPr>
          <w:spacing w:val="-91"/>
          <w:w w:val="100"/>
        </w:rPr>
        <w:t> </w:t>
      </w:r>
      <w:r>
        <w:rPr>
          <w:spacing w:val="-91"/>
          <w:w w:val="100"/>
        </w:rPr>
      </w:r>
      <w:r>
        <w:rPr>
          <w:spacing w:val="-6"/>
          <w:w w:val="100"/>
        </w:rPr>
        <w:t>金融资产转移不满足终止确认条件的，继续确认该金融资产，所收到的对价确认为一项金融负债。</w:t>
      </w:r>
    </w:p>
    <w:p>
      <w:pPr>
        <w:spacing w:line="240" w:lineRule="auto" w:before="0"/>
        <w:rPr>
          <w:rFonts w:ascii="宋体" w:hAnsi="宋体" w:cs="宋体" w:eastAsia="宋体" w:hint="default"/>
          <w:sz w:val="20"/>
          <w:szCs w:val="20"/>
        </w:rPr>
      </w:pPr>
    </w:p>
    <w:p>
      <w:pPr>
        <w:pStyle w:val="BodyText"/>
        <w:tabs>
          <w:tab w:pos="786" w:val="left" w:leader="none"/>
        </w:tabs>
        <w:spacing w:line="348" w:lineRule="auto" w:before="175"/>
        <w:ind w:left="216" w:right="130"/>
        <w:jc w:val="left"/>
      </w:pPr>
      <w:r>
        <w:rPr>
          <w:rFonts w:ascii="Times New Roman" w:hAnsi="Times New Roman" w:cs="Times New Roman" w:eastAsia="Times New Roman" w:hint="default"/>
          <w:b/>
          <w:bCs/>
        </w:rPr>
        <w:t>4</w:t>
      </w:r>
      <w:r>
        <w:rPr>
          <w:rFonts w:ascii="宋体" w:hAnsi="宋体" w:cs="宋体" w:eastAsia="宋体" w:hint="default"/>
          <w:b/>
          <w:bCs/>
        </w:rPr>
        <w:t>、</w:t>
        <w:tab/>
      </w:r>
      <w:r>
        <w:rPr>
          <w:rFonts w:ascii="宋体" w:hAnsi="宋体" w:cs="宋体" w:eastAsia="宋体" w:hint="default"/>
          <w:b/>
          <w:bCs/>
          <w:spacing w:val="-1"/>
        </w:rPr>
        <w:t>金融负债终止确认条件</w:t>
      </w:r>
      <w:r>
        <w:rPr>
          <w:rFonts w:ascii="宋体" w:hAnsi="宋体" w:cs="宋体" w:eastAsia="宋体" w:hint="default"/>
          <w:b/>
          <w:bCs/>
          <w:spacing w:val="-96"/>
        </w:rPr>
        <w:t> </w:t>
      </w:r>
      <w:r>
        <w:rPr>
          <w:rFonts w:ascii="宋体" w:hAnsi="宋体" w:cs="宋体" w:eastAsia="宋体" w:hint="default"/>
          <w:b/>
          <w:bCs/>
          <w:spacing w:val="-96"/>
        </w:rPr>
      </w:r>
      <w:r>
        <w:rPr>
          <w:spacing w:val="-1"/>
        </w:rPr>
        <w:t>金融负债的现时义务全部或部分已经解除的，则终止确认该金融负债或其一部分；本公司若与债</w:t>
      </w:r>
      <w:r>
        <w:rPr>
          <w:spacing w:val="-55"/>
        </w:rPr>
        <w:t> </w:t>
      </w:r>
      <w:r>
        <w:rPr>
          <w:spacing w:val="-55"/>
        </w:rPr>
      </w:r>
      <w:r>
        <w:rPr>
          <w:spacing w:val="-1"/>
        </w:rPr>
        <w:t>权人签定协议，以承担新金融负债方式替换现存金融负债，且新金融负债与现存金融负债的合同</w:t>
      </w:r>
      <w:r>
        <w:rPr>
          <w:spacing w:val="-55"/>
        </w:rPr>
        <w:t> </w:t>
      </w:r>
      <w:r>
        <w:rPr>
          <w:spacing w:val="-55"/>
        </w:rPr>
      </w:r>
      <w:r>
        <w:rPr/>
        <w:t>条款实质上不同的，则终止确认现存金融负债，并同时确认新金融负债。</w:t>
      </w:r>
      <w:r>
        <w:rPr>
          <w:w w:val="100"/>
        </w:rPr>
        <w:t> </w:t>
      </w:r>
      <w:r>
        <w:rPr>
          <w:spacing w:val="-1"/>
        </w:rPr>
        <w:t>对现存金融负债全部或部分合同条款作出实质性修改的，则终止确认现存金融负债或其一部分，</w:t>
      </w:r>
      <w:r>
        <w:rPr>
          <w:spacing w:val="-55"/>
        </w:rPr>
        <w:t> </w:t>
      </w:r>
      <w:r>
        <w:rPr>
          <w:spacing w:val="-55"/>
        </w:rPr>
      </w:r>
      <w:r>
        <w:rPr/>
        <w:t>同时将修改条款后的金融负债确认为一项新金融负债。</w:t>
      </w:r>
      <w:r>
        <w:rPr>
          <w:w w:val="100"/>
        </w:rPr>
        <w:t> </w:t>
      </w:r>
      <w:r>
        <w:rPr>
          <w:spacing w:val="-1"/>
        </w:rPr>
        <w:t>金融负债全部或部分终止确认时，终止确认的金融负债账面价值与支付对价（包括转出的非现金</w:t>
      </w:r>
      <w:r>
        <w:rPr>
          <w:spacing w:val="-55"/>
        </w:rPr>
        <w:t> </w:t>
      </w:r>
      <w:r>
        <w:rPr>
          <w:spacing w:val="-55"/>
        </w:rPr>
      </w:r>
      <w:r>
        <w:rPr/>
        <w:t>资产或承担的新金融负债）之间的差额，计入当期损益。</w:t>
      </w:r>
      <w:r>
        <w:rPr>
          <w:w w:val="100"/>
        </w:rPr>
        <w:t> </w:t>
      </w:r>
      <w:r>
        <w:rPr>
          <w:spacing w:val="-1"/>
        </w:rPr>
        <w:t>本公司若回购部分金融负债的，在回购日按照继续确认部分与终止确认部分的相对公允价值，将</w:t>
      </w:r>
      <w:r>
        <w:rPr>
          <w:spacing w:val="-55"/>
        </w:rPr>
        <w:t> </w:t>
      </w:r>
      <w:r>
        <w:rPr>
          <w:spacing w:val="-55"/>
        </w:rPr>
      </w:r>
      <w:r>
        <w:rPr>
          <w:spacing w:val="-1"/>
        </w:rPr>
        <w:t>该金融负债整体的账面价值进行分配。分配给终止确认部分的账面价值与支付的对价（包括转出</w:t>
      </w:r>
      <w:r>
        <w:rPr>
          <w:spacing w:val="-55"/>
        </w:rPr>
        <w:t> </w:t>
      </w:r>
      <w:r>
        <w:rPr>
          <w:spacing w:val="-55"/>
        </w:rPr>
      </w:r>
      <w:r>
        <w:rPr/>
        <w:t>的非现金资产或承担的新金融负债）之间的差额，计入当期损益。</w:t>
      </w:r>
    </w:p>
    <w:p>
      <w:pPr>
        <w:spacing w:line="240" w:lineRule="auto" w:before="0"/>
        <w:rPr>
          <w:rFonts w:ascii="宋体" w:hAnsi="宋体" w:cs="宋体" w:eastAsia="宋体" w:hint="default"/>
          <w:sz w:val="20"/>
          <w:szCs w:val="20"/>
        </w:rPr>
      </w:pPr>
    </w:p>
    <w:p>
      <w:pPr>
        <w:pStyle w:val="BodyText"/>
        <w:tabs>
          <w:tab w:pos="786" w:val="left" w:leader="none"/>
        </w:tabs>
        <w:spacing w:line="345" w:lineRule="auto" w:before="170"/>
        <w:ind w:left="216" w:right="130"/>
        <w:jc w:val="left"/>
      </w:pPr>
      <w:r>
        <w:rPr>
          <w:rFonts w:ascii="Times New Roman" w:hAnsi="Times New Roman" w:cs="Times New Roman" w:eastAsia="Times New Roman" w:hint="default"/>
          <w:b/>
          <w:bCs/>
        </w:rPr>
        <w:t>5</w:t>
      </w:r>
      <w:r>
        <w:rPr>
          <w:rFonts w:ascii="宋体" w:hAnsi="宋体" w:cs="宋体" w:eastAsia="宋体" w:hint="default"/>
          <w:b/>
          <w:bCs/>
        </w:rPr>
        <w:t>、</w:t>
        <w:tab/>
      </w:r>
      <w:r>
        <w:rPr>
          <w:rFonts w:ascii="宋体" w:hAnsi="宋体" w:cs="宋体" w:eastAsia="宋体" w:hint="default"/>
          <w:b/>
          <w:bCs/>
          <w:spacing w:val="-1"/>
        </w:rPr>
        <w:t>金融资产和金融负债的公允价值的确定方法</w:t>
      </w:r>
      <w:r>
        <w:rPr>
          <w:rFonts w:ascii="宋体" w:hAnsi="宋体" w:cs="宋体" w:eastAsia="宋体" w:hint="default"/>
          <w:b/>
          <w:bCs/>
          <w:spacing w:val="-86"/>
        </w:rPr>
        <w:t> </w:t>
      </w:r>
      <w:r>
        <w:rPr>
          <w:rFonts w:ascii="宋体" w:hAnsi="宋体" w:cs="宋体" w:eastAsia="宋体" w:hint="default"/>
          <w:b/>
          <w:bCs/>
          <w:spacing w:val="-86"/>
        </w:rPr>
      </w:r>
      <w:r>
        <w:rPr>
          <w:spacing w:val="-1"/>
        </w:rPr>
        <w:t>存在活跃市场的金融工具，以活跃市场中的报价确定其公允价值。不存在活跃市场的金融工具，</w:t>
      </w:r>
      <w:r>
        <w:rPr>
          <w:spacing w:val="-55"/>
        </w:rPr>
        <w:t> </w:t>
      </w:r>
      <w:r>
        <w:rPr>
          <w:spacing w:val="-55"/>
        </w:rPr>
      </w:r>
      <w:r>
        <w:rPr>
          <w:spacing w:val="-1"/>
        </w:rPr>
        <w:t>采用估值技术确定其公允价值。在估值时，本公司采用在当前情况下适用并且有足够可利用数据</w:t>
      </w:r>
      <w:r>
        <w:rPr>
          <w:spacing w:val="-55"/>
        </w:rPr>
        <w:t> </w:t>
      </w:r>
      <w:r>
        <w:rPr>
          <w:spacing w:val="-55"/>
        </w:rPr>
      </w:r>
      <w:r>
        <w:rPr>
          <w:spacing w:val="-1"/>
        </w:rPr>
        <w:t>和其他信息支持的估值技术，选择与市场参与者在相关资产或负债的交易中所考虑的资产或负债</w:t>
      </w:r>
      <w:r>
        <w:rPr>
          <w:spacing w:val="-54"/>
        </w:rPr>
        <w:t> </w:t>
      </w:r>
      <w:r>
        <w:rPr>
          <w:spacing w:val="-54"/>
        </w:rPr>
      </w:r>
      <w:r>
        <w:rPr>
          <w:spacing w:val="-1"/>
        </w:rPr>
        <w:t>特征相一致的输入值，并优先使用相关可观察输入值。只有在相关可观察输入值无法取得或取得</w:t>
      </w:r>
      <w:r>
        <w:rPr>
          <w:spacing w:val="-55"/>
        </w:rPr>
        <w:t> </w:t>
      </w:r>
      <w:r>
        <w:rPr>
          <w:spacing w:val="-55"/>
        </w:rPr>
      </w:r>
      <w:r>
        <w:rPr/>
        <w:t>不切实可行的情况下，才使用不可观察输入值。</w:t>
      </w:r>
    </w:p>
    <w:p>
      <w:pPr>
        <w:spacing w:line="240" w:lineRule="auto" w:before="0"/>
        <w:rPr>
          <w:rFonts w:ascii="宋体" w:hAnsi="宋体" w:cs="宋体" w:eastAsia="宋体" w:hint="default"/>
          <w:sz w:val="20"/>
          <w:szCs w:val="20"/>
        </w:rPr>
      </w:pPr>
    </w:p>
    <w:p>
      <w:pPr>
        <w:pStyle w:val="Heading3"/>
        <w:tabs>
          <w:tab w:pos="786" w:val="left" w:leader="none"/>
        </w:tabs>
        <w:spacing w:line="331" w:lineRule="auto" w:before="170"/>
        <w:ind w:left="216" w:right="4601"/>
        <w:jc w:val="left"/>
        <w:rPr>
          <w:b w:val="0"/>
          <w:bCs w:val="0"/>
        </w:rPr>
      </w:pPr>
      <w:r>
        <w:rPr>
          <w:rFonts w:ascii="Times New Roman" w:hAnsi="Times New Roman" w:cs="Times New Roman" w:eastAsia="Times New Roman" w:hint="default"/>
        </w:rPr>
        <w:t>6</w:t>
      </w:r>
      <w:r>
        <w:rPr/>
        <w:t>、</w:t>
        <w:tab/>
      </w:r>
      <w:r>
        <w:rPr>
          <w:spacing w:val="-1"/>
        </w:rPr>
        <w:t>金融资产减值的测试方法及会计处理方法</w:t>
      </w:r>
      <w:r>
        <w:rPr>
          <w:spacing w:val="-87"/>
        </w:rPr>
        <w:t> </w:t>
      </w:r>
      <w:r>
        <w:rPr>
          <w:spacing w:val="-87"/>
        </w:rPr>
      </w:r>
      <w:r>
        <w:rPr/>
        <w:t>自</w:t>
      </w:r>
      <w:r>
        <w:rPr>
          <w:spacing w:val="-51"/>
        </w:rPr>
        <w:t> </w:t>
      </w:r>
      <w:r>
        <w:rPr>
          <w:rFonts w:ascii="Times New Roman" w:hAnsi="Times New Roman" w:cs="Times New Roman" w:eastAsia="Times New Roman" w:hint="default"/>
        </w:rPr>
        <w:t>2019</w:t>
      </w:r>
      <w:r>
        <w:rPr>
          <w:rFonts w:ascii="Times New Roman" w:hAnsi="Times New Roman" w:cs="Times New Roman" w:eastAsia="Times New Roman" w:hint="default"/>
          <w:spacing w:val="-3"/>
        </w:rPr>
        <w:t> </w:t>
      </w:r>
      <w:r>
        <w:rPr/>
        <w:t>年</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月</w:t>
      </w:r>
      <w:r>
        <w:rPr>
          <w:spacing w:val="-51"/>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日起适用的会计政策</w:t>
      </w:r>
      <w:r>
        <w:rPr>
          <w:b w:val="0"/>
          <w:bCs w:val="0"/>
        </w:rPr>
      </w:r>
    </w:p>
    <w:p>
      <w:pPr>
        <w:pStyle w:val="BodyText"/>
        <w:spacing w:line="348" w:lineRule="auto" w:before="21"/>
        <w:ind w:left="216" w:right="129"/>
        <w:jc w:val="both"/>
      </w:pPr>
      <w:r>
        <w:rPr>
          <w:spacing w:val="-1"/>
        </w:rPr>
        <w:t>本公司考虑所有合理且有依据的信息，包括前瞻性信息，以单项或组合的方式对以摊余成本计量</w:t>
      </w:r>
      <w:r>
        <w:rPr>
          <w:spacing w:val="-55"/>
        </w:rPr>
        <w:t> </w:t>
      </w:r>
      <w:r>
        <w:rPr>
          <w:spacing w:val="-55"/>
        </w:rPr>
      </w:r>
      <w:r>
        <w:rPr>
          <w:spacing w:val="-1"/>
        </w:rPr>
        <w:t>的金融资产和以公允价值计量且其变动计入其他综合收益的金融资产（债务工具）的预期信用损</w:t>
      </w:r>
      <w:r>
        <w:rPr>
          <w:spacing w:val="-55"/>
        </w:rPr>
        <w:t> </w:t>
      </w:r>
      <w:r>
        <w:rPr>
          <w:spacing w:val="-55"/>
        </w:rPr>
      </w:r>
      <w:r>
        <w:rPr/>
        <w:t>失进行估计。预期信用损失的计量取决于金融资产自初始确认后是否发生信用风险显著增加。</w:t>
      </w:r>
    </w:p>
    <w:p>
      <w:pPr>
        <w:spacing w:after="0" w:line="348" w:lineRule="auto"/>
        <w:jc w:val="both"/>
        <w:sectPr>
          <w:pgSz w:w="11910" w:h="16840"/>
          <w:pgMar w:header="748" w:footer="974" w:top="1140" w:bottom="1160" w:left="1060" w:right="1660"/>
        </w:sectPr>
      </w:pPr>
    </w:p>
    <w:p>
      <w:pPr>
        <w:spacing w:line="240" w:lineRule="auto" w:before="3"/>
        <w:rPr>
          <w:rFonts w:ascii="宋体" w:hAnsi="宋体" w:cs="宋体" w:eastAsia="宋体" w:hint="default"/>
          <w:sz w:val="27"/>
          <w:szCs w:val="27"/>
        </w:rPr>
      </w:pPr>
    </w:p>
    <w:p>
      <w:pPr>
        <w:pStyle w:val="BodyText"/>
        <w:spacing w:line="343" w:lineRule="auto" w:before="36"/>
        <w:ind w:left="216" w:right="0"/>
        <w:jc w:val="left"/>
      </w:pPr>
      <w:r>
        <w:rPr/>
        <w:t>如果该金融工具的信用风险自初始确认后已显著增加，本公司按照相当于该金融工具整个存续期</w:t>
      </w:r>
      <w:r>
        <w:rPr>
          <w:spacing w:val="-96"/>
        </w:rPr>
        <w:t> </w:t>
      </w:r>
      <w:r>
        <w:rPr>
          <w:spacing w:val="-96"/>
        </w:rPr>
      </w:r>
      <w:r>
        <w:rPr>
          <w:spacing w:val="-4"/>
          <w:w w:val="100"/>
        </w:rPr>
        <w:t>内预期信用损失的金额计量其损失准备；如果该金融工具的信用风险自初始确认后并未显著增加，</w:t>
      </w:r>
      <w:r>
        <w:rPr>
          <w:spacing w:val="-85"/>
          <w:w w:val="100"/>
        </w:rPr>
        <w:t> </w:t>
      </w:r>
      <w:r>
        <w:rPr>
          <w:spacing w:val="-85"/>
          <w:w w:val="100"/>
        </w:rPr>
      </w:r>
      <w:r>
        <w:rPr>
          <w:spacing w:val="-2"/>
          <w:w w:val="100"/>
        </w:rPr>
        <w:t>本公司按照相当于该金融工具未来</w:t>
      </w:r>
      <w:r>
        <w:rPr>
          <w:spacing w:val="-50"/>
          <w:w w:val="100"/>
        </w:rPr>
        <w:t> </w:t>
      </w:r>
      <w:r>
        <w:rPr>
          <w:rFonts w:ascii="Times New Roman" w:hAnsi="Times New Roman" w:cs="Times New Roman" w:eastAsia="Times New Roman" w:hint="default"/>
          <w:spacing w:val="-2"/>
          <w:w w:val="100"/>
        </w:rPr>
        <w:t>12</w:t>
      </w:r>
      <w:r>
        <w:rPr>
          <w:rFonts w:ascii="Times New Roman" w:hAnsi="Times New Roman" w:cs="Times New Roman" w:eastAsia="Times New Roman" w:hint="default"/>
          <w:spacing w:val="2"/>
          <w:w w:val="100"/>
        </w:rPr>
        <w:t> </w:t>
      </w:r>
      <w:r>
        <w:rPr>
          <w:spacing w:val="-5"/>
          <w:w w:val="100"/>
        </w:rPr>
        <w:t>个月内预期信用损失的金额计量其损失准备。由此形成的损</w:t>
      </w:r>
      <w:r>
        <w:rPr>
          <w:spacing w:val="-99"/>
          <w:w w:val="100"/>
        </w:rPr>
        <w:t> </w:t>
      </w:r>
      <w:r>
        <w:rPr>
          <w:spacing w:val="-99"/>
          <w:w w:val="100"/>
        </w:rPr>
      </w:r>
      <w:r>
        <w:rPr/>
        <w:t>失准备的增加或转回金额，作为减值损失或利得计入当期损益。</w:t>
      </w:r>
    </w:p>
    <w:p>
      <w:pPr>
        <w:pStyle w:val="BodyText"/>
        <w:spacing w:line="348" w:lineRule="auto" w:before="35"/>
        <w:ind w:left="216" w:right="0"/>
        <w:jc w:val="left"/>
      </w:pPr>
      <w:r>
        <w:rPr/>
        <w:pict>
          <v:group style="position:absolute;margin-left:233.809998pt;margin-top:218.523682pt;width:.5pt;height:35.3pt;mso-position-horizontal-relative:page;mso-position-vertical-relative:paragraph;z-index:1168" coordorigin="4676,4370" coordsize="10,706">
            <v:group style="position:absolute;left:4676;top:4370;width:10;height:20" coordorigin="4676,4370" coordsize="10,20">
              <v:shape style="position:absolute;left:4676;top:4370;width:10;height:20" coordorigin="4676,4370" coordsize="10,20" path="m4676,4390l4686,4390,4686,4370,4676,4370,4676,4390xe" filled="true" fillcolor="#000000" stroked="false">
                <v:path arrowok="t"/>
                <v:fill type="solid"/>
              </v:shape>
            </v:group>
            <v:group style="position:absolute;left:4676;top:4390;width:10;height:20" coordorigin="4676,4390" coordsize="10,20">
              <v:shape style="position:absolute;left:4676;top:4390;width:10;height:20" coordorigin="4676,4390" coordsize="10,20" path="m4676,4409l4686,4409,4686,4390,4676,4390,4676,4409xe" filled="true" fillcolor="#000000" stroked="false">
                <v:path arrowok="t"/>
                <v:fill type="solid"/>
              </v:shape>
            </v:group>
            <v:group style="position:absolute;left:4676;top:4409;width:10;height:20" coordorigin="4676,4409" coordsize="10,20">
              <v:shape style="position:absolute;left:4676;top:4409;width:10;height:20" coordorigin="4676,4409" coordsize="10,20" path="m4676,4428l4686,4428,4686,4409,4676,4409,4676,4428xe" filled="true" fillcolor="#000000" stroked="false">
                <v:path arrowok="t"/>
                <v:fill type="solid"/>
              </v:shape>
            </v:group>
            <v:group style="position:absolute;left:4676;top:4428;width:10;height:20" coordorigin="4676,4428" coordsize="10,20">
              <v:shape style="position:absolute;left:4676;top:4428;width:10;height:20" coordorigin="4676,4428" coordsize="10,20" path="m4676,4447l4686,4447,4686,4428,4676,4428,4676,4447xe" filled="true" fillcolor="#000000" stroked="false">
                <v:path arrowok="t"/>
                <v:fill type="solid"/>
              </v:shape>
            </v:group>
            <v:group style="position:absolute;left:4676;top:4447;width:10;height:20" coordorigin="4676,4447" coordsize="10,20">
              <v:shape style="position:absolute;left:4676;top:4447;width:10;height:20" coordorigin="4676,4447" coordsize="10,20" path="m4676,4466l4686,4466,4686,4447,4676,4447,4676,4466xe" filled="true" fillcolor="#000000" stroked="false">
                <v:path arrowok="t"/>
                <v:fill type="solid"/>
              </v:shape>
            </v:group>
            <v:group style="position:absolute;left:4676;top:4466;width:10;height:20" coordorigin="4676,4466" coordsize="10,20">
              <v:shape style="position:absolute;left:4676;top:4466;width:10;height:20" coordorigin="4676,4466" coordsize="10,20" path="m4676,4486l4686,4486,4686,4466,4676,4466,4676,4486xe" filled="true" fillcolor="#000000" stroked="false">
                <v:path arrowok="t"/>
                <v:fill type="solid"/>
              </v:shape>
            </v:group>
            <v:group style="position:absolute;left:4676;top:4486;width:10;height:20" coordorigin="4676,4486" coordsize="10,20">
              <v:shape style="position:absolute;left:4676;top:4486;width:10;height:20" coordorigin="4676,4486" coordsize="10,20" path="m4676,4505l4686,4505,4686,4486,4676,4486,4676,4505xe" filled="true" fillcolor="#000000" stroked="false">
                <v:path arrowok="t"/>
                <v:fill type="solid"/>
              </v:shape>
            </v:group>
            <v:group style="position:absolute;left:4676;top:4505;width:10;height:20" coordorigin="4676,4505" coordsize="10,20">
              <v:shape style="position:absolute;left:4676;top:4505;width:10;height:20" coordorigin="4676,4505" coordsize="10,20" path="m4676,4524l4686,4524,4686,4505,4676,4505,4676,4524xe" filled="true" fillcolor="#000000" stroked="false">
                <v:path arrowok="t"/>
                <v:fill type="solid"/>
              </v:shape>
            </v:group>
            <v:group style="position:absolute;left:4676;top:4524;width:10;height:20" coordorigin="4676,4524" coordsize="10,20">
              <v:shape style="position:absolute;left:4676;top:4524;width:10;height:20" coordorigin="4676,4524" coordsize="10,20" path="m4676,4543l4686,4543,4686,4524,4676,4524,4676,4543xe" filled="true" fillcolor="#000000" stroked="false">
                <v:path arrowok="t"/>
                <v:fill type="solid"/>
              </v:shape>
            </v:group>
            <v:group style="position:absolute;left:4676;top:4543;width:10;height:20" coordorigin="4676,4543" coordsize="10,20">
              <v:shape style="position:absolute;left:4676;top:4543;width:10;height:20" coordorigin="4676,4543" coordsize="10,20" path="m4676,4562l4686,4562,4686,4543,4676,4543,4676,4562xe" filled="true" fillcolor="#000000" stroked="false">
                <v:path arrowok="t"/>
                <v:fill type="solid"/>
              </v:shape>
            </v:group>
            <v:group style="position:absolute;left:4676;top:4562;width:10;height:20" coordorigin="4676,4562" coordsize="10,20">
              <v:shape style="position:absolute;left:4676;top:4562;width:10;height:20" coordorigin="4676,4562" coordsize="10,20" path="m4676,4582l4686,4582,4686,4562,4676,4562,4676,4582xe" filled="true" fillcolor="#000000" stroked="false">
                <v:path arrowok="t"/>
                <v:fill type="solid"/>
              </v:shape>
            </v:group>
            <v:group style="position:absolute;left:4676;top:4582;width:10;height:20" coordorigin="4676,4582" coordsize="10,20">
              <v:shape style="position:absolute;left:4676;top:4582;width:10;height:20" coordorigin="4676,4582" coordsize="10,20" path="m4676,4601l4686,4601,4686,4582,4676,4582,4676,4601xe" filled="true" fillcolor="#000000" stroked="false">
                <v:path arrowok="t"/>
                <v:fill type="solid"/>
              </v:shape>
            </v:group>
            <v:group style="position:absolute;left:4676;top:4601;width:10;height:20" coordorigin="4676,4601" coordsize="10,20">
              <v:shape style="position:absolute;left:4676;top:4601;width:10;height:20" coordorigin="4676,4601" coordsize="10,20" path="m4676,4620l4686,4620,4686,4601,4676,4601,4676,4620xe" filled="true" fillcolor="#000000" stroked="false">
                <v:path arrowok="t"/>
                <v:fill type="solid"/>
              </v:shape>
            </v:group>
            <v:group style="position:absolute;left:4676;top:4620;width:10;height:20" coordorigin="4676,4620" coordsize="10,20">
              <v:shape style="position:absolute;left:4676;top:4620;width:10;height:20" coordorigin="4676,4620" coordsize="10,20" path="m4676,4639l4686,4639,4686,4620,4676,4620,4676,4639xe" filled="true" fillcolor="#000000" stroked="false">
                <v:path arrowok="t"/>
                <v:fill type="solid"/>
              </v:shape>
            </v:group>
            <v:group style="position:absolute;left:4676;top:4639;width:10;height:20" coordorigin="4676,4639" coordsize="10,20">
              <v:shape style="position:absolute;left:4676;top:4639;width:10;height:20" coordorigin="4676,4639" coordsize="10,20" path="m4676,4658l4686,4658,4686,4639,4676,4639,4676,4658xe" filled="true" fillcolor="#000000" stroked="false">
                <v:path arrowok="t"/>
                <v:fill type="solid"/>
              </v:shape>
            </v:group>
            <v:group style="position:absolute;left:4676;top:4658;width:10;height:20" coordorigin="4676,4658" coordsize="10,20">
              <v:shape style="position:absolute;left:4676;top:4658;width:10;height:20" coordorigin="4676,4658" coordsize="10,20" path="m4676,4678l4686,4678,4686,4658,4676,4658,4676,4678xe" filled="true" fillcolor="#000000" stroked="false">
                <v:path arrowok="t"/>
                <v:fill type="solid"/>
              </v:shape>
            </v:group>
            <v:group style="position:absolute;left:4676;top:4678;width:10;height:20" coordorigin="4676,4678" coordsize="10,20">
              <v:shape style="position:absolute;left:4676;top:4678;width:10;height:20" coordorigin="4676,4678" coordsize="10,20" path="m4676,4697l4686,4697,4686,4678,4676,4678,4676,4697xe" filled="true" fillcolor="#000000" stroked="false">
                <v:path arrowok="t"/>
                <v:fill type="solid"/>
              </v:shape>
              <v:shape style="position:absolute;left:4676;top:4716;width:10;height:5" type="#_x0000_t75" stroked="false">
                <v:imagedata r:id="rId55" o:title=""/>
              </v:shape>
            </v:group>
            <v:group style="position:absolute;left:4676;top:4750;width:10;height:20" coordorigin="4676,4750" coordsize="10,20">
              <v:shape style="position:absolute;left:4676;top:4750;width:10;height:20" coordorigin="4676,4750" coordsize="10,20" path="m4676,4769l4686,4769,4686,4750,4676,4750,4676,4769xe" filled="true" fillcolor="#000000" stroked="false">
                <v:path arrowok="t"/>
                <v:fill type="solid"/>
              </v:shape>
            </v:group>
            <v:group style="position:absolute;left:4676;top:4769;width:10;height:20" coordorigin="4676,4769" coordsize="10,20">
              <v:shape style="position:absolute;left:4676;top:4769;width:10;height:20" coordorigin="4676,4769" coordsize="10,20" path="m4676,4788l4686,4788,4686,4769,4676,4769,4676,4788xe" filled="true" fillcolor="#000000" stroked="false">
                <v:path arrowok="t"/>
                <v:fill type="solid"/>
              </v:shape>
            </v:group>
            <v:group style="position:absolute;left:4676;top:4788;width:10;height:20" coordorigin="4676,4788" coordsize="10,20">
              <v:shape style="position:absolute;left:4676;top:4788;width:10;height:20" coordorigin="4676,4788" coordsize="10,20" path="m4676,4807l4686,4807,4686,4788,4676,4788,4676,4807xe" filled="true" fillcolor="#000000" stroked="false">
                <v:path arrowok="t"/>
                <v:fill type="solid"/>
              </v:shape>
            </v:group>
            <v:group style="position:absolute;left:4676;top:4807;width:10;height:20" coordorigin="4676,4807" coordsize="10,20">
              <v:shape style="position:absolute;left:4676;top:4807;width:10;height:20" coordorigin="4676,4807" coordsize="10,20" path="m4676,4826l4686,4826,4686,4807,4676,4807,4676,4826xe" filled="true" fillcolor="#000000" stroked="false">
                <v:path arrowok="t"/>
                <v:fill type="solid"/>
              </v:shape>
            </v:group>
            <v:group style="position:absolute;left:4676;top:4826;width:10;height:20" coordorigin="4676,4826" coordsize="10,20">
              <v:shape style="position:absolute;left:4676;top:4826;width:10;height:20" coordorigin="4676,4826" coordsize="10,20" path="m4676,4846l4686,4846,4686,4826,4676,4826,4676,4846xe" filled="true" fillcolor="#000000" stroked="false">
                <v:path arrowok="t"/>
                <v:fill type="solid"/>
              </v:shape>
            </v:group>
            <v:group style="position:absolute;left:4676;top:4846;width:10;height:20" coordorigin="4676,4846" coordsize="10,20">
              <v:shape style="position:absolute;left:4676;top:4846;width:10;height:20" coordorigin="4676,4846" coordsize="10,20" path="m4676,4865l4686,4865,4686,4846,4676,4846,4676,4865xe" filled="true" fillcolor="#000000" stroked="false">
                <v:path arrowok="t"/>
                <v:fill type="solid"/>
              </v:shape>
            </v:group>
            <v:group style="position:absolute;left:4676;top:4865;width:10;height:20" coordorigin="4676,4865" coordsize="10,20">
              <v:shape style="position:absolute;left:4676;top:4865;width:10;height:20" coordorigin="4676,4865" coordsize="10,20" path="m4676,4884l4686,4884,4686,4865,4676,4865,4676,4884xe" filled="true" fillcolor="#000000" stroked="false">
                <v:path arrowok="t"/>
                <v:fill type="solid"/>
              </v:shape>
            </v:group>
            <v:group style="position:absolute;left:4676;top:4884;width:10;height:20" coordorigin="4676,4884" coordsize="10,20">
              <v:shape style="position:absolute;left:4676;top:4884;width:10;height:20" coordorigin="4676,4884" coordsize="10,20" path="m4676,4903l4686,4903,4686,4884,4676,4884,4676,4903xe" filled="true" fillcolor="#000000" stroked="false">
                <v:path arrowok="t"/>
                <v:fill type="solid"/>
              </v:shape>
            </v:group>
            <v:group style="position:absolute;left:4676;top:4903;width:10;height:20" coordorigin="4676,4903" coordsize="10,20">
              <v:shape style="position:absolute;left:4676;top:4903;width:10;height:20" coordorigin="4676,4903" coordsize="10,20" path="m4676,4922l4686,4922,4686,4903,4676,4903,4676,4922xe" filled="true" fillcolor="#000000" stroked="false">
                <v:path arrowok="t"/>
                <v:fill type="solid"/>
              </v:shape>
            </v:group>
            <v:group style="position:absolute;left:4676;top:4922;width:10;height:20" coordorigin="4676,4922" coordsize="10,20">
              <v:shape style="position:absolute;left:4676;top:4922;width:10;height:20" coordorigin="4676,4922" coordsize="10,20" path="m4676,4942l4686,4942,4686,4922,4676,4922,4676,4942xe" filled="true" fillcolor="#000000" stroked="false">
                <v:path arrowok="t"/>
                <v:fill type="solid"/>
              </v:shape>
            </v:group>
            <v:group style="position:absolute;left:4676;top:4942;width:10;height:20" coordorigin="4676,4942" coordsize="10,20">
              <v:shape style="position:absolute;left:4676;top:4942;width:10;height:20" coordorigin="4676,4942" coordsize="10,20" path="m4676,4961l4686,4961,4686,4942,4676,4942,4676,4961xe" filled="true" fillcolor="#000000" stroked="false">
                <v:path arrowok="t"/>
                <v:fill type="solid"/>
              </v:shape>
            </v:group>
            <v:group style="position:absolute;left:4676;top:4961;width:10;height:20" coordorigin="4676,4961" coordsize="10,20">
              <v:shape style="position:absolute;left:4676;top:4961;width:10;height:20" coordorigin="4676,4961" coordsize="10,20" path="m4676,4980l4686,4980,4686,4961,4676,4961,4676,4980xe" filled="true" fillcolor="#000000" stroked="false">
                <v:path arrowok="t"/>
                <v:fill type="solid"/>
              </v:shape>
            </v:group>
            <v:group style="position:absolute;left:4676;top:4980;width:10;height:20" coordorigin="4676,4980" coordsize="10,20">
              <v:shape style="position:absolute;left:4676;top:4980;width:10;height:20" coordorigin="4676,4980" coordsize="10,20" path="m4676,4999l4686,4999,4686,4980,4676,4980,4676,4999xe" filled="true" fillcolor="#000000" stroked="false">
                <v:path arrowok="t"/>
                <v:fill type="solid"/>
              </v:shape>
            </v:group>
            <v:group style="position:absolute;left:4676;top:4999;width:10;height:20" coordorigin="4676,4999" coordsize="10,20">
              <v:shape style="position:absolute;left:4676;top:4999;width:10;height:20" coordorigin="4676,4999" coordsize="10,20" path="m4676,5018l4686,5018,4686,4999,4676,4999,4676,5018xe" filled="true" fillcolor="#000000" stroked="false">
                <v:path arrowok="t"/>
                <v:fill type="solid"/>
              </v:shape>
            </v:group>
            <v:group style="position:absolute;left:4676;top:5018;width:10;height:20" coordorigin="4676,5018" coordsize="10,20">
              <v:shape style="position:absolute;left:4676;top:5018;width:10;height:20" coordorigin="4676,5018" coordsize="10,20" path="m4676,5038l4686,5038,4686,5018,4676,5018,4676,5038xe" filled="true" fillcolor="#000000" stroked="false">
                <v:path arrowok="t"/>
                <v:fill type="solid"/>
              </v:shape>
            </v:group>
            <v:group style="position:absolute;left:4676;top:5038;width:10;height:20" coordorigin="4676,5038" coordsize="10,20">
              <v:shape style="position:absolute;left:4676;top:5038;width:10;height:20" coordorigin="4676,5038" coordsize="10,20" path="m4676,5057l4686,5057,4686,5038,4676,5038,4676,5057xe" filled="true" fillcolor="#000000" stroked="false">
                <v:path arrowok="t"/>
                <v:fill type="solid"/>
              </v:shape>
            </v:group>
            <v:group style="position:absolute;left:4676;top:5057;width:10;height:20" coordorigin="4676,5057" coordsize="10,20">
              <v:shape style="position:absolute;left:4676;top:5057;width:10;height:20" coordorigin="4676,5057" coordsize="10,20" path="m4676,5076l4686,5076,4686,5057,4676,5057,4676,5076xe" filled="true" fillcolor="#000000" stroked="false">
                <v:path arrowok="t"/>
                <v:fill type="solid"/>
              </v:shape>
            </v:group>
            <w10:wrap type="none"/>
          </v:group>
        </w:pict>
      </w:r>
      <w:r>
        <w:rPr/>
        <w:pict>
          <v:shape style="position:absolute;margin-left:126.980003pt;margin-top:197.043671pt;width:357.6pt;height:78.6pt;mso-position-horizontal-relative:page;mso-position-vertical-relative:paragraph;z-index:12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084"/>
                    <w:gridCol w:w="5068"/>
                  </w:tblGrid>
                  <w:tr>
                    <w:trPr>
                      <w:trHeight w:val="391" w:hRule="exact"/>
                    </w:trPr>
                    <w:tc>
                      <w:tcPr>
                        <w:tcW w:w="7151" w:type="dxa"/>
                        <w:gridSpan w:val="2"/>
                        <w:tcBorders>
                          <w:top w:val="single" w:sz="12" w:space="0" w:color="000000"/>
                          <w:left w:val="nil" w:sz="6" w:space="0" w:color="auto"/>
                          <w:bottom w:val="nil" w:sz="6" w:space="0" w:color="auto"/>
                          <w:right w:val="nil" w:sz="6" w:space="0" w:color="auto"/>
                        </w:tcBorders>
                      </w:tcPr>
                      <w:p>
                        <w:pPr>
                          <w:pStyle w:val="TableParagraph"/>
                          <w:spacing w:line="240" w:lineRule="auto" w:before="89"/>
                          <w:ind w:left="119" w:right="0"/>
                          <w:jc w:val="left"/>
                          <w:rPr>
                            <w:rFonts w:ascii="宋体" w:hAnsi="宋体" w:cs="宋体" w:eastAsia="宋体" w:hint="default"/>
                            <w:sz w:val="18"/>
                            <w:szCs w:val="18"/>
                          </w:rPr>
                        </w:pPr>
                        <w:r>
                          <w:rPr>
                            <w:rFonts w:ascii="宋体" w:hAnsi="宋体" w:cs="宋体" w:eastAsia="宋体" w:hint="default"/>
                            <w:sz w:val="18"/>
                            <w:szCs w:val="18"/>
                          </w:rPr>
                          <w:t>按信用风险特征组合计提坏账准备的计提方法</w:t>
                        </w:r>
                      </w:p>
                    </w:tc>
                  </w:tr>
                  <w:tr>
                    <w:trPr>
                      <w:trHeight w:val="379" w:hRule="exact"/>
                    </w:trPr>
                    <w:tc>
                      <w:tcPr>
                        <w:tcW w:w="2084" w:type="dxa"/>
                        <w:tcBorders>
                          <w:top w:val="single" w:sz="4" w:space="0" w:color="000000"/>
                          <w:left w:val="nil" w:sz="6" w:space="0" w:color="auto"/>
                          <w:bottom w:val="single" w:sz="4" w:space="0" w:color="000000"/>
                          <w:right w:val="nil" w:sz="6" w:space="0" w:color="auto"/>
                        </w:tcBorders>
                      </w:tcPr>
                      <w:p>
                        <w:pPr>
                          <w:pStyle w:val="TableParagraph"/>
                          <w:spacing w:line="240" w:lineRule="auto" w:before="87"/>
                          <w:ind w:left="119"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5068" w:type="dxa"/>
                        <w:tcBorders>
                          <w:top w:val="single" w:sz="8" w:space="0" w:color="000000"/>
                          <w:left w:val="nil" w:sz="6" w:space="0" w:color="auto"/>
                          <w:bottom w:val="single" w:sz="8" w:space="0" w:color="000000"/>
                          <w:right w:val="nil" w:sz="6" w:space="0" w:color="auto"/>
                        </w:tcBorders>
                      </w:tcPr>
                      <w:p>
                        <w:pPr>
                          <w:pStyle w:val="TableParagraph"/>
                          <w:spacing w:line="240" w:lineRule="auto" w:before="82"/>
                          <w:ind w:left="163"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r>
                    <w:trPr>
                      <w:trHeight w:val="382" w:hRule="exact"/>
                    </w:trPr>
                    <w:tc>
                      <w:tcPr>
                        <w:tcW w:w="2084" w:type="dxa"/>
                        <w:tcBorders>
                          <w:top w:val="single" w:sz="4" w:space="0" w:color="000000"/>
                          <w:left w:val="nil" w:sz="6" w:space="0" w:color="auto"/>
                          <w:bottom w:val="single" w:sz="4" w:space="0" w:color="000000"/>
                          <w:right w:val="nil" w:sz="6" w:space="0" w:color="auto"/>
                        </w:tcBorders>
                      </w:tcPr>
                      <w:p>
                        <w:pPr>
                          <w:pStyle w:val="TableParagraph"/>
                          <w:spacing w:line="240" w:lineRule="auto" w:before="89"/>
                          <w:ind w:left="119" w:right="0"/>
                          <w:jc w:val="left"/>
                          <w:rPr>
                            <w:rFonts w:ascii="宋体" w:hAnsi="宋体" w:cs="宋体" w:eastAsia="宋体" w:hint="default"/>
                            <w:sz w:val="18"/>
                            <w:szCs w:val="18"/>
                          </w:rPr>
                        </w:pPr>
                        <w:r>
                          <w:rPr>
                            <w:rFonts w:ascii="宋体" w:hAnsi="宋体" w:cs="宋体" w:eastAsia="宋体" w:hint="default"/>
                            <w:sz w:val="18"/>
                            <w:szCs w:val="18"/>
                          </w:rPr>
                          <w:t>光伏发电应收补贴组合</w:t>
                        </w:r>
                      </w:p>
                    </w:tc>
                    <w:tc>
                      <w:tcPr>
                        <w:tcW w:w="5068" w:type="dxa"/>
                        <w:tcBorders>
                          <w:top w:val="single" w:sz="8" w:space="0" w:color="000000"/>
                          <w:left w:val="nil" w:sz="6" w:space="0" w:color="auto"/>
                          <w:bottom w:val="single" w:sz="8" w:space="0" w:color="000000"/>
                          <w:right w:val="nil" w:sz="6" w:space="0" w:color="auto"/>
                        </w:tcBorders>
                      </w:tcPr>
                      <w:p>
                        <w:pPr>
                          <w:pStyle w:val="TableParagraph"/>
                          <w:spacing w:line="240" w:lineRule="auto" w:before="85"/>
                          <w:ind w:left="163" w:right="0"/>
                          <w:jc w:val="left"/>
                          <w:rPr>
                            <w:rFonts w:ascii="宋体" w:hAnsi="宋体" w:cs="宋体" w:eastAsia="宋体" w:hint="default"/>
                            <w:sz w:val="18"/>
                            <w:szCs w:val="18"/>
                          </w:rPr>
                        </w:pPr>
                        <w:r>
                          <w:rPr>
                            <w:rFonts w:ascii="宋体" w:hAnsi="宋体" w:cs="宋体" w:eastAsia="宋体" w:hint="default"/>
                            <w:sz w:val="18"/>
                            <w:szCs w:val="18"/>
                          </w:rPr>
                          <w:t>按无风险利率折现测算减值</w:t>
                        </w:r>
                      </w:p>
                    </w:tc>
                  </w:tr>
                  <w:tr>
                    <w:trPr>
                      <w:trHeight w:val="391" w:hRule="exact"/>
                    </w:trPr>
                    <w:tc>
                      <w:tcPr>
                        <w:tcW w:w="2084" w:type="dxa"/>
                        <w:tcBorders>
                          <w:top w:val="single" w:sz="4" w:space="0" w:color="000000"/>
                          <w:left w:val="nil" w:sz="6" w:space="0" w:color="auto"/>
                          <w:bottom w:val="single" w:sz="12" w:space="0" w:color="000000"/>
                          <w:right w:val="nil" w:sz="6" w:space="0" w:color="auto"/>
                        </w:tcBorders>
                      </w:tcPr>
                      <w:p>
                        <w:pPr>
                          <w:pStyle w:val="TableParagraph"/>
                          <w:spacing w:line="240" w:lineRule="auto" w:before="87"/>
                          <w:ind w:left="119" w:right="0"/>
                          <w:jc w:val="left"/>
                          <w:rPr>
                            <w:rFonts w:ascii="宋体" w:hAnsi="宋体" w:cs="宋体" w:eastAsia="宋体" w:hint="default"/>
                            <w:sz w:val="18"/>
                            <w:szCs w:val="18"/>
                          </w:rPr>
                        </w:pPr>
                        <w:r>
                          <w:rPr>
                            <w:rFonts w:ascii="宋体" w:hAnsi="宋体" w:cs="宋体" w:eastAsia="宋体" w:hint="default"/>
                            <w:sz w:val="18"/>
                            <w:szCs w:val="18"/>
                          </w:rPr>
                          <w:t>控制组合</w:t>
                        </w:r>
                      </w:p>
                    </w:tc>
                    <w:tc>
                      <w:tcPr>
                        <w:tcW w:w="5068" w:type="dxa"/>
                        <w:tcBorders>
                          <w:top w:val="single" w:sz="8" w:space="0" w:color="000000"/>
                          <w:left w:val="nil" w:sz="6" w:space="0" w:color="auto"/>
                          <w:bottom w:val="single" w:sz="12" w:space="0" w:color="000000"/>
                          <w:right w:val="nil" w:sz="6" w:space="0" w:color="auto"/>
                        </w:tcBorders>
                      </w:tcPr>
                      <w:p>
                        <w:pPr>
                          <w:pStyle w:val="TableParagraph"/>
                          <w:spacing w:line="240" w:lineRule="auto" w:before="82"/>
                          <w:ind w:left="163" w:right="0"/>
                          <w:jc w:val="left"/>
                          <w:rPr>
                            <w:rFonts w:ascii="宋体" w:hAnsi="宋体" w:cs="宋体" w:eastAsia="宋体" w:hint="default"/>
                            <w:sz w:val="18"/>
                            <w:szCs w:val="18"/>
                          </w:rPr>
                        </w:pPr>
                        <w:r>
                          <w:rPr>
                            <w:rFonts w:ascii="宋体" w:hAnsi="宋体" w:cs="宋体" w:eastAsia="宋体" w:hint="default"/>
                            <w:sz w:val="18"/>
                            <w:szCs w:val="18"/>
                          </w:rPr>
                          <w:t>合并范围内关联方不计提坏账准备</w:t>
                        </w:r>
                      </w:p>
                    </w:tc>
                  </w:tr>
                </w:tbl>
                <w:p>
                  <w:pPr/>
                </w:p>
              </w:txbxContent>
            </v:textbox>
            <w10:wrap type="none"/>
          </v:shape>
        </w:pict>
      </w:r>
      <w:r>
        <w:rPr/>
        <w:t>通常逾期超过 </w:t>
      </w:r>
      <w:r>
        <w:rPr>
          <w:rFonts w:ascii="Times New Roman" w:hAnsi="Times New Roman" w:cs="Times New Roman" w:eastAsia="Times New Roman" w:hint="default"/>
        </w:rPr>
        <w:t>30 </w:t>
      </w:r>
      <w:r>
        <w:rPr>
          <w:spacing w:val="-5"/>
        </w:rPr>
        <w:t>日，本公司即认为该金融工具的信用风险已显著增加，除非有确凿证据证明该金</w:t>
      </w:r>
      <w:r>
        <w:rPr>
          <w:spacing w:val="-84"/>
        </w:rPr>
        <w:t> </w:t>
      </w:r>
      <w:r>
        <w:rPr>
          <w:spacing w:val="-84"/>
        </w:rPr>
      </w:r>
      <w:r>
        <w:rPr/>
        <w:t>融工具的信用风险自初始确认后并未显著增加。</w:t>
      </w:r>
      <w:r>
        <w:rPr>
          <w:w w:val="100"/>
        </w:rPr>
        <w:t> </w:t>
      </w:r>
      <w:r>
        <w:rPr>
          <w:spacing w:val="-1"/>
        </w:rPr>
        <w:t>如果金融工具于资产负债表日的信用风险较低，本公司即认为该金融工具的信用风险自初始确认</w:t>
      </w:r>
      <w:r>
        <w:rPr>
          <w:spacing w:val="-55"/>
        </w:rPr>
        <w:t> </w:t>
      </w:r>
      <w:r>
        <w:rPr>
          <w:spacing w:val="-55"/>
        </w:rPr>
      </w:r>
      <w:r>
        <w:rPr/>
        <w:t>后并未显著增加。</w:t>
      </w:r>
      <w:r>
        <w:rPr>
          <w:w w:val="100"/>
        </w:rPr>
        <w:t> </w:t>
      </w:r>
      <w:r>
        <w:rPr>
          <w:spacing w:val="-1"/>
        </w:rPr>
        <w:t>如果有客观证据表明某项金融资产已经发生信用减值，则本公司在单项基础上对该金融资产计提</w:t>
      </w:r>
      <w:r>
        <w:rPr>
          <w:spacing w:val="-55"/>
        </w:rPr>
        <w:t> </w:t>
      </w:r>
      <w:r>
        <w:rPr>
          <w:spacing w:val="-55"/>
        </w:rPr>
      </w:r>
      <w:r>
        <w:rPr/>
        <w:t>减值准备。</w:t>
      </w:r>
      <w:r>
        <w:rPr>
          <w:spacing w:val="-102"/>
        </w:rPr>
        <w:t> </w:t>
      </w:r>
      <w:r>
        <w:rPr>
          <w:spacing w:val="-102"/>
        </w:rPr>
      </w:r>
      <w:r>
        <w:rPr>
          <w:spacing w:val="-1"/>
        </w:rPr>
        <w:t>本公司对于已发生信用减值的金融资产基于单项为基础评估预期信用损失；其他金融资产基于组</w:t>
      </w:r>
      <w:r>
        <w:rPr>
          <w:spacing w:val="-55"/>
        </w:rPr>
        <w:t> </w:t>
      </w:r>
      <w:r>
        <w:rPr>
          <w:spacing w:val="-55"/>
        </w:rPr>
      </w:r>
      <w:r>
        <w:rPr/>
        <w:t>合基础评估预期信用损失。</w:t>
      </w:r>
      <w:r>
        <w:rPr>
          <w:w w:val="100"/>
        </w:rPr>
        <w:t> </w:t>
      </w:r>
      <w:r>
        <w:rPr>
          <w:spacing w:val="-1"/>
        </w:rPr>
        <w:t>本公司将该应收款项按类似信用风险特征进行组合，并基于所有合理且有依据的信息，包括前瞻</w:t>
      </w:r>
      <w:r>
        <w:rPr>
          <w:spacing w:val="-55"/>
        </w:rPr>
        <w:t> </w:t>
      </w:r>
      <w:r>
        <w:rPr>
          <w:spacing w:val="-55"/>
        </w:rPr>
      </w:r>
      <w:r>
        <w:rPr/>
        <w:t>性信息，对该应收款项坏账准备的计提方法：</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6"/>
          <w:szCs w:val="16"/>
        </w:rPr>
      </w:pPr>
    </w:p>
    <w:p>
      <w:pPr>
        <w:pStyle w:val="BodyText"/>
        <w:spacing w:line="240" w:lineRule="auto" w:before="36"/>
        <w:ind w:left="216" w:right="0"/>
        <w:jc w:val="left"/>
      </w:pPr>
      <w:r>
        <w:rPr/>
        <w:pict>
          <v:group style="position:absolute;margin-left:276.290009pt;margin-top:19.103676pt;width:.5pt;height:98.2pt;mso-position-horizontal-relative:page;mso-position-vertical-relative:paragraph;z-index:-1319440" coordorigin="5526,382" coordsize="10,1964">
            <v:shape style="position:absolute;left:5526;top:382;width:10;height:2" type="#_x0000_t75" stroked="false">
              <v:imagedata r:id="rId55" o:title=""/>
            </v:shape>
            <v:group style="position:absolute;left:5526;top:404;width:10;height:20" coordorigin="5526,404" coordsize="10,20">
              <v:shape style="position:absolute;left:5526;top:404;width:10;height:20" coordorigin="5526,404" coordsize="10,20" path="m5526,423l5535,423,5535,404,5526,404,5526,423xe" filled="true" fillcolor="#000000" stroked="false">
                <v:path arrowok="t"/>
                <v:fill type="solid"/>
              </v:shape>
            </v:group>
            <v:group style="position:absolute;left:5526;top:423;width:10;height:20" coordorigin="5526,423" coordsize="10,20">
              <v:shape style="position:absolute;left:5526;top:423;width:10;height:20" coordorigin="5526,423" coordsize="10,20" path="m5526,442l5535,442,5535,423,5526,423,5526,442xe" filled="true" fillcolor="#000000" stroked="false">
                <v:path arrowok="t"/>
                <v:fill type="solid"/>
              </v:shape>
            </v:group>
            <v:group style="position:absolute;left:5526;top:442;width:10;height:20" coordorigin="5526,442" coordsize="10,20">
              <v:shape style="position:absolute;left:5526;top:442;width:10;height:20" coordorigin="5526,442" coordsize="10,20" path="m5526,461l5535,461,5535,442,5526,442,5526,461xe" filled="true" fillcolor="#000000" stroked="false">
                <v:path arrowok="t"/>
                <v:fill type="solid"/>
              </v:shape>
            </v:group>
            <v:group style="position:absolute;left:5526;top:461;width:10;height:20" coordorigin="5526,461" coordsize="10,20">
              <v:shape style="position:absolute;left:5526;top:461;width:10;height:20" coordorigin="5526,461" coordsize="10,20" path="m5526,480l5535,480,5535,461,5526,461,5526,480xe" filled="true" fillcolor="#000000" stroked="false">
                <v:path arrowok="t"/>
                <v:fill type="solid"/>
              </v:shape>
            </v:group>
            <v:group style="position:absolute;left:5526;top:480;width:10;height:20" coordorigin="5526,480" coordsize="10,20">
              <v:shape style="position:absolute;left:5526;top:480;width:10;height:20" coordorigin="5526,480" coordsize="10,20" path="m5526,500l5535,500,5535,480,5526,480,5526,500xe" filled="true" fillcolor="#000000" stroked="false">
                <v:path arrowok="t"/>
                <v:fill type="solid"/>
              </v:shape>
            </v:group>
            <v:group style="position:absolute;left:5526;top:500;width:10;height:20" coordorigin="5526,500" coordsize="10,20">
              <v:shape style="position:absolute;left:5526;top:500;width:10;height:20" coordorigin="5526,500" coordsize="10,20" path="m5526,519l5535,519,5535,500,5526,500,5526,519xe" filled="true" fillcolor="#000000" stroked="false">
                <v:path arrowok="t"/>
                <v:fill type="solid"/>
              </v:shape>
            </v:group>
            <v:group style="position:absolute;left:5526;top:519;width:10;height:20" coordorigin="5526,519" coordsize="10,20">
              <v:shape style="position:absolute;left:5526;top:519;width:10;height:20" coordorigin="5526,519" coordsize="10,20" path="m5526,538l5535,538,5535,519,5526,519,5526,538xe" filled="true" fillcolor="#000000" stroked="false">
                <v:path arrowok="t"/>
                <v:fill type="solid"/>
              </v:shape>
            </v:group>
            <v:group style="position:absolute;left:5526;top:538;width:10;height:20" coordorigin="5526,538" coordsize="10,20">
              <v:shape style="position:absolute;left:5526;top:538;width:10;height:20" coordorigin="5526,538" coordsize="10,20" path="m5526,557l5535,557,5535,538,5526,538,5526,557xe" filled="true" fillcolor="#000000" stroked="false">
                <v:path arrowok="t"/>
                <v:fill type="solid"/>
              </v:shape>
            </v:group>
            <v:group style="position:absolute;left:5526;top:557;width:10;height:20" coordorigin="5526,557" coordsize="10,20">
              <v:shape style="position:absolute;left:5526;top:557;width:10;height:20" coordorigin="5526,557" coordsize="10,20" path="m5526,576l5535,576,5535,557,5526,557,5526,576xe" filled="true" fillcolor="#000000" stroked="false">
                <v:path arrowok="t"/>
                <v:fill type="solid"/>
              </v:shape>
            </v:group>
            <v:group style="position:absolute;left:5526;top:576;width:10;height:20" coordorigin="5526,576" coordsize="10,20">
              <v:shape style="position:absolute;left:5526;top:576;width:10;height:20" coordorigin="5526,576" coordsize="10,20" path="m5526,596l5535,596,5535,576,5526,576,5526,596xe" filled="true" fillcolor="#000000" stroked="false">
                <v:path arrowok="t"/>
                <v:fill type="solid"/>
              </v:shape>
            </v:group>
            <v:group style="position:absolute;left:5526;top:596;width:10;height:20" coordorigin="5526,596" coordsize="10,20">
              <v:shape style="position:absolute;left:5526;top:596;width:10;height:20" coordorigin="5526,596" coordsize="10,20" path="m5526,615l5535,615,5535,596,5526,596,5526,615xe" filled="true" fillcolor="#000000" stroked="false">
                <v:path arrowok="t"/>
                <v:fill type="solid"/>
              </v:shape>
            </v:group>
            <v:group style="position:absolute;left:5526;top:615;width:10;height:20" coordorigin="5526,615" coordsize="10,20">
              <v:shape style="position:absolute;left:5526;top:615;width:10;height:20" coordorigin="5526,615" coordsize="10,20" path="m5526,634l5535,634,5535,615,5526,615,5526,634xe" filled="true" fillcolor="#000000" stroked="false">
                <v:path arrowok="t"/>
                <v:fill type="solid"/>
              </v:shape>
            </v:group>
            <v:group style="position:absolute;left:5526;top:634;width:10;height:20" coordorigin="5526,634" coordsize="10,20">
              <v:shape style="position:absolute;left:5526;top:634;width:10;height:20" coordorigin="5526,634" coordsize="10,20" path="m5526,653l5535,653,5535,634,5526,634,5526,653xe" filled="true" fillcolor="#000000" stroked="false">
                <v:path arrowok="t"/>
                <v:fill type="solid"/>
              </v:shape>
            </v:group>
            <v:group style="position:absolute;left:5526;top:653;width:10;height:20" coordorigin="5526,653" coordsize="10,20">
              <v:shape style="position:absolute;left:5526;top:653;width:10;height:20" coordorigin="5526,653" coordsize="10,20" path="m5526,672l5535,672,5535,653,5526,653,5526,672xe" filled="true" fillcolor="#000000" stroked="false">
                <v:path arrowok="t"/>
                <v:fill type="solid"/>
              </v:shape>
            </v:group>
            <v:group style="position:absolute;left:5526;top:672;width:10;height:20" coordorigin="5526,672" coordsize="10,20">
              <v:shape style="position:absolute;left:5526;top:672;width:10;height:20" coordorigin="5526,672" coordsize="10,20" path="m5526,692l5535,692,5535,672,5526,672,5526,692xe" filled="true" fillcolor="#000000" stroked="false">
                <v:path arrowok="t"/>
                <v:fill type="solid"/>
              </v:shape>
            </v:group>
            <v:group style="position:absolute;left:5526;top:692;width:10;height:20" coordorigin="5526,692" coordsize="10,20">
              <v:shape style="position:absolute;left:5526;top:692;width:10;height:20" coordorigin="5526,692" coordsize="10,20" path="m5526,711l5535,711,5535,692,5526,692,5526,711xe" filled="true" fillcolor="#000000" stroked="false">
                <v:path arrowok="t"/>
                <v:fill type="solid"/>
              </v:shape>
            </v:group>
            <v:group style="position:absolute;left:5526;top:711;width:10;height:20" coordorigin="5526,711" coordsize="10,20">
              <v:shape style="position:absolute;left:5526;top:711;width:10;height:20" coordorigin="5526,711" coordsize="10,20" path="m5526,730l5535,730,5535,711,5526,711,5526,730xe" filled="true" fillcolor="#000000" stroked="false">
                <v:path arrowok="t"/>
                <v:fill type="solid"/>
              </v:shape>
              <v:shape style="position:absolute;left:5526;top:749;width:10;height:2" type="#_x0000_t75" stroked="false">
                <v:imagedata r:id="rId55" o:title=""/>
              </v:shape>
            </v:group>
            <v:group style="position:absolute;left:5526;top:780;width:10;height:20" coordorigin="5526,780" coordsize="10,20">
              <v:shape style="position:absolute;left:5526;top:780;width:10;height:20" coordorigin="5526,780" coordsize="10,20" path="m5526,800l5535,800,5535,780,5526,780,5526,800xe" filled="true" fillcolor="#000000" stroked="false">
                <v:path arrowok="t"/>
                <v:fill type="solid"/>
              </v:shape>
            </v:group>
            <v:group style="position:absolute;left:5526;top:800;width:10;height:20" coordorigin="5526,800" coordsize="10,20">
              <v:shape style="position:absolute;left:5526;top:800;width:10;height:20" coordorigin="5526,800" coordsize="10,20" path="m5526,819l5535,819,5535,800,5526,800,5526,819xe" filled="true" fillcolor="#000000" stroked="false">
                <v:path arrowok="t"/>
                <v:fill type="solid"/>
              </v:shape>
            </v:group>
            <v:group style="position:absolute;left:5526;top:819;width:10;height:20" coordorigin="5526,819" coordsize="10,20">
              <v:shape style="position:absolute;left:5526;top:819;width:10;height:20" coordorigin="5526,819" coordsize="10,20" path="m5526,838l5535,838,5535,819,5526,819,5526,838xe" filled="true" fillcolor="#000000" stroked="false">
                <v:path arrowok="t"/>
                <v:fill type="solid"/>
              </v:shape>
            </v:group>
            <v:group style="position:absolute;left:5526;top:838;width:10;height:20" coordorigin="5526,838" coordsize="10,20">
              <v:shape style="position:absolute;left:5526;top:838;width:10;height:20" coordorigin="5526,838" coordsize="10,20" path="m5526,857l5535,857,5535,838,5526,838,5526,857xe" filled="true" fillcolor="#000000" stroked="false">
                <v:path arrowok="t"/>
                <v:fill type="solid"/>
              </v:shape>
            </v:group>
            <v:group style="position:absolute;left:5526;top:857;width:10;height:20" coordorigin="5526,857" coordsize="10,20">
              <v:shape style="position:absolute;left:5526;top:857;width:10;height:20" coordorigin="5526,857" coordsize="10,20" path="m5526,876l5535,876,5535,857,5526,857,5526,876xe" filled="true" fillcolor="#000000" stroked="false">
                <v:path arrowok="t"/>
                <v:fill type="solid"/>
              </v:shape>
            </v:group>
            <v:group style="position:absolute;left:5526;top:876;width:10;height:20" coordorigin="5526,876" coordsize="10,20">
              <v:shape style="position:absolute;left:5526;top:876;width:10;height:20" coordorigin="5526,876" coordsize="10,20" path="m5526,896l5535,896,5535,876,5526,876,5526,896xe" filled="true" fillcolor="#000000" stroked="false">
                <v:path arrowok="t"/>
                <v:fill type="solid"/>
              </v:shape>
            </v:group>
            <v:group style="position:absolute;left:5526;top:896;width:10;height:20" coordorigin="5526,896" coordsize="10,20">
              <v:shape style="position:absolute;left:5526;top:896;width:10;height:20" coordorigin="5526,896" coordsize="10,20" path="m5526,915l5535,915,5535,896,5526,896,5526,915xe" filled="true" fillcolor="#000000" stroked="false">
                <v:path arrowok="t"/>
                <v:fill type="solid"/>
              </v:shape>
            </v:group>
            <v:group style="position:absolute;left:5526;top:915;width:10;height:20" coordorigin="5526,915" coordsize="10,20">
              <v:shape style="position:absolute;left:5526;top:915;width:10;height:20" coordorigin="5526,915" coordsize="10,20" path="m5526,934l5535,934,5535,915,5526,915,5526,934xe" filled="true" fillcolor="#000000" stroked="false">
                <v:path arrowok="t"/>
                <v:fill type="solid"/>
              </v:shape>
            </v:group>
            <v:group style="position:absolute;left:5526;top:934;width:10;height:20" coordorigin="5526,934" coordsize="10,20">
              <v:shape style="position:absolute;left:5526;top:934;width:10;height:20" coordorigin="5526,934" coordsize="10,20" path="m5526,953l5535,953,5535,934,5526,934,5526,953xe" filled="true" fillcolor="#000000" stroked="false">
                <v:path arrowok="t"/>
                <v:fill type="solid"/>
              </v:shape>
            </v:group>
            <v:group style="position:absolute;left:5526;top:953;width:10;height:20" coordorigin="5526,953" coordsize="10,20">
              <v:shape style="position:absolute;left:5526;top:953;width:10;height:20" coordorigin="5526,953" coordsize="10,20" path="m5526,972l5535,972,5535,953,5526,953,5526,972xe" filled="true" fillcolor="#000000" stroked="false">
                <v:path arrowok="t"/>
                <v:fill type="solid"/>
              </v:shape>
            </v:group>
            <v:group style="position:absolute;left:5526;top:972;width:10;height:20" coordorigin="5526,972" coordsize="10,20">
              <v:shape style="position:absolute;left:5526;top:972;width:10;height:20" coordorigin="5526,972" coordsize="10,20" path="m5526,992l5535,992,5535,972,5526,972,5526,992xe" filled="true" fillcolor="#000000" stroked="false">
                <v:path arrowok="t"/>
                <v:fill type="solid"/>
              </v:shape>
            </v:group>
            <v:group style="position:absolute;left:5526;top:992;width:10;height:20" coordorigin="5526,992" coordsize="10,20">
              <v:shape style="position:absolute;left:5526;top:992;width:10;height:20" coordorigin="5526,992" coordsize="10,20" path="m5526,1011l5535,1011,5535,992,5526,992,5526,1011xe" filled="true" fillcolor="#000000" stroked="false">
                <v:path arrowok="t"/>
                <v:fill type="solid"/>
              </v:shape>
            </v:group>
            <v:group style="position:absolute;left:5526;top:1011;width:10;height:20" coordorigin="5526,1011" coordsize="10,20">
              <v:shape style="position:absolute;left:5526;top:1011;width:10;height:20" coordorigin="5526,1011" coordsize="10,20" path="m5526,1030l5535,1030,5535,1011,5526,1011,5526,1030xe" filled="true" fillcolor="#000000" stroked="false">
                <v:path arrowok="t"/>
                <v:fill type="solid"/>
              </v:shape>
            </v:group>
            <v:group style="position:absolute;left:5526;top:1030;width:10;height:20" coordorigin="5526,1030" coordsize="10,20">
              <v:shape style="position:absolute;left:5526;top:1030;width:10;height:20" coordorigin="5526,1030" coordsize="10,20" path="m5526,1049l5535,1049,5535,1030,5526,1030,5526,1049xe" filled="true" fillcolor="#000000" stroked="false">
                <v:path arrowok="t"/>
                <v:fill type="solid"/>
              </v:shape>
            </v:group>
            <v:group style="position:absolute;left:5526;top:1049;width:10;height:20" coordorigin="5526,1049" coordsize="10,20">
              <v:shape style="position:absolute;left:5526;top:1049;width:10;height:20" coordorigin="5526,1049" coordsize="10,20" path="m5526,1068l5535,1068,5535,1049,5526,1049,5526,1068xe" filled="true" fillcolor="#000000" stroked="false">
                <v:path arrowok="t"/>
                <v:fill type="solid"/>
              </v:shape>
            </v:group>
            <v:group style="position:absolute;left:5526;top:1068;width:10;height:20" coordorigin="5526,1068" coordsize="10,20">
              <v:shape style="position:absolute;left:5526;top:1068;width:10;height:20" coordorigin="5526,1068" coordsize="10,20" path="m5526,1088l5535,1088,5535,1068,5526,1068,5526,1088xe" filled="true" fillcolor="#000000" stroked="false">
                <v:path arrowok="t"/>
                <v:fill type="solid"/>
              </v:shape>
            </v:group>
            <v:group style="position:absolute;left:5526;top:1088;width:10;height:20" coordorigin="5526,1088" coordsize="10,20">
              <v:shape style="position:absolute;left:5526;top:1088;width:10;height:20" coordorigin="5526,1088" coordsize="10,20" path="m5526,1107l5535,1107,5535,1088,5526,1088,5526,1107xe" filled="true" fillcolor="#000000" stroked="false">
                <v:path arrowok="t"/>
                <v:fill type="solid"/>
              </v:shape>
            </v:group>
            <v:group style="position:absolute;left:5526;top:1162;width:10;height:20" coordorigin="5526,1162" coordsize="10,20">
              <v:shape style="position:absolute;left:5526;top:1162;width:10;height:20" coordorigin="5526,1162" coordsize="10,20" path="m5526,1181l5535,1181,5535,1162,5526,1162,5526,1181xe" filled="true" fillcolor="#000000" stroked="false">
                <v:path arrowok="t"/>
                <v:fill type="solid"/>
              </v:shape>
            </v:group>
            <v:group style="position:absolute;left:5526;top:1181;width:10;height:20" coordorigin="5526,1181" coordsize="10,20">
              <v:shape style="position:absolute;left:5526;top:1181;width:10;height:20" coordorigin="5526,1181" coordsize="10,20" path="m5526,1200l5535,1200,5535,1181,5526,1181,5526,1200xe" filled="true" fillcolor="#000000" stroked="false">
                <v:path arrowok="t"/>
                <v:fill type="solid"/>
              </v:shape>
            </v:group>
            <v:group style="position:absolute;left:5526;top:1200;width:10;height:20" coordorigin="5526,1200" coordsize="10,20">
              <v:shape style="position:absolute;left:5526;top:1200;width:10;height:20" coordorigin="5526,1200" coordsize="10,20" path="m5526,1220l5535,1220,5535,1200,5526,1200,5526,1220xe" filled="true" fillcolor="#000000" stroked="false">
                <v:path arrowok="t"/>
                <v:fill type="solid"/>
              </v:shape>
            </v:group>
            <v:group style="position:absolute;left:5526;top:1220;width:10;height:20" coordorigin="5526,1220" coordsize="10,20">
              <v:shape style="position:absolute;left:5526;top:1220;width:10;height:20" coordorigin="5526,1220" coordsize="10,20" path="m5526,1239l5535,1239,5535,1220,5526,1220,5526,1239xe" filled="true" fillcolor="#000000" stroked="false">
                <v:path arrowok="t"/>
                <v:fill type="solid"/>
              </v:shape>
            </v:group>
            <v:group style="position:absolute;left:5526;top:1239;width:10;height:20" coordorigin="5526,1239" coordsize="10,20">
              <v:shape style="position:absolute;left:5526;top:1239;width:10;height:20" coordorigin="5526,1239" coordsize="10,20" path="m5526,1258l5535,1258,5535,1239,5526,1239,5526,1258xe" filled="true" fillcolor="#000000" stroked="false">
                <v:path arrowok="t"/>
                <v:fill type="solid"/>
              </v:shape>
            </v:group>
            <v:group style="position:absolute;left:5526;top:1258;width:10;height:20" coordorigin="5526,1258" coordsize="10,20">
              <v:shape style="position:absolute;left:5526;top:1258;width:10;height:20" coordorigin="5526,1258" coordsize="10,20" path="m5526,1277l5535,1277,5535,1258,5526,1258,5526,1277xe" filled="true" fillcolor="#000000" stroked="false">
                <v:path arrowok="t"/>
                <v:fill type="solid"/>
              </v:shape>
            </v:group>
            <v:group style="position:absolute;left:5526;top:1277;width:10;height:20" coordorigin="5526,1277" coordsize="10,20">
              <v:shape style="position:absolute;left:5526;top:1277;width:10;height:20" coordorigin="5526,1277" coordsize="10,20" path="m5526,1296l5535,1296,5535,1277,5526,1277,5526,1296xe" filled="true" fillcolor="#000000" stroked="false">
                <v:path arrowok="t"/>
                <v:fill type="solid"/>
              </v:shape>
            </v:group>
            <v:group style="position:absolute;left:5526;top:1296;width:10;height:20" coordorigin="5526,1296" coordsize="10,20">
              <v:shape style="position:absolute;left:5526;top:1296;width:10;height:20" coordorigin="5526,1296" coordsize="10,20" path="m5526,1316l5535,1316,5535,1296,5526,1296,5526,1316xe" filled="true" fillcolor="#000000" stroked="false">
                <v:path arrowok="t"/>
                <v:fill type="solid"/>
              </v:shape>
            </v:group>
            <v:group style="position:absolute;left:5526;top:1316;width:10;height:20" coordorigin="5526,1316" coordsize="10,20">
              <v:shape style="position:absolute;left:5526;top:1316;width:10;height:20" coordorigin="5526,1316" coordsize="10,20" path="m5526,1335l5535,1335,5535,1316,5526,1316,5526,1335xe" filled="true" fillcolor="#000000" stroked="false">
                <v:path arrowok="t"/>
                <v:fill type="solid"/>
              </v:shape>
            </v:group>
            <v:group style="position:absolute;left:5526;top:1335;width:10;height:20" coordorigin="5526,1335" coordsize="10,20">
              <v:shape style="position:absolute;left:5526;top:1335;width:10;height:20" coordorigin="5526,1335" coordsize="10,20" path="m5526,1354l5535,1354,5535,1335,5526,1335,5526,1354xe" filled="true" fillcolor="#000000" stroked="false">
                <v:path arrowok="t"/>
                <v:fill type="solid"/>
              </v:shape>
            </v:group>
            <v:group style="position:absolute;left:5526;top:1354;width:10;height:20" coordorigin="5526,1354" coordsize="10,20">
              <v:shape style="position:absolute;left:5526;top:1354;width:10;height:20" coordorigin="5526,1354" coordsize="10,20" path="m5526,1373l5535,1373,5535,1354,5526,1354,5526,1373xe" filled="true" fillcolor="#000000" stroked="false">
                <v:path arrowok="t"/>
                <v:fill type="solid"/>
              </v:shape>
            </v:group>
            <v:group style="position:absolute;left:5526;top:1373;width:10;height:20" coordorigin="5526,1373" coordsize="10,20">
              <v:shape style="position:absolute;left:5526;top:1373;width:10;height:20" coordorigin="5526,1373" coordsize="10,20" path="m5526,1392l5535,1392,5535,1373,5526,1373,5526,1392xe" filled="true" fillcolor="#000000" stroked="false">
                <v:path arrowok="t"/>
                <v:fill type="solid"/>
              </v:shape>
            </v:group>
            <v:group style="position:absolute;left:5526;top:1392;width:10;height:20" coordorigin="5526,1392" coordsize="10,20">
              <v:shape style="position:absolute;left:5526;top:1392;width:10;height:20" coordorigin="5526,1392" coordsize="10,20" path="m5526,1412l5535,1412,5535,1392,5526,1392,5526,1412xe" filled="true" fillcolor="#000000" stroked="false">
                <v:path arrowok="t"/>
                <v:fill type="solid"/>
              </v:shape>
            </v:group>
            <v:group style="position:absolute;left:5526;top:1412;width:10;height:20" coordorigin="5526,1412" coordsize="10,20">
              <v:shape style="position:absolute;left:5526;top:1412;width:10;height:20" coordorigin="5526,1412" coordsize="10,20" path="m5526,1431l5535,1431,5535,1412,5526,1412,5526,1431xe" filled="true" fillcolor="#000000" stroked="false">
                <v:path arrowok="t"/>
                <v:fill type="solid"/>
              </v:shape>
            </v:group>
            <v:group style="position:absolute;left:5526;top:1431;width:10;height:20" coordorigin="5526,1431" coordsize="10,20">
              <v:shape style="position:absolute;left:5526;top:1431;width:10;height:20" coordorigin="5526,1431" coordsize="10,20" path="m5526,1450l5535,1450,5535,1431,5526,1431,5526,1450xe" filled="true" fillcolor="#000000" stroked="false">
                <v:path arrowok="t"/>
                <v:fill type="solid"/>
              </v:shape>
            </v:group>
            <v:group style="position:absolute;left:5526;top:1450;width:10;height:20" coordorigin="5526,1450" coordsize="10,20">
              <v:shape style="position:absolute;left:5526;top:1450;width:10;height:20" coordorigin="5526,1450" coordsize="10,20" path="m5526,1469l5535,1469,5535,1450,5526,1450,5526,1469xe" filled="true" fillcolor="#000000" stroked="false">
                <v:path arrowok="t"/>
                <v:fill type="solid"/>
              </v:shape>
            </v:group>
            <v:group style="position:absolute;left:5526;top:1469;width:10;height:20" coordorigin="5526,1469" coordsize="10,20">
              <v:shape style="position:absolute;left:5526;top:1469;width:10;height:20" coordorigin="5526,1469" coordsize="10,20" path="m5526,1488l5535,1488,5535,1469,5526,1469,5526,1488xe" filled="true" fillcolor="#000000" stroked="false">
                <v:path arrowok="t"/>
                <v:fill type="solid"/>
              </v:shape>
            </v:group>
            <v:group style="position:absolute;left:5526;top:1488;width:10;height:20" coordorigin="5526,1488" coordsize="10,20">
              <v:shape style="position:absolute;left:5526;top:1488;width:10;height:20" coordorigin="5526,1488" coordsize="10,20" path="m5526,1508l5535,1508,5535,1488,5526,1488,5526,1508xe" filled="true" fillcolor="#000000" stroked="false">
                <v:path arrowok="t"/>
                <v:fill type="solid"/>
              </v:shape>
            </v:group>
            <v:group style="position:absolute;left:5526;top:1572;width:10;height:20" coordorigin="5526,1572" coordsize="10,20">
              <v:shape style="position:absolute;left:5526;top:1572;width:10;height:20" coordorigin="5526,1572" coordsize="10,20" path="m5526,1592l5535,1592,5535,1572,5526,1572,5526,1592xe" filled="true" fillcolor="#000000" stroked="false">
                <v:path arrowok="t"/>
                <v:fill type="solid"/>
              </v:shape>
            </v:group>
            <v:group style="position:absolute;left:5526;top:1592;width:10;height:20" coordorigin="5526,1592" coordsize="10,20">
              <v:shape style="position:absolute;left:5526;top:1592;width:10;height:20" coordorigin="5526,1592" coordsize="10,20" path="m5526,1611l5535,1611,5535,1592,5526,1592,5526,1611xe" filled="true" fillcolor="#000000" stroked="false">
                <v:path arrowok="t"/>
                <v:fill type="solid"/>
              </v:shape>
            </v:group>
            <v:group style="position:absolute;left:5526;top:1611;width:10;height:20" coordorigin="5526,1611" coordsize="10,20">
              <v:shape style="position:absolute;left:5526;top:1611;width:10;height:20" coordorigin="5526,1611" coordsize="10,20" path="m5526,1630l5535,1630,5535,1611,5526,1611,5526,1630xe" filled="true" fillcolor="#000000" stroked="false">
                <v:path arrowok="t"/>
                <v:fill type="solid"/>
              </v:shape>
            </v:group>
            <v:group style="position:absolute;left:5526;top:1630;width:10;height:20" coordorigin="5526,1630" coordsize="10,20">
              <v:shape style="position:absolute;left:5526;top:1630;width:10;height:20" coordorigin="5526,1630" coordsize="10,20" path="m5526,1649l5535,1649,5535,1630,5526,1630,5526,1649xe" filled="true" fillcolor="#000000" stroked="false">
                <v:path arrowok="t"/>
                <v:fill type="solid"/>
              </v:shape>
            </v:group>
            <v:group style="position:absolute;left:5526;top:1649;width:10;height:20" coordorigin="5526,1649" coordsize="10,20">
              <v:shape style="position:absolute;left:5526;top:1649;width:10;height:20" coordorigin="5526,1649" coordsize="10,20" path="m5526,1668l5535,1668,5535,1649,5526,1649,5526,1668xe" filled="true" fillcolor="#000000" stroked="false">
                <v:path arrowok="t"/>
                <v:fill type="solid"/>
              </v:shape>
            </v:group>
            <v:group style="position:absolute;left:5526;top:1668;width:10;height:20" coordorigin="5526,1668" coordsize="10,20">
              <v:shape style="position:absolute;left:5526;top:1668;width:10;height:20" coordorigin="5526,1668" coordsize="10,20" path="m5526,1688l5535,1688,5535,1668,5526,1668,5526,1688xe" filled="true" fillcolor="#000000" stroked="false">
                <v:path arrowok="t"/>
                <v:fill type="solid"/>
              </v:shape>
            </v:group>
            <v:group style="position:absolute;left:5526;top:1688;width:10;height:20" coordorigin="5526,1688" coordsize="10,20">
              <v:shape style="position:absolute;left:5526;top:1688;width:10;height:20" coordorigin="5526,1688" coordsize="10,20" path="m5526,1707l5535,1707,5535,1688,5526,1688,5526,1707xe" filled="true" fillcolor="#000000" stroked="false">
                <v:path arrowok="t"/>
                <v:fill type="solid"/>
              </v:shape>
            </v:group>
            <v:group style="position:absolute;left:5526;top:1707;width:10;height:20" coordorigin="5526,1707" coordsize="10,20">
              <v:shape style="position:absolute;left:5526;top:1707;width:10;height:20" coordorigin="5526,1707" coordsize="10,20" path="m5526,1726l5535,1726,5535,1707,5526,1707,5526,1726xe" filled="true" fillcolor="#000000" stroked="false">
                <v:path arrowok="t"/>
                <v:fill type="solid"/>
              </v:shape>
            </v:group>
            <v:group style="position:absolute;left:5526;top:1726;width:10;height:20" coordorigin="5526,1726" coordsize="10,20">
              <v:shape style="position:absolute;left:5526;top:1726;width:10;height:20" coordorigin="5526,1726" coordsize="10,20" path="m5526,1745l5535,1745,5535,1726,5526,1726,5526,1745xe" filled="true" fillcolor="#000000" stroked="false">
                <v:path arrowok="t"/>
                <v:fill type="solid"/>
              </v:shape>
            </v:group>
            <v:group style="position:absolute;left:5526;top:1745;width:10;height:20" coordorigin="5526,1745" coordsize="10,20">
              <v:shape style="position:absolute;left:5526;top:1745;width:10;height:20" coordorigin="5526,1745" coordsize="10,20" path="m5526,1764l5535,1764,5535,1745,5526,1745,5526,1764xe" filled="true" fillcolor="#000000" stroked="false">
                <v:path arrowok="t"/>
                <v:fill type="solid"/>
              </v:shape>
            </v:group>
            <v:group style="position:absolute;left:5526;top:1764;width:10;height:20" coordorigin="5526,1764" coordsize="10,20">
              <v:shape style="position:absolute;left:5526;top:1764;width:10;height:20" coordorigin="5526,1764" coordsize="10,20" path="m5526,1784l5535,1784,5535,1764,5526,1764,5526,1784xe" filled="true" fillcolor="#000000" stroked="false">
                <v:path arrowok="t"/>
                <v:fill type="solid"/>
              </v:shape>
            </v:group>
            <v:group style="position:absolute;left:5526;top:1784;width:10;height:20" coordorigin="5526,1784" coordsize="10,20">
              <v:shape style="position:absolute;left:5526;top:1784;width:10;height:20" coordorigin="5526,1784" coordsize="10,20" path="m5526,1803l5535,1803,5535,1784,5526,1784,5526,1803xe" filled="true" fillcolor="#000000" stroked="false">
                <v:path arrowok="t"/>
                <v:fill type="solid"/>
              </v:shape>
            </v:group>
            <v:group style="position:absolute;left:5526;top:1803;width:10;height:20" coordorigin="5526,1803" coordsize="10,20">
              <v:shape style="position:absolute;left:5526;top:1803;width:10;height:20" coordorigin="5526,1803" coordsize="10,20" path="m5526,1822l5535,1822,5535,1803,5526,1803,5526,1822xe" filled="true" fillcolor="#000000" stroked="false">
                <v:path arrowok="t"/>
                <v:fill type="solid"/>
              </v:shape>
            </v:group>
            <v:group style="position:absolute;left:5526;top:1822;width:10;height:20" coordorigin="5526,1822" coordsize="10,20">
              <v:shape style="position:absolute;left:5526;top:1822;width:10;height:20" coordorigin="5526,1822" coordsize="10,20" path="m5526,1841l5535,1841,5535,1822,5526,1822,5526,1841xe" filled="true" fillcolor="#000000" stroked="false">
                <v:path arrowok="t"/>
                <v:fill type="solid"/>
              </v:shape>
            </v:group>
            <v:group style="position:absolute;left:5526;top:1841;width:10;height:20" coordorigin="5526,1841" coordsize="10,20">
              <v:shape style="position:absolute;left:5526;top:1841;width:10;height:20" coordorigin="5526,1841" coordsize="10,20" path="m5526,1860l5535,1860,5535,1841,5526,1841,5526,1860xe" filled="true" fillcolor="#000000" stroked="false">
                <v:path arrowok="t"/>
                <v:fill type="solid"/>
              </v:shape>
            </v:group>
            <v:group style="position:absolute;left:5526;top:1860;width:10;height:20" coordorigin="5526,1860" coordsize="10,20">
              <v:shape style="position:absolute;left:5526;top:1860;width:10;height:20" coordorigin="5526,1860" coordsize="10,20" path="m5526,1880l5535,1880,5535,1860,5526,1860,5526,1880xe" filled="true" fillcolor="#000000" stroked="false">
                <v:path arrowok="t"/>
                <v:fill type="solid"/>
              </v:shape>
            </v:group>
            <v:group style="position:absolute;left:5526;top:1880;width:10;height:20" coordorigin="5526,1880" coordsize="10,20">
              <v:shape style="position:absolute;left:5526;top:1880;width:10;height:20" coordorigin="5526,1880" coordsize="10,20" path="m5526,1899l5535,1899,5535,1880,5526,1880,5526,1899xe" filled="true" fillcolor="#000000" stroked="false">
                <v:path arrowok="t"/>
                <v:fill type="solid"/>
              </v:shape>
            </v:group>
            <v:group style="position:absolute;left:5526;top:1899;width:10;height:20" coordorigin="5526,1899" coordsize="10,20">
              <v:shape style="position:absolute;left:5526;top:1899;width:10;height:20" coordorigin="5526,1899" coordsize="10,20" path="m5526,1918l5535,1918,5535,1899,5526,1899,5526,1918xe" filled="true" fillcolor="#000000" stroked="false">
                <v:path arrowok="t"/>
                <v:fill type="solid"/>
              </v:shape>
            </v:group>
            <v:group style="position:absolute;left:5526;top:1980;width:10;height:20" coordorigin="5526,1980" coordsize="10,20">
              <v:shape style="position:absolute;left:5526;top:1980;width:10;height:20" coordorigin="5526,1980" coordsize="10,20" path="m5526,2000l5535,2000,5535,1980,5526,1980,5526,2000xe" filled="true" fillcolor="#000000" stroked="false">
                <v:path arrowok="t"/>
                <v:fill type="solid"/>
              </v:shape>
            </v:group>
            <v:group style="position:absolute;left:5526;top:2000;width:10;height:20" coordorigin="5526,2000" coordsize="10,20">
              <v:shape style="position:absolute;left:5526;top:2000;width:10;height:20" coordorigin="5526,2000" coordsize="10,20" path="m5526,2019l5535,2019,5535,2000,5526,2000,5526,2019xe" filled="true" fillcolor="#000000" stroked="false">
                <v:path arrowok="t"/>
                <v:fill type="solid"/>
              </v:shape>
            </v:group>
            <v:group style="position:absolute;left:5526;top:2019;width:10;height:20" coordorigin="5526,2019" coordsize="10,20">
              <v:shape style="position:absolute;left:5526;top:2019;width:10;height:20" coordorigin="5526,2019" coordsize="10,20" path="m5526,2038l5535,2038,5535,2019,5526,2019,5526,2038xe" filled="true" fillcolor="#000000" stroked="false">
                <v:path arrowok="t"/>
                <v:fill type="solid"/>
              </v:shape>
            </v:group>
            <v:group style="position:absolute;left:5526;top:2038;width:10;height:20" coordorigin="5526,2038" coordsize="10,20">
              <v:shape style="position:absolute;left:5526;top:2038;width:10;height:20" coordorigin="5526,2038" coordsize="10,20" path="m5526,2057l5535,2057,5535,2038,5526,2038,5526,2057xe" filled="true" fillcolor="#000000" stroked="false">
                <v:path arrowok="t"/>
                <v:fill type="solid"/>
              </v:shape>
            </v:group>
            <v:group style="position:absolute;left:5526;top:2057;width:10;height:20" coordorigin="5526,2057" coordsize="10,20">
              <v:shape style="position:absolute;left:5526;top:2057;width:10;height:20" coordorigin="5526,2057" coordsize="10,20" path="m5526,2076l5535,2076,5535,2057,5526,2057,5526,2076xe" filled="true" fillcolor="#000000" stroked="false">
                <v:path arrowok="t"/>
                <v:fill type="solid"/>
              </v:shape>
            </v:group>
            <v:group style="position:absolute;left:5526;top:2076;width:10;height:20" coordorigin="5526,2076" coordsize="10,20">
              <v:shape style="position:absolute;left:5526;top:2076;width:10;height:20" coordorigin="5526,2076" coordsize="10,20" path="m5526,2096l5535,2096,5535,2076,5526,2076,5526,2096xe" filled="true" fillcolor="#000000" stroked="false">
                <v:path arrowok="t"/>
                <v:fill type="solid"/>
              </v:shape>
            </v:group>
            <v:group style="position:absolute;left:5526;top:2096;width:10;height:20" coordorigin="5526,2096" coordsize="10,20">
              <v:shape style="position:absolute;left:5526;top:2096;width:10;height:20" coordorigin="5526,2096" coordsize="10,20" path="m5526,2115l5535,2115,5535,2096,5526,2096,5526,2115xe" filled="true" fillcolor="#000000" stroked="false">
                <v:path arrowok="t"/>
                <v:fill type="solid"/>
              </v:shape>
            </v:group>
            <v:group style="position:absolute;left:5526;top:2115;width:10;height:20" coordorigin="5526,2115" coordsize="10,20">
              <v:shape style="position:absolute;left:5526;top:2115;width:10;height:20" coordorigin="5526,2115" coordsize="10,20" path="m5526,2134l5535,2134,5535,2115,5526,2115,5526,2134xe" filled="true" fillcolor="#000000" stroked="false">
                <v:path arrowok="t"/>
                <v:fill type="solid"/>
              </v:shape>
            </v:group>
            <v:group style="position:absolute;left:5526;top:2134;width:10;height:20" coordorigin="5526,2134" coordsize="10,20">
              <v:shape style="position:absolute;left:5526;top:2134;width:10;height:20" coordorigin="5526,2134" coordsize="10,20" path="m5526,2153l5535,2153,5535,2134,5526,2134,5526,2153xe" filled="true" fillcolor="#000000" stroked="false">
                <v:path arrowok="t"/>
                <v:fill type="solid"/>
              </v:shape>
            </v:group>
            <v:group style="position:absolute;left:5526;top:2153;width:10;height:20" coordorigin="5526,2153" coordsize="10,20">
              <v:shape style="position:absolute;left:5526;top:2153;width:10;height:20" coordorigin="5526,2153" coordsize="10,20" path="m5526,2172l5535,2172,5535,2153,5526,2153,5526,2172xe" filled="true" fillcolor="#000000" stroked="false">
                <v:path arrowok="t"/>
                <v:fill type="solid"/>
              </v:shape>
            </v:group>
            <v:group style="position:absolute;left:5526;top:2172;width:10;height:20" coordorigin="5526,2172" coordsize="10,20">
              <v:shape style="position:absolute;left:5526;top:2172;width:10;height:20" coordorigin="5526,2172" coordsize="10,20" path="m5526,2192l5535,2192,5535,2172,5526,2172,5526,2192xe" filled="true" fillcolor="#000000" stroked="false">
                <v:path arrowok="t"/>
                <v:fill type="solid"/>
              </v:shape>
            </v:group>
            <v:group style="position:absolute;left:5526;top:2192;width:10;height:20" coordorigin="5526,2192" coordsize="10,20">
              <v:shape style="position:absolute;left:5526;top:2192;width:10;height:20" coordorigin="5526,2192" coordsize="10,20" path="m5526,2211l5535,2211,5535,2192,5526,2192,5526,2211xe" filled="true" fillcolor="#000000" stroked="false">
                <v:path arrowok="t"/>
                <v:fill type="solid"/>
              </v:shape>
            </v:group>
            <v:group style="position:absolute;left:5526;top:2211;width:10;height:20" coordorigin="5526,2211" coordsize="10,20">
              <v:shape style="position:absolute;left:5526;top:2211;width:10;height:20" coordorigin="5526,2211" coordsize="10,20" path="m5526,2230l5535,2230,5535,2211,5526,2211,5526,2230xe" filled="true" fillcolor="#000000" stroked="false">
                <v:path arrowok="t"/>
                <v:fill type="solid"/>
              </v:shape>
            </v:group>
            <v:group style="position:absolute;left:5526;top:2230;width:10;height:20" coordorigin="5526,2230" coordsize="10,20">
              <v:shape style="position:absolute;left:5526;top:2230;width:10;height:20" coordorigin="5526,2230" coordsize="10,20" path="m5526,2249l5535,2249,5535,2230,5526,2230,5526,2249xe" filled="true" fillcolor="#000000" stroked="false">
                <v:path arrowok="t"/>
                <v:fill type="solid"/>
              </v:shape>
            </v:group>
            <v:group style="position:absolute;left:5526;top:2249;width:10;height:20" coordorigin="5526,2249" coordsize="10,20">
              <v:shape style="position:absolute;left:5526;top:2249;width:10;height:20" coordorigin="5526,2249" coordsize="10,20" path="m5526,2268l5535,2268,5535,2249,5526,2249,5526,2268xe" filled="true" fillcolor="#000000" stroked="false">
                <v:path arrowok="t"/>
                <v:fill type="solid"/>
              </v:shape>
            </v:group>
            <v:group style="position:absolute;left:5526;top:2268;width:10;height:20" coordorigin="5526,2268" coordsize="10,20">
              <v:shape style="position:absolute;left:5526;top:2268;width:10;height:20" coordorigin="5526,2268" coordsize="10,20" path="m5526,2288l5535,2288,5535,2268,5526,2268,5526,2288xe" filled="true" fillcolor="#000000" stroked="false">
                <v:path arrowok="t"/>
                <v:fill type="solid"/>
              </v:shape>
            </v:group>
            <v:group style="position:absolute;left:5526;top:2288;width:10;height:20" coordorigin="5526,2288" coordsize="10,20">
              <v:shape style="position:absolute;left:5526;top:2288;width:10;height:20" coordorigin="5526,2288" coordsize="10,20" path="m5526,2307l5535,2307,5535,2288,5526,2288,5526,2307xe" filled="true" fillcolor="#000000" stroked="false">
                <v:path arrowok="t"/>
                <v:fill type="solid"/>
              </v:shape>
            </v:group>
            <v:group style="position:absolute;left:5526;top:2307;width:10;height:20" coordorigin="5526,2307" coordsize="10,20">
              <v:shape style="position:absolute;left:5526;top:2307;width:10;height:20" coordorigin="5526,2307" coordsize="10,20" path="m5526,2326l5535,2326,5535,2307,5526,2307,5526,2326xe" filled="true" fillcolor="#000000" stroked="false">
                <v:path arrowok="t"/>
                <v:fill type="solid"/>
              </v:shape>
            </v:group>
            <v:group style="position:absolute;left:5526;top:2326;width:10;height:20" coordorigin="5526,2326" coordsize="10,20">
              <v:shape style="position:absolute;left:5526;top:2326;width:10;height:20" coordorigin="5526,2326" coordsize="10,20" path="m5526,2345l5535,2345,5535,2326,5526,2326,5526,2345xe" filled="true" fillcolor="#000000" stroked="false">
                <v:path arrowok="t"/>
                <v:fill type="solid"/>
              </v:shape>
            </v:group>
            <w10:wrap type="none"/>
          </v:group>
        </w:pict>
      </w:r>
      <w:r>
        <w:rPr/>
        <w:t>组合中，采用账龄分析法计提坏账准备的：</w:t>
      </w:r>
    </w:p>
    <w:p>
      <w:pPr>
        <w:spacing w:line="240" w:lineRule="auto" w:before="3"/>
        <w:rPr>
          <w:rFonts w:ascii="宋体" w:hAnsi="宋体" w:cs="宋体" w:eastAsia="宋体" w:hint="default"/>
          <w:sz w:val="3"/>
          <w:szCs w:val="3"/>
        </w:rPr>
      </w:pPr>
    </w:p>
    <w:tbl>
      <w:tblPr>
        <w:tblW w:w="0" w:type="auto"/>
        <w:jc w:val="left"/>
        <w:tblInd w:w="1493" w:type="dxa"/>
        <w:tblLayout w:type="fixed"/>
        <w:tblCellMar>
          <w:top w:w="0" w:type="dxa"/>
          <w:left w:w="0" w:type="dxa"/>
          <w:bottom w:w="0" w:type="dxa"/>
          <w:right w:w="0" w:type="dxa"/>
        </w:tblCellMar>
        <w:tblLook w:val="01E0"/>
      </w:tblPr>
      <w:tblGrid>
        <w:gridCol w:w="2815"/>
        <w:gridCol w:w="3708"/>
      </w:tblGrid>
      <w:tr>
        <w:trPr>
          <w:trHeight w:val="389" w:hRule="exact"/>
        </w:trPr>
        <w:tc>
          <w:tcPr>
            <w:tcW w:w="2815" w:type="dxa"/>
            <w:tcBorders>
              <w:top w:val="single" w:sz="12" w:space="0" w:color="000000"/>
              <w:left w:val="nil" w:sz="6" w:space="0" w:color="auto"/>
              <w:bottom w:val="single" w:sz="4" w:space="0" w:color="000000"/>
              <w:right w:val="nil" w:sz="6" w:space="0" w:color="auto"/>
            </w:tcBorders>
          </w:tcPr>
          <w:p>
            <w:pPr>
              <w:pStyle w:val="TableParagraph"/>
              <w:spacing w:line="240" w:lineRule="auto" w:before="87"/>
              <w:ind w:left="156"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708" w:type="dxa"/>
            <w:tcBorders>
              <w:top w:val="single" w:sz="12" w:space="0" w:color="000000"/>
              <w:left w:val="nil" w:sz="6" w:space="0" w:color="auto"/>
              <w:bottom w:val="single" w:sz="8" w:space="0" w:color="000000"/>
              <w:right w:val="nil" w:sz="6" w:space="0" w:color="auto"/>
            </w:tcBorders>
          </w:tcPr>
          <w:p>
            <w:pPr>
              <w:pStyle w:val="TableParagraph"/>
              <w:spacing w:line="240" w:lineRule="auto" w:before="87"/>
              <w:ind w:left="26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应收账款计提比例</w:t>
            </w:r>
            <w:r>
              <w:rPr>
                <w:rFonts w:ascii="Times New Roman" w:hAnsi="Times New Roman" w:cs="Times New Roman" w:eastAsia="Times New Roman" w:hint="default"/>
                <w:sz w:val="18"/>
                <w:szCs w:val="18"/>
              </w:rPr>
              <w:t>(%)</w:t>
            </w:r>
          </w:p>
        </w:tc>
      </w:tr>
      <w:tr>
        <w:trPr>
          <w:trHeight w:val="382" w:hRule="exact"/>
        </w:trPr>
        <w:tc>
          <w:tcPr>
            <w:tcW w:w="2815" w:type="dxa"/>
            <w:tcBorders>
              <w:top w:val="single" w:sz="4" w:space="0" w:color="000000"/>
              <w:left w:val="nil" w:sz="6" w:space="0" w:color="auto"/>
              <w:bottom w:val="single" w:sz="4" w:space="0" w:color="000000"/>
              <w:right w:val="nil" w:sz="6" w:space="0" w:color="auto"/>
            </w:tcBorders>
          </w:tcPr>
          <w:p>
            <w:pPr>
              <w:pStyle w:val="TableParagraph"/>
              <w:spacing w:line="240" w:lineRule="auto" w:before="89"/>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708" w:type="dxa"/>
            <w:tcBorders>
              <w:top w:val="single" w:sz="8" w:space="0" w:color="000000"/>
              <w:left w:val="nil" w:sz="6" w:space="0" w:color="auto"/>
              <w:bottom w:val="single" w:sz="8" w:space="0" w:color="000000"/>
              <w:right w:val="nil" w:sz="6" w:space="0" w:color="auto"/>
            </w:tcBorders>
          </w:tcPr>
          <w:p>
            <w:pPr>
              <w:pStyle w:val="TableParagraph"/>
              <w:spacing w:line="240" w:lineRule="auto" w:before="127"/>
              <w:ind w:left="158" w:right="0"/>
              <w:jc w:val="center"/>
              <w:rPr>
                <w:rFonts w:ascii="Times New Roman" w:hAnsi="Times New Roman" w:cs="Times New Roman" w:eastAsia="Times New Roman" w:hint="default"/>
                <w:sz w:val="18"/>
                <w:szCs w:val="18"/>
              </w:rPr>
            </w:pPr>
            <w:r>
              <w:rPr>
                <w:rFonts w:ascii="Times New Roman"/>
                <w:sz w:val="18"/>
              </w:rPr>
              <w:t>5</w:t>
            </w:r>
          </w:p>
        </w:tc>
      </w:tr>
      <w:tr>
        <w:trPr>
          <w:trHeight w:val="410" w:hRule="exact"/>
        </w:trPr>
        <w:tc>
          <w:tcPr>
            <w:tcW w:w="2815" w:type="dxa"/>
            <w:tcBorders>
              <w:top w:val="single" w:sz="4" w:space="0" w:color="000000"/>
              <w:left w:val="nil" w:sz="6" w:space="0" w:color="auto"/>
              <w:bottom w:val="single" w:sz="4" w:space="0" w:color="000000"/>
              <w:right w:val="nil" w:sz="6" w:space="0" w:color="auto"/>
            </w:tcBorders>
          </w:tcPr>
          <w:p>
            <w:pPr>
              <w:pStyle w:val="TableParagraph"/>
              <w:spacing w:line="240" w:lineRule="auto" w:before="109"/>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708" w:type="dxa"/>
            <w:tcBorders>
              <w:top w:val="single" w:sz="8" w:space="0" w:color="000000"/>
              <w:left w:val="nil" w:sz="6" w:space="0" w:color="auto"/>
              <w:bottom w:val="single" w:sz="8" w:space="0" w:color="000000"/>
              <w:right w:val="nil" w:sz="6" w:space="0" w:color="auto"/>
            </w:tcBorders>
          </w:tcPr>
          <w:p>
            <w:pPr>
              <w:pStyle w:val="TableParagraph"/>
              <w:spacing w:line="240" w:lineRule="auto" w:before="146"/>
              <w:ind w:left="163" w:right="0"/>
              <w:jc w:val="center"/>
              <w:rPr>
                <w:rFonts w:ascii="Times New Roman" w:hAnsi="Times New Roman" w:cs="Times New Roman" w:eastAsia="Times New Roman" w:hint="default"/>
                <w:sz w:val="18"/>
                <w:szCs w:val="18"/>
              </w:rPr>
            </w:pPr>
            <w:r>
              <w:rPr>
                <w:rFonts w:ascii="Times New Roman"/>
                <w:sz w:val="18"/>
              </w:rPr>
              <w:t>10</w:t>
            </w:r>
          </w:p>
        </w:tc>
      </w:tr>
      <w:tr>
        <w:trPr>
          <w:trHeight w:val="408" w:hRule="exact"/>
        </w:trPr>
        <w:tc>
          <w:tcPr>
            <w:tcW w:w="2815" w:type="dxa"/>
            <w:tcBorders>
              <w:top w:val="single" w:sz="4" w:space="0" w:color="000000"/>
              <w:left w:val="nil" w:sz="6" w:space="0" w:color="auto"/>
              <w:bottom w:val="single" w:sz="4" w:space="0" w:color="000000"/>
              <w:right w:val="nil" w:sz="6" w:space="0" w:color="auto"/>
            </w:tcBorders>
          </w:tcPr>
          <w:p>
            <w:pPr>
              <w:pStyle w:val="TableParagraph"/>
              <w:spacing w:line="240" w:lineRule="auto" w:before="109"/>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708" w:type="dxa"/>
            <w:tcBorders>
              <w:top w:val="single" w:sz="8" w:space="0" w:color="000000"/>
              <w:left w:val="nil" w:sz="6" w:space="0" w:color="auto"/>
              <w:bottom w:val="single" w:sz="8" w:space="0" w:color="000000"/>
              <w:right w:val="nil" w:sz="6" w:space="0" w:color="auto"/>
            </w:tcBorders>
          </w:tcPr>
          <w:p>
            <w:pPr>
              <w:pStyle w:val="TableParagraph"/>
              <w:spacing w:line="240" w:lineRule="auto" w:before="146"/>
              <w:ind w:left="164" w:right="0"/>
              <w:jc w:val="center"/>
              <w:rPr>
                <w:rFonts w:ascii="Times New Roman" w:hAnsi="Times New Roman" w:cs="Times New Roman" w:eastAsia="Times New Roman" w:hint="default"/>
                <w:sz w:val="18"/>
                <w:szCs w:val="18"/>
              </w:rPr>
            </w:pPr>
            <w:r>
              <w:rPr>
                <w:rFonts w:ascii="Times New Roman"/>
                <w:sz w:val="18"/>
              </w:rPr>
              <w:t>30</w:t>
            </w:r>
          </w:p>
        </w:tc>
      </w:tr>
      <w:tr>
        <w:trPr>
          <w:trHeight w:val="422" w:hRule="exact"/>
        </w:trPr>
        <w:tc>
          <w:tcPr>
            <w:tcW w:w="2815" w:type="dxa"/>
            <w:tcBorders>
              <w:top w:val="single" w:sz="4" w:space="0" w:color="000000"/>
              <w:left w:val="nil" w:sz="6" w:space="0" w:color="auto"/>
              <w:bottom w:val="single" w:sz="12" w:space="0" w:color="000000"/>
              <w:right w:val="nil" w:sz="6" w:space="0" w:color="auto"/>
            </w:tcBorders>
          </w:tcPr>
          <w:p>
            <w:pPr>
              <w:pStyle w:val="TableParagraph"/>
              <w:spacing w:line="240" w:lineRule="auto" w:before="111"/>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708" w:type="dxa"/>
            <w:tcBorders>
              <w:top w:val="single" w:sz="8" w:space="0" w:color="000000"/>
              <w:left w:val="nil" w:sz="6" w:space="0" w:color="auto"/>
              <w:bottom w:val="single" w:sz="12" w:space="0" w:color="000000"/>
              <w:right w:val="nil" w:sz="6" w:space="0" w:color="auto"/>
            </w:tcBorders>
          </w:tcPr>
          <w:p>
            <w:pPr>
              <w:pStyle w:val="TableParagraph"/>
              <w:spacing w:line="240" w:lineRule="auto" w:before="148"/>
              <w:ind w:left="164" w:right="0"/>
              <w:jc w:val="center"/>
              <w:rPr>
                <w:rFonts w:ascii="Times New Roman" w:hAnsi="Times New Roman" w:cs="Times New Roman" w:eastAsia="Times New Roman" w:hint="default"/>
                <w:sz w:val="18"/>
                <w:szCs w:val="18"/>
              </w:rPr>
            </w:pPr>
            <w:r>
              <w:rPr>
                <w:rFonts w:ascii="Times New Roman"/>
                <w:sz w:val="18"/>
              </w:rPr>
              <w:t>100</w:t>
            </w:r>
          </w:p>
        </w:tc>
      </w:tr>
    </w:tbl>
    <w:p>
      <w:pPr>
        <w:pStyle w:val="BodyText"/>
        <w:spacing w:line="350" w:lineRule="auto" w:before="93"/>
        <w:ind w:left="216" w:right="0"/>
        <w:jc w:val="left"/>
      </w:pPr>
      <w:r>
        <w:rPr>
          <w:spacing w:val="-1"/>
        </w:rPr>
        <w:t>对于应收账款，无论是否包含重大融资成分，本公司始终按照相当于整个存续期内预期信用损失</w:t>
      </w:r>
      <w:r>
        <w:rPr>
          <w:spacing w:val="-55"/>
        </w:rPr>
        <w:t> </w:t>
      </w:r>
      <w:r>
        <w:rPr>
          <w:spacing w:val="-55"/>
        </w:rPr>
      </w:r>
      <w:r>
        <w:rPr/>
        <w:t>的金额计量其损失准备。</w:t>
      </w:r>
      <w:r>
        <w:rPr>
          <w:w w:val="100"/>
        </w:rPr>
        <w:t> </w:t>
      </w:r>
      <w:r>
        <w:rPr>
          <w:spacing w:val="-1"/>
        </w:rPr>
        <w:t>对于租赁应收款、公司通过销售商品或提供劳务形成的长期应收款，本公司选择始终按照相当于</w:t>
      </w:r>
      <w:r>
        <w:rPr>
          <w:spacing w:val="-55"/>
        </w:rPr>
        <w:t> </w:t>
      </w:r>
      <w:r>
        <w:rPr>
          <w:spacing w:val="-55"/>
        </w:rPr>
      </w:r>
      <w:r>
        <w:rPr/>
        <w:t>整个存续期内预期信用损失的金额计量其损失准备。</w:t>
      </w:r>
    </w:p>
    <w:p>
      <w:pPr>
        <w:spacing w:line="340" w:lineRule="auto" w:before="27"/>
        <w:ind w:left="216"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2019</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年</w:t>
      </w:r>
      <w:r>
        <w:rPr>
          <w:rFonts w:ascii="宋体" w:hAnsi="宋体" w:cs="宋体" w:eastAsia="宋体" w:hint="default"/>
          <w:b/>
          <w:bCs/>
          <w:spacing w:val="-51"/>
          <w:sz w:val="21"/>
          <w:szCs w:val="21"/>
        </w:rPr>
        <w:t> </w:t>
      </w:r>
      <w:r>
        <w:rPr>
          <w:rFonts w:ascii="Times New Roman" w:hAnsi="Times New Roman" w:cs="Times New Roman" w:eastAsia="Times New Roman" w:hint="default"/>
          <w:b/>
          <w:bCs/>
          <w:sz w:val="21"/>
          <w:szCs w:val="21"/>
        </w:rPr>
        <w:t>1</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月</w:t>
      </w:r>
      <w:r>
        <w:rPr>
          <w:rFonts w:ascii="宋体" w:hAnsi="宋体" w:cs="宋体" w:eastAsia="宋体" w:hint="default"/>
          <w:b/>
          <w:bCs/>
          <w:spacing w:val="-54"/>
          <w:sz w:val="21"/>
          <w:szCs w:val="21"/>
        </w:rPr>
        <w:t> </w:t>
      </w:r>
      <w:r>
        <w:rPr>
          <w:rFonts w:ascii="Times New Roman" w:hAnsi="Times New Roman" w:cs="Times New Roman" w:eastAsia="Times New Roman" w:hint="default"/>
          <w:b/>
          <w:bCs/>
          <w:sz w:val="21"/>
          <w:szCs w:val="21"/>
        </w:rPr>
        <w:t>1</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日前适用的会计政策</w:t>
      </w:r>
      <w:r>
        <w:rPr>
          <w:rFonts w:ascii="宋体" w:hAnsi="宋体" w:cs="宋体" w:eastAsia="宋体" w:hint="default"/>
          <w:b/>
          <w:bCs/>
          <w:spacing w:val="-102"/>
          <w:sz w:val="21"/>
          <w:szCs w:val="21"/>
        </w:rPr>
        <w:t> </w:t>
      </w:r>
      <w:r>
        <w:rPr>
          <w:rFonts w:ascii="宋体" w:hAnsi="宋体" w:cs="宋体" w:eastAsia="宋体" w:hint="default"/>
          <w:b/>
          <w:bCs/>
          <w:spacing w:val="-102"/>
          <w:sz w:val="21"/>
          <w:szCs w:val="21"/>
        </w:rPr>
      </w:r>
      <w:r>
        <w:rPr>
          <w:rFonts w:ascii="宋体" w:hAnsi="宋体" w:cs="宋体" w:eastAsia="宋体" w:hint="default"/>
          <w:spacing w:val="-1"/>
          <w:sz w:val="21"/>
          <w:szCs w:val="21"/>
        </w:rPr>
        <w:t>除以公允价值计量且其变动计入当期损益的金融资产外，本公司于资产负债表日对金融资产的账</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z w:val="21"/>
          <w:szCs w:val="21"/>
        </w:rPr>
        <w:t>面价值进行检查，如果有客观证据表明某项金融资产发生减值的，计提减值准备。</w:t>
      </w:r>
    </w:p>
    <w:p>
      <w:pPr>
        <w:pStyle w:val="BodyText"/>
        <w:spacing w:line="309" w:lineRule="auto" w:before="35"/>
        <w:ind w:left="216" w:right="0"/>
        <w:jc w:val="left"/>
      </w:pPr>
      <w:r>
        <w:rPr/>
        <w:t>（</w:t>
      </w:r>
      <w:r>
        <w:rPr>
          <w:rFonts w:ascii="Times New Roman" w:hAnsi="Times New Roman" w:cs="Times New Roman" w:eastAsia="Times New Roman" w:hint="default"/>
        </w:rPr>
        <w:t>1</w:t>
      </w:r>
      <w:r>
        <w:rPr/>
        <w:t>）可供出售金融资产的减值准备：</w:t>
      </w:r>
      <w:r>
        <w:rPr>
          <w:w w:val="100"/>
        </w:rPr>
        <w:t> </w:t>
      </w:r>
      <w:r>
        <w:rPr>
          <w:spacing w:val="-1"/>
        </w:rPr>
        <w:t>期末如果可供出售金融资产的公允价值发生严重下降，或在综合考虑各种相关因素后，预期这种</w:t>
      </w:r>
      <w:r>
        <w:rPr>
          <w:spacing w:val="-55"/>
        </w:rPr>
        <w:t> </w:t>
      </w:r>
      <w:r>
        <w:rPr>
          <w:spacing w:val="-55"/>
        </w:rPr>
      </w:r>
      <w:r>
        <w:rPr>
          <w:spacing w:val="-1"/>
        </w:rPr>
        <w:t>下降趋势属于非暂时性的，就认定其已发生减值，将原直接计入所有者权益的公允价值下降形成</w:t>
      </w:r>
    </w:p>
    <w:p>
      <w:pPr>
        <w:spacing w:after="0" w:line="309" w:lineRule="auto"/>
        <w:jc w:val="left"/>
        <w:sectPr>
          <w:pgSz w:w="11910" w:h="16840"/>
          <w:pgMar w:header="748" w:footer="974" w:top="1140" w:bottom="1160" w:left="1060" w:right="1580"/>
        </w:sectPr>
      </w:pPr>
    </w:p>
    <w:p>
      <w:pPr>
        <w:spacing w:line="240" w:lineRule="auto" w:before="1"/>
        <w:rPr>
          <w:rFonts w:ascii="宋体" w:hAnsi="宋体" w:cs="宋体" w:eastAsia="宋体" w:hint="default"/>
          <w:sz w:val="24"/>
          <w:szCs w:val="24"/>
        </w:rPr>
      </w:pPr>
    </w:p>
    <w:p>
      <w:pPr>
        <w:pStyle w:val="BodyText"/>
        <w:spacing w:line="324" w:lineRule="auto" w:before="36"/>
        <w:ind w:left="216" w:right="0"/>
        <w:jc w:val="left"/>
      </w:pPr>
      <w:r>
        <w:rPr/>
        <w:t>的累计损失一并转出，确认减值损失。</w:t>
      </w:r>
      <w:r>
        <w:rPr>
          <w:w w:val="100"/>
        </w:rPr>
        <w:t> </w:t>
      </w:r>
      <w:r>
        <w:rPr>
          <w:spacing w:val="-1"/>
        </w:rPr>
        <w:t>对于已确认减值损失的可供出售债务工具，在随后的会计期间公允价值已上升且客观上与确认原</w:t>
      </w:r>
      <w:r>
        <w:rPr>
          <w:spacing w:val="-55"/>
        </w:rPr>
        <w:t> </w:t>
      </w:r>
      <w:r>
        <w:rPr>
          <w:spacing w:val="-55"/>
        </w:rPr>
      </w:r>
      <w:r>
        <w:rPr/>
        <w:t>减值损失确认后发生的事项有关的，原确认的减值损失予以转回，计入当期损益。</w:t>
      </w:r>
      <w:r>
        <w:rPr>
          <w:w w:val="100"/>
        </w:rPr>
        <w:t> </w:t>
      </w:r>
      <w:r>
        <w:rPr/>
        <w:t>可供出售权益工具投资发生的减值损失，不通过损益转回。</w:t>
      </w:r>
    </w:p>
    <w:p>
      <w:pPr>
        <w:pStyle w:val="BodyText"/>
        <w:spacing w:line="240" w:lineRule="auto" w:before="62"/>
        <w:ind w:left="216" w:right="0"/>
        <w:jc w:val="left"/>
      </w:pPr>
      <w:r>
        <w:rPr/>
        <w:t>（</w:t>
      </w:r>
      <w:r>
        <w:rPr>
          <w:rFonts w:ascii="Times New Roman" w:hAnsi="Times New Roman" w:cs="Times New Roman" w:eastAsia="Times New Roman" w:hint="default"/>
        </w:rPr>
        <w:t>2</w:t>
      </w:r>
      <w:r>
        <w:rPr/>
        <w:t>）应收款项坏账准备：</w:t>
      </w:r>
    </w:p>
    <w:p>
      <w:pPr>
        <w:pStyle w:val="BodyText"/>
        <w:spacing w:line="345" w:lineRule="auto" w:before="107"/>
        <w:ind w:left="216" w:right="0"/>
        <w:jc w:val="left"/>
      </w:pPr>
      <w:r>
        <w:rPr/>
        <w:t>①单项金额重大并单独计提坏账准备的应收款项：</w:t>
      </w:r>
      <w:r>
        <w:rPr>
          <w:w w:val="100"/>
        </w:rPr>
        <w:t> </w:t>
      </w:r>
      <w:r>
        <w:rPr/>
        <w:t>单项金额重大的判断依据或金额标准：单项金额占应收款项余额</w:t>
      </w:r>
      <w:r>
        <w:rPr>
          <w:spacing w:val="-53"/>
        </w:rPr>
        <w:t> </w:t>
      </w:r>
      <w:r>
        <w:rPr>
          <w:rFonts w:ascii="Times New Roman" w:hAnsi="Times New Roman" w:cs="Times New Roman" w:eastAsia="Times New Roman" w:hint="default"/>
        </w:rPr>
        <w:t>10%</w:t>
      </w:r>
      <w:r>
        <w:rPr/>
        <w:t>以上。</w:t>
      </w:r>
      <w:r>
        <w:rPr>
          <w:w w:val="100"/>
        </w:rPr>
        <w:t> </w:t>
      </w:r>
      <w:r>
        <w:rPr/>
        <w:t>单项金额重大并单独计提坏账准备的计提方法：</w:t>
      </w:r>
      <w:r>
        <w:rPr>
          <w:w w:val="100"/>
        </w:rPr>
        <w:t> </w:t>
      </w:r>
      <w:r>
        <w:rPr>
          <w:spacing w:val="-1"/>
        </w:rPr>
        <w:t>单独进行减值测试，如有客观证据表明其已发生减值，按预计未来现金流量现值低于其账面价值</w:t>
      </w:r>
      <w:r>
        <w:rPr>
          <w:spacing w:val="-55"/>
        </w:rPr>
        <w:t> </w:t>
      </w:r>
      <w:r>
        <w:rPr>
          <w:spacing w:val="-55"/>
        </w:rPr>
      </w:r>
      <w:r>
        <w:rPr>
          <w:spacing w:val="-1"/>
        </w:rPr>
        <w:t>的差额计提坏账准备，计入当期损益。单独测试未发生减值的应收款项，将其归入相应组合计提</w:t>
      </w:r>
      <w:r>
        <w:rPr>
          <w:spacing w:val="-55"/>
        </w:rPr>
        <w:t> </w:t>
      </w:r>
      <w:r>
        <w:rPr>
          <w:spacing w:val="-55"/>
        </w:rPr>
      </w:r>
      <w:r>
        <w:rPr/>
        <w:t>坏账准备。</w:t>
      </w:r>
    </w:p>
    <w:p>
      <w:pPr>
        <w:pStyle w:val="BodyText"/>
        <w:spacing w:line="240" w:lineRule="auto" w:before="31"/>
        <w:ind w:left="216" w:right="0"/>
        <w:jc w:val="left"/>
      </w:pPr>
      <w:r>
        <w:rPr/>
        <w:t>②按信用风险特征组合计提坏账准备应收款项：</w:t>
      </w:r>
    </w:p>
    <w:p>
      <w:pPr>
        <w:spacing w:line="240" w:lineRule="auto" w:before="7"/>
        <w:rPr>
          <w:rFonts w:ascii="宋体" w:hAnsi="宋体" w:cs="宋体" w:eastAsia="宋体" w:hint="default"/>
          <w:sz w:val="2"/>
          <w:szCs w:val="2"/>
        </w:rPr>
      </w:pPr>
    </w:p>
    <w:tbl>
      <w:tblPr>
        <w:tblW w:w="0" w:type="auto"/>
        <w:jc w:val="left"/>
        <w:tblInd w:w="810" w:type="dxa"/>
        <w:tblLayout w:type="fixed"/>
        <w:tblCellMar>
          <w:top w:w="0" w:type="dxa"/>
          <w:left w:w="0" w:type="dxa"/>
          <w:bottom w:w="0" w:type="dxa"/>
          <w:right w:w="0" w:type="dxa"/>
        </w:tblCellMar>
        <w:tblLook w:val="01E0"/>
      </w:tblPr>
      <w:tblGrid>
        <w:gridCol w:w="2559"/>
        <w:gridCol w:w="5269"/>
      </w:tblGrid>
      <w:tr>
        <w:trPr>
          <w:trHeight w:val="391" w:hRule="exact"/>
        </w:trPr>
        <w:tc>
          <w:tcPr>
            <w:tcW w:w="7828" w:type="dxa"/>
            <w:gridSpan w:val="2"/>
            <w:tcBorders>
              <w:top w:val="single" w:sz="12" w:space="0" w:color="000000"/>
              <w:left w:val="nil" w:sz="6" w:space="0" w:color="auto"/>
              <w:bottom w:val="single" w:sz="8" w:space="0" w:color="000000"/>
              <w:right w:val="nil" w:sz="6" w:space="0" w:color="auto"/>
            </w:tcBorders>
          </w:tcPr>
          <w:p>
            <w:pPr>
              <w:pStyle w:val="TableParagraph"/>
              <w:spacing w:line="240" w:lineRule="auto" w:before="89"/>
              <w:ind w:left="120" w:right="0"/>
              <w:jc w:val="left"/>
              <w:rPr>
                <w:rFonts w:ascii="宋体" w:hAnsi="宋体" w:cs="宋体" w:eastAsia="宋体" w:hint="default"/>
                <w:sz w:val="18"/>
                <w:szCs w:val="18"/>
              </w:rPr>
            </w:pPr>
            <w:r>
              <w:rPr>
                <w:rFonts w:ascii="宋体" w:hAnsi="宋体" w:cs="宋体" w:eastAsia="宋体" w:hint="default"/>
                <w:sz w:val="18"/>
                <w:szCs w:val="18"/>
              </w:rPr>
              <w:t>按信用风险特征组合计提坏账准备的计提方法</w:t>
            </w:r>
          </w:p>
        </w:tc>
      </w:tr>
      <w:tr>
        <w:trPr>
          <w:trHeight w:val="749" w:hRule="exact"/>
        </w:trPr>
        <w:tc>
          <w:tcPr>
            <w:tcW w:w="255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5269" w:type="dxa"/>
            <w:tcBorders>
              <w:top w:val="single" w:sz="4" w:space="0" w:color="000000"/>
              <w:left w:val="single" w:sz="4" w:space="0" w:color="000000"/>
              <w:bottom w:val="single" w:sz="4" w:space="0" w:color="000000"/>
              <w:right w:val="nil" w:sz="6" w:space="0" w:color="auto"/>
            </w:tcBorders>
          </w:tcPr>
          <w:p>
            <w:pPr>
              <w:pStyle w:val="TableParagraph"/>
              <w:spacing w:line="370" w:lineRule="exact" w:before="1"/>
              <w:ind w:left="103" w:right="110"/>
              <w:jc w:val="left"/>
              <w:rPr>
                <w:rFonts w:ascii="宋体" w:hAnsi="宋体" w:cs="宋体" w:eastAsia="宋体" w:hint="default"/>
                <w:sz w:val="18"/>
                <w:szCs w:val="18"/>
              </w:rPr>
            </w:pPr>
            <w:r>
              <w:rPr>
                <w:rFonts w:ascii="宋体" w:hAnsi="宋体" w:cs="宋体" w:eastAsia="宋体" w:hint="default"/>
                <w:sz w:val="18"/>
                <w:szCs w:val="18"/>
              </w:rPr>
              <w:t>账龄分析法：除单独测试并单项计提减值准备的应收款项以外的</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应收账款和其他应收款</w:t>
            </w:r>
          </w:p>
        </w:tc>
      </w:tr>
      <w:tr>
        <w:trPr>
          <w:trHeight w:val="391" w:hRule="exact"/>
        </w:trPr>
        <w:tc>
          <w:tcPr>
            <w:tcW w:w="2559" w:type="dxa"/>
            <w:tcBorders>
              <w:top w:val="single" w:sz="4" w:space="0" w:color="000000"/>
              <w:left w:val="nil" w:sz="6" w:space="0" w:color="auto"/>
              <w:bottom w:val="single" w:sz="12" w:space="0" w:color="000000"/>
              <w:right w:val="nil" w:sz="6" w:space="0" w:color="auto"/>
            </w:tcBorders>
          </w:tcPr>
          <w:p>
            <w:pPr>
              <w:pStyle w:val="TableParagraph"/>
              <w:spacing w:line="240" w:lineRule="auto" w:before="87"/>
              <w:ind w:left="120" w:right="0"/>
              <w:jc w:val="left"/>
              <w:rPr>
                <w:rFonts w:ascii="宋体" w:hAnsi="宋体" w:cs="宋体" w:eastAsia="宋体" w:hint="default"/>
                <w:sz w:val="18"/>
                <w:szCs w:val="18"/>
              </w:rPr>
            </w:pPr>
            <w:r>
              <w:rPr>
                <w:rFonts w:ascii="宋体" w:hAnsi="宋体" w:cs="宋体" w:eastAsia="宋体" w:hint="default"/>
                <w:sz w:val="18"/>
                <w:szCs w:val="18"/>
              </w:rPr>
              <w:t>光伏发电应收补贴组合</w:t>
            </w:r>
          </w:p>
        </w:tc>
        <w:tc>
          <w:tcPr>
            <w:tcW w:w="5269" w:type="dxa"/>
            <w:tcBorders>
              <w:top w:val="single" w:sz="4" w:space="0" w:color="000000"/>
              <w:left w:val="nil" w:sz="6" w:space="0" w:color="auto"/>
              <w:bottom w:val="single" w:sz="12" w:space="0" w:color="000000"/>
              <w:right w:val="nil" w:sz="6" w:space="0" w:color="auto"/>
            </w:tcBorders>
          </w:tcPr>
          <w:p>
            <w:pPr>
              <w:pStyle w:val="TableParagraph"/>
              <w:spacing w:line="240" w:lineRule="auto" w:before="87"/>
              <w:ind w:left="107" w:right="0"/>
              <w:jc w:val="left"/>
              <w:rPr>
                <w:rFonts w:ascii="宋体" w:hAnsi="宋体" w:cs="宋体" w:eastAsia="宋体" w:hint="default"/>
                <w:sz w:val="18"/>
                <w:szCs w:val="18"/>
              </w:rPr>
            </w:pPr>
            <w:r>
              <w:rPr>
                <w:rFonts w:ascii="宋体" w:hAnsi="宋体" w:cs="宋体" w:eastAsia="宋体" w:hint="default"/>
                <w:sz w:val="18"/>
                <w:szCs w:val="18"/>
              </w:rPr>
              <w:t>应收光伏发电补贴款不计提坏账准备</w:t>
            </w:r>
          </w:p>
        </w:tc>
      </w:tr>
    </w:tbl>
    <w:p>
      <w:pPr>
        <w:pStyle w:val="BodyText"/>
        <w:spacing w:line="240" w:lineRule="auto" w:before="93"/>
        <w:ind w:left="216" w:right="0"/>
        <w:jc w:val="left"/>
      </w:pPr>
      <w:r>
        <w:rPr/>
        <w:pict>
          <v:group style="position:absolute;margin-left:221.210007pt;margin-top:-19.086336pt;width:.5pt;height:17.3pt;mso-position-horizontal-relative:page;mso-position-vertical-relative:paragraph;z-index:-1319392" coordorigin="4424,-382" coordsize="10,346">
            <v:group style="position:absolute;left:4424;top:-382;width:10;height:20" coordorigin="4424,-382" coordsize="10,20">
              <v:shape style="position:absolute;left:4424;top:-382;width:10;height:20" coordorigin="4424,-382" coordsize="10,20" path="m4424,-363l4434,-363,4434,-382,4424,-382,4424,-363xe" filled="true" fillcolor="#000000" stroked="false">
                <v:path arrowok="t"/>
                <v:fill type="solid"/>
              </v:shape>
            </v:group>
            <v:group style="position:absolute;left:4424;top:-363;width:10;height:20" coordorigin="4424,-363" coordsize="10,20">
              <v:shape style="position:absolute;left:4424;top:-363;width:10;height:20" coordorigin="4424,-363" coordsize="10,20" path="m4424,-343l4434,-343,4434,-363,4424,-363,4424,-343xe" filled="true" fillcolor="#000000" stroked="false">
                <v:path arrowok="t"/>
                <v:fill type="solid"/>
              </v:shape>
            </v:group>
            <v:group style="position:absolute;left:4424;top:-343;width:10;height:20" coordorigin="4424,-343" coordsize="10,20">
              <v:shape style="position:absolute;left:4424;top:-343;width:10;height:20" coordorigin="4424,-343" coordsize="10,20" path="m4424,-324l4434,-324,4434,-343,4424,-343,4424,-324xe" filled="true" fillcolor="#000000" stroked="false">
                <v:path arrowok="t"/>
                <v:fill type="solid"/>
              </v:shape>
            </v:group>
            <v:group style="position:absolute;left:4424;top:-324;width:10;height:20" coordorigin="4424,-324" coordsize="10,20">
              <v:shape style="position:absolute;left:4424;top:-324;width:10;height:20" coordorigin="4424,-324" coordsize="10,20" path="m4424,-305l4434,-305,4434,-324,4424,-324,4424,-305xe" filled="true" fillcolor="#000000" stroked="false">
                <v:path arrowok="t"/>
                <v:fill type="solid"/>
              </v:shape>
            </v:group>
            <v:group style="position:absolute;left:4424;top:-305;width:10;height:20" coordorigin="4424,-305" coordsize="10,20">
              <v:shape style="position:absolute;left:4424;top:-305;width:10;height:20" coordorigin="4424,-305" coordsize="10,20" path="m4424,-286l4434,-286,4434,-305,4424,-305,4424,-286xe" filled="true" fillcolor="#000000" stroked="false">
                <v:path arrowok="t"/>
                <v:fill type="solid"/>
              </v:shape>
            </v:group>
            <v:group style="position:absolute;left:4424;top:-286;width:10;height:20" coordorigin="4424,-286" coordsize="10,20">
              <v:shape style="position:absolute;left:4424;top:-286;width:10;height:20" coordorigin="4424,-286" coordsize="10,20" path="m4424,-267l4434,-267,4434,-286,4424,-286,4424,-267xe" filled="true" fillcolor="#000000" stroked="false">
                <v:path arrowok="t"/>
                <v:fill type="solid"/>
              </v:shape>
            </v:group>
            <v:group style="position:absolute;left:4424;top:-267;width:10;height:20" coordorigin="4424,-267" coordsize="10,20">
              <v:shape style="position:absolute;left:4424;top:-267;width:10;height:20" coordorigin="4424,-267" coordsize="10,20" path="m4424,-247l4434,-247,4434,-267,4424,-267,4424,-247xe" filled="true" fillcolor="#000000" stroked="false">
                <v:path arrowok="t"/>
                <v:fill type="solid"/>
              </v:shape>
            </v:group>
            <v:group style="position:absolute;left:4424;top:-247;width:10;height:20" coordorigin="4424,-247" coordsize="10,20">
              <v:shape style="position:absolute;left:4424;top:-247;width:10;height:20" coordorigin="4424,-247" coordsize="10,20" path="m4424,-228l4434,-228,4434,-247,4424,-247,4424,-228xe" filled="true" fillcolor="#000000" stroked="false">
                <v:path arrowok="t"/>
                <v:fill type="solid"/>
              </v:shape>
            </v:group>
            <v:group style="position:absolute;left:4424;top:-228;width:10;height:20" coordorigin="4424,-228" coordsize="10,20">
              <v:shape style="position:absolute;left:4424;top:-228;width:10;height:20" coordorigin="4424,-228" coordsize="10,20" path="m4424,-209l4434,-209,4434,-228,4424,-228,4424,-209xe" filled="true" fillcolor="#000000" stroked="false">
                <v:path arrowok="t"/>
                <v:fill type="solid"/>
              </v:shape>
            </v:group>
            <v:group style="position:absolute;left:4424;top:-209;width:10;height:20" coordorigin="4424,-209" coordsize="10,20">
              <v:shape style="position:absolute;left:4424;top:-209;width:10;height:20" coordorigin="4424,-209" coordsize="10,20" path="m4424,-190l4434,-190,4434,-209,4424,-209,4424,-190xe" filled="true" fillcolor="#000000" stroked="false">
                <v:path arrowok="t"/>
                <v:fill type="solid"/>
              </v:shape>
            </v:group>
            <v:group style="position:absolute;left:4424;top:-190;width:10;height:20" coordorigin="4424,-190" coordsize="10,20">
              <v:shape style="position:absolute;left:4424;top:-190;width:10;height:20" coordorigin="4424,-190" coordsize="10,20" path="m4424,-171l4434,-171,4434,-190,4424,-190,4424,-171xe" filled="true" fillcolor="#000000" stroked="false">
                <v:path arrowok="t"/>
                <v:fill type="solid"/>
              </v:shape>
            </v:group>
            <v:group style="position:absolute;left:4424;top:-171;width:10;height:20" coordorigin="4424,-171" coordsize="10,20">
              <v:shape style="position:absolute;left:4424;top:-171;width:10;height:20" coordorigin="4424,-171" coordsize="10,20" path="m4424,-151l4434,-151,4434,-171,4424,-171,4424,-151xe" filled="true" fillcolor="#000000" stroked="false">
                <v:path arrowok="t"/>
                <v:fill type="solid"/>
              </v:shape>
            </v:group>
            <v:group style="position:absolute;left:4424;top:-151;width:10;height:20" coordorigin="4424,-151" coordsize="10,20">
              <v:shape style="position:absolute;left:4424;top:-151;width:10;height:20" coordorigin="4424,-151" coordsize="10,20" path="m4424,-132l4434,-132,4434,-151,4424,-151,4424,-132xe" filled="true" fillcolor="#000000" stroked="false">
                <v:path arrowok="t"/>
                <v:fill type="solid"/>
              </v:shape>
            </v:group>
            <v:group style="position:absolute;left:4424;top:-132;width:10;height:20" coordorigin="4424,-132" coordsize="10,20">
              <v:shape style="position:absolute;left:4424;top:-132;width:10;height:20" coordorigin="4424,-132" coordsize="10,20" path="m4424,-113l4434,-113,4434,-132,4424,-132,4424,-113xe" filled="true" fillcolor="#000000" stroked="false">
                <v:path arrowok="t"/>
                <v:fill type="solid"/>
              </v:shape>
            </v:group>
            <v:group style="position:absolute;left:4424;top:-113;width:10;height:20" coordorigin="4424,-113" coordsize="10,20">
              <v:shape style="position:absolute;left:4424;top:-113;width:10;height:20" coordorigin="4424,-113" coordsize="10,20" path="m4424,-94l4434,-94,4434,-113,4424,-113,4424,-94xe" filled="true" fillcolor="#000000" stroked="false">
                <v:path arrowok="t"/>
                <v:fill type="solid"/>
              </v:shape>
            </v:group>
            <v:group style="position:absolute;left:4424;top:-94;width:10;height:20" coordorigin="4424,-94" coordsize="10,20">
              <v:shape style="position:absolute;left:4424;top:-94;width:10;height:20" coordorigin="4424,-94" coordsize="10,20" path="m4424,-75l4434,-75,4434,-94,4424,-94,4424,-75xe" filled="true" fillcolor="#000000" stroked="false">
                <v:path arrowok="t"/>
                <v:fill type="solid"/>
              </v:shape>
            </v:group>
            <v:group style="position:absolute;left:4424;top:-75;width:10;height:20" coordorigin="4424,-75" coordsize="10,20">
              <v:shape style="position:absolute;left:4424;top:-75;width:10;height:20" coordorigin="4424,-75" coordsize="10,20" path="m4424,-55l4434,-55,4434,-75,4424,-75,4424,-55xe" filled="true" fillcolor="#000000" stroked="false">
                <v:path arrowok="t"/>
                <v:fill type="solid"/>
              </v:shape>
            </v:group>
            <v:group style="position:absolute;left:4424;top:-55;width:10;height:20" coordorigin="4424,-55" coordsize="10,20">
              <v:shape style="position:absolute;left:4424;top:-55;width:10;height:20" coordorigin="4424,-55" coordsize="10,20" path="m4424,-36l4434,-36,4434,-55,4424,-55,4424,-36xe" filled="true" fillcolor="#000000" stroked="false">
                <v:path arrowok="t"/>
                <v:fill type="solid"/>
              </v:shape>
            </v:group>
            <w10:wrap type="none"/>
          </v:group>
        </w:pict>
      </w:r>
      <w:r>
        <w:rPr/>
        <w:pict>
          <v:group style="position:absolute;margin-left:94.223999pt;margin-top:35.033695pt;width:390.35pt;height:5.4pt;mso-position-horizontal-relative:page;mso-position-vertical-relative:paragraph;z-index:-1319368" coordorigin="1884,701" coordsize="7807,108">
            <v:shape style="position:absolute;left:1884;top:701;width:2825;height:108" type="#_x0000_t75" stroked="false">
              <v:imagedata r:id="rId57" o:title=""/>
            </v:shape>
            <v:shape style="position:absolute;left:4686;top:797;width:2542;height:12" type="#_x0000_t75" stroked="false">
              <v:imagedata r:id="rId58" o:title=""/>
            </v:shape>
            <v:shape style="position:absolute;left:7213;top:799;width:2477;height:10" type="#_x0000_t75" stroked="false">
              <v:imagedata r:id="rId59" o:title=""/>
            </v:shape>
            <w10:wrap type="none"/>
          </v:group>
        </w:pict>
      </w:r>
      <w:r>
        <w:rPr/>
        <w:pict>
          <v:group style="position:absolute;margin-left:94.223999pt;margin-top:59.053673pt;width:390.35pt;height:.5pt;mso-position-horizontal-relative:page;mso-position-vertical-relative:paragraph;z-index:-1319344" coordorigin="1884,1181" coordsize="7807,10">
            <v:shape style="position:absolute;left:1884;top:1181;width:2806;height:10" type="#_x0000_t75" stroked="false">
              <v:imagedata r:id="rId60" o:title=""/>
            </v:shape>
            <v:shape style="position:absolute;left:4686;top:1181;width:2532;height:10" type="#_x0000_t75" stroked="false">
              <v:imagedata r:id="rId61" o:title=""/>
            </v:shape>
            <v:shape style="position:absolute;left:7213;top:1181;width:2477;height:10" type="#_x0000_t75" stroked="false">
              <v:imagedata r:id="rId59" o:title=""/>
            </v:shape>
            <w10:wrap type="none"/>
          </v:group>
        </w:pict>
      </w:r>
      <w:r>
        <w:rPr/>
        <w:t>组合中，采用账龄分析法计提坏账准备的：</w:t>
      </w:r>
    </w:p>
    <w:p>
      <w:pPr>
        <w:spacing w:line="240" w:lineRule="auto" w:before="7"/>
        <w:rPr>
          <w:rFonts w:ascii="宋体" w:hAnsi="宋体" w:cs="宋体" w:eastAsia="宋体" w:hint="default"/>
          <w:sz w:val="2"/>
          <w:szCs w:val="2"/>
        </w:rPr>
      </w:pPr>
    </w:p>
    <w:tbl>
      <w:tblPr>
        <w:tblW w:w="0" w:type="auto"/>
        <w:jc w:val="left"/>
        <w:tblInd w:w="824" w:type="dxa"/>
        <w:tblLayout w:type="fixed"/>
        <w:tblCellMar>
          <w:top w:w="0" w:type="dxa"/>
          <w:left w:w="0" w:type="dxa"/>
          <w:bottom w:w="0" w:type="dxa"/>
          <w:right w:w="0" w:type="dxa"/>
        </w:tblCellMar>
        <w:tblLook w:val="01E0"/>
      </w:tblPr>
      <w:tblGrid>
        <w:gridCol w:w="2811"/>
        <w:gridCol w:w="2528"/>
        <w:gridCol w:w="2468"/>
      </w:tblGrid>
      <w:tr>
        <w:trPr>
          <w:trHeight w:val="347" w:hRule="exact"/>
        </w:trPr>
        <w:tc>
          <w:tcPr>
            <w:tcW w:w="2811" w:type="dxa"/>
            <w:tcBorders>
              <w:top w:val="single" w:sz="12" w:space="0" w:color="000000"/>
              <w:left w:val="nil" w:sz="6" w:space="0" w:color="auto"/>
              <w:bottom w:val="nil" w:sz="6" w:space="0" w:color="auto"/>
              <w:right w:val="single" w:sz="4" w:space="0" w:color="000000"/>
            </w:tcBorders>
          </w:tcPr>
          <w:p>
            <w:pPr>
              <w:pStyle w:val="TableParagraph"/>
              <w:spacing w:line="240" w:lineRule="auto" w:before="87"/>
              <w:ind w:left="1"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2528"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87"/>
              <w:ind w:left="45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应收账款计提比例</w:t>
            </w:r>
            <w:r>
              <w:rPr>
                <w:rFonts w:ascii="Times New Roman" w:hAnsi="Times New Roman" w:cs="Times New Roman" w:eastAsia="Times New Roman" w:hint="default"/>
                <w:sz w:val="18"/>
                <w:szCs w:val="18"/>
              </w:rPr>
              <w:t>(%)</w:t>
            </w:r>
          </w:p>
        </w:tc>
        <w:tc>
          <w:tcPr>
            <w:tcW w:w="2468" w:type="dxa"/>
            <w:tcBorders>
              <w:top w:val="single" w:sz="12" w:space="0" w:color="000000"/>
              <w:left w:val="single" w:sz="4" w:space="0" w:color="000000"/>
              <w:bottom w:val="nil" w:sz="6" w:space="0" w:color="auto"/>
              <w:right w:val="nil" w:sz="6" w:space="0" w:color="auto"/>
            </w:tcBorders>
          </w:tcPr>
          <w:p>
            <w:pPr>
              <w:pStyle w:val="TableParagraph"/>
              <w:spacing w:line="240" w:lineRule="auto" w:before="87"/>
              <w:ind w:left="88"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其他应收款计提比例</w:t>
            </w:r>
            <w:r>
              <w:rPr>
                <w:rFonts w:ascii="Times New Roman" w:hAnsi="Times New Roman" w:cs="Times New Roman" w:eastAsia="Times New Roman" w:hint="default"/>
                <w:sz w:val="18"/>
                <w:szCs w:val="18"/>
              </w:rPr>
              <w:t>(%)</w:t>
            </w:r>
          </w:p>
        </w:tc>
      </w:tr>
      <w:tr>
        <w:trPr>
          <w:trHeight w:val="46" w:hRule="exact"/>
        </w:trPr>
        <w:tc>
          <w:tcPr>
            <w:tcW w:w="2811" w:type="dxa"/>
            <w:tcBorders>
              <w:top w:val="nil" w:sz="6" w:space="0" w:color="auto"/>
              <w:left w:val="nil" w:sz="6" w:space="0" w:color="auto"/>
              <w:bottom w:val="nil" w:sz="6" w:space="0" w:color="auto"/>
              <w:right w:val="nil" w:sz="6" w:space="0" w:color="auto"/>
            </w:tcBorders>
          </w:tcPr>
          <w:p>
            <w:pPr/>
          </w:p>
        </w:tc>
        <w:tc>
          <w:tcPr>
            <w:tcW w:w="2528" w:type="dxa"/>
            <w:tcBorders>
              <w:top w:val="nil" w:sz="6" w:space="0" w:color="auto"/>
              <w:left w:val="nil" w:sz="6" w:space="0" w:color="auto"/>
              <w:bottom w:val="nil" w:sz="6" w:space="0" w:color="auto"/>
              <w:right w:val="single" w:sz="4" w:space="0" w:color="000000"/>
            </w:tcBorders>
          </w:tcPr>
          <w:p>
            <w:pPr/>
          </w:p>
        </w:tc>
        <w:tc>
          <w:tcPr>
            <w:tcW w:w="2468" w:type="dxa"/>
            <w:tcBorders>
              <w:top w:val="nil" w:sz="6" w:space="0" w:color="auto"/>
              <w:left w:val="single" w:sz="4" w:space="0" w:color="000000"/>
              <w:bottom w:val="nil" w:sz="6" w:space="0" w:color="auto"/>
              <w:right w:val="nil" w:sz="6" w:space="0" w:color="auto"/>
            </w:tcBorders>
          </w:tcPr>
          <w:p>
            <w:pPr/>
          </w:p>
        </w:tc>
      </w:tr>
      <w:tr>
        <w:trPr>
          <w:trHeight w:val="441" w:hRule="exact"/>
        </w:trPr>
        <w:tc>
          <w:tcPr>
            <w:tcW w:w="2811" w:type="dxa"/>
            <w:tcBorders>
              <w:top w:val="nil" w:sz="6" w:space="0" w:color="auto"/>
              <w:left w:val="nil" w:sz="6" w:space="0" w:color="auto"/>
              <w:bottom w:val="nil" w:sz="6" w:space="0" w:color="auto"/>
              <w:right w:val="single" w:sz="4" w:space="0" w:color="000000"/>
            </w:tcBorders>
          </w:tcPr>
          <w:p>
            <w:pPr>
              <w:pStyle w:val="TableParagraph"/>
              <w:spacing w:line="240" w:lineRule="auto" w:before="90"/>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528" w:type="dxa"/>
            <w:tcBorders>
              <w:top w:val="nil" w:sz="6" w:space="0" w:color="auto"/>
              <w:left w:val="single" w:sz="4" w:space="0" w:color="000000"/>
              <w:bottom w:val="nil" w:sz="6" w:space="0" w:color="auto"/>
              <w:right w:val="single" w:sz="4" w:space="0" w:color="000000"/>
            </w:tcBorders>
          </w:tcPr>
          <w:p>
            <w:pPr>
              <w:pStyle w:val="TableParagraph"/>
              <w:spacing w:line="240" w:lineRule="auto" w:before="132"/>
              <w:ind w:right="3"/>
              <w:jc w:val="center"/>
              <w:rPr>
                <w:rFonts w:ascii="Times New Roman" w:hAnsi="Times New Roman" w:cs="Times New Roman" w:eastAsia="Times New Roman" w:hint="default"/>
                <w:sz w:val="18"/>
                <w:szCs w:val="18"/>
              </w:rPr>
            </w:pPr>
            <w:r>
              <w:rPr>
                <w:rFonts w:ascii="Times New Roman"/>
                <w:sz w:val="18"/>
              </w:rPr>
              <w:t>5</w:t>
            </w:r>
          </w:p>
        </w:tc>
        <w:tc>
          <w:tcPr>
            <w:tcW w:w="2468" w:type="dxa"/>
            <w:tcBorders>
              <w:top w:val="nil" w:sz="6" w:space="0" w:color="auto"/>
              <w:left w:val="single" w:sz="4" w:space="0" w:color="000000"/>
              <w:bottom w:val="nil" w:sz="6" w:space="0" w:color="auto"/>
              <w:right w:val="nil" w:sz="6" w:space="0" w:color="auto"/>
            </w:tcBorders>
          </w:tcPr>
          <w:p>
            <w:pPr>
              <w:pStyle w:val="TableParagraph"/>
              <w:spacing w:line="240" w:lineRule="auto" w:before="132"/>
              <w:ind w:right="9"/>
              <w:jc w:val="center"/>
              <w:rPr>
                <w:rFonts w:ascii="Times New Roman" w:hAnsi="Times New Roman" w:cs="Times New Roman" w:eastAsia="Times New Roman" w:hint="default"/>
                <w:sz w:val="18"/>
                <w:szCs w:val="18"/>
              </w:rPr>
            </w:pPr>
            <w:r>
              <w:rPr>
                <w:rFonts w:ascii="Times New Roman"/>
                <w:sz w:val="18"/>
              </w:rPr>
              <w:t>5</w:t>
            </w:r>
          </w:p>
        </w:tc>
      </w:tr>
      <w:tr>
        <w:trPr>
          <w:trHeight w:val="295" w:hRule="exact"/>
        </w:trPr>
        <w:tc>
          <w:tcPr>
            <w:tcW w:w="2811" w:type="dxa"/>
            <w:tcBorders>
              <w:top w:val="nil" w:sz="6" w:space="0" w:color="auto"/>
              <w:left w:val="nil" w:sz="6" w:space="0" w:color="auto"/>
              <w:bottom w:val="nil" w:sz="6" w:space="0" w:color="auto"/>
              <w:right w:val="single" w:sz="4" w:space="0" w:color="000000"/>
            </w:tcBorders>
          </w:tcPr>
          <w:p>
            <w:pPr>
              <w:pStyle w:val="TableParagraph"/>
              <w:spacing w:line="240" w:lineRule="auto" w:before="50"/>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528" w:type="dxa"/>
            <w:tcBorders>
              <w:top w:val="nil" w:sz="6" w:space="0" w:color="auto"/>
              <w:left w:val="single" w:sz="4" w:space="0" w:color="000000"/>
              <w:bottom w:val="nil" w:sz="6" w:space="0" w:color="auto"/>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10</w:t>
            </w:r>
          </w:p>
        </w:tc>
        <w:tc>
          <w:tcPr>
            <w:tcW w:w="2468" w:type="dxa"/>
            <w:tcBorders>
              <w:top w:val="nil" w:sz="6" w:space="0" w:color="auto"/>
              <w:left w:val="single" w:sz="4" w:space="0" w:color="000000"/>
              <w:bottom w:val="nil" w:sz="6" w:space="0" w:color="auto"/>
              <w:right w:val="nil" w:sz="6" w:space="0" w:color="auto"/>
            </w:tcBorders>
          </w:tcPr>
          <w:p>
            <w:pPr>
              <w:pStyle w:val="TableParagraph"/>
              <w:spacing w:line="240" w:lineRule="auto" w:before="92"/>
              <w:ind w:right="4"/>
              <w:jc w:val="center"/>
              <w:rPr>
                <w:rFonts w:ascii="Times New Roman" w:hAnsi="Times New Roman" w:cs="Times New Roman" w:eastAsia="Times New Roman" w:hint="default"/>
                <w:sz w:val="18"/>
                <w:szCs w:val="18"/>
              </w:rPr>
            </w:pPr>
            <w:r>
              <w:rPr>
                <w:rFonts w:ascii="Times New Roman"/>
                <w:sz w:val="18"/>
              </w:rPr>
              <w:t>10</w:t>
            </w:r>
          </w:p>
        </w:tc>
      </w:tr>
      <w:tr>
        <w:trPr>
          <w:trHeight w:val="56" w:hRule="exact"/>
        </w:trPr>
        <w:tc>
          <w:tcPr>
            <w:tcW w:w="2811" w:type="dxa"/>
            <w:tcBorders>
              <w:top w:val="nil" w:sz="6" w:space="0" w:color="auto"/>
              <w:left w:val="nil" w:sz="6" w:space="0" w:color="auto"/>
              <w:bottom w:val="nil" w:sz="6" w:space="0" w:color="auto"/>
              <w:right w:val="nil" w:sz="6" w:space="0" w:color="auto"/>
            </w:tcBorders>
          </w:tcPr>
          <w:p>
            <w:pPr/>
          </w:p>
        </w:tc>
        <w:tc>
          <w:tcPr>
            <w:tcW w:w="2528" w:type="dxa"/>
            <w:tcBorders>
              <w:top w:val="nil" w:sz="6" w:space="0" w:color="auto"/>
              <w:left w:val="nil" w:sz="6" w:space="0" w:color="auto"/>
              <w:bottom w:val="nil" w:sz="6" w:space="0" w:color="auto"/>
              <w:right w:val="single" w:sz="4" w:space="0" w:color="000000"/>
            </w:tcBorders>
          </w:tcPr>
          <w:p>
            <w:pPr/>
          </w:p>
        </w:tc>
        <w:tc>
          <w:tcPr>
            <w:tcW w:w="2468" w:type="dxa"/>
            <w:tcBorders>
              <w:top w:val="nil" w:sz="6" w:space="0" w:color="auto"/>
              <w:left w:val="single" w:sz="4" w:space="0" w:color="000000"/>
              <w:bottom w:val="nil" w:sz="6" w:space="0" w:color="auto"/>
              <w:right w:val="nil" w:sz="6" w:space="0" w:color="auto"/>
            </w:tcBorders>
          </w:tcPr>
          <w:p>
            <w:pPr/>
          </w:p>
        </w:tc>
      </w:tr>
      <w:tr>
        <w:trPr>
          <w:trHeight w:val="354" w:hRule="exact"/>
        </w:trPr>
        <w:tc>
          <w:tcPr>
            <w:tcW w:w="2811" w:type="dxa"/>
            <w:tcBorders>
              <w:top w:val="nil" w:sz="6" w:space="0" w:color="auto"/>
              <w:left w:val="nil" w:sz="6" w:space="0" w:color="auto"/>
              <w:bottom w:val="nil" w:sz="6" w:space="0" w:color="auto"/>
              <w:right w:val="single" w:sz="4" w:space="0" w:color="000000"/>
            </w:tcBorders>
          </w:tcPr>
          <w:p>
            <w:pPr>
              <w:pStyle w:val="TableParagraph"/>
              <w:spacing w:line="240" w:lineRule="auto" w:before="109"/>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528" w:type="dxa"/>
            <w:tcBorders>
              <w:top w:val="nil" w:sz="6" w:space="0" w:color="auto"/>
              <w:left w:val="single" w:sz="4" w:space="0" w:color="000000"/>
              <w:bottom w:val="nil" w:sz="6" w:space="0" w:color="auto"/>
              <w:right w:val="single" w:sz="4" w:space="0" w:color="000000"/>
            </w:tcBorders>
          </w:tcPr>
          <w:p>
            <w:pPr>
              <w:pStyle w:val="TableParagraph"/>
              <w:spacing w:line="240" w:lineRule="auto" w:before="151"/>
              <w:ind w:left="2" w:right="0"/>
              <w:jc w:val="center"/>
              <w:rPr>
                <w:rFonts w:ascii="Times New Roman" w:hAnsi="Times New Roman" w:cs="Times New Roman" w:eastAsia="Times New Roman" w:hint="default"/>
                <w:sz w:val="18"/>
                <w:szCs w:val="18"/>
              </w:rPr>
            </w:pPr>
            <w:r>
              <w:rPr>
                <w:rFonts w:ascii="Times New Roman"/>
                <w:sz w:val="18"/>
              </w:rPr>
              <w:t>30</w:t>
            </w:r>
          </w:p>
        </w:tc>
        <w:tc>
          <w:tcPr>
            <w:tcW w:w="2468" w:type="dxa"/>
            <w:tcBorders>
              <w:top w:val="nil" w:sz="6" w:space="0" w:color="auto"/>
              <w:left w:val="single" w:sz="4" w:space="0" w:color="000000"/>
              <w:bottom w:val="nil" w:sz="6" w:space="0" w:color="auto"/>
              <w:right w:val="nil" w:sz="6" w:space="0" w:color="auto"/>
            </w:tcBorders>
          </w:tcPr>
          <w:p>
            <w:pPr>
              <w:pStyle w:val="TableParagraph"/>
              <w:spacing w:line="240" w:lineRule="auto" w:before="151"/>
              <w:ind w:right="3"/>
              <w:jc w:val="center"/>
              <w:rPr>
                <w:rFonts w:ascii="Times New Roman" w:hAnsi="Times New Roman" w:cs="Times New Roman" w:eastAsia="Times New Roman" w:hint="default"/>
                <w:sz w:val="18"/>
                <w:szCs w:val="18"/>
              </w:rPr>
            </w:pPr>
            <w:r>
              <w:rPr>
                <w:rFonts w:ascii="Times New Roman"/>
                <w:sz w:val="18"/>
              </w:rPr>
              <w:t>30</w:t>
            </w:r>
          </w:p>
        </w:tc>
      </w:tr>
      <w:tr>
        <w:trPr>
          <w:trHeight w:val="54" w:hRule="exact"/>
        </w:trPr>
        <w:tc>
          <w:tcPr>
            <w:tcW w:w="2811" w:type="dxa"/>
            <w:tcBorders>
              <w:top w:val="nil" w:sz="6" w:space="0" w:color="auto"/>
              <w:left w:val="nil" w:sz="6" w:space="0" w:color="auto"/>
              <w:bottom w:val="nil" w:sz="6" w:space="0" w:color="auto"/>
              <w:right w:val="nil" w:sz="6" w:space="0" w:color="auto"/>
            </w:tcBorders>
          </w:tcPr>
          <w:p>
            <w:pPr/>
          </w:p>
        </w:tc>
        <w:tc>
          <w:tcPr>
            <w:tcW w:w="2528" w:type="dxa"/>
            <w:tcBorders>
              <w:top w:val="nil" w:sz="6" w:space="0" w:color="auto"/>
              <w:left w:val="nil" w:sz="6" w:space="0" w:color="auto"/>
              <w:bottom w:val="nil" w:sz="6" w:space="0" w:color="auto"/>
              <w:right w:val="single" w:sz="4" w:space="0" w:color="000000"/>
            </w:tcBorders>
          </w:tcPr>
          <w:p>
            <w:pPr/>
          </w:p>
        </w:tc>
        <w:tc>
          <w:tcPr>
            <w:tcW w:w="2468" w:type="dxa"/>
            <w:tcBorders>
              <w:top w:val="nil" w:sz="6" w:space="0" w:color="auto"/>
              <w:left w:val="single" w:sz="4" w:space="0" w:color="000000"/>
              <w:bottom w:val="nil" w:sz="6" w:space="0" w:color="auto"/>
              <w:right w:val="nil" w:sz="6" w:space="0" w:color="auto"/>
            </w:tcBorders>
          </w:tcPr>
          <w:p>
            <w:pPr/>
          </w:p>
        </w:tc>
      </w:tr>
      <w:tr>
        <w:trPr>
          <w:trHeight w:val="418" w:hRule="exact"/>
        </w:trPr>
        <w:tc>
          <w:tcPr>
            <w:tcW w:w="2811" w:type="dxa"/>
            <w:tcBorders>
              <w:top w:val="nil" w:sz="6" w:space="0" w:color="auto"/>
              <w:left w:val="nil" w:sz="6" w:space="0" w:color="auto"/>
              <w:bottom w:val="single" w:sz="12" w:space="0" w:color="000000"/>
              <w:right w:val="single" w:sz="4" w:space="0" w:color="000000"/>
            </w:tcBorders>
          </w:tcPr>
          <w:p>
            <w:pPr>
              <w:pStyle w:val="TableParagraph"/>
              <w:spacing w:line="240" w:lineRule="auto" w:before="111"/>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528"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53"/>
              <w:ind w:left="2" w:right="0"/>
              <w:jc w:val="center"/>
              <w:rPr>
                <w:rFonts w:ascii="Times New Roman" w:hAnsi="Times New Roman" w:cs="Times New Roman" w:eastAsia="Times New Roman" w:hint="default"/>
                <w:sz w:val="18"/>
                <w:szCs w:val="18"/>
              </w:rPr>
            </w:pPr>
            <w:r>
              <w:rPr>
                <w:rFonts w:ascii="Times New Roman"/>
                <w:sz w:val="18"/>
              </w:rPr>
              <w:t>100</w:t>
            </w:r>
          </w:p>
        </w:tc>
        <w:tc>
          <w:tcPr>
            <w:tcW w:w="2468" w:type="dxa"/>
            <w:tcBorders>
              <w:top w:val="nil" w:sz="6" w:space="0" w:color="auto"/>
              <w:left w:val="single" w:sz="4" w:space="0" w:color="000000"/>
              <w:bottom w:val="single" w:sz="12" w:space="0" w:color="000000"/>
              <w:right w:val="nil" w:sz="6" w:space="0" w:color="auto"/>
            </w:tcBorders>
          </w:tcPr>
          <w:p>
            <w:pPr>
              <w:pStyle w:val="TableParagraph"/>
              <w:spacing w:line="240" w:lineRule="auto" w:before="153"/>
              <w:ind w:right="3"/>
              <w:jc w:val="center"/>
              <w:rPr>
                <w:rFonts w:ascii="Times New Roman" w:hAnsi="Times New Roman" w:cs="Times New Roman" w:eastAsia="Times New Roman" w:hint="default"/>
                <w:sz w:val="18"/>
                <w:szCs w:val="18"/>
              </w:rPr>
            </w:pPr>
            <w:r>
              <w:rPr>
                <w:rFonts w:ascii="Times New Roman"/>
                <w:sz w:val="18"/>
              </w:rPr>
              <w:t>100</w:t>
            </w:r>
          </w:p>
        </w:tc>
      </w:tr>
    </w:tbl>
    <w:p>
      <w:pPr>
        <w:pStyle w:val="BodyText"/>
        <w:spacing w:line="343" w:lineRule="auto" w:before="93"/>
        <w:ind w:left="216" w:right="0"/>
        <w:jc w:val="left"/>
      </w:pPr>
      <w:r>
        <w:rPr/>
        <w:pict>
          <v:group style="position:absolute;margin-left:94.223999pt;margin-top:-47.166302pt;width:390.35pt;height:5.2pt;mso-position-horizontal-relative:page;mso-position-vertical-relative:paragraph;z-index:-1319320" coordorigin="1884,-943" coordsize="7807,104">
            <v:shape style="position:absolute;left:1884;top:-943;width:2825;height:103" type="#_x0000_t75" stroked="false">
              <v:imagedata r:id="rId62" o:title=""/>
            </v:shape>
            <v:shape style="position:absolute;left:4686;top:-850;width:2532;height:10" type="#_x0000_t75" stroked="false">
              <v:imagedata r:id="rId63" o:title=""/>
            </v:shape>
            <v:shape style="position:absolute;left:7213;top:-850;width:2477;height:10" type="#_x0000_t75" stroked="false">
              <v:imagedata r:id="rId64" o:title=""/>
            </v:shape>
            <w10:wrap type="none"/>
          </v:group>
        </w:pict>
      </w:r>
      <w:r>
        <w:rPr/>
        <w:pict>
          <v:group style="position:absolute;margin-left:94.223999pt;margin-top:-26.646334pt;width:390.35pt;height:5.05pt;mso-position-horizontal-relative:page;mso-position-vertical-relative:paragraph;z-index:-1319296" coordorigin="1884,-533" coordsize="7807,101">
            <v:shape style="position:absolute;left:1884;top:-533;width:2825;height:101" type="#_x0000_t75" stroked="false">
              <v:imagedata r:id="rId65" o:title=""/>
            </v:shape>
            <v:shape style="position:absolute;left:4686;top:-442;width:2532;height:10" type="#_x0000_t75" stroked="false">
              <v:imagedata r:id="rId61" o:title=""/>
            </v:shape>
            <v:shape style="position:absolute;left:7213;top:-442;width:2477;height:10" type="#_x0000_t75" stroked="false">
              <v:imagedata r:id="rId59" o:title=""/>
            </v:shape>
            <w10:wrap type="none"/>
          </v:group>
        </w:pict>
      </w:r>
      <w:r>
        <w:rPr/>
        <w:t>③单项金额不重大但单独计提坏账准备的应收款项：</w:t>
      </w:r>
      <w:r>
        <w:rPr>
          <w:w w:val="100"/>
        </w:rPr>
        <w:t> </w:t>
      </w:r>
      <w:r>
        <w:rPr/>
        <w:t>单独计提坏账准备的理由</w:t>
      </w:r>
      <w:r>
        <w:rPr>
          <w:rFonts w:ascii="Times New Roman" w:hAnsi="Times New Roman" w:cs="Times New Roman" w:eastAsia="Times New Roman" w:hint="default"/>
        </w:rPr>
        <w:t>:</w:t>
      </w:r>
      <w:r>
        <w:rPr/>
        <w:t>账龄时间较长且存在客观证据表明发生了减值。</w:t>
      </w:r>
      <w:r>
        <w:rPr>
          <w:spacing w:val="-3"/>
          <w:w w:val="100"/>
        </w:rPr>
        <w:t> </w:t>
      </w:r>
      <w:r>
        <w:rPr>
          <w:spacing w:val="-1"/>
        </w:rPr>
        <w:t>坏账准备的计提方法：根据预计未来现金流量现值低于其账面价值的差额，确认减值损失，计提</w:t>
      </w:r>
      <w:r>
        <w:rPr>
          <w:spacing w:val="-55"/>
        </w:rPr>
        <w:t> </w:t>
      </w:r>
      <w:r>
        <w:rPr>
          <w:spacing w:val="-55"/>
        </w:rPr>
      </w:r>
      <w:r>
        <w:rPr/>
        <w:t>坏账准备。</w:t>
      </w:r>
    </w:p>
    <w:p>
      <w:pPr>
        <w:pStyle w:val="BodyText"/>
        <w:spacing w:line="244" w:lineRule="auto" w:before="33"/>
        <w:ind w:left="216" w:right="0"/>
        <w:jc w:val="left"/>
        <w:rPr>
          <w:rFonts w:ascii="宋体" w:hAnsi="宋体" w:cs="宋体" w:eastAsia="宋体" w:hint="default"/>
        </w:rPr>
      </w:pPr>
      <w:r>
        <w:rPr/>
        <w:t>（</w:t>
      </w:r>
      <w:r>
        <w:rPr>
          <w:rFonts w:ascii="Times New Roman" w:hAnsi="Times New Roman" w:cs="Times New Roman" w:eastAsia="Times New Roman" w:hint="default"/>
        </w:rPr>
        <w:t>3</w:t>
      </w:r>
      <w:r>
        <w:rPr/>
        <w:t>）持有至到期投资的减值准备：</w:t>
      </w:r>
      <w:r>
        <w:rPr>
          <w:w w:val="100"/>
        </w:rPr>
        <w:t> </w:t>
      </w:r>
      <w:r>
        <w:rPr/>
        <w:t>持有至到期投资减值损失的计量比照应收款项减值损失计量方法处理。</w:t>
      </w:r>
      <w:r>
        <w:rPr>
          <w:rFonts w:ascii="宋体" w:hAnsi="宋体" w:cs="宋体" w:eastAsia="宋体" w:hint="default"/>
        </w:rPr>
        <w:t> </w:t>
      </w:r>
    </w:p>
    <w:p>
      <w:pPr>
        <w:pStyle w:val="BodyText"/>
        <w:spacing w:line="240" w:lineRule="auto" w:before="33"/>
        <w:ind w:left="216" w:right="0"/>
        <w:jc w:val="left"/>
        <w:rPr>
          <w:rFonts w:ascii="宋体" w:hAnsi="宋体" w:cs="宋体" w:eastAsia="宋体" w:hint="default"/>
        </w:rPr>
      </w:pPr>
      <w:r>
        <w:rPr>
          <w:rFonts w:ascii="宋体"/>
          <w:w w:val="100"/>
        </w:rPr>
        <w:t> </w:t>
      </w:r>
    </w:p>
    <w:p>
      <w:pPr>
        <w:pStyle w:val="Heading3"/>
        <w:spacing w:line="324" w:lineRule="auto"/>
        <w:ind w:left="216" w:right="2873"/>
        <w:jc w:val="left"/>
        <w:rPr>
          <w:rFonts w:ascii="宋体" w:hAnsi="宋体" w:cs="宋体" w:eastAsia="宋体" w:hint="default"/>
          <w:b w:val="0"/>
          <w:bCs w:val="0"/>
        </w:rPr>
      </w:pPr>
      <w:r>
        <w:rPr>
          <w:rFonts w:ascii="宋体" w:hAnsi="宋体" w:cs="宋体" w:eastAsia="宋体" w:hint="default"/>
        </w:rPr>
        <w:t>11.</w:t>
      </w:r>
      <w:r>
        <w:rPr>
          <w:rFonts w:ascii="宋体" w:hAnsi="宋体" w:cs="宋体" w:eastAsia="宋体" w:hint="default"/>
          <w:spacing w:val="1"/>
        </w:rPr>
        <w:t> </w:t>
      </w:r>
      <w:r>
        <w:rPr/>
        <w:t>应收票据</w:t>
      </w:r>
      <w:r>
        <w:rPr>
          <w:rFonts w:ascii="宋体" w:hAnsi="宋体" w:cs="宋体" w:eastAsia="宋体" w:hint="default"/>
          <w:w w:val="99"/>
        </w:rPr>
        <w:t> </w:t>
      </w:r>
      <w:r>
        <w:rPr/>
        <w:t>应收票据的预期信用损失的确定方法及会计处理方法</w:t>
      </w:r>
      <w:r>
        <w:rPr>
          <w:rFonts w:ascii="宋体" w:hAnsi="宋体" w:cs="宋体" w:eastAsia="宋体" w:hint="default"/>
          <w:w w:val="99"/>
        </w:rPr>
        <w:t> </w:t>
      </w:r>
      <w:r>
        <w:rPr>
          <w:rFonts w:ascii="宋体" w:hAnsi="宋体" w:cs="宋体" w:eastAsia="宋体" w:hint="default"/>
          <w:b w:val="0"/>
          <w:bCs w:val="0"/>
        </w:rPr>
      </w:r>
    </w:p>
    <w:p>
      <w:pPr>
        <w:pStyle w:val="BodyText"/>
        <w:spacing w:line="273" w:lineRule="auto" w:before="23"/>
        <w:ind w:left="216" w:right="6603"/>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详见“五</w:t>
      </w:r>
      <w:r>
        <w:rPr>
          <w:rFonts w:ascii="宋体" w:hAnsi="宋体" w:cs="宋体" w:eastAsia="宋体" w:hint="default"/>
        </w:rPr>
        <w:t>-10</w:t>
      </w:r>
      <w:r>
        <w:rPr>
          <w:rFonts w:ascii="宋体" w:hAnsi="宋体" w:cs="宋体" w:eastAsia="宋体" w:hint="default"/>
          <w:spacing w:val="-56"/>
        </w:rPr>
        <w:t> </w:t>
      </w:r>
      <w:r>
        <w:rPr/>
        <w:t>金融工具”</w:t>
      </w:r>
      <w:r>
        <w:rPr>
          <w:rFonts w:ascii="宋体" w:hAnsi="宋体" w:cs="宋体" w:eastAsia="宋体" w:hint="default"/>
        </w:rPr>
        <w:t> </w:t>
      </w:r>
    </w:p>
    <w:p>
      <w:pPr>
        <w:pStyle w:val="BodyText"/>
        <w:spacing w:line="240" w:lineRule="auto" w:before="7"/>
        <w:ind w:left="216" w:right="0"/>
        <w:jc w:val="left"/>
        <w:rPr>
          <w:rFonts w:ascii="宋体" w:hAnsi="宋体" w:cs="宋体" w:eastAsia="宋体" w:hint="default"/>
        </w:rPr>
      </w:pPr>
      <w:r>
        <w:rPr>
          <w:rFonts w:ascii="宋体"/>
          <w:w w:val="100"/>
        </w:rPr>
        <w:t> </w:t>
      </w:r>
    </w:p>
    <w:p>
      <w:pPr>
        <w:spacing w:after="0" w:line="240" w:lineRule="auto"/>
        <w:jc w:val="left"/>
        <w:rPr>
          <w:rFonts w:ascii="宋体" w:hAnsi="宋体" w:cs="宋体" w:eastAsia="宋体" w:hint="default"/>
        </w:rPr>
        <w:sectPr>
          <w:footerReference w:type="default" r:id="rId56"/>
          <w:pgSz w:w="11910" w:h="16840"/>
          <w:pgMar w:footer="974" w:header="748" w:top="1140" w:bottom="1160" w:left="1060" w:right="1660"/>
        </w:sectPr>
      </w:pPr>
    </w:p>
    <w:p>
      <w:pPr>
        <w:spacing w:line="240" w:lineRule="auto" w:before="2"/>
        <w:rPr>
          <w:rFonts w:ascii="宋体" w:hAnsi="宋体" w:cs="宋体" w:eastAsia="宋体" w:hint="default"/>
          <w:sz w:val="19"/>
          <w:szCs w:val="19"/>
        </w:rPr>
      </w:pPr>
    </w:p>
    <w:p>
      <w:pPr>
        <w:pStyle w:val="Heading3"/>
        <w:spacing w:line="326" w:lineRule="auto" w:before="36"/>
        <w:ind w:left="216" w:right="2873"/>
        <w:jc w:val="left"/>
        <w:rPr>
          <w:rFonts w:ascii="宋体" w:hAnsi="宋体" w:cs="宋体" w:eastAsia="宋体" w:hint="default"/>
          <w:b w:val="0"/>
          <w:bCs w:val="0"/>
        </w:rPr>
      </w:pPr>
      <w:r>
        <w:rPr>
          <w:rFonts w:ascii="宋体" w:hAnsi="宋体" w:cs="宋体" w:eastAsia="宋体" w:hint="default"/>
        </w:rPr>
        <w:t>12.</w:t>
      </w:r>
      <w:r>
        <w:rPr>
          <w:rFonts w:ascii="宋体" w:hAnsi="宋体" w:cs="宋体" w:eastAsia="宋体" w:hint="default"/>
          <w:spacing w:val="1"/>
        </w:rPr>
        <w:t> </w:t>
      </w:r>
      <w:r>
        <w:rPr/>
        <w:t>应收账款</w:t>
      </w:r>
      <w:r>
        <w:rPr>
          <w:rFonts w:ascii="宋体" w:hAnsi="宋体" w:cs="宋体" w:eastAsia="宋体" w:hint="default"/>
          <w:w w:val="99"/>
        </w:rPr>
        <w:t> </w:t>
      </w:r>
      <w:r>
        <w:rPr/>
        <w:t>应收账款的预期信用损失的确定方法及会计处理方法</w:t>
      </w:r>
      <w:r>
        <w:rPr>
          <w:rFonts w:ascii="宋体" w:hAnsi="宋体" w:cs="宋体" w:eastAsia="宋体" w:hint="default"/>
          <w:w w:val="99"/>
        </w:rPr>
        <w:t> </w:t>
      </w:r>
      <w:r>
        <w:rPr>
          <w:rFonts w:ascii="宋体" w:hAnsi="宋体" w:cs="宋体" w:eastAsia="宋体" w:hint="default"/>
          <w:b w:val="0"/>
          <w:bCs w:val="0"/>
        </w:rPr>
      </w:r>
    </w:p>
    <w:p>
      <w:pPr>
        <w:pStyle w:val="BodyText"/>
        <w:spacing w:line="273" w:lineRule="auto" w:before="21"/>
        <w:ind w:left="216" w:right="6603"/>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详见“五</w:t>
      </w:r>
      <w:r>
        <w:rPr>
          <w:rFonts w:ascii="宋体" w:hAnsi="宋体" w:cs="宋体" w:eastAsia="宋体" w:hint="default"/>
        </w:rPr>
        <w:t>-10</w:t>
      </w:r>
      <w:r>
        <w:rPr>
          <w:rFonts w:ascii="宋体" w:hAnsi="宋体" w:cs="宋体" w:eastAsia="宋体" w:hint="default"/>
          <w:spacing w:val="-57"/>
        </w:rPr>
        <w:t> </w:t>
      </w:r>
      <w:r>
        <w:rPr/>
        <w:t>金融工具”</w:t>
      </w:r>
      <w:r>
        <w:rPr>
          <w:rFonts w:ascii="宋体" w:hAnsi="宋体" w:cs="宋体" w:eastAsia="宋体" w:hint="default"/>
        </w:rPr>
        <w:t> </w:t>
      </w:r>
    </w:p>
    <w:p>
      <w:pPr>
        <w:pStyle w:val="BodyText"/>
        <w:spacing w:line="240" w:lineRule="auto" w:before="7"/>
        <w:ind w:left="216" w:right="0"/>
        <w:jc w:val="left"/>
        <w:rPr>
          <w:rFonts w:ascii="宋体" w:hAnsi="宋体" w:cs="宋体" w:eastAsia="宋体" w:hint="default"/>
        </w:rPr>
      </w:pPr>
      <w:r>
        <w:rPr>
          <w:rFonts w:ascii="宋体"/>
          <w:w w:val="100"/>
        </w:rPr>
        <w:t> </w:t>
      </w:r>
    </w:p>
    <w:p>
      <w:pPr>
        <w:pStyle w:val="Heading3"/>
        <w:spacing w:line="240" w:lineRule="auto"/>
        <w:ind w:left="216" w:right="0"/>
        <w:jc w:val="left"/>
        <w:rPr>
          <w:b w:val="0"/>
          <w:bCs w:val="0"/>
        </w:rPr>
      </w:pPr>
      <w:r>
        <w:rPr>
          <w:rFonts w:ascii="宋体" w:hAnsi="宋体" w:cs="宋体" w:eastAsia="宋体" w:hint="default"/>
        </w:rPr>
        <w:t>13.</w:t>
      </w:r>
      <w:r>
        <w:rPr>
          <w:rFonts w:ascii="宋体" w:hAnsi="宋体" w:cs="宋体" w:eastAsia="宋体" w:hint="default"/>
          <w:spacing w:val="3"/>
        </w:rPr>
        <w:t> </w:t>
      </w:r>
      <w:r>
        <w:rPr/>
        <w:t>应收款项融资</w:t>
      </w:r>
      <w:r>
        <w:rPr>
          <w:b w:val="0"/>
          <w:bCs w:val="0"/>
        </w:rPr>
      </w:r>
    </w:p>
    <w:p>
      <w:pPr>
        <w:pStyle w:val="Heading2"/>
        <w:spacing w:line="312" w:lineRule="exact" w:before="100"/>
        <w:ind w:left="216" w:right="6267"/>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r>
        <w:rPr/>
        <w:t>详见“五</w:t>
      </w:r>
      <w:r>
        <w:rPr>
          <w:rFonts w:ascii="宋体" w:hAnsi="宋体" w:cs="宋体" w:eastAsia="宋体" w:hint="default"/>
        </w:rPr>
        <w:t>-10</w:t>
      </w:r>
      <w:r>
        <w:rPr>
          <w:rFonts w:ascii="宋体" w:hAnsi="宋体" w:cs="宋体" w:eastAsia="宋体" w:hint="default"/>
          <w:spacing w:val="-60"/>
        </w:rPr>
        <w:t> </w:t>
      </w:r>
      <w:r>
        <w:rPr/>
        <w:t>金融工具”</w:t>
      </w:r>
      <w:r>
        <w:rPr>
          <w:rFonts w:ascii="宋体" w:hAnsi="宋体" w:cs="宋体" w:eastAsia="宋体" w:hint="default"/>
        </w:rPr>
        <w:t> </w:t>
      </w:r>
    </w:p>
    <w:p>
      <w:pPr>
        <w:pStyle w:val="Heading2"/>
        <w:spacing w:line="283" w:lineRule="exact"/>
        <w:ind w:left="216" w:right="0"/>
        <w:jc w:val="left"/>
        <w:rPr>
          <w:rFonts w:ascii="宋体" w:hAnsi="宋体" w:cs="宋体" w:eastAsia="宋体" w:hint="default"/>
        </w:rPr>
      </w:pPr>
      <w:r>
        <w:rPr>
          <w:rFonts w:ascii="宋体"/>
        </w:rPr>
        <w:t> </w:t>
      </w:r>
    </w:p>
    <w:p>
      <w:pPr>
        <w:pStyle w:val="Heading3"/>
        <w:spacing w:line="324" w:lineRule="auto" w:before="85"/>
        <w:ind w:left="216" w:right="2873"/>
        <w:jc w:val="left"/>
        <w:rPr>
          <w:rFonts w:ascii="宋体" w:hAnsi="宋体" w:cs="宋体" w:eastAsia="宋体" w:hint="default"/>
          <w:b w:val="0"/>
          <w:bCs w:val="0"/>
        </w:rPr>
      </w:pPr>
      <w:r>
        <w:rPr>
          <w:rFonts w:ascii="宋体" w:hAnsi="宋体" w:cs="宋体" w:eastAsia="宋体" w:hint="default"/>
        </w:rPr>
        <w:t>14.</w:t>
      </w:r>
      <w:r>
        <w:rPr>
          <w:rFonts w:ascii="宋体" w:hAnsi="宋体" w:cs="宋体" w:eastAsia="宋体" w:hint="default"/>
          <w:spacing w:val="2"/>
        </w:rPr>
        <w:t> </w:t>
      </w:r>
      <w:r>
        <w:rPr/>
        <w:t>其他应收款</w:t>
      </w:r>
      <w:r>
        <w:rPr>
          <w:w w:val="100"/>
        </w:rPr>
        <w:t> </w:t>
      </w:r>
      <w:r>
        <w:rPr/>
        <w:t>其他应收款预期信用损失的确定方法及会计处理方法</w:t>
      </w:r>
      <w:r>
        <w:rPr>
          <w:rFonts w:ascii="宋体" w:hAnsi="宋体" w:cs="宋体" w:eastAsia="宋体" w:hint="default"/>
          <w:w w:val="99"/>
        </w:rPr>
        <w:t> </w:t>
      </w:r>
      <w:r>
        <w:rPr>
          <w:rFonts w:ascii="宋体" w:hAnsi="宋体" w:cs="宋体" w:eastAsia="宋体" w:hint="default"/>
          <w:b w:val="0"/>
          <w:bCs w:val="0"/>
        </w:rPr>
      </w:r>
    </w:p>
    <w:p>
      <w:pPr>
        <w:pStyle w:val="BodyText"/>
        <w:spacing w:line="273" w:lineRule="auto" w:before="24"/>
        <w:ind w:left="216" w:right="6603"/>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详见“五</w:t>
      </w:r>
      <w:r>
        <w:rPr>
          <w:rFonts w:ascii="宋体" w:hAnsi="宋体" w:cs="宋体" w:eastAsia="宋体" w:hint="default"/>
        </w:rPr>
        <w:t>-10</w:t>
      </w:r>
      <w:r>
        <w:rPr>
          <w:rFonts w:ascii="宋体" w:hAnsi="宋体" w:cs="宋体" w:eastAsia="宋体" w:hint="default"/>
          <w:spacing w:val="-57"/>
        </w:rPr>
        <w:t> </w:t>
      </w:r>
      <w:r>
        <w:rPr/>
        <w:t>金融工具”</w:t>
      </w:r>
      <w:r>
        <w:rPr>
          <w:rFonts w:ascii="宋体" w:hAnsi="宋体" w:cs="宋体" w:eastAsia="宋体" w:hint="default"/>
        </w:rPr>
        <w:t> </w:t>
      </w:r>
    </w:p>
    <w:p>
      <w:pPr>
        <w:pStyle w:val="BodyText"/>
        <w:spacing w:line="240" w:lineRule="auto" w:before="7"/>
        <w:ind w:left="216" w:right="0"/>
        <w:jc w:val="left"/>
        <w:rPr>
          <w:rFonts w:ascii="宋体" w:hAnsi="宋体" w:cs="宋体" w:eastAsia="宋体" w:hint="default"/>
        </w:rPr>
      </w:pPr>
      <w:r>
        <w:rPr>
          <w:rFonts w:ascii="宋体"/>
          <w:w w:val="100"/>
        </w:rPr>
        <w:t> </w:t>
      </w:r>
    </w:p>
    <w:p>
      <w:pPr>
        <w:pStyle w:val="Heading3"/>
        <w:spacing w:line="240" w:lineRule="auto"/>
        <w:ind w:left="216" w:right="0"/>
        <w:jc w:val="left"/>
        <w:rPr>
          <w:b w:val="0"/>
          <w:bCs w:val="0"/>
        </w:rPr>
      </w:pPr>
      <w:r>
        <w:rPr>
          <w:rFonts w:ascii="宋体" w:hAnsi="宋体" w:cs="宋体" w:eastAsia="宋体" w:hint="default"/>
        </w:rPr>
        <w:t>15.</w:t>
      </w:r>
      <w:r>
        <w:rPr>
          <w:rFonts w:ascii="宋体" w:hAnsi="宋体" w:cs="宋体" w:eastAsia="宋体" w:hint="default"/>
          <w:spacing w:val="2"/>
        </w:rPr>
        <w:t> </w:t>
      </w:r>
      <w:r>
        <w:rPr/>
        <w:t>存货</w:t>
      </w:r>
      <w:r>
        <w:rPr>
          <w:b w:val="0"/>
          <w:bCs w:val="0"/>
        </w:rPr>
      </w:r>
    </w:p>
    <w:p>
      <w:pPr>
        <w:pStyle w:val="BodyText"/>
        <w:spacing w:line="240" w:lineRule="auto" w:before="97"/>
        <w:ind w:left="216"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tabs>
          <w:tab w:pos="865" w:val="left" w:leader="none"/>
        </w:tabs>
        <w:spacing w:line="314" w:lineRule="auto" w:before="142"/>
        <w:ind w:left="216" w:right="1190"/>
        <w:jc w:val="left"/>
      </w:pPr>
      <w:r>
        <w:rPr>
          <w:rFonts w:ascii="Times New Roman" w:hAnsi="Times New Roman" w:cs="Times New Roman" w:eastAsia="Times New Roman" w:hint="default"/>
          <w:b/>
          <w:bCs/>
        </w:rPr>
        <w:t>1</w:t>
      </w:r>
      <w:r>
        <w:rPr>
          <w:rFonts w:ascii="宋体" w:hAnsi="宋体" w:cs="宋体" w:eastAsia="宋体" w:hint="default"/>
          <w:b/>
          <w:bCs/>
        </w:rPr>
        <w:t>、</w:t>
        <w:tab/>
        <w:t>存货的分类</w:t>
      </w:r>
      <w:r>
        <w:rPr>
          <w:rFonts w:ascii="宋体" w:hAnsi="宋体" w:cs="宋体" w:eastAsia="宋体" w:hint="default"/>
          <w:b/>
          <w:bCs/>
          <w:w w:val="100"/>
        </w:rPr>
        <w:t> </w:t>
      </w:r>
      <w:r>
        <w:rPr>
          <w:spacing w:val="-2"/>
        </w:rPr>
        <w:t>存货分类为：原材料、周转材料、库存商品、在产品、发出商品、委托加工物资等。</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6"/>
          <w:szCs w:val="16"/>
        </w:rPr>
      </w:pPr>
    </w:p>
    <w:p>
      <w:pPr>
        <w:pStyle w:val="BodyText"/>
        <w:tabs>
          <w:tab w:pos="786" w:val="left" w:leader="none"/>
        </w:tabs>
        <w:spacing w:line="348" w:lineRule="auto"/>
        <w:ind w:left="216" w:right="130"/>
        <w:jc w:val="left"/>
      </w:pPr>
      <w:r>
        <w:rPr>
          <w:rFonts w:ascii="宋体" w:hAnsi="宋体" w:cs="宋体" w:eastAsia="宋体" w:hint="default"/>
          <w:b/>
          <w:bCs/>
        </w:rPr>
        <w:t>2</w:t>
      </w:r>
      <w:r>
        <w:rPr>
          <w:rFonts w:ascii="宋体" w:hAnsi="宋体" w:cs="宋体" w:eastAsia="宋体" w:hint="default"/>
          <w:b/>
          <w:bCs/>
        </w:rPr>
        <w:t>、</w:t>
        <w:tab/>
        <w:t>发出存货的计价方法</w:t>
      </w:r>
      <w:r>
        <w:rPr>
          <w:rFonts w:ascii="宋体" w:hAnsi="宋体" w:cs="宋体" w:eastAsia="宋体" w:hint="default"/>
          <w:b/>
          <w:bCs/>
          <w:w w:val="99"/>
        </w:rPr>
        <w:t> </w:t>
      </w:r>
      <w:r>
        <w:rPr>
          <w:spacing w:val="-1"/>
        </w:rPr>
        <w:t>原材料发出时按移动加权平均法；库存商品中电能表和用电信息管理系统及终端发出时按照合同</w:t>
      </w:r>
      <w:r>
        <w:rPr>
          <w:spacing w:val="-55"/>
        </w:rPr>
        <w:t> </w:t>
      </w:r>
      <w:r>
        <w:rPr>
          <w:spacing w:val="-55"/>
        </w:rPr>
      </w:r>
      <w:r>
        <w:rPr/>
        <w:t>批次进行个别认定，其他库存商品发出时按移动加权平均法计价。</w:t>
      </w:r>
    </w:p>
    <w:p>
      <w:pPr>
        <w:spacing w:line="240" w:lineRule="auto" w:before="0"/>
        <w:rPr>
          <w:rFonts w:ascii="宋体" w:hAnsi="宋体" w:cs="宋体" w:eastAsia="宋体" w:hint="default"/>
          <w:sz w:val="20"/>
          <w:szCs w:val="20"/>
        </w:rPr>
      </w:pPr>
    </w:p>
    <w:p>
      <w:pPr>
        <w:pStyle w:val="BodyText"/>
        <w:tabs>
          <w:tab w:pos="786" w:val="left" w:leader="none"/>
        </w:tabs>
        <w:spacing w:line="350" w:lineRule="auto" w:before="170"/>
        <w:ind w:left="216" w:right="130"/>
        <w:jc w:val="left"/>
      </w:pPr>
      <w:r>
        <w:rPr>
          <w:rFonts w:ascii="宋体" w:hAnsi="宋体" w:cs="宋体" w:eastAsia="宋体" w:hint="default"/>
          <w:b/>
          <w:bCs/>
        </w:rPr>
        <w:t>3</w:t>
      </w:r>
      <w:r>
        <w:rPr>
          <w:rFonts w:ascii="宋体" w:hAnsi="宋体" w:cs="宋体" w:eastAsia="宋体" w:hint="default"/>
          <w:b/>
          <w:bCs/>
        </w:rPr>
        <w:t>、</w:t>
        <w:tab/>
        <w:t>不同类别存货可变现净值的确定依据</w:t>
      </w:r>
      <w:r>
        <w:rPr>
          <w:rFonts w:ascii="宋体" w:hAnsi="宋体" w:cs="宋体" w:eastAsia="宋体" w:hint="default"/>
          <w:b/>
          <w:bCs/>
          <w:w w:val="99"/>
        </w:rPr>
        <w:t> </w:t>
      </w:r>
      <w:r>
        <w:rPr>
          <w:spacing w:val="-1"/>
        </w:rPr>
        <w:t>产成品、库存商品和用于出售的材料等直接用于出售的商品存货，在正常生产经营过程中，以该</w:t>
      </w:r>
      <w:r>
        <w:rPr>
          <w:spacing w:val="-55"/>
        </w:rPr>
        <w:t> </w:t>
      </w:r>
      <w:r>
        <w:rPr>
          <w:spacing w:val="-55"/>
        </w:rPr>
      </w:r>
      <w:r>
        <w:rPr>
          <w:spacing w:val="-1"/>
        </w:rPr>
        <w:t>存货的估计售价减去估计的销售费用和相关税费后的金额，确定其可变现净值；需要经过加工的</w:t>
      </w:r>
      <w:r>
        <w:rPr>
          <w:spacing w:val="-55"/>
        </w:rPr>
        <w:t> </w:t>
      </w:r>
      <w:r>
        <w:rPr>
          <w:spacing w:val="-55"/>
        </w:rPr>
      </w:r>
      <w:r>
        <w:rPr>
          <w:spacing w:val="-1"/>
        </w:rPr>
        <w:t>材料存货，在正常生产经营过程中，以所生产的产成品的估计售价减去至完工时估计将要发生的</w:t>
      </w:r>
      <w:r>
        <w:rPr>
          <w:spacing w:val="-55"/>
        </w:rPr>
        <w:t> </w:t>
      </w:r>
      <w:r>
        <w:rPr>
          <w:spacing w:val="-55"/>
        </w:rPr>
      </w:r>
      <w:r>
        <w:rPr>
          <w:spacing w:val="-1"/>
        </w:rPr>
        <w:t>成本、估计的销售费用和相关税费后的金额，确定其可变现净值；为执行销售合同或者劳务合同</w:t>
      </w:r>
      <w:r>
        <w:rPr>
          <w:spacing w:val="-55"/>
        </w:rPr>
        <w:t> </w:t>
      </w:r>
      <w:r>
        <w:rPr>
          <w:spacing w:val="-55"/>
        </w:rPr>
      </w:r>
      <w:r>
        <w:rPr>
          <w:spacing w:val="-1"/>
        </w:rPr>
        <w:t>而持有的存货，其可变现净值以合同价格为基础计算，若持有存货的数量多于销售合同订购数量</w:t>
      </w:r>
      <w:r>
        <w:rPr>
          <w:spacing w:val="-55"/>
        </w:rPr>
        <w:t> </w:t>
      </w:r>
      <w:r>
        <w:rPr>
          <w:spacing w:val="-55"/>
        </w:rPr>
      </w:r>
      <w:r>
        <w:rPr/>
        <w:t>的，超出部分的存货的可变现净值以一般销售价格为基础计算。</w:t>
      </w:r>
      <w:r>
        <w:rPr>
          <w:w w:val="100"/>
        </w:rPr>
        <w:t> </w:t>
      </w:r>
      <w:r>
        <w:rPr>
          <w:spacing w:val="-1"/>
        </w:rPr>
        <w:t>期末按照单个存货项目计提存货跌价准备；但对于数量繁多、单价较低的存货，按照存货类别计</w:t>
      </w:r>
      <w:r>
        <w:rPr>
          <w:spacing w:val="-55"/>
        </w:rPr>
        <w:t> </w:t>
      </w:r>
      <w:r>
        <w:rPr>
          <w:spacing w:val="-55"/>
        </w:rPr>
      </w:r>
      <w:r>
        <w:rPr>
          <w:spacing w:val="-1"/>
        </w:rPr>
        <w:t>提存货跌价准备；与在同一地区生产和销售的产品系列相关、具有相同或类似最终用途或目的，</w:t>
      </w:r>
      <w:r>
        <w:rPr>
          <w:spacing w:val="-55"/>
        </w:rPr>
        <w:t> </w:t>
      </w:r>
      <w:r>
        <w:rPr>
          <w:spacing w:val="-55"/>
        </w:rPr>
      </w:r>
      <w:r>
        <w:rPr/>
        <w:t>且难以与其他项目分开计量的存货，则合并计提存货跌价准备。</w:t>
      </w:r>
      <w:r>
        <w:rPr>
          <w:w w:val="100"/>
        </w:rPr>
        <w:t> </w:t>
      </w:r>
      <w:r>
        <w:rPr>
          <w:spacing w:val="-1"/>
        </w:rPr>
        <w:t>除有明确证据表明资产负债表日市场价格异常外，存货项目的可变现净值以资产负债表日市场价</w:t>
      </w:r>
      <w:r>
        <w:rPr>
          <w:spacing w:val="-55"/>
        </w:rPr>
        <w:t> </w:t>
      </w:r>
      <w:r>
        <w:rPr>
          <w:spacing w:val="-55"/>
        </w:rPr>
      </w:r>
      <w:r>
        <w:rPr/>
        <w:t>格为基础确定。</w:t>
      </w:r>
    </w:p>
    <w:p>
      <w:pPr>
        <w:pStyle w:val="BodyText"/>
        <w:spacing w:line="240" w:lineRule="auto" w:before="29"/>
        <w:ind w:left="216" w:right="0"/>
        <w:jc w:val="left"/>
      </w:pPr>
      <w:r>
        <w:rPr/>
        <w:t>本期期末存货项目的可变现净值以资产负债表日市场价格为基础确定。</w:t>
      </w:r>
    </w:p>
    <w:p>
      <w:pPr>
        <w:spacing w:after="0" w:line="240" w:lineRule="auto"/>
        <w:jc w:val="left"/>
        <w:sectPr>
          <w:footerReference w:type="default" r:id="rId66"/>
          <w:pgSz w:w="11910" w:h="16840"/>
          <w:pgMar w:footer="974" w:header="748" w:top="1140" w:bottom="1160" w:left="1060" w:right="1660"/>
          <w:pgNumType w:start="111"/>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7"/>
          <w:szCs w:val="17"/>
        </w:rPr>
      </w:pPr>
    </w:p>
    <w:p>
      <w:pPr>
        <w:tabs>
          <w:tab w:pos="786" w:val="left" w:leader="none"/>
        </w:tabs>
        <w:spacing w:line="348" w:lineRule="auto" w:before="36"/>
        <w:ind w:left="216" w:right="6816" w:firstLine="0"/>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z w:val="21"/>
          <w:szCs w:val="21"/>
        </w:rPr>
        <w:t>、</w:t>
        <w:tab/>
        <w:t>存货的盘存制度</w:t>
      </w:r>
      <w:r>
        <w:rPr>
          <w:rFonts w:ascii="宋体" w:hAnsi="宋体" w:cs="宋体" w:eastAsia="宋体" w:hint="default"/>
          <w:b/>
          <w:bCs/>
          <w:w w:val="99"/>
          <w:sz w:val="21"/>
          <w:szCs w:val="21"/>
        </w:rPr>
        <w:t> </w:t>
      </w:r>
      <w:r>
        <w:rPr>
          <w:rFonts w:ascii="宋体" w:hAnsi="宋体" w:cs="宋体" w:eastAsia="宋体" w:hint="default"/>
          <w:sz w:val="21"/>
          <w:szCs w:val="21"/>
        </w:rPr>
        <w:t>采用永续盘存制。</w:t>
      </w:r>
    </w:p>
    <w:p>
      <w:pPr>
        <w:spacing w:line="240" w:lineRule="auto" w:before="0"/>
        <w:rPr>
          <w:rFonts w:ascii="宋体" w:hAnsi="宋体" w:cs="宋体" w:eastAsia="宋体" w:hint="default"/>
          <w:sz w:val="20"/>
          <w:szCs w:val="20"/>
        </w:rPr>
      </w:pPr>
    </w:p>
    <w:p>
      <w:pPr>
        <w:pStyle w:val="Heading3"/>
        <w:tabs>
          <w:tab w:pos="786" w:val="left" w:leader="none"/>
        </w:tabs>
        <w:spacing w:line="240" w:lineRule="auto" w:before="170"/>
        <w:ind w:left="216" w:right="0"/>
        <w:jc w:val="left"/>
        <w:rPr>
          <w:b w:val="0"/>
          <w:bCs w:val="0"/>
        </w:rPr>
      </w:pPr>
      <w:r>
        <w:rPr>
          <w:rFonts w:ascii="Times New Roman" w:hAnsi="Times New Roman" w:cs="Times New Roman" w:eastAsia="Times New Roman" w:hint="default"/>
        </w:rPr>
        <w:t>5</w:t>
      </w:r>
      <w:r>
        <w:rPr/>
        <w:t>、</w:t>
        <w:tab/>
      </w:r>
      <w:r>
        <w:rPr>
          <w:spacing w:val="-1"/>
        </w:rPr>
        <w:t>低值易耗品和包装物的摊销方法</w:t>
      </w:r>
      <w:r>
        <w:rPr>
          <w:b w:val="0"/>
          <w:bCs w:val="0"/>
          <w:spacing w:val="-1"/>
        </w:rPr>
      </w:r>
    </w:p>
    <w:p>
      <w:pPr>
        <w:pStyle w:val="BodyText"/>
        <w:spacing w:line="240" w:lineRule="auto" w:before="88"/>
        <w:ind w:left="216" w:right="0"/>
        <w:jc w:val="left"/>
      </w:pPr>
      <w:r>
        <w:rPr/>
        <w:t>（</w:t>
      </w:r>
      <w:r>
        <w:rPr>
          <w:rFonts w:ascii="Times New Roman" w:hAnsi="Times New Roman" w:cs="Times New Roman" w:eastAsia="Times New Roman" w:hint="default"/>
        </w:rPr>
        <w:t>1</w:t>
      </w:r>
      <w:r>
        <w:rPr/>
        <w:t>）低值易耗品采用一次转销法；</w:t>
      </w:r>
    </w:p>
    <w:p>
      <w:pPr>
        <w:pStyle w:val="BodyText"/>
        <w:spacing w:line="240" w:lineRule="auto" w:before="23"/>
        <w:ind w:left="216" w:right="0"/>
        <w:jc w:val="left"/>
        <w:rPr>
          <w:rFonts w:ascii="宋体" w:hAnsi="宋体" w:cs="宋体" w:eastAsia="宋体" w:hint="default"/>
        </w:rPr>
      </w:pPr>
      <w:r>
        <w:rPr/>
        <w:t>（</w:t>
      </w:r>
      <w:r>
        <w:rPr>
          <w:rFonts w:ascii="宋体" w:hAnsi="宋体" w:cs="宋体" w:eastAsia="宋体" w:hint="default"/>
        </w:rPr>
        <w:t>2</w:t>
      </w:r>
      <w:r>
        <w:rPr/>
        <w:t>）包装物采用一次转销法。</w:t>
      </w:r>
      <w:r>
        <w:rPr>
          <w:rFonts w:ascii="宋体" w:hAnsi="宋体" w:cs="宋体" w:eastAsia="宋体" w:hint="default"/>
        </w:rPr>
        <w:t> </w:t>
      </w:r>
    </w:p>
    <w:p>
      <w:pPr>
        <w:pStyle w:val="BodyText"/>
        <w:spacing w:line="240" w:lineRule="auto" w:before="37"/>
        <w:ind w:left="216" w:right="0"/>
        <w:jc w:val="left"/>
        <w:rPr>
          <w:rFonts w:ascii="宋体" w:hAnsi="宋体" w:cs="宋体" w:eastAsia="宋体" w:hint="default"/>
        </w:rPr>
      </w:pPr>
      <w:r>
        <w:rPr>
          <w:rFonts w:ascii="宋体"/>
          <w:w w:val="100"/>
        </w:rPr>
        <w:t> </w:t>
      </w:r>
    </w:p>
    <w:p>
      <w:pPr>
        <w:pStyle w:val="Heading3"/>
        <w:spacing w:line="240" w:lineRule="auto"/>
        <w:ind w:left="216" w:right="0"/>
        <w:jc w:val="left"/>
        <w:rPr>
          <w:b w:val="0"/>
          <w:bCs w:val="0"/>
        </w:rPr>
      </w:pPr>
      <w:r>
        <w:rPr>
          <w:rFonts w:ascii="宋体" w:hAnsi="宋体" w:cs="宋体" w:eastAsia="宋体" w:hint="default"/>
        </w:rPr>
        <w:t>16.</w:t>
      </w:r>
      <w:r>
        <w:rPr>
          <w:rFonts w:ascii="宋体" w:hAnsi="宋体" w:cs="宋体" w:eastAsia="宋体" w:hint="default"/>
          <w:spacing w:val="2"/>
        </w:rPr>
        <w:t> </w:t>
      </w:r>
      <w:r>
        <w:rPr/>
        <w:t>持有待售资产</w:t>
      </w:r>
      <w:r>
        <w:rPr>
          <w:b w:val="0"/>
          <w:bCs w:val="0"/>
        </w:rPr>
      </w:r>
    </w:p>
    <w:p>
      <w:pPr>
        <w:pStyle w:val="BodyText"/>
        <w:spacing w:line="240" w:lineRule="auto" w:before="97"/>
        <w:ind w:left="216"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left="216" w:right="0"/>
        <w:jc w:val="left"/>
        <w:rPr>
          <w:rFonts w:ascii="宋体" w:hAnsi="宋体" w:cs="宋体" w:eastAsia="宋体" w:hint="default"/>
        </w:rPr>
      </w:pPr>
      <w:r>
        <w:rPr>
          <w:rFonts w:ascii="宋体"/>
          <w:w w:val="100"/>
        </w:rPr>
        <w:t> </w:t>
      </w:r>
    </w:p>
    <w:p>
      <w:pPr>
        <w:pStyle w:val="Heading3"/>
        <w:spacing w:line="324" w:lineRule="auto"/>
        <w:ind w:left="216" w:right="2873"/>
        <w:jc w:val="left"/>
        <w:rPr>
          <w:rFonts w:ascii="宋体" w:hAnsi="宋体" w:cs="宋体" w:eastAsia="宋体" w:hint="default"/>
          <w:b w:val="0"/>
          <w:bCs w:val="0"/>
        </w:rPr>
      </w:pPr>
      <w:r>
        <w:rPr>
          <w:rFonts w:ascii="宋体" w:hAnsi="宋体" w:cs="宋体" w:eastAsia="宋体" w:hint="default"/>
        </w:rPr>
        <w:t>17.</w:t>
      </w:r>
      <w:r>
        <w:rPr>
          <w:rFonts w:ascii="宋体" w:hAnsi="宋体" w:cs="宋体" w:eastAsia="宋体" w:hint="default"/>
          <w:spacing w:val="2"/>
        </w:rPr>
        <w:t> </w:t>
      </w:r>
      <w:r>
        <w:rPr/>
        <w:t>债权投资</w:t>
      </w:r>
      <w:r>
        <w:rPr>
          <w:w w:val="100"/>
        </w:rPr>
        <w:t> </w:t>
      </w:r>
      <w:r>
        <w:rPr>
          <w:rFonts w:ascii="宋体" w:hAnsi="宋体" w:cs="宋体" w:eastAsia="宋体" w:hint="default"/>
        </w:rPr>
        <w:t>(1).</w:t>
      </w:r>
      <w:r>
        <w:rPr/>
        <w:t>债权投资预期信用损失的确定方法及会计处理方法</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23"/>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left="216" w:right="0"/>
        <w:jc w:val="left"/>
        <w:rPr>
          <w:rFonts w:ascii="宋体" w:hAnsi="宋体" w:cs="宋体" w:eastAsia="宋体" w:hint="default"/>
        </w:rPr>
      </w:pPr>
      <w:r>
        <w:rPr>
          <w:rFonts w:ascii="宋体"/>
          <w:w w:val="100"/>
        </w:rPr>
        <w:t> </w:t>
      </w:r>
    </w:p>
    <w:p>
      <w:pPr>
        <w:pStyle w:val="Heading3"/>
        <w:spacing w:line="324" w:lineRule="auto"/>
        <w:ind w:left="216" w:right="2873"/>
        <w:jc w:val="left"/>
        <w:rPr>
          <w:rFonts w:ascii="宋体" w:hAnsi="宋体" w:cs="宋体" w:eastAsia="宋体" w:hint="default"/>
          <w:b w:val="0"/>
          <w:bCs w:val="0"/>
        </w:rPr>
      </w:pPr>
      <w:r>
        <w:rPr>
          <w:rFonts w:ascii="宋体" w:hAnsi="宋体" w:cs="宋体" w:eastAsia="宋体" w:hint="default"/>
        </w:rPr>
        <w:t>18.</w:t>
      </w:r>
      <w:r>
        <w:rPr>
          <w:rFonts w:ascii="宋体" w:hAnsi="宋体" w:cs="宋体" w:eastAsia="宋体" w:hint="default"/>
          <w:spacing w:val="2"/>
        </w:rPr>
        <w:t> </w:t>
      </w:r>
      <w:r>
        <w:rPr/>
        <w:t>其他债权投资</w:t>
      </w:r>
      <w:r>
        <w:rPr>
          <w:w w:val="100"/>
        </w:rPr>
        <w:t> </w:t>
      </w:r>
      <w:r>
        <w:rPr>
          <w:rFonts w:ascii="宋体" w:hAnsi="宋体" w:cs="宋体" w:eastAsia="宋体" w:hint="default"/>
        </w:rPr>
        <w:t>(1).</w:t>
      </w:r>
      <w:r>
        <w:rPr/>
        <w:t>其他债权投资预期信用损失的确定方法及会计处理方法</w:t>
      </w:r>
      <w:r>
        <w:rPr>
          <w:rFonts w:ascii="宋体" w:hAnsi="宋体" w:cs="宋体" w:eastAsia="宋体" w:hint="default"/>
          <w:w w:val="99"/>
        </w:rPr>
        <w:t> </w:t>
      </w:r>
      <w:r>
        <w:rPr>
          <w:rFonts w:ascii="宋体" w:hAnsi="宋体" w:cs="宋体" w:eastAsia="宋体" w:hint="default"/>
          <w:b w:val="0"/>
          <w:bCs w:val="0"/>
        </w:rPr>
      </w:r>
    </w:p>
    <w:p>
      <w:pPr>
        <w:pStyle w:val="Heading2"/>
        <w:spacing w:line="309" w:lineRule="exact"/>
        <w:ind w:left="21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2"/>
        <w:spacing w:line="313" w:lineRule="exact"/>
        <w:ind w:left="216" w:right="0"/>
        <w:jc w:val="left"/>
        <w:rPr>
          <w:rFonts w:ascii="宋体" w:hAnsi="宋体" w:cs="宋体" w:eastAsia="宋体" w:hint="default"/>
        </w:rPr>
      </w:pPr>
      <w:r>
        <w:rPr>
          <w:rFonts w:ascii="宋体"/>
        </w:rPr>
        <w:t> </w:t>
      </w:r>
    </w:p>
    <w:p>
      <w:pPr>
        <w:pStyle w:val="Heading3"/>
        <w:spacing w:line="326" w:lineRule="auto" w:before="85"/>
        <w:ind w:left="216" w:right="2873"/>
        <w:jc w:val="left"/>
        <w:rPr>
          <w:rFonts w:ascii="宋体" w:hAnsi="宋体" w:cs="宋体" w:eastAsia="宋体" w:hint="default"/>
          <w:b w:val="0"/>
          <w:bCs w:val="0"/>
        </w:rPr>
      </w:pPr>
      <w:r>
        <w:rPr>
          <w:rFonts w:ascii="宋体" w:hAnsi="宋体" w:cs="宋体" w:eastAsia="宋体" w:hint="default"/>
        </w:rPr>
        <w:t>19.</w:t>
      </w:r>
      <w:r>
        <w:rPr>
          <w:rFonts w:ascii="宋体" w:hAnsi="宋体" w:cs="宋体" w:eastAsia="宋体" w:hint="default"/>
          <w:spacing w:val="2"/>
        </w:rPr>
        <w:t> </w:t>
      </w:r>
      <w:r>
        <w:rPr/>
        <w:t>长期应收款</w:t>
      </w:r>
      <w:r>
        <w:rPr>
          <w:w w:val="100"/>
        </w:rPr>
        <w:t> </w:t>
      </w:r>
      <w:r>
        <w:rPr>
          <w:rFonts w:ascii="宋体" w:hAnsi="宋体" w:cs="宋体" w:eastAsia="宋体" w:hint="default"/>
        </w:rPr>
        <w:t>(1).</w:t>
      </w:r>
      <w:r>
        <w:rPr/>
        <w:t>长期应收款预期信用损失的确定方法及会计处理方法</w:t>
      </w:r>
      <w:r>
        <w:rPr>
          <w:rFonts w:ascii="宋体" w:hAnsi="宋体" w:cs="宋体" w:eastAsia="宋体" w:hint="default"/>
          <w:w w:val="99"/>
        </w:rPr>
        <w:t> </w:t>
      </w:r>
      <w:r>
        <w:rPr>
          <w:rFonts w:ascii="宋体" w:hAnsi="宋体" w:cs="宋体" w:eastAsia="宋体" w:hint="default"/>
          <w:b w:val="0"/>
          <w:bCs w:val="0"/>
        </w:rPr>
      </w:r>
    </w:p>
    <w:p>
      <w:pPr>
        <w:pStyle w:val="Heading2"/>
        <w:spacing w:line="307" w:lineRule="exact"/>
        <w:ind w:left="21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2"/>
        <w:spacing w:line="313" w:lineRule="exact"/>
        <w:ind w:left="216" w:right="0"/>
        <w:jc w:val="left"/>
        <w:rPr>
          <w:rFonts w:ascii="宋体" w:hAnsi="宋体" w:cs="宋体" w:eastAsia="宋体" w:hint="default"/>
        </w:rPr>
      </w:pPr>
      <w:r>
        <w:rPr>
          <w:rFonts w:ascii="宋体"/>
        </w:rPr>
        <w:t> </w:t>
      </w:r>
    </w:p>
    <w:p>
      <w:pPr>
        <w:pStyle w:val="Heading3"/>
        <w:spacing w:line="240" w:lineRule="auto" w:before="85"/>
        <w:ind w:left="216" w:right="0"/>
        <w:jc w:val="left"/>
        <w:rPr>
          <w:b w:val="0"/>
          <w:bCs w:val="0"/>
        </w:rPr>
      </w:pPr>
      <w:r>
        <w:rPr>
          <w:rFonts w:ascii="宋体" w:hAnsi="宋体" w:cs="宋体" w:eastAsia="宋体" w:hint="default"/>
        </w:rPr>
        <w:t>20.</w:t>
      </w:r>
      <w:r>
        <w:rPr>
          <w:rFonts w:ascii="宋体" w:hAnsi="宋体" w:cs="宋体" w:eastAsia="宋体" w:hint="default"/>
          <w:spacing w:val="3"/>
        </w:rPr>
        <w:t> </w:t>
      </w:r>
      <w:r>
        <w:rPr/>
        <w:t>长期股权投资</w:t>
      </w:r>
      <w:r>
        <w:rPr>
          <w:b w:val="0"/>
          <w:bCs w:val="0"/>
        </w:rPr>
      </w:r>
    </w:p>
    <w:p>
      <w:pPr>
        <w:spacing w:line="364" w:lineRule="auto" w:before="97"/>
        <w:ind w:left="216" w:right="4886"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pacing w:val="-1"/>
          <w:sz w:val="21"/>
          <w:szCs w:val="21"/>
        </w:rPr>
        <w:t>1</w:t>
      </w:r>
      <w:r>
        <w:rPr>
          <w:rFonts w:ascii="宋体" w:hAnsi="宋体" w:cs="宋体" w:eastAsia="宋体" w:hint="default"/>
          <w:b/>
          <w:bCs/>
          <w:spacing w:val="-1"/>
          <w:sz w:val="21"/>
          <w:szCs w:val="21"/>
        </w:rPr>
        <w:t>、共同控制、重大影响的判断标准</w:t>
      </w:r>
      <w:r>
        <w:rPr>
          <w:rFonts w:ascii="宋体" w:hAnsi="宋体" w:cs="宋体" w:eastAsia="宋体" w:hint="default"/>
          <w:spacing w:val="-1"/>
          <w:sz w:val="21"/>
          <w:szCs w:val="21"/>
        </w:rPr>
      </w:r>
    </w:p>
    <w:p>
      <w:pPr>
        <w:pStyle w:val="BodyText"/>
        <w:spacing w:line="350" w:lineRule="auto" w:before="16"/>
        <w:ind w:left="216" w:right="0"/>
        <w:jc w:val="left"/>
      </w:pPr>
      <w:r>
        <w:rPr>
          <w:spacing w:val="-1"/>
        </w:rPr>
        <w:t>共同控制，是指按照相关约定对某项安排所共有的控制，并且该安排的相关活动必须经过分享控</w:t>
      </w:r>
      <w:r>
        <w:rPr>
          <w:spacing w:val="-55"/>
        </w:rPr>
        <w:t> </w:t>
      </w:r>
      <w:r>
        <w:rPr>
          <w:spacing w:val="-55"/>
        </w:rPr>
      </w:r>
      <w:r>
        <w:rPr>
          <w:spacing w:val="-1"/>
        </w:rPr>
        <w:t>制权的参与方一致同意后才能决策。本公司与其他合营方一同对被投资单位实施共同控制且对被</w:t>
      </w:r>
      <w:r>
        <w:rPr>
          <w:spacing w:val="-55"/>
        </w:rPr>
        <w:t> </w:t>
      </w:r>
      <w:r>
        <w:rPr>
          <w:spacing w:val="-55"/>
        </w:rPr>
      </w:r>
      <w:r>
        <w:rPr/>
        <w:t>投资单位净资产享有权利的，被投资单位为本公司的合营企业。</w:t>
      </w:r>
      <w:r>
        <w:rPr>
          <w:w w:val="100"/>
        </w:rPr>
        <w:t> </w:t>
      </w:r>
      <w:r>
        <w:rPr>
          <w:spacing w:val="-1"/>
        </w:rPr>
        <w:t>重大影响，是指对一个企业的财务和经营决策有参与决策的权力，但并不能够控制或者与其他方</w:t>
      </w:r>
      <w:r>
        <w:rPr>
          <w:spacing w:val="-55"/>
        </w:rPr>
        <w:t> </w:t>
      </w:r>
      <w:r>
        <w:rPr>
          <w:spacing w:val="-55"/>
        </w:rPr>
      </w:r>
      <w:r>
        <w:rPr>
          <w:spacing w:val="-1"/>
        </w:rPr>
        <w:t>一起共同控制这些政策的制定。本公司能够对被投资单位施加重大影响的，被投资单位为本公司</w:t>
      </w:r>
      <w:r>
        <w:rPr>
          <w:spacing w:val="-55"/>
        </w:rPr>
        <w:t> </w:t>
      </w:r>
      <w:r>
        <w:rPr>
          <w:spacing w:val="-55"/>
        </w:rPr>
      </w:r>
      <w:r>
        <w:rPr/>
        <w:t>联营企业。</w:t>
      </w:r>
    </w:p>
    <w:p>
      <w:pPr>
        <w:spacing w:line="240" w:lineRule="auto" w:before="0"/>
        <w:rPr>
          <w:rFonts w:ascii="宋体" w:hAnsi="宋体" w:cs="宋体" w:eastAsia="宋体" w:hint="default"/>
          <w:sz w:val="20"/>
          <w:szCs w:val="20"/>
        </w:rPr>
      </w:pPr>
    </w:p>
    <w:p>
      <w:pPr>
        <w:pStyle w:val="Heading3"/>
        <w:spacing w:line="240" w:lineRule="auto" w:before="166"/>
        <w:ind w:left="216" w:right="0"/>
        <w:jc w:val="left"/>
        <w:rPr>
          <w:b w:val="0"/>
          <w:bCs w:val="0"/>
        </w:rPr>
      </w:pPr>
      <w:r>
        <w:rPr>
          <w:rFonts w:ascii="Times New Roman" w:hAnsi="Times New Roman" w:cs="Times New Roman" w:eastAsia="Times New Roman" w:hint="default"/>
        </w:rPr>
        <w:t>2</w:t>
      </w:r>
      <w:r>
        <w:rPr/>
        <w:t>、初始投资成本的确定</w:t>
      </w:r>
      <w:r>
        <w:rPr>
          <w:b w:val="0"/>
          <w:bCs w:val="0"/>
        </w:rPr>
      </w:r>
    </w:p>
    <w:p>
      <w:pPr>
        <w:pStyle w:val="BodyText"/>
        <w:spacing w:line="331" w:lineRule="auto" w:before="110"/>
        <w:ind w:left="216" w:right="0"/>
        <w:jc w:val="left"/>
      </w:pPr>
      <w:r>
        <w:rPr/>
        <w:t>（</w:t>
      </w:r>
      <w:r>
        <w:rPr>
          <w:rFonts w:ascii="Times New Roman" w:hAnsi="Times New Roman" w:cs="Times New Roman" w:eastAsia="Times New Roman" w:hint="default"/>
        </w:rPr>
        <w:t>1</w:t>
      </w:r>
      <w:r>
        <w:rPr/>
        <w:t>）企业合并形成的长期股权投资</w:t>
      </w:r>
      <w:r>
        <w:rPr>
          <w:w w:val="100"/>
        </w:rPr>
        <w:t> </w:t>
      </w:r>
      <w:r>
        <w:rPr>
          <w:spacing w:val="-1"/>
        </w:rPr>
        <w:t>同一控制下的企业合并：公司以支付现金、转让非现金资产或承担债务方式以及以发行权益性证</w:t>
      </w:r>
    </w:p>
    <w:p>
      <w:pPr>
        <w:spacing w:after="0" w:line="331" w:lineRule="auto"/>
        <w:jc w:val="left"/>
        <w:sectPr>
          <w:pgSz w:w="11910" w:h="16840"/>
          <w:pgMar w:header="748" w:footer="974" w:top="1140" w:bottom="1160" w:left="1060" w:right="1660"/>
        </w:sectPr>
      </w:pPr>
    </w:p>
    <w:p>
      <w:pPr>
        <w:spacing w:line="240" w:lineRule="auto" w:before="3"/>
        <w:rPr>
          <w:rFonts w:ascii="宋体" w:hAnsi="宋体" w:cs="宋体" w:eastAsia="宋体" w:hint="default"/>
          <w:sz w:val="27"/>
          <w:szCs w:val="27"/>
        </w:rPr>
      </w:pPr>
    </w:p>
    <w:p>
      <w:pPr>
        <w:pStyle w:val="BodyText"/>
        <w:spacing w:line="350" w:lineRule="auto" w:before="36"/>
        <w:ind w:left="216" w:right="0"/>
        <w:jc w:val="left"/>
      </w:pPr>
      <w:r>
        <w:rPr>
          <w:spacing w:val="-1"/>
        </w:rPr>
        <w:t>券作为合并对价的，在合并日按照取得被合并方所有者权益在最终控制方合并财务报表中的账面</w:t>
      </w:r>
      <w:r>
        <w:rPr>
          <w:spacing w:val="-55"/>
        </w:rPr>
        <w:t> </w:t>
      </w:r>
      <w:r>
        <w:rPr>
          <w:spacing w:val="-55"/>
        </w:rPr>
      </w:r>
      <w:r>
        <w:rPr>
          <w:spacing w:val="-1"/>
        </w:rPr>
        <w:t>价值的份额作为长期股权投资的初始投资成本。因追加投资等原因能够对同一控制下的被投资单</w:t>
      </w:r>
      <w:r>
        <w:rPr>
          <w:spacing w:val="-55"/>
        </w:rPr>
        <w:t> </w:t>
      </w:r>
      <w:r>
        <w:rPr>
          <w:spacing w:val="-55"/>
        </w:rPr>
      </w:r>
      <w:r>
        <w:rPr>
          <w:spacing w:val="-1"/>
        </w:rPr>
        <w:t>位实施控制的，在合并日根据合并后应享有被合并方净资产在最终控制方合并财务报表中的账面</w:t>
      </w:r>
      <w:r>
        <w:rPr>
          <w:spacing w:val="-55"/>
        </w:rPr>
        <w:t> </w:t>
      </w:r>
      <w:r>
        <w:rPr>
          <w:spacing w:val="-55"/>
        </w:rPr>
      </w:r>
      <w:r>
        <w:rPr>
          <w:spacing w:val="-1"/>
        </w:rPr>
        <w:t>价值的份额，确定长期股权投资的初始投资成本。合并日长期股权投资的初始投资成本，与达到</w:t>
      </w:r>
      <w:r>
        <w:rPr>
          <w:spacing w:val="-55"/>
        </w:rPr>
        <w:t> </w:t>
      </w:r>
      <w:r>
        <w:rPr>
          <w:spacing w:val="-55"/>
        </w:rPr>
      </w:r>
      <w:r>
        <w:rPr>
          <w:spacing w:val="-1"/>
        </w:rPr>
        <w:t>合并前的长期股权投资账面价值加上合并日进一步取得股份新支付对价的账面价值之和的差额，</w:t>
      </w:r>
      <w:r>
        <w:rPr>
          <w:spacing w:val="-55"/>
        </w:rPr>
        <w:t> </w:t>
      </w:r>
      <w:r>
        <w:rPr>
          <w:spacing w:val="-55"/>
        </w:rPr>
      </w:r>
      <w:r>
        <w:rPr/>
        <w:t>调整股本溢价，股本溢价不足冲减的，冲减留存收益。</w:t>
      </w:r>
      <w:r>
        <w:rPr>
          <w:w w:val="100"/>
        </w:rPr>
        <w:t> </w:t>
      </w:r>
      <w:r>
        <w:rPr>
          <w:spacing w:val="-1"/>
        </w:rPr>
        <w:t>非同一控制下的企业合并：公司按照购买日确定的合并成本作为长期股权投资的初始投资成本。</w:t>
      </w:r>
      <w:r>
        <w:rPr>
          <w:spacing w:val="-55"/>
        </w:rPr>
        <w:t> </w:t>
      </w:r>
      <w:r>
        <w:rPr>
          <w:spacing w:val="-55"/>
        </w:rPr>
      </w:r>
      <w:r>
        <w:rPr>
          <w:spacing w:val="-1"/>
        </w:rPr>
        <w:t>因追加投资等原因能够对非同一控制下的被投资单位实施控制的，按照原持有的股权投资账面价</w:t>
      </w:r>
      <w:r>
        <w:rPr>
          <w:spacing w:val="-55"/>
        </w:rPr>
        <w:t> </w:t>
      </w:r>
      <w:r>
        <w:rPr>
          <w:spacing w:val="-55"/>
        </w:rPr>
      </w:r>
      <w:r>
        <w:rPr/>
        <w:t>值加上新增投资成本之和，作为改按成本法核算的初始投资成本。</w:t>
      </w:r>
    </w:p>
    <w:p>
      <w:pPr>
        <w:pStyle w:val="BodyText"/>
        <w:spacing w:line="348" w:lineRule="auto" w:before="30"/>
        <w:ind w:left="216" w:right="126"/>
        <w:jc w:val="left"/>
      </w:pPr>
      <w:r>
        <w:rPr/>
        <w:t>（</w:t>
      </w:r>
      <w:r>
        <w:rPr>
          <w:rFonts w:ascii="Times New Roman" w:hAnsi="Times New Roman" w:cs="Times New Roman" w:eastAsia="Times New Roman" w:hint="default"/>
        </w:rPr>
        <w:t>2</w:t>
      </w:r>
      <w:r>
        <w:rPr/>
        <w:t>）其他方式取得的长期股权投资</w:t>
      </w:r>
      <w:r>
        <w:rPr>
          <w:w w:val="100"/>
        </w:rPr>
        <w:t> </w:t>
      </w:r>
      <w:r>
        <w:rPr/>
        <w:t>以支付现金方式取得的长期股权投资，按照实际支付的购买价款作为初始投资成本。</w:t>
      </w:r>
      <w:r>
        <w:rPr>
          <w:w w:val="100"/>
        </w:rPr>
        <w:t> </w:t>
      </w:r>
      <w:r>
        <w:rPr/>
        <w:t>以发行权益性证券取得的长期股权投资，按照发行权益性证券的公允价值作为初始投资成本。</w:t>
      </w:r>
      <w:r>
        <w:rPr>
          <w:w w:val="100"/>
        </w:rPr>
        <w:t> </w:t>
      </w:r>
      <w:r>
        <w:rPr>
          <w:spacing w:val="-1"/>
        </w:rPr>
        <w:t>在非货币性资产交换具有商业实质，且换入资产或换出资产的公允价值能够可靠计量时，以公允</w:t>
      </w:r>
      <w:r>
        <w:rPr>
          <w:spacing w:val="-55"/>
        </w:rPr>
        <w:t> </w:t>
      </w:r>
      <w:r>
        <w:rPr>
          <w:spacing w:val="-55"/>
        </w:rPr>
      </w:r>
      <w:r>
        <w:rPr>
          <w:spacing w:val="-6"/>
          <w:w w:val="100"/>
        </w:rPr>
        <w:t>价值为基础计量。如换入资产和换出资产的公允价值均能可靠计量的，对于换入的长期股权投资，</w:t>
      </w:r>
      <w:r>
        <w:rPr>
          <w:w w:val="100"/>
        </w:rPr>
        <w:t> </w:t>
      </w:r>
      <w:r>
        <w:rPr>
          <w:spacing w:val="-1"/>
        </w:rPr>
        <w:t>以换出资产的公允价值和应支付的相关税费作为换入的长期股权投资的初始投资成本，除非有确</w:t>
      </w:r>
      <w:r>
        <w:rPr>
          <w:spacing w:val="-55"/>
        </w:rPr>
        <w:t> </w:t>
      </w:r>
      <w:r>
        <w:rPr>
          <w:spacing w:val="-55"/>
        </w:rPr>
      </w:r>
      <w:r>
        <w:rPr>
          <w:spacing w:val="-1"/>
        </w:rPr>
        <w:t>凿证据表明换入资产的公允价值更加可靠。非货币性资产交换不具有商业实质，或换入资产和换</w:t>
      </w:r>
      <w:r>
        <w:rPr>
          <w:spacing w:val="-55"/>
        </w:rPr>
        <w:t> </w:t>
      </w:r>
      <w:r>
        <w:rPr>
          <w:spacing w:val="-55"/>
        </w:rPr>
      </w:r>
      <w:r>
        <w:rPr>
          <w:spacing w:val="-1"/>
        </w:rPr>
        <w:t>出资产的公允价值均不能可靠计量的，对于换入的长期股权投资，以换出资产的账面价值和应支</w:t>
      </w:r>
      <w:r>
        <w:rPr>
          <w:spacing w:val="-55"/>
        </w:rPr>
        <w:t> </w:t>
      </w:r>
      <w:r>
        <w:rPr>
          <w:spacing w:val="-55"/>
        </w:rPr>
      </w:r>
      <w:r>
        <w:rPr/>
        <w:t>付的相关税费作为换入长期股权投资的初始投资成本。</w:t>
      </w:r>
      <w:r>
        <w:rPr>
          <w:w w:val="100"/>
        </w:rPr>
        <w:t> </w:t>
      </w:r>
      <w:r>
        <w:rPr>
          <w:spacing w:val="-1"/>
        </w:rPr>
        <w:t>通过债务重组取得的长期股权投资，以所放弃债权的公允价值和可直接归属于该资产的税金等其</w:t>
      </w:r>
      <w:r>
        <w:rPr>
          <w:spacing w:val="-54"/>
        </w:rPr>
        <w:t> </w:t>
      </w:r>
      <w:r>
        <w:rPr>
          <w:spacing w:val="-54"/>
        </w:rPr>
      </w:r>
      <w:r>
        <w:rPr/>
        <w:t>他成本确定其入账价值，并将所放弃债权的公允价值与账面价值之间的差额，计入当期损益。</w:t>
      </w:r>
    </w:p>
    <w:p>
      <w:pPr>
        <w:spacing w:line="240" w:lineRule="auto" w:before="0"/>
        <w:rPr>
          <w:rFonts w:ascii="宋体" w:hAnsi="宋体" w:cs="宋体" w:eastAsia="宋体" w:hint="default"/>
          <w:sz w:val="20"/>
          <w:szCs w:val="20"/>
        </w:rPr>
      </w:pPr>
    </w:p>
    <w:p>
      <w:pPr>
        <w:pStyle w:val="Heading3"/>
        <w:spacing w:line="240" w:lineRule="auto" w:before="168"/>
        <w:ind w:left="216" w:right="0"/>
        <w:jc w:val="left"/>
        <w:rPr>
          <w:b w:val="0"/>
          <w:bCs w:val="0"/>
        </w:rPr>
      </w:pPr>
      <w:r>
        <w:rPr>
          <w:rFonts w:ascii="Times New Roman" w:hAnsi="Times New Roman" w:cs="Times New Roman" w:eastAsia="Times New Roman" w:hint="default"/>
        </w:rPr>
        <w:t>3</w:t>
      </w:r>
      <w:r>
        <w:rPr/>
        <w:t>、后续计量及损益确认方法</w:t>
      </w:r>
      <w:r>
        <w:rPr>
          <w:b w:val="0"/>
          <w:bCs w:val="0"/>
        </w:rPr>
      </w:r>
    </w:p>
    <w:p>
      <w:pPr>
        <w:pStyle w:val="BodyText"/>
        <w:spacing w:line="343" w:lineRule="auto" w:before="110"/>
        <w:ind w:left="216" w:right="0"/>
        <w:jc w:val="left"/>
      </w:pPr>
      <w:r>
        <w:rPr/>
        <w:t>（</w:t>
      </w:r>
      <w:r>
        <w:rPr>
          <w:rFonts w:ascii="Times New Roman" w:hAnsi="Times New Roman" w:cs="Times New Roman" w:eastAsia="Times New Roman" w:hint="default"/>
        </w:rPr>
        <w:t>1</w:t>
      </w:r>
      <w:r>
        <w:rPr/>
        <w:t>）成本法核算的长期股权投资</w:t>
      </w:r>
      <w:r>
        <w:rPr>
          <w:w w:val="100"/>
        </w:rPr>
        <w:t> </w:t>
      </w:r>
      <w:r>
        <w:rPr>
          <w:spacing w:val="-1"/>
        </w:rPr>
        <w:t>公司对子公司的长期股权投资，采用成本法核算。除取得投资时实际支付的价款或对价中包含的</w:t>
      </w:r>
      <w:r>
        <w:rPr>
          <w:spacing w:val="-55"/>
        </w:rPr>
        <w:t> </w:t>
      </w:r>
      <w:r>
        <w:rPr>
          <w:spacing w:val="-55"/>
        </w:rPr>
      </w:r>
      <w:r>
        <w:rPr>
          <w:spacing w:val="-1"/>
        </w:rPr>
        <w:t>已宣告但尚未发放的现金股利或利润外，公司按照享有被投资单位宣告发放的现金股利或利润确</w:t>
      </w:r>
      <w:r>
        <w:rPr>
          <w:spacing w:val="-55"/>
        </w:rPr>
        <w:t> </w:t>
      </w:r>
      <w:r>
        <w:rPr>
          <w:spacing w:val="-55"/>
        </w:rPr>
      </w:r>
      <w:r>
        <w:rPr/>
        <w:t>认当期投资收益。</w:t>
      </w:r>
    </w:p>
    <w:p>
      <w:pPr>
        <w:pStyle w:val="BodyText"/>
        <w:spacing w:line="345" w:lineRule="auto" w:before="33"/>
        <w:ind w:left="216" w:right="0"/>
        <w:jc w:val="left"/>
      </w:pPr>
      <w:r>
        <w:rPr/>
        <w:t>（</w:t>
      </w:r>
      <w:r>
        <w:rPr>
          <w:rFonts w:ascii="Times New Roman" w:hAnsi="Times New Roman" w:cs="Times New Roman" w:eastAsia="Times New Roman" w:hint="default"/>
        </w:rPr>
        <w:t>2</w:t>
      </w:r>
      <w:r>
        <w:rPr/>
        <w:t>）权益法核算的长期股权投资</w:t>
      </w:r>
      <w:r>
        <w:rPr>
          <w:w w:val="100"/>
        </w:rPr>
        <w:t> </w:t>
      </w:r>
      <w:r>
        <w:rPr>
          <w:spacing w:val="-1"/>
        </w:rPr>
        <w:t>对联营企业和合营企业的长期股权投资，采用权益法核算。初始投资成本大于投资时应享有被投</w:t>
      </w:r>
      <w:r>
        <w:rPr>
          <w:spacing w:val="-55"/>
        </w:rPr>
        <w:t> </w:t>
      </w:r>
      <w:r>
        <w:rPr>
          <w:spacing w:val="-55"/>
        </w:rPr>
      </w:r>
      <w:r>
        <w:rPr>
          <w:spacing w:val="-1"/>
        </w:rPr>
        <w:t>资单位可辨认净资产公允价值份额的差额，不调整长期股权投资的初始投资成本；初始投资成本</w:t>
      </w:r>
      <w:r>
        <w:rPr>
          <w:spacing w:val="-55"/>
        </w:rPr>
        <w:t> </w:t>
      </w:r>
      <w:r>
        <w:rPr>
          <w:spacing w:val="-55"/>
        </w:rPr>
      </w:r>
      <w:r>
        <w:rPr/>
        <w:t>小于投资时应享有被投资单位可辨认净资产公允价值份额的差额，计入当期损益。</w:t>
      </w:r>
      <w:r>
        <w:rPr>
          <w:w w:val="100"/>
        </w:rPr>
        <w:t> </w:t>
      </w:r>
      <w:r>
        <w:rPr>
          <w:spacing w:val="-1"/>
        </w:rPr>
        <w:t>公司按照应享有或应分担的被投资单位实现的净损益和其他综合收益的份额，分别确认投资收益</w:t>
      </w:r>
      <w:r>
        <w:rPr>
          <w:spacing w:val="-55"/>
        </w:rPr>
        <w:t> </w:t>
      </w:r>
      <w:r>
        <w:rPr>
          <w:spacing w:val="-55"/>
        </w:rPr>
      </w:r>
      <w:r>
        <w:rPr>
          <w:spacing w:val="-1"/>
        </w:rPr>
        <w:t>和其他综合收益，同时调整长期股权投资的账面价值；按照被投资单位宣告分派的利润或现金股</w:t>
      </w:r>
      <w:r>
        <w:rPr>
          <w:spacing w:val="-55"/>
        </w:rPr>
        <w:t> </w:t>
      </w:r>
      <w:r>
        <w:rPr>
          <w:spacing w:val="-55"/>
        </w:rPr>
      </w:r>
      <w:r>
        <w:rPr>
          <w:spacing w:val="-1"/>
        </w:rPr>
        <w:t>利计算应享有的部分，相应减少长期股权投资的账面价值；对于被投资单位除净损益、其他综合</w:t>
      </w:r>
      <w:r>
        <w:rPr>
          <w:spacing w:val="-55"/>
        </w:rPr>
        <w:t> </w:t>
      </w:r>
      <w:r>
        <w:rPr>
          <w:spacing w:val="-55"/>
        </w:rPr>
      </w:r>
      <w:r>
        <w:rPr>
          <w:spacing w:val="-2"/>
        </w:rPr>
        <w:t>收益和利润分配以外所有者权益的其他变动，调整长期股权投资的账面价值并计入所有者权益。</w:t>
      </w:r>
    </w:p>
    <w:p>
      <w:pPr>
        <w:spacing w:after="0" w:line="345" w:lineRule="auto"/>
        <w:jc w:val="left"/>
        <w:sectPr>
          <w:pgSz w:w="11910" w:h="16840"/>
          <w:pgMar w:header="748" w:footer="974" w:top="1140" w:bottom="1160" w:left="1060" w:right="1660"/>
        </w:sectPr>
      </w:pPr>
    </w:p>
    <w:p>
      <w:pPr>
        <w:spacing w:line="240" w:lineRule="auto" w:before="3"/>
        <w:rPr>
          <w:rFonts w:ascii="宋体" w:hAnsi="宋体" w:cs="宋体" w:eastAsia="宋体" w:hint="default"/>
          <w:sz w:val="27"/>
          <w:szCs w:val="27"/>
        </w:rPr>
      </w:pPr>
    </w:p>
    <w:p>
      <w:pPr>
        <w:pStyle w:val="BodyText"/>
        <w:spacing w:line="350" w:lineRule="auto" w:before="36"/>
        <w:ind w:left="216" w:right="0"/>
        <w:jc w:val="left"/>
      </w:pPr>
      <w:r>
        <w:rPr/>
        <w:t>在确认应享有被投资单位净损益的份额时，以取得投资时被投资单位可辨认净资产的公允价值为</w:t>
      </w:r>
      <w:r>
        <w:rPr>
          <w:spacing w:val="-97"/>
        </w:rPr>
        <w:t> </w:t>
      </w:r>
      <w:r>
        <w:rPr>
          <w:spacing w:val="-97"/>
        </w:rPr>
      </w:r>
      <w:r>
        <w:rPr/>
        <w:t>基础，并按照公司的会计政策及会计期间，对被投资单位的净利润进行调整后确认。在持有投资</w:t>
      </w:r>
      <w:r>
        <w:rPr>
          <w:spacing w:val="-97"/>
        </w:rPr>
        <w:t> </w:t>
      </w:r>
      <w:r>
        <w:rPr>
          <w:spacing w:val="-97"/>
        </w:rPr>
      </w:r>
      <w:r>
        <w:rPr/>
        <w:t>期间，被投资单位编制合并财务报表的，以合并财务报表中的净利润、其他综合收益和其他所有</w:t>
      </w:r>
      <w:r>
        <w:rPr>
          <w:spacing w:val="-97"/>
        </w:rPr>
        <w:t> </w:t>
      </w:r>
      <w:r>
        <w:rPr>
          <w:spacing w:val="-97"/>
        </w:rPr>
      </w:r>
      <w:r>
        <w:rPr/>
        <w:t>者权益变动中归属于被投资单位的金额为基础进行核算。</w:t>
      </w:r>
      <w:r>
        <w:rPr>
          <w:w w:val="100"/>
        </w:rPr>
        <w:t> </w:t>
      </w:r>
      <w:r>
        <w:rPr/>
        <w:t>公司与联营企业、合营企业之间发生的未实现内部交易损益按照应享有的比例计算归属于公司的</w:t>
      </w:r>
      <w:r>
        <w:rPr>
          <w:spacing w:val="-97"/>
        </w:rPr>
        <w:t> </w:t>
      </w:r>
      <w:r>
        <w:rPr>
          <w:spacing w:val="-97"/>
        </w:rPr>
      </w:r>
      <w:r>
        <w:rPr/>
        <w:t>部分，予以抵销，在此基础上确认投资收益。与被投资单位发生的未实现内部交易损失，属于资</w:t>
      </w:r>
      <w:r>
        <w:rPr>
          <w:spacing w:val="-97"/>
        </w:rPr>
        <w:t> </w:t>
      </w:r>
      <w:r>
        <w:rPr>
          <w:spacing w:val="-97"/>
        </w:rPr>
      </w:r>
      <w:r>
        <w:rPr/>
        <w:t>产减值损失的，全额确认。公司与联营企业、合营企业之间发生投出或出售资产的交易，该资产</w:t>
      </w:r>
      <w:r>
        <w:rPr>
          <w:spacing w:val="-96"/>
        </w:rPr>
        <w:t> </w:t>
      </w:r>
      <w:r>
        <w:rPr>
          <w:spacing w:val="-96"/>
        </w:rPr>
      </w:r>
      <w:r>
        <w:rPr>
          <w:spacing w:val="-11"/>
          <w:w w:val="100"/>
        </w:rPr>
        <w:t>构成业务的，按照本附注“三、（五）同一控制下和非同一控制下企业合并的会计处理方法”和“三、</w:t>
      </w:r>
    </w:p>
    <w:p>
      <w:pPr>
        <w:pStyle w:val="BodyText"/>
        <w:spacing w:line="350" w:lineRule="auto" w:before="27"/>
        <w:ind w:left="216" w:right="0"/>
        <w:jc w:val="left"/>
      </w:pPr>
      <w:r>
        <w:rPr/>
        <w:t>（六）合并财务报表的编制方法”中披露的相关政策进行会计处理。</w:t>
      </w:r>
      <w:r>
        <w:rPr>
          <w:w w:val="100"/>
        </w:rPr>
        <w:t> </w:t>
      </w:r>
      <w:r>
        <w:rPr>
          <w:spacing w:val="-1"/>
        </w:rPr>
        <w:t>在公司确认应分担被投资单位发生的亏损时，按照以下顺序进行处理：首先，冲减长期股权投资</w:t>
      </w:r>
      <w:r>
        <w:rPr>
          <w:spacing w:val="-55"/>
        </w:rPr>
        <w:t> </w:t>
      </w:r>
      <w:r>
        <w:rPr>
          <w:spacing w:val="-55"/>
        </w:rPr>
      </w:r>
      <w:r>
        <w:rPr>
          <w:spacing w:val="-1"/>
        </w:rPr>
        <w:t>的账面价值。其次，长期股权投资的账面价值不足以冲减的，以其他实质上构成对被投资单位净</w:t>
      </w:r>
      <w:r>
        <w:rPr>
          <w:spacing w:val="-55"/>
        </w:rPr>
        <w:t> </w:t>
      </w:r>
      <w:r>
        <w:rPr>
          <w:spacing w:val="-55"/>
        </w:rPr>
      </w:r>
      <w:r>
        <w:rPr>
          <w:spacing w:val="-1"/>
        </w:rPr>
        <w:t>投资的长期权益账面价值为限继续确认投资损失，冲减长期应收项目等的账面价值。最后，经过</w:t>
      </w:r>
      <w:r>
        <w:rPr>
          <w:spacing w:val="-55"/>
        </w:rPr>
        <w:t> </w:t>
      </w:r>
      <w:r>
        <w:rPr>
          <w:spacing w:val="-55"/>
        </w:rPr>
      </w:r>
      <w:r>
        <w:rPr>
          <w:spacing w:val="-1"/>
        </w:rPr>
        <w:t>上述处理，按照投资合同或协议约定企业仍承担额外义务的，按预计承担的义务确认预计负债，</w:t>
      </w:r>
      <w:r>
        <w:rPr>
          <w:spacing w:val="-55"/>
        </w:rPr>
        <w:t> </w:t>
      </w:r>
      <w:r>
        <w:rPr>
          <w:spacing w:val="-55"/>
        </w:rPr>
      </w:r>
      <w:r>
        <w:rPr/>
        <w:t>计入当期投资损失。</w:t>
      </w:r>
    </w:p>
    <w:p>
      <w:pPr>
        <w:pStyle w:val="BodyText"/>
        <w:spacing w:line="348" w:lineRule="auto" w:before="27"/>
        <w:ind w:left="216" w:right="306"/>
        <w:jc w:val="left"/>
      </w:pPr>
      <w:r>
        <w:rPr/>
        <w:t>（</w:t>
      </w:r>
      <w:r>
        <w:rPr>
          <w:rFonts w:ascii="Times New Roman" w:hAnsi="Times New Roman" w:cs="Times New Roman" w:eastAsia="Times New Roman" w:hint="default"/>
        </w:rPr>
        <w:t>3</w:t>
      </w:r>
      <w:r>
        <w:rPr/>
        <w:t>）长期股权投资的处置</w:t>
      </w:r>
      <w:r>
        <w:rPr>
          <w:w w:val="100"/>
        </w:rPr>
        <w:t> </w:t>
      </w:r>
      <w:r>
        <w:rPr/>
        <w:t>处置长期股权投资，其账面价值与实际取得价款的差额，计入当期损益。</w:t>
      </w:r>
      <w:r>
        <w:rPr>
          <w:w w:val="100"/>
        </w:rPr>
        <w:t> </w:t>
      </w:r>
      <w:r>
        <w:rPr>
          <w:spacing w:val="-1"/>
        </w:rPr>
        <w:t>采用权益法核算的长期股权投资，在处置该项投资时，采用与被投资单位直接处置相关资产或负</w:t>
      </w:r>
      <w:r>
        <w:rPr>
          <w:spacing w:val="-55"/>
        </w:rPr>
        <w:t> </w:t>
      </w:r>
      <w:r>
        <w:rPr>
          <w:spacing w:val="-55"/>
        </w:rPr>
      </w:r>
      <w:r>
        <w:rPr>
          <w:spacing w:val="-6"/>
          <w:w w:val="100"/>
        </w:rPr>
        <w:t>债相同的基础，按相应比例对原计入其他综合收益的部分进行会计处理。因被投资单位除净损益、</w:t>
      </w:r>
      <w:r>
        <w:rPr>
          <w:spacing w:val="-104"/>
          <w:w w:val="100"/>
        </w:rPr>
        <w:t> </w:t>
      </w:r>
      <w:r>
        <w:rPr>
          <w:spacing w:val="-104"/>
          <w:w w:val="100"/>
        </w:rPr>
      </w:r>
      <w:r>
        <w:rPr>
          <w:spacing w:val="-1"/>
        </w:rPr>
        <w:t>其他综合收益和利润分配以外的其他所有者权益变动而确认的所有者权益，按比例结转入当期损</w:t>
      </w:r>
      <w:r>
        <w:rPr>
          <w:spacing w:val="-55"/>
        </w:rPr>
        <w:t> </w:t>
      </w:r>
      <w:r>
        <w:rPr>
          <w:spacing w:val="-55"/>
        </w:rPr>
      </w:r>
      <w:r>
        <w:rPr/>
        <w:t>益，由于被投资方重新计量设定受益计划净负债或净资产变动而产生的其他综合收益除外。</w:t>
      </w:r>
      <w:r>
        <w:rPr>
          <w:w w:val="100"/>
        </w:rPr>
        <w:t> </w:t>
      </w:r>
      <w:r>
        <w:rPr>
          <w:spacing w:val="-1"/>
        </w:rPr>
        <w:t>因处置部分股权投资等原因丧失了对被投资单位的共同控制或重大影响的，处置后的剩余股权改</w:t>
      </w:r>
      <w:r>
        <w:rPr>
          <w:spacing w:val="-55"/>
        </w:rPr>
        <w:t> </w:t>
      </w:r>
      <w:r>
        <w:rPr>
          <w:spacing w:val="-55"/>
        </w:rPr>
      </w:r>
      <w:r>
        <w:rPr>
          <w:spacing w:val="-1"/>
        </w:rPr>
        <w:t>按金融工具确认和计量准则核算，其在丧失共同控制或重大影响之日的公允价值与账面价值之间</w:t>
      </w:r>
      <w:r>
        <w:rPr>
          <w:spacing w:val="-55"/>
        </w:rPr>
        <w:t> </w:t>
      </w:r>
      <w:r>
        <w:rPr>
          <w:spacing w:val="-55"/>
        </w:rPr>
      </w:r>
      <w:r>
        <w:rPr>
          <w:spacing w:val="-1"/>
        </w:rPr>
        <w:t>的差额计入当期损益。原股权投资因采用权益法核算而确认的其他综合收益，在终止采用权益法</w:t>
      </w:r>
      <w:r>
        <w:rPr>
          <w:spacing w:val="-55"/>
        </w:rPr>
        <w:t> </w:t>
      </w:r>
      <w:r>
        <w:rPr>
          <w:spacing w:val="-55"/>
        </w:rPr>
      </w:r>
      <w:r>
        <w:rPr>
          <w:spacing w:val="-1"/>
        </w:rPr>
        <w:t>核算时采用与被投资单位直接处置相关资产或负债相同的基础进行会计处理。因被投资方除净损</w:t>
      </w:r>
      <w:r>
        <w:rPr>
          <w:spacing w:val="-55"/>
        </w:rPr>
        <w:t> </w:t>
      </w:r>
      <w:r>
        <w:rPr>
          <w:spacing w:val="-55"/>
        </w:rPr>
      </w:r>
      <w:r>
        <w:rPr>
          <w:spacing w:val="-1"/>
        </w:rPr>
        <w:t>益、其他综合收益和利润分配以外的其他所有者权益变动而确认的所有者权益，在终止采用权益</w:t>
      </w:r>
      <w:r>
        <w:rPr>
          <w:spacing w:val="-55"/>
        </w:rPr>
        <w:t> </w:t>
      </w:r>
      <w:r>
        <w:rPr>
          <w:spacing w:val="-55"/>
        </w:rPr>
      </w:r>
      <w:r>
        <w:rPr/>
        <w:t>法核算时全部转入当期损益。</w:t>
      </w:r>
      <w:r>
        <w:rPr>
          <w:w w:val="100"/>
        </w:rPr>
        <w:t> </w:t>
      </w:r>
      <w:r>
        <w:rPr>
          <w:spacing w:val="-1"/>
        </w:rPr>
        <w:t>因处置部分股权投资、因其他投资方对子公司增资而导致本公司持股比例下降等原因丧失了对被</w:t>
      </w:r>
      <w:r>
        <w:rPr>
          <w:spacing w:val="-55"/>
        </w:rPr>
        <w:t> </w:t>
      </w:r>
      <w:r>
        <w:rPr>
          <w:spacing w:val="-55"/>
        </w:rPr>
      </w:r>
      <w:r>
        <w:rPr>
          <w:spacing w:val="-1"/>
        </w:rPr>
        <w:t>投资单位控制权的，在编制个别财务报表时，剩余股权能够对被投资单位实施共同控制或重大影</w:t>
      </w:r>
      <w:r>
        <w:rPr>
          <w:spacing w:val="-55"/>
        </w:rPr>
        <w:t> </w:t>
      </w:r>
      <w:r>
        <w:rPr>
          <w:spacing w:val="-55"/>
        </w:rPr>
      </w:r>
      <w:r>
        <w:rPr>
          <w:spacing w:val="-1"/>
        </w:rPr>
        <w:t>响的，改按权益法核算，并对该剩余股权视同自取得时即采用权益法核算进行调整；剩余股权不</w:t>
      </w:r>
      <w:r>
        <w:rPr>
          <w:spacing w:val="-55"/>
        </w:rPr>
        <w:t> </w:t>
      </w:r>
      <w:r>
        <w:rPr>
          <w:spacing w:val="-55"/>
        </w:rPr>
      </w:r>
      <w:r>
        <w:rPr>
          <w:spacing w:val="-1"/>
        </w:rPr>
        <w:t>能对被投资单位实施共同控制或施加重大影响的，改按金融工具确认和计量准则的有关规定进行</w:t>
      </w:r>
      <w:r>
        <w:rPr>
          <w:spacing w:val="-55"/>
        </w:rPr>
        <w:t> </w:t>
      </w:r>
      <w:r>
        <w:rPr>
          <w:spacing w:val="-55"/>
        </w:rPr>
      </w:r>
      <w:r>
        <w:rPr/>
        <w:t>会计处理，其在丧失控制之日的公允价值与账面价值间的差额计入当期损益。</w:t>
      </w:r>
      <w:r>
        <w:rPr>
          <w:w w:val="100"/>
        </w:rPr>
        <w:t> </w:t>
      </w:r>
      <w:r>
        <w:rPr>
          <w:spacing w:val="-1"/>
        </w:rPr>
        <w:t>处置的股权是因追加投资等原因通过企业合并取得的，在编制个别财务报表时，处置后的剩余股</w:t>
      </w:r>
      <w:r>
        <w:rPr>
          <w:spacing w:val="-55"/>
        </w:rPr>
        <w:t> </w:t>
      </w:r>
      <w:r>
        <w:rPr>
          <w:spacing w:val="-55"/>
        </w:rPr>
      </w:r>
      <w:r>
        <w:rPr>
          <w:spacing w:val="-1"/>
        </w:rPr>
        <w:t>权采用成本法或权益法核算的，购买日之前持有的股权投资因采用权益法核算而确认的其他综合</w:t>
      </w:r>
    </w:p>
    <w:p>
      <w:pPr>
        <w:spacing w:after="0" w:line="348" w:lineRule="auto"/>
        <w:jc w:val="left"/>
        <w:sectPr>
          <w:pgSz w:w="11910" w:h="16840"/>
          <w:pgMar w:header="748" w:footer="974" w:top="1140" w:bottom="1160" w:left="1060" w:right="1480"/>
        </w:sectPr>
      </w:pPr>
    </w:p>
    <w:p>
      <w:pPr>
        <w:spacing w:line="240" w:lineRule="auto" w:before="3"/>
        <w:rPr>
          <w:rFonts w:ascii="宋体" w:hAnsi="宋体" w:cs="宋体" w:eastAsia="宋体" w:hint="default"/>
          <w:sz w:val="27"/>
          <w:szCs w:val="27"/>
        </w:rPr>
      </w:pPr>
    </w:p>
    <w:p>
      <w:pPr>
        <w:pStyle w:val="BodyText"/>
        <w:spacing w:line="350" w:lineRule="auto" w:before="36"/>
        <w:ind w:left="216" w:right="0"/>
        <w:jc w:val="left"/>
        <w:rPr>
          <w:rFonts w:ascii="宋体" w:hAnsi="宋体" w:cs="宋体" w:eastAsia="宋体" w:hint="default"/>
        </w:rPr>
      </w:pPr>
      <w:r>
        <w:rPr>
          <w:spacing w:val="-1"/>
        </w:rPr>
        <w:t>收益和其他所有者权益按比例结转；处置后的剩余股权改按金融工具确认和计量准则进行会计处</w:t>
      </w:r>
      <w:r>
        <w:rPr>
          <w:spacing w:val="-55"/>
        </w:rPr>
        <w:t> </w:t>
      </w:r>
      <w:r>
        <w:rPr>
          <w:spacing w:val="-55"/>
        </w:rPr>
      </w:r>
      <w:r>
        <w:rPr/>
        <w:t>理的，其他综合收益和其他所有者权益全部结转。</w:t>
      </w:r>
      <w:r>
        <w:rPr>
          <w:rFonts w:ascii="宋体" w:hAnsi="宋体" w:cs="宋体" w:eastAsia="宋体" w:hint="default"/>
        </w:rPr>
        <w:t> </w:t>
      </w:r>
    </w:p>
    <w:p>
      <w:pPr>
        <w:pStyle w:val="BodyText"/>
        <w:spacing w:line="196" w:lineRule="exact"/>
        <w:ind w:left="216" w:right="0"/>
        <w:jc w:val="left"/>
        <w:rPr>
          <w:rFonts w:ascii="宋体" w:hAnsi="宋体" w:cs="宋体" w:eastAsia="宋体" w:hint="default"/>
        </w:rPr>
      </w:pPr>
      <w:r>
        <w:rPr>
          <w:rFonts w:ascii="宋体"/>
          <w:w w:val="100"/>
        </w:rPr>
        <w:t> </w:t>
      </w:r>
    </w:p>
    <w:p>
      <w:pPr>
        <w:spacing w:line="324" w:lineRule="auto" w:before="97"/>
        <w:ind w:left="216" w:right="7359" w:firstLine="0"/>
        <w:jc w:val="left"/>
        <w:rPr>
          <w:rFonts w:ascii="宋体" w:hAnsi="宋体" w:cs="宋体" w:eastAsia="宋体" w:hint="default"/>
          <w:sz w:val="21"/>
          <w:szCs w:val="21"/>
        </w:rPr>
      </w:pPr>
      <w:r>
        <w:rPr>
          <w:rFonts w:ascii="宋体" w:hAnsi="宋体" w:cs="宋体" w:eastAsia="宋体" w:hint="default"/>
          <w:b/>
          <w:bCs/>
          <w:sz w:val="21"/>
          <w:szCs w:val="21"/>
        </w:rPr>
        <w:t>21.</w:t>
      </w:r>
      <w:r>
        <w:rPr>
          <w:rFonts w:ascii="宋体" w:hAnsi="宋体" w:cs="宋体" w:eastAsia="宋体" w:hint="default"/>
          <w:b/>
          <w:bCs/>
          <w:spacing w:val="3"/>
          <w:sz w:val="21"/>
          <w:szCs w:val="21"/>
        </w:rPr>
        <w:t> </w:t>
      </w:r>
      <w:r>
        <w:rPr>
          <w:rFonts w:ascii="宋体" w:hAnsi="宋体" w:cs="宋体" w:eastAsia="宋体" w:hint="default"/>
          <w:b/>
          <w:bCs/>
          <w:sz w:val="21"/>
          <w:szCs w:val="21"/>
        </w:rPr>
        <w:t>投资性房地产</w:t>
      </w:r>
      <w:r>
        <w:rPr>
          <w:rFonts w:ascii="宋体" w:hAnsi="宋体" w:cs="宋体" w:eastAsia="宋体" w:hint="default"/>
          <w:b/>
          <w:bCs/>
          <w:w w:val="100"/>
          <w:sz w:val="21"/>
          <w:szCs w:val="21"/>
        </w:rPr>
        <w:t> </w:t>
      </w:r>
      <w:r>
        <w:rPr>
          <w:rFonts w:ascii="宋体" w:hAnsi="宋体" w:cs="宋体" w:eastAsia="宋体" w:hint="default"/>
          <w:sz w:val="21"/>
          <w:szCs w:val="21"/>
        </w:rPr>
        <w:t>不适用</w:t>
      </w:r>
      <w:r>
        <w:rPr>
          <w:rFonts w:ascii="宋体" w:hAnsi="宋体" w:cs="宋体" w:eastAsia="宋体" w:hint="default"/>
          <w:sz w:val="21"/>
          <w:szCs w:val="21"/>
        </w:rPr>
        <w:t> </w:t>
      </w:r>
    </w:p>
    <w:p>
      <w:pPr>
        <w:pStyle w:val="BodyText"/>
        <w:spacing w:line="238" w:lineRule="exact"/>
        <w:ind w:left="216" w:right="0"/>
        <w:jc w:val="left"/>
        <w:rPr>
          <w:rFonts w:ascii="宋体" w:hAnsi="宋体" w:cs="宋体" w:eastAsia="宋体" w:hint="default"/>
        </w:rPr>
      </w:pPr>
      <w:r>
        <w:rPr>
          <w:rFonts w:ascii="宋体"/>
          <w:w w:val="100"/>
        </w:rPr>
        <w:t> </w:t>
      </w:r>
    </w:p>
    <w:p>
      <w:pPr>
        <w:pStyle w:val="Heading3"/>
        <w:spacing w:line="324" w:lineRule="auto"/>
        <w:ind w:left="216" w:right="6831"/>
        <w:jc w:val="left"/>
        <w:rPr>
          <w:rFonts w:ascii="宋体" w:hAnsi="宋体" w:cs="宋体" w:eastAsia="宋体" w:hint="default"/>
          <w:b w:val="0"/>
          <w:bCs w:val="0"/>
        </w:rPr>
      </w:pPr>
      <w:r>
        <w:rPr>
          <w:rFonts w:ascii="宋体" w:hAnsi="宋体" w:cs="宋体" w:eastAsia="宋体" w:hint="default"/>
        </w:rPr>
        <w:t>22.</w:t>
      </w:r>
      <w:r>
        <w:rPr>
          <w:rFonts w:ascii="宋体" w:hAnsi="宋体" w:cs="宋体" w:eastAsia="宋体" w:hint="default"/>
          <w:spacing w:val="2"/>
        </w:rPr>
        <w:t> </w:t>
      </w:r>
      <w:r>
        <w:rPr/>
        <w:t>固定资产</w:t>
      </w:r>
      <w:r>
        <w:rPr>
          <w:w w:val="100"/>
        </w:rPr>
        <w:t> </w:t>
      </w:r>
      <w:r>
        <w:rPr>
          <w:rFonts w:ascii="宋体" w:hAnsi="宋体" w:cs="宋体" w:eastAsia="宋体" w:hint="default"/>
        </w:rPr>
        <w:t>(1).</w:t>
      </w:r>
      <w:r>
        <w:rPr/>
        <w:t>确认条件</w:t>
      </w:r>
      <w:r>
        <w:rPr>
          <w:rFonts w:ascii="宋体" w:hAnsi="宋体" w:cs="宋体" w:eastAsia="宋体" w:hint="default"/>
          <w:w w:val="99"/>
        </w:rPr>
        <w:t> </w:t>
      </w:r>
      <w:r>
        <w:rPr>
          <w:rFonts w:ascii="宋体" w:hAnsi="宋体" w:cs="宋体" w:eastAsia="宋体" w:hint="default"/>
          <w:b w:val="0"/>
          <w:bCs w:val="0"/>
        </w:rPr>
      </w:r>
    </w:p>
    <w:p>
      <w:pPr>
        <w:pStyle w:val="Heading2"/>
        <w:spacing w:line="310" w:lineRule="exact"/>
        <w:ind w:left="21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BodyText"/>
        <w:spacing w:line="340" w:lineRule="auto" w:before="131"/>
        <w:ind w:left="216" w:right="0" w:firstLine="420"/>
        <w:jc w:val="left"/>
      </w:pPr>
      <w:r>
        <w:rPr>
          <w:rFonts w:ascii="Times New Roman" w:hAnsi="Times New Roman" w:cs="Times New Roman" w:eastAsia="Times New Roman" w:hint="default"/>
          <w:b/>
          <w:bCs/>
        </w:rPr>
        <w:t>1</w:t>
      </w:r>
      <w:r>
        <w:rPr>
          <w:rFonts w:ascii="宋体" w:hAnsi="宋体" w:cs="宋体" w:eastAsia="宋体" w:hint="default"/>
          <w:b/>
          <w:bCs/>
        </w:rPr>
        <w:t>、</w:t>
      </w:r>
      <w:r>
        <w:rPr>
          <w:rFonts w:ascii="宋体" w:hAnsi="宋体" w:cs="宋体" w:eastAsia="宋体" w:hint="default"/>
          <w:b/>
          <w:bCs/>
          <w:spacing w:val="-3"/>
        </w:rPr>
        <w:t> </w:t>
      </w:r>
      <w:r>
        <w:rPr>
          <w:rFonts w:ascii="宋体" w:hAnsi="宋体" w:cs="宋体" w:eastAsia="宋体" w:hint="default"/>
          <w:b/>
          <w:bCs/>
        </w:rPr>
        <w:t>固定资产确认条件</w:t>
      </w:r>
      <w:r>
        <w:rPr>
          <w:rFonts w:ascii="宋体" w:hAnsi="宋体" w:cs="宋体" w:eastAsia="宋体" w:hint="default"/>
          <w:b/>
          <w:bCs/>
          <w:w w:val="100"/>
        </w:rPr>
        <w:t> </w:t>
      </w:r>
      <w:r>
        <w:rPr>
          <w:spacing w:val="-1"/>
        </w:rPr>
        <w:t>固定资产指为生产商品、提供劳务、出租或经营管理而持有，并且使用寿命超过一个会计年度的</w:t>
      </w:r>
      <w:r>
        <w:rPr>
          <w:spacing w:val="-55"/>
        </w:rPr>
        <w:t> </w:t>
      </w:r>
      <w:r>
        <w:rPr>
          <w:spacing w:val="-55"/>
        </w:rPr>
      </w:r>
      <w:r>
        <w:rPr/>
        <w:t>有形资产。固定资产在同时满足下列条件时予以确认：</w:t>
      </w:r>
    </w:p>
    <w:p>
      <w:pPr>
        <w:pStyle w:val="BodyText"/>
        <w:spacing w:line="240" w:lineRule="auto" w:before="35"/>
        <w:ind w:left="216" w:right="0"/>
        <w:jc w:val="left"/>
      </w:pPr>
      <w:r>
        <w:rPr/>
        <w:t>（</w:t>
      </w:r>
      <w:r>
        <w:rPr>
          <w:rFonts w:ascii="Times New Roman" w:hAnsi="Times New Roman" w:cs="Times New Roman" w:eastAsia="Times New Roman" w:hint="default"/>
        </w:rPr>
        <w:t>1</w:t>
      </w:r>
      <w:r>
        <w:rPr/>
        <w:t>）与该固定资产有关的经济利益很可能流入企业；</w:t>
      </w:r>
    </w:p>
    <w:p>
      <w:pPr>
        <w:pStyle w:val="BodyText"/>
        <w:spacing w:line="240" w:lineRule="auto" w:before="110"/>
        <w:ind w:left="216" w:right="0"/>
        <w:jc w:val="left"/>
      </w:pPr>
      <w:r>
        <w:rPr/>
        <w:t>（</w:t>
      </w:r>
      <w:r>
        <w:rPr>
          <w:rFonts w:ascii="Times New Roman" w:hAnsi="Times New Roman" w:cs="Times New Roman" w:eastAsia="Times New Roman" w:hint="default"/>
        </w:rPr>
        <w:t>2</w:t>
      </w:r>
      <w:r>
        <w:rPr/>
        <w:t>）该固定资产的成本能够可靠地计量。</w:t>
      </w:r>
    </w:p>
    <w:p>
      <w:pPr>
        <w:pStyle w:val="Heading3"/>
        <w:spacing w:line="240" w:lineRule="auto" w:before="4"/>
        <w:ind w:left="216" w:right="0"/>
        <w:jc w:val="left"/>
        <w:rPr>
          <w:rFonts w:ascii="宋体" w:hAnsi="宋体" w:cs="宋体" w:eastAsia="宋体" w:hint="default"/>
          <w:b w:val="0"/>
          <w:bCs w:val="0"/>
        </w:rPr>
      </w:pPr>
      <w:r>
        <w:rPr>
          <w:rFonts w:ascii="宋体"/>
          <w:w w:val="99"/>
        </w:rPr>
        <w:t> </w:t>
      </w:r>
      <w:r>
        <w:rPr>
          <w:rFonts w:ascii="宋体"/>
          <w:b w:val="0"/>
        </w:rPr>
      </w:r>
    </w:p>
    <w:p>
      <w:pPr>
        <w:pStyle w:val="Heading3"/>
        <w:spacing w:line="324" w:lineRule="auto" w:before="37"/>
        <w:ind w:left="216"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(2)</w:t>
      </w:r>
      <w:r>
        <w:rPr>
          <w:rFonts w:ascii="宋体" w:hAnsi="宋体" w:cs="宋体" w:eastAsia="宋体" w:hint="default"/>
          <w:spacing w:val="2"/>
          <w:w w:val="99"/>
        </w:rPr>
        <w:t>.</w:t>
      </w:r>
      <w:r>
        <w:rPr>
          <w:w w:val="100"/>
        </w:rPr>
        <w:t>折旧方</w:t>
      </w:r>
      <w:r>
        <w:rPr>
          <w:spacing w:val="-3"/>
          <w:w w:val="100"/>
        </w:rPr>
        <w:t>法</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23"/>
        <w:ind w:left="216" w:right="0"/>
        <w:jc w:val="left"/>
        <w:rPr>
          <w:rFonts w:ascii="宋体" w:hAnsi="宋体" w:cs="宋体" w:eastAsia="宋体" w:hint="default"/>
        </w:rPr>
      </w:pPr>
      <w:r>
        <w:rPr/>
        <w:t>√适用</w:t>
      </w:r>
      <w:r>
        <w:rPr>
          <w:spacing w:val="104"/>
        </w:rPr>
        <w:t> </w:t>
      </w:r>
      <w:r>
        <w:rPr>
          <w:rFonts w:ascii="宋体" w:hAnsi="宋体" w:cs="宋体" w:eastAsia="宋体" w:hint="default"/>
          <w:spacing w:val="104"/>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10"/>
        <w:rPr>
          <w:rFonts w:ascii="宋体" w:hAnsi="宋体" w:cs="宋体" w:eastAsia="宋体" w:hint="default"/>
          <w:sz w:val="3"/>
          <w:szCs w:val="3"/>
        </w:rPr>
      </w:pPr>
    </w:p>
    <w:tbl>
      <w:tblPr>
        <w:tblW w:w="0" w:type="auto"/>
        <w:jc w:val="left"/>
        <w:tblInd w:w="103" w:type="dxa"/>
        <w:tblLayout w:type="fixed"/>
        <w:tblCellMar>
          <w:top w:w="0" w:type="dxa"/>
          <w:left w:w="0" w:type="dxa"/>
          <w:bottom w:w="0" w:type="dxa"/>
          <w:right w:w="0" w:type="dxa"/>
        </w:tblCellMar>
        <w:tblLook w:val="01E0"/>
      </w:tblPr>
      <w:tblGrid>
        <w:gridCol w:w="1719"/>
        <w:gridCol w:w="1832"/>
        <w:gridCol w:w="1834"/>
        <w:gridCol w:w="1834"/>
        <w:gridCol w:w="1832"/>
      </w:tblGrid>
      <w:tr>
        <w:trPr>
          <w:trHeight w:val="322" w:hRule="exact"/>
        </w:trPr>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643" w:right="0"/>
              <w:jc w:val="left"/>
              <w:rPr>
                <w:rFonts w:ascii="宋体" w:hAnsi="宋体" w:cs="宋体" w:eastAsia="宋体" w:hint="default"/>
                <w:sz w:val="21"/>
                <w:szCs w:val="21"/>
              </w:rPr>
            </w:pPr>
            <w:r>
              <w:rPr>
                <w:rFonts w:ascii="宋体" w:hAnsi="宋体" w:cs="宋体" w:eastAsia="宋体" w:hint="default"/>
                <w:sz w:val="21"/>
                <w:szCs w:val="21"/>
              </w:rPr>
              <w:t>类别</w:t>
            </w:r>
            <w:r>
              <w:rPr>
                <w:rFonts w:ascii="宋体" w:hAnsi="宋体" w:cs="宋体" w:eastAsia="宋体" w:hint="default"/>
                <w:sz w:val="21"/>
                <w:szCs w:val="21"/>
              </w:rPr>
              <w:t> </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87" w:right="0"/>
              <w:jc w:val="left"/>
              <w:rPr>
                <w:rFonts w:ascii="宋体" w:hAnsi="宋体" w:cs="宋体" w:eastAsia="宋体" w:hint="default"/>
                <w:sz w:val="21"/>
                <w:szCs w:val="21"/>
              </w:rPr>
            </w:pPr>
            <w:r>
              <w:rPr>
                <w:rFonts w:ascii="宋体" w:hAnsi="宋体" w:cs="宋体" w:eastAsia="宋体" w:hint="default"/>
                <w:sz w:val="21"/>
                <w:szCs w:val="21"/>
              </w:rPr>
              <w:t>折旧方法</w:t>
            </w:r>
            <w:r>
              <w:rPr>
                <w:rFonts w:ascii="宋体" w:hAnsi="宋体" w:cs="宋体" w:eastAsia="宋体" w:hint="default"/>
                <w:sz w:val="21"/>
                <w:szCs w:val="21"/>
              </w:rPr>
              <w:t> </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75" w:right="0"/>
              <w:jc w:val="left"/>
              <w:rPr>
                <w:rFonts w:ascii="宋体" w:hAnsi="宋体" w:cs="宋体" w:eastAsia="宋体" w:hint="default"/>
                <w:sz w:val="21"/>
                <w:szCs w:val="21"/>
              </w:rPr>
            </w:pPr>
            <w:r>
              <w:rPr>
                <w:rFonts w:ascii="宋体" w:hAnsi="宋体" w:cs="宋体" w:eastAsia="宋体" w:hint="default"/>
                <w:sz w:val="21"/>
                <w:szCs w:val="21"/>
              </w:rPr>
              <w:t>折旧年限（年）</w:t>
            </w:r>
            <w:r>
              <w:rPr>
                <w:rFonts w:ascii="宋体" w:hAnsi="宋体" w:cs="宋体" w:eastAsia="宋体" w:hint="default"/>
                <w:sz w:val="21"/>
                <w:szCs w:val="21"/>
              </w:rPr>
              <w:t> </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95" w:right="0"/>
              <w:jc w:val="left"/>
              <w:rPr>
                <w:rFonts w:ascii="宋体" w:hAnsi="宋体" w:cs="宋体" w:eastAsia="宋体" w:hint="default"/>
                <w:sz w:val="21"/>
                <w:szCs w:val="21"/>
              </w:rPr>
            </w:pPr>
            <w:r>
              <w:rPr>
                <w:rFonts w:ascii="宋体" w:hAnsi="宋体" w:cs="宋体" w:eastAsia="宋体" w:hint="default"/>
                <w:sz w:val="21"/>
                <w:szCs w:val="21"/>
              </w:rPr>
              <w:t>残值率</w:t>
            </w:r>
            <w:r>
              <w:rPr>
                <w:rFonts w:ascii="宋体" w:hAnsi="宋体" w:cs="宋体" w:eastAsia="宋体" w:hint="default"/>
                <w:sz w:val="21"/>
                <w:szCs w:val="21"/>
              </w:rPr>
              <w:t> </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89" w:right="0"/>
              <w:jc w:val="left"/>
              <w:rPr>
                <w:rFonts w:ascii="宋体" w:hAnsi="宋体" w:cs="宋体" w:eastAsia="宋体" w:hint="default"/>
                <w:sz w:val="21"/>
                <w:szCs w:val="21"/>
              </w:rPr>
            </w:pPr>
            <w:r>
              <w:rPr>
                <w:rFonts w:ascii="宋体" w:hAnsi="宋体" w:cs="宋体" w:eastAsia="宋体" w:hint="default"/>
                <w:sz w:val="21"/>
                <w:szCs w:val="21"/>
              </w:rPr>
              <w:t>年折旧率</w:t>
            </w:r>
            <w:r>
              <w:rPr>
                <w:rFonts w:ascii="宋体" w:hAnsi="宋体" w:cs="宋体" w:eastAsia="宋体" w:hint="default"/>
                <w:sz w:val="21"/>
                <w:szCs w:val="21"/>
              </w:rPr>
              <w:t> </w:t>
            </w:r>
          </w:p>
        </w:tc>
      </w:tr>
      <w:tr>
        <w:trPr>
          <w:trHeight w:val="322" w:hRule="exact"/>
        </w:trPr>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房屋及建筑物</w:t>
            </w:r>
            <w:r>
              <w:rPr>
                <w:rFonts w:ascii="宋体" w:hAnsi="宋体" w:cs="宋体" w:eastAsia="宋体" w:hint="default"/>
                <w:sz w:val="21"/>
                <w:szCs w:val="21"/>
              </w:rPr>
              <w:t> </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年限平均法</w:t>
            </w:r>
            <w:r>
              <w:rPr>
                <w:rFonts w:ascii="宋体" w:hAnsi="宋体" w:cs="宋体" w:eastAsia="宋体" w:hint="default"/>
                <w:sz w:val="21"/>
                <w:szCs w:val="21"/>
              </w:rPr>
              <w:t> </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sz w:val="21"/>
              </w:rPr>
              <w:t>20 </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sz w:val="21"/>
              </w:rPr>
              <w:t>10 </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sz w:val="21"/>
              </w:rPr>
              <w:t>4.5 </w:t>
            </w:r>
          </w:p>
        </w:tc>
      </w:tr>
      <w:tr>
        <w:trPr>
          <w:trHeight w:val="322" w:hRule="exact"/>
        </w:trPr>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3" w:right="0"/>
              <w:jc w:val="left"/>
              <w:rPr>
                <w:rFonts w:ascii="宋体" w:hAnsi="宋体" w:cs="宋体" w:eastAsia="宋体" w:hint="default"/>
                <w:sz w:val="21"/>
                <w:szCs w:val="21"/>
              </w:rPr>
            </w:pPr>
            <w:r>
              <w:rPr>
                <w:rFonts w:ascii="宋体" w:hAnsi="宋体" w:cs="宋体" w:eastAsia="宋体" w:hint="default"/>
                <w:sz w:val="21"/>
                <w:szCs w:val="21"/>
              </w:rPr>
              <w:t>专用设备</w:t>
            </w:r>
            <w:r>
              <w:rPr>
                <w:rFonts w:ascii="宋体" w:hAnsi="宋体" w:cs="宋体" w:eastAsia="宋体" w:hint="default"/>
                <w:sz w:val="21"/>
                <w:szCs w:val="21"/>
              </w:rPr>
              <w:t> </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0" w:right="0"/>
              <w:jc w:val="left"/>
              <w:rPr>
                <w:rFonts w:ascii="宋体" w:hAnsi="宋体" w:cs="宋体" w:eastAsia="宋体" w:hint="default"/>
                <w:sz w:val="21"/>
                <w:szCs w:val="21"/>
              </w:rPr>
            </w:pPr>
            <w:r>
              <w:rPr>
                <w:rFonts w:ascii="宋体" w:hAnsi="宋体" w:cs="宋体" w:eastAsia="宋体" w:hint="default"/>
                <w:sz w:val="21"/>
                <w:szCs w:val="21"/>
              </w:rPr>
              <w:t>年限平均法</w:t>
            </w:r>
            <w:r>
              <w:rPr>
                <w:rFonts w:ascii="宋体" w:hAnsi="宋体" w:cs="宋体" w:eastAsia="宋体" w:hint="default"/>
                <w:sz w:val="21"/>
                <w:szCs w:val="21"/>
              </w:rPr>
              <w:t> </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3" w:right="0"/>
              <w:jc w:val="left"/>
              <w:rPr>
                <w:rFonts w:ascii="宋体" w:hAnsi="宋体" w:cs="宋体" w:eastAsia="宋体" w:hint="default"/>
                <w:sz w:val="21"/>
                <w:szCs w:val="21"/>
              </w:rPr>
            </w:pPr>
            <w:r>
              <w:rPr>
                <w:rFonts w:ascii="宋体"/>
                <w:sz w:val="21"/>
              </w:rPr>
              <w:t>5-10 </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3" w:right="0"/>
              <w:jc w:val="left"/>
              <w:rPr>
                <w:rFonts w:ascii="宋体" w:hAnsi="宋体" w:cs="宋体" w:eastAsia="宋体" w:hint="default"/>
                <w:sz w:val="21"/>
                <w:szCs w:val="21"/>
              </w:rPr>
            </w:pPr>
            <w:r>
              <w:rPr>
                <w:rFonts w:ascii="宋体"/>
                <w:sz w:val="21"/>
              </w:rPr>
              <w:t>10 </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0" w:right="0"/>
              <w:jc w:val="left"/>
              <w:rPr>
                <w:rFonts w:ascii="宋体" w:hAnsi="宋体" w:cs="宋体" w:eastAsia="宋体" w:hint="default"/>
                <w:sz w:val="21"/>
                <w:szCs w:val="21"/>
              </w:rPr>
            </w:pPr>
            <w:r>
              <w:rPr>
                <w:rFonts w:ascii="宋体"/>
                <w:sz w:val="21"/>
              </w:rPr>
              <w:t>9-18 </w:t>
            </w:r>
          </w:p>
        </w:tc>
      </w:tr>
      <w:tr>
        <w:trPr>
          <w:trHeight w:val="322" w:hRule="exact"/>
        </w:trPr>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通用设备</w:t>
            </w:r>
            <w:r>
              <w:rPr>
                <w:rFonts w:ascii="宋体" w:hAnsi="宋体" w:cs="宋体" w:eastAsia="宋体" w:hint="default"/>
                <w:sz w:val="21"/>
                <w:szCs w:val="21"/>
              </w:rPr>
              <w:t> </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年限平均法</w:t>
            </w:r>
            <w:r>
              <w:rPr>
                <w:rFonts w:ascii="宋体" w:hAnsi="宋体" w:cs="宋体" w:eastAsia="宋体" w:hint="default"/>
                <w:sz w:val="21"/>
                <w:szCs w:val="21"/>
              </w:rPr>
              <w:t> </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sz w:val="21"/>
              </w:rPr>
              <w:t>3-5 </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sz w:val="21"/>
              </w:rPr>
              <w:t>10 </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sz w:val="21"/>
              </w:rPr>
              <w:t>18-30 </w:t>
            </w:r>
          </w:p>
        </w:tc>
      </w:tr>
      <w:tr>
        <w:trPr>
          <w:trHeight w:val="322" w:hRule="exact"/>
        </w:trPr>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运输设备</w:t>
            </w:r>
            <w:r>
              <w:rPr>
                <w:rFonts w:ascii="宋体" w:hAnsi="宋体" w:cs="宋体" w:eastAsia="宋体" w:hint="default"/>
                <w:sz w:val="21"/>
                <w:szCs w:val="21"/>
              </w:rPr>
              <w:t> </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年限平均法</w:t>
            </w:r>
            <w:r>
              <w:rPr>
                <w:rFonts w:ascii="宋体" w:hAnsi="宋体" w:cs="宋体" w:eastAsia="宋体" w:hint="default"/>
                <w:sz w:val="21"/>
                <w:szCs w:val="21"/>
              </w:rPr>
              <w:t> </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sz w:val="21"/>
              </w:rPr>
              <w:t>4-5 </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sz w:val="21"/>
              </w:rPr>
              <w:t>10 </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sz w:val="21"/>
              </w:rPr>
              <w:t>18-22.50 </w:t>
            </w:r>
          </w:p>
        </w:tc>
      </w:tr>
      <w:tr>
        <w:trPr>
          <w:trHeight w:val="324" w:hRule="exact"/>
        </w:trPr>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光伏电站</w:t>
            </w:r>
            <w:r>
              <w:rPr>
                <w:rFonts w:ascii="宋体" w:hAnsi="宋体" w:cs="宋体" w:eastAsia="宋体" w:hint="default"/>
                <w:sz w:val="21"/>
                <w:szCs w:val="21"/>
              </w:rPr>
              <w:t> </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0" w:right="0"/>
              <w:jc w:val="left"/>
              <w:rPr>
                <w:rFonts w:ascii="宋体" w:hAnsi="宋体" w:cs="宋体" w:eastAsia="宋体" w:hint="default"/>
                <w:sz w:val="21"/>
                <w:szCs w:val="21"/>
              </w:rPr>
            </w:pPr>
            <w:r>
              <w:rPr>
                <w:rFonts w:ascii="宋体" w:hAnsi="宋体" w:cs="宋体" w:eastAsia="宋体" w:hint="default"/>
                <w:sz w:val="21"/>
                <w:szCs w:val="21"/>
              </w:rPr>
              <w:t>年限平均法</w:t>
            </w:r>
            <w:r>
              <w:rPr>
                <w:rFonts w:ascii="宋体" w:hAnsi="宋体" w:cs="宋体" w:eastAsia="宋体" w:hint="default"/>
                <w:sz w:val="21"/>
                <w:szCs w:val="21"/>
              </w:rPr>
              <w:t> </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sz w:val="21"/>
              </w:rPr>
              <w:t>25 </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sz w:val="21"/>
              </w:rPr>
              <w:t>10 </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0" w:right="0"/>
              <w:jc w:val="left"/>
              <w:rPr>
                <w:rFonts w:ascii="宋体" w:hAnsi="宋体" w:cs="宋体" w:eastAsia="宋体" w:hint="default"/>
                <w:sz w:val="21"/>
                <w:szCs w:val="21"/>
              </w:rPr>
            </w:pPr>
            <w:r>
              <w:rPr>
                <w:rFonts w:ascii="宋体"/>
                <w:sz w:val="21"/>
              </w:rPr>
              <w:t>3.60 </w:t>
            </w:r>
          </w:p>
        </w:tc>
      </w:tr>
    </w:tbl>
    <w:p>
      <w:pPr>
        <w:pStyle w:val="BodyText"/>
        <w:spacing w:line="273" w:lineRule="auto"/>
        <w:ind w:left="216" w:right="0"/>
        <w:jc w:val="left"/>
        <w:rPr>
          <w:rFonts w:ascii="宋体" w:hAnsi="宋体" w:cs="宋体" w:eastAsia="宋体" w:hint="default"/>
        </w:rPr>
      </w:pPr>
      <w:r>
        <w:rPr>
          <w:spacing w:val="-2"/>
        </w:rPr>
        <w:t>固定资产折旧采用年限平均法分类计提，根据固定资产类别、预计使用寿命和预计净残值率确定</w:t>
      </w:r>
      <w:r>
        <w:rPr>
          <w:spacing w:val="-25"/>
        </w:rPr>
        <w:t> </w:t>
      </w:r>
      <w:r>
        <w:rPr>
          <w:spacing w:val="-25"/>
        </w:rPr>
      </w:r>
      <w:r>
        <w:rPr>
          <w:spacing w:val="-2"/>
        </w:rPr>
        <w:t>折旧率。如固定资产各组成部分的使用寿命不同或者以不同方式为企业提供经济利益，则选择不</w:t>
      </w:r>
      <w:r>
        <w:rPr>
          <w:spacing w:val="-25"/>
        </w:rPr>
        <w:t> </w:t>
      </w:r>
      <w:r>
        <w:rPr>
          <w:spacing w:val="-25"/>
        </w:rPr>
      </w:r>
      <w:r>
        <w:rPr/>
        <w:t>同折旧率或折旧方法，分别计提折旧。</w:t>
      </w:r>
      <w:r>
        <w:rPr>
          <w:rFonts w:ascii="宋体" w:hAnsi="宋体" w:cs="宋体" w:eastAsia="宋体" w:hint="default"/>
          <w:w w:val="100"/>
        </w:rPr>
        <w:t> </w:t>
      </w:r>
      <w:r>
        <w:rPr>
          <w:spacing w:val="-2"/>
        </w:rPr>
        <w:t>融资租赁方式租入的固定资产，能合理确定租赁期届满时将会取得租赁资产所有权的，在租赁资</w:t>
      </w:r>
      <w:r>
        <w:rPr>
          <w:spacing w:val="-25"/>
        </w:rPr>
        <w:t> </w:t>
      </w:r>
      <w:r>
        <w:rPr>
          <w:spacing w:val="-25"/>
        </w:rPr>
      </w:r>
      <w:r>
        <w:rPr>
          <w:spacing w:val="-2"/>
        </w:rPr>
        <w:t>产尚可使用年限内计提折旧；无法合理确定租赁期届满时能够取得租赁资产所有权的，在租赁期</w:t>
      </w:r>
      <w:r>
        <w:rPr>
          <w:spacing w:val="-25"/>
        </w:rPr>
        <w:t> </w:t>
      </w:r>
      <w:r>
        <w:rPr>
          <w:spacing w:val="-25"/>
        </w:rPr>
      </w:r>
      <w:r>
        <w:rPr/>
        <w:t>与租赁资产尚可使用年限两者中较短的期间内计提折旧。</w:t>
      </w:r>
      <w:r>
        <w:rPr>
          <w:rFonts w:ascii="宋体" w:hAnsi="宋体" w:cs="宋体" w:eastAsia="宋体" w:hint="default"/>
        </w:rPr>
        <w:t> </w:t>
      </w:r>
    </w:p>
    <w:p>
      <w:pPr>
        <w:pStyle w:val="Heading3"/>
        <w:spacing w:line="326" w:lineRule="auto" w:before="7"/>
        <w:ind w:left="216"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(3)</w:t>
      </w:r>
      <w:r>
        <w:rPr>
          <w:rFonts w:ascii="宋体" w:hAnsi="宋体" w:cs="宋体" w:eastAsia="宋体" w:hint="default"/>
          <w:spacing w:val="2"/>
          <w:w w:val="99"/>
        </w:rPr>
        <w:t>.</w:t>
      </w:r>
      <w:r>
        <w:rPr>
          <w:w w:val="100"/>
        </w:rPr>
        <w:t>融资租入固定资产</w:t>
      </w:r>
      <w:r>
        <w:rPr>
          <w:spacing w:val="-3"/>
          <w:w w:val="100"/>
        </w:rPr>
        <w:t>的</w:t>
      </w:r>
      <w:r>
        <w:rPr>
          <w:w w:val="100"/>
        </w:rPr>
        <w:t>认</w:t>
      </w:r>
      <w:r>
        <w:rPr>
          <w:spacing w:val="-3"/>
          <w:w w:val="100"/>
        </w:rPr>
        <w:t>定</w:t>
      </w:r>
      <w:r>
        <w:rPr>
          <w:w w:val="100"/>
        </w:rPr>
        <w:t>依据、计价和折旧</w:t>
      </w:r>
      <w:r>
        <w:rPr>
          <w:spacing w:val="-3"/>
          <w:w w:val="100"/>
        </w:rPr>
        <w:t>方法</w:t>
      </w:r>
      <w:r>
        <w:rPr>
          <w:rFonts w:ascii="宋体" w:hAnsi="宋体" w:cs="宋体" w:eastAsia="宋体" w:hint="default"/>
          <w:w w:val="99"/>
        </w:rPr>
        <w:t> </w:t>
      </w:r>
      <w:r>
        <w:rPr>
          <w:rFonts w:ascii="宋体" w:hAnsi="宋体" w:cs="宋体" w:eastAsia="宋体" w:hint="default"/>
          <w:b w:val="0"/>
          <w:bCs w:val="0"/>
        </w:rPr>
      </w:r>
    </w:p>
    <w:p>
      <w:pPr>
        <w:pStyle w:val="BodyText"/>
        <w:spacing w:line="364" w:lineRule="auto" w:before="21"/>
        <w:ind w:left="216" w:right="0"/>
        <w:jc w:val="left"/>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公司与租赁方所签订的租赁协议条款中规定了下列条件之一的，确认为融资租入资产：</w:t>
      </w:r>
    </w:p>
    <w:p>
      <w:pPr>
        <w:pStyle w:val="BodyText"/>
        <w:spacing w:line="240" w:lineRule="auto" w:before="14"/>
        <w:ind w:left="216" w:right="0"/>
        <w:jc w:val="left"/>
      </w:pPr>
      <w:r>
        <w:rPr/>
        <w:t>（</w:t>
      </w:r>
      <w:r>
        <w:rPr>
          <w:rFonts w:ascii="Times New Roman" w:hAnsi="Times New Roman" w:cs="Times New Roman" w:eastAsia="Times New Roman" w:hint="default"/>
        </w:rPr>
        <w:t>1</w:t>
      </w:r>
      <w:r>
        <w:rPr/>
        <w:t>）租赁期满后租赁资产的所有权归属于本公司；</w:t>
      </w:r>
    </w:p>
    <w:p>
      <w:pPr>
        <w:pStyle w:val="BodyText"/>
        <w:spacing w:line="240" w:lineRule="auto" w:before="110"/>
        <w:ind w:left="216" w:right="0"/>
        <w:jc w:val="left"/>
      </w:pPr>
      <w:r>
        <w:rPr/>
        <w:t>（</w:t>
      </w:r>
      <w:r>
        <w:rPr>
          <w:rFonts w:ascii="Times New Roman" w:hAnsi="Times New Roman" w:cs="Times New Roman" w:eastAsia="Times New Roman" w:hint="default"/>
        </w:rPr>
        <w:t>2</w:t>
      </w:r>
      <w:r>
        <w:rPr/>
        <w:t>）公司具有购买资产的选择权，购买价款远低于行使选择权时该资产的公允价值；</w:t>
      </w:r>
    </w:p>
    <w:p>
      <w:pPr>
        <w:pStyle w:val="BodyText"/>
        <w:spacing w:line="240" w:lineRule="auto" w:before="110"/>
        <w:ind w:left="216" w:right="0"/>
        <w:jc w:val="left"/>
      </w:pPr>
      <w:r>
        <w:rPr/>
        <w:t>（</w:t>
      </w:r>
      <w:r>
        <w:rPr>
          <w:rFonts w:ascii="Times New Roman" w:hAnsi="Times New Roman" w:cs="Times New Roman" w:eastAsia="Times New Roman" w:hint="default"/>
        </w:rPr>
        <w:t>3</w:t>
      </w:r>
      <w:r>
        <w:rPr/>
        <w:t>）租赁期占所租赁资产使用寿命的大部分；</w:t>
      </w:r>
    </w:p>
    <w:p>
      <w:pPr>
        <w:pStyle w:val="BodyText"/>
        <w:spacing w:line="240" w:lineRule="auto" w:before="107"/>
        <w:ind w:left="216" w:right="0"/>
        <w:jc w:val="left"/>
      </w:pPr>
      <w:r>
        <w:rPr/>
        <w:t>（</w:t>
      </w:r>
      <w:r>
        <w:rPr>
          <w:rFonts w:ascii="Times New Roman" w:hAnsi="Times New Roman" w:cs="Times New Roman" w:eastAsia="Times New Roman" w:hint="default"/>
        </w:rPr>
        <w:t>4</w:t>
      </w:r>
      <w:r>
        <w:rPr/>
        <w:t>）租赁开始日的最低租赁付款额现值，与该资产的公允价值不存在较大的差异。</w:t>
      </w:r>
    </w:p>
    <w:p>
      <w:pPr>
        <w:spacing w:after="0" w:line="240" w:lineRule="auto"/>
        <w:jc w:val="left"/>
        <w:sectPr>
          <w:pgSz w:w="11910" w:h="16840"/>
          <w:pgMar w:header="748" w:footer="974" w:top="1140" w:bottom="1160" w:left="1060" w:right="1560"/>
        </w:sectPr>
      </w:pPr>
    </w:p>
    <w:p>
      <w:pPr>
        <w:spacing w:line="240" w:lineRule="auto" w:before="2"/>
        <w:rPr>
          <w:rFonts w:ascii="宋体" w:hAnsi="宋体" w:cs="宋体" w:eastAsia="宋体" w:hint="default"/>
          <w:sz w:val="19"/>
          <w:szCs w:val="19"/>
        </w:rPr>
      </w:pPr>
    </w:p>
    <w:p>
      <w:pPr>
        <w:pStyle w:val="BodyText"/>
        <w:spacing w:line="273" w:lineRule="auto" w:before="36"/>
        <w:ind w:left="216" w:right="0"/>
        <w:jc w:val="left"/>
        <w:rPr>
          <w:rFonts w:ascii="宋体" w:hAnsi="宋体" w:cs="宋体" w:eastAsia="宋体" w:hint="default"/>
        </w:rPr>
      </w:pPr>
      <w:r>
        <w:rPr>
          <w:spacing w:val="-2"/>
        </w:rPr>
        <w:t>公司在承租开始日，将租赁资产公允价值与最低租赁付款额现值两者中较低者作为租入资产的入</w:t>
      </w:r>
      <w:r>
        <w:rPr>
          <w:spacing w:val="-25"/>
        </w:rPr>
        <w:t> </w:t>
      </w:r>
      <w:r>
        <w:rPr>
          <w:spacing w:val="-25"/>
        </w:rPr>
      </w:r>
      <w:r>
        <w:rPr/>
        <w:t>账价值，将最低租赁付款额作为长期应付款的入账价值，其差额作为未确认的融资费。</w:t>
      </w:r>
      <w:r>
        <w:rPr>
          <w:rFonts w:ascii="宋体" w:hAnsi="宋体" w:cs="宋体" w:eastAsia="宋体" w:hint="default"/>
        </w:rPr>
        <w:t> </w:t>
      </w:r>
    </w:p>
    <w:p>
      <w:pPr>
        <w:pStyle w:val="BodyText"/>
        <w:spacing w:line="240" w:lineRule="auto" w:before="7"/>
        <w:ind w:left="216" w:right="0"/>
        <w:jc w:val="left"/>
        <w:rPr>
          <w:rFonts w:ascii="宋体" w:hAnsi="宋体" w:cs="宋体" w:eastAsia="宋体" w:hint="default"/>
        </w:rPr>
      </w:pPr>
      <w:r>
        <w:rPr>
          <w:rFonts w:ascii="宋体"/>
          <w:w w:val="100"/>
        </w:rPr>
        <w:t> </w:t>
      </w:r>
    </w:p>
    <w:p>
      <w:pPr>
        <w:pStyle w:val="Heading3"/>
        <w:spacing w:line="240" w:lineRule="auto"/>
        <w:ind w:left="216" w:right="0"/>
        <w:jc w:val="left"/>
        <w:rPr>
          <w:b w:val="0"/>
          <w:bCs w:val="0"/>
        </w:rPr>
      </w:pPr>
      <w:r>
        <w:rPr>
          <w:rFonts w:ascii="宋体" w:hAnsi="宋体" w:cs="宋体" w:eastAsia="宋体" w:hint="default"/>
        </w:rPr>
        <w:t>23.</w:t>
      </w:r>
      <w:r>
        <w:rPr>
          <w:rFonts w:ascii="宋体" w:hAnsi="宋体" w:cs="宋体" w:eastAsia="宋体" w:hint="default"/>
          <w:spacing w:val="2"/>
        </w:rPr>
        <w:t> </w:t>
      </w:r>
      <w:r>
        <w:rPr/>
        <w:t>在建工程</w:t>
      </w:r>
      <w:r>
        <w:rPr>
          <w:b w:val="0"/>
          <w:bCs w:val="0"/>
        </w:rPr>
      </w:r>
    </w:p>
    <w:p>
      <w:pPr>
        <w:pStyle w:val="BodyText"/>
        <w:spacing w:line="273" w:lineRule="auto" w:before="97"/>
        <w:ind w:left="216"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在建工程项目按建造该项资产达到预定可使用状态前所发生的必要支出，作为固定资产的入账价</w:t>
      </w:r>
      <w:r>
        <w:rPr>
          <w:spacing w:val="-25"/>
        </w:rPr>
        <w:t> </w:t>
      </w:r>
      <w:r>
        <w:rPr>
          <w:spacing w:val="-25"/>
        </w:rPr>
      </w:r>
      <w:r>
        <w:rPr>
          <w:spacing w:val="-2"/>
        </w:rPr>
        <w:t>值。所建造的固定资产在工程已达到预定可使用状态，但尚未办理竣工决算的，自达到预定可使</w:t>
      </w:r>
      <w:r>
        <w:rPr>
          <w:spacing w:val="-25"/>
        </w:rPr>
        <w:t> </w:t>
      </w:r>
      <w:r>
        <w:rPr>
          <w:spacing w:val="-25"/>
        </w:rPr>
      </w:r>
      <w:r>
        <w:rPr>
          <w:spacing w:val="-2"/>
        </w:rPr>
        <w:t>用状态之日起，根据工程预算、造价或者工程实际成本等，按估计的价值转入固定资产，并按本</w:t>
      </w:r>
      <w:r>
        <w:rPr>
          <w:spacing w:val="-25"/>
        </w:rPr>
        <w:t> </w:t>
      </w:r>
      <w:r>
        <w:rPr>
          <w:spacing w:val="-25"/>
        </w:rPr>
      </w:r>
      <w:r>
        <w:rPr>
          <w:spacing w:val="-2"/>
        </w:rPr>
        <w:t>公司固定资产折旧政策计提固定资产的折旧，待办理竣工决算后，再按实际成本调整原来的暂估</w:t>
      </w:r>
      <w:r>
        <w:rPr>
          <w:spacing w:val="-25"/>
        </w:rPr>
        <w:t> </w:t>
      </w:r>
      <w:r>
        <w:rPr>
          <w:spacing w:val="-25"/>
        </w:rPr>
      </w:r>
      <w:r>
        <w:rPr/>
        <w:t>价值，但不调整原已计提的折旧额。</w:t>
      </w:r>
      <w:r>
        <w:rPr>
          <w:rFonts w:ascii="宋体" w:hAnsi="宋体" w:cs="宋体" w:eastAsia="宋体" w:hint="default"/>
        </w:rPr>
        <w:t> </w:t>
      </w:r>
    </w:p>
    <w:p>
      <w:pPr>
        <w:pStyle w:val="BodyText"/>
        <w:spacing w:line="240" w:lineRule="auto" w:before="7"/>
        <w:ind w:left="216" w:right="0"/>
        <w:jc w:val="left"/>
        <w:rPr>
          <w:rFonts w:ascii="宋体" w:hAnsi="宋体" w:cs="宋体" w:eastAsia="宋体" w:hint="default"/>
        </w:rPr>
      </w:pPr>
      <w:r>
        <w:rPr>
          <w:rFonts w:ascii="宋体"/>
          <w:w w:val="100"/>
        </w:rPr>
        <w:t> </w:t>
      </w:r>
    </w:p>
    <w:p>
      <w:pPr>
        <w:pStyle w:val="Heading3"/>
        <w:spacing w:line="240" w:lineRule="auto"/>
        <w:ind w:left="216" w:right="0"/>
        <w:jc w:val="left"/>
        <w:rPr>
          <w:b w:val="0"/>
          <w:bCs w:val="0"/>
        </w:rPr>
      </w:pPr>
      <w:r>
        <w:rPr>
          <w:rFonts w:ascii="宋体" w:hAnsi="宋体" w:cs="宋体" w:eastAsia="宋体" w:hint="default"/>
        </w:rPr>
        <w:t>24.</w:t>
      </w:r>
      <w:r>
        <w:rPr>
          <w:rFonts w:ascii="宋体" w:hAnsi="宋体" w:cs="宋体" w:eastAsia="宋体" w:hint="default"/>
          <w:spacing w:val="2"/>
        </w:rPr>
        <w:t> </w:t>
      </w:r>
      <w:r>
        <w:rPr/>
        <w:t>借款费用</w:t>
      </w:r>
      <w:r>
        <w:rPr>
          <w:b w:val="0"/>
          <w:bCs w:val="0"/>
        </w:rPr>
      </w:r>
    </w:p>
    <w:p>
      <w:pPr>
        <w:pStyle w:val="BodyText"/>
        <w:spacing w:line="240" w:lineRule="auto" w:before="97"/>
        <w:ind w:left="216"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345" w:lineRule="auto" w:before="142"/>
        <w:ind w:left="216" w:right="104" w:firstLine="566"/>
        <w:jc w:val="left"/>
      </w:pPr>
      <w:r>
        <w:rPr>
          <w:rFonts w:ascii="Times New Roman" w:hAnsi="Times New Roman" w:cs="Times New Roman" w:eastAsia="Times New Roman" w:hint="default"/>
          <w:b/>
          <w:bCs/>
        </w:rPr>
        <w:t>1</w:t>
      </w:r>
      <w:r>
        <w:rPr>
          <w:rFonts w:ascii="宋体" w:hAnsi="宋体" w:cs="宋体" w:eastAsia="宋体" w:hint="default"/>
          <w:b/>
          <w:bCs/>
        </w:rPr>
        <w:t>、</w:t>
      </w:r>
      <w:r>
        <w:rPr>
          <w:rFonts w:ascii="宋体" w:hAnsi="宋体" w:cs="宋体" w:eastAsia="宋体" w:hint="default"/>
          <w:b/>
          <w:bCs/>
          <w:spacing w:val="-3"/>
        </w:rPr>
        <w:t> </w:t>
      </w:r>
      <w:r>
        <w:rPr>
          <w:rFonts w:ascii="宋体" w:hAnsi="宋体" w:cs="宋体" w:eastAsia="宋体" w:hint="default"/>
          <w:b/>
          <w:bCs/>
        </w:rPr>
        <w:t>借款费用资本化的确认原则</w:t>
      </w:r>
      <w:r>
        <w:rPr>
          <w:rFonts w:ascii="宋体" w:hAnsi="宋体" w:cs="宋体" w:eastAsia="宋体" w:hint="default"/>
          <w:b/>
          <w:bCs/>
          <w:w w:val="100"/>
        </w:rPr>
        <w:t> </w:t>
      </w:r>
      <w:r>
        <w:rPr>
          <w:spacing w:val="-7"/>
        </w:rPr>
        <w:t>借款费用，包括借款利息、折价或者溢价的摊销、辅助费用以及因外币借款而发生的汇兑差额等。</w:t>
      </w:r>
      <w:r>
        <w:rPr>
          <w:spacing w:val="-14"/>
        </w:rPr>
        <w:t> </w:t>
      </w:r>
      <w:r>
        <w:rPr>
          <w:spacing w:val="-14"/>
        </w:rPr>
      </w:r>
      <w:r>
        <w:rPr>
          <w:spacing w:val="-1"/>
        </w:rPr>
        <w:t>公司发生的借款费用，可直接归属于符合资本化条件的资产的购建或者生产的，予以资本化，计</w:t>
      </w:r>
      <w:r>
        <w:rPr>
          <w:spacing w:val="-55"/>
        </w:rPr>
        <w:t> </w:t>
      </w:r>
      <w:r>
        <w:rPr>
          <w:spacing w:val="-55"/>
        </w:rPr>
      </w:r>
      <w:r>
        <w:rPr/>
        <w:t>入相关资产成本；其他借款费用，在发生时根据其发生额确认为费用，计入当期损益。</w:t>
      </w:r>
      <w:r>
        <w:rPr>
          <w:w w:val="100"/>
        </w:rPr>
        <w:t> </w:t>
      </w:r>
      <w:r>
        <w:rPr>
          <w:spacing w:val="-1"/>
        </w:rPr>
        <w:t>符合资本化条件的资产，是指需要经过相当长时间的购建或者生产活动才能达到预定可使用或者</w:t>
      </w:r>
      <w:r>
        <w:rPr>
          <w:spacing w:val="-55"/>
        </w:rPr>
        <w:t> </w:t>
      </w:r>
      <w:r>
        <w:rPr>
          <w:spacing w:val="-55"/>
        </w:rPr>
      </w:r>
      <w:r>
        <w:rPr/>
        <w:t>可销售状态的固定资产、投资性房地产和存货等资产。</w:t>
      </w:r>
      <w:r>
        <w:rPr>
          <w:w w:val="100"/>
        </w:rPr>
        <w:t> </w:t>
      </w:r>
      <w:r>
        <w:rPr/>
        <w:t>借款费用同时满足下列条件时开始资本化：</w:t>
      </w:r>
    </w:p>
    <w:p>
      <w:pPr>
        <w:pStyle w:val="BodyText"/>
        <w:spacing w:line="328" w:lineRule="auto" w:before="34"/>
        <w:ind w:left="216" w:right="0"/>
        <w:jc w:val="left"/>
      </w:pPr>
      <w:r>
        <w:rPr>
          <w:spacing w:val="-4"/>
        </w:rPr>
        <w:t>（</w:t>
      </w:r>
      <w:r>
        <w:rPr>
          <w:rFonts w:ascii="Times New Roman" w:hAnsi="Times New Roman" w:cs="Times New Roman" w:eastAsia="Times New Roman" w:hint="default"/>
          <w:spacing w:val="-4"/>
        </w:rPr>
        <w:t>1</w:t>
      </w:r>
      <w:r>
        <w:rPr>
          <w:spacing w:val="-4"/>
        </w:rPr>
        <w:t>）资产支出已经发生，资产支出包括为购建或者生产符合资本化条件的资产而以支付现金、转</w:t>
      </w:r>
      <w:r>
        <w:rPr>
          <w:spacing w:val="-32"/>
        </w:rPr>
        <w:t> </w:t>
      </w:r>
      <w:r>
        <w:rPr>
          <w:spacing w:val="-32"/>
        </w:rPr>
      </w:r>
      <w:r>
        <w:rPr/>
        <w:t>移非现金资产或者承担带息债务形式发生的支出；</w:t>
      </w:r>
    </w:p>
    <w:p>
      <w:pPr>
        <w:pStyle w:val="BodyText"/>
        <w:spacing w:line="240" w:lineRule="auto" w:before="48"/>
        <w:ind w:left="216" w:right="0"/>
        <w:jc w:val="left"/>
      </w:pPr>
      <w:r>
        <w:rPr/>
        <w:t>（</w:t>
      </w:r>
      <w:r>
        <w:rPr>
          <w:rFonts w:ascii="Times New Roman" w:hAnsi="Times New Roman" w:cs="Times New Roman" w:eastAsia="Times New Roman" w:hint="default"/>
        </w:rPr>
        <w:t>2</w:t>
      </w:r>
      <w:r>
        <w:rPr/>
        <w:t>）借款费用已经发生；</w:t>
      </w:r>
    </w:p>
    <w:p>
      <w:pPr>
        <w:pStyle w:val="BodyText"/>
        <w:spacing w:line="240" w:lineRule="auto" w:before="110"/>
        <w:ind w:left="216" w:right="0"/>
        <w:jc w:val="left"/>
      </w:pPr>
      <w:r>
        <w:rPr/>
        <w:t>（</w:t>
      </w:r>
      <w:r>
        <w:rPr>
          <w:rFonts w:ascii="Times New Roman" w:hAnsi="Times New Roman" w:cs="Times New Roman" w:eastAsia="Times New Roman" w:hint="default"/>
        </w:rPr>
        <w:t>3</w:t>
      </w:r>
      <w:r>
        <w:rPr/>
        <w:t>）为使资产达到预定可使用或者可销售状态所必要的购建或者生产活动已经开始。</w:t>
      </w:r>
    </w:p>
    <w:p>
      <w:pPr>
        <w:spacing w:line="240" w:lineRule="auto" w:before="0"/>
        <w:rPr>
          <w:rFonts w:ascii="宋体" w:hAnsi="宋体" w:cs="宋体" w:eastAsia="宋体" w:hint="default"/>
          <w:sz w:val="22"/>
          <w:szCs w:val="22"/>
        </w:rPr>
      </w:pPr>
    </w:p>
    <w:p>
      <w:pPr>
        <w:spacing w:line="240" w:lineRule="auto" w:before="11"/>
        <w:rPr>
          <w:rFonts w:ascii="宋体" w:hAnsi="宋体" w:cs="宋体" w:eastAsia="宋体" w:hint="default"/>
          <w:sz w:val="16"/>
          <w:szCs w:val="16"/>
        </w:rPr>
      </w:pPr>
    </w:p>
    <w:p>
      <w:pPr>
        <w:pStyle w:val="BodyText"/>
        <w:spacing w:line="345" w:lineRule="auto"/>
        <w:ind w:left="216" w:right="0" w:firstLine="566"/>
        <w:jc w:val="left"/>
      </w:pPr>
      <w:r>
        <w:rPr>
          <w:rFonts w:ascii="Times New Roman" w:hAnsi="Times New Roman" w:cs="Times New Roman" w:eastAsia="Times New Roman" w:hint="default"/>
          <w:b/>
          <w:bCs/>
        </w:rPr>
        <w:t>2</w:t>
      </w:r>
      <w:r>
        <w:rPr>
          <w:rFonts w:ascii="宋体" w:hAnsi="宋体" w:cs="宋体" w:eastAsia="宋体" w:hint="default"/>
          <w:b/>
          <w:bCs/>
        </w:rPr>
        <w:t>、</w:t>
      </w:r>
      <w:r>
        <w:rPr>
          <w:rFonts w:ascii="宋体" w:hAnsi="宋体" w:cs="宋体" w:eastAsia="宋体" w:hint="default"/>
          <w:b/>
          <w:bCs/>
          <w:spacing w:val="-3"/>
        </w:rPr>
        <w:t> </w:t>
      </w:r>
      <w:r>
        <w:rPr>
          <w:rFonts w:ascii="宋体" w:hAnsi="宋体" w:cs="宋体" w:eastAsia="宋体" w:hint="default"/>
          <w:b/>
          <w:bCs/>
        </w:rPr>
        <w:t>借款费用资本化期间</w:t>
      </w:r>
      <w:r>
        <w:rPr>
          <w:rFonts w:ascii="宋体" w:hAnsi="宋体" w:cs="宋体" w:eastAsia="宋体" w:hint="default"/>
          <w:b/>
          <w:bCs/>
          <w:w w:val="100"/>
        </w:rPr>
        <w:t> </w:t>
      </w:r>
      <w:r>
        <w:rPr/>
        <w:t>资本化期间，指从借款费用开始资本化时点到停止资本化时点的期间，借款费用暂停资本化的期</w:t>
      </w:r>
      <w:r>
        <w:rPr>
          <w:spacing w:val="-97"/>
        </w:rPr>
        <w:t> </w:t>
      </w:r>
      <w:r>
        <w:rPr>
          <w:spacing w:val="-97"/>
        </w:rPr>
      </w:r>
      <w:r>
        <w:rPr/>
        <w:t>间不包括在内。</w:t>
      </w:r>
      <w:r>
        <w:rPr>
          <w:spacing w:val="-103"/>
        </w:rPr>
        <w:t> </w:t>
      </w:r>
      <w:r>
        <w:rPr>
          <w:spacing w:val="-103"/>
        </w:rPr>
      </w:r>
      <w:r>
        <w:rPr>
          <w:spacing w:val="-4"/>
          <w:w w:val="100"/>
        </w:rPr>
        <w:t>当购建或者生产符合资本化条件的资产达到预定可使用或者可销售状态时，借款费用停止资本化。</w:t>
      </w:r>
      <w:r>
        <w:rPr>
          <w:spacing w:val="-89"/>
          <w:w w:val="100"/>
        </w:rPr>
        <w:t> </w:t>
      </w:r>
      <w:r>
        <w:rPr>
          <w:spacing w:val="-89"/>
          <w:w w:val="100"/>
        </w:rPr>
      </w:r>
      <w:r>
        <w:rPr/>
        <w:t>当购建或者生产符合资本化条件的资产中部分项目分别完工且可单独使用时，该部分资产借款费</w:t>
      </w:r>
      <w:r>
        <w:rPr>
          <w:spacing w:val="-97"/>
        </w:rPr>
        <w:t> </w:t>
      </w:r>
      <w:r>
        <w:rPr>
          <w:spacing w:val="-97"/>
        </w:rPr>
      </w:r>
      <w:r>
        <w:rPr/>
        <w:t>用停止资本化。</w:t>
      </w:r>
      <w:r>
        <w:rPr>
          <w:spacing w:val="-103"/>
        </w:rPr>
        <w:t> </w:t>
      </w:r>
      <w:r>
        <w:rPr>
          <w:spacing w:val="-103"/>
        </w:rPr>
      </w:r>
      <w:r>
        <w:rPr/>
        <w:t>购建或者生产的资产的各部分分别完工，但必须等到整体完工后才可使用或可对外销售的，在该</w:t>
      </w:r>
      <w:r>
        <w:rPr>
          <w:spacing w:val="-97"/>
        </w:rPr>
        <w:t> </w:t>
      </w:r>
      <w:r>
        <w:rPr>
          <w:spacing w:val="-97"/>
        </w:rPr>
      </w:r>
      <w:r>
        <w:rPr/>
        <w:t>资产整体完工时停止借款费用资本化。</w:t>
      </w:r>
    </w:p>
    <w:p>
      <w:pPr>
        <w:spacing w:line="240" w:lineRule="auto" w:before="0"/>
        <w:rPr>
          <w:rFonts w:ascii="宋体" w:hAnsi="宋体" w:cs="宋体" w:eastAsia="宋体" w:hint="default"/>
          <w:sz w:val="20"/>
          <w:szCs w:val="20"/>
        </w:rPr>
      </w:pPr>
    </w:p>
    <w:p>
      <w:pPr>
        <w:pStyle w:val="BodyText"/>
        <w:spacing w:line="331" w:lineRule="auto" w:before="170"/>
        <w:ind w:left="216" w:right="203" w:firstLine="566"/>
        <w:jc w:val="left"/>
      </w:pPr>
      <w:r>
        <w:rPr>
          <w:rFonts w:ascii="Times New Roman" w:hAnsi="Times New Roman" w:cs="Times New Roman" w:eastAsia="Times New Roman" w:hint="default"/>
          <w:b/>
          <w:bCs/>
        </w:rPr>
        <w:t>3</w:t>
      </w:r>
      <w:r>
        <w:rPr>
          <w:rFonts w:ascii="宋体" w:hAnsi="宋体" w:cs="宋体" w:eastAsia="宋体" w:hint="default"/>
          <w:b/>
          <w:bCs/>
        </w:rPr>
        <w:t>、</w:t>
      </w:r>
      <w:r>
        <w:rPr>
          <w:rFonts w:ascii="宋体" w:hAnsi="宋体" w:cs="宋体" w:eastAsia="宋体" w:hint="default"/>
          <w:b/>
          <w:bCs/>
          <w:spacing w:val="-3"/>
        </w:rPr>
        <w:t> </w:t>
      </w:r>
      <w:r>
        <w:rPr>
          <w:rFonts w:ascii="宋体" w:hAnsi="宋体" w:cs="宋体" w:eastAsia="宋体" w:hint="default"/>
          <w:b/>
          <w:bCs/>
        </w:rPr>
        <w:t>暂停资本化期间</w:t>
      </w:r>
      <w:r>
        <w:rPr>
          <w:rFonts w:ascii="宋体" w:hAnsi="宋体" w:cs="宋体" w:eastAsia="宋体" w:hint="default"/>
          <w:b/>
          <w:bCs/>
          <w:w w:val="100"/>
        </w:rPr>
        <w:t> </w:t>
      </w:r>
      <w:r>
        <w:rPr/>
        <w:t>符合资本化条件的资产在购建或生产过程中发生的非正常中断、且中断时间连续超过</w:t>
      </w:r>
      <w:r>
        <w:rPr>
          <w:spacing w:val="-49"/>
        </w:rPr>
        <w:t> </w:t>
      </w:r>
      <w:r>
        <w:rPr>
          <w:rFonts w:ascii="Times New Roman" w:hAnsi="Times New Roman" w:cs="Times New Roman" w:eastAsia="Times New Roman" w:hint="default"/>
        </w:rPr>
        <w:t>3</w:t>
      </w:r>
      <w:r>
        <w:rPr>
          <w:rFonts w:ascii="Times New Roman" w:hAnsi="Times New Roman" w:cs="Times New Roman" w:eastAsia="Times New Roman" w:hint="default"/>
          <w:spacing w:val="3"/>
        </w:rPr>
        <w:t> </w:t>
      </w:r>
      <w:r>
        <w:rPr/>
        <w:t>个月的，</w:t>
      </w:r>
    </w:p>
    <w:p>
      <w:pPr>
        <w:spacing w:after="0" w:line="331" w:lineRule="auto"/>
        <w:jc w:val="left"/>
        <w:sectPr>
          <w:pgSz w:w="11910" w:h="16840"/>
          <w:pgMar w:header="748" w:footer="974" w:top="1140" w:bottom="1160" w:left="1060" w:right="1580"/>
        </w:sectPr>
      </w:pPr>
    </w:p>
    <w:p>
      <w:pPr>
        <w:spacing w:line="240" w:lineRule="auto" w:before="3"/>
        <w:rPr>
          <w:rFonts w:ascii="宋体" w:hAnsi="宋体" w:cs="宋体" w:eastAsia="宋体" w:hint="default"/>
          <w:sz w:val="27"/>
          <w:szCs w:val="27"/>
        </w:rPr>
      </w:pPr>
    </w:p>
    <w:p>
      <w:pPr>
        <w:pStyle w:val="BodyText"/>
        <w:spacing w:line="348" w:lineRule="auto" w:before="36"/>
        <w:ind w:left="216" w:right="129"/>
        <w:jc w:val="both"/>
      </w:pPr>
      <w:r>
        <w:rPr>
          <w:spacing w:val="-1"/>
        </w:rPr>
        <w:t>则借款费用暂停资本化；该项中断如是所购建或生产的符合资本化条件的资产达到预定可使用状</w:t>
      </w:r>
      <w:r>
        <w:rPr>
          <w:spacing w:val="-55"/>
        </w:rPr>
        <w:t> </w:t>
      </w:r>
      <w:r>
        <w:rPr>
          <w:spacing w:val="-55"/>
        </w:rPr>
      </w:r>
      <w:r>
        <w:rPr>
          <w:spacing w:val="-1"/>
        </w:rPr>
        <w:t>态或者可销售状态必要的程序，则借款费用继续资本化。在中断期间发生的借款费用确认为当期</w:t>
      </w:r>
      <w:r>
        <w:rPr>
          <w:spacing w:val="-55"/>
        </w:rPr>
        <w:t> </w:t>
      </w:r>
      <w:r>
        <w:rPr>
          <w:spacing w:val="-55"/>
        </w:rPr>
      </w:r>
      <w:r>
        <w:rPr/>
        <w:t>损益，直至资产的购建或者生产活动重新开始后借款费用继续资本化。</w:t>
      </w:r>
    </w:p>
    <w:p>
      <w:pPr>
        <w:spacing w:line="240" w:lineRule="auto" w:before="0"/>
        <w:rPr>
          <w:rFonts w:ascii="宋体" w:hAnsi="宋体" w:cs="宋体" w:eastAsia="宋体" w:hint="default"/>
          <w:sz w:val="20"/>
          <w:szCs w:val="20"/>
        </w:rPr>
      </w:pPr>
    </w:p>
    <w:p>
      <w:pPr>
        <w:spacing w:line="338" w:lineRule="auto" w:before="170"/>
        <w:ind w:left="216" w:right="0" w:firstLine="566"/>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借款费用资本化率、资本化金额的计算方法</w:t>
      </w:r>
      <w:r>
        <w:rPr>
          <w:rFonts w:ascii="宋体" w:hAnsi="宋体" w:cs="宋体" w:eastAsia="宋体" w:hint="default"/>
          <w:b/>
          <w:bCs/>
          <w:w w:val="100"/>
          <w:sz w:val="21"/>
          <w:szCs w:val="21"/>
        </w:rPr>
        <w:t> </w:t>
      </w:r>
      <w:r>
        <w:rPr>
          <w:rFonts w:ascii="宋体" w:hAnsi="宋体" w:cs="宋体" w:eastAsia="宋体" w:hint="default"/>
          <w:spacing w:val="-1"/>
          <w:sz w:val="21"/>
          <w:szCs w:val="21"/>
        </w:rPr>
        <w:t>对于为购建或者生产符合资本化条件的资产而借入的专门借款，以专门借款当期实际发生的借款</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pacing w:val="-1"/>
          <w:sz w:val="21"/>
          <w:szCs w:val="21"/>
        </w:rPr>
        <w:t>费用，减去尚未动用的借款资金存入银行取得的利息收入或进行暂时性投资取得的投资收益后的</w:t>
      </w:r>
    </w:p>
    <w:p>
      <w:pPr>
        <w:pStyle w:val="BodyText"/>
        <w:spacing w:line="266" w:lineRule="auto" w:before="40"/>
        <w:ind w:left="216" w:right="0"/>
        <w:jc w:val="left"/>
        <w:rPr>
          <w:rFonts w:ascii="宋体" w:hAnsi="宋体" w:cs="宋体" w:eastAsia="宋体" w:hint="default"/>
        </w:rPr>
      </w:pPr>
      <w:r>
        <w:rPr/>
        <w:t>金额，来确定借款费用的资本化金额。</w:t>
      </w:r>
      <w:r>
        <w:rPr>
          <w:w w:val="100"/>
        </w:rPr>
        <w:t> </w:t>
      </w:r>
      <w:r>
        <w:rPr>
          <w:spacing w:val="-2"/>
        </w:rPr>
        <w:t>对于为购建或者生产符合资本化条件的资产而占用的一般借款，根据累计资产支出超过专门借款</w:t>
      </w:r>
      <w:r>
        <w:rPr>
          <w:spacing w:val="-25"/>
        </w:rPr>
        <w:t> </w:t>
      </w:r>
      <w:r>
        <w:rPr>
          <w:spacing w:val="-25"/>
        </w:rPr>
      </w:r>
      <w:r>
        <w:rPr>
          <w:spacing w:val="-2"/>
        </w:rPr>
        <w:t>部分的资产支出加权平均数乘以所占用一般借款的资本化率，计算确定一般借款应予资本化的借</w:t>
      </w:r>
      <w:r>
        <w:rPr>
          <w:spacing w:val="-25"/>
        </w:rPr>
        <w:t> </w:t>
      </w:r>
      <w:r>
        <w:rPr>
          <w:spacing w:val="-25"/>
        </w:rPr>
      </w:r>
      <w:r>
        <w:rPr/>
        <w:t>款费用金额。资本化率根据一般借款加权平均利率计算确定。</w:t>
      </w:r>
      <w:r>
        <w:rPr>
          <w:rFonts w:ascii="宋体" w:hAnsi="宋体" w:cs="宋体" w:eastAsia="宋体" w:hint="default"/>
        </w:rPr>
        <w:t> </w:t>
      </w:r>
    </w:p>
    <w:p>
      <w:pPr>
        <w:pStyle w:val="BodyText"/>
        <w:spacing w:line="240" w:lineRule="auto" w:before="14"/>
        <w:ind w:left="216" w:right="0"/>
        <w:jc w:val="left"/>
        <w:rPr>
          <w:rFonts w:ascii="宋体" w:hAnsi="宋体" w:cs="宋体" w:eastAsia="宋体" w:hint="default"/>
        </w:rPr>
      </w:pPr>
      <w:r>
        <w:rPr>
          <w:rFonts w:ascii="宋体"/>
          <w:w w:val="100"/>
        </w:rPr>
        <w:t> </w:t>
      </w:r>
    </w:p>
    <w:p>
      <w:pPr>
        <w:pStyle w:val="Heading3"/>
        <w:spacing w:line="240" w:lineRule="auto"/>
        <w:ind w:left="216" w:right="0"/>
        <w:jc w:val="left"/>
        <w:rPr>
          <w:b w:val="0"/>
          <w:bCs w:val="0"/>
        </w:rPr>
      </w:pPr>
      <w:r>
        <w:rPr>
          <w:rFonts w:ascii="宋体" w:hAnsi="宋体" w:cs="宋体" w:eastAsia="宋体" w:hint="default"/>
        </w:rPr>
        <w:t>25.</w:t>
      </w:r>
      <w:r>
        <w:rPr>
          <w:rFonts w:ascii="宋体" w:hAnsi="宋体" w:cs="宋体" w:eastAsia="宋体" w:hint="default"/>
          <w:spacing w:val="2"/>
        </w:rPr>
        <w:t> </w:t>
      </w:r>
      <w:r>
        <w:rPr/>
        <w:t>生物资产</w:t>
      </w:r>
      <w:r>
        <w:rPr>
          <w:b w:val="0"/>
          <w:bCs w:val="0"/>
        </w:rPr>
      </w:r>
    </w:p>
    <w:p>
      <w:pPr>
        <w:pStyle w:val="BodyText"/>
        <w:spacing w:line="240" w:lineRule="auto" w:before="97"/>
        <w:ind w:left="216"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123"/>
        <w:ind w:left="216" w:right="0"/>
        <w:jc w:val="left"/>
      </w:pPr>
      <w:r>
        <w:rPr>
          <w:rFonts w:ascii="Times New Roman" w:hAnsi="Times New Roman" w:cs="Times New Roman" w:eastAsia="Times New Roman" w:hint="default"/>
        </w:rPr>
        <w:t>1</w:t>
      </w:r>
      <w:r>
        <w:rPr/>
        <w:t>、本公司的生物资产为生产性生物资产。</w:t>
      </w:r>
    </w:p>
    <w:p>
      <w:pPr>
        <w:pStyle w:val="BodyText"/>
        <w:spacing w:line="240" w:lineRule="auto" w:before="110"/>
        <w:ind w:left="216" w:right="0"/>
        <w:jc w:val="left"/>
      </w:pPr>
      <w:r>
        <w:rPr>
          <w:rFonts w:ascii="Times New Roman" w:hAnsi="Times New Roman" w:cs="Times New Roman" w:eastAsia="Times New Roman" w:hint="default"/>
        </w:rPr>
        <w:t>2</w:t>
      </w:r>
      <w:r>
        <w:rPr/>
        <w:t>、生物资产按成本进行初始计量。</w:t>
      </w:r>
    </w:p>
    <w:p>
      <w:pPr>
        <w:pStyle w:val="BodyText"/>
        <w:spacing w:line="333" w:lineRule="auto" w:before="110"/>
        <w:ind w:left="216" w:right="0"/>
        <w:jc w:val="left"/>
      </w:pPr>
      <w:r>
        <w:rPr>
          <w:rFonts w:ascii="Times New Roman" w:hAnsi="Times New Roman" w:cs="Times New Roman" w:eastAsia="Times New Roman" w:hint="default"/>
          <w:spacing w:val="-4"/>
        </w:rPr>
        <w:t>3</w:t>
      </w:r>
      <w:r>
        <w:rPr>
          <w:spacing w:val="-4"/>
        </w:rPr>
        <w:t>、生产性生物资产在达到预定生产目的前发生的必要支出构成生产性生物资产的成本，达到预定</w:t>
      </w:r>
      <w:r>
        <w:rPr>
          <w:spacing w:val="-34"/>
        </w:rPr>
        <w:t> </w:t>
      </w:r>
      <w:r>
        <w:rPr>
          <w:spacing w:val="-34"/>
        </w:rPr>
      </w:r>
      <w:r>
        <w:rPr/>
        <w:t>生产目的后发生的后续支出，计入当期损益。</w:t>
      </w:r>
      <w:r>
        <w:rPr>
          <w:w w:val="100"/>
        </w:rPr>
        <w:t> </w:t>
      </w:r>
      <w:r>
        <w:rPr>
          <w:rFonts w:ascii="Times New Roman" w:hAnsi="Times New Roman" w:cs="Times New Roman" w:eastAsia="Times New Roman" w:hint="default"/>
          <w:spacing w:val="-4"/>
        </w:rPr>
        <w:t>4</w:t>
      </w:r>
      <w:r>
        <w:rPr>
          <w:spacing w:val="-4"/>
        </w:rPr>
        <w:t>、本公司生物资产系油用牡丹，在达到预定生产经营目的次月起按年限平均法计提折旧，使用寿</w:t>
      </w:r>
      <w:r>
        <w:rPr>
          <w:spacing w:val="-35"/>
        </w:rPr>
        <w:t> </w:t>
      </w:r>
      <w:r>
        <w:rPr>
          <w:spacing w:val="-35"/>
        </w:rPr>
      </w:r>
      <w:r>
        <w:rPr/>
        <w:t>命确定为</w:t>
      </w:r>
      <w:r>
        <w:rPr>
          <w:spacing w:val="-34"/>
        </w:rPr>
        <w:t> </w:t>
      </w:r>
      <w:r>
        <w:rPr>
          <w:rFonts w:ascii="Times New Roman" w:hAnsi="Times New Roman" w:cs="Times New Roman" w:eastAsia="Times New Roman" w:hint="default"/>
        </w:rPr>
        <w:t>20</w:t>
      </w:r>
      <w:r>
        <w:rPr>
          <w:rFonts w:ascii="Times New Roman" w:hAnsi="Times New Roman" w:cs="Times New Roman" w:eastAsia="Times New Roman" w:hint="default"/>
          <w:spacing w:val="18"/>
        </w:rPr>
        <w:t> </w:t>
      </w:r>
      <w:r>
        <w:rPr>
          <w:spacing w:val="-4"/>
        </w:rPr>
        <w:t>年，残值率为零。公司每年度终了对使用寿命、预计净残值和折旧方法进行复核，如</w:t>
      </w:r>
      <w:r>
        <w:rPr>
          <w:spacing w:val="-97"/>
        </w:rPr>
        <w:t> </w:t>
      </w:r>
      <w:r>
        <w:rPr>
          <w:spacing w:val="-97"/>
        </w:rPr>
      </w:r>
      <w:r>
        <w:rPr>
          <w:spacing w:val="-1"/>
        </w:rPr>
        <w:t>使用寿命、预计净残值预期数与原先估计数有差异或经济利益实现方式有重大变化的，作为会计</w:t>
      </w:r>
    </w:p>
    <w:p>
      <w:pPr>
        <w:pStyle w:val="BodyText"/>
        <w:spacing w:line="273" w:lineRule="auto" w:before="44"/>
        <w:ind w:left="216" w:right="0"/>
        <w:jc w:val="left"/>
        <w:rPr>
          <w:rFonts w:ascii="宋体" w:hAnsi="宋体" w:cs="宋体" w:eastAsia="宋体" w:hint="default"/>
        </w:rPr>
      </w:pPr>
      <w:r>
        <w:rPr/>
        <w:t>估计变更调整使用寿命或预计净残值或改变折旧方法。</w:t>
      </w:r>
      <w:r>
        <w:rPr>
          <w:w w:val="100"/>
        </w:rPr>
        <w:t> </w:t>
      </w:r>
      <w:r>
        <w:rPr>
          <w:rFonts w:ascii="宋体" w:hAnsi="宋体" w:cs="宋体" w:eastAsia="宋体" w:hint="default"/>
          <w:spacing w:val="-4"/>
        </w:rPr>
        <w:t>5</w:t>
      </w:r>
      <w:r>
        <w:rPr>
          <w:spacing w:val="-4"/>
        </w:rPr>
        <w:t>、生物资产出售、盘亏、死亡或毁损的处置收入扣除其账面价值和相关税费后的差额计入当期损</w:t>
      </w:r>
      <w:r>
        <w:rPr>
          <w:spacing w:val="-35"/>
        </w:rPr>
        <w:t> </w:t>
      </w:r>
      <w:r>
        <w:rPr>
          <w:spacing w:val="-35"/>
        </w:rPr>
      </w:r>
      <w:r>
        <w:rPr/>
        <w:t>益。</w:t>
      </w:r>
      <w:r>
        <w:rPr>
          <w:rFonts w:ascii="宋体" w:hAnsi="宋体" w:cs="宋体" w:eastAsia="宋体" w:hint="default"/>
        </w:rPr>
        <w:t> </w:t>
      </w:r>
    </w:p>
    <w:p>
      <w:pPr>
        <w:pStyle w:val="BodyText"/>
        <w:spacing w:line="240" w:lineRule="auto" w:before="7"/>
        <w:ind w:left="216" w:right="0"/>
        <w:jc w:val="left"/>
        <w:rPr>
          <w:rFonts w:ascii="宋体" w:hAnsi="宋体" w:cs="宋体" w:eastAsia="宋体" w:hint="default"/>
        </w:rPr>
      </w:pPr>
      <w:r>
        <w:rPr>
          <w:rFonts w:ascii="宋体"/>
          <w:w w:val="100"/>
        </w:rPr>
        <w:t> </w:t>
      </w:r>
    </w:p>
    <w:p>
      <w:pPr>
        <w:pStyle w:val="Heading3"/>
        <w:spacing w:line="240" w:lineRule="auto"/>
        <w:ind w:left="216" w:right="0"/>
        <w:jc w:val="left"/>
        <w:rPr>
          <w:b w:val="0"/>
          <w:bCs w:val="0"/>
        </w:rPr>
      </w:pPr>
      <w:r>
        <w:rPr>
          <w:rFonts w:ascii="宋体" w:hAnsi="宋体" w:cs="宋体" w:eastAsia="宋体" w:hint="default"/>
        </w:rPr>
        <w:t>26.</w:t>
      </w:r>
      <w:r>
        <w:rPr>
          <w:rFonts w:ascii="宋体" w:hAnsi="宋体" w:cs="宋体" w:eastAsia="宋体" w:hint="default"/>
          <w:spacing w:val="2"/>
        </w:rPr>
        <w:t> </w:t>
      </w:r>
      <w:r>
        <w:rPr/>
        <w:t>油气资产</w:t>
      </w:r>
      <w:r>
        <w:rPr>
          <w:b w:val="0"/>
          <w:bCs w:val="0"/>
        </w:rPr>
      </w:r>
    </w:p>
    <w:p>
      <w:pPr>
        <w:pStyle w:val="BodyText"/>
        <w:spacing w:line="240" w:lineRule="auto" w:before="97"/>
        <w:ind w:left="216"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left="216" w:right="0"/>
        <w:jc w:val="left"/>
        <w:rPr>
          <w:rFonts w:ascii="宋体" w:hAnsi="宋体" w:cs="宋体" w:eastAsia="宋体" w:hint="default"/>
        </w:rPr>
      </w:pPr>
      <w:r>
        <w:rPr>
          <w:rFonts w:ascii="宋体"/>
          <w:w w:val="100"/>
        </w:rPr>
        <w:t> </w:t>
      </w:r>
    </w:p>
    <w:p>
      <w:pPr>
        <w:pStyle w:val="Heading3"/>
        <w:spacing w:line="240" w:lineRule="auto"/>
        <w:ind w:left="216" w:right="0"/>
        <w:jc w:val="left"/>
        <w:rPr>
          <w:b w:val="0"/>
          <w:bCs w:val="0"/>
        </w:rPr>
      </w:pPr>
      <w:r>
        <w:rPr>
          <w:rFonts w:ascii="宋体" w:hAnsi="宋体" w:cs="宋体" w:eastAsia="宋体" w:hint="default"/>
        </w:rPr>
        <w:t>27.</w:t>
      </w:r>
      <w:r>
        <w:rPr>
          <w:rFonts w:ascii="宋体" w:hAnsi="宋体" w:cs="宋体" w:eastAsia="宋体" w:hint="default"/>
          <w:spacing w:val="3"/>
        </w:rPr>
        <w:t> </w:t>
      </w:r>
      <w:r>
        <w:rPr/>
        <w:t>使用权资产</w:t>
      </w:r>
      <w:r>
        <w:rPr>
          <w:b w:val="0"/>
          <w:bCs w:val="0"/>
        </w:rPr>
      </w:r>
    </w:p>
    <w:p>
      <w:pPr>
        <w:pStyle w:val="BodyText"/>
        <w:spacing w:line="240" w:lineRule="auto" w:before="97"/>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left="216" w:right="0"/>
        <w:jc w:val="left"/>
        <w:rPr>
          <w:rFonts w:ascii="宋体" w:hAnsi="宋体" w:cs="宋体" w:eastAsia="宋体" w:hint="default"/>
        </w:rPr>
      </w:pPr>
      <w:r>
        <w:rPr>
          <w:rFonts w:ascii="宋体"/>
          <w:w w:val="100"/>
        </w:rPr>
        <w:t> </w:t>
      </w:r>
    </w:p>
    <w:p>
      <w:pPr>
        <w:pStyle w:val="Heading3"/>
        <w:spacing w:line="324" w:lineRule="auto"/>
        <w:ind w:left="216" w:right="4886"/>
        <w:jc w:val="left"/>
        <w:rPr>
          <w:rFonts w:ascii="宋体" w:hAnsi="宋体" w:cs="宋体" w:eastAsia="宋体" w:hint="default"/>
          <w:b w:val="0"/>
          <w:bCs w:val="0"/>
        </w:rPr>
      </w:pPr>
      <w:r>
        <w:rPr>
          <w:rFonts w:ascii="宋体" w:hAnsi="宋体" w:cs="宋体" w:eastAsia="宋体" w:hint="default"/>
        </w:rPr>
        <w:t>28.</w:t>
      </w:r>
      <w:r>
        <w:rPr>
          <w:rFonts w:ascii="宋体" w:hAnsi="宋体" w:cs="宋体" w:eastAsia="宋体" w:hint="default"/>
          <w:spacing w:val="2"/>
        </w:rPr>
        <w:t> </w:t>
      </w:r>
      <w:r>
        <w:rPr/>
        <w:t>无形资产</w:t>
      </w:r>
      <w:r>
        <w:rPr>
          <w:w w:val="100"/>
        </w:rPr>
        <w:t> </w:t>
      </w:r>
      <w:r>
        <w:rPr>
          <w:rFonts w:ascii="宋体" w:hAnsi="宋体" w:cs="宋体" w:eastAsia="宋体" w:hint="default"/>
        </w:rPr>
        <w:t>(1).</w:t>
      </w:r>
      <w:r>
        <w:rPr/>
        <w:t>计价方法、使用寿命、减值测试</w:t>
      </w:r>
      <w:r>
        <w:rPr>
          <w:rFonts w:ascii="宋体" w:hAnsi="宋体" w:cs="宋体" w:eastAsia="宋体" w:hint="default"/>
          <w:w w:val="99"/>
        </w:rPr>
        <w:t> </w:t>
      </w:r>
      <w:r>
        <w:rPr>
          <w:rFonts w:ascii="宋体" w:hAnsi="宋体" w:cs="宋体" w:eastAsia="宋体" w:hint="default"/>
          <w:b w:val="0"/>
          <w:bCs w:val="0"/>
        </w:rPr>
      </w:r>
    </w:p>
    <w:p>
      <w:pPr>
        <w:pStyle w:val="Heading2"/>
        <w:spacing w:line="310" w:lineRule="exact"/>
        <w:ind w:left="21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3"/>
        <w:spacing w:line="240" w:lineRule="auto" w:before="131"/>
        <w:ind w:left="618" w:right="6207"/>
        <w:jc w:val="center"/>
        <w:rPr>
          <w:b w:val="0"/>
          <w:bCs w:val="0"/>
        </w:rPr>
      </w:pPr>
      <w:r>
        <w:rPr>
          <w:rFonts w:ascii="Times New Roman" w:hAnsi="Times New Roman" w:cs="Times New Roman" w:eastAsia="Times New Roman" w:hint="default"/>
        </w:rPr>
        <w:t>1</w:t>
      </w:r>
      <w:r>
        <w:rPr/>
        <w:t>、</w:t>
      </w:r>
      <w:r>
        <w:rPr>
          <w:spacing w:val="1"/>
        </w:rPr>
        <w:t> </w:t>
      </w:r>
      <w:r>
        <w:rPr/>
        <w:t>无形资产的计价方法</w:t>
      </w:r>
      <w:r>
        <w:rPr>
          <w:b w:val="0"/>
          <w:bCs w:val="0"/>
        </w:rPr>
      </w:r>
    </w:p>
    <w:p>
      <w:pPr>
        <w:pStyle w:val="BodyText"/>
        <w:spacing w:line="331" w:lineRule="auto" w:before="107"/>
        <w:ind w:left="216" w:right="0"/>
        <w:jc w:val="left"/>
      </w:pPr>
      <w:r>
        <w:rPr/>
        <w:t>（</w:t>
      </w:r>
      <w:r>
        <w:rPr>
          <w:rFonts w:ascii="Times New Roman" w:hAnsi="Times New Roman" w:cs="Times New Roman" w:eastAsia="Times New Roman" w:hint="default"/>
        </w:rPr>
        <w:t>1</w:t>
      </w:r>
      <w:r>
        <w:rPr/>
        <w:t>）公司取得无形资产时按成本进行初始计量；</w:t>
      </w:r>
      <w:r>
        <w:rPr>
          <w:w w:val="100"/>
        </w:rPr>
        <w:t> </w:t>
      </w:r>
      <w:r>
        <w:rPr>
          <w:spacing w:val="-1"/>
        </w:rPr>
        <w:t>外购无形资产的成本，包括购买价款、相关税费以及直接归属于使该项资产达到预定用途所发生</w:t>
      </w:r>
    </w:p>
    <w:p>
      <w:pPr>
        <w:spacing w:after="0" w:line="331" w:lineRule="auto"/>
        <w:jc w:val="left"/>
        <w:sectPr>
          <w:pgSz w:w="11910" w:h="16840"/>
          <w:pgMar w:header="748" w:footer="974" w:top="1140" w:bottom="1160" w:left="1060" w:right="1660"/>
        </w:sectPr>
      </w:pPr>
    </w:p>
    <w:p>
      <w:pPr>
        <w:spacing w:line="240" w:lineRule="auto" w:before="3"/>
        <w:rPr>
          <w:rFonts w:ascii="宋体" w:hAnsi="宋体" w:cs="宋体" w:eastAsia="宋体" w:hint="default"/>
          <w:sz w:val="27"/>
          <w:szCs w:val="27"/>
        </w:rPr>
      </w:pPr>
    </w:p>
    <w:p>
      <w:pPr>
        <w:pStyle w:val="BodyText"/>
        <w:spacing w:line="350" w:lineRule="auto" w:before="36"/>
        <w:ind w:left="216" w:right="0"/>
        <w:jc w:val="left"/>
      </w:pPr>
      <w:r>
        <w:rPr>
          <w:spacing w:val="-1"/>
        </w:rPr>
        <w:t>的其他支出。购买无形资产的价款超过正常信用条件延期支付，实质上具有融资性质的，无形资</w:t>
      </w:r>
      <w:r>
        <w:rPr>
          <w:spacing w:val="-55"/>
        </w:rPr>
        <w:t> </w:t>
      </w:r>
      <w:r>
        <w:rPr>
          <w:spacing w:val="-55"/>
        </w:rPr>
      </w:r>
      <w:r>
        <w:rPr/>
        <w:t>产的成本以购买价款的现值为基础确定。</w:t>
      </w:r>
      <w:r>
        <w:rPr>
          <w:w w:val="100"/>
        </w:rPr>
        <w:t> </w:t>
      </w:r>
      <w:r>
        <w:rPr>
          <w:spacing w:val="-1"/>
        </w:rPr>
        <w:t>债务重组取得债务人用以抵债的无形资产，以所放弃债权的公允价值和可直接归属于使该资产达</w:t>
      </w:r>
      <w:r>
        <w:rPr>
          <w:spacing w:val="-55"/>
        </w:rPr>
        <w:t> </w:t>
      </w:r>
      <w:r>
        <w:rPr>
          <w:spacing w:val="-55"/>
        </w:rPr>
      </w:r>
      <w:r>
        <w:rPr>
          <w:spacing w:val="-1"/>
        </w:rPr>
        <w:t>到预定用途所发生的税金等其他成本确定其入账价值，并将所放弃债权的公允价值与账面价值之</w:t>
      </w:r>
      <w:r>
        <w:rPr>
          <w:spacing w:val="-55"/>
        </w:rPr>
        <w:t> </w:t>
      </w:r>
      <w:r>
        <w:rPr>
          <w:spacing w:val="-55"/>
        </w:rPr>
      </w:r>
      <w:r>
        <w:rPr/>
        <w:t>间的差额，计入当期损益。</w:t>
      </w:r>
      <w:r>
        <w:rPr>
          <w:w w:val="100"/>
        </w:rPr>
        <w:t> </w:t>
      </w:r>
      <w:r>
        <w:rPr>
          <w:spacing w:val="-1"/>
        </w:rPr>
        <w:t>在非货币性资产交换具有商业实质，且换入资产或换出资产的公允价值能够可靠计量时，以公允</w:t>
      </w:r>
      <w:r>
        <w:rPr>
          <w:spacing w:val="-55"/>
        </w:rPr>
        <w:t> </w:t>
      </w:r>
      <w:r>
        <w:rPr>
          <w:spacing w:val="-55"/>
        </w:rPr>
      </w:r>
      <w:r>
        <w:rPr>
          <w:spacing w:val="-1"/>
        </w:rPr>
        <w:t>价值为基础计量。如换入资产和换出资产的公允价值均能可靠计量的，对于换入的无形资产，以</w:t>
      </w:r>
      <w:r>
        <w:rPr>
          <w:spacing w:val="-55"/>
        </w:rPr>
        <w:t> </w:t>
      </w:r>
      <w:r>
        <w:rPr>
          <w:spacing w:val="-55"/>
        </w:rPr>
      </w:r>
      <w:r>
        <w:rPr>
          <w:spacing w:val="-1"/>
        </w:rPr>
        <w:t>换出资产的公允价值和应支付的相关税费作为换入的无形资产的初始投资成本，除非有确凿证据</w:t>
      </w:r>
      <w:r>
        <w:rPr>
          <w:spacing w:val="-55"/>
        </w:rPr>
        <w:t> </w:t>
      </w:r>
      <w:r>
        <w:rPr>
          <w:spacing w:val="-55"/>
        </w:rPr>
      </w:r>
      <w:r>
        <w:rPr>
          <w:spacing w:val="-1"/>
        </w:rPr>
        <w:t>表明换入资产的公允价值更加可靠。非货币性资产交换不具有商业实质，或换入资产和换出资产</w:t>
      </w:r>
      <w:r>
        <w:rPr>
          <w:spacing w:val="-55"/>
        </w:rPr>
        <w:t> </w:t>
      </w:r>
      <w:r>
        <w:rPr>
          <w:spacing w:val="-55"/>
        </w:rPr>
      </w:r>
      <w:r>
        <w:rPr>
          <w:spacing w:val="-1"/>
        </w:rPr>
        <w:t>的公允价值均不能可靠计量的，对于换入的无形资产，以换出资产的账面价值和应支付的相关税</w:t>
      </w:r>
      <w:r>
        <w:rPr>
          <w:spacing w:val="-55"/>
        </w:rPr>
        <w:t> </w:t>
      </w:r>
      <w:r>
        <w:rPr>
          <w:spacing w:val="-55"/>
        </w:rPr>
      </w:r>
      <w:r>
        <w:rPr/>
        <w:t>费作为换入无形资产的初始投资成本。</w:t>
      </w:r>
    </w:p>
    <w:p>
      <w:pPr>
        <w:pStyle w:val="BodyText"/>
        <w:spacing w:line="331" w:lineRule="auto" w:before="27"/>
        <w:ind w:left="216" w:right="4886"/>
        <w:jc w:val="left"/>
      </w:pPr>
      <w:r>
        <w:rPr/>
        <w:t>（</w:t>
      </w:r>
      <w:r>
        <w:rPr>
          <w:rFonts w:ascii="Times New Roman" w:hAnsi="Times New Roman" w:cs="Times New Roman" w:eastAsia="Times New Roman" w:hint="default"/>
        </w:rPr>
        <w:t>2</w:t>
      </w:r>
      <w:r>
        <w:rPr/>
        <w:t>）后续计量</w:t>
      </w:r>
      <w:r>
        <w:rPr>
          <w:w w:val="100"/>
        </w:rPr>
        <w:t> </w:t>
      </w:r>
      <w:r>
        <w:rPr>
          <w:spacing w:val="-2"/>
        </w:rPr>
        <w:t>在取得无形资产时分析判断其使用寿命。</w:t>
      </w:r>
    </w:p>
    <w:p>
      <w:pPr>
        <w:pStyle w:val="BodyText"/>
        <w:spacing w:line="348" w:lineRule="auto" w:before="46"/>
        <w:ind w:left="216" w:right="0"/>
        <w:jc w:val="left"/>
      </w:pPr>
      <w:r>
        <w:rPr>
          <w:spacing w:val="-1"/>
        </w:rPr>
        <w:t>对于使用寿命有限的无形资产，在为企业带来经济利益的期限内按直线法摊销；无法预见无形资</w:t>
      </w:r>
      <w:r>
        <w:rPr>
          <w:spacing w:val="-55"/>
        </w:rPr>
        <w:t> </w:t>
      </w:r>
      <w:r>
        <w:rPr>
          <w:spacing w:val="-55"/>
        </w:rPr>
      </w:r>
      <w:r>
        <w:rPr/>
        <w:t>产为企业带来经济利益期限的，视为使用寿命不确定的无形资产，不予摊销。</w:t>
      </w:r>
    </w:p>
    <w:p>
      <w:pPr>
        <w:pStyle w:val="Heading3"/>
        <w:spacing w:line="240" w:lineRule="auto" w:before="12"/>
        <w:ind w:left="637" w:right="0"/>
        <w:jc w:val="left"/>
        <w:rPr>
          <w:b w:val="0"/>
          <w:bCs w:val="0"/>
        </w:rPr>
      </w:pPr>
      <w:r>
        <w:rPr/>
        <w:pict>
          <v:shape style="position:absolute;margin-left:246.649994pt;margin-top:18.383675pt;width:.48001pt;height:.12pt;mso-position-horizontal-relative:page;mso-position-vertical-relative:paragraph;z-index:-1319272" type="#_x0000_t75" stroked="false">
            <v:imagedata r:id="rId67" o:title=""/>
          </v:shape>
        </w:pict>
      </w:r>
      <w:r>
        <w:rPr/>
        <w:pict>
          <v:shape style="position:absolute;margin-left:342.309998pt;margin-top:18.383675pt;width:.47998pt;height:.12pt;mso-position-horizontal-relative:page;mso-position-vertical-relative:paragraph;z-index:-1319248" type="#_x0000_t75" stroked="false">
            <v:imagedata r:id="rId67" o:title=""/>
          </v:shape>
        </w:pict>
      </w:r>
      <w:r>
        <w:rPr/>
        <w:pict>
          <v:group style="position:absolute;margin-left:94.223999pt;margin-top:33.863686pt;width:390.7pt;height:5.05pt;mso-position-horizontal-relative:page;mso-position-vertical-relative:paragraph;z-index:-1319224" coordorigin="1884,677" coordsize="7814,101">
            <v:shape style="position:absolute;left:1884;top:677;width:3068;height:101" type="#_x0000_t75" stroked="false">
              <v:imagedata r:id="rId68" o:title=""/>
            </v:shape>
            <v:shape style="position:absolute;left:4928;top:768;width:1918;height:10" type="#_x0000_t75" stroked="false">
              <v:imagedata r:id="rId69" o:title=""/>
            </v:shape>
            <v:shape style="position:absolute;left:6841;top:768;width:2857;height:10" type="#_x0000_t75" stroked="false">
              <v:imagedata r:id="rId70" o:title=""/>
            </v:shape>
            <w10:wrap type="none"/>
          </v:group>
        </w:pict>
      </w:r>
      <w:r>
        <w:rPr/>
        <w:pict>
          <v:group style="position:absolute;margin-left:94.223999pt;margin-top:54.263657pt;width:390.7pt;height:5.2pt;mso-position-horizontal-relative:page;mso-position-vertical-relative:paragraph;z-index:-1319200" coordorigin="1884,1085" coordsize="7814,104">
            <v:shape style="position:absolute;left:1884;top:1085;width:3068;height:103" type="#_x0000_t75" stroked="false">
              <v:imagedata r:id="rId71" o:title=""/>
            </v:shape>
            <v:shape style="position:absolute;left:4928;top:1179;width:1918;height:10" type="#_x0000_t75" stroked="false">
              <v:imagedata r:id="rId72" o:title=""/>
            </v:shape>
            <v:shape style="position:absolute;left:6841;top:1179;width:2857;height:10" type="#_x0000_t75" stroked="false">
              <v:imagedata r:id="rId73" o:title=""/>
            </v:shape>
            <w10:wrap type="none"/>
          </v:group>
        </w:pict>
      </w:r>
      <w:r>
        <w:rPr>
          <w:rFonts w:ascii="Times New Roman" w:hAnsi="Times New Roman" w:cs="Times New Roman" w:eastAsia="Times New Roman" w:hint="default"/>
        </w:rPr>
        <w:t>2</w:t>
      </w:r>
      <w:r>
        <w:rPr/>
        <w:t>、</w:t>
      </w:r>
      <w:r>
        <w:rPr>
          <w:spacing w:val="-3"/>
        </w:rPr>
        <w:t> </w:t>
      </w:r>
      <w:r>
        <w:rPr/>
        <w:t>使用寿命有限的无形资产的使用寿命估计情况：</w:t>
      </w:r>
      <w:r>
        <w:rPr>
          <w:b w:val="0"/>
          <w:bCs w:val="0"/>
        </w:rPr>
      </w:r>
    </w:p>
    <w:p>
      <w:pPr>
        <w:spacing w:line="240" w:lineRule="auto" w:before="10"/>
        <w:rPr>
          <w:rFonts w:ascii="宋体" w:hAnsi="宋体" w:cs="宋体" w:eastAsia="宋体" w:hint="default"/>
          <w:b/>
          <w:bCs/>
          <w:sz w:val="2"/>
          <w:szCs w:val="2"/>
        </w:rPr>
      </w:pPr>
    </w:p>
    <w:tbl>
      <w:tblPr>
        <w:tblW w:w="0" w:type="auto"/>
        <w:jc w:val="left"/>
        <w:tblInd w:w="810" w:type="dxa"/>
        <w:tblLayout w:type="fixed"/>
        <w:tblCellMar>
          <w:top w:w="0" w:type="dxa"/>
          <w:left w:w="0" w:type="dxa"/>
          <w:bottom w:w="0" w:type="dxa"/>
          <w:right w:w="0" w:type="dxa"/>
        </w:tblCellMar>
        <w:tblLook w:val="01E0"/>
      </w:tblPr>
      <w:tblGrid>
        <w:gridCol w:w="3068"/>
        <w:gridCol w:w="1913"/>
        <w:gridCol w:w="2847"/>
      </w:tblGrid>
      <w:tr>
        <w:trPr>
          <w:trHeight w:val="324" w:hRule="exact"/>
        </w:trPr>
        <w:tc>
          <w:tcPr>
            <w:tcW w:w="3068" w:type="dxa"/>
            <w:tcBorders>
              <w:top w:val="single" w:sz="12" w:space="0" w:color="000000"/>
              <w:left w:val="nil" w:sz="6" w:space="0" w:color="auto"/>
              <w:bottom w:val="nil" w:sz="6" w:space="0" w:color="auto"/>
              <w:right w:val="single" w:sz="4" w:space="0" w:color="000000"/>
            </w:tcBorders>
          </w:tcPr>
          <w:p>
            <w:pPr>
              <w:pStyle w:val="TableParagraph"/>
              <w:spacing w:line="240" w:lineRule="auto" w:before="109"/>
              <w:ind w:left="11" w:right="0"/>
              <w:jc w:val="center"/>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z w:val="18"/>
                <w:szCs w:val="18"/>
              </w:rPr>
            </w:r>
            <w:r>
              <w:rPr>
                <w:rFonts w:ascii="宋体" w:hAnsi="宋体" w:cs="宋体" w:eastAsia="宋体" w:hint="default"/>
                <w:sz w:val="18"/>
                <w:szCs w:val="18"/>
              </w:rPr>
              <w:t>目</w:t>
            </w:r>
          </w:p>
        </w:tc>
        <w:tc>
          <w:tcPr>
            <w:tcW w:w="1913"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109"/>
              <w:ind w:right="5"/>
              <w:jc w:val="center"/>
              <w:rPr>
                <w:rFonts w:ascii="宋体" w:hAnsi="宋体" w:cs="宋体" w:eastAsia="宋体" w:hint="default"/>
                <w:sz w:val="18"/>
                <w:szCs w:val="18"/>
              </w:rPr>
            </w:pPr>
            <w:r>
              <w:rPr>
                <w:rFonts w:ascii="宋体" w:hAnsi="宋体" w:cs="宋体" w:eastAsia="宋体" w:hint="default"/>
                <w:sz w:val="18"/>
                <w:szCs w:val="18"/>
              </w:rPr>
              <w:t>预计使用寿命</w:t>
            </w:r>
          </w:p>
        </w:tc>
        <w:tc>
          <w:tcPr>
            <w:tcW w:w="2847" w:type="dxa"/>
            <w:tcBorders>
              <w:top w:val="single" w:sz="12" w:space="0" w:color="000000"/>
              <w:left w:val="single" w:sz="4" w:space="0" w:color="000000"/>
              <w:bottom w:val="nil" w:sz="6" w:space="0" w:color="auto"/>
              <w:right w:val="nil" w:sz="6" w:space="0" w:color="auto"/>
            </w:tcBorders>
          </w:tcPr>
          <w:p>
            <w:pPr>
              <w:pStyle w:val="TableParagraph"/>
              <w:spacing w:line="240" w:lineRule="auto" w:before="109"/>
              <w:ind w:right="9"/>
              <w:jc w:val="center"/>
              <w:rPr>
                <w:rFonts w:ascii="宋体" w:hAnsi="宋体" w:cs="宋体" w:eastAsia="宋体" w:hint="default"/>
                <w:sz w:val="18"/>
                <w:szCs w:val="18"/>
              </w:rPr>
            </w:pPr>
            <w:r>
              <w:rPr>
                <w:rFonts w:ascii="宋体" w:hAnsi="宋体" w:cs="宋体" w:eastAsia="宋体" w:hint="default"/>
                <w:sz w:val="18"/>
                <w:szCs w:val="18"/>
              </w:rPr>
              <w:t>依据</w:t>
            </w:r>
          </w:p>
        </w:tc>
      </w:tr>
      <w:tr>
        <w:trPr>
          <w:trHeight w:val="445" w:hRule="exact"/>
        </w:trPr>
        <w:tc>
          <w:tcPr>
            <w:tcW w:w="3068" w:type="dxa"/>
            <w:tcBorders>
              <w:top w:val="nil" w:sz="6" w:space="0" w:color="auto"/>
              <w:left w:val="nil" w:sz="6" w:space="0" w:color="auto"/>
              <w:bottom w:val="nil" w:sz="6" w:space="0" w:color="auto"/>
              <w:right w:val="single" w:sz="4" w:space="0" w:color="000000"/>
            </w:tcBorders>
          </w:tcPr>
          <w:p>
            <w:pPr>
              <w:pStyle w:val="TableParagraph"/>
              <w:spacing w:line="240" w:lineRule="auto" w:before="0"/>
              <w:ind w:right="0"/>
              <w:jc w:val="left"/>
              <w:rPr>
                <w:rFonts w:ascii="宋体" w:hAnsi="宋体" w:cs="宋体" w:eastAsia="宋体" w:hint="default"/>
                <w:b/>
                <w:bCs/>
                <w:sz w:val="16"/>
                <w:szCs w:val="16"/>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913" w:type="dxa"/>
            <w:tcBorders>
              <w:top w:val="nil" w:sz="6" w:space="0" w:color="auto"/>
              <w:left w:val="single" w:sz="4" w:space="0" w:color="000000"/>
              <w:bottom w:val="nil" w:sz="6" w:space="0" w:color="auto"/>
              <w:right w:val="single" w:sz="4" w:space="0" w:color="000000"/>
            </w:tcBorders>
          </w:tcPr>
          <w:p>
            <w:pPr>
              <w:pStyle w:val="TableParagraph"/>
              <w:spacing w:line="240" w:lineRule="auto" w:before="0"/>
              <w:ind w:right="0"/>
              <w:jc w:val="left"/>
              <w:rPr>
                <w:rFonts w:ascii="宋体" w:hAnsi="宋体" w:cs="宋体" w:eastAsia="宋体" w:hint="default"/>
                <w:b/>
                <w:bCs/>
                <w:sz w:val="16"/>
                <w:szCs w:val="16"/>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注</w:t>
            </w:r>
          </w:p>
        </w:tc>
        <w:tc>
          <w:tcPr>
            <w:tcW w:w="2847" w:type="dxa"/>
            <w:tcBorders>
              <w:top w:val="nil" w:sz="6" w:space="0" w:color="auto"/>
              <w:left w:val="single" w:sz="4" w:space="0" w:color="000000"/>
              <w:bottom w:val="nil" w:sz="6" w:space="0" w:color="auto"/>
              <w:right w:val="nil" w:sz="6" w:space="0" w:color="auto"/>
            </w:tcBorders>
          </w:tcPr>
          <w:p>
            <w:pPr>
              <w:pStyle w:val="TableParagraph"/>
              <w:spacing w:line="240" w:lineRule="auto" w:before="0"/>
              <w:ind w:right="0"/>
              <w:jc w:val="left"/>
              <w:rPr>
                <w:rFonts w:ascii="宋体" w:hAnsi="宋体" w:cs="宋体" w:eastAsia="宋体" w:hint="default"/>
                <w:b/>
                <w:bCs/>
                <w:sz w:val="16"/>
                <w:szCs w:val="16"/>
              </w:rPr>
            </w:pPr>
          </w:p>
          <w:p>
            <w:pPr>
              <w:pStyle w:val="TableParagraph"/>
              <w:spacing w:line="240" w:lineRule="auto"/>
              <w:ind w:right="10"/>
              <w:jc w:val="center"/>
              <w:rPr>
                <w:rFonts w:ascii="宋体" w:hAnsi="宋体" w:cs="宋体" w:eastAsia="宋体" w:hint="default"/>
                <w:sz w:val="18"/>
                <w:szCs w:val="18"/>
              </w:rPr>
            </w:pPr>
            <w:r>
              <w:rPr>
                <w:rFonts w:ascii="宋体" w:hAnsi="宋体" w:cs="宋体" w:eastAsia="宋体" w:hint="default"/>
                <w:sz w:val="18"/>
                <w:szCs w:val="18"/>
              </w:rPr>
              <w:t>注</w:t>
            </w:r>
          </w:p>
        </w:tc>
      </w:tr>
      <w:tr>
        <w:trPr>
          <w:trHeight w:val="66" w:hRule="exact"/>
        </w:trPr>
        <w:tc>
          <w:tcPr>
            <w:tcW w:w="3068" w:type="dxa"/>
            <w:tcBorders>
              <w:top w:val="nil" w:sz="6" w:space="0" w:color="auto"/>
              <w:left w:val="nil" w:sz="6" w:space="0" w:color="auto"/>
              <w:bottom w:val="nil" w:sz="6" w:space="0" w:color="auto"/>
              <w:right w:val="nil" w:sz="6" w:space="0" w:color="auto"/>
            </w:tcBorders>
          </w:tcPr>
          <w:p>
            <w:pPr/>
          </w:p>
        </w:tc>
        <w:tc>
          <w:tcPr>
            <w:tcW w:w="1913" w:type="dxa"/>
            <w:tcBorders>
              <w:top w:val="nil" w:sz="6" w:space="0" w:color="auto"/>
              <w:left w:val="nil" w:sz="6" w:space="0" w:color="auto"/>
              <w:bottom w:val="nil" w:sz="6" w:space="0" w:color="auto"/>
              <w:right w:val="single" w:sz="4" w:space="0" w:color="000000"/>
            </w:tcBorders>
          </w:tcPr>
          <w:p>
            <w:pPr/>
          </w:p>
        </w:tc>
        <w:tc>
          <w:tcPr>
            <w:tcW w:w="2847" w:type="dxa"/>
            <w:tcBorders>
              <w:top w:val="nil" w:sz="6" w:space="0" w:color="auto"/>
              <w:left w:val="single" w:sz="4" w:space="0" w:color="000000"/>
              <w:bottom w:val="nil" w:sz="6" w:space="0" w:color="auto"/>
              <w:right w:val="nil" w:sz="6" w:space="0" w:color="auto"/>
            </w:tcBorders>
          </w:tcPr>
          <w:p>
            <w:pPr/>
          </w:p>
        </w:tc>
      </w:tr>
      <w:tr>
        <w:trPr>
          <w:trHeight w:val="411" w:hRule="exact"/>
        </w:trPr>
        <w:tc>
          <w:tcPr>
            <w:tcW w:w="3068" w:type="dxa"/>
            <w:tcBorders>
              <w:top w:val="nil" w:sz="6" w:space="0" w:color="auto"/>
              <w:left w:val="nil" w:sz="6" w:space="0" w:color="auto"/>
              <w:bottom w:val="nil" w:sz="6" w:space="0" w:color="auto"/>
              <w:right w:val="single" w:sz="4" w:space="0" w:color="000000"/>
            </w:tcBorders>
          </w:tcPr>
          <w:p>
            <w:pPr>
              <w:pStyle w:val="TableParagraph"/>
              <w:spacing w:line="240" w:lineRule="auto" w:before="109"/>
              <w:ind w:left="120" w:right="0"/>
              <w:jc w:val="left"/>
              <w:rPr>
                <w:rFonts w:ascii="宋体" w:hAnsi="宋体" w:cs="宋体" w:eastAsia="宋体" w:hint="default"/>
                <w:sz w:val="18"/>
                <w:szCs w:val="18"/>
              </w:rPr>
            </w:pPr>
            <w:r>
              <w:rPr>
                <w:rFonts w:ascii="宋体" w:hAnsi="宋体" w:cs="宋体" w:eastAsia="宋体" w:hint="default"/>
                <w:sz w:val="18"/>
                <w:szCs w:val="18"/>
              </w:rPr>
              <w:t>专利技术</w:t>
            </w:r>
          </w:p>
        </w:tc>
        <w:tc>
          <w:tcPr>
            <w:tcW w:w="1913" w:type="dxa"/>
            <w:tcBorders>
              <w:top w:val="nil" w:sz="6" w:space="0" w:color="auto"/>
              <w:left w:val="single" w:sz="4" w:space="0" w:color="000000"/>
              <w:bottom w:val="nil" w:sz="6" w:space="0" w:color="auto"/>
              <w:right w:val="single" w:sz="4" w:space="0" w:color="000000"/>
            </w:tcBorders>
          </w:tcPr>
          <w:p>
            <w:pPr>
              <w:pStyle w:val="TableParagraph"/>
              <w:spacing w:line="240" w:lineRule="auto" w:before="10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847" w:type="dxa"/>
            <w:tcBorders>
              <w:top w:val="nil" w:sz="6" w:space="0" w:color="auto"/>
              <w:left w:val="single" w:sz="4" w:space="0" w:color="000000"/>
              <w:bottom w:val="nil" w:sz="6" w:space="0" w:color="auto"/>
              <w:right w:val="nil" w:sz="6" w:space="0" w:color="auto"/>
            </w:tcBorders>
          </w:tcPr>
          <w:p>
            <w:pPr/>
          </w:p>
        </w:tc>
      </w:tr>
      <w:tr>
        <w:trPr>
          <w:trHeight w:val="415" w:hRule="exact"/>
        </w:trPr>
        <w:tc>
          <w:tcPr>
            <w:tcW w:w="3068" w:type="dxa"/>
            <w:tcBorders>
              <w:top w:val="nil" w:sz="6" w:space="0" w:color="auto"/>
              <w:left w:val="nil" w:sz="6" w:space="0" w:color="auto"/>
              <w:bottom w:val="single" w:sz="12" w:space="0" w:color="000000"/>
              <w:right w:val="single" w:sz="4" w:space="0" w:color="000000"/>
            </w:tcBorders>
          </w:tcPr>
          <w:p>
            <w:pPr>
              <w:pStyle w:val="TableParagraph"/>
              <w:spacing w:line="240" w:lineRule="auto" w:before="109"/>
              <w:ind w:left="120" w:right="0"/>
              <w:jc w:val="left"/>
              <w:rPr>
                <w:rFonts w:ascii="宋体" w:hAnsi="宋体" w:cs="宋体" w:eastAsia="宋体" w:hint="default"/>
                <w:sz w:val="18"/>
                <w:szCs w:val="18"/>
              </w:rPr>
            </w:pPr>
            <w:r>
              <w:rPr>
                <w:rFonts w:ascii="宋体" w:hAnsi="宋体" w:cs="宋体" w:eastAsia="宋体" w:hint="default"/>
                <w:sz w:val="18"/>
                <w:szCs w:val="18"/>
              </w:rPr>
              <w:t>软件</w:t>
            </w:r>
          </w:p>
        </w:tc>
        <w:tc>
          <w:tcPr>
            <w:tcW w:w="1913"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0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847" w:type="dxa"/>
            <w:tcBorders>
              <w:top w:val="nil" w:sz="6" w:space="0" w:color="auto"/>
              <w:left w:val="single" w:sz="4" w:space="0" w:color="000000"/>
              <w:bottom w:val="single" w:sz="12" w:space="0" w:color="000000"/>
              <w:right w:val="nil" w:sz="6" w:space="0" w:color="auto"/>
            </w:tcBorders>
          </w:tcPr>
          <w:p>
            <w:pPr/>
          </w:p>
        </w:tc>
      </w:tr>
    </w:tbl>
    <w:p>
      <w:pPr>
        <w:pStyle w:val="BodyText"/>
        <w:spacing w:line="240" w:lineRule="auto" w:before="93"/>
        <w:ind w:left="216" w:right="0"/>
        <w:jc w:val="left"/>
      </w:pPr>
      <w:r>
        <w:rPr/>
        <w:pict>
          <v:group style="position:absolute;margin-left:94.223999pt;margin-top:-26.646315pt;width:390.7pt;height:5.2pt;mso-position-horizontal-relative:page;mso-position-vertical-relative:paragraph;z-index:-1319176" coordorigin="1884,-533" coordsize="7814,104">
            <v:shape style="position:absolute;left:1884;top:-533;width:3068;height:103" type="#_x0000_t75" stroked="false">
              <v:imagedata r:id="rId71" o:title=""/>
            </v:shape>
            <v:shape style="position:absolute;left:4928;top:-439;width:1918;height:10" type="#_x0000_t75" stroked="false">
              <v:imagedata r:id="rId72" o:title=""/>
            </v:shape>
            <v:shape style="position:absolute;left:6841;top:-439;width:2857;height:10" type="#_x0000_t75" stroked="false">
              <v:imagedata r:id="rId73" o:title=""/>
            </v:shape>
            <w10:wrap type="none"/>
          </v:group>
        </w:pict>
      </w:r>
      <w:r>
        <w:rPr/>
        <w:t>注：公司的土地使用权按取得的土地使用权证规定的剩余使用年限认定其使用寿命。</w:t>
      </w:r>
    </w:p>
    <w:p>
      <w:pPr>
        <w:pStyle w:val="BodyText"/>
        <w:spacing w:line="328" w:lineRule="auto" w:before="106"/>
        <w:ind w:left="216" w:right="126" w:firstLine="420"/>
        <w:jc w:val="left"/>
      </w:pPr>
      <w:r>
        <w:rPr>
          <w:rFonts w:ascii="Times New Roman" w:hAnsi="Times New Roman" w:cs="Times New Roman" w:eastAsia="Times New Roman" w:hint="default"/>
          <w:b/>
          <w:bCs/>
        </w:rPr>
        <w:t>3</w:t>
      </w:r>
      <w:r>
        <w:rPr>
          <w:rFonts w:ascii="宋体" w:hAnsi="宋体" w:cs="宋体" w:eastAsia="宋体" w:hint="default"/>
          <w:b/>
          <w:bCs/>
        </w:rPr>
        <w:t>、</w:t>
      </w:r>
      <w:r>
        <w:rPr>
          <w:rFonts w:ascii="宋体" w:hAnsi="宋体" w:cs="宋体" w:eastAsia="宋体" w:hint="default"/>
          <w:b/>
          <w:bCs/>
          <w:spacing w:val="-3"/>
        </w:rPr>
        <w:t> </w:t>
      </w:r>
      <w:r>
        <w:rPr>
          <w:rFonts w:ascii="宋体" w:hAnsi="宋体" w:cs="宋体" w:eastAsia="宋体" w:hint="default"/>
          <w:b/>
          <w:bCs/>
        </w:rPr>
        <w:t>划分研究阶段和开发阶段的具体标准</w:t>
      </w:r>
      <w:r>
        <w:rPr>
          <w:rFonts w:ascii="宋体" w:hAnsi="宋体" w:cs="宋体" w:eastAsia="宋体" w:hint="default"/>
          <w:b/>
          <w:bCs/>
          <w:w w:val="100"/>
        </w:rPr>
        <w:t> </w:t>
      </w:r>
      <w:r>
        <w:rPr/>
        <w:t>公司内部研究开发项目的支出分为研究阶段支出和开发阶段支出。</w:t>
      </w:r>
      <w:r>
        <w:rPr>
          <w:w w:val="100"/>
        </w:rPr>
        <w:t> </w:t>
      </w:r>
      <w:r>
        <w:rPr>
          <w:spacing w:val="-6"/>
          <w:w w:val="100"/>
        </w:rPr>
        <w:t>研究阶段：为获取并理解新的科学或技术知识等而进行的独创性的有计划调查、研究活动的阶段。</w:t>
      </w:r>
      <w:r>
        <w:rPr>
          <w:w w:val="100"/>
        </w:rPr>
        <w:t> </w:t>
      </w:r>
      <w:r>
        <w:rPr>
          <w:spacing w:val="-1"/>
        </w:rPr>
        <w:t>开发阶段：在进行商业性生产或使用前，将研究成果或其他知识应用于某项计划或设计，以生产</w:t>
      </w:r>
      <w:r>
        <w:rPr>
          <w:spacing w:val="-55"/>
        </w:rPr>
        <w:t> </w:t>
      </w:r>
      <w:r>
        <w:rPr>
          <w:spacing w:val="-55"/>
        </w:rPr>
      </w:r>
      <w:r>
        <w:rPr/>
        <w:t>出新的或具有实质性改进的材料、装置、产品等活动的阶段。</w:t>
      </w:r>
    </w:p>
    <w:p>
      <w:pPr>
        <w:spacing w:line="331" w:lineRule="auto" w:before="29"/>
        <w:ind w:left="216" w:right="0" w:firstLine="0"/>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开发阶段支出资本化的具体条件</w:t>
      </w:r>
      <w:r>
        <w:rPr>
          <w:rFonts w:ascii="宋体" w:hAnsi="宋体" w:cs="宋体" w:eastAsia="宋体" w:hint="default"/>
          <w:b/>
          <w:bCs/>
          <w:w w:val="100"/>
          <w:sz w:val="21"/>
          <w:szCs w:val="21"/>
        </w:rPr>
        <w:t> </w:t>
      </w:r>
      <w:r>
        <w:rPr>
          <w:rFonts w:ascii="宋体" w:hAnsi="宋体" w:cs="宋体" w:eastAsia="宋体" w:hint="default"/>
          <w:spacing w:val="-2"/>
          <w:sz w:val="21"/>
          <w:szCs w:val="21"/>
        </w:rPr>
        <w:t>内部研究开发项目开发阶段的支出，同时满足下列条件时确认为无形资产：</w:t>
      </w:r>
    </w:p>
    <w:p>
      <w:pPr>
        <w:pStyle w:val="BodyText"/>
        <w:spacing w:line="240" w:lineRule="auto" w:before="24"/>
        <w:ind w:left="216" w:right="0"/>
        <w:jc w:val="left"/>
      </w:pPr>
      <w:r>
        <w:rPr/>
        <w:t>（</w:t>
      </w:r>
      <w:r>
        <w:rPr>
          <w:rFonts w:ascii="Times New Roman" w:hAnsi="Times New Roman" w:cs="Times New Roman" w:eastAsia="Times New Roman" w:hint="default"/>
        </w:rPr>
        <w:t>1</w:t>
      </w:r>
      <w:r>
        <w:rPr/>
        <w:t>）完成该无形资产以使其能够使用或出售在技术上具有可行性；</w:t>
      </w:r>
    </w:p>
    <w:p>
      <w:pPr>
        <w:pStyle w:val="BodyText"/>
        <w:spacing w:line="240" w:lineRule="auto" w:before="91"/>
        <w:ind w:left="216" w:right="0"/>
        <w:jc w:val="left"/>
      </w:pPr>
      <w:r>
        <w:rPr/>
        <w:t>（</w:t>
      </w:r>
      <w:r>
        <w:rPr>
          <w:rFonts w:ascii="Times New Roman" w:hAnsi="Times New Roman" w:cs="Times New Roman" w:eastAsia="Times New Roman" w:hint="default"/>
        </w:rPr>
        <w:t>2</w:t>
      </w:r>
      <w:r>
        <w:rPr/>
        <w:t>）具有完成该无形资产并使用或出售的意图；</w:t>
      </w:r>
    </w:p>
    <w:p>
      <w:pPr>
        <w:pStyle w:val="BodyText"/>
        <w:spacing w:line="312" w:lineRule="auto" w:before="88"/>
        <w:ind w:left="216" w:right="0"/>
        <w:jc w:val="left"/>
      </w:pPr>
      <w:r>
        <w:rPr>
          <w:spacing w:val="-4"/>
        </w:rPr>
        <w:t>（</w:t>
      </w:r>
      <w:r>
        <w:rPr>
          <w:rFonts w:ascii="Times New Roman" w:hAnsi="Times New Roman" w:cs="Times New Roman" w:eastAsia="Times New Roman" w:hint="default"/>
          <w:spacing w:val="-4"/>
        </w:rPr>
        <w:t>3</w:t>
      </w:r>
      <w:r>
        <w:rPr>
          <w:spacing w:val="-4"/>
        </w:rPr>
        <w:t>）无形资产产生经济利益的方式，包括能够证明运用该无形资产生产的产品存在市场或无形资</w:t>
      </w:r>
      <w:r>
        <w:rPr>
          <w:spacing w:val="-33"/>
        </w:rPr>
        <w:t> </w:t>
      </w:r>
      <w:r>
        <w:rPr>
          <w:spacing w:val="-33"/>
        </w:rPr>
      </w:r>
      <w:r>
        <w:rPr/>
        <w:t>产自身存在市场，无形资产将在内部使用的，能够证明其有用性；</w:t>
      </w:r>
    </w:p>
    <w:p>
      <w:pPr>
        <w:pStyle w:val="BodyText"/>
        <w:spacing w:line="312" w:lineRule="auto" w:before="43"/>
        <w:ind w:left="216" w:right="0"/>
        <w:jc w:val="left"/>
      </w:pPr>
      <w:r>
        <w:rPr>
          <w:spacing w:val="-4"/>
        </w:rPr>
        <w:t>（</w:t>
      </w:r>
      <w:r>
        <w:rPr>
          <w:rFonts w:ascii="Times New Roman" w:hAnsi="Times New Roman" w:cs="Times New Roman" w:eastAsia="Times New Roman" w:hint="default"/>
          <w:spacing w:val="-4"/>
        </w:rPr>
        <w:t>4</w:t>
      </w:r>
      <w:r>
        <w:rPr>
          <w:spacing w:val="-4"/>
        </w:rPr>
        <w:t>）有足够的技术、财务资源和其他资源支持，以完成该无形资产的开发，并有能力使用或出售</w:t>
      </w:r>
      <w:r>
        <w:rPr>
          <w:spacing w:val="-35"/>
        </w:rPr>
        <w:t> </w:t>
      </w:r>
      <w:r>
        <w:rPr>
          <w:spacing w:val="-35"/>
        </w:rPr>
      </w:r>
      <w:r>
        <w:rPr/>
        <w:t>该无形资产；</w:t>
      </w:r>
    </w:p>
    <w:p>
      <w:pPr>
        <w:pStyle w:val="BodyText"/>
        <w:spacing w:line="240" w:lineRule="auto" w:before="41"/>
        <w:ind w:left="216" w:right="0"/>
        <w:jc w:val="left"/>
      </w:pPr>
      <w:r>
        <w:rPr/>
        <w:t>（</w:t>
      </w:r>
      <w:r>
        <w:rPr>
          <w:rFonts w:ascii="Times New Roman" w:hAnsi="Times New Roman" w:cs="Times New Roman" w:eastAsia="Times New Roman" w:hint="default"/>
        </w:rPr>
        <w:t>5</w:t>
      </w:r>
      <w:r>
        <w:rPr/>
        <w:t>）归属于该无形资产开发阶段的支出能够可靠地计量。</w:t>
      </w:r>
    </w:p>
    <w:p>
      <w:pPr>
        <w:spacing w:after="0" w:line="240" w:lineRule="auto"/>
        <w:jc w:val="left"/>
        <w:sectPr>
          <w:pgSz w:w="11910" w:h="16840"/>
          <w:pgMar w:header="748" w:footer="974" w:top="1140" w:bottom="1160" w:left="1060" w:right="1660"/>
        </w:sectPr>
      </w:pPr>
    </w:p>
    <w:p>
      <w:pPr>
        <w:spacing w:line="240" w:lineRule="auto" w:before="8"/>
        <w:rPr>
          <w:rFonts w:ascii="宋体" w:hAnsi="宋体" w:cs="宋体" w:eastAsia="宋体" w:hint="default"/>
          <w:sz w:val="24"/>
          <w:szCs w:val="24"/>
        </w:rPr>
      </w:pPr>
    </w:p>
    <w:p>
      <w:pPr>
        <w:pStyle w:val="BodyText"/>
        <w:spacing w:line="331" w:lineRule="auto" w:before="36"/>
        <w:ind w:left="216" w:right="0"/>
        <w:jc w:val="left"/>
      </w:pPr>
      <w:r>
        <w:rPr>
          <w:spacing w:val="-1"/>
        </w:rPr>
        <w:t>开发阶段的支出，若不满足上列条件的，于发生时计入当期损益。研究阶段的支出，在发生时计</w:t>
      </w:r>
      <w:r>
        <w:rPr>
          <w:spacing w:val="-55"/>
        </w:rPr>
        <w:t> </w:t>
      </w:r>
      <w:r>
        <w:rPr>
          <w:spacing w:val="-55"/>
        </w:rPr>
      </w:r>
      <w:r>
        <w:rPr/>
        <w:t>入当期损益。</w:t>
      </w:r>
    </w:p>
    <w:p>
      <w:pPr>
        <w:pStyle w:val="BodyText"/>
        <w:spacing w:line="230" w:lineRule="exact"/>
        <w:ind w:left="216" w:right="0"/>
        <w:jc w:val="left"/>
        <w:rPr>
          <w:rFonts w:ascii="宋体" w:hAnsi="宋体" w:cs="宋体" w:eastAsia="宋体" w:hint="default"/>
        </w:rPr>
      </w:pPr>
      <w:r>
        <w:rPr>
          <w:rFonts w:ascii="宋体"/>
          <w:w w:val="100"/>
        </w:rPr>
        <w:t> </w:t>
      </w:r>
    </w:p>
    <w:p>
      <w:pPr>
        <w:pStyle w:val="Heading3"/>
        <w:spacing w:line="240" w:lineRule="auto"/>
        <w:ind w:left="216" w:right="0"/>
        <w:jc w:val="left"/>
        <w:rPr>
          <w:rFonts w:ascii="宋体" w:hAnsi="宋体" w:cs="宋体" w:eastAsia="宋体" w:hint="default"/>
          <w:b w:val="0"/>
          <w:bCs w:val="0"/>
        </w:rPr>
      </w:pPr>
      <w:r>
        <w:rPr>
          <w:rFonts w:ascii="宋体" w:hAnsi="宋体" w:cs="宋体" w:eastAsia="宋体" w:hint="default"/>
        </w:rPr>
        <w:t>(2).</w:t>
      </w:r>
      <w:r>
        <w:rPr/>
        <w:t>内部研究开发支出会计政策</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7"/>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2"/>
        <w:spacing w:line="240" w:lineRule="auto" w:before="9"/>
        <w:ind w:left="216" w:right="0"/>
        <w:jc w:val="left"/>
        <w:rPr>
          <w:rFonts w:ascii="宋体" w:hAnsi="宋体" w:cs="宋体" w:eastAsia="宋体" w:hint="default"/>
        </w:rPr>
      </w:pPr>
      <w:r>
        <w:rPr>
          <w:rFonts w:ascii="宋体"/>
        </w:rPr>
        <w:t> </w:t>
      </w:r>
    </w:p>
    <w:p>
      <w:pPr>
        <w:pStyle w:val="Heading3"/>
        <w:spacing w:line="240" w:lineRule="auto" w:before="85"/>
        <w:ind w:left="216" w:right="0"/>
        <w:jc w:val="left"/>
        <w:rPr>
          <w:b w:val="0"/>
          <w:bCs w:val="0"/>
        </w:rPr>
      </w:pPr>
      <w:r>
        <w:rPr>
          <w:rFonts w:ascii="宋体" w:hAnsi="宋体" w:cs="宋体" w:eastAsia="宋体" w:hint="default"/>
        </w:rPr>
        <w:t>29.</w:t>
      </w:r>
      <w:r>
        <w:rPr>
          <w:rFonts w:ascii="宋体" w:hAnsi="宋体" w:cs="宋体" w:eastAsia="宋体" w:hint="default"/>
          <w:spacing w:val="3"/>
        </w:rPr>
        <w:t> </w:t>
      </w:r>
      <w:r>
        <w:rPr/>
        <w:t>长期资产减值</w:t>
      </w:r>
      <w:r>
        <w:rPr>
          <w:b w:val="0"/>
          <w:bCs w:val="0"/>
        </w:rPr>
      </w:r>
    </w:p>
    <w:p>
      <w:pPr>
        <w:pStyle w:val="BodyText"/>
        <w:spacing w:line="350" w:lineRule="auto" w:before="97"/>
        <w:ind w:left="216" w:right="126"/>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1"/>
        </w:rPr>
        <w:t>长期股权投资、固定资产、在建工程、使用寿命有限的无形资产、生产性生物资产等长期资产，</w:t>
      </w:r>
      <w:r>
        <w:rPr>
          <w:spacing w:val="-54"/>
        </w:rPr>
        <w:t> </w:t>
      </w:r>
      <w:r>
        <w:rPr>
          <w:spacing w:val="-54"/>
        </w:rPr>
      </w:r>
      <w:r>
        <w:rPr>
          <w:spacing w:val="-1"/>
        </w:rPr>
        <w:t>于资产负债表日存在减值迹象的，进行减值测试。减值测试结果表明资产的可收回金额低于其账</w:t>
      </w:r>
      <w:r>
        <w:rPr>
          <w:spacing w:val="-55"/>
        </w:rPr>
        <w:t> </w:t>
      </w:r>
      <w:r>
        <w:rPr>
          <w:spacing w:val="-55"/>
        </w:rPr>
      </w:r>
      <w:r>
        <w:rPr>
          <w:spacing w:val="-1"/>
        </w:rPr>
        <w:t>面价值的，按其差额计提减值准备并计入减值损失。可收回金额为资产的公允价值减去处置费用</w:t>
      </w:r>
      <w:r>
        <w:rPr>
          <w:spacing w:val="-54"/>
        </w:rPr>
        <w:t> </w:t>
      </w:r>
      <w:r>
        <w:rPr>
          <w:spacing w:val="-54"/>
        </w:rPr>
      </w:r>
      <w:r>
        <w:rPr>
          <w:spacing w:val="-1"/>
        </w:rPr>
        <w:t>后的净额与资产预计未来现金流量的现值两者之间的较高者。资产减值准备按单项资产为基础计</w:t>
      </w:r>
      <w:r>
        <w:rPr>
          <w:spacing w:val="-55"/>
        </w:rPr>
        <w:t> </w:t>
      </w:r>
      <w:r>
        <w:rPr>
          <w:spacing w:val="-55"/>
        </w:rPr>
      </w:r>
      <w:r>
        <w:rPr>
          <w:spacing w:val="-1"/>
        </w:rPr>
        <w:t>算并确认，如果难以对单项资产的可收回金额进行估计的，以该资产所属的资产组确定资产组的</w:t>
      </w:r>
      <w:r>
        <w:rPr>
          <w:spacing w:val="-55"/>
        </w:rPr>
        <w:t> </w:t>
      </w:r>
      <w:r>
        <w:rPr>
          <w:spacing w:val="-55"/>
        </w:rPr>
      </w:r>
      <w:r>
        <w:rPr/>
        <w:t>可收回金额。资产组是能够独立产生现金流入的最小资产组合。</w:t>
      </w:r>
      <w:r>
        <w:rPr>
          <w:w w:val="100"/>
        </w:rPr>
        <w:t> </w:t>
      </w:r>
      <w:r>
        <w:rPr>
          <w:spacing w:val="-1"/>
        </w:rPr>
        <w:t>商誉、使用寿命不确定的无形资产、尚未达到可使用状态的无形资产至少在每年年度终了进行减</w:t>
      </w:r>
      <w:r>
        <w:rPr>
          <w:spacing w:val="-55"/>
        </w:rPr>
        <w:t> </w:t>
      </w:r>
      <w:r>
        <w:rPr>
          <w:spacing w:val="-55"/>
        </w:rPr>
      </w:r>
      <w:r>
        <w:rPr/>
        <w:t>值测试。</w:t>
      </w:r>
      <w:r>
        <w:rPr>
          <w:w w:val="100"/>
        </w:rPr>
        <w:t> </w:t>
      </w:r>
      <w:r>
        <w:rPr>
          <w:spacing w:val="-1"/>
        </w:rPr>
        <w:t>本公司进行商誉减值测试，对于因企业合并形成的商誉的账面价值，自购买日起按照合理的方法</w:t>
      </w:r>
      <w:r>
        <w:rPr>
          <w:spacing w:val="-55"/>
        </w:rPr>
        <w:t> </w:t>
      </w:r>
      <w:r>
        <w:rPr>
          <w:spacing w:val="-55"/>
        </w:rPr>
      </w:r>
      <w:r>
        <w:rPr>
          <w:spacing w:val="-1"/>
        </w:rPr>
        <w:t>分摊至相关的资产组；难以分摊至相关的资产组的，将其分摊至相关的资产组组合。本公司在分</w:t>
      </w:r>
      <w:r>
        <w:rPr>
          <w:spacing w:val="-54"/>
        </w:rPr>
        <w:t> </w:t>
      </w:r>
      <w:r>
        <w:rPr>
          <w:spacing w:val="-54"/>
        </w:rPr>
      </w:r>
      <w:r>
        <w:rPr>
          <w:spacing w:val="-1"/>
        </w:rPr>
        <w:t>摊商誉的账面价值时，根据相关资产组或资产组组合能够从企业合并的协同效应中获得的相对受</w:t>
      </w:r>
      <w:r>
        <w:rPr>
          <w:spacing w:val="-55"/>
        </w:rPr>
        <w:t> </w:t>
      </w:r>
      <w:r>
        <w:rPr>
          <w:spacing w:val="-55"/>
        </w:rPr>
      </w:r>
      <w:r>
        <w:rPr/>
        <w:t>益情况进行分摊，在此基础上进行商誉减值测试。</w:t>
      </w:r>
      <w:r>
        <w:rPr>
          <w:w w:val="100"/>
        </w:rPr>
        <w:t> </w:t>
      </w:r>
      <w:r>
        <w:rPr>
          <w:spacing w:val="-1"/>
        </w:rPr>
        <w:t>在对包含商誉的相关资产组或者资产组组合进行减值测试时，如与商誉相关的资产组或者资产组</w:t>
      </w:r>
      <w:r>
        <w:rPr>
          <w:spacing w:val="-55"/>
        </w:rPr>
        <w:t> </w:t>
      </w:r>
      <w:r>
        <w:rPr>
          <w:spacing w:val="-55"/>
        </w:rPr>
      </w:r>
      <w:r>
        <w:rPr>
          <w:spacing w:val="-6"/>
          <w:w w:val="100"/>
        </w:rPr>
        <w:t>组合存在减值迹象的，先对不包含商誉的资产组或者资产组组合进行减值测试，计算可收回金额，</w:t>
      </w:r>
      <w:r>
        <w:rPr>
          <w:w w:val="100"/>
        </w:rPr>
        <w:t> </w:t>
      </w:r>
      <w:r>
        <w:rPr>
          <w:spacing w:val="-1"/>
        </w:rPr>
        <w:t>并与相关账面价值相比较，确认相应的减值损失。再对包含商誉的资产组或者资产组组合进行减</w:t>
      </w:r>
      <w:r>
        <w:rPr>
          <w:spacing w:val="-55"/>
        </w:rPr>
        <w:t> </w:t>
      </w:r>
      <w:r>
        <w:rPr>
          <w:spacing w:val="-55"/>
        </w:rPr>
      </w:r>
      <w:r>
        <w:rPr>
          <w:spacing w:val="-1"/>
        </w:rPr>
        <w:t>值测试，比较这些相关资产组或者资产组组合的账面价值（包括所分摊的商誉的账面价值部分）</w:t>
      </w:r>
      <w:r>
        <w:rPr>
          <w:spacing w:val="-55"/>
        </w:rPr>
        <w:t> </w:t>
      </w:r>
      <w:r>
        <w:rPr>
          <w:spacing w:val="-55"/>
        </w:rPr>
      </w:r>
      <w:r>
        <w:rPr>
          <w:spacing w:val="-1"/>
        </w:rPr>
        <w:t>与其可收回金额，如相关资产组或者资产组组合的可收回金额低于其账面价值的，确认商誉的减</w:t>
      </w:r>
      <w:r>
        <w:rPr>
          <w:spacing w:val="-54"/>
        </w:rPr>
        <w:t> </w:t>
      </w:r>
      <w:r>
        <w:rPr>
          <w:spacing w:val="-54"/>
        </w:rPr>
      </w:r>
      <w:r>
        <w:rPr/>
        <w:t>值损失。</w:t>
      </w:r>
      <w:r>
        <w:rPr>
          <w:rFonts w:ascii="宋体" w:hAnsi="宋体" w:cs="宋体" w:eastAsia="宋体" w:hint="default"/>
        </w:rPr>
        <w:t> </w:t>
      </w:r>
    </w:p>
    <w:p>
      <w:pPr>
        <w:pStyle w:val="BodyText"/>
        <w:spacing w:line="240" w:lineRule="auto" w:before="29"/>
        <w:ind w:left="216" w:right="0"/>
        <w:jc w:val="left"/>
        <w:rPr>
          <w:rFonts w:ascii="宋体" w:hAnsi="宋体" w:cs="宋体" w:eastAsia="宋体" w:hint="default"/>
        </w:rPr>
      </w:pPr>
      <w:r>
        <w:rPr/>
        <w:t>上述资产减值损失一经确认，在以后会计期间不予转回。</w:t>
      </w:r>
      <w:r>
        <w:rPr>
          <w:rFonts w:ascii="宋体" w:hAnsi="宋体" w:cs="宋体" w:eastAsia="宋体" w:hint="default"/>
        </w:rPr>
        <w:t> </w:t>
      </w:r>
    </w:p>
    <w:p>
      <w:pPr>
        <w:pStyle w:val="BodyText"/>
        <w:spacing w:line="240" w:lineRule="auto" w:before="18"/>
        <w:ind w:left="216" w:right="0"/>
        <w:jc w:val="left"/>
        <w:rPr>
          <w:rFonts w:ascii="宋体" w:hAnsi="宋体" w:cs="宋体" w:eastAsia="宋体" w:hint="default"/>
        </w:rPr>
      </w:pPr>
      <w:r>
        <w:rPr>
          <w:rFonts w:ascii="宋体"/>
          <w:w w:val="100"/>
        </w:rPr>
        <w:t> </w:t>
      </w:r>
    </w:p>
    <w:p>
      <w:pPr>
        <w:pStyle w:val="Heading3"/>
        <w:spacing w:line="240" w:lineRule="auto"/>
        <w:ind w:left="216" w:right="0"/>
        <w:jc w:val="left"/>
        <w:rPr>
          <w:b w:val="0"/>
          <w:bCs w:val="0"/>
        </w:rPr>
      </w:pPr>
      <w:r>
        <w:rPr>
          <w:rFonts w:ascii="宋体" w:hAnsi="宋体" w:cs="宋体" w:eastAsia="宋体" w:hint="default"/>
        </w:rPr>
        <w:t>30.</w:t>
      </w:r>
      <w:r>
        <w:rPr>
          <w:rFonts w:ascii="宋体" w:hAnsi="宋体" w:cs="宋体" w:eastAsia="宋体" w:hint="default"/>
          <w:spacing w:val="3"/>
        </w:rPr>
        <w:t> </w:t>
      </w:r>
      <w:r>
        <w:rPr/>
        <w:t>长期待摊费用</w:t>
      </w:r>
      <w:r>
        <w:rPr>
          <w:b w:val="0"/>
          <w:bCs w:val="0"/>
        </w:rPr>
      </w:r>
    </w:p>
    <w:p>
      <w:pPr>
        <w:pStyle w:val="BodyText"/>
        <w:spacing w:line="333" w:lineRule="auto" w:before="97"/>
        <w:ind w:left="216" w:right="0"/>
        <w:jc w:val="left"/>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1"/>
        </w:rPr>
        <w:t>长期待摊费用为已经发生但应由本期和以后各期负担的分摊期限在一年以上的各项费用。本公司</w:t>
      </w:r>
      <w:r>
        <w:rPr>
          <w:spacing w:val="-54"/>
        </w:rPr>
        <w:t> </w:t>
      </w:r>
      <w:r>
        <w:rPr>
          <w:spacing w:val="-54"/>
        </w:rPr>
      </w:r>
      <w:r>
        <w:rPr/>
        <w:t>长期待摊费用包括经营租入资产改良支出、长期租赁费。</w:t>
      </w:r>
    </w:p>
    <w:p>
      <w:pPr>
        <w:spacing w:line="312" w:lineRule="auto" w:before="22"/>
        <w:ind w:left="216" w:right="4886" w:firstLine="42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摊销方法</w:t>
      </w:r>
      <w:r>
        <w:rPr>
          <w:rFonts w:ascii="宋体" w:hAnsi="宋体" w:cs="宋体" w:eastAsia="宋体" w:hint="default"/>
          <w:b/>
          <w:bCs/>
          <w:w w:val="100"/>
          <w:sz w:val="21"/>
          <w:szCs w:val="21"/>
        </w:rPr>
        <w:t> </w:t>
      </w:r>
      <w:r>
        <w:rPr>
          <w:rFonts w:ascii="宋体" w:hAnsi="宋体" w:cs="宋体" w:eastAsia="宋体" w:hint="default"/>
          <w:spacing w:val="-2"/>
          <w:sz w:val="21"/>
          <w:szCs w:val="21"/>
        </w:rPr>
        <w:t>长期待摊费用在受益期内平均摊销</w:t>
      </w:r>
    </w:p>
    <w:p>
      <w:pPr>
        <w:pStyle w:val="Heading3"/>
        <w:spacing w:line="240" w:lineRule="auto" w:before="43"/>
        <w:ind w:left="637" w:right="0"/>
        <w:jc w:val="left"/>
        <w:rPr>
          <w:b w:val="0"/>
          <w:bCs w:val="0"/>
        </w:rPr>
      </w:pPr>
      <w:r>
        <w:rPr>
          <w:rFonts w:ascii="Times New Roman" w:hAnsi="Times New Roman" w:cs="Times New Roman" w:eastAsia="Times New Roman" w:hint="default"/>
        </w:rPr>
        <w:t>2</w:t>
      </w:r>
      <w:r>
        <w:rPr/>
        <w:t>、</w:t>
      </w:r>
      <w:r>
        <w:rPr>
          <w:spacing w:val="-1"/>
        </w:rPr>
        <w:t> </w:t>
      </w:r>
      <w:r>
        <w:rPr/>
        <w:t>摊销年限</w:t>
      </w:r>
      <w:r>
        <w:rPr>
          <w:b w:val="0"/>
          <w:bCs w:val="0"/>
        </w:rPr>
      </w:r>
    </w:p>
    <w:p>
      <w:pPr>
        <w:pStyle w:val="BodyText"/>
        <w:spacing w:line="240" w:lineRule="auto" w:before="16"/>
        <w:ind w:left="216" w:right="0"/>
        <w:jc w:val="left"/>
        <w:rPr>
          <w:rFonts w:ascii="宋体" w:hAnsi="宋体" w:cs="宋体" w:eastAsia="宋体" w:hint="default"/>
        </w:rPr>
      </w:pPr>
      <w:r>
        <w:rPr/>
        <w:t>公司经营租入固定资产装修按</w:t>
      </w:r>
      <w:r>
        <w:rPr>
          <w:spacing w:val="-54"/>
        </w:rPr>
        <w:t> </w:t>
      </w:r>
      <w:r>
        <w:rPr>
          <w:rFonts w:ascii="宋体" w:hAnsi="宋体" w:cs="宋体" w:eastAsia="宋体" w:hint="default"/>
        </w:rPr>
        <w:t>5</w:t>
      </w:r>
      <w:r>
        <w:rPr>
          <w:rFonts w:ascii="宋体" w:hAnsi="宋体" w:cs="宋体" w:eastAsia="宋体" w:hint="default"/>
          <w:spacing w:val="-57"/>
        </w:rPr>
        <w:t> </w:t>
      </w:r>
      <w:r>
        <w:rPr/>
        <w:t>年平均摊销，长期租赁费按租赁期平均摊销。</w:t>
      </w:r>
      <w:r>
        <w:rPr>
          <w:rFonts w:ascii="宋体" w:hAnsi="宋体" w:cs="宋体" w:eastAsia="宋体" w:hint="default"/>
        </w:rPr>
        <w:t> </w:t>
      </w:r>
    </w:p>
    <w:p>
      <w:pPr>
        <w:spacing w:after="0" w:line="240" w:lineRule="auto"/>
        <w:jc w:val="left"/>
        <w:rPr>
          <w:rFonts w:ascii="宋体" w:hAnsi="宋体" w:cs="宋体" w:eastAsia="宋体" w:hint="default"/>
        </w:rPr>
        <w:sectPr>
          <w:pgSz w:w="11910" w:h="16840"/>
          <w:pgMar w:header="748" w:footer="974" w:top="1140" w:bottom="1160" w:left="1060" w:right="1660"/>
        </w:sectPr>
      </w:pPr>
    </w:p>
    <w:p>
      <w:pPr>
        <w:spacing w:line="240" w:lineRule="auto" w:before="2"/>
        <w:rPr>
          <w:rFonts w:ascii="宋体" w:hAnsi="宋体" w:cs="宋体" w:eastAsia="宋体" w:hint="default"/>
          <w:sz w:val="19"/>
          <w:szCs w:val="19"/>
        </w:rPr>
      </w:pPr>
    </w:p>
    <w:p>
      <w:pPr>
        <w:pStyle w:val="BodyText"/>
        <w:spacing w:line="240" w:lineRule="auto" w:before="36"/>
        <w:ind w:left="216" w:right="0"/>
        <w:jc w:val="left"/>
        <w:rPr>
          <w:rFonts w:ascii="宋体" w:hAnsi="宋体" w:cs="宋体" w:eastAsia="宋体" w:hint="default"/>
        </w:rPr>
      </w:pPr>
      <w:r>
        <w:rPr>
          <w:rFonts w:ascii="宋体"/>
          <w:w w:val="100"/>
        </w:rPr>
        <w:t> </w:t>
      </w:r>
    </w:p>
    <w:p>
      <w:pPr>
        <w:pStyle w:val="Heading3"/>
        <w:spacing w:line="324" w:lineRule="auto"/>
        <w:ind w:left="216" w:right="5918"/>
        <w:jc w:val="left"/>
        <w:rPr>
          <w:rFonts w:ascii="宋体" w:hAnsi="宋体" w:cs="宋体" w:eastAsia="宋体" w:hint="default"/>
          <w:b w:val="0"/>
          <w:bCs w:val="0"/>
        </w:rPr>
      </w:pPr>
      <w:r>
        <w:rPr>
          <w:rFonts w:ascii="宋体" w:hAnsi="宋体" w:cs="宋体" w:eastAsia="宋体" w:hint="default"/>
        </w:rPr>
        <w:t>31.</w:t>
      </w:r>
      <w:r>
        <w:rPr>
          <w:rFonts w:ascii="宋体" w:hAnsi="宋体" w:cs="宋体" w:eastAsia="宋体" w:hint="default"/>
          <w:spacing w:val="2"/>
        </w:rPr>
        <w:t> </w:t>
      </w:r>
      <w:r>
        <w:rPr/>
        <w:t>职工薪酬</w:t>
      </w:r>
      <w:r>
        <w:rPr>
          <w:w w:val="100"/>
        </w:rPr>
        <w:t> </w:t>
      </w:r>
      <w:r>
        <w:rPr>
          <w:rFonts w:ascii="宋体" w:hAnsi="宋体" w:cs="宋体" w:eastAsia="宋体" w:hint="default"/>
        </w:rPr>
        <w:t>(1).</w:t>
      </w:r>
      <w:r>
        <w:rPr/>
        <w:t>短期薪酬的会计处理方法</w:t>
      </w:r>
      <w:r>
        <w:rPr>
          <w:rFonts w:ascii="宋体" w:hAnsi="宋体" w:cs="宋体" w:eastAsia="宋体" w:hint="default"/>
          <w:w w:val="99"/>
        </w:rPr>
        <w:t> </w:t>
      </w:r>
      <w:r>
        <w:rPr>
          <w:rFonts w:ascii="宋体" w:hAnsi="宋体" w:cs="宋体" w:eastAsia="宋体" w:hint="default"/>
          <w:b w:val="0"/>
          <w:bCs w:val="0"/>
        </w:rPr>
      </w:r>
    </w:p>
    <w:p>
      <w:pPr>
        <w:pStyle w:val="BodyText"/>
        <w:spacing w:line="355" w:lineRule="auto" w:before="23"/>
        <w:ind w:left="216" w:right="0"/>
        <w:jc w:val="left"/>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1"/>
        </w:rPr>
        <w:t>本公司在职工为本公司提供服务的会计期间，将实际发生的短期薪酬确认为负债，并计入当期损</w:t>
      </w:r>
      <w:r>
        <w:rPr>
          <w:spacing w:val="-55"/>
        </w:rPr>
        <w:t> </w:t>
      </w:r>
      <w:r>
        <w:rPr>
          <w:spacing w:val="-55"/>
        </w:rPr>
      </w:r>
      <w:r>
        <w:rPr/>
        <w:t>益或相关资产成本。</w:t>
      </w:r>
      <w:r>
        <w:rPr>
          <w:w w:val="100"/>
        </w:rPr>
        <w:t> </w:t>
      </w:r>
      <w:r>
        <w:rPr>
          <w:spacing w:val="-1"/>
        </w:rPr>
        <w:t>本公司为职工缴纳的社会保险费和住房公积金，以及按规定提取的工会经费和职工教育经费，在</w:t>
      </w:r>
    </w:p>
    <w:p>
      <w:pPr>
        <w:pStyle w:val="BodyText"/>
        <w:spacing w:line="350" w:lineRule="auto" w:before="25"/>
        <w:ind w:left="216" w:right="0"/>
        <w:jc w:val="left"/>
      </w:pPr>
      <w:r>
        <w:rPr>
          <w:spacing w:val="-1"/>
        </w:rPr>
        <w:t>职工为本公司提供服务的会计期间，根据规定的计提基础和计提比例计算确定相应的职工薪酬金</w:t>
      </w:r>
      <w:r>
        <w:rPr>
          <w:spacing w:val="-55"/>
        </w:rPr>
        <w:t> </w:t>
      </w:r>
      <w:r>
        <w:rPr>
          <w:spacing w:val="-55"/>
        </w:rPr>
      </w:r>
      <w:r>
        <w:rPr/>
        <w:t>额。</w:t>
      </w:r>
    </w:p>
    <w:p>
      <w:pPr>
        <w:pStyle w:val="BodyText"/>
        <w:spacing w:line="196" w:lineRule="exact"/>
        <w:ind w:left="216" w:right="0"/>
        <w:jc w:val="left"/>
        <w:rPr>
          <w:rFonts w:ascii="宋体" w:hAnsi="宋体" w:cs="宋体" w:eastAsia="宋体" w:hint="default"/>
        </w:rPr>
      </w:pPr>
      <w:r>
        <w:rPr/>
        <w:t>职工福利费为非货币性福利的，如能够可靠计量的，按照公允价值计量。</w:t>
      </w:r>
      <w:r>
        <w:rPr>
          <w:rFonts w:ascii="宋体" w:hAnsi="宋体" w:cs="宋体" w:eastAsia="宋体" w:hint="default"/>
        </w:rPr>
        <w:t> </w:t>
      </w:r>
    </w:p>
    <w:p>
      <w:pPr>
        <w:pStyle w:val="Heading3"/>
        <w:spacing w:line="324" w:lineRule="auto" w:before="37"/>
        <w:ind w:left="216"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(2)</w:t>
      </w:r>
      <w:r>
        <w:rPr>
          <w:rFonts w:ascii="宋体" w:hAnsi="宋体" w:cs="宋体" w:eastAsia="宋体" w:hint="default"/>
          <w:spacing w:val="5"/>
          <w:w w:val="99"/>
        </w:rPr>
        <w:t>.</w:t>
      </w:r>
      <w:r>
        <w:rPr>
          <w:w w:val="100"/>
        </w:rPr>
        <w:t>离职后福利的会计</w:t>
      </w:r>
      <w:r>
        <w:rPr>
          <w:spacing w:val="-3"/>
          <w:w w:val="100"/>
        </w:rPr>
        <w:t>处</w:t>
      </w:r>
      <w:r>
        <w:rPr>
          <w:w w:val="100"/>
        </w:rPr>
        <w:t>理</w:t>
      </w:r>
      <w:r>
        <w:rPr>
          <w:spacing w:val="-3"/>
          <w:w w:val="100"/>
        </w:rPr>
        <w:t>方</w:t>
      </w:r>
      <w:r>
        <w:rPr>
          <w:w w:val="100"/>
        </w:rPr>
        <w:t>法</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23"/>
        <w:ind w:left="216"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343" w:lineRule="auto" w:before="142"/>
        <w:ind w:left="216" w:right="0"/>
        <w:jc w:val="left"/>
      </w:pPr>
      <w:r>
        <w:rPr/>
        <w:t>（</w:t>
      </w:r>
      <w:r>
        <w:rPr>
          <w:rFonts w:ascii="Times New Roman" w:hAnsi="Times New Roman" w:cs="Times New Roman" w:eastAsia="Times New Roman" w:hint="default"/>
        </w:rPr>
        <w:t>1</w:t>
      </w:r>
      <w:r>
        <w:rPr/>
        <w:t>）设定提存计划</w:t>
      </w:r>
      <w:r>
        <w:rPr>
          <w:w w:val="100"/>
        </w:rPr>
        <w:t> </w:t>
      </w:r>
      <w:r>
        <w:rPr>
          <w:spacing w:val="-1"/>
        </w:rPr>
        <w:t>本公司按当地政府的相关规定为职工缴纳基本养老保险和失业保险，在职工为本公司提供服务的</w:t>
      </w:r>
      <w:r>
        <w:rPr>
          <w:spacing w:val="-55"/>
        </w:rPr>
        <w:t> </w:t>
      </w:r>
      <w:r>
        <w:rPr>
          <w:spacing w:val="-55"/>
        </w:rPr>
      </w:r>
      <w:r>
        <w:rPr>
          <w:spacing w:val="-1"/>
        </w:rPr>
        <w:t>会计期间，按以当地规定的缴纳基数和比例计算应缴纳金额，确认为负债，并计入当期损益或相</w:t>
      </w:r>
      <w:r>
        <w:rPr>
          <w:spacing w:val="-55"/>
        </w:rPr>
        <w:t> </w:t>
      </w:r>
      <w:r>
        <w:rPr>
          <w:spacing w:val="-55"/>
        </w:rPr>
      </w:r>
      <w:r>
        <w:rPr/>
        <w:t>关资产成本。</w:t>
      </w:r>
    </w:p>
    <w:p>
      <w:pPr>
        <w:pStyle w:val="BodyText"/>
        <w:spacing w:line="259" w:lineRule="auto" w:before="35"/>
        <w:ind w:left="216" w:right="0"/>
        <w:jc w:val="left"/>
        <w:rPr>
          <w:rFonts w:ascii="宋体" w:hAnsi="宋体" w:cs="宋体" w:eastAsia="宋体" w:hint="default"/>
        </w:rPr>
      </w:pPr>
      <w:r>
        <w:rPr/>
        <w:t>（</w:t>
      </w:r>
      <w:r>
        <w:rPr>
          <w:rFonts w:ascii="Times New Roman" w:hAnsi="Times New Roman" w:cs="Times New Roman" w:eastAsia="Times New Roman" w:hint="default"/>
        </w:rPr>
        <w:t>2</w:t>
      </w:r>
      <w:r>
        <w:rPr/>
        <w:t>）设定受益计划</w:t>
      </w:r>
      <w:r>
        <w:rPr>
          <w:w w:val="100"/>
        </w:rPr>
        <w:t> </w:t>
      </w:r>
      <w:r>
        <w:rPr>
          <w:spacing w:val="-2"/>
        </w:rPr>
        <w:t>本公司根据预期累计福利单位法确定的公式将设定受益计划产生的福利义务归属于职工提供服务</w:t>
      </w:r>
      <w:r>
        <w:rPr>
          <w:spacing w:val="-25"/>
        </w:rPr>
        <w:t> </w:t>
      </w:r>
      <w:r>
        <w:rPr>
          <w:spacing w:val="-25"/>
        </w:rPr>
      </w:r>
      <w:r>
        <w:rPr/>
        <w:t>的期间，并计入当期损益或相关资产成本。</w:t>
      </w:r>
      <w:r>
        <w:rPr>
          <w:rFonts w:ascii="宋体" w:hAnsi="宋体" w:cs="宋体" w:eastAsia="宋体" w:hint="default"/>
        </w:rPr>
        <w:t> </w:t>
      </w:r>
    </w:p>
    <w:p>
      <w:pPr>
        <w:pStyle w:val="Heading3"/>
        <w:spacing w:line="324" w:lineRule="auto" w:before="20"/>
        <w:ind w:left="216"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(3)</w:t>
      </w:r>
      <w:r>
        <w:rPr>
          <w:rFonts w:ascii="宋体" w:hAnsi="宋体" w:cs="宋体" w:eastAsia="宋体" w:hint="default"/>
          <w:spacing w:val="5"/>
          <w:w w:val="99"/>
        </w:rPr>
        <w:t>.</w:t>
      </w:r>
      <w:r>
        <w:rPr>
          <w:w w:val="100"/>
        </w:rPr>
        <w:t>辞退福利的会计处</w:t>
      </w:r>
      <w:r>
        <w:rPr>
          <w:spacing w:val="-3"/>
          <w:w w:val="100"/>
        </w:rPr>
        <w:t>理</w:t>
      </w:r>
      <w:r>
        <w:rPr>
          <w:w w:val="100"/>
        </w:rPr>
        <w:t>方</w:t>
      </w:r>
      <w:r>
        <w:rPr>
          <w:spacing w:val="-2"/>
          <w:w w:val="100"/>
        </w:rPr>
        <w:t>法</w:t>
      </w:r>
      <w:r>
        <w:rPr>
          <w:rFonts w:ascii="宋体" w:hAnsi="宋体" w:cs="宋体" w:eastAsia="宋体" w:hint="default"/>
          <w:w w:val="99"/>
        </w:rPr>
        <w:t> </w:t>
      </w:r>
      <w:r>
        <w:rPr>
          <w:rFonts w:ascii="宋体" w:hAnsi="宋体" w:cs="宋体" w:eastAsia="宋体" w:hint="default"/>
          <w:b w:val="0"/>
          <w:bCs w:val="0"/>
        </w:rPr>
      </w:r>
    </w:p>
    <w:p>
      <w:pPr>
        <w:pStyle w:val="BodyText"/>
        <w:spacing w:line="273" w:lineRule="auto" w:before="23"/>
        <w:ind w:left="216"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本公司在不能单方面撤回因解除劳动关系计划或裁减建议所提供的辞退福利时，或确认与涉及支</w:t>
      </w:r>
      <w:r>
        <w:rPr>
          <w:spacing w:val="-25"/>
        </w:rPr>
        <w:t> </w:t>
      </w:r>
      <w:r>
        <w:rPr>
          <w:spacing w:val="-25"/>
        </w:rPr>
      </w:r>
      <w:r>
        <w:rPr>
          <w:spacing w:val="-2"/>
        </w:rPr>
        <w:t>付辞退福利的重组相关的成本或费用时（两者孰早），确认辞退福利产生的职工薪酬负债，并计</w:t>
      </w:r>
      <w:r>
        <w:rPr>
          <w:spacing w:val="-25"/>
        </w:rPr>
        <w:t> </w:t>
      </w:r>
      <w:r>
        <w:rPr>
          <w:spacing w:val="-25"/>
        </w:rPr>
      </w:r>
      <w:r>
        <w:rPr/>
        <w:t>入当期损益。</w:t>
      </w:r>
      <w:r>
        <w:rPr>
          <w:rFonts w:ascii="宋体" w:hAnsi="宋体" w:cs="宋体" w:eastAsia="宋体" w:hint="default"/>
        </w:rPr>
        <w:t> </w:t>
      </w:r>
    </w:p>
    <w:p>
      <w:pPr>
        <w:pStyle w:val="Heading3"/>
        <w:spacing w:line="324" w:lineRule="auto" w:before="7"/>
        <w:ind w:left="216"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(4)</w:t>
      </w:r>
      <w:r>
        <w:rPr>
          <w:rFonts w:ascii="宋体" w:hAnsi="宋体" w:cs="宋体" w:eastAsia="宋体" w:hint="default"/>
          <w:spacing w:val="5"/>
          <w:w w:val="99"/>
        </w:rPr>
        <w:t>.</w:t>
      </w:r>
      <w:r>
        <w:rPr>
          <w:w w:val="100"/>
        </w:rPr>
        <w:t>其他长期职工福利</w:t>
      </w:r>
      <w:r>
        <w:rPr>
          <w:spacing w:val="-3"/>
          <w:w w:val="100"/>
        </w:rPr>
        <w:t>的</w:t>
      </w:r>
      <w:r>
        <w:rPr>
          <w:w w:val="100"/>
        </w:rPr>
        <w:t>会</w:t>
      </w:r>
      <w:r>
        <w:rPr>
          <w:spacing w:val="-3"/>
          <w:w w:val="100"/>
        </w:rPr>
        <w:t>计</w:t>
      </w:r>
      <w:r>
        <w:rPr>
          <w:w w:val="100"/>
        </w:rPr>
        <w:t>处理方</w:t>
      </w:r>
      <w:r>
        <w:rPr>
          <w:spacing w:val="-3"/>
          <w:w w:val="100"/>
        </w:rPr>
        <w:t>法</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23"/>
        <w:ind w:left="216"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left="216" w:right="0"/>
        <w:jc w:val="left"/>
        <w:rPr>
          <w:rFonts w:ascii="宋体" w:hAnsi="宋体" w:cs="宋体" w:eastAsia="宋体" w:hint="default"/>
        </w:rPr>
      </w:pPr>
      <w:r>
        <w:rPr>
          <w:rFonts w:ascii="宋体"/>
          <w:w w:val="100"/>
        </w:rPr>
        <w:t> </w:t>
      </w:r>
    </w:p>
    <w:p>
      <w:pPr>
        <w:pStyle w:val="Heading3"/>
        <w:spacing w:line="240" w:lineRule="auto"/>
        <w:ind w:left="216" w:right="0"/>
        <w:jc w:val="left"/>
        <w:rPr>
          <w:b w:val="0"/>
          <w:bCs w:val="0"/>
        </w:rPr>
      </w:pPr>
      <w:r>
        <w:rPr>
          <w:rFonts w:ascii="宋体" w:hAnsi="宋体" w:cs="宋体" w:eastAsia="宋体" w:hint="default"/>
        </w:rPr>
        <w:t>32.</w:t>
      </w:r>
      <w:r>
        <w:rPr>
          <w:rFonts w:ascii="宋体" w:hAnsi="宋体" w:cs="宋体" w:eastAsia="宋体" w:hint="default"/>
          <w:spacing w:val="2"/>
        </w:rPr>
        <w:t> </w:t>
      </w:r>
      <w:r>
        <w:rPr/>
        <w:t>租赁负债</w:t>
      </w:r>
      <w:r>
        <w:rPr>
          <w:b w:val="0"/>
          <w:bCs w:val="0"/>
        </w:rPr>
      </w:r>
    </w:p>
    <w:p>
      <w:pPr>
        <w:pStyle w:val="BodyText"/>
        <w:spacing w:line="240" w:lineRule="auto" w:before="97"/>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2"/>
        <w:spacing w:line="240" w:lineRule="auto" w:before="9"/>
        <w:ind w:left="216" w:right="0"/>
        <w:jc w:val="left"/>
        <w:rPr>
          <w:rFonts w:ascii="宋体" w:hAnsi="宋体" w:cs="宋体" w:eastAsia="宋体" w:hint="default"/>
        </w:rPr>
      </w:pPr>
      <w:r>
        <w:rPr>
          <w:rFonts w:ascii="宋体"/>
        </w:rPr>
        <w:t> </w:t>
      </w:r>
    </w:p>
    <w:p>
      <w:pPr>
        <w:pStyle w:val="Heading3"/>
        <w:spacing w:line="240" w:lineRule="auto" w:before="85"/>
        <w:ind w:left="216" w:right="0"/>
        <w:jc w:val="left"/>
        <w:rPr>
          <w:b w:val="0"/>
          <w:bCs w:val="0"/>
        </w:rPr>
      </w:pPr>
      <w:r>
        <w:rPr>
          <w:rFonts w:ascii="宋体" w:hAnsi="宋体" w:cs="宋体" w:eastAsia="宋体" w:hint="default"/>
        </w:rPr>
        <w:t>33.</w:t>
      </w:r>
      <w:r>
        <w:rPr>
          <w:rFonts w:ascii="宋体" w:hAnsi="宋体" w:cs="宋体" w:eastAsia="宋体" w:hint="default"/>
          <w:spacing w:val="2"/>
        </w:rPr>
        <w:t> </w:t>
      </w:r>
      <w:r>
        <w:rPr/>
        <w:t>预计负债</w:t>
      </w:r>
      <w:r>
        <w:rPr>
          <w:b w:val="0"/>
          <w:bCs w:val="0"/>
        </w:rPr>
      </w:r>
    </w:p>
    <w:p>
      <w:pPr>
        <w:pStyle w:val="BodyText"/>
        <w:spacing w:line="240" w:lineRule="auto" w:before="97"/>
        <w:ind w:left="216"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left="216" w:right="0"/>
        <w:jc w:val="left"/>
        <w:rPr>
          <w:rFonts w:ascii="宋体" w:hAnsi="宋体" w:cs="宋体" w:eastAsia="宋体" w:hint="default"/>
        </w:rPr>
      </w:pPr>
      <w:r>
        <w:rPr>
          <w:rFonts w:ascii="宋体"/>
          <w:w w:val="100"/>
        </w:rPr>
        <w:t> </w:t>
      </w:r>
    </w:p>
    <w:p>
      <w:pPr>
        <w:pStyle w:val="Heading3"/>
        <w:spacing w:line="240" w:lineRule="auto"/>
        <w:ind w:left="216" w:right="0"/>
        <w:jc w:val="left"/>
        <w:rPr>
          <w:b w:val="0"/>
          <w:bCs w:val="0"/>
        </w:rPr>
      </w:pPr>
      <w:r>
        <w:rPr>
          <w:rFonts w:ascii="宋体" w:hAnsi="宋体" w:cs="宋体" w:eastAsia="宋体" w:hint="default"/>
        </w:rPr>
        <w:t>34.</w:t>
      </w:r>
      <w:r>
        <w:rPr>
          <w:rFonts w:ascii="宋体" w:hAnsi="宋体" w:cs="宋体" w:eastAsia="宋体" w:hint="default"/>
          <w:spacing w:val="2"/>
        </w:rPr>
        <w:t> </w:t>
      </w:r>
      <w:r>
        <w:rPr/>
        <w:t>股份支付</w:t>
      </w:r>
      <w:r>
        <w:rPr>
          <w:b w:val="0"/>
          <w:bCs w:val="0"/>
        </w:rPr>
      </w:r>
    </w:p>
    <w:p>
      <w:pPr>
        <w:pStyle w:val="BodyText"/>
        <w:spacing w:line="240" w:lineRule="auto" w:before="97"/>
        <w:ind w:left="216"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after="0" w:line="240" w:lineRule="auto"/>
        <w:jc w:val="left"/>
        <w:rPr>
          <w:rFonts w:ascii="宋体" w:hAnsi="宋体" w:cs="宋体" w:eastAsia="宋体" w:hint="default"/>
        </w:rPr>
        <w:sectPr>
          <w:footerReference w:type="default" r:id="rId74"/>
          <w:pgSz w:w="11910" w:h="16840"/>
          <w:pgMar w:footer="974" w:header="748" w:top="1140" w:bottom="1160" w:left="1060" w:right="1660"/>
        </w:sectPr>
      </w:pPr>
    </w:p>
    <w:p>
      <w:pPr>
        <w:spacing w:line="240" w:lineRule="auto" w:before="10"/>
        <w:rPr>
          <w:rFonts w:ascii="宋体" w:hAnsi="宋体" w:cs="宋体" w:eastAsia="宋体" w:hint="default"/>
          <w:sz w:val="25"/>
          <w:szCs w:val="25"/>
        </w:rPr>
      </w:pPr>
    </w:p>
    <w:p>
      <w:pPr>
        <w:pStyle w:val="BodyText"/>
        <w:spacing w:line="350" w:lineRule="auto" w:before="36"/>
        <w:ind w:left="216" w:right="126"/>
        <w:jc w:val="left"/>
      </w:pPr>
      <w:r>
        <w:rPr>
          <w:spacing w:val="-1"/>
        </w:rPr>
        <w:t>本公司的股份支付是为了获取职工提供服务而授予权益工具或者承担以权益工具为基础确定的负</w:t>
      </w:r>
      <w:r>
        <w:rPr>
          <w:spacing w:val="-55"/>
        </w:rPr>
        <w:t> </w:t>
      </w:r>
      <w:r>
        <w:rPr>
          <w:spacing w:val="-55"/>
        </w:rPr>
      </w:r>
      <w:r>
        <w:rPr/>
        <w:t>债的交易。本公司的股份支付为以权益结算的股份支付。</w:t>
      </w:r>
      <w:r>
        <w:rPr>
          <w:w w:val="100"/>
        </w:rPr>
        <w:t> </w:t>
      </w:r>
      <w:r>
        <w:rPr>
          <w:spacing w:val="-1"/>
        </w:rPr>
        <w:t>以权益结算的股份支付换取职工提供服务的，以授予职工权益工具的公允价值计量。本公司以限</w:t>
      </w:r>
      <w:r>
        <w:rPr>
          <w:spacing w:val="-55"/>
        </w:rPr>
        <w:t> </w:t>
      </w:r>
      <w:r>
        <w:rPr>
          <w:spacing w:val="-55"/>
        </w:rPr>
      </w:r>
      <w:r>
        <w:rPr>
          <w:spacing w:val="-1"/>
        </w:rPr>
        <w:t>制性股票进行股份支付的，职工出资认购股票，股票在达到解锁条件并解锁前不得上市流通或转</w:t>
      </w:r>
      <w:r>
        <w:rPr>
          <w:spacing w:val="-55"/>
        </w:rPr>
        <w:t> </w:t>
      </w:r>
      <w:r>
        <w:rPr>
          <w:spacing w:val="-55"/>
        </w:rPr>
      </w:r>
      <w:r>
        <w:rPr>
          <w:spacing w:val="-1"/>
        </w:rPr>
        <w:t>让；如果最终股权激励计划规定的解锁条件未能达到，则本公司按照事先约定的价格回购股票。</w:t>
      </w:r>
      <w:r>
        <w:rPr>
          <w:spacing w:val="-55"/>
        </w:rPr>
        <w:t> </w:t>
      </w:r>
      <w:r>
        <w:rPr>
          <w:spacing w:val="-55"/>
        </w:rPr>
      </w:r>
      <w:r>
        <w:rPr>
          <w:spacing w:val="-1"/>
        </w:rPr>
        <w:t>本公司取得职工认购限制性股票支付的款项时，按照取得的认股款确认股本和资本公积（股本溢</w:t>
      </w:r>
      <w:r>
        <w:rPr>
          <w:spacing w:val="-55"/>
        </w:rPr>
        <w:t> </w:t>
      </w:r>
      <w:r>
        <w:rPr>
          <w:spacing w:val="-55"/>
        </w:rPr>
      </w:r>
      <w:r>
        <w:rPr>
          <w:spacing w:val="-6"/>
          <w:w w:val="100"/>
        </w:rPr>
        <w:t>价），同时就回购义务全额确认一项负债并确认库存股。在等待期内每个资产负债表日，本公司根</w:t>
      </w:r>
      <w:r>
        <w:rPr>
          <w:w w:val="100"/>
        </w:rPr>
        <w:t> </w:t>
      </w:r>
      <w:r>
        <w:rPr>
          <w:spacing w:val="-1"/>
        </w:rPr>
        <w:t>据最新取得的可行权职工人数变动、是否达到规定业绩条件等后续信息对可行权权益工具数量作</w:t>
      </w:r>
      <w:r>
        <w:rPr>
          <w:spacing w:val="-55"/>
        </w:rPr>
        <w:t> </w:t>
      </w:r>
      <w:r>
        <w:rPr>
          <w:spacing w:val="-55"/>
        </w:rPr>
      </w:r>
      <w:r>
        <w:rPr>
          <w:spacing w:val="-1"/>
        </w:rPr>
        <w:t>出最佳估计，以此为基础，按照授予日的公允价值，将当期取得的服务计入相关成本或费用，相</w:t>
      </w:r>
      <w:r>
        <w:rPr>
          <w:spacing w:val="-55"/>
        </w:rPr>
        <w:t> </w:t>
      </w:r>
      <w:r>
        <w:rPr>
          <w:spacing w:val="-55"/>
        </w:rPr>
      </w:r>
      <w:r>
        <w:rPr>
          <w:spacing w:val="-1"/>
        </w:rPr>
        <w:t>应增加资本公积。在可行权日之后不再对已确认的相关成本或费用和所有者权益总额进行调整。</w:t>
      </w:r>
      <w:r>
        <w:rPr>
          <w:spacing w:val="-55"/>
        </w:rPr>
        <w:t> </w:t>
      </w:r>
      <w:r>
        <w:rPr>
          <w:spacing w:val="-55"/>
        </w:rPr>
      </w:r>
      <w:r>
        <w:rPr/>
        <w:t>但授予后立即可行权的，在授予日按照公允价值计入相关成本或费用，相应增加资本公积。</w:t>
      </w:r>
      <w:r>
        <w:rPr>
          <w:w w:val="100"/>
        </w:rPr>
        <w:t> </w:t>
      </w:r>
      <w:r>
        <w:rPr>
          <w:spacing w:val="-1"/>
        </w:rPr>
        <w:t>对于最终未能行权的股份支付，不确认成本或费用，除非行权条件是市场条件或非可行权条件，</w:t>
      </w:r>
      <w:r>
        <w:rPr>
          <w:spacing w:val="-55"/>
        </w:rPr>
        <w:t> </w:t>
      </w:r>
      <w:r>
        <w:rPr>
          <w:spacing w:val="-55"/>
        </w:rPr>
      </w:r>
      <w:r>
        <w:rPr>
          <w:spacing w:val="-1"/>
        </w:rPr>
        <w:t>此时无论是否满足市场条件或非可行权条件，只要满足所有可行权条件中的非市场条件，即视为</w:t>
      </w:r>
      <w:r>
        <w:rPr>
          <w:spacing w:val="-55"/>
        </w:rPr>
        <w:t> </w:t>
      </w:r>
      <w:r>
        <w:rPr>
          <w:spacing w:val="-55"/>
        </w:rPr>
      </w:r>
      <w:r>
        <w:rPr/>
        <w:t>可行权。</w:t>
      </w:r>
      <w:r>
        <w:rPr>
          <w:w w:val="100"/>
        </w:rPr>
        <w:t> </w:t>
      </w:r>
      <w:r>
        <w:rPr>
          <w:spacing w:val="-1"/>
        </w:rPr>
        <w:t>如果修改了以权益结算的股份支付的条款，至少按照未修改条款的情况确认取得的服务。此外，</w:t>
      </w:r>
      <w:r>
        <w:rPr>
          <w:spacing w:val="-55"/>
        </w:rPr>
        <w:t> </w:t>
      </w:r>
      <w:r>
        <w:rPr>
          <w:spacing w:val="-55"/>
        </w:rPr>
      </w:r>
      <w:r>
        <w:rPr>
          <w:spacing w:val="-1"/>
        </w:rPr>
        <w:t>任何增加所授予权益工具公允价值的修改，或在修改日对职工有利的变更，均确认取得服务的增</w:t>
      </w:r>
    </w:p>
    <w:p>
      <w:pPr>
        <w:pStyle w:val="BodyText"/>
        <w:spacing w:line="273" w:lineRule="auto" w:before="29"/>
        <w:ind w:left="216" w:right="0"/>
        <w:jc w:val="left"/>
        <w:rPr>
          <w:rFonts w:ascii="宋体" w:hAnsi="宋体" w:cs="宋体" w:eastAsia="宋体" w:hint="default"/>
        </w:rPr>
      </w:pPr>
      <w:r>
        <w:rPr/>
        <w:t>加。</w:t>
      </w:r>
      <w:r>
        <w:rPr>
          <w:spacing w:val="-103"/>
        </w:rPr>
        <w:t> </w:t>
      </w:r>
      <w:r>
        <w:rPr>
          <w:spacing w:val="-2"/>
        </w:rPr>
        <w:t>如果取消了以权益结算的股份支付，则于取消日作为加速行权处理，立即确认尚未确认的金额。</w:t>
      </w:r>
      <w:r>
        <w:rPr>
          <w:spacing w:val="-25"/>
        </w:rPr>
        <w:t> </w:t>
      </w:r>
      <w:r>
        <w:rPr>
          <w:spacing w:val="-25"/>
        </w:rPr>
      </w:r>
      <w:r>
        <w:rPr>
          <w:spacing w:val="-2"/>
        </w:rPr>
        <w:t>职工或其他方能够选择满足非可行权条件但在等待期内未满足的，作为取消以权益结算的股份支</w:t>
      </w:r>
      <w:r>
        <w:rPr>
          <w:spacing w:val="-25"/>
        </w:rPr>
        <w:t> </w:t>
      </w:r>
      <w:r>
        <w:rPr>
          <w:spacing w:val="-25"/>
        </w:rPr>
      </w:r>
      <w:r>
        <w:rPr>
          <w:spacing w:val="-2"/>
        </w:rPr>
        <w:t>付处理。但是，如果授予新的权益工具，并在新权益工具授予日认定所授予的新权益工具是用于</w:t>
      </w:r>
      <w:r>
        <w:rPr>
          <w:spacing w:val="-25"/>
        </w:rPr>
        <w:t> </w:t>
      </w:r>
      <w:r>
        <w:rPr>
          <w:spacing w:val="-25"/>
        </w:rPr>
      </w:r>
      <w:r>
        <w:rPr>
          <w:spacing w:val="-2"/>
        </w:rPr>
        <w:t>替代被取消的权益工具的，则以与处理原权益工具条款和条件修改相同的方式，对所授予的替代</w:t>
      </w:r>
      <w:r>
        <w:rPr>
          <w:spacing w:val="-25"/>
        </w:rPr>
        <w:t> </w:t>
      </w:r>
      <w:r>
        <w:rPr>
          <w:spacing w:val="-25"/>
        </w:rPr>
      </w:r>
      <w:r>
        <w:rPr/>
        <w:t>权益工具进行处理。</w:t>
      </w:r>
      <w:r>
        <w:rPr>
          <w:rFonts w:ascii="宋体" w:hAnsi="宋体" w:cs="宋体" w:eastAsia="宋体" w:hint="default"/>
        </w:rPr>
        <w:t> </w:t>
      </w:r>
    </w:p>
    <w:p>
      <w:pPr>
        <w:pStyle w:val="BodyText"/>
        <w:spacing w:line="240" w:lineRule="auto" w:before="7"/>
        <w:ind w:left="216" w:right="0"/>
        <w:jc w:val="left"/>
        <w:rPr>
          <w:rFonts w:ascii="宋体" w:hAnsi="宋体" w:cs="宋体" w:eastAsia="宋体" w:hint="default"/>
        </w:rPr>
      </w:pPr>
      <w:r>
        <w:rPr>
          <w:rFonts w:ascii="宋体"/>
          <w:w w:val="100"/>
        </w:rPr>
        <w:t> </w:t>
      </w:r>
    </w:p>
    <w:p>
      <w:pPr>
        <w:pStyle w:val="Heading3"/>
        <w:spacing w:line="240" w:lineRule="auto"/>
        <w:ind w:left="216" w:right="0"/>
        <w:jc w:val="left"/>
        <w:rPr>
          <w:b w:val="0"/>
          <w:bCs w:val="0"/>
        </w:rPr>
      </w:pPr>
      <w:r>
        <w:rPr>
          <w:rFonts w:ascii="宋体" w:hAnsi="宋体" w:cs="宋体" w:eastAsia="宋体" w:hint="default"/>
        </w:rPr>
        <w:t>35. </w:t>
      </w:r>
      <w:r>
        <w:rPr/>
        <w:t>优先股、永续债等其他金融工具</w:t>
      </w:r>
      <w:r>
        <w:rPr>
          <w:b w:val="0"/>
          <w:bCs w:val="0"/>
        </w:rPr>
      </w:r>
    </w:p>
    <w:p>
      <w:pPr>
        <w:pStyle w:val="BodyText"/>
        <w:spacing w:line="240" w:lineRule="auto" w:before="97"/>
        <w:ind w:left="216"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left="216" w:right="0"/>
        <w:jc w:val="left"/>
        <w:rPr>
          <w:rFonts w:ascii="宋体" w:hAnsi="宋体" w:cs="宋体" w:eastAsia="宋体" w:hint="default"/>
        </w:rPr>
      </w:pPr>
      <w:r>
        <w:rPr>
          <w:rFonts w:ascii="宋体"/>
          <w:w w:val="100"/>
        </w:rPr>
        <w:t> </w:t>
      </w:r>
    </w:p>
    <w:p>
      <w:pPr>
        <w:pStyle w:val="Heading3"/>
        <w:spacing w:line="240" w:lineRule="auto"/>
        <w:ind w:left="216" w:right="0"/>
        <w:jc w:val="left"/>
        <w:rPr>
          <w:b w:val="0"/>
          <w:bCs w:val="0"/>
        </w:rPr>
      </w:pPr>
      <w:r>
        <w:rPr>
          <w:rFonts w:ascii="宋体" w:hAnsi="宋体" w:cs="宋体" w:eastAsia="宋体" w:hint="default"/>
        </w:rPr>
        <w:t>36.</w:t>
      </w:r>
      <w:r>
        <w:rPr>
          <w:rFonts w:ascii="宋体" w:hAnsi="宋体" w:cs="宋体" w:eastAsia="宋体" w:hint="default"/>
          <w:spacing w:val="2"/>
        </w:rPr>
        <w:t> </w:t>
      </w:r>
      <w:r>
        <w:rPr/>
        <w:t>收入</w:t>
      </w:r>
      <w:r>
        <w:rPr>
          <w:b w:val="0"/>
          <w:bCs w:val="0"/>
        </w:rPr>
      </w:r>
    </w:p>
    <w:p>
      <w:pPr>
        <w:pStyle w:val="BodyText"/>
        <w:spacing w:line="240" w:lineRule="auto" w:before="97"/>
        <w:ind w:left="216"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3"/>
        <w:tabs>
          <w:tab w:pos="865" w:val="left" w:leader="none"/>
        </w:tabs>
        <w:spacing w:line="240" w:lineRule="auto" w:before="143"/>
        <w:ind w:left="216" w:right="0"/>
        <w:jc w:val="left"/>
        <w:rPr>
          <w:b w:val="0"/>
          <w:bCs w:val="0"/>
        </w:rPr>
      </w:pPr>
      <w:r>
        <w:rPr>
          <w:rFonts w:ascii="Times New Roman" w:hAnsi="Times New Roman" w:cs="Times New Roman" w:eastAsia="Times New Roman" w:hint="default"/>
        </w:rPr>
        <w:t>1</w:t>
      </w:r>
      <w:r>
        <w:rPr/>
        <w:t>、</w:t>
        <w:tab/>
      </w:r>
      <w:r>
        <w:rPr>
          <w:spacing w:val="-1"/>
        </w:rPr>
        <w:t>销售商品收入确认和计量原则</w:t>
      </w:r>
      <w:r>
        <w:rPr>
          <w:b w:val="0"/>
          <w:bCs w:val="0"/>
          <w:spacing w:val="-1"/>
        </w:rPr>
      </w:r>
    </w:p>
    <w:p>
      <w:pPr>
        <w:pStyle w:val="BodyText"/>
        <w:spacing w:line="343" w:lineRule="auto" w:before="91"/>
        <w:ind w:left="216" w:right="0"/>
        <w:jc w:val="left"/>
      </w:pPr>
      <w:r>
        <w:rPr/>
        <w:t>（</w:t>
      </w:r>
      <w:r>
        <w:rPr>
          <w:rFonts w:ascii="Times New Roman" w:hAnsi="Times New Roman" w:cs="Times New Roman" w:eastAsia="Times New Roman" w:hint="default"/>
        </w:rPr>
        <w:t>1</w:t>
      </w:r>
      <w:r>
        <w:rPr/>
        <w:t>）销售商品收入确认和计量的总体原则</w:t>
      </w:r>
      <w:r>
        <w:rPr>
          <w:w w:val="100"/>
        </w:rPr>
        <w:t> </w:t>
      </w:r>
      <w:r>
        <w:rPr>
          <w:spacing w:val="-1"/>
        </w:rPr>
        <w:t>公司已将商品所有权上的主要风险和报酬转移给购买方；公司既没有保留与所有权相联系的继续</w:t>
      </w:r>
      <w:r>
        <w:rPr>
          <w:spacing w:val="-55"/>
        </w:rPr>
        <w:t> </w:t>
      </w:r>
      <w:r>
        <w:rPr>
          <w:spacing w:val="-55"/>
        </w:rPr>
      </w:r>
      <w:r>
        <w:rPr>
          <w:spacing w:val="-1"/>
        </w:rPr>
        <w:t>管理权，也没有对已售出的商品实施有效控制；收入的金额能够可靠地计量；相关的经济利益很</w:t>
      </w:r>
      <w:r>
        <w:rPr>
          <w:spacing w:val="-55"/>
        </w:rPr>
        <w:t> </w:t>
      </w:r>
      <w:r>
        <w:rPr>
          <w:spacing w:val="-55"/>
        </w:rPr>
      </w:r>
      <w:r>
        <w:rPr/>
        <w:t>可能流入企业；相关的已发生或将发生的成本能够可靠地计量时，确认商品销售收入实现。</w:t>
      </w:r>
    </w:p>
    <w:p>
      <w:pPr>
        <w:pStyle w:val="BodyText"/>
        <w:spacing w:line="338" w:lineRule="auto" w:before="35"/>
        <w:ind w:left="216" w:right="0"/>
        <w:jc w:val="left"/>
      </w:pPr>
      <w:r>
        <w:rPr/>
        <w:t>（</w:t>
      </w:r>
      <w:r>
        <w:rPr>
          <w:rFonts w:ascii="Times New Roman" w:hAnsi="Times New Roman" w:cs="Times New Roman" w:eastAsia="Times New Roman" w:hint="default"/>
        </w:rPr>
        <w:t>2</w:t>
      </w:r>
      <w:r>
        <w:rPr/>
        <w:t>）本公司销售商品收入确认的确认标准及收入确认时间的具体判断标准</w:t>
      </w:r>
      <w:r>
        <w:rPr>
          <w:w w:val="100"/>
        </w:rPr>
        <w:t> </w:t>
      </w:r>
      <w:r>
        <w:rPr>
          <w:spacing w:val="-1"/>
        </w:rPr>
        <w:t>内销收入确认时点的具体标准为：所售产品货物已发出，并收到经客户验收合格后出具的验收证</w:t>
      </w:r>
      <w:r>
        <w:rPr>
          <w:spacing w:val="-55"/>
        </w:rPr>
        <w:t> </w:t>
      </w:r>
      <w:r>
        <w:rPr>
          <w:spacing w:val="-55"/>
        </w:rPr>
      </w:r>
      <w:r>
        <w:rPr>
          <w:spacing w:val="-1"/>
        </w:rPr>
        <w:t>明时。本公司外销出口销售收入确认时点的具体标准为：根据合同的约定，所售产品报关后货物</w:t>
      </w:r>
    </w:p>
    <w:p>
      <w:pPr>
        <w:spacing w:after="0" w:line="338" w:lineRule="auto"/>
        <w:jc w:val="left"/>
        <w:sectPr>
          <w:footerReference w:type="default" r:id="rId75"/>
          <w:pgSz w:w="11910" w:h="16840"/>
          <w:pgMar w:footer="974" w:header="748" w:top="1140" w:bottom="1160" w:left="1060" w:right="1660"/>
          <w:pgNumType w:start="121"/>
        </w:sectPr>
      </w:pPr>
    </w:p>
    <w:p>
      <w:pPr>
        <w:spacing w:line="240" w:lineRule="auto" w:before="10"/>
        <w:rPr>
          <w:rFonts w:ascii="宋体" w:hAnsi="宋体" w:cs="宋体" w:eastAsia="宋体" w:hint="default"/>
          <w:sz w:val="25"/>
          <w:szCs w:val="25"/>
        </w:rPr>
      </w:pPr>
    </w:p>
    <w:p>
      <w:pPr>
        <w:spacing w:line="348" w:lineRule="auto" w:before="36"/>
        <w:ind w:left="216" w:right="4601" w:firstLine="0"/>
        <w:jc w:val="left"/>
        <w:rPr>
          <w:rFonts w:ascii="宋体" w:hAnsi="宋体" w:cs="宋体" w:eastAsia="宋体" w:hint="default"/>
          <w:sz w:val="21"/>
          <w:szCs w:val="21"/>
        </w:rPr>
      </w:pPr>
      <w:r>
        <w:rPr>
          <w:rFonts w:ascii="宋体" w:hAnsi="宋体" w:cs="宋体" w:eastAsia="宋体" w:hint="default"/>
          <w:sz w:val="21"/>
          <w:szCs w:val="21"/>
        </w:rPr>
        <w:t>装船出口时。</w:t>
      </w:r>
      <w:r>
        <w:rPr>
          <w:rFonts w:ascii="宋体" w:hAnsi="宋体" w:cs="宋体" w:eastAsia="宋体" w:hint="default"/>
          <w:w w:val="100"/>
          <w:sz w:val="21"/>
          <w:szCs w:val="21"/>
        </w:rPr>
        <w:t> </w:t>
      </w:r>
      <w:r>
        <w:rPr>
          <w:rFonts w:ascii="宋体" w:hAnsi="宋体" w:cs="宋体" w:eastAsia="宋体" w:hint="default"/>
          <w:spacing w:val="-2"/>
          <w:sz w:val="21"/>
          <w:szCs w:val="21"/>
        </w:rPr>
        <w:t>本公司光伏发电收入依据上网结算电量确认。</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b/>
          <w:bCs/>
          <w:sz w:val="21"/>
          <w:szCs w:val="21"/>
        </w:rPr>
        <w:t>2</w:t>
      </w:r>
      <w:r>
        <w:rPr>
          <w:rFonts w:ascii="宋体" w:hAnsi="宋体" w:cs="宋体" w:eastAsia="宋体" w:hint="default"/>
          <w:b/>
          <w:bCs/>
          <w:sz w:val="21"/>
          <w:szCs w:val="21"/>
        </w:rPr>
        <w:t>、 </w:t>
      </w:r>
      <w:r>
        <w:rPr>
          <w:rFonts w:ascii="宋体" w:hAnsi="宋体" w:cs="宋体" w:eastAsia="宋体" w:hint="default"/>
          <w:b/>
          <w:bCs/>
          <w:spacing w:val="6"/>
          <w:sz w:val="21"/>
          <w:szCs w:val="21"/>
        </w:rPr>
        <w:t> </w:t>
      </w:r>
      <w:r>
        <w:rPr>
          <w:rFonts w:ascii="宋体" w:hAnsi="宋体" w:cs="宋体" w:eastAsia="宋体" w:hint="default"/>
          <w:b/>
          <w:bCs/>
          <w:spacing w:val="6"/>
          <w:sz w:val="21"/>
          <w:szCs w:val="21"/>
        </w:rPr>
      </w:r>
      <w:r>
        <w:rPr>
          <w:rFonts w:ascii="宋体" w:hAnsi="宋体" w:cs="宋体" w:eastAsia="宋体" w:hint="default"/>
          <w:b/>
          <w:bCs/>
          <w:sz w:val="21"/>
          <w:szCs w:val="21"/>
        </w:rPr>
        <w:t>让渡资产使用权收入的确认和计量原则</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338" w:lineRule="auto" w:before="31"/>
        <w:ind w:left="216" w:right="0"/>
        <w:jc w:val="left"/>
      </w:pPr>
      <w:r>
        <w:rPr/>
        <w:t>（</w:t>
      </w:r>
      <w:r>
        <w:rPr>
          <w:rFonts w:ascii="Times New Roman" w:hAnsi="Times New Roman" w:cs="Times New Roman" w:eastAsia="Times New Roman" w:hint="default"/>
        </w:rPr>
        <w:t>1</w:t>
      </w:r>
      <w:r>
        <w:rPr/>
        <w:t>）让渡资产使用权收入确认和计量的总体原则</w:t>
      </w:r>
      <w:r>
        <w:rPr>
          <w:w w:val="100"/>
        </w:rPr>
        <w:t> </w:t>
      </w:r>
      <w:r>
        <w:rPr>
          <w:spacing w:val="-1"/>
        </w:rPr>
        <w:t>与交易相关的经济利益很可能流入企业，收入的金额能够可靠地计量时。分别下列情况确定让渡</w:t>
      </w:r>
      <w:r>
        <w:rPr>
          <w:spacing w:val="-55"/>
        </w:rPr>
        <w:t> </w:t>
      </w:r>
      <w:r>
        <w:rPr>
          <w:spacing w:val="-55"/>
        </w:rPr>
      </w:r>
      <w:r>
        <w:rPr/>
        <w:t>资产使用权收入金额：</w:t>
      </w:r>
    </w:p>
    <w:p>
      <w:pPr>
        <w:pStyle w:val="BodyText"/>
        <w:spacing w:line="240" w:lineRule="auto" w:before="40"/>
        <w:ind w:left="216" w:right="0"/>
        <w:jc w:val="left"/>
      </w:pPr>
      <w:r>
        <w:rPr/>
        <w:t>①利息收入金额，按照他人使用本企业货币资金的时间和实际利率计算确定。</w:t>
      </w:r>
    </w:p>
    <w:p>
      <w:pPr>
        <w:pStyle w:val="BodyText"/>
        <w:spacing w:line="240" w:lineRule="auto" w:before="126"/>
        <w:ind w:left="216" w:right="0"/>
        <w:jc w:val="left"/>
      </w:pPr>
      <w:r>
        <w:rPr/>
        <w:t>②使用费收入金额，按照有关合同或协议约定的收费时间和方法计算确定。</w:t>
      </w:r>
    </w:p>
    <w:p>
      <w:pPr>
        <w:pStyle w:val="BodyText"/>
        <w:spacing w:line="340" w:lineRule="auto" w:before="123"/>
        <w:ind w:left="216" w:right="0"/>
        <w:jc w:val="left"/>
      </w:pPr>
      <w:r>
        <w:rPr/>
        <w:t>（</w:t>
      </w:r>
      <w:r>
        <w:rPr>
          <w:rFonts w:ascii="Times New Roman" w:hAnsi="Times New Roman" w:cs="Times New Roman" w:eastAsia="Times New Roman" w:hint="default"/>
        </w:rPr>
        <w:t>2</w:t>
      </w:r>
      <w:r>
        <w:rPr/>
        <w:t>）本公司确认让渡资产使用权收入的依据</w:t>
      </w:r>
      <w:r>
        <w:rPr>
          <w:w w:val="100"/>
        </w:rPr>
        <w:t> </w:t>
      </w:r>
      <w:r>
        <w:rPr>
          <w:spacing w:val="-1"/>
        </w:rPr>
        <w:t>本公司确认渡资产使用权收入的依据是相关资产已移交给承租人，按租赁合同或协议约定的收费</w:t>
      </w:r>
      <w:r>
        <w:rPr>
          <w:spacing w:val="-55"/>
        </w:rPr>
        <w:t> </w:t>
      </w:r>
      <w:r>
        <w:rPr>
          <w:spacing w:val="-55"/>
        </w:rPr>
      </w:r>
      <w:r>
        <w:rPr/>
        <w:t>时间和方法能够计算确定租赁收入。</w:t>
      </w:r>
    </w:p>
    <w:p>
      <w:pPr>
        <w:pStyle w:val="BodyText"/>
        <w:spacing w:line="331" w:lineRule="auto" w:before="35"/>
        <w:ind w:left="216" w:right="0"/>
        <w:jc w:val="left"/>
      </w:pPr>
      <w:r>
        <w:rPr>
          <w:spacing w:val="-2"/>
        </w:rPr>
        <w:t>（</w:t>
      </w:r>
      <w:r>
        <w:rPr>
          <w:rFonts w:ascii="Times New Roman" w:hAnsi="Times New Roman" w:cs="Times New Roman" w:eastAsia="Times New Roman" w:hint="default"/>
          <w:spacing w:val="-2"/>
        </w:rPr>
        <w:t>3</w:t>
      </w:r>
      <w:r>
        <w:rPr>
          <w:spacing w:val="-2"/>
        </w:rPr>
        <w:t>）关于本公司让渡资产使用权收入相应的业务特点分析和介绍</w:t>
      </w:r>
      <w:r>
        <w:rPr>
          <w:spacing w:val="-52"/>
        </w:rPr>
        <w:t> </w:t>
      </w:r>
      <w:r>
        <w:rPr>
          <w:spacing w:val="-52"/>
        </w:rPr>
      </w:r>
      <w:r>
        <w:rPr/>
        <w:t>本公司相关租赁业务为暂时闲置房产用于临时性出租。</w:t>
      </w:r>
    </w:p>
    <w:p>
      <w:pPr>
        <w:pStyle w:val="BodyText"/>
        <w:spacing w:line="348" w:lineRule="auto" w:before="46"/>
        <w:ind w:left="216" w:right="0"/>
        <w:jc w:val="left"/>
      </w:pPr>
      <w:r>
        <w:rPr>
          <w:rFonts w:ascii="宋体" w:hAnsi="宋体" w:cs="宋体" w:eastAsia="宋体" w:hint="default"/>
          <w:b/>
          <w:bCs/>
        </w:rPr>
        <w:t>3</w:t>
      </w:r>
      <w:r>
        <w:rPr>
          <w:rFonts w:ascii="宋体" w:hAnsi="宋体" w:cs="宋体" w:eastAsia="宋体" w:hint="default"/>
          <w:b/>
          <w:bCs/>
        </w:rPr>
        <w:t>、</w:t>
      </w:r>
      <w:r>
        <w:rPr>
          <w:rFonts w:ascii="宋体" w:hAnsi="宋体" w:cs="宋体" w:eastAsia="宋体" w:hint="default"/>
          <w:b/>
          <w:bCs/>
          <w:spacing w:val="8"/>
        </w:rPr>
        <w:t> </w:t>
      </w:r>
      <w:r>
        <w:rPr>
          <w:rFonts w:ascii="宋体" w:hAnsi="宋体" w:cs="宋体" w:eastAsia="宋体" w:hint="default"/>
          <w:b/>
          <w:bCs/>
          <w:spacing w:val="8"/>
        </w:rPr>
      </w:r>
      <w:r>
        <w:rPr>
          <w:rFonts w:ascii="宋体" w:hAnsi="宋体" w:cs="宋体" w:eastAsia="宋体" w:hint="default"/>
          <w:b/>
          <w:bCs/>
        </w:rPr>
        <w:t>按完工百分比法确认提供劳务的收入和建造合同收入的确认和计量原则</w:t>
      </w:r>
      <w:r>
        <w:rPr>
          <w:rFonts w:ascii="宋体" w:hAnsi="宋体" w:cs="宋体" w:eastAsia="宋体" w:hint="default"/>
          <w:b/>
          <w:bCs/>
          <w:w w:val="99"/>
        </w:rPr>
        <w:t> </w:t>
      </w:r>
      <w:r>
        <w:rPr>
          <w:spacing w:val="-1"/>
        </w:rPr>
        <w:t>在资产负债表日提供劳务交易的结果能够可靠估计的，采用完工百分比法确认提供劳务收入。提</w:t>
      </w:r>
      <w:r>
        <w:rPr>
          <w:spacing w:val="-55"/>
        </w:rPr>
        <w:t> </w:t>
      </w:r>
      <w:r>
        <w:rPr>
          <w:spacing w:val="-55"/>
        </w:rPr>
      </w:r>
      <w:r>
        <w:rPr/>
        <w:t>供劳务交易的完工进度，依据已完工作的测量确定。</w:t>
      </w:r>
      <w:r>
        <w:rPr>
          <w:w w:val="100"/>
        </w:rPr>
        <w:t> </w:t>
      </w:r>
      <w:r>
        <w:rPr>
          <w:spacing w:val="-1"/>
        </w:rPr>
        <w:t>按照已收或应收的合同或协议价款确定提供劳务收入总额，但已收或应收的合同或协议价款不公</w:t>
      </w:r>
      <w:r>
        <w:rPr>
          <w:spacing w:val="-55"/>
        </w:rPr>
        <w:t> </w:t>
      </w:r>
      <w:r>
        <w:rPr>
          <w:spacing w:val="-55"/>
        </w:rPr>
      </w:r>
      <w:r>
        <w:rPr>
          <w:spacing w:val="-1"/>
        </w:rPr>
        <w:t>允的除外。资产负债表日按照提供劳务收入总额乘以完工进度扣除以前会计期间累计已确认提供</w:t>
      </w:r>
      <w:r>
        <w:rPr>
          <w:spacing w:val="-55"/>
        </w:rPr>
        <w:t> </w:t>
      </w:r>
      <w:r>
        <w:rPr>
          <w:spacing w:val="-55"/>
        </w:rPr>
      </w:r>
      <w:r>
        <w:rPr>
          <w:spacing w:val="-1"/>
        </w:rPr>
        <w:t>劳务收入后的金额，确认当期提供劳务收入；同时，按照提供劳务估计总成本乘以完工进度扣除</w:t>
      </w:r>
      <w:r>
        <w:rPr>
          <w:spacing w:val="-55"/>
        </w:rPr>
        <w:t> </w:t>
      </w:r>
      <w:r>
        <w:rPr>
          <w:spacing w:val="-55"/>
        </w:rPr>
      </w:r>
      <w:r>
        <w:rPr/>
        <w:t>以前会计期间累计已确认劳务成本后的金额，结转当期劳务成本。</w:t>
      </w:r>
      <w:r>
        <w:rPr>
          <w:w w:val="100"/>
        </w:rPr>
        <w:t> </w:t>
      </w:r>
      <w:r>
        <w:rPr/>
        <w:t>在资产负债表日提供劳务交易结果不能够可靠估计的，分别下列情况处理：</w:t>
      </w:r>
    </w:p>
    <w:p>
      <w:pPr>
        <w:pStyle w:val="BodyText"/>
        <w:spacing w:line="350" w:lineRule="auto" w:before="31"/>
        <w:ind w:left="216" w:right="0"/>
        <w:jc w:val="left"/>
      </w:pPr>
      <w:r>
        <w:rPr>
          <w:spacing w:val="-1"/>
        </w:rPr>
        <w:t>①已经发生的劳务成本预计能够得到补偿的，按照已经发生的劳务成本金额确认提供劳务收入，</w:t>
      </w:r>
      <w:r>
        <w:rPr>
          <w:spacing w:val="-54"/>
        </w:rPr>
        <w:t> </w:t>
      </w:r>
      <w:r>
        <w:rPr>
          <w:spacing w:val="-54"/>
        </w:rPr>
      </w:r>
      <w:r>
        <w:rPr/>
        <w:t>并按相同金额结转劳务成本。</w:t>
      </w:r>
    </w:p>
    <w:p>
      <w:pPr>
        <w:pStyle w:val="BodyText"/>
        <w:spacing w:line="215" w:lineRule="exact"/>
        <w:ind w:left="216" w:right="0"/>
        <w:jc w:val="left"/>
      </w:pPr>
      <w:r>
        <w:rPr/>
        <w:t>②已经发生的劳务成本预计不能够得到补偿的，将已经发生的劳务成本计入当期损益，不确认提</w:t>
      </w:r>
    </w:p>
    <w:p>
      <w:pPr>
        <w:pStyle w:val="BodyText"/>
        <w:spacing w:line="240" w:lineRule="auto" w:before="37"/>
        <w:ind w:left="216" w:right="0"/>
        <w:jc w:val="left"/>
        <w:rPr>
          <w:rFonts w:ascii="宋体" w:hAnsi="宋体" w:cs="宋体" w:eastAsia="宋体" w:hint="default"/>
        </w:rPr>
      </w:pPr>
      <w:r>
        <w:rPr/>
        <w:t>供劳务收入。</w:t>
      </w:r>
      <w:r>
        <w:rPr>
          <w:rFonts w:ascii="宋体" w:hAnsi="宋体" w:cs="宋体" w:eastAsia="宋体" w:hint="default"/>
        </w:rPr>
        <w:t> </w:t>
      </w:r>
    </w:p>
    <w:p>
      <w:pPr>
        <w:pStyle w:val="BodyText"/>
        <w:spacing w:line="240" w:lineRule="auto" w:before="37"/>
        <w:ind w:left="216" w:right="0"/>
        <w:jc w:val="left"/>
        <w:rPr>
          <w:rFonts w:ascii="宋体" w:hAnsi="宋体" w:cs="宋体" w:eastAsia="宋体" w:hint="default"/>
        </w:rPr>
      </w:pPr>
      <w:r>
        <w:rPr>
          <w:rFonts w:ascii="宋体"/>
          <w:w w:val="100"/>
        </w:rPr>
        <w:t> </w:t>
      </w:r>
    </w:p>
    <w:p>
      <w:pPr>
        <w:pStyle w:val="Heading3"/>
        <w:spacing w:line="240" w:lineRule="auto"/>
        <w:ind w:left="216" w:right="0"/>
        <w:jc w:val="left"/>
        <w:rPr>
          <w:b w:val="0"/>
          <w:bCs w:val="0"/>
        </w:rPr>
      </w:pPr>
      <w:r>
        <w:rPr>
          <w:rFonts w:ascii="宋体" w:hAnsi="宋体" w:cs="宋体" w:eastAsia="宋体" w:hint="default"/>
        </w:rPr>
        <w:t>37.</w:t>
      </w:r>
      <w:r>
        <w:rPr>
          <w:rFonts w:ascii="宋体" w:hAnsi="宋体" w:cs="宋体" w:eastAsia="宋体" w:hint="default"/>
          <w:spacing w:val="2"/>
        </w:rPr>
        <w:t> </w:t>
      </w:r>
      <w:r>
        <w:rPr/>
        <w:t>政府补助</w:t>
      </w:r>
      <w:r>
        <w:rPr>
          <w:b w:val="0"/>
          <w:bCs w:val="0"/>
        </w:rPr>
      </w:r>
    </w:p>
    <w:p>
      <w:pPr>
        <w:pStyle w:val="Heading2"/>
        <w:spacing w:line="240" w:lineRule="auto" w:before="70"/>
        <w:ind w:left="21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BodyText"/>
        <w:tabs>
          <w:tab w:pos="865" w:val="left" w:leader="none"/>
        </w:tabs>
        <w:spacing w:line="343" w:lineRule="auto" w:before="131"/>
        <w:ind w:left="216" w:right="130"/>
        <w:jc w:val="left"/>
      </w:pPr>
      <w:r>
        <w:rPr>
          <w:rFonts w:ascii="Times New Roman" w:hAnsi="Times New Roman" w:cs="Times New Roman" w:eastAsia="Times New Roman" w:hint="default"/>
          <w:b/>
          <w:bCs/>
        </w:rPr>
        <w:t>1</w:t>
      </w:r>
      <w:r>
        <w:rPr>
          <w:rFonts w:ascii="宋体" w:hAnsi="宋体" w:cs="宋体" w:eastAsia="宋体" w:hint="default"/>
          <w:b/>
          <w:bCs/>
        </w:rPr>
        <w:t>、</w:t>
        <w:tab/>
        <w:t>类型</w:t>
      </w:r>
      <w:r>
        <w:rPr>
          <w:rFonts w:ascii="宋体" w:hAnsi="宋体" w:cs="宋体" w:eastAsia="宋体" w:hint="default"/>
          <w:b/>
          <w:bCs/>
          <w:w w:val="100"/>
        </w:rPr>
        <w:t> </w:t>
      </w:r>
      <w:r>
        <w:rPr>
          <w:spacing w:val="-1"/>
        </w:rPr>
        <w:t>政府补助，是本公司从政府无偿取得的货币性资产与非货币性资产。分为与资产相关的政府补助</w:t>
      </w:r>
      <w:r>
        <w:rPr>
          <w:spacing w:val="-55"/>
        </w:rPr>
        <w:t> </w:t>
      </w:r>
      <w:r>
        <w:rPr>
          <w:spacing w:val="-55"/>
        </w:rPr>
      </w:r>
      <w:r>
        <w:rPr/>
        <w:t>和与收益相关的政府补助。</w:t>
      </w:r>
      <w:r>
        <w:rPr>
          <w:w w:val="100"/>
        </w:rPr>
        <w:t> </w:t>
      </w:r>
      <w:r>
        <w:rPr>
          <w:spacing w:val="-1"/>
        </w:rPr>
        <w:t>与资产相关的政府补助，是指本公司取得的、用于购建或以其他方式形成长期资产的政府补助。</w:t>
      </w:r>
      <w:r>
        <w:rPr>
          <w:spacing w:val="-55"/>
        </w:rPr>
        <w:t> </w:t>
      </w:r>
      <w:r>
        <w:rPr>
          <w:spacing w:val="-55"/>
        </w:rPr>
      </w:r>
      <w:r>
        <w:rPr/>
        <w:t>与收益相关的政府补助，是指除与资产相关的政府补助之外的政府补助。</w:t>
      </w:r>
      <w:r>
        <w:rPr>
          <w:w w:val="100"/>
        </w:rPr>
        <w:t> </w:t>
      </w:r>
      <w:r>
        <w:rPr>
          <w:spacing w:val="-1"/>
        </w:rPr>
        <w:t>本公司将政府补助划分为与资产相关的具体标准为：申请政府补助的项目最终形成一项或多项长</w:t>
      </w:r>
      <w:r>
        <w:rPr>
          <w:spacing w:val="-55"/>
        </w:rPr>
        <w:t> </w:t>
      </w:r>
      <w:r>
        <w:rPr>
          <w:spacing w:val="-55"/>
        </w:rPr>
      </w:r>
      <w:r>
        <w:rPr/>
        <w:t>期资产，且该长期资产可以为公司带来预期的经济利益。</w:t>
      </w:r>
    </w:p>
    <w:p>
      <w:pPr>
        <w:spacing w:after="0" w:line="343" w:lineRule="auto"/>
        <w:jc w:val="left"/>
        <w:sectPr>
          <w:pgSz w:w="11910" w:h="16840"/>
          <w:pgMar w:header="748" w:footer="974" w:top="1140" w:bottom="1160" w:left="1060" w:right="1660"/>
        </w:sectPr>
      </w:pPr>
    </w:p>
    <w:p>
      <w:pPr>
        <w:spacing w:line="240" w:lineRule="auto" w:before="10"/>
        <w:rPr>
          <w:rFonts w:ascii="宋体" w:hAnsi="宋体" w:cs="宋体" w:eastAsia="宋体" w:hint="default"/>
          <w:sz w:val="25"/>
          <w:szCs w:val="25"/>
        </w:rPr>
      </w:pPr>
    </w:p>
    <w:p>
      <w:pPr>
        <w:pStyle w:val="BodyText"/>
        <w:spacing w:line="357" w:lineRule="auto" w:before="36"/>
        <w:ind w:left="216" w:right="0"/>
        <w:jc w:val="left"/>
      </w:pPr>
      <w:r>
        <w:rPr>
          <w:spacing w:val="-1"/>
        </w:rPr>
        <w:t>本公司将政府补助划分为与收益相关的具体标准为：申请政府补助的项目与公司主营业务紧密相</w:t>
      </w:r>
      <w:r>
        <w:rPr>
          <w:spacing w:val="-55"/>
        </w:rPr>
        <w:t> </w:t>
      </w:r>
      <w:r>
        <w:rPr>
          <w:spacing w:val="-55"/>
        </w:rPr>
      </w:r>
      <w:r>
        <w:rPr/>
        <w:t>关，公司的相关投入最终将计入相关会计期间费用。</w:t>
      </w:r>
      <w:r>
        <w:rPr>
          <w:w w:val="100"/>
        </w:rPr>
        <w:t> </w:t>
      </w:r>
      <w:r>
        <w:rPr/>
        <w:t>对于政府文件未明确规定补助对象的，本公司直接将收到的政府补助计入当期收益。</w:t>
      </w:r>
    </w:p>
    <w:p>
      <w:pPr>
        <w:tabs>
          <w:tab w:pos="786" w:val="left" w:leader="none"/>
        </w:tabs>
        <w:spacing w:line="348" w:lineRule="auto" w:before="23"/>
        <w:ind w:left="216" w:right="2661"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w:t>
        <w:tab/>
        <w:t>确认时点</w:t>
      </w:r>
      <w:r>
        <w:rPr>
          <w:rFonts w:ascii="宋体" w:hAnsi="宋体" w:cs="宋体" w:eastAsia="宋体" w:hint="default"/>
          <w:b/>
          <w:bCs/>
          <w:w w:val="99"/>
          <w:sz w:val="21"/>
          <w:szCs w:val="21"/>
        </w:rPr>
        <w:t> </w:t>
      </w:r>
      <w:r>
        <w:rPr>
          <w:rFonts w:ascii="宋体" w:hAnsi="宋体" w:cs="宋体" w:eastAsia="宋体" w:hint="default"/>
          <w:spacing w:val="-2"/>
          <w:sz w:val="21"/>
          <w:szCs w:val="21"/>
        </w:rPr>
        <w:t>以实际收到政府补助的货币性资产与非货币性资产时作为确认时点。</w:t>
      </w:r>
      <w:r>
        <w:rPr>
          <w:rFonts w:ascii="宋体" w:hAnsi="宋体" w:cs="宋体" w:eastAsia="宋体" w:hint="default"/>
          <w:spacing w:val="-48"/>
          <w:sz w:val="21"/>
          <w:szCs w:val="21"/>
        </w:rPr>
        <w:t> </w:t>
      </w:r>
      <w:r>
        <w:rPr>
          <w:rFonts w:ascii="宋体" w:hAnsi="宋体" w:cs="宋体" w:eastAsia="宋体" w:hint="default"/>
          <w:spacing w:val="-48"/>
          <w:sz w:val="21"/>
          <w:szCs w:val="21"/>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w:t>
        <w:tab/>
        <w:t>会计处理</w:t>
      </w:r>
      <w:r>
        <w:rPr>
          <w:rFonts w:ascii="宋体" w:hAnsi="宋体" w:cs="宋体" w:eastAsia="宋体" w:hint="default"/>
          <w:sz w:val="21"/>
          <w:szCs w:val="21"/>
        </w:rPr>
      </w:r>
    </w:p>
    <w:p>
      <w:pPr>
        <w:pStyle w:val="BodyText"/>
        <w:spacing w:line="261" w:lineRule="exact"/>
        <w:ind w:left="216" w:right="0"/>
        <w:jc w:val="left"/>
      </w:pPr>
      <w:r>
        <w:rPr/>
        <w:t>与资产相关的政府补助，冲减相关资产账面价值或确认为递延收益。确认为递延收益的，在相关</w:t>
      </w:r>
    </w:p>
    <w:p>
      <w:pPr>
        <w:pStyle w:val="BodyText"/>
        <w:spacing w:line="240" w:lineRule="auto" w:before="126"/>
        <w:ind w:left="216" w:right="0"/>
        <w:jc w:val="left"/>
      </w:pPr>
      <w:r>
        <w:rPr/>
        <w:t>资产使用寿命内按照合理、系统的方法分期计入当期损益（与本公司日常活动相关的，计入其他</w:t>
      </w:r>
    </w:p>
    <w:p>
      <w:pPr>
        <w:pStyle w:val="BodyText"/>
        <w:spacing w:line="273" w:lineRule="auto" w:before="123"/>
        <w:ind w:left="216" w:right="0"/>
        <w:jc w:val="left"/>
        <w:rPr>
          <w:rFonts w:ascii="宋体" w:hAnsi="宋体" w:cs="宋体" w:eastAsia="宋体" w:hint="default"/>
        </w:rPr>
      </w:pPr>
      <w:r>
        <w:rPr>
          <w:spacing w:val="-6"/>
          <w:w w:val="100"/>
        </w:rPr>
        <w:t>收益；与本公司日常活动无关的，计入营业外收入）；</w:t>
      </w:r>
      <w:r>
        <w:rPr>
          <w:spacing w:val="-100"/>
          <w:w w:val="100"/>
        </w:rPr>
        <w:t> </w:t>
      </w:r>
      <w:r>
        <w:rPr>
          <w:spacing w:val="-100"/>
          <w:w w:val="100"/>
        </w:rPr>
      </w:r>
      <w:r>
        <w:rPr>
          <w:spacing w:val="-2"/>
        </w:rPr>
        <w:t>与收益相关的政府补助，用于补偿本公司以后期间的相关成本费用或损失的，确认为递延收益，</w:t>
      </w:r>
      <w:r>
        <w:rPr>
          <w:spacing w:val="-26"/>
        </w:rPr>
        <w:t> </w:t>
      </w:r>
      <w:r>
        <w:rPr>
          <w:spacing w:val="-26"/>
        </w:rPr>
      </w:r>
      <w:r>
        <w:rPr>
          <w:spacing w:val="-7"/>
        </w:rPr>
        <w:t>并在确认相关成本费用或损失的期间，计入当期损益（与本公司日常活动相关的，计入其他收益；</w:t>
      </w:r>
      <w:r>
        <w:rPr>
          <w:spacing w:val="-12"/>
        </w:rPr>
        <w:t> </w:t>
      </w:r>
      <w:r>
        <w:rPr>
          <w:spacing w:val="-12"/>
        </w:rPr>
      </w:r>
      <w:r>
        <w:rPr>
          <w:spacing w:val="-2"/>
        </w:rPr>
        <w:t>与本公司日常活动无关的，计入营业外收入）或冲减相关成本费用或损失；用于补偿本公司已发</w:t>
      </w:r>
      <w:r>
        <w:rPr>
          <w:spacing w:val="-24"/>
        </w:rPr>
        <w:t> </w:t>
      </w:r>
      <w:r>
        <w:rPr>
          <w:spacing w:val="-24"/>
        </w:rPr>
      </w:r>
      <w:r>
        <w:rPr>
          <w:spacing w:val="-2"/>
        </w:rPr>
        <w:t>生的相关成本费用或损失的，直接计入当期损益（与本公司日常活动相关的，计入其他收益；与</w:t>
      </w:r>
      <w:r>
        <w:rPr>
          <w:spacing w:val="-25"/>
        </w:rPr>
        <w:t> </w:t>
      </w:r>
      <w:r>
        <w:rPr>
          <w:spacing w:val="-25"/>
        </w:rPr>
      </w:r>
      <w:r>
        <w:rPr/>
        <w:t>本公司日常活动无关的，计入营业外收入）或冲减相关成本费用或损失。</w:t>
      </w:r>
      <w:r>
        <w:rPr>
          <w:rFonts w:ascii="宋体" w:hAnsi="宋体" w:cs="宋体" w:eastAsia="宋体" w:hint="default"/>
        </w:rPr>
        <w:t> </w:t>
      </w:r>
    </w:p>
    <w:p>
      <w:pPr>
        <w:pStyle w:val="Heading2"/>
        <w:spacing w:line="294" w:lineRule="exact"/>
        <w:ind w:left="216" w:right="0"/>
        <w:jc w:val="left"/>
        <w:rPr>
          <w:rFonts w:ascii="宋体" w:hAnsi="宋体" w:cs="宋体" w:eastAsia="宋体" w:hint="default"/>
        </w:rPr>
      </w:pPr>
      <w:r>
        <w:rPr>
          <w:rFonts w:ascii="宋体"/>
        </w:rPr>
        <w:t> </w:t>
      </w:r>
    </w:p>
    <w:p>
      <w:pPr>
        <w:pStyle w:val="Heading3"/>
        <w:spacing w:line="240" w:lineRule="auto" w:before="85"/>
        <w:ind w:left="216" w:right="0"/>
        <w:jc w:val="left"/>
        <w:rPr>
          <w:b w:val="0"/>
          <w:bCs w:val="0"/>
        </w:rPr>
      </w:pPr>
      <w:r>
        <w:rPr>
          <w:rFonts w:ascii="宋体" w:hAnsi="宋体" w:cs="宋体" w:eastAsia="宋体" w:hint="default"/>
        </w:rPr>
        <w:t>38.</w:t>
      </w:r>
      <w:r>
        <w:rPr>
          <w:rFonts w:ascii="宋体" w:hAnsi="宋体" w:cs="宋体" w:eastAsia="宋体" w:hint="default"/>
          <w:spacing w:val="1"/>
        </w:rPr>
        <w:t> </w:t>
      </w:r>
      <w:r>
        <w:rPr/>
        <w:t>递延所得税资产</w:t>
      </w:r>
      <w:r>
        <w:rPr>
          <w:rFonts w:ascii="Calibri" w:hAnsi="Calibri" w:cs="Calibri" w:eastAsia="Calibri" w:hint="default"/>
        </w:rPr>
        <w:t>/</w:t>
      </w:r>
      <w:r>
        <w:rPr/>
        <w:t>递延所得税负债</w:t>
      </w:r>
      <w:r>
        <w:rPr>
          <w:b w:val="0"/>
          <w:bCs w:val="0"/>
        </w:rPr>
      </w:r>
    </w:p>
    <w:p>
      <w:pPr>
        <w:pStyle w:val="BodyText"/>
        <w:spacing w:line="350" w:lineRule="auto" w:before="70"/>
        <w:ind w:left="216" w:right="0"/>
        <w:jc w:val="left"/>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1"/>
        </w:rPr>
        <w:t>对于可抵扣暂时性差异确认递延所得税资产，以未来期间很可能取得的用来抵扣可抵扣暂时性差</w:t>
      </w:r>
      <w:r>
        <w:rPr>
          <w:spacing w:val="-55"/>
        </w:rPr>
        <w:t> </w:t>
      </w:r>
      <w:r>
        <w:rPr>
          <w:spacing w:val="-55"/>
        </w:rPr>
      </w:r>
      <w:r>
        <w:rPr>
          <w:spacing w:val="-1"/>
        </w:rPr>
        <w:t>异的应纳税所得额为限。对于能够结转以后年度的可抵扣亏损和税款抵减，以很可能获得用来抵</w:t>
      </w:r>
      <w:r>
        <w:rPr>
          <w:spacing w:val="-55"/>
        </w:rPr>
        <w:t> </w:t>
      </w:r>
      <w:r>
        <w:rPr>
          <w:spacing w:val="-55"/>
        </w:rPr>
      </w:r>
      <w:r>
        <w:rPr/>
        <w:t>扣可抵扣亏损和税款抵减的未来应纳税所得额为限，确认相应的递延所得税资产。</w:t>
      </w:r>
      <w:r>
        <w:rPr>
          <w:w w:val="100"/>
        </w:rPr>
        <w:t> </w:t>
      </w:r>
      <w:r>
        <w:rPr/>
        <w:t>对于应纳税暂时性差异，除特殊情况外，确认递延所得税负债。</w:t>
      </w:r>
      <w:r>
        <w:rPr>
          <w:w w:val="100"/>
        </w:rPr>
        <w:t> </w:t>
      </w:r>
      <w:r>
        <w:rPr>
          <w:spacing w:val="-1"/>
        </w:rPr>
        <w:t>不确认递延所得税资产或递延所得税负债的特殊情况包括：商誉的初始确认；除企业合并以外的</w:t>
      </w:r>
      <w:r>
        <w:rPr>
          <w:spacing w:val="-55"/>
        </w:rPr>
        <w:t> </w:t>
      </w:r>
      <w:r>
        <w:rPr>
          <w:spacing w:val="-55"/>
        </w:rPr>
      </w:r>
      <w:r>
        <w:rPr/>
        <w:t>发生时既不影响会计利润也不影响应纳税所得额（或可抵扣亏损）的其他交易或事项。</w:t>
      </w:r>
      <w:r>
        <w:rPr>
          <w:w w:val="100"/>
        </w:rPr>
        <w:t> </w:t>
      </w:r>
      <w:r>
        <w:rPr>
          <w:spacing w:val="-1"/>
        </w:rPr>
        <w:t>当拥有以净额结算的法定权利，且意图以净额结算或取得资产、清偿负债同时进行时，当期所得</w:t>
      </w:r>
    </w:p>
    <w:p>
      <w:pPr>
        <w:pStyle w:val="BodyText"/>
        <w:spacing w:line="268" w:lineRule="auto" w:before="29"/>
        <w:ind w:left="216" w:right="0"/>
        <w:jc w:val="left"/>
        <w:rPr>
          <w:rFonts w:ascii="宋体" w:hAnsi="宋体" w:cs="宋体" w:eastAsia="宋体" w:hint="default"/>
        </w:rPr>
      </w:pPr>
      <w:r>
        <w:rPr/>
        <w:t>税资产及当期所得税负债以抵销后的净额列报。</w:t>
      </w:r>
      <w:r>
        <w:rPr>
          <w:w w:val="100"/>
        </w:rPr>
        <w:t> </w:t>
      </w:r>
      <w:r>
        <w:rPr>
          <w:spacing w:val="-2"/>
        </w:rPr>
        <w:t>当拥有以净额结算当期所得税资产及当期所得税负债的法定权利，且递延所得税资产及递延所得</w:t>
      </w:r>
      <w:r>
        <w:rPr>
          <w:spacing w:val="-25"/>
        </w:rPr>
        <w:t> </w:t>
      </w:r>
      <w:r>
        <w:rPr>
          <w:spacing w:val="-25"/>
        </w:rPr>
      </w:r>
      <w:r>
        <w:rPr>
          <w:spacing w:val="-2"/>
        </w:rPr>
        <w:t>税负债是与同一税收征管部门对同一纳税主体征收的所得税相关或者是对不同的纳税主体相关，</w:t>
      </w:r>
      <w:r>
        <w:rPr>
          <w:spacing w:val="-25"/>
        </w:rPr>
        <w:t> </w:t>
      </w:r>
      <w:r>
        <w:rPr>
          <w:spacing w:val="-25"/>
        </w:rPr>
      </w:r>
      <w:r>
        <w:rPr>
          <w:spacing w:val="-2"/>
        </w:rPr>
        <w:t>但在未来每一具有重要性的递延所得税资产及负债转回的期间内，涉及的纳税主体意图以净额结</w:t>
      </w:r>
      <w:r>
        <w:rPr>
          <w:spacing w:val="-25"/>
        </w:rPr>
        <w:t> </w:t>
      </w:r>
      <w:r>
        <w:rPr>
          <w:spacing w:val="-25"/>
        </w:rPr>
      </w:r>
      <w:r>
        <w:rPr>
          <w:spacing w:val="-2"/>
        </w:rPr>
        <w:t>算当期所得税资产和负债或是同时取得资产、清偿负债时，递延所得税资产及递延所得税负债以</w:t>
      </w:r>
      <w:r>
        <w:rPr>
          <w:spacing w:val="-25"/>
        </w:rPr>
        <w:t> </w:t>
      </w:r>
      <w:r>
        <w:rPr>
          <w:spacing w:val="-25"/>
        </w:rPr>
      </w:r>
      <w:r>
        <w:rPr/>
        <w:t>抵销后的净额列报</w:t>
      </w:r>
      <w:r>
        <w:rPr>
          <w:rFonts w:ascii="宋体" w:hAnsi="宋体" w:cs="宋体" w:eastAsia="宋体" w:hint="default"/>
        </w:rPr>
        <w:t> </w:t>
      </w:r>
    </w:p>
    <w:p>
      <w:pPr>
        <w:pStyle w:val="BodyText"/>
        <w:spacing w:line="240" w:lineRule="auto" w:before="12"/>
        <w:ind w:left="216" w:right="0"/>
        <w:jc w:val="left"/>
        <w:rPr>
          <w:rFonts w:ascii="宋体" w:hAnsi="宋体" w:cs="宋体" w:eastAsia="宋体" w:hint="default"/>
        </w:rPr>
      </w:pPr>
      <w:r>
        <w:rPr>
          <w:rFonts w:ascii="宋体"/>
          <w:w w:val="100"/>
        </w:rPr>
        <w:t> </w:t>
      </w:r>
    </w:p>
    <w:p>
      <w:pPr>
        <w:pStyle w:val="Heading3"/>
        <w:spacing w:line="324" w:lineRule="auto"/>
        <w:ind w:left="216" w:right="5918"/>
        <w:jc w:val="left"/>
        <w:rPr>
          <w:rFonts w:ascii="宋体" w:hAnsi="宋体" w:cs="宋体" w:eastAsia="宋体" w:hint="default"/>
          <w:b w:val="0"/>
          <w:bCs w:val="0"/>
        </w:rPr>
      </w:pPr>
      <w:r>
        <w:rPr>
          <w:rFonts w:ascii="宋体" w:hAnsi="宋体" w:cs="宋体" w:eastAsia="宋体" w:hint="default"/>
        </w:rPr>
        <w:t>39.</w:t>
      </w:r>
      <w:r>
        <w:rPr>
          <w:rFonts w:ascii="宋体" w:hAnsi="宋体" w:cs="宋体" w:eastAsia="宋体" w:hint="default"/>
          <w:spacing w:val="2"/>
        </w:rPr>
        <w:t> </w:t>
      </w:r>
      <w:r>
        <w:rPr/>
        <w:t>租赁</w:t>
      </w:r>
      <w:r>
        <w:rPr>
          <w:w w:val="100"/>
        </w:rPr>
        <w:t> </w:t>
      </w:r>
      <w:r>
        <w:rPr>
          <w:rFonts w:ascii="宋体" w:hAnsi="宋体" w:cs="宋体" w:eastAsia="宋体" w:hint="default"/>
        </w:rPr>
        <w:t>(1).</w:t>
      </w:r>
      <w:r>
        <w:rPr/>
        <w:t>经营租赁的会计处理方法</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23"/>
        <w:ind w:left="216"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314" w:lineRule="auto" w:before="102"/>
        <w:ind w:left="216" w:right="0"/>
        <w:jc w:val="left"/>
      </w:pPr>
      <w:r>
        <w:rPr>
          <w:spacing w:val="-4"/>
        </w:rPr>
        <w:t>（</w:t>
      </w:r>
      <w:r>
        <w:rPr>
          <w:rFonts w:ascii="Times New Roman" w:hAnsi="Times New Roman" w:cs="Times New Roman" w:eastAsia="Times New Roman" w:hint="default"/>
          <w:spacing w:val="-4"/>
        </w:rPr>
        <w:t>1</w:t>
      </w:r>
      <w:r>
        <w:rPr>
          <w:spacing w:val="-4"/>
        </w:rPr>
        <w:t>）公司租入资产所支付的租赁费，在不扣除免租期的整个租赁期内，按直线法进行分摊，计入</w:t>
      </w:r>
      <w:r>
        <w:rPr>
          <w:spacing w:val="-33"/>
        </w:rPr>
        <w:t> </w:t>
      </w:r>
      <w:r>
        <w:rPr>
          <w:spacing w:val="-33"/>
        </w:rPr>
      </w:r>
      <w:r>
        <w:rPr/>
        <w:t>当期费用。公司支付的与租赁交易相关的初始直接费用，计入当期费用。</w:t>
      </w:r>
      <w:r>
        <w:rPr>
          <w:w w:val="100"/>
        </w:rPr>
        <w:t> </w:t>
      </w:r>
      <w:r>
        <w:rPr>
          <w:spacing w:val="-1"/>
        </w:rPr>
        <w:t>资产出租方承担了应由公司承担的与租赁相关的费用时，公司将该部分费用从租金总额中扣除，</w:t>
      </w:r>
    </w:p>
    <w:p>
      <w:pPr>
        <w:spacing w:after="0" w:line="314" w:lineRule="auto"/>
        <w:jc w:val="left"/>
        <w:sectPr>
          <w:pgSz w:w="11910" w:h="16840"/>
          <w:pgMar w:header="748" w:footer="974" w:top="1140" w:bottom="1160" w:left="1060" w:right="1660"/>
        </w:sectPr>
      </w:pPr>
    </w:p>
    <w:p>
      <w:pPr>
        <w:spacing w:line="240" w:lineRule="auto" w:before="1"/>
        <w:rPr>
          <w:rFonts w:ascii="宋体" w:hAnsi="宋体" w:cs="宋体" w:eastAsia="宋体" w:hint="default"/>
          <w:sz w:val="24"/>
          <w:szCs w:val="24"/>
        </w:rPr>
      </w:pPr>
    </w:p>
    <w:p>
      <w:pPr>
        <w:pStyle w:val="BodyText"/>
        <w:spacing w:line="240" w:lineRule="auto" w:before="36"/>
        <w:ind w:left="216" w:right="0"/>
        <w:jc w:val="both"/>
      </w:pPr>
      <w:r>
        <w:rPr/>
        <w:t>按扣除后的租金费用在租赁期内分摊，计入当期费用。</w:t>
      </w:r>
    </w:p>
    <w:p>
      <w:pPr>
        <w:pStyle w:val="BodyText"/>
        <w:spacing w:line="314" w:lineRule="auto" w:before="95"/>
        <w:ind w:left="216" w:right="229"/>
        <w:jc w:val="both"/>
      </w:pPr>
      <w:r>
        <w:rPr>
          <w:spacing w:val="-4"/>
        </w:rPr>
        <w:t>（</w:t>
      </w:r>
      <w:r>
        <w:rPr>
          <w:rFonts w:ascii="Times New Roman" w:hAnsi="Times New Roman" w:cs="Times New Roman" w:eastAsia="Times New Roman" w:hint="default"/>
          <w:spacing w:val="-4"/>
        </w:rPr>
        <w:t>2</w:t>
      </w:r>
      <w:r>
        <w:rPr>
          <w:spacing w:val="-4"/>
        </w:rPr>
        <w:t>）公司出租资产所收取的租赁费，在不扣除免租期的整个租赁期内，按直线法进行分摊，确认</w:t>
      </w:r>
      <w:r>
        <w:rPr>
          <w:spacing w:val="-33"/>
        </w:rPr>
        <w:t> </w:t>
      </w:r>
      <w:r>
        <w:rPr>
          <w:spacing w:val="-33"/>
        </w:rPr>
      </w:r>
      <w:r>
        <w:rPr>
          <w:spacing w:val="-1"/>
        </w:rPr>
        <w:t>为租赁相关收入。公司支付的与租赁交易相关的初始直接费用，计入当期费用；如金额较大的，</w:t>
      </w:r>
      <w:r>
        <w:rPr>
          <w:spacing w:val="-55"/>
        </w:rPr>
        <w:t> </w:t>
      </w:r>
      <w:r>
        <w:rPr>
          <w:spacing w:val="-55"/>
        </w:rPr>
      </w:r>
      <w:r>
        <w:rPr/>
        <w:t>则予以资本化，在整个租赁期间内按照与租赁相关收入确认相同的基础分期计入当期收益。</w:t>
      </w:r>
    </w:p>
    <w:p>
      <w:pPr>
        <w:pStyle w:val="BodyText"/>
        <w:spacing w:line="348" w:lineRule="auto" w:before="70"/>
        <w:ind w:left="216" w:right="0"/>
        <w:jc w:val="left"/>
      </w:pPr>
      <w:r>
        <w:rPr>
          <w:spacing w:val="-1"/>
        </w:rPr>
        <w:t>公司承担了应由承租方承担的与租赁相关的费用时，公司将该部分费用从租金收入总额中扣除，</w:t>
      </w:r>
      <w:r>
        <w:rPr>
          <w:spacing w:val="-55"/>
        </w:rPr>
        <w:t> </w:t>
      </w:r>
      <w:r>
        <w:rPr>
          <w:spacing w:val="-55"/>
        </w:rPr>
      </w:r>
      <w:r>
        <w:rPr/>
        <w:t>按扣除后的租金费用在租赁期内分配。</w:t>
      </w:r>
    </w:p>
    <w:p>
      <w:pPr>
        <w:pStyle w:val="BodyText"/>
        <w:spacing w:line="201" w:lineRule="exact"/>
        <w:ind w:left="216" w:right="0"/>
        <w:jc w:val="both"/>
        <w:rPr>
          <w:rFonts w:ascii="宋体" w:hAnsi="宋体" w:cs="宋体" w:eastAsia="宋体" w:hint="default"/>
        </w:rPr>
      </w:pPr>
      <w:r>
        <w:rPr>
          <w:rFonts w:ascii="宋体"/>
          <w:w w:val="100"/>
        </w:rPr>
        <w:t> </w:t>
      </w:r>
    </w:p>
    <w:p>
      <w:pPr>
        <w:pStyle w:val="Heading3"/>
        <w:spacing w:line="240" w:lineRule="auto"/>
        <w:ind w:left="216" w:right="0"/>
        <w:jc w:val="both"/>
        <w:rPr>
          <w:rFonts w:ascii="宋体" w:hAnsi="宋体" w:cs="宋体" w:eastAsia="宋体" w:hint="default"/>
          <w:b w:val="0"/>
          <w:bCs w:val="0"/>
        </w:rPr>
      </w:pPr>
      <w:r>
        <w:rPr>
          <w:rFonts w:ascii="宋体" w:hAnsi="宋体" w:cs="宋体" w:eastAsia="宋体" w:hint="default"/>
        </w:rPr>
        <w:t>(2).</w:t>
      </w:r>
      <w:r>
        <w:rPr/>
        <w:t>融资租赁的会计处理方法</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7"/>
        <w:ind w:left="216" w:right="0"/>
        <w:jc w:val="both"/>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343" w:lineRule="auto" w:before="142"/>
        <w:ind w:left="216" w:right="229"/>
        <w:jc w:val="both"/>
      </w:pPr>
      <w:r>
        <w:rPr>
          <w:spacing w:val="-4"/>
        </w:rPr>
        <w:t>（</w:t>
      </w:r>
      <w:r>
        <w:rPr>
          <w:rFonts w:ascii="Times New Roman" w:hAnsi="Times New Roman" w:cs="Times New Roman" w:eastAsia="Times New Roman" w:hint="default"/>
          <w:spacing w:val="-4"/>
        </w:rPr>
        <w:t>1</w:t>
      </w:r>
      <w:r>
        <w:rPr>
          <w:spacing w:val="-4"/>
        </w:rPr>
        <w:t>）融资租入资产：公司在承租开始日，将租赁资产公允价值与最低租赁付款额现值两者中较低</w:t>
      </w:r>
      <w:r>
        <w:rPr>
          <w:spacing w:val="-32"/>
        </w:rPr>
        <w:t> </w:t>
      </w:r>
      <w:r>
        <w:rPr>
          <w:spacing w:val="-32"/>
        </w:rPr>
      </w:r>
      <w:r>
        <w:rPr>
          <w:spacing w:val="-1"/>
        </w:rPr>
        <w:t>者作为租入资产的入账价值，将最低租赁付款额作为长期应付款的入账价值，其差额作为未确认</w:t>
      </w:r>
      <w:r>
        <w:rPr>
          <w:spacing w:val="-55"/>
        </w:rPr>
        <w:t> </w:t>
      </w:r>
      <w:r>
        <w:rPr>
          <w:spacing w:val="-55"/>
        </w:rPr>
      </w:r>
      <w:r>
        <w:rPr>
          <w:spacing w:val="-6"/>
        </w:rPr>
        <w:t>的融资费用。公司采用实际利率法对未确认的融资费用，在资产租赁期间内摊销，计入财务费用。</w:t>
      </w:r>
      <w:r>
        <w:rPr>
          <w:spacing w:val="-54"/>
        </w:rPr>
        <w:t> </w:t>
      </w:r>
      <w:r>
        <w:rPr>
          <w:spacing w:val="-54"/>
        </w:rPr>
      </w:r>
      <w:r>
        <w:rPr/>
        <w:t>公司发生的初始直接费用，计入租入资产价值。</w:t>
      </w:r>
    </w:p>
    <w:p>
      <w:pPr>
        <w:pStyle w:val="BodyText"/>
        <w:spacing w:line="205" w:lineRule="exact"/>
        <w:ind w:left="216" w:right="0"/>
        <w:jc w:val="both"/>
      </w:pPr>
      <w:r>
        <w:rPr>
          <w:spacing w:val="-4"/>
        </w:rPr>
        <w:t>（</w:t>
      </w:r>
      <w:r>
        <w:rPr>
          <w:rFonts w:ascii="宋体" w:hAnsi="宋体" w:cs="宋体" w:eastAsia="宋体" w:hint="default"/>
          <w:spacing w:val="-4"/>
        </w:rPr>
        <w:t>2</w:t>
      </w:r>
      <w:r>
        <w:rPr>
          <w:spacing w:val="-4"/>
        </w:rPr>
        <w:t>）融资租出资产：公司在租赁开始日，将应收融资租赁款，未担保余值之和与其现值的差额确</w:t>
      </w:r>
    </w:p>
    <w:p>
      <w:pPr>
        <w:pStyle w:val="BodyText"/>
        <w:spacing w:line="273" w:lineRule="auto" w:before="37"/>
        <w:ind w:left="216" w:right="0"/>
        <w:jc w:val="left"/>
        <w:rPr>
          <w:rFonts w:ascii="宋体" w:hAnsi="宋体" w:cs="宋体" w:eastAsia="宋体" w:hint="default"/>
        </w:rPr>
      </w:pPr>
      <w:r>
        <w:rPr>
          <w:spacing w:val="-2"/>
        </w:rPr>
        <w:t>认为未实现融资收益，在将来收到租金的各期间内确认为租赁收入。公司发生的与出租交易相关</w:t>
      </w:r>
      <w:r>
        <w:rPr>
          <w:spacing w:val="-25"/>
        </w:rPr>
        <w:t> </w:t>
      </w:r>
      <w:r>
        <w:rPr>
          <w:spacing w:val="-25"/>
        </w:rPr>
      </w:r>
      <w:r>
        <w:rPr/>
        <w:t>的初始直接费用，计入应收融资租赁款的初始计量中，并减少租赁期内确认的收益金额。</w:t>
      </w:r>
      <w:r>
        <w:rPr>
          <w:rFonts w:ascii="宋体" w:hAnsi="宋体" w:cs="宋体" w:eastAsia="宋体" w:hint="default"/>
        </w:rPr>
        <w:t> </w:t>
      </w:r>
    </w:p>
    <w:p>
      <w:pPr>
        <w:pStyle w:val="Heading3"/>
        <w:spacing w:line="324" w:lineRule="auto" w:before="7"/>
        <w:ind w:left="216"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(3)</w:t>
      </w:r>
      <w:r>
        <w:rPr>
          <w:rFonts w:ascii="宋体" w:hAnsi="宋体" w:cs="宋体" w:eastAsia="宋体" w:hint="default"/>
          <w:spacing w:val="5"/>
          <w:w w:val="99"/>
        </w:rPr>
        <w:t>.</w:t>
      </w:r>
      <w:r>
        <w:rPr>
          <w:w w:val="100"/>
        </w:rPr>
        <w:t>新租赁准则下租赁</w:t>
      </w:r>
      <w:r>
        <w:rPr>
          <w:spacing w:val="-3"/>
          <w:w w:val="100"/>
        </w:rPr>
        <w:t>的</w:t>
      </w:r>
      <w:r>
        <w:rPr>
          <w:w w:val="100"/>
        </w:rPr>
        <w:t>确</w:t>
      </w:r>
      <w:r>
        <w:rPr>
          <w:spacing w:val="-3"/>
          <w:w w:val="100"/>
        </w:rPr>
        <w:t>定</w:t>
      </w:r>
      <w:r>
        <w:rPr>
          <w:w w:val="100"/>
        </w:rPr>
        <w:t>方法及会计处理方</w:t>
      </w:r>
      <w:r>
        <w:rPr>
          <w:spacing w:val="-3"/>
          <w:w w:val="100"/>
        </w:rPr>
        <w:t>法</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23"/>
        <w:ind w:left="216" w:right="0"/>
        <w:jc w:val="both"/>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left="216" w:right="0"/>
        <w:jc w:val="both"/>
        <w:rPr>
          <w:rFonts w:ascii="宋体" w:hAnsi="宋体" w:cs="宋体" w:eastAsia="宋体" w:hint="default"/>
        </w:rPr>
      </w:pPr>
      <w:r>
        <w:rPr>
          <w:rFonts w:ascii="宋体"/>
          <w:w w:val="100"/>
        </w:rPr>
        <w:t> </w:t>
      </w:r>
    </w:p>
    <w:p>
      <w:pPr>
        <w:pStyle w:val="Heading3"/>
        <w:spacing w:line="240" w:lineRule="auto"/>
        <w:ind w:left="216" w:right="0"/>
        <w:jc w:val="both"/>
        <w:rPr>
          <w:b w:val="0"/>
          <w:bCs w:val="0"/>
        </w:rPr>
      </w:pPr>
      <w:r>
        <w:rPr>
          <w:rFonts w:ascii="宋体" w:hAnsi="宋体" w:cs="宋体" w:eastAsia="宋体" w:hint="default"/>
        </w:rPr>
        <w:t>40. </w:t>
      </w:r>
      <w:r>
        <w:rPr/>
        <w:t>其他重要的会计政策和会计估计</w:t>
      </w:r>
      <w:r>
        <w:rPr>
          <w:b w:val="0"/>
          <w:bCs w:val="0"/>
        </w:rPr>
      </w:r>
    </w:p>
    <w:p>
      <w:pPr>
        <w:pStyle w:val="BodyText"/>
        <w:spacing w:line="352" w:lineRule="auto" w:before="97"/>
        <w:ind w:left="216" w:right="226"/>
        <w:jc w:val="left"/>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1"/>
        </w:rPr>
        <w:t>因减少注册资本或用于员工股权激励等原因收购本公司股份的，按实际支付的金额作为库存股处</w:t>
      </w:r>
      <w:r>
        <w:rPr>
          <w:spacing w:val="-55"/>
        </w:rPr>
        <w:t> </w:t>
      </w:r>
      <w:r>
        <w:rPr>
          <w:spacing w:val="-55"/>
        </w:rPr>
      </w:r>
      <w:r>
        <w:rPr>
          <w:spacing w:val="-1"/>
        </w:rPr>
        <w:t>理，同时进行备查登记。如果将回购的股份注销，则将按注销股票面值和注销股数计算的股票面</w:t>
      </w:r>
      <w:r>
        <w:rPr>
          <w:spacing w:val="-55"/>
        </w:rPr>
        <w:t> </w:t>
      </w:r>
      <w:r>
        <w:rPr>
          <w:spacing w:val="-55"/>
        </w:rPr>
      </w:r>
      <w:r>
        <w:rPr>
          <w:spacing w:val="-6"/>
          <w:w w:val="100"/>
        </w:rPr>
        <w:t>值总额与实际回购所支付的金额之间的差额冲减资本公积，资本公积不足冲减的，冲减留存收益；</w:t>
      </w:r>
      <w:r>
        <w:rPr>
          <w:spacing w:val="-104"/>
          <w:w w:val="100"/>
        </w:rPr>
        <w:t> </w:t>
      </w:r>
      <w:r>
        <w:rPr>
          <w:spacing w:val="-104"/>
          <w:w w:val="100"/>
        </w:rPr>
      </w:r>
      <w:r>
        <w:rPr>
          <w:spacing w:val="-1"/>
        </w:rPr>
        <w:t>如果将回购的股份用于员工股权激励的属于以权益结算的股份支付，于员工行权购买本公司股份</w:t>
      </w:r>
      <w:r>
        <w:rPr>
          <w:spacing w:val="-55"/>
        </w:rPr>
        <w:t> </w:t>
      </w:r>
      <w:r>
        <w:rPr>
          <w:spacing w:val="-55"/>
        </w:rPr>
      </w:r>
      <w:r>
        <w:rPr>
          <w:spacing w:val="-6"/>
        </w:rPr>
        <w:t>收到价款时，转销交付员工的库存股成本和等待期内资本公积（其他资本公积）累计金额，同时，</w:t>
      </w:r>
      <w:r>
        <w:rPr>
          <w:spacing w:val="-52"/>
        </w:rPr>
        <w:t> </w:t>
      </w:r>
      <w:r>
        <w:rPr>
          <w:spacing w:val="-52"/>
        </w:rPr>
      </w:r>
      <w:r>
        <w:rPr>
          <w:spacing w:val="-7"/>
          <w:w w:val="100"/>
        </w:rPr>
        <w:t>按照其差额调整资本公积（股本溢价）。</w:t>
      </w:r>
    </w:p>
    <w:p>
      <w:pPr>
        <w:pStyle w:val="BodyText"/>
        <w:spacing w:line="196" w:lineRule="exact"/>
        <w:ind w:left="216" w:right="0"/>
        <w:jc w:val="both"/>
        <w:rPr>
          <w:rFonts w:ascii="宋体" w:hAnsi="宋体" w:cs="宋体" w:eastAsia="宋体" w:hint="default"/>
        </w:rPr>
      </w:pPr>
      <w:r>
        <w:rPr>
          <w:rFonts w:ascii="宋体"/>
          <w:w w:val="100"/>
        </w:rPr>
        <w:t> </w:t>
      </w:r>
    </w:p>
    <w:p>
      <w:pPr>
        <w:pStyle w:val="Heading3"/>
        <w:spacing w:line="324" w:lineRule="auto"/>
        <w:ind w:left="216" w:right="5676"/>
        <w:jc w:val="left"/>
        <w:rPr>
          <w:rFonts w:ascii="宋体" w:hAnsi="宋体" w:cs="宋体" w:eastAsia="宋体" w:hint="default"/>
          <w:b w:val="0"/>
          <w:bCs w:val="0"/>
        </w:rPr>
      </w:pPr>
      <w:r>
        <w:rPr>
          <w:rFonts w:ascii="宋体" w:hAnsi="宋体" w:cs="宋体" w:eastAsia="宋体" w:hint="default"/>
        </w:rPr>
        <w:t>41.</w:t>
      </w:r>
      <w:r>
        <w:rPr>
          <w:rFonts w:ascii="宋体" w:hAnsi="宋体" w:cs="宋体" w:eastAsia="宋体" w:hint="default"/>
          <w:spacing w:val="-1"/>
        </w:rPr>
        <w:t> </w:t>
      </w:r>
      <w:r>
        <w:rPr/>
        <w:t>重要会计政策和会计估计的变更</w:t>
      </w:r>
      <w:r>
        <w:rPr>
          <w:w w:val="100"/>
        </w:rPr>
        <w:t> </w:t>
      </w:r>
      <w:r>
        <w:rPr>
          <w:rFonts w:ascii="宋体" w:hAnsi="宋体" w:cs="宋体" w:eastAsia="宋体" w:hint="default"/>
        </w:rPr>
        <w:t>(1).</w:t>
      </w:r>
      <w:r>
        <w:rPr/>
        <w:t>重要会计政策变更</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23"/>
        <w:ind w:left="216" w:right="0"/>
        <w:jc w:val="both"/>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10"/>
        <w:rPr>
          <w:rFonts w:ascii="宋体" w:hAnsi="宋体" w:cs="宋体" w:eastAsia="宋体" w:hint="default"/>
          <w:sz w:val="3"/>
          <w:szCs w:val="3"/>
        </w:rPr>
      </w:pPr>
    </w:p>
    <w:tbl>
      <w:tblPr>
        <w:tblW w:w="0" w:type="auto"/>
        <w:jc w:val="left"/>
        <w:tblInd w:w="103" w:type="dxa"/>
        <w:tblLayout w:type="fixed"/>
        <w:tblCellMar>
          <w:top w:w="0" w:type="dxa"/>
          <w:left w:w="0" w:type="dxa"/>
          <w:bottom w:w="0" w:type="dxa"/>
          <w:right w:w="0" w:type="dxa"/>
        </w:tblCellMar>
        <w:tblLook w:val="01E0"/>
      </w:tblPr>
      <w:tblGrid>
        <w:gridCol w:w="5072"/>
        <w:gridCol w:w="1416"/>
        <w:gridCol w:w="2561"/>
      </w:tblGrid>
      <w:tr>
        <w:trPr>
          <w:trHeight w:val="634" w:hRule="exact"/>
        </w:trPr>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270" w:right="0"/>
              <w:jc w:val="left"/>
              <w:rPr>
                <w:rFonts w:ascii="宋体" w:hAnsi="宋体" w:cs="宋体" w:eastAsia="宋体" w:hint="default"/>
                <w:sz w:val="21"/>
                <w:szCs w:val="21"/>
              </w:rPr>
            </w:pPr>
            <w:r>
              <w:rPr>
                <w:rFonts w:ascii="宋体" w:hAnsi="宋体" w:cs="宋体" w:eastAsia="宋体" w:hint="default"/>
                <w:sz w:val="21"/>
                <w:szCs w:val="21"/>
              </w:rPr>
              <w:t>会计政策变更的内容和原因</w:t>
            </w:r>
            <w:r>
              <w:rPr>
                <w:rFonts w:ascii="宋体" w:hAnsi="宋体" w:cs="宋体" w:eastAsia="宋体" w:hint="default"/>
                <w:sz w:val="21"/>
                <w:szCs w:val="21"/>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83" w:right="0"/>
              <w:jc w:val="left"/>
              <w:rPr>
                <w:rFonts w:ascii="宋体" w:hAnsi="宋体" w:cs="宋体" w:eastAsia="宋体" w:hint="default"/>
                <w:sz w:val="21"/>
                <w:szCs w:val="21"/>
              </w:rPr>
            </w:pPr>
            <w:r>
              <w:rPr>
                <w:rFonts w:ascii="宋体" w:hAnsi="宋体" w:cs="宋体" w:eastAsia="宋体" w:hint="default"/>
                <w:sz w:val="21"/>
                <w:szCs w:val="21"/>
              </w:rPr>
              <w:t>审批程序</w:t>
            </w:r>
            <w:r>
              <w:rPr>
                <w:rFonts w:ascii="宋体" w:hAnsi="宋体" w:cs="宋体" w:eastAsia="宋体" w:hint="default"/>
                <w:sz w:val="21"/>
                <w:szCs w:val="21"/>
              </w:rPr>
              <w:t> </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487" w:right="171" w:hanging="317"/>
              <w:jc w:val="left"/>
              <w:rPr>
                <w:rFonts w:ascii="宋体" w:hAnsi="宋体" w:cs="宋体" w:eastAsia="宋体" w:hint="default"/>
                <w:sz w:val="21"/>
                <w:szCs w:val="21"/>
              </w:rPr>
            </w:pPr>
            <w:r>
              <w:rPr>
                <w:rFonts w:ascii="宋体" w:hAnsi="宋体" w:cs="宋体" w:eastAsia="宋体" w:hint="default"/>
                <w:spacing w:val="-2"/>
                <w:sz w:val="21"/>
                <w:szCs w:val="21"/>
              </w:rPr>
              <w:t>备注</w:t>
            </w:r>
            <w:r>
              <w:rPr>
                <w:rFonts w:ascii="宋体" w:hAnsi="宋体" w:cs="宋体" w:eastAsia="宋体" w:hint="default"/>
                <w:spacing w:val="-2"/>
                <w:sz w:val="21"/>
                <w:szCs w:val="21"/>
              </w:rPr>
              <w:t>(</w:t>
            </w:r>
            <w:r>
              <w:rPr>
                <w:rFonts w:ascii="宋体" w:hAnsi="宋体" w:cs="宋体" w:eastAsia="宋体" w:hint="default"/>
                <w:spacing w:val="-2"/>
                <w:sz w:val="21"/>
                <w:szCs w:val="21"/>
              </w:rPr>
              <w:t>受重要影响的报表</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项目名称和金额</w:t>
            </w:r>
            <w:r>
              <w:rPr>
                <w:rFonts w:ascii="宋体" w:hAnsi="宋体" w:cs="宋体" w:eastAsia="宋体" w:hint="default"/>
                <w:sz w:val="21"/>
                <w:szCs w:val="21"/>
              </w:rPr>
              <w:t>) </w:t>
            </w:r>
          </w:p>
        </w:tc>
      </w:tr>
      <w:tr>
        <w:trPr>
          <w:trHeight w:val="1258" w:hRule="exact"/>
        </w:trPr>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财政部分别于</w:t>
            </w:r>
            <w:r>
              <w:rPr>
                <w:rFonts w:ascii="宋体" w:hAnsi="宋体" w:cs="宋体" w:eastAsia="宋体" w:hint="default"/>
                <w:spacing w:val="-54"/>
                <w:sz w:val="18"/>
                <w:szCs w:val="18"/>
              </w:rPr>
              <w:t> </w:t>
            </w:r>
            <w:r>
              <w:rPr>
                <w:rFonts w:ascii="宋体" w:hAnsi="宋体" w:cs="宋体" w:eastAsia="宋体" w:hint="default"/>
                <w:spacing w:val="1"/>
                <w:sz w:val="18"/>
                <w:szCs w:val="18"/>
              </w:rPr>
              <w:t>201</w:t>
            </w:r>
            <w:r>
              <w:rPr>
                <w:rFonts w:ascii="宋体" w:hAnsi="宋体" w:cs="宋体" w:eastAsia="宋体" w:hint="default"/>
                <w:sz w:val="18"/>
                <w:szCs w:val="18"/>
              </w:rPr>
              <w:t>9</w:t>
            </w:r>
            <w:r>
              <w:rPr>
                <w:rFonts w:ascii="宋体" w:hAnsi="宋体" w:cs="宋体" w:eastAsia="宋体" w:hint="default"/>
                <w:spacing w:val="-53"/>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宋体" w:hAnsi="宋体" w:cs="宋体" w:eastAsia="宋体" w:hint="default"/>
                <w:sz w:val="18"/>
                <w:szCs w:val="18"/>
              </w:rPr>
              <w:t>4</w:t>
            </w:r>
            <w:r>
              <w:rPr>
                <w:rFonts w:ascii="宋体" w:hAnsi="宋体" w:cs="宋体" w:eastAsia="宋体" w:hint="default"/>
                <w:spacing w:val="-53"/>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宋体" w:hAnsi="宋体" w:cs="宋体" w:eastAsia="宋体" w:hint="default"/>
                <w:spacing w:val="1"/>
                <w:sz w:val="18"/>
                <w:szCs w:val="18"/>
              </w:rPr>
              <w:t>3</w:t>
            </w:r>
            <w:r>
              <w:rPr>
                <w:rFonts w:ascii="宋体" w:hAnsi="宋体" w:cs="宋体" w:eastAsia="宋体" w:hint="default"/>
                <w:sz w:val="18"/>
                <w:szCs w:val="18"/>
              </w:rPr>
              <w:t>0</w:t>
            </w:r>
            <w:r>
              <w:rPr>
                <w:rFonts w:ascii="宋体" w:hAnsi="宋体" w:cs="宋体" w:eastAsia="宋体" w:hint="default"/>
                <w:spacing w:val="-56"/>
                <w:sz w:val="18"/>
                <w:szCs w:val="18"/>
              </w:rPr>
              <w:t> </w:t>
            </w:r>
            <w:r>
              <w:rPr>
                <w:rFonts w:ascii="宋体" w:hAnsi="宋体" w:cs="宋体" w:eastAsia="宋体" w:hint="default"/>
                <w:sz w:val="18"/>
                <w:szCs w:val="18"/>
              </w:rPr>
              <w:t>日和</w:t>
            </w:r>
            <w:r>
              <w:rPr>
                <w:rFonts w:ascii="宋体" w:hAnsi="宋体" w:cs="宋体" w:eastAsia="宋体" w:hint="default"/>
                <w:spacing w:val="-54"/>
                <w:sz w:val="18"/>
                <w:szCs w:val="18"/>
              </w:rPr>
              <w:t> </w:t>
            </w:r>
            <w:r>
              <w:rPr>
                <w:rFonts w:ascii="宋体" w:hAnsi="宋体" w:cs="宋体" w:eastAsia="宋体" w:hint="default"/>
                <w:spacing w:val="1"/>
                <w:sz w:val="18"/>
                <w:szCs w:val="18"/>
              </w:rPr>
              <w:t>201</w:t>
            </w:r>
            <w:r>
              <w:rPr>
                <w:rFonts w:ascii="宋体" w:hAnsi="宋体" w:cs="宋体" w:eastAsia="宋体" w:hint="default"/>
                <w:sz w:val="18"/>
                <w:szCs w:val="18"/>
              </w:rPr>
              <w:t>9</w:t>
            </w:r>
            <w:r>
              <w:rPr>
                <w:rFonts w:ascii="宋体" w:hAnsi="宋体" w:cs="宋体" w:eastAsia="宋体" w:hint="default"/>
                <w:spacing w:val="-53"/>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宋体" w:hAnsi="宋体" w:cs="宋体" w:eastAsia="宋体" w:hint="default"/>
                <w:sz w:val="18"/>
                <w:szCs w:val="18"/>
              </w:rPr>
              <w:t>9</w:t>
            </w:r>
            <w:r>
              <w:rPr>
                <w:rFonts w:ascii="宋体" w:hAnsi="宋体" w:cs="宋体" w:eastAsia="宋体" w:hint="default"/>
                <w:spacing w:val="-53"/>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宋体" w:hAnsi="宋体" w:cs="宋体" w:eastAsia="宋体" w:hint="default"/>
                <w:spacing w:val="1"/>
                <w:sz w:val="18"/>
                <w:szCs w:val="18"/>
              </w:rPr>
              <w:t>1</w:t>
            </w:r>
            <w:r>
              <w:rPr>
                <w:rFonts w:ascii="宋体" w:hAnsi="宋体" w:cs="宋体" w:eastAsia="宋体" w:hint="default"/>
                <w:sz w:val="18"/>
                <w:szCs w:val="18"/>
              </w:rPr>
              <w:t>9</w:t>
            </w:r>
            <w:r>
              <w:rPr>
                <w:rFonts w:ascii="宋体" w:hAnsi="宋体" w:cs="宋体" w:eastAsia="宋体" w:hint="default"/>
                <w:spacing w:val="-53"/>
                <w:sz w:val="18"/>
                <w:szCs w:val="18"/>
              </w:rPr>
              <w:t> </w:t>
            </w:r>
            <w:r>
              <w:rPr>
                <w:rFonts w:ascii="宋体" w:hAnsi="宋体" w:cs="宋体" w:eastAsia="宋体" w:hint="default"/>
                <w:sz w:val="18"/>
                <w:szCs w:val="18"/>
              </w:rPr>
              <w:t>日发布</w:t>
            </w:r>
            <w:r>
              <w:rPr>
                <w:rFonts w:ascii="宋体" w:hAnsi="宋体" w:cs="宋体" w:eastAsia="宋体" w:hint="default"/>
                <w:spacing w:val="-92"/>
                <w:sz w:val="18"/>
                <w:szCs w:val="18"/>
              </w:rPr>
              <w:t>了</w:t>
            </w:r>
            <w:r>
              <w:rPr>
                <w:rFonts w:ascii="宋体" w:hAnsi="宋体" w:cs="宋体" w:eastAsia="宋体" w:hint="default"/>
                <w:sz w:val="18"/>
                <w:szCs w:val="18"/>
              </w:rPr>
              <w:t>《关</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于修订印发</w:t>
            </w:r>
            <w:r>
              <w:rPr>
                <w:rFonts w:ascii="宋体" w:hAnsi="宋体" w:cs="宋体" w:eastAsia="宋体" w:hint="default"/>
                <w:spacing w:val="-46"/>
                <w:sz w:val="18"/>
                <w:szCs w:val="18"/>
              </w:rPr>
              <w:t> </w:t>
            </w:r>
            <w:r>
              <w:rPr>
                <w:rFonts w:ascii="宋体" w:hAnsi="宋体" w:cs="宋体" w:eastAsia="宋体" w:hint="default"/>
                <w:sz w:val="18"/>
                <w:szCs w:val="18"/>
              </w:rPr>
              <w:t>2019</w:t>
            </w:r>
            <w:r>
              <w:rPr>
                <w:rFonts w:ascii="宋体" w:hAnsi="宋体" w:cs="宋体" w:eastAsia="宋体" w:hint="default"/>
                <w:spacing w:val="-45"/>
                <w:sz w:val="18"/>
                <w:szCs w:val="18"/>
              </w:rPr>
              <w:t> </w:t>
            </w:r>
            <w:r>
              <w:rPr>
                <w:rFonts w:ascii="宋体" w:hAnsi="宋体" w:cs="宋体" w:eastAsia="宋体" w:hint="default"/>
                <w:sz w:val="18"/>
                <w:szCs w:val="18"/>
              </w:rPr>
              <w:t>年度一般企业财务报表格式的通知》（财会</w:t>
            </w:r>
          </w:p>
          <w:p>
            <w:pPr>
              <w:pStyle w:val="TableParagraph"/>
              <w:spacing w:line="316" w:lineRule="auto" w:before="76"/>
              <w:ind w:left="103" w:right="7"/>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宋体" w:hAnsi="宋体" w:cs="宋体" w:eastAsia="宋体" w:hint="default"/>
                <w:spacing w:val="-4"/>
                <w:sz w:val="18"/>
                <w:szCs w:val="18"/>
              </w:rPr>
              <w:t>2019</w:t>
            </w:r>
            <w:r>
              <w:rPr>
                <w:rFonts w:ascii="宋体" w:hAnsi="宋体" w:cs="宋体" w:eastAsia="宋体" w:hint="default"/>
                <w:spacing w:val="-4"/>
                <w:sz w:val="18"/>
                <w:szCs w:val="18"/>
              </w:rPr>
              <w:t>）</w:t>
            </w:r>
            <w:r>
              <w:rPr>
                <w:rFonts w:ascii="宋体" w:hAnsi="宋体" w:cs="宋体" w:eastAsia="宋体" w:hint="default"/>
                <w:spacing w:val="-4"/>
                <w:sz w:val="18"/>
                <w:szCs w:val="18"/>
              </w:rPr>
              <w:t>6</w:t>
            </w:r>
            <w:r>
              <w:rPr>
                <w:rFonts w:ascii="宋体" w:hAnsi="宋体" w:cs="宋体" w:eastAsia="宋体" w:hint="default"/>
                <w:spacing w:val="-35"/>
                <w:sz w:val="18"/>
                <w:szCs w:val="18"/>
              </w:rPr>
              <w:t> </w:t>
            </w:r>
            <w:r>
              <w:rPr>
                <w:rFonts w:ascii="宋体" w:hAnsi="宋体" w:cs="宋体" w:eastAsia="宋体" w:hint="default"/>
                <w:spacing w:val="-4"/>
                <w:sz w:val="18"/>
                <w:szCs w:val="18"/>
              </w:rPr>
              <w:t>号）和《关于修订印发合并财务报表格式（</w:t>
            </w:r>
            <w:r>
              <w:rPr>
                <w:rFonts w:ascii="宋体" w:hAnsi="宋体" w:cs="宋体" w:eastAsia="宋体" w:hint="default"/>
                <w:spacing w:val="-4"/>
                <w:sz w:val="18"/>
                <w:szCs w:val="18"/>
              </w:rPr>
              <w:t>2019</w:t>
            </w:r>
            <w:r>
              <w:rPr>
                <w:rFonts w:ascii="宋体" w:hAnsi="宋体" w:cs="宋体" w:eastAsia="宋体" w:hint="default"/>
                <w:spacing w:val="-34"/>
                <w:sz w:val="18"/>
                <w:szCs w:val="18"/>
              </w:rPr>
              <w:t> </w:t>
            </w:r>
            <w:r>
              <w:rPr>
                <w:rFonts w:ascii="宋体" w:hAnsi="宋体" w:cs="宋体" w:eastAsia="宋体" w:hint="default"/>
                <w:sz w:val="18"/>
                <w:szCs w:val="18"/>
              </w:rPr>
              <w:t>版）</w:t>
            </w:r>
            <w:r>
              <w:rPr>
                <w:rFonts w:ascii="宋体" w:hAnsi="宋体" w:cs="宋体" w:eastAsia="宋体" w:hint="default"/>
                <w:spacing w:val="-87"/>
                <w:sz w:val="18"/>
                <w:szCs w:val="18"/>
              </w:rPr>
              <w:t> </w:t>
            </w:r>
            <w:r>
              <w:rPr>
                <w:rFonts w:ascii="宋体" w:hAnsi="宋体" w:cs="宋体" w:eastAsia="宋体" w:hint="default"/>
                <w:spacing w:val="-3"/>
                <w:sz w:val="18"/>
                <w:szCs w:val="18"/>
              </w:rPr>
              <w:t>的通知》（财会（</w:t>
            </w:r>
            <w:r>
              <w:rPr>
                <w:rFonts w:ascii="宋体" w:hAnsi="宋体" w:cs="宋体" w:eastAsia="宋体" w:hint="default"/>
                <w:spacing w:val="-3"/>
                <w:sz w:val="18"/>
                <w:szCs w:val="18"/>
              </w:rPr>
              <w:t>2019</w:t>
            </w:r>
            <w:r>
              <w:rPr>
                <w:rFonts w:ascii="宋体" w:hAnsi="宋体" w:cs="宋体" w:eastAsia="宋体" w:hint="default"/>
                <w:spacing w:val="-3"/>
                <w:sz w:val="18"/>
                <w:szCs w:val="18"/>
              </w:rPr>
              <w:t>）</w:t>
            </w:r>
            <w:r>
              <w:rPr>
                <w:rFonts w:ascii="宋体" w:hAnsi="宋体" w:cs="宋体" w:eastAsia="宋体" w:hint="default"/>
                <w:spacing w:val="-3"/>
                <w:sz w:val="18"/>
                <w:szCs w:val="18"/>
              </w:rPr>
              <w:t>16</w:t>
            </w:r>
            <w:r>
              <w:rPr>
                <w:rFonts w:ascii="宋体" w:hAnsi="宋体" w:cs="宋体" w:eastAsia="宋体" w:hint="default"/>
                <w:spacing w:val="-57"/>
                <w:sz w:val="18"/>
                <w:szCs w:val="18"/>
              </w:rPr>
              <w:t> </w:t>
            </w:r>
            <w:r>
              <w:rPr>
                <w:rFonts w:ascii="宋体" w:hAnsi="宋体" w:cs="宋体" w:eastAsia="宋体" w:hint="default"/>
                <w:sz w:val="18"/>
                <w:szCs w:val="18"/>
              </w:rPr>
              <w:t>号），对一般企业财务报表格式进</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31"/>
              <w:jc w:val="left"/>
              <w:rPr>
                <w:rFonts w:ascii="宋体" w:hAnsi="宋体" w:cs="宋体" w:eastAsia="宋体" w:hint="default"/>
                <w:sz w:val="18"/>
                <w:szCs w:val="18"/>
              </w:rPr>
            </w:pPr>
            <w:r>
              <w:rPr>
                <w:rFonts w:ascii="宋体" w:hAnsi="宋体" w:cs="宋体" w:eastAsia="宋体" w:hint="default"/>
                <w:sz w:val="18"/>
                <w:szCs w:val="18"/>
              </w:rPr>
              <w:t>第四届董事会 第十二次会议</w:t>
            </w:r>
            <w:r>
              <w:rPr>
                <w:rFonts w:ascii="宋体" w:hAnsi="宋体" w:cs="宋体" w:eastAsia="宋体" w:hint="default"/>
                <w:sz w:val="18"/>
                <w:szCs w:val="18"/>
              </w:rPr>
              <w:t> </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0" w:right="0"/>
              <w:jc w:val="left"/>
              <w:rPr>
                <w:rFonts w:ascii="宋体" w:hAnsi="宋体" w:cs="宋体" w:eastAsia="宋体" w:hint="default"/>
                <w:sz w:val="21"/>
                <w:szCs w:val="21"/>
              </w:rPr>
            </w:pPr>
            <w:r>
              <w:rPr>
                <w:rFonts w:ascii="宋体" w:hAnsi="宋体" w:cs="宋体" w:eastAsia="宋体" w:hint="default"/>
                <w:sz w:val="18"/>
                <w:szCs w:val="18"/>
              </w:rPr>
              <w:t>详见本附注</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w:t>
            </w:r>
            <w:r>
              <w:rPr>
                <w:rFonts w:ascii="宋体" w:hAnsi="宋体" w:cs="宋体" w:eastAsia="宋体" w:hint="default"/>
                <w:w w:val="100"/>
                <w:sz w:val="21"/>
                <w:szCs w:val="21"/>
              </w:rPr>
              <w:t> </w:t>
            </w:r>
          </w:p>
        </w:tc>
      </w:tr>
    </w:tbl>
    <w:p>
      <w:pPr>
        <w:spacing w:after="0" w:line="240" w:lineRule="auto"/>
        <w:jc w:val="left"/>
        <w:rPr>
          <w:rFonts w:ascii="宋体" w:hAnsi="宋体" w:cs="宋体" w:eastAsia="宋体" w:hint="default"/>
          <w:sz w:val="21"/>
          <w:szCs w:val="21"/>
        </w:rPr>
        <w:sectPr>
          <w:pgSz w:w="11910" w:h="16840"/>
          <w:pgMar w:header="748" w:footer="974" w:top="1140" w:bottom="1160" w:left="1060" w:right="1560"/>
        </w:sectPr>
      </w:pPr>
    </w:p>
    <w:p>
      <w:pPr>
        <w:spacing w:line="240" w:lineRule="auto" w:before="11"/>
        <w:rPr>
          <w:rFonts w:ascii="宋体" w:hAnsi="宋体" w:cs="宋体" w:eastAsia="宋体" w:hint="default"/>
          <w:sz w:val="22"/>
          <w:szCs w:val="22"/>
        </w:rPr>
      </w:pPr>
    </w:p>
    <w:tbl>
      <w:tblPr>
        <w:tblW w:w="0" w:type="auto"/>
        <w:jc w:val="left"/>
        <w:tblInd w:w="103" w:type="dxa"/>
        <w:tblLayout w:type="fixed"/>
        <w:tblCellMar>
          <w:top w:w="0" w:type="dxa"/>
          <w:left w:w="0" w:type="dxa"/>
          <w:bottom w:w="0" w:type="dxa"/>
          <w:right w:w="0" w:type="dxa"/>
        </w:tblCellMar>
        <w:tblLook w:val="01E0"/>
      </w:tblPr>
      <w:tblGrid>
        <w:gridCol w:w="5072"/>
        <w:gridCol w:w="1416"/>
        <w:gridCol w:w="2561"/>
      </w:tblGrid>
      <w:tr>
        <w:trPr>
          <w:trHeight w:val="322" w:hRule="exact"/>
        </w:trPr>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21"/>
                <w:szCs w:val="21"/>
              </w:rPr>
            </w:pPr>
            <w:r>
              <w:rPr>
                <w:rFonts w:ascii="宋体" w:hAnsi="宋体" w:cs="宋体" w:eastAsia="宋体" w:hint="default"/>
                <w:sz w:val="18"/>
                <w:szCs w:val="18"/>
              </w:rPr>
              <w:t>行了修订。</w:t>
            </w:r>
            <w:r>
              <w:rPr>
                <w:rFonts w:ascii="宋体" w:hAnsi="宋体" w:cs="宋体" w:eastAsia="宋体" w:hint="default"/>
                <w:w w:val="100"/>
                <w:sz w:val="21"/>
                <w:szCs w:val="21"/>
              </w:rPr>
              <w:t> </w:t>
            </w:r>
          </w:p>
        </w:tc>
        <w:tc>
          <w:tcPr>
            <w:tcW w:w="1416" w:type="dxa"/>
            <w:tcBorders>
              <w:top w:val="single" w:sz="4" w:space="0" w:color="000000"/>
              <w:left w:val="single" w:sz="4" w:space="0" w:color="000000"/>
              <w:bottom w:val="single" w:sz="4" w:space="0" w:color="000000"/>
              <w:right w:val="single" w:sz="4" w:space="0" w:color="000000"/>
            </w:tcBorders>
          </w:tcPr>
          <w:p>
            <w:pPr/>
          </w:p>
        </w:tc>
        <w:tc>
          <w:tcPr>
            <w:tcW w:w="2561" w:type="dxa"/>
            <w:tcBorders>
              <w:top w:val="single" w:sz="4" w:space="0" w:color="000000"/>
              <w:left w:val="single" w:sz="4" w:space="0" w:color="000000"/>
              <w:bottom w:val="single" w:sz="4" w:space="0" w:color="000000"/>
              <w:right w:val="single" w:sz="4" w:space="0" w:color="000000"/>
            </w:tcBorders>
          </w:tcPr>
          <w:p>
            <w:pPr/>
          </w:p>
        </w:tc>
      </w:tr>
      <w:tr>
        <w:trPr>
          <w:trHeight w:val="1258" w:hRule="exact"/>
        </w:trPr>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财政部于</w:t>
            </w:r>
            <w:r>
              <w:rPr>
                <w:rFonts w:ascii="宋体" w:hAnsi="宋体" w:cs="宋体" w:eastAsia="宋体" w:hint="default"/>
                <w:spacing w:val="-47"/>
                <w:sz w:val="18"/>
                <w:szCs w:val="18"/>
              </w:rPr>
              <w:t> </w:t>
            </w: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年度修订了《企业会计准则第</w:t>
            </w:r>
            <w:r>
              <w:rPr>
                <w:rFonts w:ascii="宋体" w:hAnsi="宋体" w:cs="宋体" w:eastAsia="宋体" w:hint="default"/>
                <w:spacing w:val="-47"/>
                <w:sz w:val="18"/>
                <w:szCs w:val="18"/>
              </w:rPr>
              <w:t> </w:t>
            </w:r>
            <w:r>
              <w:rPr>
                <w:rFonts w:ascii="宋体" w:hAnsi="宋体" w:cs="宋体" w:eastAsia="宋体" w:hint="default"/>
                <w:sz w:val="18"/>
                <w:szCs w:val="18"/>
              </w:rPr>
              <w:t>22</w:t>
            </w:r>
            <w:r>
              <w:rPr>
                <w:rFonts w:ascii="宋体" w:hAnsi="宋体" w:cs="宋体" w:eastAsia="宋体" w:hint="default"/>
                <w:spacing w:val="-47"/>
                <w:sz w:val="18"/>
                <w:szCs w:val="18"/>
              </w:rPr>
              <w:t> </w:t>
            </w:r>
            <w:r>
              <w:rPr>
                <w:rFonts w:ascii="宋体" w:hAnsi="宋体" w:cs="宋体" w:eastAsia="宋体" w:hint="default"/>
                <w:sz w:val="18"/>
                <w:szCs w:val="18"/>
              </w:rPr>
              <w:t>号——金融工</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具确认和计量</w:t>
            </w:r>
            <w:r>
              <w:rPr>
                <w:rFonts w:ascii="宋体" w:hAnsi="宋体" w:cs="宋体" w:eastAsia="宋体" w:hint="default"/>
                <w:spacing w:val="-46"/>
                <w:sz w:val="18"/>
                <w:szCs w:val="18"/>
              </w:rPr>
              <w:t>》</w:t>
            </w:r>
            <w:r>
              <w:rPr>
                <w:rFonts w:ascii="宋体" w:hAnsi="宋体" w:cs="宋体" w:eastAsia="宋体" w:hint="default"/>
                <w:spacing w:val="-92"/>
                <w:sz w:val="18"/>
                <w:szCs w:val="18"/>
              </w:rPr>
              <w:t>、</w:t>
            </w:r>
            <w:r>
              <w:rPr>
                <w:rFonts w:ascii="宋体" w:hAnsi="宋体" w:cs="宋体" w:eastAsia="宋体" w:hint="default"/>
                <w:sz w:val="18"/>
                <w:szCs w:val="18"/>
              </w:rPr>
              <w:t>《企业会计</w:t>
            </w:r>
            <w:r>
              <w:rPr>
                <w:rFonts w:ascii="宋体" w:hAnsi="宋体" w:cs="宋体" w:eastAsia="宋体" w:hint="default"/>
                <w:spacing w:val="-3"/>
                <w:sz w:val="18"/>
                <w:szCs w:val="18"/>
              </w:rPr>
              <w:t>准</w:t>
            </w:r>
            <w:r>
              <w:rPr>
                <w:rFonts w:ascii="宋体" w:hAnsi="宋体" w:cs="宋体" w:eastAsia="宋体" w:hint="default"/>
                <w:sz w:val="18"/>
                <w:szCs w:val="18"/>
              </w:rPr>
              <w:t>则第</w:t>
            </w:r>
            <w:r>
              <w:rPr>
                <w:rFonts w:ascii="宋体" w:hAnsi="宋体" w:cs="宋体" w:eastAsia="宋体" w:hint="default"/>
                <w:spacing w:val="-44"/>
                <w:sz w:val="18"/>
                <w:szCs w:val="18"/>
              </w:rPr>
              <w:t> </w:t>
            </w:r>
            <w:r>
              <w:rPr>
                <w:rFonts w:ascii="宋体" w:hAnsi="宋体" w:cs="宋体" w:eastAsia="宋体" w:hint="default"/>
                <w:spacing w:val="1"/>
                <w:sz w:val="18"/>
                <w:szCs w:val="18"/>
              </w:rPr>
              <w:t>2</w:t>
            </w: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号——金融资产转</w:t>
            </w:r>
            <w:r>
              <w:rPr>
                <w:rFonts w:ascii="宋体" w:hAnsi="宋体" w:cs="宋体" w:eastAsia="宋体" w:hint="default"/>
                <w:spacing w:val="-3"/>
                <w:sz w:val="18"/>
                <w:szCs w:val="18"/>
              </w:rPr>
              <w:t>移</w:t>
            </w:r>
            <w:r>
              <w:rPr>
                <w:rFonts w:ascii="宋体" w:hAnsi="宋体" w:cs="宋体" w:eastAsia="宋体" w:hint="default"/>
                <w:spacing w:val="-49"/>
                <w:sz w:val="18"/>
                <w:szCs w:val="18"/>
              </w:rPr>
              <w:t>》</w:t>
            </w:r>
            <w:r>
              <w:rPr>
                <w:rFonts w:ascii="宋体" w:hAnsi="宋体" w:cs="宋体" w:eastAsia="宋体" w:hint="default"/>
                <w:sz w:val="18"/>
                <w:szCs w:val="18"/>
              </w:rPr>
              <w:t>、</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《企业会计准则第</w:t>
            </w:r>
            <w:r>
              <w:rPr>
                <w:rFonts w:ascii="宋体" w:hAnsi="宋体" w:cs="宋体" w:eastAsia="宋体" w:hint="default"/>
                <w:spacing w:val="-45"/>
                <w:sz w:val="18"/>
                <w:szCs w:val="18"/>
              </w:rPr>
              <w:t> </w:t>
            </w:r>
            <w:r>
              <w:rPr>
                <w:rFonts w:ascii="宋体" w:hAnsi="宋体" w:cs="宋体" w:eastAsia="宋体" w:hint="default"/>
                <w:sz w:val="18"/>
                <w:szCs w:val="18"/>
              </w:rPr>
              <w:t>24</w:t>
            </w:r>
            <w:r>
              <w:rPr>
                <w:rFonts w:ascii="宋体" w:hAnsi="宋体" w:cs="宋体" w:eastAsia="宋体" w:hint="default"/>
                <w:spacing w:val="-45"/>
                <w:sz w:val="18"/>
                <w:szCs w:val="18"/>
              </w:rPr>
              <w:t> </w:t>
            </w:r>
            <w:r>
              <w:rPr>
                <w:rFonts w:ascii="宋体" w:hAnsi="宋体" w:cs="宋体" w:eastAsia="宋体" w:hint="default"/>
                <w:sz w:val="18"/>
                <w:szCs w:val="18"/>
              </w:rPr>
              <w:t>号——套期会计》和《企业会计准则第</w:t>
            </w:r>
          </w:p>
          <w:p>
            <w:pPr>
              <w:pStyle w:val="TableParagraph"/>
              <w:spacing w:line="240" w:lineRule="auto" w:before="76"/>
              <w:ind w:left="103" w:right="0"/>
              <w:jc w:val="left"/>
              <w:rPr>
                <w:rFonts w:ascii="宋体" w:hAnsi="宋体" w:cs="宋体" w:eastAsia="宋体" w:hint="default"/>
                <w:sz w:val="21"/>
                <w:szCs w:val="21"/>
              </w:rPr>
            </w:pPr>
            <w:r>
              <w:rPr>
                <w:rFonts w:ascii="宋体" w:hAnsi="宋体" w:cs="宋体" w:eastAsia="宋体" w:hint="default"/>
                <w:sz w:val="18"/>
                <w:szCs w:val="18"/>
              </w:rPr>
              <w:t>37</w:t>
            </w:r>
            <w:r>
              <w:rPr>
                <w:rFonts w:ascii="宋体" w:hAnsi="宋体" w:cs="宋体" w:eastAsia="宋体" w:hint="default"/>
                <w:spacing w:val="-46"/>
                <w:sz w:val="18"/>
                <w:szCs w:val="18"/>
              </w:rPr>
              <w:t> </w:t>
            </w:r>
            <w:r>
              <w:rPr>
                <w:rFonts w:ascii="宋体" w:hAnsi="宋体" w:cs="宋体" w:eastAsia="宋体" w:hint="default"/>
                <w:sz w:val="18"/>
                <w:szCs w:val="18"/>
              </w:rPr>
              <w:t>号——金融工具列报》。（统称“新金融工具准则”）</w:t>
            </w:r>
            <w:r>
              <w:rPr>
                <w:rFonts w:ascii="宋体" w:hAnsi="宋体" w:cs="宋体" w:eastAsia="宋体" w:hint="default"/>
                <w:w w:val="100"/>
                <w:sz w:val="21"/>
                <w:szCs w:val="21"/>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31"/>
              <w:jc w:val="left"/>
              <w:rPr>
                <w:rFonts w:ascii="宋体" w:hAnsi="宋体" w:cs="宋体" w:eastAsia="宋体" w:hint="default"/>
                <w:sz w:val="18"/>
                <w:szCs w:val="18"/>
              </w:rPr>
            </w:pPr>
            <w:r>
              <w:rPr>
                <w:rFonts w:ascii="宋体" w:hAnsi="宋体" w:cs="宋体" w:eastAsia="宋体" w:hint="default"/>
                <w:sz w:val="18"/>
                <w:szCs w:val="18"/>
              </w:rPr>
              <w:t>第四届董事会 第十二次会议</w:t>
            </w:r>
            <w:r>
              <w:rPr>
                <w:rFonts w:ascii="宋体" w:hAnsi="宋体" w:cs="宋体" w:eastAsia="宋体" w:hint="default"/>
                <w:sz w:val="18"/>
                <w:szCs w:val="18"/>
              </w:rPr>
              <w:t> </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0" w:right="110"/>
              <w:jc w:val="both"/>
              <w:rPr>
                <w:rFonts w:ascii="宋体" w:hAnsi="宋体" w:cs="宋体" w:eastAsia="宋体" w:hint="default"/>
                <w:sz w:val="21"/>
                <w:szCs w:val="21"/>
              </w:rPr>
            </w:pPr>
            <w:r>
              <w:rPr>
                <w:rFonts w:ascii="宋体" w:hAnsi="宋体" w:cs="宋体" w:eastAsia="宋体" w:hint="default"/>
                <w:sz w:val="18"/>
                <w:szCs w:val="18"/>
              </w:rPr>
              <w:t>详见本附注</w:t>
            </w:r>
            <w:r>
              <w:rPr>
                <w:rFonts w:ascii="宋体" w:hAnsi="宋体" w:cs="宋体" w:eastAsia="宋体" w:hint="default"/>
                <w:spacing w:val="-45"/>
                <w:sz w:val="18"/>
                <w:szCs w:val="18"/>
              </w:rPr>
              <w:t> </w:t>
            </w:r>
            <w:r>
              <w:rPr>
                <w:rFonts w:ascii="宋体" w:hAnsi="宋体" w:cs="宋体" w:eastAsia="宋体" w:hint="default"/>
                <w:sz w:val="18"/>
                <w:szCs w:val="18"/>
              </w:rPr>
              <w:t>3</w:t>
            </w:r>
            <w:r>
              <w:rPr>
                <w:rFonts w:ascii="宋体" w:hAnsi="宋体" w:cs="宋体" w:eastAsia="宋体" w:hint="default"/>
                <w:sz w:val="18"/>
                <w:szCs w:val="18"/>
              </w:rPr>
              <w:t>、首次执行新金 融工具准则调整首次执行当年 年初财务报表相关项目情况</w:t>
            </w:r>
            <w:r>
              <w:rPr>
                <w:rFonts w:ascii="宋体" w:hAnsi="宋体" w:cs="宋体" w:eastAsia="宋体" w:hint="default"/>
                <w:w w:val="100"/>
                <w:sz w:val="21"/>
                <w:szCs w:val="21"/>
              </w:rPr>
              <w:t> </w:t>
            </w:r>
          </w:p>
        </w:tc>
      </w:tr>
    </w:tbl>
    <w:p>
      <w:pPr>
        <w:pStyle w:val="BodyText"/>
        <w:spacing w:line="262" w:lineRule="exact"/>
        <w:ind w:left="216" w:right="0"/>
        <w:jc w:val="left"/>
        <w:rPr>
          <w:rFonts w:ascii="宋体" w:hAnsi="宋体" w:cs="宋体" w:eastAsia="宋体" w:hint="default"/>
        </w:rPr>
      </w:pPr>
      <w:r>
        <w:rPr/>
        <w:t>其他说明</w:t>
      </w:r>
      <w:r>
        <w:rPr>
          <w:rFonts w:ascii="宋体" w:hAnsi="宋体" w:cs="宋体" w:eastAsia="宋体" w:hint="default"/>
        </w:rPr>
        <w:t> </w:t>
      </w:r>
    </w:p>
    <w:p>
      <w:pPr>
        <w:pStyle w:val="BodyText"/>
        <w:spacing w:line="336" w:lineRule="auto" w:before="142"/>
        <w:ind w:left="661" w:right="228" w:hanging="166"/>
        <w:jc w:val="both"/>
      </w:pPr>
      <w:r>
        <w:rPr/>
        <w:pict>
          <v:shape style="position:absolute;margin-left:156.619995pt;margin-top:103.993675pt;width:.48001pt;height:.12pt;mso-position-horizontal-relative:page;mso-position-vertical-relative:paragraph;z-index:-1318984" type="#_x0000_t75" stroked="false">
            <v:imagedata r:id="rId67" o:title=""/>
          </v:shape>
        </w:pict>
      </w:r>
      <w:r>
        <w:rPr/>
        <w:pict>
          <v:shape style="position:absolute;margin-left:310.010010pt;margin-top:103.993675pt;width:.48001pt;height:.12pt;mso-position-horizontal-relative:page;mso-position-vertical-relative:paragraph;z-index:-1318960" type="#_x0000_t75" stroked="false">
            <v:imagedata r:id="rId67" o:title=""/>
          </v:shape>
        </w:pict>
      </w:r>
      <w:r>
        <w:rPr/>
        <w:pict>
          <v:shape style="position:absolute;margin-left:77.304001pt;margin-top:102.553673pt;width:401.6pt;height:163pt;mso-position-horizontal-relative:page;mso-position-vertical-relative:paragraph;z-index:16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91"/>
                    <w:gridCol w:w="1534"/>
                    <w:gridCol w:w="1534"/>
                    <w:gridCol w:w="1877"/>
                    <w:gridCol w:w="1496"/>
                  </w:tblGrid>
                  <w:tr>
                    <w:trPr>
                      <w:trHeight w:val="228" w:hRule="exact"/>
                    </w:trPr>
                    <w:tc>
                      <w:tcPr>
                        <w:tcW w:w="1591" w:type="dxa"/>
                        <w:tcBorders>
                          <w:top w:val="single" w:sz="12" w:space="0" w:color="000000"/>
                          <w:left w:val="nil" w:sz="6" w:space="0" w:color="auto"/>
                          <w:bottom w:val="nil" w:sz="6" w:space="0" w:color="auto"/>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tc>
                    <w:tc>
                      <w:tcPr>
                        <w:tcW w:w="3068" w:type="dxa"/>
                        <w:gridSpan w:val="2"/>
                        <w:tcBorders>
                          <w:top w:val="single" w:sz="12" w:space="0" w:color="000000"/>
                          <w:left w:val="single" w:sz="4" w:space="0" w:color="000000"/>
                          <w:bottom w:val="nil" w:sz="6" w:space="0" w:color="auto"/>
                          <w:right w:val="single" w:sz="4" w:space="0" w:color="000000"/>
                        </w:tcBorders>
                      </w:tcPr>
                      <w:p>
                        <w:pPr>
                          <w:pStyle w:val="TableParagraph"/>
                          <w:spacing w:line="240" w:lineRule="auto" w:before="26"/>
                          <w:ind w:left="965" w:right="0"/>
                          <w:jc w:val="left"/>
                          <w:rPr>
                            <w:rFonts w:ascii="宋体" w:hAnsi="宋体" w:cs="宋体" w:eastAsia="宋体" w:hint="default"/>
                            <w:sz w:val="16"/>
                            <w:szCs w:val="16"/>
                          </w:rPr>
                        </w:pPr>
                        <w:r>
                          <w:rPr>
                            <w:rFonts w:ascii="宋体" w:hAnsi="宋体" w:cs="宋体" w:eastAsia="宋体" w:hint="default"/>
                            <w:sz w:val="16"/>
                            <w:szCs w:val="16"/>
                          </w:rPr>
                          <w:t>合并资产负债表</w:t>
                        </w:r>
                        <w:r>
                          <w:rPr>
                            <w:rFonts w:ascii="宋体" w:hAnsi="宋体" w:cs="宋体" w:eastAsia="宋体" w:hint="default"/>
                            <w:sz w:val="16"/>
                            <w:szCs w:val="16"/>
                          </w:rPr>
                          <w:t> </w:t>
                        </w:r>
                      </w:p>
                    </w:tc>
                    <w:tc>
                      <w:tcPr>
                        <w:tcW w:w="3373" w:type="dxa"/>
                        <w:gridSpan w:val="2"/>
                        <w:vMerge w:val="restart"/>
                        <w:tcBorders>
                          <w:top w:val="single" w:sz="12" w:space="0" w:color="000000"/>
                          <w:left w:val="single" w:sz="4" w:space="0" w:color="000000"/>
                          <w:right w:val="nil" w:sz="6" w:space="0" w:color="auto"/>
                        </w:tcBorders>
                      </w:tcPr>
                      <w:p>
                        <w:pPr>
                          <w:pStyle w:val="TableParagraph"/>
                          <w:spacing w:line="240" w:lineRule="auto" w:before="26"/>
                          <w:ind w:left="1041" w:right="0"/>
                          <w:jc w:val="left"/>
                          <w:rPr>
                            <w:rFonts w:ascii="宋体" w:hAnsi="宋体" w:cs="宋体" w:eastAsia="宋体" w:hint="default"/>
                            <w:sz w:val="16"/>
                            <w:szCs w:val="16"/>
                          </w:rPr>
                        </w:pPr>
                        <w:r>
                          <w:rPr>
                            <w:rFonts w:ascii="宋体" w:hAnsi="宋体" w:cs="宋体" w:eastAsia="宋体" w:hint="default"/>
                            <w:sz w:val="16"/>
                            <w:szCs w:val="16"/>
                          </w:rPr>
                          <w:t>母公司资产负债表</w:t>
                        </w:r>
                        <w:r>
                          <w:rPr>
                            <w:rFonts w:ascii="宋体" w:hAnsi="宋体" w:cs="宋体" w:eastAsia="宋体" w:hint="default"/>
                            <w:sz w:val="16"/>
                            <w:szCs w:val="16"/>
                          </w:rPr>
                          <w:t> </w:t>
                        </w:r>
                      </w:p>
                    </w:tc>
                  </w:tr>
                  <w:tr>
                    <w:trPr>
                      <w:trHeight w:val="118" w:hRule="exact"/>
                    </w:trPr>
                    <w:tc>
                      <w:tcPr>
                        <w:tcW w:w="1591" w:type="dxa"/>
                        <w:vMerge w:val="restart"/>
                        <w:tcBorders>
                          <w:top w:val="nil" w:sz="6" w:space="0" w:color="auto"/>
                          <w:left w:val="nil" w:sz="6" w:space="0" w:color="auto"/>
                          <w:right w:val="nil" w:sz="6" w:space="0" w:color="auto"/>
                        </w:tcBorders>
                      </w:tcPr>
                      <w:p>
                        <w:pPr>
                          <w:pStyle w:val="TableParagraph"/>
                          <w:spacing w:line="188" w:lineRule="exact"/>
                          <w:ind w:left="89" w:right="0"/>
                          <w:jc w:val="center"/>
                          <w:rPr>
                            <w:rFonts w:ascii="宋体" w:hAnsi="宋体" w:cs="宋体" w:eastAsia="宋体" w:hint="default"/>
                            <w:sz w:val="16"/>
                            <w:szCs w:val="16"/>
                          </w:rPr>
                        </w:pPr>
                        <w:r>
                          <w:rPr>
                            <w:rFonts w:ascii="宋体" w:hAnsi="宋体" w:cs="宋体" w:eastAsia="宋体" w:hint="default"/>
                            <w:sz w:val="16"/>
                            <w:szCs w:val="16"/>
                          </w:rPr>
                          <w:t>项目</w:t>
                        </w:r>
                        <w:r>
                          <w:rPr>
                            <w:rFonts w:ascii="宋体" w:hAnsi="宋体" w:cs="宋体" w:eastAsia="宋体" w:hint="default"/>
                            <w:sz w:val="16"/>
                            <w:szCs w:val="16"/>
                          </w:rPr>
                          <w:t> </w:t>
                        </w:r>
                      </w:p>
                    </w:tc>
                    <w:tc>
                      <w:tcPr>
                        <w:tcW w:w="1534" w:type="dxa"/>
                        <w:vMerge w:val="restart"/>
                        <w:tcBorders>
                          <w:top w:val="nil" w:sz="6" w:space="0" w:color="auto"/>
                          <w:left w:val="nil" w:sz="6" w:space="0" w:color="auto"/>
                          <w:right w:val="nil" w:sz="6" w:space="0" w:color="auto"/>
                        </w:tcBorders>
                      </w:tcPr>
                      <w:p>
                        <w:pPr/>
                      </w:p>
                    </w:tc>
                    <w:tc>
                      <w:tcPr>
                        <w:tcW w:w="1534" w:type="dxa"/>
                        <w:tcBorders>
                          <w:top w:val="nil" w:sz="6" w:space="0" w:color="auto"/>
                          <w:left w:val="nil" w:sz="6" w:space="0" w:color="auto"/>
                          <w:bottom w:val="nil" w:sz="6" w:space="0" w:color="auto"/>
                          <w:right w:val="single" w:sz="4" w:space="0" w:color="000000"/>
                        </w:tcBorders>
                      </w:tcPr>
                      <w:p>
                        <w:pPr/>
                      </w:p>
                    </w:tc>
                    <w:tc>
                      <w:tcPr>
                        <w:tcW w:w="3373" w:type="dxa"/>
                        <w:gridSpan w:val="2"/>
                        <w:vMerge/>
                        <w:tcBorders>
                          <w:left w:val="single" w:sz="4" w:space="0" w:color="000000"/>
                          <w:bottom w:val="nil" w:sz="6" w:space="0" w:color="auto"/>
                          <w:right w:val="nil" w:sz="6" w:space="0" w:color="auto"/>
                        </w:tcBorders>
                      </w:tcPr>
                      <w:p>
                        <w:pPr/>
                      </w:p>
                    </w:tc>
                  </w:tr>
                  <w:tr>
                    <w:trPr>
                      <w:trHeight w:val="74" w:hRule="exact"/>
                    </w:trPr>
                    <w:tc>
                      <w:tcPr>
                        <w:tcW w:w="1591" w:type="dxa"/>
                        <w:vMerge/>
                        <w:tcBorders>
                          <w:left w:val="nil" w:sz="6" w:space="0" w:color="auto"/>
                          <w:bottom w:val="nil" w:sz="6" w:space="0" w:color="auto"/>
                          <w:right w:val="nil" w:sz="6" w:space="0" w:color="auto"/>
                        </w:tcBorders>
                      </w:tcPr>
                      <w:p>
                        <w:pPr/>
                      </w:p>
                    </w:tc>
                    <w:tc>
                      <w:tcPr>
                        <w:tcW w:w="1534" w:type="dxa"/>
                        <w:vMerge/>
                        <w:tcBorders>
                          <w:left w:val="nil" w:sz="6" w:space="0" w:color="auto"/>
                          <w:bottom w:val="nil" w:sz="6" w:space="0" w:color="auto"/>
                          <w:right w:val="nil" w:sz="6" w:space="0" w:color="auto"/>
                        </w:tcBorders>
                      </w:tcPr>
                      <w:p>
                        <w:pPr/>
                      </w:p>
                    </w:tc>
                    <w:tc>
                      <w:tcPr>
                        <w:tcW w:w="1534" w:type="dxa"/>
                        <w:tcBorders>
                          <w:top w:val="nil" w:sz="6" w:space="0" w:color="auto"/>
                          <w:left w:val="single" w:sz="4" w:space="0" w:color="000000"/>
                          <w:bottom w:val="nil" w:sz="6" w:space="0" w:color="auto"/>
                          <w:right w:val="single" w:sz="4" w:space="0" w:color="000000"/>
                        </w:tcBorders>
                      </w:tcPr>
                      <w:p>
                        <w:pPr/>
                      </w:p>
                    </w:tc>
                    <w:tc>
                      <w:tcPr>
                        <w:tcW w:w="1877" w:type="dxa"/>
                        <w:tcBorders>
                          <w:top w:val="nil" w:sz="6" w:space="0" w:color="auto"/>
                          <w:left w:val="single" w:sz="4" w:space="0" w:color="000000"/>
                          <w:bottom w:val="nil" w:sz="6" w:space="0" w:color="auto"/>
                          <w:right w:val="single" w:sz="4" w:space="0" w:color="000000"/>
                        </w:tcBorders>
                      </w:tcPr>
                      <w:p>
                        <w:pPr/>
                      </w:p>
                    </w:tc>
                    <w:tc>
                      <w:tcPr>
                        <w:tcW w:w="1496" w:type="dxa"/>
                        <w:tcBorders>
                          <w:top w:val="nil" w:sz="6" w:space="0" w:color="auto"/>
                          <w:left w:val="single" w:sz="4" w:space="0" w:color="000000"/>
                          <w:bottom w:val="nil" w:sz="6" w:space="0" w:color="auto"/>
                          <w:right w:val="nil" w:sz="6" w:space="0" w:color="auto"/>
                        </w:tcBorders>
                      </w:tcPr>
                      <w:p>
                        <w:pPr/>
                      </w:p>
                    </w:tc>
                  </w:tr>
                  <w:tr>
                    <w:trPr>
                      <w:trHeight w:val="245" w:hRule="exact"/>
                    </w:trPr>
                    <w:tc>
                      <w:tcPr>
                        <w:tcW w:w="1591" w:type="dxa"/>
                        <w:tcBorders>
                          <w:top w:val="nil" w:sz="6" w:space="0" w:color="auto"/>
                          <w:left w:val="nil" w:sz="6" w:space="0" w:color="auto"/>
                          <w:bottom w:val="nil" w:sz="6" w:space="0" w:color="auto"/>
                          <w:right w:val="single" w:sz="4" w:space="0" w:color="000000"/>
                        </w:tcBorders>
                      </w:tcPr>
                      <w:p>
                        <w:pPr/>
                      </w:p>
                    </w:tc>
                    <w:tc>
                      <w:tcPr>
                        <w:tcW w:w="1534" w:type="dxa"/>
                        <w:tcBorders>
                          <w:top w:val="nil" w:sz="6" w:space="0" w:color="auto"/>
                          <w:left w:val="single" w:sz="4" w:space="0" w:color="000000"/>
                          <w:bottom w:val="nil" w:sz="6" w:space="0" w:color="auto"/>
                          <w:right w:val="single" w:sz="4" w:space="0" w:color="000000"/>
                        </w:tcBorders>
                      </w:tcPr>
                      <w:p>
                        <w:pPr>
                          <w:pStyle w:val="TableParagraph"/>
                          <w:spacing w:line="164" w:lineRule="exact"/>
                          <w:ind w:left="518" w:right="0"/>
                          <w:jc w:val="left"/>
                          <w:rPr>
                            <w:rFonts w:ascii="宋体" w:hAnsi="宋体" w:cs="宋体" w:eastAsia="宋体" w:hint="default"/>
                            <w:sz w:val="16"/>
                            <w:szCs w:val="16"/>
                          </w:rPr>
                        </w:pPr>
                        <w:r>
                          <w:rPr>
                            <w:rFonts w:ascii="宋体" w:hAnsi="宋体" w:cs="宋体" w:eastAsia="宋体" w:hint="default"/>
                            <w:sz w:val="16"/>
                            <w:szCs w:val="16"/>
                          </w:rPr>
                          <w:t>调整前</w:t>
                        </w:r>
                        <w:r>
                          <w:rPr>
                            <w:rFonts w:ascii="宋体" w:hAnsi="宋体" w:cs="宋体" w:eastAsia="宋体" w:hint="default"/>
                            <w:sz w:val="16"/>
                            <w:szCs w:val="16"/>
                          </w:rPr>
                          <w:t> </w:t>
                        </w:r>
                      </w:p>
                    </w:tc>
                    <w:tc>
                      <w:tcPr>
                        <w:tcW w:w="1534" w:type="dxa"/>
                        <w:tcBorders>
                          <w:top w:val="nil" w:sz="6" w:space="0" w:color="auto"/>
                          <w:left w:val="single" w:sz="4" w:space="0" w:color="000000"/>
                          <w:bottom w:val="nil" w:sz="6" w:space="0" w:color="auto"/>
                          <w:right w:val="single" w:sz="4" w:space="0" w:color="000000"/>
                        </w:tcBorders>
                      </w:tcPr>
                      <w:p>
                        <w:pPr>
                          <w:pStyle w:val="TableParagraph"/>
                          <w:spacing w:line="164" w:lineRule="exact"/>
                          <w:ind w:left="518" w:right="0"/>
                          <w:jc w:val="left"/>
                          <w:rPr>
                            <w:rFonts w:ascii="宋体" w:hAnsi="宋体" w:cs="宋体" w:eastAsia="宋体" w:hint="default"/>
                            <w:sz w:val="16"/>
                            <w:szCs w:val="16"/>
                          </w:rPr>
                        </w:pPr>
                        <w:r>
                          <w:rPr>
                            <w:rFonts w:ascii="宋体" w:hAnsi="宋体" w:cs="宋体" w:eastAsia="宋体" w:hint="default"/>
                            <w:sz w:val="16"/>
                            <w:szCs w:val="16"/>
                          </w:rPr>
                          <w:t>调整后</w:t>
                        </w:r>
                        <w:r>
                          <w:rPr>
                            <w:rFonts w:ascii="宋体" w:hAnsi="宋体" w:cs="宋体" w:eastAsia="宋体" w:hint="default"/>
                            <w:sz w:val="16"/>
                            <w:szCs w:val="16"/>
                          </w:rPr>
                          <w:t> </w:t>
                        </w:r>
                      </w:p>
                    </w:tc>
                    <w:tc>
                      <w:tcPr>
                        <w:tcW w:w="1877" w:type="dxa"/>
                        <w:tcBorders>
                          <w:top w:val="nil" w:sz="6" w:space="0" w:color="auto"/>
                          <w:left w:val="single" w:sz="4" w:space="0" w:color="000000"/>
                          <w:bottom w:val="nil" w:sz="6" w:space="0" w:color="auto"/>
                          <w:right w:val="single" w:sz="4" w:space="0" w:color="000000"/>
                        </w:tcBorders>
                      </w:tcPr>
                      <w:p>
                        <w:pPr>
                          <w:pStyle w:val="TableParagraph"/>
                          <w:spacing w:line="164" w:lineRule="exact"/>
                          <w:ind w:left="693" w:right="0"/>
                          <w:jc w:val="left"/>
                          <w:rPr>
                            <w:rFonts w:ascii="宋体" w:hAnsi="宋体" w:cs="宋体" w:eastAsia="宋体" w:hint="default"/>
                            <w:sz w:val="16"/>
                            <w:szCs w:val="16"/>
                          </w:rPr>
                        </w:pPr>
                        <w:r>
                          <w:rPr>
                            <w:rFonts w:ascii="宋体" w:hAnsi="宋体" w:cs="宋体" w:eastAsia="宋体" w:hint="default"/>
                            <w:sz w:val="16"/>
                            <w:szCs w:val="16"/>
                          </w:rPr>
                          <w:t>调整前</w:t>
                        </w:r>
                        <w:r>
                          <w:rPr>
                            <w:rFonts w:ascii="宋体" w:hAnsi="宋体" w:cs="宋体" w:eastAsia="宋体" w:hint="default"/>
                            <w:sz w:val="16"/>
                            <w:szCs w:val="16"/>
                          </w:rPr>
                          <w:t> </w:t>
                        </w:r>
                      </w:p>
                    </w:tc>
                    <w:tc>
                      <w:tcPr>
                        <w:tcW w:w="1496" w:type="dxa"/>
                        <w:tcBorders>
                          <w:top w:val="nil" w:sz="6" w:space="0" w:color="auto"/>
                          <w:left w:val="single" w:sz="4" w:space="0" w:color="000000"/>
                          <w:bottom w:val="nil" w:sz="6" w:space="0" w:color="auto"/>
                          <w:right w:val="nil" w:sz="6" w:space="0" w:color="auto"/>
                        </w:tcBorders>
                      </w:tcPr>
                      <w:p>
                        <w:pPr>
                          <w:pStyle w:val="TableParagraph"/>
                          <w:spacing w:line="164" w:lineRule="exact"/>
                          <w:ind w:left="501" w:right="0"/>
                          <w:jc w:val="left"/>
                          <w:rPr>
                            <w:rFonts w:ascii="宋体" w:hAnsi="宋体" w:cs="宋体" w:eastAsia="宋体" w:hint="default"/>
                            <w:sz w:val="16"/>
                            <w:szCs w:val="16"/>
                          </w:rPr>
                        </w:pPr>
                        <w:r>
                          <w:rPr>
                            <w:rFonts w:ascii="宋体" w:hAnsi="宋体" w:cs="宋体" w:eastAsia="宋体" w:hint="default"/>
                            <w:sz w:val="16"/>
                            <w:szCs w:val="16"/>
                          </w:rPr>
                          <w:t>调整后</w:t>
                        </w:r>
                        <w:r>
                          <w:rPr>
                            <w:rFonts w:ascii="宋体" w:hAnsi="宋体" w:cs="宋体" w:eastAsia="宋体" w:hint="default"/>
                            <w:sz w:val="16"/>
                            <w:szCs w:val="16"/>
                          </w:rPr>
                          <w:t> </w:t>
                        </w:r>
                      </w:p>
                    </w:tc>
                  </w:tr>
                  <w:tr>
                    <w:trPr>
                      <w:trHeight w:val="634" w:hRule="exact"/>
                    </w:trPr>
                    <w:tc>
                      <w:tcPr>
                        <w:tcW w:w="1591" w:type="dxa"/>
                        <w:tcBorders>
                          <w:top w:val="nil" w:sz="6" w:space="0" w:color="auto"/>
                          <w:left w:val="nil" w:sz="6" w:space="0" w:color="auto"/>
                          <w:bottom w:val="nil" w:sz="6" w:space="0" w:color="auto"/>
                          <w:right w:val="single" w:sz="4" w:space="0" w:color="000000"/>
                        </w:tcBorders>
                      </w:tcPr>
                      <w:p>
                        <w:pPr>
                          <w:pStyle w:val="TableParagraph"/>
                          <w:spacing w:line="357" w:lineRule="auto" w:before="31"/>
                          <w:ind w:left="122" w:right="180"/>
                          <w:jc w:val="left"/>
                          <w:rPr>
                            <w:rFonts w:ascii="宋体" w:hAnsi="宋体" w:cs="宋体" w:eastAsia="宋体" w:hint="default"/>
                            <w:sz w:val="16"/>
                            <w:szCs w:val="16"/>
                          </w:rPr>
                        </w:pPr>
                        <w:r>
                          <w:rPr>
                            <w:rFonts w:ascii="宋体" w:hAnsi="宋体" w:cs="宋体" w:eastAsia="宋体" w:hint="default"/>
                            <w:spacing w:val="-1"/>
                            <w:sz w:val="16"/>
                            <w:szCs w:val="16"/>
                          </w:rPr>
                          <w:t>应收票据及应收账</w:t>
                        </w:r>
                        <w:r>
                          <w:rPr>
                            <w:rFonts w:ascii="宋体" w:hAnsi="宋体" w:cs="宋体" w:eastAsia="宋体" w:hint="default"/>
                            <w:spacing w:val="-72"/>
                            <w:sz w:val="16"/>
                            <w:szCs w:val="16"/>
                          </w:rPr>
                          <w:t> </w:t>
                        </w:r>
                        <w:r>
                          <w:rPr>
                            <w:rFonts w:ascii="宋体" w:hAnsi="宋体" w:cs="宋体" w:eastAsia="宋体" w:hint="default"/>
                            <w:spacing w:val="-72"/>
                            <w:sz w:val="16"/>
                            <w:szCs w:val="16"/>
                          </w:rPr>
                        </w:r>
                        <w:r>
                          <w:rPr>
                            <w:rFonts w:ascii="宋体" w:hAnsi="宋体" w:cs="宋体" w:eastAsia="宋体" w:hint="default"/>
                            <w:sz w:val="16"/>
                            <w:szCs w:val="16"/>
                          </w:rPr>
                          <w:t>款</w:t>
                        </w:r>
                        <w:r>
                          <w:rPr>
                            <w:rFonts w:ascii="宋体" w:hAnsi="宋体" w:cs="宋体" w:eastAsia="宋体" w:hint="default"/>
                            <w:sz w:val="16"/>
                            <w:szCs w:val="16"/>
                          </w:rPr>
                          <w:t> </w:t>
                        </w:r>
                      </w:p>
                    </w:tc>
                    <w:tc>
                      <w:tcPr>
                        <w:tcW w:w="153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23"/>
                          <w:jc w:val="right"/>
                          <w:rPr>
                            <w:rFonts w:ascii="宋体" w:hAnsi="宋体" w:cs="宋体" w:eastAsia="宋体" w:hint="default"/>
                            <w:sz w:val="16"/>
                            <w:szCs w:val="16"/>
                          </w:rPr>
                        </w:pPr>
                        <w:r>
                          <w:rPr>
                            <w:rFonts w:ascii="宋体"/>
                            <w:spacing w:val="-2"/>
                            <w:sz w:val="16"/>
                          </w:rPr>
                          <w:t>2,893,246,866.76</w:t>
                        </w:r>
                        <w:r>
                          <w:rPr>
                            <w:rFonts w:ascii="宋体"/>
                            <w:sz w:val="16"/>
                          </w:rPr>
                          <w:t> </w:t>
                        </w:r>
                      </w:p>
                    </w:tc>
                    <w:tc>
                      <w:tcPr>
                        <w:tcW w:w="153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23"/>
                          <w:jc w:val="right"/>
                          <w:rPr>
                            <w:rFonts w:ascii="宋体" w:hAnsi="宋体" w:cs="宋体" w:eastAsia="宋体" w:hint="default"/>
                            <w:sz w:val="16"/>
                            <w:szCs w:val="16"/>
                          </w:rPr>
                        </w:pPr>
                        <w:r>
                          <w:rPr>
                            <w:rFonts w:ascii="宋体"/>
                            <w:w w:val="100"/>
                            <w:sz w:val="16"/>
                          </w:rPr>
                          <w:t> </w:t>
                        </w:r>
                      </w:p>
                    </w:tc>
                    <w:tc>
                      <w:tcPr>
                        <w:tcW w:w="187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20"/>
                          <w:jc w:val="right"/>
                          <w:rPr>
                            <w:rFonts w:ascii="宋体" w:hAnsi="宋体" w:cs="宋体" w:eastAsia="宋体" w:hint="default"/>
                            <w:sz w:val="16"/>
                            <w:szCs w:val="16"/>
                          </w:rPr>
                        </w:pPr>
                        <w:r>
                          <w:rPr>
                            <w:rFonts w:ascii="宋体"/>
                            <w:spacing w:val="-2"/>
                            <w:sz w:val="16"/>
                          </w:rPr>
                          <w:t>1,061,170,474.59</w:t>
                        </w:r>
                        <w:r>
                          <w:rPr>
                            <w:rFonts w:ascii="宋体"/>
                            <w:sz w:val="16"/>
                          </w:rPr>
                          <w:t> </w:t>
                        </w:r>
                      </w:p>
                    </w:tc>
                    <w:tc>
                      <w:tcPr>
                        <w:tcW w:w="1496" w:type="dxa"/>
                        <w:tcBorders>
                          <w:top w:val="nil" w:sz="6" w:space="0" w:color="auto"/>
                          <w:left w:val="single" w:sz="4" w:space="0" w:color="000000"/>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25"/>
                          <w:jc w:val="right"/>
                          <w:rPr>
                            <w:rFonts w:ascii="宋体" w:hAnsi="宋体" w:cs="宋体" w:eastAsia="宋体" w:hint="default"/>
                            <w:sz w:val="16"/>
                            <w:szCs w:val="16"/>
                          </w:rPr>
                        </w:pPr>
                        <w:r>
                          <w:rPr>
                            <w:rFonts w:ascii="宋体"/>
                            <w:w w:val="100"/>
                            <w:sz w:val="16"/>
                          </w:rPr>
                          <w:t> </w:t>
                        </w:r>
                      </w:p>
                    </w:tc>
                  </w:tr>
                  <w:tr>
                    <w:trPr>
                      <w:trHeight w:val="322" w:hRule="exact"/>
                    </w:trPr>
                    <w:tc>
                      <w:tcPr>
                        <w:tcW w:w="1591" w:type="dxa"/>
                        <w:tcBorders>
                          <w:top w:val="nil" w:sz="6" w:space="0" w:color="auto"/>
                          <w:left w:val="nil" w:sz="6" w:space="0" w:color="auto"/>
                          <w:bottom w:val="nil" w:sz="6" w:space="0" w:color="auto"/>
                          <w:right w:val="single" w:sz="4" w:space="0" w:color="000000"/>
                        </w:tcBorders>
                      </w:tcPr>
                      <w:p>
                        <w:pPr>
                          <w:pStyle w:val="TableParagraph"/>
                          <w:spacing w:line="240" w:lineRule="auto" w:before="31"/>
                          <w:ind w:left="122" w:right="0"/>
                          <w:jc w:val="left"/>
                          <w:rPr>
                            <w:rFonts w:ascii="宋体" w:hAnsi="宋体" w:cs="宋体" w:eastAsia="宋体" w:hint="default"/>
                            <w:sz w:val="16"/>
                            <w:szCs w:val="16"/>
                          </w:rPr>
                        </w:pPr>
                        <w:r>
                          <w:rPr>
                            <w:rFonts w:ascii="宋体" w:hAnsi="宋体" w:cs="宋体" w:eastAsia="宋体" w:hint="default"/>
                            <w:sz w:val="16"/>
                            <w:szCs w:val="16"/>
                          </w:rPr>
                          <w:t>应收票据</w:t>
                        </w:r>
                        <w:r>
                          <w:rPr>
                            <w:rFonts w:ascii="宋体" w:hAnsi="宋体" w:cs="宋体" w:eastAsia="宋体" w:hint="default"/>
                            <w:sz w:val="16"/>
                            <w:szCs w:val="16"/>
                          </w:rPr>
                          <w:t> </w:t>
                        </w:r>
                      </w:p>
                    </w:tc>
                    <w:tc>
                      <w:tcPr>
                        <w:tcW w:w="1534"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right="23"/>
                          <w:jc w:val="right"/>
                          <w:rPr>
                            <w:rFonts w:ascii="宋体" w:hAnsi="宋体" w:cs="宋体" w:eastAsia="宋体" w:hint="default"/>
                            <w:sz w:val="16"/>
                            <w:szCs w:val="16"/>
                          </w:rPr>
                        </w:pPr>
                        <w:r>
                          <w:rPr>
                            <w:rFonts w:ascii="宋体"/>
                            <w:w w:val="100"/>
                            <w:sz w:val="16"/>
                          </w:rPr>
                          <w:t> </w:t>
                        </w:r>
                      </w:p>
                    </w:tc>
                    <w:tc>
                      <w:tcPr>
                        <w:tcW w:w="1534"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right="23"/>
                          <w:jc w:val="right"/>
                          <w:rPr>
                            <w:rFonts w:ascii="宋体" w:hAnsi="宋体" w:cs="宋体" w:eastAsia="宋体" w:hint="default"/>
                            <w:sz w:val="16"/>
                            <w:szCs w:val="16"/>
                          </w:rPr>
                        </w:pPr>
                        <w:r>
                          <w:rPr>
                            <w:rFonts w:ascii="宋体"/>
                            <w:w w:val="100"/>
                            <w:sz w:val="16"/>
                          </w:rPr>
                          <w:t> </w:t>
                        </w:r>
                        <w:r>
                          <w:rPr>
                            <w:rFonts w:ascii="宋体"/>
                            <w:sz w:val="16"/>
                          </w:rPr>
                          <w:t> </w:t>
                        </w:r>
                        <w:r>
                          <w:rPr>
                            <w:rFonts w:ascii="宋体"/>
                            <w:spacing w:val="-2"/>
                            <w:sz w:val="16"/>
                          </w:rPr>
                          <w:t>46,033,292.54</w:t>
                        </w:r>
                        <w:r>
                          <w:rPr>
                            <w:rFonts w:ascii="宋体"/>
                            <w:sz w:val="16"/>
                          </w:rPr>
                          <w:t> </w:t>
                        </w:r>
                      </w:p>
                    </w:tc>
                    <w:tc>
                      <w:tcPr>
                        <w:tcW w:w="1877"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right="20"/>
                          <w:jc w:val="right"/>
                          <w:rPr>
                            <w:rFonts w:ascii="宋体" w:hAnsi="宋体" w:cs="宋体" w:eastAsia="宋体" w:hint="default"/>
                            <w:sz w:val="16"/>
                            <w:szCs w:val="16"/>
                          </w:rPr>
                        </w:pPr>
                        <w:r>
                          <w:rPr>
                            <w:rFonts w:ascii="宋体"/>
                            <w:w w:val="100"/>
                            <w:sz w:val="16"/>
                          </w:rPr>
                          <w:t> </w:t>
                        </w:r>
                      </w:p>
                    </w:tc>
                    <w:tc>
                      <w:tcPr>
                        <w:tcW w:w="1496" w:type="dxa"/>
                        <w:tcBorders>
                          <w:top w:val="nil" w:sz="6" w:space="0" w:color="auto"/>
                          <w:left w:val="single" w:sz="4" w:space="0" w:color="000000"/>
                          <w:bottom w:val="nil" w:sz="6" w:space="0" w:color="auto"/>
                          <w:right w:val="nil" w:sz="6" w:space="0" w:color="auto"/>
                        </w:tcBorders>
                      </w:tcPr>
                      <w:p>
                        <w:pPr>
                          <w:pStyle w:val="TableParagraph"/>
                          <w:spacing w:line="240" w:lineRule="auto" w:before="31"/>
                          <w:ind w:right="25"/>
                          <w:jc w:val="right"/>
                          <w:rPr>
                            <w:rFonts w:ascii="宋体" w:hAnsi="宋体" w:cs="宋体" w:eastAsia="宋体" w:hint="default"/>
                            <w:sz w:val="16"/>
                            <w:szCs w:val="16"/>
                          </w:rPr>
                        </w:pPr>
                        <w:r>
                          <w:rPr>
                            <w:rFonts w:ascii="宋体"/>
                            <w:spacing w:val="-2"/>
                            <w:sz w:val="16"/>
                          </w:rPr>
                          <w:t>32,581,788.52</w:t>
                        </w:r>
                        <w:r>
                          <w:rPr>
                            <w:rFonts w:ascii="宋体"/>
                            <w:sz w:val="16"/>
                          </w:rPr>
                          <w:t> </w:t>
                        </w:r>
                      </w:p>
                    </w:tc>
                  </w:tr>
                  <w:tr>
                    <w:trPr>
                      <w:trHeight w:val="327" w:hRule="exact"/>
                    </w:trPr>
                    <w:tc>
                      <w:tcPr>
                        <w:tcW w:w="1591" w:type="dxa"/>
                        <w:tcBorders>
                          <w:top w:val="nil" w:sz="6" w:space="0" w:color="auto"/>
                          <w:left w:val="nil" w:sz="6" w:space="0" w:color="auto"/>
                          <w:bottom w:val="nil" w:sz="6" w:space="0" w:color="auto"/>
                          <w:right w:val="single" w:sz="4" w:space="0" w:color="000000"/>
                        </w:tcBorders>
                      </w:tcPr>
                      <w:p>
                        <w:pPr>
                          <w:pStyle w:val="TableParagraph"/>
                          <w:spacing w:line="240" w:lineRule="auto" w:before="31"/>
                          <w:ind w:left="122" w:right="0"/>
                          <w:jc w:val="left"/>
                          <w:rPr>
                            <w:rFonts w:ascii="宋体" w:hAnsi="宋体" w:cs="宋体" w:eastAsia="宋体" w:hint="default"/>
                            <w:sz w:val="16"/>
                            <w:szCs w:val="16"/>
                          </w:rPr>
                        </w:pPr>
                        <w:r>
                          <w:rPr>
                            <w:rFonts w:ascii="宋体" w:hAnsi="宋体" w:cs="宋体" w:eastAsia="宋体" w:hint="default"/>
                            <w:sz w:val="16"/>
                            <w:szCs w:val="16"/>
                          </w:rPr>
                          <w:t>应收账款</w:t>
                        </w:r>
                        <w:r>
                          <w:rPr>
                            <w:rFonts w:ascii="宋体" w:hAnsi="宋体" w:cs="宋体" w:eastAsia="宋体" w:hint="default"/>
                            <w:sz w:val="16"/>
                            <w:szCs w:val="16"/>
                          </w:rPr>
                          <w:t> </w:t>
                        </w:r>
                      </w:p>
                    </w:tc>
                    <w:tc>
                      <w:tcPr>
                        <w:tcW w:w="1534"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right="23"/>
                          <w:jc w:val="right"/>
                          <w:rPr>
                            <w:rFonts w:ascii="宋体" w:hAnsi="宋体" w:cs="宋体" w:eastAsia="宋体" w:hint="default"/>
                            <w:sz w:val="16"/>
                            <w:szCs w:val="16"/>
                          </w:rPr>
                        </w:pPr>
                        <w:r>
                          <w:rPr>
                            <w:rFonts w:ascii="宋体"/>
                            <w:w w:val="100"/>
                            <w:sz w:val="16"/>
                          </w:rPr>
                          <w:t> </w:t>
                        </w:r>
                      </w:p>
                    </w:tc>
                    <w:tc>
                      <w:tcPr>
                        <w:tcW w:w="1534"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right="23"/>
                          <w:jc w:val="right"/>
                          <w:rPr>
                            <w:rFonts w:ascii="宋体" w:hAnsi="宋体" w:cs="宋体" w:eastAsia="宋体" w:hint="default"/>
                            <w:sz w:val="16"/>
                            <w:szCs w:val="16"/>
                          </w:rPr>
                        </w:pPr>
                        <w:r>
                          <w:rPr>
                            <w:rFonts w:ascii="宋体"/>
                            <w:spacing w:val="-2"/>
                            <w:sz w:val="16"/>
                          </w:rPr>
                          <w:t>2,847,213,574.22</w:t>
                        </w:r>
                        <w:r>
                          <w:rPr>
                            <w:rFonts w:ascii="宋体"/>
                            <w:sz w:val="16"/>
                          </w:rPr>
                          <w:t> </w:t>
                        </w:r>
                      </w:p>
                    </w:tc>
                    <w:tc>
                      <w:tcPr>
                        <w:tcW w:w="1877"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right="20"/>
                          <w:jc w:val="right"/>
                          <w:rPr>
                            <w:rFonts w:ascii="宋体" w:hAnsi="宋体" w:cs="宋体" w:eastAsia="宋体" w:hint="default"/>
                            <w:sz w:val="16"/>
                            <w:szCs w:val="16"/>
                          </w:rPr>
                        </w:pPr>
                        <w:r>
                          <w:rPr>
                            <w:rFonts w:ascii="宋体"/>
                            <w:w w:val="100"/>
                            <w:sz w:val="16"/>
                          </w:rPr>
                          <w:t> </w:t>
                        </w:r>
                      </w:p>
                    </w:tc>
                    <w:tc>
                      <w:tcPr>
                        <w:tcW w:w="1496" w:type="dxa"/>
                        <w:tcBorders>
                          <w:top w:val="nil" w:sz="6" w:space="0" w:color="auto"/>
                          <w:left w:val="single" w:sz="4" w:space="0" w:color="000000"/>
                          <w:bottom w:val="nil" w:sz="6" w:space="0" w:color="auto"/>
                          <w:right w:val="nil" w:sz="6" w:space="0" w:color="auto"/>
                        </w:tcBorders>
                      </w:tcPr>
                      <w:p>
                        <w:pPr>
                          <w:pStyle w:val="TableParagraph"/>
                          <w:spacing w:line="240" w:lineRule="auto" w:before="31"/>
                          <w:ind w:right="25"/>
                          <w:jc w:val="right"/>
                          <w:rPr>
                            <w:rFonts w:ascii="宋体" w:hAnsi="宋体" w:cs="宋体" w:eastAsia="宋体" w:hint="default"/>
                            <w:sz w:val="16"/>
                            <w:szCs w:val="16"/>
                          </w:rPr>
                        </w:pPr>
                        <w:r>
                          <w:rPr>
                            <w:rFonts w:ascii="宋体"/>
                            <w:spacing w:val="-2"/>
                            <w:sz w:val="16"/>
                          </w:rPr>
                          <w:t>1,028,588,686.07</w:t>
                        </w:r>
                        <w:r>
                          <w:rPr>
                            <w:rFonts w:ascii="宋体"/>
                            <w:sz w:val="16"/>
                          </w:rPr>
                          <w:t> </w:t>
                        </w:r>
                      </w:p>
                    </w:tc>
                  </w:tr>
                  <w:tr>
                    <w:trPr>
                      <w:trHeight w:val="629" w:hRule="exact"/>
                    </w:trPr>
                    <w:tc>
                      <w:tcPr>
                        <w:tcW w:w="1591" w:type="dxa"/>
                        <w:tcBorders>
                          <w:top w:val="nil" w:sz="6" w:space="0" w:color="auto"/>
                          <w:left w:val="nil" w:sz="6" w:space="0" w:color="auto"/>
                          <w:bottom w:val="nil" w:sz="6" w:space="0" w:color="auto"/>
                          <w:right w:val="single" w:sz="4" w:space="0" w:color="000000"/>
                        </w:tcBorders>
                      </w:tcPr>
                      <w:p>
                        <w:pPr>
                          <w:pStyle w:val="TableParagraph"/>
                          <w:spacing w:line="357" w:lineRule="auto" w:before="26"/>
                          <w:ind w:left="122" w:right="180"/>
                          <w:jc w:val="left"/>
                          <w:rPr>
                            <w:rFonts w:ascii="宋体" w:hAnsi="宋体" w:cs="宋体" w:eastAsia="宋体" w:hint="default"/>
                            <w:sz w:val="16"/>
                            <w:szCs w:val="16"/>
                          </w:rPr>
                        </w:pPr>
                        <w:r>
                          <w:rPr>
                            <w:rFonts w:ascii="宋体" w:hAnsi="宋体" w:cs="宋体" w:eastAsia="宋体" w:hint="default"/>
                            <w:spacing w:val="-1"/>
                            <w:sz w:val="16"/>
                            <w:szCs w:val="16"/>
                          </w:rPr>
                          <w:t>应付票据及应付账</w:t>
                        </w:r>
                        <w:r>
                          <w:rPr>
                            <w:rFonts w:ascii="宋体" w:hAnsi="宋体" w:cs="宋体" w:eastAsia="宋体" w:hint="default"/>
                            <w:spacing w:val="-72"/>
                            <w:sz w:val="16"/>
                            <w:szCs w:val="16"/>
                          </w:rPr>
                          <w:t> </w:t>
                        </w:r>
                        <w:r>
                          <w:rPr>
                            <w:rFonts w:ascii="宋体" w:hAnsi="宋体" w:cs="宋体" w:eastAsia="宋体" w:hint="default"/>
                            <w:spacing w:val="-72"/>
                            <w:sz w:val="16"/>
                            <w:szCs w:val="16"/>
                          </w:rPr>
                        </w:r>
                        <w:r>
                          <w:rPr>
                            <w:rFonts w:ascii="宋体" w:hAnsi="宋体" w:cs="宋体" w:eastAsia="宋体" w:hint="default"/>
                            <w:sz w:val="16"/>
                            <w:szCs w:val="16"/>
                          </w:rPr>
                          <w:t>款</w:t>
                        </w:r>
                        <w:r>
                          <w:rPr>
                            <w:rFonts w:ascii="宋体" w:hAnsi="宋体" w:cs="宋体" w:eastAsia="宋体" w:hint="default"/>
                            <w:sz w:val="16"/>
                            <w:szCs w:val="16"/>
                          </w:rPr>
                          <w:t> </w:t>
                        </w:r>
                      </w:p>
                    </w:tc>
                    <w:tc>
                      <w:tcPr>
                        <w:tcW w:w="1534"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23"/>
                          <w:jc w:val="right"/>
                          <w:rPr>
                            <w:rFonts w:ascii="宋体" w:hAnsi="宋体" w:cs="宋体" w:eastAsia="宋体" w:hint="default"/>
                            <w:sz w:val="16"/>
                            <w:szCs w:val="16"/>
                          </w:rPr>
                        </w:pPr>
                        <w:r>
                          <w:rPr>
                            <w:rFonts w:ascii="宋体"/>
                            <w:spacing w:val="-2"/>
                            <w:sz w:val="16"/>
                          </w:rPr>
                          <w:t>1,611,805,696.69</w:t>
                        </w:r>
                        <w:r>
                          <w:rPr>
                            <w:rFonts w:ascii="宋体"/>
                            <w:sz w:val="16"/>
                          </w:rPr>
                          <w:t> </w:t>
                        </w:r>
                      </w:p>
                    </w:tc>
                    <w:tc>
                      <w:tcPr>
                        <w:tcW w:w="1534"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23"/>
                          <w:jc w:val="right"/>
                          <w:rPr>
                            <w:rFonts w:ascii="宋体" w:hAnsi="宋体" w:cs="宋体" w:eastAsia="宋体" w:hint="default"/>
                            <w:sz w:val="16"/>
                            <w:szCs w:val="16"/>
                          </w:rPr>
                        </w:pPr>
                        <w:r>
                          <w:rPr>
                            <w:rFonts w:ascii="宋体"/>
                            <w:w w:val="100"/>
                            <w:sz w:val="16"/>
                          </w:rPr>
                          <w:t> </w:t>
                        </w:r>
                      </w:p>
                    </w:tc>
                    <w:tc>
                      <w:tcPr>
                        <w:tcW w:w="1877"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20"/>
                          <w:jc w:val="right"/>
                          <w:rPr>
                            <w:rFonts w:ascii="宋体" w:hAnsi="宋体" w:cs="宋体" w:eastAsia="宋体" w:hint="default"/>
                            <w:sz w:val="16"/>
                            <w:szCs w:val="16"/>
                          </w:rPr>
                        </w:pPr>
                        <w:r>
                          <w:rPr>
                            <w:rFonts w:ascii="宋体"/>
                            <w:spacing w:val="-2"/>
                            <w:sz w:val="16"/>
                          </w:rPr>
                          <w:t>854,416,400.16</w:t>
                        </w:r>
                        <w:r>
                          <w:rPr>
                            <w:rFonts w:ascii="宋体"/>
                            <w:sz w:val="16"/>
                          </w:rPr>
                          <w:t> </w:t>
                        </w:r>
                      </w:p>
                    </w:tc>
                    <w:tc>
                      <w:tcPr>
                        <w:tcW w:w="1496" w:type="dxa"/>
                        <w:tcBorders>
                          <w:top w:val="nil" w:sz="6" w:space="0" w:color="auto"/>
                          <w:left w:val="single" w:sz="4" w:space="0" w:color="000000"/>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25"/>
                          <w:jc w:val="right"/>
                          <w:rPr>
                            <w:rFonts w:ascii="宋体" w:hAnsi="宋体" w:cs="宋体" w:eastAsia="宋体" w:hint="default"/>
                            <w:sz w:val="16"/>
                            <w:szCs w:val="16"/>
                          </w:rPr>
                        </w:pPr>
                        <w:r>
                          <w:rPr>
                            <w:rFonts w:ascii="宋体"/>
                            <w:w w:val="100"/>
                            <w:sz w:val="16"/>
                          </w:rPr>
                          <w:t> </w:t>
                        </w:r>
                      </w:p>
                    </w:tc>
                  </w:tr>
                  <w:tr>
                    <w:trPr>
                      <w:trHeight w:val="323" w:hRule="exact"/>
                    </w:trPr>
                    <w:tc>
                      <w:tcPr>
                        <w:tcW w:w="1591" w:type="dxa"/>
                        <w:tcBorders>
                          <w:top w:val="nil" w:sz="6" w:space="0" w:color="auto"/>
                          <w:left w:val="nil" w:sz="6" w:space="0" w:color="auto"/>
                          <w:bottom w:val="nil" w:sz="6" w:space="0" w:color="auto"/>
                          <w:right w:val="single" w:sz="4" w:space="0" w:color="000000"/>
                        </w:tcBorders>
                      </w:tcPr>
                      <w:p>
                        <w:pPr>
                          <w:pStyle w:val="TableParagraph"/>
                          <w:spacing w:line="240" w:lineRule="auto" w:before="31"/>
                          <w:ind w:left="122" w:right="0"/>
                          <w:jc w:val="left"/>
                          <w:rPr>
                            <w:rFonts w:ascii="宋体" w:hAnsi="宋体" w:cs="宋体" w:eastAsia="宋体" w:hint="default"/>
                            <w:sz w:val="16"/>
                            <w:szCs w:val="16"/>
                          </w:rPr>
                        </w:pPr>
                        <w:r>
                          <w:rPr>
                            <w:rFonts w:ascii="宋体" w:hAnsi="宋体" w:cs="宋体" w:eastAsia="宋体" w:hint="default"/>
                            <w:sz w:val="16"/>
                            <w:szCs w:val="16"/>
                          </w:rPr>
                          <w:t>应付票据</w:t>
                        </w:r>
                        <w:r>
                          <w:rPr>
                            <w:rFonts w:ascii="宋体" w:hAnsi="宋体" w:cs="宋体" w:eastAsia="宋体" w:hint="default"/>
                            <w:sz w:val="16"/>
                            <w:szCs w:val="16"/>
                          </w:rPr>
                          <w:t> </w:t>
                        </w:r>
                      </w:p>
                    </w:tc>
                    <w:tc>
                      <w:tcPr>
                        <w:tcW w:w="1534"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right="23"/>
                          <w:jc w:val="right"/>
                          <w:rPr>
                            <w:rFonts w:ascii="宋体" w:hAnsi="宋体" w:cs="宋体" w:eastAsia="宋体" w:hint="default"/>
                            <w:sz w:val="16"/>
                            <w:szCs w:val="16"/>
                          </w:rPr>
                        </w:pPr>
                        <w:r>
                          <w:rPr>
                            <w:rFonts w:ascii="宋体"/>
                            <w:w w:val="100"/>
                            <w:sz w:val="16"/>
                          </w:rPr>
                          <w:t> </w:t>
                        </w:r>
                      </w:p>
                    </w:tc>
                    <w:tc>
                      <w:tcPr>
                        <w:tcW w:w="1534"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right="23"/>
                          <w:jc w:val="right"/>
                          <w:rPr>
                            <w:rFonts w:ascii="宋体" w:hAnsi="宋体" w:cs="宋体" w:eastAsia="宋体" w:hint="default"/>
                            <w:sz w:val="16"/>
                            <w:szCs w:val="16"/>
                          </w:rPr>
                        </w:pPr>
                        <w:r>
                          <w:rPr>
                            <w:rFonts w:ascii="宋体"/>
                            <w:spacing w:val="-2"/>
                            <w:sz w:val="16"/>
                          </w:rPr>
                          <w:t>595,703,446.86</w:t>
                        </w:r>
                        <w:r>
                          <w:rPr>
                            <w:rFonts w:ascii="宋体"/>
                            <w:sz w:val="16"/>
                          </w:rPr>
                          <w:t> </w:t>
                        </w:r>
                      </w:p>
                    </w:tc>
                    <w:tc>
                      <w:tcPr>
                        <w:tcW w:w="1877"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right="20"/>
                          <w:jc w:val="right"/>
                          <w:rPr>
                            <w:rFonts w:ascii="宋体" w:hAnsi="宋体" w:cs="宋体" w:eastAsia="宋体" w:hint="default"/>
                            <w:sz w:val="16"/>
                            <w:szCs w:val="16"/>
                          </w:rPr>
                        </w:pPr>
                        <w:r>
                          <w:rPr>
                            <w:rFonts w:ascii="宋体"/>
                            <w:w w:val="100"/>
                            <w:sz w:val="16"/>
                          </w:rPr>
                          <w:t> </w:t>
                        </w:r>
                      </w:p>
                    </w:tc>
                    <w:tc>
                      <w:tcPr>
                        <w:tcW w:w="1496" w:type="dxa"/>
                        <w:tcBorders>
                          <w:top w:val="nil" w:sz="6" w:space="0" w:color="auto"/>
                          <w:left w:val="single" w:sz="4" w:space="0" w:color="000000"/>
                          <w:bottom w:val="nil" w:sz="6" w:space="0" w:color="auto"/>
                          <w:right w:val="nil" w:sz="6" w:space="0" w:color="auto"/>
                        </w:tcBorders>
                      </w:tcPr>
                      <w:p>
                        <w:pPr>
                          <w:pStyle w:val="TableParagraph"/>
                          <w:spacing w:line="240" w:lineRule="auto" w:before="31"/>
                          <w:ind w:right="25"/>
                          <w:jc w:val="right"/>
                          <w:rPr>
                            <w:rFonts w:ascii="宋体" w:hAnsi="宋体" w:cs="宋体" w:eastAsia="宋体" w:hint="default"/>
                            <w:sz w:val="16"/>
                            <w:szCs w:val="16"/>
                          </w:rPr>
                        </w:pPr>
                        <w:r>
                          <w:rPr>
                            <w:rFonts w:ascii="宋体"/>
                            <w:spacing w:val="-2"/>
                            <w:sz w:val="16"/>
                          </w:rPr>
                          <w:t>467,553,549.72 </w:t>
                        </w:r>
                      </w:p>
                    </w:tc>
                  </w:tr>
                  <w:tr>
                    <w:trPr>
                      <w:trHeight w:val="333" w:hRule="exact"/>
                    </w:trPr>
                    <w:tc>
                      <w:tcPr>
                        <w:tcW w:w="1591" w:type="dxa"/>
                        <w:tcBorders>
                          <w:top w:val="nil" w:sz="6" w:space="0" w:color="auto"/>
                          <w:left w:val="nil" w:sz="6" w:space="0" w:color="auto"/>
                          <w:bottom w:val="single" w:sz="12" w:space="0" w:color="000000"/>
                          <w:right w:val="single" w:sz="4" w:space="0" w:color="000000"/>
                        </w:tcBorders>
                      </w:tcPr>
                      <w:p>
                        <w:pPr>
                          <w:pStyle w:val="TableParagraph"/>
                          <w:spacing w:line="240" w:lineRule="auto" w:before="33"/>
                          <w:ind w:left="122" w:right="0"/>
                          <w:jc w:val="left"/>
                          <w:rPr>
                            <w:rFonts w:ascii="宋体" w:hAnsi="宋体" w:cs="宋体" w:eastAsia="宋体" w:hint="default"/>
                            <w:sz w:val="16"/>
                            <w:szCs w:val="16"/>
                          </w:rPr>
                        </w:pPr>
                        <w:r>
                          <w:rPr>
                            <w:rFonts w:ascii="宋体" w:hAnsi="宋体" w:cs="宋体" w:eastAsia="宋体" w:hint="default"/>
                            <w:sz w:val="16"/>
                            <w:szCs w:val="16"/>
                          </w:rPr>
                          <w:t>应付账款</w:t>
                        </w:r>
                        <w:r>
                          <w:rPr>
                            <w:rFonts w:ascii="宋体" w:hAnsi="宋体" w:cs="宋体" w:eastAsia="宋体" w:hint="default"/>
                            <w:sz w:val="16"/>
                            <w:szCs w:val="16"/>
                          </w:rPr>
                          <w:t> </w:t>
                        </w:r>
                      </w:p>
                    </w:tc>
                    <w:tc>
                      <w:tcPr>
                        <w:tcW w:w="1534"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33"/>
                          <w:ind w:right="23"/>
                          <w:jc w:val="right"/>
                          <w:rPr>
                            <w:rFonts w:ascii="宋体" w:hAnsi="宋体" w:cs="宋体" w:eastAsia="宋体" w:hint="default"/>
                            <w:sz w:val="16"/>
                            <w:szCs w:val="16"/>
                          </w:rPr>
                        </w:pPr>
                        <w:r>
                          <w:rPr>
                            <w:rFonts w:ascii="宋体"/>
                            <w:w w:val="100"/>
                            <w:sz w:val="16"/>
                          </w:rPr>
                          <w:t> </w:t>
                        </w:r>
                      </w:p>
                    </w:tc>
                    <w:tc>
                      <w:tcPr>
                        <w:tcW w:w="1534"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33"/>
                          <w:ind w:right="23"/>
                          <w:jc w:val="right"/>
                          <w:rPr>
                            <w:rFonts w:ascii="宋体" w:hAnsi="宋体" w:cs="宋体" w:eastAsia="宋体" w:hint="default"/>
                            <w:sz w:val="16"/>
                            <w:szCs w:val="16"/>
                          </w:rPr>
                        </w:pPr>
                        <w:r>
                          <w:rPr>
                            <w:rFonts w:ascii="宋体"/>
                            <w:spacing w:val="-2"/>
                            <w:sz w:val="16"/>
                          </w:rPr>
                          <w:t>1,016,102,249.83</w:t>
                        </w:r>
                        <w:r>
                          <w:rPr>
                            <w:rFonts w:ascii="宋体"/>
                            <w:sz w:val="16"/>
                          </w:rPr>
                          <w:t> </w:t>
                        </w:r>
                      </w:p>
                    </w:tc>
                    <w:tc>
                      <w:tcPr>
                        <w:tcW w:w="1877"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33"/>
                          <w:ind w:right="20"/>
                          <w:jc w:val="right"/>
                          <w:rPr>
                            <w:rFonts w:ascii="宋体" w:hAnsi="宋体" w:cs="宋体" w:eastAsia="宋体" w:hint="default"/>
                            <w:sz w:val="16"/>
                            <w:szCs w:val="16"/>
                          </w:rPr>
                        </w:pPr>
                        <w:r>
                          <w:rPr>
                            <w:rFonts w:ascii="宋体"/>
                            <w:w w:val="100"/>
                            <w:sz w:val="16"/>
                          </w:rPr>
                          <w:t> </w:t>
                        </w:r>
                      </w:p>
                    </w:tc>
                    <w:tc>
                      <w:tcPr>
                        <w:tcW w:w="1496" w:type="dxa"/>
                        <w:tcBorders>
                          <w:top w:val="nil" w:sz="6" w:space="0" w:color="auto"/>
                          <w:left w:val="single" w:sz="4" w:space="0" w:color="000000"/>
                          <w:bottom w:val="single" w:sz="12" w:space="0" w:color="000000"/>
                          <w:right w:val="nil" w:sz="6" w:space="0" w:color="auto"/>
                        </w:tcBorders>
                      </w:tcPr>
                      <w:p>
                        <w:pPr>
                          <w:pStyle w:val="TableParagraph"/>
                          <w:spacing w:line="240" w:lineRule="auto" w:before="33"/>
                          <w:ind w:right="25"/>
                          <w:jc w:val="right"/>
                          <w:rPr>
                            <w:rFonts w:ascii="宋体" w:hAnsi="宋体" w:cs="宋体" w:eastAsia="宋体" w:hint="default"/>
                            <w:sz w:val="16"/>
                            <w:szCs w:val="16"/>
                          </w:rPr>
                        </w:pPr>
                        <w:r>
                          <w:rPr>
                            <w:rFonts w:ascii="宋体"/>
                            <w:spacing w:val="-2"/>
                            <w:sz w:val="16"/>
                          </w:rPr>
                          <w:t>386,862,850.44 </w:t>
                        </w:r>
                      </w:p>
                    </w:tc>
                  </w:tr>
                </w:tbl>
                <w:p>
                  <w:pPr/>
                </w:p>
              </w:txbxContent>
            </v:textbox>
            <w10:wrap type="none"/>
          </v:shape>
        </w:pict>
      </w:r>
      <w:r>
        <w:rPr>
          <w:spacing w:val="-5"/>
        </w:rPr>
        <w:t>（</w:t>
      </w:r>
      <w:r>
        <w:rPr>
          <w:rFonts w:ascii="宋体" w:hAnsi="宋体" w:cs="宋体" w:eastAsia="宋体" w:hint="default"/>
          <w:spacing w:val="-5"/>
        </w:rPr>
        <w:t>1</w:t>
      </w:r>
      <w:r>
        <w:rPr>
          <w:spacing w:val="-5"/>
        </w:rPr>
        <w:t>）财政部分别于</w:t>
      </w:r>
      <w:r>
        <w:rPr>
          <w:spacing w:val="-50"/>
        </w:rPr>
        <w:t> </w:t>
      </w:r>
      <w:r>
        <w:rPr>
          <w:rFonts w:ascii="Times New Roman" w:hAnsi="Times New Roman" w:cs="Times New Roman" w:eastAsia="Times New Roman" w:hint="default"/>
        </w:rPr>
        <w:t>2019 </w:t>
      </w:r>
      <w:r>
        <w:rPr/>
        <w:t>年</w:t>
      </w:r>
      <w:r>
        <w:rPr>
          <w:spacing w:val="-49"/>
        </w:rPr>
        <w:t> </w:t>
      </w:r>
      <w:r>
        <w:rPr>
          <w:rFonts w:ascii="Times New Roman" w:hAnsi="Times New Roman" w:cs="Times New Roman" w:eastAsia="Times New Roman" w:hint="default"/>
        </w:rPr>
        <w:t>4 </w:t>
      </w:r>
      <w:r>
        <w:rPr/>
        <w:t>月</w:t>
      </w:r>
      <w:r>
        <w:rPr>
          <w:spacing w:val="-50"/>
        </w:rPr>
        <w:t> </w:t>
      </w:r>
      <w:r>
        <w:rPr>
          <w:rFonts w:ascii="Times New Roman" w:hAnsi="Times New Roman" w:cs="Times New Roman" w:eastAsia="Times New Roman" w:hint="default"/>
        </w:rPr>
        <w:t>30 </w:t>
      </w:r>
      <w:r>
        <w:rPr/>
        <w:t>日和</w:t>
      </w:r>
      <w:r>
        <w:rPr>
          <w:spacing w:val="-52"/>
        </w:rPr>
        <w:t> </w:t>
      </w:r>
      <w:r>
        <w:rPr>
          <w:rFonts w:ascii="Times New Roman" w:hAnsi="Times New Roman" w:cs="Times New Roman" w:eastAsia="Times New Roman" w:hint="default"/>
        </w:rPr>
        <w:t>2019 </w:t>
      </w:r>
      <w:r>
        <w:rPr/>
        <w:t>年</w:t>
      </w:r>
      <w:r>
        <w:rPr>
          <w:spacing w:val="-50"/>
        </w:rPr>
        <w:t> </w:t>
      </w:r>
      <w:r>
        <w:rPr>
          <w:rFonts w:ascii="Times New Roman" w:hAnsi="Times New Roman" w:cs="Times New Roman" w:eastAsia="Times New Roman" w:hint="default"/>
        </w:rPr>
        <w:t>9 </w:t>
      </w:r>
      <w:r>
        <w:rPr/>
        <w:t>月</w:t>
      </w:r>
      <w:r>
        <w:rPr>
          <w:spacing w:val="-50"/>
        </w:rPr>
        <w:t> </w:t>
      </w:r>
      <w:r>
        <w:rPr>
          <w:rFonts w:ascii="Times New Roman" w:hAnsi="Times New Roman" w:cs="Times New Roman" w:eastAsia="Times New Roman" w:hint="default"/>
        </w:rPr>
        <w:t>19</w:t>
      </w:r>
      <w:r>
        <w:rPr>
          <w:rFonts w:ascii="Times New Roman" w:hAnsi="Times New Roman" w:cs="Times New Roman" w:eastAsia="Times New Roman" w:hint="default"/>
          <w:spacing w:val="1"/>
        </w:rPr>
        <w:t> </w:t>
      </w:r>
      <w:r>
        <w:rPr>
          <w:spacing w:val="-4"/>
        </w:rPr>
        <w:t>日发布了《关于修订印发</w:t>
      </w:r>
      <w:r>
        <w:rPr>
          <w:spacing w:val="-50"/>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年度一</w:t>
      </w:r>
      <w:r>
        <w:rPr>
          <w:w w:val="100"/>
        </w:rPr>
        <w:t> </w:t>
      </w:r>
      <w:r>
        <w:rPr>
          <w:spacing w:val="-11"/>
          <w:w w:val="100"/>
        </w:rPr>
        <w:t>般企业财务报表格式的通知》（财会（</w:t>
      </w:r>
      <w:r>
        <w:rPr>
          <w:rFonts w:ascii="Times New Roman" w:hAnsi="Times New Roman" w:cs="Times New Roman" w:eastAsia="Times New Roman" w:hint="default"/>
          <w:spacing w:val="-11"/>
          <w:w w:val="100"/>
        </w:rPr>
        <w:t>2019</w:t>
      </w:r>
      <w:r>
        <w:rPr>
          <w:spacing w:val="-11"/>
          <w:w w:val="100"/>
        </w:rPr>
        <w:t>）</w:t>
      </w:r>
      <w:r>
        <w:rPr>
          <w:rFonts w:ascii="Times New Roman" w:hAnsi="Times New Roman" w:cs="Times New Roman" w:eastAsia="Times New Roman" w:hint="default"/>
          <w:spacing w:val="-11"/>
          <w:w w:val="100"/>
        </w:rPr>
        <w:t>6</w:t>
      </w:r>
      <w:r>
        <w:rPr>
          <w:rFonts w:ascii="Times New Roman" w:hAnsi="Times New Roman" w:cs="Times New Roman" w:eastAsia="Times New Roman" w:hint="default"/>
          <w:spacing w:val="13"/>
          <w:w w:val="100"/>
        </w:rPr>
        <w:t> </w:t>
      </w:r>
      <w:r>
        <w:rPr>
          <w:spacing w:val="-9"/>
          <w:w w:val="100"/>
        </w:rPr>
        <w:t>号）和《关于修订印发合并财务报表格式（</w:t>
      </w:r>
      <w:r>
        <w:rPr>
          <w:rFonts w:ascii="Times New Roman" w:hAnsi="Times New Roman" w:cs="Times New Roman" w:eastAsia="Times New Roman" w:hint="default"/>
          <w:spacing w:val="-9"/>
          <w:w w:val="100"/>
        </w:rPr>
        <w:t>2019</w:t>
      </w:r>
      <w:r>
        <w:rPr>
          <w:rFonts w:ascii="Times New Roman" w:hAnsi="Times New Roman" w:cs="Times New Roman" w:eastAsia="Times New Roman" w:hint="default"/>
          <w:w w:val="100"/>
        </w:rPr>
        <w:t> </w:t>
      </w:r>
      <w:r>
        <w:rPr>
          <w:spacing w:val="-4"/>
        </w:rPr>
        <w:t>版）的通知》（财会（</w:t>
      </w:r>
      <w:r>
        <w:rPr>
          <w:rFonts w:ascii="Times New Roman" w:hAnsi="Times New Roman" w:cs="Times New Roman" w:eastAsia="Times New Roman" w:hint="default"/>
          <w:spacing w:val="-4"/>
        </w:rPr>
        <w:t>2019</w:t>
      </w:r>
      <w:r>
        <w:rPr>
          <w:spacing w:val="-4"/>
        </w:rPr>
        <w:t>）</w:t>
      </w:r>
      <w:r>
        <w:rPr>
          <w:rFonts w:ascii="Times New Roman" w:hAnsi="Times New Roman" w:cs="Times New Roman" w:eastAsia="Times New Roman" w:hint="default"/>
          <w:spacing w:val="-4"/>
        </w:rPr>
        <w:t>16</w:t>
      </w:r>
      <w:r>
        <w:rPr>
          <w:rFonts w:ascii="Times New Roman" w:hAnsi="Times New Roman" w:cs="Times New Roman" w:eastAsia="Times New Roman" w:hint="default"/>
          <w:spacing w:val="-2"/>
        </w:rPr>
        <w:t> </w:t>
      </w:r>
      <w:r>
        <w:rPr>
          <w:spacing w:val="-3"/>
        </w:rPr>
        <w:t>号），对一般企业财务报表格式进行了修订。公司对财务报</w:t>
      </w:r>
      <w:r>
        <w:rPr>
          <w:w w:val="100"/>
        </w:rPr>
        <w:t> </w:t>
      </w:r>
      <w:r>
        <w:rPr>
          <w:spacing w:val="-2"/>
        </w:rPr>
        <w:t>表相关科目进行列报调整，并对可比会计期间的比较数据进行了调整。本次会计政策变更对</w:t>
      </w:r>
      <w:r>
        <w:rPr>
          <w:w w:val="100"/>
        </w:rPr>
        <w:t> </w:t>
      </w:r>
      <w:r>
        <w:rPr/>
        <w:t>公司</w:t>
      </w:r>
      <w:r>
        <w:rPr>
          <w:spacing w:val="-54"/>
        </w:rPr>
        <w:t> </w:t>
      </w:r>
      <w:r>
        <w:rPr>
          <w:rFonts w:ascii="Times New Roman" w:hAnsi="Times New Roman" w:cs="Times New Roman" w:eastAsia="Times New Roman" w:hint="default"/>
        </w:rPr>
        <w:t>2018</w:t>
      </w:r>
      <w:r>
        <w:rPr>
          <w:rFonts w:ascii="Times New Roman" w:hAnsi="Times New Roman" w:cs="Times New Roman" w:eastAsia="Times New Roman" w:hint="default"/>
          <w:spacing w:val="-4"/>
        </w:rPr>
        <w:t> </w:t>
      </w:r>
      <w:r>
        <w:rPr/>
        <w:t>年度财务报表项目列报影响如下：</w:t>
      </w:r>
    </w:p>
    <w:p>
      <w:pPr>
        <w:spacing w:line="240" w:lineRule="auto" w:before="9"/>
        <w:rPr>
          <w:rFonts w:ascii="宋体" w:hAnsi="宋体" w:cs="宋体" w:eastAsia="宋体" w:hint="default"/>
          <w:sz w:val="12"/>
          <w:szCs w:val="12"/>
        </w:rPr>
      </w:pPr>
    </w:p>
    <w:p>
      <w:pPr>
        <w:spacing w:line="117" w:lineRule="exact"/>
        <w:ind w:left="2062" w:right="0" w:firstLine="0"/>
        <w:rPr>
          <w:rFonts w:ascii="宋体" w:hAnsi="宋体" w:cs="宋体" w:eastAsia="宋体" w:hint="default"/>
          <w:sz w:val="11"/>
          <w:szCs w:val="11"/>
        </w:rPr>
      </w:pPr>
      <w:r>
        <w:rPr>
          <w:rFonts w:ascii="宋体" w:hAnsi="宋体" w:cs="宋体" w:eastAsia="宋体" w:hint="default"/>
          <w:position w:val="-1"/>
          <w:sz w:val="11"/>
          <w:szCs w:val="11"/>
        </w:rPr>
        <w:pict>
          <v:group style="width:322.8pt;height:5.9pt;mso-position-horizontal-relative:char;mso-position-vertical-relative:line" coordorigin="0,0" coordsize="6456,118">
            <v:shape style="position:absolute;left:0;top:0;width:1544;height:118" type="#_x0000_t75" stroked="false">
              <v:imagedata r:id="rId76" o:title=""/>
            </v:shape>
            <v:shape style="position:absolute;left:1539;top:96;width:1548;height:22" type="#_x0000_t75" stroked="false">
              <v:imagedata r:id="rId77" o:title=""/>
            </v:shape>
            <v:shape style="position:absolute;left:3068;top:98;width:1887;height:19" type="#_x0000_t75" stroked="false">
              <v:imagedata r:id="rId78" o:title=""/>
            </v:shape>
            <v:shape style="position:absolute;left:4950;top:98;width:1505;height:19" type="#_x0000_t75" stroked="false">
              <v:imagedata r:id="rId79" o:title=""/>
            </v:shape>
          </v:group>
        </w:pict>
      </w:r>
      <w:r>
        <w:rPr>
          <w:rFonts w:ascii="宋体" w:hAnsi="宋体" w:cs="宋体" w:eastAsia="宋体" w:hint="default"/>
          <w:position w:val="-1"/>
          <w:sz w:val="11"/>
          <w:szCs w:val="11"/>
        </w:rPr>
      </w:r>
    </w:p>
    <w:p>
      <w:pPr>
        <w:spacing w:line="240" w:lineRule="auto" w:before="1"/>
        <w:rPr>
          <w:rFonts w:ascii="宋体" w:hAnsi="宋体" w:cs="宋体" w:eastAsia="宋体" w:hint="default"/>
          <w:sz w:val="24"/>
          <w:szCs w:val="24"/>
        </w:rPr>
      </w:pPr>
    </w:p>
    <w:p>
      <w:pPr>
        <w:spacing w:line="20" w:lineRule="exact"/>
        <w:ind w:left="500" w:right="0" w:firstLine="0"/>
        <w:rPr>
          <w:rFonts w:ascii="宋体" w:hAnsi="宋体" w:cs="宋体" w:eastAsia="宋体" w:hint="default"/>
          <w:sz w:val="2"/>
          <w:szCs w:val="2"/>
        </w:rPr>
      </w:pPr>
      <w:r>
        <w:rPr>
          <w:rFonts w:ascii="宋体" w:hAnsi="宋体" w:cs="宋体" w:eastAsia="宋体" w:hint="default"/>
          <w:sz w:val="2"/>
          <w:szCs w:val="2"/>
        </w:rPr>
        <w:pict>
          <v:group style="width:400.9pt;height:.5pt;mso-position-horizontal-relative:char;mso-position-vertical-relative:line" coordorigin="0,0" coordsize="8018,10">
            <v:shape style="position:absolute;left:0;top:0;width:1572;height:10" type="#_x0000_t75" stroked="false">
              <v:imagedata r:id="rId80" o:title=""/>
            </v:shape>
            <v:shape style="position:absolute;left:1567;top:0;width:1539;height:10" type="#_x0000_t75" stroked="false">
              <v:imagedata r:id="rId81" o:title=""/>
            </v:shape>
            <v:shape style="position:absolute;left:3101;top:0;width:3416;height:10" type="#_x0000_t75" stroked="false">
              <v:imagedata r:id="rId82" o:title=""/>
            </v:shape>
            <v:shape style="position:absolute;left:6512;top:0;width:1505;height:10" type="#_x0000_t75" stroked="false">
              <v:imagedata r:id="rId83" o:title=""/>
            </v:shape>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6"/>
          <w:szCs w:val="26"/>
        </w:rPr>
      </w:pPr>
    </w:p>
    <w:p>
      <w:pPr>
        <w:spacing w:line="20" w:lineRule="exact"/>
        <w:ind w:left="500" w:right="0" w:firstLine="0"/>
        <w:rPr>
          <w:rFonts w:ascii="宋体" w:hAnsi="宋体" w:cs="宋体" w:eastAsia="宋体" w:hint="default"/>
          <w:sz w:val="2"/>
          <w:szCs w:val="2"/>
        </w:rPr>
      </w:pPr>
      <w:r>
        <w:rPr>
          <w:rFonts w:ascii="宋体" w:hAnsi="宋体" w:cs="宋体" w:eastAsia="宋体" w:hint="default"/>
          <w:sz w:val="2"/>
          <w:szCs w:val="2"/>
        </w:rPr>
        <w:pict>
          <v:group style="width:400.9pt;height:.5pt;mso-position-horizontal-relative:char;mso-position-vertical-relative:line" coordorigin="0,0" coordsize="8018,10">
            <v:shape style="position:absolute;left:0;top:0;width:1572;height:10" type="#_x0000_t75" stroked="false">
              <v:imagedata r:id="rId80" o:title=""/>
            </v:shape>
            <v:shape style="position:absolute;left:1567;top:0;width:1539;height:10" type="#_x0000_t75" stroked="false">
              <v:imagedata r:id="rId84" o:title=""/>
            </v:shape>
            <v:shape style="position:absolute;left:3101;top:0;width:3416;height:10" type="#_x0000_t75" stroked="false">
              <v:imagedata r:id="rId85" o:title=""/>
            </v:shape>
            <v:shape style="position:absolute;left:6512;top:0;width:1505;height:10" type="#_x0000_t75" stroked="false">
              <v:imagedata r:id="rId86" o:title=""/>
            </v:shape>
          </v:group>
        </w:pict>
      </w:r>
      <w:r>
        <w:rPr>
          <w:rFonts w:ascii="宋体" w:hAnsi="宋体" w:cs="宋体" w:eastAsia="宋体" w:hint="default"/>
          <w:sz w:val="2"/>
          <w:szCs w:val="2"/>
        </w:rPr>
      </w:r>
    </w:p>
    <w:p>
      <w:pPr>
        <w:spacing w:line="240" w:lineRule="auto" w:before="1"/>
        <w:rPr>
          <w:rFonts w:ascii="宋体" w:hAnsi="宋体" w:cs="宋体" w:eastAsia="宋体" w:hint="default"/>
          <w:sz w:val="23"/>
          <w:szCs w:val="23"/>
        </w:rPr>
      </w:pPr>
    </w:p>
    <w:p>
      <w:pPr>
        <w:spacing w:line="20" w:lineRule="exact"/>
        <w:ind w:left="500" w:right="0" w:firstLine="0"/>
        <w:rPr>
          <w:rFonts w:ascii="宋体" w:hAnsi="宋体" w:cs="宋体" w:eastAsia="宋体" w:hint="default"/>
          <w:sz w:val="2"/>
          <w:szCs w:val="2"/>
        </w:rPr>
      </w:pPr>
      <w:r>
        <w:rPr>
          <w:rFonts w:ascii="宋体" w:hAnsi="宋体" w:cs="宋体" w:eastAsia="宋体" w:hint="default"/>
          <w:sz w:val="2"/>
          <w:szCs w:val="2"/>
        </w:rPr>
        <w:pict>
          <v:group style="width:400.9pt;height:.5pt;mso-position-horizontal-relative:char;mso-position-vertical-relative:line" coordorigin="0,0" coordsize="8018,10">
            <v:shape style="position:absolute;left:0;top:0;width:1572;height:10" type="#_x0000_t75" stroked="false">
              <v:imagedata r:id="rId80" o:title=""/>
            </v:shape>
            <v:shape style="position:absolute;left:1567;top:0;width:1539;height:10" type="#_x0000_t75" stroked="false">
              <v:imagedata r:id="rId84" o:title=""/>
            </v:shape>
            <v:shape style="position:absolute;left:3101;top:0;width:3416;height:10" type="#_x0000_t75" stroked="false">
              <v:imagedata r:id="rId85" o:title=""/>
            </v:shape>
            <v:shape style="position:absolute;left:6512;top:0;width:1505;height:10" type="#_x0000_t75" stroked="false">
              <v:imagedata r:id="rId86" o:title=""/>
            </v:shape>
          </v:group>
        </w:pict>
      </w:r>
      <w:r>
        <w:rPr>
          <w:rFonts w:ascii="宋体" w:hAnsi="宋体" w:cs="宋体" w:eastAsia="宋体" w:hint="default"/>
          <w:sz w:val="2"/>
          <w:szCs w:val="2"/>
        </w:rPr>
      </w:r>
    </w:p>
    <w:p>
      <w:pPr>
        <w:spacing w:line="240" w:lineRule="auto" w:before="5"/>
        <w:rPr>
          <w:rFonts w:ascii="宋体" w:hAnsi="宋体" w:cs="宋体" w:eastAsia="宋体" w:hint="default"/>
          <w:sz w:val="15"/>
          <w:szCs w:val="15"/>
        </w:rPr>
      </w:pPr>
    </w:p>
    <w:p>
      <w:pPr>
        <w:spacing w:line="110" w:lineRule="exact"/>
        <w:ind w:left="500" w:right="0" w:firstLine="0"/>
        <w:rPr>
          <w:rFonts w:ascii="宋体" w:hAnsi="宋体" w:cs="宋体" w:eastAsia="宋体" w:hint="default"/>
          <w:sz w:val="11"/>
          <w:szCs w:val="11"/>
        </w:rPr>
      </w:pPr>
      <w:r>
        <w:rPr>
          <w:rFonts w:ascii="宋体" w:hAnsi="宋体" w:cs="宋体" w:eastAsia="宋体" w:hint="default"/>
          <w:position w:val="-1"/>
          <w:sz w:val="11"/>
          <w:szCs w:val="11"/>
        </w:rPr>
        <w:pict>
          <v:group style="width:400.9pt;height:5.55pt;mso-position-horizontal-relative:char;mso-position-vertical-relative:line" coordorigin="0,0" coordsize="8018,111">
            <v:shape style="position:absolute;left:0;top:0;width:1591;height:110" type="#_x0000_t75" stroked="false">
              <v:imagedata r:id="rId87" o:title=""/>
            </v:shape>
            <v:shape style="position:absolute;left:1567;top:96;width:1549;height:14" type="#_x0000_t75" stroked="false">
              <v:imagedata r:id="rId88" o:title=""/>
            </v:shape>
            <v:shape style="position:absolute;left:3101;top:96;width:1548;height:14" type="#_x0000_t75" stroked="false">
              <v:imagedata r:id="rId89" o:title=""/>
            </v:shape>
            <v:shape style="position:absolute;left:4635;top:96;width:1892;height:14" type="#_x0000_t75" stroked="false">
              <v:imagedata r:id="rId90" o:title=""/>
            </v:shape>
            <v:shape style="position:absolute;left:6512;top:101;width:1505;height:10" type="#_x0000_t75" stroked="false">
              <v:imagedata r:id="rId83" o:title=""/>
            </v:shape>
          </v:group>
        </w:pict>
      </w:r>
      <w:r>
        <w:rPr>
          <w:rFonts w:ascii="宋体" w:hAnsi="宋体" w:cs="宋体" w:eastAsia="宋体" w:hint="default"/>
          <w:position w:val="-1"/>
          <w:sz w:val="11"/>
          <w:szCs w:val="11"/>
        </w:rPr>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7"/>
          <w:szCs w:val="27"/>
        </w:rPr>
      </w:pPr>
    </w:p>
    <w:p>
      <w:pPr>
        <w:spacing w:line="20" w:lineRule="exact"/>
        <w:ind w:left="500" w:right="0" w:firstLine="0"/>
        <w:rPr>
          <w:rFonts w:ascii="宋体" w:hAnsi="宋体" w:cs="宋体" w:eastAsia="宋体" w:hint="default"/>
          <w:sz w:val="2"/>
          <w:szCs w:val="2"/>
        </w:rPr>
      </w:pPr>
      <w:r>
        <w:rPr>
          <w:rFonts w:ascii="宋体" w:hAnsi="宋体" w:cs="宋体" w:eastAsia="宋体" w:hint="default"/>
          <w:sz w:val="2"/>
          <w:szCs w:val="2"/>
        </w:rPr>
        <w:pict>
          <v:group style="width:400.9pt;height:.5pt;mso-position-horizontal-relative:char;mso-position-vertical-relative:line" coordorigin="0,0" coordsize="8018,10">
            <v:shape style="position:absolute;left:0;top:0;width:1572;height:10" type="#_x0000_t75" stroked="false">
              <v:imagedata r:id="rId80" o:title=""/>
            </v:shape>
            <v:shape style="position:absolute;left:1567;top:0;width:1539;height:10" type="#_x0000_t75" stroked="false">
              <v:imagedata r:id="rId84" o:title=""/>
            </v:shape>
            <v:shape style="position:absolute;left:3101;top:0;width:3416;height:10" type="#_x0000_t75" stroked="false">
              <v:imagedata r:id="rId85" o:title=""/>
            </v:shape>
            <v:shape style="position:absolute;left:6512;top:0;width:1505;height:10" type="#_x0000_t75" stroked="false">
              <v:imagedata r:id="rId86" o:title=""/>
            </v:shape>
          </v:group>
        </w:pict>
      </w:r>
      <w:r>
        <w:rPr>
          <w:rFonts w:ascii="宋体" w:hAnsi="宋体" w:cs="宋体" w:eastAsia="宋体" w:hint="default"/>
          <w:sz w:val="2"/>
          <w:szCs w:val="2"/>
        </w:rPr>
      </w:r>
    </w:p>
    <w:p>
      <w:pPr>
        <w:spacing w:line="240" w:lineRule="auto" w:before="1"/>
        <w:rPr>
          <w:rFonts w:ascii="宋体" w:hAnsi="宋体" w:cs="宋体" w:eastAsia="宋体" w:hint="default"/>
          <w:sz w:val="23"/>
          <w:szCs w:val="23"/>
        </w:rPr>
      </w:pPr>
    </w:p>
    <w:p>
      <w:pPr>
        <w:spacing w:line="20" w:lineRule="exact"/>
        <w:ind w:left="500" w:right="0" w:firstLine="0"/>
        <w:rPr>
          <w:rFonts w:ascii="宋体" w:hAnsi="宋体" w:cs="宋体" w:eastAsia="宋体" w:hint="default"/>
          <w:sz w:val="2"/>
          <w:szCs w:val="2"/>
        </w:rPr>
      </w:pPr>
      <w:r>
        <w:rPr>
          <w:rFonts w:ascii="宋体" w:hAnsi="宋体" w:cs="宋体" w:eastAsia="宋体" w:hint="default"/>
          <w:sz w:val="2"/>
          <w:szCs w:val="2"/>
        </w:rPr>
        <w:pict>
          <v:group style="width:400.9pt;height:.5pt;mso-position-horizontal-relative:char;mso-position-vertical-relative:line" coordorigin="0,0" coordsize="8018,10">
            <v:shape style="position:absolute;left:0;top:0;width:1572;height:10" type="#_x0000_t75" stroked="false">
              <v:imagedata r:id="rId80" o:title=""/>
            </v:shape>
            <v:shape style="position:absolute;left:1567;top:0;width:1539;height:10" type="#_x0000_t75" stroked="false">
              <v:imagedata r:id="rId84" o:title=""/>
            </v:shape>
            <v:shape style="position:absolute;left:3101;top:0;width:3416;height:10" type="#_x0000_t75" stroked="false">
              <v:imagedata r:id="rId85" o:title=""/>
            </v:shape>
            <v:shape style="position:absolute;left:6512;top:0;width:1505;height:10" type="#_x0000_t75" stroked="false">
              <v:imagedata r:id="rId86" o:title=""/>
            </v:shape>
          </v:group>
        </w:pict>
      </w:r>
      <w:r>
        <w:rPr>
          <w:rFonts w:ascii="宋体" w:hAnsi="宋体" w:cs="宋体" w:eastAsia="宋体" w:hint="default"/>
          <w:sz w:val="2"/>
          <w:szCs w:val="2"/>
        </w:rPr>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3"/>
        <w:rPr>
          <w:rFonts w:ascii="宋体" w:hAnsi="宋体" w:cs="宋体" w:eastAsia="宋体" w:hint="default"/>
          <w:sz w:val="19"/>
          <w:szCs w:val="19"/>
        </w:rPr>
      </w:pPr>
    </w:p>
    <w:p>
      <w:pPr>
        <w:pStyle w:val="BodyText"/>
        <w:spacing w:line="240" w:lineRule="auto"/>
        <w:ind w:left="644" w:right="0"/>
        <w:jc w:val="both"/>
      </w:pPr>
      <w:r>
        <w:rPr>
          <w:w w:val="100"/>
        </w:rPr>
        <w:t>（</w:t>
      </w:r>
      <w:r>
        <w:rPr>
          <w:rFonts w:ascii="Times New Roman" w:hAnsi="Times New Roman" w:cs="Times New Roman" w:eastAsia="Times New Roman" w:hint="default"/>
          <w:spacing w:val="-1"/>
          <w:w w:val="100"/>
        </w:rPr>
        <w:t>2</w:t>
      </w:r>
      <w:r>
        <w:rPr>
          <w:spacing w:val="-34"/>
          <w:w w:val="100"/>
        </w:rPr>
        <w:t>）</w:t>
      </w:r>
      <w:r>
        <w:rPr>
          <w:spacing w:val="-3"/>
          <w:w w:val="100"/>
        </w:rPr>
        <w:t>财</w:t>
      </w:r>
      <w:r>
        <w:rPr>
          <w:w w:val="100"/>
        </w:rPr>
        <w:t>政</w:t>
      </w:r>
      <w:r>
        <w:rPr>
          <w:spacing w:val="-3"/>
          <w:w w:val="100"/>
        </w:rPr>
        <w:t>部</w:t>
      </w:r>
      <w:r>
        <w:rPr>
          <w:w w:val="100"/>
        </w:rPr>
        <w:t>于</w:t>
      </w:r>
      <w:r>
        <w:rPr>
          <w:spacing w:val="-53"/>
        </w:rPr>
        <w:t> </w:t>
      </w:r>
      <w:r>
        <w:rPr>
          <w:rFonts w:ascii="Times New Roman" w:hAnsi="Times New Roman" w:cs="Times New Roman" w:eastAsia="Times New Roman" w:hint="default"/>
          <w:w w:val="100"/>
        </w:rPr>
        <w:t>2</w:t>
      </w:r>
      <w:r>
        <w:rPr>
          <w:rFonts w:ascii="Times New Roman" w:hAnsi="Times New Roman" w:cs="Times New Roman" w:eastAsia="Times New Roman" w:hint="default"/>
          <w:spacing w:val="-3"/>
          <w:w w:val="100"/>
        </w:rPr>
        <w:t>0</w:t>
      </w:r>
      <w:r>
        <w:rPr>
          <w:rFonts w:ascii="Times New Roman" w:hAnsi="Times New Roman" w:cs="Times New Roman" w:eastAsia="Times New Roman" w:hint="default"/>
          <w:w w:val="100"/>
        </w:rPr>
        <w:t>17</w:t>
      </w:r>
      <w:r>
        <w:rPr>
          <w:rFonts w:ascii="Times New Roman" w:hAnsi="Times New Roman" w:cs="Times New Roman" w:eastAsia="Times New Roman" w:hint="default"/>
          <w:spacing w:val="-3"/>
        </w:rPr>
        <w:t> </w:t>
      </w:r>
      <w:r>
        <w:rPr>
          <w:w w:val="100"/>
        </w:rPr>
        <w:t>年</w:t>
      </w:r>
      <w:r>
        <w:rPr>
          <w:spacing w:val="-3"/>
          <w:w w:val="100"/>
        </w:rPr>
        <w:t>度</w:t>
      </w:r>
      <w:r>
        <w:rPr>
          <w:w w:val="100"/>
        </w:rPr>
        <w:t>修订</w:t>
      </w:r>
      <w:r>
        <w:rPr>
          <w:spacing w:val="-36"/>
          <w:w w:val="100"/>
        </w:rPr>
        <w:t>了</w:t>
      </w:r>
      <w:r>
        <w:rPr>
          <w:w w:val="100"/>
        </w:rPr>
        <w:t>《</w:t>
      </w:r>
      <w:r>
        <w:rPr>
          <w:spacing w:val="-3"/>
          <w:w w:val="100"/>
        </w:rPr>
        <w:t>企</w:t>
      </w:r>
      <w:r>
        <w:rPr>
          <w:w w:val="100"/>
        </w:rPr>
        <w:t>业</w:t>
      </w:r>
      <w:r>
        <w:rPr>
          <w:spacing w:val="-3"/>
          <w:w w:val="100"/>
        </w:rPr>
        <w:t>会</w:t>
      </w:r>
      <w:r>
        <w:rPr>
          <w:w w:val="100"/>
        </w:rPr>
        <w:t>计</w:t>
      </w:r>
      <w:r>
        <w:rPr>
          <w:spacing w:val="-3"/>
          <w:w w:val="100"/>
        </w:rPr>
        <w:t>准</w:t>
      </w:r>
      <w:r>
        <w:rPr>
          <w:w w:val="100"/>
        </w:rPr>
        <w:t>则第</w:t>
      </w:r>
      <w:r>
        <w:rPr>
          <w:spacing w:val="-52"/>
        </w:rPr>
        <w:t> </w:t>
      </w:r>
      <w:r>
        <w:rPr>
          <w:rFonts w:ascii="Times New Roman" w:hAnsi="Times New Roman" w:cs="Times New Roman" w:eastAsia="Times New Roman" w:hint="default"/>
          <w:spacing w:val="-3"/>
          <w:w w:val="100"/>
        </w:rPr>
        <w:t>2</w:t>
      </w:r>
      <w:r>
        <w:rPr>
          <w:rFonts w:ascii="Times New Roman" w:hAnsi="Times New Roman" w:cs="Times New Roman" w:eastAsia="Times New Roman" w:hint="default"/>
          <w:w w:val="100"/>
        </w:rPr>
        <w:t>2</w:t>
      </w:r>
      <w:r>
        <w:rPr>
          <w:rFonts w:ascii="Times New Roman" w:hAnsi="Times New Roman" w:cs="Times New Roman" w:eastAsia="Times New Roman" w:hint="default"/>
        </w:rPr>
        <w:t> </w:t>
      </w:r>
      <w:r>
        <w:rPr>
          <w:w w:val="100"/>
        </w:rPr>
        <w:t>号</w:t>
      </w:r>
      <w:r>
        <w:rPr>
          <w:spacing w:val="-3"/>
          <w:w w:val="100"/>
        </w:rPr>
        <w:t>—</w:t>
      </w:r>
      <w:r>
        <w:rPr>
          <w:w w:val="100"/>
        </w:rPr>
        <w:t>—</w:t>
      </w:r>
      <w:r>
        <w:rPr>
          <w:spacing w:val="-3"/>
          <w:w w:val="100"/>
        </w:rPr>
        <w:t>金</w:t>
      </w:r>
      <w:r>
        <w:rPr>
          <w:w w:val="100"/>
        </w:rPr>
        <w:t>融</w:t>
      </w:r>
      <w:r>
        <w:rPr>
          <w:spacing w:val="-3"/>
          <w:w w:val="100"/>
        </w:rPr>
        <w:t>工</w:t>
      </w:r>
      <w:r>
        <w:rPr>
          <w:w w:val="100"/>
        </w:rPr>
        <w:t>具</w:t>
      </w:r>
      <w:r>
        <w:rPr>
          <w:spacing w:val="-3"/>
          <w:w w:val="100"/>
        </w:rPr>
        <w:t>确</w:t>
      </w:r>
      <w:r>
        <w:rPr>
          <w:w w:val="100"/>
        </w:rPr>
        <w:t>认</w:t>
      </w:r>
      <w:r>
        <w:rPr>
          <w:spacing w:val="-3"/>
          <w:w w:val="100"/>
        </w:rPr>
        <w:t>和</w:t>
      </w:r>
      <w:r>
        <w:rPr>
          <w:w w:val="100"/>
        </w:rPr>
        <w:t>计量</w:t>
      </w:r>
      <w:r>
        <w:rPr>
          <w:spacing w:val="-106"/>
          <w:w w:val="100"/>
        </w:rPr>
        <w:t>》</w:t>
      </w:r>
      <w:r>
        <w:rPr>
          <w:spacing w:val="-142"/>
          <w:w w:val="100"/>
        </w:rPr>
        <w:t>、</w:t>
      </w:r>
      <w:r>
        <w:rPr>
          <w:w w:val="100"/>
        </w:rPr>
        <w:t>《</w:t>
      </w:r>
      <w:r>
        <w:rPr>
          <w:spacing w:val="-3"/>
          <w:w w:val="100"/>
        </w:rPr>
        <w:t>企业</w:t>
      </w:r>
      <w:r>
        <w:rPr>
          <w:w w:val="100"/>
        </w:rPr>
        <w:t>会</w:t>
      </w:r>
    </w:p>
    <w:p>
      <w:pPr>
        <w:pStyle w:val="BodyText"/>
        <w:spacing w:line="240" w:lineRule="auto" w:before="107"/>
        <w:ind w:left="644" w:right="0"/>
        <w:jc w:val="both"/>
      </w:pPr>
      <w:r>
        <w:rPr>
          <w:w w:val="100"/>
        </w:rPr>
        <w:t>计准</w:t>
      </w:r>
      <w:r>
        <w:rPr>
          <w:spacing w:val="-3"/>
          <w:w w:val="100"/>
        </w:rPr>
        <w:t>则</w:t>
      </w:r>
      <w:r>
        <w:rPr>
          <w:w w:val="100"/>
        </w:rPr>
        <w:t>第</w:t>
      </w:r>
      <w:r>
        <w:rPr>
          <w:spacing w:val="-53"/>
        </w:rPr>
        <w:t> </w:t>
      </w:r>
      <w:r>
        <w:rPr>
          <w:rFonts w:ascii="Times New Roman" w:hAnsi="Times New Roman" w:cs="Times New Roman" w:eastAsia="Times New Roman" w:hint="default"/>
          <w:w w:val="100"/>
        </w:rPr>
        <w:t>23</w:t>
      </w:r>
      <w:r>
        <w:rPr>
          <w:rFonts w:ascii="Times New Roman" w:hAnsi="Times New Roman" w:cs="Times New Roman" w:eastAsia="Times New Roman" w:hint="default"/>
        </w:rPr>
        <w:t> </w:t>
      </w:r>
      <w:r>
        <w:rPr>
          <w:w w:val="100"/>
        </w:rPr>
        <w:t>号</w:t>
      </w:r>
      <w:r>
        <w:rPr>
          <w:spacing w:val="-3"/>
          <w:w w:val="100"/>
        </w:rPr>
        <w:t>—</w:t>
      </w:r>
      <w:r>
        <w:rPr>
          <w:w w:val="100"/>
        </w:rPr>
        <w:t>—</w:t>
      </w:r>
      <w:r>
        <w:rPr>
          <w:spacing w:val="-3"/>
          <w:w w:val="100"/>
        </w:rPr>
        <w:t>金</w:t>
      </w:r>
      <w:r>
        <w:rPr>
          <w:w w:val="100"/>
        </w:rPr>
        <w:t>融</w:t>
      </w:r>
      <w:r>
        <w:rPr>
          <w:spacing w:val="-3"/>
          <w:w w:val="100"/>
        </w:rPr>
        <w:t>资</w:t>
      </w:r>
      <w:r>
        <w:rPr>
          <w:w w:val="100"/>
        </w:rPr>
        <w:t>产转</w:t>
      </w:r>
      <w:r>
        <w:rPr>
          <w:spacing w:val="-3"/>
          <w:w w:val="100"/>
        </w:rPr>
        <w:t>移</w:t>
      </w:r>
      <w:r>
        <w:rPr>
          <w:spacing w:val="-106"/>
          <w:w w:val="100"/>
        </w:rPr>
        <w:t>》、</w:t>
      </w:r>
      <w:r>
        <w:rPr>
          <w:spacing w:val="-3"/>
          <w:w w:val="100"/>
        </w:rPr>
        <w:t>《</w:t>
      </w:r>
      <w:r>
        <w:rPr>
          <w:w w:val="100"/>
        </w:rPr>
        <w:t>企</w:t>
      </w:r>
      <w:r>
        <w:rPr>
          <w:spacing w:val="-3"/>
          <w:w w:val="100"/>
        </w:rPr>
        <w:t>业</w:t>
      </w:r>
      <w:r>
        <w:rPr>
          <w:w w:val="100"/>
        </w:rPr>
        <w:t>会</w:t>
      </w:r>
      <w:r>
        <w:rPr>
          <w:spacing w:val="-3"/>
          <w:w w:val="100"/>
        </w:rPr>
        <w:t>计</w:t>
      </w:r>
      <w:r>
        <w:rPr>
          <w:w w:val="100"/>
        </w:rPr>
        <w:t>准</w:t>
      </w:r>
      <w:r>
        <w:rPr>
          <w:spacing w:val="-3"/>
          <w:w w:val="100"/>
        </w:rPr>
        <w:t>则</w:t>
      </w:r>
      <w:r>
        <w:rPr>
          <w:w w:val="100"/>
        </w:rPr>
        <w:t>第</w:t>
      </w:r>
      <w:r>
        <w:rPr>
          <w:spacing w:val="-50"/>
        </w:rPr>
        <w:t> </w:t>
      </w:r>
      <w:r>
        <w:rPr>
          <w:rFonts w:ascii="Times New Roman" w:hAnsi="Times New Roman" w:cs="Times New Roman" w:eastAsia="Times New Roman" w:hint="default"/>
          <w:spacing w:val="-3"/>
          <w:w w:val="100"/>
        </w:rPr>
        <w:t>2</w:t>
      </w:r>
      <w:r>
        <w:rPr>
          <w:rFonts w:ascii="Times New Roman" w:hAnsi="Times New Roman" w:cs="Times New Roman" w:eastAsia="Times New Roman" w:hint="default"/>
          <w:w w:val="100"/>
        </w:rPr>
        <w:t>4</w:t>
      </w:r>
      <w:r>
        <w:rPr>
          <w:rFonts w:ascii="Times New Roman" w:hAnsi="Times New Roman" w:cs="Times New Roman" w:eastAsia="Times New Roman" w:hint="default"/>
          <w:spacing w:val="2"/>
        </w:rPr>
        <w:t> </w:t>
      </w:r>
      <w:r>
        <w:rPr>
          <w:spacing w:val="-3"/>
          <w:w w:val="100"/>
        </w:rPr>
        <w:t>号</w:t>
      </w:r>
      <w:r>
        <w:rPr>
          <w:w w:val="100"/>
        </w:rPr>
        <w:t>—</w:t>
      </w:r>
      <w:r>
        <w:rPr>
          <w:spacing w:val="-3"/>
          <w:w w:val="100"/>
        </w:rPr>
        <w:t>—</w:t>
      </w:r>
      <w:r>
        <w:rPr>
          <w:w w:val="100"/>
        </w:rPr>
        <w:t>套</w:t>
      </w:r>
      <w:r>
        <w:rPr>
          <w:spacing w:val="-3"/>
          <w:w w:val="100"/>
        </w:rPr>
        <w:t>期</w:t>
      </w:r>
      <w:r>
        <w:rPr>
          <w:w w:val="100"/>
        </w:rPr>
        <w:t>会</w:t>
      </w:r>
      <w:r>
        <w:rPr>
          <w:spacing w:val="-3"/>
          <w:w w:val="100"/>
        </w:rPr>
        <w:t>计</w:t>
      </w:r>
      <w:r>
        <w:rPr>
          <w:w w:val="100"/>
        </w:rPr>
        <w:t>》</w:t>
      </w:r>
      <w:r>
        <w:rPr>
          <w:spacing w:val="-3"/>
          <w:w w:val="100"/>
        </w:rPr>
        <w:t>和</w:t>
      </w:r>
      <w:r>
        <w:rPr>
          <w:w w:val="100"/>
        </w:rPr>
        <w:t>《企</w:t>
      </w:r>
      <w:r>
        <w:rPr>
          <w:spacing w:val="-3"/>
          <w:w w:val="100"/>
        </w:rPr>
        <w:t>业会计</w:t>
      </w:r>
      <w:r>
        <w:rPr>
          <w:w w:val="100"/>
        </w:rPr>
        <w:t>准</w:t>
      </w:r>
    </w:p>
    <w:p>
      <w:pPr>
        <w:pStyle w:val="BodyText"/>
        <w:spacing w:line="343" w:lineRule="auto" w:before="110"/>
        <w:ind w:left="644" w:right="229"/>
        <w:jc w:val="both"/>
      </w:pPr>
      <w:r>
        <w:rPr>
          <w:w w:val="100"/>
        </w:rPr>
        <w:t>则第</w:t>
      </w:r>
      <w:r>
        <w:rPr>
          <w:spacing w:val="-40"/>
          <w:w w:val="100"/>
        </w:rPr>
        <w:t> </w:t>
      </w:r>
      <w:r>
        <w:rPr>
          <w:rFonts w:ascii="Times New Roman" w:hAnsi="Times New Roman" w:cs="Times New Roman" w:eastAsia="Times New Roman" w:hint="default"/>
          <w:w w:val="100"/>
        </w:rPr>
        <w:t>37</w:t>
      </w:r>
      <w:r>
        <w:rPr>
          <w:rFonts w:ascii="Times New Roman" w:hAnsi="Times New Roman" w:cs="Times New Roman" w:eastAsia="Times New Roman" w:hint="default"/>
          <w:spacing w:val="12"/>
          <w:w w:val="100"/>
        </w:rPr>
        <w:t> </w:t>
      </w:r>
      <w:r>
        <w:rPr>
          <w:spacing w:val="-5"/>
          <w:w w:val="100"/>
        </w:rPr>
        <w:t>号——金融工具列报》。修订后的准则规定，对于首次执行日尚未终止确认的金融工</w:t>
      </w:r>
      <w:r>
        <w:rPr>
          <w:spacing w:val="-102"/>
          <w:w w:val="100"/>
        </w:rPr>
        <w:t> </w:t>
      </w:r>
      <w:r>
        <w:rPr>
          <w:spacing w:val="-102"/>
          <w:w w:val="100"/>
        </w:rPr>
      </w:r>
      <w:r>
        <w:rPr>
          <w:spacing w:val="-2"/>
        </w:rPr>
        <w:t>具，之前的确认和计量与修订后的准则要求不一致的，应当追溯调整。涉及前期比较财务报</w:t>
      </w:r>
      <w:r>
        <w:rPr>
          <w:spacing w:val="-29"/>
        </w:rPr>
        <w:t> </w:t>
      </w:r>
      <w:r>
        <w:rPr>
          <w:spacing w:val="-29"/>
        </w:rPr>
      </w:r>
      <w:r>
        <w:rPr>
          <w:spacing w:val="-2"/>
        </w:rPr>
        <w:t>表数据与修订后的准则要求不一致的，无需调整。本公司将因追溯调整产生的累积影响数调</w:t>
      </w:r>
      <w:r>
        <w:rPr>
          <w:spacing w:val="-28"/>
        </w:rPr>
        <w:t> </w:t>
      </w:r>
      <w:r>
        <w:rPr>
          <w:spacing w:val="-28"/>
        </w:rPr>
      </w:r>
      <w:r>
        <w:rPr/>
        <w:t>整当年年初留存收益和其他综合收益。</w:t>
      </w:r>
    </w:p>
    <w:p>
      <w:pPr>
        <w:spacing w:after="0" w:line="343" w:lineRule="auto"/>
        <w:jc w:val="both"/>
        <w:sectPr>
          <w:pgSz w:w="11910" w:h="16840"/>
          <w:pgMar w:header="748" w:footer="974" w:top="1140" w:bottom="1160" w:left="1060" w:right="1560"/>
        </w:sectPr>
      </w:pPr>
    </w:p>
    <w:p>
      <w:pPr>
        <w:spacing w:line="240" w:lineRule="auto" w:before="3"/>
        <w:rPr>
          <w:rFonts w:ascii="宋体" w:hAnsi="宋体" w:cs="宋体" w:eastAsia="宋体" w:hint="default"/>
          <w:sz w:val="27"/>
          <w:szCs w:val="27"/>
        </w:rPr>
      </w:pPr>
    </w:p>
    <w:p>
      <w:pPr>
        <w:pStyle w:val="BodyText"/>
        <w:spacing w:line="331" w:lineRule="auto" w:before="36"/>
        <w:ind w:left="236" w:right="204" w:firstLine="420"/>
        <w:jc w:val="left"/>
      </w:pPr>
      <w:r>
        <w:rPr/>
        <w:t>按照财会〔</w:t>
      </w:r>
      <w:r>
        <w:rPr>
          <w:rFonts w:ascii="Times New Roman" w:hAnsi="Times New Roman" w:cs="Times New Roman" w:eastAsia="Times New Roman" w:hint="default"/>
        </w:rPr>
        <w:t>2019</w:t>
      </w:r>
      <w:r>
        <w:rPr/>
        <w:t>〕</w:t>
      </w:r>
      <w:r>
        <w:rPr>
          <w:rFonts w:ascii="Times New Roman" w:hAnsi="Times New Roman" w:cs="Times New Roman" w:eastAsia="Times New Roman" w:hint="default"/>
        </w:rPr>
        <w:t>6 </w:t>
      </w:r>
      <w:r>
        <w:rPr/>
        <w:t>号和财会〔</w:t>
      </w:r>
      <w:r>
        <w:rPr>
          <w:rFonts w:ascii="Times New Roman" w:hAnsi="Times New Roman" w:cs="Times New Roman" w:eastAsia="Times New Roman" w:hint="default"/>
        </w:rPr>
        <w:t>2019</w:t>
      </w:r>
      <w:r>
        <w:rPr/>
        <w:t>〕</w:t>
      </w:r>
      <w:r>
        <w:rPr>
          <w:rFonts w:ascii="Times New Roman" w:hAnsi="Times New Roman" w:cs="Times New Roman" w:eastAsia="Times New Roman" w:hint="default"/>
        </w:rPr>
        <w:t>16</w:t>
      </w:r>
      <w:r>
        <w:rPr>
          <w:rFonts w:ascii="Times New Roman" w:hAnsi="Times New Roman" w:cs="Times New Roman" w:eastAsia="Times New Roman" w:hint="default"/>
          <w:spacing w:val="6"/>
        </w:rPr>
        <w:t> </w:t>
      </w:r>
      <w:r>
        <w:rPr/>
        <w:t>号的规定调整后的上年年末余额为基础，各项金融</w:t>
      </w:r>
      <w:r>
        <w:rPr>
          <w:w w:val="100"/>
        </w:rPr>
        <w:t> </w:t>
      </w:r>
      <w:r>
        <w:rPr/>
        <w:t>资产和金融负债按照修订前后金融工具确认计量准则的规定进行分类和计量结果对比如下：</w:t>
      </w:r>
    </w:p>
    <w:p>
      <w:pPr>
        <w:pStyle w:val="Heading3"/>
        <w:spacing w:line="240" w:lineRule="auto" w:before="43"/>
        <w:ind w:left="1497" w:right="0"/>
        <w:jc w:val="left"/>
        <w:rPr>
          <w:b w:val="0"/>
          <w:bCs w:val="0"/>
        </w:rPr>
      </w:pPr>
      <w:r>
        <w:rPr/>
        <w:pict>
          <v:shape style="position:absolute;margin-left:264.290009pt;margin-top:18.973692pt;width:.48001pt;height:.12pt;mso-position-horizontal-relative:page;mso-position-vertical-relative:paragraph;z-index:-1318912" type="#_x0000_t75" stroked="false">
            <v:imagedata r:id="rId91" o:title=""/>
          </v:shape>
        </w:pict>
      </w:r>
      <w:r>
        <w:rPr/>
        <w:pict>
          <v:group style="position:absolute;margin-left:58.439999pt;margin-top:34.45369pt;width:452.65pt;height:223.15pt;mso-position-horizontal-relative:page;mso-position-vertical-relative:paragraph;z-index:-1318888" coordorigin="1169,689" coordsize="9053,4463">
            <v:shape style="position:absolute;left:1169;top:691;width:2559;height:10" type="#_x0000_t75" stroked="false">
              <v:imagedata r:id="rId92" o:title=""/>
            </v:shape>
            <v:shape style="position:absolute;left:3723;top:689;width:1573;height:12" type="#_x0000_t75" stroked="false">
              <v:imagedata r:id="rId93" o:title=""/>
            </v:shape>
            <v:shape style="position:absolute;left:5281;top:691;width:1268;height:10" type="#_x0000_t75" stroked="false">
              <v:imagedata r:id="rId94" o:title=""/>
            </v:shape>
            <v:shape style="position:absolute;left:6544;top:691;width:1898;height:10" type="#_x0000_t75" stroked="false">
              <v:imagedata r:id="rId95" o:title=""/>
            </v:shape>
            <v:shape style="position:absolute;left:8437;top:691;width:1781;height:10" type="#_x0000_t75" stroked="false">
              <v:imagedata r:id="rId96" o:title=""/>
            </v:shape>
            <v:group style="position:absolute;left:3728;top:701;width:10;height:20" coordorigin="3728,701" coordsize="10,20">
              <v:shape style="position:absolute;left:3728;top:701;width:10;height:20" coordorigin="3728,701" coordsize="10,20" path="m3728,720l3737,720,3737,701,3728,701,3728,720xe" filled="true" fillcolor="#000000" stroked="false">
                <v:path arrowok="t"/>
                <v:fill type="solid"/>
              </v:shape>
            </v:group>
            <v:group style="position:absolute;left:3728;top:720;width:10;height:20" coordorigin="3728,720" coordsize="10,20">
              <v:shape style="position:absolute;left:3728;top:720;width:10;height:20" coordorigin="3728,720" coordsize="10,20" path="m3728,739l3737,739,3737,720,3728,720,3728,739xe" filled="true" fillcolor="#000000" stroked="false">
                <v:path arrowok="t"/>
                <v:fill type="solid"/>
              </v:shape>
            </v:group>
            <v:group style="position:absolute;left:3728;top:739;width:10;height:20" coordorigin="3728,739" coordsize="10,20">
              <v:shape style="position:absolute;left:3728;top:739;width:10;height:20" coordorigin="3728,739" coordsize="10,20" path="m3728,759l3737,759,3737,739,3728,739,3728,759xe" filled="true" fillcolor="#000000" stroked="false">
                <v:path arrowok="t"/>
                <v:fill type="solid"/>
              </v:shape>
            </v:group>
            <v:group style="position:absolute;left:3728;top:759;width:10;height:20" coordorigin="3728,759" coordsize="10,20">
              <v:shape style="position:absolute;left:3728;top:759;width:10;height:20" coordorigin="3728,759" coordsize="10,20" path="m3728,778l3737,778,3737,759,3728,759,3728,778xe" filled="true" fillcolor="#000000" stroked="false">
                <v:path arrowok="t"/>
                <v:fill type="solid"/>
              </v:shape>
            </v:group>
            <v:group style="position:absolute;left:3728;top:778;width:10;height:20" coordorigin="3728,778" coordsize="10,20">
              <v:shape style="position:absolute;left:3728;top:778;width:10;height:20" coordorigin="3728,778" coordsize="10,20" path="m3728,797l3737,797,3737,778,3728,778,3728,797xe" filled="true" fillcolor="#000000" stroked="false">
                <v:path arrowok="t"/>
                <v:fill type="solid"/>
              </v:shape>
            </v:group>
            <v:group style="position:absolute;left:3728;top:797;width:10;height:20" coordorigin="3728,797" coordsize="10,20">
              <v:shape style="position:absolute;left:3728;top:797;width:10;height:20" coordorigin="3728,797" coordsize="10,20" path="m3728,816l3737,816,3737,797,3728,797,3728,816xe" filled="true" fillcolor="#000000" stroked="false">
                <v:path arrowok="t"/>
                <v:fill type="solid"/>
              </v:shape>
            </v:group>
            <v:group style="position:absolute;left:3728;top:816;width:10;height:20" coordorigin="3728,816" coordsize="10,20">
              <v:shape style="position:absolute;left:3728;top:816;width:10;height:20" coordorigin="3728,816" coordsize="10,20" path="m3728,835l3737,835,3737,816,3728,816,3728,835xe" filled="true" fillcolor="#000000" stroked="false">
                <v:path arrowok="t"/>
                <v:fill type="solid"/>
              </v:shape>
            </v:group>
            <v:group style="position:absolute;left:3728;top:835;width:10;height:20" coordorigin="3728,835" coordsize="10,20">
              <v:shape style="position:absolute;left:3728;top:835;width:10;height:20" coordorigin="3728,835" coordsize="10,20" path="m3728,855l3737,855,3737,835,3728,835,3728,855xe" filled="true" fillcolor="#000000" stroked="false">
                <v:path arrowok="t"/>
                <v:fill type="solid"/>
              </v:shape>
            </v:group>
            <v:group style="position:absolute;left:3728;top:855;width:10;height:20" coordorigin="3728,855" coordsize="10,20">
              <v:shape style="position:absolute;left:3728;top:855;width:10;height:20" coordorigin="3728,855" coordsize="10,20" path="m3728,874l3737,874,3737,855,3728,855,3728,874xe" filled="true" fillcolor="#000000" stroked="false">
                <v:path arrowok="t"/>
                <v:fill type="solid"/>
              </v:shape>
            </v:group>
            <v:group style="position:absolute;left:3728;top:874;width:10;height:20" coordorigin="3728,874" coordsize="10,20">
              <v:shape style="position:absolute;left:3728;top:874;width:10;height:20" coordorigin="3728,874" coordsize="10,20" path="m3728,893l3737,893,3737,874,3728,874,3728,893xe" filled="true" fillcolor="#000000" stroked="false">
                <v:path arrowok="t"/>
                <v:fill type="solid"/>
              </v:shape>
            </v:group>
            <v:group style="position:absolute;left:3728;top:893;width:10;height:20" coordorigin="3728,893" coordsize="10,20">
              <v:shape style="position:absolute;left:3728;top:893;width:10;height:20" coordorigin="3728,893" coordsize="10,20" path="m3728,912l3737,912,3737,893,3728,893,3728,912xe" filled="true" fillcolor="#000000" stroked="false">
                <v:path arrowok="t"/>
                <v:fill type="solid"/>
              </v:shape>
            </v:group>
            <v:group style="position:absolute;left:3728;top:912;width:10;height:20" coordorigin="3728,912" coordsize="10,20">
              <v:shape style="position:absolute;left:3728;top:912;width:10;height:20" coordorigin="3728,912" coordsize="10,20" path="m3728,931l3737,931,3737,912,3728,912,3728,931xe" filled="true" fillcolor="#000000" stroked="false">
                <v:path arrowok="t"/>
                <v:fill type="solid"/>
              </v:shape>
            </v:group>
            <v:group style="position:absolute;left:3728;top:931;width:10;height:20" coordorigin="3728,931" coordsize="10,20">
              <v:shape style="position:absolute;left:3728;top:931;width:10;height:20" coordorigin="3728,931" coordsize="10,20" path="m3728,951l3737,951,3737,931,3728,931,3728,951xe" filled="true" fillcolor="#000000" stroked="false">
                <v:path arrowok="t"/>
                <v:fill type="solid"/>
              </v:shape>
            </v:group>
            <v:group style="position:absolute;left:3728;top:951;width:10;height:20" coordorigin="3728,951" coordsize="10,20">
              <v:shape style="position:absolute;left:3728;top:951;width:10;height:20" coordorigin="3728,951" coordsize="10,20" path="m3728,970l3737,970,3737,951,3728,951,3728,970xe" filled="true" fillcolor="#000000" stroked="false">
                <v:path arrowok="t"/>
                <v:fill type="solid"/>
              </v:shape>
            </v:group>
            <v:group style="position:absolute;left:3728;top:970;width:10;height:20" coordorigin="3728,970" coordsize="10,20">
              <v:shape style="position:absolute;left:3728;top:970;width:10;height:20" coordorigin="3728,970" coordsize="10,20" path="m3728,989l3737,989,3737,970,3728,970,3728,989xe" filled="true" fillcolor="#000000" stroked="false">
                <v:path arrowok="t"/>
                <v:fill type="solid"/>
              </v:shape>
            </v:group>
            <v:group style="position:absolute;left:3728;top:989;width:10;height:20" coordorigin="3728,989" coordsize="10,20">
              <v:shape style="position:absolute;left:3728;top:989;width:10;height:20" coordorigin="3728,989" coordsize="10,20" path="m3728,1008l3737,1008,3737,989,3728,989,3728,1008xe" filled="true" fillcolor="#000000" stroked="false">
                <v:path arrowok="t"/>
                <v:fill type="solid"/>
              </v:shape>
            </v:group>
            <v:group style="position:absolute;left:3728;top:1012;width:10;height:2" coordorigin="3728,1012" coordsize="10,2">
              <v:shape style="position:absolute;left:3728;top:1012;width:10;height:2" coordorigin="3728,1012" coordsize="10,0" path="m3728,1012l3737,1012e" filled="false" stroked="true" strokeweight=".35999pt" strokecolor="#000000">
                <v:path arrowok="t"/>
              </v:shape>
              <v:shape style="position:absolute;left:1169;top:1015;width:2559;height:10" type="#_x0000_t75" stroked="false">
                <v:imagedata r:id="rId97" o:title=""/>
              </v:shape>
              <v:shape style="position:absolute;left:3723;top:1015;width:1563;height:10" type="#_x0000_t75" stroked="false">
                <v:imagedata r:id="rId98" o:title=""/>
              </v:shape>
              <v:shape style="position:absolute;left:5281;top:1015;width:1268;height:10" type="#_x0000_t75" stroked="false">
                <v:imagedata r:id="rId99" o:title=""/>
              </v:shape>
              <v:shape style="position:absolute;left:6544;top:1015;width:1898;height:10" type="#_x0000_t75" stroked="false">
                <v:imagedata r:id="rId100" o:title=""/>
              </v:shape>
              <v:shape style="position:absolute;left:8437;top:1015;width:1781;height:10" type="#_x0000_t75" stroked="false">
                <v:imagedata r:id="rId101" o:title=""/>
              </v:shape>
            </v:group>
            <v:group style="position:absolute;left:3728;top:1025;width:10;height:20" coordorigin="3728,1025" coordsize="10,20">
              <v:shape style="position:absolute;left:3728;top:1025;width:10;height:20" coordorigin="3728,1025" coordsize="10,20" path="m3728,1044l3737,1044,3737,1025,3728,1025,3728,1044xe" filled="true" fillcolor="#000000" stroked="false">
                <v:path arrowok="t"/>
                <v:fill type="solid"/>
              </v:shape>
            </v:group>
            <v:group style="position:absolute;left:3728;top:1044;width:10;height:20" coordorigin="3728,1044" coordsize="10,20">
              <v:shape style="position:absolute;left:3728;top:1044;width:10;height:20" coordorigin="3728,1044" coordsize="10,20" path="m3728,1063l3737,1063,3737,1044,3728,1044,3728,1063xe" filled="true" fillcolor="#000000" stroked="false">
                <v:path arrowok="t"/>
                <v:fill type="solid"/>
              </v:shape>
            </v:group>
            <v:group style="position:absolute;left:3728;top:1063;width:10;height:20" coordorigin="3728,1063" coordsize="10,20">
              <v:shape style="position:absolute;left:3728;top:1063;width:10;height:20" coordorigin="3728,1063" coordsize="10,20" path="m3728,1083l3737,1083,3737,1063,3728,1063,3728,1083xe" filled="true" fillcolor="#000000" stroked="false">
                <v:path arrowok="t"/>
                <v:fill type="solid"/>
              </v:shape>
            </v:group>
            <v:group style="position:absolute;left:3728;top:1083;width:10;height:20" coordorigin="3728,1083" coordsize="10,20">
              <v:shape style="position:absolute;left:3728;top:1083;width:10;height:20" coordorigin="3728,1083" coordsize="10,20" path="m3728,1102l3737,1102,3737,1083,3728,1083,3728,1102xe" filled="true" fillcolor="#000000" stroked="false">
                <v:path arrowok="t"/>
                <v:fill type="solid"/>
              </v:shape>
            </v:group>
            <v:group style="position:absolute;left:3728;top:1102;width:10;height:20" coordorigin="3728,1102" coordsize="10,20">
              <v:shape style="position:absolute;left:3728;top:1102;width:10;height:20" coordorigin="3728,1102" coordsize="10,20" path="m3728,1121l3737,1121,3737,1102,3728,1102,3728,1121xe" filled="true" fillcolor="#000000" stroked="false">
                <v:path arrowok="t"/>
                <v:fill type="solid"/>
              </v:shape>
            </v:group>
            <v:group style="position:absolute;left:3728;top:1121;width:10;height:20" coordorigin="3728,1121" coordsize="10,20">
              <v:shape style="position:absolute;left:3728;top:1121;width:10;height:20" coordorigin="3728,1121" coordsize="10,20" path="m3728,1140l3737,1140,3737,1121,3728,1121,3728,1140xe" filled="true" fillcolor="#000000" stroked="false">
                <v:path arrowok="t"/>
                <v:fill type="solid"/>
              </v:shape>
            </v:group>
            <v:group style="position:absolute;left:3728;top:1140;width:10;height:20" coordorigin="3728,1140" coordsize="10,20">
              <v:shape style="position:absolute;left:3728;top:1140;width:10;height:20" coordorigin="3728,1140" coordsize="10,20" path="m3728,1159l3737,1159,3737,1140,3728,1140,3728,1159xe" filled="true" fillcolor="#000000" stroked="false">
                <v:path arrowok="t"/>
                <v:fill type="solid"/>
              </v:shape>
            </v:group>
            <v:group style="position:absolute;left:3728;top:1159;width:10;height:20" coordorigin="3728,1159" coordsize="10,20">
              <v:shape style="position:absolute;left:3728;top:1159;width:10;height:20" coordorigin="3728,1159" coordsize="10,20" path="m3728,1179l3737,1179,3737,1159,3728,1159,3728,1179xe" filled="true" fillcolor="#000000" stroked="false">
                <v:path arrowok="t"/>
                <v:fill type="solid"/>
              </v:shape>
            </v:group>
            <v:group style="position:absolute;left:3728;top:1179;width:10;height:20" coordorigin="3728,1179" coordsize="10,20">
              <v:shape style="position:absolute;left:3728;top:1179;width:10;height:20" coordorigin="3728,1179" coordsize="10,20" path="m3728,1198l3737,1198,3737,1179,3728,1179,3728,1198xe" filled="true" fillcolor="#000000" stroked="false">
                <v:path arrowok="t"/>
                <v:fill type="solid"/>
              </v:shape>
            </v:group>
            <v:group style="position:absolute;left:3728;top:1198;width:10;height:20" coordorigin="3728,1198" coordsize="10,20">
              <v:shape style="position:absolute;left:3728;top:1198;width:10;height:20" coordorigin="3728,1198" coordsize="10,20" path="m3728,1217l3737,1217,3737,1198,3728,1198,3728,1217xe" filled="true" fillcolor="#000000" stroked="false">
                <v:path arrowok="t"/>
                <v:fill type="solid"/>
              </v:shape>
            </v:group>
            <v:group style="position:absolute;left:3728;top:1217;width:10;height:20" coordorigin="3728,1217" coordsize="10,20">
              <v:shape style="position:absolute;left:3728;top:1217;width:10;height:20" coordorigin="3728,1217" coordsize="10,20" path="m3728,1236l3737,1236,3737,1217,3728,1217,3728,1236xe" filled="true" fillcolor="#000000" stroked="false">
                <v:path arrowok="t"/>
                <v:fill type="solid"/>
              </v:shape>
            </v:group>
            <v:group style="position:absolute;left:3728;top:1236;width:10;height:20" coordorigin="3728,1236" coordsize="10,20">
              <v:shape style="position:absolute;left:3728;top:1236;width:10;height:20" coordorigin="3728,1236" coordsize="10,20" path="m3728,1255l3737,1255,3737,1236,3728,1236,3728,1255xe" filled="true" fillcolor="#000000" stroked="false">
                <v:path arrowok="t"/>
                <v:fill type="solid"/>
              </v:shape>
            </v:group>
            <v:group style="position:absolute;left:3728;top:1255;width:10;height:20" coordorigin="3728,1255" coordsize="10,20">
              <v:shape style="position:absolute;left:3728;top:1255;width:10;height:20" coordorigin="3728,1255" coordsize="10,20" path="m3728,1275l3737,1275,3737,1255,3728,1255,3728,1275xe" filled="true" fillcolor="#000000" stroked="false">
                <v:path arrowok="t"/>
                <v:fill type="solid"/>
              </v:shape>
            </v:group>
            <v:group style="position:absolute;left:3728;top:1275;width:10;height:20" coordorigin="3728,1275" coordsize="10,20">
              <v:shape style="position:absolute;left:3728;top:1275;width:10;height:20" coordorigin="3728,1275" coordsize="10,20" path="m3728,1294l3737,1294,3737,1275,3728,1275,3728,1294xe" filled="true" fillcolor="#000000" stroked="false">
                <v:path arrowok="t"/>
                <v:fill type="solid"/>
              </v:shape>
            </v:group>
            <v:group style="position:absolute;left:3728;top:1294;width:10;height:20" coordorigin="3728,1294" coordsize="10,20">
              <v:shape style="position:absolute;left:3728;top:1294;width:10;height:20" coordorigin="3728,1294" coordsize="10,20" path="m3728,1313l3737,1313,3737,1294,3728,1294,3728,1313xe" filled="true" fillcolor="#000000" stroked="false">
                <v:path arrowok="t"/>
                <v:fill type="solid"/>
              </v:shape>
            </v:group>
            <v:group style="position:absolute;left:3728;top:1313;width:10;height:20" coordorigin="3728,1313" coordsize="10,20">
              <v:shape style="position:absolute;left:3728;top:1313;width:10;height:20" coordorigin="3728,1313" coordsize="10,20" path="m3728,1332l3737,1332,3737,1313,3728,1313,3728,1332xe" filled="true" fillcolor="#000000" stroked="false">
                <v:path arrowok="t"/>
                <v:fill type="solid"/>
              </v:shape>
              <v:shape style="position:absolute;left:1169;top:1236;width:1344;height:110" type="#_x0000_t75" stroked="false">
                <v:imagedata r:id="rId102" o:title=""/>
              </v:shape>
              <v:shape style="position:absolute;left:2489;top:1332;width:1248;height:14" type="#_x0000_t75" stroked="false">
                <v:imagedata r:id="rId103" o:title=""/>
              </v:shape>
              <v:shape style="position:absolute;left:3723;top:1332;width:1573;height:14" type="#_x0000_t75" stroked="false">
                <v:imagedata r:id="rId104" o:title=""/>
              </v:shape>
              <v:shape style="position:absolute;left:5281;top:1337;width:1268;height:10" type="#_x0000_t75" stroked="false">
                <v:imagedata r:id="rId105" o:title=""/>
              </v:shape>
              <v:shape style="position:absolute;left:6544;top:1332;width:1908;height:14" type="#_x0000_t75" stroked="false">
                <v:imagedata r:id="rId106" o:title=""/>
              </v:shape>
              <v:shape style="position:absolute;left:8437;top:1337;width:1781;height:10" type="#_x0000_t75" stroked="false">
                <v:imagedata r:id="rId96" o:title=""/>
              </v:shape>
            </v:group>
            <v:group style="position:absolute;left:3728;top:1347;width:10;height:20" coordorigin="3728,1347" coordsize="10,20">
              <v:shape style="position:absolute;left:3728;top:1347;width:10;height:20" coordorigin="3728,1347" coordsize="10,20" path="m3728,1366l3737,1366,3737,1347,3728,1347,3728,1366xe" filled="true" fillcolor="#000000" stroked="false">
                <v:path arrowok="t"/>
                <v:fill type="solid"/>
              </v:shape>
            </v:group>
            <v:group style="position:absolute;left:3728;top:1366;width:10;height:20" coordorigin="3728,1366" coordsize="10,20">
              <v:shape style="position:absolute;left:3728;top:1366;width:10;height:20" coordorigin="3728,1366" coordsize="10,20" path="m3728,1385l3737,1385,3737,1366,3728,1366,3728,1385xe" filled="true" fillcolor="#000000" stroked="false">
                <v:path arrowok="t"/>
                <v:fill type="solid"/>
              </v:shape>
            </v:group>
            <v:group style="position:absolute;left:3728;top:1385;width:10;height:20" coordorigin="3728,1385" coordsize="10,20">
              <v:shape style="position:absolute;left:3728;top:1385;width:10;height:20" coordorigin="3728,1385" coordsize="10,20" path="m3728,1404l3737,1404,3737,1385,3728,1385,3728,1404xe" filled="true" fillcolor="#000000" stroked="false">
                <v:path arrowok="t"/>
                <v:fill type="solid"/>
              </v:shape>
            </v:group>
            <v:group style="position:absolute;left:3728;top:1404;width:10;height:20" coordorigin="3728,1404" coordsize="10,20">
              <v:shape style="position:absolute;left:3728;top:1404;width:10;height:20" coordorigin="3728,1404" coordsize="10,20" path="m3728,1423l3737,1423,3737,1404,3728,1404,3728,1423xe" filled="true" fillcolor="#000000" stroked="false">
                <v:path arrowok="t"/>
                <v:fill type="solid"/>
              </v:shape>
            </v:group>
            <v:group style="position:absolute;left:3728;top:1423;width:10;height:20" coordorigin="3728,1423" coordsize="10,20">
              <v:shape style="position:absolute;left:3728;top:1423;width:10;height:20" coordorigin="3728,1423" coordsize="10,20" path="m3728,1443l3737,1443,3737,1423,3728,1423,3728,1443xe" filled="true" fillcolor="#000000" stroked="false">
                <v:path arrowok="t"/>
                <v:fill type="solid"/>
              </v:shape>
            </v:group>
            <v:group style="position:absolute;left:3728;top:1443;width:10;height:20" coordorigin="3728,1443" coordsize="10,20">
              <v:shape style="position:absolute;left:3728;top:1443;width:10;height:20" coordorigin="3728,1443" coordsize="10,20" path="m3728,1462l3737,1462,3737,1443,3728,1443,3728,1462xe" filled="true" fillcolor="#000000" stroked="false">
                <v:path arrowok="t"/>
                <v:fill type="solid"/>
              </v:shape>
            </v:group>
            <v:group style="position:absolute;left:3728;top:1462;width:10;height:20" coordorigin="3728,1462" coordsize="10,20">
              <v:shape style="position:absolute;left:3728;top:1462;width:10;height:20" coordorigin="3728,1462" coordsize="10,20" path="m3728,1481l3737,1481,3737,1462,3728,1462,3728,1481xe" filled="true" fillcolor="#000000" stroked="false">
                <v:path arrowok="t"/>
                <v:fill type="solid"/>
              </v:shape>
            </v:group>
            <v:group style="position:absolute;left:3728;top:1481;width:10;height:20" coordorigin="3728,1481" coordsize="10,20">
              <v:shape style="position:absolute;left:3728;top:1481;width:10;height:20" coordorigin="3728,1481" coordsize="10,20" path="m3728,1500l3737,1500,3737,1481,3728,1481,3728,1500xe" filled="true" fillcolor="#000000" stroked="false">
                <v:path arrowok="t"/>
                <v:fill type="solid"/>
              </v:shape>
            </v:group>
            <v:group style="position:absolute;left:3728;top:1500;width:10;height:20" coordorigin="3728,1500" coordsize="10,20">
              <v:shape style="position:absolute;left:3728;top:1500;width:10;height:20" coordorigin="3728,1500" coordsize="10,20" path="m3728,1519l3737,1519,3737,1500,3728,1500,3728,1519xe" filled="true" fillcolor="#000000" stroked="false">
                <v:path arrowok="t"/>
                <v:fill type="solid"/>
              </v:shape>
            </v:group>
            <v:group style="position:absolute;left:3728;top:1519;width:10;height:20" coordorigin="3728,1519" coordsize="10,20">
              <v:shape style="position:absolute;left:3728;top:1519;width:10;height:20" coordorigin="3728,1519" coordsize="10,20" path="m3728,1539l3737,1539,3737,1519,3728,1519,3728,1539xe" filled="true" fillcolor="#000000" stroked="false">
                <v:path arrowok="t"/>
                <v:fill type="solid"/>
              </v:shape>
            </v:group>
            <v:group style="position:absolute;left:3728;top:1539;width:10;height:20" coordorigin="3728,1539" coordsize="10,20">
              <v:shape style="position:absolute;left:3728;top:1539;width:10;height:20" coordorigin="3728,1539" coordsize="10,20" path="m3728,1558l3737,1558,3737,1539,3728,1539,3728,1558xe" filled="true" fillcolor="#000000" stroked="false">
                <v:path arrowok="t"/>
                <v:fill type="solid"/>
              </v:shape>
            </v:group>
            <v:group style="position:absolute;left:3728;top:1558;width:10;height:20" coordorigin="3728,1558" coordsize="10,20">
              <v:shape style="position:absolute;left:3728;top:1558;width:10;height:20" coordorigin="3728,1558" coordsize="10,20" path="m3728,1577l3737,1577,3737,1558,3728,1558,3728,1577xe" filled="true" fillcolor="#000000" stroked="false">
                <v:path arrowok="t"/>
                <v:fill type="solid"/>
              </v:shape>
            </v:group>
            <v:group style="position:absolute;left:3728;top:1577;width:10;height:20" coordorigin="3728,1577" coordsize="10,20">
              <v:shape style="position:absolute;left:3728;top:1577;width:10;height:20" coordorigin="3728,1577" coordsize="10,20" path="m3728,1596l3737,1596,3737,1577,3728,1577,3728,1596xe" filled="true" fillcolor="#000000" stroked="false">
                <v:path arrowok="t"/>
                <v:fill type="solid"/>
              </v:shape>
            </v:group>
            <v:group style="position:absolute;left:3728;top:1596;width:10;height:20" coordorigin="3728,1596" coordsize="10,20">
              <v:shape style="position:absolute;left:3728;top:1596;width:10;height:20" coordorigin="3728,1596" coordsize="10,20" path="m3728,1615l3737,1615,3737,1596,3728,1596,3728,1615xe" filled="true" fillcolor="#000000" stroked="false">
                <v:path arrowok="t"/>
                <v:fill type="solid"/>
              </v:shape>
            </v:group>
            <v:group style="position:absolute;left:3728;top:1615;width:10;height:20" coordorigin="3728,1615" coordsize="10,20">
              <v:shape style="position:absolute;left:3728;top:1615;width:10;height:20" coordorigin="3728,1615" coordsize="10,20" path="m3728,1635l3737,1635,3737,1615,3728,1615,3728,1635xe" filled="true" fillcolor="#000000" stroked="false">
                <v:path arrowok="t"/>
                <v:fill type="solid"/>
              </v:shape>
            </v:group>
            <v:group style="position:absolute;left:3728;top:1635;width:10;height:20" coordorigin="3728,1635" coordsize="10,20">
              <v:shape style="position:absolute;left:3728;top:1635;width:10;height:20" coordorigin="3728,1635" coordsize="10,20" path="m3728,1654l3737,1654,3737,1635,3728,1635,3728,1654xe" filled="true" fillcolor="#000000" stroked="false">
                <v:path arrowok="t"/>
                <v:fill type="solid"/>
              </v:shape>
              <v:shape style="position:absolute;left:3728;top:1654;width:10;height:5" type="#_x0000_t75" stroked="false">
                <v:imagedata r:id="rId91" o:title=""/>
              </v:shape>
            </v:group>
            <v:group style="position:absolute;left:3728;top:1663;width:10;height:2" coordorigin="3728,1663" coordsize="10,2">
              <v:shape style="position:absolute;left:3728;top:1663;width:10;height:2" coordorigin="3728,1663" coordsize="10,0" path="m3728,1663l3737,1663e" filled="false" stroked="true" strokeweight=".47998pt" strokecolor="#000000">
                <v:path arrowok="t"/>
              </v:shape>
              <v:shape style="position:absolute;left:5281;top:1558;width:1287;height:110" type="#_x0000_t75" stroked="false">
                <v:imagedata r:id="rId107" o:title=""/>
              </v:shape>
              <v:shape style="position:absolute;left:6544;top:1654;width:1908;height:14" type="#_x0000_t75" stroked="false">
                <v:imagedata r:id="rId106" o:title=""/>
              </v:shape>
              <v:shape style="position:absolute;left:8437;top:1659;width:1784;height:10" type="#_x0000_t75" stroked="false">
                <v:imagedata r:id="rId108" o:title=""/>
              </v:shape>
            </v:group>
            <v:group style="position:absolute;left:3728;top:1668;width:10;height:20" coordorigin="3728,1668" coordsize="10,20">
              <v:shape style="position:absolute;left:3728;top:1668;width:10;height:20" coordorigin="3728,1668" coordsize="10,20" path="m3728,1687l3737,1687,3737,1668,3728,1668,3728,1687xe" filled="true" fillcolor="#000000" stroked="false">
                <v:path arrowok="t"/>
                <v:fill type="solid"/>
              </v:shape>
            </v:group>
            <v:group style="position:absolute;left:3728;top:1687;width:10;height:20" coordorigin="3728,1687" coordsize="10,20">
              <v:shape style="position:absolute;left:3728;top:1687;width:10;height:20" coordorigin="3728,1687" coordsize="10,20" path="m3728,1707l3737,1707,3737,1687,3728,1687,3728,1707xe" filled="true" fillcolor="#000000" stroked="false">
                <v:path arrowok="t"/>
                <v:fill type="solid"/>
              </v:shape>
            </v:group>
            <v:group style="position:absolute;left:3728;top:1707;width:10;height:20" coordorigin="3728,1707" coordsize="10,20">
              <v:shape style="position:absolute;left:3728;top:1707;width:10;height:20" coordorigin="3728,1707" coordsize="10,20" path="m3728,1726l3737,1726,3737,1707,3728,1707,3728,1726xe" filled="true" fillcolor="#000000" stroked="false">
                <v:path arrowok="t"/>
                <v:fill type="solid"/>
              </v:shape>
            </v:group>
            <v:group style="position:absolute;left:3728;top:1726;width:10;height:20" coordorigin="3728,1726" coordsize="10,20">
              <v:shape style="position:absolute;left:3728;top:1726;width:10;height:20" coordorigin="3728,1726" coordsize="10,20" path="m3728,1745l3737,1745,3737,1726,3728,1726,3728,1745xe" filled="true" fillcolor="#000000" stroked="false">
                <v:path arrowok="t"/>
                <v:fill type="solid"/>
              </v:shape>
            </v:group>
            <v:group style="position:absolute;left:3728;top:1745;width:10;height:20" coordorigin="3728,1745" coordsize="10,20">
              <v:shape style="position:absolute;left:3728;top:1745;width:10;height:20" coordorigin="3728,1745" coordsize="10,20" path="m3728,1764l3737,1764,3737,1745,3728,1745,3728,1764xe" filled="true" fillcolor="#000000" stroked="false">
                <v:path arrowok="t"/>
                <v:fill type="solid"/>
              </v:shape>
            </v:group>
            <v:group style="position:absolute;left:3728;top:1764;width:10;height:20" coordorigin="3728,1764" coordsize="10,20">
              <v:shape style="position:absolute;left:3728;top:1764;width:10;height:20" coordorigin="3728,1764" coordsize="10,20" path="m3728,1783l3737,1783,3737,1764,3728,1764,3728,1783xe" filled="true" fillcolor="#000000" stroked="false">
                <v:path arrowok="t"/>
                <v:fill type="solid"/>
              </v:shape>
            </v:group>
            <v:group style="position:absolute;left:3728;top:1783;width:10;height:20" coordorigin="3728,1783" coordsize="10,20">
              <v:shape style="position:absolute;left:3728;top:1783;width:10;height:20" coordorigin="3728,1783" coordsize="10,20" path="m3728,1803l3737,1803,3737,1783,3728,1783,3728,1803xe" filled="true" fillcolor="#000000" stroked="false">
                <v:path arrowok="t"/>
                <v:fill type="solid"/>
              </v:shape>
            </v:group>
            <v:group style="position:absolute;left:3728;top:1803;width:10;height:20" coordorigin="3728,1803" coordsize="10,20">
              <v:shape style="position:absolute;left:3728;top:1803;width:10;height:20" coordorigin="3728,1803" coordsize="10,20" path="m3728,1822l3737,1822,3737,1803,3728,1803,3728,1822xe" filled="true" fillcolor="#000000" stroked="false">
                <v:path arrowok="t"/>
                <v:fill type="solid"/>
              </v:shape>
            </v:group>
            <v:group style="position:absolute;left:3728;top:1822;width:10;height:20" coordorigin="3728,1822" coordsize="10,20">
              <v:shape style="position:absolute;left:3728;top:1822;width:10;height:20" coordorigin="3728,1822" coordsize="10,20" path="m3728,1841l3737,1841,3737,1822,3728,1822,3728,1841xe" filled="true" fillcolor="#000000" stroked="false">
                <v:path arrowok="t"/>
                <v:fill type="solid"/>
              </v:shape>
            </v:group>
            <v:group style="position:absolute;left:3728;top:1841;width:10;height:20" coordorigin="3728,1841" coordsize="10,20">
              <v:shape style="position:absolute;left:3728;top:1841;width:10;height:20" coordorigin="3728,1841" coordsize="10,20" path="m3728,1860l3737,1860,3737,1841,3728,1841,3728,1860xe" filled="true" fillcolor="#000000" stroked="false">
                <v:path arrowok="t"/>
                <v:fill type="solid"/>
              </v:shape>
            </v:group>
            <v:group style="position:absolute;left:3728;top:1860;width:10;height:20" coordorigin="3728,1860" coordsize="10,20">
              <v:shape style="position:absolute;left:3728;top:1860;width:10;height:20" coordorigin="3728,1860" coordsize="10,20" path="m3728,1879l3737,1879,3737,1860,3728,1860,3728,1879xe" filled="true" fillcolor="#000000" stroked="false">
                <v:path arrowok="t"/>
                <v:fill type="solid"/>
              </v:shape>
            </v:group>
            <v:group style="position:absolute;left:3728;top:1879;width:10;height:20" coordorigin="3728,1879" coordsize="10,20">
              <v:shape style="position:absolute;left:3728;top:1879;width:10;height:20" coordorigin="3728,1879" coordsize="10,20" path="m3728,1899l3737,1899,3737,1879,3728,1879,3728,1899xe" filled="true" fillcolor="#000000" stroked="false">
                <v:path arrowok="t"/>
                <v:fill type="solid"/>
              </v:shape>
            </v:group>
            <v:group style="position:absolute;left:3728;top:1899;width:10;height:20" coordorigin="3728,1899" coordsize="10,20">
              <v:shape style="position:absolute;left:3728;top:1899;width:10;height:20" coordorigin="3728,1899" coordsize="10,20" path="m3728,1918l3737,1918,3737,1899,3728,1899,3728,1918xe" filled="true" fillcolor="#000000" stroked="false">
                <v:path arrowok="t"/>
                <v:fill type="solid"/>
              </v:shape>
            </v:group>
            <v:group style="position:absolute;left:3728;top:1918;width:10;height:20" coordorigin="3728,1918" coordsize="10,20">
              <v:shape style="position:absolute;left:3728;top:1918;width:10;height:20" coordorigin="3728,1918" coordsize="10,20" path="m3728,1937l3737,1937,3737,1918,3728,1918,3728,1937xe" filled="true" fillcolor="#000000" stroked="false">
                <v:path arrowok="t"/>
                <v:fill type="solid"/>
              </v:shape>
            </v:group>
            <v:group style="position:absolute;left:3728;top:1937;width:10;height:20" coordorigin="3728,1937" coordsize="10,20">
              <v:shape style="position:absolute;left:3728;top:1937;width:10;height:20" coordorigin="3728,1937" coordsize="10,20" path="m3728,1956l3737,1956,3737,1937,3728,1937,3728,1956xe" filled="true" fillcolor="#000000" stroked="false">
                <v:path arrowok="t"/>
                <v:fill type="solid"/>
              </v:shape>
            </v:group>
            <v:group style="position:absolute;left:3728;top:1956;width:10;height:20" coordorigin="3728,1956" coordsize="10,20">
              <v:shape style="position:absolute;left:3728;top:1956;width:10;height:20" coordorigin="3728,1956" coordsize="10,20" path="m3728,1975l3737,1975,3737,1956,3728,1956,3728,1975xe" filled="true" fillcolor="#000000" stroked="false">
                <v:path arrowok="t"/>
                <v:fill type="solid"/>
              </v:shape>
            </v:group>
            <v:group style="position:absolute;left:3728;top:1975;width:10;height:20" coordorigin="3728,1975" coordsize="10,20">
              <v:shape style="position:absolute;left:3728;top:1975;width:10;height:20" coordorigin="3728,1975" coordsize="10,20" path="m3728,1995l3737,1995,3737,1975,3728,1975,3728,1995xe" filled="true" fillcolor="#000000" stroked="false">
                <v:path arrowok="t"/>
                <v:fill type="solid"/>
              </v:shape>
            </v:group>
            <v:group style="position:absolute;left:3728;top:1995;width:10;height:20" coordorigin="3728,1995" coordsize="10,20">
              <v:shape style="position:absolute;left:3728;top:1995;width:10;height:20" coordorigin="3728,1995" coordsize="10,20" path="m3728,2014l3737,2014,3737,1995,3728,1995,3728,2014xe" filled="true" fillcolor="#000000" stroked="false">
                <v:path arrowok="t"/>
                <v:fill type="solid"/>
              </v:shape>
            </v:group>
            <v:group style="position:absolute;left:3728;top:2014;width:10;height:20" coordorigin="3728,2014" coordsize="10,20">
              <v:shape style="position:absolute;left:3728;top:2014;width:10;height:20" coordorigin="3728,2014" coordsize="10,20" path="m3728,2033l3737,2033,3737,2014,3728,2014,3728,2033xe" filled="true" fillcolor="#000000" stroked="false">
                <v:path arrowok="t"/>
                <v:fill type="solid"/>
              </v:shape>
            </v:group>
            <v:group style="position:absolute;left:3728;top:2033;width:10;height:20" coordorigin="3728,2033" coordsize="10,20">
              <v:shape style="position:absolute;left:3728;top:2033;width:10;height:20" coordorigin="3728,2033" coordsize="10,20" path="m3728,2052l3737,2052,3737,2033,3728,2033,3728,2052xe" filled="true" fillcolor="#000000" stroked="false">
                <v:path arrowok="t"/>
                <v:fill type="solid"/>
              </v:shape>
            </v:group>
            <v:group style="position:absolute;left:3728;top:2052;width:10;height:20" coordorigin="3728,2052" coordsize="10,20">
              <v:shape style="position:absolute;left:3728;top:2052;width:10;height:20" coordorigin="3728,2052" coordsize="10,20" path="m3728,2071l3737,2071,3737,2052,3728,2052,3728,2071xe" filled="true" fillcolor="#000000" stroked="false">
                <v:path arrowok="t"/>
                <v:fill type="solid"/>
              </v:shape>
            </v:group>
            <v:group style="position:absolute;left:3728;top:2071;width:10;height:20" coordorigin="3728,2071" coordsize="10,20">
              <v:shape style="position:absolute;left:3728;top:2071;width:10;height:20" coordorigin="3728,2071" coordsize="10,20" path="m3728,2091l3737,2091,3737,2071,3728,2071,3728,2091xe" filled="true" fillcolor="#000000" stroked="false">
                <v:path arrowok="t"/>
                <v:fill type="solid"/>
              </v:shape>
            </v:group>
            <v:group style="position:absolute;left:3728;top:2091;width:10;height:20" coordorigin="3728,2091" coordsize="10,20">
              <v:shape style="position:absolute;left:3728;top:2091;width:10;height:20" coordorigin="3728,2091" coordsize="10,20" path="m3728,2110l3737,2110,3737,2091,3728,2091,3728,2110xe" filled="true" fillcolor="#000000" stroked="false">
                <v:path arrowok="t"/>
                <v:fill type="solid"/>
              </v:shape>
            </v:group>
            <v:group style="position:absolute;left:3728;top:2110;width:10;height:20" coordorigin="3728,2110" coordsize="10,20">
              <v:shape style="position:absolute;left:3728;top:2110;width:10;height:20" coordorigin="3728,2110" coordsize="10,20" path="m3728,2129l3737,2129,3737,2110,3728,2110,3728,2129xe" filled="true" fillcolor="#000000" stroked="false">
                <v:path arrowok="t"/>
                <v:fill type="solid"/>
              </v:shape>
            </v:group>
            <v:group style="position:absolute;left:3728;top:2129;width:10;height:20" coordorigin="3728,2129" coordsize="10,20">
              <v:shape style="position:absolute;left:3728;top:2129;width:10;height:20" coordorigin="3728,2129" coordsize="10,20" path="m3728,2148l3737,2148,3737,2129,3728,2129,3728,2148xe" filled="true" fillcolor="#000000" stroked="false">
                <v:path arrowok="t"/>
                <v:fill type="solid"/>
              </v:shape>
            </v:group>
            <v:group style="position:absolute;left:3728;top:2148;width:10;height:20" coordorigin="3728,2148" coordsize="10,20">
              <v:shape style="position:absolute;left:3728;top:2148;width:10;height:20" coordorigin="3728,2148" coordsize="10,20" path="m3728,2167l3737,2167,3737,2148,3728,2148,3728,2167xe" filled="true" fillcolor="#000000" stroked="false">
                <v:path arrowok="t"/>
                <v:fill type="solid"/>
              </v:shape>
            </v:group>
            <v:group style="position:absolute;left:3728;top:2167;width:10;height:20" coordorigin="3728,2167" coordsize="10,20">
              <v:shape style="position:absolute;left:3728;top:2167;width:10;height:20" coordorigin="3728,2167" coordsize="10,20" path="m3728,2187l3737,2187,3737,2167,3728,2167,3728,2187xe" filled="true" fillcolor="#000000" stroked="false">
                <v:path arrowok="t"/>
                <v:fill type="solid"/>
              </v:shape>
            </v:group>
            <v:group style="position:absolute;left:3728;top:2187;width:10;height:20" coordorigin="3728,2187" coordsize="10,20">
              <v:shape style="position:absolute;left:3728;top:2187;width:10;height:20" coordorigin="3728,2187" coordsize="10,20" path="m3728,2206l3737,2206,3737,2187,3728,2187,3728,2206xe" filled="true" fillcolor="#000000" stroked="false">
                <v:path arrowok="t"/>
                <v:fill type="solid"/>
              </v:shape>
            </v:group>
            <v:group style="position:absolute;left:3728;top:2206;width:10;height:20" coordorigin="3728,2206" coordsize="10,20">
              <v:shape style="position:absolute;left:3728;top:2206;width:10;height:20" coordorigin="3728,2206" coordsize="10,20" path="m3728,2225l3737,2225,3737,2206,3728,2206,3728,2225xe" filled="true" fillcolor="#000000" stroked="false">
                <v:path arrowok="t"/>
                <v:fill type="solid"/>
              </v:shape>
            </v:group>
            <v:group style="position:absolute;left:3728;top:2225;width:10;height:20" coordorigin="3728,2225" coordsize="10,20">
              <v:shape style="position:absolute;left:3728;top:2225;width:10;height:20" coordorigin="3728,2225" coordsize="10,20" path="m3728,2244l3737,2244,3737,2225,3728,2225,3728,2244xe" filled="true" fillcolor="#000000" stroked="false">
                <v:path arrowok="t"/>
                <v:fill type="solid"/>
              </v:shape>
            </v:group>
            <v:group style="position:absolute;left:3728;top:2244;width:10;height:20" coordorigin="3728,2244" coordsize="10,20">
              <v:shape style="position:absolute;left:3728;top:2244;width:10;height:20" coordorigin="3728,2244" coordsize="10,20" path="m3728,2263l3737,2263,3737,2244,3728,2244,3728,2263xe" filled="true" fillcolor="#000000" stroked="false">
                <v:path arrowok="t"/>
                <v:fill type="solid"/>
              </v:shape>
            </v:group>
            <v:group style="position:absolute;left:3728;top:2263;width:10;height:20" coordorigin="3728,2263" coordsize="10,20">
              <v:shape style="position:absolute;left:3728;top:2263;width:10;height:20" coordorigin="3728,2263" coordsize="10,20" path="m3728,2283l3737,2283,3737,2263,3728,2263,3728,2283xe" filled="true" fillcolor="#000000" stroked="false">
                <v:path arrowok="t"/>
                <v:fill type="solid"/>
              </v:shape>
            </v:group>
            <v:group style="position:absolute;left:3728;top:2283;width:10;height:20" coordorigin="3728,2283" coordsize="10,20">
              <v:shape style="position:absolute;left:3728;top:2283;width:10;height:20" coordorigin="3728,2283" coordsize="10,20" path="m3728,2302l3737,2302,3737,2283,3728,2283,3728,2302xe" filled="true" fillcolor="#000000" stroked="false">
                <v:path arrowok="t"/>
                <v:fill type="solid"/>
              </v:shape>
            </v:group>
            <v:group style="position:absolute;left:3728;top:2302;width:10;height:20" coordorigin="3728,2302" coordsize="10,20">
              <v:shape style="position:absolute;left:3728;top:2302;width:10;height:20" coordorigin="3728,2302" coordsize="10,20" path="m3728,2321l3737,2321,3737,2302,3728,2302,3728,2321xe" filled="true" fillcolor="#000000" stroked="false">
                <v:path arrowok="t"/>
                <v:fill type="solid"/>
              </v:shape>
            </v:group>
            <v:group style="position:absolute;left:3728;top:2321;width:10;height:20" coordorigin="3728,2321" coordsize="10,20">
              <v:shape style="position:absolute;left:3728;top:2321;width:10;height:20" coordorigin="3728,2321" coordsize="10,20" path="m3728,2340l3737,2340,3737,2321,3728,2321,3728,2340xe" filled="true" fillcolor="#000000" stroked="false">
                <v:path arrowok="t"/>
                <v:fill type="solid"/>
              </v:shape>
            </v:group>
            <v:group style="position:absolute;left:3728;top:2340;width:10;height:20" coordorigin="3728,2340" coordsize="10,20">
              <v:shape style="position:absolute;left:3728;top:2340;width:10;height:20" coordorigin="3728,2340" coordsize="10,20" path="m3728,2359l3737,2359,3737,2340,3728,2340,3728,2359xe" filled="true" fillcolor="#000000" stroked="false">
                <v:path arrowok="t"/>
                <v:fill type="solid"/>
              </v:shape>
            </v:group>
            <v:group style="position:absolute;left:3728;top:2359;width:10;height:20" coordorigin="3728,2359" coordsize="10,20">
              <v:shape style="position:absolute;left:3728;top:2359;width:10;height:20" coordorigin="3728,2359" coordsize="10,20" path="m3728,2379l3737,2379,3737,2359,3728,2359,3728,2379xe" filled="true" fillcolor="#000000" stroked="false">
                <v:path arrowok="t"/>
                <v:fill type="solid"/>
              </v:shape>
            </v:group>
            <v:group style="position:absolute;left:3728;top:2379;width:10;height:20" coordorigin="3728,2379" coordsize="10,20">
              <v:shape style="position:absolute;left:3728;top:2379;width:10;height:20" coordorigin="3728,2379" coordsize="10,20" path="m3728,2398l3737,2398,3737,2379,3728,2379,3728,2398xe" filled="true" fillcolor="#000000" stroked="false">
                <v:path arrowok="t"/>
                <v:fill type="solid"/>
              </v:shape>
            </v:group>
            <v:group style="position:absolute;left:3728;top:2398;width:10;height:20" coordorigin="3728,2398" coordsize="10,20">
              <v:shape style="position:absolute;left:3728;top:2398;width:10;height:20" coordorigin="3728,2398" coordsize="10,20" path="m3728,2417l3737,2417,3737,2398,3728,2398,3728,2417xe" filled="true" fillcolor="#000000" stroked="false">
                <v:path arrowok="t"/>
                <v:fill type="solid"/>
              </v:shape>
            </v:group>
            <v:group style="position:absolute;left:3728;top:2417;width:10;height:20" coordorigin="3728,2417" coordsize="10,20">
              <v:shape style="position:absolute;left:3728;top:2417;width:10;height:20" coordorigin="3728,2417" coordsize="10,20" path="m3728,2436l3737,2436,3737,2417,3728,2417,3728,2436xe" filled="true" fillcolor="#000000" stroked="false">
                <v:path arrowok="t"/>
                <v:fill type="solid"/>
              </v:shape>
            </v:group>
            <v:group style="position:absolute;left:3728;top:2436;width:10;height:20" coordorigin="3728,2436" coordsize="10,20">
              <v:shape style="position:absolute;left:3728;top:2436;width:10;height:20" coordorigin="3728,2436" coordsize="10,20" path="m3728,2455l3737,2455,3737,2436,3728,2436,3728,2455xe" filled="true" fillcolor="#000000" stroked="false">
                <v:path arrowok="t"/>
                <v:fill type="solid"/>
              </v:shape>
            </v:group>
            <v:group style="position:absolute;left:3728;top:2455;width:10;height:20" coordorigin="3728,2455" coordsize="10,20">
              <v:shape style="position:absolute;left:3728;top:2455;width:10;height:20" coordorigin="3728,2455" coordsize="10,20" path="m3728,2475l3737,2475,3737,2455,3728,2455,3728,2475xe" filled="true" fillcolor="#000000" stroked="false">
                <v:path arrowok="t"/>
                <v:fill type="solid"/>
              </v:shape>
            </v:group>
            <v:group style="position:absolute;left:3728;top:2475;width:10;height:20" coordorigin="3728,2475" coordsize="10,20">
              <v:shape style="position:absolute;left:3728;top:2475;width:10;height:20" coordorigin="3728,2475" coordsize="10,20" path="m3728,2494l3737,2494,3737,2475,3728,2475,3728,2494xe" filled="true" fillcolor="#000000" stroked="false">
                <v:path arrowok="t"/>
                <v:fill type="solid"/>
              </v:shape>
            </v:group>
            <v:group style="position:absolute;left:3728;top:2494;width:10;height:20" coordorigin="3728,2494" coordsize="10,20">
              <v:shape style="position:absolute;left:3728;top:2494;width:10;height:20" coordorigin="3728,2494" coordsize="10,20" path="m3728,2513l3737,2513,3737,2494,3728,2494,3728,2513xe" filled="true" fillcolor="#000000" stroked="false">
                <v:path arrowok="t"/>
                <v:fill type="solid"/>
              </v:shape>
              <v:shape style="position:absolute;left:1169;top:2513;width:2578;height:101" type="#_x0000_t75" stroked="false">
                <v:imagedata r:id="rId109" o:title=""/>
              </v:shape>
              <v:shape style="position:absolute;left:3723;top:2604;width:1563;height:10" type="#_x0000_t75" stroked="false">
                <v:imagedata r:id="rId110" o:title=""/>
              </v:shape>
              <v:shape style="position:absolute;left:5281;top:2604;width:1268;height:10" type="#_x0000_t75" stroked="false">
                <v:imagedata r:id="rId105" o:title=""/>
              </v:shape>
              <v:shape style="position:absolute;left:6544;top:2604;width:1898;height:10" type="#_x0000_t75" stroked="false">
                <v:imagedata r:id="rId95" o:title=""/>
              </v:shape>
              <v:shape style="position:absolute;left:8437;top:2604;width:1784;height:10" type="#_x0000_t75" stroked="false">
                <v:imagedata r:id="rId108" o:title=""/>
              </v:shape>
            </v:group>
            <v:group style="position:absolute;left:3728;top:2614;width:10;height:20" coordorigin="3728,2614" coordsize="10,20">
              <v:shape style="position:absolute;left:3728;top:2614;width:10;height:20" coordorigin="3728,2614" coordsize="10,20" path="m3728,2633l3737,2633,3737,2614,3728,2614,3728,2633xe" filled="true" fillcolor="#000000" stroked="false">
                <v:path arrowok="t"/>
                <v:fill type="solid"/>
              </v:shape>
            </v:group>
            <v:group style="position:absolute;left:3728;top:2633;width:10;height:20" coordorigin="3728,2633" coordsize="10,20">
              <v:shape style="position:absolute;left:3728;top:2633;width:10;height:20" coordorigin="3728,2633" coordsize="10,20" path="m3728,2652l3737,2652,3737,2633,3728,2633,3728,2652xe" filled="true" fillcolor="#000000" stroked="false">
                <v:path arrowok="t"/>
                <v:fill type="solid"/>
              </v:shape>
            </v:group>
            <v:group style="position:absolute;left:3728;top:2652;width:10;height:20" coordorigin="3728,2652" coordsize="10,20">
              <v:shape style="position:absolute;left:3728;top:2652;width:10;height:20" coordorigin="3728,2652" coordsize="10,20" path="m3728,2671l3737,2671,3737,2652,3728,2652,3728,2671xe" filled="true" fillcolor="#000000" stroked="false">
                <v:path arrowok="t"/>
                <v:fill type="solid"/>
              </v:shape>
            </v:group>
            <v:group style="position:absolute;left:3728;top:2671;width:10;height:20" coordorigin="3728,2671" coordsize="10,20">
              <v:shape style="position:absolute;left:3728;top:2671;width:10;height:20" coordorigin="3728,2671" coordsize="10,20" path="m3728,2691l3737,2691,3737,2671,3728,2671,3728,2691xe" filled="true" fillcolor="#000000" stroked="false">
                <v:path arrowok="t"/>
                <v:fill type="solid"/>
              </v:shape>
            </v:group>
            <v:group style="position:absolute;left:3728;top:2691;width:10;height:20" coordorigin="3728,2691" coordsize="10,20">
              <v:shape style="position:absolute;left:3728;top:2691;width:10;height:20" coordorigin="3728,2691" coordsize="10,20" path="m3728,2710l3737,2710,3737,2691,3728,2691,3728,2710xe" filled="true" fillcolor="#000000" stroked="false">
                <v:path arrowok="t"/>
                <v:fill type="solid"/>
              </v:shape>
            </v:group>
            <v:group style="position:absolute;left:3728;top:2710;width:10;height:20" coordorigin="3728,2710" coordsize="10,20">
              <v:shape style="position:absolute;left:3728;top:2710;width:10;height:20" coordorigin="3728,2710" coordsize="10,20" path="m3728,2729l3737,2729,3737,2710,3728,2710,3728,2729xe" filled="true" fillcolor="#000000" stroked="false">
                <v:path arrowok="t"/>
                <v:fill type="solid"/>
              </v:shape>
            </v:group>
            <v:group style="position:absolute;left:3728;top:2729;width:10;height:20" coordorigin="3728,2729" coordsize="10,20">
              <v:shape style="position:absolute;left:3728;top:2729;width:10;height:20" coordorigin="3728,2729" coordsize="10,20" path="m3728,2748l3737,2748,3737,2729,3728,2729,3728,2748xe" filled="true" fillcolor="#000000" stroked="false">
                <v:path arrowok="t"/>
                <v:fill type="solid"/>
              </v:shape>
            </v:group>
            <v:group style="position:absolute;left:3728;top:2748;width:10;height:20" coordorigin="3728,2748" coordsize="10,20">
              <v:shape style="position:absolute;left:3728;top:2748;width:10;height:20" coordorigin="3728,2748" coordsize="10,20" path="m3728,2767l3737,2767,3737,2748,3728,2748,3728,2767xe" filled="true" fillcolor="#000000" stroked="false">
                <v:path arrowok="t"/>
                <v:fill type="solid"/>
              </v:shape>
            </v:group>
            <v:group style="position:absolute;left:3728;top:2767;width:10;height:20" coordorigin="3728,2767" coordsize="10,20">
              <v:shape style="position:absolute;left:3728;top:2767;width:10;height:20" coordorigin="3728,2767" coordsize="10,20" path="m3728,2787l3737,2787,3737,2767,3728,2767,3728,2787xe" filled="true" fillcolor="#000000" stroked="false">
                <v:path arrowok="t"/>
                <v:fill type="solid"/>
              </v:shape>
            </v:group>
            <v:group style="position:absolute;left:3728;top:2787;width:10;height:20" coordorigin="3728,2787" coordsize="10,20">
              <v:shape style="position:absolute;left:3728;top:2787;width:10;height:20" coordorigin="3728,2787" coordsize="10,20" path="m3728,2806l3737,2806,3737,2787,3728,2787,3728,2806xe" filled="true" fillcolor="#000000" stroked="false">
                <v:path arrowok="t"/>
                <v:fill type="solid"/>
              </v:shape>
            </v:group>
            <v:group style="position:absolute;left:3728;top:2806;width:10;height:20" coordorigin="3728,2806" coordsize="10,20">
              <v:shape style="position:absolute;left:3728;top:2806;width:10;height:20" coordorigin="3728,2806" coordsize="10,20" path="m3728,2825l3737,2825,3737,2806,3728,2806,3728,2825xe" filled="true" fillcolor="#000000" stroked="false">
                <v:path arrowok="t"/>
                <v:fill type="solid"/>
              </v:shape>
            </v:group>
            <v:group style="position:absolute;left:3728;top:2825;width:10;height:20" coordorigin="3728,2825" coordsize="10,20">
              <v:shape style="position:absolute;left:3728;top:2825;width:10;height:20" coordorigin="3728,2825" coordsize="10,20" path="m3728,2844l3737,2844,3737,2825,3728,2825,3728,2844xe" filled="true" fillcolor="#000000" stroked="false">
                <v:path arrowok="t"/>
                <v:fill type="solid"/>
              </v:shape>
            </v:group>
            <v:group style="position:absolute;left:3728;top:2844;width:10;height:20" coordorigin="3728,2844" coordsize="10,20">
              <v:shape style="position:absolute;left:3728;top:2844;width:10;height:20" coordorigin="3728,2844" coordsize="10,20" path="m3728,2863l3737,2863,3737,2844,3728,2844,3728,2863xe" filled="true" fillcolor="#000000" stroked="false">
                <v:path arrowok="t"/>
                <v:fill type="solid"/>
              </v:shape>
            </v:group>
            <v:group style="position:absolute;left:3728;top:2863;width:10;height:20" coordorigin="3728,2863" coordsize="10,20">
              <v:shape style="position:absolute;left:3728;top:2863;width:10;height:20" coordorigin="3728,2863" coordsize="10,20" path="m3728,2883l3737,2883,3737,2863,3728,2863,3728,2883xe" filled="true" fillcolor="#000000" stroked="false">
                <v:path arrowok="t"/>
                <v:fill type="solid"/>
              </v:shape>
            </v:group>
            <v:group style="position:absolute;left:3728;top:2883;width:10;height:20" coordorigin="3728,2883" coordsize="10,20">
              <v:shape style="position:absolute;left:3728;top:2883;width:10;height:20" coordorigin="3728,2883" coordsize="10,20" path="m3728,2902l3737,2902,3737,2883,3728,2883,3728,2902xe" filled="true" fillcolor="#000000" stroked="false">
                <v:path arrowok="t"/>
                <v:fill type="solid"/>
              </v:shape>
            </v:group>
            <v:group style="position:absolute;left:3728;top:2902;width:10;height:20" coordorigin="3728,2902" coordsize="10,20">
              <v:shape style="position:absolute;left:3728;top:2902;width:10;height:20" coordorigin="3728,2902" coordsize="10,20" path="m3728,2921l3737,2921,3737,2902,3728,2902,3728,2921xe" filled="true" fillcolor="#000000" stroked="false">
                <v:path arrowok="t"/>
                <v:fill type="solid"/>
              </v:shape>
              <v:shape style="position:absolute;left:1169;top:2825;width:1344;height:110" type="#_x0000_t75" stroked="false">
                <v:imagedata r:id="rId111" o:title=""/>
              </v:shape>
              <v:shape style="position:absolute;left:2489;top:2921;width:1248;height:14" type="#_x0000_t75" stroked="false">
                <v:imagedata r:id="rId112" o:title=""/>
              </v:shape>
              <v:shape style="position:absolute;left:3723;top:2921;width:1573;height:14" type="#_x0000_t75" stroked="false">
                <v:imagedata r:id="rId104" o:title=""/>
              </v:shape>
              <v:shape style="position:absolute;left:5281;top:2926;width:1268;height:10" type="#_x0000_t75" stroked="false">
                <v:imagedata r:id="rId94" o:title=""/>
              </v:shape>
              <v:shape style="position:absolute;left:6544;top:2921;width:1908;height:14" type="#_x0000_t75" stroked="false">
                <v:imagedata r:id="rId106" o:title=""/>
              </v:shape>
              <v:shape style="position:absolute;left:8437;top:2926;width:1781;height:10" type="#_x0000_t75" stroked="false">
                <v:imagedata r:id="rId96" o:title=""/>
              </v:shape>
            </v:group>
            <v:group style="position:absolute;left:3728;top:2935;width:10;height:20" coordorigin="3728,2935" coordsize="10,20">
              <v:shape style="position:absolute;left:3728;top:2935;width:10;height:20" coordorigin="3728,2935" coordsize="10,20" path="m3728,2955l3737,2955,3737,2935,3728,2935,3728,2955xe" filled="true" fillcolor="#000000" stroked="false">
                <v:path arrowok="t"/>
                <v:fill type="solid"/>
              </v:shape>
            </v:group>
            <v:group style="position:absolute;left:3728;top:2955;width:10;height:20" coordorigin="3728,2955" coordsize="10,20">
              <v:shape style="position:absolute;left:3728;top:2955;width:10;height:20" coordorigin="3728,2955" coordsize="10,20" path="m3728,2974l3737,2974,3737,2955,3728,2955,3728,2974xe" filled="true" fillcolor="#000000" stroked="false">
                <v:path arrowok="t"/>
                <v:fill type="solid"/>
              </v:shape>
            </v:group>
            <v:group style="position:absolute;left:3728;top:2974;width:10;height:20" coordorigin="3728,2974" coordsize="10,20">
              <v:shape style="position:absolute;left:3728;top:2974;width:10;height:20" coordorigin="3728,2974" coordsize="10,20" path="m3728,2994l3737,2994,3737,2974,3728,2974,3728,2994xe" filled="true" fillcolor="#000000" stroked="false">
                <v:path arrowok="t"/>
                <v:fill type="solid"/>
              </v:shape>
            </v:group>
            <v:group style="position:absolute;left:3728;top:2994;width:10;height:20" coordorigin="3728,2994" coordsize="10,20">
              <v:shape style="position:absolute;left:3728;top:2994;width:10;height:20" coordorigin="3728,2994" coordsize="10,20" path="m3728,3013l3737,3013,3737,2994,3728,2994,3728,3013xe" filled="true" fillcolor="#000000" stroked="false">
                <v:path arrowok="t"/>
                <v:fill type="solid"/>
              </v:shape>
            </v:group>
            <v:group style="position:absolute;left:3728;top:3013;width:10;height:20" coordorigin="3728,3013" coordsize="10,20">
              <v:shape style="position:absolute;left:3728;top:3013;width:10;height:20" coordorigin="3728,3013" coordsize="10,20" path="m3728,3032l3737,3032,3737,3013,3728,3013,3728,3032xe" filled="true" fillcolor="#000000" stroked="false">
                <v:path arrowok="t"/>
                <v:fill type="solid"/>
              </v:shape>
            </v:group>
            <v:group style="position:absolute;left:3728;top:3032;width:10;height:20" coordorigin="3728,3032" coordsize="10,20">
              <v:shape style="position:absolute;left:3728;top:3032;width:10;height:20" coordorigin="3728,3032" coordsize="10,20" path="m3728,3051l3737,3051,3737,3032,3728,3032,3728,3051xe" filled="true" fillcolor="#000000" stroked="false">
                <v:path arrowok="t"/>
                <v:fill type="solid"/>
              </v:shape>
            </v:group>
            <v:group style="position:absolute;left:3728;top:3051;width:10;height:20" coordorigin="3728,3051" coordsize="10,20">
              <v:shape style="position:absolute;left:3728;top:3051;width:10;height:20" coordorigin="3728,3051" coordsize="10,20" path="m3728,3070l3737,3070,3737,3051,3728,3051,3728,3070xe" filled="true" fillcolor="#000000" stroked="false">
                <v:path arrowok="t"/>
                <v:fill type="solid"/>
              </v:shape>
            </v:group>
            <v:group style="position:absolute;left:3728;top:3070;width:10;height:20" coordorigin="3728,3070" coordsize="10,20">
              <v:shape style="position:absolute;left:3728;top:3070;width:10;height:20" coordorigin="3728,3070" coordsize="10,20" path="m3728,3090l3737,3090,3737,3070,3728,3070,3728,3090xe" filled="true" fillcolor="#000000" stroked="false">
                <v:path arrowok="t"/>
                <v:fill type="solid"/>
              </v:shape>
            </v:group>
            <v:group style="position:absolute;left:3728;top:3090;width:10;height:20" coordorigin="3728,3090" coordsize="10,20">
              <v:shape style="position:absolute;left:3728;top:3090;width:10;height:20" coordorigin="3728,3090" coordsize="10,20" path="m3728,3109l3737,3109,3737,3090,3728,3090,3728,3109xe" filled="true" fillcolor="#000000" stroked="false">
                <v:path arrowok="t"/>
                <v:fill type="solid"/>
              </v:shape>
            </v:group>
            <v:group style="position:absolute;left:3728;top:3109;width:10;height:20" coordorigin="3728,3109" coordsize="10,20">
              <v:shape style="position:absolute;left:3728;top:3109;width:10;height:20" coordorigin="3728,3109" coordsize="10,20" path="m3728,3128l3737,3128,3737,3109,3728,3109,3728,3128xe" filled="true" fillcolor="#000000" stroked="false">
                <v:path arrowok="t"/>
                <v:fill type="solid"/>
              </v:shape>
            </v:group>
            <v:group style="position:absolute;left:3728;top:3128;width:10;height:20" coordorigin="3728,3128" coordsize="10,20">
              <v:shape style="position:absolute;left:3728;top:3128;width:10;height:20" coordorigin="3728,3128" coordsize="10,20" path="m3728,3147l3737,3147,3737,3128,3728,3128,3728,3147xe" filled="true" fillcolor="#000000" stroked="false">
                <v:path arrowok="t"/>
                <v:fill type="solid"/>
              </v:shape>
            </v:group>
            <v:group style="position:absolute;left:3728;top:3147;width:10;height:20" coordorigin="3728,3147" coordsize="10,20">
              <v:shape style="position:absolute;left:3728;top:3147;width:10;height:20" coordorigin="3728,3147" coordsize="10,20" path="m3728,3166l3737,3166,3737,3147,3728,3147,3728,3166xe" filled="true" fillcolor="#000000" stroked="false">
                <v:path arrowok="t"/>
                <v:fill type="solid"/>
              </v:shape>
            </v:group>
            <v:group style="position:absolute;left:3728;top:3166;width:10;height:20" coordorigin="3728,3166" coordsize="10,20">
              <v:shape style="position:absolute;left:3728;top:3166;width:10;height:20" coordorigin="3728,3166" coordsize="10,20" path="m3728,3186l3737,3186,3737,3166,3728,3166,3728,3186xe" filled="true" fillcolor="#000000" stroked="false">
                <v:path arrowok="t"/>
                <v:fill type="solid"/>
              </v:shape>
            </v:group>
            <v:group style="position:absolute;left:3728;top:3186;width:10;height:20" coordorigin="3728,3186" coordsize="10,20">
              <v:shape style="position:absolute;left:3728;top:3186;width:10;height:20" coordorigin="3728,3186" coordsize="10,20" path="m3728,3205l3737,3205,3737,3186,3728,3186,3728,3205xe" filled="true" fillcolor="#000000" stroked="false">
                <v:path arrowok="t"/>
                <v:fill type="solid"/>
              </v:shape>
            </v:group>
            <v:group style="position:absolute;left:3728;top:3205;width:10;height:20" coordorigin="3728,3205" coordsize="10,20">
              <v:shape style="position:absolute;left:3728;top:3205;width:10;height:20" coordorigin="3728,3205" coordsize="10,20" path="m3728,3224l3737,3224,3737,3205,3728,3205,3728,3224xe" filled="true" fillcolor="#000000" stroked="false">
                <v:path arrowok="t"/>
                <v:fill type="solid"/>
              </v:shape>
            </v:group>
            <v:group style="position:absolute;left:3728;top:3224;width:10;height:20" coordorigin="3728,3224" coordsize="10,20">
              <v:shape style="position:absolute;left:3728;top:3224;width:10;height:20" coordorigin="3728,3224" coordsize="10,20" path="m3728,3243l3737,3243,3737,3224,3728,3224,3728,3243xe" filled="true" fillcolor="#000000" stroked="false">
                <v:path arrowok="t"/>
                <v:fill type="solid"/>
              </v:shape>
              <v:shape style="position:absolute;left:1169;top:3147;width:1344;height:110" type="#_x0000_t75" stroked="false">
                <v:imagedata r:id="rId111" o:title=""/>
              </v:shape>
              <v:shape style="position:absolute;left:2489;top:3243;width:1248;height:14" type="#_x0000_t75" stroked="false">
                <v:imagedata r:id="rId113" o:title=""/>
              </v:shape>
              <v:shape style="position:absolute;left:3723;top:3243;width:1573;height:14" type="#_x0000_t75" stroked="false">
                <v:imagedata r:id="rId104" o:title=""/>
              </v:shape>
              <v:shape style="position:absolute;left:5281;top:3248;width:1268;height:10" type="#_x0000_t75" stroked="false">
                <v:imagedata r:id="rId94" o:title=""/>
              </v:shape>
              <v:shape style="position:absolute;left:6544;top:3243;width:1908;height:14" type="#_x0000_t75" stroked="false">
                <v:imagedata r:id="rId106" o:title=""/>
              </v:shape>
              <v:shape style="position:absolute;left:8437;top:3248;width:1781;height:10" type="#_x0000_t75" stroked="false">
                <v:imagedata r:id="rId96" o:title=""/>
              </v:shape>
            </v:group>
            <v:group style="position:absolute;left:3728;top:3258;width:10;height:20" coordorigin="3728,3258" coordsize="10,20">
              <v:shape style="position:absolute;left:3728;top:3258;width:10;height:20" coordorigin="3728,3258" coordsize="10,20" path="m3728,3277l3737,3277,3737,3258,3728,3258,3728,3277xe" filled="true" fillcolor="#000000" stroked="false">
                <v:path arrowok="t"/>
                <v:fill type="solid"/>
              </v:shape>
            </v:group>
            <v:group style="position:absolute;left:3728;top:3277;width:10;height:20" coordorigin="3728,3277" coordsize="10,20">
              <v:shape style="position:absolute;left:3728;top:3277;width:10;height:20" coordorigin="3728,3277" coordsize="10,20" path="m3728,3296l3737,3296,3737,3277,3728,3277,3728,3296xe" filled="true" fillcolor="#000000" stroked="false">
                <v:path arrowok="t"/>
                <v:fill type="solid"/>
              </v:shape>
            </v:group>
            <v:group style="position:absolute;left:3728;top:3296;width:10;height:20" coordorigin="3728,3296" coordsize="10,20">
              <v:shape style="position:absolute;left:3728;top:3296;width:10;height:20" coordorigin="3728,3296" coordsize="10,20" path="m3728,3315l3737,3315,3737,3296,3728,3296,3728,3315xe" filled="true" fillcolor="#000000" stroked="false">
                <v:path arrowok="t"/>
                <v:fill type="solid"/>
              </v:shape>
            </v:group>
            <v:group style="position:absolute;left:3728;top:3315;width:10;height:20" coordorigin="3728,3315" coordsize="10,20">
              <v:shape style="position:absolute;left:3728;top:3315;width:10;height:20" coordorigin="3728,3315" coordsize="10,20" path="m3728,3334l3737,3334,3737,3315,3728,3315,3728,3334xe" filled="true" fillcolor="#000000" stroked="false">
                <v:path arrowok="t"/>
                <v:fill type="solid"/>
              </v:shape>
            </v:group>
            <v:group style="position:absolute;left:3728;top:3334;width:10;height:20" coordorigin="3728,3334" coordsize="10,20">
              <v:shape style="position:absolute;left:3728;top:3334;width:10;height:20" coordorigin="3728,3334" coordsize="10,20" path="m3728,3354l3737,3354,3737,3334,3728,3334,3728,3354xe" filled="true" fillcolor="#000000" stroked="false">
                <v:path arrowok="t"/>
                <v:fill type="solid"/>
              </v:shape>
            </v:group>
            <v:group style="position:absolute;left:3728;top:3354;width:10;height:20" coordorigin="3728,3354" coordsize="10,20">
              <v:shape style="position:absolute;left:3728;top:3354;width:10;height:20" coordorigin="3728,3354" coordsize="10,20" path="m3728,3373l3737,3373,3737,3354,3728,3354,3728,3373xe" filled="true" fillcolor="#000000" stroked="false">
                <v:path arrowok="t"/>
                <v:fill type="solid"/>
              </v:shape>
            </v:group>
            <v:group style="position:absolute;left:3728;top:3373;width:10;height:20" coordorigin="3728,3373" coordsize="10,20">
              <v:shape style="position:absolute;left:3728;top:3373;width:10;height:20" coordorigin="3728,3373" coordsize="10,20" path="m3728,3392l3737,3392,3737,3373,3728,3373,3728,3392xe" filled="true" fillcolor="#000000" stroked="false">
                <v:path arrowok="t"/>
                <v:fill type="solid"/>
              </v:shape>
            </v:group>
            <v:group style="position:absolute;left:3728;top:3392;width:10;height:20" coordorigin="3728,3392" coordsize="10,20">
              <v:shape style="position:absolute;left:3728;top:3392;width:10;height:20" coordorigin="3728,3392" coordsize="10,20" path="m3728,3411l3737,3411,3737,3392,3728,3392,3728,3411xe" filled="true" fillcolor="#000000" stroked="false">
                <v:path arrowok="t"/>
                <v:fill type="solid"/>
              </v:shape>
            </v:group>
            <v:group style="position:absolute;left:3728;top:3411;width:10;height:20" coordorigin="3728,3411" coordsize="10,20">
              <v:shape style="position:absolute;left:3728;top:3411;width:10;height:20" coordorigin="3728,3411" coordsize="10,20" path="m3728,3430l3737,3430,3737,3411,3728,3411,3728,3430xe" filled="true" fillcolor="#000000" stroked="false">
                <v:path arrowok="t"/>
                <v:fill type="solid"/>
              </v:shape>
            </v:group>
            <v:group style="position:absolute;left:3728;top:3430;width:10;height:20" coordorigin="3728,3430" coordsize="10,20">
              <v:shape style="position:absolute;left:3728;top:3430;width:10;height:20" coordorigin="3728,3430" coordsize="10,20" path="m3728,3450l3737,3450,3737,3430,3728,3430,3728,3450xe" filled="true" fillcolor="#000000" stroked="false">
                <v:path arrowok="t"/>
                <v:fill type="solid"/>
              </v:shape>
            </v:group>
            <v:group style="position:absolute;left:3728;top:3450;width:10;height:20" coordorigin="3728,3450" coordsize="10,20">
              <v:shape style="position:absolute;left:3728;top:3450;width:10;height:20" coordorigin="3728,3450" coordsize="10,20" path="m3728,3469l3737,3469,3737,3450,3728,3450,3728,3469xe" filled="true" fillcolor="#000000" stroked="false">
                <v:path arrowok="t"/>
                <v:fill type="solid"/>
              </v:shape>
            </v:group>
            <v:group style="position:absolute;left:3728;top:3469;width:10;height:20" coordorigin="3728,3469" coordsize="10,20">
              <v:shape style="position:absolute;left:3728;top:3469;width:10;height:20" coordorigin="3728,3469" coordsize="10,20" path="m3728,3488l3737,3488,3737,3469,3728,3469,3728,3488xe" filled="true" fillcolor="#000000" stroked="false">
                <v:path arrowok="t"/>
                <v:fill type="solid"/>
              </v:shape>
            </v:group>
            <v:group style="position:absolute;left:3728;top:3488;width:10;height:20" coordorigin="3728,3488" coordsize="10,20">
              <v:shape style="position:absolute;left:3728;top:3488;width:10;height:20" coordorigin="3728,3488" coordsize="10,20" path="m3728,3507l3737,3507,3737,3488,3728,3488,3728,3507xe" filled="true" fillcolor="#000000" stroked="false">
                <v:path arrowok="t"/>
                <v:fill type="solid"/>
              </v:shape>
            </v:group>
            <v:group style="position:absolute;left:3728;top:3507;width:10;height:20" coordorigin="3728,3507" coordsize="10,20">
              <v:shape style="position:absolute;left:3728;top:3507;width:10;height:20" coordorigin="3728,3507" coordsize="10,20" path="m3728,3526l3737,3526,3737,3507,3728,3507,3728,3526xe" filled="true" fillcolor="#000000" stroked="false">
                <v:path arrowok="t"/>
                <v:fill type="solid"/>
              </v:shape>
            </v:group>
            <v:group style="position:absolute;left:3728;top:3526;width:10;height:20" coordorigin="3728,3526" coordsize="10,20">
              <v:shape style="position:absolute;left:3728;top:3526;width:10;height:20" coordorigin="3728,3526" coordsize="10,20" path="m3728,3546l3737,3546,3737,3526,3728,3526,3728,3546xe" filled="true" fillcolor="#000000" stroked="false">
                <v:path arrowok="t"/>
                <v:fill type="solid"/>
              </v:shape>
            </v:group>
            <v:group style="position:absolute;left:3728;top:3546;width:10;height:20" coordorigin="3728,3546" coordsize="10,20">
              <v:shape style="position:absolute;left:3728;top:3546;width:10;height:20" coordorigin="3728,3546" coordsize="10,20" path="m3728,3565l3737,3565,3737,3546,3728,3546,3728,3565xe" filled="true" fillcolor="#000000" stroked="false">
                <v:path arrowok="t"/>
                <v:fill type="solid"/>
              </v:shape>
            </v:group>
            <v:group style="position:absolute;left:3728;top:3565;width:10;height:20" coordorigin="3728,3565" coordsize="10,20">
              <v:shape style="position:absolute;left:3728;top:3565;width:10;height:20" coordorigin="3728,3565" coordsize="10,20" path="m3728,3584l3737,3584,3737,3565,3728,3565,3728,3584xe" filled="true" fillcolor="#000000" stroked="false">
                <v:path arrowok="t"/>
                <v:fill type="solid"/>
              </v:shape>
            </v:group>
            <v:group style="position:absolute;left:3728;top:3584;width:10;height:20" coordorigin="3728,3584" coordsize="10,20">
              <v:shape style="position:absolute;left:3728;top:3584;width:10;height:20" coordorigin="3728,3584" coordsize="10,20" path="m3728,3603l3737,3603,3737,3584,3728,3584,3728,3603xe" filled="true" fillcolor="#000000" stroked="false">
                <v:path arrowok="t"/>
                <v:fill type="solid"/>
              </v:shape>
            </v:group>
            <v:group style="position:absolute;left:3728;top:3603;width:10;height:20" coordorigin="3728,3603" coordsize="10,20">
              <v:shape style="position:absolute;left:3728;top:3603;width:10;height:20" coordorigin="3728,3603" coordsize="10,20" path="m3728,3622l3737,3622,3737,3603,3728,3603,3728,3622xe" filled="true" fillcolor="#000000" stroked="false">
                <v:path arrowok="t"/>
                <v:fill type="solid"/>
              </v:shape>
            </v:group>
            <v:group style="position:absolute;left:3728;top:3622;width:10;height:20" coordorigin="3728,3622" coordsize="10,20">
              <v:shape style="position:absolute;left:3728;top:3622;width:10;height:20" coordorigin="3728,3622" coordsize="10,20" path="m3728,3642l3737,3642,3737,3622,3728,3622,3728,3642xe" filled="true" fillcolor="#000000" stroked="false">
                <v:path arrowok="t"/>
                <v:fill type="solid"/>
              </v:shape>
            </v:group>
            <v:group style="position:absolute;left:3728;top:3642;width:10;height:20" coordorigin="3728,3642" coordsize="10,20">
              <v:shape style="position:absolute;left:3728;top:3642;width:10;height:20" coordorigin="3728,3642" coordsize="10,20" path="m3728,3661l3737,3661,3737,3642,3728,3642,3728,3661xe" filled="true" fillcolor="#000000" stroked="false">
                <v:path arrowok="t"/>
                <v:fill type="solid"/>
              </v:shape>
            </v:group>
            <v:group style="position:absolute;left:3728;top:3661;width:10;height:20" coordorigin="3728,3661" coordsize="10,20">
              <v:shape style="position:absolute;left:3728;top:3661;width:10;height:20" coordorigin="3728,3661" coordsize="10,20" path="m3728,3680l3737,3680,3737,3661,3728,3661,3728,3680xe" filled="true" fillcolor="#000000" stroked="false">
                <v:path arrowok="t"/>
                <v:fill type="solid"/>
              </v:shape>
            </v:group>
            <v:group style="position:absolute;left:3728;top:3680;width:10;height:20" coordorigin="3728,3680" coordsize="10,20">
              <v:shape style="position:absolute;left:3728;top:3680;width:10;height:20" coordorigin="3728,3680" coordsize="10,20" path="m3728,3699l3737,3699,3737,3680,3728,3680,3728,3699xe" filled="true" fillcolor="#000000" stroked="false">
                <v:path arrowok="t"/>
                <v:fill type="solid"/>
              </v:shape>
            </v:group>
            <v:group style="position:absolute;left:3728;top:3699;width:10;height:20" coordorigin="3728,3699" coordsize="10,20">
              <v:shape style="position:absolute;left:3728;top:3699;width:10;height:20" coordorigin="3728,3699" coordsize="10,20" path="m3728,3718l3737,3718,3737,3699,3728,3699,3728,3718xe" filled="true" fillcolor="#000000" stroked="false">
                <v:path arrowok="t"/>
                <v:fill type="solid"/>
              </v:shape>
            </v:group>
            <v:group style="position:absolute;left:3728;top:3718;width:10;height:20" coordorigin="3728,3718" coordsize="10,20">
              <v:shape style="position:absolute;left:3728;top:3718;width:10;height:20" coordorigin="3728,3718" coordsize="10,20" path="m3728,3738l3737,3738,3737,3718,3728,3718,3728,3738xe" filled="true" fillcolor="#000000" stroked="false">
                <v:path arrowok="t"/>
                <v:fill type="solid"/>
              </v:shape>
            </v:group>
            <v:group style="position:absolute;left:3728;top:3738;width:10;height:20" coordorigin="3728,3738" coordsize="10,20">
              <v:shape style="position:absolute;left:3728;top:3738;width:10;height:20" coordorigin="3728,3738" coordsize="10,20" path="m3728,3757l3737,3757,3737,3738,3728,3738,3728,3757xe" filled="true" fillcolor="#000000" stroked="false">
                <v:path arrowok="t"/>
                <v:fill type="solid"/>
              </v:shape>
            </v:group>
            <v:group style="position:absolute;left:3728;top:3757;width:10;height:20" coordorigin="3728,3757" coordsize="10,20">
              <v:shape style="position:absolute;left:3728;top:3757;width:10;height:20" coordorigin="3728,3757" coordsize="10,20" path="m3728,3776l3737,3776,3737,3757,3728,3757,3728,3776xe" filled="true" fillcolor="#000000" stroked="false">
                <v:path arrowok="t"/>
                <v:fill type="solid"/>
              </v:shape>
            </v:group>
            <v:group style="position:absolute;left:3728;top:3776;width:10;height:20" coordorigin="3728,3776" coordsize="10,20">
              <v:shape style="position:absolute;left:3728;top:3776;width:10;height:20" coordorigin="3728,3776" coordsize="10,20" path="m3728,3795l3737,3795,3737,3776,3728,3776,3728,3795xe" filled="true" fillcolor="#000000" stroked="false">
                <v:path arrowok="t"/>
                <v:fill type="solid"/>
              </v:shape>
            </v:group>
            <v:group style="position:absolute;left:3728;top:3795;width:10;height:20" coordorigin="3728,3795" coordsize="10,20">
              <v:shape style="position:absolute;left:3728;top:3795;width:10;height:20" coordorigin="3728,3795" coordsize="10,20" path="m3728,3814l3737,3814,3737,3795,3728,3795,3728,3814xe" filled="true" fillcolor="#000000" stroked="false">
                <v:path arrowok="t"/>
                <v:fill type="solid"/>
              </v:shape>
            </v:group>
            <v:group style="position:absolute;left:3728;top:3814;width:10;height:20" coordorigin="3728,3814" coordsize="10,20">
              <v:shape style="position:absolute;left:3728;top:3814;width:10;height:20" coordorigin="3728,3814" coordsize="10,20" path="m3728,3834l3737,3834,3737,3814,3728,3814,3728,3834xe" filled="true" fillcolor="#000000" stroked="false">
                <v:path arrowok="t"/>
                <v:fill type="solid"/>
              </v:shape>
            </v:group>
            <v:group style="position:absolute;left:3728;top:3834;width:10;height:20" coordorigin="3728,3834" coordsize="10,20">
              <v:shape style="position:absolute;left:3728;top:3834;width:10;height:20" coordorigin="3728,3834" coordsize="10,20" path="m3728,3853l3737,3853,3737,3834,3728,3834,3728,3853xe" filled="true" fillcolor="#000000" stroked="false">
                <v:path arrowok="t"/>
                <v:fill type="solid"/>
              </v:shape>
            </v:group>
            <v:group style="position:absolute;left:3728;top:3853;width:10;height:20" coordorigin="3728,3853" coordsize="10,20">
              <v:shape style="position:absolute;left:3728;top:3853;width:10;height:20" coordorigin="3728,3853" coordsize="10,20" path="m3728,3872l3737,3872,3737,3853,3728,3853,3728,3872xe" filled="true" fillcolor="#000000" stroked="false">
                <v:path arrowok="t"/>
                <v:fill type="solid"/>
              </v:shape>
            </v:group>
            <v:group style="position:absolute;left:3728;top:3878;width:10;height:2" coordorigin="3728,3878" coordsize="10,2">
              <v:shape style="position:absolute;left:3728;top:3878;width:10;height:2" coordorigin="3728,3878" coordsize="10,0" path="m3728,3878l3737,3878e" filled="false" stroked="true" strokeweight=".599980pt" strokecolor="#000000">
                <v:path arrowok="t"/>
              </v:shape>
              <v:shape style="position:absolute;left:2504;top:3884;width:1224;height:10" type="#_x0000_t75" stroked="false">
                <v:imagedata r:id="rId114" o:title=""/>
              </v:shape>
              <v:shape style="position:absolute;left:3723;top:3884;width:1563;height:10" type="#_x0000_t75" stroked="false">
                <v:imagedata r:id="rId98" o:title=""/>
              </v:shape>
              <v:shape style="position:absolute;left:5281;top:3884;width:1268;height:10" type="#_x0000_t75" stroked="false">
                <v:imagedata r:id="rId99" o:title=""/>
              </v:shape>
              <v:shape style="position:absolute;left:6544;top:3884;width:1898;height:10" type="#_x0000_t75" stroked="false">
                <v:imagedata r:id="rId100" o:title=""/>
              </v:shape>
              <v:shape style="position:absolute;left:8437;top:3884;width:1784;height:10" type="#_x0000_t75" stroked="false">
                <v:imagedata r:id="rId115" o:title=""/>
              </v:shape>
            </v:group>
            <v:group style="position:absolute;left:3728;top:3894;width:10;height:20" coordorigin="3728,3894" coordsize="10,20">
              <v:shape style="position:absolute;left:3728;top:3894;width:10;height:20" coordorigin="3728,3894" coordsize="10,20" path="m3728,3913l3737,3913,3737,3894,3728,3894,3728,3913xe" filled="true" fillcolor="#000000" stroked="false">
                <v:path arrowok="t"/>
                <v:fill type="solid"/>
              </v:shape>
            </v:group>
            <v:group style="position:absolute;left:3728;top:3913;width:10;height:20" coordorigin="3728,3913" coordsize="10,20">
              <v:shape style="position:absolute;left:3728;top:3913;width:10;height:20" coordorigin="3728,3913" coordsize="10,20" path="m3728,3932l3737,3932,3737,3913,3728,3913,3728,3932xe" filled="true" fillcolor="#000000" stroked="false">
                <v:path arrowok="t"/>
                <v:fill type="solid"/>
              </v:shape>
            </v:group>
            <v:group style="position:absolute;left:3728;top:3932;width:10;height:20" coordorigin="3728,3932" coordsize="10,20">
              <v:shape style="position:absolute;left:3728;top:3932;width:10;height:20" coordorigin="3728,3932" coordsize="10,20" path="m3728,3951l3737,3951,3737,3932,3728,3932,3728,3951xe" filled="true" fillcolor="#000000" stroked="false">
                <v:path arrowok="t"/>
                <v:fill type="solid"/>
              </v:shape>
            </v:group>
            <v:group style="position:absolute;left:3728;top:3951;width:10;height:20" coordorigin="3728,3951" coordsize="10,20">
              <v:shape style="position:absolute;left:3728;top:3951;width:10;height:20" coordorigin="3728,3951" coordsize="10,20" path="m3728,3970l3737,3970,3737,3951,3728,3951,3728,3970xe" filled="true" fillcolor="#000000" stroked="false">
                <v:path arrowok="t"/>
                <v:fill type="solid"/>
              </v:shape>
            </v:group>
            <v:group style="position:absolute;left:3728;top:3970;width:10;height:20" coordorigin="3728,3970" coordsize="10,20">
              <v:shape style="position:absolute;left:3728;top:3970;width:10;height:20" coordorigin="3728,3970" coordsize="10,20" path="m3728,3990l3737,3990,3737,3970,3728,3970,3728,3990xe" filled="true" fillcolor="#000000" stroked="false">
                <v:path arrowok="t"/>
                <v:fill type="solid"/>
              </v:shape>
            </v:group>
            <v:group style="position:absolute;left:3728;top:3990;width:10;height:20" coordorigin="3728,3990" coordsize="10,20">
              <v:shape style="position:absolute;left:3728;top:3990;width:10;height:20" coordorigin="3728,3990" coordsize="10,20" path="m3728,4009l3737,4009,3737,3990,3728,3990,3728,4009xe" filled="true" fillcolor="#000000" stroked="false">
                <v:path arrowok="t"/>
                <v:fill type="solid"/>
              </v:shape>
            </v:group>
            <v:group style="position:absolute;left:3728;top:4009;width:10;height:20" coordorigin="3728,4009" coordsize="10,20">
              <v:shape style="position:absolute;left:3728;top:4009;width:10;height:20" coordorigin="3728,4009" coordsize="10,20" path="m3728,4028l3737,4028,3737,4009,3728,4009,3728,4028xe" filled="true" fillcolor="#000000" stroked="false">
                <v:path arrowok="t"/>
                <v:fill type="solid"/>
              </v:shape>
            </v:group>
            <v:group style="position:absolute;left:3728;top:4028;width:10;height:20" coordorigin="3728,4028" coordsize="10,20">
              <v:shape style="position:absolute;left:3728;top:4028;width:10;height:20" coordorigin="3728,4028" coordsize="10,20" path="m3728,4047l3737,4047,3737,4028,3728,4028,3728,4047xe" filled="true" fillcolor="#000000" stroked="false">
                <v:path arrowok="t"/>
                <v:fill type="solid"/>
              </v:shape>
            </v:group>
            <v:group style="position:absolute;left:3728;top:4047;width:10;height:20" coordorigin="3728,4047" coordsize="10,20">
              <v:shape style="position:absolute;left:3728;top:4047;width:10;height:20" coordorigin="3728,4047" coordsize="10,20" path="m3728,4066l3737,4066,3737,4047,3728,4047,3728,4066xe" filled="true" fillcolor="#000000" stroked="false">
                <v:path arrowok="t"/>
                <v:fill type="solid"/>
              </v:shape>
            </v:group>
            <v:group style="position:absolute;left:3728;top:4066;width:10;height:20" coordorigin="3728,4066" coordsize="10,20">
              <v:shape style="position:absolute;left:3728;top:4066;width:10;height:20" coordorigin="3728,4066" coordsize="10,20" path="m3728,4086l3737,4086,3737,4066,3728,4066,3728,4086xe" filled="true" fillcolor="#000000" stroked="false">
                <v:path arrowok="t"/>
                <v:fill type="solid"/>
              </v:shape>
            </v:group>
            <v:group style="position:absolute;left:3728;top:4086;width:10;height:20" coordorigin="3728,4086" coordsize="10,20">
              <v:shape style="position:absolute;left:3728;top:4086;width:10;height:20" coordorigin="3728,4086" coordsize="10,20" path="m3728,4105l3737,4105,3737,4086,3728,4086,3728,4105xe" filled="true" fillcolor="#000000" stroked="false">
                <v:path arrowok="t"/>
                <v:fill type="solid"/>
              </v:shape>
            </v:group>
            <v:group style="position:absolute;left:3728;top:4105;width:10;height:20" coordorigin="3728,4105" coordsize="10,20">
              <v:shape style="position:absolute;left:3728;top:4105;width:10;height:20" coordorigin="3728,4105" coordsize="10,20" path="m3728,4124l3737,4124,3737,4105,3728,4105,3728,4124xe" filled="true" fillcolor="#000000" stroked="false">
                <v:path arrowok="t"/>
                <v:fill type="solid"/>
              </v:shape>
            </v:group>
            <v:group style="position:absolute;left:3728;top:4124;width:10;height:20" coordorigin="3728,4124" coordsize="10,20">
              <v:shape style="position:absolute;left:3728;top:4124;width:10;height:20" coordorigin="3728,4124" coordsize="10,20" path="m3728,4143l3737,4143,3737,4124,3728,4124,3728,4143xe" filled="true" fillcolor="#000000" stroked="false">
                <v:path arrowok="t"/>
                <v:fill type="solid"/>
              </v:shape>
            </v:group>
            <v:group style="position:absolute;left:3728;top:4143;width:10;height:20" coordorigin="3728,4143" coordsize="10,20">
              <v:shape style="position:absolute;left:3728;top:4143;width:10;height:20" coordorigin="3728,4143" coordsize="10,20" path="m3728,4162l3737,4162,3737,4143,3728,4143,3728,4162xe" filled="true" fillcolor="#000000" stroked="false">
                <v:path arrowok="t"/>
                <v:fill type="solid"/>
              </v:shape>
            </v:group>
            <v:group style="position:absolute;left:3728;top:4162;width:10;height:20" coordorigin="3728,4162" coordsize="10,20">
              <v:shape style="position:absolute;left:3728;top:4162;width:10;height:20" coordorigin="3728,4162" coordsize="10,20" path="m3728,4182l3737,4182,3737,4162,3728,4162,3728,4182xe" filled="true" fillcolor="#000000" stroked="false">
                <v:path arrowok="t"/>
                <v:fill type="solid"/>
              </v:shape>
            </v:group>
            <v:group style="position:absolute;left:3728;top:4182;width:10;height:20" coordorigin="3728,4182" coordsize="10,20">
              <v:shape style="position:absolute;left:3728;top:4182;width:10;height:20" coordorigin="3728,4182" coordsize="10,20" path="m3728,4201l3737,4201,3737,4182,3728,4182,3728,4201xe" filled="true" fillcolor="#000000" stroked="false">
                <v:path arrowok="t"/>
                <v:fill type="solid"/>
              </v:shape>
            </v:group>
            <v:group style="position:absolute;left:3728;top:4201;width:10;height:20" coordorigin="3728,4201" coordsize="10,20">
              <v:shape style="position:absolute;left:3728;top:4201;width:10;height:20" coordorigin="3728,4201" coordsize="10,20" path="m3728,4220l3737,4220,3737,4201,3728,4201,3728,4220xe" filled="true" fillcolor="#000000" stroked="false">
                <v:path arrowok="t"/>
                <v:fill type="solid"/>
              </v:shape>
            </v:group>
            <v:group style="position:absolute;left:3728;top:4220;width:10;height:20" coordorigin="3728,4220" coordsize="10,20">
              <v:shape style="position:absolute;left:3728;top:4220;width:10;height:20" coordorigin="3728,4220" coordsize="10,20" path="m3728,4239l3737,4239,3737,4220,3728,4220,3728,4239xe" filled="true" fillcolor="#000000" stroked="false">
                <v:path arrowok="t"/>
                <v:fill type="solid"/>
              </v:shape>
            </v:group>
            <v:group style="position:absolute;left:3728;top:4239;width:10;height:20" coordorigin="3728,4239" coordsize="10,20">
              <v:shape style="position:absolute;left:3728;top:4239;width:10;height:20" coordorigin="3728,4239" coordsize="10,20" path="m3728,4258l3737,4258,3737,4239,3728,4239,3728,4258xe" filled="true" fillcolor="#000000" stroked="false">
                <v:path arrowok="t"/>
                <v:fill type="solid"/>
              </v:shape>
            </v:group>
            <v:group style="position:absolute;left:3728;top:4258;width:10;height:20" coordorigin="3728,4258" coordsize="10,20">
              <v:shape style="position:absolute;left:3728;top:4258;width:10;height:20" coordorigin="3728,4258" coordsize="10,20" path="m3728,4278l3737,4278,3737,4258,3728,4258,3728,4278xe" filled="true" fillcolor="#000000" stroked="false">
                <v:path arrowok="t"/>
                <v:fill type="solid"/>
              </v:shape>
            </v:group>
            <v:group style="position:absolute;left:3728;top:4278;width:10;height:20" coordorigin="3728,4278" coordsize="10,20">
              <v:shape style="position:absolute;left:3728;top:4278;width:10;height:20" coordorigin="3728,4278" coordsize="10,20" path="m3728,4297l3737,4297,3737,4278,3728,4278,3728,4297xe" filled="true" fillcolor="#000000" stroked="false">
                <v:path arrowok="t"/>
                <v:fill type="solid"/>
              </v:shape>
            </v:group>
            <v:group style="position:absolute;left:3728;top:4297;width:10;height:20" coordorigin="3728,4297" coordsize="10,20">
              <v:shape style="position:absolute;left:3728;top:4297;width:10;height:20" coordorigin="3728,4297" coordsize="10,20" path="m3728,4316l3737,4316,3737,4297,3728,4297,3728,4316xe" filled="true" fillcolor="#000000" stroked="false">
                <v:path arrowok="t"/>
                <v:fill type="solid"/>
              </v:shape>
            </v:group>
            <v:group style="position:absolute;left:3728;top:4316;width:10;height:20" coordorigin="3728,4316" coordsize="10,20">
              <v:shape style="position:absolute;left:3728;top:4316;width:10;height:20" coordorigin="3728,4316" coordsize="10,20" path="m3728,4335l3737,4335,3737,4316,3728,4316,3728,4335xe" filled="true" fillcolor="#000000" stroked="false">
                <v:path arrowok="t"/>
                <v:fill type="solid"/>
              </v:shape>
            </v:group>
            <v:group style="position:absolute;left:3728;top:4335;width:10;height:20" coordorigin="3728,4335" coordsize="10,20">
              <v:shape style="position:absolute;left:3728;top:4335;width:10;height:20" coordorigin="3728,4335" coordsize="10,20" path="m3728,4354l3737,4354,3737,4335,3728,4335,3728,4354xe" filled="true" fillcolor="#000000" stroked="false">
                <v:path arrowok="t"/>
                <v:fill type="solid"/>
              </v:shape>
            </v:group>
            <v:group style="position:absolute;left:3728;top:4354;width:10;height:20" coordorigin="3728,4354" coordsize="10,20">
              <v:shape style="position:absolute;left:3728;top:4354;width:10;height:20" coordorigin="3728,4354" coordsize="10,20" path="m3728,4374l3737,4374,3737,4354,3728,4354,3728,4374xe" filled="true" fillcolor="#000000" stroked="false">
                <v:path arrowok="t"/>
                <v:fill type="solid"/>
              </v:shape>
            </v:group>
            <v:group style="position:absolute;left:3728;top:4374;width:10;height:20" coordorigin="3728,4374" coordsize="10,20">
              <v:shape style="position:absolute;left:3728;top:4374;width:10;height:20" coordorigin="3728,4374" coordsize="10,20" path="m3728,4393l3737,4393,3737,4374,3728,4374,3728,4393xe" filled="true" fillcolor="#000000" stroked="false">
                <v:path arrowok="t"/>
                <v:fill type="solid"/>
              </v:shape>
            </v:group>
            <v:group style="position:absolute;left:3728;top:4393;width:10;height:20" coordorigin="3728,4393" coordsize="10,20">
              <v:shape style="position:absolute;left:3728;top:4393;width:10;height:20" coordorigin="3728,4393" coordsize="10,20" path="m3728,4412l3737,4412,3737,4393,3728,4393,3728,4412xe" filled="true" fillcolor="#000000" stroked="false">
                <v:path arrowok="t"/>
                <v:fill type="solid"/>
              </v:shape>
            </v:group>
            <v:group style="position:absolute;left:3728;top:4412;width:10;height:20" coordorigin="3728,4412" coordsize="10,20">
              <v:shape style="position:absolute;left:3728;top:4412;width:10;height:20" coordorigin="3728,4412" coordsize="10,20" path="m3728,4431l3737,4431,3737,4412,3728,4412,3728,4431xe" filled="true" fillcolor="#000000" stroked="false">
                <v:path arrowok="t"/>
                <v:fill type="solid"/>
              </v:shape>
            </v:group>
            <v:group style="position:absolute;left:3728;top:4431;width:10;height:20" coordorigin="3728,4431" coordsize="10,20">
              <v:shape style="position:absolute;left:3728;top:4431;width:10;height:20" coordorigin="3728,4431" coordsize="10,20" path="m3728,4450l3737,4450,3737,4431,3728,4431,3728,4450xe" filled="true" fillcolor="#000000" stroked="false">
                <v:path arrowok="t"/>
                <v:fill type="solid"/>
              </v:shape>
            </v:group>
            <v:group style="position:absolute;left:3728;top:4450;width:10;height:20" coordorigin="3728,4450" coordsize="10,20">
              <v:shape style="position:absolute;left:3728;top:4450;width:10;height:20" coordorigin="3728,4450" coordsize="10,20" path="m3728,4470l3737,4470,3737,4450,3728,4450,3728,4470xe" filled="true" fillcolor="#000000" stroked="false">
                <v:path arrowok="t"/>
                <v:fill type="solid"/>
              </v:shape>
            </v:group>
            <v:group style="position:absolute;left:3728;top:4470;width:10;height:20" coordorigin="3728,4470" coordsize="10,20">
              <v:shape style="position:absolute;left:3728;top:4470;width:10;height:20" coordorigin="3728,4470" coordsize="10,20" path="m3728,4489l3737,4489,3737,4470,3728,4470,3728,4489xe" filled="true" fillcolor="#000000" stroked="false">
                <v:path arrowok="t"/>
                <v:fill type="solid"/>
              </v:shape>
            </v:group>
            <v:group style="position:absolute;left:3728;top:4489;width:10;height:20" coordorigin="3728,4489" coordsize="10,20">
              <v:shape style="position:absolute;left:3728;top:4489;width:10;height:20" coordorigin="3728,4489" coordsize="10,20" path="m3728,4508l3737,4508,3737,4489,3728,4489,3728,4508xe" filled="true" fillcolor="#000000" stroked="false">
                <v:path arrowok="t"/>
                <v:fill type="solid"/>
              </v:shape>
            </v:group>
            <v:group style="position:absolute;left:3728;top:4508;width:10;height:20" coordorigin="3728,4508" coordsize="10,20">
              <v:shape style="position:absolute;left:3728;top:4508;width:10;height:20" coordorigin="3728,4508" coordsize="10,20" path="m3728,4527l3737,4527,3737,4508,3728,4508,3728,4527xe" filled="true" fillcolor="#000000" stroked="false">
                <v:path arrowok="t"/>
                <v:fill type="solid"/>
              </v:shape>
            </v:group>
            <v:group style="position:absolute;left:3728;top:4527;width:10;height:20" coordorigin="3728,4527" coordsize="10,20">
              <v:shape style="position:absolute;left:3728;top:4527;width:10;height:20" coordorigin="3728,4527" coordsize="10,20" path="m3728,4546l3737,4546,3737,4527,3728,4527,3728,4546xe" filled="true" fillcolor="#000000" stroked="false">
                <v:path arrowok="t"/>
                <v:fill type="solid"/>
              </v:shape>
            </v:group>
            <v:group style="position:absolute;left:3728;top:4546;width:10;height:20" coordorigin="3728,4546" coordsize="10,20">
              <v:shape style="position:absolute;left:3728;top:4546;width:10;height:20" coordorigin="3728,4546" coordsize="10,20" path="m3728,4566l3737,4566,3737,4546,3728,4546,3728,4566xe" filled="true" fillcolor="#000000" stroked="false">
                <v:path arrowok="t"/>
                <v:fill type="solid"/>
              </v:shape>
            </v:group>
            <v:group style="position:absolute;left:3728;top:4566;width:10;height:20" coordorigin="3728,4566" coordsize="10,20">
              <v:shape style="position:absolute;left:3728;top:4566;width:10;height:20" coordorigin="3728,4566" coordsize="10,20" path="m3728,4585l3737,4585,3737,4566,3728,4566,3728,4585xe" filled="true" fillcolor="#000000" stroked="false">
                <v:path arrowok="t"/>
                <v:fill type="solid"/>
              </v:shape>
            </v:group>
            <v:group style="position:absolute;left:3728;top:4585;width:10;height:20" coordorigin="3728,4585" coordsize="10,20">
              <v:shape style="position:absolute;left:3728;top:4585;width:10;height:20" coordorigin="3728,4585" coordsize="10,20" path="m3728,4604l3737,4604,3737,4585,3728,4585,3728,4604xe" filled="true" fillcolor="#000000" stroked="false">
                <v:path arrowok="t"/>
                <v:fill type="solid"/>
              </v:shape>
            </v:group>
            <v:group style="position:absolute;left:3728;top:4604;width:10;height:20" coordorigin="3728,4604" coordsize="10,20">
              <v:shape style="position:absolute;left:3728;top:4604;width:10;height:20" coordorigin="3728,4604" coordsize="10,20" path="m3728,4623l3737,4623,3737,4604,3728,4604,3728,4623xe" filled="true" fillcolor="#000000" stroked="false">
                <v:path arrowok="t"/>
                <v:fill type="solid"/>
              </v:shape>
            </v:group>
            <v:group style="position:absolute;left:3728;top:4623;width:10;height:20" coordorigin="3728,4623" coordsize="10,20">
              <v:shape style="position:absolute;left:3728;top:4623;width:10;height:20" coordorigin="3728,4623" coordsize="10,20" path="m3728,4642l3737,4642,3737,4623,3728,4623,3728,4642xe" filled="true" fillcolor="#000000" stroked="false">
                <v:path arrowok="t"/>
                <v:fill type="solid"/>
              </v:shape>
            </v:group>
            <v:group style="position:absolute;left:3728;top:4642;width:10;height:20" coordorigin="3728,4642" coordsize="10,20">
              <v:shape style="position:absolute;left:3728;top:4642;width:10;height:20" coordorigin="3728,4642" coordsize="10,20" path="m3728,4662l3737,4662,3737,4642,3728,4642,3728,4662xe" filled="true" fillcolor="#000000" stroked="false">
                <v:path arrowok="t"/>
                <v:fill type="solid"/>
              </v:shape>
            </v:group>
            <v:group style="position:absolute;left:3728;top:4662;width:10;height:20" coordorigin="3728,4662" coordsize="10,20">
              <v:shape style="position:absolute;left:3728;top:4662;width:10;height:20" coordorigin="3728,4662" coordsize="10,20" path="m3728,4681l3737,4681,3737,4662,3728,4662,3728,4681xe" filled="true" fillcolor="#000000" stroked="false">
                <v:path arrowok="t"/>
                <v:fill type="solid"/>
              </v:shape>
            </v:group>
            <v:group style="position:absolute;left:3728;top:4681;width:10;height:20" coordorigin="3728,4681" coordsize="10,20">
              <v:shape style="position:absolute;left:3728;top:4681;width:10;height:20" coordorigin="3728,4681" coordsize="10,20" path="m3728,4700l3737,4700,3737,4681,3728,4681,3728,4700xe" filled="true" fillcolor="#000000" stroked="false">
                <v:path arrowok="t"/>
                <v:fill type="solid"/>
              </v:shape>
            </v:group>
            <v:group style="position:absolute;left:3728;top:4700;width:10;height:20" coordorigin="3728,4700" coordsize="10,20">
              <v:shape style="position:absolute;left:3728;top:4700;width:10;height:20" coordorigin="3728,4700" coordsize="10,20" path="m3728,4719l3737,4719,3737,4700,3728,4700,3728,4719xe" filled="true" fillcolor="#000000" stroked="false">
                <v:path arrowok="t"/>
                <v:fill type="solid"/>
              </v:shape>
            </v:group>
            <v:group style="position:absolute;left:3728;top:4719;width:10;height:20" coordorigin="3728,4719" coordsize="10,20">
              <v:shape style="position:absolute;left:3728;top:4719;width:10;height:20" coordorigin="3728,4719" coordsize="10,20" path="m3728,4738l3737,4738,3737,4719,3728,4719,3728,4738xe" filled="true" fillcolor="#000000" stroked="false">
                <v:path arrowok="t"/>
                <v:fill type="solid"/>
              </v:shape>
              <v:shape style="position:absolute;left:1169;top:4738;width:2578;height:101" type="#_x0000_t75" stroked="false">
                <v:imagedata r:id="rId116" o:title=""/>
              </v:shape>
              <v:shape style="position:absolute;left:3723;top:4830;width:1563;height:10" type="#_x0000_t75" stroked="false">
                <v:imagedata r:id="rId98" o:title=""/>
              </v:shape>
              <v:shape style="position:absolute;left:5281;top:4830;width:1268;height:10" type="#_x0000_t75" stroked="false">
                <v:imagedata r:id="rId117" o:title=""/>
              </v:shape>
              <v:shape style="position:absolute;left:6544;top:4830;width:1898;height:10" type="#_x0000_t75" stroked="false">
                <v:imagedata r:id="rId100" o:title=""/>
              </v:shape>
              <v:shape style="position:absolute;left:8437;top:4830;width:1784;height:10" type="#_x0000_t75" stroked="false">
                <v:imagedata r:id="rId115" o:title=""/>
              </v:shape>
            </v:group>
            <v:group style="position:absolute;left:3728;top:4839;width:10;height:20" coordorigin="3728,4839" coordsize="10,20">
              <v:shape style="position:absolute;left:3728;top:4839;width:10;height:20" coordorigin="3728,4839" coordsize="10,20" path="m3728,4858l3737,4858,3737,4839,3728,4839,3728,4858xe" filled="true" fillcolor="#000000" stroked="false">
                <v:path arrowok="t"/>
                <v:fill type="solid"/>
              </v:shape>
            </v:group>
            <v:group style="position:absolute;left:3728;top:4858;width:10;height:20" coordorigin="3728,4858" coordsize="10,20">
              <v:shape style="position:absolute;left:3728;top:4858;width:10;height:20" coordorigin="3728,4858" coordsize="10,20" path="m3728,4878l3737,4878,3737,4858,3728,4858,3728,4878xe" filled="true" fillcolor="#000000" stroked="false">
                <v:path arrowok="t"/>
                <v:fill type="solid"/>
              </v:shape>
            </v:group>
            <v:group style="position:absolute;left:3728;top:4878;width:10;height:20" coordorigin="3728,4878" coordsize="10,20">
              <v:shape style="position:absolute;left:3728;top:4878;width:10;height:20" coordorigin="3728,4878" coordsize="10,20" path="m3728,4897l3737,4897,3737,4878,3728,4878,3728,4897xe" filled="true" fillcolor="#000000" stroked="false">
                <v:path arrowok="t"/>
                <v:fill type="solid"/>
              </v:shape>
            </v:group>
            <v:group style="position:absolute;left:3728;top:4897;width:10;height:20" coordorigin="3728,4897" coordsize="10,20">
              <v:shape style="position:absolute;left:3728;top:4897;width:10;height:20" coordorigin="3728,4897" coordsize="10,20" path="m3728,4916l3737,4916,3737,4897,3728,4897,3728,4916xe" filled="true" fillcolor="#000000" stroked="false">
                <v:path arrowok="t"/>
                <v:fill type="solid"/>
              </v:shape>
            </v:group>
            <v:group style="position:absolute;left:3728;top:4916;width:10;height:20" coordorigin="3728,4916" coordsize="10,20">
              <v:shape style="position:absolute;left:3728;top:4916;width:10;height:20" coordorigin="3728,4916" coordsize="10,20" path="m3728,4935l3737,4935,3737,4916,3728,4916,3728,4935xe" filled="true" fillcolor="#000000" stroked="false">
                <v:path arrowok="t"/>
                <v:fill type="solid"/>
              </v:shape>
            </v:group>
            <v:group style="position:absolute;left:3728;top:4935;width:10;height:20" coordorigin="3728,4935" coordsize="10,20">
              <v:shape style="position:absolute;left:3728;top:4935;width:10;height:20" coordorigin="3728,4935" coordsize="10,20" path="m3728,4954l3737,4954,3737,4935,3728,4935,3728,4954xe" filled="true" fillcolor="#000000" stroked="false">
                <v:path arrowok="t"/>
                <v:fill type="solid"/>
              </v:shape>
            </v:group>
            <v:group style="position:absolute;left:3728;top:4954;width:10;height:20" coordorigin="3728,4954" coordsize="10,20">
              <v:shape style="position:absolute;left:3728;top:4954;width:10;height:20" coordorigin="3728,4954" coordsize="10,20" path="m3728,4974l3737,4974,3737,4954,3728,4954,3728,4974xe" filled="true" fillcolor="#000000" stroked="false">
                <v:path arrowok="t"/>
                <v:fill type="solid"/>
              </v:shape>
            </v:group>
            <v:group style="position:absolute;left:3728;top:4974;width:10;height:20" coordorigin="3728,4974" coordsize="10,20">
              <v:shape style="position:absolute;left:3728;top:4974;width:10;height:20" coordorigin="3728,4974" coordsize="10,20" path="m3728,4993l3737,4993,3737,4974,3728,4974,3728,4993xe" filled="true" fillcolor="#000000" stroked="false">
                <v:path arrowok="t"/>
                <v:fill type="solid"/>
              </v:shape>
            </v:group>
            <v:group style="position:absolute;left:3728;top:4993;width:10;height:20" coordorigin="3728,4993" coordsize="10,20">
              <v:shape style="position:absolute;left:3728;top:4993;width:10;height:20" coordorigin="3728,4993" coordsize="10,20" path="m3728,5012l3737,5012,3737,4993,3728,4993,3728,5012xe" filled="true" fillcolor="#000000" stroked="false">
                <v:path arrowok="t"/>
                <v:fill type="solid"/>
              </v:shape>
            </v:group>
            <v:group style="position:absolute;left:3728;top:5012;width:10;height:20" coordorigin="3728,5012" coordsize="10,20">
              <v:shape style="position:absolute;left:3728;top:5012;width:10;height:20" coordorigin="3728,5012" coordsize="10,20" path="m3728,5031l3737,5031,3737,5012,3728,5012,3728,5031xe" filled="true" fillcolor="#000000" stroked="false">
                <v:path arrowok="t"/>
                <v:fill type="solid"/>
              </v:shape>
            </v:group>
            <v:group style="position:absolute;left:3728;top:5031;width:10;height:20" coordorigin="3728,5031" coordsize="10,20">
              <v:shape style="position:absolute;left:3728;top:5031;width:10;height:20" coordorigin="3728,5031" coordsize="10,20" path="m3728,5050l3737,5050,3737,5031,3728,5031,3728,5050xe" filled="true" fillcolor="#000000" stroked="false">
                <v:path arrowok="t"/>
                <v:fill type="solid"/>
              </v:shape>
            </v:group>
            <v:group style="position:absolute;left:3728;top:5050;width:10;height:20" coordorigin="3728,5050" coordsize="10,20">
              <v:shape style="position:absolute;left:3728;top:5050;width:10;height:20" coordorigin="3728,5050" coordsize="10,20" path="m3728,5070l3737,5070,3737,5050,3728,5050,3728,5070xe" filled="true" fillcolor="#000000" stroked="false">
                <v:path arrowok="t"/>
                <v:fill type="solid"/>
              </v:shape>
            </v:group>
            <v:group style="position:absolute;left:3728;top:5070;width:10;height:20" coordorigin="3728,5070" coordsize="10,20">
              <v:shape style="position:absolute;left:3728;top:5070;width:10;height:20" coordorigin="3728,5070" coordsize="10,20" path="m3728,5089l3737,5089,3737,5070,3728,5070,3728,5089xe" filled="true" fillcolor="#000000" stroked="false">
                <v:path arrowok="t"/>
                <v:fill type="solid"/>
              </v:shape>
            </v:group>
            <v:group style="position:absolute;left:3728;top:5089;width:10;height:20" coordorigin="3728,5089" coordsize="10,20">
              <v:shape style="position:absolute;left:3728;top:5089;width:10;height:20" coordorigin="3728,5089" coordsize="10,20" path="m3728,5108l3737,5108,3737,5089,3728,5089,3728,5108xe" filled="true" fillcolor="#000000" stroked="false">
                <v:path arrowok="t"/>
                <v:fill type="solid"/>
              </v:shape>
            </v:group>
            <v:group style="position:absolute;left:3728;top:5108;width:10;height:20" coordorigin="3728,5108" coordsize="10,20">
              <v:shape style="position:absolute;left:3728;top:5108;width:10;height:20" coordorigin="3728,5108" coordsize="10,20" path="m3728,5127l3737,5127,3737,5108,3728,5108,3728,5127xe" filled="true" fillcolor="#000000" stroked="false">
                <v:path arrowok="t"/>
                <v:fill type="solid"/>
              </v:shape>
              <v:shape style="position:absolute;left:3728;top:5146;width:10;height:5" type="#_x0000_t75" stroked="false">
                <v:imagedata r:id="rId91" o:title=""/>
              </v:shape>
              <v:shape style="position:absolute;left:5286;top:5146;width:10;height:5" type="#_x0000_t75" stroked="false">
                <v:imagedata r:id="rId91" o:title=""/>
              </v:shape>
              <v:shape style="position:absolute;left:6549;top:5146;width:10;height:5" type="#_x0000_t75" stroked="false">
                <v:imagedata r:id="rId91" o:title=""/>
              </v:shape>
              <v:shape style="position:absolute;left:8442;top:5146;width:10;height:5" type="#_x0000_t75" stroked="false">
                <v:imagedata r:id="rId91" o:title=""/>
              </v:shape>
            </v:group>
            <w10:wrap type="none"/>
          </v:group>
        </w:pict>
      </w:r>
      <w:r>
        <w:rPr/>
        <w:pict>
          <v:shape style="position:absolute;margin-left:124.699997pt;margin-top:82.693703pt;width:.48002pt;height:.24pt;mso-position-horizontal-relative:page;mso-position-vertical-relative:paragraph;z-index:-1318864" type="#_x0000_t75" stroked="false">
            <v:imagedata r:id="rId91" o:title=""/>
          </v:shape>
        </w:pict>
      </w:r>
      <w:r>
        <w:rPr/>
        <w:t>合并</w:t>
      </w:r>
      <w:r>
        <w:rPr>
          <w:b w:val="0"/>
          <w:bCs w:val="0"/>
        </w:rPr>
      </w:r>
    </w:p>
    <w:p>
      <w:pPr>
        <w:spacing w:line="240" w:lineRule="auto" w:before="7"/>
        <w:rPr>
          <w:rFonts w:ascii="宋体" w:hAnsi="宋体" w:cs="宋体" w:eastAsia="宋体" w:hint="default"/>
          <w:b/>
          <w:bCs/>
          <w:sz w:val="2"/>
          <w:szCs w:val="2"/>
        </w:rPr>
      </w:pPr>
    </w:p>
    <w:tbl>
      <w:tblPr>
        <w:tblW w:w="0" w:type="auto"/>
        <w:jc w:val="left"/>
        <w:tblInd w:w="114" w:type="dxa"/>
        <w:tblLayout w:type="fixed"/>
        <w:tblCellMar>
          <w:top w:w="0" w:type="dxa"/>
          <w:left w:w="0" w:type="dxa"/>
          <w:bottom w:w="0" w:type="dxa"/>
          <w:right w:w="0" w:type="dxa"/>
        </w:tblCellMar>
        <w:tblLook w:val="01E0"/>
      </w:tblPr>
      <w:tblGrid>
        <w:gridCol w:w="1344"/>
        <w:gridCol w:w="1392"/>
        <w:gridCol w:w="1400"/>
        <w:gridCol w:w="1263"/>
        <w:gridCol w:w="1894"/>
        <w:gridCol w:w="1772"/>
      </w:tblGrid>
      <w:tr>
        <w:trPr>
          <w:trHeight w:val="336" w:hRule="exact"/>
        </w:trPr>
        <w:tc>
          <w:tcPr>
            <w:tcW w:w="1344" w:type="dxa"/>
            <w:tcBorders>
              <w:top w:val="single" w:sz="12" w:space="0" w:color="000000"/>
              <w:left w:val="nil" w:sz="6" w:space="0" w:color="auto"/>
              <w:bottom w:val="nil" w:sz="6" w:space="0" w:color="auto"/>
              <w:right w:val="nil" w:sz="6" w:space="0" w:color="auto"/>
            </w:tcBorders>
          </w:tcPr>
          <w:p>
            <w:pPr/>
          </w:p>
        </w:tc>
        <w:tc>
          <w:tcPr>
            <w:tcW w:w="1392" w:type="dxa"/>
            <w:tcBorders>
              <w:top w:val="single" w:sz="12" w:space="0" w:color="000000"/>
              <w:left w:val="nil" w:sz="6" w:space="0" w:color="auto"/>
              <w:bottom w:val="nil" w:sz="6" w:space="0" w:color="auto"/>
              <w:right w:val="nil" w:sz="6" w:space="0" w:color="auto"/>
            </w:tcBorders>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原金融工具准则</w:t>
            </w:r>
          </w:p>
        </w:tc>
        <w:tc>
          <w:tcPr>
            <w:tcW w:w="1400" w:type="dxa"/>
            <w:tcBorders>
              <w:top w:val="single" w:sz="12" w:space="0" w:color="000000"/>
              <w:left w:val="nil" w:sz="6" w:space="0" w:color="auto"/>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b/>
                <w:bCs/>
                <w:sz w:val="24"/>
                <w:szCs w:val="24"/>
              </w:rPr>
            </w:pPr>
          </w:p>
        </w:tc>
        <w:tc>
          <w:tcPr>
            <w:tcW w:w="1263" w:type="dxa"/>
            <w:tcBorders>
              <w:top w:val="single" w:sz="12" w:space="0" w:color="000000"/>
              <w:left w:val="single" w:sz="4" w:space="0" w:color="000000"/>
              <w:bottom w:val="nil" w:sz="6" w:space="0" w:color="auto"/>
              <w:right w:val="nil" w:sz="6" w:space="0" w:color="auto"/>
            </w:tcBorders>
          </w:tcPr>
          <w:p>
            <w:pPr>
              <w:pStyle w:val="TableParagraph"/>
              <w:spacing w:line="240" w:lineRule="auto" w:before="8"/>
              <w:ind w:right="0"/>
              <w:jc w:val="left"/>
              <w:rPr>
                <w:rFonts w:ascii="宋体" w:hAnsi="宋体" w:cs="宋体" w:eastAsia="宋体" w:hint="default"/>
                <w:b/>
                <w:bCs/>
                <w:sz w:val="24"/>
                <w:szCs w:val="24"/>
              </w:rPr>
            </w:pPr>
          </w:p>
        </w:tc>
        <w:tc>
          <w:tcPr>
            <w:tcW w:w="1894" w:type="dxa"/>
            <w:tcBorders>
              <w:top w:val="single" w:sz="12" w:space="0" w:color="000000"/>
              <w:left w:val="nil" w:sz="6" w:space="0" w:color="auto"/>
              <w:bottom w:val="nil" w:sz="6" w:space="0" w:color="auto"/>
              <w:right w:val="nil" w:sz="6" w:space="0" w:color="auto"/>
            </w:tcBorders>
          </w:tcPr>
          <w:p>
            <w:pPr>
              <w:pStyle w:val="TableParagraph"/>
              <w:spacing w:line="240" w:lineRule="auto" w:before="10"/>
              <w:ind w:left="571" w:right="0"/>
              <w:jc w:val="left"/>
              <w:rPr>
                <w:rFonts w:ascii="宋体" w:hAnsi="宋体" w:cs="宋体" w:eastAsia="宋体" w:hint="default"/>
                <w:sz w:val="18"/>
                <w:szCs w:val="18"/>
              </w:rPr>
            </w:pPr>
            <w:r>
              <w:rPr>
                <w:rFonts w:ascii="宋体" w:hAnsi="宋体" w:cs="宋体" w:eastAsia="宋体" w:hint="default"/>
                <w:sz w:val="18"/>
                <w:szCs w:val="18"/>
              </w:rPr>
              <w:t>新金融工具准则</w:t>
            </w:r>
          </w:p>
        </w:tc>
        <w:tc>
          <w:tcPr>
            <w:tcW w:w="1772" w:type="dxa"/>
            <w:tcBorders>
              <w:top w:val="single" w:sz="12" w:space="0" w:color="000000"/>
              <w:left w:val="nil" w:sz="6" w:space="0" w:color="auto"/>
              <w:bottom w:val="nil" w:sz="6" w:space="0" w:color="auto"/>
              <w:right w:val="nil" w:sz="6" w:space="0" w:color="auto"/>
            </w:tcBorders>
          </w:tcPr>
          <w:p>
            <w:pPr/>
          </w:p>
        </w:tc>
      </w:tr>
      <w:tr>
        <w:trPr>
          <w:trHeight w:val="317" w:hRule="exact"/>
        </w:trPr>
        <w:tc>
          <w:tcPr>
            <w:tcW w:w="1344" w:type="dxa"/>
            <w:tcBorders>
              <w:top w:val="nil" w:sz="6" w:space="0" w:color="auto"/>
              <w:left w:val="nil" w:sz="6" w:space="0" w:color="auto"/>
              <w:bottom w:val="nil" w:sz="6" w:space="0" w:color="auto"/>
              <w:right w:val="single" w:sz="4" w:space="0" w:color="000000"/>
            </w:tcBorders>
          </w:tcPr>
          <w:p>
            <w:pPr>
              <w:pStyle w:val="TableParagraph"/>
              <w:spacing w:line="240" w:lineRule="auto" w:before="10"/>
              <w:ind w:left="319" w:right="0"/>
              <w:jc w:val="left"/>
              <w:rPr>
                <w:rFonts w:ascii="宋体" w:hAnsi="宋体" w:cs="宋体" w:eastAsia="宋体" w:hint="default"/>
                <w:sz w:val="18"/>
                <w:szCs w:val="18"/>
              </w:rPr>
            </w:pPr>
            <w:r>
              <w:rPr>
                <w:rFonts w:ascii="宋体" w:hAnsi="宋体" w:cs="宋体" w:eastAsia="宋体" w:hint="default"/>
                <w:sz w:val="18"/>
                <w:szCs w:val="18"/>
              </w:rPr>
              <w:t>列报项目</w:t>
            </w:r>
          </w:p>
        </w:tc>
        <w:tc>
          <w:tcPr>
            <w:tcW w:w="1392" w:type="dxa"/>
            <w:tcBorders>
              <w:top w:val="nil" w:sz="6" w:space="0" w:color="auto"/>
              <w:left w:val="single" w:sz="4" w:space="0" w:color="000000"/>
              <w:bottom w:val="nil" w:sz="6" w:space="0" w:color="auto"/>
              <w:right w:val="nil" w:sz="6" w:space="0" w:color="auto"/>
            </w:tcBorders>
          </w:tcPr>
          <w:p>
            <w:pPr>
              <w:pStyle w:val="TableParagraph"/>
              <w:spacing w:line="240" w:lineRule="auto" w:before="10"/>
              <w:ind w:left="249" w:right="0"/>
              <w:jc w:val="left"/>
              <w:rPr>
                <w:rFonts w:ascii="宋体" w:hAnsi="宋体" w:cs="宋体" w:eastAsia="宋体" w:hint="default"/>
                <w:sz w:val="18"/>
                <w:szCs w:val="18"/>
              </w:rPr>
            </w:pPr>
            <w:r>
              <w:rPr>
                <w:rFonts w:ascii="宋体" w:hAnsi="宋体" w:cs="宋体" w:eastAsia="宋体" w:hint="default"/>
                <w:sz w:val="18"/>
                <w:szCs w:val="18"/>
              </w:rPr>
              <w:t>计量类别</w:t>
            </w:r>
          </w:p>
        </w:tc>
        <w:tc>
          <w:tcPr>
            <w:tcW w:w="1400" w:type="dxa"/>
            <w:tcBorders>
              <w:top w:val="nil" w:sz="6" w:space="0" w:color="auto"/>
              <w:left w:val="nil" w:sz="6" w:space="0" w:color="auto"/>
              <w:bottom w:val="nil" w:sz="6" w:space="0" w:color="auto"/>
              <w:right w:val="single" w:sz="4" w:space="0" w:color="000000"/>
            </w:tcBorders>
          </w:tcPr>
          <w:p>
            <w:pPr>
              <w:pStyle w:val="TableParagraph"/>
              <w:spacing w:line="240" w:lineRule="auto" w:before="10"/>
              <w:ind w:left="25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26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3" w:right="0"/>
              <w:jc w:val="left"/>
              <w:rPr>
                <w:rFonts w:ascii="宋体" w:hAnsi="宋体" w:cs="宋体" w:eastAsia="宋体" w:hint="default"/>
                <w:sz w:val="18"/>
                <w:szCs w:val="18"/>
              </w:rPr>
            </w:pPr>
            <w:r>
              <w:rPr>
                <w:rFonts w:ascii="宋体" w:hAnsi="宋体" w:cs="宋体" w:eastAsia="宋体" w:hint="default"/>
                <w:sz w:val="18"/>
                <w:szCs w:val="18"/>
              </w:rPr>
              <w:t>列报项目</w:t>
            </w:r>
          </w:p>
        </w:tc>
        <w:tc>
          <w:tcPr>
            <w:tcW w:w="18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580" w:right="0"/>
              <w:jc w:val="left"/>
              <w:rPr>
                <w:rFonts w:ascii="宋体" w:hAnsi="宋体" w:cs="宋体" w:eastAsia="宋体" w:hint="default"/>
                <w:sz w:val="18"/>
                <w:szCs w:val="18"/>
              </w:rPr>
            </w:pPr>
            <w:r>
              <w:rPr>
                <w:rFonts w:ascii="宋体" w:hAnsi="宋体" w:cs="宋体" w:eastAsia="宋体" w:hint="default"/>
                <w:sz w:val="18"/>
                <w:szCs w:val="18"/>
              </w:rPr>
              <w:t>计量类别</w:t>
            </w:r>
          </w:p>
        </w:tc>
        <w:tc>
          <w:tcPr>
            <w:tcW w:w="1772" w:type="dxa"/>
            <w:tcBorders>
              <w:top w:val="nil" w:sz="6" w:space="0" w:color="auto"/>
              <w:left w:val="single" w:sz="4" w:space="0" w:color="000000"/>
              <w:bottom w:val="nil" w:sz="6" w:space="0" w:color="auto"/>
              <w:right w:val="nil" w:sz="6" w:space="0" w:color="auto"/>
            </w:tcBorders>
          </w:tcPr>
          <w:p>
            <w:pPr>
              <w:pStyle w:val="TableParagraph"/>
              <w:spacing w:line="240" w:lineRule="auto" w:before="10"/>
              <w:ind w:left="52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61" w:hRule="exact"/>
        </w:trPr>
        <w:tc>
          <w:tcPr>
            <w:tcW w:w="1344" w:type="dxa"/>
            <w:tcBorders>
              <w:top w:val="nil" w:sz="6" w:space="0" w:color="auto"/>
              <w:left w:val="nil" w:sz="6" w:space="0" w:color="auto"/>
              <w:bottom w:val="nil" w:sz="6" w:space="0" w:color="auto"/>
              <w:right w:val="single" w:sz="4" w:space="0" w:color="000000"/>
            </w:tcBorders>
          </w:tcPr>
          <w:p>
            <w:pPr>
              <w:pStyle w:val="TableParagraph"/>
              <w:spacing w:line="240" w:lineRule="auto" w:before="15"/>
              <w:ind w:left="1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392" w:type="dxa"/>
            <w:tcBorders>
              <w:top w:val="nil" w:sz="6" w:space="0" w:color="auto"/>
              <w:left w:val="single" w:sz="4" w:space="0" w:color="000000"/>
              <w:bottom w:val="nil" w:sz="6" w:space="0" w:color="auto"/>
              <w:right w:val="nil" w:sz="6" w:space="0" w:color="auto"/>
            </w:tcBorders>
          </w:tcPr>
          <w:p>
            <w:pPr>
              <w:pStyle w:val="TableParagraph"/>
              <w:spacing w:line="240" w:lineRule="auto" w:before="15"/>
              <w:ind w:left="100"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400" w:type="dxa"/>
            <w:tcBorders>
              <w:top w:val="nil" w:sz="6" w:space="0" w:color="auto"/>
              <w:left w:val="nil" w:sz="6" w:space="0" w:color="auto"/>
              <w:bottom w:val="nil" w:sz="6" w:space="0" w:color="auto"/>
              <w:right w:val="single" w:sz="4" w:space="0" w:color="000000"/>
            </w:tcBorders>
          </w:tcPr>
          <w:p>
            <w:pPr>
              <w:pStyle w:val="TableParagraph"/>
              <w:spacing w:line="240" w:lineRule="auto" w:before="57"/>
              <w:ind w:right="101"/>
              <w:jc w:val="right"/>
              <w:rPr>
                <w:rFonts w:ascii="Times New Roman" w:hAnsi="Times New Roman" w:cs="Times New Roman" w:eastAsia="Times New Roman" w:hint="default"/>
                <w:sz w:val="18"/>
                <w:szCs w:val="18"/>
              </w:rPr>
            </w:pPr>
            <w:r>
              <w:rPr>
                <w:rFonts w:ascii="Times New Roman"/>
                <w:spacing w:val="-1"/>
                <w:sz w:val="18"/>
              </w:rPr>
              <w:t>2,188,424,717.93</w:t>
            </w:r>
          </w:p>
        </w:tc>
        <w:tc>
          <w:tcPr>
            <w:tcW w:w="1263" w:type="dxa"/>
            <w:tcBorders>
              <w:top w:val="nil" w:sz="6" w:space="0" w:color="auto"/>
              <w:left w:val="single" w:sz="4" w:space="0" w:color="000000"/>
              <w:bottom w:val="nil" w:sz="6" w:space="0" w:color="auto"/>
              <w:right w:val="single" w:sz="4" w:space="0" w:color="000000"/>
            </w:tcBorders>
          </w:tcPr>
          <w:p>
            <w:pPr>
              <w:pStyle w:val="TableParagraph"/>
              <w:spacing w:line="240" w:lineRule="auto" w:before="15"/>
              <w:ind w:left="103"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894" w:type="dxa"/>
            <w:tcBorders>
              <w:top w:val="nil" w:sz="6" w:space="0" w:color="auto"/>
              <w:left w:val="single" w:sz="4" w:space="0" w:color="000000"/>
              <w:bottom w:val="nil" w:sz="6" w:space="0" w:color="auto"/>
              <w:right w:val="single" w:sz="4" w:space="0" w:color="000000"/>
            </w:tcBorders>
          </w:tcPr>
          <w:p>
            <w:pPr>
              <w:pStyle w:val="TableParagraph"/>
              <w:spacing w:line="240" w:lineRule="auto" w:before="15"/>
              <w:ind w:left="100"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772" w:type="dxa"/>
            <w:tcBorders>
              <w:top w:val="nil" w:sz="6" w:space="0" w:color="auto"/>
              <w:left w:val="single" w:sz="4" w:space="0" w:color="000000"/>
              <w:bottom w:val="nil" w:sz="6" w:space="0" w:color="auto"/>
              <w:right w:val="nil" w:sz="6" w:space="0" w:color="auto"/>
            </w:tcBorders>
          </w:tcPr>
          <w:p>
            <w:pPr>
              <w:pStyle w:val="TableParagraph"/>
              <w:spacing w:line="240" w:lineRule="auto" w:before="57"/>
              <w:ind w:right="106"/>
              <w:jc w:val="right"/>
              <w:rPr>
                <w:rFonts w:ascii="Times New Roman" w:hAnsi="Times New Roman" w:cs="Times New Roman" w:eastAsia="Times New Roman" w:hint="default"/>
                <w:sz w:val="18"/>
                <w:szCs w:val="18"/>
              </w:rPr>
            </w:pPr>
            <w:r>
              <w:rPr>
                <w:rFonts w:ascii="Times New Roman"/>
                <w:spacing w:val="-1"/>
                <w:sz w:val="18"/>
              </w:rPr>
              <w:t>2,188,424,717.93</w:t>
            </w:r>
          </w:p>
        </w:tc>
      </w:tr>
      <w:tr>
        <w:trPr>
          <w:trHeight w:val="68" w:hRule="exact"/>
        </w:trPr>
        <w:tc>
          <w:tcPr>
            <w:tcW w:w="1344" w:type="dxa"/>
            <w:tcBorders>
              <w:top w:val="nil" w:sz="6" w:space="0" w:color="auto"/>
              <w:left w:val="nil" w:sz="6" w:space="0" w:color="auto"/>
              <w:bottom w:val="nil" w:sz="6" w:space="0" w:color="auto"/>
              <w:right w:val="nil" w:sz="6" w:space="0" w:color="auto"/>
            </w:tcBorders>
          </w:tcPr>
          <w:p>
            <w:pPr/>
          </w:p>
        </w:tc>
        <w:tc>
          <w:tcPr>
            <w:tcW w:w="1392" w:type="dxa"/>
            <w:tcBorders>
              <w:top w:val="nil" w:sz="6" w:space="0" w:color="auto"/>
              <w:left w:val="nil" w:sz="6" w:space="0" w:color="auto"/>
              <w:bottom w:val="nil" w:sz="6" w:space="0" w:color="auto"/>
              <w:right w:val="nil" w:sz="6" w:space="0" w:color="auto"/>
            </w:tcBorders>
          </w:tcPr>
          <w:p>
            <w:pPr/>
          </w:p>
        </w:tc>
        <w:tc>
          <w:tcPr>
            <w:tcW w:w="1400" w:type="dxa"/>
            <w:tcBorders>
              <w:top w:val="nil" w:sz="6" w:space="0" w:color="auto"/>
              <w:left w:val="nil" w:sz="6" w:space="0" w:color="auto"/>
              <w:bottom w:val="nil" w:sz="6" w:space="0" w:color="auto"/>
              <w:right w:val="single" w:sz="4" w:space="0" w:color="000000"/>
            </w:tcBorders>
          </w:tcPr>
          <w:p>
            <w:pPr/>
          </w:p>
        </w:tc>
        <w:tc>
          <w:tcPr>
            <w:tcW w:w="1263" w:type="dxa"/>
            <w:tcBorders>
              <w:top w:val="nil" w:sz="6" w:space="0" w:color="auto"/>
              <w:left w:val="single" w:sz="4" w:space="0" w:color="000000"/>
              <w:bottom w:val="nil" w:sz="6" w:space="0" w:color="auto"/>
              <w:right w:val="single" w:sz="4" w:space="0" w:color="000000"/>
            </w:tcBorders>
          </w:tcPr>
          <w:p>
            <w:pPr/>
          </w:p>
        </w:tc>
        <w:tc>
          <w:tcPr>
            <w:tcW w:w="1894" w:type="dxa"/>
            <w:tcBorders>
              <w:top w:val="nil" w:sz="6" w:space="0" w:color="auto"/>
              <w:left w:val="single" w:sz="4" w:space="0" w:color="000000"/>
              <w:bottom w:val="nil" w:sz="6" w:space="0" w:color="auto"/>
              <w:right w:val="single" w:sz="4" w:space="0" w:color="000000"/>
            </w:tcBorders>
          </w:tcPr>
          <w:p>
            <w:pPr/>
          </w:p>
        </w:tc>
        <w:tc>
          <w:tcPr>
            <w:tcW w:w="1772" w:type="dxa"/>
            <w:tcBorders>
              <w:top w:val="nil" w:sz="6" w:space="0" w:color="auto"/>
              <w:left w:val="single" w:sz="4" w:space="0" w:color="000000"/>
              <w:bottom w:val="nil" w:sz="6" w:space="0" w:color="auto"/>
              <w:right w:val="nil" w:sz="6" w:space="0" w:color="auto"/>
            </w:tcBorders>
          </w:tcPr>
          <w:p>
            <w:pPr/>
          </w:p>
        </w:tc>
      </w:tr>
      <w:tr>
        <w:trPr>
          <w:trHeight w:val="254" w:hRule="exact"/>
        </w:trPr>
        <w:tc>
          <w:tcPr>
            <w:tcW w:w="1344" w:type="dxa"/>
            <w:tcBorders>
              <w:top w:val="nil" w:sz="6" w:space="0" w:color="auto"/>
              <w:left w:val="nil" w:sz="6" w:space="0" w:color="auto"/>
              <w:bottom w:val="nil" w:sz="6" w:space="0" w:color="auto"/>
              <w:right w:val="single" w:sz="4" w:space="0" w:color="000000"/>
            </w:tcBorders>
          </w:tcPr>
          <w:p>
            <w:pPr/>
          </w:p>
        </w:tc>
        <w:tc>
          <w:tcPr>
            <w:tcW w:w="1392" w:type="dxa"/>
            <w:tcBorders>
              <w:top w:val="nil" w:sz="6" w:space="0" w:color="auto"/>
              <w:left w:val="single" w:sz="4" w:space="0" w:color="000000"/>
              <w:bottom w:val="nil" w:sz="6" w:space="0" w:color="auto"/>
              <w:right w:val="nil" w:sz="6" w:space="0" w:color="auto"/>
            </w:tcBorders>
          </w:tcPr>
          <w:p>
            <w:pPr/>
          </w:p>
        </w:tc>
        <w:tc>
          <w:tcPr>
            <w:tcW w:w="1400" w:type="dxa"/>
            <w:tcBorders>
              <w:top w:val="nil" w:sz="6" w:space="0" w:color="auto"/>
              <w:left w:val="nil" w:sz="6" w:space="0" w:color="auto"/>
              <w:bottom w:val="nil" w:sz="6" w:space="0" w:color="auto"/>
              <w:right w:val="single" w:sz="4" w:space="0" w:color="000000"/>
            </w:tcBorders>
          </w:tcPr>
          <w:p>
            <w:pPr/>
          </w:p>
        </w:tc>
        <w:tc>
          <w:tcPr>
            <w:tcW w:w="1263"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894"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772" w:type="dxa"/>
            <w:tcBorders>
              <w:top w:val="nil" w:sz="6" w:space="0" w:color="auto"/>
              <w:left w:val="single" w:sz="4" w:space="0" w:color="000000"/>
              <w:bottom w:val="nil" w:sz="6" w:space="0" w:color="auto"/>
              <w:right w:val="nil" w:sz="6" w:space="0" w:color="auto"/>
            </w:tcBorders>
          </w:tcPr>
          <w:p>
            <w:pPr>
              <w:pStyle w:val="TableParagraph"/>
              <w:spacing w:line="240" w:lineRule="auto" w:before="50"/>
              <w:ind w:right="106"/>
              <w:jc w:val="right"/>
              <w:rPr>
                <w:rFonts w:ascii="Times New Roman" w:hAnsi="Times New Roman" w:cs="Times New Roman" w:eastAsia="Times New Roman" w:hint="default"/>
                <w:sz w:val="18"/>
                <w:szCs w:val="18"/>
              </w:rPr>
            </w:pPr>
            <w:r>
              <w:rPr>
                <w:rFonts w:ascii="Times New Roman"/>
                <w:spacing w:val="-1"/>
                <w:sz w:val="18"/>
              </w:rPr>
              <w:t>32,742,600.56</w:t>
            </w:r>
          </w:p>
        </w:tc>
      </w:tr>
      <w:tr>
        <w:trPr>
          <w:trHeight w:val="68" w:hRule="exact"/>
        </w:trPr>
        <w:tc>
          <w:tcPr>
            <w:tcW w:w="1344" w:type="dxa"/>
            <w:tcBorders>
              <w:top w:val="nil" w:sz="6" w:space="0" w:color="auto"/>
              <w:left w:val="nil" w:sz="6" w:space="0" w:color="auto"/>
              <w:bottom w:val="nil" w:sz="6" w:space="0" w:color="auto"/>
              <w:right w:val="single" w:sz="4" w:space="0" w:color="000000"/>
            </w:tcBorders>
          </w:tcPr>
          <w:p>
            <w:pPr/>
          </w:p>
        </w:tc>
        <w:tc>
          <w:tcPr>
            <w:tcW w:w="1392" w:type="dxa"/>
            <w:tcBorders>
              <w:top w:val="nil" w:sz="6" w:space="0" w:color="auto"/>
              <w:left w:val="single" w:sz="4" w:space="0" w:color="000000"/>
              <w:bottom w:val="nil" w:sz="6" w:space="0" w:color="auto"/>
              <w:right w:val="nil" w:sz="6" w:space="0" w:color="auto"/>
            </w:tcBorders>
          </w:tcPr>
          <w:p>
            <w:pPr/>
          </w:p>
        </w:tc>
        <w:tc>
          <w:tcPr>
            <w:tcW w:w="1400" w:type="dxa"/>
            <w:tcBorders>
              <w:top w:val="nil" w:sz="6" w:space="0" w:color="auto"/>
              <w:left w:val="nil" w:sz="6" w:space="0" w:color="auto"/>
              <w:bottom w:val="nil" w:sz="6" w:space="0" w:color="auto"/>
              <w:right w:val="single" w:sz="4" w:space="0" w:color="000000"/>
            </w:tcBorders>
          </w:tcPr>
          <w:p>
            <w:pPr/>
          </w:p>
        </w:tc>
        <w:tc>
          <w:tcPr>
            <w:tcW w:w="1263" w:type="dxa"/>
            <w:tcBorders>
              <w:top w:val="nil" w:sz="6" w:space="0" w:color="auto"/>
              <w:left w:val="single" w:sz="4" w:space="0" w:color="000000"/>
              <w:bottom w:val="nil" w:sz="6" w:space="0" w:color="auto"/>
              <w:right w:val="nil" w:sz="6" w:space="0" w:color="auto"/>
            </w:tcBorders>
          </w:tcPr>
          <w:p>
            <w:pPr/>
          </w:p>
        </w:tc>
        <w:tc>
          <w:tcPr>
            <w:tcW w:w="1894" w:type="dxa"/>
            <w:tcBorders>
              <w:top w:val="nil" w:sz="6" w:space="0" w:color="auto"/>
              <w:left w:val="nil" w:sz="6" w:space="0" w:color="auto"/>
              <w:bottom w:val="nil" w:sz="6" w:space="0" w:color="auto"/>
              <w:right w:val="single" w:sz="4" w:space="0" w:color="000000"/>
            </w:tcBorders>
          </w:tcPr>
          <w:p>
            <w:pPr/>
          </w:p>
        </w:tc>
        <w:tc>
          <w:tcPr>
            <w:tcW w:w="1772" w:type="dxa"/>
            <w:tcBorders>
              <w:top w:val="nil" w:sz="6" w:space="0" w:color="auto"/>
              <w:left w:val="single" w:sz="4" w:space="0" w:color="000000"/>
              <w:bottom w:val="nil" w:sz="6" w:space="0" w:color="auto"/>
              <w:right w:val="nil" w:sz="6" w:space="0" w:color="auto"/>
            </w:tcBorders>
          </w:tcPr>
          <w:p>
            <w:pPr/>
          </w:p>
        </w:tc>
      </w:tr>
      <w:tr>
        <w:trPr>
          <w:trHeight w:val="393" w:hRule="exact"/>
        </w:trPr>
        <w:tc>
          <w:tcPr>
            <w:tcW w:w="1344" w:type="dxa"/>
            <w:tcBorders>
              <w:top w:val="nil" w:sz="6" w:space="0" w:color="auto"/>
              <w:left w:val="nil" w:sz="6" w:space="0" w:color="auto"/>
              <w:bottom w:val="nil" w:sz="6" w:space="0" w:color="auto"/>
              <w:right w:val="single" w:sz="4" w:space="0" w:color="000000"/>
            </w:tcBorders>
          </w:tcPr>
          <w:p>
            <w:pPr>
              <w:pStyle w:val="TableParagraph"/>
              <w:spacing w:line="240" w:lineRule="auto" w:before="159"/>
              <w:ind w:left="12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392" w:type="dxa"/>
            <w:tcBorders>
              <w:top w:val="nil" w:sz="6" w:space="0" w:color="auto"/>
              <w:left w:val="single" w:sz="4" w:space="0" w:color="000000"/>
              <w:bottom w:val="nil" w:sz="6" w:space="0" w:color="auto"/>
              <w:right w:val="nil" w:sz="6" w:space="0" w:color="auto"/>
            </w:tcBorders>
          </w:tcPr>
          <w:p>
            <w:pPr>
              <w:pStyle w:val="TableParagraph"/>
              <w:spacing w:line="240" w:lineRule="auto" w:before="159"/>
              <w:ind w:left="100"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400" w:type="dxa"/>
            <w:tcBorders>
              <w:top w:val="nil" w:sz="6" w:space="0" w:color="auto"/>
              <w:left w:val="nil" w:sz="6" w:space="0" w:color="auto"/>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b/>
                <w:bCs/>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46,033,292.54</w:t>
            </w:r>
          </w:p>
        </w:tc>
        <w:tc>
          <w:tcPr>
            <w:tcW w:w="1263" w:type="dxa"/>
            <w:vMerge w:val="restart"/>
            <w:tcBorders>
              <w:top w:val="nil" w:sz="6" w:space="0" w:color="auto"/>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316" w:lineRule="auto"/>
              <w:ind w:left="103" w:right="69"/>
              <w:jc w:val="left"/>
              <w:rPr>
                <w:rFonts w:ascii="宋体" w:hAnsi="宋体" w:cs="宋体" w:eastAsia="宋体" w:hint="default"/>
                <w:sz w:val="18"/>
                <w:szCs w:val="18"/>
              </w:rPr>
            </w:pPr>
            <w:r>
              <w:rPr>
                <w:rFonts w:ascii="宋体" w:hAnsi="宋体" w:cs="宋体" w:eastAsia="宋体" w:hint="default"/>
                <w:spacing w:val="28"/>
                <w:sz w:val="18"/>
                <w:szCs w:val="18"/>
              </w:rPr>
              <w:t>应收款项融</w:t>
            </w:r>
            <w:r>
              <w:rPr>
                <w:rFonts w:ascii="宋体" w:hAnsi="宋体" w:cs="宋体" w:eastAsia="宋体" w:hint="default"/>
                <w:spacing w:val="-86"/>
                <w:sz w:val="18"/>
                <w:szCs w:val="18"/>
              </w:rPr>
              <w:t> </w:t>
            </w:r>
            <w:r>
              <w:rPr>
                <w:rFonts w:ascii="宋体" w:hAnsi="宋体" w:cs="宋体" w:eastAsia="宋体" w:hint="default"/>
                <w:sz w:val="18"/>
                <w:szCs w:val="18"/>
              </w:rPr>
              <w:t>资</w:t>
            </w:r>
          </w:p>
        </w:tc>
        <w:tc>
          <w:tcPr>
            <w:tcW w:w="1894" w:type="dxa"/>
            <w:vMerge w:val="restart"/>
            <w:tcBorders>
              <w:top w:val="nil" w:sz="6" w:space="0" w:color="auto"/>
              <w:left w:val="single" w:sz="4" w:space="0" w:color="000000"/>
              <w:right w:val="single" w:sz="4" w:space="0" w:color="000000"/>
            </w:tcBorders>
          </w:tcPr>
          <w:p>
            <w:pPr>
              <w:pStyle w:val="TableParagraph"/>
              <w:spacing w:line="316" w:lineRule="auto" w:before="8"/>
              <w:ind w:left="100" w:right="96"/>
              <w:jc w:val="both"/>
              <w:rPr>
                <w:rFonts w:ascii="宋体" w:hAnsi="宋体" w:cs="宋体" w:eastAsia="宋体" w:hint="default"/>
                <w:sz w:val="18"/>
                <w:szCs w:val="18"/>
              </w:rPr>
            </w:pPr>
            <w:r>
              <w:rPr>
                <w:rFonts w:ascii="宋体" w:hAnsi="宋体" w:cs="宋体" w:eastAsia="宋体" w:hint="default"/>
                <w:spacing w:val="7"/>
                <w:sz w:val="18"/>
                <w:szCs w:val="18"/>
              </w:rPr>
              <w:t>以公允价值计量且其 变动计入其他综合收 </w:t>
            </w:r>
            <w:r>
              <w:rPr>
                <w:rFonts w:ascii="宋体" w:hAnsi="宋体" w:cs="宋体" w:eastAsia="宋体" w:hint="default"/>
                <w:sz w:val="18"/>
                <w:szCs w:val="18"/>
              </w:rPr>
              <w:t>益</w:t>
            </w:r>
          </w:p>
        </w:tc>
        <w:tc>
          <w:tcPr>
            <w:tcW w:w="1772" w:type="dxa"/>
            <w:tcBorders>
              <w:top w:val="nil" w:sz="6" w:space="0" w:color="auto"/>
              <w:left w:val="single" w:sz="4" w:space="0" w:color="000000"/>
              <w:bottom w:val="nil" w:sz="6" w:space="0" w:color="auto"/>
              <w:right w:val="nil" w:sz="6" w:space="0" w:color="auto"/>
            </w:tcBorders>
          </w:tcPr>
          <w:p>
            <w:pPr/>
          </w:p>
        </w:tc>
      </w:tr>
      <w:tr>
        <w:trPr>
          <w:trHeight w:val="546" w:hRule="exact"/>
        </w:trPr>
        <w:tc>
          <w:tcPr>
            <w:tcW w:w="1344" w:type="dxa"/>
            <w:tcBorders>
              <w:top w:val="nil" w:sz="6" w:space="0" w:color="auto"/>
              <w:left w:val="nil" w:sz="6" w:space="0" w:color="auto"/>
              <w:bottom w:val="nil" w:sz="6" w:space="0" w:color="auto"/>
              <w:right w:val="single" w:sz="4" w:space="0" w:color="000000"/>
            </w:tcBorders>
          </w:tcPr>
          <w:p>
            <w:pPr/>
          </w:p>
        </w:tc>
        <w:tc>
          <w:tcPr>
            <w:tcW w:w="1392" w:type="dxa"/>
            <w:tcBorders>
              <w:top w:val="nil" w:sz="6" w:space="0" w:color="auto"/>
              <w:left w:val="single" w:sz="4" w:space="0" w:color="000000"/>
              <w:bottom w:val="nil" w:sz="6" w:space="0" w:color="auto"/>
              <w:right w:val="nil" w:sz="6" w:space="0" w:color="auto"/>
            </w:tcBorders>
          </w:tcPr>
          <w:p>
            <w:pPr/>
          </w:p>
        </w:tc>
        <w:tc>
          <w:tcPr>
            <w:tcW w:w="1400" w:type="dxa"/>
            <w:tcBorders>
              <w:top w:val="nil" w:sz="6" w:space="0" w:color="auto"/>
              <w:left w:val="nil" w:sz="6" w:space="0" w:color="auto"/>
              <w:bottom w:val="nil" w:sz="6" w:space="0" w:color="auto"/>
              <w:right w:val="single" w:sz="4" w:space="0" w:color="000000"/>
            </w:tcBorders>
          </w:tcPr>
          <w:p>
            <w:pPr/>
          </w:p>
        </w:tc>
        <w:tc>
          <w:tcPr>
            <w:tcW w:w="1263" w:type="dxa"/>
            <w:vMerge/>
            <w:tcBorders>
              <w:left w:val="single" w:sz="4" w:space="0" w:color="000000"/>
              <w:bottom w:val="nil" w:sz="6" w:space="0" w:color="auto"/>
              <w:right w:val="single" w:sz="4" w:space="0" w:color="000000"/>
            </w:tcBorders>
          </w:tcPr>
          <w:p>
            <w:pPr/>
          </w:p>
        </w:tc>
        <w:tc>
          <w:tcPr>
            <w:tcW w:w="1894" w:type="dxa"/>
            <w:vMerge/>
            <w:tcBorders>
              <w:left w:val="single" w:sz="4" w:space="0" w:color="000000"/>
              <w:bottom w:val="nil" w:sz="6" w:space="0" w:color="auto"/>
              <w:right w:val="single" w:sz="4" w:space="0" w:color="000000"/>
            </w:tcBorders>
          </w:tcPr>
          <w:p>
            <w:pPr/>
          </w:p>
        </w:tc>
        <w:tc>
          <w:tcPr>
            <w:tcW w:w="1772" w:type="dxa"/>
            <w:tcBorders>
              <w:top w:val="nil" w:sz="6" w:space="0" w:color="auto"/>
              <w:left w:val="single" w:sz="4" w:space="0" w:color="000000"/>
              <w:bottom w:val="nil" w:sz="6" w:space="0" w:color="auto"/>
              <w:right w:val="nil" w:sz="6" w:space="0" w:color="auto"/>
            </w:tcBorders>
          </w:tcPr>
          <w:p>
            <w:pPr>
              <w:pStyle w:val="TableParagraph"/>
              <w:spacing w:line="177" w:lineRule="exact"/>
              <w:ind w:right="113"/>
              <w:jc w:val="right"/>
              <w:rPr>
                <w:rFonts w:ascii="Times New Roman" w:hAnsi="Times New Roman" w:cs="Times New Roman" w:eastAsia="Times New Roman" w:hint="default"/>
                <w:sz w:val="18"/>
                <w:szCs w:val="18"/>
              </w:rPr>
            </w:pPr>
            <w:r>
              <w:rPr>
                <w:rFonts w:ascii="Times New Roman"/>
                <w:spacing w:val="-1"/>
                <w:sz w:val="18"/>
              </w:rPr>
              <w:t>13,290,691.98</w:t>
            </w:r>
          </w:p>
        </w:tc>
      </w:tr>
      <w:tr>
        <w:trPr>
          <w:trHeight w:val="261" w:hRule="exact"/>
        </w:trPr>
        <w:tc>
          <w:tcPr>
            <w:tcW w:w="1344" w:type="dxa"/>
            <w:tcBorders>
              <w:top w:val="nil" w:sz="6" w:space="0" w:color="auto"/>
              <w:left w:val="nil" w:sz="6" w:space="0" w:color="auto"/>
              <w:bottom w:val="nil" w:sz="6" w:space="0" w:color="auto"/>
              <w:right w:val="single" w:sz="4" w:space="0" w:color="000000"/>
            </w:tcBorders>
          </w:tcPr>
          <w:p>
            <w:pPr>
              <w:pStyle w:val="TableParagraph"/>
              <w:spacing w:line="240" w:lineRule="auto" w:before="15"/>
              <w:ind w:left="1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392" w:type="dxa"/>
            <w:tcBorders>
              <w:top w:val="nil" w:sz="6" w:space="0" w:color="auto"/>
              <w:left w:val="single" w:sz="4" w:space="0" w:color="000000"/>
              <w:bottom w:val="nil" w:sz="6" w:space="0" w:color="auto"/>
              <w:right w:val="nil" w:sz="6" w:space="0" w:color="auto"/>
            </w:tcBorders>
          </w:tcPr>
          <w:p>
            <w:pPr>
              <w:pStyle w:val="TableParagraph"/>
              <w:spacing w:line="240" w:lineRule="auto" w:before="15"/>
              <w:ind w:left="100"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400" w:type="dxa"/>
            <w:tcBorders>
              <w:top w:val="nil" w:sz="6" w:space="0" w:color="auto"/>
              <w:left w:val="nil" w:sz="6" w:space="0" w:color="auto"/>
              <w:bottom w:val="nil" w:sz="6" w:space="0" w:color="auto"/>
              <w:right w:val="single" w:sz="4" w:space="0" w:color="000000"/>
            </w:tcBorders>
          </w:tcPr>
          <w:p>
            <w:pPr>
              <w:pStyle w:val="TableParagraph"/>
              <w:spacing w:line="240" w:lineRule="auto" w:before="57"/>
              <w:ind w:right="101"/>
              <w:jc w:val="right"/>
              <w:rPr>
                <w:rFonts w:ascii="Times New Roman" w:hAnsi="Times New Roman" w:cs="Times New Roman" w:eastAsia="Times New Roman" w:hint="default"/>
                <w:sz w:val="18"/>
                <w:szCs w:val="18"/>
              </w:rPr>
            </w:pPr>
            <w:r>
              <w:rPr>
                <w:rFonts w:ascii="Times New Roman"/>
                <w:spacing w:val="-1"/>
                <w:sz w:val="18"/>
              </w:rPr>
              <w:t>2,847,213,574.22</w:t>
            </w:r>
          </w:p>
        </w:tc>
        <w:tc>
          <w:tcPr>
            <w:tcW w:w="1263" w:type="dxa"/>
            <w:tcBorders>
              <w:top w:val="nil" w:sz="6" w:space="0" w:color="auto"/>
              <w:left w:val="single" w:sz="4" w:space="0" w:color="000000"/>
              <w:bottom w:val="nil" w:sz="6" w:space="0" w:color="auto"/>
              <w:right w:val="single" w:sz="4" w:space="0" w:color="000000"/>
            </w:tcBorders>
          </w:tcPr>
          <w:p>
            <w:pPr>
              <w:pStyle w:val="TableParagraph"/>
              <w:spacing w:line="240" w:lineRule="auto" w:before="15"/>
              <w:ind w:left="10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894" w:type="dxa"/>
            <w:tcBorders>
              <w:top w:val="nil" w:sz="6" w:space="0" w:color="auto"/>
              <w:left w:val="single" w:sz="4" w:space="0" w:color="000000"/>
              <w:bottom w:val="nil" w:sz="6" w:space="0" w:color="auto"/>
              <w:right w:val="single" w:sz="4" w:space="0" w:color="000000"/>
            </w:tcBorders>
          </w:tcPr>
          <w:p>
            <w:pPr>
              <w:pStyle w:val="TableParagraph"/>
              <w:spacing w:line="240" w:lineRule="auto" w:before="15"/>
              <w:ind w:left="100"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772" w:type="dxa"/>
            <w:tcBorders>
              <w:top w:val="nil" w:sz="6" w:space="0" w:color="auto"/>
              <w:left w:val="single" w:sz="4" w:space="0" w:color="000000"/>
              <w:bottom w:val="nil" w:sz="6" w:space="0" w:color="auto"/>
              <w:right w:val="nil" w:sz="6" w:space="0" w:color="auto"/>
            </w:tcBorders>
          </w:tcPr>
          <w:p>
            <w:pPr>
              <w:pStyle w:val="TableParagraph"/>
              <w:spacing w:line="240" w:lineRule="auto" w:before="57"/>
              <w:ind w:right="106"/>
              <w:jc w:val="right"/>
              <w:rPr>
                <w:rFonts w:ascii="Times New Roman" w:hAnsi="Times New Roman" w:cs="Times New Roman" w:eastAsia="Times New Roman" w:hint="default"/>
                <w:sz w:val="18"/>
                <w:szCs w:val="18"/>
              </w:rPr>
            </w:pPr>
            <w:r>
              <w:rPr>
                <w:rFonts w:ascii="Times New Roman"/>
                <w:spacing w:val="-1"/>
                <w:sz w:val="18"/>
              </w:rPr>
              <w:t>2,824,162,916.27</w:t>
            </w:r>
          </w:p>
        </w:tc>
      </w:tr>
      <w:tr>
        <w:trPr>
          <w:trHeight w:val="68" w:hRule="exact"/>
        </w:trPr>
        <w:tc>
          <w:tcPr>
            <w:tcW w:w="1344" w:type="dxa"/>
            <w:tcBorders>
              <w:top w:val="nil" w:sz="6" w:space="0" w:color="auto"/>
              <w:left w:val="nil" w:sz="6" w:space="0" w:color="auto"/>
              <w:bottom w:val="nil" w:sz="6" w:space="0" w:color="auto"/>
              <w:right w:val="nil" w:sz="6" w:space="0" w:color="auto"/>
            </w:tcBorders>
          </w:tcPr>
          <w:p>
            <w:pPr/>
          </w:p>
        </w:tc>
        <w:tc>
          <w:tcPr>
            <w:tcW w:w="1392" w:type="dxa"/>
            <w:tcBorders>
              <w:top w:val="nil" w:sz="6" w:space="0" w:color="auto"/>
              <w:left w:val="nil" w:sz="6" w:space="0" w:color="auto"/>
              <w:bottom w:val="nil" w:sz="6" w:space="0" w:color="auto"/>
              <w:right w:val="nil" w:sz="6" w:space="0" w:color="auto"/>
            </w:tcBorders>
          </w:tcPr>
          <w:p>
            <w:pPr/>
          </w:p>
        </w:tc>
        <w:tc>
          <w:tcPr>
            <w:tcW w:w="1400" w:type="dxa"/>
            <w:tcBorders>
              <w:top w:val="nil" w:sz="6" w:space="0" w:color="auto"/>
              <w:left w:val="nil" w:sz="6" w:space="0" w:color="auto"/>
              <w:bottom w:val="nil" w:sz="6" w:space="0" w:color="auto"/>
              <w:right w:val="single" w:sz="4" w:space="0" w:color="000000"/>
            </w:tcBorders>
          </w:tcPr>
          <w:p>
            <w:pPr/>
          </w:p>
        </w:tc>
        <w:tc>
          <w:tcPr>
            <w:tcW w:w="1263" w:type="dxa"/>
            <w:tcBorders>
              <w:top w:val="nil" w:sz="6" w:space="0" w:color="auto"/>
              <w:left w:val="single" w:sz="4" w:space="0" w:color="000000"/>
              <w:bottom w:val="nil" w:sz="6" w:space="0" w:color="auto"/>
              <w:right w:val="single" w:sz="4" w:space="0" w:color="000000"/>
            </w:tcBorders>
          </w:tcPr>
          <w:p>
            <w:pPr/>
          </w:p>
        </w:tc>
        <w:tc>
          <w:tcPr>
            <w:tcW w:w="1894" w:type="dxa"/>
            <w:tcBorders>
              <w:top w:val="nil" w:sz="6" w:space="0" w:color="auto"/>
              <w:left w:val="single" w:sz="4" w:space="0" w:color="000000"/>
              <w:bottom w:val="nil" w:sz="6" w:space="0" w:color="auto"/>
              <w:right w:val="single" w:sz="4" w:space="0" w:color="000000"/>
            </w:tcBorders>
          </w:tcPr>
          <w:p>
            <w:pPr/>
          </w:p>
        </w:tc>
        <w:tc>
          <w:tcPr>
            <w:tcW w:w="1772" w:type="dxa"/>
            <w:tcBorders>
              <w:top w:val="nil" w:sz="6" w:space="0" w:color="auto"/>
              <w:left w:val="single" w:sz="4" w:space="0" w:color="000000"/>
              <w:bottom w:val="nil" w:sz="6" w:space="0" w:color="auto"/>
              <w:right w:val="nil" w:sz="6" w:space="0" w:color="auto"/>
            </w:tcBorders>
          </w:tcPr>
          <w:p>
            <w:pPr/>
          </w:p>
        </w:tc>
      </w:tr>
      <w:tr>
        <w:trPr>
          <w:trHeight w:val="254" w:hRule="exact"/>
        </w:trPr>
        <w:tc>
          <w:tcPr>
            <w:tcW w:w="1344" w:type="dxa"/>
            <w:tcBorders>
              <w:top w:val="nil" w:sz="6" w:space="0" w:color="auto"/>
              <w:left w:val="nil" w:sz="6" w:space="0" w:color="auto"/>
              <w:bottom w:val="nil" w:sz="6" w:space="0" w:color="auto"/>
              <w:right w:val="single" w:sz="4" w:space="0" w:color="000000"/>
            </w:tcBorders>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392" w:type="dxa"/>
            <w:tcBorders>
              <w:top w:val="nil" w:sz="6" w:space="0" w:color="auto"/>
              <w:left w:val="single" w:sz="4" w:space="0" w:color="000000"/>
              <w:bottom w:val="nil" w:sz="6" w:space="0" w:color="auto"/>
              <w:right w:val="nil" w:sz="6" w:space="0" w:color="auto"/>
            </w:tcBorders>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400" w:type="dxa"/>
            <w:tcBorders>
              <w:top w:val="nil" w:sz="6" w:space="0" w:color="auto"/>
              <w:left w:val="nil" w:sz="6" w:space="0" w:color="auto"/>
              <w:bottom w:val="nil" w:sz="6" w:space="0" w:color="auto"/>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55,982,635.30</w:t>
            </w:r>
          </w:p>
        </w:tc>
        <w:tc>
          <w:tcPr>
            <w:tcW w:w="1263"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894"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772" w:type="dxa"/>
            <w:tcBorders>
              <w:top w:val="nil" w:sz="6" w:space="0" w:color="auto"/>
              <w:left w:val="single" w:sz="4" w:space="0" w:color="000000"/>
              <w:bottom w:val="nil" w:sz="6" w:space="0" w:color="auto"/>
              <w:right w:val="nil" w:sz="6" w:space="0" w:color="auto"/>
            </w:tcBorders>
          </w:tcPr>
          <w:p>
            <w:pPr>
              <w:pStyle w:val="TableParagraph"/>
              <w:spacing w:line="240" w:lineRule="auto" w:before="51"/>
              <w:ind w:right="106"/>
              <w:jc w:val="right"/>
              <w:rPr>
                <w:rFonts w:ascii="Times New Roman" w:hAnsi="Times New Roman" w:cs="Times New Roman" w:eastAsia="Times New Roman" w:hint="default"/>
                <w:sz w:val="18"/>
                <w:szCs w:val="18"/>
              </w:rPr>
            </w:pPr>
            <w:r>
              <w:rPr>
                <w:rFonts w:ascii="Times New Roman"/>
                <w:spacing w:val="-1"/>
                <w:sz w:val="18"/>
              </w:rPr>
              <w:t>55,077,956.90</w:t>
            </w:r>
          </w:p>
        </w:tc>
      </w:tr>
      <w:tr>
        <w:trPr>
          <w:trHeight w:val="68" w:hRule="exact"/>
        </w:trPr>
        <w:tc>
          <w:tcPr>
            <w:tcW w:w="1344" w:type="dxa"/>
            <w:tcBorders>
              <w:top w:val="nil" w:sz="6" w:space="0" w:color="auto"/>
              <w:left w:val="nil" w:sz="6" w:space="0" w:color="auto"/>
              <w:bottom w:val="nil" w:sz="6" w:space="0" w:color="auto"/>
              <w:right w:val="nil" w:sz="6" w:space="0" w:color="auto"/>
            </w:tcBorders>
          </w:tcPr>
          <w:p>
            <w:pPr/>
          </w:p>
        </w:tc>
        <w:tc>
          <w:tcPr>
            <w:tcW w:w="1392" w:type="dxa"/>
            <w:tcBorders>
              <w:top w:val="nil" w:sz="6" w:space="0" w:color="auto"/>
              <w:left w:val="nil" w:sz="6" w:space="0" w:color="auto"/>
              <w:bottom w:val="nil" w:sz="6" w:space="0" w:color="auto"/>
              <w:right w:val="nil" w:sz="6" w:space="0" w:color="auto"/>
            </w:tcBorders>
          </w:tcPr>
          <w:p>
            <w:pPr/>
          </w:p>
        </w:tc>
        <w:tc>
          <w:tcPr>
            <w:tcW w:w="1400" w:type="dxa"/>
            <w:tcBorders>
              <w:top w:val="nil" w:sz="6" w:space="0" w:color="auto"/>
              <w:left w:val="nil" w:sz="6" w:space="0" w:color="auto"/>
              <w:bottom w:val="nil" w:sz="6" w:space="0" w:color="auto"/>
              <w:right w:val="single" w:sz="4" w:space="0" w:color="000000"/>
            </w:tcBorders>
          </w:tcPr>
          <w:p>
            <w:pPr/>
          </w:p>
        </w:tc>
        <w:tc>
          <w:tcPr>
            <w:tcW w:w="1263" w:type="dxa"/>
            <w:tcBorders>
              <w:top w:val="nil" w:sz="6" w:space="0" w:color="auto"/>
              <w:left w:val="single" w:sz="4" w:space="0" w:color="000000"/>
              <w:bottom w:val="nil" w:sz="6" w:space="0" w:color="auto"/>
              <w:right w:val="single" w:sz="4" w:space="0" w:color="000000"/>
            </w:tcBorders>
          </w:tcPr>
          <w:p>
            <w:pPr/>
          </w:p>
        </w:tc>
        <w:tc>
          <w:tcPr>
            <w:tcW w:w="1894" w:type="dxa"/>
            <w:tcBorders>
              <w:top w:val="nil" w:sz="6" w:space="0" w:color="auto"/>
              <w:left w:val="single" w:sz="4" w:space="0" w:color="000000"/>
              <w:bottom w:val="nil" w:sz="6" w:space="0" w:color="auto"/>
              <w:right w:val="single" w:sz="4" w:space="0" w:color="000000"/>
            </w:tcBorders>
          </w:tcPr>
          <w:p>
            <w:pPr/>
          </w:p>
        </w:tc>
        <w:tc>
          <w:tcPr>
            <w:tcW w:w="1772" w:type="dxa"/>
            <w:tcBorders>
              <w:top w:val="nil" w:sz="6" w:space="0" w:color="auto"/>
              <w:left w:val="single" w:sz="4" w:space="0" w:color="000000"/>
              <w:bottom w:val="nil" w:sz="6" w:space="0" w:color="auto"/>
              <w:right w:val="nil" w:sz="6" w:space="0" w:color="auto"/>
            </w:tcBorders>
          </w:tcPr>
          <w:p>
            <w:pPr/>
          </w:p>
        </w:tc>
      </w:tr>
      <w:tr>
        <w:trPr>
          <w:trHeight w:val="634" w:hRule="exact"/>
        </w:trPr>
        <w:tc>
          <w:tcPr>
            <w:tcW w:w="1344" w:type="dxa"/>
            <w:vMerge w:val="restart"/>
            <w:tcBorders>
              <w:top w:val="nil" w:sz="6" w:space="0" w:color="auto"/>
              <w:left w:val="nil" w:sz="6" w:space="0" w:color="auto"/>
              <w:right w:val="single" w:sz="4" w:space="0" w:color="000000"/>
            </w:tcBorders>
          </w:tcPr>
          <w:p>
            <w:pPr>
              <w:pStyle w:val="TableParagraph"/>
              <w:spacing w:line="240" w:lineRule="auto" w:before="1"/>
              <w:ind w:right="0"/>
              <w:jc w:val="left"/>
              <w:rPr>
                <w:rFonts w:ascii="宋体" w:hAnsi="宋体" w:cs="宋体" w:eastAsia="宋体" w:hint="default"/>
                <w:b/>
                <w:bCs/>
                <w:sz w:val="13"/>
                <w:szCs w:val="13"/>
              </w:rPr>
            </w:pPr>
          </w:p>
          <w:p>
            <w:pPr>
              <w:pStyle w:val="TableParagraph"/>
              <w:spacing w:line="316" w:lineRule="auto"/>
              <w:ind w:left="122" w:right="93"/>
              <w:jc w:val="left"/>
              <w:rPr>
                <w:rFonts w:ascii="宋体" w:hAnsi="宋体" w:cs="宋体" w:eastAsia="宋体" w:hint="default"/>
                <w:sz w:val="18"/>
                <w:szCs w:val="18"/>
              </w:rPr>
            </w:pPr>
            <w:r>
              <w:rPr>
                <w:rFonts w:ascii="宋体" w:hAnsi="宋体" w:cs="宋体" w:eastAsia="宋体" w:hint="default"/>
                <w:spacing w:val="7"/>
                <w:sz w:val="18"/>
                <w:szCs w:val="18"/>
              </w:rPr>
              <w:t>可供出售金融 </w:t>
            </w:r>
            <w:r>
              <w:rPr>
                <w:rFonts w:ascii="宋体" w:hAnsi="宋体" w:cs="宋体" w:eastAsia="宋体" w:hint="default"/>
                <w:sz w:val="18"/>
                <w:szCs w:val="18"/>
              </w:rPr>
              <w:t>资产</w:t>
            </w:r>
          </w:p>
          <w:p>
            <w:pPr>
              <w:pStyle w:val="TableParagraph"/>
              <w:spacing w:line="316" w:lineRule="auto" w:before="19"/>
              <w:ind w:left="122" w:right="93"/>
              <w:jc w:val="left"/>
              <w:rPr>
                <w:rFonts w:ascii="宋体" w:hAnsi="宋体" w:cs="宋体" w:eastAsia="宋体" w:hint="default"/>
                <w:sz w:val="18"/>
                <w:szCs w:val="18"/>
              </w:rPr>
            </w:pPr>
            <w:r>
              <w:rPr>
                <w:rFonts w:ascii="宋体" w:hAnsi="宋体" w:cs="宋体" w:eastAsia="宋体" w:hint="default"/>
                <w:spacing w:val="7"/>
                <w:sz w:val="18"/>
                <w:szCs w:val="18"/>
              </w:rPr>
              <w:t>（含其他流动 </w:t>
            </w:r>
            <w:r>
              <w:rPr>
                <w:rFonts w:ascii="宋体" w:hAnsi="宋体" w:cs="宋体" w:eastAsia="宋体" w:hint="default"/>
                <w:sz w:val="18"/>
                <w:szCs w:val="18"/>
              </w:rPr>
              <w:t>资产）</w:t>
            </w:r>
          </w:p>
        </w:tc>
        <w:tc>
          <w:tcPr>
            <w:tcW w:w="1392" w:type="dxa"/>
            <w:tcBorders>
              <w:top w:val="nil" w:sz="6" w:space="0" w:color="auto"/>
              <w:left w:val="single" w:sz="4" w:space="0" w:color="000000"/>
              <w:bottom w:val="nil" w:sz="6" w:space="0" w:color="auto"/>
              <w:right w:val="nil" w:sz="6" w:space="0" w:color="auto"/>
            </w:tcBorders>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pacing w:val="22"/>
                <w:sz w:val="18"/>
                <w:szCs w:val="18"/>
              </w:rPr>
              <w:t>以成本计量</w:t>
            </w:r>
            <w:r>
              <w:rPr>
                <w:rFonts w:ascii="宋体" w:hAnsi="宋体" w:cs="宋体" w:eastAsia="宋体" w:hint="default"/>
                <w:spacing w:val="-62"/>
                <w:sz w:val="18"/>
                <w:szCs w:val="18"/>
              </w:rPr>
              <w:t> </w:t>
            </w:r>
            <w:r>
              <w:rPr>
                <w:rFonts w:ascii="宋体" w:hAnsi="宋体" w:cs="宋体" w:eastAsia="宋体" w:hint="default"/>
                <w:sz w:val="18"/>
                <w:szCs w:val="18"/>
              </w:rPr>
            </w:r>
          </w:p>
          <w:p>
            <w:pPr>
              <w:pStyle w:val="TableParagraph"/>
              <w:spacing w:line="240" w:lineRule="auto" w:before="76"/>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银行理财</w:t>
            </w:r>
            <w:r>
              <w:rPr>
                <w:rFonts w:ascii="Times New Roman" w:hAnsi="Times New Roman" w:cs="Times New Roman" w:eastAsia="Times New Roman" w:hint="default"/>
                <w:sz w:val="18"/>
                <w:szCs w:val="18"/>
              </w:rPr>
              <w:t>)</w:t>
            </w:r>
          </w:p>
        </w:tc>
        <w:tc>
          <w:tcPr>
            <w:tcW w:w="1400" w:type="dxa"/>
            <w:tcBorders>
              <w:top w:val="nil" w:sz="6" w:space="0" w:color="auto"/>
              <w:left w:val="nil" w:sz="6" w:space="0" w:color="auto"/>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1,332,657,345.90</w:t>
            </w:r>
          </w:p>
        </w:tc>
        <w:tc>
          <w:tcPr>
            <w:tcW w:w="1263"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3" w:right="69"/>
              <w:jc w:val="left"/>
              <w:rPr>
                <w:rFonts w:ascii="宋体" w:hAnsi="宋体" w:cs="宋体" w:eastAsia="宋体" w:hint="default"/>
                <w:sz w:val="18"/>
                <w:szCs w:val="18"/>
              </w:rPr>
            </w:pPr>
            <w:r>
              <w:rPr>
                <w:rFonts w:ascii="宋体" w:hAnsi="宋体" w:cs="宋体" w:eastAsia="宋体" w:hint="default"/>
                <w:spacing w:val="28"/>
                <w:sz w:val="18"/>
                <w:szCs w:val="18"/>
              </w:rPr>
              <w:t>交易性金融</w:t>
            </w:r>
            <w:r>
              <w:rPr>
                <w:rFonts w:ascii="宋体" w:hAnsi="宋体" w:cs="宋体" w:eastAsia="宋体" w:hint="default"/>
                <w:spacing w:val="-86"/>
                <w:sz w:val="18"/>
                <w:szCs w:val="18"/>
              </w:rPr>
              <w:t> </w:t>
            </w:r>
            <w:r>
              <w:rPr>
                <w:rFonts w:ascii="宋体" w:hAnsi="宋体" w:cs="宋体" w:eastAsia="宋体" w:hint="default"/>
                <w:sz w:val="18"/>
                <w:szCs w:val="18"/>
              </w:rPr>
              <w:t>资产</w:t>
            </w:r>
          </w:p>
        </w:tc>
        <w:tc>
          <w:tcPr>
            <w:tcW w:w="1894"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0" w:right="96"/>
              <w:jc w:val="left"/>
              <w:rPr>
                <w:rFonts w:ascii="宋体" w:hAnsi="宋体" w:cs="宋体" w:eastAsia="宋体" w:hint="default"/>
                <w:sz w:val="18"/>
                <w:szCs w:val="18"/>
              </w:rPr>
            </w:pPr>
            <w:r>
              <w:rPr>
                <w:rFonts w:ascii="宋体" w:hAnsi="宋体" w:cs="宋体" w:eastAsia="宋体" w:hint="default"/>
                <w:spacing w:val="7"/>
                <w:sz w:val="18"/>
                <w:szCs w:val="18"/>
              </w:rPr>
              <w:t>以公允价值计量且其 </w:t>
            </w:r>
            <w:r>
              <w:rPr>
                <w:rFonts w:ascii="宋体" w:hAnsi="宋体" w:cs="宋体" w:eastAsia="宋体" w:hint="default"/>
                <w:sz w:val="18"/>
                <w:szCs w:val="18"/>
              </w:rPr>
              <w:t>变动计入当期损益</w:t>
            </w:r>
          </w:p>
        </w:tc>
        <w:tc>
          <w:tcPr>
            <w:tcW w:w="1772" w:type="dxa"/>
            <w:tcBorders>
              <w:top w:val="nil" w:sz="6" w:space="0" w:color="auto"/>
              <w:left w:val="single" w:sz="4" w:space="0" w:color="000000"/>
              <w:bottom w:val="nil" w:sz="6" w:space="0" w:color="auto"/>
              <w:right w:val="nil" w:sz="6" w:space="0" w:color="auto"/>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1,332,657,345.90</w:t>
            </w:r>
          </w:p>
        </w:tc>
      </w:tr>
      <w:tr>
        <w:trPr>
          <w:trHeight w:val="941" w:hRule="exact"/>
        </w:trPr>
        <w:tc>
          <w:tcPr>
            <w:tcW w:w="1344" w:type="dxa"/>
            <w:vMerge/>
            <w:tcBorders>
              <w:left w:val="nil" w:sz="6" w:space="0" w:color="auto"/>
              <w:bottom w:val="nil" w:sz="6" w:space="0" w:color="auto"/>
              <w:right w:val="single" w:sz="4" w:space="0" w:color="000000"/>
            </w:tcBorders>
          </w:tcPr>
          <w:p>
            <w:pPr/>
          </w:p>
        </w:tc>
        <w:tc>
          <w:tcPr>
            <w:tcW w:w="1392" w:type="dxa"/>
            <w:tcBorders>
              <w:top w:val="nil" w:sz="6" w:space="0" w:color="auto"/>
              <w:left w:val="single" w:sz="4" w:space="0" w:color="000000"/>
              <w:bottom w:val="nil" w:sz="6" w:space="0" w:color="auto"/>
              <w:right w:val="nil" w:sz="6" w:space="0" w:color="auto"/>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pacing w:val="22"/>
                <w:sz w:val="18"/>
                <w:szCs w:val="18"/>
              </w:rPr>
              <w:t>以成本计量</w:t>
            </w:r>
            <w:r>
              <w:rPr>
                <w:rFonts w:ascii="宋体" w:hAnsi="宋体" w:cs="宋体" w:eastAsia="宋体" w:hint="default"/>
                <w:spacing w:val="-62"/>
                <w:sz w:val="18"/>
                <w:szCs w:val="18"/>
              </w:rPr>
              <w:t> </w:t>
            </w:r>
            <w:r>
              <w:rPr>
                <w:rFonts w:ascii="宋体" w:hAnsi="宋体" w:cs="宋体" w:eastAsia="宋体" w:hint="default"/>
                <w:sz w:val="18"/>
                <w:szCs w:val="18"/>
              </w:rPr>
            </w:r>
          </w:p>
          <w:p>
            <w:pPr>
              <w:pStyle w:val="TableParagraph"/>
              <w:spacing w:line="240" w:lineRule="auto" w:before="76"/>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权益工具</w:t>
            </w:r>
            <w:r>
              <w:rPr>
                <w:rFonts w:ascii="Times New Roman" w:hAnsi="Times New Roman" w:cs="Times New Roman" w:eastAsia="Times New Roman" w:hint="default"/>
                <w:sz w:val="18"/>
                <w:szCs w:val="18"/>
              </w:rPr>
              <w:t>)</w:t>
            </w:r>
          </w:p>
        </w:tc>
        <w:tc>
          <w:tcPr>
            <w:tcW w:w="1400" w:type="dxa"/>
            <w:tcBorders>
              <w:top w:val="nil" w:sz="6" w:space="0" w:color="auto"/>
              <w:left w:val="nil" w:sz="6" w:space="0" w:color="auto"/>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101"/>
              <w:jc w:val="right"/>
              <w:rPr>
                <w:rFonts w:ascii="Times New Roman" w:hAnsi="Times New Roman" w:cs="Times New Roman" w:eastAsia="Times New Roman" w:hint="default"/>
                <w:sz w:val="18"/>
                <w:szCs w:val="18"/>
              </w:rPr>
            </w:pPr>
            <w:r>
              <w:rPr>
                <w:rFonts w:ascii="Times New Roman"/>
                <w:spacing w:val="-1"/>
                <w:sz w:val="18"/>
              </w:rPr>
              <w:t>39,362,000.00</w:t>
            </w:r>
          </w:p>
        </w:tc>
        <w:tc>
          <w:tcPr>
            <w:tcW w:w="1263"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316" w:lineRule="auto"/>
              <w:ind w:left="103" w:right="69"/>
              <w:jc w:val="left"/>
              <w:rPr>
                <w:rFonts w:ascii="宋体" w:hAnsi="宋体" w:cs="宋体" w:eastAsia="宋体" w:hint="default"/>
                <w:sz w:val="18"/>
                <w:szCs w:val="18"/>
              </w:rPr>
            </w:pPr>
            <w:r>
              <w:rPr>
                <w:rFonts w:ascii="宋体" w:hAnsi="宋体" w:cs="宋体" w:eastAsia="宋体" w:hint="default"/>
                <w:spacing w:val="28"/>
                <w:sz w:val="18"/>
                <w:szCs w:val="18"/>
              </w:rPr>
              <w:t>其他权益工</w:t>
            </w:r>
            <w:r>
              <w:rPr>
                <w:rFonts w:ascii="宋体" w:hAnsi="宋体" w:cs="宋体" w:eastAsia="宋体" w:hint="default"/>
                <w:spacing w:val="-86"/>
                <w:sz w:val="18"/>
                <w:szCs w:val="18"/>
              </w:rPr>
              <w:t> </w:t>
            </w:r>
            <w:r>
              <w:rPr>
                <w:rFonts w:ascii="宋体" w:hAnsi="宋体" w:cs="宋体" w:eastAsia="宋体" w:hint="default"/>
                <w:sz w:val="18"/>
                <w:szCs w:val="18"/>
              </w:rPr>
              <w:t>具投资</w:t>
            </w:r>
          </w:p>
        </w:tc>
        <w:tc>
          <w:tcPr>
            <w:tcW w:w="1894"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0" w:right="96"/>
              <w:jc w:val="both"/>
              <w:rPr>
                <w:rFonts w:ascii="宋体" w:hAnsi="宋体" w:cs="宋体" w:eastAsia="宋体" w:hint="default"/>
                <w:sz w:val="18"/>
                <w:szCs w:val="18"/>
              </w:rPr>
            </w:pPr>
            <w:r>
              <w:rPr>
                <w:rFonts w:ascii="宋体" w:hAnsi="宋体" w:cs="宋体" w:eastAsia="宋体" w:hint="default"/>
                <w:spacing w:val="7"/>
                <w:sz w:val="18"/>
                <w:szCs w:val="18"/>
              </w:rPr>
              <w:t>以公允价值计量且其 变动计入其他综合收 </w:t>
            </w:r>
            <w:r>
              <w:rPr>
                <w:rFonts w:ascii="宋体" w:hAnsi="宋体" w:cs="宋体" w:eastAsia="宋体" w:hint="default"/>
                <w:sz w:val="18"/>
                <w:szCs w:val="18"/>
              </w:rPr>
              <w:t>益</w:t>
            </w:r>
          </w:p>
        </w:tc>
        <w:tc>
          <w:tcPr>
            <w:tcW w:w="1772" w:type="dxa"/>
            <w:tcBorders>
              <w:top w:val="nil" w:sz="6" w:space="0" w:color="auto"/>
              <w:left w:val="single" w:sz="4" w:space="0" w:color="000000"/>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113"/>
              <w:jc w:val="right"/>
              <w:rPr>
                <w:rFonts w:ascii="Times New Roman" w:hAnsi="Times New Roman" w:cs="Times New Roman" w:eastAsia="Times New Roman" w:hint="default"/>
                <w:sz w:val="18"/>
                <w:szCs w:val="18"/>
              </w:rPr>
            </w:pPr>
            <w:r>
              <w:rPr>
                <w:rFonts w:ascii="Times New Roman"/>
                <w:spacing w:val="-1"/>
                <w:sz w:val="18"/>
              </w:rPr>
              <w:t>39,362,000.00</w:t>
            </w:r>
          </w:p>
        </w:tc>
      </w:tr>
      <w:tr>
        <w:trPr>
          <w:trHeight w:val="333" w:hRule="exact"/>
        </w:trPr>
        <w:tc>
          <w:tcPr>
            <w:tcW w:w="1344" w:type="dxa"/>
            <w:tcBorders>
              <w:top w:val="nil" w:sz="6" w:space="0" w:color="auto"/>
              <w:left w:val="nil" w:sz="6" w:space="0" w:color="auto"/>
              <w:bottom w:val="single" w:sz="12" w:space="0" w:color="000000"/>
              <w:right w:val="single" w:sz="4" w:space="0" w:color="000000"/>
            </w:tcBorders>
          </w:tcPr>
          <w:p>
            <w:pPr>
              <w:pStyle w:val="TableParagraph"/>
              <w:spacing w:line="240" w:lineRule="auto" w:before="15"/>
              <w:ind w:left="12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1392" w:type="dxa"/>
            <w:tcBorders>
              <w:top w:val="nil" w:sz="6" w:space="0" w:color="auto"/>
              <w:left w:val="single" w:sz="4" w:space="0" w:color="000000"/>
              <w:bottom w:val="single" w:sz="12" w:space="0" w:color="000000"/>
              <w:right w:val="nil" w:sz="6" w:space="0" w:color="auto"/>
            </w:tcBorders>
          </w:tcPr>
          <w:p>
            <w:pPr>
              <w:pStyle w:val="TableParagraph"/>
              <w:spacing w:line="240" w:lineRule="auto" w:before="15"/>
              <w:ind w:left="100"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400" w:type="dxa"/>
            <w:tcBorders>
              <w:top w:val="nil" w:sz="6" w:space="0" w:color="auto"/>
              <w:left w:val="nil" w:sz="6" w:space="0" w:color="auto"/>
              <w:bottom w:val="single" w:sz="12" w:space="0" w:color="000000"/>
              <w:right w:val="single" w:sz="4" w:space="0" w:color="000000"/>
            </w:tcBorders>
          </w:tcPr>
          <w:p>
            <w:pPr>
              <w:pStyle w:val="TableParagraph"/>
              <w:spacing w:line="240" w:lineRule="auto" w:before="57"/>
              <w:ind w:right="101"/>
              <w:jc w:val="right"/>
              <w:rPr>
                <w:rFonts w:ascii="Times New Roman" w:hAnsi="Times New Roman" w:cs="Times New Roman" w:eastAsia="Times New Roman" w:hint="default"/>
                <w:sz w:val="18"/>
                <w:szCs w:val="18"/>
              </w:rPr>
            </w:pPr>
            <w:r>
              <w:rPr>
                <w:rFonts w:ascii="Times New Roman"/>
                <w:spacing w:val="-1"/>
                <w:sz w:val="18"/>
              </w:rPr>
              <w:t>6,038,763.14</w:t>
            </w:r>
          </w:p>
        </w:tc>
        <w:tc>
          <w:tcPr>
            <w:tcW w:w="1263"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5"/>
              <w:ind w:left="103"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1894"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5"/>
              <w:ind w:left="100"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772" w:type="dxa"/>
            <w:tcBorders>
              <w:top w:val="nil" w:sz="6" w:space="0" w:color="auto"/>
              <w:left w:val="single" w:sz="4" w:space="0" w:color="000000"/>
              <w:bottom w:val="single" w:sz="12" w:space="0" w:color="000000"/>
              <w:right w:val="nil" w:sz="6" w:space="0" w:color="auto"/>
            </w:tcBorders>
          </w:tcPr>
          <w:p>
            <w:pPr>
              <w:pStyle w:val="TableParagraph"/>
              <w:spacing w:line="240" w:lineRule="auto" w:before="57"/>
              <w:ind w:right="105"/>
              <w:jc w:val="right"/>
              <w:rPr>
                <w:rFonts w:ascii="Times New Roman" w:hAnsi="Times New Roman" w:cs="Times New Roman" w:eastAsia="Times New Roman" w:hint="default"/>
                <w:sz w:val="18"/>
                <w:szCs w:val="18"/>
              </w:rPr>
            </w:pPr>
            <w:r>
              <w:rPr>
                <w:rFonts w:ascii="Times New Roman"/>
                <w:spacing w:val="-1"/>
                <w:sz w:val="18"/>
              </w:rPr>
              <w:t>6,038,763.14</w:t>
            </w:r>
          </w:p>
        </w:tc>
      </w:tr>
    </w:tbl>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7"/>
          <w:szCs w:val="17"/>
        </w:rPr>
      </w:pPr>
    </w:p>
    <w:p>
      <w:pPr>
        <w:pStyle w:val="Heading3"/>
        <w:spacing w:line="240" w:lineRule="auto" w:before="0"/>
        <w:ind w:left="1497" w:right="0"/>
        <w:jc w:val="left"/>
        <w:rPr>
          <w:b w:val="0"/>
          <w:bCs w:val="0"/>
        </w:rPr>
      </w:pPr>
      <w:r>
        <w:rPr/>
        <w:pict>
          <v:shape style="position:absolute;margin-left:124.699997pt;margin-top:-26.376316pt;width:.48002pt;height:.24pt;mso-position-horizontal-relative:page;mso-position-vertical-relative:paragraph;z-index:-1318840" type="#_x0000_t75" stroked="false">
            <v:imagedata r:id="rId91" o:title=""/>
          </v:shape>
        </w:pict>
      </w:r>
      <w:r>
        <w:rPr/>
        <w:pict>
          <v:shape style="position:absolute;margin-left:265.609985pt;margin-top:16.823673pt;width:.48001pt;height:.12pt;mso-position-horizontal-relative:page;mso-position-vertical-relative:paragraph;z-index:-1318816" type="#_x0000_t75" stroked="false">
            <v:imagedata r:id="rId91" o:title=""/>
          </v:shape>
        </w:pict>
      </w:r>
      <w:r>
        <w:rPr/>
        <w:pict>
          <v:group style="position:absolute;margin-left:58.799999pt;margin-top:32.303673pt;width:451.8pt;height:.6pt;mso-position-horizontal-relative:page;mso-position-vertical-relative:paragraph;z-index:-1318792" coordorigin="1176,646" coordsize="9036,12">
            <v:shape style="position:absolute;left:1176;top:648;width:1330;height:10" type="#_x0000_t75" stroked="false">
              <v:imagedata r:id="rId118" o:title=""/>
            </v:shape>
            <v:shape style="position:absolute;left:2501;top:648;width:1327;height:10" type="#_x0000_t75" stroked="false">
              <v:imagedata r:id="rId119" o:title=""/>
            </v:shape>
            <v:shape style="position:absolute;left:3824;top:646;width:1498;height:12" type="#_x0000_t75" stroked="false">
              <v:imagedata r:id="rId120" o:title=""/>
            </v:shape>
            <v:shape style="position:absolute;left:5307;top:648;width:1270;height:10" type="#_x0000_t75" stroked="false">
              <v:imagedata r:id="rId117" o:title=""/>
            </v:shape>
            <v:shape style="position:absolute;left:6573;top:648;width:2083;height:10" type="#_x0000_t75" stroked="false">
              <v:imagedata r:id="rId121" o:title=""/>
            </v:shape>
            <v:shape style="position:absolute;left:8651;top:648;width:1561;height:10" type="#_x0000_t75" stroked="false">
              <v:imagedata r:id="rId122" o:title=""/>
            </v:shape>
            <w10:wrap type="none"/>
          </v:group>
        </w:pict>
      </w:r>
      <w:r>
        <w:rPr/>
        <w:pict>
          <v:group style="position:absolute;margin-left:58.799999pt;margin-top:48.523693pt;width:451.8pt;height:.5pt;mso-position-horizontal-relative:page;mso-position-vertical-relative:paragraph;z-index:-1318768" coordorigin="1176,970" coordsize="9036,10">
            <v:shape style="position:absolute;left:1176;top:970;width:1330;height:10" type="#_x0000_t75" stroked="false">
              <v:imagedata r:id="rId118" o:title=""/>
            </v:shape>
            <v:shape style="position:absolute;left:2501;top:970;width:1327;height:10" type="#_x0000_t75" stroked="false">
              <v:imagedata r:id="rId119" o:title=""/>
            </v:shape>
            <v:shape style="position:absolute;left:3824;top:970;width:1489;height:10" type="#_x0000_t75" stroked="false">
              <v:imagedata r:id="rId123" o:title=""/>
            </v:shape>
            <v:shape style="position:absolute;left:5307;top:970;width:1270;height:10" type="#_x0000_t75" stroked="false">
              <v:imagedata r:id="rId117" o:title=""/>
            </v:shape>
            <v:shape style="position:absolute;left:6573;top:970;width:2083;height:10" type="#_x0000_t75" stroked="false">
              <v:imagedata r:id="rId121" o:title=""/>
            </v:shape>
            <v:shape style="position:absolute;left:8651;top:970;width:1561;height:10" type="#_x0000_t75" stroked="false">
              <v:imagedata r:id="rId122" o:title=""/>
            </v:shape>
            <w10:wrap type="none"/>
          </v:group>
        </w:pict>
      </w:r>
      <w:r>
        <w:rPr/>
        <w:pict>
          <v:group style="position:absolute;margin-left:58.799999pt;margin-top:64.723663pt;width:451.8pt;height:.5pt;mso-position-horizontal-relative:page;mso-position-vertical-relative:paragraph;z-index:-1318744" coordorigin="1176,1294" coordsize="9036,10">
            <v:shape style="position:absolute;left:1176;top:1294;width:1330;height:10" type="#_x0000_t75" stroked="false">
              <v:imagedata r:id="rId118" o:title=""/>
            </v:shape>
            <v:shape style="position:absolute;left:2501;top:1294;width:1327;height:10" type="#_x0000_t75" stroked="false">
              <v:imagedata r:id="rId124" o:title=""/>
            </v:shape>
            <v:shape style="position:absolute;left:3824;top:1294;width:1489;height:10" type="#_x0000_t75" stroked="false">
              <v:imagedata r:id="rId125" o:title=""/>
            </v:shape>
            <v:shape style="position:absolute;left:5307;top:1294;width:1270;height:10" type="#_x0000_t75" stroked="false">
              <v:imagedata r:id="rId94" o:title=""/>
            </v:shape>
            <v:shape style="position:absolute;left:6573;top:1294;width:2083;height:10" type="#_x0000_t75" stroked="false">
              <v:imagedata r:id="rId126" o:title=""/>
            </v:shape>
            <v:shape style="position:absolute;left:8651;top:1294;width:1561;height:10" type="#_x0000_t75" stroked="false">
              <v:imagedata r:id="rId127" o:title=""/>
            </v:shape>
            <w10:wrap type="none"/>
          </v:group>
        </w:pict>
      </w:r>
      <w:r>
        <w:rPr/>
        <w:pict>
          <v:shape style="position:absolute;margin-left:125.300003pt;margin-top:80.563683pt;width:.48002pt;height:.24pt;mso-position-horizontal-relative:page;mso-position-vertical-relative:paragraph;z-index:-1318720" type="#_x0000_t75" stroked="false">
            <v:imagedata r:id="rId128" o:title=""/>
          </v:shape>
        </w:pict>
      </w:r>
      <w:r>
        <w:rPr/>
        <w:pict>
          <v:group style="position:absolute;margin-left:265.369995pt;margin-top:75.763680pt;width:245.25pt;height:5.55pt;mso-position-horizontal-relative:page;mso-position-vertical-relative:paragraph;z-index:-1318696" coordorigin="5307,1515" coordsize="4905,111">
            <v:shape style="position:absolute;left:5307;top:1515;width:1289;height:110" type="#_x0000_t75" stroked="false">
              <v:imagedata r:id="rId129" o:title=""/>
            </v:shape>
            <v:shape style="position:absolute;left:6573;top:1611;width:2093;height:14" type="#_x0000_t75" stroked="false">
              <v:imagedata r:id="rId130" o:title=""/>
            </v:shape>
            <v:shape style="position:absolute;left:8651;top:1616;width:1561;height:10" type="#_x0000_t75" stroked="false">
              <v:imagedata r:id="rId122" o:title=""/>
            </v:shape>
            <w10:wrap type="none"/>
          </v:group>
        </w:pict>
      </w:r>
      <w:r>
        <w:rPr/>
        <w:t>母公司</w:t>
      </w:r>
      <w:r>
        <w:rPr>
          <w:b w:val="0"/>
          <w:bCs w:val="0"/>
        </w:rPr>
      </w:r>
    </w:p>
    <w:tbl>
      <w:tblPr>
        <w:tblW w:w="0" w:type="auto"/>
        <w:jc w:val="left"/>
        <w:tblInd w:w="136" w:type="dxa"/>
        <w:tblLayout w:type="fixed"/>
        <w:tblCellMar>
          <w:top w:w="0" w:type="dxa"/>
          <w:left w:w="0" w:type="dxa"/>
          <w:bottom w:w="0" w:type="dxa"/>
          <w:right w:w="0" w:type="dxa"/>
        </w:tblCellMar>
        <w:tblLook w:val="01E0"/>
      </w:tblPr>
      <w:tblGrid>
        <w:gridCol w:w="1335"/>
        <w:gridCol w:w="1363"/>
        <w:gridCol w:w="1443"/>
        <w:gridCol w:w="1265"/>
        <w:gridCol w:w="2078"/>
        <w:gridCol w:w="1551"/>
      </w:tblGrid>
      <w:tr>
        <w:trPr>
          <w:trHeight w:val="336" w:hRule="exact"/>
        </w:trPr>
        <w:tc>
          <w:tcPr>
            <w:tcW w:w="1335" w:type="dxa"/>
            <w:tcBorders>
              <w:top w:val="single" w:sz="12" w:space="0" w:color="000000"/>
              <w:left w:val="nil" w:sz="6" w:space="0" w:color="auto"/>
              <w:bottom w:val="nil" w:sz="6" w:space="0" w:color="auto"/>
              <w:right w:val="nil" w:sz="6" w:space="0" w:color="auto"/>
            </w:tcBorders>
          </w:tcPr>
          <w:p>
            <w:pPr/>
          </w:p>
        </w:tc>
        <w:tc>
          <w:tcPr>
            <w:tcW w:w="1363" w:type="dxa"/>
            <w:tcBorders>
              <w:top w:val="single" w:sz="12" w:space="0" w:color="000000"/>
              <w:left w:val="nil" w:sz="6" w:space="0" w:color="auto"/>
              <w:bottom w:val="nil" w:sz="6" w:space="0" w:color="auto"/>
              <w:right w:val="nil" w:sz="6" w:space="0" w:color="auto"/>
            </w:tcBorders>
          </w:tcPr>
          <w:p>
            <w:pPr>
              <w:pStyle w:val="TableParagraph"/>
              <w:spacing w:line="240" w:lineRule="auto" w:before="20"/>
              <w:ind w:left="103" w:right="0"/>
              <w:jc w:val="left"/>
              <w:rPr>
                <w:rFonts w:ascii="宋体" w:hAnsi="宋体" w:cs="宋体" w:eastAsia="宋体" w:hint="default"/>
                <w:sz w:val="18"/>
                <w:szCs w:val="18"/>
              </w:rPr>
            </w:pPr>
            <w:r>
              <w:rPr>
                <w:rFonts w:ascii="宋体" w:hAnsi="宋体" w:cs="宋体" w:eastAsia="宋体" w:hint="default"/>
                <w:sz w:val="18"/>
                <w:szCs w:val="18"/>
              </w:rPr>
              <w:t>原金融工具准则</w:t>
            </w:r>
          </w:p>
        </w:tc>
        <w:tc>
          <w:tcPr>
            <w:tcW w:w="1443" w:type="dxa"/>
            <w:tcBorders>
              <w:top w:val="single" w:sz="12" w:space="0" w:color="000000"/>
              <w:left w:val="nil" w:sz="6" w:space="0" w:color="auto"/>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b/>
                <w:bCs/>
                <w:sz w:val="24"/>
                <w:szCs w:val="24"/>
              </w:rPr>
            </w:pPr>
          </w:p>
        </w:tc>
        <w:tc>
          <w:tcPr>
            <w:tcW w:w="1265" w:type="dxa"/>
            <w:tcBorders>
              <w:top w:val="single" w:sz="12" w:space="0" w:color="000000"/>
              <w:left w:val="single" w:sz="4" w:space="0" w:color="000000"/>
              <w:bottom w:val="nil" w:sz="6" w:space="0" w:color="auto"/>
              <w:right w:val="nil" w:sz="6" w:space="0" w:color="auto"/>
            </w:tcBorders>
          </w:tcPr>
          <w:p>
            <w:pPr>
              <w:pStyle w:val="TableParagraph"/>
              <w:spacing w:line="240" w:lineRule="auto" w:before="8"/>
              <w:ind w:right="0"/>
              <w:jc w:val="left"/>
              <w:rPr>
                <w:rFonts w:ascii="宋体" w:hAnsi="宋体" w:cs="宋体" w:eastAsia="宋体" w:hint="default"/>
                <w:b/>
                <w:bCs/>
                <w:sz w:val="24"/>
                <w:szCs w:val="24"/>
              </w:rPr>
            </w:pPr>
          </w:p>
        </w:tc>
        <w:tc>
          <w:tcPr>
            <w:tcW w:w="2078" w:type="dxa"/>
            <w:tcBorders>
              <w:top w:val="single" w:sz="12" w:space="0" w:color="000000"/>
              <w:left w:val="nil" w:sz="6" w:space="0" w:color="auto"/>
              <w:bottom w:val="nil" w:sz="6" w:space="0" w:color="auto"/>
              <w:right w:val="nil" w:sz="6" w:space="0" w:color="auto"/>
            </w:tcBorders>
          </w:tcPr>
          <w:p>
            <w:pPr>
              <w:pStyle w:val="TableParagraph"/>
              <w:spacing w:line="240" w:lineRule="auto" w:before="20"/>
              <w:ind w:left="324" w:right="0"/>
              <w:jc w:val="left"/>
              <w:rPr>
                <w:rFonts w:ascii="宋体" w:hAnsi="宋体" w:cs="宋体" w:eastAsia="宋体" w:hint="default"/>
                <w:sz w:val="18"/>
                <w:szCs w:val="18"/>
              </w:rPr>
            </w:pPr>
            <w:r>
              <w:rPr>
                <w:rFonts w:ascii="宋体" w:hAnsi="宋体" w:cs="宋体" w:eastAsia="宋体" w:hint="default"/>
                <w:sz w:val="18"/>
                <w:szCs w:val="18"/>
              </w:rPr>
              <w:t>新金融工具准则</w:t>
            </w:r>
          </w:p>
        </w:tc>
        <w:tc>
          <w:tcPr>
            <w:tcW w:w="1551" w:type="dxa"/>
            <w:tcBorders>
              <w:top w:val="single" w:sz="12" w:space="0" w:color="000000"/>
              <w:left w:val="nil" w:sz="6" w:space="0" w:color="auto"/>
              <w:bottom w:val="nil" w:sz="6" w:space="0" w:color="auto"/>
              <w:right w:val="nil" w:sz="6" w:space="0" w:color="auto"/>
            </w:tcBorders>
          </w:tcPr>
          <w:p>
            <w:pPr/>
          </w:p>
        </w:tc>
      </w:tr>
      <w:tr>
        <w:trPr>
          <w:trHeight w:val="316" w:hRule="exact"/>
        </w:trPr>
        <w:tc>
          <w:tcPr>
            <w:tcW w:w="1335" w:type="dxa"/>
            <w:tcBorders>
              <w:top w:val="nil" w:sz="6" w:space="0" w:color="auto"/>
              <w:left w:val="nil" w:sz="6" w:space="0" w:color="auto"/>
              <w:bottom w:val="nil" w:sz="6" w:space="0" w:color="auto"/>
              <w:right w:val="single" w:sz="4" w:space="0" w:color="000000"/>
            </w:tcBorders>
          </w:tcPr>
          <w:p>
            <w:pPr>
              <w:pStyle w:val="TableParagraph"/>
              <w:spacing w:line="240" w:lineRule="auto" w:before="20"/>
              <w:ind w:left="307" w:right="0"/>
              <w:jc w:val="left"/>
              <w:rPr>
                <w:rFonts w:ascii="宋体" w:hAnsi="宋体" w:cs="宋体" w:eastAsia="宋体" w:hint="default"/>
                <w:sz w:val="18"/>
                <w:szCs w:val="18"/>
              </w:rPr>
            </w:pPr>
            <w:r>
              <w:rPr>
                <w:rFonts w:ascii="宋体" w:hAnsi="宋体" w:cs="宋体" w:eastAsia="宋体" w:hint="default"/>
                <w:sz w:val="18"/>
                <w:szCs w:val="18"/>
              </w:rPr>
              <w:t>列报项目</w:t>
            </w:r>
          </w:p>
        </w:tc>
        <w:tc>
          <w:tcPr>
            <w:tcW w:w="1363"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295" w:right="0"/>
              <w:jc w:val="left"/>
              <w:rPr>
                <w:rFonts w:ascii="宋体" w:hAnsi="宋体" w:cs="宋体" w:eastAsia="宋体" w:hint="default"/>
                <w:sz w:val="18"/>
                <w:szCs w:val="18"/>
              </w:rPr>
            </w:pPr>
            <w:r>
              <w:rPr>
                <w:rFonts w:ascii="宋体" w:hAnsi="宋体" w:cs="宋体" w:eastAsia="宋体" w:hint="default"/>
                <w:sz w:val="18"/>
                <w:szCs w:val="18"/>
              </w:rPr>
              <w:t>计量类别</w:t>
            </w:r>
          </w:p>
        </w:tc>
        <w:tc>
          <w:tcPr>
            <w:tcW w:w="1443"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374"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265"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266" w:right="0"/>
              <w:jc w:val="left"/>
              <w:rPr>
                <w:rFonts w:ascii="宋体" w:hAnsi="宋体" w:cs="宋体" w:eastAsia="宋体" w:hint="default"/>
                <w:sz w:val="18"/>
                <w:szCs w:val="18"/>
              </w:rPr>
            </w:pPr>
            <w:r>
              <w:rPr>
                <w:rFonts w:ascii="宋体" w:hAnsi="宋体" w:cs="宋体" w:eastAsia="宋体" w:hint="default"/>
                <w:sz w:val="18"/>
                <w:szCs w:val="18"/>
              </w:rPr>
              <w:t>列报项目</w:t>
            </w:r>
          </w:p>
        </w:tc>
        <w:tc>
          <w:tcPr>
            <w:tcW w:w="2078"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674" w:right="0"/>
              <w:jc w:val="left"/>
              <w:rPr>
                <w:rFonts w:ascii="宋体" w:hAnsi="宋体" w:cs="宋体" w:eastAsia="宋体" w:hint="default"/>
                <w:sz w:val="18"/>
                <w:szCs w:val="18"/>
              </w:rPr>
            </w:pPr>
            <w:r>
              <w:rPr>
                <w:rFonts w:ascii="宋体" w:hAnsi="宋体" w:cs="宋体" w:eastAsia="宋体" w:hint="default"/>
                <w:sz w:val="18"/>
                <w:szCs w:val="18"/>
              </w:rPr>
              <w:t>计量类别</w:t>
            </w:r>
          </w:p>
        </w:tc>
        <w:tc>
          <w:tcPr>
            <w:tcW w:w="1551" w:type="dxa"/>
            <w:tcBorders>
              <w:top w:val="nil" w:sz="6" w:space="0" w:color="auto"/>
              <w:left w:val="single" w:sz="4" w:space="0" w:color="000000"/>
              <w:bottom w:val="nil" w:sz="6" w:space="0" w:color="auto"/>
              <w:right w:val="nil" w:sz="6" w:space="0" w:color="auto"/>
            </w:tcBorders>
          </w:tcPr>
          <w:p>
            <w:pPr>
              <w:pStyle w:val="TableParagraph"/>
              <w:spacing w:line="240" w:lineRule="auto" w:before="20"/>
              <w:ind w:left="41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328" w:hRule="exact"/>
        </w:trPr>
        <w:tc>
          <w:tcPr>
            <w:tcW w:w="1335" w:type="dxa"/>
            <w:tcBorders>
              <w:top w:val="nil" w:sz="6" w:space="0" w:color="auto"/>
              <w:left w:val="nil" w:sz="6" w:space="0" w:color="auto"/>
              <w:bottom w:val="nil" w:sz="6" w:space="0" w:color="auto"/>
              <w:right w:val="single" w:sz="4" w:space="0" w:color="000000"/>
            </w:tcBorders>
          </w:tcPr>
          <w:p>
            <w:pPr>
              <w:pStyle w:val="TableParagraph"/>
              <w:spacing w:line="240" w:lineRule="auto" w:before="28"/>
              <w:ind w:left="108"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363" w:type="dxa"/>
            <w:tcBorders>
              <w:top w:val="nil" w:sz="6" w:space="0" w:color="auto"/>
              <w:left w:val="single" w:sz="4" w:space="0" w:color="000000"/>
              <w:bottom w:val="nil" w:sz="6" w:space="0" w:color="auto"/>
              <w:right w:val="single" w:sz="4" w:space="0" w:color="000000"/>
            </w:tcBorders>
          </w:tcPr>
          <w:p>
            <w:pPr>
              <w:pStyle w:val="TableParagraph"/>
              <w:spacing w:line="240" w:lineRule="auto" w:before="28"/>
              <w:ind w:left="103"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443" w:type="dxa"/>
            <w:tcBorders>
              <w:top w:val="nil" w:sz="6" w:space="0" w:color="auto"/>
              <w:left w:val="single" w:sz="4" w:space="0" w:color="000000"/>
              <w:bottom w:val="nil" w:sz="6" w:space="0" w:color="auto"/>
              <w:right w:val="single" w:sz="4" w:space="0" w:color="000000"/>
            </w:tcBorders>
          </w:tcPr>
          <w:p>
            <w:pPr>
              <w:pStyle w:val="TableParagraph"/>
              <w:spacing w:line="240" w:lineRule="auto" w:before="70"/>
              <w:ind w:right="63"/>
              <w:jc w:val="right"/>
              <w:rPr>
                <w:rFonts w:ascii="Times New Roman" w:hAnsi="Times New Roman" w:cs="Times New Roman" w:eastAsia="Times New Roman" w:hint="default"/>
                <w:sz w:val="18"/>
                <w:szCs w:val="18"/>
              </w:rPr>
            </w:pPr>
            <w:r>
              <w:rPr>
                <w:rFonts w:ascii="Times New Roman"/>
                <w:spacing w:val="-1"/>
                <w:sz w:val="18"/>
              </w:rPr>
              <w:t>1,212,933,169.51</w:t>
            </w:r>
          </w:p>
        </w:tc>
        <w:tc>
          <w:tcPr>
            <w:tcW w:w="1265" w:type="dxa"/>
            <w:tcBorders>
              <w:top w:val="nil" w:sz="6" w:space="0" w:color="auto"/>
              <w:left w:val="single" w:sz="4" w:space="0" w:color="000000"/>
              <w:bottom w:val="nil" w:sz="6" w:space="0" w:color="auto"/>
              <w:right w:val="single" w:sz="4" w:space="0" w:color="000000"/>
            </w:tcBorders>
          </w:tcPr>
          <w:p>
            <w:pPr>
              <w:pStyle w:val="TableParagraph"/>
              <w:spacing w:line="240" w:lineRule="auto" w:before="28"/>
              <w:ind w:left="100"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078" w:type="dxa"/>
            <w:tcBorders>
              <w:top w:val="nil" w:sz="6" w:space="0" w:color="auto"/>
              <w:left w:val="single" w:sz="4" w:space="0" w:color="000000"/>
              <w:bottom w:val="nil" w:sz="6" w:space="0" w:color="auto"/>
              <w:right w:val="single" w:sz="4" w:space="0" w:color="000000"/>
            </w:tcBorders>
          </w:tcPr>
          <w:p>
            <w:pPr>
              <w:pStyle w:val="TableParagraph"/>
              <w:spacing w:line="240" w:lineRule="auto" w:before="28"/>
              <w:ind w:left="103"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551" w:type="dxa"/>
            <w:tcBorders>
              <w:top w:val="nil" w:sz="6" w:space="0" w:color="auto"/>
              <w:left w:val="single" w:sz="4" w:space="0" w:color="000000"/>
              <w:bottom w:val="nil" w:sz="6" w:space="0" w:color="auto"/>
              <w:right w:val="nil" w:sz="6" w:space="0" w:color="auto"/>
            </w:tcBorders>
          </w:tcPr>
          <w:p>
            <w:pPr>
              <w:pStyle w:val="TableParagraph"/>
              <w:spacing w:line="240" w:lineRule="auto" w:before="70"/>
              <w:ind w:right="106"/>
              <w:jc w:val="right"/>
              <w:rPr>
                <w:rFonts w:ascii="Times New Roman" w:hAnsi="Times New Roman" w:cs="Times New Roman" w:eastAsia="Times New Roman" w:hint="default"/>
                <w:sz w:val="18"/>
                <w:szCs w:val="18"/>
              </w:rPr>
            </w:pPr>
            <w:r>
              <w:rPr>
                <w:rFonts w:ascii="Times New Roman"/>
                <w:spacing w:val="-1"/>
                <w:sz w:val="18"/>
              </w:rPr>
              <w:t>1,212,933,169.51</w:t>
            </w:r>
          </w:p>
        </w:tc>
      </w:tr>
      <w:tr>
        <w:trPr>
          <w:trHeight w:val="256" w:hRule="exact"/>
        </w:trPr>
        <w:tc>
          <w:tcPr>
            <w:tcW w:w="1335" w:type="dxa"/>
            <w:tcBorders>
              <w:top w:val="nil" w:sz="6" w:space="0" w:color="auto"/>
              <w:left w:val="nil" w:sz="6" w:space="0" w:color="auto"/>
              <w:bottom w:val="nil" w:sz="6" w:space="0" w:color="auto"/>
              <w:right w:val="single" w:sz="4" w:space="0" w:color="000000"/>
            </w:tcBorders>
          </w:tcPr>
          <w:p>
            <w:pPr/>
          </w:p>
        </w:tc>
        <w:tc>
          <w:tcPr>
            <w:tcW w:w="1363" w:type="dxa"/>
            <w:tcBorders>
              <w:top w:val="nil" w:sz="6" w:space="0" w:color="auto"/>
              <w:left w:val="single" w:sz="4" w:space="0" w:color="000000"/>
              <w:bottom w:val="nil" w:sz="6" w:space="0" w:color="auto"/>
              <w:right w:val="single" w:sz="4" w:space="0" w:color="000000"/>
            </w:tcBorders>
          </w:tcPr>
          <w:p>
            <w:pPr/>
          </w:p>
        </w:tc>
        <w:tc>
          <w:tcPr>
            <w:tcW w:w="1443" w:type="dxa"/>
            <w:tcBorders>
              <w:top w:val="nil" w:sz="6" w:space="0" w:color="auto"/>
              <w:left w:val="single" w:sz="4" w:space="0" w:color="000000"/>
              <w:bottom w:val="nil" w:sz="6" w:space="0" w:color="auto"/>
              <w:right w:val="single" w:sz="4" w:space="0" w:color="000000"/>
            </w:tcBorders>
          </w:tcPr>
          <w:p>
            <w:pPr/>
          </w:p>
        </w:tc>
        <w:tc>
          <w:tcPr>
            <w:tcW w:w="1265" w:type="dxa"/>
            <w:tcBorders>
              <w:top w:val="nil" w:sz="6" w:space="0" w:color="auto"/>
              <w:left w:val="single" w:sz="4" w:space="0" w:color="000000"/>
              <w:bottom w:val="nil" w:sz="6" w:space="0" w:color="auto"/>
              <w:right w:val="single" w:sz="4" w:space="0" w:color="000000"/>
            </w:tcBorders>
          </w:tcPr>
          <w:p>
            <w:pPr>
              <w:pStyle w:val="TableParagraph"/>
              <w:spacing w:line="240" w:lineRule="auto" w:before="22"/>
              <w:ind w:left="100"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078" w:type="dxa"/>
            <w:tcBorders>
              <w:top w:val="nil" w:sz="6" w:space="0" w:color="auto"/>
              <w:left w:val="single" w:sz="4" w:space="0" w:color="000000"/>
              <w:bottom w:val="nil" w:sz="6" w:space="0" w:color="auto"/>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551" w:type="dxa"/>
            <w:tcBorders>
              <w:top w:val="nil" w:sz="6" w:space="0" w:color="auto"/>
              <w:left w:val="single" w:sz="4" w:space="0" w:color="000000"/>
              <w:bottom w:val="nil" w:sz="6" w:space="0" w:color="auto"/>
              <w:right w:val="nil" w:sz="6" w:space="0" w:color="auto"/>
            </w:tcBorders>
          </w:tcPr>
          <w:p>
            <w:pPr>
              <w:pStyle w:val="TableParagraph"/>
              <w:spacing w:line="240" w:lineRule="auto" w:before="64"/>
              <w:ind w:right="107"/>
              <w:jc w:val="right"/>
              <w:rPr>
                <w:rFonts w:ascii="Times New Roman" w:hAnsi="Times New Roman" w:cs="Times New Roman" w:eastAsia="Times New Roman" w:hint="default"/>
                <w:sz w:val="18"/>
                <w:szCs w:val="18"/>
              </w:rPr>
            </w:pPr>
            <w:r>
              <w:rPr>
                <w:rFonts w:ascii="Times New Roman"/>
                <w:spacing w:val="-1"/>
                <w:sz w:val="18"/>
              </w:rPr>
              <w:t>29,907,600.56</w:t>
            </w:r>
          </w:p>
        </w:tc>
      </w:tr>
      <w:tr>
        <w:trPr>
          <w:trHeight w:val="68" w:hRule="exact"/>
        </w:trPr>
        <w:tc>
          <w:tcPr>
            <w:tcW w:w="1335" w:type="dxa"/>
            <w:tcBorders>
              <w:top w:val="nil" w:sz="6" w:space="0" w:color="auto"/>
              <w:left w:val="nil" w:sz="6" w:space="0" w:color="auto"/>
              <w:bottom w:val="nil" w:sz="6" w:space="0" w:color="auto"/>
              <w:right w:val="single" w:sz="4" w:space="0" w:color="000000"/>
            </w:tcBorders>
          </w:tcPr>
          <w:p>
            <w:pPr/>
          </w:p>
        </w:tc>
        <w:tc>
          <w:tcPr>
            <w:tcW w:w="1363" w:type="dxa"/>
            <w:tcBorders>
              <w:top w:val="nil" w:sz="6" w:space="0" w:color="auto"/>
              <w:left w:val="single" w:sz="4" w:space="0" w:color="000000"/>
              <w:bottom w:val="nil" w:sz="6" w:space="0" w:color="auto"/>
              <w:right w:val="single" w:sz="4" w:space="0" w:color="000000"/>
            </w:tcBorders>
          </w:tcPr>
          <w:p>
            <w:pPr/>
          </w:p>
        </w:tc>
        <w:tc>
          <w:tcPr>
            <w:tcW w:w="1443" w:type="dxa"/>
            <w:tcBorders>
              <w:top w:val="nil" w:sz="6" w:space="0" w:color="auto"/>
              <w:left w:val="single" w:sz="4" w:space="0" w:color="000000"/>
              <w:bottom w:val="nil" w:sz="6" w:space="0" w:color="auto"/>
              <w:right w:val="single" w:sz="4" w:space="0" w:color="000000"/>
            </w:tcBorders>
          </w:tcPr>
          <w:p>
            <w:pPr/>
          </w:p>
        </w:tc>
        <w:tc>
          <w:tcPr>
            <w:tcW w:w="1265" w:type="dxa"/>
            <w:tcBorders>
              <w:top w:val="nil" w:sz="6" w:space="0" w:color="auto"/>
              <w:left w:val="single" w:sz="4" w:space="0" w:color="000000"/>
              <w:bottom w:val="nil" w:sz="6" w:space="0" w:color="auto"/>
              <w:right w:val="nil" w:sz="6" w:space="0" w:color="auto"/>
            </w:tcBorders>
          </w:tcPr>
          <w:p>
            <w:pPr/>
          </w:p>
        </w:tc>
        <w:tc>
          <w:tcPr>
            <w:tcW w:w="2078" w:type="dxa"/>
            <w:tcBorders>
              <w:top w:val="nil" w:sz="6" w:space="0" w:color="auto"/>
              <w:left w:val="nil" w:sz="6" w:space="0" w:color="auto"/>
              <w:bottom w:val="nil" w:sz="6" w:space="0" w:color="auto"/>
              <w:right w:val="single" w:sz="4" w:space="0" w:color="000000"/>
            </w:tcBorders>
          </w:tcPr>
          <w:p>
            <w:pPr/>
          </w:p>
        </w:tc>
        <w:tc>
          <w:tcPr>
            <w:tcW w:w="1551" w:type="dxa"/>
            <w:tcBorders>
              <w:top w:val="nil" w:sz="6" w:space="0" w:color="auto"/>
              <w:left w:val="single" w:sz="4" w:space="0" w:color="000000"/>
              <w:bottom w:val="nil" w:sz="6" w:space="0" w:color="auto"/>
              <w:right w:val="nil" w:sz="6" w:space="0" w:color="auto"/>
            </w:tcBorders>
          </w:tcPr>
          <w:p>
            <w:pPr/>
          </w:p>
        </w:tc>
      </w:tr>
      <w:tr>
        <w:trPr>
          <w:trHeight w:val="237" w:hRule="exact"/>
        </w:trPr>
        <w:tc>
          <w:tcPr>
            <w:tcW w:w="1335" w:type="dxa"/>
            <w:tcBorders>
              <w:top w:val="nil" w:sz="6" w:space="0" w:color="auto"/>
              <w:left w:val="nil" w:sz="6" w:space="0" w:color="auto"/>
              <w:bottom w:val="nil" w:sz="6" w:space="0" w:color="auto"/>
              <w:right w:val="single" w:sz="4" w:space="0" w:color="000000"/>
            </w:tcBorders>
          </w:tcPr>
          <w:p>
            <w:pPr>
              <w:pStyle w:val="TableParagraph"/>
              <w:spacing w:line="240" w:lineRule="auto" w:before="15"/>
              <w:ind w:left="108"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363" w:type="dxa"/>
            <w:tcBorders>
              <w:top w:val="nil" w:sz="6" w:space="0" w:color="auto"/>
              <w:left w:val="single" w:sz="4" w:space="0" w:color="000000"/>
              <w:bottom w:val="nil" w:sz="6" w:space="0" w:color="auto"/>
              <w:right w:val="single" w:sz="4" w:space="0" w:color="000000"/>
            </w:tcBorders>
          </w:tcPr>
          <w:p>
            <w:pPr>
              <w:pStyle w:val="TableParagraph"/>
              <w:spacing w:line="20" w:lineRule="exact"/>
              <w:ind w:left="1312" w:right="-1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096" cy="3048"/>
                  <wp:effectExtent l="0" t="0" r="0" b="0"/>
                  <wp:docPr id="11" name="image76.png" descr=""/>
                  <wp:cNvGraphicFramePr>
                    <a:graphicFrameLocks noChangeAspect="1"/>
                  </wp:cNvGraphicFramePr>
                  <a:graphic>
                    <a:graphicData uri="http://schemas.openxmlformats.org/drawingml/2006/picture">
                      <pic:pic>
                        <pic:nvPicPr>
                          <pic:cNvPr id="12" name="image76.png"/>
                          <pic:cNvPicPr/>
                        </pic:nvPicPr>
                        <pic:blipFill>
                          <a:blip r:embed="rId128" cstate="print"/>
                          <a:stretch>
                            <a:fillRect/>
                          </a:stretch>
                        </pic:blipFill>
                        <pic:spPr>
                          <a:xfrm>
                            <a:off x="0" y="0"/>
                            <a:ext cx="6096" cy="3048"/>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443" w:type="dxa"/>
            <w:tcBorders>
              <w:top w:val="nil" w:sz="6" w:space="0" w:color="auto"/>
              <w:left w:val="single" w:sz="4" w:space="0" w:color="000000"/>
              <w:bottom w:val="nil" w:sz="6" w:space="0" w:color="auto"/>
              <w:right w:val="single" w:sz="4" w:space="0" w:color="000000"/>
            </w:tcBorders>
          </w:tcPr>
          <w:p>
            <w:pPr>
              <w:pStyle w:val="TableParagraph"/>
              <w:spacing w:line="240" w:lineRule="auto" w:before="57"/>
              <w:ind w:right="62"/>
              <w:jc w:val="right"/>
              <w:rPr>
                <w:rFonts w:ascii="Times New Roman" w:hAnsi="Times New Roman" w:cs="Times New Roman" w:eastAsia="Times New Roman" w:hint="default"/>
                <w:sz w:val="18"/>
                <w:szCs w:val="18"/>
              </w:rPr>
            </w:pPr>
            <w:r>
              <w:rPr>
                <w:rFonts w:ascii="Times New Roman"/>
                <w:spacing w:val="-1"/>
                <w:sz w:val="18"/>
              </w:rPr>
              <w:t>32,581,788.52</w:t>
            </w:r>
          </w:p>
        </w:tc>
        <w:tc>
          <w:tcPr>
            <w:tcW w:w="1265" w:type="dxa"/>
            <w:vMerge w:val="restart"/>
            <w:tcBorders>
              <w:top w:val="nil" w:sz="6" w:space="0" w:color="auto"/>
              <w:left w:val="single" w:sz="4" w:space="0" w:color="000000"/>
              <w:right w:val="single" w:sz="4" w:space="0" w:color="000000"/>
            </w:tcBorders>
          </w:tcPr>
          <w:p>
            <w:pPr>
              <w:pStyle w:val="TableParagraph"/>
              <w:spacing w:line="316" w:lineRule="auto" w:before="20"/>
              <w:ind w:left="100" w:right="60"/>
              <w:jc w:val="left"/>
              <w:rPr>
                <w:rFonts w:ascii="宋体" w:hAnsi="宋体" w:cs="宋体" w:eastAsia="宋体" w:hint="default"/>
                <w:sz w:val="18"/>
                <w:szCs w:val="18"/>
              </w:rPr>
            </w:pPr>
            <w:r>
              <w:rPr>
                <w:rFonts w:ascii="宋体" w:hAnsi="宋体" w:cs="宋体" w:eastAsia="宋体" w:hint="default"/>
                <w:spacing w:val="30"/>
                <w:sz w:val="18"/>
                <w:szCs w:val="18"/>
              </w:rPr>
              <w:t>应收款项融</w:t>
            </w:r>
            <w:r>
              <w:rPr>
                <w:rFonts w:ascii="宋体" w:hAnsi="宋体" w:cs="宋体" w:eastAsia="宋体" w:hint="default"/>
                <w:spacing w:val="-52"/>
                <w:sz w:val="18"/>
                <w:szCs w:val="18"/>
              </w:rPr>
              <w:t> </w:t>
            </w:r>
            <w:r>
              <w:rPr>
                <w:rFonts w:ascii="宋体" w:hAnsi="宋体" w:cs="宋体" w:eastAsia="宋体" w:hint="default"/>
                <w:sz w:val="18"/>
                <w:szCs w:val="18"/>
              </w:rPr>
              <w:t>资</w:t>
            </w:r>
          </w:p>
        </w:tc>
        <w:tc>
          <w:tcPr>
            <w:tcW w:w="2078" w:type="dxa"/>
            <w:vMerge w:val="restart"/>
            <w:tcBorders>
              <w:top w:val="nil" w:sz="6" w:space="0" w:color="auto"/>
              <w:left w:val="single" w:sz="4" w:space="0" w:color="000000"/>
              <w:right w:val="single" w:sz="4" w:space="0" w:color="000000"/>
            </w:tcBorders>
          </w:tcPr>
          <w:p>
            <w:pPr>
              <w:pStyle w:val="TableParagraph"/>
              <w:spacing w:line="316" w:lineRule="auto" w:before="20"/>
              <w:ind w:left="103" w:right="91"/>
              <w:jc w:val="left"/>
              <w:rPr>
                <w:rFonts w:ascii="宋体" w:hAnsi="宋体" w:cs="宋体" w:eastAsia="宋体" w:hint="default"/>
                <w:sz w:val="18"/>
                <w:szCs w:val="18"/>
              </w:rPr>
            </w:pPr>
            <w:r>
              <w:rPr>
                <w:rFonts w:ascii="宋体" w:hAnsi="宋体" w:cs="宋体" w:eastAsia="宋体" w:hint="default"/>
                <w:spacing w:val="7"/>
                <w:sz w:val="18"/>
                <w:szCs w:val="18"/>
              </w:rPr>
              <w:t>以公允价值计量且其变 </w:t>
            </w:r>
            <w:r>
              <w:rPr>
                <w:rFonts w:ascii="宋体" w:hAnsi="宋体" w:cs="宋体" w:eastAsia="宋体" w:hint="default"/>
                <w:sz w:val="18"/>
                <w:szCs w:val="18"/>
              </w:rPr>
              <w:t>动计入其他综合收益</w:t>
            </w:r>
          </w:p>
        </w:tc>
        <w:tc>
          <w:tcPr>
            <w:tcW w:w="1551" w:type="dxa"/>
            <w:tcBorders>
              <w:top w:val="nil" w:sz="6" w:space="0" w:color="auto"/>
              <w:left w:val="single" w:sz="4" w:space="0" w:color="000000"/>
              <w:bottom w:val="nil" w:sz="6" w:space="0" w:color="auto"/>
              <w:right w:val="nil" w:sz="6" w:space="0" w:color="auto"/>
            </w:tcBorders>
          </w:tcPr>
          <w:p>
            <w:pPr/>
          </w:p>
        </w:tc>
      </w:tr>
      <w:tr>
        <w:trPr>
          <w:trHeight w:val="390" w:hRule="exact"/>
        </w:trPr>
        <w:tc>
          <w:tcPr>
            <w:tcW w:w="1335" w:type="dxa"/>
            <w:tcBorders>
              <w:top w:val="nil" w:sz="6" w:space="0" w:color="auto"/>
              <w:left w:val="nil" w:sz="6" w:space="0" w:color="auto"/>
              <w:bottom w:val="nil" w:sz="6" w:space="0" w:color="auto"/>
              <w:right w:val="single" w:sz="4" w:space="0" w:color="000000"/>
            </w:tcBorders>
          </w:tcPr>
          <w:p>
            <w:pPr/>
          </w:p>
        </w:tc>
        <w:tc>
          <w:tcPr>
            <w:tcW w:w="1363" w:type="dxa"/>
            <w:tcBorders>
              <w:top w:val="nil" w:sz="6" w:space="0" w:color="auto"/>
              <w:left w:val="single" w:sz="4" w:space="0" w:color="000000"/>
              <w:bottom w:val="nil" w:sz="6" w:space="0" w:color="auto"/>
              <w:right w:val="single" w:sz="4" w:space="0" w:color="000000"/>
            </w:tcBorders>
          </w:tcPr>
          <w:p>
            <w:pPr/>
          </w:p>
        </w:tc>
        <w:tc>
          <w:tcPr>
            <w:tcW w:w="1443" w:type="dxa"/>
            <w:tcBorders>
              <w:top w:val="nil" w:sz="6" w:space="0" w:color="auto"/>
              <w:left w:val="single" w:sz="4" w:space="0" w:color="000000"/>
              <w:bottom w:val="nil" w:sz="6" w:space="0" w:color="auto"/>
              <w:right w:val="single" w:sz="4" w:space="0" w:color="000000"/>
            </w:tcBorders>
          </w:tcPr>
          <w:p>
            <w:pPr/>
          </w:p>
        </w:tc>
        <w:tc>
          <w:tcPr>
            <w:tcW w:w="1265" w:type="dxa"/>
            <w:vMerge/>
            <w:tcBorders>
              <w:left w:val="single" w:sz="4" w:space="0" w:color="000000"/>
              <w:bottom w:val="nil" w:sz="6" w:space="0" w:color="auto"/>
              <w:right w:val="single" w:sz="4" w:space="0" w:color="000000"/>
            </w:tcBorders>
          </w:tcPr>
          <w:p>
            <w:pPr/>
          </w:p>
        </w:tc>
        <w:tc>
          <w:tcPr>
            <w:tcW w:w="2078" w:type="dxa"/>
            <w:vMerge/>
            <w:tcBorders>
              <w:left w:val="single" w:sz="4" w:space="0" w:color="000000"/>
              <w:bottom w:val="nil" w:sz="6" w:space="0" w:color="auto"/>
              <w:right w:val="single" w:sz="4" w:space="0" w:color="000000"/>
            </w:tcBorders>
          </w:tcPr>
          <w:p>
            <w:pPr/>
          </w:p>
        </w:tc>
        <w:tc>
          <w:tcPr>
            <w:tcW w:w="1551" w:type="dxa"/>
            <w:tcBorders>
              <w:top w:val="nil" w:sz="6" w:space="0" w:color="auto"/>
              <w:left w:val="single" w:sz="4" w:space="0" w:color="000000"/>
              <w:bottom w:val="nil" w:sz="6" w:space="0" w:color="auto"/>
              <w:right w:val="nil" w:sz="6" w:space="0" w:color="auto"/>
            </w:tcBorders>
          </w:tcPr>
          <w:p>
            <w:pPr>
              <w:pStyle w:val="TableParagraph"/>
              <w:spacing w:line="189" w:lineRule="exact"/>
              <w:ind w:right="105"/>
              <w:jc w:val="right"/>
              <w:rPr>
                <w:rFonts w:ascii="Times New Roman" w:hAnsi="Times New Roman" w:cs="Times New Roman" w:eastAsia="Times New Roman" w:hint="default"/>
                <w:sz w:val="18"/>
                <w:szCs w:val="18"/>
              </w:rPr>
            </w:pPr>
            <w:r>
              <w:rPr>
                <w:rFonts w:ascii="Times New Roman"/>
                <w:spacing w:val="-1"/>
                <w:sz w:val="18"/>
              </w:rPr>
              <w:t>2,674,187.96</w:t>
            </w:r>
          </w:p>
        </w:tc>
      </w:tr>
      <w:tr>
        <w:trPr>
          <w:trHeight w:val="261" w:hRule="exact"/>
        </w:trPr>
        <w:tc>
          <w:tcPr>
            <w:tcW w:w="1335" w:type="dxa"/>
            <w:tcBorders>
              <w:top w:val="nil" w:sz="6" w:space="0" w:color="auto"/>
              <w:left w:val="nil" w:sz="6" w:space="0" w:color="auto"/>
              <w:bottom w:val="nil" w:sz="6" w:space="0" w:color="auto"/>
              <w:right w:val="single" w:sz="4" w:space="0" w:color="000000"/>
            </w:tcBorders>
          </w:tcPr>
          <w:p>
            <w:pPr>
              <w:pStyle w:val="TableParagraph"/>
              <w:spacing w:line="240" w:lineRule="auto" w:before="27"/>
              <w:ind w:left="108"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363" w:type="dxa"/>
            <w:tcBorders>
              <w:top w:val="nil" w:sz="6" w:space="0" w:color="auto"/>
              <w:left w:val="single" w:sz="4" w:space="0" w:color="000000"/>
              <w:bottom w:val="nil" w:sz="6" w:space="0" w:color="auto"/>
              <w:right w:val="single" w:sz="4" w:space="0" w:color="000000"/>
            </w:tcBorders>
          </w:tcPr>
          <w:p>
            <w:pPr>
              <w:pStyle w:val="TableParagraph"/>
              <w:spacing w:line="240" w:lineRule="auto" w:before="27"/>
              <w:ind w:left="103"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443" w:type="dxa"/>
            <w:tcBorders>
              <w:top w:val="nil" w:sz="6" w:space="0" w:color="auto"/>
              <w:left w:val="single" w:sz="4" w:space="0" w:color="000000"/>
              <w:bottom w:val="nil" w:sz="6" w:space="0" w:color="auto"/>
              <w:right w:val="single" w:sz="4" w:space="0" w:color="000000"/>
            </w:tcBorders>
          </w:tcPr>
          <w:p>
            <w:pPr>
              <w:pStyle w:val="TableParagraph"/>
              <w:spacing w:line="240" w:lineRule="auto" w:before="69"/>
              <w:ind w:right="63"/>
              <w:jc w:val="right"/>
              <w:rPr>
                <w:rFonts w:ascii="Times New Roman" w:hAnsi="Times New Roman" w:cs="Times New Roman" w:eastAsia="Times New Roman" w:hint="default"/>
                <w:sz w:val="18"/>
                <w:szCs w:val="18"/>
              </w:rPr>
            </w:pPr>
            <w:r>
              <w:rPr>
                <w:rFonts w:ascii="Times New Roman"/>
                <w:spacing w:val="-1"/>
                <w:sz w:val="18"/>
              </w:rPr>
              <w:t>1,028,588,686.07</w:t>
            </w:r>
          </w:p>
        </w:tc>
        <w:tc>
          <w:tcPr>
            <w:tcW w:w="1265" w:type="dxa"/>
            <w:tcBorders>
              <w:top w:val="nil" w:sz="6" w:space="0" w:color="auto"/>
              <w:left w:val="single" w:sz="4" w:space="0" w:color="000000"/>
              <w:bottom w:val="nil" w:sz="6" w:space="0" w:color="auto"/>
              <w:right w:val="single" w:sz="4" w:space="0" w:color="000000"/>
            </w:tcBorders>
          </w:tcPr>
          <w:p>
            <w:pPr>
              <w:pStyle w:val="TableParagraph"/>
              <w:spacing w:line="240" w:lineRule="auto" w:before="27"/>
              <w:ind w:left="100"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078" w:type="dxa"/>
            <w:tcBorders>
              <w:top w:val="nil" w:sz="6" w:space="0" w:color="auto"/>
              <w:left w:val="single" w:sz="4" w:space="0" w:color="000000"/>
              <w:bottom w:val="nil" w:sz="6" w:space="0" w:color="auto"/>
              <w:right w:val="single" w:sz="4" w:space="0" w:color="000000"/>
            </w:tcBorders>
          </w:tcPr>
          <w:p>
            <w:pPr>
              <w:pStyle w:val="TableParagraph"/>
              <w:spacing w:line="240" w:lineRule="auto" w:before="27"/>
              <w:ind w:left="103"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551" w:type="dxa"/>
            <w:tcBorders>
              <w:top w:val="nil" w:sz="6" w:space="0" w:color="auto"/>
              <w:left w:val="single" w:sz="4" w:space="0" w:color="000000"/>
              <w:bottom w:val="nil" w:sz="6" w:space="0" w:color="auto"/>
              <w:right w:val="nil" w:sz="6" w:space="0" w:color="auto"/>
            </w:tcBorders>
          </w:tcPr>
          <w:p>
            <w:pPr>
              <w:pStyle w:val="TableParagraph"/>
              <w:spacing w:line="240" w:lineRule="auto" w:before="69"/>
              <w:ind w:right="106"/>
              <w:jc w:val="right"/>
              <w:rPr>
                <w:rFonts w:ascii="Times New Roman" w:hAnsi="Times New Roman" w:cs="Times New Roman" w:eastAsia="Times New Roman" w:hint="default"/>
                <w:sz w:val="18"/>
                <w:szCs w:val="18"/>
              </w:rPr>
            </w:pPr>
            <w:r>
              <w:rPr>
                <w:rFonts w:ascii="Times New Roman"/>
                <w:spacing w:val="-1"/>
                <w:sz w:val="18"/>
              </w:rPr>
              <w:t>1,028,588,686.07</w:t>
            </w:r>
          </w:p>
        </w:tc>
      </w:tr>
      <w:tr>
        <w:trPr>
          <w:trHeight w:val="68" w:hRule="exact"/>
        </w:trPr>
        <w:tc>
          <w:tcPr>
            <w:tcW w:w="1335" w:type="dxa"/>
            <w:tcBorders>
              <w:top w:val="nil" w:sz="6" w:space="0" w:color="auto"/>
              <w:left w:val="nil" w:sz="6" w:space="0" w:color="auto"/>
              <w:bottom w:val="nil" w:sz="6" w:space="0" w:color="auto"/>
              <w:right w:val="nil" w:sz="6" w:space="0" w:color="auto"/>
            </w:tcBorders>
          </w:tcPr>
          <w:p>
            <w:pPr/>
          </w:p>
        </w:tc>
        <w:tc>
          <w:tcPr>
            <w:tcW w:w="1363" w:type="dxa"/>
            <w:tcBorders>
              <w:top w:val="nil" w:sz="6" w:space="0" w:color="auto"/>
              <w:left w:val="nil" w:sz="6" w:space="0" w:color="auto"/>
              <w:bottom w:val="nil" w:sz="6" w:space="0" w:color="auto"/>
              <w:right w:val="single" w:sz="4" w:space="0" w:color="000000"/>
            </w:tcBorders>
          </w:tcPr>
          <w:p>
            <w:pPr/>
          </w:p>
        </w:tc>
        <w:tc>
          <w:tcPr>
            <w:tcW w:w="1443" w:type="dxa"/>
            <w:tcBorders>
              <w:top w:val="nil" w:sz="6" w:space="0" w:color="auto"/>
              <w:left w:val="single" w:sz="4" w:space="0" w:color="000000"/>
              <w:bottom w:val="nil" w:sz="6" w:space="0" w:color="auto"/>
              <w:right w:val="single" w:sz="4" w:space="0" w:color="000000"/>
            </w:tcBorders>
          </w:tcPr>
          <w:p>
            <w:pPr/>
          </w:p>
        </w:tc>
        <w:tc>
          <w:tcPr>
            <w:tcW w:w="1265" w:type="dxa"/>
            <w:tcBorders>
              <w:top w:val="nil" w:sz="6" w:space="0" w:color="auto"/>
              <w:left w:val="single" w:sz="4" w:space="0" w:color="000000"/>
              <w:bottom w:val="nil" w:sz="6" w:space="0" w:color="auto"/>
              <w:right w:val="single" w:sz="4" w:space="0" w:color="000000"/>
            </w:tcBorders>
          </w:tcPr>
          <w:p>
            <w:pPr/>
          </w:p>
        </w:tc>
        <w:tc>
          <w:tcPr>
            <w:tcW w:w="2078" w:type="dxa"/>
            <w:tcBorders>
              <w:top w:val="nil" w:sz="6" w:space="0" w:color="auto"/>
              <w:left w:val="single" w:sz="4" w:space="0" w:color="000000"/>
              <w:bottom w:val="nil" w:sz="6" w:space="0" w:color="auto"/>
              <w:right w:val="single" w:sz="4" w:space="0" w:color="000000"/>
            </w:tcBorders>
          </w:tcPr>
          <w:p>
            <w:pPr/>
          </w:p>
        </w:tc>
        <w:tc>
          <w:tcPr>
            <w:tcW w:w="1551" w:type="dxa"/>
            <w:tcBorders>
              <w:top w:val="nil" w:sz="6" w:space="0" w:color="auto"/>
              <w:left w:val="single" w:sz="4" w:space="0" w:color="000000"/>
              <w:bottom w:val="nil" w:sz="6" w:space="0" w:color="auto"/>
              <w:right w:val="nil" w:sz="6" w:space="0" w:color="auto"/>
            </w:tcBorders>
          </w:tcPr>
          <w:p>
            <w:pPr/>
          </w:p>
        </w:tc>
      </w:tr>
      <w:tr>
        <w:trPr>
          <w:trHeight w:val="254" w:hRule="exact"/>
        </w:trPr>
        <w:tc>
          <w:tcPr>
            <w:tcW w:w="1335" w:type="dxa"/>
            <w:tcBorders>
              <w:top w:val="nil" w:sz="6" w:space="0" w:color="auto"/>
              <w:left w:val="nil" w:sz="6" w:space="0" w:color="auto"/>
              <w:bottom w:val="nil" w:sz="6" w:space="0" w:color="auto"/>
              <w:right w:val="single" w:sz="4" w:space="0" w:color="000000"/>
            </w:tcBorders>
          </w:tcPr>
          <w:p>
            <w:pPr>
              <w:pStyle w:val="TableParagraph"/>
              <w:spacing w:line="240" w:lineRule="auto" w:before="20"/>
              <w:ind w:left="108"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363"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103"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443" w:type="dxa"/>
            <w:tcBorders>
              <w:top w:val="nil" w:sz="6" w:space="0" w:color="auto"/>
              <w:left w:val="single" w:sz="4" w:space="0" w:color="000000"/>
              <w:bottom w:val="nil" w:sz="6" w:space="0" w:color="auto"/>
              <w:right w:val="single" w:sz="4" w:space="0" w:color="000000"/>
            </w:tcBorders>
          </w:tcPr>
          <w:p>
            <w:pPr>
              <w:pStyle w:val="TableParagraph"/>
              <w:spacing w:line="240" w:lineRule="auto" w:before="62"/>
              <w:ind w:right="63"/>
              <w:jc w:val="right"/>
              <w:rPr>
                <w:rFonts w:ascii="Times New Roman" w:hAnsi="Times New Roman" w:cs="Times New Roman" w:eastAsia="Times New Roman" w:hint="default"/>
                <w:sz w:val="18"/>
                <w:szCs w:val="18"/>
              </w:rPr>
            </w:pPr>
            <w:r>
              <w:rPr>
                <w:rFonts w:ascii="Times New Roman"/>
                <w:spacing w:val="-1"/>
                <w:sz w:val="18"/>
              </w:rPr>
              <w:t>1,138,173,040.65</w:t>
            </w:r>
          </w:p>
        </w:tc>
        <w:tc>
          <w:tcPr>
            <w:tcW w:w="1265"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100"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078"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103"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551" w:type="dxa"/>
            <w:tcBorders>
              <w:top w:val="nil" w:sz="6" w:space="0" w:color="auto"/>
              <w:left w:val="single" w:sz="4" w:space="0" w:color="000000"/>
              <w:bottom w:val="nil" w:sz="6" w:space="0" w:color="auto"/>
              <w:right w:val="nil" w:sz="6" w:space="0" w:color="auto"/>
            </w:tcBorders>
          </w:tcPr>
          <w:p>
            <w:pPr>
              <w:pStyle w:val="TableParagraph"/>
              <w:spacing w:line="240" w:lineRule="auto" w:before="62"/>
              <w:ind w:right="106"/>
              <w:jc w:val="right"/>
              <w:rPr>
                <w:rFonts w:ascii="Times New Roman" w:hAnsi="Times New Roman" w:cs="Times New Roman" w:eastAsia="Times New Roman" w:hint="default"/>
                <w:sz w:val="18"/>
                <w:szCs w:val="18"/>
              </w:rPr>
            </w:pPr>
            <w:r>
              <w:rPr>
                <w:rFonts w:ascii="Times New Roman"/>
                <w:spacing w:val="-1"/>
                <w:sz w:val="18"/>
              </w:rPr>
              <w:t>1,138,173,040.65</w:t>
            </w:r>
          </w:p>
        </w:tc>
      </w:tr>
      <w:tr>
        <w:trPr>
          <w:trHeight w:val="68" w:hRule="exact"/>
        </w:trPr>
        <w:tc>
          <w:tcPr>
            <w:tcW w:w="1335" w:type="dxa"/>
            <w:tcBorders>
              <w:top w:val="nil" w:sz="6" w:space="0" w:color="auto"/>
              <w:left w:val="nil" w:sz="6" w:space="0" w:color="auto"/>
              <w:bottom w:val="nil" w:sz="6" w:space="0" w:color="auto"/>
              <w:right w:val="nil" w:sz="6" w:space="0" w:color="auto"/>
            </w:tcBorders>
          </w:tcPr>
          <w:p>
            <w:pPr/>
          </w:p>
        </w:tc>
        <w:tc>
          <w:tcPr>
            <w:tcW w:w="1363" w:type="dxa"/>
            <w:tcBorders>
              <w:top w:val="nil" w:sz="6" w:space="0" w:color="auto"/>
              <w:left w:val="nil" w:sz="6" w:space="0" w:color="auto"/>
              <w:bottom w:val="nil" w:sz="6" w:space="0" w:color="auto"/>
              <w:right w:val="single" w:sz="4" w:space="0" w:color="000000"/>
            </w:tcBorders>
          </w:tcPr>
          <w:p>
            <w:pPr/>
          </w:p>
        </w:tc>
        <w:tc>
          <w:tcPr>
            <w:tcW w:w="1443" w:type="dxa"/>
            <w:tcBorders>
              <w:top w:val="nil" w:sz="6" w:space="0" w:color="auto"/>
              <w:left w:val="single" w:sz="4" w:space="0" w:color="000000"/>
              <w:bottom w:val="nil" w:sz="6" w:space="0" w:color="auto"/>
              <w:right w:val="single" w:sz="4" w:space="0" w:color="000000"/>
            </w:tcBorders>
          </w:tcPr>
          <w:p>
            <w:pPr/>
          </w:p>
        </w:tc>
        <w:tc>
          <w:tcPr>
            <w:tcW w:w="1265" w:type="dxa"/>
            <w:tcBorders>
              <w:top w:val="nil" w:sz="6" w:space="0" w:color="auto"/>
              <w:left w:val="single" w:sz="4" w:space="0" w:color="000000"/>
              <w:bottom w:val="nil" w:sz="6" w:space="0" w:color="auto"/>
              <w:right w:val="single" w:sz="4" w:space="0" w:color="000000"/>
            </w:tcBorders>
          </w:tcPr>
          <w:p>
            <w:pPr/>
          </w:p>
        </w:tc>
        <w:tc>
          <w:tcPr>
            <w:tcW w:w="2078" w:type="dxa"/>
            <w:tcBorders>
              <w:top w:val="nil" w:sz="6" w:space="0" w:color="auto"/>
              <w:left w:val="single" w:sz="4" w:space="0" w:color="000000"/>
              <w:bottom w:val="nil" w:sz="6" w:space="0" w:color="auto"/>
              <w:right w:val="single" w:sz="4" w:space="0" w:color="000000"/>
            </w:tcBorders>
          </w:tcPr>
          <w:p>
            <w:pPr/>
          </w:p>
        </w:tc>
        <w:tc>
          <w:tcPr>
            <w:tcW w:w="1551" w:type="dxa"/>
            <w:tcBorders>
              <w:top w:val="nil" w:sz="6" w:space="0" w:color="auto"/>
              <w:left w:val="single" w:sz="4" w:space="0" w:color="000000"/>
              <w:bottom w:val="nil" w:sz="6" w:space="0" w:color="auto"/>
              <w:right w:val="nil" w:sz="6" w:space="0" w:color="auto"/>
            </w:tcBorders>
          </w:tcPr>
          <w:p>
            <w:pPr/>
          </w:p>
        </w:tc>
      </w:tr>
      <w:tr>
        <w:trPr>
          <w:trHeight w:val="633" w:hRule="exact"/>
        </w:trPr>
        <w:tc>
          <w:tcPr>
            <w:tcW w:w="1335" w:type="dxa"/>
            <w:vMerge w:val="restart"/>
            <w:tcBorders>
              <w:top w:val="nil" w:sz="6" w:space="0" w:color="auto"/>
              <w:left w:val="nil" w:sz="6" w:space="0" w:color="auto"/>
              <w:right w:val="single" w:sz="4" w:space="0" w:color="000000"/>
            </w:tcBorders>
          </w:tcPr>
          <w:p>
            <w:pPr>
              <w:pStyle w:val="TableParagraph"/>
              <w:spacing w:line="316" w:lineRule="auto" w:before="27"/>
              <w:ind w:left="108" w:right="96"/>
              <w:jc w:val="left"/>
              <w:rPr>
                <w:rFonts w:ascii="宋体" w:hAnsi="宋体" w:cs="宋体" w:eastAsia="宋体" w:hint="default"/>
                <w:sz w:val="18"/>
                <w:szCs w:val="18"/>
              </w:rPr>
            </w:pPr>
            <w:r>
              <w:rPr>
                <w:rFonts w:ascii="宋体" w:hAnsi="宋体" w:cs="宋体" w:eastAsia="宋体" w:hint="default"/>
                <w:spacing w:val="7"/>
                <w:sz w:val="18"/>
                <w:szCs w:val="18"/>
              </w:rPr>
              <w:t>可供出售金融 </w:t>
            </w:r>
            <w:r>
              <w:rPr>
                <w:rFonts w:ascii="宋体" w:hAnsi="宋体" w:cs="宋体" w:eastAsia="宋体" w:hint="default"/>
                <w:sz w:val="18"/>
                <w:szCs w:val="18"/>
              </w:rPr>
              <w:t>资产</w:t>
            </w:r>
          </w:p>
          <w:p>
            <w:pPr>
              <w:pStyle w:val="TableParagraph"/>
              <w:spacing w:line="316" w:lineRule="auto" w:before="19"/>
              <w:ind w:left="108" w:right="96"/>
              <w:jc w:val="left"/>
              <w:rPr>
                <w:rFonts w:ascii="宋体" w:hAnsi="宋体" w:cs="宋体" w:eastAsia="宋体" w:hint="default"/>
                <w:sz w:val="18"/>
                <w:szCs w:val="18"/>
              </w:rPr>
            </w:pPr>
            <w:r>
              <w:rPr>
                <w:rFonts w:ascii="宋体" w:hAnsi="宋体" w:cs="宋体" w:eastAsia="宋体" w:hint="default"/>
                <w:spacing w:val="7"/>
                <w:sz w:val="18"/>
                <w:szCs w:val="18"/>
              </w:rPr>
              <w:t>（含其他流动 </w:t>
            </w:r>
            <w:r>
              <w:rPr>
                <w:rFonts w:ascii="宋体" w:hAnsi="宋体" w:cs="宋体" w:eastAsia="宋体" w:hint="default"/>
                <w:sz w:val="18"/>
                <w:szCs w:val="18"/>
              </w:rPr>
              <w:t>资产）</w:t>
            </w:r>
          </w:p>
        </w:tc>
        <w:tc>
          <w:tcPr>
            <w:tcW w:w="1363"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103" w:right="0"/>
              <w:jc w:val="left"/>
              <w:rPr>
                <w:rFonts w:ascii="宋体" w:hAnsi="宋体" w:cs="宋体" w:eastAsia="宋体" w:hint="default"/>
                <w:sz w:val="18"/>
                <w:szCs w:val="18"/>
              </w:rPr>
            </w:pPr>
            <w:r>
              <w:rPr>
                <w:rFonts w:ascii="宋体" w:hAnsi="宋体" w:cs="宋体" w:eastAsia="宋体" w:hint="default"/>
                <w:sz w:val="18"/>
                <w:szCs w:val="18"/>
              </w:rPr>
              <w:t>以</w:t>
            </w:r>
            <w:r>
              <w:rPr>
                <w:rFonts w:ascii="宋体" w:hAnsi="宋体" w:cs="宋体" w:eastAsia="宋体" w:hint="default"/>
                <w:spacing w:val="-38"/>
                <w:sz w:val="18"/>
                <w:szCs w:val="18"/>
              </w:rPr>
              <w:t> </w:t>
            </w:r>
            <w:r>
              <w:rPr>
                <w:rFonts w:ascii="宋体" w:hAnsi="宋体" w:cs="宋体" w:eastAsia="宋体" w:hint="default"/>
                <w:sz w:val="18"/>
                <w:szCs w:val="18"/>
              </w:rPr>
              <w:t>成</w:t>
            </w:r>
            <w:r>
              <w:rPr>
                <w:rFonts w:ascii="宋体" w:hAnsi="宋体" w:cs="宋体" w:eastAsia="宋体" w:hint="default"/>
                <w:spacing w:val="-38"/>
                <w:sz w:val="18"/>
                <w:szCs w:val="18"/>
              </w:rPr>
              <w:t> </w:t>
            </w:r>
            <w:r>
              <w:rPr>
                <w:rFonts w:ascii="宋体" w:hAnsi="宋体" w:cs="宋体" w:eastAsia="宋体" w:hint="default"/>
                <w:sz w:val="18"/>
                <w:szCs w:val="18"/>
              </w:rPr>
              <w:t>本</w:t>
            </w:r>
            <w:r>
              <w:rPr>
                <w:rFonts w:ascii="宋体" w:hAnsi="宋体" w:cs="宋体" w:eastAsia="宋体" w:hint="default"/>
                <w:spacing w:val="-40"/>
                <w:sz w:val="18"/>
                <w:szCs w:val="18"/>
              </w:rPr>
              <w:t> </w:t>
            </w:r>
            <w:r>
              <w:rPr>
                <w:rFonts w:ascii="宋体" w:hAnsi="宋体" w:cs="宋体" w:eastAsia="宋体" w:hint="default"/>
                <w:sz w:val="18"/>
                <w:szCs w:val="18"/>
              </w:rPr>
              <w:t>计</w:t>
            </w:r>
            <w:r>
              <w:rPr>
                <w:rFonts w:ascii="宋体" w:hAnsi="宋体" w:cs="宋体" w:eastAsia="宋体" w:hint="default"/>
                <w:spacing w:val="-38"/>
                <w:sz w:val="18"/>
                <w:szCs w:val="18"/>
              </w:rPr>
              <w:t> </w:t>
            </w:r>
            <w:r>
              <w:rPr>
                <w:rFonts w:ascii="宋体" w:hAnsi="宋体" w:cs="宋体" w:eastAsia="宋体" w:hint="default"/>
                <w:sz w:val="18"/>
                <w:szCs w:val="18"/>
              </w:rPr>
              <w:t>量</w:t>
            </w:r>
          </w:p>
          <w:p>
            <w:pPr>
              <w:pStyle w:val="TableParagraph"/>
              <w:spacing w:line="240" w:lineRule="auto" w:before="76"/>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银行理财</w:t>
            </w:r>
            <w:r>
              <w:rPr>
                <w:rFonts w:ascii="Times New Roman" w:hAnsi="Times New Roman" w:cs="Times New Roman" w:eastAsia="Times New Roman" w:hint="default"/>
                <w:sz w:val="18"/>
                <w:szCs w:val="18"/>
              </w:rPr>
              <w:t>)</w:t>
            </w:r>
          </w:p>
        </w:tc>
        <w:tc>
          <w:tcPr>
            <w:tcW w:w="1443"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b/>
                <w:bCs/>
                <w:sz w:val="16"/>
                <w:szCs w:val="16"/>
              </w:rPr>
            </w:pPr>
          </w:p>
          <w:p>
            <w:pPr>
              <w:pStyle w:val="TableParagraph"/>
              <w:spacing w:line="240" w:lineRule="auto"/>
              <w:ind w:right="62"/>
              <w:jc w:val="right"/>
              <w:rPr>
                <w:rFonts w:ascii="Times New Roman" w:hAnsi="Times New Roman" w:cs="Times New Roman" w:eastAsia="Times New Roman" w:hint="default"/>
                <w:sz w:val="18"/>
                <w:szCs w:val="18"/>
              </w:rPr>
            </w:pPr>
            <w:r>
              <w:rPr>
                <w:rFonts w:ascii="Times New Roman"/>
                <w:spacing w:val="-1"/>
                <w:sz w:val="18"/>
              </w:rPr>
              <w:t>970,000,000.00</w:t>
            </w:r>
          </w:p>
        </w:tc>
        <w:tc>
          <w:tcPr>
            <w:tcW w:w="1265" w:type="dxa"/>
            <w:tcBorders>
              <w:top w:val="nil" w:sz="6" w:space="0" w:color="auto"/>
              <w:left w:val="single" w:sz="4" w:space="0" w:color="000000"/>
              <w:bottom w:val="nil" w:sz="6" w:space="0" w:color="auto"/>
              <w:right w:val="single" w:sz="4" w:space="0" w:color="000000"/>
            </w:tcBorders>
          </w:tcPr>
          <w:p>
            <w:pPr>
              <w:pStyle w:val="TableParagraph"/>
              <w:spacing w:line="316" w:lineRule="auto" w:before="20"/>
              <w:ind w:left="100" w:right="60"/>
              <w:jc w:val="left"/>
              <w:rPr>
                <w:rFonts w:ascii="宋体" w:hAnsi="宋体" w:cs="宋体" w:eastAsia="宋体" w:hint="default"/>
                <w:sz w:val="18"/>
                <w:szCs w:val="18"/>
              </w:rPr>
            </w:pPr>
            <w:r>
              <w:rPr>
                <w:rFonts w:ascii="宋体" w:hAnsi="宋体" w:cs="宋体" w:eastAsia="宋体" w:hint="default"/>
                <w:spacing w:val="30"/>
                <w:sz w:val="18"/>
                <w:szCs w:val="18"/>
              </w:rPr>
              <w:t>交易性金融</w:t>
            </w:r>
            <w:r>
              <w:rPr>
                <w:rFonts w:ascii="宋体" w:hAnsi="宋体" w:cs="宋体" w:eastAsia="宋体" w:hint="default"/>
                <w:spacing w:val="-52"/>
                <w:sz w:val="18"/>
                <w:szCs w:val="18"/>
              </w:rPr>
              <w:t> </w:t>
            </w:r>
            <w:r>
              <w:rPr>
                <w:rFonts w:ascii="宋体" w:hAnsi="宋体" w:cs="宋体" w:eastAsia="宋体" w:hint="default"/>
                <w:sz w:val="18"/>
                <w:szCs w:val="18"/>
              </w:rPr>
              <w:t>资产</w:t>
            </w:r>
          </w:p>
        </w:tc>
        <w:tc>
          <w:tcPr>
            <w:tcW w:w="2078" w:type="dxa"/>
            <w:tcBorders>
              <w:top w:val="nil" w:sz="6" w:space="0" w:color="auto"/>
              <w:left w:val="single" w:sz="4" w:space="0" w:color="000000"/>
              <w:bottom w:val="nil" w:sz="6" w:space="0" w:color="auto"/>
              <w:right w:val="single" w:sz="4" w:space="0" w:color="000000"/>
            </w:tcBorders>
          </w:tcPr>
          <w:p>
            <w:pPr>
              <w:pStyle w:val="TableParagraph"/>
              <w:spacing w:line="316" w:lineRule="auto" w:before="20"/>
              <w:ind w:left="103" w:right="91"/>
              <w:jc w:val="left"/>
              <w:rPr>
                <w:rFonts w:ascii="宋体" w:hAnsi="宋体" w:cs="宋体" w:eastAsia="宋体" w:hint="default"/>
                <w:sz w:val="18"/>
                <w:szCs w:val="18"/>
              </w:rPr>
            </w:pPr>
            <w:r>
              <w:rPr>
                <w:rFonts w:ascii="宋体" w:hAnsi="宋体" w:cs="宋体" w:eastAsia="宋体" w:hint="default"/>
                <w:spacing w:val="7"/>
                <w:sz w:val="18"/>
                <w:szCs w:val="18"/>
              </w:rPr>
              <w:t>以公允价值计量且其变 </w:t>
            </w:r>
            <w:r>
              <w:rPr>
                <w:rFonts w:ascii="宋体" w:hAnsi="宋体" w:cs="宋体" w:eastAsia="宋体" w:hint="default"/>
                <w:sz w:val="18"/>
                <w:szCs w:val="18"/>
              </w:rPr>
              <w:t>动计入当期损益</w:t>
            </w:r>
          </w:p>
        </w:tc>
        <w:tc>
          <w:tcPr>
            <w:tcW w:w="1551" w:type="dxa"/>
            <w:tcBorders>
              <w:top w:val="nil" w:sz="6" w:space="0" w:color="auto"/>
              <w:left w:val="single" w:sz="4" w:space="0" w:color="000000"/>
              <w:bottom w:val="nil" w:sz="6" w:space="0" w:color="auto"/>
              <w:right w:val="nil" w:sz="6" w:space="0" w:color="auto"/>
            </w:tcBorders>
          </w:tcPr>
          <w:p>
            <w:pPr>
              <w:pStyle w:val="TableParagraph"/>
              <w:spacing w:line="240" w:lineRule="auto" w:before="9"/>
              <w:ind w:right="0"/>
              <w:jc w:val="left"/>
              <w:rPr>
                <w:rFonts w:ascii="宋体" w:hAnsi="宋体" w:cs="宋体" w:eastAsia="宋体" w:hint="default"/>
                <w:b/>
                <w:bCs/>
                <w:sz w:val="16"/>
                <w:szCs w:val="16"/>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970,000,000.00</w:t>
            </w:r>
          </w:p>
        </w:tc>
      </w:tr>
      <w:tr>
        <w:trPr>
          <w:trHeight w:val="642" w:hRule="exact"/>
        </w:trPr>
        <w:tc>
          <w:tcPr>
            <w:tcW w:w="1335" w:type="dxa"/>
            <w:vMerge/>
            <w:tcBorders>
              <w:left w:val="nil" w:sz="6" w:space="0" w:color="auto"/>
              <w:bottom w:val="single" w:sz="12" w:space="0" w:color="000000"/>
              <w:right w:val="single" w:sz="4" w:space="0" w:color="000000"/>
            </w:tcBorders>
          </w:tcPr>
          <w:p>
            <w:pPr/>
          </w:p>
        </w:tc>
        <w:tc>
          <w:tcPr>
            <w:tcW w:w="1363"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23"/>
              <w:ind w:left="103" w:right="0"/>
              <w:jc w:val="left"/>
              <w:rPr>
                <w:rFonts w:ascii="宋体" w:hAnsi="宋体" w:cs="宋体" w:eastAsia="宋体" w:hint="default"/>
                <w:sz w:val="18"/>
                <w:szCs w:val="18"/>
              </w:rPr>
            </w:pPr>
            <w:r>
              <w:rPr>
                <w:rFonts w:ascii="宋体" w:hAnsi="宋体" w:cs="宋体" w:eastAsia="宋体" w:hint="default"/>
                <w:sz w:val="18"/>
                <w:szCs w:val="18"/>
              </w:rPr>
              <w:t>以</w:t>
            </w:r>
            <w:r>
              <w:rPr>
                <w:rFonts w:ascii="宋体" w:hAnsi="宋体" w:cs="宋体" w:eastAsia="宋体" w:hint="default"/>
                <w:spacing w:val="-38"/>
                <w:sz w:val="18"/>
                <w:szCs w:val="18"/>
              </w:rPr>
              <w:t> </w:t>
            </w:r>
            <w:r>
              <w:rPr>
                <w:rFonts w:ascii="宋体" w:hAnsi="宋体" w:cs="宋体" w:eastAsia="宋体" w:hint="default"/>
                <w:sz w:val="18"/>
                <w:szCs w:val="18"/>
              </w:rPr>
              <w:t>成</w:t>
            </w:r>
            <w:r>
              <w:rPr>
                <w:rFonts w:ascii="宋体" w:hAnsi="宋体" w:cs="宋体" w:eastAsia="宋体" w:hint="default"/>
                <w:spacing w:val="-38"/>
                <w:sz w:val="18"/>
                <w:szCs w:val="18"/>
              </w:rPr>
              <w:t> </w:t>
            </w:r>
            <w:r>
              <w:rPr>
                <w:rFonts w:ascii="宋体" w:hAnsi="宋体" w:cs="宋体" w:eastAsia="宋体" w:hint="default"/>
                <w:sz w:val="18"/>
                <w:szCs w:val="18"/>
              </w:rPr>
              <w:t>本</w:t>
            </w:r>
            <w:r>
              <w:rPr>
                <w:rFonts w:ascii="宋体" w:hAnsi="宋体" w:cs="宋体" w:eastAsia="宋体" w:hint="default"/>
                <w:spacing w:val="-40"/>
                <w:sz w:val="18"/>
                <w:szCs w:val="18"/>
              </w:rPr>
              <w:t> </w:t>
            </w:r>
            <w:r>
              <w:rPr>
                <w:rFonts w:ascii="宋体" w:hAnsi="宋体" w:cs="宋体" w:eastAsia="宋体" w:hint="default"/>
                <w:sz w:val="18"/>
                <w:szCs w:val="18"/>
              </w:rPr>
              <w:t>计</w:t>
            </w:r>
            <w:r>
              <w:rPr>
                <w:rFonts w:ascii="宋体" w:hAnsi="宋体" w:cs="宋体" w:eastAsia="宋体" w:hint="default"/>
                <w:spacing w:val="-38"/>
                <w:sz w:val="18"/>
                <w:szCs w:val="18"/>
              </w:rPr>
              <w:t> </w:t>
            </w:r>
            <w:r>
              <w:rPr>
                <w:rFonts w:ascii="宋体" w:hAnsi="宋体" w:cs="宋体" w:eastAsia="宋体" w:hint="default"/>
                <w:sz w:val="18"/>
                <w:szCs w:val="18"/>
              </w:rPr>
              <w:t>量</w:t>
            </w:r>
          </w:p>
          <w:p>
            <w:pPr>
              <w:pStyle w:val="TableParagraph"/>
              <w:spacing w:line="240" w:lineRule="auto" w:before="76"/>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权益工具</w:t>
            </w:r>
            <w:r>
              <w:rPr>
                <w:rFonts w:ascii="Times New Roman" w:hAnsi="Times New Roman" w:cs="Times New Roman" w:eastAsia="Times New Roman" w:hint="default"/>
                <w:sz w:val="18"/>
                <w:szCs w:val="18"/>
              </w:rPr>
              <w:t>)</w:t>
            </w:r>
          </w:p>
        </w:tc>
        <w:tc>
          <w:tcPr>
            <w:tcW w:w="1443"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6"/>
                <w:szCs w:val="16"/>
              </w:rPr>
            </w:pPr>
          </w:p>
          <w:p>
            <w:pPr>
              <w:pStyle w:val="TableParagraph"/>
              <w:spacing w:line="240" w:lineRule="auto"/>
              <w:ind w:right="62"/>
              <w:jc w:val="right"/>
              <w:rPr>
                <w:rFonts w:ascii="Times New Roman" w:hAnsi="Times New Roman" w:cs="Times New Roman" w:eastAsia="Times New Roman" w:hint="default"/>
                <w:sz w:val="18"/>
                <w:szCs w:val="18"/>
              </w:rPr>
            </w:pPr>
            <w:r>
              <w:rPr>
                <w:rFonts w:ascii="Times New Roman"/>
                <w:spacing w:val="-1"/>
                <w:sz w:val="18"/>
              </w:rPr>
              <w:t>39,362,000.00</w:t>
            </w:r>
          </w:p>
        </w:tc>
        <w:tc>
          <w:tcPr>
            <w:tcW w:w="1265" w:type="dxa"/>
            <w:tcBorders>
              <w:top w:val="nil" w:sz="6" w:space="0" w:color="auto"/>
              <w:left w:val="single" w:sz="4" w:space="0" w:color="000000"/>
              <w:bottom w:val="single" w:sz="12" w:space="0" w:color="000000"/>
              <w:right w:val="single" w:sz="4" w:space="0" w:color="000000"/>
            </w:tcBorders>
          </w:tcPr>
          <w:p>
            <w:pPr>
              <w:pStyle w:val="TableParagraph"/>
              <w:spacing w:line="316" w:lineRule="auto" w:before="23"/>
              <w:ind w:left="100" w:right="60"/>
              <w:jc w:val="left"/>
              <w:rPr>
                <w:rFonts w:ascii="宋体" w:hAnsi="宋体" w:cs="宋体" w:eastAsia="宋体" w:hint="default"/>
                <w:sz w:val="18"/>
                <w:szCs w:val="18"/>
              </w:rPr>
            </w:pPr>
            <w:r>
              <w:rPr>
                <w:rFonts w:ascii="宋体" w:hAnsi="宋体" w:cs="宋体" w:eastAsia="宋体" w:hint="default"/>
                <w:spacing w:val="30"/>
                <w:sz w:val="18"/>
                <w:szCs w:val="18"/>
              </w:rPr>
              <w:t>其他权益工</w:t>
            </w:r>
            <w:r>
              <w:rPr>
                <w:rFonts w:ascii="宋体" w:hAnsi="宋体" w:cs="宋体" w:eastAsia="宋体" w:hint="default"/>
                <w:spacing w:val="-52"/>
                <w:sz w:val="18"/>
                <w:szCs w:val="18"/>
              </w:rPr>
              <w:t> </w:t>
            </w:r>
            <w:r>
              <w:rPr>
                <w:rFonts w:ascii="宋体" w:hAnsi="宋体" w:cs="宋体" w:eastAsia="宋体" w:hint="default"/>
                <w:sz w:val="18"/>
                <w:szCs w:val="18"/>
              </w:rPr>
              <w:t>具投资</w:t>
            </w:r>
          </w:p>
        </w:tc>
        <w:tc>
          <w:tcPr>
            <w:tcW w:w="2078" w:type="dxa"/>
            <w:tcBorders>
              <w:top w:val="nil" w:sz="6" w:space="0" w:color="auto"/>
              <w:left w:val="single" w:sz="4" w:space="0" w:color="000000"/>
              <w:bottom w:val="single" w:sz="12" w:space="0" w:color="000000"/>
              <w:right w:val="single" w:sz="4" w:space="0" w:color="000000"/>
            </w:tcBorders>
          </w:tcPr>
          <w:p>
            <w:pPr>
              <w:pStyle w:val="TableParagraph"/>
              <w:spacing w:line="316" w:lineRule="auto" w:before="23"/>
              <w:ind w:left="103" w:right="91"/>
              <w:jc w:val="left"/>
              <w:rPr>
                <w:rFonts w:ascii="宋体" w:hAnsi="宋体" w:cs="宋体" w:eastAsia="宋体" w:hint="default"/>
                <w:sz w:val="18"/>
                <w:szCs w:val="18"/>
              </w:rPr>
            </w:pPr>
            <w:r>
              <w:rPr>
                <w:rFonts w:ascii="宋体" w:hAnsi="宋体" w:cs="宋体" w:eastAsia="宋体" w:hint="default"/>
                <w:spacing w:val="7"/>
                <w:sz w:val="18"/>
                <w:szCs w:val="18"/>
              </w:rPr>
              <w:t>以公允价值计量且其变 </w:t>
            </w:r>
            <w:r>
              <w:rPr>
                <w:rFonts w:ascii="宋体" w:hAnsi="宋体" w:cs="宋体" w:eastAsia="宋体" w:hint="default"/>
                <w:sz w:val="18"/>
                <w:szCs w:val="18"/>
              </w:rPr>
              <w:t>动计入其他综合收益</w:t>
            </w:r>
          </w:p>
        </w:tc>
        <w:tc>
          <w:tcPr>
            <w:tcW w:w="1551" w:type="dxa"/>
            <w:tcBorders>
              <w:top w:val="nil" w:sz="6" w:space="0" w:color="auto"/>
              <w:left w:val="single" w:sz="4" w:space="0" w:color="000000"/>
              <w:bottom w:val="single" w:sz="12" w:space="0" w:color="000000"/>
              <w:right w:val="nil" w:sz="6" w:space="0" w:color="auto"/>
            </w:tcBorders>
          </w:tcPr>
          <w:p>
            <w:pPr>
              <w:pStyle w:val="TableParagraph"/>
              <w:spacing w:line="240" w:lineRule="auto" w:before="12"/>
              <w:ind w:right="0"/>
              <w:jc w:val="left"/>
              <w:rPr>
                <w:rFonts w:ascii="宋体" w:hAnsi="宋体" w:cs="宋体" w:eastAsia="宋体" w:hint="default"/>
                <w:b/>
                <w:bCs/>
                <w:sz w:val="16"/>
                <w:szCs w:val="16"/>
              </w:rPr>
            </w:pPr>
          </w:p>
          <w:p>
            <w:pPr>
              <w:pStyle w:val="TableParagraph"/>
              <w:spacing w:line="240" w:lineRule="auto"/>
              <w:ind w:right="107"/>
              <w:jc w:val="right"/>
              <w:rPr>
                <w:rFonts w:ascii="Times New Roman" w:hAnsi="Times New Roman" w:cs="Times New Roman" w:eastAsia="Times New Roman" w:hint="default"/>
                <w:sz w:val="18"/>
                <w:szCs w:val="18"/>
              </w:rPr>
            </w:pPr>
            <w:r>
              <w:rPr>
                <w:rFonts w:ascii="Times New Roman"/>
                <w:spacing w:val="-1"/>
                <w:sz w:val="18"/>
              </w:rPr>
              <w:t>39,362,000.00</w:t>
            </w:r>
          </w:p>
        </w:tc>
      </w:tr>
    </w:tbl>
    <w:p>
      <w:pPr>
        <w:pStyle w:val="Heading3"/>
        <w:spacing w:line="324" w:lineRule="auto" w:before="21"/>
        <w:ind w:left="236" w:right="0"/>
        <w:jc w:val="left"/>
        <w:rPr>
          <w:rFonts w:ascii="宋体" w:hAnsi="宋体" w:cs="宋体" w:eastAsia="宋体" w:hint="default"/>
          <w:b w:val="0"/>
          <w:bCs w:val="0"/>
        </w:rPr>
      </w:pPr>
      <w:r>
        <w:rPr/>
        <w:pict>
          <v:group style="position:absolute;margin-left:58.799999pt;margin-top:-95.43634pt;width:451.8pt;height:.5pt;mso-position-horizontal-relative:page;mso-position-vertical-relative:paragraph;z-index:-1318672" coordorigin="1176,-1909" coordsize="9036,10">
            <v:shape style="position:absolute;left:1176;top:-1909;width:1330;height:10" type="#_x0000_t75" stroked="false">
              <v:imagedata r:id="rId118" o:title=""/>
            </v:shape>
            <v:shape style="position:absolute;left:2501;top:-1909;width:1327;height:10" type="#_x0000_t75" stroked="false">
              <v:imagedata r:id="rId119" o:title=""/>
            </v:shape>
            <v:shape style="position:absolute;left:3824;top:-1909;width:1489;height:10" type="#_x0000_t75" stroked="false">
              <v:imagedata r:id="rId123" o:title=""/>
            </v:shape>
            <v:shape style="position:absolute;left:5307;top:-1909;width:1270;height:10" type="#_x0000_t75" stroked="false">
              <v:imagedata r:id="rId117" o:title=""/>
            </v:shape>
            <v:shape style="position:absolute;left:6573;top:-1909;width:2083;height:10" type="#_x0000_t75" stroked="false">
              <v:imagedata r:id="rId121" o:title=""/>
            </v:shape>
            <v:shape style="position:absolute;left:8651;top:-1909;width:1561;height:10" type="#_x0000_t75" stroked="false">
              <v:imagedata r:id="rId122" o:title=""/>
            </v:shape>
            <w10:wrap type="none"/>
          </v:group>
        </w:pict>
      </w:r>
      <w:r>
        <w:rPr/>
        <w:pict>
          <v:group style="position:absolute;margin-left:58.799999pt;margin-top:-84.396347pt;width:451.8pt;height:5.55pt;mso-position-horizontal-relative:page;mso-position-vertical-relative:paragraph;z-index:-1318648" coordorigin="1176,-1688" coordsize="9036,111">
            <v:shape style="position:absolute;left:1176;top:-1688;width:1349;height:110" type="#_x0000_t75" stroked="false">
              <v:imagedata r:id="rId131" o:title=""/>
            </v:shape>
            <v:shape style="position:absolute;left:2501;top:-1592;width:1337;height:14" type="#_x0000_t75" stroked="false">
              <v:imagedata r:id="rId132" o:title=""/>
            </v:shape>
            <v:shape style="position:absolute;left:3824;top:-1592;width:1498;height:14" type="#_x0000_t75" stroked="false">
              <v:imagedata r:id="rId133" o:title=""/>
            </v:shape>
            <v:shape style="position:absolute;left:5307;top:-1592;width:1280;height:14" type="#_x0000_t75" stroked="false">
              <v:imagedata r:id="rId134" o:title=""/>
            </v:shape>
            <v:shape style="position:absolute;left:6573;top:-1592;width:2093;height:14" type="#_x0000_t75" stroked="false">
              <v:imagedata r:id="rId135" o:title=""/>
            </v:shape>
            <v:shape style="position:absolute;left:8651;top:-1587;width:1561;height:10" type="#_x0000_t75" stroked="false">
              <v:imagedata r:id="rId122" o:title=""/>
            </v:shape>
            <w10:wrap type="none"/>
          </v:group>
        </w:pict>
      </w:r>
      <w:r>
        <w:rPr/>
        <w:pict>
          <v:group style="position:absolute;margin-left:58.799999pt;margin-top:-68.316345pt;width:451.8pt;height:5.55pt;mso-position-horizontal-relative:page;mso-position-vertical-relative:paragraph;z-index:-1318624" coordorigin="1176,-1366" coordsize="9036,111">
            <v:shape style="position:absolute;left:1176;top:-1366;width:1349;height:110" type="#_x0000_t75" stroked="false">
              <v:imagedata r:id="rId131" o:title=""/>
            </v:shape>
            <v:shape style="position:absolute;left:2501;top:-1270;width:1337;height:14" type="#_x0000_t75" stroked="false">
              <v:imagedata r:id="rId136" o:title=""/>
            </v:shape>
            <v:shape style="position:absolute;left:3824;top:-1270;width:1498;height:14" type="#_x0000_t75" stroked="false">
              <v:imagedata r:id="rId133" o:title=""/>
            </v:shape>
            <v:shape style="position:absolute;left:5307;top:-1270;width:1280;height:14" type="#_x0000_t75" stroked="false">
              <v:imagedata r:id="rId137" o:title=""/>
            </v:shape>
            <v:shape style="position:absolute;left:6573;top:-1270;width:2093;height:14" type="#_x0000_t75" stroked="false">
              <v:imagedata r:id="rId135" o:title=""/>
            </v:shape>
            <v:shape style="position:absolute;left:8651;top:-1266;width:1561;height:10" type="#_x0000_t75" stroked="false">
              <v:imagedata r:id="rId127" o:title=""/>
            </v:shape>
            <w10:wrap type="none"/>
          </v:group>
        </w:pict>
      </w:r>
      <w:r>
        <w:rPr/>
        <w:pict>
          <v:group style="position:absolute;margin-left:125.779999pt;margin-top:-31.596308pt;width:384.8pt;height:.5pt;mso-position-horizontal-relative:page;mso-position-vertical-relative:paragraph;z-index:-1318600" coordorigin="2516,-632" coordsize="7696,10">
            <v:shape style="position:absolute;left:2516;top:-632;width:1313;height:10" type="#_x0000_t75" stroked="false">
              <v:imagedata r:id="rId138" o:title=""/>
            </v:shape>
            <v:shape style="position:absolute;left:3824;top:-632;width:1489;height:10" type="#_x0000_t75" stroked="false">
              <v:imagedata r:id="rId123" o:title=""/>
            </v:shape>
            <v:shape style="position:absolute;left:5307;top:-632;width:1270;height:10" type="#_x0000_t75" stroked="false">
              <v:imagedata r:id="rId117" o:title=""/>
            </v:shape>
            <v:shape style="position:absolute;left:6573;top:-632;width:2083;height:10" type="#_x0000_t75" stroked="false">
              <v:imagedata r:id="rId121" o:title=""/>
            </v:shape>
            <v:shape style="position:absolute;left:8651;top:-632;width:1561;height:10" type="#_x0000_t75" stroked="false">
              <v:imagedata r:id="rId122" o:title=""/>
            </v:shape>
            <w10:wrap type="none"/>
          </v:group>
        </w:pict>
      </w:r>
      <w:r>
        <w:rPr>
          <w:rFonts w:ascii="宋体" w:hAnsi="宋体" w:cs="宋体" w:eastAsia="宋体" w:hint="default"/>
          <w:b w:val="0"/>
          <w:bCs w:val="0"/>
          <w:w w:val="100"/>
        </w:rPr>
        <w:t>  </w:t>
      </w:r>
      <w:r>
        <w:rPr>
          <w:rFonts w:ascii="宋体" w:hAnsi="宋体" w:cs="宋体" w:eastAsia="宋体" w:hint="default"/>
          <w:w w:val="99"/>
        </w:rPr>
        <w:t>(2)</w:t>
      </w:r>
      <w:r>
        <w:rPr>
          <w:rFonts w:ascii="宋体" w:hAnsi="宋体" w:cs="宋体" w:eastAsia="宋体" w:hint="default"/>
          <w:spacing w:val="5"/>
          <w:w w:val="99"/>
        </w:rPr>
        <w:t>.</w:t>
      </w:r>
      <w:r>
        <w:rPr>
          <w:w w:val="100"/>
        </w:rPr>
        <w:t>重</w:t>
      </w:r>
      <w:r>
        <w:rPr>
          <w:spacing w:val="-1"/>
          <w:w w:val="100"/>
        </w:rPr>
        <w:t>要</w:t>
      </w:r>
      <w:r>
        <w:rPr>
          <w:w w:val="100"/>
        </w:rPr>
        <w:t>会计估计变</w:t>
      </w:r>
      <w:r>
        <w:rPr>
          <w:spacing w:val="-3"/>
          <w:w w:val="100"/>
        </w:rPr>
        <w:t>更</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23"/>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tabs>
          <w:tab w:pos="3117" w:val="left" w:leader="none"/>
        </w:tabs>
        <w:spacing w:line="240" w:lineRule="auto" w:before="37"/>
        <w:ind w:left="236" w:right="0"/>
        <w:jc w:val="left"/>
        <w:rPr>
          <w:rFonts w:ascii="宋体" w:hAnsi="宋体" w:cs="宋体" w:eastAsia="宋体" w:hint="default"/>
        </w:rPr>
      </w:pPr>
      <w:r>
        <w:rPr>
          <w:rFonts w:ascii="宋体"/>
          <w:w w:val="100"/>
        </w:rPr>
        <w:t> </w:t>
      </w:r>
      <w:r>
        <w:rPr>
          <w:rFonts w:ascii="宋体"/>
        </w:rPr>
        <w:tab/>
      </w:r>
      <w:r>
        <w:rPr>
          <w:rFonts w:ascii="宋体"/>
          <w:w w:val="100"/>
        </w:rPr>
        <w:t> </w:t>
      </w:r>
    </w:p>
    <w:p>
      <w:pPr>
        <w:spacing w:after="0" w:line="240" w:lineRule="auto"/>
        <w:jc w:val="left"/>
        <w:rPr>
          <w:rFonts w:ascii="宋体" w:hAnsi="宋体" w:cs="宋体" w:eastAsia="宋体" w:hint="default"/>
        </w:rPr>
        <w:sectPr>
          <w:pgSz w:w="11910" w:h="16840"/>
          <w:pgMar w:header="748" w:footer="974" w:top="1140" w:bottom="1160" w:left="1040" w:right="1580"/>
        </w:sectPr>
      </w:pPr>
    </w:p>
    <w:p>
      <w:pPr>
        <w:spacing w:line="240" w:lineRule="auto" w:before="2"/>
        <w:rPr>
          <w:rFonts w:ascii="宋体" w:hAnsi="宋体" w:cs="宋体" w:eastAsia="宋体" w:hint="default"/>
          <w:sz w:val="19"/>
          <w:szCs w:val="19"/>
        </w:rPr>
      </w:pPr>
    </w:p>
    <w:p>
      <w:pPr>
        <w:pStyle w:val="Heading3"/>
        <w:spacing w:line="256" w:lineRule="auto" w:before="36"/>
        <w:ind w:left="644" w:right="225" w:hanging="428"/>
        <w:jc w:val="left"/>
        <w:rPr>
          <w:rFonts w:ascii="宋体" w:hAnsi="宋体" w:cs="宋体" w:eastAsia="宋体" w:hint="default"/>
          <w:b w:val="0"/>
          <w:bCs w:val="0"/>
        </w:rPr>
      </w:pPr>
      <w:r>
        <w:rPr>
          <w:rFonts w:ascii="宋体" w:hAnsi="宋体" w:cs="宋体" w:eastAsia="宋体" w:hint="default"/>
        </w:rPr>
        <w:t>(3).</w:t>
      </w:r>
      <w:r>
        <w:rPr>
          <w:rFonts w:ascii="Times New Roman" w:hAnsi="Times New Roman" w:cs="Times New Roman" w:eastAsia="Times New Roman" w:hint="default"/>
        </w:rPr>
        <w:t>2019</w:t>
      </w:r>
      <w:r>
        <w:rPr>
          <w:rFonts w:ascii="Times New Roman" w:hAnsi="Times New Roman" w:cs="Times New Roman" w:eastAsia="Times New Roman" w:hint="default"/>
          <w:spacing w:val="32"/>
        </w:rPr>
        <w:t> </w:t>
      </w:r>
      <w:r>
        <w:rPr>
          <w:spacing w:val="-3"/>
        </w:rPr>
        <w:t>年起执行新金融工具准则、新收入准则或新租赁准则调整执行当年年初财务报表相关项</w:t>
      </w:r>
      <w:r>
        <w:rPr>
          <w:spacing w:val="-98"/>
        </w:rPr>
        <w:t> </w:t>
      </w:r>
      <w:r>
        <w:rPr>
          <w:spacing w:val="-98"/>
        </w:rPr>
      </w:r>
      <w:r>
        <w:rPr/>
        <w:t>目情况</w:t>
      </w:r>
      <w:r>
        <w:rPr>
          <w:rFonts w:ascii="宋体" w:hAnsi="宋体" w:cs="宋体" w:eastAsia="宋体" w:hint="default"/>
          <w:w w:val="99"/>
        </w:rPr>
        <w:t> </w:t>
      </w:r>
      <w:r>
        <w:rPr>
          <w:rFonts w:ascii="宋体" w:hAnsi="宋体" w:cs="宋体" w:eastAsia="宋体" w:hint="default"/>
          <w:b w:val="0"/>
          <w:bCs w:val="0"/>
        </w:rPr>
      </w:r>
    </w:p>
    <w:p>
      <w:pPr>
        <w:pStyle w:val="Heading2"/>
        <w:spacing w:line="240" w:lineRule="auto" w:before="54"/>
        <w:ind w:left="21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BodyText"/>
        <w:spacing w:line="240" w:lineRule="auto" w:before="25"/>
        <w:ind w:left="3823" w:right="3739"/>
        <w:jc w:val="center"/>
        <w:rPr>
          <w:rFonts w:ascii="宋体" w:hAnsi="宋体" w:cs="宋体" w:eastAsia="宋体" w:hint="default"/>
        </w:rPr>
      </w:pPr>
      <w:r>
        <w:rPr/>
        <w:t>合并资产负债表</w:t>
      </w:r>
      <w:r>
        <w:rPr>
          <w:rFonts w:ascii="宋体" w:hAnsi="宋体" w:cs="宋体" w:eastAsia="宋体" w:hint="default"/>
        </w:rPr>
        <w:t> </w:t>
      </w:r>
    </w:p>
    <w:p>
      <w:pPr>
        <w:pStyle w:val="BodyText"/>
        <w:spacing w:line="240" w:lineRule="auto" w:before="37"/>
        <w:ind w:left="0" w:right="128"/>
        <w:jc w:val="right"/>
        <w:rPr>
          <w:rFonts w:ascii="宋体" w:hAnsi="宋体" w:cs="宋体" w:eastAsia="宋体" w:hint="default"/>
        </w:rPr>
      </w:pPr>
      <w:r>
        <w:rPr>
          <w:spacing w:val="-2"/>
        </w:rPr>
        <w:t>单位</w:t>
      </w:r>
      <w:r>
        <w:rPr>
          <w:rFonts w:ascii="宋体" w:hAnsi="宋体" w:cs="宋体" w:eastAsia="宋体" w:hint="default"/>
          <w:spacing w:val="-2"/>
        </w:rPr>
        <w:t>:</w:t>
      </w:r>
      <w:r>
        <w:rPr>
          <w:spacing w:val="-2"/>
        </w:rPr>
        <w:t>元币种</w:t>
      </w:r>
      <w:r>
        <w:rPr>
          <w:rFonts w:ascii="宋体" w:hAnsi="宋体" w:cs="宋体" w:eastAsia="宋体" w:hint="default"/>
          <w:spacing w:val="-2"/>
        </w:rPr>
        <w:t>:</w:t>
      </w:r>
      <w:r>
        <w:rPr>
          <w:spacing w:val="-2"/>
        </w:rPr>
        <w:t>人民币</w:t>
      </w:r>
      <w:r>
        <w:rPr>
          <w:rFonts w:ascii="宋体" w:hAnsi="宋体" w:cs="宋体" w:eastAsia="宋体" w:hint="default"/>
        </w:rPr>
        <w:t> </w:t>
      </w:r>
    </w:p>
    <w:p>
      <w:pPr>
        <w:spacing w:line="240" w:lineRule="auto" w:before="10"/>
        <w:rPr>
          <w:rFonts w:ascii="宋体" w:hAnsi="宋体" w:cs="宋体" w:eastAsia="宋体" w:hint="default"/>
          <w:sz w:val="3"/>
          <w:szCs w:val="3"/>
        </w:rPr>
      </w:pPr>
    </w:p>
    <w:tbl>
      <w:tblPr>
        <w:tblW w:w="0" w:type="auto"/>
        <w:jc w:val="left"/>
        <w:tblInd w:w="103" w:type="dxa"/>
        <w:tblLayout w:type="fixed"/>
        <w:tblCellMar>
          <w:top w:w="0" w:type="dxa"/>
          <w:left w:w="0" w:type="dxa"/>
          <w:bottom w:w="0" w:type="dxa"/>
          <w:right w:w="0" w:type="dxa"/>
        </w:tblCellMar>
        <w:tblLook w:val="01E0"/>
      </w:tblPr>
      <w:tblGrid>
        <w:gridCol w:w="2496"/>
        <w:gridCol w:w="2276"/>
        <w:gridCol w:w="2278"/>
        <w:gridCol w:w="2000"/>
      </w:tblGrid>
      <w:tr>
        <w:trPr>
          <w:trHeight w:val="322"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6"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59" w:right="0"/>
              <w:jc w:val="left"/>
              <w:rPr>
                <w:rFonts w:ascii="宋体" w:hAnsi="宋体" w:cs="宋体" w:eastAsia="宋体" w:hint="default"/>
                <w:sz w:val="21"/>
                <w:szCs w:val="21"/>
              </w:rPr>
            </w:pPr>
            <w:r>
              <w:rPr>
                <w:rFonts w:ascii="宋体" w:hAnsi="宋体" w:cs="宋体" w:eastAsia="宋体" w:hint="default"/>
                <w:b/>
                <w:bCs/>
                <w:sz w:val="21"/>
                <w:szCs w:val="21"/>
              </w:rPr>
              <w:t>2018</w:t>
            </w:r>
            <w:r>
              <w:rPr>
                <w:rFonts w:ascii="宋体" w:hAnsi="宋体" w:cs="宋体" w:eastAsia="宋体" w:hint="default"/>
                <w:b/>
                <w:bCs/>
                <w:spacing w:val="-55"/>
                <w:sz w:val="21"/>
                <w:szCs w:val="21"/>
              </w:rPr>
              <w:t> </w:t>
            </w:r>
            <w:r>
              <w:rPr>
                <w:rFonts w:ascii="宋体" w:hAnsi="宋体" w:cs="宋体" w:eastAsia="宋体" w:hint="default"/>
                <w:b/>
                <w:bCs/>
                <w:sz w:val="21"/>
                <w:szCs w:val="21"/>
              </w:rPr>
              <w:t>年</w:t>
            </w:r>
            <w:r>
              <w:rPr>
                <w:rFonts w:ascii="宋体" w:hAnsi="宋体" w:cs="宋体" w:eastAsia="宋体" w:hint="default"/>
                <w:b/>
                <w:bCs/>
                <w:spacing w:val="-55"/>
                <w:sz w:val="21"/>
                <w:szCs w:val="21"/>
              </w:rPr>
              <w:t> </w:t>
            </w:r>
            <w:r>
              <w:rPr>
                <w:rFonts w:ascii="宋体" w:hAnsi="宋体" w:cs="宋体" w:eastAsia="宋体" w:hint="default"/>
                <w:b/>
                <w:bCs/>
                <w:sz w:val="21"/>
                <w:szCs w:val="21"/>
              </w:rPr>
              <w:t>12</w:t>
            </w:r>
            <w:r>
              <w:rPr>
                <w:rFonts w:ascii="宋体" w:hAnsi="宋体" w:cs="宋体" w:eastAsia="宋体" w:hint="default"/>
                <w:b/>
                <w:bCs/>
                <w:spacing w:val="-55"/>
                <w:sz w:val="21"/>
                <w:szCs w:val="21"/>
              </w:rPr>
              <w:t> </w:t>
            </w:r>
            <w:r>
              <w:rPr>
                <w:rFonts w:ascii="宋体" w:hAnsi="宋体" w:cs="宋体" w:eastAsia="宋体" w:hint="default"/>
                <w:b/>
                <w:bCs/>
                <w:sz w:val="21"/>
                <w:szCs w:val="21"/>
              </w:rPr>
              <w:t>月</w:t>
            </w:r>
            <w:r>
              <w:rPr>
                <w:rFonts w:ascii="宋体" w:hAnsi="宋体" w:cs="宋体" w:eastAsia="宋体" w:hint="default"/>
                <w:b/>
                <w:bCs/>
                <w:spacing w:val="-55"/>
                <w:sz w:val="21"/>
                <w:szCs w:val="21"/>
              </w:rPr>
              <w:t> </w:t>
            </w:r>
            <w:r>
              <w:rPr>
                <w:rFonts w:ascii="宋体" w:hAnsi="宋体" w:cs="宋体" w:eastAsia="宋体" w:hint="default"/>
                <w:b/>
                <w:bCs/>
                <w:sz w:val="21"/>
                <w:szCs w:val="21"/>
              </w:rPr>
              <w:t>31</w:t>
            </w:r>
            <w:r>
              <w:rPr>
                <w:rFonts w:ascii="宋体" w:hAnsi="宋体" w:cs="宋体" w:eastAsia="宋体" w:hint="default"/>
                <w:b/>
                <w:bCs/>
                <w:spacing w:val="-55"/>
                <w:sz w:val="21"/>
                <w:szCs w:val="21"/>
              </w:rPr>
              <w:t> </w:t>
            </w:r>
            <w:r>
              <w:rPr>
                <w:rFonts w:ascii="宋体" w:hAnsi="宋体" w:cs="宋体" w:eastAsia="宋体" w:hint="default"/>
                <w:b/>
                <w:bCs/>
                <w:sz w:val="21"/>
                <w:szCs w:val="21"/>
              </w:rPr>
              <w:t>日</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67" w:right="0"/>
              <w:jc w:val="left"/>
              <w:rPr>
                <w:rFonts w:ascii="宋体" w:hAnsi="宋体" w:cs="宋体" w:eastAsia="宋体" w:hint="default"/>
                <w:sz w:val="21"/>
                <w:szCs w:val="21"/>
              </w:rPr>
            </w:pPr>
            <w:r>
              <w:rPr>
                <w:rFonts w:ascii="宋体" w:hAnsi="宋体" w:cs="宋体" w:eastAsia="宋体" w:hint="default"/>
                <w:b/>
                <w:bCs/>
                <w:sz w:val="21"/>
                <w:szCs w:val="21"/>
              </w:rPr>
              <w:t>2019</w:t>
            </w:r>
            <w:r>
              <w:rPr>
                <w:rFonts w:ascii="宋体" w:hAnsi="宋体" w:cs="宋体" w:eastAsia="宋体" w:hint="default"/>
                <w:b/>
                <w:bCs/>
                <w:spacing w:val="-54"/>
                <w:sz w:val="21"/>
                <w:szCs w:val="21"/>
              </w:rPr>
              <w:t> </w:t>
            </w:r>
            <w:r>
              <w:rPr>
                <w:rFonts w:ascii="宋体" w:hAnsi="宋体" w:cs="宋体" w:eastAsia="宋体" w:hint="default"/>
                <w:b/>
                <w:bCs/>
                <w:sz w:val="21"/>
                <w:szCs w:val="21"/>
              </w:rPr>
              <w:t>年</w:t>
            </w:r>
            <w:r>
              <w:rPr>
                <w:rFonts w:ascii="宋体" w:hAnsi="宋体" w:cs="宋体" w:eastAsia="宋体" w:hint="default"/>
                <w:b/>
                <w:bCs/>
                <w:spacing w:val="-55"/>
                <w:sz w:val="21"/>
                <w:szCs w:val="21"/>
              </w:rPr>
              <w:t> </w:t>
            </w:r>
            <w:r>
              <w:rPr>
                <w:rFonts w:ascii="宋体" w:hAnsi="宋体" w:cs="宋体" w:eastAsia="宋体" w:hint="default"/>
                <w:b/>
                <w:bCs/>
                <w:sz w:val="21"/>
                <w:szCs w:val="21"/>
              </w:rPr>
              <w:t>1</w:t>
            </w:r>
            <w:r>
              <w:rPr>
                <w:rFonts w:ascii="宋体" w:hAnsi="宋体" w:cs="宋体" w:eastAsia="宋体" w:hint="default"/>
                <w:b/>
                <w:bCs/>
                <w:spacing w:val="-55"/>
                <w:sz w:val="21"/>
                <w:szCs w:val="21"/>
              </w:rPr>
              <w:t> </w:t>
            </w:r>
            <w:r>
              <w:rPr>
                <w:rFonts w:ascii="宋体" w:hAnsi="宋体" w:cs="宋体" w:eastAsia="宋体" w:hint="default"/>
                <w:b/>
                <w:bCs/>
                <w:sz w:val="21"/>
                <w:szCs w:val="21"/>
              </w:rPr>
              <w:t>月</w:t>
            </w:r>
            <w:r>
              <w:rPr>
                <w:rFonts w:ascii="宋体" w:hAnsi="宋体" w:cs="宋体" w:eastAsia="宋体" w:hint="default"/>
                <w:b/>
                <w:bCs/>
                <w:spacing w:val="-55"/>
                <w:sz w:val="21"/>
                <w:szCs w:val="21"/>
              </w:rPr>
              <w:t> </w:t>
            </w:r>
            <w:r>
              <w:rPr>
                <w:rFonts w:ascii="宋体" w:hAnsi="宋体" w:cs="宋体" w:eastAsia="宋体" w:hint="default"/>
                <w:b/>
                <w:bCs/>
                <w:sz w:val="21"/>
                <w:szCs w:val="21"/>
              </w:rPr>
              <w:t>1</w:t>
            </w:r>
            <w:r>
              <w:rPr>
                <w:rFonts w:ascii="宋体" w:hAnsi="宋体" w:cs="宋体" w:eastAsia="宋体" w:hint="default"/>
                <w:b/>
                <w:bCs/>
                <w:spacing w:val="-55"/>
                <w:sz w:val="21"/>
                <w:szCs w:val="21"/>
              </w:rPr>
              <w:t> </w:t>
            </w:r>
            <w:r>
              <w:rPr>
                <w:rFonts w:ascii="宋体" w:hAnsi="宋体" w:cs="宋体" w:eastAsia="宋体" w:hint="default"/>
                <w:b/>
                <w:bCs/>
                <w:sz w:val="21"/>
                <w:szCs w:val="21"/>
              </w:rPr>
              <w:t>日</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676" w:right="0"/>
              <w:jc w:val="left"/>
              <w:rPr>
                <w:rFonts w:ascii="宋体" w:hAnsi="宋体" w:cs="宋体" w:eastAsia="宋体" w:hint="default"/>
                <w:sz w:val="21"/>
                <w:szCs w:val="21"/>
              </w:rPr>
            </w:pPr>
            <w:r>
              <w:rPr>
                <w:rFonts w:ascii="宋体" w:hAnsi="宋体" w:cs="宋体" w:eastAsia="宋体" w:hint="default"/>
                <w:b/>
                <w:bCs/>
                <w:sz w:val="21"/>
                <w:szCs w:val="21"/>
              </w:rPr>
              <w:t>调整数</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322"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流动资产：</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1" w:right="0"/>
              <w:jc w:val="center"/>
              <w:rPr>
                <w:rFonts w:ascii="宋体" w:hAnsi="宋体" w:cs="宋体" w:eastAsia="宋体" w:hint="default"/>
                <w:sz w:val="21"/>
                <w:szCs w:val="21"/>
              </w:rPr>
            </w:pPr>
            <w:r>
              <w:rPr>
                <w:rFonts w:ascii="宋体"/>
                <w:b/>
                <w:w w:val="99"/>
                <w:sz w:val="21"/>
              </w:rPr>
              <w:t> </w:t>
            </w:r>
            <w:r>
              <w:rPr>
                <w:rFonts w:ascii="宋体"/>
                <w:sz w:val="21"/>
              </w:rPr>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center"/>
              <w:rPr>
                <w:rFonts w:ascii="宋体" w:hAnsi="宋体" w:cs="宋体" w:eastAsia="宋体" w:hint="default"/>
                <w:sz w:val="21"/>
                <w:szCs w:val="21"/>
              </w:rPr>
            </w:pPr>
            <w:r>
              <w:rPr>
                <w:rFonts w:ascii="宋体"/>
                <w:b/>
                <w:w w:val="99"/>
                <w:sz w:val="21"/>
              </w:rPr>
              <w:t> </w:t>
            </w:r>
            <w:r>
              <w:rPr>
                <w:rFonts w:ascii="宋体"/>
                <w:sz w:val="21"/>
              </w:rPr>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center"/>
              <w:rPr>
                <w:rFonts w:ascii="宋体" w:hAnsi="宋体" w:cs="宋体" w:eastAsia="宋体" w:hint="default"/>
                <w:sz w:val="21"/>
                <w:szCs w:val="21"/>
              </w:rPr>
            </w:pPr>
            <w:r>
              <w:rPr>
                <w:rFonts w:ascii="宋体"/>
                <w:b/>
                <w:w w:val="99"/>
                <w:sz w:val="21"/>
              </w:rPr>
              <w:t> </w:t>
            </w:r>
            <w:r>
              <w:rPr>
                <w:rFonts w:ascii="宋体"/>
                <w:sz w:val="21"/>
              </w:rPr>
            </w:r>
          </w:p>
        </w:tc>
      </w:tr>
      <w:tr>
        <w:trPr>
          <w:trHeight w:val="322"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货币资金</w:t>
            </w:r>
            <w:r>
              <w:rPr>
                <w:rFonts w:ascii="宋体" w:hAnsi="宋体" w:cs="宋体" w:eastAsia="宋体" w:hint="default"/>
                <w:sz w:val="21"/>
                <w:szCs w:val="21"/>
              </w:rPr>
              <w:t> </w:t>
            </w:r>
          </w:p>
        </w:tc>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2,188,424,717.93</w:t>
            </w:r>
            <w:r>
              <w:rPr>
                <w:rFonts w:ascii="宋体"/>
                <w:sz w:val="21"/>
              </w:rPr>
              <w:t> </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2,188,424,717.93</w:t>
            </w:r>
            <w:r>
              <w:rPr>
                <w:rFonts w:ascii="宋体"/>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4"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314" w:right="0"/>
              <w:jc w:val="left"/>
              <w:rPr>
                <w:rFonts w:ascii="宋体" w:hAnsi="宋体" w:cs="宋体" w:eastAsia="宋体" w:hint="default"/>
                <w:sz w:val="21"/>
                <w:szCs w:val="21"/>
              </w:rPr>
            </w:pPr>
            <w:r>
              <w:rPr>
                <w:rFonts w:ascii="宋体" w:hAnsi="宋体" w:cs="宋体" w:eastAsia="宋体" w:hint="default"/>
                <w:sz w:val="21"/>
                <w:szCs w:val="21"/>
              </w:rPr>
              <w:t>结算备付金</w:t>
            </w:r>
            <w:r>
              <w:rPr>
                <w:rFonts w:ascii="宋体" w:hAnsi="宋体" w:cs="宋体" w:eastAsia="宋体" w:hint="default"/>
                <w:sz w:val="21"/>
                <w:szCs w:val="21"/>
              </w:rPr>
              <w:t> </w:t>
            </w:r>
          </w:p>
        </w:tc>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
              <w:jc w:val="right"/>
              <w:rPr>
                <w:rFonts w:ascii="宋体" w:hAnsi="宋体" w:cs="宋体" w:eastAsia="宋体" w:hint="default"/>
                <w:sz w:val="21"/>
                <w:szCs w:val="21"/>
              </w:rPr>
            </w:pPr>
            <w:r>
              <w:rPr>
                <w:rFonts w:ascii="宋体"/>
                <w:w w:val="100"/>
                <w:sz w:val="21"/>
              </w:rPr>
              <w:t> </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w w:val="100"/>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拆出资金</w:t>
            </w:r>
            <w:r>
              <w:rPr>
                <w:rFonts w:ascii="宋体" w:hAnsi="宋体" w:cs="宋体" w:eastAsia="宋体" w:hint="default"/>
                <w:sz w:val="21"/>
                <w:szCs w:val="21"/>
              </w:rPr>
              <w:t> </w:t>
            </w:r>
          </w:p>
        </w:tc>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交易性金融资产</w:t>
            </w:r>
            <w:r>
              <w:rPr>
                <w:rFonts w:ascii="宋体" w:hAnsi="宋体" w:cs="宋体" w:eastAsia="宋体" w:hint="default"/>
                <w:sz w:val="21"/>
                <w:szCs w:val="21"/>
              </w:rPr>
              <w:t> </w:t>
            </w:r>
          </w:p>
        </w:tc>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1,332,657,345.90</w:t>
            </w:r>
            <w:r>
              <w:rPr>
                <w:rFonts w:ascii="宋体"/>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3"/>
              <w:jc w:val="right"/>
              <w:rPr>
                <w:rFonts w:ascii="宋体" w:hAnsi="宋体" w:cs="宋体" w:eastAsia="宋体" w:hint="default"/>
                <w:sz w:val="21"/>
                <w:szCs w:val="21"/>
              </w:rPr>
            </w:pPr>
            <w:r>
              <w:rPr>
                <w:rFonts w:ascii="Times New Roman"/>
                <w:spacing w:val="-1"/>
                <w:sz w:val="18"/>
              </w:rPr>
              <w:t>1,332,657,345.90</w:t>
            </w:r>
            <w:r>
              <w:rPr>
                <w:rFonts w:ascii="宋体"/>
                <w:spacing w:val="-1"/>
                <w:w w:val="100"/>
                <w:sz w:val="21"/>
              </w:rPr>
              <w:t> </w:t>
            </w:r>
          </w:p>
        </w:tc>
      </w:tr>
      <w:tr>
        <w:trPr>
          <w:trHeight w:val="946"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76" w:firstLine="211"/>
              <w:jc w:val="both"/>
              <w:rPr>
                <w:rFonts w:ascii="宋体" w:hAnsi="宋体" w:cs="宋体" w:eastAsia="宋体" w:hint="default"/>
                <w:sz w:val="21"/>
                <w:szCs w:val="21"/>
              </w:rPr>
            </w:pPr>
            <w:r>
              <w:rPr>
                <w:rFonts w:ascii="宋体" w:hAnsi="宋体" w:cs="宋体" w:eastAsia="宋体" w:hint="default"/>
                <w:sz w:val="21"/>
                <w:szCs w:val="21"/>
              </w:rPr>
              <w:t>以公允价值计量且其</w:t>
            </w:r>
            <w:r>
              <w:rPr>
                <w:rFonts w:ascii="宋体" w:hAnsi="宋体" w:cs="宋体" w:eastAsia="宋体" w:hint="default"/>
                <w:w w:val="100"/>
                <w:sz w:val="21"/>
                <w:szCs w:val="21"/>
              </w:rPr>
              <w:t> </w:t>
            </w:r>
            <w:r>
              <w:rPr>
                <w:rFonts w:ascii="宋体" w:hAnsi="宋体" w:cs="宋体" w:eastAsia="宋体" w:hint="default"/>
                <w:spacing w:val="-2"/>
                <w:sz w:val="21"/>
                <w:szCs w:val="21"/>
              </w:rPr>
              <w:t>变动计入当期损益的金</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融资产</w:t>
            </w:r>
            <w:r>
              <w:rPr>
                <w:rFonts w:ascii="宋体" w:hAnsi="宋体" w:cs="宋体" w:eastAsia="宋体" w:hint="default"/>
                <w:sz w:val="21"/>
                <w:szCs w:val="21"/>
              </w:rPr>
              <w:t> </w:t>
            </w:r>
          </w:p>
        </w:tc>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
              <w:jc w:val="right"/>
              <w:rPr>
                <w:rFonts w:ascii="宋体" w:hAnsi="宋体" w:cs="宋体" w:eastAsia="宋体" w:hint="default"/>
                <w:sz w:val="21"/>
                <w:szCs w:val="21"/>
              </w:rPr>
            </w:pPr>
            <w:r>
              <w:rPr>
                <w:rFonts w:ascii="宋体"/>
                <w:w w:val="100"/>
                <w:sz w:val="21"/>
              </w:rPr>
              <w:t> </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r>
      <w:tr>
        <w:trPr>
          <w:trHeight w:val="322"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衍生金融资产</w:t>
            </w:r>
            <w:r>
              <w:rPr>
                <w:rFonts w:ascii="宋体" w:hAnsi="宋体" w:cs="宋体" w:eastAsia="宋体" w:hint="default"/>
                <w:sz w:val="21"/>
                <w:szCs w:val="21"/>
              </w:rPr>
              <w:t> </w:t>
            </w:r>
          </w:p>
        </w:tc>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应收票据</w:t>
            </w:r>
            <w:r>
              <w:rPr>
                <w:rFonts w:ascii="宋体" w:hAnsi="宋体" w:cs="宋体" w:eastAsia="宋体" w:hint="default"/>
                <w:sz w:val="21"/>
                <w:szCs w:val="21"/>
              </w:rPr>
              <w:t> </w:t>
            </w:r>
          </w:p>
        </w:tc>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46,033,292.54</w:t>
            </w:r>
            <w:r>
              <w:rPr>
                <w:rFonts w:ascii="宋体"/>
                <w:sz w:val="21"/>
              </w:rPr>
              <w:t> </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32,742,600.56</w:t>
            </w:r>
            <w:r>
              <w:rPr>
                <w:rFonts w:ascii="宋体"/>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3"/>
              <w:jc w:val="right"/>
              <w:rPr>
                <w:rFonts w:ascii="宋体" w:hAnsi="宋体" w:cs="宋体" w:eastAsia="宋体" w:hint="default"/>
                <w:sz w:val="21"/>
                <w:szCs w:val="21"/>
              </w:rPr>
            </w:pPr>
            <w:r>
              <w:rPr>
                <w:rFonts w:ascii="Times New Roman"/>
                <w:spacing w:val="-1"/>
                <w:sz w:val="18"/>
              </w:rPr>
              <w:t>-13,290,691.98</w:t>
            </w:r>
            <w:r>
              <w:rPr>
                <w:rFonts w:ascii="宋体"/>
                <w:w w:val="100"/>
                <w:sz w:val="21"/>
              </w:rPr>
              <w:t> </w:t>
            </w:r>
          </w:p>
        </w:tc>
      </w:tr>
      <w:tr>
        <w:trPr>
          <w:trHeight w:val="324"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314" w:right="0"/>
              <w:jc w:val="left"/>
              <w:rPr>
                <w:rFonts w:ascii="宋体" w:hAnsi="宋体" w:cs="宋体" w:eastAsia="宋体" w:hint="default"/>
                <w:sz w:val="21"/>
                <w:szCs w:val="21"/>
              </w:rPr>
            </w:pPr>
            <w:r>
              <w:rPr>
                <w:rFonts w:ascii="宋体" w:hAnsi="宋体" w:cs="宋体" w:eastAsia="宋体" w:hint="default"/>
                <w:sz w:val="21"/>
                <w:szCs w:val="21"/>
              </w:rPr>
              <w:t>应收账款</w:t>
            </w:r>
            <w:r>
              <w:rPr>
                <w:rFonts w:ascii="宋体" w:hAnsi="宋体" w:cs="宋体" w:eastAsia="宋体" w:hint="default"/>
                <w:sz w:val="21"/>
                <w:szCs w:val="21"/>
              </w:rPr>
              <w:t> </w:t>
            </w:r>
          </w:p>
        </w:tc>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
              <w:jc w:val="right"/>
              <w:rPr>
                <w:rFonts w:ascii="宋体" w:hAnsi="宋体" w:cs="宋体" w:eastAsia="宋体" w:hint="default"/>
                <w:sz w:val="21"/>
                <w:szCs w:val="21"/>
              </w:rPr>
            </w:pPr>
            <w:r>
              <w:rPr>
                <w:rFonts w:ascii="宋体"/>
                <w:spacing w:val="-1"/>
                <w:sz w:val="21"/>
              </w:rPr>
              <w:t>2,847,213,574.22</w:t>
            </w:r>
            <w:r>
              <w:rPr>
                <w:rFonts w:ascii="宋体"/>
                <w:sz w:val="21"/>
              </w:rPr>
              <w:t> </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spacing w:val="-1"/>
                <w:sz w:val="21"/>
              </w:rPr>
              <w:t>2,824,162,916.27</w:t>
            </w:r>
            <w:r>
              <w:rPr>
                <w:rFonts w:ascii="宋体"/>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3"/>
              <w:jc w:val="right"/>
              <w:rPr>
                <w:rFonts w:ascii="宋体" w:hAnsi="宋体" w:cs="宋体" w:eastAsia="宋体" w:hint="default"/>
                <w:sz w:val="21"/>
                <w:szCs w:val="21"/>
              </w:rPr>
            </w:pPr>
            <w:r>
              <w:rPr>
                <w:rFonts w:ascii="Times New Roman"/>
                <w:spacing w:val="-1"/>
                <w:sz w:val="18"/>
              </w:rPr>
              <w:t>-23,050,657.95</w:t>
            </w:r>
            <w:r>
              <w:rPr>
                <w:rFonts w:ascii="宋体"/>
                <w:w w:val="100"/>
                <w:sz w:val="21"/>
              </w:rPr>
              <w:t> </w:t>
            </w:r>
          </w:p>
        </w:tc>
      </w:tr>
      <w:tr>
        <w:trPr>
          <w:trHeight w:val="322"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应收款项融资</w:t>
            </w:r>
            <w:r>
              <w:rPr>
                <w:rFonts w:ascii="宋体" w:hAnsi="宋体" w:cs="宋体" w:eastAsia="宋体" w:hint="default"/>
                <w:sz w:val="21"/>
                <w:szCs w:val="21"/>
              </w:rPr>
              <w:t> </w:t>
            </w:r>
          </w:p>
        </w:tc>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13,290,691.98</w:t>
            </w:r>
            <w:r>
              <w:rPr>
                <w:rFonts w:ascii="宋体"/>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3"/>
              <w:jc w:val="right"/>
              <w:rPr>
                <w:rFonts w:ascii="宋体" w:hAnsi="宋体" w:cs="宋体" w:eastAsia="宋体" w:hint="default"/>
                <w:sz w:val="21"/>
                <w:szCs w:val="21"/>
              </w:rPr>
            </w:pPr>
            <w:r>
              <w:rPr>
                <w:rFonts w:ascii="Times New Roman"/>
                <w:spacing w:val="-1"/>
                <w:sz w:val="18"/>
              </w:rPr>
              <w:t>13,290,691.98</w:t>
            </w:r>
            <w:r>
              <w:rPr>
                <w:rFonts w:ascii="宋体"/>
                <w:spacing w:val="-1"/>
                <w:w w:val="100"/>
                <w:sz w:val="21"/>
              </w:rPr>
              <w:t> </w:t>
            </w:r>
          </w:p>
        </w:tc>
      </w:tr>
      <w:tr>
        <w:trPr>
          <w:trHeight w:val="322"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预付款项</w:t>
            </w:r>
            <w:r>
              <w:rPr>
                <w:rFonts w:ascii="宋体" w:hAnsi="宋体" w:cs="宋体" w:eastAsia="宋体" w:hint="default"/>
                <w:sz w:val="21"/>
                <w:szCs w:val="21"/>
              </w:rPr>
              <w:t> </w:t>
            </w:r>
          </w:p>
        </w:tc>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108,363,988.14</w:t>
            </w:r>
            <w:r>
              <w:rPr>
                <w:rFonts w:ascii="宋体"/>
                <w:sz w:val="21"/>
              </w:rPr>
              <w:t> </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108,363,988.14</w:t>
            </w:r>
            <w:r>
              <w:rPr>
                <w:rFonts w:ascii="宋体"/>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应收保费</w:t>
            </w:r>
            <w:r>
              <w:rPr>
                <w:rFonts w:ascii="宋体" w:hAnsi="宋体" w:cs="宋体" w:eastAsia="宋体" w:hint="default"/>
                <w:sz w:val="21"/>
                <w:szCs w:val="21"/>
              </w:rPr>
              <w:t> </w:t>
            </w:r>
          </w:p>
        </w:tc>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应收分保账款</w:t>
            </w:r>
            <w:r>
              <w:rPr>
                <w:rFonts w:ascii="宋体" w:hAnsi="宋体" w:cs="宋体" w:eastAsia="宋体" w:hint="default"/>
                <w:sz w:val="21"/>
                <w:szCs w:val="21"/>
              </w:rPr>
              <w:t> </w:t>
            </w:r>
          </w:p>
        </w:tc>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73"/>
              <w:jc w:val="right"/>
              <w:rPr>
                <w:rFonts w:ascii="宋体" w:hAnsi="宋体" w:cs="宋体" w:eastAsia="宋体" w:hint="default"/>
                <w:sz w:val="21"/>
                <w:szCs w:val="21"/>
              </w:rPr>
            </w:pPr>
            <w:r>
              <w:rPr>
                <w:rFonts w:ascii="宋体" w:hAnsi="宋体" w:cs="宋体" w:eastAsia="宋体" w:hint="default"/>
                <w:spacing w:val="-2"/>
                <w:sz w:val="21"/>
                <w:szCs w:val="21"/>
              </w:rPr>
              <w:t>应收分保合同准备金</w:t>
            </w:r>
            <w:r>
              <w:rPr>
                <w:rFonts w:ascii="宋体" w:hAnsi="宋体" w:cs="宋体" w:eastAsia="宋体" w:hint="default"/>
                <w:sz w:val="21"/>
                <w:szCs w:val="21"/>
              </w:rPr>
              <w:t> </w:t>
            </w:r>
          </w:p>
        </w:tc>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4"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其他应收款</w:t>
            </w:r>
            <w:r>
              <w:rPr>
                <w:rFonts w:ascii="宋体" w:hAnsi="宋体" w:cs="宋体" w:eastAsia="宋体" w:hint="default"/>
                <w:sz w:val="21"/>
                <w:szCs w:val="21"/>
              </w:rPr>
              <w:t> </w:t>
            </w:r>
          </w:p>
        </w:tc>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
              <w:jc w:val="right"/>
              <w:rPr>
                <w:rFonts w:ascii="宋体" w:hAnsi="宋体" w:cs="宋体" w:eastAsia="宋体" w:hint="default"/>
                <w:sz w:val="21"/>
                <w:szCs w:val="21"/>
              </w:rPr>
            </w:pPr>
            <w:r>
              <w:rPr>
                <w:rFonts w:ascii="宋体"/>
                <w:spacing w:val="-1"/>
                <w:sz w:val="21"/>
              </w:rPr>
              <w:t>55,982,635.30</w:t>
            </w:r>
            <w:r>
              <w:rPr>
                <w:rFonts w:ascii="宋体"/>
                <w:sz w:val="21"/>
              </w:rPr>
              <w:t> </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spacing w:val="-1"/>
                <w:sz w:val="21"/>
              </w:rPr>
              <w:t>55,077,956.90</w:t>
            </w:r>
            <w:r>
              <w:rPr>
                <w:rFonts w:ascii="宋体"/>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3"/>
              <w:jc w:val="right"/>
              <w:rPr>
                <w:rFonts w:ascii="宋体" w:hAnsi="宋体" w:cs="宋体" w:eastAsia="宋体" w:hint="default"/>
                <w:sz w:val="21"/>
                <w:szCs w:val="21"/>
              </w:rPr>
            </w:pPr>
            <w:r>
              <w:rPr>
                <w:rFonts w:ascii="Times New Roman"/>
                <w:spacing w:val="-1"/>
                <w:sz w:val="18"/>
              </w:rPr>
              <w:t>-904,678.40</w:t>
            </w:r>
            <w:r>
              <w:rPr>
                <w:rFonts w:ascii="宋体"/>
                <w:w w:val="100"/>
                <w:sz w:val="21"/>
              </w:rPr>
              <w:t> </w:t>
            </w:r>
          </w:p>
        </w:tc>
      </w:tr>
      <w:tr>
        <w:trPr>
          <w:trHeight w:val="322"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其中：应收利息</w:t>
            </w:r>
            <w:r>
              <w:rPr>
                <w:rFonts w:ascii="宋体" w:hAnsi="宋体" w:cs="宋体" w:eastAsia="宋体" w:hint="default"/>
                <w:sz w:val="21"/>
                <w:szCs w:val="21"/>
              </w:rPr>
              <w:t> </w:t>
            </w:r>
          </w:p>
        </w:tc>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2,687,513.89</w:t>
            </w:r>
            <w:r>
              <w:rPr>
                <w:rFonts w:ascii="宋体"/>
                <w:sz w:val="21"/>
              </w:rPr>
              <w:t> </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2,687,513.89</w:t>
            </w:r>
            <w:r>
              <w:rPr>
                <w:rFonts w:ascii="宋体"/>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943" w:right="0"/>
              <w:jc w:val="left"/>
              <w:rPr>
                <w:rFonts w:ascii="宋体" w:hAnsi="宋体" w:cs="宋体" w:eastAsia="宋体" w:hint="default"/>
                <w:sz w:val="21"/>
                <w:szCs w:val="21"/>
              </w:rPr>
            </w:pPr>
            <w:r>
              <w:rPr>
                <w:rFonts w:ascii="宋体" w:hAnsi="宋体" w:cs="宋体" w:eastAsia="宋体" w:hint="default"/>
                <w:sz w:val="21"/>
                <w:szCs w:val="21"/>
              </w:rPr>
              <w:t>应收股利</w:t>
            </w:r>
            <w:r>
              <w:rPr>
                <w:rFonts w:ascii="宋体" w:hAnsi="宋体" w:cs="宋体" w:eastAsia="宋体" w:hint="default"/>
                <w:sz w:val="21"/>
                <w:szCs w:val="21"/>
              </w:rPr>
              <w:t> </w:t>
            </w:r>
          </w:p>
        </w:tc>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买入返售金融资产</w:t>
            </w:r>
            <w:r>
              <w:rPr>
                <w:rFonts w:ascii="宋体" w:hAnsi="宋体" w:cs="宋体" w:eastAsia="宋体" w:hint="default"/>
                <w:sz w:val="21"/>
                <w:szCs w:val="21"/>
              </w:rPr>
              <w:t> </w:t>
            </w:r>
          </w:p>
        </w:tc>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存货</w:t>
            </w:r>
            <w:r>
              <w:rPr>
                <w:rFonts w:ascii="宋体" w:hAnsi="宋体" w:cs="宋体" w:eastAsia="宋体" w:hint="default"/>
                <w:sz w:val="21"/>
                <w:szCs w:val="21"/>
              </w:rPr>
              <w:t> </w:t>
            </w:r>
          </w:p>
        </w:tc>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459,804,650.78</w:t>
            </w:r>
            <w:r>
              <w:rPr>
                <w:rFonts w:ascii="宋体"/>
                <w:sz w:val="21"/>
              </w:rPr>
              <w:t> </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459,804,650.78</w:t>
            </w:r>
            <w:r>
              <w:rPr>
                <w:rFonts w:ascii="宋体"/>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持有待售资产</w:t>
            </w:r>
            <w:r>
              <w:rPr>
                <w:rFonts w:ascii="宋体" w:hAnsi="宋体" w:cs="宋体" w:eastAsia="宋体" w:hint="default"/>
                <w:sz w:val="21"/>
                <w:szCs w:val="21"/>
              </w:rPr>
              <w:t> </w:t>
            </w:r>
          </w:p>
        </w:tc>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636"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76" w:firstLine="211"/>
              <w:jc w:val="left"/>
              <w:rPr>
                <w:rFonts w:ascii="宋体" w:hAnsi="宋体" w:cs="宋体" w:eastAsia="宋体" w:hint="default"/>
                <w:sz w:val="21"/>
                <w:szCs w:val="21"/>
              </w:rPr>
            </w:pPr>
            <w:r>
              <w:rPr>
                <w:rFonts w:ascii="宋体" w:hAnsi="宋体" w:cs="宋体" w:eastAsia="宋体" w:hint="default"/>
                <w:sz w:val="21"/>
                <w:szCs w:val="21"/>
              </w:rPr>
              <w:t>一年内到期的非流动</w:t>
            </w:r>
            <w:r>
              <w:rPr>
                <w:rFonts w:ascii="宋体" w:hAnsi="宋体" w:cs="宋体" w:eastAsia="宋体" w:hint="default"/>
                <w:w w:val="100"/>
                <w:sz w:val="21"/>
                <w:szCs w:val="21"/>
              </w:rPr>
              <w:t> </w:t>
            </w:r>
            <w:r>
              <w:rPr>
                <w:rFonts w:ascii="宋体" w:hAnsi="宋体" w:cs="宋体" w:eastAsia="宋体" w:hint="default"/>
                <w:sz w:val="21"/>
                <w:szCs w:val="21"/>
              </w:rPr>
              <w:t>资产</w:t>
            </w:r>
            <w:r>
              <w:rPr>
                <w:rFonts w:ascii="宋体" w:hAnsi="宋体" w:cs="宋体" w:eastAsia="宋体" w:hint="default"/>
                <w:sz w:val="21"/>
                <w:szCs w:val="21"/>
              </w:rPr>
              <w:t> </w:t>
            </w:r>
          </w:p>
        </w:tc>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
              <w:jc w:val="right"/>
              <w:rPr>
                <w:rFonts w:ascii="宋体" w:hAnsi="宋体" w:cs="宋体" w:eastAsia="宋体" w:hint="default"/>
                <w:sz w:val="21"/>
                <w:szCs w:val="21"/>
              </w:rPr>
            </w:pPr>
            <w:r>
              <w:rPr>
                <w:rFonts w:ascii="宋体"/>
                <w:spacing w:val="-1"/>
                <w:sz w:val="21"/>
              </w:rPr>
              <w:t>32,624,355.07</w:t>
            </w:r>
            <w:r>
              <w:rPr>
                <w:rFonts w:ascii="宋体"/>
                <w:sz w:val="21"/>
              </w:rPr>
              <w:t> </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3"/>
              <w:jc w:val="right"/>
              <w:rPr>
                <w:rFonts w:ascii="宋体" w:hAnsi="宋体" w:cs="宋体" w:eastAsia="宋体" w:hint="default"/>
                <w:sz w:val="21"/>
                <w:szCs w:val="21"/>
              </w:rPr>
            </w:pPr>
            <w:r>
              <w:rPr>
                <w:rFonts w:ascii="宋体"/>
                <w:spacing w:val="-1"/>
                <w:sz w:val="21"/>
              </w:rPr>
              <w:t>32,624,355.07</w:t>
            </w:r>
            <w:r>
              <w:rPr>
                <w:rFonts w:ascii="宋体"/>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3"/>
              <w:jc w:val="right"/>
              <w:rPr>
                <w:rFonts w:ascii="宋体" w:hAnsi="宋体" w:cs="宋体" w:eastAsia="宋体" w:hint="default"/>
                <w:sz w:val="21"/>
                <w:szCs w:val="21"/>
              </w:rPr>
            </w:pPr>
            <w:r>
              <w:rPr>
                <w:rFonts w:ascii="宋体"/>
                <w:w w:val="100"/>
                <w:sz w:val="21"/>
              </w:rPr>
              <w:t> </w:t>
            </w:r>
          </w:p>
        </w:tc>
      </w:tr>
      <w:tr>
        <w:trPr>
          <w:trHeight w:val="322"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其他流动资产</w:t>
            </w:r>
            <w:r>
              <w:rPr>
                <w:rFonts w:ascii="宋体" w:hAnsi="宋体" w:cs="宋体" w:eastAsia="宋体" w:hint="default"/>
                <w:sz w:val="21"/>
                <w:szCs w:val="21"/>
              </w:rPr>
              <w:t> </w:t>
            </w:r>
          </w:p>
        </w:tc>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1,404,304,432.53</w:t>
            </w:r>
            <w:r>
              <w:rPr>
                <w:rFonts w:ascii="宋体"/>
                <w:sz w:val="21"/>
              </w:rPr>
              <w:t> </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71,647,086.63</w:t>
            </w:r>
            <w:r>
              <w:rPr>
                <w:rFonts w:ascii="宋体"/>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-1,332,657,345.90</w:t>
            </w:r>
            <w:r>
              <w:rPr>
                <w:rFonts w:ascii="宋体"/>
                <w:sz w:val="21"/>
              </w:rPr>
              <w:t> </w:t>
            </w:r>
          </w:p>
        </w:tc>
      </w:tr>
      <w:tr>
        <w:trPr>
          <w:trHeight w:val="322"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23" w:right="0"/>
              <w:jc w:val="left"/>
              <w:rPr>
                <w:rFonts w:ascii="宋体" w:hAnsi="宋体" w:cs="宋体" w:eastAsia="宋体" w:hint="default"/>
                <w:sz w:val="21"/>
                <w:szCs w:val="21"/>
              </w:rPr>
            </w:pPr>
            <w:r>
              <w:rPr>
                <w:rFonts w:ascii="宋体" w:hAnsi="宋体" w:cs="宋体" w:eastAsia="宋体" w:hint="default"/>
                <w:sz w:val="21"/>
                <w:szCs w:val="21"/>
              </w:rPr>
              <w:t>流动资产合计</w:t>
            </w:r>
            <w:r>
              <w:rPr>
                <w:rFonts w:ascii="宋体" w:hAnsi="宋体" w:cs="宋体" w:eastAsia="宋体" w:hint="default"/>
                <w:sz w:val="21"/>
                <w:szCs w:val="21"/>
              </w:rPr>
              <w:t> </w:t>
            </w:r>
          </w:p>
        </w:tc>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7,142,751,646.51</w:t>
            </w:r>
            <w:r>
              <w:rPr>
                <w:rFonts w:ascii="宋体"/>
                <w:sz w:val="21"/>
              </w:rPr>
              <w:t> </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7,118,796,310.16</w:t>
            </w:r>
            <w:r>
              <w:rPr>
                <w:rFonts w:ascii="宋体"/>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3"/>
              <w:jc w:val="right"/>
              <w:rPr>
                <w:rFonts w:ascii="宋体" w:hAnsi="宋体" w:cs="宋体" w:eastAsia="宋体" w:hint="default"/>
                <w:sz w:val="21"/>
                <w:szCs w:val="21"/>
              </w:rPr>
            </w:pPr>
            <w:r>
              <w:rPr>
                <w:rFonts w:ascii="Times New Roman"/>
                <w:spacing w:val="-1"/>
                <w:sz w:val="18"/>
              </w:rPr>
              <w:t>-23,955,336.35</w:t>
            </w:r>
            <w:r>
              <w:rPr>
                <w:rFonts w:ascii="宋体"/>
                <w:w w:val="100"/>
                <w:sz w:val="21"/>
              </w:rPr>
              <w:t> </w:t>
            </w:r>
          </w:p>
        </w:tc>
      </w:tr>
      <w:tr>
        <w:trPr>
          <w:trHeight w:val="322" w:hRule="exact"/>
        </w:trPr>
        <w:tc>
          <w:tcPr>
            <w:tcW w:w="9050" w:type="dxa"/>
            <w:gridSpan w:val="4"/>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非流动资产：</w:t>
            </w:r>
            <w:r>
              <w:rPr>
                <w:rFonts w:ascii="宋体" w:hAnsi="宋体" w:cs="宋体" w:eastAsia="宋体" w:hint="default"/>
                <w:w w:val="100"/>
                <w:sz w:val="21"/>
                <w:szCs w:val="21"/>
              </w:rPr>
              <w:t> </w:t>
            </w:r>
          </w:p>
        </w:tc>
      </w:tr>
      <w:tr>
        <w:trPr>
          <w:trHeight w:val="322"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314" w:right="0"/>
              <w:jc w:val="left"/>
              <w:rPr>
                <w:rFonts w:ascii="宋体" w:hAnsi="宋体" w:cs="宋体" w:eastAsia="宋体" w:hint="default"/>
                <w:sz w:val="21"/>
                <w:szCs w:val="21"/>
              </w:rPr>
            </w:pPr>
            <w:r>
              <w:rPr>
                <w:rFonts w:ascii="宋体" w:hAnsi="宋体" w:cs="宋体" w:eastAsia="宋体" w:hint="default"/>
                <w:sz w:val="21"/>
                <w:szCs w:val="21"/>
              </w:rPr>
              <w:t>发放贷款和垫款</w:t>
            </w:r>
            <w:r>
              <w:rPr>
                <w:rFonts w:ascii="宋体" w:hAnsi="宋体" w:cs="宋体" w:eastAsia="宋体" w:hint="default"/>
                <w:sz w:val="21"/>
                <w:szCs w:val="21"/>
              </w:rPr>
              <w:t> </w:t>
            </w:r>
          </w:p>
        </w:tc>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1"/>
              <w:jc w:val="right"/>
              <w:rPr>
                <w:rFonts w:ascii="宋体" w:hAnsi="宋体" w:cs="宋体" w:eastAsia="宋体" w:hint="default"/>
                <w:sz w:val="21"/>
                <w:szCs w:val="21"/>
              </w:rPr>
            </w:pPr>
            <w:r>
              <w:rPr>
                <w:rFonts w:ascii="宋体"/>
                <w:w w:val="100"/>
                <w:sz w:val="21"/>
              </w:rPr>
              <w:t> </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3"/>
              <w:jc w:val="right"/>
              <w:rPr>
                <w:rFonts w:ascii="宋体" w:hAnsi="宋体" w:cs="宋体" w:eastAsia="宋体" w:hint="default"/>
                <w:sz w:val="21"/>
                <w:szCs w:val="21"/>
              </w:rPr>
            </w:pPr>
            <w:r>
              <w:rPr>
                <w:rFonts w:ascii="宋体"/>
                <w:w w:val="100"/>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债权投资</w:t>
            </w:r>
            <w:r>
              <w:rPr>
                <w:rFonts w:ascii="宋体" w:hAnsi="宋体" w:cs="宋体" w:eastAsia="宋体" w:hint="default"/>
                <w:sz w:val="21"/>
                <w:szCs w:val="21"/>
              </w:rPr>
              <w:t> </w:t>
            </w:r>
          </w:p>
        </w:tc>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4"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314" w:right="0"/>
              <w:jc w:val="left"/>
              <w:rPr>
                <w:rFonts w:ascii="宋体" w:hAnsi="宋体" w:cs="宋体" w:eastAsia="宋体" w:hint="default"/>
                <w:sz w:val="21"/>
                <w:szCs w:val="21"/>
              </w:rPr>
            </w:pPr>
            <w:r>
              <w:rPr>
                <w:rFonts w:ascii="宋体" w:hAnsi="宋体" w:cs="宋体" w:eastAsia="宋体" w:hint="default"/>
                <w:sz w:val="21"/>
                <w:szCs w:val="21"/>
              </w:rPr>
              <w:t>可供出售金融资产</w:t>
            </w:r>
            <w:r>
              <w:rPr>
                <w:rFonts w:ascii="宋体" w:hAnsi="宋体" w:cs="宋体" w:eastAsia="宋体" w:hint="default"/>
                <w:sz w:val="21"/>
                <w:szCs w:val="21"/>
              </w:rPr>
              <w:t> </w:t>
            </w:r>
          </w:p>
        </w:tc>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
              <w:jc w:val="right"/>
              <w:rPr>
                <w:rFonts w:ascii="宋体" w:hAnsi="宋体" w:cs="宋体" w:eastAsia="宋体" w:hint="default"/>
                <w:sz w:val="21"/>
                <w:szCs w:val="21"/>
              </w:rPr>
            </w:pPr>
            <w:r>
              <w:rPr>
                <w:rFonts w:ascii="宋体"/>
                <w:spacing w:val="-1"/>
                <w:sz w:val="21"/>
              </w:rPr>
              <w:t>39,362,000.00</w:t>
            </w:r>
            <w:r>
              <w:rPr>
                <w:rFonts w:ascii="宋体"/>
                <w:sz w:val="21"/>
              </w:rPr>
              <w:t> </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w w:val="100"/>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3"/>
              <w:jc w:val="right"/>
              <w:rPr>
                <w:rFonts w:ascii="宋体" w:hAnsi="宋体" w:cs="宋体" w:eastAsia="宋体" w:hint="default"/>
                <w:sz w:val="21"/>
                <w:szCs w:val="21"/>
              </w:rPr>
            </w:pPr>
            <w:r>
              <w:rPr>
                <w:rFonts w:ascii="Times New Roman"/>
                <w:spacing w:val="-1"/>
                <w:sz w:val="18"/>
              </w:rPr>
              <w:t>-39,362,000.00</w:t>
            </w:r>
            <w:r>
              <w:rPr>
                <w:rFonts w:ascii="宋体"/>
                <w:w w:val="100"/>
                <w:sz w:val="21"/>
              </w:rPr>
              <w:t> </w:t>
            </w:r>
          </w:p>
        </w:tc>
      </w:tr>
      <w:tr>
        <w:trPr>
          <w:trHeight w:val="322"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其他债权投资</w:t>
            </w:r>
            <w:r>
              <w:rPr>
                <w:rFonts w:ascii="宋体" w:hAnsi="宋体" w:cs="宋体" w:eastAsia="宋体" w:hint="default"/>
                <w:sz w:val="21"/>
                <w:szCs w:val="21"/>
              </w:rPr>
              <w:t> </w:t>
            </w:r>
          </w:p>
        </w:tc>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持有至到期投资</w:t>
            </w:r>
            <w:r>
              <w:rPr>
                <w:rFonts w:ascii="宋体" w:hAnsi="宋体" w:cs="宋体" w:eastAsia="宋体" w:hint="default"/>
                <w:sz w:val="21"/>
                <w:szCs w:val="21"/>
              </w:rPr>
              <w:t> </w:t>
            </w:r>
          </w:p>
        </w:tc>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长期应收款</w:t>
            </w:r>
            <w:r>
              <w:rPr>
                <w:rFonts w:ascii="宋体" w:hAnsi="宋体" w:cs="宋体" w:eastAsia="宋体" w:hint="default"/>
                <w:sz w:val="21"/>
                <w:szCs w:val="21"/>
              </w:rPr>
              <w:t> </w:t>
            </w:r>
          </w:p>
        </w:tc>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6,038,763.14</w:t>
            </w:r>
            <w:r>
              <w:rPr>
                <w:rFonts w:ascii="宋体"/>
                <w:sz w:val="21"/>
              </w:rPr>
              <w:t> </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6,038,763.14</w:t>
            </w:r>
            <w:r>
              <w:rPr>
                <w:rFonts w:ascii="宋体"/>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长期股权投资</w:t>
            </w:r>
            <w:r>
              <w:rPr>
                <w:rFonts w:ascii="宋体" w:hAnsi="宋体" w:cs="宋体" w:eastAsia="宋体" w:hint="default"/>
                <w:sz w:val="21"/>
                <w:szCs w:val="21"/>
              </w:rPr>
              <w:t> </w:t>
            </w:r>
          </w:p>
        </w:tc>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108,539,394.75</w:t>
            </w:r>
            <w:r>
              <w:rPr>
                <w:rFonts w:ascii="宋体"/>
                <w:sz w:val="21"/>
              </w:rPr>
              <w:t> </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108,539,394.75</w:t>
            </w:r>
            <w:r>
              <w:rPr>
                <w:rFonts w:ascii="宋体"/>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其他权益工具投资</w:t>
            </w:r>
            <w:r>
              <w:rPr>
                <w:rFonts w:ascii="宋体" w:hAnsi="宋体" w:cs="宋体" w:eastAsia="宋体" w:hint="default"/>
                <w:sz w:val="21"/>
                <w:szCs w:val="21"/>
              </w:rPr>
              <w:t> </w:t>
            </w:r>
          </w:p>
        </w:tc>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39,362,000.00</w:t>
            </w:r>
            <w:r>
              <w:rPr>
                <w:rFonts w:ascii="宋体"/>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3"/>
              <w:jc w:val="right"/>
              <w:rPr>
                <w:rFonts w:ascii="宋体" w:hAnsi="宋体" w:cs="宋体" w:eastAsia="宋体" w:hint="default"/>
                <w:sz w:val="21"/>
                <w:szCs w:val="21"/>
              </w:rPr>
            </w:pPr>
            <w:r>
              <w:rPr>
                <w:rFonts w:ascii="Times New Roman"/>
                <w:spacing w:val="-1"/>
                <w:sz w:val="18"/>
              </w:rPr>
              <w:t>39,362,000.00</w:t>
            </w:r>
            <w:r>
              <w:rPr>
                <w:rFonts w:ascii="宋体"/>
                <w:spacing w:val="-1"/>
                <w:w w:val="100"/>
                <w:sz w:val="21"/>
              </w:rPr>
              <w:t> </w:t>
            </w:r>
          </w:p>
        </w:tc>
      </w:tr>
      <w:tr>
        <w:trPr>
          <w:trHeight w:val="324"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73"/>
              <w:jc w:val="right"/>
              <w:rPr>
                <w:rFonts w:ascii="宋体" w:hAnsi="宋体" w:cs="宋体" w:eastAsia="宋体" w:hint="default"/>
                <w:sz w:val="21"/>
                <w:szCs w:val="21"/>
              </w:rPr>
            </w:pPr>
            <w:r>
              <w:rPr>
                <w:rFonts w:ascii="宋体" w:hAnsi="宋体" w:cs="宋体" w:eastAsia="宋体" w:hint="default"/>
                <w:spacing w:val="-2"/>
                <w:sz w:val="21"/>
                <w:szCs w:val="21"/>
              </w:rPr>
              <w:t>其他非流动金融资产</w:t>
            </w:r>
            <w:r>
              <w:rPr>
                <w:rFonts w:ascii="宋体" w:hAnsi="宋体" w:cs="宋体" w:eastAsia="宋体" w:hint="default"/>
                <w:sz w:val="21"/>
                <w:szCs w:val="21"/>
              </w:rPr>
              <w:t> </w:t>
            </w:r>
          </w:p>
        </w:tc>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
              <w:jc w:val="right"/>
              <w:rPr>
                <w:rFonts w:ascii="宋体" w:hAnsi="宋体" w:cs="宋体" w:eastAsia="宋体" w:hint="default"/>
                <w:sz w:val="21"/>
                <w:szCs w:val="21"/>
              </w:rPr>
            </w:pPr>
            <w:r>
              <w:rPr>
                <w:rFonts w:ascii="宋体"/>
                <w:w w:val="100"/>
                <w:sz w:val="21"/>
              </w:rPr>
              <w:t> </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w w:val="100"/>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投资性房地产</w:t>
            </w:r>
            <w:r>
              <w:rPr>
                <w:rFonts w:ascii="宋体" w:hAnsi="宋体" w:cs="宋体" w:eastAsia="宋体" w:hint="default"/>
                <w:sz w:val="21"/>
                <w:szCs w:val="21"/>
              </w:rPr>
              <w:t> </w:t>
            </w:r>
          </w:p>
        </w:tc>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bl>
    <w:p>
      <w:pPr>
        <w:spacing w:after="0" w:line="262" w:lineRule="exact"/>
        <w:jc w:val="right"/>
        <w:rPr>
          <w:rFonts w:ascii="宋体" w:hAnsi="宋体" w:cs="宋体" w:eastAsia="宋体" w:hint="default"/>
          <w:sz w:val="21"/>
          <w:szCs w:val="21"/>
        </w:rPr>
        <w:sectPr>
          <w:pgSz w:w="11910" w:h="16840"/>
          <w:pgMar w:header="748" w:footer="974" w:top="1140" w:bottom="1160" w:left="1060" w:right="1560"/>
        </w:sectPr>
      </w:pPr>
    </w:p>
    <w:p>
      <w:pPr>
        <w:spacing w:line="240" w:lineRule="auto" w:before="0"/>
        <w:rPr>
          <w:rFonts w:ascii="Times New Roman" w:hAnsi="Times New Roman" w:cs="Times New Roman" w:eastAsia="Times New Roman" w:hint="default"/>
          <w:sz w:val="26"/>
          <w:szCs w:val="26"/>
        </w:rPr>
      </w:pPr>
    </w:p>
    <w:tbl>
      <w:tblPr>
        <w:tblW w:w="0" w:type="auto"/>
        <w:jc w:val="left"/>
        <w:tblInd w:w="103" w:type="dxa"/>
        <w:tblLayout w:type="fixed"/>
        <w:tblCellMar>
          <w:top w:w="0" w:type="dxa"/>
          <w:left w:w="0" w:type="dxa"/>
          <w:bottom w:w="0" w:type="dxa"/>
          <w:right w:w="0" w:type="dxa"/>
        </w:tblCellMar>
        <w:tblLook w:val="01E0"/>
      </w:tblPr>
      <w:tblGrid>
        <w:gridCol w:w="2496"/>
        <w:gridCol w:w="2276"/>
        <w:gridCol w:w="2278"/>
        <w:gridCol w:w="2000"/>
      </w:tblGrid>
      <w:tr>
        <w:trPr>
          <w:trHeight w:val="322"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固定资产</w:t>
            </w:r>
            <w:r>
              <w:rPr>
                <w:rFonts w:ascii="宋体" w:hAnsi="宋体" w:cs="宋体" w:eastAsia="宋体" w:hint="default"/>
                <w:sz w:val="21"/>
                <w:szCs w:val="21"/>
              </w:rPr>
              <w:t> </w:t>
            </w:r>
          </w:p>
        </w:tc>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8,902,415,641.01</w:t>
            </w:r>
            <w:r>
              <w:rPr>
                <w:rFonts w:ascii="宋体"/>
                <w:sz w:val="21"/>
              </w:rPr>
              <w:t> </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8,902,415,641.01</w:t>
            </w:r>
            <w:r>
              <w:rPr>
                <w:rFonts w:ascii="宋体"/>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在建工程</w:t>
            </w:r>
            <w:r>
              <w:rPr>
                <w:rFonts w:ascii="宋体" w:hAnsi="宋体" w:cs="宋体" w:eastAsia="宋体" w:hint="default"/>
                <w:sz w:val="21"/>
                <w:szCs w:val="21"/>
              </w:rPr>
              <w:t> </w:t>
            </w:r>
          </w:p>
        </w:tc>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186,557,021.13</w:t>
            </w:r>
            <w:r>
              <w:rPr>
                <w:rFonts w:ascii="宋体"/>
                <w:sz w:val="21"/>
              </w:rPr>
              <w:t> </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186,557,021.13</w:t>
            </w:r>
            <w:r>
              <w:rPr>
                <w:rFonts w:ascii="宋体"/>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生产性生物资产</w:t>
            </w:r>
            <w:r>
              <w:rPr>
                <w:rFonts w:ascii="宋体" w:hAnsi="宋体" w:cs="宋体" w:eastAsia="宋体" w:hint="default"/>
                <w:sz w:val="21"/>
                <w:szCs w:val="21"/>
              </w:rPr>
              <w:t> </w:t>
            </w:r>
          </w:p>
        </w:tc>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52,425,171.13</w:t>
            </w:r>
            <w:r>
              <w:rPr>
                <w:rFonts w:ascii="宋体"/>
                <w:sz w:val="21"/>
              </w:rPr>
              <w:t> </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52,425,171.13</w:t>
            </w:r>
            <w:r>
              <w:rPr>
                <w:rFonts w:ascii="宋体"/>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4"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314" w:right="0"/>
              <w:jc w:val="left"/>
              <w:rPr>
                <w:rFonts w:ascii="宋体" w:hAnsi="宋体" w:cs="宋体" w:eastAsia="宋体" w:hint="default"/>
                <w:sz w:val="21"/>
                <w:szCs w:val="21"/>
              </w:rPr>
            </w:pPr>
            <w:r>
              <w:rPr>
                <w:rFonts w:ascii="宋体" w:hAnsi="宋体" w:cs="宋体" w:eastAsia="宋体" w:hint="default"/>
                <w:sz w:val="21"/>
                <w:szCs w:val="21"/>
              </w:rPr>
              <w:t>油气资产</w:t>
            </w:r>
            <w:r>
              <w:rPr>
                <w:rFonts w:ascii="宋体" w:hAnsi="宋体" w:cs="宋体" w:eastAsia="宋体" w:hint="default"/>
                <w:sz w:val="21"/>
                <w:szCs w:val="21"/>
              </w:rPr>
              <w:t> </w:t>
            </w:r>
          </w:p>
        </w:tc>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
              <w:jc w:val="right"/>
              <w:rPr>
                <w:rFonts w:ascii="宋体" w:hAnsi="宋体" w:cs="宋体" w:eastAsia="宋体" w:hint="default"/>
                <w:sz w:val="21"/>
                <w:szCs w:val="21"/>
              </w:rPr>
            </w:pPr>
            <w:r>
              <w:rPr>
                <w:rFonts w:ascii="宋体"/>
                <w:w w:val="100"/>
                <w:sz w:val="21"/>
              </w:rPr>
              <w:t> </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w w:val="100"/>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使用权资产</w:t>
            </w:r>
            <w:r>
              <w:rPr>
                <w:rFonts w:ascii="宋体" w:hAnsi="宋体" w:cs="宋体" w:eastAsia="宋体" w:hint="default"/>
                <w:sz w:val="21"/>
                <w:szCs w:val="21"/>
              </w:rPr>
              <w:t> </w:t>
            </w:r>
          </w:p>
        </w:tc>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无形资产</w:t>
            </w:r>
            <w:r>
              <w:rPr>
                <w:rFonts w:ascii="宋体" w:hAnsi="宋体" w:cs="宋体" w:eastAsia="宋体" w:hint="default"/>
                <w:sz w:val="21"/>
                <w:szCs w:val="21"/>
              </w:rPr>
              <w:t> </w:t>
            </w:r>
          </w:p>
        </w:tc>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123,191,549.58</w:t>
            </w:r>
            <w:r>
              <w:rPr>
                <w:rFonts w:ascii="宋体"/>
                <w:sz w:val="21"/>
              </w:rPr>
              <w:t> </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123,191,549.58</w:t>
            </w:r>
            <w:r>
              <w:rPr>
                <w:rFonts w:ascii="宋体"/>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开发支出</w:t>
            </w:r>
            <w:r>
              <w:rPr>
                <w:rFonts w:ascii="宋体" w:hAnsi="宋体" w:cs="宋体" w:eastAsia="宋体" w:hint="default"/>
                <w:sz w:val="21"/>
                <w:szCs w:val="21"/>
              </w:rPr>
              <w:t> </w:t>
            </w:r>
          </w:p>
        </w:tc>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商誉</w:t>
            </w:r>
            <w:r>
              <w:rPr>
                <w:rFonts w:ascii="宋体" w:hAnsi="宋体" w:cs="宋体" w:eastAsia="宋体" w:hint="default"/>
                <w:sz w:val="21"/>
                <w:szCs w:val="21"/>
              </w:rPr>
              <w:t> </w:t>
            </w:r>
          </w:p>
        </w:tc>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长期待摊费用</w:t>
            </w:r>
            <w:r>
              <w:rPr>
                <w:rFonts w:ascii="宋体" w:hAnsi="宋体" w:cs="宋体" w:eastAsia="宋体" w:hint="default"/>
                <w:sz w:val="21"/>
                <w:szCs w:val="21"/>
              </w:rPr>
              <w:t> </w:t>
            </w:r>
          </w:p>
        </w:tc>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74,587,452.84</w:t>
            </w:r>
            <w:r>
              <w:rPr>
                <w:rFonts w:ascii="宋体"/>
                <w:sz w:val="21"/>
              </w:rPr>
              <w:t> </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74,587,452.84</w:t>
            </w:r>
            <w:r>
              <w:rPr>
                <w:rFonts w:ascii="宋体"/>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4"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314" w:right="0"/>
              <w:jc w:val="left"/>
              <w:rPr>
                <w:rFonts w:ascii="宋体" w:hAnsi="宋体" w:cs="宋体" w:eastAsia="宋体" w:hint="default"/>
                <w:sz w:val="21"/>
                <w:szCs w:val="21"/>
              </w:rPr>
            </w:pPr>
            <w:r>
              <w:rPr>
                <w:rFonts w:ascii="宋体" w:hAnsi="宋体" w:cs="宋体" w:eastAsia="宋体" w:hint="default"/>
                <w:sz w:val="21"/>
                <w:szCs w:val="21"/>
              </w:rPr>
              <w:t>递延所得税资产</w:t>
            </w:r>
            <w:r>
              <w:rPr>
                <w:rFonts w:ascii="宋体" w:hAnsi="宋体" w:cs="宋体" w:eastAsia="宋体" w:hint="default"/>
                <w:sz w:val="21"/>
                <w:szCs w:val="21"/>
              </w:rPr>
              <w:t> </w:t>
            </w:r>
          </w:p>
        </w:tc>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
              <w:jc w:val="right"/>
              <w:rPr>
                <w:rFonts w:ascii="宋体" w:hAnsi="宋体" w:cs="宋体" w:eastAsia="宋体" w:hint="default"/>
                <w:sz w:val="21"/>
                <w:szCs w:val="21"/>
              </w:rPr>
            </w:pPr>
            <w:r>
              <w:rPr>
                <w:rFonts w:ascii="宋体"/>
                <w:spacing w:val="-1"/>
                <w:sz w:val="21"/>
              </w:rPr>
              <w:t>58,019,161.60</w:t>
            </w:r>
            <w:r>
              <w:rPr>
                <w:rFonts w:ascii="宋体"/>
                <w:sz w:val="21"/>
              </w:rPr>
              <w:t> </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spacing w:val="-1"/>
                <w:sz w:val="21"/>
              </w:rPr>
              <w:t>60,819,540.85</w:t>
            </w:r>
            <w:r>
              <w:rPr>
                <w:rFonts w:ascii="宋体"/>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spacing w:val="-1"/>
                <w:sz w:val="21"/>
              </w:rPr>
              <w:t>2,800,379.25</w:t>
            </w:r>
            <w:r>
              <w:rPr>
                <w:rFonts w:ascii="宋体"/>
                <w:sz w:val="21"/>
              </w:rPr>
              <w:t> </w:t>
            </w:r>
          </w:p>
        </w:tc>
      </w:tr>
      <w:tr>
        <w:trPr>
          <w:trHeight w:val="322"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其他非流动资产</w:t>
            </w:r>
            <w:r>
              <w:rPr>
                <w:rFonts w:ascii="宋体" w:hAnsi="宋体" w:cs="宋体" w:eastAsia="宋体" w:hint="default"/>
                <w:sz w:val="21"/>
                <w:szCs w:val="21"/>
              </w:rPr>
              <w:t> </w:t>
            </w:r>
          </w:p>
        </w:tc>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852,065,042.59</w:t>
            </w:r>
            <w:r>
              <w:rPr>
                <w:rFonts w:ascii="宋体"/>
                <w:sz w:val="21"/>
              </w:rPr>
              <w:t> </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852,065,042.59</w:t>
            </w:r>
            <w:r>
              <w:rPr>
                <w:rFonts w:ascii="宋体"/>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23" w:right="0"/>
              <w:jc w:val="left"/>
              <w:rPr>
                <w:rFonts w:ascii="宋体" w:hAnsi="宋体" w:cs="宋体" w:eastAsia="宋体" w:hint="default"/>
                <w:sz w:val="21"/>
                <w:szCs w:val="21"/>
              </w:rPr>
            </w:pPr>
            <w:r>
              <w:rPr>
                <w:rFonts w:ascii="宋体" w:hAnsi="宋体" w:cs="宋体" w:eastAsia="宋体" w:hint="default"/>
                <w:sz w:val="21"/>
                <w:szCs w:val="21"/>
              </w:rPr>
              <w:t>非流动资产合计</w:t>
            </w:r>
            <w:r>
              <w:rPr>
                <w:rFonts w:ascii="宋体" w:hAnsi="宋体" w:cs="宋体" w:eastAsia="宋体" w:hint="default"/>
                <w:sz w:val="21"/>
                <w:szCs w:val="21"/>
              </w:rPr>
              <w:t> </w:t>
            </w:r>
          </w:p>
        </w:tc>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10,403,201,197.77</w:t>
            </w:r>
            <w:r>
              <w:rPr>
                <w:rFonts w:ascii="宋体"/>
                <w:sz w:val="21"/>
              </w:rPr>
              <w:t> </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10,406,001,577.02</w:t>
            </w:r>
            <w:r>
              <w:rPr>
                <w:rFonts w:ascii="宋体"/>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2,800,379.25</w:t>
            </w:r>
            <w:r>
              <w:rPr>
                <w:rFonts w:ascii="宋体"/>
                <w:sz w:val="21"/>
              </w:rPr>
              <w:t> </w:t>
            </w:r>
          </w:p>
        </w:tc>
      </w:tr>
      <w:tr>
        <w:trPr>
          <w:trHeight w:val="322"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34" w:right="0"/>
              <w:jc w:val="left"/>
              <w:rPr>
                <w:rFonts w:ascii="宋体" w:hAnsi="宋体" w:cs="宋体" w:eastAsia="宋体" w:hint="default"/>
                <w:sz w:val="21"/>
                <w:szCs w:val="21"/>
              </w:rPr>
            </w:pPr>
            <w:r>
              <w:rPr>
                <w:rFonts w:ascii="宋体" w:hAnsi="宋体" w:cs="宋体" w:eastAsia="宋体" w:hint="default"/>
                <w:sz w:val="21"/>
                <w:szCs w:val="21"/>
              </w:rPr>
              <w:t>资产总计</w:t>
            </w:r>
            <w:r>
              <w:rPr>
                <w:rFonts w:ascii="宋体" w:hAnsi="宋体" w:cs="宋体" w:eastAsia="宋体" w:hint="default"/>
                <w:sz w:val="21"/>
                <w:szCs w:val="21"/>
              </w:rPr>
              <w:t> </w:t>
            </w:r>
          </w:p>
        </w:tc>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17,545,952,844.28</w:t>
            </w:r>
            <w:r>
              <w:rPr>
                <w:rFonts w:ascii="宋体"/>
                <w:sz w:val="21"/>
              </w:rPr>
              <w:t> </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17,524,797,887.18</w:t>
            </w:r>
            <w:r>
              <w:rPr>
                <w:rFonts w:ascii="宋体"/>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-21,154,957.10</w:t>
            </w:r>
            <w:r>
              <w:rPr>
                <w:rFonts w:ascii="宋体"/>
                <w:sz w:val="21"/>
              </w:rPr>
              <w:t> </w:t>
            </w:r>
          </w:p>
        </w:tc>
      </w:tr>
      <w:tr>
        <w:trPr>
          <w:trHeight w:val="322" w:hRule="exact"/>
        </w:trPr>
        <w:tc>
          <w:tcPr>
            <w:tcW w:w="9050" w:type="dxa"/>
            <w:gridSpan w:val="4"/>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流动负债：</w:t>
            </w:r>
            <w:r>
              <w:rPr>
                <w:rFonts w:ascii="宋体" w:hAnsi="宋体" w:cs="宋体" w:eastAsia="宋体" w:hint="default"/>
                <w:w w:val="100"/>
                <w:sz w:val="21"/>
                <w:szCs w:val="21"/>
              </w:rPr>
              <w:t> </w:t>
            </w:r>
          </w:p>
        </w:tc>
      </w:tr>
      <w:tr>
        <w:trPr>
          <w:trHeight w:val="322"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短期借款</w:t>
            </w:r>
            <w:r>
              <w:rPr>
                <w:rFonts w:ascii="宋体" w:hAnsi="宋体" w:cs="宋体" w:eastAsia="宋体" w:hint="default"/>
                <w:sz w:val="21"/>
                <w:szCs w:val="21"/>
              </w:rPr>
              <w:t> </w:t>
            </w:r>
          </w:p>
        </w:tc>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396,550,000.00</w:t>
            </w:r>
            <w:r>
              <w:rPr>
                <w:rFonts w:ascii="宋体"/>
                <w:sz w:val="21"/>
              </w:rPr>
              <w:t> </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396,550,000.00</w:t>
            </w:r>
            <w:r>
              <w:rPr>
                <w:rFonts w:ascii="宋体"/>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4"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314" w:right="0"/>
              <w:jc w:val="left"/>
              <w:rPr>
                <w:rFonts w:ascii="宋体" w:hAnsi="宋体" w:cs="宋体" w:eastAsia="宋体" w:hint="default"/>
                <w:sz w:val="21"/>
                <w:szCs w:val="21"/>
              </w:rPr>
            </w:pPr>
            <w:r>
              <w:rPr>
                <w:rFonts w:ascii="宋体" w:hAnsi="宋体" w:cs="宋体" w:eastAsia="宋体" w:hint="default"/>
                <w:sz w:val="21"/>
                <w:szCs w:val="21"/>
              </w:rPr>
              <w:t>向中央银行借款</w:t>
            </w:r>
            <w:r>
              <w:rPr>
                <w:rFonts w:ascii="宋体" w:hAnsi="宋体" w:cs="宋体" w:eastAsia="宋体" w:hint="default"/>
                <w:sz w:val="21"/>
                <w:szCs w:val="21"/>
              </w:rPr>
              <w:t> </w:t>
            </w:r>
          </w:p>
        </w:tc>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
              <w:jc w:val="right"/>
              <w:rPr>
                <w:rFonts w:ascii="宋体" w:hAnsi="宋体" w:cs="宋体" w:eastAsia="宋体" w:hint="default"/>
                <w:sz w:val="21"/>
                <w:szCs w:val="21"/>
              </w:rPr>
            </w:pPr>
            <w:r>
              <w:rPr>
                <w:rFonts w:ascii="宋体"/>
                <w:w w:val="100"/>
                <w:sz w:val="21"/>
              </w:rPr>
              <w:t> </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w w:val="100"/>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拆入资金</w:t>
            </w:r>
            <w:r>
              <w:rPr>
                <w:rFonts w:ascii="宋体" w:hAnsi="宋体" w:cs="宋体" w:eastAsia="宋体" w:hint="default"/>
                <w:sz w:val="21"/>
                <w:szCs w:val="21"/>
              </w:rPr>
              <w:t> </w:t>
            </w:r>
          </w:p>
        </w:tc>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交易性金融负债</w:t>
            </w:r>
            <w:r>
              <w:rPr>
                <w:rFonts w:ascii="宋体" w:hAnsi="宋体" w:cs="宋体" w:eastAsia="宋体" w:hint="default"/>
                <w:sz w:val="21"/>
                <w:szCs w:val="21"/>
              </w:rPr>
              <w:t> </w:t>
            </w:r>
          </w:p>
        </w:tc>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946"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76" w:firstLine="211"/>
              <w:jc w:val="both"/>
              <w:rPr>
                <w:rFonts w:ascii="宋体" w:hAnsi="宋体" w:cs="宋体" w:eastAsia="宋体" w:hint="default"/>
                <w:sz w:val="21"/>
                <w:szCs w:val="21"/>
              </w:rPr>
            </w:pPr>
            <w:r>
              <w:rPr>
                <w:rFonts w:ascii="宋体" w:hAnsi="宋体" w:cs="宋体" w:eastAsia="宋体" w:hint="default"/>
                <w:sz w:val="21"/>
                <w:szCs w:val="21"/>
              </w:rPr>
              <w:t>以公允价值计量且其</w:t>
            </w:r>
            <w:r>
              <w:rPr>
                <w:rFonts w:ascii="宋体" w:hAnsi="宋体" w:cs="宋体" w:eastAsia="宋体" w:hint="default"/>
                <w:w w:val="100"/>
                <w:sz w:val="21"/>
                <w:szCs w:val="21"/>
              </w:rPr>
              <w:t> </w:t>
            </w:r>
            <w:r>
              <w:rPr>
                <w:rFonts w:ascii="宋体" w:hAnsi="宋体" w:cs="宋体" w:eastAsia="宋体" w:hint="default"/>
                <w:spacing w:val="-2"/>
                <w:sz w:val="21"/>
                <w:szCs w:val="21"/>
              </w:rPr>
              <w:t>变动计入当期损益的金</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融负债</w:t>
            </w:r>
            <w:r>
              <w:rPr>
                <w:rFonts w:ascii="宋体" w:hAnsi="宋体" w:cs="宋体" w:eastAsia="宋体" w:hint="default"/>
                <w:sz w:val="21"/>
                <w:szCs w:val="21"/>
              </w:rPr>
              <w:t> </w:t>
            </w:r>
          </w:p>
        </w:tc>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1"/>
              <w:jc w:val="right"/>
              <w:rPr>
                <w:rFonts w:ascii="宋体" w:hAnsi="宋体" w:cs="宋体" w:eastAsia="宋体" w:hint="default"/>
                <w:sz w:val="21"/>
                <w:szCs w:val="21"/>
              </w:rPr>
            </w:pPr>
            <w:r>
              <w:rPr>
                <w:rFonts w:ascii="宋体"/>
                <w:w w:val="100"/>
                <w:sz w:val="21"/>
              </w:rPr>
              <w:t> </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r>
      <w:tr>
        <w:trPr>
          <w:trHeight w:val="322"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衍生金融负债</w:t>
            </w:r>
            <w:r>
              <w:rPr>
                <w:rFonts w:ascii="宋体" w:hAnsi="宋体" w:cs="宋体" w:eastAsia="宋体" w:hint="default"/>
                <w:sz w:val="21"/>
                <w:szCs w:val="21"/>
              </w:rPr>
              <w:t> </w:t>
            </w:r>
          </w:p>
        </w:tc>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应付票据</w:t>
            </w:r>
            <w:r>
              <w:rPr>
                <w:rFonts w:ascii="宋体" w:hAnsi="宋体" w:cs="宋体" w:eastAsia="宋体" w:hint="default"/>
                <w:sz w:val="21"/>
                <w:szCs w:val="21"/>
              </w:rPr>
              <w:t> </w:t>
            </w:r>
          </w:p>
        </w:tc>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595,703,446.86</w:t>
            </w:r>
            <w:r>
              <w:rPr>
                <w:rFonts w:ascii="宋体"/>
                <w:sz w:val="21"/>
              </w:rPr>
              <w:t> </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595,703,446.86</w:t>
            </w:r>
            <w:r>
              <w:rPr>
                <w:rFonts w:ascii="宋体"/>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4"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应付账款</w:t>
            </w:r>
            <w:r>
              <w:rPr>
                <w:rFonts w:ascii="宋体" w:hAnsi="宋体" w:cs="宋体" w:eastAsia="宋体" w:hint="default"/>
                <w:sz w:val="21"/>
                <w:szCs w:val="21"/>
              </w:rPr>
              <w:t> </w:t>
            </w:r>
          </w:p>
        </w:tc>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
              <w:jc w:val="right"/>
              <w:rPr>
                <w:rFonts w:ascii="宋体" w:hAnsi="宋体" w:cs="宋体" w:eastAsia="宋体" w:hint="default"/>
                <w:sz w:val="21"/>
                <w:szCs w:val="21"/>
              </w:rPr>
            </w:pPr>
            <w:r>
              <w:rPr>
                <w:rFonts w:ascii="宋体"/>
                <w:spacing w:val="-1"/>
                <w:sz w:val="21"/>
              </w:rPr>
              <w:t>1,016,102,249.83</w:t>
            </w:r>
            <w:r>
              <w:rPr>
                <w:rFonts w:ascii="宋体"/>
                <w:sz w:val="21"/>
              </w:rPr>
              <w:t> </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spacing w:val="-1"/>
                <w:sz w:val="21"/>
              </w:rPr>
              <w:t>1,016,102,249.83</w:t>
            </w:r>
            <w:r>
              <w:rPr>
                <w:rFonts w:ascii="宋体"/>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预收款项</w:t>
            </w:r>
            <w:r>
              <w:rPr>
                <w:rFonts w:ascii="宋体" w:hAnsi="宋体" w:cs="宋体" w:eastAsia="宋体" w:hint="default"/>
                <w:sz w:val="21"/>
                <w:szCs w:val="21"/>
              </w:rPr>
              <w:t> </w:t>
            </w:r>
          </w:p>
        </w:tc>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14,625,634.40</w:t>
            </w:r>
            <w:r>
              <w:rPr>
                <w:rFonts w:ascii="宋体"/>
                <w:sz w:val="21"/>
              </w:rPr>
              <w:t> </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14,625,634.40</w:t>
            </w:r>
            <w:r>
              <w:rPr>
                <w:rFonts w:ascii="宋体"/>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卖出回购金融资产款</w:t>
            </w:r>
            <w:r>
              <w:rPr>
                <w:rFonts w:ascii="宋体" w:hAnsi="宋体" w:cs="宋体" w:eastAsia="宋体" w:hint="default"/>
                <w:sz w:val="21"/>
                <w:szCs w:val="21"/>
              </w:rPr>
              <w:t> </w:t>
            </w:r>
          </w:p>
        </w:tc>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吸收存款及同业存放</w:t>
            </w:r>
            <w:r>
              <w:rPr>
                <w:rFonts w:ascii="宋体" w:hAnsi="宋体" w:cs="宋体" w:eastAsia="宋体" w:hint="default"/>
                <w:sz w:val="21"/>
                <w:szCs w:val="21"/>
              </w:rPr>
              <w:t> </w:t>
            </w:r>
          </w:p>
        </w:tc>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代理买卖证券款</w:t>
            </w:r>
            <w:r>
              <w:rPr>
                <w:rFonts w:ascii="宋体" w:hAnsi="宋体" w:cs="宋体" w:eastAsia="宋体" w:hint="default"/>
                <w:sz w:val="21"/>
                <w:szCs w:val="21"/>
              </w:rPr>
              <w:t> </w:t>
            </w:r>
          </w:p>
        </w:tc>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代理承销证券款</w:t>
            </w:r>
            <w:r>
              <w:rPr>
                <w:rFonts w:ascii="宋体" w:hAnsi="宋体" w:cs="宋体" w:eastAsia="宋体" w:hint="default"/>
                <w:sz w:val="21"/>
                <w:szCs w:val="21"/>
              </w:rPr>
              <w:t> </w:t>
            </w:r>
          </w:p>
        </w:tc>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4"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应付职工薪酬</w:t>
            </w:r>
            <w:r>
              <w:rPr>
                <w:rFonts w:ascii="宋体" w:hAnsi="宋体" w:cs="宋体" w:eastAsia="宋体" w:hint="default"/>
                <w:sz w:val="21"/>
                <w:szCs w:val="21"/>
              </w:rPr>
              <w:t> </w:t>
            </w:r>
          </w:p>
        </w:tc>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
              <w:jc w:val="right"/>
              <w:rPr>
                <w:rFonts w:ascii="宋体" w:hAnsi="宋体" w:cs="宋体" w:eastAsia="宋体" w:hint="default"/>
                <w:sz w:val="21"/>
                <w:szCs w:val="21"/>
              </w:rPr>
            </w:pPr>
            <w:r>
              <w:rPr>
                <w:rFonts w:ascii="宋体"/>
                <w:spacing w:val="-1"/>
                <w:sz w:val="21"/>
              </w:rPr>
              <w:t>99,423,531.98</w:t>
            </w:r>
            <w:r>
              <w:rPr>
                <w:rFonts w:ascii="宋体"/>
                <w:sz w:val="21"/>
              </w:rPr>
              <w:t> </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spacing w:val="-1"/>
                <w:sz w:val="21"/>
              </w:rPr>
              <w:t>99,423,531.98</w:t>
            </w:r>
            <w:r>
              <w:rPr>
                <w:rFonts w:ascii="宋体"/>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应交税费</w:t>
            </w:r>
            <w:r>
              <w:rPr>
                <w:rFonts w:ascii="宋体" w:hAnsi="宋体" w:cs="宋体" w:eastAsia="宋体" w:hint="default"/>
                <w:sz w:val="21"/>
                <w:szCs w:val="21"/>
              </w:rPr>
              <w:t> </w:t>
            </w:r>
          </w:p>
        </w:tc>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78,401,926.46</w:t>
            </w:r>
            <w:r>
              <w:rPr>
                <w:rFonts w:ascii="宋体"/>
                <w:sz w:val="21"/>
              </w:rPr>
              <w:t> </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78,401,926.46</w:t>
            </w:r>
            <w:r>
              <w:rPr>
                <w:rFonts w:ascii="宋体"/>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其他应付款</w:t>
            </w:r>
            <w:r>
              <w:rPr>
                <w:rFonts w:ascii="宋体" w:hAnsi="宋体" w:cs="宋体" w:eastAsia="宋体" w:hint="default"/>
                <w:sz w:val="21"/>
                <w:szCs w:val="21"/>
              </w:rPr>
              <w:t> </w:t>
            </w:r>
          </w:p>
        </w:tc>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115,690,411.33</w:t>
            </w:r>
            <w:r>
              <w:rPr>
                <w:rFonts w:ascii="宋体"/>
                <w:sz w:val="21"/>
              </w:rPr>
              <w:t> </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115,690,411.33</w:t>
            </w:r>
            <w:r>
              <w:rPr>
                <w:rFonts w:ascii="宋体"/>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其中：应付利息</w:t>
            </w:r>
            <w:r>
              <w:rPr>
                <w:rFonts w:ascii="宋体" w:hAnsi="宋体" w:cs="宋体" w:eastAsia="宋体" w:hint="default"/>
                <w:sz w:val="21"/>
                <w:szCs w:val="21"/>
              </w:rPr>
              <w:t> </w:t>
            </w:r>
          </w:p>
        </w:tc>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6,310,911.70</w:t>
            </w:r>
            <w:r>
              <w:rPr>
                <w:rFonts w:ascii="宋体"/>
                <w:sz w:val="21"/>
              </w:rPr>
              <w:t> </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6,310,911.70</w:t>
            </w:r>
            <w:r>
              <w:rPr>
                <w:rFonts w:ascii="宋体"/>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943" w:right="0"/>
              <w:jc w:val="left"/>
              <w:rPr>
                <w:rFonts w:ascii="宋体" w:hAnsi="宋体" w:cs="宋体" w:eastAsia="宋体" w:hint="default"/>
                <w:sz w:val="21"/>
                <w:szCs w:val="21"/>
              </w:rPr>
            </w:pPr>
            <w:r>
              <w:rPr>
                <w:rFonts w:ascii="宋体" w:hAnsi="宋体" w:cs="宋体" w:eastAsia="宋体" w:hint="default"/>
                <w:sz w:val="21"/>
                <w:szCs w:val="21"/>
              </w:rPr>
              <w:t>应付股利</w:t>
            </w:r>
            <w:r>
              <w:rPr>
                <w:rFonts w:ascii="宋体" w:hAnsi="宋体" w:cs="宋体" w:eastAsia="宋体" w:hint="default"/>
                <w:sz w:val="21"/>
                <w:szCs w:val="21"/>
              </w:rPr>
              <w:t> </w:t>
            </w:r>
          </w:p>
        </w:tc>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1"/>
              <w:jc w:val="right"/>
              <w:rPr>
                <w:rFonts w:ascii="宋体" w:hAnsi="宋体" w:cs="宋体" w:eastAsia="宋体" w:hint="default"/>
                <w:sz w:val="21"/>
                <w:szCs w:val="21"/>
              </w:rPr>
            </w:pPr>
            <w:r>
              <w:rPr>
                <w:rFonts w:ascii="宋体"/>
                <w:spacing w:val="-1"/>
                <w:sz w:val="21"/>
              </w:rPr>
              <w:t>1,000,000.00</w:t>
            </w:r>
            <w:r>
              <w:rPr>
                <w:rFonts w:ascii="宋体"/>
                <w:sz w:val="21"/>
              </w:rPr>
              <w:t> </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3"/>
              <w:jc w:val="right"/>
              <w:rPr>
                <w:rFonts w:ascii="宋体" w:hAnsi="宋体" w:cs="宋体" w:eastAsia="宋体" w:hint="default"/>
                <w:sz w:val="21"/>
                <w:szCs w:val="21"/>
              </w:rPr>
            </w:pPr>
            <w:r>
              <w:rPr>
                <w:rFonts w:ascii="宋体"/>
                <w:spacing w:val="-1"/>
                <w:sz w:val="21"/>
              </w:rPr>
              <w:t>1,000,000.00</w:t>
            </w:r>
            <w:r>
              <w:rPr>
                <w:rFonts w:ascii="宋体"/>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应付手续费及佣金</w:t>
            </w:r>
            <w:r>
              <w:rPr>
                <w:rFonts w:ascii="宋体" w:hAnsi="宋体" w:cs="宋体" w:eastAsia="宋体" w:hint="default"/>
                <w:sz w:val="21"/>
                <w:szCs w:val="21"/>
              </w:rPr>
              <w:t> </w:t>
            </w:r>
          </w:p>
        </w:tc>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4"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应付分保账款</w:t>
            </w:r>
            <w:r>
              <w:rPr>
                <w:rFonts w:ascii="宋体" w:hAnsi="宋体" w:cs="宋体" w:eastAsia="宋体" w:hint="default"/>
                <w:sz w:val="21"/>
                <w:szCs w:val="21"/>
              </w:rPr>
              <w:t> </w:t>
            </w:r>
          </w:p>
        </w:tc>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
              <w:jc w:val="right"/>
              <w:rPr>
                <w:rFonts w:ascii="宋体" w:hAnsi="宋体" w:cs="宋体" w:eastAsia="宋体" w:hint="default"/>
                <w:sz w:val="21"/>
                <w:szCs w:val="21"/>
              </w:rPr>
            </w:pPr>
            <w:r>
              <w:rPr>
                <w:rFonts w:ascii="宋体"/>
                <w:w w:val="100"/>
                <w:sz w:val="21"/>
              </w:rPr>
              <w:t> </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w w:val="100"/>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持有待售负债</w:t>
            </w:r>
            <w:r>
              <w:rPr>
                <w:rFonts w:ascii="宋体" w:hAnsi="宋体" w:cs="宋体" w:eastAsia="宋体" w:hint="default"/>
                <w:sz w:val="21"/>
                <w:szCs w:val="21"/>
              </w:rPr>
              <w:t> </w:t>
            </w:r>
          </w:p>
        </w:tc>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634"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76" w:firstLine="211"/>
              <w:jc w:val="left"/>
              <w:rPr>
                <w:rFonts w:ascii="宋体" w:hAnsi="宋体" w:cs="宋体" w:eastAsia="宋体" w:hint="default"/>
                <w:sz w:val="21"/>
                <w:szCs w:val="21"/>
              </w:rPr>
            </w:pPr>
            <w:r>
              <w:rPr>
                <w:rFonts w:ascii="宋体" w:hAnsi="宋体" w:cs="宋体" w:eastAsia="宋体" w:hint="default"/>
                <w:sz w:val="21"/>
                <w:szCs w:val="21"/>
              </w:rPr>
              <w:t>一年内到期的非流动</w:t>
            </w:r>
            <w:r>
              <w:rPr>
                <w:rFonts w:ascii="宋体" w:hAnsi="宋体" w:cs="宋体" w:eastAsia="宋体" w:hint="default"/>
                <w:w w:val="100"/>
                <w:sz w:val="21"/>
                <w:szCs w:val="21"/>
              </w:rPr>
              <w:t> </w:t>
            </w:r>
            <w:r>
              <w:rPr>
                <w:rFonts w:ascii="宋体" w:hAnsi="宋体" w:cs="宋体" w:eastAsia="宋体" w:hint="default"/>
                <w:sz w:val="21"/>
                <w:szCs w:val="21"/>
              </w:rPr>
              <w:t>负债</w:t>
            </w:r>
            <w:r>
              <w:rPr>
                <w:rFonts w:ascii="宋体" w:hAnsi="宋体" w:cs="宋体" w:eastAsia="宋体" w:hint="default"/>
                <w:sz w:val="21"/>
                <w:szCs w:val="21"/>
              </w:rPr>
              <w:t> </w:t>
            </w:r>
          </w:p>
        </w:tc>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
              <w:jc w:val="right"/>
              <w:rPr>
                <w:rFonts w:ascii="宋体" w:hAnsi="宋体" w:cs="宋体" w:eastAsia="宋体" w:hint="default"/>
                <w:sz w:val="21"/>
                <w:szCs w:val="21"/>
              </w:rPr>
            </w:pPr>
            <w:r>
              <w:rPr>
                <w:rFonts w:ascii="宋体"/>
                <w:spacing w:val="-1"/>
                <w:sz w:val="21"/>
              </w:rPr>
              <w:t>276,100,000.00</w:t>
            </w:r>
            <w:r>
              <w:rPr>
                <w:rFonts w:ascii="宋体"/>
                <w:sz w:val="21"/>
              </w:rPr>
              <w:t> </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3"/>
              <w:jc w:val="right"/>
              <w:rPr>
                <w:rFonts w:ascii="宋体" w:hAnsi="宋体" w:cs="宋体" w:eastAsia="宋体" w:hint="default"/>
                <w:sz w:val="21"/>
                <w:szCs w:val="21"/>
              </w:rPr>
            </w:pPr>
            <w:r>
              <w:rPr>
                <w:rFonts w:ascii="宋体"/>
                <w:spacing w:val="-1"/>
                <w:sz w:val="21"/>
              </w:rPr>
              <w:t>276,100,000.00</w:t>
            </w:r>
            <w:r>
              <w:rPr>
                <w:rFonts w:ascii="宋体"/>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3"/>
              <w:jc w:val="right"/>
              <w:rPr>
                <w:rFonts w:ascii="宋体" w:hAnsi="宋体" w:cs="宋体" w:eastAsia="宋体" w:hint="default"/>
                <w:sz w:val="21"/>
                <w:szCs w:val="21"/>
              </w:rPr>
            </w:pPr>
            <w:r>
              <w:rPr>
                <w:rFonts w:ascii="宋体"/>
                <w:w w:val="100"/>
                <w:sz w:val="21"/>
              </w:rPr>
              <w:t> </w:t>
            </w:r>
          </w:p>
        </w:tc>
      </w:tr>
      <w:tr>
        <w:trPr>
          <w:trHeight w:val="322"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其他流动负债</w:t>
            </w:r>
            <w:r>
              <w:rPr>
                <w:rFonts w:ascii="宋体" w:hAnsi="宋体" w:cs="宋体" w:eastAsia="宋体" w:hint="default"/>
                <w:sz w:val="21"/>
                <w:szCs w:val="21"/>
              </w:rPr>
              <w:t> </w:t>
            </w:r>
          </w:p>
        </w:tc>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23" w:right="0"/>
              <w:jc w:val="left"/>
              <w:rPr>
                <w:rFonts w:ascii="宋体" w:hAnsi="宋体" w:cs="宋体" w:eastAsia="宋体" w:hint="default"/>
                <w:sz w:val="21"/>
                <w:szCs w:val="21"/>
              </w:rPr>
            </w:pPr>
            <w:r>
              <w:rPr>
                <w:rFonts w:ascii="宋体" w:hAnsi="宋体" w:cs="宋体" w:eastAsia="宋体" w:hint="default"/>
                <w:sz w:val="21"/>
                <w:szCs w:val="21"/>
              </w:rPr>
              <w:t>流动负债合计</w:t>
            </w:r>
            <w:r>
              <w:rPr>
                <w:rFonts w:ascii="宋体" w:hAnsi="宋体" w:cs="宋体" w:eastAsia="宋体" w:hint="default"/>
                <w:sz w:val="21"/>
                <w:szCs w:val="21"/>
              </w:rPr>
              <w:t> </w:t>
            </w:r>
          </w:p>
        </w:tc>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2,592,597,200.86</w:t>
            </w:r>
            <w:r>
              <w:rPr>
                <w:rFonts w:ascii="宋体"/>
                <w:sz w:val="21"/>
              </w:rPr>
              <w:t> </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2,592,597,200.86</w:t>
            </w:r>
            <w:r>
              <w:rPr>
                <w:rFonts w:ascii="宋体"/>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9050" w:type="dxa"/>
            <w:gridSpan w:val="4"/>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非流动负债：</w:t>
            </w:r>
            <w:r>
              <w:rPr>
                <w:rFonts w:ascii="宋体" w:hAnsi="宋体" w:cs="宋体" w:eastAsia="宋体" w:hint="default"/>
                <w:color w:val="008000"/>
                <w:w w:val="100"/>
                <w:sz w:val="21"/>
                <w:szCs w:val="21"/>
              </w:rPr>
              <w:t> </w:t>
            </w:r>
            <w:r>
              <w:rPr>
                <w:rFonts w:ascii="宋体" w:hAnsi="宋体" w:cs="宋体" w:eastAsia="宋体" w:hint="default"/>
                <w:w w:val="100"/>
                <w:sz w:val="21"/>
                <w:szCs w:val="21"/>
              </w:rPr>
            </w:r>
          </w:p>
        </w:tc>
      </w:tr>
      <w:tr>
        <w:trPr>
          <w:trHeight w:val="324"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314" w:right="0"/>
              <w:jc w:val="left"/>
              <w:rPr>
                <w:rFonts w:ascii="宋体" w:hAnsi="宋体" w:cs="宋体" w:eastAsia="宋体" w:hint="default"/>
                <w:sz w:val="21"/>
                <w:szCs w:val="21"/>
              </w:rPr>
            </w:pPr>
            <w:r>
              <w:rPr>
                <w:rFonts w:ascii="宋体" w:hAnsi="宋体" w:cs="宋体" w:eastAsia="宋体" w:hint="default"/>
                <w:sz w:val="21"/>
                <w:szCs w:val="21"/>
              </w:rPr>
              <w:t>保险合同准备金</w:t>
            </w:r>
            <w:r>
              <w:rPr>
                <w:rFonts w:ascii="宋体" w:hAnsi="宋体" w:cs="宋体" w:eastAsia="宋体" w:hint="default"/>
                <w:sz w:val="21"/>
                <w:szCs w:val="21"/>
              </w:rPr>
              <w:t> </w:t>
            </w:r>
          </w:p>
        </w:tc>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
              <w:jc w:val="right"/>
              <w:rPr>
                <w:rFonts w:ascii="宋体" w:hAnsi="宋体" w:cs="宋体" w:eastAsia="宋体" w:hint="default"/>
                <w:sz w:val="21"/>
                <w:szCs w:val="21"/>
              </w:rPr>
            </w:pPr>
            <w:r>
              <w:rPr>
                <w:rFonts w:ascii="宋体"/>
                <w:w w:val="100"/>
                <w:sz w:val="21"/>
              </w:rPr>
              <w:t> </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w w:val="100"/>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w w:val="100"/>
                <w:sz w:val="21"/>
              </w:rPr>
              <w:t> </w:t>
            </w:r>
          </w:p>
        </w:tc>
      </w:tr>
    </w:tbl>
    <w:p>
      <w:pPr>
        <w:spacing w:after="0" w:line="265" w:lineRule="exact"/>
        <w:jc w:val="right"/>
        <w:rPr>
          <w:rFonts w:ascii="宋体" w:hAnsi="宋体" w:cs="宋体" w:eastAsia="宋体" w:hint="default"/>
          <w:sz w:val="21"/>
          <w:szCs w:val="21"/>
        </w:rPr>
        <w:sectPr>
          <w:pgSz w:w="11910" w:h="16840"/>
          <w:pgMar w:header="748" w:footer="974" w:top="1140" w:bottom="1160" w:left="1060" w:right="1560"/>
        </w:sectPr>
      </w:pPr>
    </w:p>
    <w:p>
      <w:pPr>
        <w:spacing w:line="240" w:lineRule="auto" w:before="0"/>
        <w:rPr>
          <w:rFonts w:ascii="Times New Roman" w:hAnsi="Times New Roman" w:cs="Times New Roman" w:eastAsia="Times New Roman" w:hint="default"/>
          <w:sz w:val="26"/>
          <w:szCs w:val="26"/>
        </w:rPr>
      </w:pPr>
    </w:p>
    <w:tbl>
      <w:tblPr>
        <w:tblW w:w="0" w:type="auto"/>
        <w:jc w:val="left"/>
        <w:tblInd w:w="103" w:type="dxa"/>
        <w:tblLayout w:type="fixed"/>
        <w:tblCellMar>
          <w:top w:w="0" w:type="dxa"/>
          <w:left w:w="0" w:type="dxa"/>
          <w:bottom w:w="0" w:type="dxa"/>
          <w:right w:w="0" w:type="dxa"/>
        </w:tblCellMar>
        <w:tblLook w:val="01E0"/>
      </w:tblPr>
      <w:tblGrid>
        <w:gridCol w:w="2496"/>
        <w:gridCol w:w="2276"/>
        <w:gridCol w:w="2278"/>
        <w:gridCol w:w="2000"/>
      </w:tblGrid>
      <w:tr>
        <w:trPr>
          <w:trHeight w:val="322"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长期借款</w:t>
            </w:r>
            <w:r>
              <w:rPr>
                <w:rFonts w:ascii="宋体" w:hAnsi="宋体" w:cs="宋体" w:eastAsia="宋体" w:hint="default"/>
                <w:sz w:val="21"/>
                <w:szCs w:val="21"/>
              </w:rPr>
              <w:t> </w:t>
            </w:r>
          </w:p>
        </w:tc>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2,169,500,000.00</w:t>
            </w:r>
            <w:r>
              <w:rPr>
                <w:rFonts w:ascii="宋体"/>
                <w:sz w:val="21"/>
              </w:rPr>
              <w:t> </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2,169,500,000.00</w:t>
            </w:r>
            <w:r>
              <w:rPr>
                <w:rFonts w:ascii="宋体"/>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应付债券</w:t>
            </w:r>
            <w:r>
              <w:rPr>
                <w:rFonts w:ascii="宋体" w:hAnsi="宋体" w:cs="宋体" w:eastAsia="宋体" w:hint="default"/>
                <w:sz w:val="21"/>
                <w:szCs w:val="21"/>
              </w:rPr>
              <w:t> </w:t>
            </w:r>
          </w:p>
        </w:tc>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2,463,263,272.02</w:t>
            </w:r>
            <w:r>
              <w:rPr>
                <w:rFonts w:ascii="宋体"/>
                <w:sz w:val="21"/>
              </w:rPr>
              <w:t> </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2,463,263,272.02</w:t>
            </w:r>
            <w:r>
              <w:rPr>
                <w:rFonts w:ascii="宋体"/>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其中：优先股</w:t>
            </w:r>
            <w:r>
              <w:rPr>
                <w:rFonts w:ascii="宋体" w:hAnsi="宋体" w:cs="宋体" w:eastAsia="宋体" w:hint="default"/>
                <w:sz w:val="21"/>
                <w:szCs w:val="21"/>
              </w:rPr>
              <w:t> </w:t>
            </w:r>
          </w:p>
        </w:tc>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4"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943" w:right="0"/>
              <w:jc w:val="left"/>
              <w:rPr>
                <w:rFonts w:ascii="宋体" w:hAnsi="宋体" w:cs="宋体" w:eastAsia="宋体" w:hint="default"/>
                <w:sz w:val="21"/>
                <w:szCs w:val="21"/>
              </w:rPr>
            </w:pPr>
            <w:r>
              <w:rPr>
                <w:rFonts w:ascii="宋体" w:hAnsi="宋体" w:cs="宋体" w:eastAsia="宋体" w:hint="default"/>
                <w:sz w:val="21"/>
                <w:szCs w:val="21"/>
              </w:rPr>
              <w:t>永续债</w:t>
            </w:r>
            <w:r>
              <w:rPr>
                <w:rFonts w:ascii="宋体" w:hAnsi="宋体" w:cs="宋体" w:eastAsia="宋体" w:hint="default"/>
                <w:sz w:val="21"/>
                <w:szCs w:val="21"/>
              </w:rPr>
              <w:t> </w:t>
            </w:r>
          </w:p>
        </w:tc>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
              <w:jc w:val="right"/>
              <w:rPr>
                <w:rFonts w:ascii="宋体" w:hAnsi="宋体" w:cs="宋体" w:eastAsia="宋体" w:hint="default"/>
                <w:sz w:val="21"/>
                <w:szCs w:val="21"/>
              </w:rPr>
            </w:pPr>
            <w:r>
              <w:rPr>
                <w:rFonts w:ascii="宋体"/>
                <w:w w:val="100"/>
                <w:sz w:val="21"/>
              </w:rPr>
              <w:t> </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w w:val="100"/>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租赁负债</w:t>
            </w:r>
            <w:r>
              <w:rPr>
                <w:rFonts w:ascii="宋体" w:hAnsi="宋体" w:cs="宋体" w:eastAsia="宋体" w:hint="default"/>
                <w:sz w:val="21"/>
                <w:szCs w:val="21"/>
              </w:rPr>
              <w:t> </w:t>
            </w:r>
          </w:p>
        </w:tc>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长期应付款</w:t>
            </w:r>
            <w:r>
              <w:rPr>
                <w:rFonts w:ascii="宋体" w:hAnsi="宋体" w:cs="宋体" w:eastAsia="宋体" w:hint="default"/>
                <w:sz w:val="21"/>
                <w:szCs w:val="21"/>
              </w:rPr>
              <w:t> </w:t>
            </w:r>
          </w:p>
        </w:tc>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长期应付职工薪酬</w:t>
            </w:r>
            <w:r>
              <w:rPr>
                <w:rFonts w:ascii="宋体" w:hAnsi="宋体" w:cs="宋体" w:eastAsia="宋体" w:hint="default"/>
                <w:sz w:val="21"/>
                <w:szCs w:val="21"/>
              </w:rPr>
              <w:t> </w:t>
            </w:r>
          </w:p>
        </w:tc>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预计负债</w:t>
            </w:r>
            <w:r>
              <w:rPr>
                <w:rFonts w:ascii="宋体" w:hAnsi="宋体" w:cs="宋体" w:eastAsia="宋体" w:hint="default"/>
                <w:sz w:val="21"/>
                <w:szCs w:val="21"/>
              </w:rPr>
              <w:t> </w:t>
            </w:r>
          </w:p>
        </w:tc>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递延收益</w:t>
            </w:r>
            <w:r>
              <w:rPr>
                <w:rFonts w:ascii="宋体" w:hAnsi="宋体" w:cs="宋体" w:eastAsia="宋体" w:hint="default"/>
                <w:sz w:val="21"/>
                <w:szCs w:val="21"/>
              </w:rPr>
              <w:t> </w:t>
            </w:r>
          </w:p>
        </w:tc>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20,062,060.70</w:t>
            </w:r>
            <w:r>
              <w:rPr>
                <w:rFonts w:ascii="宋体"/>
                <w:sz w:val="21"/>
              </w:rPr>
              <w:t> </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20,062,060.70</w:t>
            </w:r>
            <w:r>
              <w:rPr>
                <w:rFonts w:ascii="宋体"/>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4"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314" w:right="0"/>
              <w:jc w:val="left"/>
              <w:rPr>
                <w:rFonts w:ascii="宋体" w:hAnsi="宋体" w:cs="宋体" w:eastAsia="宋体" w:hint="default"/>
                <w:sz w:val="21"/>
                <w:szCs w:val="21"/>
              </w:rPr>
            </w:pPr>
            <w:r>
              <w:rPr>
                <w:rFonts w:ascii="宋体" w:hAnsi="宋体" w:cs="宋体" w:eastAsia="宋体" w:hint="default"/>
                <w:sz w:val="21"/>
                <w:szCs w:val="21"/>
              </w:rPr>
              <w:t>递延所得税负债</w:t>
            </w:r>
            <w:r>
              <w:rPr>
                <w:rFonts w:ascii="宋体" w:hAnsi="宋体" w:cs="宋体" w:eastAsia="宋体" w:hint="default"/>
                <w:sz w:val="21"/>
                <w:szCs w:val="21"/>
              </w:rPr>
              <w:t> </w:t>
            </w:r>
          </w:p>
        </w:tc>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
              <w:jc w:val="right"/>
              <w:rPr>
                <w:rFonts w:ascii="宋体" w:hAnsi="宋体" w:cs="宋体" w:eastAsia="宋体" w:hint="default"/>
                <w:sz w:val="21"/>
                <w:szCs w:val="21"/>
              </w:rPr>
            </w:pPr>
            <w:r>
              <w:rPr>
                <w:rFonts w:ascii="宋体"/>
                <w:w w:val="100"/>
                <w:sz w:val="21"/>
              </w:rPr>
              <w:t> </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w w:val="100"/>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其他非流动负债</w:t>
            </w:r>
            <w:r>
              <w:rPr>
                <w:rFonts w:ascii="宋体" w:hAnsi="宋体" w:cs="宋体" w:eastAsia="宋体" w:hint="default"/>
                <w:sz w:val="21"/>
                <w:szCs w:val="21"/>
              </w:rPr>
              <w:t> </w:t>
            </w:r>
          </w:p>
        </w:tc>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23" w:right="0"/>
              <w:jc w:val="left"/>
              <w:rPr>
                <w:rFonts w:ascii="宋体" w:hAnsi="宋体" w:cs="宋体" w:eastAsia="宋体" w:hint="default"/>
                <w:sz w:val="21"/>
                <w:szCs w:val="21"/>
              </w:rPr>
            </w:pPr>
            <w:r>
              <w:rPr>
                <w:rFonts w:ascii="宋体" w:hAnsi="宋体" w:cs="宋体" w:eastAsia="宋体" w:hint="default"/>
                <w:sz w:val="21"/>
                <w:szCs w:val="21"/>
              </w:rPr>
              <w:t>非流动负债合计</w:t>
            </w:r>
            <w:r>
              <w:rPr>
                <w:rFonts w:ascii="宋体" w:hAnsi="宋体" w:cs="宋体" w:eastAsia="宋体" w:hint="default"/>
                <w:sz w:val="21"/>
                <w:szCs w:val="21"/>
              </w:rPr>
              <w:t> </w:t>
            </w:r>
          </w:p>
        </w:tc>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4,652,825,332.72</w:t>
            </w:r>
            <w:r>
              <w:rPr>
                <w:rFonts w:ascii="宋体"/>
                <w:sz w:val="21"/>
              </w:rPr>
              <w:t> </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4,652,825,332.72</w:t>
            </w:r>
            <w:r>
              <w:rPr>
                <w:rFonts w:ascii="宋体"/>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34" w:right="0"/>
              <w:jc w:val="left"/>
              <w:rPr>
                <w:rFonts w:ascii="宋体" w:hAnsi="宋体" w:cs="宋体" w:eastAsia="宋体" w:hint="default"/>
                <w:sz w:val="21"/>
                <w:szCs w:val="21"/>
              </w:rPr>
            </w:pPr>
            <w:r>
              <w:rPr>
                <w:rFonts w:ascii="宋体" w:hAnsi="宋体" w:cs="宋体" w:eastAsia="宋体" w:hint="default"/>
                <w:sz w:val="21"/>
                <w:szCs w:val="21"/>
              </w:rPr>
              <w:t>负债合计</w:t>
            </w:r>
            <w:r>
              <w:rPr>
                <w:rFonts w:ascii="宋体" w:hAnsi="宋体" w:cs="宋体" w:eastAsia="宋体" w:hint="default"/>
                <w:sz w:val="21"/>
                <w:szCs w:val="21"/>
              </w:rPr>
              <w:t> </w:t>
            </w:r>
          </w:p>
        </w:tc>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7,245,422,533.58</w:t>
            </w:r>
            <w:r>
              <w:rPr>
                <w:rFonts w:ascii="宋体"/>
                <w:sz w:val="21"/>
              </w:rPr>
              <w:t> </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7,245,422,533.58</w:t>
            </w:r>
            <w:r>
              <w:rPr>
                <w:rFonts w:ascii="宋体"/>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9050" w:type="dxa"/>
            <w:gridSpan w:val="4"/>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所有者权益（或股东权益）：</w:t>
            </w:r>
            <w:r>
              <w:rPr>
                <w:rFonts w:ascii="宋体" w:hAnsi="宋体" w:cs="宋体" w:eastAsia="宋体" w:hint="default"/>
                <w:w w:val="100"/>
                <w:sz w:val="21"/>
                <w:szCs w:val="21"/>
              </w:rPr>
              <w:t> </w:t>
            </w:r>
          </w:p>
        </w:tc>
      </w:tr>
      <w:tr>
        <w:trPr>
          <w:trHeight w:val="322"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实收资本（或股本）</w:t>
            </w:r>
            <w:r>
              <w:rPr>
                <w:rFonts w:ascii="宋体" w:hAnsi="宋体" w:cs="宋体" w:eastAsia="宋体" w:hint="default"/>
                <w:sz w:val="21"/>
                <w:szCs w:val="21"/>
              </w:rPr>
              <w:t> </w:t>
            </w:r>
          </w:p>
        </w:tc>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1,765,410,843.00</w:t>
            </w:r>
            <w:r>
              <w:rPr>
                <w:rFonts w:ascii="宋体"/>
                <w:sz w:val="21"/>
              </w:rPr>
              <w:t> </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1,765,410,843.00</w:t>
            </w:r>
            <w:r>
              <w:rPr>
                <w:rFonts w:ascii="宋体"/>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4"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其他权益工具</w:t>
            </w:r>
            <w:r>
              <w:rPr>
                <w:rFonts w:ascii="宋体" w:hAnsi="宋体" w:cs="宋体" w:eastAsia="宋体" w:hint="default"/>
                <w:sz w:val="21"/>
                <w:szCs w:val="21"/>
              </w:rPr>
              <w:t> </w:t>
            </w:r>
          </w:p>
        </w:tc>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
              <w:jc w:val="right"/>
              <w:rPr>
                <w:rFonts w:ascii="宋体" w:hAnsi="宋体" w:cs="宋体" w:eastAsia="宋体" w:hint="default"/>
                <w:sz w:val="21"/>
                <w:szCs w:val="21"/>
              </w:rPr>
            </w:pPr>
            <w:r>
              <w:rPr>
                <w:rFonts w:ascii="宋体"/>
                <w:spacing w:val="-1"/>
                <w:sz w:val="21"/>
              </w:rPr>
              <w:t>648,686,895.88</w:t>
            </w:r>
            <w:r>
              <w:rPr>
                <w:rFonts w:ascii="宋体"/>
                <w:sz w:val="21"/>
              </w:rPr>
              <w:t> </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spacing w:val="-1"/>
                <w:sz w:val="21"/>
              </w:rPr>
              <w:t>648,686,895.88</w:t>
            </w:r>
            <w:r>
              <w:rPr>
                <w:rFonts w:ascii="宋体"/>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其中：优先股</w:t>
            </w:r>
            <w:r>
              <w:rPr>
                <w:rFonts w:ascii="宋体" w:hAnsi="宋体" w:cs="宋体" w:eastAsia="宋体" w:hint="default"/>
                <w:sz w:val="21"/>
                <w:szCs w:val="21"/>
              </w:rPr>
              <w:t> </w:t>
            </w:r>
          </w:p>
        </w:tc>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943" w:right="0"/>
              <w:jc w:val="left"/>
              <w:rPr>
                <w:rFonts w:ascii="宋体" w:hAnsi="宋体" w:cs="宋体" w:eastAsia="宋体" w:hint="default"/>
                <w:sz w:val="21"/>
                <w:szCs w:val="21"/>
              </w:rPr>
            </w:pPr>
            <w:r>
              <w:rPr>
                <w:rFonts w:ascii="宋体" w:hAnsi="宋体" w:cs="宋体" w:eastAsia="宋体" w:hint="default"/>
                <w:sz w:val="21"/>
                <w:szCs w:val="21"/>
              </w:rPr>
              <w:t>永续债</w:t>
            </w:r>
            <w:r>
              <w:rPr>
                <w:rFonts w:ascii="宋体" w:hAnsi="宋体" w:cs="宋体" w:eastAsia="宋体" w:hint="default"/>
                <w:sz w:val="21"/>
                <w:szCs w:val="21"/>
              </w:rPr>
              <w:t> </w:t>
            </w:r>
          </w:p>
        </w:tc>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资本公积</w:t>
            </w:r>
            <w:r>
              <w:rPr>
                <w:rFonts w:ascii="宋体" w:hAnsi="宋体" w:cs="宋体" w:eastAsia="宋体" w:hint="default"/>
                <w:sz w:val="21"/>
                <w:szCs w:val="21"/>
              </w:rPr>
              <w:t> </w:t>
            </w:r>
          </w:p>
        </w:tc>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5,060,131,248.80</w:t>
            </w:r>
            <w:r>
              <w:rPr>
                <w:rFonts w:ascii="宋体"/>
                <w:sz w:val="21"/>
              </w:rPr>
              <w:t> </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5,060,131,248.80</w:t>
            </w:r>
            <w:r>
              <w:rPr>
                <w:rFonts w:ascii="宋体"/>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减：库存股</w:t>
            </w:r>
            <w:r>
              <w:rPr>
                <w:rFonts w:ascii="宋体" w:hAnsi="宋体" w:cs="宋体" w:eastAsia="宋体" w:hint="default"/>
                <w:sz w:val="21"/>
                <w:szCs w:val="21"/>
              </w:rPr>
              <w:t> </w:t>
            </w:r>
          </w:p>
        </w:tc>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173,515,620.20</w:t>
            </w:r>
            <w:r>
              <w:rPr>
                <w:rFonts w:ascii="宋体"/>
                <w:sz w:val="21"/>
              </w:rPr>
              <w:t> </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173,515,620.20</w:t>
            </w:r>
            <w:r>
              <w:rPr>
                <w:rFonts w:ascii="宋体"/>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其他综合收益</w:t>
            </w:r>
            <w:r>
              <w:rPr>
                <w:rFonts w:ascii="宋体" w:hAnsi="宋体" w:cs="宋体" w:eastAsia="宋体" w:hint="default"/>
                <w:sz w:val="21"/>
                <w:szCs w:val="21"/>
              </w:rPr>
              <w:t> </w:t>
            </w:r>
          </w:p>
        </w:tc>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1,441,757.55</w:t>
            </w:r>
            <w:r>
              <w:rPr>
                <w:rFonts w:ascii="宋体"/>
                <w:sz w:val="21"/>
              </w:rPr>
              <w:t> </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1,441,757.55</w:t>
            </w:r>
            <w:r>
              <w:rPr>
                <w:rFonts w:ascii="宋体"/>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4"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314" w:right="0"/>
              <w:jc w:val="left"/>
              <w:rPr>
                <w:rFonts w:ascii="宋体" w:hAnsi="宋体" w:cs="宋体" w:eastAsia="宋体" w:hint="default"/>
                <w:sz w:val="21"/>
                <w:szCs w:val="21"/>
              </w:rPr>
            </w:pPr>
            <w:r>
              <w:rPr>
                <w:rFonts w:ascii="宋体" w:hAnsi="宋体" w:cs="宋体" w:eastAsia="宋体" w:hint="default"/>
                <w:sz w:val="21"/>
                <w:szCs w:val="21"/>
              </w:rPr>
              <w:t>专项储备</w:t>
            </w:r>
            <w:r>
              <w:rPr>
                <w:rFonts w:ascii="宋体" w:hAnsi="宋体" w:cs="宋体" w:eastAsia="宋体" w:hint="default"/>
                <w:sz w:val="21"/>
                <w:szCs w:val="21"/>
              </w:rPr>
              <w:t> </w:t>
            </w:r>
          </w:p>
        </w:tc>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
              <w:jc w:val="right"/>
              <w:rPr>
                <w:rFonts w:ascii="宋体" w:hAnsi="宋体" w:cs="宋体" w:eastAsia="宋体" w:hint="default"/>
                <w:sz w:val="21"/>
                <w:szCs w:val="21"/>
              </w:rPr>
            </w:pPr>
            <w:r>
              <w:rPr>
                <w:rFonts w:ascii="宋体"/>
                <w:w w:val="100"/>
                <w:sz w:val="21"/>
              </w:rPr>
              <w:t> </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w w:val="100"/>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314" w:right="0"/>
              <w:jc w:val="left"/>
              <w:rPr>
                <w:rFonts w:ascii="宋体" w:hAnsi="宋体" w:cs="宋体" w:eastAsia="宋体" w:hint="default"/>
                <w:sz w:val="21"/>
                <w:szCs w:val="21"/>
              </w:rPr>
            </w:pPr>
            <w:r>
              <w:rPr>
                <w:rFonts w:ascii="宋体" w:hAnsi="宋体" w:cs="宋体" w:eastAsia="宋体" w:hint="default"/>
                <w:sz w:val="21"/>
                <w:szCs w:val="21"/>
              </w:rPr>
              <w:t>盈余公积</w:t>
            </w:r>
            <w:r>
              <w:rPr>
                <w:rFonts w:ascii="宋体" w:hAnsi="宋体" w:cs="宋体" w:eastAsia="宋体" w:hint="default"/>
                <w:sz w:val="21"/>
                <w:szCs w:val="21"/>
              </w:rPr>
              <w:t> </w:t>
            </w:r>
          </w:p>
        </w:tc>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1"/>
              <w:jc w:val="right"/>
              <w:rPr>
                <w:rFonts w:ascii="宋体" w:hAnsi="宋体" w:cs="宋体" w:eastAsia="宋体" w:hint="default"/>
                <w:sz w:val="21"/>
                <w:szCs w:val="21"/>
              </w:rPr>
            </w:pPr>
            <w:r>
              <w:rPr>
                <w:rFonts w:ascii="宋体"/>
                <w:spacing w:val="-1"/>
                <w:sz w:val="21"/>
              </w:rPr>
              <w:t>225,738,320.37</w:t>
            </w:r>
            <w:r>
              <w:rPr>
                <w:rFonts w:ascii="宋体"/>
                <w:sz w:val="21"/>
              </w:rPr>
              <w:t> </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3"/>
              <w:jc w:val="right"/>
              <w:rPr>
                <w:rFonts w:ascii="宋体" w:hAnsi="宋体" w:cs="宋体" w:eastAsia="宋体" w:hint="default"/>
                <w:sz w:val="21"/>
                <w:szCs w:val="21"/>
              </w:rPr>
            </w:pPr>
            <w:r>
              <w:rPr>
                <w:rFonts w:ascii="宋体"/>
                <w:spacing w:val="-1"/>
                <w:sz w:val="21"/>
              </w:rPr>
              <w:t>225,700,358.18</w:t>
            </w:r>
            <w:r>
              <w:rPr>
                <w:rFonts w:ascii="宋体"/>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3"/>
              <w:jc w:val="right"/>
              <w:rPr>
                <w:rFonts w:ascii="宋体" w:hAnsi="宋体" w:cs="宋体" w:eastAsia="宋体" w:hint="default"/>
                <w:sz w:val="21"/>
                <w:szCs w:val="21"/>
              </w:rPr>
            </w:pPr>
            <w:r>
              <w:rPr>
                <w:rFonts w:ascii="宋体"/>
                <w:spacing w:val="-1"/>
                <w:sz w:val="21"/>
              </w:rPr>
              <w:t>-37,962.19</w:t>
            </w:r>
            <w:r>
              <w:rPr>
                <w:rFonts w:ascii="宋体"/>
                <w:sz w:val="21"/>
              </w:rPr>
              <w:t> </w:t>
            </w:r>
          </w:p>
        </w:tc>
      </w:tr>
      <w:tr>
        <w:trPr>
          <w:trHeight w:val="322"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一般风险准备</w:t>
            </w:r>
            <w:r>
              <w:rPr>
                <w:rFonts w:ascii="宋体" w:hAnsi="宋体" w:cs="宋体" w:eastAsia="宋体" w:hint="default"/>
                <w:sz w:val="21"/>
                <w:szCs w:val="21"/>
              </w:rPr>
              <w:t> </w:t>
            </w:r>
          </w:p>
        </w:tc>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未分配利润</w:t>
            </w:r>
            <w:r>
              <w:rPr>
                <w:rFonts w:ascii="宋体" w:hAnsi="宋体" w:cs="宋体" w:eastAsia="宋体" w:hint="default"/>
                <w:sz w:val="21"/>
                <w:szCs w:val="21"/>
              </w:rPr>
              <w:t> </w:t>
            </w:r>
          </w:p>
        </w:tc>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2,747,790,903.50</w:t>
            </w:r>
            <w:r>
              <w:rPr>
                <w:rFonts w:ascii="宋体"/>
                <w:sz w:val="21"/>
              </w:rPr>
              <w:t> </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2,726,673,908.59</w:t>
            </w:r>
            <w:r>
              <w:rPr>
                <w:rFonts w:ascii="宋体"/>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-21,116,994.91</w:t>
            </w:r>
            <w:r>
              <w:rPr>
                <w:rFonts w:ascii="宋体"/>
                <w:sz w:val="21"/>
              </w:rPr>
              <w:t> </w:t>
            </w:r>
          </w:p>
        </w:tc>
      </w:tr>
      <w:tr>
        <w:trPr>
          <w:trHeight w:val="634"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3" w:firstLine="211"/>
              <w:jc w:val="left"/>
              <w:rPr>
                <w:rFonts w:ascii="宋体" w:hAnsi="宋体" w:cs="宋体" w:eastAsia="宋体" w:hint="default"/>
                <w:sz w:val="21"/>
                <w:szCs w:val="21"/>
              </w:rPr>
            </w:pPr>
            <w:r>
              <w:rPr>
                <w:rFonts w:ascii="宋体" w:hAnsi="宋体" w:cs="宋体" w:eastAsia="宋体" w:hint="default"/>
                <w:sz w:val="21"/>
                <w:szCs w:val="21"/>
              </w:rPr>
              <w:t>归属于母公司所有者</w:t>
            </w:r>
            <w:r>
              <w:rPr>
                <w:rFonts w:ascii="宋体" w:hAnsi="宋体" w:cs="宋体" w:eastAsia="宋体" w:hint="default"/>
                <w:w w:val="100"/>
                <w:sz w:val="21"/>
                <w:szCs w:val="21"/>
              </w:rPr>
              <w:t> </w:t>
            </w:r>
            <w:r>
              <w:rPr>
                <w:rFonts w:ascii="宋体" w:hAnsi="宋体" w:cs="宋体" w:eastAsia="宋体" w:hint="default"/>
                <w:spacing w:val="-5"/>
                <w:sz w:val="21"/>
                <w:szCs w:val="21"/>
              </w:rPr>
              <w:t>权益（或股东权益）合计</w:t>
            </w:r>
            <w:r>
              <w:rPr>
                <w:rFonts w:ascii="宋体" w:hAnsi="宋体" w:cs="宋体" w:eastAsia="宋体" w:hint="default"/>
                <w:sz w:val="21"/>
                <w:szCs w:val="21"/>
              </w:rPr>
              <w:t> </w:t>
            </w:r>
          </w:p>
        </w:tc>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
              <w:jc w:val="right"/>
              <w:rPr>
                <w:rFonts w:ascii="宋体" w:hAnsi="宋体" w:cs="宋体" w:eastAsia="宋体" w:hint="default"/>
                <w:sz w:val="21"/>
                <w:szCs w:val="21"/>
              </w:rPr>
            </w:pPr>
            <w:r>
              <w:rPr>
                <w:rFonts w:ascii="宋体"/>
                <w:spacing w:val="-1"/>
                <w:sz w:val="21"/>
              </w:rPr>
              <w:t>10,275,684,348.90</w:t>
            </w:r>
            <w:r>
              <w:rPr>
                <w:rFonts w:ascii="宋体"/>
                <w:sz w:val="21"/>
              </w:rPr>
              <w:t> </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3"/>
              <w:jc w:val="right"/>
              <w:rPr>
                <w:rFonts w:ascii="宋体" w:hAnsi="宋体" w:cs="宋体" w:eastAsia="宋体" w:hint="default"/>
                <w:sz w:val="21"/>
                <w:szCs w:val="21"/>
              </w:rPr>
            </w:pPr>
            <w:r>
              <w:rPr>
                <w:rFonts w:ascii="宋体"/>
                <w:spacing w:val="-1"/>
                <w:sz w:val="21"/>
              </w:rPr>
              <w:t>10,254,529,391.80</w:t>
            </w:r>
            <w:r>
              <w:rPr>
                <w:rFonts w:ascii="宋体"/>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3"/>
              <w:jc w:val="right"/>
              <w:rPr>
                <w:rFonts w:ascii="宋体" w:hAnsi="宋体" w:cs="宋体" w:eastAsia="宋体" w:hint="default"/>
                <w:sz w:val="21"/>
                <w:szCs w:val="21"/>
              </w:rPr>
            </w:pPr>
            <w:r>
              <w:rPr>
                <w:rFonts w:ascii="宋体"/>
                <w:spacing w:val="-1"/>
                <w:sz w:val="21"/>
              </w:rPr>
              <w:t>-21,154,957.10</w:t>
            </w:r>
            <w:r>
              <w:rPr>
                <w:rFonts w:ascii="宋体"/>
                <w:sz w:val="21"/>
              </w:rPr>
              <w:t> </w:t>
            </w:r>
          </w:p>
        </w:tc>
      </w:tr>
      <w:tr>
        <w:trPr>
          <w:trHeight w:val="322"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少数股东权益</w:t>
            </w:r>
            <w:r>
              <w:rPr>
                <w:rFonts w:ascii="宋体" w:hAnsi="宋体" w:cs="宋体" w:eastAsia="宋体" w:hint="default"/>
                <w:sz w:val="21"/>
                <w:szCs w:val="21"/>
              </w:rPr>
              <w:t> </w:t>
            </w:r>
          </w:p>
        </w:tc>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24,845,961.80</w:t>
            </w:r>
            <w:r>
              <w:rPr>
                <w:rFonts w:ascii="宋体"/>
                <w:sz w:val="21"/>
              </w:rPr>
              <w:t> </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24,845,961.80</w:t>
            </w:r>
            <w:r>
              <w:rPr>
                <w:rFonts w:ascii="宋体"/>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636"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8" w:firstLine="420"/>
              <w:jc w:val="left"/>
              <w:rPr>
                <w:rFonts w:ascii="宋体" w:hAnsi="宋体" w:cs="宋体" w:eastAsia="宋体" w:hint="default"/>
                <w:sz w:val="21"/>
                <w:szCs w:val="21"/>
              </w:rPr>
            </w:pPr>
            <w:r>
              <w:rPr>
                <w:rFonts w:ascii="宋体" w:hAnsi="宋体" w:cs="宋体" w:eastAsia="宋体" w:hint="default"/>
                <w:spacing w:val="-5"/>
                <w:sz w:val="21"/>
                <w:szCs w:val="21"/>
              </w:rPr>
              <w:t>所有者权益（或股东</w:t>
            </w:r>
            <w:r>
              <w:rPr>
                <w:rFonts w:ascii="宋体" w:hAnsi="宋体" w:cs="宋体" w:eastAsia="宋体" w:hint="default"/>
                <w:w w:val="100"/>
                <w:sz w:val="21"/>
                <w:szCs w:val="21"/>
              </w:rPr>
              <w:t> </w:t>
            </w:r>
            <w:r>
              <w:rPr>
                <w:rFonts w:ascii="宋体" w:hAnsi="宋体" w:cs="宋体" w:eastAsia="宋体" w:hint="default"/>
                <w:sz w:val="21"/>
                <w:szCs w:val="21"/>
              </w:rPr>
              <w:t>权益）合计</w:t>
            </w:r>
            <w:r>
              <w:rPr>
                <w:rFonts w:ascii="宋体" w:hAnsi="宋体" w:cs="宋体" w:eastAsia="宋体" w:hint="default"/>
                <w:sz w:val="21"/>
                <w:szCs w:val="21"/>
              </w:rPr>
              <w:t> </w:t>
            </w:r>
          </w:p>
        </w:tc>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
              <w:jc w:val="right"/>
              <w:rPr>
                <w:rFonts w:ascii="宋体" w:hAnsi="宋体" w:cs="宋体" w:eastAsia="宋体" w:hint="default"/>
                <w:sz w:val="21"/>
                <w:szCs w:val="21"/>
              </w:rPr>
            </w:pPr>
            <w:r>
              <w:rPr>
                <w:rFonts w:ascii="宋体"/>
                <w:spacing w:val="-1"/>
                <w:sz w:val="21"/>
              </w:rPr>
              <w:t>10,300,530,310.70</w:t>
            </w:r>
            <w:r>
              <w:rPr>
                <w:rFonts w:ascii="宋体"/>
                <w:sz w:val="21"/>
              </w:rPr>
              <w:t> </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3"/>
              <w:jc w:val="right"/>
              <w:rPr>
                <w:rFonts w:ascii="宋体" w:hAnsi="宋体" w:cs="宋体" w:eastAsia="宋体" w:hint="default"/>
                <w:sz w:val="21"/>
                <w:szCs w:val="21"/>
              </w:rPr>
            </w:pPr>
            <w:r>
              <w:rPr>
                <w:rFonts w:ascii="宋体"/>
                <w:spacing w:val="-1"/>
                <w:sz w:val="21"/>
              </w:rPr>
              <w:t>10,279,375,353.60</w:t>
            </w:r>
            <w:r>
              <w:rPr>
                <w:rFonts w:ascii="宋体"/>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3"/>
              <w:jc w:val="right"/>
              <w:rPr>
                <w:rFonts w:ascii="宋体" w:hAnsi="宋体" w:cs="宋体" w:eastAsia="宋体" w:hint="default"/>
                <w:sz w:val="21"/>
                <w:szCs w:val="21"/>
              </w:rPr>
            </w:pPr>
            <w:r>
              <w:rPr>
                <w:rFonts w:ascii="宋体"/>
                <w:spacing w:val="-1"/>
                <w:sz w:val="21"/>
              </w:rPr>
              <w:t>-21,154,957.10</w:t>
            </w:r>
            <w:r>
              <w:rPr>
                <w:rFonts w:ascii="宋体"/>
                <w:sz w:val="21"/>
              </w:rPr>
              <w:t> </w:t>
            </w:r>
          </w:p>
        </w:tc>
      </w:tr>
      <w:tr>
        <w:trPr>
          <w:trHeight w:val="634"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75" w:firstLine="631"/>
              <w:jc w:val="left"/>
              <w:rPr>
                <w:rFonts w:ascii="宋体" w:hAnsi="宋体" w:cs="宋体" w:eastAsia="宋体" w:hint="default"/>
                <w:sz w:val="21"/>
                <w:szCs w:val="21"/>
              </w:rPr>
            </w:pPr>
            <w:r>
              <w:rPr>
                <w:rFonts w:ascii="宋体" w:hAnsi="宋体" w:cs="宋体" w:eastAsia="宋体" w:hint="default"/>
                <w:sz w:val="21"/>
                <w:szCs w:val="21"/>
              </w:rPr>
              <w:t>负债和所有者权</w:t>
            </w:r>
            <w:r>
              <w:rPr>
                <w:rFonts w:ascii="宋体" w:hAnsi="宋体" w:cs="宋体" w:eastAsia="宋体" w:hint="default"/>
                <w:w w:val="100"/>
                <w:sz w:val="21"/>
                <w:szCs w:val="21"/>
              </w:rPr>
              <w:t> </w:t>
            </w:r>
            <w:r>
              <w:rPr>
                <w:rFonts w:ascii="宋体" w:hAnsi="宋体" w:cs="宋体" w:eastAsia="宋体" w:hint="default"/>
                <w:sz w:val="21"/>
                <w:szCs w:val="21"/>
              </w:rPr>
              <w:t>益（或股东权益）总计</w:t>
            </w:r>
            <w:r>
              <w:rPr>
                <w:rFonts w:ascii="宋体" w:hAnsi="宋体" w:cs="宋体" w:eastAsia="宋体" w:hint="default"/>
                <w:sz w:val="21"/>
                <w:szCs w:val="21"/>
              </w:rPr>
              <w:t> </w:t>
            </w:r>
          </w:p>
        </w:tc>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
              <w:jc w:val="right"/>
              <w:rPr>
                <w:rFonts w:ascii="宋体" w:hAnsi="宋体" w:cs="宋体" w:eastAsia="宋体" w:hint="default"/>
                <w:sz w:val="21"/>
                <w:szCs w:val="21"/>
              </w:rPr>
            </w:pPr>
            <w:r>
              <w:rPr>
                <w:rFonts w:ascii="宋体"/>
                <w:spacing w:val="-1"/>
                <w:sz w:val="21"/>
              </w:rPr>
              <w:t>17,545,952,844.28</w:t>
            </w:r>
            <w:r>
              <w:rPr>
                <w:rFonts w:ascii="宋体"/>
                <w:sz w:val="21"/>
              </w:rPr>
              <w:t> </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3"/>
              <w:jc w:val="right"/>
              <w:rPr>
                <w:rFonts w:ascii="宋体" w:hAnsi="宋体" w:cs="宋体" w:eastAsia="宋体" w:hint="default"/>
                <w:sz w:val="21"/>
                <w:szCs w:val="21"/>
              </w:rPr>
            </w:pPr>
            <w:r>
              <w:rPr>
                <w:rFonts w:ascii="宋体"/>
                <w:spacing w:val="-1"/>
                <w:sz w:val="21"/>
              </w:rPr>
              <w:t>17,524,797,887.18</w:t>
            </w:r>
            <w:r>
              <w:rPr>
                <w:rFonts w:ascii="宋体"/>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3"/>
              <w:jc w:val="right"/>
              <w:rPr>
                <w:rFonts w:ascii="宋体" w:hAnsi="宋体" w:cs="宋体" w:eastAsia="宋体" w:hint="default"/>
                <w:sz w:val="21"/>
                <w:szCs w:val="21"/>
              </w:rPr>
            </w:pPr>
            <w:r>
              <w:rPr>
                <w:rFonts w:ascii="宋体"/>
                <w:spacing w:val="-1"/>
                <w:sz w:val="21"/>
              </w:rPr>
              <w:t>-21,154,957.10</w:t>
            </w:r>
            <w:r>
              <w:rPr>
                <w:rFonts w:ascii="宋体"/>
                <w:sz w:val="21"/>
              </w:rPr>
              <w:t> </w:t>
            </w:r>
          </w:p>
        </w:tc>
      </w:tr>
    </w:tbl>
    <w:p>
      <w:pPr>
        <w:pStyle w:val="Heading2"/>
        <w:spacing w:line="274" w:lineRule="exact"/>
        <w:ind w:left="216" w:right="0"/>
        <w:jc w:val="left"/>
        <w:rPr>
          <w:rFonts w:ascii="宋体" w:hAnsi="宋体" w:cs="宋体" w:eastAsia="宋体" w:hint="default"/>
        </w:rPr>
      </w:pPr>
      <w:r>
        <w:rPr>
          <w:rFonts w:ascii="宋体"/>
        </w:rPr>
        <w:t> </w:t>
      </w:r>
    </w:p>
    <w:p>
      <w:pPr>
        <w:pStyle w:val="BodyText"/>
        <w:spacing w:line="240" w:lineRule="auto" w:before="26"/>
        <w:ind w:left="216" w:right="0"/>
        <w:jc w:val="left"/>
        <w:rPr>
          <w:rFonts w:ascii="宋体" w:hAnsi="宋体" w:cs="宋体" w:eastAsia="宋体" w:hint="default"/>
        </w:rPr>
      </w:pPr>
      <w:r>
        <w:rPr/>
        <w:t>各项目调整情况的说明：</w:t>
      </w:r>
      <w:r>
        <w:rPr>
          <w:rFonts w:ascii="宋体" w:hAnsi="宋体" w:cs="宋体" w:eastAsia="宋体" w:hint="default"/>
        </w:rPr>
        <w:t> </w:t>
      </w:r>
    </w:p>
    <w:p>
      <w:pPr>
        <w:pStyle w:val="Heading2"/>
        <w:spacing w:line="313" w:lineRule="exact" w:before="9"/>
        <w:ind w:left="21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tabs>
          <w:tab w:pos="3097" w:val="left" w:leader="none"/>
        </w:tabs>
        <w:spacing w:line="313" w:lineRule="exact" w:before="0"/>
        <w:ind w:left="216" w:right="0" w:firstLine="0"/>
        <w:jc w:val="left"/>
        <w:rPr>
          <w:rFonts w:ascii="宋体" w:hAnsi="宋体" w:cs="宋体" w:eastAsia="宋体" w:hint="default"/>
          <w:sz w:val="24"/>
          <w:szCs w:val="24"/>
        </w:rPr>
      </w:pPr>
      <w:r>
        <w:rPr>
          <w:rFonts w:ascii="宋体"/>
          <w:w w:val="100"/>
          <w:sz w:val="21"/>
        </w:rPr>
        <w:t> </w:t>
      </w:r>
      <w:r>
        <w:rPr>
          <w:rFonts w:ascii="宋体"/>
          <w:sz w:val="21"/>
        </w:rPr>
        <w:tab/>
      </w:r>
      <w:r>
        <w:rPr>
          <w:rFonts w:ascii="宋体"/>
          <w:sz w:val="24"/>
        </w:rPr>
        <w:t> </w:t>
      </w:r>
    </w:p>
    <w:p>
      <w:pPr>
        <w:spacing w:after="0" w:line="313" w:lineRule="exact"/>
        <w:jc w:val="left"/>
        <w:rPr>
          <w:rFonts w:ascii="宋体" w:hAnsi="宋体" w:cs="宋体" w:eastAsia="宋体" w:hint="default"/>
          <w:sz w:val="24"/>
          <w:szCs w:val="24"/>
        </w:rPr>
        <w:sectPr>
          <w:pgSz w:w="11910" w:h="16840"/>
          <w:pgMar w:header="748" w:footer="974" w:top="1140" w:bottom="1160" w:left="1060" w:right="1560"/>
        </w:sectPr>
      </w:pPr>
    </w:p>
    <w:p>
      <w:pPr>
        <w:spacing w:line="240" w:lineRule="auto" w:before="2"/>
        <w:rPr>
          <w:rFonts w:ascii="宋体" w:hAnsi="宋体" w:cs="宋体" w:eastAsia="宋体" w:hint="default"/>
          <w:sz w:val="19"/>
          <w:szCs w:val="19"/>
        </w:rPr>
      </w:pPr>
    </w:p>
    <w:p>
      <w:pPr>
        <w:pStyle w:val="BodyText"/>
        <w:spacing w:line="240" w:lineRule="auto" w:before="36"/>
        <w:ind w:left="3826" w:right="3739"/>
        <w:jc w:val="center"/>
        <w:rPr>
          <w:rFonts w:ascii="宋体" w:hAnsi="宋体" w:cs="宋体" w:eastAsia="宋体" w:hint="default"/>
        </w:rPr>
      </w:pPr>
      <w:r>
        <w:rPr/>
        <w:t>母公司资产负债表</w:t>
      </w:r>
      <w:r>
        <w:rPr>
          <w:rFonts w:ascii="宋体" w:hAnsi="宋体" w:cs="宋体" w:eastAsia="宋体" w:hint="default"/>
        </w:rPr>
        <w:t> </w:t>
      </w:r>
    </w:p>
    <w:p>
      <w:pPr>
        <w:pStyle w:val="BodyText"/>
        <w:spacing w:line="240" w:lineRule="auto" w:before="37"/>
        <w:ind w:left="0" w:right="128"/>
        <w:jc w:val="right"/>
        <w:rPr>
          <w:rFonts w:ascii="宋体" w:hAnsi="宋体" w:cs="宋体" w:eastAsia="宋体" w:hint="default"/>
        </w:rPr>
      </w:pPr>
      <w:r>
        <w:rPr>
          <w:spacing w:val="-2"/>
        </w:rPr>
        <w:t>单位</w:t>
      </w:r>
      <w:r>
        <w:rPr>
          <w:rFonts w:ascii="宋体" w:hAnsi="宋体" w:cs="宋体" w:eastAsia="宋体" w:hint="default"/>
          <w:spacing w:val="-2"/>
        </w:rPr>
        <w:t>:</w:t>
      </w:r>
      <w:r>
        <w:rPr>
          <w:spacing w:val="-2"/>
        </w:rPr>
        <w:t>元币种</w:t>
      </w:r>
      <w:r>
        <w:rPr>
          <w:rFonts w:ascii="宋体" w:hAnsi="宋体" w:cs="宋体" w:eastAsia="宋体" w:hint="default"/>
          <w:spacing w:val="-2"/>
        </w:rPr>
        <w:t>:</w:t>
      </w:r>
      <w:r>
        <w:rPr>
          <w:spacing w:val="-2"/>
        </w:rPr>
        <w:t>人民币</w:t>
      </w:r>
      <w:r>
        <w:rPr>
          <w:rFonts w:ascii="宋体" w:hAnsi="宋体" w:cs="宋体" w:eastAsia="宋体" w:hint="default"/>
        </w:rPr>
        <w:t> </w:t>
      </w:r>
    </w:p>
    <w:p>
      <w:pPr>
        <w:spacing w:line="240" w:lineRule="auto" w:before="10"/>
        <w:rPr>
          <w:rFonts w:ascii="宋体" w:hAnsi="宋体" w:cs="宋体" w:eastAsia="宋体" w:hint="default"/>
          <w:sz w:val="3"/>
          <w:szCs w:val="3"/>
        </w:rPr>
      </w:pPr>
    </w:p>
    <w:tbl>
      <w:tblPr>
        <w:tblW w:w="0" w:type="auto"/>
        <w:jc w:val="left"/>
        <w:tblInd w:w="103" w:type="dxa"/>
        <w:tblLayout w:type="fixed"/>
        <w:tblCellMar>
          <w:top w:w="0" w:type="dxa"/>
          <w:left w:w="0" w:type="dxa"/>
          <w:bottom w:w="0" w:type="dxa"/>
          <w:right w:w="0" w:type="dxa"/>
        </w:tblCellMar>
        <w:tblLook w:val="01E0"/>
      </w:tblPr>
      <w:tblGrid>
        <w:gridCol w:w="3027"/>
        <w:gridCol w:w="2230"/>
        <w:gridCol w:w="2002"/>
        <w:gridCol w:w="1791"/>
      </w:tblGrid>
      <w:tr>
        <w:trPr>
          <w:trHeight w:val="322" w:hRule="exact"/>
        </w:trPr>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23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7" w:right="0"/>
              <w:jc w:val="left"/>
              <w:rPr>
                <w:rFonts w:ascii="宋体" w:hAnsi="宋体" w:cs="宋体" w:eastAsia="宋体" w:hint="default"/>
                <w:sz w:val="21"/>
                <w:szCs w:val="21"/>
              </w:rPr>
            </w:pPr>
            <w:r>
              <w:rPr>
                <w:rFonts w:ascii="宋体" w:hAnsi="宋体" w:cs="宋体" w:eastAsia="宋体" w:hint="default"/>
                <w:b/>
                <w:bCs/>
                <w:sz w:val="21"/>
                <w:szCs w:val="21"/>
              </w:rPr>
              <w:t>2018</w:t>
            </w:r>
            <w:r>
              <w:rPr>
                <w:rFonts w:ascii="宋体" w:hAnsi="宋体" w:cs="宋体" w:eastAsia="宋体" w:hint="default"/>
                <w:b/>
                <w:bCs/>
                <w:spacing w:val="-55"/>
                <w:sz w:val="21"/>
                <w:szCs w:val="21"/>
              </w:rPr>
              <w:t> </w:t>
            </w:r>
            <w:r>
              <w:rPr>
                <w:rFonts w:ascii="宋体" w:hAnsi="宋体" w:cs="宋体" w:eastAsia="宋体" w:hint="default"/>
                <w:b/>
                <w:bCs/>
                <w:sz w:val="21"/>
                <w:szCs w:val="21"/>
              </w:rPr>
              <w:t>年</w:t>
            </w:r>
            <w:r>
              <w:rPr>
                <w:rFonts w:ascii="宋体" w:hAnsi="宋体" w:cs="宋体" w:eastAsia="宋体" w:hint="default"/>
                <w:b/>
                <w:bCs/>
                <w:spacing w:val="-55"/>
                <w:sz w:val="21"/>
                <w:szCs w:val="21"/>
              </w:rPr>
              <w:t> </w:t>
            </w:r>
            <w:r>
              <w:rPr>
                <w:rFonts w:ascii="宋体" w:hAnsi="宋体" w:cs="宋体" w:eastAsia="宋体" w:hint="default"/>
                <w:b/>
                <w:bCs/>
                <w:sz w:val="21"/>
                <w:szCs w:val="21"/>
              </w:rPr>
              <w:t>12</w:t>
            </w:r>
            <w:r>
              <w:rPr>
                <w:rFonts w:ascii="宋体" w:hAnsi="宋体" w:cs="宋体" w:eastAsia="宋体" w:hint="default"/>
                <w:b/>
                <w:bCs/>
                <w:spacing w:val="-55"/>
                <w:sz w:val="21"/>
                <w:szCs w:val="21"/>
              </w:rPr>
              <w:t> </w:t>
            </w:r>
            <w:r>
              <w:rPr>
                <w:rFonts w:ascii="宋体" w:hAnsi="宋体" w:cs="宋体" w:eastAsia="宋体" w:hint="default"/>
                <w:b/>
                <w:bCs/>
                <w:sz w:val="21"/>
                <w:szCs w:val="21"/>
              </w:rPr>
              <w:t>月</w:t>
            </w:r>
            <w:r>
              <w:rPr>
                <w:rFonts w:ascii="宋体" w:hAnsi="宋体" w:cs="宋体" w:eastAsia="宋体" w:hint="default"/>
                <w:b/>
                <w:bCs/>
                <w:spacing w:val="-55"/>
                <w:sz w:val="21"/>
                <w:szCs w:val="21"/>
              </w:rPr>
              <w:t> </w:t>
            </w:r>
            <w:r>
              <w:rPr>
                <w:rFonts w:ascii="宋体" w:hAnsi="宋体" w:cs="宋体" w:eastAsia="宋体" w:hint="default"/>
                <w:b/>
                <w:bCs/>
                <w:sz w:val="21"/>
                <w:szCs w:val="21"/>
              </w:rPr>
              <w:t>31</w:t>
            </w:r>
            <w:r>
              <w:rPr>
                <w:rFonts w:ascii="宋体" w:hAnsi="宋体" w:cs="宋体" w:eastAsia="宋体" w:hint="default"/>
                <w:b/>
                <w:bCs/>
                <w:spacing w:val="-55"/>
                <w:sz w:val="21"/>
                <w:szCs w:val="21"/>
              </w:rPr>
              <w:t> </w:t>
            </w:r>
            <w:r>
              <w:rPr>
                <w:rFonts w:ascii="宋体" w:hAnsi="宋体" w:cs="宋体" w:eastAsia="宋体" w:hint="default"/>
                <w:b/>
                <w:bCs/>
                <w:sz w:val="21"/>
                <w:szCs w:val="21"/>
              </w:rPr>
              <w:t>日</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0" w:right="0"/>
              <w:jc w:val="left"/>
              <w:rPr>
                <w:rFonts w:ascii="宋体" w:hAnsi="宋体" w:cs="宋体" w:eastAsia="宋体" w:hint="default"/>
                <w:sz w:val="21"/>
                <w:szCs w:val="21"/>
              </w:rPr>
            </w:pPr>
            <w:r>
              <w:rPr>
                <w:rFonts w:ascii="宋体" w:hAnsi="宋体" w:cs="宋体" w:eastAsia="宋体" w:hint="default"/>
                <w:b/>
                <w:bCs/>
                <w:sz w:val="21"/>
                <w:szCs w:val="21"/>
              </w:rPr>
              <w:t>2019</w:t>
            </w:r>
            <w:r>
              <w:rPr>
                <w:rFonts w:ascii="宋体" w:hAnsi="宋体" w:cs="宋体" w:eastAsia="宋体" w:hint="default"/>
                <w:b/>
                <w:bCs/>
                <w:spacing w:val="-55"/>
                <w:sz w:val="21"/>
                <w:szCs w:val="21"/>
              </w:rPr>
              <w:t> </w:t>
            </w:r>
            <w:r>
              <w:rPr>
                <w:rFonts w:ascii="宋体" w:hAnsi="宋体" w:cs="宋体" w:eastAsia="宋体" w:hint="default"/>
                <w:b/>
                <w:bCs/>
                <w:sz w:val="21"/>
                <w:szCs w:val="21"/>
              </w:rPr>
              <w:t>年</w:t>
            </w:r>
            <w:r>
              <w:rPr>
                <w:rFonts w:ascii="宋体" w:hAnsi="宋体" w:cs="宋体" w:eastAsia="宋体" w:hint="default"/>
                <w:b/>
                <w:bCs/>
                <w:spacing w:val="-55"/>
                <w:sz w:val="21"/>
                <w:szCs w:val="21"/>
              </w:rPr>
              <w:t> </w:t>
            </w:r>
            <w:r>
              <w:rPr>
                <w:rFonts w:ascii="宋体" w:hAnsi="宋体" w:cs="宋体" w:eastAsia="宋体" w:hint="default"/>
                <w:b/>
                <w:bCs/>
                <w:sz w:val="21"/>
                <w:szCs w:val="21"/>
              </w:rPr>
              <w:t>1</w:t>
            </w:r>
            <w:r>
              <w:rPr>
                <w:rFonts w:ascii="宋体" w:hAnsi="宋体" w:cs="宋体" w:eastAsia="宋体" w:hint="default"/>
                <w:b/>
                <w:bCs/>
                <w:spacing w:val="-55"/>
                <w:sz w:val="21"/>
                <w:szCs w:val="21"/>
              </w:rPr>
              <w:t> </w:t>
            </w:r>
            <w:r>
              <w:rPr>
                <w:rFonts w:ascii="宋体" w:hAnsi="宋体" w:cs="宋体" w:eastAsia="宋体" w:hint="default"/>
                <w:b/>
                <w:bCs/>
                <w:sz w:val="21"/>
                <w:szCs w:val="21"/>
              </w:rPr>
              <w:t>月</w:t>
            </w:r>
            <w:r>
              <w:rPr>
                <w:rFonts w:ascii="宋体" w:hAnsi="宋体" w:cs="宋体" w:eastAsia="宋体" w:hint="default"/>
                <w:b/>
                <w:bCs/>
                <w:spacing w:val="-55"/>
                <w:sz w:val="21"/>
                <w:szCs w:val="21"/>
              </w:rPr>
              <w:t> </w:t>
            </w:r>
            <w:r>
              <w:rPr>
                <w:rFonts w:ascii="宋体" w:hAnsi="宋体" w:cs="宋体" w:eastAsia="宋体" w:hint="default"/>
                <w:b/>
                <w:bCs/>
                <w:sz w:val="21"/>
                <w:szCs w:val="21"/>
              </w:rPr>
              <w:t>1</w:t>
            </w:r>
            <w:r>
              <w:rPr>
                <w:rFonts w:ascii="宋体" w:hAnsi="宋体" w:cs="宋体" w:eastAsia="宋体" w:hint="default"/>
                <w:b/>
                <w:bCs/>
                <w:spacing w:val="-55"/>
                <w:sz w:val="21"/>
                <w:szCs w:val="21"/>
              </w:rPr>
              <w:t> </w:t>
            </w:r>
            <w:r>
              <w:rPr>
                <w:rFonts w:ascii="宋体" w:hAnsi="宋体" w:cs="宋体" w:eastAsia="宋体" w:hint="default"/>
                <w:b/>
                <w:bCs/>
                <w:sz w:val="21"/>
                <w:szCs w:val="21"/>
              </w:rPr>
              <w:t>日</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73" w:right="0"/>
              <w:jc w:val="left"/>
              <w:rPr>
                <w:rFonts w:ascii="宋体" w:hAnsi="宋体" w:cs="宋体" w:eastAsia="宋体" w:hint="default"/>
                <w:sz w:val="21"/>
                <w:szCs w:val="21"/>
              </w:rPr>
            </w:pPr>
            <w:r>
              <w:rPr>
                <w:rFonts w:ascii="宋体" w:hAnsi="宋体" w:cs="宋体" w:eastAsia="宋体" w:hint="default"/>
                <w:b/>
                <w:bCs/>
                <w:sz w:val="21"/>
                <w:szCs w:val="21"/>
              </w:rPr>
              <w:t>调整数</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322" w:hRule="exact"/>
        </w:trPr>
        <w:tc>
          <w:tcPr>
            <w:tcW w:w="9050" w:type="dxa"/>
            <w:gridSpan w:val="4"/>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流动资产：</w:t>
            </w:r>
            <w:r>
              <w:rPr>
                <w:rFonts w:ascii="宋体" w:hAnsi="宋体" w:cs="宋体" w:eastAsia="宋体" w:hint="default"/>
                <w:w w:val="100"/>
                <w:sz w:val="21"/>
                <w:szCs w:val="21"/>
              </w:rPr>
              <w:t> </w:t>
            </w:r>
          </w:p>
        </w:tc>
      </w:tr>
      <w:tr>
        <w:trPr>
          <w:trHeight w:val="322" w:hRule="exact"/>
        </w:trPr>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货币资金</w:t>
            </w:r>
            <w:r>
              <w:rPr>
                <w:rFonts w:ascii="宋体" w:hAnsi="宋体" w:cs="宋体" w:eastAsia="宋体" w:hint="default"/>
                <w:sz w:val="21"/>
                <w:szCs w:val="21"/>
              </w:rPr>
              <w:t> </w:t>
            </w:r>
          </w:p>
        </w:tc>
        <w:tc>
          <w:tcPr>
            <w:tcW w:w="223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1,212,933,169.51</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1,212,933,169.51</w:t>
            </w:r>
            <w:r>
              <w:rPr>
                <w:rFonts w:ascii="宋体"/>
                <w:sz w:val="21"/>
              </w:rPr>
              <w:t> </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4" w:hRule="exact"/>
        </w:trPr>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314" w:right="0"/>
              <w:jc w:val="left"/>
              <w:rPr>
                <w:rFonts w:ascii="宋体" w:hAnsi="宋体" w:cs="宋体" w:eastAsia="宋体" w:hint="default"/>
                <w:sz w:val="21"/>
                <w:szCs w:val="21"/>
              </w:rPr>
            </w:pPr>
            <w:r>
              <w:rPr>
                <w:rFonts w:ascii="宋体" w:hAnsi="宋体" w:cs="宋体" w:eastAsia="宋体" w:hint="default"/>
                <w:sz w:val="21"/>
                <w:szCs w:val="21"/>
              </w:rPr>
              <w:t>交易性金融资产</w:t>
            </w:r>
            <w:r>
              <w:rPr>
                <w:rFonts w:ascii="宋体" w:hAnsi="宋体" w:cs="宋体" w:eastAsia="宋体" w:hint="default"/>
                <w:sz w:val="21"/>
                <w:szCs w:val="21"/>
              </w:rPr>
              <w:t> </w:t>
            </w:r>
          </w:p>
        </w:tc>
        <w:tc>
          <w:tcPr>
            <w:tcW w:w="223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spacing w:val="-1"/>
                <w:sz w:val="21"/>
              </w:rPr>
              <w:t>970,000,000.00</w:t>
            </w:r>
            <w:r>
              <w:rPr>
                <w:rFonts w:ascii="宋体"/>
                <w:sz w:val="21"/>
              </w:rPr>
              <w:t> </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3"/>
              <w:jc w:val="right"/>
              <w:rPr>
                <w:rFonts w:ascii="宋体" w:hAnsi="宋体" w:cs="宋体" w:eastAsia="宋体" w:hint="default"/>
                <w:sz w:val="21"/>
                <w:szCs w:val="21"/>
              </w:rPr>
            </w:pPr>
            <w:r>
              <w:rPr>
                <w:rFonts w:ascii="Times New Roman"/>
                <w:spacing w:val="-1"/>
                <w:sz w:val="18"/>
              </w:rPr>
              <w:t>970,000,000.00</w:t>
            </w:r>
            <w:r>
              <w:rPr>
                <w:rFonts w:ascii="宋体"/>
                <w:spacing w:val="-1"/>
                <w:w w:val="100"/>
                <w:sz w:val="21"/>
              </w:rPr>
              <w:t> </w:t>
            </w:r>
          </w:p>
        </w:tc>
      </w:tr>
      <w:tr>
        <w:trPr>
          <w:trHeight w:val="634" w:hRule="exact"/>
        </w:trPr>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78" w:firstLine="211"/>
              <w:jc w:val="left"/>
              <w:rPr>
                <w:rFonts w:ascii="宋体" w:hAnsi="宋体" w:cs="宋体" w:eastAsia="宋体" w:hint="default"/>
                <w:sz w:val="21"/>
                <w:szCs w:val="21"/>
              </w:rPr>
            </w:pPr>
            <w:r>
              <w:rPr>
                <w:rFonts w:ascii="宋体" w:hAnsi="宋体" w:cs="宋体" w:eastAsia="宋体" w:hint="default"/>
                <w:spacing w:val="-2"/>
                <w:sz w:val="21"/>
                <w:szCs w:val="21"/>
              </w:rPr>
              <w:t>以公允价值计量且其变动计</w:t>
            </w:r>
            <w:r>
              <w:rPr>
                <w:rFonts w:ascii="宋体" w:hAnsi="宋体" w:cs="宋体" w:eastAsia="宋体" w:hint="default"/>
                <w:w w:val="100"/>
                <w:sz w:val="21"/>
                <w:szCs w:val="21"/>
              </w:rPr>
              <w:t> </w:t>
            </w:r>
            <w:r>
              <w:rPr>
                <w:rFonts w:ascii="宋体" w:hAnsi="宋体" w:cs="宋体" w:eastAsia="宋体" w:hint="default"/>
                <w:sz w:val="21"/>
                <w:szCs w:val="21"/>
              </w:rPr>
              <w:t>入当期损益的金融资产</w:t>
            </w:r>
            <w:r>
              <w:rPr>
                <w:rFonts w:ascii="宋体" w:hAnsi="宋体" w:cs="宋体" w:eastAsia="宋体" w:hint="default"/>
                <w:sz w:val="21"/>
                <w:szCs w:val="21"/>
              </w:rPr>
              <w:t> </w:t>
            </w:r>
          </w:p>
        </w:tc>
        <w:tc>
          <w:tcPr>
            <w:tcW w:w="2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3"/>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3"/>
              <w:jc w:val="right"/>
              <w:rPr>
                <w:rFonts w:ascii="宋体" w:hAnsi="宋体" w:cs="宋体" w:eastAsia="宋体" w:hint="default"/>
                <w:sz w:val="21"/>
                <w:szCs w:val="21"/>
              </w:rPr>
            </w:pPr>
            <w:r>
              <w:rPr>
                <w:rFonts w:ascii="宋体"/>
                <w:w w:val="100"/>
                <w:sz w:val="21"/>
              </w:rPr>
              <w:t> </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3"/>
              <w:jc w:val="right"/>
              <w:rPr>
                <w:rFonts w:ascii="宋体" w:hAnsi="宋体" w:cs="宋体" w:eastAsia="宋体" w:hint="default"/>
                <w:sz w:val="21"/>
                <w:szCs w:val="21"/>
              </w:rPr>
            </w:pPr>
            <w:r>
              <w:rPr>
                <w:rFonts w:ascii="宋体"/>
                <w:w w:val="100"/>
                <w:sz w:val="21"/>
              </w:rPr>
              <w:t> </w:t>
            </w:r>
          </w:p>
        </w:tc>
      </w:tr>
      <w:tr>
        <w:trPr>
          <w:trHeight w:val="322" w:hRule="exact"/>
        </w:trPr>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衍生金融资产</w:t>
            </w:r>
            <w:r>
              <w:rPr>
                <w:rFonts w:ascii="宋体" w:hAnsi="宋体" w:cs="宋体" w:eastAsia="宋体" w:hint="default"/>
                <w:sz w:val="21"/>
                <w:szCs w:val="21"/>
              </w:rPr>
              <w:t> </w:t>
            </w:r>
          </w:p>
        </w:tc>
        <w:tc>
          <w:tcPr>
            <w:tcW w:w="223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应收票据</w:t>
            </w:r>
            <w:r>
              <w:rPr>
                <w:rFonts w:ascii="宋体" w:hAnsi="宋体" w:cs="宋体" w:eastAsia="宋体" w:hint="default"/>
                <w:sz w:val="21"/>
                <w:szCs w:val="21"/>
              </w:rPr>
              <w:t> </w:t>
            </w:r>
          </w:p>
        </w:tc>
        <w:tc>
          <w:tcPr>
            <w:tcW w:w="223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32,581,788.52</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29,907,600.56</w:t>
            </w:r>
            <w:r>
              <w:rPr>
                <w:rFonts w:ascii="宋体"/>
                <w:sz w:val="21"/>
              </w:rPr>
              <w:t> </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3"/>
              <w:jc w:val="right"/>
              <w:rPr>
                <w:rFonts w:ascii="宋体" w:hAnsi="宋体" w:cs="宋体" w:eastAsia="宋体" w:hint="default"/>
                <w:sz w:val="21"/>
                <w:szCs w:val="21"/>
              </w:rPr>
            </w:pPr>
            <w:r>
              <w:rPr>
                <w:rFonts w:ascii="Times New Roman"/>
                <w:spacing w:val="-1"/>
                <w:sz w:val="18"/>
              </w:rPr>
              <w:t>-2,674,187.96</w:t>
            </w:r>
            <w:r>
              <w:rPr>
                <w:rFonts w:ascii="宋体"/>
                <w:spacing w:val="-1"/>
                <w:w w:val="100"/>
                <w:sz w:val="21"/>
              </w:rPr>
              <w:t> </w:t>
            </w:r>
          </w:p>
        </w:tc>
      </w:tr>
      <w:tr>
        <w:trPr>
          <w:trHeight w:val="322" w:hRule="exact"/>
        </w:trPr>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应收账款</w:t>
            </w:r>
            <w:r>
              <w:rPr>
                <w:rFonts w:ascii="宋体" w:hAnsi="宋体" w:cs="宋体" w:eastAsia="宋体" w:hint="default"/>
                <w:sz w:val="21"/>
                <w:szCs w:val="21"/>
              </w:rPr>
              <w:t> </w:t>
            </w:r>
          </w:p>
        </w:tc>
        <w:tc>
          <w:tcPr>
            <w:tcW w:w="223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1,028,588,686.07</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1,028,588,686.07</w:t>
            </w:r>
            <w:r>
              <w:rPr>
                <w:rFonts w:ascii="宋体"/>
                <w:sz w:val="21"/>
              </w:rPr>
              <w:t> </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应收款项融资</w:t>
            </w:r>
            <w:r>
              <w:rPr>
                <w:rFonts w:ascii="宋体" w:hAnsi="宋体" w:cs="宋体" w:eastAsia="宋体" w:hint="default"/>
                <w:sz w:val="21"/>
                <w:szCs w:val="21"/>
              </w:rPr>
              <w:t> </w:t>
            </w:r>
          </w:p>
        </w:tc>
        <w:tc>
          <w:tcPr>
            <w:tcW w:w="223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2,674,187.96</w:t>
            </w:r>
            <w:r>
              <w:rPr>
                <w:rFonts w:ascii="宋体"/>
                <w:sz w:val="21"/>
              </w:rPr>
              <w:t> </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3"/>
              <w:jc w:val="right"/>
              <w:rPr>
                <w:rFonts w:ascii="宋体" w:hAnsi="宋体" w:cs="宋体" w:eastAsia="宋体" w:hint="default"/>
                <w:sz w:val="21"/>
                <w:szCs w:val="21"/>
              </w:rPr>
            </w:pPr>
            <w:r>
              <w:rPr>
                <w:rFonts w:ascii="Times New Roman"/>
                <w:spacing w:val="-1"/>
                <w:sz w:val="18"/>
              </w:rPr>
              <w:t>2,674,187.96</w:t>
            </w:r>
            <w:r>
              <w:rPr>
                <w:rFonts w:ascii="宋体"/>
                <w:w w:val="100"/>
                <w:sz w:val="21"/>
              </w:rPr>
              <w:t> </w:t>
            </w:r>
          </w:p>
        </w:tc>
      </w:tr>
      <w:tr>
        <w:trPr>
          <w:trHeight w:val="324" w:hRule="exact"/>
        </w:trPr>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314" w:right="0"/>
              <w:jc w:val="left"/>
              <w:rPr>
                <w:rFonts w:ascii="宋体" w:hAnsi="宋体" w:cs="宋体" w:eastAsia="宋体" w:hint="default"/>
                <w:sz w:val="21"/>
                <w:szCs w:val="21"/>
              </w:rPr>
            </w:pPr>
            <w:r>
              <w:rPr>
                <w:rFonts w:ascii="宋体" w:hAnsi="宋体" w:cs="宋体" w:eastAsia="宋体" w:hint="default"/>
                <w:sz w:val="21"/>
                <w:szCs w:val="21"/>
              </w:rPr>
              <w:t>预付款项</w:t>
            </w:r>
            <w:r>
              <w:rPr>
                <w:rFonts w:ascii="宋体" w:hAnsi="宋体" w:cs="宋体" w:eastAsia="宋体" w:hint="default"/>
                <w:sz w:val="21"/>
                <w:szCs w:val="21"/>
              </w:rPr>
              <w:t> </w:t>
            </w:r>
          </w:p>
        </w:tc>
        <w:tc>
          <w:tcPr>
            <w:tcW w:w="223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spacing w:val="-1"/>
                <w:sz w:val="21"/>
              </w:rPr>
              <w:t>59,334,810.27</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spacing w:val="-1"/>
                <w:sz w:val="21"/>
              </w:rPr>
              <w:t>59,334,810.27</w:t>
            </w:r>
            <w:r>
              <w:rPr>
                <w:rFonts w:ascii="宋体"/>
                <w:sz w:val="21"/>
              </w:rPr>
              <w:t> </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其他应收款</w:t>
            </w:r>
            <w:r>
              <w:rPr>
                <w:rFonts w:ascii="宋体" w:hAnsi="宋体" w:cs="宋体" w:eastAsia="宋体" w:hint="default"/>
                <w:sz w:val="21"/>
                <w:szCs w:val="21"/>
              </w:rPr>
              <w:t> </w:t>
            </w:r>
          </w:p>
        </w:tc>
        <w:tc>
          <w:tcPr>
            <w:tcW w:w="223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1,138,173,040.65</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1,137,726,426.69</w:t>
            </w:r>
            <w:r>
              <w:rPr>
                <w:rFonts w:ascii="宋体"/>
                <w:sz w:val="21"/>
              </w:rPr>
              <w:t> </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3"/>
              <w:jc w:val="right"/>
              <w:rPr>
                <w:rFonts w:ascii="宋体" w:hAnsi="宋体" w:cs="宋体" w:eastAsia="宋体" w:hint="default"/>
                <w:sz w:val="21"/>
                <w:szCs w:val="21"/>
              </w:rPr>
            </w:pPr>
            <w:r>
              <w:rPr>
                <w:rFonts w:ascii="Times New Roman"/>
                <w:spacing w:val="-1"/>
                <w:sz w:val="18"/>
              </w:rPr>
              <w:t>-446,613.96</w:t>
            </w:r>
            <w:r>
              <w:rPr>
                <w:rFonts w:ascii="宋体"/>
                <w:w w:val="100"/>
                <w:sz w:val="21"/>
              </w:rPr>
              <w:t> </w:t>
            </w:r>
          </w:p>
        </w:tc>
      </w:tr>
      <w:tr>
        <w:trPr>
          <w:trHeight w:val="322" w:hRule="exact"/>
        </w:trPr>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其中：应收利息</w:t>
            </w:r>
            <w:r>
              <w:rPr>
                <w:rFonts w:ascii="宋体" w:hAnsi="宋体" w:cs="宋体" w:eastAsia="宋体" w:hint="default"/>
                <w:sz w:val="21"/>
                <w:szCs w:val="21"/>
              </w:rPr>
              <w:t> </w:t>
            </w:r>
          </w:p>
        </w:tc>
        <w:tc>
          <w:tcPr>
            <w:tcW w:w="223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943" w:right="0"/>
              <w:jc w:val="left"/>
              <w:rPr>
                <w:rFonts w:ascii="宋体" w:hAnsi="宋体" w:cs="宋体" w:eastAsia="宋体" w:hint="default"/>
                <w:sz w:val="21"/>
                <w:szCs w:val="21"/>
              </w:rPr>
            </w:pPr>
            <w:r>
              <w:rPr>
                <w:rFonts w:ascii="宋体" w:hAnsi="宋体" w:cs="宋体" w:eastAsia="宋体" w:hint="default"/>
                <w:sz w:val="21"/>
                <w:szCs w:val="21"/>
              </w:rPr>
              <w:t>应收股利</w:t>
            </w:r>
            <w:r>
              <w:rPr>
                <w:rFonts w:ascii="宋体" w:hAnsi="宋体" w:cs="宋体" w:eastAsia="宋体" w:hint="default"/>
                <w:sz w:val="21"/>
                <w:szCs w:val="21"/>
              </w:rPr>
              <w:t> </w:t>
            </w:r>
          </w:p>
        </w:tc>
        <w:tc>
          <w:tcPr>
            <w:tcW w:w="223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50,000,000.00</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50,000,000.00</w:t>
            </w:r>
            <w:r>
              <w:rPr>
                <w:rFonts w:ascii="宋体"/>
                <w:sz w:val="21"/>
              </w:rPr>
              <w:t> </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存货</w:t>
            </w:r>
            <w:r>
              <w:rPr>
                <w:rFonts w:ascii="宋体" w:hAnsi="宋体" w:cs="宋体" w:eastAsia="宋体" w:hint="default"/>
                <w:sz w:val="21"/>
                <w:szCs w:val="21"/>
              </w:rPr>
              <w:t> </w:t>
            </w:r>
          </w:p>
        </w:tc>
        <w:tc>
          <w:tcPr>
            <w:tcW w:w="223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292,747,830.13</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292,747,830.13</w:t>
            </w:r>
            <w:r>
              <w:rPr>
                <w:rFonts w:ascii="宋体"/>
                <w:sz w:val="21"/>
              </w:rPr>
              <w:t> </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持有待售资产</w:t>
            </w:r>
            <w:r>
              <w:rPr>
                <w:rFonts w:ascii="宋体" w:hAnsi="宋体" w:cs="宋体" w:eastAsia="宋体" w:hint="default"/>
                <w:sz w:val="21"/>
                <w:szCs w:val="21"/>
              </w:rPr>
              <w:t> </w:t>
            </w:r>
          </w:p>
        </w:tc>
        <w:tc>
          <w:tcPr>
            <w:tcW w:w="223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4" w:hRule="exact"/>
        </w:trPr>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314" w:right="0"/>
              <w:jc w:val="left"/>
              <w:rPr>
                <w:rFonts w:ascii="宋体" w:hAnsi="宋体" w:cs="宋体" w:eastAsia="宋体" w:hint="default"/>
                <w:sz w:val="21"/>
                <w:szCs w:val="21"/>
              </w:rPr>
            </w:pPr>
            <w:r>
              <w:rPr>
                <w:rFonts w:ascii="宋体" w:hAnsi="宋体" w:cs="宋体" w:eastAsia="宋体" w:hint="default"/>
                <w:sz w:val="21"/>
                <w:szCs w:val="21"/>
              </w:rPr>
              <w:t>一年内到期的非流动资产</w:t>
            </w:r>
            <w:r>
              <w:rPr>
                <w:rFonts w:ascii="宋体" w:hAnsi="宋体" w:cs="宋体" w:eastAsia="宋体" w:hint="default"/>
                <w:sz w:val="21"/>
                <w:szCs w:val="21"/>
              </w:rPr>
              <w:t> </w:t>
            </w:r>
          </w:p>
        </w:tc>
        <w:tc>
          <w:tcPr>
            <w:tcW w:w="223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w w:val="100"/>
                <w:sz w:val="21"/>
              </w:rPr>
              <w:t> </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其他流动资产</w:t>
            </w:r>
            <w:r>
              <w:rPr>
                <w:rFonts w:ascii="宋体" w:hAnsi="宋体" w:cs="宋体" w:eastAsia="宋体" w:hint="default"/>
                <w:sz w:val="21"/>
                <w:szCs w:val="21"/>
              </w:rPr>
              <w:t> </w:t>
            </w:r>
          </w:p>
        </w:tc>
        <w:tc>
          <w:tcPr>
            <w:tcW w:w="223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970,000,000.00</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-970,000,000.00</w:t>
            </w:r>
            <w:r>
              <w:rPr>
                <w:rFonts w:ascii="宋体"/>
                <w:sz w:val="21"/>
              </w:rPr>
              <w:t> </w:t>
            </w:r>
          </w:p>
        </w:tc>
      </w:tr>
      <w:tr>
        <w:trPr>
          <w:trHeight w:val="322" w:hRule="exact"/>
        </w:trPr>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23" w:right="0"/>
              <w:jc w:val="left"/>
              <w:rPr>
                <w:rFonts w:ascii="宋体" w:hAnsi="宋体" w:cs="宋体" w:eastAsia="宋体" w:hint="default"/>
                <w:sz w:val="21"/>
                <w:szCs w:val="21"/>
              </w:rPr>
            </w:pPr>
            <w:r>
              <w:rPr>
                <w:rFonts w:ascii="宋体" w:hAnsi="宋体" w:cs="宋体" w:eastAsia="宋体" w:hint="default"/>
                <w:sz w:val="21"/>
                <w:szCs w:val="21"/>
              </w:rPr>
              <w:t>流动资产合计</w:t>
            </w:r>
            <w:r>
              <w:rPr>
                <w:rFonts w:ascii="宋体" w:hAnsi="宋体" w:cs="宋体" w:eastAsia="宋体" w:hint="default"/>
                <w:sz w:val="21"/>
                <w:szCs w:val="21"/>
              </w:rPr>
              <w:t> </w:t>
            </w:r>
          </w:p>
        </w:tc>
        <w:tc>
          <w:tcPr>
            <w:tcW w:w="223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4,734,359,325.15</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4,733,912,711.19</w:t>
            </w:r>
            <w:r>
              <w:rPr>
                <w:rFonts w:ascii="宋体"/>
                <w:sz w:val="21"/>
              </w:rPr>
              <w:t> </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-446,613.96</w:t>
            </w:r>
            <w:r>
              <w:rPr>
                <w:rFonts w:ascii="宋体"/>
                <w:sz w:val="21"/>
              </w:rPr>
              <w:t> </w:t>
            </w:r>
          </w:p>
        </w:tc>
      </w:tr>
      <w:tr>
        <w:trPr>
          <w:trHeight w:val="322" w:hRule="exact"/>
        </w:trPr>
        <w:tc>
          <w:tcPr>
            <w:tcW w:w="9050" w:type="dxa"/>
            <w:gridSpan w:val="4"/>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非流动资产：</w:t>
            </w:r>
            <w:r>
              <w:rPr>
                <w:rFonts w:ascii="宋体" w:hAnsi="宋体" w:cs="宋体" w:eastAsia="宋体" w:hint="default"/>
                <w:color w:val="008000"/>
                <w:w w:val="100"/>
                <w:sz w:val="21"/>
                <w:szCs w:val="21"/>
              </w:rPr>
              <w:t> </w:t>
            </w:r>
            <w:r>
              <w:rPr>
                <w:rFonts w:ascii="宋体" w:hAnsi="宋体" w:cs="宋体" w:eastAsia="宋体" w:hint="default"/>
                <w:w w:val="100"/>
                <w:sz w:val="21"/>
                <w:szCs w:val="21"/>
              </w:rPr>
            </w:r>
          </w:p>
        </w:tc>
      </w:tr>
      <w:tr>
        <w:trPr>
          <w:trHeight w:val="322" w:hRule="exact"/>
        </w:trPr>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债权投资</w:t>
            </w:r>
            <w:r>
              <w:rPr>
                <w:rFonts w:ascii="宋体" w:hAnsi="宋体" w:cs="宋体" w:eastAsia="宋体" w:hint="default"/>
                <w:sz w:val="21"/>
                <w:szCs w:val="21"/>
              </w:rPr>
              <w:t> </w:t>
            </w:r>
          </w:p>
        </w:tc>
        <w:tc>
          <w:tcPr>
            <w:tcW w:w="223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可供出售金融资产</w:t>
            </w:r>
            <w:r>
              <w:rPr>
                <w:rFonts w:ascii="宋体" w:hAnsi="宋体" w:cs="宋体" w:eastAsia="宋体" w:hint="default"/>
                <w:sz w:val="21"/>
                <w:szCs w:val="21"/>
              </w:rPr>
              <w:t> </w:t>
            </w:r>
          </w:p>
        </w:tc>
        <w:tc>
          <w:tcPr>
            <w:tcW w:w="223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39,362,000.00</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3"/>
              <w:jc w:val="right"/>
              <w:rPr>
                <w:rFonts w:ascii="宋体" w:hAnsi="宋体" w:cs="宋体" w:eastAsia="宋体" w:hint="default"/>
                <w:sz w:val="21"/>
                <w:szCs w:val="21"/>
              </w:rPr>
            </w:pPr>
            <w:r>
              <w:rPr>
                <w:rFonts w:ascii="Times New Roman"/>
                <w:spacing w:val="-1"/>
                <w:sz w:val="18"/>
              </w:rPr>
              <w:t>-39,362,000.00</w:t>
            </w:r>
            <w:r>
              <w:rPr>
                <w:rFonts w:ascii="宋体"/>
                <w:w w:val="100"/>
                <w:sz w:val="21"/>
              </w:rPr>
              <w:t> </w:t>
            </w:r>
          </w:p>
        </w:tc>
      </w:tr>
      <w:tr>
        <w:trPr>
          <w:trHeight w:val="324" w:hRule="exact"/>
        </w:trPr>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其他债权投资</w:t>
            </w:r>
            <w:r>
              <w:rPr>
                <w:rFonts w:ascii="宋体" w:hAnsi="宋体" w:cs="宋体" w:eastAsia="宋体" w:hint="default"/>
                <w:sz w:val="21"/>
                <w:szCs w:val="21"/>
              </w:rPr>
              <w:t> </w:t>
            </w:r>
          </w:p>
        </w:tc>
        <w:tc>
          <w:tcPr>
            <w:tcW w:w="223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w w:val="100"/>
                <w:sz w:val="21"/>
              </w:rPr>
              <w:t> </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持有至到期投资</w:t>
            </w:r>
            <w:r>
              <w:rPr>
                <w:rFonts w:ascii="宋体" w:hAnsi="宋体" w:cs="宋体" w:eastAsia="宋体" w:hint="default"/>
                <w:sz w:val="21"/>
                <w:szCs w:val="21"/>
              </w:rPr>
              <w:t> </w:t>
            </w:r>
          </w:p>
        </w:tc>
        <w:tc>
          <w:tcPr>
            <w:tcW w:w="223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长期应收款</w:t>
            </w:r>
            <w:r>
              <w:rPr>
                <w:rFonts w:ascii="宋体" w:hAnsi="宋体" w:cs="宋体" w:eastAsia="宋体" w:hint="default"/>
                <w:sz w:val="21"/>
                <w:szCs w:val="21"/>
              </w:rPr>
              <w:t> </w:t>
            </w:r>
          </w:p>
        </w:tc>
        <w:tc>
          <w:tcPr>
            <w:tcW w:w="223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长期股权投资</w:t>
            </w:r>
            <w:r>
              <w:rPr>
                <w:rFonts w:ascii="宋体" w:hAnsi="宋体" w:cs="宋体" w:eastAsia="宋体" w:hint="default"/>
                <w:sz w:val="21"/>
                <w:szCs w:val="21"/>
              </w:rPr>
              <w:t> </w:t>
            </w:r>
          </w:p>
        </w:tc>
        <w:tc>
          <w:tcPr>
            <w:tcW w:w="223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4,618,649,146.91</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4,618,649,146.91</w:t>
            </w:r>
            <w:r>
              <w:rPr>
                <w:rFonts w:ascii="宋体"/>
                <w:sz w:val="21"/>
              </w:rPr>
              <w:t> </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其他权益工具投资</w:t>
            </w:r>
            <w:r>
              <w:rPr>
                <w:rFonts w:ascii="宋体" w:hAnsi="宋体" w:cs="宋体" w:eastAsia="宋体" w:hint="default"/>
                <w:sz w:val="21"/>
                <w:szCs w:val="21"/>
              </w:rPr>
              <w:t> </w:t>
            </w:r>
          </w:p>
        </w:tc>
        <w:tc>
          <w:tcPr>
            <w:tcW w:w="223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39,362,000.00</w:t>
            </w:r>
            <w:r>
              <w:rPr>
                <w:rFonts w:ascii="宋体"/>
                <w:sz w:val="21"/>
              </w:rPr>
              <w:t> </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3"/>
              <w:jc w:val="right"/>
              <w:rPr>
                <w:rFonts w:ascii="宋体" w:hAnsi="宋体" w:cs="宋体" w:eastAsia="宋体" w:hint="default"/>
                <w:sz w:val="21"/>
                <w:szCs w:val="21"/>
              </w:rPr>
            </w:pPr>
            <w:r>
              <w:rPr>
                <w:rFonts w:ascii="Times New Roman"/>
                <w:spacing w:val="-1"/>
                <w:sz w:val="18"/>
              </w:rPr>
              <w:t>39,362,000.00</w:t>
            </w:r>
            <w:r>
              <w:rPr>
                <w:rFonts w:ascii="宋体"/>
                <w:spacing w:val="-1"/>
                <w:w w:val="100"/>
                <w:sz w:val="21"/>
              </w:rPr>
              <w:t> </w:t>
            </w:r>
          </w:p>
        </w:tc>
      </w:tr>
      <w:tr>
        <w:trPr>
          <w:trHeight w:val="322" w:hRule="exact"/>
        </w:trPr>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其他非流动金融资产</w:t>
            </w:r>
            <w:r>
              <w:rPr>
                <w:rFonts w:ascii="宋体" w:hAnsi="宋体" w:cs="宋体" w:eastAsia="宋体" w:hint="default"/>
                <w:sz w:val="21"/>
                <w:szCs w:val="21"/>
              </w:rPr>
              <w:t> </w:t>
            </w:r>
          </w:p>
        </w:tc>
        <w:tc>
          <w:tcPr>
            <w:tcW w:w="223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4" w:hRule="exact"/>
        </w:trPr>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314" w:right="0"/>
              <w:jc w:val="left"/>
              <w:rPr>
                <w:rFonts w:ascii="宋体" w:hAnsi="宋体" w:cs="宋体" w:eastAsia="宋体" w:hint="default"/>
                <w:sz w:val="21"/>
                <w:szCs w:val="21"/>
              </w:rPr>
            </w:pPr>
            <w:r>
              <w:rPr>
                <w:rFonts w:ascii="宋体" w:hAnsi="宋体" w:cs="宋体" w:eastAsia="宋体" w:hint="default"/>
                <w:sz w:val="21"/>
                <w:szCs w:val="21"/>
              </w:rPr>
              <w:t>投资性房地产</w:t>
            </w:r>
            <w:r>
              <w:rPr>
                <w:rFonts w:ascii="宋体" w:hAnsi="宋体" w:cs="宋体" w:eastAsia="宋体" w:hint="default"/>
                <w:sz w:val="21"/>
                <w:szCs w:val="21"/>
              </w:rPr>
              <w:t> </w:t>
            </w:r>
          </w:p>
        </w:tc>
        <w:tc>
          <w:tcPr>
            <w:tcW w:w="223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w w:val="100"/>
                <w:sz w:val="21"/>
              </w:rPr>
              <w:t> </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固定资产</w:t>
            </w:r>
            <w:r>
              <w:rPr>
                <w:rFonts w:ascii="宋体" w:hAnsi="宋体" w:cs="宋体" w:eastAsia="宋体" w:hint="default"/>
                <w:sz w:val="21"/>
                <w:szCs w:val="21"/>
              </w:rPr>
              <w:t> </w:t>
            </w:r>
          </w:p>
        </w:tc>
        <w:tc>
          <w:tcPr>
            <w:tcW w:w="223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235,702,213.14</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235,702,213.14</w:t>
            </w:r>
            <w:r>
              <w:rPr>
                <w:rFonts w:ascii="宋体"/>
                <w:sz w:val="21"/>
              </w:rPr>
              <w:t> </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在建工程</w:t>
            </w:r>
            <w:r>
              <w:rPr>
                <w:rFonts w:ascii="宋体" w:hAnsi="宋体" w:cs="宋体" w:eastAsia="宋体" w:hint="default"/>
                <w:sz w:val="21"/>
                <w:szCs w:val="21"/>
              </w:rPr>
              <w:t> </w:t>
            </w:r>
          </w:p>
        </w:tc>
        <w:tc>
          <w:tcPr>
            <w:tcW w:w="223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2,296,846.62</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2,296,846.62</w:t>
            </w:r>
            <w:r>
              <w:rPr>
                <w:rFonts w:ascii="宋体"/>
                <w:sz w:val="21"/>
              </w:rPr>
              <w:t> </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314" w:right="0"/>
              <w:jc w:val="left"/>
              <w:rPr>
                <w:rFonts w:ascii="宋体" w:hAnsi="宋体" w:cs="宋体" w:eastAsia="宋体" w:hint="default"/>
                <w:sz w:val="21"/>
                <w:szCs w:val="21"/>
              </w:rPr>
            </w:pPr>
            <w:r>
              <w:rPr>
                <w:rFonts w:ascii="宋体" w:hAnsi="宋体" w:cs="宋体" w:eastAsia="宋体" w:hint="default"/>
                <w:sz w:val="21"/>
                <w:szCs w:val="21"/>
              </w:rPr>
              <w:t>生产性生物资产</w:t>
            </w:r>
            <w:r>
              <w:rPr>
                <w:rFonts w:ascii="宋体" w:hAnsi="宋体" w:cs="宋体" w:eastAsia="宋体" w:hint="default"/>
                <w:sz w:val="21"/>
                <w:szCs w:val="21"/>
              </w:rPr>
              <w:t> </w:t>
            </w:r>
          </w:p>
        </w:tc>
        <w:tc>
          <w:tcPr>
            <w:tcW w:w="2230"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3"/>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3"/>
              <w:jc w:val="right"/>
              <w:rPr>
                <w:rFonts w:ascii="宋体" w:hAnsi="宋体" w:cs="宋体" w:eastAsia="宋体" w:hint="default"/>
                <w:sz w:val="21"/>
                <w:szCs w:val="21"/>
              </w:rPr>
            </w:pPr>
            <w:r>
              <w:rPr>
                <w:rFonts w:ascii="宋体"/>
                <w:w w:val="100"/>
                <w:sz w:val="21"/>
              </w:rPr>
              <w:t> </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油气资产</w:t>
            </w:r>
            <w:r>
              <w:rPr>
                <w:rFonts w:ascii="宋体" w:hAnsi="宋体" w:cs="宋体" w:eastAsia="宋体" w:hint="default"/>
                <w:sz w:val="21"/>
                <w:szCs w:val="21"/>
              </w:rPr>
              <w:t> </w:t>
            </w:r>
          </w:p>
        </w:tc>
        <w:tc>
          <w:tcPr>
            <w:tcW w:w="223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使用权资产</w:t>
            </w:r>
            <w:r>
              <w:rPr>
                <w:rFonts w:ascii="宋体" w:hAnsi="宋体" w:cs="宋体" w:eastAsia="宋体" w:hint="default"/>
                <w:sz w:val="21"/>
                <w:szCs w:val="21"/>
              </w:rPr>
              <w:t> </w:t>
            </w:r>
          </w:p>
        </w:tc>
        <w:tc>
          <w:tcPr>
            <w:tcW w:w="223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4" w:hRule="exact"/>
        </w:trPr>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314" w:right="0"/>
              <w:jc w:val="left"/>
              <w:rPr>
                <w:rFonts w:ascii="宋体" w:hAnsi="宋体" w:cs="宋体" w:eastAsia="宋体" w:hint="default"/>
                <w:sz w:val="21"/>
                <w:szCs w:val="21"/>
              </w:rPr>
            </w:pPr>
            <w:r>
              <w:rPr>
                <w:rFonts w:ascii="宋体" w:hAnsi="宋体" w:cs="宋体" w:eastAsia="宋体" w:hint="default"/>
                <w:sz w:val="21"/>
                <w:szCs w:val="21"/>
              </w:rPr>
              <w:t>无形资产</w:t>
            </w:r>
            <w:r>
              <w:rPr>
                <w:rFonts w:ascii="宋体" w:hAnsi="宋体" w:cs="宋体" w:eastAsia="宋体" w:hint="default"/>
                <w:sz w:val="21"/>
                <w:szCs w:val="21"/>
              </w:rPr>
              <w:t> </w:t>
            </w:r>
          </w:p>
        </w:tc>
        <w:tc>
          <w:tcPr>
            <w:tcW w:w="223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spacing w:val="-1"/>
                <w:sz w:val="21"/>
              </w:rPr>
              <w:t>29,135,889.14</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spacing w:val="-1"/>
                <w:sz w:val="21"/>
              </w:rPr>
              <w:t>29,135,889.14</w:t>
            </w:r>
            <w:r>
              <w:rPr>
                <w:rFonts w:ascii="宋体"/>
                <w:sz w:val="21"/>
              </w:rPr>
              <w:t> </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开发支出</w:t>
            </w:r>
            <w:r>
              <w:rPr>
                <w:rFonts w:ascii="宋体" w:hAnsi="宋体" w:cs="宋体" w:eastAsia="宋体" w:hint="default"/>
                <w:sz w:val="21"/>
                <w:szCs w:val="21"/>
              </w:rPr>
              <w:t> </w:t>
            </w:r>
          </w:p>
        </w:tc>
        <w:tc>
          <w:tcPr>
            <w:tcW w:w="223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商誉</w:t>
            </w:r>
            <w:r>
              <w:rPr>
                <w:rFonts w:ascii="宋体" w:hAnsi="宋体" w:cs="宋体" w:eastAsia="宋体" w:hint="default"/>
                <w:sz w:val="21"/>
                <w:szCs w:val="21"/>
              </w:rPr>
              <w:t> </w:t>
            </w:r>
          </w:p>
        </w:tc>
        <w:tc>
          <w:tcPr>
            <w:tcW w:w="223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长期待摊费用</w:t>
            </w:r>
            <w:r>
              <w:rPr>
                <w:rFonts w:ascii="宋体" w:hAnsi="宋体" w:cs="宋体" w:eastAsia="宋体" w:hint="default"/>
                <w:sz w:val="21"/>
                <w:szCs w:val="21"/>
              </w:rPr>
              <w:t> </w:t>
            </w:r>
          </w:p>
        </w:tc>
        <w:tc>
          <w:tcPr>
            <w:tcW w:w="223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3,101,687.07</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3,101,687.07</w:t>
            </w:r>
            <w:r>
              <w:rPr>
                <w:rFonts w:ascii="宋体"/>
                <w:sz w:val="21"/>
              </w:rPr>
              <w:t> </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递延所得税资产</w:t>
            </w:r>
            <w:r>
              <w:rPr>
                <w:rFonts w:ascii="宋体" w:hAnsi="宋体" w:cs="宋体" w:eastAsia="宋体" w:hint="default"/>
                <w:sz w:val="21"/>
                <w:szCs w:val="21"/>
              </w:rPr>
              <w:t> </w:t>
            </w:r>
          </w:p>
        </w:tc>
        <w:tc>
          <w:tcPr>
            <w:tcW w:w="223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31,837,213.78</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31,904,205.87</w:t>
            </w:r>
            <w:r>
              <w:rPr>
                <w:rFonts w:ascii="宋体"/>
                <w:sz w:val="21"/>
              </w:rPr>
              <w:t> </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66,992.09</w:t>
            </w:r>
            <w:r>
              <w:rPr>
                <w:rFonts w:ascii="宋体"/>
                <w:sz w:val="21"/>
              </w:rPr>
              <w:t> </w:t>
            </w:r>
          </w:p>
        </w:tc>
      </w:tr>
      <w:tr>
        <w:trPr>
          <w:trHeight w:val="322" w:hRule="exact"/>
        </w:trPr>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其他非流动资产</w:t>
            </w:r>
            <w:r>
              <w:rPr>
                <w:rFonts w:ascii="宋体" w:hAnsi="宋体" w:cs="宋体" w:eastAsia="宋体" w:hint="default"/>
                <w:sz w:val="21"/>
                <w:szCs w:val="21"/>
              </w:rPr>
              <w:t> </w:t>
            </w:r>
          </w:p>
        </w:tc>
        <w:tc>
          <w:tcPr>
            <w:tcW w:w="223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3,166,239,130.00</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3,166,239,130.00</w:t>
            </w:r>
            <w:r>
              <w:rPr>
                <w:rFonts w:ascii="宋体"/>
                <w:sz w:val="21"/>
              </w:rPr>
              <w:t> </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4" w:hRule="exact"/>
        </w:trPr>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523" w:right="0"/>
              <w:jc w:val="left"/>
              <w:rPr>
                <w:rFonts w:ascii="宋体" w:hAnsi="宋体" w:cs="宋体" w:eastAsia="宋体" w:hint="default"/>
                <w:sz w:val="21"/>
                <w:szCs w:val="21"/>
              </w:rPr>
            </w:pPr>
            <w:r>
              <w:rPr>
                <w:rFonts w:ascii="宋体" w:hAnsi="宋体" w:cs="宋体" w:eastAsia="宋体" w:hint="default"/>
                <w:sz w:val="21"/>
                <w:szCs w:val="21"/>
              </w:rPr>
              <w:t>非流动资产合计</w:t>
            </w:r>
            <w:r>
              <w:rPr>
                <w:rFonts w:ascii="宋体" w:hAnsi="宋体" w:cs="宋体" w:eastAsia="宋体" w:hint="default"/>
                <w:sz w:val="21"/>
                <w:szCs w:val="21"/>
              </w:rPr>
              <w:t> </w:t>
            </w:r>
          </w:p>
        </w:tc>
        <w:tc>
          <w:tcPr>
            <w:tcW w:w="223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spacing w:val="-1"/>
                <w:sz w:val="21"/>
              </w:rPr>
              <w:t>8,126,324,126.66</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spacing w:val="-1"/>
                <w:sz w:val="21"/>
              </w:rPr>
              <w:t>8,126,391,118.75</w:t>
            </w:r>
            <w:r>
              <w:rPr>
                <w:rFonts w:ascii="宋体"/>
                <w:sz w:val="21"/>
              </w:rPr>
              <w:t> </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spacing w:val="-1"/>
                <w:sz w:val="21"/>
              </w:rPr>
              <w:t>66,992.09</w:t>
            </w:r>
            <w:r>
              <w:rPr>
                <w:rFonts w:ascii="宋体"/>
                <w:sz w:val="21"/>
              </w:rPr>
              <w:t> </w:t>
            </w:r>
          </w:p>
        </w:tc>
      </w:tr>
    </w:tbl>
    <w:p>
      <w:pPr>
        <w:spacing w:after="0" w:line="265" w:lineRule="exact"/>
        <w:jc w:val="right"/>
        <w:rPr>
          <w:rFonts w:ascii="宋体" w:hAnsi="宋体" w:cs="宋体" w:eastAsia="宋体" w:hint="default"/>
          <w:sz w:val="21"/>
          <w:szCs w:val="21"/>
        </w:rPr>
        <w:sectPr>
          <w:footerReference w:type="default" r:id="rId139"/>
          <w:pgSz w:w="11910" w:h="16840"/>
          <w:pgMar w:footer="974" w:header="748" w:top="1140" w:bottom="1160" w:left="1060" w:right="1560"/>
        </w:sectPr>
      </w:pPr>
    </w:p>
    <w:p>
      <w:pPr>
        <w:spacing w:line="240" w:lineRule="auto" w:before="0"/>
        <w:rPr>
          <w:rFonts w:ascii="Times New Roman" w:hAnsi="Times New Roman" w:cs="Times New Roman" w:eastAsia="Times New Roman" w:hint="default"/>
          <w:sz w:val="26"/>
          <w:szCs w:val="26"/>
        </w:rPr>
      </w:pPr>
    </w:p>
    <w:tbl>
      <w:tblPr>
        <w:tblW w:w="0" w:type="auto"/>
        <w:jc w:val="left"/>
        <w:tblInd w:w="103" w:type="dxa"/>
        <w:tblLayout w:type="fixed"/>
        <w:tblCellMar>
          <w:top w:w="0" w:type="dxa"/>
          <w:left w:w="0" w:type="dxa"/>
          <w:bottom w:w="0" w:type="dxa"/>
          <w:right w:w="0" w:type="dxa"/>
        </w:tblCellMar>
        <w:tblLook w:val="01E0"/>
      </w:tblPr>
      <w:tblGrid>
        <w:gridCol w:w="3027"/>
        <w:gridCol w:w="2230"/>
        <w:gridCol w:w="2002"/>
        <w:gridCol w:w="1791"/>
      </w:tblGrid>
      <w:tr>
        <w:trPr>
          <w:trHeight w:val="322" w:hRule="exact"/>
        </w:trPr>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34" w:right="0"/>
              <w:jc w:val="left"/>
              <w:rPr>
                <w:rFonts w:ascii="宋体" w:hAnsi="宋体" w:cs="宋体" w:eastAsia="宋体" w:hint="default"/>
                <w:sz w:val="21"/>
                <w:szCs w:val="21"/>
              </w:rPr>
            </w:pPr>
            <w:r>
              <w:rPr>
                <w:rFonts w:ascii="宋体" w:hAnsi="宋体" w:cs="宋体" w:eastAsia="宋体" w:hint="default"/>
                <w:sz w:val="21"/>
                <w:szCs w:val="21"/>
              </w:rPr>
              <w:t>资产总计</w:t>
            </w:r>
            <w:r>
              <w:rPr>
                <w:rFonts w:ascii="宋体" w:hAnsi="宋体" w:cs="宋体" w:eastAsia="宋体" w:hint="default"/>
                <w:sz w:val="21"/>
                <w:szCs w:val="21"/>
              </w:rPr>
              <w:t> </w:t>
            </w:r>
          </w:p>
        </w:tc>
        <w:tc>
          <w:tcPr>
            <w:tcW w:w="223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12,860,683,451.81</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12,860,303,829.94</w:t>
            </w:r>
            <w:r>
              <w:rPr>
                <w:rFonts w:ascii="宋体"/>
                <w:sz w:val="21"/>
              </w:rPr>
              <w:t> </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-379,621.87</w:t>
            </w:r>
            <w:r>
              <w:rPr>
                <w:rFonts w:ascii="宋体"/>
                <w:sz w:val="21"/>
              </w:rPr>
              <w:t> </w:t>
            </w:r>
          </w:p>
        </w:tc>
      </w:tr>
      <w:tr>
        <w:trPr>
          <w:trHeight w:val="322" w:hRule="exact"/>
        </w:trPr>
        <w:tc>
          <w:tcPr>
            <w:tcW w:w="9050" w:type="dxa"/>
            <w:gridSpan w:val="4"/>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流动负债：</w:t>
            </w:r>
            <w:r>
              <w:rPr>
                <w:rFonts w:ascii="宋体" w:hAnsi="宋体" w:cs="宋体" w:eastAsia="宋体" w:hint="default"/>
                <w:color w:val="008000"/>
                <w:w w:val="100"/>
                <w:sz w:val="21"/>
                <w:szCs w:val="21"/>
              </w:rPr>
              <w:t> </w:t>
            </w:r>
            <w:r>
              <w:rPr>
                <w:rFonts w:ascii="宋体" w:hAnsi="宋体" w:cs="宋体" w:eastAsia="宋体" w:hint="default"/>
                <w:w w:val="100"/>
                <w:sz w:val="21"/>
                <w:szCs w:val="21"/>
              </w:rPr>
            </w:r>
          </w:p>
        </w:tc>
      </w:tr>
      <w:tr>
        <w:trPr>
          <w:trHeight w:val="322" w:hRule="exact"/>
        </w:trPr>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短期借款</w:t>
            </w:r>
            <w:r>
              <w:rPr>
                <w:rFonts w:ascii="宋体" w:hAnsi="宋体" w:cs="宋体" w:eastAsia="宋体" w:hint="default"/>
                <w:sz w:val="21"/>
                <w:szCs w:val="21"/>
              </w:rPr>
              <w:t> </w:t>
            </w:r>
          </w:p>
        </w:tc>
        <w:tc>
          <w:tcPr>
            <w:tcW w:w="223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340,000,000.00</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340,000,000.00</w:t>
            </w:r>
            <w:r>
              <w:rPr>
                <w:rFonts w:ascii="宋体"/>
                <w:sz w:val="21"/>
              </w:rPr>
              <w:t> </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4" w:hRule="exact"/>
        </w:trPr>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314" w:right="0"/>
              <w:jc w:val="left"/>
              <w:rPr>
                <w:rFonts w:ascii="宋体" w:hAnsi="宋体" w:cs="宋体" w:eastAsia="宋体" w:hint="default"/>
                <w:sz w:val="21"/>
                <w:szCs w:val="21"/>
              </w:rPr>
            </w:pPr>
            <w:r>
              <w:rPr>
                <w:rFonts w:ascii="宋体" w:hAnsi="宋体" w:cs="宋体" w:eastAsia="宋体" w:hint="default"/>
                <w:sz w:val="21"/>
                <w:szCs w:val="21"/>
              </w:rPr>
              <w:t>交易性金融负债</w:t>
            </w:r>
            <w:r>
              <w:rPr>
                <w:rFonts w:ascii="宋体" w:hAnsi="宋体" w:cs="宋体" w:eastAsia="宋体" w:hint="default"/>
                <w:sz w:val="21"/>
                <w:szCs w:val="21"/>
              </w:rPr>
              <w:t> </w:t>
            </w:r>
          </w:p>
        </w:tc>
        <w:tc>
          <w:tcPr>
            <w:tcW w:w="223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w w:val="100"/>
                <w:sz w:val="21"/>
              </w:rPr>
              <w:t> </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w w:val="100"/>
                <w:sz w:val="21"/>
              </w:rPr>
              <w:t> </w:t>
            </w:r>
          </w:p>
        </w:tc>
      </w:tr>
      <w:tr>
        <w:trPr>
          <w:trHeight w:val="634" w:hRule="exact"/>
        </w:trPr>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78" w:firstLine="211"/>
              <w:jc w:val="left"/>
              <w:rPr>
                <w:rFonts w:ascii="宋体" w:hAnsi="宋体" w:cs="宋体" w:eastAsia="宋体" w:hint="default"/>
                <w:sz w:val="21"/>
                <w:szCs w:val="21"/>
              </w:rPr>
            </w:pPr>
            <w:r>
              <w:rPr>
                <w:rFonts w:ascii="宋体" w:hAnsi="宋体" w:cs="宋体" w:eastAsia="宋体" w:hint="default"/>
                <w:spacing w:val="-2"/>
                <w:sz w:val="21"/>
                <w:szCs w:val="21"/>
              </w:rPr>
              <w:t>以公允价值计量且其变动计</w:t>
            </w:r>
            <w:r>
              <w:rPr>
                <w:rFonts w:ascii="宋体" w:hAnsi="宋体" w:cs="宋体" w:eastAsia="宋体" w:hint="default"/>
                <w:w w:val="100"/>
                <w:sz w:val="21"/>
                <w:szCs w:val="21"/>
              </w:rPr>
              <w:t> </w:t>
            </w:r>
            <w:r>
              <w:rPr>
                <w:rFonts w:ascii="宋体" w:hAnsi="宋体" w:cs="宋体" w:eastAsia="宋体" w:hint="default"/>
                <w:sz w:val="21"/>
                <w:szCs w:val="21"/>
              </w:rPr>
              <w:t>入当期损益的金融负债</w:t>
            </w:r>
            <w:r>
              <w:rPr>
                <w:rFonts w:ascii="宋体" w:hAnsi="宋体" w:cs="宋体" w:eastAsia="宋体" w:hint="default"/>
                <w:sz w:val="21"/>
                <w:szCs w:val="21"/>
              </w:rPr>
              <w:t> </w:t>
            </w:r>
          </w:p>
        </w:tc>
        <w:tc>
          <w:tcPr>
            <w:tcW w:w="2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3"/>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3"/>
              <w:jc w:val="right"/>
              <w:rPr>
                <w:rFonts w:ascii="宋体" w:hAnsi="宋体" w:cs="宋体" w:eastAsia="宋体" w:hint="default"/>
                <w:sz w:val="21"/>
                <w:szCs w:val="21"/>
              </w:rPr>
            </w:pPr>
            <w:r>
              <w:rPr>
                <w:rFonts w:ascii="宋体"/>
                <w:w w:val="100"/>
                <w:sz w:val="21"/>
              </w:rPr>
              <w:t> </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3"/>
              <w:jc w:val="right"/>
              <w:rPr>
                <w:rFonts w:ascii="宋体" w:hAnsi="宋体" w:cs="宋体" w:eastAsia="宋体" w:hint="default"/>
                <w:sz w:val="21"/>
                <w:szCs w:val="21"/>
              </w:rPr>
            </w:pPr>
            <w:r>
              <w:rPr>
                <w:rFonts w:ascii="宋体"/>
                <w:w w:val="100"/>
                <w:sz w:val="21"/>
              </w:rPr>
              <w:t> </w:t>
            </w:r>
          </w:p>
        </w:tc>
      </w:tr>
      <w:tr>
        <w:trPr>
          <w:trHeight w:val="322" w:hRule="exact"/>
        </w:trPr>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衍生金融负债</w:t>
            </w:r>
            <w:r>
              <w:rPr>
                <w:rFonts w:ascii="宋体" w:hAnsi="宋体" w:cs="宋体" w:eastAsia="宋体" w:hint="default"/>
                <w:sz w:val="21"/>
                <w:szCs w:val="21"/>
              </w:rPr>
              <w:t> </w:t>
            </w:r>
          </w:p>
        </w:tc>
        <w:tc>
          <w:tcPr>
            <w:tcW w:w="223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应付票据</w:t>
            </w:r>
            <w:r>
              <w:rPr>
                <w:rFonts w:ascii="宋体" w:hAnsi="宋体" w:cs="宋体" w:eastAsia="宋体" w:hint="default"/>
                <w:sz w:val="21"/>
                <w:szCs w:val="21"/>
              </w:rPr>
              <w:t> </w:t>
            </w:r>
          </w:p>
        </w:tc>
        <w:tc>
          <w:tcPr>
            <w:tcW w:w="223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467,553,549.72</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467,553,549.72</w:t>
            </w:r>
            <w:r>
              <w:rPr>
                <w:rFonts w:ascii="宋体"/>
                <w:sz w:val="21"/>
              </w:rPr>
              <w:t> </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应付账款</w:t>
            </w:r>
            <w:r>
              <w:rPr>
                <w:rFonts w:ascii="宋体" w:hAnsi="宋体" w:cs="宋体" w:eastAsia="宋体" w:hint="default"/>
                <w:sz w:val="21"/>
                <w:szCs w:val="21"/>
              </w:rPr>
              <w:t> </w:t>
            </w:r>
          </w:p>
        </w:tc>
        <w:tc>
          <w:tcPr>
            <w:tcW w:w="223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386,862,850.44</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386,862,850.44</w:t>
            </w:r>
            <w:r>
              <w:rPr>
                <w:rFonts w:ascii="宋体"/>
                <w:sz w:val="21"/>
              </w:rPr>
              <w:t> </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预收款项</w:t>
            </w:r>
            <w:r>
              <w:rPr>
                <w:rFonts w:ascii="宋体" w:hAnsi="宋体" w:cs="宋体" w:eastAsia="宋体" w:hint="default"/>
                <w:sz w:val="21"/>
                <w:szCs w:val="21"/>
              </w:rPr>
              <w:t> </w:t>
            </w:r>
          </w:p>
        </w:tc>
        <w:tc>
          <w:tcPr>
            <w:tcW w:w="223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11,182,660.46</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11,182,660.46</w:t>
            </w:r>
            <w:r>
              <w:rPr>
                <w:rFonts w:ascii="宋体"/>
                <w:sz w:val="21"/>
              </w:rPr>
              <w:t> </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4" w:hRule="exact"/>
        </w:trPr>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应付职工薪酬</w:t>
            </w:r>
            <w:r>
              <w:rPr>
                <w:rFonts w:ascii="宋体" w:hAnsi="宋体" w:cs="宋体" w:eastAsia="宋体" w:hint="default"/>
                <w:sz w:val="21"/>
                <w:szCs w:val="21"/>
              </w:rPr>
              <w:t> </w:t>
            </w:r>
          </w:p>
        </w:tc>
        <w:tc>
          <w:tcPr>
            <w:tcW w:w="223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spacing w:val="-1"/>
                <w:sz w:val="21"/>
              </w:rPr>
              <w:t>59,045,893.27</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spacing w:val="-1"/>
                <w:sz w:val="21"/>
              </w:rPr>
              <w:t>59,045,893.27</w:t>
            </w:r>
            <w:r>
              <w:rPr>
                <w:rFonts w:ascii="宋体"/>
                <w:sz w:val="21"/>
              </w:rPr>
              <w:t> </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应交税费</w:t>
            </w:r>
            <w:r>
              <w:rPr>
                <w:rFonts w:ascii="宋体" w:hAnsi="宋体" w:cs="宋体" w:eastAsia="宋体" w:hint="default"/>
                <w:sz w:val="21"/>
                <w:szCs w:val="21"/>
              </w:rPr>
              <w:t> </w:t>
            </w:r>
          </w:p>
        </w:tc>
        <w:tc>
          <w:tcPr>
            <w:tcW w:w="223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54,468,130.90</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54,468,130.90</w:t>
            </w:r>
            <w:r>
              <w:rPr>
                <w:rFonts w:ascii="宋体"/>
                <w:sz w:val="21"/>
              </w:rPr>
              <w:t> </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其他应付款</w:t>
            </w:r>
            <w:r>
              <w:rPr>
                <w:rFonts w:ascii="宋体" w:hAnsi="宋体" w:cs="宋体" w:eastAsia="宋体" w:hint="default"/>
                <w:sz w:val="21"/>
                <w:szCs w:val="21"/>
              </w:rPr>
              <w:t> </w:t>
            </w:r>
          </w:p>
        </w:tc>
        <w:tc>
          <w:tcPr>
            <w:tcW w:w="223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92,324,543.75</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92,324,543.75</w:t>
            </w:r>
            <w:r>
              <w:rPr>
                <w:rFonts w:ascii="宋体"/>
                <w:sz w:val="21"/>
              </w:rPr>
              <w:t> </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其中：应付利息</w:t>
            </w:r>
            <w:r>
              <w:rPr>
                <w:rFonts w:ascii="宋体" w:hAnsi="宋体" w:cs="宋体" w:eastAsia="宋体" w:hint="default"/>
                <w:sz w:val="21"/>
                <w:szCs w:val="21"/>
              </w:rPr>
              <w:t> </w:t>
            </w:r>
          </w:p>
        </w:tc>
        <w:tc>
          <w:tcPr>
            <w:tcW w:w="223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3,712,038.29</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3,712,038.29</w:t>
            </w:r>
            <w:r>
              <w:rPr>
                <w:rFonts w:ascii="宋体"/>
                <w:sz w:val="21"/>
              </w:rPr>
              <w:t> </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943" w:right="0"/>
              <w:jc w:val="left"/>
              <w:rPr>
                <w:rFonts w:ascii="宋体" w:hAnsi="宋体" w:cs="宋体" w:eastAsia="宋体" w:hint="default"/>
                <w:sz w:val="21"/>
                <w:szCs w:val="21"/>
              </w:rPr>
            </w:pPr>
            <w:r>
              <w:rPr>
                <w:rFonts w:ascii="宋体" w:hAnsi="宋体" w:cs="宋体" w:eastAsia="宋体" w:hint="default"/>
                <w:sz w:val="21"/>
                <w:szCs w:val="21"/>
              </w:rPr>
              <w:t>应付股利</w:t>
            </w:r>
            <w:r>
              <w:rPr>
                <w:rFonts w:ascii="宋体" w:hAnsi="宋体" w:cs="宋体" w:eastAsia="宋体" w:hint="default"/>
                <w:sz w:val="21"/>
                <w:szCs w:val="21"/>
              </w:rPr>
              <w:t> </w:t>
            </w:r>
          </w:p>
        </w:tc>
        <w:tc>
          <w:tcPr>
            <w:tcW w:w="223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持有待售负债</w:t>
            </w:r>
            <w:r>
              <w:rPr>
                <w:rFonts w:ascii="宋体" w:hAnsi="宋体" w:cs="宋体" w:eastAsia="宋体" w:hint="default"/>
                <w:sz w:val="21"/>
                <w:szCs w:val="21"/>
              </w:rPr>
              <w:t> </w:t>
            </w:r>
          </w:p>
        </w:tc>
        <w:tc>
          <w:tcPr>
            <w:tcW w:w="223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4" w:hRule="exact"/>
        </w:trPr>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314"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r>
              <w:rPr>
                <w:rFonts w:ascii="宋体" w:hAnsi="宋体" w:cs="宋体" w:eastAsia="宋体" w:hint="default"/>
                <w:sz w:val="21"/>
                <w:szCs w:val="21"/>
              </w:rPr>
              <w:t> </w:t>
            </w:r>
          </w:p>
        </w:tc>
        <w:tc>
          <w:tcPr>
            <w:tcW w:w="223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spacing w:val="-1"/>
                <w:sz w:val="21"/>
              </w:rPr>
              <w:t>23,000,000.00</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spacing w:val="-1"/>
                <w:sz w:val="21"/>
              </w:rPr>
              <w:t>23,000,000.00</w:t>
            </w:r>
            <w:r>
              <w:rPr>
                <w:rFonts w:ascii="宋体"/>
                <w:sz w:val="21"/>
              </w:rPr>
              <w:t> </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其他流动负债</w:t>
            </w:r>
            <w:r>
              <w:rPr>
                <w:rFonts w:ascii="宋体" w:hAnsi="宋体" w:cs="宋体" w:eastAsia="宋体" w:hint="default"/>
                <w:sz w:val="21"/>
                <w:szCs w:val="21"/>
              </w:rPr>
              <w:t> </w:t>
            </w:r>
          </w:p>
        </w:tc>
        <w:tc>
          <w:tcPr>
            <w:tcW w:w="223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23" w:right="0"/>
              <w:jc w:val="left"/>
              <w:rPr>
                <w:rFonts w:ascii="宋体" w:hAnsi="宋体" w:cs="宋体" w:eastAsia="宋体" w:hint="default"/>
                <w:sz w:val="21"/>
                <w:szCs w:val="21"/>
              </w:rPr>
            </w:pPr>
            <w:r>
              <w:rPr>
                <w:rFonts w:ascii="宋体" w:hAnsi="宋体" w:cs="宋体" w:eastAsia="宋体" w:hint="default"/>
                <w:sz w:val="21"/>
                <w:szCs w:val="21"/>
              </w:rPr>
              <w:t>流动负债合计</w:t>
            </w:r>
            <w:r>
              <w:rPr>
                <w:rFonts w:ascii="宋体" w:hAnsi="宋体" w:cs="宋体" w:eastAsia="宋体" w:hint="default"/>
                <w:sz w:val="21"/>
                <w:szCs w:val="21"/>
              </w:rPr>
              <w:t> </w:t>
            </w:r>
          </w:p>
        </w:tc>
        <w:tc>
          <w:tcPr>
            <w:tcW w:w="223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1,434,437,628.54</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1,434,437,628.54</w:t>
            </w:r>
            <w:r>
              <w:rPr>
                <w:rFonts w:ascii="宋体"/>
                <w:sz w:val="21"/>
              </w:rPr>
              <w:t> </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9050" w:type="dxa"/>
            <w:gridSpan w:val="4"/>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非流动负债：</w:t>
            </w:r>
            <w:r>
              <w:rPr>
                <w:rFonts w:ascii="宋体" w:hAnsi="宋体" w:cs="宋体" w:eastAsia="宋体" w:hint="default"/>
                <w:color w:val="008000"/>
                <w:w w:val="100"/>
                <w:sz w:val="21"/>
                <w:szCs w:val="21"/>
              </w:rPr>
              <w:t> </w:t>
            </w:r>
            <w:r>
              <w:rPr>
                <w:rFonts w:ascii="宋体" w:hAnsi="宋体" w:cs="宋体" w:eastAsia="宋体" w:hint="default"/>
                <w:w w:val="100"/>
                <w:sz w:val="21"/>
                <w:szCs w:val="21"/>
              </w:rPr>
            </w:r>
          </w:p>
        </w:tc>
      </w:tr>
      <w:tr>
        <w:trPr>
          <w:trHeight w:val="322" w:hRule="exact"/>
        </w:trPr>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长期借款</w:t>
            </w:r>
            <w:r>
              <w:rPr>
                <w:rFonts w:ascii="宋体" w:hAnsi="宋体" w:cs="宋体" w:eastAsia="宋体" w:hint="default"/>
                <w:sz w:val="21"/>
                <w:szCs w:val="21"/>
              </w:rPr>
              <w:t> </w:t>
            </w:r>
          </w:p>
        </w:tc>
        <w:tc>
          <w:tcPr>
            <w:tcW w:w="223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573,250,000.00</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573,250,000.00</w:t>
            </w:r>
            <w:r>
              <w:rPr>
                <w:rFonts w:ascii="宋体"/>
                <w:sz w:val="21"/>
              </w:rPr>
              <w:t> </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应付债券</w:t>
            </w:r>
            <w:r>
              <w:rPr>
                <w:rFonts w:ascii="宋体" w:hAnsi="宋体" w:cs="宋体" w:eastAsia="宋体" w:hint="default"/>
                <w:sz w:val="21"/>
                <w:szCs w:val="21"/>
              </w:rPr>
              <w:t> </w:t>
            </w:r>
          </w:p>
        </w:tc>
        <w:tc>
          <w:tcPr>
            <w:tcW w:w="223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2,463,263,272.02</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2,463,263,272.02</w:t>
            </w:r>
            <w:r>
              <w:rPr>
                <w:rFonts w:ascii="宋体"/>
                <w:sz w:val="21"/>
              </w:rPr>
              <w:t> </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4" w:hRule="exact"/>
        </w:trPr>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其中：优先股</w:t>
            </w:r>
            <w:r>
              <w:rPr>
                <w:rFonts w:ascii="宋体" w:hAnsi="宋体" w:cs="宋体" w:eastAsia="宋体" w:hint="default"/>
                <w:sz w:val="21"/>
                <w:szCs w:val="21"/>
              </w:rPr>
              <w:t> </w:t>
            </w:r>
          </w:p>
        </w:tc>
        <w:tc>
          <w:tcPr>
            <w:tcW w:w="223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w w:val="100"/>
                <w:sz w:val="21"/>
              </w:rPr>
              <w:t> </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943" w:right="0"/>
              <w:jc w:val="left"/>
              <w:rPr>
                <w:rFonts w:ascii="宋体" w:hAnsi="宋体" w:cs="宋体" w:eastAsia="宋体" w:hint="default"/>
                <w:sz w:val="21"/>
                <w:szCs w:val="21"/>
              </w:rPr>
            </w:pPr>
            <w:r>
              <w:rPr>
                <w:rFonts w:ascii="宋体" w:hAnsi="宋体" w:cs="宋体" w:eastAsia="宋体" w:hint="default"/>
                <w:sz w:val="21"/>
                <w:szCs w:val="21"/>
              </w:rPr>
              <w:t>永续债</w:t>
            </w:r>
            <w:r>
              <w:rPr>
                <w:rFonts w:ascii="宋体" w:hAnsi="宋体" w:cs="宋体" w:eastAsia="宋体" w:hint="default"/>
                <w:sz w:val="21"/>
                <w:szCs w:val="21"/>
              </w:rPr>
              <w:t> </w:t>
            </w:r>
          </w:p>
        </w:tc>
        <w:tc>
          <w:tcPr>
            <w:tcW w:w="223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租赁负债</w:t>
            </w:r>
            <w:r>
              <w:rPr>
                <w:rFonts w:ascii="宋体" w:hAnsi="宋体" w:cs="宋体" w:eastAsia="宋体" w:hint="default"/>
                <w:sz w:val="21"/>
                <w:szCs w:val="21"/>
              </w:rPr>
              <w:t> </w:t>
            </w:r>
          </w:p>
        </w:tc>
        <w:tc>
          <w:tcPr>
            <w:tcW w:w="223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长期应付款</w:t>
            </w:r>
            <w:r>
              <w:rPr>
                <w:rFonts w:ascii="宋体" w:hAnsi="宋体" w:cs="宋体" w:eastAsia="宋体" w:hint="default"/>
                <w:sz w:val="21"/>
                <w:szCs w:val="21"/>
              </w:rPr>
              <w:t> </w:t>
            </w:r>
          </w:p>
        </w:tc>
        <w:tc>
          <w:tcPr>
            <w:tcW w:w="223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长期应付职工薪酬</w:t>
            </w:r>
            <w:r>
              <w:rPr>
                <w:rFonts w:ascii="宋体" w:hAnsi="宋体" w:cs="宋体" w:eastAsia="宋体" w:hint="default"/>
                <w:sz w:val="21"/>
                <w:szCs w:val="21"/>
              </w:rPr>
              <w:t> </w:t>
            </w:r>
          </w:p>
        </w:tc>
        <w:tc>
          <w:tcPr>
            <w:tcW w:w="223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预计负债</w:t>
            </w:r>
            <w:r>
              <w:rPr>
                <w:rFonts w:ascii="宋体" w:hAnsi="宋体" w:cs="宋体" w:eastAsia="宋体" w:hint="default"/>
                <w:sz w:val="21"/>
                <w:szCs w:val="21"/>
              </w:rPr>
              <w:t> </w:t>
            </w:r>
          </w:p>
        </w:tc>
        <w:tc>
          <w:tcPr>
            <w:tcW w:w="223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4" w:hRule="exact"/>
        </w:trPr>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314" w:right="0"/>
              <w:jc w:val="left"/>
              <w:rPr>
                <w:rFonts w:ascii="宋体" w:hAnsi="宋体" w:cs="宋体" w:eastAsia="宋体" w:hint="default"/>
                <w:sz w:val="21"/>
                <w:szCs w:val="21"/>
              </w:rPr>
            </w:pPr>
            <w:r>
              <w:rPr>
                <w:rFonts w:ascii="宋体" w:hAnsi="宋体" w:cs="宋体" w:eastAsia="宋体" w:hint="default"/>
                <w:sz w:val="21"/>
                <w:szCs w:val="21"/>
              </w:rPr>
              <w:t>递延收益</w:t>
            </w:r>
            <w:r>
              <w:rPr>
                <w:rFonts w:ascii="宋体" w:hAnsi="宋体" w:cs="宋体" w:eastAsia="宋体" w:hint="default"/>
                <w:sz w:val="21"/>
                <w:szCs w:val="21"/>
              </w:rPr>
              <w:t> </w:t>
            </w:r>
          </w:p>
        </w:tc>
        <w:tc>
          <w:tcPr>
            <w:tcW w:w="223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spacing w:val="-1"/>
                <w:sz w:val="21"/>
              </w:rPr>
              <w:t>11,308,383.46</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spacing w:val="-1"/>
                <w:sz w:val="21"/>
              </w:rPr>
              <w:t>11,308,383.46</w:t>
            </w:r>
            <w:r>
              <w:rPr>
                <w:rFonts w:ascii="宋体"/>
                <w:sz w:val="21"/>
              </w:rPr>
              <w:t> </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递延所得税负债</w:t>
            </w:r>
            <w:r>
              <w:rPr>
                <w:rFonts w:ascii="宋体" w:hAnsi="宋体" w:cs="宋体" w:eastAsia="宋体" w:hint="default"/>
                <w:sz w:val="21"/>
                <w:szCs w:val="21"/>
              </w:rPr>
              <w:t> </w:t>
            </w:r>
          </w:p>
        </w:tc>
        <w:tc>
          <w:tcPr>
            <w:tcW w:w="223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其他非流动负债</w:t>
            </w:r>
            <w:r>
              <w:rPr>
                <w:rFonts w:ascii="宋体" w:hAnsi="宋体" w:cs="宋体" w:eastAsia="宋体" w:hint="default"/>
                <w:sz w:val="21"/>
                <w:szCs w:val="21"/>
              </w:rPr>
              <w:t> </w:t>
            </w:r>
          </w:p>
        </w:tc>
        <w:tc>
          <w:tcPr>
            <w:tcW w:w="223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23" w:right="0"/>
              <w:jc w:val="left"/>
              <w:rPr>
                <w:rFonts w:ascii="宋体" w:hAnsi="宋体" w:cs="宋体" w:eastAsia="宋体" w:hint="default"/>
                <w:sz w:val="21"/>
                <w:szCs w:val="21"/>
              </w:rPr>
            </w:pPr>
            <w:r>
              <w:rPr>
                <w:rFonts w:ascii="宋体" w:hAnsi="宋体" w:cs="宋体" w:eastAsia="宋体" w:hint="default"/>
                <w:sz w:val="21"/>
                <w:szCs w:val="21"/>
              </w:rPr>
              <w:t>非流动负债合计</w:t>
            </w:r>
            <w:r>
              <w:rPr>
                <w:rFonts w:ascii="宋体" w:hAnsi="宋体" w:cs="宋体" w:eastAsia="宋体" w:hint="default"/>
                <w:sz w:val="21"/>
                <w:szCs w:val="21"/>
              </w:rPr>
              <w:t> </w:t>
            </w:r>
          </w:p>
        </w:tc>
        <w:tc>
          <w:tcPr>
            <w:tcW w:w="223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3,047,821,655.48</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3,047,821,655.48</w:t>
            </w:r>
            <w:r>
              <w:rPr>
                <w:rFonts w:ascii="宋体"/>
                <w:sz w:val="21"/>
              </w:rPr>
              <w:t> </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34" w:right="0"/>
              <w:jc w:val="left"/>
              <w:rPr>
                <w:rFonts w:ascii="宋体" w:hAnsi="宋体" w:cs="宋体" w:eastAsia="宋体" w:hint="default"/>
                <w:sz w:val="21"/>
                <w:szCs w:val="21"/>
              </w:rPr>
            </w:pPr>
            <w:r>
              <w:rPr>
                <w:rFonts w:ascii="宋体" w:hAnsi="宋体" w:cs="宋体" w:eastAsia="宋体" w:hint="default"/>
                <w:sz w:val="21"/>
                <w:szCs w:val="21"/>
              </w:rPr>
              <w:t>负债合计</w:t>
            </w:r>
            <w:r>
              <w:rPr>
                <w:rFonts w:ascii="宋体" w:hAnsi="宋体" w:cs="宋体" w:eastAsia="宋体" w:hint="default"/>
                <w:sz w:val="21"/>
                <w:szCs w:val="21"/>
              </w:rPr>
              <w:t> </w:t>
            </w:r>
          </w:p>
        </w:tc>
        <w:tc>
          <w:tcPr>
            <w:tcW w:w="223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4,482,259,284.02</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4,482,259,284.02</w:t>
            </w:r>
            <w:r>
              <w:rPr>
                <w:rFonts w:ascii="宋体"/>
                <w:sz w:val="21"/>
              </w:rPr>
              <w:t> </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9050" w:type="dxa"/>
            <w:gridSpan w:val="4"/>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所有者权益（或股东权益）：</w:t>
            </w:r>
            <w:r>
              <w:rPr>
                <w:rFonts w:ascii="宋体" w:hAnsi="宋体" w:cs="宋体" w:eastAsia="宋体" w:hint="default"/>
                <w:color w:val="008000"/>
                <w:w w:val="100"/>
                <w:sz w:val="21"/>
                <w:szCs w:val="21"/>
              </w:rPr>
              <w:t> </w:t>
            </w:r>
            <w:r>
              <w:rPr>
                <w:rFonts w:ascii="宋体" w:hAnsi="宋体" w:cs="宋体" w:eastAsia="宋体" w:hint="default"/>
                <w:w w:val="100"/>
                <w:sz w:val="21"/>
                <w:szCs w:val="21"/>
              </w:rPr>
            </w:r>
          </w:p>
        </w:tc>
      </w:tr>
      <w:tr>
        <w:trPr>
          <w:trHeight w:val="324" w:hRule="exact"/>
        </w:trPr>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314" w:right="0"/>
              <w:jc w:val="left"/>
              <w:rPr>
                <w:rFonts w:ascii="宋体" w:hAnsi="宋体" w:cs="宋体" w:eastAsia="宋体" w:hint="default"/>
                <w:sz w:val="21"/>
                <w:szCs w:val="21"/>
              </w:rPr>
            </w:pPr>
            <w:r>
              <w:rPr>
                <w:rFonts w:ascii="宋体" w:hAnsi="宋体" w:cs="宋体" w:eastAsia="宋体" w:hint="default"/>
                <w:sz w:val="21"/>
                <w:szCs w:val="21"/>
              </w:rPr>
              <w:t>实收资本（或股本）</w:t>
            </w:r>
            <w:r>
              <w:rPr>
                <w:rFonts w:ascii="宋体" w:hAnsi="宋体" w:cs="宋体" w:eastAsia="宋体" w:hint="default"/>
                <w:sz w:val="21"/>
                <w:szCs w:val="21"/>
              </w:rPr>
              <w:t> </w:t>
            </w:r>
          </w:p>
        </w:tc>
        <w:tc>
          <w:tcPr>
            <w:tcW w:w="223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spacing w:val="-1"/>
                <w:sz w:val="21"/>
              </w:rPr>
              <w:t>1,765,410,843.00</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spacing w:val="-1"/>
                <w:sz w:val="21"/>
              </w:rPr>
              <w:t>1,765,410,843.00</w:t>
            </w:r>
            <w:r>
              <w:rPr>
                <w:rFonts w:ascii="宋体"/>
                <w:sz w:val="21"/>
              </w:rPr>
              <w:t> </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其他权益工具</w:t>
            </w:r>
            <w:r>
              <w:rPr>
                <w:rFonts w:ascii="宋体" w:hAnsi="宋体" w:cs="宋体" w:eastAsia="宋体" w:hint="default"/>
                <w:sz w:val="21"/>
                <w:szCs w:val="21"/>
              </w:rPr>
              <w:t> </w:t>
            </w:r>
          </w:p>
        </w:tc>
        <w:tc>
          <w:tcPr>
            <w:tcW w:w="223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648,686,895.88</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648,686,895.88</w:t>
            </w:r>
            <w:r>
              <w:rPr>
                <w:rFonts w:ascii="宋体"/>
                <w:sz w:val="21"/>
              </w:rPr>
              <w:t> </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其中：优先股</w:t>
            </w:r>
            <w:r>
              <w:rPr>
                <w:rFonts w:ascii="宋体" w:hAnsi="宋体" w:cs="宋体" w:eastAsia="宋体" w:hint="default"/>
                <w:sz w:val="21"/>
                <w:szCs w:val="21"/>
              </w:rPr>
              <w:t> </w:t>
            </w:r>
          </w:p>
        </w:tc>
        <w:tc>
          <w:tcPr>
            <w:tcW w:w="223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943" w:right="0"/>
              <w:jc w:val="left"/>
              <w:rPr>
                <w:rFonts w:ascii="宋体" w:hAnsi="宋体" w:cs="宋体" w:eastAsia="宋体" w:hint="default"/>
                <w:sz w:val="21"/>
                <w:szCs w:val="21"/>
              </w:rPr>
            </w:pPr>
            <w:r>
              <w:rPr>
                <w:rFonts w:ascii="宋体" w:hAnsi="宋体" w:cs="宋体" w:eastAsia="宋体" w:hint="default"/>
                <w:sz w:val="21"/>
                <w:szCs w:val="21"/>
              </w:rPr>
              <w:t>永续债</w:t>
            </w:r>
            <w:r>
              <w:rPr>
                <w:rFonts w:ascii="宋体" w:hAnsi="宋体" w:cs="宋体" w:eastAsia="宋体" w:hint="default"/>
                <w:sz w:val="21"/>
                <w:szCs w:val="21"/>
              </w:rPr>
              <w:t> </w:t>
            </w:r>
          </w:p>
        </w:tc>
        <w:tc>
          <w:tcPr>
            <w:tcW w:w="223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资本公积</w:t>
            </w:r>
            <w:r>
              <w:rPr>
                <w:rFonts w:ascii="宋体" w:hAnsi="宋体" w:cs="宋体" w:eastAsia="宋体" w:hint="default"/>
                <w:sz w:val="21"/>
                <w:szCs w:val="21"/>
              </w:rPr>
              <w:t> </w:t>
            </w:r>
          </w:p>
        </w:tc>
        <w:tc>
          <w:tcPr>
            <w:tcW w:w="223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4,634,617,835.24</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4,634,617,835.24</w:t>
            </w:r>
            <w:r>
              <w:rPr>
                <w:rFonts w:ascii="宋体"/>
                <w:sz w:val="21"/>
              </w:rPr>
              <w:t> </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减：库存股</w:t>
            </w:r>
            <w:r>
              <w:rPr>
                <w:rFonts w:ascii="宋体" w:hAnsi="宋体" w:cs="宋体" w:eastAsia="宋体" w:hint="default"/>
                <w:sz w:val="21"/>
                <w:szCs w:val="21"/>
              </w:rPr>
              <w:t> </w:t>
            </w:r>
          </w:p>
        </w:tc>
        <w:tc>
          <w:tcPr>
            <w:tcW w:w="223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173,515,620.20</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173,515,620.20</w:t>
            </w:r>
            <w:r>
              <w:rPr>
                <w:rFonts w:ascii="宋体"/>
                <w:sz w:val="21"/>
              </w:rPr>
              <w:t> </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4" w:hRule="exact"/>
        </w:trPr>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其他综合收益</w:t>
            </w:r>
            <w:r>
              <w:rPr>
                <w:rFonts w:ascii="宋体" w:hAnsi="宋体" w:cs="宋体" w:eastAsia="宋体" w:hint="default"/>
                <w:sz w:val="21"/>
                <w:szCs w:val="21"/>
              </w:rPr>
              <w:t> </w:t>
            </w:r>
          </w:p>
        </w:tc>
        <w:tc>
          <w:tcPr>
            <w:tcW w:w="223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w w:val="100"/>
                <w:sz w:val="21"/>
              </w:rPr>
              <w:t> </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专项储备</w:t>
            </w:r>
            <w:r>
              <w:rPr>
                <w:rFonts w:ascii="宋体" w:hAnsi="宋体" w:cs="宋体" w:eastAsia="宋体" w:hint="default"/>
                <w:sz w:val="21"/>
                <w:szCs w:val="21"/>
              </w:rPr>
              <w:t> </w:t>
            </w:r>
          </w:p>
        </w:tc>
        <w:tc>
          <w:tcPr>
            <w:tcW w:w="223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盈余公积</w:t>
            </w:r>
            <w:r>
              <w:rPr>
                <w:rFonts w:ascii="宋体" w:hAnsi="宋体" w:cs="宋体" w:eastAsia="宋体" w:hint="default"/>
                <w:sz w:val="21"/>
                <w:szCs w:val="21"/>
              </w:rPr>
              <w:t> </w:t>
            </w:r>
          </w:p>
        </w:tc>
        <w:tc>
          <w:tcPr>
            <w:tcW w:w="223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225,738,320.37</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225,700,358.18</w:t>
            </w:r>
            <w:r>
              <w:rPr>
                <w:rFonts w:ascii="宋体"/>
                <w:sz w:val="21"/>
              </w:rPr>
              <w:t> </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-37,962.19</w:t>
            </w:r>
            <w:r>
              <w:rPr>
                <w:rFonts w:ascii="宋体"/>
                <w:sz w:val="21"/>
              </w:rPr>
              <w:t> </w:t>
            </w:r>
          </w:p>
        </w:tc>
      </w:tr>
    </w:tbl>
    <w:p>
      <w:pPr>
        <w:spacing w:after="0" w:line="262" w:lineRule="exact"/>
        <w:jc w:val="right"/>
        <w:rPr>
          <w:rFonts w:ascii="宋体" w:hAnsi="宋体" w:cs="宋体" w:eastAsia="宋体" w:hint="default"/>
          <w:sz w:val="21"/>
          <w:szCs w:val="21"/>
        </w:rPr>
        <w:sectPr>
          <w:footerReference w:type="default" r:id="rId140"/>
          <w:pgSz w:w="11910" w:h="16840"/>
          <w:pgMar w:footer="974" w:header="748" w:top="1140" w:bottom="1160" w:left="1060" w:right="1560"/>
          <w:pgNumType w:start="131"/>
        </w:sectPr>
      </w:pPr>
    </w:p>
    <w:p>
      <w:pPr>
        <w:spacing w:line="240" w:lineRule="auto" w:before="0"/>
        <w:rPr>
          <w:rFonts w:ascii="Times New Roman" w:hAnsi="Times New Roman" w:cs="Times New Roman" w:eastAsia="Times New Roman" w:hint="default"/>
          <w:sz w:val="26"/>
          <w:szCs w:val="26"/>
        </w:rPr>
      </w:pPr>
    </w:p>
    <w:tbl>
      <w:tblPr>
        <w:tblW w:w="0" w:type="auto"/>
        <w:jc w:val="left"/>
        <w:tblInd w:w="103" w:type="dxa"/>
        <w:tblLayout w:type="fixed"/>
        <w:tblCellMar>
          <w:top w:w="0" w:type="dxa"/>
          <w:left w:w="0" w:type="dxa"/>
          <w:bottom w:w="0" w:type="dxa"/>
          <w:right w:w="0" w:type="dxa"/>
        </w:tblCellMar>
        <w:tblLook w:val="01E0"/>
      </w:tblPr>
      <w:tblGrid>
        <w:gridCol w:w="3027"/>
        <w:gridCol w:w="2230"/>
        <w:gridCol w:w="2002"/>
        <w:gridCol w:w="1791"/>
      </w:tblGrid>
      <w:tr>
        <w:trPr>
          <w:trHeight w:val="322" w:hRule="exact"/>
        </w:trPr>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未分配利润</w:t>
            </w:r>
            <w:r>
              <w:rPr>
                <w:rFonts w:ascii="宋体" w:hAnsi="宋体" w:cs="宋体" w:eastAsia="宋体" w:hint="default"/>
                <w:sz w:val="21"/>
                <w:szCs w:val="21"/>
              </w:rPr>
              <w:t> </w:t>
            </w:r>
          </w:p>
        </w:tc>
        <w:tc>
          <w:tcPr>
            <w:tcW w:w="223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1,277,485,893.50</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1,277,144,233.82</w:t>
            </w:r>
            <w:r>
              <w:rPr>
                <w:rFonts w:ascii="宋体"/>
                <w:sz w:val="21"/>
              </w:rPr>
              <w:t> </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-341,659.68</w:t>
            </w:r>
            <w:r>
              <w:rPr>
                <w:rFonts w:ascii="宋体"/>
                <w:sz w:val="21"/>
              </w:rPr>
              <w:t> </w:t>
            </w:r>
          </w:p>
        </w:tc>
      </w:tr>
      <w:tr>
        <w:trPr>
          <w:trHeight w:val="634" w:hRule="exact"/>
        </w:trPr>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5" w:firstLine="420"/>
              <w:jc w:val="left"/>
              <w:rPr>
                <w:rFonts w:ascii="宋体" w:hAnsi="宋体" w:cs="宋体" w:eastAsia="宋体" w:hint="default"/>
                <w:sz w:val="21"/>
                <w:szCs w:val="21"/>
              </w:rPr>
            </w:pPr>
            <w:r>
              <w:rPr>
                <w:rFonts w:ascii="宋体" w:hAnsi="宋体" w:cs="宋体" w:eastAsia="宋体" w:hint="default"/>
                <w:spacing w:val="-4"/>
                <w:sz w:val="21"/>
                <w:szCs w:val="21"/>
              </w:rPr>
              <w:t>所有者权益（或股东权益）</w:t>
            </w:r>
            <w:r>
              <w:rPr>
                <w:rFonts w:ascii="宋体" w:hAnsi="宋体" w:cs="宋体" w:eastAsia="宋体" w:hint="default"/>
                <w:w w:val="100"/>
                <w:sz w:val="21"/>
                <w:szCs w:val="21"/>
              </w:rPr>
              <w:t> </w:t>
            </w:r>
            <w:r>
              <w:rPr>
                <w:rFonts w:ascii="宋体" w:hAnsi="宋体" w:cs="宋体" w:eastAsia="宋体" w:hint="default"/>
                <w:sz w:val="21"/>
                <w:szCs w:val="21"/>
              </w:rPr>
              <w:t>合计</w:t>
            </w:r>
            <w:r>
              <w:rPr>
                <w:rFonts w:ascii="宋体" w:hAnsi="宋体" w:cs="宋体" w:eastAsia="宋体" w:hint="default"/>
                <w:sz w:val="21"/>
                <w:szCs w:val="21"/>
              </w:rPr>
              <w:t> </w:t>
            </w:r>
          </w:p>
        </w:tc>
        <w:tc>
          <w:tcPr>
            <w:tcW w:w="2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3"/>
              <w:jc w:val="right"/>
              <w:rPr>
                <w:rFonts w:ascii="宋体" w:hAnsi="宋体" w:cs="宋体" w:eastAsia="宋体" w:hint="default"/>
                <w:sz w:val="21"/>
                <w:szCs w:val="21"/>
              </w:rPr>
            </w:pPr>
            <w:r>
              <w:rPr>
                <w:rFonts w:ascii="宋体"/>
                <w:spacing w:val="-1"/>
                <w:sz w:val="21"/>
              </w:rPr>
              <w:t>8,378,424,167.79</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3"/>
              <w:jc w:val="right"/>
              <w:rPr>
                <w:rFonts w:ascii="宋体" w:hAnsi="宋体" w:cs="宋体" w:eastAsia="宋体" w:hint="default"/>
                <w:sz w:val="21"/>
                <w:szCs w:val="21"/>
              </w:rPr>
            </w:pPr>
            <w:r>
              <w:rPr>
                <w:rFonts w:ascii="宋体"/>
                <w:spacing w:val="-1"/>
                <w:sz w:val="21"/>
              </w:rPr>
              <w:t>8,378,044,545.92</w:t>
            </w:r>
            <w:r>
              <w:rPr>
                <w:rFonts w:ascii="宋体"/>
                <w:sz w:val="21"/>
              </w:rPr>
              <w:t> </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3"/>
              <w:jc w:val="right"/>
              <w:rPr>
                <w:rFonts w:ascii="宋体" w:hAnsi="宋体" w:cs="宋体" w:eastAsia="宋体" w:hint="default"/>
                <w:sz w:val="21"/>
                <w:szCs w:val="21"/>
              </w:rPr>
            </w:pPr>
            <w:r>
              <w:rPr>
                <w:rFonts w:ascii="宋体"/>
                <w:spacing w:val="-1"/>
                <w:sz w:val="21"/>
              </w:rPr>
              <w:t>-379,621.87</w:t>
            </w:r>
            <w:r>
              <w:rPr>
                <w:rFonts w:ascii="宋体"/>
                <w:sz w:val="21"/>
              </w:rPr>
              <w:t> </w:t>
            </w:r>
          </w:p>
        </w:tc>
      </w:tr>
      <w:tr>
        <w:trPr>
          <w:trHeight w:val="636" w:hRule="exact"/>
        </w:trPr>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78" w:firstLine="631"/>
              <w:jc w:val="left"/>
              <w:rPr>
                <w:rFonts w:ascii="宋体" w:hAnsi="宋体" w:cs="宋体" w:eastAsia="宋体" w:hint="default"/>
                <w:sz w:val="21"/>
                <w:szCs w:val="21"/>
              </w:rPr>
            </w:pPr>
            <w:r>
              <w:rPr>
                <w:rFonts w:ascii="宋体" w:hAnsi="宋体" w:cs="宋体" w:eastAsia="宋体" w:hint="default"/>
                <w:spacing w:val="-2"/>
                <w:sz w:val="21"/>
                <w:szCs w:val="21"/>
              </w:rPr>
              <w:t>负债和所有者权益（或</w:t>
            </w:r>
            <w:r>
              <w:rPr>
                <w:rFonts w:ascii="宋体" w:hAnsi="宋体" w:cs="宋体" w:eastAsia="宋体" w:hint="default"/>
                <w:w w:val="100"/>
                <w:sz w:val="21"/>
                <w:szCs w:val="21"/>
              </w:rPr>
              <w:t> </w:t>
            </w:r>
            <w:r>
              <w:rPr>
                <w:rFonts w:ascii="宋体" w:hAnsi="宋体" w:cs="宋体" w:eastAsia="宋体" w:hint="default"/>
                <w:sz w:val="21"/>
                <w:szCs w:val="21"/>
              </w:rPr>
              <w:t>股东权益）总计</w:t>
            </w:r>
            <w:r>
              <w:rPr>
                <w:rFonts w:ascii="宋体" w:hAnsi="宋体" w:cs="宋体" w:eastAsia="宋体" w:hint="default"/>
                <w:sz w:val="21"/>
                <w:szCs w:val="21"/>
              </w:rPr>
              <w:t> </w:t>
            </w:r>
          </w:p>
        </w:tc>
        <w:tc>
          <w:tcPr>
            <w:tcW w:w="2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3"/>
              <w:jc w:val="right"/>
              <w:rPr>
                <w:rFonts w:ascii="宋体" w:hAnsi="宋体" w:cs="宋体" w:eastAsia="宋体" w:hint="default"/>
                <w:sz w:val="21"/>
                <w:szCs w:val="21"/>
              </w:rPr>
            </w:pPr>
            <w:r>
              <w:rPr>
                <w:rFonts w:ascii="宋体"/>
                <w:spacing w:val="-1"/>
                <w:sz w:val="21"/>
              </w:rPr>
              <w:t>12,860,683,451.81</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3"/>
              <w:jc w:val="right"/>
              <w:rPr>
                <w:rFonts w:ascii="宋体" w:hAnsi="宋体" w:cs="宋体" w:eastAsia="宋体" w:hint="default"/>
                <w:sz w:val="21"/>
                <w:szCs w:val="21"/>
              </w:rPr>
            </w:pPr>
            <w:r>
              <w:rPr>
                <w:rFonts w:ascii="宋体"/>
                <w:spacing w:val="-1"/>
                <w:sz w:val="21"/>
              </w:rPr>
              <w:t>12,860,303,829.94</w:t>
            </w:r>
            <w:r>
              <w:rPr>
                <w:rFonts w:ascii="宋体"/>
                <w:sz w:val="21"/>
              </w:rPr>
              <w:t> </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3"/>
              <w:jc w:val="right"/>
              <w:rPr>
                <w:rFonts w:ascii="宋体" w:hAnsi="宋体" w:cs="宋体" w:eastAsia="宋体" w:hint="default"/>
                <w:sz w:val="21"/>
                <w:szCs w:val="21"/>
              </w:rPr>
            </w:pPr>
            <w:r>
              <w:rPr>
                <w:rFonts w:ascii="宋体"/>
                <w:spacing w:val="-1"/>
                <w:sz w:val="21"/>
              </w:rPr>
              <w:t>-379,621.87</w:t>
            </w:r>
            <w:r>
              <w:rPr>
                <w:rFonts w:ascii="宋体"/>
                <w:sz w:val="21"/>
              </w:rPr>
              <w:t> </w:t>
            </w:r>
          </w:p>
        </w:tc>
      </w:tr>
    </w:tbl>
    <w:p>
      <w:pPr>
        <w:pStyle w:val="Heading2"/>
        <w:spacing w:line="274" w:lineRule="exact"/>
        <w:ind w:left="216" w:right="0"/>
        <w:jc w:val="left"/>
        <w:rPr>
          <w:rFonts w:ascii="宋体" w:hAnsi="宋体" w:cs="宋体" w:eastAsia="宋体" w:hint="default"/>
        </w:rPr>
      </w:pPr>
      <w:r>
        <w:rPr>
          <w:rFonts w:ascii="宋体"/>
        </w:rPr>
        <w:t> </w:t>
      </w:r>
    </w:p>
    <w:p>
      <w:pPr>
        <w:pStyle w:val="BodyText"/>
        <w:spacing w:line="240" w:lineRule="auto" w:before="25"/>
        <w:ind w:left="216" w:right="0"/>
        <w:jc w:val="left"/>
        <w:rPr>
          <w:rFonts w:ascii="宋体" w:hAnsi="宋体" w:cs="宋体" w:eastAsia="宋体" w:hint="default"/>
        </w:rPr>
      </w:pPr>
      <w:r>
        <w:rPr/>
        <w:t>各项目调整情况的说明：</w:t>
      </w:r>
      <w:r>
        <w:rPr>
          <w:rFonts w:ascii="宋体" w:hAnsi="宋体" w:cs="宋体" w:eastAsia="宋体" w:hint="default"/>
        </w:rPr>
        <w:t> </w:t>
      </w:r>
    </w:p>
    <w:p>
      <w:pPr>
        <w:pStyle w:val="Heading2"/>
        <w:spacing w:line="240" w:lineRule="auto" w:before="9"/>
        <w:ind w:left="21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BodyText"/>
        <w:spacing w:line="240" w:lineRule="auto" w:before="25"/>
        <w:ind w:left="216" w:right="0"/>
        <w:jc w:val="left"/>
        <w:rPr>
          <w:rFonts w:ascii="宋体" w:hAnsi="宋体" w:cs="宋体" w:eastAsia="宋体" w:hint="default"/>
        </w:rPr>
      </w:pPr>
      <w:r>
        <w:rPr>
          <w:rFonts w:ascii="宋体"/>
          <w:w w:val="100"/>
        </w:rPr>
        <w:t> </w:t>
      </w:r>
    </w:p>
    <w:p>
      <w:pPr>
        <w:pStyle w:val="Heading3"/>
        <w:spacing w:line="240" w:lineRule="auto"/>
        <w:ind w:left="216" w:right="0"/>
        <w:jc w:val="left"/>
        <w:rPr>
          <w:rFonts w:ascii="宋体" w:hAnsi="宋体" w:cs="宋体" w:eastAsia="宋体" w:hint="default"/>
          <w:b w:val="0"/>
          <w:bCs w:val="0"/>
        </w:rPr>
      </w:pPr>
      <w:r>
        <w:rPr>
          <w:rFonts w:ascii="宋体" w:hAnsi="宋体" w:cs="宋体" w:eastAsia="宋体" w:hint="default"/>
        </w:rPr>
        <w:t>(4).</w:t>
      </w:r>
      <w:r>
        <w:rPr>
          <w:rFonts w:ascii="Times New Roman" w:hAnsi="Times New Roman" w:cs="Times New Roman" w:eastAsia="Times New Roman" w:hint="default"/>
        </w:rPr>
        <w:t>2019</w:t>
      </w:r>
      <w:r>
        <w:rPr>
          <w:rFonts w:ascii="Times New Roman" w:hAnsi="Times New Roman" w:cs="Times New Roman" w:eastAsia="Times New Roman" w:hint="default"/>
          <w:spacing w:val="3"/>
        </w:rPr>
        <w:t> </w:t>
      </w:r>
      <w:r>
        <w:rPr/>
        <w:t>年起执行新金融工具准则或新租赁准则追溯调整前期比较数据说明</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81"/>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left="216" w:right="0"/>
        <w:jc w:val="left"/>
        <w:rPr>
          <w:rFonts w:ascii="宋体" w:hAnsi="宋体" w:cs="宋体" w:eastAsia="宋体" w:hint="default"/>
        </w:rPr>
      </w:pPr>
      <w:r>
        <w:rPr>
          <w:rFonts w:ascii="宋体"/>
          <w:w w:val="100"/>
        </w:rPr>
        <w:t> </w:t>
      </w:r>
    </w:p>
    <w:p>
      <w:pPr>
        <w:pStyle w:val="Heading3"/>
        <w:spacing w:line="240" w:lineRule="auto"/>
        <w:ind w:left="216" w:right="0"/>
        <w:jc w:val="left"/>
        <w:rPr>
          <w:b w:val="0"/>
          <w:bCs w:val="0"/>
        </w:rPr>
      </w:pPr>
      <w:r>
        <w:rPr>
          <w:rFonts w:ascii="宋体" w:hAnsi="宋体" w:cs="宋体" w:eastAsia="宋体" w:hint="default"/>
        </w:rPr>
        <w:t>42.</w:t>
      </w:r>
      <w:r>
        <w:rPr>
          <w:rFonts w:ascii="宋体" w:hAnsi="宋体" w:cs="宋体" w:eastAsia="宋体" w:hint="default"/>
          <w:spacing w:val="2"/>
        </w:rPr>
        <w:t> </w:t>
      </w:r>
      <w:r>
        <w:rPr/>
        <w:t>其他</w:t>
      </w:r>
      <w:r>
        <w:rPr>
          <w:b w:val="0"/>
          <w:bCs w:val="0"/>
        </w:rPr>
      </w:r>
    </w:p>
    <w:p>
      <w:pPr>
        <w:pStyle w:val="BodyText"/>
        <w:spacing w:line="240" w:lineRule="auto" w:before="97"/>
        <w:ind w:left="216"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left="216" w:right="0"/>
        <w:jc w:val="left"/>
        <w:rPr>
          <w:rFonts w:ascii="宋体" w:hAnsi="宋体" w:cs="宋体" w:eastAsia="宋体" w:hint="default"/>
        </w:rPr>
      </w:pPr>
      <w:r>
        <w:rPr>
          <w:rFonts w:ascii="宋体"/>
          <w:w w:val="100"/>
        </w:rPr>
        <w:t> </w:t>
      </w:r>
    </w:p>
    <w:p>
      <w:pPr>
        <w:pStyle w:val="Heading3"/>
        <w:spacing w:line="240" w:lineRule="auto"/>
        <w:ind w:left="216" w:right="0"/>
        <w:jc w:val="left"/>
        <w:rPr>
          <w:rFonts w:ascii="宋体" w:hAnsi="宋体" w:cs="宋体" w:eastAsia="宋体" w:hint="default"/>
          <w:b w:val="0"/>
          <w:bCs w:val="0"/>
        </w:rPr>
      </w:pPr>
      <w:r>
        <w:rPr/>
        <w:t>六、</w:t>
      </w:r>
      <w:r>
        <w:rPr>
          <w:spacing w:val="-104"/>
        </w:rPr>
        <w:t> </w:t>
      </w:r>
      <w:r>
        <w:rPr>
          <w:rFonts w:ascii="宋体" w:hAnsi="宋体" w:cs="宋体" w:eastAsia="宋体" w:hint="default"/>
          <w:spacing w:val="-104"/>
        </w:rPr>
      </w:r>
      <w:r>
        <w:rPr/>
        <w:t>税项</w:t>
      </w:r>
      <w:r>
        <w:rPr>
          <w:rFonts w:ascii="宋体" w:hAnsi="宋体" w:cs="宋体" w:eastAsia="宋体" w:hint="default"/>
          <w:w w:val="99"/>
        </w:rPr>
        <w:t> </w:t>
      </w:r>
      <w:r>
        <w:rPr>
          <w:rFonts w:ascii="宋体" w:hAnsi="宋体" w:cs="宋体" w:eastAsia="宋体" w:hint="default"/>
          <w:b w:val="0"/>
          <w:bCs w:val="0"/>
        </w:rPr>
      </w:r>
    </w:p>
    <w:p>
      <w:pPr>
        <w:pStyle w:val="Heading3"/>
        <w:tabs>
          <w:tab w:pos="641" w:val="left" w:leader="none"/>
        </w:tabs>
        <w:spacing w:line="240" w:lineRule="auto"/>
        <w:ind w:left="216" w:right="0"/>
        <w:jc w:val="left"/>
        <w:rPr>
          <w:b w:val="0"/>
          <w:bCs w:val="0"/>
        </w:rPr>
      </w:pPr>
      <w:r>
        <w:rPr>
          <w:rFonts w:ascii="宋体" w:hAnsi="宋体" w:cs="宋体" w:eastAsia="宋体" w:hint="default"/>
          <w:w w:val="95"/>
        </w:rPr>
        <w:t>1.</w:t>
        <w:tab/>
      </w:r>
      <w:r>
        <w:rPr/>
        <w:t>主要税种及税率</w:t>
      </w:r>
      <w:r>
        <w:rPr>
          <w:b w:val="0"/>
          <w:bCs w:val="0"/>
        </w:rPr>
      </w:r>
    </w:p>
    <w:p>
      <w:pPr>
        <w:pStyle w:val="Heading2"/>
        <w:spacing w:line="313" w:lineRule="exact" w:before="69"/>
        <w:ind w:left="216" w:right="0"/>
        <w:jc w:val="left"/>
        <w:rPr>
          <w:rFonts w:ascii="宋体" w:hAnsi="宋体" w:cs="宋体" w:eastAsia="宋体" w:hint="default"/>
        </w:rPr>
      </w:pPr>
      <w:r>
        <w:rPr/>
        <w:t>主要税种及税率情况</w:t>
      </w:r>
      <w:r>
        <w:rPr>
          <w:rFonts w:ascii="宋体" w:hAnsi="宋体" w:cs="宋体" w:eastAsia="宋体" w:hint="default"/>
        </w:rPr>
        <w:t> </w:t>
      </w:r>
    </w:p>
    <w:p>
      <w:pPr>
        <w:pStyle w:val="Heading2"/>
        <w:spacing w:line="313" w:lineRule="exact"/>
        <w:ind w:left="21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12"/>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783"/>
        <w:gridCol w:w="3147"/>
        <w:gridCol w:w="3121"/>
      </w:tblGrid>
      <w:tr>
        <w:trPr>
          <w:trHeight w:val="322" w:hRule="exact"/>
        </w:trPr>
        <w:tc>
          <w:tcPr>
            <w:tcW w:w="278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5" w:right="0"/>
              <w:jc w:val="center"/>
              <w:rPr>
                <w:rFonts w:ascii="宋体" w:hAnsi="宋体" w:cs="宋体" w:eastAsia="宋体" w:hint="default"/>
                <w:sz w:val="21"/>
                <w:szCs w:val="21"/>
              </w:rPr>
            </w:pPr>
            <w:r>
              <w:rPr>
                <w:rFonts w:ascii="宋体" w:hAnsi="宋体" w:cs="宋体" w:eastAsia="宋体" w:hint="default"/>
                <w:sz w:val="21"/>
                <w:szCs w:val="21"/>
              </w:rPr>
              <w:t>税种</w:t>
            </w:r>
            <w:r>
              <w:rPr>
                <w:rFonts w:ascii="宋体" w:hAnsi="宋体" w:cs="宋体" w:eastAsia="宋体" w:hint="default"/>
                <w:sz w:val="21"/>
                <w:szCs w:val="21"/>
              </w:rPr>
              <w:t> </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147" w:right="0"/>
              <w:jc w:val="left"/>
              <w:rPr>
                <w:rFonts w:ascii="宋体" w:hAnsi="宋体" w:cs="宋体" w:eastAsia="宋体" w:hint="default"/>
                <w:sz w:val="21"/>
                <w:szCs w:val="21"/>
              </w:rPr>
            </w:pPr>
            <w:r>
              <w:rPr>
                <w:rFonts w:ascii="宋体" w:hAnsi="宋体" w:cs="宋体" w:eastAsia="宋体" w:hint="default"/>
                <w:sz w:val="21"/>
                <w:szCs w:val="21"/>
              </w:rPr>
              <w:t>计税依据</w:t>
            </w:r>
            <w:r>
              <w:rPr>
                <w:rFonts w:ascii="宋体" w:hAnsi="宋体" w:cs="宋体" w:eastAsia="宋体" w:hint="default"/>
                <w:sz w:val="21"/>
                <w:szCs w:val="21"/>
              </w:rPr>
              <w:t> </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2" w:right="0"/>
              <w:jc w:val="center"/>
              <w:rPr>
                <w:rFonts w:ascii="宋体" w:hAnsi="宋体" w:cs="宋体" w:eastAsia="宋体" w:hint="default"/>
                <w:sz w:val="21"/>
                <w:szCs w:val="21"/>
              </w:rPr>
            </w:pPr>
            <w:r>
              <w:rPr>
                <w:rFonts w:ascii="宋体" w:hAnsi="宋体" w:cs="宋体" w:eastAsia="宋体" w:hint="default"/>
                <w:sz w:val="21"/>
                <w:szCs w:val="21"/>
              </w:rPr>
              <w:t>税率</w:t>
            </w:r>
            <w:r>
              <w:rPr>
                <w:rFonts w:ascii="宋体" w:hAnsi="宋体" w:cs="宋体" w:eastAsia="宋体" w:hint="default"/>
                <w:sz w:val="21"/>
                <w:szCs w:val="21"/>
              </w:rPr>
              <w:t> </w:t>
            </w:r>
          </w:p>
        </w:tc>
      </w:tr>
      <w:tr>
        <w:trPr>
          <w:trHeight w:val="1570" w:hRule="exact"/>
        </w:trPr>
        <w:tc>
          <w:tcPr>
            <w:tcW w:w="2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增值税</w:t>
            </w:r>
            <w:r>
              <w:rPr>
                <w:rFonts w:ascii="宋体" w:hAnsi="宋体" w:cs="宋体" w:eastAsia="宋体" w:hint="default"/>
                <w:sz w:val="21"/>
                <w:szCs w:val="21"/>
              </w:rPr>
              <w:t> </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8"/>
              <w:jc w:val="left"/>
              <w:rPr>
                <w:rFonts w:ascii="宋体" w:hAnsi="宋体" w:cs="宋体" w:eastAsia="宋体" w:hint="default"/>
                <w:sz w:val="21"/>
                <w:szCs w:val="21"/>
              </w:rPr>
            </w:pPr>
            <w:r>
              <w:rPr>
                <w:rFonts w:ascii="宋体" w:hAnsi="宋体" w:cs="宋体" w:eastAsia="宋体" w:hint="default"/>
                <w:sz w:val="21"/>
                <w:szCs w:val="21"/>
              </w:rPr>
              <w:t>按税法规定计算的销售货物和</w:t>
            </w:r>
            <w:r>
              <w:rPr>
                <w:rFonts w:ascii="宋体" w:hAnsi="宋体" w:cs="宋体" w:eastAsia="宋体" w:hint="default"/>
                <w:w w:val="100"/>
                <w:sz w:val="21"/>
                <w:szCs w:val="21"/>
              </w:rPr>
              <w:t> </w:t>
            </w:r>
            <w:r>
              <w:rPr>
                <w:rFonts w:ascii="宋体" w:hAnsi="宋体" w:cs="宋体" w:eastAsia="宋体" w:hint="default"/>
                <w:sz w:val="21"/>
                <w:szCs w:val="21"/>
              </w:rPr>
              <w:t>应税劳务收入为基础计算销项</w:t>
            </w:r>
            <w:r>
              <w:rPr>
                <w:rFonts w:ascii="宋体" w:hAnsi="宋体" w:cs="宋体" w:eastAsia="宋体" w:hint="default"/>
                <w:w w:val="100"/>
                <w:sz w:val="21"/>
                <w:szCs w:val="21"/>
              </w:rPr>
              <w:t> </w:t>
            </w:r>
            <w:r>
              <w:rPr>
                <w:rFonts w:ascii="宋体" w:hAnsi="宋体" w:cs="宋体" w:eastAsia="宋体" w:hint="default"/>
                <w:spacing w:val="-2"/>
                <w:sz w:val="21"/>
                <w:szCs w:val="21"/>
              </w:rPr>
              <w:t>税额，在扣除当期允许抵扣的进</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pacing w:val="-2"/>
                <w:sz w:val="21"/>
                <w:szCs w:val="21"/>
              </w:rPr>
              <w:t>项税额后，差额部分为应交增值</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税</w:t>
            </w:r>
            <w:r>
              <w:rPr>
                <w:rFonts w:ascii="宋体" w:hAnsi="宋体" w:cs="宋体" w:eastAsia="宋体" w:hint="default"/>
                <w:sz w:val="21"/>
                <w:szCs w:val="21"/>
              </w:rPr>
              <w:t> </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16%</w:t>
            </w:r>
            <w:r>
              <w:rPr>
                <w:rFonts w:ascii="宋体" w:hAnsi="宋体" w:cs="宋体" w:eastAsia="宋体" w:hint="default"/>
                <w:sz w:val="21"/>
                <w:szCs w:val="21"/>
              </w:rPr>
              <w:t>、</w:t>
            </w:r>
            <w:r>
              <w:rPr>
                <w:rFonts w:ascii="宋体" w:hAnsi="宋体" w:cs="宋体" w:eastAsia="宋体" w:hint="default"/>
                <w:sz w:val="21"/>
                <w:szCs w:val="21"/>
              </w:rPr>
              <w:t>10% </w:t>
            </w:r>
          </w:p>
        </w:tc>
      </w:tr>
      <w:tr>
        <w:trPr>
          <w:trHeight w:val="322" w:hRule="exact"/>
        </w:trPr>
        <w:tc>
          <w:tcPr>
            <w:tcW w:w="278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消费税</w:t>
            </w:r>
            <w:r>
              <w:rPr>
                <w:rFonts w:ascii="宋体" w:hAnsi="宋体" w:cs="宋体" w:eastAsia="宋体" w:hint="default"/>
                <w:sz w:val="21"/>
                <w:szCs w:val="21"/>
              </w:rPr>
              <w:t> </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w w:val="100"/>
                <w:sz w:val="21"/>
              </w:rPr>
              <w:t> </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w w:val="100"/>
                <w:sz w:val="21"/>
              </w:rPr>
              <w:t> </w:t>
            </w:r>
          </w:p>
        </w:tc>
      </w:tr>
      <w:tr>
        <w:trPr>
          <w:trHeight w:val="322" w:hRule="exact"/>
        </w:trPr>
        <w:tc>
          <w:tcPr>
            <w:tcW w:w="278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营业税</w:t>
            </w:r>
            <w:r>
              <w:rPr>
                <w:rFonts w:ascii="宋体" w:hAnsi="宋体" w:cs="宋体" w:eastAsia="宋体" w:hint="default"/>
                <w:sz w:val="21"/>
                <w:szCs w:val="21"/>
              </w:rPr>
              <w:t> </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w w:val="100"/>
                <w:sz w:val="21"/>
              </w:rPr>
              <w:t> </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w w:val="100"/>
                <w:sz w:val="21"/>
              </w:rPr>
              <w:t> </w:t>
            </w:r>
          </w:p>
        </w:tc>
      </w:tr>
      <w:tr>
        <w:trPr>
          <w:trHeight w:val="634" w:hRule="exact"/>
        </w:trPr>
        <w:tc>
          <w:tcPr>
            <w:tcW w:w="2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城市维护建设税</w:t>
            </w:r>
            <w:r>
              <w:rPr>
                <w:rFonts w:ascii="宋体" w:hAnsi="宋体" w:cs="宋体" w:eastAsia="宋体" w:hint="default"/>
                <w:sz w:val="21"/>
                <w:szCs w:val="21"/>
              </w:rPr>
              <w:t> </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98"/>
              <w:jc w:val="left"/>
              <w:rPr>
                <w:rFonts w:ascii="宋体" w:hAnsi="宋体" w:cs="宋体" w:eastAsia="宋体" w:hint="default"/>
                <w:sz w:val="21"/>
                <w:szCs w:val="21"/>
              </w:rPr>
            </w:pPr>
            <w:r>
              <w:rPr>
                <w:rFonts w:ascii="宋体" w:hAnsi="宋体" w:cs="宋体" w:eastAsia="宋体" w:hint="default"/>
                <w:spacing w:val="-2"/>
                <w:sz w:val="21"/>
                <w:szCs w:val="21"/>
              </w:rPr>
              <w:t>按实际缴纳的增值税及消费税</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计缴</w:t>
            </w:r>
            <w:r>
              <w:rPr>
                <w:rFonts w:ascii="宋体" w:hAnsi="宋体" w:cs="宋体" w:eastAsia="宋体" w:hint="default"/>
                <w:sz w:val="21"/>
                <w:szCs w:val="21"/>
              </w:rPr>
              <w:t> </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0" w:right="0"/>
              <w:jc w:val="left"/>
              <w:rPr>
                <w:rFonts w:ascii="宋体" w:hAnsi="宋体" w:cs="宋体" w:eastAsia="宋体" w:hint="default"/>
                <w:sz w:val="21"/>
                <w:szCs w:val="21"/>
              </w:rPr>
            </w:pPr>
            <w:r>
              <w:rPr>
                <w:rFonts w:ascii="宋体"/>
                <w:sz w:val="21"/>
              </w:rPr>
              <w:t>7% </w:t>
            </w:r>
          </w:p>
        </w:tc>
      </w:tr>
      <w:tr>
        <w:trPr>
          <w:trHeight w:val="324" w:hRule="exact"/>
        </w:trPr>
        <w:tc>
          <w:tcPr>
            <w:tcW w:w="278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企业所得税</w:t>
            </w:r>
            <w:r>
              <w:rPr>
                <w:rFonts w:ascii="宋体" w:hAnsi="宋体" w:cs="宋体" w:eastAsia="宋体" w:hint="default"/>
                <w:sz w:val="21"/>
                <w:szCs w:val="21"/>
              </w:rPr>
              <w:t> </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按应纳税所得额计缴</w:t>
            </w:r>
            <w:r>
              <w:rPr>
                <w:rFonts w:ascii="宋体" w:hAnsi="宋体" w:cs="宋体" w:eastAsia="宋体" w:hint="default"/>
                <w:sz w:val="21"/>
                <w:szCs w:val="21"/>
              </w:rPr>
              <w:t> </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0" w:right="0"/>
              <w:jc w:val="left"/>
              <w:rPr>
                <w:rFonts w:ascii="宋体" w:hAnsi="宋体" w:cs="宋体" w:eastAsia="宋体" w:hint="default"/>
                <w:sz w:val="21"/>
                <w:szCs w:val="21"/>
              </w:rPr>
            </w:pPr>
            <w:r>
              <w:rPr>
                <w:rFonts w:ascii="宋体" w:hAnsi="宋体" w:cs="宋体" w:eastAsia="宋体" w:hint="default"/>
                <w:sz w:val="21"/>
                <w:szCs w:val="21"/>
              </w:rPr>
              <w:t>12.50%</w:t>
            </w:r>
            <w:r>
              <w:rPr>
                <w:rFonts w:ascii="宋体" w:hAnsi="宋体" w:cs="宋体" w:eastAsia="宋体" w:hint="default"/>
                <w:sz w:val="21"/>
                <w:szCs w:val="21"/>
              </w:rPr>
              <w:t>、</w:t>
            </w:r>
            <w:r>
              <w:rPr>
                <w:rFonts w:ascii="宋体" w:hAnsi="宋体" w:cs="宋体" w:eastAsia="宋体" w:hint="default"/>
                <w:sz w:val="21"/>
                <w:szCs w:val="21"/>
              </w:rPr>
              <w:t>15%</w:t>
            </w:r>
            <w:r>
              <w:rPr>
                <w:rFonts w:ascii="宋体" w:hAnsi="宋体" w:cs="宋体" w:eastAsia="宋体" w:hint="default"/>
                <w:sz w:val="21"/>
                <w:szCs w:val="21"/>
              </w:rPr>
              <w:t>、</w:t>
            </w:r>
            <w:r>
              <w:rPr>
                <w:rFonts w:ascii="宋体" w:hAnsi="宋体" w:cs="宋体" w:eastAsia="宋体" w:hint="default"/>
                <w:sz w:val="21"/>
                <w:szCs w:val="21"/>
              </w:rPr>
              <w:t>25% </w:t>
            </w:r>
          </w:p>
        </w:tc>
      </w:tr>
    </w:tbl>
    <w:p>
      <w:pPr>
        <w:pStyle w:val="Heading2"/>
        <w:spacing w:line="274" w:lineRule="exact"/>
        <w:ind w:left="216" w:right="0"/>
        <w:jc w:val="left"/>
        <w:rPr>
          <w:rFonts w:ascii="宋体" w:hAnsi="宋体" w:cs="宋体" w:eastAsia="宋体" w:hint="default"/>
        </w:rPr>
      </w:pPr>
      <w:r>
        <w:rPr>
          <w:rFonts w:ascii="宋体"/>
        </w:rPr>
        <w:t> </w:t>
      </w:r>
    </w:p>
    <w:p>
      <w:pPr>
        <w:pStyle w:val="BodyText"/>
        <w:spacing w:line="240" w:lineRule="auto" w:before="25"/>
        <w:ind w:left="216" w:right="0"/>
        <w:jc w:val="left"/>
        <w:rPr>
          <w:rFonts w:ascii="宋体" w:hAnsi="宋体" w:cs="宋体" w:eastAsia="宋体" w:hint="default"/>
        </w:rPr>
      </w:pPr>
      <w:r>
        <w:rPr/>
        <w:t>存在不同企业所得税税率纳税主体的，披露情况说明</w:t>
      </w:r>
      <w:r>
        <w:rPr>
          <w:rFonts w:ascii="宋体" w:hAnsi="宋体" w:cs="宋体" w:eastAsia="宋体" w:hint="default"/>
        </w:rPr>
        <w:t> </w:t>
      </w:r>
    </w:p>
    <w:p>
      <w:pPr>
        <w:pStyle w:val="BodyText"/>
        <w:spacing w:line="240" w:lineRule="auto" w:before="37"/>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11"/>
        <w:rPr>
          <w:rFonts w:ascii="宋体" w:hAnsi="宋体" w:cs="宋体" w:eastAsia="宋体" w:hint="default"/>
          <w:sz w:val="3"/>
          <w:szCs w:val="3"/>
        </w:rPr>
      </w:pPr>
    </w:p>
    <w:tbl>
      <w:tblPr>
        <w:tblW w:w="0" w:type="auto"/>
        <w:jc w:val="left"/>
        <w:tblInd w:w="103" w:type="dxa"/>
        <w:tblLayout w:type="fixed"/>
        <w:tblCellMar>
          <w:top w:w="0" w:type="dxa"/>
          <w:left w:w="0" w:type="dxa"/>
          <w:bottom w:w="0" w:type="dxa"/>
          <w:right w:w="0" w:type="dxa"/>
        </w:tblCellMar>
        <w:tblLook w:val="01E0"/>
      </w:tblPr>
      <w:tblGrid>
        <w:gridCol w:w="4604"/>
        <w:gridCol w:w="4446"/>
      </w:tblGrid>
      <w:tr>
        <w:trPr>
          <w:trHeight w:val="324" w:hRule="exact"/>
        </w:trPr>
        <w:tc>
          <w:tcPr>
            <w:tcW w:w="4604" w:type="dxa"/>
            <w:tcBorders>
              <w:top w:val="single" w:sz="4" w:space="0" w:color="000000"/>
              <w:left w:val="single" w:sz="4" w:space="0" w:color="000000"/>
              <w:bottom w:val="single" w:sz="6" w:space="0" w:color="000000"/>
              <w:right w:val="single" w:sz="6" w:space="0" w:color="000000"/>
            </w:tcBorders>
          </w:tcPr>
          <w:p>
            <w:pPr>
              <w:pStyle w:val="TableParagraph"/>
              <w:spacing w:line="262" w:lineRule="exact"/>
              <w:ind w:left="106" w:right="0"/>
              <w:jc w:val="center"/>
              <w:rPr>
                <w:rFonts w:ascii="宋体" w:hAnsi="宋体" w:cs="宋体" w:eastAsia="宋体" w:hint="default"/>
                <w:sz w:val="21"/>
                <w:szCs w:val="21"/>
              </w:rPr>
            </w:pPr>
            <w:r>
              <w:rPr>
                <w:rFonts w:ascii="宋体" w:hAnsi="宋体" w:cs="宋体" w:eastAsia="宋体" w:hint="default"/>
                <w:sz w:val="21"/>
                <w:szCs w:val="21"/>
              </w:rPr>
              <w:t>纳税主体名称</w:t>
            </w:r>
            <w:r>
              <w:rPr>
                <w:rFonts w:ascii="宋体" w:hAnsi="宋体" w:cs="宋体" w:eastAsia="宋体" w:hint="default"/>
                <w:sz w:val="21"/>
                <w:szCs w:val="21"/>
              </w:rPr>
              <w:t> </w:t>
            </w:r>
          </w:p>
        </w:tc>
        <w:tc>
          <w:tcPr>
            <w:tcW w:w="4446" w:type="dxa"/>
            <w:tcBorders>
              <w:top w:val="single" w:sz="4" w:space="0" w:color="000000"/>
              <w:left w:val="single" w:sz="6" w:space="0" w:color="000000"/>
              <w:bottom w:val="single" w:sz="6" w:space="0" w:color="000000"/>
              <w:right w:val="single" w:sz="4" w:space="0" w:color="000000"/>
            </w:tcBorders>
          </w:tcPr>
          <w:p>
            <w:pPr>
              <w:pStyle w:val="TableParagraph"/>
              <w:spacing w:line="262" w:lineRule="exact"/>
              <w:ind w:left="1425" w:right="0"/>
              <w:jc w:val="left"/>
              <w:rPr>
                <w:rFonts w:ascii="宋体" w:hAnsi="宋体" w:cs="宋体" w:eastAsia="宋体" w:hint="default"/>
                <w:sz w:val="21"/>
                <w:szCs w:val="21"/>
              </w:rPr>
            </w:pPr>
            <w:r>
              <w:rPr>
                <w:rFonts w:ascii="宋体" w:hAnsi="宋体" w:cs="宋体" w:eastAsia="宋体" w:hint="default"/>
                <w:sz w:val="21"/>
                <w:szCs w:val="21"/>
              </w:rPr>
              <w:t>所得税税率（</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r>
      <w:tr>
        <w:trPr>
          <w:trHeight w:val="326"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江苏林洋能源股份有限公司</w:t>
            </w:r>
            <w:r>
              <w:rPr>
                <w:rFonts w:ascii="宋体" w:hAnsi="宋体" w:cs="宋体" w:eastAsia="宋体" w:hint="default"/>
                <w:sz w:val="21"/>
                <w:szCs w:val="21"/>
              </w:rPr>
              <w:t> </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z w:val="21"/>
              </w:rPr>
              <w:t>15 </w:t>
            </w:r>
          </w:p>
        </w:tc>
      </w:tr>
      <w:tr>
        <w:trPr>
          <w:trHeight w:val="326"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安徽永安电子科技有限公司</w:t>
            </w:r>
            <w:r>
              <w:rPr>
                <w:rFonts w:ascii="宋体" w:hAnsi="宋体" w:cs="宋体" w:eastAsia="宋体" w:hint="default"/>
                <w:sz w:val="21"/>
                <w:szCs w:val="21"/>
              </w:rPr>
              <w:t> </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z w:val="21"/>
              </w:rPr>
              <w:t>15 </w:t>
            </w:r>
          </w:p>
        </w:tc>
      </w:tr>
      <w:tr>
        <w:trPr>
          <w:trHeight w:val="329"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南京林洋电力科技有限公司</w:t>
            </w:r>
            <w:r>
              <w:rPr>
                <w:rFonts w:ascii="宋体" w:hAnsi="宋体" w:cs="宋体" w:eastAsia="宋体" w:hint="default"/>
                <w:sz w:val="21"/>
                <w:szCs w:val="21"/>
              </w:rPr>
              <w:t> </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sz w:val="21"/>
              </w:rPr>
              <w:t>15 </w:t>
            </w:r>
          </w:p>
        </w:tc>
      </w:tr>
      <w:tr>
        <w:trPr>
          <w:trHeight w:val="324" w:hRule="exact"/>
        </w:trPr>
        <w:tc>
          <w:tcPr>
            <w:tcW w:w="4604" w:type="dxa"/>
            <w:tcBorders>
              <w:top w:val="single" w:sz="6" w:space="0" w:color="000000"/>
              <w:left w:val="single" w:sz="4" w:space="0" w:color="000000"/>
              <w:bottom w:val="single" w:sz="4" w:space="0" w:color="000000"/>
              <w:right w:val="single" w:sz="6"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江苏林洋微网科技有限公司</w:t>
            </w:r>
            <w:r>
              <w:rPr>
                <w:rFonts w:ascii="宋体" w:hAnsi="宋体" w:cs="宋体" w:eastAsia="宋体" w:hint="default"/>
                <w:sz w:val="21"/>
                <w:szCs w:val="21"/>
              </w:rPr>
              <w:t> </w:t>
            </w:r>
          </w:p>
        </w:tc>
        <w:tc>
          <w:tcPr>
            <w:tcW w:w="4446" w:type="dxa"/>
            <w:tcBorders>
              <w:top w:val="single" w:sz="6" w:space="0" w:color="000000"/>
              <w:left w:val="single" w:sz="6"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z w:val="21"/>
              </w:rPr>
              <w:t>15 </w:t>
            </w:r>
          </w:p>
        </w:tc>
      </w:tr>
    </w:tbl>
    <w:p>
      <w:pPr>
        <w:pStyle w:val="Heading2"/>
        <w:spacing w:line="274" w:lineRule="exact"/>
        <w:ind w:left="216" w:right="0"/>
        <w:jc w:val="left"/>
        <w:rPr>
          <w:rFonts w:ascii="宋体" w:hAnsi="宋体" w:cs="宋体" w:eastAsia="宋体" w:hint="default"/>
        </w:rPr>
      </w:pPr>
      <w:r>
        <w:rPr>
          <w:rFonts w:ascii="宋体"/>
        </w:rPr>
        <w:t> </w:t>
      </w:r>
    </w:p>
    <w:p>
      <w:pPr>
        <w:pStyle w:val="Heading3"/>
        <w:tabs>
          <w:tab w:pos="641" w:val="left" w:leader="none"/>
        </w:tabs>
        <w:spacing w:line="240" w:lineRule="auto" w:before="85"/>
        <w:ind w:left="216" w:right="0"/>
        <w:jc w:val="left"/>
        <w:rPr>
          <w:b w:val="0"/>
          <w:bCs w:val="0"/>
        </w:rPr>
      </w:pPr>
      <w:r>
        <w:rPr>
          <w:rFonts w:ascii="宋体" w:hAnsi="宋体" w:cs="宋体" w:eastAsia="宋体" w:hint="default"/>
          <w:w w:val="95"/>
        </w:rPr>
        <w:t>2.</w:t>
        <w:tab/>
      </w:r>
      <w:r>
        <w:rPr/>
        <w:t>税收优惠</w:t>
      </w:r>
      <w:r>
        <w:rPr>
          <w:b w:val="0"/>
          <w:bCs w:val="0"/>
        </w:rPr>
      </w:r>
    </w:p>
    <w:p>
      <w:pPr>
        <w:pStyle w:val="BodyText"/>
        <w:spacing w:line="240" w:lineRule="auto" w:before="97"/>
        <w:ind w:left="216"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after="0" w:line="240" w:lineRule="auto"/>
        <w:jc w:val="left"/>
        <w:rPr>
          <w:rFonts w:ascii="宋体" w:hAnsi="宋体" w:cs="宋体" w:eastAsia="宋体" w:hint="default"/>
        </w:rPr>
        <w:sectPr>
          <w:pgSz w:w="11910" w:h="16840"/>
          <w:pgMar w:header="748" w:footer="974" w:top="1140" w:bottom="1160" w:left="1060" w:right="1560"/>
        </w:sectPr>
      </w:pPr>
    </w:p>
    <w:p>
      <w:pPr>
        <w:spacing w:line="240" w:lineRule="auto" w:before="10"/>
        <w:rPr>
          <w:rFonts w:ascii="宋体" w:hAnsi="宋体" w:cs="宋体" w:eastAsia="宋体" w:hint="default"/>
          <w:sz w:val="25"/>
          <w:szCs w:val="25"/>
        </w:rPr>
      </w:pPr>
    </w:p>
    <w:p>
      <w:pPr>
        <w:pStyle w:val="BodyText"/>
        <w:spacing w:line="319" w:lineRule="auto" w:before="36"/>
        <w:ind w:left="868" w:right="228" w:hanging="420"/>
        <w:jc w:val="both"/>
      </w:pPr>
      <w:r>
        <w:rPr>
          <w:rFonts w:ascii="Times New Roman" w:hAnsi="Times New Roman" w:cs="Times New Roman" w:eastAsia="Times New Roman" w:hint="default"/>
        </w:rPr>
        <w:t>1.</w:t>
      </w:r>
      <w:r>
        <w:rPr>
          <w:rFonts w:ascii="Times New Roman" w:hAnsi="Times New Roman" w:cs="Times New Roman" w:eastAsia="Times New Roman" w:hint="default"/>
          <w:spacing w:val="27"/>
        </w:rPr>
        <w:t> </w:t>
      </w:r>
      <w:r>
        <w:rPr>
          <w:rFonts w:ascii="Times New Roman" w:hAnsi="Times New Roman" w:cs="Times New Roman" w:eastAsia="Times New Roman" w:hint="default"/>
        </w:rPr>
        <w:t>2017</w:t>
      </w:r>
      <w:r>
        <w:rPr>
          <w:rFonts w:ascii="Times New Roman" w:hAnsi="Times New Roman" w:cs="Times New Roman" w:eastAsia="Times New Roman" w:hint="default"/>
          <w:spacing w:val="2"/>
        </w:rPr>
        <w:t> </w:t>
      </w:r>
      <w:r>
        <w:rPr/>
        <w:t>年</w:t>
      </w:r>
      <w:r>
        <w:rPr>
          <w:spacing w:val="-48"/>
        </w:rPr>
        <w:t> </w:t>
      </w:r>
      <w:r>
        <w:rPr>
          <w:rFonts w:ascii="Times New Roman" w:hAnsi="Times New Roman" w:cs="Times New Roman" w:eastAsia="Times New Roman" w:hint="default"/>
          <w:spacing w:val="-5"/>
        </w:rPr>
        <w:t>11</w:t>
      </w:r>
      <w:r>
        <w:rPr>
          <w:rFonts w:ascii="Times New Roman" w:hAnsi="Times New Roman" w:cs="Times New Roman" w:eastAsia="Times New Roman" w:hint="default"/>
          <w:spacing w:val="5"/>
        </w:rPr>
        <w:t> </w:t>
      </w:r>
      <w:r>
        <w:rPr/>
        <w:t>月</w:t>
      </w:r>
      <w:r>
        <w:rPr>
          <w:spacing w:val="-48"/>
        </w:rPr>
        <w:t> </w:t>
      </w:r>
      <w:r>
        <w:rPr>
          <w:rFonts w:ascii="Times New Roman" w:hAnsi="Times New Roman" w:cs="Times New Roman" w:eastAsia="Times New Roman" w:hint="default"/>
        </w:rPr>
        <w:t>17</w:t>
      </w:r>
      <w:r>
        <w:rPr>
          <w:rFonts w:ascii="Times New Roman" w:hAnsi="Times New Roman" w:cs="Times New Roman" w:eastAsia="Times New Roman" w:hint="default"/>
          <w:spacing w:val="5"/>
        </w:rPr>
        <w:t> </w:t>
      </w:r>
      <w:r>
        <w:rPr>
          <w:spacing w:val="-3"/>
        </w:rPr>
        <w:t>日，公司获得江苏省科学技术厅、江苏省财政厅、江苏省国家税务局及江</w:t>
      </w:r>
      <w:r>
        <w:rPr>
          <w:spacing w:val="-103"/>
        </w:rPr>
        <w:t> </w:t>
      </w:r>
      <w:r>
        <w:rPr>
          <w:spacing w:val="-103"/>
        </w:rPr>
      </w:r>
      <w:r>
        <w:rPr>
          <w:spacing w:val="-2"/>
          <w:w w:val="100"/>
        </w:rPr>
        <w:t>苏省地方税务局共同颁发的编号为</w:t>
      </w:r>
      <w:r>
        <w:rPr>
          <w:spacing w:val="-48"/>
          <w:w w:val="100"/>
        </w:rPr>
        <w:t> </w:t>
      </w:r>
      <w:r>
        <w:rPr>
          <w:rFonts w:ascii="Times New Roman" w:hAnsi="Times New Roman" w:cs="Times New Roman" w:eastAsia="Times New Roman" w:hint="default"/>
          <w:spacing w:val="-1"/>
          <w:w w:val="100"/>
        </w:rPr>
        <w:t>GR201732001355</w:t>
      </w:r>
      <w:r>
        <w:rPr>
          <w:rFonts w:ascii="Times New Roman" w:hAnsi="Times New Roman" w:cs="Times New Roman" w:eastAsia="Times New Roman" w:hint="default"/>
          <w:spacing w:val="8"/>
          <w:w w:val="100"/>
        </w:rPr>
        <w:t> </w:t>
      </w:r>
      <w:r>
        <w:rPr>
          <w:spacing w:val="-12"/>
          <w:w w:val="100"/>
        </w:rPr>
        <w:t>的《高新技术企业证书》，公司被认定</w:t>
      </w:r>
      <w:r>
        <w:rPr>
          <w:w w:val="100"/>
        </w:rPr>
        <w:t> </w:t>
      </w:r>
      <w:r>
        <w:rPr>
          <w:spacing w:val="-1"/>
        </w:rPr>
        <w:t>为江苏省高新技术企业，有效期为三年。根据企业所得税法的相关规定，公司作为高新技</w:t>
      </w:r>
      <w:r>
        <w:rPr>
          <w:w w:val="100"/>
        </w:rPr>
        <w:t> </w:t>
      </w:r>
      <w:r>
        <w:rPr/>
        <w:t>术企业</w:t>
      </w:r>
      <w:r>
        <w:rPr>
          <w:spacing w:val="-54"/>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年至</w:t>
      </w:r>
      <w:r>
        <w:rPr>
          <w:spacing w:val="-54"/>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年企业所得税减按</w:t>
      </w:r>
      <w:r>
        <w:rPr>
          <w:spacing w:val="-54"/>
        </w:rPr>
        <w:t> </w:t>
      </w:r>
      <w:r>
        <w:rPr>
          <w:rFonts w:ascii="Times New Roman" w:hAnsi="Times New Roman" w:cs="Times New Roman" w:eastAsia="Times New Roman" w:hint="default"/>
        </w:rPr>
        <w:t>15%</w:t>
      </w:r>
      <w:r>
        <w:rPr/>
        <w:t>的税率征收。</w:t>
      </w:r>
    </w:p>
    <w:p>
      <w:pPr>
        <w:pStyle w:val="BodyText"/>
        <w:spacing w:line="319" w:lineRule="auto" w:before="11"/>
        <w:ind w:left="868" w:right="229" w:hanging="420"/>
        <w:jc w:val="both"/>
      </w:pPr>
      <w:r>
        <w:rPr>
          <w:rFonts w:ascii="Times New Roman" w:hAnsi="Times New Roman" w:cs="Times New Roman" w:eastAsia="Times New Roman" w:hint="default"/>
        </w:rPr>
        <w:t>2.</w:t>
      </w:r>
      <w:r>
        <w:rPr>
          <w:rFonts w:ascii="Times New Roman" w:hAnsi="Times New Roman" w:cs="Times New Roman" w:eastAsia="Times New Roman" w:hint="default"/>
          <w:spacing w:val="24"/>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8"/>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月</w:t>
      </w:r>
      <w:r>
        <w:rPr>
          <w:spacing w:val="-48"/>
        </w:rPr>
        <w:t> </w:t>
      </w:r>
      <w:r>
        <w:rPr>
          <w:rFonts w:ascii="Times New Roman" w:hAnsi="Times New Roman" w:cs="Times New Roman" w:eastAsia="Times New Roman" w:hint="default"/>
        </w:rPr>
        <w:t>26</w:t>
      </w:r>
      <w:r>
        <w:rPr>
          <w:rFonts w:ascii="Times New Roman" w:hAnsi="Times New Roman" w:cs="Times New Roman" w:eastAsia="Times New Roman" w:hint="default"/>
          <w:spacing w:val="5"/>
        </w:rPr>
        <w:t> </w:t>
      </w:r>
      <w:r>
        <w:rPr>
          <w:spacing w:val="-3"/>
        </w:rPr>
        <w:t>日，安徽永安电子有限公司获得安徽省科学技术厅、安徽省财政厅、安徽</w:t>
      </w:r>
      <w:r>
        <w:rPr>
          <w:spacing w:val="-103"/>
        </w:rPr>
        <w:t> </w:t>
      </w:r>
      <w:r>
        <w:rPr>
          <w:spacing w:val="-103"/>
        </w:rPr>
      </w:r>
      <w:r>
        <w:rPr/>
        <w:t>省国家税务局及安徽省地方税务局共同颁发的编号为 </w:t>
      </w:r>
      <w:r>
        <w:rPr>
          <w:rFonts w:ascii="Times New Roman" w:hAnsi="Times New Roman" w:cs="Times New Roman" w:eastAsia="Times New Roman" w:hint="default"/>
        </w:rPr>
        <w:t>GR201834001973</w:t>
      </w:r>
      <w:r>
        <w:rPr>
          <w:rFonts w:ascii="Times New Roman" w:hAnsi="Times New Roman" w:cs="Times New Roman" w:eastAsia="Times New Roman" w:hint="default"/>
          <w:spacing w:val="-25"/>
        </w:rPr>
        <w:t> </w:t>
      </w:r>
      <w:r>
        <w:rPr/>
        <w:t>的《高新技术企业</w:t>
      </w:r>
      <w:r>
        <w:rPr>
          <w:w w:val="100"/>
        </w:rPr>
        <w:t> </w:t>
      </w:r>
      <w:r>
        <w:rPr>
          <w:spacing w:val="-7"/>
          <w:w w:val="100"/>
        </w:rPr>
        <w:t>证书》，该公司被认定为安徽省高新技术企业，有效期为三年。根据企业所得税法的相关规</w:t>
      </w:r>
      <w:r>
        <w:rPr>
          <w:w w:val="100"/>
        </w:rPr>
        <w:t> </w:t>
      </w:r>
      <w:r>
        <w:rPr/>
        <w:t>定，该公司作为高新技术企业</w:t>
      </w:r>
      <w:r>
        <w:rPr>
          <w:spacing w:val="-52"/>
        </w:rPr>
        <w:t> </w:t>
      </w:r>
      <w:r>
        <w:rPr>
          <w:rFonts w:ascii="Times New Roman" w:hAnsi="Times New Roman" w:cs="Times New Roman" w:eastAsia="Times New Roman" w:hint="default"/>
        </w:rPr>
        <w:t>2018</w:t>
      </w:r>
      <w:r>
        <w:rPr>
          <w:rFonts w:ascii="Times New Roman" w:hAnsi="Times New Roman" w:cs="Times New Roman" w:eastAsia="Times New Roman" w:hint="default"/>
          <w:spacing w:val="-3"/>
        </w:rPr>
        <w:t> </w:t>
      </w:r>
      <w:r>
        <w:rPr/>
        <w:t>年至</w:t>
      </w:r>
      <w:r>
        <w:rPr>
          <w:spacing w:val="-55"/>
        </w:rPr>
        <w:t> </w:t>
      </w:r>
      <w:r>
        <w:rPr>
          <w:rFonts w:ascii="Times New Roman" w:hAnsi="Times New Roman" w:cs="Times New Roman" w:eastAsia="Times New Roman" w:hint="default"/>
        </w:rPr>
        <w:t>2020</w:t>
      </w:r>
      <w:r>
        <w:rPr>
          <w:rFonts w:ascii="Times New Roman" w:hAnsi="Times New Roman" w:cs="Times New Roman" w:eastAsia="Times New Roman" w:hint="default"/>
          <w:spacing w:val="-3"/>
        </w:rPr>
        <w:t> </w:t>
      </w:r>
      <w:r>
        <w:rPr/>
        <w:t>年企业所得税减按</w:t>
      </w:r>
      <w:r>
        <w:rPr>
          <w:spacing w:val="-52"/>
        </w:rPr>
        <w:t> </w:t>
      </w:r>
      <w:r>
        <w:rPr>
          <w:rFonts w:ascii="Times New Roman" w:hAnsi="Times New Roman" w:cs="Times New Roman" w:eastAsia="Times New Roman" w:hint="default"/>
        </w:rPr>
        <w:t>15%</w:t>
      </w:r>
      <w:r>
        <w:rPr/>
        <w:t>的税率征收。</w:t>
      </w:r>
    </w:p>
    <w:p>
      <w:pPr>
        <w:pStyle w:val="BodyText"/>
        <w:spacing w:line="319" w:lineRule="auto" w:before="14"/>
        <w:ind w:left="868" w:right="229" w:hanging="420"/>
        <w:jc w:val="both"/>
      </w:pPr>
      <w:r>
        <w:rPr>
          <w:rFonts w:ascii="Times New Roman" w:hAnsi="Times New Roman" w:cs="Times New Roman" w:eastAsia="Times New Roman" w:hint="default"/>
        </w:rPr>
        <w:t>3. 2017 </w:t>
      </w:r>
      <w:r>
        <w:rPr/>
        <w:t>年 </w:t>
      </w:r>
      <w:r>
        <w:rPr>
          <w:rFonts w:ascii="Times New Roman" w:hAnsi="Times New Roman" w:cs="Times New Roman" w:eastAsia="Times New Roman" w:hint="default"/>
        </w:rPr>
        <w:t>12 </w:t>
      </w:r>
      <w:r>
        <w:rPr/>
        <w:t>月 </w:t>
      </w:r>
      <w:r>
        <w:rPr>
          <w:rFonts w:ascii="Times New Roman" w:hAnsi="Times New Roman" w:cs="Times New Roman" w:eastAsia="Times New Roman" w:hint="default"/>
        </w:rPr>
        <w:t>7</w:t>
      </w:r>
      <w:r>
        <w:rPr>
          <w:rFonts w:ascii="Times New Roman" w:hAnsi="Times New Roman" w:cs="Times New Roman" w:eastAsia="Times New Roman" w:hint="default"/>
          <w:spacing w:val="3"/>
        </w:rPr>
        <w:t> </w:t>
      </w:r>
      <w:r>
        <w:rPr/>
        <w:t>日，南京林洋电力科技有限公司获得江苏省科学技术厅、江苏省财政厅、</w:t>
      </w:r>
      <w:r>
        <w:rPr>
          <w:w w:val="100"/>
        </w:rPr>
        <w:t> </w:t>
      </w:r>
      <w:r>
        <w:rPr/>
        <w:t>江苏省国家税务局及江苏省地方税务局共同颁发的编号为 </w:t>
      </w:r>
      <w:r>
        <w:rPr>
          <w:rFonts w:ascii="Times New Roman" w:hAnsi="Times New Roman" w:cs="Times New Roman" w:eastAsia="Times New Roman" w:hint="default"/>
        </w:rPr>
        <w:t>GR201732002200</w:t>
      </w:r>
      <w:r>
        <w:rPr>
          <w:rFonts w:ascii="Times New Roman" w:hAnsi="Times New Roman" w:cs="Times New Roman" w:eastAsia="Times New Roman" w:hint="default"/>
          <w:spacing w:val="-25"/>
        </w:rPr>
        <w:t> </w:t>
      </w:r>
      <w:r>
        <w:rPr/>
        <w:t>的《高新技术</w:t>
      </w:r>
      <w:r>
        <w:rPr>
          <w:w w:val="100"/>
        </w:rPr>
        <w:t> </w:t>
      </w:r>
      <w:r>
        <w:rPr>
          <w:spacing w:val="-7"/>
          <w:w w:val="100"/>
        </w:rPr>
        <w:t>企业证书》，该公司被认定为江苏省高新技术企业，有效期为三年。根据企业所得税法的相</w:t>
      </w:r>
      <w:r>
        <w:rPr>
          <w:w w:val="100"/>
        </w:rPr>
        <w:t> </w:t>
      </w:r>
      <w:r>
        <w:rPr/>
        <w:t>关规定，该公司作为高新技术企业</w:t>
      </w:r>
      <w:r>
        <w:rPr>
          <w:spacing w:val="-53"/>
        </w:rPr>
        <w:t> </w:t>
      </w:r>
      <w:r>
        <w:rPr>
          <w:rFonts w:ascii="Times New Roman" w:hAnsi="Times New Roman" w:cs="Times New Roman" w:eastAsia="Times New Roman" w:hint="default"/>
        </w:rPr>
        <w:t>2017</w:t>
      </w:r>
      <w:r>
        <w:rPr>
          <w:rFonts w:ascii="Times New Roman" w:hAnsi="Times New Roman" w:cs="Times New Roman" w:eastAsia="Times New Roman" w:hint="default"/>
          <w:spacing w:val="-3"/>
        </w:rPr>
        <w:t> </w:t>
      </w:r>
      <w:r>
        <w:rPr/>
        <w:t>年至</w:t>
      </w:r>
      <w:r>
        <w:rPr>
          <w:spacing w:val="-55"/>
        </w:rPr>
        <w:t> </w:t>
      </w:r>
      <w:r>
        <w:rPr>
          <w:rFonts w:ascii="Times New Roman" w:hAnsi="Times New Roman" w:cs="Times New Roman" w:eastAsia="Times New Roman" w:hint="default"/>
        </w:rPr>
        <w:t>2019</w:t>
      </w:r>
      <w:r>
        <w:rPr>
          <w:rFonts w:ascii="Times New Roman" w:hAnsi="Times New Roman" w:cs="Times New Roman" w:eastAsia="Times New Roman" w:hint="default"/>
          <w:spacing w:val="-2"/>
        </w:rPr>
        <w:t> </w:t>
      </w:r>
      <w:r>
        <w:rPr/>
        <w:t>年企业所得税减按</w:t>
      </w:r>
      <w:r>
        <w:rPr>
          <w:spacing w:val="-53"/>
        </w:rPr>
        <w:t> </w:t>
      </w:r>
      <w:r>
        <w:rPr>
          <w:rFonts w:ascii="Times New Roman" w:hAnsi="Times New Roman" w:cs="Times New Roman" w:eastAsia="Times New Roman" w:hint="default"/>
        </w:rPr>
        <w:t>15%</w:t>
      </w:r>
      <w:r>
        <w:rPr/>
        <w:t>的税率征收。</w:t>
      </w:r>
    </w:p>
    <w:p>
      <w:pPr>
        <w:pStyle w:val="BodyText"/>
        <w:tabs>
          <w:tab w:pos="868" w:val="left" w:leader="none"/>
        </w:tabs>
        <w:spacing w:line="336" w:lineRule="auto" w:before="11"/>
        <w:ind w:left="868" w:right="123" w:hanging="420"/>
        <w:jc w:val="left"/>
      </w:pPr>
      <w:r>
        <w:rPr>
          <w:rFonts w:ascii="Times New Roman" w:hAnsi="Times New Roman" w:cs="Times New Roman" w:eastAsia="Times New Roman" w:hint="default"/>
        </w:rPr>
        <w:t>4.</w:t>
        <w:tab/>
        <w:t>2018</w:t>
      </w:r>
      <w:r>
        <w:rPr>
          <w:rFonts w:ascii="Times New Roman" w:hAnsi="Times New Roman" w:cs="Times New Roman" w:eastAsia="Times New Roman" w:hint="default"/>
          <w:spacing w:val="12"/>
        </w:rPr>
        <w:t> </w:t>
      </w:r>
      <w:r>
        <w:rPr/>
        <w:t>年</w:t>
      </w:r>
      <w:r>
        <w:rPr>
          <w:spacing w:val="-38"/>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12"/>
        </w:rPr>
        <w:t> </w:t>
      </w:r>
      <w:r>
        <w:rPr/>
        <w:t>月</w:t>
      </w:r>
      <w:r>
        <w:rPr>
          <w:spacing w:val="-38"/>
        </w:rPr>
        <w:t> </w:t>
      </w:r>
      <w:r>
        <w:rPr>
          <w:rFonts w:ascii="Times New Roman" w:hAnsi="Times New Roman" w:cs="Times New Roman" w:eastAsia="Times New Roman" w:hint="default"/>
        </w:rPr>
        <w:t>30</w:t>
      </w:r>
      <w:r>
        <w:rPr>
          <w:rFonts w:ascii="Times New Roman" w:hAnsi="Times New Roman" w:cs="Times New Roman" w:eastAsia="Times New Roman" w:hint="default"/>
          <w:spacing w:val="12"/>
        </w:rPr>
        <w:t> </w:t>
      </w:r>
      <w:r>
        <w:rPr/>
        <w:t>日，江苏林洋微网科技有限公司获得江苏省科学技术厅、江苏省财政厅、</w:t>
      </w:r>
      <w:r>
        <w:rPr>
          <w:w w:val="100"/>
        </w:rPr>
        <w:t> </w:t>
      </w:r>
      <w:r>
        <w:rPr/>
        <w:t>江苏省国家税务局及江苏省地方税务局共同颁发的编号为 </w:t>
      </w:r>
      <w:r>
        <w:rPr>
          <w:rFonts w:ascii="Times New Roman" w:hAnsi="Times New Roman" w:cs="Times New Roman" w:eastAsia="Times New Roman" w:hint="default"/>
        </w:rPr>
        <w:t>GR201832004776</w:t>
      </w:r>
      <w:r>
        <w:rPr>
          <w:rFonts w:ascii="Times New Roman" w:hAnsi="Times New Roman" w:cs="Times New Roman" w:eastAsia="Times New Roman" w:hint="default"/>
          <w:spacing w:val="-25"/>
        </w:rPr>
        <w:t> </w:t>
      </w:r>
      <w:r>
        <w:rPr/>
        <w:t>的《高新技术</w:t>
      </w:r>
      <w:r>
        <w:rPr>
          <w:w w:val="100"/>
        </w:rPr>
        <w:t> </w:t>
      </w:r>
      <w:r>
        <w:rPr>
          <w:spacing w:val="-7"/>
          <w:w w:val="100"/>
        </w:rPr>
        <w:t>企业证书》，该公司被认定为江苏省高新技术企业，有效期为三年。根据企业所得税法的相</w:t>
      </w:r>
      <w:r>
        <w:rPr>
          <w:w w:val="100"/>
        </w:rPr>
        <w:t> </w:t>
      </w:r>
      <w:r>
        <w:rPr/>
        <w:t>关规定，该公司作为高新技术企业</w:t>
      </w:r>
      <w:r>
        <w:rPr>
          <w:spacing w:val="-52"/>
        </w:rPr>
        <w:t> </w:t>
      </w:r>
      <w:r>
        <w:rPr>
          <w:rFonts w:ascii="Times New Roman" w:hAnsi="Times New Roman" w:cs="Times New Roman" w:eastAsia="Times New Roman" w:hint="default"/>
        </w:rPr>
        <w:t>2018</w:t>
      </w:r>
      <w:r>
        <w:rPr>
          <w:rFonts w:ascii="Times New Roman" w:hAnsi="Times New Roman" w:cs="Times New Roman" w:eastAsia="Times New Roman" w:hint="default"/>
          <w:spacing w:val="-2"/>
        </w:rPr>
        <w:t> </w:t>
      </w:r>
      <w:r>
        <w:rPr/>
        <w:t>年至</w:t>
      </w:r>
      <w:r>
        <w:rPr>
          <w:spacing w:val="-54"/>
        </w:rPr>
        <w:t> </w:t>
      </w:r>
      <w:r>
        <w:rPr>
          <w:rFonts w:ascii="Times New Roman" w:hAnsi="Times New Roman" w:cs="Times New Roman" w:eastAsia="Times New Roman" w:hint="default"/>
        </w:rPr>
        <w:t>2020</w:t>
      </w:r>
      <w:r>
        <w:rPr>
          <w:rFonts w:ascii="Times New Roman" w:hAnsi="Times New Roman" w:cs="Times New Roman" w:eastAsia="Times New Roman" w:hint="default"/>
          <w:spacing w:val="-1"/>
        </w:rPr>
        <w:t> </w:t>
      </w:r>
      <w:r>
        <w:rPr/>
        <w:t>年企业所得税减按</w:t>
      </w:r>
      <w:r>
        <w:rPr>
          <w:spacing w:val="-52"/>
        </w:rPr>
        <w:t> </w:t>
      </w:r>
      <w:r>
        <w:rPr>
          <w:rFonts w:ascii="Times New Roman" w:hAnsi="Times New Roman" w:cs="Times New Roman" w:eastAsia="Times New Roman" w:hint="default"/>
        </w:rPr>
        <w:t>15%</w:t>
      </w:r>
      <w:r>
        <w:rPr/>
        <w:t>的税率征收。</w:t>
      </w:r>
    </w:p>
    <w:p>
      <w:pPr>
        <w:pStyle w:val="BodyText"/>
        <w:spacing w:line="336" w:lineRule="auto" w:before="17"/>
        <w:ind w:left="868" w:right="228" w:hanging="420"/>
        <w:jc w:val="both"/>
      </w:pPr>
      <w:r>
        <w:rPr>
          <w:rFonts w:ascii="Times New Roman" w:hAnsi="Times New Roman" w:cs="Times New Roman" w:eastAsia="Times New Roman" w:hint="default"/>
        </w:rPr>
        <w:t>5.</w:t>
      </w:r>
      <w:r>
        <w:rPr>
          <w:rFonts w:ascii="Times New Roman" w:hAnsi="Times New Roman" w:cs="Times New Roman" w:eastAsia="Times New Roman" w:hint="default"/>
          <w:spacing w:val="6"/>
        </w:rPr>
        <w:t> </w:t>
      </w:r>
      <w:r>
        <w:rPr/>
        <w:t>公司下属光伏电站项目公司，根据《财政部国家税务总局国家发展改革委关于公布公共基</w:t>
      </w:r>
      <w:r>
        <w:rPr>
          <w:w w:val="100"/>
        </w:rPr>
        <w:t> </w:t>
      </w:r>
      <w:r>
        <w:rPr>
          <w:spacing w:val="-2"/>
          <w:w w:val="100"/>
        </w:rPr>
        <w:t>础设施项目企业所得税优惠目录（</w:t>
      </w:r>
      <w:r>
        <w:rPr>
          <w:rFonts w:ascii="Times New Roman" w:hAnsi="Times New Roman" w:cs="Times New Roman" w:eastAsia="Times New Roman" w:hint="default"/>
          <w:spacing w:val="-2"/>
          <w:w w:val="100"/>
        </w:rPr>
        <w:t>2008</w:t>
      </w:r>
      <w:r>
        <w:rPr>
          <w:rFonts w:ascii="Times New Roman" w:hAnsi="Times New Roman" w:cs="Times New Roman" w:eastAsia="Times New Roman" w:hint="default"/>
          <w:w w:val="100"/>
        </w:rPr>
        <w:t> </w:t>
      </w:r>
      <w:r>
        <w:rPr>
          <w:spacing w:val="-7"/>
          <w:w w:val="100"/>
        </w:rPr>
        <w:t>年版）的通知》（财税</w:t>
      </w:r>
      <w:r>
        <w:rPr>
          <w:rFonts w:ascii="Times New Roman" w:hAnsi="Times New Roman" w:cs="Times New Roman" w:eastAsia="Times New Roman" w:hint="default"/>
          <w:spacing w:val="-7"/>
          <w:w w:val="100"/>
        </w:rPr>
        <w:t>[2008]116</w:t>
      </w:r>
      <w:r>
        <w:rPr>
          <w:rFonts w:ascii="Times New Roman" w:hAnsi="Times New Roman" w:cs="Times New Roman" w:eastAsia="Times New Roman" w:hint="default"/>
          <w:spacing w:val="52"/>
          <w:w w:val="100"/>
        </w:rPr>
        <w:t> </w:t>
      </w:r>
      <w:r>
        <w:rPr>
          <w:spacing w:val="-15"/>
          <w:w w:val="100"/>
        </w:rPr>
        <w:t>号），自取得第一</w:t>
      </w:r>
      <w:r>
        <w:rPr>
          <w:w w:val="100"/>
        </w:rPr>
        <w:t> </w:t>
      </w:r>
      <w:r>
        <w:rPr>
          <w:spacing w:val="-1"/>
        </w:rPr>
        <w:t>笔光伏发电收入所属纳税年度起，第一年至第三年免征企业所得税，第四年至第六年减半</w:t>
      </w:r>
      <w:r>
        <w:rPr>
          <w:w w:val="100"/>
        </w:rPr>
        <w:t> </w:t>
      </w:r>
      <w:r>
        <w:rPr/>
        <w:t>征收企业所得税。</w:t>
      </w:r>
    </w:p>
    <w:p>
      <w:pPr>
        <w:spacing w:line="240" w:lineRule="auto" w:before="1"/>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748" w:footer="974" w:top="1140" w:bottom="1160" w:left="1040" w:right="1560"/>
        </w:sectPr>
      </w:pPr>
    </w:p>
    <w:p>
      <w:pPr>
        <w:pStyle w:val="Heading3"/>
        <w:tabs>
          <w:tab w:pos="661" w:val="left" w:leader="none"/>
        </w:tabs>
        <w:spacing w:line="240" w:lineRule="auto" w:before="36"/>
        <w:ind w:left="236" w:right="0"/>
        <w:jc w:val="left"/>
        <w:rPr>
          <w:rFonts w:ascii="宋体" w:hAnsi="宋体" w:cs="宋体" w:eastAsia="宋体" w:hint="default"/>
          <w:b w:val="0"/>
          <w:bCs w:val="0"/>
        </w:rPr>
      </w:pPr>
      <w:r>
        <w:rPr>
          <w:rFonts w:ascii="宋体" w:hAnsi="宋体" w:cs="宋体" w:eastAsia="宋体" w:hint="default"/>
          <w:w w:val="95"/>
        </w:rPr>
        <w:t>3.</w:t>
        <w:tab/>
      </w:r>
      <w:r>
        <w:rPr/>
        <w:t>其他</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7"/>
        <w:ind w:left="236"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2"/>
        <w:spacing w:line="240" w:lineRule="auto" w:before="9"/>
        <w:ind w:left="236" w:right="0"/>
        <w:jc w:val="left"/>
        <w:rPr>
          <w:rFonts w:ascii="宋体" w:hAnsi="宋体" w:cs="宋体" w:eastAsia="宋体" w:hint="default"/>
        </w:rPr>
      </w:pPr>
      <w:r>
        <w:rPr>
          <w:rFonts w:ascii="宋体"/>
        </w:rPr>
        <w:t> </w:t>
      </w:r>
    </w:p>
    <w:p>
      <w:pPr>
        <w:pStyle w:val="Heading3"/>
        <w:spacing w:line="324" w:lineRule="auto" w:before="85"/>
        <w:ind w:left="236" w:right="-16"/>
        <w:jc w:val="left"/>
        <w:rPr>
          <w:b w:val="0"/>
          <w:bCs w:val="0"/>
        </w:rPr>
      </w:pPr>
      <w:r>
        <w:rPr/>
        <w:t>七、</w:t>
      </w:r>
      <w:r>
        <w:rPr>
          <w:spacing w:val="-104"/>
        </w:rPr>
        <w:t> </w:t>
      </w:r>
      <w:r>
        <w:rPr>
          <w:rFonts w:ascii="宋体" w:hAnsi="宋体" w:cs="宋体" w:eastAsia="宋体" w:hint="default"/>
          <w:spacing w:val="-104"/>
        </w:rPr>
      </w:r>
      <w:r>
        <w:rPr/>
        <w:t>合并财务报表项目注释</w:t>
      </w:r>
      <w:r>
        <w:rPr>
          <w:w w:val="100"/>
        </w:rPr>
        <w:t> </w:t>
      </w:r>
      <w:r>
        <w:rPr>
          <w:rFonts w:ascii="宋体" w:hAnsi="宋体" w:cs="宋体" w:eastAsia="宋体" w:hint="default"/>
        </w:rPr>
        <w:t>1</w:t>
      </w:r>
      <w:r>
        <w:rPr/>
        <w:t>、</w:t>
      </w:r>
      <w:r>
        <w:rPr>
          <w:spacing w:val="-2"/>
        </w:rPr>
        <w:t> </w:t>
      </w:r>
      <w:r>
        <w:rPr/>
        <w:t>货币资金</w:t>
      </w:r>
      <w:r>
        <w:rPr>
          <w:b w:val="0"/>
          <w:bCs w:val="0"/>
        </w:rPr>
      </w:r>
    </w:p>
    <w:p>
      <w:pPr>
        <w:pStyle w:val="BodyText"/>
        <w:spacing w:line="240" w:lineRule="auto" w:before="2"/>
        <w:ind w:left="236" w:right="0"/>
        <w:jc w:val="left"/>
        <w:rPr>
          <w:rFonts w:ascii="宋体" w:hAnsi="宋体" w:cs="宋体" w:eastAsia="宋体" w:hint="default"/>
        </w:rPr>
      </w:pPr>
      <w:r>
        <w:rPr/>
        <w:t>√适用  </w:t>
      </w:r>
      <w:r>
        <w:rPr>
          <w:spacing w:val="1"/>
        </w:rPr>
        <w:t> </w:t>
      </w:r>
      <w:r>
        <w:rPr>
          <w:rFonts w:ascii="宋体" w:hAnsi="宋体" w:cs="宋体" w:eastAsia="宋体" w:hint="default"/>
          <w:spacing w:val="1"/>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9"/>
          <w:szCs w:val="19"/>
        </w:rPr>
      </w:pPr>
    </w:p>
    <w:p>
      <w:pPr>
        <w:pStyle w:val="BodyText"/>
        <w:spacing w:line="240" w:lineRule="auto"/>
        <w:ind w:left="23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580" w:bottom="280" w:left="1040" w:right="1560"/>
          <w:cols w:num="2" w:equalWidth="0">
            <w:col w:w="2772" w:space="3750"/>
            <w:col w:w="2788"/>
          </w:cols>
        </w:sectPr>
      </w:pPr>
    </w:p>
    <w:p>
      <w:pPr>
        <w:spacing w:line="240" w:lineRule="auto" w:before="4"/>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2276"/>
        <w:gridCol w:w="3380"/>
        <w:gridCol w:w="3406"/>
      </w:tblGrid>
      <w:tr>
        <w:trPr>
          <w:trHeight w:val="283" w:hRule="exact"/>
        </w:trPr>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33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4" w:hRule="exact"/>
        </w:trPr>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库存现金</w:t>
            </w:r>
            <w:r>
              <w:rPr>
                <w:rFonts w:ascii="宋体" w:hAnsi="宋体" w:cs="宋体" w:eastAsia="宋体" w:hint="default"/>
                <w:sz w:val="21"/>
                <w:szCs w:val="21"/>
              </w:rPr>
              <w:t> </w:t>
            </w:r>
          </w:p>
        </w:tc>
        <w:tc>
          <w:tcPr>
            <w:tcW w:w="33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48,172.77</w:t>
            </w:r>
            <w:r>
              <w:rPr>
                <w:rFonts w:ascii="宋体"/>
                <w:sz w:val="21"/>
              </w:rPr>
              <w:t> </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24,591.91</w:t>
            </w:r>
            <w:r>
              <w:rPr>
                <w:rFonts w:ascii="宋体"/>
                <w:sz w:val="21"/>
              </w:rPr>
              <w:t> </w:t>
            </w:r>
          </w:p>
        </w:tc>
      </w:tr>
      <w:tr>
        <w:trPr>
          <w:trHeight w:val="281" w:hRule="exact"/>
        </w:trPr>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银行存款</w:t>
            </w:r>
            <w:r>
              <w:rPr>
                <w:rFonts w:ascii="宋体" w:hAnsi="宋体" w:cs="宋体" w:eastAsia="宋体" w:hint="default"/>
                <w:sz w:val="21"/>
                <w:szCs w:val="21"/>
              </w:rPr>
              <w:t> </w:t>
            </w:r>
          </w:p>
        </w:tc>
        <w:tc>
          <w:tcPr>
            <w:tcW w:w="33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1,622,287,770.78</w:t>
            </w:r>
            <w:r>
              <w:rPr>
                <w:rFonts w:ascii="宋体"/>
                <w:sz w:val="21"/>
              </w:rPr>
              <w:t> </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1,641,015,037.88</w:t>
            </w:r>
            <w:r>
              <w:rPr>
                <w:rFonts w:ascii="宋体"/>
                <w:sz w:val="21"/>
              </w:rPr>
              <w:t> </w:t>
            </w:r>
          </w:p>
        </w:tc>
      </w:tr>
      <w:tr>
        <w:trPr>
          <w:trHeight w:val="283" w:hRule="exact"/>
        </w:trPr>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其他货币资金</w:t>
            </w:r>
            <w:r>
              <w:rPr>
                <w:rFonts w:ascii="宋体" w:hAnsi="宋体" w:cs="宋体" w:eastAsia="宋体" w:hint="default"/>
                <w:sz w:val="21"/>
                <w:szCs w:val="21"/>
              </w:rPr>
              <w:t> </w:t>
            </w:r>
          </w:p>
        </w:tc>
        <w:tc>
          <w:tcPr>
            <w:tcW w:w="33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410,226,785.16</w:t>
            </w:r>
            <w:r>
              <w:rPr>
                <w:rFonts w:ascii="宋体"/>
                <w:sz w:val="21"/>
              </w:rPr>
              <w:t> </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547,385,088.14</w:t>
            </w:r>
            <w:r>
              <w:rPr>
                <w:rFonts w:ascii="宋体"/>
                <w:sz w:val="21"/>
              </w:rPr>
              <w:t> </w:t>
            </w:r>
          </w:p>
        </w:tc>
      </w:tr>
      <w:tr>
        <w:trPr>
          <w:trHeight w:val="281" w:hRule="exact"/>
        </w:trPr>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33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2,032,562,728.71</w:t>
            </w:r>
            <w:r>
              <w:rPr>
                <w:rFonts w:ascii="宋体"/>
                <w:sz w:val="21"/>
              </w:rPr>
              <w:t> </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2,188,424,717.93</w:t>
            </w:r>
            <w:r>
              <w:rPr>
                <w:rFonts w:ascii="宋体"/>
                <w:sz w:val="21"/>
              </w:rPr>
              <w:t> </w:t>
            </w:r>
          </w:p>
        </w:tc>
      </w:tr>
      <w:tr>
        <w:trPr>
          <w:trHeight w:val="557" w:hRule="exact"/>
        </w:trPr>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6" w:right="0"/>
              <w:jc w:val="center"/>
              <w:rPr>
                <w:rFonts w:ascii="宋体" w:hAnsi="宋体" w:cs="宋体" w:eastAsia="宋体" w:hint="default"/>
                <w:sz w:val="21"/>
                <w:szCs w:val="21"/>
              </w:rPr>
            </w:pPr>
            <w:r>
              <w:rPr>
                <w:rFonts w:ascii="宋体" w:hAnsi="宋体" w:cs="宋体" w:eastAsia="宋体" w:hint="default"/>
                <w:spacing w:val="-7"/>
                <w:sz w:val="21"/>
                <w:szCs w:val="21"/>
              </w:rPr>
              <w:t>其中：存放在境外的</w:t>
            </w:r>
          </w:p>
          <w:p>
            <w:pPr>
              <w:pStyle w:val="TableParagraph"/>
              <w:spacing w:line="273" w:lineRule="exact"/>
              <w:ind w:left="106" w:right="0"/>
              <w:jc w:val="center"/>
              <w:rPr>
                <w:rFonts w:ascii="宋体" w:hAnsi="宋体" w:cs="宋体" w:eastAsia="宋体" w:hint="default"/>
                <w:sz w:val="21"/>
                <w:szCs w:val="21"/>
              </w:rPr>
            </w:pPr>
            <w:r>
              <w:rPr>
                <w:rFonts w:ascii="宋体" w:hAnsi="宋体" w:cs="宋体" w:eastAsia="宋体" w:hint="default"/>
                <w:sz w:val="21"/>
                <w:szCs w:val="21"/>
              </w:rPr>
              <w:t>款项总额</w:t>
            </w:r>
            <w:r>
              <w:rPr>
                <w:rFonts w:ascii="宋体" w:hAnsi="宋体" w:cs="宋体" w:eastAsia="宋体" w:hint="default"/>
                <w:sz w:val="21"/>
                <w:szCs w:val="21"/>
              </w:rPr>
              <w:t> </w:t>
            </w:r>
          </w:p>
        </w:tc>
        <w:tc>
          <w:tcPr>
            <w:tcW w:w="33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right"/>
              <w:rPr>
                <w:rFonts w:ascii="宋体" w:hAnsi="宋体" w:cs="宋体" w:eastAsia="宋体" w:hint="default"/>
                <w:sz w:val="21"/>
                <w:szCs w:val="21"/>
              </w:rPr>
            </w:pPr>
            <w:r>
              <w:rPr>
                <w:rFonts w:ascii="宋体"/>
                <w:spacing w:val="-1"/>
                <w:sz w:val="21"/>
              </w:rPr>
              <w:t>57,458,054.02</w:t>
            </w:r>
            <w:r>
              <w:rPr>
                <w:rFonts w:ascii="宋体"/>
                <w:sz w:val="21"/>
              </w:rPr>
              <w:t> </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right"/>
              <w:rPr>
                <w:rFonts w:ascii="宋体" w:hAnsi="宋体" w:cs="宋体" w:eastAsia="宋体" w:hint="default"/>
                <w:sz w:val="21"/>
                <w:szCs w:val="21"/>
              </w:rPr>
            </w:pPr>
            <w:r>
              <w:rPr>
                <w:rFonts w:ascii="宋体"/>
                <w:spacing w:val="-1"/>
                <w:sz w:val="21"/>
              </w:rPr>
              <w:t>30,674,859.77</w:t>
            </w:r>
            <w:r>
              <w:rPr>
                <w:rFonts w:ascii="宋体"/>
                <w:sz w:val="21"/>
              </w:rPr>
              <w:t> </w:t>
            </w:r>
          </w:p>
        </w:tc>
      </w:tr>
    </w:tbl>
    <w:p>
      <w:pPr>
        <w:pStyle w:val="BodyText"/>
        <w:spacing w:line="262" w:lineRule="exact"/>
        <w:ind w:left="236" w:right="28"/>
        <w:jc w:val="left"/>
        <w:rPr>
          <w:rFonts w:ascii="宋体" w:hAnsi="宋体" w:cs="宋体" w:eastAsia="宋体" w:hint="default"/>
        </w:rPr>
      </w:pPr>
      <w:r>
        <w:rPr/>
        <w:t>其他说明</w:t>
      </w:r>
      <w:r>
        <w:rPr>
          <w:rFonts w:ascii="宋体" w:hAnsi="宋体" w:cs="宋体" w:eastAsia="宋体" w:hint="default"/>
        </w:rPr>
        <w:t> </w:t>
      </w:r>
    </w:p>
    <w:p>
      <w:pPr>
        <w:pStyle w:val="BodyText"/>
        <w:spacing w:line="240" w:lineRule="auto" w:before="37"/>
        <w:ind w:left="236" w:right="0"/>
        <w:jc w:val="left"/>
        <w:rPr>
          <w:rFonts w:ascii="宋体" w:hAnsi="宋体" w:cs="宋体" w:eastAsia="宋体" w:hint="default"/>
        </w:rPr>
      </w:pPr>
      <w:r>
        <w:rPr>
          <w:rFonts w:ascii="宋体"/>
          <w:w w:val="100"/>
        </w:rPr>
        <w:t> </w:t>
      </w:r>
    </w:p>
    <w:p>
      <w:pPr>
        <w:spacing w:line="240" w:lineRule="auto" w:before="10"/>
        <w:rPr>
          <w:rFonts w:ascii="宋体" w:hAnsi="宋体" w:cs="宋体" w:eastAsia="宋体" w:hint="default"/>
          <w:sz w:val="3"/>
          <w:szCs w:val="3"/>
        </w:rPr>
      </w:pPr>
    </w:p>
    <w:tbl>
      <w:tblPr>
        <w:tblW w:w="0" w:type="auto"/>
        <w:jc w:val="left"/>
        <w:tblInd w:w="1058" w:type="dxa"/>
        <w:tblLayout w:type="fixed"/>
        <w:tblCellMar>
          <w:top w:w="0" w:type="dxa"/>
          <w:left w:w="0" w:type="dxa"/>
          <w:bottom w:w="0" w:type="dxa"/>
          <w:right w:w="0" w:type="dxa"/>
        </w:tblCellMar>
        <w:tblLook w:val="01E0"/>
      </w:tblPr>
      <w:tblGrid>
        <w:gridCol w:w="2197"/>
        <w:gridCol w:w="2540"/>
        <w:gridCol w:w="2441"/>
      </w:tblGrid>
      <w:tr>
        <w:trPr>
          <w:trHeight w:val="559" w:hRule="exact"/>
        </w:trPr>
        <w:tc>
          <w:tcPr>
            <w:tcW w:w="2197"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02"/>
              <w:ind w:left="124"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54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2"/>
              <w:ind w:left="844"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2441"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02"/>
              <w:ind w:left="585" w:right="0"/>
              <w:jc w:val="left"/>
              <w:rPr>
                <w:rFonts w:ascii="宋体" w:hAnsi="宋体" w:cs="宋体" w:eastAsia="宋体" w:hint="default"/>
                <w:sz w:val="21"/>
                <w:szCs w:val="21"/>
              </w:rPr>
            </w:pPr>
            <w:r>
              <w:rPr>
                <w:rFonts w:ascii="宋体" w:hAnsi="宋体" w:cs="宋体" w:eastAsia="宋体" w:hint="default"/>
                <w:sz w:val="21"/>
                <w:szCs w:val="21"/>
              </w:rPr>
              <w:t>上年年末余额</w:t>
            </w:r>
            <w:r>
              <w:rPr>
                <w:rFonts w:ascii="宋体" w:hAnsi="宋体" w:cs="宋体" w:eastAsia="宋体" w:hint="default"/>
                <w:sz w:val="21"/>
                <w:szCs w:val="21"/>
              </w:rPr>
              <w:t> </w:t>
            </w:r>
          </w:p>
        </w:tc>
      </w:tr>
    </w:tbl>
    <w:p>
      <w:pPr>
        <w:spacing w:after="0" w:line="240" w:lineRule="auto"/>
        <w:jc w:val="left"/>
        <w:rPr>
          <w:rFonts w:ascii="宋体" w:hAnsi="宋体" w:cs="宋体" w:eastAsia="宋体" w:hint="default"/>
          <w:sz w:val="21"/>
          <w:szCs w:val="21"/>
        </w:rPr>
        <w:sectPr>
          <w:type w:val="continuous"/>
          <w:pgSz w:w="11910" w:h="16840"/>
          <w:pgMar w:top="1580" w:bottom="280" w:left="1040" w:right="1560"/>
        </w:sectPr>
      </w:pPr>
    </w:p>
    <w:p>
      <w:pPr>
        <w:spacing w:line="240" w:lineRule="auto" w:before="10"/>
        <w:rPr>
          <w:rFonts w:ascii="宋体" w:hAnsi="宋体" w:cs="宋体" w:eastAsia="宋体" w:hint="default"/>
          <w:sz w:val="2"/>
          <w:szCs w:val="2"/>
        </w:rPr>
      </w:pPr>
    </w:p>
    <w:tbl>
      <w:tblPr>
        <w:tblW w:w="0" w:type="auto"/>
        <w:jc w:val="left"/>
        <w:tblInd w:w="1058" w:type="dxa"/>
        <w:tblLayout w:type="fixed"/>
        <w:tblCellMar>
          <w:top w:w="0" w:type="dxa"/>
          <w:left w:w="0" w:type="dxa"/>
          <w:bottom w:w="0" w:type="dxa"/>
          <w:right w:w="0" w:type="dxa"/>
        </w:tblCellMar>
        <w:tblLook w:val="01E0"/>
      </w:tblPr>
      <w:tblGrid>
        <w:gridCol w:w="2197"/>
        <w:gridCol w:w="2540"/>
        <w:gridCol w:w="2441"/>
      </w:tblGrid>
      <w:tr>
        <w:trPr>
          <w:trHeight w:val="1044" w:hRule="exact"/>
        </w:trPr>
        <w:tc>
          <w:tcPr>
            <w:tcW w:w="2197" w:type="dxa"/>
            <w:tcBorders>
              <w:top w:val="nil" w:sz="6" w:space="0" w:color="auto"/>
              <w:left w:val="nil" w:sz="6" w:space="0" w:color="auto"/>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银行承兑汇票保证金</w:t>
            </w:r>
            <w:r>
              <w:rPr>
                <w:rFonts w:ascii="宋体" w:hAnsi="宋体" w:cs="宋体" w:eastAsia="宋体" w:hint="default"/>
                <w:sz w:val="21"/>
                <w:szCs w:val="21"/>
              </w:rPr>
              <w:t> </w:t>
            </w:r>
          </w:p>
        </w:tc>
        <w:tc>
          <w:tcPr>
            <w:tcW w:w="254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25"/>
                <w:szCs w:val="25"/>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100,274,197.46</w:t>
            </w:r>
          </w:p>
        </w:tc>
        <w:tc>
          <w:tcPr>
            <w:tcW w:w="2441" w:type="dxa"/>
            <w:tcBorders>
              <w:top w:val="nil" w:sz="6" w:space="0" w:color="auto"/>
              <w:left w:val="single" w:sz="4" w:space="0" w:color="000000"/>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25"/>
                <w:szCs w:val="25"/>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211,209,789.55</w:t>
            </w:r>
          </w:p>
        </w:tc>
      </w:tr>
      <w:tr>
        <w:trPr>
          <w:trHeight w:val="588" w:hRule="exact"/>
        </w:trPr>
        <w:tc>
          <w:tcPr>
            <w:tcW w:w="2197" w:type="dxa"/>
            <w:tcBorders>
              <w:top w:val="nil" w:sz="6" w:space="0" w:color="auto"/>
              <w:left w:val="nil" w:sz="6" w:space="0" w:color="auto"/>
              <w:bottom w:val="nil" w:sz="6" w:space="0" w:color="auto"/>
              <w:right w:val="single" w:sz="4" w:space="0" w:color="000000"/>
            </w:tcBorders>
          </w:tcPr>
          <w:p>
            <w:pPr>
              <w:pStyle w:val="TableParagraph"/>
              <w:spacing w:line="240" w:lineRule="auto" w:before="153"/>
              <w:ind w:left="122" w:right="0"/>
              <w:jc w:val="left"/>
              <w:rPr>
                <w:rFonts w:ascii="宋体" w:hAnsi="宋体" w:cs="宋体" w:eastAsia="宋体" w:hint="default"/>
                <w:sz w:val="21"/>
                <w:szCs w:val="21"/>
              </w:rPr>
            </w:pPr>
            <w:r>
              <w:rPr>
                <w:rFonts w:ascii="宋体" w:hAnsi="宋体" w:cs="宋体" w:eastAsia="宋体" w:hint="default"/>
                <w:sz w:val="21"/>
                <w:szCs w:val="21"/>
              </w:rPr>
              <w:t>信用证保证金</w:t>
            </w:r>
            <w:r>
              <w:rPr>
                <w:rFonts w:ascii="宋体" w:hAnsi="宋体" w:cs="宋体" w:eastAsia="宋体" w:hint="default"/>
                <w:sz w:val="21"/>
                <w:szCs w:val="21"/>
              </w:rPr>
              <w:t> </w:t>
            </w:r>
          </w:p>
        </w:tc>
        <w:tc>
          <w:tcPr>
            <w:tcW w:w="2540"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43,571,466.86</w:t>
            </w:r>
          </w:p>
        </w:tc>
        <w:tc>
          <w:tcPr>
            <w:tcW w:w="2441" w:type="dxa"/>
            <w:tcBorders>
              <w:top w:val="nil" w:sz="6" w:space="0" w:color="auto"/>
              <w:left w:val="single" w:sz="4" w:space="0" w:color="000000"/>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53,868,168.18</w:t>
            </w:r>
          </w:p>
        </w:tc>
      </w:tr>
      <w:tr>
        <w:trPr>
          <w:trHeight w:val="570" w:hRule="exact"/>
        </w:trPr>
        <w:tc>
          <w:tcPr>
            <w:tcW w:w="2197" w:type="dxa"/>
            <w:tcBorders>
              <w:top w:val="nil" w:sz="6" w:space="0" w:color="auto"/>
              <w:left w:val="nil" w:sz="6" w:space="0" w:color="auto"/>
              <w:bottom w:val="nil" w:sz="6" w:space="0" w:color="auto"/>
              <w:right w:val="single" w:sz="4" w:space="0" w:color="000000"/>
            </w:tcBorders>
          </w:tcPr>
          <w:p>
            <w:pPr>
              <w:pStyle w:val="TableParagraph"/>
              <w:spacing w:line="240" w:lineRule="auto" w:before="86"/>
              <w:ind w:left="122" w:right="0"/>
              <w:jc w:val="left"/>
              <w:rPr>
                <w:rFonts w:ascii="宋体" w:hAnsi="宋体" w:cs="宋体" w:eastAsia="宋体" w:hint="default"/>
                <w:sz w:val="21"/>
                <w:szCs w:val="21"/>
              </w:rPr>
            </w:pPr>
            <w:r>
              <w:rPr>
                <w:rFonts w:ascii="宋体" w:hAnsi="宋体" w:cs="宋体" w:eastAsia="宋体" w:hint="default"/>
                <w:sz w:val="21"/>
                <w:szCs w:val="21"/>
              </w:rPr>
              <w:t>履约保证金</w:t>
            </w:r>
            <w:r>
              <w:rPr>
                <w:rFonts w:ascii="宋体" w:hAnsi="宋体" w:cs="宋体" w:eastAsia="宋体" w:hint="default"/>
                <w:sz w:val="21"/>
                <w:szCs w:val="21"/>
              </w:rPr>
              <w:t> </w:t>
            </w:r>
          </w:p>
        </w:tc>
        <w:tc>
          <w:tcPr>
            <w:tcW w:w="2540" w:type="dxa"/>
            <w:tcBorders>
              <w:top w:val="nil" w:sz="6" w:space="0" w:color="auto"/>
              <w:left w:val="single" w:sz="4" w:space="0" w:color="000000"/>
              <w:bottom w:val="nil" w:sz="6" w:space="0" w:color="auto"/>
              <w:right w:val="single" w:sz="4" w:space="0" w:color="000000"/>
            </w:tcBorders>
          </w:tcPr>
          <w:p>
            <w:pPr>
              <w:pStyle w:val="TableParagraph"/>
              <w:spacing w:line="240" w:lineRule="auto" w:before="133"/>
              <w:ind w:right="99"/>
              <w:jc w:val="right"/>
              <w:rPr>
                <w:rFonts w:ascii="Times New Roman" w:hAnsi="Times New Roman" w:cs="Times New Roman" w:eastAsia="Times New Roman" w:hint="default"/>
                <w:sz w:val="21"/>
                <w:szCs w:val="21"/>
              </w:rPr>
            </w:pPr>
            <w:r>
              <w:rPr>
                <w:rFonts w:ascii="Times New Roman"/>
                <w:spacing w:val="-1"/>
                <w:sz w:val="21"/>
              </w:rPr>
              <w:t>26,964,766.06</w:t>
            </w:r>
          </w:p>
        </w:tc>
        <w:tc>
          <w:tcPr>
            <w:tcW w:w="2441" w:type="dxa"/>
            <w:tcBorders>
              <w:top w:val="nil" w:sz="6" w:space="0" w:color="auto"/>
              <w:left w:val="single" w:sz="4" w:space="0" w:color="000000"/>
              <w:bottom w:val="nil" w:sz="6" w:space="0" w:color="auto"/>
              <w:right w:val="nil" w:sz="6" w:space="0" w:color="auto"/>
            </w:tcBorders>
          </w:tcPr>
          <w:p>
            <w:pPr>
              <w:pStyle w:val="TableParagraph"/>
              <w:spacing w:line="240" w:lineRule="auto" w:before="133"/>
              <w:ind w:right="103"/>
              <w:jc w:val="right"/>
              <w:rPr>
                <w:rFonts w:ascii="Times New Roman" w:hAnsi="Times New Roman" w:cs="Times New Roman" w:eastAsia="Times New Roman" w:hint="default"/>
                <w:sz w:val="21"/>
                <w:szCs w:val="21"/>
              </w:rPr>
            </w:pPr>
            <w:r>
              <w:rPr>
                <w:rFonts w:ascii="Times New Roman"/>
                <w:spacing w:val="-1"/>
                <w:sz w:val="21"/>
              </w:rPr>
              <w:t>3,061,730.19</w:t>
            </w:r>
          </w:p>
        </w:tc>
      </w:tr>
      <w:tr>
        <w:trPr>
          <w:trHeight w:val="871" w:hRule="exact"/>
        </w:trPr>
        <w:tc>
          <w:tcPr>
            <w:tcW w:w="2197" w:type="dxa"/>
            <w:tcBorders>
              <w:top w:val="nil" w:sz="6" w:space="0" w:color="auto"/>
              <w:left w:val="nil" w:sz="6" w:space="0" w:color="auto"/>
              <w:bottom w:val="nil" w:sz="6" w:space="0" w:color="auto"/>
              <w:right w:val="single" w:sz="4" w:space="0" w:color="000000"/>
            </w:tcBorders>
          </w:tcPr>
          <w:p>
            <w:pPr>
              <w:pStyle w:val="TableParagraph"/>
              <w:spacing w:line="273" w:lineRule="auto" w:before="135"/>
              <w:ind w:left="122" w:right="101"/>
              <w:jc w:val="left"/>
              <w:rPr>
                <w:rFonts w:ascii="宋体" w:hAnsi="宋体" w:cs="宋体" w:eastAsia="宋体" w:hint="default"/>
                <w:sz w:val="21"/>
                <w:szCs w:val="21"/>
              </w:rPr>
            </w:pPr>
            <w:r>
              <w:rPr>
                <w:rFonts w:ascii="宋体" w:hAnsi="宋体" w:cs="宋体" w:eastAsia="宋体" w:hint="default"/>
                <w:spacing w:val="5"/>
                <w:sz w:val="21"/>
                <w:szCs w:val="21"/>
              </w:rPr>
              <w:t>用于担保的定期存款</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z w:val="21"/>
                <w:szCs w:val="21"/>
              </w:rPr>
              <w:t>或通知存款</w:t>
            </w:r>
            <w:r>
              <w:rPr>
                <w:rFonts w:ascii="宋体" w:hAnsi="宋体" w:cs="宋体" w:eastAsia="宋体" w:hint="default"/>
                <w:sz w:val="21"/>
                <w:szCs w:val="21"/>
              </w:rPr>
              <w:t> </w:t>
            </w:r>
          </w:p>
        </w:tc>
        <w:tc>
          <w:tcPr>
            <w:tcW w:w="254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35,000,000.00</w:t>
            </w:r>
          </w:p>
        </w:tc>
        <w:tc>
          <w:tcPr>
            <w:tcW w:w="2441" w:type="dxa"/>
            <w:tcBorders>
              <w:top w:val="nil" w:sz="6" w:space="0" w:color="auto"/>
              <w:left w:val="single" w:sz="4" w:space="0" w:color="000000"/>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35,000,000.00</w:t>
            </w:r>
          </w:p>
        </w:tc>
      </w:tr>
      <w:tr>
        <w:trPr>
          <w:trHeight w:val="110" w:hRule="exact"/>
        </w:trPr>
        <w:tc>
          <w:tcPr>
            <w:tcW w:w="2197" w:type="dxa"/>
            <w:tcBorders>
              <w:top w:val="nil" w:sz="6" w:space="0" w:color="auto"/>
              <w:left w:val="nil" w:sz="6" w:space="0" w:color="auto"/>
              <w:bottom w:val="nil" w:sz="6" w:space="0" w:color="auto"/>
              <w:right w:val="nil" w:sz="6" w:space="0" w:color="auto"/>
            </w:tcBorders>
          </w:tcPr>
          <w:p>
            <w:pPr/>
          </w:p>
        </w:tc>
        <w:tc>
          <w:tcPr>
            <w:tcW w:w="2540" w:type="dxa"/>
            <w:tcBorders>
              <w:top w:val="nil" w:sz="6" w:space="0" w:color="auto"/>
              <w:left w:val="nil" w:sz="6" w:space="0" w:color="auto"/>
              <w:bottom w:val="nil" w:sz="6" w:space="0" w:color="auto"/>
              <w:right w:val="single" w:sz="4" w:space="0" w:color="000000"/>
            </w:tcBorders>
          </w:tcPr>
          <w:p>
            <w:pPr/>
          </w:p>
        </w:tc>
        <w:tc>
          <w:tcPr>
            <w:tcW w:w="2441" w:type="dxa"/>
            <w:tcBorders>
              <w:top w:val="nil" w:sz="6" w:space="0" w:color="auto"/>
              <w:left w:val="single" w:sz="4" w:space="0" w:color="000000"/>
              <w:bottom w:val="nil" w:sz="6" w:space="0" w:color="auto"/>
              <w:right w:val="nil" w:sz="6" w:space="0" w:color="auto"/>
            </w:tcBorders>
          </w:tcPr>
          <w:p>
            <w:pPr/>
          </w:p>
        </w:tc>
      </w:tr>
      <w:tr>
        <w:trPr>
          <w:trHeight w:val="540" w:hRule="exact"/>
        </w:trPr>
        <w:tc>
          <w:tcPr>
            <w:tcW w:w="2197" w:type="dxa"/>
            <w:tcBorders>
              <w:top w:val="nil" w:sz="6" w:space="0" w:color="auto"/>
              <w:left w:val="nil" w:sz="6" w:space="0" w:color="auto"/>
              <w:bottom w:val="single" w:sz="12" w:space="0" w:color="000000"/>
              <w:right w:val="single" w:sz="4" w:space="0" w:color="000000"/>
            </w:tcBorders>
          </w:tcPr>
          <w:p>
            <w:pPr>
              <w:pStyle w:val="TableParagraph"/>
              <w:spacing w:line="240" w:lineRule="auto" w:before="93"/>
              <w:ind w:left="124"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540"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40"/>
              <w:ind w:right="99"/>
              <w:jc w:val="right"/>
              <w:rPr>
                <w:rFonts w:ascii="Times New Roman" w:hAnsi="Times New Roman" w:cs="Times New Roman" w:eastAsia="Times New Roman" w:hint="default"/>
                <w:sz w:val="21"/>
                <w:szCs w:val="21"/>
              </w:rPr>
            </w:pPr>
            <w:r>
              <w:rPr>
                <w:rFonts w:ascii="Times New Roman"/>
                <w:spacing w:val="-1"/>
                <w:sz w:val="21"/>
              </w:rPr>
              <w:t>205,810,430.38</w:t>
            </w:r>
          </w:p>
        </w:tc>
        <w:tc>
          <w:tcPr>
            <w:tcW w:w="2441" w:type="dxa"/>
            <w:tcBorders>
              <w:top w:val="nil" w:sz="6" w:space="0" w:color="auto"/>
              <w:left w:val="single" w:sz="4" w:space="0" w:color="000000"/>
              <w:bottom w:val="single" w:sz="12" w:space="0" w:color="000000"/>
              <w:right w:val="nil" w:sz="6" w:space="0" w:color="auto"/>
            </w:tcBorders>
          </w:tcPr>
          <w:p>
            <w:pPr>
              <w:pStyle w:val="TableParagraph"/>
              <w:spacing w:line="240" w:lineRule="auto" w:before="140"/>
              <w:ind w:right="103"/>
              <w:jc w:val="right"/>
              <w:rPr>
                <w:rFonts w:ascii="Times New Roman" w:hAnsi="Times New Roman" w:cs="Times New Roman" w:eastAsia="Times New Roman" w:hint="default"/>
                <w:sz w:val="21"/>
                <w:szCs w:val="21"/>
              </w:rPr>
            </w:pPr>
            <w:r>
              <w:rPr>
                <w:rFonts w:ascii="Times New Roman"/>
                <w:spacing w:val="-1"/>
                <w:sz w:val="21"/>
              </w:rPr>
              <w:t>303,139,687.92</w:t>
            </w:r>
          </w:p>
        </w:tc>
      </w:tr>
    </w:tbl>
    <w:p>
      <w:pPr>
        <w:pStyle w:val="BodyText"/>
        <w:spacing w:line="273" w:lineRule="auto"/>
        <w:ind w:left="236" w:right="28"/>
        <w:jc w:val="left"/>
        <w:rPr>
          <w:rFonts w:ascii="宋体" w:hAnsi="宋体" w:cs="宋体" w:eastAsia="宋体" w:hint="default"/>
        </w:rPr>
      </w:pPr>
      <w:r>
        <w:rPr/>
        <w:pict>
          <v:group style="position:absolute;margin-left:105.620003pt;margin-top:-79.176308pt;width:358.2pt;height:.5pt;mso-position-horizontal-relative:page;mso-position-vertical-relative:paragraph;z-index:-1318504" coordorigin="2112,-1584" coordsize="7164,10">
            <v:shape style="position:absolute;left:2112;top:-1584;width:2177;height:10" type="#_x0000_t75" stroked="false">
              <v:imagedata r:id="rId142" o:title=""/>
            </v:shape>
            <v:shape style="position:absolute;left:4285;top:-1584;width:4991;height:10" type="#_x0000_t75" stroked="false">
              <v:imagedata r:id="rId143" o:title=""/>
            </v:shape>
            <w10:wrap type="none"/>
          </v:group>
        </w:pict>
      </w:r>
      <w:r>
        <w:rPr/>
        <w:pict>
          <v:group style="position:absolute;margin-left:105.620003pt;margin-top:-32.616287pt;width:358.2pt;height:5.55pt;mso-position-horizontal-relative:page;mso-position-vertical-relative:paragraph;z-index:-1318480" coordorigin="2112,-652" coordsize="7164,111">
            <v:shape style="position:absolute;left:2112;top:-652;width:2197;height:110" type="#_x0000_t75" stroked="false">
              <v:imagedata r:id="rId144" o:title=""/>
            </v:shape>
            <v:shape style="position:absolute;left:4285;top:-556;width:2554;height:14" type="#_x0000_t75" stroked="false">
              <v:imagedata r:id="rId145" o:title=""/>
            </v:shape>
            <v:shape style="position:absolute;left:6825;top:-552;width:2451;height:10" type="#_x0000_t75" stroked="false">
              <v:imagedata r:id="rId146" o:title=""/>
            </v:shape>
            <w10:wrap type="none"/>
          </v:group>
        </w:pict>
      </w:r>
      <w:r>
        <w:rPr>
          <w:w w:val="100"/>
        </w:rPr>
        <w:t>截至</w:t>
      </w:r>
      <w:r>
        <w:rPr>
          <w:spacing w:val="-50"/>
          <w:w w:val="100"/>
        </w:rPr>
        <w:t> </w:t>
      </w:r>
      <w:r>
        <w:rPr>
          <w:rFonts w:ascii="宋体" w:hAnsi="宋体" w:cs="宋体" w:eastAsia="宋体" w:hint="default"/>
          <w:spacing w:val="-1"/>
          <w:w w:val="100"/>
        </w:rPr>
        <w:t>2019</w:t>
      </w:r>
      <w:r>
        <w:rPr>
          <w:rFonts w:ascii="宋体" w:hAnsi="宋体" w:cs="宋体" w:eastAsia="宋体" w:hint="default"/>
          <w:spacing w:val="-53"/>
          <w:w w:val="100"/>
        </w:rPr>
        <w:t> </w:t>
      </w:r>
      <w:r>
        <w:rPr>
          <w:w w:val="100"/>
        </w:rPr>
        <w:t>年</w:t>
      </w:r>
      <w:r>
        <w:rPr>
          <w:spacing w:val="-51"/>
          <w:w w:val="100"/>
        </w:rPr>
        <w:t> </w:t>
      </w:r>
      <w:r>
        <w:rPr>
          <w:rFonts w:ascii="宋体" w:hAnsi="宋体" w:cs="宋体" w:eastAsia="宋体" w:hint="default"/>
          <w:w w:val="100"/>
        </w:rPr>
        <w:t>12</w:t>
      </w:r>
      <w:r>
        <w:rPr>
          <w:rFonts w:ascii="宋体" w:hAnsi="宋体" w:cs="宋体" w:eastAsia="宋体" w:hint="default"/>
          <w:spacing w:val="-53"/>
          <w:w w:val="100"/>
        </w:rPr>
        <w:t> </w:t>
      </w:r>
      <w:r>
        <w:rPr>
          <w:w w:val="100"/>
        </w:rPr>
        <w:t>月</w:t>
      </w:r>
      <w:r>
        <w:rPr>
          <w:spacing w:val="-51"/>
          <w:w w:val="100"/>
        </w:rPr>
        <w:t> </w:t>
      </w:r>
      <w:r>
        <w:rPr>
          <w:rFonts w:ascii="宋体" w:hAnsi="宋体" w:cs="宋体" w:eastAsia="宋体" w:hint="default"/>
          <w:spacing w:val="-2"/>
          <w:w w:val="100"/>
        </w:rPr>
        <w:t>31</w:t>
      </w:r>
      <w:r>
        <w:rPr>
          <w:rFonts w:ascii="宋体" w:hAnsi="宋体" w:cs="宋体" w:eastAsia="宋体" w:hint="default"/>
          <w:spacing w:val="-51"/>
          <w:w w:val="100"/>
        </w:rPr>
        <w:t> </w:t>
      </w:r>
      <w:r>
        <w:rPr>
          <w:spacing w:val="-10"/>
          <w:w w:val="100"/>
        </w:rPr>
        <w:t>日，其他货币资金中人民币</w:t>
      </w:r>
      <w:r>
        <w:rPr>
          <w:spacing w:val="-51"/>
          <w:w w:val="100"/>
        </w:rPr>
        <w:t> </w:t>
      </w:r>
      <w:r>
        <w:rPr>
          <w:rFonts w:ascii="宋体" w:hAnsi="宋体" w:cs="宋体" w:eastAsia="宋体" w:hint="default"/>
          <w:spacing w:val="-1"/>
          <w:w w:val="100"/>
        </w:rPr>
        <w:t>26,964,766.06</w:t>
      </w:r>
      <w:r>
        <w:rPr>
          <w:rFonts w:ascii="宋体" w:hAnsi="宋体" w:cs="宋体" w:eastAsia="宋体" w:hint="default"/>
          <w:spacing w:val="-51"/>
          <w:w w:val="100"/>
        </w:rPr>
        <w:t> </w:t>
      </w:r>
      <w:r>
        <w:rPr>
          <w:spacing w:val="-2"/>
          <w:w w:val="100"/>
        </w:rPr>
        <w:t>元为本公司向银行申请开具无条</w:t>
      </w:r>
      <w:r>
        <w:rPr>
          <w:w w:val="100"/>
        </w:rPr>
        <w:t> </w:t>
      </w:r>
      <w:r>
        <w:rPr/>
        <w:t>件、不可撤销的担保函所存入的保证金存款。</w:t>
      </w:r>
      <w:r>
        <w:rPr>
          <w:rFonts w:ascii="宋体" w:hAnsi="宋体" w:cs="宋体" w:eastAsia="宋体" w:hint="default"/>
        </w:rPr>
        <w:t> </w:t>
      </w:r>
    </w:p>
    <w:p>
      <w:pPr>
        <w:pStyle w:val="BodyText"/>
        <w:spacing w:line="240" w:lineRule="auto" w:before="7"/>
        <w:ind w:left="236" w:right="0"/>
        <w:jc w:val="left"/>
        <w:rPr>
          <w:rFonts w:ascii="宋体" w:hAnsi="宋体" w:cs="宋体" w:eastAsia="宋体" w:hint="default"/>
        </w:rPr>
      </w:pPr>
      <w:r>
        <w:rPr>
          <w:rFonts w:ascii="宋体"/>
          <w:w w:val="100"/>
        </w:rPr>
        <w:t> </w:t>
      </w:r>
    </w:p>
    <w:p>
      <w:pPr>
        <w:pStyle w:val="Heading3"/>
        <w:spacing w:line="240" w:lineRule="auto"/>
        <w:ind w:left="236" w:right="28"/>
        <w:jc w:val="left"/>
        <w:rPr>
          <w:b w:val="0"/>
          <w:bCs w:val="0"/>
        </w:rPr>
      </w:pPr>
      <w:r>
        <w:rPr>
          <w:rFonts w:ascii="宋体" w:hAnsi="宋体" w:cs="宋体" w:eastAsia="宋体" w:hint="default"/>
        </w:rPr>
        <w:t>2</w:t>
      </w:r>
      <w:r>
        <w:rPr/>
        <w:t>、</w:t>
      </w:r>
      <w:r>
        <w:rPr>
          <w:spacing w:val="-1"/>
        </w:rPr>
        <w:t> </w:t>
      </w:r>
      <w:r>
        <w:rPr/>
        <w:t>交易性金融资产</w:t>
      </w:r>
      <w:r>
        <w:rPr>
          <w:b w:val="0"/>
          <w:bCs w:val="0"/>
        </w:rPr>
      </w:r>
    </w:p>
    <w:p>
      <w:pPr>
        <w:pStyle w:val="Heading2"/>
        <w:spacing w:line="240" w:lineRule="auto" w:before="69"/>
        <w:ind w:left="236" w:right="28"/>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BodyText"/>
        <w:spacing w:line="240" w:lineRule="auto" w:before="25"/>
        <w:ind w:left="0" w:right="171"/>
        <w:jc w:val="right"/>
        <w:rPr>
          <w:rFonts w:ascii="宋体" w:hAnsi="宋体" w:cs="宋体" w:eastAsia="宋体" w:hint="default"/>
        </w:rPr>
      </w:pPr>
      <w:r>
        <w:rPr>
          <w:spacing w:val="-2"/>
        </w:rPr>
        <w:t>单位：元币种：人民币</w:t>
      </w:r>
      <w:r>
        <w:rPr>
          <w:rFonts w:ascii="宋体" w:hAnsi="宋体" w:cs="宋体" w:eastAsia="宋体" w:hint="default"/>
        </w:rPr>
        <w:t> </w:t>
      </w:r>
    </w:p>
    <w:p>
      <w:pPr>
        <w:spacing w:line="240" w:lineRule="auto" w:before="10"/>
        <w:rPr>
          <w:rFonts w:ascii="宋体" w:hAnsi="宋体" w:cs="宋体" w:eastAsia="宋体" w:hint="default"/>
          <w:sz w:val="3"/>
          <w:szCs w:val="3"/>
        </w:rPr>
      </w:pPr>
    </w:p>
    <w:tbl>
      <w:tblPr>
        <w:tblW w:w="0" w:type="auto"/>
        <w:jc w:val="left"/>
        <w:tblInd w:w="123" w:type="dxa"/>
        <w:tblLayout w:type="fixed"/>
        <w:tblCellMar>
          <w:top w:w="0" w:type="dxa"/>
          <w:left w:w="0" w:type="dxa"/>
          <w:bottom w:w="0" w:type="dxa"/>
          <w:right w:w="0" w:type="dxa"/>
        </w:tblCellMar>
        <w:tblLook w:val="01E0"/>
      </w:tblPr>
      <w:tblGrid>
        <w:gridCol w:w="5394"/>
        <w:gridCol w:w="1759"/>
        <w:gridCol w:w="1897"/>
      </w:tblGrid>
      <w:tr>
        <w:trPr>
          <w:trHeight w:val="322" w:hRule="exact"/>
        </w:trPr>
        <w:tc>
          <w:tcPr>
            <w:tcW w:w="53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5"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453"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523"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322" w:hRule="exact"/>
        </w:trPr>
        <w:tc>
          <w:tcPr>
            <w:tcW w:w="53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以公允价值计量且其变动计入当期损益的金融资产</w:t>
            </w:r>
            <w:r>
              <w:rPr>
                <w:rFonts w:ascii="宋体" w:hAnsi="宋体" w:cs="宋体" w:eastAsia="宋体" w:hint="default"/>
                <w:sz w:val="21"/>
                <w:szCs w:val="21"/>
              </w:rPr>
              <w:t> </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3"/>
              <w:jc w:val="right"/>
              <w:rPr>
                <w:rFonts w:ascii="宋体" w:hAnsi="宋体" w:cs="宋体" w:eastAsia="宋体" w:hint="default"/>
                <w:sz w:val="21"/>
                <w:szCs w:val="21"/>
              </w:rPr>
            </w:pPr>
            <w:r>
              <w:rPr>
                <w:rFonts w:ascii="Times New Roman"/>
                <w:spacing w:val="-1"/>
                <w:sz w:val="21"/>
              </w:rPr>
              <w:t>1,000,586,691.42</w:t>
            </w:r>
            <w:r>
              <w:rPr>
                <w:rFonts w:ascii="宋体"/>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right="-3"/>
              <w:jc w:val="right"/>
              <w:rPr>
                <w:rFonts w:ascii="宋体" w:hAnsi="宋体" w:cs="宋体" w:eastAsia="宋体" w:hint="default"/>
                <w:sz w:val="21"/>
                <w:szCs w:val="21"/>
              </w:rPr>
            </w:pPr>
            <w:r>
              <w:rPr>
                <w:rFonts w:ascii="宋体"/>
                <w:spacing w:val="-1"/>
                <w:sz w:val="21"/>
              </w:rPr>
              <w:t>1,</w:t>
            </w:r>
            <w:r>
              <w:rPr>
                <w:rFonts w:ascii="Times New Roman"/>
                <w:spacing w:val="-1"/>
                <w:sz w:val="21"/>
              </w:rPr>
              <w:t>332</w:t>
            </w:r>
            <w:r>
              <w:rPr>
                <w:rFonts w:ascii="宋体"/>
                <w:spacing w:val="-1"/>
                <w:sz w:val="21"/>
              </w:rPr>
              <w:t>,657,345.90</w:t>
            </w:r>
            <w:r>
              <w:rPr>
                <w:rFonts w:ascii="宋体"/>
                <w:sz w:val="21"/>
              </w:rPr>
              <w:t> </w:t>
            </w:r>
          </w:p>
        </w:tc>
      </w:tr>
      <w:tr>
        <w:trPr>
          <w:trHeight w:val="322" w:hRule="exact"/>
        </w:trPr>
        <w:tc>
          <w:tcPr>
            <w:tcW w:w="9050" w:type="dxa"/>
            <w:gridSpan w:val="3"/>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 </w:t>
            </w:r>
          </w:p>
        </w:tc>
      </w:tr>
      <w:tr>
        <w:trPr>
          <w:trHeight w:val="324" w:hRule="exact"/>
        </w:trPr>
        <w:tc>
          <w:tcPr>
            <w:tcW w:w="5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670" w:right="0"/>
              <w:jc w:val="left"/>
              <w:rPr>
                <w:rFonts w:ascii="宋体" w:hAnsi="宋体" w:cs="宋体" w:eastAsia="宋体" w:hint="default"/>
                <w:sz w:val="21"/>
                <w:szCs w:val="21"/>
              </w:rPr>
            </w:pPr>
            <w:r>
              <w:rPr>
                <w:rFonts w:ascii="宋体" w:hAnsi="宋体" w:cs="宋体" w:eastAsia="宋体" w:hint="default"/>
                <w:sz w:val="18"/>
                <w:szCs w:val="18"/>
              </w:rPr>
              <w:t>银行理财产品</w:t>
            </w:r>
            <w:r>
              <w:rPr>
                <w:rFonts w:ascii="宋体" w:hAnsi="宋体" w:cs="宋体" w:eastAsia="宋体" w:hint="default"/>
                <w:w w:val="100"/>
                <w:sz w:val="21"/>
                <w:szCs w:val="21"/>
              </w:rPr>
              <w:t> </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spacing w:val="-1"/>
                <w:sz w:val="21"/>
              </w:rPr>
              <w:t>866,579,908.83</w:t>
            </w:r>
            <w:r>
              <w:rPr>
                <w:rFonts w:ascii="宋体"/>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spacing w:val="-1"/>
                <w:sz w:val="21"/>
              </w:rPr>
              <w:t>1,332,657,345.90</w:t>
            </w:r>
            <w:r>
              <w:rPr>
                <w:rFonts w:ascii="宋体"/>
                <w:sz w:val="21"/>
              </w:rPr>
              <w:t> </w:t>
            </w:r>
          </w:p>
        </w:tc>
      </w:tr>
      <w:tr>
        <w:trPr>
          <w:trHeight w:val="322" w:hRule="exact"/>
        </w:trPr>
        <w:tc>
          <w:tcPr>
            <w:tcW w:w="5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670" w:right="0"/>
              <w:jc w:val="left"/>
              <w:rPr>
                <w:rFonts w:ascii="宋体" w:hAnsi="宋体" w:cs="宋体" w:eastAsia="宋体" w:hint="default"/>
                <w:sz w:val="21"/>
                <w:szCs w:val="21"/>
              </w:rPr>
            </w:pPr>
            <w:r>
              <w:rPr>
                <w:rFonts w:ascii="宋体" w:hAnsi="宋体" w:cs="宋体" w:eastAsia="宋体" w:hint="default"/>
                <w:sz w:val="18"/>
                <w:szCs w:val="18"/>
              </w:rPr>
              <w:t>信托理财产品</w:t>
            </w:r>
            <w:r>
              <w:rPr>
                <w:rFonts w:ascii="宋体" w:hAnsi="宋体" w:cs="宋体" w:eastAsia="宋体" w:hint="default"/>
                <w:w w:val="100"/>
                <w:sz w:val="21"/>
                <w:szCs w:val="21"/>
              </w:rPr>
              <w:t> </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134,006,782.59</w:t>
            </w:r>
            <w:r>
              <w:rPr>
                <w:rFonts w:ascii="宋体"/>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53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5"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3"/>
              <w:jc w:val="right"/>
              <w:rPr>
                <w:rFonts w:ascii="宋体" w:hAnsi="宋体" w:cs="宋体" w:eastAsia="宋体" w:hint="default"/>
                <w:sz w:val="21"/>
                <w:szCs w:val="21"/>
              </w:rPr>
            </w:pPr>
            <w:r>
              <w:rPr>
                <w:rFonts w:ascii="Times New Roman"/>
                <w:spacing w:val="-1"/>
                <w:sz w:val="18"/>
              </w:rPr>
              <w:t>1,000,586,691.42</w:t>
            </w:r>
            <w:r>
              <w:rPr>
                <w:rFonts w:ascii="宋体"/>
                <w:spacing w:val="-1"/>
                <w:w w:val="100"/>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1,332,657,345.90</w:t>
            </w:r>
            <w:r>
              <w:rPr>
                <w:rFonts w:ascii="宋体"/>
                <w:sz w:val="21"/>
              </w:rPr>
              <w:t> </w:t>
            </w:r>
          </w:p>
        </w:tc>
      </w:tr>
    </w:tbl>
    <w:p>
      <w:pPr>
        <w:spacing w:after="0" w:line="262" w:lineRule="exact"/>
        <w:jc w:val="right"/>
        <w:rPr>
          <w:rFonts w:ascii="宋体" w:hAnsi="宋体" w:cs="宋体" w:eastAsia="宋体" w:hint="default"/>
          <w:sz w:val="21"/>
          <w:szCs w:val="21"/>
        </w:rPr>
        <w:sectPr>
          <w:headerReference w:type="default" r:id="rId141"/>
          <w:pgSz w:w="11910" w:h="16840"/>
          <w:pgMar w:header="882" w:footer="974" w:top="1080" w:bottom="1160" w:left="1040" w:right="1560"/>
        </w:sectPr>
      </w:pPr>
    </w:p>
    <w:p>
      <w:pPr>
        <w:pStyle w:val="Heading2"/>
        <w:spacing w:line="273" w:lineRule="exact"/>
        <w:ind w:left="236" w:right="0"/>
        <w:jc w:val="left"/>
        <w:rPr>
          <w:rFonts w:ascii="宋体" w:hAnsi="宋体" w:cs="宋体" w:eastAsia="宋体" w:hint="default"/>
        </w:rPr>
      </w:pPr>
      <w:r>
        <w:rPr>
          <w:rFonts w:ascii="宋体"/>
        </w:rPr>
        <w:t> </w:t>
      </w:r>
    </w:p>
    <w:p>
      <w:pPr>
        <w:pStyle w:val="Heading2"/>
        <w:spacing w:line="312" w:lineRule="exact"/>
        <w:ind w:left="236" w:right="0"/>
        <w:jc w:val="left"/>
        <w:rPr>
          <w:rFonts w:ascii="宋体" w:hAnsi="宋体" w:cs="宋体" w:eastAsia="宋体" w:hint="default"/>
        </w:rPr>
      </w:pPr>
      <w:r>
        <w:rPr/>
        <w:t>其他说明：</w:t>
      </w:r>
      <w:r>
        <w:rPr>
          <w:rFonts w:ascii="宋体" w:hAnsi="宋体" w:cs="宋体" w:eastAsia="宋体" w:hint="default"/>
        </w:rPr>
        <w:t> </w:t>
      </w:r>
    </w:p>
    <w:p>
      <w:pPr>
        <w:pStyle w:val="Heading2"/>
        <w:spacing w:line="313" w:lineRule="exact"/>
        <w:ind w:left="23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BodyText"/>
        <w:spacing w:line="240" w:lineRule="auto" w:before="25"/>
        <w:ind w:left="236" w:right="0"/>
        <w:jc w:val="left"/>
        <w:rPr>
          <w:rFonts w:ascii="宋体" w:hAnsi="宋体" w:cs="宋体" w:eastAsia="宋体" w:hint="default"/>
        </w:rPr>
      </w:pPr>
      <w:r>
        <w:rPr>
          <w:rFonts w:ascii="宋体"/>
          <w:w w:val="100"/>
        </w:rPr>
        <w:t> </w:t>
      </w:r>
    </w:p>
    <w:p>
      <w:pPr>
        <w:pStyle w:val="Heading3"/>
        <w:spacing w:line="240" w:lineRule="auto"/>
        <w:ind w:left="236" w:right="0"/>
        <w:jc w:val="left"/>
        <w:rPr>
          <w:b w:val="0"/>
          <w:bCs w:val="0"/>
        </w:rPr>
      </w:pPr>
      <w:r>
        <w:rPr>
          <w:rFonts w:ascii="宋体" w:hAnsi="宋体" w:cs="宋体" w:eastAsia="宋体" w:hint="default"/>
        </w:rPr>
        <w:t>3</w:t>
      </w:r>
      <w:r>
        <w:rPr/>
        <w:t>、</w:t>
      </w:r>
      <w:r>
        <w:rPr>
          <w:spacing w:val="-1"/>
        </w:rPr>
        <w:t> </w:t>
      </w:r>
      <w:r>
        <w:rPr/>
        <w:t>衍生金融资产</w:t>
      </w:r>
      <w:r>
        <w:rPr>
          <w:b w:val="0"/>
          <w:bCs w:val="0"/>
        </w:rPr>
      </w:r>
    </w:p>
    <w:p>
      <w:pPr>
        <w:pStyle w:val="BodyText"/>
        <w:spacing w:line="240" w:lineRule="auto" w:before="97"/>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15"/>
        <w:ind w:left="236" w:right="0"/>
        <w:jc w:val="left"/>
        <w:rPr>
          <w:rFonts w:ascii="宋体" w:hAnsi="宋体" w:cs="宋体" w:eastAsia="宋体" w:hint="default"/>
        </w:rPr>
      </w:pPr>
      <w:r>
        <w:rPr>
          <w:rFonts w:ascii="宋体"/>
          <w:w w:val="100"/>
        </w:rPr>
        <w:t> </w:t>
      </w:r>
    </w:p>
    <w:p>
      <w:pPr>
        <w:pStyle w:val="Heading3"/>
        <w:spacing w:line="240" w:lineRule="auto" w:before="80"/>
        <w:ind w:left="236" w:right="0"/>
        <w:jc w:val="left"/>
        <w:rPr>
          <w:rFonts w:ascii="宋体" w:hAnsi="宋体" w:cs="宋体" w:eastAsia="宋体" w:hint="default"/>
          <w:b w:val="0"/>
          <w:bCs w:val="0"/>
        </w:rPr>
      </w:pPr>
      <w:r>
        <w:rPr>
          <w:rFonts w:ascii="宋体" w:hAnsi="宋体" w:cs="宋体" w:eastAsia="宋体" w:hint="default"/>
        </w:rPr>
        <w:t>4</w:t>
      </w:r>
      <w:r>
        <w:rPr/>
        <w:t>、</w:t>
      </w:r>
      <w:r>
        <w:rPr>
          <w:spacing w:val="-5"/>
        </w:rPr>
        <w:t> </w:t>
      </w:r>
      <w:r>
        <w:rPr/>
        <w:t>应收票据</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ind w:left="236" w:right="0"/>
        <w:jc w:val="left"/>
        <w:rPr>
          <w:rFonts w:ascii="宋体" w:hAnsi="宋体" w:cs="宋体" w:eastAsia="宋体" w:hint="default"/>
          <w:b w:val="0"/>
          <w:bCs w:val="0"/>
        </w:rPr>
      </w:pPr>
      <w:r>
        <w:rPr>
          <w:rFonts w:ascii="宋体" w:hAnsi="宋体" w:cs="宋体" w:eastAsia="宋体" w:hint="default"/>
        </w:rPr>
        <w:t>(1).</w:t>
      </w:r>
      <w:r>
        <w:rPr>
          <w:rFonts w:ascii="宋体" w:hAnsi="宋体" w:cs="宋体" w:eastAsia="宋体" w:hint="default"/>
          <w:spacing w:val="-2"/>
        </w:rPr>
        <w:t> </w:t>
      </w:r>
      <w:r>
        <w:rPr/>
        <w:t>应收票据分类列示</w:t>
      </w:r>
      <w:r>
        <w:rPr>
          <w:rFonts w:ascii="宋体" w:hAnsi="宋体" w:cs="宋体" w:eastAsia="宋体" w:hint="default"/>
          <w:w w:val="99"/>
        </w:rPr>
        <w:t> </w:t>
      </w:r>
      <w:r>
        <w:rPr>
          <w:rFonts w:ascii="宋体" w:hAnsi="宋体" w:cs="宋体" w:eastAsia="宋体" w:hint="default"/>
          <w:b w:val="0"/>
          <w:bCs w:val="0"/>
        </w:rPr>
      </w:r>
    </w:p>
    <w:p>
      <w:pPr>
        <w:pStyle w:val="Heading2"/>
        <w:spacing w:line="240" w:lineRule="auto" w:before="69"/>
        <w:ind w:left="23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5"/>
          <w:szCs w:val="15"/>
        </w:rPr>
      </w:pPr>
    </w:p>
    <w:p>
      <w:pPr>
        <w:pStyle w:val="BodyText"/>
        <w:spacing w:line="240" w:lineRule="auto"/>
        <w:ind w:left="236" w:right="0"/>
        <w:jc w:val="left"/>
        <w:rPr>
          <w:rFonts w:ascii="宋体" w:hAnsi="宋体" w:cs="宋体" w:eastAsia="宋体" w:hint="default"/>
        </w:rPr>
      </w:pPr>
      <w:r>
        <w:rPr/>
        <w:t>单位：元币种：人民币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580" w:bottom="280" w:left="1040" w:right="1560"/>
          <w:cols w:num="2" w:equalWidth="0">
            <w:col w:w="2559" w:space="4175"/>
            <w:col w:w="2576"/>
          </w:cols>
        </w:sectPr>
      </w:pPr>
    </w:p>
    <w:p>
      <w:pPr>
        <w:spacing w:line="240" w:lineRule="auto" w:before="4"/>
        <w:rPr>
          <w:rFonts w:ascii="宋体" w:hAnsi="宋体" w:cs="宋体" w:eastAsia="宋体" w:hint="default"/>
          <w:sz w:val="2"/>
          <w:szCs w:val="2"/>
        </w:rPr>
      </w:pPr>
      <w:r>
        <w:rPr/>
        <w:pict>
          <v:group style="position:absolute;margin-left:58.849998pt;margin-top:37.399982pt;width:447.55pt;height:19.650pt;mso-position-horizontal-relative:page;mso-position-vertical-relative:page;z-index:-1318576" coordorigin="1177,748" coordsize="8951,393">
            <v:group style="position:absolute;left:1248;top:1118;width:8873;height:2" coordorigin="1248,1118" coordsize="8873,2">
              <v:shape style="position:absolute;left:1248;top:1118;width:8873;height:2" coordorigin="1248,1118" coordsize="8873,0" path="m1248,1118l10120,1118e" filled="false" stroked="true" strokeweight=".72pt" strokecolor="#000000">
                <v:path arrowok="t"/>
              </v:shape>
              <v:shape style="position:absolute;left:1177;top:748;width:465;height:393" type="#_x0000_t75" stroked="false">
                <v:imagedata r:id="rId10" o:title=""/>
              </v:shape>
            </v:group>
            <w10:wrap type="none"/>
          </v:group>
        </w:pict>
      </w:r>
      <w:r>
        <w:rPr/>
        <w:pict>
          <v:group style="position:absolute;margin-left:105.620003pt;margin-top:111.020004pt;width:358.2pt;height:.5pt;mso-position-horizontal-relative:page;mso-position-vertical-relative:page;z-index:-1318552" coordorigin="2112,2220" coordsize="7164,10">
            <v:shape style="position:absolute;left:2112;top:2220;width:2177;height:10" type="#_x0000_t75" stroked="false">
              <v:imagedata r:id="rId142" o:title=""/>
            </v:shape>
            <v:shape style="position:absolute;left:4285;top:2220;width:4991;height:10" type="#_x0000_t75" stroked="false">
              <v:imagedata r:id="rId147" o:title=""/>
            </v:shape>
            <w10:wrap type="none"/>
          </v:group>
        </w:pict>
      </w:r>
      <w:r>
        <w:rPr/>
        <w:pict>
          <v:group style="position:absolute;margin-left:105.620003pt;margin-top:137.059998pt;width:358.2pt;height:.5pt;mso-position-horizontal-relative:page;mso-position-vertical-relative:page;z-index:-1318528" coordorigin="2112,2741" coordsize="7164,10">
            <v:shape style="position:absolute;left:2112;top:2741;width:2177;height:10" type="#_x0000_t75" stroked="false">
              <v:imagedata r:id="rId142" o:title=""/>
            </v:shape>
            <v:shape style="position:absolute;left:4285;top:2741;width:4991;height:10" type="#_x0000_t75" stroked="false">
              <v:imagedata r:id="rId143" o:title=""/>
            </v:shape>
            <w10:wrap type="none"/>
          </v:group>
        </w:pict>
      </w:r>
    </w:p>
    <w:tbl>
      <w:tblPr>
        <w:tblW w:w="0" w:type="auto"/>
        <w:jc w:val="left"/>
        <w:tblInd w:w="119" w:type="dxa"/>
        <w:tblLayout w:type="fixed"/>
        <w:tblCellMar>
          <w:top w:w="0" w:type="dxa"/>
          <w:left w:w="0" w:type="dxa"/>
          <w:bottom w:w="0" w:type="dxa"/>
          <w:right w:w="0" w:type="dxa"/>
        </w:tblCellMar>
        <w:tblLook w:val="01E0"/>
      </w:tblPr>
      <w:tblGrid>
        <w:gridCol w:w="2994"/>
        <w:gridCol w:w="3130"/>
        <w:gridCol w:w="2938"/>
      </w:tblGrid>
      <w:tr>
        <w:trPr>
          <w:trHeight w:val="283" w:hRule="exact"/>
        </w:trPr>
        <w:tc>
          <w:tcPr>
            <w:tcW w:w="2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74"/>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31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37"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1"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322" w:hRule="exact"/>
        </w:trPr>
        <w:tc>
          <w:tcPr>
            <w:tcW w:w="2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银行承兑票据</w:t>
            </w:r>
            <w:r>
              <w:rPr>
                <w:rFonts w:ascii="宋体" w:hAnsi="宋体" w:cs="宋体" w:eastAsia="宋体" w:hint="default"/>
                <w:sz w:val="21"/>
                <w:szCs w:val="21"/>
              </w:rPr>
              <w:t> </w:t>
            </w:r>
          </w:p>
        </w:tc>
        <w:tc>
          <w:tcPr>
            <w:tcW w:w="313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4"/>
              <w:jc w:val="right"/>
              <w:rPr>
                <w:rFonts w:ascii="宋体" w:hAnsi="宋体" w:cs="宋体" w:eastAsia="宋体" w:hint="default"/>
                <w:sz w:val="21"/>
                <w:szCs w:val="21"/>
              </w:rPr>
            </w:pPr>
            <w:r>
              <w:rPr>
                <w:rFonts w:ascii="宋体"/>
                <w:spacing w:val="-1"/>
                <w:sz w:val="21"/>
              </w:rPr>
              <w:t>40,157,676.95</w:t>
            </w:r>
            <w:r>
              <w:rPr>
                <w:rFonts w:ascii="宋体"/>
                <w:sz w:val="21"/>
              </w:rPr>
              <w:t> </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7"/>
              <w:jc w:val="right"/>
              <w:rPr>
                <w:rFonts w:ascii="宋体" w:hAnsi="宋体" w:cs="宋体" w:eastAsia="宋体" w:hint="default"/>
                <w:sz w:val="21"/>
                <w:szCs w:val="21"/>
              </w:rPr>
            </w:pPr>
            <w:r>
              <w:rPr>
                <w:rFonts w:ascii="宋体"/>
                <w:spacing w:val="-1"/>
                <w:sz w:val="21"/>
              </w:rPr>
              <w:t>18,535,006.26</w:t>
            </w:r>
            <w:r>
              <w:rPr>
                <w:rFonts w:ascii="宋体"/>
                <w:sz w:val="21"/>
              </w:rPr>
              <w:t> </w:t>
            </w:r>
          </w:p>
        </w:tc>
      </w:tr>
      <w:tr>
        <w:trPr>
          <w:trHeight w:val="322" w:hRule="exact"/>
        </w:trPr>
        <w:tc>
          <w:tcPr>
            <w:tcW w:w="2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商业承兑票据</w:t>
            </w:r>
            <w:r>
              <w:rPr>
                <w:rFonts w:ascii="宋体" w:hAnsi="宋体" w:cs="宋体" w:eastAsia="宋体" w:hint="default"/>
                <w:sz w:val="21"/>
                <w:szCs w:val="21"/>
              </w:rPr>
              <w:t> </w:t>
            </w:r>
          </w:p>
        </w:tc>
        <w:tc>
          <w:tcPr>
            <w:tcW w:w="313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4"/>
              <w:jc w:val="right"/>
              <w:rPr>
                <w:rFonts w:ascii="宋体" w:hAnsi="宋体" w:cs="宋体" w:eastAsia="宋体" w:hint="default"/>
                <w:sz w:val="21"/>
                <w:szCs w:val="21"/>
              </w:rPr>
            </w:pPr>
            <w:r>
              <w:rPr>
                <w:rFonts w:ascii="宋体"/>
                <w:spacing w:val="-1"/>
                <w:sz w:val="21"/>
              </w:rPr>
              <w:t>29,428,800.42</w:t>
            </w:r>
            <w:r>
              <w:rPr>
                <w:rFonts w:ascii="宋体"/>
                <w:sz w:val="21"/>
              </w:rPr>
              <w:t> </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7"/>
              <w:jc w:val="right"/>
              <w:rPr>
                <w:rFonts w:ascii="宋体" w:hAnsi="宋体" w:cs="宋体" w:eastAsia="宋体" w:hint="default"/>
                <w:sz w:val="21"/>
                <w:szCs w:val="21"/>
              </w:rPr>
            </w:pPr>
            <w:r>
              <w:rPr>
                <w:rFonts w:ascii="宋体"/>
                <w:spacing w:val="-1"/>
                <w:sz w:val="21"/>
              </w:rPr>
              <w:t>14,207,594.30</w:t>
            </w:r>
            <w:r>
              <w:rPr>
                <w:rFonts w:ascii="宋体"/>
                <w:sz w:val="21"/>
              </w:rPr>
              <w:t> </w:t>
            </w:r>
          </w:p>
        </w:tc>
      </w:tr>
      <w:tr>
        <w:trPr>
          <w:trHeight w:val="322" w:hRule="exact"/>
        </w:trPr>
        <w:tc>
          <w:tcPr>
            <w:tcW w:w="2994"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08" w:right="0"/>
              <w:jc w:val="left"/>
              <w:rPr>
                <w:rFonts w:ascii="宋体" w:hAnsi="宋体" w:cs="宋体" w:eastAsia="宋体" w:hint="default"/>
                <w:sz w:val="21"/>
                <w:szCs w:val="21"/>
              </w:rPr>
            </w:pPr>
            <w:r>
              <w:rPr>
                <w:rFonts w:ascii="宋体" w:hAnsi="宋体" w:cs="宋体" w:eastAsia="宋体" w:hint="default"/>
                <w:sz w:val="18"/>
                <w:szCs w:val="18"/>
              </w:rPr>
              <w:t>银行汇票</w:t>
            </w:r>
            <w:r>
              <w:rPr>
                <w:rFonts w:ascii="宋体" w:hAnsi="宋体" w:cs="宋体" w:eastAsia="宋体" w:hint="default"/>
                <w:w w:val="100"/>
                <w:sz w:val="21"/>
                <w:szCs w:val="21"/>
              </w:rPr>
              <w:t> </w:t>
            </w:r>
          </w:p>
        </w:tc>
        <w:tc>
          <w:tcPr>
            <w:tcW w:w="313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4"/>
              <w:jc w:val="right"/>
              <w:rPr>
                <w:rFonts w:ascii="宋体" w:hAnsi="宋体" w:cs="宋体" w:eastAsia="宋体" w:hint="default"/>
                <w:sz w:val="21"/>
                <w:szCs w:val="21"/>
              </w:rPr>
            </w:pPr>
            <w:r>
              <w:rPr>
                <w:rFonts w:ascii="宋体"/>
                <w:spacing w:val="-1"/>
                <w:sz w:val="21"/>
              </w:rPr>
              <w:t>3,357,223.15</w:t>
            </w:r>
            <w:r>
              <w:rPr>
                <w:rFonts w:ascii="宋体"/>
                <w:sz w:val="21"/>
              </w:rPr>
              <w:t> </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7"/>
              <w:jc w:val="right"/>
              <w:rPr>
                <w:rFonts w:ascii="宋体" w:hAnsi="宋体" w:cs="宋体" w:eastAsia="宋体" w:hint="default"/>
                <w:sz w:val="21"/>
                <w:szCs w:val="21"/>
              </w:rPr>
            </w:pPr>
            <w:r>
              <w:rPr>
                <w:rFonts w:ascii="宋体"/>
                <w:w w:val="100"/>
                <w:sz w:val="21"/>
              </w:rPr>
              <w:t> </w:t>
            </w:r>
          </w:p>
        </w:tc>
      </w:tr>
      <w:tr>
        <w:trPr>
          <w:trHeight w:val="322" w:hRule="exact"/>
        </w:trPr>
        <w:tc>
          <w:tcPr>
            <w:tcW w:w="29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174"/>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313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
              <w:jc w:val="right"/>
              <w:rPr>
                <w:rFonts w:ascii="宋体" w:hAnsi="宋体" w:cs="宋体" w:eastAsia="宋体" w:hint="default"/>
                <w:sz w:val="21"/>
                <w:szCs w:val="21"/>
              </w:rPr>
            </w:pPr>
            <w:r>
              <w:rPr>
                <w:rFonts w:ascii="宋体"/>
                <w:spacing w:val="-1"/>
                <w:sz w:val="21"/>
              </w:rPr>
              <w:t>72,943,700.52</w:t>
            </w:r>
            <w:r>
              <w:rPr>
                <w:rFonts w:ascii="宋体"/>
                <w:sz w:val="21"/>
              </w:rPr>
              <w:t> </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
              <w:jc w:val="right"/>
              <w:rPr>
                <w:rFonts w:ascii="宋体" w:hAnsi="宋体" w:cs="宋体" w:eastAsia="宋体" w:hint="default"/>
                <w:sz w:val="21"/>
                <w:szCs w:val="21"/>
              </w:rPr>
            </w:pPr>
            <w:r>
              <w:rPr>
                <w:rFonts w:ascii="宋体"/>
                <w:spacing w:val="-1"/>
                <w:sz w:val="21"/>
              </w:rPr>
              <w:t>32,742,600.56</w:t>
            </w:r>
            <w:r>
              <w:rPr>
                <w:rFonts w:ascii="宋体"/>
                <w:sz w:val="21"/>
              </w:rPr>
              <w:t> </w:t>
            </w:r>
          </w:p>
        </w:tc>
      </w:tr>
    </w:tbl>
    <w:p>
      <w:pPr>
        <w:pStyle w:val="BodyText"/>
        <w:spacing w:line="241" w:lineRule="exact"/>
        <w:ind w:left="236" w:right="0"/>
        <w:jc w:val="left"/>
        <w:rPr>
          <w:rFonts w:ascii="宋体" w:hAnsi="宋体" w:cs="宋体" w:eastAsia="宋体" w:hint="default"/>
        </w:rPr>
      </w:pPr>
      <w:r>
        <w:rPr>
          <w:rFonts w:ascii="宋体"/>
          <w:w w:val="100"/>
        </w:rPr>
        <w:t> </w:t>
      </w:r>
    </w:p>
    <w:p>
      <w:pPr>
        <w:pStyle w:val="Heading3"/>
        <w:spacing w:line="240" w:lineRule="auto" w:before="80"/>
        <w:ind w:left="236" w:right="28"/>
        <w:jc w:val="left"/>
        <w:rPr>
          <w:rFonts w:ascii="宋体" w:hAnsi="宋体" w:cs="宋体" w:eastAsia="宋体" w:hint="default"/>
          <w:b w:val="0"/>
          <w:bCs w:val="0"/>
        </w:rPr>
      </w:pPr>
      <w:r>
        <w:rPr>
          <w:rFonts w:ascii="宋体" w:hAnsi="宋体" w:cs="宋体" w:eastAsia="宋体" w:hint="default"/>
        </w:rPr>
        <w:t>(2).</w:t>
      </w:r>
      <w:r>
        <w:rPr>
          <w:rFonts w:ascii="宋体" w:hAnsi="宋体" w:cs="宋体" w:eastAsia="宋体" w:hint="default"/>
          <w:spacing w:val="-4"/>
        </w:rPr>
        <w:t> </w:t>
      </w:r>
      <w:r>
        <w:rPr/>
        <w:t>期末公司已质押的应收票据</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7"/>
        <w:ind w:left="236" w:right="28"/>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580" w:bottom="280" w:left="1040" w:right="1560"/>
        </w:sectPr>
      </w:pPr>
    </w:p>
    <w:p>
      <w:pPr>
        <w:spacing w:line="240" w:lineRule="auto" w:before="9"/>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pgSz w:w="11910" w:h="16840"/>
          <w:pgMar w:header="882" w:footer="974" w:top="1080" w:bottom="1160" w:left="1060" w:right="1560"/>
        </w:sectPr>
      </w:pPr>
    </w:p>
    <w:p>
      <w:pPr>
        <w:pStyle w:val="Heading3"/>
        <w:spacing w:line="240" w:lineRule="auto" w:before="36"/>
        <w:ind w:left="216" w:right="0"/>
        <w:jc w:val="left"/>
        <w:rPr>
          <w:rFonts w:ascii="宋体" w:hAnsi="宋体" w:cs="宋体" w:eastAsia="宋体" w:hint="default"/>
          <w:b w:val="0"/>
          <w:bCs w:val="0"/>
        </w:rPr>
      </w:pPr>
      <w:r>
        <w:rPr>
          <w:rFonts w:ascii="宋体" w:hAnsi="宋体" w:cs="宋体" w:eastAsia="宋体" w:hint="default"/>
        </w:rPr>
        <w:t>(3).</w:t>
      </w:r>
      <w:r>
        <w:rPr>
          <w:rFonts w:ascii="宋体" w:hAnsi="宋体" w:cs="宋体" w:eastAsia="宋体" w:hint="default"/>
          <w:spacing w:val="-5"/>
        </w:rPr>
        <w:t> </w:t>
      </w:r>
      <w:r>
        <w:rPr/>
        <w:t>期末公司已背书或贴现且在资产负债表日尚未到期的应收票据</w:t>
      </w:r>
      <w:r>
        <w:rPr>
          <w:rFonts w:ascii="宋体" w:hAnsi="宋体" w:cs="宋体" w:eastAsia="宋体" w:hint="default"/>
          <w:w w:val="99"/>
        </w:rPr>
        <w:t> </w:t>
      </w:r>
      <w:r>
        <w:rPr>
          <w:rFonts w:ascii="宋体" w:hAnsi="宋体" w:cs="宋体" w:eastAsia="宋体" w:hint="default"/>
          <w:b w:val="0"/>
          <w:bCs w:val="0"/>
        </w:rPr>
      </w:r>
    </w:p>
    <w:p>
      <w:pPr>
        <w:pStyle w:val="Heading2"/>
        <w:spacing w:line="240" w:lineRule="auto" w:before="69"/>
        <w:ind w:left="21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spacing w:line="240" w:lineRule="auto"/>
        <w:ind w:left="216" w:right="0"/>
        <w:jc w:val="left"/>
        <w:rPr>
          <w:rFonts w:ascii="宋体" w:hAnsi="宋体" w:cs="宋体" w:eastAsia="宋体" w:hint="default"/>
        </w:rPr>
      </w:pPr>
      <w:r>
        <w:rPr/>
        <w:t>单位：元币种：人民币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580" w:bottom="280" w:left="1060" w:right="1560"/>
          <w:cols w:num="2" w:equalWidth="0">
            <w:col w:w="6543" w:space="191"/>
            <w:col w:w="2556"/>
          </w:cols>
        </w:sectPr>
      </w:pPr>
    </w:p>
    <w:p>
      <w:pPr>
        <w:spacing w:line="240" w:lineRule="auto" w:before="10"/>
        <w:rPr>
          <w:rFonts w:ascii="宋体" w:hAnsi="宋体" w:cs="宋体" w:eastAsia="宋体" w:hint="default"/>
          <w:sz w:val="3"/>
          <w:szCs w:val="3"/>
        </w:rPr>
      </w:pPr>
    </w:p>
    <w:tbl>
      <w:tblPr>
        <w:tblW w:w="0" w:type="auto"/>
        <w:jc w:val="left"/>
        <w:tblInd w:w="103" w:type="dxa"/>
        <w:tblLayout w:type="fixed"/>
        <w:tblCellMar>
          <w:top w:w="0" w:type="dxa"/>
          <w:left w:w="0" w:type="dxa"/>
          <w:bottom w:w="0" w:type="dxa"/>
          <w:right w:w="0" w:type="dxa"/>
        </w:tblCellMar>
        <w:tblLook w:val="01E0"/>
      </w:tblPr>
      <w:tblGrid>
        <w:gridCol w:w="2879"/>
        <w:gridCol w:w="3051"/>
        <w:gridCol w:w="3121"/>
      </w:tblGrid>
      <w:tr>
        <w:trPr>
          <w:trHeight w:val="322" w:hRule="exact"/>
        </w:trPr>
        <w:tc>
          <w:tcPr>
            <w:tcW w:w="287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118"/>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676" w:right="0"/>
              <w:jc w:val="left"/>
              <w:rPr>
                <w:rFonts w:ascii="宋体" w:hAnsi="宋体" w:cs="宋体" w:eastAsia="宋体" w:hint="default"/>
                <w:sz w:val="21"/>
                <w:szCs w:val="21"/>
              </w:rPr>
            </w:pPr>
            <w:r>
              <w:rPr>
                <w:rFonts w:ascii="宋体" w:hAnsi="宋体" w:cs="宋体" w:eastAsia="宋体" w:hint="default"/>
                <w:sz w:val="21"/>
                <w:szCs w:val="21"/>
              </w:rPr>
              <w:t>期末终止确认金额</w:t>
            </w:r>
            <w:r>
              <w:rPr>
                <w:rFonts w:ascii="宋体" w:hAnsi="宋体" w:cs="宋体" w:eastAsia="宋体" w:hint="default"/>
                <w:sz w:val="21"/>
                <w:szCs w:val="21"/>
              </w:rPr>
              <w:t> </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607" w:right="0"/>
              <w:jc w:val="left"/>
              <w:rPr>
                <w:rFonts w:ascii="宋体" w:hAnsi="宋体" w:cs="宋体" w:eastAsia="宋体" w:hint="default"/>
                <w:sz w:val="21"/>
                <w:szCs w:val="21"/>
              </w:rPr>
            </w:pPr>
            <w:r>
              <w:rPr>
                <w:rFonts w:ascii="宋体" w:hAnsi="宋体" w:cs="宋体" w:eastAsia="宋体" w:hint="default"/>
                <w:sz w:val="21"/>
                <w:szCs w:val="21"/>
              </w:rPr>
              <w:t>期末未终止确认金额</w:t>
            </w:r>
            <w:r>
              <w:rPr>
                <w:rFonts w:ascii="宋体" w:hAnsi="宋体" w:cs="宋体" w:eastAsia="宋体" w:hint="default"/>
                <w:sz w:val="21"/>
                <w:szCs w:val="21"/>
              </w:rPr>
              <w:t> </w:t>
            </w:r>
          </w:p>
        </w:tc>
      </w:tr>
      <w:tr>
        <w:trPr>
          <w:trHeight w:val="322" w:hRule="exact"/>
        </w:trPr>
        <w:tc>
          <w:tcPr>
            <w:tcW w:w="287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银行承兑票据</w:t>
            </w:r>
            <w:r>
              <w:rPr>
                <w:rFonts w:ascii="宋体" w:hAnsi="宋体" w:cs="宋体" w:eastAsia="宋体" w:hint="default"/>
                <w:sz w:val="21"/>
                <w:szCs w:val="21"/>
              </w:rPr>
              <w:t> </w:t>
            </w:r>
          </w:p>
        </w:tc>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189,262,224.44</w:t>
            </w:r>
            <w:r>
              <w:rPr>
                <w:rFonts w:ascii="宋体"/>
                <w:sz w:val="21"/>
              </w:rPr>
              <w:t> </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287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商业承兑票据</w:t>
            </w:r>
            <w:r>
              <w:rPr>
                <w:rFonts w:ascii="宋体" w:hAnsi="宋体" w:cs="宋体" w:eastAsia="宋体" w:hint="default"/>
                <w:sz w:val="24"/>
                <w:szCs w:val="24"/>
              </w:rPr>
              <w:t> </w:t>
            </w:r>
          </w:p>
        </w:tc>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1,200,000.00</w:t>
            </w:r>
            <w:r>
              <w:rPr>
                <w:rFonts w:ascii="宋体"/>
                <w:sz w:val="21"/>
              </w:rPr>
              <w:t> </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4" w:hRule="exact"/>
        </w:trPr>
        <w:tc>
          <w:tcPr>
            <w:tcW w:w="287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118"/>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
              <w:jc w:val="right"/>
              <w:rPr>
                <w:rFonts w:ascii="宋体" w:hAnsi="宋体" w:cs="宋体" w:eastAsia="宋体" w:hint="default"/>
                <w:sz w:val="21"/>
                <w:szCs w:val="21"/>
              </w:rPr>
            </w:pPr>
            <w:r>
              <w:rPr>
                <w:rFonts w:ascii="宋体"/>
                <w:spacing w:val="-1"/>
                <w:sz w:val="21"/>
              </w:rPr>
              <w:t>190,462,224.44</w:t>
            </w:r>
            <w:r>
              <w:rPr>
                <w:rFonts w:ascii="宋体"/>
                <w:sz w:val="21"/>
              </w:rPr>
              <w:t> </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w w:val="100"/>
                <w:sz w:val="21"/>
              </w:rPr>
              <w:t> </w:t>
            </w:r>
          </w:p>
        </w:tc>
      </w:tr>
    </w:tbl>
    <w:p>
      <w:pPr>
        <w:spacing w:line="240" w:lineRule="auto" w:before="9"/>
        <w:rPr>
          <w:rFonts w:ascii="宋体" w:hAnsi="宋体" w:cs="宋体" w:eastAsia="宋体" w:hint="default"/>
          <w:sz w:val="24"/>
          <w:szCs w:val="24"/>
        </w:rPr>
      </w:pPr>
    </w:p>
    <w:p>
      <w:pPr>
        <w:pStyle w:val="Heading3"/>
        <w:spacing w:line="240" w:lineRule="auto" w:before="36"/>
        <w:ind w:left="216" w:right="0"/>
        <w:jc w:val="left"/>
        <w:rPr>
          <w:rFonts w:ascii="宋体" w:hAnsi="宋体" w:cs="宋体" w:eastAsia="宋体" w:hint="default"/>
          <w:b w:val="0"/>
          <w:bCs w:val="0"/>
        </w:rPr>
      </w:pPr>
      <w:r>
        <w:rPr>
          <w:rFonts w:ascii="宋体" w:hAnsi="宋体" w:cs="宋体" w:eastAsia="宋体" w:hint="default"/>
        </w:rPr>
        <w:t>(4).</w:t>
      </w:r>
      <w:r>
        <w:rPr>
          <w:rFonts w:ascii="宋体" w:hAnsi="宋体" w:cs="宋体" w:eastAsia="宋体" w:hint="default"/>
          <w:spacing w:val="-5"/>
        </w:rPr>
        <w:t> </w:t>
      </w:r>
      <w:r>
        <w:rPr/>
        <w:t>期末公司因出票人未履约而将其转应收账款的票据</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7"/>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rPr>
        <w:t> </w:t>
      </w:r>
    </w:p>
    <w:p>
      <w:pPr>
        <w:spacing w:line="240" w:lineRule="auto" w:before="0"/>
        <w:rPr>
          <w:rFonts w:ascii="宋体" w:hAnsi="宋体" w:cs="宋体" w:eastAsia="宋体" w:hint="default"/>
          <w:sz w:val="20"/>
          <w:szCs w:val="20"/>
        </w:rPr>
      </w:pPr>
    </w:p>
    <w:p>
      <w:pPr>
        <w:pStyle w:val="Heading3"/>
        <w:spacing w:line="240" w:lineRule="auto" w:before="148"/>
        <w:ind w:left="216" w:right="0"/>
        <w:jc w:val="left"/>
        <w:rPr>
          <w:rFonts w:ascii="宋体" w:hAnsi="宋体" w:cs="宋体" w:eastAsia="宋体" w:hint="default"/>
          <w:b w:val="0"/>
          <w:bCs w:val="0"/>
        </w:rPr>
      </w:pPr>
      <w:r>
        <w:rPr>
          <w:rFonts w:ascii="宋体" w:hAnsi="宋体" w:cs="宋体" w:eastAsia="宋体" w:hint="default"/>
        </w:rPr>
        <w:t>(5).</w:t>
      </w:r>
      <w:r>
        <w:rPr>
          <w:rFonts w:ascii="宋体" w:hAnsi="宋体" w:cs="宋体" w:eastAsia="宋体" w:hint="default"/>
          <w:spacing w:val="-2"/>
        </w:rPr>
        <w:t> </w:t>
      </w:r>
      <w:r>
        <w:rPr/>
        <w:t>按坏账计提方法分类披露</w:t>
      </w:r>
      <w:r>
        <w:rPr>
          <w:rFonts w:ascii="宋体" w:hAnsi="宋体" w:cs="宋体" w:eastAsia="宋体" w:hint="default"/>
          <w:w w:val="99"/>
        </w:rPr>
        <w:t> </w:t>
      </w:r>
      <w:r>
        <w:rPr>
          <w:rFonts w:ascii="宋体" w:hAnsi="宋体" w:cs="宋体" w:eastAsia="宋体" w:hint="default"/>
          <w:b w:val="0"/>
          <w:bCs w:val="0"/>
        </w:rPr>
      </w:r>
    </w:p>
    <w:p>
      <w:pPr>
        <w:pStyle w:val="Heading2"/>
        <w:spacing w:line="312" w:lineRule="exact" w:before="100"/>
        <w:ind w:left="216" w:right="6307"/>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r>
        <w:rPr/>
        <w:t>按单项计提坏账准备：</w:t>
      </w:r>
      <w:r>
        <w:rPr>
          <w:rFonts w:ascii="宋体" w:hAnsi="宋体" w:cs="宋体" w:eastAsia="宋体" w:hint="default"/>
        </w:rPr>
        <w:t> </w:t>
      </w:r>
    </w:p>
    <w:p>
      <w:pPr>
        <w:pStyle w:val="BodyText"/>
        <w:spacing w:line="272" w:lineRule="exact"/>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auto" w:before="37"/>
        <w:ind w:left="216" w:right="6844"/>
        <w:jc w:val="left"/>
      </w:pPr>
      <w:r>
        <w:rPr>
          <w:rFonts w:ascii="宋体" w:hAnsi="宋体" w:cs="宋体" w:eastAsia="宋体" w:hint="default"/>
          <w:w w:val="100"/>
        </w:rPr>
        <w:t> </w:t>
      </w:r>
      <w:r>
        <w:rPr>
          <w:w w:val="100"/>
        </w:rPr>
        <w:t>按组</w:t>
      </w:r>
      <w:r>
        <w:rPr>
          <w:spacing w:val="-3"/>
          <w:w w:val="100"/>
        </w:rPr>
        <w:t>合</w:t>
      </w:r>
      <w:r>
        <w:rPr>
          <w:w w:val="100"/>
        </w:rPr>
        <w:t>计</w:t>
      </w:r>
      <w:r>
        <w:rPr>
          <w:spacing w:val="-3"/>
          <w:w w:val="100"/>
        </w:rPr>
        <w:t>提</w:t>
      </w:r>
      <w:r>
        <w:rPr>
          <w:w w:val="100"/>
        </w:rPr>
        <w:t>坏</w:t>
      </w:r>
      <w:r>
        <w:rPr>
          <w:spacing w:val="-3"/>
          <w:w w:val="100"/>
        </w:rPr>
        <w:t>账</w:t>
      </w:r>
      <w:r>
        <w:rPr>
          <w:w w:val="100"/>
        </w:rPr>
        <w:t>准</w:t>
      </w:r>
      <w:r>
        <w:rPr>
          <w:spacing w:val="-3"/>
          <w:w w:val="100"/>
        </w:rPr>
        <w:t>备</w:t>
      </w:r>
      <w:r>
        <w:rPr>
          <w:w w:val="100"/>
        </w:rPr>
        <w:t>：</w:t>
      </w:r>
    </w:p>
    <w:p>
      <w:pPr>
        <w:pStyle w:val="BodyText"/>
        <w:spacing w:line="273" w:lineRule="auto" w:before="7"/>
        <w:ind w:left="216" w:right="181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w w:val="100"/>
        </w:rPr>
        <w:t> </w:t>
      </w:r>
      <w:r>
        <w:rPr/>
        <w:t>如按预期信用损失一般模型计提坏账准备，请参照其他应收款披露：</w:t>
      </w:r>
      <w:r>
        <w:rPr>
          <w:rFonts w:ascii="宋体" w:hAnsi="宋体" w:cs="宋体" w:eastAsia="宋体" w:hint="default"/>
        </w:rPr>
        <w:t> </w:t>
      </w:r>
    </w:p>
    <w:p>
      <w:pPr>
        <w:pStyle w:val="BodyText"/>
        <w:spacing w:line="240" w:lineRule="auto" w:before="7"/>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p>
    <w:p>
      <w:pPr>
        <w:pStyle w:val="Heading3"/>
        <w:spacing w:line="240" w:lineRule="auto" w:before="147"/>
        <w:ind w:left="216" w:right="0"/>
        <w:jc w:val="left"/>
        <w:rPr>
          <w:rFonts w:ascii="宋体" w:hAnsi="宋体" w:cs="宋体" w:eastAsia="宋体" w:hint="default"/>
          <w:b w:val="0"/>
          <w:bCs w:val="0"/>
        </w:rPr>
      </w:pPr>
      <w:r>
        <w:rPr>
          <w:rFonts w:ascii="宋体" w:hAnsi="宋体" w:cs="宋体" w:eastAsia="宋体" w:hint="default"/>
        </w:rPr>
        <w:t>(6).</w:t>
      </w:r>
      <w:r>
        <w:rPr>
          <w:rFonts w:ascii="宋体" w:hAnsi="宋体" w:cs="宋体" w:eastAsia="宋体" w:hint="default"/>
          <w:spacing w:val="-2"/>
        </w:rPr>
        <w:t> </w:t>
      </w:r>
      <w:r>
        <w:rPr/>
        <w:t>坏账准备的情况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7"/>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rPr>
        <w:t> </w:t>
      </w:r>
    </w:p>
    <w:p>
      <w:pPr>
        <w:spacing w:line="240" w:lineRule="auto" w:before="0"/>
        <w:rPr>
          <w:rFonts w:ascii="宋体" w:hAnsi="宋体" w:cs="宋体" w:eastAsia="宋体" w:hint="default"/>
          <w:sz w:val="20"/>
          <w:szCs w:val="20"/>
        </w:rPr>
      </w:pPr>
    </w:p>
    <w:p>
      <w:pPr>
        <w:pStyle w:val="Heading3"/>
        <w:spacing w:line="240" w:lineRule="auto" w:before="147"/>
        <w:ind w:left="216" w:right="0"/>
        <w:jc w:val="left"/>
        <w:rPr>
          <w:rFonts w:ascii="宋体" w:hAnsi="宋体" w:cs="宋体" w:eastAsia="宋体" w:hint="default"/>
          <w:b w:val="0"/>
          <w:bCs w:val="0"/>
        </w:rPr>
      </w:pPr>
      <w:r>
        <w:rPr>
          <w:rFonts w:ascii="宋体" w:hAnsi="宋体" w:cs="宋体" w:eastAsia="宋体" w:hint="default"/>
        </w:rPr>
        <w:t>(7).</w:t>
      </w:r>
      <w:r>
        <w:rPr>
          <w:rFonts w:ascii="宋体" w:hAnsi="宋体" w:cs="宋体" w:eastAsia="宋体" w:hint="default"/>
          <w:spacing w:val="-3"/>
        </w:rPr>
        <w:t> </w:t>
      </w:r>
      <w:r>
        <w:rPr/>
        <w:t>本期实际核销的应收票据情况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7"/>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rPr>
        <w:t> </w:t>
      </w:r>
    </w:p>
    <w:p>
      <w:pPr>
        <w:spacing w:line="240" w:lineRule="auto" w:before="8"/>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580" w:bottom="280" w:left="1060" w:right="1560"/>
        </w:sectPr>
      </w:pPr>
    </w:p>
    <w:p>
      <w:pPr>
        <w:pStyle w:val="Heading2"/>
        <w:spacing w:line="240" w:lineRule="auto" w:before="26"/>
        <w:ind w:left="216" w:right="0"/>
        <w:jc w:val="left"/>
        <w:rPr>
          <w:rFonts w:ascii="宋体" w:hAnsi="宋体" w:cs="宋体" w:eastAsia="宋体" w:hint="default"/>
        </w:rPr>
      </w:pPr>
      <w:r>
        <w:rPr/>
        <w:t>其他说明</w:t>
      </w:r>
      <w:r>
        <w:rPr>
          <w:rFonts w:ascii="宋体" w:hAnsi="宋体" w:cs="宋体" w:eastAsia="宋体" w:hint="default"/>
        </w:rPr>
        <w:t> </w:t>
      </w:r>
    </w:p>
    <w:p>
      <w:pPr>
        <w:pStyle w:val="BodyText"/>
        <w:spacing w:line="240" w:lineRule="auto" w:before="25"/>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15"/>
        <w:ind w:left="216" w:right="0"/>
        <w:jc w:val="left"/>
        <w:rPr>
          <w:rFonts w:ascii="宋体" w:hAnsi="宋体" w:cs="宋体" w:eastAsia="宋体" w:hint="default"/>
        </w:rPr>
      </w:pPr>
      <w:r>
        <w:rPr>
          <w:rFonts w:ascii="宋体"/>
          <w:w w:val="100"/>
        </w:rPr>
        <w:t> </w:t>
      </w:r>
    </w:p>
    <w:p>
      <w:pPr>
        <w:pStyle w:val="Heading3"/>
        <w:spacing w:line="324" w:lineRule="auto" w:before="78"/>
        <w:ind w:left="216" w:right="0"/>
        <w:jc w:val="left"/>
        <w:rPr>
          <w:rFonts w:ascii="宋体" w:hAnsi="宋体" w:cs="宋体" w:eastAsia="宋体" w:hint="default"/>
          <w:b w:val="0"/>
          <w:bCs w:val="0"/>
        </w:rPr>
      </w:pPr>
      <w:r>
        <w:rPr>
          <w:rFonts w:ascii="宋体" w:hAnsi="宋体" w:cs="宋体" w:eastAsia="宋体" w:hint="default"/>
        </w:rPr>
        <w:t>5</w:t>
      </w:r>
      <w:r>
        <w:rPr/>
        <w:t>、</w:t>
      </w:r>
      <w:r>
        <w:rPr>
          <w:spacing w:val="-4"/>
        </w:rPr>
        <w:t> </w:t>
      </w:r>
      <w:r>
        <w:rPr/>
        <w:t>应收账款</w:t>
      </w:r>
      <w:r>
        <w:rPr>
          <w:rFonts w:ascii="宋体" w:hAnsi="宋体" w:cs="宋体" w:eastAsia="宋体" w:hint="default"/>
          <w:w w:val="99"/>
        </w:rPr>
        <w:t> </w:t>
      </w:r>
      <w:r>
        <w:rPr>
          <w:rFonts w:ascii="宋体" w:hAnsi="宋体" w:cs="宋体" w:eastAsia="宋体" w:hint="default"/>
        </w:rPr>
        <w:t>(1).</w:t>
      </w:r>
      <w:r>
        <w:rPr/>
        <w:t>按账龄披露</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24"/>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7"/>
          <w:szCs w:val="17"/>
        </w:rPr>
      </w:pPr>
    </w:p>
    <w:p>
      <w:pPr>
        <w:pStyle w:val="BodyText"/>
        <w:spacing w:line="240" w:lineRule="auto"/>
        <w:ind w:left="216" w:right="0"/>
        <w:jc w:val="left"/>
        <w:rPr>
          <w:rFonts w:ascii="宋体" w:hAnsi="宋体" w:cs="宋体" w:eastAsia="宋体" w:hint="default"/>
        </w:rPr>
      </w:pPr>
      <w:r>
        <w:rPr/>
        <w:t>单位：元币种：人民币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580" w:bottom="280" w:left="1060" w:right="1560"/>
          <w:cols w:num="2" w:equalWidth="0">
            <w:col w:w="2003" w:space="4730"/>
            <w:col w:w="2557"/>
          </w:cols>
        </w:sectPr>
      </w:pPr>
    </w:p>
    <w:p>
      <w:pPr>
        <w:spacing w:line="240" w:lineRule="auto" w:before="10"/>
        <w:rPr>
          <w:rFonts w:ascii="宋体" w:hAnsi="宋体" w:cs="宋体" w:eastAsia="宋体" w:hint="default"/>
          <w:sz w:val="3"/>
          <w:szCs w:val="3"/>
        </w:rPr>
      </w:pPr>
      <w:r>
        <w:rPr/>
        <w:pict>
          <v:group style="position:absolute;margin-left:58.849998pt;margin-top:37.399982pt;width:447.55pt;height:19.650pt;mso-position-horizontal-relative:page;mso-position-vertical-relative:page;z-index:2176" coordorigin="1177,748" coordsize="8951,393">
            <v:group style="position:absolute;left:1248;top:1118;width:8873;height:2" coordorigin="1248,1118" coordsize="8873,2">
              <v:shape style="position:absolute;left:1248;top:1118;width:8873;height:2" coordorigin="1248,1118" coordsize="8873,0" path="m1248,1118l10120,1118e" filled="false" stroked="true" strokeweight=".72pt" strokecolor="#000000">
                <v:path arrowok="t"/>
              </v:shape>
              <v:shape style="position:absolute;left:1177;top:748;width:465;height:393" type="#_x0000_t75" stroked="false">
                <v:imagedata r:id="rId10" o:title=""/>
              </v:shape>
            </v:group>
            <w10:wrap type="none"/>
          </v:group>
        </w:pict>
      </w:r>
    </w:p>
    <w:tbl>
      <w:tblPr>
        <w:tblW w:w="0" w:type="auto"/>
        <w:jc w:val="left"/>
        <w:tblInd w:w="180" w:type="dxa"/>
        <w:tblLayout w:type="fixed"/>
        <w:tblCellMar>
          <w:top w:w="0" w:type="dxa"/>
          <w:left w:w="0" w:type="dxa"/>
          <w:bottom w:w="0" w:type="dxa"/>
          <w:right w:w="0" w:type="dxa"/>
        </w:tblCellMar>
        <w:tblLook w:val="01E0"/>
      </w:tblPr>
      <w:tblGrid>
        <w:gridCol w:w="4371"/>
        <w:gridCol w:w="4525"/>
      </w:tblGrid>
      <w:tr>
        <w:trPr>
          <w:trHeight w:val="322" w:hRule="exact"/>
        </w:trPr>
        <w:tc>
          <w:tcPr>
            <w:tcW w:w="437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5" w:right="0"/>
              <w:jc w:val="center"/>
              <w:rPr>
                <w:rFonts w:ascii="宋体" w:hAnsi="宋体" w:cs="宋体" w:eastAsia="宋体" w:hint="default"/>
                <w:sz w:val="21"/>
                <w:szCs w:val="21"/>
              </w:rPr>
            </w:pPr>
            <w:r>
              <w:rPr>
                <w:rFonts w:ascii="宋体" w:hAnsi="宋体" w:cs="宋体" w:eastAsia="宋体" w:hint="default"/>
                <w:sz w:val="21"/>
                <w:szCs w:val="21"/>
              </w:rPr>
              <w:t>账龄</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center"/>
              <w:rPr>
                <w:rFonts w:ascii="宋体" w:hAnsi="宋体" w:cs="宋体" w:eastAsia="宋体" w:hint="default"/>
                <w:sz w:val="21"/>
                <w:szCs w:val="21"/>
              </w:rPr>
            </w:pPr>
            <w:r>
              <w:rPr>
                <w:rFonts w:ascii="宋体" w:hAnsi="宋体" w:cs="宋体" w:eastAsia="宋体" w:hint="default"/>
                <w:sz w:val="21"/>
                <w:szCs w:val="21"/>
              </w:rPr>
              <w:t>期末账面余额</w:t>
            </w:r>
            <w:r>
              <w:rPr>
                <w:rFonts w:ascii="宋体" w:hAnsi="宋体" w:cs="宋体" w:eastAsia="宋体" w:hint="default"/>
                <w:sz w:val="21"/>
                <w:szCs w:val="21"/>
              </w:rPr>
              <w:t> </w:t>
            </w:r>
          </w:p>
        </w:tc>
      </w:tr>
      <w:tr>
        <w:trPr>
          <w:trHeight w:val="324" w:hRule="exact"/>
        </w:trPr>
        <w:tc>
          <w:tcPr>
            <w:tcW w:w="88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年以内</w:t>
            </w:r>
            <w:r>
              <w:rPr>
                <w:rFonts w:ascii="宋体" w:hAnsi="宋体" w:cs="宋体" w:eastAsia="宋体" w:hint="default"/>
                <w:color w:val="FF0000"/>
                <w:sz w:val="21"/>
                <w:szCs w:val="21"/>
              </w:rPr>
              <w:t> </w:t>
            </w:r>
            <w:r>
              <w:rPr>
                <w:rFonts w:ascii="宋体" w:hAnsi="宋体" w:cs="宋体" w:eastAsia="宋体" w:hint="default"/>
                <w:sz w:val="21"/>
                <w:szCs w:val="21"/>
              </w:rPr>
            </w:r>
          </w:p>
        </w:tc>
      </w:tr>
      <w:tr>
        <w:trPr>
          <w:trHeight w:val="322" w:hRule="exact"/>
        </w:trPr>
        <w:tc>
          <w:tcPr>
            <w:tcW w:w="88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年以内分项</w:t>
            </w:r>
            <w:r>
              <w:rPr>
                <w:rFonts w:ascii="宋体" w:hAnsi="宋体" w:cs="宋体" w:eastAsia="宋体" w:hint="default"/>
                <w:sz w:val="21"/>
                <w:szCs w:val="21"/>
              </w:rPr>
              <w:t> </w:t>
            </w:r>
          </w:p>
        </w:tc>
      </w:tr>
      <w:tr>
        <w:trPr>
          <w:trHeight w:val="322" w:hRule="exact"/>
        </w:trPr>
        <w:tc>
          <w:tcPr>
            <w:tcW w:w="437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年以内</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2"/>
              <w:jc w:val="right"/>
              <w:rPr>
                <w:rFonts w:ascii="宋体" w:hAnsi="宋体" w:cs="宋体" w:eastAsia="宋体" w:hint="default"/>
                <w:sz w:val="21"/>
                <w:szCs w:val="21"/>
              </w:rPr>
            </w:pPr>
            <w:r>
              <w:rPr>
                <w:rFonts w:ascii="宋体"/>
                <w:spacing w:val="-1"/>
                <w:sz w:val="21"/>
              </w:rPr>
              <w:t>1,698,753,241.40</w:t>
            </w:r>
          </w:p>
        </w:tc>
      </w:tr>
      <w:tr>
        <w:trPr>
          <w:trHeight w:val="322" w:hRule="exact"/>
        </w:trPr>
        <w:tc>
          <w:tcPr>
            <w:tcW w:w="437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年以内小计</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2"/>
              <w:jc w:val="right"/>
              <w:rPr>
                <w:rFonts w:ascii="宋体" w:hAnsi="宋体" w:cs="宋体" w:eastAsia="宋体" w:hint="default"/>
                <w:sz w:val="21"/>
                <w:szCs w:val="21"/>
              </w:rPr>
            </w:pPr>
            <w:r>
              <w:rPr>
                <w:rFonts w:ascii="宋体"/>
                <w:spacing w:val="-1"/>
                <w:sz w:val="21"/>
              </w:rPr>
              <w:t>1,698,753,241.40</w:t>
            </w:r>
          </w:p>
        </w:tc>
      </w:tr>
      <w:tr>
        <w:trPr>
          <w:trHeight w:val="322" w:hRule="exact"/>
        </w:trPr>
        <w:tc>
          <w:tcPr>
            <w:tcW w:w="437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2"/>
              <w:jc w:val="right"/>
              <w:rPr>
                <w:rFonts w:ascii="宋体" w:hAnsi="宋体" w:cs="宋体" w:eastAsia="宋体" w:hint="default"/>
                <w:sz w:val="21"/>
                <w:szCs w:val="21"/>
              </w:rPr>
            </w:pPr>
            <w:r>
              <w:rPr>
                <w:rFonts w:ascii="宋体"/>
                <w:spacing w:val="-1"/>
                <w:sz w:val="21"/>
              </w:rPr>
              <w:t>807,057,337.71</w:t>
            </w:r>
          </w:p>
        </w:tc>
      </w:tr>
      <w:tr>
        <w:trPr>
          <w:trHeight w:val="324" w:hRule="exact"/>
        </w:trPr>
        <w:tc>
          <w:tcPr>
            <w:tcW w:w="437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2"/>
              <w:jc w:val="right"/>
              <w:rPr>
                <w:rFonts w:ascii="宋体" w:hAnsi="宋体" w:cs="宋体" w:eastAsia="宋体" w:hint="default"/>
                <w:sz w:val="21"/>
                <w:szCs w:val="21"/>
              </w:rPr>
            </w:pPr>
            <w:r>
              <w:rPr>
                <w:rFonts w:ascii="宋体"/>
                <w:spacing w:val="-1"/>
                <w:sz w:val="21"/>
              </w:rPr>
              <w:t>482,861,990.91</w:t>
            </w:r>
          </w:p>
        </w:tc>
      </w:tr>
    </w:tbl>
    <w:p>
      <w:pPr>
        <w:spacing w:after="0" w:line="262" w:lineRule="exact"/>
        <w:jc w:val="right"/>
        <w:rPr>
          <w:rFonts w:ascii="宋体" w:hAnsi="宋体" w:cs="宋体" w:eastAsia="宋体" w:hint="default"/>
          <w:sz w:val="21"/>
          <w:szCs w:val="21"/>
        </w:rPr>
        <w:sectPr>
          <w:type w:val="continuous"/>
          <w:pgSz w:w="11910" w:h="16840"/>
          <w:pgMar w:top="1580" w:bottom="280" w:left="1060" w:right="1560"/>
        </w:sectPr>
      </w:pPr>
    </w:p>
    <w:p>
      <w:pPr>
        <w:spacing w:line="240" w:lineRule="auto" w:before="11"/>
        <w:rPr>
          <w:rFonts w:ascii="宋体" w:hAnsi="宋体" w:cs="宋体" w:eastAsia="宋体" w:hint="default"/>
          <w:sz w:val="22"/>
          <w:szCs w:val="22"/>
        </w:rPr>
      </w:pPr>
    </w:p>
    <w:tbl>
      <w:tblPr>
        <w:tblW w:w="0" w:type="auto"/>
        <w:jc w:val="left"/>
        <w:tblInd w:w="180" w:type="dxa"/>
        <w:tblLayout w:type="fixed"/>
        <w:tblCellMar>
          <w:top w:w="0" w:type="dxa"/>
          <w:left w:w="0" w:type="dxa"/>
          <w:bottom w:w="0" w:type="dxa"/>
          <w:right w:w="0" w:type="dxa"/>
        </w:tblCellMar>
        <w:tblLook w:val="01E0"/>
      </w:tblPr>
      <w:tblGrid>
        <w:gridCol w:w="4371"/>
        <w:gridCol w:w="4525"/>
      </w:tblGrid>
      <w:tr>
        <w:trPr>
          <w:trHeight w:val="322" w:hRule="exact"/>
        </w:trPr>
        <w:tc>
          <w:tcPr>
            <w:tcW w:w="437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年以上</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2"/>
              <w:jc w:val="right"/>
              <w:rPr>
                <w:rFonts w:ascii="宋体" w:hAnsi="宋体" w:cs="宋体" w:eastAsia="宋体" w:hint="default"/>
                <w:sz w:val="21"/>
                <w:szCs w:val="21"/>
              </w:rPr>
            </w:pPr>
            <w:r>
              <w:rPr>
                <w:rFonts w:ascii="宋体"/>
                <w:spacing w:val="-1"/>
                <w:sz w:val="21"/>
              </w:rPr>
              <w:t>145,782,054.75</w:t>
            </w:r>
          </w:p>
        </w:tc>
      </w:tr>
      <w:tr>
        <w:trPr>
          <w:trHeight w:val="322" w:hRule="exact"/>
        </w:trPr>
        <w:tc>
          <w:tcPr>
            <w:tcW w:w="437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5"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2"/>
              <w:jc w:val="right"/>
              <w:rPr>
                <w:rFonts w:ascii="宋体" w:hAnsi="宋体" w:cs="宋体" w:eastAsia="宋体" w:hint="default"/>
                <w:sz w:val="21"/>
                <w:szCs w:val="21"/>
              </w:rPr>
            </w:pPr>
            <w:r>
              <w:rPr>
                <w:rFonts w:ascii="宋体"/>
                <w:spacing w:val="-1"/>
                <w:sz w:val="21"/>
              </w:rPr>
              <w:t>3,134,454,624.77</w:t>
            </w:r>
          </w:p>
        </w:tc>
      </w:tr>
    </w:tbl>
    <w:p>
      <w:pPr>
        <w:pStyle w:val="Heading2"/>
        <w:spacing w:line="274" w:lineRule="exact"/>
        <w:ind w:left="216" w:right="0"/>
        <w:jc w:val="left"/>
        <w:rPr>
          <w:rFonts w:ascii="宋体" w:hAnsi="宋体" w:cs="宋体" w:eastAsia="宋体" w:hint="default"/>
        </w:rPr>
      </w:pPr>
      <w:r>
        <w:rPr>
          <w:rFonts w:ascii="宋体"/>
        </w:rPr>
        <w:t> </w:t>
      </w:r>
    </w:p>
    <w:p>
      <w:pPr>
        <w:spacing w:after="0" w:line="274" w:lineRule="exact"/>
        <w:jc w:val="left"/>
        <w:rPr>
          <w:rFonts w:ascii="宋体" w:hAnsi="宋体" w:cs="宋体" w:eastAsia="宋体" w:hint="default"/>
        </w:rPr>
        <w:sectPr>
          <w:headerReference w:type="default" r:id="rId148"/>
          <w:pgSz w:w="11910" w:h="16840"/>
          <w:pgMar w:header="748" w:footer="974" w:top="1140" w:bottom="1160" w:left="1060" w:right="1640"/>
        </w:sectPr>
      </w:pPr>
    </w:p>
    <w:p>
      <w:pPr>
        <w:spacing w:line="240" w:lineRule="auto" w:before="3"/>
        <w:rPr>
          <w:rFonts w:ascii="宋体" w:hAnsi="宋体" w:cs="宋体" w:eastAsia="宋体" w:hint="default"/>
          <w:sz w:val="6"/>
          <w:szCs w:val="6"/>
        </w:rPr>
      </w:pPr>
    </w:p>
    <w:p>
      <w:pPr>
        <w:spacing w:line="393" w:lineRule="exact"/>
        <w:ind w:left="101"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699.5pt;height:19.650pt;mso-position-horizontal-relative:char;mso-position-vertical-relative:line" coordorigin="0,0" coordsize="13990,393">
            <v:group style="position:absolute;left:70;top:370;width:13913;height:2" coordorigin="70,370" coordsize="13913,2">
              <v:shape style="position:absolute;left:70;top:370;width:13913;height:2" coordorigin="70,370" coordsize="13913,0" path="m70,370l13983,370e" filled="false" stroked="true" strokeweight=".72pt" strokecolor="#000000">
                <v:path arrowok="t"/>
              </v:shape>
              <v:shape style="position:absolute;left:0;top:0;width:465;height:393" type="#_x0000_t75" stroked="false">
                <v:imagedata r:id="rId10" o:title=""/>
              </v:shape>
              <v:shape style="position:absolute;left:3039;top:134;width:21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江苏林洋能源股份有限公司</w:t>
                      </w:r>
                    </w:p>
                  </w:txbxContent>
                </v:textbox>
                <w10:wrap type="none"/>
              </v:shape>
              <v:shape style="position:absolute;left:9705;top:134;width:1309;height:200" type="#_x0000_t202" filled="false" stroked="false">
                <v:textbox inset="0,0,0,0">
                  <w:txbxContent>
                    <w:p>
                      <w:pPr>
                        <w:spacing w:line="200" w:lineRule="exact" w:before="0"/>
                        <w:ind w:left="0" w:right="0" w:firstLine="0"/>
                        <w:jc w:val="left"/>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2"/>
                          <w:sz w:val="18"/>
                          <w:szCs w:val="18"/>
                        </w:rPr>
                        <w:t> </w:t>
                      </w:r>
                      <w:r>
                        <w:rPr>
                          <w:rFonts w:ascii="宋体" w:hAnsi="宋体" w:cs="宋体" w:eastAsia="宋体" w:hint="default"/>
                          <w:sz w:val="18"/>
                          <w:szCs w:val="18"/>
                        </w:rPr>
                        <w:t>年年度报告</w:t>
                      </w:r>
                    </w:p>
                  </w:txbxContent>
                </v:textbox>
                <w10:wrap type="none"/>
              </v:shape>
            </v:group>
          </v:group>
        </w:pict>
      </w:r>
      <w:r>
        <w:rPr>
          <w:rFonts w:ascii="宋体" w:hAnsi="宋体" w:cs="宋体" w:eastAsia="宋体" w:hint="default"/>
          <w:position w:val="-7"/>
          <w:sz w:val="20"/>
          <w:szCs w:val="20"/>
        </w:rPr>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headerReference w:type="default" r:id="rId149"/>
          <w:footerReference w:type="default" r:id="rId150"/>
          <w:pgSz w:w="16840" w:h="11910" w:orient="landscape"/>
          <w:pgMar w:header="0" w:footer="0" w:top="660" w:bottom="280" w:left="1240" w:right="1380"/>
        </w:sectPr>
      </w:pPr>
    </w:p>
    <w:p>
      <w:pPr>
        <w:pStyle w:val="Heading2"/>
        <w:spacing w:line="240" w:lineRule="auto" w:before="26"/>
        <w:ind w:left="200" w:right="0"/>
        <w:jc w:val="left"/>
        <w:rPr>
          <w:rFonts w:ascii="宋体" w:hAnsi="宋体" w:cs="宋体" w:eastAsia="宋体" w:hint="default"/>
        </w:rPr>
      </w:pPr>
      <w:r>
        <w:rPr>
          <w:rFonts w:ascii="宋体"/>
        </w:rPr>
        <w:t> </w:t>
      </w:r>
    </w:p>
    <w:p>
      <w:pPr>
        <w:pStyle w:val="Heading3"/>
        <w:spacing w:line="240" w:lineRule="auto"/>
        <w:ind w:left="200" w:right="0"/>
        <w:jc w:val="left"/>
        <w:rPr>
          <w:rFonts w:ascii="宋体" w:hAnsi="宋体" w:cs="宋体" w:eastAsia="宋体" w:hint="default"/>
          <w:b w:val="0"/>
          <w:bCs w:val="0"/>
        </w:rPr>
      </w:pPr>
      <w:r>
        <w:rPr>
          <w:rFonts w:ascii="宋体" w:hAnsi="宋体" w:cs="宋体" w:eastAsia="宋体" w:hint="default"/>
        </w:rPr>
        <w:t>(2).</w:t>
      </w:r>
      <w:r>
        <w:rPr/>
        <w:t>按坏账计提方法分类披露</w:t>
      </w:r>
      <w:r>
        <w:rPr>
          <w:rFonts w:ascii="宋体" w:hAnsi="宋体" w:cs="宋体" w:eastAsia="宋体" w:hint="default"/>
          <w:w w:val="99"/>
        </w:rPr>
        <w:t> </w:t>
      </w:r>
      <w:r>
        <w:rPr>
          <w:rFonts w:ascii="宋体" w:hAnsi="宋体" w:cs="宋体" w:eastAsia="宋体" w:hint="default"/>
          <w:b w:val="0"/>
          <w:bCs w:val="0"/>
        </w:rPr>
      </w:r>
    </w:p>
    <w:p>
      <w:pPr>
        <w:pStyle w:val="Heading2"/>
        <w:spacing w:line="240" w:lineRule="auto" w:before="83"/>
        <w:ind w:left="200"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7"/>
          <w:szCs w:val="27"/>
        </w:rPr>
      </w:pPr>
    </w:p>
    <w:p>
      <w:pPr>
        <w:pStyle w:val="BodyText"/>
        <w:spacing w:line="240" w:lineRule="auto"/>
        <w:ind w:left="200" w:right="0"/>
        <w:jc w:val="left"/>
      </w:pPr>
      <w:r>
        <w:rPr/>
        <w:t>单位：元币种：人民币</w:t>
      </w:r>
    </w:p>
    <w:p>
      <w:pPr>
        <w:spacing w:after="0" w:line="240" w:lineRule="auto"/>
        <w:jc w:val="left"/>
        <w:sectPr>
          <w:type w:val="continuous"/>
          <w:pgSz w:w="16840" w:h="11910" w:orient="landscape"/>
          <w:pgMar w:top="1580" w:bottom="280" w:left="1240" w:right="1380"/>
          <w:cols w:num="2" w:equalWidth="0">
            <w:col w:w="3052" w:space="8619"/>
            <w:col w:w="2549"/>
          </w:cols>
        </w:sectPr>
      </w:pPr>
    </w:p>
    <w:p>
      <w:pPr>
        <w:spacing w:line="240" w:lineRule="auto" w:before="5"/>
        <w:rPr>
          <w:rFonts w:ascii="宋体" w:hAnsi="宋体" w:cs="宋体" w:eastAsia="宋体" w:hint="default"/>
          <w:sz w:val="4"/>
          <w:szCs w:val="4"/>
        </w:rPr>
      </w:pPr>
    </w:p>
    <w:tbl>
      <w:tblPr>
        <w:tblW w:w="0" w:type="auto"/>
        <w:jc w:val="left"/>
        <w:tblInd w:w="163" w:type="dxa"/>
        <w:tblLayout w:type="fixed"/>
        <w:tblCellMar>
          <w:top w:w="0" w:type="dxa"/>
          <w:left w:w="0" w:type="dxa"/>
          <w:bottom w:w="0" w:type="dxa"/>
          <w:right w:w="0" w:type="dxa"/>
        </w:tblCellMar>
        <w:tblLook w:val="01E0"/>
      </w:tblPr>
      <w:tblGrid>
        <w:gridCol w:w="1839"/>
        <w:gridCol w:w="1502"/>
        <w:gridCol w:w="833"/>
        <w:gridCol w:w="1322"/>
        <w:gridCol w:w="864"/>
        <w:gridCol w:w="1503"/>
        <w:gridCol w:w="1502"/>
        <w:gridCol w:w="862"/>
        <w:gridCol w:w="1321"/>
        <w:gridCol w:w="888"/>
        <w:gridCol w:w="1500"/>
      </w:tblGrid>
      <w:tr>
        <w:trPr>
          <w:trHeight w:val="269" w:hRule="exact"/>
        </w:trPr>
        <w:tc>
          <w:tcPr>
            <w:tcW w:w="183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90" w:right="0"/>
              <w:jc w:val="center"/>
              <w:rPr>
                <w:rFonts w:ascii="宋体" w:hAnsi="宋体" w:cs="宋体" w:eastAsia="宋体" w:hint="default"/>
                <w:sz w:val="18"/>
                <w:szCs w:val="18"/>
              </w:rPr>
            </w:pPr>
            <w:r>
              <w:rPr>
                <w:rFonts w:ascii="宋体" w:hAnsi="宋体" w:cs="宋体" w:eastAsia="宋体" w:hint="default"/>
                <w:sz w:val="18"/>
                <w:szCs w:val="18"/>
              </w:rPr>
              <w:t>类别</w:t>
            </w:r>
            <w:r>
              <w:rPr>
                <w:rFonts w:ascii="宋体" w:hAnsi="宋体" w:cs="宋体" w:eastAsia="宋体" w:hint="default"/>
                <w:sz w:val="18"/>
                <w:szCs w:val="18"/>
              </w:rPr>
              <w:t> </w:t>
            </w:r>
          </w:p>
        </w:tc>
        <w:tc>
          <w:tcPr>
            <w:tcW w:w="6025" w:type="dxa"/>
            <w:gridSpan w:val="5"/>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90" w:right="0"/>
              <w:jc w:val="center"/>
              <w:rPr>
                <w:rFonts w:ascii="宋体" w:hAnsi="宋体" w:cs="宋体" w:eastAsia="宋体" w:hint="default"/>
                <w:sz w:val="18"/>
                <w:szCs w:val="18"/>
              </w:rPr>
            </w:pPr>
            <w:r>
              <w:rPr>
                <w:rFonts w:ascii="宋体" w:hAnsi="宋体" w:cs="宋体" w:eastAsia="宋体" w:hint="default"/>
                <w:sz w:val="18"/>
                <w:szCs w:val="18"/>
              </w:rPr>
              <w:t>期末余额</w:t>
            </w:r>
            <w:r>
              <w:rPr>
                <w:rFonts w:ascii="宋体" w:hAnsi="宋体" w:cs="宋体" w:eastAsia="宋体" w:hint="default"/>
                <w:sz w:val="18"/>
                <w:szCs w:val="18"/>
              </w:rPr>
              <w:t> </w:t>
            </w:r>
          </w:p>
        </w:tc>
        <w:tc>
          <w:tcPr>
            <w:tcW w:w="6073" w:type="dxa"/>
            <w:gridSpan w:val="5"/>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89" w:right="0"/>
              <w:jc w:val="center"/>
              <w:rPr>
                <w:rFonts w:ascii="宋体" w:hAnsi="宋体" w:cs="宋体" w:eastAsia="宋体" w:hint="default"/>
                <w:sz w:val="18"/>
                <w:szCs w:val="18"/>
              </w:rPr>
            </w:pPr>
            <w:r>
              <w:rPr>
                <w:rFonts w:ascii="宋体" w:hAnsi="宋体" w:cs="宋体" w:eastAsia="宋体" w:hint="default"/>
                <w:sz w:val="18"/>
                <w:szCs w:val="18"/>
              </w:rPr>
              <w:t>期初余额</w:t>
            </w:r>
            <w:r>
              <w:rPr>
                <w:rFonts w:ascii="宋体" w:hAnsi="宋体" w:cs="宋体" w:eastAsia="宋体" w:hint="default"/>
                <w:sz w:val="18"/>
                <w:szCs w:val="18"/>
              </w:rPr>
              <w:t> </w:t>
            </w:r>
          </w:p>
        </w:tc>
      </w:tr>
      <w:tr>
        <w:trPr>
          <w:trHeight w:val="336" w:hRule="exact"/>
        </w:trPr>
        <w:tc>
          <w:tcPr>
            <w:tcW w:w="1839" w:type="dxa"/>
            <w:vMerge/>
            <w:tcBorders>
              <w:left w:val="single" w:sz="4" w:space="0" w:color="000000"/>
              <w:right w:val="single" w:sz="4" w:space="0" w:color="000000"/>
            </w:tcBorders>
          </w:tcPr>
          <w:p>
            <w:pPr/>
          </w:p>
        </w:tc>
        <w:tc>
          <w:tcPr>
            <w:tcW w:w="233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801" w:right="0"/>
              <w:jc w:val="left"/>
              <w:rPr>
                <w:rFonts w:ascii="宋体" w:hAnsi="宋体" w:cs="宋体" w:eastAsia="宋体" w:hint="default"/>
                <w:sz w:val="18"/>
                <w:szCs w:val="18"/>
              </w:rPr>
            </w:pPr>
            <w:r>
              <w:rPr>
                <w:rFonts w:ascii="宋体" w:hAnsi="宋体" w:cs="宋体" w:eastAsia="宋体" w:hint="default"/>
                <w:sz w:val="18"/>
                <w:szCs w:val="18"/>
              </w:rPr>
              <w:t>账面余额</w:t>
            </w:r>
            <w:r>
              <w:rPr>
                <w:rFonts w:ascii="宋体" w:hAnsi="宋体" w:cs="宋体" w:eastAsia="宋体" w:hint="default"/>
                <w:sz w:val="18"/>
                <w:szCs w:val="18"/>
              </w:rPr>
              <w:t> </w:t>
            </w:r>
          </w:p>
        </w:tc>
        <w:tc>
          <w:tcPr>
            <w:tcW w:w="218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727" w:right="0"/>
              <w:jc w:val="left"/>
              <w:rPr>
                <w:rFonts w:ascii="宋体" w:hAnsi="宋体" w:cs="宋体" w:eastAsia="宋体" w:hint="default"/>
                <w:sz w:val="18"/>
                <w:szCs w:val="18"/>
              </w:rPr>
            </w:pPr>
            <w:r>
              <w:rPr>
                <w:rFonts w:ascii="宋体" w:hAnsi="宋体" w:cs="宋体" w:eastAsia="宋体" w:hint="default"/>
                <w:sz w:val="18"/>
                <w:szCs w:val="18"/>
              </w:rPr>
              <w:t>坏账准备</w:t>
            </w:r>
            <w:r>
              <w:rPr>
                <w:rFonts w:ascii="宋体" w:hAnsi="宋体" w:cs="宋体" w:eastAsia="宋体" w:hint="default"/>
                <w:sz w:val="18"/>
                <w:szCs w:val="18"/>
              </w:rPr>
              <w:t> </w:t>
            </w:r>
          </w:p>
        </w:tc>
        <w:tc>
          <w:tcPr>
            <w:tcW w:w="1503"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333" w:lineRule="auto"/>
              <w:ind w:left="566" w:right="474"/>
              <w:jc w:val="left"/>
              <w:rPr>
                <w:rFonts w:ascii="宋体" w:hAnsi="宋体" w:cs="宋体" w:eastAsia="宋体" w:hint="default"/>
                <w:sz w:val="18"/>
                <w:szCs w:val="18"/>
              </w:rPr>
            </w:pPr>
            <w:r>
              <w:rPr>
                <w:rFonts w:ascii="宋体" w:hAnsi="宋体" w:cs="宋体" w:eastAsia="宋体" w:hint="default"/>
                <w:sz w:val="18"/>
                <w:szCs w:val="18"/>
              </w:rPr>
              <w:t>账面</w:t>
            </w:r>
            <w:r>
              <w:rPr>
                <w:rFonts w:ascii="宋体" w:hAnsi="宋体" w:cs="宋体" w:eastAsia="宋体" w:hint="default"/>
                <w:sz w:val="18"/>
                <w:szCs w:val="18"/>
              </w:rPr>
              <w:t> </w:t>
            </w:r>
            <w:r>
              <w:rPr>
                <w:rFonts w:ascii="宋体" w:hAnsi="宋体" w:cs="宋体" w:eastAsia="宋体" w:hint="default"/>
                <w:sz w:val="18"/>
                <w:szCs w:val="18"/>
              </w:rPr>
              <w:t>价值</w:t>
            </w:r>
            <w:r>
              <w:rPr>
                <w:rFonts w:ascii="宋体" w:hAnsi="宋体" w:cs="宋体" w:eastAsia="宋体" w:hint="default"/>
                <w:sz w:val="18"/>
                <w:szCs w:val="18"/>
              </w:rPr>
              <w:t> </w:t>
            </w:r>
          </w:p>
        </w:tc>
        <w:tc>
          <w:tcPr>
            <w:tcW w:w="236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815" w:right="0"/>
              <w:jc w:val="left"/>
              <w:rPr>
                <w:rFonts w:ascii="宋体" w:hAnsi="宋体" w:cs="宋体" w:eastAsia="宋体" w:hint="default"/>
                <w:sz w:val="18"/>
                <w:szCs w:val="18"/>
              </w:rPr>
            </w:pPr>
            <w:r>
              <w:rPr>
                <w:rFonts w:ascii="宋体" w:hAnsi="宋体" w:cs="宋体" w:eastAsia="宋体" w:hint="default"/>
                <w:sz w:val="18"/>
                <w:szCs w:val="18"/>
              </w:rPr>
              <w:t>账面余额</w:t>
            </w:r>
            <w:r>
              <w:rPr>
                <w:rFonts w:ascii="宋体" w:hAnsi="宋体" w:cs="宋体" w:eastAsia="宋体" w:hint="default"/>
                <w:sz w:val="18"/>
                <w:szCs w:val="18"/>
              </w:rPr>
              <w:t> </w:t>
            </w:r>
          </w:p>
        </w:tc>
        <w:tc>
          <w:tcPr>
            <w:tcW w:w="220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737" w:right="0"/>
              <w:jc w:val="left"/>
              <w:rPr>
                <w:rFonts w:ascii="宋体" w:hAnsi="宋体" w:cs="宋体" w:eastAsia="宋体" w:hint="default"/>
                <w:sz w:val="18"/>
                <w:szCs w:val="18"/>
              </w:rPr>
            </w:pPr>
            <w:r>
              <w:rPr>
                <w:rFonts w:ascii="宋体" w:hAnsi="宋体" w:cs="宋体" w:eastAsia="宋体" w:hint="default"/>
                <w:sz w:val="18"/>
                <w:szCs w:val="18"/>
              </w:rPr>
              <w:t>坏账准备</w:t>
            </w:r>
            <w:r>
              <w:rPr>
                <w:rFonts w:ascii="宋体" w:hAnsi="宋体" w:cs="宋体" w:eastAsia="宋体" w:hint="default"/>
                <w:sz w:val="18"/>
                <w:szCs w:val="18"/>
              </w:rPr>
              <w:t> </w:t>
            </w:r>
          </w:p>
        </w:tc>
        <w:tc>
          <w:tcPr>
            <w:tcW w:w="1500"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333" w:lineRule="auto"/>
              <w:ind w:left="563" w:right="474"/>
              <w:jc w:val="left"/>
              <w:rPr>
                <w:rFonts w:ascii="宋体" w:hAnsi="宋体" w:cs="宋体" w:eastAsia="宋体" w:hint="default"/>
                <w:sz w:val="18"/>
                <w:szCs w:val="18"/>
              </w:rPr>
            </w:pPr>
            <w:r>
              <w:rPr>
                <w:rFonts w:ascii="宋体" w:hAnsi="宋体" w:cs="宋体" w:eastAsia="宋体" w:hint="default"/>
                <w:sz w:val="18"/>
                <w:szCs w:val="18"/>
              </w:rPr>
              <w:t>账面</w:t>
            </w:r>
            <w:r>
              <w:rPr>
                <w:rFonts w:ascii="宋体" w:hAnsi="宋体" w:cs="宋体" w:eastAsia="宋体" w:hint="default"/>
                <w:sz w:val="18"/>
                <w:szCs w:val="18"/>
              </w:rPr>
              <w:t> </w:t>
            </w:r>
            <w:r>
              <w:rPr>
                <w:rFonts w:ascii="宋体" w:hAnsi="宋体" w:cs="宋体" w:eastAsia="宋体" w:hint="default"/>
                <w:sz w:val="18"/>
                <w:szCs w:val="18"/>
              </w:rPr>
              <w:t>价值</w:t>
            </w:r>
            <w:r>
              <w:rPr>
                <w:rFonts w:ascii="宋体" w:hAnsi="宋体" w:cs="宋体" w:eastAsia="宋体" w:hint="default"/>
                <w:sz w:val="18"/>
                <w:szCs w:val="18"/>
              </w:rPr>
              <w:t> </w:t>
            </w:r>
          </w:p>
        </w:tc>
      </w:tr>
      <w:tr>
        <w:trPr>
          <w:trHeight w:val="663" w:hRule="exact"/>
        </w:trPr>
        <w:tc>
          <w:tcPr>
            <w:tcW w:w="1839" w:type="dxa"/>
            <w:vMerge/>
            <w:tcBorders>
              <w:left w:val="single" w:sz="4" w:space="0" w:color="000000"/>
              <w:bottom w:val="single" w:sz="4" w:space="0" w:color="000000"/>
              <w:right w:val="single" w:sz="4" w:space="0" w:color="000000"/>
            </w:tcBorders>
          </w:tcPr>
          <w:p>
            <w:pP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left="566" w:right="0"/>
              <w:jc w:val="left"/>
              <w:rPr>
                <w:rFonts w:ascii="宋体" w:hAnsi="宋体" w:cs="宋体" w:eastAsia="宋体" w:hint="default"/>
                <w:sz w:val="18"/>
                <w:szCs w:val="18"/>
              </w:rPr>
            </w:pPr>
            <w:r>
              <w:rPr>
                <w:rFonts w:ascii="宋体" w:hAnsi="宋体" w:cs="宋体" w:eastAsia="宋体" w:hint="default"/>
                <w:sz w:val="18"/>
                <w:szCs w:val="18"/>
              </w:rPr>
              <w:t>金额</w:t>
            </w:r>
            <w:r>
              <w:rPr>
                <w:rFonts w:ascii="宋体" w:hAnsi="宋体" w:cs="宋体" w:eastAsia="宋体" w:hint="default"/>
                <w:sz w:val="18"/>
                <w:szCs w:val="18"/>
              </w:rPr>
              <w:t> </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right="5"/>
              <w:jc w:val="righ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 </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left="87" w:right="0"/>
              <w:jc w:val="center"/>
              <w:rPr>
                <w:rFonts w:ascii="宋体" w:hAnsi="宋体" w:cs="宋体" w:eastAsia="宋体" w:hint="default"/>
                <w:sz w:val="18"/>
                <w:szCs w:val="18"/>
              </w:rPr>
            </w:pPr>
            <w:r>
              <w:rPr>
                <w:rFonts w:ascii="宋体" w:hAnsi="宋体" w:cs="宋体" w:eastAsia="宋体" w:hint="default"/>
                <w:sz w:val="18"/>
                <w:szCs w:val="18"/>
              </w:rPr>
              <w:t>金额</w:t>
            </w:r>
            <w:r>
              <w:rPr>
                <w:rFonts w:ascii="宋体" w:hAnsi="宋体" w:cs="宋体" w:eastAsia="宋体" w:hint="default"/>
                <w:sz w:val="18"/>
                <w:szCs w:val="18"/>
              </w:rPr>
              <w:t> </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33" w:lineRule="auto" w:before="16"/>
              <w:ind w:left="290" w:right="65" w:hanging="224"/>
              <w:jc w:val="left"/>
              <w:rPr>
                <w:rFonts w:ascii="宋体" w:hAnsi="宋体" w:cs="宋体" w:eastAsia="宋体" w:hint="default"/>
                <w:sz w:val="18"/>
                <w:szCs w:val="18"/>
              </w:rPr>
            </w:pPr>
            <w:r>
              <w:rPr>
                <w:rFonts w:ascii="宋体" w:hAnsi="宋体" w:cs="宋体" w:eastAsia="宋体" w:hint="default"/>
                <w:sz w:val="18"/>
                <w:szCs w:val="18"/>
              </w:rPr>
              <w:t>计提比例 </w:t>
            </w:r>
            <w:r>
              <w:rPr>
                <w:rFonts w:ascii="宋体" w:hAnsi="宋体" w:cs="宋体" w:eastAsia="宋体" w:hint="default"/>
                <w:sz w:val="18"/>
                <w:szCs w:val="18"/>
              </w:rPr>
              <w:t>(%) </w:t>
            </w:r>
          </w:p>
        </w:tc>
        <w:tc>
          <w:tcPr>
            <w:tcW w:w="1503" w:type="dxa"/>
            <w:vMerge/>
            <w:tcBorders>
              <w:left w:val="single" w:sz="4" w:space="0" w:color="000000"/>
              <w:bottom w:val="single" w:sz="4" w:space="0" w:color="000000"/>
              <w:right w:val="single" w:sz="4" w:space="0" w:color="000000"/>
            </w:tcBorders>
          </w:tcPr>
          <w:p>
            <w:pP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left="89" w:right="0"/>
              <w:jc w:val="center"/>
              <w:rPr>
                <w:rFonts w:ascii="宋体" w:hAnsi="宋体" w:cs="宋体" w:eastAsia="宋体" w:hint="default"/>
                <w:sz w:val="18"/>
                <w:szCs w:val="18"/>
              </w:rPr>
            </w:pPr>
            <w:r>
              <w:rPr>
                <w:rFonts w:ascii="宋体" w:hAnsi="宋体" w:cs="宋体" w:eastAsia="宋体" w:hint="default"/>
                <w:sz w:val="18"/>
                <w:szCs w:val="18"/>
              </w:rPr>
              <w:t>金额</w:t>
            </w:r>
            <w:r>
              <w:rPr>
                <w:rFonts w:ascii="宋体" w:hAnsi="宋体" w:cs="宋体" w:eastAsia="宋体" w:hint="default"/>
                <w:sz w:val="18"/>
                <w:szCs w:val="18"/>
              </w:rPr>
              <w:t> </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right="18"/>
              <w:jc w:val="righ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 </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left="472" w:right="0"/>
              <w:jc w:val="left"/>
              <w:rPr>
                <w:rFonts w:ascii="宋体" w:hAnsi="宋体" w:cs="宋体" w:eastAsia="宋体" w:hint="default"/>
                <w:sz w:val="18"/>
                <w:szCs w:val="18"/>
              </w:rPr>
            </w:pPr>
            <w:r>
              <w:rPr>
                <w:rFonts w:ascii="宋体" w:hAnsi="宋体" w:cs="宋体" w:eastAsia="宋体" w:hint="default"/>
                <w:sz w:val="18"/>
                <w:szCs w:val="18"/>
              </w:rPr>
              <w:t>金额</w:t>
            </w:r>
            <w:r>
              <w:rPr>
                <w:rFonts w:ascii="宋体" w:hAnsi="宋体" w:cs="宋体" w:eastAsia="宋体" w:hint="default"/>
                <w:sz w:val="18"/>
                <w:szCs w:val="18"/>
              </w:rPr>
              <w:t> </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333" w:lineRule="auto" w:before="16"/>
              <w:ind w:left="302" w:right="79" w:hanging="226"/>
              <w:jc w:val="left"/>
              <w:rPr>
                <w:rFonts w:ascii="宋体" w:hAnsi="宋体" w:cs="宋体" w:eastAsia="宋体" w:hint="default"/>
                <w:sz w:val="18"/>
                <w:szCs w:val="18"/>
              </w:rPr>
            </w:pPr>
            <w:r>
              <w:rPr>
                <w:rFonts w:ascii="宋体" w:hAnsi="宋体" w:cs="宋体" w:eastAsia="宋体" w:hint="default"/>
                <w:sz w:val="18"/>
                <w:szCs w:val="18"/>
              </w:rPr>
              <w:t>计提比例 </w:t>
            </w:r>
            <w:r>
              <w:rPr>
                <w:rFonts w:ascii="宋体" w:hAnsi="宋体" w:cs="宋体" w:eastAsia="宋体" w:hint="default"/>
                <w:sz w:val="18"/>
                <w:szCs w:val="18"/>
              </w:rPr>
              <w:t>(%) </w:t>
            </w:r>
          </w:p>
        </w:tc>
        <w:tc>
          <w:tcPr>
            <w:tcW w:w="1500" w:type="dxa"/>
            <w:vMerge/>
            <w:tcBorders>
              <w:left w:val="single" w:sz="4" w:space="0" w:color="000000"/>
              <w:bottom w:val="single" w:sz="4" w:space="0" w:color="000000"/>
              <w:right w:val="single" w:sz="4" w:space="0" w:color="000000"/>
            </w:tcBorders>
          </w:tcPr>
          <w:p>
            <w:pPr/>
          </w:p>
        </w:tc>
      </w:tr>
      <w:tr>
        <w:trPr>
          <w:trHeight w:val="336" w:hRule="exact"/>
        </w:trPr>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6" w:right="0"/>
              <w:jc w:val="left"/>
              <w:rPr>
                <w:rFonts w:ascii="宋体" w:hAnsi="宋体" w:cs="宋体" w:eastAsia="宋体" w:hint="default"/>
                <w:sz w:val="18"/>
                <w:szCs w:val="18"/>
              </w:rPr>
            </w:pPr>
            <w:r>
              <w:rPr>
                <w:rFonts w:ascii="宋体" w:hAnsi="宋体" w:cs="宋体" w:eastAsia="宋体" w:hint="default"/>
                <w:sz w:val="18"/>
                <w:szCs w:val="18"/>
              </w:rPr>
              <w:t>按单项计提坏账准备</w:t>
            </w:r>
            <w:r>
              <w:rPr>
                <w:rFonts w:ascii="宋体" w:hAnsi="宋体" w:cs="宋体" w:eastAsia="宋体" w:hint="default"/>
                <w:sz w:val="18"/>
                <w:szCs w:val="18"/>
              </w:rPr>
              <w:t> </w:t>
            </w:r>
          </w:p>
        </w:tc>
        <w:tc>
          <w:tcPr>
            <w:tcW w:w="1502" w:type="dxa"/>
            <w:tcBorders>
              <w:top w:val="single" w:sz="4" w:space="0" w:color="000000"/>
              <w:left w:val="single" w:sz="4" w:space="0" w:color="000000"/>
              <w:bottom w:val="single" w:sz="4" w:space="0" w:color="000000"/>
              <w:right w:val="single" w:sz="4" w:space="0" w:color="000000"/>
            </w:tcBorders>
          </w:tcPr>
          <w:p>
            <w:pPr/>
          </w:p>
        </w:tc>
        <w:tc>
          <w:tcPr>
            <w:tcW w:w="833"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c>
          <w:tcPr>
            <w:tcW w:w="1503" w:type="dxa"/>
            <w:tcBorders>
              <w:top w:val="single" w:sz="4" w:space="0" w:color="000000"/>
              <w:left w:val="single" w:sz="4" w:space="0" w:color="000000"/>
              <w:bottom w:val="single" w:sz="4" w:space="0" w:color="000000"/>
              <w:right w:val="single" w:sz="4" w:space="0" w:color="000000"/>
            </w:tcBorders>
          </w:tcPr>
          <w:p>
            <w:pPr/>
          </w:p>
        </w:tc>
        <w:tc>
          <w:tcPr>
            <w:tcW w:w="1502"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c>
          <w:tcPr>
            <w:tcW w:w="1321"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
        </w:tc>
      </w:tr>
      <w:tr>
        <w:trPr>
          <w:trHeight w:val="336" w:hRule="exact"/>
        </w:trPr>
        <w:tc>
          <w:tcPr>
            <w:tcW w:w="13936"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6"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宋体" w:hAnsi="宋体" w:cs="宋体" w:eastAsia="宋体" w:hint="default"/>
                <w:sz w:val="18"/>
                <w:szCs w:val="18"/>
              </w:rPr>
              <w:t> </w:t>
            </w:r>
          </w:p>
        </w:tc>
      </w:tr>
      <w:tr>
        <w:trPr>
          <w:trHeight w:val="336" w:hRule="exact"/>
        </w:trPr>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6" w:right="0"/>
              <w:jc w:val="left"/>
              <w:rPr>
                <w:rFonts w:ascii="宋体" w:hAnsi="宋体" w:cs="宋体" w:eastAsia="宋体" w:hint="default"/>
                <w:sz w:val="18"/>
                <w:szCs w:val="18"/>
              </w:rPr>
            </w:pPr>
            <w:r>
              <w:rPr>
                <w:rFonts w:ascii="宋体" w:hAnsi="宋体" w:cs="宋体" w:eastAsia="宋体" w:hint="default"/>
                <w:sz w:val="18"/>
                <w:szCs w:val="18"/>
              </w:rPr>
              <w:t>按组合计提坏账准备</w:t>
            </w:r>
            <w:r>
              <w:rPr>
                <w:rFonts w:ascii="宋体" w:hAnsi="宋体" w:cs="宋体" w:eastAsia="宋体" w:hint="default"/>
                <w:sz w:val="18"/>
                <w:szCs w:val="18"/>
              </w:rPr>
              <w:t> </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6" w:right="0"/>
              <w:jc w:val="left"/>
              <w:rPr>
                <w:rFonts w:ascii="宋体" w:hAnsi="宋体" w:cs="宋体" w:eastAsia="宋体" w:hint="default"/>
                <w:sz w:val="18"/>
                <w:szCs w:val="18"/>
              </w:rPr>
            </w:pPr>
            <w:r>
              <w:rPr>
                <w:rFonts w:ascii="宋体"/>
                <w:sz w:val="18"/>
              </w:rPr>
              <w:t>3,134,454,624.77</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4"/>
              <w:jc w:val="right"/>
              <w:rPr>
                <w:rFonts w:ascii="宋体" w:hAnsi="宋体" w:cs="宋体" w:eastAsia="宋体" w:hint="default"/>
                <w:sz w:val="18"/>
                <w:szCs w:val="18"/>
              </w:rPr>
            </w:pPr>
            <w:r>
              <w:rPr>
                <w:rFonts w:ascii="宋体"/>
                <w:spacing w:val="-1"/>
                <w:sz w:val="18"/>
              </w:rPr>
              <w:t>100.00</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center"/>
              <w:rPr>
                <w:rFonts w:ascii="宋体" w:hAnsi="宋体" w:cs="宋体" w:eastAsia="宋体" w:hint="default"/>
                <w:sz w:val="18"/>
                <w:szCs w:val="18"/>
              </w:rPr>
            </w:pPr>
            <w:r>
              <w:rPr>
                <w:rFonts w:ascii="宋体"/>
                <w:sz w:val="18"/>
              </w:rPr>
              <w:t>129,283,763.94</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3"/>
              <w:jc w:val="right"/>
              <w:rPr>
                <w:rFonts w:ascii="宋体" w:hAnsi="宋体" w:cs="宋体" w:eastAsia="宋体" w:hint="default"/>
                <w:sz w:val="18"/>
                <w:szCs w:val="18"/>
              </w:rPr>
            </w:pPr>
            <w:r>
              <w:rPr>
                <w:rFonts w:ascii="宋体"/>
                <w:sz w:val="18"/>
              </w:rPr>
              <w:t>4.12</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4"/>
              <w:jc w:val="right"/>
              <w:rPr>
                <w:rFonts w:ascii="宋体" w:hAnsi="宋体" w:cs="宋体" w:eastAsia="宋体" w:hint="default"/>
                <w:sz w:val="18"/>
                <w:szCs w:val="18"/>
              </w:rPr>
            </w:pPr>
            <w:r>
              <w:rPr>
                <w:rFonts w:ascii="宋体"/>
                <w:spacing w:val="-1"/>
                <w:sz w:val="18"/>
              </w:rPr>
              <w:t>3,005,170,860.83</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center"/>
              <w:rPr>
                <w:rFonts w:ascii="宋体" w:hAnsi="宋体" w:cs="宋体" w:eastAsia="宋体" w:hint="default"/>
                <w:sz w:val="18"/>
                <w:szCs w:val="18"/>
              </w:rPr>
            </w:pPr>
            <w:r>
              <w:rPr>
                <w:rFonts w:ascii="宋体"/>
                <w:sz w:val="18"/>
              </w:rPr>
              <w:t>2,963,241,417.12</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3"/>
              <w:jc w:val="right"/>
              <w:rPr>
                <w:rFonts w:ascii="宋体" w:hAnsi="宋体" w:cs="宋体" w:eastAsia="宋体" w:hint="default"/>
                <w:sz w:val="18"/>
                <w:szCs w:val="18"/>
              </w:rPr>
            </w:pPr>
            <w:r>
              <w:rPr>
                <w:rFonts w:ascii="宋体"/>
                <w:spacing w:val="-1"/>
                <w:sz w:val="18"/>
              </w:rPr>
              <w:t>100.00</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6"/>
              <w:jc w:val="right"/>
              <w:rPr>
                <w:rFonts w:ascii="宋体" w:hAnsi="宋体" w:cs="宋体" w:eastAsia="宋体" w:hint="default"/>
                <w:sz w:val="18"/>
                <w:szCs w:val="18"/>
              </w:rPr>
            </w:pPr>
            <w:r>
              <w:rPr>
                <w:rFonts w:ascii="宋体"/>
                <w:spacing w:val="-1"/>
                <w:sz w:val="18"/>
              </w:rPr>
              <w:t>139,078,500.85</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5"/>
              <w:jc w:val="right"/>
              <w:rPr>
                <w:rFonts w:ascii="宋体" w:hAnsi="宋体" w:cs="宋体" w:eastAsia="宋体" w:hint="default"/>
                <w:sz w:val="18"/>
                <w:szCs w:val="18"/>
              </w:rPr>
            </w:pPr>
            <w:r>
              <w:rPr>
                <w:rFonts w:ascii="宋体"/>
                <w:sz w:val="18"/>
              </w:rPr>
              <w:t>4.69</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3" w:right="0"/>
              <w:jc w:val="left"/>
              <w:rPr>
                <w:rFonts w:ascii="宋体" w:hAnsi="宋体" w:cs="宋体" w:eastAsia="宋体" w:hint="default"/>
                <w:sz w:val="18"/>
                <w:szCs w:val="18"/>
              </w:rPr>
            </w:pPr>
            <w:r>
              <w:rPr>
                <w:rFonts w:ascii="宋体"/>
                <w:sz w:val="18"/>
              </w:rPr>
              <w:t>2,824,162,916.27</w:t>
            </w:r>
          </w:p>
        </w:tc>
      </w:tr>
      <w:tr>
        <w:trPr>
          <w:trHeight w:val="336" w:hRule="exact"/>
        </w:trPr>
        <w:tc>
          <w:tcPr>
            <w:tcW w:w="13936"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6"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宋体" w:hAnsi="宋体" w:cs="宋体" w:eastAsia="宋体" w:hint="default"/>
                <w:sz w:val="18"/>
                <w:szCs w:val="18"/>
              </w:rPr>
              <w:t> </w:t>
            </w:r>
          </w:p>
        </w:tc>
      </w:tr>
      <w:tr>
        <w:trPr>
          <w:trHeight w:val="336" w:hRule="exact"/>
        </w:trPr>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6" w:right="0"/>
              <w:jc w:val="left"/>
              <w:rPr>
                <w:rFonts w:ascii="宋体" w:hAnsi="宋体" w:cs="宋体" w:eastAsia="宋体" w:hint="default"/>
                <w:sz w:val="18"/>
                <w:szCs w:val="18"/>
              </w:rPr>
            </w:pPr>
            <w:r>
              <w:rPr>
                <w:rFonts w:ascii="宋体" w:hAnsi="宋体" w:cs="宋体" w:eastAsia="宋体" w:hint="default"/>
                <w:sz w:val="18"/>
                <w:szCs w:val="18"/>
              </w:rPr>
              <w:t>账龄组合</w:t>
            </w:r>
            <w:r>
              <w:rPr>
                <w:rFonts w:ascii="宋体" w:hAnsi="宋体" w:cs="宋体" w:eastAsia="宋体" w:hint="default"/>
                <w:sz w:val="18"/>
                <w:szCs w:val="18"/>
              </w:rPr>
              <w:t> </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6" w:right="0"/>
              <w:jc w:val="left"/>
              <w:rPr>
                <w:rFonts w:ascii="宋体" w:hAnsi="宋体" w:cs="宋体" w:eastAsia="宋体" w:hint="default"/>
                <w:sz w:val="18"/>
                <w:szCs w:val="18"/>
              </w:rPr>
            </w:pPr>
            <w:r>
              <w:rPr>
                <w:rFonts w:ascii="宋体"/>
                <w:sz w:val="18"/>
              </w:rPr>
              <w:t>1,003,494,838.35</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4"/>
              <w:jc w:val="right"/>
              <w:rPr>
                <w:rFonts w:ascii="宋体" w:hAnsi="宋体" w:cs="宋体" w:eastAsia="宋体" w:hint="default"/>
                <w:sz w:val="18"/>
                <w:szCs w:val="18"/>
              </w:rPr>
            </w:pPr>
            <w:r>
              <w:rPr>
                <w:rFonts w:ascii="宋体"/>
                <w:sz w:val="18"/>
              </w:rPr>
              <w:t>32.01</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88" w:right="0"/>
              <w:jc w:val="center"/>
              <w:rPr>
                <w:rFonts w:ascii="宋体" w:hAnsi="宋体" w:cs="宋体" w:eastAsia="宋体" w:hint="default"/>
                <w:sz w:val="18"/>
                <w:szCs w:val="18"/>
              </w:rPr>
            </w:pPr>
            <w:r>
              <w:rPr>
                <w:rFonts w:ascii="宋体"/>
                <w:sz w:val="18"/>
              </w:rPr>
              <w:t>94,426,050.60</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3"/>
              <w:jc w:val="right"/>
              <w:rPr>
                <w:rFonts w:ascii="宋体" w:hAnsi="宋体" w:cs="宋体" w:eastAsia="宋体" w:hint="default"/>
                <w:sz w:val="18"/>
                <w:szCs w:val="18"/>
              </w:rPr>
            </w:pPr>
            <w:r>
              <w:rPr>
                <w:rFonts w:ascii="宋体"/>
                <w:sz w:val="18"/>
              </w:rPr>
              <w:t>9.41</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4"/>
              <w:jc w:val="right"/>
              <w:rPr>
                <w:rFonts w:ascii="宋体" w:hAnsi="宋体" w:cs="宋体" w:eastAsia="宋体" w:hint="default"/>
                <w:sz w:val="18"/>
                <w:szCs w:val="18"/>
              </w:rPr>
            </w:pPr>
            <w:r>
              <w:rPr>
                <w:rFonts w:ascii="宋体"/>
                <w:spacing w:val="-1"/>
                <w:sz w:val="18"/>
              </w:rPr>
              <w:t>909,068,787.75</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center"/>
              <w:rPr>
                <w:rFonts w:ascii="宋体" w:hAnsi="宋体" w:cs="宋体" w:eastAsia="宋体" w:hint="default"/>
                <w:sz w:val="18"/>
                <w:szCs w:val="18"/>
              </w:rPr>
            </w:pPr>
            <w:r>
              <w:rPr>
                <w:rFonts w:ascii="宋体"/>
                <w:sz w:val="18"/>
              </w:rPr>
              <w:t>1,484,831,122.28</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3"/>
              <w:jc w:val="right"/>
              <w:rPr>
                <w:rFonts w:ascii="宋体" w:hAnsi="宋体" w:cs="宋体" w:eastAsia="宋体" w:hint="default"/>
                <w:sz w:val="18"/>
                <w:szCs w:val="18"/>
              </w:rPr>
            </w:pPr>
            <w:r>
              <w:rPr>
                <w:rFonts w:ascii="宋体"/>
                <w:sz w:val="18"/>
              </w:rPr>
              <w:t>50.11</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6"/>
              <w:jc w:val="right"/>
              <w:rPr>
                <w:rFonts w:ascii="宋体" w:hAnsi="宋体" w:cs="宋体" w:eastAsia="宋体" w:hint="default"/>
                <w:sz w:val="18"/>
                <w:szCs w:val="18"/>
              </w:rPr>
            </w:pPr>
            <w:r>
              <w:rPr>
                <w:rFonts w:ascii="宋体"/>
                <w:spacing w:val="-1"/>
                <w:sz w:val="18"/>
              </w:rPr>
              <w:t>116,027,842.90</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5"/>
              <w:jc w:val="right"/>
              <w:rPr>
                <w:rFonts w:ascii="宋体" w:hAnsi="宋体" w:cs="宋体" w:eastAsia="宋体" w:hint="default"/>
                <w:sz w:val="18"/>
                <w:szCs w:val="18"/>
              </w:rPr>
            </w:pPr>
            <w:r>
              <w:rPr>
                <w:rFonts w:ascii="宋体"/>
                <w:sz w:val="18"/>
              </w:rPr>
              <w:t>7.81</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3" w:right="0"/>
              <w:jc w:val="left"/>
              <w:rPr>
                <w:rFonts w:ascii="宋体" w:hAnsi="宋体" w:cs="宋体" w:eastAsia="宋体" w:hint="default"/>
                <w:sz w:val="18"/>
                <w:szCs w:val="18"/>
              </w:rPr>
            </w:pPr>
            <w:r>
              <w:rPr>
                <w:rFonts w:ascii="宋体"/>
                <w:sz w:val="18"/>
              </w:rPr>
              <w:t>1,368,803,279.38</w:t>
            </w:r>
          </w:p>
        </w:tc>
      </w:tr>
      <w:tr>
        <w:trPr>
          <w:trHeight w:val="663" w:hRule="exact"/>
        </w:trPr>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333" w:lineRule="auto" w:before="15"/>
              <w:ind w:left="26" w:right="180"/>
              <w:jc w:val="left"/>
              <w:rPr>
                <w:rFonts w:ascii="宋体" w:hAnsi="宋体" w:cs="宋体" w:eastAsia="宋体" w:hint="default"/>
                <w:sz w:val="18"/>
                <w:szCs w:val="18"/>
              </w:rPr>
            </w:pPr>
            <w:r>
              <w:rPr>
                <w:rFonts w:ascii="宋体" w:hAnsi="宋体" w:cs="宋体" w:eastAsia="宋体" w:hint="default"/>
                <w:sz w:val="18"/>
                <w:szCs w:val="18"/>
              </w:rPr>
              <w:t>光伏发电应收补贴组 合</w:t>
            </w:r>
            <w:r>
              <w:rPr>
                <w:rFonts w:ascii="宋体" w:hAnsi="宋体" w:cs="宋体" w:eastAsia="宋体" w:hint="default"/>
                <w:sz w:val="18"/>
                <w:szCs w:val="18"/>
              </w:rPr>
              <w:t> </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left="26" w:right="0"/>
              <w:jc w:val="left"/>
              <w:rPr>
                <w:rFonts w:ascii="宋体" w:hAnsi="宋体" w:cs="宋体" w:eastAsia="宋体" w:hint="default"/>
                <w:sz w:val="18"/>
                <w:szCs w:val="18"/>
              </w:rPr>
            </w:pPr>
            <w:r>
              <w:rPr>
                <w:rFonts w:ascii="宋体"/>
                <w:sz w:val="18"/>
              </w:rPr>
              <w:t>2,130,959,786.42</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right="24"/>
              <w:jc w:val="right"/>
              <w:rPr>
                <w:rFonts w:ascii="宋体" w:hAnsi="宋体" w:cs="宋体" w:eastAsia="宋体" w:hint="default"/>
                <w:sz w:val="18"/>
                <w:szCs w:val="18"/>
              </w:rPr>
            </w:pPr>
            <w:r>
              <w:rPr>
                <w:rFonts w:ascii="宋体"/>
                <w:sz w:val="18"/>
              </w:rPr>
              <w:t>67.99</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left="88" w:right="0"/>
              <w:jc w:val="center"/>
              <w:rPr>
                <w:rFonts w:ascii="宋体" w:hAnsi="宋体" w:cs="宋体" w:eastAsia="宋体" w:hint="default"/>
                <w:sz w:val="18"/>
                <w:szCs w:val="18"/>
              </w:rPr>
            </w:pPr>
            <w:r>
              <w:rPr>
                <w:rFonts w:ascii="宋体"/>
                <w:sz w:val="18"/>
              </w:rPr>
              <w:t>34,857,713.34</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right="23"/>
              <w:jc w:val="right"/>
              <w:rPr>
                <w:rFonts w:ascii="宋体" w:hAnsi="宋体" w:cs="宋体" w:eastAsia="宋体" w:hint="default"/>
                <w:sz w:val="18"/>
                <w:szCs w:val="18"/>
              </w:rPr>
            </w:pPr>
            <w:r>
              <w:rPr>
                <w:rFonts w:ascii="宋体"/>
                <w:sz w:val="18"/>
              </w:rPr>
              <w:t>1.63</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right="24"/>
              <w:jc w:val="right"/>
              <w:rPr>
                <w:rFonts w:ascii="宋体" w:hAnsi="宋体" w:cs="宋体" w:eastAsia="宋体" w:hint="default"/>
                <w:sz w:val="18"/>
                <w:szCs w:val="18"/>
              </w:rPr>
            </w:pPr>
            <w:r>
              <w:rPr>
                <w:rFonts w:ascii="宋体"/>
                <w:spacing w:val="-1"/>
                <w:sz w:val="18"/>
              </w:rPr>
              <w:t>2,096,102,073.08</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sz w:val="18"/>
              </w:rPr>
              <w:t>1,478,410,294.84</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right="23"/>
              <w:jc w:val="right"/>
              <w:rPr>
                <w:rFonts w:ascii="宋体" w:hAnsi="宋体" w:cs="宋体" w:eastAsia="宋体" w:hint="default"/>
                <w:sz w:val="18"/>
                <w:szCs w:val="18"/>
              </w:rPr>
            </w:pPr>
            <w:r>
              <w:rPr>
                <w:rFonts w:ascii="宋体"/>
                <w:sz w:val="18"/>
              </w:rPr>
              <w:t>49.89</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right="24"/>
              <w:jc w:val="right"/>
              <w:rPr>
                <w:rFonts w:ascii="宋体" w:hAnsi="宋体" w:cs="宋体" w:eastAsia="宋体" w:hint="default"/>
                <w:sz w:val="18"/>
                <w:szCs w:val="18"/>
              </w:rPr>
            </w:pPr>
            <w:r>
              <w:rPr>
                <w:rFonts w:ascii="宋体"/>
                <w:spacing w:val="-1"/>
                <w:sz w:val="18"/>
              </w:rPr>
              <w:t>23,050,657.95</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right="25"/>
              <w:jc w:val="right"/>
              <w:rPr>
                <w:rFonts w:ascii="宋体" w:hAnsi="宋体" w:cs="宋体" w:eastAsia="宋体" w:hint="default"/>
                <w:sz w:val="18"/>
                <w:szCs w:val="18"/>
              </w:rPr>
            </w:pPr>
            <w:r>
              <w:rPr>
                <w:rFonts w:ascii="宋体"/>
                <w:sz w:val="18"/>
              </w:rPr>
              <w:t>1.56</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left="23" w:right="0"/>
              <w:jc w:val="left"/>
              <w:rPr>
                <w:rFonts w:ascii="宋体" w:hAnsi="宋体" w:cs="宋体" w:eastAsia="宋体" w:hint="default"/>
                <w:sz w:val="18"/>
                <w:szCs w:val="18"/>
              </w:rPr>
            </w:pPr>
            <w:r>
              <w:rPr>
                <w:rFonts w:ascii="宋体"/>
                <w:sz w:val="18"/>
              </w:rPr>
              <w:t>1,455,359,636.89</w:t>
            </w:r>
          </w:p>
        </w:tc>
      </w:tr>
      <w:tr>
        <w:trPr>
          <w:trHeight w:val="336" w:hRule="exact"/>
        </w:trPr>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90" w:right="0"/>
              <w:jc w:val="center"/>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6" w:right="0"/>
              <w:jc w:val="left"/>
              <w:rPr>
                <w:rFonts w:ascii="宋体" w:hAnsi="宋体" w:cs="宋体" w:eastAsia="宋体" w:hint="default"/>
                <w:sz w:val="18"/>
                <w:szCs w:val="18"/>
              </w:rPr>
            </w:pPr>
            <w:r>
              <w:rPr>
                <w:rFonts w:ascii="宋体"/>
                <w:sz w:val="18"/>
              </w:rPr>
              <w:t>3,134,454,624.77</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87" w:right="0"/>
              <w:jc w:val="center"/>
              <w:rPr>
                <w:rFonts w:ascii="宋体" w:hAnsi="宋体" w:cs="宋体" w:eastAsia="宋体" w:hint="default"/>
                <w:sz w:val="18"/>
                <w:szCs w:val="18"/>
              </w:rPr>
            </w:pPr>
            <w:r>
              <w:rPr>
                <w:rFonts w:ascii="宋体"/>
                <w:sz w:val="18"/>
              </w:rPr>
              <w:t>/ </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center"/>
              <w:rPr>
                <w:rFonts w:ascii="宋体" w:hAnsi="宋体" w:cs="宋体" w:eastAsia="宋体" w:hint="default"/>
                <w:sz w:val="18"/>
                <w:szCs w:val="18"/>
              </w:rPr>
            </w:pPr>
            <w:r>
              <w:rPr>
                <w:rFonts w:ascii="宋体"/>
                <w:sz w:val="18"/>
              </w:rPr>
              <w:t>129,283,763.94</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89" w:right="0"/>
              <w:jc w:val="center"/>
              <w:rPr>
                <w:rFonts w:ascii="宋体" w:hAnsi="宋体" w:cs="宋体" w:eastAsia="宋体" w:hint="default"/>
                <w:sz w:val="18"/>
                <w:szCs w:val="18"/>
              </w:rPr>
            </w:pPr>
            <w:r>
              <w:rPr>
                <w:rFonts w:ascii="宋体"/>
                <w:sz w:val="18"/>
              </w:rPr>
              <w:t>/ </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4"/>
              <w:jc w:val="right"/>
              <w:rPr>
                <w:rFonts w:ascii="宋体" w:hAnsi="宋体" w:cs="宋体" w:eastAsia="宋体" w:hint="default"/>
                <w:sz w:val="18"/>
                <w:szCs w:val="18"/>
              </w:rPr>
            </w:pPr>
            <w:r>
              <w:rPr>
                <w:rFonts w:ascii="宋体"/>
                <w:spacing w:val="-1"/>
                <w:sz w:val="18"/>
              </w:rPr>
              <w:t>3,005,170,860.83</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center"/>
              <w:rPr>
                <w:rFonts w:ascii="宋体" w:hAnsi="宋体" w:cs="宋体" w:eastAsia="宋体" w:hint="default"/>
                <w:sz w:val="18"/>
                <w:szCs w:val="18"/>
              </w:rPr>
            </w:pPr>
            <w:r>
              <w:rPr>
                <w:rFonts w:ascii="宋体"/>
                <w:sz w:val="18"/>
              </w:rPr>
              <w:t>2,963,241,417.12</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87" w:right="0"/>
              <w:jc w:val="center"/>
              <w:rPr>
                <w:rFonts w:ascii="宋体" w:hAnsi="宋体" w:cs="宋体" w:eastAsia="宋体" w:hint="default"/>
                <w:sz w:val="18"/>
                <w:szCs w:val="18"/>
              </w:rPr>
            </w:pPr>
            <w:r>
              <w:rPr>
                <w:rFonts w:ascii="宋体"/>
                <w:sz w:val="18"/>
              </w:rPr>
              <w:t>/ </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6"/>
              <w:jc w:val="right"/>
              <w:rPr>
                <w:rFonts w:ascii="宋体" w:hAnsi="宋体" w:cs="宋体" w:eastAsia="宋体" w:hint="default"/>
                <w:sz w:val="18"/>
                <w:szCs w:val="18"/>
              </w:rPr>
            </w:pPr>
            <w:r>
              <w:rPr>
                <w:rFonts w:ascii="宋体"/>
                <w:spacing w:val="-1"/>
                <w:sz w:val="18"/>
              </w:rPr>
              <w:t>139,078,500.85</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85" w:right="0"/>
              <w:jc w:val="center"/>
              <w:rPr>
                <w:rFonts w:ascii="宋体" w:hAnsi="宋体" w:cs="宋体" w:eastAsia="宋体" w:hint="default"/>
                <w:sz w:val="18"/>
                <w:szCs w:val="18"/>
              </w:rPr>
            </w:pPr>
            <w:r>
              <w:rPr>
                <w:rFonts w:ascii="宋体"/>
                <w:sz w:val="18"/>
              </w:rPr>
              <w:t>/ </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3" w:right="0"/>
              <w:jc w:val="left"/>
              <w:rPr>
                <w:rFonts w:ascii="宋体" w:hAnsi="宋体" w:cs="宋体" w:eastAsia="宋体" w:hint="default"/>
                <w:sz w:val="18"/>
                <w:szCs w:val="18"/>
              </w:rPr>
            </w:pPr>
            <w:r>
              <w:rPr>
                <w:rFonts w:ascii="宋体"/>
                <w:sz w:val="18"/>
              </w:rPr>
              <w:t>2,824,162,916.27</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3"/>
          <w:szCs w:val="23"/>
        </w:rPr>
      </w:pPr>
    </w:p>
    <w:p>
      <w:pPr>
        <w:spacing w:before="63"/>
        <w:ind w:left="6769" w:right="6716" w:firstLine="0"/>
        <w:jc w:val="center"/>
        <w:rPr>
          <w:rFonts w:ascii="Calibri" w:hAnsi="Calibri" w:cs="Calibri" w:eastAsia="Calibri" w:hint="default"/>
          <w:sz w:val="18"/>
          <w:szCs w:val="18"/>
        </w:rPr>
      </w:pPr>
      <w:r>
        <w:rPr>
          <w:rFonts w:ascii="Calibri"/>
          <w:b/>
          <w:sz w:val="18"/>
        </w:rPr>
        <w:t>137 </w:t>
      </w:r>
      <w:r>
        <w:rPr>
          <w:rFonts w:ascii="Calibri"/>
          <w:sz w:val="18"/>
        </w:rPr>
        <w:t>/</w:t>
      </w:r>
      <w:r>
        <w:rPr>
          <w:rFonts w:ascii="Calibri"/>
          <w:spacing w:val="-5"/>
          <w:sz w:val="18"/>
        </w:rPr>
        <w:t> </w:t>
      </w:r>
      <w:r>
        <w:rPr>
          <w:rFonts w:ascii="Calibri"/>
          <w:b/>
          <w:sz w:val="18"/>
        </w:rPr>
        <w:t>216</w:t>
      </w:r>
      <w:r>
        <w:rPr>
          <w:rFonts w:ascii="Calibri"/>
          <w:sz w:val="18"/>
        </w:rPr>
      </w:r>
    </w:p>
    <w:p>
      <w:pPr>
        <w:spacing w:after="0"/>
        <w:jc w:val="center"/>
        <w:rPr>
          <w:rFonts w:ascii="Calibri" w:hAnsi="Calibri" w:cs="Calibri" w:eastAsia="Calibri" w:hint="default"/>
          <w:sz w:val="18"/>
          <w:szCs w:val="18"/>
        </w:rPr>
        <w:sectPr>
          <w:type w:val="continuous"/>
          <w:pgSz w:w="16840" w:h="11910" w:orient="landscape"/>
          <w:pgMar w:top="1580" w:bottom="280" w:left="1240" w:right="1380"/>
        </w:sectPr>
      </w:pPr>
    </w:p>
    <w:p>
      <w:pPr>
        <w:spacing w:line="240" w:lineRule="auto" w:before="6"/>
        <w:rPr>
          <w:rFonts w:ascii="Calibri" w:hAnsi="Calibri" w:cs="Calibri" w:eastAsia="Calibri" w:hint="default"/>
          <w:b/>
          <w:bCs/>
          <w:sz w:val="20"/>
          <w:szCs w:val="20"/>
        </w:rPr>
      </w:pPr>
    </w:p>
    <w:p>
      <w:pPr>
        <w:spacing w:after="0" w:line="240" w:lineRule="auto"/>
        <w:rPr>
          <w:rFonts w:ascii="Calibri" w:hAnsi="Calibri" w:cs="Calibri" w:eastAsia="Calibri" w:hint="default"/>
          <w:sz w:val="20"/>
          <w:szCs w:val="20"/>
        </w:rPr>
        <w:sectPr>
          <w:footerReference w:type="default" r:id="rId151"/>
          <w:pgSz w:w="11910" w:h="16840"/>
          <w:pgMar w:footer="974" w:header="0" w:top="1140" w:bottom="1160" w:left="820" w:right="1340"/>
          <w:pgNumType w:start="138"/>
        </w:sectPr>
      </w:pPr>
    </w:p>
    <w:p>
      <w:pPr>
        <w:pStyle w:val="BodyText"/>
        <w:spacing w:line="240" w:lineRule="auto" w:before="36"/>
        <w:ind w:left="456" w:right="0"/>
        <w:jc w:val="left"/>
        <w:rPr>
          <w:rFonts w:ascii="宋体" w:hAnsi="宋体" w:cs="宋体" w:eastAsia="宋体" w:hint="default"/>
        </w:rPr>
      </w:pPr>
      <w:r>
        <w:rPr/>
        <w:t>按单项计提坏账准备：</w:t>
      </w:r>
      <w:r>
        <w:rPr>
          <w:rFonts w:ascii="宋体" w:hAnsi="宋体" w:cs="宋体" w:eastAsia="宋体" w:hint="default"/>
        </w:rPr>
        <w:t> </w:t>
      </w:r>
    </w:p>
    <w:p>
      <w:pPr>
        <w:pStyle w:val="BodyText"/>
        <w:spacing w:line="240" w:lineRule="auto" w:before="37"/>
        <w:ind w:left="45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2"/>
        <w:spacing w:line="240" w:lineRule="auto" w:before="9"/>
        <w:ind w:left="456" w:right="0"/>
        <w:jc w:val="left"/>
        <w:rPr>
          <w:rFonts w:ascii="宋体" w:hAnsi="宋体" w:cs="宋体" w:eastAsia="宋体" w:hint="default"/>
        </w:rPr>
      </w:pPr>
      <w:r>
        <w:rPr>
          <w:rFonts w:ascii="宋体"/>
        </w:rPr>
        <w:t> </w:t>
      </w:r>
    </w:p>
    <w:p>
      <w:pPr>
        <w:pStyle w:val="BodyText"/>
        <w:spacing w:line="240" w:lineRule="auto" w:before="25"/>
        <w:ind w:left="456" w:right="0"/>
        <w:jc w:val="left"/>
        <w:rPr>
          <w:rFonts w:ascii="宋体" w:hAnsi="宋体" w:cs="宋体" w:eastAsia="宋体" w:hint="default"/>
        </w:rPr>
      </w:pPr>
      <w:r>
        <w:rPr/>
        <w:t>按组合计提坏账准备：</w:t>
      </w:r>
      <w:r>
        <w:rPr>
          <w:rFonts w:ascii="宋体" w:hAnsi="宋体" w:cs="宋体" w:eastAsia="宋体" w:hint="default"/>
        </w:rPr>
        <w:t> </w:t>
      </w:r>
    </w:p>
    <w:p>
      <w:pPr>
        <w:pStyle w:val="Heading2"/>
        <w:spacing w:line="240" w:lineRule="auto" w:before="9"/>
        <w:ind w:left="45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before="25"/>
        <w:ind w:left="456" w:right="0" w:firstLine="0"/>
        <w:jc w:val="left"/>
        <w:rPr>
          <w:rFonts w:ascii="宋体" w:hAnsi="宋体" w:cs="宋体" w:eastAsia="宋体" w:hint="default"/>
          <w:sz w:val="21"/>
          <w:szCs w:val="21"/>
        </w:rPr>
      </w:pPr>
      <w:r>
        <w:rPr>
          <w:rFonts w:ascii="宋体" w:hAnsi="宋体" w:cs="宋体" w:eastAsia="宋体" w:hint="default"/>
          <w:sz w:val="21"/>
          <w:szCs w:val="21"/>
        </w:rPr>
        <w:t>组合计提项目：</w:t>
      </w:r>
      <w:r>
        <w:rPr>
          <w:rFonts w:ascii="宋体" w:hAnsi="宋体" w:cs="宋体" w:eastAsia="宋体" w:hint="default"/>
          <w:sz w:val="18"/>
          <w:szCs w:val="18"/>
        </w:rPr>
        <w:t>账龄组合</w:t>
      </w:r>
      <w:r>
        <w:rPr>
          <w:rFonts w:ascii="宋体" w:hAnsi="宋体" w:cs="宋体" w:eastAsia="宋体" w:hint="default"/>
          <w:w w:val="100"/>
          <w:sz w:val="21"/>
          <w:szCs w:val="21"/>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5"/>
          <w:szCs w:val="25"/>
        </w:rPr>
      </w:pPr>
    </w:p>
    <w:p>
      <w:pPr>
        <w:pStyle w:val="BodyText"/>
        <w:spacing w:line="240" w:lineRule="auto"/>
        <w:ind w:left="456" w:right="0"/>
        <w:jc w:val="left"/>
        <w:rPr>
          <w:rFonts w:ascii="宋体" w:hAnsi="宋体" w:cs="宋体" w:eastAsia="宋体" w:hint="default"/>
        </w:rPr>
      </w:pPr>
      <w:r>
        <w:rPr/>
        <w:t>单位：元币种：人民币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580" w:bottom="280" w:left="820" w:right="1340"/>
          <w:cols w:num="2" w:equalWidth="0">
            <w:col w:w="2755" w:space="3876"/>
            <w:col w:w="3119"/>
          </w:cols>
        </w:sectPr>
      </w:pPr>
    </w:p>
    <w:p>
      <w:pPr>
        <w:spacing w:line="240" w:lineRule="auto" w:before="10"/>
        <w:rPr>
          <w:rFonts w:ascii="宋体" w:hAnsi="宋体" w:cs="宋体" w:eastAsia="宋体" w:hint="default"/>
          <w:sz w:val="3"/>
          <w:szCs w:val="3"/>
        </w:rPr>
      </w:pPr>
    </w:p>
    <w:tbl>
      <w:tblPr>
        <w:tblW w:w="0" w:type="auto"/>
        <w:jc w:val="left"/>
        <w:tblInd w:w="344" w:type="dxa"/>
        <w:tblLayout w:type="fixed"/>
        <w:tblCellMar>
          <w:top w:w="0" w:type="dxa"/>
          <w:left w:w="0" w:type="dxa"/>
          <w:bottom w:w="0" w:type="dxa"/>
          <w:right w:w="0" w:type="dxa"/>
        </w:tblCellMar>
        <w:tblLook w:val="01E0"/>
      </w:tblPr>
      <w:tblGrid>
        <w:gridCol w:w="2096"/>
        <w:gridCol w:w="2309"/>
        <w:gridCol w:w="2352"/>
        <w:gridCol w:w="2293"/>
      </w:tblGrid>
      <w:tr>
        <w:trPr>
          <w:trHeight w:val="322" w:hRule="exact"/>
        </w:trPr>
        <w:tc>
          <w:tcPr>
            <w:tcW w:w="2096" w:type="dxa"/>
            <w:vMerge w:val="restart"/>
            <w:tcBorders>
              <w:top w:val="single" w:sz="4" w:space="0" w:color="000000"/>
              <w:left w:val="single" w:sz="4" w:space="0" w:color="000000"/>
              <w:right w:val="single" w:sz="4" w:space="0" w:color="000000"/>
            </w:tcBorders>
          </w:tcPr>
          <w:p>
            <w:pPr>
              <w:pStyle w:val="TableParagraph"/>
              <w:spacing w:line="240" w:lineRule="auto" w:before="148"/>
              <w:ind w:left="106" w:right="0"/>
              <w:jc w:val="center"/>
              <w:rPr>
                <w:rFonts w:ascii="宋体" w:hAnsi="宋体" w:cs="宋体" w:eastAsia="宋体" w:hint="default"/>
                <w:sz w:val="21"/>
                <w:szCs w:val="21"/>
              </w:rPr>
            </w:pPr>
            <w:r>
              <w:rPr>
                <w:rFonts w:ascii="宋体" w:hAnsi="宋体" w:cs="宋体" w:eastAsia="宋体" w:hint="default"/>
                <w:sz w:val="21"/>
                <w:szCs w:val="21"/>
              </w:rPr>
              <w:t>名称</w:t>
            </w:r>
            <w:r>
              <w:rPr>
                <w:rFonts w:ascii="宋体" w:hAnsi="宋体" w:cs="宋体" w:eastAsia="宋体" w:hint="default"/>
                <w:sz w:val="21"/>
                <w:szCs w:val="21"/>
              </w:rPr>
              <w:t> </w:t>
            </w:r>
          </w:p>
        </w:tc>
        <w:tc>
          <w:tcPr>
            <w:tcW w:w="6954" w:type="dxa"/>
            <w:gridSpan w:val="3"/>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center"/>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322" w:hRule="exact"/>
        </w:trPr>
        <w:tc>
          <w:tcPr>
            <w:tcW w:w="2096" w:type="dxa"/>
            <w:vMerge/>
            <w:tcBorders>
              <w:left w:val="single" w:sz="4" w:space="0" w:color="000000"/>
              <w:bottom w:val="single" w:sz="4" w:space="0" w:color="000000"/>
              <w:right w:val="single" w:sz="4" w:space="0" w:color="000000"/>
            </w:tcBorders>
          </w:tcPr>
          <w:p>
            <w:pP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30" w:right="0"/>
              <w:jc w:val="left"/>
              <w:rPr>
                <w:rFonts w:ascii="宋体" w:hAnsi="宋体" w:cs="宋体" w:eastAsia="宋体" w:hint="default"/>
                <w:sz w:val="21"/>
                <w:szCs w:val="21"/>
              </w:rPr>
            </w:pPr>
            <w:r>
              <w:rPr>
                <w:rFonts w:ascii="宋体" w:hAnsi="宋体" w:cs="宋体" w:eastAsia="宋体" w:hint="default"/>
                <w:sz w:val="21"/>
                <w:szCs w:val="21"/>
              </w:rPr>
              <w:t>应收账款</w:t>
            </w:r>
            <w:r>
              <w:rPr>
                <w:rFonts w:ascii="宋体" w:hAnsi="宋体" w:cs="宋体" w:eastAsia="宋体" w:hint="default"/>
                <w:sz w:val="21"/>
                <w:szCs w:val="21"/>
              </w:rPr>
              <w:t> </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51" w:right="0"/>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sz w:val="21"/>
                <w:szCs w:val="21"/>
              </w:rPr>
              <w:t> </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58" w:right="0"/>
              <w:jc w:val="left"/>
              <w:rPr>
                <w:rFonts w:ascii="宋体" w:hAnsi="宋体" w:cs="宋体" w:eastAsia="宋体" w:hint="default"/>
                <w:sz w:val="21"/>
                <w:szCs w:val="21"/>
              </w:rPr>
            </w:pPr>
            <w:r>
              <w:rPr>
                <w:rFonts w:ascii="宋体" w:hAnsi="宋体" w:cs="宋体" w:eastAsia="宋体" w:hint="default"/>
                <w:sz w:val="21"/>
                <w:szCs w:val="21"/>
              </w:rPr>
              <w:t>计提比例（</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r>
      <w:tr>
        <w:trPr>
          <w:trHeight w:val="322" w:hRule="exact"/>
        </w:trPr>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年以内</w:t>
            </w:r>
            <w:r>
              <w:rPr>
                <w:rFonts w:ascii="宋体" w:hAnsi="宋体" w:cs="宋体" w:eastAsia="宋体" w:hint="default"/>
                <w:sz w:val="21"/>
                <w:szCs w:val="21"/>
              </w:rPr>
              <w:t> </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794,114,862.91</w:t>
            </w:r>
            <w:r>
              <w:rPr>
                <w:rFonts w:ascii="宋体"/>
                <w:sz w:val="21"/>
              </w:rPr>
              <w:t> </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39,705,625.95</w:t>
            </w:r>
            <w:r>
              <w:rPr>
                <w:rFonts w:ascii="宋体"/>
                <w:sz w:val="21"/>
              </w:rPr>
              <w:t> </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5.00</w:t>
            </w:r>
            <w:r>
              <w:rPr>
                <w:rFonts w:ascii="宋体"/>
                <w:sz w:val="21"/>
              </w:rPr>
              <w:t> </w:t>
            </w:r>
          </w:p>
        </w:tc>
      </w:tr>
      <w:tr>
        <w:trPr>
          <w:trHeight w:val="324" w:hRule="exact"/>
        </w:trPr>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0"/>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spacing w:val="-1"/>
                <w:sz w:val="21"/>
              </w:rPr>
              <w:t>139,047,331.97</w:t>
            </w:r>
            <w:r>
              <w:rPr>
                <w:rFonts w:ascii="宋体"/>
                <w:sz w:val="21"/>
              </w:rPr>
              <w:t> </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spacing w:val="-1"/>
                <w:sz w:val="21"/>
              </w:rPr>
              <w:t>13,904,733.19</w:t>
            </w:r>
            <w:r>
              <w:rPr>
                <w:rFonts w:ascii="宋体"/>
                <w:sz w:val="21"/>
              </w:rPr>
              <w:t> </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spacing w:val="-1"/>
                <w:sz w:val="21"/>
              </w:rPr>
              <w:t>10.00</w:t>
            </w:r>
            <w:r>
              <w:rPr>
                <w:rFonts w:ascii="宋体"/>
                <w:sz w:val="21"/>
              </w:rPr>
              <w:t> </w:t>
            </w:r>
          </w:p>
        </w:tc>
      </w:tr>
      <w:tr>
        <w:trPr>
          <w:trHeight w:val="322" w:hRule="exact"/>
        </w:trPr>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2-3</w:t>
            </w:r>
            <w:r>
              <w:rPr>
                <w:rFonts w:ascii="宋体" w:hAnsi="宋体" w:cs="宋体" w:eastAsia="宋体" w:hint="default"/>
                <w:spacing w:val="-50"/>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42,167,074.30</w:t>
            </w:r>
            <w:r>
              <w:rPr>
                <w:rFonts w:ascii="宋体"/>
                <w:sz w:val="21"/>
              </w:rPr>
              <w:t> </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12,650,122.29</w:t>
            </w:r>
            <w:r>
              <w:rPr>
                <w:rFonts w:ascii="宋体"/>
                <w:sz w:val="21"/>
              </w:rPr>
              <w:t> </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30.00</w:t>
            </w:r>
            <w:r>
              <w:rPr>
                <w:rFonts w:ascii="宋体"/>
                <w:sz w:val="21"/>
              </w:rPr>
              <w:t> </w:t>
            </w:r>
          </w:p>
        </w:tc>
      </w:tr>
      <w:tr>
        <w:trPr>
          <w:trHeight w:val="322" w:hRule="exact"/>
        </w:trPr>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年以上</w:t>
            </w:r>
            <w:r>
              <w:rPr>
                <w:rFonts w:ascii="宋体" w:hAnsi="宋体" w:cs="宋体" w:eastAsia="宋体" w:hint="default"/>
                <w:sz w:val="21"/>
                <w:szCs w:val="21"/>
              </w:rPr>
              <w:t> </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3"/>
              <w:jc w:val="right"/>
              <w:rPr>
                <w:rFonts w:ascii="宋体" w:hAnsi="宋体" w:cs="宋体" w:eastAsia="宋体" w:hint="default"/>
                <w:sz w:val="21"/>
                <w:szCs w:val="21"/>
              </w:rPr>
            </w:pPr>
            <w:r>
              <w:rPr>
                <w:rFonts w:ascii="宋体"/>
                <w:spacing w:val="-1"/>
                <w:sz w:val="21"/>
              </w:rPr>
              <w:t>28,165,569.17</w:t>
            </w:r>
            <w:r>
              <w:rPr>
                <w:rFonts w:ascii="宋体"/>
                <w:sz w:val="21"/>
              </w:rPr>
              <w:t> </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3"/>
              <w:jc w:val="right"/>
              <w:rPr>
                <w:rFonts w:ascii="宋体" w:hAnsi="宋体" w:cs="宋体" w:eastAsia="宋体" w:hint="default"/>
                <w:sz w:val="21"/>
                <w:szCs w:val="21"/>
              </w:rPr>
            </w:pPr>
            <w:r>
              <w:rPr>
                <w:rFonts w:ascii="宋体"/>
                <w:spacing w:val="-1"/>
                <w:sz w:val="21"/>
              </w:rPr>
              <w:t>28,165,569.17</w:t>
            </w:r>
            <w:r>
              <w:rPr>
                <w:rFonts w:ascii="宋体"/>
                <w:sz w:val="21"/>
              </w:rPr>
              <w:t> </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3"/>
              <w:jc w:val="right"/>
              <w:rPr>
                <w:rFonts w:ascii="宋体" w:hAnsi="宋体" w:cs="宋体" w:eastAsia="宋体" w:hint="default"/>
                <w:sz w:val="21"/>
                <w:szCs w:val="21"/>
              </w:rPr>
            </w:pPr>
            <w:r>
              <w:rPr>
                <w:rFonts w:ascii="宋体"/>
                <w:spacing w:val="-1"/>
                <w:sz w:val="21"/>
              </w:rPr>
              <w:t>100.00</w:t>
            </w:r>
            <w:r>
              <w:rPr>
                <w:rFonts w:ascii="宋体"/>
                <w:sz w:val="21"/>
              </w:rPr>
              <w:t> </w:t>
            </w:r>
          </w:p>
        </w:tc>
      </w:tr>
      <w:tr>
        <w:trPr>
          <w:trHeight w:val="322" w:hRule="exact"/>
        </w:trPr>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6"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1,003,494,838.35</w:t>
            </w:r>
            <w:r>
              <w:rPr>
                <w:rFonts w:ascii="宋体"/>
                <w:sz w:val="21"/>
              </w:rPr>
              <w:t> </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94,426,050.60</w:t>
            </w:r>
            <w:r>
              <w:rPr>
                <w:rFonts w:ascii="宋体"/>
                <w:sz w:val="21"/>
              </w:rPr>
              <w:t> </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bl>
    <w:p>
      <w:pPr>
        <w:pStyle w:val="Heading2"/>
        <w:spacing w:line="274" w:lineRule="exact"/>
        <w:ind w:left="456" w:right="0"/>
        <w:jc w:val="left"/>
        <w:rPr>
          <w:rFonts w:ascii="宋体" w:hAnsi="宋体" w:cs="宋体" w:eastAsia="宋体" w:hint="default"/>
        </w:rPr>
      </w:pPr>
      <w:r>
        <w:rPr>
          <w:rFonts w:ascii="宋体"/>
        </w:rPr>
        <w:t> </w:t>
      </w:r>
    </w:p>
    <w:p>
      <w:pPr>
        <w:pStyle w:val="BodyText"/>
        <w:spacing w:line="240" w:lineRule="auto" w:before="25"/>
        <w:ind w:left="456" w:right="0"/>
        <w:jc w:val="left"/>
        <w:rPr>
          <w:rFonts w:ascii="宋体" w:hAnsi="宋体" w:cs="宋体" w:eastAsia="宋体" w:hint="default"/>
        </w:rPr>
      </w:pPr>
      <w:r>
        <w:rPr/>
        <w:t>按组合计提坏账的确认标准及说明：</w:t>
      </w:r>
      <w:r>
        <w:rPr>
          <w:rFonts w:ascii="宋体" w:hAnsi="宋体" w:cs="宋体" w:eastAsia="宋体" w:hint="default"/>
        </w:rPr>
        <w:t> </w:t>
      </w:r>
    </w:p>
    <w:p>
      <w:pPr>
        <w:pStyle w:val="BodyText"/>
        <w:spacing w:line="240" w:lineRule="auto" w:before="37"/>
        <w:ind w:left="45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2"/>
        <w:spacing w:line="312" w:lineRule="exact" w:before="40"/>
        <w:ind w:left="456" w:right="0"/>
        <w:jc w:val="left"/>
        <w:rPr>
          <w:rFonts w:ascii="宋体" w:hAnsi="宋体" w:cs="宋体" w:eastAsia="宋体" w:hint="default"/>
        </w:rPr>
      </w:pPr>
      <w:r>
        <w:rPr>
          <w:rFonts w:ascii="宋体" w:hAnsi="宋体" w:cs="宋体" w:eastAsia="宋体" w:hint="default"/>
        </w:rPr>
        <w:t>  </w:t>
      </w:r>
      <w:r>
        <w:rPr/>
        <w:t>如按预期信用损失一般模型计提坏账准备，请参照其他应收款披露</w:t>
      </w:r>
      <w:r>
        <w:rPr>
          <w:spacing w:val="1"/>
        </w:rPr>
        <w:t>：</w:t>
      </w:r>
      <w:r>
        <w:rPr>
          <w:rFonts w:ascii="宋体" w:hAnsi="宋体" w:cs="宋体" w:eastAsia="宋体" w:hint="default"/>
        </w:rPr>
        <w:t> </w:t>
      </w:r>
    </w:p>
    <w:p>
      <w:pPr>
        <w:pStyle w:val="Heading2"/>
        <w:spacing w:line="282" w:lineRule="exact"/>
        <w:ind w:left="45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2"/>
        <w:spacing w:line="313" w:lineRule="exact"/>
        <w:ind w:left="456" w:right="0"/>
        <w:jc w:val="left"/>
        <w:rPr>
          <w:rFonts w:ascii="宋体" w:hAnsi="宋体" w:cs="宋体" w:eastAsia="宋体" w:hint="default"/>
        </w:rPr>
      </w:pPr>
      <w:r>
        <w:rPr>
          <w:rFonts w:ascii="宋体"/>
        </w:rPr>
        <w:t> </w:t>
      </w:r>
    </w:p>
    <w:p>
      <w:pPr>
        <w:pStyle w:val="Heading3"/>
        <w:spacing w:line="240" w:lineRule="auto" w:before="85"/>
        <w:ind w:left="456" w:right="0"/>
        <w:jc w:val="left"/>
        <w:rPr>
          <w:rFonts w:ascii="宋体" w:hAnsi="宋体" w:cs="宋体" w:eastAsia="宋体" w:hint="default"/>
          <w:b w:val="0"/>
          <w:bCs w:val="0"/>
        </w:rPr>
      </w:pPr>
      <w:r>
        <w:rPr>
          <w:rFonts w:ascii="宋体" w:hAnsi="宋体" w:cs="宋体" w:eastAsia="宋体" w:hint="default"/>
        </w:rPr>
        <w:t>(3).</w:t>
      </w:r>
      <w:r>
        <w:rPr/>
        <w:t>坏账准备的情况</w:t>
      </w:r>
      <w:r>
        <w:rPr>
          <w:rFonts w:ascii="宋体" w:hAnsi="宋体" w:cs="宋体" w:eastAsia="宋体" w:hint="default"/>
          <w:w w:val="99"/>
        </w:rPr>
        <w:t> </w:t>
      </w:r>
      <w:r>
        <w:rPr>
          <w:rFonts w:ascii="宋体" w:hAnsi="宋体" w:cs="宋体" w:eastAsia="宋体" w:hint="default"/>
          <w:b w:val="0"/>
          <w:bCs w:val="0"/>
        </w:rPr>
      </w:r>
    </w:p>
    <w:p>
      <w:pPr>
        <w:pStyle w:val="Heading2"/>
        <w:spacing w:line="240" w:lineRule="auto" w:before="69"/>
        <w:ind w:left="45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BodyText"/>
        <w:spacing w:line="240" w:lineRule="auto" w:before="4"/>
        <w:ind w:left="0" w:right="451"/>
        <w:jc w:val="right"/>
      </w:pPr>
      <w:r>
        <w:rPr>
          <w:spacing w:val="-2"/>
        </w:rPr>
        <w:t>单位：元币种：人民币</w:t>
      </w:r>
    </w:p>
    <w:p>
      <w:pPr>
        <w:spacing w:line="240" w:lineRule="auto" w:before="7"/>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1464"/>
        <w:gridCol w:w="1517"/>
        <w:gridCol w:w="1663"/>
        <w:gridCol w:w="1421"/>
        <w:gridCol w:w="1308"/>
        <w:gridCol w:w="655"/>
        <w:gridCol w:w="1486"/>
      </w:tblGrid>
      <w:tr>
        <w:trPr>
          <w:trHeight w:val="322" w:hRule="exact"/>
        </w:trPr>
        <w:tc>
          <w:tcPr>
            <w:tcW w:w="1464"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545" w:right="0"/>
              <w:jc w:val="left"/>
              <w:rPr>
                <w:rFonts w:ascii="宋体" w:hAnsi="宋体" w:cs="宋体" w:eastAsia="宋体" w:hint="default"/>
                <w:sz w:val="18"/>
                <w:szCs w:val="18"/>
              </w:rPr>
            </w:pPr>
            <w:r>
              <w:rPr>
                <w:rFonts w:ascii="宋体" w:hAnsi="宋体" w:cs="宋体" w:eastAsia="宋体" w:hint="default"/>
                <w:sz w:val="18"/>
                <w:szCs w:val="18"/>
              </w:rPr>
              <w:t>类别</w:t>
            </w:r>
            <w:r>
              <w:rPr>
                <w:rFonts w:ascii="宋体" w:hAnsi="宋体" w:cs="宋体" w:eastAsia="宋体" w:hint="default"/>
                <w:sz w:val="18"/>
                <w:szCs w:val="18"/>
              </w:rPr>
              <w:t> </w:t>
            </w:r>
          </w:p>
        </w:tc>
        <w:tc>
          <w:tcPr>
            <w:tcW w:w="1517"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391"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宋体" w:hAnsi="宋体" w:cs="宋体" w:eastAsia="宋体" w:hint="default"/>
                <w:sz w:val="18"/>
                <w:szCs w:val="18"/>
              </w:rPr>
              <w:t> </w:t>
            </w:r>
          </w:p>
        </w:tc>
        <w:tc>
          <w:tcPr>
            <w:tcW w:w="5048"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82" w:right="0"/>
              <w:jc w:val="center"/>
              <w:rPr>
                <w:rFonts w:ascii="宋体" w:hAnsi="宋体" w:cs="宋体" w:eastAsia="宋体" w:hint="default"/>
                <w:sz w:val="18"/>
                <w:szCs w:val="18"/>
              </w:rPr>
            </w:pPr>
            <w:r>
              <w:rPr>
                <w:rFonts w:ascii="宋体" w:hAnsi="宋体" w:cs="宋体" w:eastAsia="宋体" w:hint="default"/>
                <w:sz w:val="18"/>
                <w:szCs w:val="18"/>
              </w:rPr>
              <w:t>本期变动金额</w:t>
            </w:r>
            <w:r>
              <w:rPr>
                <w:rFonts w:ascii="宋体" w:hAnsi="宋体" w:cs="宋体" w:eastAsia="宋体" w:hint="default"/>
                <w:sz w:val="18"/>
                <w:szCs w:val="18"/>
              </w:rPr>
              <w:t> </w:t>
            </w:r>
          </w:p>
        </w:tc>
        <w:tc>
          <w:tcPr>
            <w:tcW w:w="1486"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377"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宋体" w:hAnsi="宋体" w:cs="宋体" w:eastAsia="宋体" w:hint="default"/>
                <w:sz w:val="18"/>
                <w:szCs w:val="18"/>
              </w:rPr>
              <w:t> </w:t>
            </w:r>
          </w:p>
        </w:tc>
      </w:tr>
      <w:tr>
        <w:trPr>
          <w:trHeight w:val="634" w:hRule="exact"/>
        </w:trPr>
        <w:tc>
          <w:tcPr>
            <w:tcW w:w="1464" w:type="dxa"/>
            <w:vMerge/>
            <w:tcBorders>
              <w:left w:val="single" w:sz="4" w:space="0" w:color="000000"/>
              <w:bottom w:val="single" w:sz="4" w:space="0" w:color="000000"/>
              <w:right w:val="single" w:sz="4" w:space="0" w:color="000000"/>
            </w:tcBorders>
          </w:tcPr>
          <w:p>
            <w:pPr/>
          </w:p>
        </w:tc>
        <w:tc>
          <w:tcPr>
            <w:tcW w:w="1517" w:type="dxa"/>
            <w:vMerge/>
            <w:tcBorders>
              <w:left w:val="single" w:sz="4" w:space="0" w:color="000000"/>
              <w:bottom w:val="single" w:sz="4" w:space="0" w:color="000000"/>
              <w:right w:val="single" w:sz="4" w:space="0" w:color="000000"/>
            </w:tcBorders>
          </w:tcPr>
          <w:p>
            <w:pP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82" w:right="0"/>
              <w:jc w:val="center"/>
              <w:rPr>
                <w:rFonts w:ascii="宋体" w:hAnsi="宋体" w:cs="宋体" w:eastAsia="宋体" w:hint="default"/>
                <w:sz w:val="18"/>
                <w:szCs w:val="18"/>
              </w:rPr>
            </w:pPr>
            <w:r>
              <w:rPr>
                <w:rFonts w:ascii="宋体" w:hAnsi="宋体" w:cs="宋体" w:eastAsia="宋体" w:hint="default"/>
                <w:sz w:val="18"/>
                <w:szCs w:val="18"/>
              </w:rPr>
              <w:t>计提</w:t>
            </w:r>
            <w:r>
              <w:rPr>
                <w:rFonts w:ascii="宋体" w:hAnsi="宋体" w:cs="宋体" w:eastAsia="宋体" w:hint="default"/>
                <w:sz w:val="18"/>
                <w:szCs w:val="18"/>
              </w:rPr>
              <w:t> </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54" w:right="0"/>
              <w:jc w:val="left"/>
              <w:rPr>
                <w:rFonts w:ascii="宋体" w:hAnsi="宋体" w:cs="宋体" w:eastAsia="宋体" w:hint="default"/>
                <w:sz w:val="18"/>
                <w:szCs w:val="18"/>
              </w:rPr>
            </w:pPr>
            <w:r>
              <w:rPr>
                <w:rFonts w:ascii="宋体" w:hAnsi="宋体" w:cs="宋体" w:eastAsia="宋体" w:hint="default"/>
                <w:sz w:val="18"/>
                <w:szCs w:val="18"/>
              </w:rPr>
              <w:t>收回或转回</w:t>
            </w:r>
            <w:r>
              <w:rPr>
                <w:rFonts w:ascii="宋体" w:hAnsi="宋体" w:cs="宋体" w:eastAsia="宋体" w:hint="default"/>
                <w:sz w:val="18"/>
                <w:szCs w:val="18"/>
              </w:rPr>
              <w:t> </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转销或核销</w:t>
            </w:r>
            <w:r>
              <w:rPr>
                <w:rFonts w:ascii="宋体" w:hAnsi="宋体" w:cs="宋体" w:eastAsia="宋体" w:hint="default"/>
                <w:sz w:val="18"/>
                <w:szCs w:val="18"/>
              </w:rPr>
              <w:t> </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39" w:right="54"/>
              <w:jc w:val="left"/>
              <w:rPr>
                <w:rFonts w:ascii="宋体" w:hAnsi="宋体" w:cs="宋体" w:eastAsia="宋体" w:hint="default"/>
                <w:sz w:val="18"/>
                <w:szCs w:val="18"/>
              </w:rPr>
            </w:pPr>
            <w:r>
              <w:rPr>
                <w:rFonts w:ascii="宋体" w:hAnsi="宋体" w:cs="宋体" w:eastAsia="宋体" w:hint="default"/>
                <w:sz w:val="18"/>
                <w:szCs w:val="18"/>
              </w:rPr>
              <w:t>其他 变动</w:t>
            </w:r>
            <w:r>
              <w:rPr>
                <w:rFonts w:ascii="宋体" w:hAnsi="宋体" w:cs="宋体" w:eastAsia="宋体" w:hint="default"/>
                <w:sz w:val="18"/>
                <w:szCs w:val="18"/>
              </w:rPr>
              <w:t> </w:t>
            </w:r>
          </w:p>
        </w:tc>
        <w:tc>
          <w:tcPr>
            <w:tcW w:w="1486" w:type="dxa"/>
            <w:vMerge/>
            <w:tcBorders>
              <w:left w:val="single" w:sz="4" w:space="0" w:color="000000"/>
              <w:bottom w:val="single" w:sz="4" w:space="0" w:color="000000"/>
              <w:right w:val="single" w:sz="4" w:space="0" w:color="000000"/>
            </w:tcBorders>
          </w:tcPr>
          <w:p>
            <w:pPr/>
          </w:p>
        </w:tc>
      </w:tr>
      <w:tr>
        <w:trPr>
          <w:trHeight w:val="322" w:hRule="exact"/>
        </w:trPr>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8" w:right="0"/>
              <w:jc w:val="left"/>
              <w:rPr>
                <w:rFonts w:ascii="宋体" w:hAnsi="宋体" w:cs="宋体" w:eastAsia="宋体" w:hint="default"/>
                <w:sz w:val="18"/>
                <w:szCs w:val="18"/>
              </w:rPr>
            </w:pPr>
            <w:r>
              <w:rPr>
                <w:rFonts w:ascii="宋体" w:hAnsi="宋体" w:cs="宋体" w:eastAsia="宋体" w:hint="default"/>
                <w:sz w:val="18"/>
                <w:szCs w:val="18"/>
              </w:rPr>
              <w:t>账龄组合</w:t>
            </w:r>
            <w:r>
              <w:rPr>
                <w:rFonts w:ascii="宋体" w:hAnsi="宋体" w:cs="宋体" w:eastAsia="宋体" w:hint="default"/>
                <w:sz w:val="18"/>
                <w:szCs w:val="18"/>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宋体" w:hAnsi="宋体" w:cs="宋体" w:eastAsia="宋体" w:hint="default"/>
                <w:sz w:val="18"/>
                <w:szCs w:val="18"/>
              </w:rPr>
            </w:pPr>
            <w:r>
              <w:rPr>
                <w:rFonts w:ascii="宋体"/>
                <w:spacing w:val="-1"/>
                <w:sz w:val="18"/>
              </w:rPr>
              <w:t>116,027,842.90 </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8"/>
              <w:jc w:val="right"/>
              <w:rPr>
                <w:rFonts w:ascii="宋体" w:hAnsi="宋体" w:cs="宋体" w:eastAsia="宋体" w:hint="default"/>
                <w:sz w:val="18"/>
                <w:szCs w:val="18"/>
              </w:rPr>
            </w:pPr>
            <w:r>
              <w:rPr>
                <w:rFonts w:ascii="宋体"/>
                <w:spacing w:val="-1"/>
                <w:sz w:val="18"/>
              </w:rPr>
              <w:t>-17,609,921.16</w:t>
            </w:r>
            <w:r>
              <w:rPr>
                <w:rFonts w:ascii="宋体"/>
                <w:sz w:val="18"/>
              </w:rPr>
              <w:t> </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
              <w:jc w:val="right"/>
              <w:rPr>
                <w:rFonts w:ascii="宋体" w:hAnsi="宋体" w:cs="宋体" w:eastAsia="宋体" w:hint="default"/>
                <w:sz w:val="18"/>
                <w:szCs w:val="18"/>
              </w:rPr>
            </w:pPr>
            <w:r>
              <w:rPr>
                <w:rFonts w:ascii="宋体"/>
                <w:sz w:val="18"/>
              </w:rPr>
              <w:t> </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8"/>
              <w:jc w:val="right"/>
              <w:rPr>
                <w:rFonts w:ascii="宋体" w:hAnsi="宋体" w:cs="宋体" w:eastAsia="宋体" w:hint="default"/>
                <w:sz w:val="18"/>
                <w:szCs w:val="18"/>
              </w:rPr>
            </w:pPr>
            <w:r>
              <w:rPr>
                <w:rFonts w:ascii="宋体"/>
                <w:spacing w:val="-1"/>
                <w:sz w:val="18"/>
              </w:rPr>
              <w:t>3,991,871.14</w:t>
            </w:r>
            <w:r>
              <w:rPr>
                <w:rFonts w:ascii="宋体"/>
                <w:sz w:val="18"/>
              </w:rPr>
              <w:t> </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8"/>
              <w:jc w:val="right"/>
              <w:rPr>
                <w:rFonts w:ascii="宋体" w:hAnsi="宋体" w:cs="宋体" w:eastAsia="宋体" w:hint="default"/>
                <w:sz w:val="18"/>
                <w:szCs w:val="18"/>
              </w:rPr>
            </w:pPr>
            <w:r>
              <w:rPr>
                <w:rFonts w:ascii="宋体"/>
                <w:sz w:val="18"/>
              </w:rPr>
              <w:t> </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79" w:right="0"/>
              <w:jc w:val="center"/>
              <w:rPr>
                <w:rFonts w:ascii="宋体" w:hAnsi="宋体" w:cs="宋体" w:eastAsia="宋体" w:hint="default"/>
                <w:sz w:val="18"/>
                <w:szCs w:val="18"/>
              </w:rPr>
            </w:pPr>
            <w:r>
              <w:rPr>
                <w:rFonts w:ascii="宋体"/>
                <w:sz w:val="18"/>
              </w:rPr>
              <w:t>94,426,050.60 </w:t>
            </w:r>
          </w:p>
        </w:tc>
      </w:tr>
      <w:tr>
        <w:trPr>
          <w:trHeight w:val="634" w:hRule="exact"/>
        </w:trPr>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8" w:right="264"/>
              <w:jc w:val="left"/>
              <w:rPr>
                <w:rFonts w:ascii="宋体" w:hAnsi="宋体" w:cs="宋体" w:eastAsia="宋体" w:hint="default"/>
                <w:sz w:val="18"/>
                <w:szCs w:val="18"/>
              </w:rPr>
            </w:pPr>
            <w:r>
              <w:rPr>
                <w:rFonts w:ascii="宋体" w:hAnsi="宋体" w:cs="宋体" w:eastAsia="宋体" w:hint="default"/>
                <w:sz w:val="18"/>
                <w:szCs w:val="18"/>
              </w:rPr>
              <w:t>光伏发电应收 补贴组合</w:t>
            </w:r>
            <w:r>
              <w:rPr>
                <w:rFonts w:ascii="宋体" w:hAnsi="宋体" w:cs="宋体" w:eastAsia="宋体" w:hint="default"/>
                <w:sz w:val="18"/>
                <w:szCs w:val="18"/>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23,050,657.95</w:t>
            </w:r>
            <w:r>
              <w:rPr>
                <w:rFonts w:ascii="宋体"/>
                <w:sz w:val="18"/>
              </w:rPr>
              <w:t> </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8"/>
              <w:jc w:val="right"/>
              <w:rPr>
                <w:rFonts w:ascii="宋体" w:hAnsi="宋体" w:cs="宋体" w:eastAsia="宋体" w:hint="default"/>
                <w:sz w:val="18"/>
                <w:szCs w:val="18"/>
              </w:rPr>
            </w:pPr>
            <w:r>
              <w:rPr>
                <w:rFonts w:ascii="宋体"/>
                <w:spacing w:val="-1"/>
                <w:sz w:val="18"/>
              </w:rPr>
              <w:t>11,807,055.39</w:t>
            </w:r>
            <w:r>
              <w:rPr>
                <w:rFonts w:ascii="宋体"/>
                <w:sz w:val="18"/>
              </w:rPr>
              <w:t> </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7"/>
              <w:jc w:val="right"/>
              <w:rPr>
                <w:rFonts w:ascii="宋体" w:hAnsi="宋体" w:cs="宋体" w:eastAsia="宋体" w:hint="default"/>
                <w:sz w:val="18"/>
                <w:szCs w:val="18"/>
              </w:rPr>
            </w:pPr>
            <w:r>
              <w:rPr>
                <w:rFonts w:ascii="宋体"/>
                <w:sz w:val="18"/>
              </w:rPr>
              <w:t> </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8"/>
              <w:jc w:val="right"/>
              <w:rPr>
                <w:rFonts w:ascii="宋体" w:hAnsi="宋体" w:cs="宋体" w:eastAsia="宋体" w:hint="default"/>
                <w:sz w:val="18"/>
                <w:szCs w:val="18"/>
              </w:rPr>
            </w:pPr>
            <w:r>
              <w:rPr>
                <w:rFonts w:ascii="宋体"/>
                <w:sz w:val="18"/>
              </w:rPr>
              <w:t> </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8"/>
              <w:jc w:val="right"/>
              <w:rPr>
                <w:rFonts w:ascii="宋体" w:hAnsi="宋体" w:cs="宋体" w:eastAsia="宋体" w:hint="default"/>
                <w:sz w:val="18"/>
                <w:szCs w:val="18"/>
              </w:rPr>
            </w:pPr>
            <w:r>
              <w:rPr>
                <w:rFonts w:ascii="宋体"/>
                <w:sz w:val="18"/>
              </w:rPr>
              <w:t> </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79" w:right="0"/>
              <w:jc w:val="center"/>
              <w:rPr>
                <w:rFonts w:ascii="宋体" w:hAnsi="宋体" w:cs="宋体" w:eastAsia="宋体" w:hint="default"/>
                <w:sz w:val="18"/>
                <w:szCs w:val="18"/>
              </w:rPr>
            </w:pPr>
            <w:r>
              <w:rPr>
                <w:rFonts w:ascii="宋体"/>
                <w:sz w:val="18"/>
              </w:rPr>
              <w:t>34,857,713.34 </w:t>
            </w:r>
          </w:p>
        </w:tc>
      </w:tr>
      <w:tr>
        <w:trPr>
          <w:trHeight w:val="324" w:hRule="exact"/>
        </w:trPr>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45" w:right="0"/>
              <w:jc w:val="left"/>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pacing w:val="-1"/>
                <w:sz w:val="18"/>
              </w:rPr>
              <w:t>139,078,500.85 </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8"/>
              <w:jc w:val="right"/>
              <w:rPr>
                <w:rFonts w:ascii="宋体" w:hAnsi="宋体" w:cs="宋体" w:eastAsia="宋体" w:hint="default"/>
                <w:sz w:val="18"/>
                <w:szCs w:val="18"/>
              </w:rPr>
            </w:pPr>
            <w:r>
              <w:rPr>
                <w:rFonts w:ascii="宋体"/>
                <w:spacing w:val="-1"/>
                <w:sz w:val="18"/>
              </w:rPr>
              <w:t>-5,802,865.77</w:t>
            </w:r>
            <w:r>
              <w:rPr>
                <w:rFonts w:ascii="宋体"/>
                <w:sz w:val="18"/>
              </w:rPr>
              <w:t> </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宋体" w:hAnsi="宋体" w:cs="宋体" w:eastAsia="宋体" w:hint="default"/>
                <w:sz w:val="18"/>
                <w:szCs w:val="18"/>
              </w:rPr>
            </w:pPr>
            <w:r>
              <w:rPr>
                <w:rFonts w:ascii="宋体"/>
                <w:sz w:val="18"/>
              </w:rPr>
              <w:t> </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8"/>
              <w:jc w:val="right"/>
              <w:rPr>
                <w:rFonts w:ascii="宋体" w:hAnsi="宋体" w:cs="宋体" w:eastAsia="宋体" w:hint="default"/>
                <w:sz w:val="18"/>
                <w:szCs w:val="18"/>
              </w:rPr>
            </w:pPr>
            <w:r>
              <w:rPr>
                <w:rFonts w:ascii="宋体"/>
                <w:spacing w:val="-1"/>
                <w:sz w:val="18"/>
              </w:rPr>
              <w:t>3,991,871.14</w:t>
            </w:r>
            <w:r>
              <w:rPr>
                <w:rFonts w:ascii="宋体"/>
                <w:sz w:val="18"/>
              </w:rPr>
              <w:t> </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8"/>
              <w:jc w:val="right"/>
              <w:rPr>
                <w:rFonts w:ascii="宋体" w:hAnsi="宋体" w:cs="宋体" w:eastAsia="宋体" w:hint="default"/>
                <w:sz w:val="18"/>
                <w:szCs w:val="18"/>
              </w:rPr>
            </w:pPr>
            <w:r>
              <w:rPr>
                <w:rFonts w:ascii="宋体"/>
                <w:sz w:val="18"/>
              </w:rPr>
              <w:t> </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90" w:right="0"/>
              <w:jc w:val="center"/>
              <w:rPr>
                <w:rFonts w:ascii="宋体" w:hAnsi="宋体" w:cs="宋体" w:eastAsia="宋体" w:hint="default"/>
                <w:sz w:val="18"/>
                <w:szCs w:val="18"/>
              </w:rPr>
            </w:pPr>
            <w:r>
              <w:rPr>
                <w:rFonts w:ascii="宋体"/>
                <w:sz w:val="18"/>
              </w:rPr>
              <w:t>129,283,763.94 </w:t>
            </w:r>
          </w:p>
        </w:tc>
      </w:tr>
    </w:tbl>
    <w:p>
      <w:pPr>
        <w:spacing w:line="240" w:lineRule="auto" w:before="10"/>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type w:val="continuous"/>
          <w:pgSz w:w="11910" w:h="16840"/>
          <w:pgMar w:top="1580" w:bottom="280" w:left="820" w:right="1340"/>
        </w:sectPr>
      </w:pPr>
    </w:p>
    <w:p>
      <w:pPr>
        <w:pStyle w:val="Heading2"/>
        <w:spacing w:line="313" w:lineRule="exact" w:before="26"/>
        <w:ind w:left="456" w:right="0"/>
        <w:jc w:val="left"/>
        <w:rPr>
          <w:rFonts w:ascii="宋体" w:hAnsi="宋体" w:cs="宋体" w:eastAsia="宋体" w:hint="default"/>
        </w:rPr>
      </w:pPr>
      <w:r>
        <w:rPr/>
        <w:t>其中本期坏账准备收回或转回金额重要的：</w:t>
      </w:r>
      <w:r>
        <w:rPr>
          <w:rFonts w:ascii="宋体" w:hAnsi="宋体" w:cs="宋体" w:eastAsia="宋体" w:hint="default"/>
        </w:rPr>
        <w:t> </w:t>
      </w:r>
    </w:p>
    <w:p>
      <w:pPr>
        <w:pStyle w:val="Heading2"/>
        <w:spacing w:line="313" w:lineRule="exact"/>
        <w:ind w:left="45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3"/>
        <w:spacing w:line="324" w:lineRule="auto" w:before="26"/>
        <w:ind w:left="456"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(4)</w:t>
      </w:r>
      <w:r>
        <w:rPr>
          <w:rFonts w:ascii="宋体" w:hAnsi="宋体" w:cs="宋体" w:eastAsia="宋体" w:hint="default"/>
          <w:spacing w:val="5"/>
          <w:w w:val="99"/>
        </w:rPr>
        <w:t>.</w:t>
      </w:r>
      <w:r>
        <w:rPr>
          <w:w w:val="100"/>
        </w:rPr>
        <w:t>本期实际核销的应</w:t>
      </w:r>
      <w:r>
        <w:rPr>
          <w:spacing w:val="-3"/>
          <w:w w:val="100"/>
        </w:rPr>
        <w:t>收</w:t>
      </w:r>
      <w:r>
        <w:rPr>
          <w:w w:val="100"/>
        </w:rPr>
        <w:t>账</w:t>
      </w:r>
      <w:r>
        <w:rPr>
          <w:spacing w:val="-2"/>
          <w:w w:val="100"/>
        </w:rPr>
        <w:t>款</w:t>
      </w:r>
      <w:r>
        <w:rPr>
          <w:w w:val="100"/>
        </w:rPr>
        <w:t>情况</w:t>
      </w:r>
      <w:r>
        <w:rPr>
          <w:rFonts w:ascii="宋体" w:hAnsi="宋体" w:cs="宋体" w:eastAsia="宋体" w:hint="default"/>
          <w:w w:val="99"/>
        </w:rPr>
        <w:t> </w:t>
      </w:r>
      <w:r>
        <w:rPr>
          <w:rFonts w:ascii="宋体" w:hAnsi="宋体" w:cs="宋体" w:eastAsia="宋体" w:hint="default"/>
          <w:b w:val="0"/>
          <w:bCs w:val="0"/>
        </w:rPr>
      </w:r>
    </w:p>
    <w:p>
      <w:pPr>
        <w:pStyle w:val="Heading2"/>
        <w:spacing w:line="310" w:lineRule="exact"/>
        <w:ind w:left="45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64"/>
        <w:ind w:left="456" w:right="0"/>
        <w:jc w:val="left"/>
        <w:rPr>
          <w:rFonts w:ascii="宋体" w:hAnsi="宋体" w:cs="宋体" w:eastAsia="宋体" w:hint="default"/>
        </w:rPr>
      </w:pPr>
      <w:r>
        <w:rPr/>
        <w:t>单位：元币种：人民币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580" w:bottom="280" w:left="820" w:right="1340"/>
          <w:cols w:num="2" w:equalWidth="0">
            <w:col w:w="5138" w:space="1595"/>
            <w:col w:w="3017"/>
          </w:cols>
        </w:sectPr>
      </w:pPr>
    </w:p>
    <w:p>
      <w:pPr>
        <w:spacing w:line="240" w:lineRule="auto" w:before="10"/>
        <w:rPr>
          <w:rFonts w:ascii="宋体" w:hAnsi="宋体" w:cs="宋体" w:eastAsia="宋体" w:hint="default"/>
          <w:sz w:val="3"/>
          <w:szCs w:val="3"/>
        </w:rPr>
      </w:pPr>
    </w:p>
    <w:tbl>
      <w:tblPr>
        <w:tblW w:w="0" w:type="auto"/>
        <w:jc w:val="left"/>
        <w:tblInd w:w="344" w:type="dxa"/>
        <w:tblLayout w:type="fixed"/>
        <w:tblCellMar>
          <w:top w:w="0" w:type="dxa"/>
          <w:left w:w="0" w:type="dxa"/>
          <w:bottom w:w="0" w:type="dxa"/>
          <w:right w:w="0" w:type="dxa"/>
        </w:tblCellMar>
        <w:tblLook w:val="01E0"/>
      </w:tblPr>
      <w:tblGrid>
        <w:gridCol w:w="4273"/>
        <w:gridCol w:w="4777"/>
      </w:tblGrid>
      <w:tr>
        <w:trPr>
          <w:trHeight w:val="322" w:hRule="exact"/>
        </w:trPr>
        <w:tc>
          <w:tcPr>
            <w:tcW w:w="427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5" w:right="0"/>
              <w:jc w:val="center"/>
              <w:rPr>
                <w:rFonts w:ascii="宋体" w:hAnsi="宋体" w:cs="宋体" w:eastAsia="宋体" w:hint="default"/>
                <w:sz w:val="21"/>
                <w:szCs w:val="21"/>
              </w:rPr>
            </w:pPr>
            <w:r>
              <w:rPr>
                <w:rFonts w:ascii="宋体" w:hAnsi="宋体" w:cs="宋体" w:eastAsia="宋体" w:hint="default"/>
                <w:sz w:val="21"/>
                <w:szCs w:val="21"/>
              </w:rPr>
              <w:t>核销金额</w:t>
            </w:r>
            <w:r>
              <w:rPr>
                <w:rFonts w:ascii="宋体" w:hAnsi="宋体" w:cs="宋体" w:eastAsia="宋体" w:hint="default"/>
                <w:sz w:val="21"/>
                <w:szCs w:val="21"/>
              </w:rPr>
              <w:t> </w:t>
            </w:r>
          </w:p>
        </w:tc>
      </w:tr>
      <w:tr>
        <w:trPr>
          <w:trHeight w:val="322" w:hRule="exact"/>
        </w:trPr>
        <w:tc>
          <w:tcPr>
            <w:tcW w:w="427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实际核销的应收账款</w:t>
            </w:r>
            <w:r>
              <w:rPr>
                <w:rFonts w:ascii="宋体" w:hAnsi="宋体" w:cs="宋体" w:eastAsia="宋体" w:hint="default"/>
                <w:sz w:val="21"/>
                <w:szCs w:val="21"/>
              </w:rPr>
              <w:t> </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pacing w:val="-1"/>
                <w:sz w:val="18"/>
              </w:rPr>
              <w:t>247,323.46</w:t>
            </w:r>
            <w:r>
              <w:rPr>
                <w:rFonts w:ascii="宋体"/>
                <w:sz w:val="18"/>
              </w:rPr>
              <w:t> </w:t>
            </w:r>
          </w:p>
        </w:tc>
      </w:tr>
    </w:tbl>
    <w:p>
      <w:pPr>
        <w:pStyle w:val="BodyText"/>
        <w:spacing w:line="273" w:lineRule="auto"/>
        <w:ind w:left="456" w:right="0"/>
        <w:jc w:val="left"/>
        <w:rPr>
          <w:rFonts w:ascii="宋体" w:hAnsi="宋体" w:cs="宋体" w:eastAsia="宋体" w:hint="default"/>
        </w:rPr>
      </w:pPr>
      <w:r>
        <w:rPr>
          <w:rFonts w:ascii="宋体" w:hAnsi="宋体" w:cs="宋体" w:eastAsia="宋体" w:hint="default"/>
          <w:w w:val="100"/>
        </w:rPr>
        <w:t>  </w:t>
      </w:r>
      <w:r>
        <w:rPr>
          <w:w w:val="100"/>
        </w:rPr>
        <w:t>其中</w:t>
      </w:r>
      <w:r>
        <w:rPr>
          <w:spacing w:val="-3"/>
          <w:w w:val="100"/>
        </w:rPr>
        <w:t>重</w:t>
      </w:r>
      <w:r>
        <w:rPr>
          <w:w w:val="100"/>
        </w:rPr>
        <w:t>要</w:t>
      </w:r>
      <w:r>
        <w:rPr>
          <w:spacing w:val="-3"/>
          <w:w w:val="100"/>
        </w:rPr>
        <w:t>的</w:t>
      </w:r>
      <w:r>
        <w:rPr>
          <w:w w:val="100"/>
        </w:rPr>
        <w:t>应</w:t>
      </w:r>
      <w:r>
        <w:rPr>
          <w:spacing w:val="-3"/>
          <w:w w:val="100"/>
        </w:rPr>
        <w:t>收</w:t>
      </w:r>
      <w:r>
        <w:rPr>
          <w:w w:val="100"/>
        </w:rPr>
        <w:t>账</w:t>
      </w:r>
      <w:r>
        <w:rPr>
          <w:spacing w:val="-3"/>
          <w:w w:val="100"/>
        </w:rPr>
        <w:t>款</w:t>
      </w:r>
      <w:r>
        <w:rPr>
          <w:w w:val="100"/>
        </w:rPr>
        <w:t>核</w:t>
      </w:r>
      <w:r>
        <w:rPr>
          <w:spacing w:val="-3"/>
          <w:w w:val="100"/>
        </w:rPr>
        <w:t>销</w:t>
      </w:r>
      <w:r>
        <w:rPr>
          <w:w w:val="100"/>
        </w:rPr>
        <w:t>情</w:t>
      </w:r>
      <w:r>
        <w:rPr>
          <w:spacing w:val="-2"/>
          <w:w w:val="100"/>
        </w:rPr>
        <w:t>况</w:t>
      </w:r>
      <w:r>
        <w:rPr>
          <w:rFonts w:ascii="宋体" w:hAnsi="宋体" w:cs="宋体" w:eastAsia="宋体" w:hint="default"/>
          <w:w w:val="100"/>
        </w:rPr>
        <w:t> </w:t>
      </w:r>
    </w:p>
    <w:p>
      <w:pPr>
        <w:pStyle w:val="BodyText"/>
        <w:spacing w:line="240" w:lineRule="auto" w:before="7"/>
        <w:ind w:left="45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580" w:bottom="280" w:left="820" w:right="1340"/>
        </w:sectPr>
      </w:pPr>
    </w:p>
    <w:p>
      <w:pPr>
        <w:spacing w:line="240" w:lineRule="auto" w:before="6"/>
        <w:rPr>
          <w:rFonts w:ascii="宋体" w:hAnsi="宋体" w:cs="宋体" w:eastAsia="宋体" w:hint="default"/>
          <w:sz w:val="17"/>
          <w:szCs w:val="17"/>
        </w:rPr>
      </w:pPr>
    </w:p>
    <w:p>
      <w:pPr>
        <w:pStyle w:val="BodyText"/>
        <w:spacing w:line="273" w:lineRule="exact" w:before="36"/>
        <w:ind w:left="656" w:right="0"/>
        <w:jc w:val="left"/>
        <w:rPr>
          <w:rFonts w:ascii="宋体" w:hAnsi="宋体" w:cs="宋体" w:eastAsia="宋体" w:hint="default"/>
        </w:rPr>
      </w:pPr>
      <w:r>
        <w:rPr/>
        <w:t>应收账款核销说明：</w:t>
      </w:r>
      <w:r>
        <w:rPr>
          <w:rFonts w:ascii="宋体" w:hAnsi="宋体" w:cs="宋体" w:eastAsia="宋体" w:hint="default"/>
        </w:rPr>
        <w:t> </w:t>
      </w:r>
    </w:p>
    <w:p>
      <w:pPr>
        <w:pStyle w:val="BodyText"/>
        <w:spacing w:line="269" w:lineRule="exact"/>
        <w:ind w:left="65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2"/>
        <w:spacing w:line="310" w:lineRule="exact"/>
        <w:ind w:left="656" w:right="0"/>
        <w:jc w:val="left"/>
        <w:rPr>
          <w:rFonts w:ascii="宋体" w:hAnsi="宋体" w:cs="宋体" w:eastAsia="宋体" w:hint="default"/>
        </w:rPr>
      </w:pPr>
      <w:r>
        <w:rPr>
          <w:rFonts w:ascii="宋体"/>
        </w:rPr>
        <w:t> </w:t>
      </w:r>
    </w:p>
    <w:p>
      <w:pPr>
        <w:pStyle w:val="Heading3"/>
        <w:spacing w:line="240" w:lineRule="auto" w:before="85"/>
        <w:ind w:left="656" w:right="0"/>
        <w:jc w:val="left"/>
        <w:rPr>
          <w:rFonts w:ascii="宋体" w:hAnsi="宋体" w:cs="宋体" w:eastAsia="宋体" w:hint="default"/>
          <w:b w:val="0"/>
          <w:bCs w:val="0"/>
        </w:rPr>
      </w:pPr>
      <w:r>
        <w:rPr>
          <w:rFonts w:ascii="宋体" w:hAnsi="宋体" w:cs="宋体" w:eastAsia="宋体" w:hint="default"/>
        </w:rPr>
        <w:t>(5).</w:t>
      </w:r>
      <w:r>
        <w:rPr/>
        <w:t>按欠款方归集的期末余额前五名的应收账款情况</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75"/>
        <w:ind w:left="656"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656" w:right="0"/>
        <w:jc w:val="left"/>
        <w:rPr>
          <w:rFonts w:ascii="宋体" w:hAnsi="宋体" w:cs="宋体" w:eastAsia="宋体" w:hint="default"/>
        </w:rPr>
      </w:pPr>
      <w:r>
        <w:rPr/>
        <w:pict>
          <v:group style="position:absolute;margin-left:78.863998pt;margin-top:47.213562pt;width:411.7pt;height:5.55pt;mso-position-horizontal-relative:page;mso-position-vertical-relative:paragraph;z-index:-1318312" coordorigin="1577,944" coordsize="8234,111">
            <v:shape style="position:absolute;left:1577;top:944;width:2306;height:110" type="#_x0000_t75" stroked="false">
              <v:imagedata r:id="rId152" o:title=""/>
            </v:shape>
            <v:shape style="position:absolute;left:3860;top:1040;width:1911;height:14" type="#_x0000_t75" stroked="false">
              <v:imagedata r:id="rId153" o:title=""/>
            </v:shape>
            <v:shape style="position:absolute;left:5756;top:1045;width:2038;height:10" type="#_x0000_t75" stroked="false">
              <v:imagedata r:id="rId154" o:title=""/>
            </v:shape>
            <v:shape style="position:absolute;left:7789;top:1045;width:2021;height:10" type="#_x0000_t75" stroked="false">
              <v:imagedata r:id="rId155" o:title=""/>
            </v:shape>
            <w10:wrap type="none"/>
          </v:group>
        </w:pict>
      </w:r>
      <w:r>
        <w:rPr/>
        <w:pict>
          <v:group style="position:absolute;margin-left:78.863998pt;margin-top:59.45356pt;width:411.7pt;height:5.55pt;mso-position-horizontal-relative:page;mso-position-vertical-relative:paragraph;z-index:-1318288" coordorigin="1577,1189" coordsize="8234,111">
            <v:shape style="position:absolute;left:1577;top:1189;width:2306;height:110" type="#_x0000_t75" stroked="false">
              <v:imagedata r:id="rId156" o:title=""/>
            </v:shape>
            <v:shape style="position:absolute;left:3860;top:1285;width:1911;height:14" type="#_x0000_t75" stroked="false">
              <v:imagedata r:id="rId157" o:title=""/>
            </v:shape>
            <v:shape style="position:absolute;left:5756;top:1290;width:2038;height:10" type="#_x0000_t75" stroked="false">
              <v:imagedata r:id="rId154" o:title=""/>
            </v:shape>
            <v:shape style="position:absolute;left:7789;top:1290;width:2021;height:10" type="#_x0000_t75" stroked="false">
              <v:imagedata r:id="rId155" o:title=""/>
            </v:shape>
            <w10:wrap type="none"/>
          </v:group>
        </w:pict>
      </w:r>
      <w:r>
        <w:rPr>
          <w:rFonts w:ascii="宋体"/>
          <w:w w:val="100"/>
        </w:rPr>
        <w:t> </w:t>
      </w:r>
    </w:p>
    <w:p>
      <w:pPr>
        <w:spacing w:line="240" w:lineRule="auto" w:before="7"/>
        <w:rPr>
          <w:rFonts w:ascii="宋体" w:hAnsi="宋体" w:cs="宋体" w:eastAsia="宋体" w:hint="default"/>
          <w:sz w:val="2"/>
          <w:szCs w:val="2"/>
        </w:rPr>
      </w:pPr>
    </w:p>
    <w:p>
      <w:pPr>
        <w:spacing w:line="264" w:lineRule="exact"/>
        <w:ind w:left="942" w:right="0" w:firstLine="0"/>
        <w:rPr>
          <w:rFonts w:ascii="宋体" w:hAnsi="宋体" w:cs="宋体" w:eastAsia="宋体" w:hint="default"/>
          <w:sz w:val="20"/>
          <w:szCs w:val="20"/>
        </w:rPr>
      </w:pPr>
      <w:r>
        <w:rPr>
          <w:rFonts w:ascii="宋体" w:hAnsi="宋体" w:cs="宋体" w:eastAsia="宋体" w:hint="default"/>
          <w:position w:val="-4"/>
          <w:sz w:val="20"/>
          <w:szCs w:val="20"/>
        </w:rPr>
        <w:pict>
          <v:group style="width:413.15pt;height:13.2pt;mso-position-horizontal-relative:char;mso-position-vertical-relative:line" coordorigin="0,0" coordsize="8263,264">
            <v:group style="position:absolute;left:14;top:14;width:2288;height:2" coordorigin="14,14" coordsize="2288,2">
              <v:shape style="position:absolute;left:14;top:14;width:2288;height:2" coordorigin="14,14" coordsize="2288,0" path="m14,14l2302,14e" filled="false" stroked="true" strokeweight="1.44pt" strokecolor="#000000">
                <v:path arrowok="t"/>
              </v:shape>
              <v:shape style="position:absolute;left:2302;top:29;width:10;height:2" type="#_x0000_t75" stroked="false">
                <v:imagedata r:id="rId158" o:title=""/>
              </v:shape>
            </v:group>
            <v:group style="position:absolute;left:2302;top:14;width:30;height:2" coordorigin="2302,14" coordsize="30,2">
              <v:shape style="position:absolute;left:2302;top:14;width:30;height:2" coordorigin="2302,14" coordsize="30,0" path="m2302,14l2331,14e" filled="false" stroked="true" strokeweight="1.44pt" strokecolor="#000000">
                <v:path arrowok="t"/>
              </v:shape>
            </v:group>
            <v:group style="position:absolute;left:2331;top:14;width:5917;height:2" coordorigin="2331,14" coordsize="5917,2">
              <v:shape style="position:absolute;left:2331;top:14;width:5917;height:2" coordorigin="2331,14" coordsize="5917,0" path="m2331,14l8248,14e" filled="false" stroked="true" strokeweight="1.44pt" strokecolor="#000000">
                <v:path arrowok="t"/>
              </v:shape>
            </v:group>
            <v:group style="position:absolute;left:2302;top:31;width:10;height:20" coordorigin="2302,31" coordsize="10,20">
              <v:shape style="position:absolute;left:2302;top:31;width:10;height:20" coordorigin="2302,31" coordsize="10,20" path="m2302,50l2311,50,2311,31,2302,31,2302,50xe" filled="true" fillcolor="#000000" stroked="false">
                <v:path arrowok="t"/>
                <v:fill type="solid"/>
              </v:shape>
            </v:group>
            <v:group style="position:absolute;left:2302;top:50;width:10;height:20" coordorigin="2302,50" coordsize="10,20">
              <v:shape style="position:absolute;left:2302;top:50;width:10;height:20" coordorigin="2302,50" coordsize="10,20" path="m2302,70l2311,70,2311,50,2302,50,2302,70xe" filled="true" fillcolor="#000000" stroked="false">
                <v:path arrowok="t"/>
                <v:fill type="solid"/>
              </v:shape>
            </v:group>
            <v:group style="position:absolute;left:2302;top:70;width:10;height:20" coordorigin="2302,70" coordsize="10,20">
              <v:shape style="position:absolute;left:2302;top:70;width:10;height:20" coordorigin="2302,70" coordsize="10,20" path="m2302,89l2311,89,2311,70,2302,70,2302,89xe" filled="true" fillcolor="#000000" stroked="false">
                <v:path arrowok="t"/>
                <v:fill type="solid"/>
              </v:shape>
            </v:group>
            <v:group style="position:absolute;left:2302;top:89;width:10;height:20" coordorigin="2302,89" coordsize="10,20">
              <v:shape style="position:absolute;left:2302;top:89;width:10;height:20" coordorigin="2302,89" coordsize="10,20" path="m2302,108l2311,108,2311,89,2302,89,2302,108xe" filled="true" fillcolor="#000000" stroked="false">
                <v:path arrowok="t"/>
                <v:fill type="solid"/>
              </v:shape>
            </v:group>
            <v:group style="position:absolute;left:2302;top:108;width:10;height:20" coordorigin="2302,108" coordsize="10,20">
              <v:shape style="position:absolute;left:2302;top:108;width:10;height:20" coordorigin="2302,108" coordsize="10,20" path="m2302,127l2311,127,2311,108,2302,108,2302,127xe" filled="true" fillcolor="#000000" stroked="false">
                <v:path arrowok="t"/>
                <v:fill type="solid"/>
              </v:shape>
            </v:group>
            <v:group style="position:absolute;left:2302;top:127;width:10;height:20" coordorigin="2302,127" coordsize="10,20">
              <v:shape style="position:absolute;left:2302;top:127;width:10;height:20" coordorigin="2302,127" coordsize="10,20" path="m2302,146l2311,146,2311,127,2302,127,2302,146xe" filled="true" fillcolor="#000000" stroked="false">
                <v:path arrowok="t"/>
                <v:fill type="solid"/>
              </v:shape>
            </v:group>
            <v:group style="position:absolute;left:2302;top:146;width:10;height:20" coordorigin="2302,146" coordsize="10,20">
              <v:shape style="position:absolute;left:2302;top:146;width:10;height:20" coordorigin="2302,146" coordsize="10,20" path="m2302,166l2311,166,2311,146,2302,146,2302,166xe" filled="true" fillcolor="#000000" stroked="false">
                <v:path arrowok="t"/>
                <v:fill type="solid"/>
              </v:shape>
            </v:group>
            <v:group style="position:absolute;left:2302;top:166;width:10;height:20" coordorigin="2302,166" coordsize="10,20">
              <v:shape style="position:absolute;left:2302;top:166;width:10;height:20" coordorigin="2302,166" coordsize="10,20" path="m2302,185l2311,185,2311,166,2302,166,2302,185xe" filled="true" fillcolor="#000000" stroked="false">
                <v:path arrowok="t"/>
                <v:fill type="solid"/>
              </v:shape>
            </v:group>
            <v:group style="position:absolute;left:2302;top:185;width:10;height:20" coordorigin="2302,185" coordsize="10,20">
              <v:shape style="position:absolute;left:2302;top:185;width:10;height:20" coordorigin="2302,185" coordsize="10,20" path="m2302,204l2311,204,2311,185,2302,185,2302,204xe" filled="true" fillcolor="#000000" stroked="false">
                <v:path arrowok="t"/>
                <v:fill type="solid"/>
              </v:shape>
            </v:group>
            <v:group style="position:absolute;left:2302;top:204;width:10;height:20" coordorigin="2302,204" coordsize="10,20">
              <v:shape style="position:absolute;left:2302;top:204;width:10;height:20" coordorigin="2302,204" coordsize="10,20" path="m2302,223l2311,223,2311,204,2302,204,2302,223xe" filled="true" fillcolor="#000000" stroked="false">
                <v:path arrowok="t"/>
                <v:fill type="solid"/>
              </v:shape>
            </v:group>
            <v:group style="position:absolute;left:2302;top:223;width:10;height:20" coordorigin="2302,223" coordsize="10,20">
              <v:shape style="position:absolute;left:2302;top:223;width:10;height:20" coordorigin="2302,223" coordsize="10,20" path="m2302,242l2311,242,2311,223,2302,223,2302,242xe" filled="true" fillcolor="#000000" stroked="false">
                <v:path arrowok="t"/>
                <v:fill type="solid"/>
              </v:shape>
              <v:shape style="position:absolute;left:2302;top:262;width:10;height:2" type="#_x0000_t75" stroked="false">
                <v:imagedata r:id="rId158" o:title=""/>
              </v:shape>
              <v:shape style="position:absolute;left:0;top:0;width:8263;height:264" type="#_x0000_t202" filled="false" stroked="false">
                <v:textbox inset="0,0,0,0">
                  <w:txbxContent>
                    <w:p>
                      <w:pPr>
                        <w:spacing w:line="234" w:lineRule="exact" w:before="0"/>
                        <w:ind w:left="4916" w:right="0" w:firstLine="0"/>
                        <w:jc w:val="left"/>
                        <w:rPr>
                          <w:rFonts w:ascii="宋体" w:hAnsi="宋体" w:cs="宋体" w:eastAsia="宋体" w:hint="default"/>
                          <w:sz w:val="18"/>
                          <w:szCs w:val="18"/>
                        </w:rPr>
                      </w:pPr>
                      <w:r>
                        <w:rPr>
                          <w:rFonts w:ascii="宋体" w:hAnsi="宋体" w:cs="宋体" w:eastAsia="宋体" w:hint="default"/>
                          <w:sz w:val="18"/>
                          <w:szCs w:val="18"/>
                        </w:rPr>
                        <w:t>期末余额</w:t>
                      </w:r>
                      <w:r>
                        <w:rPr>
                          <w:rFonts w:ascii="宋体" w:hAnsi="宋体" w:cs="宋体" w:eastAsia="宋体" w:hint="default"/>
                          <w:sz w:val="18"/>
                          <w:szCs w:val="18"/>
                        </w:rPr>
                        <w:t> </w:t>
                      </w:r>
                    </w:p>
                  </w:txbxContent>
                </v:textbox>
                <w10:wrap type="none"/>
              </v:shape>
            </v:group>
          </v:group>
        </w:pict>
      </w:r>
      <w:r>
        <w:rPr>
          <w:rFonts w:ascii="宋体" w:hAnsi="宋体" w:cs="宋体" w:eastAsia="宋体" w:hint="default"/>
          <w:position w:val="-4"/>
          <w:sz w:val="20"/>
          <w:szCs w:val="20"/>
        </w:rPr>
      </w:r>
    </w:p>
    <w:tbl>
      <w:tblPr>
        <w:tblW w:w="0" w:type="auto"/>
        <w:jc w:val="left"/>
        <w:tblInd w:w="942" w:type="dxa"/>
        <w:tblLayout w:type="fixed"/>
        <w:tblCellMar>
          <w:top w:w="0" w:type="dxa"/>
          <w:left w:w="0" w:type="dxa"/>
          <w:bottom w:w="0" w:type="dxa"/>
          <w:right w:w="0" w:type="dxa"/>
        </w:tblCellMar>
        <w:tblLook w:val="01E0"/>
      </w:tblPr>
      <w:tblGrid>
        <w:gridCol w:w="2306"/>
        <w:gridCol w:w="1897"/>
        <w:gridCol w:w="2033"/>
        <w:gridCol w:w="2012"/>
      </w:tblGrid>
      <w:tr>
        <w:trPr>
          <w:trHeight w:val="370" w:hRule="exact"/>
        </w:trPr>
        <w:tc>
          <w:tcPr>
            <w:tcW w:w="2306" w:type="dxa"/>
            <w:tcBorders>
              <w:top w:val="nil" w:sz="6" w:space="0" w:color="auto"/>
              <w:left w:val="nil" w:sz="6" w:space="0" w:color="auto"/>
              <w:bottom w:val="nil" w:sz="6" w:space="0" w:color="auto"/>
              <w:right w:val="single" w:sz="4" w:space="0" w:color="000000"/>
            </w:tcBorders>
          </w:tcPr>
          <w:p>
            <w:pPr>
              <w:pStyle w:val="TableParagraph"/>
              <w:spacing w:line="205" w:lineRule="exact"/>
              <w:ind w:left="799" w:right="0"/>
              <w:jc w:val="left"/>
              <w:rPr>
                <w:rFonts w:ascii="宋体" w:hAnsi="宋体" w:cs="宋体" w:eastAsia="宋体" w:hint="default"/>
                <w:sz w:val="18"/>
                <w:szCs w:val="18"/>
              </w:rPr>
            </w:pPr>
            <w:r>
              <w:rPr>
                <w:rFonts w:ascii="宋体" w:hAnsi="宋体" w:cs="宋体" w:eastAsia="宋体" w:hint="default"/>
                <w:sz w:val="18"/>
                <w:szCs w:val="18"/>
              </w:rPr>
              <w:t>单位名称</w:t>
            </w:r>
            <w:r>
              <w:rPr>
                <w:rFonts w:ascii="宋体" w:hAnsi="宋体" w:cs="宋体" w:eastAsia="宋体" w:hint="default"/>
                <w:sz w:val="18"/>
                <w:szCs w:val="18"/>
              </w:rPr>
              <w:t> </w:t>
            </w:r>
          </w:p>
        </w:tc>
        <w:tc>
          <w:tcPr>
            <w:tcW w:w="189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5"/>
              <w:ind w:left="583" w:right="0"/>
              <w:jc w:val="left"/>
              <w:rPr>
                <w:rFonts w:ascii="宋体" w:hAnsi="宋体" w:cs="宋体" w:eastAsia="宋体" w:hint="default"/>
                <w:sz w:val="18"/>
                <w:szCs w:val="18"/>
              </w:rPr>
            </w:pPr>
            <w:r>
              <w:rPr>
                <w:rFonts w:ascii="宋体" w:hAnsi="宋体" w:cs="宋体" w:eastAsia="宋体" w:hint="default"/>
                <w:sz w:val="18"/>
                <w:szCs w:val="18"/>
              </w:rPr>
              <w:t>应收账款</w:t>
            </w:r>
            <w:r>
              <w:rPr>
                <w:rFonts w:ascii="宋体" w:hAnsi="宋体" w:cs="宋体" w:eastAsia="宋体" w:hint="default"/>
                <w:sz w:val="18"/>
                <w:szCs w:val="18"/>
              </w:rPr>
              <w:t> </w:t>
            </w:r>
          </w:p>
        </w:tc>
        <w:tc>
          <w:tcPr>
            <w:tcW w:w="2033" w:type="dxa"/>
            <w:vMerge w:val="restart"/>
            <w:tcBorders>
              <w:top w:val="single" w:sz="4" w:space="0" w:color="000000"/>
              <w:left w:val="single" w:sz="4" w:space="0" w:color="000000"/>
              <w:right w:val="single" w:sz="4" w:space="0" w:color="000000"/>
            </w:tcBorders>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sz w:val="18"/>
                <w:szCs w:val="18"/>
              </w:rPr>
              <w:t>占应收账款合计数的比</w:t>
            </w:r>
          </w:p>
          <w:p>
            <w:pPr>
              <w:pStyle w:val="TableParagraph"/>
              <w:spacing w:line="234" w:lineRule="exact"/>
              <w:ind w:left="87" w:right="0"/>
              <w:jc w:val="center"/>
              <w:rPr>
                <w:rFonts w:ascii="宋体" w:hAnsi="宋体" w:cs="宋体" w:eastAsia="宋体" w:hint="default"/>
                <w:sz w:val="18"/>
                <w:szCs w:val="18"/>
              </w:rPr>
            </w:pPr>
            <w:r>
              <w:rPr>
                <w:rFonts w:ascii="宋体" w:hAnsi="宋体" w:cs="宋体" w:eastAsia="宋体" w:hint="default"/>
                <w:sz w:val="18"/>
                <w:szCs w:val="18"/>
              </w:rPr>
              <w:t>例</w:t>
            </w:r>
            <w:r>
              <w:rPr>
                <w:rFonts w:ascii="宋体" w:hAnsi="宋体" w:cs="宋体" w:eastAsia="宋体" w:hint="default"/>
                <w:sz w:val="18"/>
                <w:szCs w:val="18"/>
              </w:rPr>
              <w:t>(%) </w:t>
            </w:r>
          </w:p>
        </w:tc>
        <w:tc>
          <w:tcPr>
            <w:tcW w:w="2012" w:type="dxa"/>
            <w:tcBorders>
              <w:top w:val="single" w:sz="4" w:space="0" w:color="000000"/>
              <w:left w:val="single" w:sz="4" w:space="0" w:color="000000"/>
              <w:bottom w:val="nil" w:sz="6" w:space="0" w:color="auto"/>
              <w:right w:val="nil" w:sz="6" w:space="0" w:color="auto"/>
            </w:tcBorders>
          </w:tcPr>
          <w:p>
            <w:pPr>
              <w:pStyle w:val="TableParagraph"/>
              <w:spacing w:line="240" w:lineRule="auto" w:before="85"/>
              <w:ind w:left="640" w:right="0"/>
              <w:jc w:val="left"/>
              <w:rPr>
                <w:rFonts w:ascii="宋体" w:hAnsi="宋体" w:cs="宋体" w:eastAsia="宋体" w:hint="default"/>
                <w:sz w:val="18"/>
                <w:szCs w:val="18"/>
              </w:rPr>
            </w:pPr>
            <w:r>
              <w:rPr>
                <w:rFonts w:ascii="宋体" w:hAnsi="宋体" w:cs="宋体" w:eastAsia="宋体" w:hint="default"/>
                <w:sz w:val="18"/>
                <w:szCs w:val="18"/>
              </w:rPr>
              <w:t>坏账准备</w:t>
            </w:r>
            <w:r>
              <w:rPr>
                <w:rFonts w:ascii="宋体" w:hAnsi="宋体" w:cs="宋体" w:eastAsia="宋体" w:hint="default"/>
                <w:sz w:val="18"/>
                <w:szCs w:val="18"/>
              </w:rPr>
              <w:t> </w:t>
            </w:r>
          </w:p>
        </w:tc>
      </w:tr>
      <w:tr>
        <w:trPr>
          <w:trHeight w:val="138" w:hRule="exact"/>
        </w:trPr>
        <w:tc>
          <w:tcPr>
            <w:tcW w:w="2306" w:type="dxa"/>
            <w:tcBorders>
              <w:top w:val="nil" w:sz="6" w:space="0" w:color="auto"/>
              <w:left w:val="nil" w:sz="6" w:space="0" w:color="auto"/>
              <w:bottom w:val="nil" w:sz="6" w:space="0" w:color="auto"/>
              <w:right w:val="nil" w:sz="6" w:space="0" w:color="auto"/>
            </w:tcBorders>
          </w:tcPr>
          <w:p>
            <w:pPr/>
          </w:p>
        </w:tc>
        <w:tc>
          <w:tcPr>
            <w:tcW w:w="1897" w:type="dxa"/>
            <w:tcBorders>
              <w:top w:val="nil" w:sz="6" w:space="0" w:color="auto"/>
              <w:left w:val="nil" w:sz="6" w:space="0" w:color="auto"/>
              <w:bottom w:val="nil" w:sz="6" w:space="0" w:color="auto"/>
              <w:right w:val="single" w:sz="4" w:space="0" w:color="000000"/>
            </w:tcBorders>
          </w:tcPr>
          <w:p>
            <w:pPr/>
          </w:p>
        </w:tc>
        <w:tc>
          <w:tcPr>
            <w:tcW w:w="2033" w:type="dxa"/>
            <w:vMerge/>
            <w:tcBorders>
              <w:left w:val="single" w:sz="4" w:space="0" w:color="000000"/>
              <w:bottom w:val="nil" w:sz="6" w:space="0" w:color="auto"/>
              <w:right w:val="single" w:sz="4" w:space="0" w:color="000000"/>
            </w:tcBorders>
          </w:tcPr>
          <w:p>
            <w:pPr/>
          </w:p>
        </w:tc>
        <w:tc>
          <w:tcPr>
            <w:tcW w:w="2012" w:type="dxa"/>
            <w:tcBorders>
              <w:top w:val="nil" w:sz="6" w:space="0" w:color="auto"/>
              <w:left w:val="single" w:sz="4" w:space="0" w:color="000000"/>
              <w:bottom w:val="nil" w:sz="6" w:space="0" w:color="auto"/>
              <w:right w:val="nil" w:sz="6" w:space="0" w:color="auto"/>
            </w:tcBorders>
          </w:tcPr>
          <w:p>
            <w:pPr/>
          </w:p>
        </w:tc>
      </w:tr>
      <w:tr>
        <w:trPr>
          <w:trHeight w:val="39" w:hRule="exact"/>
        </w:trPr>
        <w:tc>
          <w:tcPr>
            <w:tcW w:w="2306" w:type="dxa"/>
            <w:tcBorders>
              <w:top w:val="nil" w:sz="6" w:space="0" w:color="auto"/>
              <w:left w:val="nil" w:sz="6" w:space="0" w:color="auto"/>
              <w:bottom w:val="nil" w:sz="6" w:space="0" w:color="auto"/>
              <w:right w:val="nil" w:sz="6" w:space="0" w:color="auto"/>
            </w:tcBorders>
          </w:tcPr>
          <w:p>
            <w:pPr/>
          </w:p>
        </w:tc>
        <w:tc>
          <w:tcPr>
            <w:tcW w:w="1897" w:type="dxa"/>
            <w:tcBorders>
              <w:top w:val="nil" w:sz="6" w:space="0" w:color="auto"/>
              <w:left w:val="nil" w:sz="6" w:space="0" w:color="auto"/>
              <w:bottom w:val="nil" w:sz="6" w:space="0" w:color="auto"/>
              <w:right w:val="single" w:sz="4" w:space="0" w:color="000000"/>
            </w:tcBorders>
          </w:tcPr>
          <w:p>
            <w:pPr/>
          </w:p>
        </w:tc>
        <w:tc>
          <w:tcPr>
            <w:tcW w:w="2033" w:type="dxa"/>
            <w:tcBorders>
              <w:top w:val="nil" w:sz="6" w:space="0" w:color="auto"/>
              <w:left w:val="single" w:sz="4" w:space="0" w:color="000000"/>
              <w:bottom w:val="nil" w:sz="6" w:space="0" w:color="auto"/>
              <w:right w:val="single" w:sz="4" w:space="0" w:color="000000"/>
            </w:tcBorders>
          </w:tcPr>
          <w:p>
            <w:pPr/>
          </w:p>
        </w:tc>
        <w:tc>
          <w:tcPr>
            <w:tcW w:w="2012" w:type="dxa"/>
            <w:tcBorders>
              <w:top w:val="nil" w:sz="6" w:space="0" w:color="auto"/>
              <w:left w:val="single" w:sz="4" w:space="0" w:color="000000"/>
              <w:bottom w:val="nil" w:sz="6" w:space="0" w:color="auto"/>
              <w:right w:val="nil" w:sz="6" w:space="0" w:color="auto"/>
            </w:tcBorders>
          </w:tcPr>
          <w:p>
            <w:pPr/>
          </w:p>
        </w:tc>
      </w:tr>
      <w:tr>
        <w:trPr>
          <w:trHeight w:val="203" w:hRule="exact"/>
        </w:trPr>
        <w:tc>
          <w:tcPr>
            <w:tcW w:w="2306" w:type="dxa"/>
            <w:tcBorders>
              <w:top w:val="nil" w:sz="6" w:space="0" w:color="auto"/>
              <w:left w:val="nil" w:sz="6" w:space="0" w:color="auto"/>
              <w:bottom w:val="nil" w:sz="6" w:space="0" w:color="auto"/>
              <w:right w:val="nil" w:sz="6" w:space="0" w:color="auto"/>
            </w:tcBorders>
          </w:tcPr>
          <w:p>
            <w:pPr>
              <w:pStyle w:val="TableParagraph"/>
              <w:spacing w:line="141" w:lineRule="exact"/>
              <w:ind w:left="122" w:right="0"/>
              <w:jc w:val="left"/>
              <w:rPr>
                <w:rFonts w:ascii="宋体" w:hAnsi="宋体" w:cs="宋体" w:eastAsia="宋体" w:hint="default"/>
                <w:sz w:val="18"/>
                <w:szCs w:val="18"/>
              </w:rPr>
            </w:pPr>
            <w:r>
              <w:rPr>
                <w:rFonts w:ascii="宋体" w:hAnsi="宋体" w:cs="宋体" w:eastAsia="宋体" w:hint="default"/>
                <w:sz w:val="18"/>
                <w:szCs w:val="18"/>
              </w:rPr>
              <w:t>第一名</w:t>
            </w:r>
            <w:r>
              <w:rPr>
                <w:rFonts w:ascii="宋体" w:hAnsi="宋体" w:cs="宋体" w:eastAsia="宋体" w:hint="default"/>
                <w:sz w:val="18"/>
                <w:szCs w:val="18"/>
              </w:rPr>
              <w:t> </w:t>
            </w:r>
          </w:p>
        </w:tc>
        <w:tc>
          <w:tcPr>
            <w:tcW w:w="1897" w:type="dxa"/>
            <w:tcBorders>
              <w:top w:val="nil" w:sz="6" w:space="0" w:color="auto"/>
              <w:left w:val="nil" w:sz="6" w:space="0" w:color="auto"/>
              <w:bottom w:val="nil" w:sz="6" w:space="0" w:color="auto"/>
              <w:right w:val="single" w:sz="4" w:space="0" w:color="000000"/>
            </w:tcBorders>
          </w:tcPr>
          <w:p>
            <w:pPr>
              <w:pStyle w:val="TableParagraph"/>
              <w:spacing w:line="141" w:lineRule="exact"/>
              <w:ind w:right="11"/>
              <w:jc w:val="right"/>
              <w:rPr>
                <w:rFonts w:ascii="宋体" w:hAnsi="宋体" w:cs="宋体" w:eastAsia="宋体" w:hint="default"/>
                <w:sz w:val="18"/>
                <w:szCs w:val="18"/>
              </w:rPr>
            </w:pPr>
            <w:r>
              <w:rPr>
                <w:rFonts w:ascii="宋体"/>
                <w:spacing w:val="-1"/>
                <w:sz w:val="18"/>
              </w:rPr>
              <w:t>278,257,872.37 </w:t>
            </w:r>
          </w:p>
        </w:tc>
        <w:tc>
          <w:tcPr>
            <w:tcW w:w="2033" w:type="dxa"/>
            <w:tcBorders>
              <w:top w:val="nil" w:sz="6" w:space="0" w:color="auto"/>
              <w:left w:val="single" w:sz="4" w:space="0" w:color="000000"/>
              <w:bottom w:val="nil" w:sz="6" w:space="0" w:color="auto"/>
              <w:right w:val="single" w:sz="4" w:space="0" w:color="000000"/>
            </w:tcBorders>
          </w:tcPr>
          <w:p>
            <w:pPr>
              <w:pStyle w:val="TableParagraph"/>
              <w:spacing w:line="141" w:lineRule="exact"/>
              <w:ind w:right="11"/>
              <w:jc w:val="right"/>
              <w:rPr>
                <w:rFonts w:ascii="宋体" w:hAnsi="宋体" w:cs="宋体" w:eastAsia="宋体" w:hint="default"/>
                <w:sz w:val="18"/>
                <w:szCs w:val="18"/>
              </w:rPr>
            </w:pPr>
            <w:r>
              <w:rPr>
                <w:rFonts w:ascii="宋体"/>
                <w:spacing w:val="-1"/>
                <w:sz w:val="18"/>
              </w:rPr>
              <w:t>8.88</w:t>
            </w:r>
            <w:r>
              <w:rPr>
                <w:rFonts w:ascii="宋体"/>
                <w:sz w:val="18"/>
              </w:rPr>
              <w:t> </w:t>
            </w:r>
          </w:p>
        </w:tc>
        <w:tc>
          <w:tcPr>
            <w:tcW w:w="2012" w:type="dxa"/>
            <w:tcBorders>
              <w:top w:val="nil" w:sz="6" w:space="0" w:color="auto"/>
              <w:left w:val="single" w:sz="4" w:space="0" w:color="000000"/>
              <w:bottom w:val="nil" w:sz="6" w:space="0" w:color="auto"/>
              <w:right w:val="nil" w:sz="6" w:space="0" w:color="auto"/>
            </w:tcBorders>
          </w:tcPr>
          <w:p>
            <w:pPr>
              <w:pStyle w:val="TableParagraph"/>
              <w:spacing w:line="141" w:lineRule="exact"/>
              <w:ind w:right="16"/>
              <w:jc w:val="right"/>
              <w:rPr>
                <w:rFonts w:ascii="宋体" w:hAnsi="宋体" w:cs="宋体" w:eastAsia="宋体" w:hint="default"/>
                <w:sz w:val="18"/>
                <w:szCs w:val="18"/>
              </w:rPr>
            </w:pPr>
            <w:r>
              <w:rPr>
                <w:rFonts w:ascii="宋体"/>
                <w:spacing w:val="-1"/>
                <w:sz w:val="18"/>
              </w:rPr>
              <w:t>3,410,895.62 </w:t>
            </w:r>
          </w:p>
        </w:tc>
      </w:tr>
      <w:tr>
        <w:trPr>
          <w:trHeight w:val="42" w:hRule="exact"/>
        </w:trPr>
        <w:tc>
          <w:tcPr>
            <w:tcW w:w="2306" w:type="dxa"/>
            <w:tcBorders>
              <w:top w:val="nil" w:sz="6" w:space="0" w:color="auto"/>
              <w:left w:val="nil" w:sz="6" w:space="0" w:color="auto"/>
              <w:bottom w:val="nil" w:sz="6" w:space="0" w:color="auto"/>
              <w:right w:val="nil" w:sz="6" w:space="0" w:color="auto"/>
            </w:tcBorders>
          </w:tcPr>
          <w:p>
            <w:pPr/>
          </w:p>
        </w:tc>
        <w:tc>
          <w:tcPr>
            <w:tcW w:w="1897" w:type="dxa"/>
            <w:tcBorders>
              <w:top w:val="nil" w:sz="6" w:space="0" w:color="auto"/>
              <w:left w:val="nil" w:sz="6" w:space="0" w:color="auto"/>
              <w:bottom w:val="nil" w:sz="6" w:space="0" w:color="auto"/>
              <w:right w:val="single" w:sz="4" w:space="0" w:color="000000"/>
            </w:tcBorders>
          </w:tcPr>
          <w:p>
            <w:pPr/>
          </w:p>
        </w:tc>
        <w:tc>
          <w:tcPr>
            <w:tcW w:w="2033" w:type="dxa"/>
            <w:tcBorders>
              <w:top w:val="nil" w:sz="6" w:space="0" w:color="auto"/>
              <w:left w:val="single" w:sz="4" w:space="0" w:color="000000"/>
              <w:bottom w:val="nil" w:sz="6" w:space="0" w:color="auto"/>
              <w:right w:val="single" w:sz="4" w:space="0" w:color="000000"/>
            </w:tcBorders>
          </w:tcPr>
          <w:p>
            <w:pPr/>
          </w:p>
        </w:tc>
        <w:tc>
          <w:tcPr>
            <w:tcW w:w="2012" w:type="dxa"/>
            <w:tcBorders>
              <w:top w:val="nil" w:sz="6" w:space="0" w:color="auto"/>
              <w:left w:val="single" w:sz="4" w:space="0" w:color="000000"/>
              <w:bottom w:val="nil" w:sz="6" w:space="0" w:color="auto"/>
              <w:right w:val="nil" w:sz="6" w:space="0" w:color="auto"/>
            </w:tcBorders>
          </w:tcPr>
          <w:p>
            <w:pPr/>
          </w:p>
        </w:tc>
      </w:tr>
      <w:tr>
        <w:trPr>
          <w:trHeight w:val="201" w:hRule="exact"/>
        </w:trPr>
        <w:tc>
          <w:tcPr>
            <w:tcW w:w="2306" w:type="dxa"/>
            <w:tcBorders>
              <w:top w:val="nil" w:sz="6" w:space="0" w:color="auto"/>
              <w:left w:val="nil" w:sz="6" w:space="0" w:color="auto"/>
              <w:bottom w:val="nil" w:sz="6" w:space="0" w:color="auto"/>
              <w:right w:val="nil" w:sz="6" w:space="0" w:color="auto"/>
            </w:tcBorders>
          </w:tcPr>
          <w:p>
            <w:pPr>
              <w:pStyle w:val="TableParagraph"/>
              <w:spacing w:line="138" w:lineRule="exact"/>
              <w:ind w:left="122" w:right="0"/>
              <w:jc w:val="left"/>
              <w:rPr>
                <w:rFonts w:ascii="宋体" w:hAnsi="宋体" w:cs="宋体" w:eastAsia="宋体" w:hint="default"/>
                <w:sz w:val="18"/>
                <w:szCs w:val="18"/>
              </w:rPr>
            </w:pPr>
            <w:r>
              <w:rPr>
                <w:rFonts w:ascii="宋体" w:hAnsi="宋体" w:cs="宋体" w:eastAsia="宋体" w:hint="default"/>
                <w:sz w:val="18"/>
                <w:szCs w:val="18"/>
              </w:rPr>
              <w:t>第二名</w:t>
            </w:r>
            <w:r>
              <w:rPr>
                <w:rFonts w:ascii="宋体" w:hAnsi="宋体" w:cs="宋体" w:eastAsia="宋体" w:hint="default"/>
                <w:sz w:val="18"/>
                <w:szCs w:val="18"/>
              </w:rPr>
              <w:t> </w:t>
            </w:r>
          </w:p>
        </w:tc>
        <w:tc>
          <w:tcPr>
            <w:tcW w:w="1897" w:type="dxa"/>
            <w:tcBorders>
              <w:top w:val="nil" w:sz="6" w:space="0" w:color="auto"/>
              <w:left w:val="nil" w:sz="6" w:space="0" w:color="auto"/>
              <w:bottom w:val="nil" w:sz="6" w:space="0" w:color="auto"/>
              <w:right w:val="single" w:sz="4" w:space="0" w:color="000000"/>
            </w:tcBorders>
          </w:tcPr>
          <w:p>
            <w:pPr>
              <w:pStyle w:val="TableParagraph"/>
              <w:spacing w:line="138" w:lineRule="exact"/>
              <w:ind w:right="11"/>
              <w:jc w:val="right"/>
              <w:rPr>
                <w:rFonts w:ascii="宋体" w:hAnsi="宋体" w:cs="宋体" w:eastAsia="宋体" w:hint="default"/>
                <w:sz w:val="18"/>
                <w:szCs w:val="18"/>
              </w:rPr>
            </w:pPr>
            <w:r>
              <w:rPr>
                <w:rFonts w:ascii="宋体"/>
                <w:spacing w:val="-1"/>
                <w:sz w:val="18"/>
              </w:rPr>
              <w:t>238,925,143.44 </w:t>
            </w:r>
          </w:p>
        </w:tc>
        <w:tc>
          <w:tcPr>
            <w:tcW w:w="2033" w:type="dxa"/>
            <w:tcBorders>
              <w:top w:val="nil" w:sz="6" w:space="0" w:color="auto"/>
              <w:left w:val="single" w:sz="4" w:space="0" w:color="000000"/>
              <w:bottom w:val="nil" w:sz="6" w:space="0" w:color="auto"/>
              <w:right w:val="single" w:sz="4" w:space="0" w:color="000000"/>
            </w:tcBorders>
          </w:tcPr>
          <w:p>
            <w:pPr>
              <w:pStyle w:val="TableParagraph"/>
              <w:spacing w:line="138" w:lineRule="exact"/>
              <w:ind w:right="11"/>
              <w:jc w:val="right"/>
              <w:rPr>
                <w:rFonts w:ascii="宋体" w:hAnsi="宋体" w:cs="宋体" w:eastAsia="宋体" w:hint="default"/>
                <w:sz w:val="18"/>
                <w:szCs w:val="18"/>
              </w:rPr>
            </w:pPr>
            <w:r>
              <w:rPr>
                <w:rFonts w:ascii="宋体"/>
                <w:spacing w:val="-1"/>
                <w:sz w:val="18"/>
              </w:rPr>
              <w:t>7.62</w:t>
            </w:r>
            <w:r>
              <w:rPr>
                <w:rFonts w:ascii="宋体"/>
                <w:sz w:val="18"/>
              </w:rPr>
              <w:t> </w:t>
            </w:r>
          </w:p>
        </w:tc>
        <w:tc>
          <w:tcPr>
            <w:tcW w:w="2012" w:type="dxa"/>
            <w:tcBorders>
              <w:top w:val="nil" w:sz="6" w:space="0" w:color="auto"/>
              <w:left w:val="single" w:sz="4" w:space="0" w:color="000000"/>
              <w:bottom w:val="nil" w:sz="6" w:space="0" w:color="auto"/>
              <w:right w:val="nil" w:sz="6" w:space="0" w:color="auto"/>
            </w:tcBorders>
          </w:tcPr>
          <w:p>
            <w:pPr>
              <w:pStyle w:val="TableParagraph"/>
              <w:spacing w:line="138" w:lineRule="exact"/>
              <w:ind w:right="16"/>
              <w:jc w:val="right"/>
              <w:rPr>
                <w:rFonts w:ascii="宋体" w:hAnsi="宋体" w:cs="宋体" w:eastAsia="宋体" w:hint="default"/>
                <w:sz w:val="18"/>
                <w:szCs w:val="18"/>
              </w:rPr>
            </w:pPr>
            <w:r>
              <w:rPr>
                <w:rFonts w:ascii="宋体"/>
                <w:spacing w:val="-1"/>
                <w:sz w:val="18"/>
              </w:rPr>
              <w:t>1,566,792.24 </w:t>
            </w:r>
          </w:p>
        </w:tc>
      </w:tr>
      <w:tr>
        <w:trPr>
          <w:trHeight w:val="42" w:hRule="exact"/>
        </w:trPr>
        <w:tc>
          <w:tcPr>
            <w:tcW w:w="2306" w:type="dxa"/>
            <w:tcBorders>
              <w:top w:val="nil" w:sz="6" w:space="0" w:color="auto"/>
              <w:left w:val="nil" w:sz="6" w:space="0" w:color="auto"/>
              <w:bottom w:val="nil" w:sz="6" w:space="0" w:color="auto"/>
              <w:right w:val="nil" w:sz="6" w:space="0" w:color="auto"/>
            </w:tcBorders>
          </w:tcPr>
          <w:p>
            <w:pPr/>
          </w:p>
        </w:tc>
        <w:tc>
          <w:tcPr>
            <w:tcW w:w="1897" w:type="dxa"/>
            <w:tcBorders>
              <w:top w:val="nil" w:sz="6" w:space="0" w:color="auto"/>
              <w:left w:val="nil" w:sz="6" w:space="0" w:color="auto"/>
              <w:bottom w:val="nil" w:sz="6" w:space="0" w:color="auto"/>
              <w:right w:val="single" w:sz="4" w:space="0" w:color="000000"/>
            </w:tcBorders>
          </w:tcPr>
          <w:p>
            <w:pPr/>
          </w:p>
        </w:tc>
        <w:tc>
          <w:tcPr>
            <w:tcW w:w="2033" w:type="dxa"/>
            <w:tcBorders>
              <w:top w:val="nil" w:sz="6" w:space="0" w:color="auto"/>
              <w:left w:val="single" w:sz="4" w:space="0" w:color="000000"/>
              <w:bottom w:val="nil" w:sz="6" w:space="0" w:color="auto"/>
              <w:right w:val="single" w:sz="4" w:space="0" w:color="000000"/>
            </w:tcBorders>
          </w:tcPr>
          <w:p>
            <w:pPr/>
          </w:p>
        </w:tc>
        <w:tc>
          <w:tcPr>
            <w:tcW w:w="2012" w:type="dxa"/>
            <w:tcBorders>
              <w:top w:val="nil" w:sz="6" w:space="0" w:color="auto"/>
              <w:left w:val="single" w:sz="4" w:space="0" w:color="000000"/>
              <w:bottom w:val="nil" w:sz="6" w:space="0" w:color="auto"/>
              <w:right w:val="nil" w:sz="6" w:space="0" w:color="auto"/>
            </w:tcBorders>
          </w:tcPr>
          <w:p>
            <w:pPr/>
          </w:p>
        </w:tc>
      </w:tr>
      <w:tr>
        <w:trPr>
          <w:trHeight w:val="203" w:hRule="exact"/>
        </w:trPr>
        <w:tc>
          <w:tcPr>
            <w:tcW w:w="2306" w:type="dxa"/>
            <w:tcBorders>
              <w:top w:val="nil" w:sz="6" w:space="0" w:color="auto"/>
              <w:left w:val="nil" w:sz="6" w:space="0" w:color="auto"/>
              <w:bottom w:val="nil" w:sz="6" w:space="0" w:color="auto"/>
              <w:right w:val="nil" w:sz="6" w:space="0" w:color="auto"/>
            </w:tcBorders>
          </w:tcPr>
          <w:p>
            <w:pPr>
              <w:pStyle w:val="TableParagraph"/>
              <w:spacing w:line="138" w:lineRule="exact"/>
              <w:ind w:left="122" w:right="0"/>
              <w:jc w:val="left"/>
              <w:rPr>
                <w:rFonts w:ascii="宋体" w:hAnsi="宋体" w:cs="宋体" w:eastAsia="宋体" w:hint="default"/>
                <w:sz w:val="18"/>
                <w:szCs w:val="18"/>
              </w:rPr>
            </w:pPr>
            <w:r>
              <w:rPr>
                <w:rFonts w:ascii="宋体" w:hAnsi="宋体" w:cs="宋体" w:eastAsia="宋体" w:hint="default"/>
                <w:sz w:val="18"/>
                <w:szCs w:val="18"/>
              </w:rPr>
              <w:t>第三名</w:t>
            </w:r>
            <w:r>
              <w:rPr>
                <w:rFonts w:ascii="宋体" w:hAnsi="宋体" w:cs="宋体" w:eastAsia="宋体" w:hint="default"/>
                <w:sz w:val="18"/>
                <w:szCs w:val="18"/>
              </w:rPr>
              <w:t> </w:t>
            </w:r>
          </w:p>
        </w:tc>
        <w:tc>
          <w:tcPr>
            <w:tcW w:w="1897" w:type="dxa"/>
            <w:tcBorders>
              <w:top w:val="nil" w:sz="6" w:space="0" w:color="auto"/>
              <w:left w:val="nil" w:sz="6" w:space="0" w:color="auto"/>
              <w:bottom w:val="nil" w:sz="6" w:space="0" w:color="auto"/>
              <w:right w:val="single" w:sz="4" w:space="0" w:color="000000"/>
            </w:tcBorders>
          </w:tcPr>
          <w:p>
            <w:pPr>
              <w:pStyle w:val="TableParagraph"/>
              <w:spacing w:line="138" w:lineRule="exact"/>
              <w:ind w:right="11"/>
              <w:jc w:val="right"/>
              <w:rPr>
                <w:rFonts w:ascii="宋体" w:hAnsi="宋体" w:cs="宋体" w:eastAsia="宋体" w:hint="default"/>
                <w:sz w:val="18"/>
                <w:szCs w:val="18"/>
              </w:rPr>
            </w:pPr>
            <w:r>
              <w:rPr>
                <w:rFonts w:ascii="宋体"/>
                <w:spacing w:val="-1"/>
                <w:sz w:val="18"/>
              </w:rPr>
              <w:t>180,579,457.14 </w:t>
            </w:r>
          </w:p>
        </w:tc>
        <w:tc>
          <w:tcPr>
            <w:tcW w:w="2033" w:type="dxa"/>
            <w:tcBorders>
              <w:top w:val="nil" w:sz="6" w:space="0" w:color="auto"/>
              <w:left w:val="single" w:sz="4" w:space="0" w:color="000000"/>
              <w:bottom w:val="nil" w:sz="6" w:space="0" w:color="auto"/>
              <w:right w:val="single" w:sz="4" w:space="0" w:color="000000"/>
            </w:tcBorders>
          </w:tcPr>
          <w:p>
            <w:pPr>
              <w:pStyle w:val="TableParagraph"/>
              <w:spacing w:line="138" w:lineRule="exact"/>
              <w:ind w:right="11"/>
              <w:jc w:val="right"/>
              <w:rPr>
                <w:rFonts w:ascii="宋体" w:hAnsi="宋体" w:cs="宋体" w:eastAsia="宋体" w:hint="default"/>
                <w:sz w:val="18"/>
                <w:szCs w:val="18"/>
              </w:rPr>
            </w:pPr>
            <w:r>
              <w:rPr>
                <w:rFonts w:ascii="宋体"/>
                <w:spacing w:val="-1"/>
                <w:sz w:val="18"/>
              </w:rPr>
              <w:t>5.76</w:t>
            </w:r>
            <w:r>
              <w:rPr>
                <w:rFonts w:ascii="宋体"/>
                <w:sz w:val="18"/>
              </w:rPr>
              <w:t> </w:t>
            </w:r>
          </w:p>
        </w:tc>
        <w:tc>
          <w:tcPr>
            <w:tcW w:w="2012" w:type="dxa"/>
            <w:tcBorders>
              <w:top w:val="nil" w:sz="6" w:space="0" w:color="auto"/>
              <w:left w:val="single" w:sz="4" w:space="0" w:color="000000"/>
              <w:bottom w:val="nil" w:sz="6" w:space="0" w:color="auto"/>
              <w:right w:val="nil" w:sz="6" w:space="0" w:color="auto"/>
            </w:tcBorders>
          </w:tcPr>
          <w:p>
            <w:pPr>
              <w:pStyle w:val="TableParagraph"/>
              <w:spacing w:line="138" w:lineRule="exact"/>
              <w:ind w:right="16"/>
              <w:jc w:val="right"/>
              <w:rPr>
                <w:rFonts w:ascii="宋体" w:hAnsi="宋体" w:cs="宋体" w:eastAsia="宋体" w:hint="default"/>
                <w:sz w:val="18"/>
                <w:szCs w:val="18"/>
              </w:rPr>
            </w:pPr>
            <w:r>
              <w:rPr>
                <w:rFonts w:ascii="宋体"/>
                <w:spacing w:val="-1"/>
                <w:sz w:val="18"/>
              </w:rPr>
              <w:t>4,146,665.02 </w:t>
            </w:r>
          </w:p>
        </w:tc>
      </w:tr>
      <w:tr>
        <w:trPr>
          <w:trHeight w:val="42" w:hRule="exact"/>
        </w:trPr>
        <w:tc>
          <w:tcPr>
            <w:tcW w:w="2306" w:type="dxa"/>
            <w:tcBorders>
              <w:top w:val="nil" w:sz="6" w:space="0" w:color="auto"/>
              <w:left w:val="nil" w:sz="6" w:space="0" w:color="auto"/>
              <w:bottom w:val="nil" w:sz="6" w:space="0" w:color="auto"/>
              <w:right w:val="nil" w:sz="6" w:space="0" w:color="auto"/>
            </w:tcBorders>
          </w:tcPr>
          <w:p>
            <w:pPr/>
          </w:p>
        </w:tc>
        <w:tc>
          <w:tcPr>
            <w:tcW w:w="1897" w:type="dxa"/>
            <w:tcBorders>
              <w:top w:val="nil" w:sz="6" w:space="0" w:color="auto"/>
              <w:left w:val="nil" w:sz="6" w:space="0" w:color="auto"/>
              <w:bottom w:val="nil" w:sz="6" w:space="0" w:color="auto"/>
              <w:right w:val="single" w:sz="4" w:space="0" w:color="000000"/>
            </w:tcBorders>
          </w:tcPr>
          <w:p>
            <w:pPr/>
          </w:p>
        </w:tc>
        <w:tc>
          <w:tcPr>
            <w:tcW w:w="2033" w:type="dxa"/>
            <w:tcBorders>
              <w:top w:val="nil" w:sz="6" w:space="0" w:color="auto"/>
              <w:left w:val="single" w:sz="4" w:space="0" w:color="000000"/>
              <w:bottom w:val="nil" w:sz="6" w:space="0" w:color="auto"/>
              <w:right w:val="single" w:sz="4" w:space="0" w:color="000000"/>
            </w:tcBorders>
          </w:tcPr>
          <w:p>
            <w:pPr/>
          </w:p>
        </w:tc>
        <w:tc>
          <w:tcPr>
            <w:tcW w:w="2012" w:type="dxa"/>
            <w:tcBorders>
              <w:top w:val="nil" w:sz="6" w:space="0" w:color="auto"/>
              <w:left w:val="single" w:sz="4" w:space="0" w:color="000000"/>
              <w:bottom w:val="nil" w:sz="6" w:space="0" w:color="auto"/>
              <w:right w:val="nil" w:sz="6" w:space="0" w:color="auto"/>
            </w:tcBorders>
          </w:tcPr>
          <w:p>
            <w:pPr/>
          </w:p>
        </w:tc>
      </w:tr>
      <w:tr>
        <w:trPr>
          <w:trHeight w:val="201" w:hRule="exact"/>
        </w:trPr>
        <w:tc>
          <w:tcPr>
            <w:tcW w:w="2306" w:type="dxa"/>
            <w:tcBorders>
              <w:top w:val="nil" w:sz="6" w:space="0" w:color="auto"/>
              <w:left w:val="nil" w:sz="6" w:space="0" w:color="auto"/>
              <w:bottom w:val="nil" w:sz="6" w:space="0" w:color="auto"/>
              <w:right w:val="nil" w:sz="6" w:space="0" w:color="auto"/>
            </w:tcBorders>
          </w:tcPr>
          <w:p>
            <w:pPr>
              <w:pStyle w:val="TableParagraph"/>
              <w:spacing w:line="138" w:lineRule="exact"/>
              <w:ind w:left="122" w:right="0"/>
              <w:jc w:val="left"/>
              <w:rPr>
                <w:rFonts w:ascii="宋体" w:hAnsi="宋体" w:cs="宋体" w:eastAsia="宋体" w:hint="default"/>
                <w:sz w:val="18"/>
                <w:szCs w:val="18"/>
              </w:rPr>
            </w:pPr>
            <w:r>
              <w:rPr>
                <w:rFonts w:ascii="宋体" w:hAnsi="宋体" w:cs="宋体" w:eastAsia="宋体" w:hint="default"/>
                <w:sz w:val="18"/>
                <w:szCs w:val="18"/>
              </w:rPr>
              <w:t>第四名</w:t>
            </w:r>
            <w:r>
              <w:rPr>
                <w:rFonts w:ascii="宋体" w:hAnsi="宋体" w:cs="宋体" w:eastAsia="宋体" w:hint="default"/>
                <w:sz w:val="18"/>
                <w:szCs w:val="18"/>
              </w:rPr>
              <w:t> </w:t>
            </w:r>
          </w:p>
        </w:tc>
        <w:tc>
          <w:tcPr>
            <w:tcW w:w="1897" w:type="dxa"/>
            <w:tcBorders>
              <w:top w:val="nil" w:sz="6" w:space="0" w:color="auto"/>
              <w:left w:val="nil" w:sz="6" w:space="0" w:color="auto"/>
              <w:bottom w:val="nil" w:sz="6" w:space="0" w:color="auto"/>
              <w:right w:val="single" w:sz="4" w:space="0" w:color="000000"/>
            </w:tcBorders>
          </w:tcPr>
          <w:p>
            <w:pPr>
              <w:pStyle w:val="TableParagraph"/>
              <w:spacing w:line="138" w:lineRule="exact"/>
              <w:ind w:right="11"/>
              <w:jc w:val="right"/>
              <w:rPr>
                <w:rFonts w:ascii="宋体" w:hAnsi="宋体" w:cs="宋体" w:eastAsia="宋体" w:hint="default"/>
                <w:sz w:val="18"/>
                <w:szCs w:val="18"/>
              </w:rPr>
            </w:pPr>
            <w:r>
              <w:rPr>
                <w:rFonts w:ascii="宋体"/>
                <w:spacing w:val="-1"/>
                <w:sz w:val="18"/>
              </w:rPr>
              <w:t>178,943,001.29 </w:t>
            </w:r>
          </w:p>
        </w:tc>
        <w:tc>
          <w:tcPr>
            <w:tcW w:w="2033" w:type="dxa"/>
            <w:tcBorders>
              <w:top w:val="nil" w:sz="6" w:space="0" w:color="auto"/>
              <w:left w:val="single" w:sz="4" w:space="0" w:color="000000"/>
              <w:bottom w:val="nil" w:sz="6" w:space="0" w:color="auto"/>
              <w:right w:val="single" w:sz="4" w:space="0" w:color="000000"/>
            </w:tcBorders>
          </w:tcPr>
          <w:p>
            <w:pPr>
              <w:pStyle w:val="TableParagraph"/>
              <w:spacing w:line="138" w:lineRule="exact"/>
              <w:ind w:right="11"/>
              <w:jc w:val="right"/>
              <w:rPr>
                <w:rFonts w:ascii="宋体" w:hAnsi="宋体" w:cs="宋体" w:eastAsia="宋体" w:hint="default"/>
                <w:sz w:val="18"/>
                <w:szCs w:val="18"/>
              </w:rPr>
            </w:pPr>
            <w:r>
              <w:rPr>
                <w:rFonts w:ascii="宋体"/>
                <w:spacing w:val="-1"/>
                <w:sz w:val="18"/>
              </w:rPr>
              <w:t>5.71</w:t>
            </w:r>
            <w:r>
              <w:rPr>
                <w:rFonts w:ascii="宋体"/>
                <w:sz w:val="18"/>
              </w:rPr>
              <w:t> </w:t>
            </w:r>
          </w:p>
        </w:tc>
        <w:tc>
          <w:tcPr>
            <w:tcW w:w="2012" w:type="dxa"/>
            <w:tcBorders>
              <w:top w:val="nil" w:sz="6" w:space="0" w:color="auto"/>
              <w:left w:val="single" w:sz="4" w:space="0" w:color="000000"/>
              <w:bottom w:val="nil" w:sz="6" w:space="0" w:color="auto"/>
              <w:right w:val="nil" w:sz="6" w:space="0" w:color="auto"/>
            </w:tcBorders>
          </w:tcPr>
          <w:p>
            <w:pPr>
              <w:pStyle w:val="TableParagraph"/>
              <w:spacing w:line="138" w:lineRule="exact"/>
              <w:ind w:right="16"/>
              <w:jc w:val="right"/>
              <w:rPr>
                <w:rFonts w:ascii="宋体" w:hAnsi="宋体" w:cs="宋体" w:eastAsia="宋体" w:hint="default"/>
                <w:sz w:val="18"/>
                <w:szCs w:val="18"/>
              </w:rPr>
            </w:pPr>
            <w:r>
              <w:rPr>
                <w:rFonts w:ascii="宋体"/>
                <w:spacing w:val="-1"/>
                <w:sz w:val="18"/>
              </w:rPr>
              <w:t>5,473,488.18 </w:t>
            </w:r>
          </w:p>
        </w:tc>
      </w:tr>
      <w:tr>
        <w:trPr>
          <w:trHeight w:val="220" w:hRule="exact"/>
        </w:trPr>
        <w:tc>
          <w:tcPr>
            <w:tcW w:w="2306" w:type="dxa"/>
            <w:tcBorders>
              <w:top w:val="nil" w:sz="6" w:space="0" w:color="auto"/>
              <w:left w:val="nil" w:sz="6" w:space="0" w:color="auto"/>
              <w:bottom w:val="nil" w:sz="6" w:space="0" w:color="auto"/>
              <w:right w:val="nil" w:sz="6" w:space="0" w:color="auto"/>
            </w:tcBorders>
          </w:tcPr>
          <w:p>
            <w:pPr>
              <w:pStyle w:val="TableParagraph"/>
              <w:spacing w:line="138" w:lineRule="exact"/>
              <w:ind w:left="122" w:right="0"/>
              <w:jc w:val="left"/>
              <w:rPr>
                <w:rFonts w:ascii="宋体" w:hAnsi="宋体" w:cs="宋体" w:eastAsia="宋体" w:hint="default"/>
                <w:sz w:val="18"/>
                <w:szCs w:val="18"/>
              </w:rPr>
            </w:pPr>
            <w:r>
              <w:rPr>
                <w:rFonts w:ascii="宋体" w:hAnsi="宋体" w:cs="宋体" w:eastAsia="宋体" w:hint="default"/>
                <w:sz w:val="18"/>
                <w:szCs w:val="18"/>
              </w:rPr>
              <w:t>第五名</w:t>
            </w:r>
            <w:r>
              <w:rPr>
                <w:rFonts w:ascii="宋体" w:hAnsi="宋体" w:cs="宋体" w:eastAsia="宋体" w:hint="default"/>
                <w:sz w:val="18"/>
                <w:szCs w:val="18"/>
              </w:rPr>
              <w:t> </w:t>
            </w:r>
          </w:p>
        </w:tc>
        <w:tc>
          <w:tcPr>
            <w:tcW w:w="1897" w:type="dxa"/>
            <w:tcBorders>
              <w:top w:val="nil" w:sz="6" w:space="0" w:color="auto"/>
              <w:left w:val="nil" w:sz="6" w:space="0" w:color="auto"/>
              <w:bottom w:val="nil" w:sz="6" w:space="0" w:color="auto"/>
              <w:right w:val="single" w:sz="4" w:space="0" w:color="000000"/>
            </w:tcBorders>
          </w:tcPr>
          <w:p>
            <w:pPr>
              <w:pStyle w:val="TableParagraph"/>
              <w:spacing w:line="138" w:lineRule="exact"/>
              <w:ind w:right="11"/>
              <w:jc w:val="right"/>
              <w:rPr>
                <w:rFonts w:ascii="宋体" w:hAnsi="宋体" w:cs="宋体" w:eastAsia="宋体" w:hint="default"/>
                <w:sz w:val="18"/>
                <w:szCs w:val="18"/>
              </w:rPr>
            </w:pPr>
            <w:r>
              <w:rPr>
                <w:rFonts w:ascii="宋体"/>
                <w:spacing w:val="-1"/>
                <w:sz w:val="18"/>
              </w:rPr>
              <w:t>167,983,746.20 </w:t>
            </w:r>
          </w:p>
        </w:tc>
        <w:tc>
          <w:tcPr>
            <w:tcW w:w="2033" w:type="dxa"/>
            <w:tcBorders>
              <w:top w:val="nil" w:sz="6" w:space="0" w:color="auto"/>
              <w:left w:val="single" w:sz="4" w:space="0" w:color="000000"/>
              <w:bottom w:val="nil" w:sz="6" w:space="0" w:color="auto"/>
              <w:right w:val="single" w:sz="4" w:space="0" w:color="000000"/>
            </w:tcBorders>
          </w:tcPr>
          <w:p>
            <w:pPr>
              <w:pStyle w:val="TableParagraph"/>
              <w:spacing w:line="180" w:lineRule="exact"/>
              <w:ind w:right="11"/>
              <w:jc w:val="right"/>
              <w:rPr>
                <w:rFonts w:ascii="宋体" w:hAnsi="宋体" w:cs="宋体" w:eastAsia="宋体" w:hint="default"/>
                <w:sz w:val="18"/>
                <w:szCs w:val="18"/>
              </w:rPr>
            </w:pPr>
            <w:r>
              <w:rPr>
                <w:rFonts w:ascii="宋体"/>
                <w:spacing w:val="-1"/>
                <w:sz w:val="18"/>
              </w:rPr>
              <w:t>5.36</w:t>
            </w:r>
            <w:r>
              <w:rPr>
                <w:rFonts w:ascii="宋体"/>
                <w:sz w:val="18"/>
              </w:rPr>
              <w:t> </w:t>
            </w:r>
          </w:p>
        </w:tc>
        <w:tc>
          <w:tcPr>
            <w:tcW w:w="2012" w:type="dxa"/>
            <w:tcBorders>
              <w:top w:val="nil" w:sz="6" w:space="0" w:color="auto"/>
              <w:left w:val="single" w:sz="4" w:space="0" w:color="000000"/>
              <w:bottom w:val="nil" w:sz="6" w:space="0" w:color="auto"/>
              <w:right w:val="nil" w:sz="6" w:space="0" w:color="auto"/>
            </w:tcBorders>
          </w:tcPr>
          <w:p>
            <w:pPr>
              <w:pStyle w:val="TableParagraph"/>
              <w:spacing w:line="180" w:lineRule="exact"/>
              <w:ind w:right="16"/>
              <w:jc w:val="right"/>
              <w:rPr>
                <w:rFonts w:ascii="宋体" w:hAnsi="宋体" w:cs="宋体" w:eastAsia="宋体" w:hint="default"/>
                <w:sz w:val="18"/>
                <w:szCs w:val="18"/>
              </w:rPr>
            </w:pPr>
            <w:r>
              <w:rPr>
                <w:rFonts w:ascii="宋体"/>
                <w:spacing w:val="-1"/>
                <w:sz w:val="18"/>
              </w:rPr>
              <w:t>3,789,338.06 </w:t>
            </w:r>
          </w:p>
        </w:tc>
      </w:tr>
      <w:tr>
        <w:trPr>
          <w:trHeight w:val="248" w:hRule="exact"/>
        </w:trPr>
        <w:tc>
          <w:tcPr>
            <w:tcW w:w="2306" w:type="dxa"/>
            <w:tcBorders>
              <w:top w:val="nil" w:sz="6" w:space="0" w:color="auto"/>
              <w:left w:val="nil" w:sz="6" w:space="0" w:color="auto"/>
              <w:bottom w:val="single" w:sz="12" w:space="0" w:color="000000"/>
              <w:right w:val="single" w:sz="4" w:space="0" w:color="000000"/>
            </w:tcBorders>
          </w:tcPr>
          <w:p>
            <w:pPr>
              <w:pStyle w:val="TableParagraph"/>
              <w:spacing w:line="206" w:lineRule="exact"/>
              <w:ind w:left="106" w:right="0"/>
              <w:jc w:val="center"/>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1897" w:type="dxa"/>
            <w:tcBorders>
              <w:top w:val="nil" w:sz="6" w:space="0" w:color="auto"/>
              <w:left w:val="single" w:sz="4" w:space="0" w:color="000000"/>
              <w:bottom w:val="single" w:sz="12"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pacing w:val="-1"/>
                <w:sz w:val="18"/>
              </w:rPr>
              <w:t>1,044,689,220.44 </w:t>
            </w:r>
          </w:p>
        </w:tc>
        <w:tc>
          <w:tcPr>
            <w:tcW w:w="2033" w:type="dxa"/>
            <w:tcBorders>
              <w:top w:val="nil" w:sz="6" w:space="0" w:color="auto"/>
              <w:left w:val="single" w:sz="4" w:space="0" w:color="000000"/>
              <w:bottom w:val="single" w:sz="12"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z w:val="18"/>
              </w:rPr>
              <w:t>33.33 </w:t>
            </w:r>
          </w:p>
        </w:tc>
        <w:tc>
          <w:tcPr>
            <w:tcW w:w="2012" w:type="dxa"/>
            <w:tcBorders>
              <w:top w:val="nil" w:sz="6" w:space="0" w:color="auto"/>
              <w:left w:val="single" w:sz="4" w:space="0" w:color="000000"/>
              <w:bottom w:val="single" w:sz="12" w:space="0" w:color="000000"/>
              <w:right w:val="nil" w:sz="6" w:space="0" w:color="auto"/>
            </w:tcBorders>
          </w:tcPr>
          <w:p>
            <w:pPr>
              <w:pStyle w:val="TableParagraph"/>
              <w:spacing w:line="206" w:lineRule="exact"/>
              <w:ind w:right="16"/>
              <w:jc w:val="right"/>
              <w:rPr>
                <w:rFonts w:ascii="宋体" w:hAnsi="宋体" w:cs="宋体" w:eastAsia="宋体" w:hint="default"/>
                <w:sz w:val="18"/>
                <w:szCs w:val="18"/>
              </w:rPr>
            </w:pPr>
            <w:r>
              <w:rPr>
                <w:rFonts w:ascii="宋体"/>
                <w:spacing w:val="-1"/>
                <w:sz w:val="18"/>
              </w:rPr>
              <w:t>18,387,179.12 </w:t>
            </w:r>
          </w:p>
        </w:tc>
      </w:tr>
    </w:tbl>
    <w:p>
      <w:pPr>
        <w:pStyle w:val="Heading2"/>
        <w:spacing w:line="274" w:lineRule="exact"/>
        <w:ind w:left="656" w:right="0"/>
        <w:jc w:val="left"/>
        <w:rPr>
          <w:rFonts w:ascii="宋体" w:hAnsi="宋体" w:cs="宋体" w:eastAsia="宋体" w:hint="default"/>
        </w:rPr>
      </w:pPr>
      <w:r>
        <w:rPr/>
        <w:pict>
          <v:group style="position:absolute;margin-left:78.863998pt;margin-top:-55.11002pt;width:411.7pt;height:5.4pt;mso-position-horizontal-relative:page;mso-position-vertical-relative:paragraph;z-index:-1318264" coordorigin="1577,-1102" coordsize="8234,108">
            <v:shape style="position:absolute;left:1577;top:-1102;width:2306;height:108" type="#_x0000_t75" stroked="false">
              <v:imagedata r:id="rId159" o:title=""/>
            </v:shape>
            <v:shape style="position:absolute;left:3860;top:-1006;width:1911;height:12" type="#_x0000_t75" stroked="false">
              <v:imagedata r:id="rId160" o:title=""/>
            </v:shape>
            <v:shape style="position:absolute;left:5756;top:-1006;width:2048;height:12" type="#_x0000_t75" stroked="false">
              <v:imagedata r:id="rId161" o:title=""/>
            </v:shape>
            <v:shape style="position:absolute;left:7789;top:-1004;width:2021;height:10" type="#_x0000_t75" stroked="false">
              <v:imagedata r:id="rId155" o:title=""/>
            </v:shape>
            <w10:wrap type="none"/>
          </v:group>
        </w:pict>
      </w:r>
      <w:r>
        <w:rPr/>
        <w:pict>
          <v:group style="position:absolute;margin-left:78.863998pt;margin-top:-42.990021pt;width:411.7pt;height:5.55pt;mso-position-horizontal-relative:page;mso-position-vertical-relative:paragraph;z-index:-1318240" coordorigin="1577,-860" coordsize="8234,111">
            <v:shape style="position:absolute;left:1577;top:-860;width:2306;height:110" type="#_x0000_t75" stroked="false">
              <v:imagedata r:id="rId156" o:title=""/>
            </v:shape>
            <v:shape style="position:absolute;left:3860;top:-764;width:1911;height:14" type="#_x0000_t75" stroked="false">
              <v:imagedata r:id="rId162" o:title=""/>
            </v:shape>
            <v:shape style="position:absolute;left:5756;top:-759;width:2038;height:10" type="#_x0000_t75" stroked="false">
              <v:imagedata r:id="rId154" o:title=""/>
            </v:shape>
            <v:shape style="position:absolute;left:7789;top:-759;width:2021;height:10" type="#_x0000_t75" stroked="false">
              <v:imagedata r:id="rId155" o:title=""/>
            </v:shape>
            <w10:wrap type="none"/>
          </v:group>
        </w:pict>
      </w:r>
      <w:r>
        <w:rPr/>
        <w:pict>
          <v:group style="position:absolute;margin-left:78.863998pt;margin-top:-30.750019pt;width:411.7pt;height:5.4pt;mso-position-horizontal-relative:page;mso-position-vertical-relative:paragraph;z-index:-1318216" coordorigin="1577,-615" coordsize="8234,108">
            <v:shape style="position:absolute;left:1577;top:-615;width:2306;height:108" type="#_x0000_t75" stroked="false">
              <v:imagedata r:id="rId159" o:title=""/>
            </v:shape>
            <v:shape style="position:absolute;left:3860;top:-519;width:1911;height:12" type="#_x0000_t75" stroked="false">
              <v:imagedata r:id="rId160" o:title=""/>
            </v:shape>
            <v:shape style="position:absolute;left:5756;top:-519;width:2048;height:12" type="#_x0000_t75" stroked="false">
              <v:imagedata r:id="rId161" o:title=""/>
            </v:shape>
            <v:shape style="position:absolute;left:7789;top:-517;width:2021;height:10" type="#_x0000_t75" stroked="false">
              <v:imagedata r:id="rId155" o:title=""/>
            </v:shape>
            <w10:wrap type="none"/>
          </v:group>
        </w:pict>
      </w:r>
      <w:r>
        <w:rPr/>
        <w:pict>
          <v:group style="position:absolute;margin-left:78.863998pt;margin-top:-18.629959pt;width:411.7pt;height:5.55pt;mso-position-horizontal-relative:page;mso-position-vertical-relative:paragraph;z-index:-1318192" coordorigin="1577,-373" coordsize="8234,111">
            <v:shape style="position:absolute;left:1577;top:-373;width:2306;height:110" type="#_x0000_t75" stroked="false">
              <v:imagedata r:id="rId156" o:title=""/>
            </v:shape>
            <v:shape style="position:absolute;left:3860;top:-277;width:1911;height:14" type="#_x0000_t75" stroked="false">
              <v:imagedata r:id="rId163" o:title=""/>
            </v:shape>
            <v:shape style="position:absolute;left:5756;top:-272;width:2038;height:10" type="#_x0000_t75" stroked="false">
              <v:imagedata r:id="rId154" o:title=""/>
            </v:shape>
            <v:shape style="position:absolute;left:7789;top:-272;width:2021;height:10" type="#_x0000_t75" stroked="false">
              <v:imagedata r:id="rId155" o:title=""/>
            </v:shape>
            <w10:wrap type="none"/>
          </v:group>
        </w:pict>
      </w:r>
      <w:r>
        <w:rPr/>
        <w:pict>
          <v:shape style="position:absolute;margin-left:193.220001pt;margin-top:-1.56pt;width:.48pt;height:.12pt;mso-position-horizontal-relative:page;mso-position-vertical-relative:paragraph;z-index:2464" type="#_x0000_t75" stroked="false">
            <v:imagedata r:id="rId158" o:title=""/>
          </v:shape>
        </w:pict>
      </w:r>
      <w:r>
        <w:rPr/>
        <w:pict>
          <v:shape style="position:absolute;margin-left:288.049988pt;margin-top:-1.56pt;width:.48001pt;height:.12pt;mso-position-horizontal-relative:page;mso-position-vertical-relative:paragraph;z-index:2488" type="#_x0000_t75" stroked="false">
            <v:imagedata r:id="rId158" o:title=""/>
          </v:shape>
        </w:pict>
      </w:r>
      <w:r>
        <w:rPr/>
        <w:pict>
          <v:shape style="position:absolute;margin-left:389.709991pt;margin-top:-1.56pt;width:.47998pt;height:.12pt;mso-position-horizontal-relative:page;mso-position-vertical-relative:paragraph;z-index:2512" type="#_x0000_t75" stroked="false">
            <v:imagedata r:id="rId158" o:title=""/>
          </v:shape>
        </w:pict>
      </w:r>
      <w:r>
        <w:rPr>
          <w:rFonts w:ascii="宋体"/>
        </w:rPr>
        <w:t> </w:t>
      </w:r>
    </w:p>
    <w:p>
      <w:pPr>
        <w:pStyle w:val="Heading3"/>
        <w:spacing w:line="240" w:lineRule="auto" w:before="85"/>
        <w:ind w:left="656" w:right="0"/>
        <w:jc w:val="left"/>
        <w:rPr>
          <w:rFonts w:ascii="宋体" w:hAnsi="宋体" w:cs="宋体" w:eastAsia="宋体" w:hint="default"/>
          <w:b w:val="0"/>
          <w:bCs w:val="0"/>
        </w:rPr>
      </w:pPr>
      <w:r>
        <w:rPr>
          <w:rFonts w:ascii="宋体" w:hAnsi="宋体" w:cs="宋体" w:eastAsia="宋体" w:hint="default"/>
        </w:rPr>
        <w:t>(6).</w:t>
      </w:r>
      <w:r>
        <w:rPr/>
        <w:t>因金融资产转移而终止确认的应收账款</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75"/>
        <w:ind w:left="656"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12"/>
        <w:rPr>
          <w:rFonts w:ascii="宋体" w:hAnsi="宋体" w:cs="宋体" w:eastAsia="宋体" w:hint="default"/>
          <w:sz w:val="21"/>
          <w:szCs w:val="21"/>
        </w:rPr>
      </w:pPr>
    </w:p>
    <w:p>
      <w:pPr>
        <w:pStyle w:val="Heading3"/>
        <w:spacing w:line="240" w:lineRule="auto" w:before="36"/>
        <w:ind w:left="656" w:right="0"/>
        <w:jc w:val="left"/>
        <w:rPr>
          <w:rFonts w:ascii="宋体" w:hAnsi="宋体" w:cs="宋体" w:eastAsia="宋体" w:hint="default"/>
          <w:b w:val="0"/>
          <w:bCs w:val="0"/>
        </w:rPr>
      </w:pPr>
      <w:r>
        <w:rPr>
          <w:rFonts w:ascii="宋体" w:hAnsi="宋体" w:cs="宋体" w:eastAsia="宋体" w:hint="default"/>
        </w:rPr>
        <w:t>(7).</w:t>
      </w:r>
      <w:r>
        <w:rPr/>
        <w:t>转移应收账款且继续涉入形成的资产、负债金额</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75"/>
        <w:ind w:left="656"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rPr>
        <w:t> </w:t>
      </w:r>
    </w:p>
    <w:p>
      <w:pPr>
        <w:spacing w:line="240" w:lineRule="auto" w:before="6"/>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pgSz w:w="11910" w:h="16840"/>
          <w:pgMar w:header="0" w:footer="974" w:top="1140" w:bottom="1160" w:left="620" w:right="1120"/>
        </w:sectPr>
      </w:pPr>
    </w:p>
    <w:p>
      <w:pPr>
        <w:pStyle w:val="BodyText"/>
        <w:spacing w:line="273" w:lineRule="exact" w:before="36"/>
        <w:ind w:left="656" w:right="0"/>
        <w:jc w:val="left"/>
        <w:rPr>
          <w:rFonts w:ascii="宋体" w:hAnsi="宋体" w:cs="宋体" w:eastAsia="宋体" w:hint="default"/>
        </w:rPr>
      </w:pPr>
      <w:r>
        <w:rPr/>
        <w:t>其他说明：</w:t>
      </w:r>
      <w:r>
        <w:rPr>
          <w:rFonts w:ascii="宋体" w:hAnsi="宋体" w:cs="宋体" w:eastAsia="宋体" w:hint="default"/>
        </w:rPr>
        <w:t> </w:t>
      </w:r>
    </w:p>
    <w:p>
      <w:pPr>
        <w:pStyle w:val="BodyText"/>
        <w:spacing w:line="273" w:lineRule="exact"/>
        <w:ind w:left="656"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20"/>
        <w:ind w:left="656" w:right="0"/>
        <w:jc w:val="left"/>
        <w:rPr>
          <w:rFonts w:ascii="宋体" w:hAnsi="宋体" w:cs="宋体" w:eastAsia="宋体" w:hint="default"/>
        </w:rPr>
      </w:pPr>
      <w:r>
        <w:rPr>
          <w:rFonts w:ascii="宋体"/>
          <w:w w:val="100"/>
        </w:rPr>
        <w:t> </w:t>
      </w:r>
    </w:p>
    <w:p>
      <w:pPr>
        <w:pStyle w:val="Heading3"/>
        <w:spacing w:line="240" w:lineRule="auto"/>
        <w:ind w:left="656" w:right="0"/>
        <w:jc w:val="left"/>
        <w:rPr>
          <w:b w:val="0"/>
          <w:bCs w:val="0"/>
        </w:rPr>
      </w:pPr>
      <w:r>
        <w:rPr>
          <w:rFonts w:ascii="宋体" w:hAnsi="宋体" w:cs="宋体" w:eastAsia="宋体" w:hint="default"/>
        </w:rPr>
        <w:t>6</w:t>
      </w:r>
      <w:r>
        <w:rPr/>
        <w:t>、</w:t>
      </w:r>
      <w:r>
        <w:rPr>
          <w:spacing w:val="-1"/>
        </w:rPr>
        <w:t> </w:t>
      </w:r>
      <w:r>
        <w:rPr/>
        <w:t>应收款项融资</w:t>
      </w:r>
      <w:r>
        <w:rPr>
          <w:b w:val="0"/>
          <w:bCs w:val="0"/>
        </w:rPr>
      </w:r>
    </w:p>
    <w:p>
      <w:pPr>
        <w:pStyle w:val="BodyText"/>
        <w:spacing w:line="240" w:lineRule="auto" w:before="97"/>
        <w:ind w:left="656"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6"/>
          <w:szCs w:val="26"/>
        </w:rPr>
      </w:pPr>
    </w:p>
    <w:p>
      <w:pPr>
        <w:pStyle w:val="BodyText"/>
        <w:spacing w:line="240" w:lineRule="auto"/>
        <w:ind w:left="656" w:right="0"/>
        <w:jc w:val="left"/>
        <w:rPr>
          <w:rFonts w:ascii="宋体" w:hAnsi="宋体" w:cs="宋体" w:eastAsia="宋体" w:hint="default"/>
        </w:rPr>
      </w:pPr>
      <w:r>
        <w:rPr>
          <w:rFonts w:ascii="宋体" w:hAnsi="宋体" w:cs="宋体" w:eastAsia="宋体" w:hint="default"/>
          <w:w w:val="100"/>
        </w:rPr>
        <w:t>  </w:t>
      </w: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580" w:bottom="280" w:left="620" w:right="1120"/>
          <w:cols w:num="2" w:equalWidth="0">
            <w:col w:w="2549" w:space="3860"/>
            <w:col w:w="3761"/>
          </w:cols>
        </w:sectPr>
      </w:pPr>
    </w:p>
    <w:p>
      <w:pPr>
        <w:spacing w:line="240" w:lineRule="auto" w:before="10"/>
        <w:rPr>
          <w:rFonts w:ascii="宋体" w:hAnsi="宋体" w:cs="宋体" w:eastAsia="宋体" w:hint="default"/>
          <w:sz w:val="3"/>
          <w:szCs w:val="3"/>
        </w:rPr>
      </w:pPr>
    </w:p>
    <w:tbl>
      <w:tblPr>
        <w:tblW w:w="0" w:type="auto"/>
        <w:jc w:val="left"/>
        <w:tblInd w:w="544" w:type="dxa"/>
        <w:tblLayout w:type="fixed"/>
        <w:tblCellMar>
          <w:top w:w="0" w:type="dxa"/>
          <w:left w:w="0" w:type="dxa"/>
          <w:bottom w:w="0" w:type="dxa"/>
          <w:right w:w="0" w:type="dxa"/>
        </w:tblCellMar>
        <w:tblLook w:val="01E0"/>
      </w:tblPr>
      <w:tblGrid>
        <w:gridCol w:w="3246"/>
        <w:gridCol w:w="2897"/>
        <w:gridCol w:w="2907"/>
      </w:tblGrid>
      <w:tr>
        <w:trPr>
          <w:trHeight w:val="324" w:hRule="exact"/>
        </w:trPr>
        <w:tc>
          <w:tcPr>
            <w:tcW w:w="3246" w:type="dxa"/>
            <w:tcBorders>
              <w:top w:val="single" w:sz="4" w:space="0" w:color="000000"/>
              <w:left w:val="single" w:sz="4" w:space="0" w:color="000000"/>
              <w:bottom w:val="single" w:sz="6" w:space="0" w:color="000000"/>
              <w:right w:val="single" w:sz="6" w:space="0" w:color="000000"/>
            </w:tcBorders>
          </w:tcPr>
          <w:p>
            <w:pPr>
              <w:pStyle w:val="TableParagraph"/>
              <w:spacing w:line="262" w:lineRule="exact"/>
              <w:ind w:right="1299"/>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2897" w:type="dxa"/>
            <w:tcBorders>
              <w:top w:val="single" w:sz="4" w:space="0" w:color="000000"/>
              <w:left w:val="single" w:sz="6" w:space="0" w:color="000000"/>
              <w:bottom w:val="single" w:sz="6" w:space="0" w:color="000000"/>
              <w:right w:val="single" w:sz="6" w:space="0" w:color="000000"/>
            </w:tcBorders>
          </w:tcPr>
          <w:p>
            <w:pPr>
              <w:pStyle w:val="TableParagraph"/>
              <w:spacing w:line="260" w:lineRule="exact"/>
              <w:ind w:left="1019"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2907" w:type="dxa"/>
            <w:tcBorders>
              <w:top w:val="single" w:sz="4" w:space="0" w:color="000000"/>
              <w:left w:val="single" w:sz="6" w:space="0" w:color="000000"/>
              <w:bottom w:val="single" w:sz="6" w:space="0" w:color="000000"/>
              <w:right w:val="single" w:sz="4" w:space="0" w:color="000000"/>
            </w:tcBorders>
          </w:tcPr>
          <w:p>
            <w:pPr>
              <w:pStyle w:val="TableParagraph"/>
              <w:spacing w:line="260" w:lineRule="exact"/>
              <w:ind w:left="1024"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326" w:hRule="exact"/>
        </w:trPr>
        <w:tc>
          <w:tcPr>
            <w:tcW w:w="3246" w:type="dxa"/>
            <w:tcBorders>
              <w:top w:val="single" w:sz="6" w:space="0" w:color="000000"/>
              <w:left w:val="single" w:sz="4" w:space="0" w:color="000000"/>
              <w:bottom w:val="single" w:sz="6" w:space="0" w:color="000000"/>
              <w:right w:val="single" w:sz="6"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应收票据</w:t>
            </w:r>
            <w:r>
              <w:rPr>
                <w:rFonts w:ascii="宋体" w:hAnsi="宋体" w:cs="宋体" w:eastAsia="宋体" w:hint="default"/>
                <w:sz w:val="21"/>
                <w:szCs w:val="21"/>
              </w:rPr>
              <w:t> </w:t>
            </w:r>
          </w:p>
        </w:tc>
        <w:tc>
          <w:tcPr>
            <w:tcW w:w="2897"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5"/>
              <w:jc w:val="right"/>
              <w:rPr>
                <w:rFonts w:ascii="宋体" w:hAnsi="宋体" w:cs="宋体" w:eastAsia="宋体" w:hint="default"/>
                <w:sz w:val="21"/>
                <w:szCs w:val="21"/>
              </w:rPr>
            </w:pPr>
            <w:r>
              <w:rPr>
                <w:rFonts w:ascii="宋体"/>
                <w:spacing w:val="-1"/>
                <w:sz w:val="21"/>
              </w:rPr>
              <w:t>21,311,502.62</w:t>
            </w:r>
            <w:r>
              <w:rPr>
                <w:rFonts w:ascii="宋体"/>
                <w:sz w:val="21"/>
              </w:rPr>
              <w:t> </w:t>
            </w:r>
          </w:p>
        </w:tc>
        <w:tc>
          <w:tcPr>
            <w:tcW w:w="2907" w:type="dxa"/>
            <w:tcBorders>
              <w:top w:val="single" w:sz="6" w:space="0" w:color="000000"/>
              <w:left w:val="single" w:sz="6" w:space="0" w:color="000000"/>
              <w:bottom w:val="single" w:sz="6"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13,290,691.98</w:t>
            </w:r>
            <w:r>
              <w:rPr>
                <w:rFonts w:ascii="宋体"/>
                <w:sz w:val="21"/>
              </w:rPr>
              <w:t> </w:t>
            </w:r>
          </w:p>
        </w:tc>
      </w:tr>
      <w:tr>
        <w:trPr>
          <w:trHeight w:val="324" w:hRule="exact"/>
        </w:trPr>
        <w:tc>
          <w:tcPr>
            <w:tcW w:w="3246" w:type="dxa"/>
            <w:tcBorders>
              <w:top w:val="single" w:sz="6" w:space="0" w:color="000000"/>
              <w:left w:val="single" w:sz="4" w:space="0" w:color="000000"/>
              <w:bottom w:val="single" w:sz="4" w:space="0" w:color="000000"/>
              <w:right w:val="single" w:sz="6" w:space="0" w:color="000000"/>
            </w:tcBorders>
          </w:tcPr>
          <w:p>
            <w:pPr>
              <w:pStyle w:val="TableParagraph"/>
              <w:spacing w:line="262" w:lineRule="exact"/>
              <w:ind w:right="1299"/>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2897" w:type="dxa"/>
            <w:tcBorders>
              <w:top w:val="single" w:sz="6" w:space="0" w:color="000000"/>
              <w:left w:val="single" w:sz="6" w:space="0" w:color="000000"/>
              <w:bottom w:val="single" w:sz="4" w:space="0" w:color="000000"/>
              <w:right w:val="single" w:sz="6" w:space="0" w:color="000000"/>
            </w:tcBorders>
          </w:tcPr>
          <w:p>
            <w:pPr>
              <w:pStyle w:val="TableParagraph"/>
              <w:spacing w:line="262" w:lineRule="exact"/>
              <w:ind w:right="-5"/>
              <w:jc w:val="right"/>
              <w:rPr>
                <w:rFonts w:ascii="宋体" w:hAnsi="宋体" w:cs="宋体" w:eastAsia="宋体" w:hint="default"/>
                <w:sz w:val="21"/>
                <w:szCs w:val="21"/>
              </w:rPr>
            </w:pPr>
            <w:r>
              <w:rPr>
                <w:rFonts w:ascii="宋体"/>
                <w:spacing w:val="-1"/>
                <w:sz w:val="21"/>
              </w:rPr>
              <w:t>21,311,502.62</w:t>
            </w:r>
            <w:r>
              <w:rPr>
                <w:rFonts w:ascii="宋体"/>
                <w:sz w:val="21"/>
              </w:rPr>
              <w:t> </w:t>
            </w:r>
          </w:p>
        </w:tc>
        <w:tc>
          <w:tcPr>
            <w:tcW w:w="2907" w:type="dxa"/>
            <w:tcBorders>
              <w:top w:val="single" w:sz="6" w:space="0" w:color="000000"/>
              <w:left w:val="single" w:sz="6"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13,290,691.98</w:t>
            </w:r>
            <w:r>
              <w:rPr>
                <w:rFonts w:ascii="宋体"/>
                <w:sz w:val="21"/>
              </w:rPr>
              <w:t> </w:t>
            </w:r>
          </w:p>
        </w:tc>
      </w:tr>
    </w:tbl>
    <w:p>
      <w:pPr>
        <w:pStyle w:val="BodyText"/>
        <w:spacing w:line="273" w:lineRule="auto"/>
        <w:ind w:left="656" w:right="0"/>
        <w:jc w:val="left"/>
        <w:rPr>
          <w:rFonts w:ascii="宋体" w:hAnsi="宋体" w:cs="宋体" w:eastAsia="宋体" w:hint="default"/>
        </w:rPr>
      </w:pPr>
      <w:r>
        <w:rPr>
          <w:rFonts w:ascii="宋体" w:hAnsi="宋体" w:cs="宋体" w:eastAsia="宋体" w:hint="default"/>
          <w:w w:val="100"/>
        </w:rPr>
        <w:t>  </w:t>
      </w:r>
      <w:r>
        <w:rPr>
          <w:w w:val="100"/>
        </w:rPr>
        <w:t>应收</w:t>
      </w:r>
      <w:r>
        <w:rPr>
          <w:spacing w:val="-3"/>
          <w:w w:val="100"/>
        </w:rPr>
        <w:t>款</w:t>
      </w:r>
      <w:r>
        <w:rPr>
          <w:w w:val="100"/>
        </w:rPr>
        <w:t>项</w:t>
      </w:r>
      <w:r>
        <w:rPr>
          <w:spacing w:val="-3"/>
          <w:w w:val="100"/>
        </w:rPr>
        <w:t>融</w:t>
      </w:r>
      <w:r>
        <w:rPr>
          <w:w w:val="100"/>
        </w:rPr>
        <w:t>资</w:t>
      </w:r>
      <w:r>
        <w:rPr>
          <w:spacing w:val="-3"/>
          <w:w w:val="100"/>
        </w:rPr>
        <w:t>本</w:t>
      </w:r>
      <w:r>
        <w:rPr>
          <w:w w:val="100"/>
        </w:rPr>
        <w:t>期</w:t>
      </w:r>
      <w:r>
        <w:rPr>
          <w:spacing w:val="-3"/>
          <w:w w:val="100"/>
        </w:rPr>
        <w:t>增</w:t>
      </w:r>
      <w:r>
        <w:rPr>
          <w:w w:val="100"/>
        </w:rPr>
        <w:t>减</w:t>
      </w:r>
      <w:r>
        <w:rPr>
          <w:spacing w:val="-3"/>
          <w:w w:val="100"/>
        </w:rPr>
        <w:t>变</w:t>
      </w:r>
      <w:r>
        <w:rPr>
          <w:w w:val="100"/>
        </w:rPr>
        <w:t>动及</w:t>
      </w:r>
      <w:r>
        <w:rPr>
          <w:spacing w:val="-3"/>
          <w:w w:val="100"/>
        </w:rPr>
        <w:t>公</w:t>
      </w:r>
      <w:r>
        <w:rPr>
          <w:w w:val="100"/>
        </w:rPr>
        <w:t>允</w:t>
      </w:r>
      <w:r>
        <w:rPr>
          <w:spacing w:val="-3"/>
          <w:w w:val="100"/>
        </w:rPr>
        <w:t>价</w:t>
      </w:r>
      <w:r>
        <w:rPr>
          <w:w w:val="100"/>
        </w:rPr>
        <w:t>值</w:t>
      </w:r>
      <w:r>
        <w:rPr>
          <w:spacing w:val="-3"/>
          <w:w w:val="100"/>
        </w:rPr>
        <w:t>变</w:t>
      </w:r>
      <w:r>
        <w:rPr>
          <w:w w:val="100"/>
        </w:rPr>
        <w:t>动</w:t>
      </w:r>
      <w:r>
        <w:rPr>
          <w:spacing w:val="-3"/>
          <w:w w:val="100"/>
        </w:rPr>
        <w:t>情</w:t>
      </w:r>
      <w:r>
        <w:rPr>
          <w:w w:val="100"/>
        </w:rPr>
        <w:t>况</w:t>
      </w:r>
      <w:r>
        <w:rPr>
          <w:spacing w:val="-3"/>
          <w:w w:val="100"/>
        </w:rPr>
        <w:t>：</w:t>
      </w:r>
      <w:r>
        <w:rPr>
          <w:rFonts w:ascii="宋体" w:hAnsi="宋体" w:cs="宋体" w:eastAsia="宋体" w:hint="default"/>
          <w:w w:val="100"/>
        </w:rPr>
        <w:t> </w:t>
      </w:r>
    </w:p>
    <w:p>
      <w:pPr>
        <w:pStyle w:val="BodyText"/>
        <w:spacing w:line="240" w:lineRule="auto" w:before="7"/>
        <w:ind w:left="656" w:right="0"/>
        <w:jc w:val="left"/>
        <w:rPr>
          <w:rFonts w:ascii="宋体" w:hAnsi="宋体" w:cs="宋体" w:eastAsia="宋体" w:hint="default"/>
        </w:rPr>
      </w:pPr>
      <w:r>
        <w:rPr/>
        <w:t>√适用□不适用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left="656" w:right="0"/>
        <w:jc w:val="left"/>
        <w:rPr>
          <w:rFonts w:ascii="宋体" w:hAnsi="宋体" w:cs="宋体" w:eastAsia="宋体" w:hint="default"/>
        </w:rPr>
      </w:pPr>
      <w:r>
        <w:rPr>
          <w:rFonts w:ascii="宋体"/>
          <w:w w:val="100"/>
        </w:rPr>
        <w:t> </w:t>
      </w:r>
    </w:p>
    <w:p>
      <w:pPr>
        <w:spacing w:line="240" w:lineRule="auto" w:before="10"/>
        <w:rPr>
          <w:rFonts w:ascii="宋体" w:hAnsi="宋体" w:cs="宋体" w:eastAsia="宋体" w:hint="default"/>
          <w:sz w:val="3"/>
          <w:szCs w:val="3"/>
        </w:rPr>
      </w:pPr>
    </w:p>
    <w:tbl>
      <w:tblPr>
        <w:tblW w:w="0" w:type="auto"/>
        <w:jc w:val="left"/>
        <w:tblInd w:w="107" w:type="dxa"/>
        <w:tblLayout w:type="fixed"/>
        <w:tblCellMar>
          <w:top w:w="0" w:type="dxa"/>
          <w:left w:w="0" w:type="dxa"/>
          <w:bottom w:w="0" w:type="dxa"/>
          <w:right w:w="0" w:type="dxa"/>
        </w:tblCellMar>
        <w:tblLook w:val="01E0"/>
      </w:tblPr>
      <w:tblGrid>
        <w:gridCol w:w="1299"/>
        <w:gridCol w:w="1582"/>
        <w:gridCol w:w="1685"/>
        <w:gridCol w:w="1688"/>
        <w:gridCol w:w="838"/>
        <w:gridCol w:w="1580"/>
        <w:gridCol w:w="1255"/>
      </w:tblGrid>
      <w:tr>
        <w:trPr>
          <w:trHeight w:val="1261" w:hRule="exact"/>
        </w:trPr>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20"/>
                <w:szCs w:val="20"/>
              </w:rPr>
            </w:pPr>
            <w:r>
              <w:rPr>
                <w:rFonts w:ascii="宋体" w:hAnsi="宋体" w:cs="宋体" w:eastAsia="宋体" w:hint="default"/>
                <w:sz w:val="20"/>
                <w:szCs w:val="20"/>
              </w:rPr>
              <w:t>项目</w:t>
            </w:r>
            <w:r>
              <w:rPr>
                <w:rFonts w:ascii="宋体" w:hAnsi="宋体" w:cs="宋体" w:eastAsia="宋体" w:hint="default"/>
                <w:sz w:val="20"/>
                <w:szCs w:val="20"/>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20"/>
                <w:szCs w:val="20"/>
              </w:rPr>
            </w:pPr>
            <w:r>
              <w:rPr>
                <w:rFonts w:ascii="宋体" w:hAnsi="宋体" w:cs="宋体" w:eastAsia="宋体" w:hint="default"/>
                <w:sz w:val="20"/>
                <w:szCs w:val="20"/>
              </w:rPr>
              <w:t>年初余额</w:t>
            </w:r>
            <w:r>
              <w:rPr>
                <w:rFonts w:ascii="宋体" w:hAnsi="宋体" w:cs="宋体" w:eastAsia="宋体" w:hint="default"/>
                <w:sz w:val="20"/>
                <w:szCs w:val="20"/>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20"/>
                <w:szCs w:val="20"/>
              </w:rPr>
            </w:pPr>
            <w:r>
              <w:rPr>
                <w:rFonts w:ascii="宋体" w:hAnsi="宋体" w:cs="宋体" w:eastAsia="宋体" w:hint="default"/>
                <w:sz w:val="20"/>
                <w:szCs w:val="20"/>
              </w:rPr>
              <w:t>本期新增</w:t>
            </w:r>
            <w:r>
              <w:rPr>
                <w:rFonts w:ascii="宋体" w:hAnsi="宋体" w:cs="宋体" w:eastAsia="宋体" w:hint="default"/>
                <w:sz w:val="20"/>
                <w:szCs w:val="20"/>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20"/>
                <w:szCs w:val="20"/>
              </w:rPr>
            </w:pPr>
            <w:r>
              <w:rPr>
                <w:rFonts w:ascii="宋体" w:hAnsi="宋体" w:cs="宋体" w:eastAsia="宋体" w:hint="default"/>
                <w:sz w:val="20"/>
                <w:szCs w:val="20"/>
              </w:rPr>
              <w:t>本期终止确认</w:t>
            </w:r>
            <w:r>
              <w:rPr>
                <w:rFonts w:ascii="宋体" w:hAnsi="宋体" w:cs="宋体" w:eastAsia="宋体" w:hint="default"/>
                <w:sz w:val="20"/>
                <w:szCs w:val="20"/>
              </w:rPr>
              <w:t> </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85" w:lineRule="auto"/>
              <w:ind w:left="100" w:right="91"/>
              <w:jc w:val="left"/>
              <w:rPr>
                <w:rFonts w:ascii="宋体" w:hAnsi="宋体" w:cs="宋体" w:eastAsia="宋体" w:hint="default"/>
                <w:sz w:val="20"/>
                <w:szCs w:val="20"/>
              </w:rPr>
            </w:pPr>
            <w:r>
              <w:rPr>
                <w:rFonts w:ascii="宋体" w:hAnsi="宋体" w:cs="宋体" w:eastAsia="宋体" w:hint="default"/>
                <w:spacing w:val="12"/>
                <w:sz w:val="20"/>
                <w:szCs w:val="20"/>
              </w:rPr>
              <w:t>其他变</w:t>
            </w:r>
            <w:r>
              <w:rPr>
                <w:rFonts w:ascii="宋体" w:hAnsi="宋体" w:cs="宋体" w:eastAsia="宋体" w:hint="default"/>
                <w:spacing w:val="12"/>
                <w:w w:val="99"/>
                <w:sz w:val="20"/>
                <w:szCs w:val="20"/>
              </w:rPr>
              <w:t> </w:t>
            </w:r>
            <w:r>
              <w:rPr>
                <w:rFonts w:ascii="宋体" w:hAnsi="宋体" w:cs="宋体" w:eastAsia="宋体" w:hint="default"/>
                <w:sz w:val="20"/>
                <w:szCs w:val="20"/>
              </w:rPr>
              <w:t>动</w:t>
            </w:r>
            <w:r>
              <w:rPr>
                <w:rFonts w:ascii="宋体" w:hAnsi="宋体" w:cs="宋体" w:eastAsia="宋体" w:hint="default"/>
                <w:sz w:val="20"/>
                <w:szCs w:val="20"/>
              </w:rPr>
              <w:t> </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20"/>
                <w:szCs w:val="20"/>
              </w:rPr>
            </w:pPr>
            <w:r>
              <w:rPr>
                <w:rFonts w:ascii="宋体" w:hAnsi="宋体" w:cs="宋体" w:eastAsia="宋体" w:hint="default"/>
                <w:sz w:val="20"/>
                <w:szCs w:val="20"/>
              </w:rPr>
              <w:t>期末余额</w:t>
            </w:r>
            <w:r>
              <w:rPr>
                <w:rFonts w:ascii="宋体" w:hAnsi="宋体" w:cs="宋体" w:eastAsia="宋体" w:hint="default"/>
                <w:sz w:val="20"/>
                <w:szCs w:val="20"/>
              </w:rPr>
              <w:t> </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96"/>
              <w:jc w:val="both"/>
              <w:rPr>
                <w:rFonts w:ascii="宋体" w:hAnsi="宋体" w:cs="宋体" w:eastAsia="宋体" w:hint="default"/>
                <w:sz w:val="20"/>
                <w:szCs w:val="20"/>
              </w:rPr>
            </w:pPr>
            <w:r>
              <w:rPr>
                <w:rFonts w:ascii="宋体" w:hAnsi="宋体" w:cs="宋体" w:eastAsia="宋体" w:hint="default"/>
                <w:spacing w:val="9"/>
                <w:sz w:val="20"/>
                <w:szCs w:val="20"/>
              </w:rPr>
              <w:t>累计在其他</w:t>
            </w:r>
            <w:r>
              <w:rPr>
                <w:rFonts w:ascii="宋体" w:hAnsi="宋体" w:cs="宋体" w:eastAsia="宋体" w:hint="default"/>
                <w:spacing w:val="9"/>
                <w:w w:val="99"/>
                <w:sz w:val="20"/>
                <w:szCs w:val="20"/>
              </w:rPr>
              <w:t> </w:t>
            </w:r>
            <w:r>
              <w:rPr>
                <w:rFonts w:ascii="宋体" w:hAnsi="宋体" w:cs="宋体" w:eastAsia="宋体" w:hint="default"/>
                <w:spacing w:val="9"/>
                <w:sz w:val="20"/>
                <w:szCs w:val="20"/>
              </w:rPr>
              <w:t>综合收益中</w:t>
            </w:r>
            <w:r>
              <w:rPr>
                <w:rFonts w:ascii="宋体" w:hAnsi="宋体" w:cs="宋体" w:eastAsia="宋体" w:hint="default"/>
                <w:spacing w:val="9"/>
                <w:w w:val="99"/>
                <w:sz w:val="20"/>
                <w:szCs w:val="20"/>
              </w:rPr>
              <w:t> </w:t>
            </w:r>
            <w:r>
              <w:rPr>
                <w:rFonts w:ascii="宋体" w:hAnsi="宋体" w:cs="宋体" w:eastAsia="宋体" w:hint="default"/>
                <w:spacing w:val="9"/>
                <w:sz w:val="20"/>
                <w:szCs w:val="20"/>
              </w:rPr>
              <w:t>确认的损失</w:t>
            </w:r>
            <w:r>
              <w:rPr>
                <w:rFonts w:ascii="宋体" w:hAnsi="宋体" w:cs="宋体" w:eastAsia="宋体" w:hint="default"/>
                <w:spacing w:val="9"/>
                <w:w w:val="99"/>
                <w:sz w:val="20"/>
                <w:szCs w:val="20"/>
              </w:rPr>
              <w:t> </w:t>
            </w:r>
            <w:r>
              <w:rPr>
                <w:rFonts w:ascii="宋体" w:hAnsi="宋体" w:cs="宋体" w:eastAsia="宋体" w:hint="default"/>
                <w:sz w:val="20"/>
                <w:szCs w:val="20"/>
              </w:rPr>
              <w:t>准备</w:t>
            </w:r>
            <w:r>
              <w:rPr>
                <w:rFonts w:ascii="宋体" w:hAnsi="宋体" w:cs="宋体" w:eastAsia="宋体" w:hint="default"/>
                <w:sz w:val="20"/>
                <w:szCs w:val="20"/>
              </w:rPr>
              <w:t> </w:t>
            </w:r>
          </w:p>
        </w:tc>
      </w:tr>
      <w:tr>
        <w:trPr>
          <w:trHeight w:val="322" w:hRule="exact"/>
        </w:trPr>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0"/>
                <w:szCs w:val="20"/>
              </w:rPr>
            </w:pPr>
            <w:r>
              <w:rPr>
                <w:rFonts w:ascii="宋体" w:hAnsi="宋体" w:cs="宋体" w:eastAsia="宋体" w:hint="default"/>
                <w:sz w:val="20"/>
                <w:szCs w:val="20"/>
              </w:rPr>
              <w:t>应收票据</w:t>
            </w:r>
            <w:r>
              <w:rPr>
                <w:rFonts w:ascii="宋体" w:hAnsi="宋体" w:cs="宋体" w:eastAsia="宋体" w:hint="default"/>
                <w:sz w:val="20"/>
                <w:szCs w:val="20"/>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0" w:right="0"/>
              <w:jc w:val="left"/>
              <w:rPr>
                <w:rFonts w:ascii="宋体" w:hAnsi="宋体" w:cs="宋体" w:eastAsia="宋体" w:hint="default"/>
                <w:sz w:val="20"/>
                <w:szCs w:val="20"/>
              </w:rPr>
            </w:pPr>
            <w:r>
              <w:rPr>
                <w:rFonts w:ascii="宋体"/>
                <w:sz w:val="20"/>
              </w:rPr>
              <w:t>13,290,691.98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0" w:right="0"/>
              <w:jc w:val="left"/>
              <w:rPr>
                <w:rFonts w:ascii="宋体" w:hAnsi="宋体" w:cs="宋体" w:eastAsia="宋体" w:hint="default"/>
                <w:sz w:val="20"/>
                <w:szCs w:val="20"/>
              </w:rPr>
            </w:pPr>
            <w:r>
              <w:rPr>
                <w:rFonts w:ascii="宋体"/>
                <w:sz w:val="20"/>
              </w:rPr>
              <w:t>159,070,251.98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0"/>
                <w:szCs w:val="20"/>
              </w:rPr>
            </w:pPr>
            <w:r>
              <w:rPr>
                <w:rFonts w:ascii="宋体"/>
                <w:sz w:val="20"/>
              </w:rPr>
              <w:t>151,049,441.34 </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0" w:right="0"/>
              <w:jc w:val="left"/>
              <w:rPr>
                <w:rFonts w:ascii="宋体" w:hAnsi="宋体" w:cs="宋体" w:eastAsia="宋体" w:hint="default"/>
                <w:sz w:val="20"/>
                <w:szCs w:val="20"/>
              </w:rPr>
            </w:pPr>
            <w:r>
              <w:rPr>
                <w:rFonts w:ascii="宋体"/>
                <w:w w:val="99"/>
                <w:sz w:val="20"/>
              </w:rPr>
              <w:t> </w:t>
            </w:r>
            <w:r>
              <w:rPr>
                <w:rFonts w:ascii="宋体"/>
                <w:spacing w:val="-1"/>
                <w:sz w:val="20"/>
              </w:rPr>
              <w:t> </w:t>
            </w:r>
            <w:r>
              <w:rPr>
                <w:rFonts w:ascii="宋体"/>
                <w:w w:val="99"/>
                <w:sz w:val="20"/>
              </w:rPr>
              <w:t> </w:t>
            </w:r>
            <w:r>
              <w:rPr>
                <w:rFonts w:ascii="宋体"/>
                <w:sz w:val="20"/>
              </w:rPr>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0" w:right="0"/>
              <w:jc w:val="left"/>
              <w:rPr>
                <w:rFonts w:ascii="宋体" w:hAnsi="宋体" w:cs="宋体" w:eastAsia="宋体" w:hint="default"/>
                <w:sz w:val="20"/>
                <w:szCs w:val="20"/>
              </w:rPr>
            </w:pPr>
            <w:r>
              <w:rPr>
                <w:rFonts w:ascii="宋体"/>
                <w:sz w:val="20"/>
              </w:rPr>
              <w:t>21,311,502.62 </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0"/>
                <w:szCs w:val="20"/>
              </w:rPr>
            </w:pPr>
            <w:r>
              <w:rPr>
                <w:rFonts w:ascii="宋体"/>
                <w:w w:val="99"/>
                <w:sz w:val="20"/>
              </w:rPr>
              <w:t> </w:t>
            </w:r>
            <w:r>
              <w:rPr>
                <w:rFonts w:ascii="宋体"/>
                <w:spacing w:val="-1"/>
                <w:sz w:val="20"/>
              </w:rPr>
              <w:t> </w:t>
            </w:r>
            <w:r>
              <w:rPr>
                <w:rFonts w:ascii="宋体"/>
                <w:w w:val="99"/>
                <w:sz w:val="20"/>
              </w:rPr>
              <w:t> </w:t>
            </w:r>
            <w:r>
              <w:rPr>
                <w:rFonts w:ascii="宋体"/>
                <w:sz w:val="20"/>
              </w:rPr>
            </w:r>
          </w:p>
        </w:tc>
      </w:tr>
      <w:tr>
        <w:trPr>
          <w:trHeight w:val="322" w:hRule="exact"/>
        </w:trPr>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0"/>
                <w:szCs w:val="20"/>
              </w:rPr>
            </w:pPr>
            <w:r>
              <w:rPr>
                <w:rFonts w:ascii="宋体" w:hAnsi="宋体" w:cs="宋体" w:eastAsia="宋体" w:hint="default"/>
                <w:sz w:val="20"/>
                <w:szCs w:val="20"/>
              </w:rPr>
              <w:t>合计</w:t>
            </w:r>
            <w:r>
              <w:rPr>
                <w:rFonts w:ascii="宋体" w:hAnsi="宋体" w:cs="宋体" w:eastAsia="宋体" w:hint="default"/>
                <w:sz w:val="20"/>
                <w:szCs w:val="20"/>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0" w:right="0"/>
              <w:jc w:val="left"/>
              <w:rPr>
                <w:rFonts w:ascii="宋体" w:hAnsi="宋体" w:cs="宋体" w:eastAsia="宋体" w:hint="default"/>
                <w:sz w:val="20"/>
                <w:szCs w:val="20"/>
              </w:rPr>
            </w:pPr>
            <w:r>
              <w:rPr>
                <w:rFonts w:ascii="宋体"/>
                <w:sz w:val="20"/>
              </w:rPr>
              <w:t>13,290,691.98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0" w:right="0"/>
              <w:jc w:val="left"/>
              <w:rPr>
                <w:rFonts w:ascii="宋体" w:hAnsi="宋体" w:cs="宋体" w:eastAsia="宋体" w:hint="default"/>
                <w:sz w:val="20"/>
                <w:szCs w:val="20"/>
              </w:rPr>
            </w:pPr>
            <w:r>
              <w:rPr>
                <w:rFonts w:ascii="宋体"/>
                <w:sz w:val="20"/>
              </w:rPr>
              <w:t>159,070,251.98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0"/>
                <w:szCs w:val="20"/>
              </w:rPr>
            </w:pPr>
            <w:r>
              <w:rPr>
                <w:rFonts w:ascii="宋体"/>
                <w:sz w:val="20"/>
              </w:rPr>
              <w:t>151,049,441.34 </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0" w:right="0"/>
              <w:jc w:val="left"/>
              <w:rPr>
                <w:rFonts w:ascii="宋体" w:hAnsi="宋体" w:cs="宋体" w:eastAsia="宋体" w:hint="default"/>
                <w:sz w:val="20"/>
                <w:szCs w:val="20"/>
              </w:rPr>
            </w:pPr>
            <w:r>
              <w:rPr>
                <w:rFonts w:ascii="宋体"/>
                <w:w w:val="99"/>
                <w:sz w:val="20"/>
              </w:rPr>
              <w:t> </w:t>
            </w:r>
            <w:r>
              <w:rPr>
                <w:rFonts w:ascii="宋体"/>
                <w:spacing w:val="-1"/>
                <w:sz w:val="20"/>
              </w:rPr>
              <w:t> </w:t>
            </w:r>
            <w:r>
              <w:rPr>
                <w:rFonts w:ascii="宋体"/>
                <w:w w:val="99"/>
                <w:sz w:val="20"/>
              </w:rPr>
              <w:t> </w:t>
            </w:r>
            <w:r>
              <w:rPr>
                <w:rFonts w:ascii="宋体"/>
                <w:sz w:val="20"/>
              </w:rPr>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0" w:right="0"/>
              <w:jc w:val="left"/>
              <w:rPr>
                <w:rFonts w:ascii="宋体" w:hAnsi="宋体" w:cs="宋体" w:eastAsia="宋体" w:hint="default"/>
                <w:sz w:val="20"/>
                <w:szCs w:val="20"/>
              </w:rPr>
            </w:pPr>
            <w:r>
              <w:rPr>
                <w:rFonts w:ascii="宋体"/>
                <w:sz w:val="20"/>
              </w:rPr>
              <w:t>21,311,502.62 </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0"/>
                <w:szCs w:val="20"/>
              </w:rPr>
            </w:pPr>
            <w:r>
              <w:rPr>
                <w:rFonts w:ascii="宋体"/>
                <w:w w:val="99"/>
                <w:sz w:val="20"/>
              </w:rPr>
              <w:t> </w:t>
            </w:r>
            <w:r>
              <w:rPr>
                <w:rFonts w:ascii="宋体"/>
                <w:spacing w:val="-1"/>
                <w:sz w:val="20"/>
              </w:rPr>
              <w:t> </w:t>
            </w:r>
            <w:r>
              <w:rPr>
                <w:rFonts w:ascii="宋体"/>
                <w:w w:val="99"/>
                <w:sz w:val="20"/>
              </w:rPr>
              <w:t> </w:t>
            </w:r>
            <w:r>
              <w:rPr>
                <w:rFonts w:ascii="宋体"/>
                <w:sz w:val="20"/>
              </w:rPr>
            </w:r>
          </w:p>
        </w:tc>
      </w:tr>
    </w:tbl>
    <w:p>
      <w:pPr>
        <w:pStyle w:val="BodyText"/>
        <w:spacing w:line="262" w:lineRule="exact"/>
        <w:ind w:left="656" w:right="0"/>
        <w:jc w:val="left"/>
        <w:rPr>
          <w:rFonts w:ascii="宋体" w:hAnsi="宋体" w:cs="宋体" w:eastAsia="宋体" w:hint="default"/>
        </w:rPr>
      </w:pPr>
      <w:r>
        <w:rPr>
          <w:rFonts w:ascii="宋体"/>
          <w:w w:val="100"/>
        </w:rPr>
        <w:t> </w:t>
      </w:r>
    </w:p>
    <w:p>
      <w:pPr>
        <w:pStyle w:val="BodyText"/>
        <w:spacing w:line="273" w:lineRule="auto" w:before="37"/>
        <w:ind w:left="656" w:right="0"/>
        <w:jc w:val="left"/>
        <w:rPr>
          <w:rFonts w:ascii="宋体" w:hAnsi="宋体" w:cs="宋体" w:eastAsia="宋体" w:hint="default"/>
        </w:rPr>
      </w:pPr>
      <w:r>
        <w:rPr>
          <w:rFonts w:ascii="宋体" w:hAnsi="宋体" w:cs="宋体" w:eastAsia="宋体" w:hint="default"/>
          <w:w w:val="100"/>
        </w:rPr>
        <w:t>  </w:t>
      </w:r>
      <w:r>
        <w:rPr>
          <w:w w:val="100"/>
        </w:rPr>
        <w:t>如按</w:t>
      </w:r>
      <w:r>
        <w:rPr>
          <w:spacing w:val="-3"/>
          <w:w w:val="100"/>
        </w:rPr>
        <w:t>预</w:t>
      </w:r>
      <w:r>
        <w:rPr>
          <w:w w:val="100"/>
        </w:rPr>
        <w:t>期</w:t>
      </w:r>
      <w:r>
        <w:rPr>
          <w:spacing w:val="-3"/>
          <w:w w:val="100"/>
        </w:rPr>
        <w:t>信</w:t>
      </w:r>
      <w:r>
        <w:rPr>
          <w:w w:val="100"/>
        </w:rPr>
        <w:t>用</w:t>
      </w:r>
      <w:r>
        <w:rPr>
          <w:spacing w:val="-3"/>
          <w:w w:val="100"/>
        </w:rPr>
        <w:t>损</w:t>
      </w:r>
      <w:r>
        <w:rPr>
          <w:w w:val="100"/>
        </w:rPr>
        <w:t>失</w:t>
      </w:r>
      <w:r>
        <w:rPr>
          <w:spacing w:val="-3"/>
          <w:w w:val="100"/>
        </w:rPr>
        <w:t>一</w:t>
      </w:r>
      <w:r>
        <w:rPr>
          <w:w w:val="100"/>
        </w:rPr>
        <w:t>般</w:t>
      </w:r>
      <w:r>
        <w:rPr>
          <w:spacing w:val="-3"/>
          <w:w w:val="100"/>
        </w:rPr>
        <w:t>模</w:t>
      </w:r>
      <w:r>
        <w:rPr>
          <w:w w:val="100"/>
        </w:rPr>
        <w:t>型计</w:t>
      </w:r>
      <w:r>
        <w:rPr>
          <w:spacing w:val="-3"/>
          <w:w w:val="100"/>
        </w:rPr>
        <w:t>提</w:t>
      </w:r>
      <w:r>
        <w:rPr>
          <w:w w:val="100"/>
        </w:rPr>
        <w:t>坏</w:t>
      </w:r>
      <w:r>
        <w:rPr>
          <w:spacing w:val="-3"/>
          <w:w w:val="100"/>
        </w:rPr>
        <w:t>账</w:t>
      </w:r>
      <w:r>
        <w:rPr>
          <w:w w:val="100"/>
        </w:rPr>
        <w:t>准</w:t>
      </w:r>
      <w:r>
        <w:rPr>
          <w:spacing w:val="-3"/>
          <w:w w:val="100"/>
        </w:rPr>
        <w:t>备</w:t>
      </w:r>
      <w:r>
        <w:rPr>
          <w:w w:val="100"/>
        </w:rPr>
        <w:t>，</w:t>
      </w:r>
      <w:r>
        <w:rPr>
          <w:spacing w:val="-3"/>
          <w:w w:val="100"/>
        </w:rPr>
        <w:t>请</w:t>
      </w:r>
      <w:r>
        <w:rPr>
          <w:w w:val="100"/>
        </w:rPr>
        <w:t>参</w:t>
      </w:r>
      <w:r>
        <w:rPr>
          <w:spacing w:val="-3"/>
          <w:w w:val="100"/>
        </w:rPr>
        <w:t>照</w:t>
      </w:r>
      <w:r>
        <w:rPr>
          <w:w w:val="100"/>
        </w:rPr>
        <w:t>其他</w:t>
      </w:r>
      <w:r>
        <w:rPr>
          <w:spacing w:val="-3"/>
          <w:w w:val="100"/>
        </w:rPr>
        <w:t>应</w:t>
      </w:r>
      <w:r>
        <w:rPr>
          <w:w w:val="100"/>
        </w:rPr>
        <w:t>收</w:t>
      </w:r>
      <w:r>
        <w:rPr>
          <w:spacing w:val="-3"/>
          <w:w w:val="100"/>
        </w:rPr>
        <w:t>款</w:t>
      </w:r>
      <w:r>
        <w:rPr>
          <w:w w:val="100"/>
        </w:rPr>
        <w:t>披</w:t>
      </w:r>
      <w:r>
        <w:rPr>
          <w:spacing w:val="-2"/>
          <w:w w:val="100"/>
        </w:rPr>
        <w:t>露</w:t>
      </w:r>
      <w:r>
        <w:rPr>
          <w:spacing w:val="-3"/>
          <w:w w:val="100"/>
        </w:rPr>
        <w:t>：</w:t>
      </w:r>
      <w:r>
        <w:rPr>
          <w:rFonts w:ascii="宋体" w:hAnsi="宋体" w:cs="宋体" w:eastAsia="宋体" w:hint="default"/>
          <w:w w:val="100"/>
        </w:rPr>
        <w:t> </w:t>
      </w:r>
    </w:p>
    <w:p>
      <w:pPr>
        <w:pStyle w:val="BodyText"/>
        <w:spacing w:line="240" w:lineRule="auto" w:before="7"/>
        <w:ind w:left="656"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left="656" w:right="0"/>
        <w:jc w:val="left"/>
        <w:rPr>
          <w:rFonts w:ascii="宋体" w:hAnsi="宋体" w:cs="宋体" w:eastAsia="宋体" w:hint="default"/>
        </w:rPr>
      </w:pPr>
      <w:r>
        <w:rPr>
          <w:rFonts w:ascii="宋体"/>
          <w:w w:val="100"/>
        </w:rPr>
        <w:t> </w:t>
      </w:r>
    </w:p>
    <w:p>
      <w:pPr>
        <w:spacing w:after="0" w:line="240" w:lineRule="auto"/>
        <w:jc w:val="left"/>
        <w:rPr>
          <w:rFonts w:ascii="宋体" w:hAnsi="宋体" w:cs="宋体" w:eastAsia="宋体" w:hint="default"/>
        </w:rPr>
        <w:sectPr>
          <w:type w:val="continuous"/>
          <w:pgSz w:w="11910" w:h="16840"/>
          <w:pgMar w:top="1580" w:bottom="280" w:left="620" w:right="1120"/>
        </w:sectPr>
      </w:pPr>
    </w:p>
    <w:p>
      <w:pPr>
        <w:spacing w:line="240" w:lineRule="auto" w:before="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footerReference w:type="default" r:id="rId164"/>
          <w:pgSz w:w="11910" w:h="16840"/>
          <w:pgMar w:footer="974" w:header="0" w:top="1140" w:bottom="1160" w:left="1040" w:right="1560"/>
        </w:sectPr>
      </w:pPr>
    </w:p>
    <w:p>
      <w:pPr>
        <w:pStyle w:val="BodyText"/>
        <w:spacing w:line="240" w:lineRule="auto" w:before="36"/>
        <w:ind w:left="236" w:right="0"/>
        <w:jc w:val="left"/>
        <w:rPr>
          <w:rFonts w:ascii="宋体" w:hAnsi="宋体" w:cs="宋体" w:eastAsia="宋体" w:hint="default"/>
        </w:rPr>
      </w:pPr>
      <w:r>
        <w:rPr/>
        <w:t>其他说明：</w:t>
      </w:r>
      <w:r>
        <w:rPr>
          <w:rFonts w:ascii="宋体" w:hAnsi="宋体" w:cs="宋体" w:eastAsia="宋体" w:hint="default"/>
        </w:rPr>
        <w:t> </w:t>
      </w:r>
    </w:p>
    <w:p>
      <w:pPr>
        <w:pStyle w:val="BodyText"/>
        <w:spacing w:line="240" w:lineRule="auto" w:before="37"/>
        <w:ind w:left="236" w:right="0"/>
        <w:jc w:val="left"/>
        <w:rPr>
          <w:rFonts w:ascii="宋体" w:hAnsi="宋体" w:cs="宋体" w:eastAsia="宋体" w:hint="default"/>
        </w:rPr>
      </w:pPr>
      <w:r>
        <w:rPr/>
        <w:t>□适用√不适用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left="236" w:right="0"/>
        <w:jc w:val="left"/>
        <w:rPr>
          <w:rFonts w:ascii="宋体" w:hAnsi="宋体" w:cs="宋体" w:eastAsia="宋体" w:hint="default"/>
        </w:rPr>
      </w:pPr>
      <w:r>
        <w:rPr>
          <w:rFonts w:ascii="宋体"/>
          <w:w w:val="100"/>
        </w:rPr>
        <w:t> </w:t>
      </w:r>
    </w:p>
    <w:p>
      <w:pPr>
        <w:pStyle w:val="BodyText"/>
        <w:spacing w:line="240" w:lineRule="auto" w:before="37"/>
        <w:ind w:left="236" w:right="0"/>
        <w:jc w:val="left"/>
        <w:rPr>
          <w:rFonts w:ascii="宋体" w:hAnsi="宋体" w:cs="宋体" w:eastAsia="宋体" w:hint="default"/>
        </w:rPr>
      </w:pPr>
      <w:r>
        <w:rPr>
          <w:rFonts w:ascii="宋体"/>
          <w:w w:val="100"/>
        </w:rPr>
        <w:t> </w:t>
      </w:r>
    </w:p>
    <w:p>
      <w:pPr>
        <w:pStyle w:val="Heading3"/>
        <w:spacing w:line="324" w:lineRule="auto"/>
        <w:ind w:left="236" w:right="0"/>
        <w:jc w:val="left"/>
        <w:rPr>
          <w:rFonts w:ascii="宋体" w:hAnsi="宋体" w:cs="宋体" w:eastAsia="宋体" w:hint="default"/>
          <w:b w:val="0"/>
          <w:bCs w:val="0"/>
        </w:rPr>
      </w:pPr>
      <w:r>
        <w:rPr>
          <w:rFonts w:ascii="宋体" w:hAnsi="宋体" w:cs="宋体" w:eastAsia="宋体" w:hint="default"/>
        </w:rPr>
        <w:t>7</w:t>
      </w:r>
      <w:r>
        <w:rPr/>
        <w:t>、</w:t>
      </w:r>
      <w:r>
        <w:rPr>
          <w:spacing w:val="-3"/>
        </w:rPr>
        <w:t> </w:t>
      </w:r>
      <w:r>
        <w:rPr/>
        <w:t>预付款项</w:t>
      </w:r>
      <w:r>
        <w:rPr>
          <w:w w:val="100"/>
        </w:rPr>
        <w:t> </w:t>
      </w:r>
      <w:r>
        <w:rPr>
          <w:rFonts w:ascii="宋体" w:hAnsi="宋体" w:cs="宋体" w:eastAsia="宋体" w:hint="default"/>
        </w:rPr>
        <w:t>(1).</w:t>
      </w:r>
      <w:r>
        <w:rPr/>
        <w:t>预付款项按账龄列示</w:t>
      </w:r>
      <w:r>
        <w:rPr>
          <w:rFonts w:ascii="宋体" w:hAnsi="宋体" w:cs="宋体" w:eastAsia="宋体" w:hint="default"/>
          <w:w w:val="99"/>
        </w:rPr>
        <w:t> </w:t>
      </w:r>
      <w:r>
        <w:rPr>
          <w:rFonts w:ascii="宋体" w:hAnsi="宋体" w:cs="宋体" w:eastAsia="宋体" w:hint="default"/>
          <w:b w:val="0"/>
          <w:bCs w:val="0"/>
        </w:rPr>
      </w:r>
    </w:p>
    <w:p>
      <w:pPr>
        <w:pStyle w:val="Heading2"/>
        <w:spacing w:line="310" w:lineRule="exact"/>
        <w:ind w:left="236" w:right="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3"/>
          <w:szCs w:val="23"/>
        </w:rPr>
      </w:pPr>
    </w:p>
    <w:p>
      <w:pPr>
        <w:pStyle w:val="BodyText"/>
        <w:spacing w:line="240" w:lineRule="auto"/>
        <w:ind w:left="236" w:right="0"/>
        <w:jc w:val="left"/>
        <w:rPr>
          <w:rFonts w:ascii="宋体" w:hAnsi="宋体" w:cs="宋体" w:eastAsia="宋体" w:hint="default"/>
        </w:rPr>
      </w:pPr>
      <w:r>
        <w:rPr/>
        <w:t>单位：元币种：人民币</w:t>
      </w:r>
      <w:r>
        <w:rPr>
          <w:rFonts w:ascii="宋体" w:hAnsi="宋体" w:cs="宋体" w:eastAsia="宋体" w:hint="default"/>
          <w:b/>
          <w:bCs/>
          <w:w w:val="99"/>
        </w:rPr>
        <w:t> </w:t>
      </w:r>
      <w:r>
        <w:rPr>
          <w:rFonts w:ascii="宋体" w:hAnsi="宋体" w:cs="宋体" w:eastAsia="宋体" w:hint="default"/>
        </w:rPr>
      </w:r>
    </w:p>
    <w:p>
      <w:pPr>
        <w:spacing w:after="0" w:line="240" w:lineRule="auto"/>
        <w:jc w:val="left"/>
        <w:rPr>
          <w:rFonts w:ascii="宋体" w:hAnsi="宋体" w:cs="宋体" w:eastAsia="宋体" w:hint="default"/>
        </w:rPr>
        <w:sectPr>
          <w:type w:val="continuous"/>
          <w:pgSz w:w="11910" w:h="16840"/>
          <w:pgMar w:top="1580" w:bottom="280" w:left="1040" w:right="1560"/>
          <w:cols w:num="2" w:equalWidth="0">
            <w:col w:w="2669" w:space="4064"/>
            <w:col w:w="2577"/>
          </w:cols>
        </w:sectPr>
      </w:pPr>
    </w:p>
    <w:p>
      <w:pPr>
        <w:spacing w:line="240" w:lineRule="auto" w:before="10"/>
        <w:rPr>
          <w:rFonts w:ascii="宋体" w:hAnsi="宋体" w:cs="宋体" w:eastAsia="宋体" w:hint="default"/>
          <w:b/>
          <w:bCs/>
          <w:sz w:val="3"/>
          <w:szCs w:val="3"/>
        </w:rPr>
      </w:pPr>
    </w:p>
    <w:tbl>
      <w:tblPr>
        <w:tblW w:w="0" w:type="auto"/>
        <w:jc w:val="left"/>
        <w:tblInd w:w="119" w:type="dxa"/>
        <w:tblLayout w:type="fixed"/>
        <w:tblCellMar>
          <w:top w:w="0" w:type="dxa"/>
          <w:left w:w="0" w:type="dxa"/>
          <w:bottom w:w="0" w:type="dxa"/>
          <w:right w:w="0" w:type="dxa"/>
        </w:tblCellMar>
        <w:tblLook w:val="01E0"/>
      </w:tblPr>
      <w:tblGrid>
        <w:gridCol w:w="1385"/>
        <w:gridCol w:w="1928"/>
        <w:gridCol w:w="1910"/>
        <w:gridCol w:w="1911"/>
        <w:gridCol w:w="1928"/>
      </w:tblGrid>
      <w:tr>
        <w:trPr>
          <w:trHeight w:val="322" w:hRule="exact"/>
        </w:trPr>
        <w:tc>
          <w:tcPr>
            <w:tcW w:w="1385" w:type="dxa"/>
            <w:vMerge w:val="restart"/>
            <w:tcBorders>
              <w:top w:val="single" w:sz="4" w:space="0" w:color="000000"/>
              <w:left w:val="single" w:sz="4" w:space="0" w:color="000000"/>
              <w:right w:val="single" w:sz="4" w:space="0" w:color="000000"/>
            </w:tcBorders>
          </w:tcPr>
          <w:p>
            <w:pPr>
              <w:pStyle w:val="TableParagraph"/>
              <w:spacing w:line="240" w:lineRule="auto" w:before="148"/>
              <w:ind w:left="475" w:right="0"/>
              <w:jc w:val="left"/>
              <w:rPr>
                <w:rFonts w:ascii="宋体" w:hAnsi="宋体" w:cs="宋体" w:eastAsia="宋体" w:hint="default"/>
                <w:sz w:val="21"/>
                <w:szCs w:val="21"/>
              </w:rPr>
            </w:pPr>
            <w:r>
              <w:rPr>
                <w:rFonts w:ascii="宋体" w:hAnsi="宋体" w:cs="宋体" w:eastAsia="宋体" w:hint="default"/>
                <w:sz w:val="21"/>
                <w:szCs w:val="21"/>
              </w:rPr>
              <w:t>账龄</w:t>
            </w:r>
            <w:r>
              <w:rPr>
                <w:rFonts w:ascii="宋体" w:hAnsi="宋体" w:cs="宋体" w:eastAsia="宋体" w:hint="default"/>
                <w:sz w:val="21"/>
                <w:szCs w:val="21"/>
              </w:rPr>
              <w:t> </w:t>
            </w:r>
          </w:p>
        </w:tc>
        <w:tc>
          <w:tcPr>
            <w:tcW w:w="3838"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99" w:right="0"/>
              <w:jc w:val="center"/>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3839"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98" w:right="0"/>
              <w:jc w:val="center"/>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322" w:hRule="exact"/>
        </w:trPr>
        <w:tc>
          <w:tcPr>
            <w:tcW w:w="1385" w:type="dxa"/>
            <w:vMerge/>
            <w:tcBorders>
              <w:left w:val="single" w:sz="4" w:space="0" w:color="000000"/>
              <w:bottom w:val="single" w:sz="4" w:space="0" w:color="000000"/>
              <w:right w:val="single" w:sz="4" w:space="0" w:color="000000"/>
            </w:tcBorders>
          </w:tcPr>
          <w:p>
            <w:pP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center"/>
              <w:rPr>
                <w:rFonts w:ascii="宋体" w:hAnsi="宋体" w:cs="宋体" w:eastAsia="宋体" w:hint="default"/>
                <w:sz w:val="21"/>
                <w:szCs w:val="21"/>
              </w:rPr>
            </w:pPr>
            <w:r>
              <w:rPr>
                <w:rFonts w:ascii="宋体" w:hAnsi="宋体" w:cs="宋体" w:eastAsia="宋体" w:hint="default"/>
                <w:sz w:val="21"/>
                <w:szCs w:val="21"/>
              </w:rPr>
              <w:t>金额</w:t>
            </w:r>
            <w:r>
              <w:rPr>
                <w:rFonts w:ascii="宋体" w:hAnsi="宋体" w:cs="宋体" w:eastAsia="宋体" w:hint="default"/>
                <w:sz w:val="21"/>
                <w:szCs w:val="21"/>
              </w:rPr>
              <w:t> </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80"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 </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98" w:right="0"/>
              <w:jc w:val="center"/>
              <w:rPr>
                <w:rFonts w:ascii="宋体" w:hAnsi="宋体" w:cs="宋体" w:eastAsia="宋体" w:hint="default"/>
                <w:sz w:val="21"/>
                <w:szCs w:val="21"/>
              </w:rPr>
            </w:pPr>
            <w:r>
              <w:rPr>
                <w:rFonts w:ascii="宋体" w:hAnsi="宋体" w:cs="宋体" w:eastAsia="宋体" w:hint="default"/>
                <w:sz w:val="21"/>
                <w:szCs w:val="21"/>
              </w:rPr>
              <w:t>金额</w:t>
            </w:r>
            <w:r>
              <w:rPr>
                <w:rFonts w:ascii="宋体" w:hAnsi="宋体" w:cs="宋体" w:eastAsia="宋体" w:hint="default"/>
                <w:sz w:val="21"/>
                <w:szCs w:val="21"/>
              </w:rPr>
              <w:t> </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87"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 </w:t>
            </w:r>
          </w:p>
        </w:tc>
      </w:tr>
      <w:tr>
        <w:trPr>
          <w:trHeight w:val="322"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72"/>
              <w:jc w:val="righ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年以内</w:t>
            </w:r>
            <w:r>
              <w:rPr>
                <w:rFonts w:ascii="宋体" w:hAnsi="宋体" w:cs="宋体" w:eastAsia="宋体" w:hint="default"/>
                <w:sz w:val="21"/>
                <w:szCs w:val="21"/>
              </w:rPr>
              <w:t> </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right"/>
              <w:rPr>
                <w:rFonts w:ascii="宋体" w:hAnsi="宋体" w:cs="宋体" w:eastAsia="宋体" w:hint="default"/>
                <w:sz w:val="21"/>
                <w:szCs w:val="21"/>
              </w:rPr>
            </w:pPr>
            <w:r>
              <w:rPr>
                <w:rFonts w:ascii="宋体"/>
                <w:spacing w:val="-1"/>
                <w:sz w:val="21"/>
              </w:rPr>
              <w:t>142,899,657.87</w:t>
            </w:r>
            <w:r>
              <w:rPr>
                <w:rFonts w:ascii="宋体"/>
                <w:sz w:val="21"/>
              </w:rPr>
              <w:t> </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right"/>
              <w:rPr>
                <w:rFonts w:ascii="宋体" w:hAnsi="宋体" w:cs="宋体" w:eastAsia="宋体" w:hint="default"/>
                <w:sz w:val="21"/>
                <w:szCs w:val="21"/>
              </w:rPr>
            </w:pPr>
            <w:r>
              <w:rPr>
                <w:rFonts w:ascii="宋体"/>
                <w:spacing w:val="-1"/>
                <w:sz w:val="21"/>
              </w:rPr>
              <w:t>93.62</w:t>
            </w:r>
            <w:r>
              <w:rPr>
                <w:rFonts w:ascii="宋体"/>
                <w:sz w:val="21"/>
              </w:rPr>
              <w:t> </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right"/>
              <w:rPr>
                <w:rFonts w:ascii="宋体" w:hAnsi="宋体" w:cs="宋体" w:eastAsia="宋体" w:hint="default"/>
                <w:sz w:val="21"/>
                <w:szCs w:val="21"/>
              </w:rPr>
            </w:pPr>
            <w:r>
              <w:rPr>
                <w:rFonts w:ascii="宋体"/>
                <w:spacing w:val="-1"/>
                <w:sz w:val="21"/>
              </w:rPr>
              <w:t>105,571,768.53</w:t>
            </w:r>
            <w:r>
              <w:rPr>
                <w:rFonts w:ascii="宋体"/>
                <w:sz w:val="21"/>
              </w:rPr>
              <w:t> </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7"/>
              <w:jc w:val="right"/>
              <w:rPr>
                <w:rFonts w:ascii="宋体" w:hAnsi="宋体" w:cs="宋体" w:eastAsia="宋体" w:hint="default"/>
                <w:sz w:val="21"/>
                <w:szCs w:val="21"/>
              </w:rPr>
            </w:pPr>
            <w:r>
              <w:rPr>
                <w:rFonts w:ascii="宋体"/>
                <w:spacing w:val="-1"/>
                <w:sz w:val="21"/>
              </w:rPr>
              <w:t>97.43</w:t>
            </w:r>
            <w:r>
              <w:rPr>
                <w:rFonts w:ascii="宋体"/>
                <w:sz w:val="21"/>
              </w:rPr>
              <w:t> </w:t>
            </w:r>
          </w:p>
        </w:tc>
      </w:tr>
      <w:tr>
        <w:trPr>
          <w:trHeight w:val="325"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72"/>
              <w:jc w:val="righ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5"/>
              <w:jc w:val="right"/>
              <w:rPr>
                <w:rFonts w:ascii="宋体" w:hAnsi="宋体" w:cs="宋体" w:eastAsia="宋体" w:hint="default"/>
                <w:sz w:val="21"/>
                <w:szCs w:val="21"/>
              </w:rPr>
            </w:pPr>
            <w:r>
              <w:rPr>
                <w:rFonts w:ascii="宋体"/>
                <w:spacing w:val="-1"/>
                <w:sz w:val="21"/>
              </w:rPr>
              <w:t>7,876,549.83</w:t>
            </w:r>
            <w:r>
              <w:rPr>
                <w:rFonts w:ascii="宋体"/>
                <w:sz w:val="21"/>
              </w:rPr>
              <w:t> </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5"/>
              <w:jc w:val="right"/>
              <w:rPr>
                <w:rFonts w:ascii="宋体" w:hAnsi="宋体" w:cs="宋体" w:eastAsia="宋体" w:hint="default"/>
                <w:sz w:val="21"/>
                <w:szCs w:val="21"/>
              </w:rPr>
            </w:pPr>
            <w:r>
              <w:rPr>
                <w:rFonts w:ascii="宋体"/>
                <w:spacing w:val="-1"/>
                <w:sz w:val="21"/>
              </w:rPr>
              <w:t>5.16</w:t>
            </w:r>
            <w:r>
              <w:rPr>
                <w:rFonts w:ascii="宋体"/>
                <w:sz w:val="21"/>
              </w:rPr>
              <w:t> </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5"/>
              <w:jc w:val="right"/>
              <w:rPr>
                <w:rFonts w:ascii="宋体" w:hAnsi="宋体" w:cs="宋体" w:eastAsia="宋体" w:hint="default"/>
                <w:sz w:val="21"/>
                <w:szCs w:val="21"/>
              </w:rPr>
            </w:pPr>
            <w:r>
              <w:rPr>
                <w:rFonts w:ascii="宋体"/>
                <w:spacing w:val="-1"/>
                <w:sz w:val="21"/>
              </w:rPr>
              <w:t>1,511,504.46</w:t>
            </w:r>
            <w:r>
              <w:rPr>
                <w:rFonts w:ascii="宋体"/>
                <w:sz w:val="21"/>
              </w:rPr>
              <w:t> </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7"/>
              <w:jc w:val="right"/>
              <w:rPr>
                <w:rFonts w:ascii="宋体" w:hAnsi="宋体" w:cs="宋体" w:eastAsia="宋体" w:hint="default"/>
                <w:sz w:val="21"/>
                <w:szCs w:val="21"/>
              </w:rPr>
            </w:pPr>
            <w:r>
              <w:rPr>
                <w:rFonts w:ascii="宋体"/>
                <w:spacing w:val="-1"/>
                <w:sz w:val="21"/>
              </w:rPr>
              <w:t>1.39</w:t>
            </w:r>
            <w:r>
              <w:rPr>
                <w:rFonts w:ascii="宋体"/>
                <w:sz w:val="21"/>
              </w:rPr>
              <w:t> </w:t>
            </w:r>
          </w:p>
        </w:tc>
      </w:tr>
      <w:tr>
        <w:trPr>
          <w:trHeight w:val="322"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72"/>
              <w:jc w:val="righ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right"/>
              <w:rPr>
                <w:rFonts w:ascii="宋体" w:hAnsi="宋体" w:cs="宋体" w:eastAsia="宋体" w:hint="default"/>
                <w:sz w:val="21"/>
                <w:szCs w:val="21"/>
              </w:rPr>
            </w:pPr>
            <w:r>
              <w:rPr>
                <w:rFonts w:ascii="宋体"/>
                <w:spacing w:val="-1"/>
                <w:sz w:val="21"/>
              </w:rPr>
              <w:t>1,043,785.12</w:t>
            </w:r>
            <w:r>
              <w:rPr>
                <w:rFonts w:ascii="宋体"/>
                <w:sz w:val="21"/>
              </w:rPr>
              <w:t> </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right"/>
              <w:rPr>
                <w:rFonts w:ascii="宋体" w:hAnsi="宋体" w:cs="宋体" w:eastAsia="宋体" w:hint="default"/>
                <w:sz w:val="21"/>
                <w:szCs w:val="21"/>
              </w:rPr>
            </w:pPr>
            <w:r>
              <w:rPr>
                <w:rFonts w:ascii="宋体"/>
                <w:spacing w:val="-1"/>
                <w:sz w:val="21"/>
              </w:rPr>
              <w:t>0.68</w:t>
            </w:r>
            <w:r>
              <w:rPr>
                <w:rFonts w:ascii="宋体"/>
                <w:sz w:val="21"/>
              </w:rPr>
              <w:t> </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right"/>
              <w:rPr>
                <w:rFonts w:ascii="宋体" w:hAnsi="宋体" w:cs="宋体" w:eastAsia="宋体" w:hint="default"/>
                <w:sz w:val="21"/>
                <w:szCs w:val="21"/>
              </w:rPr>
            </w:pPr>
            <w:r>
              <w:rPr>
                <w:rFonts w:ascii="宋体"/>
                <w:spacing w:val="-1"/>
                <w:sz w:val="21"/>
              </w:rPr>
              <w:t>640,449.01</w:t>
            </w:r>
            <w:r>
              <w:rPr>
                <w:rFonts w:ascii="宋体"/>
                <w:sz w:val="21"/>
              </w:rPr>
              <w:t> </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7"/>
              <w:jc w:val="right"/>
              <w:rPr>
                <w:rFonts w:ascii="宋体" w:hAnsi="宋体" w:cs="宋体" w:eastAsia="宋体" w:hint="default"/>
                <w:sz w:val="21"/>
                <w:szCs w:val="21"/>
              </w:rPr>
            </w:pPr>
            <w:r>
              <w:rPr>
                <w:rFonts w:ascii="宋体"/>
                <w:spacing w:val="-1"/>
                <w:sz w:val="21"/>
              </w:rPr>
              <w:t>0.59</w:t>
            </w:r>
            <w:r>
              <w:rPr>
                <w:rFonts w:ascii="宋体"/>
                <w:sz w:val="21"/>
              </w:rPr>
              <w:t> </w:t>
            </w:r>
          </w:p>
        </w:tc>
      </w:tr>
      <w:tr>
        <w:trPr>
          <w:trHeight w:val="322"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72"/>
              <w:jc w:val="righ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年以上</w:t>
            </w:r>
            <w:r>
              <w:rPr>
                <w:rFonts w:ascii="宋体" w:hAnsi="宋体" w:cs="宋体" w:eastAsia="宋体" w:hint="default"/>
                <w:sz w:val="21"/>
                <w:szCs w:val="21"/>
              </w:rPr>
              <w:t> </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right"/>
              <w:rPr>
                <w:rFonts w:ascii="宋体" w:hAnsi="宋体" w:cs="宋体" w:eastAsia="宋体" w:hint="default"/>
                <w:sz w:val="21"/>
                <w:szCs w:val="21"/>
              </w:rPr>
            </w:pPr>
            <w:r>
              <w:rPr>
                <w:rFonts w:ascii="宋体"/>
                <w:spacing w:val="-1"/>
                <w:sz w:val="21"/>
              </w:rPr>
              <w:t>805,276.42</w:t>
            </w:r>
            <w:r>
              <w:rPr>
                <w:rFonts w:ascii="宋体"/>
                <w:sz w:val="21"/>
              </w:rPr>
              <w:t> </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right"/>
              <w:rPr>
                <w:rFonts w:ascii="宋体" w:hAnsi="宋体" w:cs="宋体" w:eastAsia="宋体" w:hint="default"/>
                <w:sz w:val="21"/>
                <w:szCs w:val="21"/>
              </w:rPr>
            </w:pPr>
            <w:r>
              <w:rPr>
                <w:rFonts w:ascii="宋体"/>
                <w:spacing w:val="-1"/>
                <w:sz w:val="21"/>
              </w:rPr>
              <w:t>0.53</w:t>
            </w:r>
            <w:r>
              <w:rPr>
                <w:rFonts w:ascii="宋体"/>
                <w:sz w:val="21"/>
              </w:rPr>
              <w:t> </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right"/>
              <w:rPr>
                <w:rFonts w:ascii="宋体" w:hAnsi="宋体" w:cs="宋体" w:eastAsia="宋体" w:hint="default"/>
                <w:sz w:val="21"/>
                <w:szCs w:val="21"/>
              </w:rPr>
            </w:pPr>
            <w:r>
              <w:rPr>
                <w:rFonts w:ascii="宋体"/>
                <w:spacing w:val="-1"/>
                <w:sz w:val="21"/>
              </w:rPr>
              <w:t>640,266.14</w:t>
            </w:r>
            <w:r>
              <w:rPr>
                <w:rFonts w:ascii="宋体"/>
                <w:sz w:val="21"/>
              </w:rPr>
              <w:t> </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7"/>
              <w:jc w:val="right"/>
              <w:rPr>
                <w:rFonts w:ascii="宋体" w:hAnsi="宋体" w:cs="宋体" w:eastAsia="宋体" w:hint="default"/>
                <w:sz w:val="21"/>
                <w:szCs w:val="21"/>
              </w:rPr>
            </w:pPr>
            <w:r>
              <w:rPr>
                <w:rFonts w:ascii="宋体"/>
                <w:spacing w:val="-1"/>
                <w:sz w:val="21"/>
              </w:rPr>
              <w:t>0.59</w:t>
            </w:r>
            <w:r>
              <w:rPr>
                <w:rFonts w:ascii="宋体"/>
                <w:sz w:val="21"/>
              </w:rPr>
              <w:t> </w:t>
            </w:r>
          </w:p>
        </w:tc>
      </w:tr>
      <w:tr>
        <w:trPr>
          <w:trHeight w:val="322"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72"/>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right"/>
              <w:rPr>
                <w:rFonts w:ascii="宋体" w:hAnsi="宋体" w:cs="宋体" w:eastAsia="宋体" w:hint="default"/>
                <w:sz w:val="21"/>
                <w:szCs w:val="21"/>
              </w:rPr>
            </w:pPr>
            <w:r>
              <w:rPr>
                <w:rFonts w:ascii="宋体"/>
                <w:spacing w:val="-1"/>
                <w:sz w:val="21"/>
              </w:rPr>
              <w:t>152,625,269.24</w:t>
            </w:r>
            <w:r>
              <w:rPr>
                <w:rFonts w:ascii="宋体"/>
                <w:sz w:val="21"/>
              </w:rPr>
              <w:t> </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right"/>
              <w:rPr>
                <w:rFonts w:ascii="宋体" w:hAnsi="宋体" w:cs="宋体" w:eastAsia="宋体" w:hint="default"/>
                <w:sz w:val="21"/>
                <w:szCs w:val="21"/>
              </w:rPr>
            </w:pPr>
            <w:r>
              <w:rPr>
                <w:rFonts w:ascii="宋体"/>
                <w:spacing w:val="-1"/>
                <w:sz w:val="21"/>
              </w:rPr>
              <w:t>99.99</w:t>
            </w:r>
            <w:r>
              <w:rPr>
                <w:rFonts w:ascii="宋体"/>
                <w:sz w:val="21"/>
              </w:rPr>
              <w:t> </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right"/>
              <w:rPr>
                <w:rFonts w:ascii="宋体" w:hAnsi="宋体" w:cs="宋体" w:eastAsia="宋体" w:hint="default"/>
                <w:sz w:val="21"/>
                <w:szCs w:val="21"/>
              </w:rPr>
            </w:pPr>
            <w:r>
              <w:rPr>
                <w:rFonts w:ascii="宋体"/>
                <w:spacing w:val="-1"/>
                <w:sz w:val="21"/>
              </w:rPr>
              <w:t>108,363,988.14</w:t>
            </w:r>
            <w:r>
              <w:rPr>
                <w:rFonts w:ascii="宋体"/>
                <w:sz w:val="21"/>
              </w:rPr>
              <w:t> </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7"/>
              <w:jc w:val="right"/>
              <w:rPr>
                <w:rFonts w:ascii="宋体" w:hAnsi="宋体" w:cs="宋体" w:eastAsia="宋体" w:hint="default"/>
                <w:sz w:val="21"/>
                <w:szCs w:val="21"/>
              </w:rPr>
            </w:pPr>
            <w:r>
              <w:rPr>
                <w:rFonts w:ascii="宋体"/>
                <w:spacing w:val="-1"/>
                <w:sz w:val="21"/>
              </w:rPr>
              <w:t>100.00</w:t>
            </w:r>
            <w:r>
              <w:rPr>
                <w:rFonts w:ascii="宋体"/>
                <w:sz w:val="21"/>
              </w:rPr>
              <w:t> </w:t>
            </w:r>
          </w:p>
        </w:tc>
      </w:tr>
    </w:tbl>
    <w:p>
      <w:pPr>
        <w:pStyle w:val="Heading2"/>
        <w:spacing w:line="274" w:lineRule="exact"/>
        <w:ind w:left="236" w:right="0"/>
        <w:jc w:val="left"/>
        <w:rPr>
          <w:rFonts w:ascii="宋体" w:hAnsi="宋体" w:cs="宋体" w:eastAsia="宋体" w:hint="default"/>
        </w:rPr>
      </w:pPr>
      <w:r>
        <w:rPr>
          <w:rFonts w:ascii="宋体"/>
        </w:rPr>
        <w:t> </w:t>
      </w:r>
    </w:p>
    <w:p>
      <w:pPr>
        <w:pStyle w:val="Heading3"/>
        <w:spacing w:line="240" w:lineRule="auto" w:before="85"/>
        <w:ind w:left="236" w:right="28"/>
        <w:jc w:val="left"/>
        <w:rPr>
          <w:rFonts w:ascii="宋体" w:hAnsi="宋体" w:cs="宋体" w:eastAsia="宋体" w:hint="default"/>
          <w:b w:val="0"/>
          <w:bCs w:val="0"/>
        </w:rPr>
      </w:pPr>
      <w:r>
        <w:rPr>
          <w:rFonts w:ascii="宋体" w:hAnsi="宋体" w:cs="宋体" w:eastAsia="宋体" w:hint="default"/>
        </w:rPr>
        <w:t>(2).</w:t>
      </w:r>
      <w:r>
        <w:rPr/>
        <w:t>按预付对象归集的期末余额前五名的预付款情况</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75"/>
        <w:ind w:left="236" w:right="28"/>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236" w:right="0"/>
        <w:jc w:val="left"/>
        <w:rPr>
          <w:rFonts w:ascii="宋体" w:hAnsi="宋体" w:cs="宋体" w:eastAsia="宋体" w:hint="default"/>
        </w:rPr>
      </w:pPr>
      <w:r>
        <w:rPr/>
        <w:pict>
          <v:group style="position:absolute;margin-left:78.863998pt;margin-top:35.033531pt;width:411.7pt;height:5.55pt;mso-position-horizontal-relative:page;mso-position-vertical-relative:paragraph;z-index:-1318096" coordorigin="1577,701" coordsize="8234,111">
            <v:shape style="position:absolute;left:1577;top:701;width:3735;height:110" type="#_x0000_t75" stroked="false">
              <v:imagedata r:id="rId165" o:title=""/>
            </v:shape>
            <v:shape style="position:absolute;left:5288;top:797;width:2271;height:14" type="#_x0000_t75" stroked="false">
              <v:imagedata r:id="rId166" o:title=""/>
            </v:shape>
            <v:shape style="position:absolute;left:7545;top:801;width:2266;height:10" type="#_x0000_t75" stroked="false">
              <v:imagedata r:id="rId167" o:title=""/>
            </v:shape>
            <w10:wrap type="none"/>
          </v:group>
        </w:pict>
      </w:r>
      <w:r>
        <w:rPr/>
        <w:pict>
          <v:group style="position:absolute;margin-left:78.863998pt;margin-top:52.313572pt;width:411.7pt;height:.5pt;mso-position-horizontal-relative:page;mso-position-vertical-relative:paragraph;z-index:-1318072" coordorigin="1577,1046" coordsize="8234,10">
            <v:shape style="position:absolute;left:1577;top:1046;width:3716;height:10" type="#_x0000_t75" stroked="false">
              <v:imagedata r:id="rId168" o:title=""/>
            </v:shape>
            <v:shape style="position:absolute;left:5288;top:1046;width:4523;height:10" type="#_x0000_t75" stroked="false">
              <v:imagedata r:id="rId169" o:title=""/>
            </v:shape>
            <w10:wrap type="none"/>
          </v:group>
        </w:pict>
      </w:r>
      <w:r>
        <w:rPr/>
        <w:pict>
          <v:group style="position:absolute;margin-left:78.863998pt;margin-top:59.513561pt;width:411.7pt;height:5.4pt;mso-position-horizontal-relative:page;mso-position-vertical-relative:paragraph;z-index:-1318048" coordorigin="1577,1190" coordsize="8234,108">
            <v:shape style="position:absolute;left:1577;top:1190;width:3735;height:108" type="#_x0000_t75" stroked="false">
              <v:imagedata r:id="rId170" o:title=""/>
            </v:shape>
            <v:shape style="position:absolute;left:5288;top:1286;width:2271;height:12" type="#_x0000_t75" stroked="false">
              <v:imagedata r:id="rId171" o:title=""/>
            </v:shape>
            <v:shape style="position:absolute;left:7545;top:1289;width:2266;height:10" type="#_x0000_t75" stroked="false">
              <v:imagedata r:id="rId167" o:title=""/>
            </v:shape>
            <w10:wrap type="none"/>
          </v:group>
        </w:pict>
      </w:r>
      <w:r>
        <w:rPr>
          <w:rFonts w:ascii="宋体"/>
          <w:w w:val="100"/>
        </w:rPr>
        <w:t> </w:t>
      </w:r>
    </w:p>
    <w:p>
      <w:pPr>
        <w:spacing w:line="240" w:lineRule="auto" w:before="4"/>
        <w:rPr>
          <w:rFonts w:ascii="宋体" w:hAnsi="宋体" w:cs="宋体" w:eastAsia="宋体" w:hint="default"/>
          <w:sz w:val="2"/>
          <w:szCs w:val="2"/>
        </w:rPr>
      </w:pPr>
    </w:p>
    <w:tbl>
      <w:tblPr>
        <w:tblW w:w="0" w:type="auto"/>
        <w:jc w:val="left"/>
        <w:tblInd w:w="522" w:type="dxa"/>
        <w:tblLayout w:type="fixed"/>
        <w:tblCellMar>
          <w:top w:w="0" w:type="dxa"/>
          <w:left w:w="0" w:type="dxa"/>
          <w:bottom w:w="0" w:type="dxa"/>
          <w:right w:w="0" w:type="dxa"/>
        </w:tblCellMar>
        <w:tblLook w:val="01E0"/>
      </w:tblPr>
      <w:tblGrid>
        <w:gridCol w:w="3735"/>
        <w:gridCol w:w="2256"/>
        <w:gridCol w:w="2256"/>
      </w:tblGrid>
      <w:tr>
        <w:trPr>
          <w:trHeight w:val="382" w:hRule="exact"/>
        </w:trPr>
        <w:tc>
          <w:tcPr>
            <w:tcW w:w="3735" w:type="dxa"/>
            <w:tcBorders>
              <w:top w:val="single" w:sz="12" w:space="0" w:color="000000"/>
              <w:left w:val="nil" w:sz="6" w:space="0" w:color="auto"/>
              <w:bottom w:val="nil" w:sz="6" w:space="0" w:color="auto"/>
              <w:right w:val="single" w:sz="4" w:space="0" w:color="000000"/>
            </w:tcBorders>
          </w:tcPr>
          <w:p>
            <w:pPr>
              <w:pStyle w:val="TableParagraph"/>
              <w:spacing w:line="240" w:lineRule="auto" w:before="87"/>
              <w:ind w:left="13" w:right="0"/>
              <w:jc w:val="center"/>
              <w:rPr>
                <w:rFonts w:ascii="宋体" w:hAnsi="宋体" w:cs="宋体" w:eastAsia="宋体" w:hint="default"/>
                <w:sz w:val="18"/>
                <w:szCs w:val="18"/>
              </w:rPr>
            </w:pPr>
            <w:r>
              <w:rPr>
                <w:rFonts w:ascii="宋体" w:hAnsi="宋体" w:cs="宋体" w:eastAsia="宋体" w:hint="default"/>
                <w:sz w:val="18"/>
                <w:szCs w:val="18"/>
              </w:rPr>
              <w:t>预付对象</w:t>
            </w:r>
          </w:p>
        </w:tc>
        <w:tc>
          <w:tcPr>
            <w:tcW w:w="2256"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87"/>
              <w:ind w:right="3"/>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256" w:type="dxa"/>
            <w:vMerge w:val="restart"/>
            <w:tcBorders>
              <w:top w:val="single" w:sz="12" w:space="0" w:color="000000"/>
              <w:left w:val="single" w:sz="4" w:space="0" w:color="000000"/>
              <w:right w:val="nil" w:sz="6" w:space="0" w:color="auto"/>
            </w:tcBorders>
          </w:tcPr>
          <w:p>
            <w:pPr>
              <w:pStyle w:val="TableParagraph"/>
              <w:spacing w:line="206" w:lineRule="exact"/>
              <w:ind w:right="10"/>
              <w:jc w:val="center"/>
              <w:rPr>
                <w:rFonts w:ascii="宋体" w:hAnsi="宋体" w:cs="宋体" w:eastAsia="宋体" w:hint="default"/>
                <w:sz w:val="18"/>
                <w:szCs w:val="18"/>
              </w:rPr>
            </w:pPr>
            <w:r>
              <w:rPr>
                <w:rFonts w:ascii="宋体" w:hAnsi="宋体" w:cs="宋体" w:eastAsia="宋体" w:hint="default"/>
                <w:sz w:val="18"/>
                <w:szCs w:val="18"/>
              </w:rPr>
              <w:t>占预付款项期末余额合计</w:t>
            </w:r>
          </w:p>
          <w:p>
            <w:pPr>
              <w:pStyle w:val="TableParagraph"/>
              <w:spacing w:line="248" w:lineRule="exact"/>
              <w:ind w:right="8"/>
              <w:jc w:val="center"/>
              <w:rPr>
                <w:rFonts w:ascii="Times New Roman" w:hAnsi="Times New Roman" w:cs="Times New Roman" w:eastAsia="Times New Roman" w:hint="default"/>
                <w:sz w:val="18"/>
                <w:szCs w:val="18"/>
              </w:rPr>
            </w:pPr>
            <w:r>
              <w:rPr>
                <w:rFonts w:ascii="宋体" w:hAnsi="宋体" w:cs="宋体" w:eastAsia="宋体" w:hint="default"/>
                <w:sz w:val="18"/>
                <w:szCs w:val="18"/>
              </w:rPr>
              <w:t>数的比例</w:t>
            </w:r>
            <w:r>
              <w:rPr>
                <w:rFonts w:ascii="Times New Roman" w:hAnsi="Times New Roman" w:cs="Times New Roman" w:eastAsia="Times New Roman" w:hint="default"/>
                <w:sz w:val="18"/>
                <w:szCs w:val="18"/>
              </w:rPr>
              <w:t>(%)</w:t>
            </w:r>
          </w:p>
        </w:tc>
      </w:tr>
      <w:tr>
        <w:trPr>
          <w:trHeight w:val="83" w:hRule="exact"/>
        </w:trPr>
        <w:tc>
          <w:tcPr>
            <w:tcW w:w="3735" w:type="dxa"/>
            <w:tcBorders>
              <w:top w:val="nil" w:sz="6" w:space="0" w:color="auto"/>
              <w:left w:val="nil" w:sz="6" w:space="0" w:color="auto"/>
              <w:bottom w:val="nil" w:sz="6" w:space="0" w:color="auto"/>
              <w:right w:val="nil" w:sz="6" w:space="0" w:color="auto"/>
            </w:tcBorders>
          </w:tcPr>
          <w:p>
            <w:pPr/>
          </w:p>
        </w:tc>
        <w:tc>
          <w:tcPr>
            <w:tcW w:w="2256" w:type="dxa"/>
            <w:tcBorders>
              <w:top w:val="nil" w:sz="6" w:space="0" w:color="auto"/>
              <w:left w:val="nil" w:sz="6" w:space="0" w:color="auto"/>
              <w:bottom w:val="nil" w:sz="6" w:space="0" w:color="auto"/>
              <w:right w:val="single" w:sz="4" w:space="0" w:color="000000"/>
            </w:tcBorders>
          </w:tcPr>
          <w:p>
            <w:pPr/>
          </w:p>
        </w:tc>
        <w:tc>
          <w:tcPr>
            <w:tcW w:w="2256" w:type="dxa"/>
            <w:vMerge/>
            <w:tcBorders>
              <w:left w:val="single" w:sz="4" w:space="0" w:color="000000"/>
              <w:right w:val="nil" w:sz="6" w:space="0" w:color="auto"/>
            </w:tcBorders>
          </w:tcPr>
          <w:p>
            <w:pPr/>
          </w:p>
        </w:tc>
      </w:tr>
      <w:tr>
        <w:trPr>
          <w:trHeight w:val="27" w:hRule="exact"/>
        </w:trPr>
        <w:tc>
          <w:tcPr>
            <w:tcW w:w="3735" w:type="dxa"/>
            <w:tcBorders>
              <w:top w:val="nil" w:sz="6" w:space="0" w:color="auto"/>
              <w:left w:val="nil" w:sz="6" w:space="0" w:color="auto"/>
              <w:bottom w:val="nil" w:sz="6" w:space="0" w:color="auto"/>
              <w:right w:val="nil" w:sz="6" w:space="0" w:color="auto"/>
            </w:tcBorders>
          </w:tcPr>
          <w:p>
            <w:pPr/>
          </w:p>
        </w:tc>
        <w:tc>
          <w:tcPr>
            <w:tcW w:w="2256" w:type="dxa"/>
            <w:tcBorders>
              <w:top w:val="nil" w:sz="6" w:space="0" w:color="auto"/>
              <w:left w:val="nil" w:sz="6" w:space="0" w:color="auto"/>
              <w:bottom w:val="nil" w:sz="6" w:space="0" w:color="auto"/>
              <w:right w:val="nil" w:sz="6" w:space="0" w:color="auto"/>
            </w:tcBorders>
          </w:tcPr>
          <w:p>
            <w:pPr/>
          </w:p>
        </w:tc>
        <w:tc>
          <w:tcPr>
            <w:tcW w:w="2256" w:type="dxa"/>
            <w:vMerge/>
            <w:tcBorders>
              <w:left w:val="single" w:sz="4" w:space="0" w:color="000000"/>
              <w:bottom w:val="nil" w:sz="6" w:space="0" w:color="auto"/>
              <w:right w:val="nil" w:sz="6" w:space="0" w:color="auto"/>
            </w:tcBorders>
          </w:tcPr>
          <w:p>
            <w:pPr/>
          </w:p>
        </w:tc>
      </w:tr>
      <w:tr>
        <w:trPr>
          <w:trHeight w:val="241" w:hRule="exact"/>
        </w:trPr>
        <w:tc>
          <w:tcPr>
            <w:tcW w:w="3735" w:type="dxa"/>
            <w:tcBorders>
              <w:top w:val="nil" w:sz="6" w:space="0" w:color="auto"/>
              <w:left w:val="nil" w:sz="6" w:space="0" w:color="auto"/>
              <w:bottom w:val="nil" w:sz="6" w:space="0" w:color="auto"/>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北京智芯微电子科技有限公司</w:t>
            </w:r>
          </w:p>
        </w:tc>
        <w:tc>
          <w:tcPr>
            <w:tcW w:w="2256"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104"/>
              <w:jc w:val="right"/>
              <w:rPr>
                <w:rFonts w:ascii="Times New Roman" w:hAnsi="Times New Roman" w:cs="Times New Roman" w:eastAsia="Times New Roman" w:hint="default"/>
                <w:sz w:val="18"/>
                <w:szCs w:val="18"/>
              </w:rPr>
            </w:pPr>
            <w:r>
              <w:rPr>
                <w:rFonts w:ascii="Times New Roman"/>
                <w:spacing w:val="-1"/>
                <w:sz w:val="18"/>
              </w:rPr>
              <w:t>68,199,554.78</w:t>
            </w:r>
          </w:p>
        </w:tc>
        <w:tc>
          <w:tcPr>
            <w:tcW w:w="2256" w:type="dxa"/>
            <w:tcBorders>
              <w:top w:val="nil" w:sz="6" w:space="0" w:color="auto"/>
              <w:left w:val="single" w:sz="4" w:space="0" w:color="000000"/>
              <w:bottom w:val="nil" w:sz="6" w:space="0" w:color="auto"/>
              <w:right w:val="nil" w:sz="6" w:space="0" w:color="auto"/>
            </w:tcBorders>
          </w:tcPr>
          <w:p>
            <w:pPr>
              <w:pStyle w:val="TableParagraph"/>
              <w:spacing w:line="240" w:lineRule="auto" w:before="9"/>
              <w:ind w:right="107"/>
              <w:jc w:val="right"/>
              <w:rPr>
                <w:rFonts w:ascii="Times New Roman" w:hAnsi="Times New Roman" w:cs="Times New Roman" w:eastAsia="Times New Roman" w:hint="default"/>
                <w:sz w:val="18"/>
                <w:szCs w:val="18"/>
              </w:rPr>
            </w:pPr>
            <w:r>
              <w:rPr>
                <w:rFonts w:ascii="Times New Roman"/>
                <w:sz w:val="18"/>
              </w:rPr>
              <w:t>44.68</w:t>
            </w:r>
          </w:p>
        </w:tc>
      </w:tr>
      <w:tr>
        <w:trPr>
          <w:trHeight w:val="271" w:hRule="exact"/>
        </w:trPr>
        <w:tc>
          <w:tcPr>
            <w:tcW w:w="3735" w:type="dxa"/>
            <w:tcBorders>
              <w:top w:val="nil" w:sz="6" w:space="0" w:color="auto"/>
              <w:left w:val="nil" w:sz="6" w:space="0" w:color="auto"/>
              <w:bottom w:val="nil" w:sz="6" w:space="0" w:color="auto"/>
              <w:right w:val="single" w:sz="4" w:space="0" w:color="000000"/>
            </w:tcBorders>
          </w:tcPr>
          <w:p>
            <w:pPr>
              <w:pStyle w:val="TableParagraph"/>
              <w:spacing w:line="209" w:lineRule="exact"/>
              <w:ind w:left="122" w:right="0"/>
              <w:jc w:val="left"/>
              <w:rPr>
                <w:rFonts w:ascii="宋体" w:hAnsi="宋体" w:cs="宋体" w:eastAsia="宋体" w:hint="default"/>
                <w:sz w:val="18"/>
                <w:szCs w:val="18"/>
              </w:rPr>
            </w:pPr>
            <w:r>
              <w:rPr>
                <w:rFonts w:ascii="宋体" w:hAnsi="宋体" w:cs="宋体" w:eastAsia="宋体" w:hint="default"/>
                <w:sz w:val="18"/>
                <w:szCs w:val="18"/>
              </w:rPr>
              <w:t>深圳市国电科技通信有限公司</w:t>
            </w:r>
          </w:p>
        </w:tc>
        <w:tc>
          <w:tcPr>
            <w:tcW w:w="225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04"/>
              <w:jc w:val="right"/>
              <w:rPr>
                <w:rFonts w:ascii="Times New Roman" w:hAnsi="Times New Roman" w:cs="Times New Roman" w:eastAsia="Times New Roman" w:hint="default"/>
                <w:sz w:val="18"/>
                <w:szCs w:val="18"/>
              </w:rPr>
            </w:pPr>
            <w:r>
              <w:rPr>
                <w:rFonts w:ascii="Times New Roman"/>
                <w:spacing w:val="-1"/>
                <w:sz w:val="18"/>
              </w:rPr>
              <w:t>29,884,870.11</w:t>
            </w:r>
          </w:p>
        </w:tc>
        <w:tc>
          <w:tcPr>
            <w:tcW w:w="2256" w:type="dxa"/>
            <w:tcBorders>
              <w:top w:val="nil" w:sz="6" w:space="0" w:color="auto"/>
              <w:left w:val="single" w:sz="4" w:space="0" w:color="000000"/>
              <w:bottom w:val="nil" w:sz="6" w:space="0" w:color="auto"/>
              <w:right w:val="nil" w:sz="6" w:space="0" w:color="auto"/>
            </w:tcBorders>
          </w:tcPr>
          <w:p>
            <w:pPr>
              <w:pStyle w:val="TableParagraph"/>
              <w:spacing w:line="240" w:lineRule="auto" w:before="10"/>
              <w:ind w:right="107"/>
              <w:jc w:val="right"/>
              <w:rPr>
                <w:rFonts w:ascii="Times New Roman" w:hAnsi="Times New Roman" w:cs="Times New Roman" w:eastAsia="Times New Roman" w:hint="default"/>
                <w:sz w:val="18"/>
                <w:szCs w:val="18"/>
              </w:rPr>
            </w:pPr>
            <w:r>
              <w:rPr>
                <w:rFonts w:ascii="Times New Roman"/>
                <w:sz w:val="18"/>
              </w:rPr>
              <w:t>19.58</w:t>
            </w:r>
          </w:p>
        </w:tc>
      </w:tr>
      <w:tr>
        <w:trPr>
          <w:trHeight w:val="42" w:hRule="exact"/>
        </w:trPr>
        <w:tc>
          <w:tcPr>
            <w:tcW w:w="3735" w:type="dxa"/>
            <w:tcBorders>
              <w:top w:val="nil" w:sz="6" w:space="0" w:color="auto"/>
              <w:left w:val="nil" w:sz="6" w:space="0" w:color="auto"/>
              <w:bottom w:val="nil" w:sz="6" w:space="0" w:color="auto"/>
              <w:right w:val="nil" w:sz="6" w:space="0" w:color="auto"/>
            </w:tcBorders>
          </w:tcPr>
          <w:p>
            <w:pPr/>
          </w:p>
        </w:tc>
        <w:tc>
          <w:tcPr>
            <w:tcW w:w="2256" w:type="dxa"/>
            <w:tcBorders>
              <w:top w:val="nil" w:sz="6" w:space="0" w:color="auto"/>
              <w:left w:val="nil" w:sz="6" w:space="0" w:color="auto"/>
              <w:bottom w:val="nil" w:sz="6" w:space="0" w:color="auto"/>
              <w:right w:val="single" w:sz="4" w:space="0" w:color="000000"/>
            </w:tcBorders>
          </w:tcPr>
          <w:p>
            <w:pPr/>
          </w:p>
        </w:tc>
        <w:tc>
          <w:tcPr>
            <w:tcW w:w="2256" w:type="dxa"/>
            <w:tcBorders>
              <w:top w:val="nil" w:sz="6" w:space="0" w:color="auto"/>
              <w:left w:val="single" w:sz="4" w:space="0" w:color="000000"/>
              <w:bottom w:val="nil" w:sz="6" w:space="0" w:color="auto"/>
              <w:right w:val="nil" w:sz="6" w:space="0" w:color="auto"/>
            </w:tcBorders>
          </w:tcPr>
          <w:p>
            <w:pPr/>
          </w:p>
        </w:tc>
      </w:tr>
      <w:tr>
        <w:trPr>
          <w:trHeight w:val="203" w:hRule="exact"/>
        </w:trPr>
        <w:tc>
          <w:tcPr>
            <w:tcW w:w="3735" w:type="dxa"/>
            <w:tcBorders>
              <w:top w:val="nil" w:sz="6" w:space="0" w:color="auto"/>
              <w:left w:val="nil" w:sz="6" w:space="0" w:color="auto"/>
              <w:bottom w:val="nil" w:sz="6" w:space="0" w:color="auto"/>
              <w:right w:val="nil" w:sz="6" w:space="0" w:color="auto"/>
            </w:tcBorders>
          </w:tcPr>
          <w:p>
            <w:pPr>
              <w:pStyle w:val="TableParagraph"/>
              <w:spacing w:line="138" w:lineRule="exact"/>
              <w:ind w:left="122" w:right="0"/>
              <w:jc w:val="left"/>
              <w:rPr>
                <w:rFonts w:ascii="宋体" w:hAnsi="宋体" w:cs="宋体" w:eastAsia="宋体" w:hint="default"/>
                <w:sz w:val="18"/>
                <w:szCs w:val="18"/>
              </w:rPr>
            </w:pPr>
            <w:r>
              <w:rPr>
                <w:rFonts w:ascii="宋体" w:hAnsi="宋体" w:cs="宋体" w:eastAsia="宋体" w:hint="default"/>
                <w:sz w:val="18"/>
                <w:szCs w:val="18"/>
              </w:rPr>
              <w:t>北京智芯半导体科技有限公司</w:t>
            </w:r>
          </w:p>
        </w:tc>
        <w:tc>
          <w:tcPr>
            <w:tcW w:w="2256" w:type="dxa"/>
            <w:tcBorders>
              <w:top w:val="nil" w:sz="6" w:space="0" w:color="auto"/>
              <w:left w:val="nil" w:sz="6" w:space="0" w:color="auto"/>
              <w:bottom w:val="nil" w:sz="6" w:space="0" w:color="auto"/>
              <w:right w:val="single" w:sz="4" w:space="0" w:color="000000"/>
            </w:tcBorders>
          </w:tcPr>
          <w:p>
            <w:pPr>
              <w:pStyle w:val="TableParagraph"/>
              <w:spacing w:line="150" w:lineRule="exact"/>
              <w:ind w:right="103"/>
              <w:jc w:val="right"/>
              <w:rPr>
                <w:rFonts w:ascii="Times New Roman" w:hAnsi="Times New Roman" w:cs="Times New Roman" w:eastAsia="Times New Roman" w:hint="default"/>
                <w:sz w:val="18"/>
                <w:szCs w:val="18"/>
              </w:rPr>
            </w:pPr>
            <w:r>
              <w:rPr>
                <w:rFonts w:ascii="Times New Roman"/>
                <w:spacing w:val="-1"/>
                <w:sz w:val="18"/>
              </w:rPr>
              <w:t>6,095,463.94</w:t>
            </w:r>
          </w:p>
        </w:tc>
        <w:tc>
          <w:tcPr>
            <w:tcW w:w="2256" w:type="dxa"/>
            <w:tcBorders>
              <w:top w:val="nil" w:sz="6" w:space="0" w:color="auto"/>
              <w:left w:val="single" w:sz="4" w:space="0" w:color="000000"/>
              <w:bottom w:val="nil" w:sz="6" w:space="0" w:color="auto"/>
              <w:right w:val="nil" w:sz="6" w:space="0" w:color="auto"/>
            </w:tcBorders>
          </w:tcPr>
          <w:p>
            <w:pPr>
              <w:pStyle w:val="TableParagraph"/>
              <w:spacing w:line="150" w:lineRule="exact"/>
              <w:ind w:right="107"/>
              <w:jc w:val="right"/>
              <w:rPr>
                <w:rFonts w:ascii="Times New Roman" w:hAnsi="Times New Roman" w:cs="Times New Roman" w:eastAsia="Times New Roman" w:hint="default"/>
                <w:sz w:val="18"/>
                <w:szCs w:val="18"/>
              </w:rPr>
            </w:pPr>
            <w:r>
              <w:rPr>
                <w:rFonts w:ascii="Times New Roman"/>
                <w:spacing w:val="-1"/>
                <w:sz w:val="18"/>
              </w:rPr>
              <w:t>3.99</w:t>
            </w:r>
          </w:p>
        </w:tc>
      </w:tr>
      <w:tr>
        <w:trPr>
          <w:trHeight w:val="42" w:hRule="exact"/>
        </w:trPr>
        <w:tc>
          <w:tcPr>
            <w:tcW w:w="3735" w:type="dxa"/>
            <w:tcBorders>
              <w:top w:val="nil" w:sz="6" w:space="0" w:color="auto"/>
              <w:left w:val="nil" w:sz="6" w:space="0" w:color="auto"/>
              <w:bottom w:val="nil" w:sz="6" w:space="0" w:color="auto"/>
              <w:right w:val="nil" w:sz="6" w:space="0" w:color="auto"/>
            </w:tcBorders>
          </w:tcPr>
          <w:p>
            <w:pPr/>
          </w:p>
        </w:tc>
        <w:tc>
          <w:tcPr>
            <w:tcW w:w="2256" w:type="dxa"/>
            <w:tcBorders>
              <w:top w:val="nil" w:sz="6" w:space="0" w:color="auto"/>
              <w:left w:val="nil" w:sz="6" w:space="0" w:color="auto"/>
              <w:bottom w:val="nil" w:sz="6" w:space="0" w:color="auto"/>
              <w:right w:val="single" w:sz="4" w:space="0" w:color="000000"/>
            </w:tcBorders>
          </w:tcPr>
          <w:p>
            <w:pPr/>
          </w:p>
        </w:tc>
        <w:tc>
          <w:tcPr>
            <w:tcW w:w="2256" w:type="dxa"/>
            <w:tcBorders>
              <w:top w:val="nil" w:sz="6" w:space="0" w:color="auto"/>
              <w:left w:val="single" w:sz="4" w:space="0" w:color="000000"/>
              <w:bottom w:val="nil" w:sz="6" w:space="0" w:color="auto"/>
              <w:right w:val="nil" w:sz="6" w:space="0" w:color="auto"/>
            </w:tcBorders>
          </w:tcPr>
          <w:p>
            <w:pPr/>
          </w:p>
        </w:tc>
      </w:tr>
      <w:tr>
        <w:trPr>
          <w:trHeight w:val="201" w:hRule="exact"/>
        </w:trPr>
        <w:tc>
          <w:tcPr>
            <w:tcW w:w="3735" w:type="dxa"/>
            <w:tcBorders>
              <w:top w:val="nil" w:sz="6" w:space="0" w:color="auto"/>
              <w:left w:val="nil" w:sz="6" w:space="0" w:color="auto"/>
              <w:bottom w:val="nil" w:sz="6" w:space="0" w:color="auto"/>
              <w:right w:val="nil" w:sz="6" w:space="0" w:color="auto"/>
            </w:tcBorders>
          </w:tcPr>
          <w:p>
            <w:pPr>
              <w:pStyle w:val="TableParagraph"/>
              <w:spacing w:line="138" w:lineRule="exact"/>
              <w:ind w:left="122" w:right="0"/>
              <w:jc w:val="left"/>
              <w:rPr>
                <w:rFonts w:ascii="宋体" w:hAnsi="宋体" w:cs="宋体" w:eastAsia="宋体" w:hint="default"/>
                <w:sz w:val="18"/>
                <w:szCs w:val="18"/>
              </w:rPr>
            </w:pPr>
            <w:r>
              <w:rPr>
                <w:rFonts w:ascii="宋体" w:hAnsi="宋体" w:cs="宋体" w:eastAsia="宋体" w:hint="default"/>
                <w:sz w:val="18"/>
                <w:szCs w:val="18"/>
              </w:rPr>
              <w:t>泗洪县双沟镇财政所</w:t>
            </w:r>
          </w:p>
        </w:tc>
        <w:tc>
          <w:tcPr>
            <w:tcW w:w="2256" w:type="dxa"/>
            <w:tcBorders>
              <w:top w:val="nil" w:sz="6" w:space="0" w:color="auto"/>
              <w:left w:val="nil" w:sz="6" w:space="0" w:color="auto"/>
              <w:bottom w:val="nil" w:sz="6" w:space="0" w:color="auto"/>
              <w:right w:val="single" w:sz="4" w:space="0" w:color="000000"/>
            </w:tcBorders>
          </w:tcPr>
          <w:p>
            <w:pPr>
              <w:pStyle w:val="TableParagraph"/>
              <w:spacing w:line="147" w:lineRule="exact"/>
              <w:ind w:right="103"/>
              <w:jc w:val="right"/>
              <w:rPr>
                <w:rFonts w:ascii="Times New Roman" w:hAnsi="Times New Roman" w:cs="Times New Roman" w:eastAsia="Times New Roman" w:hint="default"/>
                <w:sz w:val="18"/>
                <w:szCs w:val="18"/>
              </w:rPr>
            </w:pPr>
            <w:r>
              <w:rPr>
                <w:rFonts w:ascii="Times New Roman"/>
                <w:spacing w:val="-1"/>
                <w:sz w:val="18"/>
              </w:rPr>
              <w:t>5,014,200.00</w:t>
            </w:r>
          </w:p>
        </w:tc>
        <w:tc>
          <w:tcPr>
            <w:tcW w:w="2256" w:type="dxa"/>
            <w:tcBorders>
              <w:top w:val="nil" w:sz="6" w:space="0" w:color="auto"/>
              <w:left w:val="single" w:sz="4" w:space="0" w:color="000000"/>
              <w:bottom w:val="nil" w:sz="6" w:space="0" w:color="auto"/>
              <w:right w:val="nil" w:sz="6" w:space="0" w:color="auto"/>
            </w:tcBorders>
          </w:tcPr>
          <w:p>
            <w:pPr>
              <w:pStyle w:val="TableParagraph"/>
              <w:spacing w:line="147" w:lineRule="exact"/>
              <w:ind w:right="107"/>
              <w:jc w:val="right"/>
              <w:rPr>
                <w:rFonts w:ascii="Times New Roman" w:hAnsi="Times New Roman" w:cs="Times New Roman" w:eastAsia="Times New Roman" w:hint="default"/>
                <w:sz w:val="18"/>
                <w:szCs w:val="18"/>
              </w:rPr>
            </w:pPr>
            <w:r>
              <w:rPr>
                <w:rFonts w:ascii="Times New Roman"/>
                <w:spacing w:val="-1"/>
                <w:sz w:val="18"/>
              </w:rPr>
              <w:t>3.29</w:t>
            </w:r>
          </w:p>
        </w:tc>
      </w:tr>
      <w:tr>
        <w:trPr>
          <w:trHeight w:val="217" w:hRule="exact"/>
        </w:trPr>
        <w:tc>
          <w:tcPr>
            <w:tcW w:w="3735" w:type="dxa"/>
            <w:tcBorders>
              <w:top w:val="nil" w:sz="6" w:space="0" w:color="auto"/>
              <w:left w:val="nil" w:sz="6" w:space="0" w:color="auto"/>
              <w:bottom w:val="nil" w:sz="6" w:space="0" w:color="auto"/>
              <w:right w:val="nil" w:sz="6" w:space="0" w:color="auto"/>
            </w:tcBorders>
          </w:tcPr>
          <w:p>
            <w:pPr>
              <w:pStyle w:val="TableParagraph"/>
              <w:spacing w:line="138" w:lineRule="exact"/>
              <w:ind w:left="122" w:right="0"/>
              <w:jc w:val="left"/>
              <w:rPr>
                <w:rFonts w:ascii="宋体" w:hAnsi="宋体" w:cs="宋体" w:eastAsia="宋体" w:hint="default"/>
                <w:sz w:val="18"/>
                <w:szCs w:val="18"/>
              </w:rPr>
            </w:pPr>
            <w:r>
              <w:rPr>
                <w:rFonts w:ascii="宋体" w:hAnsi="宋体" w:cs="宋体" w:eastAsia="宋体" w:hint="default"/>
                <w:sz w:val="18"/>
                <w:szCs w:val="18"/>
              </w:rPr>
              <w:t>灌云县南岗乡财政所</w:t>
            </w:r>
          </w:p>
        </w:tc>
        <w:tc>
          <w:tcPr>
            <w:tcW w:w="2256" w:type="dxa"/>
            <w:tcBorders>
              <w:top w:val="nil" w:sz="6" w:space="0" w:color="auto"/>
              <w:left w:val="nil" w:sz="6" w:space="0" w:color="auto"/>
              <w:bottom w:val="nil" w:sz="6" w:space="0" w:color="auto"/>
              <w:right w:val="single" w:sz="4" w:space="0" w:color="000000"/>
            </w:tcBorders>
          </w:tcPr>
          <w:p>
            <w:pPr>
              <w:pStyle w:val="TableParagraph"/>
              <w:spacing w:line="149" w:lineRule="exact"/>
              <w:ind w:right="103"/>
              <w:jc w:val="right"/>
              <w:rPr>
                <w:rFonts w:ascii="Times New Roman" w:hAnsi="Times New Roman" w:cs="Times New Roman" w:eastAsia="Times New Roman" w:hint="default"/>
                <w:sz w:val="18"/>
                <w:szCs w:val="18"/>
              </w:rPr>
            </w:pPr>
            <w:r>
              <w:rPr>
                <w:rFonts w:ascii="Times New Roman"/>
                <w:spacing w:val="-1"/>
                <w:sz w:val="18"/>
              </w:rPr>
              <w:t>4,059,534.00</w:t>
            </w:r>
          </w:p>
        </w:tc>
        <w:tc>
          <w:tcPr>
            <w:tcW w:w="2256" w:type="dxa"/>
            <w:tcBorders>
              <w:top w:val="nil" w:sz="6" w:space="0" w:color="auto"/>
              <w:left w:val="single" w:sz="4" w:space="0" w:color="000000"/>
              <w:bottom w:val="nil" w:sz="6" w:space="0" w:color="auto"/>
              <w:right w:val="nil" w:sz="6" w:space="0" w:color="auto"/>
            </w:tcBorders>
          </w:tcPr>
          <w:p>
            <w:pPr>
              <w:pStyle w:val="TableParagraph"/>
              <w:spacing w:line="191" w:lineRule="exact"/>
              <w:ind w:right="107"/>
              <w:jc w:val="right"/>
              <w:rPr>
                <w:rFonts w:ascii="Times New Roman" w:hAnsi="Times New Roman" w:cs="Times New Roman" w:eastAsia="Times New Roman" w:hint="default"/>
                <w:sz w:val="18"/>
                <w:szCs w:val="18"/>
              </w:rPr>
            </w:pPr>
            <w:r>
              <w:rPr>
                <w:rFonts w:ascii="Times New Roman"/>
                <w:spacing w:val="-1"/>
                <w:sz w:val="18"/>
              </w:rPr>
              <w:t>2.66</w:t>
            </w:r>
          </w:p>
        </w:tc>
      </w:tr>
      <w:tr>
        <w:trPr>
          <w:trHeight w:val="250" w:hRule="exact"/>
        </w:trPr>
        <w:tc>
          <w:tcPr>
            <w:tcW w:w="3735" w:type="dxa"/>
            <w:tcBorders>
              <w:top w:val="nil" w:sz="6" w:space="0" w:color="auto"/>
              <w:left w:val="nil" w:sz="6" w:space="0" w:color="auto"/>
              <w:bottom w:val="single" w:sz="12" w:space="0" w:color="000000"/>
              <w:right w:val="single" w:sz="4" w:space="0" w:color="000000"/>
            </w:tcBorders>
          </w:tcPr>
          <w:p>
            <w:pPr>
              <w:pStyle w:val="TableParagraph"/>
              <w:spacing w:line="208" w:lineRule="exact"/>
              <w:ind w:left="13"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256"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9"/>
              <w:ind w:right="104"/>
              <w:jc w:val="right"/>
              <w:rPr>
                <w:rFonts w:ascii="Times New Roman" w:hAnsi="Times New Roman" w:cs="Times New Roman" w:eastAsia="Times New Roman" w:hint="default"/>
                <w:sz w:val="18"/>
                <w:szCs w:val="18"/>
              </w:rPr>
            </w:pPr>
            <w:r>
              <w:rPr>
                <w:rFonts w:ascii="Times New Roman"/>
                <w:spacing w:val="-1"/>
                <w:sz w:val="18"/>
              </w:rPr>
              <w:t>113,253,622.83</w:t>
            </w:r>
          </w:p>
        </w:tc>
        <w:tc>
          <w:tcPr>
            <w:tcW w:w="2256" w:type="dxa"/>
            <w:tcBorders>
              <w:top w:val="nil" w:sz="6" w:space="0" w:color="auto"/>
              <w:left w:val="single" w:sz="4" w:space="0" w:color="000000"/>
              <w:bottom w:val="single" w:sz="12" w:space="0" w:color="000000"/>
              <w:right w:val="nil" w:sz="6" w:space="0" w:color="auto"/>
            </w:tcBorders>
          </w:tcPr>
          <w:p>
            <w:pPr>
              <w:pStyle w:val="TableParagraph"/>
              <w:spacing w:line="240" w:lineRule="auto" w:before="9"/>
              <w:ind w:right="107"/>
              <w:jc w:val="right"/>
              <w:rPr>
                <w:rFonts w:ascii="Times New Roman" w:hAnsi="Times New Roman" w:cs="Times New Roman" w:eastAsia="Times New Roman" w:hint="default"/>
                <w:sz w:val="18"/>
                <w:szCs w:val="18"/>
              </w:rPr>
            </w:pPr>
            <w:r>
              <w:rPr>
                <w:rFonts w:ascii="Times New Roman"/>
                <w:sz w:val="18"/>
              </w:rPr>
              <w:t>74.20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580" w:bottom="280" w:left="1040" w:right="1560"/>
        </w:sectPr>
      </w:pPr>
    </w:p>
    <w:p>
      <w:pPr>
        <w:pStyle w:val="BodyText"/>
        <w:spacing w:line="237" w:lineRule="exact"/>
        <w:ind w:left="236" w:right="0"/>
        <w:jc w:val="left"/>
        <w:rPr>
          <w:rFonts w:ascii="宋体" w:hAnsi="宋体" w:cs="宋体" w:eastAsia="宋体" w:hint="default"/>
        </w:rPr>
      </w:pPr>
      <w:r>
        <w:rPr/>
        <w:pict>
          <v:group style="position:absolute;margin-left:78.863998pt;margin-top:-42.959991pt;width:411.7pt;height:5.55pt;mso-position-horizontal-relative:page;mso-position-vertical-relative:paragraph;z-index:-1318024" coordorigin="1577,-859" coordsize="8234,111">
            <v:shape style="position:absolute;left:1577;top:-859;width:3735;height:110" type="#_x0000_t75" stroked="false">
              <v:imagedata r:id="rId165" o:title=""/>
            </v:shape>
            <v:shape style="position:absolute;left:5288;top:-763;width:2271;height:14" type="#_x0000_t75" stroked="false">
              <v:imagedata r:id="rId166" o:title=""/>
            </v:shape>
            <v:shape style="position:absolute;left:7545;top:-758;width:2266;height:10" type="#_x0000_t75" stroked="false">
              <v:imagedata r:id="rId172" o:title=""/>
            </v:shape>
            <w10:wrap type="none"/>
          </v:group>
        </w:pict>
      </w:r>
      <w:r>
        <w:rPr/>
        <w:pict>
          <v:group style="position:absolute;margin-left:78.863998pt;margin-top:-30.71999pt;width:411.7pt;height:5.4pt;mso-position-horizontal-relative:page;mso-position-vertical-relative:paragraph;z-index:-1318000" coordorigin="1577,-614" coordsize="8234,108">
            <v:shape style="position:absolute;left:1577;top:-614;width:3735;height:108" type="#_x0000_t75" stroked="false">
              <v:imagedata r:id="rId173" o:title=""/>
            </v:shape>
            <v:shape style="position:absolute;left:5288;top:-518;width:2271;height:12" type="#_x0000_t75" stroked="false">
              <v:imagedata r:id="rId171" o:title=""/>
            </v:shape>
            <v:shape style="position:absolute;left:7545;top:-516;width:2266;height:10" type="#_x0000_t75" stroked="false">
              <v:imagedata r:id="rId167" o:title=""/>
            </v:shape>
            <w10:wrap type="none"/>
          </v:group>
        </w:pict>
      </w:r>
      <w:r>
        <w:rPr/>
        <w:pict>
          <v:group style="position:absolute;margin-left:78.863998pt;margin-top:-18.599991pt;width:411.7pt;height:5.4pt;mso-position-horizontal-relative:page;mso-position-vertical-relative:paragraph;z-index:-1317976" coordorigin="1577,-372" coordsize="8234,108">
            <v:shape style="position:absolute;left:1577;top:-372;width:3735;height:108" type="#_x0000_t75" stroked="false">
              <v:imagedata r:id="rId173" o:title=""/>
            </v:shape>
            <v:shape style="position:absolute;left:5288;top:-276;width:2271;height:12" type="#_x0000_t75" stroked="false">
              <v:imagedata r:id="rId174" o:title=""/>
            </v:shape>
            <v:shape style="position:absolute;left:7545;top:-274;width:2266;height:10" type="#_x0000_t75" stroked="false">
              <v:imagedata r:id="rId167" o:title=""/>
            </v:shape>
            <w10:wrap type="none"/>
          </v:group>
        </w:pict>
      </w:r>
      <w:r>
        <w:rPr>
          <w:rFonts w:ascii="宋体"/>
          <w:w w:val="100"/>
        </w:rPr>
        <w:t> </w:t>
      </w:r>
    </w:p>
    <w:p>
      <w:pPr>
        <w:pStyle w:val="Heading2"/>
        <w:spacing w:line="310" w:lineRule="exact"/>
        <w:ind w:left="236" w:right="0"/>
        <w:jc w:val="left"/>
        <w:rPr>
          <w:rFonts w:ascii="宋体" w:hAnsi="宋体" w:cs="宋体" w:eastAsia="宋体" w:hint="default"/>
        </w:rPr>
      </w:pPr>
      <w:r>
        <w:rPr/>
        <w:t>其他说明</w:t>
      </w:r>
      <w:r>
        <w:rPr>
          <w:rFonts w:ascii="宋体" w:hAnsi="宋体" w:cs="宋体" w:eastAsia="宋体" w:hint="default"/>
        </w:rPr>
        <w:t> </w:t>
      </w:r>
    </w:p>
    <w:p>
      <w:pPr>
        <w:pStyle w:val="BodyText"/>
        <w:spacing w:line="240" w:lineRule="auto" w:before="25"/>
        <w:ind w:left="236"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left="236" w:right="0"/>
        <w:jc w:val="left"/>
        <w:rPr>
          <w:rFonts w:ascii="宋体" w:hAnsi="宋体" w:cs="宋体" w:eastAsia="宋体" w:hint="default"/>
        </w:rPr>
      </w:pPr>
      <w:r>
        <w:rPr>
          <w:rFonts w:ascii="宋体"/>
          <w:w w:val="100"/>
        </w:rPr>
        <w:t> </w:t>
      </w:r>
    </w:p>
    <w:p>
      <w:pPr>
        <w:pStyle w:val="Heading3"/>
        <w:spacing w:line="324" w:lineRule="auto"/>
        <w:ind w:left="236" w:right="546"/>
        <w:jc w:val="left"/>
        <w:rPr>
          <w:rFonts w:ascii="宋体" w:hAnsi="宋体" w:cs="宋体" w:eastAsia="宋体" w:hint="default"/>
          <w:b w:val="0"/>
          <w:bCs w:val="0"/>
        </w:rPr>
      </w:pPr>
      <w:r>
        <w:rPr>
          <w:rFonts w:ascii="宋体" w:hAnsi="宋体" w:cs="宋体" w:eastAsia="宋体" w:hint="default"/>
        </w:rPr>
        <w:t>8</w:t>
      </w:r>
      <w:r>
        <w:rPr/>
        <w:t>、</w:t>
      </w:r>
      <w:r>
        <w:rPr>
          <w:spacing w:val="-2"/>
        </w:rPr>
        <w:t> </w:t>
      </w:r>
      <w:r>
        <w:rPr/>
        <w:t>其他应收款</w:t>
      </w:r>
      <w:r>
        <w:rPr>
          <w:w w:val="100"/>
        </w:rPr>
        <w:t> </w:t>
      </w:r>
      <w:r>
        <w:rPr/>
        <w:t>项目列示</w:t>
      </w:r>
      <w:r>
        <w:rPr>
          <w:rFonts w:ascii="宋体" w:hAnsi="宋体" w:cs="宋体" w:eastAsia="宋体" w:hint="default"/>
          <w:w w:val="99"/>
        </w:rPr>
        <w:t> </w:t>
      </w:r>
      <w:r>
        <w:rPr>
          <w:rFonts w:ascii="宋体" w:hAnsi="宋体" w:cs="宋体" w:eastAsia="宋体" w:hint="default"/>
          <w:b w:val="0"/>
          <w:bCs w:val="0"/>
        </w:rPr>
      </w:r>
    </w:p>
    <w:p>
      <w:pPr>
        <w:pStyle w:val="Heading2"/>
        <w:spacing w:line="310" w:lineRule="exact"/>
        <w:ind w:left="23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6"/>
          <w:szCs w:val="16"/>
        </w:rPr>
      </w:pPr>
    </w:p>
    <w:p>
      <w:pPr>
        <w:pStyle w:val="BodyText"/>
        <w:spacing w:line="240" w:lineRule="auto"/>
        <w:ind w:left="236" w:right="0"/>
        <w:jc w:val="left"/>
        <w:rPr>
          <w:rFonts w:ascii="宋体" w:hAnsi="宋体" w:cs="宋体" w:eastAsia="宋体" w:hint="default"/>
        </w:rPr>
      </w:pPr>
      <w:r>
        <w:rPr/>
        <w:t>单位：元币种：人民币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580" w:bottom="280" w:left="1040" w:right="1560"/>
          <w:cols w:num="2" w:equalWidth="0">
            <w:col w:w="2278" w:space="4456"/>
            <w:col w:w="2576"/>
          </w:cols>
        </w:sectPr>
      </w:pPr>
    </w:p>
    <w:p>
      <w:pPr>
        <w:spacing w:line="240" w:lineRule="auto" w:before="11"/>
        <w:rPr>
          <w:rFonts w:ascii="宋体" w:hAnsi="宋体" w:cs="宋体" w:eastAsia="宋体" w:hint="default"/>
          <w:sz w:val="3"/>
          <w:szCs w:val="3"/>
        </w:rPr>
      </w:pPr>
    </w:p>
    <w:tbl>
      <w:tblPr>
        <w:tblW w:w="0" w:type="auto"/>
        <w:jc w:val="left"/>
        <w:tblInd w:w="119" w:type="dxa"/>
        <w:tblLayout w:type="fixed"/>
        <w:tblCellMar>
          <w:top w:w="0" w:type="dxa"/>
          <w:left w:w="0" w:type="dxa"/>
          <w:bottom w:w="0" w:type="dxa"/>
          <w:right w:w="0" w:type="dxa"/>
        </w:tblCellMar>
        <w:tblLook w:val="01E0"/>
      </w:tblPr>
      <w:tblGrid>
        <w:gridCol w:w="3198"/>
        <w:gridCol w:w="2938"/>
        <w:gridCol w:w="2926"/>
      </w:tblGrid>
      <w:tr>
        <w:trPr>
          <w:trHeight w:val="322" w:hRule="exact"/>
        </w:trPr>
        <w:tc>
          <w:tcPr>
            <w:tcW w:w="319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41"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6"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322" w:hRule="exact"/>
        </w:trPr>
        <w:tc>
          <w:tcPr>
            <w:tcW w:w="319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8" w:right="0"/>
              <w:jc w:val="left"/>
              <w:rPr>
                <w:rFonts w:ascii="宋体" w:hAnsi="宋体" w:cs="宋体" w:eastAsia="宋体" w:hint="default"/>
                <w:sz w:val="21"/>
                <w:szCs w:val="21"/>
              </w:rPr>
            </w:pPr>
            <w:r>
              <w:rPr>
                <w:rFonts w:ascii="宋体" w:hAnsi="宋体" w:cs="宋体" w:eastAsia="宋体" w:hint="default"/>
                <w:sz w:val="21"/>
                <w:szCs w:val="21"/>
              </w:rPr>
              <w:t>应收利息</w:t>
            </w:r>
            <w:r>
              <w:rPr>
                <w:rFonts w:ascii="宋体" w:hAnsi="宋体" w:cs="宋体" w:eastAsia="宋体" w:hint="default"/>
                <w:sz w:val="21"/>
                <w:szCs w:val="21"/>
              </w:rPr>
              <w:t> </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7"/>
              <w:jc w:val="right"/>
              <w:rPr>
                <w:rFonts w:ascii="宋体" w:hAnsi="宋体" w:cs="宋体" w:eastAsia="宋体" w:hint="default"/>
                <w:sz w:val="21"/>
                <w:szCs w:val="21"/>
              </w:rPr>
            </w:pPr>
            <w:r>
              <w:rPr>
                <w:rFonts w:ascii="宋体"/>
                <w:w w:val="100"/>
                <w:sz w:val="21"/>
              </w:rPr>
              <w:t> </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7"/>
              <w:jc w:val="right"/>
              <w:rPr>
                <w:rFonts w:ascii="宋体" w:hAnsi="宋体" w:cs="宋体" w:eastAsia="宋体" w:hint="default"/>
                <w:sz w:val="21"/>
                <w:szCs w:val="21"/>
              </w:rPr>
            </w:pPr>
            <w:r>
              <w:rPr>
                <w:rFonts w:ascii="宋体"/>
                <w:spacing w:val="-1"/>
                <w:sz w:val="21"/>
              </w:rPr>
              <w:t>2,687,513.89</w:t>
            </w:r>
            <w:r>
              <w:rPr>
                <w:rFonts w:ascii="宋体"/>
                <w:sz w:val="21"/>
              </w:rPr>
              <w:t> </w:t>
            </w:r>
          </w:p>
        </w:tc>
      </w:tr>
      <w:tr>
        <w:trPr>
          <w:trHeight w:val="322" w:hRule="exact"/>
        </w:trPr>
        <w:tc>
          <w:tcPr>
            <w:tcW w:w="319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8" w:right="0"/>
              <w:jc w:val="left"/>
              <w:rPr>
                <w:rFonts w:ascii="宋体" w:hAnsi="宋体" w:cs="宋体" w:eastAsia="宋体" w:hint="default"/>
                <w:sz w:val="21"/>
                <w:szCs w:val="21"/>
              </w:rPr>
            </w:pPr>
            <w:r>
              <w:rPr>
                <w:rFonts w:ascii="宋体" w:hAnsi="宋体" w:cs="宋体" w:eastAsia="宋体" w:hint="default"/>
                <w:sz w:val="21"/>
                <w:szCs w:val="21"/>
              </w:rPr>
              <w:t>其他应收款</w:t>
            </w:r>
            <w:r>
              <w:rPr>
                <w:rFonts w:ascii="宋体" w:hAnsi="宋体" w:cs="宋体" w:eastAsia="宋体" w:hint="default"/>
                <w:sz w:val="21"/>
                <w:szCs w:val="21"/>
              </w:rPr>
              <w:t> </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7"/>
              <w:jc w:val="right"/>
              <w:rPr>
                <w:rFonts w:ascii="宋体" w:hAnsi="宋体" w:cs="宋体" w:eastAsia="宋体" w:hint="default"/>
                <w:sz w:val="21"/>
                <w:szCs w:val="21"/>
              </w:rPr>
            </w:pPr>
            <w:r>
              <w:rPr>
                <w:rFonts w:ascii="宋体"/>
                <w:spacing w:val="-1"/>
                <w:sz w:val="21"/>
              </w:rPr>
              <w:t>57,498,480.86</w:t>
            </w:r>
            <w:r>
              <w:rPr>
                <w:rFonts w:ascii="宋体"/>
                <w:sz w:val="21"/>
              </w:rPr>
              <w:t> </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7"/>
              <w:jc w:val="right"/>
              <w:rPr>
                <w:rFonts w:ascii="宋体" w:hAnsi="宋体" w:cs="宋体" w:eastAsia="宋体" w:hint="default"/>
                <w:sz w:val="21"/>
                <w:szCs w:val="21"/>
              </w:rPr>
            </w:pPr>
            <w:r>
              <w:rPr>
                <w:rFonts w:ascii="宋体"/>
                <w:spacing w:val="-1"/>
                <w:sz w:val="21"/>
              </w:rPr>
              <w:t>52,390,443.01</w:t>
            </w:r>
            <w:r>
              <w:rPr>
                <w:rFonts w:ascii="宋体"/>
                <w:sz w:val="21"/>
              </w:rPr>
              <w:t> </w:t>
            </w:r>
          </w:p>
        </w:tc>
      </w:tr>
      <w:tr>
        <w:trPr>
          <w:trHeight w:val="324" w:hRule="exact"/>
        </w:trPr>
        <w:tc>
          <w:tcPr>
            <w:tcW w:w="319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8"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
              <w:jc w:val="right"/>
              <w:rPr>
                <w:rFonts w:ascii="宋体" w:hAnsi="宋体" w:cs="宋体" w:eastAsia="宋体" w:hint="default"/>
                <w:sz w:val="21"/>
                <w:szCs w:val="21"/>
              </w:rPr>
            </w:pPr>
            <w:r>
              <w:rPr>
                <w:rFonts w:ascii="宋体"/>
                <w:spacing w:val="-1"/>
                <w:sz w:val="21"/>
              </w:rPr>
              <w:t>57,498,480.86</w:t>
            </w:r>
            <w:r>
              <w:rPr>
                <w:rFonts w:ascii="宋体"/>
                <w:sz w:val="21"/>
              </w:rPr>
              <w:t> </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
              <w:jc w:val="right"/>
              <w:rPr>
                <w:rFonts w:ascii="宋体" w:hAnsi="宋体" w:cs="宋体" w:eastAsia="宋体" w:hint="default"/>
                <w:sz w:val="21"/>
                <w:szCs w:val="21"/>
              </w:rPr>
            </w:pPr>
            <w:r>
              <w:rPr>
                <w:rFonts w:ascii="宋体"/>
                <w:spacing w:val="-1"/>
                <w:sz w:val="21"/>
              </w:rPr>
              <w:t>55,077,956.90</w:t>
            </w:r>
            <w:r>
              <w:rPr>
                <w:rFonts w:ascii="宋体"/>
                <w:sz w:val="21"/>
              </w:rPr>
              <w:t> </w:t>
            </w:r>
          </w:p>
        </w:tc>
      </w:tr>
    </w:tbl>
    <w:p>
      <w:pPr>
        <w:pStyle w:val="Heading2"/>
        <w:spacing w:line="274" w:lineRule="exact"/>
        <w:ind w:left="236" w:right="0"/>
        <w:jc w:val="left"/>
        <w:rPr>
          <w:rFonts w:ascii="宋体" w:hAnsi="宋体" w:cs="宋体" w:eastAsia="宋体" w:hint="default"/>
        </w:rPr>
      </w:pPr>
      <w:r>
        <w:rPr>
          <w:rFonts w:ascii="宋体"/>
        </w:rPr>
        <w:t> </w:t>
      </w:r>
    </w:p>
    <w:p>
      <w:pPr>
        <w:pStyle w:val="BodyText"/>
        <w:spacing w:line="240" w:lineRule="auto" w:before="25"/>
        <w:ind w:left="236" w:right="28"/>
        <w:jc w:val="left"/>
        <w:rPr>
          <w:rFonts w:ascii="宋体" w:hAnsi="宋体" w:cs="宋体" w:eastAsia="宋体" w:hint="default"/>
        </w:rPr>
      </w:pPr>
      <w:r>
        <w:rPr/>
        <w:t>其他说明：</w:t>
      </w:r>
      <w:r>
        <w:rPr>
          <w:rFonts w:ascii="宋体" w:hAnsi="宋体" w:cs="宋体" w:eastAsia="宋体" w:hint="default"/>
        </w:rPr>
        <w:t> </w:t>
      </w:r>
    </w:p>
    <w:p>
      <w:pPr>
        <w:pStyle w:val="BodyText"/>
        <w:spacing w:line="240" w:lineRule="auto" w:before="37"/>
        <w:ind w:left="236" w:right="28"/>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left="236" w:right="0"/>
        <w:jc w:val="left"/>
        <w:rPr>
          <w:rFonts w:ascii="宋体" w:hAnsi="宋体" w:cs="宋体" w:eastAsia="宋体" w:hint="default"/>
        </w:rPr>
      </w:pPr>
      <w:r>
        <w:rPr>
          <w:rFonts w:ascii="宋体"/>
          <w:w w:val="100"/>
        </w:rPr>
        <w:t> </w:t>
      </w:r>
    </w:p>
    <w:p>
      <w:pPr>
        <w:spacing w:after="0" w:line="240" w:lineRule="auto"/>
        <w:jc w:val="left"/>
        <w:rPr>
          <w:rFonts w:ascii="宋体" w:hAnsi="宋体" w:cs="宋体" w:eastAsia="宋体" w:hint="default"/>
        </w:rPr>
        <w:sectPr>
          <w:type w:val="continuous"/>
          <w:pgSz w:w="11910" w:h="16840"/>
          <w:pgMar w:top="1580" w:bottom="280" w:left="1040" w:right="1560"/>
        </w:sectPr>
      </w:pPr>
    </w:p>
    <w:p>
      <w:pPr>
        <w:spacing w:line="240" w:lineRule="auto" w:before="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footerReference w:type="default" r:id="rId175"/>
          <w:pgSz w:w="11910" w:h="16840"/>
          <w:pgMar w:footer="974" w:header="0" w:top="1140" w:bottom="1160" w:left="1040" w:right="1560"/>
          <w:pgNumType w:start="141"/>
        </w:sectPr>
      </w:pPr>
    </w:p>
    <w:p>
      <w:pPr>
        <w:pStyle w:val="Heading3"/>
        <w:spacing w:line="326" w:lineRule="auto" w:before="36"/>
        <w:ind w:left="236" w:right="0"/>
        <w:jc w:val="left"/>
        <w:rPr>
          <w:rFonts w:ascii="宋体" w:hAnsi="宋体" w:cs="宋体" w:eastAsia="宋体" w:hint="default"/>
          <w:b w:val="0"/>
          <w:bCs w:val="0"/>
        </w:rPr>
      </w:pPr>
      <w:r>
        <w:rPr/>
        <w:t>应收利息</w:t>
      </w:r>
      <w:r>
        <w:rPr>
          <w:rFonts w:ascii="宋体" w:hAnsi="宋体" w:cs="宋体" w:eastAsia="宋体" w:hint="default"/>
          <w:w w:val="99"/>
        </w:rPr>
        <w:t> </w:t>
      </w:r>
      <w:r>
        <w:rPr>
          <w:rFonts w:ascii="宋体" w:hAnsi="宋体" w:cs="宋体" w:eastAsia="宋体" w:hint="default"/>
        </w:rPr>
        <w:t>(1).</w:t>
      </w:r>
      <w:r>
        <w:rPr/>
        <w:t>应收利息分类</w:t>
      </w:r>
      <w:r>
        <w:rPr>
          <w:rFonts w:ascii="宋体" w:hAnsi="宋体" w:cs="宋体" w:eastAsia="宋体" w:hint="default"/>
          <w:w w:val="99"/>
        </w:rPr>
        <w:t> </w:t>
      </w:r>
      <w:r>
        <w:rPr>
          <w:rFonts w:ascii="宋体" w:hAnsi="宋体" w:cs="宋体" w:eastAsia="宋体" w:hint="default"/>
          <w:b w:val="0"/>
          <w:bCs w:val="0"/>
        </w:rPr>
      </w:r>
    </w:p>
    <w:p>
      <w:pPr>
        <w:pStyle w:val="Heading2"/>
        <w:spacing w:line="308" w:lineRule="exact"/>
        <w:ind w:left="23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3"/>
          <w:szCs w:val="23"/>
        </w:rPr>
      </w:pPr>
    </w:p>
    <w:p>
      <w:pPr>
        <w:pStyle w:val="BodyText"/>
        <w:spacing w:line="240" w:lineRule="auto"/>
        <w:ind w:left="236" w:right="0"/>
        <w:jc w:val="left"/>
        <w:rPr>
          <w:rFonts w:ascii="宋体" w:hAnsi="宋体" w:cs="宋体" w:eastAsia="宋体" w:hint="default"/>
        </w:rPr>
      </w:pPr>
      <w:r>
        <w:rPr/>
        <w:t>单位：元币种：人民币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580" w:bottom="280" w:left="1040" w:right="1560"/>
          <w:cols w:num="2" w:equalWidth="0">
            <w:col w:w="2278" w:space="4456"/>
            <w:col w:w="2576"/>
          </w:cols>
        </w:sectPr>
      </w:pPr>
    </w:p>
    <w:p>
      <w:pPr>
        <w:spacing w:line="240" w:lineRule="auto" w:before="10"/>
        <w:rPr>
          <w:rFonts w:ascii="宋体" w:hAnsi="宋体" w:cs="宋体" w:eastAsia="宋体" w:hint="default"/>
          <w:sz w:val="3"/>
          <w:szCs w:val="3"/>
        </w:rPr>
      </w:pPr>
    </w:p>
    <w:tbl>
      <w:tblPr>
        <w:tblW w:w="0" w:type="auto"/>
        <w:jc w:val="left"/>
        <w:tblInd w:w="200" w:type="dxa"/>
        <w:tblLayout w:type="fixed"/>
        <w:tblCellMar>
          <w:top w:w="0" w:type="dxa"/>
          <w:left w:w="0" w:type="dxa"/>
          <w:bottom w:w="0" w:type="dxa"/>
          <w:right w:w="0" w:type="dxa"/>
        </w:tblCellMar>
        <w:tblLook w:val="01E0"/>
      </w:tblPr>
      <w:tblGrid>
        <w:gridCol w:w="2780"/>
        <w:gridCol w:w="3048"/>
        <w:gridCol w:w="3068"/>
      </w:tblGrid>
      <w:tr>
        <w:trPr>
          <w:trHeight w:val="283" w:hRule="exact"/>
        </w:trPr>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70"/>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96"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8"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322" w:hRule="exact"/>
        </w:trPr>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定期存款</w:t>
            </w:r>
            <w:r>
              <w:rPr>
                <w:rFonts w:ascii="宋体" w:hAnsi="宋体" w:cs="宋体" w:eastAsia="宋体" w:hint="default"/>
                <w:sz w:val="21"/>
                <w:szCs w:val="21"/>
              </w:rPr>
              <w:t> </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3"/>
              <w:jc w:val="right"/>
              <w:rPr>
                <w:rFonts w:ascii="宋体" w:hAnsi="宋体" w:cs="宋体" w:eastAsia="宋体" w:hint="default"/>
                <w:sz w:val="21"/>
                <w:szCs w:val="21"/>
              </w:rPr>
            </w:pPr>
            <w:r>
              <w:rPr>
                <w:rFonts w:ascii="宋体"/>
                <w:w w:val="100"/>
                <w:sz w:val="21"/>
              </w:rPr>
              <w:t> </w:t>
            </w:r>
          </w:p>
        </w:tc>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3"/>
              <w:jc w:val="right"/>
              <w:rPr>
                <w:rFonts w:ascii="宋体" w:hAnsi="宋体" w:cs="宋体" w:eastAsia="宋体" w:hint="default"/>
                <w:sz w:val="21"/>
                <w:szCs w:val="21"/>
              </w:rPr>
            </w:pPr>
            <w:r>
              <w:rPr>
                <w:rFonts w:ascii="宋体"/>
                <w:spacing w:val="-1"/>
                <w:sz w:val="21"/>
              </w:rPr>
              <w:t>2,687,513.89</w:t>
            </w:r>
            <w:r>
              <w:rPr>
                <w:rFonts w:ascii="宋体"/>
                <w:sz w:val="21"/>
              </w:rPr>
              <w:t> </w:t>
            </w:r>
          </w:p>
        </w:tc>
      </w:tr>
      <w:tr>
        <w:trPr>
          <w:trHeight w:val="322" w:hRule="exact"/>
        </w:trPr>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70"/>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3"/>
              <w:jc w:val="right"/>
              <w:rPr>
                <w:rFonts w:ascii="宋体" w:hAnsi="宋体" w:cs="宋体" w:eastAsia="宋体" w:hint="default"/>
                <w:sz w:val="21"/>
                <w:szCs w:val="21"/>
              </w:rPr>
            </w:pPr>
            <w:r>
              <w:rPr>
                <w:rFonts w:ascii="宋体"/>
                <w:w w:val="100"/>
                <w:sz w:val="21"/>
              </w:rPr>
              <w:t> </w:t>
            </w:r>
          </w:p>
        </w:tc>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3"/>
              <w:jc w:val="right"/>
              <w:rPr>
                <w:rFonts w:ascii="宋体" w:hAnsi="宋体" w:cs="宋体" w:eastAsia="宋体" w:hint="default"/>
                <w:sz w:val="21"/>
                <w:szCs w:val="21"/>
              </w:rPr>
            </w:pPr>
            <w:r>
              <w:rPr>
                <w:rFonts w:ascii="宋体"/>
                <w:spacing w:val="-1"/>
                <w:sz w:val="21"/>
              </w:rPr>
              <w:t>2,687,513.89</w:t>
            </w:r>
            <w:r>
              <w:rPr>
                <w:rFonts w:ascii="宋体"/>
                <w:sz w:val="21"/>
              </w:rPr>
              <w:t> </w:t>
            </w:r>
          </w:p>
        </w:tc>
      </w:tr>
    </w:tbl>
    <w:p>
      <w:pPr>
        <w:spacing w:after="0" w:line="262" w:lineRule="exact"/>
        <w:jc w:val="right"/>
        <w:rPr>
          <w:rFonts w:ascii="宋体" w:hAnsi="宋体" w:cs="宋体" w:eastAsia="宋体" w:hint="default"/>
          <w:sz w:val="21"/>
          <w:szCs w:val="21"/>
        </w:rPr>
        <w:sectPr>
          <w:type w:val="continuous"/>
          <w:pgSz w:w="11910" w:h="16840"/>
          <w:pgMar w:top="1580" w:bottom="280" w:left="1040" w:right="1560"/>
        </w:sectPr>
      </w:pPr>
    </w:p>
    <w:p>
      <w:pPr>
        <w:pStyle w:val="Heading3"/>
        <w:spacing w:line="324" w:lineRule="auto" w:before="0"/>
        <w:ind w:left="236"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(2)</w:t>
      </w:r>
      <w:r>
        <w:rPr>
          <w:rFonts w:ascii="宋体" w:hAnsi="宋体" w:cs="宋体" w:eastAsia="宋体" w:hint="default"/>
          <w:spacing w:val="5"/>
          <w:w w:val="99"/>
        </w:rPr>
        <w:t>.</w:t>
      </w:r>
      <w:r>
        <w:rPr>
          <w:w w:val="100"/>
        </w:rPr>
        <w:t>重要逾期利</w:t>
      </w:r>
      <w:r>
        <w:rPr>
          <w:spacing w:val="-3"/>
          <w:w w:val="100"/>
        </w:rPr>
        <w:t>息</w:t>
      </w:r>
      <w:r>
        <w:rPr>
          <w:rFonts w:ascii="宋体" w:hAnsi="宋体" w:cs="宋体" w:eastAsia="宋体" w:hint="default"/>
          <w:w w:val="99"/>
        </w:rPr>
        <w:t> </w:t>
      </w:r>
      <w:r>
        <w:rPr>
          <w:rFonts w:ascii="宋体" w:hAnsi="宋体" w:cs="宋体" w:eastAsia="宋体" w:hint="default"/>
          <w:b w:val="0"/>
          <w:bCs w:val="0"/>
        </w:rPr>
      </w:r>
    </w:p>
    <w:p>
      <w:pPr>
        <w:spacing w:line="324" w:lineRule="auto" w:before="23"/>
        <w:ind w:left="236"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(3).</w:t>
      </w:r>
      <w:r>
        <w:rPr>
          <w:rFonts w:ascii="宋体" w:hAnsi="宋体" w:cs="宋体" w:eastAsia="宋体" w:hint="default"/>
          <w:b/>
          <w:bCs/>
          <w:sz w:val="21"/>
          <w:szCs w:val="21"/>
        </w:rPr>
        <w:t>坏账准备计提情况</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0" w:lineRule="auto" w:before="24"/>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2"/>
        <w:spacing w:line="240" w:lineRule="auto" w:before="9"/>
        <w:ind w:left="236" w:right="0"/>
        <w:jc w:val="left"/>
        <w:rPr>
          <w:rFonts w:ascii="宋体" w:hAnsi="宋体" w:cs="宋体" w:eastAsia="宋体" w:hint="default"/>
        </w:rPr>
      </w:pPr>
      <w:r>
        <w:rPr/>
        <w:t>其他说明：</w:t>
      </w:r>
      <w:r>
        <w:rPr>
          <w:rFonts w:ascii="宋体" w:hAnsi="宋体" w:cs="宋体" w:eastAsia="宋体" w:hint="default"/>
        </w:rPr>
        <w:t> </w:t>
      </w:r>
    </w:p>
    <w:p>
      <w:pPr>
        <w:pStyle w:val="BodyText"/>
        <w:spacing w:line="240" w:lineRule="auto" w:before="25"/>
        <w:ind w:left="236"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324" w:lineRule="auto" w:before="37"/>
        <w:ind w:left="236" w:right="0" w:firstLine="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b/>
          <w:bCs/>
          <w:w w:val="100"/>
          <w:sz w:val="21"/>
          <w:szCs w:val="21"/>
        </w:rPr>
        <w:t>应收股</w:t>
      </w:r>
      <w:r>
        <w:rPr>
          <w:rFonts w:ascii="宋体" w:hAnsi="宋体" w:cs="宋体" w:eastAsia="宋体" w:hint="default"/>
          <w:b/>
          <w:bCs/>
          <w:spacing w:val="-2"/>
          <w:w w:val="100"/>
          <w:sz w:val="21"/>
          <w:szCs w:val="21"/>
        </w:rPr>
        <w:t>利</w:t>
      </w:r>
      <w:r>
        <w:rPr>
          <w:rFonts w:ascii="宋体" w:hAnsi="宋体" w:cs="宋体" w:eastAsia="宋体" w:hint="default"/>
          <w:b/>
          <w:bCs/>
          <w:w w:val="99"/>
          <w:sz w:val="21"/>
          <w:szCs w:val="21"/>
        </w:rPr>
        <w:t> </w:t>
      </w:r>
      <w:r>
        <w:rPr>
          <w:rFonts w:ascii="宋体" w:hAnsi="宋体" w:cs="宋体" w:eastAsia="宋体" w:hint="default"/>
          <w:sz w:val="21"/>
          <w:szCs w:val="21"/>
        </w:rPr>
      </w:r>
    </w:p>
    <w:p>
      <w:pPr>
        <w:pStyle w:val="Heading3"/>
        <w:spacing w:line="240" w:lineRule="auto" w:before="23"/>
        <w:ind w:left="236" w:right="0"/>
        <w:jc w:val="left"/>
        <w:rPr>
          <w:rFonts w:ascii="宋体" w:hAnsi="宋体" w:cs="宋体" w:eastAsia="宋体" w:hint="default"/>
          <w:b w:val="0"/>
          <w:bCs w:val="0"/>
        </w:rPr>
      </w:pPr>
      <w:r>
        <w:rPr>
          <w:rFonts w:ascii="宋体" w:hAnsi="宋体" w:cs="宋体" w:eastAsia="宋体" w:hint="default"/>
        </w:rPr>
        <w:t>(4).</w:t>
      </w:r>
      <w:r>
        <w:rPr/>
        <w:t>应收股利</w:t>
      </w:r>
      <w:r>
        <w:rPr>
          <w:rFonts w:ascii="宋体" w:hAnsi="宋体" w:cs="宋体" w:eastAsia="宋体" w:hint="default"/>
          <w:w w:val="99"/>
        </w:rPr>
        <w:t> </w:t>
      </w:r>
      <w:r>
        <w:rPr>
          <w:rFonts w:ascii="宋体" w:hAnsi="宋体" w:cs="宋体" w:eastAsia="宋体" w:hint="default"/>
          <w:b w:val="0"/>
          <w:bCs w:val="0"/>
        </w:rPr>
      </w:r>
    </w:p>
    <w:p>
      <w:pPr>
        <w:spacing w:line="324" w:lineRule="auto" w:before="97"/>
        <w:ind w:left="236"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5"/>
          <w:sz w:val="21"/>
          <w:szCs w:val="21"/>
        </w:rPr>
        <w:t> </w:t>
      </w:r>
      <w:r>
        <w:rPr>
          <w:rFonts w:ascii="宋体" w:hAnsi="宋体" w:cs="宋体" w:eastAsia="宋体" w:hint="default"/>
          <w:spacing w:val="15"/>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(5).</w:t>
      </w:r>
      <w:r>
        <w:rPr>
          <w:rFonts w:ascii="宋体" w:hAnsi="宋体" w:cs="宋体" w:eastAsia="宋体" w:hint="default"/>
          <w:b/>
          <w:bCs/>
          <w:sz w:val="21"/>
          <w:szCs w:val="21"/>
        </w:rPr>
        <w:t>重要的账龄超过</w:t>
      </w:r>
      <w:r>
        <w:rPr>
          <w:rFonts w:ascii="宋体" w:hAnsi="宋体" w:cs="宋体" w:eastAsia="宋体" w:hint="default"/>
          <w:b/>
          <w:bCs/>
          <w:spacing w:val="-52"/>
          <w:sz w:val="21"/>
          <w:szCs w:val="21"/>
        </w:rPr>
        <w:t> </w:t>
      </w:r>
      <w:r>
        <w:rPr>
          <w:rFonts w:ascii="宋体" w:hAnsi="宋体" w:cs="宋体" w:eastAsia="宋体" w:hint="default"/>
          <w:b/>
          <w:bCs/>
          <w:sz w:val="21"/>
          <w:szCs w:val="21"/>
        </w:rPr>
        <w:t>1</w:t>
      </w:r>
      <w:r>
        <w:rPr>
          <w:rFonts w:ascii="宋体" w:hAnsi="宋体" w:cs="宋体" w:eastAsia="宋体" w:hint="default"/>
          <w:b/>
          <w:bCs/>
          <w:spacing w:val="-52"/>
          <w:sz w:val="21"/>
          <w:szCs w:val="21"/>
        </w:rPr>
        <w:t> </w:t>
      </w:r>
      <w:r>
        <w:rPr>
          <w:rFonts w:ascii="宋体" w:hAnsi="宋体" w:cs="宋体" w:eastAsia="宋体" w:hint="default"/>
          <w:b/>
          <w:bCs/>
          <w:sz w:val="21"/>
          <w:szCs w:val="21"/>
        </w:rPr>
        <w:t>年的应收股利</w:t>
      </w:r>
      <w:r>
        <w:rPr>
          <w:rFonts w:ascii="宋体" w:hAnsi="宋体" w:cs="宋体" w:eastAsia="宋体" w:hint="default"/>
          <w:b/>
          <w:bCs/>
          <w:w w:val="99"/>
          <w:sz w:val="21"/>
          <w:szCs w:val="21"/>
        </w:rPr>
        <w:t> </w:t>
      </w:r>
      <w:r>
        <w:rPr>
          <w:rFonts w:ascii="宋体" w:hAnsi="宋体" w:cs="宋体" w:eastAsia="宋体" w:hint="default"/>
          <w:sz w:val="21"/>
          <w:szCs w:val="21"/>
        </w:rPr>
      </w:r>
    </w:p>
    <w:p>
      <w:pPr>
        <w:pStyle w:val="Heading2"/>
        <w:spacing w:line="310" w:lineRule="exact"/>
        <w:ind w:left="23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3"/>
        <w:spacing w:line="240" w:lineRule="auto" w:before="85"/>
        <w:ind w:left="236" w:right="0"/>
        <w:jc w:val="left"/>
        <w:rPr>
          <w:rFonts w:ascii="宋体" w:hAnsi="宋体" w:cs="宋体" w:eastAsia="宋体" w:hint="default"/>
          <w:b w:val="0"/>
          <w:bCs w:val="0"/>
        </w:rPr>
      </w:pPr>
      <w:r>
        <w:rPr>
          <w:rFonts w:ascii="宋体" w:hAnsi="宋体" w:cs="宋体" w:eastAsia="宋体" w:hint="default"/>
        </w:rPr>
        <w:t>(6).</w:t>
      </w:r>
      <w:r>
        <w:rPr/>
        <w:t>坏账准备计提情况</w:t>
      </w:r>
      <w:r>
        <w:rPr>
          <w:rFonts w:ascii="宋体" w:hAnsi="宋体" w:cs="宋体" w:eastAsia="宋体" w:hint="default"/>
          <w:w w:val="99"/>
        </w:rPr>
        <w:t> </w:t>
      </w:r>
      <w:r>
        <w:rPr>
          <w:rFonts w:ascii="宋体" w:hAnsi="宋体" w:cs="宋体" w:eastAsia="宋体" w:hint="default"/>
          <w:b w:val="0"/>
          <w:bCs w:val="0"/>
        </w:rPr>
      </w:r>
    </w:p>
    <w:p>
      <w:pPr>
        <w:pStyle w:val="BodyText"/>
        <w:spacing w:line="273" w:lineRule="auto" w:before="97"/>
        <w:ind w:left="236" w:right="885"/>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其他说明：</w:t>
      </w:r>
      <w:r>
        <w:rPr>
          <w:rFonts w:ascii="宋体" w:hAnsi="宋体" w:cs="宋体" w:eastAsia="宋体" w:hint="default"/>
        </w:rPr>
        <w:t> </w:t>
      </w:r>
    </w:p>
    <w:p>
      <w:pPr>
        <w:pStyle w:val="BodyText"/>
        <w:spacing w:line="240" w:lineRule="auto" w:before="7"/>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309" w:lineRule="auto" w:before="15"/>
        <w:ind w:left="236" w:right="0" w:firstLine="0"/>
        <w:jc w:val="left"/>
        <w:rPr>
          <w:rFonts w:ascii="宋体" w:hAnsi="宋体" w:cs="宋体" w:eastAsia="宋体" w:hint="default"/>
          <w:sz w:val="21"/>
          <w:szCs w:val="21"/>
        </w:rPr>
      </w:pPr>
      <w:r>
        <w:rPr>
          <w:rFonts w:ascii="宋体" w:hAnsi="宋体" w:cs="宋体" w:eastAsia="宋体" w:hint="default"/>
          <w:color w:val="FF0000"/>
          <w:w w:val="100"/>
          <w:sz w:val="21"/>
          <w:szCs w:val="21"/>
        </w:rPr>
        <w:t>  </w:t>
      </w:r>
      <w:r>
        <w:rPr>
          <w:rFonts w:ascii="宋体" w:hAnsi="宋体" w:cs="宋体" w:eastAsia="宋体" w:hint="default"/>
          <w:b/>
          <w:bCs/>
          <w:w w:val="100"/>
          <w:sz w:val="21"/>
          <w:szCs w:val="21"/>
        </w:rPr>
        <w:t>其他应收</w:t>
      </w:r>
      <w:r>
        <w:rPr>
          <w:rFonts w:ascii="宋体" w:hAnsi="宋体" w:cs="宋体" w:eastAsia="宋体" w:hint="default"/>
          <w:b/>
          <w:bCs/>
          <w:spacing w:val="-2"/>
          <w:w w:val="100"/>
          <w:sz w:val="21"/>
          <w:szCs w:val="21"/>
        </w:rPr>
        <w:t>款</w:t>
      </w:r>
      <w:r>
        <w:rPr>
          <w:rFonts w:ascii="宋体" w:hAnsi="宋体" w:cs="宋体" w:eastAsia="宋体" w:hint="default"/>
          <w:b/>
          <w:bCs/>
          <w:w w:val="99"/>
          <w:sz w:val="21"/>
          <w:szCs w:val="21"/>
        </w:rPr>
        <w:t> </w:t>
      </w:r>
      <w:r>
        <w:rPr>
          <w:rFonts w:ascii="宋体" w:hAnsi="宋体" w:cs="宋体" w:eastAsia="宋体" w:hint="default"/>
          <w:sz w:val="21"/>
          <w:szCs w:val="21"/>
        </w:rPr>
      </w:r>
    </w:p>
    <w:p>
      <w:pPr>
        <w:pStyle w:val="Heading3"/>
        <w:spacing w:line="240" w:lineRule="auto" w:before="36"/>
        <w:ind w:left="236" w:right="0"/>
        <w:jc w:val="left"/>
        <w:rPr>
          <w:rFonts w:ascii="宋体" w:hAnsi="宋体" w:cs="宋体" w:eastAsia="宋体" w:hint="default"/>
          <w:b w:val="0"/>
          <w:bCs w:val="0"/>
        </w:rPr>
      </w:pPr>
      <w:r>
        <w:rPr>
          <w:rFonts w:ascii="宋体" w:hAnsi="宋体" w:cs="宋体" w:eastAsia="宋体" w:hint="default"/>
        </w:rPr>
        <w:t>(7).</w:t>
      </w:r>
      <w:r>
        <w:rPr/>
        <w:t>按账龄披露</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7"/>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1"/>
          <w:szCs w:val="21"/>
        </w:rPr>
      </w:pPr>
    </w:p>
    <w:p>
      <w:pPr>
        <w:pStyle w:val="BodyText"/>
        <w:spacing w:line="240" w:lineRule="auto"/>
        <w:ind w:left="236" w:right="0"/>
        <w:jc w:val="left"/>
        <w:rPr>
          <w:rFonts w:ascii="宋体" w:hAnsi="宋体" w:cs="宋体" w:eastAsia="宋体" w:hint="default"/>
        </w:rPr>
      </w:pPr>
      <w:r>
        <w:rPr/>
        <w:t>单位：元币种：人民币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580" w:bottom="280" w:left="1040" w:right="1560"/>
          <w:cols w:num="2" w:equalWidth="0">
            <w:col w:w="3726" w:space="3008"/>
            <w:col w:w="2576"/>
          </w:cols>
        </w:sectPr>
      </w:pPr>
    </w:p>
    <w:p>
      <w:pPr>
        <w:spacing w:line="240" w:lineRule="auto" w:before="10"/>
        <w:rPr>
          <w:rFonts w:ascii="宋体" w:hAnsi="宋体" w:cs="宋体" w:eastAsia="宋体" w:hint="default"/>
          <w:sz w:val="3"/>
          <w:szCs w:val="3"/>
        </w:rPr>
      </w:pPr>
    </w:p>
    <w:tbl>
      <w:tblPr>
        <w:tblW w:w="0" w:type="auto"/>
        <w:jc w:val="left"/>
        <w:tblInd w:w="119" w:type="dxa"/>
        <w:tblLayout w:type="fixed"/>
        <w:tblCellMar>
          <w:top w:w="0" w:type="dxa"/>
          <w:left w:w="0" w:type="dxa"/>
          <w:bottom w:w="0" w:type="dxa"/>
          <w:right w:w="0" w:type="dxa"/>
        </w:tblCellMar>
        <w:tblLook w:val="01E0"/>
      </w:tblPr>
      <w:tblGrid>
        <w:gridCol w:w="4590"/>
        <w:gridCol w:w="4472"/>
      </w:tblGrid>
      <w:tr>
        <w:trPr>
          <w:trHeight w:val="322" w:hRule="exact"/>
        </w:trPr>
        <w:tc>
          <w:tcPr>
            <w:tcW w:w="459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973"/>
              <w:jc w:val="right"/>
              <w:rPr>
                <w:rFonts w:ascii="宋体" w:hAnsi="宋体" w:cs="宋体" w:eastAsia="宋体" w:hint="default"/>
                <w:sz w:val="21"/>
                <w:szCs w:val="21"/>
              </w:rPr>
            </w:pPr>
            <w:r>
              <w:rPr>
                <w:rFonts w:ascii="宋体" w:hAnsi="宋体" w:cs="宋体" w:eastAsia="宋体" w:hint="default"/>
                <w:spacing w:val="-2"/>
                <w:sz w:val="21"/>
                <w:szCs w:val="21"/>
              </w:rPr>
              <w:t>账龄</w:t>
            </w:r>
            <w:r>
              <w:rPr>
                <w:rFonts w:ascii="宋体" w:hAnsi="宋体" w:cs="宋体" w:eastAsia="宋体" w:hint="default"/>
                <w:sz w:val="21"/>
                <w:szCs w:val="21"/>
              </w:rPr>
              <w:t> </w:t>
            </w:r>
          </w:p>
        </w:tc>
        <w:tc>
          <w:tcPr>
            <w:tcW w:w="447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center"/>
              <w:rPr>
                <w:rFonts w:ascii="宋体" w:hAnsi="宋体" w:cs="宋体" w:eastAsia="宋体" w:hint="default"/>
                <w:sz w:val="21"/>
                <w:szCs w:val="21"/>
              </w:rPr>
            </w:pPr>
            <w:r>
              <w:rPr>
                <w:rFonts w:ascii="宋体" w:hAnsi="宋体" w:cs="宋体" w:eastAsia="宋体" w:hint="default"/>
                <w:sz w:val="21"/>
                <w:szCs w:val="21"/>
              </w:rPr>
              <w:t>期末账面余额</w:t>
            </w:r>
            <w:r>
              <w:rPr>
                <w:rFonts w:ascii="宋体" w:hAnsi="宋体" w:cs="宋体" w:eastAsia="宋体" w:hint="default"/>
                <w:sz w:val="21"/>
                <w:szCs w:val="21"/>
              </w:rPr>
              <w:t> </w:t>
            </w:r>
          </w:p>
        </w:tc>
      </w:tr>
      <w:tr>
        <w:trPr>
          <w:trHeight w:val="322" w:hRule="exact"/>
        </w:trPr>
        <w:tc>
          <w:tcPr>
            <w:tcW w:w="9062"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8"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年以内</w:t>
            </w:r>
            <w:r>
              <w:rPr>
                <w:rFonts w:ascii="宋体" w:hAnsi="宋体" w:cs="宋体" w:eastAsia="宋体" w:hint="default"/>
                <w:color w:val="FF0000"/>
                <w:sz w:val="21"/>
                <w:szCs w:val="21"/>
              </w:rPr>
              <w:t> </w:t>
            </w:r>
            <w:r>
              <w:rPr>
                <w:rFonts w:ascii="宋体" w:hAnsi="宋体" w:cs="宋体" w:eastAsia="宋体" w:hint="default"/>
                <w:sz w:val="21"/>
                <w:szCs w:val="21"/>
              </w:rPr>
            </w:r>
          </w:p>
        </w:tc>
      </w:tr>
      <w:tr>
        <w:trPr>
          <w:trHeight w:val="322" w:hRule="exact"/>
        </w:trPr>
        <w:tc>
          <w:tcPr>
            <w:tcW w:w="9062" w:type="dxa"/>
            <w:gridSpan w:val="2"/>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8"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年以内分项</w:t>
            </w:r>
            <w:r>
              <w:rPr>
                <w:rFonts w:ascii="宋体" w:hAnsi="宋体" w:cs="宋体" w:eastAsia="宋体" w:hint="default"/>
                <w:sz w:val="21"/>
                <w:szCs w:val="21"/>
              </w:rPr>
              <w:t> </w:t>
            </w:r>
          </w:p>
        </w:tc>
      </w:tr>
      <w:tr>
        <w:trPr>
          <w:trHeight w:val="322" w:hRule="exact"/>
        </w:trPr>
        <w:tc>
          <w:tcPr>
            <w:tcW w:w="459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8"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年以内</w:t>
            </w:r>
            <w:r>
              <w:rPr>
                <w:rFonts w:ascii="宋体" w:hAnsi="宋体" w:cs="宋体" w:eastAsia="宋体" w:hint="default"/>
                <w:sz w:val="21"/>
                <w:szCs w:val="21"/>
              </w:rPr>
              <w:t> </w:t>
            </w:r>
          </w:p>
        </w:tc>
        <w:tc>
          <w:tcPr>
            <w:tcW w:w="447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
              <w:jc w:val="right"/>
              <w:rPr>
                <w:rFonts w:ascii="宋体" w:hAnsi="宋体" w:cs="宋体" w:eastAsia="宋体" w:hint="default"/>
                <w:sz w:val="21"/>
                <w:szCs w:val="21"/>
              </w:rPr>
            </w:pPr>
            <w:r>
              <w:rPr>
                <w:rFonts w:ascii="宋体"/>
                <w:spacing w:val="-1"/>
                <w:sz w:val="21"/>
              </w:rPr>
              <w:t>49,492,970.45</w:t>
            </w:r>
            <w:r>
              <w:rPr>
                <w:rFonts w:ascii="宋体"/>
                <w:sz w:val="21"/>
              </w:rPr>
              <w:t> </w:t>
            </w:r>
          </w:p>
        </w:tc>
      </w:tr>
      <w:tr>
        <w:trPr>
          <w:trHeight w:val="322" w:hRule="exact"/>
        </w:trPr>
        <w:tc>
          <w:tcPr>
            <w:tcW w:w="459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8"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年以内小计</w:t>
            </w:r>
            <w:r>
              <w:rPr>
                <w:rFonts w:ascii="宋体" w:hAnsi="宋体" w:cs="宋体" w:eastAsia="宋体" w:hint="default"/>
                <w:sz w:val="21"/>
                <w:szCs w:val="21"/>
              </w:rPr>
              <w:t> </w:t>
            </w:r>
          </w:p>
        </w:tc>
        <w:tc>
          <w:tcPr>
            <w:tcW w:w="447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
              <w:jc w:val="right"/>
              <w:rPr>
                <w:rFonts w:ascii="宋体" w:hAnsi="宋体" w:cs="宋体" w:eastAsia="宋体" w:hint="default"/>
                <w:sz w:val="21"/>
                <w:szCs w:val="21"/>
              </w:rPr>
            </w:pPr>
            <w:r>
              <w:rPr>
                <w:rFonts w:ascii="宋体"/>
                <w:spacing w:val="-1"/>
                <w:sz w:val="21"/>
              </w:rPr>
              <w:t>49,492,970.45</w:t>
            </w:r>
            <w:r>
              <w:rPr>
                <w:rFonts w:ascii="宋体"/>
                <w:sz w:val="21"/>
              </w:rPr>
              <w:t> </w:t>
            </w:r>
          </w:p>
        </w:tc>
      </w:tr>
      <w:tr>
        <w:trPr>
          <w:trHeight w:val="324" w:hRule="exact"/>
        </w:trPr>
        <w:tc>
          <w:tcPr>
            <w:tcW w:w="459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8"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447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
              <w:jc w:val="right"/>
              <w:rPr>
                <w:rFonts w:ascii="宋体" w:hAnsi="宋体" w:cs="宋体" w:eastAsia="宋体" w:hint="default"/>
                <w:sz w:val="21"/>
                <w:szCs w:val="21"/>
              </w:rPr>
            </w:pPr>
            <w:r>
              <w:rPr>
                <w:rFonts w:ascii="宋体"/>
                <w:spacing w:val="-1"/>
                <w:sz w:val="21"/>
              </w:rPr>
              <w:t>8,018,776.01</w:t>
            </w:r>
            <w:r>
              <w:rPr>
                <w:rFonts w:ascii="宋体"/>
                <w:sz w:val="21"/>
              </w:rPr>
              <w:t> </w:t>
            </w:r>
          </w:p>
        </w:tc>
      </w:tr>
      <w:tr>
        <w:trPr>
          <w:trHeight w:val="322" w:hRule="exact"/>
        </w:trPr>
        <w:tc>
          <w:tcPr>
            <w:tcW w:w="459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8"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447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
              <w:jc w:val="right"/>
              <w:rPr>
                <w:rFonts w:ascii="宋体" w:hAnsi="宋体" w:cs="宋体" w:eastAsia="宋体" w:hint="default"/>
                <w:sz w:val="21"/>
                <w:szCs w:val="21"/>
              </w:rPr>
            </w:pPr>
            <w:r>
              <w:rPr>
                <w:rFonts w:ascii="宋体"/>
                <w:spacing w:val="-1"/>
                <w:sz w:val="21"/>
              </w:rPr>
              <w:t>5,776,678.09</w:t>
            </w:r>
            <w:r>
              <w:rPr>
                <w:rFonts w:ascii="宋体"/>
                <w:sz w:val="21"/>
              </w:rPr>
              <w:t> </w:t>
            </w:r>
          </w:p>
        </w:tc>
      </w:tr>
      <w:tr>
        <w:trPr>
          <w:trHeight w:val="322" w:hRule="exact"/>
        </w:trPr>
        <w:tc>
          <w:tcPr>
            <w:tcW w:w="459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8"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年以上</w:t>
            </w:r>
            <w:r>
              <w:rPr>
                <w:rFonts w:ascii="宋体" w:hAnsi="宋体" w:cs="宋体" w:eastAsia="宋体" w:hint="default"/>
                <w:sz w:val="21"/>
                <w:szCs w:val="21"/>
              </w:rPr>
              <w:t> </w:t>
            </w:r>
          </w:p>
        </w:tc>
        <w:tc>
          <w:tcPr>
            <w:tcW w:w="447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
              <w:jc w:val="right"/>
              <w:rPr>
                <w:rFonts w:ascii="宋体" w:hAnsi="宋体" w:cs="宋体" w:eastAsia="宋体" w:hint="default"/>
                <w:sz w:val="21"/>
                <w:szCs w:val="21"/>
              </w:rPr>
            </w:pPr>
            <w:r>
              <w:rPr>
                <w:rFonts w:ascii="宋体"/>
                <w:spacing w:val="-1"/>
                <w:sz w:val="21"/>
              </w:rPr>
              <w:t>3,043,269.86</w:t>
            </w:r>
            <w:r>
              <w:rPr>
                <w:rFonts w:ascii="宋体"/>
                <w:sz w:val="21"/>
              </w:rPr>
              <w:t> </w:t>
            </w:r>
          </w:p>
        </w:tc>
      </w:tr>
      <w:tr>
        <w:trPr>
          <w:trHeight w:val="322" w:hRule="exact"/>
        </w:trPr>
        <w:tc>
          <w:tcPr>
            <w:tcW w:w="459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973"/>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447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
              <w:jc w:val="right"/>
              <w:rPr>
                <w:rFonts w:ascii="宋体" w:hAnsi="宋体" w:cs="宋体" w:eastAsia="宋体" w:hint="default"/>
                <w:sz w:val="21"/>
                <w:szCs w:val="21"/>
              </w:rPr>
            </w:pPr>
            <w:r>
              <w:rPr>
                <w:rFonts w:ascii="宋体"/>
                <w:spacing w:val="-1"/>
                <w:sz w:val="21"/>
              </w:rPr>
              <w:t>66,331,694.41</w:t>
            </w:r>
            <w:r>
              <w:rPr>
                <w:rFonts w:ascii="宋体"/>
                <w:sz w:val="21"/>
              </w:rPr>
              <w:t> </w:t>
            </w:r>
          </w:p>
        </w:tc>
      </w:tr>
    </w:tbl>
    <w:p>
      <w:pPr>
        <w:pStyle w:val="Heading2"/>
        <w:spacing w:line="273" w:lineRule="exact"/>
        <w:ind w:left="236" w:right="0"/>
        <w:jc w:val="left"/>
        <w:rPr>
          <w:rFonts w:ascii="宋体" w:hAnsi="宋体" w:cs="宋体" w:eastAsia="宋体" w:hint="default"/>
        </w:rPr>
      </w:pPr>
      <w:r>
        <w:rPr>
          <w:rFonts w:ascii="宋体"/>
        </w:rPr>
        <w:t> </w:t>
      </w:r>
    </w:p>
    <w:p>
      <w:pPr>
        <w:pStyle w:val="Heading2"/>
        <w:spacing w:line="313" w:lineRule="exact"/>
        <w:ind w:left="236" w:right="0"/>
        <w:jc w:val="left"/>
        <w:rPr>
          <w:rFonts w:ascii="宋体" w:hAnsi="宋体" w:cs="宋体" w:eastAsia="宋体" w:hint="default"/>
        </w:rPr>
      </w:pPr>
      <w:r>
        <w:rPr>
          <w:rFonts w:ascii="宋体"/>
        </w:rPr>
        <w:t> </w:t>
      </w:r>
    </w:p>
    <w:p>
      <w:pPr>
        <w:spacing w:after="0" w:line="313" w:lineRule="exact"/>
        <w:jc w:val="left"/>
        <w:rPr>
          <w:rFonts w:ascii="宋体" w:hAnsi="宋体" w:cs="宋体" w:eastAsia="宋体" w:hint="default"/>
        </w:rPr>
        <w:sectPr>
          <w:type w:val="continuous"/>
          <w:pgSz w:w="11910" w:h="16840"/>
          <w:pgMar w:top="1580" w:bottom="280" w:left="1040" w:right="1560"/>
        </w:sectPr>
      </w:pPr>
    </w:p>
    <w:p>
      <w:pPr>
        <w:spacing w:line="240" w:lineRule="auto" w:before="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pgSz w:w="11910" w:h="16840"/>
          <w:pgMar w:header="0" w:footer="974" w:top="1140" w:bottom="1160" w:left="1060" w:right="1560"/>
        </w:sectPr>
      </w:pPr>
    </w:p>
    <w:p>
      <w:pPr>
        <w:pStyle w:val="Heading3"/>
        <w:spacing w:line="240" w:lineRule="auto" w:before="36"/>
        <w:ind w:left="216" w:right="0"/>
        <w:jc w:val="left"/>
        <w:rPr>
          <w:rFonts w:ascii="宋体" w:hAnsi="宋体" w:cs="宋体" w:eastAsia="宋体" w:hint="default"/>
          <w:b w:val="0"/>
          <w:bCs w:val="0"/>
        </w:rPr>
      </w:pPr>
      <w:r>
        <w:rPr>
          <w:rFonts w:ascii="宋体" w:hAnsi="宋体" w:cs="宋体" w:eastAsia="宋体" w:hint="default"/>
        </w:rPr>
        <w:t>(8).</w:t>
      </w:r>
      <w:r>
        <w:rPr/>
        <w:t>按款项性质分类情况</w:t>
      </w:r>
      <w:r>
        <w:rPr>
          <w:rFonts w:ascii="宋体" w:hAnsi="宋体" w:cs="宋体" w:eastAsia="宋体" w:hint="default"/>
          <w:w w:val="99"/>
        </w:rPr>
        <w:t> </w:t>
      </w:r>
      <w:r>
        <w:rPr>
          <w:rFonts w:ascii="宋体" w:hAnsi="宋体" w:cs="宋体" w:eastAsia="宋体" w:hint="default"/>
          <w:b w:val="0"/>
          <w:bCs w:val="0"/>
        </w:rPr>
      </w:r>
    </w:p>
    <w:p>
      <w:pPr>
        <w:pStyle w:val="Heading2"/>
        <w:spacing w:line="240" w:lineRule="auto" w:before="69"/>
        <w:ind w:left="21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spacing w:line="240" w:lineRule="auto"/>
        <w:ind w:left="216" w:right="0"/>
        <w:jc w:val="left"/>
        <w:rPr>
          <w:rFonts w:ascii="宋体" w:hAnsi="宋体" w:cs="宋体" w:eastAsia="宋体" w:hint="default"/>
        </w:rPr>
      </w:pPr>
      <w:r>
        <w:rPr/>
        <w:t>单位：元币种：人民币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580" w:bottom="280" w:left="1060" w:right="1560"/>
          <w:cols w:num="2" w:equalWidth="0">
            <w:col w:w="2649" w:space="3864"/>
            <w:col w:w="2777"/>
          </w:cols>
        </w:sectPr>
      </w:pPr>
    </w:p>
    <w:p>
      <w:pPr>
        <w:spacing w:line="240" w:lineRule="auto" w:before="10"/>
        <w:rPr>
          <w:rFonts w:ascii="宋体" w:hAnsi="宋体" w:cs="宋体" w:eastAsia="宋体" w:hint="default"/>
          <w:sz w:val="3"/>
          <w:szCs w:val="3"/>
        </w:rPr>
      </w:pPr>
    </w:p>
    <w:tbl>
      <w:tblPr>
        <w:tblW w:w="0" w:type="auto"/>
        <w:jc w:val="left"/>
        <w:tblInd w:w="103" w:type="dxa"/>
        <w:tblLayout w:type="fixed"/>
        <w:tblCellMar>
          <w:top w:w="0" w:type="dxa"/>
          <w:left w:w="0" w:type="dxa"/>
          <w:bottom w:w="0" w:type="dxa"/>
          <w:right w:w="0" w:type="dxa"/>
        </w:tblCellMar>
        <w:tblLook w:val="01E0"/>
      </w:tblPr>
      <w:tblGrid>
        <w:gridCol w:w="3078"/>
        <w:gridCol w:w="2981"/>
        <w:gridCol w:w="2991"/>
      </w:tblGrid>
      <w:tr>
        <w:trPr>
          <w:trHeight w:val="322" w:hRule="exact"/>
        </w:trPr>
        <w:tc>
          <w:tcPr>
            <w:tcW w:w="307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114" w:right="0"/>
              <w:jc w:val="left"/>
              <w:rPr>
                <w:rFonts w:ascii="宋体" w:hAnsi="宋体" w:cs="宋体" w:eastAsia="宋体" w:hint="default"/>
                <w:sz w:val="21"/>
                <w:szCs w:val="21"/>
              </w:rPr>
            </w:pPr>
            <w:r>
              <w:rPr>
                <w:rFonts w:ascii="宋体" w:hAnsi="宋体" w:cs="宋体" w:eastAsia="宋体" w:hint="default"/>
                <w:sz w:val="21"/>
                <w:szCs w:val="21"/>
              </w:rPr>
              <w:t>款项性质</w:t>
            </w:r>
            <w:r>
              <w:rPr>
                <w:rFonts w:ascii="宋体" w:hAnsi="宋体" w:cs="宋体" w:eastAsia="宋体" w:hint="default"/>
                <w:sz w:val="21"/>
                <w:szCs w:val="21"/>
              </w:rPr>
              <w:t> </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851" w:right="0"/>
              <w:jc w:val="left"/>
              <w:rPr>
                <w:rFonts w:ascii="宋体" w:hAnsi="宋体" w:cs="宋体" w:eastAsia="宋体" w:hint="default"/>
                <w:sz w:val="21"/>
                <w:szCs w:val="21"/>
              </w:rPr>
            </w:pPr>
            <w:r>
              <w:rPr>
                <w:rFonts w:ascii="宋体" w:hAnsi="宋体" w:cs="宋体" w:eastAsia="宋体" w:hint="default"/>
                <w:sz w:val="21"/>
                <w:szCs w:val="21"/>
              </w:rPr>
              <w:t>期末账面余额</w:t>
            </w:r>
            <w:r>
              <w:rPr>
                <w:rFonts w:ascii="宋体" w:hAnsi="宋体" w:cs="宋体" w:eastAsia="宋体" w:hint="default"/>
                <w:sz w:val="21"/>
                <w:szCs w:val="21"/>
              </w:rPr>
              <w:t> </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859" w:right="0"/>
              <w:jc w:val="left"/>
              <w:rPr>
                <w:rFonts w:ascii="宋体" w:hAnsi="宋体" w:cs="宋体" w:eastAsia="宋体" w:hint="default"/>
                <w:sz w:val="21"/>
                <w:szCs w:val="21"/>
              </w:rPr>
            </w:pPr>
            <w:r>
              <w:rPr>
                <w:rFonts w:ascii="宋体" w:hAnsi="宋体" w:cs="宋体" w:eastAsia="宋体" w:hint="default"/>
                <w:sz w:val="21"/>
                <w:szCs w:val="21"/>
              </w:rPr>
              <w:t>期初账面余额</w:t>
            </w:r>
            <w:r>
              <w:rPr>
                <w:rFonts w:ascii="宋体" w:hAnsi="宋体" w:cs="宋体" w:eastAsia="宋体" w:hint="default"/>
                <w:sz w:val="21"/>
                <w:szCs w:val="21"/>
              </w:rPr>
              <w:t> </w:t>
            </w:r>
          </w:p>
        </w:tc>
      </w:tr>
      <w:tr>
        <w:trPr>
          <w:trHeight w:val="322" w:hRule="exact"/>
        </w:trPr>
        <w:tc>
          <w:tcPr>
            <w:tcW w:w="307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保证金</w:t>
            </w:r>
            <w:r>
              <w:rPr>
                <w:rFonts w:ascii="宋体" w:hAnsi="宋体" w:cs="宋体" w:eastAsia="宋体" w:hint="default"/>
                <w:sz w:val="24"/>
                <w:szCs w:val="24"/>
              </w:rPr>
              <w:t> </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36,809,593.48</w:t>
            </w:r>
            <w:r>
              <w:rPr>
                <w:rFonts w:ascii="宋体"/>
                <w:sz w:val="21"/>
              </w:rPr>
              <w:t> </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30,496,019.12</w:t>
            </w:r>
            <w:r>
              <w:rPr>
                <w:rFonts w:ascii="宋体"/>
                <w:sz w:val="21"/>
              </w:rPr>
              <w:t> </w:t>
            </w:r>
          </w:p>
        </w:tc>
      </w:tr>
      <w:tr>
        <w:trPr>
          <w:trHeight w:val="322" w:hRule="exact"/>
        </w:trPr>
        <w:tc>
          <w:tcPr>
            <w:tcW w:w="307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备用金</w:t>
            </w:r>
            <w:r>
              <w:rPr>
                <w:rFonts w:ascii="宋体" w:hAnsi="宋体" w:cs="宋体" w:eastAsia="宋体" w:hint="default"/>
                <w:sz w:val="24"/>
                <w:szCs w:val="24"/>
              </w:rPr>
              <w:t> </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5,387,342.93</w:t>
            </w:r>
            <w:r>
              <w:rPr>
                <w:rFonts w:ascii="宋体"/>
                <w:sz w:val="21"/>
              </w:rPr>
              <w:t> </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8,009,739.53</w:t>
            </w:r>
            <w:r>
              <w:rPr>
                <w:rFonts w:ascii="宋体"/>
                <w:sz w:val="21"/>
              </w:rPr>
              <w:t> </w:t>
            </w:r>
          </w:p>
        </w:tc>
      </w:tr>
      <w:tr>
        <w:trPr>
          <w:trHeight w:val="324" w:hRule="exact"/>
        </w:trPr>
        <w:tc>
          <w:tcPr>
            <w:tcW w:w="3078"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代收代付款项</w:t>
            </w:r>
            <w:r>
              <w:rPr>
                <w:rFonts w:ascii="宋体" w:hAnsi="宋体" w:cs="宋体" w:eastAsia="宋体" w:hint="default"/>
                <w:sz w:val="24"/>
                <w:szCs w:val="24"/>
              </w:rPr>
              <w:t> </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
              <w:jc w:val="right"/>
              <w:rPr>
                <w:rFonts w:ascii="宋体" w:hAnsi="宋体" w:cs="宋体" w:eastAsia="宋体" w:hint="default"/>
                <w:sz w:val="21"/>
                <w:szCs w:val="21"/>
              </w:rPr>
            </w:pPr>
            <w:r>
              <w:rPr>
                <w:rFonts w:ascii="宋体"/>
                <w:spacing w:val="-1"/>
                <w:sz w:val="21"/>
              </w:rPr>
              <w:t>6,298,137.54</w:t>
            </w:r>
            <w:r>
              <w:rPr>
                <w:rFonts w:ascii="宋体"/>
                <w:sz w:val="21"/>
              </w:rPr>
              <w:t> </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spacing w:val="-1"/>
                <w:sz w:val="21"/>
              </w:rPr>
              <w:t>7,282,581.36</w:t>
            </w:r>
            <w:r>
              <w:rPr>
                <w:rFonts w:ascii="宋体"/>
                <w:sz w:val="21"/>
              </w:rPr>
              <w:t> </w:t>
            </w:r>
          </w:p>
        </w:tc>
      </w:tr>
      <w:tr>
        <w:trPr>
          <w:trHeight w:val="322" w:hRule="exact"/>
        </w:trPr>
        <w:tc>
          <w:tcPr>
            <w:tcW w:w="307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企业间往来</w:t>
            </w:r>
            <w:r>
              <w:rPr>
                <w:rFonts w:ascii="宋体" w:hAnsi="宋体" w:cs="宋体" w:eastAsia="宋体" w:hint="default"/>
                <w:sz w:val="24"/>
                <w:szCs w:val="24"/>
              </w:rPr>
              <w:t> </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17,836,620.46</w:t>
            </w:r>
            <w:r>
              <w:rPr>
                <w:rFonts w:ascii="宋体"/>
                <w:sz w:val="21"/>
              </w:rPr>
              <w:t> </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13,705,797.83</w:t>
            </w:r>
            <w:r>
              <w:rPr>
                <w:rFonts w:ascii="宋体"/>
                <w:sz w:val="21"/>
              </w:rPr>
              <w:t> </w:t>
            </w:r>
          </w:p>
        </w:tc>
      </w:tr>
      <w:tr>
        <w:trPr>
          <w:trHeight w:val="322" w:hRule="exact"/>
        </w:trPr>
        <w:tc>
          <w:tcPr>
            <w:tcW w:w="307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合计</w:t>
            </w:r>
            <w:r>
              <w:rPr>
                <w:rFonts w:ascii="宋体" w:hAnsi="宋体" w:cs="宋体" w:eastAsia="宋体" w:hint="default"/>
                <w:sz w:val="24"/>
                <w:szCs w:val="24"/>
              </w:rPr>
              <w:t> </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66,331,694.41</w:t>
            </w:r>
            <w:r>
              <w:rPr>
                <w:rFonts w:ascii="宋体"/>
                <w:sz w:val="21"/>
              </w:rPr>
              <w:t> </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59,494,137.84</w:t>
            </w:r>
            <w:r>
              <w:rPr>
                <w:rFonts w:ascii="宋体"/>
                <w:sz w:val="21"/>
              </w:rPr>
              <w:t> </w:t>
            </w:r>
          </w:p>
        </w:tc>
      </w:tr>
    </w:tbl>
    <w:p>
      <w:pPr>
        <w:spacing w:after="0" w:line="262" w:lineRule="exact"/>
        <w:jc w:val="right"/>
        <w:rPr>
          <w:rFonts w:ascii="宋体" w:hAnsi="宋体" w:cs="宋体" w:eastAsia="宋体" w:hint="default"/>
          <w:sz w:val="21"/>
          <w:szCs w:val="21"/>
        </w:rPr>
        <w:sectPr>
          <w:type w:val="continuous"/>
          <w:pgSz w:w="11910" w:h="16840"/>
          <w:pgMar w:top="1580" w:bottom="280" w:left="1060" w:right="1560"/>
        </w:sectPr>
      </w:pPr>
    </w:p>
    <w:p>
      <w:pPr>
        <w:pStyle w:val="Heading2"/>
        <w:spacing w:line="274" w:lineRule="exact"/>
        <w:ind w:left="216" w:right="0"/>
        <w:jc w:val="left"/>
        <w:rPr>
          <w:rFonts w:ascii="宋体" w:hAnsi="宋体" w:cs="宋体" w:eastAsia="宋体" w:hint="default"/>
        </w:rPr>
      </w:pPr>
      <w:r>
        <w:rPr>
          <w:rFonts w:ascii="宋体"/>
        </w:rPr>
        <w:t> </w:t>
      </w:r>
    </w:p>
    <w:p>
      <w:pPr>
        <w:pStyle w:val="Heading3"/>
        <w:spacing w:line="240" w:lineRule="auto" w:before="85"/>
        <w:ind w:left="216" w:right="0"/>
        <w:jc w:val="left"/>
        <w:rPr>
          <w:rFonts w:ascii="宋体" w:hAnsi="宋体" w:cs="宋体" w:eastAsia="宋体" w:hint="default"/>
          <w:b w:val="0"/>
          <w:bCs w:val="0"/>
        </w:rPr>
      </w:pPr>
      <w:r>
        <w:rPr>
          <w:rFonts w:ascii="宋体" w:hAnsi="宋体" w:cs="宋体" w:eastAsia="宋体" w:hint="default"/>
        </w:rPr>
        <w:t>(9).</w:t>
      </w:r>
      <w:r>
        <w:rPr/>
        <w:t>坏账准备计提情况</w:t>
      </w:r>
      <w:r>
        <w:rPr>
          <w:rFonts w:ascii="宋体" w:hAnsi="宋体" w:cs="宋体" w:eastAsia="宋体" w:hint="default"/>
          <w:w w:val="99"/>
        </w:rPr>
        <w:t> </w:t>
      </w:r>
      <w:r>
        <w:rPr>
          <w:rFonts w:ascii="宋体" w:hAnsi="宋体" w:cs="宋体" w:eastAsia="宋体" w:hint="default"/>
          <w:b w:val="0"/>
          <w:bCs w:val="0"/>
        </w:rPr>
      </w:r>
    </w:p>
    <w:p>
      <w:pPr>
        <w:pStyle w:val="Heading2"/>
        <w:spacing w:line="240" w:lineRule="auto" w:before="70"/>
        <w:ind w:left="21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pStyle w:val="BodyText"/>
        <w:spacing w:line="240" w:lineRule="auto"/>
        <w:ind w:left="216" w:right="0"/>
        <w:jc w:val="left"/>
        <w:rPr>
          <w:rFonts w:ascii="宋体" w:hAnsi="宋体" w:cs="宋体" w:eastAsia="宋体" w:hint="default"/>
        </w:rPr>
      </w:pPr>
      <w:r>
        <w:rPr/>
        <w:t>单位：元币种：人民币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580" w:bottom="280" w:left="1060" w:right="1560"/>
          <w:cols w:num="2" w:equalWidth="0">
            <w:col w:w="2438" w:space="4192"/>
            <w:col w:w="2660"/>
          </w:cols>
        </w:sectPr>
      </w:pPr>
    </w:p>
    <w:p>
      <w:pPr>
        <w:spacing w:line="240" w:lineRule="auto" w:before="10"/>
        <w:rPr>
          <w:rFonts w:ascii="宋体" w:hAnsi="宋体" w:cs="宋体" w:eastAsia="宋体" w:hint="default"/>
          <w:sz w:val="3"/>
          <w:szCs w:val="3"/>
        </w:rPr>
      </w:pPr>
    </w:p>
    <w:tbl>
      <w:tblPr>
        <w:tblW w:w="0" w:type="auto"/>
        <w:jc w:val="left"/>
        <w:tblInd w:w="103" w:type="dxa"/>
        <w:tblLayout w:type="fixed"/>
        <w:tblCellMar>
          <w:top w:w="0" w:type="dxa"/>
          <w:left w:w="0" w:type="dxa"/>
          <w:bottom w:w="0" w:type="dxa"/>
          <w:right w:w="0" w:type="dxa"/>
        </w:tblCellMar>
        <w:tblLook w:val="01E0"/>
      </w:tblPr>
      <w:tblGrid>
        <w:gridCol w:w="1812"/>
        <w:gridCol w:w="1673"/>
        <w:gridCol w:w="2036"/>
        <w:gridCol w:w="1822"/>
        <w:gridCol w:w="1707"/>
      </w:tblGrid>
      <w:tr>
        <w:trPr>
          <w:trHeight w:val="322" w:hRule="exact"/>
        </w:trPr>
        <w:tc>
          <w:tcPr>
            <w:tcW w:w="181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480" w:right="0"/>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sz w:val="21"/>
                <w:szCs w:val="21"/>
              </w:rPr>
              <w:t> </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10" w:right="0"/>
              <w:jc w:val="left"/>
              <w:rPr>
                <w:rFonts w:ascii="宋体" w:hAnsi="宋体" w:cs="宋体" w:eastAsia="宋体" w:hint="default"/>
                <w:sz w:val="21"/>
                <w:szCs w:val="21"/>
              </w:rPr>
            </w:pPr>
            <w:r>
              <w:rPr>
                <w:rFonts w:ascii="宋体" w:hAnsi="宋体" w:cs="宋体" w:eastAsia="宋体" w:hint="default"/>
                <w:sz w:val="21"/>
                <w:szCs w:val="21"/>
              </w:rPr>
              <w:t>第一阶段</w:t>
            </w:r>
            <w:r>
              <w:rPr>
                <w:rFonts w:ascii="宋体" w:hAnsi="宋体" w:cs="宋体" w:eastAsia="宋体" w:hint="default"/>
                <w:sz w:val="21"/>
                <w:szCs w:val="21"/>
              </w:rPr>
              <w:t> </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90" w:right="0"/>
              <w:jc w:val="left"/>
              <w:rPr>
                <w:rFonts w:ascii="宋体" w:hAnsi="宋体" w:cs="宋体" w:eastAsia="宋体" w:hint="default"/>
                <w:sz w:val="21"/>
                <w:szCs w:val="21"/>
              </w:rPr>
            </w:pPr>
            <w:r>
              <w:rPr>
                <w:rFonts w:ascii="宋体" w:hAnsi="宋体" w:cs="宋体" w:eastAsia="宋体" w:hint="default"/>
                <w:sz w:val="21"/>
                <w:szCs w:val="21"/>
              </w:rPr>
              <w:t>第二阶段</w:t>
            </w:r>
            <w:r>
              <w:rPr>
                <w:rFonts w:ascii="宋体" w:hAnsi="宋体" w:cs="宋体" w:eastAsia="宋体" w:hint="default"/>
                <w:sz w:val="21"/>
                <w:szCs w:val="21"/>
              </w:rPr>
              <w:t> </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84" w:right="0"/>
              <w:jc w:val="left"/>
              <w:rPr>
                <w:rFonts w:ascii="宋体" w:hAnsi="宋体" w:cs="宋体" w:eastAsia="宋体" w:hint="default"/>
                <w:sz w:val="21"/>
                <w:szCs w:val="21"/>
              </w:rPr>
            </w:pPr>
            <w:r>
              <w:rPr>
                <w:rFonts w:ascii="宋体" w:hAnsi="宋体" w:cs="宋体" w:eastAsia="宋体" w:hint="default"/>
                <w:sz w:val="21"/>
                <w:szCs w:val="21"/>
              </w:rPr>
              <w:t>第三阶段</w:t>
            </w:r>
            <w:r>
              <w:rPr>
                <w:rFonts w:ascii="宋体" w:hAnsi="宋体" w:cs="宋体" w:eastAsia="宋体" w:hint="default"/>
                <w:sz w:val="21"/>
                <w:szCs w:val="21"/>
              </w:rPr>
              <w:t> </w:t>
            </w:r>
          </w:p>
        </w:tc>
        <w:tc>
          <w:tcPr>
            <w:tcW w:w="170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638"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r>
      <w:tr>
        <w:trPr>
          <w:trHeight w:val="946" w:hRule="exact"/>
        </w:trPr>
        <w:tc>
          <w:tcPr>
            <w:tcW w:w="1812" w:type="dxa"/>
            <w:vMerge/>
            <w:tcBorders>
              <w:left w:val="single" w:sz="4" w:space="0" w:color="000000"/>
              <w:bottom w:val="single" w:sz="4" w:space="0" w:color="000000"/>
              <w:right w:val="single" w:sz="4" w:space="0" w:color="000000"/>
            </w:tcBorders>
          </w:tcPr>
          <w:p>
            <w:pP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304" w:right="197" w:hanging="104"/>
              <w:jc w:val="left"/>
              <w:rPr>
                <w:rFonts w:ascii="宋体" w:hAnsi="宋体" w:cs="宋体" w:eastAsia="宋体" w:hint="default"/>
                <w:sz w:val="21"/>
                <w:szCs w:val="21"/>
              </w:rPr>
            </w:pPr>
            <w:r>
              <w:rPr>
                <w:rFonts w:ascii="宋体" w:hAnsi="宋体" w:cs="宋体" w:eastAsia="宋体" w:hint="default"/>
                <w:sz w:val="21"/>
                <w:szCs w:val="21"/>
              </w:rPr>
              <w:t>未来</w:t>
            </w:r>
            <w:r>
              <w:rPr>
                <w:rFonts w:ascii="宋体" w:hAnsi="宋体" w:cs="宋体" w:eastAsia="宋体" w:hint="default"/>
                <w:sz w:val="21"/>
                <w:szCs w:val="21"/>
              </w:rPr>
              <w:t>12</w:t>
            </w:r>
            <w:r>
              <w:rPr>
                <w:rFonts w:ascii="宋体" w:hAnsi="宋体" w:cs="宋体" w:eastAsia="宋体" w:hint="default"/>
                <w:sz w:val="21"/>
                <w:szCs w:val="21"/>
              </w:rPr>
              <w:t>个月预</w:t>
            </w:r>
            <w:r>
              <w:rPr>
                <w:rFonts w:ascii="宋体" w:hAnsi="宋体" w:cs="宋体" w:eastAsia="宋体" w:hint="default"/>
                <w:w w:val="100"/>
                <w:sz w:val="21"/>
                <w:szCs w:val="21"/>
              </w:rPr>
              <w:t> </w:t>
            </w:r>
            <w:r>
              <w:rPr>
                <w:rFonts w:ascii="宋体" w:hAnsi="宋体" w:cs="宋体" w:eastAsia="宋体" w:hint="default"/>
                <w:sz w:val="21"/>
                <w:szCs w:val="21"/>
              </w:rPr>
              <w:t>期信用损失</w:t>
            </w:r>
            <w:r>
              <w:rPr>
                <w:rFonts w:ascii="宋体" w:hAnsi="宋体" w:cs="宋体" w:eastAsia="宋体" w:hint="default"/>
                <w:sz w:val="21"/>
                <w:szCs w:val="21"/>
              </w:rPr>
              <w:t> </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17" w:right="118"/>
              <w:jc w:val="center"/>
              <w:rPr>
                <w:rFonts w:ascii="宋体" w:hAnsi="宋体" w:cs="宋体" w:eastAsia="宋体" w:hint="default"/>
                <w:sz w:val="21"/>
                <w:szCs w:val="21"/>
              </w:rPr>
            </w:pPr>
            <w:r>
              <w:rPr>
                <w:rFonts w:ascii="宋体" w:hAnsi="宋体" w:cs="宋体" w:eastAsia="宋体" w:hint="default"/>
                <w:sz w:val="21"/>
                <w:szCs w:val="21"/>
              </w:rPr>
              <w:t>整个存续期预期信</w:t>
            </w:r>
            <w:r>
              <w:rPr>
                <w:rFonts w:ascii="宋体" w:hAnsi="宋体" w:cs="宋体" w:eastAsia="宋体" w:hint="default"/>
                <w:w w:val="100"/>
                <w:sz w:val="21"/>
                <w:szCs w:val="21"/>
              </w:rPr>
              <w:t> </w:t>
            </w:r>
            <w:r>
              <w:rPr>
                <w:rFonts w:ascii="宋体" w:hAnsi="宋体" w:cs="宋体" w:eastAsia="宋体" w:hint="default"/>
                <w:spacing w:val="-1"/>
                <w:sz w:val="21"/>
                <w:szCs w:val="21"/>
              </w:rPr>
              <w:t>用损失</w:t>
            </w:r>
            <w:r>
              <w:rPr>
                <w:rFonts w:ascii="宋体" w:hAnsi="宋体" w:cs="宋体" w:eastAsia="宋体" w:hint="default"/>
                <w:spacing w:val="-1"/>
                <w:sz w:val="21"/>
                <w:szCs w:val="21"/>
              </w:rPr>
              <w:t>(</w:t>
            </w:r>
            <w:r>
              <w:rPr>
                <w:rFonts w:ascii="宋体" w:hAnsi="宋体" w:cs="宋体" w:eastAsia="宋体" w:hint="default"/>
                <w:spacing w:val="-1"/>
                <w:sz w:val="21"/>
                <w:szCs w:val="21"/>
              </w:rPr>
              <w:t>未发生信用</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减值</w:t>
            </w:r>
            <w:r>
              <w:rPr>
                <w:rFonts w:ascii="宋体" w:hAnsi="宋体" w:cs="宋体" w:eastAsia="宋体" w:hint="default"/>
                <w:sz w:val="21"/>
                <w:szCs w:val="21"/>
              </w:rPr>
              <w:t>) </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17" w:right="115" w:firstLine="2"/>
              <w:jc w:val="center"/>
              <w:rPr>
                <w:rFonts w:ascii="宋体" w:hAnsi="宋体" w:cs="宋体" w:eastAsia="宋体" w:hint="default"/>
                <w:sz w:val="21"/>
                <w:szCs w:val="21"/>
              </w:rPr>
            </w:pPr>
            <w:r>
              <w:rPr>
                <w:rFonts w:ascii="宋体" w:hAnsi="宋体" w:cs="宋体" w:eastAsia="宋体" w:hint="default"/>
                <w:sz w:val="21"/>
                <w:szCs w:val="21"/>
              </w:rPr>
              <w:t>整个存续期预期</w:t>
            </w:r>
            <w:r>
              <w:rPr>
                <w:rFonts w:ascii="宋体" w:hAnsi="宋体" w:cs="宋体" w:eastAsia="宋体" w:hint="default"/>
                <w:w w:val="100"/>
                <w:sz w:val="21"/>
                <w:szCs w:val="21"/>
              </w:rPr>
              <w:t> </w:t>
            </w:r>
            <w:r>
              <w:rPr>
                <w:rFonts w:ascii="宋体" w:hAnsi="宋体" w:cs="宋体" w:eastAsia="宋体" w:hint="default"/>
                <w:spacing w:val="-2"/>
                <w:sz w:val="21"/>
                <w:szCs w:val="21"/>
              </w:rPr>
              <w:t>信用损失</w:t>
            </w:r>
            <w:r>
              <w:rPr>
                <w:rFonts w:ascii="宋体" w:hAnsi="宋体" w:cs="宋体" w:eastAsia="宋体" w:hint="default"/>
                <w:spacing w:val="-2"/>
                <w:sz w:val="21"/>
                <w:szCs w:val="21"/>
              </w:rPr>
              <w:t>(</w:t>
            </w:r>
            <w:r>
              <w:rPr>
                <w:rFonts w:ascii="宋体" w:hAnsi="宋体" w:cs="宋体" w:eastAsia="宋体" w:hint="default"/>
                <w:spacing w:val="-2"/>
                <w:sz w:val="21"/>
                <w:szCs w:val="21"/>
              </w:rPr>
              <w:t>已发生</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信用减值</w:t>
            </w:r>
            <w:r>
              <w:rPr>
                <w:rFonts w:ascii="宋体" w:hAnsi="宋体" w:cs="宋体" w:eastAsia="宋体" w:hint="default"/>
                <w:sz w:val="21"/>
                <w:szCs w:val="21"/>
              </w:rPr>
              <w:t>) </w:t>
            </w:r>
          </w:p>
        </w:tc>
        <w:tc>
          <w:tcPr>
            <w:tcW w:w="1707" w:type="dxa"/>
            <w:vMerge/>
            <w:tcBorders>
              <w:left w:val="single" w:sz="4" w:space="0" w:color="000000"/>
              <w:bottom w:val="single" w:sz="4" w:space="0" w:color="000000"/>
              <w:right w:val="single" w:sz="4" w:space="0" w:color="000000"/>
            </w:tcBorders>
          </w:tcPr>
          <w:p>
            <w:pPr/>
          </w:p>
        </w:tc>
      </w:tr>
      <w:tr>
        <w:trPr>
          <w:trHeight w:val="636" w:hRule="exact"/>
        </w:trPr>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79"/>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85"/>
                <w:sz w:val="21"/>
                <w:szCs w:val="21"/>
              </w:rPr>
              <w:t> </w:t>
            </w:r>
            <w:r>
              <w:rPr>
                <w:rFonts w:ascii="宋体" w:hAnsi="宋体" w:cs="宋体" w:eastAsia="宋体" w:hint="default"/>
                <w:sz w:val="21"/>
                <w:szCs w:val="21"/>
              </w:rPr>
              <w:t>年</w:t>
            </w:r>
            <w:r>
              <w:rPr>
                <w:rFonts w:ascii="宋体" w:hAnsi="宋体" w:cs="宋体" w:eastAsia="宋体" w:hint="default"/>
                <w:spacing w:val="-83"/>
                <w:sz w:val="21"/>
                <w:szCs w:val="21"/>
              </w:rPr>
              <w:t> </w:t>
            </w:r>
            <w:r>
              <w:rPr>
                <w:rFonts w:ascii="宋体" w:hAnsi="宋体" w:cs="宋体" w:eastAsia="宋体" w:hint="default"/>
                <w:sz w:val="21"/>
                <w:szCs w:val="21"/>
              </w:rPr>
              <w:t>1</w:t>
            </w:r>
            <w:r>
              <w:rPr>
                <w:rFonts w:ascii="宋体" w:hAnsi="宋体" w:cs="宋体" w:eastAsia="宋体" w:hint="default"/>
                <w:spacing w:val="-85"/>
                <w:sz w:val="21"/>
                <w:szCs w:val="21"/>
              </w:rPr>
              <w:t> </w:t>
            </w:r>
            <w:r>
              <w:rPr>
                <w:rFonts w:ascii="宋体" w:hAnsi="宋体" w:cs="宋体" w:eastAsia="宋体" w:hint="default"/>
                <w:sz w:val="21"/>
                <w:szCs w:val="21"/>
              </w:rPr>
              <w:t>月</w:t>
            </w:r>
            <w:r>
              <w:rPr>
                <w:rFonts w:ascii="宋体" w:hAnsi="宋体" w:cs="宋体" w:eastAsia="宋体" w:hint="default"/>
                <w:spacing w:val="-85"/>
                <w:sz w:val="21"/>
                <w:szCs w:val="21"/>
              </w:rPr>
              <w:t> </w:t>
            </w:r>
            <w:r>
              <w:rPr>
                <w:rFonts w:ascii="宋体" w:hAnsi="宋体" w:cs="宋体" w:eastAsia="宋体" w:hint="default"/>
                <w:sz w:val="21"/>
                <w:szCs w:val="21"/>
              </w:rPr>
              <w:t>1</w:t>
            </w:r>
            <w:r>
              <w:rPr>
                <w:rFonts w:ascii="宋体" w:hAnsi="宋体" w:cs="宋体" w:eastAsia="宋体" w:hint="default"/>
                <w:spacing w:val="-83"/>
                <w:sz w:val="21"/>
                <w:szCs w:val="21"/>
              </w:rPr>
              <w:t> </w:t>
            </w:r>
            <w:r>
              <w:rPr>
                <w:rFonts w:ascii="宋体" w:hAnsi="宋体" w:cs="宋体" w:eastAsia="宋体" w:hint="default"/>
                <w:spacing w:val="9"/>
                <w:sz w:val="21"/>
                <w:szCs w:val="21"/>
              </w:rPr>
              <w:t>日余</w:t>
            </w:r>
            <w:r>
              <w:rPr>
                <w:rFonts w:ascii="宋体" w:hAnsi="宋体" w:cs="宋体" w:eastAsia="宋体" w:hint="default"/>
                <w:spacing w:val="-103"/>
                <w:sz w:val="21"/>
                <w:szCs w:val="21"/>
              </w:rPr>
              <w:t> </w:t>
            </w:r>
            <w:r>
              <w:rPr>
                <w:rFonts w:ascii="宋体" w:hAnsi="宋体" w:cs="宋体" w:eastAsia="宋体" w:hint="default"/>
                <w:sz w:val="21"/>
                <w:szCs w:val="21"/>
              </w:rPr>
              <w:t>额</w:t>
            </w:r>
            <w:r>
              <w:rPr>
                <w:rFonts w:ascii="宋体" w:hAnsi="宋体" w:cs="宋体" w:eastAsia="宋体" w:hint="default"/>
                <w:sz w:val="21"/>
                <w:szCs w:val="21"/>
              </w:rPr>
              <w:t> </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3"/>
              <w:jc w:val="right"/>
              <w:rPr>
                <w:rFonts w:ascii="宋体" w:hAnsi="宋体" w:cs="宋体" w:eastAsia="宋体" w:hint="default"/>
                <w:sz w:val="21"/>
                <w:szCs w:val="21"/>
              </w:rPr>
            </w:pPr>
            <w:r>
              <w:rPr>
                <w:rFonts w:ascii="宋体"/>
                <w:spacing w:val="-1"/>
                <w:sz w:val="21"/>
              </w:rPr>
              <w:t>3,075,310.55</w:t>
            </w:r>
            <w:r>
              <w:rPr>
                <w:rFonts w:ascii="宋体"/>
                <w:sz w:val="21"/>
              </w:rPr>
              <w:t> </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
              <w:jc w:val="right"/>
              <w:rPr>
                <w:rFonts w:ascii="宋体" w:hAnsi="宋体" w:cs="宋体" w:eastAsia="宋体" w:hint="default"/>
                <w:sz w:val="21"/>
                <w:szCs w:val="21"/>
              </w:rPr>
            </w:pPr>
            <w:r>
              <w:rPr>
                <w:rFonts w:ascii="宋体"/>
                <w:spacing w:val="-1"/>
                <w:sz w:val="21"/>
              </w:rPr>
              <w:t>2,002,483.63</w:t>
            </w:r>
            <w:r>
              <w:rPr>
                <w:rFonts w:ascii="宋体"/>
                <w:sz w:val="21"/>
              </w:rPr>
              <w:t> </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3"/>
              <w:jc w:val="right"/>
              <w:rPr>
                <w:rFonts w:ascii="宋体" w:hAnsi="宋体" w:cs="宋体" w:eastAsia="宋体" w:hint="default"/>
                <w:sz w:val="21"/>
                <w:szCs w:val="21"/>
              </w:rPr>
            </w:pPr>
            <w:r>
              <w:rPr>
                <w:rFonts w:ascii="宋体"/>
                <w:spacing w:val="-1"/>
                <w:sz w:val="21"/>
              </w:rPr>
              <w:t>2,025,900.65</w:t>
            </w:r>
            <w:r>
              <w:rPr>
                <w:rFonts w:ascii="宋体"/>
                <w:sz w:val="21"/>
              </w:rPr>
              <w:t> </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3"/>
              <w:jc w:val="right"/>
              <w:rPr>
                <w:rFonts w:ascii="宋体" w:hAnsi="宋体" w:cs="宋体" w:eastAsia="宋体" w:hint="default"/>
                <w:sz w:val="21"/>
                <w:szCs w:val="21"/>
              </w:rPr>
            </w:pPr>
            <w:r>
              <w:rPr>
                <w:rFonts w:ascii="宋体"/>
                <w:spacing w:val="-1"/>
                <w:sz w:val="21"/>
              </w:rPr>
              <w:t>7,103,694.83</w:t>
            </w:r>
            <w:r>
              <w:rPr>
                <w:rFonts w:ascii="宋体"/>
                <w:sz w:val="21"/>
              </w:rPr>
              <w:t> </w:t>
            </w:r>
          </w:p>
        </w:tc>
      </w:tr>
      <w:tr>
        <w:trPr>
          <w:trHeight w:val="634" w:hRule="exact"/>
        </w:trPr>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79"/>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85"/>
                <w:sz w:val="21"/>
                <w:szCs w:val="21"/>
              </w:rPr>
              <w:t> </w:t>
            </w:r>
            <w:r>
              <w:rPr>
                <w:rFonts w:ascii="宋体" w:hAnsi="宋体" w:cs="宋体" w:eastAsia="宋体" w:hint="default"/>
                <w:sz w:val="21"/>
                <w:szCs w:val="21"/>
              </w:rPr>
              <w:t>年</w:t>
            </w:r>
            <w:r>
              <w:rPr>
                <w:rFonts w:ascii="宋体" w:hAnsi="宋体" w:cs="宋体" w:eastAsia="宋体" w:hint="default"/>
                <w:spacing w:val="-83"/>
                <w:sz w:val="21"/>
                <w:szCs w:val="21"/>
              </w:rPr>
              <w:t> </w:t>
            </w:r>
            <w:r>
              <w:rPr>
                <w:rFonts w:ascii="宋体" w:hAnsi="宋体" w:cs="宋体" w:eastAsia="宋体" w:hint="default"/>
                <w:sz w:val="21"/>
                <w:szCs w:val="21"/>
              </w:rPr>
              <w:t>1</w:t>
            </w:r>
            <w:r>
              <w:rPr>
                <w:rFonts w:ascii="宋体" w:hAnsi="宋体" w:cs="宋体" w:eastAsia="宋体" w:hint="default"/>
                <w:spacing w:val="-85"/>
                <w:sz w:val="21"/>
                <w:szCs w:val="21"/>
              </w:rPr>
              <w:t> </w:t>
            </w:r>
            <w:r>
              <w:rPr>
                <w:rFonts w:ascii="宋体" w:hAnsi="宋体" w:cs="宋体" w:eastAsia="宋体" w:hint="default"/>
                <w:sz w:val="21"/>
                <w:szCs w:val="21"/>
              </w:rPr>
              <w:t>月</w:t>
            </w:r>
            <w:r>
              <w:rPr>
                <w:rFonts w:ascii="宋体" w:hAnsi="宋体" w:cs="宋体" w:eastAsia="宋体" w:hint="default"/>
                <w:spacing w:val="-85"/>
                <w:sz w:val="21"/>
                <w:szCs w:val="21"/>
              </w:rPr>
              <w:t> </w:t>
            </w:r>
            <w:r>
              <w:rPr>
                <w:rFonts w:ascii="宋体" w:hAnsi="宋体" w:cs="宋体" w:eastAsia="宋体" w:hint="default"/>
                <w:sz w:val="21"/>
                <w:szCs w:val="21"/>
              </w:rPr>
              <w:t>1</w:t>
            </w:r>
            <w:r>
              <w:rPr>
                <w:rFonts w:ascii="宋体" w:hAnsi="宋体" w:cs="宋体" w:eastAsia="宋体" w:hint="default"/>
                <w:spacing w:val="-83"/>
                <w:sz w:val="21"/>
                <w:szCs w:val="21"/>
              </w:rPr>
              <w:t> </w:t>
            </w:r>
            <w:r>
              <w:rPr>
                <w:rFonts w:ascii="宋体" w:hAnsi="宋体" w:cs="宋体" w:eastAsia="宋体" w:hint="default"/>
                <w:spacing w:val="9"/>
                <w:sz w:val="21"/>
                <w:szCs w:val="21"/>
              </w:rPr>
              <w:t>日余</w:t>
            </w:r>
            <w:r>
              <w:rPr>
                <w:rFonts w:ascii="宋体" w:hAnsi="宋体" w:cs="宋体" w:eastAsia="宋体" w:hint="default"/>
                <w:spacing w:val="-103"/>
                <w:sz w:val="21"/>
                <w:szCs w:val="21"/>
              </w:rPr>
              <w:t> </w:t>
            </w:r>
            <w:r>
              <w:rPr>
                <w:rFonts w:ascii="宋体" w:hAnsi="宋体" w:cs="宋体" w:eastAsia="宋体" w:hint="default"/>
                <w:sz w:val="21"/>
                <w:szCs w:val="21"/>
              </w:rPr>
              <w:t>额在本期</w:t>
            </w:r>
            <w:r>
              <w:rPr>
                <w:rFonts w:ascii="宋体" w:hAnsi="宋体" w:cs="宋体" w:eastAsia="宋体" w:hint="default"/>
                <w:sz w:val="21"/>
                <w:szCs w:val="21"/>
              </w:rPr>
              <w:t> </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3"/>
              <w:jc w:val="right"/>
              <w:rPr>
                <w:rFonts w:ascii="宋体" w:hAnsi="宋体" w:cs="宋体" w:eastAsia="宋体" w:hint="default"/>
                <w:sz w:val="21"/>
                <w:szCs w:val="21"/>
              </w:rPr>
            </w:pPr>
            <w:r>
              <w:rPr>
                <w:rFonts w:ascii="宋体"/>
                <w:w w:val="100"/>
                <w:sz w:val="21"/>
              </w:rPr>
              <w:t> </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
              <w:jc w:val="right"/>
              <w:rPr>
                <w:rFonts w:ascii="宋体" w:hAnsi="宋体" w:cs="宋体" w:eastAsia="宋体" w:hint="default"/>
                <w:sz w:val="21"/>
                <w:szCs w:val="21"/>
              </w:rPr>
            </w:pPr>
            <w:r>
              <w:rPr>
                <w:rFonts w:ascii="宋体"/>
                <w:w w:val="100"/>
                <w:sz w:val="21"/>
              </w:rPr>
              <w:t> </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3"/>
              <w:jc w:val="right"/>
              <w:rPr>
                <w:rFonts w:ascii="宋体" w:hAnsi="宋体" w:cs="宋体" w:eastAsia="宋体" w:hint="default"/>
                <w:sz w:val="21"/>
                <w:szCs w:val="21"/>
              </w:rPr>
            </w:pPr>
            <w:r>
              <w:rPr>
                <w:rFonts w:ascii="宋体"/>
                <w:w w:val="100"/>
                <w:sz w:val="21"/>
              </w:rPr>
              <w:t> </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3"/>
              <w:jc w:val="right"/>
              <w:rPr>
                <w:rFonts w:ascii="宋体" w:hAnsi="宋体" w:cs="宋体" w:eastAsia="宋体" w:hint="default"/>
                <w:sz w:val="21"/>
                <w:szCs w:val="21"/>
              </w:rPr>
            </w:pPr>
            <w:r>
              <w:rPr>
                <w:rFonts w:ascii="宋体"/>
                <w:w w:val="100"/>
                <w:sz w:val="21"/>
              </w:rPr>
              <w:t> </w:t>
            </w:r>
          </w:p>
        </w:tc>
      </w:tr>
      <w:tr>
        <w:trPr>
          <w:trHeight w:val="322" w:hRule="exact"/>
        </w:trPr>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转入第二阶段</w:t>
            </w:r>
            <w:r>
              <w:rPr>
                <w:rFonts w:ascii="宋体" w:hAnsi="宋体" w:cs="宋体" w:eastAsia="宋体" w:hint="default"/>
                <w:sz w:val="21"/>
                <w:szCs w:val="21"/>
              </w:rPr>
              <w:t> </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-538,972.88</w:t>
            </w:r>
            <w:r>
              <w:rPr>
                <w:rFonts w:ascii="宋体"/>
                <w:sz w:val="21"/>
              </w:rPr>
              <w:t> </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538,972.88</w:t>
            </w:r>
            <w:r>
              <w:rPr>
                <w:rFonts w:ascii="宋体"/>
                <w:sz w:val="21"/>
              </w:rPr>
              <w:t> </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转入第三阶段</w:t>
            </w:r>
            <w:r>
              <w:rPr>
                <w:rFonts w:ascii="宋体" w:hAnsi="宋体" w:cs="宋体" w:eastAsia="宋体" w:hint="default"/>
                <w:sz w:val="21"/>
                <w:szCs w:val="21"/>
              </w:rPr>
              <w:t> </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3"/>
              <w:jc w:val="right"/>
              <w:rPr>
                <w:rFonts w:ascii="宋体" w:hAnsi="宋体" w:cs="宋体" w:eastAsia="宋体" w:hint="default"/>
                <w:sz w:val="21"/>
                <w:szCs w:val="21"/>
              </w:rPr>
            </w:pPr>
            <w:r>
              <w:rPr>
                <w:rFonts w:ascii="宋体"/>
                <w:w w:val="100"/>
                <w:sz w:val="21"/>
              </w:rPr>
              <w:t> </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1"/>
              <w:jc w:val="right"/>
              <w:rPr>
                <w:rFonts w:ascii="宋体" w:hAnsi="宋体" w:cs="宋体" w:eastAsia="宋体" w:hint="default"/>
                <w:sz w:val="21"/>
                <w:szCs w:val="21"/>
              </w:rPr>
            </w:pPr>
            <w:r>
              <w:rPr>
                <w:rFonts w:ascii="宋体"/>
                <w:spacing w:val="-1"/>
                <w:sz w:val="21"/>
              </w:rPr>
              <w:t>-155,979.72</w:t>
            </w:r>
            <w:r>
              <w:rPr>
                <w:rFonts w:ascii="宋体"/>
                <w:sz w:val="21"/>
              </w:rPr>
              <w:t> </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3"/>
              <w:jc w:val="right"/>
              <w:rPr>
                <w:rFonts w:ascii="宋体" w:hAnsi="宋体" w:cs="宋体" w:eastAsia="宋体" w:hint="default"/>
                <w:sz w:val="21"/>
                <w:szCs w:val="21"/>
              </w:rPr>
            </w:pPr>
            <w:r>
              <w:rPr>
                <w:rFonts w:ascii="宋体"/>
                <w:spacing w:val="-1"/>
                <w:sz w:val="21"/>
              </w:rPr>
              <w:t>155,979.72</w:t>
            </w:r>
            <w:r>
              <w:rPr>
                <w:rFonts w:ascii="宋体"/>
                <w:sz w:val="21"/>
              </w:rPr>
              <w:t> </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转回第二阶段</w:t>
            </w:r>
            <w:r>
              <w:rPr>
                <w:rFonts w:ascii="宋体" w:hAnsi="宋体" w:cs="宋体" w:eastAsia="宋体" w:hint="default"/>
                <w:sz w:val="21"/>
                <w:szCs w:val="21"/>
              </w:rPr>
              <w:t> </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转回第一阶段</w:t>
            </w:r>
            <w:r>
              <w:rPr>
                <w:rFonts w:ascii="宋体" w:hAnsi="宋体" w:cs="宋体" w:eastAsia="宋体" w:hint="default"/>
                <w:sz w:val="21"/>
                <w:szCs w:val="21"/>
              </w:rPr>
              <w:t> </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4" w:hRule="exact"/>
        </w:trPr>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本期计提</w:t>
            </w:r>
            <w:r>
              <w:rPr>
                <w:rFonts w:ascii="宋体" w:hAnsi="宋体" w:cs="宋体" w:eastAsia="宋体" w:hint="default"/>
                <w:sz w:val="21"/>
                <w:szCs w:val="21"/>
              </w:rPr>
              <w:t> </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spacing w:val="-1"/>
                <w:sz w:val="21"/>
              </w:rPr>
              <w:t>2,812,360.54</w:t>
            </w:r>
            <w:r>
              <w:rPr>
                <w:rFonts w:ascii="宋体"/>
                <w:sz w:val="21"/>
              </w:rPr>
              <w:t> </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
              <w:jc w:val="right"/>
              <w:rPr>
                <w:rFonts w:ascii="宋体" w:hAnsi="宋体" w:cs="宋体" w:eastAsia="宋体" w:hint="default"/>
                <w:sz w:val="21"/>
                <w:szCs w:val="21"/>
              </w:rPr>
            </w:pPr>
            <w:r>
              <w:rPr>
                <w:rFonts w:ascii="宋体"/>
                <w:spacing w:val="-1"/>
                <w:sz w:val="21"/>
              </w:rPr>
              <w:t>1,650,225.12</w:t>
            </w:r>
            <w:r>
              <w:rPr>
                <w:rFonts w:ascii="宋体"/>
                <w:sz w:val="21"/>
              </w:rPr>
              <w:t> </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w w:val="100"/>
                <w:sz w:val="21"/>
              </w:rPr>
              <w:t> </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spacing w:val="-1"/>
                <w:sz w:val="21"/>
              </w:rPr>
              <w:t>4,462,585.66</w:t>
            </w:r>
            <w:r>
              <w:rPr>
                <w:rFonts w:ascii="宋体"/>
                <w:sz w:val="21"/>
              </w:rPr>
              <w:t> </w:t>
            </w:r>
          </w:p>
        </w:tc>
      </w:tr>
      <w:tr>
        <w:trPr>
          <w:trHeight w:val="322" w:hRule="exact"/>
        </w:trPr>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本期转回</w:t>
            </w:r>
            <w:r>
              <w:rPr>
                <w:rFonts w:ascii="宋体" w:hAnsi="宋体" w:cs="宋体" w:eastAsia="宋体" w:hint="default"/>
                <w:sz w:val="21"/>
                <w:szCs w:val="21"/>
              </w:rPr>
              <w:t> </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本期转销</w:t>
            </w:r>
            <w:r>
              <w:rPr>
                <w:rFonts w:ascii="宋体" w:hAnsi="宋体" w:cs="宋体" w:eastAsia="宋体" w:hint="default"/>
                <w:sz w:val="21"/>
                <w:szCs w:val="21"/>
              </w:rPr>
              <w:t> </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-2,409,482.30</w:t>
            </w:r>
            <w:r>
              <w:rPr>
                <w:rFonts w:ascii="宋体"/>
                <w:sz w:val="21"/>
              </w:rPr>
              <w:t> </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-244,760.90</w:t>
            </w:r>
            <w:r>
              <w:rPr>
                <w:rFonts w:ascii="宋体"/>
                <w:sz w:val="21"/>
              </w:rPr>
              <w:t> </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-78,823.74</w:t>
            </w:r>
            <w:r>
              <w:rPr>
                <w:rFonts w:ascii="宋体"/>
                <w:sz w:val="21"/>
              </w:rPr>
              <w:t> </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-2,733,066.94</w:t>
            </w:r>
            <w:r>
              <w:rPr>
                <w:rFonts w:ascii="宋体"/>
                <w:sz w:val="21"/>
              </w:rPr>
              <w:t> </w:t>
            </w:r>
          </w:p>
        </w:tc>
      </w:tr>
      <w:tr>
        <w:trPr>
          <w:trHeight w:val="322" w:hRule="exact"/>
        </w:trPr>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本期核销</w:t>
            </w:r>
            <w:r>
              <w:rPr>
                <w:rFonts w:ascii="宋体" w:hAnsi="宋体" w:cs="宋体" w:eastAsia="宋体" w:hint="default"/>
                <w:sz w:val="21"/>
                <w:szCs w:val="21"/>
              </w:rPr>
              <w:t> </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其他变动</w:t>
            </w:r>
            <w:r>
              <w:rPr>
                <w:rFonts w:ascii="宋体" w:hAnsi="宋体" w:cs="宋体" w:eastAsia="宋体" w:hint="default"/>
                <w:sz w:val="21"/>
                <w:szCs w:val="21"/>
              </w:rPr>
              <w:t> </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636" w:hRule="exact"/>
        </w:trPr>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z w:val="21"/>
                <w:szCs w:val="21"/>
              </w:rPr>
              <w:t>年</w:t>
            </w:r>
            <w:r>
              <w:rPr>
                <w:rFonts w:ascii="宋体" w:hAnsi="宋体" w:cs="宋体" w:eastAsia="宋体" w:hint="default"/>
                <w:sz w:val="21"/>
                <w:szCs w:val="21"/>
              </w:rPr>
              <w:t>12</w:t>
            </w:r>
            <w:r>
              <w:rPr>
                <w:rFonts w:ascii="宋体" w:hAnsi="宋体" w:cs="宋体" w:eastAsia="宋体" w:hint="default"/>
                <w:sz w:val="21"/>
                <w:szCs w:val="21"/>
              </w:rPr>
              <w:t>月</w:t>
            </w:r>
            <w:r>
              <w:rPr>
                <w:rFonts w:ascii="宋体" w:hAnsi="宋体" w:cs="宋体" w:eastAsia="宋体" w:hint="default"/>
                <w:sz w:val="21"/>
                <w:szCs w:val="21"/>
              </w:rPr>
              <w:t>31</w:t>
            </w:r>
            <w:r>
              <w:rPr>
                <w:rFonts w:ascii="宋体" w:hAnsi="宋体" w:cs="宋体" w:eastAsia="宋体" w:hint="default"/>
                <w:sz w:val="21"/>
                <w:szCs w:val="21"/>
              </w:rPr>
              <w:t>日</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余额</w:t>
            </w:r>
            <w:r>
              <w:rPr>
                <w:rFonts w:ascii="宋体" w:hAnsi="宋体" w:cs="宋体" w:eastAsia="宋体" w:hint="default"/>
                <w:sz w:val="21"/>
                <w:szCs w:val="21"/>
              </w:rPr>
              <w:t> </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3"/>
              <w:jc w:val="right"/>
              <w:rPr>
                <w:rFonts w:ascii="宋体" w:hAnsi="宋体" w:cs="宋体" w:eastAsia="宋体" w:hint="default"/>
                <w:sz w:val="21"/>
                <w:szCs w:val="21"/>
              </w:rPr>
            </w:pPr>
            <w:r>
              <w:rPr>
                <w:rFonts w:ascii="宋体"/>
                <w:spacing w:val="-1"/>
                <w:sz w:val="21"/>
              </w:rPr>
              <w:t>2,939,215.91</w:t>
            </w:r>
            <w:r>
              <w:rPr>
                <w:rFonts w:ascii="宋体"/>
                <w:sz w:val="21"/>
              </w:rPr>
              <w:t> </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
              <w:jc w:val="right"/>
              <w:rPr>
                <w:rFonts w:ascii="宋体" w:hAnsi="宋体" w:cs="宋体" w:eastAsia="宋体" w:hint="default"/>
                <w:sz w:val="21"/>
                <w:szCs w:val="21"/>
              </w:rPr>
            </w:pPr>
            <w:r>
              <w:rPr>
                <w:rFonts w:ascii="宋体"/>
                <w:spacing w:val="-1"/>
                <w:sz w:val="21"/>
              </w:rPr>
              <w:t>3,790,941.01</w:t>
            </w:r>
            <w:r>
              <w:rPr>
                <w:rFonts w:ascii="宋体"/>
                <w:sz w:val="21"/>
              </w:rPr>
              <w:t> </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3"/>
              <w:jc w:val="right"/>
              <w:rPr>
                <w:rFonts w:ascii="宋体" w:hAnsi="宋体" w:cs="宋体" w:eastAsia="宋体" w:hint="default"/>
                <w:sz w:val="21"/>
                <w:szCs w:val="21"/>
              </w:rPr>
            </w:pPr>
            <w:r>
              <w:rPr>
                <w:rFonts w:ascii="宋体"/>
                <w:spacing w:val="-1"/>
                <w:sz w:val="21"/>
              </w:rPr>
              <w:t>2,103,056.63</w:t>
            </w:r>
            <w:r>
              <w:rPr>
                <w:rFonts w:ascii="宋体"/>
                <w:sz w:val="21"/>
              </w:rPr>
              <w:t> </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3"/>
              <w:jc w:val="right"/>
              <w:rPr>
                <w:rFonts w:ascii="宋体" w:hAnsi="宋体" w:cs="宋体" w:eastAsia="宋体" w:hint="default"/>
                <w:sz w:val="21"/>
                <w:szCs w:val="21"/>
              </w:rPr>
            </w:pPr>
            <w:r>
              <w:rPr>
                <w:rFonts w:ascii="宋体"/>
                <w:spacing w:val="-1"/>
                <w:sz w:val="21"/>
              </w:rPr>
              <w:t>8,833,213.55</w:t>
            </w:r>
            <w:r>
              <w:rPr>
                <w:rFonts w:ascii="宋体"/>
                <w:sz w:val="21"/>
              </w:rPr>
              <w:t> </w:t>
            </w:r>
          </w:p>
        </w:tc>
      </w:tr>
    </w:tbl>
    <w:p>
      <w:pPr>
        <w:pStyle w:val="Heading2"/>
        <w:spacing w:line="274" w:lineRule="exact"/>
        <w:ind w:left="216" w:right="0"/>
        <w:jc w:val="left"/>
        <w:rPr>
          <w:rFonts w:ascii="宋体" w:hAnsi="宋体" w:cs="宋体" w:eastAsia="宋体" w:hint="default"/>
        </w:rPr>
      </w:pPr>
      <w:r>
        <w:rPr>
          <w:rFonts w:ascii="宋体"/>
        </w:rPr>
        <w:t> </w:t>
      </w:r>
    </w:p>
    <w:p>
      <w:pPr>
        <w:pStyle w:val="BodyText"/>
        <w:spacing w:line="240" w:lineRule="auto" w:before="26"/>
        <w:ind w:left="216" w:right="0"/>
        <w:jc w:val="left"/>
      </w:pPr>
      <w:r>
        <w:rPr/>
        <w:t>对本期发生损失准备变动的其他应收款账面余额显著变动的情况说明：</w:t>
      </w:r>
    </w:p>
    <w:p>
      <w:pPr>
        <w:pStyle w:val="Heading2"/>
        <w:spacing w:line="313" w:lineRule="exact" w:before="9"/>
        <w:ind w:left="21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2"/>
        <w:spacing w:line="312" w:lineRule="exact" w:before="29"/>
        <w:ind w:left="216" w:right="0"/>
        <w:jc w:val="left"/>
        <w:rPr>
          <w:rFonts w:ascii="宋体" w:hAnsi="宋体" w:cs="宋体" w:eastAsia="宋体" w:hint="default"/>
        </w:rPr>
      </w:pPr>
      <w:r>
        <w:rPr>
          <w:rFonts w:ascii="宋体" w:hAnsi="宋体" w:cs="宋体" w:eastAsia="宋体" w:hint="default"/>
        </w:rPr>
        <w:t>  </w:t>
      </w:r>
      <w:r>
        <w:rPr/>
        <w:t>本期坏账准备计提金额以及评估金融工具的信用风险是否显著增加的采用依据</w:t>
      </w:r>
      <w:r>
        <w:rPr>
          <w:spacing w:val="2"/>
        </w:rPr>
        <w:t>：</w:t>
      </w:r>
      <w:r>
        <w:rPr>
          <w:rFonts w:ascii="宋体" w:hAnsi="宋体" w:cs="宋体" w:eastAsia="宋体" w:hint="default"/>
        </w:rPr>
        <w:t> </w:t>
      </w:r>
    </w:p>
    <w:p>
      <w:pPr>
        <w:pStyle w:val="Heading2"/>
        <w:spacing w:line="282" w:lineRule="exact"/>
        <w:ind w:left="21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2"/>
        <w:spacing w:line="313" w:lineRule="exact"/>
        <w:ind w:left="216" w:right="0"/>
        <w:jc w:val="left"/>
        <w:rPr>
          <w:rFonts w:ascii="宋体" w:hAnsi="宋体" w:cs="宋体" w:eastAsia="宋体" w:hint="default"/>
        </w:rPr>
      </w:pPr>
      <w:r>
        <w:rPr>
          <w:rFonts w:ascii="宋体"/>
        </w:rPr>
        <w:t> </w:t>
      </w:r>
    </w:p>
    <w:p>
      <w:pPr>
        <w:pStyle w:val="Heading3"/>
        <w:tabs>
          <w:tab w:pos="1057" w:val="left" w:leader="none"/>
        </w:tabs>
        <w:spacing w:line="240" w:lineRule="auto" w:before="85"/>
        <w:ind w:left="216" w:right="0"/>
        <w:jc w:val="left"/>
        <w:rPr>
          <w:rFonts w:ascii="宋体" w:hAnsi="宋体" w:cs="宋体" w:eastAsia="宋体" w:hint="default"/>
          <w:b w:val="0"/>
          <w:bCs w:val="0"/>
        </w:rPr>
      </w:pPr>
      <w:r>
        <w:rPr>
          <w:rFonts w:ascii="宋体" w:hAnsi="宋体" w:cs="宋体" w:eastAsia="宋体" w:hint="default"/>
          <w:w w:val="95"/>
        </w:rPr>
        <w:t>(10).</w:t>
        <w:tab/>
      </w:r>
      <w:r>
        <w:rPr/>
        <w:t>坏账准备的情况</w:t>
      </w:r>
      <w:r>
        <w:rPr>
          <w:rFonts w:ascii="宋体" w:hAnsi="宋体" w:cs="宋体" w:eastAsia="宋体" w:hint="default"/>
          <w:w w:val="99"/>
        </w:rPr>
        <w:t> </w:t>
      </w:r>
      <w:r>
        <w:rPr>
          <w:rFonts w:ascii="宋体" w:hAnsi="宋体" w:cs="宋体" w:eastAsia="宋体" w:hint="default"/>
          <w:b w:val="0"/>
          <w:bCs w:val="0"/>
        </w:rPr>
      </w:r>
    </w:p>
    <w:p>
      <w:pPr>
        <w:pStyle w:val="Heading2"/>
        <w:spacing w:line="240" w:lineRule="auto" w:before="69"/>
        <w:ind w:left="21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BodyText"/>
        <w:spacing w:line="240" w:lineRule="auto" w:before="4"/>
        <w:ind w:left="0" w:right="231"/>
        <w:jc w:val="right"/>
      </w:pPr>
      <w:r>
        <w:rPr>
          <w:spacing w:val="-2"/>
        </w:rPr>
        <w:t>单位：元币种：人民币</w:t>
      </w:r>
    </w:p>
    <w:p>
      <w:pPr>
        <w:spacing w:after="0" w:line="240" w:lineRule="auto"/>
        <w:jc w:val="right"/>
        <w:sectPr>
          <w:type w:val="continuous"/>
          <w:pgSz w:w="11910" w:h="16840"/>
          <w:pgMar w:top="1580" w:bottom="280" w:left="1060" w:right="1560"/>
        </w:sectPr>
      </w:pPr>
    </w:p>
    <w:p>
      <w:pPr>
        <w:spacing w:line="240" w:lineRule="auto" w:before="11"/>
        <w:rPr>
          <w:rFonts w:ascii="宋体" w:hAnsi="宋体" w:cs="宋体" w:eastAsia="宋体" w:hint="default"/>
          <w:sz w:val="22"/>
          <w:szCs w:val="22"/>
        </w:rPr>
      </w:pPr>
    </w:p>
    <w:tbl>
      <w:tblPr>
        <w:tblW w:w="0" w:type="auto"/>
        <w:jc w:val="left"/>
        <w:tblInd w:w="599" w:type="dxa"/>
        <w:tblLayout w:type="fixed"/>
        <w:tblCellMar>
          <w:top w:w="0" w:type="dxa"/>
          <w:left w:w="0" w:type="dxa"/>
          <w:bottom w:w="0" w:type="dxa"/>
          <w:right w:w="0" w:type="dxa"/>
        </w:tblCellMar>
        <w:tblLook w:val="01E0"/>
      </w:tblPr>
      <w:tblGrid>
        <w:gridCol w:w="1071"/>
        <w:gridCol w:w="1712"/>
        <w:gridCol w:w="1584"/>
        <w:gridCol w:w="883"/>
        <w:gridCol w:w="1340"/>
        <w:gridCol w:w="761"/>
        <w:gridCol w:w="1712"/>
      </w:tblGrid>
      <w:tr>
        <w:trPr>
          <w:trHeight w:val="322" w:hRule="exact"/>
        </w:trPr>
        <w:tc>
          <w:tcPr>
            <w:tcW w:w="1071"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left="319" w:right="0"/>
              <w:jc w:val="left"/>
              <w:rPr>
                <w:rFonts w:ascii="宋体" w:hAnsi="宋体" w:cs="宋体" w:eastAsia="宋体" w:hint="default"/>
                <w:sz w:val="21"/>
                <w:szCs w:val="21"/>
              </w:rPr>
            </w:pPr>
            <w:r>
              <w:rPr>
                <w:rFonts w:ascii="宋体" w:hAnsi="宋体" w:cs="宋体" w:eastAsia="宋体" w:hint="default"/>
                <w:sz w:val="21"/>
                <w:szCs w:val="21"/>
              </w:rPr>
              <w:t>类别</w:t>
            </w:r>
            <w:r>
              <w:rPr>
                <w:rFonts w:ascii="宋体" w:hAnsi="宋体" w:cs="宋体" w:eastAsia="宋体" w:hint="default"/>
                <w:sz w:val="21"/>
                <w:szCs w:val="21"/>
              </w:rPr>
              <w:t> </w:t>
            </w:r>
          </w:p>
        </w:tc>
        <w:tc>
          <w:tcPr>
            <w:tcW w:w="1712"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left="429"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4568" w:type="dxa"/>
            <w:gridSpan w:val="4"/>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center"/>
              <w:rPr>
                <w:rFonts w:ascii="宋体" w:hAnsi="宋体" w:cs="宋体" w:eastAsia="宋体" w:hint="default"/>
                <w:sz w:val="21"/>
                <w:szCs w:val="21"/>
              </w:rPr>
            </w:pPr>
            <w:r>
              <w:rPr>
                <w:rFonts w:ascii="宋体" w:hAnsi="宋体" w:cs="宋体" w:eastAsia="宋体" w:hint="default"/>
                <w:sz w:val="21"/>
                <w:szCs w:val="21"/>
              </w:rPr>
              <w:t>本期变动金额</w:t>
            </w:r>
            <w:r>
              <w:rPr>
                <w:rFonts w:ascii="宋体" w:hAnsi="宋体" w:cs="宋体" w:eastAsia="宋体" w:hint="default"/>
                <w:sz w:val="21"/>
                <w:szCs w:val="21"/>
              </w:rPr>
              <w:t> </w:t>
            </w:r>
          </w:p>
        </w:tc>
        <w:tc>
          <w:tcPr>
            <w:tcW w:w="1712"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left="429"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634" w:hRule="exact"/>
        </w:trPr>
        <w:tc>
          <w:tcPr>
            <w:tcW w:w="1071" w:type="dxa"/>
            <w:vMerge/>
            <w:tcBorders>
              <w:left w:val="single" w:sz="4" w:space="0" w:color="000000"/>
              <w:bottom w:val="single" w:sz="4" w:space="0" w:color="000000"/>
              <w:right w:val="single" w:sz="4" w:space="0" w:color="000000"/>
            </w:tcBorders>
          </w:tcPr>
          <w:p>
            <w:pPr/>
          </w:p>
        </w:tc>
        <w:tc>
          <w:tcPr>
            <w:tcW w:w="1712" w:type="dxa"/>
            <w:vMerge/>
            <w:tcBorders>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98" w:right="0"/>
              <w:jc w:val="center"/>
              <w:rPr>
                <w:rFonts w:ascii="宋体" w:hAnsi="宋体" w:cs="宋体" w:eastAsia="宋体" w:hint="default"/>
                <w:sz w:val="21"/>
                <w:szCs w:val="21"/>
              </w:rPr>
            </w:pPr>
            <w:r>
              <w:rPr>
                <w:rFonts w:ascii="宋体" w:hAnsi="宋体" w:cs="宋体" w:eastAsia="宋体" w:hint="default"/>
                <w:sz w:val="21"/>
                <w:szCs w:val="21"/>
              </w:rPr>
              <w:t>计提</w:t>
            </w:r>
            <w:r>
              <w:rPr>
                <w:rFonts w:ascii="宋体" w:hAnsi="宋体" w:cs="宋体" w:eastAsia="宋体" w:hint="default"/>
                <w:sz w:val="21"/>
                <w:szCs w:val="21"/>
              </w:rPr>
              <w:t> </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25" w:right="119" w:hanging="106"/>
              <w:jc w:val="left"/>
              <w:rPr>
                <w:rFonts w:ascii="宋体" w:hAnsi="宋体" w:cs="宋体" w:eastAsia="宋体" w:hint="default"/>
                <w:sz w:val="21"/>
                <w:szCs w:val="21"/>
              </w:rPr>
            </w:pPr>
            <w:r>
              <w:rPr>
                <w:rFonts w:ascii="宋体" w:hAnsi="宋体" w:cs="宋体" w:eastAsia="宋体" w:hint="default"/>
                <w:sz w:val="21"/>
                <w:szCs w:val="21"/>
              </w:rPr>
              <w:t>收回或</w:t>
            </w:r>
            <w:r>
              <w:rPr>
                <w:rFonts w:ascii="宋体" w:hAnsi="宋体" w:cs="宋体" w:eastAsia="宋体" w:hint="default"/>
                <w:spacing w:val="-102"/>
                <w:sz w:val="21"/>
                <w:szCs w:val="21"/>
              </w:rPr>
              <w:t> </w:t>
            </w:r>
            <w:r>
              <w:rPr>
                <w:rFonts w:ascii="宋体" w:hAnsi="宋体" w:cs="宋体" w:eastAsia="宋体" w:hint="default"/>
                <w:sz w:val="21"/>
                <w:szCs w:val="21"/>
              </w:rPr>
              <w:t>转回</w:t>
            </w:r>
            <w:r>
              <w:rPr>
                <w:rFonts w:ascii="宋体" w:hAnsi="宋体" w:cs="宋体" w:eastAsia="宋体" w:hint="default"/>
                <w:sz w:val="21"/>
                <w:szCs w:val="21"/>
              </w:rPr>
              <w:t> </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35"/>
              <w:jc w:val="right"/>
              <w:rPr>
                <w:rFonts w:ascii="宋体" w:hAnsi="宋体" w:cs="宋体" w:eastAsia="宋体" w:hint="default"/>
                <w:sz w:val="21"/>
                <w:szCs w:val="21"/>
              </w:rPr>
            </w:pPr>
            <w:r>
              <w:rPr>
                <w:rFonts w:ascii="宋体" w:hAnsi="宋体" w:cs="宋体" w:eastAsia="宋体" w:hint="default"/>
                <w:spacing w:val="-2"/>
                <w:sz w:val="21"/>
                <w:szCs w:val="21"/>
              </w:rPr>
              <w:t>转销或核销</w:t>
            </w:r>
            <w:r>
              <w:rPr>
                <w:rFonts w:ascii="宋体" w:hAnsi="宋体" w:cs="宋体" w:eastAsia="宋体" w:hint="default"/>
                <w:sz w:val="21"/>
                <w:szCs w:val="21"/>
              </w:rPr>
              <w:t> </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23"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pacing w:val="-103"/>
                <w:sz w:val="21"/>
                <w:szCs w:val="21"/>
              </w:rPr>
              <w:t> </w:t>
            </w:r>
            <w:r>
              <w:rPr>
                <w:rFonts w:ascii="宋体" w:hAnsi="宋体" w:cs="宋体" w:eastAsia="宋体" w:hint="default"/>
                <w:sz w:val="21"/>
                <w:szCs w:val="21"/>
              </w:rPr>
              <w:t>变动</w:t>
            </w:r>
            <w:r>
              <w:rPr>
                <w:rFonts w:ascii="宋体" w:hAnsi="宋体" w:cs="宋体" w:eastAsia="宋体" w:hint="default"/>
                <w:sz w:val="21"/>
                <w:szCs w:val="21"/>
              </w:rPr>
              <w:t> </w:t>
            </w:r>
          </w:p>
        </w:tc>
        <w:tc>
          <w:tcPr>
            <w:tcW w:w="1712" w:type="dxa"/>
            <w:vMerge/>
            <w:tcBorders>
              <w:left w:val="single" w:sz="4" w:space="0" w:color="000000"/>
              <w:bottom w:val="single" w:sz="4" w:space="0" w:color="000000"/>
              <w:right w:val="single" w:sz="4" w:space="0" w:color="000000"/>
            </w:tcBorders>
          </w:tcPr>
          <w:p>
            <w:pPr/>
          </w:p>
        </w:tc>
      </w:tr>
      <w:tr>
        <w:trPr>
          <w:trHeight w:val="634" w:hRule="exact"/>
        </w:trPr>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8" w:right="108"/>
              <w:jc w:val="left"/>
              <w:rPr>
                <w:rFonts w:ascii="宋体" w:hAnsi="宋体" w:cs="宋体" w:eastAsia="宋体" w:hint="default"/>
                <w:sz w:val="24"/>
                <w:szCs w:val="24"/>
              </w:rPr>
            </w:pPr>
            <w:r>
              <w:rPr>
                <w:rFonts w:ascii="宋体" w:hAnsi="宋体" w:cs="宋体" w:eastAsia="宋体" w:hint="default"/>
                <w:sz w:val="21"/>
                <w:szCs w:val="21"/>
              </w:rPr>
              <w:t>信用风险</w:t>
            </w:r>
            <w:r>
              <w:rPr>
                <w:rFonts w:ascii="宋体" w:hAnsi="宋体" w:cs="宋体" w:eastAsia="宋体" w:hint="default"/>
                <w:w w:val="100"/>
                <w:sz w:val="21"/>
                <w:szCs w:val="21"/>
              </w:rPr>
              <w:t> </w:t>
            </w:r>
            <w:r>
              <w:rPr>
                <w:rFonts w:ascii="宋体" w:hAnsi="宋体" w:cs="宋体" w:eastAsia="宋体" w:hint="default"/>
                <w:sz w:val="21"/>
                <w:szCs w:val="21"/>
              </w:rPr>
              <w:t>组合</w:t>
            </w:r>
            <w:r>
              <w:rPr>
                <w:rFonts w:ascii="宋体" w:hAnsi="宋体" w:cs="宋体" w:eastAsia="宋体" w:hint="default"/>
                <w:sz w:val="24"/>
                <w:szCs w:val="24"/>
              </w:rPr>
              <w:t> </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3"/>
              <w:jc w:val="right"/>
              <w:rPr>
                <w:rFonts w:ascii="宋体" w:hAnsi="宋体" w:cs="宋体" w:eastAsia="宋体" w:hint="default"/>
                <w:sz w:val="21"/>
                <w:szCs w:val="21"/>
              </w:rPr>
            </w:pPr>
            <w:r>
              <w:rPr>
                <w:rFonts w:ascii="宋体"/>
                <w:spacing w:val="-1"/>
                <w:sz w:val="21"/>
              </w:rPr>
              <w:t>6,199,016.43</w:t>
            </w:r>
            <w:r>
              <w:rPr>
                <w:rFonts w:ascii="宋体"/>
                <w:sz w:val="21"/>
              </w:rPr>
              <w:t> </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99" w:right="0"/>
              <w:jc w:val="center"/>
              <w:rPr>
                <w:rFonts w:ascii="宋体" w:hAnsi="宋体" w:cs="宋体" w:eastAsia="宋体" w:hint="default"/>
                <w:sz w:val="21"/>
                <w:szCs w:val="21"/>
              </w:rPr>
            </w:pPr>
            <w:r>
              <w:rPr>
                <w:rFonts w:ascii="宋体"/>
                <w:sz w:val="21"/>
              </w:rPr>
              <w:t>1,756,118.72 </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
              <w:jc w:val="right"/>
              <w:rPr>
                <w:rFonts w:ascii="宋体" w:hAnsi="宋体" w:cs="宋体" w:eastAsia="宋体" w:hint="default"/>
                <w:sz w:val="21"/>
                <w:szCs w:val="21"/>
              </w:rPr>
            </w:pPr>
            <w:r>
              <w:rPr>
                <w:rFonts w:ascii="宋体"/>
                <w:w w:val="100"/>
                <w:sz w:val="21"/>
              </w:rPr>
              <w:t> </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right"/>
              <w:rPr>
                <w:rFonts w:ascii="宋体" w:hAnsi="宋体" w:cs="宋体" w:eastAsia="宋体" w:hint="default"/>
                <w:sz w:val="21"/>
                <w:szCs w:val="21"/>
              </w:rPr>
            </w:pPr>
            <w:r>
              <w:rPr>
                <w:rFonts w:ascii="宋体"/>
                <w:spacing w:val="-1"/>
                <w:sz w:val="21"/>
              </w:rPr>
              <w:t>26,600.00</w:t>
            </w:r>
            <w:r>
              <w:rPr>
                <w:rFonts w:ascii="宋体"/>
                <w:sz w:val="21"/>
              </w:rPr>
              <w:t> </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right"/>
              <w:rPr>
                <w:rFonts w:ascii="宋体" w:hAnsi="宋体" w:cs="宋体" w:eastAsia="宋体" w:hint="default"/>
                <w:sz w:val="21"/>
                <w:szCs w:val="21"/>
              </w:rPr>
            </w:pPr>
            <w:r>
              <w:rPr>
                <w:rFonts w:ascii="宋体"/>
                <w:w w:val="100"/>
                <w:sz w:val="21"/>
              </w:rPr>
              <w:t> </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
              <w:jc w:val="right"/>
              <w:rPr>
                <w:rFonts w:ascii="宋体" w:hAnsi="宋体" w:cs="宋体" w:eastAsia="宋体" w:hint="default"/>
                <w:sz w:val="21"/>
                <w:szCs w:val="21"/>
              </w:rPr>
            </w:pPr>
            <w:r>
              <w:rPr>
                <w:rFonts w:ascii="宋体"/>
                <w:spacing w:val="-1"/>
                <w:sz w:val="21"/>
              </w:rPr>
              <w:t>8,833,213.55</w:t>
            </w:r>
            <w:r>
              <w:rPr>
                <w:rFonts w:ascii="宋体"/>
                <w:sz w:val="21"/>
              </w:rPr>
              <w:t> </w:t>
            </w:r>
          </w:p>
        </w:tc>
      </w:tr>
      <w:tr>
        <w:trPr>
          <w:trHeight w:val="324" w:hRule="exact"/>
        </w:trPr>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319"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spacing w:val="-1"/>
                <w:sz w:val="21"/>
              </w:rPr>
              <w:t>6,199,016.43</w:t>
            </w:r>
            <w:r>
              <w:rPr>
                <w:rFonts w:ascii="宋体"/>
                <w:sz w:val="21"/>
              </w:rPr>
              <w:t> </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99" w:right="0"/>
              <w:jc w:val="center"/>
              <w:rPr>
                <w:rFonts w:ascii="宋体" w:hAnsi="宋体" w:cs="宋体" w:eastAsia="宋体" w:hint="default"/>
                <w:sz w:val="21"/>
                <w:szCs w:val="21"/>
              </w:rPr>
            </w:pPr>
            <w:r>
              <w:rPr>
                <w:rFonts w:ascii="宋体"/>
                <w:sz w:val="21"/>
              </w:rPr>
              <w:t>1,756,118.72 </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
              <w:jc w:val="right"/>
              <w:rPr>
                <w:rFonts w:ascii="宋体" w:hAnsi="宋体" w:cs="宋体" w:eastAsia="宋体" w:hint="default"/>
                <w:sz w:val="21"/>
                <w:szCs w:val="21"/>
              </w:rPr>
            </w:pPr>
            <w:r>
              <w:rPr>
                <w:rFonts w:ascii="宋体"/>
                <w:w w:val="100"/>
                <w:sz w:val="21"/>
              </w:rPr>
              <w:t> </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right"/>
              <w:rPr>
                <w:rFonts w:ascii="宋体" w:hAnsi="宋体" w:cs="宋体" w:eastAsia="宋体" w:hint="default"/>
                <w:sz w:val="21"/>
                <w:szCs w:val="21"/>
              </w:rPr>
            </w:pPr>
            <w:r>
              <w:rPr>
                <w:rFonts w:ascii="宋体"/>
                <w:spacing w:val="-1"/>
                <w:sz w:val="21"/>
              </w:rPr>
              <w:t>26,600.00</w:t>
            </w:r>
            <w:r>
              <w:rPr>
                <w:rFonts w:ascii="宋体"/>
                <w:sz w:val="21"/>
              </w:rPr>
              <w:t> </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right"/>
              <w:rPr>
                <w:rFonts w:ascii="宋体" w:hAnsi="宋体" w:cs="宋体" w:eastAsia="宋体" w:hint="default"/>
                <w:sz w:val="21"/>
                <w:szCs w:val="21"/>
              </w:rPr>
            </w:pPr>
            <w:r>
              <w:rPr>
                <w:rFonts w:ascii="宋体"/>
                <w:w w:val="100"/>
                <w:sz w:val="21"/>
              </w:rPr>
              <w:t> </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
              <w:jc w:val="right"/>
              <w:rPr>
                <w:rFonts w:ascii="宋体" w:hAnsi="宋体" w:cs="宋体" w:eastAsia="宋体" w:hint="default"/>
                <w:sz w:val="21"/>
                <w:szCs w:val="21"/>
              </w:rPr>
            </w:pPr>
            <w:r>
              <w:rPr>
                <w:rFonts w:ascii="宋体"/>
                <w:spacing w:val="-1"/>
                <w:sz w:val="21"/>
              </w:rPr>
              <w:t>8,833,213.55</w:t>
            </w:r>
            <w:r>
              <w:rPr>
                <w:rFonts w:ascii="宋体"/>
                <w:sz w:val="21"/>
              </w:rPr>
              <w:t> </w:t>
            </w:r>
          </w:p>
        </w:tc>
      </w:tr>
    </w:tbl>
    <w:p>
      <w:pPr>
        <w:spacing w:after="0" w:line="265" w:lineRule="exact"/>
        <w:jc w:val="right"/>
        <w:rPr>
          <w:rFonts w:ascii="宋体" w:hAnsi="宋体" w:cs="宋体" w:eastAsia="宋体" w:hint="default"/>
          <w:sz w:val="21"/>
          <w:szCs w:val="21"/>
        </w:rPr>
        <w:sectPr>
          <w:pgSz w:w="11910" w:h="16840"/>
          <w:pgMar w:header="0" w:footer="974" w:top="1140" w:bottom="1160" w:left="560" w:right="860"/>
        </w:sectPr>
      </w:pPr>
    </w:p>
    <w:p>
      <w:pPr>
        <w:pStyle w:val="Heading2"/>
        <w:spacing w:line="273" w:lineRule="exact"/>
        <w:ind w:left="716" w:right="0"/>
        <w:jc w:val="left"/>
        <w:rPr>
          <w:rFonts w:ascii="宋体" w:hAnsi="宋体" w:cs="宋体" w:eastAsia="宋体" w:hint="default"/>
        </w:rPr>
      </w:pPr>
      <w:r>
        <w:rPr>
          <w:rFonts w:ascii="宋体"/>
        </w:rPr>
        <w:t> </w:t>
      </w:r>
    </w:p>
    <w:p>
      <w:pPr>
        <w:pStyle w:val="Heading2"/>
        <w:spacing w:line="312" w:lineRule="exact"/>
        <w:ind w:left="716" w:right="0"/>
        <w:jc w:val="left"/>
        <w:rPr>
          <w:rFonts w:ascii="宋体" w:hAnsi="宋体" w:cs="宋体" w:eastAsia="宋体" w:hint="default"/>
        </w:rPr>
      </w:pPr>
      <w:r>
        <w:rPr/>
        <w:t>其中本期坏账准备转回或收回金额重要的：</w:t>
      </w:r>
      <w:r>
        <w:rPr>
          <w:rFonts w:ascii="宋体" w:hAnsi="宋体" w:cs="宋体" w:eastAsia="宋体" w:hint="default"/>
        </w:rPr>
        <w:t> </w:t>
      </w:r>
    </w:p>
    <w:p>
      <w:pPr>
        <w:pStyle w:val="Heading2"/>
        <w:spacing w:line="313" w:lineRule="exact"/>
        <w:ind w:left="71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3"/>
        <w:tabs>
          <w:tab w:pos="1557" w:val="left" w:leader="none"/>
        </w:tabs>
        <w:spacing w:line="240" w:lineRule="auto" w:before="85"/>
        <w:ind w:left="716" w:right="0"/>
        <w:jc w:val="left"/>
        <w:rPr>
          <w:rFonts w:ascii="宋体" w:hAnsi="宋体" w:cs="宋体" w:eastAsia="宋体" w:hint="default"/>
          <w:b w:val="0"/>
          <w:bCs w:val="0"/>
        </w:rPr>
      </w:pPr>
      <w:r>
        <w:rPr>
          <w:rFonts w:ascii="宋体" w:hAnsi="宋体" w:cs="宋体" w:eastAsia="宋体" w:hint="default"/>
          <w:w w:val="95"/>
        </w:rPr>
        <w:t>(11).</w:t>
        <w:tab/>
      </w:r>
      <w:r>
        <w:rPr/>
        <w:t>本期实际核销的其他应收款情况</w:t>
      </w:r>
      <w:r>
        <w:rPr>
          <w:rFonts w:ascii="宋体" w:hAnsi="宋体" w:cs="宋体" w:eastAsia="宋体" w:hint="default"/>
          <w:w w:val="99"/>
        </w:rPr>
        <w:t> </w:t>
      </w:r>
      <w:r>
        <w:rPr>
          <w:rFonts w:ascii="宋体" w:hAnsi="宋体" w:cs="宋体" w:eastAsia="宋体" w:hint="default"/>
          <w:b w:val="0"/>
          <w:bCs w:val="0"/>
        </w:rPr>
      </w:r>
    </w:p>
    <w:p>
      <w:pPr>
        <w:pStyle w:val="Heading2"/>
        <w:spacing w:line="240" w:lineRule="auto" w:before="69"/>
        <w:ind w:left="71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7"/>
          <w:szCs w:val="27"/>
        </w:rPr>
      </w:pPr>
    </w:p>
    <w:p>
      <w:pPr>
        <w:pStyle w:val="BodyText"/>
        <w:spacing w:line="240" w:lineRule="auto"/>
        <w:ind w:left="716" w:right="0"/>
        <w:jc w:val="left"/>
        <w:rPr>
          <w:rFonts w:ascii="宋体" w:hAnsi="宋体" w:cs="宋体" w:eastAsia="宋体" w:hint="default"/>
        </w:rPr>
      </w:pPr>
      <w:r>
        <w:rPr/>
        <w:t>单位：元币种：人民币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580" w:bottom="280" w:left="560" w:right="860"/>
          <w:cols w:num="2" w:equalWidth="0">
            <w:col w:w="5398" w:space="1335"/>
            <w:col w:w="3757"/>
          </w:cols>
        </w:sectPr>
      </w:pPr>
    </w:p>
    <w:p>
      <w:pPr>
        <w:spacing w:line="240" w:lineRule="auto" w:before="10"/>
        <w:rPr>
          <w:rFonts w:ascii="宋体" w:hAnsi="宋体" w:cs="宋体" w:eastAsia="宋体" w:hint="default"/>
          <w:sz w:val="3"/>
          <w:szCs w:val="3"/>
        </w:rPr>
      </w:pPr>
    </w:p>
    <w:tbl>
      <w:tblPr>
        <w:tblW w:w="0" w:type="auto"/>
        <w:jc w:val="left"/>
        <w:tblInd w:w="680" w:type="dxa"/>
        <w:tblLayout w:type="fixed"/>
        <w:tblCellMar>
          <w:top w:w="0" w:type="dxa"/>
          <w:left w:w="0" w:type="dxa"/>
          <w:bottom w:w="0" w:type="dxa"/>
          <w:right w:w="0" w:type="dxa"/>
        </w:tblCellMar>
        <w:tblLook w:val="01E0"/>
      </w:tblPr>
      <w:tblGrid>
        <w:gridCol w:w="4431"/>
        <w:gridCol w:w="4465"/>
      </w:tblGrid>
      <w:tr>
        <w:trPr>
          <w:trHeight w:val="322" w:hRule="exact"/>
        </w:trPr>
        <w:tc>
          <w:tcPr>
            <w:tcW w:w="443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446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3" w:right="0"/>
              <w:jc w:val="center"/>
              <w:rPr>
                <w:rFonts w:ascii="宋体" w:hAnsi="宋体" w:cs="宋体" w:eastAsia="宋体" w:hint="default"/>
                <w:sz w:val="21"/>
                <w:szCs w:val="21"/>
              </w:rPr>
            </w:pPr>
            <w:r>
              <w:rPr>
                <w:rFonts w:ascii="宋体" w:hAnsi="宋体" w:cs="宋体" w:eastAsia="宋体" w:hint="default"/>
                <w:sz w:val="21"/>
                <w:szCs w:val="21"/>
              </w:rPr>
              <w:t>核销金额</w:t>
            </w:r>
            <w:r>
              <w:rPr>
                <w:rFonts w:ascii="宋体" w:hAnsi="宋体" w:cs="宋体" w:eastAsia="宋体" w:hint="default"/>
                <w:sz w:val="21"/>
                <w:szCs w:val="21"/>
              </w:rPr>
              <w:t> </w:t>
            </w:r>
          </w:p>
        </w:tc>
      </w:tr>
      <w:tr>
        <w:trPr>
          <w:trHeight w:val="322" w:hRule="exact"/>
        </w:trPr>
        <w:tc>
          <w:tcPr>
            <w:tcW w:w="443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实际核销的其他应收款</w:t>
            </w:r>
            <w:r>
              <w:rPr>
                <w:rFonts w:ascii="宋体" w:hAnsi="宋体" w:cs="宋体" w:eastAsia="宋体" w:hint="default"/>
                <w:sz w:val="21"/>
                <w:szCs w:val="21"/>
              </w:rPr>
              <w:t> </w:t>
            </w:r>
          </w:p>
        </w:tc>
        <w:tc>
          <w:tcPr>
            <w:tcW w:w="446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8"/>
              <w:jc w:val="right"/>
              <w:rPr>
                <w:rFonts w:ascii="宋体" w:hAnsi="宋体" w:cs="宋体" w:eastAsia="宋体" w:hint="default"/>
                <w:sz w:val="21"/>
                <w:szCs w:val="21"/>
              </w:rPr>
            </w:pPr>
            <w:r>
              <w:rPr>
                <w:rFonts w:ascii="宋体"/>
                <w:spacing w:val="-1"/>
                <w:sz w:val="21"/>
              </w:rPr>
              <w:t>26,600.00</w:t>
            </w:r>
            <w:r>
              <w:rPr>
                <w:rFonts w:ascii="宋体"/>
                <w:sz w:val="21"/>
              </w:rPr>
              <w:t> </w:t>
            </w:r>
          </w:p>
        </w:tc>
      </w:tr>
    </w:tbl>
    <w:p>
      <w:pPr>
        <w:spacing w:after="0" w:line="262" w:lineRule="exact"/>
        <w:jc w:val="right"/>
        <w:rPr>
          <w:rFonts w:ascii="宋体" w:hAnsi="宋体" w:cs="宋体" w:eastAsia="宋体" w:hint="default"/>
          <w:sz w:val="21"/>
          <w:szCs w:val="21"/>
        </w:rPr>
        <w:sectPr>
          <w:type w:val="continuous"/>
          <w:pgSz w:w="11910" w:h="16840"/>
          <w:pgMar w:top="1580" w:bottom="280" w:left="560" w:right="860"/>
        </w:sectPr>
      </w:pPr>
    </w:p>
    <w:p>
      <w:pPr>
        <w:pStyle w:val="BodyText"/>
        <w:spacing w:line="273" w:lineRule="auto"/>
        <w:ind w:left="716" w:right="1930"/>
        <w:jc w:val="left"/>
        <w:rPr>
          <w:rFonts w:ascii="宋体" w:hAnsi="宋体" w:cs="宋体" w:eastAsia="宋体" w:hint="default"/>
        </w:rPr>
      </w:pPr>
      <w:r>
        <w:rPr>
          <w:rFonts w:ascii="宋体" w:hAnsi="宋体" w:cs="宋体" w:eastAsia="宋体" w:hint="default"/>
          <w:w w:val="100"/>
        </w:rPr>
        <w:t>  </w:t>
      </w:r>
      <w:r>
        <w:rPr>
          <w:w w:val="100"/>
        </w:rPr>
        <w:t>其中</w:t>
      </w:r>
      <w:r>
        <w:rPr>
          <w:spacing w:val="-3"/>
          <w:w w:val="100"/>
        </w:rPr>
        <w:t>重</w:t>
      </w:r>
      <w:r>
        <w:rPr>
          <w:w w:val="100"/>
        </w:rPr>
        <w:t>要</w:t>
      </w:r>
      <w:r>
        <w:rPr>
          <w:spacing w:val="-3"/>
          <w:w w:val="100"/>
        </w:rPr>
        <w:t>的</w:t>
      </w:r>
      <w:r>
        <w:rPr>
          <w:w w:val="100"/>
        </w:rPr>
        <w:t>其</w:t>
      </w:r>
      <w:r>
        <w:rPr>
          <w:spacing w:val="-3"/>
          <w:w w:val="100"/>
        </w:rPr>
        <w:t>他</w:t>
      </w:r>
      <w:r>
        <w:rPr>
          <w:w w:val="100"/>
        </w:rPr>
        <w:t>应</w:t>
      </w:r>
      <w:r>
        <w:rPr>
          <w:spacing w:val="-3"/>
          <w:w w:val="100"/>
        </w:rPr>
        <w:t>收</w:t>
      </w:r>
      <w:r>
        <w:rPr>
          <w:w w:val="100"/>
        </w:rPr>
        <w:t>款</w:t>
      </w:r>
      <w:r>
        <w:rPr>
          <w:spacing w:val="-3"/>
          <w:w w:val="100"/>
        </w:rPr>
        <w:t>核</w:t>
      </w:r>
      <w:r>
        <w:rPr>
          <w:w w:val="100"/>
        </w:rPr>
        <w:t>销情</w:t>
      </w:r>
      <w:r>
        <w:rPr>
          <w:spacing w:val="-3"/>
          <w:w w:val="100"/>
        </w:rPr>
        <w:t>况</w:t>
      </w:r>
      <w:r>
        <w:rPr>
          <w:spacing w:val="-2"/>
          <w:w w:val="100"/>
        </w:rPr>
        <w:t>：</w:t>
      </w:r>
      <w:r>
        <w:rPr>
          <w:rFonts w:ascii="宋体" w:hAnsi="宋体" w:cs="宋体" w:eastAsia="宋体" w:hint="default"/>
          <w:w w:val="100"/>
        </w:rPr>
        <w:t> </w:t>
      </w:r>
    </w:p>
    <w:p>
      <w:pPr>
        <w:pStyle w:val="BodyText"/>
        <w:spacing w:line="254" w:lineRule="auto" w:before="7"/>
        <w:ind w:left="716" w:right="193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其他应收款核销说明：</w:t>
      </w:r>
      <w:r>
        <w:rPr>
          <w:rFonts w:ascii="宋体" w:hAnsi="宋体" w:cs="宋体" w:eastAsia="宋体" w:hint="default"/>
          <w:b/>
          <w:bCs/>
          <w:w w:val="99"/>
        </w:rPr>
        <w:t> </w:t>
      </w:r>
      <w:r>
        <w:rPr>
          <w:rFonts w:ascii="宋体" w:hAnsi="宋体" w:cs="宋体" w:eastAsia="宋体" w:hint="default"/>
        </w:rPr>
      </w:r>
    </w:p>
    <w:p>
      <w:pPr>
        <w:pStyle w:val="BodyText"/>
        <w:spacing w:line="259" w:lineRule="exact"/>
        <w:ind w:left="716" w:right="193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716" w:right="0"/>
        <w:jc w:val="left"/>
        <w:rPr>
          <w:rFonts w:ascii="宋体" w:hAnsi="宋体" w:cs="宋体" w:eastAsia="宋体" w:hint="default"/>
        </w:rPr>
      </w:pPr>
      <w:r>
        <w:rPr>
          <w:rFonts w:ascii="宋体"/>
          <w:w w:val="100"/>
        </w:rPr>
        <w:t> </w:t>
      </w:r>
    </w:p>
    <w:p>
      <w:pPr>
        <w:pStyle w:val="Heading3"/>
        <w:tabs>
          <w:tab w:pos="1557" w:val="left" w:leader="none"/>
        </w:tabs>
        <w:spacing w:line="240" w:lineRule="auto" w:before="80"/>
        <w:ind w:left="716" w:right="0"/>
        <w:jc w:val="left"/>
        <w:rPr>
          <w:rFonts w:ascii="宋体" w:hAnsi="宋体" w:cs="宋体" w:eastAsia="宋体" w:hint="default"/>
          <w:b w:val="0"/>
          <w:bCs w:val="0"/>
        </w:rPr>
      </w:pPr>
      <w:r>
        <w:rPr>
          <w:rFonts w:ascii="宋体" w:hAnsi="宋体" w:cs="宋体" w:eastAsia="宋体" w:hint="default"/>
          <w:w w:val="95"/>
        </w:rPr>
        <w:t>(12).</w:t>
        <w:tab/>
      </w:r>
      <w:r>
        <w:rPr/>
        <w:t>按欠款方归集的期末余额前五名的其他应收款情况</w:t>
      </w:r>
      <w:r>
        <w:rPr>
          <w:rFonts w:ascii="宋体" w:hAnsi="宋体" w:cs="宋体" w:eastAsia="宋体" w:hint="default"/>
          <w:w w:val="99"/>
        </w:rPr>
        <w:t> </w:t>
      </w:r>
      <w:r>
        <w:rPr>
          <w:rFonts w:ascii="宋体" w:hAnsi="宋体" w:cs="宋体" w:eastAsia="宋体" w:hint="default"/>
          <w:b w:val="0"/>
          <w:bCs w:val="0"/>
        </w:rPr>
      </w:r>
    </w:p>
    <w:p>
      <w:pPr>
        <w:pStyle w:val="Heading2"/>
        <w:spacing w:line="240" w:lineRule="auto" w:before="69"/>
        <w:ind w:left="716" w:right="193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9"/>
          <w:szCs w:val="29"/>
        </w:rPr>
      </w:pPr>
    </w:p>
    <w:p>
      <w:pPr>
        <w:pStyle w:val="BodyText"/>
        <w:spacing w:line="240" w:lineRule="auto"/>
        <w:ind w:left="716" w:right="0"/>
        <w:jc w:val="left"/>
        <w:rPr>
          <w:rFonts w:ascii="宋体" w:hAnsi="宋体" w:cs="宋体" w:eastAsia="宋体" w:hint="default"/>
        </w:rPr>
      </w:pPr>
      <w:r>
        <w:rPr/>
        <w:t>单位：元币种：人民币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580" w:bottom="280" w:left="560" w:right="860"/>
          <w:cols w:num="2" w:equalWidth="0">
            <w:col w:w="6301" w:space="432"/>
            <w:col w:w="3757"/>
          </w:cols>
        </w:sectPr>
      </w:pPr>
    </w:p>
    <w:p>
      <w:pPr>
        <w:spacing w:line="240" w:lineRule="auto" w:before="11"/>
        <w:rPr>
          <w:rFonts w:ascii="宋体" w:hAnsi="宋体" w:cs="宋体" w:eastAsia="宋体" w:hint="default"/>
          <w:sz w:val="3"/>
          <w:szCs w:val="3"/>
        </w:rPr>
      </w:pPr>
    </w:p>
    <w:tbl>
      <w:tblPr>
        <w:tblW w:w="0" w:type="auto"/>
        <w:jc w:val="left"/>
        <w:tblInd w:w="109" w:type="dxa"/>
        <w:tblLayout w:type="fixed"/>
        <w:tblCellMar>
          <w:top w:w="0" w:type="dxa"/>
          <w:left w:w="0" w:type="dxa"/>
          <w:bottom w:w="0" w:type="dxa"/>
          <w:right w:w="0" w:type="dxa"/>
        </w:tblCellMar>
        <w:tblLook w:val="01E0"/>
      </w:tblPr>
      <w:tblGrid>
        <w:gridCol w:w="2820"/>
        <w:gridCol w:w="1330"/>
        <w:gridCol w:w="1548"/>
        <w:gridCol w:w="1244"/>
        <w:gridCol w:w="1743"/>
        <w:gridCol w:w="1558"/>
      </w:tblGrid>
      <w:tr>
        <w:trPr>
          <w:trHeight w:val="946" w:hRule="exact"/>
        </w:trPr>
        <w:tc>
          <w:tcPr>
            <w:tcW w:w="2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931" w:right="0"/>
              <w:jc w:val="left"/>
              <w:rPr>
                <w:rFonts w:ascii="宋体" w:hAnsi="宋体" w:cs="宋体" w:eastAsia="宋体" w:hint="default"/>
                <w:sz w:val="21"/>
                <w:szCs w:val="21"/>
              </w:rPr>
            </w:pPr>
            <w:r>
              <w:rPr>
                <w:rFonts w:ascii="宋体" w:hAnsi="宋体" w:cs="宋体" w:eastAsia="宋体" w:hint="default"/>
                <w:sz w:val="21"/>
                <w:szCs w:val="21"/>
              </w:rPr>
              <w:t>单位名称</w:t>
            </w:r>
            <w:r>
              <w:rPr>
                <w:rFonts w:ascii="宋体" w:hAnsi="宋体" w:cs="宋体" w:eastAsia="宋体" w:hint="default"/>
                <w:sz w:val="21"/>
                <w:szCs w:val="21"/>
              </w:rPr>
              <w:t> </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33" w:right="0"/>
              <w:jc w:val="center"/>
              <w:rPr>
                <w:rFonts w:ascii="宋体" w:hAnsi="宋体" w:cs="宋体" w:eastAsia="宋体" w:hint="default"/>
                <w:sz w:val="21"/>
                <w:szCs w:val="21"/>
              </w:rPr>
            </w:pPr>
            <w:r>
              <w:rPr>
                <w:rFonts w:ascii="宋体" w:hAnsi="宋体" w:cs="宋体" w:eastAsia="宋体" w:hint="default"/>
                <w:sz w:val="21"/>
                <w:szCs w:val="21"/>
              </w:rPr>
              <w:t>款项的性质</w:t>
            </w:r>
            <w:r>
              <w:rPr>
                <w:rFonts w:ascii="宋体" w:hAnsi="宋体" w:cs="宋体" w:eastAsia="宋体" w:hint="default"/>
                <w:sz w:val="21"/>
                <w:szCs w:val="21"/>
              </w:rPr>
              <w:t> </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311"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336"/>
              <w:jc w:val="right"/>
              <w:rPr>
                <w:rFonts w:ascii="宋体" w:hAnsi="宋体" w:cs="宋体" w:eastAsia="宋体" w:hint="default"/>
                <w:sz w:val="21"/>
                <w:szCs w:val="21"/>
              </w:rPr>
            </w:pPr>
            <w:r>
              <w:rPr>
                <w:rFonts w:ascii="宋体" w:hAnsi="宋体" w:cs="宋体" w:eastAsia="宋体" w:hint="default"/>
                <w:spacing w:val="-2"/>
                <w:sz w:val="21"/>
                <w:szCs w:val="21"/>
              </w:rPr>
              <w:t>账龄</w:t>
            </w:r>
            <w:r>
              <w:rPr>
                <w:rFonts w:ascii="宋体" w:hAnsi="宋体" w:cs="宋体" w:eastAsia="宋体" w:hint="default"/>
                <w:sz w:val="21"/>
                <w:szCs w:val="21"/>
              </w:rPr>
              <w:t> </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29" w:right="128"/>
              <w:jc w:val="center"/>
              <w:rPr>
                <w:rFonts w:ascii="宋体" w:hAnsi="宋体" w:cs="宋体" w:eastAsia="宋体" w:hint="default"/>
                <w:sz w:val="21"/>
                <w:szCs w:val="21"/>
              </w:rPr>
            </w:pPr>
            <w:r>
              <w:rPr>
                <w:rFonts w:ascii="宋体" w:hAnsi="宋体" w:cs="宋体" w:eastAsia="宋体" w:hint="default"/>
                <w:spacing w:val="-1"/>
                <w:sz w:val="21"/>
                <w:szCs w:val="21"/>
              </w:rPr>
              <w:t>占其他应收款期</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1"/>
                <w:sz w:val="21"/>
                <w:szCs w:val="21"/>
              </w:rPr>
              <w:t>末余额合计数的</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比例</w:t>
            </w:r>
            <w:r>
              <w:rPr>
                <w:rFonts w:ascii="宋体" w:hAnsi="宋体" w:cs="宋体" w:eastAsia="宋体" w:hint="default"/>
                <w:sz w:val="21"/>
                <w:szCs w:val="21"/>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352" w:right="247"/>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w w:val="100"/>
                <w:sz w:val="21"/>
                <w:szCs w:val="21"/>
              </w:rPr>
              <w:t> </w:t>
            </w: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322" w:hRule="exact"/>
        </w:trPr>
        <w:tc>
          <w:tcPr>
            <w:tcW w:w="282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泗洪百慕科技有限公司</w:t>
            </w:r>
            <w:r>
              <w:rPr>
                <w:rFonts w:ascii="宋体" w:hAnsi="宋体" w:cs="宋体" w:eastAsia="宋体" w:hint="default"/>
                <w:sz w:val="21"/>
                <w:szCs w:val="21"/>
              </w:rPr>
              <w:t> </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1" w:right="0"/>
              <w:jc w:val="center"/>
              <w:rPr>
                <w:rFonts w:ascii="宋体" w:hAnsi="宋体" w:cs="宋体" w:eastAsia="宋体" w:hint="default"/>
                <w:sz w:val="21"/>
                <w:szCs w:val="21"/>
              </w:rPr>
            </w:pPr>
            <w:r>
              <w:rPr>
                <w:rFonts w:ascii="宋体" w:hAnsi="宋体" w:cs="宋体" w:eastAsia="宋体" w:hint="default"/>
                <w:sz w:val="21"/>
                <w:szCs w:val="21"/>
              </w:rPr>
              <w:t>保证金</w:t>
            </w:r>
            <w:r>
              <w:rPr>
                <w:rFonts w:ascii="宋体" w:hAnsi="宋体" w:cs="宋体" w:eastAsia="宋体" w:hint="default"/>
                <w:sz w:val="21"/>
                <w:szCs w:val="21"/>
              </w:rPr>
              <w:t> </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8"/>
              <w:jc w:val="right"/>
              <w:rPr>
                <w:rFonts w:ascii="宋体" w:hAnsi="宋体" w:cs="宋体" w:eastAsia="宋体" w:hint="default"/>
                <w:sz w:val="21"/>
                <w:szCs w:val="21"/>
              </w:rPr>
            </w:pPr>
            <w:r>
              <w:rPr>
                <w:rFonts w:ascii="宋体"/>
                <w:spacing w:val="-1"/>
                <w:sz w:val="21"/>
              </w:rPr>
              <w:t>10,000,000.00</w:t>
            </w:r>
            <w:r>
              <w:rPr>
                <w:rFonts w:ascii="宋体"/>
                <w:sz w:val="21"/>
              </w:rPr>
              <w:t> </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12"/>
              <w:jc w:val="righ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年以内</w:t>
            </w:r>
            <w:r>
              <w:rPr>
                <w:rFonts w:ascii="宋体" w:hAnsi="宋体" w:cs="宋体" w:eastAsia="宋体" w:hint="default"/>
                <w:sz w:val="21"/>
                <w:szCs w:val="21"/>
              </w:rPr>
              <w:t> </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2"/>
              <w:jc w:val="right"/>
              <w:rPr>
                <w:rFonts w:ascii="宋体" w:hAnsi="宋体" w:cs="宋体" w:eastAsia="宋体" w:hint="default"/>
                <w:sz w:val="21"/>
                <w:szCs w:val="21"/>
              </w:rPr>
            </w:pPr>
            <w:r>
              <w:rPr>
                <w:rFonts w:ascii="宋体"/>
                <w:sz w:val="21"/>
              </w:rPr>
              <w:t>15.08</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1"/>
              <w:jc w:val="right"/>
              <w:rPr>
                <w:rFonts w:ascii="宋体" w:hAnsi="宋体" w:cs="宋体" w:eastAsia="宋体" w:hint="default"/>
                <w:sz w:val="21"/>
                <w:szCs w:val="21"/>
              </w:rPr>
            </w:pPr>
            <w:r>
              <w:rPr>
                <w:rFonts w:ascii="宋体"/>
                <w:spacing w:val="-1"/>
                <w:sz w:val="21"/>
              </w:rPr>
              <w:t>500,000.00</w:t>
            </w:r>
          </w:p>
        </w:tc>
      </w:tr>
      <w:tr>
        <w:trPr>
          <w:trHeight w:val="634" w:hRule="exact"/>
        </w:trPr>
        <w:tc>
          <w:tcPr>
            <w:tcW w:w="282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 w:right="262"/>
              <w:jc w:val="left"/>
              <w:rPr>
                <w:rFonts w:ascii="宋体" w:hAnsi="宋体" w:cs="宋体" w:eastAsia="宋体" w:hint="default"/>
                <w:sz w:val="21"/>
                <w:szCs w:val="21"/>
              </w:rPr>
            </w:pPr>
            <w:r>
              <w:rPr>
                <w:rFonts w:ascii="宋体" w:hAnsi="宋体" w:cs="宋体" w:eastAsia="宋体" w:hint="default"/>
                <w:spacing w:val="-2"/>
                <w:sz w:val="21"/>
                <w:szCs w:val="21"/>
              </w:rPr>
              <w:t>河北交通投资集团张石高速</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公路保定段有限公司</w:t>
            </w:r>
            <w:r>
              <w:rPr>
                <w:rFonts w:ascii="宋体" w:hAnsi="宋体" w:cs="宋体" w:eastAsia="宋体" w:hint="default"/>
                <w:sz w:val="21"/>
                <w:szCs w:val="21"/>
              </w:rPr>
              <w:t> </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31" w:right="0"/>
              <w:jc w:val="center"/>
              <w:rPr>
                <w:rFonts w:ascii="宋体" w:hAnsi="宋体" w:cs="宋体" w:eastAsia="宋体" w:hint="default"/>
                <w:sz w:val="21"/>
                <w:szCs w:val="21"/>
              </w:rPr>
            </w:pPr>
            <w:r>
              <w:rPr>
                <w:rFonts w:ascii="宋体" w:hAnsi="宋体" w:cs="宋体" w:eastAsia="宋体" w:hint="default"/>
                <w:sz w:val="21"/>
                <w:szCs w:val="21"/>
              </w:rPr>
              <w:t>保证金</w:t>
            </w:r>
            <w:r>
              <w:rPr>
                <w:rFonts w:ascii="宋体" w:hAnsi="宋体" w:cs="宋体" w:eastAsia="宋体" w:hint="default"/>
                <w:sz w:val="21"/>
                <w:szCs w:val="21"/>
              </w:rPr>
              <w:t> </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8"/>
              <w:jc w:val="right"/>
              <w:rPr>
                <w:rFonts w:ascii="宋体" w:hAnsi="宋体" w:cs="宋体" w:eastAsia="宋体" w:hint="default"/>
                <w:sz w:val="21"/>
                <w:szCs w:val="21"/>
              </w:rPr>
            </w:pPr>
            <w:r>
              <w:rPr>
                <w:rFonts w:ascii="宋体"/>
                <w:spacing w:val="-1"/>
                <w:sz w:val="21"/>
              </w:rPr>
              <w:t>4,160,141.00</w:t>
            </w:r>
            <w:r>
              <w:rPr>
                <w:rFonts w:ascii="宋体"/>
                <w:sz w:val="21"/>
              </w:rPr>
              <w:t> </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312"/>
              <w:jc w:val="righ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年以内</w:t>
            </w:r>
            <w:r>
              <w:rPr>
                <w:rFonts w:ascii="宋体" w:hAnsi="宋体" w:cs="宋体" w:eastAsia="宋体" w:hint="default"/>
                <w:sz w:val="21"/>
                <w:szCs w:val="21"/>
              </w:rPr>
              <w:t> </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2"/>
              <w:jc w:val="right"/>
              <w:rPr>
                <w:rFonts w:ascii="宋体" w:hAnsi="宋体" w:cs="宋体" w:eastAsia="宋体" w:hint="default"/>
                <w:sz w:val="21"/>
                <w:szCs w:val="21"/>
              </w:rPr>
            </w:pPr>
            <w:r>
              <w:rPr>
                <w:rFonts w:ascii="宋体"/>
                <w:sz w:val="21"/>
              </w:rPr>
              <w:t>6.27</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1"/>
              <w:jc w:val="right"/>
              <w:rPr>
                <w:rFonts w:ascii="宋体" w:hAnsi="宋体" w:cs="宋体" w:eastAsia="宋体" w:hint="default"/>
                <w:sz w:val="21"/>
                <w:szCs w:val="21"/>
              </w:rPr>
            </w:pPr>
            <w:r>
              <w:rPr>
                <w:rFonts w:ascii="宋体"/>
                <w:spacing w:val="-1"/>
                <w:sz w:val="21"/>
              </w:rPr>
              <w:t>208,007.05</w:t>
            </w:r>
          </w:p>
        </w:tc>
      </w:tr>
      <w:tr>
        <w:trPr>
          <w:trHeight w:val="634" w:hRule="exact"/>
        </w:trPr>
        <w:tc>
          <w:tcPr>
            <w:tcW w:w="282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 w:right="262"/>
              <w:jc w:val="left"/>
              <w:rPr>
                <w:rFonts w:ascii="宋体" w:hAnsi="宋体" w:cs="宋体" w:eastAsia="宋体" w:hint="default"/>
                <w:sz w:val="21"/>
                <w:szCs w:val="21"/>
              </w:rPr>
            </w:pPr>
            <w:r>
              <w:rPr>
                <w:rFonts w:ascii="宋体" w:hAnsi="宋体" w:cs="宋体" w:eastAsia="宋体" w:hint="default"/>
                <w:spacing w:val="-2"/>
                <w:sz w:val="21"/>
                <w:szCs w:val="21"/>
              </w:rPr>
              <w:t>南京新城科技园建设发展有</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限责任公司</w:t>
            </w:r>
            <w:r>
              <w:rPr>
                <w:rFonts w:ascii="宋体" w:hAnsi="宋体" w:cs="宋体" w:eastAsia="宋体" w:hint="default"/>
                <w:sz w:val="21"/>
                <w:szCs w:val="21"/>
              </w:rPr>
              <w:t> </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31" w:right="0"/>
              <w:jc w:val="center"/>
              <w:rPr>
                <w:rFonts w:ascii="宋体" w:hAnsi="宋体" w:cs="宋体" w:eastAsia="宋体" w:hint="default"/>
                <w:sz w:val="21"/>
                <w:szCs w:val="21"/>
              </w:rPr>
            </w:pPr>
            <w:r>
              <w:rPr>
                <w:rFonts w:ascii="宋体" w:hAnsi="宋体" w:cs="宋体" w:eastAsia="宋体" w:hint="default"/>
                <w:sz w:val="21"/>
                <w:szCs w:val="21"/>
              </w:rPr>
              <w:t>保证金</w:t>
            </w:r>
            <w:r>
              <w:rPr>
                <w:rFonts w:ascii="宋体" w:hAnsi="宋体" w:cs="宋体" w:eastAsia="宋体" w:hint="default"/>
                <w:sz w:val="21"/>
                <w:szCs w:val="21"/>
              </w:rPr>
              <w:t> </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8"/>
              <w:jc w:val="right"/>
              <w:rPr>
                <w:rFonts w:ascii="宋体" w:hAnsi="宋体" w:cs="宋体" w:eastAsia="宋体" w:hint="default"/>
                <w:sz w:val="21"/>
                <w:szCs w:val="21"/>
              </w:rPr>
            </w:pPr>
            <w:r>
              <w:rPr>
                <w:rFonts w:ascii="宋体"/>
                <w:spacing w:val="-1"/>
                <w:sz w:val="21"/>
              </w:rPr>
              <w:t>4,000,000.00</w:t>
            </w:r>
            <w:r>
              <w:rPr>
                <w:rFonts w:ascii="宋体"/>
                <w:sz w:val="21"/>
              </w:rPr>
              <w:t> </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z w:val="21"/>
                <w:szCs w:val="21"/>
              </w:rPr>
              <w:t>2-3</w:t>
            </w:r>
          </w:p>
          <w:p>
            <w:pPr>
              <w:pStyle w:val="TableParagraph"/>
              <w:spacing w:line="240" w:lineRule="auto" w:before="37"/>
              <w:ind w:left="26" w:right="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z w:val="21"/>
                <w:szCs w:val="21"/>
              </w:rPr>
              <w:t> </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2"/>
              <w:jc w:val="right"/>
              <w:rPr>
                <w:rFonts w:ascii="宋体" w:hAnsi="宋体" w:cs="宋体" w:eastAsia="宋体" w:hint="default"/>
                <w:sz w:val="21"/>
                <w:szCs w:val="21"/>
              </w:rPr>
            </w:pPr>
            <w:r>
              <w:rPr>
                <w:rFonts w:ascii="宋体"/>
                <w:sz w:val="21"/>
              </w:rPr>
              <w:t>6.03</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1"/>
              <w:jc w:val="right"/>
              <w:rPr>
                <w:rFonts w:ascii="宋体" w:hAnsi="宋体" w:cs="宋体" w:eastAsia="宋体" w:hint="default"/>
                <w:sz w:val="21"/>
                <w:szCs w:val="21"/>
              </w:rPr>
            </w:pPr>
            <w:r>
              <w:rPr>
                <w:rFonts w:ascii="宋体"/>
                <w:spacing w:val="-1"/>
                <w:sz w:val="21"/>
              </w:rPr>
              <w:t>1,000,000.00</w:t>
            </w:r>
          </w:p>
        </w:tc>
      </w:tr>
      <w:tr>
        <w:trPr>
          <w:trHeight w:val="636" w:hRule="exact"/>
        </w:trPr>
        <w:tc>
          <w:tcPr>
            <w:tcW w:w="282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 w:right="262"/>
              <w:jc w:val="left"/>
              <w:rPr>
                <w:rFonts w:ascii="宋体" w:hAnsi="宋体" w:cs="宋体" w:eastAsia="宋体" w:hint="default"/>
                <w:sz w:val="21"/>
                <w:szCs w:val="21"/>
              </w:rPr>
            </w:pPr>
            <w:r>
              <w:rPr>
                <w:rFonts w:ascii="宋体" w:hAnsi="宋体" w:cs="宋体" w:eastAsia="宋体" w:hint="default"/>
                <w:spacing w:val="-2"/>
                <w:sz w:val="21"/>
                <w:szCs w:val="21"/>
              </w:rPr>
              <w:t>江苏省启东经济开发区管理</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委员会</w:t>
            </w:r>
            <w:r>
              <w:rPr>
                <w:rFonts w:ascii="宋体" w:hAnsi="宋体" w:cs="宋体" w:eastAsia="宋体" w:hint="default"/>
                <w:sz w:val="21"/>
                <w:szCs w:val="21"/>
              </w:rPr>
              <w:t> </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31" w:right="0"/>
              <w:jc w:val="center"/>
              <w:rPr>
                <w:rFonts w:ascii="宋体" w:hAnsi="宋体" w:cs="宋体" w:eastAsia="宋体" w:hint="default"/>
                <w:sz w:val="21"/>
                <w:szCs w:val="21"/>
              </w:rPr>
            </w:pPr>
            <w:r>
              <w:rPr>
                <w:rFonts w:ascii="宋体" w:hAnsi="宋体" w:cs="宋体" w:eastAsia="宋体" w:hint="default"/>
                <w:sz w:val="21"/>
                <w:szCs w:val="21"/>
              </w:rPr>
              <w:t>保证金</w:t>
            </w:r>
            <w:r>
              <w:rPr>
                <w:rFonts w:ascii="宋体" w:hAnsi="宋体" w:cs="宋体" w:eastAsia="宋体" w:hint="default"/>
                <w:sz w:val="21"/>
                <w:szCs w:val="21"/>
              </w:rPr>
              <w:t> </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8"/>
              <w:jc w:val="right"/>
              <w:rPr>
                <w:rFonts w:ascii="宋体" w:hAnsi="宋体" w:cs="宋体" w:eastAsia="宋体" w:hint="default"/>
                <w:sz w:val="21"/>
                <w:szCs w:val="21"/>
              </w:rPr>
            </w:pPr>
            <w:r>
              <w:rPr>
                <w:rFonts w:ascii="宋体"/>
                <w:spacing w:val="-1"/>
                <w:sz w:val="21"/>
              </w:rPr>
              <w:t>2,900,000.00</w:t>
            </w:r>
            <w:r>
              <w:rPr>
                <w:rFonts w:ascii="宋体"/>
                <w:sz w:val="21"/>
              </w:rPr>
              <w:t> </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312"/>
              <w:jc w:val="righ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年以内</w:t>
            </w:r>
            <w:r>
              <w:rPr>
                <w:rFonts w:ascii="宋体" w:hAnsi="宋体" w:cs="宋体" w:eastAsia="宋体" w:hint="default"/>
                <w:sz w:val="21"/>
                <w:szCs w:val="21"/>
              </w:rPr>
              <w:t> </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22"/>
              <w:jc w:val="right"/>
              <w:rPr>
                <w:rFonts w:ascii="宋体" w:hAnsi="宋体" w:cs="宋体" w:eastAsia="宋体" w:hint="default"/>
                <w:sz w:val="21"/>
                <w:szCs w:val="21"/>
              </w:rPr>
            </w:pPr>
            <w:r>
              <w:rPr>
                <w:rFonts w:ascii="宋体"/>
                <w:sz w:val="21"/>
              </w:rPr>
              <w:t>4.37</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21"/>
              <w:jc w:val="right"/>
              <w:rPr>
                <w:rFonts w:ascii="宋体" w:hAnsi="宋体" w:cs="宋体" w:eastAsia="宋体" w:hint="default"/>
                <w:sz w:val="21"/>
                <w:szCs w:val="21"/>
              </w:rPr>
            </w:pPr>
            <w:r>
              <w:rPr>
                <w:rFonts w:ascii="宋体"/>
                <w:spacing w:val="-1"/>
                <w:sz w:val="21"/>
              </w:rPr>
              <w:t>145,000.00</w:t>
            </w:r>
          </w:p>
        </w:tc>
      </w:tr>
      <w:tr>
        <w:trPr>
          <w:trHeight w:val="634" w:hRule="exact"/>
        </w:trPr>
        <w:tc>
          <w:tcPr>
            <w:tcW w:w="2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4" w:right="0"/>
              <w:jc w:val="left"/>
              <w:rPr>
                <w:rFonts w:ascii="宋体" w:hAnsi="宋体" w:cs="宋体" w:eastAsia="宋体" w:hint="default"/>
                <w:sz w:val="21"/>
                <w:szCs w:val="21"/>
              </w:rPr>
            </w:pPr>
            <w:r>
              <w:rPr>
                <w:rFonts w:ascii="宋体" w:hAnsi="宋体" w:cs="宋体" w:eastAsia="宋体" w:hint="default"/>
                <w:sz w:val="21"/>
                <w:szCs w:val="21"/>
              </w:rPr>
              <w:t>苏州吴都能源发展有限公司</w:t>
            </w:r>
            <w:r>
              <w:rPr>
                <w:rFonts w:ascii="宋体" w:hAnsi="宋体" w:cs="宋体" w:eastAsia="宋体" w:hint="default"/>
                <w:sz w:val="21"/>
                <w:szCs w:val="21"/>
              </w:rPr>
              <w:t> </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413" w:right="165" w:hanging="315"/>
              <w:jc w:val="left"/>
              <w:rPr>
                <w:rFonts w:ascii="宋体" w:hAnsi="宋体" w:cs="宋体" w:eastAsia="宋体" w:hint="default"/>
                <w:sz w:val="21"/>
                <w:szCs w:val="21"/>
              </w:rPr>
            </w:pPr>
            <w:r>
              <w:rPr>
                <w:rFonts w:ascii="宋体" w:hAnsi="宋体" w:cs="宋体" w:eastAsia="宋体" w:hint="default"/>
                <w:sz w:val="21"/>
                <w:szCs w:val="21"/>
              </w:rPr>
              <w:t>应收股权转</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让款</w:t>
            </w:r>
            <w:r>
              <w:rPr>
                <w:rFonts w:ascii="宋体" w:hAnsi="宋体" w:cs="宋体" w:eastAsia="宋体" w:hint="default"/>
                <w:sz w:val="21"/>
                <w:szCs w:val="21"/>
              </w:rPr>
              <w:t> </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8"/>
              <w:jc w:val="right"/>
              <w:rPr>
                <w:rFonts w:ascii="宋体" w:hAnsi="宋体" w:cs="宋体" w:eastAsia="宋体" w:hint="default"/>
                <w:sz w:val="21"/>
                <w:szCs w:val="21"/>
              </w:rPr>
            </w:pPr>
            <w:r>
              <w:rPr>
                <w:rFonts w:ascii="宋体"/>
                <w:spacing w:val="-1"/>
                <w:sz w:val="21"/>
              </w:rPr>
              <w:t>2,765,851.87</w:t>
            </w:r>
            <w:r>
              <w:rPr>
                <w:rFonts w:ascii="宋体"/>
                <w:sz w:val="21"/>
              </w:rPr>
              <w:t> </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312"/>
              <w:jc w:val="righ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年以内</w:t>
            </w:r>
            <w:r>
              <w:rPr>
                <w:rFonts w:ascii="宋体" w:hAnsi="宋体" w:cs="宋体" w:eastAsia="宋体" w:hint="default"/>
                <w:sz w:val="21"/>
                <w:szCs w:val="21"/>
              </w:rPr>
              <w:t> </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2"/>
              <w:jc w:val="right"/>
              <w:rPr>
                <w:rFonts w:ascii="宋体" w:hAnsi="宋体" w:cs="宋体" w:eastAsia="宋体" w:hint="default"/>
                <w:sz w:val="21"/>
                <w:szCs w:val="21"/>
              </w:rPr>
            </w:pPr>
            <w:r>
              <w:rPr>
                <w:rFonts w:ascii="宋体"/>
                <w:sz w:val="21"/>
              </w:rPr>
              <w:t>4.17</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1"/>
              <w:jc w:val="right"/>
              <w:rPr>
                <w:rFonts w:ascii="宋体" w:hAnsi="宋体" w:cs="宋体" w:eastAsia="宋体" w:hint="default"/>
                <w:sz w:val="21"/>
                <w:szCs w:val="21"/>
              </w:rPr>
            </w:pPr>
            <w:r>
              <w:rPr>
                <w:rFonts w:ascii="宋体"/>
                <w:spacing w:val="-1"/>
                <w:sz w:val="21"/>
              </w:rPr>
              <w:t>138,292.59</w:t>
            </w:r>
          </w:p>
        </w:tc>
      </w:tr>
      <w:tr>
        <w:trPr>
          <w:trHeight w:val="322" w:hRule="exact"/>
        </w:trPr>
        <w:tc>
          <w:tcPr>
            <w:tcW w:w="282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4" w:right="0"/>
              <w:jc w:val="center"/>
              <w:rPr>
                <w:rFonts w:ascii="宋体" w:hAnsi="宋体" w:cs="宋体" w:eastAsia="宋体" w:hint="default"/>
                <w:sz w:val="21"/>
                <w:szCs w:val="21"/>
              </w:rPr>
            </w:pPr>
            <w:r>
              <w:rPr>
                <w:rFonts w:ascii="宋体"/>
                <w:sz w:val="21"/>
              </w:rPr>
              <w:t>/ </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8"/>
              <w:jc w:val="right"/>
              <w:rPr>
                <w:rFonts w:ascii="宋体" w:hAnsi="宋体" w:cs="宋体" w:eastAsia="宋体" w:hint="default"/>
                <w:sz w:val="21"/>
                <w:szCs w:val="21"/>
              </w:rPr>
            </w:pPr>
            <w:r>
              <w:rPr>
                <w:rFonts w:ascii="宋体"/>
                <w:spacing w:val="-1"/>
                <w:sz w:val="21"/>
              </w:rPr>
              <w:t>23,825,992.87</w:t>
            </w:r>
            <w:r>
              <w:rPr>
                <w:rFonts w:ascii="宋体"/>
                <w:sz w:val="21"/>
              </w:rPr>
              <w:t> </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3" w:right="0"/>
              <w:jc w:val="center"/>
              <w:rPr>
                <w:rFonts w:ascii="宋体" w:hAnsi="宋体" w:cs="宋体" w:eastAsia="宋体" w:hint="default"/>
                <w:sz w:val="21"/>
                <w:szCs w:val="21"/>
              </w:rPr>
            </w:pPr>
            <w:r>
              <w:rPr>
                <w:rFonts w:ascii="宋体"/>
                <w:sz w:val="21"/>
              </w:rPr>
              <w:t>/ </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2"/>
              <w:jc w:val="right"/>
              <w:rPr>
                <w:rFonts w:ascii="宋体" w:hAnsi="宋体" w:cs="宋体" w:eastAsia="宋体" w:hint="default"/>
                <w:sz w:val="21"/>
                <w:szCs w:val="21"/>
              </w:rPr>
            </w:pPr>
            <w:r>
              <w:rPr>
                <w:rFonts w:ascii="宋体"/>
                <w:sz w:val="21"/>
              </w:rPr>
              <w:t>35.92</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1"/>
              <w:jc w:val="right"/>
              <w:rPr>
                <w:rFonts w:ascii="宋体" w:hAnsi="宋体" w:cs="宋体" w:eastAsia="宋体" w:hint="default"/>
                <w:sz w:val="21"/>
                <w:szCs w:val="21"/>
              </w:rPr>
            </w:pPr>
            <w:r>
              <w:rPr>
                <w:rFonts w:ascii="宋体"/>
                <w:spacing w:val="-1"/>
                <w:sz w:val="21"/>
              </w:rPr>
              <w:t>1,991,299.64</w:t>
            </w:r>
          </w:p>
        </w:tc>
      </w:tr>
    </w:tbl>
    <w:p>
      <w:pPr>
        <w:pStyle w:val="BodyText"/>
        <w:spacing w:line="241" w:lineRule="exact"/>
        <w:ind w:left="716" w:right="0"/>
        <w:jc w:val="left"/>
        <w:rPr>
          <w:rFonts w:ascii="宋体" w:hAnsi="宋体" w:cs="宋体" w:eastAsia="宋体" w:hint="default"/>
        </w:rPr>
      </w:pPr>
      <w:r>
        <w:rPr>
          <w:rFonts w:ascii="宋体"/>
          <w:w w:val="100"/>
        </w:rPr>
        <w:t> </w:t>
      </w:r>
    </w:p>
    <w:p>
      <w:pPr>
        <w:pStyle w:val="Heading3"/>
        <w:tabs>
          <w:tab w:pos="1557" w:val="left" w:leader="none"/>
        </w:tabs>
        <w:spacing w:line="240" w:lineRule="auto" w:before="80"/>
        <w:ind w:left="716" w:right="0"/>
        <w:jc w:val="left"/>
        <w:rPr>
          <w:rFonts w:ascii="宋体" w:hAnsi="宋体" w:cs="宋体" w:eastAsia="宋体" w:hint="default"/>
          <w:b w:val="0"/>
          <w:bCs w:val="0"/>
        </w:rPr>
      </w:pPr>
      <w:r>
        <w:rPr>
          <w:rFonts w:ascii="宋体" w:hAnsi="宋体" w:cs="宋体" w:eastAsia="宋体" w:hint="default"/>
          <w:w w:val="95"/>
        </w:rPr>
        <w:t>(13).</w:t>
        <w:tab/>
      </w:r>
      <w:r>
        <w:rPr/>
        <w:t>涉及政府补助的应收款项</w:t>
      </w:r>
      <w:r>
        <w:rPr>
          <w:rFonts w:ascii="宋体" w:hAnsi="宋体" w:cs="宋体" w:eastAsia="宋体" w:hint="default"/>
          <w:w w:val="99"/>
        </w:rPr>
        <w:t> </w:t>
      </w:r>
      <w:r>
        <w:rPr>
          <w:rFonts w:ascii="宋体" w:hAnsi="宋体" w:cs="宋体" w:eastAsia="宋体" w:hint="default"/>
          <w:b w:val="0"/>
          <w:bCs w:val="0"/>
        </w:rPr>
      </w:r>
    </w:p>
    <w:p>
      <w:pPr>
        <w:pStyle w:val="Heading2"/>
        <w:spacing w:line="240" w:lineRule="auto" w:before="69"/>
        <w:ind w:left="71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12"/>
        <w:rPr>
          <w:rFonts w:ascii="宋体" w:hAnsi="宋体" w:cs="宋体" w:eastAsia="宋体" w:hint="default"/>
          <w:sz w:val="24"/>
          <w:szCs w:val="24"/>
        </w:rPr>
      </w:pPr>
    </w:p>
    <w:p>
      <w:pPr>
        <w:pStyle w:val="Heading3"/>
        <w:tabs>
          <w:tab w:pos="1557" w:val="left" w:leader="none"/>
        </w:tabs>
        <w:spacing w:line="240" w:lineRule="auto" w:before="0"/>
        <w:ind w:left="716" w:right="0"/>
        <w:jc w:val="left"/>
        <w:rPr>
          <w:rFonts w:ascii="宋体" w:hAnsi="宋体" w:cs="宋体" w:eastAsia="宋体" w:hint="default"/>
          <w:b w:val="0"/>
          <w:bCs w:val="0"/>
        </w:rPr>
      </w:pPr>
      <w:r>
        <w:rPr>
          <w:rFonts w:ascii="宋体" w:hAnsi="宋体" w:cs="宋体" w:eastAsia="宋体" w:hint="default"/>
          <w:w w:val="95"/>
        </w:rPr>
        <w:t>(14).</w:t>
        <w:tab/>
      </w:r>
      <w:r>
        <w:rPr/>
        <w:t>因金融资产转移而终止确认的其他应收款</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7"/>
        <w:ind w:left="716"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left="716" w:right="0"/>
        <w:jc w:val="left"/>
        <w:rPr>
          <w:rFonts w:ascii="宋体" w:hAnsi="宋体" w:cs="宋体" w:eastAsia="宋体" w:hint="default"/>
        </w:rPr>
      </w:pPr>
      <w:r>
        <w:rPr>
          <w:rFonts w:ascii="宋体"/>
          <w:w w:val="100"/>
        </w:rPr>
        <w:t> </w:t>
      </w:r>
    </w:p>
    <w:p>
      <w:pPr>
        <w:spacing w:after="0" w:line="240" w:lineRule="auto"/>
        <w:jc w:val="left"/>
        <w:rPr>
          <w:rFonts w:ascii="宋体" w:hAnsi="宋体" w:cs="宋体" w:eastAsia="宋体" w:hint="default"/>
        </w:rPr>
        <w:sectPr>
          <w:type w:val="continuous"/>
          <w:pgSz w:w="11910" w:h="16840"/>
          <w:pgMar w:top="1580" w:bottom="280" w:left="560" w:right="860"/>
        </w:sectPr>
      </w:pPr>
    </w:p>
    <w:p>
      <w:pPr>
        <w:spacing w:line="240" w:lineRule="auto" w:before="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pgSz w:w="11910" w:h="16840"/>
          <w:pgMar w:header="0" w:footer="974" w:top="1140" w:bottom="1160" w:left="560" w:right="1060"/>
        </w:sectPr>
      </w:pPr>
    </w:p>
    <w:p>
      <w:pPr>
        <w:pStyle w:val="Heading3"/>
        <w:tabs>
          <w:tab w:pos="1557" w:val="left" w:leader="none"/>
        </w:tabs>
        <w:spacing w:line="240" w:lineRule="auto" w:before="36"/>
        <w:ind w:left="716" w:right="0"/>
        <w:jc w:val="left"/>
        <w:rPr>
          <w:rFonts w:ascii="宋体" w:hAnsi="宋体" w:cs="宋体" w:eastAsia="宋体" w:hint="default"/>
          <w:b w:val="0"/>
          <w:bCs w:val="0"/>
        </w:rPr>
      </w:pPr>
      <w:r>
        <w:rPr>
          <w:rFonts w:ascii="宋体" w:hAnsi="宋体" w:cs="宋体" w:eastAsia="宋体" w:hint="default"/>
          <w:w w:val="95"/>
        </w:rPr>
        <w:t>(15).</w:t>
        <w:tab/>
      </w:r>
      <w:r>
        <w:rPr/>
        <w:t>转移其他应收款且继续涉入形成的资产、负债的金额</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7"/>
        <w:ind w:left="716"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left="716" w:right="0"/>
        <w:jc w:val="left"/>
        <w:rPr>
          <w:rFonts w:ascii="宋体" w:hAnsi="宋体" w:cs="宋体" w:eastAsia="宋体" w:hint="default"/>
        </w:rPr>
      </w:pPr>
      <w:r>
        <w:rPr>
          <w:rFonts w:ascii="宋体"/>
          <w:w w:val="100"/>
        </w:rPr>
        <w:t> </w:t>
      </w:r>
    </w:p>
    <w:p>
      <w:pPr>
        <w:pStyle w:val="Heading2"/>
        <w:spacing w:line="240" w:lineRule="auto" w:before="9"/>
        <w:ind w:left="716" w:right="0"/>
        <w:jc w:val="left"/>
        <w:rPr>
          <w:rFonts w:ascii="宋体" w:hAnsi="宋体" w:cs="宋体" w:eastAsia="宋体" w:hint="default"/>
        </w:rPr>
      </w:pPr>
      <w:r>
        <w:rPr/>
        <w:t>其他说明：</w:t>
      </w:r>
      <w:r>
        <w:rPr>
          <w:rFonts w:ascii="宋体" w:hAnsi="宋体" w:cs="宋体" w:eastAsia="宋体" w:hint="default"/>
        </w:rPr>
        <w:t> </w:t>
      </w:r>
    </w:p>
    <w:p>
      <w:pPr>
        <w:pStyle w:val="BodyText"/>
        <w:spacing w:line="240" w:lineRule="auto" w:before="25"/>
        <w:ind w:left="716"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left="716" w:right="0"/>
        <w:jc w:val="left"/>
        <w:rPr>
          <w:rFonts w:ascii="宋体" w:hAnsi="宋体" w:cs="宋体" w:eastAsia="宋体" w:hint="default"/>
        </w:rPr>
      </w:pPr>
      <w:r>
        <w:rPr>
          <w:rFonts w:ascii="宋体"/>
          <w:w w:val="100"/>
        </w:rPr>
        <w:t> </w:t>
      </w:r>
    </w:p>
    <w:p>
      <w:pPr>
        <w:pStyle w:val="Heading3"/>
        <w:spacing w:line="324" w:lineRule="auto"/>
        <w:ind w:left="716" w:right="3708"/>
        <w:jc w:val="left"/>
        <w:rPr>
          <w:rFonts w:ascii="宋体" w:hAnsi="宋体" w:cs="宋体" w:eastAsia="宋体" w:hint="default"/>
          <w:b w:val="0"/>
          <w:bCs w:val="0"/>
        </w:rPr>
      </w:pPr>
      <w:r>
        <w:rPr>
          <w:rFonts w:ascii="宋体" w:hAnsi="宋体" w:cs="宋体" w:eastAsia="宋体" w:hint="default"/>
        </w:rPr>
        <w:t>9</w:t>
      </w:r>
      <w:r>
        <w:rPr/>
        <w:t>、</w:t>
      </w:r>
      <w:r>
        <w:rPr>
          <w:spacing w:val="-3"/>
        </w:rPr>
        <w:t> </w:t>
      </w:r>
      <w:r>
        <w:rPr/>
        <w:t>存货</w:t>
      </w:r>
      <w:r>
        <w:rPr>
          <w:w w:val="100"/>
        </w:rPr>
        <w:t> </w:t>
      </w:r>
      <w:r>
        <w:rPr>
          <w:rFonts w:ascii="宋体" w:hAnsi="宋体" w:cs="宋体" w:eastAsia="宋体" w:hint="default"/>
        </w:rPr>
        <w:t>(1).</w:t>
      </w:r>
      <w:r>
        <w:rPr/>
        <w:t>存货分类</w:t>
      </w:r>
      <w:r>
        <w:rPr>
          <w:rFonts w:ascii="宋体" w:hAnsi="宋体" w:cs="宋体" w:eastAsia="宋体" w:hint="default"/>
          <w:w w:val="99"/>
        </w:rPr>
        <w:t> </w:t>
      </w:r>
      <w:r>
        <w:rPr>
          <w:rFonts w:ascii="宋体" w:hAnsi="宋体" w:cs="宋体" w:eastAsia="宋体" w:hint="default"/>
          <w:b w:val="0"/>
          <w:bCs w:val="0"/>
        </w:rPr>
      </w:r>
    </w:p>
    <w:p>
      <w:pPr>
        <w:pStyle w:val="Heading2"/>
        <w:spacing w:line="310" w:lineRule="exact"/>
        <w:ind w:left="71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11"/>
        <w:rPr>
          <w:rFonts w:ascii="宋体" w:hAnsi="宋体" w:cs="宋体" w:eastAsia="宋体" w:hint="default"/>
          <w:sz w:val="25"/>
          <w:szCs w:val="25"/>
        </w:rPr>
      </w:pPr>
    </w:p>
    <w:p>
      <w:pPr>
        <w:pStyle w:val="BodyText"/>
        <w:spacing w:line="240" w:lineRule="auto"/>
        <w:ind w:left="716" w:right="0"/>
        <w:jc w:val="left"/>
        <w:rPr>
          <w:rFonts w:ascii="宋体" w:hAnsi="宋体" w:cs="宋体" w:eastAsia="宋体" w:hint="default"/>
        </w:rPr>
      </w:pPr>
      <w:r>
        <w:rPr>
          <w:rFonts w:ascii="宋体"/>
          <w:w w:val="100"/>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5"/>
          <w:szCs w:val="15"/>
        </w:rPr>
      </w:pPr>
    </w:p>
    <w:p>
      <w:pPr>
        <w:pStyle w:val="BodyText"/>
        <w:spacing w:line="240" w:lineRule="auto"/>
        <w:ind w:left="716" w:right="0"/>
        <w:jc w:val="left"/>
        <w:rPr>
          <w:rFonts w:ascii="宋体" w:hAnsi="宋体" w:cs="宋体" w:eastAsia="宋体" w:hint="default"/>
        </w:rPr>
      </w:pPr>
      <w:r>
        <w:rPr/>
        <w:t>单位：元币种：人民币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580" w:bottom="280" w:left="560" w:right="1060"/>
          <w:cols w:num="2" w:equalWidth="0">
            <w:col w:w="6512" w:space="221"/>
            <w:col w:w="3557"/>
          </w:cols>
        </w:sectPr>
      </w:pPr>
    </w:p>
    <w:p>
      <w:pPr>
        <w:spacing w:line="240" w:lineRule="auto" w:before="10"/>
        <w:rPr>
          <w:rFonts w:ascii="宋体" w:hAnsi="宋体" w:cs="宋体" w:eastAsia="宋体" w:hint="default"/>
          <w:sz w:val="3"/>
          <w:szCs w:val="3"/>
        </w:rPr>
      </w:pPr>
    </w:p>
    <w:tbl>
      <w:tblPr>
        <w:tblW w:w="0" w:type="auto"/>
        <w:jc w:val="left"/>
        <w:tblInd w:w="104" w:type="dxa"/>
        <w:tblLayout w:type="fixed"/>
        <w:tblCellMar>
          <w:top w:w="0" w:type="dxa"/>
          <w:left w:w="0" w:type="dxa"/>
          <w:bottom w:w="0" w:type="dxa"/>
          <w:right w:w="0" w:type="dxa"/>
        </w:tblCellMar>
        <w:tblLook w:val="01E0"/>
      </w:tblPr>
      <w:tblGrid>
        <w:gridCol w:w="1599"/>
        <w:gridCol w:w="1416"/>
        <w:gridCol w:w="1313"/>
        <w:gridCol w:w="1435"/>
        <w:gridCol w:w="1433"/>
        <w:gridCol w:w="1426"/>
        <w:gridCol w:w="1426"/>
      </w:tblGrid>
      <w:tr>
        <w:trPr>
          <w:trHeight w:val="322" w:hRule="exact"/>
        </w:trPr>
        <w:tc>
          <w:tcPr>
            <w:tcW w:w="1599"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614" w:right="0"/>
              <w:jc w:val="left"/>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416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88" w:right="0"/>
              <w:jc w:val="center"/>
              <w:rPr>
                <w:rFonts w:ascii="宋体" w:hAnsi="宋体" w:cs="宋体" w:eastAsia="宋体" w:hint="default"/>
                <w:sz w:val="18"/>
                <w:szCs w:val="18"/>
              </w:rPr>
            </w:pPr>
            <w:r>
              <w:rPr>
                <w:rFonts w:ascii="宋体" w:hAnsi="宋体" w:cs="宋体" w:eastAsia="宋体" w:hint="default"/>
                <w:sz w:val="18"/>
                <w:szCs w:val="18"/>
              </w:rPr>
              <w:t>期末余额</w:t>
            </w:r>
            <w:r>
              <w:rPr>
                <w:rFonts w:ascii="宋体" w:hAnsi="宋体" w:cs="宋体" w:eastAsia="宋体" w:hint="default"/>
                <w:sz w:val="18"/>
                <w:szCs w:val="18"/>
              </w:rPr>
              <w:t> </w:t>
            </w:r>
          </w:p>
        </w:tc>
        <w:tc>
          <w:tcPr>
            <w:tcW w:w="4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87" w:right="0"/>
              <w:jc w:val="center"/>
              <w:rPr>
                <w:rFonts w:ascii="宋体" w:hAnsi="宋体" w:cs="宋体" w:eastAsia="宋体" w:hint="default"/>
                <w:sz w:val="18"/>
                <w:szCs w:val="18"/>
              </w:rPr>
            </w:pPr>
            <w:r>
              <w:rPr>
                <w:rFonts w:ascii="宋体" w:hAnsi="宋体" w:cs="宋体" w:eastAsia="宋体" w:hint="default"/>
                <w:sz w:val="18"/>
                <w:szCs w:val="18"/>
              </w:rPr>
              <w:t>期初余额</w:t>
            </w:r>
            <w:r>
              <w:rPr>
                <w:rFonts w:ascii="宋体" w:hAnsi="宋体" w:cs="宋体" w:eastAsia="宋体" w:hint="default"/>
                <w:sz w:val="18"/>
                <w:szCs w:val="18"/>
              </w:rPr>
              <w:t> </w:t>
            </w:r>
          </w:p>
        </w:tc>
      </w:tr>
      <w:tr>
        <w:trPr>
          <w:trHeight w:val="322" w:hRule="exact"/>
        </w:trPr>
        <w:tc>
          <w:tcPr>
            <w:tcW w:w="1599" w:type="dxa"/>
            <w:vMerge/>
            <w:tcBorders>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40" w:right="0"/>
              <w:jc w:val="left"/>
              <w:rPr>
                <w:rFonts w:ascii="宋体" w:hAnsi="宋体" w:cs="宋体" w:eastAsia="宋体" w:hint="default"/>
                <w:sz w:val="18"/>
                <w:szCs w:val="18"/>
              </w:rPr>
            </w:pPr>
            <w:r>
              <w:rPr>
                <w:rFonts w:ascii="宋体" w:hAnsi="宋体" w:cs="宋体" w:eastAsia="宋体" w:hint="default"/>
                <w:sz w:val="18"/>
                <w:szCs w:val="18"/>
              </w:rPr>
              <w:t>账面余额</w:t>
            </w:r>
            <w:r>
              <w:rPr>
                <w:rFonts w:ascii="宋体" w:hAnsi="宋体" w:cs="宋体" w:eastAsia="宋体" w:hint="default"/>
                <w:sz w:val="18"/>
                <w:szCs w:val="18"/>
              </w:rPr>
              <w:t> </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88" w:right="0"/>
              <w:jc w:val="left"/>
              <w:rPr>
                <w:rFonts w:ascii="宋体" w:hAnsi="宋体" w:cs="宋体" w:eastAsia="宋体" w:hint="default"/>
                <w:sz w:val="18"/>
                <w:szCs w:val="18"/>
              </w:rPr>
            </w:pPr>
            <w:r>
              <w:rPr>
                <w:rFonts w:ascii="宋体" w:hAnsi="宋体" w:cs="宋体" w:eastAsia="宋体" w:hint="default"/>
                <w:sz w:val="18"/>
                <w:szCs w:val="18"/>
              </w:rPr>
              <w:t>跌价准备</w:t>
            </w:r>
            <w:r>
              <w:rPr>
                <w:rFonts w:ascii="宋体" w:hAnsi="宋体" w:cs="宋体" w:eastAsia="宋体" w:hint="default"/>
                <w:sz w:val="18"/>
                <w:szCs w:val="18"/>
              </w:rPr>
              <w:t> </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47" w:right="0"/>
              <w:jc w:val="left"/>
              <w:rPr>
                <w:rFonts w:ascii="宋体" w:hAnsi="宋体" w:cs="宋体" w:eastAsia="宋体" w:hint="default"/>
                <w:sz w:val="18"/>
                <w:szCs w:val="18"/>
              </w:rPr>
            </w:pPr>
            <w:r>
              <w:rPr>
                <w:rFonts w:ascii="宋体" w:hAnsi="宋体" w:cs="宋体" w:eastAsia="宋体" w:hint="default"/>
                <w:sz w:val="18"/>
                <w:szCs w:val="18"/>
              </w:rPr>
              <w:t>账面价值</w:t>
            </w:r>
            <w:r>
              <w:rPr>
                <w:rFonts w:ascii="宋体" w:hAnsi="宋体" w:cs="宋体" w:eastAsia="宋体" w:hint="default"/>
                <w:sz w:val="18"/>
                <w:szCs w:val="18"/>
              </w:rPr>
              <w:t> </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45" w:right="0"/>
              <w:jc w:val="left"/>
              <w:rPr>
                <w:rFonts w:ascii="宋体" w:hAnsi="宋体" w:cs="宋体" w:eastAsia="宋体" w:hint="default"/>
                <w:sz w:val="18"/>
                <w:szCs w:val="18"/>
              </w:rPr>
            </w:pPr>
            <w:r>
              <w:rPr>
                <w:rFonts w:ascii="宋体" w:hAnsi="宋体" w:cs="宋体" w:eastAsia="宋体" w:hint="default"/>
                <w:sz w:val="18"/>
                <w:szCs w:val="18"/>
              </w:rPr>
              <w:t>账面余额</w:t>
            </w:r>
            <w:r>
              <w:rPr>
                <w:rFonts w:ascii="宋体" w:hAnsi="宋体" w:cs="宋体" w:eastAsia="宋体" w:hint="default"/>
                <w:sz w:val="18"/>
                <w:szCs w:val="18"/>
              </w:rPr>
              <w:t> </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43" w:right="0"/>
              <w:jc w:val="left"/>
              <w:rPr>
                <w:rFonts w:ascii="宋体" w:hAnsi="宋体" w:cs="宋体" w:eastAsia="宋体" w:hint="default"/>
                <w:sz w:val="18"/>
                <w:szCs w:val="18"/>
              </w:rPr>
            </w:pPr>
            <w:r>
              <w:rPr>
                <w:rFonts w:ascii="宋体" w:hAnsi="宋体" w:cs="宋体" w:eastAsia="宋体" w:hint="default"/>
                <w:sz w:val="18"/>
                <w:szCs w:val="18"/>
              </w:rPr>
              <w:t>跌价准备</w:t>
            </w:r>
            <w:r>
              <w:rPr>
                <w:rFonts w:ascii="宋体" w:hAnsi="宋体" w:cs="宋体" w:eastAsia="宋体" w:hint="default"/>
                <w:sz w:val="18"/>
                <w:szCs w:val="18"/>
              </w:rPr>
              <w:t> </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45" w:right="0"/>
              <w:jc w:val="left"/>
              <w:rPr>
                <w:rFonts w:ascii="宋体" w:hAnsi="宋体" w:cs="宋体" w:eastAsia="宋体" w:hint="default"/>
                <w:sz w:val="18"/>
                <w:szCs w:val="18"/>
              </w:rPr>
            </w:pPr>
            <w:r>
              <w:rPr>
                <w:rFonts w:ascii="宋体" w:hAnsi="宋体" w:cs="宋体" w:eastAsia="宋体" w:hint="default"/>
                <w:sz w:val="18"/>
                <w:szCs w:val="18"/>
              </w:rPr>
              <w:t>账面价值</w:t>
            </w:r>
            <w:r>
              <w:rPr>
                <w:rFonts w:ascii="宋体" w:hAnsi="宋体" w:cs="宋体" w:eastAsia="宋体" w:hint="default"/>
                <w:sz w:val="18"/>
                <w:szCs w:val="18"/>
              </w:rPr>
              <w:t> </w:t>
            </w:r>
          </w:p>
        </w:tc>
      </w:tr>
      <w:tr>
        <w:trPr>
          <w:trHeight w:val="322"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原材料</w:t>
            </w:r>
            <w:r>
              <w:rPr>
                <w:rFonts w:ascii="宋体" w:hAnsi="宋体" w:cs="宋体" w:eastAsia="宋体" w:hint="default"/>
                <w:sz w:val="18"/>
                <w:szCs w:val="18"/>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9"/>
              <w:jc w:val="right"/>
              <w:rPr>
                <w:rFonts w:ascii="宋体" w:hAnsi="宋体" w:cs="宋体" w:eastAsia="宋体" w:hint="default"/>
                <w:sz w:val="18"/>
                <w:szCs w:val="18"/>
              </w:rPr>
            </w:pPr>
            <w:r>
              <w:rPr>
                <w:rFonts w:ascii="宋体"/>
                <w:spacing w:val="-1"/>
                <w:sz w:val="18"/>
              </w:rPr>
              <w:t>455,557,458.40</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8"/>
              <w:jc w:val="right"/>
              <w:rPr>
                <w:rFonts w:ascii="宋体" w:hAnsi="宋体" w:cs="宋体" w:eastAsia="宋体" w:hint="default"/>
                <w:sz w:val="18"/>
                <w:szCs w:val="18"/>
              </w:rPr>
            </w:pPr>
            <w:r>
              <w:rPr>
                <w:rFonts w:ascii="宋体"/>
                <w:spacing w:val="-1"/>
                <w:sz w:val="18"/>
              </w:rPr>
              <w:t>871,127.54</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1"/>
              <w:jc w:val="right"/>
              <w:rPr>
                <w:rFonts w:ascii="宋体" w:hAnsi="宋体" w:cs="宋体" w:eastAsia="宋体" w:hint="default"/>
                <w:sz w:val="18"/>
                <w:szCs w:val="18"/>
              </w:rPr>
            </w:pPr>
            <w:r>
              <w:rPr>
                <w:rFonts w:ascii="宋体"/>
                <w:spacing w:val="-1"/>
                <w:sz w:val="18"/>
              </w:rPr>
              <w:t>454,686,330.86</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1"/>
              <w:jc w:val="right"/>
              <w:rPr>
                <w:rFonts w:ascii="宋体" w:hAnsi="宋体" w:cs="宋体" w:eastAsia="宋体" w:hint="default"/>
                <w:sz w:val="18"/>
                <w:szCs w:val="18"/>
              </w:rPr>
            </w:pPr>
            <w:r>
              <w:rPr>
                <w:rFonts w:ascii="宋体"/>
                <w:spacing w:val="-1"/>
                <w:sz w:val="18"/>
              </w:rPr>
              <w:t>135,457,315.37</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9"/>
              <w:jc w:val="right"/>
              <w:rPr>
                <w:rFonts w:ascii="宋体" w:hAnsi="宋体" w:cs="宋体" w:eastAsia="宋体" w:hint="default"/>
                <w:sz w:val="18"/>
                <w:szCs w:val="18"/>
              </w:rPr>
            </w:pPr>
            <w:r>
              <w:rPr>
                <w:rFonts w:ascii="宋体"/>
                <w:spacing w:val="-1"/>
                <w:sz w:val="18"/>
              </w:rPr>
              <w:t>782,772.73</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9"/>
              <w:jc w:val="right"/>
              <w:rPr>
                <w:rFonts w:ascii="宋体" w:hAnsi="宋体" w:cs="宋体" w:eastAsia="宋体" w:hint="default"/>
                <w:sz w:val="18"/>
                <w:szCs w:val="18"/>
              </w:rPr>
            </w:pPr>
            <w:r>
              <w:rPr>
                <w:rFonts w:ascii="宋体"/>
                <w:spacing w:val="-1"/>
                <w:sz w:val="18"/>
              </w:rPr>
              <w:t>134,674,542.64</w:t>
            </w:r>
          </w:p>
        </w:tc>
      </w:tr>
      <w:tr>
        <w:trPr>
          <w:trHeight w:val="324"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在产品</w:t>
            </w:r>
            <w:r>
              <w:rPr>
                <w:rFonts w:ascii="宋体" w:hAnsi="宋体" w:cs="宋体" w:eastAsia="宋体" w:hint="default"/>
                <w:sz w:val="18"/>
                <w:szCs w:val="18"/>
              </w:rPr>
              <w:t> </w:t>
            </w:r>
          </w:p>
        </w:tc>
        <w:tc>
          <w:tcPr>
            <w:tcW w:w="1416"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c>
          <w:tcPr>
            <w:tcW w:w="1435"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库存商品</w:t>
            </w:r>
            <w:r>
              <w:rPr>
                <w:rFonts w:ascii="宋体" w:hAnsi="宋体" w:cs="宋体" w:eastAsia="宋体" w:hint="default"/>
                <w:sz w:val="18"/>
                <w:szCs w:val="18"/>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9"/>
              <w:jc w:val="right"/>
              <w:rPr>
                <w:rFonts w:ascii="宋体" w:hAnsi="宋体" w:cs="宋体" w:eastAsia="宋体" w:hint="default"/>
                <w:sz w:val="18"/>
                <w:szCs w:val="18"/>
              </w:rPr>
            </w:pPr>
            <w:r>
              <w:rPr>
                <w:rFonts w:ascii="宋体"/>
                <w:spacing w:val="-1"/>
                <w:sz w:val="18"/>
              </w:rPr>
              <w:t>107,031,259.54</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9"/>
              <w:jc w:val="right"/>
              <w:rPr>
                <w:rFonts w:ascii="宋体" w:hAnsi="宋体" w:cs="宋体" w:eastAsia="宋体" w:hint="default"/>
                <w:sz w:val="18"/>
                <w:szCs w:val="18"/>
              </w:rPr>
            </w:pPr>
            <w:r>
              <w:rPr>
                <w:rFonts w:ascii="宋体"/>
                <w:spacing w:val="-1"/>
                <w:sz w:val="18"/>
              </w:rPr>
              <w:t>4,162,307.08</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1"/>
              <w:jc w:val="right"/>
              <w:rPr>
                <w:rFonts w:ascii="宋体" w:hAnsi="宋体" w:cs="宋体" w:eastAsia="宋体" w:hint="default"/>
                <w:sz w:val="18"/>
                <w:szCs w:val="18"/>
              </w:rPr>
            </w:pPr>
            <w:r>
              <w:rPr>
                <w:rFonts w:ascii="宋体"/>
                <w:spacing w:val="-1"/>
                <w:sz w:val="18"/>
              </w:rPr>
              <w:t>102,868,952.46</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1"/>
              <w:jc w:val="right"/>
              <w:rPr>
                <w:rFonts w:ascii="宋体" w:hAnsi="宋体" w:cs="宋体" w:eastAsia="宋体" w:hint="default"/>
                <w:sz w:val="18"/>
                <w:szCs w:val="18"/>
              </w:rPr>
            </w:pPr>
            <w:r>
              <w:rPr>
                <w:rFonts w:ascii="宋体"/>
                <w:spacing w:val="-1"/>
                <w:sz w:val="18"/>
              </w:rPr>
              <w:t>219,002,008.00</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9"/>
              <w:jc w:val="right"/>
              <w:rPr>
                <w:rFonts w:ascii="宋体" w:hAnsi="宋体" w:cs="宋体" w:eastAsia="宋体" w:hint="default"/>
                <w:sz w:val="18"/>
                <w:szCs w:val="18"/>
              </w:rPr>
            </w:pPr>
            <w:r>
              <w:rPr>
                <w:rFonts w:ascii="宋体"/>
                <w:spacing w:val="-1"/>
                <w:sz w:val="18"/>
              </w:rPr>
              <w:t>2,706,118.97</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9"/>
              <w:jc w:val="right"/>
              <w:rPr>
                <w:rFonts w:ascii="宋体" w:hAnsi="宋体" w:cs="宋体" w:eastAsia="宋体" w:hint="default"/>
                <w:sz w:val="18"/>
                <w:szCs w:val="18"/>
              </w:rPr>
            </w:pPr>
            <w:r>
              <w:rPr>
                <w:rFonts w:ascii="宋体"/>
                <w:spacing w:val="-1"/>
                <w:sz w:val="18"/>
              </w:rPr>
              <w:t>216,295,889.03</w:t>
            </w:r>
          </w:p>
        </w:tc>
      </w:tr>
      <w:tr>
        <w:trPr>
          <w:trHeight w:val="322"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周转材料</w:t>
            </w:r>
            <w:r>
              <w:rPr>
                <w:rFonts w:ascii="宋体" w:hAnsi="宋体" w:cs="宋体" w:eastAsia="宋体" w:hint="default"/>
                <w:sz w:val="18"/>
                <w:szCs w:val="18"/>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4"/>
              <w:jc w:val="right"/>
              <w:rPr>
                <w:rFonts w:ascii="宋体" w:hAnsi="宋体" w:cs="宋体" w:eastAsia="宋体" w:hint="default"/>
                <w:sz w:val="18"/>
                <w:szCs w:val="18"/>
              </w:rPr>
            </w:pPr>
            <w:r>
              <w:rPr>
                <w:rFonts w:ascii="宋体"/>
                <w:spacing w:val="-1"/>
                <w:sz w:val="18"/>
              </w:rPr>
              <w:t>517,958.33</w:t>
            </w:r>
          </w:p>
        </w:tc>
        <w:tc>
          <w:tcPr>
            <w:tcW w:w="1313" w:type="dxa"/>
            <w:tcBorders>
              <w:top w:val="single" w:sz="4" w:space="0" w:color="000000"/>
              <w:left w:val="single" w:sz="4" w:space="0" w:color="000000"/>
              <w:bottom w:val="single" w:sz="4" w:space="0" w:color="000000"/>
              <w:right w:val="single" w:sz="4" w:space="0" w:color="000000"/>
            </w:tcBorders>
          </w:tcPr>
          <w:p>
            <w:pP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6"/>
              <w:jc w:val="right"/>
              <w:rPr>
                <w:rFonts w:ascii="宋体" w:hAnsi="宋体" w:cs="宋体" w:eastAsia="宋体" w:hint="default"/>
                <w:sz w:val="18"/>
                <w:szCs w:val="18"/>
              </w:rPr>
            </w:pPr>
            <w:r>
              <w:rPr>
                <w:rFonts w:ascii="宋体"/>
                <w:spacing w:val="-1"/>
                <w:sz w:val="18"/>
              </w:rPr>
              <w:t>517,958.33</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1"/>
              <w:jc w:val="right"/>
              <w:rPr>
                <w:rFonts w:ascii="宋体" w:hAnsi="宋体" w:cs="宋体" w:eastAsia="宋体" w:hint="default"/>
                <w:sz w:val="18"/>
                <w:szCs w:val="18"/>
              </w:rPr>
            </w:pPr>
            <w:r>
              <w:rPr>
                <w:rFonts w:ascii="宋体"/>
                <w:spacing w:val="-1"/>
                <w:sz w:val="18"/>
              </w:rPr>
              <w:t>1,056,038.17</w:t>
            </w:r>
          </w:p>
        </w:tc>
        <w:tc>
          <w:tcPr>
            <w:tcW w:w="1426"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9"/>
              <w:jc w:val="right"/>
              <w:rPr>
                <w:rFonts w:ascii="宋体" w:hAnsi="宋体" w:cs="宋体" w:eastAsia="宋体" w:hint="default"/>
                <w:sz w:val="18"/>
                <w:szCs w:val="18"/>
              </w:rPr>
            </w:pPr>
            <w:r>
              <w:rPr>
                <w:rFonts w:ascii="宋体"/>
                <w:spacing w:val="-1"/>
                <w:sz w:val="18"/>
              </w:rPr>
              <w:t>1,056,038.17</w:t>
            </w:r>
          </w:p>
        </w:tc>
      </w:tr>
      <w:tr>
        <w:trPr>
          <w:trHeight w:val="322"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消耗性生物资产</w:t>
            </w:r>
            <w:r>
              <w:rPr>
                <w:rFonts w:ascii="宋体" w:hAnsi="宋体" w:cs="宋体" w:eastAsia="宋体" w:hint="default"/>
                <w:sz w:val="18"/>
                <w:szCs w:val="18"/>
              </w:rPr>
              <w:t> </w:t>
            </w:r>
          </w:p>
        </w:tc>
        <w:tc>
          <w:tcPr>
            <w:tcW w:w="1416"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c>
          <w:tcPr>
            <w:tcW w:w="1435"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6" w:right="120"/>
              <w:jc w:val="left"/>
              <w:rPr>
                <w:rFonts w:ascii="宋体" w:hAnsi="宋体" w:cs="宋体" w:eastAsia="宋体" w:hint="default"/>
                <w:sz w:val="18"/>
                <w:szCs w:val="18"/>
              </w:rPr>
            </w:pPr>
            <w:r>
              <w:rPr>
                <w:rFonts w:ascii="宋体" w:hAnsi="宋体" w:cs="宋体" w:eastAsia="宋体" w:hint="default"/>
                <w:sz w:val="18"/>
                <w:szCs w:val="18"/>
              </w:rPr>
              <w:t>建造合同形成的已 完工未结算资产</w:t>
            </w:r>
            <w:r>
              <w:rPr>
                <w:rFonts w:ascii="宋体" w:hAnsi="宋体" w:cs="宋体" w:eastAsia="宋体" w:hint="default"/>
                <w:sz w:val="18"/>
                <w:szCs w:val="18"/>
              </w:rPr>
              <w:t> </w:t>
            </w:r>
          </w:p>
        </w:tc>
        <w:tc>
          <w:tcPr>
            <w:tcW w:w="1416"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c>
          <w:tcPr>
            <w:tcW w:w="1435"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委托加工物资</w:t>
            </w:r>
            <w:r>
              <w:rPr>
                <w:rFonts w:ascii="宋体" w:hAnsi="宋体" w:cs="宋体" w:eastAsia="宋体" w:hint="default"/>
                <w:sz w:val="18"/>
                <w:szCs w:val="18"/>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9"/>
              <w:jc w:val="right"/>
              <w:rPr>
                <w:rFonts w:ascii="宋体" w:hAnsi="宋体" w:cs="宋体" w:eastAsia="宋体" w:hint="default"/>
                <w:sz w:val="18"/>
                <w:szCs w:val="18"/>
              </w:rPr>
            </w:pPr>
            <w:r>
              <w:rPr>
                <w:rFonts w:ascii="宋体"/>
                <w:spacing w:val="-1"/>
                <w:sz w:val="18"/>
              </w:rPr>
              <w:t>2,440,449.91</w:t>
            </w:r>
          </w:p>
        </w:tc>
        <w:tc>
          <w:tcPr>
            <w:tcW w:w="1313" w:type="dxa"/>
            <w:tcBorders>
              <w:top w:val="single" w:sz="4" w:space="0" w:color="000000"/>
              <w:left w:val="single" w:sz="4" w:space="0" w:color="000000"/>
              <w:bottom w:val="single" w:sz="4" w:space="0" w:color="000000"/>
              <w:right w:val="single" w:sz="4" w:space="0" w:color="000000"/>
            </w:tcBorders>
          </w:tcPr>
          <w:p>
            <w:pP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1"/>
              <w:jc w:val="right"/>
              <w:rPr>
                <w:rFonts w:ascii="宋体" w:hAnsi="宋体" w:cs="宋体" w:eastAsia="宋体" w:hint="default"/>
                <w:sz w:val="18"/>
                <w:szCs w:val="18"/>
              </w:rPr>
            </w:pPr>
            <w:r>
              <w:rPr>
                <w:rFonts w:ascii="宋体"/>
                <w:spacing w:val="-1"/>
                <w:sz w:val="18"/>
              </w:rPr>
              <w:t>2,440,449.91</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1"/>
              <w:jc w:val="right"/>
              <w:rPr>
                <w:rFonts w:ascii="宋体" w:hAnsi="宋体" w:cs="宋体" w:eastAsia="宋体" w:hint="default"/>
                <w:sz w:val="18"/>
                <w:szCs w:val="18"/>
              </w:rPr>
            </w:pPr>
            <w:r>
              <w:rPr>
                <w:rFonts w:ascii="宋体"/>
                <w:spacing w:val="-1"/>
                <w:sz w:val="18"/>
              </w:rPr>
              <w:t>1,460,373.49</w:t>
            </w:r>
          </w:p>
        </w:tc>
        <w:tc>
          <w:tcPr>
            <w:tcW w:w="1426"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9"/>
              <w:jc w:val="right"/>
              <w:rPr>
                <w:rFonts w:ascii="宋体" w:hAnsi="宋体" w:cs="宋体" w:eastAsia="宋体" w:hint="default"/>
                <w:sz w:val="18"/>
                <w:szCs w:val="18"/>
              </w:rPr>
            </w:pPr>
            <w:r>
              <w:rPr>
                <w:rFonts w:ascii="宋体"/>
                <w:spacing w:val="-1"/>
                <w:sz w:val="18"/>
              </w:rPr>
              <w:t>1,460,373.49</w:t>
            </w:r>
          </w:p>
        </w:tc>
      </w:tr>
      <w:tr>
        <w:trPr>
          <w:trHeight w:val="324"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在产品</w:t>
            </w:r>
            <w:r>
              <w:rPr>
                <w:rFonts w:ascii="宋体" w:hAnsi="宋体" w:cs="宋体" w:eastAsia="宋体" w:hint="default"/>
                <w:sz w:val="18"/>
                <w:szCs w:val="18"/>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9"/>
              <w:jc w:val="right"/>
              <w:rPr>
                <w:rFonts w:ascii="宋体" w:hAnsi="宋体" w:cs="宋体" w:eastAsia="宋体" w:hint="default"/>
                <w:sz w:val="18"/>
                <w:szCs w:val="18"/>
              </w:rPr>
            </w:pPr>
            <w:r>
              <w:rPr>
                <w:rFonts w:ascii="宋体"/>
                <w:spacing w:val="-1"/>
                <w:sz w:val="18"/>
              </w:rPr>
              <w:t>19,286,049.74</w:t>
            </w:r>
          </w:p>
        </w:tc>
        <w:tc>
          <w:tcPr>
            <w:tcW w:w="1313" w:type="dxa"/>
            <w:tcBorders>
              <w:top w:val="single" w:sz="4" w:space="0" w:color="000000"/>
              <w:left w:val="single" w:sz="4" w:space="0" w:color="000000"/>
              <w:bottom w:val="single" w:sz="4" w:space="0" w:color="000000"/>
              <w:right w:val="single" w:sz="4" w:space="0" w:color="000000"/>
            </w:tcBorders>
          </w:tcPr>
          <w:p>
            <w:pP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1"/>
              <w:jc w:val="right"/>
              <w:rPr>
                <w:rFonts w:ascii="宋体" w:hAnsi="宋体" w:cs="宋体" w:eastAsia="宋体" w:hint="default"/>
                <w:sz w:val="18"/>
                <w:szCs w:val="18"/>
              </w:rPr>
            </w:pPr>
            <w:r>
              <w:rPr>
                <w:rFonts w:ascii="宋体"/>
                <w:spacing w:val="-1"/>
                <w:sz w:val="18"/>
              </w:rPr>
              <w:t>19,286,049.74</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1"/>
              <w:jc w:val="right"/>
              <w:rPr>
                <w:rFonts w:ascii="宋体" w:hAnsi="宋体" w:cs="宋体" w:eastAsia="宋体" w:hint="default"/>
                <w:sz w:val="18"/>
                <w:szCs w:val="18"/>
              </w:rPr>
            </w:pPr>
            <w:r>
              <w:rPr>
                <w:rFonts w:ascii="宋体"/>
                <w:spacing w:val="-1"/>
                <w:sz w:val="18"/>
              </w:rPr>
              <w:t>16,839,146.73</w:t>
            </w:r>
          </w:p>
        </w:tc>
        <w:tc>
          <w:tcPr>
            <w:tcW w:w="1426"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9"/>
              <w:jc w:val="right"/>
              <w:rPr>
                <w:rFonts w:ascii="宋体" w:hAnsi="宋体" w:cs="宋体" w:eastAsia="宋体" w:hint="default"/>
                <w:sz w:val="18"/>
                <w:szCs w:val="18"/>
              </w:rPr>
            </w:pPr>
            <w:r>
              <w:rPr>
                <w:rFonts w:ascii="宋体"/>
                <w:spacing w:val="-1"/>
                <w:sz w:val="18"/>
              </w:rPr>
              <w:t>16,839,146.73</w:t>
            </w:r>
          </w:p>
        </w:tc>
      </w:tr>
      <w:tr>
        <w:trPr>
          <w:trHeight w:val="322"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自制半成品</w:t>
            </w:r>
            <w:r>
              <w:rPr>
                <w:rFonts w:ascii="宋体" w:hAnsi="宋体" w:cs="宋体" w:eastAsia="宋体" w:hint="default"/>
                <w:sz w:val="18"/>
                <w:szCs w:val="18"/>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9"/>
              <w:jc w:val="right"/>
              <w:rPr>
                <w:rFonts w:ascii="宋体" w:hAnsi="宋体" w:cs="宋体" w:eastAsia="宋体" w:hint="default"/>
                <w:sz w:val="18"/>
                <w:szCs w:val="18"/>
              </w:rPr>
            </w:pPr>
            <w:r>
              <w:rPr>
                <w:rFonts w:ascii="宋体"/>
                <w:spacing w:val="-1"/>
                <w:sz w:val="18"/>
              </w:rPr>
              <w:t>25,343,369.53</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8"/>
              <w:jc w:val="right"/>
              <w:rPr>
                <w:rFonts w:ascii="宋体" w:hAnsi="宋体" w:cs="宋体" w:eastAsia="宋体" w:hint="default"/>
                <w:sz w:val="18"/>
                <w:szCs w:val="18"/>
              </w:rPr>
            </w:pPr>
            <w:r>
              <w:rPr>
                <w:rFonts w:ascii="宋体"/>
                <w:spacing w:val="-1"/>
                <w:sz w:val="18"/>
              </w:rPr>
              <w:t>1,618.34</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1"/>
              <w:jc w:val="right"/>
              <w:rPr>
                <w:rFonts w:ascii="宋体" w:hAnsi="宋体" w:cs="宋体" w:eastAsia="宋体" w:hint="default"/>
                <w:sz w:val="18"/>
                <w:szCs w:val="18"/>
              </w:rPr>
            </w:pPr>
            <w:r>
              <w:rPr>
                <w:rFonts w:ascii="宋体"/>
                <w:spacing w:val="-1"/>
                <w:sz w:val="18"/>
              </w:rPr>
              <w:t>25,341,751.19</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1"/>
              <w:jc w:val="right"/>
              <w:rPr>
                <w:rFonts w:ascii="宋体" w:hAnsi="宋体" w:cs="宋体" w:eastAsia="宋体" w:hint="default"/>
                <w:sz w:val="18"/>
                <w:szCs w:val="18"/>
              </w:rPr>
            </w:pPr>
            <w:r>
              <w:rPr>
                <w:rFonts w:ascii="宋体"/>
                <w:spacing w:val="-1"/>
                <w:sz w:val="18"/>
              </w:rPr>
              <w:t>21,915,131.69</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9"/>
              <w:jc w:val="right"/>
              <w:rPr>
                <w:rFonts w:ascii="宋体" w:hAnsi="宋体" w:cs="宋体" w:eastAsia="宋体" w:hint="default"/>
                <w:sz w:val="18"/>
                <w:szCs w:val="18"/>
              </w:rPr>
            </w:pPr>
            <w:r>
              <w:rPr>
                <w:rFonts w:ascii="宋体"/>
                <w:spacing w:val="-1"/>
                <w:sz w:val="18"/>
              </w:rPr>
              <w:t>1,618.34</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9"/>
              <w:jc w:val="right"/>
              <w:rPr>
                <w:rFonts w:ascii="宋体" w:hAnsi="宋体" w:cs="宋体" w:eastAsia="宋体" w:hint="default"/>
                <w:sz w:val="18"/>
                <w:szCs w:val="18"/>
              </w:rPr>
            </w:pPr>
            <w:r>
              <w:rPr>
                <w:rFonts w:ascii="宋体"/>
                <w:spacing w:val="-1"/>
                <w:sz w:val="18"/>
              </w:rPr>
              <w:t>21,913,513.35</w:t>
            </w:r>
          </w:p>
        </w:tc>
      </w:tr>
      <w:tr>
        <w:trPr>
          <w:trHeight w:val="322"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工程施工</w:t>
            </w:r>
            <w:r>
              <w:rPr>
                <w:rFonts w:ascii="宋体" w:hAnsi="宋体" w:cs="宋体" w:eastAsia="宋体" w:hint="default"/>
                <w:sz w:val="18"/>
                <w:szCs w:val="18"/>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9"/>
              <w:jc w:val="right"/>
              <w:rPr>
                <w:rFonts w:ascii="宋体" w:hAnsi="宋体" w:cs="宋体" w:eastAsia="宋体" w:hint="default"/>
                <w:sz w:val="18"/>
                <w:szCs w:val="18"/>
              </w:rPr>
            </w:pPr>
            <w:r>
              <w:rPr>
                <w:rFonts w:ascii="宋体"/>
                <w:spacing w:val="-1"/>
                <w:sz w:val="18"/>
              </w:rPr>
              <w:t>193,168,673.69</w:t>
            </w:r>
          </w:p>
        </w:tc>
        <w:tc>
          <w:tcPr>
            <w:tcW w:w="1313" w:type="dxa"/>
            <w:tcBorders>
              <w:top w:val="single" w:sz="4" w:space="0" w:color="000000"/>
              <w:left w:val="single" w:sz="4" w:space="0" w:color="000000"/>
              <w:bottom w:val="single" w:sz="4" w:space="0" w:color="000000"/>
              <w:right w:val="single" w:sz="4" w:space="0" w:color="000000"/>
            </w:tcBorders>
          </w:tcPr>
          <w:p>
            <w:pP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1"/>
              <w:jc w:val="right"/>
              <w:rPr>
                <w:rFonts w:ascii="宋体" w:hAnsi="宋体" w:cs="宋体" w:eastAsia="宋体" w:hint="default"/>
                <w:sz w:val="18"/>
                <w:szCs w:val="18"/>
              </w:rPr>
            </w:pPr>
            <w:r>
              <w:rPr>
                <w:rFonts w:ascii="宋体"/>
                <w:spacing w:val="-1"/>
                <w:sz w:val="18"/>
              </w:rPr>
              <w:t>193,168,673.69</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1"/>
              <w:jc w:val="right"/>
              <w:rPr>
                <w:rFonts w:ascii="宋体" w:hAnsi="宋体" w:cs="宋体" w:eastAsia="宋体" w:hint="default"/>
                <w:sz w:val="18"/>
                <w:szCs w:val="18"/>
              </w:rPr>
            </w:pPr>
            <w:r>
              <w:rPr>
                <w:rFonts w:ascii="宋体"/>
                <w:spacing w:val="-1"/>
                <w:sz w:val="18"/>
              </w:rPr>
              <w:t>67,565,147.37</w:t>
            </w:r>
          </w:p>
        </w:tc>
        <w:tc>
          <w:tcPr>
            <w:tcW w:w="1426"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9"/>
              <w:jc w:val="right"/>
              <w:rPr>
                <w:rFonts w:ascii="宋体" w:hAnsi="宋体" w:cs="宋体" w:eastAsia="宋体" w:hint="default"/>
                <w:sz w:val="18"/>
                <w:szCs w:val="18"/>
              </w:rPr>
            </w:pPr>
            <w:r>
              <w:rPr>
                <w:rFonts w:ascii="宋体"/>
                <w:spacing w:val="-1"/>
                <w:sz w:val="18"/>
              </w:rPr>
              <w:t>67,565,147.37</w:t>
            </w:r>
          </w:p>
        </w:tc>
      </w:tr>
      <w:tr>
        <w:trPr>
          <w:trHeight w:val="322"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611" w:right="0"/>
              <w:jc w:val="left"/>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9"/>
              <w:jc w:val="right"/>
              <w:rPr>
                <w:rFonts w:ascii="宋体" w:hAnsi="宋体" w:cs="宋体" w:eastAsia="宋体" w:hint="default"/>
                <w:sz w:val="18"/>
                <w:szCs w:val="18"/>
              </w:rPr>
            </w:pPr>
            <w:r>
              <w:rPr>
                <w:rFonts w:ascii="宋体"/>
                <w:spacing w:val="-1"/>
                <w:sz w:val="18"/>
              </w:rPr>
              <w:t>803,345,219.14</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9"/>
              <w:jc w:val="right"/>
              <w:rPr>
                <w:rFonts w:ascii="宋体" w:hAnsi="宋体" w:cs="宋体" w:eastAsia="宋体" w:hint="default"/>
                <w:sz w:val="18"/>
                <w:szCs w:val="18"/>
              </w:rPr>
            </w:pPr>
            <w:r>
              <w:rPr>
                <w:rFonts w:ascii="宋体"/>
                <w:spacing w:val="-1"/>
                <w:sz w:val="18"/>
              </w:rPr>
              <w:t>5,035,052.96</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1"/>
              <w:jc w:val="right"/>
              <w:rPr>
                <w:rFonts w:ascii="宋体" w:hAnsi="宋体" w:cs="宋体" w:eastAsia="宋体" w:hint="default"/>
                <w:sz w:val="18"/>
                <w:szCs w:val="18"/>
              </w:rPr>
            </w:pPr>
            <w:r>
              <w:rPr>
                <w:rFonts w:ascii="宋体"/>
                <w:spacing w:val="-1"/>
                <w:sz w:val="18"/>
              </w:rPr>
              <w:t>798,310,166.18</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1"/>
              <w:jc w:val="right"/>
              <w:rPr>
                <w:rFonts w:ascii="宋体" w:hAnsi="宋体" w:cs="宋体" w:eastAsia="宋体" w:hint="default"/>
                <w:sz w:val="18"/>
                <w:szCs w:val="18"/>
              </w:rPr>
            </w:pPr>
            <w:r>
              <w:rPr>
                <w:rFonts w:ascii="宋体"/>
                <w:spacing w:val="-1"/>
                <w:sz w:val="18"/>
              </w:rPr>
              <w:t>463,295,160.82</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9"/>
              <w:jc w:val="right"/>
              <w:rPr>
                <w:rFonts w:ascii="宋体" w:hAnsi="宋体" w:cs="宋体" w:eastAsia="宋体" w:hint="default"/>
                <w:sz w:val="18"/>
                <w:szCs w:val="18"/>
              </w:rPr>
            </w:pPr>
            <w:r>
              <w:rPr>
                <w:rFonts w:ascii="宋体"/>
                <w:spacing w:val="-1"/>
                <w:sz w:val="18"/>
              </w:rPr>
              <w:t>3,490,510.04</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9"/>
              <w:jc w:val="right"/>
              <w:rPr>
                <w:rFonts w:ascii="宋体" w:hAnsi="宋体" w:cs="宋体" w:eastAsia="宋体" w:hint="default"/>
                <w:sz w:val="18"/>
                <w:szCs w:val="18"/>
              </w:rPr>
            </w:pPr>
            <w:r>
              <w:rPr>
                <w:rFonts w:ascii="宋体"/>
                <w:spacing w:val="-1"/>
                <w:sz w:val="18"/>
              </w:rPr>
              <w:t>459,804,650.78</w:t>
            </w:r>
          </w:p>
        </w:tc>
      </w:tr>
    </w:tbl>
    <w:p>
      <w:pPr>
        <w:spacing w:after="0" w:line="240" w:lineRule="auto"/>
        <w:jc w:val="right"/>
        <w:rPr>
          <w:rFonts w:ascii="宋体" w:hAnsi="宋体" w:cs="宋体" w:eastAsia="宋体" w:hint="default"/>
          <w:sz w:val="18"/>
          <w:szCs w:val="18"/>
        </w:rPr>
        <w:sectPr>
          <w:type w:val="continuous"/>
          <w:pgSz w:w="11910" w:h="16840"/>
          <w:pgMar w:top="1580" w:bottom="280" w:left="560" w:right="1060"/>
        </w:sectPr>
      </w:pPr>
    </w:p>
    <w:p>
      <w:pPr>
        <w:spacing w:line="324" w:lineRule="auto" w:before="0"/>
        <w:ind w:left="716" w:right="0" w:firstLine="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b/>
          <w:bCs/>
          <w:w w:val="99"/>
          <w:sz w:val="21"/>
          <w:szCs w:val="21"/>
        </w:rPr>
        <w:t>(2)</w:t>
      </w:r>
      <w:r>
        <w:rPr>
          <w:rFonts w:ascii="宋体" w:hAnsi="宋体" w:cs="宋体" w:eastAsia="宋体" w:hint="default"/>
          <w:b/>
          <w:bCs/>
          <w:spacing w:val="5"/>
          <w:w w:val="99"/>
          <w:sz w:val="21"/>
          <w:szCs w:val="21"/>
        </w:rPr>
        <w:t>.</w:t>
      </w:r>
      <w:r>
        <w:rPr>
          <w:rFonts w:ascii="宋体" w:hAnsi="宋体" w:cs="宋体" w:eastAsia="宋体" w:hint="default"/>
          <w:b/>
          <w:bCs/>
          <w:w w:val="100"/>
          <w:sz w:val="21"/>
          <w:szCs w:val="21"/>
        </w:rPr>
        <w:t>存货跌价准</w:t>
      </w:r>
      <w:r>
        <w:rPr>
          <w:rFonts w:ascii="宋体" w:hAnsi="宋体" w:cs="宋体" w:eastAsia="宋体" w:hint="default"/>
          <w:b/>
          <w:bCs/>
          <w:spacing w:val="-3"/>
          <w:w w:val="100"/>
          <w:sz w:val="21"/>
          <w:szCs w:val="21"/>
        </w:rPr>
        <w:t>备</w:t>
      </w:r>
      <w:r>
        <w:rPr>
          <w:rFonts w:ascii="宋体" w:hAnsi="宋体" w:cs="宋体" w:eastAsia="宋体" w:hint="default"/>
          <w:w w:val="100"/>
          <w:sz w:val="21"/>
          <w:szCs w:val="21"/>
        </w:rPr>
        <w:t> </w:t>
      </w:r>
    </w:p>
    <w:p>
      <w:pPr>
        <w:pStyle w:val="Heading2"/>
        <w:spacing w:line="310" w:lineRule="exact"/>
        <w:ind w:left="71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pStyle w:val="BodyText"/>
        <w:spacing w:line="240" w:lineRule="auto"/>
        <w:ind w:left="716" w:right="0"/>
        <w:jc w:val="left"/>
        <w:rPr>
          <w:rFonts w:ascii="宋体" w:hAnsi="宋体" w:cs="宋体" w:eastAsia="宋体" w:hint="default"/>
        </w:rPr>
      </w:pPr>
      <w:r>
        <w:rPr/>
        <w:t>单位：元币种：人民币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580" w:bottom="280" w:left="560" w:right="1060"/>
          <w:cols w:num="2" w:equalWidth="0">
            <w:col w:w="2758" w:space="3976"/>
            <w:col w:w="3556"/>
          </w:cols>
        </w:sectPr>
      </w:pPr>
    </w:p>
    <w:p>
      <w:pPr>
        <w:spacing w:line="240" w:lineRule="auto" w:before="10"/>
        <w:rPr>
          <w:rFonts w:ascii="宋体" w:hAnsi="宋体" w:cs="宋体" w:eastAsia="宋体" w:hint="default"/>
          <w:sz w:val="3"/>
          <w:szCs w:val="3"/>
        </w:rPr>
      </w:pPr>
    </w:p>
    <w:tbl>
      <w:tblPr>
        <w:tblW w:w="0" w:type="auto"/>
        <w:jc w:val="left"/>
        <w:tblInd w:w="604" w:type="dxa"/>
        <w:tblLayout w:type="fixed"/>
        <w:tblCellMar>
          <w:top w:w="0" w:type="dxa"/>
          <w:left w:w="0" w:type="dxa"/>
          <w:bottom w:w="0" w:type="dxa"/>
          <w:right w:w="0" w:type="dxa"/>
        </w:tblCellMar>
        <w:tblLook w:val="01E0"/>
      </w:tblPr>
      <w:tblGrid>
        <w:gridCol w:w="1884"/>
        <w:gridCol w:w="1457"/>
        <w:gridCol w:w="1452"/>
        <w:gridCol w:w="682"/>
        <w:gridCol w:w="1505"/>
        <w:gridCol w:w="893"/>
        <w:gridCol w:w="1428"/>
      </w:tblGrid>
      <w:tr>
        <w:trPr>
          <w:trHeight w:val="322" w:hRule="exact"/>
        </w:trPr>
        <w:tc>
          <w:tcPr>
            <w:tcW w:w="1884"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88" w:right="0"/>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1457"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362"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宋体" w:hAnsi="宋体" w:cs="宋体" w:eastAsia="宋体" w:hint="default"/>
                <w:sz w:val="18"/>
                <w:szCs w:val="18"/>
              </w:rPr>
              <w:t> </w:t>
            </w:r>
          </w:p>
        </w:tc>
        <w:tc>
          <w:tcPr>
            <w:tcW w:w="2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520" w:right="0"/>
              <w:jc w:val="left"/>
              <w:rPr>
                <w:rFonts w:ascii="宋体" w:hAnsi="宋体" w:cs="宋体" w:eastAsia="宋体" w:hint="default"/>
                <w:sz w:val="18"/>
                <w:szCs w:val="18"/>
              </w:rPr>
            </w:pPr>
            <w:r>
              <w:rPr>
                <w:rFonts w:ascii="宋体" w:hAnsi="宋体" w:cs="宋体" w:eastAsia="宋体" w:hint="default"/>
                <w:sz w:val="18"/>
                <w:szCs w:val="18"/>
              </w:rPr>
              <w:t>本期增加金额</w:t>
            </w:r>
            <w:r>
              <w:rPr>
                <w:rFonts w:ascii="宋体" w:hAnsi="宋体" w:cs="宋体" w:eastAsia="宋体" w:hint="default"/>
                <w:sz w:val="18"/>
                <w:szCs w:val="18"/>
              </w:rPr>
              <w:t> </w:t>
            </w:r>
          </w:p>
        </w:tc>
        <w:tc>
          <w:tcPr>
            <w:tcW w:w="23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652" w:right="0"/>
              <w:jc w:val="left"/>
              <w:rPr>
                <w:rFonts w:ascii="宋体" w:hAnsi="宋体" w:cs="宋体" w:eastAsia="宋体" w:hint="default"/>
                <w:sz w:val="18"/>
                <w:szCs w:val="18"/>
              </w:rPr>
            </w:pPr>
            <w:r>
              <w:rPr>
                <w:rFonts w:ascii="宋体" w:hAnsi="宋体" w:cs="宋体" w:eastAsia="宋体" w:hint="default"/>
                <w:sz w:val="18"/>
                <w:szCs w:val="18"/>
              </w:rPr>
              <w:t>本期减少金额</w:t>
            </w:r>
            <w:r>
              <w:rPr>
                <w:rFonts w:ascii="宋体" w:hAnsi="宋体" w:cs="宋体" w:eastAsia="宋体" w:hint="default"/>
                <w:sz w:val="18"/>
                <w:szCs w:val="18"/>
              </w:rPr>
              <w:t> </w:t>
            </w:r>
          </w:p>
        </w:tc>
        <w:tc>
          <w:tcPr>
            <w:tcW w:w="1428"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345"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宋体" w:hAnsi="宋体" w:cs="宋体" w:eastAsia="宋体" w:hint="default"/>
                <w:sz w:val="18"/>
                <w:szCs w:val="18"/>
              </w:rPr>
              <w:t> </w:t>
            </w:r>
          </w:p>
        </w:tc>
      </w:tr>
      <w:tr>
        <w:trPr>
          <w:trHeight w:val="324" w:hRule="exact"/>
        </w:trPr>
        <w:tc>
          <w:tcPr>
            <w:tcW w:w="1884" w:type="dxa"/>
            <w:vMerge/>
            <w:tcBorders>
              <w:left w:val="single" w:sz="4" w:space="0" w:color="000000"/>
              <w:bottom w:val="single" w:sz="4" w:space="0" w:color="000000"/>
              <w:right w:val="single" w:sz="4" w:space="0" w:color="000000"/>
            </w:tcBorders>
          </w:tcPr>
          <w:p>
            <w:pPr/>
          </w:p>
        </w:tc>
        <w:tc>
          <w:tcPr>
            <w:tcW w:w="1457" w:type="dxa"/>
            <w:vMerge/>
            <w:tcBorders>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39" w:right="0"/>
              <w:jc w:val="left"/>
              <w:rPr>
                <w:rFonts w:ascii="宋体" w:hAnsi="宋体" w:cs="宋体" w:eastAsia="宋体" w:hint="default"/>
                <w:sz w:val="18"/>
                <w:szCs w:val="18"/>
              </w:rPr>
            </w:pPr>
            <w:r>
              <w:rPr>
                <w:rFonts w:ascii="宋体" w:hAnsi="宋体" w:cs="宋体" w:eastAsia="宋体" w:hint="default"/>
                <w:sz w:val="18"/>
                <w:szCs w:val="18"/>
              </w:rPr>
              <w:t>计提</w:t>
            </w:r>
            <w:r>
              <w:rPr>
                <w:rFonts w:ascii="宋体" w:hAnsi="宋体" w:cs="宋体" w:eastAsia="宋体" w:hint="default"/>
                <w:sz w:val="18"/>
                <w:szCs w:val="18"/>
              </w:rPr>
              <w:t> </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66"/>
              <w:jc w:val="right"/>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z w:val="18"/>
                <w:szCs w:val="18"/>
              </w:rPr>
              <w:t> </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95" w:right="0"/>
              <w:jc w:val="left"/>
              <w:rPr>
                <w:rFonts w:ascii="宋体" w:hAnsi="宋体" w:cs="宋体" w:eastAsia="宋体" w:hint="default"/>
                <w:sz w:val="18"/>
                <w:szCs w:val="18"/>
              </w:rPr>
            </w:pPr>
            <w:r>
              <w:rPr>
                <w:rFonts w:ascii="宋体" w:hAnsi="宋体" w:cs="宋体" w:eastAsia="宋体" w:hint="default"/>
                <w:sz w:val="18"/>
                <w:szCs w:val="18"/>
              </w:rPr>
              <w:t>转回或转销</w:t>
            </w:r>
            <w:r>
              <w:rPr>
                <w:rFonts w:ascii="宋体" w:hAnsi="宋体" w:cs="宋体" w:eastAsia="宋体" w:hint="default"/>
                <w:sz w:val="18"/>
                <w:szCs w:val="18"/>
              </w:rPr>
              <w:t> </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59" w:right="0"/>
              <w:jc w:val="left"/>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z w:val="18"/>
                <w:szCs w:val="18"/>
              </w:rPr>
              <w:t> </w:t>
            </w:r>
          </w:p>
        </w:tc>
        <w:tc>
          <w:tcPr>
            <w:tcW w:w="1428" w:type="dxa"/>
            <w:vMerge/>
            <w:tcBorders>
              <w:left w:val="single" w:sz="4" w:space="0" w:color="000000"/>
              <w:bottom w:val="single" w:sz="4" w:space="0" w:color="000000"/>
              <w:right w:val="single" w:sz="4" w:space="0" w:color="000000"/>
            </w:tcBorders>
          </w:tcPr>
          <w:p>
            <w:pPr/>
          </w:p>
        </w:tc>
      </w:tr>
      <w:tr>
        <w:trPr>
          <w:trHeight w:val="322" w:hRule="exact"/>
        </w:trPr>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原材料</w:t>
            </w:r>
            <w:r>
              <w:rPr>
                <w:rFonts w:ascii="宋体" w:hAnsi="宋体" w:cs="宋体" w:eastAsia="宋体" w:hint="default"/>
                <w:sz w:val="18"/>
                <w:szCs w:val="18"/>
              </w:rPr>
              <w:t> </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
              <w:jc w:val="right"/>
              <w:rPr>
                <w:rFonts w:ascii="宋体" w:hAnsi="宋体" w:cs="宋体" w:eastAsia="宋体" w:hint="default"/>
                <w:sz w:val="18"/>
                <w:szCs w:val="18"/>
              </w:rPr>
            </w:pPr>
            <w:r>
              <w:rPr>
                <w:rFonts w:ascii="宋体"/>
                <w:spacing w:val="-1"/>
                <w:sz w:val="18"/>
              </w:rPr>
              <w:t>782,772.73 </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pacing w:val="-1"/>
                <w:sz w:val="18"/>
              </w:rPr>
              <w:t>137,709.21</w:t>
            </w:r>
            <w:r>
              <w:rPr>
                <w:rFonts w:ascii="宋体"/>
                <w:sz w:val="18"/>
              </w:rPr>
              <w:t> </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z w:val="18"/>
              </w:rPr>
              <w:t> </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3"/>
              <w:jc w:val="right"/>
              <w:rPr>
                <w:rFonts w:ascii="宋体" w:hAnsi="宋体" w:cs="宋体" w:eastAsia="宋体" w:hint="default"/>
                <w:sz w:val="18"/>
                <w:szCs w:val="18"/>
              </w:rPr>
            </w:pPr>
            <w:r>
              <w:rPr>
                <w:rFonts w:ascii="宋体"/>
                <w:spacing w:val="-1"/>
                <w:sz w:val="18"/>
              </w:rPr>
              <w:t>49,354.40</w:t>
            </w:r>
            <w:r>
              <w:rPr>
                <w:rFonts w:ascii="宋体"/>
                <w:sz w:val="18"/>
              </w:rPr>
              <w:t> </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3"/>
              <w:jc w:val="right"/>
              <w:rPr>
                <w:rFonts w:ascii="宋体" w:hAnsi="宋体" w:cs="宋体" w:eastAsia="宋体" w:hint="default"/>
                <w:sz w:val="18"/>
                <w:szCs w:val="18"/>
              </w:rPr>
            </w:pPr>
            <w:r>
              <w:rPr>
                <w:rFonts w:ascii="宋体"/>
                <w:sz w:val="18"/>
              </w:rPr>
              <w:t> </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8"/>
              <w:jc w:val="right"/>
              <w:rPr>
                <w:rFonts w:ascii="宋体" w:hAnsi="宋体" w:cs="宋体" w:eastAsia="宋体" w:hint="default"/>
                <w:sz w:val="18"/>
                <w:szCs w:val="18"/>
              </w:rPr>
            </w:pPr>
            <w:r>
              <w:rPr>
                <w:rFonts w:ascii="宋体"/>
                <w:spacing w:val="-1"/>
                <w:sz w:val="18"/>
              </w:rPr>
              <w:t>871,127.54</w:t>
            </w:r>
            <w:r>
              <w:rPr>
                <w:rFonts w:ascii="宋体"/>
                <w:sz w:val="18"/>
              </w:rPr>
              <w:t> </w:t>
            </w:r>
          </w:p>
        </w:tc>
      </w:tr>
      <w:tr>
        <w:trPr>
          <w:trHeight w:val="322" w:hRule="exact"/>
        </w:trPr>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库存商品</w:t>
            </w:r>
            <w:r>
              <w:rPr>
                <w:rFonts w:ascii="宋体" w:hAnsi="宋体" w:cs="宋体" w:eastAsia="宋体" w:hint="default"/>
                <w:sz w:val="18"/>
                <w:szCs w:val="18"/>
              </w:rPr>
              <w:t> </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
              <w:jc w:val="right"/>
              <w:rPr>
                <w:rFonts w:ascii="宋体" w:hAnsi="宋体" w:cs="宋体" w:eastAsia="宋体" w:hint="default"/>
                <w:sz w:val="18"/>
                <w:szCs w:val="18"/>
              </w:rPr>
            </w:pPr>
            <w:r>
              <w:rPr>
                <w:rFonts w:ascii="宋体"/>
                <w:spacing w:val="-1"/>
                <w:sz w:val="18"/>
              </w:rPr>
              <w:t>2,706,118.97 </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pacing w:val="-1"/>
                <w:sz w:val="18"/>
              </w:rPr>
              <w:t>3,960,310.27</w:t>
            </w:r>
            <w:r>
              <w:rPr>
                <w:rFonts w:ascii="宋体"/>
                <w:sz w:val="18"/>
              </w:rPr>
              <w:t> </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z w:val="18"/>
              </w:rPr>
              <w:t> </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3"/>
              <w:jc w:val="right"/>
              <w:rPr>
                <w:rFonts w:ascii="宋体" w:hAnsi="宋体" w:cs="宋体" w:eastAsia="宋体" w:hint="default"/>
                <w:sz w:val="18"/>
                <w:szCs w:val="18"/>
              </w:rPr>
            </w:pPr>
            <w:r>
              <w:rPr>
                <w:rFonts w:ascii="宋体"/>
                <w:spacing w:val="-1"/>
                <w:sz w:val="18"/>
              </w:rPr>
              <w:t>2,504,122.16</w:t>
            </w:r>
            <w:r>
              <w:rPr>
                <w:rFonts w:ascii="宋体"/>
                <w:sz w:val="18"/>
              </w:rPr>
              <w:t> </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3"/>
              <w:jc w:val="right"/>
              <w:rPr>
                <w:rFonts w:ascii="宋体" w:hAnsi="宋体" w:cs="宋体" w:eastAsia="宋体" w:hint="default"/>
                <w:sz w:val="18"/>
                <w:szCs w:val="18"/>
              </w:rPr>
            </w:pPr>
            <w:r>
              <w:rPr>
                <w:rFonts w:ascii="宋体"/>
                <w:sz w:val="18"/>
              </w:rPr>
              <w:t> </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8"/>
              <w:jc w:val="right"/>
              <w:rPr>
                <w:rFonts w:ascii="宋体" w:hAnsi="宋体" w:cs="宋体" w:eastAsia="宋体" w:hint="default"/>
                <w:sz w:val="18"/>
                <w:szCs w:val="18"/>
              </w:rPr>
            </w:pPr>
            <w:r>
              <w:rPr>
                <w:rFonts w:ascii="宋体"/>
                <w:spacing w:val="-1"/>
                <w:sz w:val="18"/>
              </w:rPr>
              <w:t>4,162,307.08</w:t>
            </w:r>
            <w:r>
              <w:rPr>
                <w:rFonts w:ascii="宋体"/>
                <w:sz w:val="18"/>
              </w:rPr>
              <w:t> </w:t>
            </w:r>
          </w:p>
        </w:tc>
      </w:tr>
      <w:tr>
        <w:trPr>
          <w:trHeight w:val="322" w:hRule="exact"/>
        </w:trPr>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自制半成品</w:t>
            </w:r>
            <w:r>
              <w:rPr>
                <w:rFonts w:ascii="宋体" w:hAnsi="宋体" w:cs="宋体" w:eastAsia="宋体" w:hint="default"/>
                <w:sz w:val="18"/>
                <w:szCs w:val="18"/>
              </w:rPr>
              <w:t> </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
              <w:jc w:val="right"/>
              <w:rPr>
                <w:rFonts w:ascii="宋体" w:hAnsi="宋体" w:cs="宋体" w:eastAsia="宋体" w:hint="default"/>
                <w:sz w:val="18"/>
                <w:szCs w:val="18"/>
              </w:rPr>
            </w:pPr>
            <w:r>
              <w:rPr>
                <w:rFonts w:ascii="宋体"/>
                <w:spacing w:val="-1"/>
                <w:sz w:val="18"/>
              </w:rPr>
              <w:t>1,618.34 </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z w:val="18"/>
              </w:rPr>
              <w:t> </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z w:val="18"/>
              </w:rPr>
              <w:t> </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3"/>
              <w:jc w:val="right"/>
              <w:rPr>
                <w:rFonts w:ascii="宋体" w:hAnsi="宋体" w:cs="宋体" w:eastAsia="宋体" w:hint="default"/>
                <w:sz w:val="18"/>
                <w:szCs w:val="18"/>
              </w:rPr>
            </w:pPr>
            <w:r>
              <w:rPr>
                <w:rFonts w:ascii="宋体"/>
                <w:sz w:val="18"/>
              </w:rPr>
              <w:t> </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3"/>
              <w:jc w:val="right"/>
              <w:rPr>
                <w:rFonts w:ascii="宋体" w:hAnsi="宋体" w:cs="宋体" w:eastAsia="宋体" w:hint="default"/>
                <w:sz w:val="18"/>
                <w:szCs w:val="18"/>
              </w:rPr>
            </w:pPr>
            <w:r>
              <w:rPr>
                <w:rFonts w:ascii="宋体"/>
                <w:sz w:val="18"/>
              </w:rPr>
              <w:t> </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8"/>
              <w:jc w:val="right"/>
              <w:rPr>
                <w:rFonts w:ascii="宋体" w:hAnsi="宋体" w:cs="宋体" w:eastAsia="宋体" w:hint="default"/>
                <w:sz w:val="18"/>
                <w:szCs w:val="18"/>
              </w:rPr>
            </w:pPr>
            <w:r>
              <w:rPr>
                <w:rFonts w:ascii="宋体"/>
                <w:spacing w:val="-1"/>
                <w:sz w:val="18"/>
              </w:rPr>
              <w:t>1,618.34</w:t>
            </w:r>
            <w:r>
              <w:rPr>
                <w:rFonts w:ascii="宋体"/>
                <w:sz w:val="18"/>
              </w:rPr>
              <w:t> </w:t>
            </w:r>
          </w:p>
        </w:tc>
      </w:tr>
      <w:tr>
        <w:trPr>
          <w:trHeight w:val="322" w:hRule="exact"/>
        </w:trPr>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88" w:right="0"/>
              <w:jc w:val="center"/>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
              <w:jc w:val="right"/>
              <w:rPr>
                <w:rFonts w:ascii="宋体" w:hAnsi="宋体" w:cs="宋体" w:eastAsia="宋体" w:hint="default"/>
                <w:sz w:val="18"/>
                <w:szCs w:val="18"/>
              </w:rPr>
            </w:pPr>
            <w:r>
              <w:rPr>
                <w:rFonts w:ascii="宋体"/>
                <w:spacing w:val="-1"/>
                <w:sz w:val="18"/>
              </w:rPr>
              <w:t>3,490,510.04 </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pacing w:val="-1"/>
                <w:sz w:val="18"/>
              </w:rPr>
              <w:t>4,098,019.48</w:t>
            </w:r>
            <w:r>
              <w:rPr>
                <w:rFonts w:ascii="宋体"/>
                <w:sz w:val="18"/>
              </w:rPr>
              <w:t> </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z w:val="18"/>
              </w:rPr>
              <w:t> </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3"/>
              <w:jc w:val="right"/>
              <w:rPr>
                <w:rFonts w:ascii="宋体" w:hAnsi="宋体" w:cs="宋体" w:eastAsia="宋体" w:hint="default"/>
                <w:sz w:val="18"/>
                <w:szCs w:val="18"/>
              </w:rPr>
            </w:pPr>
            <w:r>
              <w:rPr>
                <w:rFonts w:ascii="宋体"/>
                <w:spacing w:val="-1"/>
                <w:sz w:val="18"/>
              </w:rPr>
              <w:t>2,553,476.56</w:t>
            </w:r>
            <w:r>
              <w:rPr>
                <w:rFonts w:ascii="宋体"/>
                <w:sz w:val="18"/>
              </w:rPr>
              <w:t> </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3"/>
              <w:jc w:val="right"/>
              <w:rPr>
                <w:rFonts w:ascii="宋体" w:hAnsi="宋体" w:cs="宋体" w:eastAsia="宋体" w:hint="default"/>
                <w:sz w:val="18"/>
                <w:szCs w:val="18"/>
              </w:rPr>
            </w:pPr>
            <w:r>
              <w:rPr>
                <w:rFonts w:ascii="宋体"/>
                <w:sz w:val="18"/>
              </w:rPr>
              <w:t> </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8"/>
              <w:jc w:val="right"/>
              <w:rPr>
                <w:rFonts w:ascii="宋体" w:hAnsi="宋体" w:cs="宋体" w:eastAsia="宋体" w:hint="default"/>
                <w:sz w:val="18"/>
                <w:szCs w:val="18"/>
              </w:rPr>
            </w:pPr>
            <w:r>
              <w:rPr>
                <w:rFonts w:ascii="宋体"/>
                <w:spacing w:val="-1"/>
                <w:sz w:val="18"/>
              </w:rPr>
              <w:t>5,035,052.96</w:t>
            </w:r>
            <w:r>
              <w:rPr>
                <w:rFonts w:ascii="宋体"/>
                <w:sz w:val="18"/>
              </w:rPr>
              <w:t> </w:t>
            </w:r>
          </w:p>
        </w:tc>
      </w:tr>
    </w:tbl>
    <w:p>
      <w:pPr>
        <w:pStyle w:val="Heading2"/>
        <w:spacing w:line="274" w:lineRule="exact"/>
        <w:ind w:left="716" w:right="0"/>
        <w:jc w:val="left"/>
        <w:rPr>
          <w:rFonts w:ascii="宋体" w:hAnsi="宋体" w:cs="宋体" w:eastAsia="宋体" w:hint="default"/>
        </w:rPr>
      </w:pPr>
      <w:r>
        <w:rPr>
          <w:rFonts w:ascii="宋体"/>
        </w:rPr>
        <w:t> </w:t>
      </w:r>
    </w:p>
    <w:p>
      <w:pPr>
        <w:pStyle w:val="Heading3"/>
        <w:spacing w:line="240" w:lineRule="auto" w:before="85"/>
        <w:ind w:left="716" w:right="0"/>
        <w:jc w:val="left"/>
        <w:rPr>
          <w:rFonts w:ascii="宋体" w:hAnsi="宋体" w:cs="宋体" w:eastAsia="宋体" w:hint="default"/>
          <w:b w:val="0"/>
          <w:bCs w:val="0"/>
        </w:rPr>
      </w:pPr>
      <w:r>
        <w:rPr>
          <w:rFonts w:ascii="宋体" w:hAnsi="宋体" w:cs="宋体" w:eastAsia="宋体" w:hint="default"/>
        </w:rPr>
        <w:t>(3).</w:t>
      </w:r>
      <w:r>
        <w:rPr/>
        <w:t>存货期末余额含有借款费用资本化金额的说明</w:t>
      </w:r>
      <w:r>
        <w:rPr>
          <w:rFonts w:ascii="宋体" w:hAnsi="宋体" w:cs="宋体" w:eastAsia="宋体" w:hint="default"/>
          <w:w w:val="99"/>
        </w:rPr>
        <w:t> </w:t>
      </w:r>
      <w:r>
        <w:rPr>
          <w:rFonts w:ascii="宋体" w:hAnsi="宋体" w:cs="宋体" w:eastAsia="宋体" w:hint="default"/>
          <w:b w:val="0"/>
          <w:bCs w:val="0"/>
        </w:rPr>
      </w:r>
    </w:p>
    <w:p>
      <w:pPr>
        <w:pStyle w:val="Heading2"/>
        <w:spacing w:line="313" w:lineRule="exact" w:before="69"/>
        <w:ind w:left="716" w:right="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Heading2"/>
        <w:spacing w:line="313" w:lineRule="exact"/>
        <w:ind w:left="716" w:right="0"/>
        <w:jc w:val="left"/>
        <w:rPr>
          <w:rFonts w:ascii="宋体" w:hAnsi="宋体" w:cs="宋体" w:eastAsia="宋体" w:hint="default"/>
        </w:rPr>
      </w:pPr>
      <w:r>
        <w:rPr>
          <w:rFonts w:ascii="宋体"/>
        </w:rPr>
        <w:t> </w:t>
      </w:r>
    </w:p>
    <w:p>
      <w:pPr>
        <w:pStyle w:val="Heading3"/>
        <w:spacing w:line="240" w:lineRule="auto" w:before="85"/>
        <w:ind w:left="716" w:right="0"/>
        <w:jc w:val="left"/>
        <w:rPr>
          <w:rFonts w:ascii="宋体" w:hAnsi="宋体" w:cs="宋体" w:eastAsia="宋体" w:hint="default"/>
          <w:b w:val="0"/>
          <w:bCs w:val="0"/>
        </w:rPr>
      </w:pPr>
      <w:r>
        <w:rPr>
          <w:rFonts w:ascii="宋体" w:hAnsi="宋体" w:cs="宋体" w:eastAsia="宋体" w:hint="default"/>
        </w:rPr>
        <w:t>(4).</w:t>
      </w:r>
      <w:r>
        <w:rPr/>
        <w:t>期末建造合同形成的已完工未结算资产情况</w:t>
      </w:r>
      <w:r>
        <w:rPr>
          <w:rFonts w:ascii="宋体" w:hAnsi="宋体" w:cs="宋体" w:eastAsia="宋体" w:hint="default"/>
          <w:w w:val="99"/>
        </w:rPr>
        <w:t> </w:t>
      </w:r>
      <w:r>
        <w:rPr>
          <w:rFonts w:ascii="宋体" w:hAnsi="宋体" w:cs="宋体" w:eastAsia="宋体" w:hint="default"/>
          <w:b w:val="0"/>
          <w:bCs w:val="0"/>
        </w:rPr>
      </w:r>
    </w:p>
    <w:p>
      <w:pPr>
        <w:pStyle w:val="Heading2"/>
        <w:spacing w:line="240" w:lineRule="auto" w:before="69"/>
        <w:ind w:left="71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580" w:bottom="280" w:left="560" w:right="1060"/>
        </w:sectPr>
      </w:pPr>
    </w:p>
    <w:p>
      <w:pPr>
        <w:spacing w:line="240" w:lineRule="auto" w:before="10"/>
        <w:rPr>
          <w:rFonts w:ascii="宋体" w:hAnsi="宋体" w:cs="宋体" w:eastAsia="宋体" w:hint="default"/>
          <w:sz w:val="17"/>
          <w:szCs w:val="17"/>
        </w:rPr>
      </w:pPr>
    </w:p>
    <w:p>
      <w:pPr>
        <w:pStyle w:val="Heading2"/>
        <w:spacing w:line="313" w:lineRule="exact" w:before="26"/>
        <w:ind w:left="216" w:right="0"/>
        <w:jc w:val="left"/>
        <w:rPr>
          <w:rFonts w:ascii="宋体" w:hAnsi="宋体" w:cs="宋体" w:eastAsia="宋体" w:hint="default"/>
        </w:rPr>
      </w:pPr>
      <w:r>
        <w:rPr/>
        <w:t>其他说明</w:t>
      </w:r>
      <w:r>
        <w:rPr>
          <w:rFonts w:ascii="宋体" w:hAnsi="宋体" w:cs="宋体" w:eastAsia="宋体" w:hint="default"/>
        </w:rPr>
        <w:t> </w:t>
      </w:r>
    </w:p>
    <w:p>
      <w:pPr>
        <w:pStyle w:val="Heading2"/>
        <w:spacing w:line="313" w:lineRule="exact"/>
        <w:ind w:left="216" w:right="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spacing w:line="240" w:lineRule="auto" w:before="8"/>
        <w:rPr>
          <w:rFonts w:ascii="宋体" w:hAnsi="宋体" w:cs="宋体" w:eastAsia="宋体" w:hint="default"/>
          <w:sz w:val="27"/>
          <w:szCs w:val="27"/>
        </w:rPr>
      </w:pPr>
    </w:p>
    <w:p>
      <w:pPr>
        <w:spacing w:after="0" w:line="240" w:lineRule="auto"/>
        <w:rPr>
          <w:rFonts w:ascii="宋体" w:hAnsi="宋体" w:cs="宋体" w:eastAsia="宋体" w:hint="default"/>
          <w:sz w:val="27"/>
          <w:szCs w:val="27"/>
        </w:rPr>
        <w:sectPr>
          <w:pgSz w:w="11910" w:h="16840"/>
          <w:pgMar w:header="0" w:footer="974" w:top="1140" w:bottom="1160" w:left="1060" w:right="1560"/>
        </w:sectPr>
      </w:pPr>
    </w:p>
    <w:p>
      <w:pPr>
        <w:pStyle w:val="Heading3"/>
        <w:spacing w:line="240" w:lineRule="auto" w:before="36"/>
        <w:ind w:left="216" w:right="0"/>
        <w:jc w:val="left"/>
        <w:rPr>
          <w:b w:val="0"/>
          <w:bCs w:val="0"/>
        </w:rPr>
      </w:pPr>
      <w:r>
        <w:rPr>
          <w:rFonts w:ascii="宋体" w:hAnsi="宋体" w:cs="宋体" w:eastAsia="宋体" w:hint="default"/>
        </w:rPr>
        <w:t>10</w:t>
      </w:r>
      <w:r>
        <w:rPr/>
        <w:t>、</w:t>
      </w:r>
      <w:r>
        <w:rPr>
          <w:spacing w:val="-23"/>
        </w:rPr>
        <w:t> </w:t>
      </w:r>
      <w:r>
        <w:rPr/>
        <w:t>持有待售资产</w:t>
      </w:r>
      <w:r>
        <w:rPr>
          <w:b w:val="0"/>
          <w:bCs w:val="0"/>
        </w:rPr>
      </w:r>
    </w:p>
    <w:p>
      <w:pPr>
        <w:pStyle w:val="Heading2"/>
        <w:spacing w:line="313" w:lineRule="exact" w:before="69"/>
        <w:ind w:left="21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2"/>
        <w:spacing w:line="313" w:lineRule="exact"/>
        <w:ind w:left="216" w:right="0"/>
        <w:jc w:val="left"/>
        <w:rPr>
          <w:rFonts w:ascii="宋体" w:hAnsi="宋体" w:cs="宋体" w:eastAsia="宋体" w:hint="default"/>
        </w:rPr>
      </w:pPr>
      <w:r>
        <w:rPr>
          <w:rFonts w:ascii="宋体"/>
        </w:rPr>
        <w:t> </w:t>
      </w:r>
    </w:p>
    <w:p>
      <w:pPr>
        <w:pStyle w:val="Heading3"/>
        <w:spacing w:line="240" w:lineRule="auto" w:before="85"/>
        <w:ind w:left="216" w:right="-18"/>
        <w:jc w:val="left"/>
        <w:rPr>
          <w:b w:val="0"/>
          <w:bCs w:val="0"/>
        </w:rPr>
      </w:pPr>
      <w:r>
        <w:rPr>
          <w:rFonts w:ascii="宋体" w:hAnsi="宋体" w:cs="宋体" w:eastAsia="宋体" w:hint="default"/>
        </w:rPr>
        <w:t>11</w:t>
      </w:r>
      <w:r>
        <w:rPr/>
        <w:t>、</w:t>
      </w:r>
      <w:r>
        <w:rPr>
          <w:spacing w:val="-24"/>
        </w:rPr>
        <w:t> </w:t>
      </w:r>
      <w:r>
        <w:rPr/>
        <w:t>一年内到期的非流动资产</w:t>
      </w:r>
      <w:r>
        <w:rPr>
          <w:b w:val="0"/>
          <w:bCs w:val="0"/>
        </w:rPr>
      </w:r>
    </w:p>
    <w:p>
      <w:pPr>
        <w:pStyle w:val="Heading2"/>
        <w:spacing w:line="240" w:lineRule="auto" w:before="69"/>
        <w:ind w:left="21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5"/>
          <w:szCs w:val="15"/>
        </w:rPr>
      </w:pPr>
    </w:p>
    <w:p>
      <w:pPr>
        <w:pStyle w:val="BodyText"/>
        <w:spacing w:line="240" w:lineRule="auto"/>
        <w:ind w:left="216" w:right="0"/>
        <w:jc w:val="left"/>
        <w:rPr>
          <w:rFonts w:ascii="宋体" w:hAnsi="宋体" w:cs="宋体" w:eastAsia="宋体" w:hint="default"/>
        </w:rPr>
      </w:pPr>
      <w:r>
        <w:rPr/>
        <w:t>单位：元币种：人民币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580" w:bottom="280" w:left="1060" w:right="1560"/>
          <w:cols w:num="2" w:equalWidth="0">
            <w:col w:w="3043" w:space="3482"/>
            <w:col w:w="2765"/>
          </w:cols>
        </w:sectPr>
      </w:pPr>
    </w:p>
    <w:p>
      <w:pPr>
        <w:spacing w:line="240" w:lineRule="auto" w:before="10"/>
        <w:rPr>
          <w:rFonts w:ascii="宋体" w:hAnsi="宋体" w:cs="宋体" w:eastAsia="宋体" w:hint="default"/>
          <w:sz w:val="3"/>
          <w:szCs w:val="3"/>
        </w:rPr>
      </w:pPr>
    </w:p>
    <w:tbl>
      <w:tblPr>
        <w:tblW w:w="0" w:type="auto"/>
        <w:jc w:val="left"/>
        <w:tblInd w:w="103" w:type="dxa"/>
        <w:tblLayout w:type="fixed"/>
        <w:tblCellMar>
          <w:top w:w="0" w:type="dxa"/>
          <w:left w:w="0" w:type="dxa"/>
          <w:bottom w:w="0" w:type="dxa"/>
          <w:right w:w="0" w:type="dxa"/>
        </w:tblCellMar>
        <w:tblLook w:val="01E0"/>
      </w:tblPr>
      <w:tblGrid>
        <w:gridCol w:w="3289"/>
        <w:gridCol w:w="2897"/>
        <w:gridCol w:w="2864"/>
      </w:tblGrid>
      <w:tr>
        <w:trPr>
          <w:trHeight w:val="322"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19"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5"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3"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left"/>
              <w:rPr>
                <w:rFonts w:ascii="宋体" w:hAnsi="宋体" w:cs="宋体" w:eastAsia="宋体" w:hint="default"/>
                <w:sz w:val="21"/>
                <w:szCs w:val="21"/>
              </w:rPr>
            </w:pPr>
            <w:r>
              <w:rPr>
                <w:rFonts w:ascii="宋体" w:hAnsi="宋体" w:cs="宋体" w:eastAsia="宋体" w:hint="default"/>
                <w:sz w:val="21"/>
                <w:szCs w:val="21"/>
              </w:rPr>
              <w:t>一年内到期的长期应收款</w:t>
            </w:r>
            <w:r>
              <w:rPr>
                <w:rFonts w:ascii="宋体" w:hAnsi="宋体" w:cs="宋体" w:eastAsia="宋体" w:hint="default"/>
                <w:sz w:val="21"/>
                <w:szCs w:val="21"/>
              </w:rPr>
              <w:t> </w:t>
            </w:r>
          </w:p>
        </w:tc>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19,437,529.51</w:t>
            </w:r>
            <w:r>
              <w:rPr>
                <w:rFonts w:ascii="宋体"/>
                <w:sz w:val="21"/>
              </w:rPr>
              <w:t> </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32,624,355.07</w:t>
            </w:r>
            <w:r>
              <w:rPr>
                <w:rFonts w:ascii="宋体"/>
                <w:sz w:val="21"/>
              </w:rPr>
              <w:t> </w:t>
            </w:r>
          </w:p>
        </w:tc>
      </w:tr>
      <w:tr>
        <w:trPr>
          <w:trHeight w:val="284"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19,437,529.51</w:t>
            </w:r>
            <w:r>
              <w:rPr>
                <w:rFonts w:ascii="宋体"/>
                <w:sz w:val="21"/>
              </w:rPr>
              <w:t> </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32,624,355.07</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10" w:h="16840"/>
          <w:pgMar w:top="1580" w:bottom="280" w:left="1060" w:right="1560"/>
        </w:sectPr>
      </w:pPr>
    </w:p>
    <w:p>
      <w:pPr>
        <w:pStyle w:val="BodyText"/>
        <w:spacing w:line="273" w:lineRule="auto"/>
        <w:ind w:left="216" w:right="0"/>
        <w:jc w:val="left"/>
        <w:rPr>
          <w:rFonts w:ascii="宋体" w:hAnsi="宋体" w:cs="宋体" w:eastAsia="宋体" w:hint="default"/>
        </w:rPr>
      </w:pPr>
      <w:r>
        <w:rPr>
          <w:rFonts w:ascii="宋体" w:hAnsi="宋体" w:cs="宋体" w:eastAsia="宋体" w:hint="default"/>
          <w:w w:val="100"/>
        </w:rPr>
        <w:t>  </w:t>
      </w:r>
      <w:r>
        <w:rPr>
          <w:w w:val="100"/>
        </w:rPr>
        <w:t>期末</w:t>
      </w:r>
      <w:r>
        <w:rPr>
          <w:spacing w:val="-3"/>
          <w:w w:val="100"/>
        </w:rPr>
        <w:t>重</w:t>
      </w:r>
      <w:r>
        <w:rPr>
          <w:w w:val="100"/>
        </w:rPr>
        <w:t>要</w:t>
      </w:r>
      <w:r>
        <w:rPr>
          <w:spacing w:val="-3"/>
          <w:w w:val="100"/>
        </w:rPr>
        <w:t>的</w:t>
      </w:r>
      <w:r>
        <w:rPr>
          <w:w w:val="100"/>
        </w:rPr>
        <w:t>债</w:t>
      </w:r>
      <w:r>
        <w:rPr>
          <w:spacing w:val="-3"/>
          <w:w w:val="100"/>
        </w:rPr>
        <w:t>权</w:t>
      </w:r>
      <w:r>
        <w:rPr>
          <w:w w:val="100"/>
        </w:rPr>
        <w:t>投</w:t>
      </w:r>
      <w:r>
        <w:rPr>
          <w:spacing w:val="-3"/>
          <w:w w:val="100"/>
        </w:rPr>
        <w:t>资</w:t>
      </w:r>
      <w:r>
        <w:rPr>
          <w:w w:val="100"/>
        </w:rPr>
        <w:t>和</w:t>
      </w:r>
      <w:r>
        <w:rPr>
          <w:spacing w:val="-3"/>
          <w:w w:val="100"/>
        </w:rPr>
        <w:t>其</w:t>
      </w:r>
      <w:r>
        <w:rPr>
          <w:w w:val="100"/>
        </w:rPr>
        <w:t>他债</w:t>
      </w:r>
      <w:r>
        <w:rPr>
          <w:spacing w:val="-3"/>
          <w:w w:val="100"/>
        </w:rPr>
        <w:t>权</w:t>
      </w:r>
      <w:r>
        <w:rPr>
          <w:w w:val="100"/>
        </w:rPr>
        <w:t>投</w:t>
      </w:r>
      <w:r>
        <w:rPr>
          <w:spacing w:val="-3"/>
          <w:w w:val="100"/>
        </w:rPr>
        <w:t>资</w:t>
      </w:r>
      <w:r>
        <w:rPr>
          <w:spacing w:val="-2"/>
          <w:w w:val="100"/>
        </w:rPr>
        <w:t>：</w:t>
      </w:r>
      <w:r>
        <w:rPr>
          <w:rFonts w:ascii="宋体" w:hAnsi="宋体" w:cs="宋体" w:eastAsia="宋体" w:hint="default"/>
          <w:w w:val="100"/>
        </w:rPr>
        <w:t> </w:t>
      </w:r>
    </w:p>
    <w:p>
      <w:pPr>
        <w:pStyle w:val="BodyText"/>
        <w:spacing w:line="240" w:lineRule="auto" w:before="7"/>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left="216" w:right="0"/>
        <w:jc w:val="left"/>
        <w:rPr>
          <w:rFonts w:ascii="宋体" w:hAnsi="宋体" w:cs="宋体" w:eastAsia="宋体" w:hint="default"/>
        </w:rPr>
      </w:pPr>
      <w:r>
        <w:rPr>
          <w:rFonts w:ascii="宋体"/>
          <w:w w:val="100"/>
        </w:rPr>
        <w:t> </w:t>
      </w:r>
    </w:p>
    <w:p>
      <w:pPr>
        <w:pStyle w:val="Heading3"/>
        <w:spacing w:line="240" w:lineRule="auto"/>
        <w:ind w:left="216" w:right="0"/>
        <w:jc w:val="left"/>
        <w:rPr>
          <w:b w:val="0"/>
          <w:bCs w:val="0"/>
        </w:rPr>
      </w:pPr>
      <w:r>
        <w:rPr>
          <w:rFonts w:ascii="宋体" w:hAnsi="宋体" w:cs="宋体" w:eastAsia="宋体" w:hint="default"/>
        </w:rPr>
        <w:t>12</w:t>
      </w:r>
      <w:r>
        <w:rPr/>
        <w:t>、</w:t>
      </w:r>
      <w:r>
        <w:rPr>
          <w:spacing w:val="-23"/>
        </w:rPr>
        <w:t> </w:t>
      </w:r>
      <w:r>
        <w:rPr/>
        <w:t>其他流动资产</w:t>
      </w:r>
      <w:r>
        <w:rPr>
          <w:b w:val="0"/>
          <w:bCs w:val="0"/>
        </w:rPr>
      </w:r>
    </w:p>
    <w:p>
      <w:pPr>
        <w:pStyle w:val="Heading2"/>
        <w:spacing w:line="240" w:lineRule="auto" w:before="69"/>
        <w:ind w:left="21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47"/>
        <w:ind w:left="216" w:right="0"/>
        <w:jc w:val="left"/>
        <w:rPr>
          <w:rFonts w:ascii="宋体" w:hAnsi="宋体" w:cs="宋体" w:eastAsia="宋体" w:hint="default"/>
        </w:rPr>
      </w:pPr>
      <w:r>
        <w:rPr/>
        <w:t>单位：元币种：人民币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580" w:bottom="280" w:left="1060" w:right="1560"/>
          <w:cols w:num="2" w:equalWidth="0">
            <w:col w:w="3895" w:space="2838"/>
            <w:col w:w="2557"/>
          </w:cols>
        </w:sectPr>
      </w:pPr>
    </w:p>
    <w:p>
      <w:pPr>
        <w:spacing w:line="240" w:lineRule="auto" w:before="10"/>
        <w:rPr>
          <w:rFonts w:ascii="宋体" w:hAnsi="宋体" w:cs="宋体" w:eastAsia="宋体" w:hint="default"/>
          <w:sz w:val="3"/>
          <w:szCs w:val="3"/>
        </w:rPr>
      </w:pPr>
    </w:p>
    <w:tbl>
      <w:tblPr>
        <w:tblW w:w="0" w:type="auto"/>
        <w:jc w:val="left"/>
        <w:tblInd w:w="103" w:type="dxa"/>
        <w:tblLayout w:type="fixed"/>
        <w:tblCellMar>
          <w:top w:w="0" w:type="dxa"/>
          <w:left w:w="0" w:type="dxa"/>
          <w:bottom w:w="0" w:type="dxa"/>
          <w:right w:w="0" w:type="dxa"/>
        </w:tblCellMar>
        <w:tblLook w:val="01E0"/>
      </w:tblPr>
      <w:tblGrid>
        <w:gridCol w:w="3289"/>
        <w:gridCol w:w="2916"/>
        <w:gridCol w:w="2845"/>
      </w:tblGrid>
      <w:tr>
        <w:trPr>
          <w:trHeight w:val="322"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29"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996"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1"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left"/>
              <w:rPr>
                <w:rFonts w:ascii="宋体" w:hAnsi="宋体" w:cs="宋体" w:eastAsia="宋体" w:hint="default"/>
                <w:sz w:val="21"/>
                <w:szCs w:val="21"/>
              </w:rPr>
            </w:pPr>
            <w:r>
              <w:rPr>
                <w:rFonts w:ascii="宋体" w:hAnsi="宋体" w:cs="宋体" w:eastAsia="宋体" w:hint="default"/>
                <w:sz w:val="21"/>
                <w:szCs w:val="21"/>
              </w:rPr>
              <w:t>应收利息</w:t>
            </w:r>
            <w:r>
              <w:rPr>
                <w:rFonts w:ascii="宋体" w:hAnsi="宋体" w:cs="宋体" w:eastAsia="宋体" w:hint="default"/>
                <w:sz w:val="21"/>
                <w:szCs w:val="21"/>
              </w:rPr>
              <w:t> </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4,053,729.17</w:t>
            </w:r>
            <w:r>
              <w:rPr>
                <w:rFonts w:ascii="宋体"/>
                <w:sz w:val="21"/>
              </w:rPr>
              <w:t> </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 w:right="0"/>
              <w:jc w:val="left"/>
              <w:rPr>
                <w:rFonts w:ascii="宋体" w:hAnsi="宋体" w:cs="宋体" w:eastAsia="宋体" w:hint="default"/>
                <w:sz w:val="21"/>
                <w:szCs w:val="21"/>
              </w:rPr>
            </w:pPr>
            <w:r>
              <w:rPr>
                <w:rFonts w:ascii="宋体" w:hAnsi="宋体" w:cs="宋体" w:eastAsia="宋体" w:hint="default"/>
                <w:sz w:val="21"/>
                <w:szCs w:val="21"/>
              </w:rPr>
              <w:t>待抵扣进项税</w:t>
            </w:r>
            <w:r>
              <w:rPr>
                <w:rFonts w:ascii="宋体" w:hAnsi="宋体" w:cs="宋体" w:eastAsia="宋体" w:hint="default"/>
                <w:sz w:val="21"/>
                <w:szCs w:val="21"/>
              </w:rPr>
              <w:t> </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112,794,666.87</w:t>
            </w:r>
            <w:r>
              <w:rPr>
                <w:rFonts w:ascii="宋体"/>
                <w:sz w:val="21"/>
              </w:rPr>
              <w:t> </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48,181,168.94</w:t>
            </w:r>
            <w:r>
              <w:rPr>
                <w:rFonts w:ascii="宋体"/>
                <w:sz w:val="21"/>
              </w:rPr>
              <w:t> </w:t>
            </w:r>
          </w:p>
        </w:tc>
      </w:tr>
      <w:tr>
        <w:trPr>
          <w:trHeight w:val="284"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left"/>
              <w:rPr>
                <w:rFonts w:ascii="宋体" w:hAnsi="宋体" w:cs="宋体" w:eastAsia="宋体" w:hint="default"/>
                <w:sz w:val="21"/>
                <w:szCs w:val="21"/>
              </w:rPr>
            </w:pPr>
            <w:r>
              <w:rPr>
                <w:rFonts w:ascii="宋体" w:hAnsi="宋体" w:cs="宋体" w:eastAsia="宋体" w:hint="default"/>
                <w:sz w:val="21"/>
                <w:szCs w:val="21"/>
              </w:rPr>
              <w:t>待摊租金</w:t>
            </w:r>
            <w:r>
              <w:rPr>
                <w:rFonts w:ascii="宋体" w:hAnsi="宋体" w:cs="宋体" w:eastAsia="宋体" w:hint="default"/>
                <w:sz w:val="21"/>
                <w:szCs w:val="21"/>
              </w:rPr>
              <w:t> </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25,325,082.18</w:t>
            </w:r>
            <w:r>
              <w:rPr>
                <w:rFonts w:ascii="宋体"/>
                <w:sz w:val="21"/>
              </w:rPr>
              <w:t> </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23,465,917.69</w:t>
            </w:r>
            <w:r>
              <w:rPr>
                <w:rFonts w:ascii="宋体"/>
                <w:sz w:val="21"/>
              </w:rPr>
              <w:t> </w:t>
            </w:r>
          </w:p>
        </w:tc>
      </w:tr>
      <w:tr>
        <w:trPr>
          <w:trHeight w:val="283"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142,173,478.22</w:t>
            </w:r>
            <w:r>
              <w:rPr>
                <w:rFonts w:ascii="宋体"/>
                <w:sz w:val="21"/>
              </w:rPr>
              <w:t> </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71,647,086.63</w:t>
            </w:r>
            <w:r>
              <w:rPr>
                <w:rFonts w:ascii="宋体"/>
                <w:sz w:val="21"/>
              </w:rPr>
              <w:t> </w:t>
            </w:r>
          </w:p>
        </w:tc>
      </w:tr>
    </w:tbl>
    <w:p>
      <w:pPr>
        <w:pStyle w:val="Heading2"/>
        <w:spacing w:line="274" w:lineRule="exact"/>
        <w:ind w:left="216" w:right="0"/>
        <w:jc w:val="left"/>
        <w:rPr>
          <w:rFonts w:ascii="宋体" w:hAnsi="宋体" w:cs="宋体" w:eastAsia="宋体" w:hint="default"/>
        </w:rPr>
      </w:pPr>
      <w:r>
        <w:rPr>
          <w:rFonts w:ascii="宋体"/>
        </w:rPr>
        <w:t> </w:t>
      </w:r>
    </w:p>
    <w:p>
      <w:pPr>
        <w:pStyle w:val="Heading3"/>
        <w:spacing w:line="324" w:lineRule="auto" w:before="85"/>
        <w:ind w:left="216" w:right="6307"/>
        <w:jc w:val="left"/>
        <w:rPr>
          <w:rFonts w:ascii="宋体" w:hAnsi="宋体" w:cs="宋体" w:eastAsia="宋体" w:hint="default"/>
          <w:b w:val="0"/>
          <w:bCs w:val="0"/>
        </w:rPr>
      </w:pPr>
      <w:r>
        <w:rPr>
          <w:rFonts w:ascii="宋体" w:hAnsi="宋体" w:cs="宋体" w:eastAsia="宋体" w:hint="default"/>
        </w:rPr>
        <w:t>13</w:t>
      </w:r>
      <w:r>
        <w:rPr/>
        <w:t>、</w:t>
      </w:r>
      <w:r>
        <w:rPr>
          <w:spacing w:val="-25"/>
        </w:rPr>
        <w:t> </w:t>
      </w:r>
      <w:r>
        <w:rPr/>
        <w:t>债权投资</w:t>
      </w:r>
      <w:r>
        <w:rPr>
          <w:w w:val="100"/>
        </w:rPr>
        <w:t> </w:t>
      </w:r>
      <w:r>
        <w:rPr>
          <w:rFonts w:ascii="宋体" w:hAnsi="宋体" w:cs="宋体" w:eastAsia="宋体" w:hint="default"/>
        </w:rPr>
        <w:t>(1).</w:t>
      </w:r>
      <w:r>
        <w:rPr/>
        <w:t>债权投资情况</w:t>
      </w:r>
      <w:r>
        <w:rPr>
          <w:rFonts w:ascii="宋体" w:hAnsi="宋体" w:cs="宋体" w:eastAsia="宋体" w:hint="default"/>
          <w:w w:val="99"/>
        </w:rPr>
        <w:t> </w:t>
      </w:r>
      <w:r>
        <w:rPr>
          <w:rFonts w:ascii="宋体" w:hAnsi="宋体" w:cs="宋体" w:eastAsia="宋体" w:hint="default"/>
          <w:b w:val="0"/>
          <w:bCs w:val="0"/>
        </w:rPr>
      </w:r>
    </w:p>
    <w:p>
      <w:pPr>
        <w:spacing w:line="321" w:lineRule="auto" w:before="23"/>
        <w:ind w:left="216" w:right="6307"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期末重要的债权投资</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324" w:lineRule="auto" w:before="25"/>
        <w:ind w:left="216" w:right="6307"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(3).</w:t>
      </w:r>
      <w:r>
        <w:rPr>
          <w:rFonts w:ascii="宋体" w:hAnsi="宋体" w:cs="宋体" w:eastAsia="宋体" w:hint="default"/>
          <w:b/>
          <w:bCs/>
          <w:sz w:val="21"/>
          <w:szCs w:val="21"/>
        </w:rPr>
        <w:t>减值准备计提情况</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0" w:lineRule="auto" w:before="23"/>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auto" w:before="37"/>
        <w:ind w:left="216" w:right="1810"/>
        <w:jc w:val="left"/>
      </w:pPr>
      <w:r>
        <w:rPr>
          <w:rFonts w:ascii="宋体" w:hAnsi="宋体" w:cs="宋体" w:eastAsia="宋体" w:hint="default"/>
          <w:w w:val="100"/>
        </w:rPr>
        <w:t> </w:t>
      </w:r>
      <w:r>
        <w:rPr>
          <w:w w:val="100"/>
        </w:rPr>
        <w:t>本期</w:t>
      </w:r>
      <w:r>
        <w:rPr>
          <w:spacing w:val="-3"/>
          <w:w w:val="100"/>
        </w:rPr>
        <w:t>减</w:t>
      </w:r>
      <w:r>
        <w:rPr>
          <w:spacing w:val="-1"/>
          <w:w w:val="100"/>
        </w:rPr>
        <w:t>值</w:t>
      </w:r>
      <w:r>
        <w:rPr>
          <w:spacing w:val="-3"/>
          <w:w w:val="100"/>
        </w:rPr>
        <w:t>准</w:t>
      </w:r>
      <w:r>
        <w:rPr>
          <w:w w:val="100"/>
        </w:rPr>
        <w:t>备</w:t>
      </w:r>
      <w:r>
        <w:rPr>
          <w:spacing w:val="-3"/>
          <w:w w:val="100"/>
        </w:rPr>
        <w:t>计</w:t>
      </w:r>
      <w:r>
        <w:rPr>
          <w:w w:val="100"/>
        </w:rPr>
        <w:t>提</w:t>
      </w:r>
      <w:r>
        <w:rPr>
          <w:spacing w:val="-3"/>
          <w:w w:val="100"/>
        </w:rPr>
        <w:t>金</w:t>
      </w:r>
      <w:r>
        <w:rPr>
          <w:w w:val="100"/>
        </w:rPr>
        <w:t>额</w:t>
      </w:r>
      <w:r>
        <w:rPr>
          <w:spacing w:val="-3"/>
          <w:w w:val="100"/>
        </w:rPr>
        <w:t>以</w:t>
      </w:r>
      <w:r>
        <w:rPr>
          <w:w w:val="100"/>
        </w:rPr>
        <w:t>及评</w:t>
      </w:r>
      <w:r>
        <w:rPr>
          <w:spacing w:val="-3"/>
          <w:w w:val="100"/>
        </w:rPr>
        <w:t>估</w:t>
      </w:r>
      <w:r>
        <w:rPr>
          <w:w w:val="100"/>
        </w:rPr>
        <w:t>金</w:t>
      </w:r>
      <w:r>
        <w:rPr>
          <w:spacing w:val="-3"/>
          <w:w w:val="100"/>
        </w:rPr>
        <w:t>融</w:t>
      </w:r>
      <w:r>
        <w:rPr>
          <w:w w:val="100"/>
        </w:rPr>
        <w:t>工</w:t>
      </w:r>
      <w:r>
        <w:rPr>
          <w:spacing w:val="-3"/>
          <w:w w:val="100"/>
        </w:rPr>
        <w:t>具</w:t>
      </w:r>
      <w:r>
        <w:rPr>
          <w:w w:val="100"/>
        </w:rPr>
        <w:t>的</w:t>
      </w:r>
      <w:r>
        <w:rPr>
          <w:spacing w:val="-3"/>
          <w:w w:val="100"/>
        </w:rPr>
        <w:t>信</w:t>
      </w:r>
      <w:r>
        <w:rPr>
          <w:w w:val="100"/>
        </w:rPr>
        <w:t>用</w:t>
      </w:r>
      <w:r>
        <w:rPr>
          <w:spacing w:val="-3"/>
          <w:w w:val="100"/>
        </w:rPr>
        <w:t>风</w:t>
      </w:r>
      <w:r>
        <w:rPr>
          <w:w w:val="100"/>
        </w:rPr>
        <w:t>险是</w:t>
      </w:r>
      <w:r>
        <w:rPr>
          <w:spacing w:val="-3"/>
          <w:w w:val="100"/>
        </w:rPr>
        <w:t>否</w:t>
      </w:r>
      <w:r>
        <w:rPr>
          <w:w w:val="100"/>
        </w:rPr>
        <w:t>显</w:t>
      </w:r>
      <w:r>
        <w:rPr>
          <w:spacing w:val="-3"/>
          <w:w w:val="100"/>
        </w:rPr>
        <w:t>著</w:t>
      </w:r>
      <w:r>
        <w:rPr>
          <w:w w:val="100"/>
        </w:rPr>
        <w:t>增</w:t>
      </w:r>
      <w:r>
        <w:rPr>
          <w:spacing w:val="-3"/>
          <w:w w:val="100"/>
        </w:rPr>
        <w:t>加</w:t>
      </w:r>
      <w:r>
        <w:rPr>
          <w:w w:val="100"/>
        </w:rPr>
        <w:t>的</w:t>
      </w:r>
      <w:r>
        <w:rPr>
          <w:spacing w:val="-3"/>
          <w:w w:val="100"/>
        </w:rPr>
        <w:t>采</w:t>
      </w:r>
      <w:r>
        <w:rPr>
          <w:w w:val="100"/>
        </w:rPr>
        <w:t>用</w:t>
      </w:r>
      <w:r>
        <w:rPr>
          <w:spacing w:val="-3"/>
          <w:w w:val="100"/>
        </w:rPr>
        <w:t>依</w:t>
      </w:r>
      <w:r>
        <w:rPr>
          <w:w w:val="100"/>
        </w:rPr>
        <w:t>据</w:t>
      </w:r>
    </w:p>
    <w:p>
      <w:pPr>
        <w:pStyle w:val="Heading2"/>
        <w:spacing w:line="294" w:lineRule="exact"/>
        <w:ind w:left="21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BodyText"/>
        <w:spacing w:line="240" w:lineRule="auto" w:before="25"/>
        <w:ind w:left="216" w:right="0"/>
        <w:jc w:val="left"/>
        <w:rPr>
          <w:rFonts w:ascii="宋体" w:hAnsi="宋体" w:cs="宋体" w:eastAsia="宋体" w:hint="default"/>
        </w:rPr>
      </w:pPr>
      <w:r>
        <w:rPr/>
        <w:t>其他说明</w:t>
      </w:r>
      <w:r>
        <w:rPr>
          <w:rFonts w:ascii="宋体" w:hAnsi="宋体" w:cs="宋体" w:eastAsia="宋体" w:hint="default"/>
        </w:rPr>
        <w:t> </w:t>
      </w:r>
    </w:p>
    <w:p>
      <w:pPr>
        <w:pStyle w:val="BodyText"/>
        <w:spacing w:line="240" w:lineRule="auto" w:before="37"/>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left="216" w:right="0"/>
        <w:jc w:val="left"/>
        <w:rPr>
          <w:rFonts w:ascii="宋体" w:hAnsi="宋体" w:cs="宋体" w:eastAsia="宋体" w:hint="default"/>
        </w:rPr>
      </w:pPr>
      <w:r>
        <w:rPr>
          <w:rFonts w:ascii="宋体"/>
          <w:w w:val="100"/>
        </w:rPr>
        <w:t> </w:t>
      </w:r>
    </w:p>
    <w:p>
      <w:pPr>
        <w:pStyle w:val="Heading3"/>
        <w:spacing w:line="324" w:lineRule="auto"/>
        <w:ind w:left="216" w:right="6307"/>
        <w:jc w:val="left"/>
        <w:rPr>
          <w:rFonts w:ascii="宋体" w:hAnsi="宋体" w:cs="宋体" w:eastAsia="宋体" w:hint="default"/>
          <w:b w:val="0"/>
          <w:bCs w:val="0"/>
        </w:rPr>
      </w:pPr>
      <w:r>
        <w:rPr>
          <w:rFonts w:ascii="宋体" w:hAnsi="宋体" w:cs="宋体" w:eastAsia="宋体" w:hint="default"/>
        </w:rPr>
        <w:t>14</w:t>
      </w:r>
      <w:r>
        <w:rPr/>
        <w:t>、</w:t>
      </w:r>
      <w:r>
        <w:rPr>
          <w:spacing w:val="-25"/>
        </w:rPr>
        <w:t> </w:t>
      </w:r>
      <w:r>
        <w:rPr/>
        <w:t>其他债权投资</w:t>
      </w:r>
      <w:r>
        <w:rPr>
          <w:w w:val="100"/>
        </w:rPr>
        <w:t> </w:t>
      </w:r>
      <w:r>
        <w:rPr>
          <w:rFonts w:ascii="宋体" w:hAnsi="宋体" w:cs="宋体" w:eastAsia="宋体" w:hint="default"/>
        </w:rPr>
        <w:t>(1).</w:t>
      </w:r>
      <w:r>
        <w:rPr/>
        <w:t>其他债权投资情况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23"/>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580" w:bottom="280" w:left="1060" w:right="1560"/>
        </w:sectPr>
      </w:pPr>
    </w:p>
    <w:p>
      <w:pPr>
        <w:spacing w:line="240" w:lineRule="auto" w:before="2"/>
        <w:rPr>
          <w:rFonts w:ascii="宋体" w:hAnsi="宋体" w:cs="宋体" w:eastAsia="宋体" w:hint="default"/>
          <w:sz w:val="19"/>
          <w:szCs w:val="19"/>
        </w:rPr>
      </w:pPr>
    </w:p>
    <w:p>
      <w:pPr>
        <w:pStyle w:val="Heading3"/>
        <w:spacing w:line="240" w:lineRule="auto" w:before="36"/>
        <w:ind w:left="456" w:right="0"/>
        <w:jc w:val="left"/>
        <w:rPr>
          <w:rFonts w:ascii="宋体" w:hAnsi="宋体" w:cs="宋体" w:eastAsia="宋体" w:hint="default"/>
          <w:b w:val="0"/>
          <w:bCs w:val="0"/>
        </w:rPr>
      </w:pPr>
      <w:r>
        <w:rPr>
          <w:rFonts w:ascii="宋体" w:hAnsi="宋体" w:cs="宋体" w:eastAsia="宋体" w:hint="default"/>
        </w:rPr>
        <w:t>(2).</w:t>
      </w:r>
      <w:r>
        <w:rPr/>
        <w:t>期末重要的其他债权投资</w:t>
      </w:r>
      <w:r>
        <w:rPr>
          <w:rFonts w:ascii="宋体" w:hAnsi="宋体" w:cs="宋体" w:eastAsia="宋体" w:hint="default"/>
          <w:w w:val="99"/>
        </w:rPr>
        <w:t> </w:t>
      </w:r>
      <w:r>
        <w:rPr>
          <w:rFonts w:ascii="宋体" w:hAnsi="宋体" w:cs="宋体" w:eastAsia="宋体" w:hint="default"/>
          <w:b w:val="0"/>
          <w:bCs w:val="0"/>
        </w:rPr>
      </w:r>
    </w:p>
    <w:p>
      <w:pPr>
        <w:spacing w:line="324" w:lineRule="auto" w:before="97"/>
        <w:ind w:left="456" w:right="5615"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(3).</w:t>
      </w:r>
      <w:r>
        <w:rPr>
          <w:rFonts w:ascii="宋体" w:hAnsi="宋体" w:cs="宋体" w:eastAsia="宋体" w:hint="default"/>
          <w:b/>
          <w:bCs/>
          <w:sz w:val="21"/>
          <w:szCs w:val="21"/>
        </w:rPr>
        <w:t>减值准备计提情况</w:t>
      </w:r>
      <w:r>
        <w:rPr>
          <w:rFonts w:ascii="宋体" w:hAnsi="宋体" w:cs="宋体" w:eastAsia="宋体" w:hint="default"/>
          <w:b/>
          <w:bCs/>
          <w:w w:val="99"/>
          <w:sz w:val="21"/>
          <w:szCs w:val="21"/>
        </w:rPr>
        <w:t> </w:t>
      </w:r>
      <w:r>
        <w:rPr>
          <w:rFonts w:ascii="宋体" w:hAnsi="宋体" w:cs="宋体" w:eastAsia="宋体" w:hint="default"/>
          <w:sz w:val="21"/>
          <w:szCs w:val="21"/>
        </w:rPr>
      </w:r>
    </w:p>
    <w:p>
      <w:pPr>
        <w:pStyle w:val="Heading2"/>
        <w:spacing w:line="310" w:lineRule="exact"/>
        <w:ind w:left="45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BodyText"/>
        <w:spacing w:line="240" w:lineRule="auto" w:before="25"/>
        <w:ind w:left="456" w:right="0"/>
        <w:jc w:val="left"/>
      </w:pPr>
      <w:r>
        <w:rPr/>
        <w:t>本期减值准备计提金额以及评估金融工具的信用风险是否显著增加的采用依据</w:t>
      </w:r>
    </w:p>
    <w:p>
      <w:pPr>
        <w:pStyle w:val="BodyText"/>
        <w:spacing w:line="240" w:lineRule="auto" w:before="37"/>
        <w:ind w:left="456" w:right="737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2"/>
        <w:spacing w:line="313" w:lineRule="exact" w:before="9"/>
        <w:ind w:left="456" w:right="7370"/>
        <w:jc w:val="left"/>
        <w:rPr>
          <w:rFonts w:ascii="宋体" w:hAnsi="宋体" w:cs="宋体" w:eastAsia="宋体" w:hint="default"/>
        </w:rPr>
      </w:pPr>
      <w:r>
        <w:rPr/>
        <w:t>其他说明：</w:t>
      </w:r>
      <w:r>
        <w:rPr>
          <w:rFonts w:ascii="宋体" w:hAnsi="宋体" w:cs="宋体" w:eastAsia="宋体" w:hint="default"/>
        </w:rPr>
        <w:t> </w:t>
      </w:r>
    </w:p>
    <w:p>
      <w:pPr>
        <w:pStyle w:val="Heading2"/>
        <w:spacing w:line="312" w:lineRule="exact"/>
        <w:ind w:left="45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2"/>
        <w:spacing w:line="313" w:lineRule="exact"/>
        <w:ind w:left="456" w:right="0"/>
        <w:jc w:val="left"/>
        <w:rPr>
          <w:rFonts w:ascii="宋体" w:hAnsi="宋体" w:cs="宋体" w:eastAsia="宋体" w:hint="default"/>
        </w:rPr>
      </w:pPr>
      <w:r>
        <w:rPr>
          <w:rFonts w:ascii="宋体"/>
        </w:rPr>
        <w:t> </w:t>
      </w:r>
    </w:p>
    <w:p>
      <w:pPr>
        <w:pStyle w:val="Heading3"/>
        <w:spacing w:line="324" w:lineRule="auto" w:before="85"/>
        <w:ind w:left="456" w:right="5615"/>
        <w:jc w:val="left"/>
        <w:rPr>
          <w:rFonts w:ascii="宋体" w:hAnsi="宋体" w:cs="宋体" w:eastAsia="宋体" w:hint="default"/>
          <w:b w:val="0"/>
          <w:bCs w:val="0"/>
        </w:rPr>
      </w:pPr>
      <w:r>
        <w:rPr>
          <w:rFonts w:ascii="宋体" w:hAnsi="宋体" w:cs="宋体" w:eastAsia="宋体" w:hint="default"/>
        </w:rPr>
        <w:t>15</w:t>
      </w:r>
      <w:r>
        <w:rPr/>
        <w:t>、</w:t>
      </w:r>
      <w:r>
        <w:rPr>
          <w:spacing w:val="-26"/>
        </w:rPr>
        <w:t> </w:t>
      </w:r>
      <w:r>
        <w:rPr/>
        <w:t>长期应收款</w:t>
      </w:r>
      <w:r>
        <w:rPr>
          <w:rFonts w:ascii="宋体" w:hAnsi="宋体" w:cs="宋体" w:eastAsia="宋体" w:hint="default"/>
          <w:w w:val="99"/>
        </w:rPr>
        <w:t> </w:t>
      </w:r>
      <w:r>
        <w:rPr>
          <w:rFonts w:ascii="宋体" w:hAnsi="宋体" w:cs="宋体" w:eastAsia="宋体" w:hint="default"/>
        </w:rPr>
        <w:t>(1).</w:t>
      </w:r>
      <w:r>
        <w:rPr/>
        <w:t>长期应收款情况</w:t>
      </w:r>
      <w:r>
        <w:rPr>
          <w:rFonts w:ascii="宋体" w:hAnsi="宋体" w:cs="宋体" w:eastAsia="宋体" w:hint="default"/>
          <w:w w:val="99"/>
        </w:rPr>
        <w:t> </w:t>
      </w:r>
      <w:r>
        <w:rPr>
          <w:rFonts w:ascii="宋体" w:hAnsi="宋体" w:cs="宋体" w:eastAsia="宋体" w:hint="default"/>
          <w:b w:val="0"/>
          <w:bCs w:val="0"/>
        </w:rPr>
      </w:r>
    </w:p>
    <w:p>
      <w:pPr>
        <w:pStyle w:val="Heading2"/>
        <w:spacing w:line="311" w:lineRule="exact"/>
        <w:ind w:left="45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BodyText"/>
        <w:spacing w:line="240" w:lineRule="auto" w:before="25"/>
        <w:ind w:left="0" w:right="108"/>
        <w:jc w:val="right"/>
        <w:rPr>
          <w:rFonts w:ascii="宋体" w:hAnsi="宋体" w:cs="宋体" w:eastAsia="宋体" w:hint="default"/>
        </w:rPr>
      </w:pPr>
      <w:r>
        <w:rPr>
          <w:spacing w:val="-2"/>
        </w:rPr>
        <w:t>单位：元币种：人民币</w:t>
      </w:r>
      <w:r>
        <w:rPr>
          <w:rFonts w:ascii="宋体" w:hAnsi="宋体" w:cs="宋体" w:eastAsia="宋体" w:hint="default"/>
        </w:rPr>
        <w:t> </w:t>
      </w:r>
    </w:p>
    <w:p>
      <w:pPr>
        <w:spacing w:line="240" w:lineRule="auto" w:before="10"/>
        <w:rPr>
          <w:rFonts w:ascii="宋体" w:hAnsi="宋体" w:cs="宋体" w:eastAsia="宋体" w:hint="default"/>
          <w:sz w:val="3"/>
          <w:szCs w:val="3"/>
        </w:rPr>
      </w:pPr>
    </w:p>
    <w:tbl>
      <w:tblPr>
        <w:tblW w:w="0" w:type="auto"/>
        <w:jc w:val="left"/>
        <w:tblInd w:w="113" w:type="dxa"/>
        <w:tblLayout w:type="fixed"/>
        <w:tblCellMar>
          <w:top w:w="0" w:type="dxa"/>
          <w:left w:w="0" w:type="dxa"/>
          <w:bottom w:w="0" w:type="dxa"/>
          <w:right w:w="0" w:type="dxa"/>
        </w:tblCellMar>
        <w:tblLook w:val="01E0"/>
      </w:tblPr>
      <w:tblGrid>
        <w:gridCol w:w="2196"/>
        <w:gridCol w:w="1208"/>
        <w:gridCol w:w="487"/>
        <w:gridCol w:w="1310"/>
        <w:gridCol w:w="1390"/>
        <w:gridCol w:w="550"/>
        <w:gridCol w:w="1249"/>
        <w:gridCol w:w="778"/>
      </w:tblGrid>
      <w:tr>
        <w:trPr>
          <w:trHeight w:val="324" w:hRule="exact"/>
        </w:trPr>
        <w:tc>
          <w:tcPr>
            <w:tcW w:w="2196"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5"/>
                <w:szCs w:val="25"/>
              </w:rPr>
            </w:pPr>
          </w:p>
          <w:p>
            <w:pPr>
              <w:pStyle w:val="TableParagraph"/>
              <w:spacing w:line="240" w:lineRule="auto"/>
              <w:ind w:left="88" w:right="0"/>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3005" w:type="dxa"/>
            <w:gridSpan w:val="3"/>
            <w:tcBorders>
              <w:top w:val="single" w:sz="4" w:space="0" w:color="000000"/>
              <w:left w:val="single" w:sz="4" w:space="0" w:color="000000"/>
              <w:bottom w:val="single" w:sz="6" w:space="0" w:color="000000"/>
              <w:right w:val="single" w:sz="4" w:space="0" w:color="000000"/>
            </w:tcBorders>
          </w:tcPr>
          <w:p>
            <w:pPr>
              <w:pStyle w:val="TableParagraph"/>
              <w:spacing w:line="240" w:lineRule="auto" w:before="8"/>
              <w:ind w:left="90" w:right="0"/>
              <w:jc w:val="center"/>
              <w:rPr>
                <w:rFonts w:ascii="宋体" w:hAnsi="宋体" w:cs="宋体" w:eastAsia="宋体" w:hint="default"/>
                <w:sz w:val="18"/>
                <w:szCs w:val="18"/>
              </w:rPr>
            </w:pPr>
            <w:r>
              <w:rPr>
                <w:rFonts w:ascii="宋体" w:hAnsi="宋体" w:cs="宋体" w:eastAsia="宋体" w:hint="default"/>
                <w:sz w:val="18"/>
                <w:szCs w:val="18"/>
              </w:rPr>
              <w:t>期末余额</w:t>
            </w:r>
            <w:r>
              <w:rPr>
                <w:rFonts w:ascii="宋体" w:hAnsi="宋体" w:cs="宋体" w:eastAsia="宋体" w:hint="default"/>
                <w:sz w:val="18"/>
                <w:szCs w:val="18"/>
              </w:rPr>
              <w:t> </w:t>
            </w:r>
          </w:p>
        </w:tc>
        <w:tc>
          <w:tcPr>
            <w:tcW w:w="3188" w:type="dxa"/>
            <w:gridSpan w:val="3"/>
            <w:tcBorders>
              <w:top w:val="single" w:sz="4" w:space="0" w:color="000000"/>
              <w:left w:val="single" w:sz="4" w:space="0" w:color="000000"/>
              <w:bottom w:val="single" w:sz="6" w:space="0" w:color="000000"/>
              <w:right w:val="single" w:sz="4" w:space="0" w:color="000000"/>
            </w:tcBorders>
          </w:tcPr>
          <w:p>
            <w:pPr>
              <w:pStyle w:val="TableParagraph"/>
              <w:spacing w:line="240" w:lineRule="auto" w:before="8"/>
              <w:ind w:left="89" w:right="0"/>
              <w:jc w:val="center"/>
              <w:rPr>
                <w:rFonts w:ascii="宋体" w:hAnsi="宋体" w:cs="宋体" w:eastAsia="宋体" w:hint="default"/>
                <w:sz w:val="18"/>
                <w:szCs w:val="18"/>
              </w:rPr>
            </w:pPr>
            <w:r>
              <w:rPr>
                <w:rFonts w:ascii="宋体" w:hAnsi="宋体" w:cs="宋体" w:eastAsia="宋体" w:hint="default"/>
                <w:sz w:val="18"/>
                <w:szCs w:val="18"/>
              </w:rPr>
              <w:t>期初余额</w:t>
            </w:r>
            <w:r>
              <w:rPr>
                <w:rFonts w:ascii="宋体" w:hAnsi="宋体" w:cs="宋体" w:eastAsia="宋体" w:hint="default"/>
                <w:sz w:val="18"/>
                <w:szCs w:val="18"/>
              </w:rPr>
              <w:t> </w:t>
            </w:r>
          </w:p>
        </w:tc>
        <w:tc>
          <w:tcPr>
            <w:tcW w:w="778"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316" w:lineRule="auto"/>
              <w:ind w:left="203" w:right="113" w:hanging="92"/>
              <w:jc w:val="left"/>
              <w:rPr>
                <w:rFonts w:ascii="宋体" w:hAnsi="宋体" w:cs="宋体" w:eastAsia="宋体" w:hint="default"/>
                <w:sz w:val="18"/>
                <w:szCs w:val="18"/>
              </w:rPr>
            </w:pPr>
            <w:r>
              <w:rPr>
                <w:rFonts w:ascii="宋体" w:hAnsi="宋体" w:cs="宋体" w:eastAsia="宋体" w:hint="default"/>
                <w:sz w:val="18"/>
                <w:szCs w:val="18"/>
              </w:rPr>
              <w:t>折现率 区间</w:t>
            </w:r>
            <w:r>
              <w:rPr>
                <w:rFonts w:ascii="宋体" w:hAnsi="宋体" w:cs="宋体" w:eastAsia="宋体" w:hint="default"/>
                <w:sz w:val="18"/>
                <w:szCs w:val="18"/>
              </w:rPr>
              <w:t> </w:t>
            </w:r>
          </w:p>
        </w:tc>
      </w:tr>
      <w:tr>
        <w:trPr>
          <w:trHeight w:val="638" w:hRule="exact"/>
        </w:trPr>
        <w:tc>
          <w:tcPr>
            <w:tcW w:w="2196" w:type="dxa"/>
            <w:vMerge/>
            <w:tcBorders>
              <w:left w:val="single" w:sz="4" w:space="0" w:color="000000"/>
              <w:bottom w:val="single" w:sz="6" w:space="0" w:color="000000"/>
              <w:right w:val="single" w:sz="4" w:space="0" w:color="000000"/>
            </w:tcBorders>
          </w:tcPr>
          <w:p>
            <w:pPr/>
          </w:p>
        </w:tc>
        <w:tc>
          <w:tcPr>
            <w:tcW w:w="1208"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94" w:right="0"/>
              <w:jc w:val="center"/>
              <w:rPr>
                <w:rFonts w:ascii="宋体" w:hAnsi="宋体" w:cs="宋体" w:eastAsia="宋体" w:hint="default"/>
                <w:sz w:val="18"/>
                <w:szCs w:val="18"/>
              </w:rPr>
            </w:pPr>
            <w:r>
              <w:rPr>
                <w:rFonts w:ascii="宋体" w:hAnsi="宋体" w:cs="宋体" w:eastAsia="宋体" w:hint="default"/>
                <w:sz w:val="18"/>
                <w:szCs w:val="18"/>
              </w:rPr>
              <w:t>账面余额</w:t>
            </w:r>
            <w:r>
              <w:rPr>
                <w:rFonts w:ascii="宋体" w:hAnsi="宋体" w:cs="宋体" w:eastAsia="宋体" w:hint="default"/>
                <w:sz w:val="18"/>
                <w:szCs w:val="18"/>
              </w:rPr>
              <w:t> </w:t>
            </w:r>
          </w:p>
        </w:tc>
        <w:tc>
          <w:tcPr>
            <w:tcW w:w="48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8"/>
              <w:ind w:left="55" w:right="-33"/>
              <w:jc w:val="left"/>
              <w:rPr>
                <w:rFonts w:ascii="宋体" w:hAnsi="宋体" w:cs="宋体" w:eastAsia="宋体" w:hint="default"/>
                <w:sz w:val="18"/>
                <w:szCs w:val="18"/>
              </w:rPr>
            </w:pPr>
            <w:r>
              <w:rPr>
                <w:rFonts w:ascii="宋体" w:hAnsi="宋体" w:cs="宋体" w:eastAsia="宋体" w:hint="default"/>
                <w:sz w:val="18"/>
                <w:szCs w:val="18"/>
              </w:rPr>
              <w:t>坏账 准备</w:t>
            </w:r>
            <w:r>
              <w:rPr>
                <w:rFonts w:ascii="宋体" w:hAnsi="宋体" w:cs="宋体" w:eastAsia="宋体" w:hint="default"/>
                <w:sz w:val="18"/>
                <w:szCs w:val="18"/>
              </w:rPr>
              <w:t> </w:t>
            </w:r>
          </w:p>
        </w:tc>
        <w:tc>
          <w:tcPr>
            <w:tcW w:w="13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85" w:right="0"/>
              <w:jc w:val="center"/>
              <w:rPr>
                <w:rFonts w:ascii="宋体" w:hAnsi="宋体" w:cs="宋体" w:eastAsia="宋体" w:hint="default"/>
                <w:sz w:val="18"/>
                <w:szCs w:val="18"/>
              </w:rPr>
            </w:pPr>
            <w:r>
              <w:rPr>
                <w:rFonts w:ascii="宋体" w:hAnsi="宋体" w:cs="宋体" w:eastAsia="宋体" w:hint="default"/>
                <w:sz w:val="18"/>
                <w:szCs w:val="18"/>
              </w:rPr>
              <w:t>账面价值</w:t>
            </w:r>
            <w:r>
              <w:rPr>
                <w:rFonts w:ascii="宋体" w:hAnsi="宋体" w:cs="宋体" w:eastAsia="宋体" w:hint="default"/>
                <w:sz w:val="18"/>
                <w:szCs w:val="18"/>
              </w:rPr>
              <w:t> </w:t>
            </w:r>
          </w:p>
        </w:tc>
        <w:tc>
          <w:tcPr>
            <w:tcW w:w="13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326" w:right="0"/>
              <w:jc w:val="left"/>
              <w:rPr>
                <w:rFonts w:ascii="宋体" w:hAnsi="宋体" w:cs="宋体" w:eastAsia="宋体" w:hint="default"/>
                <w:sz w:val="18"/>
                <w:szCs w:val="18"/>
              </w:rPr>
            </w:pPr>
            <w:r>
              <w:rPr>
                <w:rFonts w:ascii="宋体" w:hAnsi="宋体" w:cs="宋体" w:eastAsia="宋体" w:hint="default"/>
                <w:sz w:val="18"/>
                <w:szCs w:val="18"/>
              </w:rPr>
              <w:t>账面余额</w:t>
            </w:r>
            <w:r>
              <w:rPr>
                <w:rFonts w:ascii="宋体" w:hAnsi="宋体" w:cs="宋体" w:eastAsia="宋体" w:hint="default"/>
                <w:sz w:val="18"/>
                <w:szCs w:val="18"/>
              </w:rPr>
              <w:t> </w:t>
            </w:r>
          </w:p>
        </w:tc>
        <w:tc>
          <w:tcPr>
            <w:tcW w:w="55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8"/>
              <w:ind w:left="83" w:right="1"/>
              <w:jc w:val="left"/>
              <w:rPr>
                <w:rFonts w:ascii="宋体" w:hAnsi="宋体" w:cs="宋体" w:eastAsia="宋体" w:hint="default"/>
                <w:sz w:val="18"/>
                <w:szCs w:val="18"/>
              </w:rPr>
            </w:pPr>
            <w:r>
              <w:rPr>
                <w:rFonts w:ascii="宋体" w:hAnsi="宋体" w:cs="宋体" w:eastAsia="宋体" w:hint="default"/>
                <w:sz w:val="18"/>
                <w:szCs w:val="18"/>
              </w:rPr>
              <w:t>坏账 准备</w:t>
            </w:r>
            <w:r>
              <w:rPr>
                <w:rFonts w:ascii="宋体" w:hAnsi="宋体" w:cs="宋体" w:eastAsia="宋体" w:hint="default"/>
                <w:sz w:val="18"/>
                <w:szCs w:val="18"/>
              </w:rPr>
              <w:t> </w:t>
            </w:r>
          </w:p>
        </w:tc>
        <w:tc>
          <w:tcPr>
            <w:tcW w:w="1249"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87" w:right="0"/>
              <w:jc w:val="center"/>
              <w:rPr>
                <w:rFonts w:ascii="宋体" w:hAnsi="宋体" w:cs="宋体" w:eastAsia="宋体" w:hint="default"/>
                <w:sz w:val="18"/>
                <w:szCs w:val="18"/>
              </w:rPr>
            </w:pPr>
            <w:r>
              <w:rPr>
                <w:rFonts w:ascii="宋体" w:hAnsi="宋体" w:cs="宋体" w:eastAsia="宋体" w:hint="default"/>
                <w:sz w:val="18"/>
                <w:szCs w:val="18"/>
              </w:rPr>
              <w:t>账面价值</w:t>
            </w:r>
            <w:r>
              <w:rPr>
                <w:rFonts w:ascii="宋体" w:hAnsi="宋体" w:cs="宋体" w:eastAsia="宋体" w:hint="default"/>
                <w:sz w:val="18"/>
                <w:szCs w:val="18"/>
              </w:rPr>
              <w:t> </w:t>
            </w:r>
          </w:p>
        </w:tc>
        <w:tc>
          <w:tcPr>
            <w:tcW w:w="778" w:type="dxa"/>
            <w:vMerge/>
            <w:tcBorders>
              <w:left w:val="single" w:sz="4" w:space="0" w:color="000000"/>
              <w:bottom w:val="single" w:sz="6" w:space="0" w:color="000000"/>
              <w:right w:val="single" w:sz="4" w:space="0" w:color="000000"/>
            </w:tcBorders>
          </w:tcPr>
          <w:p>
            <w:pPr/>
          </w:p>
        </w:tc>
      </w:tr>
      <w:tr>
        <w:trPr>
          <w:trHeight w:val="329" w:hRule="exact"/>
        </w:trPr>
        <w:tc>
          <w:tcPr>
            <w:tcW w:w="21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融资租赁款</w:t>
            </w:r>
            <w:r>
              <w:rPr>
                <w:rFonts w:ascii="宋体" w:hAnsi="宋体" w:cs="宋体" w:eastAsia="宋体" w:hint="default"/>
                <w:sz w:val="18"/>
                <w:szCs w:val="18"/>
              </w:rPr>
              <w:t> </w:t>
            </w:r>
          </w:p>
        </w:tc>
        <w:tc>
          <w:tcPr>
            <w:tcW w:w="1208" w:type="dxa"/>
            <w:tcBorders>
              <w:top w:val="single" w:sz="6" w:space="0" w:color="000000"/>
              <w:left w:val="single" w:sz="6" w:space="0" w:color="000000"/>
              <w:bottom w:val="single" w:sz="6" w:space="0" w:color="000000"/>
              <w:right w:val="single" w:sz="6" w:space="0" w:color="000000"/>
            </w:tcBorders>
          </w:tcPr>
          <w:p>
            <w:pPr/>
          </w:p>
        </w:tc>
        <w:tc>
          <w:tcPr>
            <w:tcW w:w="487" w:type="dxa"/>
            <w:tcBorders>
              <w:top w:val="single" w:sz="6" w:space="0" w:color="000000"/>
              <w:left w:val="single" w:sz="6" w:space="0" w:color="000000"/>
              <w:bottom w:val="single" w:sz="6" w:space="0" w:color="000000"/>
              <w:right w:val="single" w:sz="6" w:space="0" w:color="000000"/>
            </w:tcBorders>
          </w:tcPr>
          <w:p>
            <w:pPr/>
          </w:p>
        </w:tc>
        <w:tc>
          <w:tcPr>
            <w:tcW w:w="1310" w:type="dxa"/>
            <w:tcBorders>
              <w:top w:val="single" w:sz="6" w:space="0" w:color="000000"/>
              <w:left w:val="single" w:sz="6" w:space="0" w:color="000000"/>
              <w:bottom w:val="single" w:sz="6" w:space="0" w:color="000000"/>
              <w:right w:val="single" w:sz="6" w:space="0" w:color="000000"/>
            </w:tcBorders>
          </w:tcPr>
          <w:p>
            <w:pPr/>
          </w:p>
        </w:tc>
        <w:tc>
          <w:tcPr>
            <w:tcW w:w="1390" w:type="dxa"/>
            <w:tcBorders>
              <w:top w:val="single" w:sz="6" w:space="0" w:color="000000"/>
              <w:left w:val="single" w:sz="6" w:space="0" w:color="000000"/>
              <w:bottom w:val="single" w:sz="6" w:space="0" w:color="000000"/>
              <w:right w:val="single" w:sz="6" w:space="0" w:color="000000"/>
            </w:tcBorders>
          </w:tcPr>
          <w:p>
            <w:pPr/>
          </w:p>
        </w:tc>
        <w:tc>
          <w:tcPr>
            <w:tcW w:w="550" w:type="dxa"/>
            <w:tcBorders>
              <w:top w:val="single" w:sz="6" w:space="0" w:color="000000"/>
              <w:left w:val="single" w:sz="6" w:space="0" w:color="000000"/>
              <w:bottom w:val="single" w:sz="6" w:space="0" w:color="000000"/>
              <w:right w:val="single" w:sz="6" w:space="0" w:color="000000"/>
            </w:tcBorders>
          </w:tcPr>
          <w:p>
            <w:pPr/>
          </w:p>
        </w:tc>
        <w:tc>
          <w:tcPr>
            <w:tcW w:w="1249" w:type="dxa"/>
            <w:tcBorders>
              <w:top w:val="single" w:sz="6" w:space="0" w:color="000000"/>
              <w:left w:val="single" w:sz="6" w:space="0" w:color="000000"/>
              <w:bottom w:val="single" w:sz="6" w:space="0" w:color="000000"/>
              <w:right w:val="single" w:sz="4" w:space="0" w:color="000000"/>
            </w:tcBorders>
          </w:tcPr>
          <w:p>
            <w:pPr/>
          </w:p>
        </w:tc>
        <w:tc>
          <w:tcPr>
            <w:tcW w:w="778"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sz w:val="18"/>
              </w:rPr>
              <w:t> </w:t>
            </w:r>
          </w:p>
        </w:tc>
      </w:tr>
      <w:tr>
        <w:trPr>
          <w:trHeight w:val="326" w:hRule="exact"/>
        </w:trPr>
        <w:tc>
          <w:tcPr>
            <w:tcW w:w="21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384" w:right="0"/>
              <w:jc w:val="left"/>
              <w:rPr>
                <w:rFonts w:ascii="宋体" w:hAnsi="宋体" w:cs="宋体" w:eastAsia="宋体" w:hint="default"/>
                <w:sz w:val="18"/>
                <w:szCs w:val="18"/>
              </w:rPr>
            </w:pPr>
            <w:r>
              <w:rPr>
                <w:rFonts w:ascii="宋体" w:hAnsi="宋体" w:cs="宋体" w:eastAsia="宋体" w:hint="default"/>
                <w:spacing w:val="-3"/>
                <w:sz w:val="18"/>
                <w:szCs w:val="18"/>
              </w:rPr>
              <w:t>其中：未实现融资收益</w:t>
            </w:r>
          </w:p>
        </w:tc>
        <w:tc>
          <w:tcPr>
            <w:tcW w:w="1208" w:type="dxa"/>
            <w:tcBorders>
              <w:top w:val="single" w:sz="6" w:space="0" w:color="000000"/>
              <w:left w:val="single" w:sz="6" w:space="0" w:color="000000"/>
              <w:bottom w:val="single" w:sz="6" w:space="0" w:color="000000"/>
              <w:right w:val="single" w:sz="6" w:space="0" w:color="000000"/>
            </w:tcBorders>
          </w:tcPr>
          <w:p>
            <w:pPr/>
          </w:p>
        </w:tc>
        <w:tc>
          <w:tcPr>
            <w:tcW w:w="487" w:type="dxa"/>
            <w:tcBorders>
              <w:top w:val="single" w:sz="6" w:space="0" w:color="000000"/>
              <w:left w:val="single" w:sz="6" w:space="0" w:color="000000"/>
              <w:bottom w:val="single" w:sz="6" w:space="0" w:color="000000"/>
              <w:right w:val="single" w:sz="6" w:space="0" w:color="000000"/>
            </w:tcBorders>
          </w:tcPr>
          <w:p>
            <w:pPr/>
          </w:p>
        </w:tc>
        <w:tc>
          <w:tcPr>
            <w:tcW w:w="1310" w:type="dxa"/>
            <w:tcBorders>
              <w:top w:val="single" w:sz="6" w:space="0" w:color="000000"/>
              <w:left w:val="single" w:sz="6" w:space="0" w:color="000000"/>
              <w:bottom w:val="single" w:sz="6" w:space="0" w:color="000000"/>
              <w:right w:val="single" w:sz="6" w:space="0" w:color="000000"/>
            </w:tcBorders>
          </w:tcPr>
          <w:p>
            <w:pPr/>
          </w:p>
        </w:tc>
        <w:tc>
          <w:tcPr>
            <w:tcW w:w="1390" w:type="dxa"/>
            <w:tcBorders>
              <w:top w:val="single" w:sz="6" w:space="0" w:color="000000"/>
              <w:left w:val="single" w:sz="6" w:space="0" w:color="000000"/>
              <w:bottom w:val="single" w:sz="6" w:space="0" w:color="000000"/>
              <w:right w:val="single" w:sz="6" w:space="0" w:color="000000"/>
            </w:tcBorders>
          </w:tcPr>
          <w:p>
            <w:pPr/>
          </w:p>
        </w:tc>
        <w:tc>
          <w:tcPr>
            <w:tcW w:w="550" w:type="dxa"/>
            <w:tcBorders>
              <w:top w:val="single" w:sz="6" w:space="0" w:color="000000"/>
              <w:left w:val="single" w:sz="6" w:space="0" w:color="000000"/>
              <w:bottom w:val="single" w:sz="6" w:space="0" w:color="000000"/>
              <w:right w:val="single" w:sz="6" w:space="0" w:color="000000"/>
            </w:tcBorders>
          </w:tcPr>
          <w:p>
            <w:pPr/>
          </w:p>
        </w:tc>
        <w:tc>
          <w:tcPr>
            <w:tcW w:w="1249" w:type="dxa"/>
            <w:tcBorders>
              <w:top w:val="single" w:sz="6" w:space="0" w:color="000000"/>
              <w:left w:val="single" w:sz="6" w:space="0" w:color="000000"/>
              <w:bottom w:val="single" w:sz="6" w:space="0" w:color="000000"/>
              <w:right w:val="single" w:sz="4" w:space="0" w:color="000000"/>
            </w:tcBorders>
          </w:tcPr>
          <w:p>
            <w:pPr/>
          </w:p>
        </w:tc>
        <w:tc>
          <w:tcPr>
            <w:tcW w:w="778"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sz w:val="18"/>
              </w:rPr>
              <w:t> </w:t>
            </w:r>
          </w:p>
        </w:tc>
      </w:tr>
      <w:tr>
        <w:trPr>
          <w:trHeight w:val="326" w:hRule="exact"/>
        </w:trPr>
        <w:tc>
          <w:tcPr>
            <w:tcW w:w="21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分期收款销售商品</w:t>
            </w:r>
            <w:r>
              <w:rPr>
                <w:rFonts w:ascii="宋体" w:hAnsi="宋体" w:cs="宋体" w:eastAsia="宋体" w:hint="default"/>
                <w:sz w:val="18"/>
                <w:szCs w:val="18"/>
              </w:rPr>
              <w:t> </w:t>
            </w:r>
          </w:p>
        </w:tc>
        <w:tc>
          <w:tcPr>
            <w:tcW w:w="1208" w:type="dxa"/>
            <w:tcBorders>
              <w:top w:val="single" w:sz="6" w:space="0" w:color="000000"/>
              <w:left w:val="single" w:sz="6" w:space="0" w:color="000000"/>
              <w:bottom w:val="single" w:sz="6" w:space="0" w:color="000000"/>
              <w:right w:val="single" w:sz="6" w:space="0" w:color="000000"/>
            </w:tcBorders>
          </w:tcPr>
          <w:p>
            <w:pPr/>
          </w:p>
        </w:tc>
        <w:tc>
          <w:tcPr>
            <w:tcW w:w="487" w:type="dxa"/>
            <w:tcBorders>
              <w:top w:val="single" w:sz="6" w:space="0" w:color="000000"/>
              <w:left w:val="single" w:sz="6" w:space="0" w:color="000000"/>
              <w:bottom w:val="single" w:sz="6" w:space="0" w:color="000000"/>
              <w:right w:val="single" w:sz="6" w:space="0" w:color="000000"/>
            </w:tcBorders>
          </w:tcPr>
          <w:p>
            <w:pPr/>
          </w:p>
        </w:tc>
        <w:tc>
          <w:tcPr>
            <w:tcW w:w="1310" w:type="dxa"/>
            <w:tcBorders>
              <w:top w:val="single" w:sz="6" w:space="0" w:color="000000"/>
              <w:left w:val="single" w:sz="6" w:space="0" w:color="000000"/>
              <w:bottom w:val="single" w:sz="6" w:space="0" w:color="000000"/>
              <w:right w:val="single" w:sz="6" w:space="0" w:color="000000"/>
            </w:tcBorders>
          </w:tcPr>
          <w:p>
            <w:pPr/>
          </w:p>
        </w:tc>
        <w:tc>
          <w:tcPr>
            <w:tcW w:w="1390" w:type="dxa"/>
            <w:tcBorders>
              <w:top w:val="single" w:sz="6" w:space="0" w:color="000000"/>
              <w:left w:val="single" w:sz="6" w:space="0" w:color="000000"/>
              <w:bottom w:val="single" w:sz="6" w:space="0" w:color="000000"/>
              <w:right w:val="single" w:sz="6" w:space="0" w:color="000000"/>
            </w:tcBorders>
          </w:tcPr>
          <w:p>
            <w:pPr/>
          </w:p>
        </w:tc>
        <w:tc>
          <w:tcPr>
            <w:tcW w:w="550" w:type="dxa"/>
            <w:tcBorders>
              <w:top w:val="single" w:sz="6" w:space="0" w:color="000000"/>
              <w:left w:val="single" w:sz="6" w:space="0" w:color="000000"/>
              <w:bottom w:val="single" w:sz="6" w:space="0" w:color="000000"/>
              <w:right w:val="single" w:sz="6" w:space="0" w:color="000000"/>
            </w:tcBorders>
          </w:tcPr>
          <w:p>
            <w:pPr/>
          </w:p>
        </w:tc>
        <w:tc>
          <w:tcPr>
            <w:tcW w:w="1249" w:type="dxa"/>
            <w:tcBorders>
              <w:top w:val="single" w:sz="6" w:space="0" w:color="000000"/>
              <w:left w:val="single" w:sz="6" w:space="0" w:color="000000"/>
              <w:bottom w:val="single" w:sz="6" w:space="0" w:color="000000"/>
              <w:right w:val="single" w:sz="4" w:space="0" w:color="000000"/>
            </w:tcBorders>
          </w:tcPr>
          <w:p>
            <w:pPr/>
          </w:p>
        </w:tc>
        <w:tc>
          <w:tcPr>
            <w:tcW w:w="778"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sz w:val="18"/>
              </w:rPr>
              <w:t> </w:t>
            </w:r>
          </w:p>
        </w:tc>
      </w:tr>
      <w:tr>
        <w:trPr>
          <w:trHeight w:val="326" w:hRule="exact"/>
        </w:trPr>
        <w:tc>
          <w:tcPr>
            <w:tcW w:w="21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分期收款提供劳务</w:t>
            </w:r>
            <w:r>
              <w:rPr>
                <w:rFonts w:ascii="宋体" w:hAnsi="宋体" w:cs="宋体" w:eastAsia="宋体" w:hint="default"/>
                <w:sz w:val="18"/>
                <w:szCs w:val="18"/>
              </w:rPr>
              <w:t> </w:t>
            </w:r>
          </w:p>
        </w:tc>
        <w:tc>
          <w:tcPr>
            <w:tcW w:w="12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69" w:right="0"/>
              <w:jc w:val="center"/>
              <w:rPr>
                <w:rFonts w:ascii="宋体" w:hAnsi="宋体" w:cs="宋体" w:eastAsia="宋体" w:hint="default"/>
                <w:sz w:val="18"/>
                <w:szCs w:val="18"/>
              </w:rPr>
            </w:pPr>
            <w:r>
              <w:rPr>
                <w:rFonts w:ascii="宋体"/>
                <w:sz w:val="18"/>
              </w:rPr>
              <w:t>2,149,225.65</w:t>
            </w:r>
          </w:p>
        </w:tc>
        <w:tc>
          <w:tcPr>
            <w:tcW w:w="487" w:type="dxa"/>
            <w:tcBorders>
              <w:top w:val="single" w:sz="6" w:space="0" w:color="000000"/>
              <w:left w:val="single" w:sz="6" w:space="0" w:color="000000"/>
              <w:bottom w:val="single" w:sz="6" w:space="0" w:color="000000"/>
              <w:right w:val="single" w:sz="6" w:space="0" w:color="000000"/>
            </w:tcBorders>
          </w:tcPr>
          <w:p>
            <w:pPr/>
          </w:p>
        </w:tc>
        <w:tc>
          <w:tcPr>
            <w:tcW w:w="13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163" w:right="0"/>
              <w:jc w:val="center"/>
              <w:rPr>
                <w:rFonts w:ascii="宋体" w:hAnsi="宋体" w:cs="宋体" w:eastAsia="宋体" w:hint="default"/>
                <w:sz w:val="18"/>
                <w:szCs w:val="18"/>
              </w:rPr>
            </w:pPr>
            <w:r>
              <w:rPr>
                <w:rFonts w:ascii="宋体"/>
                <w:sz w:val="18"/>
              </w:rPr>
              <w:t>2,149,225.65</w:t>
            </w:r>
          </w:p>
        </w:tc>
        <w:tc>
          <w:tcPr>
            <w:tcW w:w="13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271" w:right="0"/>
              <w:jc w:val="left"/>
              <w:rPr>
                <w:rFonts w:ascii="宋体" w:hAnsi="宋体" w:cs="宋体" w:eastAsia="宋体" w:hint="default"/>
                <w:sz w:val="18"/>
                <w:szCs w:val="18"/>
              </w:rPr>
            </w:pPr>
            <w:r>
              <w:rPr>
                <w:rFonts w:ascii="宋体"/>
                <w:sz w:val="18"/>
              </w:rPr>
              <w:t>6,038,763.14</w:t>
            </w:r>
          </w:p>
        </w:tc>
        <w:tc>
          <w:tcPr>
            <w:tcW w:w="550" w:type="dxa"/>
            <w:tcBorders>
              <w:top w:val="single" w:sz="6" w:space="0" w:color="000000"/>
              <w:left w:val="single" w:sz="6" w:space="0" w:color="000000"/>
              <w:bottom w:val="single" w:sz="6" w:space="0" w:color="000000"/>
              <w:right w:val="single" w:sz="6" w:space="0" w:color="000000"/>
            </w:tcBorders>
          </w:tcPr>
          <w:p>
            <w:pPr/>
          </w:p>
        </w:tc>
        <w:tc>
          <w:tcPr>
            <w:tcW w:w="1249"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8"/>
              <w:ind w:left="102" w:right="0"/>
              <w:jc w:val="center"/>
              <w:rPr>
                <w:rFonts w:ascii="宋体" w:hAnsi="宋体" w:cs="宋体" w:eastAsia="宋体" w:hint="default"/>
                <w:sz w:val="18"/>
                <w:szCs w:val="18"/>
              </w:rPr>
            </w:pPr>
            <w:r>
              <w:rPr>
                <w:rFonts w:ascii="宋体"/>
                <w:sz w:val="18"/>
              </w:rPr>
              <w:t>6,038,763.14</w:t>
            </w:r>
          </w:p>
        </w:tc>
        <w:tc>
          <w:tcPr>
            <w:tcW w:w="778"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sz w:val="18"/>
              </w:rPr>
              <w:t> </w:t>
            </w:r>
          </w:p>
        </w:tc>
      </w:tr>
      <w:tr>
        <w:trPr>
          <w:trHeight w:val="329" w:hRule="exact"/>
        </w:trPr>
        <w:tc>
          <w:tcPr>
            <w:tcW w:w="21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88" w:right="0"/>
              <w:jc w:val="center"/>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12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69" w:right="0"/>
              <w:jc w:val="center"/>
              <w:rPr>
                <w:rFonts w:ascii="宋体" w:hAnsi="宋体" w:cs="宋体" w:eastAsia="宋体" w:hint="default"/>
                <w:sz w:val="18"/>
                <w:szCs w:val="18"/>
              </w:rPr>
            </w:pPr>
            <w:r>
              <w:rPr>
                <w:rFonts w:ascii="宋体"/>
                <w:sz w:val="18"/>
              </w:rPr>
              <w:t>2,149,225.65</w:t>
            </w:r>
          </w:p>
        </w:tc>
        <w:tc>
          <w:tcPr>
            <w:tcW w:w="487" w:type="dxa"/>
            <w:tcBorders>
              <w:top w:val="single" w:sz="6" w:space="0" w:color="000000"/>
              <w:left w:val="single" w:sz="6" w:space="0" w:color="000000"/>
              <w:bottom w:val="single" w:sz="6" w:space="0" w:color="000000"/>
              <w:right w:val="single" w:sz="6" w:space="0" w:color="000000"/>
            </w:tcBorders>
          </w:tcPr>
          <w:p>
            <w:pPr/>
          </w:p>
        </w:tc>
        <w:tc>
          <w:tcPr>
            <w:tcW w:w="13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163" w:right="0"/>
              <w:jc w:val="center"/>
              <w:rPr>
                <w:rFonts w:ascii="宋体" w:hAnsi="宋体" w:cs="宋体" w:eastAsia="宋体" w:hint="default"/>
                <w:sz w:val="18"/>
                <w:szCs w:val="18"/>
              </w:rPr>
            </w:pPr>
            <w:r>
              <w:rPr>
                <w:rFonts w:ascii="宋体"/>
                <w:sz w:val="18"/>
              </w:rPr>
              <w:t>2,149,225.65</w:t>
            </w:r>
          </w:p>
        </w:tc>
        <w:tc>
          <w:tcPr>
            <w:tcW w:w="13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271" w:right="0"/>
              <w:jc w:val="left"/>
              <w:rPr>
                <w:rFonts w:ascii="宋体" w:hAnsi="宋体" w:cs="宋体" w:eastAsia="宋体" w:hint="default"/>
                <w:sz w:val="18"/>
                <w:szCs w:val="18"/>
              </w:rPr>
            </w:pPr>
            <w:r>
              <w:rPr>
                <w:rFonts w:ascii="宋体"/>
                <w:sz w:val="18"/>
              </w:rPr>
              <w:t>6,038,763.14</w:t>
            </w:r>
          </w:p>
        </w:tc>
        <w:tc>
          <w:tcPr>
            <w:tcW w:w="550" w:type="dxa"/>
            <w:tcBorders>
              <w:top w:val="single" w:sz="6" w:space="0" w:color="000000"/>
              <w:left w:val="single" w:sz="6" w:space="0" w:color="000000"/>
              <w:bottom w:val="single" w:sz="6" w:space="0" w:color="000000"/>
              <w:right w:val="single" w:sz="6" w:space="0" w:color="000000"/>
            </w:tcBorders>
          </w:tcPr>
          <w:p>
            <w:pPr/>
          </w:p>
        </w:tc>
        <w:tc>
          <w:tcPr>
            <w:tcW w:w="1249"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0"/>
              <w:ind w:left="102" w:right="0"/>
              <w:jc w:val="center"/>
              <w:rPr>
                <w:rFonts w:ascii="宋体" w:hAnsi="宋体" w:cs="宋体" w:eastAsia="宋体" w:hint="default"/>
                <w:sz w:val="18"/>
                <w:szCs w:val="18"/>
              </w:rPr>
            </w:pPr>
            <w:r>
              <w:rPr>
                <w:rFonts w:ascii="宋体"/>
                <w:sz w:val="18"/>
              </w:rPr>
              <w:t>6,038,763.14</w:t>
            </w:r>
          </w:p>
        </w:tc>
        <w:tc>
          <w:tcPr>
            <w:tcW w:w="778"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0"/>
              <w:ind w:left="92" w:right="0"/>
              <w:jc w:val="center"/>
              <w:rPr>
                <w:rFonts w:ascii="宋体" w:hAnsi="宋体" w:cs="宋体" w:eastAsia="宋体" w:hint="default"/>
                <w:sz w:val="18"/>
                <w:szCs w:val="18"/>
              </w:rPr>
            </w:pPr>
            <w:r>
              <w:rPr>
                <w:rFonts w:ascii="宋体"/>
                <w:sz w:val="18"/>
              </w:rPr>
              <w:t> </w:t>
            </w:r>
          </w:p>
        </w:tc>
      </w:tr>
    </w:tbl>
    <w:p>
      <w:pPr>
        <w:pStyle w:val="Heading3"/>
        <w:spacing w:line="326" w:lineRule="auto" w:before="0"/>
        <w:ind w:left="456" w:right="0"/>
        <w:jc w:val="left"/>
        <w:rPr>
          <w:rFonts w:ascii="宋体" w:hAnsi="宋体" w:cs="宋体" w:eastAsia="宋体" w:hint="default"/>
          <w:b w:val="0"/>
          <w:bCs w:val="0"/>
        </w:rPr>
      </w:pPr>
      <w:r>
        <w:rPr>
          <w:rFonts w:ascii="宋体" w:hAnsi="宋体" w:cs="宋体" w:eastAsia="宋体" w:hint="default"/>
          <w:b w:val="0"/>
          <w:bCs w:val="0"/>
          <w:color w:val="FF0000"/>
          <w:w w:val="100"/>
        </w:rPr>
        <w:t>  </w:t>
      </w:r>
      <w:r>
        <w:rPr>
          <w:rFonts w:ascii="宋体" w:hAnsi="宋体" w:cs="宋体" w:eastAsia="宋体" w:hint="default"/>
          <w:w w:val="99"/>
        </w:rPr>
        <w:t>(2)</w:t>
      </w:r>
      <w:r>
        <w:rPr>
          <w:rFonts w:ascii="宋体" w:hAnsi="宋体" w:cs="宋体" w:eastAsia="宋体" w:hint="default"/>
          <w:spacing w:val="5"/>
          <w:w w:val="99"/>
        </w:rPr>
        <w:t>.</w:t>
      </w:r>
      <w:r>
        <w:rPr>
          <w:w w:val="100"/>
        </w:rPr>
        <w:t>坏账准备计提情</w:t>
      </w:r>
      <w:r>
        <w:rPr>
          <w:spacing w:val="-3"/>
          <w:w w:val="100"/>
        </w:rPr>
        <w:t>况</w:t>
      </w:r>
      <w:r>
        <w:rPr>
          <w:rFonts w:ascii="宋体" w:hAnsi="宋体" w:cs="宋体" w:eastAsia="宋体" w:hint="default"/>
          <w:w w:val="99"/>
        </w:rPr>
        <w:t> </w:t>
      </w:r>
      <w:r>
        <w:rPr>
          <w:rFonts w:ascii="宋体" w:hAnsi="宋体" w:cs="宋体" w:eastAsia="宋体" w:hint="default"/>
          <w:b w:val="0"/>
          <w:bCs w:val="0"/>
        </w:rPr>
      </w:r>
    </w:p>
    <w:p>
      <w:pPr>
        <w:pStyle w:val="BodyText"/>
        <w:spacing w:line="273" w:lineRule="auto" w:before="21"/>
        <w:ind w:left="456" w:right="424"/>
        <w:jc w:val="left"/>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本期坏账准备计提金额以及评估金融工具的信用风险是否显著增加的采用依据</w:t>
      </w:r>
    </w:p>
    <w:p>
      <w:pPr>
        <w:pStyle w:val="BodyText"/>
        <w:spacing w:line="240" w:lineRule="auto" w:before="7"/>
        <w:ind w:left="456" w:right="7370"/>
        <w:jc w:val="left"/>
        <w:rPr>
          <w:rFonts w:ascii="宋体" w:hAnsi="宋体" w:cs="宋体" w:eastAsia="宋体" w:hint="default"/>
          <w:sz w:val="24"/>
          <w:szCs w:val="24"/>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sz w:val="24"/>
          <w:szCs w:val="24"/>
        </w:rPr>
        <w:t> </w:t>
      </w:r>
    </w:p>
    <w:p>
      <w:pPr>
        <w:pStyle w:val="Heading3"/>
        <w:spacing w:line="324" w:lineRule="auto" w:before="37"/>
        <w:ind w:left="456"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(3)</w:t>
      </w:r>
      <w:r>
        <w:rPr>
          <w:rFonts w:ascii="宋体" w:hAnsi="宋体" w:cs="宋体" w:eastAsia="宋体" w:hint="default"/>
          <w:spacing w:val="5"/>
          <w:w w:val="99"/>
        </w:rPr>
        <w:t>.</w:t>
      </w:r>
      <w:r>
        <w:rPr>
          <w:w w:val="100"/>
        </w:rPr>
        <w:t>因金融资产转移而</w:t>
      </w:r>
      <w:r>
        <w:rPr>
          <w:spacing w:val="-3"/>
          <w:w w:val="100"/>
        </w:rPr>
        <w:t>终</w:t>
      </w:r>
      <w:r>
        <w:rPr>
          <w:w w:val="100"/>
        </w:rPr>
        <w:t>止</w:t>
      </w:r>
      <w:r>
        <w:rPr>
          <w:spacing w:val="-3"/>
          <w:w w:val="100"/>
        </w:rPr>
        <w:t>确</w:t>
      </w:r>
      <w:r>
        <w:rPr>
          <w:w w:val="100"/>
        </w:rPr>
        <w:t>认的长期应收</w:t>
      </w:r>
      <w:r>
        <w:rPr>
          <w:spacing w:val="-3"/>
          <w:w w:val="100"/>
        </w:rPr>
        <w:t>款</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23"/>
        <w:ind w:left="456" w:right="0"/>
        <w:jc w:val="left"/>
        <w:rPr>
          <w:rFonts w:ascii="宋体" w:hAnsi="宋体" w:cs="宋体" w:eastAsia="宋体" w:hint="default"/>
          <w:sz w:val="24"/>
          <w:szCs w:val="24"/>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sz w:val="24"/>
          <w:szCs w:val="24"/>
        </w:rPr>
        <w:t> </w:t>
      </w:r>
    </w:p>
    <w:p>
      <w:pPr>
        <w:pStyle w:val="Heading3"/>
        <w:spacing w:line="324" w:lineRule="auto" w:before="37"/>
        <w:ind w:left="456"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(4)</w:t>
      </w:r>
      <w:r>
        <w:rPr>
          <w:rFonts w:ascii="宋体" w:hAnsi="宋体" w:cs="宋体" w:eastAsia="宋体" w:hint="default"/>
          <w:spacing w:val="5"/>
          <w:w w:val="99"/>
        </w:rPr>
        <w:t>.</w:t>
      </w:r>
      <w:r>
        <w:rPr>
          <w:w w:val="100"/>
        </w:rPr>
        <w:t>转移长期应收款且</w:t>
      </w:r>
      <w:r>
        <w:rPr>
          <w:spacing w:val="-3"/>
          <w:w w:val="100"/>
        </w:rPr>
        <w:t>继</w:t>
      </w:r>
      <w:r>
        <w:rPr>
          <w:w w:val="100"/>
        </w:rPr>
        <w:t>续</w:t>
      </w:r>
      <w:r>
        <w:rPr>
          <w:spacing w:val="-3"/>
          <w:w w:val="100"/>
        </w:rPr>
        <w:t>涉</w:t>
      </w:r>
      <w:r>
        <w:rPr>
          <w:w w:val="100"/>
        </w:rPr>
        <w:t>入形成的资产、负</w:t>
      </w:r>
      <w:r>
        <w:rPr>
          <w:spacing w:val="-3"/>
          <w:w w:val="100"/>
        </w:rPr>
        <w:t>债</w:t>
      </w:r>
      <w:r>
        <w:rPr>
          <w:w w:val="100"/>
        </w:rPr>
        <w:t>金</w:t>
      </w:r>
      <w:r>
        <w:rPr>
          <w:spacing w:val="-3"/>
          <w:w w:val="100"/>
        </w:rPr>
        <w:t>额</w:t>
      </w:r>
      <w:r>
        <w:rPr>
          <w:rFonts w:ascii="宋体" w:hAnsi="宋体" w:cs="宋体" w:eastAsia="宋体" w:hint="default"/>
          <w:w w:val="99"/>
        </w:rPr>
        <w:t> </w:t>
      </w:r>
      <w:r>
        <w:rPr>
          <w:rFonts w:ascii="宋体" w:hAnsi="宋体" w:cs="宋体" w:eastAsia="宋体" w:hint="default"/>
          <w:b w:val="0"/>
          <w:bCs w:val="0"/>
        </w:rPr>
      </w:r>
    </w:p>
    <w:p>
      <w:pPr>
        <w:pStyle w:val="Heading2"/>
        <w:spacing w:line="310" w:lineRule="exact"/>
        <w:ind w:left="456" w:right="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BodyText"/>
        <w:spacing w:line="240" w:lineRule="auto" w:before="26"/>
        <w:ind w:left="456" w:right="7370"/>
        <w:jc w:val="left"/>
        <w:rPr>
          <w:rFonts w:ascii="宋体" w:hAnsi="宋体" w:cs="宋体" w:eastAsia="宋体" w:hint="default"/>
        </w:rPr>
      </w:pPr>
      <w:r>
        <w:rPr/>
        <w:t>其他说明</w:t>
      </w:r>
      <w:r>
        <w:rPr>
          <w:rFonts w:ascii="宋体" w:hAnsi="宋体" w:cs="宋体" w:eastAsia="宋体" w:hint="default"/>
        </w:rPr>
        <w:t> </w:t>
      </w:r>
    </w:p>
    <w:p>
      <w:pPr>
        <w:pStyle w:val="BodyText"/>
        <w:spacing w:line="240" w:lineRule="auto" w:before="37"/>
        <w:ind w:left="456" w:right="737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left="456" w:right="0"/>
        <w:jc w:val="left"/>
        <w:rPr>
          <w:rFonts w:ascii="宋体" w:hAnsi="宋体" w:cs="宋体" w:eastAsia="宋体" w:hint="default"/>
        </w:rPr>
      </w:pPr>
      <w:r>
        <w:rPr>
          <w:rFonts w:ascii="宋体"/>
          <w:w w:val="100"/>
        </w:rPr>
        <w:t> </w:t>
      </w:r>
    </w:p>
    <w:p>
      <w:pPr>
        <w:spacing w:after="0" w:line="240" w:lineRule="auto"/>
        <w:jc w:val="left"/>
        <w:rPr>
          <w:rFonts w:ascii="宋体" w:hAnsi="宋体" w:cs="宋体" w:eastAsia="宋体" w:hint="default"/>
        </w:rPr>
        <w:sectPr>
          <w:pgSz w:w="11910" w:h="16840"/>
          <w:pgMar w:header="0" w:footer="974" w:top="1140" w:bottom="1160" w:left="820" w:right="1580"/>
        </w:sectPr>
      </w:pPr>
    </w:p>
    <w:p>
      <w:pPr>
        <w:spacing w:line="240" w:lineRule="auto" w:before="3"/>
        <w:rPr>
          <w:rFonts w:ascii="宋体" w:hAnsi="宋体" w:cs="宋体" w:eastAsia="宋体" w:hint="default"/>
          <w:sz w:val="6"/>
          <w:szCs w:val="6"/>
        </w:rPr>
      </w:pPr>
    </w:p>
    <w:p>
      <w:pPr>
        <w:spacing w:line="393" w:lineRule="exact"/>
        <w:ind w:left="861"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699.5pt;height:19.650pt;mso-position-horizontal-relative:char;mso-position-vertical-relative:line" coordorigin="0,0" coordsize="13990,393">
            <v:group style="position:absolute;left:70;top:370;width:13913;height:2" coordorigin="70,370" coordsize="13913,2">
              <v:shape style="position:absolute;left:70;top:370;width:13913;height:2" coordorigin="70,370" coordsize="13913,0" path="m70,370l13983,370e" filled="false" stroked="true" strokeweight=".72pt" strokecolor="#000000">
                <v:path arrowok="t"/>
              </v:shape>
              <v:shape style="position:absolute;left:0;top:0;width:465;height:393" type="#_x0000_t75" stroked="false">
                <v:imagedata r:id="rId10" o:title=""/>
              </v:shape>
              <v:shape style="position:absolute;left:3039;top:134;width:21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江苏林洋能源股份有限公司</w:t>
                      </w:r>
                    </w:p>
                  </w:txbxContent>
                </v:textbox>
                <w10:wrap type="none"/>
              </v:shape>
              <v:shape style="position:absolute;left:9705;top:134;width:1309;height:200" type="#_x0000_t202" filled="false" stroked="false">
                <v:textbox inset="0,0,0,0">
                  <w:txbxContent>
                    <w:p>
                      <w:pPr>
                        <w:spacing w:line="200" w:lineRule="exact" w:before="0"/>
                        <w:ind w:left="0" w:right="0" w:firstLine="0"/>
                        <w:jc w:val="left"/>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2"/>
                          <w:sz w:val="18"/>
                          <w:szCs w:val="18"/>
                        </w:rPr>
                        <w:t> </w:t>
                      </w:r>
                      <w:r>
                        <w:rPr>
                          <w:rFonts w:ascii="宋体" w:hAnsi="宋体" w:cs="宋体" w:eastAsia="宋体" w:hint="default"/>
                          <w:sz w:val="18"/>
                          <w:szCs w:val="18"/>
                        </w:rPr>
                        <w:t>年年度报告</w:t>
                      </w:r>
                    </w:p>
                  </w:txbxContent>
                </v:textbox>
                <w10:wrap type="none"/>
              </v:shape>
            </v:group>
          </v:group>
        </w:pict>
      </w:r>
      <w:r>
        <w:rPr>
          <w:rFonts w:ascii="宋体" w:hAnsi="宋体" w:cs="宋体" w:eastAsia="宋体" w:hint="default"/>
          <w:position w:val="-7"/>
          <w:sz w:val="20"/>
          <w:szCs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headerReference w:type="default" r:id="rId176"/>
          <w:footerReference w:type="default" r:id="rId177"/>
          <w:pgSz w:w="16840" w:h="11910" w:orient="landscape"/>
          <w:pgMar w:header="0" w:footer="0" w:top="660" w:bottom="280" w:left="480" w:right="260"/>
        </w:sectPr>
      </w:pPr>
    </w:p>
    <w:p>
      <w:pPr>
        <w:spacing w:line="240" w:lineRule="auto" w:before="5"/>
        <w:rPr>
          <w:rFonts w:ascii="宋体" w:hAnsi="宋体" w:cs="宋体" w:eastAsia="宋体" w:hint="default"/>
          <w:sz w:val="14"/>
          <w:szCs w:val="14"/>
        </w:rPr>
      </w:pPr>
    </w:p>
    <w:p>
      <w:pPr>
        <w:pStyle w:val="Heading3"/>
        <w:spacing w:line="240" w:lineRule="auto" w:before="0"/>
        <w:ind w:left="960" w:right="0"/>
        <w:jc w:val="left"/>
        <w:rPr>
          <w:rFonts w:ascii="宋体" w:hAnsi="宋体" w:cs="宋体" w:eastAsia="宋体" w:hint="default"/>
          <w:b w:val="0"/>
          <w:bCs w:val="0"/>
        </w:rPr>
      </w:pPr>
      <w:r>
        <w:rPr>
          <w:rFonts w:ascii="宋体" w:hAnsi="宋体" w:cs="宋体" w:eastAsia="宋体" w:hint="default"/>
        </w:rPr>
        <w:t>16</w:t>
      </w:r>
      <w:r>
        <w:rPr/>
        <w:t>、</w:t>
      </w:r>
      <w:r>
        <w:rPr>
          <w:spacing w:val="-25"/>
        </w:rPr>
        <w:t> </w:t>
      </w:r>
      <w:r>
        <w:rPr/>
        <w:t>长期股权投资</w:t>
      </w:r>
      <w:r>
        <w:rPr>
          <w:rFonts w:ascii="宋体" w:hAnsi="宋体" w:cs="宋体" w:eastAsia="宋体" w:hint="default"/>
          <w:w w:val="99"/>
        </w:rPr>
        <w:t> </w:t>
      </w:r>
      <w:r>
        <w:rPr>
          <w:rFonts w:ascii="宋体" w:hAnsi="宋体" w:cs="宋体" w:eastAsia="宋体" w:hint="default"/>
          <w:b w:val="0"/>
          <w:bCs w:val="0"/>
        </w:rPr>
      </w:r>
    </w:p>
    <w:p>
      <w:pPr>
        <w:pStyle w:val="Heading2"/>
        <w:spacing w:line="240" w:lineRule="auto" w:before="86"/>
        <w:ind w:left="960"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8"/>
          <w:szCs w:val="28"/>
        </w:rPr>
      </w:pPr>
    </w:p>
    <w:p>
      <w:pPr>
        <w:pStyle w:val="BodyText"/>
        <w:spacing w:line="240" w:lineRule="auto"/>
        <w:ind w:left="960"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6840" w:h="11910" w:orient="landscape"/>
          <w:pgMar w:top="1580" w:bottom="280" w:left="480" w:right="260"/>
          <w:cols w:num="2" w:equalWidth="0">
            <w:col w:w="3001" w:space="8562"/>
            <w:col w:w="4537"/>
          </w:cols>
        </w:sectPr>
      </w:pPr>
    </w:p>
    <w:p>
      <w:pPr>
        <w:spacing w:line="240" w:lineRule="auto" w:before="5"/>
        <w:rPr>
          <w:rFonts w:ascii="宋体" w:hAnsi="宋体" w:cs="宋体" w:eastAsia="宋体" w:hint="default"/>
          <w:sz w:val="4"/>
          <w:szCs w:val="4"/>
        </w:rPr>
      </w:pPr>
    </w:p>
    <w:tbl>
      <w:tblPr>
        <w:tblW w:w="0" w:type="auto"/>
        <w:jc w:val="left"/>
        <w:tblInd w:w="103" w:type="dxa"/>
        <w:tblLayout w:type="fixed"/>
        <w:tblCellMar>
          <w:top w:w="0" w:type="dxa"/>
          <w:left w:w="0" w:type="dxa"/>
          <w:bottom w:w="0" w:type="dxa"/>
          <w:right w:w="0" w:type="dxa"/>
        </w:tblCellMar>
        <w:tblLook w:val="01E0"/>
      </w:tblPr>
      <w:tblGrid>
        <w:gridCol w:w="2019"/>
        <w:gridCol w:w="1699"/>
        <w:gridCol w:w="1421"/>
        <w:gridCol w:w="1418"/>
        <w:gridCol w:w="1421"/>
        <w:gridCol w:w="994"/>
        <w:gridCol w:w="850"/>
        <w:gridCol w:w="1421"/>
        <w:gridCol w:w="850"/>
        <w:gridCol w:w="1411"/>
        <w:gridCol w:w="1567"/>
        <w:gridCol w:w="790"/>
      </w:tblGrid>
      <w:tr>
        <w:trPr>
          <w:trHeight w:val="336" w:hRule="exact"/>
        </w:trPr>
        <w:tc>
          <w:tcPr>
            <w:tcW w:w="2019"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552" w:right="0"/>
              <w:jc w:val="left"/>
              <w:rPr>
                <w:rFonts w:ascii="宋体" w:hAnsi="宋体" w:cs="宋体" w:eastAsia="宋体" w:hint="default"/>
                <w:sz w:val="18"/>
                <w:szCs w:val="18"/>
              </w:rPr>
            </w:pPr>
            <w:r>
              <w:rPr>
                <w:rFonts w:ascii="宋体" w:hAnsi="宋体" w:cs="宋体" w:eastAsia="宋体" w:hint="default"/>
                <w:sz w:val="18"/>
                <w:szCs w:val="18"/>
              </w:rPr>
              <w:t>被投资单位</w:t>
            </w:r>
            <w:r>
              <w:rPr>
                <w:rFonts w:ascii="宋体" w:hAnsi="宋体" w:cs="宋体" w:eastAsia="宋体" w:hint="default"/>
                <w:sz w:val="18"/>
                <w:szCs w:val="18"/>
              </w:rPr>
              <w:t> </w:t>
            </w:r>
          </w:p>
        </w:tc>
        <w:tc>
          <w:tcPr>
            <w:tcW w:w="169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333" w:lineRule="auto"/>
              <w:ind w:left="664" w:right="572"/>
              <w:jc w:val="center"/>
              <w:rPr>
                <w:rFonts w:ascii="宋体" w:hAnsi="宋体" w:cs="宋体" w:eastAsia="宋体" w:hint="default"/>
                <w:sz w:val="18"/>
                <w:szCs w:val="18"/>
              </w:rPr>
            </w:pPr>
            <w:r>
              <w:rPr>
                <w:rFonts w:ascii="宋体" w:hAnsi="宋体" w:cs="宋体" w:eastAsia="宋体" w:hint="default"/>
                <w:sz w:val="18"/>
                <w:szCs w:val="18"/>
              </w:rPr>
              <w:t>期初</w:t>
            </w:r>
            <w:r>
              <w:rPr>
                <w:rFonts w:ascii="宋体" w:hAnsi="宋体" w:cs="宋体" w:eastAsia="宋体" w:hint="default"/>
                <w:sz w:val="18"/>
                <w:szCs w:val="18"/>
              </w:rPr>
              <w:t> </w:t>
            </w:r>
            <w:r>
              <w:rPr>
                <w:rFonts w:ascii="宋体" w:hAnsi="宋体" w:cs="宋体" w:eastAsia="宋体" w:hint="default"/>
                <w:sz w:val="18"/>
                <w:szCs w:val="18"/>
              </w:rPr>
              <w:t>余额</w:t>
            </w:r>
            <w:r>
              <w:rPr>
                <w:rFonts w:ascii="宋体" w:hAnsi="宋体" w:cs="宋体" w:eastAsia="宋体" w:hint="default"/>
                <w:sz w:val="18"/>
                <w:szCs w:val="18"/>
              </w:rPr>
              <w:t> </w:t>
            </w:r>
          </w:p>
        </w:tc>
        <w:tc>
          <w:tcPr>
            <w:tcW w:w="9786"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87" w:right="0"/>
              <w:jc w:val="center"/>
              <w:rPr>
                <w:rFonts w:ascii="宋体" w:hAnsi="宋体" w:cs="宋体" w:eastAsia="宋体" w:hint="default"/>
                <w:sz w:val="18"/>
                <w:szCs w:val="18"/>
              </w:rPr>
            </w:pPr>
            <w:r>
              <w:rPr>
                <w:rFonts w:ascii="宋体" w:hAnsi="宋体" w:cs="宋体" w:eastAsia="宋体" w:hint="default"/>
                <w:sz w:val="18"/>
                <w:szCs w:val="18"/>
              </w:rPr>
              <w:t>本期增减变动</w:t>
            </w:r>
            <w:r>
              <w:rPr>
                <w:rFonts w:ascii="宋体" w:hAnsi="宋体" w:cs="宋体" w:eastAsia="宋体" w:hint="default"/>
                <w:sz w:val="18"/>
                <w:szCs w:val="18"/>
              </w:rPr>
              <w:t> </w:t>
            </w:r>
          </w:p>
        </w:tc>
        <w:tc>
          <w:tcPr>
            <w:tcW w:w="156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333" w:lineRule="auto"/>
              <w:ind w:left="597" w:right="509"/>
              <w:jc w:val="left"/>
              <w:rPr>
                <w:rFonts w:ascii="宋体" w:hAnsi="宋体" w:cs="宋体" w:eastAsia="宋体" w:hint="default"/>
                <w:sz w:val="18"/>
                <w:szCs w:val="18"/>
              </w:rPr>
            </w:pPr>
            <w:r>
              <w:rPr>
                <w:rFonts w:ascii="宋体" w:hAnsi="宋体" w:cs="宋体" w:eastAsia="宋体" w:hint="default"/>
                <w:sz w:val="18"/>
                <w:szCs w:val="18"/>
              </w:rPr>
              <w:t>期末</w:t>
            </w:r>
            <w:r>
              <w:rPr>
                <w:rFonts w:ascii="宋体" w:hAnsi="宋体" w:cs="宋体" w:eastAsia="宋体" w:hint="default"/>
                <w:sz w:val="18"/>
                <w:szCs w:val="18"/>
              </w:rPr>
              <w:t> </w:t>
            </w:r>
            <w:r>
              <w:rPr>
                <w:rFonts w:ascii="宋体" w:hAnsi="宋体" w:cs="宋体" w:eastAsia="宋体" w:hint="default"/>
                <w:sz w:val="18"/>
                <w:szCs w:val="18"/>
              </w:rPr>
              <w:t>余额</w:t>
            </w:r>
            <w:r>
              <w:rPr>
                <w:rFonts w:ascii="宋体" w:hAnsi="宋体" w:cs="宋体" w:eastAsia="宋体" w:hint="default"/>
                <w:sz w:val="18"/>
                <w:szCs w:val="18"/>
              </w:rPr>
              <w:t> </w:t>
            </w:r>
          </w:p>
        </w:tc>
        <w:tc>
          <w:tcPr>
            <w:tcW w:w="790" w:type="dxa"/>
            <w:vMerge w:val="restart"/>
            <w:tcBorders>
              <w:top w:val="single" w:sz="4" w:space="0" w:color="000000"/>
              <w:left w:val="single" w:sz="4" w:space="0" w:color="000000"/>
              <w:right w:val="single" w:sz="4" w:space="0" w:color="000000"/>
            </w:tcBorders>
          </w:tcPr>
          <w:p>
            <w:pPr>
              <w:pStyle w:val="TableParagraph"/>
              <w:spacing w:line="333" w:lineRule="auto" w:before="20"/>
              <w:ind w:left="120" w:right="119"/>
              <w:jc w:val="both"/>
              <w:rPr>
                <w:rFonts w:ascii="宋体" w:hAnsi="宋体" w:cs="宋体" w:eastAsia="宋体" w:hint="default"/>
                <w:sz w:val="18"/>
                <w:szCs w:val="18"/>
              </w:rPr>
            </w:pPr>
            <w:r>
              <w:rPr>
                <w:rFonts w:ascii="宋体" w:hAnsi="宋体" w:cs="宋体" w:eastAsia="宋体" w:hint="default"/>
                <w:sz w:val="18"/>
                <w:szCs w:val="18"/>
              </w:rPr>
              <w:t>减值准 备期末 余额</w:t>
            </w:r>
            <w:r>
              <w:rPr>
                <w:rFonts w:ascii="宋体" w:hAnsi="宋体" w:cs="宋体" w:eastAsia="宋体" w:hint="default"/>
                <w:sz w:val="18"/>
                <w:szCs w:val="18"/>
              </w:rPr>
              <w:t> </w:t>
            </w:r>
          </w:p>
        </w:tc>
      </w:tr>
      <w:tr>
        <w:trPr>
          <w:trHeight w:val="663" w:hRule="exact"/>
        </w:trPr>
        <w:tc>
          <w:tcPr>
            <w:tcW w:w="2019" w:type="dxa"/>
            <w:vMerge/>
            <w:tcBorders>
              <w:left w:val="single" w:sz="4" w:space="0" w:color="000000"/>
              <w:bottom w:val="single" w:sz="4" w:space="0" w:color="000000"/>
              <w:right w:val="single" w:sz="4" w:space="0" w:color="000000"/>
            </w:tcBorders>
          </w:tcPr>
          <w:p>
            <w:pPr/>
          </w:p>
        </w:tc>
        <w:tc>
          <w:tcPr>
            <w:tcW w:w="1699" w:type="dxa"/>
            <w:vMerge/>
            <w:tcBorders>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345" w:right="0"/>
              <w:jc w:val="left"/>
              <w:rPr>
                <w:rFonts w:ascii="宋体" w:hAnsi="宋体" w:cs="宋体" w:eastAsia="宋体" w:hint="default"/>
                <w:sz w:val="18"/>
                <w:szCs w:val="18"/>
              </w:rPr>
            </w:pPr>
            <w:r>
              <w:rPr>
                <w:rFonts w:ascii="宋体" w:hAnsi="宋体" w:cs="宋体" w:eastAsia="宋体" w:hint="default"/>
                <w:sz w:val="18"/>
                <w:szCs w:val="18"/>
              </w:rPr>
              <w:t>追加投资</w:t>
            </w:r>
            <w:r>
              <w:rPr>
                <w:rFonts w:ascii="宋体" w:hAnsi="宋体" w:cs="宋体" w:eastAsia="宋体" w:hint="default"/>
                <w:sz w:val="18"/>
                <w:szCs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减少投资</w:t>
            </w:r>
            <w:r>
              <w:rPr>
                <w:rFonts w:ascii="宋体" w:hAnsi="宋体" w:cs="宋体" w:eastAsia="宋体" w:hint="default"/>
                <w:sz w:val="18"/>
                <w:szCs w:val="18"/>
              </w:rPr>
              <w:t> </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333" w:lineRule="auto" w:before="15"/>
              <w:ind w:left="254" w:right="163" w:hanging="89"/>
              <w:jc w:val="left"/>
              <w:rPr>
                <w:rFonts w:ascii="宋体" w:hAnsi="宋体" w:cs="宋体" w:eastAsia="宋体" w:hint="default"/>
                <w:sz w:val="18"/>
                <w:szCs w:val="18"/>
              </w:rPr>
            </w:pPr>
            <w:r>
              <w:rPr>
                <w:rFonts w:ascii="宋体" w:hAnsi="宋体" w:cs="宋体" w:eastAsia="宋体" w:hint="default"/>
                <w:sz w:val="18"/>
                <w:szCs w:val="18"/>
              </w:rPr>
              <w:t>权益法下确认 的投资损益</w:t>
            </w:r>
            <w:r>
              <w:rPr>
                <w:rFonts w:ascii="宋体" w:hAnsi="宋体" w:cs="宋体" w:eastAsia="宋体" w:hint="default"/>
                <w:sz w:val="18"/>
                <w:szCs w:val="18"/>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333" w:lineRule="auto" w:before="15"/>
              <w:ind w:left="132" w:right="41"/>
              <w:jc w:val="left"/>
              <w:rPr>
                <w:rFonts w:ascii="宋体" w:hAnsi="宋体" w:cs="宋体" w:eastAsia="宋体" w:hint="default"/>
                <w:sz w:val="18"/>
                <w:szCs w:val="18"/>
              </w:rPr>
            </w:pPr>
            <w:r>
              <w:rPr>
                <w:rFonts w:ascii="宋体" w:hAnsi="宋体" w:cs="宋体" w:eastAsia="宋体" w:hint="default"/>
                <w:sz w:val="18"/>
                <w:szCs w:val="18"/>
              </w:rPr>
              <w:t>其他综合 收益调整</w:t>
            </w:r>
            <w:r>
              <w:rPr>
                <w:rFonts w:ascii="宋体" w:hAnsi="宋体" w:cs="宋体" w:eastAsia="宋体" w:hint="default"/>
                <w:sz w:val="18"/>
                <w:szCs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33" w:lineRule="auto" w:before="15"/>
              <w:ind w:left="148" w:right="59"/>
              <w:jc w:val="left"/>
              <w:rPr>
                <w:rFonts w:ascii="宋体" w:hAnsi="宋体" w:cs="宋体" w:eastAsia="宋体" w:hint="default"/>
                <w:sz w:val="18"/>
                <w:szCs w:val="18"/>
              </w:rPr>
            </w:pPr>
            <w:r>
              <w:rPr>
                <w:rFonts w:ascii="宋体" w:hAnsi="宋体" w:cs="宋体" w:eastAsia="宋体" w:hint="default"/>
                <w:sz w:val="18"/>
                <w:szCs w:val="18"/>
              </w:rPr>
              <w:t>其他权 益变动</w:t>
            </w:r>
            <w:r>
              <w:rPr>
                <w:rFonts w:ascii="宋体" w:hAnsi="宋体" w:cs="宋体" w:eastAsia="宋体" w:hint="default"/>
                <w:sz w:val="18"/>
                <w:szCs w:val="18"/>
              </w:rPr>
              <w:t> </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333" w:lineRule="auto" w:before="15"/>
              <w:ind w:left="254" w:right="163" w:hanging="89"/>
              <w:jc w:val="left"/>
              <w:rPr>
                <w:rFonts w:ascii="宋体" w:hAnsi="宋体" w:cs="宋体" w:eastAsia="宋体" w:hint="default"/>
                <w:sz w:val="18"/>
                <w:szCs w:val="18"/>
              </w:rPr>
            </w:pPr>
            <w:r>
              <w:rPr>
                <w:rFonts w:ascii="宋体" w:hAnsi="宋体" w:cs="宋体" w:eastAsia="宋体" w:hint="default"/>
                <w:sz w:val="18"/>
                <w:szCs w:val="18"/>
              </w:rPr>
              <w:t>宣告发放现金 股利或利润</w:t>
            </w:r>
            <w:r>
              <w:rPr>
                <w:rFonts w:ascii="宋体" w:hAnsi="宋体" w:cs="宋体" w:eastAsia="宋体" w:hint="default"/>
                <w:sz w:val="18"/>
                <w:szCs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33" w:lineRule="auto" w:before="15"/>
              <w:ind w:left="148" w:right="59"/>
              <w:jc w:val="left"/>
              <w:rPr>
                <w:rFonts w:ascii="宋体" w:hAnsi="宋体" w:cs="宋体" w:eastAsia="宋体" w:hint="default"/>
                <w:sz w:val="18"/>
                <w:szCs w:val="18"/>
              </w:rPr>
            </w:pPr>
            <w:r>
              <w:rPr>
                <w:rFonts w:ascii="宋体" w:hAnsi="宋体" w:cs="宋体" w:eastAsia="宋体" w:hint="default"/>
                <w:sz w:val="18"/>
                <w:szCs w:val="18"/>
              </w:rPr>
              <w:t>计提减 值准备</w:t>
            </w:r>
            <w:r>
              <w:rPr>
                <w:rFonts w:ascii="宋体" w:hAnsi="宋体" w:cs="宋体" w:eastAsia="宋体" w:hint="default"/>
                <w:sz w:val="18"/>
                <w:szCs w:val="18"/>
              </w:rPr>
              <w:t> </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520" w:right="0"/>
              <w:jc w:val="left"/>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z w:val="18"/>
                <w:szCs w:val="18"/>
              </w:rPr>
              <w:t> </w:t>
            </w:r>
          </w:p>
        </w:tc>
        <w:tc>
          <w:tcPr>
            <w:tcW w:w="1567"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r>
      <w:tr>
        <w:trPr>
          <w:trHeight w:val="336" w:hRule="exact"/>
        </w:trPr>
        <w:tc>
          <w:tcPr>
            <w:tcW w:w="15862" w:type="dxa"/>
            <w:gridSpan w:val="12"/>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3" w:right="0"/>
              <w:jc w:val="left"/>
              <w:rPr>
                <w:rFonts w:ascii="宋体" w:hAnsi="宋体" w:cs="宋体" w:eastAsia="宋体" w:hint="default"/>
                <w:sz w:val="18"/>
                <w:szCs w:val="18"/>
              </w:rPr>
            </w:pPr>
            <w:r>
              <w:rPr>
                <w:rFonts w:ascii="宋体" w:hAnsi="宋体" w:cs="宋体" w:eastAsia="宋体" w:hint="default"/>
                <w:sz w:val="18"/>
                <w:szCs w:val="18"/>
              </w:rPr>
              <w:t>一、合营企业</w:t>
            </w:r>
            <w:r>
              <w:rPr>
                <w:rFonts w:ascii="宋体" w:hAnsi="宋体" w:cs="宋体" w:eastAsia="宋体" w:hint="default"/>
                <w:sz w:val="18"/>
                <w:szCs w:val="18"/>
              </w:rPr>
              <w:t> </w:t>
            </w:r>
          </w:p>
        </w:tc>
      </w:tr>
      <w:tr>
        <w:trPr>
          <w:trHeight w:val="336" w:hRule="exact"/>
        </w:trPr>
        <w:tc>
          <w:tcPr>
            <w:tcW w:w="2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3" w:right="0"/>
              <w:jc w:val="left"/>
              <w:rPr>
                <w:rFonts w:ascii="宋体" w:hAnsi="宋体" w:cs="宋体" w:eastAsia="宋体" w:hint="default"/>
                <w:sz w:val="18"/>
                <w:szCs w:val="18"/>
              </w:rPr>
            </w:pPr>
            <w:r>
              <w:rPr>
                <w:rFonts w:ascii="宋体" w:hAnsi="宋体" w:cs="宋体" w:eastAsia="宋体" w:hint="default"/>
                <w:sz w:val="18"/>
                <w:szCs w:val="18"/>
              </w:rPr>
              <w:t>小计</w:t>
            </w:r>
            <w:r>
              <w:rPr>
                <w:rFonts w:ascii="宋体" w:hAnsi="宋体" w:cs="宋体" w:eastAsia="宋体" w:hint="default"/>
                <w:sz w:val="18"/>
                <w:szCs w:val="18"/>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1"/>
              <w:jc w:val="right"/>
              <w:rPr>
                <w:rFonts w:ascii="宋体" w:hAnsi="宋体" w:cs="宋体" w:eastAsia="宋体" w:hint="default"/>
                <w:sz w:val="18"/>
                <w:szCs w:val="18"/>
              </w:rPr>
            </w:pPr>
            <w:r>
              <w:rPr>
                <w:rFonts w:ascii="宋体"/>
                <w:sz w:val="18"/>
              </w:rPr>
              <w:t> </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1"/>
              <w:jc w:val="right"/>
              <w:rPr>
                <w:rFonts w:ascii="宋体" w:hAnsi="宋体" w:cs="宋体" w:eastAsia="宋体" w:hint="default"/>
                <w:sz w:val="18"/>
                <w:szCs w:val="18"/>
              </w:rPr>
            </w:pPr>
            <w:r>
              <w:rPr>
                <w:rFonts w:ascii="宋体"/>
                <w:sz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1"/>
              <w:jc w:val="right"/>
              <w:rPr>
                <w:rFonts w:ascii="宋体" w:hAnsi="宋体" w:cs="宋体" w:eastAsia="宋体" w:hint="default"/>
                <w:sz w:val="18"/>
                <w:szCs w:val="18"/>
              </w:rPr>
            </w:pPr>
            <w:r>
              <w:rPr>
                <w:rFonts w:ascii="宋体"/>
                <w:sz w:val="18"/>
              </w:rPr>
              <w:t> </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1"/>
              <w:jc w:val="right"/>
              <w:rPr>
                <w:rFonts w:ascii="宋体" w:hAnsi="宋体" w:cs="宋体" w:eastAsia="宋体" w:hint="default"/>
                <w:sz w:val="18"/>
                <w:szCs w:val="18"/>
              </w:rPr>
            </w:pPr>
            <w:r>
              <w:rPr>
                <w:rFonts w:ascii="宋体"/>
                <w:sz w:val="18"/>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1"/>
              <w:jc w:val="right"/>
              <w:rPr>
                <w:rFonts w:ascii="宋体" w:hAnsi="宋体" w:cs="宋体" w:eastAsia="宋体" w:hint="default"/>
                <w:sz w:val="18"/>
                <w:szCs w:val="18"/>
              </w:rPr>
            </w:pPr>
            <w:r>
              <w:rPr>
                <w:rFonts w:ascii="宋体"/>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1"/>
              <w:jc w:val="right"/>
              <w:rPr>
                <w:rFonts w:ascii="宋体" w:hAnsi="宋体" w:cs="宋体" w:eastAsia="宋体" w:hint="default"/>
                <w:sz w:val="18"/>
                <w:szCs w:val="18"/>
              </w:rPr>
            </w:pPr>
            <w:r>
              <w:rPr>
                <w:rFonts w:ascii="宋体"/>
                <w:sz w:val="18"/>
              </w:rPr>
              <w:t> </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1"/>
              <w:jc w:val="right"/>
              <w:rPr>
                <w:rFonts w:ascii="宋体" w:hAnsi="宋体" w:cs="宋体" w:eastAsia="宋体" w:hint="default"/>
                <w:sz w:val="18"/>
                <w:szCs w:val="18"/>
              </w:rPr>
            </w:pPr>
            <w:r>
              <w:rPr>
                <w:rFonts w:ascii="宋体"/>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1"/>
              <w:jc w:val="right"/>
              <w:rPr>
                <w:rFonts w:ascii="宋体" w:hAnsi="宋体" w:cs="宋体" w:eastAsia="宋体" w:hint="default"/>
                <w:sz w:val="18"/>
                <w:szCs w:val="18"/>
              </w:rPr>
            </w:pPr>
            <w:r>
              <w:rPr>
                <w:rFonts w:ascii="宋体"/>
                <w:sz w:val="18"/>
              </w:rPr>
              <w:t> </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1"/>
              <w:jc w:val="right"/>
              <w:rPr>
                <w:rFonts w:ascii="宋体" w:hAnsi="宋体" w:cs="宋体" w:eastAsia="宋体" w:hint="default"/>
                <w:sz w:val="18"/>
                <w:szCs w:val="18"/>
              </w:rPr>
            </w:pPr>
            <w:r>
              <w:rPr>
                <w:rFonts w:ascii="宋体"/>
                <w:sz w:val="18"/>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1"/>
              <w:jc w:val="right"/>
              <w:rPr>
                <w:rFonts w:ascii="宋体" w:hAnsi="宋体" w:cs="宋体" w:eastAsia="宋体" w:hint="default"/>
                <w:sz w:val="18"/>
                <w:szCs w:val="18"/>
              </w:rPr>
            </w:pPr>
            <w:r>
              <w:rPr>
                <w:rFonts w:ascii="宋体"/>
                <w:sz w:val="18"/>
              </w:rPr>
              <w:t> </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1"/>
              <w:jc w:val="right"/>
              <w:rPr>
                <w:rFonts w:ascii="宋体" w:hAnsi="宋体" w:cs="宋体" w:eastAsia="宋体" w:hint="default"/>
                <w:sz w:val="18"/>
                <w:szCs w:val="18"/>
              </w:rPr>
            </w:pPr>
            <w:r>
              <w:rPr>
                <w:rFonts w:ascii="宋体"/>
                <w:sz w:val="18"/>
              </w:rPr>
              <w:t> </w:t>
            </w:r>
          </w:p>
        </w:tc>
      </w:tr>
      <w:tr>
        <w:trPr>
          <w:trHeight w:val="336" w:hRule="exact"/>
        </w:trPr>
        <w:tc>
          <w:tcPr>
            <w:tcW w:w="15862" w:type="dxa"/>
            <w:gridSpan w:val="12"/>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3" w:right="0"/>
              <w:jc w:val="left"/>
              <w:rPr>
                <w:rFonts w:ascii="宋体" w:hAnsi="宋体" w:cs="宋体" w:eastAsia="宋体" w:hint="default"/>
                <w:sz w:val="18"/>
                <w:szCs w:val="18"/>
              </w:rPr>
            </w:pPr>
            <w:r>
              <w:rPr>
                <w:rFonts w:ascii="宋体" w:hAnsi="宋体" w:cs="宋体" w:eastAsia="宋体" w:hint="default"/>
                <w:sz w:val="18"/>
                <w:szCs w:val="18"/>
              </w:rPr>
              <w:t>二、联营企业</w:t>
            </w:r>
            <w:r>
              <w:rPr>
                <w:rFonts w:ascii="宋体" w:hAnsi="宋体" w:cs="宋体" w:eastAsia="宋体" w:hint="default"/>
                <w:sz w:val="18"/>
                <w:szCs w:val="18"/>
              </w:rPr>
              <w:t> </w:t>
            </w:r>
          </w:p>
        </w:tc>
      </w:tr>
      <w:tr>
        <w:trPr>
          <w:trHeight w:val="662" w:hRule="exact"/>
        </w:trPr>
        <w:tc>
          <w:tcPr>
            <w:tcW w:w="2019" w:type="dxa"/>
            <w:tcBorders>
              <w:top w:val="single" w:sz="4" w:space="0" w:color="000000"/>
              <w:left w:val="single" w:sz="4" w:space="0" w:color="000000"/>
              <w:bottom w:val="single" w:sz="4" w:space="0" w:color="000000"/>
              <w:right w:val="single" w:sz="4" w:space="0" w:color="000000"/>
            </w:tcBorders>
          </w:tcPr>
          <w:p>
            <w:pPr>
              <w:pStyle w:val="TableParagraph"/>
              <w:spacing w:line="333" w:lineRule="auto" w:before="15"/>
              <w:ind w:left="103" w:right="105"/>
              <w:jc w:val="left"/>
              <w:rPr>
                <w:rFonts w:ascii="宋体" w:hAnsi="宋体" w:cs="宋体" w:eastAsia="宋体" w:hint="default"/>
                <w:sz w:val="18"/>
                <w:szCs w:val="18"/>
              </w:rPr>
            </w:pPr>
            <w:r>
              <w:rPr>
                <w:rFonts w:ascii="宋体" w:hAnsi="宋体" w:cs="宋体" w:eastAsia="宋体" w:hint="default"/>
                <w:sz w:val="18"/>
                <w:szCs w:val="18"/>
              </w:rPr>
              <w:t>江苏华源仪器仪表有限 公司</w:t>
            </w:r>
            <w:r>
              <w:rPr>
                <w:rFonts w:ascii="宋体" w:hAnsi="宋体" w:cs="宋体" w:eastAsia="宋体" w:hint="default"/>
                <w:sz w:val="18"/>
                <w:szCs w:val="18"/>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57,897,748.04</w:t>
            </w:r>
            <w:r>
              <w:rPr>
                <w:rFonts w:ascii="宋体"/>
                <w:sz w:val="18"/>
              </w:rPr>
              <w:t> </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72,697,500.00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41,613,574.58</w:t>
            </w:r>
            <w:r>
              <w:rPr>
                <w:rFonts w:ascii="宋体"/>
                <w:sz w:val="18"/>
              </w:rPr>
              <w:t> </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-1,995,806.60</w:t>
            </w:r>
            <w:r>
              <w:rPr>
                <w:rFonts w:ascii="宋体"/>
                <w:sz w:val="18"/>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54,709,122.07</w:t>
            </w:r>
            <w:r>
              <w:rPr>
                <w:rFonts w:ascii="宋体"/>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9,282,868.22</w:t>
            </w:r>
            <w:r>
              <w:rPr>
                <w:rFonts w:ascii="宋体"/>
                <w:sz w:val="18"/>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41,559,613.01</w:t>
            </w:r>
            <w:r>
              <w:rPr>
                <w:rFonts w:ascii="宋体"/>
                <w:sz w:val="18"/>
              </w:rPr>
              <w:t> </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r>
      <w:tr>
        <w:trPr>
          <w:trHeight w:val="662" w:hRule="exact"/>
        </w:trPr>
        <w:tc>
          <w:tcPr>
            <w:tcW w:w="2019" w:type="dxa"/>
            <w:tcBorders>
              <w:top w:val="single" w:sz="4" w:space="0" w:color="000000"/>
              <w:left w:val="single" w:sz="4" w:space="0" w:color="000000"/>
              <w:bottom w:val="single" w:sz="4" w:space="0" w:color="000000"/>
              <w:right w:val="single" w:sz="4" w:space="0" w:color="000000"/>
            </w:tcBorders>
          </w:tcPr>
          <w:p>
            <w:pPr>
              <w:pStyle w:val="TableParagraph"/>
              <w:spacing w:line="333" w:lineRule="auto" w:before="15"/>
              <w:ind w:left="103" w:right="105"/>
              <w:jc w:val="left"/>
              <w:rPr>
                <w:rFonts w:ascii="宋体" w:hAnsi="宋体" w:cs="宋体" w:eastAsia="宋体" w:hint="default"/>
                <w:sz w:val="18"/>
                <w:szCs w:val="18"/>
              </w:rPr>
            </w:pPr>
            <w:r>
              <w:rPr>
                <w:rFonts w:ascii="宋体" w:hAnsi="宋体" w:cs="宋体" w:eastAsia="宋体" w:hint="default"/>
                <w:sz w:val="18"/>
                <w:szCs w:val="18"/>
              </w:rPr>
              <w:t>江苏华电华林新能源有 限公司</w:t>
            </w:r>
            <w:r>
              <w:rPr>
                <w:rFonts w:ascii="宋体" w:hAnsi="宋体" w:cs="宋体" w:eastAsia="宋体" w:hint="default"/>
                <w:sz w:val="18"/>
                <w:szCs w:val="18"/>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23,605,861.06</w:t>
            </w:r>
            <w:r>
              <w:rPr>
                <w:rFonts w:ascii="宋体"/>
                <w:sz w:val="18"/>
              </w:rPr>
              <w:t> </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1,318,358.49</w:t>
            </w:r>
            <w:r>
              <w:rPr>
                <w:rFonts w:ascii="宋体"/>
                <w:sz w:val="18"/>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1,500,000.00</w:t>
            </w:r>
            <w:r>
              <w:rPr>
                <w:rFonts w:ascii="宋体"/>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23,424,219.55</w:t>
            </w:r>
            <w:r>
              <w:rPr>
                <w:rFonts w:ascii="宋体"/>
                <w:sz w:val="18"/>
              </w:rPr>
              <w:t> </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r>
      <w:tr>
        <w:trPr>
          <w:trHeight w:val="663" w:hRule="exact"/>
        </w:trPr>
        <w:tc>
          <w:tcPr>
            <w:tcW w:w="2019" w:type="dxa"/>
            <w:tcBorders>
              <w:top w:val="single" w:sz="4" w:space="0" w:color="000000"/>
              <w:left w:val="single" w:sz="4" w:space="0" w:color="000000"/>
              <w:bottom w:val="single" w:sz="4" w:space="0" w:color="000000"/>
              <w:right w:val="single" w:sz="4" w:space="0" w:color="000000"/>
            </w:tcBorders>
          </w:tcPr>
          <w:p>
            <w:pPr>
              <w:pStyle w:val="TableParagraph"/>
              <w:spacing w:line="333" w:lineRule="auto" w:before="15"/>
              <w:ind w:left="103" w:right="105"/>
              <w:jc w:val="left"/>
              <w:rPr>
                <w:rFonts w:ascii="宋体" w:hAnsi="宋体" w:cs="宋体" w:eastAsia="宋体" w:hint="default"/>
                <w:sz w:val="18"/>
                <w:szCs w:val="18"/>
              </w:rPr>
            </w:pPr>
            <w:r>
              <w:rPr>
                <w:rFonts w:ascii="宋体" w:hAnsi="宋体" w:cs="宋体" w:eastAsia="宋体" w:hint="default"/>
                <w:sz w:val="18"/>
                <w:szCs w:val="18"/>
              </w:rPr>
              <w:t>法凯涞玛冷暖设备（杭 州）有限公司</w:t>
            </w:r>
            <w:r>
              <w:rPr>
                <w:rFonts w:ascii="宋体" w:hAnsi="宋体" w:cs="宋体" w:eastAsia="宋体" w:hint="default"/>
                <w:sz w:val="18"/>
                <w:szCs w:val="18"/>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3,024,829.44</w:t>
            </w:r>
            <w:r>
              <w:rPr>
                <w:rFonts w:ascii="宋体"/>
                <w:sz w:val="18"/>
              </w:rPr>
              <w:t> </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28,199.90</w:t>
            </w:r>
            <w:r>
              <w:rPr>
                <w:rFonts w:ascii="宋体"/>
                <w:sz w:val="18"/>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3,053,029.34</w:t>
            </w:r>
            <w:r>
              <w:rPr>
                <w:rFonts w:ascii="宋体"/>
                <w:sz w:val="18"/>
              </w:rPr>
              <w:t> </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r>
      <w:tr>
        <w:trPr>
          <w:trHeight w:val="660" w:hRule="exact"/>
        </w:trPr>
        <w:tc>
          <w:tcPr>
            <w:tcW w:w="2019" w:type="dxa"/>
            <w:tcBorders>
              <w:top w:val="single" w:sz="4" w:space="0" w:color="000000"/>
              <w:left w:val="single" w:sz="4" w:space="0" w:color="000000"/>
              <w:bottom w:val="single" w:sz="4" w:space="0" w:color="000000"/>
              <w:right w:val="single" w:sz="4" w:space="0" w:color="000000"/>
            </w:tcBorders>
          </w:tcPr>
          <w:p>
            <w:pPr>
              <w:pStyle w:val="TableParagraph"/>
              <w:spacing w:line="333" w:lineRule="auto" w:before="15"/>
              <w:ind w:left="103" w:right="105"/>
              <w:jc w:val="left"/>
              <w:rPr>
                <w:rFonts w:ascii="宋体" w:hAnsi="宋体" w:cs="宋体" w:eastAsia="宋体" w:hint="default"/>
                <w:sz w:val="18"/>
                <w:szCs w:val="18"/>
              </w:rPr>
            </w:pPr>
            <w:r>
              <w:rPr>
                <w:rFonts w:ascii="宋体" w:hAnsi="宋体" w:cs="宋体" w:eastAsia="宋体" w:hint="default"/>
                <w:sz w:val="18"/>
                <w:szCs w:val="18"/>
              </w:rPr>
              <w:t>南京东博智慧能源研究 院有限公司</w:t>
            </w:r>
            <w:r>
              <w:rPr>
                <w:rFonts w:ascii="宋体" w:hAnsi="宋体" w:cs="宋体" w:eastAsia="宋体" w:hint="default"/>
                <w:sz w:val="18"/>
                <w:szCs w:val="18"/>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1,500,000.00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-183,363.03</w:t>
            </w:r>
            <w:r>
              <w:rPr>
                <w:rFonts w:ascii="宋体"/>
                <w:sz w:val="18"/>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1,316,636.97</w:t>
            </w:r>
            <w:r>
              <w:rPr>
                <w:rFonts w:ascii="宋体"/>
                <w:sz w:val="18"/>
              </w:rPr>
              <w:t> </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r>
      <w:tr>
        <w:trPr>
          <w:trHeight w:val="336" w:hRule="exact"/>
        </w:trPr>
        <w:tc>
          <w:tcPr>
            <w:tcW w:w="2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sz w:val="18"/>
              </w:rPr>
              <w:t>PTINTISMARTTEKNOLOGI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1"/>
              <w:jc w:val="right"/>
              <w:rPr>
                <w:rFonts w:ascii="宋体" w:hAnsi="宋体" w:cs="宋体" w:eastAsia="宋体" w:hint="default"/>
                <w:sz w:val="18"/>
                <w:szCs w:val="18"/>
              </w:rPr>
            </w:pPr>
            <w:r>
              <w:rPr>
                <w:rFonts w:ascii="宋体"/>
                <w:sz w:val="18"/>
              </w:rPr>
              <w:t> </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1"/>
              <w:jc w:val="right"/>
              <w:rPr>
                <w:rFonts w:ascii="宋体" w:hAnsi="宋体" w:cs="宋体" w:eastAsia="宋体" w:hint="default"/>
                <w:sz w:val="18"/>
                <w:szCs w:val="18"/>
              </w:rPr>
            </w:pPr>
            <w:r>
              <w:rPr>
                <w:rFonts w:ascii="宋体"/>
                <w:spacing w:val="-1"/>
                <w:sz w:val="18"/>
              </w:rPr>
              <w:t>2,577,111.25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1"/>
              <w:jc w:val="right"/>
              <w:rPr>
                <w:rFonts w:ascii="宋体" w:hAnsi="宋体" w:cs="宋体" w:eastAsia="宋体" w:hint="default"/>
                <w:sz w:val="18"/>
                <w:szCs w:val="18"/>
              </w:rPr>
            </w:pPr>
            <w:r>
              <w:rPr>
                <w:rFonts w:ascii="宋体"/>
                <w:sz w:val="18"/>
              </w:rPr>
              <w:t> </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1"/>
              <w:jc w:val="right"/>
              <w:rPr>
                <w:rFonts w:ascii="宋体" w:hAnsi="宋体" w:cs="宋体" w:eastAsia="宋体" w:hint="default"/>
                <w:sz w:val="18"/>
                <w:szCs w:val="18"/>
              </w:rPr>
            </w:pPr>
            <w:r>
              <w:rPr>
                <w:rFonts w:ascii="宋体"/>
                <w:spacing w:val="-1"/>
                <w:sz w:val="18"/>
              </w:rPr>
              <w:t>-847,856.58</w:t>
            </w:r>
            <w:r>
              <w:rPr>
                <w:rFonts w:ascii="宋体"/>
                <w:sz w:val="18"/>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1"/>
              <w:jc w:val="right"/>
              <w:rPr>
                <w:rFonts w:ascii="宋体" w:hAnsi="宋体" w:cs="宋体" w:eastAsia="宋体" w:hint="default"/>
                <w:sz w:val="18"/>
                <w:szCs w:val="18"/>
              </w:rPr>
            </w:pPr>
            <w:r>
              <w:rPr>
                <w:rFonts w:ascii="宋体"/>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1"/>
              <w:jc w:val="right"/>
              <w:rPr>
                <w:rFonts w:ascii="宋体" w:hAnsi="宋体" w:cs="宋体" w:eastAsia="宋体" w:hint="default"/>
                <w:sz w:val="18"/>
                <w:szCs w:val="18"/>
              </w:rPr>
            </w:pPr>
            <w:r>
              <w:rPr>
                <w:rFonts w:ascii="宋体"/>
                <w:sz w:val="18"/>
              </w:rPr>
              <w:t> </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1"/>
              <w:jc w:val="right"/>
              <w:rPr>
                <w:rFonts w:ascii="宋体" w:hAnsi="宋体" w:cs="宋体" w:eastAsia="宋体" w:hint="default"/>
                <w:sz w:val="18"/>
                <w:szCs w:val="18"/>
              </w:rPr>
            </w:pPr>
            <w:r>
              <w:rPr>
                <w:rFonts w:ascii="宋体"/>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1"/>
              <w:jc w:val="right"/>
              <w:rPr>
                <w:rFonts w:ascii="宋体" w:hAnsi="宋体" w:cs="宋体" w:eastAsia="宋体" w:hint="default"/>
                <w:sz w:val="18"/>
                <w:szCs w:val="18"/>
              </w:rPr>
            </w:pPr>
            <w:r>
              <w:rPr>
                <w:rFonts w:ascii="宋体"/>
                <w:sz w:val="18"/>
              </w:rPr>
              <w:t> </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1"/>
              <w:jc w:val="right"/>
              <w:rPr>
                <w:rFonts w:ascii="宋体" w:hAnsi="宋体" w:cs="宋体" w:eastAsia="宋体" w:hint="default"/>
                <w:sz w:val="18"/>
                <w:szCs w:val="18"/>
              </w:rPr>
            </w:pPr>
            <w:r>
              <w:rPr>
                <w:rFonts w:ascii="宋体"/>
                <w:sz w:val="18"/>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1"/>
              <w:jc w:val="right"/>
              <w:rPr>
                <w:rFonts w:ascii="宋体" w:hAnsi="宋体" w:cs="宋体" w:eastAsia="宋体" w:hint="default"/>
                <w:sz w:val="18"/>
                <w:szCs w:val="18"/>
              </w:rPr>
            </w:pPr>
            <w:r>
              <w:rPr>
                <w:rFonts w:ascii="宋体"/>
                <w:spacing w:val="-1"/>
                <w:sz w:val="18"/>
              </w:rPr>
              <w:t>1,729,254.67</w:t>
            </w:r>
            <w:r>
              <w:rPr>
                <w:rFonts w:ascii="宋体"/>
                <w:sz w:val="18"/>
              </w:rPr>
              <w:t> </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1"/>
              <w:jc w:val="right"/>
              <w:rPr>
                <w:rFonts w:ascii="宋体" w:hAnsi="宋体" w:cs="宋体" w:eastAsia="宋体" w:hint="default"/>
                <w:sz w:val="18"/>
                <w:szCs w:val="18"/>
              </w:rPr>
            </w:pPr>
            <w:r>
              <w:rPr>
                <w:rFonts w:ascii="宋体"/>
                <w:sz w:val="18"/>
              </w:rPr>
              <w:t> </w:t>
            </w:r>
          </w:p>
        </w:tc>
      </w:tr>
      <w:tr>
        <w:trPr>
          <w:trHeight w:val="662" w:hRule="exact"/>
        </w:trPr>
        <w:tc>
          <w:tcPr>
            <w:tcW w:w="2019" w:type="dxa"/>
            <w:tcBorders>
              <w:top w:val="single" w:sz="4" w:space="0" w:color="000000"/>
              <w:left w:val="single" w:sz="4" w:space="0" w:color="000000"/>
              <w:bottom w:val="single" w:sz="4" w:space="0" w:color="000000"/>
              <w:right w:val="single" w:sz="4" w:space="0" w:color="000000"/>
            </w:tcBorders>
          </w:tcPr>
          <w:p>
            <w:pPr>
              <w:pStyle w:val="TableParagraph"/>
              <w:spacing w:line="331" w:lineRule="auto" w:before="17"/>
              <w:ind w:left="103" w:right="105"/>
              <w:jc w:val="left"/>
              <w:rPr>
                <w:rFonts w:ascii="宋体" w:hAnsi="宋体" w:cs="宋体" w:eastAsia="宋体" w:hint="default"/>
                <w:sz w:val="18"/>
                <w:szCs w:val="18"/>
              </w:rPr>
            </w:pPr>
            <w:r>
              <w:rPr>
                <w:rFonts w:ascii="宋体" w:hAnsi="宋体" w:cs="宋体" w:eastAsia="宋体" w:hint="default"/>
                <w:sz w:val="18"/>
                <w:szCs w:val="18"/>
              </w:rPr>
              <w:t>无锡感知金服实业有限 公司</w:t>
            </w:r>
            <w:r>
              <w:rPr>
                <w:rFonts w:ascii="宋体" w:hAnsi="宋体" w:cs="宋体" w:eastAsia="宋体" w:hint="default"/>
                <w:sz w:val="18"/>
                <w:szCs w:val="18"/>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24,010,956.21</w:t>
            </w:r>
            <w:r>
              <w:rPr>
                <w:rFonts w:ascii="宋体"/>
                <w:sz w:val="18"/>
              </w:rPr>
              <w:t> </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-556,845.26</w:t>
            </w:r>
            <w:r>
              <w:rPr>
                <w:rFonts w:ascii="宋体"/>
                <w:sz w:val="18"/>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23,454,110.95</w:t>
            </w:r>
            <w:r>
              <w:rPr>
                <w:rFonts w:ascii="宋体"/>
                <w:sz w:val="18"/>
              </w:rPr>
              <w:t> </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r>
      <w:tr>
        <w:trPr>
          <w:trHeight w:val="336" w:hRule="exact"/>
        </w:trPr>
        <w:tc>
          <w:tcPr>
            <w:tcW w:w="2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3" w:right="0"/>
              <w:jc w:val="left"/>
              <w:rPr>
                <w:rFonts w:ascii="宋体" w:hAnsi="宋体" w:cs="宋体" w:eastAsia="宋体" w:hint="default"/>
                <w:sz w:val="18"/>
                <w:szCs w:val="18"/>
              </w:rPr>
            </w:pPr>
            <w:r>
              <w:rPr>
                <w:rFonts w:ascii="宋体" w:hAnsi="宋体" w:cs="宋体" w:eastAsia="宋体" w:hint="default"/>
                <w:sz w:val="18"/>
                <w:szCs w:val="18"/>
              </w:rPr>
              <w:t>小计</w:t>
            </w:r>
            <w:r>
              <w:rPr>
                <w:rFonts w:ascii="宋体" w:hAnsi="宋体" w:cs="宋体" w:eastAsia="宋体" w:hint="default"/>
                <w:sz w:val="18"/>
                <w:szCs w:val="18"/>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1"/>
              <w:jc w:val="right"/>
              <w:rPr>
                <w:rFonts w:ascii="宋体" w:hAnsi="宋体" w:cs="宋体" w:eastAsia="宋体" w:hint="default"/>
                <w:sz w:val="18"/>
                <w:szCs w:val="18"/>
              </w:rPr>
            </w:pPr>
            <w:r>
              <w:rPr>
                <w:rFonts w:ascii="宋体"/>
                <w:spacing w:val="-1"/>
                <w:sz w:val="18"/>
              </w:rPr>
              <w:t>108,539,394.75 </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1"/>
              <w:jc w:val="right"/>
              <w:rPr>
                <w:rFonts w:ascii="宋体" w:hAnsi="宋体" w:cs="宋体" w:eastAsia="宋体" w:hint="default"/>
                <w:sz w:val="18"/>
                <w:szCs w:val="18"/>
              </w:rPr>
            </w:pPr>
            <w:r>
              <w:rPr>
                <w:rFonts w:ascii="宋体"/>
                <w:spacing w:val="-1"/>
                <w:sz w:val="18"/>
              </w:rPr>
              <w:t>76,774,611.25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1"/>
              <w:jc w:val="right"/>
              <w:rPr>
                <w:rFonts w:ascii="宋体" w:hAnsi="宋体" w:cs="宋体" w:eastAsia="宋体" w:hint="default"/>
                <w:sz w:val="18"/>
                <w:szCs w:val="18"/>
              </w:rPr>
            </w:pPr>
            <w:r>
              <w:rPr>
                <w:rFonts w:ascii="宋体"/>
                <w:spacing w:val="-1"/>
                <w:sz w:val="18"/>
              </w:rPr>
              <w:t>41,613,574.58</w:t>
            </w:r>
            <w:r>
              <w:rPr>
                <w:rFonts w:ascii="宋体"/>
                <w:sz w:val="18"/>
              </w:rPr>
              <w:t> </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1"/>
              <w:jc w:val="right"/>
              <w:rPr>
                <w:rFonts w:ascii="宋体" w:hAnsi="宋体" w:cs="宋体" w:eastAsia="宋体" w:hint="default"/>
                <w:sz w:val="18"/>
                <w:szCs w:val="18"/>
              </w:rPr>
            </w:pPr>
            <w:r>
              <w:rPr>
                <w:rFonts w:ascii="宋体"/>
                <w:spacing w:val="-1"/>
                <w:sz w:val="18"/>
              </w:rPr>
              <w:t>-2,237,313.08</w:t>
            </w:r>
            <w:r>
              <w:rPr>
                <w:rFonts w:ascii="宋体"/>
                <w:sz w:val="18"/>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1"/>
              <w:jc w:val="right"/>
              <w:rPr>
                <w:rFonts w:ascii="宋体" w:hAnsi="宋体" w:cs="宋体" w:eastAsia="宋体" w:hint="default"/>
                <w:sz w:val="18"/>
                <w:szCs w:val="18"/>
              </w:rPr>
            </w:pPr>
            <w:r>
              <w:rPr>
                <w:rFonts w:ascii="宋体"/>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1"/>
              <w:jc w:val="right"/>
              <w:rPr>
                <w:rFonts w:ascii="宋体" w:hAnsi="宋体" w:cs="宋体" w:eastAsia="宋体" w:hint="default"/>
                <w:sz w:val="18"/>
                <w:szCs w:val="18"/>
              </w:rPr>
            </w:pPr>
            <w:r>
              <w:rPr>
                <w:rFonts w:ascii="宋体"/>
                <w:sz w:val="18"/>
              </w:rPr>
              <w:t> </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1"/>
              <w:jc w:val="right"/>
              <w:rPr>
                <w:rFonts w:ascii="宋体" w:hAnsi="宋体" w:cs="宋体" w:eastAsia="宋体" w:hint="default"/>
                <w:sz w:val="18"/>
                <w:szCs w:val="18"/>
              </w:rPr>
            </w:pPr>
            <w:r>
              <w:rPr>
                <w:rFonts w:ascii="宋体"/>
                <w:spacing w:val="-1"/>
                <w:sz w:val="18"/>
              </w:rPr>
              <w:t>56,209,122.07</w:t>
            </w:r>
            <w:r>
              <w:rPr>
                <w:rFonts w:ascii="宋体"/>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1"/>
              <w:jc w:val="right"/>
              <w:rPr>
                <w:rFonts w:ascii="宋体" w:hAnsi="宋体" w:cs="宋体" w:eastAsia="宋体" w:hint="default"/>
                <w:sz w:val="18"/>
                <w:szCs w:val="18"/>
              </w:rPr>
            </w:pPr>
            <w:r>
              <w:rPr>
                <w:rFonts w:ascii="宋体"/>
                <w:sz w:val="18"/>
              </w:rPr>
              <w:t> </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1"/>
              <w:jc w:val="right"/>
              <w:rPr>
                <w:rFonts w:ascii="宋体" w:hAnsi="宋体" w:cs="宋体" w:eastAsia="宋体" w:hint="default"/>
                <w:sz w:val="18"/>
                <w:szCs w:val="18"/>
              </w:rPr>
            </w:pPr>
            <w:r>
              <w:rPr>
                <w:rFonts w:ascii="宋体"/>
                <w:spacing w:val="-1"/>
                <w:sz w:val="18"/>
              </w:rPr>
              <w:t>9,282,868.22</w:t>
            </w:r>
            <w:r>
              <w:rPr>
                <w:rFonts w:ascii="宋体"/>
                <w:sz w:val="18"/>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1"/>
              <w:jc w:val="right"/>
              <w:rPr>
                <w:rFonts w:ascii="宋体" w:hAnsi="宋体" w:cs="宋体" w:eastAsia="宋体" w:hint="default"/>
                <w:sz w:val="18"/>
                <w:szCs w:val="18"/>
              </w:rPr>
            </w:pPr>
            <w:r>
              <w:rPr>
                <w:rFonts w:ascii="宋体"/>
                <w:spacing w:val="-1"/>
                <w:sz w:val="18"/>
              </w:rPr>
              <w:t>94,536,864.49</w:t>
            </w:r>
            <w:r>
              <w:rPr>
                <w:rFonts w:ascii="宋体"/>
                <w:sz w:val="18"/>
              </w:rPr>
              <w:t> </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1"/>
              <w:jc w:val="right"/>
              <w:rPr>
                <w:rFonts w:ascii="宋体" w:hAnsi="宋体" w:cs="宋体" w:eastAsia="宋体" w:hint="default"/>
                <w:sz w:val="18"/>
                <w:szCs w:val="18"/>
              </w:rPr>
            </w:pPr>
            <w:r>
              <w:rPr>
                <w:rFonts w:ascii="宋体"/>
                <w:sz w:val="18"/>
              </w:rPr>
              <w:t> </w:t>
            </w:r>
          </w:p>
        </w:tc>
      </w:tr>
      <w:tr>
        <w:trPr>
          <w:trHeight w:val="337" w:hRule="exact"/>
        </w:trPr>
        <w:tc>
          <w:tcPr>
            <w:tcW w:w="2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87" w:right="0"/>
              <w:jc w:val="center"/>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1"/>
              <w:jc w:val="right"/>
              <w:rPr>
                <w:rFonts w:ascii="宋体" w:hAnsi="宋体" w:cs="宋体" w:eastAsia="宋体" w:hint="default"/>
                <w:sz w:val="18"/>
                <w:szCs w:val="18"/>
              </w:rPr>
            </w:pPr>
            <w:r>
              <w:rPr>
                <w:rFonts w:ascii="宋体"/>
                <w:spacing w:val="-1"/>
                <w:sz w:val="18"/>
              </w:rPr>
              <w:t>108,539,394.75 </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1"/>
              <w:jc w:val="right"/>
              <w:rPr>
                <w:rFonts w:ascii="宋体" w:hAnsi="宋体" w:cs="宋体" w:eastAsia="宋体" w:hint="default"/>
                <w:sz w:val="18"/>
                <w:szCs w:val="18"/>
              </w:rPr>
            </w:pPr>
            <w:r>
              <w:rPr>
                <w:rFonts w:ascii="宋体"/>
                <w:spacing w:val="-1"/>
                <w:sz w:val="18"/>
              </w:rPr>
              <w:t>76,774,611.25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1"/>
              <w:jc w:val="right"/>
              <w:rPr>
                <w:rFonts w:ascii="宋体" w:hAnsi="宋体" w:cs="宋体" w:eastAsia="宋体" w:hint="default"/>
                <w:sz w:val="18"/>
                <w:szCs w:val="18"/>
              </w:rPr>
            </w:pPr>
            <w:r>
              <w:rPr>
                <w:rFonts w:ascii="宋体"/>
                <w:spacing w:val="-1"/>
                <w:sz w:val="18"/>
              </w:rPr>
              <w:t>41,613,574.58</w:t>
            </w:r>
            <w:r>
              <w:rPr>
                <w:rFonts w:ascii="宋体"/>
                <w:sz w:val="18"/>
              </w:rPr>
              <w:t> </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1"/>
              <w:jc w:val="right"/>
              <w:rPr>
                <w:rFonts w:ascii="宋体" w:hAnsi="宋体" w:cs="宋体" w:eastAsia="宋体" w:hint="default"/>
                <w:sz w:val="18"/>
                <w:szCs w:val="18"/>
              </w:rPr>
            </w:pPr>
            <w:r>
              <w:rPr>
                <w:rFonts w:ascii="宋体"/>
                <w:spacing w:val="-1"/>
                <w:sz w:val="18"/>
              </w:rPr>
              <w:t>-2,237,313.08</w:t>
            </w:r>
            <w:r>
              <w:rPr>
                <w:rFonts w:ascii="宋体"/>
                <w:sz w:val="18"/>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1"/>
              <w:jc w:val="right"/>
              <w:rPr>
                <w:rFonts w:ascii="宋体" w:hAnsi="宋体" w:cs="宋体" w:eastAsia="宋体" w:hint="default"/>
                <w:sz w:val="18"/>
                <w:szCs w:val="18"/>
              </w:rPr>
            </w:pPr>
            <w:r>
              <w:rPr>
                <w:rFonts w:ascii="宋体"/>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1"/>
              <w:jc w:val="right"/>
              <w:rPr>
                <w:rFonts w:ascii="宋体" w:hAnsi="宋体" w:cs="宋体" w:eastAsia="宋体" w:hint="default"/>
                <w:sz w:val="18"/>
                <w:szCs w:val="18"/>
              </w:rPr>
            </w:pPr>
            <w:r>
              <w:rPr>
                <w:rFonts w:ascii="宋体"/>
                <w:sz w:val="18"/>
              </w:rPr>
              <w:t> </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1"/>
              <w:jc w:val="right"/>
              <w:rPr>
                <w:rFonts w:ascii="宋体" w:hAnsi="宋体" w:cs="宋体" w:eastAsia="宋体" w:hint="default"/>
                <w:sz w:val="18"/>
                <w:szCs w:val="18"/>
              </w:rPr>
            </w:pPr>
            <w:r>
              <w:rPr>
                <w:rFonts w:ascii="宋体"/>
                <w:spacing w:val="-1"/>
                <w:sz w:val="18"/>
              </w:rPr>
              <w:t>56,209,122.07</w:t>
            </w:r>
            <w:r>
              <w:rPr>
                <w:rFonts w:ascii="宋体"/>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1"/>
              <w:jc w:val="right"/>
              <w:rPr>
                <w:rFonts w:ascii="宋体" w:hAnsi="宋体" w:cs="宋体" w:eastAsia="宋体" w:hint="default"/>
                <w:sz w:val="18"/>
                <w:szCs w:val="18"/>
              </w:rPr>
            </w:pPr>
            <w:r>
              <w:rPr>
                <w:rFonts w:ascii="宋体"/>
                <w:sz w:val="18"/>
              </w:rPr>
              <w:t> </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1"/>
              <w:jc w:val="right"/>
              <w:rPr>
                <w:rFonts w:ascii="宋体" w:hAnsi="宋体" w:cs="宋体" w:eastAsia="宋体" w:hint="default"/>
                <w:sz w:val="18"/>
                <w:szCs w:val="18"/>
              </w:rPr>
            </w:pPr>
            <w:r>
              <w:rPr>
                <w:rFonts w:ascii="宋体"/>
                <w:spacing w:val="-1"/>
                <w:sz w:val="18"/>
              </w:rPr>
              <w:t>9,282,868.22</w:t>
            </w:r>
            <w:r>
              <w:rPr>
                <w:rFonts w:ascii="宋体"/>
                <w:sz w:val="18"/>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1"/>
              <w:jc w:val="right"/>
              <w:rPr>
                <w:rFonts w:ascii="宋体" w:hAnsi="宋体" w:cs="宋体" w:eastAsia="宋体" w:hint="default"/>
                <w:sz w:val="18"/>
                <w:szCs w:val="18"/>
              </w:rPr>
            </w:pPr>
            <w:r>
              <w:rPr>
                <w:rFonts w:ascii="宋体"/>
                <w:spacing w:val="-1"/>
                <w:sz w:val="18"/>
              </w:rPr>
              <w:t>94,536,864.49</w:t>
            </w:r>
            <w:r>
              <w:rPr>
                <w:rFonts w:ascii="宋体"/>
                <w:sz w:val="18"/>
              </w:rPr>
              <w:t> </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1"/>
              <w:jc w:val="right"/>
              <w:rPr>
                <w:rFonts w:ascii="宋体" w:hAnsi="宋体" w:cs="宋体" w:eastAsia="宋体" w:hint="default"/>
                <w:sz w:val="18"/>
                <w:szCs w:val="18"/>
              </w:rPr>
            </w:pPr>
            <w:r>
              <w:rPr>
                <w:rFonts w:ascii="宋体"/>
                <w:sz w:val="18"/>
              </w:rPr>
              <w:t> </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7"/>
          <w:szCs w:val="27"/>
        </w:rPr>
      </w:pPr>
    </w:p>
    <w:p>
      <w:pPr>
        <w:spacing w:before="63"/>
        <w:ind w:left="7530" w:right="7834" w:firstLine="0"/>
        <w:jc w:val="center"/>
        <w:rPr>
          <w:rFonts w:ascii="Calibri" w:hAnsi="Calibri" w:cs="Calibri" w:eastAsia="Calibri" w:hint="default"/>
          <w:sz w:val="18"/>
          <w:szCs w:val="18"/>
        </w:rPr>
      </w:pPr>
      <w:r>
        <w:rPr>
          <w:rFonts w:ascii="Calibri"/>
          <w:b/>
          <w:sz w:val="18"/>
        </w:rPr>
        <w:t>147 </w:t>
      </w:r>
      <w:r>
        <w:rPr>
          <w:rFonts w:ascii="Calibri"/>
          <w:sz w:val="18"/>
        </w:rPr>
        <w:t>/</w:t>
      </w:r>
      <w:r>
        <w:rPr>
          <w:rFonts w:ascii="Calibri"/>
          <w:spacing w:val="-5"/>
          <w:sz w:val="18"/>
        </w:rPr>
        <w:t> </w:t>
      </w:r>
      <w:r>
        <w:rPr>
          <w:rFonts w:ascii="Calibri"/>
          <w:b/>
          <w:sz w:val="18"/>
        </w:rPr>
        <w:t>216</w:t>
      </w:r>
      <w:r>
        <w:rPr>
          <w:rFonts w:ascii="Calibri"/>
          <w:sz w:val="18"/>
        </w:rPr>
      </w:r>
    </w:p>
    <w:p>
      <w:pPr>
        <w:spacing w:after="0"/>
        <w:jc w:val="center"/>
        <w:rPr>
          <w:rFonts w:ascii="Calibri" w:hAnsi="Calibri" w:cs="Calibri" w:eastAsia="Calibri" w:hint="default"/>
          <w:sz w:val="18"/>
          <w:szCs w:val="18"/>
        </w:rPr>
        <w:sectPr>
          <w:type w:val="continuous"/>
          <w:pgSz w:w="16840" w:h="11910" w:orient="landscape"/>
          <w:pgMar w:top="1580" w:bottom="280" w:left="480" w:right="260"/>
        </w:sectPr>
      </w:pPr>
    </w:p>
    <w:p>
      <w:pPr>
        <w:spacing w:line="240" w:lineRule="auto" w:before="4"/>
        <w:rPr>
          <w:rFonts w:ascii="Calibri" w:hAnsi="Calibri" w:cs="Calibri" w:eastAsia="Calibri" w:hint="default"/>
          <w:b/>
          <w:bCs/>
          <w:sz w:val="7"/>
          <w:szCs w:val="7"/>
        </w:rPr>
      </w:pPr>
    </w:p>
    <w:p>
      <w:pPr>
        <w:spacing w:line="393" w:lineRule="exact"/>
        <w:ind w:left="118" w:right="0" w:firstLine="0"/>
        <w:rPr>
          <w:rFonts w:ascii="Calibri" w:hAnsi="Calibri" w:cs="Calibri" w:eastAsia="Calibri" w:hint="default"/>
          <w:sz w:val="20"/>
          <w:szCs w:val="20"/>
        </w:rPr>
      </w:pPr>
      <w:r>
        <w:rPr>
          <w:rFonts w:ascii="Calibri" w:hAnsi="Calibri" w:cs="Calibri" w:eastAsia="Calibri" w:hint="default"/>
          <w:position w:val="-7"/>
          <w:sz w:val="20"/>
          <w:szCs w:val="20"/>
        </w:rPr>
        <w:pict>
          <v:group style="width:447.55pt;height:19.650pt;mso-position-horizontal-relative:char;mso-position-vertical-relative:line" coordorigin="0,0" coordsize="8951,393">
            <v:group style="position:absolute;left:71;top:370;width:8872;height:2" coordorigin="71,370" coordsize="8872,2">
              <v:shape style="position:absolute;left:71;top:370;width:8872;height:2" coordorigin="71,370" coordsize="8872,0" path="m71,370l8943,370e" filled="false" stroked="true" strokeweight=".72pt" strokecolor="#000000">
                <v:path arrowok="t"/>
              </v:shape>
              <v:shape style="position:absolute;left:0;top:0;width:465;height:393" type="#_x0000_t75" stroked="false">
                <v:imagedata r:id="rId10" o:title=""/>
              </v:shape>
              <v:shape style="position:absolute;left:520;top:134;width:21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江苏林洋能源股份有限公司</w:t>
                      </w:r>
                    </w:p>
                  </w:txbxContent>
                </v:textbox>
                <w10:wrap type="none"/>
              </v:shape>
              <v:shape style="position:absolute;left:7186;top:134;width:1309;height:200" type="#_x0000_t202" filled="false" stroked="false">
                <v:textbox inset="0,0,0,0">
                  <w:txbxContent>
                    <w:p>
                      <w:pPr>
                        <w:spacing w:line="200" w:lineRule="exact" w:before="0"/>
                        <w:ind w:left="0" w:right="0" w:firstLine="0"/>
                        <w:jc w:val="left"/>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v:group>
          </v:group>
        </w:pict>
      </w:r>
      <w:r>
        <w:rPr>
          <w:rFonts w:ascii="Calibri" w:hAnsi="Calibri" w:cs="Calibri" w:eastAsia="Calibri" w:hint="default"/>
          <w:position w:val="-7"/>
          <w:sz w:val="20"/>
          <w:szCs w:val="20"/>
        </w:rPr>
      </w:r>
    </w:p>
    <w:p>
      <w:pPr>
        <w:spacing w:line="240" w:lineRule="auto" w:before="0"/>
        <w:rPr>
          <w:rFonts w:ascii="Calibri" w:hAnsi="Calibri" w:cs="Calibri" w:eastAsia="Calibri" w:hint="default"/>
          <w:b/>
          <w:bCs/>
          <w:sz w:val="20"/>
          <w:szCs w:val="20"/>
        </w:rPr>
      </w:pPr>
    </w:p>
    <w:p>
      <w:pPr>
        <w:spacing w:after="0" w:line="240" w:lineRule="auto"/>
        <w:rPr>
          <w:rFonts w:ascii="Calibri" w:hAnsi="Calibri" w:cs="Calibri" w:eastAsia="Calibri" w:hint="default"/>
          <w:sz w:val="20"/>
          <w:szCs w:val="20"/>
        </w:rPr>
        <w:sectPr>
          <w:headerReference w:type="default" r:id="rId178"/>
          <w:footerReference w:type="default" r:id="rId179"/>
          <w:pgSz w:w="11910" w:h="16840"/>
          <w:pgMar w:header="0" w:footer="0" w:top="640" w:bottom="280" w:left="1580" w:right="1040"/>
        </w:sectPr>
      </w:pPr>
    </w:p>
    <w:p>
      <w:pPr>
        <w:spacing w:line="240" w:lineRule="auto" w:before="11"/>
        <w:rPr>
          <w:rFonts w:ascii="Calibri" w:hAnsi="Calibri" w:cs="Calibri" w:eastAsia="Calibri" w:hint="default"/>
          <w:b/>
          <w:bCs/>
          <w:sz w:val="15"/>
          <w:szCs w:val="15"/>
        </w:rPr>
      </w:pPr>
    </w:p>
    <w:p>
      <w:pPr>
        <w:pStyle w:val="Heading3"/>
        <w:spacing w:line="338" w:lineRule="auto" w:before="0"/>
        <w:ind w:right="0"/>
        <w:jc w:val="left"/>
        <w:rPr>
          <w:rFonts w:ascii="宋体" w:hAnsi="宋体" w:cs="宋体" w:eastAsia="宋体" w:hint="default"/>
          <w:b w:val="0"/>
          <w:bCs w:val="0"/>
        </w:rPr>
      </w:pPr>
      <w:r>
        <w:rPr>
          <w:rFonts w:ascii="宋体" w:hAnsi="宋体" w:cs="宋体" w:eastAsia="宋体" w:hint="default"/>
        </w:rPr>
        <w:t>17</w:t>
      </w:r>
      <w:r>
        <w:rPr/>
        <w:t>、</w:t>
      </w:r>
      <w:r>
        <w:rPr>
          <w:spacing w:val="-25"/>
        </w:rPr>
        <w:t> </w:t>
      </w:r>
      <w:r>
        <w:rPr/>
        <w:t>其他权益工具投资</w:t>
      </w:r>
      <w:r>
        <w:rPr>
          <w:w w:val="100"/>
        </w:rPr>
        <w:t> </w:t>
      </w:r>
      <w:r>
        <w:rPr>
          <w:rFonts w:ascii="宋体" w:hAnsi="宋体" w:cs="宋体" w:eastAsia="宋体" w:hint="default"/>
        </w:rPr>
        <w:t>(1).</w:t>
      </w:r>
      <w:r>
        <w:rPr/>
        <w:t>其他权益工具投资情况</w:t>
      </w:r>
      <w:r>
        <w:rPr>
          <w:rFonts w:ascii="宋体" w:hAnsi="宋体" w:cs="宋体" w:eastAsia="宋体" w:hint="default"/>
          <w:w w:val="99"/>
        </w:rPr>
        <w:t> </w:t>
      </w:r>
      <w:r>
        <w:rPr>
          <w:rFonts w:ascii="宋体" w:hAnsi="宋体" w:cs="宋体" w:eastAsia="宋体" w:hint="default"/>
          <w:b w:val="0"/>
          <w:bCs w:val="0"/>
        </w:rPr>
      </w:r>
    </w:p>
    <w:p>
      <w:pPr>
        <w:pStyle w:val="Heading2"/>
        <w:spacing w:line="240" w:lineRule="auto"/>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8"/>
          <w:szCs w:val="18"/>
        </w:rPr>
      </w:pPr>
    </w:p>
    <w:p>
      <w:pPr>
        <w:pStyle w:val="BodyText"/>
        <w:spacing w:line="240" w:lineRule="auto"/>
        <w:ind w:right="0"/>
        <w:jc w:val="left"/>
        <w:rPr>
          <w:rFonts w:ascii="宋体" w:hAnsi="宋体" w:cs="宋体" w:eastAsia="宋体" w:hint="default"/>
        </w:rPr>
      </w:pPr>
      <w:r>
        <w:rPr/>
        <w:t>单位：元币种：人民币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580" w:bottom="280" w:left="1580" w:right="1040"/>
          <w:cols w:num="2" w:equalWidth="0">
            <w:col w:w="2859" w:space="3771"/>
            <w:col w:w="2660"/>
          </w:cols>
        </w:sectPr>
      </w:pPr>
    </w:p>
    <w:p>
      <w:pPr>
        <w:spacing w:line="240" w:lineRule="auto" w:before="5"/>
        <w:rPr>
          <w:rFonts w:ascii="宋体" w:hAnsi="宋体" w:cs="宋体" w:eastAsia="宋体" w:hint="default"/>
          <w:sz w:val="4"/>
          <w:szCs w:val="4"/>
        </w:rPr>
      </w:pPr>
    </w:p>
    <w:tbl>
      <w:tblPr>
        <w:tblW w:w="0" w:type="auto"/>
        <w:jc w:val="left"/>
        <w:tblInd w:w="105" w:type="dxa"/>
        <w:tblLayout w:type="fixed"/>
        <w:tblCellMar>
          <w:top w:w="0" w:type="dxa"/>
          <w:left w:w="0" w:type="dxa"/>
          <w:bottom w:w="0" w:type="dxa"/>
          <w:right w:w="0" w:type="dxa"/>
        </w:tblCellMar>
        <w:tblLook w:val="01E0"/>
      </w:tblPr>
      <w:tblGrid>
        <w:gridCol w:w="3651"/>
        <w:gridCol w:w="2688"/>
        <w:gridCol w:w="2710"/>
      </w:tblGrid>
      <w:tr>
        <w:trPr>
          <w:trHeight w:val="336" w:hRule="exact"/>
        </w:trPr>
        <w:tc>
          <w:tcPr>
            <w:tcW w:w="3651"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04"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688"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919"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2710"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931"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662" w:hRule="exact"/>
        </w:trPr>
        <w:tc>
          <w:tcPr>
            <w:tcW w:w="3651"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103" w:right="170"/>
              <w:jc w:val="left"/>
              <w:rPr>
                <w:rFonts w:ascii="宋体" w:hAnsi="宋体" w:cs="宋体" w:eastAsia="宋体" w:hint="default"/>
                <w:sz w:val="21"/>
                <w:szCs w:val="21"/>
              </w:rPr>
            </w:pPr>
            <w:r>
              <w:rPr>
                <w:rFonts w:ascii="宋体" w:hAnsi="宋体" w:cs="宋体" w:eastAsia="宋体" w:hint="default"/>
                <w:spacing w:val="-2"/>
                <w:sz w:val="21"/>
                <w:szCs w:val="21"/>
              </w:rPr>
              <w:t>英大（苏州）综合能源投资中心（有</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限合伙）</w:t>
            </w:r>
            <w:r>
              <w:rPr>
                <w:rFonts w:ascii="宋体" w:hAnsi="宋体" w:cs="宋体" w:eastAsia="宋体" w:hint="default"/>
                <w:sz w:val="21"/>
                <w:szCs w:val="21"/>
              </w:rPr>
              <w:t> </w:t>
            </w:r>
          </w:p>
        </w:tc>
        <w:tc>
          <w:tcPr>
            <w:tcW w:w="2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3"/>
              <w:jc w:val="right"/>
              <w:rPr>
                <w:rFonts w:ascii="宋体" w:hAnsi="宋体" w:cs="宋体" w:eastAsia="宋体" w:hint="default"/>
                <w:sz w:val="21"/>
                <w:szCs w:val="21"/>
              </w:rPr>
            </w:pPr>
            <w:r>
              <w:rPr>
                <w:rFonts w:ascii="宋体"/>
                <w:spacing w:val="-1"/>
                <w:sz w:val="21"/>
              </w:rPr>
              <w:t>15,000,000.00</w:t>
            </w:r>
            <w:r>
              <w:rPr>
                <w:rFonts w:ascii="宋体"/>
                <w:sz w:val="21"/>
              </w:rPr>
              <w:t> </w:t>
            </w:r>
          </w:p>
        </w:tc>
        <w:tc>
          <w:tcPr>
            <w:tcW w:w="2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5"/>
              <w:jc w:val="right"/>
              <w:rPr>
                <w:rFonts w:ascii="宋体" w:hAnsi="宋体" w:cs="宋体" w:eastAsia="宋体" w:hint="default"/>
                <w:sz w:val="21"/>
                <w:szCs w:val="21"/>
              </w:rPr>
            </w:pPr>
            <w:r>
              <w:rPr>
                <w:rFonts w:ascii="宋体"/>
                <w:spacing w:val="-1"/>
                <w:sz w:val="21"/>
              </w:rPr>
              <w:t>15,000,000.00</w:t>
            </w:r>
            <w:r>
              <w:rPr>
                <w:rFonts w:ascii="宋体"/>
                <w:sz w:val="21"/>
              </w:rPr>
              <w:t> </w:t>
            </w:r>
          </w:p>
        </w:tc>
      </w:tr>
      <w:tr>
        <w:trPr>
          <w:trHeight w:val="336" w:hRule="exact"/>
        </w:trPr>
        <w:tc>
          <w:tcPr>
            <w:tcW w:w="3651"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03" w:right="0"/>
              <w:jc w:val="left"/>
              <w:rPr>
                <w:rFonts w:ascii="宋体" w:hAnsi="宋体" w:cs="宋体" w:eastAsia="宋体" w:hint="default"/>
                <w:sz w:val="21"/>
                <w:szCs w:val="21"/>
              </w:rPr>
            </w:pPr>
            <w:r>
              <w:rPr>
                <w:rFonts w:ascii="宋体" w:hAnsi="宋体" w:cs="宋体" w:eastAsia="宋体" w:hint="default"/>
                <w:sz w:val="21"/>
                <w:szCs w:val="21"/>
              </w:rPr>
              <w:t>中广核林洋新能源泗洪有限公司</w:t>
            </w:r>
            <w:r>
              <w:rPr>
                <w:rFonts w:ascii="宋体" w:hAnsi="宋体" w:cs="宋体" w:eastAsia="宋体" w:hint="default"/>
                <w:sz w:val="21"/>
                <w:szCs w:val="21"/>
              </w:rPr>
              <w:t> </w:t>
            </w:r>
          </w:p>
        </w:tc>
        <w:tc>
          <w:tcPr>
            <w:tcW w:w="2688"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3"/>
              <w:jc w:val="right"/>
              <w:rPr>
                <w:rFonts w:ascii="宋体" w:hAnsi="宋体" w:cs="宋体" w:eastAsia="宋体" w:hint="default"/>
                <w:sz w:val="21"/>
                <w:szCs w:val="21"/>
              </w:rPr>
            </w:pPr>
            <w:r>
              <w:rPr>
                <w:rFonts w:ascii="宋体"/>
                <w:spacing w:val="-1"/>
                <w:sz w:val="21"/>
              </w:rPr>
              <w:t>24,362,000.00</w:t>
            </w:r>
            <w:r>
              <w:rPr>
                <w:rFonts w:ascii="宋体"/>
                <w:sz w:val="21"/>
              </w:rPr>
              <w:t> </w:t>
            </w:r>
          </w:p>
        </w:tc>
        <w:tc>
          <w:tcPr>
            <w:tcW w:w="2710"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5"/>
              <w:jc w:val="right"/>
              <w:rPr>
                <w:rFonts w:ascii="宋体" w:hAnsi="宋体" w:cs="宋体" w:eastAsia="宋体" w:hint="default"/>
                <w:sz w:val="21"/>
                <w:szCs w:val="21"/>
              </w:rPr>
            </w:pPr>
            <w:r>
              <w:rPr>
                <w:rFonts w:ascii="宋体"/>
                <w:spacing w:val="-1"/>
                <w:sz w:val="21"/>
              </w:rPr>
              <w:t>24,362,000.00</w:t>
            </w:r>
            <w:r>
              <w:rPr>
                <w:rFonts w:ascii="宋体"/>
                <w:sz w:val="21"/>
              </w:rPr>
              <w:t> </w:t>
            </w:r>
          </w:p>
        </w:tc>
      </w:tr>
      <w:tr>
        <w:trPr>
          <w:trHeight w:val="336" w:hRule="exact"/>
        </w:trPr>
        <w:tc>
          <w:tcPr>
            <w:tcW w:w="3651"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04"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688"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3"/>
              <w:jc w:val="right"/>
              <w:rPr>
                <w:rFonts w:ascii="宋体" w:hAnsi="宋体" w:cs="宋体" w:eastAsia="宋体" w:hint="default"/>
                <w:sz w:val="21"/>
                <w:szCs w:val="21"/>
              </w:rPr>
            </w:pPr>
            <w:r>
              <w:rPr>
                <w:rFonts w:ascii="宋体"/>
                <w:spacing w:val="-1"/>
                <w:sz w:val="21"/>
              </w:rPr>
              <w:t>39,362,000.00</w:t>
            </w:r>
            <w:r>
              <w:rPr>
                <w:rFonts w:ascii="宋体"/>
                <w:sz w:val="21"/>
              </w:rPr>
              <w:t> </w:t>
            </w:r>
          </w:p>
        </w:tc>
        <w:tc>
          <w:tcPr>
            <w:tcW w:w="2710"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5"/>
              <w:jc w:val="right"/>
              <w:rPr>
                <w:rFonts w:ascii="宋体" w:hAnsi="宋体" w:cs="宋体" w:eastAsia="宋体" w:hint="default"/>
                <w:sz w:val="21"/>
                <w:szCs w:val="21"/>
              </w:rPr>
            </w:pPr>
            <w:r>
              <w:rPr>
                <w:rFonts w:ascii="宋体"/>
                <w:spacing w:val="-1"/>
                <w:sz w:val="21"/>
              </w:rPr>
              <w:t>39,362,000.00</w:t>
            </w:r>
            <w:r>
              <w:rPr>
                <w:rFonts w:ascii="宋体"/>
                <w:sz w:val="21"/>
              </w:rPr>
              <w:t> </w:t>
            </w:r>
          </w:p>
        </w:tc>
      </w:tr>
    </w:tbl>
    <w:p>
      <w:pPr>
        <w:spacing w:line="240" w:lineRule="auto" w:before="5"/>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type w:val="continuous"/>
          <w:pgSz w:w="11910" w:h="16840"/>
          <w:pgMar w:top="1580" w:bottom="280" w:left="1580" w:right="1040"/>
        </w:sectPr>
      </w:pPr>
    </w:p>
    <w:p>
      <w:pPr>
        <w:pStyle w:val="Heading3"/>
        <w:spacing w:line="240" w:lineRule="auto" w:before="36"/>
        <w:ind w:right="0"/>
        <w:jc w:val="left"/>
        <w:rPr>
          <w:rFonts w:ascii="宋体" w:hAnsi="宋体" w:cs="宋体" w:eastAsia="宋体" w:hint="default"/>
          <w:b w:val="0"/>
          <w:bCs w:val="0"/>
        </w:rPr>
      </w:pPr>
      <w:r>
        <w:rPr>
          <w:rFonts w:ascii="宋体" w:hAnsi="宋体" w:cs="宋体" w:eastAsia="宋体" w:hint="default"/>
        </w:rPr>
        <w:t>(2).</w:t>
      </w:r>
      <w:r>
        <w:rPr/>
        <w:t>非交易性权益工具投资的情况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09"/>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color w:val="333333"/>
        </w:rPr>
        <w:t> </w:t>
      </w:r>
      <w:r>
        <w:rPr>
          <w:rFonts w:ascii="宋体" w:hAnsi="宋体" w:cs="宋体" w:eastAsia="宋体" w:hint="default"/>
        </w:rPr>
      </w:r>
    </w:p>
    <w:p>
      <w:pPr>
        <w:pStyle w:val="Heading2"/>
        <w:spacing w:line="240" w:lineRule="auto" w:before="26"/>
        <w:ind w:right="0"/>
        <w:jc w:val="left"/>
        <w:rPr>
          <w:rFonts w:ascii="宋体" w:hAnsi="宋体" w:cs="宋体" w:eastAsia="宋体" w:hint="default"/>
        </w:rPr>
      </w:pPr>
      <w:r>
        <w:rPr/>
        <w:t>其他说明：</w:t>
      </w:r>
      <w:r>
        <w:rPr>
          <w:rFonts w:ascii="宋体" w:hAnsi="宋体" w:cs="宋体" w:eastAsia="宋体" w:hint="default"/>
        </w:rPr>
        <w:t> </w:t>
      </w:r>
    </w:p>
    <w:p>
      <w:pPr>
        <w:pStyle w:val="BodyText"/>
        <w:spacing w:line="240" w:lineRule="auto" w:before="37"/>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22"/>
        <w:ind w:right="0"/>
        <w:jc w:val="left"/>
        <w:rPr>
          <w:rFonts w:ascii="宋体" w:hAnsi="宋体" w:cs="宋体" w:eastAsia="宋体" w:hint="default"/>
        </w:rPr>
      </w:pPr>
      <w:r>
        <w:rPr>
          <w:rFonts w:ascii="宋体"/>
          <w:w w:val="100"/>
        </w:rPr>
        <w:t> </w:t>
      </w:r>
    </w:p>
    <w:p>
      <w:pPr>
        <w:pStyle w:val="Heading3"/>
        <w:spacing w:line="240" w:lineRule="auto" w:before="85"/>
        <w:ind w:right="0"/>
        <w:jc w:val="left"/>
        <w:rPr>
          <w:b w:val="0"/>
          <w:bCs w:val="0"/>
        </w:rPr>
      </w:pPr>
      <w:r>
        <w:rPr>
          <w:rFonts w:ascii="宋体" w:hAnsi="宋体" w:cs="宋体" w:eastAsia="宋体" w:hint="default"/>
        </w:rPr>
        <w:t>18</w:t>
      </w:r>
      <w:r>
        <w:rPr/>
        <w:t>、</w:t>
      </w:r>
      <w:r>
        <w:rPr>
          <w:spacing w:val="-23"/>
        </w:rPr>
        <w:t> </w:t>
      </w:r>
      <w:r>
        <w:rPr/>
        <w:t>其他非流动金融资产</w:t>
      </w:r>
      <w:r>
        <w:rPr>
          <w:b w:val="0"/>
          <w:bCs w:val="0"/>
        </w:rPr>
      </w:r>
    </w:p>
    <w:p>
      <w:pPr>
        <w:pStyle w:val="Heading2"/>
        <w:spacing w:line="249" w:lineRule="auto" w:before="86"/>
        <w:ind w:right="295"/>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r>
        <w:rPr/>
        <w:t>其他说明：</w:t>
      </w:r>
      <w:r>
        <w:rPr>
          <w:rFonts w:ascii="宋体" w:hAnsi="宋体" w:cs="宋体" w:eastAsia="宋体" w:hint="default"/>
        </w:rPr>
        <w:t> </w:t>
      </w:r>
    </w:p>
    <w:p>
      <w:pPr>
        <w:pStyle w:val="BodyText"/>
        <w:spacing w:line="240" w:lineRule="auto" w:before="28"/>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22"/>
        <w:ind w:right="0"/>
        <w:jc w:val="left"/>
        <w:rPr>
          <w:rFonts w:ascii="宋体" w:hAnsi="宋体" w:cs="宋体" w:eastAsia="宋体" w:hint="default"/>
        </w:rPr>
      </w:pPr>
      <w:r>
        <w:rPr>
          <w:rFonts w:ascii="宋体"/>
          <w:w w:val="100"/>
        </w:rPr>
        <w:t> </w:t>
      </w:r>
    </w:p>
    <w:p>
      <w:pPr>
        <w:spacing w:line="292" w:lineRule="auto" w:before="85"/>
        <w:ind w:left="218" w:right="295" w:firstLine="0"/>
        <w:jc w:val="left"/>
        <w:rPr>
          <w:rFonts w:ascii="宋体" w:hAnsi="宋体" w:cs="宋体" w:eastAsia="宋体" w:hint="default"/>
          <w:sz w:val="21"/>
          <w:szCs w:val="21"/>
        </w:rPr>
      </w:pPr>
      <w:r>
        <w:rPr>
          <w:rFonts w:ascii="宋体" w:hAnsi="宋体" w:cs="宋体" w:eastAsia="宋体" w:hint="default"/>
          <w:b/>
          <w:bCs/>
          <w:sz w:val="21"/>
          <w:szCs w:val="21"/>
        </w:rPr>
        <w:t>19</w:t>
      </w:r>
      <w:r>
        <w:rPr>
          <w:rFonts w:ascii="宋体" w:hAnsi="宋体" w:cs="宋体" w:eastAsia="宋体" w:hint="default"/>
          <w:b/>
          <w:bCs/>
          <w:sz w:val="21"/>
          <w:szCs w:val="21"/>
        </w:rPr>
        <w:t>、</w:t>
      </w:r>
      <w:r>
        <w:rPr>
          <w:rFonts w:ascii="宋体" w:hAnsi="宋体" w:cs="宋体" w:eastAsia="宋体" w:hint="default"/>
          <w:b/>
          <w:bCs/>
          <w:spacing w:val="-26"/>
          <w:sz w:val="21"/>
          <w:szCs w:val="21"/>
        </w:rPr>
        <w:t> </w:t>
      </w:r>
      <w:r>
        <w:rPr>
          <w:rFonts w:ascii="宋体" w:hAnsi="宋体" w:cs="宋体" w:eastAsia="宋体" w:hint="default"/>
          <w:b/>
          <w:bCs/>
          <w:sz w:val="21"/>
          <w:szCs w:val="21"/>
        </w:rPr>
        <w:t>投资性房地产</w:t>
      </w:r>
      <w:r>
        <w:rPr>
          <w:rFonts w:ascii="宋体" w:hAnsi="宋体" w:cs="宋体" w:eastAsia="宋体" w:hint="default"/>
          <w:b/>
          <w:bCs/>
          <w:w w:val="99"/>
          <w:sz w:val="21"/>
          <w:szCs w:val="21"/>
        </w:rPr>
        <w:t> </w:t>
      </w:r>
      <w:r>
        <w:rPr>
          <w:rFonts w:ascii="宋体" w:hAnsi="宋体" w:cs="宋体" w:eastAsia="宋体" w:hint="default"/>
          <w:sz w:val="24"/>
          <w:szCs w:val="24"/>
        </w:rPr>
        <w:t>投资性房地产计量模式</w:t>
      </w:r>
      <w:r>
        <w:rPr>
          <w:rFonts w:ascii="宋体" w:hAnsi="宋体" w:cs="宋体" w:eastAsia="宋体" w:hint="default"/>
          <w:sz w:val="24"/>
          <w:szCs w:val="24"/>
        </w:rPr>
        <w:t> </w:t>
      </w:r>
      <w:r>
        <w:rPr>
          <w:rFonts w:ascii="宋体" w:hAnsi="宋体" w:cs="宋体" w:eastAsia="宋体" w:hint="default"/>
          <w:sz w:val="21"/>
          <w:szCs w:val="21"/>
        </w:rPr>
        <w:t>不适用</w:t>
      </w:r>
      <w:r>
        <w:rPr>
          <w:rFonts w:ascii="宋体" w:hAnsi="宋体" w:cs="宋体" w:eastAsia="宋体" w:hint="default"/>
          <w:sz w:val="21"/>
          <w:szCs w:val="21"/>
        </w:rPr>
        <w:t> </w:t>
      </w:r>
    </w:p>
    <w:p>
      <w:pPr>
        <w:pStyle w:val="BodyText"/>
        <w:spacing w:line="240" w:lineRule="auto" w:before="5"/>
        <w:ind w:right="0"/>
        <w:jc w:val="left"/>
        <w:rPr>
          <w:rFonts w:ascii="宋体" w:hAnsi="宋体" w:cs="宋体" w:eastAsia="宋体" w:hint="default"/>
        </w:rPr>
      </w:pPr>
      <w:r>
        <w:rPr>
          <w:rFonts w:ascii="宋体"/>
          <w:w w:val="100"/>
        </w:rPr>
        <w:t> </w:t>
      </w:r>
    </w:p>
    <w:p>
      <w:pPr>
        <w:pStyle w:val="Heading3"/>
        <w:spacing w:line="336" w:lineRule="auto" w:before="111"/>
        <w:ind w:right="1106"/>
        <w:jc w:val="left"/>
        <w:rPr>
          <w:rFonts w:ascii="宋体" w:hAnsi="宋体" w:cs="宋体" w:eastAsia="宋体" w:hint="default"/>
          <w:b w:val="0"/>
          <w:bCs w:val="0"/>
        </w:rPr>
      </w:pPr>
      <w:r>
        <w:rPr>
          <w:rFonts w:ascii="宋体" w:hAnsi="宋体" w:cs="宋体" w:eastAsia="宋体" w:hint="default"/>
        </w:rPr>
        <w:t>20</w:t>
      </w:r>
      <w:r>
        <w:rPr/>
        <w:t>、</w:t>
      </w:r>
      <w:r>
        <w:rPr>
          <w:spacing w:val="-27"/>
        </w:rPr>
        <w:t> </w:t>
      </w:r>
      <w:r>
        <w:rPr/>
        <w:t>固定资产</w:t>
      </w:r>
      <w:r>
        <w:rPr>
          <w:rFonts w:ascii="宋体" w:hAnsi="宋体" w:cs="宋体" w:eastAsia="宋体" w:hint="default"/>
          <w:w w:val="99"/>
        </w:rPr>
        <w:t> </w:t>
      </w:r>
      <w:r>
        <w:rPr/>
        <w:t>项目列示</w:t>
      </w:r>
      <w:r>
        <w:rPr>
          <w:rFonts w:ascii="宋体" w:hAnsi="宋体" w:cs="宋体" w:eastAsia="宋体" w:hint="default"/>
          <w:w w:val="99"/>
        </w:rPr>
        <w:t> </w:t>
      </w:r>
      <w:r>
        <w:rPr>
          <w:rFonts w:ascii="宋体" w:hAnsi="宋体" w:cs="宋体" w:eastAsia="宋体" w:hint="default"/>
          <w:b w:val="0"/>
          <w:bCs w:val="0"/>
        </w:rPr>
      </w:r>
    </w:p>
    <w:p>
      <w:pPr>
        <w:pStyle w:val="Heading2"/>
        <w:spacing w:line="240" w:lineRule="auto" w:before="2"/>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4"/>
          <w:szCs w:val="14"/>
        </w:rPr>
      </w:pPr>
    </w:p>
    <w:p>
      <w:pPr>
        <w:pStyle w:val="BodyText"/>
        <w:spacing w:line="240" w:lineRule="auto"/>
        <w:ind w:right="0"/>
        <w:jc w:val="left"/>
        <w:rPr>
          <w:rFonts w:ascii="宋体" w:hAnsi="宋体" w:cs="宋体" w:eastAsia="宋体" w:hint="default"/>
        </w:rPr>
      </w:pPr>
      <w:r>
        <w:rPr/>
        <w:t>单位：元币种：人民币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580" w:bottom="280" w:left="1580" w:right="1040"/>
          <w:cols w:num="2" w:equalWidth="0">
            <w:col w:w="3493" w:space="3240"/>
            <w:col w:w="2557"/>
          </w:cols>
        </w:sectPr>
      </w:pPr>
    </w:p>
    <w:p>
      <w:pPr>
        <w:spacing w:line="240" w:lineRule="auto" w:before="5"/>
        <w:rPr>
          <w:rFonts w:ascii="宋体" w:hAnsi="宋体" w:cs="宋体" w:eastAsia="宋体" w:hint="default"/>
          <w:sz w:val="4"/>
          <w:szCs w:val="4"/>
        </w:rPr>
      </w:pPr>
    </w:p>
    <w:tbl>
      <w:tblPr>
        <w:tblW w:w="0" w:type="auto"/>
        <w:jc w:val="left"/>
        <w:tblInd w:w="105" w:type="dxa"/>
        <w:tblLayout w:type="fixed"/>
        <w:tblCellMar>
          <w:top w:w="0" w:type="dxa"/>
          <w:left w:w="0" w:type="dxa"/>
          <w:bottom w:w="0" w:type="dxa"/>
          <w:right w:w="0" w:type="dxa"/>
        </w:tblCellMar>
        <w:tblLook w:val="01E0"/>
      </w:tblPr>
      <w:tblGrid>
        <w:gridCol w:w="3308"/>
        <w:gridCol w:w="2864"/>
        <w:gridCol w:w="2878"/>
      </w:tblGrid>
      <w:tr>
        <w:trPr>
          <w:trHeight w:val="336"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334"/>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005"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012"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1"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固定资产</w:t>
            </w:r>
            <w:r>
              <w:rPr>
                <w:rFonts w:ascii="宋体" w:hAnsi="宋体" w:cs="宋体" w:eastAsia="宋体" w:hint="default"/>
                <w:sz w:val="21"/>
                <w:szCs w:val="21"/>
              </w:rPr>
              <w:t> </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8,888,763,009.02</w:t>
            </w:r>
            <w:r>
              <w:rPr>
                <w:rFonts w:ascii="宋体"/>
                <w:sz w:val="21"/>
              </w:rPr>
              <w:t> </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8,902,415,641.01</w:t>
            </w:r>
            <w:r>
              <w:rPr>
                <w:rFonts w:ascii="宋体"/>
                <w:sz w:val="21"/>
              </w:rPr>
              <w:t> </w:t>
            </w:r>
          </w:p>
        </w:tc>
      </w:tr>
      <w:tr>
        <w:trPr>
          <w:trHeight w:val="283"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固定资产清理</w:t>
            </w:r>
            <w:r>
              <w:rPr>
                <w:rFonts w:ascii="宋体" w:hAnsi="宋体" w:cs="宋体" w:eastAsia="宋体" w:hint="default"/>
                <w:sz w:val="21"/>
                <w:szCs w:val="21"/>
              </w:rPr>
              <w:t> </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4"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34"/>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8,888,763,009.02</w:t>
            </w:r>
            <w:r>
              <w:rPr>
                <w:rFonts w:ascii="宋体"/>
                <w:sz w:val="21"/>
              </w:rPr>
              <w:t> </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8,902,415,641.01</w:t>
            </w:r>
            <w:r>
              <w:rPr>
                <w:rFonts w:ascii="宋体"/>
                <w:sz w:val="21"/>
              </w:rPr>
              <w:t> </w:t>
            </w:r>
          </w:p>
        </w:tc>
      </w:tr>
    </w:tbl>
    <w:p>
      <w:pPr>
        <w:spacing w:line="285" w:lineRule="auto" w:before="0"/>
        <w:ind w:left="218" w:right="0" w:firstLine="0"/>
        <w:jc w:val="left"/>
        <w:rPr>
          <w:rFonts w:ascii="宋体" w:hAnsi="宋体" w:cs="宋体" w:eastAsia="宋体" w:hint="default"/>
          <w:sz w:val="21"/>
          <w:szCs w:val="21"/>
        </w:rPr>
      </w:pPr>
      <w:r>
        <w:rPr>
          <w:rFonts w:ascii="宋体" w:hAnsi="宋体" w:cs="宋体" w:eastAsia="宋体" w:hint="default"/>
          <w:b/>
          <w:bCs/>
          <w:w w:val="99"/>
          <w:sz w:val="21"/>
          <w:szCs w:val="21"/>
        </w:rPr>
        <w:t>  </w:t>
      </w:r>
      <w:r>
        <w:rPr>
          <w:rFonts w:ascii="宋体" w:hAnsi="宋体" w:cs="宋体" w:eastAsia="宋体" w:hint="default"/>
          <w:w w:val="100"/>
          <w:sz w:val="21"/>
          <w:szCs w:val="21"/>
        </w:rPr>
        <w:t>其他</w:t>
      </w:r>
      <w:r>
        <w:rPr>
          <w:rFonts w:ascii="宋体" w:hAnsi="宋体" w:cs="宋体" w:eastAsia="宋体" w:hint="default"/>
          <w:spacing w:val="-3"/>
          <w:w w:val="100"/>
          <w:sz w:val="21"/>
          <w:szCs w:val="21"/>
        </w:rPr>
        <w:t>说</w:t>
      </w:r>
      <w:r>
        <w:rPr>
          <w:rFonts w:ascii="宋体" w:hAnsi="宋体" w:cs="宋体" w:eastAsia="宋体" w:hint="default"/>
          <w:w w:val="100"/>
          <w:sz w:val="21"/>
          <w:szCs w:val="21"/>
        </w:rPr>
        <w:t>明</w:t>
      </w:r>
      <w:r>
        <w:rPr>
          <w:rFonts w:ascii="宋体" w:hAnsi="宋体" w:cs="宋体" w:eastAsia="宋体" w:hint="default"/>
          <w:spacing w:val="-3"/>
          <w:w w:val="100"/>
          <w:sz w:val="21"/>
          <w:szCs w:val="21"/>
        </w:rPr>
        <w:t>：</w:t>
      </w:r>
      <w:r>
        <w:rPr>
          <w:rFonts w:ascii="宋体" w:hAnsi="宋体" w:cs="宋体" w:eastAsia="宋体" w:hint="default"/>
          <w:w w:val="100"/>
          <w:sz w:val="21"/>
          <w:szCs w:val="21"/>
        </w:rPr>
        <w:t> </w:t>
      </w:r>
    </w:p>
    <w:p>
      <w:pPr>
        <w:pStyle w:val="BodyText"/>
        <w:spacing w:line="240" w:lineRule="auto" w:before="11"/>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2"/>
          <w:szCs w:val="22"/>
        </w:rPr>
      </w:pPr>
    </w:p>
    <w:p>
      <w:pPr>
        <w:spacing w:before="63"/>
        <w:ind w:left="3722" w:right="3739" w:firstLine="0"/>
        <w:jc w:val="center"/>
        <w:rPr>
          <w:rFonts w:ascii="Calibri" w:hAnsi="Calibri" w:cs="Calibri" w:eastAsia="Calibri" w:hint="default"/>
          <w:sz w:val="18"/>
          <w:szCs w:val="18"/>
        </w:rPr>
      </w:pPr>
      <w:r>
        <w:rPr>
          <w:rFonts w:ascii="Calibri"/>
          <w:b/>
          <w:sz w:val="18"/>
        </w:rPr>
        <w:t>148 </w:t>
      </w:r>
      <w:r>
        <w:rPr>
          <w:rFonts w:ascii="Calibri"/>
          <w:sz w:val="18"/>
        </w:rPr>
        <w:t>/</w:t>
      </w:r>
      <w:r>
        <w:rPr>
          <w:rFonts w:ascii="Calibri"/>
          <w:spacing w:val="-5"/>
          <w:sz w:val="18"/>
        </w:rPr>
        <w:t> </w:t>
      </w:r>
      <w:r>
        <w:rPr>
          <w:rFonts w:ascii="Calibri"/>
          <w:b/>
          <w:sz w:val="18"/>
        </w:rPr>
        <w:t>216</w:t>
      </w:r>
      <w:r>
        <w:rPr>
          <w:rFonts w:ascii="Calibri"/>
          <w:sz w:val="18"/>
        </w:rPr>
      </w:r>
    </w:p>
    <w:p>
      <w:pPr>
        <w:spacing w:after="0"/>
        <w:jc w:val="center"/>
        <w:rPr>
          <w:rFonts w:ascii="Calibri" w:hAnsi="Calibri" w:cs="Calibri" w:eastAsia="Calibri" w:hint="default"/>
          <w:sz w:val="18"/>
          <w:szCs w:val="18"/>
        </w:rPr>
        <w:sectPr>
          <w:type w:val="continuous"/>
          <w:pgSz w:w="11910" w:h="16840"/>
          <w:pgMar w:top="1580" w:bottom="280" w:left="1580" w:right="1040"/>
        </w:sectPr>
      </w:pPr>
    </w:p>
    <w:p>
      <w:pPr>
        <w:spacing w:line="336" w:lineRule="auto" w:before="131"/>
        <w:ind w:left="224" w:right="0" w:firstLine="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b/>
          <w:bCs/>
          <w:w w:val="100"/>
          <w:sz w:val="21"/>
          <w:szCs w:val="21"/>
        </w:rPr>
        <w:t>固定资</w:t>
      </w:r>
      <w:r>
        <w:rPr>
          <w:rFonts w:ascii="宋体" w:hAnsi="宋体" w:cs="宋体" w:eastAsia="宋体" w:hint="default"/>
          <w:b/>
          <w:bCs/>
          <w:spacing w:val="-2"/>
          <w:w w:val="100"/>
          <w:sz w:val="21"/>
          <w:szCs w:val="21"/>
        </w:rPr>
        <w:t>产</w:t>
      </w:r>
      <w:r>
        <w:rPr>
          <w:rFonts w:ascii="宋体" w:hAnsi="宋体" w:cs="宋体" w:eastAsia="宋体" w:hint="default"/>
          <w:b/>
          <w:bCs/>
          <w:w w:val="99"/>
          <w:sz w:val="21"/>
          <w:szCs w:val="21"/>
        </w:rPr>
        <w:t> </w:t>
      </w:r>
      <w:r>
        <w:rPr>
          <w:rFonts w:ascii="宋体" w:hAnsi="宋体" w:cs="宋体" w:eastAsia="宋体" w:hint="default"/>
          <w:sz w:val="21"/>
          <w:szCs w:val="21"/>
        </w:rPr>
      </w:r>
    </w:p>
    <w:p>
      <w:pPr>
        <w:pStyle w:val="Heading3"/>
        <w:spacing w:line="240" w:lineRule="auto" w:before="27"/>
        <w:ind w:left="224" w:right="0"/>
        <w:jc w:val="left"/>
        <w:rPr>
          <w:rFonts w:ascii="宋体" w:hAnsi="宋体" w:cs="宋体" w:eastAsia="宋体" w:hint="default"/>
          <w:b w:val="0"/>
          <w:bCs w:val="0"/>
        </w:rPr>
      </w:pPr>
      <w:r>
        <w:rPr>
          <w:rFonts w:ascii="宋体" w:hAnsi="宋体" w:cs="宋体" w:eastAsia="宋体" w:hint="default"/>
        </w:rPr>
        <w:t>(1).</w:t>
      </w:r>
      <w:r>
        <w:rPr/>
        <w:t>固定资产情况</w:t>
      </w:r>
      <w:r>
        <w:rPr>
          <w:rFonts w:ascii="宋体" w:hAnsi="宋体" w:cs="宋体" w:eastAsia="宋体" w:hint="default"/>
          <w:w w:val="99"/>
        </w:rPr>
        <w:t> </w:t>
      </w:r>
      <w:r>
        <w:rPr>
          <w:rFonts w:ascii="宋体" w:hAnsi="宋体" w:cs="宋体" w:eastAsia="宋体" w:hint="default"/>
          <w:b w:val="0"/>
          <w:bCs w:val="0"/>
        </w:rPr>
      </w:r>
    </w:p>
    <w:p>
      <w:pPr>
        <w:pStyle w:val="Heading2"/>
        <w:spacing w:line="240" w:lineRule="auto" w:before="86"/>
        <w:ind w:left="224"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3"/>
          <w:szCs w:val="23"/>
        </w:rPr>
      </w:pPr>
    </w:p>
    <w:p>
      <w:pPr>
        <w:pStyle w:val="BodyText"/>
        <w:spacing w:line="240" w:lineRule="auto"/>
        <w:ind w:left="224" w:right="0"/>
        <w:jc w:val="left"/>
        <w:rPr>
          <w:rFonts w:ascii="宋体" w:hAnsi="宋体" w:cs="宋体" w:eastAsia="宋体" w:hint="default"/>
        </w:rPr>
      </w:pPr>
      <w:r>
        <w:rPr/>
        <w:t>单位：元币种：人民币</w:t>
      </w:r>
      <w:r>
        <w:rPr>
          <w:rFonts w:ascii="宋体" w:hAnsi="宋体" w:cs="宋体" w:eastAsia="宋体" w:hint="default"/>
        </w:rPr>
        <w:t> </w:t>
      </w:r>
    </w:p>
    <w:p>
      <w:pPr>
        <w:spacing w:after="0" w:line="240" w:lineRule="auto"/>
        <w:jc w:val="left"/>
        <w:rPr>
          <w:rFonts w:ascii="宋体" w:hAnsi="宋体" w:cs="宋体" w:eastAsia="宋体" w:hint="default"/>
        </w:rPr>
        <w:sectPr>
          <w:headerReference w:type="default" r:id="rId180"/>
          <w:footerReference w:type="default" r:id="rId181"/>
          <w:pgSz w:w="16840" w:h="11910" w:orient="landscape"/>
          <w:pgMar w:header="748" w:footer="975" w:top="1140" w:bottom="1160" w:left="1300" w:right="1200"/>
          <w:pgNumType w:start="14"/>
          <w:cols w:num="2" w:equalWidth="0">
            <w:col w:w="2265" w:space="9509"/>
            <w:col w:w="2566"/>
          </w:cols>
        </w:sectPr>
      </w:pPr>
    </w:p>
    <w:p>
      <w:pPr>
        <w:spacing w:line="240" w:lineRule="auto" w:before="5"/>
        <w:rPr>
          <w:rFonts w:ascii="宋体" w:hAnsi="宋体" w:cs="宋体" w:eastAsia="宋体" w:hint="default"/>
          <w:sz w:val="4"/>
          <w:szCs w:val="4"/>
        </w:rPr>
      </w:pPr>
    </w:p>
    <w:tbl>
      <w:tblPr>
        <w:tblW w:w="0" w:type="auto"/>
        <w:jc w:val="left"/>
        <w:tblInd w:w="106" w:type="dxa"/>
        <w:tblLayout w:type="fixed"/>
        <w:tblCellMar>
          <w:top w:w="0" w:type="dxa"/>
          <w:left w:w="0" w:type="dxa"/>
          <w:bottom w:w="0" w:type="dxa"/>
          <w:right w:w="0" w:type="dxa"/>
        </w:tblCellMar>
        <w:tblLook w:val="01E0"/>
      </w:tblPr>
      <w:tblGrid>
        <w:gridCol w:w="3656"/>
        <w:gridCol w:w="1618"/>
        <w:gridCol w:w="1620"/>
        <w:gridCol w:w="1620"/>
        <w:gridCol w:w="1618"/>
        <w:gridCol w:w="1669"/>
        <w:gridCol w:w="2302"/>
      </w:tblGrid>
      <w:tr>
        <w:trPr>
          <w:trHeight w:val="336" w:hRule="exact"/>
        </w:trPr>
        <w:tc>
          <w:tcPr>
            <w:tcW w:w="3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88" w:right="0"/>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67" w:right="0"/>
              <w:jc w:val="left"/>
              <w:rPr>
                <w:rFonts w:ascii="宋体" w:hAnsi="宋体" w:cs="宋体" w:eastAsia="宋体" w:hint="default"/>
                <w:sz w:val="18"/>
                <w:szCs w:val="18"/>
              </w:rPr>
            </w:pPr>
            <w:r>
              <w:rPr>
                <w:rFonts w:ascii="宋体" w:hAnsi="宋体" w:cs="宋体" w:eastAsia="宋体" w:hint="default"/>
                <w:sz w:val="18"/>
                <w:szCs w:val="18"/>
              </w:rPr>
              <w:t>房屋及建筑物</w:t>
            </w:r>
            <w:r>
              <w:rPr>
                <w:rFonts w:ascii="宋体" w:hAnsi="宋体" w:cs="宋体" w:eastAsia="宋体" w:hint="default"/>
                <w:sz w:val="18"/>
                <w:szCs w:val="18"/>
              </w:rPr>
              <w:t>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446" w:right="0"/>
              <w:jc w:val="left"/>
              <w:rPr>
                <w:rFonts w:ascii="宋体" w:hAnsi="宋体" w:cs="宋体" w:eastAsia="宋体" w:hint="default"/>
                <w:sz w:val="18"/>
                <w:szCs w:val="18"/>
              </w:rPr>
            </w:pPr>
            <w:r>
              <w:rPr>
                <w:rFonts w:ascii="宋体" w:hAnsi="宋体" w:cs="宋体" w:eastAsia="宋体" w:hint="default"/>
                <w:sz w:val="18"/>
                <w:szCs w:val="18"/>
              </w:rPr>
              <w:t>机器设备</w:t>
            </w:r>
            <w:r>
              <w:rPr>
                <w:rFonts w:ascii="宋体" w:hAnsi="宋体" w:cs="宋体" w:eastAsia="宋体" w:hint="default"/>
                <w:sz w:val="18"/>
                <w:szCs w:val="18"/>
              </w:rPr>
              <w:t>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444" w:right="0"/>
              <w:jc w:val="left"/>
              <w:rPr>
                <w:rFonts w:ascii="宋体" w:hAnsi="宋体" w:cs="宋体" w:eastAsia="宋体" w:hint="default"/>
                <w:sz w:val="18"/>
                <w:szCs w:val="18"/>
              </w:rPr>
            </w:pPr>
            <w:r>
              <w:rPr>
                <w:rFonts w:ascii="宋体" w:hAnsi="宋体" w:cs="宋体" w:eastAsia="宋体" w:hint="default"/>
                <w:sz w:val="18"/>
                <w:szCs w:val="18"/>
              </w:rPr>
              <w:t>运输工具</w:t>
            </w:r>
            <w:r>
              <w:rPr>
                <w:rFonts w:ascii="宋体" w:hAnsi="宋体" w:cs="宋体" w:eastAsia="宋体" w:hint="default"/>
                <w:sz w:val="18"/>
                <w:szCs w:val="18"/>
              </w:rPr>
              <w:t> </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444" w:right="0"/>
              <w:jc w:val="left"/>
              <w:rPr>
                <w:rFonts w:ascii="宋体" w:hAnsi="宋体" w:cs="宋体" w:eastAsia="宋体" w:hint="default"/>
                <w:sz w:val="18"/>
                <w:szCs w:val="18"/>
              </w:rPr>
            </w:pPr>
            <w:r>
              <w:rPr>
                <w:rFonts w:ascii="宋体" w:hAnsi="宋体" w:cs="宋体" w:eastAsia="宋体" w:hint="default"/>
                <w:sz w:val="18"/>
                <w:szCs w:val="18"/>
              </w:rPr>
              <w:t>通用设备</w:t>
            </w:r>
            <w:r>
              <w:rPr>
                <w:rFonts w:ascii="宋体" w:hAnsi="宋体" w:cs="宋体" w:eastAsia="宋体" w:hint="default"/>
                <w:sz w:val="18"/>
                <w:szCs w:val="18"/>
              </w:rPr>
              <w:t> </w:t>
            </w:r>
          </w:p>
        </w:tc>
        <w:tc>
          <w:tcPr>
            <w:tcW w:w="16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470" w:right="0"/>
              <w:jc w:val="left"/>
              <w:rPr>
                <w:rFonts w:ascii="宋体" w:hAnsi="宋体" w:cs="宋体" w:eastAsia="宋体" w:hint="default"/>
                <w:sz w:val="18"/>
                <w:szCs w:val="18"/>
              </w:rPr>
            </w:pPr>
            <w:r>
              <w:rPr>
                <w:rFonts w:ascii="宋体" w:hAnsi="宋体" w:cs="宋体" w:eastAsia="宋体" w:hint="default"/>
                <w:sz w:val="18"/>
                <w:szCs w:val="18"/>
              </w:rPr>
              <w:t>光伏电站</w:t>
            </w:r>
            <w:r>
              <w:rPr>
                <w:rFonts w:ascii="宋体" w:hAnsi="宋体" w:cs="宋体" w:eastAsia="宋体" w:hint="default"/>
                <w:sz w:val="18"/>
                <w:szCs w:val="18"/>
              </w:rPr>
              <w:t> </w:t>
            </w:r>
          </w:p>
        </w:tc>
        <w:tc>
          <w:tcPr>
            <w:tcW w:w="2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87" w:right="0"/>
              <w:jc w:val="center"/>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r>
      <w:tr>
        <w:trPr>
          <w:trHeight w:val="336" w:hRule="exact"/>
        </w:trPr>
        <w:tc>
          <w:tcPr>
            <w:tcW w:w="3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7" w:right="0"/>
              <w:jc w:val="left"/>
              <w:rPr>
                <w:rFonts w:ascii="宋体" w:hAnsi="宋体" w:cs="宋体" w:eastAsia="宋体" w:hint="default"/>
                <w:sz w:val="18"/>
                <w:szCs w:val="18"/>
              </w:rPr>
            </w:pPr>
            <w:r>
              <w:rPr>
                <w:rFonts w:ascii="宋体" w:hAnsi="宋体" w:cs="宋体" w:eastAsia="宋体" w:hint="default"/>
                <w:sz w:val="18"/>
                <w:szCs w:val="18"/>
              </w:rPr>
              <w:t>一、账面原值：</w:t>
            </w:r>
            <w:r>
              <w:rPr>
                <w:rFonts w:ascii="宋体" w:hAnsi="宋体" w:cs="宋体" w:eastAsia="宋体" w:hint="default"/>
                <w:sz w:val="18"/>
                <w:szCs w:val="18"/>
              </w:rPr>
              <w:t> </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95" w:right="0"/>
              <w:jc w:val="center"/>
              <w:rPr>
                <w:rFonts w:ascii="宋体" w:hAnsi="宋体" w:cs="宋体" w:eastAsia="宋体" w:hint="default"/>
                <w:sz w:val="18"/>
                <w:szCs w:val="18"/>
              </w:rPr>
            </w:pPr>
            <w:r>
              <w:rPr>
                <w:rFonts w:ascii="宋体"/>
                <w:sz w:val="18"/>
              </w:rPr>
              <w:t>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92" w:right="0"/>
              <w:jc w:val="center"/>
              <w:rPr>
                <w:rFonts w:ascii="宋体" w:hAnsi="宋体" w:cs="宋体" w:eastAsia="宋体" w:hint="default"/>
                <w:sz w:val="18"/>
                <w:szCs w:val="18"/>
              </w:rPr>
            </w:pPr>
            <w:r>
              <w:rPr>
                <w:rFonts w:ascii="宋体"/>
                <w:sz w:val="18"/>
              </w:rPr>
              <w:t>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87" w:right="0"/>
              <w:jc w:val="center"/>
              <w:rPr>
                <w:rFonts w:ascii="宋体" w:hAnsi="宋体" w:cs="宋体" w:eastAsia="宋体" w:hint="default"/>
                <w:sz w:val="18"/>
                <w:szCs w:val="18"/>
              </w:rPr>
            </w:pPr>
            <w:r>
              <w:rPr>
                <w:rFonts w:ascii="宋体"/>
                <w:sz w:val="18"/>
              </w:rPr>
              <w:t> </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90" w:right="0"/>
              <w:jc w:val="center"/>
              <w:rPr>
                <w:rFonts w:ascii="宋体" w:hAnsi="宋体" w:cs="宋体" w:eastAsia="宋体" w:hint="default"/>
                <w:sz w:val="18"/>
                <w:szCs w:val="18"/>
              </w:rPr>
            </w:pPr>
            <w:r>
              <w:rPr>
                <w:rFonts w:ascii="宋体"/>
                <w:sz w:val="18"/>
              </w:rPr>
              <w:t> </w:t>
            </w:r>
          </w:p>
        </w:tc>
        <w:tc>
          <w:tcPr>
            <w:tcW w:w="16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92" w:right="0"/>
              <w:jc w:val="center"/>
              <w:rPr>
                <w:rFonts w:ascii="宋体" w:hAnsi="宋体" w:cs="宋体" w:eastAsia="宋体" w:hint="default"/>
                <w:sz w:val="18"/>
                <w:szCs w:val="18"/>
              </w:rPr>
            </w:pPr>
            <w:r>
              <w:rPr>
                <w:rFonts w:ascii="宋体"/>
                <w:sz w:val="18"/>
              </w:rPr>
              <w:t> </w:t>
            </w:r>
          </w:p>
        </w:tc>
        <w:tc>
          <w:tcPr>
            <w:tcW w:w="2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87" w:right="0"/>
              <w:jc w:val="center"/>
              <w:rPr>
                <w:rFonts w:ascii="宋体" w:hAnsi="宋体" w:cs="宋体" w:eastAsia="宋体" w:hint="default"/>
                <w:sz w:val="18"/>
                <w:szCs w:val="18"/>
              </w:rPr>
            </w:pPr>
            <w:r>
              <w:rPr>
                <w:rFonts w:ascii="宋体"/>
                <w:sz w:val="18"/>
              </w:rPr>
              <w:t> </w:t>
            </w:r>
          </w:p>
        </w:tc>
      </w:tr>
      <w:tr>
        <w:trPr>
          <w:trHeight w:val="337" w:hRule="exact"/>
        </w:trPr>
        <w:tc>
          <w:tcPr>
            <w:tcW w:w="3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468"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期初余额</w:t>
            </w:r>
            <w:r>
              <w:rPr>
                <w:rFonts w:ascii="宋体" w:hAnsi="宋体" w:cs="宋体" w:eastAsia="宋体" w:hint="default"/>
                <w:sz w:val="18"/>
                <w:szCs w:val="18"/>
              </w:rPr>
              <w:t> </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3"/>
              <w:jc w:val="right"/>
              <w:rPr>
                <w:rFonts w:ascii="宋体" w:hAnsi="宋体" w:cs="宋体" w:eastAsia="宋体" w:hint="default"/>
                <w:sz w:val="18"/>
                <w:szCs w:val="18"/>
              </w:rPr>
            </w:pPr>
            <w:r>
              <w:rPr>
                <w:rFonts w:ascii="宋体"/>
                <w:spacing w:val="-1"/>
                <w:sz w:val="18"/>
              </w:rPr>
              <w:t>760,142,177.88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7"/>
              <w:jc w:val="right"/>
              <w:rPr>
                <w:rFonts w:ascii="宋体" w:hAnsi="宋体" w:cs="宋体" w:eastAsia="宋体" w:hint="default"/>
                <w:sz w:val="18"/>
                <w:szCs w:val="18"/>
              </w:rPr>
            </w:pPr>
            <w:r>
              <w:rPr>
                <w:rFonts w:ascii="宋体"/>
                <w:spacing w:val="-1"/>
                <w:sz w:val="18"/>
              </w:rPr>
              <w:t>599,363,070.68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8"/>
              <w:jc w:val="right"/>
              <w:rPr>
                <w:rFonts w:ascii="宋体" w:hAnsi="宋体" w:cs="宋体" w:eastAsia="宋体" w:hint="default"/>
                <w:sz w:val="18"/>
                <w:szCs w:val="18"/>
              </w:rPr>
            </w:pPr>
            <w:r>
              <w:rPr>
                <w:rFonts w:ascii="宋体"/>
                <w:spacing w:val="-1"/>
                <w:sz w:val="18"/>
              </w:rPr>
              <w:t>22,913,181.28 </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7"/>
              <w:jc w:val="right"/>
              <w:rPr>
                <w:rFonts w:ascii="宋体" w:hAnsi="宋体" w:cs="宋体" w:eastAsia="宋体" w:hint="default"/>
                <w:sz w:val="18"/>
                <w:szCs w:val="18"/>
              </w:rPr>
            </w:pPr>
            <w:r>
              <w:rPr>
                <w:rFonts w:ascii="宋体"/>
                <w:spacing w:val="-1"/>
                <w:sz w:val="18"/>
              </w:rPr>
              <w:t>156,373,340.80 </w:t>
            </w:r>
          </w:p>
        </w:tc>
        <w:tc>
          <w:tcPr>
            <w:tcW w:w="16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7"/>
              <w:jc w:val="right"/>
              <w:rPr>
                <w:rFonts w:ascii="宋体" w:hAnsi="宋体" w:cs="宋体" w:eastAsia="宋体" w:hint="default"/>
                <w:sz w:val="18"/>
                <w:szCs w:val="18"/>
              </w:rPr>
            </w:pPr>
            <w:r>
              <w:rPr>
                <w:rFonts w:ascii="宋体"/>
                <w:spacing w:val="-1"/>
                <w:sz w:val="18"/>
              </w:rPr>
              <w:t>8,496,522,923.01 </w:t>
            </w:r>
          </w:p>
        </w:tc>
        <w:tc>
          <w:tcPr>
            <w:tcW w:w="2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7"/>
              <w:jc w:val="right"/>
              <w:rPr>
                <w:rFonts w:ascii="宋体" w:hAnsi="宋体" w:cs="宋体" w:eastAsia="宋体" w:hint="default"/>
                <w:sz w:val="18"/>
                <w:szCs w:val="18"/>
              </w:rPr>
            </w:pPr>
            <w:r>
              <w:rPr>
                <w:rFonts w:ascii="宋体"/>
                <w:spacing w:val="-1"/>
                <w:sz w:val="18"/>
              </w:rPr>
              <w:t>10,035,314,693.65 </w:t>
            </w:r>
          </w:p>
        </w:tc>
      </w:tr>
      <w:tr>
        <w:trPr>
          <w:trHeight w:val="336" w:hRule="exact"/>
        </w:trPr>
        <w:tc>
          <w:tcPr>
            <w:tcW w:w="3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468"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本期增加金额</w:t>
            </w:r>
            <w:r>
              <w:rPr>
                <w:rFonts w:ascii="宋体" w:hAnsi="宋体" w:cs="宋体" w:eastAsia="宋体" w:hint="default"/>
                <w:sz w:val="18"/>
                <w:szCs w:val="18"/>
              </w:rPr>
              <w:t> </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3"/>
              <w:jc w:val="right"/>
              <w:rPr>
                <w:rFonts w:ascii="宋体" w:hAnsi="宋体" w:cs="宋体" w:eastAsia="宋体" w:hint="default"/>
                <w:sz w:val="18"/>
                <w:szCs w:val="18"/>
              </w:rPr>
            </w:pPr>
            <w:r>
              <w:rPr>
                <w:rFonts w:ascii="宋体"/>
                <w:spacing w:val="-1"/>
                <w:sz w:val="18"/>
              </w:rPr>
              <w:t>125,862,444.03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7"/>
              <w:jc w:val="right"/>
              <w:rPr>
                <w:rFonts w:ascii="宋体" w:hAnsi="宋体" w:cs="宋体" w:eastAsia="宋体" w:hint="default"/>
                <w:sz w:val="18"/>
                <w:szCs w:val="18"/>
              </w:rPr>
            </w:pPr>
            <w:r>
              <w:rPr>
                <w:rFonts w:ascii="宋体"/>
                <w:spacing w:val="-1"/>
                <w:sz w:val="18"/>
              </w:rPr>
              <w:t>52,655,707.44</w:t>
            </w:r>
            <w:r>
              <w:rPr>
                <w:rFonts w:ascii="宋体"/>
                <w:sz w:val="18"/>
              </w:rPr>
              <w:t>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8"/>
              <w:jc w:val="right"/>
              <w:rPr>
                <w:rFonts w:ascii="宋体" w:hAnsi="宋体" w:cs="宋体" w:eastAsia="宋体" w:hint="default"/>
                <w:sz w:val="18"/>
                <w:szCs w:val="18"/>
              </w:rPr>
            </w:pPr>
            <w:r>
              <w:rPr>
                <w:rFonts w:ascii="宋体"/>
                <w:spacing w:val="-1"/>
                <w:sz w:val="18"/>
              </w:rPr>
              <w:t>307,417.35</w:t>
            </w:r>
            <w:r>
              <w:rPr>
                <w:rFonts w:ascii="宋体"/>
                <w:sz w:val="18"/>
              </w:rPr>
              <w:t> </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7"/>
              <w:jc w:val="right"/>
              <w:rPr>
                <w:rFonts w:ascii="宋体" w:hAnsi="宋体" w:cs="宋体" w:eastAsia="宋体" w:hint="default"/>
                <w:sz w:val="18"/>
                <w:szCs w:val="18"/>
              </w:rPr>
            </w:pPr>
            <w:r>
              <w:rPr>
                <w:rFonts w:ascii="宋体"/>
                <w:spacing w:val="-1"/>
                <w:sz w:val="18"/>
              </w:rPr>
              <w:t>1,983,498.93</w:t>
            </w:r>
            <w:r>
              <w:rPr>
                <w:rFonts w:ascii="宋体"/>
                <w:sz w:val="18"/>
              </w:rPr>
              <w:t> </w:t>
            </w:r>
          </w:p>
        </w:tc>
        <w:tc>
          <w:tcPr>
            <w:tcW w:w="16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7"/>
              <w:jc w:val="right"/>
              <w:rPr>
                <w:rFonts w:ascii="宋体" w:hAnsi="宋体" w:cs="宋体" w:eastAsia="宋体" w:hint="default"/>
                <w:sz w:val="18"/>
                <w:szCs w:val="18"/>
              </w:rPr>
            </w:pPr>
            <w:r>
              <w:rPr>
                <w:rFonts w:ascii="宋体"/>
                <w:spacing w:val="-1"/>
                <w:sz w:val="18"/>
              </w:rPr>
              <w:t>256,997,042.67 </w:t>
            </w:r>
          </w:p>
        </w:tc>
        <w:tc>
          <w:tcPr>
            <w:tcW w:w="2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7"/>
              <w:jc w:val="right"/>
              <w:rPr>
                <w:rFonts w:ascii="宋体" w:hAnsi="宋体" w:cs="宋体" w:eastAsia="宋体" w:hint="default"/>
                <w:sz w:val="18"/>
                <w:szCs w:val="18"/>
              </w:rPr>
            </w:pPr>
            <w:r>
              <w:rPr>
                <w:rFonts w:ascii="宋体"/>
                <w:spacing w:val="-1"/>
                <w:sz w:val="18"/>
              </w:rPr>
              <w:t>437,806,110.42 </w:t>
            </w:r>
          </w:p>
        </w:tc>
      </w:tr>
      <w:tr>
        <w:trPr>
          <w:trHeight w:val="336" w:hRule="exact"/>
        </w:trPr>
        <w:tc>
          <w:tcPr>
            <w:tcW w:w="3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648"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）购置</w:t>
            </w:r>
            <w:r>
              <w:rPr>
                <w:rFonts w:ascii="宋体" w:hAnsi="宋体" w:cs="宋体" w:eastAsia="宋体" w:hint="default"/>
                <w:sz w:val="18"/>
                <w:szCs w:val="18"/>
              </w:rPr>
              <w:t> </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3"/>
              <w:jc w:val="right"/>
              <w:rPr>
                <w:rFonts w:ascii="宋体" w:hAnsi="宋体" w:cs="宋体" w:eastAsia="宋体" w:hint="default"/>
                <w:sz w:val="18"/>
                <w:szCs w:val="18"/>
              </w:rPr>
            </w:pPr>
            <w:r>
              <w:rPr>
                <w:rFonts w:ascii="宋体"/>
                <w:spacing w:val="-1"/>
                <w:sz w:val="18"/>
              </w:rPr>
              <w:t>119,625,801.57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7"/>
              <w:jc w:val="right"/>
              <w:rPr>
                <w:rFonts w:ascii="宋体" w:hAnsi="宋体" w:cs="宋体" w:eastAsia="宋体" w:hint="default"/>
                <w:sz w:val="18"/>
                <w:szCs w:val="18"/>
              </w:rPr>
            </w:pPr>
            <w:r>
              <w:rPr>
                <w:rFonts w:ascii="宋体"/>
                <w:spacing w:val="-1"/>
                <w:sz w:val="18"/>
              </w:rPr>
              <w:t>24,254,236.78</w:t>
            </w:r>
            <w:r>
              <w:rPr>
                <w:rFonts w:ascii="宋体"/>
                <w:sz w:val="18"/>
              </w:rPr>
              <w:t>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8"/>
              <w:jc w:val="right"/>
              <w:rPr>
                <w:rFonts w:ascii="宋体" w:hAnsi="宋体" w:cs="宋体" w:eastAsia="宋体" w:hint="default"/>
                <w:sz w:val="18"/>
                <w:szCs w:val="18"/>
              </w:rPr>
            </w:pPr>
            <w:r>
              <w:rPr>
                <w:rFonts w:ascii="宋体"/>
                <w:spacing w:val="-1"/>
                <w:sz w:val="18"/>
              </w:rPr>
              <w:t>293,346.55</w:t>
            </w:r>
            <w:r>
              <w:rPr>
                <w:rFonts w:ascii="宋体"/>
                <w:sz w:val="18"/>
              </w:rPr>
              <w:t> </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7"/>
              <w:jc w:val="right"/>
              <w:rPr>
                <w:rFonts w:ascii="宋体" w:hAnsi="宋体" w:cs="宋体" w:eastAsia="宋体" w:hint="default"/>
                <w:sz w:val="18"/>
                <w:szCs w:val="18"/>
              </w:rPr>
            </w:pPr>
            <w:r>
              <w:rPr>
                <w:rFonts w:ascii="宋体"/>
                <w:spacing w:val="-1"/>
                <w:sz w:val="18"/>
              </w:rPr>
              <w:t>1,814,237.04</w:t>
            </w:r>
            <w:r>
              <w:rPr>
                <w:rFonts w:ascii="宋体"/>
                <w:sz w:val="18"/>
              </w:rPr>
              <w:t> </w:t>
            </w:r>
          </w:p>
        </w:tc>
        <w:tc>
          <w:tcPr>
            <w:tcW w:w="16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7"/>
              <w:jc w:val="right"/>
              <w:rPr>
                <w:rFonts w:ascii="宋体" w:hAnsi="宋体" w:cs="宋体" w:eastAsia="宋体" w:hint="default"/>
                <w:sz w:val="18"/>
                <w:szCs w:val="18"/>
              </w:rPr>
            </w:pPr>
            <w:r>
              <w:rPr>
                <w:rFonts w:ascii="宋体"/>
                <w:spacing w:val="-1"/>
                <w:sz w:val="18"/>
              </w:rPr>
              <w:t>2,577,644.46 </w:t>
            </w:r>
          </w:p>
        </w:tc>
        <w:tc>
          <w:tcPr>
            <w:tcW w:w="2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7"/>
              <w:jc w:val="right"/>
              <w:rPr>
                <w:rFonts w:ascii="宋体" w:hAnsi="宋体" w:cs="宋体" w:eastAsia="宋体" w:hint="default"/>
                <w:sz w:val="18"/>
                <w:szCs w:val="18"/>
              </w:rPr>
            </w:pPr>
            <w:r>
              <w:rPr>
                <w:rFonts w:ascii="宋体"/>
                <w:spacing w:val="-1"/>
                <w:sz w:val="18"/>
              </w:rPr>
              <w:t>148,565,266.40 </w:t>
            </w:r>
          </w:p>
        </w:tc>
      </w:tr>
      <w:tr>
        <w:trPr>
          <w:trHeight w:val="336" w:hRule="exact"/>
        </w:trPr>
        <w:tc>
          <w:tcPr>
            <w:tcW w:w="3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374"/>
              <w:jc w:val="righ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）在建工程转入</w:t>
            </w:r>
            <w:r>
              <w:rPr>
                <w:rFonts w:ascii="宋体" w:hAnsi="宋体" w:cs="宋体" w:eastAsia="宋体" w:hint="default"/>
                <w:sz w:val="18"/>
                <w:szCs w:val="18"/>
              </w:rPr>
              <w:t> </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3"/>
              <w:jc w:val="right"/>
              <w:rPr>
                <w:rFonts w:ascii="宋体" w:hAnsi="宋体" w:cs="宋体" w:eastAsia="宋体" w:hint="default"/>
                <w:sz w:val="18"/>
                <w:szCs w:val="18"/>
              </w:rPr>
            </w:pPr>
            <w:r>
              <w:rPr>
                <w:rFonts w:ascii="宋体"/>
                <w:spacing w:val="-1"/>
                <w:sz w:val="18"/>
              </w:rPr>
              <w:t>6,236,642.46</w:t>
            </w:r>
            <w:r>
              <w:rPr>
                <w:rFonts w:ascii="宋体"/>
                <w:sz w:val="18"/>
              </w:rPr>
              <w:t>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7"/>
              <w:jc w:val="right"/>
              <w:rPr>
                <w:rFonts w:ascii="宋体" w:hAnsi="宋体" w:cs="宋体" w:eastAsia="宋体" w:hint="default"/>
                <w:sz w:val="18"/>
                <w:szCs w:val="18"/>
              </w:rPr>
            </w:pPr>
            <w:r>
              <w:rPr>
                <w:rFonts w:ascii="宋体"/>
                <w:spacing w:val="-1"/>
                <w:sz w:val="18"/>
              </w:rPr>
              <w:t>28,401,470.66</w:t>
            </w:r>
            <w:r>
              <w:rPr>
                <w:rFonts w:ascii="宋体"/>
                <w:sz w:val="18"/>
              </w:rPr>
              <w:t>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8"/>
              <w:jc w:val="right"/>
              <w:rPr>
                <w:rFonts w:ascii="宋体" w:hAnsi="宋体" w:cs="宋体" w:eastAsia="宋体" w:hint="default"/>
                <w:sz w:val="18"/>
                <w:szCs w:val="18"/>
              </w:rPr>
            </w:pPr>
            <w:r>
              <w:rPr>
                <w:rFonts w:ascii="宋体"/>
                <w:spacing w:val="-1"/>
                <w:sz w:val="18"/>
              </w:rPr>
              <w:t>14,070.80</w:t>
            </w:r>
            <w:r>
              <w:rPr>
                <w:rFonts w:ascii="宋体"/>
                <w:sz w:val="18"/>
              </w:rPr>
              <w:t> </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7"/>
              <w:jc w:val="right"/>
              <w:rPr>
                <w:rFonts w:ascii="宋体" w:hAnsi="宋体" w:cs="宋体" w:eastAsia="宋体" w:hint="default"/>
                <w:sz w:val="18"/>
                <w:szCs w:val="18"/>
              </w:rPr>
            </w:pPr>
            <w:r>
              <w:rPr>
                <w:rFonts w:ascii="宋体"/>
                <w:spacing w:val="-1"/>
                <w:sz w:val="18"/>
              </w:rPr>
              <w:t>169,261.89</w:t>
            </w:r>
            <w:r>
              <w:rPr>
                <w:rFonts w:ascii="宋体"/>
                <w:sz w:val="18"/>
              </w:rPr>
              <w:t> </w:t>
            </w:r>
          </w:p>
        </w:tc>
        <w:tc>
          <w:tcPr>
            <w:tcW w:w="16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7"/>
              <w:jc w:val="right"/>
              <w:rPr>
                <w:rFonts w:ascii="宋体" w:hAnsi="宋体" w:cs="宋体" w:eastAsia="宋体" w:hint="default"/>
                <w:sz w:val="18"/>
                <w:szCs w:val="18"/>
              </w:rPr>
            </w:pPr>
            <w:r>
              <w:rPr>
                <w:rFonts w:ascii="宋体"/>
                <w:spacing w:val="-1"/>
                <w:sz w:val="18"/>
              </w:rPr>
              <w:t>254,419,398.21 </w:t>
            </w:r>
          </w:p>
        </w:tc>
        <w:tc>
          <w:tcPr>
            <w:tcW w:w="2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7"/>
              <w:jc w:val="right"/>
              <w:rPr>
                <w:rFonts w:ascii="宋体" w:hAnsi="宋体" w:cs="宋体" w:eastAsia="宋体" w:hint="default"/>
                <w:sz w:val="18"/>
                <w:szCs w:val="18"/>
              </w:rPr>
            </w:pPr>
            <w:r>
              <w:rPr>
                <w:rFonts w:ascii="宋体"/>
                <w:spacing w:val="-1"/>
                <w:sz w:val="18"/>
              </w:rPr>
              <w:t>289,240,844.02 </w:t>
            </w:r>
          </w:p>
        </w:tc>
      </w:tr>
      <w:tr>
        <w:trPr>
          <w:trHeight w:val="336" w:hRule="exact"/>
        </w:trPr>
        <w:tc>
          <w:tcPr>
            <w:tcW w:w="3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374"/>
              <w:jc w:val="righ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3</w:t>
            </w:r>
            <w:r>
              <w:rPr>
                <w:rFonts w:ascii="宋体" w:hAnsi="宋体" w:cs="宋体" w:eastAsia="宋体" w:hint="default"/>
                <w:sz w:val="18"/>
                <w:szCs w:val="18"/>
              </w:rPr>
              <w:t>）企业合并增加</w:t>
            </w:r>
            <w:r>
              <w:rPr>
                <w:rFonts w:ascii="宋体" w:hAnsi="宋体" w:cs="宋体" w:eastAsia="宋体" w:hint="default"/>
                <w:sz w:val="18"/>
                <w:szCs w:val="18"/>
              </w:rPr>
              <w:t> </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3"/>
              <w:jc w:val="right"/>
              <w:rPr>
                <w:rFonts w:ascii="宋体" w:hAnsi="宋体" w:cs="宋体" w:eastAsia="宋体" w:hint="default"/>
                <w:sz w:val="18"/>
                <w:szCs w:val="18"/>
              </w:rPr>
            </w:pPr>
            <w:r>
              <w:rPr>
                <w:rFonts w:ascii="宋体"/>
                <w:sz w:val="18"/>
              </w:rPr>
              <w:t>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7"/>
              <w:jc w:val="right"/>
              <w:rPr>
                <w:rFonts w:ascii="宋体" w:hAnsi="宋体" w:cs="宋体" w:eastAsia="宋体" w:hint="default"/>
                <w:sz w:val="18"/>
                <w:szCs w:val="18"/>
              </w:rPr>
            </w:pPr>
            <w:r>
              <w:rPr>
                <w:rFonts w:ascii="宋体"/>
                <w:sz w:val="18"/>
              </w:rPr>
              <w:t>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8"/>
              <w:jc w:val="right"/>
              <w:rPr>
                <w:rFonts w:ascii="宋体" w:hAnsi="宋体" w:cs="宋体" w:eastAsia="宋体" w:hint="default"/>
                <w:sz w:val="18"/>
                <w:szCs w:val="18"/>
              </w:rPr>
            </w:pPr>
            <w:r>
              <w:rPr>
                <w:rFonts w:ascii="宋体"/>
                <w:sz w:val="18"/>
              </w:rPr>
              <w:t> </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7"/>
              <w:jc w:val="right"/>
              <w:rPr>
                <w:rFonts w:ascii="宋体" w:hAnsi="宋体" w:cs="宋体" w:eastAsia="宋体" w:hint="default"/>
                <w:sz w:val="18"/>
                <w:szCs w:val="18"/>
              </w:rPr>
            </w:pPr>
            <w:r>
              <w:rPr>
                <w:rFonts w:ascii="宋体"/>
                <w:sz w:val="18"/>
              </w:rPr>
              <w:t> </w:t>
            </w:r>
          </w:p>
        </w:tc>
        <w:tc>
          <w:tcPr>
            <w:tcW w:w="16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7"/>
              <w:jc w:val="right"/>
              <w:rPr>
                <w:rFonts w:ascii="宋体" w:hAnsi="宋体" w:cs="宋体" w:eastAsia="宋体" w:hint="default"/>
                <w:sz w:val="18"/>
                <w:szCs w:val="18"/>
              </w:rPr>
            </w:pPr>
            <w:r>
              <w:rPr>
                <w:rFonts w:ascii="宋体"/>
                <w:sz w:val="18"/>
              </w:rPr>
              <w:t> </w:t>
            </w:r>
          </w:p>
        </w:tc>
        <w:tc>
          <w:tcPr>
            <w:tcW w:w="2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7"/>
              <w:jc w:val="right"/>
              <w:rPr>
                <w:rFonts w:ascii="宋体" w:hAnsi="宋体" w:cs="宋体" w:eastAsia="宋体" w:hint="default"/>
                <w:sz w:val="18"/>
                <w:szCs w:val="18"/>
              </w:rPr>
            </w:pPr>
            <w:r>
              <w:rPr>
                <w:rFonts w:ascii="宋体"/>
                <w:sz w:val="18"/>
              </w:rPr>
              <w:t> </w:t>
            </w:r>
          </w:p>
        </w:tc>
      </w:tr>
      <w:tr>
        <w:trPr>
          <w:trHeight w:val="336" w:hRule="exact"/>
        </w:trPr>
        <w:tc>
          <w:tcPr>
            <w:tcW w:w="3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47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本期减少金额</w:t>
            </w:r>
            <w:r>
              <w:rPr>
                <w:rFonts w:ascii="宋体" w:hAnsi="宋体" w:cs="宋体" w:eastAsia="宋体" w:hint="default"/>
                <w:sz w:val="18"/>
                <w:szCs w:val="18"/>
              </w:rPr>
              <w:t> </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3"/>
              <w:jc w:val="right"/>
              <w:rPr>
                <w:rFonts w:ascii="宋体" w:hAnsi="宋体" w:cs="宋体" w:eastAsia="宋体" w:hint="default"/>
                <w:sz w:val="18"/>
                <w:szCs w:val="18"/>
              </w:rPr>
            </w:pPr>
            <w:r>
              <w:rPr>
                <w:rFonts w:ascii="宋体"/>
                <w:sz w:val="18"/>
              </w:rPr>
              <w:t>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7"/>
              <w:jc w:val="right"/>
              <w:rPr>
                <w:rFonts w:ascii="宋体" w:hAnsi="宋体" w:cs="宋体" w:eastAsia="宋体" w:hint="default"/>
                <w:sz w:val="18"/>
                <w:szCs w:val="18"/>
              </w:rPr>
            </w:pPr>
            <w:r>
              <w:rPr>
                <w:rFonts w:ascii="宋体"/>
                <w:spacing w:val="-1"/>
                <w:sz w:val="18"/>
              </w:rPr>
              <w:t>13,247,804.17</w:t>
            </w:r>
            <w:r>
              <w:rPr>
                <w:rFonts w:ascii="宋体"/>
                <w:sz w:val="18"/>
              </w:rPr>
              <w:t>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8"/>
              <w:jc w:val="right"/>
              <w:rPr>
                <w:rFonts w:ascii="宋体" w:hAnsi="宋体" w:cs="宋体" w:eastAsia="宋体" w:hint="default"/>
                <w:sz w:val="18"/>
                <w:szCs w:val="18"/>
              </w:rPr>
            </w:pPr>
            <w:r>
              <w:rPr>
                <w:rFonts w:ascii="宋体"/>
                <w:spacing w:val="-1"/>
                <w:sz w:val="18"/>
              </w:rPr>
              <w:t>597,821.31</w:t>
            </w:r>
            <w:r>
              <w:rPr>
                <w:rFonts w:ascii="宋体"/>
                <w:sz w:val="18"/>
              </w:rPr>
              <w:t> </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7"/>
              <w:jc w:val="right"/>
              <w:rPr>
                <w:rFonts w:ascii="宋体" w:hAnsi="宋体" w:cs="宋体" w:eastAsia="宋体" w:hint="default"/>
                <w:sz w:val="18"/>
                <w:szCs w:val="18"/>
              </w:rPr>
            </w:pPr>
            <w:r>
              <w:rPr>
                <w:rFonts w:ascii="宋体"/>
                <w:spacing w:val="-1"/>
                <w:sz w:val="18"/>
              </w:rPr>
              <w:t>5,397,091.77</w:t>
            </w:r>
            <w:r>
              <w:rPr>
                <w:rFonts w:ascii="宋体"/>
                <w:sz w:val="18"/>
              </w:rPr>
              <w:t> </w:t>
            </w:r>
          </w:p>
        </w:tc>
        <w:tc>
          <w:tcPr>
            <w:tcW w:w="16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7"/>
              <w:jc w:val="right"/>
              <w:rPr>
                <w:rFonts w:ascii="宋体" w:hAnsi="宋体" w:cs="宋体" w:eastAsia="宋体" w:hint="default"/>
                <w:sz w:val="18"/>
                <w:szCs w:val="18"/>
              </w:rPr>
            </w:pPr>
            <w:r>
              <w:rPr>
                <w:rFonts w:ascii="宋体"/>
                <w:spacing w:val="-1"/>
                <w:sz w:val="18"/>
              </w:rPr>
              <w:t>21,720,996.99 </w:t>
            </w:r>
          </w:p>
        </w:tc>
        <w:tc>
          <w:tcPr>
            <w:tcW w:w="2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7"/>
              <w:jc w:val="right"/>
              <w:rPr>
                <w:rFonts w:ascii="宋体" w:hAnsi="宋体" w:cs="宋体" w:eastAsia="宋体" w:hint="default"/>
                <w:sz w:val="18"/>
                <w:szCs w:val="18"/>
              </w:rPr>
            </w:pPr>
            <w:r>
              <w:rPr>
                <w:rFonts w:ascii="宋体"/>
                <w:spacing w:val="-1"/>
                <w:sz w:val="18"/>
              </w:rPr>
              <w:t>40,963,714.24</w:t>
            </w:r>
            <w:r>
              <w:rPr>
                <w:rFonts w:ascii="宋体"/>
                <w:sz w:val="18"/>
              </w:rPr>
              <w:t> </w:t>
            </w:r>
          </w:p>
        </w:tc>
      </w:tr>
      <w:tr>
        <w:trPr>
          <w:trHeight w:val="336" w:hRule="exact"/>
        </w:trPr>
        <w:tc>
          <w:tcPr>
            <w:tcW w:w="3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648"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）处置或报废</w:t>
            </w:r>
            <w:r>
              <w:rPr>
                <w:rFonts w:ascii="宋体" w:hAnsi="宋体" w:cs="宋体" w:eastAsia="宋体" w:hint="default"/>
                <w:sz w:val="18"/>
                <w:szCs w:val="18"/>
              </w:rPr>
              <w:t> </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3"/>
              <w:jc w:val="right"/>
              <w:rPr>
                <w:rFonts w:ascii="宋体" w:hAnsi="宋体" w:cs="宋体" w:eastAsia="宋体" w:hint="default"/>
                <w:sz w:val="18"/>
                <w:szCs w:val="18"/>
              </w:rPr>
            </w:pPr>
            <w:r>
              <w:rPr>
                <w:rFonts w:ascii="宋体"/>
                <w:sz w:val="18"/>
              </w:rPr>
              <w:t>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7"/>
              <w:jc w:val="right"/>
              <w:rPr>
                <w:rFonts w:ascii="宋体" w:hAnsi="宋体" w:cs="宋体" w:eastAsia="宋体" w:hint="default"/>
                <w:sz w:val="18"/>
                <w:szCs w:val="18"/>
              </w:rPr>
            </w:pPr>
            <w:r>
              <w:rPr>
                <w:rFonts w:ascii="宋体"/>
                <w:spacing w:val="-1"/>
                <w:sz w:val="18"/>
              </w:rPr>
              <w:t>13,247,804.17</w:t>
            </w:r>
            <w:r>
              <w:rPr>
                <w:rFonts w:ascii="宋体"/>
                <w:sz w:val="18"/>
              </w:rPr>
              <w:t>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8"/>
              <w:jc w:val="right"/>
              <w:rPr>
                <w:rFonts w:ascii="宋体" w:hAnsi="宋体" w:cs="宋体" w:eastAsia="宋体" w:hint="default"/>
                <w:sz w:val="18"/>
                <w:szCs w:val="18"/>
              </w:rPr>
            </w:pPr>
            <w:r>
              <w:rPr>
                <w:rFonts w:ascii="宋体"/>
                <w:spacing w:val="-1"/>
                <w:sz w:val="18"/>
              </w:rPr>
              <w:t>597,821.31</w:t>
            </w:r>
            <w:r>
              <w:rPr>
                <w:rFonts w:ascii="宋体"/>
                <w:sz w:val="18"/>
              </w:rPr>
              <w:t> </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7"/>
              <w:jc w:val="right"/>
              <w:rPr>
                <w:rFonts w:ascii="宋体" w:hAnsi="宋体" w:cs="宋体" w:eastAsia="宋体" w:hint="default"/>
                <w:sz w:val="18"/>
                <w:szCs w:val="18"/>
              </w:rPr>
            </w:pPr>
            <w:r>
              <w:rPr>
                <w:rFonts w:ascii="宋体"/>
                <w:spacing w:val="-1"/>
                <w:sz w:val="18"/>
              </w:rPr>
              <w:t>5,397,091.77</w:t>
            </w:r>
            <w:r>
              <w:rPr>
                <w:rFonts w:ascii="宋体"/>
                <w:sz w:val="18"/>
              </w:rPr>
              <w:t> </w:t>
            </w:r>
          </w:p>
        </w:tc>
        <w:tc>
          <w:tcPr>
            <w:tcW w:w="16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7"/>
              <w:jc w:val="right"/>
              <w:rPr>
                <w:rFonts w:ascii="宋体" w:hAnsi="宋体" w:cs="宋体" w:eastAsia="宋体" w:hint="default"/>
                <w:sz w:val="18"/>
                <w:szCs w:val="18"/>
              </w:rPr>
            </w:pPr>
            <w:r>
              <w:rPr>
                <w:rFonts w:ascii="宋体"/>
                <w:spacing w:val="-1"/>
                <w:sz w:val="18"/>
              </w:rPr>
              <w:t>21,720,996.99 </w:t>
            </w:r>
          </w:p>
        </w:tc>
        <w:tc>
          <w:tcPr>
            <w:tcW w:w="2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7"/>
              <w:jc w:val="right"/>
              <w:rPr>
                <w:rFonts w:ascii="宋体" w:hAnsi="宋体" w:cs="宋体" w:eastAsia="宋体" w:hint="default"/>
                <w:sz w:val="18"/>
                <w:szCs w:val="18"/>
              </w:rPr>
            </w:pPr>
            <w:r>
              <w:rPr>
                <w:rFonts w:ascii="宋体"/>
                <w:spacing w:val="-1"/>
                <w:sz w:val="18"/>
              </w:rPr>
              <w:t>40,963,714.24</w:t>
            </w:r>
            <w:r>
              <w:rPr>
                <w:rFonts w:ascii="宋体"/>
                <w:sz w:val="18"/>
              </w:rPr>
              <w:t> </w:t>
            </w:r>
          </w:p>
        </w:tc>
      </w:tr>
      <w:tr>
        <w:trPr>
          <w:trHeight w:val="336" w:hRule="exact"/>
        </w:trPr>
        <w:tc>
          <w:tcPr>
            <w:tcW w:w="3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468"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期末余额</w:t>
            </w:r>
            <w:r>
              <w:rPr>
                <w:rFonts w:ascii="宋体" w:hAnsi="宋体" w:cs="宋体" w:eastAsia="宋体" w:hint="default"/>
                <w:sz w:val="18"/>
                <w:szCs w:val="18"/>
              </w:rPr>
              <w:t> </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3"/>
              <w:jc w:val="right"/>
              <w:rPr>
                <w:rFonts w:ascii="宋体" w:hAnsi="宋体" w:cs="宋体" w:eastAsia="宋体" w:hint="default"/>
                <w:sz w:val="18"/>
                <w:szCs w:val="18"/>
              </w:rPr>
            </w:pPr>
            <w:r>
              <w:rPr>
                <w:rFonts w:ascii="宋体"/>
                <w:spacing w:val="-1"/>
                <w:sz w:val="18"/>
              </w:rPr>
              <w:t>886,004,621.91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7"/>
              <w:jc w:val="right"/>
              <w:rPr>
                <w:rFonts w:ascii="宋体" w:hAnsi="宋体" w:cs="宋体" w:eastAsia="宋体" w:hint="default"/>
                <w:sz w:val="18"/>
                <w:szCs w:val="18"/>
              </w:rPr>
            </w:pPr>
            <w:r>
              <w:rPr>
                <w:rFonts w:ascii="宋体"/>
                <w:spacing w:val="-1"/>
                <w:sz w:val="18"/>
              </w:rPr>
              <w:t>638,770,973.95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8"/>
              <w:jc w:val="right"/>
              <w:rPr>
                <w:rFonts w:ascii="宋体" w:hAnsi="宋体" w:cs="宋体" w:eastAsia="宋体" w:hint="default"/>
                <w:sz w:val="18"/>
                <w:szCs w:val="18"/>
              </w:rPr>
            </w:pPr>
            <w:r>
              <w:rPr>
                <w:rFonts w:ascii="宋体"/>
                <w:spacing w:val="-1"/>
                <w:sz w:val="18"/>
              </w:rPr>
              <w:t>22,622,777.32 </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7"/>
              <w:jc w:val="right"/>
              <w:rPr>
                <w:rFonts w:ascii="宋体" w:hAnsi="宋体" w:cs="宋体" w:eastAsia="宋体" w:hint="default"/>
                <w:sz w:val="18"/>
                <w:szCs w:val="18"/>
              </w:rPr>
            </w:pPr>
            <w:r>
              <w:rPr>
                <w:rFonts w:ascii="宋体"/>
                <w:spacing w:val="-1"/>
                <w:sz w:val="18"/>
              </w:rPr>
              <w:t>152,959,747.96 </w:t>
            </w:r>
          </w:p>
        </w:tc>
        <w:tc>
          <w:tcPr>
            <w:tcW w:w="16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7"/>
              <w:jc w:val="right"/>
              <w:rPr>
                <w:rFonts w:ascii="宋体" w:hAnsi="宋体" w:cs="宋体" w:eastAsia="宋体" w:hint="default"/>
                <w:sz w:val="18"/>
                <w:szCs w:val="18"/>
              </w:rPr>
            </w:pPr>
            <w:r>
              <w:rPr>
                <w:rFonts w:ascii="宋体"/>
                <w:spacing w:val="-1"/>
                <w:sz w:val="18"/>
              </w:rPr>
              <w:t>8,731,798,968.69 </w:t>
            </w:r>
          </w:p>
        </w:tc>
        <w:tc>
          <w:tcPr>
            <w:tcW w:w="2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7"/>
              <w:jc w:val="right"/>
              <w:rPr>
                <w:rFonts w:ascii="宋体" w:hAnsi="宋体" w:cs="宋体" w:eastAsia="宋体" w:hint="default"/>
                <w:sz w:val="18"/>
                <w:szCs w:val="18"/>
              </w:rPr>
            </w:pPr>
            <w:r>
              <w:rPr>
                <w:rFonts w:ascii="宋体"/>
                <w:spacing w:val="-1"/>
                <w:sz w:val="18"/>
              </w:rPr>
              <w:t>10,432,157,089.83 </w:t>
            </w:r>
          </w:p>
        </w:tc>
      </w:tr>
      <w:tr>
        <w:trPr>
          <w:trHeight w:val="336" w:hRule="exact"/>
        </w:trPr>
        <w:tc>
          <w:tcPr>
            <w:tcW w:w="3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7" w:right="0"/>
              <w:jc w:val="left"/>
              <w:rPr>
                <w:rFonts w:ascii="宋体" w:hAnsi="宋体" w:cs="宋体" w:eastAsia="宋体" w:hint="default"/>
                <w:sz w:val="18"/>
                <w:szCs w:val="18"/>
              </w:rPr>
            </w:pPr>
            <w:r>
              <w:rPr>
                <w:rFonts w:ascii="宋体" w:hAnsi="宋体" w:cs="宋体" w:eastAsia="宋体" w:hint="default"/>
                <w:sz w:val="18"/>
                <w:szCs w:val="18"/>
              </w:rPr>
              <w:t>二、累计折旧</w:t>
            </w:r>
            <w:r>
              <w:rPr>
                <w:rFonts w:ascii="宋体" w:hAnsi="宋体" w:cs="宋体" w:eastAsia="宋体" w:hint="default"/>
                <w:sz w:val="18"/>
                <w:szCs w:val="18"/>
              </w:rPr>
              <w:t> </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95" w:right="0"/>
              <w:jc w:val="center"/>
              <w:rPr>
                <w:rFonts w:ascii="宋体" w:hAnsi="宋体" w:cs="宋体" w:eastAsia="宋体" w:hint="default"/>
                <w:sz w:val="18"/>
                <w:szCs w:val="18"/>
              </w:rPr>
            </w:pPr>
            <w:r>
              <w:rPr>
                <w:rFonts w:ascii="宋体"/>
                <w:sz w:val="18"/>
              </w:rPr>
              <w:t>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92" w:right="0"/>
              <w:jc w:val="center"/>
              <w:rPr>
                <w:rFonts w:ascii="宋体" w:hAnsi="宋体" w:cs="宋体" w:eastAsia="宋体" w:hint="default"/>
                <w:sz w:val="18"/>
                <w:szCs w:val="18"/>
              </w:rPr>
            </w:pPr>
            <w:r>
              <w:rPr>
                <w:rFonts w:ascii="宋体"/>
                <w:sz w:val="18"/>
              </w:rPr>
              <w:t>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87" w:right="0"/>
              <w:jc w:val="center"/>
              <w:rPr>
                <w:rFonts w:ascii="宋体" w:hAnsi="宋体" w:cs="宋体" w:eastAsia="宋体" w:hint="default"/>
                <w:sz w:val="18"/>
                <w:szCs w:val="18"/>
              </w:rPr>
            </w:pPr>
            <w:r>
              <w:rPr>
                <w:rFonts w:ascii="宋体"/>
                <w:sz w:val="18"/>
              </w:rPr>
              <w:t> </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90" w:right="0"/>
              <w:jc w:val="center"/>
              <w:rPr>
                <w:rFonts w:ascii="宋体" w:hAnsi="宋体" w:cs="宋体" w:eastAsia="宋体" w:hint="default"/>
                <w:sz w:val="18"/>
                <w:szCs w:val="18"/>
              </w:rPr>
            </w:pPr>
            <w:r>
              <w:rPr>
                <w:rFonts w:ascii="宋体"/>
                <w:sz w:val="18"/>
              </w:rPr>
              <w:t> </w:t>
            </w:r>
          </w:p>
        </w:tc>
        <w:tc>
          <w:tcPr>
            <w:tcW w:w="16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92" w:right="0"/>
              <w:jc w:val="center"/>
              <w:rPr>
                <w:rFonts w:ascii="宋体" w:hAnsi="宋体" w:cs="宋体" w:eastAsia="宋体" w:hint="default"/>
                <w:sz w:val="18"/>
                <w:szCs w:val="18"/>
              </w:rPr>
            </w:pPr>
            <w:r>
              <w:rPr>
                <w:rFonts w:ascii="宋体"/>
                <w:sz w:val="18"/>
              </w:rPr>
              <w:t> </w:t>
            </w:r>
          </w:p>
        </w:tc>
        <w:tc>
          <w:tcPr>
            <w:tcW w:w="2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87" w:right="0"/>
              <w:jc w:val="center"/>
              <w:rPr>
                <w:rFonts w:ascii="宋体" w:hAnsi="宋体" w:cs="宋体" w:eastAsia="宋体" w:hint="default"/>
                <w:sz w:val="18"/>
                <w:szCs w:val="18"/>
              </w:rPr>
            </w:pPr>
            <w:r>
              <w:rPr>
                <w:rFonts w:ascii="宋体"/>
                <w:sz w:val="18"/>
              </w:rPr>
              <w:t> </w:t>
            </w:r>
          </w:p>
        </w:tc>
      </w:tr>
      <w:tr>
        <w:trPr>
          <w:trHeight w:val="336" w:hRule="exact"/>
        </w:trPr>
        <w:tc>
          <w:tcPr>
            <w:tcW w:w="3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468"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期初余额</w:t>
            </w:r>
            <w:r>
              <w:rPr>
                <w:rFonts w:ascii="宋体" w:hAnsi="宋体" w:cs="宋体" w:eastAsia="宋体" w:hint="default"/>
                <w:sz w:val="18"/>
                <w:szCs w:val="18"/>
              </w:rPr>
              <w:t> </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3"/>
              <w:jc w:val="right"/>
              <w:rPr>
                <w:rFonts w:ascii="宋体" w:hAnsi="宋体" w:cs="宋体" w:eastAsia="宋体" w:hint="default"/>
                <w:sz w:val="18"/>
                <w:szCs w:val="18"/>
              </w:rPr>
            </w:pPr>
            <w:r>
              <w:rPr>
                <w:rFonts w:ascii="宋体"/>
                <w:spacing w:val="-1"/>
                <w:sz w:val="18"/>
              </w:rPr>
              <w:t>223,227,317.13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7"/>
              <w:jc w:val="right"/>
              <w:rPr>
                <w:rFonts w:ascii="宋体" w:hAnsi="宋体" w:cs="宋体" w:eastAsia="宋体" w:hint="default"/>
                <w:sz w:val="18"/>
                <w:szCs w:val="18"/>
              </w:rPr>
            </w:pPr>
            <w:r>
              <w:rPr>
                <w:rFonts w:ascii="宋体"/>
                <w:spacing w:val="-1"/>
                <w:sz w:val="18"/>
              </w:rPr>
              <w:t>131,121,279.58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8"/>
              <w:jc w:val="right"/>
              <w:rPr>
                <w:rFonts w:ascii="宋体" w:hAnsi="宋体" w:cs="宋体" w:eastAsia="宋体" w:hint="default"/>
                <w:sz w:val="18"/>
                <w:szCs w:val="18"/>
              </w:rPr>
            </w:pPr>
            <w:r>
              <w:rPr>
                <w:rFonts w:ascii="宋体"/>
                <w:spacing w:val="-1"/>
                <w:sz w:val="18"/>
              </w:rPr>
              <w:t>14,207,462.87 </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7"/>
              <w:jc w:val="right"/>
              <w:rPr>
                <w:rFonts w:ascii="宋体" w:hAnsi="宋体" w:cs="宋体" w:eastAsia="宋体" w:hint="default"/>
                <w:sz w:val="18"/>
                <w:szCs w:val="18"/>
              </w:rPr>
            </w:pPr>
            <w:r>
              <w:rPr>
                <w:rFonts w:ascii="宋体"/>
                <w:spacing w:val="-1"/>
                <w:sz w:val="18"/>
              </w:rPr>
              <w:t>106,103,802.04 </w:t>
            </w:r>
          </w:p>
        </w:tc>
        <w:tc>
          <w:tcPr>
            <w:tcW w:w="16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7"/>
              <w:jc w:val="right"/>
              <w:rPr>
                <w:rFonts w:ascii="宋体" w:hAnsi="宋体" w:cs="宋体" w:eastAsia="宋体" w:hint="default"/>
                <w:sz w:val="18"/>
                <w:szCs w:val="18"/>
              </w:rPr>
            </w:pPr>
            <w:r>
              <w:rPr>
                <w:rFonts w:ascii="宋体"/>
                <w:spacing w:val="-1"/>
                <w:sz w:val="18"/>
              </w:rPr>
              <w:t>646,849,566.75 </w:t>
            </w:r>
          </w:p>
        </w:tc>
        <w:tc>
          <w:tcPr>
            <w:tcW w:w="2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7"/>
              <w:jc w:val="right"/>
              <w:rPr>
                <w:rFonts w:ascii="宋体" w:hAnsi="宋体" w:cs="宋体" w:eastAsia="宋体" w:hint="default"/>
                <w:sz w:val="18"/>
                <w:szCs w:val="18"/>
              </w:rPr>
            </w:pPr>
            <w:r>
              <w:rPr>
                <w:rFonts w:ascii="宋体"/>
                <w:spacing w:val="-1"/>
                <w:sz w:val="18"/>
              </w:rPr>
              <w:t>1,121,509,428.37 </w:t>
            </w:r>
          </w:p>
        </w:tc>
      </w:tr>
      <w:tr>
        <w:trPr>
          <w:trHeight w:val="336" w:hRule="exact"/>
        </w:trPr>
        <w:tc>
          <w:tcPr>
            <w:tcW w:w="3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468"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本期增加金额</w:t>
            </w:r>
            <w:r>
              <w:rPr>
                <w:rFonts w:ascii="宋体" w:hAnsi="宋体" w:cs="宋体" w:eastAsia="宋体" w:hint="default"/>
                <w:sz w:val="18"/>
                <w:szCs w:val="18"/>
              </w:rPr>
              <w:t> </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3"/>
              <w:jc w:val="right"/>
              <w:rPr>
                <w:rFonts w:ascii="宋体" w:hAnsi="宋体" w:cs="宋体" w:eastAsia="宋体" w:hint="default"/>
                <w:sz w:val="18"/>
                <w:szCs w:val="18"/>
              </w:rPr>
            </w:pPr>
            <w:r>
              <w:rPr>
                <w:rFonts w:ascii="宋体"/>
                <w:spacing w:val="-1"/>
                <w:sz w:val="18"/>
              </w:rPr>
              <w:t>42,495,406.11</w:t>
            </w:r>
            <w:r>
              <w:rPr>
                <w:rFonts w:ascii="宋体"/>
                <w:sz w:val="18"/>
              </w:rPr>
              <w:t>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7"/>
              <w:jc w:val="right"/>
              <w:rPr>
                <w:rFonts w:ascii="宋体" w:hAnsi="宋体" w:cs="宋体" w:eastAsia="宋体" w:hint="default"/>
                <w:sz w:val="18"/>
                <w:szCs w:val="18"/>
              </w:rPr>
            </w:pPr>
            <w:r>
              <w:rPr>
                <w:rFonts w:ascii="宋体"/>
                <w:spacing w:val="-1"/>
                <w:sz w:val="18"/>
              </w:rPr>
              <w:t>53,478,114.26</w:t>
            </w:r>
            <w:r>
              <w:rPr>
                <w:rFonts w:ascii="宋体"/>
                <w:sz w:val="18"/>
              </w:rPr>
              <w:t>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8"/>
              <w:jc w:val="right"/>
              <w:rPr>
                <w:rFonts w:ascii="宋体" w:hAnsi="宋体" w:cs="宋体" w:eastAsia="宋体" w:hint="default"/>
                <w:sz w:val="18"/>
                <w:szCs w:val="18"/>
              </w:rPr>
            </w:pPr>
            <w:r>
              <w:rPr>
                <w:rFonts w:ascii="宋体"/>
                <w:spacing w:val="-1"/>
                <w:sz w:val="18"/>
              </w:rPr>
              <w:t>2,832,862.63 </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7"/>
              <w:jc w:val="right"/>
              <w:rPr>
                <w:rFonts w:ascii="宋体" w:hAnsi="宋体" w:cs="宋体" w:eastAsia="宋体" w:hint="default"/>
                <w:sz w:val="18"/>
                <w:szCs w:val="18"/>
              </w:rPr>
            </w:pPr>
            <w:r>
              <w:rPr>
                <w:rFonts w:ascii="宋体"/>
                <w:spacing w:val="-1"/>
                <w:sz w:val="18"/>
              </w:rPr>
              <w:t>13,082,465.03</w:t>
            </w:r>
            <w:r>
              <w:rPr>
                <w:rFonts w:ascii="宋体"/>
                <w:sz w:val="18"/>
              </w:rPr>
              <w:t> </w:t>
            </w:r>
          </w:p>
        </w:tc>
        <w:tc>
          <w:tcPr>
            <w:tcW w:w="16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7"/>
              <w:jc w:val="right"/>
              <w:rPr>
                <w:rFonts w:ascii="宋体" w:hAnsi="宋体" w:cs="宋体" w:eastAsia="宋体" w:hint="default"/>
                <w:sz w:val="18"/>
                <w:szCs w:val="18"/>
              </w:rPr>
            </w:pPr>
            <w:r>
              <w:rPr>
                <w:rFonts w:ascii="宋体"/>
                <w:spacing w:val="-1"/>
                <w:sz w:val="18"/>
              </w:rPr>
              <w:t>312,669,823.45 </w:t>
            </w:r>
          </w:p>
        </w:tc>
        <w:tc>
          <w:tcPr>
            <w:tcW w:w="2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7"/>
              <w:jc w:val="right"/>
              <w:rPr>
                <w:rFonts w:ascii="宋体" w:hAnsi="宋体" w:cs="宋体" w:eastAsia="宋体" w:hint="default"/>
                <w:sz w:val="18"/>
                <w:szCs w:val="18"/>
              </w:rPr>
            </w:pPr>
            <w:r>
              <w:rPr>
                <w:rFonts w:ascii="宋体"/>
                <w:spacing w:val="-1"/>
                <w:sz w:val="18"/>
              </w:rPr>
              <w:t>424,558,671.48 </w:t>
            </w:r>
          </w:p>
        </w:tc>
      </w:tr>
      <w:tr>
        <w:trPr>
          <w:trHeight w:val="336" w:hRule="exact"/>
        </w:trPr>
        <w:tc>
          <w:tcPr>
            <w:tcW w:w="3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648"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）计提</w:t>
            </w:r>
            <w:r>
              <w:rPr>
                <w:rFonts w:ascii="宋体" w:hAnsi="宋体" w:cs="宋体" w:eastAsia="宋体" w:hint="default"/>
                <w:sz w:val="18"/>
                <w:szCs w:val="18"/>
              </w:rPr>
              <w:t> </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3"/>
              <w:jc w:val="right"/>
              <w:rPr>
                <w:rFonts w:ascii="宋体" w:hAnsi="宋体" w:cs="宋体" w:eastAsia="宋体" w:hint="default"/>
                <w:sz w:val="18"/>
                <w:szCs w:val="18"/>
              </w:rPr>
            </w:pPr>
            <w:r>
              <w:rPr>
                <w:rFonts w:ascii="宋体"/>
                <w:spacing w:val="-1"/>
                <w:sz w:val="18"/>
              </w:rPr>
              <w:t>42,495,406.11</w:t>
            </w:r>
            <w:r>
              <w:rPr>
                <w:rFonts w:ascii="宋体"/>
                <w:sz w:val="18"/>
              </w:rPr>
              <w:t>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7"/>
              <w:jc w:val="right"/>
              <w:rPr>
                <w:rFonts w:ascii="宋体" w:hAnsi="宋体" w:cs="宋体" w:eastAsia="宋体" w:hint="default"/>
                <w:sz w:val="18"/>
                <w:szCs w:val="18"/>
              </w:rPr>
            </w:pPr>
            <w:r>
              <w:rPr>
                <w:rFonts w:ascii="宋体"/>
                <w:spacing w:val="-1"/>
                <w:sz w:val="18"/>
              </w:rPr>
              <w:t>53,478,114.26</w:t>
            </w:r>
            <w:r>
              <w:rPr>
                <w:rFonts w:ascii="宋体"/>
                <w:sz w:val="18"/>
              </w:rPr>
              <w:t>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8"/>
              <w:jc w:val="right"/>
              <w:rPr>
                <w:rFonts w:ascii="宋体" w:hAnsi="宋体" w:cs="宋体" w:eastAsia="宋体" w:hint="default"/>
                <w:sz w:val="18"/>
                <w:szCs w:val="18"/>
              </w:rPr>
            </w:pPr>
            <w:r>
              <w:rPr>
                <w:rFonts w:ascii="宋体"/>
                <w:spacing w:val="-1"/>
                <w:sz w:val="18"/>
              </w:rPr>
              <w:t>2,832,862.63 </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7"/>
              <w:jc w:val="right"/>
              <w:rPr>
                <w:rFonts w:ascii="宋体" w:hAnsi="宋体" w:cs="宋体" w:eastAsia="宋体" w:hint="default"/>
                <w:sz w:val="18"/>
                <w:szCs w:val="18"/>
              </w:rPr>
            </w:pPr>
            <w:r>
              <w:rPr>
                <w:rFonts w:ascii="宋体"/>
                <w:spacing w:val="-1"/>
                <w:sz w:val="18"/>
              </w:rPr>
              <w:t>13,082,465.03</w:t>
            </w:r>
            <w:r>
              <w:rPr>
                <w:rFonts w:ascii="宋体"/>
                <w:sz w:val="18"/>
              </w:rPr>
              <w:t> </w:t>
            </w:r>
          </w:p>
        </w:tc>
        <w:tc>
          <w:tcPr>
            <w:tcW w:w="16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7"/>
              <w:jc w:val="right"/>
              <w:rPr>
                <w:rFonts w:ascii="宋体" w:hAnsi="宋体" w:cs="宋体" w:eastAsia="宋体" w:hint="default"/>
                <w:sz w:val="18"/>
                <w:szCs w:val="18"/>
              </w:rPr>
            </w:pPr>
            <w:r>
              <w:rPr>
                <w:rFonts w:ascii="宋体"/>
                <w:spacing w:val="-1"/>
                <w:sz w:val="18"/>
              </w:rPr>
              <w:t>312,669,823.45 </w:t>
            </w:r>
          </w:p>
        </w:tc>
        <w:tc>
          <w:tcPr>
            <w:tcW w:w="2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7"/>
              <w:jc w:val="right"/>
              <w:rPr>
                <w:rFonts w:ascii="宋体" w:hAnsi="宋体" w:cs="宋体" w:eastAsia="宋体" w:hint="default"/>
                <w:sz w:val="18"/>
                <w:szCs w:val="18"/>
              </w:rPr>
            </w:pPr>
            <w:r>
              <w:rPr>
                <w:rFonts w:ascii="宋体"/>
                <w:spacing w:val="-1"/>
                <w:sz w:val="18"/>
              </w:rPr>
              <w:t>424,558,671.48 </w:t>
            </w:r>
          </w:p>
        </w:tc>
      </w:tr>
      <w:tr>
        <w:trPr>
          <w:trHeight w:val="336" w:hRule="exact"/>
        </w:trPr>
        <w:tc>
          <w:tcPr>
            <w:tcW w:w="3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468"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本期减少金额</w:t>
            </w:r>
            <w:r>
              <w:rPr>
                <w:rFonts w:ascii="宋体" w:hAnsi="宋体" w:cs="宋体" w:eastAsia="宋体" w:hint="default"/>
                <w:sz w:val="18"/>
                <w:szCs w:val="18"/>
              </w:rPr>
              <w:t> </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3"/>
              <w:jc w:val="right"/>
              <w:rPr>
                <w:rFonts w:ascii="宋体" w:hAnsi="宋体" w:cs="宋体" w:eastAsia="宋体" w:hint="default"/>
                <w:sz w:val="18"/>
                <w:szCs w:val="18"/>
              </w:rPr>
            </w:pPr>
            <w:r>
              <w:rPr>
                <w:rFonts w:ascii="宋体"/>
                <w:spacing w:val="-1"/>
                <w:sz w:val="18"/>
              </w:rPr>
              <w:t>2,048,271.06</w:t>
            </w:r>
            <w:r>
              <w:rPr>
                <w:rFonts w:ascii="宋体"/>
                <w:sz w:val="18"/>
              </w:rPr>
              <w:t>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7"/>
              <w:jc w:val="right"/>
              <w:rPr>
                <w:rFonts w:ascii="宋体" w:hAnsi="宋体" w:cs="宋体" w:eastAsia="宋体" w:hint="default"/>
                <w:sz w:val="18"/>
                <w:szCs w:val="18"/>
              </w:rPr>
            </w:pPr>
            <w:r>
              <w:rPr>
                <w:rFonts w:ascii="宋体"/>
                <w:spacing w:val="-1"/>
                <w:sz w:val="18"/>
              </w:rPr>
              <w:t>3,457,812.47</w:t>
            </w:r>
            <w:r>
              <w:rPr>
                <w:rFonts w:ascii="宋体"/>
                <w:sz w:val="18"/>
              </w:rPr>
              <w:t>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8"/>
              <w:jc w:val="right"/>
              <w:rPr>
                <w:rFonts w:ascii="宋体" w:hAnsi="宋体" w:cs="宋体" w:eastAsia="宋体" w:hint="default"/>
                <w:sz w:val="18"/>
                <w:szCs w:val="18"/>
              </w:rPr>
            </w:pPr>
            <w:r>
              <w:rPr>
                <w:rFonts w:ascii="宋体"/>
                <w:spacing w:val="-1"/>
                <w:sz w:val="18"/>
              </w:rPr>
              <w:t>538,039.18</w:t>
            </w:r>
            <w:r>
              <w:rPr>
                <w:rFonts w:ascii="宋体"/>
                <w:sz w:val="18"/>
              </w:rPr>
              <w:t> </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7"/>
              <w:jc w:val="right"/>
              <w:rPr>
                <w:rFonts w:ascii="宋体" w:hAnsi="宋体" w:cs="宋体" w:eastAsia="宋体" w:hint="default"/>
                <w:sz w:val="18"/>
                <w:szCs w:val="18"/>
              </w:rPr>
            </w:pPr>
            <w:r>
              <w:rPr>
                <w:rFonts w:ascii="宋体"/>
                <w:spacing w:val="-1"/>
                <w:sz w:val="18"/>
              </w:rPr>
              <w:t>4,663,097.19</w:t>
            </w:r>
            <w:r>
              <w:rPr>
                <w:rFonts w:ascii="宋体"/>
                <w:sz w:val="18"/>
              </w:rPr>
              <w:t> </w:t>
            </w:r>
          </w:p>
        </w:tc>
        <w:tc>
          <w:tcPr>
            <w:tcW w:w="16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7"/>
              <w:jc w:val="right"/>
              <w:rPr>
                <w:rFonts w:ascii="宋体" w:hAnsi="宋体" w:cs="宋体" w:eastAsia="宋体" w:hint="default"/>
                <w:sz w:val="18"/>
                <w:szCs w:val="18"/>
              </w:rPr>
            </w:pPr>
            <w:r>
              <w:rPr>
                <w:rFonts w:ascii="宋体"/>
                <w:spacing w:val="-1"/>
                <w:sz w:val="18"/>
              </w:rPr>
              <w:t>3,356,423.41 </w:t>
            </w:r>
          </w:p>
        </w:tc>
        <w:tc>
          <w:tcPr>
            <w:tcW w:w="2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7"/>
              <w:jc w:val="right"/>
              <w:rPr>
                <w:rFonts w:ascii="宋体" w:hAnsi="宋体" w:cs="宋体" w:eastAsia="宋体" w:hint="default"/>
                <w:sz w:val="18"/>
                <w:szCs w:val="18"/>
              </w:rPr>
            </w:pPr>
            <w:r>
              <w:rPr>
                <w:rFonts w:ascii="宋体"/>
                <w:spacing w:val="-1"/>
                <w:sz w:val="18"/>
              </w:rPr>
              <w:t>14,063,643.31</w:t>
            </w:r>
            <w:r>
              <w:rPr>
                <w:rFonts w:ascii="宋体"/>
                <w:sz w:val="18"/>
              </w:rPr>
              <w:t> </w:t>
            </w:r>
          </w:p>
        </w:tc>
      </w:tr>
      <w:tr>
        <w:trPr>
          <w:trHeight w:val="336" w:hRule="exact"/>
        </w:trPr>
        <w:tc>
          <w:tcPr>
            <w:tcW w:w="3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648"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）处置或报废</w:t>
            </w:r>
            <w:r>
              <w:rPr>
                <w:rFonts w:ascii="宋体" w:hAnsi="宋体" w:cs="宋体" w:eastAsia="宋体" w:hint="default"/>
                <w:sz w:val="18"/>
                <w:szCs w:val="18"/>
              </w:rPr>
              <w:t> </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3"/>
              <w:jc w:val="right"/>
              <w:rPr>
                <w:rFonts w:ascii="宋体" w:hAnsi="宋体" w:cs="宋体" w:eastAsia="宋体" w:hint="default"/>
                <w:sz w:val="18"/>
                <w:szCs w:val="18"/>
              </w:rPr>
            </w:pPr>
            <w:r>
              <w:rPr>
                <w:rFonts w:ascii="宋体"/>
                <w:spacing w:val="-1"/>
                <w:sz w:val="18"/>
              </w:rPr>
              <w:t>2,048,271.06</w:t>
            </w:r>
            <w:r>
              <w:rPr>
                <w:rFonts w:ascii="宋体"/>
                <w:sz w:val="18"/>
              </w:rPr>
              <w:t>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7"/>
              <w:jc w:val="right"/>
              <w:rPr>
                <w:rFonts w:ascii="宋体" w:hAnsi="宋体" w:cs="宋体" w:eastAsia="宋体" w:hint="default"/>
                <w:sz w:val="18"/>
                <w:szCs w:val="18"/>
              </w:rPr>
            </w:pPr>
            <w:r>
              <w:rPr>
                <w:rFonts w:ascii="宋体"/>
                <w:spacing w:val="-1"/>
                <w:sz w:val="18"/>
              </w:rPr>
              <w:t>3,457,812.47</w:t>
            </w:r>
            <w:r>
              <w:rPr>
                <w:rFonts w:ascii="宋体"/>
                <w:sz w:val="18"/>
              </w:rPr>
              <w:t>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8"/>
              <w:jc w:val="right"/>
              <w:rPr>
                <w:rFonts w:ascii="宋体" w:hAnsi="宋体" w:cs="宋体" w:eastAsia="宋体" w:hint="default"/>
                <w:sz w:val="18"/>
                <w:szCs w:val="18"/>
              </w:rPr>
            </w:pPr>
            <w:r>
              <w:rPr>
                <w:rFonts w:ascii="宋体"/>
                <w:spacing w:val="-1"/>
                <w:sz w:val="18"/>
              </w:rPr>
              <w:t>538,039.18</w:t>
            </w:r>
            <w:r>
              <w:rPr>
                <w:rFonts w:ascii="宋体"/>
                <w:sz w:val="18"/>
              </w:rPr>
              <w:t> </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7"/>
              <w:jc w:val="right"/>
              <w:rPr>
                <w:rFonts w:ascii="宋体" w:hAnsi="宋体" w:cs="宋体" w:eastAsia="宋体" w:hint="default"/>
                <w:sz w:val="18"/>
                <w:szCs w:val="18"/>
              </w:rPr>
            </w:pPr>
            <w:r>
              <w:rPr>
                <w:rFonts w:ascii="宋体"/>
                <w:spacing w:val="-1"/>
                <w:sz w:val="18"/>
              </w:rPr>
              <w:t>4,663,097.19</w:t>
            </w:r>
            <w:r>
              <w:rPr>
                <w:rFonts w:ascii="宋体"/>
                <w:sz w:val="18"/>
              </w:rPr>
              <w:t> </w:t>
            </w:r>
          </w:p>
        </w:tc>
        <w:tc>
          <w:tcPr>
            <w:tcW w:w="16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7"/>
              <w:jc w:val="right"/>
              <w:rPr>
                <w:rFonts w:ascii="宋体" w:hAnsi="宋体" w:cs="宋体" w:eastAsia="宋体" w:hint="default"/>
                <w:sz w:val="18"/>
                <w:szCs w:val="18"/>
              </w:rPr>
            </w:pPr>
            <w:r>
              <w:rPr>
                <w:rFonts w:ascii="宋体"/>
                <w:spacing w:val="-1"/>
                <w:sz w:val="18"/>
              </w:rPr>
              <w:t>3,356,423.41 </w:t>
            </w:r>
          </w:p>
        </w:tc>
        <w:tc>
          <w:tcPr>
            <w:tcW w:w="2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7"/>
              <w:jc w:val="right"/>
              <w:rPr>
                <w:rFonts w:ascii="宋体" w:hAnsi="宋体" w:cs="宋体" w:eastAsia="宋体" w:hint="default"/>
                <w:sz w:val="18"/>
                <w:szCs w:val="18"/>
              </w:rPr>
            </w:pPr>
            <w:r>
              <w:rPr>
                <w:rFonts w:ascii="宋体"/>
                <w:spacing w:val="-1"/>
                <w:sz w:val="18"/>
              </w:rPr>
              <w:t>14,063,643.31</w:t>
            </w:r>
            <w:r>
              <w:rPr>
                <w:rFonts w:ascii="宋体"/>
                <w:sz w:val="18"/>
              </w:rPr>
              <w:t> </w:t>
            </w:r>
          </w:p>
        </w:tc>
      </w:tr>
      <w:tr>
        <w:trPr>
          <w:trHeight w:val="336" w:hRule="exact"/>
        </w:trPr>
        <w:tc>
          <w:tcPr>
            <w:tcW w:w="3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468"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期末余额</w:t>
            </w:r>
            <w:r>
              <w:rPr>
                <w:rFonts w:ascii="宋体" w:hAnsi="宋体" w:cs="宋体" w:eastAsia="宋体" w:hint="default"/>
                <w:sz w:val="18"/>
                <w:szCs w:val="18"/>
              </w:rPr>
              <w:t> </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3"/>
              <w:jc w:val="right"/>
              <w:rPr>
                <w:rFonts w:ascii="宋体" w:hAnsi="宋体" w:cs="宋体" w:eastAsia="宋体" w:hint="default"/>
                <w:sz w:val="18"/>
                <w:szCs w:val="18"/>
              </w:rPr>
            </w:pPr>
            <w:r>
              <w:rPr>
                <w:rFonts w:ascii="宋体"/>
                <w:spacing w:val="-1"/>
                <w:sz w:val="18"/>
              </w:rPr>
              <w:t>263,674,452.18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7"/>
              <w:jc w:val="right"/>
              <w:rPr>
                <w:rFonts w:ascii="宋体" w:hAnsi="宋体" w:cs="宋体" w:eastAsia="宋体" w:hint="default"/>
                <w:sz w:val="18"/>
                <w:szCs w:val="18"/>
              </w:rPr>
            </w:pPr>
            <w:r>
              <w:rPr>
                <w:rFonts w:ascii="宋体"/>
                <w:spacing w:val="-1"/>
                <w:sz w:val="18"/>
              </w:rPr>
              <w:t>181,141,581.37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8"/>
              <w:jc w:val="right"/>
              <w:rPr>
                <w:rFonts w:ascii="宋体" w:hAnsi="宋体" w:cs="宋体" w:eastAsia="宋体" w:hint="default"/>
                <w:sz w:val="18"/>
                <w:szCs w:val="18"/>
              </w:rPr>
            </w:pPr>
            <w:r>
              <w:rPr>
                <w:rFonts w:ascii="宋体"/>
                <w:spacing w:val="-1"/>
                <w:sz w:val="18"/>
              </w:rPr>
              <w:t>16,502,286.32 </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7"/>
              <w:jc w:val="right"/>
              <w:rPr>
                <w:rFonts w:ascii="宋体" w:hAnsi="宋体" w:cs="宋体" w:eastAsia="宋体" w:hint="default"/>
                <w:sz w:val="18"/>
                <w:szCs w:val="18"/>
              </w:rPr>
            </w:pPr>
            <w:r>
              <w:rPr>
                <w:rFonts w:ascii="宋体"/>
                <w:spacing w:val="-1"/>
                <w:sz w:val="18"/>
              </w:rPr>
              <w:t>114,523,169.88 </w:t>
            </w:r>
          </w:p>
        </w:tc>
        <w:tc>
          <w:tcPr>
            <w:tcW w:w="16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7"/>
              <w:jc w:val="right"/>
              <w:rPr>
                <w:rFonts w:ascii="宋体" w:hAnsi="宋体" w:cs="宋体" w:eastAsia="宋体" w:hint="default"/>
                <w:sz w:val="18"/>
                <w:szCs w:val="18"/>
              </w:rPr>
            </w:pPr>
            <w:r>
              <w:rPr>
                <w:rFonts w:ascii="宋体"/>
                <w:spacing w:val="-1"/>
                <w:sz w:val="18"/>
              </w:rPr>
              <w:t>956,162,966.79 </w:t>
            </w:r>
          </w:p>
        </w:tc>
        <w:tc>
          <w:tcPr>
            <w:tcW w:w="2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7"/>
              <w:jc w:val="right"/>
              <w:rPr>
                <w:rFonts w:ascii="宋体" w:hAnsi="宋体" w:cs="宋体" w:eastAsia="宋体" w:hint="default"/>
                <w:sz w:val="18"/>
                <w:szCs w:val="18"/>
              </w:rPr>
            </w:pPr>
            <w:r>
              <w:rPr>
                <w:rFonts w:ascii="宋体"/>
                <w:spacing w:val="-1"/>
                <w:sz w:val="18"/>
              </w:rPr>
              <w:t>1,532,004,456.54 </w:t>
            </w:r>
          </w:p>
        </w:tc>
      </w:tr>
      <w:tr>
        <w:trPr>
          <w:trHeight w:val="337" w:hRule="exact"/>
        </w:trPr>
        <w:tc>
          <w:tcPr>
            <w:tcW w:w="3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7" w:right="0"/>
              <w:jc w:val="left"/>
              <w:rPr>
                <w:rFonts w:ascii="宋体" w:hAnsi="宋体" w:cs="宋体" w:eastAsia="宋体" w:hint="default"/>
                <w:sz w:val="18"/>
                <w:szCs w:val="18"/>
              </w:rPr>
            </w:pPr>
            <w:r>
              <w:rPr>
                <w:rFonts w:ascii="宋体" w:hAnsi="宋体" w:cs="宋体" w:eastAsia="宋体" w:hint="default"/>
                <w:sz w:val="18"/>
                <w:szCs w:val="18"/>
              </w:rPr>
              <w:t>三、减值准备</w:t>
            </w:r>
            <w:r>
              <w:rPr>
                <w:rFonts w:ascii="宋体" w:hAnsi="宋体" w:cs="宋体" w:eastAsia="宋体" w:hint="default"/>
                <w:sz w:val="18"/>
                <w:szCs w:val="18"/>
              </w:rPr>
              <w:t> </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95" w:right="0"/>
              <w:jc w:val="center"/>
              <w:rPr>
                <w:rFonts w:ascii="宋体" w:hAnsi="宋体" w:cs="宋体" w:eastAsia="宋体" w:hint="default"/>
                <w:sz w:val="18"/>
                <w:szCs w:val="18"/>
              </w:rPr>
            </w:pPr>
            <w:r>
              <w:rPr>
                <w:rFonts w:ascii="宋体"/>
                <w:sz w:val="18"/>
              </w:rPr>
              <w:t>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92" w:right="0"/>
              <w:jc w:val="center"/>
              <w:rPr>
                <w:rFonts w:ascii="宋体" w:hAnsi="宋体" w:cs="宋体" w:eastAsia="宋体" w:hint="default"/>
                <w:sz w:val="18"/>
                <w:szCs w:val="18"/>
              </w:rPr>
            </w:pPr>
            <w:r>
              <w:rPr>
                <w:rFonts w:ascii="宋体"/>
                <w:sz w:val="18"/>
              </w:rPr>
              <w:t>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87" w:right="0"/>
              <w:jc w:val="center"/>
              <w:rPr>
                <w:rFonts w:ascii="宋体" w:hAnsi="宋体" w:cs="宋体" w:eastAsia="宋体" w:hint="default"/>
                <w:sz w:val="18"/>
                <w:szCs w:val="18"/>
              </w:rPr>
            </w:pPr>
            <w:r>
              <w:rPr>
                <w:rFonts w:ascii="宋体"/>
                <w:sz w:val="18"/>
              </w:rPr>
              <w:t> </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90" w:right="0"/>
              <w:jc w:val="center"/>
              <w:rPr>
                <w:rFonts w:ascii="宋体" w:hAnsi="宋体" w:cs="宋体" w:eastAsia="宋体" w:hint="default"/>
                <w:sz w:val="18"/>
                <w:szCs w:val="18"/>
              </w:rPr>
            </w:pPr>
            <w:r>
              <w:rPr>
                <w:rFonts w:ascii="宋体"/>
                <w:sz w:val="18"/>
              </w:rPr>
              <w:t> </w:t>
            </w:r>
          </w:p>
        </w:tc>
        <w:tc>
          <w:tcPr>
            <w:tcW w:w="16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92" w:right="0"/>
              <w:jc w:val="center"/>
              <w:rPr>
                <w:rFonts w:ascii="宋体" w:hAnsi="宋体" w:cs="宋体" w:eastAsia="宋体" w:hint="default"/>
                <w:sz w:val="18"/>
                <w:szCs w:val="18"/>
              </w:rPr>
            </w:pPr>
            <w:r>
              <w:rPr>
                <w:rFonts w:ascii="宋体"/>
                <w:sz w:val="18"/>
              </w:rPr>
              <w:t> </w:t>
            </w:r>
          </w:p>
        </w:tc>
        <w:tc>
          <w:tcPr>
            <w:tcW w:w="2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87" w:right="0"/>
              <w:jc w:val="center"/>
              <w:rPr>
                <w:rFonts w:ascii="宋体" w:hAnsi="宋体" w:cs="宋体" w:eastAsia="宋体" w:hint="default"/>
                <w:sz w:val="18"/>
                <w:szCs w:val="18"/>
              </w:rPr>
            </w:pPr>
            <w:r>
              <w:rPr>
                <w:rFonts w:ascii="宋体"/>
                <w:sz w:val="18"/>
              </w:rPr>
              <w:t> </w:t>
            </w:r>
          </w:p>
        </w:tc>
      </w:tr>
      <w:tr>
        <w:trPr>
          <w:trHeight w:val="336" w:hRule="exact"/>
        </w:trPr>
        <w:tc>
          <w:tcPr>
            <w:tcW w:w="3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468"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期初余额</w:t>
            </w:r>
            <w:r>
              <w:rPr>
                <w:rFonts w:ascii="宋体" w:hAnsi="宋体" w:cs="宋体" w:eastAsia="宋体" w:hint="default"/>
                <w:sz w:val="18"/>
                <w:szCs w:val="18"/>
              </w:rPr>
              <w:t> </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3"/>
              <w:jc w:val="right"/>
              <w:rPr>
                <w:rFonts w:ascii="宋体" w:hAnsi="宋体" w:cs="宋体" w:eastAsia="宋体" w:hint="default"/>
                <w:sz w:val="18"/>
                <w:szCs w:val="18"/>
              </w:rPr>
            </w:pPr>
            <w:r>
              <w:rPr>
                <w:rFonts w:ascii="宋体"/>
                <w:spacing w:val="-1"/>
                <w:sz w:val="18"/>
              </w:rPr>
              <w:t>9,178,802.42</w:t>
            </w:r>
            <w:r>
              <w:rPr>
                <w:rFonts w:ascii="宋体"/>
                <w:sz w:val="18"/>
              </w:rPr>
              <w:t>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7"/>
              <w:jc w:val="right"/>
              <w:rPr>
                <w:rFonts w:ascii="宋体" w:hAnsi="宋体" w:cs="宋体" w:eastAsia="宋体" w:hint="default"/>
                <w:sz w:val="18"/>
                <w:szCs w:val="18"/>
              </w:rPr>
            </w:pPr>
            <w:r>
              <w:rPr>
                <w:rFonts w:ascii="宋体"/>
                <w:spacing w:val="-1"/>
                <w:sz w:val="18"/>
              </w:rPr>
              <w:t>2,039,785.04</w:t>
            </w:r>
            <w:r>
              <w:rPr>
                <w:rFonts w:ascii="宋体"/>
                <w:sz w:val="18"/>
              </w:rPr>
              <w:t>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8"/>
              <w:jc w:val="right"/>
              <w:rPr>
                <w:rFonts w:ascii="宋体" w:hAnsi="宋体" w:cs="宋体" w:eastAsia="宋体" w:hint="default"/>
                <w:sz w:val="18"/>
                <w:szCs w:val="18"/>
              </w:rPr>
            </w:pPr>
            <w:r>
              <w:rPr>
                <w:rFonts w:ascii="宋体"/>
                <w:sz w:val="18"/>
              </w:rPr>
              <w:t> </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7"/>
              <w:jc w:val="right"/>
              <w:rPr>
                <w:rFonts w:ascii="宋体" w:hAnsi="宋体" w:cs="宋体" w:eastAsia="宋体" w:hint="default"/>
                <w:sz w:val="18"/>
                <w:szCs w:val="18"/>
              </w:rPr>
            </w:pPr>
            <w:r>
              <w:rPr>
                <w:rFonts w:ascii="宋体"/>
                <w:spacing w:val="-1"/>
                <w:sz w:val="18"/>
              </w:rPr>
              <w:t>171,036.81</w:t>
            </w:r>
            <w:r>
              <w:rPr>
                <w:rFonts w:ascii="宋体"/>
                <w:sz w:val="18"/>
              </w:rPr>
              <w:t> </w:t>
            </w:r>
          </w:p>
        </w:tc>
        <w:tc>
          <w:tcPr>
            <w:tcW w:w="16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7"/>
              <w:jc w:val="right"/>
              <w:rPr>
                <w:rFonts w:ascii="宋体" w:hAnsi="宋体" w:cs="宋体" w:eastAsia="宋体" w:hint="default"/>
                <w:sz w:val="18"/>
                <w:szCs w:val="18"/>
              </w:rPr>
            </w:pPr>
            <w:r>
              <w:rPr>
                <w:rFonts w:ascii="宋体"/>
                <w:sz w:val="18"/>
              </w:rPr>
              <w:t> </w:t>
            </w:r>
          </w:p>
        </w:tc>
        <w:tc>
          <w:tcPr>
            <w:tcW w:w="2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7"/>
              <w:jc w:val="right"/>
              <w:rPr>
                <w:rFonts w:ascii="宋体" w:hAnsi="宋体" w:cs="宋体" w:eastAsia="宋体" w:hint="default"/>
                <w:sz w:val="18"/>
                <w:szCs w:val="18"/>
              </w:rPr>
            </w:pPr>
            <w:r>
              <w:rPr>
                <w:rFonts w:ascii="宋体"/>
                <w:spacing w:val="-1"/>
                <w:sz w:val="18"/>
              </w:rPr>
              <w:t>11,389,624.27</w:t>
            </w:r>
            <w:r>
              <w:rPr>
                <w:rFonts w:ascii="宋体"/>
                <w:sz w:val="18"/>
              </w:rPr>
              <w:t> </w:t>
            </w:r>
          </w:p>
        </w:tc>
      </w:tr>
      <w:tr>
        <w:trPr>
          <w:trHeight w:val="336" w:hRule="exact"/>
        </w:trPr>
        <w:tc>
          <w:tcPr>
            <w:tcW w:w="3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468"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本期增加金额</w:t>
            </w:r>
            <w:r>
              <w:rPr>
                <w:rFonts w:ascii="宋体" w:hAnsi="宋体" w:cs="宋体" w:eastAsia="宋体" w:hint="default"/>
                <w:sz w:val="18"/>
                <w:szCs w:val="18"/>
              </w:rPr>
              <w:t> </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3"/>
              <w:jc w:val="right"/>
              <w:rPr>
                <w:rFonts w:ascii="宋体" w:hAnsi="宋体" w:cs="宋体" w:eastAsia="宋体" w:hint="default"/>
                <w:sz w:val="18"/>
                <w:szCs w:val="18"/>
              </w:rPr>
            </w:pPr>
            <w:r>
              <w:rPr>
                <w:rFonts w:ascii="宋体"/>
                <w:sz w:val="18"/>
              </w:rPr>
              <w:t>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7"/>
              <w:jc w:val="right"/>
              <w:rPr>
                <w:rFonts w:ascii="宋体" w:hAnsi="宋体" w:cs="宋体" w:eastAsia="宋体" w:hint="default"/>
                <w:sz w:val="18"/>
                <w:szCs w:val="18"/>
              </w:rPr>
            </w:pPr>
            <w:r>
              <w:rPr>
                <w:rFonts w:ascii="宋体"/>
                <w:sz w:val="18"/>
              </w:rPr>
              <w:t>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8"/>
              <w:jc w:val="right"/>
              <w:rPr>
                <w:rFonts w:ascii="宋体" w:hAnsi="宋体" w:cs="宋体" w:eastAsia="宋体" w:hint="default"/>
                <w:sz w:val="18"/>
                <w:szCs w:val="18"/>
              </w:rPr>
            </w:pPr>
            <w:r>
              <w:rPr>
                <w:rFonts w:ascii="宋体"/>
                <w:sz w:val="18"/>
              </w:rPr>
              <w:t> </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7"/>
              <w:jc w:val="right"/>
              <w:rPr>
                <w:rFonts w:ascii="宋体" w:hAnsi="宋体" w:cs="宋体" w:eastAsia="宋体" w:hint="default"/>
                <w:sz w:val="18"/>
                <w:szCs w:val="18"/>
              </w:rPr>
            </w:pPr>
            <w:r>
              <w:rPr>
                <w:rFonts w:ascii="宋体"/>
                <w:sz w:val="18"/>
              </w:rPr>
              <w:t> </w:t>
            </w:r>
          </w:p>
        </w:tc>
        <w:tc>
          <w:tcPr>
            <w:tcW w:w="16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7"/>
              <w:jc w:val="right"/>
              <w:rPr>
                <w:rFonts w:ascii="宋体" w:hAnsi="宋体" w:cs="宋体" w:eastAsia="宋体" w:hint="default"/>
                <w:sz w:val="18"/>
                <w:szCs w:val="18"/>
              </w:rPr>
            </w:pPr>
            <w:r>
              <w:rPr>
                <w:rFonts w:ascii="宋体"/>
                <w:sz w:val="18"/>
              </w:rPr>
              <w:t> </w:t>
            </w:r>
          </w:p>
        </w:tc>
        <w:tc>
          <w:tcPr>
            <w:tcW w:w="2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7"/>
              <w:jc w:val="right"/>
              <w:rPr>
                <w:rFonts w:ascii="宋体" w:hAnsi="宋体" w:cs="宋体" w:eastAsia="宋体" w:hint="default"/>
                <w:sz w:val="18"/>
                <w:szCs w:val="18"/>
              </w:rPr>
            </w:pPr>
            <w:r>
              <w:rPr>
                <w:rFonts w:ascii="宋体"/>
                <w:sz w:val="18"/>
              </w:rPr>
              <w:t> </w:t>
            </w:r>
          </w:p>
        </w:tc>
      </w:tr>
    </w:tbl>
    <w:p>
      <w:pPr>
        <w:spacing w:after="0" w:line="240" w:lineRule="auto"/>
        <w:jc w:val="right"/>
        <w:rPr>
          <w:rFonts w:ascii="宋体" w:hAnsi="宋体" w:cs="宋体" w:eastAsia="宋体" w:hint="default"/>
          <w:sz w:val="18"/>
          <w:szCs w:val="18"/>
        </w:rPr>
        <w:sectPr>
          <w:type w:val="continuous"/>
          <w:pgSz w:w="16840" w:h="11910" w:orient="landscape"/>
          <w:pgMar w:top="1580" w:bottom="280" w:left="1300" w:right="1200"/>
        </w:sectPr>
      </w:pPr>
    </w:p>
    <w:p>
      <w:pPr>
        <w:spacing w:line="240" w:lineRule="auto" w:before="5"/>
        <w:rPr>
          <w:rFonts w:ascii="宋体" w:hAnsi="宋体" w:cs="宋体" w:eastAsia="宋体" w:hint="default"/>
          <w:sz w:val="10"/>
          <w:szCs w:val="10"/>
        </w:rPr>
      </w:pPr>
    </w:p>
    <w:tbl>
      <w:tblPr>
        <w:tblW w:w="0" w:type="auto"/>
        <w:jc w:val="left"/>
        <w:tblInd w:w="106" w:type="dxa"/>
        <w:tblLayout w:type="fixed"/>
        <w:tblCellMar>
          <w:top w:w="0" w:type="dxa"/>
          <w:left w:w="0" w:type="dxa"/>
          <w:bottom w:w="0" w:type="dxa"/>
          <w:right w:w="0" w:type="dxa"/>
        </w:tblCellMar>
        <w:tblLook w:val="01E0"/>
      </w:tblPr>
      <w:tblGrid>
        <w:gridCol w:w="3656"/>
        <w:gridCol w:w="1618"/>
        <w:gridCol w:w="1620"/>
        <w:gridCol w:w="1620"/>
        <w:gridCol w:w="1618"/>
        <w:gridCol w:w="1669"/>
        <w:gridCol w:w="2302"/>
      </w:tblGrid>
      <w:tr>
        <w:trPr>
          <w:trHeight w:val="336" w:hRule="exact"/>
        </w:trPr>
        <w:tc>
          <w:tcPr>
            <w:tcW w:w="3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648"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）计提</w:t>
            </w:r>
            <w:r>
              <w:rPr>
                <w:rFonts w:ascii="宋体" w:hAnsi="宋体" w:cs="宋体" w:eastAsia="宋体" w:hint="default"/>
                <w:sz w:val="18"/>
                <w:szCs w:val="18"/>
              </w:rPr>
              <w:t> </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3"/>
              <w:jc w:val="right"/>
              <w:rPr>
                <w:rFonts w:ascii="宋体" w:hAnsi="宋体" w:cs="宋体" w:eastAsia="宋体" w:hint="default"/>
                <w:sz w:val="18"/>
                <w:szCs w:val="18"/>
              </w:rPr>
            </w:pPr>
            <w:r>
              <w:rPr>
                <w:rFonts w:ascii="宋体"/>
                <w:sz w:val="18"/>
              </w:rPr>
              <w:t>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7"/>
              <w:jc w:val="right"/>
              <w:rPr>
                <w:rFonts w:ascii="宋体" w:hAnsi="宋体" w:cs="宋体" w:eastAsia="宋体" w:hint="default"/>
                <w:sz w:val="18"/>
                <w:szCs w:val="18"/>
              </w:rPr>
            </w:pPr>
            <w:r>
              <w:rPr>
                <w:rFonts w:ascii="宋体"/>
                <w:sz w:val="18"/>
              </w:rPr>
              <w:t>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8"/>
              <w:jc w:val="right"/>
              <w:rPr>
                <w:rFonts w:ascii="宋体" w:hAnsi="宋体" w:cs="宋体" w:eastAsia="宋体" w:hint="default"/>
                <w:sz w:val="18"/>
                <w:szCs w:val="18"/>
              </w:rPr>
            </w:pPr>
            <w:r>
              <w:rPr>
                <w:rFonts w:ascii="宋体"/>
                <w:sz w:val="18"/>
              </w:rPr>
              <w:t> </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7"/>
              <w:jc w:val="right"/>
              <w:rPr>
                <w:rFonts w:ascii="宋体" w:hAnsi="宋体" w:cs="宋体" w:eastAsia="宋体" w:hint="default"/>
                <w:sz w:val="18"/>
                <w:szCs w:val="18"/>
              </w:rPr>
            </w:pPr>
            <w:r>
              <w:rPr>
                <w:rFonts w:ascii="宋体"/>
                <w:sz w:val="18"/>
              </w:rPr>
              <w:t> </w:t>
            </w:r>
          </w:p>
        </w:tc>
        <w:tc>
          <w:tcPr>
            <w:tcW w:w="16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7"/>
              <w:jc w:val="right"/>
              <w:rPr>
                <w:rFonts w:ascii="宋体" w:hAnsi="宋体" w:cs="宋体" w:eastAsia="宋体" w:hint="default"/>
                <w:sz w:val="18"/>
                <w:szCs w:val="18"/>
              </w:rPr>
            </w:pPr>
            <w:r>
              <w:rPr>
                <w:rFonts w:ascii="宋体"/>
                <w:sz w:val="18"/>
              </w:rPr>
              <w:t> </w:t>
            </w:r>
          </w:p>
        </w:tc>
        <w:tc>
          <w:tcPr>
            <w:tcW w:w="2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7"/>
              <w:jc w:val="right"/>
              <w:rPr>
                <w:rFonts w:ascii="宋体" w:hAnsi="宋体" w:cs="宋体" w:eastAsia="宋体" w:hint="default"/>
                <w:sz w:val="18"/>
                <w:szCs w:val="18"/>
              </w:rPr>
            </w:pPr>
            <w:r>
              <w:rPr>
                <w:rFonts w:ascii="宋体"/>
                <w:sz w:val="18"/>
              </w:rPr>
              <w:t> </w:t>
            </w:r>
          </w:p>
        </w:tc>
      </w:tr>
      <w:tr>
        <w:trPr>
          <w:trHeight w:val="336" w:hRule="exact"/>
        </w:trPr>
        <w:tc>
          <w:tcPr>
            <w:tcW w:w="3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468"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本期减少金额</w:t>
            </w:r>
            <w:r>
              <w:rPr>
                <w:rFonts w:ascii="宋体" w:hAnsi="宋体" w:cs="宋体" w:eastAsia="宋体" w:hint="default"/>
                <w:sz w:val="18"/>
                <w:szCs w:val="18"/>
              </w:rPr>
              <w:t> </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3"/>
              <w:jc w:val="right"/>
              <w:rPr>
                <w:rFonts w:ascii="宋体" w:hAnsi="宋体" w:cs="宋体" w:eastAsia="宋体" w:hint="default"/>
                <w:sz w:val="18"/>
                <w:szCs w:val="18"/>
              </w:rPr>
            </w:pPr>
            <w:r>
              <w:rPr>
                <w:rFonts w:ascii="宋体"/>
                <w:sz w:val="18"/>
              </w:rPr>
              <w:t>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7"/>
              <w:jc w:val="right"/>
              <w:rPr>
                <w:rFonts w:ascii="宋体" w:hAnsi="宋体" w:cs="宋体" w:eastAsia="宋体" w:hint="default"/>
                <w:sz w:val="18"/>
                <w:szCs w:val="18"/>
              </w:rPr>
            </w:pPr>
            <w:r>
              <w:rPr>
                <w:rFonts w:ascii="宋体"/>
                <w:sz w:val="18"/>
              </w:rPr>
              <w:t>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8"/>
              <w:jc w:val="right"/>
              <w:rPr>
                <w:rFonts w:ascii="宋体" w:hAnsi="宋体" w:cs="宋体" w:eastAsia="宋体" w:hint="default"/>
                <w:sz w:val="18"/>
                <w:szCs w:val="18"/>
              </w:rPr>
            </w:pPr>
            <w:r>
              <w:rPr>
                <w:rFonts w:ascii="宋体"/>
                <w:sz w:val="18"/>
              </w:rPr>
              <w:t> </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7"/>
              <w:jc w:val="right"/>
              <w:rPr>
                <w:rFonts w:ascii="宋体" w:hAnsi="宋体" w:cs="宋体" w:eastAsia="宋体" w:hint="default"/>
                <w:sz w:val="18"/>
                <w:szCs w:val="18"/>
              </w:rPr>
            </w:pPr>
            <w:r>
              <w:rPr>
                <w:rFonts w:ascii="宋体"/>
                <w:sz w:val="18"/>
              </w:rPr>
              <w:t> </w:t>
            </w:r>
          </w:p>
        </w:tc>
        <w:tc>
          <w:tcPr>
            <w:tcW w:w="16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7"/>
              <w:jc w:val="right"/>
              <w:rPr>
                <w:rFonts w:ascii="宋体" w:hAnsi="宋体" w:cs="宋体" w:eastAsia="宋体" w:hint="default"/>
                <w:sz w:val="18"/>
                <w:szCs w:val="18"/>
              </w:rPr>
            </w:pPr>
            <w:r>
              <w:rPr>
                <w:rFonts w:ascii="宋体"/>
                <w:sz w:val="18"/>
              </w:rPr>
              <w:t> </w:t>
            </w:r>
          </w:p>
        </w:tc>
        <w:tc>
          <w:tcPr>
            <w:tcW w:w="2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7"/>
              <w:jc w:val="right"/>
              <w:rPr>
                <w:rFonts w:ascii="宋体" w:hAnsi="宋体" w:cs="宋体" w:eastAsia="宋体" w:hint="default"/>
                <w:sz w:val="18"/>
                <w:szCs w:val="18"/>
              </w:rPr>
            </w:pPr>
            <w:r>
              <w:rPr>
                <w:rFonts w:ascii="宋体"/>
                <w:sz w:val="18"/>
              </w:rPr>
              <w:t> </w:t>
            </w:r>
          </w:p>
        </w:tc>
      </w:tr>
      <w:tr>
        <w:trPr>
          <w:trHeight w:val="336" w:hRule="exact"/>
        </w:trPr>
        <w:tc>
          <w:tcPr>
            <w:tcW w:w="3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648"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）处置或报废</w:t>
            </w:r>
            <w:r>
              <w:rPr>
                <w:rFonts w:ascii="宋体" w:hAnsi="宋体" w:cs="宋体" w:eastAsia="宋体" w:hint="default"/>
                <w:sz w:val="18"/>
                <w:szCs w:val="18"/>
              </w:rPr>
              <w:t> </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3"/>
              <w:jc w:val="right"/>
              <w:rPr>
                <w:rFonts w:ascii="宋体" w:hAnsi="宋体" w:cs="宋体" w:eastAsia="宋体" w:hint="default"/>
                <w:sz w:val="18"/>
                <w:szCs w:val="18"/>
              </w:rPr>
            </w:pPr>
            <w:r>
              <w:rPr>
                <w:rFonts w:ascii="宋体"/>
                <w:sz w:val="18"/>
              </w:rPr>
              <w:t>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7"/>
              <w:jc w:val="right"/>
              <w:rPr>
                <w:rFonts w:ascii="宋体" w:hAnsi="宋体" w:cs="宋体" w:eastAsia="宋体" w:hint="default"/>
                <w:sz w:val="18"/>
                <w:szCs w:val="18"/>
              </w:rPr>
            </w:pPr>
            <w:r>
              <w:rPr>
                <w:rFonts w:ascii="宋体"/>
                <w:sz w:val="18"/>
              </w:rPr>
              <w:t>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8"/>
              <w:jc w:val="right"/>
              <w:rPr>
                <w:rFonts w:ascii="宋体" w:hAnsi="宋体" w:cs="宋体" w:eastAsia="宋体" w:hint="default"/>
                <w:sz w:val="18"/>
                <w:szCs w:val="18"/>
              </w:rPr>
            </w:pPr>
            <w:r>
              <w:rPr>
                <w:rFonts w:ascii="宋体"/>
                <w:sz w:val="18"/>
              </w:rPr>
              <w:t> </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7"/>
              <w:jc w:val="right"/>
              <w:rPr>
                <w:rFonts w:ascii="宋体" w:hAnsi="宋体" w:cs="宋体" w:eastAsia="宋体" w:hint="default"/>
                <w:sz w:val="18"/>
                <w:szCs w:val="18"/>
              </w:rPr>
            </w:pPr>
            <w:r>
              <w:rPr>
                <w:rFonts w:ascii="宋体"/>
                <w:sz w:val="18"/>
              </w:rPr>
              <w:t> </w:t>
            </w:r>
          </w:p>
        </w:tc>
        <w:tc>
          <w:tcPr>
            <w:tcW w:w="16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7"/>
              <w:jc w:val="right"/>
              <w:rPr>
                <w:rFonts w:ascii="宋体" w:hAnsi="宋体" w:cs="宋体" w:eastAsia="宋体" w:hint="default"/>
                <w:sz w:val="18"/>
                <w:szCs w:val="18"/>
              </w:rPr>
            </w:pPr>
            <w:r>
              <w:rPr>
                <w:rFonts w:ascii="宋体"/>
                <w:sz w:val="18"/>
              </w:rPr>
              <w:t> </w:t>
            </w:r>
          </w:p>
        </w:tc>
        <w:tc>
          <w:tcPr>
            <w:tcW w:w="2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7"/>
              <w:jc w:val="right"/>
              <w:rPr>
                <w:rFonts w:ascii="宋体" w:hAnsi="宋体" w:cs="宋体" w:eastAsia="宋体" w:hint="default"/>
                <w:sz w:val="18"/>
                <w:szCs w:val="18"/>
              </w:rPr>
            </w:pPr>
            <w:r>
              <w:rPr>
                <w:rFonts w:ascii="宋体"/>
                <w:sz w:val="18"/>
              </w:rPr>
              <w:t> </w:t>
            </w:r>
          </w:p>
        </w:tc>
      </w:tr>
      <w:tr>
        <w:trPr>
          <w:trHeight w:val="336" w:hRule="exact"/>
        </w:trPr>
        <w:tc>
          <w:tcPr>
            <w:tcW w:w="3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468"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期末余额</w:t>
            </w:r>
            <w:r>
              <w:rPr>
                <w:rFonts w:ascii="宋体" w:hAnsi="宋体" w:cs="宋体" w:eastAsia="宋体" w:hint="default"/>
                <w:sz w:val="18"/>
                <w:szCs w:val="18"/>
              </w:rPr>
              <w:t> </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3"/>
              <w:jc w:val="right"/>
              <w:rPr>
                <w:rFonts w:ascii="宋体" w:hAnsi="宋体" w:cs="宋体" w:eastAsia="宋体" w:hint="default"/>
                <w:sz w:val="18"/>
                <w:szCs w:val="18"/>
              </w:rPr>
            </w:pPr>
            <w:r>
              <w:rPr>
                <w:rFonts w:ascii="宋体"/>
                <w:spacing w:val="-1"/>
                <w:sz w:val="18"/>
              </w:rPr>
              <w:t>9,178,802.42</w:t>
            </w:r>
            <w:r>
              <w:rPr>
                <w:rFonts w:ascii="宋体"/>
                <w:sz w:val="18"/>
              </w:rPr>
              <w:t>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7"/>
              <w:jc w:val="right"/>
              <w:rPr>
                <w:rFonts w:ascii="宋体" w:hAnsi="宋体" w:cs="宋体" w:eastAsia="宋体" w:hint="default"/>
                <w:sz w:val="18"/>
                <w:szCs w:val="18"/>
              </w:rPr>
            </w:pPr>
            <w:r>
              <w:rPr>
                <w:rFonts w:ascii="宋体"/>
                <w:spacing w:val="-1"/>
                <w:sz w:val="18"/>
              </w:rPr>
              <w:t>2,039,785.04</w:t>
            </w:r>
            <w:r>
              <w:rPr>
                <w:rFonts w:ascii="宋体"/>
                <w:sz w:val="18"/>
              </w:rPr>
              <w:t>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8"/>
              <w:jc w:val="right"/>
              <w:rPr>
                <w:rFonts w:ascii="宋体" w:hAnsi="宋体" w:cs="宋体" w:eastAsia="宋体" w:hint="default"/>
                <w:sz w:val="18"/>
                <w:szCs w:val="18"/>
              </w:rPr>
            </w:pPr>
            <w:r>
              <w:rPr>
                <w:rFonts w:ascii="宋体"/>
                <w:sz w:val="18"/>
              </w:rPr>
              <w:t> </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7"/>
              <w:jc w:val="right"/>
              <w:rPr>
                <w:rFonts w:ascii="宋体" w:hAnsi="宋体" w:cs="宋体" w:eastAsia="宋体" w:hint="default"/>
                <w:sz w:val="18"/>
                <w:szCs w:val="18"/>
              </w:rPr>
            </w:pPr>
            <w:r>
              <w:rPr>
                <w:rFonts w:ascii="宋体"/>
                <w:spacing w:val="-1"/>
                <w:sz w:val="18"/>
              </w:rPr>
              <w:t>171,036.81</w:t>
            </w:r>
            <w:r>
              <w:rPr>
                <w:rFonts w:ascii="宋体"/>
                <w:sz w:val="18"/>
              </w:rPr>
              <w:t> </w:t>
            </w:r>
          </w:p>
        </w:tc>
        <w:tc>
          <w:tcPr>
            <w:tcW w:w="16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7"/>
              <w:jc w:val="right"/>
              <w:rPr>
                <w:rFonts w:ascii="宋体" w:hAnsi="宋体" w:cs="宋体" w:eastAsia="宋体" w:hint="default"/>
                <w:sz w:val="18"/>
                <w:szCs w:val="18"/>
              </w:rPr>
            </w:pPr>
            <w:r>
              <w:rPr>
                <w:rFonts w:ascii="宋体"/>
                <w:sz w:val="18"/>
              </w:rPr>
              <w:t> </w:t>
            </w:r>
          </w:p>
        </w:tc>
        <w:tc>
          <w:tcPr>
            <w:tcW w:w="2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7"/>
              <w:jc w:val="right"/>
              <w:rPr>
                <w:rFonts w:ascii="宋体" w:hAnsi="宋体" w:cs="宋体" w:eastAsia="宋体" w:hint="default"/>
                <w:sz w:val="18"/>
                <w:szCs w:val="18"/>
              </w:rPr>
            </w:pPr>
            <w:r>
              <w:rPr>
                <w:rFonts w:ascii="宋体"/>
                <w:spacing w:val="-1"/>
                <w:sz w:val="18"/>
              </w:rPr>
              <w:t>11,389,624.27</w:t>
            </w:r>
            <w:r>
              <w:rPr>
                <w:rFonts w:ascii="宋体"/>
                <w:sz w:val="18"/>
              </w:rPr>
              <w:t> </w:t>
            </w:r>
          </w:p>
        </w:tc>
      </w:tr>
      <w:tr>
        <w:trPr>
          <w:trHeight w:val="336" w:hRule="exact"/>
        </w:trPr>
        <w:tc>
          <w:tcPr>
            <w:tcW w:w="3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7" w:right="0"/>
              <w:jc w:val="left"/>
              <w:rPr>
                <w:rFonts w:ascii="宋体" w:hAnsi="宋体" w:cs="宋体" w:eastAsia="宋体" w:hint="default"/>
                <w:sz w:val="18"/>
                <w:szCs w:val="18"/>
              </w:rPr>
            </w:pPr>
            <w:r>
              <w:rPr>
                <w:rFonts w:ascii="宋体" w:hAnsi="宋体" w:cs="宋体" w:eastAsia="宋体" w:hint="default"/>
                <w:sz w:val="18"/>
                <w:szCs w:val="18"/>
              </w:rPr>
              <w:t>四、账面价值</w:t>
            </w:r>
            <w:r>
              <w:rPr>
                <w:rFonts w:ascii="宋体" w:hAnsi="宋体" w:cs="宋体" w:eastAsia="宋体" w:hint="default"/>
                <w:sz w:val="18"/>
                <w:szCs w:val="18"/>
              </w:rPr>
              <w:t> </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95" w:right="0"/>
              <w:jc w:val="center"/>
              <w:rPr>
                <w:rFonts w:ascii="宋体" w:hAnsi="宋体" w:cs="宋体" w:eastAsia="宋体" w:hint="default"/>
                <w:sz w:val="18"/>
                <w:szCs w:val="18"/>
              </w:rPr>
            </w:pPr>
            <w:r>
              <w:rPr>
                <w:rFonts w:ascii="宋体"/>
                <w:sz w:val="18"/>
              </w:rPr>
              <w:t>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92" w:right="0"/>
              <w:jc w:val="center"/>
              <w:rPr>
                <w:rFonts w:ascii="宋体" w:hAnsi="宋体" w:cs="宋体" w:eastAsia="宋体" w:hint="default"/>
                <w:sz w:val="18"/>
                <w:szCs w:val="18"/>
              </w:rPr>
            </w:pPr>
            <w:r>
              <w:rPr>
                <w:rFonts w:ascii="宋体"/>
                <w:sz w:val="18"/>
              </w:rPr>
              <w:t>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87" w:right="0"/>
              <w:jc w:val="center"/>
              <w:rPr>
                <w:rFonts w:ascii="宋体" w:hAnsi="宋体" w:cs="宋体" w:eastAsia="宋体" w:hint="default"/>
                <w:sz w:val="18"/>
                <w:szCs w:val="18"/>
              </w:rPr>
            </w:pPr>
            <w:r>
              <w:rPr>
                <w:rFonts w:ascii="宋体"/>
                <w:sz w:val="18"/>
              </w:rPr>
              <w:t> </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90" w:right="0"/>
              <w:jc w:val="center"/>
              <w:rPr>
                <w:rFonts w:ascii="宋体" w:hAnsi="宋体" w:cs="宋体" w:eastAsia="宋体" w:hint="default"/>
                <w:sz w:val="18"/>
                <w:szCs w:val="18"/>
              </w:rPr>
            </w:pPr>
            <w:r>
              <w:rPr>
                <w:rFonts w:ascii="宋体"/>
                <w:sz w:val="18"/>
              </w:rPr>
              <w:t> </w:t>
            </w:r>
          </w:p>
        </w:tc>
        <w:tc>
          <w:tcPr>
            <w:tcW w:w="16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92" w:right="0"/>
              <w:jc w:val="center"/>
              <w:rPr>
                <w:rFonts w:ascii="宋体" w:hAnsi="宋体" w:cs="宋体" w:eastAsia="宋体" w:hint="default"/>
                <w:sz w:val="18"/>
                <w:szCs w:val="18"/>
              </w:rPr>
            </w:pPr>
            <w:r>
              <w:rPr>
                <w:rFonts w:ascii="宋体"/>
                <w:sz w:val="18"/>
              </w:rPr>
              <w:t> </w:t>
            </w:r>
          </w:p>
        </w:tc>
        <w:tc>
          <w:tcPr>
            <w:tcW w:w="2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87" w:right="0"/>
              <w:jc w:val="center"/>
              <w:rPr>
                <w:rFonts w:ascii="宋体" w:hAnsi="宋体" w:cs="宋体" w:eastAsia="宋体" w:hint="default"/>
                <w:sz w:val="18"/>
                <w:szCs w:val="18"/>
              </w:rPr>
            </w:pPr>
            <w:r>
              <w:rPr>
                <w:rFonts w:ascii="宋体"/>
                <w:sz w:val="18"/>
              </w:rPr>
              <w:t> </w:t>
            </w:r>
          </w:p>
        </w:tc>
      </w:tr>
      <w:tr>
        <w:trPr>
          <w:trHeight w:val="336" w:hRule="exact"/>
        </w:trPr>
        <w:tc>
          <w:tcPr>
            <w:tcW w:w="3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468"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期末账面价值</w:t>
            </w:r>
            <w:r>
              <w:rPr>
                <w:rFonts w:ascii="宋体" w:hAnsi="宋体" w:cs="宋体" w:eastAsia="宋体" w:hint="default"/>
                <w:sz w:val="18"/>
                <w:szCs w:val="18"/>
              </w:rPr>
              <w:t> </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3"/>
              <w:jc w:val="right"/>
              <w:rPr>
                <w:rFonts w:ascii="宋体" w:hAnsi="宋体" w:cs="宋体" w:eastAsia="宋体" w:hint="default"/>
                <w:sz w:val="18"/>
                <w:szCs w:val="18"/>
              </w:rPr>
            </w:pPr>
            <w:r>
              <w:rPr>
                <w:rFonts w:ascii="宋体"/>
                <w:spacing w:val="-1"/>
                <w:sz w:val="18"/>
              </w:rPr>
              <w:t>613,151,367.31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7"/>
              <w:jc w:val="right"/>
              <w:rPr>
                <w:rFonts w:ascii="宋体" w:hAnsi="宋体" w:cs="宋体" w:eastAsia="宋体" w:hint="default"/>
                <w:sz w:val="18"/>
                <w:szCs w:val="18"/>
              </w:rPr>
            </w:pPr>
            <w:r>
              <w:rPr>
                <w:rFonts w:ascii="宋体"/>
                <w:spacing w:val="-1"/>
                <w:sz w:val="18"/>
              </w:rPr>
              <w:t>455,589,607.54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8"/>
              <w:jc w:val="right"/>
              <w:rPr>
                <w:rFonts w:ascii="宋体" w:hAnsi="宋体" w:cs="宋体" w:eastAsia="宋体" w:hint="default"/>
                <w:sz w:val="18"/>
                <w:szCs w:val="18"/>
              </w:rPr>
            </w:pPr>
            <w:r>
              <w:rPr>
                <w:rFonts w:ascii="宋体"/>
                <w:spacing w:val="-1"/>
                <w:sz w:val="18"/>
              </w:rPr>
              <w:t>6,120,491.00 </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7"/>
              <w:jc w:val="right"/>
              <w:rPr>
                <w:rFonts w:ascii="宋体" w:hAnsi="宋体" w:cs="宋体" w:eastAsia="宋体" w:hint="default"/>
                <w:sz w:val="18"/>
                <w:szCs w:val="18"/>
              </w:rPr>
            </w:pPr>
            <w:r>
              <w:rPr>
                <w:rFonts w:ascii="宋体"/>
                <w:spacing w:val="-1"/>
                <w:sz w:val="18"/>
              </w:rPr>
              <w:t>38,265,541.27</w:t>
            </w:r>
            <w:r>
              <w:rPr>
                <w:rFonts w:ascii="宋体"/>
                <w:sz w:val="18"/>
              </w:rPr>
              <w:t> </w:t>
            </w:r>
          </w:p>
        </w:tc>
        <w:tc>
          <w:tcPr>
            <w:tcW w:w="16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7"/>
              <w:jc w:val="right"/>
              <w:rPr>
                <w:rFonts w:ascii="宋体" w:hAnsi="宋体" w:cs="宋体" w:eastAsia="宋体" w:hint="default"/>
                <w:sz w:val="18"/>
                <w:szCs w:val="18"/>
              </w:rPr>
            </w:pPr>
            <w:r>
              <w:rPr>
                <w:rFonts w:ascii="宋体"/>
                <w:spacing w:val="-1"/>
                <w:sz w:val="18"/>
              </w:rPr>
              <w:t>7,775,636,001.90 </w:t>
            </w:r>
          </w:p>
        </w:tc>
        <w:tc>
          <w:tcPr>
            <w:tcW w:w="2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7"/>
              <w:jc w:val="right"/>
              <w:rPr>
                <w:rFonts w:ascii="宋体" w:hAnsi="宋体" w:cs="宋体" w:eastAsia="宋体" w:hint="default"/>
                <w:sz w:val="18"/>
                <w:szCs w:val="18"/>
              </w:rPr>
            </w:pPr>
            <w:r>
              <w:rPr>
                <w:rFonts w:ascii="宋体"/>
                <w:spacing w:val="-1"/>
                <w:sz w:val="18"/>
              </w:rPr>
              <w:t>8,888,763,009.02 </w:t>
            </w:r>
          </w:p>
        </w:tc>
      </w:tr>
      <w:tr>
        <w:trPr>
          <w:trHeight w:val="336" w:hRule="exact"/>
        </w:trPr>
        <w:tc>
          <w:tcPr>
            <w:tcW w:w="3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468"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期初账面价值</w:t>
            </w:r>
            <w:r>
              <w:rPr>
                <w:rFonts w:ascii="宋体" w:hAnsi="宋体" w:cs="宋体" w:eastAsia="宋体" w:hint="default"/>
                <w:sz w:val="18"/>
                <w:szCs w:val="18"/>
              </w:rPr>
              <w:t> </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3"/>
              <w:jc w:val="right"/>
              <w:rPr>
                <w:rFonts w:ascii="宋体" w:hAnsi="宋体" w:cs="宋体" w:eastAsia="宋体" w:hint="default"/>
                <w:sz w:val="18"/>
                <w:szCs w:val="18"/>
              </w:rPr>
            </w:pPr>
            <w:r>
              <w:rPr>
                <w:rFonts w:ascii="宋体"/>
                <w:spacing w:val="-1"/>
                <w:sz w:val="18"/>
              </w:rPr>
              <w:t>527,736,058.33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7"/>
              <w:jc w:val="right"/>
              <w:rPr>
                <w:rFonts w:ascii="宋体" w:hAnsi="宋体" w:cs="宋体" w:eastAsia="宋体" w:hint="default"/>
                <w:sz w:val="18"/>
                <w:szCs w:val="18"/>
              </w:rPr>
            </w:pPr>
            <w:r>
              <w:rPr>
                <w:rFonts w:ascii="宋体"/>
                <w:spacing w:val="-1"/>
                <w:sz w:val="18"/>
              </w:rPr>
              <w:t>466,202,006.06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8"/>
              <w:jc w:val="right"/>
              <w:rPr>
                <w:rFonts w:ascii="宋体" w:hAnsi="宋体" w:cs="宋体" w:eastAsia="宋体" w:hint="default"/>
                <w:sz w:val="18"/>
                <w:szCs w:val="18"/>
              </w:rPr>
            </w:pPr>
            <w:r>
              <w:rPr>
                <w:rFonts w:ascii="宋体"/>
                <w:spacing w:val="-1"/>
                <w:sz w:val="18"/>
              </w:rPr>
              <w:t>8,705,718.41 </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7"/>
              <w:jc w:val="right"/>
              <w:rPr>
                <w:rFonts w:ascii="宋体" w:hAnsi="宋体" w:cs="宋体" w:eastAsia="宋体" w:hint="default"/>
                <w:sz w:val="18"/>
                <w:szCs w:val="18"/>
              </w:rPr>
            </w:pPr>
            <w:r>
              <w:rPr>
                <w:rFonts w:ascii="宋体"/>
                <w:spacing w:val="-1"/>
                <w:sz w:val="18"/>
              </w:rPr>
              <w:t>50,098,501.95</w:t>
            </w:r>
            <w:r>
              <w:rPr>
                <w:rFonts w:ascii="宋体"/>
                <w:sz w:val="18"/>
              </w:rPr>
              <w:t> </w:t>
            </w:r>
          </w:p>
        </w:tc>
        <w:tc>
          <w:tcPr>
            <w:tcW w:w="16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7"/>
              <w:jc w:val="right"/>
              <w:rPr>
                <w:rFonts w:ascii="宋体" w:hAnsi="宋体" w:cs="宋体" w:eastAsia="宋体" w:hint="default"/>
                <w:sz w:val="18"/>
                <w:szCs w:val="18"/>
              </w:rPr>
            </w:pPr>
            <w:r>
              <w:rPr>
                <w:rFonts w:ascii="宋体"/>
                <w:spacing w:val="-1"/>
                <w:sz w:val="18"/>
              </w:rPr>
              <w:t>7,849,673,356.26 </w:t>
            </w:r>
          </w:p>
        </w:tc>
        <w:tc>
          <w:tcPr>
            <w:tcW w:w="2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7"/>
              <w:jc w:val="right"/>
              <w:rPr>
                <w:rFonts w:ascii="宋体" w:hAnsi="宋体" w:cs="宋体" w:eastAsia="宋体" w:hint="default"/>
                <w:sz w:val="18"/>
                <w:szCs w:val="18"/>
              </w:rPr>
            </w:pPr>
            <w:r>
              <w:rPr>
                <w:rFonts w:ascii="宋体"/>
                <w:spacing w:val="-1"/>
                <w:sz w:val="18"/>
              </w:rPr>
              <w:t>8,902,415,641.01 </w:t>
            </w:r>
          </w:p>
        </w:tc>
      </w:tr>
    </w:tbl>
    <w:p>
      <w:pPr>
        <w:spacing w:before="15"/>
        <w:ind w:left="224" w:right="0" w:firstLine="0"/>
        <w:jc w:val="left"/>
        <w:rPr>
          <w:rFonts w:ascii="宋体" w:hAnsi="宋体" w:cs="宋体" w:eastAsia="宋体" w:hint="default"/>
          <w:sz w:val="18"/>
          <w:szCs w:val="18"/>
        </w:rPr>
      </w:pPr>
      <w:r>
        <w:rPr>
          <w:rFonts w:ascii="宋体"/>
          <w:sz w:val="18"/>
        </w:rPr>
        <w:t> </w:t>
      </w:r>
    </w:p>
    <w:p>
      <w:pPr>
        <w:spacing w:after="0"/>
        <w:jc w:val="left"/>
        <w:rPr>
          <w:rFonts w:ascii="宋体" w:hAnsi="宋体" w:cs="宋体" w:eastAsia="宋体" w:hint="default"/>
          <w:sz w:val="18"/>
          <w:szCs w:val="18"/>
        </w:rPr>
        <w:sectPr>
          <w:pgSz w:w="16840" w:h="11910" w:orient="landscape"/>
          <w:pgMar w:header="748" w:footer="975" w:top="1140" w:bottom="1160" w:left="1300" w:right="1200"/>
        </w:sectPr>
      </w:pPr>
    </w:p>
    <w:p>
      <w:pPr>
        <w:spacing w:line="240" w:lineRule="auto" w:before="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headerReference w:type="default" r:id="rId182"/>
          <w:footerReference w:type="default" r:id="rId183"/>
          <w:pgSz w:w="11910" w:h="16840"/>
          <w:pgMar w:header="748" w:footer="0" w:top="1140" w:bottom="280" w:left="1040" w:right="1560"/>
        </w:sectPr>
      </w:pPr>
    </w:p>
    <w:p>
      <w:pPr>
        <w:pStyle w:val="Heading3"/>
        <w:spacing w:line="326" w:lineRule="auto" w:before="36"/>
        <w:ind w:left="236"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(2)</w:t>
      </w:r>
      <w:r>
        <w:rPr>
          <w:rFonts w:ascii="宋体" w:hAnsi="宋体" w:cs="宋体" w:eastAsia="宋体" w:hint="default"/>
          <w:spacing w:val="5"/>
          <w:w w:val="99"/>
        </w:rPr>
        <w:t>.</w:t>
      </w:r>
      <w:r>
        <w:rPr>
          <w:w w:val="100"/>
        </w:rPr>
        <w:t>暂时闲置的固定资</w:t>
      </w:r>
      <w:r>
        <w:rPr>
          <w:spacing w:val="-3"/>
          <w:w w:val="100"/>
        </w:rPr>
        <w:t>产</w:t>
      </w:r>
      <w:r>
        <w:rPr>
          <w:w w:val="100"/>
        </w:rPr>
        <w:t>情</w:t>
      </w:r>
      <w:r>
        <w:rPr>
          <w:spacing w:val="-2"/>
          <w:w w:val="100"/>
        </w:rPr>
        <w:t>况</w:t>
      </w:r>
      <w:r>
        <w:rPr>
          <w:rFonts w:ascii="宋体" w:hAnsi="宋体" w:cs="宋体" w:eastAsia="宋体" w:hint="default"/>
          <w:w w:val="99"/>
        </w:rPr>
        <w:t> </w:t>
      </w:r>
      <w:r>
        <w:rPr>
          <w:rFonts w:ascii="宋体" w:hAnsi="宋体" w:cs="宋体" w:eastAsia="宋体" w:hint="default"/>
          <w:b w:val="0"/>
          <w:bCs w:val="0"/>
        </w:rPr>
      </w:r>
    </w:p>
    <w:p>
      <w:pPr>
        <w:spacing w:line="324" w:lineRule="auto" w:before="21"/>
        <w:ind w:left="236"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(3).</w:t>
      </w:r>
      <w:r>
        <w:rPr>
          <w:rFonts w:ascii="宋体" w:hAnsi="宋体" w:cs="宋体" w:eastAsia="宋体" w:hint="default"/>
          <w:b/>
          <w:bCs/>
          <w:sz w:val="21"/>
          <w:szCs w:val="21"/>
        </w:rPr>
        <w:t>通过融资租赁租入的固定资产情况</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324" w:lineRule="auto" w:before="23"/>
        <w:ind w:left="236"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(4).</w:t>
      </w:r>
      <w:r>
        <w:rPr>
          <w:rFonts w:ascii="宋体" w:hAnsi="宋体" w:cs="宋体" w:eastAsia="宋体" w:hint="default"/>
          <w:b/>
          <w:bCs/>
          <w:sz w:val="21"/>
          <w:szCs w:val="21"/>
        </w:rPr>
        <w:t>通过经营租赁租出的固定资产</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324" w:lineRule="auto" w:before="23"/>
        <w:ind w:left="236"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color w:val="FF0000"/>
          <w:w w:val="100"/>
          <w:sz w:val="21"/>
          <w:szCs w:val="21"/>
        </w:rPr>
        <w:t> </w:t>
      </w:r>
      <w:r>
        <w:rPr>
          <w:rFonts w:ascii="宋体" w:hAnsi="宋体" w:cs="宋体" w:eastAsia="宋体" w:hint="default"/>
          <w:b/>
          <w:bCs/>
          <w:sz w:val="21"/>
          <w:szCs w:val="21"/>
        </w:rPr>
        <w:t>(5).</w:t>
      </w:r>
      <w:r>
        <w:rPr>
          <w:rFonts w:ascii="宋体" w:hAnsi="宋体" w:cs="宋体" w:eastAsia="宋体" w:hint="default"/>
          <w:b/>
          <w:bCs/>
          <w:sz w:val="21"/>
          <w:szCs w:val="21"/>
        </w:rPr>
        <w:t>未办妥产权证书的固定资产情况</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73" w:lineRule="auto" w:before="23"/>
        <w:ind w:left="236" w:right="1526"/>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color w:val="FF0000"/>
          <w:w w:val="100"/>
        </w:rPr>
        <w:t> </w:t>
      </w:r>
      <w:r>
        <w:rPr/>
        <w:t>其他说明：</w:t>
      </w:r>
      <w:r>
        <w:rPr>
          <w:rFonts w:ascii="宋体" w:hAnsi="宋体" w:cs="宋体" w:eastAsia="宋体" w:hint="default"/>
        </w:rPr>
        <w:t> </w:t>
      </w:r>
    </w:p>
    <w:p>
      <w:pPr>
        <w:pStyle w:val="BodyText"/>
        <w:spacing w:line="240" w:lineRule="auto" w:before="8"/>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324" w:lineRule="auto" w:before="37"/>
        <w:ind w:left="236" w:right="0" w:firstLine="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b/>
          <w:bCs/>
          <w:w w:val="100"/>
          <w:sz w:val="21"/>
          <w:szCs w:val="21"/>
        </w:rPr>
        <w:t>固定资产清</w:t>
      </w:r>
      <w:r>
        <w:rPr>
          <w:rFonts w:ascii="宋体" w:hAnsi="宋体" w:cs="宋体" w:eastAsia="宋体" w:hint="default"/>
          <w:b/>
          <w:bCs/>
          <w:spacing w:val="-2"/>
          <w:w w:val="100"/>
          <w:sz w:val="21"/>
          <w:szCs w:val="21"/>
        </w:rPr>
        <w:t>理</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0" w:lineRule="auto" w:before="23"/>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left="236" w:right="0"/>
        <w:jc w:val="left"/>
        <w:rPr>
          <w:rFonts w:ascii="宋体" w:hAnsi="宋体" w:cs="宋体" w:eastAsia="宋体" w:hint="default"/>
        </w:rPr>
      </w:pPr>
      <w:r>
        <w:rPr>
          <w:rFonts w:ascii="宋体"/>
          <w:w w:val="100"/>
        </w:rPr>
        <w:t> </w:t>
      </w:r>
    </w:p>
    <w:p>
      <w:pPr>
        <w:pStyle w:val="Heading3"/>
        <w:spacing w:line="324" w:lineRule="auto"/>
        <w:ind w:left="236" w:right="1526"/>
        <w:jc w:val="left"/>
        <w:rPr>
          <w:rFonts w:ascii="宋体" w:hAnsi="宋体" w:cs="宋体" w:eastAsia="宋体" w:hint="default"/>
          <w:b w:val="0"/>
          <w:bCs w:val="0"/>
        </w:rPr>
      </w:pPr>
      <w:r>
        <w:rPr>
          <w:rFonts w:ascii="宋体" w:hAnsi="宋体" w:cs="宋体" w:eastAsia="宋体" w:hint="default"/>
        </w:rPr>
        <w:t>21</w:t>
      </w:r>
      <w:r>
        <w:rPr/>
        <w:t>、</w:t>
      </w:r>
      <w:r>
        <w:rPr>
          <w:spacing w:val="-26"/>
        </w:rPr>
        <w:t> </w:t>
      </w:r>
      <w:r>
        <w:rPr/>
        <w:t>在建工程</w:t>
      </w:r>
      <w:r>
        <w:rPr>
          <w:rFonts w:ascii="宋体" w:hAnsi="宋体" w:cs="宋体" w:eastAsia="宋体" w:hint="default"/>
          <w:w w:val="99"/>
        </w:rPr>
        <w:t> </w:t>
      </w:r>
      <w:r>
        <w:rPr/>
        <w:t>项目列示</w:t>
      </w:r>
      <w:r>
        <w:rPr>
          <w:rFonts w:ascii="宋体" w:hAnsi="宋体" w:cs="宋体" w:eastAsia="宋体" w:hint="default"/>
          <w:w w:val="99"/>
        </w:rPr>
        <w:t> </w:t>
      </w:r>
      <w:r>
        <w:rPr>
          <w:rFonts w:ascii="宋体" w:hAnsi="宋体" w:cs="宋体" w:eastAsia="宋体" w:hint="default"/>
          <w:b w:val="0"/>
          <w:bCs w:val="0"/>
        </w:rPr>
      </w:r>
    </w:p>
    <w:p>
      <w:pPr>
        <w:pStyle w:val="Heading2"/>
        <w:spacing w:line="310" w:lineRule="exact"/>
        <w:ind w:left="23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52"/>
        <w:ind w:left="236" w:right="0"/>
        <w:jc w:val="left"/>
        <w:rPr>
          <w:rFonts w:ascii="宋体" w:hAnsi="宋体" w:cs="宋体" w:eastAsia="宋体" w:hint="default"/>
        </w:rPr>
      </w:pPr>
      <w:r>
        <w:rPr/>
        <w:t>单位：元币种：人民币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580" w:bottom="280" w:left="1040" w:right="1560"/>
          <w:cols w:num="2" w:equalWidth="0">
            <w:col w:w="3932" w:space="2801"/>
            <w:col w:w="2577"/>
          </w:cols>
        </w:sectPr>
      </w:pPr>
    </w:p>
    <w:p>
      <w:pPr>
        <w:spacing w:line="240" w:lineRule="auto" w:before="10"/>
        <w:rPr>
          <w:rFonts w:ascii="宋体" w:hAnsi="宋体" w:cs="宋体" w:eastAsia="宋体" w:hint="default"/>
          <w:sz w:val="3"/>
          <w:szCs w:val="3"/>
        </w:rPr>
      </w:pPr>
    </w:p>
    <w:tbl>
      <w:tblPr>
        <w:tblW w:w="0" w:type="auto"/>
        <w:jc w:val="left"/>
        <w:tblInd w:w="119" w:type="dxa"/>
        <w:tblLayout w:type="fixed"/>
        <w:tblCellMar>
          <w:top w:w="0" w:type="dxa"/>
          <w:left w:w="0" w:type="dxa"/>
          <w:bottom w:w="0" w:type="dxa"/>
          <w:right w:w="0" w:type="dxa"/>
        </w:tblCellMar>
        <w:tblLook w:val="01E0"/>
      </w:tblPr>
      <w:tblGrid>
        <w:gridCol w:w="3198"/>
        <w:gridCol w:w="2938"/>
        <w:gridCol w:w="2926"/>
      </w:tblGrid>
      <w:tr>
        <w:trPr>
          <w:trHeight w:val="322" w:hRule="exact"/>
        </w:trPr>
        <w:tc>
          <w:tcPr>
            <w:tcW w:w="319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277"/>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41"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6"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322" w:hRule="exact"/>
        </w:trPr>
        <w:tc>
          <w:tcPr>
            <w:tcW w:w="31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在建工程</w:t>
            </w:r>
            <w:r>
              <w:rPr>
                <w:rFonts w:ascii="宋体" w:hAnsi="宋体" w:cs="宋体" w:eastAsia="宋体" w:hint="default"/>
                <w:sz w:val="21"/>
                <w:szCs w:val="21"/>
              </w:rPr>
              <w:t> </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7"/>
              <w:jc w:val="right"/>
              <w:rPr>
                <w:rFonts w:ascii="宋体" w:hAnsi="宋体" w:cs="宋体" w:eastAsia="宋体" w:hint="default"/>
                <w:sz w:val="21"/>
                <w:szCs w:val="21"/>
              </w:rPr>
            </w:pPr>
            <w:r>
              <w:rPr>
                <w:rFonts w:ascii="宋体"/>
                <w:spacing w:val="-1"/>
                <w:sz w:val="21"/>
              </w:rPr>
              <w:t>62,790,463.66</w:t>
            </w:r>
            <w:r>
              <w:rPr>
                <w:rFonts w:ascii="宋体"/>
                <w:sz w:val="21"/>
              </w:rPr>
              <w:t> </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7"/>
              <w:jc w:val="right"/>
              <w:rPr>
                <w:rFonts w:ascii="宋体" w:hAnsi="宋体" w:cs="宋体" w:eastAsia="宋体" w:hint="default"/>
                <w:sz w:val="21"/>
                <w:szCs w:val="21"/>
              </w:rPr>
            </w:pPr>
            <w:r>
              <w:rPr>
                <w:rFonts w:ascii="宋体"/>
                <w:spacing w:val="-1"/>
                <w:sz w:val="21"/>
              </w:rPr>
              <w:t>174,069,062.53</w:t>
            </w:r>
            <w:r>
              <w:rPr>
                <w:rFonts w:ascii="宋体"/>
                <w:sz w:val="21"/>
              </w:rPr>
              <w:t> </w:t>
            </w:r>
          </w:p>
        </w:tc>
      </w:tr>
      <w:tr>
        <w:trPr>
          <w:trHeight w:val="322" w:hRule="exact"/>
        </w:trPr>
        <w:tc>
          <w:tcPr>
            <w:tcW w:w="31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工程物资</w:t>
            </w:r>
            <w:r>
              <w:rPr>
                <w:rFonts w:ascii="宋体" w:hAnsi="宋体" w:cs="宋体" w:eastAsia="宋体" w:hint="default"/>
                <w:sz w:val="21"/>
                <w:szCs w:val="21"/>
              </w:rPr>
              <w:t> </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7"/>
              <w:jc w:val="right"/>
              <w:rPr>
                <w:rFonts w:ascii="宋体" w:hAnsi="宋体" w:cs="宋体" w:eastAsia="宋体" w:hint="default"/>
                <w:sz w:val="21"/>
                <w:szCs w:val="21"/>
              </w:rPr>
            </w:pPr>
            <w:r>
              <w:rPr>
                <w:rFonts w:ascii="宋体"/>
                <w:spacing w:val="-1"/>
                <w:sz w:val="21"/>
              </w:rPr>
              <w:t>171,505,396.73</w:t>
            </w:r>
            <w:r>
              <w:rPr>
                <w:rFonts w:ascii="宋体"/>
                <w:sz w:val="21"/>
              </w:rPr>
              <w:t> </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7"/>
              <w:jc w:val="right"/>
              <w:rPr>
                <w:rFonts w:ascii="宋体" w:hAnsi="宋体" w:cs="宋体" w:eastAsia="宋体" w:hint="default"/>
                <w:sz w:val="21"/>
                <w:szCs w:val="21"/>
              </w:rPr>
            </w:pPr>
            <w:r>
              <w:rPr>
                <w:rFonts w:ascii="宋体"/>
                <w:spacing w:val="-1"/>
                <w:sz w:val="21"/>
              </w:rPr>
              <w:t>12,487,958.60</w:t>
            </w:r>
            <w:r>
              <w:rPr>
                <w:rFonts w:ascii="宋体"/>
                <w:sz w:val="21"/>
              </w:rPr>
              <w:t> </w:t>
            </w:r>
          </w:p>
        </w:tc>
      </w:tr>
      <w:tr>
        <w:trPr>
          <w:trHeight w:val="324" w:hRule="exact"/>
        </w:trPr>
        <w:tc>
          <w:tcPr>
            <w:tcW w:w="319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277"/>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
              <w:jc w:val="right"/>
              <w:rPr>
                <w:rFonts w:ascii="宋体" w:hAnsi="宋体" w:cs="宋体" w:eastAsia="宋体" w:hint="default"/>
                <w:sz w:val="21"/>
                <w:szCs w:val="21"/>
              </w:rPr>
            </w:pPr>
            <w:r>
              <w:rPr>
                <w:rFonts w:ascii="宋体"/>
                <w:spacing w:val="-1"/>
                <w:sz w:val="21"/>
              </w:rPr>
              <w:t>234,295,860.39</w:t>
            </w:r>
            <w:r>
              <w:rPr>
                <w:rFonts w:ascii="宋体"/>
                <w:sz w:val="21"/>
              </w:rPr>
              <w:t> </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7"/>
              <w:jc w:val="right"/>
              <w:rPr>
                <w:rFonts w:ascii="宋体" w:hAnsi="宋体" w:cs="宋体" w:eastAsia="宋体" w:hint="default"/>
                <w:sz w:val="21"/>
                <w:szCs w:val="21"/>
              </w:rPr>
            </w:pPr>
            <w:r>
              <w:rPr>
                <w:rFonts w:ascii="宋体"/>
                <w:spacing w:val="-1"/>
                <w:sz w:val="21"/>
              </w:rPr>
              <w:t>186,557,021.13</w:t>
            </w:r>
            <w:r>
              <w:rPr>
                <w:rFonts w:ascii="宋体"/>
                <w:sz w:val="21"/>
              </w:rPr>
              <w:t> </w:t>
            </w:r>
          </w:p>
        </w:tc>
      </w:tr>
    </w:tbl>
    <w:p>
      <w:pPr>
        <w:spacing w:after="0" w:line="265" w:lineRule="exact"/>
        <w:jc w:val="right"/>
        <w:rPr>
          <w:rFonts w:ascii="宋体" w:hAnsi="宋体" w:cs="宋体" w:eastAsia="宋体" w:hint="default"/>
          <w:sz w:val="21"/>
          <w:szCs w:val="21"/>
        </w:rPr>
        <w:sectPr>
          <w:type w:val="continuous"/>
          <w:pgSz w:w="11910" w:h="16840"/>
          <w:pgMar w:top="1580" w:bottom="280" w:left="1040" w:right="1560"/>
        </w:sectPr>
      </w:pPr>
    </w:p>
    <w:p>
      <w:pPr>
        <w:pStyle w:val="Heading2"/>
        <w:spacing w:line="274" w:lineRule="exact"/>
        <w:ind w:left="236" w:right="0"/>
        <w:jc w:val="left"/>
        <w:rPr>
          <w:rFonts w:ascii="宋体" w:hAnsi="宋体" w:cs="宋体" w:eastAsia="宋体" w:hint="default"/>
        </w:rPr>
      </w:pPr>
      <w:r>
        <w:rPr>
          <w:rFonts w:ascii="宋体"/>
        </w:rPr>
        <w:t> </w:t>
      </w:r>
    </w:p>
    <w:p>
      <w:pPr>
        <w:pStyle w:val="BodyText"/>
        <w:spacing w:line="240" w:lineRule="auto" w:before="25"/>
        <w:ind w:left="236" w:right="0"/>
        <w:jc w:val="left"/>
        <w:rPr>
          <w:rFonts w:ascii="宋体" w:hAnsi="宋体" w:cs="宋体" w:eastAsia="宋体" w:hint="default"/>
        </w:rPr>
      </w:pPr>
      <w:r>
        <w:rPr/>
        <w:t>其他说明：</w:t>
      </w:r>
      <w:r>
        <w:rPr>
          <w:rFonts w:ascii="宋体" w:hAnsi="宋体" w:cs="宋体" w:eastAsia="宋体" w:hint="default"/>
        </w:rPr>
        <w:t> </w:t>
      </w:r>
    </w:p>
    <w:p>
      <w:pPr>
        <w:pStyle w:val="BodyText"/>
        <w:spacing w:line="240" w:lineRule="auto" w:before="37"/>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324" w:lineRule="auto" w:before="37"/>
        <w:ind w:left="236" w:right="0" w:firstLine="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b/>
          <w:bCs/>
          <w:w w:val="100"/>
          <w:sz w:val="21"/>
          <w:szCs w:val="21"/>
        </w:rPr>
        <w:t>在建工</w:t>
      </w:r>
      <w:r>
        <w:rPr>
          <w:rFonts w:ascii="宋体" w:hAnsi="宋体" w:cs="宋体" w:eastAsia="宋体" w:hint="default"/>
          <w:b/>
          <w:bCs/>
          <w:spacing w:val="-2"/>
          <w:w w:val="100"/>
          <w:sz w:val="21"/>
          <w:szCs w:val="21"/>
        </w:rPr>
        <w:t>程</w:t>
      </w:r>
      <w:r>
        <w:rPr>
          <w:rFonts w:ascii="宋体" w:hAnsi="宋体" w:cs="宋体" w:eastAsia="宋体" w:hint="default"/>
          <w:b/>
          <w:bCs/>
          <w:w w:val="99"/>
          <w:sz w:val="21"/>
          <w:szCs w:val="21"/>
        </w:rPr>
        <w:t> </w:t>
      </w:r>
      <w:r>
        <w:rPr>
          <w:rFonts w:ascii="宋体" w:hAnsi="宋体" w:cs="宋体" w:eastAsia="宋体" w:hint="default"/>
          <w:sz w:val="21"/>
          <w:szCs w:val="21"/>
        </w:rPr>
      </w:r>
    </w:p>
    <w:p>
      <w:pPr>
        <w:pStyle w:val="Heading3"/>
        <w:spacing w:line="240" w:lineRule="auto" w:before="23"/>
        <w:ind w:left="236" w:right="0"/>
        <w:jc w:val="left"/>
        <w:rPr>
          <w:rFonts w:ascii="宋体" w:hAnsi="宋体" w:cs="宋体" w:eastAsia="宋体" w:hint="default"/>
          <w:b w:val="0"/>
          <w:bCs w:val="0"/>
        </w:rPr>
      </w:pPr>
      <w:r>
        <w:rPr>
          <w:rFonts w:ascii="宋体" w:hAnsi="宋体" w:cs="宋体" w:eastAsia="宋体" w:hint="default"/>
        </w:rPr>
        <w:t>(1).</w:t>
      </w:r>
      <w:r>
        <w:rPr/>
        <w:t>在建工程情况</w:t>
      </w:r>
      <w:r>
        <w:rPr>
          <w:rFonts w:ascii="宋体" w:hAnsi="宋体" w:cs="宋体" w:eastAsia="宋体" w:hint="default"/>
          <w:w w:val="99"/>
        </w:rPr>
        <w:t> </w:t>
      </w:r>
      <w:r>
        <w:rPr>
          <w:rFonts w:ascii="宋体" w:hAnsi="宋体" w:cs="宋体" w:eastAsia="宋体" w:hint="default"/>
          <w:b w:val="0"/>
          <w:bCs w:val="0"/>
        </w:rPr>
      </w:r>
    </w:p>
    <w:p>
      <w:pPr>
        <w:pStyle w:val="Heading2"/>
        <w:spacing w:line="240" w:lineRule="auto" w:before="69"/>
        <w:ind w:left="23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9"/>
          <w:szCs w:val="19"/>
        </w:rPr>
      </w:pPr>
    </w:p>
    <w:p>
      <w:pPr>
        <w:pStyle w:val="BodyText"/>
        <w:spacing w:line="240" w:lineRule="auto"/>
        <w:ind w:left="236" w:right="0"/>
        <w:jc w:val="left"/>
        <w:rPr>
          <w:rFonts w:ascii="宋体" w:hAnsi="宋体" w:cs="宋体" w:eastAsia="宋体" w:hint="default"/>
        </w:rPr>
      </w:pPr>
      <w:r>
        <w:rPr/>
        <w:t>单位：元币种：人民币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580" w:bottom="280" w:left="1040" w:right="1560"/>
          <w:cols w:num="2" w:equalWidth="0">
            <w:col w:w="2278" w:space="4456"/>
            <w:col w:w="2576"/>
          </w:cols>
        </w:sectPr>
      </w:pPr>
    </w:p>
    <w:p>
      <w:pPr>
        <w:spacing w:line="240" w:lineRule="auto" w:before="10"/>
        <w:rPr>
          <w:rFonts w:ascii="宋体" w:hAnsi="宋体" w:cs="宋体" w:eastAsia="宋体" w:hint="default"/>
          <w:sz w:val="3"/>
          <w:szCs w:val="3"/>
        </w:rPr>
      </w:pPr>
    </w:p>
    <w:tbl>
      <w:tblPr>
        <w:tblW w:w="0" w:type="auto"/>
        <w:jc w:val="left"/>
        <w:tblInd w:w="200" w:type="dxa"/>
        <w:tblLayout w:type="fixed"/>
        <w:tblCellMar>
          <w:top w:w="0" w:type="dxa"/>
          <w:left w:w="0" w:type="dxa"/>
          <w:bottom w:w="0" w:type="dxa"/>
          <w:right w:w="0" w:type="dxa"/>
        </w:tblCellMar>
        <w:tblLook w:val="01E0"/>
      </w:tblPr>
      <w:tblGrid>
        <w:gridCol w:w="1174"/>
        <w:gridCol w:w="1623"/>
        <w:gridCol w:w="497"/>
        <w:gridCol w:w="1622"/>
        <w:gridCol w:w="1740"/>
        <w:gridCol w:w="499"/>
        <w:gridCol w:w="1741"/>
      </w:tblGrid>
      <w:tr>
        <w:trPr>
          <w:trHeight w:val="322" w:hRule="exact"/>
        </w:trPr>
        <w:tc>
          <w:tcPr>
            <w:tcW w:w="1174"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left="372" w:right="0"/>
              <w:jc w:val="left"/>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3742" w:type="dxa"/>
            <w:gridSpan w:val="3"/>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98" w:right="0"/>
              <w:jc w:val="center"/>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3980" w:type="dxa"/>
            <w:gridSpan w:val="3"/>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0" w:right="0"/>
              <w:jc w:val="center"/>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634" w:hRule="exact"/>
        </w:trPr>
        <w:tc>
          <w:tcPr>
            <w:tcW w:w="1174" w:type="dxa"/>
            <w:vMerge/>
            <w:tcBorders>
              <w:left w:val="single" w:sz="4" w:space="0" w:color="000000"/>
              <w:bottom w:val="single" w:sz="4" w:space="0" w:color="000000"/>
              <w:right w:val="single" w:sz="4" w:space="0" w:color="000000"/>
            </w:tcBorders>
          </w:tcPr>
          <w:p>
            <w:pP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383" w:right="0"/>
              <w:jc w:val="left"/>
              <w:rPr>
                <w:rFonts w:ascii="宋体" w:hAnsi="宋体" w:cs="宋体" w:eastAsia="宋体" w:hint="default"/>
                <w:sz w:val="21"/>
                <w:szCs w:val="21"/>
              </w:rPr>
            </w:pPr>
            <w:r>
              <w:rPr>
                <w:rFonts w:ascii="宋体" w:hAnsi="宋体" w:cs="宋体" w:eastAsia="宋体" w:hint="default"/>
                <w:sz w:val="21"/>
                <w:szCs w:val="21"/>
              </w:rPr>
              <w:t>账面余额</w:t>
            </w:r>
            <w:r>
              <w:rPr>
                <w:rFonts w:ascii="宋体" w:hAnsi="宋体" w:cs="宋体" w:eastAsia="宋体" w:hint="default"/>
                <w:sz w:val="21"/>
                <w:szCs w:val="21"/>
              </w:rPr>
              <w:t> </w:t>
            </w: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31" w:right="31"/>
              <w:jc w:val="left"/>
              <w:rPr>
                <w:rFonts w:ascii="宋体" w:hAnsi="宋体" w:cs="宋体" w:eastAsia="宋体" w:hint="default"/>
                <w:sz w:val="21"/>
                <w:szCs w:val="21"/>
              </w:rPr>
            </w:pPr>
            <w:r>
              <w:rPr>
                <w:rFonts w:ascii="宋体" w:hAnsi="宋体" w:cs="宋体" w:eastAsia="宋体" w:hint="default"/>
                <w:sz w:val="21"/>
                <w:szCs w:val="21"/>
              </w:rPr>
              <w:t>减值</w:t>
            </w:r>
            <w:r>
              <w:rPr>
                <w:rFonts w:ascii="宋体" w:hAnsi="宋体" w:cs="宋体" w:eastAsia="宋体" w:hint="default"/>
                <w:spacing w:val="-103"/>
                <w:sz w:val="21"/>
                <w:szCs w:val="21"/>
              </w:rPr>
              <w:t> </w:t>
            </w:r>
            <w:r>
              <w:rPr>
                <w:rFonts w:ascii="宋体" w:hAnsi="宋体" w:cs="宋体" w:eastAsia="宋体" w:hint="default"/>
                <w:sz w:val="21"/>
                <w:szCs w:val="21"/>
              </w:rPr>
              <w:t>准备</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383"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444" w:right="0"/>
              <w:jc w:val="left"/>
              <w:rPr>
                <w:rFonts w:ascii="宋体" w:hAnsi="宋体" w:cs="宋体" w:eastAsia="宋体" w:hint="default"/>
                <w:sz w:val="21"/>
                <w:szCs w:val="21"/>
              </w:rPr>
            </w:pPr>
            <w:r>
              <w:rPr>
                <w:rFonts w:ascii="宋体" w:hAnsi="宋体" w:cs="宋体" w:eastAsia="宋体" w:hint="default"/>
                <w:sz w:val="21"/>
                <w:szCs w:val="21"/>
              </w:rPr>
              <w:t>账面余额</w:t>
            </w:r>
            <w:r>
              <w:rPr>
                <w:rFonts w:ascii="宋体" w:hAnsi="宋体" w:cs="宋体" w:eastAsia="宋体" w:hint="default"/>
                <w:sz w:val="21"/>
                <w:szCs w:val="21"/>
              </w:rPr>
              <w:t> </w:t>
            </w:r>
          </w:p>
        </w:tc>
        <w:tc>
          <w:tcPr>
            <w:tcW w:w="49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33" w:right="31"/>
              <w:jc w:val="left"/>
              <w:rPr>
                <w:rFonts w:ascii="宋体" w:hAnsi="宋体" w:cs="宋体" w:eastAsia="宋体" w:hint="default"/>
                <w:sz w:val="21"/>
                <w:szCs w:val="21"/>
              </w:rPr>
            </w:pPr>
            <w:r>
              <w:rPr>
                <w:rFonts w:ascii="宋体" w:hAnsi="宋体" w:cs="宋体" w:eastAsia="宋体" w:hint="default"/>
                <w:sz w:val="21"/>
                <w:szCs w:val="21"/>
              </w:rPr>
              <w:t>减值</w:t>
            </w:r>
            <w:r>
              <w:rPr>
                <w:rFonts w:ascii="宋体" w:hAnsi="宋体" w:cs="宋体" w:eastAsia="宋体" w:hint="default"/>
                <w:spacing w:val="-103"/>
                <w:sz w:val="21"/>
                <w:szCs w:val="21"/>
              </w:rPr>
              <w:t> </w:t>
            </w:r>
            <w:r>
              <w:rPr>
                <w:rFonts w:ascii="宋体" w:hAnsi="宋体" w:cs="宋体" w:eastAsia="宋体" w:hint="default"/>
                <w:sz w:val="21"/>
                <w:szCs w:val="21"/>
              </w:rPr>
              <w:t>准备</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443"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322" w:hRule="exact"/>
        </w:trPr>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装饰工程</w:t>
            </w:r>
            <w:r>
              <w:rPr>
                <w:rFonts w:ascii="宋体" w:hAnsi="宋体" w:cs="宋体" w:eastAsia="宋体" w:hint="default"/>
                <w:sz w:val="21"/>
                <w:szCs w:val="21"/>
              </w:rPr>
              <w:t> </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6"/>
              <w:jc w:val="right"/>
              <w:rPr>
                <w:rFonts w:ascii="宋体" w:hAnsi="宋体" w:cs="宋体" w:eastAsia="宋体" w:hint="default"/>
                <w:sz w:val="21"/>
                <w:szCs w:val="21"/>
              </w:rPr>
            </w:pPr>
            <w:r>
              <w:rPr>
                <w:rFonts w:ascii="宋体"/>
                <w:spacing w:val="-1"/>
                <w:sz w:val="21"/>
              </w:rPr>
              <w:t>746,827.81</w:t>
            </w:r>
            <w:r>
              <w:rPr>
                <w:rFonts w:ascii="宋体"/>
                <w:sz w:val="21"/>
              </w:rPr>
              <w:t> </w:t>
            </w: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right"/>
              <w:rPr>
                <w:rFonts w:ascii="宋体" w:hAnsi="宋体" w:cs="宋体" w:eastAsia="宋体" w:hint="default"/>
                <w:sz w:val="21"/>
                <w:szCs w:val="21"/>
              </w:rPr>
            </w:pPr>
            <w:r>
              <w:rPr>
                <w:rFonts w:ascii="宋体"/>
                <w:w w:val="100"/>
                <w:sz w:val="21"/>
              </w:rPr>
              <w:t> </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right"/>
              <w:rPr>
                <w:rFonts w:ascii="宋体" w:hAnsi="宋体" w:cs="宋体" w:eastAsia="宋体" w:hint="default"/>
                <w:sz w:val="21"/>
                <w:szCs w:val="21"/>
              </w:rPr>
            </w:pPr>
            <w:r>
              <w:rPr>
                <w:rFonts w:ascii="宋体"/>
                <w:spacing w:val="-1"/>
                <w:sz w:val="21"/>
              </w:rPr>
              <w:t>746,827.81</w:t>
            </w:r>
            <w:r>
              <w:rPr>
                <w:rFonts w:ascii="宋体"/>
                <w:sz w:val="21"/>
              </w:rPr>
              <w:t> </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1"/>
              <w:jc w:val="right"/>
              <w:rPr>
                <w:rFonts w:ascii="宋体" w:hAnsi="宋体" w:cs="宋体" w:eastAsia="宋体" w:hint="default"/>
                <w:sz w:val="21"/>
                <w:szCs w:val="21"/>
              </w:rPr>
            </w:pPr>
            <w:r>
              <w:rPr>
                <w:rFonts w:ascii="宋体"/>
                <w:spacing w:val="-1"/>
                <w:sz w:val="21"/>
              </w:rPr>
              <w:t>2,227,979.43</w:t>
            </w:r>
          </w:p>
        </w:tc>
        <w:tc>
          <w:tcPr>
            <w:tcW w:w="499" w:type="dxa"/>
            <w:tcBorders>
              <w:top w:val="single" w:sz="4" w:space="0" w:color="000000"/>
              <w:left w:val="single" w:sz="4" w:space="0" w:color="000000"/>
              <w:bottom w:val="single" w:sz="4" w:space="0" w:color="000000"/>
              <w:right w:val="single" w:sz="4" w:space="0" w:color="000000"/>
            </w:tcBorders>
          </w:tcPr>
          <w:p>
            <w:pP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2"/>
              <w:jc w:val="right"/>
              <w:rPr>
                <w:rFonts w:ascii="宋体" w:hAnsi="宋体" w:cs="宋体" w:eastAsia="宋体" w:hint="default"/>
                <w:sz w:val="21"/>
                <w:szCs w:val="21"/>
              </w:rPr>
            </w:pPr>
            <w:r>
              <w:rPr>
                <w:rFonts w:ascii="宋体"/>
                <w:spacing w:val="-1"/>
                <w:sz w:val="21"/>
              </w:rPr>
              <w:t>2,227,979.43</w:t>
            </w:r>
          </w:p>
        </w:tc>
      </w:tr>
      <w:tr>
        <w:trPr>
          <w:trHeight w:val="322" w:hRule="exact"/>
        </w:trPr>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厂房建设</w:t>
            </w:r>
            <w:r>
              <w:rPr>
                <w:rFonts w:ascii="宋体" w:hAnsi="宋体" w:cs="宋体" w:eastAsia="宋体" w:hint="default"/>
                <w:sz w:val="21"/>
                <w:szCs w:val="21"/>
              </w:rPr>
              <w:t> </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6"/>
              <w:jc w:val="right"/>
              <w:rPr>
                <w:rFonts w:ascii="宋体" w:hAnsi="宋体" w:cs="宋体" w:eastAsia="宋体" w:hint="default"/>
                <w:sz w:val="21"/>
                <w:szCs w:val="21"/>
              </w:rPr>
            </w:pPr>
            <w:r>
              <w:rPr>
                <w:rFonts w:ascii="宋体"/>
                <w:spacing w:val="-1"/>
                <w:sz w:val="21"/>
              </w:rPr>
              <w:t>6,584,734.24</w:t>
            </w:r>
            <w:r>
              <w:rPr>
                <w:rFonts w:ascii="宋体"/>
                <w:sz w:val="21"/>
              </w:rPr>
              <w:t> </w:t>
            </w: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right"/>
              <w:rPr>
                <w:rFonts w:ascii="宋体" w:hAnsi="宋体" w:cs="宋体" w:eastAsia="宋体" w:hint="default"/>
                <w:sz w:val="21"/>
                <w:szCs w:val="21"/>
              </w:rPr>
            </w:pPr>
            <w:r>
              <w:rPr>
                <w:rFonts w:ascii="宋体"/>
                <w:w w:val="100"/>
                <w:sz w:val="21"/>
              </w:rPr>
              <w:t> </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right"/>
              <w:rPr>
                <w:rFonts w:ascii="宋体" w:hAnsi="宋体" w:cs="宋体" w:eastAsia="宋体" w:hint="default"/>
                <w:sz w:val="21"/>
                <w:szCs w:val="21"/>
              </w:rPr>
            </w:pPr>
            <w:r>
              <w:rPr>
                <w:rFonts w:ascii="宋体"/>
                <w:spacing w:val="-1"/>
                <w:sz w:val="21"/>
              </w:rPr>
              <w:t>6,584,734.24</w:t>
            </w:r>
            <w:r>
              <w:rPr>
                <w:rFonts w:ascii="宋体"/>
                <w:sz w:val="21"/>
              </w:rPr>
              <w:t> </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1"/>
              <w:jc w:val="right"/>
              <w:rPr>
                <w:rFonts w:ascii="宋体" w:hAnsi="宋体" w:cs="宋体" w:eastAsia="宋体" w:hint="default"/>
                <w:sz w:val="21"/>
                <w:szCs w:val="21"/>
              </w:rPr>
            </w:pPr>
            <w:r>
              <w:rPr>
                <w:rFonts w:ascii="宋体"/>
                <w:spacing w:val="-1"/>
                <w:sz w:val="21"/>
              </w:rPr>
              <w:t>2,171,700.00</w:t>
            </w:r>
          </w:p>
        </w:tc>
        <w:tc>
          <w:tcPr>
            <w:tcW w:w="499" w:type="dxa"/>
            <w:tcBorders>
              <w:top w:val="single" w:sz="4" w:space="0" w:color="000000"/>
              <w:left w:val="single" w:sz="4" w:space="0" w:color="000000"/>
              <w:bottom w:val="single" w:sz="4" w:space="0" w:color="000000"/>
              <w:right w:val="single" w:sz="4" w:space="0" w:color="000000"/>
            </w:tcBorders>
          </w:tcPr>
          <w:p>
            <w:pP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2"/>
              <w:jc w:val="right"/>
              <w:rPr>
                <w:rFonts w:ascii="宋体" w:hAnsi="宋体" w:cs="宋体" w:eastAsia="宋体" w:hint="default"/>
                <w:sz w:val="21"/>
                <w:szCs w:val="21"/>
              </w:rPr>
            </w:pPr>
            <w:r>
              <w:rPr>
                <w:rFonts w:ascii="宋体"/>
                <w:spacing w:val="-1"/>
                <w:sz w:val="21"/>
              </w:rPr>
              <w:t>2,171,700.00</w:t>
            </w:r>
          </w:p>
        </w:tc>
      </w:tr>
      <w:tr>
        <w:trPr>
          <w:trHeight w:val="324" w:hRule="exact"/>
        </w:trPr>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6" w:right="0"/>
              <w:jc w:val="left"/>
              <w:rPr>
                <w:rFonts w:ascii="宋体" w:hAnsi="宋体" w:cs="宋体" w:eastAsia="宋体" w:hint="default"/>
                <w:sz w:val="21"/>
                <w:szCs w:val="21"/>
              </w:rPr>
            </w:pPr>
            <w:r>
              <w:rPr>
                <w:rFonts w:ascii="宋体" w:hAnsi="宋体" w:cs="宋体" w:eastAsia="宋体" w:hint="default"/>
                <w:sz w:val="21"/>
                <w:szCs w:val="21"/>
              </w:rPr>
              <w:t>光伏电站</w:t>
            </w:r>
            <w:r>
              <w:rPr>
                <w:rFonts w:ascii="宋体" w:hAnsi="宋体" w:cs="宋体" w:eastAsia="宋体" w:hint="default"/>
                <w:sz w:val="21"/>
                <w:szCs w:val="21"/>
              </w:rPr>
              <w:t> </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6"/>
              <w:jc w:val="right"/>
              <w:rPr>
                <w:rFonts w:ascii="宋体" w:hAnsi="宋体" w:cs="宋体" w:eastAsia="宋体" w:hint="default"/>
                <w:sz w:val="21"/>
                <w:szCs w:val="21"/>
              </w:rPr>
            </w:pPr>
            <w:r>
              <w:rPr>
                <w:rFonts w:ascii="宋体"/>
                <w:spacing w:val="-1"/>
                <w:sz w:val="21"/>
              </w:rPr>
              <w:t>13,500,597.83</w:t>
            </w:r>
            <w:r>
              <w:rPr>
                <w:rFonts w:ascii="宋体"/>
                <w:sz w:val="21"/>
              </w:rPr>
              <w:t> </w:t>
            </w: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5"/>
              <w:jc w:val="right"/>
              <w:rPr>
                <w:rFonts w:ascii="宋体" w:hAnsi="宋体" w:cs="宋体" w:eastAsia="宋体" w:hint="default"/>
                <w:sz w:val="21"/>
                <w:szCs w:val="21"/>
              </w:rPr>
            </w:pPr>
            <w:r>
              <w:rPr>
                <w:rFonts w:ascii="宋体"/>
                <w:w w:val="100"/>
                <w:sz w:val="21"/>
              </w:rPr>
              <w:t> </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5"/>
              <w:jc w:val="right"/>
              <w:rPr>
                <w:rFonts w:ascii="宋体" w:hAnsi="宋体" w:cs="宋体" w:eastAsia="宋体" w:hint="default"/>
                <w:sz w:val="21"/>
                <w:szCs w:val="21"/>
              </w:rPr>
            </w:pPr>
            <w:r>
              <w:rPr>
                <w:rFonts w:ascii="宋体"/>
                <w:spacing w:val="-1"/>
                <w:sz w:val="21"/>
              </w:rPr>
              <w:t>13,500,597.83</w:t>
            </w:r>
            <w:r>
              <w:rPr>
                <w:rFonts w:ascii="宋体"/>
                <w:sz w:val="21"/>
              </w:rPr>
              <w:t> </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2"/>
              <w:jc w:val="right"/>
              <w:rPr>
                <w:rFonts w:ascii="宋体" w:hAnsi="宋体" w:cs="宋体" w:eastAsia="宋体" w:hint="default"/>
                <w:sz w:val="21"/>
                <w:szCs w:val="21"/>
              </w:rPr>
            </w:pPr>
            <w:r>
              <w:rPr>
                <w:rFonts w:ascii="宋体"/>
                <w:spacing w:val="-1"/>
                <w:sz w:val="21"/>
              </w:rPr>
              <w:t>123,198,081.12</w:t>
            </w:r>
          </w:p>
        </w:tc>
        <w:tc>
          <w:tcPr>
            <w:tcW w:w="499" w:type="dxa"/>
            <w:tcBorders>
              <w:top w:val="single" w:sz="4" w:space="0" w:color="000000"/>
              <w:left w:val="single" w:sz="4" w:space="0" w:color="000000"/>
              <w:bottom w:val="single" w:sz="4" w:space="0" w:color="000000"/>
              <w:right w:val="single" w:sz="4" w:space="0" w:color="000000"/>
            </w:tcBorders>
          </w:tcPr>
          <w:p>
            <w:pP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2"/>
              <w:jc w:val="right"/>
              <w:rPr>
                <w:rFonts w:ascii="宋体" w:hAnsi="宋体" w:cs="宋体" w:eastAsia="宋体" w:hint="default"/>
                <w:sz w:val="21"/>
                <w:szCs w:val="21"/>
              </w:rPr>
            </w:pPr>
            <w:r>
              <w:rPr>
                <w:rFonts w:ascii="宋体"/>
                <w:spacing w:val="-1"/>
                <w:sz w:val="21"/>
              </w:rPr>
              <w:t>123,198,081.12</w:t>
            </w:r>
          </w:p>
        </w:tc>
      </w:tr>
      <w:tr>
        <w:trPr>
          <w:trHeight w:val="322" w:hRule="exact"/>
        </w:trPr>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设备安装</w:t>
            </w:r>
            <w:r>
              <w:rPr>
                <w:rFonts w:ascii="宋体" w:hAnsi="宋体" w:cs="宋体" w:eastAsia="宋体" w:hint="default"/>
                <w:sz w:val="21"/>
                <w:szCs w:val="21"/>
              </w:rPr>
              <w:t> </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6"/>
              <w:jc w:val="right"/>
              <w:rPr>
                <w:rFonts w:ascii="宋体" w:hAnsi="宋体" w:cs="宋体" w:eastAsia="宋体" w:hint="default"/>
                <w:sz w:val="21"/>
                <w:szCs w:val="21"/>
              </w:rPr>
            </w:pPr>
            <w:r>
              <w:rPr>
                <w:rFonts w:ascii="宋体"/>
                <w:spacing w:val="-1"/>
                <w:sz w:val="21"/>
              </w:rPr>
              <w:t>41,958,303.78</w:t>
            </w:r>
            <w:r>
              <w:rPr>
                <w:rFonts w:ascii="宋体"/>
                <w:sz w:val="21"/>
              </w:rPr>
              <w:t> </w:t>
            </w: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right"/>
              <w:rPr>
                <w:rFonts w:ascii="宋体" w:hAnsi="宋体" w:cs="宋体" w:eastAsia="宋体" w:hint="default"/>
                <w:sz w:val="21"/>
                <w:szCs w:val="21"/>
              </w:rPr>
            </w:pPr>
            <w:r>
              <w:rPr>
                <w:rFonts w:ascii="宋体"/>
                <w:w w:val="100"/>
                <w:sz w:val="21"/>
              </w:rPr>
              <w:t> </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right"/>
              <w:rPr>
                <w:rFonts w:ascii="宋体" w:hAnsi="宋体" w:cs="宋体" w:eastAsia="宋体" w:hint="default"/>
                <w:sz w:val="21"/>
                <w:szCs w:val="21"/>
              </w:rPr>
            </w:pPr>
            <w:r>
              <w:rPr>
                <w:rFonts w:ascii="宋体"/>
                <w:spacing w:val="-1"/>
                <w:sz w:val="21"/>
              </w:rPr>
              <w:t>41,958,303.78</w:t>
            </w:r>
            <w:r>
              <w:rPr>
                <w:rFonts w:ascii="宋体"/>
                <w:sz w:val="21"/>
              </w:rPr>
              <w:t> </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1"/>
              <w:jc w:val="right"/>
              <w:rPr>
                <w:rFonts w:ascii="宋体" w:hAnsi="宋体" w:cs="宋体" w:eastAsia="宋体" w:hint="default"/>
                <w:sz w:val="21"/>
                <w:szCs w:val="21"/>
              </w:rPr>
            </w:pPr>
            <w:r>
              <w:rPr>
                <w:rFonts w:ascii="宋体"/>
                <w:spacing w:val="-1"/>
                <w:sz w:val="21"/>
              </w:rPr>
              <w:t>46,471,301.98</w:t>
            </w:r>
          </w:p>
        </w:tc>
        <w:tc>
          <w:tcPr>
            <w:tcW w:w="499" w:type="dxa"/>
            <w:tcBorders>
              <w:top w:val="single" w:sz="4" w:space="0" w:color="000000"/>
              <w:left w:val="single" w:sz="4" w:space="0" w:color="000000"/>
              <w:bottom w:val="single" w:sz="4" w:space="0" w:color="000000"/>
              <w:right w:val="single" w:sz="4" w:space="0" w:color="000000"/>
            </w:tcBorders>
          </w:tcPr>
          <w:p>
            <w:pP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2"/>
              <w:jc w:val="right"/>
              <w:rPr>
                <w:rFonts w:ascii="宋体" w:hAnsi="宋体" w:cs="宋体" w:eastAsia="宋体" w:hint="default"/>
                <w:sz w:val="21"/>
                <w:szCs w:val="21"/>
              </w:rPr>
            </w:pPr>
            <w:r>
              <w:rPr>
                <w:rFonts w:ascii="宋体"/>
                <w:spacing w:val="-1"/>
                <w:sz w:val="21"/>
              </w:rPr>
              <w:t>46,471,301.98</w:t>
            </w:r>
          </w:p>
        </w:tc>
      </w:tr>
      <w:tr>
        <w:trPr>
          <w:trHeight w:val="322" w:hRule="exact"/>
        </w:trPr>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72"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7"/>
              <w:jc w:val="right"/>
              <w:rPr>
                <w:rFonts w:ascii="宋体" w:hAnsi="宋体" w:cs="宋体" w:eastAsia="宋体" w:hint="default"/>
                <w:sz w:val="24"/>
                <w:szCs w:val="24"/>
              </w:rPr>
            </w:pPr>
            <w:r>
              <w:rPr>
                <w:rFonts w:ascii="宋体"/>
                <w:sz w:val="24"/>
              </w:rPr>
              <w:t>62,790,463.66</w:t>
            </w: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 w:right="0"/>
              <w:jc w:val="left"/>
              <w:rPr>
                <w:rFonts w:ascii="宋体" w:hAnsi="宋体" w:cs="宋体" w:eastAsia="宋体" w:hint="default"/>
                <w:sz w:val="24"/>
                <w:szCs w:val="24"/>
              </w:rPr>
            </w:pPr>
            <w:r>
              <w:rPr>
                <w:rFonts w:ascii="宋体"/>
                <w:sz w:val="24"/>
              </w:rPr>
              <w:t> </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6"/>
              <w:jc w:val="right"/>
              <w:rPr>
                <w:rFonts w:ascii="宋体" w:hAnsi="宋体" w:cs="宋体" w:eastAsia="宋体" w:hint="default"/>
                <w:sz w:val="24"/>
                <w:szCs w:val="24"/>
              </w:rPr>
            </w:pPr>
            <w:r>
              <w:rPr>
                <w:rFonts w:ascii="宋体"/>
                <w:sz w:val="24"/>
              </w:rPr>
              <w:t>62,790,463.66</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4"/>
              <w:jc w:val="right"/>
              <w:rPr>
                <w:rFonts w:ascii="宋体" w:hAnsi="宋体" w:cs="宋体" w:eastAsia="宋体" w:hint="default"/>
                <w:sz w:val="24"/>
                <w:szCs w:val="24"/>
              </w:rPr>
            </w:pPr>
            <w:r>
              <w:rPr>
                <w:rFonts w:ascii="宋体"/>
                <w:sz w:val="24"/>
              </w:rPr>
              <w:t>174,069,062.53</w:t>
            </w:r>
          </w:p>
        </w:tc>
        <w:tc>
          <w:tcPr>
            <w:tcW w:w="49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sz w:val="24"/>
              </w:rPr>
              <w:t> </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6"/>
              <w:jc w:val="right"/>
              <w:rPr>
                <w:rFonts w:ascii="宋体" w:hAnsi="宋体" w:cs="宋体" w:eastAsia="宋体" w:hint="default"/>
                <w:sz w:val="24"/>
                <w:szCs w:val="24"/>
              </w:rPr>
            </w:pPr>
            <w:r>
              <w:rPr>
                <w:rFonts w:ascii="宋体"/>
                <w:sz w:val="24"/>
              </w:rPr>
              <w:t>174,069,062.53</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6"/>
          <w:szCs w:val="26"/>
        </w:rPr>
      </w:pPr>
    </w:p>
    <w:p>
      <w:pPr>
        <w:spacing w:before="63"/>
        <w:ind w:left="4286" w:right="4287" w:firstLine="0"/>
        <w:jc w:val="center"/>
        <w:rPr>
          <w:rFonts w:ascii="Calibri" w:hAnsi="Calibri" w:cs="Calibri" w:eastAsia="Calibri" w:hint="default"/>
          <w:sz w:val="18"/>
          <w:szCs w:val="18"/>
        </w:rPr>
      </w:pPr>
      <w:r>
        <w:rPr>
          <w:rFonts w:ascii="Calibri"/>
          <w:b/>
          <w:sz w:val="18"/>
        </w:rPr>
        <w:t>151 </w:t>
      </w:r>
      <w:r>
        <w:rPr>
          <w:rFonts w:ascii="Calibri"/>
          <w:sz w:val="18"/>
        </w:rPr>
        <w:t>/</w:t>
      </w:r>
      <w:r>
        <w:rPr>
          <w:rFonts w:ascii="Calibri"/>
          <w:spacing w:val="-5"/>
          <w:sz w:val="18"/>
        </w:rPr>
        <w:t> </w:t>
      </w:r>
      <w:r>
        <w:rPr>
          <w:rFonts w:ascii="Calibri"/>
          <w:b/>
          <w:sz w:val="18"/>
        </w:rPr>
        <w:t>216</w:t>
      </w:r>
      <w:r>
        <w:rPr>
          <w:rFonts w:ascii="Calibri"/>
          <w:sz w:val="18"/>
        </w:rPr>
      </w:r>
    </w:p>
    <w:p>
      <w:pPr>
        <w:spacing w:after="0"/>
        <w:jc w:val="center"/>
        <w:rPr>
          <w:rFonts w:ascii="Calibri" w:hAnsi="Calibri" w:cs="Calibri" w:eastAsia="Calibri" w:hint="default"/>
          <w:sz w:val="18"/>
          <w:szCs w:val="18"/>
        </w:rPr>
        <w:sectPr>
          <w:type w:val="continuous"/>
          <w:pgSz w:w="11910" w:h="16840"/>
          <w:pgMar w:top="1580" w:bottom="280" w:left="1040" w:right="1560"/>
        </w:sectPr>
      </w:pPr>
    </w:p>
    <w:p>
      <w:pPr>
        <w:spacing w:line="240" w:lineRule="auto" w:before="8"/>
        <w:rPr>
          <w:rFonts w:ascii="Calibri" w:hAnsi="Calibri" w:cs="Calibri" w:eastAsia="Calibri" w:hint="default"/>
          <w:b/>
          <w:bCs/>
          <w:sz w:val="6"/>
          <w:szCs w:val="6"/>
        </w:rPr>
      </w:pPr>
    </w:p>
    <w:p>
      <w:pPr>
        <w:spacing w:line="393" w:lineRule="exact"/>
        <w:ind w:left="301" w:right="0" w:firstLine="0"/>
        <w:rPr>
          <w:rFonts w:ascii="Calibri" w:hAnsi="Calibri" w:cs="Calibri" w:eastAsia="Calibri" w:hint="default"/>
          <w:sz w:val="20"/>
          <w:szCs w:val="20"/>
        </w:rPr>
      </w:pPr>
      <w:r>
        <w:rPr>
          <w:rFonts w:ascii="Calibri" w:hAnsi="Calibri" w:cs="Calibri" w:eastAsia="Calibri" w:hint="default"/>
          <w:position w:val="-7"/>
          <w:sz w:val="20"/>
          <w:szCs w:val="20"/>
        </w:rPr>
        <w:pict>
          <v:group style="width:699.5pt;height:19.650pt;mso-position-horizontal-relative:char;mso-position-vertical-relative:line" coordorigin="0,0" coordsize="13990,393">
            <v:group style="position:absolute;left:70;top:370;width:13913;height:2" coordorigin="70,370" coordsize="13913,2">
              <v:shape style="position:absolute;left:70;top:370;width:13913;height:2" coordorigin="70,370" coordsize="13913,0" path="m70,370l13983,370e" filled="false" stroked="true" strokeweight=".72pt" strokecolor="#000000">
                <v:path arrowok="t"/>
              </v:shape>
              <v:shape style="position:absolute;left:0;top:0;width:465;height:393" type="#_x0000_t75" stroked="false">
                <v:imagedata r:id="rId10" o:title=""/>
              </v:shape>
              <v:shape style="position:absolute;left:3039;top:134;width:21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江苏林洋能源股份有限公司</w:t>
                      </w:r>
                    </w:p>
                  </w:txbxContent>
                </v:textbox>
                <w10:wrap type="none"/>
              </v:shape>
              <v:shape style="position:absolute;left:9705;top:134;width:1309;height:200" type="#_x0000_t202" filled="false" stroked="false">
                <v:textbox inset="0,0,0,0">
                  <w:txbxContent>
                    <w:p>
                      <w:pPr>
                        <w:spacing w:line="200" w:lineRule="exact" w:before="0"/>
                        <w:ind w:left="0" w:right="0" w:firstLine="0"/>
                        <w:jc w:val="left"/>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2"/>
                          <w:sz w:val="18"/>
                          <w:szCs w:val="18"/>
                        </w:rPr>
                        <w:t> </w:t>
                      </w:r>
                      <w:r>
                        <w:rPr>
                          <w:rFonts w:ascii="宋体" w:hAnsi="宋体" w:cs="宋体" w:eastAsia="宋体" w:hint="default"/>
                          <w:sz w:val="18"/>
                          <w:szCs w:val="18"/>
                        </w:rPr>
                        <w:t>年年度报告</w:t>
                      </w:r>
                    </w:p>
                  </w:txbxContent>
                </v:textbox>
                <w10:wrap type="none"/>
              </v:shape>
            </v:group>
          </v:group>
        </w:pict>
      </w:r>
      <w:r>
        <w:rPr>
          <w:rFonts w:ascii="Calibri" w:hAnsi="Calibri" w:cs="Calibri" w:eastAsia="Calibri" w:hint="default"/>
          <w:position w:val="-7"/>
          <w:sz w:val="20"/>
          <w:szCs w:val="20"/>
        </w:rPr>
      </w:r>
    </w:p>
    <w:p>
      <w:pPr>
        <w:spacing w:line="240" w:lineRule="auto" w:before="0"/>
        <w:rPr>
          <w:rFonts w:ascii="Calibri" w:hAnsi="Calibri" w:cs="Calibri" w:eastAsia="Calibri" w:hint="default"/>
          <w:b/>
          <w:bCs/>
          <w:sz w:val="20"/>
          <w:szCs w:val="20"/>
        </w:rPr>
      </w:pPr>
    </w:p>
    <w:p>
      <w:pPr>
        <w:spacing w:line="240" w:lineRule="auto" w:before="1"/>
        <w:rPr>
          <w:rFonts w:ascii="Calibri" w:hAnsi="Calibri" w:cs="Calibri" w:eastAsia="Calibri" w:hint="default"/>
          <w:b/>
          <w:bCs/>
          <w:sz w:val="28"/>
          <w:szCs w:val="28"/>
        </w:rPr>
      </w:pPr>
    </w:p>
    <w:p>
      <w:pPr>
        <w:spacing w:after="0" w:line="240" w:lineRule="auto"/>
        <w:rPr>
          <w:rFonts w:ascii="Calibri" w:hAnsi="Calibri" w:cs="Calibri" w:eastAsia="Calibri" w:hint="default"/>
          <w:sz w:val="28"/>
          <w:szCs w:val="28"/>
        </w:rPr>
        <w:sectPr>
          <w:headerReference w:type="default" r:id="rId184"/>
          <w:footerReference w:type="default" r:id="rId185"/>
          <w:pgSz w:w="16840" w:h="11910" w:orient="landscape"/>
          <w:pgMar w:header="0" w:footer="0" w:top="660" w:bottom="280" w:left="1040" w:right="1100"/>
        </w:sectPr>
      </w:pPr>
    </w:p>
    <w:p>
      <w:pPr>
        <w:pStyle w:val="Heading3"/>
        <w:spacing w:line="314" w:lineRule="auto" w:before="36"/>
        <w:ind w:left="400"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(2)</w:t>
      </w:r>
      <w:r>
        <w:rPr>
          <w:rFonts w:ascii="宋体" w:hAnsi="宋体" w:cs="宋体" w:eastAsia="宋体" w:hint="default"/>
          <w:spacing w:val="5"/>
          <w:w w:val="99"/>
        </w:rPr>
        <w:t>.</w:t>
      </w:r>
      <w:r>
        <w:rPr>
          <w:w w:val="100"/>
        </w:rPr>
        <w:t>重要在建工程项目</w:t>
      </w:r>
      <w:r>
        <w:rPr>
          <w:spacing w:val="-3"/>
          <w:w w:val="100"/>
        </w:rPr>
        <w:t>本</w:t>
      </w:r>
      <w:r>
        <w:rPr>
          <w:w w:val="100"/>
        </w:rPr>
        <w:t>期</w:t>
      </w:r>
      <w:r>
        <w:rPr>
          <w:spacing w:val="-3"/>
          <w:w w:val="100"/>
        </w:rPr>
        <w:t>变</w:t>
      </w:r>
      <w:r>
        <w:rPr>
          <w:w w:val="100"/>
        </w:rPr>
        <w:t>动情</w:t>
      </w:r>
      <w:r>
        <w:rPr>
          <w:spacing w:val="-1"/>
          <w:w w:val="100"/>
        </w:rPr>
        <w:t>况</w:t>
      </w:r>
      <w:r>
        <w:rPr>
          <w:rFonts w:ascii="宋体" w:hAnsi="宋体" w:cs="宋体" w:eastAsia="宋体" w:hint="default"/>
          <w:w w:val="99"/>
        </w:rPr>
        <w:t> </w:t>
      </w:r>
      <w:r>
        <w:rPr>
          <w:rFonts w:ascii="宋体" w:hAnsi="宋体" w:cs="宋体" w:eastAsia="宋体" w:hint="default"/>
          <w:b w:val="0"/>
          <w:bCs w:val="0"/>
        </w:rPr>
      </w:r>
    </w:p>
    <w:p>
      <w:pPr>
        <w:pStyle w:val="Heading2"/>
        <w:spacing w:line="240" w:lineRule="auto" w:before="21"/>
        <w:ind w:left="400"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4"/>
          <w:szCs w:val="24"/>
        </w:rPr>
      </w:pPr>
    </w:p>
    <w:p>
      <w:pPr>
        <w:pStyle w:val="BodyText"/>
        <w:spacing w:line="240" w:lineRule="auto"/>
        <w:ind w:left="400" w:right="0"/>
        <w:jc w:val="left"/>
        <w:rPr>
          <w:rFonts w:ascii="宋体" w:hAnsi="宋体" w:cs="宋体" w:eastAsia="宋体" w:hint="default"/>
        </w:rPr>
      </w:pPr>
      <w:r>
        <w:rPr/>
        <w:t>单位：元币种：人民币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6840" w:h="11910" w:orient="landscape"/>
          <w:pgMar w:top="1580" w:bottom="280" w:left="1040" w:right="1100"/>
          <w:cols w:num="2" w:equalWidth="0">
            <w:col w:w="3886" w:space="7888"/>
            <w:col w:w="2926"/>
          </w:cols>
        </w:sectPr>
      </w:pPr>
    </w:p>
    <w:p>
      <w:pPr>
        <w:spacing w:line="240" w:lineRule="auto" w:before="5"/>
        <w:rPr>
          <w:rFonts w:ascii="宋体" w:hAnsi="宋体" w:cs="宋体" w:eastAsia="宋体" w:hint="default"/>
          <w:sz w:val="4"/>
          <w:szCs w:val="4"/>
        </w:rPr>
      </w:pPr>
    </w:p>
    <w:tbl>
      <w:tblPr>
        <w:tblW w:w="0" w:type="auto"/>
        <w:jc w:val="left"/>
        <w:tblInd w:w="111" w:type="dxa"/>
        <w:tblLayout w:type="fixed"/>
        <w:tblCellMar>
          <w:top w:w="0" w:type="dxa"/>
          <w:left w:w="0" w:type="dxa"/>
          <w:bottom w:w="0" w:type="dxa"/>
          <w:right w:w="0" w:type="dxa"/>
        </w:tblCellMar>
        <w:tblLook w:val="01E0"/>
      </w:tblPr>
      <w:tblGrid>
        <w:gridCol w:w="1136"/>
        <w:gridCol w:w="787"/>
        <w:gridCol w:w="1541"/>
        <w:gridCol w:w="1616"/>
        <w:gridCol w:w="1615"/>
        <w:gridCol w:w="1330"/>
        <w:gridCol w:w="1435"/>
        <w:gridCol w:w="792"/>
        <w:gridCol w:w="787"/>
        <w:gridCol w:w="793"/>
        <w:gridCol w:w="646"/>
        <w:gridCol w:w="710"/>
        <w:gridCol w:w="1272"/>
      </w:tblGrid>
      <w:tr>
        <w:trPr>
          <w:trHeight w:val="1966"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left="110" w:right="0"/>
              <w:jc w:val="left"/>
              <w:rPr>
                <w:rFonts w:ascii="宋体" w:hAnsi="宋体" w:cs="宋体" w:eastAsia="宋体" w:hint="default"/>
                <w:sz w:val="20"/>
                <w:szCs w:val="20"/>
              </w:rPr>
            </w:pPr>
            <w:r>
              <w:rPr>
                <w:rFonts w:ascii="宋体" w:hAnsi="宋体" w:cs="宋体" w:eastAsia="宋体" w:hint="default"/>
                <w:sz w:val="20"/>
                <w:szCs w:val="20"/>
              </w:rPr>
              <w:t>项目名称</w:t>
            </w:r>
            <w:r>
              <w:rPr>
                <w:rFonts w:ascii="宋体" w:hAnsi="宋体" w:cs="宋体" w:eastAsia="宋体" w:hint="default"/>
                <w:sz w:val="20"/>
                <w:szCs w:val="20"/>
              </w:rPr>
              <w:t> </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left="33" w:right="0"/>
              <w:jc w:val="left"/>
              <w:rPr>
                <w:rFonts w:ascii="宋体" w:hAnsi="宋体" w:cs="宋体" w:eastAsia="宋体" w:hint="default"/>
                <w:sz w:val="20"/>
                <w:szCs w:val="20"/>
              </w:rPr>
            </w:pPr>
            <w:r>
              <w:rPr>
                <w:rFonts w:ascii="宋体" w:hAnsi="宋体" w:cs="宋体" w:eastAsia="宋体" w:hint="default"/>
                <w:sz w:val="20"/>
                <w:szCs w:val="20"/>
              </w:rPr>
              <w:t>预算数</w:t>
            </w:r>
            <w:r>
              <w:rPr>
                <w:rFonts w:ascii="宋体" w:hAnsi="宋体" w:cs="宋体" w:eastAsia="宋体" w:hint="default"/>
                <w:sz w:val="20"/>
                <w:szCs w:val="20"/>
              </w:rPr>
              <w:t> </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9"/>
                <w:szCs w:val="29"/>
              </w:rPr>
            </w:pPr>
          </w:p>
          <w:p>
            <w:pPr>
              <w:pStyle w:val="TableParagraph"/>
              <w:spacing w:line="297" w:lineRule="auto"/>
              <w:ind w:left="511" w:right="517"/>
              <w:jc w:val="center"/>
              <w:rPr>
                <w:rFonts w:ascii="宋体" w:hAnsi="宋体" w:cs="宋体" w:eastAsia="宋体" w:hint="default"/>
                <w:sz w:val="20"/>
                <w:szCs w:val="20"/>
              </w:rPr>
            </w:pPr>
            <w:r>
              <w:rPr>
                <w:rFonts w:ascii="宋体" w:hAnsi="宋体" w:cs="宋体" w:eastAsia="宋体" w:hint="default"/>
                <w:sz w:val="20"/>
                <w:szCs w:val="20"/>
              </w:rPr>
              <w:t>期初</w:t>
            </w:r>
            <w:r>
              <w:rPr>
                <w:rFonts w:ascii="宋体" w:hAnsi="宋体" w:cs="宋体" w:eastAsia="宋体" w:hint="default"/>
                <w:w w:val="99"/>
                <w:sz w:val="20"/>
                <w:szCs w:val="20"/>
              </w:rPr>
              <w:t> </w:t>
            </w:r>
            <w:r>
              <w:rPr>
                <w:rFonts w:ascii="宋体" w:hAnsi="宋体" w:cs="宋体" w:eastAsia="宋体" w:hint="default"/>
                <w:sz w:val="20"/>
                <w:szCs w:val="20"/>
              </w:rPr>
              <w:t>余额</w:t>
            </w:r>
            <w:r>
              <w:rPr>
                <w:rFonts w:ascii="宋体" w:hAnsi="宋体" w:cs="宋体" w:eastAsia="宋体" w:hint="default"/>
                <w:sz w:val="20"/>
                <w:szCs w:val="20"/>
              </w:rPr>
              <w:t> </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left="148" w:right="0"/>
              <w:jc w:val="left"/>
              <w:rPr>
                <w:rFonts w:ascii="宋体" w:hAnsi="宋体" w:cs="宋体" w:eastAsia="宋体" w:hint="default"/>
                <w:sz w:val="20"/>
                <w:szCs w:val="20"/>
              </w:rPr>
            </w:pPr>
            <w:r>
              <w:rPr>
                <w:rFonts w:ascii="宋体" w:hAnsi="宋体" w:cs="宋体" w:eastAsia="宋体" w:hint="default"/>
                <w:sz w:val="20"/>
                <w:szCs w:val="20"/>
              </w:rPr>
              <w:t>本期增加金额</w:t>
            </w:r>
            <w:r>
              <w:rPr>
                <w:rFonts w:ascii="宋体" w:hAnsi="宋体" w:cs="宋体" w:eastAsia="宋体" w:hint="default"/>
                <w:sz w:val="20"/>
                <w:szCs w:val="20"/>
              </w:rPr>
              <w:t> </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9"/>
                <w:szCs w:val="29"/>
              </w:rPr>
            </w:pPr>
          </w:p>
          <w:p>
            <w:pPr>
              <w:pStyle w:val="TableParagraph"/>
              <w:spacing w:line="297" w:lineRule="auto"/>
              <w:ind w:left="465" w:right="139" w:hanging="399"/>
              <w:jc w:val="left"/>
              <w:rPr>
                <w:rFonts w:ascii="宋体" w:hAnsi="宋体" w:cs="宋体" w:eastAsia="宋体" w:hint="default"/>
                <w:sz w:val="20"/>
                <w:szCs w:val="20"/>
              </w:rPr>
            </w:pPr>
            <w:r>
              <w:rPr>
                <w:rFonts w:ascii="宋体" w:hAnsi="宋体" w:cs="宋体" w:eastAsia="宋体" w:hint="default"/>
                <w:sz w:val="20"/>
                <w:szCs w:val="20"/>
              </w:rPr>
              <w:t>本期转入固定资</w:t>
            </w:r>
            <w:r>
              <w:rPr>
                <w:rFonts w:ascii="宋体" w:hAnsi="宋体" w:cs="宋体" w:eastAsia="宋体" w:hint="default"/>
                <w:w w:val="99"/>
                <w:sz w:val="20"/>
                <w:szCs w:val="20"/>
              </w:rPr>
              <w:t> </w:t>
            </w:r>
            <w:r>
              <w:rPr>
                <w:rFonts w:ascii="宋体" w:hAnsi="宋体" w:cs="宋体" w:eastAsia="宋体" w:hint="default"/>
                <w:sz w:val="20"/>
                <w:szCs w:val="20"/>
              </w:rPr>
              <w:t>产金额</w:t>
            </w:r>
            <w:r>
              <w:rPr>
                <w:rFonts w:ascii="宋体" w:hAnsi="宋体" w:cs="宋体" w:eastAsia="宋体" w:hint="default"/>
                <w:sz w:val="20"/>
                <w:szCs w:val="20"/>
              </w:rPr>
              <w:t> </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9"/>
                <w:szCs w:val="29"/>
              </w:rPr>
            </w:pPr>
          </w:p>
          <w:p>
            <w:pPr>
              <w:pStyle w:val="TableParagraph"/>
              <w:spacing w:line="297" w:lineRule="auto"/>
              <w:ind w:left="323" w:right="197" w:hanging="202"/>
              <w:jc w:val="left"/>
              <w:rPr>
                <w:rFonts w:ascii="宋体" w:hAnsi="宋体" w:cs="宋体" w:eastAsia="宋体" w:hint="default"/>
                <w:sz w:val="20"/>
                <w:szCs w:val="20"/>
              </w:rPr>
            </w:pPr>
            <w:r>
              <w:rPr>
                <w:rFonts w:ascii="宋体" w:hAnsi="宋体" w:cs="宋体" w:eastAsia="宋体" w:hint="default"/>
                <w:sz w:val="20"/>
                <w:szCs w:val="20"/>
              </w:rPr>
              <w:t>本期其他减</w:t>
            </w:r>
            <w:r>
              <w:rPr>
                <w:rFonts w:ascii="宋体" w:hAnsi="宋体" w:cs="宋体" w:eastAsia="宋体" w:hint="default"/>
                <w:w w:val="99"/>
                <w:sz w:val="20"/>
                <w:szCs w:val="20"/>
              </w:rPr>
              <w:t> </w:t>
            </w:r>
            <w:r>
              <w:rPr>
                <w:rFonts w:ascii="宋体" w:hAnsi="宋体" w:cs="宋体" w:eastAsia="宋体" w:hint="default"/>
                <w:sz w:val="20"/>
                <w:szCs w:val="20"/>
              </w:rPr>
              <w:t>少金额</w:t>
            </w:r>
            <w:r>
              <w:rPr>
                <w:rFonts w:ascii="宋体" w:hAnsi="宋体" w:cs="宋体" w:eastAsia="宋体" w:hint="default"/>
                <w:sz w:val="20"/>
                <w:szCs w:val="20"/>
              </w:rPr>
              <w:t> </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9"/>
                <w:szCs w:val="29"/>
              </w:rPr>
            </w:pPr>
          </w:p>
          <w:p>
            <w:pPr>
              <w:pStyle w:val="TableParagraph"/>
              <w:spacing w:line="297" w:lineRule="auto"/>
              <w:ind w:left="511" w:right="413"/>
              <w:jc w:val="left"/>
              <w:rPr>
                <w:rFonts w:ascii="宋体" w:hAnsi="宋体" w:cs="宋体" w:eastAsia="宋体" w:hint="default"/>
                <w:sz w:val="20"/>
                <w:szCs w:val="20"/>
              </w:rPr>
            </w:pPr>
            <w:r>
              <w:rPr>
                <w:rFonts w:ascii="宋体" w:hAnsi="宋体" w:cs="宋体" w:eastAsia="宋体" w:hint="default"/>
                <w:sz w:val="20"/>
                <w:szCs w:val="20"/>
              </w:rPr>
              <w:t>期末</w:t>
            </w:r>
            <w:r>
              <w:rPr>
                <w:rFonts w:ascii="宋体" w:hAnsi="宋体" w:cs="宋体" w:eastAsia="宋体" w:hint="default"/>
                <w:w w:val="99"/>
                <w:sz w:val="20"/>
                <w:szCs w:val="20"/>
              </w:rPr>
              <w:t> </w:t>
            </w:r>
            <w:r>
              <w:rPr>
                <w:rFonts w:ascii="宋体" w:hAnsi="宋体" w:cs="宋体" w:eastAsia="宋体" w:hint="default"/>
                <w:sz w:val="20"/>
                <w:szCs w:val="20"/>
              </w:rPr>
              <w:t>余额</w:t>
            </w:r>
            <w:r>
              <w:rPr>
                <w:rFonts w:ascii="宋体" w:hAnsi="宋体" w:cs="宋体" w:eastAsia="宋体" w:hint="default"/>
                <w:sz w:val="20"/>
                <w:szCs w:val="20"/>
              </w:rPr>
              <w:t> </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97" w:lineRule="auto"/>
              <w:ind w:left="38" w:right="41" w:firstLine="50"/>
              <w:jc w:val="both"/>
              <w:rPr>
                <w:rFonts w:ascii="宋体" w:hAnsi="宋体" w:cs="宋体" w:eastAsia="宋体" w:hint="default"/>
                <w:sz w:val="20"/>
                <w:szCs w:val="20"/>
              </w:rPr>
            </w:pPr>
            <w:r>
              <w:rPr>
                <w:rFonts w:ascii="宋体" w:hAnsi="宋体" w:cs="宋体" w:eastAsia="宋体" w:hint="default"/>
                <w:sz w:val="20"/>
                <w:szCs w:val="20"/>
              </w:rPr>
              <w:t>工程累</w:t>
            </w:r>
            <w:r>
              <w:rPr>
                <w:rFonts w:ascii="宋体" w:hAnsi="宋体" w:cs="宋体" w:eastAsia="宋体" w:hint="default"/>
                <w:w w:val="99"/>
                <w:sz w:val="20"/>
                <w:szCs w:val="20"/>
              </w:rPr>
              <w:t> </w:t>
            </w:r>
            <w:r>
              <w:rPr>
                <w:rFonts w:ascii="宋体" w:hAnsi="宋体" w:cs="宋体" w:eastAsia="宋体" w:hint="default"/>
                <w:sz w:val="20"/>
                <w:szCs w:val="20"/>
              </w:rPr>
              <w:t>计投入</w:t>
            </w:r>
            <w:r>
              <w:rPr>
                <w:rFonts w:ascii="宋体" w:hAnsi="宋体" w:cs="宋体" w:eastAsia="宋体" w:hint="default"/>
                <w:w w:val="99"/>
                <w:sz w:val="20"/>
                <w:szCs w:val="20"/>
              </w:rPr>
              <w:t> </w:t>
            </w:r>
            <w:r>
              <w:rPr>
                <w:rFonts w:ascii="宋体" w:hAnsi="宋体" w:cs="宋体" w:eastAsia="宋体" w:hint="default"/>
                <w:sz w:val="20"/>
                <w:szCs w:val="20"/>
              </w:rPr>
              <w:t>占预算</w:t>
            </w:r>
            <w:r>
              <w:rPr>
                <w:rFonts w:ascii="宋体" w:hAnsi="宋体" w:cs="宋体" w:eastAsia="宋体" w:hint="default"/>
                <w:w w:val="99"/>
                <w:sz w:val="20"/>
                <w:szCs w:val="20"/>
              </w:rPr>
              <w:t> </w:t>
            </w:r>
            <w:r>
              <w:rPr>
                <w:rFonts w:ascii="宋体" w:hAnsi="宋体" w:cs="宋体" w:eastAsia="宋体" w:hint="default"/>
                <w:sz w:val="20"/>
                <w:szCs w:val="20"/>
              </w:rPr>
              <w:t>比例</w:t>
            </w:r>
            <w:r>
              <w:rPr>
                <w:rFonts w:ascii="宋体" w:hAnsi="宋体" w:cs="宋体" w:eastAsia="宋体" w:hint="default"/>
                <w:sz w:val="20"/>
                <w:szCs w:val="20"/>
              </w:rPr>
              <w:t>(%)</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9"/>
                <w:szCs w:val="29"/>
              </w:rPr>
            </w:pPr>
          </w:p>
          <w:p>
            <w:pPr>
              <w:pStyle w:val="TableParagraph"/>
              <w:spacing w:line="297" w:lineRule="auto"/>
              <w:ind w:left="288" w:right="91" w:hanging="202"/>
              <w:jc w:val="left"/>
              <w:rPr>
                <w:rFonts w:ascii="宋体" w:hAnsi="宋体" w:cs="宋体" w:eastAsia="宋体" w:hint="default"/>
                <w:sz w:val="20"/>
                <w:szCs w:val="20"/>
              </w:rPr>
            </w:pPr>
            <w:r>
              <w:rPr>
                <w:rFonts w:ascii="宋体" w:hAnsi="宋体" w:cs="宋体" w:eastAsia="宋体" w:hint="default"/>
                <w:sz w:val="20"/>
                <w:szCs w:val="20"/>
              </w:rPr>
              <w:t>工程进</w:t>
            </w:r>
            <w:r>
              <w:rPr>
                <w:rFonts w:ascii="宋体" w:hAnsi="宋体" w:cs="宋体" w:eastAsia="宋体" w:hint="default"/>
                <w:w w:val="99"/>
                <w:sz w:val="20"/>
                <w:szCs w:val="20"/>
              </w:rPr>
              <w:t> </w:t>
            </w:r>
            <w:r>
              <w:rPr>
                <w:rFonts w:ascii="宋体" w:hAnsi="宋体" w:cs="宋体" w:eastAsia="宋体" w:hint="default"/>
                <w:sz w:val="20"/>
                <w:szCs w:val="20"/>
              </w:rPr>
              <w:t>度</w:t>
            </w:r>
            <w:r>
              <w:rPr>
                <w:rFonts w:ascii="宋体" w:hAnsi="宋体" w:cs="宋体" w:eastAsia="宋体" w:hint="default"/>
                <w:sz w:val="20"/>
                <w:szCs w:val="20"/>
              </w:rPr>
              <w:t> </w:t>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7"/>
                <w:szCs w:val="17"/>
              </w:rPr>
            </w:pPr>
          </w:p>
          <w:p>
            <w:pPr>
              <w:pStyle w:val="TableParagraph"/>
              <w:spacing w:line="297" w:lineRule="auto"/>
              <w:ind w:left="91" w:right="-9"/>
              <w:jc w:val="both"/>
              <w:rPr>
                <w:rFonts w:ascii="宋体" w:hAnsi="宋体" w:cs="宋体" w:eastAsia="宋体" w:hint="default"/>
                <w:sz w:val="20"/>
                <w:szCs w:val="20"/>
              </w:rPr>
            </w:pPr>
            <w:r>
              <w:rPr>
                <w:rFonts w:ascii="宋体" w:hAnsi="宋体" w:cs="宋体" w:eastAsia="宋体" w:hint="default"/>
                <w:sz w:val="20"/>
                <w:szCs w:val="20"/>
              </w:rPr>
              <w:t>利息资</w:t>
            </w:r>
            <w:r>
              <w:rPr>
                <w:rFonts w:ascii="宋体" w:hAnsi="宋体" w:cs="宋体" w:eastAsia="宋体" w:hint="default"/>
                <w:w w:val="99"/>
                <w:sz w:val="20"/>
                <w:szCs w:val="20"/>
              </w:rPr>
              <w:t> </w:t>
            </w:r>
            <w:r>
              <w:rPr>
                <w:rFonts w:ascii="宋体" w:hAnsi="宋体" w:cs="宋体" w:eastAsia="宋体" w:hint="default"/>
                <w:sz w:val="20"/>
                <w:szCs w:val="20"/>
              </w:rPr>
              <w:t>本化累</w:t>
            </w:r>
            <w:r>
              <w:rPr>
                <w:rFonts w:ascii="宋体" w:hAnsi="宋体" w:cs="宋体" w:eastAsia="宋体" w:hint="default"/>
                <w:w w:val="99"/>
                <w:sz w:val="20"/>
                <w:szCs w:val="20"/>
              </w:rPr>
              <w:t> </w:t>
            </w:r>
            <w:r>
              <w:rPr>
                <w:rFonts w:ascii="宋体" w:hAnsi="宋体" w:cs="宋体" w:eastAsia="宋体" w:hint="default"/>
                <w:sz w:val="20"/>
                <w:szCs w:val="20"/>
              </w:rPr>
              <w:t>计金额</w:t>
            </w:r>
            <w:r>
              <w:rPr>
                <w:rFonts w:ascii="宋体" w:hAnsi="宋体" w:cs="宋体" w:eastAsia="宋体" w:hint="default"/>
                <w:sz w:val="20"/>
                <w:szCs w:val="20"/>
              </w:rPr>
              <w:t> </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ind w:left="117" w:right="11" w:hanging="92"/>
              <w:jc w:val="left"/>
              <w:rPr>
                <w:rFonts w:ascii="宋体" w:hAnsi="宋体" w:cs="宋体" w:eastAsia="宋体" w:hint="default"/>
                <w:sz w:val="20"/>
                <w:szCs w:val="20"/>
              </w:rPr>
            </w:pPr>
            <w:r>
              <w:rPr>
                <w:rFonts w:ascii="宋体" w:hAnsi="宋体" w:cs="宋体" w:eastAsia="宋体" w:hint="default"/>
                <w:sz w:val="20"/>
                <w:szCs w:val="20"/>
              </w:rPr>
              <w:t>其中：</w:t>
            </w:r>
            <w:r>
              <w:rPr>
                <w:rFonts w:ascii="宋体" w:hAnsi="宋体" w:cs="宋体" w:eastAsia="宋体" w:hint="default"/>
                <w:w w:val="99"/>
                <w:sz w:val="20"/>
                <w:szCs w:val="20"/>
              </w:rPr>
              <w:t> </w:t>
            </w:r>
            <w:r>
              <w:rPr>
                <w:rFonts w:ascii="宋体" w:hAnsi="宋体" w:cs="宋体" w:eastAsia="宋体" w:hint="default"/>
                <w:sz w:val="20"/>
                <w:szCs w:val="20"/>
              </w:rPr>
              <w:t>本期</w:t>
            </w:r>
            <w:r>
              <w:rPr>
                <w:rFonts w:ascii="宋体" w:hAnsi="宋体" w:cs="宋体" w:eastAsia="宋体" w:hint="default"/>
                <w:w w:val="99"/>
                <w:sz w:val="20"/>
                <w:szCs w:val="20"/>
              </w:rPr>
              <w:t> </w:t>
            </w:r>
            <w:r>
              <w:rPr>
                <w:rFonts w:ascii="宋体" w:hAnsi="宋体" w:cs="宋体" w:eastAsia="宋体" w:hint="default"/>
                <w:sz w:val="20"/>
                <w:szCs w:val="20"/>
              </w:rPr>
              <w:t>利息</w:t>
            </w:r>
            <w:r>
              <w:rPr>
                <w:rFonts w:ascii="宋体" w:hAnsi="宋体" w:cs="宋体" w:eastAsia="宋体" w:hint="default"/>
                <w:w w:val="99"/>
                <w:sz w:val="20"/>
                <w:szCs w:val="20"/>
              </w:rPr>
              <w:t> </w:t>
            </w:r>
            <w:r>
              <w:rPr>
                <w:rFonts w:ascii="宋体" w:hAnsi="宋体" w:cs="宋体" w:eastAsia="宋体" w:hint="default"/>
                <w:sz w:val="20"/>
                <w:szCs w:val="20"/>
              </w:rPr>
              <w:t>资本</w:t>
            </w:r>
            <w:r>
              <w:rPr>
                <w:rFonts w:ascii="宋体" w:hAnsi="宋体" w:cs="宋体" w:eastAsia="宋体" w:hint="default"/>
                <w:w w:val="99"/>
                <w:sz w:val="20"/>
                <w:szCs w:val="20"/>
              </w:rPr>
              <w:t> </w:t>
            </w:r>
            <w:r>
              <w:rPr>
                <w:rFonts w:ascii="宋体" w:hAnsi="宋体" w:cs="宋体" w:eastAsia="宋体" w:hint="default"/>
                <w:sz w:val="20"/>
                <w:szCs w:val="20"/>
              </w:rPr>
              <w:t>化金</w:t>
            </w:r>
            <w:r>
              <w:rPr>
                <w:rFonts w:ascii="宋体" w:hAnsi="宋体" w:cs="宋体" w:eastAsia="宋体" w:hint="default"/>
                <w:w w:val="99"/>
                <w:sz w:val="20"/>
                <w:szCs w:val="20"/>
              </w:rPr>
              <w:t> </w:t>
            </w:r>
            <w:r>
              <w:rPr>
                <w:rFonts w:ascii="宋体" w:hAnsi="宋体" w:cs="宋体" w:eastAsia="宋体" w:hint="default"/>
                <w:sz w:val="20"/>
                <w:szCs w:val="20"/>
              </w:rPr>
              <w:t>额</w:t>
            </w:r>
            <w:r>
              <w:rPr>
                <w:rFonts w:ascii="宋体" w:hAnsi="宋体" w:cs="宋体" w:eastAsia="宋体" w:hint="default"/>
                <w:sz w:val="20"/>
                <w:szCs w:val="20"/>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97" w:lineRule="auto"/>
              <w:ind w:left="50" w:right="50"/>
              <w:jc w:val="center"/>
              <w:rPr>
                <w:rFonts w:ascii="宋体" w:hAnsi="宋体" w:cs="宋体" w:eastAsia="宋体" w:hint="default"/>
                <w:sz w:val="20"/>
                <w:szCs w:val="20"/>
              </w:rPr>
            </w:pPr>
            <w:r>
              <w:rPr>
                <w:rFonts w:ascii="宋体" w:hAnsi="宋体" w:cs="宋体" w:eastAsia="宋体" w:hint="default"/>
                <w:sz w:val="20"/>
                <w:szCs w:val="20"/>
              </w:rPr>
              <w:t>本期利</w:t>
            </w:r>
            <w:r>
              <w:rPr>
                <w:rFonts w:ascii="宋体" w:hAnsi="宋体" w:cs="宋体" w:eastAsia="宋体" w:hint="default"/>
                <w:w w:val="99"/>
                <w:sz w:val="20"/>
                <w:szCs w:val="20"/>
              </w:rPr>
              <w:t> </w:t>
            </w:r>
            <w:r>
              <w:rPr>
                <w:rFonts w:ascii="宋体" w:hAnsi="宋体" w:cs="宋体" w:eastAsia="宋体" w:hint="default"/>
                <w:sz w:val="20"/>
                <w:szCs w:val="20"/>
              </w:rPr>
              <w:t>息资本</w:t>
            </w:r>
            <w:r>
              <w:rPr>
                <w:rFonts w:ascii="宋体" w:hAnsi="宋体" w:cs="宋体" w:eastAsia="宋体" w:hint="default"/>
                <w:w w:val="99"/>
                <w:sz w:val="20"/>
                <w:szCs w:val="20"/>
              </w:rPr>
              <w:t> </w:t>
            </w:r>
            <w:r>
              <w:rPr>
                <w:rFonts w:ascii="宋体" w:hAnsi="宋体" w:cs="宋体" w:eastAsia="宋体" w:hint="default"/>
                <w:sz w:val="20"/>
                <w:szCs w:val="20"/>
              </w:rPr>
              <w:t>化率</w:t>
            </w:r>
            <w:r>
              <w:rPr>
                <w:rFonts w:ascii="宋体" w:hAnsi="宋体" w:cs="宋体" w:eastAsia="宋体" w:hint="default"/>
                <w:w w:val="99"/>
                <w:sz w:val="20"/>
                <w:szCs w:val="20"/>
              </w:rPr>
              <w:t> </w:t>
            </w:r>
            <w:r>
              <w:rPr>
                <w:rFonts w:ascii="宋体" w:hAnsi="宋体" w:cs="宋体" w:eastAsia="宋体" w:hint="default"/>
                <w:sz w:val="20"/>
                <w:szCs w:val="20"/>
              </w:rPr>
              <w:t>(%) </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left="230" w:right="0"/>
              <w:jc w:val="left"/>
              <w:rPr>
                <w:rFonts w:ascii="宋体" w:hAnsi="宋体" w:cs="宋体" w:eastAsia="宋体" w:hint="default"/>
                <w:sz w:val="20"/>
                <w:szCs w:val="20"/>
              </w:rPr>
            </w:pPr>
            <w:r>
              <w:rPr>
                <w:rFonts w:ascii="宋体" w:hAnsi="宋体" w:cs="宋体" w:eastAsia="宋体" w:hint="default"/>
                <w:sz w:val="20"/>
                <w:szCs w:val="20"/>
              </w:rPr>
              <w:t>资金来源</w:t>
            </w:r>
            <w:r>
              <w:rPr>
                <w:rFonts w:ascii="宋体" w:hAnsi="宋体" w:cs="宋体" w:eastAsia="宋体" w:hint="default"/>
                <w:sz w:val="20"/>
                <w:szCs w:val="20"/>
              </w:rPr>
              <w:t> </w:t>
            </w:r>
          </w:p>
        </w:tc>
      </w:tr>
      <w:tr>
        <w:trPr>
          <w:trHeight w:val="662"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left="26" w:right="0"/>
              <w:jc w:val="left"/>
              <w:rPr>
                <w:rFonts w:ascii="宋体" w:hAnsi="宋体" w:cs="宋体" w:eastAsia="宋体" w:hint="default"/>
                <w:sz w:val="20"/>
                <w:szCs w:val="20"/>
              </w:rPr>
            </w:pPr>
            <w:r>
              <w:rPr>
                <w:rFonts w:ascii="宋体" w:hAnsi="宋体" w:cs="宋体" w:eastAsia="宋体" w:hint="default"/>
                <w:sz w:val="20"/>
                <w:szCs w:val="20"/>
              </w:rPr>
              <w:t>装饰工程</w:t>
            </w:r>
            <w:r>
              <w:rPr>
                <w:rFonts w:ascii="宋体" w:hAnsi="宋体" w:cs="宋体" w:eastAsia="宋体" w:hint="default"/>
                <w:sz w:val="20"/>
                <w:szCs w:val="20"/>
              </w:rPr>
              <w:t> </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93" w:right="0"/>
              <w:jc w:val="left"/>
              <w:rPr>
                <w:rFonts w:ascii="宋体" w:hAnsi="宋体" w:cs="宋体" w:eastAsia="宋体" w:hint="default"/>
                <w:sz w:val="20"/>
                <w:szCs w:val="20"/>
              </w:rPr>
            </w:pPr>
            <w:r>
              <w:rPr>
                <w:rFonts w:ascii="宋体" w:hAnsi="宋体" w:cs="宋体" w:eastAsia="宋体" w:hint="default"/>
                <w:sz w:val="20"/>
                <w:szCs w:val="20"/>
              </w:rPr>
              <w:t>500</w:t>
            </w:r>
            <w:r>
              <w:rPr>
                <w:rFonts w:ascii="宋体" w:hAnsi="宋体" w:cs="宋体" w:eastAsia="宋体" w:hint="default"/>
                <w:spacing w:val="-49"/>
                <w:sz w:val="20"/>
                <w:szCs w:val="20"/>
              </w:rPr>
              <w:t> </w:t>
            </w:r>
            <w:r>
              <w:rPr>
                <w:rFonts w:ascii="宋体" w:hAnsi="宋体" w:cs="宋体" w:eastAsia="宋体" w:hint="default"/>
                <w:sz w:val="20"/>
                <w:szCs w:val="20"/>
              </w:rPr>
              <w:t>万</w:t>
            </w:r>
          </w:p>
          <w:p>
            <w:pPr>
              <w:pStyle w:val="TableParagraph"/>
              <w:spacing w:line="240" w:lineRule="auto" w:before="64"/>
              <w:ind w:left="443" w:right="0"/>
              <w:jc w:val="left"/>
              <w:rPr>
                <w:rFonts w:ascii="宋体" w:hAnsi="宋体" w:cs="宋体" w:eastAsia="宋体" w:hint="default"/>
                <w:sz w:val="20"/>
                <w:szCs w:val="20"/>
              </w:rPr>
            </w:pPr>
            <w:r>
              <w:rPr>
                <w:rFonts w:ascii="宋体" w:hAnsi="宋体" w:cs="宋体" w:eastAsia="宋体" w:hint="default"/>
                <w:sz w:val="20"/>
                <w:szCs w:val="20"/>
              </w:rPr>
              <w:t>元</w:t>
            </w:r>
            <w:r>
              <w:rPr>
                <w:rFonts w:ascii="宋体" w:hAnsi="宋体" w:cs="宋体" w:eastAsia="宋体" w:hint="default"/>
                <w:sz w:val="20"/>
                <w:szCs w:val="20"/>
              </w:rPr>
              <w:t> </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right="24"/>
              <w:jc w:val="right"/>
              <w:rPr>
                <w:rFonts w:ascii="宋体" w:hAnsi="宋体" w:cs="宋体" w:eastAsia="宋体" w:hint="default"/>
                <w:sz w:val="20"/>
                <w:szCs w:val="20"/>
              </w:rPr>
            </w:pPr>
            <w:r>
              <w:rPr>
                <w:rFonts w:ascii="宋体"/>
                <w:w w:val="95"/>
                <w:sz w:val="20"/>
              </w:rPr>
              <w:t>2,227,979.43</w:t>
            </w:r>
            <w:r>
              <w:rPr>
                <w:rFonts w:ascii="宋体"/>
                <w:sz w:val="20"/>
              </w:rPr>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right="-2"/>
              <w:jc w:val="right"/>
              <w:rPr>
                <w:rFonts w:ascii="宋体" w:hAnsi="宋体" w:cs="宋体" w:eastAsia="宋体" w:hint="default"/>
                <w:sz w:val="20"/>
                <w:szCs w:val="20"/>
              </w:rPr>
            </w:pPr>
            <w:r>
              <w:rPr>
                <w:rFonts w:ascii="宋体"/>
                <w:w w:val="95"/>
                <w:sz w:val="20"/>
              </w:rPr>
              <w:t>2,134,840.57 </w:t>
            </w:r>
            <w:r>
              <w:rPr>
                <w:rFonts w:ascii="宋体"/>
                <w:sz w:val="20"/>
              </w:rPr>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right="-2"/>
              <w:jc w:val="right"/>
              <w:rPr>
                <w:rFonts w:ascii="宋体" w:hAnsi="宋体" w:cs="宋体" w:eastAsia="宋体" w:hint="default"/>
                <w:sz w:val="20"/>
                <w:szCs w:val="20"/>
              </w:rPr>
            </w:pPr>
            <w:r>
              <w:rPr>
                <w:rFonts w:ascii="宋体"/>
                <w:w w:val="99"/>
                <w:sz w:val="20"/>
              </w:rPr>
              <w:t> </w:t>
            </w:r>
            <w:r>
              <w:rPr>
                <w:rFonts w:ascii="宋体"/>
                <w:sz w:val="20"/>
              </w:rPr>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right="25"/>
              <w:jc w:val="right"/>
              <w:rPr>
                <w:rFonts w:ascii="宋体" w:hAnsi="宋体" w:cs="宋体" w:eastAsia="宋体" w:hint="default"/>
                <w:sz w:val="20"/>
                <w:szCs w:val="20"/>
              </w:rPr>
            </w:pPr>
            <w:r>
              <w:rPr>
                <w:rFonts w:ascii="宋体"/>
                <w:w w:val="95"/>
                <w:sz w:val="20"/>
              </w:rPr>
              <w:t>3,615,992.19</w:t>
            </w:r>
            <w:r>
              <w:rPr>
                <w:rFonts w:ascii="宋体"/>
                <w:sz w:val="20"/>
              </w:rPr>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right="24"/>
              <w:jc w:val="right"/>
              <w:rPr>
                <w:rFonts w:ascii="宋体" w:hAnsi="宋体" w:cs="宋体" w:eastAsia="宋体" w:hint="default"/>
                <w:sz w:val="20"/>
                <w:szCs w:val="20"/>
              </w:rPr>
            </w:pPr>
            <w:r>
              <w:rPr>
                <w:rFonts w:ascii="宋体"/>
                <w:w w:val="95"/>
                <w:sz w:val="20"/>
              </w:rPr>
              <w:t>746,827.81</w:t>
            </w:r>
            <w:r>
              <w:rPr>
                <w:rFonts w:ascii="宋体"/>
                <w:sz w:val="20"/>
              </w:rPr>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right="26"/>
              <w:jc w:val="right"/>
              <w:rPr>
                <w:rFonts w:ascii="宋体" w:hAnsi="宋体" w:cs="宋体" w:eastAsia="宋体" w:hint="default"/>
                <w:sz w:val="20"/>
                <w:szCs w:val="20"/>
              </w:rPr>
            </w:pPr>
            <w:r>
              <w:rPr>
                <w:rFonts w:ascii="宋体"/>
                <w:w w:val="95"/>
                <w:sz w:val="20"/>
              </w:rPr>
              <w:t>87.26%</w:t>
            </w:r>
            <w:r>
              <w:rPr>
                <w:rFonts w:ascii="宋体"/>
                <w:sz w:val="20"/>
              </w:rPr>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right="29"/>
              <w:jc w:val="center"/>
              <w:rPr>
                <w:rFonts w:ascii="宋体" w:hAnsi="宋体" w:cs="宋体" w:eastAsia="宋体" w:hint="default"/>
                <w:sz w:val="20"/>
                <w:szCs w:val="20"/>
              </w:rPr>
            </w:pPr>
            <w:r>
              <w:rPr>
                <w:rFonts w:ascii="宋体"/>
                <w:sz w:val="20"/>
              </w:rPr>
              <w:t>87.26% </w:t>
            </w:r>
          </w:p>
        </w:tc>
        <w:tc>
          <w:tcPr>
            <w:tcW w:w="793"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left="26" w:right="0"/>
              <w:jc w:val="left"/>
              <w:rPr>
                <w:rFonts w:ascii="宋体" w:hAnsi="宋体" w:cs="宋体" w:eastAsia="宋体" w:hint="default"/>
                <w:sz w:val="20"/>
                <w:szCs w:val="20"/>
              </w:rPr>
            </w:pPr>
            <w:r>
              <w:rPr>
                <w:rFonts w:ascii="宋体" w:hAnsi="宋体" w:cs="宋体" w:eastAsia="宋体" w:hint="default"/>
                <w:sz w:val="20"/>
                <w:szCs w:val="20"/>
              </w:rPr>
              <w:t>自有资金</w:t>
            </w:r>
            <w:r>
              <w:rPr>
                <w:rFonts w:ascii="宋体" w:hAnsi="宋体" w:cs="宋体" w:eastAsia="宋体" w:hint="default"/>
                <w:sz w:val="20"/>
                <w:szCs w:val="20"/>
              </w:rPr>
              <w:t> </w:t>
            </w:r>
          </w:p>
        </w:tc>
      </w:tr>
      <w:tr>
        <w:trPr>
          <w:trHeight w:val="663"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left="26" w:right="0"/>
              <w:jc w:val="left"/>
              <w:rPr>
                <w:rFonts w:ascii="宋体" w:hAnsi="宋体" w:cs="宋体" w:eastAsia="宋体" w:hint="default"/>
                <w:sz w:val="20"/>
                <w:szCs w:val="20"/>
              </w:rPr>
            </w:pPr>
            <w:r>
              <w:rPr>
                <w:rFonts w:ascii="宋体" w:hAnsi="宋体" w:cs="宋体" w:eastAsia="宋体" w:hint="default"/>
                <w:sz w:val="20"/>
                <w:szCs w:val="20"/>
              </w:rPr>
              <w:t>厂房建设</w:t>
            </w:r>
            <w:r>
              <w:rPr>
                <w:rFonts w:ascii="宋体" w:hAnsi="宋体" w:cs="宋体" w:eastAsia="宋体" w:hint="default"/>
                <w:sz w:val="20"/>
                <w:szCs w:val="20"/>
              </w:rPr>
              <w:t> </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242" w:right="0"/>
              <w:jc w:val="left"/>
              <w:rPr>
                <w:rFonts w:ascii="宋体" w:hAnsi="宋体" w:cs="宋体" w:eastAsia="宋体" w:hint="default"/>
                <w:sz w:val="20"/>
                <w:szCs w:val="20"/>
              </w:rPr>
            </w:pPr>
            <w:r>
              <w:rPr>
                <w:rFonts w:ascii="宋体"/>
                <w:sz w:val="20"/>
              </w:rPr>
              <w:t>1500</w:t>
            </w:r>
          </w:p>
          <w:p>
            <w:pPr>
              <w:pStyle w:val="TableParagraph"/>
              <w:spacing w:line="240" w:lineRule="auto" w:before="64"/>
              <w:ind w:left="242" w:right="0"/>
              <w:jc w:val="left"/>
              <w:rPr>
                <w:rFonts w:ascii="宋体" w:hAnsi="宋体" w:cs="宋体" w:eastAsia="宋体" w:hint="default"/>
                <w:sz w:val="20"/>
                <w:szCs w:val="20"/>
              </w:rPr>
            </w:pPr>
            <w:r>
              <w:rPr>
                <w:rFonts w:ascii="宋体" w:hAnsi="宋体" w:cs="宋体" w:eastAsia="宋体" w:hint="default"/>
                <w:sz w:val="20"/>
                <w:szCs w:val="20"/>
              </w:rPr>
              <w:t>万元</w:t>
            </w:r>
            <w:r>
              <w:rPr>
                <w:rFonts w:ascii="宋体" w:hAnsi="宋体" w:cs="宋体" w:eastAsia="宋体" w:hint="default"/>
                <w:sz w:val="20"/>
                <w:szCs w:val="20"/>
              </w:rPr>
              <w:t> </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right="24"/>
              <w:jc w:val="right"/>
              <w:rPr>
                <w:rFonts w:ascii="宋体" w:hAnsi="宋体" w:cs="宋体" w:eastAsia="宋体" w:hint="default"/>
                <w:sz w:val="20"/>
                <w:szCs w:val="20"/>
              </w:rPr>
            </w:pPr>
            <w:r>
              <w:rPr>
                <w:rFonts w:ascii="宋体"/>
                <w:w w:val="95"/>
                <w:sz w:val="20"/>
              </w:rPr>
              <w:t>2,171,700.00</w:t>
            </w:r>
            <w:r>
              <w:rPr>
                <w:rFonts w:ascii="宋体"/>
                <w:sz w:val="20"/>
              </w:rPr>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right="-2"/>
              <w:jc w:val="right"/>
              <w:rPr>
                <w:rFonts w:ascii="宋体" w:hAnsi="宋体" w:cs="宋体" w:eastAsia="宋体" w:hint="default"/>
                <w:sz w:val="20"/>
                <w:szCs w:val="20"/>
              </w:rPr>
            </w:pPr>
            <w:r>
              <w:rPr>
                <w:rFonts w:ascii="宋体"/>
                <w:w w:val="95"/>
                <w:sz w:val="20"/>
              </w:rPr>
              <w:t>12,821,376.70 </w:t>
            </w:r>
            <w:r>
              <w:rPr>
                <w:rFonts w:ascii="宋体"/>
                <w:sz w:val="20"/>
              </w:rPr>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right="-2"/>
              <w:jc w:val="right"/>
              <w:rPr>
                <w:rFonts w:ascii="宋体" w:hAnsi="宋体" w:cs="宋体" w:eastAsia="宋体" w:hint="default"/>
                <w:sz w:val="20"/>
                <w:szCs w:val="20"/>
              </w:rPr>
            </w:pPr>
            <w:r>
              <w:rPr>
                <w:rFonts w:ascii="宋体"/>
                <w:w w:val="95"/>
                <w:sz w:val="20"/>
              </w:rPr>
              <w:t>6,236,642.46 </w:t>
            </w:r>
            <w:r>
              <w:rPr>
                <w:rFonts w:ascii="宋体"/>
                <w:sz w:val="20"/>
              </w:rPr>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right="25"/>
              <w:jc w:val="right"/>
              <w:rPr>
                <w:rFonts w:ascii="宋体" w:hAnsi="宋体" w:cs="宋体" w:eastAsia="宋体" w:hint="default"/>
                <w:sz w:val="20"/>
                <w:szCs w:val="20"/>
              </w:rPr>
            </w:pPr>
            <w:r>
              <w:rPr>
                <w:rFonts w:ascii="宋体"/>
                <w:w w:val="95"/>
                <w:sz w:val="20"/>
              </w:rPr>
              <w:t>2,171,700.00</w:t>
            </w:r>
            <w:r>
              <w:rPr>
                <w:rFonts w:ascii="宋体"/>
                <w:sz w:val="20"/>
              </w:rPr>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right="24"/>
              <w:jc w:val="right"/>
              <w:rPr>
                <w:rFonts w:ascii="宋体" w:hAnsi="宋体" w:cs="宋体" w:eastAsia="宋体" w:hint="default"/>
                <w:sz w:val="20"/>
                <w:szCs w:val="20"/>
              </w:rPr>
            </w:pPr>
            <w:r>
              <w:rPr>
                <w:rFonts w:ascii="宋体"/>
                <w:w w:val="95"/>
                <w:sz w:val="20"/>
              </w:rPr>
              <w:t>6,584,734.24</w:t>
            </w:r>
            <w:r>
              <w:rPr>
                <w:rFonts w:ascii="宋体"/>
                <w:sz w:val="20"/>
              </w:rPr>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right="26"/>
              <w:jc w:val="right"/>
              <w:rPr>
                <w:rFonts w:ascii="宋体" w:hAnsi="宋体" w:cs="宋体" w:eastAsia="宋体" w:hint="default"/>
                <w:sz w:val="20"/>
                <w:szCs w:val="20"/>
              </w:rPr>
            </w:pPr>
            <w:r>
              <w:rPr>
                <w:rFonts w:ascii="宋体"/>
                <w:w w:val="95"/>
                <w:sz w:val="20"/>
              </w:rPr>
              <w:t>99.95%</w:t>
            </w:r>
            <w:r>
              <w:rPr>
                <w:rFonts w:ascii="宋体"/>
                <w:sz w:val="20"/>
              </w:rPr>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right="29"/>
              <w:jc w:val="center"/>
              <w:rPr>
                <w:rFonts w:ascii="宋体" w:hAnsi="宋体" w:cs="宋体" w:eastAsia="宋体" w:hint="default"/>
                <w:sz w:val="20"/>
                <w:szCs w:val="20"/>
              </w:rPr>
            </w:pPr>
            <w:r>
              <w:rPr>
                <w:rFonts w:ascii="宋体"/>
                <w:sz w:val="20"/>
              </w:rPr>
              <w:t>99.95% </w:t>
            </w:r>
          </w:p>
        </w:tc>
        <w:tc>
          <w:tcPr>
            <w:tcW w:w="793"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left="26" w:right="0"/>
              <w:jc w:val="left"/>
              <w:rPr>
                <w:rFonts w:ascii="宋体" w:hAnsi="宋体" w:cs="宋体" w:eastAsia="宋体" w:hint="default"/>
                <w:sz w:val="20"/>
                <w:szCs w:val="20"/>
              </w:rPr>
            </w:pPr>
            <w:r>
              <w:rPr>
                <w:rFonts w:ascii="宋体" w:hAnsi="宋体" w:cs="宋体" w:eastAsia="宋体" w:hint="default"/>
                <w:sz w:val="20"/>
                <w:szCs w:val="20"/>
              </w:rPr>
              <w:t>自有资金</w:t>
            </w:r>
            <w:r>
              <w:rPr>
                <w:rFonts w:ascii="宋体" w:hAnsi="宋体" w:cs="宋体" w:eastAsia="宋体" w:hint="default"/>
                <w:sz w:val="20"/>
                <w:szCs w:val="20"/>
              </w:rPr>
              <w:t> </w:t>
            </w:r>
          </w:p>
        </w:tc>
      </w:tr>
      <w:tr>
        <w:trPr>
          <w:trHeight w:val="660"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left="26" w:right="0"/>
              <w:jc w:val="left"/>
              <w:rPr>
                <w:rFonts w:ascii="宋体" w:hAnsi="宋体" w:cs="宋体" w:eastAsia="宋体" w:hint="default"/>
                <w:sz w:val="20"/>
                <w:szCs w:val="20"/>
              </w:rPr>
            </w:pPr>
            <w:r>
              <w:rPr>
                <w:rFonts w:ascii="宋体" w:hAnsi="宋体" w:cs="宋体" w:eastAsia="宋体" w:hint="default"/>
                <w:sz w:val="20"/>
                <w:szCs w:val="20"/>
              </w:rPr>
              <w:t>光伏电站</w:t>
            </w:r>
            <w:r>
              <w:rPr>
                <w:rFonts w:ascii="宋体" w:hAnsi="宋体" w:cs="宋体" w:eastAsia="宋体" w:hint="default"/>
                <w:sz w:val="20"/>
                <w:szCs w:val="20"/>
              </w:rPr>
              <w:t> </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43" w:right="0"/>
              <w:jc w:val="left"/>
              <w:rPr>
                <w:rFonts w:ascii="宋体" w:hAnsi="宋体" w:cs="宋体" w:eastAsia="宋体" w:hint="default"/>
                <w:sz w:val="20"/>
                <w:szCs w:val="20"/>
              </w:rPr>
            </w:pPr>
            <w:r>
              <w:rPr>
                <w:rFonts w:ascii="宋体"/>
                <w:sz w:val="20"/>
              </w:rPr>
              <w:t>27000</w:t>
            </w:r>
          </w:p>
          <w:p>
            <w:pPr>
              <w:pStyle w:val="TableParagraph"/>
              <w:spacing w:line="240" w:lineRule="auto" w:before="64"/>
              <w:ind w:left="242" w:right="0"/>
              <w:jc w:val="left"/>
              <w:rPr>
                <w:rFonts w:ascii="宋体" w:hAnsi="宋体" w:cs="宋体" w:eastAsia="宋体" w:hint="default"/>
                <w:sz w:val="20"/>
                <w:szCs w:val="20"/>
              </w:rPr>
            </w:pPr>
            <w:r>
              <w:rPr>
                <w:rFonts w:ascii="宋体" w:hAnsi="宋体" w:cs="宋体" w:eastAsia="宋体" w:hint="default"/>
                <w:sz w:val="20"/>
                <w:szCs w:val="20"/>
              </w:rPr>
              <w:t>万元</w:t>
            </w:r>
            <w:r>
              <w:rPr>
                <w:rFonts w:ascii="宋体" w:hAnsi="宋体" w:cs="宋体" w:eastAsia="宋体" w:hint="default"/>
                <w:sz w:val="20"/>
                <w:szCs w:val="20"/>
              </w:rPr>
              <w:t> </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right="25"/>
              <w:jc w:val="right"/>
              <w:rPr>
                <w:rFonts w:ascii="宋体" w:hAnsi="宋体" w:cs="宋体" w:eastAsia="宋体" w:hint="default"/>
                <w:sz w:val="20"/>
                <w:szCs w:val="20"/>
              </w:rPr>
            </w:pPr>
            <w:r>
              <w:rPr>
                <w:rFonts w:ascii="宋体"/>
                <w:w w:val="95"/>
                <w:sz w:val="20"/>
              </w:rPr>
              <w:t>123,198,081.12</w:t>
            </w:r>
            <w:r>
              <w:rPr>
                <w:rFonts w:ascii="宋体"/>
                <w:sz w:val="20"/>
              </w:rPr>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right="-2"/>
              <w:jc w:val="right"/>
              <w:rPr>
                <w:rFonts w:ascii="宋体" w:hAnsi="宋体" w:cs="宋体" w:eastAsia="宋体" w:hint="default"/>
                <w:sz w:val="20"/>
                <w:szCs w:val="20"/>
              </w:rPr>
            </w:pPr>
            <w:r>
              <w:rPr>
                <w:rFonts w:ascii="宋体"/>
                <w:w w:val="95"/>
                <w:sz w:val="20"/>
              </w:rPr>
              <w:t>144,721,914.92 </w:t>
            </w:r>
            <w:r>
              <w:rPr>
                <w:rFonts w:ascii="宋体"/>
                <w:sz w:val="20"/>
              </w:rPr>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right="-2"/>
              <w:jc w:val="right"/>
              <w:rPr>
                <w:rFonts w:ascii="宋体" w:hAnsi="宋体" w:cs="宋体" w:eastAsia="宋体" w:hint="default"/>
                <w:sz w:val="20"/>
                <w:szCs w:val="20"/>
              </w:rPr>
            </w:pPr>
            <w:r>
              <w:rPr>
                <w:rFonts w:ascii="宋体"/>
                <w:w w:val="95"/>
                <w:sz w:val="20"/>
              </w:rPr>
              <w:t>254,419,398.21 </w:t>
            </w:r>
            <w:r>
              <w:rPr>
                <w:rFonts w:ascii="宋体"/>
                <w:sz w:val="20"/>
              </w:rPr>
            </w:r>
          </w:p>
        </w:tc>
        <w:tc>
          <w:tcPr>
            <w:tcW w:w="1330" w:type="dxa"/>
            <w:tcBorders>
              <w:top w:val="single" w:sz="4" w:space="0" w:color="000000"/>
              <w:left w:val="single" w:sz="4" w:space="0" w:color="000000"/>
              <w:bottom w:val="single" w:sz="4" w:space="0" w:color="000000"/>
              <w:right w:val="single" w:sz="4" w:space="0" w:color="000000"/>
            </w:tcBorders>
          </w:tcPr>
          <w:p>
            <w:pP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right="25"/>
              <w:jc w:val="right"/>
              <w:rPr>
                <w:rFonts w:ascii="宋体" w:hAnsi="宋体" w:cs="宋体" w:eastAsia="宋体" w:hint="default"/>
                <w:sz w:val="20"/>
                <w:szCs w:val="20"/>
              </w:rPr>
            </w:pPr>
            <w:r>
              <w:rPr>
                <w:rFonts w:ascii="宋体"/>
                <w:w w:val="95"/>
                <w:sz w:val="20"/>
              </w:rPr>
              <w:t>13,500,597.83</w:t>
            </w:r>
            <w:r>
              <w:rPr>
                <w:rFonts w:ascii="宋体"/>
                <w:sz w:val="20"/>
              </w:rPr>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right="26"/>
              <w:jc w:val="right"/>
              <w:rPr>
                <w:rFonts w:ascii="宋体" w:hAnsi="宋体" w:cs="宋体" w:eastAsia="宋体" w:hint="default"/>
                <w:sz w:val="20"/>
                <w:szCs w:val="20"/>
              </w:rPr>
            </w:pPr>
            <w:r>
              <w:rPr>
                <w:rFonts w:ascii="宋体"/>
                <w:w w:val="95"/>
                <w:sz w:val="20"/>
              </w:rPr>
              <w:t>99.23%</w:t>
            </w:r>
            <w:r>
              <w:rPr>
                <w:rFonts w:ascii="宋体"/>
                <w:sz w:val="20"/>
              </w:rPr>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right="29"/>
              <w:jc w:val="center"/>
              <w:rPr>
                <w:rFonts w:ascii="宋体" w:hAnsi="宋体" w:cs="宋体" w:eastAsia="宋体" w:hint="default"/>
                <w:sz w:val="20"/>
                <w:szCs w:val="20"/>
              </w:rPr>
            </w:pPr>
            <w:r>
              <w:rPr>
                <w:rFonts w:ascii="宋体"/>
                <w:sz w:val="20"/>
              </w:rPr>
              <w:t>99.23% </w:t>
            </w:r>
          </w:p>
        </w:tc>
        <w:tc>
          <w:tcPr>
            <w:tcW w:w="793"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ind w:left="26" w:right="137"/>
              <w:jc w:val="left"/>
              <w:rPr>
                <w:rFonts w:ascii="宋体" w:hAnsi="宋体" w:cs="宋体" w:eastAsia="宋体" w:hint="default"/>
                <w:sz w:val="20"/>
                <w:szCs w:val="20"/>
              </w:rPr>
            </w:pPr>
            <w:r>
              <w:rPr>
                <w:rFonts w:ascii="宋体" w:hAnsi="宋体" w:cs="宋体" w:eastAsia="宋体" w:hint="default"/>
                <w:sz w:val="20"/>
                <w:szCs w:val="20"/>
              </w:rPr>
              <w:t>自有资金</w:t>
            </w:r>
            <w:r>
              <w:rPr>
                <w:rFonts w:ascii="宋体" w:hAnsi="宋体" w:cs="宋体" w:eastAsia="宋体" w:hint="default"/>
                <w:sz w:val="20"/>
                <w:szCs w:val="20"/>
              </w:rPr>
              <w:t>\</w:t>
            </w:r>
            <w:r>
              <w:rPr>
                <w:rFonts w:ascii="宋体" w:hAnsi="宋体" w:cs="宋体" w:eastAsia="宋体" w:hint="default"/>
                <w:sz w:val="20"/>
                <w:szCs w:val="20"/>
              </w:rPr>
              <w:t>募</w:t>
            </w:r>
            <w:r>
              <w:rPr>
                <w:rFonts w:ascii="宋体" w:hAnsi="宋体" w:cs="宋体" w:eastAsia="宋体" w:hint="default"/>
                <w:w w:val="99"/>
                <w:sz w:val="20"/>
                <w:szCs w:val="20"/>
              </w:rPr>
              <w:t> </w:t>
            </w:r>
            <w:r>
              <w:rPr>
                <w:rFonts w:ascii="宋体" w:hAnsi="宋体" w:cs="宋体" w:eastAsia="宋体" w:hint="default"/>
                <w:sz w:val="20"/>
                <w:szCs w:val="20"/>
              </w:rPr>
              <w:t>集资金</w:t>
            </w:r>
            <w:r>
              <w:rPr>
                <w:rFonts w:ascii="宋体" w:hAnsi="宋体" w:cs="宋体" w:eastAsia="宋体" w:hint="default"/>
                <w:sz w:val="20"/>
                <w:szCs w:val="20"/>
              </w:rPr>
              <w:t> </w:t>
            </w:r>
          </w:p>
        </w:tc>
      </w:tr>
      <w:tr>
        <w:trPr>
          <w:trHeight w:val="662"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left="26" w:right="0"/>
              <w:jc w:val="left"/>
              <w:rPr>
                <w:rFonts w:ascii="宋体" w:hAnsi="宋体" w:cs="宋体" w:eastAsia="宋体" w:hint="default"/>
                <w:sz w:val="20"/>
                <w:szCs w:val="20"/>
              </w:rPr>
            </w:pPr>
            <w:r>
              <w:rPr>
                <w:rFonts w:ascii="宋体" w:hAnsi="宋体" w:cs="宋体" w:eastAsia="宋体" w:hint="default"/>
                <w:sz w:val="20"/>
                <w:szCs w:val="20"/>
              </w:rPr>
              <w:t>设备安装</w:t>
            </w:r>
            <w:r>
              <w:rPr>
                <w:rFonts w:ascii="宋体" w:hAnsi="宋体" w:cs="宋体" w:eastAsia="宋体" w:hint="default"/>
                <w:sz w:val="20"/>
                <w:szCs w:val="20"/>
              </w:rPr>
              <w:t> </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42" w:right="0"/>
              <w:jc w:val="left"/>
              <w:rPr>
                <w:rFonts w:ascii="宋体" w:hAnsi="宋体" w:cs="宋体" w:eastAsia="宋体" w:hint="default"/>
                <w:sz w:val="20"/>
                <w:szCs w:val="20"/>
              </w:rPr>
            </w:pPr>
            <w:r>
              <w:rPr>
                <w:rFonts w:ascii="宋体"/>
                <w:sz w:val="20"/>
              </w:rPr>
              <w:t>7500</w:t>
            </w:r>
          </w:p>
          <w:p>
            <w:pPr>
              <w:pStyle w:val="TableParagraph"/>
              <w:spacing w:line="240" w:lineRule="auto" w:before="62"/>
              <w:ind w:left="242" w:right="0"/>
              <w:jc w:val="left"/>
              <w:rPr>
                <w:rFonts w:ascii="宋体" w:hAnsi="宋体" w:cs="宋体" w:eastAsia="宋体" w:hint="default"/>
                <w:sz w:val="20"/>
                <w:szCs w:val="20"/>
              </w:rPr>
            </w:pPr>
            <w:r>
              <w:rPr>
                <w:rFonts w:ascii="宋体" w:hAnsi="宋体" w:cs="宋体" w:eastAsia="宋体" w:hint="default"/>
                <w:sz w:val="20"/>
                <w:szCs w:val="20"/>
              </w:rPr>
              <w:t>万元</w:t>
            </w:r>
            <w:r>
              <w:rPr>
                <w:rFonts w:ascii="宋体" w:hAnsi="宋体" w:cs="宋体" w:eastAsia="宋体" w:hint="default"/>
                <w:sz w:val="20"/>
                <w:szCs w:val="20"/>
              </w:rPr>
              <w:t> </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right="25"/>
              <w:jc w:val="right"/>
              <w:rPr>
                <w:rFonts w:ascii="宋体" w:hAnsi="宋体" w:cs="宋体" w:eastAsia="宋体" w:hint="default"/>
                <w:sz w:val="20"/>
                <w:szCs w:val="20"/>
              </w:rPr>
            </w:pPr>
            <w:r>
              <w:rPr>
                <w:rFonts w:ascii="宋体"/>
                <w:w w:val="95"/>
                <w:sz w:val="20"/>
              </w:rPr>
              <w:t>46,471,301.98</w:t>
            </w:r>
            <w:r>
              <w:rPr>
                <w:rFonts w:ascii="宋体"/>
                <w:sz w:val="20"/>
              </w:rPr>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right="-2"/>
              <w:jc w:val="right"/>
              <w:rPr>
                <w:rFonts w:ascii="宋体" w:hAnsi="宋体" w:cs="宋体" w:eastAsia="宋体" w:hint="default"/>
                <w:sz w:val="20"/>
                <w:szCs w:val="20"/>
              </w:rPr>
            </w:pPr>
            <w:r>
              <w:rPr>
                <w:rFonts w:ascii="宋体"/>
                <w:w w:val="95"/>
                <w:sz w:val="20"/>
              </w:rPr>
              <w:t>24,691,202.15 </w:t>
            </w:r>
            <w:r>
              <w:rPr>
                <w:rFonts w:ascii="宋体"/>
                <w:sz w:val="20"/>
              </w:rPr>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right="-2"/>
              <w:jc w:val="right"/>
              <w:rPr>
                <w:rFonts w:ascii="宋体" w:hAnsi="宋体" w:cs="宋体" w:eastAsia="宋体" w:hint="default"/>
                <w:sz w:val="20"/>
                <w:szCs w:val="20"/>
              </w:rPr>
            </w:pPr>
            <w:r>
              <w:rPr>
                <w:rFonts w:ascii="宋体"/>
                <w:w w:val="95"/>
                <w:sz w:val="20"/>
              </w:rPr>
              <w:t>28,584,803.35 </w:t>
            </w:r>
            <w:r>
              <w:rPr>
                <w:rFonts w:ascii="宋体"/>
                <w:sz w:val="20"/>
              </w:rPr>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right="25"/>
              <w:jc w:val="right"/>
              <w:rPr>
                <w:rFonts w:ascii="宋体" w:hAnsi="宋体" w:cs="宋体" w:eastAsia="宋体" w:hint="default"/>
                <w:sz w:val="20"/>
                <w:szCs w:val="20"/>
              </w:rPr>
            </w:pPr>
            <w:r>
              <w:rPr>
                <w:rFonts w:ascii="宋体"/>
                <w:w w:val="95"/>
                <w:sz w:val="20"/>
              </w:rPr>
              <w:t>619,397.00</w:t>
            </w:r>
            <w:r>
              <w:rPr>
                <w:rFonts w:ascii="宋体"/>
                <w:sz w:val="20"/>
              </w:rPr>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right="25"/>
              <w:jc w:val="right"/>
              <w:rPr>
                <w:rFonts w:ascii="宋体" w:hAnsi="宋体" w:cs="宋体" w:eastAsia="宋体" w:hint="default"/>
                <w:sz w:val="20"/>
                <w:szCs w:val="20"/>
              </w:rPr>
            </w:pPr>
            <w:r>
              <w:rPr>
                <w:rFonts w:ascii="宋体"/>
                <w:w w:val="95"/>
                <w:sz w:val="20"/>
              </w:rPr>
              <w:t>41,958,303.78</w:t>
            </w:r>
            <w:r>
              <w:rPr>
                <w:rFonts w:ascii="宋体"/>
                <w:sz w:val="20"/>
              </w:rPr>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right="26"/>
              <w:jc w:val="right"/>
              <w:rPr>
                <w:rFonts w:ascii="宋体" w:hAnsi="宋体" w:cs="宋体" w:eastAsia="宋体" w:hint="default"/>
                <w:sz w:val="20"/>
                <w:szCs w:val="20"/>
              </w:rPr>
            </w:pPr>
            <w:r>
              <w:rPr>
                <w:rFonts w:ascii="宋体"/>
                <w:w w:val="95"/>
                <w:sz w:val="20"/>
              </w:rPr>
              <w:t>94.88%</w:t>
            </w:r>
            <w:r>
              <w:rPr>
                <w:rFonts w:ascii="宋体"/>
                <w:sz w:val="20"/>
              </w:rPr>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right="29"/>
              <w:jc w:val="center"/>
              <w:rPr>
                <w:rFonts w:ascii="宋体" w:hAnsi="宋体" w:cs="宋体" w:eastAsia="宋体" w:hint="default"/>
                <w:sz w:val="20"/>
                <w:szCs w:val="20"/>
              </w:rPr>
            </w:pPr>
            <w:r>
              <w:rPr>
                <w:rFonts w:ascii="宋体"/>
                <w:sz w:val="20"/>
              </w:rPr>
              <w:t>94.88% </w:t>
            </w:r>
          </w:p>
        </w:tc>
        <w:tc>
          <w:tcPr>
            <w:tcW w:w="793"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1"/>
              <w:ind w:left="26" w:right="137"/>
              <w:jc w:val="left"/>
              <w:rPr>
                <w:rFonts w:ascii="宋体" w:hAnsi="宋体" w:cs="宋体" w:eastAsia="宋体" w:hint="default"/>
                <w:sz w:val="20"/>
                <w:szCs w:val="20"/>
              </w:rPr>
            </w:pPr>
            <w:r>
              <w:rPr>
                <w:rFonts w:ascii="宋体" w:hAnsi="宋体" w:cs="宋体" w:eastAsia="宋体" w:hint="default"/>
                <w:sz w:val="20"/>
                <w:szCs w:val="20"/>
              </w:rPr>
              <w:t>自有资金</w:t>
            </w:r>
            <w:r>
              <w:rPr>
                <w:rFonts w:ascii="宋体" w:hAnsi="宋体" w:cs="宋体" w:eastAsia="宋体" w:hint="default"/>
                <w:sz w:val="20"/>
                <w:szCs w:val="20"/>
              </w:rPr>
              <w:t>\</w:t>
            </w:r>
            <w:r>
              <w:rPr>
                <w:rFonts w:ascii="宋体" w:hAnsi="宋体" w:cs="宋体" w:eastAsia="宋体" w:hint="default"/>
                <w:sz w:val="20"/>
                <w:szCs w:val="20"/>
              </w:rPr>
              <w:t>募</w:t>
            </w:r>
            <w:r>
              <w:rPr>
                <w:rFonts w:ascii="宋体" w:hAnsi="宋体" w:cs="宋体" w:eastAsia="宋体" w:hint="default"/>
                <w:w w:val="99"/>
                <w:sz w:val="20"/>
                <w:szCs w:val="20"/>
              </w:rPr>
              <w:t> </w:t>
            </w:r>
            <w:r>
              <w:rPr>
                <w:rFonts w:ascii="宋体" w:hAnsi="宋体" w:cs="宋体" w:eastAsia="宋体" w:hint="default"/>
                <w:sz w:val="20"/>
                <w:szCs w:val="20"/>
              </w:rPr>
              <w:t>集资金</w:t>
            </w:r>
            <w:r>
              <w:rPr>
                <w:rFonts w:ascii="宋体" w:hAnsi="宋体" w:cs="宋体" w:eastAsia="宋体" w:hint="default"/>
                <w:sz w:val="20"/>
                <w:szCs w:val="20"/>
              </w:rPr>
              <w:t> </w:t>
            </w:r>
          </w:p>
        </w:tc>
      </w:tr>
      <w:tr>
        <w:trPr>
          <w:trHeight w:val="662"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left="309" w:right="0"/>
              <w:jc w:val="left"/>
              <w:rPr>
                <w:rFonts w:ascii="宋体" w:hAnsi="宋体" w:cs="宋体" w:eastAsia="宋体" w:hint="default"/>
                <w:sz w:val="20"/>
                <w:szCs w:val="20"/>
              </w:rPr>
            </w:pPr>
            <w:r>
              <w:rPr>
                <w:rFonts w:ascii="宋体" w:hAnsi="宋体" w:cs="宋体" w:eastAsia="宋体" w:hint="default"/>
                <w:sz w:val="20"/>
                <w:szCs w:val="20"/>
              </w:rPr>
              <w:t>合计</w:t>
            </w:r>
            <w:r>
              <w:rPr>
                <w:rFonts w:ascii="宋体" w:hAnsi="宋体" w:cs="宋体" w:eastAsia="宋体" w:hint="default"/>
                <w:sz w:val="20"/>
                <w:szCs w:val="20"/>
              </w:rPr>
              <w:t> </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43" w:right="0"/>
              <w:jc w:val="left"/>
              <w:rPr>
                <w:rFonts w:ascii="宋体" w:hAnsi="宋体" w:cs="宋体" w:eastAsia="宋体" w:hint="default"/>
                <w:sz w:val="20"/>
                <w:szCs w:val="20"/>
              </w:rPr>
            </w:pPr>
            <w:r>
              <w:rPr>
                <w:rFonts w:ascii="宋体"/>
                <w:sz w:val="20"/>
              </w:rPr>
              <w:t>36500</w:t>
            </w:r>
          </w:p>
          <w:p>
            <w:pPr>
              <w:pStyle w:val="TableParagraph"/>
              <w:spacing w:line="240" w:lineRule="auto" w:before="64"/>
              <w:ind w:left="242" w:right="0"/>
              <w:jc w:val="left"/>
              <w:rPr>
                <w:rFonts w:ascii="宋体" w:hAnsi="宋体" w:cs="宋体" w:eastAsia="宋体" w:hint="default"/>
                <w:sz w:val="20"/>
                <w:szCs w:val="20"/>
              </w:rPr>
            </w:pPr>
            <w:r>
              <w:rPr>
                <w:rFonts w:ascii="宋体" w:hAnsi="宋体" w:cs="宋体" w:eastAsia="宋体" w:hint="default"/>
                <w:sz w:val="20"/>
                <w:szCs w:val="20"/>
              </w:rPr>
              <w:t>万元</w:t>
            </w:r>
            <w:r>
              <w:rPr>
                <w:rFonts w:ascii="宋体" w:hAnsi="宋体" w:cs="宋体" w:eastAsia="宋体" w:hint="default"/>
                <w:sz w:val="20"/>
                <w:szCs w:val="20"/>
              </w:rPr>
              <w:t> </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right="25"/>
              <w:jc w:val="right"/>
              <w:rPr>
                <w:rFonts w:ascii="宋体" w:hAnsi="宋体" w:cs="宋体" w:eastAsia="宋体" w:hint="default"/>
                <w:sz w:val="20"/>
                <w:szCs w:val="20"/>
              </w:rPr>
            </w:pPr>
            <w:r>
              <w:rPr>
                <w:rFonts w:ascii="宋体"/>
                <w:w w:val="95"/>
                <w:sz w:val="20"/>
              </w:rPr>
              <w:t>174,069,062.53</w:t>
            </w:r>
            <w:r>
              <w:rPr>
                <w:rFonts w:ascii="宋体"/>
                <w:sz w:val="20"/>
              </w:rPr>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right="-2"/>
              <w:jc w:val="right"/>
              <w:rPr>
                <w:rFonts w:ascii="宋体" w:hAnsi="宋体" w:cs="宋体" w:eastAsia="宋体" w:hint="default"/>
                <w:sz w:val="20"/>
                <w:szCs w:val="20"/>
              </w:rPr>
            </w:pPr>
            <w:r>
              <w:rPr>
                <w:rFonts w:ascii="宋体"/>
                <w:w w:val="95"/>
                <w:sz w:val="20"/>
              </w:rPr>
              <w:t>184,369,334.34 </w:t>
            </w:r>
            <w:r>
              <w:rPr>
                <w:rFonts w:ascii="宋体"/>
                <w:sz w:val="20"/>
              </w:rPr>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right="-2"/>
              <w:jc w:val="right"/>
              <w:rPr>
                <w:rFonts w:ascii="宋体" w:hAnsi="宋体" w:cs="宋体" w:eastAsia="宋体" w:hint="default"/>
                <w:sz w:val="20"/>
                <w:szCs w:val="20"/>
              </w:rPr>
            </w:pPr>
            <w:r>
              <w:rPr>
                <w:rFonts w:ascii="宋体"/>
                <w:w w:val="95"/>
                <w:sz w:val="20"/>
              </w:rPr>
              <w:t>289,240,844.02 </w:t>
            </w:r>
            <w:r>
              <w:rPr>
                <w:rFonts w:ascii="宋体"/>
                <w:sz w:val="20"/>
              </w:rPr>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right="25"/>
              <w:jc w:val="right"/>
              <w:rPr>
                <w:rFonts w:ascii="宋体" w:hAnsi="宋体" w:cs="宋体" w:eastAsia="宋体" w:hint="default"/>
                <w:sz w:val="20"/>
                <w:szCs w:val="20"/>
              </w:rPr>
            </w:pPr>
            <w:r>
              <w:rPr>
                <w:rFonts w:ascii="宋体"/>
                <w:w w:val="95"/>
                <w:sz w:val="20"/>
              </w:rPr>
              <w:t>6,407,089.19</w:t>
            </w:r>
            <w:r>
              <w:rPr>
                <w:rFonts w:ascii="宋体"/>
                <w:sz w:val="20"/>
              </w:rPr>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right="25"/>
              <w:jc w:val="right"/>
              <w:rPr>
                <w:rFonts w:ascii="宋体" w:hAnsi="宋体" w:cs="宋体" w:eastAsia="宋体" w:hint="default"/>
                <w:sz w:val="20"/>
                <w:szCs w:val="20"/>
              </w:rPr>
            </w:pPr>
            <w:r>
              <w:rPr>
                <w:rFonts w:ascii="宋体"/>
                <w:w w:val="95"/>
                <w:sz w:val="20"/>
              </w:rPr>
              <w:t>62,790,463.66</w:t>
            </w:r>
            <w:r>
              <w:rPr>
                <w:rFonts w:ascii="宋体"/>
                <w:sz w:val="20"/>
              </w:rPr>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left="251" w:right="0"/>
              <w:jc w:val="left"/>
              <w:rPr>
                <w:rFonts w:ascii="宋体" w:hAnsi="宋体" w:cs="宋体" w:eastAsia="宋体" w:hint="default"/>
                <w:sz w:val="20"/>
                <w:szCs w:val="20"/>
              </w:rPr>
            </w:pPr>
            <w:r>
              <w:rPr>
                <w:rFonts w:ascii="宋体"/>
                <w:sz w:val="20"/>
              </w:rPr>
              <w:t>/ </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right="77"/>
              <w:jc w:val="center"/>
              <w:rPr>
                <w:rFonts w:ascii="宋体" w:hAnsi="宋体" w:cs="宋体" w:eastAsia="宋体" w:hint="default"/>
                <w:sz w:val="20"/>
                <w:szCs w:val="20"/>
              </w:rPr>
            </w:pPr>
            <w:r>
              <w:rPr>
                <w:rFonts w:ascii="宋体"/>
                <w:sz w:val="20"/>
              </w:rPr>
              <w:t>/ </w:t>
            </w:r>
          </w:p>
        </w:tc>
        <w:tc>
          <w:tcPr>
            <w:tcW w:w="793"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left="213" w:right="0"/>
              <w:jc w:val="left"/>
              <w:rPr>
                <w:rFonts w:ascii="宋体" w:hAnsi="宋体" w:cs="宋体" w:eastAsia="宋体" w:hint="default"/>
                <w:sz w:val="20"/>
                <w:szCs w:val="20"/>
              </w:rPr>
            </w:pPr>
            <w:r>
              <w:rPr>
                <w:rFonts w:ascii="宋体"/>
                <w:sz w:val="20"/>
              </w:rPr>
              <w:t>/ </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right="71"/>
              <w:jc w:val="center"/>
              <w:rPr>
                <w:rFonts w:ascii="宋体" w:hAnsi="宋体" w:cs="宋体" w:eastAsia="宋体" w:hint="default"/>
                <w:sz w:val="20"/>
                <w:szCs w:val="20"/>
              </w:rPr>
            </w:pPr>
            <w:r>
              <w:rPr>
                <w:rFonts w:ascii="宋体"/>
                <w:sz w:val="20"/>
              </w:rPr>
              <w:t>/ </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6"/>
          <w:szCs w:val="26"/>
        </w:rPr>
      </w:pPr>
    </w:p>
    <w:p>
      <w:pPr>
        <w:spacing w:before="63"/>
        <w:ind w:left="6970" w:right="6994" w:firstLine="0"/>
        <w:jc w:val="center"/>
        <w:rPr>
          <w:rFonts w:ascii="Calibri" w:hAnsi="Calibri" w:cs="Calibri" w:eastAsia="Calibri" w:hint="default"/>
          <w:sz w:val="18"/>
          <w:szCs w:val="18"/>
        </w:rPr>
      </w:pPr>
      <w:r>
        <w:rPr>
          <w:rFonts w:ascii="Calibri"/>
          <w:b/>
          <w:sz w:val="18"/>
        </w:rPr>
        <w:t>152 </w:t>
      </w:r>
      <w:r>
        <w:rPr>
          <w:rFonts w:ascii="Calibri"/>
          <w:sz w:val="18"/>
        </w:rPr>
        <w:t>/</w:t>
      </w:r>
      <w:r>
        <w:rPr>
          <w:rFonts w:ascii="Calibri"/>
          <w:spacing w:val="-5"/>
          <w:sz w:val="18"/>
        </w:rPr>
        <w:t> </w:t>
      </w:r>
      <w:r>
        <w:rPr>
          <w:rFonts w:ascii="Calibri"/>
          <w:b/>
          <w:sz w:val="18"/>
        </w:rPr>
        <w:t>216</w:t>
      </w:r>
      <w:r>
        <w:rPr>
          <w:rFonts w:ascii="Calibri"/>
          <w:sz w:val="18"/>
        </w:rPr>
      </w:r>
    </w:p>
    <w:p>
      <w:pPr>
        <w:spacing w:after="0"/>
        <w:jc w:val="center"/>
        <w:rPr>
          <w:rFonts w:ascii="Calibri" w:hAnsi="Calibri" w:cs="Calibri" w:eastAsia="Calibri" w:hint="default"/>
          <w:sz w:val="18"/>
          <w:szCs w:val="18"/>
        </w:rPr>
        <w:sectPr>
          <w:type w:val="continuous"/>
          <w:pgSz w:w="16840" w:h="11910" w:orient="landscape"/>
          <w:pgMar w:top="1580" w:bottom="280" w:left="1040" w:right="1100"/>
        </w:sectPr>
      </w:pPr>
    </w:p>
    <w:p>
      <w:pPr>
        <w:spacing w:line="240" w:lineRule="auto" w:before="9"/>
        <w:rPr>
          <w:rFonts w:ascii="Calibri" w:hAnsi="Calibri" w:cs="Calibri" w:eastAsia="Calibri" w:hint="default"/>
          <w:b/>
          <w:bCs/>
          <w:sz w:val="18"/>
          <w:szCs w:val="18"/>
        </w:rPr>
      </w:pPr>
    </w:p>
    <w:p>
      <w:pPr>
        <w:spacing w:after="0" w:line="240" w:lineRule="auto"/>
        <w:rPr>
          <w:rFonts w:ascii="Calibri" w:hAnsi="Calibri" w:cs="Calibri" w:eastAsia="Calibri" w:hint="default"/>
          <w:sz w:val="18"/>
          <w:szCs w:val="18"/>
        </w:rPr>
        <w:sectPr>
          <w:footerReference w:type="default" r:id="rId186"/>
          <w:pgSz w:w="11910" w:h="16840"/>
          <w:pgMar w:footer="974" w:header="0" w:top="1140" w:bottom="1160" w:left="1040" w:right="300"/>
          <w:pgNumType w:start="153"/>
        </w:sectPr>
      </w:pPr>
    </w:p>
    <w:p>
      <w:pPr>
        <w:pStyle w:val="Heading3"/>
        <w:spacing w:line="309" w:lineRule="auto" w:before="36"/>
        <w:ind w:left="236"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(3)</w:t>
      </w:r>
      <w:r>
        <w:rPr>
          <w:rFonts w:ascii="宋体" w:hAnsi="宋体" w:cs="宋体" w:eastAsia="宋体" w:hint="default"/>
          <w:spacing w:val="5"/>
          <w:w w:val="99"/>
        </w:rPr>
        <w:t>.</w:t>
      </w:r>
      <w:r>
        <w:rPr>
          <w:w w:val="100"/>
        </w:rPr>
        <w:t>本期计提在建工程</w:t>
      </w:r>
      <w:r>
        <w:rPr>
          <w:spacing w:val="-3"/>
          <w:w w:val="100"/>
        </w:rPr>
        <w:t>减</w:t>
      </w:r>
      <w:r>
        <w:rPr>
          <w:w w:val="100"/>
        </w:rPr>
        <w:t>值</w:t>
      </w:r>
      <w:r>
        <w:rPr>
          <w:spacing w:val="-3"/>
          <w:w w:val="100"/>
        </w:rPr>
        <w:t>准</w:t>
      </w:r>
      <w:r>
        <w:rPr>
          <w:w w:val="100"/>
        </w:rPr>
        <w:t>备情况</w:t>
      </w:r>
      <w:r>
        <w:rPr>
          <w:rFonts w:ascii="宋体" w:hAnsi="宋体" w:cs="宋体" w:eastAsia="宋体" w:hint="default"/>
          <w:w w:val="99"/>
        </w:rPr>
        <w:t> </w:t>
      </w:r>
      <w:r>
        <w:rPr>
          <w:rFonts w:ascii="宋体" w:hAnsi="宋体" w:cs="宋体" w:eastAsia="宋体" w:hint="default"/>
          <w:b w:val="0"/>
          <w:bCs w:val="0"/>
        </w:rPr>
      </w:r>
    </w:p>
    <w:p>
      <w:pPr>
        <w:pStyle w:val="Heading2"/>
        <w:spacing w:line="240" w:lineRule="auto" w:before="8"/>
        <w:ind w:left="23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BodyText"/>
        <w:spacing w:line="240" w:lineRule="auto" w:before="25"/>
        <w:ind w:left="236" w:right="0"/>
        <w:jc w:val="left"/>
        <w:rPr>
          <w:rFonts w:ascii="宋体" w:hAnsi="宋体" w:cs="宋体" w:eastAsia="宋体" w:hint="default"/>
        </w:rPr>
      </w:pPr>
      <w:r>
        <w:rPr/>
        <w:t>其他说明</w:t>
      </w:r>
      <w:r>
        <w:rPr>
          <w:rFonts w:ascii="宋体" w:hAnsi="宋体" w:cs="宋体" w:eastAsia="宋体" w:hint="default"/>
        </w:rPr>
        <w:t> </w:t>
      </w:r>
    </w:p>
    <w:p>
      <w:pPr>
        <w:pStyle w:val="BodyText"/>
        <w:spacing w:line="240" w:lineRule="auto" w:before="37"/>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color w:val="FF0000"/>
        </w:rPr>
        <w:t> </w:t>
      </w:r>
      <w:r>
        <w:rPr>
          <w:rFonts w:ascii="宋体" w:hAnsi="宋体" w:cs="宋体" w:eastAsia="宋体" w:hint="default"/>
        </w:rPr>
      </w:r>
    </w:p>
    <w:p>
      <w:pPr>
        <w:spacing w:line="324" w:lineRule="auto" w:before="37"/>
        <w:ind w:left="236" w:right="0" w:firstLine="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b/>
          <w:bCs/>
          <w:w w:val="100"/>
          <w:sz w:val="21"/>
          <w:szCs w:val="21"/>
        </w:rPr>
        <w:t>工程物</w:t>
      </w:r>
      <w:r>
        <w:rPr>
          <w:rFonts w:ascii="宋体" w:hAnsi="宋体" w:cs="宋体" w:eastAsia="宋体" w:hint="default"/>
          <w:b/>
          <w:bCs/>
          <w:spacing w:val="-2"/>
          <w:w w:val="100"/>
          <w:sz w:val="21"/>
          <w:szCs w:val="21"/>
        </w:rPr>
        <w:t>资</w:t>
      </w:r>
      <w:r>
        <w:rPr>
          <w:rFonts w:ascii="宋体" w:hAnsi="宋体" w:cs="宋体" w:eastAsia="宋体" w:hint="default"/>
          <w:b/>
          <w:bCs/>
          <w:w w:val="99"/>
          <w:sz w:val="21"/>
          <w:szCs w:val="21"/>
        </w:rPr>
        <w:t> </w:t>
      </w:r>
      <w:r>
        <w:rPr>
          <w:rFonts w:ascii="宋体" w:hAnsi="宋体" w:cs="宋体" w:eastAsia="宋体" w:hint="default"/>
          <w:sz w:val="21"/>
          <w:szCs w:val="21"/>
        </w:rPr>
      </w:r>
    </w:p>
    <w:p>
      <w:pPr>
        <w:pStyle w:val="Heading3"/>
        <w:spacing w:line="240" w:lineRule="auto" w:before="23"/>
        <w:ind w:left="236" w:right="0"/>
        <w:jc w:val="left"/>
        <w:rPr>
          <w:rFonts w:ascii="宋体" w:hAnsi="宋体" w:cs="宋体" w:eastAsia="宋体" w:hint="default"/>
          <w:b w:val="0"/>
          <w:bCs w:val="0"/>
        </w:rPr>
      </w:pPr>
      <w:r>
        <w:rPr>
          <w:rFonts w:ascii="宋体" w:hAnsi="宋体" w:cs="宋体" w:eastAsia="宋体" w:hint="default"/>
        </w:rPr>
        <w:t>(4).</w:t>
      </w:r>
      <w:r>
        <w:rPr/>
        <w:t>工程物资情况</w:t>
      </w:r>
      <w:r>
        <w:rPr>
          <w:rFonts w:ascii="宋体" w:hAnsi="宋体" w:cs="宋体" w:eastAsia="宋体" w:hint="default"/>
          <w:w w:val="99"/>
        </w:rPr>
        <w:t> </w:t>
      </w:r>
      <w:r>
        <w:rPr>
          <w:rFonts w:ascii="宋体" w:hAnsi="宋体" w:cs="宋体" w:eastAsia="宋体" w:hint="default"/>
          <w:b w:val="0"/>
          <w:bCs w:val="0"/>
        </w:rPr>
      </w:r>
    </w:p>
    <w:p>
      <w:pPr>
        <w:pStyle w:val="Heading2"/>
        <w:spacing w:line="240" w:lineRule="auto" w:before="69"/>
        <w:ind w:left="23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7"/>
          <w:szCs w:val="17"/>
        </w:rPr>
      </w:pPr>
    </w:p>
    <w:p>
      <w:pPr>
        <w:pStyle w:val="BodyText"/>
        <w:spacing w:line="240" w:lineRule="auto"/>
        <w:ind w:left="236" w:right="0"/>
        <w:jc w:val="left"/>
        <w:rPr>
          <w:rFonts w:ascii="宋体" w:hAnsi="宋体" w:cs="宋体" w:eastAsia="宋体" w:hint="default"/>
        </w:rPr>
      </w:pPr>
      <w:r>
        <w:rPr/>
        <w:t>单位：元币种：人民币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580" w:bottom="280" w:left="1040" w:right="300"/>
          <w:cols w:num="2" w:equalWidth="0">
            <w:col w:w="3723" w:space="3010"/>
            <w:col w:w="3837"/>
          </w:cols>
        </w:sectPr>
      </w:pPr>
    </w:p>
    <w:p>
      <w:pPr>
        <w:spacing w:line="240" w:lineRule="auto" w:before="7"/>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1613"/>
        <w:gridCol w:w="1697"/>
        <w:gridCol w:w="775"/>
        <w:gridCol w:w="1844"/>
        <w:gridCol w:w="1699"/>
        <w:gridCol w:w="709"/>
        <w:gridCol w:w="1702"/>
      </w:tblGrid>
      <w:tr>
        <w:trPr>
          <w:trHeight w:val="283" w:hRule="exact"/>
        </w:trPr>
        <w:tc>
          <w:tcPr>
            <w:tcW w:w="1613"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590" w:right="0"/>
              <w:jc w:val="left"/>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431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410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555" w:hRule="exact"/>
        </w:trPr>
        <w:tc>
          <w:tcPr>
            <w:tcW w:w="1613" w:type="dxa"/>
            <w:vMerge/>
            <w:tcBorders>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3" w:right="0"/>
              <w:jc w:val="center"/>
              <w:rPr>
                <w:rFonts w:ascii="宋体" w:hAnsi="宋体" w:cs="宋体" w:eastAsia="宋体" w:hint="default"/>
                <w:sz w:val="21"/>
                <w:szCs w:val="21"/>
              </w:rPr>
            </w:pPr>
            <w:r>
              <w:rPr>
                <w:rFonts w:ascii="宋体" w:hAnsi="宋体" w:cs="宋体" w:eastAsia="宋体" w:hint="default"/>
                <w:sz w:val="21"/>
                <w:szCs w:val="21"/>
              </w:rPr>
              <w:t>账面余额</w:t>
            </w:r>
            <w:r>
              <w:rPr>
                <w:rFonts w:ascii="宋体" w:hAnsi="宋体" w:cs="宋体" w:eastAsia="宋体" w:hint="default"/>
                <w:sz w:val="21"/>
                <w:szCs w:val="21"/>
              </w:rPr>
              <w:t> </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0" w:right="0"/>
              <w:jc w:val="left"/>
              <w:rPr>
                <w:rFonts w:ascii="宋体" w:hAnsi="宋体" w:cs="宋体" w:eastAsia="宋体" w:hint="default"/>
                <w:sz w:val="21"/>
                <w:szCs w:val="21"/>
              </w:rPr>
            </w:pPr>
            <w:r>
              <w:rPr>
                <w:rFonts w:ascii="宋体" w:hAnsi="宋体" w:cs="宋体" w:eastAsia="宋体" w:hint="default"/>
                <w:sz w:val="21"/>
                <w:szCs w:val="21"/>
              </w:rPr>
              <w:t>减值</w:t>
            </w:r>
          </w:p>
          <w:p>
            <w:pPr>
              <w:pStyle w:val="TableParagraph"/>
              <w:spacing w:line="273" w:lineRule="exact"/>
              <w:ind w:left="170" w:right="0"/>
              <w:jc w:val="left"/>
              <w:rPr>
                <w:rFonts w:ascii="宋体" w:hAnsi="宋体" w:cs="宋体" w:eastAsia="宋体" w:hint="default"/>
                <w:sz w:val="21"/>
                <w:szCs w:val="21"/>
              </w:rPr>
            </w:pPr>
            <w:r>
              <w:rPr>
                <w:rFonts w:ascii="宋体" w:hAnsi="宋体" w:cs="宋体" w:eastAsia="宋体" w:hint="default"/>
                <w:sz w:val="21"/>
                <w:szCs w:val="21"/>
              </w:rPr>
              <w:t>准备</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494" w:right="0"/>
              <w:jc w:val="left"/>
              <w:rPr>
                <w:rFonts w:ascii="宋体" w:hAnsi="宋体" w:cs="宋体" w:eastAsia="宋体" w:hint="default"/>
                <w:sz w:val="21"/>
                <w:szCs w:val="21"/>
              </w:rPr>
            </w:pPr>
            <w:r>
              <w:rPr>
                <w:rFonts w:ascii="宋体" w:hAnsi="宋体" w:cs="宋体" w:eastAsia="宋体" w:hint="default"/>
                <w:sz w:val="21"/>
                <w:szCs w:val="21"/>
              </w:rPr>
              <w:t>账面价值</w:t>
            </w:r>
            <w:r>
              <w:rPr>
                <w:rFonts w:ascii="宋体" w:hAnsi="宋体" w:cs="宋体" w:eastAsia="宋体" w:hint="default"/>
                <w:sz w:val="21"/>
                <w:szCs w:val="21"/>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422" w:right="0"/>
              <w:jc w:val="left"/>
              <w:rPr>
                <w:rFonts w:ascii="宋体" w:hAnsi="宋体" w:cs="宋体" w:eastAsia="宋体" w:hint="default"/>
                <w:sz w:val="21"/>
                <w:szCs w:val="21"/>
              </w:rPr>
            </w:pPr>
            <w:r>
              <w:rPr>
                <w:rFonts w:ascii="宋体" w:hAnsi="宋体" w:cs="宋体" w:eastAsia="宋体" w:hint="default"/>
                <w:sz w:val="21"/>
                <w:szCs w:val="21"/>
              </w:rPr>
              <w:t>账面余额</w:t>
            </w:r>
            <w:r>
              <w:rPr>
                <w:rFonts w:ascii="宋体" w:hAnsi="宋体" w:cs="宋体" w:eastAsia="宋体" w:hint="default"/>
                <w:sz w:val="21"/>
                <w:szCs w:val="21"/>
              </w:rPr>
              <w:t> </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39" w:right="0"/>
              <w:jc w:val="left"/>
              <w:rPr>
                <w:rFonts w:ascii="宋体" w:hAnsi="宋体" w:cs="宋体" w:eastAsia="宋体" w:hint="default"/>
                <w:sz w:val="21"/>
                <w:szCs w:val="21"/>
              </w:rPr>
            </w:pPr>
            <w:r>
              <w:rPr>
                <w:rFonts w:ascii="宋体" w:hAnsi="宋体" w:cs="宋体" w:eastAsia="宋体" w:hint="default"/>
                <w:sz w:val="21"/>
                <w:szCs w:val="21"/>
              </w:rPr>
              <w:t>减值</w:t>
            </w:r>
          </w:p>
          <w:p>
            <w:pPr>
              <w:pStyle w:val="TableParagraph"/>
              <w:spacing w:line="273" w:lineRule="exact"/>
              <w:ind w:left="139" w:right="0"/>
              <w:jc w:val="left"/>
              <w:rPr>
                <w:rFonts w:ascii="宋体" w:hAnsi="宋体" w:cs="宋体" w:eastAsia="宋体" w:hint="default"/>
                <w:sz w:val="21"/>
                <w:szCs w:val="21"/>
              </w:rPr>
            </w:pPr>
            <w:r>
              <w:rPr>
                <w:rFonts w:ascii="宋体" w:hAnsi="宋体" w:cs="宋体" w:eastAsia="宋体" w:hint="default"/>
                <w:sz w:val="21"/>
                <w:szCs w:val="21"/>
              </w:rPr>
              <w:t>准备</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3" w:right="0"/>
              <w:jc w:val="center"/>
              <w:rPr>
                <w:rFonts w:ascii="宋体" w:hAnsi="宋体" w:cs="宋体" w:eastAsia="宋体" w:hint="default"/>
                <w:sz w:val="21"/>
                <w:szCs w:val="21"/>
              </w:rPr>
            </w:pPr>
            <w:r>
              <w:rPr>
                <w:rFonts w:ascii="宋体" w:hAnsi="宋体" w:cs="宋体" w:eastAsia="宋体" w:hint="default"/>
                <w:sz w:val="21"/>
                <w:szCs w:val="21"/>
              </w:rPr>
              <w:t>账面价值</w:t>
            </w:r>
            <w:r>
              <w:rPr>
                <w:rFonts w:ascii="宋体" w:hAnsi="宋体" w:cs="宋体" w:eastAsia="宋体" w:hint="default"/>
                <w:sz w:val="21"/>
                <w:szCs w:val="21"/>
              </w:rPr>
              <w:t> </w:t>
            </w:r>
          </w:p>
        </w:tc>
      </w:tr>
      <w:tr>
        <w:trPr>
          <w:trHeight w:val="554" w:hRule="exact"/>
        </w:trPr>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8" w:right="0"/>
              <w:jc w:val="left"/>
              <w:rPr>
                <w:rFonts w:ascii="宋体" w:hAnsi="宋体" w:cs="宋体" w:eastAsia="宋体" w:hint="default"/>
                <w:sz w:val="21"/>
                <w:szCs w:val="21"/>
              </w:rPr>
            </w:pPr>
            <w:r>
              <w:rPr>
                <w:rFonts w:ascii="宋体" w:hAnsi="宋体" w:cs="宋体" w:eastAsia="宋体" w:hint="default"/>
                <w:sz w:val="21"/>
                <w:szCs w:val="21"/>
              </w:rPr>
              <w:t>光伏电站工程</w:t>
            </w:r>
          </w:p>
          <w:p>
            <w:pPr>
              <w:pStyle w:val="TableParagraph"/>
              <w:spacing w:line="273" w:lineRule="exact"/>
              <w:ind w:left="108" w:right="0"/>
              <w:jc w:val="left"/>
              <w:rPr>
                <w:rFonts w:ascii="宋体" w:hAnsi="宋体" w:cs="宋体" w:eastAsia="宋体" w:hint="default"/>
                <w:sz w:val="21"/>
                <w:szCs w:val="21"/>
              </w:rPr>
            </w:pPr>
            <w:r>
              <w:rPr>
                <w:rFonts w:ascii="宋体" w:hAnsi="宋体" w:cs="宋体" w:eastAsia="宋体" w:hint="default"/>
                <w:sz w:val="21"/>
                <w:szCs w:val="21"/>
              </w:rPr>
              <w:t>物资</w:t>
            </w:r>
            <w:r>
              <w:rPr>
                <w:rFonts w:ascii="宋体" w:hAnsi="宋体" w:cs="宋体" w:eastAsia="宋体" w:hint="default"/>
                <w:sz w:val="21"/>
                <w:szCs w:val="21"/>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0"/>
              <w:jc w:val="center"/>
              <w:rPr>
                <w:rFonts w:ascii="宋体" w:hAnsi="宋体" w:cs="宋体" w:eastAsia="宋体" w:hint="default"/>
                <w:sz w:val="21"/>
                <w:szCs w:val="21"/>
              </w:rPr>
            </w:pPr>
            <w:r>
              <w:rPr>
                <w:rFonts w:ascii="宋体"/>
                <w:sz w:val="21"/>
              </w:rPr>
              <w:t>171,505,396.73 </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right"/>
              <w:rPr>
                <w:rFonts w:ascii="宋体" w:hAnsi="宋体" w:cs="宋体" w:eastAsia="宋体" w:hint="default"/>
                <w:sz w:val="21"/>
                <w:szCs w:val="21"/>
              </w:rPr>
            </w:pPr>
            <w:r>
              <w:rPr>
                <w:rFonts w:ascii="宋体"/>
                <w:w w:val="100"/>
                <w:sz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spacing w:val="-1"/>
                <w:sz w:val="21"/>
              </w:rPr>
              <w:t>171,505,396.73</w:t>
            </w:r>
            <w:r>
              <w:rPr>
                <w:rFonts w:ascii="宋体"/>
                <w:sz w:val="21"/>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right"/>
              <w:rPr>
                <w:rFonts w:ascii="宋体" w:hAnsi="宋体" w:cs="宋体" w:eastAsia="宋体" w:hint="default"/>
                <w:sz w:val="21"/>
                <w:szCs w:val="21"/>
              </w:rPr>
            </w:pPr>
            <w:r>
              <w:rPr>
                <w:rFonts w:ascii="宋体"/>
                <w:spacing w:val="-1"/>
                <w:sz w:val="21"/>
              </w:rPr>
              <w:t>12,487,958.60</w:t>
            </w:r>
            <w:r>
              <w:rPr>
                <w:rFonts w:ascii="宋体"/>
                <w:sz w:val="21"/>
              </w:rPr>
              <w:t> </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w w:val="100"/>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11" w:right="0"/>
              <w:jc w:val="center"/>
              <w:rPr>
                <w:rFonts w:ascii="宋体" w:hAnsi="宋体" w:cs="宋体" w:eastAsia="宋体" w:hint="default"/>
                <w:sz w:val="21"/>
                <w:szCs w:val="21"/>
              </w:rPr>
            </w:pPr>
            <w:r>
              <w:rPr>
                <w:rFonts w:ascii="宋体"/>
                <w:sz w:val="21"/>
              </w:rPr>
              <w:t>12,487,958.60 </w:t>
            </w:r>
          </w:p>
        </w:tc>
      </w:tr>
      <w:tr>
        <w:trPr>
          <w:trHeight w:val="322" w:hRule="exact"/>
        </w:trPr>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590"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5" w:right="0"/>
              <w:jc w:val="center"/>
              <w:rPr>
                <w:rFonts w:ascii="宋体" w:hAnsi="宋体" w:cs="宋体" w:eastAsia="宋体" w:hint="default"/>
                <w:sz w:val="21"/>
                <w:szCs w:val="21"/>
              </w:rPr>
            </w:pPr>
            <w:r>
              <w:rPr>
                <w:rFonts w:ascii="宋体"/>
                <w:sz w:val="21"/>
              </w:rPr>
              <w:t>171,505,396.73 </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
              <w:jc w:val="right"/>
              <w:rPr>
                <w:rFonts w:ascii="宋体" w:hAnsi="宋体" w:cs="宋体" w:eastAsia="宋体" w:hint="default"/>
                <w:sz w:val="21"/>
                <w:szCs w:val="21"/>
              </w:rPr>
            </w:pPr>
            <w:r>
              <w:rPr>
                <w:rFonts w:ascii="宋体"/>
                <w:w w:val="100"/>
                <w:sz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right"/>
              <w:rPr>
                <w:rFonts w:ascii="宋体" w:hAnsi="宋体" w:cs="宋体" w:eastAsia="宋体" w:hint="default"/>
                <w:sz w:val="21"/>
                <w:szCs w:val="21"/>
              </w:rPr>
            </w:pPr>
            <w:r>
              <w:rPr>
                <w:rFonts w:ascii="宋体"/>
                <w:spacing w:val="-1"/>
                <w:sz w:val="21"/>
              </w:rPr>
              <w:t>171,505,396.73</w:t>
            </w:r>
            <w:r>
              <w:rPr>
                <w:rFonts w:ascii="宋体"/>
                <w:sz w:val="21"/>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
              <w:jc w:val="right"/>
              <w:rPr>
                <w:rFonts w:ascii="宋体" w:hAnsi="宋体" w:cs="宋体" w:eastAsia="宋体" w:hint="default"/>
                <w:sz w:val="21"/>
                <w:szCs w:val="21"/>
              </w:rPr>
            </w:pPr>
            <w:r>
              <w:rPr>
                <w:rFonts w:ascii="宋体"/>
                <w:spacing w:val="-1"/>
                <w:sz w:val="21"/>
              </w:rPr>
              <w:t>12,487,958.60</w:t>
            </w:r>
            <w:r>
              <w:rPr>
                <w:rFonts w:ascii="宋体"/>
                <w:sz w:val="21"/>
              </w:rPr>
              <w:t> </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right"/>
              <w:rPr>
                <w:rFonts w:ascii="宋体" w:hAnsi="宋体" w:cs="宋体" w:eastAsia="宋体" w:hint="default"/>
                <w:sz w:val="21"/>
                <w:szCs w:val="21"/>
              </w:rPr>
            </w:pPr>
            <w:r>
              <w:rPr>
                <w:rFonts w:ascii="宋体"/>
                <w:w w:val="100"/>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11" w:right="0"/>
              <w:jc w:val="center"/>
              <w:rPr>
                <w:rFonts w:ascii="宋体" w:hAnsi="宋体" w:cs="宋体" w:eastAsia="宋体" w:hint="default"/>
                <w:sz w:val="21"/>
                <w:szCs w:val="21"/>
              </w:rPr>
            </w:pPr>
            <w:r>
              <w:rPr>
                <w:rFonts w:ascii="宋体"/>
                <w:sz w:val="21"/>
              </w:rPr>
              <w:t>12,487,958.60 </w:t>
            </w:r>
          </w:p>
        </w:tc>
      </w:tr>
    </w:tbl>
    <w:p>
      <w:pPr>
        <w:spacing w:after="0" w:line="262" w:lineRule="exact"/>
        <w:jc w:val="center"/>
        <w:rPr>
          <w:rFonts w:ascii="宋体" w:hAnsi="宋体" w:cs="宋体" w:eastAsia="宋体" w:hint="default"/>
          <w:sz w:val="21"/>
          <w:szCs w:val="21"/>
        </w:rPr>
        <w:sectPr>
          <w:type w:val="continuous"/>
          <w:pgSz w:w="11910" w:h="16840"/>
          <w:pgMar w:top="1580" w:bottom="280" w:left="1040" w:right="300"/>
        </w:sectPr>
      </w:pPr>
    </w:p>
    <w:p>
      <w:pPr>
        <w:pStyle w:val="BodyText"/>
        <w:spacing w:line="262" w:lineRule="exact"/>
        <w:ind w:left="236" w:right="0"/>
        <w:jc w:val="left"/>
        <w:rPr>
          <w:rFonts w:ascii="宋体" w:hAnsi="宋体" w:cs="宋体" w:eastAsia="宋体" w:hint="default"/>
        </w:rPr>
      </w:pPr>
      <w:r>
        <w:rPr>
          <w:rFonts w:ascii="宋体"/>
          <w:w w:val="100"/>
        </w:rPr>
        <w:t> </w:t>
      </w:r>
    </w:p>
    <w:p>
      <w:pPr>
        <w:pStyle w:val="Heading3"/>
        <w:spacing w:line="324" w:lineRule="auto"/>
        <w:ind w:left="236" w:right="0"/>
        <w:jc w:val="left"/>
        <w:rPr>
          <w:rFonts w:ascii="宋体" w:hAnsi="宋体" w:cs="宋体" w:eastAsia="宋体" w:hint="default"/>
          <w:b w:val="0"/>
          <w:bCs w:val="0"/>
        </w:rPr>
      </w:pPr>
      <w:r>
        <w:rPr>
          <w:rFonts w:ascii="宋体" w:hAnsi="宋体" w:cs="宋体" w:eastAsia="宋体" w:hint="default"/>
        </w:rPr>
        <w:t>22</w:t>
      </w:r>
      <w:r>
        <w:rPr/>
        <w:t>、</w:t>
      </w:r>
      <w:r>
        <w:rPr>
          <w:spacing w:val="-25"/>
        </w:rPr>
        <w:t> </w:t>
      </w:r>
      <w:r>
        <w:rPr/>
        <w:t>生产性生物资产</w:t>
      </w:r>
      <w:r>
        <w:rPr>
          <w:rFonts w:ascii="宋体" w:hAnsi="宋体" w:cs="宋体" w:eastAsia="宋体" w:hint="default"/>
          <w:w w:val="99"/>
        </w:rPr>
        <w:t> </w:t>
      </w:r>
      <w:r>
        <w:rPr>
          <w:rFonts w:ascii="宋体" w:hAnsi="宋体" w:cs="宋体" w:eastAsia="宋体" w:hint="default"/>
        </w:rPr>
        <w:t>(1).</w:t>
      </w:r>
      <w:r>
        <w:rPr/>
        <w:t>采用成本计量模式的生产性生物资产</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23"/>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8"/>
          <w:szCs w:val="28"/>
        </w:rPr>
      </w:pPr>
    </w:p>
    <w:p>
      <w:pPr>
        <w:pStyle w:val="BodyText"/>
        <w:spacing w:line="240" w:lineRule="auto"/>
        <w:ind w:left="236" w:right="0"/>
        <w:jc w:val="left"/>
        <w:rPr>
          <w:rFonts w:ascii="宋体" w:hAnsi="宋体" w:cs="宋体" w:eastAsia="宋体" w:hint="default"/>
        </w:rPr>
      </w:pPr>
      <w:r>
        <w:rPr/>
        <w:t>单位：元币种：人民币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580" w:bottom="280" w:left="1040" w:right="300"/>
          <w:cols w:num="2" w:equalWidth="0">
            <w:col w:w="4143" w:space="2590"/>
            <w:col w:w="3837"/>
          </w:cols>
        </w:sectPr>
      </w:pPr>
    </w:p>
    <w:p>
      <w:pPr>
        <w:spacing w:line="240" w:lineRule="auto" w:before="10"/>
        <w:rPr>
          <w:rFonts w:ascii="宋体" w:hAnsi="宋体" w:cs="宋体" w:eastAsia="宋体" w:hint="default"/>
          <w:sz w:val="3"/>
          <w:szCs w:val="3"/>
        </w:rPr>
      </w:pPr>
    </w:p>
    <w:tbl>
      <w:tblPr>
        <w:tblW w:w="0" w:type="auto"/>
        <w:jc w:val="left"/>
        <w:tblInd w:w="123" w:type="dxa"/>
        <w:tblLayout w:type="fixed"/>
        <w:tblCellMar>
          <w:top w:w="0" w:type="dxa"/>
          <w:left w:w="0" w:type="dxa"/>
          <w:bottom w:w="0" w:type="dxa"/>
          <w:right w:w="0" w:type="dxa"/>
        </w:tblCellMar>
        <w:tblLook w:val="01E0"/>
      </w:tblPr>
      <w:tblGrid>
        <w:gridCol w:w="2144"/>
        <w:gridCol w:w="1825"/>
        <w:gridCol w:w="1834"/>
        <w:gridCol w:w="468"/>
        <w:gridCol w:w="468"/>
        <w:gridCol w:w="468"/>
        <w:gridCol w:w="468"/>
        <w:gridCol w:w="469"/>
        <w:gridCol w:w="468"/>
        <w:gridCol w:w="1709"/>
      </w:tblGrid>
      <w:tr>
        <w:trPr>
          <w:trHeight w:val="634" w:hRule="exact"/>
        </w:trPr>
        <w:tc>
          <w:tcPr>
            <w:tcW w:w="214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106"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36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center"/>
              <w:rPr>
                <w:rFonts w:ascii="宋体" w:hAnsi="宋体" w:cs="宋体" w:eastAsia="宋体" w:hint="default"/>
                <w:sz w:val="21"/>
                <w:szCs w:val="21"/>
              </w:rPr>
            </w:pPr>
            <w:r>
              <w:rPr>
                <w:rFonts w:ascii="宋体" w:hAnsi="宋体" w:cs="宋体" w:eastAsia="宋体" w:hint="default"/>
                <w:sz w:val="21"/>
                <w:szCs w:val="21"/>
              </w:rPr>
              <w:t>种植业</w:t>
            </w:r>
            <w:r>
              <w:rPr>
                <w:rFonts w:ascii="宋体" w:hAnsi="宋体" w:cs="宋体" w:eastAsia="宋体" w:hint="default"/>
                <w:sz w:val="21"/>
                <w:szCs w:val="21"/>
              </w:rPr>
              <w:t> </w:t>
            </w:r>
          </w:p>
        </w:tc>
        <w:tc>
          <w:tcPr>
            <w:tcW w:w="936" w:type="dxa"/>
            <w:gridSpan w:val="2"/>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52" w:right="144" w:hanging="106"/>
              <w:jc w:val="left"/>
              <w:rPr>
                <w:rFonts w:ascii="宋体" w:hAnsi="宋体" w:cs="宋体" w:eastAsia="宋体" w:hint="default"/>
                <w:sz w:val="21"/>
                <w:szCs w:val="21"/>
              </w:rPr>
            </w:pPr>
            <w:r>
              <w:rPr>
                <w:rFonts w:ascii="宋体" w:hAnsi="宋体" w:cs="宋体" w:eastAsia="宋体" w:hint="default"/>
                <w:sz w:val="21"/>
                <w:szCs w:val="21"/>
              </w:rPr>
              <w:t>畜牧养</w:t>
            </w:r>
            <w:r>
              <w:rPr>
                <w:rFonts w:ascii="宋体" w:hAnsi="宋体" w:cs="宋体" w:eastAsia="宋体" w:hint="default"/>
                <w:spacing w:val="-102"/>
                <w:sz w:val="21"/>
                <w:szCs w:val="21"/>
              </w:rPr>
              <w:t> </w:t>
            </w:r>
            <w:r>
              <w:rPr>
                <w:rFonts w:ascii="宋体" w:hAnsi="宋体" w:cs="宋体" w:eastAsia="宋体" w:hint="default"/>
                <w:sz w:val="21"/>
                <w:szCs w:val="21"/>
              </w:rPr>
              <w:t>殖业</w:t>
            </w:r>
            <w:r>
              <w:rPr>
                <w:rFonts w:ascii="宋体" w:hAnsi="宋体" w:cs="宋体" w:eastAsia="宋体" w:hint="default"/>
                <w:sz w:val="21"/>
                <w:szCs w:val="21"/>
              </w:rPr>
              <w:t> </w:t>
            </w:r>
          </w:p>
        </w:tc>
        <w:tc>
          <w:tcPr>
            <w:tcW w:w="93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51" w:right="0"/>
              <w:jc w:val="left"/>
              <w:rPr>
                <w:rFonts w:ascii="宋体" w:hAnsi="宋体" w:cs="宋体" w:eastAsia="宋体" w:hint="default"/>
                <w:sz w:val="21"/>
                <w:szCs w:val="21"/>
              </w:rPr>
            </w:pPr>
            <w:r>
              <w:rPr>
                <w:rFonts w:ascii="宋体" w:hAnsi="宋体" w:cs="宋体" w:eastAsia="宋体" w:hint="default"/>
                <w:sz w:val="21"/>
                <w:szCs w:val="21"/>
              </w:rPr>
              <w:t>林业</w:t>
            </w:r>
            <w:r>
              <w:rPr>
                <w:rFonts w:ascii="宋体" w:hAnsi="宋体" w:cs="宋体" w:eastAsia="宋体" w:hint="default"/>
                <w:sz w:val="21"/>
                <w:szCs w:val="21"/>
              </w:rPr>
              <w:t> </w:t>
            </w:r>
          </w:p>
        </w:tc>
        <w:tc>
          <w:tcPr>
            <w:tcW w:w="93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46" w:right="0"/>
              <w:jc w:val="left"/>
              <w:rPr>
                <w:rFonts w:ascii="宋体" w:hAnsi="宋体" w:cs="宋体" w:eastAsia="宋体" w:hint="default"/>
                <w:sz w:val="21"/>
                <w:szCs w:val="21"/>
              </w:rPr>
            </w:pPr>
            <w:r>
              <w:rPr>
                <w:rFonts w:ascii="宋体" w:hAnsi="宋体" w:cs="宋体" w:eastAsia="宋体" w:hint="default"/>
                <w:sz w:val="21"/>
                <w:szCs w:val="21"/>
              </w:rPr>
              <w:t>水产业</w:t>
            </w:r>
            <w:r>
              <w:rPr>
                <w:rFonts w:ascii="宋体" w:hAnsi="宋体" w:cs="宋体" w:eastAsia="宋体" w:hint="default"/>
                <w:sz w:val="21"/>
                <w:szCs w:val="21"/>
              </w:rPr>
              <w:t> </w:t>
            </w:r>
          </w:p>
        </w:tc>
        <w:tc>
          <w:tcPr>
            <w:tcW w:w="170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638"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r>
      <w:tr>
        <w:trPr>
          <w:trHeight w:val="634" w:hRule="exact"/>
        </w:trPr>
        <w:tc>
          <w:tcPr>
            <w:tcW w:w="2144" w:type="dxa"/>
            <w:vMerge/>
            <w:tcBorders>
              <w:left w:val="single" w:sz="4" w:space="0" w:color="000000"/>
              <w:bottom w:val="single" w:sz="4" w:space="0" w:color="000000"/>
              <w:right w:val="single" w:sz="4" w:space="0" w:color="000000"/>
            </w:tcBorders>
          </w:tcPr>
          <w:p>
            <w:pPr/>
          </w:p>
        </w:tc>
        <w:tc>
          <w:tcPr>
            <w:tcW w:w="1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4"/>
              <w:ind w:left="636" w:right="0"/>
              <w:jc w:val="left"/>
              <w:rPr>
                <w:rFonts w:ascii="宋体" w:hAnsi="宋体" w:cs="宋体" w:eastAsia="宋体" w:hint="default"/>
                <w:sz w:val="21"/>
                <w:szCs w:val="21"/>
              </w:rPr>
            </w:pPr>
            <w:r>
              <w:rPr>
                <w:rFonts w:ascii="宋体" w:hAnsi="宋体" w:cs="宋体" w:eastAsia="宋体" w:hint="default"/>
                <w:sz w:val="18"/>
                <w:szCs w:val="18"/>
              </w:rPr>
              <w:t>未成熟</w:t>
            </w:r>
            <w:r>
              <w:rPr>
                <w:rFonts w:ascii="宋体" w:hAnsi="宋体" w:cs="宋体" w:eastAsia="宋体" w:hint="default"/>
                <w:w w:val="100"/>
                <w:sz w:val="21"/>
                <w:szCs w:val="21"/>
              </w:rPr>
              <w:t> </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4"/>
              <w:ind w:left="640" w:right="0"/>
              <w:jc w:val="left"/>
              <w:rPr>
                <w:rFonts w:ascii="宋体" w:hAnsi="宋体" w:cs="宋体" w:eastAsia="宋体" w:hint="default"/>
                <w:sz w:val="21"/>
                <w:szCs w:val="21"/>
              </w:rPr>
            </w:pPr>
            <w:r>
              <w:rPr>
                <w:rFonts w:ascii="宋体" w:hAnsi="宋体" w:cs="宋体" w:eastAsia="宋体" w:hint="default"/>
                <w:sz w:val="18"/>
                <w:szCs w:val="18"/>
              </w:rPr>
              <w:t>已成熟</w:t>
            </w:r>
            <w:r>
              <w:rPr>
                <w:rFonts w:ascii="宋体" w:hAnsi="宋体" w:cs="宋体" w:eastAsia="宋体" w:hint="default"/>
                <w:w w:val="100"/>
                <w:sz w:val="21"/>
                <w:szCs w:val="21"/>
              </w:rPr>
              <w:t> </w:t>
            </w:r>
          </w:p>
        </w:tc>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22" w:right="17"/>
              <w:jc w:val="left"/>
              <w:rPr>
                <w:rFonts w:ascii="宋体" w:hAnsi="宋体" w:cs="宋体" w:eastAsia="宋体" w:hint="default"/>
                <w:sz w:val="21"/>
                <w:szCs w:val="21"/>
              </w:rPr>
            </w:pPr>
            <w:r>
              <w:rPr>
                <w:rFonts w:ascii="宋体" w:hAnsi="宋体" w:cs="宋体" w:eastAsia="宋体" w:hint="default"/>
                <w:sz w:val="21"/>
                <w:szCs w:val="21"/>
              </w:rPr>
              <w:t>类</w:t>
            </w:r>
            <w:r>
              <w:rPr>
                <w:rFonts w:ascii="宋体" w:hAnsi="宋体" w:cs="宋体" w:eastAsia="宋体" w:hint="default"/>
                <w:w w:val="100"/>
                <w:sz w:val="21"/>
                <w:szCs w:val="21"/>
              </w:rPr>
              <w:t> </w:t>
            </w:r>
            <w:r>
              <w:rPr>
                <w:rFonts w:ascii="宋体" w:hAnsi="宋体" w:cs="宋体" w:eastAsia="宋体" w:hint="default"/>
                <w:sz w:val="21"/>
                <w:szCs w:val="21"/>
              </w:rPr>
              <w:t>别</w:t>
            </w:r>
            <w:r>
              <w:rPr>
                <w:rFonts w:ascii="宋体" w:hAnsi="宋体" w:cs="宋体" w:eastAsia="宋体" w:hint="default"/>
                <w:sz w:val="21"/>
                <w:szCs w:val="21"/>
              </w:rPr>
              <w:t> </w:t>
            </w:r>
          </w:p>
        </w:tc>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22" w:right="17"/>
              <w:jc w:val="left"/>
              <w:rPr>
                <w:rFonts w:ascii="宋体" w:hAnsi="宋体" w:cs="宋体" w:eastAsia="宋体" w:hint="default"/>
                <w:sz w:val="21"/>
                <w:szCs w:val="21"/>
              </w:rPr>
            </w:pPr>
            <w:r>
              <w:rPr>
                <w:rFonts w:ascii="宋体" w:hAnsi="宋体" w:cs="宋体" w:eastAsia="宋体" w:hint="default"/>
                <w:sz w:val="21"/>
                <w:szCs w:val="21"/>
              </w:rPr>
              <w:t>类</w:t>
            </w:r>
            <w:r>
              <w:rPr>
                <w:rFonts w:ascii="宋体" w:hAnsi="宋体" w:cs="宋体" w:eastAsia="宋体" w:hint="default"/>
                <w:w w:val="100"/>
                <w:sz w:val="21"/>
                <w:szCs w:val="21"/>
              </w:rPr>
              <w:t> </w:t>
            </w:r>
            <w:r>
              <w:rPr>
                <w:rFonts w:ascii="宋体" w:hAnsi="宋体" w:cs="宋体" w:eastAsia="宋体" w:hint="default"/>
                <w:sz w:val="21"/>
                <w:szCs w:val="21"/>
              </w:rPr>
              <w:t>别</w:t>
            </w:r>
            <w:r>
              <w:rPr>
                <w:rFonts w:ascii="宋体" w:hAnsi="宋体" w:cs="宋体" w:eastAsia="宋体" w:hint="default"/>
                <w:sz w:val="21"/>
                <w:szCs w:val="21"/>
              </w:rPr>
              <w:t> </w:t>
            </w:r>
          </w:p>
        </w:tc>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22" w:right="17"/>
              <w:jc w:val="left"/>
              <w:rPr>
                <w:rFonts w:ascii="宋体" w:hAnsi="宋体" w:cs="宋体" w:eastAsia="宋体" w:hint="default"/>
                <w:sz w:val="21"/>
                <w:szCs w:val="21"/>
              </w:rPr>
            </w:pPr>
            <w:r>
              <w:rPr>
                <w:rFonts w:ascii="宋体" w:hAnsi="宋体" w:cs="宋体" w:eastAsia="宋体" w:hint="default"/>
                <w:sz w:val="21"/>
                <w:szCs w:val="21"/>
              </w:rPr>
              <w:t>类</w:t>
            </w:r>
            <w:r>
              <w:rPr>
                <w:rFonts w:ascii="宋体" w:hAnsi="宋体" w:cs="宋体" w:eastAsia="宋体" w:hint="default"/>
                <w:w w:val="100"/>
                <w:sz w:val="21"/>
                <w:szCs w:val="21"/>
              </w:rPr>
              <w:t> </w:t>
            </w:r>
            <w:r>
              <w:rPr>
                <w:rFonts w:ascii="宋体" w:hAnsi="宋体" w:cs="宋体" w:eastAsia="宋体" w:hint="default"/>
                <w:sz w:val="21"/>
                <w:szCs w:val="21"/>
              </w:rPr>
              <w:t>别</w:t>
            </w:r>
            <w:r>
              <w:rPr>
                <w:rFonts w:ascii="宋体" w:hAnsi="宋体" w:cs="宋体" w:eastAsia="宋体" w:hint="default"/>
                <w:sz w:val="21"/>
                <w:szCs w:val="21"/>
              </w:rPr>
              <w:t> </w:t>
            </w:r>
          </w:p>
        </w:tc>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22" w:right="17"/>
              <w:jc w:val="left"/>
              <w:rPr>
                <w:rFonts w:ascii="宋体" w:hAnsi="宋体" w:cs="宋体" w:eastAsia="宋体" w:hint="default"/>
                <w:sz w:val="21"/>
                <w:szCs w:val="21"/>
              </w:rPr>
            </w:pPr>
            <w:r>
              <w:rPr>
                <w:rFonts w:ascii="宋体" w:hAnsi="宋体" w:cs="宋体" w:eastAsia="宋体" w:hint="default"/>
                <w:sz w:val="21"/>
                <w:szCs w:val="21"/>
              </w:rPr>
              <w:t>类</w:t>
            </w:r>
            <w:r>
              <w:rPr>
                <w:rFonts w:ascii="宋体" w:hAnsi="宋体" w:cs="宋体" w:eastAsia="宋体" w:hint="default"/>
                <w:w w:val="100"/>
                <w:sz w:val="21"/>
                <w:szCs w:val="21"/>
              </w:rPr>
              <w:t> </w:t>
            </w:r>
            <w:r>
              <w:rPr>
                <w:rFonts w:ascii="宋体" w:hAnsi="宋体" w:cs="宋体" w:eastAsia="宋体" w:hint="default"/>
                <w:sz w:val="21"/>
                <w:szCs w:val="21"/>
              </w:rPr>
              <w:t>别</w:t>
            </w:r>
            <w:r>
              <w:rPr>
                <w:rFonts w:ascii="宋体" w:hAnsi="宋体" w:cs="宋体" w:eastAsia="宋体" w:hint="default"/>
                <w:sz w:val="21"/>
                <w:szCs w:val="21"/>
              </w:rPr>
              <w:t> </w:t>
            </w:r>
          </w:p>
        </w:tc>
        <w:tc>
          <w:tcPr>
            <w:tcW w:w="46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22" w:right="17"/>
              <w:jc w:val="left"/>
              <w:rPr>
                <w:rFonts w:ascii="宋体" w:hAnsi="宋体" w:cs="宋体" w:eastAsia="宋体" w:hint="default"/>
                <w:sz w:val="21"/>
                <w:szCs w:val="21"/>
              </w:rPr>
            </w:pPr>
            <w:r>
              <w:rPr>
                <w:rFonts w:ascii="宋体" w:hAnsi="宋体" w:cs="宋体" w:eastAsia="宋体" w:hint="default"/>
                <w:sz w:val="21"/>
                <w:szCs w:val="21"/>
              </w:rPr>
              <w:t>类</w:t>
            </w:r>
            <w:r>
              <w:rPr>
                <w:rFonts w:ascii="宋体" w:hAnsi="宋体" w:cs="宋体" w:eastAsia="宋体" w:hint="default"/>
                <w:w w:val="100"/>
                <w:sz w:val="21"/>
                <w:szCs w:val="21"/>
              </w:rPr>
              <w:t> </w:t>
            </w:r>
            <w:r>
              <w:rPr>
                <w:rFonts w:ascii="宋体" w:hAnsi="宋体" w:cs="宋体" w:eastAsia="宋体" w:hint="default"/>
                <w:sz w:val="21"/>
                <w:szCs w:val="21"/>
              </w:rPr>
              <w:t>别</w:t>
            </w:r>
            <w:r>
              <w:rPr>
                <w:rFonts w:ascii="宋体" w:hAnsi="宋体" w:cs="宋体" w:eastAsia="宋体" w:hint="default"/>
                <w:sz w:val="21"/>
                <w:szCs w:val="21"/>
              </w:rPr>
              <w:t> </w:t>
            </w:r>
          </w:p>
        </w:tc>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22" w:right="17"/>
              <w:jc w:val="left"/>
              <w:rPr>
                <w:rFonts w:ascii="宋体" w:hAnsi="宋体" w:cs="宋体" w:eastAsia="宋体" w:hint="default"/>
                <w:sz w:val="21"/>
                <w:szCs w:val="21"/>
              </w:rPr>
            </w:pPr>
            <w:r>
              <w:rPr>
                <w:rFonts w:ascii="宋体" w:hAnsi="宋体" w:cs="宋体" w:eastAsia="宋体" w:hint="default"/>
                <w:sz w:val="21"/>
                <w:szCs w:val="21"/>
              </w:rPr>
              <w:t>类</w:t>
            </w:r>
            <w:r>
              <w:rPr>
                <w:rFonts w:ascii="宋体" w:hAnsi="宋体" w:cs="宋体" w:eastAsia="宋体" w:hint="default"/>
                <w:w w:val="100"/>
                <w:sz w:val="21"/>
                <w:szCs w:val="21"/>
              </w:rPr>
              <w:t> </w:t>
            </w:r>
            <w:r>
              <w:rPr>
                <w:rFonts w:ascii="宋体" w:hAnsi="宋体" w:cs="宋体" w:eastAsia="宋体" w:hint="default"/>
                <w:sz w:val="21"/>
                <w:szCs w:val="21"/>
              </w:rPr>
              <w:t>别</w:t>
            </w:r>
            <w:r>
              <w:rPr>
                <w:rFonts w:ascii="宋体" w:hAnsi="宋体" w:cs="宋体" w:eastAsia="宋体" w:hint="default"/>
                <w:sz w:val="21"/>
                <w:szCs w:val="21"/>
              </w:rPr>
              <w:t> </w:t>
            </w:r>
          </w:p>
        </w:tc>
        <w:tc>
          <w:tcPr>
            <w:tcW w:w="1709" w:type="dxa"/>
            <w:vMerge/>
            <w:tcBorders>
              <w:left w:val="single" w:sz="4" w:space="0" w:color="000000"/>
              <w:bottom w:val="single" w:sz="4" w:space="0" w:color="000000"/>
              <w:right w:val="single" w:sz="4" w:space="0" w:color="000000"/>
            </w:tcBorders>
          </w:tcPr>
          <w:p>
            <w:pPr/>
          </w:p>
        </w:tc>
      </w:tr>
      <w:tr>
        <w:trPr>
          <w:trHeight w:val="324" w:hRule="exact"/>
        </w:trPr>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一、账面原值</w:t>
            </w:r>
            <w:r>
              <w:rPr>
                <w:rFonts w:ascii="宋体" w:hAnsi="宋体" w:cs="宋体" w:eastAsia="宋体" w:hint="default"/>
                <w:sz w:val="21"/>
                <w:szCs w:val="21"/>
              </w:rPr>
              <w:t> </w:t>
            </w:r>
          </w:p>
        </w:tc>
        <w:tc>
          <w:tcPr>
            <w:tcW w:w="182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w w:val="100"/>
                <w:sz w:val="21"/>
              </w:rPr>
              <w:t> </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w w:val="100"/>
                <w:sz w:val="21"/>
              </w:rPr>
              <w:t> </w:t>
            </w:r>
          </w:p>
        </w:tc>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w w:val="100"/>
                <w:sz w:val="21"/>
              </w:rPr>
              <w:t> </w:t>
            </w:r>
          </w:p>
        </w:tc>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w w:val="100"/>
                <w:sz w:val="21"/>
              </w:rPr>
              <w:t> </w:t>
            </w:r>
          </w:p>
        </w:tc>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w w:val="100"/>
                <w:sz w:val="21"/>
              </w:rPr>
              <w:t> </w:t>
            </w:r>
          </w:p>
        </w:tc>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w w:val="100"/>
                <w:sz w:val="21"/>
              </w:rPr>
              <w:t> </w:t>
            </w:r>
          </w:p>
        </w:tc>
        <w:tc>
          <w:tcPr>
            <w:tcW w:w="46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w w:val="100"/>
                <w:sz w:val="21"/>
              </w:rPr>
              <w:t> </w:t>
            </w:r>
          </w:p>
        </w:tc>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w w:val="100"/>
                <w:sz w:val="21"/>
              </w:rPr>
              <w:t> </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r>
              <w:rPr>
                <w:rFonts w:ascii="宋体" w:hAnsi="宋体" w:cs="宋体" w:eastAsia="宋体" w:hint="default"/>
                <w:sz w:val="21"/>
                <w:szCs w:val="21"/>
              </w:rPr>
              <w:t> </w:t>
            </w:r>
          </w:p>
        </w:tc>
        <w:tc>
          <w:tcPr>
            <w:tcW w:w="182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52,425,171.13</w:t>
            </w:r>
            <w:r>
              <w:rPr>
                <w:rFonts w:ascii="宋体"/>
                <w:sz w:val="21"/>
              </w:rPr>
              <w:t> </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46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52,425,171.13</w:t>
            </w:r>
            <w:r>
              <w:rPr>
                <w:rFonts w:ascii="宋体"/>
                <w:sz w:val="21"/>
              </w:rPr>
              <w:t> </w:t>
            </w:r>
          </w:p>
        </w:tc>
      </w:tr>
      <w:tr>
        <w:trPr>
          <w:trHeight w:val="322" w:hRule="exact"/>
        </w:trPr>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1"/>
              <w:jc w:val="right"/>
              <w:rPr>
                <w:rFonts w:ascii="宋体" w:hAnsi="宋体" w:cs="宋体" w:eastAsia="宋体" w:hint="default"/>
                <w:sz w:val="21"/>
                <w:szCs w:val="21"/>
              </w:rPr>
            </w:pPr>
            <w:r>
              <w:rPr>
                <w:rFonts w:ascii="宋体" w:hAnsi="宋体" w:cs="宋体" w:eastAsia="宋体" w:hint="default"/>
                <w:spacing w:val="-2"/>
                <w:sz w:val="21"/>
                <w:szCs w:val="21"/>
              </w:rPr>
              <w:t>2.</w:t>
            </w:r>
            <w:r>
              <w:rPr>
                <w:rFonts w:ascii="宋体" w:hAnsi="宋体" w:cs="宋体" w:eastAsia="宋体" w:hint="default"/>
                <w:spacing w:val="-2"/>
                <w:sz w:val="21"/>
                <w:szCs w:val="21"/>
              </w:rPr>
              <w:t>本期增加金额</w:t>
            </w:r>
            <w:r>
              <w:rPr>
                <w:rFonts w:ascii="宋体" w:hAnsi="宋体" w:cs="宋体" w:eastAsia="宋体" w:hint="default"/>
                <w:sz w:val="21"/>
                <w:szCs w:val="21"/>
              </w:rPr>
              <w:t> </w:t>
            </w:r>
          </w:p>
        </w:tc>
        <w:tc>
          <w:tcPr>
            <w:tcW w:w="182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1,708,112.24</w:t>
            </w:r>
            <w:r>
              <w:rPr>
                <w:rFonts w:ascii="宋体"/>
                <w:sz w:val="21"/>
              </w:rPr>
              <w:t> </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21,005,351.57</w:t>
            </w:r>
            <w:r>
              <w:rPr>
                <w:rFonts w:ascii="宋体"/>
                <w:sz w:val="21"/>
              </w:rPr>
              <w:t> </w:t>
            </w:r>
          </w:p>
        </w:tc>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46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22,713,463.81</w:t>
            </w:r>
            <w:r>
              <w:rPr>
                <w:rFonts w:ascii="宋体"/>
                <w:sz w:val="21"/>
              </w:rPr>
              <w:t> </w:t>
            </w:r>
          </w:p>
        </w:tc>
      </w:tr>
      <w:tr>
        <w:trPr>
          <w:trHeight w:val="322" w:hRule="exact"/>
        </w:trPr>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34"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外购</w:t>
            </w:r>
            <w:r>
              <w:rPr>
                <w:rFonts w:ascii="宋体" w:hAnsi="宋体" w:cs="宋体" w:eastAsia="宋体" w:hint="default"/>
                <w:sz w:val="21"/>
                <w:szCs w:val="21"/>
              </w:rPr>
              <w:t> </w:t>
            </w:r>
          </w:p>
        </w:tc>
        <w:tc>
          <w:tcPr>
            <w:tcW w:w="182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46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50" w:hRule="exact"/>
        </w:trPr>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37"/>
              <w:jc w:val="right"/>
              <w:rPr>
                <w:rFonts w:ascii="宋体" w:hAnsi="宋体" w:cs="宋体" w:eastAsia="宋体" w:hint="default"/>
                <w:sz w:val="21"/>
                <w:szCs w:val="21"/>
              </w:rPr>
            </w:pPr>
            <w:r>
              <w:rPr>
                <w:rFonts w:ascii="宋体" w:hAnsi="宋体" w:cs="宋体" w:eastAsia="宋体" w:hint="default"/>
                <w:spacing w:val="-2"/>
                <w:sz w:val="21"/>
                <w:szCs w:val="21"/>
              </w:rPr>
              <w:t>(2)</w:t>
            </w:r>
            <w:r>
              <w:rPr>
                <w:rFonts w:ascii="宋体" w:hAnsi="宋体" w:cs="宋体" w:eastAsia="宋体" w:hint="default"/>
                <w:spacing w:val="-2"/>
                <w:sz w:val="21"/>
                <w:szCs w:val="21"/>
              </w:rPr>
              <w:t>自行培育</w:t>
            </w:r>
            <w:r>
              <w:rPr>
                <w:rFonts w:ascii="宋体" w:hAnsi="宋体" w:cs="宋体" w:eastAsia="宋体" w:hint="default"/>
                <w:sz w:val="21"/>
                <w:szCs w:val="21"/>
              </w:rPr>
              <w:t> </w:t>
            </w:r>
          </w:p>
        </w:tc>
        <w:tc>
          <w:tcPr>
            <w:tcW w:w="182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1,708,112.24</w:t>
            </w:r>
            <w:r>
              <w:rPr>
                <w:rFonts w:ascii="宋体"/>
                <w:sz w:val="21"/>
              </w:rPr>
              <w:t> </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21,005,351.57</w:t>
            </w:r>
            <w:r>
              <w:rPr>
                <w:rFonts w:ascii="宋体"/>
                <w:sz w:val="21"/>
              </w:rPr>
              <w:t> </w:t>
            </w:r>
          </w:p>
        </w:tc>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46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22,713,463.81</w:t>
            </w:r>
            <w:r>
              <w:rPr>
                <w:rFonts w:ascii="宋体"/>
                <w:sz w:val="21"/>
              </w:rPr>
              <w:t> </w:t>
            </w:r>
          </w:p>
        </w:tc>
      </w:tr>
      <w:tr>
        <w:trPr>
          <w:trHeight w:val="322" w:hRule="exact"/>
        </w:trPr>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1"/>
              <w:jc w:val="right"/>
              <w:rPr>
                <w:rFonts w:ascii="宋体" w:hAnsi="宋体" w:cs="宋体" w:eastAsia="宋体" w:hint="default"/>
                <w:sz w:val="21"/>
                <w:szCs w:val="21"/>
              </w:rPr>
            </w:pPr>
            <w:r>
              <w:rPr>
                <w:rFonts w:ascii="宋体" w:hAnsi="宋体" w:cs="宋体" w:eastAsia="宋体" w:hint="default"/>
                <w:spacing w:val="-2"/>
                <w:sz w:val="21"/>
                <w:szCs w:val="21"/>
              </w:rPr>
              <w:t>3.</w:t>
            </w:r>
            <w:r>
              <w:rPr>
                <w:rFonts w:ascii="宋体" w:hAnsi="宋体" w:cs="宋体" w:eastAsia="宋体" w:hint="default"/>
                <w:spacing w:val="-2"/>
                <w:sz w:val="21"/>
                <w:szCs w:val="21"/>
              </w:rPr>
              <w:t>本期减少金额</w:t>
            </w:r>
            <w:r>
              <w:rPr>
                <w:rFonts w:ascii="宋体" w:hAnsi="宋体" w:cs="宋体" w:eastAsia="宋体" w:hint="default"/>
                <w:sz w:val="21"/>
                <w:szCs w:val="21"/>
              </w:rPr>
              <w:t> </w:t>
            </w:r>
          </w:p>
        </w:tc>
        <w:tc>
          <w:tcPr>
            <w:tcW w:w="182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26,147,137.72</w:t>
            </w:r>
            <w:r>
              <w:rPr>
                <w:rFonts w:ascii="宋体"/>
                <w:sz w:val="21"/>
              </w:rPr>
              <w:t> </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46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26,147,137.72</w:t>
            </w:r>
            <w:r>
              <w:rPr>
                <w:rFonts w:ascii="宋体"/>
                <w:sz w:val="21"/>
              </w:rPr>
              <w:t> </w:t>
            </w:r>
          </w:p>
        </w:tc>
      </w:tr>
      <w:tr>
        <w:trPr>
          <w:trHeight w:val="322" w:hRule="exact"/>
        </w:trPr>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34"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处置</w:t>
            </w:r>
            <w:r>
              <w:rPr>
                <w:rFonts w:ascii="宋体" w:hAnsi="宋体" w:cs="宋体" w:eastAsia="宋体" w:hint="default"/>
                <w:sz w:val="21"/>
                <w:szCs w:val="21"/>
              </w:rPr>
              <w:t> </w:t>
            </w:r>
          </w:p>
        </w:tc>
        <w:tc>
          <w:tcPr>
            <w:tcW w:w="182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3,649,285.67</w:t>
            </w:r>
            <w:r>
              <w:rPr>
                <w:rFonts w:ascii="宋体"/>
                <w:sz w:val="21"/>
              </w:rPr>
              <w:t> </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46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3,649,285.67</w:t>
            </w:r>
            <w:r>
              <w:rPr>
                <w:rFonts w:ascii="宋体"/>
                <w:sz w:val="21"/>
              </w:rPr>
              <w:t> </w:t>
            </w:r>
          </w:p>
        </w:tc>
      </w:tr>
      <w:tr>
        <w:trPr>
          <w:trHeight w:val="350" w:hRule="exact"/>
        </w:trPr>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88" w:lineRule="exact"/>
              <w:ind w:left="838" w:right="0"/>
              <w:jc w:val="left"/>
              <w:rPr>
                <w:rFonts w:ascii="宋体" w:hAnsi="宋体" w:cs="宋体" w:eastAsia="宋体" w:hint="default"/>
                <w:sz w:val="21"/>
                <w:szCs w:val="21"/>
              </w:rPr>
            </w:pPr>
            <w:r>
              <w:rPr>
                <w:rFonts w:ascii="宋体" w:hAnsi="宋体" w:cs="宋体" w:eastAsia="宋体" w:hint="default"/>
                <w:sz w:val="24"/>
                <w:szCs w:val="24"/>
              </w:rPr>
              <w:t>(2)</w:t>
            </w:r>
            <w:r>
              <w:rPr>
                <w:rFonts w:ascii="宋体" w:hAnsi="宋体" w:cs="宋体" w:eastAsia="宋体" w:hint="default"/>
                <w:sz w:val="21"/>
                <w:szCs w:val="21"/>
              </w:rPr>
              <w:t>其他</w:t>
            </w:r>
            <w:r>
              <w:rPr>
                <w:rFonts w:ascii="宋体" w:hAnsi="宋体" w:cs="宋体" w:eastAsia="宋体" w:hint="default"/>
                <w:sz w:val="21"/>
                <w:szCs w:val="21"/>
              </w:rPr>
              <w:t> </w:t>
            </w:r>
          </w:p>
        </w:tc>
        <w:tc>
          <w:tcPr>
            <w:tcW w:w="182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46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137"/>
              <w:jc w:val="right"/>
              <w:rPr>
                <w:rFonts w:ascii="宋体" w:hAnsi="宋体" w:cs="宋体" w:eastAsia="宋体" w:hint="default"/>
                <w:sz w:val="21"/>
                <w:szCs w:val="21"/>
              </w:rPr>
            </w:pPr>
            <w:r>
              <w:rPr>
                <w:rFonts w:ascii="宋体" w:hAnsi="宋体" w:cs="宋体" w:eastAsia="宋体" w:hint="default"/>
                <w:spacing w:val="-2"/>
                <w:sz w:val="21"/>
                <w:szCs w:val="21"/>
              </w:rPr>
              <w:t>（</w:t>
            </w:r>
            <w:r>
              <w:rPr>
                <w:rFonts w:ascii="宋体" w:hAnsi="宋体" w:cs="宋体" w:eastAsia="宋体" w:hint="default"/>
                <w:spacing w:val="-2"/>
                <w:sz w:val="21"/>
                <w:szCs w:val="21"/>
              </w:rPr>
              <w:t>3</w:t>
            </w:r>
            <w:r>
              <w:rPr>
                <w:rFonts w:ascii="宋体" w:hAnsi="宋体" w:cs="宋体" w:eastAsia="宋体" w:hint="default"/>
                <w:spacing w:val="-2"/>
                <w:sz w:val="21"/>
                <w:szCs w:val="21"/>
              </w:rPr>
              <w:t>）转成熟</w:t>
            </w:r>
            <w:r>
              <w:rPr>
                <w:rFonts w:ascii="宋体" w:hAnsi="宋体" w:cs="宋体" w:eastAsia="宋体" w:hint="default"/>
                <w:sz w:val="21"/>
                <w:szCs w:val="21"/>
              </w:rPr>
              <w:t> </w:t>
            </w:r>
          </w:p>
        </w:tc>
        <w:tc>
          <w:tcPr>
            <w:tcW w:w="1825"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3"/>
              <w:jc w:val="right"/>
              <w:rPr>
                <w:rFonts w:ascii="宋体" w:hAnsi="宋体" w:cs="宋体" w:eastAsia="宋体" w:hint="default"/>
                <w:sz w:val="21"/>
                <w:szCs w:val="21"/>
              </w:rPr>
            </w:pPr>
            <w:r>
              <w:rPr>
                <w:rFonts w:ascii="宋体"/>
                <w:spacing w:val="-1"/>
                <w:sz w:val="21"/>
              </w:rPr>
              <w:t>22,497,852.05</w:t>
            </w:r>
            <w:r>
              <w:rPr>
                <w:rFonts w:ascii="宋体"/>
                <w:sz w:val="21"/>
              </w:rPr>
              <w:t> </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3"/>
              <w:jc w:val="right"/>
              <w:rPr>
                <w:rFonts w:ascii="宋体" w:hAnsi="宋体" w:cs="宋体" w:eastAsia="宋体" w:hint="default"/>
                <w:sz w:val="21"/>
                <w:szCs w:val="21"/>
              </w:rPr>
            </w:pPr>
            <w:r>
              <w:rPr>
                <w:rFonts w:ascii="宋体"/>
                <w:w w:val="100"/>
                <w:sz w:val="21"/>
              </w:rPr>
              <w:t> </w:t>
            </w:r>
          </w:p>
        </w:tc>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3"/>
              <w:jc w:val="right"/>
              <w:rPr>
                <w:rFonts w:ascii="宋体" w:hAnsi="宋体" w:cs="宋体" w:eastAsia="宋体" w:hint="default"/>
                <w:sz w:val="21"/>
                <w:szCs w:val="21"/>
              </w:rPr>
            </w:pPr>
            <w:r>
              <w:rPr>
                <w:rFonts w:ascii="宋体"/>
                <w:w w:val="100"/>
                <w:sz w:val="21"/>
              </w:rPr>
              <w:t> </w:t>
            </w:r>
          </w:p>
        </w:tc>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3"/>
              <w:jc w:val="right"/>
              <w:rPr>
                <w:rFonts w:ascii="宋体" w:hAnsi="宋体" w:cs="宋体" w:eastAsia="宋体" w:hint="default"/>
                <w:sz w:val="21"/>
                <w:szCs w:val="21"/>
              </w:rPr>
            </w:pPr>
            <w:r>
              <w:rPr>
                <w:rFonts w:ascii="宋体"/>
                <w:w w:val="100"/>
                <w:sz w:val="21"/>
              </w:rPr>
              <w:t> </w:t>
            </w:r>
          </w:p>
        </w:tc>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3"/>
              <w:jc w:val="right"/>
              <w:rPr>
                <w:rFonts w:ascii="宋体" w:hAnsi="宋体" w:cs="宋体" w:eastAsia="宋体" w:hint="default"/>
                <w:sz w:val="21"/>
                <w:szCs w:val="21"/>
              </w:rPr>
            </w:pPr>
            <w:r>
              <w:rPr>
                <w:rFonts w:ascii="宋体"/>
                <w:w w:val="100"/>
                <w:sz w:val="21"/>
              </w:rPr>
              <w:t> </w:t>
            </w:r>
          </w:p>
        </w:tc>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3"/>
              <w:jc w:val="right"/>
              <w:rPr>
                <w:rFonts w:ascii="宋体" w:hAnsi="宋体" w:cs="宋体" w:eastAsia="宋体" w:hint="default"/>
                <w:sz w:val="21"/>
                <w:szCs w:val="21"/>
              </w:rPr>
            </w:pPr>
            <w:r>
              <w:rPr>
                <w:rFonts w:ascii="宋体"/>
                <w:w w:val="100"/>
                <w:sz w:val="21"/>
              </w:rPr>
              <w:t> </w:t>
            </w:r>
          </w:p>
        </w:tc>
        <w:tc>
          <w:tcPr>
            <w:tcW w:w="469"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3"/>
              <w:jc w:val="right"/>
              <w:rPr>
                <w:rFonts w:ascii="宋体" w:hAnsi="宋体" w:cs="宋体" w:eastAsia="宋体" w:hint="default"/>
                <w:sz w:val="21"/>
                <w:szCs w:val="21"/>
              </w:rPr>
            </w:pPr>
            <w:r>
              <w:rPr>
                <w:rFonts w:ascii="宋体"/>
                <w:w w:val="100"/>
                <w:sz w:val="21"/>
              </w:rPr>
              <w:t> </w:t>
            </w:r>
          </w:p>
        </w:tc>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3"/>
              <w:jc w:val="right"/>
              <w:rPr>
                <w:rFonts w:ascii="宋体" w:hAnsi="宋体" w:cs="宋体" w:eastAsia="宋体" w:hint="default"/>
                <w:sz w:val="21"/>
                <w:szCs w:val="21"/>
              </w:rPr>
            </w:pPr>
            <w:r>
              <w:rPr>
                <w:rFonts w:ascii="宋体"/>
                <w:w w:val="100"/>
                <w:sz w:val="21"/>
              </w:rPr>
              <w:t> </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3"/>
              <w:jc w:val="right"/>
              <w:rPr>
                <w:rFonts w:ascii="宋体" w:hAnsi="宋体" w:cs="宋体" w:eastAsia="宋体" w:hint="default"/>
                <w:sz w:val="21"/>
                <w:szCs w:val="21"/>
              </w:rPr>
            </w:pPr>
            <w:r>
              <w:rPr>
                <w:rFonts w:ascii="宋体"/>
                <w:spacing w:val="-1"/>
                <w:sz w:val="21"/>
              </w:rPr>
              <w:t>22,497,852.05</w:t>
            </w:r>
            <w:r>
              <w:rPr>
                <w:rFonts w:ascii="宋体"/>
                <w:sz w:val="21"/>
              </w:rPr>
              <w:t> </w:t>
            </w:r>
          </w:p>
        </w:tc>
      </w:tr>
      <w:tr>
        <w:trPr>
          <w:trHeight w:val="350" w:hRule="exact"/>
        </w:trPr>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52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r>
              <w:rPr>
                <w:rFonts w:ascii="宋体" w:hAnsi="宋体" w:cs="宋体" w:eastAsia="宋体" w:hint="default"/>
                <w:sz w:val="21"/>
                <w:szCs w:val="21"/>
              </w:rPr>
              <w:t> </w:t>
            </w:r>
          </w:p>
        </w:tc>
        <w:tc>
          <w:tcPr>
            <w:tcW w:w="182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27,986,145.65</w:t>
            </w:r>
            <w:r>
              <w:rPr>
                <w:rFonts w:ascii="宋体"/>
                <w:sz w:val="21"/>
              </w:rPr>
              <w:t> </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21,005,351.57</w:t>
            </w:r>
            <w:r>
              <w:rPr>
                <w:rFonts w:ascii="宋体"/>
                <w:sz w:val="21"/>
              </w:rPr>
              <w:t> </w:t>
            </w:r>
          </w:p>
        </w:tc>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46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48,991,497.22</w:t>
            </w:r>
            <w:r>
              <w:rPr>
                <w:rFonts w:ascii="宋体"/>
                <w:sz w:val="21"/>
              </w:rPr>
              <w:t> </w:t>
            </w:r>
          </w:p>
        </w:tc>
      </w:tr>
      <w:tr>
        <w:trPr>
          <w:trHeight w:val="322" w:hRule="exact"/>
        </w:trPr>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二、累计折旧</w:t>
            </w:r>
            <w:r>
              <w:rPr>
                <w:rFonts w:ascii="宋体" w:hAnsi="宋体" w:cs="宋体" w:eastAsia="宋体" w:hint="default"/>
                <w:sz w:val="21"/>
                <w:szCs w:val="21"/>
              </w:rPr>
              <w:t> </w:t>
            </w:r>
          </w:p>
        </w:tc>
        <w:tc>
          <w:tcPr>
            <w:tcW w:w="182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46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50" w:hRule="exact"/>
        </w:trPr>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5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r>
              <w:rPr>
                <w:rFonts w:ascii="宋体" w:hAnsi="宋体" w:cs="宋体" w:eastAsia="宋体" w:hint="default"/>
                <w:sz w:val="21"/>
                <w:szCs w:val="21"/>
              </w:rPr>
              <w:t> </w:t>
            </w:r>
          </w:p>
        </w:tc>
        <w:tc>
          <w:tcPr>
            <w:tcW w:w="182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46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1"/>
              <w:jc w:val="right"/>
              <w:rPr>
                <w:rFonts w:ascii="宋体" w:hAnsi="宋体" w:cs="宋体" w:eastAsia="宋体" w:hint="default"/>
                <w:sz w:val="21"/>
                <w:szCs w:val="21"/>
              </w:rPr>
            </w:pPr>
            <w:r>
              <w:rPr>
                <w:rFonts w:ascii="宋体" w:hAnsi="宋体" w:cs="宋体" w:eastAsia="宋体" w:hint="default"/>
                <w:spacing w:val="-2"/>
                <w:sz w:val="21"/>
                <w:szCs w:val="21"/>
              </w:rPr>
              <w:t>2.</w:t>
            </w:r>
            <w:r>
              <w:rPr>
                <w:rFonts w:ascii="宋体" w:hAnsi="宋体" w:cs="宋体" w:eastAsia="宋体" w:hint="default"/>
                <w:spacing w:val="-2"/>
                <w:sz w:val="21"/>
                <w:szCs w:val="21"/>
              </w:rPr>
              <w:t>本期增加金额</w:t>
            </w:r>
            <w:r>
              <w:rPr>
                <w:rFonts w:ascii="宋体" w:hAnsi="宋体" w:cs="宋体" w:eastAsia="宋体" w:hint="default"/>
                <w:sz w:val="21"/>
                <w:szCs w:val="21"/>
              </w:rPr>
              <w:t> </w:t>
            </w:r>
          </w:p>
        </w:tc>
        <w:tc>
          <w:tcPr>
            <w:tcW w:w="182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610,572.16</w:t>
            </w:r>
            <w:r>
              <w:rPr>
                <w:rFonts w:ascii="宋体"/>
                <w:sz w:val="21"/>
              </w:rPr>
              <w:t> </w:t>
            </w:r>
          </w:p>
        </w:tc>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46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610,572.16</w:t>
            </w:r>
            <w:r>
              <w:rPr>
                <w:rFonts w:ascii="宋体"/>
                <w:sz w:val="21"/>
              </w:rPr>
              <w:t> </w:t>
            </w:r>
          </w:p>
        </w:tc>
      </w:tr>
      <w:tr>
        <w:trPr>
          <w:trHeight w:val="350" w:hRule="exact"/>
        </w:trPr>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734"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计提</w:t>
            </w:r>
            <w:r>
              <w:rPr>
                <w:rFonts w:ascii="宋体" w:hAnsi="宋体" w:cs="宋体" w:eastAsia="宋体" w:hint="default"/>
                <w:sz w:val="21"/>
                <w:szCs w:val="21"/>
              </w:rPr>
              <w:t> </w:t>
            </w:r>
          </w:p>
        </w:tc>
        <w:tc>
          <w:tcPr>
            <w:tcW w:w="182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610,572.16</w:t>
            </w:r>
            <w:r>
              <w:rPr>
                <w:rFonts w:ascii="宋体"/>
                <w:sz w:val="21"/>
              </w:rPr>
              <w:t> </w:t>
            </w:r>
          </w:p>
        </w:tc>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46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610,572.16</w:t>
            </w:r>
            <w:r>
              <w:rPr>
                <w:rFonts w:ascii="宋体"/>
                <w:sz w:val="21"/>
              </w:rPr>
              <w:t> </w:t>
            </w:r>
          </w:p>
        </w:tc>
      </w:tr>
      <w:tr>
        <w:trPr>
          <w:trHeight w:val="350" w:hRule="exact"/>
        </w:trPr>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1"/>
              <w:jc w:val="right"/>
              <w:rPr>
                <w:rFonts w:ascii="宋体" w:hAnsi="宋体" w:cs="宋体" w:eastAsia="宋体" w:hint="default"/>
                <w:sz w:val="21"/>
                <w:szCs w:val="21"/>
              </w:rPr>
            </w:pPr>
            <w:r>
              <w:rPr>
                <w:rFonts w:ascii="宋体" w:hAnsi="宋体" w:cs="宋体" w:eastAsia="宋体" w:hint="default"/>
                <w:spacing w:val="-2"/>
                <w:sz w:val="21"/>
                <w:szCs w:val="21"/>
              </w:rPr>
              <w:t>3.</w:t>
            </w:r>
            <w:r>
              <w:rPr>
                <w:rFonts w:ascii="宋体" w:hAnsi="宋体" w:cs="宋体" w:eastAsia="宋体" w:hint="default"/>
                <w:spacing w:val="-2"/>
                <w:sz w:val="21"/>
                <w:szCs w:val="21"/>
              </w:rPr>
              <w:t>本期减少金额</w:t>
            </w:r>
            <w:r>
              <w:rPr>
                <w:rFonts w:ascii="宋体" w:hAnsi="宋体" w:cs="宋体" w:eastAsia="宋体" w:hint="default"/>
                <w:sz w:val="21"/>
                <w:szCs w:val="21"/>
              </w:rPr>
              <w:t> </w:t>
            </w:r>
          </w:p>
        </w:tc>
        <w:tc>
          <w:tcPr>
            <w:tcW w:w="182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46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34"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处置</w:t>
            </w:r>
            <w:r>
              <w:rPr>
                <w:rFonts w:ascii="宋体" w:hAnsi="宋体" w:cs="宋体" w:eastAsia="宋体" w:hint="default"/>
                <w:sz w:val="21"/>
                <w:szCs w:val="21"/>
              </w:rPr>
              <w:t> </w:t>
            </w:r>
          </w:p>
        </w:tc>
        <w:tc>
          <w:tcPr>
            <w:tcW w:w="182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46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34"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其他</w:t>
            </w:r>
            <w:r>
              <w:rPr>
                <w:rFonts w:ascii="宋体" w:hAnsi="宋体" w:cs="宋体" w:eastAsia="宋体" w:hint="default"/>
                <w:sz w:val="21"/>
                <w:szCs w:val="21"/>
              </w:rPr>
              <w:t> </w:t>
            </w:r>
          </w:p>
        </w:tc>
        <w:tc>
          <w:tcPr>
            <w:tcW w:w="182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46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bl>
    <w:p>
      <w:pPr>
        <w:spacing w:after="0" w:line="262" w:lineRule="exact"/>
        <w:jc w:val="right"/>
        <w:rPr>
          <w:rFonts w:ascii="宋体" w:hAnsi="宋体" w:cs="宋体" w:eastAsia="宋体" w:hint="default"/>
          <w:sz w:val="21"/>
          <w:szCs w:val="21"/>
        </w:rPr>
        <w:sectPr>
          <w:type w:val="continuous"/>
          <w:pgSz w:w="11910" w:h="16840"/>
          <w:pgMar w:top="1580" w:bottom="280" w:left="1040" w:right="300"/>
        </w:sectPr>
      </w:pPr>
    </w:p>
    <w:p>
      <w:pPr>
        <w:spacing w:line="240" w:lineRule="auto" w:before="11"/>
        <w:rPr>
          <w:rFonts w:ascii="宋体" w:hAnsi="宋体" w:cs="宋体" w:eastAsia="宋体" w:hint="default"/>
          <w:sz w:val="22"/>
          <w:szCs w:val="22"/>
        </w:rPr>
      </w:pPr>
    </w:p>
    <w:tbl>
      <w:tblPr>
        <w:tblW w:w="0" w:type="auto"/>
        <w:jc w:val="left"/>
        <w:tblInd w:w="404" w:type="dxa"/>
        <w:tblLayout w:type="fixed"/>
        <w:tblCellMar>
          <w:top w:w="0" w:type="dxa"/>
          <w:left w:w="0" w:type="dxa"/>
          <w:bottom w:w="0" w:type="dxa"/>
          <w:right w:w="0" w:type="dxa"/>
        </w:tblCellMar>
        <w:tblLook w:val="01E0"/>
      </w:tblPr>
      <w:tblGrid>
        <w:gridCol w:w="2144"/>
        <w:gridCol w:w="1825"/>
        <w:gridCol w:w="1834"/>
        <w:gridCol w:w="468"/>
        <w:gridCol w:w="468"/>
        <w:gridCol w:w="468"/>
        <w:gridCol w:w="468"/>
        <w:gridCol w:w="469"/>
        <w:gridCol w:w="468"/>
        <w:gridCol w:w="1709"/>
      </w:tblGrid>
      <w:tr>
        <w:trPr>
          <w:trHeight w:val="351" w:hRule="exact"/>
        </w:trPr>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52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r>
              <w:rPr>
                <w:rFonts w:ascii="宋体" w:hAnsi="宋体" w:cs="宋体" w:eastAsia="宋体" w:hint="default"/>
                <w:sz w:val="21"/>
                <w:szCs w:val="21"/>
              </w:rPr>
              <w:t> </w:t>
            </w:r>
          </w:p>
        </w:tc>
        <w:tc>
          <w:tcPr>
            <w:tcW w:w="182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610,572.16</w:t>
            </w:r>
            <w:r>
              <w:rPr>
                <w:rFonts w:ascii="宋体"/>
                <w:sz w:val="21"/>
              </w:rPr>
              <w:t> </w:t>
            </w:r>
          </w:p>
        </w:tc>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46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610,572.16</w:t>
            </w:r>
            <w:r>
              <w:rPr>
                <w:rFonts w:ascii="宋体"/>
                <w:sz w:val="21"/>
              </w:rPr>
              <w:t> </w:t>
            </w:r>
          </w:p>
        </w:tc>
      </w:tr>
      <w:tr>
        <w:trPr>
          <w:trHeight w:val="322" w:hRule="exact"/>
        </w:trPr>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三、减值准备</w:t>
            </w:r>
            <w:r>
              <w:rPr>
                <w:rFonts w:ascii="宋体" w:hAnsi="宋体" w:cs="宋体" w:eastAsia="宋体" w:hint="default"/>
                <w:sz w:val="21"/>
                <w:szCs w:val="21"/>
              </w:rPr>
              <w:t> </w:t>
            </w:r>
          </w:p>
        </w:tc>
        <w:tc>
          <w:tcPr>
            <w:tcW w:w="182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46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r>
              <w:rPr>
                <w:rFonts w:ascii="宋体" w:hAnsi="宋体" w:cs="宋体" w:eastAsia="宋体" w:hint="default"/>
                <w:sz w:val="21"/>
                <w:szCs w:val="21"/>
              </w:rPr>
              <w:t> </w:t>
            </w:r>
          </w:p>
        </w:tc>
        <w:tc>
          <w:tcPr>
            <w:tcW w:w="182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46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1"/>
              <w:jc w:val="right"/>
              <w:rPr>
                <w:rFonts w:ascii="宋体" w:hAnsi="宋体" w:cs="宋体" w:eastAsia="宋体" w:hint="default"/>
                <w:sz w:val="21"/>
                <w:szCs w:val="21"/>
              </w:rPr>
            </w:pPr>
            <w:r>
              <w:rPr>
                <w:rFonts w:ascii="宋体" w:hAnsi="宋体" w:cs="宋体" w:eastAsia="宋体" w:hint="default"/>
                <w:spacing w:val="-2"/>
                <w:sz w:val="21"/>
                <w:szCs w:val="21"/>
              </w:rPr>
              <w:t>2.</w:t>
            </w:r>
            <w:r>
              <w:rPr>
                <w:rFonts w:ascii="宋体" w:hAnsi="宋体" w:cs="宋体" w:eastAsia="宋体" w:hint="default"/>
                <w:spacing w:val="-2"/>
                <w:sz w:val="21"/>
                <w:szCs w:val="21"/>
              </w:rPr>
              <w:t>本期增加金额</w:t>
            </w:r>
            <w:r>
              <w:rPr>
                <w:rFonts w:ascii="宋体" w:hAnsi="宋体" w:cs="宋体" w:eastAsia="宋体" w:hint="default"/>
                <w:sz w:val="21"/>
                <w:szCs w:val="21"/>
              </w:rPr>
              <w:t> </w:t>
            </w:r>
          </w:p>
        </w:tc>
        <w:tc>
          <w:tcPr>
            <w:tcW w:w="182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46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50" w:hRule="exact"/>
        </w:trPr>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734"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计提</w:t>
            </w:r>
            <w:r>
              <w:rPr>
                <w:rFonts w:ascii="宋体" w:hAnsi="宋体" w:cs="宋体" w:eastAsia="宋体" w:hint="default"/>
                <w:sz w:val="21"/>
                <w:szCs w:val="21"/>
              </w:rPr>
              <w:t> </w:t>
            </w:r>
          </w:p>
        </w:tc>
        <w:tc>
          <w:tcPr>
            <w:tcW w:w="182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46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1"/>
              <w:jc w:val="right"/>
              <w:rPr>
                <w:rFonts w:ascii="宋体" w:hAnsi="宋体" w:cs="宋体" w:eastAsia="宋体" w:hint="default"/>
                <w:sz w:val="21"/>
                <w:szCs w:val="21"/>
              </w:rPr>
            </w:pPr>
            <w:r>
              <w:rPr>
                <w:rFonts w:ascii="宋体" w:hAnsi="宋体" w:cs="宋体" w:eastAsia="宋体" w:hint="default"/>
                <w:spacing w:val="-2"/>
                <w:sz w:val="21"/>
                <w:szCs w:val="21"/>
              </w:rPr>
              <w:t>3.</w:t>
            </w:r>
            <w:r>
              <w:rPr>
                <w:rFonts w:ascii="宋体" w:hAnsi="宋体" w:cs="宋体" w:eastAsia="宋体" w:hint="default"/>
                <w:spacing w:val="-2"/>
                <w:sz w:val="21"/>
                <w:szCs w:val="21"/>
              </w:rPr>
              <w:t>本期减少金额</w:t>
            </w:r>
            <w:r>
              <w:rPr>
                <w:rFonts w:ascii="宋体" w:hAnsi="宋体" w:cs="宋体" w:eastAsia="宋体" w:hint="default"/>
                <w:sz w:val="21"/>
                <w:szCs w:val="21"/>
              </w:rPr>
              <w:t> </w:t>
            </w:r>
          </w:p>
        </w:tc>
        <w:tc>
          <w:tcPr>
            <w:tcW w:w="182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46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34"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处置</w:t>
            </w:r>
            <w:r>
              <w:rPr>
                <w:rFonts w:ascii="宋体" w:hAnsi="宋体" w:cs="宋体" w:eastAsia="宋体" w:hint="default"/>
                <w:sz w:val="21"/>
                <w:szCs w:val="21"/>
              </w:rPr>
              <w:t> </w:t>
            </w:r>
          </w:p>
        </w:tc>
        <w:tc>
          <w:tcPr>
            <w:tcW w:w="182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46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4" w:hRule="exact"/>
        </w:trPr>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734"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其他</w:t>
            </w:r>
            <w:r>
              <w:rPr>
                <w:rFonts w:ascii="宋体" w:hAnsi="宋体" w:cs="宋体" w:eastAsia="宋体" w:hint="default"/>
                <w:sz w:val="21"/>
                <w:szCs w:val="21"/>
              </w:rPr>
              <w:t> </w:t>
            </w:r>
          </w:p>
        </w:tc>
        <w:tc>
          <w:tcPr>
            <w:tcW w:w="182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w w:val="100"/>
                <w:sz w:val="21"/>
              </w:rPr>
              <w:t> </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w w:val="100"/>
                <w:sz w:val="21"/>
              </w:rPr>
              <w:t> </w:t>
            </w:r>
          </w:p>
        </w:tc>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w w:val="100"/>
                <w:sz w:val="21"/>
              </w:rPr>
              <w:t> </w:t>
            </w:r>
          </w:p>
        </w:tc>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w w:val="100"/>
                <w:sz w:val="21"/>
              </w:rPr>
              <w:t> </w:t>
            </w:r>
          </w:p>
        </w:tc>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w w:val="100"/>
                <w:sz w:val="21"/>
              </w:rPr>
              <w:t> </w:t>
            </w:r>
          </w:p>
        </w:tc>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w w:val="100"/>
                <w:sz w:val="21"/>
              </w:rPr>
              <w:t> </w:t>
            </w:r>
          </w:p>
        </w:tc>
        <w:tc>
          <w:tcPr>
            <w:tcW w:w="46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w w:val="100"/>
                <w:sz w:val="21"/>
              </w:rPr>
              <w:t> </w:t>
            </w:r>
          </w:p>
        </w:tc>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w w:val="100"/>
                <w:sz w:val="21"/>
              </w:rPr>
              <w:t> </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2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r>
              <w:rPr>
                <w:rFonts w:ascii="宋体" w:hAnsi="宋体" w:cs="宋体" w:eastAsia="宋体" w:hint="default"/>
                <w:sz w:val="21"/>
                <w:szCs w:val="21"/>
              </w:rPr>
              <w:t> </w:t>
            </w:r>
          </w:p>
        </w:tc>
        <w:tc>
          <w:tcPr>
            <w:tcW w:w="182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46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四、账面价值</w:t>
            </w:r>
            <w:r>
              <w:rPr>
                <w:rFonts w:ascii="宋体" w:hAnsi="宋体" w:cs="宋体" w:eastAsia="宋体" w:hint="default"/>
                <w:sz w:val="21"/>
                <w:szCs w:val="21"/>
              </w:rPr>
              <w:t> </w:t>
            </w:r>
          </w:p>
        </w:tc>
        <w:tc>
          <w:tcPr>
            <w:tcW w:w="182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46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50" w:hRule="exact"/>
        </w:trPr>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期末账面价值</w:t>
            </w:r>
            <w:r>
              <w:rPr>
                <w:rFonts w:ascii="宋体" w:hAnsi="宋体" w:cs="宋体" w:eastAsia="宋体" w:hint="default"/>
                <w:sz w:val="21"/>
                <w:szCs w:val="21"/>
              </w:rPr>
              <w:t> </w:t>
            </w:r>
          </w:p>
        </w:tc>
        <w:tc>
          <w:tcPr>
            <w:tcW w:w="182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27,986,145.65</w:t>
            </w:r>
            <w:r>
              <w:rPr>
                <w:rFonts w:ascii="宋体"/>
                <w:sz w:val="21"/>
              </w:rPr>
              <w:t> </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20,394,779.41</w:t>
            </w:r>
            <w:r>
              <w:rPr>
                <w:rFonts w:ascii="宋体"/>
                <w:sz w:val="21"/>
              </w:rPr>
              <w:t> </w:t>
            </w:r>
          </w:p>
        </w:tc>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46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48,380,925.06</w:t>
            </w:r>
            <w:r>
              <w:rPr>
                <w:rFonts w:ascii="宋体"/>
                <w:sz w:val="21"/>
              </w:rPr>
              <w:t> </w:t>
            </w:r>
          </w:p>
        </w:tc>
      </w:tr>
      <w:tr>
        <w:trPr>
          <w:trHeight w:val="351" w:hRule="exact"/>
        </w:trPr>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期初账面价值</w:t>
            </w:r>
            <w:r>
              <w:rPr>
                <w:rFonts w:ascii="宋体" w:hAnsi="宋体" w:cs="宋体" w:eastAsia="宋体" w:hint="default"/>
                <w:sz w:val="21"/>
                <w:szCs w:val="21"/>
              </w:rPr>
              <w:t> </w:t>
            </w:r>
          </w:p>
        </w:tc>
        <w:tc>
          <w:tcPr>
            <w:tcW w:w="1825"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3"/>
              <w:jc w:val="right"/>
              <w:rPr>
                <w:rFonts w:ascii="宋体" w:hAnsi="宋体" w:cs="宋体" w:eastAsia="宋体" w:hint="default"/>
                <w:sz w:val="21"/>
                <w:szCs w:val="21"/>
              </w:rPr>
            </w:pPr>
            <w:r>
              <w:rPr>
                <w:rFonts w:ascii="宋体"/>
                <w:spacing w:val="-1"/>
                <w:sz w:val="21"/>
              </w:rPr>
              <w:t>52,425,171.13</w:t>
            </w:r>
            <w:r>
              <w:rPr>
                <w:rFonts w:ascii="宋体"/>
                <w:sz w:val="21"/>
              </w:rPr>
              <w:t> </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3"/>
              <w:jc w:val="right"/>
              <w:rPr>
                <w:rFonts w:ascii="宋体" w:hAnsi="宋体" w:cs="宋体" w:eastAsia="宋体" w:hint="default"/>
                <w:sz w:val="21"/>
                <w:szCs w:val="21"/>
              </w:rPr>
            </w:pPr>
            <w:r>
              <w:rPr>
                <w:rFonts w:ascii="宋体"/>
                <w:w w:val="100"/>
                <w:sz w:val="21"/>
              </w:rPr>
              <w:t> </w:t>
            </w:r>
          </w:p>
        </w:tc>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3"/>
              <w:jc w:val="right"/>
              <w:rPr>
                <w:rFonts w:ascii="宋体" w:hAnsi="宋体" w:cs="宋体" w:eastAsia="宋体" w:hint="default"/>
                <w:sz w:val="21"/>
                <w:szCs w:val="21"/>
              </w:rPr>
            </w:pPr>
            <w:r>
              <w:rPr>
                <w:rFonts w:ascii="宋体"/>
                <w:w w:val="100"/>
                <w:sz w:val="21"/>
              </w:rPr>
              <w:t> </w:t>
            </w:r>
          </w:p>
        </w:tc>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3"/>
              <w:jc w:val="right"/>
              <w:rPr>
                <w:rFonts w:ascii="宋体" w:hAnsi="宋体" w:cs="宋体" w:eastAsia="宋体" w:hint="default"/>
                <w:sz w:val="21"/>
                <w:szCs w:val="21"/>
              </w:rPr>
            </w:pPr>
            <w:r>
              <w:rPr>
                <w:rFonts w:ascii="宋体"/>
                <w:w w:val="100"/>
                <w:sz w:val="21"/>
              </w:rPr>
              <w:t> </w:t>
            </w:r>
          </w:p>
        </w:tc>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3"/>
              <w:jc w:val="right"/>
              <w:rPr>
                <w:rFonts w:ascii="宋体" w:hAnsi="宋体" w:cs="宋体" w:eastAsia="宋体" w:hint="default"/>
                <w:sz w:val="21"/>
                <w:szCs w:val="21"/>
              </w:rPr>
            </w:pPr>
            <w:r>
              <w:rPr>
                <w:rFonts w:ascii="宋体"/>
                <w:w w:val="100"/>
                <w:sz w:val="21"/>
              </w:rPr>
              <w:t> </w:t>
            </w:r>
          </w:p>
        </w:tc>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3"/>
              <w:jc w:val="right"/>
              <w:rPr>
                <w:rFonts w:ascii="宋体" w:hAnsi="宋体" w:cs="宋体" w:eastAsia="宋体" w:hint="default"/>
                <w:sz w:val="21"/>
                <w:szCs w:val="21"/>
              </w:rPr>
            </w:pPr>
            <w:r>
              <w:rPr>
                <w:rFonts w:ascii="宋体"/>
                <w:w w:val="100"/>
                <w:sz w:val="21"/>
              </w:rPr>
              <w:t> </w:t>
            </w:r>
          </w:p>
        </w:tc>
        <w:tc>
          <w:tcPr>
            <w:tcW w:w="469"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3"/>
              <w:jc w:val="right"/>
              <w:rPr>
                <w:rFonts w:ascii="宋体" w:hAnsi="宋体" w:cs="宋体" w:eastAsia="宋体" w:hint="default"/>
                <w:sz w:val="21"/>
                <w:szCs w:val="21"/>
              </w:rPr>
            </w:pPr>
            <w:r>
              <w:rPr>
                <w:rFonts w:ascii="宋体"/>
                <w:w w:val="100"/>
                <w:sz w:val="21"/>
              </w:rPr>
              <w:t> </w:t>
            </w:r>
          </w:p>
        </w:tc>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3"/>
              <w:jc w:val="right"/>
              <w:rPr>
                <w:rFonts w:ascii="宋体" w:hAnsi="宋体" w:cs="宋体" w:eastAsia="宋体" w:hint="default"/>
                <w:sz w:val="21"/>
                <w:szCs w:val="21"/>
              </w:rPr>
            </w:pPr>
            <w:r>
              <w:rPr>
                <w:rFonts w:ascii="宋体"/>
                <w:w w:val="100"/>
                <w:sz w:val="21"/>
              </w:rPr>
              <w:t> </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3"/>
              <w:jc w:val="right"/>
              <w:rPr>
                <w:rFonts w:ascii="宋体" w:hAnsi="宋体" w:cs="宋体" w:eastAsia="宋体" w:hint="default"/>
                <w:sz w:val="21"/>
                <w:szCs w:val="21"/>
              </w:rPr>
            </w:pPr>
            <w:r>
              <w:rPr>
                <w:rFonts w:ascii="宋体"/>
                <w:spacing w:val="-1"/>
                <w:sz w:val="21"/>
              </w:rPr>
              <w:t>52,425,171.13</w:t>
            </w:r>
            <w:r>
              <w:rPr>
                <w:rFonts w:ascii="宋体"/>
                <w:sz w:val="21"/>
              </w:rPr>
              <w:t> </w:t>
            </w:r>
          </w:p>
        </w:tc>
      </w:tr>
    </w:tbl>
    <w:p>
      <w:pPr>
        <w:spacing w:after="0" w:line="263" w:lineRule="exact"/>
        <w:jc w:val="right"/>
        <w:rPr>
          <w:rFonts w:ascii="宋体" w:hAnsi="宋体" w:cs="宋体" w:eastAsia="宋体" w:hint="default"/>
          <w:sz w:val="21"/>
          <w:szCs w:val="21"/>
        </w:rPr>
        <w:sectPr>
          <w:pgSz w:w="11910" w:h="16840"/>
          <w:pgMar w:header="0" w:footer="974" w:top="1140" w:bottom="1160" w:left="760" w:right="300"/>
        </w:sectPr>
      </w:pPr>
    </w:p>
    <w:p>
      <w:pPr>
        <w:pStyle w:val="Heading3"/>
        <w:spacing w:line="324" w:lineRule="auto" w:before="0"/>
        <w:ind w:left="516"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(2)</w:t>
      </w:r>
      <w:r>
        <w:rPr>
          <w:rFonts w:ascii="宋体" w:hAnsi="宋体" w:cs="宋体" w:eastAsia="宋体" w:hint="default"/>
          <w:spacing w:val="5"/>
          <w:w w:val="99"/>
        </w:rPr>
        <w:t>.</w:t>
      </w:r>
      <w:r>
        <w:rPr>
          <w:w w:val="100"/>
        </w:rPr>
        <w:t>采用公允价值计量</w:t>
      </w:r>
      <w:r>
        <w:rPr>
          <w:spacing w:val="-3"/>
          <w:w w:val="100"/>
        </w:rPr>
        <w:t>模</w:t>
      </w:r>
      <w:r>
        <w:rPr>
          <w:w w:val="100"/>
        </w:rPr>
        <w:t>式</w:t>
      </w:r>
      <w:r>
        <w:rPr>
          <w:spacing w:val="-3"/>
          <w:w w:val="100"/>
        </w:rPr>
        <w:t>的</w:t>
      </w:r>
      <w:r>
        <w:rPr>
          <w:w w:val="100"/>
        </w:rPr>
        <w:t>生产性生物资</w:t>
      </w:r>
      <w:r>
        <w:rPr>
          <w:spacing w:val="-3"/>
          <w:w w:val="100"/>
        </w:rPr>
        <w:t>产</w:t>
      </w:r>
      <w:r>
        <w:rPr>
          <w:rFonts w:ascii="宋体" w:hAnsi="宋体" w:cs="宋体" w:eastAsia="宋体" w:hint="default"/>
          <w:w w:val="99"/>
        </w:rPr>
        <w:t> </w:t>
      </w:r>
      <w:r>
        <w:rPr>
          <w:rFonts w:ascii="宋体" w:hAnsi="宋体" w:cs="宋体" w:eastAsia="宋体" w:hint="default"/>
          <w:b w:val="0"/>
          <w:bCs w:val="0"/>
        </w:rPr>
      </w:r>
    </w:p>
    <w:p>
      <w:pPr>
        <w:pStyle w:val="Heading2"/>
        <w:spacing w:line="310" w:lineRule="exact"/>
        <w:ind w:left="51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BodyText"/>
        <w:spacing w:line="240" w:lineRule="auto" w:before="25"/>
        <w:ind w:left="516" w:right="0"/>
        <w:jc w:val="left"/>
        <w:rPr>
          <w:rFonts w:ascii="宋体" w:hAnsi="宋体" w:cs="宋体" w:eastAsia="宋体" w:hint="default"/>
        </w:rPr>
      </w:pPr>
      <w:r>
        <w:rPr/>
        <w:t>其他说明</w:t>
      </w:r>
      <w:r>
        <w:rPr>
          <w:rFonts w:ascii="宋体" w:hAnsi="宋体" w:cs="宋体" w:eastAsia="宋体" w:hint="default"/>
        </w:rPr>
        <w:t> </w:t>
      </w:r>
    </w:p>
    <w:p>
      <w:pPr>
        <w:pStyle w:val="BodyText"/>
        <w:spacing w:line="240" w:lineRule="auto" w:before="37"/>
        <w:ind w:left="5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left="516" w:right="0"/>
        <w:jc w:val="left"/>
        <w:rPr>
          <w:rFonts w:ascii="宋体" w:hAnsi="宋体" w:cs="宋体" w:eastAsia="宋体" w:hint="default"/>
        </w:rPr>
      </w:pPr>
      <w:r>
        <w:rPr>
          <w:rFonts w:ascii="宋体"/>
          <w:w w:val="100"/>
        </w:rPr>
        <w:t> </w:t>
      </w:r>
    </w:p>
    <w:p>
      <w:pPr>
        <w:pStyle w:val="Heading3"/>
        <w:spacing w:line="240" w:lineRule="auto"/>
        <w:ind w:left="516" w:right="0"/>
        <w:jc w:val="left"/>
        <w:rPr>
          <w:rFonts w:ascii="宋体" w:hAnsi="宋体" w:cs="宋体" w:eastAsia="宋体" w:hint="default"/>
          <w:b w:val="0"/>
          <w:bCs w:val="0"/>
        </w:rPr>
      </w:pPr>
      <w:r>
        <w:rPr>
          <w:rFonts w:ascii="宋体" w:hAnsi="宋体" w:cs="宋体" w:eastAsia="宋体" w:hint="default"/>
        </w:rPr>
        <w:t>23</w:t>
      </w:r>
      <w:r>
        <w:rPr/>
        <w:t>、</w:t>
      </w:r>
      <w:r>
        <w:rPr>
          <w:spacing w:val="-27"/>
        </w:rPr>
        <w:t> </w:t>
      </w:r>
      <w:r>
        <w:rPr/>
        <w:t>油气资产</w:t>
      </w:r>
      <w:r>
        <w:rPr>
          <w:rFonts w:ascii="宋体" w:hAnsi="宋体" w:cs="宋体" w:eastAsia="宋体" w:hint="default"/>
          <w:w w:val="99"/>
        </w:rPr>
        <w:t> </w:t>
      </w:r>
      <w:r>
        <w:rPr>
          <w:rFonts w:ascii="宋体" w:hAnsi="宋体" w:cs="宋体" w:eastAsia="宋体" w:hint="default"/>
          <w:b w:val="0"/>
          <w:bCs w:val="0"/>
        </w:rPr>
      </w:r>
    </w:p>
    <w:p>
      <w:pPr>
        <w:pStyle w:val="Heading2"/>
        <w:spacing w:line="240" w:lineRule="auto" w:before="69"/>
        <w:ind w:left="51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BodyText"/>
        <w:spacing w:line="240" w:lineRule="auto" w:before="25"/>
        <w:ind w:left="516" w:right="0"/>
        <w:jc w:val="left"/>
        <w:rPr>
          <w:rFonts w:ascii="宋体" w:hAnsi="宋体" w:cs="宋体" w:eastAsia="宋体" w:hint="default"/>
        </w:rPr>
      </w:pPr>
      <w:r>
        <w:rPr>
          <w:rFonts w:ascii="宋体"/>
          <w:w w:val="100"/>
        </w:rPr>
        <w:t> </w:t>
      </w:r>
    </w:p>
    <w:p>
      <w:pPr>
        <w:pStyle w:val="Heading3"/>
        <w:spacing w:line="240" w:lineRule="auto"/>
        <w:ind w:left="516" w:right="0"/>
        <w:jc w:val="left"/>
        <w:rPr>
          <w:b w:val="0"/>
          <w:bCs w:val="0"/>
        </w:rPr>
      </w:pPr>
      <w:r>
        <w:rPr>
          <w:rFonts w:ascii="宋体" w:hAnsi="宋体" w:cs="宋体" w:eastAsia="宋体" w:hint="default"/>
        </w:rPr>
        <w:t>24</w:t>
      </w:r>
      <w:r>
        <w:rPr/>
        <w:t>、</w:t>
      </w:r>
      <w:r>
        <w:rPr>
          <w:spacing w:val="-24"/>
        </w:rPr>
        <w:t> </w:t>
      </w:r>
      <w:r>
        <w:rPr/>
        <w:t>使用权资产</w:t>
      </w:r>
      <w:r>
        <w:rPr>
          <w:b w:val="0"/>
          <w:bCs w:val="0"/>
        </w:rPr>
      </w:r>
    </w:p>
    <w:p>
      <w:pPr>
        <w:pStyle w:val="Heading2"/>
        <w:spacing w:line="240" w:lineRule="auto" w:before="69"/>
        <w:ind w:left="51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BodyText"/>
        <w:spacing w:line="240" w:lineRule="auto" w:before="25"/>
        <w:ind w:left="516" w:right="0"/>
        <w:jc w:val="left"/>
        <w:rPr>
          <w:rFonts w:ascii="宋体" w:hAnsi="宋体" w:cs="宋体" w:eastAsia="宋体" w:hint="default"/>
        </w:rPr>
      </w:pPr>
      <w:r>
        <w:rPr>
          <w:rFonts w:ascii="宋体"/>
          <w:w w:val="100"/>
        </w:rPr>
        <w:t> </w:t>
      </w:r>
    </w:p>
    <w:p>
      <w:pPr>
        <w:pStyle w:val="Heading3"/>
        <w:spacing w:line="324" w:lineRule="auto"/>
        <w:ind w:left="516" w:right="1315"/>
        <w:jc w:val="left"/>
        <w:rPr>
          <w:rFonts w:ascii="宋体" w:hAnsi="宋体" w:cs="宋体" w:eastAsia="宋体" w:hint="default"/>
          <w:b w:val="0"/>
          <w:bCs w:val="0"/>
        </w:rPr>
      </w:pPr>
      <w:r>
        <w:rPr>
          <w:rFonts w:ascii="宋体" w:hAnsi="宋体" w:cs="宋体" w:eastAsia="宋体" w:hint="default"/>
        </w:rPr>
        <w:t>25</w:t>
      </w:r>
      <w:r>
        <w:rPr/>
        <w:t>、</w:t>
      </w:r>
      <w:r>
        <w:rPr>
          <w:spacing w:val="-26"/>
        </w:rPr>
        <w:t> </w:t>
      </w:r>
      <w:r>
        <w:rPr/>
        <w:t>无形资产</w:t>
      </w:r>
      <w:r>
        <w:rPr>
          <w:rFonts w:ascii="宋体" w:hAnsi="宋体" w:cs="宋体" w:eastAsia="宋体" w:hint="default"/>
          <w:w w:val="99"/>
        </w:rPr>
        <w:t> </w:t>
      </w:r>
      <w:r>
        <w:rPr>
          <w:rFonts w:ascii="宋体" w:hAnsi="宋体" w:cs="宋体" w:eastAsia="宋体" w:hint="default"/>
        </w:rPr>
        <w:t>(1).</w:t>
      </w:r>
      <w:r>
        <w:rPr/>
        <w:t>无形资产情况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2"/>
        <w:ind w:left="516"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73"/>
        <w:ind w:left="51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580" w:bottom="280" w:left="760" w:right="300"/>
          <w:cols w:num="2" w:equalWidth="0">
            <w:col w:w="4846" w:space="1677"/>
            <w:col w:w="4327"/>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189"/>
        <w:gridCol w:w="1688"/>
        <w:gridCol w:w="1582"/>
        <w:gridCol w:w="924"/>
        <w:gridCol w:w="1582"/>
        <w:gridCol w:w="1685"/>
      </w:tblGrid>
      <w:tr>
        <w:trPr>
          <w:trHeight w:val="634" w:hRule="exact"/>
        </w:trPr>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98"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312" w:right="0"/>
              <w:jc w:val="left"/>
              <w:rPr>
                <w:rFonts w:ascii="宋体" w:hAnsi="宋体" w:cs="宋体" w:eastAsia="宋体" w:hint="default"/>
                <w:sz w:val="21"/>
                <w:szCs w:val="21"/>
              </w:rPr>
            </w:pPr>
            <w:r>
              <w:rPr>
                <w:rFonts w:ascii="宋体" w:hAnsi="宋体" w:cs="宋体" w:eastAsia="宋体" w:hint="default"/>
                <w:sz w:val="21"/>
                <w:szCs w:val="21"/>
              </w:rPr>
              <w:t>土地使用权</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470" w:right="0"/>
              <w:jc w:val="left"/>
              <w:rPr>
                <w:rFonts w:ascii="宋体" w:hAnsi="宋体" w:cs="宋体" w:eastAsia="宋体" w:hint="default"/>
                <w:sz w:val="21"/>
                <w:szCs w:val="21"/>
              </w:rPr>
            </w:pPr>
            <w:r>
              <w:rPr>
                <w:rFonts w:ascii="宋体" w:hAnsi="宋体" w:cs="宋体" w:eastAsia="宋体" w:hint="default"/>
                <w:sz w:val="21"/>
                <w:szCs w:val="21"/>
              </w:rPr>
              <w:t>专利权</w:t>
            </w:r>
            <w:r>
              <w:rPr>
                <w:rFonts w:ascii="宋体" w:hAnsi="宋体" w:cs="宋体" w:eastAsia="宋体" w:hint="default"/>
                <w:sz w:val="21"/>
                <w:szCs w:val="21"/>
              </w:rPr>
              <w:t> </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5" w:right="139" w:hanging="106"/>
              <w:jc w:val="left"/>
              <w:rPr>
                <w:rFonts w:ascii="宋体" w:hAnsi="宋体" w:cs="宋体" w:eastAsia="宋体" w:hint="default"/>
                <w:sz w:val="21"/>
                <w:szCs w:val="21"/>
              </w:rPr>
            </w:pPr>
            <w:r>
              <w:rPr>
                <w:rFonts w:ascii="宋体" w:hAnsi="宋体" w:cs="宋体" w:eastAsia="宋体" w:hint="default"/>
                <w:sz w:val="21"/>
                <w:szCs w:val="21"/>
              </w:rPr>
              <w:t>非专利</w:t>
            </w:r>
            <w:r>
              <w:rPr>
                <w:rFonts w:ascii="宋体" w:hAnsi="宋体" w:cs="宋体" w:eastAsia="宋体" w:hint="default"/>
                <w:spacing w:val="-102"/>
                <w:sz w:val="21"/>
                <w:szCs w:val="21"/>
              </w:rPr>
              <w:t> </w:t>
            </w:r>
            <w:r>
              <w:rPr>
                <w:rFonts w:ascii="宋体" w:hAnsi="宋体" w:cs="宋体" w:eastAsia="宋体" w:hint="default"/>
                <w:sz w:val="21"/>
                <w:szCs w:val="21"/>
              </w:rPr>
              <w:t>技术</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573" w:right="0"/>
              <w:jc w:val="left"/>
              <w:rPr>
                <w:rFonts w:ascii="宋体" w:hAnsi="宋体" w:cs="宋体" w:eastAsia="宋体" w:hint="default"/>
                <w:sz w:val="21"/>
                <w:szCs w:val="21"/>
              </w:rPr>
            </w:pPr>
            <w:r>
              <w:rPr>
                <w:rFonts w:ascii="宋体" w:hAnsi="宋体" w:cs="宋体" w:eastAsia="宋体" w:hint="default"/>
                <w:sz w:val="21"/>
                <w:szCs w:val="21"/>
              </w:rPr>
              <w:t>软件</w:t>
            </w:r>
            <w:r>
              <w:rPr>
                <w:rFonts w:ascii="宋体" w:hAnsi="宋体" w:cs="宋体" w:eastAsia="宋体" w:hint="default"/>
                <w:sz w:val="21"/>
                <w:szCs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626"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r>
      <w:tr>
        <w:trPr>
          <w:trHeight w:val="350" w:hRule="exact"/>
        </w:trPr>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0" w:right="0"/>
              <w:jc w:val="left"/>
              <w:rPr>
                <w:rFonts w:ascii="宋体" w:hAnsi="宋体" w:cs="宋体" w:eastAsia="宋体" w:hint="default"/>
                <w:sz w:val="21"/>
                <w:szCs w:val="21"/>
              </w:rPr>
            </w:pPr>
            <w:r>
              <w:rPr>
                <w:rFonts w:ascii="宋体" w:hAnsi="宋体" w:cs="宋体" w:eastAsia="宋体" w:hint="default"/>
                <w:sz w:val="21"/>
                <w:szCs w:val="21"/>
              </w:rPr>
              <w:t>一、账面原值</w:t>
            </w:r>
            <w:r>
              <w:rPr>
                <w:rFonts w:ascii="宋体" w:hAnsi="宋体" w:cs="宋体" w:eastAsia="宋体" w:hint="default"/>
                <w:sz w:val="21"/>
                <w:szCs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w w:val="100"/>
                <w:sz w:val="21"/>
              </w:rPr>
              <w:t> </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0" w:right="0"/>
              <w:jc w:val="lef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0" w:right="0"/>
              <w:jc w:val="left"/>
              <w:rPr>
                <w:rFonts w:ascii="宋体" w:hAnsi="宋体" w:cs="宋体" w:eastAsia="宋体" w:hint="default"/>
                <w:sz w:val="21"/>
                <w:szCs w:val="21"/>
              </w:rPr>
            </w:pPr>
            <w:r>
              <w:rPr>
                <w:rFonts w:ascii="宋体"/>
                <w:w w:val="100"/>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0" w:right="0"/>
              <w:jc w:val="left"/>
              <w:rPr>
                <w:rFonts w:ascii="宋体" w:hAnsi="宋体" w:cs="宋体" w:eastAsia="宋体" w:hint="default"/>
                <w:sz w:val="21"/>
                <w:szCs w:val="21"/>
              </w:rPr>
            </w:pPr>
            <w:r>
              <w:rPr>
                <w:rFonts w:ascii="宋体"/>
                <w:w w:val="100"/>
                <w:sz w:val="21"/>
              </w:rPr>
              <w:t> </w:t>
            </w:r>
          </w:p>
        </w:tc>
      </w:tr>
      <w:tr>
        <w:trPr>
          <w:trHeight w:val="350" w:hRule="exact"/>
        </w:trPr>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0"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1.</w:t>
            </w:r>
            <w:r>
              <w:rPr>
                <w:rFonts w:ascii="宋体" w:hAnsi="宋体" w:cs="宋体" w:eastAsia="宋体" w:hint="default"/>
                <w:sz w:val="21"/>
                <w:szCs w:val="21"/>
              </w:rPr>
              <w:t>期初余额</w:t>
            </w:r>
            <w:r>
              <w:rPr>
                <w:rFonts w:ascii="宋体" w:hAnsi="宋体" w:cs="宋体" w:eastAsia="宋体" w:hint="default"/>
                <w:sz w:val="21"/>
                <w:szCs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spacing w:val="-1"/>
                <w:sz w:val="21"/>
              </w:rPr>
              <w:t>126,509,314.51</w:t>
            </w:r>
            <w:r>
              <w:rPr>
                <w:rFonts w:ascii="宋体"/>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spacing w:val="-1"/>
                <w:sz w:val="21"/>
              </w:rPr>
              <w:t>10,714,319.82</w:t>
            </w:r>
            <w:r>
              <w:rPr>
                <w:rFonts w:ascii="宋体"/>
                <w:sz w:val="21"/>
              </w:rPr>
              <w:t> </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
              <w:jc w:val="right"/>
              <w:rPr>
                <w:rFonts w:ascii="宋体" w:hAnsi="宋体" w:cs="宋体" w:eastAsia="宋体" w:hint="default"/>
                <w:sz w:val="21"/>
                <w:szCs w:val="21"/>
              </w:rPr>
            </w:pPr>
            <w:r>
              <w:rPr>
                <w:rFonts w:ascii="宋体"/>
                <w:spacing w:val="-1"/>
                <w:sz w:val="21"/>
              </w:rPr>
              <w:t>18,928,013.16</w:t>
            </w:r>
            <w:r>
              <w:rPr>
                <w:rFonts w:ascii="宋体"/>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spacing w:val="-1"/>
                <w:sz w:val="21"/>
              </w:rPr>
              <w:t>156,151,647.49</w:t>
            </w:r>
            <w:r>
              <w:rPr>
                <w:rFonts w:ascii="宋体"/>
                <w:sz w:val="21"/>
              </w:rPr>
              <w:t> </w:t>
            </w:r>
          </w:p>
        </w:tc>
      </w:tr>
      <w:tr>
        <w:trPr>
          <w:trHeight w:val="349" w:hRule="exact"/>
        </w:trPr>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79"/>
              <w:jc w:val="right"/>
              <w:rPr>
                <w:rFonts w:ascii="宋体" w:hAnsi="宋体" w:cs="宋体" w:eastAsia="宋体" w:hint="default"/>
                <w:sz w:val="21"/>
                <w:szCs w:val="21"/>
              </w:rPr>
            </w:pPr>
            <w:r>
              <w:rPr>
                <w:rFonts w:ascii="宋体" w:hAnsi="宋体" w:cs="宋体" w:eastAsia="宋体" w:hint="default"/>
                <w:spacing w:val="-2"/>
                <w:sz w:val="21"/>
                <w:szCs w:val="21"/>
              </w:rPr>
              <w:t>2.</w:t>
            </w:r>
            <w:r>
              <w:rPr>
                <w:rFonts w:ascii="宋体" w:hAnsi="宋体" w:cs="宋体" w:eastAsia="宋体" w:hint="default"/>
                <w:spacing w:val="-2"/>
                <w:sz w:val="21"/>
                <w:szCs w:val="21"/>
              </w:rPr>
              <w:t>本期增加金额</w:t>
            </w:r>
            <w:r>
              <w:rPr>
                <w:rFonts w:ascii="宋体" w:hAnsi="宋体" w:cs="宋体" w:eastAsia="宋体" w:hint="default"/>
                <w:sz w:val="21"/>
                <w:szCs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spacing w:val="-1"/>
                <w:sz w:val="21"/>
              </w:rPr>
              <w:t>6,254,801.43</w:t>
            </w:r>
            <w:r>
              <w:rPr>
                <w:rFonts w:ascii="宋体"/>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w w:val="100"/>
                <w:sz w:val="21"/>
              </w:rPr>
              <w:t> </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
              <w:jc w:val="right"/>
              <w:rPr>
                <w:rFonts w:ascii="宋体" w:hAnsi="宋体" w:cs="宋体" w:eastAsia="宋体" w:hint="default"/>
                <w:sz w:val="21"/>
                <w:szCs w:val="21"/>
              </w:rPr>
            </w:pPr>
            <w:r>
              <w:rPr>
                <w:rFonts w:ascii="宋体"/>
                <w:spacing w:val="-1"/>
                <w:sz w:val="21"/>
              </w:rPr>
              <w:t>2,061,452.55</w:t>
            </w:r>
            <w:r>
              <w:rPr>
                <w:rFonts w:ascii="宋体"/>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spacing w:val="-1"/>
                <w:sz w:val="21"/>
              </w:rPr>
              <w:t>8,316,253.98</w:t>
            </w:r>
            <w:r>
              <w:rPr>
                <w:rFonts w:ascii="宋体"/>
                <w:sz w:val="21"/>
              </w:rPr>
              <w:t> </w:t>
            </w:r>
          </w:p>
        </w:tc>
      </w:tr>
      <w:tr>
        <w:trPr>
          <w:trHeight w:val="350" w:hRule="exact"/>
        </w:trPr>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732"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购置</w:t>
            </w:r>
            <w:r>
              <w:rPr>
                <w:rFonts w:ascii="宋体" w:hAnsi="宋体" w:cs="宋体" w:eastAsia="宋体" w:hint="default"/>
                <w:sz w:val="21"/>
                <w:szCs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spacing w:val="-1"/>
                <w:sz w:val="21"/>
              </w:rPr>
              <w:t>6,254,801.43</w:t>
            </w:r>
            <w:r>
              <w:rPr>
                <w:rFonts w:ascii="宋体"/>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w w:val="100"/>
                <w:sz w:val="21"/>
              </w:rPr>
              <w:t> </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
              <w:jc w:val="right"/>
              <w:rPr>
                <w:rFonts w:ascii="宋体" w:hAnsi="宋体" w:cs="宋体" w:eastAsia="宋体" w:hint="default"/>
                <w:sz w:val="21"/>
                <w:szCs w:val="21"/>
              </w:rPr>
            </w:pPr>
            <w:r>
              <w:rPr>
                <w:rFonts w:ascii="宋体"/>
                <w:spacing w:val="-1"/>
                <w:sz w:val="21"/>
              </w:rPr>
              <w:t>2,061,452.55</w:t>
            </w:r>
            <w:r>
              <w:rPr>
                <w:rFonts w:ascii="宋体"/>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spacing w:val="-1"/>
                <w:sz w:val="21"/>
              </w:rPr>
              <w:t>8,316,253.98</w:t>
            </w:r>
            <w:r>
              <w:rPr>
                <w:rFonts w:ascii="宋体"/>
                <w:sz w:val="21"/>
              </w:rPr>
              <w:t> </w:t>
            </w:r>
          </w:p>
        </w:tc>
      </w:tr>
      <w:tr>
        <w:trPr>
          <w:trHeight w:val="634" w:hRule="exact"/>
        </w:trPr>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85"/>
              <w:jc w:val="right"/>
              <w:rPr>
                <w:rFonts w:ascii="宋体" w:hAnsi="宋体" w:cs="宋体" w:eastAsia="宋体" w:hint="default"/>
                <w:sz w:val="21"/>
                <w:szCs w:val="21"/>
              </w:rPr>
            </w:pPr>
            <w:r>
              <w:rPr>
                <w:rFonts w:ascii="宋体" w:hAnsi="宋体" w:cs="宋体" w:eastAsia="宋体" w:hint="default"/>
                <w:spacing w:val="-2"/>
                <w:sz w:val="21"/>
                <w:szCs w:val="21"/>
              </w:rPr>
              <w:t>(2)</w:t>
            </w:r>
            <w:r>
              <w:rPr>
                <w:rFonts w:ascii="宋体" w:hAnsi="宋体" w:cs="宋体" w:eastAsia="宋体" w:hint="default"/>
                <w:spacing w:val="-2"/>
                <w:sz w:val="21"/>
                <w:szCs w:val="21"/>
              </w:rPr>
              <w:t>内部研发</w:t>
            </w:r>
            <w:r>
              <w:rPr>
                <w:rFonts w:ascii="宋体" w:hAnsi="宋体" w:cs="宋体" w:eastAsia="宋体" w:hint="default"/>
                <w:sz w:val="21"/>
                <w:szCs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3"/>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3"/>
              <w:jc w:val="right"/>
              <w:rPr>
                <w:rFonts w:ascii="宋体" w:hAnsi="宋体" w:cs="宋体" w:eastAsia="宋体" w:hint="default"/>
                <w:sz w:val="21"/>
                <w:szCs w:val="21"/>
              </w:rPr>
            </w:pPr>
            <w:r>
              <w:rPr>
                <w:rFonts w:ascii="宋体"/>
                <w:w w:val="100"/>
                <w:sz w:val="21"/>
              </w:rPr>
              <w:t> </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
              <w:jc w:val="right"/>
              <w:rPr>
                <w:rFonts w:ascii="宋体" w:hAnsi="宋体" w:cs="宋体" w:eastAsia="宋体" w:hint="default"/>
                <w:sz w:val="21"/>
                <w:szCs w:val="21"/>
              </w:rPr>
            </w:pPr>
            <w:r>
              <w:rPr>
                <w:rFonts w:ascii="宋体"/>
                <w:w w:val="100"/>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p>
            <w:pPr>
              <w:pStyle w:val="TableParagraph"/>
              <w:spacing w:line="240" w:lineRule="auto" w:before="37"/>
              <w:ind w:left="101" w:right="0"/>
              <w:jc w:val="center"/>
              <w:rPr>
                <w:rFonts w:ascii="宋体" w:hAnsi="宋体" w:cs="宋体" w:eastAsia="宋体" w:hint="default"/>
                <w:sz w:val="21"/>
                <w:szCs w:val="21"/>
              </w:rPr>
            </w:pPr>
            <w:r>
              <w:rPr>
                <w:rFonts w:ascii="宋体"/>
                <w:w w:val="100"/>
                <w:sz w:val="21"/>
              </w:rPr>
              <w:t> </w:t>
            </w:r>
          </w:p>
        </w:tc>
      </w:tr>
      <w:tr>
        <w:trPr>
          <w:trHeight w:val="636" w:hRule="exact"/>
        </w:trPr>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732"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企业合并</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z w:val="21"/>
                <w:szCs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3"/>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3"/>
              <w:jc w:val="right"/>
              <w:rPr>
                <w:rFonts w:ascii="宋体" w:hAnsi="宋体" w:cs="宋体" w:eastAsia="宋体" w:hint="default"/>
                <w:sz w:val="21"/>
                <w:szCs w:val="21"/>
              </w:rPr>
            </w:pPr>
            <w:r>
              <w:rPr>
                <w:rFonts w:ascii="宋体"/>
                <w:w w:val="100"/>
                <w:sz w:val="21"/>
              </w:rPr>
              <w:t> </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
              <w:jc w:val="right"/>
              <w:rPr>
                <w:rFonts w:ascii="宋体" w:hAnsi="宋体" w:cs="宋体" w:eastAsia="宋体" w:hint="default"/>
                <w:sz w:val="21"/>
                <w:szCs w:val="21"/>
              </w:rPr>
            </w:pPr>
            <w:r>
              <w:rPr>
                <w:rFonts w:ascii="宋体"/>
                <w:w w:val="100"/>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3"/>
              <w:jc w:val="right"/>
              <w:rPr>
                <w:rFonts w:ascii="宋体" w:hAnsi="宋体" w:cs="宋体" w:eastAsia="宋体" w:hint="default"/>
                <w:sz w:val="21"/>
                <w:szCs w:val="21"/>
              </w:rPr>
            </w:pPr>
            <w:r>
              <w:rPr>
                <w:rFonts w:ascii="宋体"/>
                <w:w w:val="100"/>
                <w:sz w:val="21"/>
              </w:rPr>
              <w:t> </w:t>
            </w:r>
          </w:p>
        </w:tc>
      </w:tr>
      <w:tr>
        <w:trPr>
          <w:trHeight w:val="348" w:hRule="exact"/>
        </w:trPr>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0"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3.</w:t>
            </w:r>
            <w:r>
              <w:rPr>
                <w:rFonts w:ascii="宋体" w:hAnsi="宋体" w:cs="宋体" w:eastAsia="宋体" w:hint="default"/>
                <w:sz w:val="21"/>
                <w:szCs w:val="21"/>
              </w:rPr>
              <w:t>本期减少金额</w:t>
            </w:r>
            <w:r>
              <w:rPr>
                <w:rFonts w:ascii="宋体" w:hAnsi="宋体" w:cs="宋体" w:eastAsia="宋体" w:hint="default"/>
                <w:sz w:val="21"/>
                <w:szCs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spacing w:val="-1"/>
                <w:sz w:val="21"/>
              </w:rPr>
              <w:t>10,514,319.82</w:t>
            </w:r>
            <w:r>
              <w:rPr>
                <w:rFonts w:ascii="宋体"/>
                <w:sz w:val="21"/>
              </w:rPr>
              <w:t> </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
              <w:jc w:val="right"/>
              <w:rPr>
                <w:rFonts w:ascii="宋体" w:hAnsi="宋体" w:cs="宋体" w:eastAsia="宋体" w:hint="default"/>
                <w:sz w:val="21"/>
                <w:szCs w:val="21"/>
              </w:rPr>
            </w:pPr>
            <w:r>
              <w:rPr>
                <w:rFonts w:ascii="宋体"/>
                <w:spacing w:val="-1"/>
                <w:sz w:val="21"/>
              </w:rPr>
              <w:t>10,019.47</w:t>
            </w:r>
            <w:r>
              <w:rPr>
                <w:rFonts w:ascii="宋体"/>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spacing w:val="-1"/>
                <w:sz w:val="21"/>
              </w:rPr>
              <w:t>10,524,339.29</w:t>
            </w:r>
            <w:r>
              <w:rPr>
                <w:rFonts w:ascii="宋体"/>
                <w:sz w:val="21"/>
              </w:rPr>
              <w:t> </w:t>
            </w:r>
          </w:p>
        </w:tc>
      </w:tr>
      <w:tr>
        <w:trPr>
          <w:trHeight w:val="350" w:hRule="exact"/>
        </w:trPr>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732"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处置</w:t>
            </w:r>
            <w:r>
              <w:rPr>
                <w:rFonts w:ascii="宋体" w:hAnsi="宋体" w:cs="宋体" w:eastAsia="宋体" w:hint="default"/>
                <w:sz w:val="21"/>
                <w:szCs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spacing w:val="-1"/>
                <w:sz w:val="21"/>
              </w:rPr>
              <w:t>10,514,319.82</w:t>
            </w:r>
            <w:r>
              <w:rPr>
                <w:rFonts w:ascii="宋体"/>
                <w:sz w:val="21"/>
              </w:rPr>
              <w:t> </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
              <w:jc w:val="right"/>
              <w:rPr>
                <w:rFonts w:ascii="宋体" w:hAnsi="宋体" w:cs="宋体" w:eastAsia="宋体" w:hint="default"/>
                <w:sz w:val="21"/>
                <w:szCs w:val="21"/>
              </w:rPr>
            </w:pPr>
            <w:r>
              <w:rPr>
                <w:rFonts w:ascii="宋体"/>
                <w:spacing w:val="-1"/>
                <w:sz w:val="21"/>
              </w:rPr>
              <w:t>10,019.47</w:t>
            </w:r>
            <w:r>
              <w:rPr>
                <w:rFonts w:ascii="宋体"/>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spacing w:val="-1"/>
                <w:sz w:val="21"/>
              </w:rPr>
              <w:t>10,524,339.29</w:t>
            </w:r>
            <w:r>
              <w:rPr>
                <w:rFonts w:ascii="宋体"/>
                <w:sz w:val="21"/>
              </w:rPr>
              <w:t> </w:t>
            </w:r>
          </w:p>
        </w:tc>
      </w:tr>
      <w:tr>
        <w:trPr>
          <w:trHeight w:val="350" w:hRule="exact"/>
        </w:trPr>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0"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4.</w:t>
            </w:r>
            <w:r>
              <w:rPr>
                <w:rFonts w:ascii="宋体" w:hAnsi="宋体" w:cs="宋体" w:eastAsia="宋体" w:hint="default"/>
                <w:sz w:val="21"/>
                <w:szCs w:val="21"/>
              </w:rPr>
              <w:t>期末余额</w:t>
            </w:r>
            <w:r>
              <w:rPr>
                <w:rFonts w:ascii="宋体" w:hAnsi="宋体" w:cs="宋体" w:eastAsia="宋体" w:hint="default"/>
                <w:sz w:val="21"/>
                <w:szCs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spacing w:val="-1"/>
                <w:sz w:val="21"/>
              </w:rPr>
              <w:t>132,764,115.94</w:t>
            </w:r>
            <w:r>
              <w:rPr>
                <w:rFonts w:ascii="宋体"/>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spacing w:val="-1"/>
                <w:sz w:val="21"/>
              </w:rPr>
              <w:t>200,000.00</w:t>
            </w:r>
            <w:r>
              <w:rPr>
                <w:rFonts w:ascii="宋体"/>
                <w:sz w:val="21"/>
              </w:rPr>
              <w:t> </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
              <w:jc w:val="right"/>
              <w:rPr>
                <w:rFonts w:ascii="宋体" w:hAnsi="宋体" w:cs="宋体" w:eastAsia="宋体" w:hint="default"/>
                <w:sz w:val="21"/>
                <w:szCs w:val="21"/>
              </w:rPr>
            </w:pPr>
            <w:r>
              <w:rPr>
                <w:rFonts w:ascii="宋体"/>
                <w:spacing w:val="-1"/>
                <w:sz w:val="21"/>
              </w:rPr>
              <w:t>20,979,446.24</w:t>
            </w:r>
            <w:r>
              <w:rPr>
                <w:rFonts w:ascii="宋体"/>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spacing w:val="-1"/>
                <w:sz w:val="21"/>
              </w:rPr>
              <w:t>153,943,562.18</w:t>
            </w:r>
            <w:r>
              <w:rPr>
                <w:rFonts w:ascii="宋体"/>
                <w:sz w:val="21"/>
              </w:rPr>
              <w:t> </w:t>
            </w:r>
          </w:p>
        </w:tc>
      </w:tr>
    </w:tbl>
    <w:p>
      <w:pPr>
        <w:spacing w:after="0" w:line="240" w:lineRule="auto"/>
        <w:jc w:val="right"/>
        <w:rPr>
          <w:rFonts w:ascii="宋体" w:hAnsi="宋体" w:cs="宋体" w:eastAsia="宋体" w:hint="default"/>
          <w:sz w:val="21"/>
          <w:szCs w:val="21"/>
        </w:rPr>
        <w:sectPr>
          <w:type w:val="continuous"/>
          <w:pgSz w:w="11910" w:h="16840"/>
          <w:pgMar w:top="1580" w:bottom="280" w:left="760" w:right="300"/>
        </w:sectPr>
      </w:pPr>
    </w:p>
    <w:p>
      <w:pPr>
        <w:spacing w:line="240" w:lineRule="auto" w:before="11"/>
        <w:rPr>
          <w:rFonts w:ascii="宋体" w:hAnsi="宋体" w:cs="宋体" w:eastAsia="宋体" w:hint="default"/>
          <w:sz w:val="22"/>
          <w:szCs w:val="22"/>
        </w:rPr>
      </w:pPr>
    </w:p>
    <w:tbl>
      <w:tblPr>
        <w:tblW w:w="0" w:type="auto"/>
        <w:jc w:val="left"/>
        <w:tblInd w:w="103" w:type="dxa"/>
        <w:tblLayout w:type="fixed"/>
        <w:tblCellMar>
          <w:top w:w="0" w:type="dxa"/>
          <w:left w:w="0" w:type="dxa"/>
          <w:bottom w:w="0" w:type="dxa"/>
          <w:right w:w="0" w:type="dxa"/>
        </w:tblCellMar>
        <w:tblLook w:val="01E0"/>
      </w:tblPr>
      <w:tblGrid>
        <w:gridCol w:w="2189"/>
        <w:gridCol w:w="1688"/>
        <w:gridCol w:w="1582"/>
        <w:gridCol w:w="924"/>
        <w:gridCol w:w="1582"/>
        <w:gridCol w:w="1685"/>
      </w:tblGrid>
      <w:tr>
        <w:trPr>
          <w:trHeight w:val="351" w:hRule="exact"/>
        </w:trPr>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0" w:right="0"/>
              <w:jc w:val="left"/>
              <w:rPr>
                <w:rFonts w:ascii="宋体" w:hAnsi="宋体" w:cs="宋体" w:eastAsia="宋体" w:hint="default"/>
                <w:sz w:val="21"/>
                <w:szCs w:val="21"/>
              </w:rPr>
            </w:pPr>
            <w:r>
              <w:rPr>
                <w:rFonts w:ascii="宋体" w:hAnsi="宋体" w:cs="宋体" w:eastAsia="宋体" w:hint="default"/>
                <w:sz w:val="21"/>
                <w:szCs w:val="21"/>
              </w:rPr>
              <w:t>二、累计摊销</w:t>
            </w:r>
            <w:r>
              <w:rPr>
                <w:rFonts w:ascii="宋体" w:hAnsi="宋体" w:cs="宋体" w:eastAsia="宋体" w:hint="default"/>
                <w:sz w:val="21"/>
                <w:szCs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w w:val="100"/>
                <w:sz w:val="21"/>
              </w:rPr>
              <w:t> </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
              <w:jc w:val="right"/>
              <w:rPr>
                <w:rFonts w:ascii="宋体" w:hAnsi="宋体" w:cs="宋体" w:eastAsia="宋体" w:hint="default"/>
                <w:sz w:val="21"/>
                <w:szCs w:val="21"/>
              </w:rPr>
            </w:pPr>
            <w:r>
              <w:rPr>
                <w:rFonts w:ascii="宋体"/>
                <w:w w:val="100"/>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w w:val="100"/>
                <w:sz w:val="21"/>
              </w:rPr>
              <w:t> </w:t>
            </w:r>
          </w:p>
        </w:tc>
      </w:tr>
      <w:tr>
        <w:trPr>
          <w:trHeight w:val="350" w:hRule="exact"/>
        </w:trPr>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521"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r>
              <w:rPr>
                <w:rFonts w:ascii="宋体" w:hAnsi="宋体" w:cs="宋体" w:eastAsia="宋体" w:hint="default"/>
                <w:sz w:val="21"/>
                <w:szCs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spacing w:val="-1"/>
                <w:sz w:val="21"/>
              </w:rPr>
              <w:t>19,028,425.09</w:t>
            </w:r>
            <w:r>
              <w:rPr>
                <w:rFonts w:ascii="宋体"/>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spacing w:val="-1"/>
                <w:sz w:val="21"/>
              </w:rPr>
              <w:t>3,577,869.83</w:t>
            </w:r>
            <w:r>
              <w:rPr>
                <w:rFonts w:ascii="宋体"/>
                <w:sz w:val="21"/>
              </w:rPr>
              <w:t> </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
              <w:jc w:val="right"/>
              <w:rPr>
                <w:rFonts w:ascii="宋体" w:hAnsi="宋体" w:cs="宋体" w:eastAsia="宋体" w:hint="default"/>
                <w:sz w:val="21"/>
                <w:szCs w:val="21"/>
              </w:rPr>
            </w:pPr>
            <w:r>
              <w:rPr>
                <w:rFonts w:ascii="宋体"/>
                <w:spacing w:val="-1"/>
                <w:sz w:val="21"/>
              </w:rPr>
              <w:t>10,353,802.99</w:t>
            </w:r>
            <w:r>
              <w:rPr>
                <w:rFonts w:ascii="宋体"/>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spacing w:val="-1"/>
                <w:sz w:val="21"/>
              </w:rPr>
              <w:t>32,960,097.91</w:t>
            </w:r>
            <w:r>
              <w:rPr>
                <w:rFonts w:ascii="宋体"/>
                <w:sz w:val="21"/>
              </w:rPr>
              <w:t> </w:t>
            </w:r>
          </w:p>
        </w:tc>
      </w:tr>
      <w:tr>
        <w:trPr>
          <w:trHeight w:val="350" w:hRule="exact"/>
        </w:trPr>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79"/>
              <w:jc w:val="right"/>
              <w:rPr>
                <w:rFonts w:ascii="宋体" w:hAnsi="宋体" w:cs="宋体" w:eastAsia="宋体" w:hint="default"/>
                <w:sz w:val="21"/>
                <w:szCs w:val="21"/>
              </w:rPr>
            </w:pPr>
            <w:r>
              <w:rPr>
                <w:rFonts w:ascii="宋体" w:hAnsi="宋体" w:cs="宋体" w:eastAsia="宋体" w:hint="default"/>
                <w:spacing w:val="-2"/>
                <w:sz w:val="21"/>
                <w:szCs w:val="21"/>
              </w:rPr>
              <w:t>2.</w:t>
            </w:r>
            <w:r>
              <w:rPr>
                <w:rFonts w:ascii="宋体" w:hAnsi="宋体" w:cs="宋体" w:eastAsia="宋体" w:hint="default"/>
                <w:spacing w:val="-2"/>
                <w:sz w:val="21"/>
                <w:szCs w:val="21"/>
              </w:rPr>
              <w:t>本期增加金额</w:t>
            </w:r>
            <w:r>
              <w:rPr>
                <w:rFonts w:ascii="宋体" w:hAnsi="宋体" w:cs="宋体" w:eastAsia="宋体" w:hint="default"/>
                <w:sz w:val="21"/>
                <w:szCs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spacing w:val="-1"/>
                <w:sz w:val="21"/>
              </w:rPr>
              <w:t>2,601,426.51</w:t>
            </w:r>
            <w:r>
              <w:rPr>
                <w:rFonts w:ascii="宋体"/>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spacing w:val="-1"/>
                <w:sz w:val="21"/>
              </w:rPr>
              <w:t>1,063,614.74</w:t>
            </w:r>
            <w:r>
              <w:rPr>
                <w:rFonts w:ascii="宋体"/>
                <w:sz w:val="21"/>
              </w:rPr>
              <w:t> </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
              <w:jc w:val="right"/>
              <w:rPr>
                <w:rFonts w:ascii="宋体" w:hAnsi="宋体" w:cs="宋体" w:eastAsia="宋体" w:hint="default"/>
                <w:sz w:val="21"/>
                <w:szCs w:val="21"/>
              </w:rPr>
            </w:pPr>
            <w:r>
              <w:rPr>
                <w:rFonts w:ascii="宋体"/>
                <w:spacing w:val="-1"/>
                <w:sz w:val="21"/>
              </w:rPr>
              <w:t>4,523,197.55</w:t>
            </w:r>
            <w:r>
              <w:rPr>
                <w:rFonts w:ascii="宋体"/>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spacing w:val="-1"/>
                <w:sz w:val="21"/>
              </w:rPr>
              <w:t>8,188,238.80</w:t>
            </w:r>
            <w:r>
              <w:rPr>
                <w:rFonts w:ascii="宋体"/>
                <w:sz w:val="21"/>
              </w:rPr>
              <w:t> </w:t>
            </w:r>
          </w:p>
        </w:tc>
      </w:tr>
      <w:tr>
        <w:trPr>
          <w:trHeight w:val="348" w:hRule="exact"/>
        </w:trPr>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32"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）计提</w:t>
            </w:r>
            <w:r>
              <w:rPr>
                <w:rFonts w:ascii="宋体" w:hAnsi="宋体" w:cs="宋体" w:eastAsia="宋体" w:hint="default"/>
                <w:sz w:val="21"/>
                <w:szCs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2,601,426.51</w:t>
            </w:r>
            <w:r>
              <w:rPr>
                <w:rFonts w:ascii="宋体"/>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1,063,614.74</w:t>
            </w:r>
            <w:r>
              <w:rPr>
                <w:rFonts w:ascii="宋体"/>
                <w:sz w:val="21"/>
              </w:rPr>
              <w:t> </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right"/>
              <w:rPr>
                <w:rFonts w:ascii="宋体" w:hAnsi="宋体" w:cs="宋体" w:eastAsia="宋体" w:hint="default"/>
                <w:sz w:val="21"/>
                <w:szCs w:val="21"/>
              </w:rPr>
            </w:pPr>
            <w:r>
              <w:rPr>
                <w:rFonts w:ascii="宋体"/>
                <w:spacing w:val="-1"/>
                <w:sz w:val="21"/>
              </w:rPr>
              <w:t>4,523,197.55</w:t>
            </w:r>
            <w:r>
              <w:rPr>
                <w:rFonts w:ascii="宋体"/>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8,188,238.80</w:t>
            </w:r>
            <w:r>
              <w:rPr>
                <w:rFonts w:ascii="宋体"/>
                <w:sz w:val="21"/>
              </w:rPr>
              <w:t> </w:t>
            </w:r>
          </w:p>
        </w:tc>
      </w:tr>
      <w:tr>
        <w:trPr>
          <w:trHeight w:val="350" w:hRule="exact"/>
        </w:trPr>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79"/>
              <w:jc w:val="right"/>
              <w:rPr>
                <w:rFonts w:ascii="宋体" w:hAnsi="宋体" w:cs="宋体" w:eastAsia="宋体" w:hint="default"/>
                <w:sz w:val="21"/>
                <w:szCs w:val="21"/>
              </w:rPr>
            </w:pPr>
            <w:r>
              <w:rPr>
                <w:rFonts w:ascii="宋体" w:hAnsi="宋体" w:cs="宋体" w:eastAsia="宋体" w:hint="default"/>
                <w:spacing w:val="-2"/>
                <w:sz w:val="21"/>
                <w:szCs w:val="21"/>
              </w:rPr>
              <w:t>3.</w:t>
            </w:r>
            <w:r>
              <w:rPr>
                <w:rFonts w:ascii="宋体" w:hAnsi="宋体" w:cs="宋体" w:eastAsia="宋体" w:hint="default"/>
                <w:spacing w:val="-2"/>
                <w:sz w:val="21"/>
                <w:szCs w:val="21"/>
              </w:rPr>
              <w:t>本期减少金额</w:t>
            </w:r>
            <w:r>
              <w:rPr>
                <w:rFonts w:ascii="宋体" w:hAnsi="宋体" w:cs="宋体" w:eastAsia="宋体" w:hint="default"/>
                <w:sz w:val="21"/>
                <w:szCs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spacing w:val="-1"/>
                <w:sz w:val="21"/>
              </w:rPr>
              <w:t>4,577,063.60</w:t>
            </w:r>
            <w:r>
              <w:rPr>
                <w:rFonts w:ascii="宋体"/>
                <w:sz w:val="21"/>
              </w:rPr>
              <w:t> </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
              <w:jc w:val="right"/>
              <w:rPr>
                <w:rFonts w:ascii="宋体" w:hAnsi="宋体" w:cs="宋体" w:eastAsia="宋体" w:hint="default"/>
                <w:sz w:val="21"/>
                <w:szCs w:val="21"/>
              </w:rPr>
            </w:pPr>
            <w:r>
              <w:rPr>
                <w:rFonts w:ascii="宋体"/>
                <w:w w:val="100"/>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spacing w:val="-1"/>
                <w:sz w:val="21"/>
              </w:rPr>
              <w:t>4,577,063.60</w:t>
            </w:r>
            <w:r>
              <w:rPr>
                <w:rFonts w:ascii="宋体"/>
                <w:sz w:val="21"/>
              </w:rPr>
              <w:t> </w:t>
            </w:r>
          </w:p>
        </w:tc>
      </w:tr>
      <w:tr>
        <w:trPr>
          <w:trHeight w:val="350" w:hRule="exact"/>
        </w:trPr>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732"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(1)</w:t>
            </w:r>
            <w:r>
              <w:rPr>
                <w:rFonts w:ascii="宋体" w:hAnsi="宋体" w:cs="宋体" w:eastAsia="宋体" w:hint="default"/>
                <w:sz w:val="21"/>
                <w:szCs w:val="21"/>
              </w:rPr>
              <w:t>处置</w:t>
            </w:r>
            <w:r>
              <w:rPr>
                <w:rFonts w:ascii="宋体" w:hAnsi="宋体" w:cs="宋体" w:eastAsia="宋体" w:hint="default"/>
                <w:sz w:val="21"/>
                <w:szCs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spacing w:val="-1"/>
                <w:sz w:val="21"/>
              </w:rPr>
              <w:t>4,577,063.60</w:t>
            </w:r>
            <w:r>
              <w:rPr>
                <w:rFonts w:ascii="宋体"/>
                <w:sz w:val="21"/>
              </w:rPr>
              <w:t> </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
              <w:jc w:val="right"/>
              <w:rPr>
                <w:rFonts w:ascii="宋体" w:hAnsi="宋体" w:cs="宋体" w:eastAsia="宋体" w:hint="default"/>
                <w:sz w:val="21"/>
                <w:szCs w:val="21"/>
              </w:rPr>
            </w:pPr>
            <w:r>
              <w:rPr>
                <w:rFonts w:ascii="宋体"/>
                <w:w w:val="100"/>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spacing w:val="-1"/>
                <w:sz w:val="21"/>
              </w:rPr>
              <w:t>4,577,063.60</w:t>
            </w:r>
            <w:r>
              <w:rPr>
                <w:rFonts w:ascii="宋体"/>
                <w:sz w:val="21"/>
              </w:rPr>
              <w:t> </w:t>
            </w:r>
          </w:p>
        </w:tc>
      </w:tr>
      <w:tr>
        <w:trPr>
          <w:trHeight w:val="350" w:hRule="exact"/>
        </w:trPr>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521"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r>
              <w:rPr>
                <w:rFonts w:ascii="宋体" w:hAnsi="宋体" w:cs="宋体" w:eastAsia="宋体" w:hint="default"/>
                <w:sz w:val="21"/>
                <w:szCs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spacing w:val="-1"/>
                <w:sz w:val="21"/>
              </w:rPr>
              <w:t>21,629,851.60</w:t>
            </w:r>
            <w:r>
              <w:rPr>
                <w:rFonts w:ascii="宋体"/>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spacing w:val="-1"/>
                <w:sz w:val="21"/>
              </w:rPr>
              <w:t>64,420.97</w:t>
            </w:r>
            <w:r>
              <w:rPr>
                <w:rFonts w:ascii="宋体"/>
                <w:sz w:val="21"/>
              </w:rPr>
              <w:t> </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
              <w:jc w:val="right"/>
              <w:rPr>
                <w:rFonts w:ascii="宋体" w:hAnsi="宋体" w:cs="宋体" w:eastAsia="宋体" w:hint="default"/>
                <w:sz w:val="21"/>
                <w:szCs w:val="21"/>
              </w:rPr>
            </w:pPr>
            <w:r>
              <w:rPr>
                <w:rFonts w:ascii="宋体"/>
                <w:spacing w:val="-1"/>
                <w:sz w:val="21"/>
              </w:rPr>
              <w:t>14,877,000.54</w:t>
            </w:r>
            <w:r>
              <w:rPr>
                <w:rFonts w:ascii="宋体"/>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spacing w:val="-1"/>
                <w:sz w:val="21"/>
              </w:rPr>
              <w:t>36,571,273.11</w:t>
            </w:r>
            <w:r>
              <w:rPr>
                <w:rFonts w:ascii="宋体"/>
                <w:sz w:val="21"/>
              </w:rPr>
              <w:t> </w:t>
            </w:r>
          </w:p>
        </w:tc>
      </w:tr>
      <w:tr>
        <w:trPr>
          <w:trHeight w:val="350" w:hRule="exact"/>
        </w:trPr>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0" w:right="0"/>
              <w:jc w:val="left"/>
              <w:rPr>
                <w:rFonts w:ascii="宋体" w:hAnsi="宋体" w:cs="宋体" w:eastAsia="宋体" w:hint="default"/>
                <w:sz w:val="21"/>
                <w:szCs w:val="21"/>
              </w:rPr>
            </w:pPr>
            <w:r>
              <w:rPr>
                <w:rFonts w:ascii="宋体" w:hAnsi="宋体" w:cs="宋体" w:eastAsia="宋体" w:hint="default"/>
                <w:sz w:val="21"/>
                <w:szCs w:val="21"/>
              </w:rPr>
              <w:t>三、减值准备</w:t>
            </w:r>
            <w:r>
              <w:rPr>
                <w:rFonts w:ascii="宋体" w:hAnsi="宋体" w:cs="宋体" w:eastAsia="宋体" w:hint="default"/>
                <w:sz w:val="21"/>
                <w:szCs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w w:val="100"/>
                <w:sz w:val="21"/>
              </w:rPr>
              <w:t> </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
              <w:jc w:val="right"/>
              <w:rPr>
                <w:rFonts w:ascii="宋体" w:hAnsi="宋体" w:cs="宋体" w:eastAsia="宋体" w:hint="default"/>
                <w:sz w:val="21"/>
                <w:szCs w:val="21"/>
              </w:rPr>
            </w:pPr>
            <w:r>
              <w:rPr>
                <w:rFonts w:ascii="宋体"/>
                <w:w w:val="100"/>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w w:val="100"/>
                <w:sz w:val="21"/>
              </w:rPr>
              <w:t> </w:t>
            </w:r>
          </w:p>
        </w:tc>
      </w:tr>
      <w:tr>
        <w:trPr>
          <w:trHeight w:val="350" w:hRule="exact"/>
        </w:trPr>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521"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r>
              <w:rPr>
                <w:rFonts w:ascii="宋体" w:hAnsi="宋体" w:cs="宋体" w:eastAsia="宋体" w:hint="default"/>
                <w:sz w:val="21"/>
                <w:szCs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w w:val="100"/>
                <w:sz w:val="21"/>
              </w:rPr>
              <w:t> </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
              <w:jc w:val="right"/>
              <w:rPr>
                <w:rFonts w:ascii="宋体" w:hAnsi="宋体" w:cs="宋体" w:eastAsia="宋体" w:hint="default"/>
                <w:sz w:val="21"/>
                <w:szCs w:val="21"/>
              </w:rPr>
            </w:pPr>
            <w:r>
              <w:rPr>
                <w:rFonts w:ascii="宋体"/>
                <w:w w:val="100"/>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w w:val="100"/>
                <w:sz w:val="21"/>
              </w:rPr>
              <w:t> </w:t>
            </w:r>
          </w:p>
        </w:tc>
      </w:tr>
      <w:tr>
        <w:trPr>
          <w:trHeight w:val="348" w:hRule="exact"/>
        </w:trPr>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79"/>
              <w:jc w:val="right"/>
              <w:rPr>
                <w:rFonts w:ascii="宋体" w:hAnsi="宋体" w:cs="宋体" w:eastAsia="宋体" w:hint="default"/>
                <w:sz w:val="21"/>
                <w:szCs w:val="21"/>
              </w:rPr>
            </w:pPr>
            <w:r>
              <w:rPr>
                <w:rFonts w:ascii="宋体" w:hAnsi="宋体" w:cs="宋体" w:eastAsia="宋体" w:hint="default"/>
                <w:spacing w:val="-2"/>
                <w:sz w:val="21"/>
                <w:szCs w:val="21"/>
              </w:rPr>
              <w:t>2.</w:t>
            </w:r>
            <w:r>
              <w:rPr>
                <w:rFonts w:ascii="宋体" w:hAnsi="宋体" w:cs="宋体" w:eastAsia="宋体" w:hint="default"/>
                <w:spacing w:val="-2"/>
                <w:sz w:val="21"/>
                <w:szCs w:val="21"/>
              </w:rPr>
              <w:t>本期增加金额</w:t>
            </w:r>
            <w:r>
              <w:rPr>
                <w:rFonts w:ascii="宋体" w:hAnsi="宋体" w:cs="宋体" w:eastAsia="宋体" w:hint="default"/>
                <w:sz w:val="21"/>
                <w:szCs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w w:val="100"/>
                <w:sz w:val="21"/>
              </w:rPr>
              <w:t> </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right"/>
              <w:rPr>
                <w:rFonts w:ascii="宋体" w:hAnsi="宋体" w:cs="宋体" w:eastAsia="宋体" w:hint="default"/>
                <w:sz w:val="21"/>
                <w:szCs w:val="21"/>
              </w:rPr>
            </w:pPr>
            <w:r>
              <w:rPr>
                <w:rFonts w:ascii="宋体"/>
                <w:w w:val="100"/>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w w:val="100"/>
                <w:sz w:val="21"/>
              </w:rPr>
              <w:t> </w:t>
            </w:r>
          </w:p>
        </w:tc>
      </w:tr>
      <w:tr>
        <w:trPr>
          <w:trHeight w:val="351" w:hRule="exact"/>
        </w:trPr>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732"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）计提</w:t>
            </w:r>
            <w:r>
              <w:rPr>
                <w:rFonts w:ascii="宋体" w:hAnsi="宋体" w:cs="宋体" w:eastAsia="宋体" w:hint="default"/>
                <w:sz w:val="21"/>
                <w:szCs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w w:val="100"/>
                <w:sz w:val="21"/>
              </w:rPr>
              <w:t> </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
              <w:jc w:val="right"/>
              <w:rPr>
                <w:rFonts w:ascii="宋体" w:hAnsi="宋体" w:cs="宋体" w:eastAsia="宋体" w:hint="default"/>
                <w:sz w:val="21"/>
                <w:szCs w:val="21"/>
              </w:rPr>
            </w:pPr>
            <w:r>
              <w:rPr>
                <w:rFonts w:ascii="宋体"/>
                <w:w w:val="100"/>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w w:val="100"/>
                <w:sz w:val="21"/>
              </w:rPr>
              <w:t> </w:t>
            </w:r>
          </w:p>
        </w:tc>
      </w:tr>
      <w:tr>
        <w:trPr>
          <w:trHeight w:val="350" w:hRule="exact"/>
        </w:trPr>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79"/>
              <w:jc w:val="right"/>
              <w:rPr>
                <w:rFonts w:ascii="宋体" w:hAnsi="宋体" w:cs="宋体" w:eastAsia="宋体" w:hint="default"/>
                <w:sz w:val="21"/>
                <w:szCs w:val="21"/>
              </w:rPr>
            </w:pPr>
            <w:r>
              <w:rPr>
                <w:rFonts w:ascii="宋体" w:hAnsi="宋体" w:cs="宋体" w:eastAsia="宋体" w:hint="default"/>
                <w:spacing w:val="-2"/>
                <w:sz w:val="21"/>
                <w:szCs w:val="21"/>
              </w:rPr>
              <w:t>3.</w:t>
            </w:r>
            <w:r>
              <w:rPr>
                <w:rFonts w:ascii="宋体" w:hAnsi="宋体" w:cs="宋体" w:eastAsia="宋体" w:hint="default"/>
                <w:spacing w:val="-2"/>
                <w:sz w:val="21"/>
                <w:szCs w:val="21"/>
              </w:rPr>
              <w:t>本期减少金额</w:t>
            </w:r>
            <w:r>
              <w:rPr>
                <w:rFonts w:ascii="宋体" w:hAnsi="宋体" w:cs="宋体" w:eastAsia="宋体" w:hint="default"/>
                <w:sz w:val="21"/>
                <w:szCs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w w:val="100"/>
                <w:sz w:val="21"/>
              </w:rPr>
              <w:t> </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
              <w:jc w:val="right"/>
              <w:rPr>
                <w:rFonts w:ascii="宋体" w:hAnsi="宋体" w:cs="宋体" w:eastAsia="宋体" w:hint="default"/>
                <w:sz w:val="21"/>
                <w:szCs w:val="21"/>
              </w:rPr>
            </w:pPr>
            <w:r>
              <w:rPr>
                <w:rFonts w:ascii="宋体"/>
                <w:w w:val="100"/>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w w:val="100"/>
                <w:sz w:val="21"/>
              </w:rPr>
              <w:t> </w:t>
            </w:r>
          </w:p>
        </w:tc>
      </w:tr>
      <w:tr>
        <w:trPr>
          <w:trHeight w:val="350" w:hRule="exact"/>
        </w:trPr>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732"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处置</w:t>
            </w:r>
            <w:r>
              <w:rPr>
                <w:rFonts w:ascii="宋体" w:hAnsi="宋体" w:cs="宋体" w:eastAsia="宋体" w:hint="default"/>
                <w:sz w:val="21"/>
                <w:szCs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w w:val="100"/>
                <w:sz w:val="21"/>
              </w:rPr>
              <w:t> </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
              <w:jc w:val="right"/>
              <w:rPr>
                <w:rFonts w:ascii="宋体" w:hAnsi="宋体" w:cs="宋体" w:eastAsia="宋体" w:hint="default"/>
                <w:sz w:val="21"/>
                <w:szCs w:val="21"/>
              </w:rPr>
            </w:pPr>
            <w:r>
              <w:rPr>
                <w:rFonts w:ascii="宋体"/>
                <w:w w:val="100"/>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w w:val="100"/>
                <w:sz w:val="21"/>
              </w:rPr>
              <w:t> </w:t>
            </w:r>
          </w:p>
        </w:tc>
      </w:tr>
      <w:tr>
        <w:trPr>
          <w:trHeight w:val="350" w:hRule="exact"/>
        </w:trPr>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521"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r>
              <w:rPr>
                <w:rFonts w:ascii="宋体" w:hAnsi="宋体" w:cs="宋体" w:eastAsia="宋体" w:hint="default"/>
                <w:sz w:val="21"/>
                <w:szCs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w w:val="100"/>
                <w:sz w:val="21"/>
              </w:rPr>
              <w:t> </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
              <w:jc w:val="right"/>
              <w:rPr>
                <w:rFonts w:ascii="宋体" w:hAnsi="宋体" w:cs="宋体" w:eastAsia="宋体" w:hint="default"/>
                <w:sz w:val="21"/>
                <w:szCs w:val="21"/>
              </w:rPr>
            </w:pPr>
            <w:r>
              <w:rPr>
                <w:rFonts w:ascii="宋体"/>
                <w:w w:val="100"/>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w w:val="100"/>
                <w:sz w:val="21"/>
              </w:rPr>
              <w:t> </w:t>
            </w:r>
          </w:p>
        </w:tc>
      </w:tr>
      <w:tr>
        <w:trPr>
          <w:trHeight w:val="350" w:hRule="exact"/>
        </w:trPr>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0" w:right="0"/>
              <w:jc w:val="left"/>
              <w:rPr>
                <w:rFonts w:ascii="宋体" w:hAnsi="宋体" w:cs="宋体" w:eastAsia="宋体" w:hint="default"/>
                <w:sz w:val="21"/>
                <w:szCs w:val="21"/>
              </w:rPr>
            </w:pPr>
            <w:r>
              <w:rPr>
                <w:rFonts w:ascii="宋体" w:hAnsi="宋体" w:cs="宋体" w:eastAsia="宋体" w:hint="default"/>
                <w:sz w:val="21"/>
                <w:szCs w:val="21"/>
              </w:rPr>
              <w:t>四、账面价值</w:t>
            </w:r>
            <w:r>
              <w:rPr>
                <w:rFonts w:ascii="宋体" w:hAnsi="宋体" w:cs="宋体" w:eastAsia="宋体" w:hint="default"/>
                <w:sz w:val="21"/>
                <w:szCs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w w:val="100"/>
                <w:sz w:val="21"/>
              </w:rPr>
              <w:t> </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
              <w:jc w:val="right"/>
              <w:rPr>
                <w:rFonts w:ascii="宋体" w:hAnsi="宋体" w:cs="宋体" w:eastAsia="宋体" w:hint="default"/>
                <w:sz w:val="21"/>
                <w:szCs w:val="21"/>
              </w:rPr>
            </w:pPr>
            <w:r>
              <w:rPr>
                <w:rFonts w:ascii="宋体"/>
                <w:w w:val="100"/>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w w:val="100"/>
                <w:sz w:val="21"/>
              </w:rPr>
              <w:t> </w:t>
            </w:r>
          </w:p>
        </w:tc>
      </w:tr>
      <w:tr>
        <w:trPr>
          <w:trHeight w:val="348" w:hRule="exact"/>
        </w:trPr>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1.</w:t>
            </w:r>
            <w:r>
              <w:rPr>
                <w:rFonts w:ascii="宋体" w:hAnsi="宋体" w:cs="宋体" w:eastAsia="宋体" w:hint="default"/>
                <w:sz w:val="21"/>
                <w:szCs w:val="21"/>
              </w:rPr>
              <w:t>期末账面价值</w:t>
            </w:r>
            <w:r>
              <w:rPr>
                <w:rFonts w:ascii="宋体" w:hAnsi="宋体" w:cs="宋体" w:eastAsia="宋体" w:hint="default"/>
                <w:sz w:val="21"/>
                <w:szCs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111,134,264.34</w:t>
            </w:r>
            <w:r>
              <w:rPr>
                <w:rFonts w:ascii="宋体"/>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135,579.03</w:t>
            </w:r>
            <w:r>
              <w:rPr>
                <w:rFonts w:ascii="宋体"/>
                <w:sz w:val="21"/>
              </w:rPr>
              <w:t> </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right"/>
              <w:rPr>
                <w:rFonts w:ascii="宋体" w:hAnsi="宋体" w:cs="宋体" w:eastAsia="宋体" w:hint="default"/>
                <w:sz w:val="21"/>
                <w:szCs w:val="21"/>
              </w:rPr>
            </w:pPr>
            <w:r>
              <w:rPr>
                <w:rFonts w:ascii="宋体"/>
                <w:spacing w:val="-1"/>
                <w:sz w:val="21"/>
              </w:rPr>
              <w:t>6,102,445.70</w:t>
            </w:r>
            <w:r>
              <w:rPr>
                <w:rFonts w:ascii="宋体"/>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117,372,289.07</w:t>
            </w:r>
            <w:r>
              <w:rPr>
                <w:rFonts w:ascii="宋体"/>
                <w:sz w:val="21"/>
              </w:rPr>
              <w:t> </w:t>
            </w:r>
          </w:p>
        </w:tc>
      </w:tr>
      <w:tr>
        <w:trPr>
          <w:trHeight w:val="350" w:hRule="exact"/>
        </w:trPr>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0"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2.</w:t>
            </w:r>
            <w:r>
              <w:rPr>
                <w:rFonts w:ascii="宋体" w:hAnsi="宋体" w:cs="宋体" w:eastAsia="宋体" w:hint="default"/>
                <w:sz w:val="21"/>
                <w:szCs w:val="21"/>
              </w:rPr>
              <w:t>期初账面价值</w:t>
            </w:r>
            <w:r>
              <w:rPr>
                <w:rFonts w:ascii="宋体" w:hAnsi="宋体" w:cs="宋体" w:eastAsia="宋体" w:hint="default"/>
                <w:sz w:val="21"/>
                <w:szCs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spacing w:val="-1"/>
                <w:sz w:val="21"/>
              </w:rPr>
              <w:t>107,480,889.42</w:t>
            </w:r>
            <w:r>
              <w:rPr>
                <w:rFonts w:ascii="宋体"/>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spacing w:val="-1"/>
                <w:sz w:val="21"/>
              </w:rPr>
              <w:t>7,136,449.99</w:t>
            </w:r>
            <w:r>
              <w:rPr>
                <w:rFonts w:ascii="宋体"/>
                <w:sz w:val="21"/>
              </w:rPr>
              <w:t> </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
              <w:jc w:val="right"/>
              <w:rPr>
                <w:rFonts w:ascii="宋体" w:hAnsi="宋体" w:cs="宋体" w:eastAsia="宋体" w:hint="default"/>
                <w:sz w:val="21"/>
                <w:szCs w:val="21"/>
              </w:rPr>
            </w:pPr>
            <w:r>
              <w:rPr>
                <w:rFonts w:ascii="宋体"/>
                <w:spacing w:val="-1"/>
                <w:sz w:val="21"/>
              </w:rPr>
              <w:t>8,574,210.17</w:t>
            </w:r>
            <w:r>
              <w:rPr>
                <w:rFonts w:ascii="宋体"/>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spacing w:val="-1"/>
                <w:sz w:val="21"/>
              </w:rPr>
              <w:t>123,191,549.58</w:t>
            </w:r>
            <w:r>
              <w:rPr>
                <w:rFonts w:ascii="宋体"/>
                <w:sz w:val="21"/>
              </w:rPr>
              <w:t> </w:t>
            </w:r>
          </w:p>
        </w:tc>
      </w:tr>
    </w:tbl>
    <w:p>
      <w:pPr>
        <w:pStyle w:val="BodyText"/>
        <w:spacing w:line="241" w:lineRule="exact"/>
        <w:ind w:left="516" w:right="0"/>
        <w:jc w:val="left"/>
        <w:rPr>
          <w:rFonts w:ascii="宋体" w:hAnsi="宋体" w:cs="宋体" w:eastAsia="宋体" w:hint="default"/>
        </w:rPr>
      </w:pPr>
      <w:r>
        <w:rPr>
          <w:spacing w:val="-2"/>
        </w:rPr>
        <w:t>本期末通过公司内部研发形成的无形资产占无形资产余额的比例</w:t>
      </w:r>
      <w:r>
        <w:rPr>
          <w:spacing w:val="2"/>
        </w:rPr>
        <w:t> </w:t>
      </w:r>
      <w:r>
        <w:rPr>
          <w:rFonts w:ascii="宋体" w:hAnsi="宋体" w:cs="宋体" w:eastAsia="宋体" w:hint="default"/>
          <w:spacing w:val="-3"/>
        </w:rPr>
        <w:t>0</w:t>
      </w:r>
      <w:r>
        <w:rPr>
          <w:rFonts w:ascii="宋体" w:hAnsi="宋体" w:cs="宋体" w:eastAsia="宋体" w:hint="default"/>
        </w:rPr>
        <w:t> </w:t>
      </w:r>
    </w:p>
    <w:p>
      <w:pPr>
        <w:pStyle w:val="Heading3"/>
        <w:spacing w:line="324" w:lineRule="auto" w:before="20"/>
        <w:ind w:left="516"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(2)</w:t>
      </w:r>
      <w:r>
        <w:rPr>
          <w:rFonts w:ascii="宋体" w:hAnsi="宋体" w:cs="宋体" w:eastAsia="宋体" w:hint="default"/>
          <w:spacing w:val="5"/>
          <w:w w:val="99"/>
        </w:rPr>
        <w:t>.</w:t>
      </w:r>
      <w:r>
        <w:rPr>
          <w:w w:val="100"/>
        </w:rPr>
        <w:t>未办妥产权证书的</w:t>
      </w:r>
      <w:r>
        <w:rPr>
          <w:spacing w:val="-3"/>
          <w:w w:val="100"/>
        </w:rPr>
        <w:t>土</w:t>
      </w:r>
      <w:r>
        <w:rPr>
          <w:w w:val="100"/>
        </w:rPr>
        <w:t>地</w:t>
      </w:r>
      <w:r>
        <w:rPr>
          <w:spacing w:val="-3"/>
          <w:w w:val="100"/>
        </w:rPr>
        <w:t>使</w:t>
      </w:r>
      <w:r>
        <w:rPr>
          <w:w w:val="100"/>
        </w:rPr>
        <w:t>用权情</w:t>
      </w:r>
      <w:r>
        <w:rPr>
          <w:spacing w:val="-3"/>
          <w:w w:val="100"/>
        </w:rPr>
        <w:t>况</w:t>
      </w:r>
      <w:r>
        <w:rPr>
          <w:rFonts w:ascii="宋体" w:hAnsi="宋体" w:cs="宋体" w:eastAsia="宋体" w:hint="default"/>
          <w:w w:val="99"/>
        </w:rPr>
        <w:t> </w:t>
      </w:r>
      <w:r>
        <w:rPr>
          <w:rFonts w:ascii="宋体" w:hAnsi="宋体" w:cs="宋体" w:eastAsia="宋体" w:hint="default"/>
          <w:b w:val="0"/>
          <w:bCs w:val="0"/>
        </w:rPr>
      </w:r>
    </w:p>
    <w:p>
      <w:pPr>
        <w:pStyle w:val="BodyText"/>
        <w:spacing w:line="273" w:lineRule="auto" w:before="23"/>
        <w:ind w:left="516" w:right="6778"/>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其他说明：</w:t>
      </w:r>
      <w:r>
        <w:rPr>
          <w:rFonts w:ascii="宋体" w:hAnsi="宋体" w:cs="宋体" w:eastAsia="宋体" w:hint="default"/>
        </w:rPr>
        <w:t> </w:t>
      </w:r>
    </w:p>
    <w:p>
      <w:pPr>
        <w:pStyle w:val="BodyText"/>
        <w:spacing w:line="240" w:lineRule="auto" w:before="7"/>
        <w:ind w:left="5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15"/>
        <w:ind w:left="516" w:right="0"/>
        <w:jc w:val="left"/>
        <w:rPr>
          <w:rFonts w:ascii="宋体" w:hAnsi="宋体" w:cs="宋体" w:eastAsia="宋体" w:hint="default"/>
        </w:rPr>
      </w:pPr>
      <w:r>
        <w:rPr>
          <w:rFonts w:ascii="宋体"/>
          <w:w w:val="100"/>
        </w:rPr>
        <w:t> </w:t>
      </w:r>
    </w:p>
    <w:p>
      <w:pPr>
        <w:pStyle w:val="Heading3"/>
        <w:spacing w:line="240" w:lineRule="auto" w:before="78"/>
        <w:ind w:left="516" w:right="0"/>
        <w:jc w:val="left"/>
        <w:rPr>
          <w:rFonts w:ascii="宋体" w:hAnsi="宋体" w:cs="宋体" w:eastAsia="宋体" w:hint="default"/>
          <w:b w:val="0"/>
          <w:bCs w:val="0"/>
        </w:rPr>
      </w:pPr>
      <w:r>
        <w:rPr>
          <w:rFonts w:ascii="宋体" w:hAnsi="宋体" w:cs="宋体" w:eastAsia="宋体" w:hint="default"/>
        </w:rPr>
        <w:t>26</w:t>
      </w:r>
      <w:r>
        <w:rPr/>
        <w:t>、</w:t>
      </w:r>
      <w:r>
        <w:rPr>
          <w:spacing w:val="-28"/>
        </w:rPr>
        <w:t> </w:t>
      </w:r>
      <w:r>
        <w:rPr/>
        <w:t>开发支出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7"/>
        <w:ind w:left="5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15"/>
        <w:ind w:left="516" w:right="0"/>
        <w:jc w:val="left"/>
        <w:rPr>
          <w:rFonts w:ascii="宋体" w:hAnsi="宋体" w:cs="宋体" w:eastAsia="宋体" w:hint="default"/>
        </w:rPr>
      </w:pPr>
      <w:r>
        <w:rPr>
          <w:rFonts w:ascii="宋体"/>
          <w:w w:val="100"/>
        </w:rPr>
        <w:t> </w:t>
      </w:r>
    </w:p>
    <w:p>
      <w:pPr>
        <w:pStyle w:val="Heading3"/>
        <w:spacing w:line="324" w:lineRule="auto" w:before="80"/>
        <w:ind w:left="516" w:right="6778"/>
        <w:jc w:val="left"/>
        <w:rPr>
          <w:rFonts w:ascii="宋体" w:hAnsi="宋体" w:cs="宋体" w:eastAsia="宋体" w:hint="default"/>
          <w:b w:val="0"/>
          <w:bCs w:val="0"/>
        </w:rPr>
      </w:pPr>
      <w:r>
        <w:rPr>
          <w:rFonts w:ascii="宋体" w:hAnsi="宋体" w:cs="宋体" w:eastAsia="宋体" w:hint="default"/>
        </w:rPr>
        <w:t>27</w:t>
      </w:r>
      <w:r>
        <w:rPr/>
        <w:t>、</w:t>
      </w:r>
      <w:r>
        <w:rPr>
          <w:spacing w:val="-26"/>
        </w:rPr>
        <w:t> </w:t>
      </w:r>
      <w:r>
        <w:rPr/>
        <w:t>商誉</w:t>
      </w:r>
      <w:r>
        <w:rPr>
          <w:rFonts w:ascii="宋体" w:hAnsi="宋体" w:cs="宋体" w:eastAsia="宋体" w:hint="default"/>
          <w:w w:val="99"/>
        </w:rPr>
        <w:t> </w:t>
      </w:r>
      <w:r>
        <w:rPr>
          <w:rFonts w:ascii="宋体" w:hAnsi="宋体" w:cs="宋体" w:eastAsia="宋体" w:hint="default"/>
        </w:rPr>
        <w:t>(1).</w:t>
      </w:r>
      <w:r>
        <w:rPr/>
        <w:t>商誉账面原值</w:t>
      </w:r>
      <w:r>
        <w:rPr>
          <w:rFonts w:ascii="宋体" w:hAnsi="宋体" w:cs="宋体" w:eastAsia="宋体" w:hint="default"/>
          <w:w w:val="99"/>
        </w:rPr>
        <w:t> </w:t>
      </w:r>
      <w:r>
        <w:rPr>
          <w:rFonts w:ascii="宋体" w:hAnsi="宋体" w:cs="宋体" w:eastAsia="宋体" w:hint="default"/>
          <w:b w:val="0"/>
          <w:bCs w:val="0"/>
        </w:rPr>
      </w:r>
    </w:p>
    <w:p>
      <w:pPr>
        <w:spacing w:line="324" w:lineRule="auto" w:before="23"/>
        <w:ind w:left="516" w:right="6778"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商誉减值准备</w:t>
      </w:r>
      <w:r>
        <w:rPr>
          <w:rFonts w:ascii="宋体" w:hAnsi="宋体" w:cs="宋体" w:eastAsia="宋体" w:hint="default"/>
          <w:b/>
          <w:bCs/>
          <w:w w:val="99"/>
          <w:sz w:val="21"/>
          <w:szCs w:val="21"/>
        </w:rPr>
        <w:t> </w:t>
      </w:r>
      <w:r>
        <w:rPr>
          <w:rFonts w:ascii="宋体" w:hAnsi="宋体" w:cs="宋体" w:eastAsia="宋体" w:hint="default"/>
          <w:sz w:val="21"/>
          <w:szCs w:val="21"/>
        </w:rPr>
      </w:r>
    </w:p>
    <w:p>
      <w:pPr>
        <w:pStyle w:val="Heading2"/>
        <w:spacing w:line="311" w:lineRule="exact"/>
        <w:ind w:left="51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3"/>
        <w:spacing w:line="240" w:lineRule="auto" w:before="85"/>
        <w:ind w:left="516" w:right="0"/>
        <w:jc w:val="left"/>
        <w:rPr>
          <w:rFonts w:ascii="宋体" w:hAnsi="宋体" w:cs="宋体" w:eastAsia="宋体" w:hint="default"/>
          <w:b w:val="0"/>
          <w:bCs w:val="0"/>
        </w:rPr>
      </w:pPr>
      <w:r>
        <w:rPr>
          <w:rFonts w:ascii="宋体" w:hAnsi="宋体" w:cs="宋体" w:eastAsia="宋体" w:hint="default"/>
        </w:rPr>
        <w:t>(3).</w:t>
      </w:r>
      <w:r>
        <w:rPr/>
        <w:t>商誉所在资产组或资产组组合的相关信息</w:t>
      </w:r>
      <w:r>
        <w:rPr>
          <w:rFonts w:ascii="宋体" w:hAnsi="宋体" w:cs="宋体" w:eastAsia="宋体" w:hint="default"/>
          <w:w w:val="99"/>
        </w:rPr>
        <w:t> </w:t>
      </w:r>
      <w:r>
        <w:rPr>
          <w:rFonts w:ascii="宋体" w:hAnsi="宋体" w:cs="宋体" w:eastAsia="宋体" w:hint="default"/>
          <w:b w:val="0"/>
          <w:bCs w:val="0"/>
        </w:rPr>
      </w:r>
    </w:p>
    <w:p>
      <w:pPr>
        <w:pStyle w:val="Heading2"/>
        <w:spacing w:line="313" w:lineRule="exact" w:before="69"/>
        <w:ind w:left="51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2"/>
        <w:spacing w:line="313" w:lineRule="exact"/>
        <w:ind w:left="516" w:right="0"/>
        <w:jc w:val="left"/>
        <w:rPr>
          <w:rFonts w:ascii="宋体" w:hAnsi="宋体" w:cs="宋体" w:eastAsia="宋体" w:hint="default"/>
        </w:rPr>
      </w:pPr>
      <w:r>
        <w:rPr>
          <w:rFonts w:ascii="宋体"/>
        </w:rPr>
        <w:t> </w:t>
      </w:r>
    </w:p>
    <w:p>
      <w:pPr>
        <w:pStyle w:val="Heading3"/>
        <w:spacing w:line="273" w:lineRule="auto" w:before="85"/>
        <w:ind w:left="942" w:right="0" w:hanging="426"/>
        <w:jc w:val="left"/>
        <w:rPr>
          <w:rFonts w:ascii="宋体" w:hAnsi="宋体" w:cs="宋体" w:eastAsia="宋体" w:hint="default"/>
          <w:b w:val="0"/>
          <w:bCs w:val="0"/>
        </w:rPr>
      </w:pPr>
      <w:r>
        <w:rPr>
          <w:rFonts w:ascii="宋体" w:hAnsi="宋体" w:cs="宋体" w:eastAsia="宋体" w:hint="default"/>
          <w:spacing w:val="-1"/>
        </w:rPr>
        <w:t>(4).</w:t>
      </w:r>
      <w:r>
        <w:rPr>
          <w:spacing w:val="-1"/>
        </w:rPr>
        <w:t>说明商誉减值测试过程、关键参数（例如预计未来现金流量现值时的预测期增长率、稳定期</w:t>
      </w:r>
      <w:r>
        <w:rPr>
          <w:spacing w:val="-87"/>
        </w:rPr>
        <w:t> </w:t>
      </w:r>
      <w:r>
        <w:rPr>
          <w:spacing w:val="-87"/>
        </w:rPr>
      </w:r>
      <w:r>
        <w:rPr/>
        <w:t>增长率、利润率、折现率、预测期等，如适用）及商誉减值损失的确认方法</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67"/>
        <w:ind w:left="5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left="516" w:right="0"/>
        <w:jc w:val="left"/>
        <w:rPr>
          <w:rFonts w:ascii="宋体" w:hAnsi="宋体" w:cs="宋体" w:eastAsia="宋体" w:hint="default"/>
        </w:rPr>
      </w:pPr>
      <w:r>
        <w:rPr>
          <w:rFonts w:ascii="宋体"/>
          <w:w w:val="100"/>
        </w:rPr>
        <w:t> </w:t>
      </w:r>
    </w:p>
    <w:p>
      <w:pPr>
        <w:spacing w:after="0" w:line="240" w:lineRule="auto"/>
        <w:jc w:val="left"/>
        <w:rPr>
          <w:rFonts w:ascii="宋体" w:hAnsi="宋体" w:cs="宋体" w:eastAsia="宋体" w:hint="default"/>
        </w:rPr>
        <w:sectPr>
          <w:pgSz w:w="11910" w:h="16840"/>
          <w:pgMar w:header="0" w:footer="974" w:top="1140" w:bottom="1160" w:left="760" w:right="1260"/>
        </w:sectPr>
      </w:pPr>
    </w:p>
    <w:p>
      <w:pPr>
        <w:spacing w:line="240" w:lineRule="auto" w:before="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pgSz w:w="11910" w:h="16840"/>
          <w:pgMar w:header="0" w:footer="974" w:top="1140" w:bottom="1160" w:left="840" w:right="1340"/>
        </w:sectPr>
      </w:pPr>
    </w:p>
    <w:p>
      <w:pPr>
        <w:pStyle w:val="Heading3"/>
        <w:spacing w:line="240" w:lineRule="auto" w:before="36"/>
        <w:ind w:left="436" w:right="0"/>
        <w:jc w:val="left"/>
        <w:rPr>
          <w:rFonts w:ascii="宋体" w:hAnsi="宋体" w:cs="宋体" w:eastAsia="宋体" w:hint="default"/>
          <w:b w:val="0"/>
          <w:bCs w:val="0"/>
        </w:rPr>
      </w:pPr>
      <w:r>
        <w:rPr>
          <w:rFonts w:ascii="宋体" w:hAnsi="宋体" w:cs="宋体" w:eastAsia="宋体" w:hint="default"/>
        </w:rPr>
        <w:t>(5).</w:t>
      </w:r>
      <w:r>
        <w:rPr/>
        <w:t>商誉减值测试的影响</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7"/>
        <w:ind w:left="4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2"/>
        <w:spacing w:line="240" w:lineRule="auto" w:before="9"/>
        <w:ind w:left="436" w:right="0"/>
        <w:jc w:val="left"/>
        <w:rPr>
          <w:rFonts w:ascii="宋体" w:hAnsi="宋体" w:cs="宋体" w:eastAsia="宋体" w:hint="default"/>
        </w:rPr>
      </w:pPr>
      <w:r>
        <w:rPr/>
        <w:t>其他说明</w:t>
      </w:r>
      <w:r>
        <w:rPr>
          <w:rFonts w:ascii="宋体" w:hAnsi="宋体" w:cs="宋体" w:eastAsia="宋体" w:hint="default"/>
        </w:rPr>
        <w:t> </w:t>
      </w:r>
    </w:p>
    <w:p>
      <w:pPr>
        <w:pStyle w:val="BodyText"/>
        <w:spacing w:line="240" w:lineRule="auto" w:before="25"/>
        <w:ind w:left="4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15"/>
        <w:ind w:left="436" w:right="0"/>
        <w:jc w:val="left"/>
        <w:rPr>
          <w:rFonts w:ascii="宋体" w:hAnsi="宋体" w:cs="宋体" w:eastAsia="宋体" w:hint="default"/>
        </w:rPr>
      </w:pPr>
      <w:r>
        <w:rPr>
          <w:rFonts w:ascii="宋体"/>
          <w:w w:val="100"/>
        </w:rPr>
        <w:t> </w:t>
      </w:r>
    </w:p>
    <w:p>
      <w:pPr>
        <w:pStyle w:val="Heading3"/>
        <w:spacing w:line="240" w:lineRule="auto" w:before="78"/>
        <w:ind w:left="436" w:right="0"/>
        <w:jc w:val="left"/>
        <w:rPr>
          <w:rFonts w:ascii="宋体" w:hAnsi="宋体" w:cs="宋体" w:eastAsia="宋体" w:hint="default"/>
          <w:b w:val="0"/>
          <w:bCs w:val="0"/>
        </w:rPr>
      </w:pPr>
      <w:r>
        <w:rPr>
          <w:rFonts w:ascii="宋体" w:hAnsi="宋体" w:cs="宋体" w:eastAsia="宋体" w:hint="default"/>
        </w:rPr>
        <w:t>28</w:t>
      </w:r>
      <w:r>
        <w:rPr/>
        <w:t>、</w:t>
      </w:r>
      <w:r>
        <w:rPr>
          <w:spacing w:val="-26"/>
        </w:rPr>
        <w:t> </w:t>
      </w:r>
      <w:r>
        <w:rPr/>
        <w:t>长期待摊费用</w:t>
      </w:r>
      <w:r>
        <w:rPr>
          <w:rFonts w:ascii="宋体" w:hAnsi="宋体" w:cs="宋体" w:eastAsia="宋体" w:hint="default"/>
          <w:w w:val="99"/>
        </w:rPr>
        <w:t> </w:t>
      </w:r>
      <w:r>
        <w:rPr>
          <w:rFonts w:ascii="宋体" w:hAnsi="宋体" w:cs="宋体" w:eastAsia="宋体" w:hint="default"/>
          <w:b w:val="0"/>
          <w:bCs w:val="0"/>
        </w:rPr>
      </w:r>
    </w:p>
    <w:p>
      <w:pPr>
        <w:pStyle w:val="Heading2"/>
        <w:spacing w:line="240" w:lineRule="auto" w:before="69"/>
        <w:ind w:left="43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0"/>
          <w:szCs w:val="20"/>
        </w:rPr>
      </w:pPr>
    </w:p>
    <w:p>
      <w:pPr>
        <w:pStyle w:val="BodyText"/>
        <w:spacing w:line="240" w:lineRule="auto"/>
        <w:ind w:left="436" w:right="0"/>
        <w:jc w:val="left"/>
        <w:rPr>
          <w:rFonts w:ascii="宋体" w:hAnsi="宋体" w:cs="宋体" w:eastAsia="宋体" w:hint="default"/>
        </w:rPr>
      </w:pPr>
      <w:r>
        <w:rPr/>
        <w:t>单位：元币种：人民币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580" w:bottom="280" w:left="840" w:right="1340"/>
          <w:cols w:num="2" w:equalWidth="0">
            <w:col w:w="2869" w:space="3864"/>
            <w:col w:w="2997"/>
          </w:cols>
        </w:sectPr>
      </w:pPr>
    </w:p>
    <w:p>
      <w:pPr>
        <w:spacing w:line="240" w:lineRule="auto" w:before="10"/>
        <w:rPr>
          <w:rFonts w:ascii="宋体" w:hAnsi="宋体" w:cs="宋体" w:eastAsia="宋体" w:hint="default"/>
          <w:sz w:val="3"/>
          <w:szCs w:val="3"/>
        </w:rPr>
      </w:pPr>
    </w:p>
    <w:tbl>
      <w:tblPr>
        <w:tblW w:w="0" w:type="auto"/>
        <w:jc w:val="left"/>
        <w:tblInd w:w="103" w:type="dxa"/>
        <w:tblLayout w:type="fixed"/>
        <w:tblCellMar>
          <w:top w:w="0" w:type="dxa"/>
          <w:left w:w="0" w:type="dxa"/>
          <w:bottom w:w="0" w:type="dxa"/>
          <w:right w:w="0" w:type="dxa"/>
        </w:tblCellMar>
        <w:tblLook w:val="01E0"/>
      </w:tblPr>
      <w:tblGrid>
        <w:gridCol w:w="908"/>
        <w:gridCol w:w="1817"/>
        <w:gridCol w:w="1815"/>
        <w:gridCol w:w="1815"/>
        <w:gridCol w:w="1325"/>
        <w:gridCol w:w="1815"/>
      </w:tblGrid>
      <w:tr>
        <w:trPr>
          <w:trHeight w:val="636" w:hRule="exact"/>
        </w:trPr>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237" w:right="0"/>
              <w:jc w:val="left"/>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482"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269" w:right="0"/>
              <w:jc w:val="left"/>
              <w:rPr>
                <w:rFonts w:ascii="宋体" w:hAnsi="宋体" w:cs="宋体" w:eastAsia="宋体" w:hint="default"/>
                <w:sz w:val="21"/>
                <w:szCs w:val="21"/>
              </w:rPr>
            </w:pPr>
            <w:r>
              <w:rPr>
                <w:rFonts w:ascii="宋体" w:hAnsi="宋体" w:cs="宋体" w:eastAsia="宋体" w:hint="default"/>
                <w:sz w:val="21"/>
                <w:szCs w:val="21"/>
              </w:rPr>
              <w:t>本期增加金额</w:t>
            </w:r>
            <w:r>
              <w:rPr>
                <w:rFonts w:ascii="宋体" w:hAnsi="宋体" w:cs="宋体" w:eastAsia="宋体" w:hint="default"/>
                <w:sz w:val="21"/>
                <w:szCs w:val="21"/>
              </w:rPr>
              <w:t> </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268" w:right="0"/>
              <w:jc w:val="left"/>
              <w:rPr>
                <w:rFonts w:ascii="宋体" w:hAnsi="宋体" w:cs="宋体" w:eastAsia="宋体" w:hint="default"/>
                <w:sz w:val="21"/>
                <w:szCs w:val="21"/>
              </w:rPr>
            </w:pPr>
            <w:r>
              <w:rPr>
                <w:rFonts w:ascii="宋体" w:hAnsi="宋体" w:cs="宋体" w:eastAsia="宋体" w:hint="default"/>
                <w:sz w:val="21"/>
                <w:szCs w:val="21"/>
              </w:rPr>
              <w:t>本期摊销金额</w:t>
            </w:r>
            <w:r>
              <w:rPr>
                <w:rFonts w:ascii="宋体" w:hAnsi="宋体" w:cs="宋体" w:eastAsia="宋体" w:hint="default"/>
                <w:sz w:val="21"/>
                <w:szCs w:val="21"/>
              </w:rPr>
              <w:t> </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552" w:right="127" w:hanging="420"/>
              <w:jc w:val="left"/>
              <w:rPr>
                <w:rFonts w:ascii="宋体" w:hAnsi="宋体" w:cs="宋体" w:eastAsia="宋体" w:hint="default"/>
                <w:sz w:val="21"/>
                <w:szCs w:val="21"/>
              </w:rPr>
            </w:pPr>
            <w:r>
              <w:rPr>
                <w:rFonts w:ascii="宋体" w:hAnsi="宋体" w:cs="宋体" w:eastAsia="宋体" w:hint="default"/>
                <w:sz w:val="21"/>
                <w:szCs w:val="21"/>
              </w:rPr>
              <w:t>其他减少金</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额</w:t>
            </w:r>
            <w:r>
              <w:rPr>
                <w:rFonts w:ascii="宋体" w:hAnsi="宋体" w:cs="宋体" w:eastAsia="宋体" w:hint="default"/>
                <w:sz w:val="21"/>
                <w:szCs w:val="21"/>
              </w:rPr>
              <w:t> </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480"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322" w:hRule="exact"/>
        </w:trPr>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装修费</w:t>
            </w:r>
            <w:r>
              <w:rPr>
                <w:rFonts w:ascii="宋体" w:hAnsi="宋体" w:cs="宋体" w:eastAsia="宋体" w:hint="default"/>
                <w:sz w:val="21"/>
                <w:szCs w:val="21"/>
              </w:rPr>
              <w:t> </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21,780,109.17</w:t>
            </w:r>
            <w:r>
              <w:rPr>
                <w:rFonts w:ascii="宋体"/>
                <w:sz w:val="21"/>
              </w:rPr>
              <w:t> </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6,580,771.00</w:t>
            </w:r>
            <w:r>
              <w:rPr>
                <w:rFonts w:ascii="宋体"/>
                <w:sz w:val="21"/>
              </w:rPr>
              <w:t> </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7,870,410.90</w:t>
            </w:r>
            <w:r>
              <w:rPr>
                <w:rFonts w:ascii="宋体"/>
                <w:sz w:val="21"/>
              </w:rPr>
              <w:t> </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20,490,469.27</w:t>
            </w:r>
            <w:r>
              <w:rPr>
                <w:rFonts w:ascii="宋体"/>
                <w:sz w:val="21"/>
              </w:rPr>
              <w:t> </w:t>
            </w:r>
          </w:p>
        </w:tc>
      </w:tr>
      <w:tr>
        <w:trPr>
          <w:trHeight w:val="322" w:hRule="exact"/>
        </w:trPr>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1"/>
              <w:jc w:val="right"/>
              <w:rPr>
                <w:rFonts w:ascii="宋体" w:hAnsi="宋体" w:cs="宋体" w:eastAsia="宋体" w:hint="default"/>
                <w:sz w:val="21"/>
                <w:szCs w:val="21"/>
              </w:rPr>
            </w:pPr>
            <w:r>
              <w:rPr>
                <w:rFonts w:ascii="宋体"/>
                <w:spacing w:val="-1"/>
                <w:sz w:val="21"/>
              </w:rPr>
              <w:t>25,419,146.05</w:t>
            </w:r>
            <w:r>
              <w:rPr>
                <w:rFonts w:ascii="宋体"/>
                <w:sz w:val="21"/>
              </w:rPr>
              <w:t> </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1"/>
              <w:jc w:val="right"/>
              <w:rPr>
                <w:rFonts w:ascii="宋体" w:hAnsi="宋体" w:cs="宋体" w:eastAsia="宋体" w:hint="default"/>
                <w:sz w:val="21"/>
                <w:szCs w:val="21"/>
              </w:rPr>
            </w:pPr>
            <w:r>
              <w:rPr>
                <w:rFonts w:ascii="宋体"/>
                <w:spacing w:val="-1"/>
                <w:sz w:val="21"/>
              </w:rPr>
              <w:t>42,608,531.87</w:t>
            </w:r>
            <w:r>
              <w:rPr>
                <w:rFonts w:ascii="宋体"/>
                <w:sz w:val="21"/>
              </w:rPr>
              <w:t> </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1"/>
              <w:jc w:val="right"/>
              <w:rPr>
                <w:rFonts w:ascii="宋体" w:hAnsi="宋体" w:cs="宋体" w:eastAsia="宋体" w:hint="default"/>
                <w:sz w:val="21"/>
                <w:szCs w:val="21"/>
              </w:rPr>
            </w:pPr>
            <w:r>
              <w:rPr>
                <w:rFonts w:ascii="宋体"/>
                <w:spacing w:val="-1"/>
                <w:sz w:val="21"/>
              </w:rPr>
              <w:t>6,899,429.96</w:t>
            </w:r>
            <w:r>
              <w:rPr>
                <w:rFonts w:ascii="宋体"/>
                <w:sz w:val="21"/>
              </w:rPr>
              <w:t> </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3"/>
              <w:jc w:val="right"/>
              <w:rPr>
                <w:rFonts w:ascii="宋体" w:hAnsi="宋体" w:cs="宋体" w:eastAsia="宋体" w:hint="default"/>
                <w:sz w:val="21"/>
                <w:szCs w:val="21"/>
              </w:rPr>
            </w:pPr>
            <w:r>
              <w:rPr>
                <w:rFonts w:ascii="宋体"/>
                <w:w w:val="100"/>
                <w:sz w:val="21"/>
              </w:rPr>
              <w:t> </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1"/>
              <w:jc w:val="right"/>
              <w:rPr>
                <w:rFonts w:ascii="宋体" w:hAnsi="宋体" w:cs="宋体" w:eastAsia="宋体" w:hint="default"/>
                <w:sz w:val="21"/>
                <w:szCs w:val="21"/>
              </w:rPr>
            </w:pPr>
            <w:r>
              <w:rPr>
                <w:rFonts w:ascii="宋体"/>
                <w:spacing w:val="-1"/>
                <w:sz w:val="21"/>
              </w:rPr>
              <w:t>61,128,247.96</w:t>
            </w:r>
            <w:r>
              <w:rPr>
                <w:rFonts w:ascii="宋体"/>
                <w:sz w:val="21"/>
              </w:rPr>
              <w:t> </w:t>
            </w:r>
          </w:p>
        </w:tc>
      </w:tr>
      <w:tr>
        <w:trPr>
          <w:trHeight w:val="634" w:hRule="exact"/>
        </w:trPr>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9"/>
              <w:jc w:val="left"/>
              <w:rPr>
                <w:rFonts w:ascii="宋体" w:hAnsi="宋体" w:cs="宋体" w:eastAsia="宋体" w:hint="default"/>
                <w:sz w:val="21"/>
                <w:szCs w:val="21"/>
              </w:rPr>
            </w:pPr>
            <w:r>
              <w:rPr>
                <w:rFonts w:ascii="宋体" w:hAnsi="宋体" w:cs="宋体" w:eastAsia="宋体" w:hint="default"/>
                <w:sz w:val="21"/>
                <w:szCs w:val="21"/>
              </w:rPr>
              <w:t>预</w:t>
            </w:r>
            <w:r>
              <w:rPr>
                <w:rFonts w:ascii="宋体" w:hAnsi="宋体" w:cs="宋体" w:eastAsia="宋体" w:hint="default"/>
                <w:spacing w:val="-73"/>
                <w:sz w:val="21"/>
                <w:szCs w:val="21"/>
              </w:rPr>
              <w:t> </w:t>
            </w:r>
            <w:r>
              <w:rPr>
                <w:rFonts w:ascii="宋体" w:hAnsi="宋体" w:cs="宋体" w:eastAsia="宋体" w:hint="default"/>
                <w:sz w:val="21"/>
                <w:szCs w:val="21"/>
              </w:rPr>
              <w:t>付</w:t>
            </w:r>
            <w:r>
              <w:rPr>
                <w:rFonts w:ascii="宋体" w:hAnsi="宋体" w:cs="宋体" w:eastAsia="宋体" w:hint="default"/>
                <w:spacing w:val="-76"/>
                <w:sz w:val="21"/>
                <w:szCs w:val="21"/>
              </w:rPr>
              <w:t> </w:t>
            </w:r>
            <w:r>
              <w:rPr>
                <w:rFonts w:ascii="宋体" w:hAnsi="宋体" w:cs="宋体" w:eastAsia="宋体" w:hint="default"/>
                <w:sz w:val="21"/>
                <w:szCs w:val="21"/>
              </w:rPr>
              <w:t>租</w:t>
            </w:r>
            <w:r>
              <w:rPr>
                <w:rFonts w:ascii="宋体" w:hAnsi="宋体" w:cs="宋体" w:eastAsia="宋体" w:hint="default"/>
                <w:w w:val="100"/>
                <w:sz w:val="21"/>
                <w:szCs w:val="21"/>
              </w:rPr>
              <w:t> </w:t>
            </w:r>
            <w:r>
              <w:rPr>
                <w:rFonts w:ascii="宋体" w:hAnsi="宋体" w:cs="宋体" w:eastAsia="宋体" w:hint="default"/>
                <w:sz w:val="21"/>
                <w:szCs w:val="21"/>
              </w:rPr>
              <w:t>赁费</w:t>
            </w:r>
            <w:r>
              <w:rPr>
                <w:rFonts w:ascii="宋体" w:hAnsi="宋体" w:cs="宋体" w:eastAsia="宋体" w:hint="default"/>
                <w:sz w:val="21"/>
                <w:szCs w:val="21"/>
              </w:rPr>
              <w:t> </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
              <w:jc w:val="right"/>
              <w:rPr>
                <w:rFonts w:ascii="宋体" w:hAnsi="宋体" w:cs="宋体" w:eastAsia="宋体" w:hint="default"/>
                <w:sz w:val="21"/>
                <w:szCs w:val="21"/>
              </w:rPr>
            </w:pPr>
            <w:r>
              <w:rPr>
                <w:rFonts w:ascii="宋体"/>
                <w:spacing w:val="-1"/>
                <w:sz w:val="21"/>
              </w:rPr>
              <w:t>27,388,197.62</w:t>
            </w:r>
            <w:r>
              <w:rPr>
                <w:rFonts w:ascii="宋体"/>
                <w:sz w:val="21"/>
              </w:rPr>
              <w:t> </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
              <w:jc w:val="right"/>
              <w:rPr>
                <w:rFonts w:ascii="宋体" w:hAnsi="宋体" w:cs="宋体" w:eastAsia="宋体" w:hint="default"/>
                <w:sz w:val="21"/>
                <w:szCs w:val="21"/>
              </w:rPr>
            </w:pPr>
            <w:r>
              <w:rPr>
                <w:rFonts w:ascii="宋体"/>
                <w:spacing w:val="-1"/>
                <w:sz w:val="21"/>
              </w:rPr>
              <w:t>14,460,263.38</w:t>
            </w:r>
            <w:r>
              <w:rPr>
                <w:rFonts w:ascii="宋体"/>
                <w:sz w:val="21"/>
              </w:rPr>
              <w:t> </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
              <w:jc w:val="right"/>
              <w:rPr>
                <w:rFonts w:ascii="宋体" w:hAnsi="宋体" w:cs="宋体" w:eastAsia="宋体" w:hint="default"/>
                <w:sz w:val="21"/>
                <w:szCs w:val="21"/>
              </w:rPr>
            </w:pPr>
            <w:r>
              <w:rPr>
                <w:rFonts w:ascii="宋体"/>
                <w:spacing w:val="-1"/>
                <w:sz w:val="21"/>
              </w:rPr>
              <w:t>12,900,963.63</w:t>
            </w:r>
            <w:r>
              <w:rPr>
                <w:rFonts w:ascii="宋体"/>
                <w:sz w:val="21"/>
              </w:rPr>
              <w:t> </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3"/>
              <w:jc w:val="right"/>
              <w:rPr>
                <w:rFonts w:ascii="宋体" w:hAnsi="宋体" w:cs="宋体" w:eastAsia="宋体" w:hint="default"/>
                <w:sz w:val="21"/>
                <w:szCs w:val="21"/>
              </w:rPr>
            </w:pPr>
            <w:r>
              <w:rPr>
                <w:rFonts w:ascii="宋体"/>
                <w:spacing w:val="-1"/>
                <w:sz w:val="21"/>
              </w:rPr>
              <w:t>41,888.92</w:t>
            </w:r>
            <w:r>
              <w:rPr>
                <w:rFonts w:ascii="宋体"/>
                <w:sz w:val="21"/>
              </w:rPr>
              <w:t> </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
              <w:jc w:val="right"/>
              <w:rPr>
                <w:rFonts w:ascii="宋体" w:hAnsi="宋体" w:cs="宋体" w:eastAsia="宋体" w:hint="default"/>
                <w:sz w:val="21"/>
                <w:szCs w:val="21"/>
              </w:rPr>
            </w:pPr>
            <w:r>
              <w:rPr>
                <w:rFonts w:ascii="宋体"/>
                <w:spacing w:val="-1"/>
                <w:sz w:val="21"/>
              </w:rPr>
              <w:t>28,905,608.45</w:t>
            </w:r>
            <w:r>
              <w:rPr>
                <w:rFonts w:ascii="宋体"/>
                <w:sz w:val="21"/>
              </w:rPr>
              <w:t> </w:t>
            </w:r>
          </w:p>
        </w:tc>
      </w:tr>
      <w:tr>
        <w:trPr>
          <w:trHeight w:val="322" w:hRule="exact"/>
        </w:trPr>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7"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74,587,452.84</w:t>
            </w:r>
            <w:r>
              <w:rPr>
                <w:rFonts w:ascii="宋体"/>
                <w:sz w:val="21"/>
              </w:rPr>
              <w:t> </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63,649,566.25</w:t>
            </w:r>
            <w:r>
              <w:rPr>
                <w:rFonts w:ascii="宋体"/>
                <w:sz w:val="21"/>
              </w:rPr>
              <w:t> </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27,670,804.49</w:t>
            </w:r>
            <w:r>
              <w:rPr>
                <w:rFonts w:ascii="宋体"/>
                <w:sz w:val="21"/>
              </w:rPr>
              <w:t> </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41,888.92</w:t>
            </w:r>
            <w:r>
              <w:rPr>
                <w:rFonts w:ascii="宋体"/>
                <w:sz w:val="21"/>
              </w:rPr>
              <w:t> </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110,524,325.68</w:t>
            </w:r>
            <w:r>
              <w:rPr>
                <w:rFonts w:ascii="宋体"/>
                <w:sz w:val="21"/>
              </w:rPr>
              <w:t> </w:t>
            </w:r>
          </w:p>
        </w:tc>
      </w:tr>
    </w:tbl>
    <w:p>
      <w:pPr>
        <w:spacing w:after="0" w:line="262" w:lineRule="exact"/>
        <w:jc w:val="right"/>
        <w:rPr>
          <w:rFonts w:ascii="宋体" w:hAnsi="宋体" w:cs="宋体" w:eastAsia="宋体" w:hint="default"/>
          <w:sz w:val="21"/>
          <w:szCs w:val="21"/>
        </w:rPr>
        <w:sectPr>
          <w:type w:val="continuous"/>
          <w:pgSz w:w="11910" w:h="16840"/>
          <w:pgMar w:top="1580" w:bottom="280" w:left="840" w:right="1340"/>
        </w:sectPr>
      </w:pPr>
    </w:p>
    <w:p>
      <w:pPr>
        <w:pStyle w:val="BodyText"/>
        <w:spacing w:line="262" w:lineRule="exact"/>
        <w:ind w:left="436" w:right="0"/>
        <w:jc w:val="left"/>
        <w:rPr>
          <w:rFonts w:ascii="宋体" w:hAnsi="宋体" w:cs="宋体" w:eastAsia="宋体" w:hint="default"/>
        </w:rPr>
      </w:pPr>
      <w:r>
        <w:rPr>
          <w:rFonts w:ascii="宋体"/>
          <w:w w:val="100"/>
        </w:rPr>
        <w:t> </w:t>
      </w:r>
    </w:p>
    <w:p>
      <w:pPr>
        <w:pStyle w:val="Heading3"/>
        <w:spacing w:line="324" w:lineRule="auto"/>
        <w:ind w:left="436" w:right="0"/>
        <w:jc w:val="left"/>
        <w:rPr>
          <w:rFonts w:ascii="宋体" w:hAnsi="宋体" w:cs="宋体" w:eastAsia="宋体" w:hint="default"/>
          <w:b w:val="0"/>
          <w:bCs w:val="0"/>
        </w:rPr>
      </w:pPr>
      <w:r>
        <w:rPr>
          <w:rFonts w:ascii="宋体" w:hAnsi="宋体" w:cs="宋体" w:eastAsia="宋体" w:hint="default"/>
        </w:rPr>
        <w:t>29</w:t>
      </w:r>
      <w:r>
        <w:rPr/>
        <w:t>、</w:t>
      </w:r>
      <w:r>
        <w:rPr>
          <w:spacing w:val="-26"/>
        </w:rPr>
        <w:t> </w:t>
      </w:r>
      <w:r>
        <w:rPr/>
        <w:t>递延所得税资产</w:t>
      </w:r>
      <w:r>
        <w:rPr>
          <w:rFonts w:ascii="宋体" w:hAnsi="宋体" w:cs="宋体" w:eastAsia="宋体" w:hint="default"/>
        </w:rPr>
        <w:t>/</w:t>
      </w:r>
      <w:r>
        <w:rPr/>
        <w:t>递延所得税负债</w:t>
      </w:r>
      <w:r>
        <w:rPr>
          <w:rFonts w:ascii="宋体" w:hAnsi="宋体" w:cs="宋体" w:eastAsia="宋体" w:hint="default"/>
          <w:w w:val="99"/>
        </w:rPr>
        <w:t> </w:t>
      </w:r>
      <w:r>
        <w:rPr>
          <w:rFonts w:ascii="宋体" w:hAnsi="宋体" w:cs="宋体" w:eastAsia="宋体" w:hint="default"/>
        </w:rPr>
        <w:t>(1).</w:t>
      </w:r>
      <w:r>
        <w:rPr/>
        <w:t>未经抵销的递延所得税资产</w:t>
      </w:r>
      <w:r>
        <w:rPr>
          <w:rFonts w:ascii="宋体" w:hAnsi="宋体" w:cs="宋体" w:eastAsia="宋体" w:hint="default"/>
          <w:w w:val="99"/>
        </w:rPr>
        <w:t> </w:t>
      </w:r>
      <w:r>
        <w:rPr>
          <w:rFonts w:ascii="宋体" w:hAnsi="宋体" w:cs="宋体" w:eastAsia="宋体" w:hint="default"/>
          <w:b w:val="0"/>
          <w:bCs w:val="0"/>
        </w:rPr>
      </w:r>
    </w:p>
    <w:p>
      <w:pPr>
        <w:pStyle w:val="Heading2"/>
        <w:spacing w:line="310" w:lineRule="exact"/>
        <w:ind w:left="43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8"/>
          <w:szCs w:val="28"/>
        </w:rPr>
      </w:pPr>
    </w:p>
    <w:p>
      <w:pPr>
        <w:pStyle w:val="BodyText"/>
        <w:spacing w:line="240" w:lineRule="auto"/>
        <w:ind w:left="436" w:right="0"/>
        <w:jc w:val="left"/>
        <w:rPr>
          <w:rFonts w:ascii="宋体" w:hAnsi="宋体" w:cs="宋体" w:eastAsia="宋体" w:hint="default"/>
        </w:rPr>
      </w:pPr>
      <w:r>
        <w:rPr/>
        <w:t>单位：元币种：人民币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580" w:bottom="280" w:left="840" w:right="1340"/>
          <w:cols w:num="2" w:equalWidth="0">
            <w:col w:w="4106" w:space="2628"/>
            <w:col w:w="2996"/>
          </w:cols>
        </w:sectPr>
      </w:pPr>
    </w:p>
    <w:p>
      <w:pPr>
        <w:spacing w:line="240" w:lineRule="auto" w:before="10"/>
        <w:rPr>
          <w:rFonts w:ascii="宋体" w:hAnsi="宋体" w:cs="宋体" w:eastAsia="宋体" w:hint="default"/>
          <w:sz w:val="3"/>
          <w:szCs w:val="3"/>
        </w:rPr>
      </w:pPr>
    </w:p>
    <w:tbl>
      <w:tblPr>
        <w:tblW w:w="0" w:type="auto"/>
        <w:jc w:val="left"/>
        <w:tblInd w:w="324" w:type="dxa"/>
        <w:tblLayout w:type="fixed"/>
        <w:tblCellMar>
          <w:top w:w="0" w:type="dxa"/>
          <w:left w:w="0" w:type="dxa"/>
          <w:bottom w:w="0" w:type="dxa"/>
          <w:right w:w="0" w:type="dxa"/>
        </w:tblCellMar>
        <w:tblLook w:val="01E0"/>
      </w:tblPr>
      <w:tblGrid>
        <w:gridCol w:w="1520"/>
        <w:gridCol w:w="1947"/>
        <w:gridCol w:w="1822"/>
        <w:gridCol w:w="1944"/>
        <w:gridCol w:w="1820"/>
      </w:tblGrid>
      <w:tr>
        <w:trPr>
          <w:trHeight w:val="324" w:hRule="exact"/>
        </w:trPr>
        <w:tc>
          <w:tcPr>
            <w:tcW w:w="1520"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left="545" w:right="0"/>
              <w:jc w:val="left"/>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37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1" w:right="0"/>
              <w:jc w:val="center"/>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3764" w:type="dxa"/>
            <w:gridSpan w:val="2"/>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0" w:right="0"/>
              <w:jc w:val="center"/>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634" w:hRule="exact"/>
        </w:trPr>
        <w:tc>
          <w:tcPr>
            <w:tcW w:w="1520" w:type="dxa"/>
            <w:vMerge/>
            <w:tcBorders>
              <w:left w:val="single" w:sz="4" w:space="0" w:color="000000"/>
              <w:bottom w:val="single" w:sz="4" w:space="0" w:color="000000"/>
              <w:right w:val="single" w:sz="4" w:space="0" w:color="000000"/>
            </w:tcBorders>
          </w:tcPr>
          <w:p>
            <w:pP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3"/>
              <w:jc w:val="right"/>
              <w:rPr>
                <w:rFonts w:ascii="宋体" w:hAnsi="宋体" w:cs="宋体" w:eastAsia="宋体" w:hint="default"/>
                <w:sz w:val="21"/>
                <w:szCs w:val="21"/>
              </w:rPr>
            </w:pPr>
            <w:r>
              <w:rPr>
                <w:rFonts w:ascii="宋体" w:hAnsi="宋体" w:cs="宋体" w:eastAsia="宋体" w:hint="default"/>
                <w:spacing w:val="-2"/>
                <w:sz w:val="21"/>
                <w:szCs w:val="21"/>
              </w:rPr>
              <w:t>可抵扣暂时性差异</w:t>
            </w:r>
            <w:r>
              <w:rPr>
                <w:rFonts w:ascii="宋体" w:hAnsi="宋体" w:cs="宋体" w:eastAsia="宋体" w:hint="default"/>
                <w:sz w:val="21"/>
                <w:szCs w:val="21"/>
              </w:rPr>
              <w:t> </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693" w:right="276" w:hanging="317"/>
              <w:jc w:val="left"/>
              <w:rPr>
                <w:rFonts w:ascii="宋体" w:hAnsi="宋体" w:cs="宋体" w:eastAsia="宋体" w:hint="default"/>
                <w:sz w:val="21"/>
                <w:szCs w:val="21"/>
              </w:rPr>
            </w:pPr>
            <w:r>
              <w:rPr>
                <w:rFonts w:ascii="宋体" w:hAnsi="宋体" w:cs="宋体" w:eastAsia="宋体" w:hint="default"/>
                <w:sz w:val="21"/>
                <w:szCs w:val="21"/>
              </w:rPr>
              <w:t>递延所得税</w:t>
            </w:r>
            <w:r>
              <w:rPr>
                <w:rFonts w:ascii="宋体" w:hAnsi="宋体" w:cs="宋体" w:eastAsia="宋体" w:hint="default"/>
                <w:w w:val="100"/>
                <w:sz w:val="21"/>
                <w:szCs w:val="21"/>
              </w:rPr>
              <w:t> </w:t>
            </w:r>
            <w:r>
              <w:rPr>
                <w:rFonts w:ascii="宋体" w:hAnsi="宋体" w:cs="宋体" w:eastAsia="宋体" w:hint="default"/>
                <w:sz w:val="21"/>
                <w:szCs w:val="21"/>
              </w:rPr>
              <w:t>资产</w:t>
            </w:r>
            <w:r>
              <w:rPr>
                <w:rFonts w:ascii="宋体" w:hAnsi="宋体" w:cs="宋体" w:eastAsia="宋体" w:hint="default"/>
                <w:sz w:val="21"/>
                <w:szCs w:val="21"/>
              </w:rPr>
              <w:t> </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3"/>
              <w:jc w:val="right"/>
              <w:rPr>
                <w:rFonts w:ascii="宋体" w:hAnsi="宋体" w:cs="宋体" w:eastAsia="宋体" w:hint="default"/>
                <w:sz w:val="21"/>
                <w:szCs w:val="21"/>
              </w:rPr>
            </w:pPr>
            <w:r>
              <w:rPr>
                <w:rFonts w:ascii="宋体" w:hAnsi="宋体" w:cs="宋体" w:eastAsia="宋体" w:hint="default"/>
                <w:spacing w:val="-2"/>
                <w:sz w:val="21"/>
                <w:szCs w:val="21"/>
              </w:rPr>
              <w:t>可抵扣暂时性差异</w:t>
            </w:r>
            <w:r>
              <w:rPr>
                <w:rFonts w:ascii="宋体" w:hAnsi="宋体" w:cs="宋体" w:eastAsia="宋体" w:hint="default"/>
                <w:sz w:val="21"/>
                <w:szCs w:val="21"/>
              </w:rPr>
              <w:t> </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694" w:right="275" w:hanging="318"/>
              <w:jc w:val="left"/>
              <w:rPr>
                <w:rFonts w:ascii="宋体" w:hAnsi="宋体" w:cs="宋体" w:eastAsia="宋体" w:hint="default"/>
                <w:sz w:val="21"/>
                <w:szCs w:val="21"/>
              </w:rPr>
            </w:pPr>
            <w:r>
              <w:rPr>
                <w:rFonts w:ascii="宋体" w:hAnsi="宋体" w:cs="宋体" w:eastAsia="宋体" w:hint="default"/>
                <w:sz w:val="21"/>
                <w:szCs w:val="21"/>
              </w:rPr>
              <w:t>递延所得税</w:t>
            </w:r>
            <w:r>
              <w:rPr>
                <w:rFonts w:ascii="宋体" w:hAnsi="宋体" w:cs="宋体" w:eastAsia="宋体" w:hint="default"/>
                <w:w w:val="100"/>
                <w:sz w:val="21"/>
                <w:szCs w:val="21"/>
              </w:rPr>
              <w:t> </w:t>
            </w:r>
            <w:r>
              <w:rPr>
                <w:rFonts w:ascii="宋体" w:hAnsi="宋体" w:cs="宋体" w:eastAsia="宋体" w:hint="default"/>
                <w:sz w:val="21"/>
                <w:szCs w:val="21"/>
              </w:rPr>
              <w:t>资产</w:t>
            </w:r>
            <w:r>
              <w:rPr>
                <w:rFonts w:ascii="宋体" w:hAnsi="宋体" w:cs="宋体" w:eastAsia="宋体" w:hint="default"/>
                <w:sz w:val="21"/>
                <w:szCs w:val="21"/>
              </w:rPr>
              <w:t> </w:t>
            </w:r>
          </w:p>
        </w:tc>
      </w:tr>
      <w:tr>
        <w:trPr>
          <w:trHeight w:val="634" w:hRule="exact"/>
        </w:trPr>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39" w:firstLine="211"/>
              <w:jc w:val="left"/>
              <w:rPr>
                <w:rFonts w:ascii="宋体" w:hAnsi="宋体" w:cs="宋体" w:eastAsia="宋体" w:hint="default"/>
                <w:sz w:val="21"/>
                <w:szCs w:val="21"/>
              </w:rPr>
            </w:pPr>
            <w:r>
              <w:rPr>
                <w:rFonts w:ascii="宋体" w:hAnsi="宋体" w:cs="宋体" w:eastAsia="宋体" w:hint="default"/>
                <w:sz w:val="21"/>
                <w:szCs w:val="21"/>
              </w:rPr>
              <w:t>资产减值准</w:t>
            </w:r>
            <w:r>
              <w:rPr>
                <w:rFonts w:ascii="宋体" w:hAnsi="宋体" w:cs="宋体" w:eastAsia="宋体" w:hint="default"/>
                <w:w w:val="100"/>
                <w:sz w:val="21"/>
                <w:szCs w:val="21"/>
              </w:rPr>
              <w:t> </w:t>
            </w:r>
            <w:r>
              <w:rPr>
                <w:rFonts w:ascii="宋体" w:hAnsi="宋体" w:cs="宋体" w:eastAsia="宋体" w:hint="default"/>
                <w:sz w:val="21"/>
                <w:szCs w:val="21"/>
              </w:rPr>
              <w:t>备</w:t>
            </w:r>
            <w:r>
              <w:rPr>
                <w:rFonts w:ascii="宋体" w:hAnsi="宋体" w:cs="宋体" w:eastAsia="宋体" w:hint="default"/>
                <w:sz w:val="21"/>
                <w:szCs w:val="21"/>
              </w:rPr>
              <w:t> </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
              <w:jc w:val="right"/>
              <w:rPr>
                <w:rFonts w:ascii="宋体" w:hAnsi="宋体" w:cs="宋体" w:eastAsia="宋体" w:hint="default"/>
                <w:sz w:val="21"/>
                <w:szCs w:val="21"/>
              </w:rPr>
            </w:pPr>
            <w:r>
              <w:rPr>
                <w:rFonts w:ascii="宋体"/>
                <w:spacing w:val="-1"/>
                <w:sz w:val="21"/>
              </w:rPr>
              <w:t>114,958,032.04</w:t>
            </w:r>
            <w:r>
              <w:rPr>
                <w:rFonts w:ascii="宋体"/>
                <w:sz w:val="21"/>
              </w:rPr>
              <w:t> </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
              <w:jc w:val="right"/>
              <w:rPr>
                <w:rFonts w:ascii="宋体" w:hAnsi="宋体" w:cs="宋体" w:eastAsia="宋体" w:hint="default"/>
                <w:sz w:val="21"/>
                <w:szCs w:val="21"/>
              </w:rPr>
            </w:pPr>
            <w:r>
              <w:rPr>
                <w:rFonts w:ascii="宋体"/>
                <w:spacing w:val="-1"/>
                <w:sz w:val="21"/>
              </w:rPr>
              <w:t>16,892,336.60</w:t>
            </w:r>
            <w:r>
              <w:rPr>
                <w:rFonts w:ascii="宋体"/>
                <w:sz w:val="21"/>
              </w:rPr>
              <w:t> </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
              <w:jc w:val="right"/>
              <w:rPr>
                <w:rFonts w:ascii="宋体" w:hAnsi="宋体" w:cs="宋体" w:eastAsia="宋体" w:hint="default"/>
                <w:sz w:val="21"/>
                <w:szCs w:val="21"/>
              </w:rPr>
            </w:pPr>
            <w:r>
              <w:rPr>
                <w:rFonts w:ascii="宋体"/>
                <w:spacing w:val="-1"/>
                <w:sz w:val="21"/>
              </w:rPr>
              <w:t>132,536,494.02</w:t>
            </w:r>
            <w:r>
              <w:rPr>
                <w:rFonts w:ascii="宋体"/>
                <w:sz w:val="21"/>
              </w:rPr>
              <w:t> </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3"/>
              <w:jc w:val="right"/>
              <w:rPr>
                <w:rFonts w:ascii="宋体" w:hAnsi="宋体" w:cs="宋体" w:eastAsia="宋体" w:hint="default"/>
                <w:sz w:val="21"/>
                <w:szCs w:val="21"/>
              </w:rPr>
            </w:pPr>
            <w:r>
              <w:rPr>
                <w:rFonts w:ascii="宋体"/>
                <w:spacing w:val="-1"/>
                <w:sz w:val="21"/>
              </w:rPr>
              <w:t>20,877,579.02</w:t>
            </w:r>
            <w:r>
              <w:rPr>
                <w:rFonts w:ascii="宋体"/>
                <w:sz w:val="21"/>
              </w:rPr>
              <w:t> </w:t>
            </w:r>
          </w:p>
        </w:tc>
      </w:tr>
      <w:tr>
        <w:trPr>
          <w:trHeight w:val="634" w:hRule="exact"/>
        </w:trPr>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39" w:firstLine="211"/>
              <w:jc w:val="left"/>
              <w:rPr>
                <w:rFonts w:ascii="宋体" w:hAnsi="宋体" w:cs="宋体" w:eastAsia="宋体" w:hint="default"/>
                <w:sz w:val="21"/>
                <w:szCs w:val="21"/>
              </w:rPr>
            </w:pPr>
            <w:r>
              <w:rPr>
                <w:rFonts w:ascii="宋体" w:hAnsi="宋体" w:cs="宋体" w:eastAsia="宋体" w:hint="default"/>
                <w:sz w:val="21"/>
                <w:szCs w:val="21"/>
              </w:rPr>
              <w:t>内部交易未</w:t>
            </w:r>
            <w:r>
              <w:rPr>
                <w:rFonts w:ascii="宋体" w:hAnsi="宋体" w:cs="宋体" w:eastAsia="宋体" w:hint="default"/>
                <w:w w:val="100"/>
                <w:sz w:val="21"/>
                <w:szCs w:val="21"/>
              </w:rPr>
              <w:t> </w:t>
            </w:r>
            <w:r>
              <w:rPr>
                <w:rFonts w:ascii="宋体" w:hAnsi="宋体" w:cs="宋体" w:eastAsia="宋体" w:hint="default"/>
                <w:sz w:val="21"/>
                <w:szCs w:val="21"/>
              </w:rPr>
              <w:t>实现利润</w:t>
            </w:r>
            <w:r>
              <w:rPr>
                <w:rFonts w:ascii="宋体" w:hAnsi="宋体" w:cs="宋体" w:eastAsia="宋体" w:hint="default"/>
                <w:sz w:val="21"/>
                <w:szCs w:val="21"/>
              </w:rPr>
              <w:t> </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
              <w:jc w:val="right"/>
              <w:rPr>
                <w:rFonts w:ascii="宋体" w:hAnsi="宋体" w:cs="宋体" w:eastAsia="宋体" w:hint="default"/>
                <w:sz w:val="21"/>
                <w:szCs w:val="21"/>
              </w:rPr>
            </w:pPr>
            <w:r>
              <w:rPr>
                <w:rFonts w:ascii="宋体"/>
                <w:spacing w:val="-1"/>
                <w:sz w:val="21"/>
              </w:rPr>
              <w:t>223,775,208.76</w:t>
            </w:r>
            <w:r>
              <w:rPr>
                <w:rFonts w:ascii="宋体"/>
                <w:sz w:val="21"/>
              </w:rPr>
              <w:t> </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
              <w:jc w:val="right"/>
              <w:rPr>
                <w:rFonts w:ascii="宋体" w:hAnsi="宋体" w:cs="宋体" w:eastAsia="宋体" w:hint="default"/>
                <w:sz w:val="21"/>
                <w:szCs w:val="21"/>
              </w:rPr>
            </w:pPr>
            <w:r>
              <w:rPr>
                <w:rFonts w:ascii="宋体"/>
                <w:spacing w:val="-1"/>
                <w:sz w:val="21"/>
              </w:rPr>
              <w:t>43,313,592.31</w:t>
            </w:r>
            <w:r>
              <w:rPr>
                <w:rFonts w:ascii="宋体"/>
                <w:sz w:val="21"/>
              </w:rPr>
              <w:t> </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
              <w:jc w:val="right"/>
              <w:rPr>
                <w:rFonts w:ascii="宋体" w:hAnsi="宋体" w:cs="宋体" w:eastAsia="宋体" w:hint="default"/>
                <w:sz w:val="21"/>
                <w:szCs w:val="21"/>
              </w:rPr>
            </w:pPr>
            <w:r>
              <w:rPr>
                <w:rFonts w:ascii="宋体"/>
                <w:spacing w:val="-1"/>
                <w:sz w:val="21"/>
              </w:rPr>
              <w:t>167,298,435.98</w:t>
            </w:r>
            <w:r>
              <w:rPr>
                <w:rFonts w:ascii="宋体"/>
                <w:sz w:val="21"/>
              </w:rPr>
              <w:t> </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3"/>
              <w:jc w:val="right"/>
              <w:rPr>
                <w:rFonts w:ascii="宋体" w:hAnsi="宋体" w:cs="宋体" w:eastAsia="宋体" w:hint="default"/>
                <w:sz w:val="21"/>
                <w:szCs w:val="21"/>
              </w:rPr>
            </w:pPr>
            <w:r>
              <w:rPr>
                <w:rFonts w:ascii="宋体"/>
                <w:spacing w:val="-1"/>
                <w:sz w:val="21"/>
              </w:rPr>
              <w:t>39,941,961.83</w:t>
            </w:r>
            <w:r>
              <w:rPr>
                <w:rFonts w:ascii="宋体"/>
                <w:sz w:val="21"/>
              </w:rPr>
              <w:t> </w:t>
            </w:r>
          </w:p>
        </w:tc>
      </w:tr>
      <w:tr>
        <w:trPr>
          <w:trHeight w:val="322" w:hRule="exact"/>
        </w:trPr>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45"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338,733,240.80</w:t>
            </w:r>
            <w:r>
              <w:rPr>
                <w:rFonts w:ascii="宋体"/>
                <w:sz w:val="21"/>
              </w:rPr>
              <w:t> </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60,205,928.91</w:t>
            </w:r>
            <w:r>
              <w:rPr>
                <w:rFonts w:ascii="宋体"/>
                <w:sz w:val="21"/>
              </w:rPr>
              <w:t> </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299,834,930.00</w:t>
            </w:r>
            <w:r>
              <w:rPr>
                <w:rFonts w:ascii="宋体"/>
                <w:sz w:val="21"/>
              </w:rPr>
              <w:t> </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60,819,540.85</w:t>
            </w:r>
            <w:r>
              <w:rPr>
                <w:rFonts w:ascii="宋体"/>
                <w:sz w:val="21"/>
              </w:rPr>
              <w:t> </w:t>
            </w:r>
          </w:p>
        </w:tc>
      </w:tr>
    </w:tbl>
    <w:p>
      <w:pPr>
        <w:spacing w:after="0" w:line="262" w:lineRule="exact"/>
        <w:jc w:val="right"/>
        <w:rPr>
          <w:rFonts w:ascii="宋体" w:hAnsi="宋体" w:cs="宋体" w:eastAsia="宋体" w:hint="default"/>
          <w:sz w:val="21"/>
          <w:szCs w:val="21"/>
        </w:rPr>
        <w:sectPr>
          <w:type w:val="continuous"/>
          <w:pgSz w:w="11910" w:h="16840"/>
          <w:pgMar w:top="1580" w:bottom="280" w:left="840" w:right="1340"/>
        </w:sectPr>
      </w:pPr>
    </w:p>
    <w:p>
      <w:pPr>
        <w:pStyle w:val="Heading2"/>
        <w:spacing w:line="274" w:lineRule="exact"/>
        <w:ind w:left="436" w:right="0"/>
        <w:jc w:val="left"/>
        <w:rPr>
          <w:rFonts w:ascii="宋体" w:hAnsi="宋体" w:cs="宋体" w:eastAsia="宋体" w:hint="default"/>
        </w:rPr>
      </w:pPr>
      <w:r>
        <w:rPr>
          <w:rFonts w:ascii="宋体"/>
        </w:rPr>
        <w:t> </w:t>
      </w:r>
    </w:p>
    <w:p>
      <w:pPr>
        <w:pStyle w:val="Heading3"/>
        <w:spacing w:line="240" w:lineRule="auto" w:before="85"/>
        <w:ind w:left="436" w:right="0"/>
        <w:jc w:val="left"/>
        <w:rPr>
          <w:rFonts w:ascii="宋体" w:hAnsi="宋体" w:cs="宋体" w:eastAsia="宋体" w:hint="default"/>
          <w:b w:val="0"/>
          <w:bCs w:val="0"/>
        </w:rPr>
      </w:pPr>
      <w:r>
        <w:rPr>
          <w:rFonts w:ascii="宋体" w:hAnsi="宋体" w:cs="宋体" w:eastAsia="宋体" w:hint="default"/>
        </w:rPr>
        <w:t>(2).</w:t>
      </w:r>
      <w:r>
        <w:rPr/>
        <w:t>未经抵销的递延所得税负债</w:t>
      </w:r>
      <w:r>
        <w:rPr>
          <w:rFonts w:ascii="宋体" w:hAnsi="宋体" w:cs="宋体" w:eastAsia="宋体" w:hint="default"/>
          <w:w w:val="99"/>
        </w:rPr>
        <w:t> </w:t>
      </w:r>
      <w:r>
        <w:rPr>
          <w:rFonts w:ascii="宋体" w:hAnsi="宋体" w:cs="宋体" w:eastAsia="宋体" w:hint="default"/>
          <w:b w:val="0"/>
          <w:bCs w:val="0"/>
        </w:rPr>
      </w:r>
    </w:p>
    <w:p>
      <w:pPr>
        <w:pStyle w:val="Heading2"/>
        <w:spacing w:line="240" w:lineRule="auto" w:before="69"/>
        <w:ind w:left="43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3"/>
        <w:spacing w:line="240" w:lineRule="auto" w:before="85"/>
        <w:ind w:left="436" w:right="0"/>
        <w:jc w:val="left"/>
        <w:rPr>
          <w:rFonts w:ascii="宋体" w:hAnsi="宋体" w:cs="宋体" w:eastAsia="宋体" w:hint="default"/>
          <w:b w:val="0"/>
          <w:bCs w:val="0"/>
        </w:rPr>
      </w:pPr>
      <w:r>
        <w:rPr>
          <w:rFonts w:ascii="宋体" w:hAnsi="宋体" w:cs="宋体" w:eastAsia="宋体" w:hint="default"/>
        </w:rPr>
        <w:t>(3).</w:t>
      </w:r>
      <w:r>
        <w:rPr/>
        <w:t>以抵销后净额列示的递延所得税资产或负债</w:t>
      </w:r>
      <w:r>
        <w:rPr>
          <w:rFonts w:ascii="宋体" w:hAnsi="宋体" w:cs="宋体" w:eastAsia="宋体" w:hint="default"/>
          <w:w w:val="99"/>
        </w:rPr>
        <w:t> </w:t>
      </w:r>
      <w:r>
        <w:rPr>
          <w:rFonts w:ascii="宋体" w:hAnsi="宋体" w:cs="宋体" w:eastAsia="宋体" w:hint="default"/>
          <w:b w:val="0"/>
          <w:bCs w:val="0"/>
        </w:rPr>
      </w:r>
    </w:p>
    <w:p>
      <w:pPr>
        <w:spacing w:line="324" w:lineRule="auto" w:before="97"/>
        <w:ind w:left="436" w:right="33"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(4).</w:t>
      </w:r>
      <w:r>
        <w:rPr>
          <w:rFonts w:ascii="宋体" w:hAnsi="宋体" w:cs="宋体" w:eastAsia="宋体" w:hint="default"/>
          <w:b/>
          <w:bCs/>
          <w:sz w:val="21"/>
          <w:szCs w:val="21"/>
        </w:rPr>
        <w:t>未确认递延所得税资产明细</w:t>
      </w:r>
      <w:r>
        <w:rPr>
          <w:rFonts w:ascii="宋体" w:hAnsi="宋体" w:cs="宋体" w:eastAsia="宋体" w:hint="default"/>
          <w:b/>
          <w:bCs/>
          <w:w w:val="99"/>
          <w:sz w:val="21"/>
          <w:szCs w:val="21"/>
        </w:rPr>
        <w:t> </w:t>
      </w:r>
      <w:r>
        <w:rPr>
          <w:rFonts w:ascii="宋体" w:hAnsi="宋体" w:cs="宋体" w:eastAsia="宋体" w:hint="default"/>
          <w:sz w:val="21"/>
          <w:szCs w:val="21"/>
        </w:rPr>
      </w:r>
    </w:p>
    <w:p>
      <w:pPr>
        <w:pStyle w:val="Heading2"/>
        <w:spacing w:line="310" w:lineRule="exact"/>
        <w:ind w:left="43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76"/>
        <w:ind w:left="436" w:right="0"/>
        <w:jc w:val="left"/>
        <w:rPr>
          <w:rFonts w:ascii="宋体" w:hAnsi="宋体" w:cs="宋体" w:eastAsia="宋体" w:hint="default"/>
        </w:rPr>
      </w:pPr>
      <w:r>
        <w:rPr/>
        <w:t>单位：元币种：人民币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580" w:bottom="280" w:left="840" w:right="1340"/>
          <w:cols w:num="2" w:equalWidth="0">
            <w:col w:w="4977" w:space="1757"/>
            <w:col w:w="2996"/>
          </w:cols>
        </w:sectPr>
      </w:pPr>
    </w:p>
    <w:p>
      <w:pPr>
        <w:spacing w:line="240" w:lineRule="auto" w:before="10"/>
        <w:rPr>
          <w:rFonts w:ascii="宋体" w:hAnsi="宋体" w:cs="宋体" w:eastAsia="宋体" w:hint="default"/>
          <w:sz w:val="3"/>
          <w:szCs w:val="3"/>
        </w:rPr>
      </w:pPr>
    </w:p>
    <w:tbl>
      <w:tblPr>
        <w:tblW w:w="0" w:type="auto"/>
        <w:jc w:val="left"/>
        <w:tblInd w:w="324" w:type="dxa"/>
        <w:tblLayout w:type="fixed"/>
        <w:tblCellMar>
          <w:top w:w="0" w:type="dxa"/>
          <w:left w:w="0" w:type="dxa"/>
          <w:bottom w:w="0" w:type="dxa"/>
          <w:right w:w="0" w:type="dxa"/>
        </w:tblCellMar>
        <w:tblLook w:val="01E0"/>
      </w:tblPr>
      <w:tblGrid>
        <w:gridCol w:w="2891"/>
        <w:gridCol w:w="3082"/>
        <w:gridCol w:w="3077"/>
      </w:tblGrid>
      <w:tr>
        <w:trPr>
          <w:trHeight w:val="324" w:hRule="exact"/>
        </w:trPr>
        <w:tc>
          <w:tcPr>
            <w:tcW w:w="289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113"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113"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322" w:hRule="exact"/>
        </w:trPr>
        <w:tc>
          <w:tcPr>
            <w:tcW w:w="289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可抵扣暂时性差异</w:t>
            </w:r>
            <w:r>
              <w:rPr>
                <w:rFonts w:ascii="宋体" w:hAnsi="宋体" w:cs="宋体" w:eastAsia="宋体" w:hint="default"/>
                <w:sz w:val="21"/>
                <w:szCs w:val="21"/>
              </w:rPr>
              <w:t> </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39,583,622.68</w:t>
            </w:r>
            <w:r>
              <w:rPr>
                <w:rFonts w:ascii="宋体"/>
                <w:sz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right"/>
              <w:rPr>
                <w:rFonts w:ascii="宋体" w:hAnsi="宋体" w:cs="宋体" w:eastAsia="宋体" w:hint="default"/>
                <w:sz w:val="21"/>
                <w:szCs w:val="21"/>
              </w:rPr>
            </w:pPr>
            <w:r>
              <w:rPr>
                <w:rFonts w:ascii="宋体"/>
                <w:spacing w:val="-1"/>
                <w:sz w:val="21"/>
              </w:rPr>
              <w:t>29,048,123.28</w:t>
            </w:r>
            <w:r>
              <w:rPr>
                <w:rFonts w:ascii="宋体"/>
                <w:sz w:val="21"/>
              </w:rPr>
              <w:t> </w:t>
            </w:r>
          </w:p>
        </w:tc>
      </w:tr>
      <w:tr>
        <w:trPr>
          <w:trHeight w:val="322" w:hRule="exact"/>
        </w:trPr>
        <w:tc>
          <w:tcPr>
            <w:tcW w:w="289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可抵扣亏损</w:t>
            </w:r>
            <w:r>
              <w:rPr>
                <w:rFonts w:ascii="宋体" w:hAnsi="宋体" w:cs="宋体" w:eastAsia="宋体" w:hint="default"/>
                <w:sz w:val="21"/>
                <w:szCs w:val="21"/>
              </w:rPr>
              <w:t> </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190,915,333.58</w:t>
            </w:r>
            <w:r>
              <w:rPr>
                <w:rFonts w:ascii="宋体"/>
                <w:sz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right"/>
              <w:rPr>
                <w:rFonts w:ascii="宋体" w:hAnsi="宋体" w:cs="宋体" w:eastAsia="宋体" w:hint="default"/>
                <w:sz w:val="21"/>
                <w:szCs w:val="21"/>
              </w:rPr>
            </w:pPr>
            <w:r>
              <w:rPr>
                <w:rFonts w:ascii="宋体"/>
                <w:spacing w:val="-1"/>
                <w:sz w:val="21"/>
              </w:rPr>
              <w:t>168,792,763.57</w:t>
            </w:r>
            <w:r>
              <w:rPr>
                <w:rFonts w:ascii="宋体"/>
                <w:sz w:val="21"/>
              </w:rPr>
              <w:t> </w:t>
            </w:r>
          </w:p>
        </w:tc>
      </w:tr>
      <w:tr>
        <w:trPr>
          <w:trHeight w:val="322" w:hRule="exact"/>
        </w:trPr>
        <w:tc>
          <w:tcPr>
            <w:tcW w:w="289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230,498,956.26</w:t>
            </w:r>
            <w:r>
              <w:rPr>
                <w:rFonts w:ascii="宋体"/>
                <w:sz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right"/>
              <w:rPr>
                <w:rFonts w:ascii="宋体" w:hAnsi="宋体" w:cs="宋体" w:eastAsia="宋体" w:hint="default"/>
                <w:sz w:val="21"/>
                <w:szCs w:val="21"/>
              </w:rPr>
            </w:pPr>
            <w:r>
              <w:rPr>
                <w:rFonts w:ascii="宋体"/>
                <w:spacing w:val="-1"/>
                <w:sz w:val="21"/>
              </w:rPr>
              <w:t>197,840,886.85</w:t>
            </w:r>
            <w:r>
              <w:rPr>
                <w:rFonts w:ascii="宋体"/>
                <w:sz w:val="21"/>
              </w:rPr>
              <w:t> </w:t>
            </w:r>
          </w:p>
        </w:tc>
      </w:tr>
    </w:tbl>
    <w:p>
      <w:pPr>
        <w:pStyle w:val="Heading2"/>
        <w:spacing w:line="274" w:lineRule="exact"/>
        <w:ind w:left="436" w:right="0"/>
        <w:jc w:val="left"/>
        <w:rPr>
          <w:rFonts w:ascii="宋体" w:hAnsi="宋体" w:cs="宋体" w:eastAsia="宋体" w:hint="default"/>
        </w:rPr>
      </w:pPr>
      <w:r>
        <w:rPr>
          <w:rFonts w:ascii="宋体"/>
        </w:rPr>
        <w:t> </w:t>
      </w:r>
    </w:p>
    <w:p>
      <w:pPr>
        <w:spacing w:after="0" w:line="274" w:lineRule="exact"/>
        <w:jc w:val="left"/>
        <w:rPr>
          <w:rFonts w:ascii="宋体" w:hAnsi="宋体" w:cs="宋体" w:eastAsia="宋体" w:hint="default"/>
        </w:rPr>
        <w:sectPr>
          <w:type w:val="continuous"/>
          <w:pgSz w:w="11910" w:h="16840"/>
          <w:pgMar w:top="1580" w:bottom="280" w:left="840" w:right="1340"/>
        </w:sectPr>
      </w:pPr>
    </w:p>
    <w:p>
      <w:pPr>
        <w:spacing w:line="240" w:lineRule="auto" w:before="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pgSz w:w="11910" w:h="16840"/>
          <w:pgMar w:header="0" w:footer="974" w:top="1140" w:bottom="1160" w:left="1060" w:right="1560"/>
        </w:sectPr>
      </w:pPr>
    </w:p>
    <w:p>
      <w:pPr>
        <w:pStyle w:val="Heading3"/>
        <w:spacing w:line="240" w:lineRule="auto" w:before="36"/>
        <w:ind w:left="216" w:right="0"/>
        <w:jc w:val="left"/>
        <w:rPr>
          <w:rFonts w:ascii="宋体" w:hAnsi="宋体" w:cs="宋体" w:eastAsia="宋体" w:hint="default"/>
          <w:b w:val="0"/>
          <w:bCs w:val="0"/>
        </w:rPr>
      </w:pPr>
      <w:r>
        <w:rPr>
          <w:rFonts w:ascii="宋体" w:hAnsi="宋体" w:cs="宋体" w:eastAsia="宋体" w:hint="default"/>
        </w:rPr>
        <w:t>(5).</w:t>
      </w:r>
      <w:r>
        <w:rPr/>
        <w:t>未确认递延所得税资产的可抵扣亏损将于以下年度到期</w:t>
      </w:r>
      <w:r>
        <w:rPr>
          <w:rFonts w:ascii="宋体" w:hAnsi="宋体" w:cs="宋体" w:eastAsia="宋体" w:hint="default"/>
          <w:w w:val="99"/>
        </w:rPr>
        <w:t> </w:t>
      </w:r>
      <w:r>
        <w:rPr>
          <w:rFonts w:ascii="宋体" w:hAnsi="宋体" w:cs="宋体" w:eastAsia="宋体" w:hint="default"/>
          <w:b w:val="0"/>
          <w:bCs w:val="0"/>
        </w:rPr>
      </w:r>
    </w:p>
    <w:p>
      <w:pPr>
        <w:pStyle w:val="Heading2"/>
        <w:spacing w:line="240" w:lineRule="auto" w:before="69"/>
        <w:ind w:left="21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spacing w:line="240" w:lineRule="auto"/>
        <w:ind w:left="216" w:right="0"/>
        <w:jc w:val="left"/>
        <w:rPr>
          <w:rFonts w:ascii="宋体" w:hAnsi="宋体" w:cs="宋体" w:eastAsia="宋体" w:hint="default"/>
        </w:rPr>
      </w:pPr>
      <w:r>
        <w:rPr/>
        <w:t>单位：元币种：人民币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580" w:bottom="280" w:left="1060" w:right="1560"/>
          <w:cols w:num="2" w:equalWidth="0">
            <w:col w:w="5811" w:space="867"/>
            <w:col w:w="2612"/>
          </w:cols>
        </w:sectPr>
      </w:pPr>
    </w:p>
    <w:p>
      <w:pPr>
        <w:spacing w:line="240" w:lineRule="auto" w:before="10"/>
        <w:rPr>
          <w:rFonts w:ascii="宋体" w:hAnsi="宋体" w:cs="宋体" w:eastAsia="宋体" w:hint="default"/>
          <w:sz w:val="3"/>
          <w:szCs w:val="3"/>
        </w:rPr>
      </w:pPr>
    </w:p>
    <w:tbl>
      <w:tblPr>
        <w:tblW w:w="0" w:type="auto"/>
        <w:jc w:val="left"/>
        <w:tblInd w:w="103" w:type="dxa"/>
        <w:tblLayout w:type="fixed"/>
        <w:tblCellMar>
          <w:top w:w="0" w:type="dxa"/>
          <w:left w:w="0" w:type="dxa"/>
          <w:bottom w:w="0" w:type="dxa"/>
          <w:right w:w="0" w:type="dxa"/>
        </w:tblCellMar>
        <w:tblLook w:val="01E0"/>
      </w:tblPr>
      <w:tblGrid>
        <w:gridCol w:w="2084"/>
        <w:gridCol w:w="2288"/>
        <w:gridCol w:w="2324"/>
        <w:gridCol w:w="2355"/>
      </w:tblGrid>
      <w:tr>
        <w:trPr>
          <w:trHeight w:val="322" w:hRule="exact"/>
        </w:trPr>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720"/>
              <w:jc w:val="right"/>
              <w:rPr>
                <w:rFonts w:ascii="宋体" w:hAnsi="宋体" w:cs="宋体" w:eastAsia="宋体" w:hint="default"/>
                <w:sz w:val="21"/>
                <w:szCs w:val="21"/>
              </w:rPr>
            </w:pPr>
            <w:r>
              <w:rPr>
                <w:rFonts w:ascii="宋体" w:hAnsi="宋体" w:cs="宋体" w:eastAsia="宋体" w:hint="default"/>
                <w:spacing w:val="-2"/>
                <w:sz w:val="21"/>
                <w:szCs w:val="21"/>
              </w:rPr>
              <w:t>年份</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18" w:right="0"/>
              <w:jc w:val="left"/>
              <w:rPr>
                <w:rFonts w:ascii="宋体" w:hAnsi="宋体" w:cs="宋体" w:eastAsia="宋体" w:hint="default"/>
                <w:sz w:val="21"/>
                <w:szCs w:val="21"/>
              </w:rPr>
            </w:pPr>
            <w:r>
              <w:rPr>
                <w:rFonts w:ascii="宋体" w:hAnsi="宋体" w:cs="宋体" w:eastAsia="宋体" w:hint="default"/>
                <w:sz w:val="21"/>
                <w:szCs w:val="21"/>
              </w:rPr>
              <w:t>期末金额</w:t>
            </w:r>
            <w:r>
              <w:rPr>
                <w:rFonts w:ascii="宋体" w:hAnsi="宋体" w:cs="宋体" w:eastAsia="宋体" w:hint="default"/>
                <w:sz w:val="21"/>
                <w:szCs w:val="21"/>
              </w:rPr>
              <w:t> </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36" w:right="0"/>
              <w:jc w:val="left"/>
              <w:rPr>
                <w:rFonts w:ascii="宋体" w:hAnsi="宋体" w:cs="宋体" w:eastAsia="宋体" w:hint="default"/>
                <w:sz w:val="21"/>
                <w:szCs w:val="21"/>
              </w:rPr>
            </w:pPr>
            <w:r>
              <w:rPr>
                <w:rFonts w:ascii="宋体" w:hAnsi="宋体" w:cs="宋体" w:eastAsia="宋体" w:hint="default"/>
                <w:sz w:val="21"/>
                <w:szCs w:val="21"/>
              </w:rPr>
              <w:t>期初金额</w:t>
            </w:r>
            <w:r>
              <w:rPr>
                <w:rFonts w:ascii="宋体" w:hAnsi="宋体" w:cs="宋体" w:eastAsia="宋体" w:hint="default"/>
                <w:sz w:val="21"/>
                <w:szCs w:val="21"/>
              </w:rPr>
              <w:t> </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5" w:right="0"/>
              <w:jc w:val="center"/>
              <w:rPr>
                <w:rFonts w:ascii="宋体" w:hAnsi="宋体" w:cs="宋体" w:eastAsia="宋体" w:hint="default"/>
                <w:sz w:val="21"/>
                <w:szCs w:val="21"/>
              </w:rPr>
            </w:pPr>
            <w:r>
              <w:rPr>
                <w:rFonts w:ascii="宋体" w:hAnsi="宋体" w:cs="宋体" w:eastAsia="宋体" w:hint="default"/>
                <w:sz w:val="21"/>
                <w:szCs w:val="21"/>
              </w:rPr>
              <w:t>备注</w:t>
            </w:r>
            <w:r>
              <w:rPr>
                <w:rFonts w:ascii="宋体" w:hAnsi="宋体" w:cs="宋体" w:eastAsia="宋体" w:hint="default"/>
                <w:sz w:val="21"/>
                <w:szCs w:val="21"/>
              </w:rPr>
              <w:t> </w:t>
            </w:r>
          </w:p>
        </w:tc>
      </w:tr>
      <w:tr>
        <w:trPr>
          <w:trHeight w:val="322" w:hRule="exact"/>
        </w:trPr>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720"/>
              <w:jc w:val="right"/>
              <w:rPr>
                <w:rFonts w:ascii="宋体" w:hAnsi="宋体" w:cs="宋体" w:eastAsia="宋体" w:hint="default"/>
                <w:sz w:val="21"/>
                <w:szCs w:val="21"/>
              </w:rPr>
            </w:pPr>
            <w:r>
              <w:rPr>
                <w:rFonts w:ascii="宋体"/>
                <w:spacing w:val="-1"/>
                <w:sz w:val="21"/>
              </w:rPr>
              <w:t>2019</w:t>
            </w:r>
            <w:r>
              <w:rPr>
                <w:rFonts w:ascii="宋体"/>
                <w:sz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3,908,890.06</w:t>
            </w:r>
            <w:r>
              <w:rPr>
                <w:rFonts w:ascii="宋体"/>
                <w:sz w:val="21"/>
              </w:rPr>
              <w:t> </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w w:val="100"/>
                <w:sz w:val="21"/>
              </w:rPr>
              <w:t> </w:t>
            </w:r>
          </w:p>
        </w:tc>
      </w:tr>
      <w:tr>
        <w:trPr>
          <w:trHeight w:val="322" w:hRule="exact"/>
        </w:trPr>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720"/>
              <w:jc w:val="right"/>
              <w:rPr>
                <w:rFonts w:ascii="宋体" w:hAnsi="宋体" w:cs="宋体" w:eastAsia="宋体" w:hint="default"/>
                <w:sz w:val="21"/>
                <w:szCs w:val="21"/>
              </w:rPr>
            </w:pPr>
            <w:r>
              <w:rPr>
                <w:rFonts w:ascii="宋体"/>
                <w:spacing w:val="-1"/>
                <w:sz w:val="21"/>
              </w:rPr>
              <w:t>2020</w:t>
            </w:r>
            <w:r>
              <w:rPr>
                <w:rFonts w:ascii="宋体"/>
                <w:sz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2,560,755.75</w:t>
            </w:r>
            <w:r>
              <w:rPr>
                <w:rFonts w:ascii="宋体"/>
                <w:sz w:val="21"/>
              </w:rPr>
              <w:t> </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31,970,789.75</w:t>
            </w:r>
            <w:r>
              <w:rPr>
                <w:rFonts w:ascii="宋体"/>
                <w:sz w:val="21"/>
              </w:rPr>
              <w:t> </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w w:val="100"/>
                <w:sz w:val="21"/>
              </w:rPr>
              <w:t> </w:t>
            </w:r>
          </w:p>
        </w:tc>
      </w:tr>
      <w:tr>
        <w:trPr>
          <w:trHeight w:val="324" w:hRule="exact"/>
        </w:trPr>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720"/>
              <w:jc w:val="right"/>
              <w:rPr>
                <w:rFonts w:ascii="宋体" w:hAnsi="宋体" w:cs="宋体" w:eastAsia="宋体" w:hint="default"/>
                <w:sz w:val="21"/>
                <w:szCs w:val="21"/>
              </w:rPr>
            </w:pPr>
            <w:r>
              <w:rPr>
                <w:rFonts w:ascii="宋体"/>
                <w:spacing w:val="-1"/>
                <w:sz w:val="21"/>
              </w:rPr>
              <w:t>2021</w:t>
            </w:r>
            <w:r>
              <w:rPr>
                <w:rFonts w:ascii="宋体"/>
                <w:sz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spacing w:val="-1"/>
                <w:sz w:val="21"/>
              </w:rPr>
              <w:t>17,775,616.25</w:t>
            </w:r>
            <w:r>
              <w:rPr>
                <w:rFonts w:ascii="宋体"/>
                <w:sz w:val="21"/>
              </w:rPr>
              <w:t> </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spacing w:val="-1"/>
                <w:sz w:val="21"/>
              </w:rPr>
              <w:t>42,566,564.93</w:t>
            </w:r>
            <w:r>
              <w:rPr>
                <w:rFonts w:ascii="宋体"/>
                <w:sz w:val="21"/>
              </w:rPr>
              <w:t> </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w w:val="100"/>
                <w:sz w:val="21"/>
              </w:rPr>
              <w:t> </w:t>
            </w:r>
          </w:p>
        </w:tc>
      </w:tr>
      <w:tr>
        <w:trPr>
          <w:trHeight w:val="322" w:hRule="exact"/>
        </w:trPr>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720"/>
              <w:jc w:val="right"/>
              <w:rPr>
                <w:rFonts w:ascii="宋体" w:hAnsi="宋体" w:cs="宋体" w:eastAsia="宋体" w:hint="default"/>
                <w:sz w:val="21"/>
                <w:szCs w:val="21"/>
              </w:rPr>
            </w:pPr>
            <w:r>
              <w:rPr>
                <w:rFonts w:ascii="宋体"/>
                <w:spacing w:val="-1"/>
                <w:sz w:val="21"/>
              </w:rPr>
              <w:t>2022</w:t>
            </w:r>
            <w:r>
              <w:rPr>
                <w:rFonts w:ascii="宋体"/>
                <w:sz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16,022,511.36</w:t>
            </w:r>
            <w:r>
              <w:rPr>
                <w:rFonts w:ascii="宋体"/>
                <w:sz w:val="21"/>
              </w:rPr>
              <w:t> </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18,515,496.73</w:t>
            </w:r>
            <w:r>
              <w:rPr>
                <w:rFonts w:ascii="宋体"/>
                <w:sz w:val="21"/>
              </w:rPr>
              <w:t> </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w w:val="100"/>
                <w:sz w:val="21"/>
              </w:rPr>
              <w:t> </w:t>
            </w:r>
          </w:p>
        </w:tc>
      </w:tr>
      <w:tr>
        <w:trPr>
          <w:trHeight w:val="322" w:hRule="exact"/>
        </w:trPr>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720"/>
              <w:jc w:val="right"/>
              <w:rPr>
                <w:rFonts w:ascii="宋体" w:hAnsi="宋体" w:cs="宋体" w:eastAsia="宋体" w:hint="default"/>
                <w:sz w:val="21"/>
                <w:szCs w:val="21"/>
              </w:rPr>
            </w:pPr>
            <w:r>
              <w:rPr>
                <w:rFonts w:ascii="宋体"/>
                <w:spacing w:val="-1"/>
                <w:sz w:val="21"/>
              </w:rPr>
              <w:t>2023</w:t>
            </w:r>
            <w:r>
              <w:rPr>
                <w:rFonts w:ascii="宋体"/>
                <w:sz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79,912,737.86</w:t>
            </w:r>
            <w:r>
              <w:rPr>
                <w:rFonts w:ascii="宋体"/>
                <w:sz w:val="21"/>
              </w:rPr>
              <w:t> </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71,831,022.10</w:t>
            </w:r>
            <w:r>
              <w:rPr>
                <w:rFonts w:ascii="宋体"/>
                <w:sz w:val="21"/>
              </w:rPr>
              <w:t> </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w w:val="100"/>
                <w:sz w:val="21"/>
              </w:rPr>
              <w:t> </w:t>
            </w:r>
          </w:p>
        </w:tc>
      </w:tr>
      <w:tr>
        <w:trPr>
          <w:trHeight w:val="322" w:hRule="exact"/>
        </w:trPr>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720"/>
              <w:jc w:val="right"/>
              <w:rPr>
                <w:rFonts w:ascii="宋体" w:hAnsi="宋体" w:cs="宋体" w:eastAsia="宋体" w:hint="default"/>
                <w:sz w:val="21"/>
                <w:szCs w:val="21"/>
              </w:rPr>
            </w:pPr>
            <w:r>
              <w:rPr>
                <w:rFonts w:ascii="宋体"/>
                <w:spacing w:val="-1"/>
                <w:sz w:val="21"/>
              </w:rPr>
              <w:t>2024</w:t>
            </w:r>
            <w:r>
              <w:rPr>
                <w:rFonts w:ascii="宋体"/>
                <w:sz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74,643,712.36</w:t>
            </w:r>
            <w:r>
              <w:rPr>
                <w:rFonts w:ascii="宋体"/>
                <w:sz w:val="21"/>
              </w:rPr>
              <w:t> </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w w:val="100"/>
                <w:sz w:val="21"/>
              </w:rPr>
              <w:t> </w:t>
            </w:r>
          </w:p>
        </w:tc>
      </w:tr>
      <w:tr>
        <w:trPr>
          <w:trHeight w:val="322" w:hRule="exact"/>
        </w:trPr>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720"/>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190,915,333.58</w:t>
            </w:r>
            <w:r>
              <w:rPr>
                <w:rFonts w:ascii="宋体"/>
                <w:sz w:val="21"/>
              </w:rPr>
              <w:t> </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168,792,763.57</w:t>
            </w:r>
            <w:r>
              <w:rPr>
                <w:rFonts w:ascii="宋体"/>
                <w:sz w:val="21"/>
              </w:rPr>
              <w:t> </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center"/>
              <w:rPr>
                <w:rFonts w:ascii="宋体" w:hAnsi="宋体" w:cs="宋体" w:eastAsia="宋体" w:hint="default"/>
                <w:sz w:val="21"/>
                <w:szCs w:val="21"/>
              </w:rPr>
            </w:pPr>
            <w:r>
              <w:rPr>
                <w:rFonts w:ascii="宋体"/>
                <w:sz w:val="21"/>
              </w:rPr>
              <w:t>/ </w:t>
            </w:r>
          </w:p>
        </w:tc>
      </w:tr>
    </w:tbl>
    <w:p>
      <w:pPr>
        <w:spacing w:after="0" w:line="262" w:lineRule="exact"/>
        <w:jc w:val="center"/>
        <w:rPr>
          <w:rFonts w:ascii="宋体" w:hAnsi="宋体" w:cs="宋体" w:eastAsia="宋体" w:hint="default"/>
          <w:sz w:val="21"/>
          <w:szCs w:val="21"/>
        </w:rPr>
        <w:sectPr>
          <w:type w:val="continuous"/>
          <w:pgSz w:w="11910" w:h="16840"/>
          <w:pgMar w:top="1580" w:bottom="280" w:left="1060" w:right="1560"/>
        </w:sectPr>
      </w:pPr>
    </w:p>
    <w:p>
      <w:pPr>
        <w:pStyle w:val="BodyText"/>
        <w:spacing w:line="273" w:lineRule="auto"/>
        <w:ind w:left="216" w:right="0"/>
        <w:jc w:val="left"/>
        <w:rPr>
          <w:rFonts w:ascii="宋体" w:hAnsi="宋体" w:cs="宋体" w:eastAsia="宋体" w:hint="default"/>
        </w:rPr>
      </w:pPr>
      <w:r>
        <w:rPr>
          <w:rFonts w:ascii="宋体" w:hAnsi="宋体" w:cs="宋体" w:eastAsia="宋体" w:hint="default"/>
          <w:color w:val="FF00FF"/>
          <w:w w:val="100"/>
        </w:rPr>
        <w:t>  </w:t>
      </w:r>
      <w:r>
        <w:rPr>
          <w:w w:val="100"/>
        </w:rPr>
        <w:t>其他</w:t>
      </w:r>
      <w:r>
        <w:rPr>
          <w:spacing w:val="-3"/>
          <w:w w:val="100"/>
        </w:rPr>
        <w:t>说</w:t>
      </w:r>
      <w:r>
        <w:rPr>
          <w:w w:val="100"/>
        </w:rPr>
        <w:t>明</w:t>
      </w:r>
      <w:r>
        <w:rPr>
          <w:spacing w:val="-3"/>
          <w:w w:val="100"/>
        </w:rPr>
        <w:t>：</w:t>
      </w:r>
      <w:r>
        <w:rPr>
          <w:rFonts w:ascii="宋体" w:hAnsi="宋体" w:cs="宋体" w:eastAsia="宋体" w:hint="default"/>
          <w:w w:val="100"/>
        </w:rPr>
        <w:t> </w:t>
      </w:r>
    </w:p>
    <w:p>
      <w:pPr>
        <w:pStyle w:val="BodyText"/>
        <w:spacing w:line="240" w:lineRule="auto" w:before="7"/>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left="216" w:right="0"/>
        <w:jc w:val="left"/>
        <w:rPr>
          <w:rFonts w:ascii="宋体" w:hAnsi="宋体" w:cs="宋体" w:eastAsia="宋体" w:hint="default"/>
        </w:rPr>
      </w:pPr>
      <w:r>
        <w:rPr>
          <w:rFonts w:ascii="宋体"/>
          <w:w w:val="100"/>
        </w:rPr>
        <w:t> </w:t>
      </w:r>
    </w:p>
    <w:p>
      <w:pPr>
        <w:pStyle w:val="Heading3"/>
        <w:spacing w:line="240" w:lineRule="auto"/>
        <w:ind w:left="216" w:right="0"/>
        <w:jc w:val="left"/>
        <w:rPr>
          <w:b w:val="0"/>
          <w:bCs w:val="0"/>
        </w:rPr>
      </w:pPr>
      <w:r>
        <w:rPr>
          <w:rFonts w:ascii="宋体" w:hAnsi="宋体" w:cs="宋体" w:eastAsia="宋体" w:hint="default"/>
        </w:rPr>
        <w:t>30</w:t>
      </w:r>
      <w:r>
        <w:rPr/>
        <w:t>、</w:t>
      </w:r>
      <w:r>
        <w:rPr>
          <w:spacing w:val="-23"/>
        </w:rPr>
        <w:t> </w:t>
      </w:r>
      <w:r>
        <w:rPr/>
        <w:t>其他非流动资产</w:t>
      </w:r>
      <w:r>
        <w:rPr>
          <w:b w:val="0"/>
          <w:bCs w:val="0"/>
        </w:rPr>
      </w:r>
    </w:p>
    <w:p>
      <w:pPr>
        <w:pStyle w:val="Heading2"/>
        <w:spacing w:line="240" w:lineRule="auto" w:before="69"/>
        <w:ind w:left="21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48"/>
        <w:ind w:left="216" w:right="0"/>
        <w:jc w:val="left"/>
        <w:rPr>
          <w:rFonts w:ascii="宋体" w:hAnsi="宋体" w:cs="宋体" w:eastAsia="宋体" w:hint="default"/>
        </w:rPr>
      </w:pPr>
      <w:r>
        <w:rPr/>
        <w:t>单位：元币种：人民币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580" w:bottom="280" w:left="1060" w:right="1560"/>
          <w:cols w:num="2" w:equalWidth="0">
            <w:col w:w="2258" w:space="4476"/>
            <w:col w:w="2556"/>
          </w:cols>
        </w:sectPr>
      </w:pPr>
    </w:p>
    <w:p>
      <w:pPr>
        <w:spacing w:line="240" w:lineRule="auto" w:before="10"/>
        <w:rPr>
          <w:rFonts w:ascii="宋体" w:hAnsi="宋体" w:cs="宋体" w:eastAsia="宋体" w:hint="default"/>
          <w:sz w:val="3"/>
          <w:szCs w:val="3"/>
        </w:rPr>
      </w:pPr>
    </w:p>
    <w:tbl>
      <w:tblPr>
        <w:tblW w:w="0" w:type="auto"/>
        <w:jc w:val="left"/>
        <w:tblInd w:w="180" w:type="dxa"/>
        <w:tblLayout w:type="fixed"/>
        <w:tblCellMar>
          <w:top w:w="0" w:type="dxa"/>
          <w:left w:w="0" w:type="dxa"/>
          <w:bottom w:w="0" w:type="dxa"/>
          <w:right w:w="0" w:type="dxa"/>
        </w:tblCellMar>
        <w:tblLook w:val="01E0"/>
      </w:tblPr>
      <w:tblGrid>
        <w:gridCol w:w="2816"/>
        <w:gridCol w:w="3080"/>
        <w:gridCol w:w="3001"/>
      </w:tblGrid>
      <w:tr>
        <w:trPr>
          <w:trHeight w:val="324" w:hRule="exact"/>
        </w:trPr>
        <w:tc>
          <w:tcPr>
            <w:tcW w:w="281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5"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116"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75"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322" w:hRule="exact"/>
        </w:trPr>
        <w:tc>
          <w:tcPr>
            <w:tcW w:w="281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待抵扣进项税重分类</w:t>
            </w:r>
            <w:r>
              <w:rPr>
                <w:rFonts w:ascii="宋体" w:hAnsi="宋体" w:cs="宋体" w:eastAsia="宋体" w:hint="default"/>
                <w:sz w:val="21"/>
                <w:szCs w:val="21"/>
              </w:rPr>
              <w:t> </w:t>
            </w:r>
          </w:p>
        </w:tc>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9"/>
              <w:jc w:val="right"/>
              <w:rPr>
                <w:rFonts w:ascii="宋体" w:hAnsi="宋体" w:cs="宋体" w:eastAsia="宋体" w:hint="default"/>
                <w:sz w:val="21"/>
                <w:szCs w:val="21"/>
              </w:rPr>
            </w:pPr>
            <w:r>
              <w:rPr>
                <w:rFonts w:ascii="宋体"/>
                <w:spacing w:val="-1"/>
                <w:sz w:val="21"/>
              </w:rPr>
              <w:t>528,708,585.31</w:t>
            </w:r>
          </w:p>
        </w:tc>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0"/>
              <w:jc w:val="right"/>
              <w:rPr>
                <w:rFonts w:ascii="宋体" w:hAnsi="宋体" w:cs="宋体" w:eastAsia="宋体" w:hint="default"/>
                <w:sz w:val="21"/>
                <w:szCs w:val="21"/>
              </w:rPr>
            </w:pPr>
            <w:r>
              <w:rPr>
                <w:rFonts w:ascii="宋体"/>
                <w:spacing w:val="-1"/>
                <w:sz w:val="21"/>
              </w:rPr>
              <w:t>684,597,380.68</w:t>
            </w:r>
          </w:p>
        </w:tc>
      </w:tr>
      <w:tr>
        <w:trPr>
          <w:trHeight w:val="322" w:hRule="exact"/>
        </w:trPr>
        <w:tc>
          <w:tcPr>
            <w:tcW w:w="281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预付光伏电站建设款</w:t>
            </w:r>
            <w:r>
              <w:rPr>
                <w:rFonts w:ascii="宋体" w:hAnsi="宋体" w:cs="宋体" w:eastAsia="宋体" w:hint="default"/>
                <w:sz w:val="21"/>
                <w:szCs w:val="21"/>
              </w:rPr>
              <w:t> </w:t>
            </w:r>
          </w:p>
        </w:tc>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9"/>
              <w:jc w:val="right"/>
              <w:rPr>
                <w:rFonts w:ascii="宋体" w:hAnsi="宋体" w:cs="宋体" w:eastAsia="宋体" w:hint="default"/>
                <w:sz w:val="21"/>
                <w:szCs w:val="21"/>
              </w:rPr>
            </w:pPr>
            <w:r>
              <w:rPr>
                <w:rFonts w:ascii="宋体"/>
                <w:spacing w:val="-1"/>
                <w:sz w:val="21"/>
              </w:rPr>
              <w:t>13,722,724.43</w:t>
            </w:r>
          </w:p>
        </w:tc>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0"/>
              <w:jc w:val="right"/>
              <w:rPr>
                <w:rFonts w:ascii="宋体" w:hAnsi="宋体" w:cs="宋体" w:eastAsia="宋体" w:hint="default"/>
                <w:sz w:val="21"/>
                <w:szCs w:val="21"/>
              </w:rPr>
            </w:pPr>
            <w:r>
              <w:rPr>
                <w:rFonts w:ascii="宋体"/>
                <w:spacing w:val="-1"/>
                <w:sz w:val="21"/>
              </w:rPr>
              <w:t>12,246,409.50</w:t>
            </w:r>
          </w:p>
        </w:tc>
      </w:tr>
      <w:tr>
        <w:trPr>
          <w:trHeight w:val="322" w:hRule="exact"/>
        </w:trPr>
        <w:tc>
          <w:tcPr>
            <w:tcW w:w="281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预付固定资产</w:t>
            </w:r>
            <w:r>
              <w:rPr>
                <w:rFonts w:ascii="宋体" w:hAnsi="宋体" w:cs="宋体" w:eastAsia="宋体" w:hint="default"/>
                <w:sz w:val="21"/>
                <w:szCs w:val="21"/>
              </w:rPr>
              <w:t> </w:t>
            </w:r>
          </w:p>
        </w:tc>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9"/>
              <w:jc w:val="right"/>
              <w:rPr>
                <w:rFonts w:ascii="宋体" w:hAnsi="宋体" w:cs="宋体" w:eastAsia="宋体" w:hint="default"/>
                <w:sz w:val="21"/>
                <w:szCs w:val="21"/>
              </w:rPr>
            </w:pPr>
            <w:r>
              <w:rPr>
                <w:rFonts w:ascii="宋体"/>
                <w:spacing w:val="-1"/>
                <w:sz w:val="21"/>
              </w:rPr>
              <w:t>27,377,558.30</w:t>
            </w:r>
          </w:p>
        </w:tc>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0"/>
              <w:jc w:val="right"/>
              <w:rPr>
                <w:rFonts w:ascii="宋体" w:hAnsi="宋体" w:cs="宋体" w:eastAsia="宋体" w:hint="default"/>
                <w:sz w:val="21"/>
                <w:szCs w:val="21"/>
              </w:rPr>
            </w:pPr>
            <w:r>
              <w:rPr>
                <w:rFonts w:ascii="宋体"/>
                <w:spacing w:val="-1"/>
                <w:sz w:val="21"/>
              </w:rPr>
              <w:t>154,911,252.41</w:t>
            </w:r>
          </w:p>
        </w:tc>
      </w:tr>
      <w:tr>
        <w:trPr>
          <w:trHeight w:val="322" w:hRule="exact"/>
        </w:trPr>
        <w:tc>
          <w:tcPr>
            <w:tcW w:w="2816"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19"/>
              <w:jc w:val="right"/>
              <w:rPr>
                <w:rFonts w:ascii="宋体" w:hAnsi="宋体" w:cs="宋体" w:eastAsia="宋体" w:hint="default"/>
                <w:sz w:val="21"/>
                <w:szCs w:val="21"/>
              </w:rPr>
            </w:pPr>
            <w:r>
              <w:rPr>
                <w:rFonts w:ascii="宋体"/>
                <w:spacing w:val="-1"/>
                <w:sz w:val="21"/>
              </w:rPr>
              <w:t>83,333.33</w:t>
            </w:r>
          </w:p>
        </w:tc>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19"/>
              <w:jc w:val="right"/>
              <w:rPr>
                <w:rFonts w:ascii="宋体" w:hAnsi="宋体" w:cs="宋体" w:eastAsia="宋体" w:hint="default"/>
                <w:sz w:val="21"/>
                <w:szCs w:val="21"/>
              </w:rPr>
            </w:pPr>
            <w:r>
              <w:rPr>
                <w:rFonts w:ascii="宋体"/>
                <w:spacing w:val="-1"/>
                <w:sz w:val="21"/>
              </w:rPr>
              <w:t>310,000.00</w:t>
            </w:r>
          </w:p>
        </w:tc>
      </w:tr>
      <w:tr>
        <w:trPr>
          <w:trHeight w:val="324" w:hRule="exact"/>
        </w:trPr>
        <w:tc>
          <w:tcPr>
            <w:tcW w:w="281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5"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9"/>
              <w:jc w:val="right"/>
              <w:rPr>
                <w:rFonts w:ascii="宋体" w:hAnsi="宋体" w:cs="宋体" w:eastAsia="宋体" w:hint="default"/>
                <w:sz w:val="21"/>
                <w:szCs w:val="21"/>
              </w:rPr>
            </w:pPr>
            <w:r>
              <w:rPr>
                <w:rFonts w:ascii="宋体"/>
                <w:spacing w:val="-1"/>
                <w:sz w:val="21"/>
              </w:rPr>
              <w:t>569,892,201.37</w:t>
            </w:r>
          </w:p>
        </w:tc>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0"/>
              <w:jc w:val="right"/>
              <w:rPr>
                <w:rFonts w:ascii="宋体" w:hAnsi="宋体" w:cs="宋体" w:eastAsia="宋体" w:hint="default"/>
                <w:sz w:val="21"/>
                <w:szCs w:val="21"/>
              </w:rPr>
            </w:pPr>
            <w:r>
              <w:rPr>
                <w:rFonts w:ascii="宋体"/>
                <w:spacing w:val="-1"/>
                <w:sz w:val="21"/>
              </w:rPr>
              <w:t>852,065,042.59</w:t>
            </w:r>
          </w:p>
        </w:tc>
      </w:tr>
    </w:tbl>
    <w:p>
      <w:pPr>
        <w:spacing w:after="0" w:line="262" w:lineRule="exact"/>
        <w:jc w:val="right"/>
        <w:rPr>
          <w:rFonts w:ascii="宋体" w:hAnsi="宋体" w:cs="宋体" w:eastAsia="宋体" w:hint="default"/>
          <w:sz w:val="21"/>
          <w:szCs w:val="21"/>
        </w:rPr>
        <w:sectPr>
          <w:type w:val="continuous"/>
          <w:pgSz w:w="11910" w:h="16840"/>
          <w:pgMar w:top="1580" w:bottom="280" w:left="1060" w:right="1560"/>
        </w:sectPr>
      </w:pPr>
    </w:p>
    <w:p>
      <w:pPr>
        <w:pStyle w:val="BodyText"/>
        <w:spacing w:line="262" w:lineRule="exact"/>
        <w:ind w:left="216" w:right="0"/>
        <w:jc w:val="left"/>
        <w:rPr>
          <w:rFonts w:ascii="宋体" w:hAnsi="宋体" w:cs="宋体" w:eastAsia="宋体" w:hint="default"/>
        </w:rPr>
      </w:pPr>
      <w:r>
        <w:rPr>
          <w:rFonts w:ascii="宋体"/>
          <w:w w:val="100"/>
        </w:rPr>
        <w:t> </w:t>
      </w:r>
    </w:p>
    <w:p>
      <w:pPr>
        <w:pStyle w:val="Heading3"/>
        <w:spacing w:line="324" w:lineRule="auto"/>
        <w:ind w:left="216" w:right="0"/>
        <w:jc w:val="left"/>
        <w:rPr>
          <w:rFonts w:ascii="宋体" w:hAnsi="宋体" w:cs="宋体" w:eastAsia="宋体" w:hint="default"/>
          <w:b w:val="0"/>
          <w:bCs w:val="0"/>
        </w:rPr>
      </w:pPr>
      <w:r>
        <w:rPr>
          <w:rFonts w:ascii="宋体" w:hAnsi="宋体" w:cs="宋体" w:eastAsia="宋体" w:hint="default"/>
        </w:rPr>
        <w:t>31</w:t>
      </w:r>
      <w:r>
        <w:rPr/>
        <w:t>、</w:t>
      </w:r>
      <w:r>
        <w:rPr>
          <w:spacing w:val="-26"/>
        </w:rPr>
        <w:t> </w:t>
      </w:r>
      <w:r>
        <w:rPr/>
        <w:t>短期借款</w:t>
      </w:r>
      <w:r>
        <w:rPr>
          <w:rFonts w:ascii="宋体" w:hAnsi="宋体" w:cs="宋体" w:eastAsia="宋体" w:hint="default"/>
          <w:w w:val="99"/>
        </w:rPr>
        <w:t> </w:t>
      </w:r>
      <w:r>
        <w:rPr>
          <w:rFonts w:ascii="宋体" w:hAnsi="宋体" w:cs="宋体" w:eastAsia="宋体" w:hint="default"/>
        </w:rPr>
        <w:t>(1).</w:t>
      </w:r>
      <w:r>
        <w:rPr/>
        <w:t>短期借款分类</w:t>
      </w:r>
      <w:r>
        <w:rPr>
          <w:rFonts w:ascii="宋体" w:hAnsi="宋体" w:cs="宋体" w:eastAsia="宋体" w:hint="default"/>
          <w:w w:val="99"/>
        </w:rPr>
        <w:t> </w:t>
      </w:r>
      <w:r>
        <w:rPr>
          <w:rFonts w:ascii="宋体" w:hAnsi="宋体" w:cs="宋体" w:eastAsia="宋体" w:hint="default"/>
          <w:b w:val="0"/>
          <w:bCs w:val="0"/>
        </w:rPr>
      </w:r>
    </w:p>
    <w:p>
      <w:pPr>
        <w:pStyle w:val="Heading2"/>
        <w:spacing w:line="310" w:lineRule="exact"/>
        <w:ind w:left="21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8"/>
          <w:szCs w:val="28"/>
        </w:rPr>
      </w:pPr>
    </w:p>
    <w:p>
      <w:pPr>
        <w:pStyle w:val="BodyText"/>
        <w:spacing w:line="240" w:lineRule="auto"/>
        <w:ind w:left="216" w:right="0"/>
        <w:jc w:val="left"/>
        <w:rPr>
          <w:rFonts w:ascii="宋体" w:hAnsi="宋体" w:cs="宋体" w:eastAsia="宋体" w:hint="default"/>
        </w:rPr>
      </w:pPr>
      <w:r>
        <w:rPr/>
        <w:t>单位：元币种：人民币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580" w:bottom="280" w:left="1060" w:right="1560"/>
          <w:cols w:num="2" w:equalWidth="0">
            <w:col w:w="2258" w:space="4476"/>
            <w:col w:w="2556"/>
          </w:cols>
        </w:sectPr>
      </w:pPr>
    </w:p>
    <w:p>
      <w:pPr>
        <w:spacing w:line="240" w:lineRule="auto" w:before="10"/>
        <w:rPr>
          <w:rFonts w:ascii="宋体" w:hAnsi="宋体" w:cs="宋体" w:eastAsia="宋体" w:hint="default"/>
          <w:sz w:val="3"/>
          <w:szCs w:val="3"/>
        </w:rPr>
      </w:pPr>
    </w:p>
    <w:tbl>
      <w:tblPr>
        <w:tblW w:w="0" w:type="auto"/>
        <w:jc w:val="left"/>
        <w:tblInd w:w="180" w:type="dxa"/>
        <w:tblLayout w:type="fixed"/>
        <w:tblCellMar>
          <w:top w:w="0" w:type="dxa"/>
          <w:left w:w="0" w:type="dxa"/>
          <w:bottom w:w="0" w:type="dxa"/>
          <w:right w:w="0" w:type="dxa"/>
        </w:tblCellMar>
        <w:tblLook w:val="01E0"/>
      </w:tblPr>
      <w:tblGrid>
        <w:gridCol w:w="2874"/>
        <w:gridCol w:w="3003"/>
        <w:gridCol w:w="3020"/>
      </w:tblGrid>
      <w:tr>
        <w:trPr>
          <w:trHeight w:val="322" w:hRule="exact"/>
        </w:trPr>
        <w:tc>
          <w:tcPr>
            <w:tcW w:w="287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114"/>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300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75"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82"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1" w:hRule="exact"/>
        </w:trPr>
        <w:tc>
          <w:tcPr>
            <w:tcW w:w="2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质押借款</w:t>
            </w:r>
            <w:r>
              <w:rPr>
                <w:rFonts w:ascii="宋体" w:hAnsi="宋体" w:cs="宋体" w:eastAsia="宋体" w:hint="default"/>
                <w:sz w:val="21"/>
                <w:szCs w:val="21"/>
              </w:rPr>
              <w:t> </w:t>
            </w:r>
          </w:p>
        </w:tc>
        <w:tc>
          <w:tcPr>
            <w:tcW w:w="30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 </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 </w:t>
            </w:r>
          </w:p>
        </w:tc>
      </w:tr>
      <w:tr>
        <w:trPr>
          <w:trHeight w:val="283" w:hRule="exact"/>
        </w:trPr>
        <w:tc>
          <w:tcPr>
            <w:tcW w:w="28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抵押借款</w:t>
            </w:r>
            <w:r>
              <w:rPr>
                <w:rFonts w:ascii="宋体" w:hAnsi="宋体" w:cs="宋体" w:eastAsia="宋体" w:hint="default"/>
                <w:sz w:val="21"/>
                <w:szCs w:val="21"/>
              </w:rPr>
              <w:t> </w:t>
            </w:r>
          </w:p>
        </w:tc>
        <w:tc>
          <w:tcPr>
            <w:tcW w:w="300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110,000,000.00</w:t>
            </w:r>
            <w:r>
              <w:rPr>
                <w:rFonts w:ascii="宋体"/>
                <w:sz w:val="21"/>
              </w:rPr>
              <w:t> </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150,000,000.00</w:t>
            </w:r>
            <w:r>
              <w:rPr>
                <w:rFonts w:ascii="宋体"/>
                <w:sz w:val="21"/>
              </w:rPr>
              <w:t> </w:t>
            </w:r>
          </w:p>
        </w:tc>
      </w:tr>
      <w:tr>
        <w:trPr>
          <w:trHeight w:val="283" w:hRule="exact"/>
        </w:trPr>
        <w:tc>
          <w:tcPr>
            <w:tcW w:w="2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保证借款</w:t>
            </w:r>
            <w:r>
              <w:rPr>
                <w:rFonts w:ascii="宋体" w:hAnsi="宋体" w:cs="宋体" w:eastAsia="宋体" w:hint="default"/>
                <w:sz w:val="21"/>
                <w:szCs w:val="21"/>
              </w:rPr>
              <w:t> </w:t>
            </w:r>
          </w:p>
        </w:tc>
        <w:tc>
          <w:tcPr>
            <w:tcW w:w="30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779,940,414.87</w:t>
            </w:r>
            <w:r>
              <w:rPr>
                <w:rFonts w:ascii="宋体"/>
                <w:sz w:val="21"/>
              </w:rPr>
              <w:t> </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246,550,000.00</w:t>
            </w:r>
            <w:r>
              <w:rPr>
                <w:rFonts w:ascii="宋体"/>
                <w:sz w:val="21"/>
              </w:rPr>
              <w:t> </w:t>
            </w:r>
          </w:p>
        </w:tc>
      </w:tr>
      <w:tr>
        <w:trPr>
          <w:trHeight w:val="281" w:hRule="exact"/>
        </w:trPr>
        <w:tc>
          <w:tcPr>
            <w:tcW w:w="2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信用借款</w:t>
            </w:r>
            <w:r>
              <w:rPr>
                <w:rFonts w:ascii="宋体" w:hAnsi="宋体" w:cs="宋体" w:eastAsia="宋体" w:hint="default"/>
                <w:sz w:val="21"/>
                <w:szCs w:val="21"/>
              </w:rPr>
              <w:t> </w:t>
            </w:r>
          </w:p>
        </w:tc>
        <w:tc>
          <w:tcPr>
            <w:tcW w:w="30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10,000,000.00</w:t>
            </w:r>
            <w:r>
              <w:rPr>
                <w:rFonts w:ascii="宋体"/>
                <w:sz w:val="21"/>
              </w:rPr>
              <w:t> </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 </w:t>
            </w:r>
          </w:p>
        </w:tc>
      </w:tr>
      <w:tr>
        <w:trPr>
          <w:trHeight w:val="283" w:hRule="exact"/>
        </w:trPr>
        <w:tc>
          <w:tcPr>
            <w:tcW w:w="28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应付利息</w:t>
            </w:r>
            <w:r>
              <w:rPr>
                <w:rFonts w:ascii="宋体" w:hAnsi="宋体" w:cs="宋体" w:eastAsia="宋体" w:hint="default"/>
                <w:sz w:val="21"/>
                <w:szCs w:val="21"/>
              </w:rPr>
              <w:t> </w:t>
            </w:r>
          </w:p>
        </w:tc>
        <w:tc>
          <w:tcPr>
            <w:tcW w:w="300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1,183,256.29</w:t>
            </w:r>
            <w:r>
              <w:rPr>
                <w:rFonts w:ascii="宋体"/>
                <w:sz w:val="21"/>
              </w:rPr>
              <w:t> </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w w:val="100"/>
                <w:sz w:val="21"/>
              </w:rPr>
              <w:t> </w:t>
            </w:r>
          </w:p>
        </w:tc>
      </w:tr>
      <w:tr>
        <w:trPr>
          <w:trHeight w:val="283" w:hRule="exact"/>
        </w:trPr>
        <w:tc>
          <w:tcPr>
            <w:tcW w:w="2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14"/>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30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901,123,671.16</w:t>
            </w:r>
            <w:r>
              <w:rPr>
                <w:rFonts w:ascii="宋体"/>
                <w:sz w:val="21"/>
              </w:rPr>
              <w:t> </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396,550,000.00</w:t>
            </w:r>
            <w:r>
              <w:rPr>
                <w:rFonts w:ascii="宋体"/>
                <w:sz w:val="21"/>
              </w:rPr>
              <w:t> </w:t>
            </w:r>
          </w:p>
        </w:tc>
      </w:tr>
    </w:tbl>
    <w:p>
      <w:pPr>
        <w:pStyle w:val="BodyText"/>
        <w:spacing w:line="241" w:lineRule="exact"/>
        <w:ind w:left="216" w:right="0"/>
        <w:jc w:val="left"/>
        <w:rPr>
          <w:rFonts w:ascii="宋体" w:hAnsi="宋体" w:cs="宋体" w:eastAsia="宋体" w:hint="default"/>
        </w:rPr>
      </w:pPr>
      <w:r>
        <w:rPr>
          <w:rFonts w:ascii="宋体"/>
          <w:w w:val="100"/>
        </w:rPr>
        <w:t> </w:t>
      </w:r>
    </w:p>
    <w:p>
      <w:pPr>
        <w:pStyle w:val="Heading3"/>
        <w:spacing w:line="240" w:lineRule="auto" w:before="78"/>
        <w:ind w:left="216" w:right="0"/>
        <w:jc w:val="left"/>
        <w:rPr>
          <w:rFonts w:ascii="宋体" w:hAnsi="宋体" w:cs="宋体" w:eastAsia="宋体" w:hint="default"/>
          <w:b w:val="0"/>
          <w:bCs w:val="0"/>
        </w:rPr>
      </w:pPr>
      <w:r>
        <w:rPr>
          <w:rFonts w:ascii="宋体" w:hAnsi="宋体" w:cs="宋体" w:eastAsia="宋体" w:hint="default"/>
        </w:rPr>
        <w:t>(2).</w:t>
      </w:r>
      <w:r>
        <w:rPr/>
        <w:t>已逾期未偿还的短期借款情况</w:t>
      </w:r>
      <w:r>
        <w:rPr>
          <w:rFonts w:ascii="宋体" w:hAnsi="宋体" w:cs="宋体" w:eastAsia="宋体" w:hint="default"/>
          <w:w w:val="99"/>
        </w:rPr>
        <w:t> </w:t>
      </w:r>
      <w:r>
        <w:rPr>
          <w:rFonts w:ascii="宋体" w:hAnsi="宋体" w:cs="宋体" w:eastAsia="宋体" w:hint="default"/>
          <w:b w:val="0"/>
          <w:bCs w:val="0"/>
        </w:rPr>
      </w:r>
    </w:p>
    <w:p>
      <w:pPr>
        <w:pStyle w:val="Heading2"/>
        <w:spacing w:line="313" w:lineRule="exact" w:before="69"/>
        <w:ind w:left="21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2"/>
        <w:spacing w:line="312" w:lineRule="exact" w:before="29"/>
        <w:ind w:left="216" w:right="0"/>
        <w:jc w:val="left"/>
        <w:rPr>
          <w:rFonts w:ascii="宋体" w:hAnsi="宋体" w:cs="宋体" w:eastAsia="宋体" w:hint="default"/>
        </w:rPr>
      </w:pPr>
      <w:r>
        <w:rPr>
          <w:rFonts w:ascii="宋体" w:hAnsi="宋体" w:cs="宋体" w:eastAsia="宋体" w:hint="default"/>
        </w:rPr>
        <w:t>  </w:t>
      </w:r>
      <w:r>
        <w:rPr/>
        <w:t>其中重要的已逾期未偿还的短期借款情况如下</w:t>
      </w:r>
      <w:r>
        <w:rPr>
          <w:spacing w:val="1"/>
        </w:rPr>
        <w:t>：</w:t>
      </w:r>
      <w:r>
        <w:rPr>
          <w:rFonts w:ascii="宋体" w:hAnsi="宋体" w:cs="宋体" w:eastAsia="宋体" w:hint="default"/>
        </w:rPr>
        <w:t> </w:t>
      </w:r>
    </w:p>
    <w:p>
      <w:pPr>
        <w:pStyle w:val="BodyText"/>
        <w:spacing w:line="273" w:lineRule="auto"/>
        <w:ind w:left="216" w:right="6831"/>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其他说明</w:t>
      </w:r>
      <w:r>
        <w:rPr>
          <w:rFonts w:ascii="宋体" w:hAnsi="宋体" w:cs="宋体" w:eastAsia="宋体" w:hint="default"/>
        </w:rPr>
        <w:t> </w:t>
      </w:r>
    </w:p>
    <w:p>
      <w:pPr>
        <w:spacing w:after="0" w:line="273" w:lineRule="auto"/>
        <w:jc w:val="left"/>
        <w:rPr>
          <w:rFonts w:ascii="宋体" w:hAnsi="宋体" w:cs="宋体" w:eastAsia="宋体" w:hint="default"/>
        </w:rPr>
        <w:sectPr>
          <w:type w:val="continuous"/>
          <w:pgSz w:w="11910" w:h="16840"/>
          <w:pgMar w:top="1580" w:bottom="280" w:left="1060" w:right="1560"/>
        </w:sectPr>
      </w:pPr>
    </w:p>
    <w:p>
      <w:pPr>
        <w:spacing w:line="240" w:lineRule="auto" w:before="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pgSz w:w="11910" w:h="16840"/>
          <w:pgMar w:header="0" w:footer="974" w:top="1140" w:bottom="1160" w:left="1060" w:right="1560"/>
        </w:sectPr>
      </w:pPr>
    </w:p>
    <w:p>
      <w:pPr>
        <w:pStyle w:val="BodyText"/>
        <w:spacing w:line="240" w:lineRule="auto" w:before="36"/>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left="216" w:right="0"/>
        <w:jc w:val="left"/>
        <w:rPr>
          <w:rFonts w:ascii="宋体" w:hAnsi="宋体" w:cs="宋体" w:eastAsia="宋体" w:hint="default"/>
        </w:rPr>
      </w:pPr>
      <w:r>
        <w:rPr>
          <w:rFonts w:ascii="宋体"/>
          <w:w w:val="100"/>
        </w:rPr>
        <w:t> </w:t>
      </w:r>
    </w:p>
    <w:p>
      <w:pPr>
        <w:pStyle w:val="Heading3"/>
        <w:spacing w:line="240" w:lineRule="auto"/>
        <w:ind w:left="216" w:right="0"/>
        <w:jc w:val="left"/>
        <w:rPr>
          <w:b w:val="0"/>
          <w:bCs w:val="0"/>
        </w:rPr>
      </w:pPr>
      <w:r>
        <w:rPr>
          <w:rFonts w:ascii="宋体" w:hAnsi="宋体" w:cs="宋体" w:eastAsia="宋体" w:hint="default"/>
        </w:rPr>
        <w:t>32</w:t>
      </w:r>
      <w:r>
        <w:rPr/>
        <w:t>、</w:t>
      </w:r>
      <w:r>
        <w:rPr>
          <w:spacing w:val="-23"/>
        </w:rPr>
        <w:t> </w:t>
      </w:r>
      <w:r>
        <w:rPr/>
        <w:t>交易性金融负债</w:t>
      </w:r>
      <w:r>
        <w:rPr>
          <w:b w:val="0"/>
          <w:bCs w:val="0"/>
        </w:rPr>
      </w:r>
    </w:p>
    <w:p>
      <w:pPr>
        <w:pStyle w:val="BodyText"/>
        <w:spacing w:line="240" w:lineRule="auto" w:before="97"/>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left="216" w:right="0"/>
        <w:jc w:val="left"/>
        <w:rPr>
          <w:rFonts w:ascii="宋体" w:hAnsi="宋体" w:cs="宋体" w:eastAsia="宋体" w:hint="default"/>
        </w:rPr>
      </w:pPr>
      <w:r>
        <w:rPr>
          <w:rFonts w:ascii="宋体"/>
          <w:w w:val="100"/>
        </w:rPr>
        <w:t> </w:t>
      </w:r>
    </w:p>
    <w:p>
      <w:pPr>
        <w:pStyle w:val="Heading3"/>
        <w:spacing w:line="240" w:lineRule="auto"/>
        <w:ind w:left="216" w:right="0"/>
        <w:jc w:val="left"/>
        <w:rPr>
          <w:b w:val="0"/>
          <w:bCs w:val="0"/>
        </w:rPr>
      </w:pPr>
      <w:r>
        <w:rPr>
          <w:rFonts w:ascii="宋体" w:hAnsi="宋体" w:cs="宋体" w:eastAsia="宋体" w:hint="default"/>
        </w:rPr>
        <w:t>33</w:t>
      </w:r>
      <w:r>
        <w:rPr/>
        <w:t>、</w:t>
      </w:r>
      <w:r>
        <w:rPr>
          <w:spacing w:val="-24"/>
        </w:rPr>
        <w:t> </w:t>
      </w:r>
      <w:r>
        <w:rPr/>
        <w:t>衍生金融负债</w:t>
      </w:r>
      <w:r>
        <w:rPr>
          <w:b w:val="0"/>
          <w:bCs w:val="0"/>
        </w:rPr>
      </w:r>
    </w:p>
    <w:p>
      <w:pPr>
        <w:pStyle w:val="BodyText"/>
        <w:spacing w:line="240" w:lineRule="auto" w:before="97"/>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left="216" w:right="0"/>
        <w:jc w:val="left"/>
        <w:rPr>
          <w:rFonts w:ascii="宋体" w:hAnsi="宋体" w:cs="宋体" w:eastAsia="宋体" w:hint="default"/>
        </w:rPr>
      </w:pPr>
      <w:r>
        <w:rPr>
          <w:rFonts w:ascii="宋体"/>
          <w:w w:val="100"/>
        </w:rPr>
        <w:t> </w:t>
      </w:r>
    </w:p>
    <w:p>
      <w:pPr>
        <w:pStyle w:val="Heading3"/>
        <w:spacing w:line="324" w:lineRule="auto"/>
        <w:ind w:left="216" w:right="0"/>
        <w:jc w:val="left"/>
        <w:rPr>
          <w:rFonts w:ascii="宋体" w:hAnsi="宋体" w:cs="宋体" w:eastAsia="宋体" w:hint="default"/>
          <w:b w:val="0"/>
          <w:bCs w:val="0"/>
        </w:rPr>
      </w:pPr>
      <w:r>
        <w:rPr>
          <w:rFonts w:ascii="宋体" w:hAnsi="宋体" w:cs="宋体" w:eastAsia="宋体" w:hint="default"/>
        </w:rPr>
        <w:t>34</w:t>
      </w:r>
      <w:r>
        <w:rPr/>
        <w:t>、</w:t>
      </w:r>
      <w:r>
        <w:rPr>
          <w:spacing w:val="-25"/>
        </w:rPr>
        <w:t> </w:t>
      </w:r>
      <w:r>
        <w:rPr/>
        <w:t>应付票据</w:t>
      </w:r>
      <w:r>
        <w:rPr>
          <w:w w:val="100"/>
        </w:rPr>
        <w:t> </w:t>
      </w:r>
      <w:r>
        <w:rPr>
          <w:rFonts w:ascii="宋体" w:hAnsi="宋体" w:cs="宋体" w:eastAsia="宋体" w:hint="default"/>
        </w:rPr>
        <w:t>(1).</w:t>
      </w:r>
      <w:r>
        <w:rPr/>
        <w:t>应付票据列示</w:t>
      </w:r>
      <w:r>
        <w:rPr>
          <w:rFonts w:ascii="宋体" w:hAnsi="宋体" w:cs="宋体" w:eastAsia="宋体" w:hint="default"/>
          <w:w w:val="99"/>
        </w:rPr>
        <w:t> </w:t>
      </w:r>
      <w:r>
        <w:rPr>
          <w:rFonts w:ascii="宋体" w:hAnsi="宋体" w:cs="宋体" w:eastAsia="宋体" w:hint="default"/>
          <w:b w:val="0"/>
          <w:bCs w:val="0"/>
        </w:rPr>
      </w:r>
    </w:p>
    <w:p>
      <w:pPr>
        <w:pStyle w:val="Heading2"/>
        <w:spacing w:line="310" w:lineRule="exact"/>
        <w:ind w:left="21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7"/>
          <w:szCs w:val="17"/>
        </w:rPr>
      </w:pPr>
    </w:p>
    <w:p>
      <w:pPr>
        <w:pStyle w:val="BodyText"/>
        <w:spacing w:line="240" w:lineRule="auto"/>
        <w:ind w:left="216" w:right="0"/>
        <w:jc w:val="left"/>
        <w:rPr>
          <w:rFonts w:ascii="宋体" w:hAnsi="宋体" w:cs="宋体" w:eastAsia="宋体" w:hint="default"/>
        </w:rPr>
      </w:pPr>
      <w:r>
        <w:rPr/>
        <w:t>单位：元币种：人民币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580" w:bottom="280" w:left="1060" w:right="1560"/>
          <w:cols w:num="2" w:equalWidth="0">
            <w:col w:w="2258" w:space="4476"/>
            <w:col w:w="2556"/>
          </w:cols>
        </w:sectPr>
      </w:pPr>
    </w:p>
    <w:p>
      <w:pPr>
        <w:spacing w:line="240" w:lineRule="auto" w:before="10"/>
        <w:rPr>
          <w:rFonts w:ascii="宋体" w:hAnsi="宋体" w:cs="宋体" w:eastAsia="宋体" w:hint="default"/>
          <w:sz w:val="3"/>
          <w:szCs w:val="3"/>
        </w:rPr>
      </w:pPr>
    </w:p>
    <w:tbl>
      <w:tblPr>
        <w:tblW w:w="0" w:type="auto"/>
        <w:jc w:val="left"/>
        <w:tblInd w:w="180" w:type="dxa"/>
        <w:tblLayout w:type="fixed"/>
        <w:tblCellMar>
          <w:top w:w="0" w:type="dxa"/>
          <w:left w:w="0" w:type="dxa"/>
          <w:bottom w:w="0" w:type="dxa"/>
          <w:right w:w="0" w:type="dxa"/>
        </w:tblCellMar>
        <w:tblLook w:val="01E0"/>
      </w:tblPr>
      <w:tblGrid>
        <w:gridCol w:w="2312"/>
        <w:gridCol w:w="3339"/>
        <w:gridCol w:w="3245"/>
      </w:tblGrid>
      <w:tr>
        <w:trPr>
          <w:trHeight w:val="283" w:hRule="exact"/>
        </w:trPr>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33"/>
              <w:jc w:val="right"/>
              <w:rPr>
                <w:rFonts w:ascii="宋体" w:hAnsi="宋体" w:cs="宋体" w:eastAsia="宋体" w:hint="default"/>
                <w:sz w:val="21"/>
                <w:szCs w:val="21"/>
              </w:rPr>
            </w:pPr>
            <w:r>
              <w:rPr>
                <w:rFonts w:ascii="宋体" w:hAnsi="宋体" w:cs="宋体" w:eastAsia="宋体" w:hint="default"/>
                <w:spacing w:val="-2"/>
                <w:sz w:val="21"/>
                <w:szCs w:val="21"/>
              </w:rPr>
              <w:t>种类</w:t>
            </w:r>
            <w:r>
              <w:rPr>
                <w:rFonts w:ascii="宋体" w:hAnsi="宋体" w:cs="宋体" w:eastAsia="宋体" w:hint="default"/>
                <w:sz w:val="21"/>
                <w:szCs w:val="21"/>
              </w:rPr>
              <w:t> </w:t>
            </w:r>
          </w:p>
        </w:tc>
        <w:tc>
          <w:tcPr>
            <w:tcW w:w="33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center"/>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32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322" w:hRule="exact"/>
        </w:trPr>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07"/>
              <w:jc w:val="right"/>
              <w:rPr>
                <w:rFonts w:ascii="宋体" w:hAnsi="宋体" w:cs="宋体" w:eastAsia="宋体" w:hint="default"/>
                <w:sz w:val="21"/>
                <w:szCs w:val="21"/>
              </w:rPr>
            </w:pPr>
            <w:r>
              <w:rPr>
                <w:rFonts w:ascii="宋体" w:hAnsi="宋体" w:cs="宋体" w:eastAsia="宋体" w:hint="default"/>
                <w:spacing w:val="-2"/>
                <w:sz w:val="21"/>
                <w:szCs w:val="21"/>
              </w:rPr>
              <w:t>商业承兑汇票</w:t>
            </w:r>
            <w:r>
              <w:rPr>
                <w:rFonts w:ascii="宋体" w:hAnsi="宋体" w:cs="宋体" w:eastAsia="宋体" w:hint="default"/>
                <w:sz w:val="21"/>
                <w:szCs w:val="21"/>
              </w:rPr>
              <w:t> </w:t>
            </w:r>
          </w:p>
        </w:tc>
        <w:tc>
          <w:tcPr>
            <w:tcW w:w="333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4"/>
              <w:jc w:val="right"/>
              <w:rPr>
                <w:rFonts w:ascii="宋体" w:hAnsi="宋体" w:cs="宋体" w:eastAsia="宋体" w:hint="default"/>
                <w:sz w:val="21"/>
                <w:szCs w:val="21"/>
              </w:rPr>
            </w:pPr>
            <w:r>
              <w:rPr>
                <w:rFonts w:ascii="宋体"/>
                <w:spacing w:val="-1"/>
                <w:sz w:val="21"/>
              </w:rPr>
              <w:t>97,043,555.00</w:t>
            </w:r>
          </w:p>
        </w:tc>
        <w:tc>
          <w:tcPr>
            <w:tcW w:w="324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07"/>
              <w:jc w:val="right"/>
              <w:rPr>
                <w:rFonts w:ascii="宋体" w:hAnsi="宋体" w:cs="宋体" w:eastAsia="宋体" w:hint="default"/>
                <w:sz w:val="21"/>
                <w:szCs w:val="21"/>
              </w:rPr>
            </w:pPr>
            <w:r>
              <w:rPr>
                <w:rFonts w:ascii="宋体" w:hAnsi="宋体" w:cs="宋体" w:eastAsia="宋体" w:hint="default"/>
                <w:spacing w:val="-2"/>
                <w:sz w:val="21"/>
                <w:szCs w:val="21"/>
              </w:rPr>
              <w:t>银行承兑汇票</w:t>
            </w:r>
            <w:r>
              <w:rPr>
                <w:rFonts w:ascii="宋体" w:hAnsi="宋体" w:cs="宋体" w:eastAsia="宋体" w:hint="default"/>
                <w:sz w:val="21"/>
                <w:szCs w:val="21"/>
              </w:rPr>
              <w:t> </w:t>
            </w:r>
          </w:p>
        </w:tc>
        <w:tc>
          <w:tcPr>
            <w:tcW w:w="333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4"/>
              <w:jc w:val="right"/>
              <w:rPr>
                <w:rFonts w:ascii="宋体" w:hAnsi="宋体" w:cs="宋体" w:eastAsia="宋体" w:hint="default"/>
                <w:sz w:val="21"/>
                <w:szCs w:val="21"/>
              </w:rPr>
            </w:pPr>
            <w:r>
              <w:rPr>
                <w:rFonts w:ascii="宋体"/>
                <w:spacing w:val="-1"/>
                <w:sz w:val="21"/>
              </w:rPr>
              <w:t>216,363,276.93</w:t>
            </w:r>
          </w:p>
        </w:tc>
        <w:tc>
          <w:tcPr>
            <w:tcW w:w="324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2"/>
              <w:jc w:val="right"/>
              <w:rPr>
                <w:rFonts w:ascii="宋体" w:hAnsi="宋体" w:cs="宋体" w:eastAsia="宋体" w:hint="default"/>
                <w:sz w:val="21"/>
                <w:szCs w:val="21"/>
              </w:rPr>
            </w:pPr>
            <w:r>
              <w:rPr>
                <w:rFonts w:ascii="宋体"/>
                <w:spacing w:val="-1"/>
                <w:sz w:val="21"/>
              </w:rPr>
              <w:t>595,703,446.86</w:t>
            </w:r>
          </w:p>
        </w:tc>
      </w:tr>
      <w:tr>
        <w:trPr>
          <w:trHeight w:val="322" w:hRule="exact"/>
        </w:trPr>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833"/>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333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9"/>
              <w:jc w:val="right"/>
              <w:rPr>
                <w:rFonts w:ascii="宋体" w:hAnsi="宋体" w:cs="宋体" w:eastAsia="宋体" w:hint="default"/>
                <w:sz w:val="21"/>
                <w:szCs w:val="21"/>
              </w:rPr>
            </w:pPr>
            <w:r>
              <w:rPr>
                <w:rFonts w:ascii="宋体"/>
                <w:spacing w:val="-1"/>
                <w:sz w:val="21"/>
              </w:rPr>
              <w:t>313,406,831.93</w:t>
            </w:r>
          </w:p>
        </w:tc>
        <w:tc>
          <w:tcPr>
            <w:tcW w:w="324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2"/>
              <w:jc w:val="right"/>
              <w:rPr>
                <w:rFonts w:ascii="宋体" w:hAnsi="宋体" w:cs="宋体" w:eastAsia="宋体" w:hint="default"/>
                <w:sz w:val="21"/>
                <w:szCs w:val="21"/>
              </w:rPr>
            </w:pPr>
            <w:r>
              <w:rPr>
                <w:rFonts w:ascii="宋体"/>
                <w:spacing w:val="-1"/>
                <w:sz w:val="21"/>
              </w:rPr>
              <w:t>595,703,446.86</w:t>
            </w:r>
          </w:p>
        </w:tc>
      </w:tr>
    </w:tbl>
    <w:p>
      <w:pPr>
        <w:spacing w:after="0" w:line="262" w:lineRule="exact"/>
        <w:jc w:val="right"/>
        <w:rPr>
          <w:rFonts w:ascii="宋体" w:hAnsi="宋体" w:cs="宋体" w:eastAsia="宋体" w:hint="default"/>
          <w:sz w:val="21"/>
          <w:szCs w:val="21"/>
        </w:rPr>
        <w:sectPr>
          <w:type w:val="continuous"/>
          <w:pgSz w:w="11910" w:h="16840"/>
          <w:pgMar w:top="1580" w:bottom="280" w:left="1060" w:right="1560"/>
        </w:sectPr>
      </w:pPr>
    </w:p>
    <w:p>
      <w:pPr>
        <w:pStyle w:val="BodyText"/>
        <w:spacing w:line="241" w:lineRule="exact"/>
        <w:ind w:left="216" w:right="0"/>
        <w:jc w:val="left"/>
        <w:rPr>
          <w:rFonts w:ascii="宋体" w:hAnsi="宋体" w:cs="宋体" w:eastAsia="宋体" w:hint="default"/>
        </w:rPr>
      </w:pPr>
      <w:r>
        <w:rPr/>
        <w:t>本期末已到期未支付的应付票据总额为</w:t>
      </w:r>
      <w:r>
        <w:rPr>
          <w:spacing w:val="-53"/>
        </w:rPr>
        <w:t> </w:t>
      </w:r>
      <w:r>
        <w:rPr>
          <w:rFonts w:ascii="宋体" w:hAnsi="宋体" w:cs="宋体" w:eastAsia="宋体" w:hint="default"/>
        </w:rPr>
        <w:t>0</w:t>
      </w:r>
      <w:r>
        <w:rPr>
          <w:rFonts w:ascii="宋体" w:hAnsi="宋体" w:cs="宋体" w:eastAsia="宋体" w:hint="default"/>
          <w:spacing w:val="-56"/>
        </w:rPr>
        <w:t> </w:t>
      </w:r>
      <w:r>
        <w:rPr/>
        <w:t>元。</w:t>
      </w:r>
      <w:r>
        <w:rPr>
          <w:rFonts w:ascii="宋体" w:hAnsi="宋体" w:cs="宋体" w:eastAsia="宋体" w:hint="default"/>
        </w:rPr>
        <w:t> </w:t>
      </w:r>
    </w:p>
    <w:p>
      <w:pPr>
        <w:pStyle w:val="BodyText"/>
        <w:spacing w:line="240" w:lineRule="auto" w:before="20"/>
        <w:ind w:left="216" w:right="0"/>
        <w:jc w:val="left"/>
        <w:rPr>
          <w:rFonts w:ascii="宋体" w:hAnsi="宋体" w:cs="宋体" w:eastAsia="宋体" w:hint="default"/>
        </w:rPr>
      </w:pPr>
      <w:r>
        <w:rPr>
          <w:rFonts w:ascii="宋体"/>
          <w:w w:val="100"/>
        </w:rPr>
        <w:t> </w:t>
      </w:r>
    </w:p>
    <w:p>
      <w:pPr>
        <w:pStyle w:val="Heading3"/>
        <w:spacing w:line="324" w:lineRule="auto"/>
        <w:ind w:left="216" w:right="1295"/>
        <w:jc w:val="left"/>
        <w:rPr>
          <w:rFonts w:ascii="宋体" w:hAnsi="宋体" w:cs="宋体" w:eastAsia="宋体" w:hint="default"/>
          <w:b w:val="0"/>
          <w:bCs w:val="0"/>
        </w:rPr>
      </w:pPr>
      <w:r>
        <w:rPr>
          <w:rFonts w:ascii="宋体" w:hAnsi="宋体" w:cs="宋体" w:eastAsia="宋体" w:hint="default"/>
        </w:rPr>
        <w:t>35</w:t>
      </w:r>
      <w:r>
        <w:rPr/>
        <w:t>、</w:t>
      </w:r>
      <w:r>
        <w:rPr>
          <w:spacing w:val="-25"/>
        </w:rPr>
        <w:t> </w:t>
      </w:r>
      <w:r>
        <w:rPr/>
        <w:t>应付账款</w:t>
      </w:r>
      <w:r>
        <w:rPr>
          <w:w w:val="100"/>
        </w:rPr>
        <w:t> </w:t>
      </w:r>
      <w:r>
        <w:rPr>
          <w:rFonts w:ascii="宋体" w:hAnsi="宋体" w:cs="宋体" w:eastAsia="宋体" w:hint="default"/>
        </w:rPr>
        <w:t>(1).</w:t>
      </w:r>
      <w:r>
        <w:rPr/>
        <w:t>应付账款列示</w:t>
      </w:r>
      <w:r>
        <w:rPr>
          <w:rFonts w:ascii="宋体" w:hAnsi="宋体" w:cs="宋体" w:eastAsia="宋体" w:hint="default"/>
          <w:w w:val="99"/>
        </w:rPr>
        <w:t> </w:t>
      </w:r>
      <w:r>
        <w:rPr>
          <w:rFonts w:ascii="宋体" w:hAnsi="宋体" w:cs="宋体" w:eastAsia="宋体" w:hint="default"/>
          <w:b w:val="0"/>
          <w:bCs w:val="0"/>
        </w:rPr>
      </w:r>
    </w:p>
    <w:p>
      <w:pPr>
        <w:pStyle w:val="Heading2"/>
        <w:spacing w:line="310" w:lineRule="exact"/>
        <w:ind w:left="21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9"/>
          <w:szCs w:val="29"/>
        </w:rPr>
      </w:pPr>
    </w:p>
    <w:p>
      <w:pPr>
        <w:pStyle w:val="BodyText"/>
        <w:spacing w:line="240" w:lineRule="auto"/>
        <w:ind w:left="216" w:right="0"/>
        <w:jc w:val="left"/>
        <w:rPr>
          <w:rFonts w:ascii="宋体" w:hAnsi="宋体" w:cs="宋体" w:eastAsia="宋体" w:hint="default"/>
        </w:rPr>
      </w:pPr>
      <w:r>
        <w:rPr/>
        <w:t>单位：元币种：人民币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580" w:bottom="280" w:left="1060" w:right="1560"/>
          <w:cols w:num="2" w:equalWidth="0">
            <w:col w:w="4526" w:space="2207"/>
            <w:col w:w="2557"/>
          </w:cols>
        </w:sectPr>
      </w:pPr>
    </w:p>
    <w:p>
      <w:pPr>
        <w:spacing w:line="240" w:lineRule="auto" w:before="10"/>
        <w:rPr>
          <w:rFonts w:ascii="宋体" w:hAnsi="宋体" w:cs="宋体" w:eastAsia="宋体" w:hint="default"/>
          <w:sz w:val="3"/>
          <w:szCs w:val="3"/>
        </w:rPr>
      </w:pPr>
    </w:p>
    <w:tbl>
      <w:tblPr>
        <w:tblW w:w="0" w:type="auto"/>
        <w:jc w:val="left"/>
        <w:tblInd w:w="103" w:type="dxa"/>
        <w:tblLayout w:type="fixed"/>
        <w:tblCellMar>
          <w:top w:w="0" w:type="dxa"/>
          <w:left w:w="0" w:type="dxa"/>
          <w:bottom w:w="0" w:type="dxa"/>
          <w:right w:w="0" w:type="dxa"/>
        </w:tblCellMar>
        <w:tblLook w:val="01E0"/>
      </w:tblPr>
      <w:tblGrid>
        <w:gridCol w:w="2843"/>
        <w:gridCol w:w="2866"/>
        <w:gridCol w:w="3341"/>
      </w:tblGrid>
      <w:tr>
        <w:trPr>
          <w:trHeight w:val="322" w:hRule="exact"/>
        </w:trPr>
        <w:tc>
          <w:tcPr>
            <w:tcW w:w="284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100"/>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5"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4" w:right="0"/>
              <w:jc w:val="center"/>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322" w:hRule="exact"/>
        </w:trPr>
        <w:tc>
          <w:tcPr>
            <w:tcW w:w="284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应付原材料款</w:t>
            </w:r>
            <w:r>
              <w:rPr>
                <w:rFonts w:ascii="宋体" w:hAnsi="宋体" w:cs="宋体" w:eastAsia="宋体" w:hint="default"/>
                <w:sz w:val="21"/>
                <w:szCs w:val="21"/>
              </w:rPr>
              <w:t> </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585,303,762.94</w:t>
            </w:r>
            <w:r>
              <w:rPr>
                <w:rFonts w:ascii="宋体"/>
                <w:sz w:val="21"/>
              </w:rPr>
              <w:t> </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617,387,482.72</w:t>
            </w:r>
            <w:r>
              <w:rPr>
                <w:rFonts w:ascii="宋体"/>
                <w:sz w:val="21"/>
              </w:rPr>
              <w:t> </w:t>
            </w:r>
          </w:p>
        </w:tc>
      </w:tr>
      <w:tr>
        <w:trPr>
          <w:trHeight w:val="322" w:hRule="exact"/>
        </w:trPr>
        <w:tc>
          <w:tcPr>
            <w:tcW w:w="284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应付固定资产款</w:t>
            </w:r>
            <w:r>
              <w:rPr>
                <w:rFonts w:ascii="宋体" w:hAnsi="宋体" w:cs="宋体" w:eastAsia="宋体" w:hint="default"/>
                <w:sz w:val="21"/>
                <w:szCs w:val="21"/>
              </w:rPr>
              <w:t> </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246,316,536.59</w:t>
            </w:r>
            <w:r>
              <w:rPr>
                <w:rFonts w:ascii="宋体"/>
                <w:sz w:val="21"/>
              </w:rPr>
              <w:t> </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386,335,218.01</w:t>
            </w:r>
            <w:r>
              <w:rPr>
                <w:rFonts w:ascii="宋体"/>
                <w:sz w:val="21"/>
              </w:rPr>
              <w:t> </w:t>
            </w:r>
          </w:p>
        </w:tc>
      </w:tr>
      <w:tr>
        <w:trPr>
          <w:trHeight w:val="322" w:hRule="exact"/>
        </w:trPr>
        <w:tc>
          <w:tcPr>
            <w:tcW w:w="284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应付其他</w:t>
            </w:r>
            <w:r>
              <w:rPr>
                <w:rFonts w:ascii="宋体" w:hAnsi="宋体" w:cs="宋体" w:eastAsia="宋体" w:hint="default"/>
                <w:sz w:val="21"/>
                <w:szCs w:val="21"/>
              </w:rPr>
              <w:t> </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7,325,845.30</w:t>
            </w:r>
            <w:r>
              <w:rPr>
                <w:rFonts w:ascii="宋体"/>
                <w:sz w:val="21"/>
              </w:rPr>
              <w:t> </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12,379,549.10</w:t>
            </w:r>
            <w:r>
              <w:rPr>
                <w:rFonts w:ascii="宋体"/>
                <w:sz w:val="21"/>
              </w:rPr>
              <w:t> </w:t>
            </w:r>
          </w:p>
        </w:tc>
      </w:tr>
      <w:tr>
        <w:trPr>
          <w:trHeight w:val="324" w:hRule="exact"/>
        </w:trPr>
        <w:tc>
          <w:tcPr>
            <w:tcW w:w="284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100"/>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spacing w:val="-1"/>
                <w:sz w:val="21"/>
              </w:rPr>
              <w:t>838,946,144.83</w:t>
            </w:r>
            <w:r>
              <w:rPr>
                <w:rFonts w:ascii="宋体"/>
                <w:sz w:val="21"/>
              </w:rPr>
              <w:t> </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spacing w:val="-1"/>
                <w:sz w:val="21"/>
              </w:rPr>
              <w:t>1,016,102,249.83</w:t>
            </w:r>
            <w:r>
              <w:rPr>
                <w:rFonts w:ascii="宋体"/>
                <w:sz w:val="21"/>
              </w:rPr>
              <w:t> </w:t>
            </w:r>
          </w:p>
        </w:tc>
      </w:tr>
    </w:tbl>
    <w:p>
      <w:pPr>
        <w:spacing w:after="0" w:line="265" w:lineRule="exact"/>
        <w:jc w:val="right"/>
        <w:rPr>
          <w:rFonts w:ascii="宋体" w:hAnsi="宋体" w:cs="宋体" w:eastAsia="宋体" w:hint="default"/>
          <w:sz w:val="21"/>
          <w:szCs w:val="21"/>
        </w:rPr>
        <w:sectPr>
          <w:type w:val="continuous"/>
          <w:pgSz w:w="11910" w:h="16840"/>
          <w:pgMar w:top="1580" w:bottom="280" w:left="1060" w:right="1560"/>
        </w:sectPr>
      </w:pPr>
    </w:p>
    <w:p>
      <w:pPr>
        <w:pStyle w:val="Heading2"/>
        <w:spacing w:line="274" w:lineRule="exact"/>
        <w:ind w:left="216" w:right="0"/>
        <w:jc w:val="left"/>
        <w:rPr>
          <w:rFonts w:ascii="宋体" w:hAnsi="宋体" w:cs="宋体" w:eastAsia="宋体" w:hint="default"/>
        </w:rPr>
      </w:pPr>
      <w:r>
        <w:rPr>
          <w:rFonts w:ascii="宋体"/>
        </w:rPr>
        <w:t> </w:t>
      </w:r>
    </w:p>
    <w:p>
      <w:pPr>
        <w:pStyle w:val="Heading3"/>
        <w:spacing w:line="240" w:lineRule="auto" w:before="85"/>
        <w:ind w:left="216" w:right="0"/>
        <w:jc w:val="left"/>
        <w:rPr>
          <w:rFonts w:ascii="宋体" w:hAnsi="宋体" w:cs="宋体" w:eastAsia="宋体" w:hint="default"/>
          <w:b w:val="0"/>
          <w:bCs w:val="0"/>
        </w:rPr>
      </w:pPr>
      <w:r>
        <w:rPr>
          <w:rFonts w:ascii="宋体" w:hAnsi="宋体" w:cs="宋体" w:eastAsia="宋体" w:hint="default"/>
        </w:rPr>
        <w:t>(2).</w:t>
      </w:r>
      <w:r>
        <w:rPr/>
        <w:t>账龄超过</w:t>
      </w:r>
      <w:r>
        <w:rPr>
          <w:spacing w:val="-52"/>
        </w:rPr>
        <w:t> </w:t>
      </w:r>
      <w:r>
        <w:rPr>
          <w:rFonts w:ascii="宋体" w:hAnsi="宋体" w:cs="宋体" w:eastAsia="宋体" w:hint="default"/>
        </w:rPr>
        <w:t>1</w:t>
      </w:r>
      <w:r>
        <w:rPr>
          <w:rFonts w:ascii="宋体" w:hAnsi="宋体" w:cs="宋体" w:eastAsia="宋体" w:hint="default"/>
          <w:spacing w:val="-52"/>
        </w:rPr>
        <w:t> </w:t>
      </w:r>
      <w:r>
        <w:rPr/>
        <w:t>年的重要应付账款</w:t>
      </w:r>
      <w:r>
        <w:rPr>
          <w:rFonts w:ascii="宋体" w:hAnsi="宋体" w:cs="宋体" w:eastAsia="宋体" w:hint="default"/>
          <w:w w:val="99"/>
        </w:rPr>
        <w:t> </w:t>
      </w:r>
      <w:r>
        <w:rPr>
          <w:rFonts w:ascii="宋体" w:hAnsi="宋体" w:cs="宋体" w:eastAsia="宋体" w:hint="default"/>
          <w:b w:val="0"/>
          <w:bCs w:val="0"/>
        </w:rPr>
      </w:r>
    </w:p>
    <w:p>
      <w:pPr>
        <w:pStyle w:val="Heading2"/>
        <w:spacing w:line="240" w:lineRule="auto" w:before="69"/>
        <w:ind w:left="21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BodyText"/>
        <w:spacing w:line="240" w:lineRule="auto" w:before="25"/>
        <w:ind w:left="216" w:right="0"/>
        <w:jc w:val="left"/>
        <w:rPr>
          <w:rFonts w:ascii="宋体" w:hAnsi="宋体" w:cs="宋体" w:eastAsia="宋体" w:hint="default"/>
        </w:rPr>
      </w:pPr>
      <w:r>
        <w:rPr/>
        <w:t>其他说明</w:t>
      </w:r>
      <w:r>
        <w:rPr>
          <w:rFonts w:ascii="宋体" w:hAnsi="宋体" w:cs="宋体" w:eastAsia="宋体" w:hint="default"/>
        </w:rPr>
        <w:t> </w:t>
      </w:r>
    </w:p>
    <w:p>
      <w:pPr>
        <w:pStyle w:val="BodyText"/>
        <w:spacing w:line="240" w:lineRule="auto" w:before="37"/>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16"/>
        <w:ind w:left="216" w:right="0"/>
        <w:jc w:val="left"/>
        <w:rPr>
          <w:rFonts w:ascii="宋体" w:hAnsi="宋体" w:cs="宋体" w:eastAsia="宋体" w:hint="default"/>
        </w:rPr>
      </w:pPr>
      <w:r>
        <w:rPr>
          <w:rFonts w:ascii="宋体"/>
          <w:w w:val="100"/>
        </w:rPr>
        <w:t> </w:t>
      </w:r>
    </w:p>
    <w:p>
      <w:pPr>
        <w:pStyle w:val="Heading3"/>
        <w:spacing w:line="240" w:lineRule="auto" w:before="78"/>
        <w:ind w:left="216" w:right="0"/>
        <w:jc w:val="left"/>
        <w:rPr>
          <w:rFonts w:ascii="宋体" w:hAnsi="宋体" w:cs="宋体" w:eastAsia="宋体" w:hint="default"/>
          <w:b w:val="0"/>
          <w:bCs w:val="0"/>
        </w:rPr>
      </w:pPr>
      <w:r>
        <w:rPr>
          <w:rFonts w:ascii="宋体" w:hAnsi="宋体" w:cs="宋体" w:eastAsia="宋体" w:hint="default"/>
        </w:rPr>
        <w:t>36</w:t>
      </w:r>
      <w:r>
        <w:rPr/>
        <w:t>、</w:t>
      </w:r>
      <w:r>
        <w:rPr>
          <w:spacing w:val="-27"/>
        </w:rPr>
        <w:t> </w:t>
      </w:r>
      <w:r>
        <w:rPr/>
        <w:t>预收款项</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ind w:left="216" w:right="0"/>
        <w:jc w:val="left"/>
        <w:rPr>
          <w:rFonts w:ascii="宋体" w:hAnsi="宋体" w:cs="宋体" w:eastAsia="宋体" w:hint="default"/>
          <w:b w:val="0"/>
          <w:bCs w:val="0"/>
        </w:rPr>
      </w:pPr>
      <w:r>
        <w:rPr>
          <w:rFonts w:ascii="宋体" w:hAnsi="宋体" w:cs="宋体" w:eastAsia="宋体" w:hint="default"/>
        </w:rPr>
        <w:t>(1).</w:t>
      </w:r>
      <w:r>
        <w:rPr>
          <w:rFonts w:ascii="宋体" w:hAnsi="宋体" w:cs="宋体" w:eastAsia="宋体" w:hint="default"/>
          <w:spacing w:val="-2"/>
        </w:rPr>
        <w:t> </w:t>
      </w:r>
      <w:r>
        <w:rPr/>
        <w:t>预收账款项列示</w:t>
      </w:r>
      <w:r>
        <w:rPr>
          <w:rFonts w:ascii="宋体" w:hAnsi="宋体" w:cs="宋体" w:eastAsia="宋体" w:hint="default"/>
          <w:w w:val="99"/>
        </w:rPr>
        <w:t> </w:t>
      </w:r>
      <w:r>
        <w:rPr>
          <w:rFonts w:ascii="宋体" w:hAnsi="宋体" w:cs="宋体" w:eastAsia="宋体" w:hint="default"/>
          <w:b w:val="0"/>
          <w:bCs w:val="0"/>
        </w:rPr>
      </w:r>
    </w:p>
    <w:p>
      <w:pPr>
        <w:pStyle w:val="Heading2"/>
        <w:spacing w:line="240" w:lineRule="auto" w:before="69"/>
        <w:ind w:left="21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76"/>
        <w:ind w:left="216" w:right="0"/>
        <w:jc w:val="left"/>
        <w:rPr>
          <w:rFonts w:ascii="宋体" w:hAnsi="宋体" w:cs="宋体" w:eastAsia="宋体" w:hint="default"/>
        </w:rPr>
      </w:pPr>
      <w:r>
        <w:rPr/>
        <w:t>单位：元币种：人民币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580" w:bottom="280" w:left="1060" w:right="1560"/>
          <w:cols w:num="2" w:equalWidth="0">
            <w:col w:w="3494" w:space="3239"/>
            <w:col w:w="2557"/>
          </w:cols>
        </w:sectPr>
      </w:pPr>
    </w:p>
    <w:p>
      <w:pPr>
        <w:spacing w:line="240" w:lineRule="auto" w:before="10"/>
        <w:rPr>
          <w:rFonts w:ascii="宋体" w:hAnsi="宋体" w:cs="宋体" w:eastAsia="宋体" w:hint="default"/>
          <w:sz w:val="3"/>
          <w:szCs w:val="3"/>
        </w:rPr>
      </w:pPr>
    </w:p>
    <w:tbl>
      <w:tblPr>
        <w:tblW w:w="0" w:type="auto"/>
        <w:jc w:val="left"/>
        <w:tblInd w:w="103" w:type="dxa"/>
        <w:tblLayout w:type="fixed"/>
        <w:tblCellMar>
          <w:top w:w="0" w:type="dxa"/>
          <w:left w:w="0" w:type="dxa"/>
          <w:bottom w:w="0" w:type="dxa"/>
          <w:right w:w="0" w:type="dxa"/>
        </w:tblCellMar>
        <w:tblLook w:val="01E0"/>
      </w:tblPr>
      <w:tblGrid>
        <w:gridCol w:w="2900"/>
        <w:gridCol w:w="3077"/>
        <w:gridCol w:w="3073"/>
      </w:tblGrid>
      <w:tr>
        <w:trPr>
          <w:trHeight w:val="322"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130"/>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111"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307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111"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324"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预收销货款</w:t>
            </w:r>
            <w:r>
              <w:rPr>
                <w:rFonts w:ascii="宋体" w:hAnsi="宋体" w:cs="宋体" w:eastAsia="宋体" w:hint="default"/>
                <w:sz w:val="21"/>
                <w:szCs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spacing w:val="-1"/>
                <w:sz w:val="21"/>
              </w:rPr>
              <w:t>71,514,403.14</w:t>
            </w:r>
            <w:r>
              <w:rPr>
                <w:rFonts w:ascii="宋体"/>
                <w:sz w:val="21"/>
              </w:rPr>
              <w:t> </w:t>
            </w:r>
          </w:p>
        </w:tc>
        <w:tc>
          <w:tcPr>
            <w:tcW w:w="307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spacing w:val="-1"/>
                <w:sz w:val="21"/>
              </w:rPr>
              <w:t>14,625,634.40</w:t>
            </w:r>
            <w:r>
              <w:rPr>
                <w:rFonts w:ascii="宋体"/>
                <w:sz w:val="21"/>
              </w:rPr>
              <w:t> </w:t>
            </w:r>
          </w:p>
        </w:tc>
      </w:tr>
      <w:tr>
        <w:trPr>
          <w:trHeight w:val="322"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130"/>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71,514,403.14</w:t>
            </w:r>
            <w:r>
              <w:rPr>
                <w:rFonts w:ascii="宋体"/>
                <w:sz w:val="21"/>
              </w:rPr>
              <w:t> </w:t>
            </w:r>
          </w:p>
        </w:tc>
        <w:tc>
          <w:tcPr>
            <w:tcW w:w="307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14,625,634.40</w:t>
            </w:r>
            <w:r>
              <w:rPr>
                <w:rFonts w:ascii="宋体"/>
                <w:sz w:val="21"/>
              </w:rPr>
              <w:t> </w:t>
            </w:r>
          </w:p>
        </w:tc>
      </w:tr>
    </w:tbl>
    <w:p>
      <w:pPr>
        <w:pStyle w:val="BodyText"/>
        <w:spacing w:line="262" w:lineRule="exact"/>
        <w:ind w:left="216" w:right="0"/>
        <w:jc w:val="left"/>
        <w:rPr>
          <w:rFonts w:ascii="宋体" w:hAnsi="宋体" w:cs="宋体" w:eastAsia="宋体" w:hint="default"/>
        </w:rPr>
      </w:pPr>
      <w:r>
        <w:rPr>
          <w:rFonts w:ascii="宋体"/>
          <w:w w:val="100"/>
        </w:rPr>
        <w:t> </w:t>
      </w:r>
    </w:p>
    <w:p>
      <w:pPr>
        <w:spacing w:after="0" w:line="262" w:lineRule="exact"/>
        <w:jc w:val="left"/>
        <w:rPr>
          <w:rFonts w:ascii="宋体" w:hAnsi="宋体" w:cs="宋体" w:eastAsia="宋体" w:hint="default"/>
        </w:rPr>
        <w:sectPr>
          <w:type w:val="continuous"/>
          <w:pgSz w:w="11910" w:h="16840"/>
          <w:pgMar w:top="1580" w:bottom="280" w:left="1060" w:right="1560"/>
        </w:sectPr>
      </w:pPr>
    </w:p>
    <w:p>
      <w:pPr>
        <w:spacing w:line="240" w:lineRule="auto" w:before="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pgSz w:w="11910" w:h="16840"/>
          <w:pgMar w:header="0" w:footer="974" w:top="1140" w:bottom="1160" w:left="1060" w:right="1020"/>
        </w:sectPr>
      </w:pPr>
    </w:p>
    <w:p>
      <w:pPr>
        <w:pStyle w:val="Heading3"/>
        <w:spacing w:line="240" w:lineRule="auto" w:before="36"/>
        <w:ind w:left="216" w:right="0"/>
        <w:jc w:val="left"/>
        <w:rPr>
          <w:rFonts w:ascii="宋体" w:hAnsi="宋体" w:cs="宋体" w:eastAsia="宋体" w:hint="default"/>
          <w:b w:val="0"/>
          <w:bCs w:val="0"/>
        </w:rPr>
      </w:pPr>
      <w:r>
        <w:rPr>
          <w:rFonts w:ascii="宋体" w:hAnsi="宋体" w:cs="宋体" w:eastAsia="宋体" w:hint="default"/>
        </w:rPr>
        <w:t>(2). </w:t>
      </w:r>
      <w:r>
        <w:rPr/>
        <w:t>账龄超过</w:t>
      </w:r>
      <w:r>
        <w:rPr>
          <w:spacing w:val="-54"/>
        </w:rPr>
        <w:t> </w:t>
      </w:r>
      <w:r>
        <w:rPr>
          <w:rFonts w:ascii="宋体" w:hAnsi="宋体" w:cs="宋体" w:eastAsia="宋体" w:hint="default"/>
        </w:rPr>
        <w:t>1</w:t>
      </w:r>
      <w:r>
        <w:rPr>
          <w:rFonts w:ascii="宋体" w:hAnsi="宋体" w:cs="宋体" w:eastAsia="宋体" w:hint="default"/>
          <w:spacing w:val="-54"/>
        </w:rPr>
        <w:t> </w:t>
      </w:r>
      <w:r>
        <w:rPr/>
        <w:t>年的重要预收款项</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7"/>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240" w:lineRule="auto"/>
        <w:ind w:left="216" w:right="0"/>
        <w:jc w:val="left"/>
        <w:rPr>
          <w:rFonts w:ascii="宋体" w:hAnsi="宋体" w:cs="宋体" w:eastAsia="宋体" w:hint="default"/>
          <w:b w:val="0"/>
          <w:bCs w:val="0"/>
        </w:rPr>
      </w:pPr>
      <w:r>
        <w:rPr>
          <w:rFonts w:ascii="宋体" w:hAnsi="宋体" w:cs="宋体" w:eastAsia="宋体" w:hint="default"/>
        </w:rPr>
        <w:t>(3).</w:t>
      </w:r>
      <w:r>
        <w:rPr>
          <w:rFonts w:ascii="宋体" w:hAnsi="宋体" w:cs="宋体" w:eastAsia="宋体" w:hint="default"/>
          <w:spacing w:val="-3"/>
        </w:rPr>
        <w:t> </w:t>
      </w:r>
      <w:r>
        <w:rPr/>
        <w:t>期末建造合同形成的已结算未完工项目情况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7"/>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2"/>
        <w:spacing w:line="313" w:lineRule="exact" w:before="9"/>
        <w:ind w:left="216" w:right="0"/>
        <w:jc w:val="left"/>
        <w:rPr>
          <w:rFonts w:ascii="宋体" w:hAnsi="宋体" w:cs="宋体" w:eastAsia="宋体" w:hint="default"/>
        </w:rPr>
      </w:pPr>
      <w:r>
        <w:rPr/>
        <w:t>其他说明</w:t>
      </w:r>
      <w:r>
        <w:rPr>
          <w:rFonts w:ascii="宋体" w:hAnsi="宋体" w:cs="宋体" w:eastAsia="宋体" w:hint="default"/>
        </w:rPr>
        <w:t> </w:t>
      </w:r>
    </w:p>
    <w:p>
      <w:pPr>
        <w:pStyle w:val="Heading2"/>
        <w:spacing w:line="312" w:lineRule="exact"/>
        <w:ind w:left="21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2"/>
        <w:spacing w:line="313" w:lineRule="exact"/>
        <w:ind w:left="216" w:right="0"/>
        <w:jc w:val="left"/>
        <w:rPr>
          <w:rFonts w:ascii="宋体" w:hAnsi="宋体" w:cs="宋体" w:eastAsia="宋体" w:hint="default"/>
        </w:rPr>
      </w:pPr>
      <w:r>
        <w:rPr>
          <w:rFonts w:ascii="宋体"/>
        </w:rPr>
        <w:t> </w:t>
      </w:r>
    </w:p>
    <w:p>
      <w:pPr>
        <w:pStyle w:val="Heading3"/>
        <w:spacing w:line="324" w:lineRule="auto" w:before="85"/>
        <w:ind w:left="216" w:right="783"/>
        <w:jc w:val="left"/>
        <w:rPr>
          <w:rFonts w:ascii="宋体" w:hAnsi="宋体" w:cs="宋体" w:eastAsia="宋体" w:hint="default"/>
          <w:b w:val="0"/>
          <w:bCs w:val="0"/>
        </w:rPr>
      </w:pPr>
      <w:r>
        <w:rPr>
          <w:rFonts w:ascii="宋体" w:hAnsi="宋体" w:cs="宋体" w:eastAsia="宋体" w:hint="default"/>
        </w:rPr>
        <w:t>37</w:t>
      </w:r>
      <w:r>
        <w:rPr/>
        <w:t>、</w:t>
      </w:r>
      <w:r>
        <w:rPr>
          <w:spacing w:val="-26"/>
        </w:rPr>
        <w:t> </w:t>
      </w:r>
      <w:r>
        <w:rPr/>
        <w:t>应付职工薪酬</w:t>
      </w:r>
      <w:r>
        <w:rPr>
          <w:rFonts w:ascii="宋体" w:hAnsi="宋体" w:cs="宋体" w:eastAsia="宋体" w:hint="default"/>
          <w:w w:val="99"/>
        </w:rPr>
        <w:t> </w:t>
      </w:r>
      <w:r>
        <w:rPr>
          <w:rFonts w:ascii="宋体" w:hAnsi="宋体" w:cs="宋体" w:eastAsia="宋体" w:hint="default"/>
        </w:rPr>
        <w:t>(1).</w:t>
      </w:r>
      <w:r>
        <w:rPr/>
        <w:t>应付职工薪酬列示</w:t>
      </w:r>
      <w:r>
        <w:rPr>
          <w:rFonts w:ascii="宋体" w:hAnsi="宋体" w:cs="宋体" w:eastAsia="宋体" w:hint="default"/>
          <w:w w:val="99"/>
        </w:rPr>
        <w:t> </w:t>
      </w:r>
      <w:r>
        <w:rPr>
          <w:rFonts w:ascii="宋体" w:hAnsi="宋体" w:cs="宋体" w:eastAsia="宋体" w:hint="default"/>
          <w:b w:val="0"/>
          <w:bCs w:val="0"/>
        </w:rPr>
      </w:r>
    </w:p>
    <w:p>
      <w:pPr>
        <w:pStyle w:val="Heading2"/>
        <w:spacing w:line="310" w:lineRule="exact"/>
        <w:ind w:left="21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8"/>
          <w:szCs w:val="28"/>
        </w:rPr>
      </w:pPr>
    </w:p>
    <w:p>
      <w:pPr>
        <w:pStyle w:val="BodyText"/>
        <w:spacing w:line="240" w:lineRule="auto"/>
        <w:ind w:left="216" w:right="0"/>
        <w:jc w:val="left"/>
        <w:rPr>
          <w:rFonts w:ascii="宋体" w:hAnsi="宋体" w:cs="宋体" w:eastAsia="宋体" w:hint="default"/>
        </w:rPr>
      </w:pPr>
      <w:r>
        <w:rPr/>
        <w:t>单位：元币种：人民币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580" w:bottom="280" w:left="1060" w:right="1020"/>
          <w:cols w:num="2" w:equalWidth="0">
            <w:col w:w="4858" w:space="1876"/>
            <w:col w:w="3096"/>
          </w:cols>
        </w:sectPr>
      </w:pPr>
    </w:p>
    <w:p>
      <w:pPr>
        <w:spacing w:line="240" w:lineRule="auto" w:before="10"/>
        <w:rPr>
          <w:rFonts w:ascii="宋体" w:hAnsi="宋体" w:cs="宋体" w:eastAsia="宋体" w:hint="default"/>
          <w:sz w:val="3"/>
          <w:szCs w:val="3"/>
        </w:rPr>
      </w:pPr>
    </w:p>
    <w:tbl>
      <w:tblPr>
        <w:tblW w:w="0" w:type="auto"/>
        <w:jc w:val="left"/>
        <w:tblInd w:w="103" w:type="dxa"/>
        <w:tblLayout w:type="fixed"/>
        <w:tblCellMar>
          <w:top w:w="0" w:type="dxa"/>
          <w:left w:w="0" w:type="dxa"/>
          <w:bottom w:w="0" w:type="dxa"/>
          <w:right w:w="0" w:type="dxa"/>
        </w:tblCellMar>
        <w:tblLook w:val="01E0"/>
      </w:tblPr>
      <w:tblGrid>
        <w:gridCol w:w="2468"/>
        <w:gridCol w:w="1748"/>
        <w:gridCol w:w="1743"/>
        <w:gridCol w:w="1742"/>
        <w:gridCol w:w="1745"/>
      </w:tblGrid>
      <w:tr>
        <w:trPr>
          <w:trHeight w:val="322" w:hRule="exact"/>
        </w:trPr>
        <w:tc>
          <w:tcPr>
            <w:tcW w:w="2468"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912"/>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449"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446" w:right="0"/>
              <w:jc w:val="left"/>
              <w:rPr>
                <w:rFonts w:ascii="宋体" w:hAnsi="宋体" w:cs="宋体" w:eastAsia="宋体" w:hint="default"/>
                <w:sz w:val="21"/>
                <w:szCs w:val="21"/>
              </w:rPr>
            </w:pPr>
            <w:r>
              <w:rPr>
                <w:rFonts w:ascii="宋体" w:hAnsi="宋体" w:cs="宋体" w:eastAsia="宋体" w:hint="default"/>
                <w:sz w:val="21"/>
                <w:szCs w:val="21"/>
              </w:rPr>
              <w:t>本期增加</w:t>
            </w:r>
            <w:r>
              <w:rPr>
                <w:rFonts w:ascii="宋体" w:hAnsi="宋体" w:cs="宋体" w:eastAsia="宋体" w:hint="default"/>
                <w:sz w:val="21"/>
                <w:szCs w:val="21"/>
              </w:rPr>
              <w:t> </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443" w:right="0"/>
              <w:jc w:val="left"/>
              <w:rPr>
                <w:rFonts w:ascii="宋体" w:hAnsi="宋体" w:cs="宋体" w:eastAsia="宋体" w:hint="default"/>
                <w:sz w:val="21"/>
                <w:szCs w:val="21"/>
              </w:rPr>
            </w:pPr>
            <w:r>
              <w:rPr>
                <w:rFonts w:ascii="宋体" w:hAnsi="宋体" w:cs="宋体" w:eastAsia="宋体" w:hint="default"/>
                <w:sz w:val="21"/>
                <w:szCs w:val="21"/>
              </w:rPr>
              <w:t>本期减少</w:t>
            </w:r>
            <w:r>
              <w:rPr>
                <w:rFonts w:ascii="宋体" w:hAnsi="宋体" w:cs="宋体" w:eastAsia="宋体" w:hint="default"/>
                <w:sz w:val="21"/>
                <w:szCs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446"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322" w:hRule="exact"/>
        </w:trPr>
        <w:tc>
          <w:tcPr>
            <w:tcW w:w="246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86"/>
              <w:jc w:val="right"/>
              <w:rPr>
                <w:rFonts w:ascii="宋体" w:hAnsi="宋体" w:cs="宋体" w:eastAsia="宋体" w:hint="default"/>
                <w:sz w:val="21"/>
                <w:szCs w:val="21"/>
              </w:rPr>
            </w:pPr>
            <w:r>
              <w:rPr>
                <w:rFonts w:ascii="宋体" w:hAnsi="宋体" w:cs="宋体" w:eastAsia="宋体" w:hint="default"/>
                <w:spacing w:val="-2"/>
                <w:sz w:val="21"/>
                <w:szCs w:val="21"/>
              </w:rPr>
              <w:t>一、短期薪酬</w:t>
            </w:r>
            <w:r>
              <w:rPr>
                <w:rFonts w:ascii="宋体" w:hAnsi="宋体" w:cs="宋体" w:eastAsia="宋体" w:hint="default"/>
                <w:sz w:val="21"/>
                <w:szCs w:val="21"/>
              </w:rPr>
              <w:t> </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99,016,684.57</w:t>
            </w:r>
            <w:r>
              <w:rPr>
                <w:rFonts w:ascii="宋体"/>
                <w:sz w:val="21"/>
              </w:rPr>
              <w:t> </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415,919,259.97</w:t>
            </w:r>
            <w:r>
              <w:rPr>
                <w:rFonts w:ascii="宋体"/>
                <w:sz w:val="21"/>
              </w:rPr>
              <w:t> </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413,378,896.33</w:t>
            </w:r>
            <w:r>
              <w:rPr>
                <w:rFonts w:ascii="宋体"/>
                <w:sz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101,557,048.21</w:t>
            </w:r>
            <w:r>
              <w:rPr>
                <w:rFonts w:ascii="宋体"/>
                <w:sz w:val="21"/>
              </w:rPr>
              <w:t> </w:t>
            </w:r>
          </w:p>
        </w:tc>
      </w:tr>
      <w:tr>
        <w:trPr>
          <w:trHeight w:val="634" w:hRule="exact"/>
        </w:trPr>
        <w:tc>
          <w:tcPr>
            <w:tcW w:w="246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44"/>
              <w:jc w:val="left"/>
              <w:rPr>
                <w:rFonts w:ascii="宋体" w:hAnsi="宋体" w:cs="宋体" w:eastAsia="宋体" w:hint="default"/>
                <w:sz w:val="21"/>
                <w:szCs w:val="21"/>
              </w:rPr>
            </w:pPr>
            <w:r>
              <w:rPr>
                <w:rFonts w:ascii="宋体" w:hAnsi="宋体" w:cs="宋体" w:eastAsia="宋体" w:hint="default"/>
                <w:spacing w:val="-2"/>
                <w:sz w:val="21"/>
                <w:szCs w:val="21"/>
              </w:rPr>
              <w:t>二、离职后福利</w:t>
            </w:r>
            <w:r>
              <w:rPr>
                <w:rFonts w:ascii="宋体" w:hAnsi="宋体" w:cs="宋体" w:eastAsia="宋体" w:hint="default"/>
                <w:spacing w:val="-2"/>
                <w:sz w:val="21"/>
                <w:szCs w:val="21"/>
              </w:rPr>
              <w:t>-</w:t>
            </w:r>
            <w:r>
              <w:rPr>
                <w:rFonts w:ascii="宋体" w:hAnsi="宋体" w:cs="宋体" w:eastAsia="宋体" w:hint="default"/>
                <w:spacing w:val="-2"/>
                <w:sz w:val="21"/>
                <w:szCs w:val="21"/>
              </w:rPr>
              <w:t>设定提</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存计划</w:t>
            </w:r>
            <w:r>
              <w:rPr>
                <w:rFonts w:ascii="宋体" w:hAnsi="宋体" w:cs="宋体" w:eastAsia="宋体" w:hint="default"/>
                <w:sz w:val="21"/>
                <w:szCs w:val="21"/>
              </w:rPr>
              <w:t> </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3"/>
              <w:jc w:val="right"/>
              <w:rPr>
                <w:rFonts w:ascii="宋体" w:hAnsi="宋体" w:cs="宋体" w:eastAsia="宋体" w:hint="default"/>
                <w:sz w:val="21"/>
                <w:szCs w:val="21"/>
              </w:rPr>
            </w:pPr>
            <w:r>
              <w:rPr>
                <w:rFonts w:ascii="宋体"/>
                <w:spacing w:val="-1"/>
                <w:sz w:val="21"/>
              </w:rPr>
              <w:t>406,847.41</w:t>
            </w:r>
            <w:r>
              <w:rPr>
                <w:rFonts w:ascii="宋体"/>
                <w:sz w:val="21"/>
              </w:rPr>
              <w:t> </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3"/>
              <w:jc w:val="right"/>
              <w:rPr>
                <w:rFonts w:ascii="宋体" w:hAnsi="宋体" w:cs="宋体" w:eastAsia="宋体" w:hint="default"/>
                <w:sz w:val="21"/>
                <w:szCs w:val="21"/>
              </w:rPr>
            </w:pPr>
            <w:r>
              <w:rPr>
                <w:rFonts w:ascii="宋体"/>
                <w:spacing w:val="-1"/>
                <w:sz w:val="21"/>
              </w:rPr>
              <w:t>25,981,496.56</w:t>
            </w:r>
            <w:r>
              <w:rPr>
                <w:rFonts w:ascii="宋体"/>
                <w:sz w:val="21"/>
              </w:rPr>
              <w:t> </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3"/>
              <w:jc w:val="right"/>
              <w:rPr>
                <w:rFonts w:ascii="宋体" w:hAnsi="宋体" w:cs="宋体" w:eastAsia="宋体" w:hint="default"/>
                <w:sz w:val="21"/>
                <w:szCs w:val="21"/>
              </w:rPr>
            </w:pPr>
            <w:r>
              <w:rPr>
                <w:rFonts w:ascii="宋体"/>
                <w:spacing w:val="-1"/>
                <w:sz w:val="21"/>
              </w:rPr>
              <w:t>26,222,121.71</w:t>
            </w:r>
            <w:r>
              <w:rPr>
                <w:rFonts w:ascii="宋体"/>
                <w:sz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3"/>
              <w:jc w:val="right"/>
              <w:rPr>
                <w:rFonts w:ascii="宋体" w:hAnsi="宋体" w:cs="宋体" w:eastAsia="宋体" w:hint="default"/>
                <w:sz w:val="21"/>
                <w:szCs w:val="21"/>
              </w:rPr>
            </w:pPr>
            <w:r>
              <w:rPr>
                <w:rFonts w:ascii="宋体"/>
                <w:spacing w:val="-1"/>
                <w:sz w:val="21"/>
              </w:rPr>
              <w:t>166,222.26</w:t>
            </w:r>
            <w:r>
              <w:rPr>
                <w:rFonts w:ascii="宋体"/>
                <w:sz w:val="21"/>
              </w:rPr>
              <w:t> </w:t>
            </w:r>
          </w:p>
        </w:tc>
      </w:tr>
      <w:tr>
        <w:trPr>
          <w:trHeight w:val="324" w:hRule="exact"/>
        </w:trPr>
        <w:tc>
          <w:tcPr>
            <w:tcW w:w="246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86"/>
              <w:jc w:val="right"/>
              <w:rPr>
                <w:rFonts w:ascii="宋体" w:hAnsi="宋体" w:cs="宋体" w:eastAsia="宋体" w:hint="default"/>
                <w:sz w:val="21"/>
                <w:szCs w:val="21"/>
              </w:rPr>
            </w:pPr>
            <w:r>
              <w:rPr>
                <w:rFonts w:ascii="宋体" w:hAnsi="宋体" w:cs="宋体" w:eastAsia="宋体" w:hint="default"/>
                <w:spacing w:val="-2"/>
                <w:sz w:val="21"/>
                <w:szCs w:val="21"/>
              </w:rPr>
              <w:t>三、辞退福利</w:t>
            </w:r>
            <w:r>
              <w:rPr>
                <w:rFonts w:ascii="宋体" w:hAnsi="宋体" w:cs="宋体" w:eastAsia="宋体" w:hint="default"/>
                <w:sz w:val="21"/>
                <w:szCs w:val="21"/>
              </w:rPr>
              <w:t> </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w w:val="100"/>
                <w:sz w:val="21"/>
              </w:rPr>
              <w:t> </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spacing w:val="-1"/>
                <w:sz w:val="21"/>
              </w:rPr>
              <w:t>744,889.68</w:t>
            </w:r>
            <w:r>
              <w:rPr>
                <w:rFonts w:ascii="宋体"/>
                <w:sz w:val="21"/>
              </w:rPr>
              <w:t> </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spacing w:val="-1"/>
                <w:sz w:val="21"/>
              </w:rPr>
              <w:t>684,489.68</w:t>
            </w:r>
            <w:r>
              <w:rPr>
                <w:rFonts w:ascii="宋体"/>
                <w:sz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spacing w:val="-1"/>
                <w:sz w:val="21"/>
              </w:rPr>
              <w:t>60,400.00</w:t>
            </w:r>
            <w:r>
              <w:rPr>
                <w:rFonts w:ascii="宋体"/>
                <w:sz w:val="21"/>
              </w:rPr>
              <w:t> </w:t>
            </w:r>
          </w:p>
        </w:tc>
      </w:tr>
      <w:tr>
        <w:trPr>
          <w:trHeight w:val="322" w:hRule="exact"/>
        </w:trPr>
        <w:tc>
          <w:tcPr>
            <w:tcW w:w="246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12"/>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99,423,531.98</w:t>
            </w:r>
            <w:r>
              <w:rPr>
                <w:rFonts w:ascii="宋体"/>
                <w:sz w:val="21"/>
              </w:rPr>
              <w:t> </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442,645,646.21</w:t>
            </w:r>
            <w:r>
              <w:rPr>
                <w:rFonts w:ascii="宋体"/>
                <w:sz w:val="21"/>
              </w:rPr>
              <w:t> </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440,285,507.72</w:t>
            </w:r>
            <w:r>
              <w:rPr>
                <w:rFonts w:ascii="宋体"/>
                <w:sz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101,783,670.47</w:t>
            </w:r>
            <w:r>
              <w:rPr>
                <w:rFonts w:ascii="宋体"/>
                <w:sz w:val="21"/>
              </w:rPr>
              <w:t> </w:t>
            </w:r>
          </w:p>
        </w:tc>
      </w:tr>
    </w:tbl>
    <w:p>
      <w:pPr>
        <w:spacing w:after="0" w:line="262" w:lineRule="exact"/>
        <w:jc w:val="right"/>
        <w:rPr>
          <w:rFonts w:ascii="宋体" w:hAnsi="宋体" w:cs="宋体" w:eastAsia="宋体" w:hint="default"/>
          <w:sz w:val="21"/>
          <w:szCs w:val="21"/>
        </w:rPr>
        <w:sectPr>
          <w:type w:val="continuous"/>
          <w:pgSz w:w="11910" w:h="16840"/>
          <w:pgMar w:top="1580" w:bottom="280" w:left="1060" w:right="1020"/>
        </w:sectPr>
      </w:pPr>
    </w:p>
    <w:p>
      <w:pPr>
        <w:pStyle w:val="Heading2"/>
        <w:spacing w:line="274" w:lineRule="exact"/>
        <w:ind w:left="216" w:right="0"/>
        <w:jc w:val="left"/>
        <w:rPr>
          <w:rFonts w:ascii="宋体" w:hAnsi="宋体" w:cs="宋体" w:eastAsia="宋体" w:hint="default"/>
        </w:rPr>
      </w:pPr>
      <w:r>
        <w:rPr>
          <w:rFonts w:ascii="宋体"/>
        </w:rPr>
        <w:t> </w:t>
      </w:r>
    </w:p>
    <w:p>
      <w:pPr>
        <w:pStyle w:val="Heading3"/>
        <w:spacing w:line="240" w:lineRule="auto" w:before="85"/>
        <w:ind w:left="216" w:right="0"/>
        <w:jc w:val="left"/>
        <w:rPr>
          <w:rFonts w:ascii="宋体" w:hAnsi="宋体" w:cs="宋体" w:eastAsia="宋体" w:hint="default"/>
          <w:b w:val="0"/>
          <w:bCs w:val="0"/>
        </w:rPr>
      </w:pPr>
      <w:r>
        <w:rPr>
          <w:rFonts w:ascii="宋体" w:hAnsi="宋体" w:cs="宋体" w:eastAsia="宋体" w:hint="default"/>
        </w:rPr>
        <w:t>(2).</w:t>
      </w:r>
      <w:r>
        <w:rPr/>
        <w:t>短期薪酬列示</w:t>
      </w:r>
      <w:r>
        <w:rPr>
          <w:rFonts w:ascii="宋体" w:hAnsi="宋体" w:cs="宋体" w:eastAsia="宋体" w:hint="default"/>
          <w:w w:val="99"/>
        </w:rPr>
        <w:t> </w:t>
      </w:r>
      <w:r>
        <w:rPr>
          <w:rFonts w:ascii="宋体" w:hAnsi="宋体" w:cs="宋体" w:eastAsia="宋体" w:hint="default"/>
          <w:b w:val="0"/>
          <w:bCs w:val="0"/>
        </w:rPr>
      </w:r>
    </w:p>
    <w:p>
      <w:pPr>
        <w:pStyle w:val="Heading2"/>
        <w:spacing w:line="240" w:lineRule="auto" w:before="69"/>
        <w:ind w:left="21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pStyle w:val="BodyText"/>
        <w:spacing w:line="240" w:lineRule="auto"/>
        <w:ind w:left="216" w:right="0"/>
        <w:jc w:val="left"/>
        <w:rPr>
          <w:rFonts w:ascii="宋体" w:hAnsi="宋体" w:cs="宋体" w:eastAsia="宋体" w:hint="default"/>
        </w:rPr>
      </w:pPr>
      <w:r>
        <w:rPr/>
        <w:t>单位：元币种</w:t>
      </w:r>
      <w:r>
        <w:rPr>
          <w:rFonts w:ascii="宋体" w:hAnsi="宋体" w:cs="宋体" w:eastAsia="宋体" w:hint="default"/>
        </w:rPr>
        <w:t>:</w:t>
      </w:r>
      <w:r>
        <w:rPr/>
        <w:t>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580" w:bottom="280" w:left="1060" w:right="1020"/>
          <w:cols w:num="2" w:equalWidth="0">
            <w:col w:w="2258" w:space="4581"/>
            <w:col w:w="2991"/>
          </w:cols>
        </w:sectPr>
      </w:pPr>
    </w:p>
    <w:p>
      <w:pPr>
        <w:spacing w:line="240" w:lineRule="auto" w:before="10"/>
        <w:rPr>
          <w:rFonts w:ascii="宋体" w:hAnsi="宋体" w:cs="宋体" w:eastAsia="宋体" w:hint="default"/>
          <w:sz w:val="3"/>
          <w:szCs w:val="3"/>
        </w:rPr>
      </w:pPr>
    </w:p>
    <w:tbl>
      <w:tblPr>
        <w:tblW w:w="0" w:type="auto"/>
        <w:jc w:val="left"/>
        <w:tblInd w:w="103" w:type="dxa"/>
        <w:tblLayout w:type="fixed"/>
        <w:tblCellMar>
          <w:top w:w="0" w:type="dxa"/>
          <w:left w:w="0" w:type="dxa"/>
          <w:bottom w:w="0" w:type="dxa"/>
          <w:right w:w="0" w:type="dxa"/>
        </w:tblCellMar>
        <w:tblLook w:val="01E0"/>
      </w:tblPr>
      <w:tblGrid>
        <w:gridCol w:w="2468"/>
        <w:gridCol w:w="1760"/>
        <w:gridCol w:w="1731"/>
        <w:gridCol w:w="1891"/>
        <w:gridCol w:w="1743"/>
      </w:tblGrid>
      <w:tr>
        <w:trPr>
          <w:trHeight w:val="322" w:hRule="exact"/>
        </w:trPr>
        <w:tc>
          <w:tcPr>
            <w:tcW w:w="2468"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3"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454"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436" w:right="0"/>
              <w:jc w:val="left"/>
              <w:rPr>
                <w:rFonts w:ascii="宋体" w:hAnsi="宋体" w:cs="宋体" w:eastAsia="宋体" w:hint="default"/>
                <w:sz w:val="21"/>
                <w:szCs w:val="21"/>
              </w:rPr>
            </w:pPr>
            <w:r>
              <w:rPr>
                <w:rFonts w:ascii="宋体" w:hAnsi="宋体" w:cs="宋体" w:eastAsia="宋体" w:hint="default"/>
                <w:sz w:val="21"/>
                <w:szCs w:val="21"/>
              </w:rPr>
              <w:t>本期增加</w:t>
            </w:r>
            <w:r>
              <w:rPr>
                <w:rFonts w:ascii="宋体" w:hAnsi="宋体" w:cs="宋体" w:eastAsia="宋体" w:hint="default"/>
                <w:sz w:val="21"/>
                <w:szCs w:val="21"/>
              </w:rPr>
              <w:t> </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518" w:right="0"/>
              <w:jc w:val="left"/>
              <w:rPr>
                <w:rFonts w:ascii="宋体" w:hAnsi="宋体" w:cs="宋体" w:eastAsia="宋体" w:hint="default"/>
                <w:sz w:val="21"/>
                <w:szCs w:val="21"/>
              </w:rPr>
            </w:pPr>
            <w:r>
              <w:rPr>
                <w:rFonts w:ascii="宋体" w:hAnsi="宋体" w:cs="宋体" w:eastAsia="宋体" w:hint="default"/>
                <w:sz w:val="21"/>
                <w:szCs w:val="21"/>
              </w:rPr>
              <w:t>本期减少</w:t>
            </w:r>
            <w:r>
              <w:rPr>
                <w:rFonts w:ascii="宋体" w:hAnsi="宋体" w:cs="宋体" w:eastAsia="宋体" w:hint="default"/>
                <w:sz w:val="21"/>
                <w:szCs w:val="21"/>
              </w:rPr>
              <w:t> </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444"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634" w:hRule="exact"/>
        </w:trPr>
        <w:tc>
          <w:tcPr>
            <w:tcW w:w="246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8"/>
              <w:jc w:val="left"/>
              <w:rPr>
                <w:rFonts w:ascii="宋体" w:hAnsi="宋体" w:cs="宋体" w:eastAsia="宋体" w:hint="default"/>
                <w:sz w:val="21"/>
                <w:szCs w:val="21"/>
              </w:rPr>
            </w:pPr>
            <w:r>
              <w:rPr>
                <w:rFonts w:ascii="宋体" w:hAnsi="宋体" w:cs="宋体" w:eastAsia="宋体" w:hint="default"/>
                <w:spacing w:val="-7"/>
                <w:sz w:val="21"/>
                <w:szCs w:val="21"/>
              </w:rPr>
              <w:t>一、工资、奖金、津贴和</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补贴</w:t>
            </w:r>
            <w:r>
              <w:rPr>
                <w:rFonts w:ascii="宋体" w:hAnsi="宋体" w:cs="宋体" w:eastAsia="宋体" w:hint="default"/>
                <w:sz w:val="21"/>
                <w:szCs w:val="21"/>
              </w:rPr>
              <w:t> </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3"/>
              <w:jc w:val="right"/>
              <w:rPr>
                <w:rFonts w:ascii="宋体" w:hAnsi="宋体" w:cs="宋体" w:eastAsia="宋体" w:hint="default"/>
                <w:sz w:val="21"/>
                <w:szCs w:val="21"/>
              </w:rPr>
            </w:pPr>
            <w:r>
              <w:rPr>
                <w:rFonts w:ascii="宋体"/>
                <w:spacing w:val="-1"/>
                <w:sz w:val="21"/>
              </w:rPr>
              <w:t>97,442,442.74</w:t>
            </w:r>
            <w:r>
              <w:rPr>
                <w:rFonts w:ascii="宋体"/>
                <w:sz w:val="21"/>
              </w:rPr>
              <w:t> </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
              <w:jc w:val="right"/>
              <w:rPr>
                <w:rFonts w:ascii="宋体" w:hAnsi="宋体" w:cs="宋体" w:eastAsia="宋体" w:hint="default"/>
                <w:sz w:val="21"/>
                <w:szCs w:val="21"/>
              </w:rPr>
            </w:pPr>
            <w:r>
              <w:rPr>
                <w:rFonts w:ascii="宋体"/>
                <w:spacing w:val="-1"/>
                <w:sz w:val="21"/>
              </w:rPr>
              <w:t>373,112,831.09</w:t>
            </w:r>
            <w:r>
              <w:rPr>
                <w:rFonts w:ascii="宋体"/>
                <w:sz w:val="21"/>
              </w:rPr>
              <w:t> </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
              <w:jc w:val="right"/>
              <w:rPr>
                <w:rFonts w:ascii="宋体" w:hAnsi="宋体" w:cs="宋体" w:eastAsia="宋体" w:hint="default"/>
                <w:sz w:val="21"/>
                <w:szCs w:val="21"/>
              </w:rPr>
            </w:pPr>
            <w:r>
              <w:rPr>
                <w:rFonts w:ascii="宋体"/>
                <w:spacing w:val="-1"/>
                <w:sz w:val="21"/>
              </w:rPr>
              <w:t>371,130,534.42</w:t>
            </w:r>
            <w:r>
              <w:rPr>
                <w:rFonts w:ascii="宋体"/>
                <w:sz w:val="21"/>
              </w:rPr>
              <w:t> </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
              <w:jc w:val="right"/>
              <w:rPr>
                <w:rFonts w:ascii="宋体" w:hAnsi="宋体" w:cs="宋体" w:eastAsia="宋体" w:hint="default"/>
                <w:sz w:val="21"/>
                <w:szCs w:val="21"/>
              </w:rPr>
            </w:pPr>
            <w:r>
              <w:rPr>
                <w:rFonts w:ascii="宋体"/>
                <w:spacing w:val="-1"/>
                <w:sz w:val="21"/>
              </w:rPr>
              <w:t>99,424,739.41</w:t>
            </w:r>
            <w:r>
              <w:rPr>
                <w:rFonts w:ascii="宋体"/>
                <w:sz w:val="21"/>
              </w:rPr>
              <w:t> </w:t>
            </w:r>
          </w:p>
        </w:tc>
      </w:tr>
      <w:tr>
        <w:trPr>
          <w:trHeight w:val="322" w:hRule="exact"/>
        </w:trPr>
        <w:tc>
          <w:tcPr>
            <w:tcW w:w="246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二、职工福利费</w:t>
            </w:r>
            <w:r>
              <w:rPr>
                <w:rFonts w:ascii="宋体" w:hAnsi="宋体" w:cs="宋体" w:eastAsia="宋体" w:hint="default"/>
                <w:sz w:val="21"/>
                <w:szCs w:val="21"/>
              </w:rPr>
              <w:t> </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2,940.68</w:t>
            </w:r>
            <w:r>
              <w:rPr>
                <w:rFonts w:ascii="宋体"/>
                <w:sz w:val="21"/>
              </w:rPr>
              <w:t> </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16,308,741.74</w:t>
            </w:r>
            <w:r>
              <w:rPr>
                <w:rFonts w:ascii="宋体"/>
                <w:sz w:val="21"/>
              </w:rPr>
              <w:t> </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15,599,682.42</w:t>
            </w:r>
            <w:r>
              <w:rPr>
                <w:rFonts w:ascii="宋体"/>
                <w:sz w:val="21"/>
              </w:rPr>
              <w:t> </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712,000.00</w:t>
            </w:r>
            <w:r>
              <w:rPr>
                <w:rFonts w:ascii="宋体"/>
                <w:sz w:val="21"/>
              </w:rPr>
              <w:t> </w:t>
            </w:r>
          </w:p>
        </w:tc>
      </w:tr>
      <w:tr>
        <w:trPr>
          <w:trHeight w:val="324" w:hRule="exact"/>
        </w:trPr>
        <w:tc>
          <w:tcPr>
            <w:tcW w:w="246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三、社会保险费</w:t>
            </w:r>
            <w:r>
              <w:rPr>
                <w:rFonts w:ascii="宋体" w:hAnsi="宋体" w:cs="宋体" w:eastAsia="宋体" w:hint="default"/>
                <w:sz w:val="21"/>
                <w:szCs w:val="21"/>
              </w:rPr>
              <w:t> </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spacing w:val="-1"/>
                <w:sz w:val="21"/>
              </w:rPr>
              <w:t>232,428.51</w:t>
            </w:r>
            <w:r>
              <w:rPr>
                <w:rFonts w:ascii="宋体"/>
                <w:sz w:val="21"/>
              </w:rPr>
              <w:t> </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
              <w:jc w:val="right"/>
              <w:rPr>
                <w:rFonts w:ascii="宋体" w:hAnsi="宋体" w:cs="宋体" w:eastAsia="宋体" w:hint="default"/>
                <w:sz w:val="21"/>
                <w:szCs w:val="21"/>
              </w:rPr>
            </w:pPr>
            <w:r>
              <w:rPr>
                <w:rFonts w:ascii="宋体"/>
                <w:spacing w:val="-1"/>
                <w:sz w:val="21"/>
              </w:rPr>
              <w:t>14,024,971.93</w:t>
            </w:r>
            <w:r>
              <w:rPr>
                <w:rFonts w:ascii="宋体"/>
                <w:sz w:val="21"/>
              </w:rPr>
              <w:t> </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
              <w:jc w:val="right"/>
              <w:rPr>
                <w:rFonts w:ascii="宋体" w:hAnsi="宋体" w:cs="宋体" w:eastAsia="宋体" w:hint="default"/>
                <w:sz w:val="21"/>
                <w:szCs w:val="21"/>
              </w:rPr>
            </w:pPr>
            <w:r>
              <w:rPr>
                <w:rFonts w:ascii="宋体"/>
                <w:spacing w:val="-1"/>
                <w:sz w:val="21"/>
              </w:rPr>
              <w:t>14,125,516.70</w:t>
            </w:r>
            <w:r>
              <w:rPr>
                <w:rFonts w:ascii="宋体"/>
                <w:sz w:val="21"/>
              </w:rPr>
              <w:t> </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
              <w:jc w:val="right"/>
              <w:rPr>
                <w:rFonts w:ascii="宋体" w:hAnsi="宋体" w:cs="宋体" w:eastAsia="宋体" w:hint="default"/>
                <w:sz w:val="21"/>
                <w:szCs w:val="21"/>
              </w:rPr>
            </w:pPr>
            <w:r>
              <w:rPr>
                <w:rFonts w:ascii="宋体"/>
                <w:spacing w:val="-1"/>
                <w:sz w:val="21"/>
              </w:rPr>
              <w:t>131,883.74</w:t>
            </w:r>
            <w:r>
              <w:rPr>
                <w:rFonts w:ascii="宋体"/>
                <w:sz w:val="21"/>
              </w:rPr>
              <w:t> </w:t>
            </w:r>
          </w:p>
        </w:tc>
      </w:tr>
      <w:tr>
        <w:trPr>
          <w:trHeight w:val="322" w:hRule="exact"/>
        </w:trPr>
        <w:tc>
          <w:tcPr>
            <w:tcW w:w="246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其中：医疗保险费</w:t>
            </w:r>
            <w:r>
              <w:rPr>
                <w:rFonts w:ascii="宋体" w:hAnsi="宋体" w:cs="宋体" w:eastAsia="宋体" w:hint="default"/>
                <w:color w:val="008000"/>
                <w:sz w:val="21"/>
                <w:szCs w:val="21"/>
              </w:rPr>
              <w:t> </w:t>
            </w:r>
            <w:r>
              <w:rPr>
                <w:rFonts w:ascii="宋体" w:hAnsi="宋体" w:cs="宋体" w:eastAsia="宋体" w:hint="default"/>
                <w:sz w:val="21"/>
                <w:szCs w:val="21"/>
              </w:rPr>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203,473.94</w:t>
            </w:r>
            <w:r>
              <w:rPr>
                <w:rFonts w:ascii="宋体"/>
                <w:sz w:val="21"/>
              </w:rPr>
              <w:t> </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11,889,606.71</w:t>
            </w:r>
            <w:r>
              <w:rPr>
                <w:rFonts w:ascii="宋体"/>
                <w:sz w:val="21"/>
              </w:rPr>
              <w:t> </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11,974,352.47</w:t>
            </w:r>
            <w:r>
              <w:rPr>
                <w:rFonts w:ascii="宋体"/>
                <w:sz w:val="21"/>
              </w:rPr>
              <w:t> </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118,728.18</w:t>
            </w:r>
            <w:r>
              <w:rPr>
                <w:rFonts w:ascii="宋体"/>
                <w:sz w:val="21"/>
              </w:rPr>
              <w:t> </w:t>
            </w:r>
          </w:p>
        </w:tc>
      </w:tr>
      <w:tr>
        <w:trPr>
          <w:trHeight w:val="322" w:hRule="exact"/>
        </w:trPr>
        <w:tc>
          <w:tcPr>
            <w:tcW w:w="246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64"/>
              <w:jc w:val="right"/>
              <w:rPr>
                <w:rFonts w:ascii="宋体" w:hAnsi="宋体" w:cs="宋体" w:eastAsia="宋体" w:hint="default"/>
                <w:sz w:val="21"/>
                <w:szCs w:val="21"/>
              </w:rPr>
            </w:pPr>
            <w:r>
              <w:rPr>
                <w:rFonts w:ascii="宋体" w:hAnsi="宋体" w:cs="宋体" w:eastAsia="宋体" w:hint="default"/>
                <w:spacing w:val="-2"/>
                <w:sz w:val="21"/>
                <w:szCs w:val="21"/>
              </w:rPr>
              <w:t>工伤保险费</w:t>
            </w:r>
            <w:r>
              <w:rPr>
                <w:rFonts w:ascii="宋体" w:hAnsi="宋体" w:cs="宋体" w:eastAsia="宋体" w:hint="default"/>
                <w:sz w:val="21"/>
                <w:szCs w:val="21"/>
              </w:rPr>
              <w:t> </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8,897.42</w:t>
            </w:r>
            <w:r>
              <w:rPr>
                <w:rFonts w:ascii="宋体"/>
                <w:sz w:val="21"/>
              </w:rPr>
              <w:t> </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712,729.45</w:t>
            </w:r>
            <w:r>
              <w:rPr>
                <w:rFonts w:ascii="宋体"/>
                <w:sz w:val="21"/>
              </w:rPr>
              <w:t> </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718,827.07</w:t>
            </w:r>
            <w:r>
              <w:rPr>
                <w:rFonts w:ascii="宋体"/>
                <w:sz w:val="21"/>
              </w:rPr>
              <w:t> </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2,799.80</w:t>
            </w:r>
            <w:r>
              <w:rPr>
                <w:rFonts w:ascii="宋体"/>
                <w:sz w:val="21"/>
              </w:rPr>
              <w:t> </w:t>
            </w:r>
          </w:p>
        </w:tc>
      </w:tr>
      <w:tr>
        <w:trPr>
          <w:trHeight w:val="322" w:hRule="exact"/>
        </w:trPr>
        <w:tc>
          <w:tcPr>
            <w:tcW w:w="246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64"/>
              <w:jc w:val="right"/>
              <w:rPr>
                <w:rFonts w:ascii="宋体" w:hAnsi="宋体" w:cs="宋体" w:eastAsia="宋体" w:hint="default"/>
                <w:sz w:val="21"/>
                <w:szCs w:val="21"/>
              </w:rPr>
            </w:pPr>
            <w:r>
              <w:rPr>
                <w:rFonts w:ascii="宋体" w:hAnsi="宋体" w:cs="宋体" w:eastAsia="宋体" w:hint="default"/>
                <w:spacing w:val="-2"/>
                <w:sz w:val="21"/>
                <w:szCs w:val="21"/>
              </w:rPr>
              <w:t>生育保险费</w:t>
            </w:r>
            <w:r>
              <w:rPr>
                <w:rFonts w:ascii="宋体" w:hAnsi="宋体" w:cs="宋体" w:eastAsia="宋体" w:hint="default"/>
                <w:sz w:val="21"/>
                <w:szCs w:val="21"/>
              </w:rPr>
              <w:t> </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20,057.15</w:t>
            </w:r>
            <w:r>
              <w:rPr>
                <w:rFonts w:ascii="宋体"/>
                <w:sz w:val="21"/>
              </w:rPr>
              <w:t> </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1,422,635.77</w:t>
            </w:r>
            <w:r>
              <w:rPr>
                <w:rFonts w:ascii="宋体"/>
                <w:sz w:val="21"/>
              </w:rPr>
              <w:t> </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1,432,337.16</w:t>
            </w:r>
            <w:r>
              <w:rPr>
                <w:rFonts w:ascii="宋体"/>
                <w:sz w:val="21"/>
              </w:rPr>
              <w:t> </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10,355.76</w:t>
            </w:r>
            <w:r>
              <w:rPr>
                <w:rFonts w:ascii="宋体"/>
                <w:sz w:val="21"/>
              </w:rPr>
              <w:t> </w:t>
            </w:r>
          </w:p>
        </w:tc>
      </w:tr>
      <w:tr>
        <w:trPr>
          <w:trHeight w:val="322" w:hRule="exact"/>
        </w:trPr>
        <w:tc>
          <w:tcPr>
            <w:tcW w:w="246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四、住房公积金</w:t>
            </w:r>
            <w:r>
              <w:rPr>
                <w:rFonts w:ascii="宋体" w:hAnsi="宋体" w:cs="宋体" w:eastAsia="宋体" w:hint="default"/>
                <w:sz w:val="21"/>
                <w:szCs w:val="21"/>
              </w:rPr>
              <w:t> </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168,138.00</w:t>
            </w:r>
            <w:r>
              <w:rPr>
                <w:rFonts w:ascii="宋体"/>
                <w:sz w:val="21"/>
              </w:rPr>
              <w:t> </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10,487,583.36</w:t>
            </w:r>
            <w:r>
              <w:rPr>
                <w:rFonts w:ascii="宋体"/>
                <w:sz w:val="21"/>
              </w:rPr>
              <w:t> </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10,533,683.36</w:t>
            </w:r>
            <w:r>
              <w:rPr>
                <w:rFonts w:ascii="宋体"/>
                <w:sz w:val="21"/>
              </w:rPr>
              <w:t> </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122,038.00</w:t>
            </w:r>
            <w:r>
              <w:rPr>
                <w:rFonts w:ascii="宋体"/>
                <w:sz w:val="21"/>
              </w:rPr>
              <w:t> </w:t>
            </w:r>
          </w:p>
        </w:tc>
      </w:tr>
      <w:tr>
        <w:trPr>
          <w:trHeight w:val="634" w:hRule="exact"/>
        </w:trPr>
        <w:tc>
          <w:tcPr>
            <w:tcW w:w="246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8"/>
              <w:jc w:val="left"/>
              <w:rPr>
                <w:rFonts w:ascii="宋体" w:hAnsi="宋体" w:cs="宋体" w:eastAsia="宋体" w:hint="default"/>
                <w:sz w:val="21"/>
                <w:szCs w:val="21"/>
              </w:rPr>
            </w:pPr>
            <w:r>
              <w:rPr>
                <w:rFonts w:ascii="宋体" w:hAnsi="宋体" w:cs="宋体" w:eastAsia="宋体" w:hint="default"/>
                <w:spacing w:val="-7"/>
                <w:sz w:val="21"/>
                <w:szCs w:val="21"/>
              </w:rPr>
              <w:t>五、工会经费和职工教育</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z w:val="21"/>
                <w:szCs w:val="21"/>
              </w:rPr>
              <w:t>经费</w:t>
            </w:r>
            <w:r>
              <w:rPr>
                <w:rFonts w:ascii="宋体" w:hAnsi="宋体" w:cs="宋体" w:eastAsia="宋体" w:hint="default"/>
                <w:sz w:val="21"/>
                <w:szCs w:val="21"/>
              </w:rPr>
              <w:t> </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3"/>
              <w:jc w:val="right"/>
              <w:rPr>
                <w:rFonts w:ascii="宋体" w:hAnsi="宋体" w:cs="宋体" w:eastAsia="宋体" w:hint="default"/>
                <w:sz w:val="21"/>
                <w:szCs w:val="21"/>
              </w:rPr>
            </w:pPr>
            <w:r>
              <w:rPr>
                <w:rFonts w:ascii="宋体"/>
                <w:spacing w:val="-1"/>
                <w:sz w:val="21"/>
              </w:rPr>
              <w:t>1,170,734.64</w:t>
            </w:r>
            <w:r>
              <w:rPr>
                <w:rFonts w:ascii="宋体"/>
                <w:sz w:val="21"/>
              </w:rPr>
              <w:t> </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
              <w:jc w:val="right"/>
              <w:rPr>
                <w:rFonts w:ascii="宋体" w:hAnsi="宋体" w:cs="宋体" w:eastAsia="宋体" w:hint="default"/>
                <w:sz w:val="21"/>
                <w:szCs w:val="21"/>
              </w:rPr>
            </w:pPr>
            <w:r>
              <w:rPr>
                <w:rFonts w:ascii="宋体"/>
                <w:spacing w:val="-1"/>
                <w:sz w:val="21"/>
              </w:rPr>
              <w:t>1,985,131.85</w:t>
            </w:r>
            <w:r>
              <w:rPr>
                <w:rFonts w:ascii="宋体"/>
                <w:sz w:val="21"/>
              </w:rPr>
              <w:t> </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
              <w:jc w:val="right"/>
              <w:rPr>
                <w:rFonts w:ascii="宋体" w:hAnsi="宋体" w:cs="宋体" w:eastAsia="宋体" w:hint="default"/>
                <w:sz w:val="21"/>
                <w:szCs w:val="21"/>
              </w:rPr>
            </w:pPr>
            <w:r>
              <w:rPr>
                <w:rFonts w:ascii="宋体"/>
                <w:spacing w:val="-1"/>
                <w:sz w:val="21"/>
              </w:rPr>
              <w:t>1,989,479.43</w:t>
            </w:r>
            <w:r>
              <w:rPr>
                <w:rFonts w:ascii="宋体"/>
                <w:sz w:val="21"/>
              </w:rPr>
              <w:t> </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
              <w:jc w:val="right"/>
              <w:rPr>
                <w:rFonts w:ascii="宋体" w:hAnsi="宋体" w:cs="宋体" w:eastAsia="宋体" w:hint="default"/>
                <w:sz w:val="21"/>
                <w:szCs w:val="21"/>
              </w:rPr>
            </w:pPr>
            <w:r>
              <w:rPr>
                <w:rFonts w:ascii="宋体"/>
                <w:spacing w:val="-1"/>
                <w:sz w:val="21"/>
              </w:rPr>
              <w:t>1,166,387.06</w:t>
            </w:r>
            <w:r>
              <w:rPr>
                <w:rFonts w:ascii="宋体"/>
                <w:sz w:val="21"/>
              </w:rPr>
              <w:t> </w:t>
            </w:r>
          </w:p>
        </w:tc>
      </w:tr>
      <w:tr>
        <w:trPr>
          <w:trHeight w:val="325" w:hRule="exact"/>
        </w:trPr>
        <w:tc>
          <w:tcPr>
            <w:tcW w:w="246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spacing w:val="-1"/>
                <w:sz w:val="21"/>
              </w:rPr>
              <w:t>99,016,684.57</w:t>
            </w:r>
            <w:r>
              <w:rPr>
                <w:rFonts w:ascii="宋体"/>
                <w:sz w:val="21"/>
              </w:rPr>
              <w:t> </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
              <w:jc w:val="right"/>
              <w:rPr>
                <w:rFonts w:ascii="宋体" w:hAnsi="宋体" w:cs="宋体" w:eastAsia="宋体" w:hint="default"/>
                <w:sz w:val="21"/>
                <w:szCs w:val="21"/>
              </w:rPr>
            </w:pPr>
            <w:r>
              <w:rPr>
                <w:rFonts w:ascii="宋体"/>
                <w:spacing w:val="-1"/>
                <w:sz w:val="21"/>
              </w:rPr>
              <w:t>415,919,259.97</w:t>
            </w:r>
            <w:r>
              <w:rPr>
                <w:rFonts w:ascii="宋体"/>
                <w:sz w:val="21"/>
              </w:rPr>
              <w:t> </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
              <w:jc w:val="right"/>
              <w:rPr>
                <w:rFonts w:ascii="宋体" w:hAnsi="宋体" w:cs="宋体" w:eastAsia="宋体" w:hint="default"/>
                <w:sz w:val="21"/>
                <w:szCs w:val="21"/>
              </w:rPr>
            </w:pPr>
            <w:r>
              <w:rPr>
                <w:rFonts w:ascii="宋体"/>
                <w:spacing w:val="-1"/>
                <w:sz w:val="21"/>
              </w:rPr>
              <w:t>413,378,896.33</w:t>
            </w:r>
            <w:r>
              <w:rPr>
                <w:rFonts w:ascii="宋体"/>
                <w:sz w:val="21"/>
              </w:rPr>
              <w:t> </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
              <w:jc w:val="right"/>
              <w:rPr>
                <w:rFonts w:ascii="宋体" w:hAnsi="宋体" w:cs="宋体" w:eastAsia="宋体" w:hint="default"/>
                <w:sz w:val="21"/>
                <w:szCs w:val="21"/>
              </w:rPr>
            </w:pPr>
            <w:r>
              <w:rPr>
                <w:rFonts w:ascii="宋体"/>
                <w:spacing w:val="-1"/>
                <w:sz w:val="21"/>
              </w:rPr>
              <w:t>101,557,048.21</w:t>
            </w:r>
            <w:r>
              <w:rPr>
                <w:rFonts w:ascii="宋体"/>
                <w:sz w:val="21"/>
              </w:rPr>
              <w:t> </w:t>
            </w:r>
          </w:p>
        </w:tc>
      </w:tr>
    </w:tbl>
    <w:p>
      <w:pPr>
        <w:spacing w:after="0" w:line="265" w:lineRule="exact"/>
        <w:jc w:val="right"/>
        <w:rPr>
          <w:rFonts w:ascii="宋体" w:hAnsi="宋体" w:cs="宋体" w:eastAsia="宋体" w:hint="default"/>
          <w:sz w:val="21"/>
          <w:szCs w:val="21"/>
        </w:rPr>
        <w:sectPr>
          <w:type w:val="continuous"/>
          <w:pgSz w:w="11910" w:h="16840"/>
          <w:pgMar w:top="1580" w:bottom="280" w:left="1060" w:right="1020"/>
        </w:sectPr>
      </w:pPr>
    </w:p>
    <w:p>
      <w:pPr>
        <w:pStyle w:val="Heading3"/>
        <w:spacing w:line="324" w:lineRule="auto" w:before="0"/>
        <w:ind w:left="216"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(3)</w:t>
      </w:r>
      <w:r>
        <w:rPr>
          <w:rFonts w:ascii="宋体" w:hAnsi="宋体" w:cs="宋体" w:eastAsia="宋体" w:hint="default"/>
          <w:spacing w:val="2"/>
          <w:w w:val="99"/>
        </w:rPr>
        <w:t>.</w:t>
      </w:r>
      <w:r>
        <w:rPr>
          <w:w w:val="100"/>
        </w:rPr>
        <w:t>设定提存计划列</w:t>
      </w:r>
      <w:r>
        <w:rPr>
          <w:spacing w:val="-3"/>
          <w:w w:val="100"/>
        </w:rPr>
        <w:t>示</w:t>
      </w:r>
      <w:r>
        <w:rPr>
          <w:rFonts w:ascii="宋体" w:hAnsi="宋体" w:cs="宋体" w:eastAsia="宋体" w:hint="default"/>
          <w:w w:val="99"/>
        </w:rPr>
        <w:t> </w:t>
      </w:r>
      <w:r>
        <w:rPr>
          <w:rFonts w:ascii="宋体" w:hAnsi="宋体" w:cs="宋体" w:eastAsia="宋体" w:hint="default"/>
          <w:b w:val="0"/>
          <w:bCs w:val="0"/>
        </w:rPr>
      </w:r>
    </w:p>
    <w:p>
      <w:pPr>
        <w:pStyle w:val="Heading2"/>
        <w:spacing w:line="310" w:lineRule="exact"/>
        <w:ind w:left="21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pStyle w:val="BodyText"/>
        <w:spacing w:line="240" w:lineRule="auto"/>
        <w:ind w:left="216" w:right="0"/>
        <w:jc w:val="left"/>
        <w:rPr>
          <w:rFonts w:ascii="宋体" w:hAnsi="宋体" w:cs="宋体" w:eastAsia="宋体" w:hint="default"/>
        </w:rPr>
      </w:pPr>
      <w:r>
        <w:rPr/>
        <w:t>单位：元币种：人民币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580" w:bottom="280" w:left="1060" w:right="1020"/>
          <w:cols w:num="2" w:equalWidth="0">
            <w:col w:w="2435" w:space="4298"/>
            <w:col w:w="3097"/>
          </w:cols>
        </w:sectPr>
      </w:pPr>
    </w:p>
    <w:p>
      <w:pPr>
        <w:spacing w:line="240" w:lineRule="auto" w:before="10"/>
        <w:rPr>
          <w:rFonts w:ascii="宋体" w:hAnsi="宋体" w:cs="宋体" w:eastAsia="宋体" w:hint="default"/>
          <w:sz w:val="3"/>
          <w:szCs w:val="3"/>
        </w:rPr>
      </w:pPr>
    </w:p>
    <w:tbl>
      <w:tblPr>
        <w:tblW w:w="0" w:type="auto"/>
        <w:jc w:val="left"/>
        <w:tblInd w:w="101" w:type="dxa"/>
        <w:tblLayout w:type="fixed"/>
        <w:tblCellMar>
          <w:top w:w="0" w:type="dxa"/>
          <w:left w:w="0" w:type="dxa"/>
          <w:bottom w:w="0" w:type="dxa"/>
          <w:right w:w="0" w:type="dxa"/>
        </w:tblCellMar>
        <w:tblLook w:val="01E0"/>
      </w:tblPr>
      <w:tblGrid>
        <w:gridCol w:w="2468"/>
        <w:gridCol w:w="1599"/>
        <w:gridCol w:w="1762"/>
        <w:gridCol w:w="1639"/>
        <w:gridCol w:w="1594"/>
      </w:tblGrid>
      <w:tr>
        <w:trPr>
          <w:trHeight w:val="322" w:hRule="exact"/>
        </w:trPr>
        <w:tc>
          <w:tcPr>
            <w:tcW w:w="2468" w:type="dxa"/>
            <w:tcBorders>
              <w:top w:val="single" w:sz="4" w:space="0" w:color="000000"/>
              <w:left w:val="single" w:sz="4" w:space="0" w:color="000000"/>
              <w:bottom w:val="single" w:sz="4" w:space="0" w:color="000000"/>
              <w:right w:val="single" w:sz="5" w:space="0" w:color="000000"/>
            </w:tcBorders>
          </w:tcPr>
          <w:p>
            <w:pPr>
              <w:pStyle w:val="TableParagraph"/>
              <w:spacing w:line="262" w:lineRule="exact"/>
              <w:ind w:left="104"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1599" w:type="dxa"/>
            <w:tcBorders>
              <w:top w:val="single" w:sz="4" w:space="0" w:color="000000"/>
              <w:left w:val="single" w:sz="5" w:space="0" w:color="000000"/>
              <w:bottom w:val="single" w:sz="4" w:space="0" w:color="000000"/>
              <w:right w:val="single" w:sz="4" w:space="0" w:color="000000"/>
            </w:tcBorders>
          </w:tcPr>
          <w:p>
            <w:pPr>
              <w:pStyle w:val="TableParagraph"/>
              <w:spacing w:line="262" w:lineRule="exact"/>
              <w:ind w:left="371"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56" w:right="0"/>
              <w:jc w:val="left"/>
              <w:rPr>
                <w:rFonts w:ascii="宋体" w:hAnsi="宋体" w:cs="宋体" w:eastAsia="宋体" w:hint="default"/>
                <w:sz w:val="21"/>
                <w:szCs w:val="21"/>
              </w:rPr>
            </w:pPr>
            <w:r>
              <w:rPr>
                <w:rFonts w:ascii="宋体" w:hAnsi="宋体" w:cs="宋体" w:eastAsia="宋体" w:hint="default"/>
                <w:sz w:val="21"/>
                <w:szCs w:val="21"/>
              </w:rPr>
              <w:t>本期增加</w:t>
            </w:r>
            <w:r>
              <w:rPr>
                <w:rFonts w:ascii="宋体" w:hAnsi="宋体" w:cs="宋体" w:eastAsia="宋体" w:hint="default"/>
                <w:sz w:val="21"/>
                <w:szCs w:val="21"/>
              </w:rPr>
              <w:t> </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93" w:right="0"/>
              <w:jc w:val="left"/>
              <w:rPr>
                <w:rFonts w:ascii="宋体" w:hAnsi="宋体" w:cs="宋体" w:eastAsia="宋体" w:hint="default"/>
                <w:sz w:val="21"/>
                <w:szCs w:val="21"/>
              </w:rPr>
            </w:pPr>
            <w:r>
              <w:rPr>
                <w:rFonts w:ascii="宋体" w:hAnsi="宋体" w:cs="宋体" w:eastAsia="宋体" w:hint="default"/>
                <w:sz w:val="21"/>
                <w:szCs w:val="21"/>
              </w:rPr>
              <w:t>本期减少</w:t>
            </w:r>
            <w:r>
              <w:rPr>
                <w:rFonts w:ascii="宋体" w:hAnsi="宋体" w:cs="宋体" w:eastAsia="宋体" w:hint="default"/>
                <w:sz w:val="21"/>
                <w:szCs w:val="21"/>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72"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324" w:hRule="exact"/>
        </w:trPr>
        <w:tc>
          <w:tcPr>
            <w:tcW w:w="2468" w:type="dxa"/>
            <w:tcBorders>
              <w:top w:val="single" w:sz="4" w:space="0" w:color="000000"/>
              <w:left w:val="single" w:sz="6" w:space="0" w:color="000000"/>
              <w:bottom w:val="single" w:sz="6" w:space="0" w:color="000000"/>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、基本养老保险</w:t>
            </w:r>
            <w:r>
              <w:rPr>
                <w:rFonts w:ascii="宋体" w:hAnsi="宋体" w:cs="宋体" w:eastAsia="宋体" w:hint="default"/>
                <w:sz w:val="21"/>
                <w:szCs w:val="21"/>
              </w:rPr>
              <w:t> </w:t>
            </w:r>
          </w:p>
        </w:tc>
        <w:tc>
          <w:tcPr>
            <w:tcW w:w="1599" w:type="dxa"/>
            <w:tcBorders>
              <w:top w:val="single" w:sz="4" w:space="0" w:color="000000"/>
              <w:left w:val="single" w:sz="6"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395,896.69</w:t>
            </w:r>
            <w:r>
              <w:rPr>
                <w:rFonts w:ascii="宋体"/>
                <w:sz w:val="21"/>
              </w:rPr>
              <w:t> </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25,234,575.75</w:t>
            </w:r>
            <w:r>
              <w:rPr>
                <w:rFonts w:ascii="宋体"/>
                <w:sz w:val="21"/>
              </w:rPr>
              <w:t> </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25,469,952.78</w:t>
            </w:r>
            <w:r>
              <w:rPr>
                <w:rFonts w:ascii="宋体"/>
                <w:sz w:val="21"/>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160,519.66</w:t>
            </w:r>
            <w:r>
              <w:rPr>
                <w:rFonts w:ascii="宋体"/>
                <w:sz w:val="21"/>
              </w:rPr>
              <w:t> </w:t>
            </w:r>
          </w:p>
        </w:tc>
      </w:tr>
      <w:tr>
        <w:trPr>
          <w:trHeight w:val="326" w:hRule="exact"/>
        </w:trPr>
        <w:tc>
          <w:tcPr>
            <w:tcW w:w="2468"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、失业保险费</w:t>
            </w:r>
            <w:r>
              <w:rPr>
                <w:rFonts w:ascii="宋体" w:hAnsi="宋体" w:cs="宋体" w:eastAsia="宋体" w:hint="default"/>
                <w:sz w:val="21"/>
                <w:szCs w:val="21"/>
              </w:rPr>
              <w:t> </w:t>
            </w:r>
          </w:p>
        </w:tc>
        <w:tc>
          <w:tcPr>
            <w:tcW w:w="1599" w:type="dxa"/>
            <w:tcBorders>
              <w:top w:val="single" w:sz="4" w:space="0" w:color="000000"/>
              <w:left w:val="single" w:sz="6"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spacing w:val="-1"/>
                <w:sz w:val="21"/>
              </w:rPr>
              <w:t>10,950.72</w:t>
            </w:r>
            <w:r>
              <w:rPr>
                <w:rFonts w:ascii="宋体"/>
                <w:sz w:val="21"/>
              </w:rPr>
              <w:t> </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spacing w:val="-1"/>
                <w:sz w:val="21"/>
              </w:rPr>
              <w:t>746,920.81</w:t>
            </w:r>
            <w:r>
              <w:rPr>
                <w:rFonts w:ascii="宋体"/>
                <w:sz w:val="21"/>
              </w:rPr>
              <w:t> </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spacing w:val="-1"/>
                <w:sz w:val="21"/>
              </w:rPr>
              <w:t>752,168.93</w:t>
            </w:r>
            <w:r>
              <w:rPr>
                <w:rFonts w:ascii="宋体"/>
                <w:sz w:val="21"/>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spacing w:val="-1"/>
                <w:sz w:val="21"/>
              </w:rPr>
              <w:t>5,702.60</w:t>
            </w:r>
            <w:r>
              <w:rPr>
                <w:rFonts w:ascii="宋体"/>
                <w:sz w:val="21"/>
              </w:rPr>
              <w:t> </w:t>
            </w:r>
          </w:p>
        </w:tc>
      </w:tr>
      <w:tr>
        <w:trPr>
          <w:trHeight w:val="329" w:hRule="exact"/>
        </w:trPr>
        <w:tc>
          <w:tcPr>
            <w:tcW w:w="2468"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103"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599" w:type="dxa"/>
            <w:tcBorders>
              <w:top w:val="single" w:sz="4" w:space="0" w:color="000000"/>
              <w:left w:val="single" w:sz="6" w:space="0" w:color="000000"/>
              <w:bottom w:val="single" w:sz="4" w:space="0" w:color="000000"/>
              <w:right w:val="single" w:sz="4" w:space="0" w:color="000000"/>
            </w:tcBorders>
          </w:tcPr>
          <w:p>
            <w:pPr>
              <w:pStyle w:val="TableParagraph"/>
              <w:spacing w:line="267" w:lineRule="exact"/>
              <w:ind w:right="-3"/>
              <w:jc w:val="right"/>
              <w:rPr>
                <w:rFonts w:ascii="宋体" w:hAnsi="宋体" w:cs="宋体" w:eastAsia="宋体" w:hint="default"/>
                <w:sz w:val="21"/>
                <w:szCs w:val="21"/>
              </w:rPr>
            </w:pPr>
            <w:r>
              <w:rPr>
                <w:rFonts w:ascii="宋体"/>
                <w:spacing w:val="-1"/>
                <w:sz w:val="21"/>
              </w:rPr>
              <w:t>406,847.41</w:t>
            </w:r>
            <w:r>
              <w:rPr>
                <w:rFonts w:ascii="宋体"/>
                <w:sz w:val="21"/>
              </w:rPr>
              <w:t> </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3"/>
              <w:jc w:val="right"/>
              <w:rPr>
                <w:rFonts w:ascii="宋体" w:hAnsi="宋体" w:cs="宋体" w:eastAsia="宋体" w:hint="default"/>
                <w:sz w:val="21"/>
                <w:szCs w:val="21"/>
              </w:rPr>
            </w:pPr>
            <w:r>
              <w:rPr>
                <w:rFonts w:ascii="宋体"/>
                <w:spacing w:val="-1"/>
                <w:sz w:val="21"/>
              </w:rPr>
              <w:t>25,981,496.56</w:t>
            </w:r>
            <w:r>
              <w:rPr>
                <w:rFonts w:ascii="宋体"/>
                <w:sz w:val="21"/>
              </w:rPr>
              <w:t> </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3"/>
              <w:jc w:val="right"/>
              <w:rPr>
                <w:rFonts w:ascii="宋体" w:hAnsi="宋体" w:cs="宋体" w:eastAsia="宋体" w:hint="default"/>
                <w:sz w:val="21"/>
                <w:szCs w:val="21"/>
              </w:rPr>
            </w:pPr>
            <w:r>
              <w:rPr>
                <w:rFonts w:ascii="宋体"/>
                <w:spacing w:val="-1"/>
                <w:sz w:val="21"/>
              </w:rPr>
              <w:t>26,222,121.71</w:t>
            </w:r>
            <w:r>
              <w:rPr>
                <w:rFonts w:ascii="宋体"/>
                <w:sz w:val="21"/>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3"/>
              <w:jc w:val="right"/>
              <w:rPr>
                <w:rFonts w:ascii="宋体" w:hAnsi="宋体" w:cs="宋体" w:eastAsia="宋体" w:hint="default"/>
                <w:sz w:val="21"/>
                <w:szCs w:val="21"/>
              </w:rPr>
            </w:pPr>
            <w:r>
              <w:rPr>
                <w:rFonts w:ascii="宋体"/>
                <w:spacing w:val="-1"/>
                <w:sz w:val="21"/>
              </w:rPr>
              <w:t>166,222.26</w:t>
            </w:r>
            <w:r>
              <w:rPr>
                <w:rFonts w:ascii="宋体"/>
                <w:sz w:val="21"/>
              </w:rPr>
              <w:t> </w:t>
            </w:r>
          </w:p>
        </w:tc>
      </w:tr>
    </w:tbl>
    <w:p>
      <w:pPr>
        <w:spacing w:after="0" w:line="267" w:lineRule="exact"/>
        <w:jc w:val="right"/>
        <w:rPr>
          <w:rFonts w:ascii="宋体" w:hAnsi="宋体" w:cs="宋体" w:eastAsia="宋体" w:hint="default"/>
          <w:sz w:val="21"/>
          <w:szCs w:val="21"/>
        </w:rPr>
        <w:sectPr>
          <w:type w:val="continuous"/>
          <w:pgSz w:w="11910" w:h="16840"/>
          <w:pgMar w:top="1580" w:bottom="280" w:left="1060" w:right="1020"/>
        </w:sectPr>
      </w:pPr>
    </w:p>
    <w:p>
      <w:pPr>
        <w:spacing w:line="240" w:lineRule="auto" w:before="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footerReference w:type="default" r:id="rId187"/>
          <w:pgSz w:w="11910" w:h="16840"/>
          <w:pgMar w:footer="974" w:header="0" w:top="1140" w:bottom="1160" w:left="1060" w:right="1560"/>
        </w:sectPr>
      </w:pPr>
    </w:p>
    <w:p>
      <w:pPr>
        <w:pStyle w:val="BodyText"/>
        <w:spacing w:line="273" w:lineRule="auto" w:before="36"/>
        <w:ind w:left="216" w:right="0"/>
        <w:jc w:val="left"/>
        <w:rPr>
          <w:rFonts w:ascii="宋体" w:hAnsi="宋体" w:cs="宋体" w:eastAsia="宋体" w:hint="default"/>
        </w:rPr>
      </w:pPr>
      <w:r>
        <w:rPr>
          <w:rFonts w:ascii="宋体" w:hAnsi="宋体" w:cs="宋体" w:eastAsia="宋体" w:hint="default"/>
          <w:w w:val="100"/>
        </w:rPr>
        <w:t>  </w:t>
      </w:r>
      <w:r>
        <w:rPr>
          <w:w w:val="100"/>
        </w:rPr>
        <w:t>其他</w:t>
      </w:r>
      <w:r>
        <w:rPr>
          <w:spacing w:val="-3"/>
          <w:w w:val="100"/>
        </w:rPr>
        <w:t>说</w:t>
      </w:r>
      <w:r>
        <w:rPr>
          <w:w w:val="100"/>
        </w:rPr>
        <w:t>明</w:t>
      </w:r>
      <w:r>
        <w:rPr>
          <w:spacing w:val="-3"/>
          <w:w w:val="100"/>
        </w:rPr>
        <w:t>：</w:t>
      </w:r>
      <w:r>
        <w:rPr>
          <w:rFonts w:ascii="宋体" w:hAnsi="宋体" w:cs="宋体" w:eastAsia="宋体" w:hint="default"/>
          <w:w w:val="100"/>
        </w:rPr>
        <w:t> </w:t>
      </w:r>
    </w:p>
    <w:p>
      <w:pPr>
        <w:pStyle w:val="BodyText"/>
        <w:spacing w:line="240" w:lineRule="auto" w:before="7"/>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left="216" w:right="0"/>
        <w:jc w:val="left"/>
        <w:rPr>
          <w:rFonts w:ascii="宋体" w:hAnsi="宋体" w:cs="宋体" w:eastAsia="宋体" w:hint="default"/>
        </w:rPr>
      </w:pPr>
      <w:r>
        <w:rPr>
          <w:rFonts w:ascii="宋体"/>
          <w:w w:val="100"/>
        </w:rPr>
        <w:t> </w:t>
      </w:r>
    </w:p>
    <w:p>
      <w:pPr>
        <w:pStyle w:val="Heading3"/>
        <w:spacing w:line="240" w:lineRule="auto"/>
        <w:ind w:left="216" w:right="0"/>
        <w:jc w:val="left"/>
        <w:rPr>
          <w:rFonts w:ascii="宋体" w:hAnsi="宋体" w:cs="宋体" w:eastAsia="宋体" w:hint="default"/>
          <w:b w:val="0"/>
          <w:bCs w:val="0"/>
        </w:rPr>
      </w:pPr>
      <w:r>
        <w:rPr>
          <w:rFonts w:ascii="宋体" w:hAnsi="宋体" w:cs="宋体" w:eastAsia="宋体" w:hint="default"/>
        </w:rPr>
        <w:t>38</w:t>
      </w:r>
      <w:r>
        <w:rPr/>
        <w:t>、</w:t>
      </w:r>
      <w:r>
        <w:rPr>
          <w:spacing w:val="-27"/>
        </w:rPr>
        <w:t> </w:t>
      </w:r>
      <w:r>
        <w:rPr/>
        <w:t>应交税费</w:t>
      </w:r>
      <w:r>
        <w:rPr>
          <w:rFonts w:ascii="宋体" w:hAnsi="宋体" w:cs="宋体" w:eastAsia="宋体" w:hint="default"/>
          <w:w w:val="99"/>
        </w:rPr>
        <w:t> </w:t>
      </w:r>
      <w:r>
        <w:rPr>
          <w:rFonts w:ascii="宋体" w:hAnsi="宋体" w:cs="宋体" w:eastAsia="宋体" w:hint="default"/>
          <w:b w:val="0"/>
          <w:bCs w:val="0"/>
        </w:rPr>
      </w:r>
    </w:p>
    <w:p>
      <w:pPr>
        <w:pStyle w:val="Heading2"/>
        <w:spacing w:line="240" w:lineRule="auto" w:before="69"/>
        <w:ind w:left="21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5"/>
          <w:szCs w:val="15"/>
        </w:rPr>
      </w:pPr>
    </w:p>
    <w:p>
      <w:pPr>
        <w:pStyle w:val="BodyText"/>
        <w:spacing w:line="240" w:lineRule="auto"/>
        <w:ind w:left="216" w:right="0"/>
        <w:jc w:val="left"/>
        <w:rPr>
          <w:rFonts w:ascii="宋体" w:hAnsi="宋体" w:cs="宋体" w:eastAsia="宋体" w:hint="default"/>
        </w:rPr>
      </w:pPr>
      <w:r>
        <w:rPr/>
        <w:t>单位：元币种：人民币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580" w:bottom="280" w:left="1060" w:right="1560"/>
          <w:cols w:num="2" w:equalWidth="0">
            <w:col w:w="2258" w:space="4476"/>
            <w:col w:w="2556"/>
          </w:cols>
        </w:sectPr>
      </w:pPr>
    </w:p>
    <w:p>
      <w:pPr>
        <w:spacing w:line="240" w:lineRule="auto" w:before="10"/>
        <w:rPr>
          <w:rFonts w:ascii="宋体" w:hAnsi="宋体" w:cs="宋体" w:eastAsia="宋体" w:hint="default"/>
          <w:sz w:val="3"/>
          <w:szCs w:val="3"/>
        </w:rPr>
      </w:pPr>
    </w:p>
    <w:tbl>
      <w:tblPr>
        <w:tblW w:w="0" w:type="auto"/>
        <w:jc w:val="left"/>
        <w:tblInd w:w="180" w:type="dxa"/>
        <w:tblLayout w:type="fixed"/>
        <w:tblCellMar>
          <w:top w:w="0" w:type="dxa"/>
          <w:left w:w="0" w:type="dxa"/>
          <w:bottom w:w="0" w:type="dxa"/>
          <w:right w:w="0" w:type="dxa"/>
        </w:tblCellMar>
        <w:tblLook w:val="01E0"/>
      </w:tblPr>
      <w:tblGrid>
        <w:gridCol w:w="2982"/>
        <w:gridCol w:w="2955"/>
        <w:gridCol w:w="2960"/>
      </w:tblGrid>
      <w:tr>
        <w:trPr>
          <w:trHeight w:val="322"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222"/>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48"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53"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322"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增值税</w:t>
            </w:r>
            <w:r>
              <w:rPr>
                <w:rFonts w:ascii="宋体" w:hAnsi="宋体" w:cs="宋体" w:eastAsia="宋体" w:hint="default"/>
                <w:sz w:val="21"/>
                <w:szCs w:val="21"/>
              </w:rPr>
              <w:t> </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right"/>
              <w:rPr>
                <w:rFonts w:ascii="宋体" w:hAnsi="宋体" w:cs="宋体" w:eastAsia="宋体" w:hint="default"/>
                <w:sz w:val="21"/>
                <w:szCs w:val="21"/>
              </w:rPr>
            </w:pPr>
            <w:r>
              <w:rPr>
                <w:rFonts w:ascii="宋体"/>
                <w:spacing w:val="-1"/>
                <w:sz w:val="21"/>
              </w:rPr>
              <w:t>17,069,541.72</w:t>
            </w:r>
            <w:r>
              <w:rPr>
                <w:rFonts w:ascii="宋体"/>
                <w:sz w:val="21"/>
              </w:rPr>
              <w:t> </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2"/>
              <w:jc w:val="right"/>
              <w:rPr>
                <w:rFonts w:ascii="宋体" w:hAnsi="宋体" w:cs="宋体" w:eastAsia="宋体" w:hint="default"/>
                <w:sz w:val="21"/>
                <w:szCs w:val="21"/>
              </w:rPr>
            </w:pPr>
            <w:r>
              <w:rPr>
                <w:rFonts w:ascii="宋体"/>
                <w:spacing w:val="-1"/>
                <w:sz w:val="21"/>
              </w:rPr>
              <w:t>58,425,046.18</w:t>
            </w:r>
          </w:p>
        </w:tc>
      </w:tr>
      <w:tr>
        <w:trPr>
          <w:trHeight w:val="322"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消费税</w:t>
            </w:r>
            <w:r>
              <w:rPr>
                <w:rFonts w:ascii="宋体" w:hAnsi="宋体" w:cs="宋体" w:eastAsia="宋体" w:hint="default"/>
                <w:sz w:val="21"/>
                <w:szCs w:val="21"/>
              </w:rPr>
              <w:t> </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right"/>
              <w:rPr>
                <w:rFonts w:ascii="宋体" w:hAnsi="宋体" w:cs="宋体" w:eastAsia="宋体" w:hint="default"/>
                <w:sz w:val="21"/>
                <w:szCs w:val="21"/>
              </w:rPr>
            </w:pPr>
            <w:r>
              <w:rPr>
                <w:rFonts w:ascii="宋体"/>
                <w:w w:val="100"/>
                <w:sz w:val="21"/>
              </w:rPr>
              <w:t> </w:t>
            </w:r>
          </w:p>
        </w:tc>
        <w:tc>
          <w:tcPr>
            <w:tcW w:w="296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6" w:right="0"/>
              <w:jc w:val="left"/>
              <w:rPr>
                <w:rFonts w:ascii="宋体" w:hAnsi="宋体" w:cs="宋体" w:eastAsia="宋体" w:hint="default"/>
                <w:sz w:val="21"/>
                <w:szCs w:val="21"/>
              </w:rPr>
            </w:pPr>
            <w:r>
              <w:rPr>
                <w:rFonts w:ascii="宋体" w:hAnsi="宋体" w:cs="宋体" w:eastAsia="宋体" w:hint="default"/>
                <w:sz w:val="21"/>
                <w:szCs w:val="21"/>
              </w:rPr>
              <w:t>营业税</w:t>
            </w:r>
            <w:r>
              <w:rPr>
                <w:rFonts w:ascii="宋体" w:hAnsi="宋体" w:cs="宋体" w:eastAsia="宋体" w:hint="default"/>
                <w:sz w:val="21"/>
                <w:szCs w:val="21"/>
              </w:rPr>
              <w:t> </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5"/>
              <w:jc w:val="right"/>
              <w:rPr>
                <w:rFonts w:ascii="宋体" w:hAnsi="宋体" w:cs="宋体" w:eastAsia="宋体" w:hint="default"/>
                <w:sz w:val="21"/>
                <w:szCs w:val="21"/>
              </w:rPr>
            </w:pPr>
            <w:r>
              <w:rPr>
                <w:rFonts w:ascii="宋体"/>
                <w:w w:val="100"/>
                <w:sz w:val="21"/>
              </w:rPr>
              <w:t> </w:t>
            </w:r>
          </w:p>
        </w:tc>
        <w:tc>
          <w:tcPr>
            <w:tcW w:w="296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26" w:right="0"/>
              <w:jc w:val="left"/>
              <w:rPr>
                <w:rFonts w:ascii="宋体" w:hAnsi="宋体" w:cs="宋体" w:eastAsia="宋体" w:hint="default"/>
                <w:sz w:val="21"/>
                <w:szCs w:val="21"/>
              </w:rPr>
            </w:pPr>
            <w:r>
              <w:rPr>
                <w:rFonts w:ascii="宋体" w:hAnsi="宋体" w:cs="宋体" w:eastAsia="宋体" w:hint="default"/>
                <w:sz w:val="21"/>
                <w:szCs w:val="21"/>
              </w:rPr>
              <w:t>企业所得税</w:t>
            </w:r>
            <w:r>
              <w:rPr>
                <w:rFonts w:ascii="宋体" w:hAnsi="宋体" w:cs="宋体" w:eastAsia="宋体" w:hint="default"/>
                <w:sz w:val="21"/>
                <w:szCs w:val="21"/>
              </w:rPr>
              <w:t> </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5"/>
              <w:jc w:val="right"/>
              <w:rPr>
                <w:rFonts w:ascii="宋体" w:hAnsi="宋体" w:cs="宋体" w:eastAsia="宋体" w:hint="default"/>
                <w:sz w:val="21"/>
                <w:szCs w:val="21"/>
              </w:rPr>
            </w:pPr>
            <w:r>
              <w:rPr>
                <w:rFonts w:ascii="宋体"/>
                <w:spacing w:val="-1"/>
                <w:sz w:val="21"/>
              </w:rPr>
              <w:t>19,455,033.93</w:t>
            </w:r>
            <w:r>
              <w:rPr>
                <w:rFonts w:ascii="宋体"/>
                <w:sz w:val="21"/>
              </w:rPr>
              <w:t> </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22"/>
              <w:jc w:val="right"/>
              <w:rPr>
                <w:rFonts w:ascii="宋体" w:hAnsi="宋体" w:cs="宋体" w:eastAsia="宋体" w:hint="default"/>
                <w:sz w:val="21"/>
                <w:szCs w:val="21"/>
              </w:rPr>
            </w:pPr>
            <w:r>
              <w:rPr>
                <w:rFonts w:ascii="宋体"/>
                <w:spacing w:val="-1"/>
                <w:sz w:val="21"/>
              </w:rPr>
              <w:t>11,213,043.09</w:t>
            </w:r>
          </w:p>
        </w:tc>
      </w:tr>
      <w:tr>
        <w:trPr>
          <w:trHeight w:val="322"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个人所得税</w:t>
            </w:r>
            <w:r>
              <w:rPr>
                <w:rFonts w:ascii="宋体" w:hAnsi="宋体" w:cs="宋体" w:eastAsia="宋体" w:hint="default"/>
                <w:sz w:val="21"/>
                <w:szCs w:val="21"/>
              </w:rPr>
              <w:t> </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right"/>
              <w:rPr>
                <w:rFonts w:ascii="宋体" w:hAnsi="宋体" w:cs="宋体" w:eastAsia="宋体" w:hint="default"/>
                <w:sz w:val="21"/>
                <w:szCs w:val="21"/>
              </w:rPr>
            </w:pPr>
            <w:r>
              <w:rPr>
                <w:rFonts w:ascii="宋体"/>
                <w:spacing w:val="-1"/>
                <w:sz w:val="21"/>
              </w:rPr>
              <w:t>790,554.71</w:t>
            </w:r>
            <w:r>
              <w:rPr>
                <w:rFonts w:ascii="宋体"/>
                <w:sz w:val="21"/>
              </w:rPr>
              <w:t> </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1"/>
              <w:jc w:val="right"/>
              <w:rPr>
                <w:rFonts w:ascii="宋体" w:hAnsi="宋体" w:cs="宋体" w:eastAsia="宋体" w:hint="default"/>
                <w:sz w:val="21"/>
                <w:szCs w:val="21"/>
              </w:rPr>
            </w:pPr>
            <w:r>
              <w:rPr>
                <w:rFonts w:ascii="宋体"/>
                <w:spacing w:val="-1"/>
                <w:sz w:val="21"/>
              </w:rPr>
              <w:t>643,409.96</w:t>
            </w:r>
          </w:p>
        </w:tc>
      </w:tr>
      <w:tr>
        <w:trPr>
          <w:trHeight w:val="322"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城市维护建设税</w:t>
            </w:r>
            <w:r>
              <w:rPr>
                <w:rFonts w:ascii="宋体" w:hAnsi="宋体" w:cs="宋体" w:eastAsia="宋体" w:hint="default"/>
                <w:sz w:val="21"/>
                <w:szCs w:val="21"/>
              </w:rPr>
              <w:t> </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right"/>
              <w:rPr>
                <w:rFonts w:ascii="宋体" w:hAnsi="宋体" w:cs="宋体" w:eastAsia="宋体" w:hint="default"/>
                <w:sz w:val="21"/>
                <w:szCs w:val="21"/>
              </w:rPr>
            </w:pPr>
            <w:r>
              <w:rPr>
                <w:rFonts w:ascii="宋体"/>
                <w:spacing w:val="-1"/>
                <w:sz w:val="21"/>
              </w:rPr>
              <w:t>1,213,509.42</w:t>
            </w:r>
            <w:r>
              <w:rPr>
                <w:rFonts w:ascii="宋体"/>
                <w:sz w:val="21"/>
              </w:rPr>
              <w:t> </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2"/>
              <w:jc w:val="right"/>
              <w:rPr>
                <w:rFonts w:ascii="宋体" w:hAnsi="宋体" w:cs="宋体" w:eastAsia="宋体" w:hint="default"/>
                <w:sz w:val="21"/>
                <w:szCs w:val="21"/>
              </w:rPr>
            </w:pPr>
            <w:r>
              <w:rPr>
                <w:rFonts w:ascii="宋体"/>
                <w:spacing w:val="-1"/>
                <w:sz w:val="21"/>
              </w:rPr>
              <w:t>3,641,960.63</w:t>
            </w:r>
          </w:p>
        </w:tc>
      </w:tr>
      <w:tr>
        <w:trPr>
          <w:trHeight w:val="322"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教育费附加</w:t>
            </w:r>
            <w:r>
              <w:rPr>
                <w:rFonts w:ascii="宋体" w:hAnsi="宋体" w:cs="宋体" w:eastAsia="宋体" w:hint="default"/>
                <w:sz w:val="21"/>
                <w:szCs w:val="21"/>
              </w:rPr>
              <w:t> </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right"/>
              <w:rPr>
                <w:rFonts w:ascii="宋体" w:hAnsi="宋体" w:cs="宋体" w:eastAsia="宋体" w:hint="default"/>
                <w:sz w:val="21"/>
                <w:szCs w:val="21"/>
              </w:rPr>
            </w:pPr>
            <w:r>
              <w:rPr>
                <w:rFonts w:ascii="宋体"/>
                <w:spacing w:val="-1"/>
                <w:sz w:val="21"/>
              </w:rPr>
              <w:t>867,353.77</w:t>
            </w:r>
            <w:r>
              <w:rPr>
                <w:rFonts w:ascii="宋体"/>
                <w:sz w:val="21"/>
              </w:rPr>
              <w:t> </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2"/>
              <w:jc w:val="right"/>
              <w:rPr>
                <w:rFonts w:ascii="宋体" w:hAnsi="宋体" w:cs="宋体" w:eastAsia="宋体" w:hint="default"/>
                <w:sz w:val="21"/>
                <w:szCs w:val="21"/>
              </w:rPr>
            </w:pPr>
            <w:r>
              <w:rPr>
                <w:rFonts w:ascii="宋体"/>
                <w:spacing w:val="-1"/>
                <w:sz w:val="21"/>
              </w:rPr>
              <w:t>2,601,400.44</w:t>
            </w:r>
          </w:p>
        </w:tc>
      </w:tr>
      <w:tr>
        <w:trPr>
          <w:trHeight w:val="322"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印花税</w:t>
            </w:r>
            <w:r>
              <w:rPr>
                <w:rFonts w:ascii="宋体" w:hAnsi="宋体" w:cs="宋体" w:eastAsia="宋体" w:hint="default"/>
                <w:sz w:val="21"/>
                <w:szCs w:val="21"/>
              </w:rPr>
              <w:t> </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right"/>
              <w:rPr>
                <w:rFonts w:ascii="宋体" w:hAnsi="宋体" w:cs="宋体" w:eastAsia="宋体" w:hint="default"/>
                <w:sz w:val="21"/>
                <w:szCs w:val="21"/>
              </w:rPr>
            </w:pPr>
            <w:r>
              <w:rPr>
                <w:rFonts w:ascii="宋体"/>
                <w:spacing w:val="-1"/>
                <w:sz w:val="21"/>
              </w:rPr>
              <w:t>68,914.10</w:t>
            </w:r>
            <w:r>
              <w:rPr>
                <w:rFonts w:ascii="宋体"/>
                <w:sz w:val="21"/>
              </w:rPr>
              <w:t> </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1"/>
              <w:jc w:val="right"/>
              <w:rPr>
                <w:rFonts w:ascii="宋体" w:hAnsi="宋体" w:cs="宋体" w:eastAsia="宋体" w:hint="default"/>
                <w:sz w:val="21"/>
                <w:szCs w:val="21"/>
              </w:rPr>
            </w:pPr>
            <w:r>
              <w:rPr>
                <w:rFonts w:ascii="宋体"/>
                <w:spacing w:val="-1"/>
                <w:sz w:val="21"/>
              </w:rPr>
              <w:t>72,997.20</w:t>
            </w:r>
          </w:p>
        </w:tc>
      </w:tr>
      <w:tr>
        <w:trPr>
          <w:trHeight w:val="324"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6" w:right="0"/>
              <w:jc w:val="left"/>
              <w:rPr>
                <w:rFonts w:ascii="宋体" w:hAnsi="宋体" w:cs="宋体" w:eastAsia="宋体" w:hint="default"/>
                <w:sz w:val="21"/>
                <w:szCs w:val="21"/>
              </w:rPr>
            </w:pPr>
            <w:r>
              <w:rPr>
                <w:rFonts w:ascii="宋体" w:hAnsi="宋体" w:cs="宋体" w:eastAsia="宋体" w:hint="default"/>
                <w:sz w:val="21"/>
                <w:szCs w:val="21"/>
              </w:rPr>
              <w:t>房产税</w:t>
            </w:r>
            <w:r>
              <w:rPr>
                <w:rFonts w:ascii="宋体" w:hAnsi="宋体" w:cs="宋体" w:eastAsia="宋体" w:hint="default"/>
                <w:sz w:val="21"/>
                <w:szCs w:val="21"/>
              </w:rPr>
              <w:t> </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5"/>
              <w:jc w:val="right"/>
              <w:rPr>
                <w:rFonts w:ascii="宋体" w:hAnsi="宋体" w:cs="宋体" w:eastAsia="宋体" w:hint="default"/>
                <w:sz w:val="21"/>
                <w:szCs w:val="21"/>
              </w:rPr>
            </w:pPr>
            <w:r>
              <w:rPr>
                <w:rFonts w:ascii="宋体"/>
                <w:spacing w:val="-1"/>
                <w:sz w:val="21"/>
              </w:rPr>
              <w:t>1,131,454.57</w:t>
            </w:r>
            <w:r>
              <w:rPr>
                <w:rFonts w:ascii="宋体"/>
                <w:sz w:val="21"/>
              </w:rPr>
              <w:t> </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2"/>
              <w:jc w:val="right"/>
              <w:rPr>
                <w:rFonts w:ascii="宋体" w:hAnsi="宋体" w:cs="宋体" w:eastAsia="宋体" w:hint="default"/>
                <w:sz w:val="21"/>
                <w:szCs w:val="21"/>
              </w:rPr>
            </w:pPr>
            <w:r>
              <w:rPr>
                <w:rFonts w:ascii="宋体"/>
                <w:spacing w:val="-1"/>
                <w:sz w:val="21"/>
              </w:rPr>
              <w:t>1,167,225.91</w:t>
            </w:r>
          </w:p>
        </w:tc>
      </w:tr>
      <w:tr>
        <w:trPr>
          <w:trHeight w:val="322"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土地使用税</w:t>
            </w:r>
            <w:r>
              <w:rPr>
                <w:rFonts w:ascii="宋体" w:hAnsi="宋体" w:cs="宋体" w:eastAsia="宋体" w:hint="default"/>
                <w:sz w:val="21"/>
                <w:szCs w:val="21"/>
              </w:rPr>
              <w:t> </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right"/>
              <w:rPr>
                <w:rFonts w:ascii="宋体" w:hAnsi="宋体" w:cs="宋体" w:eastAsia="宋体" w:hint="default"/>
                <w:sz w:val="21"/>
                <w:szCs w:val="21"/>
              </w:rPr>
            </w:pPr>
            <w:r>
              <w:rPr>
                <w:rFonts w:ascii="宋体"/>
                <w:spacing w:val="-1"/>
                <w:sz w:val="21"/>
              </w:rPr>
              <w:t>823,698.55</w:t>
            </w:r>
            <w:r>
              <w:rPr>
                <w:rFonts w:ascii="宋体"/>
                <w:sz w:val="21"/>
              </w:rPr>
              <w:t> </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1"/>
              <w:jc w:val="right"/>
              <w:rPr>
                <w:rFonts w:ascii="宋体" w:hAnsi="宋体" w:cs="宋体" w:eastAsia="宋体" w:hint="default"/>
                <w:sz w:val="21"/>
                <w:szCs w:val="21"/>
              </w:rPr>
            </w:pPr>
            <w:r>
              <w:rPr>
                <w:rFonts w:ascii="宋体"/>
                <w:spacing w:val="-1"/>
                <w:sz w:val="21"/>
              </w:rPr>
              <w:t>696,251.20</w:t>
            </w:r>
          </w:p>
        </w:tc>
      </w:tr>
      <w:tr>
        <w:trPr>
          <w:trHeight w:val="322"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right"/>
              <w:rPr>
                <w:rFonts w:ascii="宋体" w:hAnsi="宋体" w:cs="宋体" w:eastAsia="宋体" w:hint="default"/>
                <w:sz w:val="21"/>
                <w:szCs w:val="21"/>
              </w:rPr>
            </w:pPr>
            <w:r>
              <w:rPr>
                <w:rFonts w:ascii="宋体"/>
                <w:spacing w:val="-1"/>
                <w:sz w:val="21"/>
              </w:rPr>
              <w:t>2,483.83</w:t>
            </w:r>
            <w:r>
              <w:rPr>
                <w:rFonts w:ascii="宋体"/>
                <w:sz w:val="21"/>
              </w:rPr>
              <w:t> </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1"/>
              <w:jc w:val="right"/>
              <w:rPr>
                <w:rFonts w:ascii="宋体" w:hAnsi="宋体" w:cs="宋体" w:eastAsia="宋体" w:hint="default"/>
                <w:sz w:val="21"/>
                <w:szCs w:val="21"/>
              </w:rPr>
            </w:pPr>
            <w:r>
              <w:rPr>
                <w:rFonts w:ascii="宋体"/>
                <w:spacing w:val="-1"/>
                <w:sz w:val="21"/>
              </w:rPr>
              <w:t>-59,408.15</w:t>
            </w:r>
          </w:p>
        </w:tc>
      </w:tr>
      <w:tr>
        <w:trPr>
          <w:trHeight w:val="322"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222"/>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right"/>
              <w:rPr>
                <w:rFonts w:ascii="宋体" w:hAnsi="宋体" w:cs="宋体" w:eastAsia="宋体" w:hint="default"/>
                <w:sz w:val="21"/>
                <w:szCs w:val="21"/>
              </w:rPr>
            </w:pPr>
            <w:r>
              <w:rPr>
                <w:rFonts w:ascii="宋体"/>
                <w:spacing w:val="-1"/>
                <w:sz w:val="21"/>
              </w:rPr>
              <w:t>41,422,544.60</w:t>
            </w:r>
            <w:r>
              <w:rPr>
                <w:rFonts w:ascii="宋体"/>
                <w:sz w:val="21"/>
              </w:rPr>
              <w:t> </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2"/>
              <w:jc w:val="right"/>
              <w:rPr>
                <w:rFonts w:ascii="宋体" w:hAnsi="宋体" w:cs="宋体" w:eastAsia="宋体" w:hint="default"/>
                <w:sz w:val="21"/>
                <w:szCs w:val="21"/>
              </w:rPr>
            </w:pPr>
            <w:r>
              <w:rPr>
                <w:rFonts w:ascii="宋体"/>
                <w:spacing w:val="-1"/>
                <w:sz w:val="21"/>
              </w:rPr>
              <w:t>78,401,926.46</w:t>
            </w:r>
          </w:p>
        </w:tc>
      </w:tr>
    </w:tbl>
    <w:p>
      <w:pPr>
        <w:spacing w:after="0" w:line="262" w:lineRule="exact"/>
        <w:jc w:val="right"/>
        <w:rPr>
          <w:rFonts w:ascii="宋体" w:hAnsi="宋体" w:cs="宋体" w:eastAsia="宋体" w:hint="default"/>
          <w:sz w:val="21"/>
          <w:szCs w:val="21"/>
        </w:rPr>
        <w:sectPr>
          <w:type w:val="continuous"/>
          <w:pgSz w:w="11910" w:h="16840"/>
          <w:pgMar w:top="1580" w:bottom="280" w:left="1060" w:right="1560"/>
        </w:sectPr>
      </w:pPr>
    </w:p>
    <w:p>
      <w:pPr>
        <w:pStyle w:val="BodyText"/>
        <w:spacing w:line="262" w:lineRule="exact"/>
        <w:ind w:left="216" w:right="0"/>
        <w:jc w:val="left"/>
        <w:rPr>
          <w:rFonts w:ascii="宋体" w:hAnsi="宋体" w:cs="宋体" w:eastAsia="宋体" w:hint="default"/>
        </w:rPr>
      </w:pPr>
      <w:r>
        <w:rPr>
          <w:rFonts w:ascii="宋体"/>
          <w:w w:val="100"/>
        </w:rPr>
        <w:t> </w:t>
      </w:r>
    </w:p>
    <w:p>
      <w:pPr>
        <w:pStyle w:val="Heading3"/>
        <w:spacing w:line="326" w:lineRule="auto"/>
        <w:ind w:left="216" w:right="462"/>
        <w:jc w:val="left"/>
        <w:rPr>
          <w:rFonts w:ascii="宋体" w:hAnsi="宋体" w:cs="宋体" w:eastAsia="宋体" w:hint="default"/>
          <w:b w:val="0"/>
          <w:bCs w:val="0"/>
        </w:rPr>
      </w:pPr>
      <w:r>
        <w:rPr>
          <w:rFonts w:ascii="宋体" w:hAnsi="宋体" w:cs="宋体" w:eastAsia="宋体" w:hint="default"/>
        </w:rPr>
        <w:t>39</w:t>
      </w:r>
      <w:r>
        <w:rPr/>
        <w:t>、</w:t>
      </w:r>
      <w:r>
        <w:rPr>
          <w:spacing w:val="-24"/>
        </w:rPr>
        <w:t> </w:t>
      </w:r>
      <w:r>
        <w:rPr/>
        <w:t>其他应付款</w:t>
      </w:r>
      <w:r>
        <w:rPr>
          <w:w w:val="100"/>
        </w:rPr>
        <w:t> </w:t>
      </w:r>
      <w:r>
        <w:rPr/>
        <w:t>项目列示</w:t>
      </w:r>
      <w:r>
        <w:rPr>
          <w:rFonts w:ascii="宋体" w:hAnsi="宋体" w:cs="宋体" w:eastAsia="宋体" w:hint="default"/>
          <w:w w:val="99"/>
        </w:rPr>
        <w:t> </w:t>
      </w:r>
      <w:r>
        <w:rPr>
          <w:rFonts w:ascii="宋体" w:hAnsi="宋体" w:cs="宋体" w:eastAsia="宋体" w:hint="default"/>
          <w:b w:val="0"/>
          <w:bCs w:val="0"/>
        </w:rPr>
      </w:r>
    </w:p>
    <w:p>
      <w:pPr>
        <w:pStyle w:val="Heading2"/>
        <w:spacing w:line="308" w:lineRule="exact"/>
        <w:ind w:left="21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8"/>
          <w:szCs w:val="28"/>
        </w:rPr>
      </w:pPr>
    </w:p>
    <w:p>
      <w:pPr>
        <w:pStyle w:val="BodyText"/>
        <w:spacing w:line="240" w:lineRule="auto"/>
        <w:ind w:left="216" w:right="0"/>
        <w:jc w:val="left"/>
        <w:rPr>
          <w:rFonts w:ascii="宋体" w:hAnsi="宋体" w:cs="宋体" w:eastAsia="宋体" w:hint="default"/>
        </w:rPr>
      </w:pPr>
      <w:r>
        <w:rPr/>
        <w:t>单位：元币种：人民币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580" w:bottom="280" w:left="1060" w:right="1560"/>
          <w:cols w:num="2" w:equalWidth="0">
            <w:col w:w="2258" w:space="4476"/>
            <w:col w:w="2556"/>
          </w:cols>
        </w:sectPr>
      </w:pPr>
    </w:p>
    <w:p>
      <w:pPr>
        <w:spacing w:line="240" w:lineRule="auto" w:before="10"/>
        <w:rPr>
          <w:rFonts w:ascii="宋体" w:hAnsi="宋体" w:cs="宋体" w:eastAsia="宋体" w:hint="default"/>
          <w:sz w:val="3"/>
          <w:szCs w:val="3"/>
        </w:rPr>
      </w:pPr>
    </w:p>
    <w:tbl>
      <w:tblPr>
        <w:tblW w:w="0" w:type="auto"/>
        <w:jc w:val="left"/>
        <w:tblInd w:w="103" w:type="dxa"/>
        <w:tblLayout w:type="fixed"/>
        <w:tblCellMar>
          <w:top w:w="0" w:type="dxa"/>
          <w:left w:w="0" w:type="dxa"/>
          <w:bottom w:w="0" w:type="dxa"/>
          <w:right w:w="0" w:type="dxa"/>
        </w:tblCellMar>
        <w:tblLook w:val="01E0"/>
      </w:tblPr>
      <w:tblGrid>
        <w:gridCol w:w="3308"/>
        <w:gridCol w:w="2864"/>
        <w:gridCol w:w="2878"/>
      </w:tblGrid>
      <w:tr>
        <w:trPr>
          <w:trHeight w:val="322"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5"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12"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3"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应付利息</w:t>
            </w:r>
            <w:r>
              <w:rPr>
                <w:rFonts w:ascii="宋体" w:hAnsi="宋体" w:cs="宋体" w:eastAsia="宋体" w:hint="default"/>
                <w:sz w:val="21"/>
                <w:szCs w:val="21"/>
              </w:rPr>
              <w:t> </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6,310,911.70</w:t>
            </w:r>
            <w:r>
              <w:rPr>
                <w:rFonts w:ascii="宋体"/>
                <w:sz w:val="21"/>
              </w:rPr>
              <w:t> </w:t>
            </w:r>
          </w:p>
        </w:tc>
      </w:tr>
      <w:tr>
        <w:trPr>
          <w:trHeight w:val="283"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应付股利</w:t>
            </w:r>
            <w:r>
              <w:rPr>
                <w:rFonts w:ascii="宋体" w:hAnsi="宋体" w:cs="宋体" w:eastAsia="宋体" w:hint="default"/>
                <w:sz w:val="21"/>
                <w:szCs w:val="21"/>
              </w:rPr>
              <w:t> </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1,000,000.00</w:t>
            </w:r>
            <w:r>
              <w:rPr>
                <w:rFonts w:ascii="宋体"/>
                <w:sz w:val="21"/>
              </w:rPr>
              <w:t> </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1,000,000.00</w:t>
            </w:r>
            <w:r>
              <w:rPr>
                <w:rFonts w:ascii="宋体"/>
                <w:sz w:val="21"/>
              </w:rPr>
              <w:t> </w:t>
            </w:r>
          </w:p>
        </w:tc>
      </w:tr>
      <w:tr>
        <w:trPr>
          <w:trHeight w:val="281"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其他应付款</w:t>
            </w:r>
            <w:r>
              <w:rPr>
                <w:rFonts w:ascii="宋体" w:hAnsi="宋体" w:cs="宋体" w:eastAsia="宋体" w:hint="default"/>
                <w:sz w:val="21"/>
                <w:szCs w:val="21"/>
              </w:rPr>
              <w:t> </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84,553,807.73</w:t>
            </w:r>
            <w:r>
              <w:rPr>
                <w:rFonts w:ascii="宋体"/>
                <w:sz w:val="21"/>
              </w:rPr>
              <w:t> </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108,379,499.63</w:t>
            </w:r>
            <w:r>
              <w:rPr>
                <w:rFonts w:ascii="宋体"/>
                <w:sz w:val="21"/>
              </w:rPr>
              <w:t> </w:t>
            </w:r>
          </w:p>
        </w:tc>
      </w:tr>
      <w:tr>
        <w:trPr>
          <w:trHeight w:val="283"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85,553,807.73</w:t>
            </w:r>
            <w:r>
              <w:rPr>
                <w:rFonts w:ascii="宋体"/>
                <w:sz w:val="21"/>
              </w:rPr>
              <w:t> </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115,690,411.33</w:t>
            </w:r>
            <w:r>
              <w:rPr>
                <w:rFonts w:ascii="宋体"/>
                <w:sz w:val="21"/>
              </w:rPr>
              <w:t> </w:t>
            </w:r>
          </w:p>
        </w:tc>
      </w:tr>
    </w:tbl>
    <w:p>
      <w:pPr>
        <w:spacing w:after="0" w:line="243" w:lineRule="exact"/>
        <w:jc w:val="right"/>
        <w:rPr>
          <w:rFonts w:ascii="宋体" w:hAnsi="宋体" w:cs="宋体" w:eastAsia="宋体" w:hint="default"/>
          <w:sz w:val="21"/>
          <w:szCs w:val="21"/>
        </w:rPr>
        <w:sectPr>
          <w:type w:val="continuous"/>
          <w:pgSz w:w="11910" w:h="16840"/>
          <w:pgMar w:top="1580" w:bottom="280" w:left="1060" w:right="1560"/>
        </w:sectPr>
      </w:pPr>
    </w:p>
    <w:p>
      <w:pPr>
        <w:pStyle w:val="Heading2"/>
        <w:spacing w:line="274" w:lineRule="exact"/>
        <w:ind w:left="216" w:right="0"/>
        <w:jc w:val="left"/>
        <w:rPr>
          <w:rFonts w:ascii="宋体" w:hAnsi="宋体" w:cs="宋体" w:eastAsia="宋体" w:hint="default"/>
        </w:rPr>
      </w:pPr>
      <w:r>
        <w:rPr>
          <w:rFonts w:ascii="宋体"/>
        </w:rPr>
        <w:t> </w:t>
      </w:r>
    </w:p>
    <w:p>
      <w:pPr>
        <w:pStyle w:val="BodyText"/>
        <w:spacing w:line="240" w:lineRule="auto" w:before="25"/>
        <w:ind w:left="216" w:right="0"/>
        <w:jc w:val="left"/>
        <w:rPr>
          <w:rFonts w:ascii="宋体" w:hAnsi="宋体" w:cs="宋体" w:eastAsia="宋体" w:hint="default"/>
        </w:rPr>
      </w:pPr>
      <w:r>
        <w:rPr/>
        <w:t>其他说明：</w:t>
      </w:r>
      <w:r>
        <w:rPr>
          <w:rFonts w:ascii="宋体" w:hAnsi="宋体" w:cs="宋体" w:eastAsia="宋体" w:hint="default"/>
        </w:rPr>
        <w:t> </w:t>
      </w:r>
    </w:p>
    <w:p>
      <w:pPr>
        <w:pStyle w:val="BodyText"/>
        <w:spacing w:line="240" w:lineRule="auto" w:before="37"/>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2"/>
        <w:spacing w:line="240" w:lineRule="auto" w:before="10"/>
        <w:ind w:left="216" w:right="0"/>
        <w:jc w:val="left"/>
        <w:rPr>
          <w:rFonts w:ascii="宋体" w:hAnsi="宋体" w:cs="宋体" w:eastAsia="宋体" w:hint="default"/>
        </w:rPr>
      </w:pPr>
      <w:r>
        <w:rPr>
          <w:rFonts w:ascii="宋体"/>
        </w:rPr>
        <w:t> </w:t>
      </w:r>
    </w:p>
    <w:p>
      <w:pPr>
        <w:pStyle w:val="Heading3"/>
        <w:spacing w:line="324" w:lineRule="auto" w:before="85"/>
        <w:ind w:left="216" w:right="0"/>
        <w:jc w:val="left"/>
        <w:rPr>
          <w:rFonts w:ascii="宋体" w:hAnsi="宋体" w:cs="宋体" w:eastAsia="宋体" w:hint="default"/>
          <w:b w:val="0"/>
          <w:bCs w:val="0"/>
        </w:rPr>
      </w:pPr>
      <w:r>
        <w:rPr/>
        <w:t>应付利息</w:t>
      </w:r>
      <w:r>
        <w:rPr>
          <w:rFonts w:ascii="宋体" w:hAnsi="宋体" w:cs="宋体" w:eastAsia="宋体" w:hint="default"/>
          <w:w w:val="99"/>
        </w:rPr>
        <w:t> </w:t>
      </w:r>
      <w:r>
        <w:rPr>
          <w:rFonts w:ascii="宋体" w:hAnsi="宋体" w:cs="宋体" w:eastAsia="宋体" w:hint="default"/>
        </w:rPr>
        <w:t>(1).</w:t>
      </w:r>
      <w:r>
        <w:rPr/>
        <w:t>分类列示</w:t>
      </w:r>
      <w:r>
        <w:rPr>
          <w:rFonts w:ascii="宋体" w:hAnsi="宋体" w:cs="宋体" w:eastAsia="宋体" w:hint="default"/>
          <w:w w:val="99"/>
        </w:rPr>
        <w:t> </w:t>
      </w:r>
      <w:r>
        <w:rPr>
          <w:rFonts w:ascii="宋体" w:hAnsi="宋体" w:cs="宋体" w:eastAsia="宋体" w:hint="default"/>
          <w:b w:val="0"/>
          <w:bCs w:val="0"/>
        </w:rPr>
      </w:r>
    </w:p>
    <w:p>
      <w:pPr>
        <w:pStyle w:val="Heading2"/>
        <w:spacing w:line="310" w:lineRule="exact"/>
        <w:ind w:left="21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pStyle w:val="BodyText"/>
        <w:spacing w:line="240" w:lineRule="auto"/>
        <w:ind w:left="216" w:right="0"/>
        <w:jc w:val="left"/>
        <w:rPr>
          <w:rFonts w:ascii="宋体" w:hAnsi="宋体" w:cs="宋体" w:eastAsia="宋体" w:hint="default"/>
        </w:rPr>
      </w:pPr>
      <w:r>
        <w:rPr/>
        <w:t>单位：元币种：人民币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580" w:bottom="280" w:left="1060" w:right="1560"/>
          <w:cols w:num="2" w:equalWidth="0">
            <w:col w:w="2258" w:space="4476"/>
            <w:col w:w="2556"/>
          </w:cols>
        </w:sectPr>
      </w:pPr>
    </w:p>
    <w:p>
      <w:pPr>
        <w:spacing w:line="240" w:lineRule="auto" w:before="10"/>
        <w:rPr>
          <w:rFonts w:ascii="宋体" w:hAnsi="宋体" w:cs="宋体" w:eastAsia="宋体" w:hint="default"/>
          <w:sz w:val="3"/>
          <w:szCs w:val="3"/>
        </w:rPr>
      </w:pPr>
    </w:p>
    <w:tbl>
      <w:tblPr>
        <w:tblW w:w="0" w:type="auto"/>
        <w:jc w:val="left"/>
        <w:tblInd w:w="103" w:type="dxa"/>
        <w:tblLayout w:type="fixed"/>
        <w:tblCellMar>
          <w:top w:w="0" w:type="dxa"/>
          <w:left w:w="0" w:type="dxa"/>
          <w:bottom w:w="0" w:type="dxa"/>
          <w:right w:w="0" w:type="dxa"/>
        </w:tblCellMar>
        <w:tblLook w:val="01E0"/>
      </w:tblPr>
      <w:tblGrid>
        <w:gridCol w:w="3416"/>
        <w:gridCol w:w="2585"/>
        <w:gridCol w:w="3049"/>
      </w:tblGrid>
      <w:tr>
        <w:trPr>
          <w:trHeight w:val="283" w:hRule="exact"/>
        </w:trPr>
        <w:tc>
          <w:tcPr>
            <w:tcW w:w="3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1"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56"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7"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322" w:hRule="exact"/>
        </w:trPr>
        <w:tc>
          <w:tcPr>
            <w:tcW w:w="3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分期付息到期还本的长期借款利息</w:t>
            </w:r>
            <w:r>
              <w:rPr>
                <w:rFonts w:ascii="宋体" w:hAnsi="宋体" w:cs="宋体" w:eastAsia="宋体" w:hint="default"/>
                <w:sz w:val="21"/>
                <w:szCs w:val="21"/>
              </w:rPr>
              <w:t> </w:t>
            </w:r>
          </w:p>
        </w:tc>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67"/>
              <w:jc w:val="right"/>
              <w:rPr>
                <w:rFonts w:ascii="宋体" w:hAnsi="宋体" w:cs="宋体" w:eastAsia="宋体" w:hint="default"/>
                <w:sz w:val="21"/>
                <w:szCs w:val="21"/>
              </w:rPr>
            </w:pPr>
            <w:r>
              <w:rPr>
                <w:rFonts w:ascii="宋体"/>
                <w:w w:val="100"/>
                <w:sz w:val="21"/>
              </w:rPr>
              <w:t> </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2,414,414.73</w:t>
            </w:r>
            <w:r>
              <w:rPr>
                <w:rFonts w:ascii="宋体"/>
                <w:sz w:val="21"/>
              </w:rPr>
              <w:t> </w:t>
            </w:r>
          </w:p>
        </w:tc>
      </w:tr>
      <w:tr>
        <w:trPr>
          <w:trHeight w:val="322" w:hRule="exact"/>
        </w:trPr>
        <w:tc>
          <w:tcPr>
            <w:tcW w:w="3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企业债券利息</w:t>
            </w:r>
            <w:r>
              <w:rPr>
                <w:rFonts w:ascii="宋体" w:hAnsi="宋体" w:cs="宋体" w:eastAsia="宋体" w:hint="default"/>
                <w:sz w:val="21"/>
                <w:szCs w:val="21"/>
              </w:rPr>
              <w:t> </w:t>
            </w:r>
          </w:p>
        </w:tc>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67"/>
              <w:jc w:val="right"/>
              <w:rPr>
                <w:rFonts w:ascii="宋体" w:hAnsi="宋体" w:cs="宋体" w:eastAsia="宋体" w:hint="default"/>
                <w:sz w:val="21"/>
                <w:szCs w:val="21"/>
              </w:rPr>
            </w:pPr>
            <w:r>
              <w:rPr>
                <w:rFonts w:ascii="宋体"/>
                <w:w w:val="100"/>
                <w:sz w:val="21"/>
              </w:rPr>
              <w:t> </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2,747,465.02</w:t>
            </w:r>
            <w:r>
              <w:rPr>
                <w:rFonts w:ascii="宋体"/>
                <w:sz w:val="21"/>
              </w:rPr>
              <w:t> </w:t>
            </w:r>
          </w:p>
        </w:tc>
      </w:tr>
      <w:tr>
        <w:trPr>
          <w:trHeight w:val="324" w:hRule="exact"/>
        </w:trPr>
        <w:tc>
          <w:tcPr>
            <w:tcW w:w="3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短期借款应付利息</w:t>
            </w:r>
            <w:r>
              <w:rPr>
                <w:rFonts w:ascii="宋体" w:hAnsi="宋体" w:cs="宋体" w:eastAsia="宋体" w:hint="default"/>
                <w:sz w:val="21"/>
                <w:szCs w:val="21"/>
              </w:rPr>
              <w:t> </w:t>
            </w:r>
          </w:p>
        </w:tc>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67"/>
              <w:jc w:val="right"/>
              <w:rPr>
                <w:rFonts w:ascii="宋体" w:hAnsi="宋体" w:cs="宋体" w:eastAsia="宋体" w:hint="default"/>
                <w:sz w:val="21"/>
                <w:szCs w:val="21"/>
              </w:rPr>
            </w:pPr>
            <w:r>
              <w:rPr>
                <w:rFonts w:ascii="宋体"/>
                <w:w w:val="100"/>
                <w:sz w:val="21"/>
              </w:rPr>
              <w:t> </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1,149,031.95</w:t>
            </w:r>
            <w:r>
              <w:rPr>
                <w:rFonts w:ascii="宋体"/>
                <w:sz w:val="21"/>
              </w:rPr>
              <w:t> </w:t>
            </w:r>
          </w:p>
        </w:tc>
      </w:tr>
    </w:tbl>
    <w:p>
      <w:pPr>
        <w:spacing w:after="0" w:line="262" w:lineRule="exact"/>
        <w:jc w:val="right"/>
        <w:rPr>
          <w:rFonts w:ascii="宋体" w:hAnsi="宋体" w:cs="宋体" w:eastAsia="宋体" w:hint="default"/>
          <w:sz w:val="21"/>
          <w:szCs w:val="21"/>
        </w:rPr>
        <w:sectPr>
          <w:type w:val="continuous"/>
          <w:pgSz w:w="11910" w:h="16840"/>
          <w:pgMar w:top="1580" w:bottom="280" w:left="1060" w:right="1560"/>
        </w:sectPr>
      </w:pPr>
    </w:p>
    <w:p>
      <w:pPr>
        <w:spacing w:line="240" w:lineRule="auto" w:before="11"/>
        <w:rPr>
          <w:rFonts w:ascii="宋体" w:hAnsi="宋体" w:cs="宋体" w:eastAsia="宋体" w:hint="default"/>
          <w:sz w:val="22"/>
          <w:szCs w:val="22"/>
        </w:rPr>
      </w:pPr>
    </w:p>
    <w:tbl>
      <w:tblPr>
        <w:tblW w:w="0" w:type="auto"/>
        <w:jc w:val="left"/>
        <w:tblInd w:w="103" w:type="dxa"/>
        <w:tblLayout w:type="fixed"/>
        <w:tblCellMar>
          <w:top w:w="0" w:type="dxa"/>
          <w:left w:w="0" w:type="dxa"/>
          <w:bottom w:w="0" w:type="dxa"/>
          <w:right w:w="0" w:type="dxa"/>
        </w:tblCellMar>
        <w:tblLook w:val="01E0"/>
      </w:tblPr>
      <w:tblGrid>
        <w:gridCol w:w="3416"/>
        <w:gridCol w:w="2585"/>
        <w:gridCol w:w="3049"/>
      </w:tblGrid>
      <w:tr>
        <w:trPr>
          <w:trHeight w:val="322" w:hRule="exact"/>
        </w:trPr>
        <w:tc>
          <w:tcPr>
            <w:tcW w:w="341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5"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color w:val="FF0000"/>
                <w:sz w:val="21"/>
                <w:szCs w:val="21"/>
              </w:rPr>
              <w:t> </w:t>
            </w:r>
            <w:r>
              <w:rPr>
                <w:rFonts w:ascii="宋体" w:hAnsi="宋体" w:cs="宋体" w:eastAsia="宋体" w:hint="default"/>
                <w:sz w:val="21"/>
                <w:szCs w:val="21"/>
              </w:rPr>
            </w:r>
          </w:p>
        </w:tc>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right"/>
              <w:rPr>
                <w:rFonts w:ascii="宋体" w:hAnsi="宋体" w:cs="宋体" w:eastAsia="宋体" w:hint="default"/>
                <w:sz w:val="21"/>
                <w:szCs w:val="21"/>
              </w:rPr>
            </w:pPr>
            <w:r>
              <w:rPr>
                <w:rFonts w:ascii="宋体"/>
                <w:w w:val="100"/>
                <w:sz w:val="21"/>
              </w:rPr>
              <w:t> </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675" w:right="-3"/>
              <w:jc w:val="left"/>
              <w:rPr>
                <w:rFonts w:ascii="宋体" w:hAnsi="宋体" w:cs="宋体" w:eastAsia="宋体" w:hint="default"/>
                <w:sz w:val="21"/>
                <w:szCs w:val="21"/>
              </w:rPr>
            </w:pPr>
            <w:r>
              <w:rPr>
                <w:rFonts w:ascii="宋体"/>
                <w:sz w:val="21"/>
              </w:rPr>
              <w:t>6,310,911.70 </w:t>
            </w:r>
          </w:p>
        </w:tc>
      </w:tr>
    </w:tbl>
    <w:p>
      <w:pPr>
        <w:spacing w:after="0" w:line="262" w:lineRule="exact"/>
        <w:jc w:val="left"/>
        <w:rPr>
          <w:rFonts w:ascii="宋体" w:hAnsi="宋体" w:cs="宋体" w:eastAsia="宋体" w:hint="default"/>
          <w:sz w:val="21"/>
          <w:szCs w:val="21"/>
        </w:rPr>
        <w:sectPr>
          <w:footerReference w:type="default" r:id="rId188"/>
          <w:pgSz w:w="11910" w:h="16840"/>
          <w:pgMar w:footer="974" w:header="0" w:top="1140" w:bottom="1160" w:left="1060" w:right="1560"/>
          <w:pgNumType w:start="161"/>
        </w:sectPr>
      </w:pPr>
    </w:p>
    <w:p>
      <w:pPr>
        <w:pStyle w:val="Heading2"/>
        <w:spacing w:line="274" w:lineRule="exact"/>
        <w:ind w:left="216" w:right="0"/>
        <w:jc w:val="left"/>
        <w:rPr>
          <w:rFonts w:ascii="宋体" w:hAnsi="宋体" w:cs="宋体" w:eastAsia="宋体" w:hint="default"/>
        </w:rPr>
      </w:pPr>
      <w:r>
        <w:rPr>
          <w:rFonts w:ascii="宋体"/>
        </w:rPr>
        <w:t> </w:t>
      </w:r>
    </w:p>
    <w:p>
      <w:pPr>
        <w:pStyle w:val="BodyText"/>
        <w:spacing w:line="240" w:lineRule="auto" w:before="25"/>
        <w:ind w:left="216" w:right="0"/>
        <w:jc w:val="left"/>
        <w:rPr>
          <w:rFonts w:ascii="宋体" w:hAnsi="宋体" w:cs="宋体" w:eastAsia="宋体" w:hint="default"/>
        </w:rPr>
      </w:pPr>
      <w:r>
        <w:rPr/>
        <w:t>重要的已逾期未支付的利息情况：</w:t>
      </w:r>
      <w:r>
        <w:rPr>
          <w:rFonts w:ascii="宋体" w:hAnsi="宋体" w:cs="宋体" w:eastAsia="宋体" w:hint="default"/>
        </w:rPr>
        <w:t> </w:t>
      </w:r>
    </w:p>
    <w:p>
      <w:pPr>
        <w:pStyle w:val="BodyText"/>
        <w:spacing w:line="324" w:lineRule="auto" w:before="37"/>
        <w:ind w:left="216" w:right="654"/>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其他说明：</w:t>
      </w:r>
      <w:r>
        <w:rPr>
          <w:rFonts w:ascii="宋体" w:hAnsi="宋体" w:cs="宋体" w:eastAsia="宋体" w:hint="default"/>
        </w:rPr>
        <w:t> </w:t>
      </w:r>
    </w:p>
    <w:p>
      <w:pPr>
        <w:pStyle w:val="BodyText"/>
        <w:spacing w:line="240" w:lineRule="auto" w:before="23"/>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324" w:lineRule="auto" w:before="97"/>
        <w:ind w:left="216" w:right="0" w:firstLine="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b/>
          <w:bCs/>
          <w:w w:val="100"/>
          <w:sz w:val="21"/>
          <w:szCs w:val="21"/>
        </w:rPr>
        <w:t>应付股</w:t>
      </w:r>
      <w:r>
        <w:rPr>
          <w:rFonts w:ascii="宋体" w:hAnsi="宋体" w:cs="宋体" w:eastAsia="宋体" w:hint="default"/>
          <w:b/>
          <w:bCs/>
          <w:spacing w:val="-2"/>
          <w:w w:val="100"/>
          <w:sz w:val="21"/>
          <w:szCs w:val="21"/>
        </w:rPr>
        <w:t>利</w:t>
      </w:r>
      <w:r>
        <w:rPr>
          <w:rFonts w:ascii="宋体" w:hAnsi="宋体" w:cs="宋体" w:eastAsia="宋体" w:hint="default"/>
          <w:b/>
          <w:bCs/>
          <w:w w:val="99"/>
          <w:sz w:val="21"/>
          <w:szCs w:val="21"/>
        </w:rPr>
        <w:t> </w:t>
      </w:r>
      <w:r>
        <w:rPr>
          <w:rFonts w:ascii="宋体" w:hAnsi="宋体" w:cs="宋体" w:eastAsia="宋体" w:hint="default"/>
          <w:sz w:val="21"/>
          <w:szCs w:val="21"/>
        </w:rPr>
      </w:r>
    </w:p>
    <w:p>
      <w:pPr>
        <w:pStyle w:val="Heading3"/>
        <w:spacing w:line="240" w:lineRule="auto" w:before="23"/>
        <w:ind w:left="216" w:right="0"/>
        <w:jc w:val="left"/>
        <w:rPr>
          <w:rFonts w:ascii="宋体" w:hAnsi="宋体" w:cs="宋体" w:eastAsia="宋体" w:hint="default"/>
          <w:b w:val="0"/>
          <w:bCs w:val="0"/>
        </w:rPr>
      </w:pPr>
      <w:r>
        <w:rPr>
          <w:rFonts w:ascii="宋体" w:hAnsi="宋体" w:cs="宋体" w:eastAsia="宋体" w:hint="default"/>
        </w:rPr>
        <w:t>(2).</w:t>
      </w:r>
      <w:r>
        <w:rPr/>
        <w:t>分类列示</w:t>
      </w:r>
      <w:r>
        <w:rPr>
          <w:rFonts w:ascii="宋体" w:hAnsi="宋体" w:cs="宋体" w:eastAsia="宋体" w:hint="default"/>
          <w:w w:val="99"/>
        </w:rPr>
        <w:t> </w:t>
      </w:r>
      <w:r>
        <w:rPr>
          <w:rFonts w:ascii="宋体" w:hAnsi="宋体" w:cs="宋体" w:eastAsia="宋体" w:hint="default"/>
          <w:b w:val="0"/>
          <w:bCs w:val="0"/>
        </w:rPr>
      </w:r>
    </w:p>
    <w:p>
      <w:pPr>
        <w:pStyle w:val="Heading2"/>
        <w:spacing w:line="240" w:lineRule="auto" w:before="69"/>
        <w:ind w:left="21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1"/>
          <w:szCs w:val="21"/>
        </w:rPr>
      </w:pPr>
    </w:p>
    <w:p>
      <w:pPr>
        <w:pStyle w:val="BodyText"/>
        <w:spacing w:line="240" w:lineRule="auto"/>
        <w:ind w:left="216" w:right="0"/>
        <w:jc w:val="left"/>
        <w:rPr>
          <w:rFonts w:ascii="宋体" w:hAnsi="宋体" w:cs="宋体" w:eastAsia="宋体" w:hint="default"/>
        </w:rPr>
      </w:pPr>
      <w:r>
        <w:rPr/>
        <w:t>单位：元币种：人民币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580" w:bottom="280" w:left="1060" w:right="1560"/>
          <w:cols w:num="2" w:equalWidth="0">
            <w:col w:w="3475" w:space="3258"/>
            <w:col w:w="2557"/>
          </w:cols>
        </w:sectPr>
      </w:pPr>
    </w:p>
    <w:p>
      <w:pPr>
        <w:spacing w:line="240" w:lineRule="auto" w:before="11"/>
        <w:rPr>
          <w:rFonts w:ascii="宋体" w:hAnsi="宋体" w:cs="宋体" w:eastAsia="宋体" w:hint="default"/>
          <w:sz w:val="3"/>
          <w:szCs w:val="3"/>
        </w:rPr>
      </w:pPr>
    </w:p>
    <w:tbl>
      <w:tblPr>
        <w:tblW w:w="0" w:type="auto"/>
        <w:jc w:val="left"/>
        <w:tblInd w:w="180" w:type="dxa"/>
        <w:tblLayout w:type="fixed"/>
        <w:tblCellMar>
          <w:top w:w="0" w:type="dxa"/>
          <w:left w:w="0" w:type="dxa"/>
          <w:bottom w:w="0" w:type="dxa"/>
          <w:right w:w="0" w:type="dxa"/>
        </w:tblCellMar>
        <w:tblLook w:val="01E0"/>
      </w:tblPr>
      <w:tblGrid>
        <w:gridCol w:w="2859"/>
        <w:gridCol w:w="3017"/>
        <w:gridCol w:w="3020"/>
      </w:tblGrid>
      <w:tr>
        <w:trPr>
          <w:trHeight w:val="322" w:hRule="exact"/>
        </w:trPr>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82"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84"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324" w:hRule="exact"/>
        </w:trPr>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6" w:right="0"/>
              <w:jc w:val="left"/>
              <w:rPr>
                <w:rFonts w:ascii="宋体" w:hAnsi="宋体" w:cs="宋体" w:eastAsia="宋体" w:hint="default"/>
                <w:sz w:val="21"/>
                <w:szCs w:val="21"/>
              </w:rPr>
            </w:pPr>
            <w:r>
              <w:rPr>
                <w:rFonts w:ascii="宋体" w:hAnsi="宋体" w:cs="宋体" w:eastAsia="宋体" w:hint="default"/>
                <w:sz w:val="21"/>
                <w:szCs w:val="21"/>
              </w:rPr>
              <w:t>普通股股利</w:t>
            </w:r>
            <w:r>
              <w:rPr>
                <w:rFonts w:ascii="宋体" w:hAnsi="宋体" w:cs="宋体" w:eastAsia="宋体" w:hint="default"/>
                <w:sz w:val="21"/>
                <w:szCs w:val="21"/>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8"/>
              <w:jc w:val="right"/>
              <w:rPr>
                <w:rFonts w:ascii="宋体" w:hAnsi="宋体" w:cs="宋体" w:eastAsia="宋体" w:hint="default"/>
                <w:sz w:val="21"/>
                <w:szCs w:val="21"/>
              </w:rPr>
            </w:pPr>
            <w:r>
              <w:rPr>
                <w:rFonts w:ascii="宋体"/>
                <w:w w:val="100"/>
                <w:sz w:val="21"/>
              </w:rPr>
              <w:t> </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8"/>
              <w:jc w:val="right"/>
              <w:rPr>
                <w:rFonts w:ascii="宋体" w:hAnsi="宋体" w:cs="宋体" w:eastAsia="宋体" w:hint="default"/>
                <w:sz w:val="21"/>
                <w:szCs w:val="21"/>
              </w:rPr>
            </w:pPr>
            <w:r>
              <w:rPr>
                <w:rFonts w:ascii="宋体"/>
                <w:w w:val="100"/>
                <w:sz w:val="21"/>
              </w:rPr>
              <w:t> </w:t>
            </w:r>
          </w:p>
        </w:tc>
      </w:tr>
      <w:tr>
        <w:trPr>
          <w:trHeight w:val="634" w:hRule="exact"/>
        </w:trPr>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195"/>
              <w:jc w:val="left"/>
              <w:rPr>
                <w:rFonts w:ascii="宋体" w:hAnsi="宋体" w:cs="宋体" w:eastAsia="宋体" w:hint="default"/>
                <w:sz w:val="21"/>
                <w:szCs w:val="21"/>
              </w:rPr>
            </w:pPr>
            <w:r>
              <w:rPr>
                <w:rFonts w:ascii="宋体" w:hAnsi="宋体" w:cs="宋体" w:eastAsia="宋体" w:hint="default"/>
                <w:spacing w:val="-2"/>
                <w:sz w:val="21"/>
                <w:szCs w:val="21"/>
              </w:rPr>
              <w:t>划分为权益工具的优先股</w:t>
            </w:r>
            <w:r>
              <w:rPr>
                <w:rFonts w:ascii="宋体" w:hAnsi="宋体" w:cs="宋体" w:eastAsia="宋体" w:hint="default"/>
                <w:spacing w:val="-2"/>
                <w:sz w:val="21"/>
                <w:szCs w:val="21"/>
              </w:rPr>
              <w:t>\</w:t>
            </w:r>
            <w:r>
              <w:rPr>
                <w:rFonts w:ascii="宋体" w:hAnsi="宋体" w:cs="宋体" w:eastAsia="宋体" w:hint="default"/>
                <w:spacing w:val="-2"/>
                <w:sz w:val="21"/>
                <w:szCs w:val="21"/>
              </w:rPr>
              <w:t>永</w:t>
            </w:r>
            <w:r>
              <w:rPr>
                <w:rFonts w:ascii="宋体" w:hAnsi="宋体" w:cs="宋体" w:eastAsia="宋体" w:hint="default"/>
                <w:spacing w:val="-82"/>
                <w:sz w:val="21"/>
                <w:szCs w:val="21"/>
              </w:rPr>
              <w:t> </w:t>
            </w:r>
            <w:r>
              <w:rPr>
                <w:rFonts w:ascii="宋体" w:hAnsi="宋体" w:cs="宋体" w:eastAsia="宋体" w:hint="default"/>
                <w:sz w:val="21"/>
                <w:szCs w:val="21"/>
              </w:rPr>
              <w:t>续债股利</w:t>
            </w:r>
            <w:r>
              <w:rPr>
                <w:rFonts w:ascii="宋体" w:hAnsi="宋体" w:cs="宋体" w:eastAsia="宋体" w:hint="default"/>
                <w:sz w:val="21"/>
                <w:szCs w:val="21"/>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8"/>
              <w:jc w:val="right"/>
              <w:rPr>
                <w:rFonts w:ascii="宋体" w:hAnsi="宋体" w:cs="宋体" w:eastAsia="宋体" w:hint="default"/>
                <w:sz w:val="21"/>
                <w:szCs w:val="21"/>
              </w:rPr>
            </w:pPr>
            <w:r>
              <w:rPr>
                <w:rFonts w:ascii="宋体"/>
                <w:w w:val="100"/>
                <w:sz w:val="21"/>
              </w:rPr>
              <w:t> </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8"/>
              <w:jc w:val="right"/>
              <w:rPr>
                <w:rFonts w:ascii="宋体" w:hAnsi="宋体" w:cs="宋体" w:eastAsia="宋体" w:hint="default"/>
                <w:sz w:val="21"/>
                <w:szCs w:val="21"/>
              </w:rPr>
            </w:pPr>
            <w:r>
              <w:rPr>
                <w:rFonts w:ascii="宋体"/>
                <w:w w:val="100"/>
                <w:sz w:val="21"/>
              </w:rPr>
              <w:t> </w:t>
            </w:r>
          </w:p>
        </w:tc>
      </w:tr>
      <w:tr>
        <w:trPr>
          <w:trHeight w:val="322" w:hRule="exact"/>
        </w:trPr>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89"/>
              <w:jc w:val="right"/>
              <w:rPr>
                <w:rFonts w:ascii="宋体" w:hAnsi="宋体" w:cs="宋体" w:eastAsia="宋体" w:hint="default"/>
                <w:sz w:val="21"/>
                <w:szCs w:val="21"/>
              </w:rPr>
            </w:pPr>
            <w:r>
              <w:rPr>
                <w:rFonts w:ascii="宋体" w:hAnsi="宋体" w:cs="宋体" w:eastAsia="宋体" w:hint="default"/>
                <w:spacing w:val="-2"/>
                <w:sz w:val="21"/>
                <w:szCs w:val="21"/>
              </w:rPr>
              <w:t>优先股</w:t>
            </w:r>
            <w:r>
              <w:rPr>
                <w:rFonts w:ascii="宋体" w:hAnsi="宋体" w:cs="宋体" w:eastAsia="宋体" w:hint="default"/>
                <w:spacing w:val="-2"/>
                <w:sz w:val="21"/>
                <w:szCs w:val="21"/>
              </w:rPr>
              <w:t>\</w:t>
            </w:r>
            <w:r>
              <w:rPr>
                <w:rFonts w:ascii="宋体" w:hAnsi="宋体" w:cs="宋体" w:eastAsia="宋体" w:hint="default"/>
                <w:spacing w:val="-2"/>
                <w:sz w:val="21"/>
                <w:szCs w:val="21"/>
              </w:rPr>
              <w:t>永续债股利</w:t>
            </w:r>
            <w:r>
              <w:rPr>
                <w:rFonts w:ascii="宋体" w:hAnsi="宋体" w:cs="宋体" w:eastAsia="宋体" w:hint="default"/>
                <w:spacing w:val="-2"/>
                <w:sz w:val="21"/>
                <w:szCs w:val="21"/>
              </w:rPr>
              <w:t>-XXX</w:t>
            </w:r>
            <w:r>
              <w:rPr>
                <w:rFonts w:ascii="宋体" w:hAnsi="宋体" w:cs="宋体" w:eastAsia="宋体" w:hint="default"/>
                <w:sz w:val="21"/>
                <w:szCs w:val="21"/>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8"/>
              <w:jc w:val="right"/>
              <w:rPr>
                <w:rFonts w:ascii="宋体" w:hAnsi="宋体" w:cs="宋体" w:eastAsia="宋体" w:hint="default"/>
                <w:sz w:val="21"/>
                <w:szCs w:val="21"/>
              </w:rPr>
            </w:pPr>
            <w:r>
              <w:rPr>
                <w:rFonts w:ascii="宋体"/>
                <w:w w:val="100"/>
                <w:sz w:val="21"/>
              </w:rPr>
              <w:t> </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8"/>
              <w:jc w:val="right"/>
              <w:rPr>
                <w:rFonts w:ascii="宋体" w:hAnsi="宋体" w:cs="宋体" w:eastAsia="宋体" w:hint="default"/>
                <w:sz w:val="21"/>
                <w:szCs w:val="21"/>
              </w:rPr>
            </w:pPr>
            <w:r>
              <w:rPr>
                <w:rFonts w:ascii="宋体"/>
                <w:w w:val="100"/>
                <w:sz w:val="21"/>
              </w:rPr>
              <w:t> </w:t>
            </w:r>
          </w:p>
        </w:tc>
      </w:tr>
      <w:tr>
        <w:trPr>
          <w:trHeight w:val="322" w:hRule="exact"/>
        </w:trPr>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89"/>
              <w:jc w:val="right"/>
              <w:rPr>
                <w:rFonts w:ascii="宋体" w:hAnsi="宋体" w:cs="宋体" w:eastAsia="宋体" w:hint="default"/>
                <w:sz w:val="21"/>
                <w:szCs w:val="21"/>
              </w:rPr>
            </w:pPr>
            <w:r>
              <w:rPr>
                <w:rFonts w:ascii="宋体" w:hAnsi="宋体" w:cs="宋体" w:eastAsia="宋体" w:hint="default"/>
                <w:spacing w:val="-2"/>
                <w:sz w:val="21"/>
                <w:szCs w:val="21"/>
              </w:rPr>
              <w:t>优先股</w:t>
            </w:r>
            <w:r>
              <w:rPr>
                <w:rFonts w:ascii="宋体" w:hAnsi="宋体" w:cs="宋体" w:eastAsia="宋体" w:hint="default"/>
                <w:spacing w:val="-2"/>
                <w:sz w:val="21"/>
                <w:szCs w:val="21"/>
              </w:rPr>
              <w:t>\</w:t>
            </w:r>
            <w:r>
              <w:rPr>
                <w:rFonts w:ascii="宋体" w:hAnsi="宋体" w:cs="宋体" w:eastAsia="宋体" w:hint="default"/>
                <w:spacing w:val="-2"/>
                <w:sz w:val="21"/>
                <w:szCs w:val="21"/>
              </w:rPr>
              <w:t>永续债股利</w:t>
            </w:r>
            <w:r>
              <w:rPr>
                <w:rFonts w:ascii="宋体" w:hAnsi="宋体" w:cs="宋体" w:eastAsia="宋体" w:hint="default"/>
                <w:spacing w:val="-2"/>
                <w:sz w:val="21"/>
                <w:szCs w:val="21"/>
              </w:rPr>
              <w:t>-XXX</w:t>
            </w:r>
            <w:r>
              <w:rPr>
                <w:rFonts w:ascii="宋体" w:hAnsi="宋体" w:cs="宋体" w:eastAsia="宋体" w:hint="default"/>
                <w:sz w:val="21"/>
                <w:szCs w:val="21"/>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8"/>
              <w:jc w:val="right"/>
              <w:rPr>
                <w:rFonts w:ascii="宋体" w:hAnsi="宋体" w:cs="宋体" w:eastAsia="宋体" w:hint="default"/>
                <w:sz w:val="21"/>
                <w:szCs w:val="21"/>
              </w:rPr>
            </w:pPr>
            <w:r>
              <w:rPr>
                <w:rFonts w:ascii="宋体"/>
                <w:w w:val="100"/>
                <w:sz w:val="21"/>
              </w:rPr>
              <w:t> </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8"/>
              <w:jc w:val="right"/>
              <w:rPr>
                <w:rFonts w:ascii="宋体" w:hAnsi="宋体" w:cs="宋体" w:eastAsia="宋体" w:hint="default"/>
                <w:sz w:val="21"/>
                <w:szCs w:val="21"/>
              </w:rPr>
            </w:pPr>
            <w:r>
              <w:rPr>
                <w:rFonts w:ascii="宋体"/>
                <w:w w:val="100"/>
                <w:sz w:val="21"/>
              </w:rPr>
              <w:t> </w:t>
            </w:r>
          </w:p>
        </w:tc>
      </w:tr>
      <w:tr>
        <w:trPr>
          <w:trHeight w:val="322" w:hRule="exact"/>
        </w:trPr>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应付股利</w:t>
            </w:r>
            <w:r>
              <w:rPr>
                <w:rFonts w:ascii="宋体" w:hAnsi="宋体" w:cs="宋体" w:eastAsia="宋体" w:hint="default"/>
                <w:sz w:val="21"/>
                <w:szCs w:val="21"/>
              </w:rPr>
              <w:t>-XXX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8"/>
              <w:jc w:val="right"/>
              <w:rPr>
                <w:rFonts w:ascii="宋体" w:hAnsi="宋体" w:cs="宋体" w:eastAsia="宋体" w:hint="default"/>
                <w:sz w:val="21"/>
                <w:szCs w:val="21"/>
              </w:rPr>
            </w:pPr>
            <w:r>
              <w:rPr>
                <w:rFonts w:ascii="宋体"/>
                <w:w w:val="100"/>
                <w:sz w:val="21"/>
              </w:rPr>
              <w:t> </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8"/>
              <w:jc w:val="right"/>
              <w:rPr>
                <w:rFonts w:ascii="宋体" w:hAnsi="宋体" w:cs="宋体" w:eastAsia="宋体" w:hint="default"/>
                <w:sz w:val="21"/>
                <w:szCs w:val="21"/>
              </w:rPr>
            </w:pPr>
            <w:r>
              <w:rPr>
                <w:rFonts w:ascii="宋体"/>
                <w:w w:val="100"/>
                <w:sz w:val="21"/>
              </w:rPr>
              <w:t> </w:t>
            </w:r>
          </w:p>
        </w:tc>
      </w:tr>
      <w:tr>
        <w:trPr>
          <w:trHeight w:val="322" w:hRule="exact"/>
        </w:trPr>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应付股利</w:t>
            </w:r>
            <w:r>
              <w:rPr>
                <w:rFonts w:ascii="宋体" w:hAnsi="宋体" w:cs="宋体" w:eastAsia="宋体" w:hint="default"/>
                <w:sz w:val="21"/>
                <w:szCs w:val="21"/>
              </w:rPr>
              <w:t>-</w:t>
            </w:r>
            <w:r>
              <w:rPr>
                <w:rFonts w:ascii="宋体" w:hAnsi="宋体" w:cs="宋体" w:eastAsia="宋体" w:hint="default"/>
                <w:sz w:val="18"/>
                <w:szCs w:val="18"/>
              </w:rPr>
              <w:t>少数股东股利</w:t>
            </w:r>
            <w:r>
              <w:rPr>
                <w:rFonts w:ascii="宋体" w:hAnsi="宋体" w:cs="宋体" w:eastAsia="宋体" w:hint="default"/>
                <w:w w:val="100"/>
                <w:sz w:val="21"/>
                <w:szCs w:val="21"/>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8"/>
              <w:jc w:val="right"/>
              <w:rPr>
                <w:rFonts w:ascii="宋体" w:hAnsi="宋体" w:cs="宋体" w:eastAsia="宋体" w:hint="default"/>
                <w:sz w:val="21"/>
                <w:szCs w:val="21"/>
              </w:rPr>
            </w:pPr>
            <w:r>
              <w:rPr>
                <w:rFonts w:ascii="宋体"/>
                <w:spacing w:val="-1"/>
                <w:sz w:val="21"/>
              </w:rPr>
              <w:t>1,000,000.00</w:t>
            </w:r>
            <w:r>
              <w:rPr>
                <w:rFonts w:ascii="宋体"/>
                <w:sz w:val="21"/>
              </w:rPr>
              <w:t> </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8"/>
              <w:jc w:val="right"/>
              <w:rPr>
                <w:rFonts w:ascii="宋体" w:hAnsi="宋体" w:cs="宋体" w:eastAsia="宋体" w:hint="default"/>
                <w:sz w:val="21"/>
                <w:szCs w:val="21"/>
              </w:rPr>
            </w:pPr>
            <w:r>
              <w:rPr>
                <w:rFonts w:ascii="宋体"/>
                <w:spacing w:val="-1"/>
                <w:sz w:val="21"/>
              </w:rPr>
              <w:t>1,000,000.00</w:t>
            </w:r>
            <w:r>
              <w:rPr>
                <w:rFonts w:ascii="宋体"/>
                <w:sz w:val="21"/>
              </w:rPr>
              <w:t> </w:t>
            </w:r>
          </w:p>
        </w:tc>
      </w:tr>
      <w:tr>
        <w:trPr>
          <w:trHeight w:val="324" w:hRule="exact"/>
        </w:trPr>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8"/>
              <w:jc w:val="right"/>
              <w:rPr>
                <w:rFonts w:ascii="宋体" w:hAnsi="宋体" w:cs="宋体" w:eastAsia="宋体" w:hint="default"/>
                <w:sz w:val="21"/>
                <w:szCs w:val="21"/>
              </w:rPr>
            </w:pPr>
            <w:r>
              <w:rPr>
                <w:rFonts w:ascii="宋体"/>
                <w:spacing w:val="-1"/>
                <w:sz w:val="21"/>
              </w:rPr>
              <w:t>1,000,000.00</w:t>
            </w:r>
            <w:r>
              <w:rPr>
                <w:rFonts w:ascii="宋体"/>
                <w:sz w:val="21"/>
              </w:rPr>
              <w:t> </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8"/>
              <w:jc w:val="right"/>
              <w:rPr>
                <w:rFonts w:ascii="宋体" w:hAnsi="宋体" w:cs="宋体" w:eastAsia="宋体" w:hint="default"/>
                <w:sz w:val="21"/>
                <w:szCs w:val="21"/>
              </w:rPr>
            </w:pPr>
            <w:r>
              <w:rPr>
                <w:rFonts w:ascii="宋体"/>
                <w:spacing w:val="-1"/>
                <w:sz w:val="21"/>
              </w:rPr>
              <w:t>1,000,000.00</w:t>
            </w:r>
            <w:r>
              <w:rPr>
                <w:rFonts w:ascii="宋体"/>
                <w:sz w:val="21"/>
              </w:rPr>
              <w:t> </w:t>
            </w:r>
          </w:p>
        </w:tc>
      </w:tr>
    </w:tbl>
    <w:p>
      <w:pPr>
        <w:spacing w:after="0" w:line="265" w:lineRule="exact"/>
        <w:jc w:val="right"/>
        <w:rPr>
          <w:rFonts w:ascii="宋体" w:hAnsi="宋体" w:cs="宋体" w:eastAsia="宋体" w:hint="default"/>
          <w:sz w:val="21"/>
          <w:szCs w:val="21"/>
        </w:rPr>
        <w:sectPr>
          <w:type w:val="continuous"/>
          <w:pgSz w:w="11910" w:h="16840"/>
          <w:pgMar w:top="1580" w:bottom="280" w:left="1060" w:right="1560"/>
        </w:sectPr>
      </w:pPr>
    </w:p>
    <w:p>
      <w:pPr>
        <w:pStyle w:val="BodyText"/>
        <w:spacing w:line="241" w:lineRule="exact"/>
        <w:ind w:left="216" w:right="0"/>
        <w:jc w:val="left"/>
        <w:rPr>
          <w:rFonts w:ascii="宋体" w:hAnsi="宋体" w:cs="宋体" w:eastAsia="宋体" w:hint="default"/>
        </w:rPr>
      </w:pPr>
      <w:r>
        <w:rPr>
          <w:rFonts w:ascii="宋体"/>
          <w:w w:val="100"/>
        </w:rPr>
        <w:t> </w:t>
      </w:r>
    </w:p>
    <w:p>
      <w:pPr>
        <w:pStyle w:val="Heading3"/>
        <w:spacing w:line="240" w:lineRule="auto" w:before="78"/>
        <w:ind w:left="216" w:right="0"/>
        <w:jc w:val="left"/>
        <w:rPr>
          <w:rFonts w:ascii="宋体" w:hAnsi="宋体" w:cs="宋体" w:eastAsia="宋体" w:hint="default"/>
          <w:b w:val="0"/>
          <w:bCs w:val="0"/>
        </w:rPr>
      </w:pPr>
      <w:r>
        <w:rPr/>
        <w:t>其他应付款</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ind w:left="216" w:right="0"/>
        <w:jc w:val="left"/>
        <w:rPr>
          <w:rFonts w:ascii="宋体" w:hAnsi="宋体" w:cs="宋体" w:eastAsia="宋体" w:hint="default"/>
          <w:b w:val="0"/>
          <w:bCs w:val="0"/>
        </w:rPr>
      </w:pPr>
      <w:r>
        <w:rPr>
          <w:rFonts w:ascii="宋体" w:hAnsi="宋体" w:cs="宋体" w:eastAsia="宋体" w:hint="default"/>
        </w:rPr>
        <w:t>(1).</w:t>
      </w:r>
      <w:r>
        <w:rPr>
          <w:rFonts w:ascii="宋体" w:hAnsi="宋体" w:cs="宋体" w:eastAsia="宋体" w:hint="default"/>
          <w:spacing w:val="-3"/>
        </w:rPr>
        <w:t> </w:t>
      </w:r>
      <w:r>
        <w:rPr/>
        <w:t>按款项性质列示其他应付款</w:t>
      </w:r>
      <w:r>
        <w:rPr>
          <w:rFonts w:ascii="宋体" w:hAnsi="宋体" w:cs="宋体" w:eastAsia="宋体" w:hint="default"/>
          <w:w w:val="99"/>
        </w:rPr>
        <w:t> </w:t>
      </w:r>
      <w:r>
        <w:rPr>
          <w:rFonts w:ascii="宋体" w:hAnsi="宋体" w:cs="宋体" w:eastAsia="宋体" w:hint="default"/>
          <w:b w:val="0"/>
          <w:bCs w:val="0"/>
        </w:rPr>
      </w:r>
    </w:p>
    <w:p>
      <w:pPr>
        <w:pStyle w:val="Heading2"/>
        <w:spacing w:line="240" w:lineRule="auto" w:before="69"/>
        <w:ind w:left="21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5"/>
          <w:szCs w:val="25"/>
        </w:rPr>
      </w:pPr>
    </w:p>
    <w:p>
      <w:pPr>
        <w:pStyle w:val="BodyText"/>
        <w:spacing w:line="240" w:lineRule="auto"/>
        <w:ind w:left="216" w:right="0"/>
        <w:jc w:val="left"/>
        <w:rPr>
          <w:rFonts w:ascii="宋体" w:hAnsi="宋体" w:cs="宋体" w:eastAsia="宋体" w:hint="default"/>
        </w:rPr>
      </w:pPr>
      <w:r>
        <w:rPr/>
        <w:t>单位：元币种：人民币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580" w:bottom="280" w:left="1060" w:right="1560"/>
          <w:cols w:num="2" w:equalWidth="0">
            <w:col w:w="3382" w:space="3352"/>
            <w:col w:w="2556"/>
          </w:cols>
        </w:sectPr>
      </w:pPr>
    </w:p>
    <w:p>
      <w:pPr>
        <w:spacing w:line="240" w:lineRule="auto" w:before="10"/>
        <w:rPr>
          <w:rFonts w:ascii="宋体" w:hAnsi="宋体" w:cs="宋体" w:eastAsia="宋体" w:hint="default"/>
          <w:sz w:val="3"/>
          <w:szCs w:val="3"/>
        </w:rPr>
      </w:pPr>
    </w:p>
    <w:tbl>
      <w:tblPr>
        <w:tblW w:w="0" w:type="auto"/>
        <w:jc w:val="left"/>
        <w:tblInd w:w="103" w:type="dxa"/>
        <w:tblLayout w:type="fixed"/>
        <w:tblCellMar>
          <w:top w:w="0" w:type="dxa"/>
          <w:left w:w="0" w:type="dxa"/>
          <w:bottom w:w="0" w:type="dxa"/>
          <w:right w:w="0" w:type="dxa"/>
        </w:tblCellMar>
        <w:tblLook w:val="01E0"/>
      </w:tblPr>
      <w:tblGrid>
        <w:gridCol w:w="2924"/>
        <w:gridCol w:w="3000"/>
        <w:gridCol w:w="3125"/>
      </w:tblGrid>
      <w:tr>
        <w:trPr>
          <w:trHeight w:val="473"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142"/>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75"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135"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324"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其他往来</w:t>
            </w:r>
            <w:r>
              <w:rPr>
                <w:rFonts w:ascii="宋体" w:hAnsi="宋体" w:cs="宋体" w:eastAsia="宋体" w:hint="default"/>
                <w:sz w:val="21"/>
                <w:szCs w:val="21"/>
              </w:rPr>
              <w:t> </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spacing w:val="-1"/>
                <w:sz w:val="21"/>
              </w:rPr>
              <w:t>34,283,204.97</w:t>
            </w:r>
            <w:r>
              <w:rPr>
                <w:rFonts w:ascii="宋体"/>
                <w:sz w:val="21"/>
              </w:rPr>
              <w:t> </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spacing w:val="-1"/>
                <w:sz w:val="21"/>
              </w:rPr>
              <w:t>18,547,741.33</w:t>
            </w:r>
            <w:r>
              <w:rPr>
                <w:rFonts w:ascii="宋体"/>
                <w:sz w:val="21"/>
              </w:rPr>
              <w:t> </w:t>
            </w:r>
          </w:p>
        </w:tc>
      </w:tr>
      <w:tr>
        <w:trPr>
          <w:trHeight w:val="322"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预提费用</w:t>
            </w:r>
            <w:r>
              <w:rPr>
                <w:rFonts w:ascii="宋体" w:hAnsi="宋体" w:cs="宋体" w:eastAsia="宋体" w:hint="default"/>
                <w:sz w:val="21"/>
                <w:szCs w:val="21"/>
              </w:rPr>
              <w:t> </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11,848,962.76</w:t>
            </w:r>
            <w:r>
              <w:rPr>
                <w:rFonts w:ascii="宋体"/>
                <w:sz w:val="21"/>
              </w:rPr>
              <w:t> </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15,930,898.30</w:t>
            </w:r>
            <w:r>
              <w:rPr>
                <w:rFonts w:ascii="宋体"/>
                <w:sz w:val="21"/>
              </w:rPr>
              <w:t> </w:t>
            </w:r>
          </w:p>
        </w:tc>
      </w:tr>
      <w:tr>
        <w:trPr>
          <w:trHeight w:val="322"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应付股权激励款</w:t>
            </w:r>
            <w:r>
              <w:rPr>
                <w:rFonts w:ascii="宋体" w:hAnsi="宋体" w:cs="宋体" w:eastAsia="宋体" w:hint="default"/>
                <w:sz w:val="21"/>
                <w:szCs w:val="21"/>
              </w:rPr>
              <w:t> </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38,421,640.00</w:t>
            </w:r>
            <w:r>
              <w:rPr>
                <w:rFonts w:ascii="宋体"/>
                <w:sz w:val="21"/>
              </w:rPr>
              <w:t> </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73,900,860.00</w:t>
            </w:r>
            <w:r>
              <w:rPr>
                <w:rFonts w:ascii="宋体"/>
                <w:sz w:val="21"/>
              </w:rPr>
              <w:t> </w:t>
            </w:r>
          </w:p>
        </w:tc>
      </w:tr>
      <w:tr>
        <w:trPr>
          <w:trHeight w:val="322"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142"/>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84,553,807.73</w:t>
            </w:r>
            <w:r>
              <w:rPr>
                <w:rFonts w:ascii="宋体"/>
                <w:sz w:val="21"/>
              </w:rPr>
              <w:t> </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108,379,499.63</w:t>
            </w:r>
            <w:r>
              <w:rPr>
                <w:rFonts w:ascii="宋体"/>
                <w:sz w:val="21"/>
              </w:rPr>
              <w:t> </w:t>
            </w:r>
          </w:p>
        </w:tc>
      </w:tr>
    </w:tbl>
    <w:p>
      <w:pPr>
        <w:pStyle w:val="Heading2"/>
        <w:spacing w:line="274" w:lineRule="exact"/>
        <w:ind w:left="216" w:right="0"/>
        <w:jc w:val="left"/>
        <w:rPr>
          <w:rFonts w:ascii="宋体" w:hAnsi="宋体" w:cs="宋体" w:eastAsia="宋体" w:hint="default"/>
        </w:rPr>
      </w:pPr>
      <w:r>
        <w:rPr>
          <w:rFonts w:ascii="宋体"/>
        </w:rPr>
        <w:t> </w:t>
      </w:r>
    </w:p>
    <w:p>
      <w:pPr>
        <w:pStyle w:val="Heading3"/>
        <w:spacing w:line="240" w:lineRule="auto" w:before="85"/>
        <w:ind w:left="216" w:right="0"/>
        <w:jc w:val="left"/>
        <w:rPr>
          <w:rFonts w:ascii="宋体" w:hAnsi="宋体" w:cs="宋体" w:eastAsia="宋体" w:hint="default"/>
          <w:b w:val="0"/>
          <w:bCs w:val="0"/>
        </w:rPr>
      </w:pPr>
      <w:r>
        <w:rPr>
          <w:rFonts w:ascii="宋体" w:hAnsi="宋体" w:cs="宋体" w:eastAsia="宋体" w:hint="default"/>
        </w:rPr>
        <w:t>(2). </w:t>
      </w:r>
      <w:r>
        <w:rPr/>
        <w:t>账龄超过</w:t>
      </w:r>
      <w:r>
        <w:rPr>
          <w:spacing w:val="-54"/>
        </w:rPr>
        <w:t> </w:t>
      </w:r>
      <w:r>
        <w:rPr>
          <w:rFonts w:ascii="宋体" w:hAnsi="宋体" w:cs="宋体" w:eastAsia="宋体" w:hint="default"/>
        </w:rPr>
        <w:t>1</w:t>
      </w:r>
      <w:r>
        <w:rPr>
          <w:rFonts w:ascii="宋体" w:hAnsi="宋体" w:cs="宋体" w:eastAsia="宋体" w:hint="default"/>
          <w:spacing w:val="-54"/>
        </w:rPr>
        <w:t> </w:t>
      </w:r>
      <w:r>
        <w:rPr/>
        <w:t>年的重要其他应付款</w:t>
      </w:r>
      <w:r>
        <w:rPr>
          <w:rFonts w:ascii="宋体" w:hAnsi="宋体" w:cs="宋体" w:eastAsia="宋体" w:hint="default"/>
          <w:w w:val="99"/>
        </w:rPr>
        <w:t> </w:t>
      </w:r>
      <w:r>
        <w:rPr>
          <w:rFonts w:ascii="宋体" w:hAnsi="宋体" w:cs="宋体" w:eastAsia="宋体" w:hint="default"/>
          <w:b w:val="0"/>
          <w:bCs w:val="0"/>
        </w:rPr>
      </w:r>
    </w:p>
    <w:p>
      <w:pPr>
        <w:pStyle w:val="Heading2"/>
        <w:spacing w:line="312" w:lineRule="exact" w:before="100"/>
        <w:ind w:left="216" w:right="6307"/>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r>
        <w:rPr/>
        <w:t>其他说明：</w:t>
      </w:r>
      <w:r>
        <w:rPr>
          <w:rFonts w:ascii="宋体" w:hAnsi="宋体" w:cs="宋体" w:eastAsia="宋体" w:hint="default"/>
        </w:rPr>
        <w:t> </w:t>
      </w:r>
    </w:p>
    <w:p>
      <w:pPr>
        <w:pStyle w:val="BodyText"/>
        <w:spacing w:line="272" w:lineRule="exact"/>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left="216" w:right="0"/>
        <w:jc w:val="left"/>
        <w:rPr>
          <w:rFonts w:ascii="宋体" w:hAnsi="宋体" w:cs="宋体" w:eastAsia="宋体" w:hint="default"/>
        </w:rPr>
      </w:pPr>
      <w:r>
        <w:rPr>
          <w:rFonts w:ascii="宋体"/>
          <w:w w:val="100"/>
        </w:rPr>
        <w:t> </w:t>
      </w:r>
    </w:p>
    <w:p>
      <w:pPr>
        <w:pStyle w:val="Heading3"/>
        <w:spacing w:line="240" w:lineRule="auto"/>
        <w:ind w:left="216" w:right="0"/>
        <w:jc w:val="left"/>
        <w:rPr>
          <w:b w:val="0"/>
          <w:bCs w:val="0"/>
        </w:rPr>
      </w:pPr>
      <w:r>
        <w:rPr>
          <w:rFonts w:ascii="宋体" w:hAnsi="宋体" w:cs="宋体" w:eastAsia="宋体" w:hint="default"/>
        </w:rPr>
        <w:t>40</w:t>
      </w:r>
      <w:r>
        <w:rPr/>
        <w:t>、</w:t>
      </w:r>
      <w:r>
        <w:rPr>
          <w:spacing w:val="-24"/>
        </w:rPr>
        <w:t> </w:t>
      </w:r>
      <w:r>
        <w:rPr/>
        <w:t>持有待售负债</w:t>
      </w:r>
      <w:r>
        <w:rPr>
          <w:b w:val="0"/>
          <w:bCs w:val="0"/>
        </w:rPr>
      </w:r>
    </w:p>
    <w:p>
      <w:pPr>
        <w:pStyle w:val="BodyText"/>
        <w:spacing w:line="240" w:lineRule="auto" w:before="97"/>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left="216" w:right="0"/>
        <w:jc w:val="left"/>
        <w:rPr>
          <w:rFonts w:ascii="宋体" w:hAnsi="宋体" w:cs="宋体" w:eastAsia="宋体" w:hint="default"/>
        </w:rPr>
      </w:pPr>
      <w:r>
        <w:rPr>
          <w:rFonts w:ascii="宋体"/>
          <w:w w:val="100"/>
        </w:rPr>
        <w:t> </w:t>
      </w:r>
    </w:p>
    <w:p>
      <w:pPr>
        <w:spacing w:after="0" w:line="240" w:lineRule="auto"/>
        <w:jc w:val="left"/>
        <w:rPr>
          <w:rFonts w:ascii="宋体" w:hAnsi="宋体" w:cs="宋体" w:eastAsia="宋体" w:hint="default"/>
        </w:rPr>
        <w:sectPr>
          <w:type w:val="continuous"/>
          <w:pgSz w:w="11910" w:h="16840"/>
          <w:pgMar w:top="1580" w:bottom="280" w:left="1060" w:right="1560"/>
        </w:sectPr>
      </w:pPr>
    </w:p>
    <w:p>
      <w:pPr>
        <w:spacing w:line="240" w:lineRule="auto" w:before="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pgSz w:w="11910" w:h="16840"/>
          <w:pgMar w:header="0" w:footer="974" w:top="1140" w:bottom="1160" w:left="1040" w:right="1560"/>
        </w:sectPr>
      </w:pPr>
    </w:p>
    <w:p>
      <w:pPr>
        <w:pStyle w:val="Heading3"/>
        <w:spacing w:line="240" w:lineRule="auto" w:before="36"/>
        <w:ind w:left="236" w:right="0"/>
        <w:jc w:val="left"/>
        <w:rPr>
          <w:rFonts w:ascii="宋体" w:hAnsi="宋体" w:cs="宋体" w:eastAsia="宋体" w:hint="default"/>
          <w:b w:val="0"/>
          <w:bCs w:val="0"/>
        </w:rPr>
      </w:pPr>
      <w:r>
        <w:rPr>
          <w:rFonts w:ascii="宋体" w:hAnsi="宋体" w:cs="宋体" w:eastAsia="宋体" w:hint="default"/>
        </w:rPr>
        <w:t>41</w:t>
      </w:r>
      <w:r>
        <w:rPr/>
        <w:t>、 </w:t>
      </w:r>
      <w:r>
        <w:rPr>
          <w:rFonts w:ascii="宋体" w:hAnsi="宋体" w:cs="宋体" w:eastAsia="宋体" w:hint="default"/>
        </w:rPr>
        <w:t>1</w:t>
      </w:r>
      <w:r>
        <w:rPr>
          <w:rFonts w:ascii="宋体" w:hAnsi="宋体" w:cs="宋体" w:eastAsia="宋体" w:hint="default"/>
          <w:spacing w:val="-78"/>
        </w:rPr>
        <w:t> </w:t>
      </w:r>
      <w:r>
        <w:rPr/>
        <w:t>年内到期的非流动负债</w:t>
      </w:r>
      <w:r>
        <w:rPr>
          <w:rFonts w:ascii="宋体" w:hAnsi="宋体" w:cs="宋体" w:eastAsia="宋体" w:hint="default"/>
          <w:w w:val="99"/>
        </w:rPr>
        <w:t> </w:t>
      </w:r>
      <w:r>
        <w:rPr>
          <w:rFonts w:ascii="宋体" w:hAnsi="宋体" w:cs="宋体" w:eastAsia="宋体" w:hint="default"/>
          <w:b w:val="0"/>
          <w:bCs w:val="0"/>
        </w:rPr>
      </w:r>
    </w:p>
    <w:p>
      <w:pPr>
        <w:pStyle w:val="Heading2"/>
        <w:spacing w:line="240" w:lineRule="auto" w:before="69"/>
        <w:ind w:left="23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spacing w:line="240" w:lineRule="auto"/>
        <w:ind w:left="236" w:right="0"/>
        <w:jc w:val="left"/>
        <w:rPr>
          <w:rFonts w:ascii="宋体" w:hAnsi="宋体" w:cs="宋体" w:eastAsia="宋体" w:hint="default"/>
        </w:rPr>
      </w:pPr>
      <w:r>
        <w:rPr/>
        <w:t>单位：元币种：人民币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580" w:bottom="280" w:left="1040" w:right="1560"/>
          <w:cols w:num="2" w:equalWidth="0">
            <w:col w:w="3116" w:space="3617"/>
            <w:col w:w="2577"/>
          </w:cols>
        </w:sectPr>
      </w:pPr>
    </w:p>
    <w:p>
      <w:pPr>
        <w:spacing w:line="240" w:lineRule="auto" w:before="10"/>
        <w:rPr>
          <w:rFonts w:ascii="宋体" w:hAnsi="宋体" w:cs="宋体" w:eastAsia="宋体" w:hint="default"/>
          <w:sz w:val="3"/>
          <w:szCs w:val="3"/>
        </w:rPr>
      </w:pPr>
    </w:p>
    <w:tbl>
      <w:tblPr>
        <w:tblW w:w="0" w:type="auto"/>
        <w:jc w:val="left"/>
        <w:tblInd w:w="123" w:type="dxa"/>
        <w:tblLayout w:type="fixed"/>
        <w:tblCellMar>
          <w:top w:w="0" w:type="dxa"/>
          <w:left w:w="0" w:type="dxa"/>
          <w:bottom w:w="0" w:type="dxa"/>
          <w:right w:w="0" w:type="dxa"/>
        </w:tblCellMar>
        <w:tblLook w:val="01E0"/>
      </w:tblPr>
      <w:tblGrid>
        <w:gridCol w:w="2910"/>
        <w:gridCol w:w="3036"/>
        <w:gridCol w:w="3104"/>
      </w:tblGrid>
      <w:tr>
        <w:trPr>
          <w:trHeight w:val="322" w:hRule="exact"/>
        </w:trPr>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303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89"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31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125"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322" w:hRule="exact"/>
        </w:trPr>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6"/>
                <w:sz w:val="21"/>
                <w:szCs w:val="21"/>
              </w:rPr>
              <w:t> </w:t>
            </w:r>
            <w:r>
              <w:rPr>
                <w:rFonts w:ascii="宋体" w:hAnsi="宋体" w:cs="宋体" w:eastAsia="宋体" w:hint="default"/>
                <w:sz w:val="21"/>
                <w:szCs w:val="21"/>
              </w:rPr>
              <w:t>年内到期的长期借款</w:t>
            </w:r>
            <w:r>
              <w:rPr>
                <w:rFonts w:ascii="宋体" w:hAnsi="宋体" w:cs="宋体" w:eastAsia="宋体" w:hint="default"/>
                <w:sz w:val="21"/>
                <w:szCs w:val="21"/>
              </w:rPr>
              <w:t> </w:t>
            </w:r>
          </w:p>
        </w:tc>
        <w:tc>
          <w:tcPr>
            <w:tcW w:w="303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311,437,000.00</w:t>
            </w:r>
            <w:r>
              <w:rPr>
                <w:rFonts w:ascii="宋体"/>
                <w:sz w:val="21"/>
              </w:rPr>
              <w:t> </w:t>
            </w:r>
          </w:p>
        </w:tc>
        <w:tc>
          <w:tcPr>
            <w:tcW w:w="31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276,100,000.00</w:t>
            </w:r>
            <w:r>
              <w:rPr>
                <w:rFonts w:ascii="宋体"/>
                <w:sz w:val="21"/>
              </w:rPr>
              <w:t> </w:t>
            </w:r>
          </w:p>
        </w:tc>
      </w:tr>
      <w:tr>
        <w:trPr>
          <w:trHeight w:val="324" w:hRule="exact"/>
        </w:trPr>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303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311,437,000.00</w:t>
            </w:r>
            <w:r>
              <w:rPr>
                <w:rFonts w:ascii="宋体"/>
                <w:sz w:val="21"/>
              </w:rPr>
              <w:t> </w:t>
            </w:r>
          </w:p>
        </w:tc>
        <w:tc>
          <w:tcPr>
            <w:tcW w:w="31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276,100,000.00</w:t>
            </w:r>
            <w:r>
              <w:rPr>
                <w:rFonts w:ascii="宋体"/>
                <w:sz w:val="21"/>
              </w:rPr>
              <w:t> </w:t>
            </w:r>
          </w:p>
        </w:tc>
      </w:tr>
    </w:tbl>
    <w:p>
      <w:pPr>
        <w:spacing w:after="0" w:line="262" w:lineRule="exact"/>
        <w:jc w:val="right"/>
        <w:rPr>
          <w:rFonts w:ascii="宋体" w:hAnsi="宋体" w:cs="宋体" w:eastAsia="宋体" w:hint="default"/>
          <w:sz w:val="21"/>
          <w:szCs w:val="21"/>
        </w:rPr>
        <w:sectPr>
          <w:type w:val="continuous"/>
          <w:pgSz w:w="11910" w:h="16840"/>
          <w:pgMar w:top="1580" w:bottom="280" w:left="1040" w:right="1560"/>
        </w:sectPr>
      </w:pPr>
    </w:p>
    <w:p>
      <w:pPr>
        <w:pStyle w:val="BodyText"/>
        <w:spacing w:line="240" w:lineRule="auto" w:before="47"/>
        <w:ind w:left="236" w:right="0"/>
        <w:jc w:val="left"/>
        <w:rPr>
          <w:rFonts w:ascii="宋体" w:hAnsi="宋体" w:cs="宋体" w:eastAsia="宋体" w:hint="default"/>
        </w:rPr>
      </w:pPr>
      <w:r>
        <w:rPr>
          <w:rFonts w:ascii="宋体"/>
          <w:w w:val="100"/>
        </w:rPr>
        <w:t> </w:t>
      </w:r>
    </w:p>
    <w:p>
      <w:pPr>
        <w:spacing w:line="324" w:lineRule="auto" w:before="97"/>
        <w:ind w:left="236" w:right="0" w:firstLine="0"/>
        <w:jc w:val="left"/>
        <w:rPr>
          <w:rFonts w:ascii="宋体" w:hAnsi="宋体" w:cs="宋体" w:eastAsia="宋体" w:hint="default"/>
          <w:sz w:val="21"/>
          <w:szCs w:val="21"/>
        </w:rPr>
      </w:pPr>
      <w:r>
        <w:rPr>
          <w:rFonts w:ascii="宋体" w:hAnsi="宋体" w:cs="宋体" w:eastAsia="宋体" w:hint="default"/>
          <w:b/>
          <w:bCs/>
          <w:sz w:val="21"/>
          <w:szCs w:val="21"/>
        </w:rPr>
        <w:t>42</w:t>
      </w:r>
      <w:r>
        <w:rPr>
          <w:rFonts w:ascii="宋体" w:hAnsi="宋体" w:cs="宋体" w:eastAsia="宋体" w:hint="default"/>
          <w:b/>
          <w:bCs/>
          <w:sz w:val="21"/>
          <w:szCs w:val="21"/>
        </w:rPr>
        <w:t>、</w:t>
      </w:r>
      <w:r>
        <w:rPr>
          <w:rFonts w:ascii="宋体" w:hAnsi="宋体" w:cs="宋体" w:eastAsia="宋体" w:hint="default"/>
          <w:b/>
          <w:bCs/>
          <w:spacing w:val="-26"/>
          <w:sz w:val="21"/>
          <w:szCs w:val="21"/>
        </w:rPr>
        <w:t> </w:t>
      </w:r>
      <w:r>
        <w:rPr>
          <w:rFonts w:ascii="宋体" w:hAnsi="宋体" w:cs="宋体" w:eastAsia="宋体" w:hint="default"/>
          <w:b/>
          <w:bCs/>
          <w:sz w:val="21"/>
          <w:szCs w:val="21"/>
        </w:rPr>
        <w:t>他流动负债</w:t>
      </w:r>
      <w:r>
        <w:rPr>
          <w:rFonts w:ascii="宋体" w:hAnsi="宋体" w:cs="宋体" w:eastAsia="宋体" w:hint="default"/>
          <w:b/>
          <w:bCs/>
          <w:w w:val="99"/>
          <w:sz w:val="21"/>
          <w:szCs w:val="21"/>
        </w:rPr>
        <w:t> </w:t>
      </w:r>
      <w:r>
        <w:rPr>
          <w:rFonts w:ascii="宋体" w:hAnsi="宋体" w:cs="宋体" w:eastAsia="宋体" w:hint="default"/>
          <w:sz w:val="21"/>
          <w:szCs w:val="21"/>
        </w:rPr>
        <w:t>其他流动负债情况</w:t>
      </w:r>
      <w:r>
        <w:rPr>
          <w:rFonts w:ascii="宋体" w:hAnsi="宋体" w:cs="宋体" w:eastAsia="宋体" w:hint="default"/>
          <w:sz w:val="21"/>
          <w:szCs w:val="21"/>
        </w:rPr>
        <w:t> </w:t>
      </w:r>
    </w:p>
    <w:p>
      <w:pPr>
        <w:pStyle w:val="BodyText"/>
        <w:spacing w:line="238" w:lineRule="exact"/>
        <w:ind w:left="236"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2"/>
        <w:spacing w:line="240" w:lineRule="auto" w:before="9"/>
        <w:ind w:left="236" w:right="0"/>
        <w:jc w:val="left"/>
        <w:rPr>
          <w:rFonts w:ascii="宋体" w:hAnsi="宋体" w:cs="宋体" w:eastAsia="宋体" w:hint="default"/>
        </w:rPr>
      </w:pPr>
      <w:r>
        <w:rPr/>
        <w:t>短期应付债券的增减变动：</w:t>
      </w:r>
      <w:r>
        <w:rPr>
          <w:rFonts w:ascii="宋体" w:hAnsi="宋体" w:cs="宋体" w:eastAsia="宋体" w:hint="default"/>
        </w:rPr>
        <w:t> </w:t>
      </w:r>
    </w:p>
    <w:p>
      <w:pPr>
        <w:pStyle w:val="BodyText"/>
        <w:spacing w:line="324" w:lineRule="auto" w:before="26"/>
        <w:ind w:left="236" w:right="397"/>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其他说明：</w:t>
      </w:r>
      <w:r>
        <w:rPr>
          <w:rFonts w:ascii="宋体" w:hAnsi="宋体" w:cs="宋体" w:eastAsia="宋体" w:hint="default"/>
        </w:rPr>
        <w:t> </w:t>
      </w:r>
    </w:p>
    <w:p>
      <w:pPr>
        <w:pStyle w:val="BodyText"/>
        <w:spacing w:line="240" w:lineRule="auto" w:before="23"/>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97"/>
        <w:ind w:left="236" w:right="0"/>
        <w:jc w:val="left"/>
        <w:rPr>
          <w:rFonts w:ascii="宋体" w:hAnsi="宋体" w:cs="宋体" w:eastAsia="宋体" w:hint="default"/>
        </w:rPr>
      </w:pPr>
      <w:r>
        <w:rPr>
          <w:rFonts w:ascii="宋体"/>
          <w:w w:val="100"/>
        </w:rPr>
        <w:t> </w:t>
      </w:r>
    </w:p>
    <w:p>
      <w:pPr>
        <w:pStyle w:val="Heading3"/>
        <w:spacing w:line="324" w:lineRule="auto"/>
        <w:ind w:left="236" w:right="0"/>
        <w:jc w:val="left"/>
        <w:rPr>
          <w:rFonts w:ascii="宋体" w:hAnsi="宋体" w:cs="宋体" w:eastAsia="宋体" w:hint="default"/>
          <w:b w:val="0"/>
          <w:bCs w:val="0"/>
        </w:rPr>
      </w:pPr>
      <w:r>
        <w:rPr>
          <w:rFonts w:ascii="宋体" w:hAnsi="宋体" w:cs="宋体" w:eastAsia="宋体" w:hint="default"/>
        </w:rPr>
        <w:t>43</w:t>
      </w:r>
      <w:r>
        <w:rPr/>
        <w:t>、 长期借款</w:t>
      </w:r>
      <w:r>
        <w:rPr>
          <w:spacing w:val="-28"/>
        </w:rPr>
        <w:t> </w:t>
      </w:r>
      <w:r>
        <w:rPr>
          <w:rFonts w:ascii="宋体" w:hAnsi="宋体" w:cs="宋体" w:eastAsia="宋体" w:hint="default"/>
          <w:spacing w:val="-28"/>
        </w:rPr>
      </w:r>
      <w:r>
        <w:rPr>
          <w:rFonts w:ascii="宋体" w:hAnsi="宋体" w:cs="宋体" w:eastAsia="宋体" w:hint="default"/>
        </w:rPr>
        <w:t>(1).</w:t>
      </w:r>
      <w:r>
        <w:rPr>
          <w:rFonts w:ascii="宋体" w:hAnsi="宋体" w:cs="宋体" w:eastAsia="宋体" w:hint="default"/>
          <w:w w:val="99"/>
        </w:rPr>
        <w:t> </w:t>
      </w:r>
      <w:r>
        <w:rPr/>
        <w:t>长期借款分类</w:t>
      </w:r>
      <w:r>
        <w:rPr>
          <w:rFonts w:ascii="宋体" w:hAnsi="宋体" w:cs="宋体" w:eastAsia="宋体" w:hint="default"/>
          <w:w w:val="99"/>
        </w:rPr>
        <w:t> </w:t>
      </w:r>
      <w:r>
        <w:rPr>
          <w:rFonts w:ascii="宋体" w:hAnsi="宋体" w:cs="宋体" w:eastAsia="宋体" w:hint="default"/>
          <w:b w:val="0"/>
          <w:bCs w:val="0"/>
        </w:rPr>
      </w:r>
    </w:p>
    <w:p>
      <w:pPr>
        <w:pStyle w:val="Heading2"/>
        <w:spacing w:line="310" w:lineRule="exact"/>
        <w:ind w:left="23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6"/>
          <w:szCs w:val="26"/>
        </w:rPr>
      </w:pPr>
    </w:p>
    <w:p>
      <w:pPr>
        <w:pStyle w:val="BodyText"/>
        <w:spacing w:line="240" w:lineRule="auto"/>
        <w:ind w:left="236" w:right="0"/>
        <w:jc w:val="left"/>
        <w:rPr>
          <w:rFonts w:ascii="宋体" w:hAnsi="宋体" w:cs="宋体" w:eastAsia="宋体" w:hint="default"/>
        </w:rPr>
      </w:pPr>
      <w:r>
        <w:rPr/>
        <w:t>单位：元币种：人民币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580" w:bottom="280" w:left="1040" w:right="1560"/>
          <w:cols w:num="2" w:equalWidth="0">
            <w:col w:w="3238" w:space="3495"/>
            <w:col w:w="2577"/>
          </w:cols>
        </w:sectPr>
      </w:pPr>
    </w:p>
    <w:p>
      <w:pPr>
        <w:spacing w:line="240" w:lineRule="auto" w:before="10"/>
        <w:rPr>
          <w:rFonts w:ascii="宋体" w:hAnsi="宋体" w:cs="宋体" w:eastAsia="宋体" w:hint="default"/>
          <w:sz w:val="3"/>
          <w:szCs w:val="3"/>
        </w:rPr>
      </w:pPr>
    </w:p>
    <w:tbl>
      <w:tblPr>
        <w:tblW w:w="0" w:type="auto"/>
        <w:jc w:val="left"/>
        <w:tblInd w:w="200" w:type="dxa"/>
        <w:tblLayout w:type="fixed"/>
        <w:tblCellMar>
          <w:top w:w="0" w:type="dxa"/>
          <w:left w:w="0" w:type="dxa"/>
          <w:bottom w:w="0" w:type="dxa"/>
          <w:right w:w="0" w:type="dxa"/>
        </w:tblCellMar>
        <w:tblLook w:val="01E0"/>
      </w:tblPr>
      <w:tblGrid>
        <w:gridCol w:w="3001"/>
        <w:gridCol w:w="2998"/>
        <w:gridCol w:w="2897"/>
      </w:tblGrid>
      <w:tr>
        <w:trPr>
          <w:trHeight w:val="322" w:hRule="exact"/>
        </w:trPr>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79"/>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299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72"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22"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322" w:hRule="exact"/>
        </w:trPr>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质押借款</w:t>
            </w:r>
            <w:r>
              <w:rPr>
                <w:rFonts w:ascii="宋体" w:hAnsi="宋体" w:cs="宋体" w:eastAsia="宋体" w:hint="default"/>
                <w:sz w:val="21"/>
                <w:szCs w:val="21"/>
              </w:rPr>
              <w:t> </w:t>
            </w:r>
          </w:p>
        </w:tc>
        <w:tc>
          <w:tcPr>
            <w:tcW w:w="29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w w:val="100"/>
                <w:sz w:val="21"/>
              </w:rPr>
              <w:t> </w:t>
            </w:r>
          </w:p>
        </w:tc>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2"/>
              <w:jc w:val="right"/>
              <w:rPr>
                <w:rFonts w:ascii="宋体" w:hAnsi="宋体" w:cs="宋体" w:eastAsia="宋体" w:hint="default"/>
                <w:sz w:val="21"/>
                <w:szCs w:val="21"/>
              </w:rPr>
            </w:pPr>
            <w:r>
              <w:rPr>
                <w:rFonts w:ascii="宋体"/>
                <w:spacing w:val="-1"/>
                <w:sz w:val="21"/>
              </w:rPr>
              <w:t>30,000,000.00</w:t>
            </w:r>
          </w:p>
        </w:tc>
      </w:tr>
      <w:tr>
        <w:trPr>
          <w:trHeight w:val="322" w:hRule="exact"/>
        </w:trPr>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抵押借款</w:t>
            </w:r>
            <w:r>
              <w:rPr>
                <w:rFonts w:ascii="宋体" w:hAnsi="宋体" w:cs="宋体" w:eastAsia="宋体" w:hint="default"/>
                <w:sz w:val="21"/>
                <w:szCs w:val="21"/>
              </w:rPr>
              <w:t> </w:t>
            </w:r>
          </w:p>
        </w:tc>
        <w:tc>
          <w:tcPr>
            <w:tcW w:w="29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939,075,000.00</w:t>
            </w:r>
            <w:r>
              <w:rPr>
                <w:rFonts w:ascii="宋体"/>
                <w:sz w:val="21"/>
              </w:rPr>
              <w:t> </w:t>
            </w:r>
          </w:p>
        </w:tc>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22"/>
              <w:jc w:val="right"/>
              <w:rPr>
                <w:rFonts w:ascii="宋体" w:hAnsi="宋体" w:cs="宋体" w:eastAsia="宋体" w:hint="default"/>
                <w:sz w:val="21"/>
                <w:szCs w:val="21"/>
              </w:rPr>
            </w:pPr>
            <w:r>
              <w:rPr>
                <w:rFonts w:ascii="宋体"/>
                <w:spacing w:val="-1"/>
                <w:sz w:val="21"/>
              </w:rPr>
              <w:t>1,086,450,000.00</w:t>
            </w:r>
          </w:p>
        </w:tc>
      </w:tr>
      <w:tr>
        <w:trPr>
          <w:trHeight w:val="322" w:hRule="exact"/>
        </w:trPr>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保证借款</w:t>
            </w:r>
            <w:r>
              <w:rPr>
                <w:rFonts w:ascii="宋体" w:hAnsi="宋体" w:cs="宋体" w:eastAsia="宋体" w:hint="default"/>
                <w:sz w:val="21"/>
                <w:szCs w:val="21"/>
              </w:rPr>
              <w:t> </w:t>
            </w:r>
          </w:p>
        </w:tc>
        <w:tc>
          <w:tcPr>
            <w:tcW w:w="29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935,989,000.00</w:t>
            </w:r>
            <w:r>
              <w:rPr>
                <w:rFonts w:ascii="宋体"/>
                <w:sz w:val="21"/>
              </w:rPr>
              <w:t> </w:t>
            </w:r>
          </w:p>
        </w:tc>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2"/>
              <w:jc w:val="right"/>
              <w:rPr>
                <w:rFonts w:ascii="宋体" w:hAnsi="宋体" w:cs="宋体" w:eastAsia="宋体" w:hint="default"/>
                <w:sz w:val="21"/>
                <w:szCs w:val="21"/>
              </w:rPr>
            </w:pPr>
            <w:r>
              <w:rPr>
                <w:rFonts w:ascii="宋体"/>
                <w:spacing w:val="-1"/>
                <w:sz w:val="21"/>
              </w:rPr>
              <w:t>1,053,050,000.00</w:t>
            </w:r>
          </w:p>
        </w:tc>
      </w:tr>
      <w:tr>
        <w:trPr>
          <w:trHeight w:val="322" w:hRule="exact"/>
        </w:trPr>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信用借款</w:t>
            </w:r>
            <w:r>
              <w:rPr>
                <w:rFonts w:ascii="宋体" w:hAnsi="宋体" w:cs="宋体" w:eastAsia="宋体" w:hint="default"/>
                <w:sz w:val="21"/>
                <w:szCs w:val="21"/>
              </w:rPr>
              <w:t> </w:t>
            </w:r>
          </w:p>
        </w:tc>
        <w:tc>
          <w:tcPr>
            <w:tcW w:w="29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w w:val="100"/>
                <w:sz w:val="21"/>
              </w:rPr>
              <w:t> </w:t>
            </w:r>
          </w:p>
        </w:tc>
        <w:tc>
          <w:tcPr>
            <w:tcW w:w="2897"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应付利息</w:t>
            </w:r>
            <w:r>
              <w:rPr>
                <w:rFonts w:ascii="宋体" w:hAnsi="宋体" w:cs="宋体" w:eastAsia="宋体" w:hint="default"/>
                <w:sz w:val="21"/>
                <w:szCs w:val="21"/>
              </w:rPr>
              <w:t> </w:t>
            </w:r>
          </w:p>
        </w:tc>
        <w:tc>
          <w:tcPr>
            <w:tcW w:w="299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2,982,229.33</w:t>
            </w:r>
            <w:r>
              <w:rPr>
                <w:rFonts w:ascii="宋体"/>
                <w:sz w:val="21"/>
              </w:rPr>
              <w:t> </w:t>
            </w:r>
          </w:p>
        </w:tc>
        <w:tc>
          <w:tcPr>
            <w:tcW w:w="289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179"/>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29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1,878,046,229.33</w:t>
            </w:r>
            <w:r>
              <w:rPr>
                <w:rFonts w:ascii="宋体"/>
                <w:sz w:val="21"/>
              </w:rPr>
              <w:t> </w:t>
            </w:r>
          </w:p>
        </w:tc>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2"/>
              <w:jc w:val="right"/>
              <w:rPr>
                <w:rFonts w:ascii="宋体" w:hAnsi="宋体" w:cs="宋体" w:eastAsia="宋体" w:hint="default"/>
                <w:sz w:val="21"/>
                <w:szCs w:val="21"/>
              </w:rPr>
            </w:pPr>
            <w:r>
              <w:rPr>
                <w:rFonts w:ascii="宋体"/>
                <w:spacing w:val="-1"/>
                <w:sz w:val="21"/>
              </w:rPr>
              <w:t>2,169,500,000.00</w:t>
            </w:r>
          </w:p>
        </w:tc>
      </w:tr>
    </w:tbl>
    <w:p>
      <w:pPr>
        <w:spacing w:after="0" w:line="262" w:lineRule="exact"/>
        <w:jc w:val="right"/>
        <w:rPr>
          <w:rFonts w:ascii="宋体" w:hAnsi="宋体" w:cs="宋体" w:eastAsia="宋体" w:hint="default"/>
          <w:sz w:val="21"/>
          <w:szCs w:val="21"/>
        </w:rPr>
        <w:sectPr>
          <w:type w:val="continuous"/>
          <w:pgSz w:w="11910" w:h="16840"/>
          <w:pgMar w:top="1580" w:bottom="280" w:left="1040" w:right="1560"/>
        </w:sectPr>
      </w:pPr>
    </w:p>
    <w:p>
      <w:pPr>
        <w:pStyle w:val="BodyText"/>
        <w:spacing w:line="290" w:lineRule="auto" w:before="26"/>
        <w:ind w:left="236" w:right="0"/>
        <w:jc w:val="left"/>
        <w:rPr>
          <w:rFonts w:ascii="宋体" w:hAnsi="宋体" w:cs="宋体" w:eastAsia="宋体" w:hint="default"/>
        </w:rPr>
      </w:pPr>
      <w:r>
        <w:rPr>
          <w:rFonts w:ascii="宋体" w:hAnsi="宋体" w:cs="宋体" w:eastAsia="宋体" w:hint="default"/>
          <w:w w:val="100"/>
        </w:rPr>
        <w:t>  </w:t>
      </w:r>
      <w:r>
        <w:rPr>
          <w:w w:val="100"/>
        </w:rPr>
        <w:t>其他</w:t>
      </w:r>
      <w:r>
        <w:rPr>
          <w:spacing w:val="-3"/>
          <w:w w:val="100"/>
        </w:rPr>
        <w:t>说</w:t>
      </w:r>
      <w:r>
        <w:rPr>
          <w:w w:val="100"/>
        </w:rPr>
        <w:t>明</w:t>
      </w:r>
      <w:r>
        <w:rPr>
          <w:spacing w:val="-3"/>
          <w:w w:val="100"/>
        </w:rPr>
        <w:t>，</w:t>
      </w:r>
      <w:r>
        <w:rPr>
          <w:w w:val="100"/>
        </w:rPr>
        <w:t>包</w:t>
      </w:r>
      <w:r>
        <w:rPr>
          <w:spacing w:val="-3"/>
          <w:w w:val="100"/>
        </w:rPr>
        <w:t>括</w:t>
      </w:r>
      <w:r>
        <w:rPr>
          <w:w w:val="100"/>
        </w:rPr>
        <w:t>利</w:t>
      </w:r>
      <w:r>
        <w:rPr>
          <w:spacing w:val="-3"/>
          <w:w w:val="100"/>
        </w:rPr>
        <w:t>率</w:t>
      </w:r>
      <w:r>
        <w:rPr>
          <w:w w:val="100"/>
        </w:rPr>
        <w:t>区</w:t>
      </w:r>
      <w:r>
        <w:rPr>
          <w:spacing w:val="-3"/>
          <w:w w:val="100"/>
        </w:rPr>
        <w:t>间</w:t>
      </w:r>
      <w:r>
        <w:rPr>
          <w:w w:val="100"/>
        </w:rPr>
        <w:t>：</w:t>
      </w:r>
      <w:r>
        <w:rPr>
          <w:rFonts w:ascii="宋体" w:hAnsi="宋体" w:cs="宋体" w:eastAsia="宋体" w:hint="default"/>
          <w:w w:val="100"/>
        </w:rPr>
        <w:t> </w:t>
      </w:r>
    </w:p>
    <w:p>
      <w:pPr>
        <w:pStyle w:val="BodyText"/>
        <w:spacing w:line="229" w:lineRule="exact"/>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18"/>
        <w:ind w:left="236" w:right="0"/>
        <w:jc w:val="left"/>
        <w:rPr>
          <w:rFonts w:ascii="宋体" w:hAnsi="宋体" w:cs="宋体" w:eastAsia="宋体" w:hint="default"/>
        </w:rPr>
      </w:pPr>
      <w:r>
        <w:rPr>
          <w:rFonts w:ascii="宋体"/>
          <w:w w:val="100"/>
        </w:rPr>
        <w:t> </w:t>
      </w:r>
    </w:p>
    <w:p>
      <w:pPr>
        <w:pStyle w:val="Heading3"/>
        <w:spacing w:line="324" w:lineRule="auto"/>
        <w:ind w:left="236" w:right="37"/>
        <w:jc w:val="left"/>
        <w:rPr>
          <w:rFonts w:ascii="宋体" w:hAnsi="宋体" w:cs="宋体" w:eastAsia="宋体" w:hint="default"/>
          <w:b w:val="0"/>
          <w:bCs w:val="0"/>
        </w:rPr>
      </w:pPr>
      <w:r>
        <w:rPr>
          <w:rFonts w:ascii="宋体" w:hAnsi="宋体" w:cs="宋体" w:eastAsia="宋体" w:hint="default"/>
        </w:rPr>
        <w:t>44</w:t>
      </w:r>
      <w:r>
        <w:rPr/>
        <w:t>、</w:t>
      </w:r>
      <w:r>
        <w:rPr>
          <w:spacing w:val="-26"/>
        </w:rPr>
        <w:t> </w:t>
      </w:r>
      <w:r>
        <w:rPr/>
        <w:t>应付债券</w:t>
      </w:r>
      <w:r>
        <w:rPr>
          <w:rFonts w:ascii="宋体" w:hAnsi="宋体" w:cs="宋体" w:eastAsia="宋体" w:hint="default"/>
          <w:w w:val="99"/>
        </w:rPr>
        <w:t> </w:t>
      </w:r>
      <w:r>
        <w:rPr>
          <w:rFonts w:ascii="宋体" w:hAnsi="宋体" w:cs="宋体" w:eastAsia="宋体" w:hint="default"/>
        </w:rPr>
        <w:t>(1).</w:t>
      </w:r>
      <w:r>
        <w:rPr/>
        <w:t>应付债券</w:t>
      </w:r>
      <w:r>
        <w:rPr>
          <w:rFonts w:ascii="宋体" w:hAnsi="宋体" w:cs="宋体" w:eastAsia="宋体" w:hint="default"/>
          <w:w w:val="99"/>
        </w:rPr>
        <w:t> </w:t>
      </w:r>
      <w:r>
        <w:rPr>
          <w:rFonts w:ascii="宋体" w:hAnsi="宋体" w:cs="宋体" w:eastAsia="宋体" w:hint="default"/>
          <w:b w:val="0"/>
          <w:bCs w:val="0"/>
        </w:rPr>
      </w:r>
    </w:p>
    <w:p>
      <w:pPr>
        <w:pStyle w:val="Heading2"/>
        <w:spacing w:line="311" w:lineRule="exact"/>
        <w:ind w:left="23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pStyle w:val="BodyText"/>
        <w:spacing w:line="240" w:lineRule="auto"/>
        <w:ind w:left="236" w:right="0"/>
        <w:jc w:val="left"/>
        <w:rPr>
          <w:rFonts w:ascii="宋体" w:hAnsi="宋体" w:cs="宋体" w:eastAsia="宋体" w:hint="default"/>
        </w:rPr>
      </w:pPr>
      <w:r>
        <w:rPr/>
        <w:t>单位：元币种：人民币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580" w:bottom="280" w:left="1040" w:right="1560"/>
          <w:cols w:num="2" w:equalWidth="0">
            <w:col w:w="2866" w:space="3868"/>
            <w:col w:w="2576"/>
          </w:cols>
        </w:sectPr>
      </w:pPr>
    </w:p>
    <w:p>
      <w:pPr>
        <w:spacing w:line="240" w:lineRule="auto" w:before="10"/>
        <w:rPr>
          <w:rFonts w:ascii="宋体" w:hAnsi="宋体" w:cs="宋体" w:eastAsia="宋体" w:hint="default"/>
          <w:sz w:val="3"/>
          <w:szCs w:val="3"/>
        </w:rPr>
      </w:pPr>
    </w:p>
    <w:tbl>
      <w:tblPr>
        <w:tblW w:w="0" w:type="auto"/>
        <w:jc w:val="left"/>
        <w:tblInd w:w="119" w:type="dxa"/>
        <w:tblLayout w:type="fixed"/>
        <w:tblCellMar>
          <w:top w:w="0" w:type="dxa"/>
          <w:left w:w="0" w:type="dxa"/>
          <w:bottom w:w="0" w:type="dxa"/>
          <w:right w:w="0" w:type="dxa"/>
        </w:tblCellMar>
        <w:tblLook w:val="01E0"/>
      </w:tblPr>
      <w:tblGrid>
        <w:gridCol w:w="3056"/>
        <w:gridCol w:w="3077"/>
        <w:gridCol w:w="2929"/>
      </w:tblGrid>
      <w:tr>
        <w:trPr>
          <w:trHeight w:val="324" w:hRule="exact"/>
        </w:trPr>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205"/>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101"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92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24"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322" w:hRule="exact"/>
        </w:trPr>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8" w:right="0"/>
              <w:jc w:val="left"/>
              <w:rPr>
                <w:rFonts w:ascii="宋体" w:hAnsi="宋体" w:cs="宋体" w:eastAsia="宋体" w:hint="default"/>
                <w:sz w:val="24"/>
                <w:szCs w:val="24"/>
              </w:rPr>
            </w:pPr>
            <w:r>
              <w:rPr>
                <w:rFonts w:ascii="宋体" w:hAnsi="宋体" w:cs="宋体" w:eastAsia="宋体" w:hint="default"/>
                <w:sz w:val="21"/>
                <w:szCs w:val="21"/>
              </w:rPr>
              <w:t>可转换公司债券</w:t>
            </w:r>
            <w:r>
              <w:rPr>
                <w:rFonts w:ascii="宋体" w:hAnsi="宋体" w:cs="宋体" w:eastAsia="宋体" w:hint="default"/>
                <w:sz w:val="24"/>
                <w:szCs w:val="24"/>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right"/>
              <w:rPr>
                <w:rFonts w:ascii="宋体" w:hAnsi="宋体" w:cs="宋体" w:eastAsia="宋体" w:hint="default"/>
                <w:sz w:val="21"/>
                <w:szCs w:val="21"/>
              </w:rPr>
            </w:pPr>
            <w:r>
              <w:rPr>
                <w:rFonts w:ascii="宋体"/>
                <w:spacing w:val="-1"/>
                <w:sz w:val="21"/>
              </w:rPr>
              <w:t>2,590,800,905.84</w:t>
            </w:r>
            <w:r>
              <w:rPr>
                <w:rFonts w:ascii="宋体"/>
                <w:sz w:val="21"/>
              </w:rPr>
              <w:t> </w:t>
            </w:r>
          </w:p>
        </w:tc>
        <w:tc>
          <w:tcPr>
            <w:tcW w:w="292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
              <w:jc w:val="right"/>
              <w:rPr>
                <w:rFonts w:ascii="宋体" w:hAnsi="宋体" w:cs="宋体" w:eastAsia="宋体" w:hint="default"/>
                <w:sz w:val="21"/>
                <w:szCs w:val="21"/>
              </w:rPr>
            </w:pPr>
            <w:r>
              <w:rPr>
                <w:rFonts w:ascii="宋体"/>
                <w:spacing w:val="-1"/>
                <w:sz w:val="21"/>
              </w:rPr>
              <w:t>2,463,263,272.02</w:t>
            </w:r>
            <w:r>
              <w:rPr>
                <w:rFonts w:ascii="宋体"/>
                <w:sz w:val="21"/>
              </w:rPr>
              <w:t> </w:t>
            </w:r>
          </w:p>
        </w:tc>
      </w:tr>
      <w:tr>
        <w:trPr>
          <w:trHeight w:val="322" w:hRule="exact"/>
        </w:trPr>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205"/>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right"/>
              <w:rPr>
                <w:rFonts w:ascii="宋体" w:hAnsi="宋体" w:cs="宋体" w:eastAsia="宋体" w:hint="default"/>
                <w:sz w:val="21"/>
                <w:szCs w:val="21"/>
              </w:rPr>
            </w:pPr>
            <w:r>
              <w:rPr>
                <w:rFonts w:ascii="宋体"/>
                <w:spacing w:val="-1"/>
                <w:sz w:val="21"/>
              </w:rPr>
              <w:t>2,590,800,905.84</w:t>
            </w:r>
            <w:r>
              <w:rPr>
                <w:rFonts w:ascii="宋体"/>
                <w:sz w:val="21"/>
              </w:rPr>
              <w:t> </w:t>
            </w:r>
          </w:p>
        </w:tc>
        <w:tc>
          <w:tcPr>
            <w:tcW w:w="292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
              <w:jc w:val="right"/>
              <w:rPr>
                <w:rFonts w:ascii="宋体" w:hAnsi="宋体" w:cs="宋体" w:eastAsia="宋体" w:hint="default"/>
                <w:sz w:val="21"/>
                <w:szCs w:val="21"/>
              </w:rPr>
            </w:pPr>
            <w:r>
              <w:rPr>
                <w:rFonts w:ascii="宋体"/>
                <w:spacing w:val="-1"/>
                <w:sz w:val="21"/>
              </w:rPr>
              <w:t>2,463,263,272.02</w:t>
            </w:r>
            <w:r>
              <w:rPr>
                <w:rFonts w:ascii="宋体"/>
                <w:sz w:val="21"/>
              </w:rPr>
              <w:t> </w:t>
            </w:r>
          </w:p>
        </w:tc>
      </w:tr>
    </w:tbl>
    <w:p>
      <w:pPr>
        <w:pStyle w:val="Heading2"/>
        <w:spacing w:line="274" w:lineRule="exact"/>
        <w:ind w:left="236" w:right="0"/>
        <w:jc w:val="left"/>
        <w:rPr>
          <w:rFonts w:ascii="宋体" w:hAnsi="宋体" w:cs="宋体" w:eastAsia="宋体" w:hint="default"/>
        </w:rPr>
      </w:pPr>
      <w:r>
        <w:rPr>
          <w:rFonts w:ascii="宋体"/>
        </w:rPr>
        <w:t> </w:t>
      </w:r>
    </w:p>
    <w:p>
      <w:pPr>
        <w:spacing w:after="0" w:line="274" w:lineRule="exact"/>
        <w:jc w:val="left"/>
        <w:rPr>
          <w:rFonts w:ascii="宋体" w:hAnsi="宋体" w:cs="宋体" w:eastAsia="宋体" w:hint="default"/>
        </w:rPr>
        <w:sectPr>
          <w:type w:val="continuous"/>
          <w:pgSz w:w="11910" w:h="16840"/>
          <w:pgMar w:top="1580" w:bottom="280" w:left="1040" w:right="1560"/>
        </w:sectPr>
      </w:pPr>
    </w:p>
    <w:p>
      <w:pPr>
        <w:spacing w:line="240" w:lineRule="auto" w:before="3"/>
        <w:rPr>
          <w:rFonts w:ascii="宋体" w:hAnsi="宋体" w:cs="宋体" w:eastAsia="宋体" w:hint="default"/>
          <w:sz w:val="6"/>
          <w:szCs w:val="6"/>
        </w:rPr>
      </w:pPr>
    </w:p>
    <w:p>
      <w:pPr>
        <w:spacing w:line="393" w:lineRule="exact"/>
        <w:ind w:left="126"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699.45pt;height:19.650pt;mso-position-horizontal-relative:char;mso-position-vertical-relative:line" coordorigin="0,0" coordsize="13989,393">
            <v:group style="position:absolute;left:69;top:370;width:13913;height:2" coordorigin="69,370" coordsize="13913,2">
              <v:shape style="position:absolute;left:69;top:370;width:13913;height:2" coordorigin="69,370" coordsize="13913,0" path="m69,370l13982,370e" filled="false" stroked="true" strokeweight=".72pt" strokecolor="#000000">
                <v:path arrowok="t"/>
              </v:shape>
              <v:shape style="position:absolute;left:0;top:0;width:465;height:393" type="#_x0000_t75" stroked="false">
                <v:imagedata r:id="rId10" o:title=""/>
              </v:shape>
              <v:shape style="position:absolute;left:3038;top:134;width:21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江苏林洋能源股份有限公司</w:t>
                      </w:r>
                    </w:p>
                  </w:txbxContent>
                </v:textbox>
                <w10:wrap type="none"/>
              </v:shape>
              <v:shape style="position:absolute;left:9704;top:134;width:1309;height:200" type="#_x0000_t202" filled="false" stroked="false">
                <v:textbox inset="0,0,0,0">
                  <w:txbxContent>
                    <w:p>
                      <w:pPr>
                        <w:spacing w:line="200" w:lineRule="exact" w:before="0"/>
                        <w:ind w:left="0" w:right="0" w:firstLine="0"/>
                        <w:jc w:val="left"/>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2"/>
                          <w:sz w:val="18"/>
                          <w:szCs w:val="18"/>
                        </w:rPr>
                        <w:t> </w:t>
                      </w:r>
                      <w:r>
                        <w:rPr>
                          <w:rFonts w:ascii="宋体" w:hAnsi="宋体" w:cs="宋体" w:eastAsia="宋体" w:hint="default"/>
                          <w:sz w:val="18"/>
                          <w:szCs w:val="18"/>
                        </w:rPr>
                        <w:t>年年度报告</w:t>
                      </w:r>
                    </w:p>
                  </w:txbxContent>
                </v:textbox>
                <w10:wrap type="none"/>
              </v:shape>
            </v:group>
          </v:group>
        </w:pict>
      </w:r>
      <w:r>
        <w:rPr>
          <w:rFonts w:ascii="宋体" w:hAnsi="宋体" w:cs="宋体" w:eastAsia="宋体" w:hint="default"/>
          <w:position w:val="-7"/>
          <w:sz w:val="20"/>
          <w:szCs w:val="20"/>
        </w:rPr>
      </w:r>
    </w:p>
    <w:p>
      <w:pPr>
        <w:spacing w:line="240" w:lineRule="auto" w:before="1"/>
        <w:rPr>
          <w:rFonts w:ascii="宋体" w:hAnsi="宋体" w:cs="宋体" w:eastAsia="宋体" w:hint="default"/>
          <w:sz w:val="6"/>
          <w:szCs w:val="6"/>
        </w:rPr>
      </w:pPr>
    </w:p>
    <w:p>
      <w:pPr>
        <w:spacing w:after="0" w:line="240" w:lineRule="auto"/>
        <w:rPr>
          <w:rFonts w:ascii="宋体" w:hAnsi="宋体" w:cs="宋体" w:eastAsia="宋体" w:hint="default"/>
          <w:sz w:val="6"/>
          <w:szCs w:val="6"/>
        </w:rPr>
        <w:sectPr>
          <w:headerReference w:type="default" r:id="rId189"/>
          <w:footerReference w:type="default" r:id="rId190"/>
          <w:pgSz w:w="16840" w:h="11910" w:orient="landscape"/>
          <w:pgMar w:header="0" w:footer="0" w:top="660" w:bottom="280" w:left="1300" w:right="1200"/>
        </w:sectPr>
      </w:pPr>
    </w:p>
    <w:p>
      <w:pPr>
        <w:pStyle w:val="Heading2"/>
        <w:spacing w:line="240" w:lineRule="auto" w:before="26"/>
        <w:ind w:left="224" w:right="0"/>
        <w:jc w:val="left"/>
        <w:rPr>
          <w:rFonts w:ascii="宋体" w:hAnsi="宋体" w:cs="宋体" w:eastAsia="宋体" w:hint="default"/>
        </w:rPr>
      </w:pPr>
      <w:r>
        <w:rPr>
          <w:rFonts w:ascii="宋体"/>
        </w:rPr>
        <w:t> </w:t>
      </w:r>
    </w:p>
    <w:p>
      <w:pPr>
        <w:pStyle w:val="Heading3"/>
        <w:spacing w:line="240" w:lineRule="auto" w:before="95"/>
        <w:ind w:left="224" w:right="0"/>
        <w:jc w:val="left"/>
        <w:rPr>
          <w:rFonts w:ascii="宋体" w:hAnsi="宋体" w:cs="宋体" w:eastAsia="宋体" w:hint="default"/>
          <w:b w:val="0"/>
          <w:bCs w:val="0"/>
        </w:rPr>
      </w:pPr>
      <w:r>
        <w:rPr>
          <w:rFonts w:ascii="宋体" w:hAnsi="宋体" w:cs="宋体" w:eastAsia="宋体" w:hint="default"/>
          <w:w w:val="99"/>
        </w:rPr>
        <w:t>(2)</w:t>
      </w:r>
      <w:r>
        <w:rPr>
          <w:rFonts w:ascii="宋体" w:hAnsi="宋体" w:cs="宋体" w:eastAsia="宋体" w:hint="default"/>
          <w:spacing w:val="5"/>
          <w:w w:val="99"/>
        </w:rPr>
        <w:t>.</w:t>
      </w:r>
      <w:r>
        <w:rPr>
          <w:w w:val="100"/>
        </w:rPr>
        <w:t>应付债券的增减变</w:t>
      </w:r>
      <w:r>
        <w:rPr>
          <w:spacing w:val="-1"/>
          <w:w w:val="100"/>
        </w:rPr>
        <w:t>动</w:t>
      </w:r>
      <w:r>
        <w:rPr>
          <w:spacing w:val="-108"/>
          <w:w w:val="100"/>
        </w:rPr>
        <w:t>：</w:t>
      </w:r>
      <w:r>
        <w:rPr>
          <w:w w:val="100"/>
        </w:rPr>
        <w:t>（</w:t>
      </w:r>
      <w:r>
        <w:rPr>
          <w:spacing w:val="-3"/>
          <w:w w:val="100"/>
        </w:rPr>
        <w:t>不</w:t>
      </w:r>
      <w:r>
        <w:rPr>
          <w:w w:val="100"/>
        </w:rPr>
        <w:t>包括划分为金融负</w:t>
      </w:r>
      <w:r>
        <w:rPr>
          <w:spacing w:val="-3"/>
          <w:w w:val="100"/>
        </w:rPr>
        <w:t>债</w:t>
      </w:r>
      <w:r>
        <w:rPr>
          <w:w w:val="100"/>
        </w:rPr>
        <w:t>的</w:t>
      </w:r>
      <w:r>
        <w:rPr>
          <w:spacing w:val="-3"/>
          <w:w w:val="100"/>
        </w:rPr>
        <w:t>优</w:t>
      </w:r>
      <w:r>
        <w:rPr>
          <w:w w:val="100"/>
        </w:rPr>
        <w:t>先股、永续债等其</w:t>
      </w:r>
      <w:r>
        <w:rPr>
          <w:spacing w:val="-3"/>
          <w:w w:val="100"/>
        </w:rPr>
        <w:t>他</w:t>
      </w:r>
      <w:r>
        <w:rPr>
          <w:w w:val="100"/>
        </w:rPr>
        <w:t>金</w:t>
      </w:r>
      <w:r>
        <w:rPr>
          <w:spacing w:val="-3"/>
          <w:w w:val="100"/>
        </w:rPr>
        <w:t>融</w:t>
      </w:r>
      <w:r>
        <w:rPr>
          <w:w w:val="100"/>
        </w:rPr>
        <w:t>工具）</w:t>
      </w:r>
      <w:r>
        <w:rPr>
          <w:rFonts w:ascii="宋体" w:hAnsi="宋体" w:cs="宋体" w:eastAsia="宋体" w:hint="default"/>
          <w:w w:val="99"/>
        </w:rPr>
        <w:t> </w:t>
      </w:r>
      <w:r>
        <w:rPr>
          <w:rFonts w:ascii="宋体" w:hAnsi="宋体" w:cs="宋体" w:eastAsia="宋体" w:hint="default"/>
          <w:b w:val="0"/>
          <w:bCs w:val="0"/>
        </w:rPr>
      </w:r>
    </w:p>
    <w:p>
      <w:pPr>
        <w:pStyle w:val="Heading2"/>
        <w:spacing w:line="240" w:lineRule="auto" w:before="86"/>
        <w:ind w:left="224"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17"/>
          <w:szCs w:val="17"/>
        </w:rPr>
      </w:pPr>
    </w:p>
    <w:p>
      <w:pPr>
        <w:spacing w:before="0"/>
        <w:ind w:left="224" w:right="0" w:firstLine="0"/>
        <w:jc w:val="left"/>
        <w:rPr>
          <w:rFonts w:ascii="宋体" w:hAnsi="宋体" w:cs="宋体" w:eastAsia="宋体" w:hint="default"/>
          <w:sz w:val="18"/>
          <w:szCs w:val="18"/>
        </w:rPr>
      </w:pPr>
      <w:r>
        <w:rPr>
          <w:rFonts w:ascii="宋体" w:hAnsi="宋体" w:cs="宋体" w:eastAsia="宋体" w:hint="default"/>
          <w:sz w:val="18"/>
          <w:szCs w:val="18"/>
        </w:rPr>
        <w:t>单位：元币种：人民币</w:t>
      </w:r>
      <w:r>
        <w:rPr>
          <w:rFonts w:ascii="宋体" w:hAnsi="宋体" w:cs="宋体" w:eastAsia="宋体" w:hint="default"/>
          <w:sz w:val="18"/>
          <w:szCs w:val="18"/>
        </w:rPr>
        <w:t> </w:t>
      </w:r>
    </w:p>
    <w:p>
      <w:pPr>
        <w:spacing w:after="0"/>
        <w:jc w:val="left"/>
        <w:rPr>
          <w:rFonts w:ascii="宋体" w:hAnsi="宋体" w:cs="宋体" w:eastAsia="宋体" w:hint="default"/>
          <w:sz w:val="18"/>
          <w:szCs w:val="18"/>
        </w:rPr>
        <w:sectPr>
          <w:type w:val="continuous"/>
          <w:pgSz w:w="16840" w:h="11910" w:orient="landscape"/>
          <w:pgMar w:top="1580" w:bottom="280" w:left="1300" w:right="1200"/>
          <w:cols w:num="2" w:equalWidth="0">
            <w:col w:w="8453" w:space="3621"/>
            <w:col w:w="2266"/>
          </w:cols>
        </w:sectPr>
      </w:pPr>
    </w:p>
    <w:p>
      <w:pPr>
        <w:spacing w:line="240" w:lineRule="auto" w:before="10"/>
        <w:rPr>
          <w:rFonts w:ascii="宋体" w:hAnsi="宋体" w:cs="宋体" w:eastAsia="宋体" w:hint="default"/>
          <w:sz w:val="5"/>
          <w:szCs w:val="5"/>
        </w:rPr>
      </w:pPr>
    </w:p>
    <w:tbl>
      <w:tblPr>
        <w:tblW w:w="0" w:type="auto"/>
        <w:jc w:val="left"/>
        <w:tblInd w:w="106" w:type="dxa"/>
        <w:tblLayout w:type="fixed"/>
        <w:tblCellMar>
          <w:top w:w="0" w:type="dxa"/>
          <w:left w:w="0" w:type="dxa"/>
          <w:bottom w:w="0" w:type="dxa"/>
          <w:right w:w="0" w:type="dxa"/>
        </w:tblCellMar>
        <w:tblLook w:val="01E0"/>
      </w:tblPr>
      <w:tblGrid>
        <w:gridCol w:w="1390"/>
        <w:gridCol w:w="1152"/>
        <w:gridCol w:w="1056"/>
        <w:gridCol w:w="598"/>
        <w:gridCol w:w="1694"/>
        <w:gridCol w:w="1695"/>
        <w:gridCol w:w="929"/>
        <w:gridCol w:w="1327"/>
        <w:gridCol w:w="1513"/>
        <w:gridCol w:w="1056"/>
        <w:gridCol w:w="1692"/>
      </w:tblGrid>
      <w:tr>
        <w:trPr>
          <w:trHeight w:val="662" w:hRule="exact"/>
        </w:trPr>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333" w:lineRule="auto" w:before="15"/>
              <w:ind w:left="509" w:right="419"/>
              <w:jc w:val="left"/>
              <w:rPr>
                <w:rFonts w:ascii="宋体" w:hAnsi="宋体" w:cs="宋体" w:eastAsia="宋体" w:hint="default"/>
                <w:sz w:val="18"/>
                <w:szCs w:val="18"/>
              </w:rPr>
            </w:pPr>
            <w:r>
              <w:rPr>
                <w:rFonts w:ascii="宋体" w:hAnsi="宋体" w:cs="宋体" w:eastAsia="宋体" w:hint="default"/>
                <w:sz w:val="18"/>
                <w:szCs w:val="18"/>
              </w:rPr>
              <w:t>债券</w:t>
            </w:r>
            <w:r>
              <w:rPr>
                <w:rFonts w:ascii="宋体" w:hAnsi="宋体" w:cs="宋体" w:eastAsia="宋体" w:hint="default"/>
                <w:sz w:val="18"/>
                <w:szCs w:val="18"/>
              </w:rPr>
              <w:t> </w:t>
            </w:r>
            <w:r>
              <w:rPr>
                <w:rFonts w:ascii="宋体" w:hAnsi="宋体" w:cs="宋体" w:eastAsia="宋体" w:hint="default"/>
                <w:sz w:val="18"/>
                <w:szCs w:val="18"/>
              </w:rPr>
              <w:t>名称</w:t>
            </w:r>
            <w:r>
              <w:rPr>
                <w:rFonts w:ascii="宋体" w:hAnsi="宋体" w:cs="宋体" w:eastAsia="宋体" w:hint="default"/>
                <w:sz w:val="18"/>
                <w:szCs w:val="18"/>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299"/>
              <w:jc w:val="right"/>
              <w:rPr>
                <w:rFonts w:ascii="宋体" w:hAnsi="宋体" w:cs="宋体" w:eastAsia="宋体" w:hint="default"/>
                <w:sz w:val="18"/>
                <w:szCs w:val="18"/>
              </w:rPr>
            </w:pPr>
            <w:r>
              <w:rPr>
                <w:rFonts w:ascii="宋体" w:hAnsi="宋体" w:cs="宋体" w:eastAsia="宋体" w:hint="default"/>
                <w:sz w:val="18"/>
                <w:szCs w:val="18"/>
              </w:rPr>
              <w:t>面值</w:t>
            </w:r>
            <w:r>
              <w:rPr>
                <w:rFonts w:ascii="宋体" w:hAnsi="宋体" w:cs="宋体" w:eastAsia="宋体" w:hint="default"/>
                <w:sz w:val="18"/>
                <w:szCs w:val="18"/>
              </w:rPr>
              <w:t>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333" w:lineRule="auto" w:before="15"/>
              <w:ind w:left="343" w:right="251"/>
              <w:jc w:val="left"/>
              <w:rPr>
                <w:rFonts w:ascii="宋体" w:hAnsi="宋体" w:cs="宋体" w:eastAsia="宋体" w:hint="default"/>
                <w:sz w:val="18"/>
                <w:szCs w:val="18"/>
              </w:rPr>
            </w:pPr>
            <w:r>
              <w:rPr>
                <w:rFonts w:ascii="宋体" w:hAnsi="宋体" w:cs="宋体" w:eastAsia="宋体" w:hint="default"/>
                <w:sz w:val="18"/>
                <w:szCs w:val="18"/>
              </w:rPr>
              <w:t>发行</w:t>
            </w:r>
            <w:r>
              <w:rPr>
                <w:rFonts w:ascii="宋体" w:hAnsi="宋体" w:cs="宋体" w:eastAsia="宋体" w:hint="default"/>
                <w:sz w:val="18"/>
                <w:szCs w:val="18"/>
              </w:rPr>
              <w:t> </w:t>
            </w:r>
            <w:r>
              <w:rPr>
                <w:rFonts w:ascii="宋体" w:hAnsi="宋体" w:cs="宋体" w:eastAsia="宋体" w:hint="default"/>
                <w:sz w:val="18"/>
                <w:szCs w:val="18"/>
              </w:rPr>
              <w:t>日期</w:t>
            </w:r>
            <w:r>
              <w:rPr>
                <w:rFonts w:ascii="宋体" w:hAnsi="宋体" w:cs="宋体" w:eastAsia="宋体" w:hint="default"/>
                <w:sz w:val="18"/>
                <w:szCs w:val="18"/>
              </w:rPr>
              <w:t> </w:t>
            </w:r>
          </w:p>
        </w:tc>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333" w:lineRule="auto" w:before="15"/>
              <w:ind w:left="112" w:right="23"/>
              <w:jc w:val="left"/>
              <w:rPr>
                <w:rFonts w:ascii="宋体" w:hAnsi="宋体" w:cs="宋体" w:eastAsia="宋体" w:hint="default"/>
                <w:sz w:val="18"/>
                <w:szCs w:val="18"/>
              </w:rPr>
            </w:pPr>
            <w:r>
              <w:rPr>
                <w:rFonts w:ascii="宋体" w:hAnsi="宋体" w:cs="宋体" w:eastAsia="宋体" w:hint="default"/>
                <w:sz w:val="18"/>
                <w:szCs w:val="18"/>
              </w:rPr>
              <w:t>债券</w:t>
            </w:r>
            <w:r>
              <w:rPr>
                <w:rFonts w:ascii="宋体" w:hAnsi="宋体" w:cs="宋体" w:eastAsia="宋体" w:hint="default"/>
                <w:sz w:val="18"/>
                <w:szCs w:val="18"/>
              </w:rPr>
              <w:t> </w:t>
            </w:r>
            <w:r>
              <w:rPr>
                <w:rFonts w:ascii="宋体" w:hAnsi="宋体" w:cs="宋体" w:eastAsia="宋体" w:hint="default"/>
                <w:sz w:val="18"/>
                <w:szCs w:val="18"/>
              </w:rPr>
              <w:t>期限</w:t>
            </w:r>
            <w:r>
              <w:rPr>
                <w:rFonts w:ascii="宋体" w:hAnsi="宋体" w:cs="宋体" w:eastAsia="宋体" w:hint="default"/>
                <w:sz w:val="18"/>
                <w:szCs w:val="18"/>
              </w:rPr>
              <w:t> </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333" w:lineRule="auto" w:before="15"/>
              <w:ind w:left="662" w:right="570"/>
              <w:jc w:val="center"/>
              <w:rPr>
                <w:rFonts w:ascii="宋体" w:hAnsi="宋体" w:cs="宋体" w:eastAsia="宋体" w:hint="default"/>
                <w:sz w:val="18"/>
                <w:szCs w:val="18"/>
              </w:rPr>
            </w:pPr>
            <w:r>
              <w:rPr>
                <w:rFonts w:ascii="宋体" w:hAnsi="宋体" w:cs="宋体" w:eastAsia="宋体" w:hint="default"/>
                <w:sz w:val="18"/>
                <w:szCs w:val="18"/>
              </w:rPr>
              <w:t>发行</w:t>
            </w:r>
            <w:r>
              <w:rPr>
                <w:rFonts w:ascii="宋体" w:hAnsi="宋体" w:cs="宋体" w:eastAsia="宋体" w:hint="default"/>
                <w:sz w:val="18"/>
                <w:szCs w:val="18"/>
              </w:rPr>
              <w:t> </w:t>
            </w:r>
            <w:r>
              <w:rPr>
                <w:rFonts w:ascii="宋体" w:hAnsi="宋体" w:cs="宋体" w:eastAsia="宋体" w:hint="default"/>
                <w:sz w:val="18"/>
                <w:szCs w:val="18"/>
              </w:rPr>
              <w:t>金额</w:t>
            </w:r>
            <w:r>
              <w:rPr>
                <w:rFonts w:ascii="宋体" w:hAnsi="宋体" w:cs="宋体" w:eastAsia="宋体" w:hint="default"/>
                <w:sz w:val="18"/>
                <w:szCs w:val="18"/>
              </w:rPr>
              <w:t> </w:t>
            </w: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333" w:lineRule="auto" w:before="15"/>
              <w:ind w:left="664" w:right="568"/>
              <w:jc w:val="center"/>
              <w:rPr>
                <w:rFonts w:ascii="宋体" w:hAnsi="宋体" w:cs="宋体" w:eastAsia="宋体" w:hint="default"/>
                <w:sz w:val="18"/>
                <w:szCs w:val="18"/>
              </w:rPr>
            </w:pPr>
            <w:r>
              <w:rPr>
                <w:rFonts w:ascii="宋体" w:hAnsi="宋体" w:cs="宋体" w:eastAsia="宋体" w:hint="default"/>
                <w:sz w:val="18"/>
                <w:szCs w:val="18"/>
              </w:rPr>
              <w:t>期初</w:t>
            </w:r>
            <w:r>
              <w:rPr>
                <w:rFonts w:ascii="宋体" w:hAnsi="宋体" w:cs="宋体" w:eastAsia="宋体" w:hint="default"/>
                <w:sz w:val="18"/>
                <w:szCs w:val="18"/>
              </w:rPr>
              <w:t> </w:t>
            </w:r>
            <w:r>
              <w:rPr>
                <w:rFonts w:ascii="宋体" w:hAnsi="宋体" w:cs="宋体" w:eastAsia="宋体" w:hint="default"/>
                <w:sz w:val="18"/>
                <w:szCs w:val="18"/>
              </w:rPr>
              <w:t>余额</w:t>
            </w:r>
            <w:r>
              <w:rPr>
                <w:rFonts w:ascii="宋体" w:hAnsi="宋体" w:cs="宋体" w:eastAsia="宋体" w:hint="default"/>
                <w:sz w:val="18"/>
                <w:szCs w:val="18"/>
              </w:rPr>
              <w:t> </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333" w:lineRule="auto" w:before="15"/>
              <w:ind w:left="280" w:right="186"/>
              <w:jc w:val="left"/>
              <w:rPr>
                <w:rFonts w:ascii="宋体" w:hAnsi="宋体" w:cs="宋体" w:eastAsia="宋体" w:hint="default"/>
                <w:sz w:val="18"/>
                <w:szCs w:val="18"/>
              </w:rPr>
            </w:pPr>
            <w:r>
              <w:rPr>
                <w:rFonts w:ascii="宋体" w:hAnsi="宋体" w:cs="宋体" w:eastAsia="宋体" w:hint="default"/>
                <w:sz w:val="18"/>
                <w:szCs w:val="18"/>
              </w:rPr>
              <w:t>本期</w:t>
            </w:r>
            <w:r>
              <w:rPr>
                <w:rFonts w:ascii="宋体" w:hAnsi="宋体" w:cs="宋体" w:eastAsia="宋体" w:hint="default"/>
                <w:sz w:val="18"/>
                <w:szCs w:val="18"/>
              </w:rPr>
              <w:t> </w:t>
            </w:r>
            <w:r>
              <w:rPr>
                <w:rFonts w:ascii="宋体" w:hAnsi="宋体" w:cs="宋体" w:eastAsia="宋体" w:hint="default"/>
                <w:sz w:val="18"/>
                <w:szCs w:val="18"/>
              </w:rPr>
              <w:t>发行</w:t>
            </w:r>
            <w:r>
              <w:rPr>
                <w:rFonts w:ascii="宋体" w:hAnsi="宋体" w:cs="宋体" w:eastAsia="宋体" w:hint="default"/>
                <w:sz w:val="18"/>
                <w:szCs w:val="18"/>
              </w:rPr>
              <w:t> </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333" w:lineRule="auto" w:before="15"/>
              <w:ind w:left="568" w:right="119" w:hanging="452"/>
              <w:jc w:val="left"/>
              <w:rPr>
                <w:rFonts w:ascii="宋体" w:hAnsi="宋体" w:cs="宋体" w:eastAsia="宋体" w:hint="default"/>
                <w:sz w:val="18"/>
                <w:szCs w:val="18"/>
              </w:rPr>
            </w:pPr>
            <w:r>
              <w:rPr>
                <w:rFonts w:ascii="宋体" w:hAnsi="宋体" w:cs="宋体" w:eastAsia="宋体" w:hint="default"/>
                <w:sz w:val="18"/>
                <w:szCs w:val="18"/>
              </w:rPr>
              <w:t>按面值计提利 息</w:t>
            </w:r>
            <w:r>
              <w:rPr>
                <w:rFonts w:ascii="宋体" w:hAnsi="宋体" w:cs="宋体" w:eastAsia="宋体" w:hint="default"/>
                <w:sz w:val="18"/>
                <w:szCs w:val="18"/>
              </w:rPr>
              <w:t> </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92" w:right="0"/>
              <w:jc w:val="center"/>
              <w:rPr>
                <w:rFonts w:ascii="宋体" w:hAnsi="宋体" w:cs="宋体" w:eastAsia="宋体" w:hint="default"/>
                <w:sz w:val="18"/>
                <w:szCs w:val="18"/>
              </w:rPr>
            </w:pPr>
            <w:r>
              <w:rPr>
                <w:rFonts w:ascii="宋体" w:hAnsi="宋体" w:cs="宋体" w:eastAsia="宋体" w:hint="default"/>
                <w:sz w:val="18"/>
                <w:szCs w:val="18"/>
              </w:rPr>
              <w:t>溢折价摊销</w:t>
            </w:r>
            <w:r>
              <w:rPr>
                <w:rFonts w:ascii="宋体" w:hAnsi="宋体" w:cs="宋体" w:eastAsia="宋体" w:hint="default"/>
                <w:sz w:val="18"/>
                <w:szCs w:val="18"/>
              </w:rPr>
              <w:t>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333" w:lineRule="auto" w:before="15"/>
              <w:ind w:left="340" w:right="253"/>
              <w:jc w:val="left"/>
              <w:rPr>
                <w:rFonts w:ascii="宋体" w:hAnsi="宋体" w:cs="宋体" w:eastAsia="宋体" w:hint="default"/>
                <w:sz w:val="18"/>
                <w:szCs w:val="18"/>
              </w:rPr>
            </w:pPr>
            <w:r>
              <w:rPr>
                <w:rFonts w:ascii="宋体" w:hAnsi="宋体" w:cs="宋体" w:eastAsia="宋体" w:hint="default"/>
                <w:sz w:val="18"/>
                <w:szCs w:val="18"/>
              </w:rPr>
              <w:t>本期</w:t>
            </w:r>
            <w:r>
              <w:rPr>
                <w:rFonts w:ascii="宋体" w:hAnsi="宋体" w:cs="宋体" w:eastAsia="宋体" w:hint="default"/>
                <w:sz w:val="18"/>
                <w:szCs w:val="18"/>
              </w:rPr>
              <w:t> </w:t>
            </w:r>
            <w:r>
              <w:rPr>
                <w:rFonts w:ascii="宋体" w:hAnsi="宋体" w:cs="宋体" w:eastAsia="宋体" w:hint="default"/>
                <w:sz w:val="18"/>
                <w:szCs w:val="18"/>
              </w:rPr>
              <w:t>偿还</w:t>
            </w:r>
            <w:r>
              <w:rPr>
                <w:rFonts w:ascii="宋体" w:hAnsi="宋体" w:cs="宋体" w:eastAsia="宋体" w:hint="default"/>
                <w:sz w:val="18"/>
                <w:szCs w:val="18"/>
              </w:rPr>
              <w:t> </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333" w:lineRule="auto" w:before="15"/>
              <w:ind w:left="659" w:right="570"/>
              <w:jc w:val="center"/>
              <w:rPr>
                <w:rFonts w:ascii="宋体" w:hAnsi="宋体" w:cs="宋体" w:eastAsia="宋体" w:hint="default"/>
                <w:sz w:val="18"/>
                <w:szCs w:val="18"/>
              </w:rPr>
            </w:pPr>
            <w:r>
              <w:rPr>
                <w:rFonts w:ascii="宋体" w:hAnsi="宋体" w:cs="宋体" w:eastAsia="宋体" w:hint="default"/>
                <w:sz w:val="18"/>
                <w:szCs w:val="18"/>
              </w:rPr>
              <w:t>期末</w:t>
            </w:r>
            <w:r>
              <w:rPr>
                <w:rFonts w:ascii="宋体" w:hAnsi="宋体" w:cs="宋体" w:eastAsia="宋体" w:hint="default"/>
                <w:sz w:val="18"/>
                <w:szCs w:val="18"/>
              </w:rPr>
              <w:t> </w:t>
            </w:r>
            <w:r>
              <w:rPr>
                <w:rFonts w:ascii="宋体" w:hAnsi="宋体" w:cs="宋体" w:eastAsia="宋体" w:hint="default"/>
                <w:sz w:val="18"/>
                <w:szCs w:val="18"/>
              </w:rPr>
              <w:t>余额</w:t>
            </w:r>
            <w:r>
              <w:rPr>
                <w:rFonts w:ascii="宋体" w:hAnsi="宋体" w:cs="宋体" w:eastAsia="宋体" w:hint="default"/>
                <w:sz w:val="18"/>
                <w:szCs w:val="18"/>
              </w:rPr>
              <w:t> </w:t>
            </w:r>
          </w:p>
        </w:tc>
      </w:tr>
      <w:tr>
        <w:trPr>
          <w:trHeight w:val="663" w:hRule="exact"/>
        </w:trPr>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333" w:lineRule="auto" w:before="15"/>
              <w:ind w:left="107" w:right="190"/>
              <w:jc w:val="left"/>
              <w:rPr>
                <w:rFonts w:ascii="宋体" w:hAnsi="宋体" w:cs="宋体" w:eastAsia="宋体" w:hint="default"/>
                <w:sz w:val="18"/>
                <w:szCs w:val="18"/>
              </w:rPr>
            </w:pPr>
            <w:r>
              <w:rPr>
                <w:rFonts w:ascii="宋体" w:hAnsi="宋体" w:cs="宋体" w:eastAsia="宋体" w:hint="default"/>
                <w:sz w:val="18"/>
                <w:szCs w:val="18"/>
              </w:rPr>
              <w:t>可转换公司债 券</w:t>
            </w:r>
            <w:r>
              <w:rPr>
                <w:rFonts w:ascii="宋体" w:hAnsi="宋体" w:cs="宋体" w:eastAsia="宋体" w:hint="default"/>
                <w:sz w:val="18"/>
                <w:szCs w:val="18"/>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344"/>
              <w:jc w:val="right"/>
              <w:rPr>
                <w:rFonts w:ascii="宋体" w:hAnsi="宋体" w:cs="宋体" w:eastAsia="宋体" w:hint="default"/>
                <w:sz w:val="18"/>
                <w:szCs w:val="18"/>
              </w:rPr>
            </w:pPr>
            <w:r>
              <w:rPr>
                <w:rFonts w:ascii="宋体"/>
                <w:sz w:val="18"/>
              </w:rPr>
              <w:t>100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89" w:right="0"/>
              <w:jc w:val="center"/>
              <w:rPr>
                <w:rFonts w:ascii="宋体" w:hAnsi="宋体" w:cs="宋体" w:eastAsia="宋体" w:hint="default"/>
                <w:sz w:val="18"/>
                <w:szCs w:val="18"/>
              </w:rPr>
            </w:pPr>
            <w:r>
              <w:rPr>
                <w:rFonts w:ascii="宋体"/>
                <w:sz w:val="18"/>
              </w:rPr>
              <w:t>2017/11/2 </w:t>
            </w:r>
          </w:p>
        </w:tc>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32" w:right="0"/>
              <w:jc w:val="center"/>
              <w:rPr>
                <w:rFonts w:ascii="宋体" w:hAnsi="宋体" w:cs="宋体" w:eastAsia="宋体" w:hint="default"/>
                <w:sz w:val="18"/>
                <w:szCs w:val="18"/>
              </w:rPr>
            </w:pPr>
            <w:r>
              <w:rPr>
                <w:rFonts w:ascii="宋体" w:hAnsi="宋体" w:cs="宋体" w:eastAsia="宋体" w:hint="default"/>
                <w:sz w:val="18"/>
                <w:szCs w:val="18"/>
              </w:rPr>
              <w:t>6</w:t>
            </w:r>
            <w:r>
              <w:rPr>
                <w:rFonts w:ascii="宋体" w:hAnsi="宋体" w:cs="宋体" w:eastAsia="宋体" w:hint="default"/>
                <w:spacing w:val="-43"/>
                <w:sz w:val="18"/>
                <w:szCs w:val="18"/>
              </w:rPr>
              <w:t> </w:t>
            </w:r>
            <w:r>
              <w:rPr>
                <w:rFonts w:ascii="宋体" w:hAnsi="宋体" w:cs="宋体" w:eastAsia="宋体" w:hint="default"/>
                <w:spacing w:val="-3"/>
                <w:sz w:val="18"/>
                <w:szCs w:val="18"/>
              </w:rPr>
              <w:t>年</w:t>
            </w:r>
            <w:r>
              <w:rPr>
                <w:rFonts w:ascii="宋体" w:hAnsi="宋体" w:cs="宋体" w:eastAsia="宋体" w:hint="default"/>
                <w:sz w:val="18"/>
                <w:szCs w:val="18"/>
              </w:rPr>
              <w:t> </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17"/>
              <w:jc w:val="right"/>
              <w:rPr>
                <w:rFonts w:ascii="宋体" w:hAnsi="宋体" w:cs="宋体" w:eastAsia="宋体" w:hint="default"/>
                <w:sz w:val="18"/>
                <w:szCs w:val="18"/>
              </w:rPr>
            </w:pPr>
            <w:r>
              <w:rPr>
                <w:rFonts w:ascii="宋体"/>
                <w:spacing w:val="-1"/>
                <w:sz w:val="18"/>
              </w:rPr>
              <w:t>3,000,000,000.00 </w:t>
            </w: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13"/>
              <w:jc w:val="right"/>
              <w:rPr>
                <w:rFonts w:ascii="宋体" w:hAnsi="宋体" w:cs="宋体" w:eastAsia="宋体" w:hint="default"/>
                <w:sz w:val="18"/>
                <w:szCs w:val="18"/>
              </w:rPr>
            </w:pPr>
            <w:r>
              <w:rPr>
                <w:rFonts w:ascii="宋体"/>
                <w:spacing w:val="-1"/>
                <w:sz w:val="18"/>
              </w:rPr>
              <w:t>2,463,263,272.02 </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13"/>
              <w:jc w:val="right"/>
              <w:rPr>
                <w:rFonts w:ascii="宋体" w:hAnsi="宋体" w:cs="宋体" w:eastAsia="宋体" w:hint="default"/>
                <w:sz w:val="18"/>
                <w:szCs w:val="18"/>
              </w:rPr>
            </w:pPr>
            <w:r>
              <w:rPr>
                <w:rFonts w:ascii="宋体"/>
                <w:sz w:val="18"/>
              </w:rPr>
              <w:t> </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17"/>
              <w:jc w:val="right"/>
              <w:rPr>
                <w:rFonts w:ascii="宋体" w:hAnsi="宋体" w:cs="宋体" w:eastAsia="宋体" w:hint="default"/>
                <w:sz w:val="18"/>
                <w:szCs w:val="18"/>
              </w:rPr>
            </w:pPr>
            <w:r>
              <w:rPr>
                <w:rFonts w:ascii="宋体"/>
                <w:spacing w:val="-1"/>
                <w:sz w:val="18"/>
              </w:rPr>
              <w:t>4,931,945.06</w:t>
            </w:r>
            <w:r>
              <w:rPr>
                <w:rFonts w:ascii="宋体"/>
                <w:sz w:val="18"/>
              </w:rPr>
              <w:t> </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116" w:right="0"/>
              <w:jc w:val="center"/>
              <w:rPr>
                <w:rFonts w:ascii="宋体" w:hAnsi="宋体" w:cs="宋体" w:eastAsia="宋体" w:hint="default"/>
                <w:sz w:val="18"/>
                <w:szCs w:val="18"/>
              </w:rPr>
            </w:pPr>
            <w:r>
              <w:rPr>
                <w:rFonts w:ascii="宋体"/>
                <w:sz w:val="18"/>
              </w:rPr>
              <w:t>122,684,688.76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104" w:right="0"/>
              <w:jc w:val="center"/>
              <w:rPr>
                <w:rFonts w:ascii="宋体" w:hAnsi="宋体" w:cs="宋体" w:eastAsia="宋体" w:hint="default"/>
                <w:sz w:val="18"/>
                <w:szCs w:val="18"/>
              </w:rPr>
            </w:pPr>
            <w:r>
              <w:rPr>
                <w:rFonts w:ascii="宋体"/>
                <w:sz w:val="18"/>
              </w:rPr>
              <w:t>79,000.00 </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17"/>
              <w:jc w:val="right"/>
              <w:rPr>
                <w:rFonts w:ascii="宋体" w:hAnsi="宋体" w:cs="宋体" w:eastAsia="宋体" w:hint="default"/>
                <w:sz w:val="18"/>
                <w:szCs w:val="18"/>
              </w:rPr>
            </w:pPr>
            <w:r>
              <w:rPr>
                <w:rFonts w:ascii="宋体"/>
                <w:spacing w:val="-1"/>
                <w:sz w:val="18"/>
              </w:rPr>
              <w:t>2,590,800,905.84 </w:t>
            </w:r>
          </w:p>
        </w:tc>
      </w:tr>
      <w:tr>
        <w:trPr>
          <w:trHeight w:val="336" w:hRule="exact"/>
        </w:trPr>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509" w:right="0"/>
              <w:jc w:val="left"/>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90" w:right="0"/>
              <w:jc w:val="center"/>
              <w:rPr>
                <w:rFonts w:ascii="宋体" w:hAnsi="宋体" w:cs="宋体" w:eastAsia="宋体" w:hint="default"/>
                <w:sz w:val="18"/>
                <w:szCs w:val="18"/>
              </w:rPr>
            </w:pPr>
            <w:r>
              <w:rPr>
                <w:rFonts w:ascii="宋体"/>
                <w:sz w:val="18"/>
              </w:rPr>
              <w:t>/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89" w:right="0"/>
              <w:jc w:val="center"/>
              <w:rPr>
                <w:rFonts w:ascii="宋体" w:hAnsi="宋体" w:cs="宋体" w:eastAsia="宋体" w:hint="default"/>
                <w:sz w:val="18"/>
                <w:szCs w:val="18"/>
              </w:rPr>
            </w:pPr>
            <w:r>
              <w:rPr>
                <w:rFonts w:ascii="宋体"/>
                <w:sz w:val="18"/>
              </w:rPr>
              <w:t>/ </w:t>
            </w:r>
          </w:p>
        </w:tc>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88" w:right="0"/>
              <w:jc w:val="center"/>
              <w:rPr>
                <w:rFonts w:ascii="宋体" w:hAnsi="宋体" w:cs="宋体" w:eastAsia="宋体" w:hint="default"/>
                <w:sz w:val="18"/>
                <w:szCs w:val="18"/>
              </w:rPr>
            </w:pPr>
            <w:r>
              <w:rPr>
                <w:rFonts w:ascii="宋体"/>
                <w:sz w:val="18"/>
              </w:rPr>
              <w:t>/ </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7"/>
              <w:jc w:val="right"/>
              <w:rPr>
                <w:rFonts w:ascii="宋体" w:hAnsi="宋体" w:cs="宋体" w:eastAsia="宋体" w:hint="default"/>
                <w:sz w:val="18"/>
                <w:szCs w:val="18"/>
              </w:rPr>
            </w:pPr>
            <w:r>
              <w:rPr>
                <w:rFonts w:ascii="宋体"/>
                <w:spacing w:val="-1"/>
                <w:sz w:val="18"/>
              </w:rPr>
              <w:t>3,000,000,000.00 </w:t>
            </w: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3"/>
              <w:jc w:val="right"/>
              <w:rPr>
                <w:rFonts w:ascii="宋体" w:hAnsi="宋体" w:cs="宋体" w:eastAsia="宋体" w:hint="default"/>
                <w:sz w:val="18"/>
                <w:szCs w:val="18"/>
              </w:rPr>
            </w:pPr>
            <w:r>
              <w:rPr>
                <w:rFonts w:ascii="宋体"/>
                <w:spacing w:val="-1"/>
                <w:sz w:val="18"/>
              </w:rPr>
              <w:t>2,463,263,272.02 </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3"/>
              <w:jc w:val="right"/>
              <w:rPr>
                <w:rFonts w:ascii="宋体" w:hAnsi="宋体" w:cs="宋体" w:eastAsia="宋体" w:hint="default"/>
                <w:sz w:val="18"/>
                <w:szCs w:val="18"/>
              </w:rPr>
            </w:pPr>
            <w:r>
              <w:rPr>
                <w:rFonts w:ascii="宋体"/>
                <w:sz w:val="18"/>
              </w:rPr>
              <w:t> </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7"/>
              <w:jc w:val="right"/>
              <w:rPr>
                <w:rFonts w:ascii="宋体" w:hAnsi="宋体" w:cs="宋体" w:eastAsia="宋体" w:hint="default"/>
                <w:sz w:val="18"/>
                <w:szCs w:val="18"/>
              </w:rPr>
            </w:pPr>
            <w:r>
              <w:rPr>
                <w:rFonts w:ascii="宋体"/>
                <w:spacing w:val="-1"/>
                <w:sz w:val="18"/>
              </w:rPr>
              <w:t>4,931,945.06</w:t>
            </w:r>
            <w:r>
              <w:rPr>
                <w:rFonts w:ascii="宋体"/>
                <w:sz w:val="18"/>
              </w:rPr>
              <w:t> </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16" w:right="0"/>
              <w:jc w:val="center"/>
              <w:rPr>
                <w:rFonts w:ascii="宋体" w:hAnsi="宋体" w:cs="宋体" w:eastAsia="宋体" w:hint="default"/>
                <w:sz w:val="18"/>
                <w:szCs w:val="18"/>
              </w:rPr>
            </w:pPr>
            <w:r>
              <w:rPr>
                <w:rFonts w:ascii="宋体"/>
                <w:sz w:val="18"/>
              </w:rPr>
              <w:t>122,684,688.76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4" w:right="0"/>
              <w:jc w:val="center"/>
              <w:rPr>
                <w:rFonts w:ascii="宋体" w:hAnsi="宋体" w:cs="宋体" w:eastAsia="宋体" w:hint="default"/>
                <w:sz w:val="18"/>
                <w:szCs w:val="18"/>
              </w:rPr>
            </w:pPr>
            <w:r>
              <w:rPr>
                <w:rFonts w:ascii="宋体"/>
                <w:sz w:val="18"/>
              </w:rPr>
              <w:t>79,000.00 </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7"/>
              <w:jc w:val="right"/>
              <w:rPr>
                <w:rFonts w:ascii="宋体" w:hAnsi="宋体" w:cs="宋体" w:eastAsia="宋体" w:hint="default"/>
                <w:sz w:val="18"/>
                <w:szCs w:val="18"/>
              </w:rPr>
            </w:pPr>
            <w:r>
              <w:rPr>
                <w:rFonts w:ascii="宋体"/>
                <w:spacing w:val="-1"/>
                <w:sz w:val="18"/>
              </w:rPr>
              <w:t>2,590,800,905.84 </w:t>
            </w:r>
          </w:p>
        </w:tc>
      </w:tr>
    </w:tbl>
    <w:p>
      <w:pPr>
        <w:pStyle w:val="Heading2"/>
        <w:spacing w:line="283" w:lineRule="exact"/>
        <w:ind w:left="224" w:right="0"/>
        <w:jc w:val="left"/>
        <w:rPr>
          <w:rFonts w:ascii="宋体" w:hAnsi="宋体" w:cs="宋体" w:eastAsia="宋体" w:hint="default"/>
        </w:rPr>
      </w:pPr>
      <w:r>
        <w:rPr>
          <w:rFonts w:ascii="宋体"/>
        </w:rPr>
        <w:t> </w:t>
      </w:r>
    </w:p>
    <w:p>
      <w:pPr>
        <w:pStyle w:val="BodyText"/>
        <w:spacing w:line="328" w:lineRule="auto" w:before="136"/>
        <w:ind w:left="224" w:right="0"/>
        <w:jc w:val="left"/>
      </w:pPr>
      <w:r>
        <w:rPr>
          <w:spacing w:val="-4"/>
          <w:w w:val="100"/>
        </w:rPr>
        <w:t>应付债券说明：经中国证券监督管理委员会下发《关于核准江苏林洋能源股份有限公司公开发行可转换公司债券的批复》（证监许可</w:t>
      </w:r>
      <w:r>
        <w:rPr>
          <w:rFonts w:ascii="Times New Roman" w:hAnsi="Times New Roman" w:cs="Times New Roman" w:eastAsia="Times New Roman" w:hint="default"/>
          <w:spacing w:val="-4"/>
          <w:w w:val="100"/>
        </w:rPr>
        <w:t>[2017]1214</w:t>
      </w:r>
      <w:r>
        <w:rPr>
          <w:rFonts w:ascii="Times New Roman" w:hAnsi="Times New Roman" w:cs="Times New Roman" w:eastAsia="Times New Roman" w:hint="default"/>
          <w:w w:val="100"/>
        </w:rPr>
        <w:t> </w:t>
      </w:r>
      <w:r>
        <w:rPr>
          <w:spacing w:val="-7"/>
          <w:w w:val="100"/>
        </w:rPr>
        <w:t>号）文件</w:t>
      </w:r>
      <w:r>
        <w:rPr>
          <w:spacing w:val="-82"/>
          <w:w w:val="100"/>
        </w:rPr>
        <w:t> </w:t>
      </w:r>
      <w:r>
        <w:rPr>
          <w:spacing w:val="-82"/>
          <w:w w:val="100"/>
        </w:rPr>
      </w:r>
      <w:r>
        <w:rPr/>
        <w:t>核准，公司向社会公开发行面值总额</w:t>
      </w:r>
      <w:r>
        <w:rPr>
          <w:spacing w:val="-54"/>
        </w:rPr>
        <w:t> </w:t>
      </w:r>
      <w:r>
        <w:rPr>
          <w:rFonts w:ascii="Times New Roman" w:hAnsi="Times New Roman" w:cs="Times New Roman" w:eastAsia="Times New Roman" w:hint="default"/>
        </w:rPr>
        <w:t>300,000</w:t>
      </w:r>
      <w:r>
        <w:rPr>
          <w:rFonts w:ascii="Times New Roman" w:hAnsi="Times New Roman" w:cs="Times New Roman" w:eastAsia="Times New Roman" w:hint="default"/>
          <w:spacing w:val="-3"/>
        </w:rPr>
        <w:t> </w:t>
      </w:r>
      <w:r>
        <w:rPr/>
        <w:t>万元的可转换公司债券，每张债券面值人民币</w:t>
      </w:r>
      <w:r>
        <w:rPr>
          <w:spacing w:val="-54"/>
        </w:rPr>
        <w:t> </w:t>
      </w:r>
      <w:r>
        <w:rPr>
          <w:rFonts w:ascii="Times New Roman" w:hAnsi="Times New Roman" w:cs="Times New Roman" w:eastAsia="Times New Roman" w:hint="default"/>
        </w:rPr>
        <w:t>100</w:t>
      </w:r>
      <w:r>
        <w:rPr>
          <w:rFonts w:ascii="Times New Roman" w:hAnsi="Times New Roman" w:cs="Times New Roman" w:eastAsia="Times New Roman" w:hint="default"/>
          <w:spacing w:val="-4"/>
        </w:rPr>
        <w:t> </w:t>
      </w:r>
      <w:r>
        <w:rPr/>
        <w:t>元，按面值发行。</w:t>
      </w:r>
    </w:p>
    <w:p>
      <w:pPr>
        <w:pStyle w:val="Heading2"/>
        <w:spacing w:line="214" w:lineRule="exact"/>
        <w:ind w:left="224" w:right="0"/>
        <w:jc w:val="left"/>
      </w:pPr>
      <w:r>
        <w:rPr/>
        <w:t>上述可转换公司债券票面利率为：第一年</w:t>
      </w:r>
      <w:r>
        <w:rPr>
          <w:spacing w:val="-59"/>
        </w:rPr>
        <w:t> </w:t>
      </w:r>
      <w:r>
        <w:rPr>
          <w:rFonts w:ascii="宋体" w:hAnsi="宋体" w:cs="宋体" w:eastAsia="宋体" w:hint="default"/>
        </w:rPr>
        <w:t>0.3%</w:t>
      </w:r>
      <w:r>
        <w:rPr/>
        <w:t>，第二年</w:t>
      </w:r>
      <w:r>
        <w:rPr>
          <w:spacing w:val="-60"/>
        </w:rPr>
        <w:t> </w:t>
      </w:r>
      <w:r>
        <w:rPr>
          <w:rFonts w:ascii="宋体" w:hAnsi="宋体" w:cs="宋体" w:eastAsia="宋体" w:hint="default"/>
        </w:rPr>
        <w:t>0.5%</w:t>
      </w:r>
      <w:r>
        <w:rPr/>
        <w:t>，第三年</w:t>
      </w:r>
      <w:r>
        <w:rPr>
          <w:spacing w:val="-60"/>
        </w:rPr>
        <w:t> </w:t>
      </w:r>
      <w:r>
        <w:rPr>
          <w:rFonts w:ascii="宋体" w:hAnsi="宋体" w:cs="宋体" w:eastAsia="宋体" w:hint="default"/>
        </w:rPr>
        <w:t>1.0%</w:t>
      </w:r>
      <w:r>
        <w:rPr/>
        <w:t>，第四年</w:t>
      </w:r>
      <w:r>
        <w:rPr>
          <w:spacing w:val="-60"/>
        </w:rPr>
        <w:t> </w:t>
      </w:r>
      <w:r>
        <w:rPr>
          <w:rFonts w:ascii="宋体" w:hAnsi="宋体" w:cs="宋体" w:eastAsia="宋体" w:hint="default"/>
        </w:rPr>
        <w:t>1.5%</w:t>
      </w:r>
      <w:r>
        <w:rPr/>
        <w:t>，第五年</w:t>
      </w:r>
      <w:r>
        <w:rPr>
          <w:spacing w:val="-60"/>
        </w:rPr>
        <w:t> </w:t>
      </w:r>
      <w:r>
        <w:rPr>
          <w:rFonts w:ascii="宋体" w:hAnsi="宋体" w:cs="宋体" w:eastAsia="宋体" w:hint="default"/>
        </w:rPr>
        <w:t>1.8%</w:t>
      </w:r>
      <w:r>
        <w:rPr/>
        <w:t>，第六年</w:t>
      </w:r>
      <w:r>
        <w:rPr>
          <w:spacing w:val="-60"/>
        </w:rPr>
        <w:t> </w:t>
      </w:r>
      <w:r>
        <w:rPr>
          <w:rFonts w:ascii="宋体" w:hAnsi="宋体" w:cs="宋体" w:eastAsia="宋体" w:hint="default"/>
        </w:rPr>
        <w:t>2.0%</w:t>
      </w:r>
      <w:r>
        <w:rPr/>
        <w:t>。每年付息一</w:t>
      </w:r>
    </w:p>
    <w:p>
      <w:pPr>
        <w:pStyle w:val="Heading2"/>
        <w:spacing w:line="240" w:lineRule="auto" w:before="12"/>
        <w:ind w:left="224" w:right="0"/>
        <w:jc w:val="left"/>
        <w:rPr>
          <w:rFonts w:ascii="宋体" w:hAnsi="宋体" w:cs="宋体" w:eastAsia="宋体" w:hint="default"/>
        </w:rPr>
      </w:pPr>
      <w:r>
        <w:rPr/>
        <w:t>次，到期归还本金和最后一年利息。</w:t>
      </w:r>
      <w:r>
        <w:rPr>
          <w:rFonts w:ascii="宋体" w:hAnsi="宋体" w:cs="宋体" w:eastAsia="宋体" w:hint="default"/>
        </w:rPr>
        <w:t> </w:t>
      </w:r>
    </w:p>
    <w:p>
      <w:pPr>
        <w:pStyle w:val="Heading2"/>
        <w:spacing w:line="240" w:lineRule="auto" w:before="12"/>
        <w:ind w:left="224" w:right="0"/>
        <w:jc w:val="left"/>
        <w:rPr>
          <w:rFonts w:ascii="宋体" w:hAnsi="宋体" w:cs="宋体" w:eastAsia="宋体" w:hint="default"/>
        </w:rPr>
      </w:pPr>
      <w:r>
        <w:rPr>
          <w:rFonts w:ascii="宋体"/>
        </w:rPr>
        <w:t> </w:t>
      </w:r>
    </w:p>
    <w:p>
      <w:pPr>
        <w:pStyle w:val="Heading3"/>
        <w:spacing w:line="240" w:lineRule="auto" w:before="95"/>
        <w:ind w:left="224" w:right="0"/>
        <w:jc w:val="left"/>
        <w:rPr>
          <w:rFonts w:ascii="宋体" w:hAnsi="宋体" w:cs="宋体" w:eastAsia="宋体" w:hint="default"/>
          <w:b w:val="0"/>
          <w:bCs w:val="0"/>
        </w:rPr>
      </w:pPr>
      <w:bookmarkStart w:name="OLE_LINK16" w:id="14"/>
      <w:bookmarkEnd w:id="14"/>
      <w:r>
        <w:rPr>
          <w:b w:val="0"/>
          <w:bCs w:val="0"/>
        </w:rPr>
      </w:r>
      <w:bookmarkStart w:name="OLE_LINK18" w:id="15"/>
      <w:bookmarkEnd w:id="15"/>
      <w:r>
        <w:rPr>
          <w:b w:val="0"/>
          <w:bCs w:val="0"/>
        </w:rPr>
      </w:r>
      <w:r>
        <w:rPr>
          <w:rFonts w:ascii="宋体" w:hAnsi="宋体" w:cs="宋体" w:eastAsia="宋体" w:hint="default"/>
        </w:rPr>
        <w:t>(3).</w:t>
      </w:r>
      <w:r>
        <w:rPr/>
        <w:t>可转换公司债券的转股条件、转股时间说明</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11"/>
        <w:ind w:left="224"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1"/>
        <w:rPr>
          <w:rFonts w:ascii="宋体" w:hAnsi="宋体" w:cs="宋体" w:eastAsia="宋体" w:hint="default"/>
          <w:sz w:val="16"/>
          <w:szCs w:val="16"/>
        </w:rPr>
      </w:pPr>
    </w:p>
    <w:p>
      <w:pPr>
        <w:pStyle w:val="BodyText"/>
        <w:spacing w:line="240" w:lineRule="auto"/>
        <w:ind w:left="224" w:right="0"/>
        <w:jc w:val="left"/>
      </w:pPr>
      <w:r>
        <w:rPr/>
        <w:t>可转换公司债券转股期限自发行结束之日起满六个月后的第一个交易日至债券到期日止。</w:t>
      </w:r>
    </w:p>
    <w:p>
      <w:pPr>
        <w:pStyle w:val="BodyText"/>
        <w:spacing w:line="240" w:lineRule="auto" w:before="87"/>
        <w:ind w:left="224" w:right="0"/>
        <w:jc w:val="left"/>
      </w:pPr>
      <w:r>
        <w:rPr/>
        <w:t>可转换公司债券初始转股价格为</w:t>
      </w:r>
      <w:r>
        <w:rPr>
          <w:spacing w:val="-54"/>
        </w:rPr>
        <w:t> </w:t>
      </w:r>
      <w:r>
        <w:rPr>
          <w:rFonts w:ascii="宋体" w:hAnsi="宋体" w:cs="宋体" w:eastAsia="宋体" w:hint="default"/>
        </w:rPr>
        <w:t>8.80</w:t>
      </w:r>
      <w:r>
        <w:rPr>
          <w:rFonts w:ascii="宋体" w:hAnsi="宋体" w:cs="宋体" w:eastAsia="宋体" w:hint="default"/>
          <w:spacing w:val="-54"/>
        </w:rPr>
        <w:t> </w:t>
      </w:r>
      <w:r>
        <w:rPr/>
        <w:t>元</w:t>
      </w:r>
      <w:r>
        <w:rPr>
          <w:rFonts w:ascii="宋体" w:hAnsi="宋体" w:cs="宋体" w:eastAsia="宋体" w:hint="default"/>
        </w:rPr>
        <w:t>/</w:t>
      </w:r>
      <w:r>
        <w:rPr/>
        <w:t>股，由于公司于</w:t>
      </w:r>
      <w:r>
        <w:rPr>
          <w:spacing w:val="-54"/>
        </w:rPr>
        <w:t> </w:t>
      </w:r>
      <w:r>
        <w:rPr>
          <w:rFonts w:ascii="宋体" w:hAnsi="宋体" w:cs="宋体" w:eastAsia="宋体" w:hint="default"/>
        </w:rPr>
        <w:t>2018</w:t>
      </w:r>
      <w:r>
        <w:rPr>
          <w:rFonts w:ascii="宋体" w:hAnsi="宋体" w:cs="宋体" w:eastAsia="宋体" w:hint="default"/>
          <w:spacing w:val="-54"/>
        </w:rPr>
        <w:t> </w:t>
      </w:r>
      <w:r>
        <w:rPr/>
        <w:t>年</w:t>
      </w:r>
      <w:r>
        <w:rPr>
          <w:spacing w:val="-56"/>
        </w:rPr>
        <w:t> </w:t>
      </w:r>
      <w:r>
        <w:rPr>
          <w:rFonts w:ascii="宋体" w:hAnsi="宋体" w:cs="宋体" w:eastAsia="宋体" w:hint="default"/>
        </w:rPr>
        <w:t>7</w:t>
      </w:r>
      <w:r>
        <w:rPr>
          <w:rFonts w:ascii="宋体" w:hAnsi="宋体" w:cs="宋体" w:eastAsia="宋体" w:hint="default"/>
          <w:spacing w:val="-54"/>
        </w:rPr>
        <w:t> </w:t>
      </w:r>
      <w:r>
        <w:rPr/>
        <w:t>月</w:t>
      </w:r>
      <w:r>
        <w:rPr>
          <w:spacing w:val="-56"/>
        </w:rPr>
        <w:t> </w:t>
      </w:r>
      <w:r>
        <w:rPr>
          <w:rFonts w:ascii="宋体" w:hAnsi="宋体" w:cs="宋体" w:eastAsia="宋体" w:hint="default"/>
        </w:rPr>
        <w:t>18</w:t>
      </w:r>
      <w:r>
        <w:rPr>
          <w:rFonts w:ascii="宋体" w:hAnsi="宋体" w:cs="宋体" w:eastAsia="宋体" w:hint="default"/>
          <w:spacing w:val="-54"/>
        </w:rPr>
        <w:t> </w:t>
      </w:r>
      <w:r>
        <w:rPr/>
        <w:t>日和</w:t>
      </w:r>
      <w:r>
        <w:rPr>
          <w:spacing w:val="-54"/>
        </w:rPr>
        <w:t> </w:t>
      </w:r>
      <w:r>
        <w:rPr>
          <w:rFonts w:ascii="宋体" w:hAnsi="宋体" w:cs="宋体" w:eastAsia="宋体" w:hint="default"/>
        </w:rPr>
        <w:t>2019</w:t>
      </w:r>
      <w:r>
        <w:rPr>
          <w:rFonts w:ascii="宋体" w:hAnsi="宋体" w:cs="宋体" w:eastAsia="宋体" w:hint="default"/>
          <w:spacing w:val="-53"/>
        </w:rPr>
        <w:t> </w:t>
      </w:r>
      <w:r>
        <w:rPr/>
        <w:t>年</w:t>
      </w:r>
      <w:r>
        <w:rPr>
          <w:spacing w:val="-56"/>
        </w:rPr>
        <w:t> </w:t>
      </w:r>
      <w:r>
        <w:rPr>
          <w:rFonts w:ascii="宋体" w:hAnsi="宋体" w:cs="宋体" w:eastAsia="宋体" w:hint="default"/>
        </w:rPr>
        <w:t>7</w:t>
      </w:r>
      <w:r>
        <w:rPr>
          <w:rFonts w:ascii="宋体" w:hAnsi="宋体" w:cs="宋体" w:eastAsia="宋体" w:hint="default"/>
          <w:spacing w:val="-54"/>
        </w:rPr>
        <w:t> </w:t>
      </w:r>
      <w:r>
        <w:rPr/>
        <w:t>月</w:t>
      </w:r>
      <w:r>
        <w:rPr>
          <w:spacing w:val="-56"/>
        </w:rPr>
        <w:t> </w:t>
      </w:r>
      <w:r>
        <w:rPr>
          <w:rFonts w:ascii="宋体" w:hAnsi="宋体" w:cs="宋体" w:eastAsia="宋体" w:hint="default"/>
        </w:rPr>
        <w:t>19</w:t>
      </w:r>
      <w:r>
        <w:rPr>
          <w:rFonts w:ascii="宋体" w:hAnsi="宋体" w:cs="宋体" w:eastAsia="宋体" w:hint="default"/>
          <w:spacing w:val="-54"/>
        </w:rPr>
        <w:t> </w:t>
      </w:r>
      <w:r>
        <w:rPr/>
        <w:t>日分别实施了</w:t>
      </w:r>
      <w:r>
        <w:rPr>
          <w:spacing w:val="-54"/>
        </w:rPr>
        <w:t> </w:t>
      </w:r>
      <w:r>
        <w:rPr>
          <w:rFonts w:ascii="宋体" w:hAnsi="宋体" w:cs="宋体" w:eastAsia="宋体" w:hint="default"/>
        </w:rPr>
        <w:t>2017</w:t>
      </w:r>
      <w:r>
        <w:rPr>
          <w:rFonts w:ascii="宋体" w:hAnsi="宋体" w:cs="宋体" w:eastAsia="宋体" w:hint="default"/>
          <w:spacing w:val="-54"/>
        </w:rPr>
        <w:t> </w:t>
      </w:r>
      <w:r>
        <w:rPr/>
        <w:t>年度权益分派方案和</w:t>
      </w:r>
      <w:r>
        <w:rPr>
          <w:spacing w:val="-53"/>
        </w:rPr>
        <w:t> </w:t>
      </w:r>
      <w:r>
        <w:rPr>
          <w:rFonts w:ascii="宋体" w:hAnsi="宋体" w:cs="宋体" w:eastAsia="宋体" w:hint="default"/>
        </w:rPr>
        <w:t>2018</w:t>
      </w:r>
      <w:r>
        <w:rPr>
          <w:rFonts w:ascii="宋体" w:hAnsi="宋体" w:cs="宋体" w:eastAsia="宋体" w:hint="default"/>
          <w:spacing w:val="-54"/>
        </w:rPr>
        <w:t> </w:t>
      </w:r>
      <w:r>
        <w:rPr/>
        <w:t>年度权益分</w:t>
      </w:r>
    </w:p>
    <w:p>
      <w:pPr>
        <w:pStyle w:val="BodyText"/>
        <w:spacing w:line="240" w:lineRule="auto" w:before="51"/>
        <w:ind w:left="224" w:right="0"/>
        <w:jc w:val="left"/>
        <w:rPr>
          <w:rFonts w:ascii="宋体" w:hAnsi="宋体" w:cs="宋体" w:eastAsia="宋体" w:hint="default"/>
        </w:rPr>
      </w:pPr>
      <w:r>
        <w:rPr/>
        <w:t>派方案，根据《募集说明书》的约定，转股价格调整为</w:t>
      </w:r>
      <w:r>
        <w:rPr>
          <w:spacing w:val="-55"/>
        </w:rPr>
        <w:t> </w:t>
      </w:r>
      <w:r>
        <w:rPr>
          <w:rFonts w:ascii="宋体" w:hAnsi="宋体" w:cs="宋体" w:eastAsia="宋体" w:hint="default"/>
        </w:rPr>
        <w:t>8.59</w:t>
      </w:r>
      <w:r>
        <w:rPr>
          <w:rFonts w:ascii="宋体" w:hAnsi="宋体" w:cs="宋体" w:eastAsia="宋体" w:hint="default"/>
          <w:spacing w:val="-57"/>
        </w:rPr>
        <w:t> </w:t>
      </w:r>
      <w:r>
        <w:rPr/>
        <w:t>元</w:t>
      </w:r>
      <w:r>
        <w:rPr>
          <w:rFonts w:ascii="宋体" w:hAnsi="宋体" w:cs="宋体" w:eastAsia="宋体" w:hint="default"/>
        </w:rPr>
        <w:t>/</w:t>
      </w:r>
      <w:r>
        <w:rPr/>
        <w:t>股。</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8"/>
          <w:szCs w:val="18"/>
        </w:rPr>
      </w:pPr>
    </w:p>
    <w:p>
      <w:pPr>
        <w:spacing w:before="0"/>
        <w:ind w:left="6790" w:right="6806" w:firstLine="0"/>
        <w:jc w:val="center"/>
        <w:rPr>
          <w:rFonts w:ascii="Calibri" w:hAnsi="Calibri" w:cs="Calibri" w:eastAsia="Calibri" w:hint="default"/>
          <w:sz w:val="18"/>
          <w:szCs w:val="18"/>
        </w:rPr>
      </w:pPr>
      <w:r>
        <w:rPr>
          <w:rFonts w:ascii="Calibri"/>
          <w:b/>
          <w:sz w:val="18"/>
        </w:rPr>
        <w:t>163 </w:t>
      </w:r>
      <w:r>
        <w:rPr>
          <w:rFonts w:ascii="Calibri"/>
          <w:sz w:val="18"/>
        </w:rPr>
        <w:t>/</w:t>
      </w:r>
      <w:r>
        <w:rPr>
          <w:rFonts w:ascii="Calibri"/>
          <w:spacing w:val="-5"/>
          <w:sz w:val="18"/>
        </w:rPr>
        <w:t> </w:t>
      </w:r>
      <w:r>
        <w:rPr>
          <w:rFonts w:ascii="Calibri"/>
          <w:b/>
          <w:sz w:val="18"/>
        </w:rPr>
        <w:t>216</w:t>
      </w:r>
      <w:r>
        <w:rPr>
          <w:rFonts w:ascii="Calibri"/>
          <w:sz w:val="18"/>
        </w:rPr>
      </w:r>
    </w:p>
    <w:p>
      <w:pPr>
        <w:spacing w:after="0"/>
        <w:jc w:val="center"/>
        <w:rPr>
          <w:rFonts w:ascii="Calibri" w:hAnsi="Calibri" w:cs="Calibri" w:eastAsia="Calibri" w:hint="default"/>
          <w:sz w:val="18"/>
          <w:szCs w:val="18"/>
        </w:rPr>
        <w:sectPr>
          <w:type w:val="continuous"/>
          <w:pgSz w:w="16840" w:h="11910" w:orient="landscape"/>
          <w:pgMar w:top="1580" w:bottom="280" w:left="1300" w:right="1200"/>
        </w:sectPr>
      </w:pPr>
    </w:p>
    <w:p>
      <w:pPr>
        <w:spacing w:line="240" w:lineRule="auto" w:before="6"/>
        <w:rPr>
          <w:rFonts w:ascii="Calibri" w:hAnsi="Calibri" w:cs="Calibri" w:eastAsia="Calibri" w:hint="default"/>
          <w:b/>
          <w:bCs/>
          <w:sz w:val="20"/>
          <w:szCs w:val="20"/>
        </w:rPr>
      </w:pPr>
    </w:p>
    <w:p>
      <w:pPr>
        <w:spacing w:after="0" w:line="240" w:lineRule="auto"/>
        <w:rPr>
          <w:rFonts w:ascii="Calibri" w:hAnsi="Calibri" w:cs="Calibri" w:eastAsia="Calibri" w:hint="default"/>
          <w:sz w:val="20"/>
          <w:szCs w:val="20"/>
        </w:rPr>
        <w:sectPr>
          <w:footerReference w:type="default" r:id="rId191"/>
          <w:pgSz w:w="11910" w:h="16840"/>
          <w:pgMar w:footer="974" w:header="0" w:top="1140" w:bottom="1160" w:left="1040" w:right="1560"/>
          <w:pgNumType w:start="164"/>
        </w:sectPr>
      </w:pPr>
    </w:p>
    <w:p>
      <w:pPr>
        <w:pStyle w:val="Heading3"/>
        <w:spacing w:line="326" w:lineRule="auto" w:before="36"/>
        <w:ind w:left="236"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(4)</w:t>
      </w:r>
      <w:r>
        <w:rPr>
          <w:rFonts w:ascii="宋体" w:hAnsi="宋体" w:cs="宋体" w:eastAsia="宋体" w:hint="default"/>
          <w:spacing w:val="5"/>
          <w:w w:val="99"/>
        </w:rPr>
        <w:t>.</w:t>
      </w:r>
      <w:r>
        <w:rPr>
          <w:w w:val="100"/>
        </w:rPr>
        <w:t>划分为金融负债的</w:t>
      </w:r>
      <w:r>
        <w:rPr>
          <w:spacing w:val="-3"/>
          <w:w w:val="100"/>
        </w:rPr>
        <w:t>其</w:t>
      </w:r>
      <w:r>
        <w:rPr>
          <w:w w:val="100"/>
        </w:rPr>
        <w:t>他</w:t>
      </w:r>
      <w:r>
        <w:rPr>
          <w:spacing w:val="-3"/>
          <w:w w:val="100"/>
        </w:rPr>
        <w:t>金</w:t>
      </w:r>
      <w:r>
        <w:rPr>
          <w:w w:val="100"/>
        </w:rPr>
        <w:t>融工具说</w:t>
      </w:r>
      <w:r>
        <w:rPr>
          <w:spacing w:val="-3"/>
          <w:w w:val="100"/>
        </w:rPr>
        <w:t>明</w:t>
      </w:r>
      <w:r>
        <w:rPr>
          <w:rFonts w:ascii="宋体" w:hAnsi="宋体" w:cs="宋体" w:eastAsia="宋体" w:hint="default"/>
          <w:w w:val="99"/>
        </w:rPr>
        <w:t> </w:t>
      </w:r>
      <w:r>
        <w:rPr>
          <w:rFonts w:ascii="宋体" w:hAnsi="宋体" w:cs="宋体" w:eastAsia="宋体" w:hint="default"/>
          <w:b w:val="0"/>
          <w:bCs w:val="0"/>
        </w:rPr>
      </w:r>
    </w:p>
    <w:p>
      <w:pPr>
        <w:pStyle w:val="Heading2"/>
        <w:spacing w:line="308" w:lineRule="exact"/>
        <w:ind w:left="236" w:right="0"/>
        <w:jc w:val="left"/>
        <w:rPr>
          <w:rFonts w:ascii="宋体" w:hAnsi="宋体" w:cs="宋体" w:eastAsia="宋体" w:hint="default"/>
        </w:rPr>
      </w:pPr>
      <w:r>
        <w:rPr/>
        <w:t>期末发行在外的优先股、永续债等其他金融工具基本情况</w:t>
      </w:r>
      <w:r>
        <w:rPr>
          <w:rFonts w:ascii="宋体" w:hAnsi="宋体" w:cs="宋体" w:eastAsia="宋体" w:hint="default"/>
        </w:rPr>
        <w:t> </w:t>
      </w:r>
    </w:p>
    <w:p>
      <w:pPr>
        <w:pStyle w:val="BodyText"/>
        <w:spacing w:line="273" w:lineRule="auto" w:before="25"/>
        <w:ind w:left="23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期末发行在外的优先股、永续债等金融工具变动情况表</w:t>
      </w:r>
      <w:r>
        <w:rPr>
          <w:rFonts w:ascii="宋体" w:hAnsi="宋体" w:cs="宋体" w:eastAsia="宋体" w:hint="default"/>
        </w:rPr>
        <w:t> </w:t>
      </w:r>
    </w:p>
    <w:p>
      <w:pPr>
        <w:pStyle w:val="BodyText"/>
        <w:spacing w:line="324" w:lineRule="auto" w:before="7"/>
        <w:ind w:left="236" w:right="578"/>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其他金融工具划分为金融负债的依据说明：</w:t>
      </w:r>
      <w:r>
        <w:rPr>
          <w:rFonts w:ascii="宋体" w:hAnsi="宋体" w:cs="宋体" w:eastAsia="宋体" w:hint="default"/>
        </w:rPr>
        <w:t> </w:t>
      </w:r>
    </w:p>
    <w:p>
      <w:pPr>
        <w:pStyle w:val="BodyText"/>
        <w:spacing w:line="324" w:lineRule="auto" w:before="23"/>
        <w:ind w:left="236" w:right="3742"/>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其他说明：</w:t>
      </w:r>
      <w:r>
        <w:rPr>
          <w:rFonts w:ascii="宋体" w:hAnsi="宋体" w:cs="宋体" w:eastAsia="宋体" w:hint="default"/>
        </w:rPr>
        <w:t> </w:t>
      </w:r>
    </w:p>
    <w:p>
      <w:pPr>
        <w:pStyle w:val="BodyText"/>
        <w:spacing w:line="240" w:lineRule="auto" w:before="23"/>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97"/>
        <w:ind w:left="236" w:right="0"/>
        <w:jc w:val="left"/>
        <w:rPr>
          <w:rFonts w:ascii="宋体" w:hAnsi="宋体" w:cs="宋体" w:eastAsia="宋体" w:hint="default"/>
        </w:rPr>
      </w:pPr>
      <w:r>
        <w:rPr>
          <w:rFonts w:ascii="宋体"/>
          <w:w w:val="100"/>
        </w:rPr>
        <w:t> </w:t>
      </w:r>
    </w:p>
    <w:p>
      <w:pPr>
        <w:pStyle w:val="Heading3"/>
        <w:spacing w:line="240" w:lineRule="auto"/>
        <w:ind w:left="236" w:right="0"/>
        <w:jc w:val="left"/>
        <w:rPr>
          <w:b w:val="0"/>
          <w:bCs w:val="0"/>
        </w:rPr>
      </w:pPr>
      <w:r>
        <w:rPr>
          <w:rFonts w:ascii="宋体" w:hAnsi="宋体" w:cs="宋体" w:eastAsia="宋体" w:hint="default"/>
        </w:rPr>
        <w:t>45</w:t>
      </w:r>
      <w:r>
        <w:rPr/>
        <w:t>、</w:t>
      </w:r>
      <w:r>
        <w:rPr>
          <w:spacing w:val="-24"/>
        </w:rPr>
        <w:t> </w:t>
      </w:r>
      <w:r>
        <w:rPr/>
        <w:t>租赁负债</w:t>
      </w:r>
      <w:r>
        <w:rPr>
          <w:b w:val="0"/>
          <w:bCs w:val="0"/>
        </w:rPr>
      </w:r>
    </w:p>
    <w:p>
      <w:pPr>
        <w:pStyle w:val="Heading2"/>
        <w:spacing w:line="240" w:lineRule="auto" w:before="69"/>
        <w:ind w:left="23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BodyText"/>
        <w:spacing w:line="240" w:lineRule="auto" w:before="25"/>
        <w:ind w:left="236" w:right="0"/>
        <w:jc w:val="left"/>
        <w:rPr>
          <w:rFonts w:ascii="宋体" w:hAnsi="宋体" w:cs="宋体" w:eastAsia="宋体" w:hint="default"/>
        </w:rPr>
      </w:pPr>
      <w:r>
        <w:rPr>
          <w:rFonts w:ascii="宋体"/>
          <w:w w:val="100"/>
        </w:rPr>
        <w:t> </w:t>
      </w:r>
    </w:p>
    <w:p>
      <w:pPr>
        <w:pStyle w:val="Heading3"/>
        <w:spacing w:line="324" w:lineRule="auto"/>
        <w:ind w:left="236" w:right="3742"/>
        <w:jc w:val="left"/>
        <w:rPr>
          <w:rFonts w:ascii="宋体" w:hAnsi="宋体" w:cs="宋体" w:eastAsia="宋体" w:hint="default"/>
          <w:b w:val="0"/>
          <w:bCs w:val="0"/>
        </w:rPr>
      </w:pPr>
      <w:r>
        <w:rPr>
          <w:rFonts w:ascii="宋体" w:hAnsi="宋体" w:cs="宋体" w:eastAsia="宋体" w:hint="default"/>
        </w:rPr>
        <w:t>46</w:t>
      </w:r>
      <w:r>
        <w:rPr/>
        <w:t>、</w:t>
      </w:r>
      <w:r>
        <w:rPr>
          <w:spacing w:val="-26"/>
        </w:rPr>
        <w:t> </w:t>
      </w:r>
      <w:r>
        <w:rPr/>
        <w:t>长期应付款</w:t>
      </w:r>
      <w:r>
        <w:rPr>
          <w:rFonts w:ascii="宋体" w:hAnsi="宋体" w:cs="宋体" w:eastAsia="宋体" w:hint="default"/>
          <w:w w:val="99"/>
        </w:rPr>
        <w:t> </w:t>
      </w:r>
      <w:r>
        <w:rPr/>
        <w:t>项目列示</w:t>
      </w:r>
      <w:r>
        <w:rPr>
          <w:rFonts w:ascii="宋体" w:hAnsi="宋体" w:cs="宋体" w:eastAsia="宋体" w:hint="default"/>
          <w:w w:val="99"/>
        </w:rPr>
        <w:t> </w:t>
      </w:r>
      <w:r>
        <w:rPr>
          <w:rFonts w:ascii="宋体" w:hAnsi="宋体" w:cs="宋体" w:eastAsia="宋体" w:hint="default"/>
          <w:b w:val="0"/>
          <w:bCs w:val="0"/>
        </w:rPr>
      </w:r>
    </w:p>
    <w:p>
      <w:pPr>
        <w:pStyle w:val="Heading2"/>
        <w:spacing w:line="310" w:lineRule="exact"/>
        <w:ind w:left="23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BodyText"/>
        <w:spacing w:line="240" w:lineRule="auto" w:before="25"/>
        <w:ind w:left="236" w:right="0"/>
        <w:jc w:val="left"/>
        <w:rPr>
          <w:rFonts w:ascii="宋体" w:hAnsi="宋体" w:cs="宋体" w:eastAsia="宋体" w:hint="default"/>
        </w:rPr>
      </w:pPr>
      <w:r>
        <w:rPr/>
        <w:t>其他说明：</w:t>
      </w:r>
      <w:r>
        <w:rPr>
          <w:rFonts w:ascii="宋体" w:hAnsi="宋体" w:cs="宋体" w:eastAsia="宋体" w:hint="default"/>
        </w:rPr>
        <w:t> </w:t>
      </w:r>
    </w:p>
    <w:p>
      <w:pPr>
        <w:pStyle w:val="BodyText"/>
        <w:spacing w:line="240" w:lineRule="auto" w:before="37"/>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324" w:lineRule="auto" w:before="37"/>
        <w:ind w:left="236" w:right="0" w:firstLine="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b/>
          <w:bCs/>
          <w:w w:val="100"/>
          <w:sz w:val="21"/>
          <w:szCs w:val="21"/>
        </w:rPr>
        <w:t>长期应付</w:t>
      </w:r>
      <w:r>
        <w:rPr>
          <w:rFonts w:ascii="宋体" w:hAnsi="宋体" w:cs="宋体" w:eastAsia="宋体" w:hint="default"/>
          <w:b/>
          <w:bCs/>
          <w:spacing w:val="-2"/>
          <w:w w:val="100"/>
          <w:sz w:val="21"/>
          <w:szCs w:val="21"/>
        </w:rPr>
        <w:t>款</w:t>
      </w:r>
      <w:r>
        <w:rPr>
          <w:rFonts w:ascii="宋体" w:hAnsi="宋体" w:cs="宋体" w:eastAsia="宋体" w:hint="default"/>
          <w:b/>
          <w:bCs/>
          <w:w w:val="99"/>
          <w:sz w:val="21"/>
          <w:szCs w:val="21"/>
        </w:rPr>
        <w:t> </w:t>
      </w:r>
      <w:r>
        <w:rPr>
          <w:rFonts w:ascii="宋体" w:hAnsi="宋体" w:cs="宋体" w:eastAsia="宋体" w:hint="default"/>
          <w:sz w:val="21"/>
          <w:szCs w:val="21"/>
        </w:rPr>
      </w:r>
    </w:p>
    <w:p>
      <w:pPr>
        <w:pStyle w:val="Heading3"/>
        <w:spacing w:line="240" w:lineRule="auto" w:before="24"/>
        <w:ind w:left="236" w:right="0"/>
        <w:jc w:val="left"/>
        <w:rPr>
          <w:rFonts w:ascii="宋体" w:hAnsi="宋体" w:cs="宋体" w:eastAsia="宋体" w:hint="default"/>
          <w:b w:val="0"/>
          <w:bCs w:val="0"/>
        </w:rPr>
      </w:pPr>
      <w:r>
        <w:rPr>
          <w:rFonts w:ascii="宋体" w:hAnsi="宋体" w:cs="宋体" w:eastAsia="宋体" w:hint="default"/>
        </w:rPr>
        <w:t>(1).</w:t>
      </w:r>
      <w:r>
        <w:rPr/>
        <w:t>按款项性质列示长期应付款</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7"/>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307" w:lineRule="auto" w:before="15"/>
        <w:ind w:left="236" w:right="0" w:firstLine="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b/>
          <w:bCs/>
          <w:w w:val="100"/>
          <w:sz w:val="21"/>
          <w:szCs w:val="21"/>
        </w:rPr>
        <w:t>专项应付</w:t>
      </w:r>
      <w:r>
        <w:rPr>
          <w:rFonts w:ascii="宋体" w:hAnsi="宋体" w:cs="宋体" w:eastAsia="宋体" w:hint="default"/>
          <w:b/>
          <w:bCs/>
          <w:spacing w:val="-2"/>
          <w:w w:val="100"/>
          <w:sz w:val="21"/>
          <w:szCs w:val="21"/>
        </w:rPr>
        <w:t>款</w:t>
      </w:r>
      <w:r>
        <w:rPr>
          <w:rFonts w:ascii="宋体" w:hAnsi="宋体" w:cs="宋体" w:eastAsia="宋体" w:hint="default"/>
          <w:b/>
          <w:bCs/>
          <w:w w:val="99"/>
          <w:sz w:val="21"/>
          <w:szCs w:val="21"/>
        </w:rPr>
        <w:t> </w:t>
      </w:r>
      <w:r>
        <w:rPr>
          <w:rFonts w:ascii="宋体" w:hAnsi="宋体" w:cs="宋体" w:eastAsia="宋体" w:hint="default"/>
          <w:sz w:val="21"/>
          <w:szCs w:val="21"/>
        </w:rPr>
      </w:r>
    </w:p>
    <w:p>
      <w:pPr>
        <w:pStyle w:val="Heading3"/>
        <w:spacing w:line="240" w:lineRule="auto" w:before="38"/>
        <w:ind w:left="236" w:right="0"/>
        <w:jc w:val="left"/>
        <w:rPr>
          <w:rFonts w:ascii="宋体" w:hAnsi="宋体" w:cs="宋体" w:eastAsia="宋体" w:hint="default"/>
          <w:b w:val="0"/>
          <w:bCs w:val="0"/>
        </w:rPr>
      </w:pPr>
      <w:r>
        <w:rPr>
          <w:rFonts w:ascii="宋体" w:hAnsi="宋体" w:cs="宋体" w:eastAsia="宋体" w:hint="default"/>
        </w:rPr>
        <w:t>(2).</w:t>
      </w:r>
      <w:r>
        <w:rPr/>
        <w:t>按款项性质列示专项应付款</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7"/>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15"/>
        <w:ind w:left="236" w:right="0"/>
        <w:jc w:val="left"/>
        <w:rPr>
          <w:rFonts w:ascii="宋体" w:hAnsi="宋体" w:cs="宋体" w:eastAsia="宋体" w:hint="default"/>
        </w:rPr>
      </w:pPr>
      <w:r>
        <w:rPr>
          <w:rFonts w:ascii="宋体"/>
          <w:w w:val="100"/>
        </w:rPr>
        <w:t> </w:t>
      </w:r>
    </w:p>
    <w:p>
      <w:pPr>
        <w:pStyle w:val="Heading3"/>
        <w:spacing w:line="240" w:lineRule="auto" w:before="80"/>
        <w:ind w:left="236" w:right="0"/>
        <w:jc w:val="left"/>
        <w:rPr>
          <w:b w:val="0"/>
          <w:bCs w:val="0"/>
        </w:rPr>
      </w:pPr>
      <w:r>
        <w:rPr>
          <w:rFonts w:ascii="宋体" w:hAnsi="宋体" w:cs="宋体" w:eastAsia="宋体" w:hint="default"/>
        </w:rPr>
        <w:t>47</w:t>
      </w:r>
      <w:r>
        <w:rPr/>
        <w:t>、</w:t>
      </w:r>
      <w:r>
        <w:rPr>
          <w:spacing w:val="-23"/>
        </w:rPr>
        <w:t> </w:t>
      </w:r>
      <w:r>
        <w:rPr/>
        <w:t>长期应付职工薪酬</w:t>
      </w:r>
      <w:r>
        <w:rPr>
          <w:b w:val="0"/>
          <w:bCs w:val="0"/>
        </w:rPr>
      </w:r>
    </w:p>
    <w:p>
      <w:pPr>
        <w:pStyle w:val="BodyText"/>
        <w:spacing w:line="240" w:lineRule="auto" w:before="97"/>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left="236" w:right="0"/>
        <w:jc w:val="left"/>
        <w:rPr>
          <w:rFonts w:ascii="宋体" w:hAnsi="宋体" w:cs="宋体" w:eastAsia="宋体" w:hint="default"/>
        </w:rPr>
      </w:pPr>
      <w:r>
        <w:rPr>
          <w:rFonts w:ascii="宋体"/>
          <w:w w:val="100"/>
        </w:rPr>
        <w:t> </w:t>
      </w:r>
    </w:p>
    <w:p>
      <w:pPr>
        <w:pStyle w:val="Heading3"/>
        <w:spacing w:line="240" w:lineRule="auto"/>
        <w:ind w:left="236" w:right="0"/>
        <w:jc w:val="left"/>
        <w:rPr>
          <w:rFonts w:ascii="宋体" w:hAnsi="宋体" w:cs="宋体" w:eastAsia="宋体" w:hint="default"/>
          <w:b w:val="0"/>
          <w:bCs w:val="0"/>
        </w:rPr>
      </w:pPr>
      <w:r>
        <w:rPr>
          <w:rFonts w:ascii="宋体" w:hAnsi="宋体" w:cs="宋体" w:eastAsia="宋体" w:hint="default"/>
        </w:rPr>
        <w:t>48</w:t>
      </w:r>
      <w:r>
        <w:rPr/>
        <w:t>、</w:t>
      </w:r>
      <w:r>
        <w:rPr>
          <w:spacing w:val="-27"/>
        </w:rPr>
        <w:t> </w:t>
      </w:r>
      <w:r>
        <w:rPr/>
        <w:t>预计负债</w:t>
      </w:r>
      <w:r>
        <w:rPr>
          <w:rFonts w:ascii="宋体" w:hAnsi="宋体" w:cs="宋体" w:eastAsia="宋体" w:hint="default"/>
          <w:w w:val="99"/>
        </w:rPr>
        <w:t> </w:t>
      </w:r>
      <w:r>
        <w:rPr>
          <w:rFonts w:ascii="宋体" w:hAnsi="宋体" w:cs="宋体" w:eastAsia="宋体" w:hint="default"/>
          <w:b w:val="0"/>
          <w:bCs w:val="0"/>
        </w:rPr>
      </w:r>
    </w:p>
    <w:p>
      <w:pPr>
        <w:pStyle w:val="Heading2"/>
        <w:spacing w:line="240" w:lineRule="auto" w:before="69"/>
        <w:ind w:left="23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BodyText"/>
        <w:spacing w:line="240" w:lineRule="auto" w:before="25"/>
        <w:ind w:left="236" w:right="0"/>
        <w:jc w:val="left"/>
        <w:rPr>
          <w:rFonts w:ascii="宋体" w:hAnsi="宋体" w:cs="宋体" w:eastAsia="宋体" w:hint="default"/>
        </w:rPr>
      </w:pPr>
      <w:r>
        <w:rPr>
          <w:rFonts w:ascii="宋体"/>
          <w:w w:val="100"/>
        </w:rPr>
        <w:t> </w:t>
      </w:r>
    </w:p>
    <w:p>
      <w:pPr>
        <w:spacing w:line="324" w:lineRule="auto" w:before="97"/>
        <w:ind w:left="236" w:right="3742" w:firstLine="0"/>
        <w:jc w:val="left"/>
        <w:rPr>
          <w:rFonts w:ascii="宋体" w:hAnsi="宋体" w:cs="宋体" w:eastAsia="宋体" w:hint="default"/>
          <w:sz w:val="21"/>
          <w:szCs w:val="21"/>
        </w:rPr>
      </w:pPr>
      <w:r>
        <w:rPr>
          <w:rFonts w:ascii="宋体" w:hAnsi="宋体" w:cs="宋体" w:eastAsia="宋体" w:hint="default"/>
          <w:b/>
          <w:bCs/>
          <w:sz w:val="21"/>
          <w:szCs w:val="21"/>
        </w:rPr>
        <w:t>49</w:t>
      </w:r>
      <w:r>
        <w:rPr>
          <w:rFonts w:ascii="宋体" w:hAnsi="宋体" w:cs="宋体" w:eastAsia="宋体" w:hint="default"/>
          <w:b/>
          <w:bCs/>
          <w:sz w:val="21"/>
          <w:szCs w:val="21"/>
        </w:rPr>
        <w:t>、</w:t>
      </w:r>
      <w:r>
        <w:rPr>
          <w:rFonts w:ascii="宋体" w:hAnsi="宋体" w:cs="宋体" w:eastAsia="宋体" w:hint="default"/>
          <w:b/>
          <w:bCs/>
          <w:spacing w:val="-26"/>
          <w:sz w:val="21"/>
          <w:szCs w:val="21"/>
        </w:rPr>
        <w:t> </w:t>
      </w:r>
      <w:r>
        <w:rPr>
          <w:rFonts w:ascii="宋体" w:hAnsi="宋体" w:cs="宋体" w:eastAsia="宋体" w:hint="default"/>
          <w:b/>
          <w:bCs/>
          <w:sz w:val="21"/>
          <w:szCs w:val="21"/>
        </w:rPr>
        <w:t>递延收益</w:t>
      </w:r>
      <w:r>
        <w:rPr>
          <w:rFonts w:ascii="宋体" w:hAnsi="宋体" w:cs="宋体" w:eastAsia="宋体" w:hint="default"/>
          <w:b/>
          <w:bCs/>
          <w:w w:val="99"/>
          <w:sz w:val="21"/>
          <w:szCs w:val="21"/>
        </w:rPr>
        <w:t> </w:t>
      </w:r>
      <w:r>
        <w:rPr>
          <w:rFonts w:ascii="宋体" w:hAnsi="宋体" w:cs="宋体" w:eastAsia="宋体" w:hint="default"/>
          <w:sz w:val="21"/>
          <w:szCs w:val="21"/>
        </w:rPr>
        <w:t>递延收益情况</w:t>
      </w:r>
      <w:r>
        <w:rPr>
          <w:rFonts w:ascii="宋体" w:hAnsi="宋体" w:cs="宋体" w:eastAsia="宋体" w:hint="default"/>
          <w:sz w:val="21"/>
          <w:szCs w:val="21"/>
        </w:rPr>
        <w:t> </w:t>
      </w:r>
    </w:p>
    <w:p>
      <w:pPr>
        <w:pStyle w:val="BodyText"/>
        <w:spacing w:line="239" w:lineRule="exact"/>
        <w:ind w:left="236"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9"/>
          <w:szCs w:val="29"/>
        </w:rPr>
      </w:pPr>
    </w:p>
    <w:p>
      <w:pPr>
        <w:pStyle w:val="BodyText"/>
        <w:spacing w:line="240" w:lineRule="auto"/>
        <w:ind w:left="236" w:right="0"/>
        <w:jc w:val="left"/>
        <w:rPr>
          <w:rFonts w:ascii="宋体" w:hAnsi="宋体" w:cs="宋体" w:eastAsia="宋体" w:hint="default"/>
        </w:rPr>
      </w:pPr>
      <w:r>
        <w:rPr/>
        <w:t>单位：元币种：人民币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580" w:bottom="280" w:left="1040" w:right="1560"/>
          <w:cols w:num="2" w:equalWidth="0">
            <w:col w:w="6359" w:space="375"/>
            <w:col w:w="2576"/>
          </w:cols>
        </w:sectPr>
      </w:pPr>
    </w:p>
    <w:p>
      <w:pPr>
        <w:spacing w:line="240" w:lineRule="auto" w:before="10"/>
        <w:rPr>
          <w:rFonts w:ascii="宋体" w:hAnsi="宋体" w:cs="宋体" w:eastAsia="宋体" w:hint="default"/>
          <w:sz w:val="3"/>
          <w:szCs w:val="3"/>
        </w:rPr>
      </w:pPr>
    </w:p>
    <w:tbl>
      <w:tblPr>
        <w:tblW w:w="0" w:type="auto"/>
        <w:jc w:val="left"/>
        <w:tblInd w:w="119" w:type="dxa"/>
        <w:tblLayout w:type="fixed"/>
        <w:tblCellMar>
          <w:top w:w="0" w:type="dxa"/>
          <w:left w:w="0" w:type="dxa"/>
          <w:bottom w:w="0" w:type="dxa"/>
          <w:right w:w="0" w:type="dxa"/>
        </w:tblCellMar>
        <w:tblLook w:val="01E0"/>
      </w:tblPr>
      <w:tblGrid>
        <w:gridCol w:w="1220"/>
        <w:gridCol w:w="1834"/>
        <w:gridCol w:w="1174"/>
        <w:gridCol w:w="1712"/>
        <w:gridCol w:w="1834"/>
        <w:gridCol w:w="1289"/>
      </w:tblGrid>
      <w:tr>
        <w:trPr>
          <w:trHeight w:val="346" w:hRule="exact"/>
        </w:trPr>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94" w:right="0"/>
              <w:jc w:val="left"/>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91"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60" w:right="0"/>
              <w:jc w:val="left"/>
              <w:rPr>
                <w:rFonts w:ascii="宋体" w:hAnsi="宋体" w:cs="宋体" w:eastAsia="宋体" w:hint="default"/>
                <w:sz w:val="21"/>
                <w:szCs w:val="21"/>
              </w:rPr>
            </w:pPr>
            <w:r>
              <w:rPr>
                <w:rFonts w:ascii="宋体" w:hAnsi="宋体" w:cs="宋体" w:eastAsia="宋体" w:hint="default"/>
                <w:sz w:val="21"/>
                <w:szCs w:val="21"/>
              </w:rPr>
              <w:t>本期增加</w:t>
            </w:r>
            <w:r>
              <w:rPr>
                <w:rFonts w:ascii="宋体" w:hAnsi="宋体" w:cs="宋体" w:eastAsia="宋体" w:hint="default"/>
                <w:sz w:val="21"/>
                <w:szCs w:val="21"/>
              </w:rPr>
              <w:t> </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29" w:right="0"/>
              <w:jc w:val="left"/>
              <w:rPr>
                <w:rFonts w:ascii="宋体" w:hAnsi="宋体" w:cs="宋体" w:eastAsia="宋体" w:hint="default"/>
                <w:sz w:val="21"/>
                <w:szCs w:val="21"/>
              </w:rPr>
            </w:pPr>
            <w:r>
              <w:rPr>
                <w:rFonts w:ascii="宋体" w:hAnsi="宋体" w:cs="宋体" w:eastAsia="宋体" w:hint="default"/>
                <w:sz w:val="21"/>
                <w:szCs w:val="21"/>
              </w:rPr>
              <w:t>本期减少</w:t>
            </w:r>
            <w:r>
              <w:rPr>
                <w:rFonts w:ascii="宋体" w:hAnsi="宋体" w:cs="宋体" w:eastAsia="宋体" w:hint="default"/>
                <w:sz w:val="21"/>
                <w:szCs w:val="21"/>
              </w:rPr>
              <w:t> </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89"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19" w:right="0"/>
              <w:jc w:val="left"/>
              <w:rPr>
                <w:rFonts w:ascii="宋体" w:hAnsi="宋体" w:cs="宋体" w:eastAsia="宋体" w:hint="default"/>
                <w:sz w:val="21"/>
                <w:szCs w:val="21"/>
              </w:rPr>
            </w:pPr>
            <w:r>
              <w:rPr>
                <w:rFonts w:ascii="宋体" w:hAnsi="宋体" w:cs="宋体" w:eastAsia="宋体" w:hint="default"/>
                <w:sz w:val="21"/>
                <w:szCs w:val="21"/>
              </w:rPr>
              <w:t>形成原因</w:t>
            </w:r>
            <w:r>
              <w:rPr>
                <w:rFonts w:ascii="宋体" w:hAnsi="宋体" w:cs="宋体" w:eastAsia="宋体" w:hint="default"/>
                <w:sz w:val="21"/>
                <w:szCs w:val="21"/>
              </w:rPr>
              <w:t> </w:t>
            </w:r>
          </w:p>
        </w:tc>
      </w:tr>
    </w:tbl>
    <w:p>
      <w:pPr>
        <w:spacing w:after="0" w:line="274" w:lineRule="exact"/>
        <w:jc w:val="left"/>
        <w:rPr>
          <w:rFonts w:ascii="宋体" w:hAnsi="宋体" w:cs="宋体" w:eastAsia="宋体" w:hint="default"/>
          <w:sz w:val="21"/>
          <w:szCs w:val="21"/>
        </w:rPr>
        <w:sectPr>
          <w:type w:val="continuous"/>
          <w:pgSz w:w="11910" w:h="16840"/>
          <w:pgMar w:top="1580" w:bottom="280" w:left="1040" w:right="1560"/>
        </w:sectPr>
      </w:pPr>
    </w:p>
    <w:p>
      <w:pPr>
        <w:spacing w:line="240" w:lineRule="auto" w:before="11"/>
        <w:rPr>
          <w:rFonts w:ascii="宋体" w:hAnsi="宋体" w:cs="宋体" w:eastAsia="宋体" w:hint="default"/>
          <w:sz w:val="22"/>
          <w:szCs w:val="22"/>
        </w:rPr>
      </w:pPr>
    </w:p>
    <w:tbl>
      <w:tblPr>
        <w:tblW w:w="0" w:type="auto"/>
        <w:jc w:val="left"/>
        <w:tblInd w:w="519" w:type="dxa"/>
        <w:tblLayout w:type="fixed"/>
        <w:tblCellMar>
          <w:top w:w="0" w:type="dxa"/>
          <w:left w:w="0" w:type="dxa"/>
          <w:bottom w:w="0" w:type="dxa"/>
          <w:right w:w="0" w:type="dxa"/>
        </w:tblCellMar>
        <w:tblLook w:val="01E0"/>
      </w:tblPr>
      <w:tblGrid>
        <w:gridCol w:w="1220"/>
        <w:gridCol w:w="1834"/>
        <w:gridCol w:w="1174"/>
        <w:gridCol w:w="1712"/>
        <w:gridCol w:w="1834"/>
        <w:gridCol w:w="1289"/>
      </w:tblGrid>
      <w:tr>
        <w:trPr>
          <w:trHeight w:val="322" w:hRule="exact"/>
        </w:trPr>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8" w:right="0"/>
              <w:jc w:val="left"/>
              <w:rPr>
                <w:rFonts w:ascii="宋体" w:hAnsi="宋体" w:cs="宋体" w:eastAsia="宋体" w:hint="default"/>
                <w:sz w:val="21"/>
                <w:szCs w:val="21"/>
              </w:rPr>
            </w:pPr>
            <w:r>
              <w:rPr>
                <w:rFonts w:ascii="宋体" w:hAnsi="宋体" w:cs="宋体" w:eastAsia="宋体" w:hint="default"/>
                <w:sz w:val="21"/>
                <w:szCs w:val="21"/>
              </w:rPr>
              <w:t>政府补助</w:t>
            </w:r>
            <w:r>
              <w:rPr>
                <w:rFonts w:ascii="宋体" w:hAnsi="宋体" w:cs="宋体" w:eastAsia="宋体" w:hint="default"/>
                <w:sz w:val="21"/>
                <w:szCs w:val="21"/>
              </w:rPr>
              <w:t> </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right"/>
              <w:rPr>
                <w:rFonts w:ascii="宋体" w:hAnsi="宋体" w:cs="宋体" w:eastAsia="宋体" w:hint="default"/>
                <w:sz w:val="21"/>
                <w:szCs w:val="21"/>
              </w:rPr>
            </w:pPr>
            <w:r>
              <w:rPr>
                <w:rFonts w:ascii="宋体"/>
                <w:spacing w:val="-1"/>
                <w:sz w:val="21"/>
              </w:rPr>
              <w:t>20,062,060.70</w:t>
            </w:r>
            <w:r>
              <w:rPr>
                <w:rFonts w:ascii="宋体"/>
                <w:sz w:val="21"/>
              </w:rPr>
              <w:t> </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right"/>
              <w:rPr>
                <w:rFonts w:ascii="宋体" w:hAnsi="宋体" w:cs="宋体" w:eastAsia="宋体" w:hint="default"/>
                <w:sz w:val="21"/>
                <w:szCs w:val="21"/>
              </w:rPr>
            </w:pPr>
            <w:r>
              <w:rPr>
                <w:rFonts w:ascii="宋体"/>
                <w:w w:val="100"/>
                <w:sz w:val="21"/>
              </w:rPr>
              <w:t> </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
              <w:jc w:val="right"/>
              <w:rPr>
                <w:rFonts w:ascii="宋体" w:hAnsi="宋体" w:cs="宋体" w:eastAsia="宋体" w:hint="default"/>
                <w:sz w:val="21"/>
                <w:szCs w:val="21"/>
              </w:rPr>
            </w:pPr>
            <w:r>
              <w:rPr>
                <w:rFonts w:ascii="宋体"/>
                <w:spacing w:val="-1"/>
                <w:sz w:val="21"/>
              </w:rPr>
              <w:t>1,882,142.00</w:t>
            </w:r>
            <w:r>
              <w:rPr>
                <w:rFonts w:ascii="宋体"/>
                <w:sz w:val="21"/>
              </w:rPr>
              <w:t> </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
              <w:jc w:val="right"/>
              <w:rPr>
                <w:rFonts w:ascii="宋体" w:hAnsi="宋体" w:cs="宋体" w:eastAsia="宋体" w:hint="default"/>
                <w:sz w:val="21"/>
                <w:szCs w:val="21"/>
              </w:rPr>
            </w:pPr>
            <w:r>
              <w:rPr>
                <w:rFonts w:ascii="宋体"/>
                <w:spacing w:val="-1"/>
                <w:sz w:val="21"/>
              </w:rPr>
              <w:t>18,179,918.70</w:t>
            </w:r>
            <w:r>
              <w:rPr>
                <w:rFonts w:ascii="宋体"/>
                <w:sz w:val="21"/>
              </w:rPr>
              <w:t> </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8" w:right="0"/>
              <w:jc w:val="left"/>
              <w:rPr>
                <w:rFonts w:ascii="宋体" w:hAnsi="宋体" w:cs="宋体" w:eastAsia="宋体" w:hint="default"/>
                <w:sz w:val="21"/>
                <w:szCs w:val="21"/>
              </w:rPr>
            </w:pPr>
            <w:r>
              <w:rPr>
                <w:rFonts w:ascii="宋体"/>
                <w:w w:val="100"/>
                <w:sz w:val="21"/>
              </w:rPr>
              <w:t> </w:t>
            </w:r>
          </w:p>
        </w:tc>
      </w:tr>
      <w:tr>
        <w:trPr>
          <w:trHeight w:val="322" w:hRule="exact"/>
        </w:trPr>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94"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right"/>
              <w:rPr>
                <w:rFonts w:ascii="宋体" w:hAnsi="宋体" w:cs="宋体" w:eastAsia="宋体" w:hint="default"/>
                <w:sz w:val="21"/>
                <w:szCs w:val="21"/>
              </w:rPr>
            </w:pPr>
            <w:r>
              <w:rPr>
                <w:rFonts w:ascii="宋体"/>
                <w:spacing w:val="-1"/>
                <w:sz w:val="21"/>
              </w:rPr>
              <w:t>20,062,060.70</w:t>
            </w:r>
            <w:r>
              <w:rPr>
                <w:rFonts w:ascii="宋体"/>
                <w:sz w:val="21"/>
              </w:rPr>
              <w:t> </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right"/>
              <w:rPr>
                <w:rFonts w:ascii="宋体" w:hAnsi="宋体" w:cs="宋体" w:eastAsia="宋体" w:hint="default"/>
                <w:sz w:val="21"/>
                <w:szCs w:val="21"/>
              </w:rPr>
            </w:pPr>
            <w:r>
              <w:rPr>
                <w:rFonts w:ascii="宋体"/>
                <w:w w:val="100"/>
                <w:sz w:val="21"/>
              </w:rPr>
              <w:t> </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
              <w:jc w:val="right"/>
              <w:rPr>
                <w:rFonts w:ascii="宋体" w:hAnsi="宋体" w:cs="宋体" w:eastAsia="宋体" w:hint="default"/>
                <w:sz w:val="21"/>
                <w:szCs w:val="21"/>
              </w:rPr>
            </w:pPr>
            <w:r>
              <w:rPr>
                <w:rFonts w:ascii="宋体"/>
                <w:spacing w:val="-1"/>
                <w:sz w:val="21"/>
              </w:rPr>
              <w:t>1,882,142.00</w:t>
            </w:r>
            <w:r>
              <w:rPr>
                <w:rFonts w:ascii="宋体"/>
                <w:sz w:val="21"/>
              </w:rPr>
              <w:t> </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
              <w:jc w:val="right"/>
              <w:rPr>
                <w:rFonts w:ascii="宋体" w:hAnsi="宋体" w:cs="宋体" w:eastAsia="宋体" w:hint="default"/>
                <w:sz w:val="21"/>
                <w:szCs w:val="21"/>
              </w:rPr>
            </w:pPr>
            <w:r>
              <w:rPr>
                <w:rFonts w:ascii="宋体"/>
                <w:spacing w:val="-1"/>
                <w:sz w:val="21"/>
              </w:rPr>
              <w:t>18,179,918.70</w:t>
            </w:r>
            <w:r>
              <w:rPr>
                <w:rFonts w:ascii="宋体"/>
                <w:sz w:val="21"/>
              </w:rPr>
              <w:t> </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center"/>
              <w:rPr>
                <w:rFonts w:ascii="宋体" w:hAnsi="宋体" w:cs="宋体" w:eastAsia="宋体" w:hint="default"/>
                <w:sz w:val="21"/>
                <w:szCs w:val="21"/>
              </w:rPr>
            </w:pPr>
            <w:r>
              <w:rPr>
                <w:rFonts w:ascii="宋体"/>
                <w:sz w:val="21"/>
              </w:rPr>
              <w:t>/ </w:t>
            </w:r>
          </w:p>
        </w:tc>
      </w:tr>
    </w:tbl>
    <w:p>
      <w:pPr>
        <w:spacing w:after="0" w:line="262" w:lineRule="exact"/>
        <w:jc w:val="center"/>
        <w:rPr>
          <w:rFonts w:ascii="宋体" w:hAnsi="宋体" w:cs="宋体" w:eastAsia="宋体" w:hint="default"/>
          <w:sz w:val="21"/>
          <w:szCs w:val="21"/>
        </w:rPr>
        <w:sectPr>
          <w:pgSz w:w="11910" w:h="16840"/>
          <w:pgMar w:header="0" w:footer="974" w:top="1140" w:bottom="1160" w:left="640" w:right="1140"/>
        </w:sectPr>
      </w:pPr>
    </w:p>
    <w:p>
      <w:pPr>
        <w:pStyle w:val="BodyText"/>
        <w:spacing w:line="324" w:lineRule="auto"/>
        <w:ind w:left="636" w:right="0"/>
        <w:jc w:val="left"/>
        <w:rPr>
          <w:rFonts w:ascii="宋体" w:hAnsi="宋体" w:cs="宋体" w:eastAsia="宋体" w:hint="default"/>
        </w:rPr>
      </w:pPr>
      <w:r>
        <w:rPr>
          <w:rFonts w:ascii="宋体" w:hAnsi="宋体" w:cs="宋体" w:eastAsia="宋体" w:hint="default"/>
          <w:w w:val="100"/>
        </w:rPr>
        <w:t>  </w:t>
      </w:r>
      <w:r>
        <w:rPr>
          <w:w w:val="100"/>
        </w:rPr>
        <w:t>涉及</w:t>
      </w:r>
      <w:r>
        <w:rPr>
          <w:spacing w:val="-3"/>
          <w:w w:val="100"/>
        </w:rPr>
        <w:t>政</w:t>
      </w:r>
      <w:r>
        <w:rPr>
          <w:w w:val="100"/>
        </w:rPr>
        <w:t>府</w:t>
      </w:r>
      <w:r>
        <w:rPr>
          <w:spacing w:val="-3"/>
          <w:w w:val="100"/>
        </w:rPr>
        <w:t>补</w:t>
      </w:r>
      <w:r>
        <w:rPr>
          <w:w w:val="100"/>
        </w:rPr>
        <w:t>助</w:t>
      </w:r>
      <w:r>
        <w:rPr>
          <w:spacing w:val="-3"/>
          <w:w w:val="100"/>
        </w:rPr>
        <w:t>的</w:t>
      </w:r>
      <w:r>
        <w:rPr>
          <w:w w:val="100"/>
        </w:rPr>
        <w:t>项</w:t>
      </w:r>
      <w:r>
        <w:rPr>
          <w:spacing w:val="-3"/>
          <w:w w:val="100"/>
        </w:rPr>
        <w:t>目：</w:t>
      </w:r>
      <w:r>
        <w:rPr>
          <w:rFonts w:ascii="宋体" w:hAnsi="宋体" w:cs="宋体" w:eastAsia="宋体" w:hint="default"/>
          <w:w w:val="100"/>
        </w:rPr>
        <w:t> </w:t>
      </w:r>
    </w:p>
    <w:p>
      <w:pPr>
        <w:pStyle w:val="BodyText"/>
        <w:spacing w:line="240" w:lineRule="auto" w:before="23"/>
        <w:ind w:left="6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4"/>
          <w:szCs w:val="24"/>
        </w:rPr>
      </w:pPr>
    </w:p>
    <w:p>
      <w:pPr>
        <w:pStyle w:val="BodyText"/>
        <w:spacing w:line="240" w:lineRule="auto"/>
        <w:ind w:left="636" w:right="0"/>
        <w:jc w:val="left"/>
        <w:rPr>
          <w:rFonts w:ascii="宋体" w:hAnsi="宋体" w:cs="宋体" w:eastAsia="宋体" w:hint="default"/>
        </w:rPr>
      </w:pPr>
      <w:r>
        <w:rPr/>
        <w:t>单位：元币种：人民币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580" w:bottom="280" w:left="640" w:right="1140"/>
          <w:cols w:num="2" w:equalWidth="0">
            <w:col w:w="2843" w:space="3890"/>
            <w:col w:w="3397"/>
          </w:cols>
        </w:sectPr>
      </w:pPr>
    </w:p>
    <w:p>
      <w:pPr>
        <w:spacing w:line="240" w:lineRule="auto" w:before="5"/>
        <w:rPr>
          <w:rFonts w:ascii="宋体" w:hAnsi="宋体" w:cs="宋体" w:eastAsia="宋体" w:hint="default"/>
          <w:sz w:val="8"/>
          <w:szCs w:val="8"/>
        </w:rPr>
      </w:pPr>
    </w:p>
    <w:tbl>
      <w:tblPr>
        <w:tblW w:w="0" w:type="auto"/>
        <w:jc w:val="left"/>
        <w:tblInd w:w="101" w:type="dxa"/>
        <w:tblLayout w:type="fixed"/>
        <w:tblCellMar>
          <w:top w:w="0" w:type="dxa"/>
          <w:left w:w="0" w:type="dxa"/>
          <w:bottom w:w="0" w:type="dxa"/>
          <w:right w:w="0" w:type="dxa"/>
        </w:tblCellMar>
        <w:tblLook w:val="01E0"/>
      </w:tblPr>
      <w:tblGrid>
        <w:gridCol w:w="1745"/>
        <w:gridCol w:w="1457"/>
        <w:gridCol w:w="874"/>
        <w:gridCol w:w="991"/>
        <w:gridCol w:w="1378"/>
        <w:gridCol w:w="739"/>
        <w:gridCol w:w="1340"/>
        <w:gridCol w:w="1370"/>
      </w:tblGrid>
      <w:tr>
        <w:trPr>
          <w:trHeight w:val="948" w:hRule="exact"/>
        </w:trPr>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506" w:right="0"/>
              <w:jc w:val="left"/>
              <w:rPr>
                <w:rFonts w:ascii="宋体" w:hAnsi="宋体" w:cs="宋体" w:eastAsia="宋体" w:hint="default"/>
                <w:sz w:val="18"/>
                <w:szCs w:val="18"/>
              </w:rPr>
            </w:pPr>
            <w:r>
              <w:rPr>
                <w:rFonts w:ascii="宋体" w:hAnsi="宋体" w:cs="宋体" w:eastAsia="宋体" w:hint="default"/>
                <w:sz w:val="18"/>
                <w:szCs w:val="18"/>
              </w:rPr>
              <w:t>负债项目</w:t>
            </w:r>
            <w:r>
              <w:rPr>
                <w:rFonts w:ascii="宋体" w:hAnsi="宋体" w:cs="宋体" w:eastAsia="宋体" w:hint="default"/>
                <w:sz w:val="18"/>
                <w:szCs w:val="18"/>
              </w:rPr>
              <w:t> </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362"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宋体" w:hAnsi="宋体" w:cs="宋体" w:eastAsia="宋体" w:hint="default"/>
                <w:sz w:val="18"/>
                <w:szCs w:val="18"/>
              </w:rPr>
              <w:t>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58" w:right="162"/>
              <w:jc w:val="both"/>
              <w:rPr>
                <w:rFonts w:ascii="宋体" w:hAnsi="宋体" w:cs="宋体" w:eastAsia="宋体" w:hint="default"/>
                <w:sz w:val="18"/>
                <w:szCs w:val="18"/>
              </w:rPr>
            </w:pPr>
            <w:r>
              <w:rPr>
                <w:rFonts w:ascii="宋体" w:hAnsi="宋体" w:cs="宋体" w:eastAsia="宋体" w:hint="default"/>
                <w:sz w:val="18"/>
                <w:szCs w:val="18"/>
              </w:rPr>
              <w:t>本期新 增补助 金额</w:t>
            </w:r>
            <w:r>
              <w:rPr>
                <w:rFonts w:ascii="宋体" w:hAnsi="宋体" w:cs="宋体" w:eastAsia="宋体" w:hint="default"/>
                <w:sz w:val="18"/>
                <w:szCs w:val="18"/>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29" w:right="131"/>
              <w:jc w:val="both"/>
              <w:rPr>
                <w:rFonts w:ascii="宋体" w:hAnsi="宋体" w:cs="宋体" w:eastAsia="宋体" w:hint="default"/>
                <w:sz w:val="18"/>
                <w:szCs w:val="18"/>
              </w:rPr>
            </w:pPr>
            <w:r>
              <w:rPr>
                <w:rFonts w:ascii="宋体" w:hAnsi="宋体" w:cs="宋体" w:eastAsia="宋体" w:hint="default"/>
                <w:sz w:val="18"/>
                <w:szCs w:val="18"/>
              </w:rPr>
              <w:t>本期计入 营业外收 入金额</w:t>
            </w:r>
            <w:r>
              <w:rPr>
                <w:rFonts w:ascii="宋体" w:hAnsi="宋体" w:cs="宋体" w:eastAsia="宋体" w:hint="default"/>
                <w:sz w:val="18"/>
                <w:szCs w:val="18"/>
              </w:rPr>
              <w:t> </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323" w:right="142" w:hanging="180"/>
              <w:jc w:val="left"/>
              <w:rPr>
                <w:rFonts w:ascii="宋体" w:hAnsi="宋体" w:cs="宋体" w:eastAsia="宋体" w:hint="default"/>
                <w:sz w:val="18"/>
                <w:szCs w:val="18"/>
              </w:rPr>
            </w:pPr>
            <w:r>
              <w:rPr>
                <w:rFonts w:ascii="宋体" w:hAnsi="宋体" w:cs="宋体" w:eastAsia="宋体" w:hint="default"/>
                <w:sz w:val="18"/>
                <w:szCs w:val="18"/>
              </w:rPr>
              <w:t>本期计入其他 收益金额</w:t>
            </w:r>
            <w:r>
              <w:rPr>
                <w:rFonts w:ascii="宋体" w:hAnsi="宋体" w:cs="宋体" w:eastAsia="宋体" w:hint="default"/>
                <w:sz w:val="18"/>
                <w:szCs w:val="18"/>
              </w:rPr>
              <w:t> </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182" w:right="95"/>
              <w:jc w:val="left"/>
              <w:rPr>
                <w:rFonts w:ascii="宋体" w:hAnsi="宋体" w:cs="宋体" w:eastAsia="宋体" w:hint="default"/>
                <w:sz w:val="18"/>
                <w:szCs w:val="18"/>
              </w:rPr>
            </w:pPr>
            <w:r>
              <w:rPr>
                <w:rFonts w:ascii="宋体" w:hAnsi="宋体" w:cs="宋体" w:eastAsia="宋体" w:hint="default"/>
                <w:sz w:val="18"/>
                <w:szCs w:val="18"/>
              </w:rPr>
              <w:t>其他 变动</w:t>
            </w:r>
            <w:r>
              <w:rPr>
                <w:rFonts w:ascii="宋体" w:hAnsi="宋体" w:cs="宋体" w:eastAsia="宋体" w:hint="default"/>
                <w:sz w:val="18"/>
                <w:szCs w:val="18"/>
              </w:rPr>
              <w:t> </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宋体" w:hAnsi="宋体" w:cs="宋体" w:eastAsia="宋体" w:hint="default"/>
                <w:sz w:val="18"/>
                <w:szCs w:val="18"/>
              </w:rPr>
              <w:t> </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227" w:right="140" w:hanging="4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宋体" w:hAnsi="宋体" w:cs="宋体" w:eastAsia="宋体" w:hint="default"/>
                <w:sz w:val="18"/>
                <w:szCs w:val="18"/>
              </w:rPr>
              <w:t>/ </w:t>
            </w:r>
            <w:r>
              <w:rPr>
                <w:rFonts w:ascii="宋体" w:hAnsi="宋体" w:cs="宋体" w:eastAsia="宋体" w:hint="default"/>
                <w:sz w:val="18"/>
                <w:szCs w:val="18"/>
              </w:rPr>
              <w:t>与收益相关</w:t>
            </w:r>
            <w:r>
              <w:rPr>
                <w:rFonts w:ascii="宋体" w:hAnsi="宋体" w:cs="宋体" w:eastAsia="宋体" w:hint="default"/>
                <w:sz w:val="18"/>
                <w:szCs w:val="18"/>
              </w:rPr>
              <w:t> </w:t>
            </w:r>
          </w:p>
        </w:tc>
      </w:tr>
      <w:tr>
        <w:trPr>
          <w:trHeight w:val="634" w:hRule="exact"/>
        </w:trPr>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8" w:right="137"/>
              <w:jc w:val="left"/>
              <w:rPr>
                <w:rFonts w:ascii="宋体" w:hAnsi="宋体" w:cs="宋体" w:eastAsia="宋体" w:hint="default"/>
                <w:sz w:val="18"/>
                <w:szCs w:val="18"/>
              </w:rPr>
            </w:pPr>
            <w:r>
              <w:rPr>
                <w:rFonts w:ascii="宋体" w:hAnsi="宋体" w:cs="宋体" w:eastAsia="宋体" w:hint="default"/>
                <w:sz w:val="18"/>
                <w:szCs w:val="18"/>
              </w:rPr>
              <w:t>2MWp</w:t>
            </w:r>
            <w:r>
              <w:rPr>
                <w:rFonts w:ascii="宋体" w:hAnsi="宋体" w:cs="宋体" w:eastAsia="宋体" w:hint="default"/>
                <w:spacing w:val="-43"/>
                <w:sz w:val="18"/>
                <w:szCs w:val="18"/>
              </w:rPr>
              <w:t> </w:t>
            </w:r>
            <w:r>
              <w:rPr>
                <w:rFonts w:ascii="宋体" w:hAnsi="宋体" w:cs="宋体" w:eastAsia="宋体" w:hint="default"/>
                <w:sz w:val="18"/>
                <w:szCs w:val="18"/>
              </w:rPr>
              <w:t>屋顶光伏发电 项目拨款</w:t>
            </w:r>
            <w:r>
              <w:rPr>
                <w:rFonts w:ascii="宋体" w:hAnsi="宋体" w:cs="宋体" w:eastAsia="宋体" w:hint="default"/>
                <w:sz w:val="18"/>
                <w:szCs w:val="18"/>
              </w:rPr>
              <w:t> </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6"/>
              <w:jc w:val="right"/>
              <w:rPr>
                <w:rFonts w:ascii="宋体" w:hAnsi="宋体" w:cs="宋体" w:eastAsia="宋体" w:hint="default"/>
                <w:sz w:val="18"/>
                <w:szCs w:val="18"/>
              </w:rPr>
            </w:pPr>
            <w:r>
              <w:rPr>
                <w:rFonts w:ascii="宋体"/>
                <w:spacing w:val="-1"/>
                <w:sz w:val="18"/>
              </w:rPr>
              <w:t>7,885,883.46</w:t>
            </w:r>
            <w:r>
              <w:rPr>
                <w:rFonts w:ascii="宋体"/>
                <w:sz w:val="18"/>
              </w:rPr>
              <w:t>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8"/>
              <w:jc w:val="right"/>
              <w:rPr>
                <w:rFonts w:ascii="宋体" w:hAnsi="宋体" w:cs="宋体" w:eastAsia="宋体" w:hint="default"/>
                <w:sz w:val="18"/>
                <w:szCs w:val="18"/>
              </w:rPr>
            </w:pPr>
            <w:r>
              <w:rPr>
                <w:rFonts w:ascii="宋体"/>
                <w:sz w:val="18"/>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7"/>
              <w:jc w:val="right"/>
              <w:rPr>
                <w:rFonts w:ascii="宋体" w:hAnsi="宋体" w:cs="宋体" w:eastAsia="宋体" w:hint="default"/>
                <w:sz w:val="18"/>
                <w:szCs w:val="18"/>
              </w:rPr>
            </w:pPr>
            <w:r>
              <w:rPr>
                <w:rFonts w:ascii="宋体"/>
                <w:sz w:val="18"/>
              </w:rPr>
              <w:t> </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7"/>
              <w:jc w:val="right"/>
              <w:rPr>
                <w:rFonts w:ascii="宋体" w:hAnsi="宋体" w:cs="宋体" w:eastAsia="宋体" w:hint="default"/>
                <w:sz w:val="18"/>
                <w:szCs w:val="18"/>
              </w:rPr>
            </w:pPr>
            <w:r>
              <w:rPr>
                <w:rFonts w:ascii="宋体"/>
                <w:spacing w:val="-1"/>
                <w:sz w:val="18"/>
              </w:rPr>
              <w:t>404,531.88 </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8"/>
              <w:jc w:val="right"/>
              <w:rPr>
                <w:rFonts w:ascii="宋体" w:hAnsi="宋体" w:cs="宋体" w:eastAsia="宋体" w:hint="default"/>
                <w:sz w:val="18"/>
                <w:szCs w:val="18"/>
              </w:rPr>
            </w:pPr>
            <w:r>
              <w:rPr>
                <w:rFonts w:ascii="宋体"/>
                <w:sz w:val="18"/>
              </w:rPr>
              <w:t> </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7"/>
              <w:jc w:val="right"/>
              <w:rPr>
                <w:rFonts w:ascii="宋体" w:hAnsi="宋体" w:cs="宋体" w:eastAsia="宋体" w:hint="default"/>
                <w:sz w:val="18"/>
                <w:szCs w:val="18"/>
              </w:rPr>
            </w:pPr>
            <w:r>
              <w:rPr>
                <w:rFonts w:ascii="宋体"/>
                <w:spacing w:val="-1"/>
                <w:sz w:val="18"/>
              </w:rPr>
              <w:t>7,481,351.58 </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07" w:right="0"/>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宋体" w:hAnsi="宋体" w:cs="宋体" w:eastAsia="宋体" w:hint="default"/>
                <w:sz w:val="18"/>
                <w:szCs w:val="18"/>
              </w:rPr>
              <w:t> </w:t>
            </w:r>
          </w:p>
        </w:tc>
      </w:tr>
      <w:tr>
        <w:trPr>
          <w:trHeight w:val="634" w:hRule="exact"/>
        </w:trPr>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8" w:right="185"/>
              <w:jc w:val="left"/>
              <w:rPr>
                <w:rFonts w:ascii="宋体" w:hAnsi="宋体" w:cs="宋体" w:eastAsia="宋体" w:hint="default"/>
                <w:sz w:val="18"/>
                <w:szCs w:val="18"/>
              </w:rPr>
            </w:pPr>
            <w:r>
              <w:rPr>
                <w:rFonts w:ascii="宋体" w:hAnsi="宋体" w:cs="宋体" w:eastAsia="宋体" w:hint="default"/>
                <w:sz w:val="18"/>
                <w:szCs w:val="18"/>
              </w:rPr>
              <w:t>公共租赁住房项目 拨款</w:t>
            </w:r>
            <w:r>
              <w:rPr>
                <w:rFonts w:ascii="宋体" w:hAnsi="宋体" w:cs="宋体" w:eastAsia="宋体" w:hint="default"/>
                <w:sz w:val="18"/>
                <w:szCs w:val="18"/>
              </w:rPr>
              <w:t> </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6"/>
              <w:jc w:val="right"/>
              <w:rPr>
                <w:rFonts w:ascii="宋体" w:hAnsi="宋体" w:cs="宋体" w:eastAsia="宋体" w:hint="default"/>
                <w:sz w:val="18"/>
                <w:szCs w:val="18"/>
              </w:rPr>
            </w:pPr>
            <w:r>
              <w:rPr>
                <w:rFonts w:ascii="宋体"/>
                <w:spacing w:val="-1"/>
                <w:sz w:val="18"/>
              </w:rPr>
              <w:t>2,519,853.97</w:t>
            </w:r>
            <w:r>
              <w:rPr>
                <w:rFonts w:ascii="宋体"/>
                <w:sz w:val="18"/>
              </w:rPr>
              <w:t>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8"/>
              <w:jc w:val="right"/>
              <w:rPr>
                <w:rFonts w:ascii="宋体" w:hAnsi="宋体" w:cs="宋体" w:eastAsia="宋体" w:hint="default"/>
                <w:sz w:val="18"/>
                <w:szCs w:val="18"/>
              </w:rPr>
            </w:pPr>
            <w:r>
              <w:rPr>
                <w:rFonts w:ascii="宋体"/>
                <w:sz w:val="18"/>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7"/>
              <w:jc w:val="right"/>
              <w:rPr>
                <w:rFonts w:ascii="宋体" w:hAnsi="宋体" w:cs="宋体" w:eastAsia="宋体" w:hint="default"/>
                <w:sz w:val="18"/>
                <w:szCs w:val="18"/>
              </w:rPr>
            </w:pPr>
            <w:r>
              <w:rPr>
                <w:rFonts w:ascii="宋体"/>
                <w:sz w:val="18"/>
              </w:rPr>
              <w:t> </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7"/>
              <w:jc w:val="right"/>
              <w:rPr>
                <w:rFonts w:ascii="宋体" w:hAnsi="宋体" w:cs="宋体" w:eastAsia="宋体" w:hint="default"/>
                <w:sz w:val="18"/>
                <w:szCs w:val="18"/>
              </w:rPr>
            </w:pPr>
            <w:r>
              <w:rPr>
                <w:rFonts w:ascii="宋体"/>
                <w:spacing w:val="-1"/>
                <w:sz w:val="18"/>
              </w:rPr>
              <w:t>172,790.04 </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8"/>
              <w:jc w:val="right"/>
              <w:rPr>
                <w:rFonts w:ascii="宋体" w:hAnsi="宋体" w:cs="宋体" w:eastAsia="宋体" w:hint="default"/>
                <w:sz w:val="18"/>
                <w:szCs w:val="18"/>
              </w:rPr>
            </w:pPr>
            <w:r>
              <w:rPr>
                <w:rFonts w:ascii="宋体"/>
                <w:sz w:val="18"/>
              </w:rPr>
              <w:t> </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7"/>
              <w:jc w:val="right"/>
              <w:rPr>
                <w:rFonts w:ascii="宋体" w:hAnsi="宋体" w:cs="宋体" w:eastAsia="宋体" w:hint="default"/>
                <w:sz w:val="18"/>
                <w:szCs w:val="18"/>
              </w:rPr>
            </w:pPr>
            <w:r>
              <w:rPr>
                <w:rFonts w:ascii="宋体"/>
                <w:spacing w:val="-1"/>
                <w:sz w:val="18"/>
              </w:rPr>
              <w:t>2,347,063.93 </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07" w:right="0"/>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宋体" w:hAnsi="宋体" w:cs="宋体" w:eastAsia="宋体" w:hint="default"/>
                <w:sz w:val="18"/>
                <w:szCs w:val="18"/>
              </w:rPr>
              <w:t> </w:t>
            </w:r>
          </w:p>
        </w:tc>
      </w:tr>
      <w:tr>
        <w:trPr>
          <w:trHeight w:val="634" w:hRule="exact"/>
        </w:trPr>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8" w:right="185"/>
              <w:jc w:val="left"/>
              <w:rPr>
                <w:rFonts w:ascii="宋体" w:hAnsi="宋体" w:cs="宋体" w:eastAsia="宋体" w:hint="default"/>
                <w:sz w:val="18"/>
                <w:szCs w:val="18"/>
              </w:rPr>
            </w:pPr>
            <w:r>
              <w:rPr>
                <w:rFonts w:ascii="宋体" w:hAnsi="宋体" w:cs="宋体" w:eastAsia="宋体" w:hint="default"/>
                <w:sz w:val="18"/>
                <w:szCs w:val="18"/>
              </w:rPr>
              <w:t>智能表生产线项目 补贴</w:t>
            </w:r>
            <w:r>
              <w:rPr>
                <w:rFonts w:ascii="宋体" w:hAnsi="宋体" w:cs="宋体" w:eastAsia="宋体" w:hint="default"/>
                <w:sz w:val="18"/>
                <w:szCs w:val="18"/>
              </w:rPr>
              <w:t> </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6"/>
              <w:jc w:val="right"/>
              <w:rPr>
                <w:rFonts w:ascii="宋体" w:hAnsi="宋体" w:cs="宋体" w:eastAsia="宋体" w:hint="default"/>
                <w:sz w:val="18"/>
                <w:szCs w:val="18"/>
              </w:rPr>
            </w:pPr>
            <w:r>
              <w:rPr>
                <w:rFonts w:ascii="宋体"/>
                <w:spacing w:val="-1"/>
                <w:sz w:val="18"/>
              </w:rPr>
              <w:t>999,999.88</w:t>
            </w:r>
            <w:r>
              <w:rPr>
                <w:rFonts w:ascii="宋体"/>
                <w:sz w:val="18"/>
              </w:rPr>
              <w:t>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8"/>
              <w:jc w:val="right"/>
              <w:rPr>
                <w:rFonts w:ascii="宋体" w:hAnsi="宋体" w:cs="宋体" w:eastAsia="宋体" w:hint="default"/>
                <w:sz w:val="18"/>
                <w:szCs w:val="18"/>
              </w:rPr>
            </w:pPr>
            <w:r>
              <w:rPr>
                <w:rFonts w:ascii="宋体"/>
                <w:sz w:val="18"/>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7"/>
              <w:jc w:val="right"/>
              <w:rPr>
                <w:rFonts w:ascii="宋体" w:hAnsi="宋体" w:cs="宋体" w:eastAsia="宋体" w:hint="default"/>
                <w:sz w:val="18"/>
                <w:szCs w:val="18"/>
              </w:rPr>
            </w:pPr>
            <w:r>
              <w:rPr>
                <w:rFonts w:ascii="宋体"/>
                <w:sz w:val="18"/>
              </w:rPr>
              <w:t> </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7"/>
              <w:jc w:val="right"/>
              <w:rPr>
                <w:rFonts w:ascii="宋体" w:hAnsi="宋体" w:cs="宋体" w:eastAsia="宋体" w:hint="default"/>
                <w:sz w:val="18"/>
                <w:szCs w:val="18"/>
              </w:rPr>
            </w:pPr>
            <w:r>
              <w:rPr>
                <w:rFonts w:ascii="宋体"/>
                <w:spacing w:val="-1"/>
                <w:sz w:val="18"/>
              </w:rPr>
              <w:t>500,000.04 </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8"/>
              <w:jc w:val="right"/>
              <w:rPr>
                <w:rFonts w:ascii="宋体" w:hAnsi="宋体" w:cs="宋体" w:eastAsia="宋体" w:hint="default"/>
                <w:sz w:val="18"/>
                <w:szCs w:val="18"/>
              </w:rPr>
            </w:pPr>
            <w:r>
              <w:rPr>
                <w:rFonts w:ascii="宋体"/>
                <w:sz w:val="18"/>
              </w:rPr>
              <w:t> </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7"/>
              <w:jc w:val="right"/>
              <w:rPr>
                <w:rFonts w:ascii="宋体" w:hAnsi="宋体" w:cs="宋体" w:eastAsia="宋体" w:hint="default"/>
                <w:sz w:val="18"/>
                <w:szCs w:val="18"/>
              </w:rPr>
            </w:pPr>
            <w:r>
              <w:rPr>
                <w:rFonts w:ascii="宋体"/>
                <w:spacing w:val="-1"/>
                <w:sz w:val="18"/>
              </w:rPr>
              <w:t>499,999.84 </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07" w:right="0"/>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宋体" w:hAnsi="宋体" w:cs="宋体" w:eastAsia="宋体" w:hint="default"/>
                <w:sz w:val="18"/>
                <w:szCs w:val="18"/>
              </w:rPr>
              <w:t> </w:t>
            </w:r>
          </w:p>
        </w:tc>
      </w:tr>
      <w:tr>
        <w:trPr>
          <w:trHeight w:val="634" w:hRule="exact"/>
        </w:trPr>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8" w:right="185"/>
              <w:jc w:val="left"/>
              <w:rPr>
                <w:rFonts w:ascii="宋体" w:hAnsi="宋体" w:cs="宋体" w:eastAsia="宋体" w:hint="default"/>
                <w:sz w:val="18"/>
                <w:szCs w:val="18"/>
              </w:rPr>
            </w:pPr>
            <w:r>
              <w:rPr>
                <w:rFonts w:ascii="宋体" w:hAnsi="宋体" w:cs="宋体" w:eastAsia="宋体" w:hint="default"/>
                <w:sz w:val="18"/>
                <w:szCs w:val="18"/>
              </w:rPr>
              <w:t>发展和改革局转型 升级资金</w:t>
            </w:r>
            <w:r>
              <w:rPr>
                <w:rFonts w:ascii="宋体" w:hAnsi="宋体" w:cs="宋体" w:eastAsia="宋体" w:hint="default"/>
                <w:sz w:val="18"/>
                <w:szCs w:val="18"/>
              </w:rPr>
              <w:t> </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6"/>
              <w:jc w:val="right"/>
              <w:rPr>
                <w:rFonts w:ascii="宋体" w:hAnsi="宋体" w:cs="宋体" w:eastAsia="宋体" w:hint="default"/>
                <w:sz w:val="18"/>
                <w:szCs w:val="18"/>
              </w:rPr>
            </w:pPr>
            <w:r>
              <w:rPr>
                <w:rFonts w:ascii="宋体"/>
                <w:spacing w:val="-1"/>
                <w:sz w:val="18"/>
              </w:rPr>
              <w:t>4,000,000.00</w:t>
            </w:r>
            <w:r>
              <w:rPr>
                <w:rFonts w:ascii="宋体"/>
                <w:sz w:val="18"/>
              </w:rPr>
              <w:t>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8"/>
              <w:jc w:val="right"/>
              <w:rPr>
                <w:rFonts w:ascii="宋体" w:hAnsi="宋体" w:cs="宋体" w:eastAsia="宋体" w:hint="default"/>
                <w:sz w:val="18"/>
                <w:szCs w:val="18"/>
              </w:rPr>
            </w:pPr>
            <w:r>
              <w:rPr>
                <w:rFonts w:ascii="宋体"/>
                <w:sz w:val="18"/>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7"/>
              <w:jc w:val="right"/>
              <w:rPr>
                <w:rFonts w:ascii="宋体" w:hAnsi="宋体" w:cs="宋体" w:eastAsia="宋体" w:hint="default"/>
                <w:sz w:val="18"/>
                <w:szCs w:val="18"/>
              </w:rPr>
            </w:pPr>
            <w:r>
              <w:rPr>
                <w:rFonts w:ascii="宋体"/>
                <w:sz w:val="18"/>
              </w:rPr>
              <w:t> </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7"/>
              <w:jc w:val="right"/>
              <w:rPr>
                <w:rFonts w:ascii="宋体" w:hAnsi="宋体" w:cs="宋体" w:eastAsia="宋体" w:hint="default"/>
                <w:sz w:val="18"/>
                <w:szCs w:val="18"/>
              </w:rPr>
            </w:pPr>
            <w:r>
              <w:rPr>
                <w:rFonts w:ascii="宋体"/>
                <w:sz w:val="18"/>
              </w:rPr>
              <w:t> </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8"/>
              <w:jc w:val="right"/>
              <w:rPr>
                <w:rFonts w:ascii="宋体" w:hAnsi="宋体" w:cs="宋体" w:eastAsia="宋体" w:hint="default"/>
                <w:sz w:val="18"/>
                <w:szCs w:val="18"/>
              </w:rPr>
            </w:pPr>
            <w:r>
              <w:rPr>
                <w:rFonts w:ascii="宋体"/>
                <w:sz w:val="18"/>
              </w:rPr>
              <w:t> </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7"/>
              <w:jc w:val="right"/>
              <w:rPr>
                <w:rFonts w:ascii="宋体" w:hAnsi="宋体" w:cs="宋体" w:eastAsia="宋体" w:hint="default"/>
                <w:sz w:val="18"/>
                <w:szCs w:val="18"/>
              </w:rPr>
            </w:pPr>
            <w:r>
              <w:rPr>
                <w:rFonts w:ascii="宋体"/>
                <w:spacing w:val="-1"/>
                <w:sz w:val="18"/>
              </w:rPr>
              <w:t>4,000,000.00 </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07" w:right="0"/>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宋体" w:hAnsi="宋体" w:cs="宋体" w:eastAsia="宋体" w:hint="default"/>
                <w:sz w:val="18"/>
                <w:szCs w:val="18"/>
              </w:rPr>
              <w:t> </w:t>
            </w:r>
          </w:p>
        </w:tc>
      </w:tr>
      <w:tr>
        <w:trPr>
          <w:trHeight w:val="322" w:hRule="exact"/>
        </w:trPr>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8" w:right="0"/>
              <w:jc w:val="left"/>
              <w:rPr>
                <w:rFonts w:ascii="宋体" w:hAnsi="宋体" w:cs="宋体" w:eastAsia="宋体" w:hint="default"/>
                <w:sz w:val="18"/>
                <w:szCs w:val="18"/>
              </w:rPr>
            </w:pPr>
            <w:r>
              <w:rPr>
                <w:rFonts w:ascii="宋体" w:hAnsi="宋体" w:cs="宋体" w:eastAsia="宋体" w:hint="default"/>
                <w:sz w:val="18"/>
                <w:szCs w:val="18"/>
              </w:rPr>
              <w:t>立陶宛政府补助</w:t>
            </w:r>
            <w:r>
              <w:rPr>
                <w:rFonts w:ascii="宋体" w:hAnsi="宋体" w:cs="宋体" w:eastAsia="宋体" w:hint="default"/>
                <w:sz w:val="18"/>
                <w:szCs w:val="18"/>
              </w:rPr>
              <w:t> </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6"/>
              <w:jc w:val="right"/>
              <w:rPr>
                <w:rFonts w:ascii="宋体" w:hAnsi="宋体" w:cs="宋体" w:eastAsia="宋体" w:hint="default"/>
                <w:sz w:val="18"/>
                <w:szCs w:val="18"/>
              </w:rPr>
            </w:pPr>
            <w:r>
              <w:rPr>
                <w:rFonts w:ascii="宋体"/>
                <w:spacing w:val="-1"/>
                <w:sz w:val="18"/>
              </w:rPr>
              <w:t>1,233,823.39</w:t>
            </w:r>
            <w:r>
              <w:rPr>
                <w:rFonts w:ascii="宋体"/>
                <w:sz w:val="18"/>
              </w:rPr>
              <w:t>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8"/>
              <w:jc w:val="right"/>
              <w:rPr>
                <w:rFonts w:ascii="宋体" w:hAnsi="宋体" w:cs="宋体" w:eastAsia="宋体" w:hint="default"/>
                <w:sz w:val="18"/>
                <w:szCs w:val="18"/>
              </w:rPr>
            </w:pPr>
            <w:r>
              <w:rPr>
                <w:rFonts w:ascii="宋体"/>
                <w:sz w:val="18"/>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
              <w:jc w:val="right"/>
              <w:rPr>
                <w:rFonts w:ascii="宋体" w:hAnsi="宋体" w:cs="宋体" w:eastAsia="宋体" w:hint="default"/>
                <w:sz w:val="18"/>
                <w:szCs w:val="18"/>
              </w:rPr>
            </w:pPr>
            <w:r>
              <w:rPr>
                <w:rFonts w:ascii="宋体"/>
                <w:sz w:val="18"/>
              </w:rPr>
              <w:t> </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
              <w:jc w:val="right"/>
              <w:rPr>
                <w:rFonts w:ascii="宋体" w:hAnsi="宋体" w:cs="宋体" w:eastAsia="宋体" w:hint="default"/>
                <w:sz w:val="18"/>
                <w:szCs w:val="18"/>
              </w:rPr>
            </w:pPr>
            <w:r>
              <w:rPr>
                <w:rFonts w:ascii="宋体"/>
                <w:spacing w:val="-1"/>
                <w:sz w:val="18"/>
              </w:rPr>
              <w:t>519,611.74 </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8"/>
              <w:jc w:val="right"/>
              <w:rPr>
                <w:rFonts w:ascii="宋体" w:hAnsi="宋体" w:cs="宋体" w:eastAsia="宋体" w:hint="default"/>
                <w:sz w:val="18"/>
                <w:szCs w:val="18"/>
              </w:rPr>
            </w:pPr>
            <w:r>
              <w:rPr>
                <w:rFonts w:ascii="宋体"/>
                <w:sz w:val="18"/>
              </w:rPr>
              <w:t> </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
              <w:jc w:val="right"/>
              <w:rPr>
                <w:rFonts w:ascii="宋体" w:hAnsi="宋体" w:cs="宋体" w:eastAsia="宋体" w:hint="default"/>
                <w:sz w:val="18"/>
                <w:szCs w:val="18"/>
              </w:rPr>
            </w:pPr>
            <w:r>
              <w:rPr>
                <w:rFonts w:ascii="宋体"/>
                <w:spacing w:val="-1"/>
                <w:sz w:val="18"/>
              </w:rPr>
              <w:t>714,211.65 </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7" w:right="0"/>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宋体" w:hAnsi="宋体" w:cs="宋体" w:eastAsia="宋体" w:hint="default"/>
                <w:sz w:val="18"/>
                <w:szCs w:val="18"/>
              </w:rPr>
              <w:t> </w:t>
            </w:r>
          </w:p>
        </w:tc>
      </w:tr>
      <w:tr>
        <w:trPr>
          <w:trHeight w:val="636" w:hRule="exact"/>
        </w:trPr>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8" w:right="185"/>
              <w:jc w:val="left"/>
              <w:rPr>
                <w:rFonts w:ascii="宋体" w:hAnsi="宋体" w:cs="宋体" w:eastAsia="宋体" w:hint="default"/>
                <w:sz w:val="18"/>
                <w:szCs w:val="18"/>
              </w:rPr>
            </w:pPr>
            <w:r>
              <w:rPr>
                <w:rFonts w:ascii="宋体" w:hAnsi="宋体" w:cs="宋体" w:eastAsia="宋体" w:hint="default"/>
                <w:sz w:val="18"/>
                <w:szCs w:val="18"/>
              </w:rPr>
              <w:t>清洗行业含氢氯氟 烃淘汰项目</w:t>
            </w:r>
            <w:r>
              <w:rPr>
                <w:rFonts w:ascii="宋体" w:hAnsi="宋体" w:cs="宋体" w:eastAsia="宋体" w:hint="default"/>
                <w:sz w:val="18"/>
                <w:szCs w:val="18"/>
              </w:rPr>
              <w:t> </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6"/>
              <w:jc w:val="right"/>
              <w:rPr>
                <w:rFonts w:ascii="宋体" w:hAnsi="宋体" w:cs="宋体" w:eastAsia="宋体" w:hint="default"/>
                <w:sz w:val="18"/>
                <w:szCs w:val="18"/>
              </w:rPr>
            </w:pPr>
            <w:r>
              <w:rPr>
                <w:rFonts w:ascii="宋体"/>
                <w:spacing w:val="-1"/>
                <w:sz w:val="18"/>
              </w:rPr>
              <w:t>3,422,500.00</w:t>
            </w:r>
            <w:r>
              <w:rPr>
                <w:rFonts w:ascii="宋体"/>
                <w:sz w:val="18"/>
              </w:rPr>
              <w:t>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8"/>
              <w:jc w:val="right"/>
              <w:rPr>
                <w:rFonts w:ascii="宋体" w:hAnsi="宋体" w:cs="宋体" w:eastAsia="宋体" w:hint="default"/>
                <w:sz w:val="18"/>
                <w:szCs w:val="18"/>
              </w:rPr>
            </w:pPr>
            <w:r>
              <w:rPr>
                <w:rFonts w:ascii="宋体"/>
                <w:sz w:val="18"/>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7"/>
              <w:jc w:val="right"/>
              <w:rPr>
                <w:rFonts w:ascii="宋体" w:hAnsi="宋体" w:cs="宋体" w:eastAsia="宋体" w:hint="default"/>
                <w:sz w:val="18"/>
                <w:szCs w:val="18"/>
              </w:rPr>
            </w:pPr>
            <w:r>
              <w:rPr>
                <w:rFonts w:ascii="宋体"/>
                <w:sz w:val="18"/>
              </w:rPr>
              <w:t> </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7"/>
              <w:jc w:val="right"/>
              <w:rPr>
                <w:rFonts w:ascii="宋体" w:hAnsi="宋体" w:cs="宋体" w:eastAsia="宋体" w:hint="default"/>
                <w:sz w:val="18"/>
                <w:szCs w:val="18"/>
              </w:rPr>
            </w:pPr>
            <w:r>
              <w:rPr>
                <w:rFonts w:ascii="宋体"/>
                <w:spacing w:val="-1"/>
                <w:sz w:val="18"/>
              </w:rPr>
              <w:t>285,208.30 </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8"/>
              <w:jc w:val="right"/>
              <w:rPr>
                <w:rFonts w:ascii="宋体" w:hAnsi="宋体" w:cs="宋体" w:eastAsia="宋体" w:hint="default"/>
                <w:sz w:val="18"/>
                <w:szCs w:val="18"/>
              </w:rPr>
            </w:pPr>
            <w:r>
              <w:rPr>
                <w:rFonts w:ascii="宋体"/>
                <w:sz w:val="18"/>
              </w:rPr>
              <w:t> </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7"/>
              <w:jc w:val="right"/>
              <w:rPr>
                <w:rFonts w:ascii="宋体" w:hAnsi="宋体" w:cs="宋体" w:eastAsia="宋体" w:hint="default"/>
                <w:sz w:val="18"/>
                <w:szCs w:val="18"/>
              </w:rPr>
            </w:pPr>
            <w:r>
              <w:rPr>
                <w:rFonts w:ascii="宋体"/>
                <w:spacing w:val="-1"/>
                <w:sz w:val="18"/>
              </w:rPr>
              <w:t>3,137,291.70 </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7" w:right="0"/>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宋体" w:hAnsi="宋体" w:cs="宋体" w:eastAsia="宋体" w:hint="default"/>
                <w:sz w:val="18"/>
                <w:szCs w:val="18"/>
              </w:rPr>
              <w:t> </w:t>
            </w:r>
          </w:p>
        </w:tc>
      </w:tr>
    </w:tbl>
    <w:p>
      <w:pPr>
        <w:spacing w:after="0" w:line="240" w:lineRule="auto"/>
        <w:jc w:val="left"/>
        <w:rPr>
          <w:rFonts w:ascii="宋体" w:hAnsi="宋体" w:cs="宋体" w:eastAsia="宋体" w:hint="default"/>
          <w:sz w:val="18"/>
          <w:szCs w:val="18"/>
        </w:rPr>
        <w:sectPr>
          <w:type w:val="continuous"/>
          <w:pgSz w:w="11910" w:h="16840"/>
          <w:pgMar w:top="1580" w:bottom="280" w:left="640" w:right="1140"/>
        </w:sectPr>
      </w:pPr>
    </w:p>
    <w:p>
      <w:pPr>
        <w:pStyle w:val="BodyText"/>
        <w:spacing w:line="324" w:lineRule="auto"/>
        <w:ind w:left="636" w:right="0" w:firstLine="703"/>
        <w:jc w:val="left"/>
        <w:rPr>
          <w:rFonts w:ascii="宋体" w:hAnsi="宋体" w:cs="宋体" w:eastAsia="宋体" w:hint="default"/>
        </w:rPr>
      </w:pPr>
      <w:r>
        <w:rPr>
          <w:rFonts w:ascii="宋体" w:hAnsi="宋体" w:cs="宋体" w:eastAsia="宋体" w:hint="default"/>
          <w:w w:val="100"/>
        </w:rPr>
        <w:t> </w:t>
      </w:r>
      <w:bookmarkStart w:name="OLE_LINK85" w:id="16"/>
      <w:bookmarkEnd w:id="16"/>
      <w:r>
        <w:rPr>
          <w:rFonts w:ascii="宋体" w:hAnsi="宋体" w:cs="宋体" w:eastAsia="宋体" w:hint="default"/>
          <w:w w:val="100"/>
        </w:rPr>
      </w:r>
      <w:bookmarkStart w:name="OLE_LINK84" w:id="17"/>
      <w:bookmarkEnd w:id="17"/>
      <w:r>
        <w:rPr>
          <w:rFonts w:ascii="宋体" w:hAnsi="宋体" w:cs="宋体" w:eastAsia="宋体" w:hint="default"/>
          <w:w w:val="100"/>
        </w:rPr>
      </w:r>
      <w:r>
        <w:rPr>
          <w:w w:val="100"/>
        </w:rPr>
        <w:t>其他</w:t>
      </w:r>
      <w:r>
        <w:rPr>
          <w:spacing w:val="-3"/>
          <w:w w:val="100"/>
        </w:rPr>
        <w:t>说</w:t>
      </w:r>
      <w:r>
        <w:rPr>
          <w:w w:val="100"/>
        </w:rPr>
        <w:t>明</w:t>
      </w:r>
      <w:r>
        <w:rPr>
          <w:spacing w:val="-3"/>
          <w:w w:val="100"/>
        </w:rPr>
        <w:t>：</w:t>
      </w:r>
      <w:r>
        <w:rPr>
          <w:rFonts w:ascii="宋体" w:hAnsi="宋体" w:cs="宋体" w:eastAsia="宋体" w:hint="default"/>
          <w:w w:val="100"/>
        </w:rPr>
        <w:t> </w:t>
      </w:r>
    </w:p>
    <w:p>
      <w:pPr>
        <w:pStyle w:val="BodyText"/>
        <w:spacing w:line="240" w:lineRule="auto" w:before="24"/>
        <w:ind w:left="6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75"/>
        <w:ind w:left="636" w:right="0"/>
        <w:jc w:val="left"/>
        <w:rPr>
          <w:rFonts w:ascii="宋体" w:hAnsi="宋体" w:cs="宋体" w:eastAsia="宋体" w:hint="default"/>
        </w:rPr>
      </w:pPr>
      <w:r>
        <w:rPr>
          <w:rFonts w:ascii="宋体"/>
          <w:w w:val="100"/>
        </w:rPr>
        <w:t> </w:t>
      </w:r>
    </w:p>
    <w:p>
      <w:pPr>
        <w:pStyle w:val="Heading3"/>
        <w:spacing w:line="240" w:lineRule="auto" w:before="78"/>
        <w:ind w:left="636" w:right="0"/>
        <w:jc w:val="left"/>
        <w:rPr>
          <w:rFonts w:ascii="宋体" w:hAnsi="宋体" w:cs="宋体" w:eastAsia="宋体" w:hint="default"/>
          <w:b w:val="0"/>
          <w:bCs w:val="0"/>
        </w:rPr>
      </w:pPr>
      <w:r>
        <w:rPr>
          <w:rFonts w:ascii="宋体" w:hAnsi="宋体" w:cs="宋体" w:eastAsia="宋体" w:hint="default"/>
        </w:rPr>
        <w:t>50</w:t>
      </w:r>
      <w:r>
        <w:rPr/>
        <w:t>、</w:t>
      </w:r>
      <w:r>
        <w:rPr>
          <w:spacing w:val="-26"/>
        </w:rPr>
        <w:t> </w:t>
      </w:r>
      <w:r>
        <w:rPr/>
        <w:t>其他非流动负债</w:t>
      </w:r>
      <w:r>
        <w:rPr>
          <w:rFonts w:ascii="宋体" w:hAnsi="宋体" w:cs="宋体" w:eastAsia="宋体" w:hint="default"/>
          <w:w w:val="99"/>
        </w:rPr>
        <w:t> </w:t>
      </w:r>
      <w:r>
        <w:rPr>
          <w:rFonts w:ascii="宋体" w:hAnsi="宋体" w:cs="宋体" w:eastAsia="宋体" w:hint="default"/>
          <w:b w:val="0"/>
          <w:bCs w:val="0"/>
        </w:rPr>
      </w:r>
    </w:p>
    <w:p>
      <w:pPr>
        <w:pStyle w:val="Heading2"/>
        <w:spacing w:line="240" w:lineRule="auto" w:before="69"/>
        <w:ind w:left="63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BodyText"/>
        <w:spacing w:line="240" w:lineRule="auto" w:before="25"/>
        <w:ind w:left="636" w:right="0"/>
        <w:jc w:val="left"/>
        <w:rPr>
          <w:rFonts w:ascii="宋体" w:hAnsi="宋体" w:cs="宋体" w:eastAsia="宋体" w:hint="default"/>
        </w:rPr>
      </w:pPr>
      <w:r>
        <w:rPr>
          <w:rFonts w:ascii="宋体"/>
          <w:w w:val="100"/>
        </w:rPr>
        <w:t> </w:t>
      </w:r>
    </w:p>
    <w:p>
      <w:pPr>
        <w:pStyle w:val="Heading3"/>
        <w:spacing w:line="240" w:lineRule="auto"/>
        <w:ind w:left="636" w:right="0"/>
        <w:jc w:val="left"/>
        <w:rPr>
          <w:rFonts w:ascii="宋体" w:hAnsi="宋体" w:cs="宋体" w:eastAsia="宋体" w:hint="default"/>
          <w:b w:val="0"/>
          <w:bCs w:val="0"/>
        </w:rPr>
      </w:pPr>
      <w:r>
        <w:rPr>
          <w:rFonts w:ascii="宋体" w:hAnsi="宋体" w:cs="宋体" w:eastAsia="宋体" w:hint="default"/>
        </w:rPr>
        <w:t>51</w:t>
      </w:r>
      <w:r>
        <w:rPr/>
        <w:t>、</w:t>
      </w:r>
      <w:r>
        <w:rPr>
          <w:spacing w:val="-26"/>
        </w:rPr>
        <w:t> </w:t>
      </w:r>
      <w:r>
        <w:rPr/>
        <w:t>股本</w:t>
      </w:r>
      <w:r>
        <w:rPr>
          <w:rFonts w:ascii="宋体" w:hAnsi="宋体" w:cs="宋体" w:eastAsia="宋体" w:hint="default"/>
          <w:w w:val="99"/>
        </w:rPr>
        <w:t> </w:t>
      </w:r>
      <w:r>
        <w:rPr>
          <w:rFonts w:ascii="宋体" w:hAnsi="宋体" w:cs="宋体" w:eastAsia="宋体" w:hint="default"/>
          <w:b w:val="0"/>
          <w:bCs w:val="0"/>
        </w:rPr>
      </w:r>
    </w:p>
    <w:p>
      <w:pPr>
        <w:pStyle w:val="Heading2"/>
        <w:spacing w:line="240" w:lineRule="auto" w:before="69"/>
        <w:ind w:left="63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2"/>
          <w:szCs w:val="22"/>
        </w:rPr>
      </w:pPr>
    </w:p>
    <w:p>
      <w:pPr>
        <w:pStyle w:val="BodyText"/>
        <w:spacing w:line="240" w:lineRule="auto"/>
        <w:ind w:left="636" w:right="0"/>
        <w:jc w:val="left"/>
        <w:rPr>
          <w:rFonts w:ascii="宋体" w:hAnsi="宋体" w:cs="宋体" w:eastAsia="宋体" w:hint="default"/>
        </w:rPr>
      </w:pPr>
      <w:r>
        <w:rPr/>
        <w:t>单位：元币种：人民币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580" w:bottom="280" w:left="640" w:right="1140"/>
          <w:cols w:num="2" w:equalWidth="0">
            <w:col w:w="2723" w:space="4010"/>
            <w:col w:w="3397"/>
          </w:cols>
        </w:sectPr>
      </w:pPr>
    </w:p>
    <w:p>
      <w:pPr>
        <w:spacing w:line="240" w:lineRule="auto" w:before="10"/>
        <w:rPr>
          <w:rFonts w:ascii="宋体" w:hAnsi="宋体" w:cs="宋体" w:eastAsia="宋体" w:hint="default"/>
          <w:sz w:val="3"/>
          <w:szCs w:val="3"/>
        </w:rPr>
      </w:pPr>
    </w:p>
    <w:tbl>
      <w:tblPr>
        <w:tblW w:w="0" w:type="auto"/>
        <w:jc w:val="left"/>
        <w:tblInd w:w="236" w:type="dxa"/>
        <w:tblLayout w:type="fixed"/>
        <w:tblCellMar>
          <w:top w:w="0" w:type="dxa"/>
          <w:left w:w="0" w:type="dxa"/>
          <w:bottom w:w="0" w:type="dxa"/>
          <w:right w:w="0" w:type="dxa"/>
        </w:tblCellMar>
        <w:tblLook w:val="01E0"/>
      </w:tblPr>
      <w:tblGrid>
        <w:gridCol w:w="1140"/>
        <w:gridCol w:w="1699"/>
        <w:gridCol w:w="692"/>
        <w:gridCol w:w="410"/>
        <w:gridCol w:w="857"/>
        <w:gridCol w:w="1601"/>
        <w:gridCol w:w="1457"/>
        <w:gridCol w:w="1741"/>
      </w:tblGrid>
      <w:tr>
        <w:trPr>
          <w:trHeight w:val="322" w:hRule="exact"/>
        </w:trPr>
        <w:tc>
          <w:tcPr>
            <w:tcW w:w="1140"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5"/>
                <w:szCs w:val="25"/>
              </w:rPr>
            </w:pPr>
          </w:p>
          <w:p>
            <w:pPr>
              <w:pStyle w:val="TableParagraph"/>
              <w:spacing w:line="240" w:lineRule="auto"/>
              <w:ind w:left="83" w:right="0"/>
              <w:jc w:val="center"/>
              <w:rPr>
                <w:rFonts w:ascii="宋体" w:hAnsi="宋体" w:cs="宋体" w:eastAsia="宋体" w:hint="default"/>
                <w:sz w:val="18"/>
                <w:szCs w:val="18"/>
              </w:rPr>
            </w:pPr>
            <w:r>
              <w:rPr>
                <w:rFonts w:ascii="宋体"/>
                <w:sz w:val="18"/>
              </w:rPr>
              <w:t> </w:t>
            </w:r>
          </w:p>
        </w:tc>
        <w:tc>
          <w:tcPr>
            <w:tcW w:w="1699"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5"/>
                <w:szCs w:val="25"/>
              </w:rPr>
            </w:pPr>
          </w:p>
          <w:p>
            <w:pPr>
              <w:pStyle w:val="TableParagraph"/>
              <w:spacing w:line="240" w:lineRule="auto"/>
              <w:ind w:left="484"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宋体" w:hAnsi="宋体" w:cs="宋体" w:eastAsia="宋体" w:hint="default"/>
                <w:sz w:val="18"/>
                <w:szCs w:val="18"/>
              </w:rPr>
              <w:t> </w:t>
            </w:r>
          </w:p>
        </w:tc>
        <w:tc>
          <w:tcPr>
            <w:tcW w:w="5017"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555" w:right="0"/>
              <w:jc w:val="left"/>
              <w:rPr>
                <w:rFonts w:ascii="宋体" w:hAnsi="宋体" w:cs="宋体" w:eastAsia="宋体" w:hint="default"/>
                <w:sz w:val="18"/>
                <w:szCs w:val="18"/>
              </w:rPr>
            </w:pPr>
            <w:r>
              <w:rPr>
                <w:rFonts w:ascii="宋体" w:hAnsi="宋体" w:cs="宋体" w:eastAsia="宋体" w:hint="default"/>
                <w:sz w:val="18"/>
                <w:szCs w:val="18"/>
              </w:rPr>
              <w:t>本次变动增减（</w:t>
            </w:r>
            <w:r>
              <w:rPr>
                <w:rFonts w:ascii="宋体" w:hAnsi="宋体" w:cs="宋体" w:eastAsia="宋体" w:hint="default"/>
                <w:sz w:val="18"/>
                <w:szCs w:val="18"/>
              </w:rPr>
              <w:t>+</w:t>
            </w:r>
            <w:r>
              <w:rPr>
                <w:rFonts w:ascii="宋体" w:hAnsi="宋体" w:cs="宋体" w:eastAsia="宋体" w:hint="default"/>
                <w:sz w:val="18"/>
                <w:szCs w:val="18"/>
              </w:rPr>
              <w:t>、一）</w:t>
            </w:r>
            <w:r>
              <w:rPr>
                <w:rFonts w:ascii="宋体" w:hAnsi="宋体" w:cs="宋体" w:eastAsia="宋体" w:hint="default"/>
                <w:sz w:val="18"/>
                <w:szCs w:val="18"/>
              </w:rPr>
              <w:t> </w:t>
            </w:r>
          </w:p>
        </w:tc>
        <w:tc>
          <w:tcPr>
            <w:tcW w:w="1741"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5"/>
                <w:szCs w:val="25"/>
              </w:rPr>
            </w:pPr>
          </w:p>
          <w:p>
            <w:pPr>
              <w:pStyle w:val="TableParagraph"/>
              <w:spacing w:line="240" w:lineRule="auto"/>
              <w:ind w:left="502"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宋体" w:hAnsi="宋体" w:cs="宋体" w:eastAsia="宋体" w:hint="default"/>
                <w:sz w:val="18"/>
                <w:szCs w:val="18"/>
              </w:rPr>
              <w:t> </w:t>
            </w:r>
          </w:p>
        </w:tc>
      </w:tr>
      <w:tr>
        <w:trPr>
          <w:trHeight w:val="637" w:hRule="exact"/>
        </w:trPr>
        <w:tc>
          <w:tcPr>
            <w:tcW w:w="1140" w:type="dxa"/>
            <w:vMerge/>
            <w:tcBorders>
              <w:left w:val="single" w:sz="4" w:space="0" w:color="000000"/>
              <w:bottom w:val="single" w:sz="4" w:space="0" w:color="000000"/>
              <w:right w:val="single" w:sz="4" w:space="0" w:color="000000"/>
            </w:tcBorders>
          </w:tcPr>
          <w:p>
            <w:pPr/>
          </w:p>
        </w:tc>
        <w:tc>
          <w:tcPr>
            <w:tcW w:w="1699" w:type="dxa"/>
            <w:vMerge/>
            <w:tcBorders>
              <w:left w:val="single" w:sz="4" w:space="0" w:color="000000"/>
              <w:bottom w:val="single" w:sz="4" w:space="0" w:color="000000"/>
              <w:right w:val="single" w:sz="4" w:space="0" w:color="000000"/>
            </w:tcBorders>
          </w:tcPr>
          <w:p>
            <w:pP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158" w:right="71"/>
              <w:jc w:val="left"/>
              <w:rPr>
                <w:rFonts w:ascii="宋体" w:hAnsi="宋体" w:cs="宋体" w:eastAsia="宋体" w:hint="default"/>
                <w:sz w:val="18"/>
                <w:szCs w:val="18"/>
              </w:rPr>
            </w:pPr>
            <w:r>
              <w:rPr>
                <w:rFonts w:ascii="宋体" w:hAnsi="宋体" w:cs="宋体" w:eastAsia="宋体" w:hint="default"/>
                <w:sz w:val="18"/>
                <w:szCs w:val="18"/>
              </w:rPr>
              <w:t>发行</w:t>
            </w:r>
            <w:r>
              <w:rPr>
                <w:rFonts w:ascii="宋体" w:hAnsi="宋体" w:cs="宋体" w:eastAsia="宋体" w:hint="default"/>
                <w:sz w:val="18"/>
                <w:szCs w:val="18"/>
              </w:rPr>
              <w:t> </w:t>
            </w:r>
            <w:r>
              <w:rPr>
                <w:rFonts w:ascii="宋体" w:hAnsi="宋体" w:cs="宋体" w:eastAsia="宋体" w:hint="default"/>
                <w:sz w:val="18"/>
                <w:szCs w:val="18"/>
              </w:rPr>
              <w:t>新股</w:t>
            </w:r>
            <w:r>
              <w:rPr>
                <w:rFonts w:ascii="宋体" w:hAnsi="宋体" w:cs="宋体" w:eastAsia="宋体" w:hint="default"/>
                <w:sz w:val="18"/>
                <w:szCs w:val="18"/>
              </w:rPr>
              <w:t> </w:t>
            </w:r>
          </w:p>
        </w:tc>
        <w:tc>
          <w:tcPr>
            <w:tcW w:w="41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107" w:right="20"/>
              <w:jc w:val="left"/>
              <w:rPr>
                <w:rFonts w:ascii="宋体" w:hAnsi="宋体" w:cs="宋体" w:eastAsia="宋体" w:hint="default"/>
                <w:sz w:val="18"/>
                <w:szCs w:val="18"/>
              </w:rPr>
            </w:pPr>
            <w:r>
              <w:rPr>
                <w:rFonts w:ascii="宋体" w:hAnsi="宋体" w:cs="宋体" w:eastAsia="宋体" w:hint="default"/>
                <w:sz w:val="18"/>
                <w:szCs w:val="18"/>
              </w:rPr>
              <w:t>送 股</w:t>
            </w:r>
            <w:r>
              <w:rPr>
                <w:rFonts w:ascii="宋体" w:hAnsi="宋体" w:cs="宋体" w:eastAsia="宋体" w:hint="default"/>
                <w:sz w:val="18"/>
                <w:szCs w:val="18"/>
              </w:rPr>
              <w:t> </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42" w:right="65" w:hanging="92"/>
              <w:jc w:val="left"/>
              <w:rPr>
                <w:rFonts w:ascii="宋体" w:hAnsi="宋体" w:cs="宋体" w:eastAsia="宋体" w:hint="default"/>
                <w:sz w:val="18"/>
                <w:szCs w:val="18"/>
              </w:rPr>
            </w:pPr>
            <w:r>
              <w:rPr>
                <w:rFonts w:ascii="宋体" w:hAnsi="宋体" w:cs="宋体" w:eastAsia="宋体" w:hint="default"/>
                <w:sz w:val="18"/>
                <w:szCs w:val="18"/>
              </w:rPr>
              <w:t>公积金</w:t>
            </w:r>
            <w:r>
              <w:rPr>
                <w:rFonts w:ascii="宋体" w:hAnsi="宋体" w:cs="宋体" w:eastAsia="宋体" w:hint="default"/>
                <w:sz w:val="18"/>
                <w:szCs w:val="18"/>
              </w:rPr>
              <w:t> </w:t>
            </w:r>
            <w:r>
              <w:rPr>
                <w:rFonts w:ascii="宋体" w:hAnsi="宋体" w:cs="宋体" w:eastAsia="宋体" w:hint="default"/>
                <w:sz w:val="18"/>
                <w:szCs w:val="18"/>
              </w:rPr>
              <w:t>转股</w:t>
            </w:r>
            <w:r>
              <w:rPr>
                <w:rFonts w:ascii="宋体" w:hAnsi="宋体" w:cs="宋体" w:eastAsia="宋体" w:hint="default"/>
                <w:sz w:val="18"/>
                <w:szCs w:val="18"/>
              </w:rPr>
              <w:t> </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614" w:right="0"/>
              <w:jc w:val="left"/>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z w:val="18"/>
                <w:szCs w:val="18"/>
              </w:rPr>
              <w:t> </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87" w:right="0"/>
              <w:jc w:val="center"/>
              <w:rPr>
                <w:rFonts w:ascii="宋体" w:hAnsi="宋体" w:cs="宋体" w:eastAsia="宋体" w:hint="default"/>
                <w:sz w:val="18"/>
                <w:szCs w:val="18"/>
              </w:rPr>
            </w:pPr>
            <w:r>
              <w:rPr>
                <w:rFonts w:ascii="宋体" w:hAnsi="宋体" w:cs="宋体" w:eastAsia="宋体" w:hint="default"/>
                <w:sz w:val="18"/>
                <w:szCs w:val="18"/>
              </w:rPr>
              <w:t>小计</w:t>
            </w:r>
            <w:r>
              <w:rPr>
                <w:rFonts w:ascii="宋体" w:hAnsi="宋体" w:cs="宋体" w:eastAsia="宋体" w:hint="default"/>
                <w:sz w:val="18"/>
                <w:szCs w:val="18"/>
              </w:rPr>
              <w:t> </w:t>
            </w:r>
          </w:p>
        </w:tc>
        <w:tc>
          <w:tcPr>
            <w:tcW w:w="1741" w:type="dxa"/>
            <w:vMerge/>
            <w:tcBorders>
              <w:left w:val="single" w:sz="4" w:space="0" w:color="000000"/>
              <w:bottom w:val="single" w:sz="4" w:space="0" w:color="000000"/>
              <w:right w:val="single" w:sz="4" w:space="0" w:color="000000"/>
            </w:tcBorders>
          </w:tcPr>
          <w:p>
            <w:pPr/>
          </w:p>
        </w:tc>
      </w:tr>
      <w:tr>
        <w:trPr>
          <w:trHeight w:val="322" w:hRule="exact"/>
        </w:trPr>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01" w:right="0"/>
              <w:jc w:val="left"/>
              <w:rPr>
                <w:rFonts w:ascii="宋体" w:hAnsi="宋体" w:cs="宋体" w:eastAsia="宋体" w:hint="default"/>
                <w:sz w:val="18"/>
                <w:szCs w:val="18"/>
              </w:rPr>
            </w:pPr>
            <w:r>
              <w:rPr>
                <w:rFonts w:ascii="宋体" w:hAnsi="宋体" w:cs="宋体" w:eastAsia="宋体" w:hint="default"/>
                <w:sz w:val="18"/>
                <w:szCs w:val="18"/>
              </w:rPr>
              <w:t>股份总数</w:t>
            </w:r>
            <w:r>
              <w:rPr>
                <w:rFonts w:ascii="宋体" w:hAnsi="宋体" w:cs="宋体" w:eastAsia="宋体" w:hint="default"/>
                <w:sz w:val="18"/>
                <w:szCs w:val="18"/>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46" w:right="0"/>
              <w:jc w:val="left"/>
              <w:rPr>
                <w:rFonts w:ascii="宋体" w:hAnsi="宋体" w:cs="宋体" w:eastAsia="宋体" w:hint="default"/>
                <w:sz w:val="18"/>
                <w:szCs w:val="18"/>
              </w:rPr>
            </w:pPr>
            <w:r>
              <w:rPr>
                <w:rFonts w:ascii="宋体"/>
                <w:sz w:val="18"/>
              </w:rPr>
              <w:t>1,765,410,843.00 </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z w:val="18"/>
              </w:rPr>
              <w:t> </w:t>
            </w:r>
          </w:p>
        </w:tc>
        <w:tc>
          <w:tcPr>
            <w:tcW w:w="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3"/>
              <w:jc w:val="right"/>
              <w:rPr>
                <w:rFonts w:ascii="宋体" w:hAnsi="宋体" w:cs="宋体" w:eastAsia="宋体" w:hint="default"/>
                <w:sz w:val="18"/>
                <w:szCs w:val="18"/>
              </w:rPr>
            </w:pPr>
            <w:r>
              <w:rPr>
                <w:rFonts w:ascii="宋体"/>
                <w:sz w:val="18"/>
              </w:rPr>
              <w:t> </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z w:val="18"/>
              </w:rPr>
              <w:t> </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16" w:right="0"/>
              <w:jc w:val="left"/>
              <w:rPr>
                <w:rFonts w:ascii="宋体" w:hAnsi="宋体" w:cs="宋体" w:eastAsia="宋体" w:hint="default"/>
                <w:sz w:val="18"/>
                <w:szCs w:val="18"/>
              </w:rPr>
            </w:pPr>
            <w:r>
              <w:rPr>
                <w:rFonts w:ascii="宋体"/>
                <w:sz w:val="18"/>
              </w:rPr>
              <w:t>-7,739,983.00 </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54" w:right="0"/>
              <w:jc w:val="center"/>
              <w:rPr>
                <w:rFonts w:ascii="宋体" w:hAnsi="宋体" w:cs="宋体" w:eastAsia="宋体" w:hint="default"/>
                <w:sz w:val="18"/>
                <w:szCs w:val="18"/>
              </w:rPr>
            </w:pPr>
            <w:r>
              <w:rPr>
                <w:rFonts w:ascii="宋体"/>
                <w:sz w:val="18"/>
              </w:rPr>
              <w:t>-7,739,983.00 </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84" w:right="0"/>
              <w:jc w:val="left"/>
              <w:rPr>
                <w:rFonts w:ascii="宋体" w:hAnsi="宋体" w:cs="宋体" w:eastAsia="宋体" w:hint="default"/>
                <w:sz w:val="18"/>
                <w:szCs w:val="18"/>
              </w:rPr>
            </w:pPr>
            <w:r>
              <w:rPr>
                <w:rFonts w:ascii="宋体"/>
                <w:sz w:val="18"/>
              </w:rPr>
              <w:t>1,757,670,860.00 </w:t>
            </w:r>
          </w:p>
        </w:tc>
      </w:tr>
    </w:tbl>
    <w:p>
      <w:pPr>
        <w:pStyle w:val="BodyText"/>
        <w:spacing w:line="240" w:lineRule="auto" w:before="47"/>
        <w:ind w:left="636" w:right="0"/>
        <w:jc w:val="left"/>
        <w:rPr>
          <w:rFonts w:ascii="宋体" w:hAnsi="宋体" w:cs="宋体" w:eastAsia="宋体" w:hint="default"/>
        </w:rPr>
      </w:pPr>
      <w:r>
        <w:rPr>
          <w:rFonts w:ascii="宋体"/>
          <w:w w:val="100"/>
        </w:rPr>
        <w:t> </w:t>
      </w:r>
    </w:p>
    <w:p>
      <w:pPr>
        <w:spacing w:after="0" w:line="240" w:lineRule="auto"/>
        <w:jc w:val="left"/>
        <w:rPr>
          <w:rFonts w:ascii="宋体" w:hAnsi="宋体" w:cs="宋体" w:eastAsia="宋体" w:hint="default"/>
        </w:rPr>
        <w:sectPr>
          <w:type w:val="continuous"/>
          <w:pgSz w:w="11910" w:h="16840"/>
          <w:pgMar w:top="1580" w:bottom="280" w:left="640" w:right="1140"/>
        </w:sectPr>
      </w:pPr>
    </w:p>
    <w:p>
      <w:pPr>
        <w:spacing w:line="240" w:lineRule="auto" w:before="3"/>
        <w:rPr>
          <w:rFonts w:ascii="宋体" w:hAnsi="宋体" w:cs="宋体" w:eastAsia="宋体" w:hint="default"/>
          <w:sz w:val="6"/>
          <w:szCs w:val="6"/>
        </w:rPr>
      </w:pPr>
    </w:p>
    <w:p>
      <w:pPr>
        <w:spacing w:line="393" w:lineRule="exact"/>
        <w:ind w:left="121"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699.5pt;height:19.650pt;mso-position-horizontal-relative:char;mso-position-vertical-relative:line" coordorigin="0,0" coordsize="13990,393">
            <v:group style="position:absolute;left:70;top:370;width:13913;height:2" coordorigin="70,370" coordsize="13913,2">
              <v:shape style="position:absolute;left:70;top:370;width:13913;height:2" coordorigin="70,370" coordsize="13913,0" path="m70,370l13983,370e" filled="false" stroked="true" strokeweight=".72pt" strokecolor="#000000">
                <v:path arrowok="t"/>
              </v:shape>
              <v:shape style="position:absolute;left:0;top:0;width:465;height:393" type="#_x0000_t75" stroked="false">
                <v:imagedata r:id="rId10" o:title=""/>
              </v:shape>
              <v:shape style="position:absolute;left:3039;top:134;width:21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江苏林洋能源股份有限公司</w:t>
                      </w:r>
                    </w:p>
                  </w:txbxContent>
                </v:textbox>
                <w10:wrap type="none"/>
              </v:shape>
              <v:shape style="position:absolute;left:9705;top:134;width:1309;height:200" type="#_x0000_t202" filled="false" stroked="false">
                <v:textbox inset="0,0,0,0">
                  <w:txbxContent>
                    <w:p>
                      <w:pPr>
                        <w:spacing w:line="200" w:lineRule="exact" w:before="0"/>
                        <w:ind w:left="0" w:right="0" w:firstLine="0"/>
                        <w:jc w:val="left"/>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2"/>
                          <w:sz w:val="18"/>
                          <w:szCs w:val="18"/>
                        </w:rPr>
                        <w:t> </w:t>
                      </w:r>
                      <w:r>
                        <w:rPr>
                          <w:rFonts w:ascii="宋体" w:hAnsi="宋体" w:cs="宋体" w:eastAsia="宋体" w:hint="default"/>
                          <w:sz w:val="18"/>
                          <w:szCs w:val="18"/>
                        </w:rPr>
                        <w:t>年年度报告</w:t>
                      </w:r>
                    </w:p>
                  </w:txbxContent>
                </v:textbox>
                <w10:wrap type="none"/>
              </v:shape>
            </v:group>
          </v:group>
        </w:pict>
      </w:r>
      <w:r>
        <w:rPr>
          <w:rFonts w:ascii="宋体" w:hAnsi="宋体" w:cs="宋体" w:eastAsia="宋体" w:hint="default"/>
          <w:position w:val="-7"/>
          <w:sz w:val="20"/>
          <w:szCs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7"/>
          <w:szCs w:val="27"/>
        </w:rPr>
      </w:pPr>
    </w:p>
    <w:p>
      <w:pPr>
        <w:pStyle w:val="BodyText"/>
        <w:spacing w:line="240" w:lineRule="auto" w:before="36"/>
        <w:ind w:left="220" w:right="0"/>
        <w:jc w:val="left"/>
        <w:rPr>
          <w:rFonts w:ascii="宋体" w:hAnsi="宋体" w:cs="宋体" w:eastAsia="宋体" w:hint="default"/>
        </w:rPr>
      </w:pPr>
      <w:r>
        <w:rPr>
          <w:rFonts w:ascii="宋体"/>
          <w:w w:val="100"/>
        </w:rPr>
        <w:t> </w:t>
      </w:r>
    </w:p>
    <w:p>
      <w:pPr>
        <w:pStyle w:val="Heading3"/>
        <w:spacing w:line="336" w:lineRule="auto" w:before="111"/>
        <w:ind w:left="220" w:right="6675"/>
        <w:jc w:val="left"/>
        <w:rPr>
          <w:rFonts w:ascii="宋体" w:hAnsi="宋体" w:cs="宋体" w:eastAsia="宋体" w:hint="default"/>
          <w:b w:val="0"/>
          <w:bCs w:val="0"/>
        </w:rPr>
      </w:pPr>
      <w:r>
        <w:rPr>
          <w:rFonts w:ascii="宋体" w:hAnsi="宋体" w:cs="宋体" w:eastAsia="宋体" w:hint="default"/>
        </w:rPr>
        <w:t>52</w:t>
      </w:r>
      <w:r>
        <w:rPr/>
        <w:t>、</w:t>
      </w:r>
      <w:r>
        <w:rPr>
          <w:spacing w:val="-24"/>
        </w:rPr>
        <w:t> </w:t>
      </w:r>
      <w:r>
        <w:rPr/>
        <w:t>其他权益工具</w:t>
      </w:r>
      <w:r>
        <w:rPr>
          <w:rFonts w:ascii="宋体" w:hAnsi="宋体" w:cs="宋体" w:eastAsia="宋体" w:hint="default"/>
          <w:w w:val="99"/>
        </w:rPr>
        <w:t> </w:t>
      </w:r>
      <w:r>
        <w:rPr>
          <w:rFonts w:ascii="宋体" w:hAnsi="宋体" w:cs="宋体" w:eastAsia="宋体" w:hint="default"/>
        </w:rPr>
        <w:t>(1).</w:t>
      </w:r>
      <w:r>
        <w:rPr/>
        <w:t>期末发行在外的优先股、永续债等其他金融工具基本情况</w:t>
      </w:r>
      <w:r>
        <w:rPr>
          <w:rFonts w:ascii="宋体" w:hAnsi="宋体" w:cs="宋体" w:eastAsia="宋体" w:hint="default"/>
          <w:w w:val="99"/>
        </w:rPr>
        <w:t> </w:t>
      </w:r>
      <w:r>
        <w:rPr>
          <w:rFonts w:ascii="宋体" w:hAnsi="宋体" w:cs="宋体" w:eastAsia="宋体" w:hint="default"/>
          <w:b w:val="0"/>
          <w:bCs w:val="0"/>
        </w:rPr>
      </w:r>
    </w:p>
    <w:p>
      <w:pPr>
        <w:pStyle w:val="Heading2"/>
        <w:spacing w:line="240" w:lineRule="auto" w:before="2"/>
        <w:ind w:left="220"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rPr>
        <w:t>  </w:t>
      </w:r>
    </w:p>
    <w:p>
      <w:pPr>
        <w:pStyle w:val="Heading2"/>
        <w:spacing w:line="240" w:lineRule="auto" w:before="12"/>
        <w:ind w:left="220" w:right="0"/>
        <w:jc w:val="left"/>
        <w:rPr>
          <w:rFonts w:ascii="宋体" w:hAnsi="宋体" w:cs="宋体" w:eastAsia="宋体" w:hint="default"/>
        </w:rPr>
      </w:pPr>
      <w:r>
        <w:rPr>
          <w:rFonts w:ascii="宋体"/>
        </w:rPr>
        <w:t> </w:t>
      </w:r>
    </w:p>
    <w:p>
      <w:pPr>
        <w:pStyle w:val="Heading3"/>
        <w:spacing w:line="240" w:lineRule="auto" w:before="98"/>
        <w:ind w:left="220" w:right="0"/>
        <w:jc w:val="left"/>
        <w:rPr>
          <w:rFonts w:ascii="宋体" w:hAnsi="宋体" w:cs="宋体" w:eastAsia="宋体" w:hint="default"/>
          <w:b w:val="0"/>
          <w:bCs w:val="0"/>
        </w:rPr>
      </w:pPr>
      <w:r>
        <w:rPr>
          <w:rFonts w:ascii="宋体" w:hAnsi="宋体" w:cs="宋体" w:eastAsia="宋体" w:hint="default"/>
        </w:rPr>
        <w:t>(2).</w:t>
      </w:r>
      <w:r>
        <w:rPr/>
        <w:t>期末发行在外的优先股、永续债等金融工具变动情况表</w:t>
      </w:r>
      <w:r>
        <w:rPr>
          <w:rFonts w:ascii="宋体" w:hAnsi="宋体" w:cs="宋体" w:eastAsia="宋体" w:hint="default"/>
          <w:w w:val="99"/>
        </w:rPr>
        <w:t> </w:t>
      </w:r>
      <w:r>
        <w:rPr>
          <w:rFonts w:ascii="宋体" w:hAnsi="宋体" w:cs="宋体" w:eastAsia="宋体" w:hint="default"/>
          <w:b w:val="0"/>
          <w:bCs w:val="0"/>
        </w:rPr>
      </w:r>
    </w:p>
    <w:p>
      <w:pPr>
        <w:pStyle w:val="Heading2"/>
        <w:spacing w:line="240" w:lineRule="auto" w:before="86"/>
        <w:ind w:left="220" w:right="0"/>
        <w:jc w:val="left"/>
        <w:rPr>
          <w:rFonts w:ascii="宋体" w:hAnsi="宋体" w:cs="宋体" w:eastAsia="宋体" w:hint="default"/>
        </w:rPr>
      </w:pPr>
      <w:r>
        <w:rPr/>
        <w:pict>
          <v:shape style="position:absolute;margin-left:66.120003pt;margin-top:25.995611pt;width:705.85pt;height:70.6pt;mso-position-horizontal-relative:page;mso-position-vertical-relative:paragraph;z-index:304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292"/>
                    <w:gridCol w:w="1450"/>
                    <w:gridCol w:w="1940"/>
                    <w:gridCol w:w="1150"/>
                    <w:gridCol w:w="1342"/>
                    <w:gridCol w:w="1212"/>
                    <w:gridCol w:w="1330"/>
                    <w:gridCol w:w="1448"/>
                    <w:gridCol w:w="1939"/>
                  </w:tblGrid>
                  <w:tr>
                    <w:trPr>
                      <w:trHeight w:val="350" w:hRule="exact"/>
                    </w:trPr>
                    <w:tc>
                      <w:tcPr>
                        <w:tcW w:w="2292" w:type="dxa"/>
                        <w:vMerge w:val="restart"/>
                        <w:tcBorders>
                          <w:top w:val="single" w:sz="4" w:space="0" w:color="000000"/>
                          <w:left w:val="single" w:sz="4" w:space="0" w:color="000000"/>
                          <w:right w:val="single" w:sz="4" w:space="0" w:color="000000"/>
                        </w:tcBorders>
                      </w:tcPr>
                      <w:p>
                        <w:pPr>
                          <w:pStyle w:val="TableParagraph"/>
                          <w:spacing w:line="240" w:lineRule="auto" w:before="177"/>
                          <w:ind w:left="194" w:right="0"/>
                          <w:jc w:val="left"/>
                          <w:rPr>
                            <w:rFonts w:ascii="宋体" w:hAnsi="宋体" w:cs="宋体" w:eastAsia="宋体" w:hint="default"/>
                            <w:sz w:val="21"/>
                            <w:szCs w:val="21"/>
                          </w:rPr>
                        </w:pPr>
                        <w:r>
                          <w:rPr>
                            <w:rFonts w:ascii="宋体" w:hAnsi="宋体" w:cs="宋体" w:eastAsia="宋体" w:hint="default"/>
                            <w:sz w:val="21"/>
                            <w:szCs w:val="21"/>
                          </w:rPr>
                          <w:t>发行在外的金融工具</w:t>
                        </w:r>
                        <w:r>
                          <w:rPr>
                            <w:rFonts w:ascii="宋体" w:hAnsi="宋体" w:cs="宋体" w:eastAsia="宋体" w:hint="default"/>
                            <w:sz w:val="21"/>
                            <w:szCs w:val="21"/>
                          </w:rPr>
                          <w:t> </w:t>
                        </w:r>
                      </w:p>
                    </w:tc>
                    <w:tc>
                      <w:tcPr>
                        <w:tcW w:w="338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center"/>
                          <w:rPr>
                            <w:rFonts w:ascii="宋体" w:hAnsi="宋体" w:cs="宋体" w:eastAsia="宋体" w:hint="default"/>
                            <w:sz w:val="21"/>
                            <w:szCs w:val="21"/>
                          </w:rPr>
                        </w:pPr>
                        <w:r>
                          <w:rPr>
                            <w:rFonts w:ascii="宋体" w:hAnsi="宋体" w:cs="宋体" w:eastAsia="宋体" w:hint="default"/>
                            <w:sz w:val="21"/>
                            <w:szCs w:val="21"/>
                          </w:rPr>
                          <w:t>期初</w:t>
                        </w:r>
                        <w:r>
                          <w:rPr>
                            <w:rFonts w:ascii="宋体" w:hAnsi="宋体" w:cs="宋体" w:eastAsia="宋体" w:hint="default"/>
                            <w:sz w:val="21"/>
                            <w:szCs w:val="21"/>
                          </w:rPr>
                          <w:t> </w:t>
                        </w:r>
                      </w:p>
                    </w:tc>
                    <w:tc>
                      <w:tcPr>
                        <w:tcW w:w="24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818" w:right="0"/>
                          <w:jc w:val="left"/>
                          <w:rPr>
                            <w:rFonts w:ascii="宋体" w:hAnsi="宋体" w:cs="宋体" w:eastAsia="宋体" w:hint="default"/>
                            <w:sz w:val="21"/>
                            <w:szCs w:val="21"/>
                          </w:rPr>
                        </w:pPr>
                        <w:r>
                          <w:rPr>
                            <w:rFonts w:ascii="宋体" w:hAnsi="宋体" w:cs="宋体" w:eastAsia="宋体" w:hint="default"/>
                            <w:sz w:val="21"/>
                            <w:szCs w:val="21"/>
                          </w:rPr>
                          <w:t>本期增加</w:t>
                        </w:r>
                        <w:r>
                          <w:rPr>
                            <w:rFonts w:ascii="宋体" w:hAnsi="宋体" w:cs="宋体" w:eastAsia="宋体" w:hint="default"/>
                            <w:sz w:val="21"/>
                            <w:szCs w:val="21"/>
                          </w:rPr>
                          <w:t> </w:t>
                        </w:r>
                      </w:p>
                    </w:tc>
                    <w:tc>
                      <w:tcPr>
                        <w:tcW w:w="254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844" w:right="0"/>
                          <w:jc w:val="left"/>
                          <w:rPr>
                            <w:rFonts w:ascii="宋体" w:hAnsi="宋体" w:cs="宋体" w:eastAsia="宋体" w:hint="default"/>
                            <w:sz w:val="21"/>
                            <w:szCs w:val="21"/>
                          </w:rPr>
                        </w:pPr>
                        <w:r>
                          <w:rPr>
                            <w:rFonts w:ascii="宋体" w:hAnsi="宋体" w:cs="宋体" w:eastAsia="宋体" w:hint="default"/>
                            <w:sz w:val="21"/>
                            <w:szCs w:val="21"/>
                          </w:rPr>
                          <w:t>本期减少</w:t>
                        </w:r>
                        <w:r>
                          <w:rPr>
                            <w:rFonts w:ascii="宋体" w:hAnsi="宋体" w:cs="宋体" w:eastAsia="宋体" w:hint="default"/>
                            <w:sz w:val="21"/>
                            <w:szCs w:val="21"/>
                          </w:rPr>
                          <w:t> </w:t>
                        </w:r>
                      </w:p>
                    </w:tc>
                    <w:tc>
                      <w:tcPr>
                        <w:tcW w:w="338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6" w:right="0"/>
                          <w:jc w:val="center"/>
                          <w:rPr>
                            <w:rFonts w:ascii="宋体" w:hAnsi="宋体" w:cs="宋体" w:eastAsia="宋体" w:hint="default"/>
                            <w:sz w:val="21"/>
                            <w:szCs w:val="21"/>
                          </w:rPr>
                        </w:pPr>
                        <w:r>
                          <w:rPr>
                            <w:rFonts w:ascii="宋体" w:hAnsi="宋体" w:cs="宋体" w:eastAsia="宋体" w:hint="default"/>
                            <w:sz w:val="21"/>
                            <w:szCs w:val="21"/>
                          </w:rPr>
                          <w:t>期末</w:t>
                        </w:r>
                        <w:r>
                          <w:rPr>
                            <w:rFonts w:ascii="宋体" w:hAnsi="宋体" w:cs="宋体" w:eastAsia="宋体" w:hint="default"/>
                            <w:sz w:val="21"/>
                            <w:szCs w:val="21"/>
                          </w:rPr>
                          <w:t> </w:t>
                        </w:r>
                      </w:p>
                    </w:tc>
                  </w:tr>
                  <w:tr>
                    <w:trPr>
                      <w:trHeight w:val="350" w:hRule="exact"/>
                    </w:trPr>
                    <w:tc>
                      <w:tcPr>
                        <w:tcW w:w="2292" w:type="dxa"/>
                        <w:vMerge/>
                        <w:tcBorders>
                          <w:left w:val="single" w:sz="4" w:space="0" w:color="000000"/>
                          <w:bottom w:val="single" w:sz="4" w:space="0" w:color="000000"/>
                          <w:right w:val="single" w:sz="4" w:space="0" w:color="000000"/>
                        </w:tcBorders>
                      </w:tcPr>
                      <w:p>
                        <w:pP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508" w:right="0"/>
                          <w:jc w:val="left"/>
                          <w:rPr>
                            <w:rFonts w:ascii="宋体" w:hAnsi="宋体" w:cs="宋体" w:eastAsia="宋体" w:hint="default"/>
                            <w:sz w:val="21"/>
                            <w:szCs w:val="21"/>
                          </w:rPr>
                        </w:pPr>
                        <w:r>
                          <w:rPr>
                            <w:rFonts w:ascii="宋体" w:hAnsi="宋体" w:cs="宋体" w:eastAsia="宋体" w:hint="default"/>
                            <w:sz w:val="21"/>
                            <w:szCs w:val="21"/>
                          </w:rPr>
                          <w:t>数量</w:t>
                        </w:r>
                        <w:r>
                          <w:rPr>
                            <w:rFonts w:ascii="宋体" w:hAnsi="宋体" w:cs="宋体" w:eastAsia="宋体" w:hint="default"/>
                            <w:sz w:val="21"/>
                            <w:szCs w:val="21"/>
                          </w:rPr>
                          <w:t> </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545" w:right="0"/>
                          <w:jc w:val="left"/>
                          <w:rPr>
                            <w:rFonts w:ascii="宋体" w:hAnsi="宋体" w:cs="宋体" w:eastAsia="宋体" w:hint="default"/>
                            <w:sz w:val="21"/>
                            <w:szCs w:val="21"/>
                          </w:rPr>
                        </w:pPr>
                        <w:r>
                          <w:rPr>
                            <w:rFonts w:ascii="宋体" w:hAnsi="宋体" w:cs="宋体" w:eastAsia="宋体" w:hint="default"/>
                            <w:sz w:val="21"/>
                            <w:szCs w:val="21"/>
                          </w:rPr>
                          <w:t>账面价值</w:t>
                        </w:r>
                        <w:r>
                          <w:rPr>
                            <w:rFonts w:ascii="宋体" w:hAnsi="宋体" w:cs="宋体" w:eastAsia="宋体" w:hint="default"/>
                            <w:sz w:val="21"/>
                            <w:szCs w:val="21"/>
                          </w:rPr>
                          <w:t> </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357" w:right="0"/>
                          <w:jc w:val="left"/>
                          <w:rPr>
                            <w:rFonts w:ascii="宋体" w:hAnsi="宋体" w:cs="宋体" w:eastAsia="宋体" w:hint="default"/>
                            <w:sz w:val="21"/>
                            <w:szCs w:val="21"/>
                          </w:rPr>
                        </w:pPr>
                        <w:r>
                          <w:rPr>
                            <w:rFonts w:ascii="宋体" w:hAnsi="宋体" w:cs="宋体" w:eastAsia="宋体" w:hint="default"/>
                            <w:sz w:val="21"/>
                            <w:szCs w:val="21"/>
                          </w:rPr>
                          <w:t>数量</w:t>
                        </w:r>
                        <w:r>
                          <w:rPr>
                            <w:rFonts w:ascii="宋体" w:hAnsi="宋体" w:cs="宋体" w:eastAsia="宋体" w:hint="default"/>
                            <w:sz w:val="21"/>
                            <w:szCs w:val="21"/>
                          </w:rPr>
                          <w:t> </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244" w:right="0"/>
                          <w:jc w:val="left"/>
                          <w:rPr>
                            <w:rFonts w:ascii="宋体" w:hAnsi="宋体" w:cs="宋体" w:eastAsia="宋体" w:hint="default"/>
                            <w:sz w:val="21"/>
                            <w:szCs w:val="21"/>
                          </w:rPr>
                        </w:pPr>
                        <w:r>
                          <w:rPr>
                            <w:rFonts w:ascii="宋体" w:hAnsi="宋体" w:cs="宋体" w:eastAsia="宋体" w:hint="default"/>
                            <w:sz w:val="21"/>
                            <w:szCs w:val="21"/>
                          </w:rPr>
                          <w:t>账面价值</w:t>
                        </w:r>
                        <w:r>
                          <w:rPr>
                            <w:rFonts w:ascii="宋体" w:hAnsi="宋体" w:cs="宋体" w:eastAsia="宋体" w:hint="default"/>
                            <w:sz w:val="21"/>
                            <w:szCs w:val="21"/>
                          </w:rPr>
                          <w:t> </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391" w:right="0"/>
                          <w:jc w:val="left"/>
                          <w:rPr>
                            <w:rFonts w:ascii="宋体" w:hAnsi="宋体" w:cs="宋体" w:eastAsia="宋体" w:hint="default"/>
                            <w:sz w:val="21"/>
                            <w:szCs w:val="21"/>
                          </w:rPr>
                        </w:pPr>
                        <w:r>
                          <w:rPr>
                            <w:rFonts w:ascii="宋体" w:hAnsi="宋体" w:cs="宋体" w:eastAsia="宋体" w:hint="default"/>
                            <w:sz w:val="21"/>
                            <w:szCs w:val="21"/>
                          </w:rPr>
                          <w:t>数量</w:t>
                        </w:r>
                        <w:r>
                          <w:rPr>
                            <w:rFonts w:ascii="宋体" w:hAnsi="宋体" w:cs="宋体" w:eastAsia="宋体" w:hint="default"/>
                            <w:sz w:val="21"/>
                            <w:szCs w:val="21"/>
                          </w:rPr>
                          <w:t> </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237" w:right="0"/>
                          <w:jc w:val="left"/>
                          <w:rPr>
                            <w:rFonts w:ascii="宋体" w:hAnsi="宋体" w:cs="宋体" w:eastAsia="宋体" w:hint="default"/>
                            <w:sz w:val="21"/>
                            <w:szCs w:val="21"/>
                          </w:rPr>
                        </w:pPr>
                        <w:r>
                          <w:rPr>
                            <w:rFonts w:ascii="宋体" w:hAnsi="宋体" w:cs="宋体" w:eastAsia="宋体" w:hint="default"/>
                            <w:sz w:val="21"/>
                            <w:szCs w:val="21"/>
                          </w:rPr>
                          <w:t>账面价值</w:t>
                        </w:r>
                        <w:r>
                          <w:rPr>
                            <w:rFonts w:ascii="宋体" w:hAnsi="宋体" w:cs="宋体" w:eastAsia="宋体" w:hint="default"/>
                            <w:sz w:val="21"/>
                            <w:szCs w:val="21"/>
                          </w:rPr>
                          <w:t> </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509" w:right="0"/>
                          <w:jc w:val="left"/>
                          <w:rPr>
                            <w:rFonts w:ascii="宋体" w:hAnsi="宋体" w:cs="宋体" w:eastAsia="宋体" w:hint="default"/>
                            <w:sz w:val="21"/>
                            <w:szCs w:val="21"/>
                          </w:rPr>
                        </w:pPr>
                        <w:r>
                          <w:rPr>
                            <w:rFonts w:ascii="宋体" w:hAnsi="宋体" w:cs="宋体" w:eastAsia="宋体" w:hint="default"/>
                            <w:sz w:val="21"/>
                            <w:szCs w:val="21"/>
                          </w:rPr>
                          <w:t>数量</w:t>
                        </w:r>
                        <w:r>
                          <w:rPr>
                            <w:rFonts w:ascii="宋体" w:hAnsi="宋体" w:cs="宋体" w:eastAsia="宋体" w:hint="default"/>
                            <w:sz w:val="21"/>
                            <w:szCs w:val="21"/>
                          </w:rPr>
                          <w:t> </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542" w:right="0"/>
                          <w:jc w:val="left"/>
                          <w:rPr>
                            <w:rFonts w:ascii="宋体" w:hAnsi="宋体" w:cs="宋体" w:eastAsia="宋体" w:hint="default"/>
                            <w:sz w:val="21"/>
                            <w:szCs w:val="21"/>
                          </w:rPr>
                        </w:pPr>
                        <w:r>
                          <w:rPr>
                            <w:rFonts w:ascii="宋体" w:hAnsi="宋体" w:cs="宋体" w:eastAsia="宋体" w:hint="default"/>
                            <w:sz w:val="21"/>
                            <w:szCs w:val="21"/>
                          </w:rPr>
                          <w:t>账面价值</w:t>
                        </w:r>
                        <w:r>
                          <w:rPr>
                            <w:rFonts w:ascii="宋体" w:hAnsi="宋体" w:cs="宋体" w:eastAsia="宋体" w:hint="default"/>
                            <w:sz w:val="21"/>
                            <w:szCs w:val="21"/>
                          </w:rPr>
                          <w:t> </w:t>
                        </w:r>
                      </w:p>
                    </w:tc>
                  </w:tr>
                  <w:tr>
                    <w:trPr>
                      <w:trHeight w:val="350"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07" w:right="0"/>
                          <w:jc w:val="left"/>
                          <w:rPr>
                            <w:rFonts w:ascii="宋体" w:hAnsi="宋体" w:cs="宋体" w:eastAsia="宋体" w:hint="default"/>
                            <w:sz w:val="24"/>
                            <w:szCs w:val="24"/>
                          </w:rPr>
                        </w:pPr>
                        <w:r>
                          <w:rPr>
                            <w:rFonts w:ascii="宋体" w:hAnsi="宋体" w:cs="宋体" w:eastAsia="宋体" w:hint="default"/>
                            <w:sz w:val="21"/>
                            <w:szCs w:val="21"/>
                          </w:rPr>
                          <w:t>可转换公司债券</w:t>
                        </w:r>
                        <w:r>
                          <w:rPr>
                            <w:rFonts w:ascii="宋体" w:hAnsi="宋体" w:cs="宋体" w:eastAsia="宋体" w:hint="default"/>
                            <w:sz w:val="24"/>
                            <w:szCs w:val="24"/>
                          </w:rPr>
                          <w:t> </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0"/>
                          <w:jc w:val="right"/>
                          <w:rPr>
                            <w:rFonts w:ascii="宋体" w:hAnsi="宋体" w:cs="宋体" w:eastAsia="宋体" w:hint="default"/>
                            <w:sz w:val="21"/>
                            <w:szCs w:val="21"/>
                          </w:rPr>
                        </w:pPr>
                        <w:r>
                          <w:rPr>
                            <w:rFonts w:ascii="宋体"/>
                            <w:spacing w:val="-1"/>
                            <w:sz w:val="21"/>
                          </w:rPr>
                          <w:t>29,999,610</w:t>
                        </w:r>
                        <w:r>
                          <w:rPr>
                            <w:rFonts w:ascii="宋体"/>
                            <w:sz w:val="21"/>
                          </w:rPr>
                          <w:t> </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0"/>
                          <w:jc w:val="right"/>
                          <w:rPr>
                            <w:rFonts w:ascii="宋体" w:hAnsi="宋体" w:cs="宋体" w:eastAsia="宋体" w:hint="default"/>
                            <w:sz w:val="21"/>
                            <w:szCs w:val="21"/>
                          </w:rPr>
                        </w:pPr>
                        <w:r>
                          <w:rPr>
                            <w:rFonts w:ascii="宋体"/>
                            <w:spacing w:val="-1"/>
                            <w:sz w:val="21"/>
                          </w:rPr>
                          <w:t>648,686,895.88</w:t>
                        </w:r>
                        <w:r>
                          <w:rPr>
                            <w:rFonts w:ascii="宋体"/>
                            <w:sz w:val="21"/>
                          </w:rPr>
                          <w:t> </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2"/>
                          <w:jc w:val="right"/>
                          <w:rPr>
                            <w:rFonts w:ascii="宋体" w:hAnsi="宋体" w:cs="宋体" w:eastAsia="宋体" w:hint="default"/>
                            <w:sz w:val="21"/>
                            <w:szCs w:val="21"/>
                          </w:rPr>
                        </w:pPr>
                        <w:r>
                          <w:rPr>
                            <w:rFonts w:ascii="宋体"/>
                            <w:w w:val="100"/>
                            <w:sz w:val="21"/>
                          </w:rPr>
                          <w:t> </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0"/>
                          <w:jc w:val="right"/>
                          <w:rPr>
                            <w:rFonts w:ascii="宋体" w:hAnsi="宋体" w:cs="宋体" w:eastAsia="宋体" w:hint="default"/>
                            <w:sz w:val="21"/>
                            <w:szCs w:val="21"/>
                          </w:rPr>
                        </w:pPr>
                        <w:r>
                          <w:rPr>
                            <w:rFonts w:ascii="宋体"/>
                            <w:w w:val="100"/>
                            <w:sz w:val="21"/>
                          </w:rPr>
                          <w:t> </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0"/>
                          <w:jc w:val="right"/>
                          <w:rPr>
                            <w:rFonts w:ascii="宋体" w:hAnsi="宋体" w:cs="宋体" w:eastAsia="宋体" w:hint="default"/>
                            <w:sz w:val="21"/>
                            <w:szCs w:val="21"/>
                          </w:rPr>
                        </w:pPr>
                        <w:r>
                          <w:rPr>
                            <w:rFonts w:ascii="宋体"/>
                            <w:spacing w:val="-1"/>
                            <w:sz w:val="21"/>
                          </w:rPr>
                          <w:t>9,017.00</w:t>
                        </w:r>
                        <w:r>
                          <w:rPr>
                            <w:rFonts w:ascii="宋体"/>
                            <w:sz w:val="21"/>
                          </w:rPr>
                          <w:t> </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264" w:right="0"/>
                          <w:jc w:val="left"/>
                          <w:rPr>
                            <w:rFonts w:ascii="宋体" w:hAnsi="宋体" w:cs="宋体" w:eastAsia="宋体" w:hint="default"/>
                            <w:sz w:val="21"/>
                            <w:szCs w:val="21"/>
                          </w:rPr>
                        </w:pPr>
                        <w:r>
                          <w:rPr>
                            <w:rFonts w:ascii="宋体"/>
                            <w:sz w:val="21"/>
                          </w:rPr>
                          <w:t>17,082.31 </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1"/>
                          <w:jc w:val="right"/>
                          <w:rPr>
                            <w:rFonts w:ascii="宋体" w:hAnsi="宋体" w:cs="宋体" w:eastAsia="宋体" w:hint="default"/>
                            <w:sz w:val="21"/>
                            <w:szCs w:val="21"/>
                          </w:rPr>
                        </w:pPr>
                        <w:r>
                          <w:rPr>
                            <w:rFonts w:ascii="宋体"/>
                            <w:spacing w:val="-1"/>
                            <w:sz w:val="21"/>
                          </w:rPr>
                          <w:t>29,990,593</w:t>
                        </w:r>
                        <w:r>
                          <w:rPr>
                            <w:rFonts w:ascii="宋体"/>
                            <w:sz w:val="21"/>
                          </w:rPr>
                          <w:t> </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2"/>
                          <w:jc w:val="right"/>
                          <w:rPr>
                            <w:rFonts w:ascii="宋体" w:hAnsi="宋体" w:cs="宋体" w:eastAsia="宋体" w:hint="default"/>
                            <w:sz w:val="21"/>
                            <w:szCs w:val="21"/>
                          </w:rPr>
                        </w:pPr>
                        <w:r>
                          <w:rPr>
                            <w:rFonts w:ascii="宋体"/>
                            <w:spacing w:val="-1"/>
                            <w:sz w:val="21"/>
                          </w:rPr>
                          <w:t>648,669,813.57</w:t>
                        </w:r>
                        <w:r>
                          <w:rPr>
                            <w:rFonts w:ascii="宋体"/>
                            <w:sz w:val="21"/>
                          </w:rPr>
                          <w:t> </w:t>
                        </w:r>
                      </w:p>
                    </w:tc>
                  </w:tr>
                  <w:tr>
                    <w:trPr>
                      <w:trHeight w:val="350"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06"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0"/>
                          <w:jc w:val="right"/>
                          <w:rPr>
                            <w:rFonts w:ascii="宋体" w:hAnsi="宋体" w:cs="宋体" w:eastAsia="宋体" w:hint="default"/>
                            <w:sz w:val="21"/>
                            <w:szCs w:val="21"/>
                          </w:rPr>
                        </w:pPr>
                        <w:r>
                          <w:rPr>
                            <w:rFonts w:ascii="宋体"/>
                            <w:spacing w:val="-1"/>
                            <w:sz w:val="21"/>
                          </w:rPr>
                          <w:t>29,999,610</w:t>
                        </w:r>
                        <w:r>
                          <w:rPr>
                            <w:rFonts w:ascii="宋体"/>
                            <w:sz w:val="21"/>
                          </w:rPr>
                          <w:t> </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0"/>
                          <w:jc w:val="right"/>
                          <w:rPr>
                            <w:rFonts w:ascii="宋体" w:hAnsi="宋体" w:cs="宋体" w:eastAsia="宋体" w:hint="default"/>
                            <w:sz w:val="21"/>
                            <w:szCs w:val="21"/>
                          </w:rPr>
                        </w:pPr>
                        <w:r>
                          <w:rPr>
                            <w:rFonts w:ascii="宋体"/>
                            <w:spacing w:val="-1"/>
                            <w:sz w:val="21"/>
                          </w:rPr>
                          <w:t>648,686,895.88</w:t>
                        </w:r>
                        <w:r>
                          <w:rPr>
                            <w:rFonts w:ascii="宋体"/>
                            <w:sz w:val="21"/>
                          </w:rPr>
                          <w:t> </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2"/>
                          <w:jc w:val="right"/>
                          <w:rPr>
                            <w:rFonts w:ascii="宋体" w:hAnsi="宋体" w:cs="宋体" w:eastAsia="宋体" w:hint="default"/>
                            <w:sz w:val="21"/>
                            <w:szCs w:val="21"/>
                          </w:rPr>
                        </w:pPr>
                        <w:r>
                          <w:rPr>
                            <w:rFonts w:ascii="宋体"/>
                            <w:w w:val="100"/>
                            <w:sz w:val="21"/>
                          </w:rPr>
                          <w:t> </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0"/>
                          <w:jc w:val="right"/>
                          <w:rPr>
                            <w:rFonts w:ascii="宋体" w:hAnsi="宋体" w:cs="宋体" w:eastAsia="宋体" w:hint="default"/>
                            <w:sz w:val="21"/>
                            <w:szCs w:val="21"/>
                          </w:rPr>
                        </w:pPr>
                        <w:r>
                          <w:rPr>
                            <w:rFonts w:ascii="宋体"/>
                            <w:w w:val="100"/>
                            <w:sz w:val="21"/>
                          </w:rPr>
                          <w:t> </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0"/>
                          <w:jc w:val="right"/>
                          <w:rPr>
                            <w:rFonts w:ascii="宋体" w:hAnsi="宋体" w:cs="宋体" w:eastAsia="宋体" w:hint="default"/>
                            <w:sz w:val="21"/>
                            <w:szCs w:val="21"/>
                          </w:rPr>
                        </w:pPr>
                        <w:r>
                          <w:rPr>
                            <w:rFonts w:ascii="宋体"/>
                            <w:spacing w:val="-1"/>
                            <w:sz w:val="21"/>
                          </w:rPr>
                          <w:t>9,017.00</w:t>
                        </w:r>
                        <w:r>
                          <w:rPr>
                            <w:rFonts w:ascii="宋体"/>
                            <w:sz w:val="21"/>
                          </w:rPr>
                          <w:t> </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264" w:right="0"/>
                          <w:jc w:val="left"/>
                          <w:rPr>
                            <w:rFonts w:ascii="宋体" w:hAnsi="宋体" w:cs="宋体" w:eastAsia="宋体" w:hint="default"/>
                            <w:sz w:val="21"/>
                            <w:szCs w:val="21"/>
                          </w:rPr>
                        </w:pPr>
                        <w:r>
                          <w:rPr>
                            <w:rFonts w:ascii="宋体"/>
                            <w:sz w:val="21"/>
                          </w:rPr>
                          <w:t>17,082.31 </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1"/>
                          <w:jc w:val="right"/>
                          <w:rPr>
                            <w:rFonts w:ascii="宋体" w:hAnsi="宋体" w:cs="宋体" w:eastAsia="宋体" w:hint="default"/>
                            <w:sz w:val="21"/>
                            <w:szCs w:val="21"/>
                          </w:rPr>
                        </w:pPr>
                        <w:r>
                          <w:rPr>
                            <w:rFonts w:ascii="宋体"/>
                            <w:spacing w:val="-1"/>
                            <w:sz w:val="21"/>
                          </w:rPr>
                          <w:t>29,990,593</w:t>
                        </w:r>
                        <w:r>
                          <w:rPr>
                            <w:rFonts w:ascii="宋体"/>
                            <w:sz w:val="21"/>
                          </w:rPr>
                          <w:t> </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2"/>
                          <w:jc w:val="right"/>
                          <w:rPr>
                            <w:rFonts w:ascii="宋体" w:hAnsi="宋体" w:cs="宋体" w:eastAsia="宋体" w:hint="default"/>
                            <w:sz w:val="21"/>
                            <w:szCs w:val="21"/>
                          </w:rPr>
                        </w:pPr>
                        <w:r>
                          <w:rPr>
                            <w:rFonts w:ascii="宋体"/>
                            <w:spacing w:val="-1"/>
                            <w:sz w:val="21"/>
                          </w:rPr>
                          <w:t>648,669,813.57</w:t>
                        </w:r>
                        <w:r>
                          <w:rPr>
                            <w:rFonts w:ascii="宋体"/>
                            <w:sz w:val="21"/>
                          </w:rPr>
                          <w:t> </w:t>
                        </w:r>
                      </w:p>
                    </w:tc>
                  </w:tr>
                </w:tbl>
                <w:p>
                  <w:pPr/>
                </w:p>
              </w:txbxContent>
            </v:textbox>
            <w10:wrap type="none"/>
          </v:shape>
        </w:pict>
      </w:r>
      <w:r>
        <w:rPr/>
        <w:t>√适用 </w:t>
      </w:r>
      <w:r>
        <w:rPr>
          <w:rFonts w:ascii="宋体" w:hAnsi="宋体" w:cs="宋体" w:eastAsia="宋体" w:hint="default"/>
        </w:rPr>
      </w:r>
      <w:r>
        <w:rPr/>
        <w:t>□不适用</w:t>
      </w:r>
      <w:r>
        <w:rPr>
          <w:rFonts w:ascii="宋体" w:hAnsi="宋体" w:cs="宋体" w:eastAsia="宋体" w:hint="default"/>
        </w:rPr>
        <w:t>  </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9"/>
        <w:rPr>
          <w:rFonts w:ascii="宋体" w:hAnsi="宋体" w:cs="宋体" w:eastAsia="宋体" w:hint="default"/>
          <w:sz w:val="18"/>
          <w:szCs w:val="18"/>
        </w:rPr>
      </w:pPr>
    </w:p>
    <w:p>
      <w:pPr>
        <w:pStyle w:val="Heading2"/>
        <w:spacing w:line="240" w:lineRule="auto"/>
        <w:ind w:left="220" w:right="0"/>
        <w:jc w:val="left"/>
        <w:rPr>
          <w:rFonts w:ascii="宋体" w:hAnsi="宋体" w:cs="宋体" w:eastAsia="宋体" w:hint="default"/>
        </w:rPr>
      </w:pPr>
      <w:r>
        <w:rPr>
          <w:rFonts w:ascii="宋体"/>
        </w:rPr>
        <w:t> </w:t>
      </w:r>
    </w:p>
    <w:p>
      <w:pPr>
        <w:pStyle w:val="BodyText"/>
        <w:spacing w:line="240" w:lineRule="auto" w:before="35"/>
        <w:ind w:left="220" w:right="0"/>
        <w:jc w:val="left"/>
        <w:rPr>
          <w:rFonts w:ascii="宋体" w:hAnsi="宋体" w:cs="宋体" w:eastAsia="宋体" w:hint="default"/>
        </w:rPr>
      </w:pPr>
      <w:r>
        <w:rPr/>
        <w:t>其他权益工具本期增减变动情况、变动原因说明，以及相关会计处理的依据：</w:t>
      </w:r>
      <w:r>
        <w:rPr>
          <w:rFonts w:ascii="宋体" w:hAnsi="宋体" w:cs="宋体" w:eastAsia="宋体" w:hint="default"/>
        </w:rPr>
        <w:t> </w:t>
      </w:r>
    </w:p>
    <w:p>
      <w:pPr>
        <w:pStyle w:val="BodyText"/>
        <w:spacing w:line="240" w:lineRule="auto" w:before="52"/>
        <w:ind w:left="220"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85" w:lineRule="auto" w:before="51"/>
        <w:ind w:left="220" w:right="0"/>
        <w:jc w:val="left"/>
        <w:rPr>
          <w:rFonts w:ascii="宋体" w:hAnsi="宋体" w:cs="宋体" w:eastAsia="宋体" w:hint="default"/>
        </w:rPr>
      </w:pPr>
      <w:r>
        <w:rPr>
          <w:rFonts w:ascii="宋体" w:hAnsi="宋体" w:cs="宋体" w:eastAsia="宋体" w:hint="default"/>
          <w:w w:val="100"/>
        </w:rPr>
        <w:t>  </w:t>
      </w:r>
      <w:r>
        <w:rPr>
          <w:w w:val="100"/>
        </w:rPr>
        <w:t>其他</w:t>
      </w:r>
      <w:r>
        <w:rPr>
          <w:spacing w:val="-3"/>
          <w:w w:val="100"/>
        </w:rPr>
        <w:t>说</w:t>
      </w:r>
      <w:r>
        <w:rPr>
          <w:w w:val="100"/>
        </w:rPr>
        <w:t>明</w:t>
      </w:r>
      <w:r>
        <w:rPr>
          <w:rFonts w:ascii="宋体" w:hAnsi="宋体" w:cs="宋体" w:eastAsia="宋体" w:hint="default"/>
          <w:spacing w:val="-3"/>
          <w:w w:val="100"/>
        </w:rPr>
        <w:t>:</w:t>
      </w:r>
      <w:r>
        <w:rPr>
          <w:rFonts w:ascii="宋体" w:hAnsi="宋体" w:cs="宋体" w:eastAsia="宋体" w:hint="default"/>
          <w:w w:val="100"/>
        </w:rPr>
        <w:t> </w:t>
      </w:r>
    </w:p>
    <w:p>
      <w:pPr>
        <w:pStyle w:val="BodyText"/>
        <w:spacing w:line="240" w:lineRule="auto" w:before="11"/>
        <w:ind w:left="220"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8"/>
          <w:szCs w:val="18"/>
        </w:rPr>
      </w:pPr>
    </w:p>
    <w:p>
      <w:pPr>
        <w:spacing w:before="63"/>
        <w:ind w:left="6786" w:right="6810" w:firstLine="0"/>
        <w:jc w:val="center"/>
        <w:rPr>
          <w:rFonts w:ascii="Calibri" w:hAnsi="Calibri" w:cs="Calibri" w:eastAsia="Calibri" w:hint="default"/>
          <w:sz w:val="18"/>
          <w:szCs w:val="18"/>
        </w:rPr>
      </w:pPr>
      <w:r>
        <w:rPr>
          <w:rFonts w:ascii="Calibri"/>
          <w:b/>
          <w:sz w:val="18"/>
        </w:rPr>
        <w:t>166 </w:t>
      </w:r>
      <w:r>
        <w:rPr>
          <w:rFonts w:ascii="Calibri"/>
          <w:sz w:val="18"/>
        </w:rPr>
        <w:t>/</w:t>
      </w:r>
      <w:r>
        <w:rPr>
          <w:rFonts w:ascii="Calibri"/>
          <w:spacing w:val="-5"/>
          <w:sz w:val="18"/>
        </w:rPr>
        <w:t> </w:t>
      </w:r>
      <w:r>
        <w:rPr>
          <w:rFonts w:ascii="Calibri"/>
          <w:b/>
          <w:sz w:val="18"/>
        </w:rPr>
        <w:t>216</w:t>
      </w:r>
      <w:r>
        <w:rPr>
          <w:rFonts w:ascii="Calibri"/>
          <w:sz w:val="18"/>
        </w:rPr>
      </w:r>
    </w:p>
    <w:p>
      <w:pPr>
        <w:spacing w:after="0"/>
        <w:jc w:val="center"/>
        <w:rPr>
          <w:rFonts w:ascii="Calibri" w:hAnsi="Calibri" w:cs="Calibri" w:eastAsia="Calibri" w:hint="default"/>
          <w:sz w:val="18"/>
          <w:szCs w:val="18"/>
        </w:rPr>
        <w:sectPr>
          <w:headerReference w:type="default" r:id="rId192"/>
          <w:footerReference w:type="default" r:id="rId193"/>
          <w:pgSz w:w="16840" w:h="11910" w:orient="landscape"/>
          <w:pgMar w:header="0" w:footer="0" w:top="660" w:bottom="280" w:left="1220" w:right="1280"/>
        </w:sectPr>
      </w:pPr>
    </w:p>
    <w:p>
      <w:pPr>
        <w:spacing w:line="240" w:lineRule="auto" w:before="6"/>
        <w:rPr>
          <w:rFonts w:ascii="Calibri" w:hAnsi="Calibri" w:cs="Calibri" w:eastAsia="Calibri" w:hint="default"/>
          <w:b/>
          <w:bCs/>
          <w:sz w:val="20"/>
          <w:szCs w:val="20"/>
        </w:rPr>
      </w:pPr>
    </w:p>
    <w:p>
      <w:pPr>
        <w:spacing w:after="0" w:line="240" w:lineRule="auto"/>
        <w:rPr>
          <w:rFonts w:ascii="Calibri" w:hAnsi="Calibri" w:cs="Calibri" w:eastAsia="Calibri" w:hint="default"/>
          <w:sz w:val="20"/>
          <w:szCs w:val="20"/>
        </w:rPr>
        <w:sectPr>
          <w:headerReference w:type="default" r:id="rId194"/>
          <w:footerReference w:type="default" r:id="rId195"/>
          <w:pgSz w:w="11910" w:h="16840"/>
          <w:pgMar w:header="748" w:footer="0" w:top="1140" w:bottom="280" w:left="1040" w:right="1560"/>
        </w:sectPr>
      </w:pPr>
    </w:p>
    <w:p>
      <w:pPr>
        <w:pStyle w:val="BodyText"/>
        <w:spacing w:line="240" w:lineRule="auto" w:before="36"/>
        <w:ind w:left="236" w:right="0"/>
        <w:jc w:val="left"/>
        <w:rPr>
          <w:rFonts w:ascii="宋体" w:hAnsi="宋体" w:cs="宋体" w:eastAsia="宋体" w:hint="default"/>
        </w:rPr>
      </w:pPr>
      <w:r>
        <w:rPr>
          <w:rFonts w:ascii="宋体"/>
          <w:w w:val="100"/>
        </w:rPr>
        <w:t> </w:t>
      </w:r>
    </w:p>
    <w:p>
      <w:pPr>
        <w:pStyle w:val="Heading3"/>
        <w:spacing w:line="240" w:lineRule="auto"/>
        <w:ind w:left="236" w:right="0"/>
        <w:jc w:val="left"/>
        <w:rPr>
          <w:rFonts w:ascii="宋体" w:hAnsi="宋体" w:cs="宋体" w:eastAsia="宋体" w:hint="default"/>
          <w:b w:val="0"/>
          <w:bCs w:val="0"/>
        </w:rPr>
      </w:pPr>
      <w:r>
        <w:rPr>
          <w:rFonts w:ascii="宋体" w:hAnsi="宋体" w:cs="宋体" w:eastAsia="宋体" w:hint="default"/>
        </w:rPr>
        <w:t>53</w:t>
      </w:r>
      <w:r>
        <w:rPr/>
        <w:t>、</w:t>
      </w:r>
      <w:r>
        <w:rPr>
          <w:spacing w:val="-27"/>
        </w:rPr>
        <w:t> </w:t>
      </w:r>
      <w:r>
        <w:rPr/>
        <w:t>资本公积</w:t>
      </w:r>
      <w:r>
        <w:rPr>
          <w:rFonts w:ascii="宋体" w:hAnsi="宋体" w:cs="宋体" w:eastAsia="宋体" w:hint="default"/>
          <w:w w:val="99"/>
        </w:rPr>
        <w:t> </w:t>
      </w:r>
      <w:r>
        <w:rPr>
          <w:rFonts w:ascii="宋体" w:hAnsi="宋体" w:cs="宋体" w:eastAsia="宋体" w:hint="default"/>
          <w:b w:val="0"/>
          <w:bCs w:val="0"/>
        </w:rPr>
      </w:r>
    </w:p>
    <w:p>
      <w:pPr>
        <w:pStyle w:val="Heading2"/>
        <w:spacing w:line="240" w:lineRule="auto" w:before="69"/>
        <w:ind w:left="23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3"/>
          <w:szCs w:val="23"/>
        </w:rPr>
      </w:pPr>
    </w:p>
    <w:p>
      <w:pPr>
        <w:pStyle w:val="BodyText"/>
        <w:spacing w:line="240" w:lineRule="auto"/>
        <w:ind w:left="236" w:right="0"/>
        <w:jc w:val="left"/>
        <w:rPr>
          <w:rFonts w:ascii="宋体" w:hAnsi="宋体" w:cs="宋体" w:eastAsia="宋体" w:hint="default"/>
        </w:rPr>
      </w:pPr>
      <w:r>
        <w:rPr/>
        <w:t>单位：元币种：人民币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580" w:bottom="280" w:left="1040" w:right="1560"/>
          <w:cols w:num="2" w:equalWidth="0">
            <w:col w:w="2278" w:space="4456"/>
            <w:col w:w="2576"/>
          </w:cols>
        </w:sectPr>
      </w:pPr>
    </w:p>
    <w:p>
      <w:pPr>
        <w:spacing w:line="240" w:lineRule="auto" w:before="10"/>
        <w:rPr>
          <w:rFonts w:ascii="宋体" w:hAnsi="宋体" w:cs="宋体" w:eastAsia="宋体" w:hint="default"/>
          <w:sz w:val="3"/>
          <w:szCs w:val="3"/>
        </w:rPr>
      </w:pPr>
    </w:p>
    <w:tbl>
      <w:tblPr>
        <w:tblW w:w="0" w:type="auto"/>
        <w:jc w:val="left"/>
        <w:tblInd w:w="119" w:type="dxa"/>
        <w:tblLayout w:type="fixed"/>
        <w:tblCellMar>
          <w:top w:w="0" w:type="dxa"/>
          <w:left w:w="0" w:type="dxa"/>
          <w:bottom w:w="0" w:type="dxa"/>
          <w:right w:w="0" w:type="dxa"/>
        </w:tblCellMar>
        <w:tblLook w:val="01E0"/>
      </w:tblPr>
      <w:tblGrid>
        <w:gridCol w:w="1889"/>
        <w:gridCol w:w="2000"/>
        <w:gridCol w:w="1202"/>
        <w:gridCol w:w="1767"/>
        <w:gridCol w:w="2204"/>
      </w:tblGrid>
      <w:tr>
        <w:trPr>
          <w:trHeight w:val="283" w:hRule="exact"/>
        </w:trPr>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0" w:right="0"/>
              <w:jc w:val="left"/>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71"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5" w:right="0"/>
              <w:jc w:val="left"/>
              <w:rPr>
                <w:rFonts w:ascii="宋体" w:hAnsi="宋体" w:cs="宋体" w:eastAsia="宋体" w:hint="default"/>
                <w:sz w:val="21"/>
                <w:szCs w:val="21"/>
              </w:rPr>
            </w:pPr>
            <w:r>
              <w:rPr>
                <w:rFonts w:ascii="宋体" w:hAnsi="宋体" w:cs="宋体" w:eastAsia="宋体" w:hint="default"/>
                <w:sz w:val="21"/>
                <w:szCs w:val="21"/>
              </w:rPr>
              <w:t>本期增加</w:t>
            </w:r>
            <w:r>
              <w:rPr>
                <w:rFonts w:ascii="宋体" w:hAnsi="宋体" w:cs="宋体" w:eastAsia="宋体" w:hint="default"/>
                <w:sz w:val="21"/>
                <w:szCs w:val="21"/>
              </w:rPr>
              <w:t> </w:t>
            </w:r>
          </w:p>
        </w:tc>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58" w:right="0"/>
              <w:jc w:val="left"/>
              <w:rPr>
                <w:rFonts w:ascii="宋体" w:hAnsi="宋体" w:cs="宋体" w:eastAsia="宋体" w:hint="default"/>
                <w:sz w:val="21"/>
                <w:szCs w:val="21"/>
              </w:rPr>
            </w:pPr>
            <w:r>
              <w:rPr>
                <w:rFonts w:ascii="宋体" w:hAnsi="宋体" w:cs="宋体" w:eastAsia="宋体" w:hint="default"/>
                <w:sz w:val="21"/>
                <w:szCs w:val="21"/>
              </w:rPr>
              <w:t>本期减少</w:t>
            </w:r>
            <w:r>
              <w:rPr>
                <w:rFonts w:ascii="宋体" w:hAnsi="宋体" w:cs="宋体" w:eastAsia="宋体" w:hint="default"/>
                <w:sz w:val="21"/>
                <w:szCs w:val="21"/>
              </w:rPr>
              <w:t> </w:t>
            </w:r>
          </w:p>
        </w:tc>
        <w:tc>
          <w:tcPr>
            <w:tcW w:w="22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74"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554" w:hRule="exact"/>
        </w:trPr>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8" w:right="0"/>
              <w:jc w:val="left"/>
              <w:rPr>
                <w:rFonts w:ascii="宋体" w:hAnsi="宋体" w:cs="宋体" w:eastAsia="宋体" w:hint="default"/>
                <w:sz w:val="21"/>
                <w:szCs w:val="21"/>
              </w:rPr>
            </w:pPr>
            <w:r>
              <w:rPr>
                <w:rFonts w:ascii="宋体" w:hAnsi="宋体" w:cs="宋体" w:eastAsia="宋体" w:hint="default"/>
                <w:spacing w:val="-4"/>
                <w:sz w:val="21"/>
                <w:szCs w:val="21"/>
              </w:rPr>
              <w:t>资本溢价（股本溢</w:t>
            </w:r>
          </w:p>
          <w:p>
            <w:pPr>
              <w:pStyle w:val="TableParagraph"/>
              <w:spacing w:line="273" w:lineRule="exact"/>
              <w:ind w:left="108" w:right="0"/>
              <w:jc w:val="left"/>
              <w:rPr>
                <w:rFonts w:ascii="宋体" w:hAnsi="宋体" w:cs="宋体" w:eastAsia="宋体" w:hint="default"/>
                <w:sz w:val="21"/>
                <w:szCs w:val="21"/>
              </w:rPr>
            </w:pPr>
            <w:r>
              <w:rPr>
                <w:rFonts w:ascii="宋体" w:hAnsi="宋体" w:cs="宋体" w:eastAsia="宋体" w:hint="default"/>
                <w:sz w:val="21"/>
                <w:szCs w:val="21"/>
              </w:rPr>
              <w:t>价）</w:t>
            </w:r>
            <w:r>
              <w:rPr>
                <w:rFonts w:ascii="宋体" w:hAnsi="宋体" w:cs="宋体" w:eastAsia="宋体" w:hint="default"/>
                <w:sz w:val="21"/>
                <w:szCs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right"/>
              <w:rPr>
                <w:rFonts w:ascii="宋体" w:hAnsi="宋体" w:cs="宋体" w:eastAsia="宋体" w:hint="default"/>
                <w:sz w:val="21"/>
                <w:szCs w:val="21"/>
              </w:rPr>
            </w:pPr>
            <w:r>
              <w:rPr>
                <w:rFonts w:ascii="宋体"/>
                <w:spacing w:val="-1"/>
                <w:sz w:val="21"/>
              </w:rPr>
              <w:t>4,607,246,292.36</w:t>
            </w:r>
            <w:r>
              <w:rPr>
                <w:rFonts w:ascii="宋体"/>
                <w:sz w:val="21"/>
              </w:rPr>
              <w:t> </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spacing w:val="-1"/>
                <w:sz w:val="21"/>
              </w:rPr>
              <w:t>69,839.95</w:t>
            </w:r>
            <w:r>
              <w:rPr>
                <w:rFonts w:ascii="宋体"/>
                <w:sz w:val="21"/>
              </w:rPr>
              <w:t> </w:t>
            </w:r>
          </w:p>
        </w:tc>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spacing w:val="-1"/>
                <w:sz w:val="21"/>
              </w:rPr>
              <w:t>26,345,220.00</w:t>
            </w:r>
            <w:r>
              <w:rPr>
                <w:rFonts w:ascii="宋体"/>
                <w:sz w:val="21"/>
              </w:rPr>
              <w:t> </w:t>
            </w:r>
          </w:p>
        </w:tc>
        <w:tc>
          <w:tcPr>
            <w:tcW w:w="2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right"/>
              <w:rPr>
                <w:rFonts w:ascii="宋体" w:hAnsi="宋体" w:cs="宋体" w:eastAsia="宋体" w:hint="default"/>
                <w:sz w:val="21"/>
                <w:szCs w:val="21"/>
              </w:rPr>
            </w:pPr>
            <w:r>
              <w:rPr>
                <w:rFonts w:ascii="宋体"/>
                <w:spacing w:val="-1"/>
                <w:sz w:val="21"/>
              </w:rPr>
              <w:t>4,580,970,912.31</w:t>
            </w:r>
            <w:r>
              <w:rPr>
                <w:rFonts w:ascii="宋体"/>
                <w:sz w:val="21"/>
              </w:rPr>
              <w:t> </w:t>
            </w:r>
          </w:p>
        </w:tc>
      </w:tr>
      <w:tr>
        <w:trPr>
          <w:trHeight w:val="281" w:hRule="exact"/>
        </w:trPr>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其他资本公积</w:t>
            </w:r>
            <w:r>
              <w:rPr>
                <w:rFonts w:ascii="宋体" w:hAnsi="宋体" w:cs="宋体" w:eastAsia="宋体" w:hint="default"/>
                <w:sz w:val="21"/>
                <w:szCs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2,884,956.44</w:t>
            </w:r>
            <w:r>
              <w:rPr>
                <w:rFonts w:ascii="宋体"/>
                <w:sz w:val="21"/>
              </w:rPr>
              <w:t> </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22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2,884,956.44</w:t>
            </w:r>
            <w:r>
              <w:rPr>
                <w:rFonts w:ascii="宋体"/>
                <w:sz w:val="21"/>
              </w:rPr>
              <w:t> </w:t>
            </w:r>
          </w:p>
        </w:tc>
      </w:tr>
      <w:tr>
        <w:trPr>
          <w:trHeight w:val="636" w:hRule="exact"/>
        </w:trPr>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8" w:right="295"/>
              <w:jc w:val="left"/>
              <w:rPr>
                <w:rFonts w:ascii="宋体" w:hAnsi="宋体" w:cs="宋体" w:eastAsia="宋体" w:hint="default"/>
                <w:sz w:val="21"/>
                <w:szCs w:val="21"/>
              </w:rPr>
            </w:pPr>
            <w:r>
              <w:rPr>
                <w:rFonts w:ascii="宋体" w:hAnsi="宋体" w:cs="宋体" w:eastAsia="宋体" w:hint="default"/>
                <w:sz w:val="21"/>
                <w:szCs w:val="21"/>
              </w:rPr>
              <w:t>同一控制下企业</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合并</w:t>
            </w:r>
            <w:r>
              <w:rPr>
                <w:rFonts w:ascii="宋体" w:hAnsi="宋体" w:cs="宋体" w:eastAsia="宋体" w:hint="default"/>
                <w:sz w:val="21"/>
                <w:szCs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2"/>
              <w:jc w:val="right"/>
              <w:rPr>
                <w:rFonts w:ascii="宋体" w:hAnsi="宋体" w:cs="宋体" w:eastAsia="宋体" w:hint="default"/>
                <w:sz w:val="21"/>
                <w:szCs w:val="21"/>
              </w:rPr>
            </w:pPr>
            <w:r>
              <w:rPr>
                <w:rFonts w:ascii="宋体"/>
                <w:spacing w:val="-1"/>
                <w:sz w:val="21"/>
              </w:rPr>
              <w:t>450,000,000.00</w:t>
            </w:r>
            <w:r>
              <w:rPr>
                <w:rFonts w:ascii="宋体"/>
                <w:sz w:val="21"/>
              </w:rPr>
              <w:t> </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0"/>
              <w:jc w:val="right"/>
              <w:rPr>
                <w:rFonts w:ascii="宋体" w:hAnsi="宋体" w:cs="宋体" w:eastAsia="宋体" w:hint="default"/>
                <w:sz w:val="21"/>
                <w:szCs w:val="21"/>
              </w:rPr>
            </w:pPr>
            <w:r>
              <w:rPr>
                <w:rFonts w:ascii="宋体"/>
                <w:w w:val="100"/>
                <w:sz w:val="21"/>
              </w:rPr>
              <w:t> </w:t>
            </w:r>
          </w:p>
        </w:tc>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0"/>
              <w:jc w:val="right"/>
              <w:rPr>
                <w:rFonts w:ascii="宋体" w:hAnsi="宋体" w:cs="宋体" w:eastAsia="宋体" w:hint="default"/>
                <w:sz w:val="21"/>
                <w:szCs w:val="21"/>
              </w:rPr>
            </w:pPr>
            <w:r>
              <w:rPr>
                <w:rFonts w:ascii="宋体"/>
                <w:spacing w:val="-1"/>
                <w:sz w:val="21"/>
              </w:rPr>
              <w:t>320,157,800.54</w:t>
            </w:r>
            <w:r>
              <w:rPr>
                <w:rFonts w:ascii="宋体"/>
                <w:sz w:val="21"/>
              </w:rPr>
              <w:t> </w:t>
            </w:r>
          </w:p>
        </w:tc>
        <w:tc>
          <w:tcPr>
            <w:tcW w:w="2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2"/>
              <w:jc w:val="right"/>
              <w:rPr>
                <w:rFonts w:ascii="宋体" w:hAnsi="宋体" w:cs="宋体" w:eastAsia="宋体" w:hint="default"/>
                <w:sz w:val="21"/>
                <w:szCs w:val="21"/>
              </w:rPr>
            </w:pPr>
            <w:r>
              <w:rPr>
                <w:rFonts w:ascii="宋体"/>
                <w:spacing w:val="-1"/>
                <w:sz w:val="21"/>
              </w:rPr>
              <w:t>129,842,199.46</w:t>
            </w:r>
            <w:r>
              <w:rPr>
                <w:rFonts w:ascii="宋体"/>
                <w:sz w:val="21"/>
              </w:rPr>
              <w:t> </w:t>
            </w:r>
          </w:p>
        </w:tc>
      </w:tr>
      <w:tr>
        <w:trPr>
          <w:trHeight w:val="281" w:hRule="exact"/>
        </w:trPr>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0"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5,060,131,248.80</w:t>
            </w:r>
            <w:r>
              <w:rPr>
                <w:rFonts w:ascii="宋体"/>
                <w:sz w:val="21"/>
              </w:rPr>
              <w:t> </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69,839.95</w:t>
            </w:r>
            <w:r>
              <w:rPr>
                <w:rFonts w:ascii="宋体"/>
                <w:sz w:val="21"/>
              </w:rPr>
              <w:t> </w:t>
            </w:r>
          </w:p>
        </w:tc>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346,503,020.54</w:t>
            </w:r>
            <w:r>
              <w:rPr>
                <w:rFonts w:ascii="宋体"/>
                <w:sz w:val="21"/>
              </w:rPr>
              <w:t> </w:t>
            </w:r>
          </w:p>
        </w:tc>
        <w:tc>
          <w:tcPr>
            <w:tcW w:w="22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4,713,698,068.21</w:t>
            </w:r>
            <w:r>
              <w:rPr>
                <w:rFonts w:ascii="宋体"/>
                <w:sz w:val="21"/>
              </w:rPr>
              <w:t> </w:t>
            </w:r>
          </w:p>
        </w:tc>
      </w:tr>
    </w:tbl>
    <w:p>
      <w:pPr>
        <w:pStyle w:val="Heading2"/>
        <w:spacing w:line="274" w:lineRule="exact"/>
        <w:ind w:left="236" w:right="0"/>
        <w:jc w:val="left"/>
        <w:rPr>
          <w:rFonts w:ascii="宋体" w:hAnsi="宋体" w:cs="宋体" w:eastAsia="宋体" w:hint="default"/>
        </w:rPr>
      </w:pPr>
      <w:r>
        <w:rPr>
          <w:rFonts w:ascii="宋体"/>
        </w:rPr>
        <w:t> </w:t>
      </w:r>
    </w:p>
    <w:p>
      <w:pPr>
        <w:pStyle w:val="BodyText"/>
        <w:spacing w:line="240" w:lineRule="auto" w:before="26"/>
        <w:ind w:left="236" w:right="28"/>
        <w:jc w:val="left"/>
        <w:rPr>
          <w:rFonts w:ascii="宋体" w:hAnsi="宋体" w:cs="宋体" w:eastAsia="宋体" w:hint="default"/>
        </w:rPr>
      </w:pPr>
      <w:r>
        <w:rPr/>
        <w:t>其他说明，包括本期增减变动情况、变动原因说明：</w:t>
      </w:r>
      <w:r>
        <w:rPr>
          <w:rFonts w:ascii="宋体" w:hAnsi="宋体" w:cs="宋体" w:eastAsia="宋体" w:hint="default"/>
        </w:rPr>
        <w:t> </w:t>
      </w:r>
    </w:p>
    <w:p>
      <w:pPr>
        <w:pStyle w:val="BodyText"/>
        <w:spacing w:line="240" w:lineRule="auto" w:before="123"/>
        <w:ind w:left="236" w:right="28"/>
        <w:jc w:val="left"/>
      </w:pPr>
      <w:r>
        <w:rPr>
          <w:rFonts w:ascii="Times New Roman" w:hAnsi="Times New Roman" w:cs="Times New Roman" w:eastAsia="Times New Roman" w:hint="default"/>
        </w:rPr>
        <w:t>1</w:t>
      </w:r>
      <w:r>
        <w:rPr/>
        <w:t>、本期可转换公司债券转为公司股票</w:t>
      </w:r>
      <w:r>
        <w:rPr>
          <w:rFonts w:ascii="宋体" w:hAnsi="宋体" w:cs="宋体" w:eastAsia="宋体" w:hint="default"/>
        </w:rPr>
        <w:t>,</w:t>
      </w:r>
      <w:r>
        <w:rPr/>
        <w:t>超出股本溢价部分</w:t>
      </w:r>
      <w:r>
        <w:rPr>
          <w:spacing w:val="-57"/>
        </w:rPr>
        <w:t> </w:t>
      </w:r>
      <w:r>
        <w:rPr>
          <w:rFonts w:ascii="Times New Roman" w:hAnsi="Times New Roman" w:cs="Times New Roman" w:eastAsia="Times New Roman" w:hint="default"/>
        </w:rPr>
        <w:t>69,839.95</w:t>
      </w:r>
      <w:r>
        <w:rPr>
          <w:rFonts w:ascii="Times New Roman" w:hAnsi="Times New Roman" w:cs="Times New Roman" w:eastAsia="Times New Roman" w:hint="default"/>
          <w:spacing w:val="-7"/>
        </w:rPr>
        <w:t> </w:t>
      </w:r>
      <w:r>
        <w:rPr/>
        <w:t>元计入资本公积；</w:t>
      </w:r>
    </w:p>
    <w:p>
      <w:pPr>
        <w:pStyle w:val="BodyText"/>
        <w:spacing w:line="240" w:lineRule="auto" w:before="129"/>
        <w:ind w:left="236" w:right="28"/>
        <w:jc w:val="left"/>
        <w:rPr>
          <w:rFonts w:ascii="Times New Roman" w:hAnsi="Times New Roman" w:cs="Times New Roman" w:eastAsia="Times New Roman" w:hint="default"/>
        </w:rPr>
      </w:pPr>
      <w:r>
        <w:rPr>
          <w:rFonts w:ascii="Times New Roman" w:hAnsi="Times New Roman" w:cs="Times New Roman" w:eastAsia="Times New Roman" w:hint="default"/>
        </w:rPr>
        <w:t>2</w:t>
      </w:r>
      <w:r>
        <w:rPr/>
        <w:t>、本期回购注销第二期限制性股票减少资本公积</w:t>
      </w:r>
      <w:r>
        <w:rPr>
          <w:spacing w:val="-56"/>
        </w:rPr>
        <w:t> </w:t>
      </w:r>
      <w:r>
        <w:rPr>
          <w:rFonts w:ascii="Times New Roman" w:hAnsi="Times New Roman" w:cs="Times New Roman" w:eastAsia="Times New Roman" w:hint="default"/>
        </w:rPr>
        <w:t>26,345,220.00</w:t>
      </w:r>
      <w:r>
        <w:rPr>
          <w:rFonts w:ascii="Times New Roman" w:hAnsi="Times New Roman" w:cs="Times New Roman" w:eastAsia="Times New Roman" w:hint="default"/>
          <w:spacing w:val="-5"/>
        </w:rPr>
        <w:t> </w:t>
      </w:r>
      <w:r>
        <w:rPr/>
        <w:t>元</w:t>
      </w:r>
      <w:r>
        <w:rPr>
          <w:rFonts w:ascii="Times New Roman" w:hAnsi="Times New Roman" w:cs="Times New Roman" w:eastAsia="Times New Roman" w:hint="default"/>
        </w:rPr>
        <w:t>;</w:t>
      </w:r>
    </w:p>
    <w:p>
      <w:pPr>
        <w:pStyle w:val="BodyText"/>
        <w:spacing w:line="240" w:lineRule="auto" w:before="110"/>
        <w:ind w:left="236" w:right="28"/>
        <w:jc w:val="left"/>
        <w:rPr>
          <w:rFonts w:ascii="Times New Roman" w:hAnsi="Times New Roman" w:cs="Times New Roman" w:eastAsia="Times New Roman" w:hint="default"/>
        </w:rPr>
      </w:pPr>
      <w:r>
        <w:rPr>
          <w:rFonts w:ascii="Times New Roman" w:hAnsi="Times New Roman" w:cs="Times New Roman" w:eastAsia="Times New Roman" w:hint="default"/>
        </w:rPr>
        <w:t>3</w:t>
      </w:r>
      <w:r>
        <w:rPr/>
        <w:t>、本期同一控制下企业合并南京华虹融资租赁有限公司减少资本公积</w:t>
      </w:r>
      <w:r>
        <w:rPr>
          <w:spacing w:val="-58"/>
        </w:rPr>
        <w:t> </w:t>
      </w:r>
      <w:r>
        <w:rPr>
          <w:rFonts w:ascii="Times New Roman" w:hAnsi="Times New Roman" w:cs="Times New Roman" w:eastAsia="Times New Roman" w:hint="default"/>
        </w:rPr>
        <w:t>320,157,800.54</w:t>
      </w:r>
      <w:r>
        <w:rPr>
          <w:rFonts w:ascii="Times New Roman" w:hAnsi="Times New Roman" w:cs="Times New Roman" w:eastAsia="Times New Roman" w:hint="default"/>
          <w:spacing w:val="-5"/>
        </w:rPr>
        <w:t> </w:t>
      </w:r>
      <w:r>
        <w:rPr/>
        <w:t>元</w:t>
      </w:r>
      <w:r>
        <w:rPr>
          <w:rFonts w:ascii="Times New Roman" w:hAnsi="Times New Roman" w:cs="Times New Roman" w:eastAsia="Times New Roman" w:hint="default"/>
        </w:rPr>
        <w:t>;</w:t>
      </w:r>
    </w:p>
    <w:p>
      <w:pPr>
        <w:pStyle w:val="BodyText"/>
        <w:spacing w:line="240" w:lineRule="auto" w:before="2"/>
        <w:ind w:left="236" w:right="0"/>
        <w:jc w:val="left"/>
        <w:rPr>
          <w:rFonts w:ascii="宋体" w:hAnsi="宋体" w:cs="宋体" w:eastAsia="宋体" w:hint="default"/>
        </w:rPr>
      </w:pPr>
      <w:r>
        <w:rPr>
          <w:rFonts w:ascii="宋体"/>
          <w:w w:val="100"/>
        </w:rPr>
        <w:t> </w:t>
      </w:r>
    </w:p>
    <w:p>
      <w:pPr>
        <w:pStyle w:val="Heading3"/>
        <w:spacing w:line="240" w:lineRule="auto"/>
        <w:ind w:left="236" w:right="28"/>
        <w:jc w:val="left"/>
        <w:rPr>
          <w:rFonts w:ascii="宋体" w:hAnsi="宋体" w:cs="宋体" w:eastAsia="宋体" w:hint="default"/>
          <w:b w:val="0"/>
          <w:bCs w:val="0"/>
        </w:rPr>
      </w:pPr>
      <w:r>
        <w:rPr>
          <w:rFonts w:ascii="宋体" w:hAnsi="宋体" w:cs="宋体" w:eastAsia="宋体" w:hint="default"/>
        </w:rPr>
        <w:t>54</w:t>
      </w:r>
      <w:r>
        <w:rPr/>
        <w:t>、</w:t>
      </w:r>
      <w:r>
        <w:rPr>
          <w:spacing w:val="-25"/>
        </w:rPr>
        <w:t> </w:t>
      </w:r>
      <w:r>
        <w:rPr/>
        <w:t>库存股</w:t>
      </w:r>
      <w:r>
        <w:rPr>
          <w:rFonts w:ascii="宋体" w:hAnsi="宋体" w:cs="宋体" w:eastAsia="宋体" w:hint="default"/>
          <w:w w:val="99"/>
        </w:rPr>
        <w:t> </w:t>
      </w:r>
      <w:r>
        <w:rPr>
          <w:rFonts w:ascii="宋体" w:hAnsi="宋体" w:cs="宋体" w:eastAsia="宋体" w:hint="default"/>
          <w:b w:val="0"/>
          <w:bCs w:val="0"/>
        </w:rPr>
      </w:r>
    </w:p>
    <w:p>
      <w:pPr>
        <w:pStyle w:val="Heading2"/>
        <w:spacing w:line="240" w:lineRule="auto" w:before="69"/>
        <w:ind w:left="236" w:right="28"/>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BodyText"/>
        <w:spacing w:line="240" w:lineRule="auto" w:before="25"/>
        <w:ind w:left="0" w:right="128"/>
        <w:jc w:val="right"/>
        <w:rPr>
          <w:rFonts w:ascii="宋体" w:hAnsi="宋体" w:cs="宋体" w:eastAsia="宋体" w:hint="default"/>
        </w:rPr>
      </w:pPr>
      <w:r>
        <w:rPr>
          <w:spacing w:val="-2"/>
        </w:rPr>
        <w:t>单位：元币种：人民币</w:t>
      </w:r>
      <w:r>
        <w:rPr>
          <w:rFonts w:ascii="宋体" w:hAnsi="宋体" w:cs="宋体" w:eastAsia="宋体" w:hint="default"/>
        </w:rPr>
        <w:t> </w:t>
      </w:r>
    </w:p>
    <w:p>
      <w:pPr>
        <w:spacing w:line="240" w:lineRule="auto" w:before="10"/>
        <w:rPr>
          <w:rFonts w:ascii="宋体" w:hAnsi="宋体" w:cs="宋体" w:eastAsia="宋体" w:hint="default"/>
          <w:sz w:val="3"/>
          <w:szCs w:val="3"/>
        </w:rPr>
      </w:pPr>
    </w:p>
    <w:tbl>
      <w:tblPr>
        <w:tblW w:w="0" w:type="auto"/>
        <w:jc w:val="left"/>
        <w:tblInd w:w="119" w:type="dxa"/>
        <w:tblLayout w:type="fixed"/>
        <w:tblCellMar>
          <w:top w:w="0" w:type="dxa"/>
          <w:left w:w="0" w:type="dxa"/>
          <w:bottom w:w="0" w:type="dxa"/>
          <w:right w:w="0" w:type="dxa"/>
        </w:tblCellMar>
        <w:tblLook w:val="01E0"/>
      </w:tblPr>
      <w:tblGrid>
        <w:gridCol w:w="1712"/>
        <w:gridCol w:w="1810"/>
        <w:gridCol w:w="1836"/>
        <w:gridCol w:w="1850"/>
        <w:gridCol w:w="1853"/>
      </w:tblGrid>
      <w:tr>
        <w:trPr>
          <w:trHeight w:val="324" w:hRule="exact"/>
        </w:trPr>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641" w:right="0"/>
              <w:jc w:val="left"/>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477"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489" w:right="0"/>
              <w:jc w:val="left"/>
              <w:rPr>
                <w:rFonts w:ascii="宋体" w:hAnsi="宋体" w:cs="宋体" w:eastAsia="宋体" w:hint="default"/>
                <w:sz w:val="21"/>
                <w:szCs w:val="21"/>
              </w:rPr>
            </w:pPr>
            <w:r>
              <w:rPr>
                <w:rFonts w:ascii="宋体" w:hAnsi="宋体" w:cs="宋体" w:eastAsia="宋体" w:hint="default"/>
                <w:sz w:val="21"/>
                <w:szCs w:val="21"/>
              </w:rPr>
              <w:t>本期增加</w:t>
            </w:r>
            <w:r>
              <w:rPr>
                <w:rFonts w:ascii="宋体" w:hAnsi="宋体" w:cs="宋体" w:eastAsia="宋体" w:hint="default"/>
                <w:sz w:val="21"/>
                <w:szCs w:val="21"/>
              </w:rPr>
              <w:t> </w:t>
            </w:r>
          </w:p>
        </w:tc>
        <w:tc>
          <w:tcPr>
            <w:tcW w:w="185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499" w:right="0"/>
              <w:jc w:val="left"/>
              <w:rPr>
                <w:rFonts w:ascii="宋体" w:hAnsi="宋体" w:cs="宋体" w:eastAsia="宋体" w:hint="default"/>
                <w:sz w:val="21"/>
                <w:szCs w:val="21"/>
              </w:rPr>
            </w:pPr>
            <w:r>
              <w:rPr>
                <w:rFonts w:ascii="宋体" w:hAnsi="宋体" w:cs="宋体" w:eastAsia="宋体" w:hint="default"/>
                <w:sz w:val="21"/>
                <w:szCs w:val="21"/>
              </w:rPr>
              <w:t>本期减少</w:t>
            </w:r>
            <w:r>
              <w:rPr>
                <w:rFonts w:ascii="宋体" w:hAnsi="宋体" w:cs="宋体" w:eastAsia="宋体" w:hint="default"/>
                <w:sz w:val="21"/>
                <w:szCs w:val="21"/>
              </w:rPr>
              <w:t> </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501"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322" w:hRule="exact"/>
        </w:trPr>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8" w:right="0"/>
              <w:jc w:val="left"/>
              <w:rPr>
                <w:rFonts w:ascii="宋体" w:hAnsi="宋体" w:cs="宋体" w:eastAsia="宋体" w:hint="default"/>
                <w:sz w:val="21"/>
                <w:szCs w:val="21"/>
              </w:rPr>
            </w:pPr>
            <w:r>
              <w:rPr>
                <w:rFonts w:ascii="宋体" w:hAnsi="宋体" w:cs="宋体" w:eastAsia="宋体" w:hint="default"/>
                <w:sz w:val="21"/>
                <w:szCs w:val="21"/>
              </w:rPr>
              <w:t>限制性股票</w:t>
            </w:r>
            <w:r>
              <w:rPr>
                <w:rFonts w:ascii="宋体" w:hAnsi="宋体" w:cs="宋体" w:eastAsia="宋体" w:hint="default"/>
                <w:sz w:val="21"/>
                <w:szCs w:val="21"/>
              </w:rPr>
              <w:t> </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
              <w:jc w:val="right"/>
              <w:rPr>
                <w:rFonts w:ascii="宋体" w:hAnsi="宋体" w:cs="宋体" w:eastAsia="宋体" w:hint="default"/>
                <w:sz w:val="21"/>
                <w:szCs w:val="21"/>
              </w:rPr>
            </w:pPr>
            <w:r>
              <w:rPr>
                <w:rFonts w:ascii="宋体"/>
                <w:spacing w:val="-1"/>
                <w:sz w:val="21"/>
              </w:rPr>
              <w:t>73,900,860.00</w:t>
            </w:r>
            <w:r>
              <w:rPr>
                <w:rFonts w:ascii="宋体"/>
                <w:sz w:val="21"/>
              </w:rPr>
              <w:t> </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185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right"/>
              <w:rPr>
                <w:rFonts w:ascii="宋体" w:hAnsi="宋体" w:cs="宋体" w:eastAsia="宋体" w:hint="default"/>
                <w:sz w:val="21"/>
                <w:szCs w:val="21"/>
              </w:rPr>
            </w:pPr>
            <w:r>
              <w:rPr>
                <w:rFonts w:ascii="宋体"/>
                <w:spacing w:val="-1"/>
                <w:sz w:val="21"/>
              </w:rPr>
              <w:t>35,479,220.00</w:t>
            </w:r>
            <w:r>
              <w:rPr>
                <w:rFonts w:ascii="宋体"/>
                <w:sz w:val="21"/>
              </w:rPr>
              <w:t> </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right"/>
              <w:rPr>
                <w:rFonts w:ascii="宋体" w:hAnsi="宋体" w:cs="宋体" w:eastAsia="宋体" w:hint="default"/>
                <w:sz w:val="21"/>
                <w:szCs w:val="21"/>
              </w:rPr>
            </w:pPr>
            <w:r>
              <w:rPr>
                <w:rFonts w:ascii="宋体"/>
                <w:spacing w:val="-1"/>
                <w:sz w:val="21"/>
              </w:rPr>
              <w:t>38,421,640.00</w:t>
            </w:r>
            <w:r>
              <w:rPr>
                <w:rFonts w:ascii="宋体"/>
                <w:sz w:val="21"/>
              </w:rPr>
              <w:t> </w:t>
            </w:r>
          </w:p>
        </w:tc>
      </w:tr>
      <w:tr>
        <w:trPr>
          <w:trHeight w:val="322" w:hRule="exact"/>
        </w:trPr>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8" w:right="0"/>
              <w:jc w:val="left"/>
              <w:rPr>
                <w:rFonts w:ascii="宋体" w:hAnsi="宋体" w:cs="宋体" w:eastAsia="宋体" w:hint="default"/>
                <w:sz w:val="21"/>
                <w:szCs w:val="21"/>
              </w:rPr>
            </w:pPr>
            <w:r>
              <w:rPr>
                <w:rFonts w:ascii="宋体" w:hAnsi="宋体" w:cs="宋体" w:eastAsia="宋体" w:hint="default"/>
                <w:sz w:val="21"/>
                <w:szCs w:val="21"/>
              </w:rPr>
              <w:t>回购股票</w:t>
            </w:r>
            <w:r>
              <w:rPr>
                <w:rFonts w:ascii="宋体" w:hAnsi="宋体" w:cs="宋体" w:eastAsia="宋体" w:hint="default"/>
                <w:sz w:val="21"/>
                <w:szCs w:val="21"/>
              </w:rPr>
              <w:t> </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2"/>
              <w:jc w:val="right"/>
              <w:rPr>
                <w:rFonts w:ascii="宋体" w:hAnsi="宋体" w:cs="宋体" w:eastAsia="宋体" w:hint="default"/>
                <w:sz w:val="21"/>
                <w:szCs w:val="21"/>
              </w:rPr>
            </w:pPr>
            <w:r>
              <w:rPr>
                <w:rFonts w:ascii="宋体"/>
                <w:spacing w:val="-1"/>
                <w:sz w:val="21"/>
              </w:rPr>
              <w:t>99,614,760.20</w:t>
            </w:r>
            <w:r>
              <w:rPr>
                <w:rFonts w:ascii="宋体"/>
                <w:sz w:val="21"/>
              </w:rPr>
              <w:t> </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3"/>
              <w:jc w:val="right"/>
              <w:rPr>
                <w:rFonts w:ascii="宋体" w:hAnsi="宋体" w:cs="宋体" w:eastAsia="宋体" w:hint="default"/>
                <w:sz w:val="21"/>
                <w:szCs w:val="21"/>
              </w:rPr>
            </w:pPr>
            <w:r>
              <w:rPr>
                <w:rFonts w:ascii="宋体"/>
                <w:spacing w:val="-1"/>
                <w:sz w:val="21"/>
              </w:rPr>
              <w:t>889,577.82</w:t>
            </w:r>
            <w:r>
              <w:rPr>
                <w:rFonts w:ascii="宋体"/>
                <w:sz w:val="21"/>
              </w:rPr>
              <w:t> </w:t>
            </w:r>
          </w:p>
        </w:tc>
        <w:tc>
          <w:tcPr>
            <w:tcW w:w="1850"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0"/>
              <w:jc w:val="right"/>
              <w:rPr>
                <w:rFonts w:ascii="宋体" w:hAnsi="宋体" w:cs="宋体" w:eastAsia="宋体" w:hint="default"/>
                <w:sz w:val="21"/>
                <w:szCs w:val="21"/>
              </w:rPr>
            </w:pPr>
            <w:r>
              <w:rPr>
                <w:rFonts w:ascii="宋体"/>
                <w:w w:val="100"/>
                <w:sz w:val="21"/>
              </w:rPr>
              <w:t> </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0"/>
              <w:jc w:val="right"/>
              <w:rPr>
                <w:rFonts w:ascii="宋体" w:hAnsi="宋体" w:cs="宋体" w:eastAsia="宋体" w:hint="default"/>
                <w:sz w:val="21"/>
                <w:szCs w:val="21"/>
              </w:rPr>
            </w:pPr>
            <w:r>
              <w:rPr>
                <w:rFonts w:ascii="宋体"/>
                <w:spacing w:val="-1"/>
                <w:sz w:val="21"/>
              </w:rPr>
              <w:t>100,504,338.02</w:t>
            </w:r>
            <w:r>
              <w:rPr>
                <w:rFonts w:ascii="宋体"/>
                <w:sz w:val="21"/>
              </w:rPr>
              <w:t> </w:t>
            </w:r>
          </w:p>
        </w:tc>
      </w:tr>
      <w:tr>
        <w:trPr>
          <w:trHeight w:val="322" w:hRule="exact"/>
        </w:trPr>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641"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
              <w:jc w:val="right"/>
              <w:rPr>
                <w:rFonts w:ascii="宋体" w:hAnsi="宋体" w:cs="宋体" w:eastAsia="宋体" w:hint="default"/>
                <w:sz w:val="21"/>
                <w:szCs w:val="21"/>
              </w:rPr>
            </w:pPr>
            <w:r>
              <w:rPr>
                <w:rFonts w:ascii="宋体"/>
                <w:spacing w:val="-1"/>
                <w:sz w:val="21"/>
              </w:rPr>
              <w:t>173,515,620.20</w:t>
            </w:r>
            <w:r>
              <w:rPr>
                <w:rFonts w:ascii="宋体"/>
                <w:sz w:val="21"/>
              </w:rPr>
              <w:t> </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889,577.82</w:t>
            </w:r>
            <w:r>
              <w:rPr>
                <w:rFonts w:ascii="宋体"/>
                <w:sz w:val="21"/>
              </w:rPr>
              <w:t> </w:t>
            </w:r>
          </w:p>
        </w:tc>
        <w:tc>
          <w:tcPr>
            <w:tcW w:w="185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right"/>
              <w:rPr>
                <w:rFonts w:ascii="宋体" w:hAnsi="宋体" w:cs="宋体" w:eastAsia="宋体" w:hint="default"/>
                <w:sz w:val="21"/>
                <w:szCs w:val="21"/>
              </w:rPr>
            </w:pPr>
            <w:r>
              <w:rPr>
                <w:rFonts w:ascii="宋体"/>
                <w:spacing w:val="-1"/>
                <w:sz w:val="21"/>
              </w:rPr>
              <w:t>35,479,220.00</w:t>
            </w:r>
            <w:r>
              <w:rPr>
                <w:rFonts w:ascii="宋体"/>
                <w:sz w:val="21"/>
              </w:rPr>
              <w:t> </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right"/>
              <w:rPr>
                <w:rFonts w:ascii="宋体" w:hAnsi="宋体" w:cs="宋体" w:eastAsia="宋体" w:hint="default"/>
                <w:sz w:val="21"/>
                <w:szCs w:val="21"/>
              </w:rPr>
            </w:pPr>
            <w:r>
              <w:rPr>
                <w:rFonts w:ascii="宋体"/>
                <w:spacing w:val="-1"/>
                <w:sz w:val="21"/>
              </w:rPr>
              <w:t>138,925,978.02</w:t>
            </w:r>
            <w:r>
              <w:rPr>
                <w:rFonts w:ascii="宋体"/>
                <w:sz w:val="21"/>
              </w:rPr>
              <w:t> </w:t>
            </w:r>
          </w:p>
        </w:tc>
      </w:tr>
    </w:tbl>
    <w:p>
      <w:pPr>
        <w:pStyle w:val="Heading2"/>
        <w:spacing w:line="274" w:lineRule="exact"/>
        <w:ind w:left="236" w:right="0"/>
        <w:jc w:val="left"/>
        <w:rPr>
          <w:rFonts w:ascii="宋体" w:hAnsi="宋体" w:cs="宋体" w:eastAsia="宋体" w:hint="default"/>
        </w:rPr>
      </w:pPr>
      <w:r>
        <w:rPr>
          <w:rFonts w:ascii="宋体"/>
        </w:rPr>
        <w:t> </w:t>
      </w:r>
    </w:p>
    <w:p>
      <w:pPr>
        <w:pStyle w:val="BodyText"/>
        <w:spacing w:line="240" w:lineRule="auto" w:before="25"/>
        <w:ind w:left="236" w:right="28"/>
        <w:jc w:val="left"/>
        <w:rPr>
          <w:rFonts w:ascii="宋体" w:hAnsi="宋体" w:cs="宋体" w:eastAsia="宋体" w:hint="default"/>
        </w:rPr>
      </w:pPr>
      <w:r>
        <w:rPr/>
        <w:t>其他说明，包括本期增减变动情况、变动原因说明：</w:t>
      </w:r>
      <w:r>
        <w:rPr>
          <w:rFonts w:ascii="宋体" w:hAnsi="宋体" w:cs="宋体" w:eastAsia="宋体" w:hint="default"/>
        </w:rPr>
        <w:t> </w:t>
      </w:r>
    </w:p>
    <w:p>
      <w:pPr>
        <w:spacing w:before="142"/>
        <w:ind w:left="236" w:right="28"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、本期回购股票增加库存股</w:t>
      </w:r>
      <w:r>
        <w:rPr>
          <w:rFonts w:ascii="宋体" w:hAnsi="宋体" w:cs="宋体" w:eastAsia="宋体" w:hint="default"/>
          <w:spacing w:val="-55"/>
          <w:sz w:val="21"/>
          <w:szCs w:val="21"/>
        </w:rPr>
        <w:t> </w:t>
      </w:r>
      <w:r>
        <w:rPr>
          <w:rFonts w:ascii="Times New Roman" w:hAnsi="Times New Roman" w:cs="Times New Roman" w:eastAsia="Times New Roman" w:hint="default"/>
          <w:sz w:val="18"/>
          <w:szCs w:val="18"/>
        </w:rPr>
        <w:t>889,577.82</w:t>
      </w:r>
      <w:r>
        <w:rPr>
          <w:rFonts w:ascii="Times New Roman" w:hAnsi="Times New Roman" w:cs="Times New Roman" w:eastAsia="Times New Roman" w:hint="default"/>
          <w:spacing w:val="-2"/>
          <w:sz w:val="18"/>
          <w:szCs w:val="18"/>
        </w:rPr>
        <w:t> </w:t>
      </w:r>
      <w:r>
        <w:rPr>
          <w:rFonts w:ascii="宋体" w:hAnsi="宋体" w:cs="宋体" w:eastAsia="宋体" w:hint="default"/>
          <w:sz w:val="21"/>
          <w:szCs w:val="21"/>
        </w:rPr>
        <w:t>元；</w:t>
      </w:r>
    </w:p>
    <w:p>
      <w:pPr>
        <w:spacing w:before="110"/>
        <w:ind w:left="236" w:right="28"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、回购注销员工限制性股票减少库存股</w:t>
      </w:r>
      <w:r>
        <w:rPr>
          <w:rFonts w:ascii="宋体" w:hAnsi="宋体" w:cs="宋体" w:eastAsia="宋体" w:hint="default"/>
          <w:spacing w:val="-58"/>
          <w:sz w:val="21"/>
          <w:szCs w:val="21"/>
        </w:rPr>
        <w:t> </w:t>
      </w:r>
      <w:r>
        <w:rPr>
          <w:rFonts w:ascii="Times New Roman" w:hAnsi="Times New Roman" w:cs="Times New Roman" w:eastAsia="Times New Roman" w:hint="default"/>
          <w:sz w:val="18"/>
          <w:szCs w:val="18"/>
        </w:rPr>
        <w:t>35,479,220.00</w:t>
      </w:r>
      <w:r>
        <w:rPr>
          <w:rFonts w:ascii="Times New Roman" w:hAnsi="Times New Roman" w:cs="Times New Roman" w:eastAsia="Times New Roman" w:hint="default"/>
          <w:spacing w:val="-3"/>
          <w:sz w:val="18"/>
          <w:szCs w:val="18"/>
        </w:rPr>
        <w:t> </w:t>
      </w:r>
      <w:r>
        <w:rPr>
          <w:rFonts w:ascii="宋体" w:hAnsi="宋体" w:cs="宋体" w:eastAsia="宋体" w:hint="default"/>
          <w:sz w:val="21"/>
          <w:szCs w:val="21"/>
        </w:rPr>
        <w:t>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7"/>
          <w:szCs w:val="27"/>
        </w:rPr>
      </w:pPr>
    </w:p>
    <w:p>
      <w:pPr>
        <w:spacing w:before="63"/>
        <w:ind w:left="4286" w:right="4287" w:firstLine="0"/>
        <w:jc w:val="center"/>
        <w:rPr>
          <w:rFonts w:ascii="Calibri" w:hAnsi="Calibri" w:cs="Calibri" w:eastAsia="Calibri" w:hint="default"/>
          <w:sz w:val="18"/>
          <w:szCs w:val="18"/>
        </w:rPr>
      </w:pPr>
      <w:r>
        <w:rPr>
          <w:rFonts w:ascii="Calibri"/>
          <w:b/>
          <w:sz w:val="18"/>
        </w:rPr>
        <w:t>167 </w:t>
      </w:r>
      <w:r>
        <w:rPr>
          <w:rFonts w:ascii="Calibri"/>
          <w:sz w:val="18"/>
        </w:rPr>
        <w:t>/</w:t>
      </w:r>
      <w:r>
        <w:rPr>
          <w:rFonts w:ascii="Calibri"/>
          <w:spacing w:val="-5"/>
          <w:sz w:val="18"/>
        </w:rPr>
        <w:t> </w:t>
      </w:r>
      <w:r>
        <w:rPr>
          <w:rFonts w:ascii="Calibri"/>
          <w:b/>
          <w:sz w:val="18"/>
        </w:rPr>
        <w:t>216</w:t>
      </w:r>
      <w:r>
        <w:rPr>
          <w:rFonts w:ascii="Calibri"/>
          <w:sz w:val="18"/>
        </w:rPr>
      </w:r>
    </w:p>
    <w:p>
      <w:pPr>
        <w:spacing w:after="0"/>
        <w:jc w:val="center"/>
        <w:rPr>
          <w:rFonts w:ascii="Calibri" w:hAnsi="Calibri" w:cs="Calibri" w:eastAsia="Calibri" w:hint="default"/>
          <w:sz w:val="18"/>
          <w:szCs w:val="18"/>
        </w:rPr>
        <w:sectPr>
          <w:type w:val="continuous"/>
          <w:pgSz w:w="11910" w:h="16840"/>
          <w:pgMar w:top="1580" w:bottom="280" w:left="1040" w:right="1560"/>
        </w:sectPr>
      </w:pPr>
    </w:p>
    <w:p>
      <w:pPr>
        <w:spacing w:line="240" w:lineRule="auto" w:before="8"/>
        <w:rPr>
          <w:rFonts w:ascii="Calibri" w:hAnsi="Calibri" w:cs="Calibri" w:eastAsia="Calibri" w:hint="default"/>
          <w:b/>
          <w:bCs/>
          <w:sz w:val="6"/>
          <w:szCs w:val="6"/>
        </w:rPr>
      </w:pPr>
    </w:p>
    <w:p>
      <w:pPr>
        <w:spacing w:line="393" w:lineRule="exact"/>
        <w:ind w:left="581" w:right="0" w:firstLine="0"/>
        <w:rPr>
          <w:rFonts w:ascii="Calibri" w:hAnsi="Calibri" w:cs="Calibri" w:eastAsia="Calibri" w:hint="default"/>
          <w:sz w:val="20"/>
          <w:szCs w:val="20"/>
        </w:rPr>
      </w:pPr>
      <w:r>
        <w:rPr>
          <w:rFonts w:ascii="Calibri" w:hAnsi="Calibri" w:cs="Calibri" w:eastAsia="Calibri" w:hint="default"/>
          <w:position w:val="-7"/>
          <w:sz w:val="20"/>
          <w:szCs w:val="20"/>
        </w:rPr>
        <w:pict>
          <v:group style="width:699.5pt;height:19.650pt;mso-position-horizontal-relative:char;mso-position-vertical-relative:line" coordorigin="0,0" coordsize="13990,393">
            <v:group style="position:absolute;left:70;top:370;width:13913;height:2" coordorigin="70,370" coordsize="13913,2">
              <v:shape style="position:absolute;left:70;top:370;width:13913;height:2" coordorigin="70,370" coordsize="13913,0" path="m70,370l13983,370e" filled="false" stroked="true" strokeweight=".72pt" strokecolor="#000000">
                <v:path arrowok="t"/>
              </v:shape>
              <v:shape style="position:absolute;left:0;top:0;width:465;height:393" type="#_x0000_t75" stroked="false">
                <v:imagedata r:id="rId10" o:title=""/>
              </v:shape>
              <v:shape style="position:absolute;left:3039;top:134;width:21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江苏林洋能源股份有限公司</w:t>
                      </w:r>
                    </w:p>
                  </w:txbxContent>
                </v:textbox>
                <w10:wrap type="none"/>
              </v:shape>
              <v:shape style="position:absolute;left:9705;top:134;width:1309;height:200" type="#_x0000_t202" filled="false" stroked="false">
                <v:textbox inset="0,0,0,0">
                  <w:txbxContent>
                    <w:p>
                      <w:pPr>
                        <w:spacing w:line="200" w:lineRule="exact" w:before="0"/>
                        <w:ind w:left="0" w:right="0" w:firstLine="0"/>
                        <w:jc w:val="left"/>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2"/>
                          <w:sz w:val="18"/>
                          <w:szCs w:val="18"/>
                        </w:rPr>
                        <w:t> </w:t>
                      </w:r>
                      <w:r>
                        <w:rPr>
                          <w:rFonts w:ascii="宋体" w:hAnsi="宋体" w:cs="宋体" w:eastAsia="宋体" w:hint="default"/>
                          <w:sz w:val="18"/>
                          <w:szCs w:val="18"/>
                        </w:rPr>
                        <w:t>年年度报告</w:t>
                      </w:r>
                    </w:p>
                  </w:txbxContent>
                </v:textbox>
                <w10:wrap type="none"/>
              </v:shape>
            </v:group>
          </v:group>
        </w:pict>
      </w:r>
      <w:r>
        <w:rPr>
          <w:rFonts w:ascii="Calibri" w:hAnsi="Calibri" w:cs="Calibri" w:eastAsia="Calibri" w:hint="default"/>
          <w:position w:val="-7"/>
          <w:sz w:val="20"/>
          <w:szCs w:val="20"/>
        </w:rPr>
      </w:r>
    </w:p>
    <w:p>
      <w:pPr>
        <w:spacing w:line="240" w:lineRule="auto" w:before="0"/>
        <w:rPr>
          <w:rFonts w:ascii="Calibri" w:hAnsi="Calibri" w:cs="Calibri" w:eastAsia="Calibri" w:hint="default"/>
          <w:b/>
          <w:bCs/>
          <w:sz w:val="20"/>
          <w:szCs w:val="20"/>
        </w:rPr>
      </w:pPr>
    </w:p>
    <w:p>
      <w:pPr>
        <w:spacing w:line="240" w:lineRule="auto" w:before="10"/>
        <w:rPr>
          <w:rFonts w:ascii="Calibri" w:hAnsi="Calibri" w:cs="Calibri" w:eastAsia="Calibri" w:hint="default"/>
          <w:b/>
          <w:bCs/>
          <w:sz w:val="29"/>
          <w:szCs w:val="29"/>
        </w:rPr>
      </w:pPr>
    </w:p>
    <w:p>
      <w:pPr>
        <w:spacing w:after="0" w:line="240" w:lineRule="auto"/>
        <w:rPr>
          <w:rFonts w:ascii="Calibri" w:hAnsi="Calibri" w:cs="Calibri" w:eastAsia="Calibri" w:hint="default"/>
          <w:sz w:val="29"/>
          <w:szCs w:val="29"/>
        </w:rPr>
        <w:sectPr>
          <w:headerReference w:type="default" r:id="rId196"/>
          <w:footerReference w:type="default" r:id="rId197"/>
          <w:pgSz w:w="16840" w:h="11910" w:orient="landscape"/>
          <w:pgMar w:header="0" w:footer="0" w:top="660" w:bottom="280" w:left="760" w:right="1300"/>
        </w:sectPr>
      </w:pPr>
    </w:p>
    <w:p>
      <w:pPr>
        <w:pStyle w:val="Heading3"/>
        <w:spacing w:line="240" w:lineRule="auto" w:before="36"/>
        <w:ind w:left="680" w:right="0"/>
        <w:jc w:val="left"/>
        <w:rPr>
          <w:rFonts w:ascii="宋体" w:hAnsi="宋体" w:cs="宋体" w:eastAsia="宋体" w:hint="default"/>
          <w:b w:val="0"/>
          <w:bCs w:val="0"/>
        </w:rPr>
      </w:pPr>
      <w:r>
        <w:rPr>
          <w:rFonts w:ascii="宋体"/>
          <w:w w:val="99"/>
        </w:rPr>
        <w:t> </w:t>
      </w:r>
      <w:r>
        <w:rPr>
          <w:rFonts w:ascii="宋体"/>
          <w:b w:val="0"/>
        </w:rPr>
      </w:r>
    </w:p>
    <w:p>
      <w:pPr>
        <w:pStyle w:val="Heading3"/>
        <w:spacing w:line="240" w:lineRule="auto"/>
        <w:ind w:left="680" w:right="0"/>
        <w:jc w:val="left"/>
        <w:rPr>
          <w:rFonts w:ascii="宋体" w:hAnsi="宋体" w:cs="宋体" w:eastAsia="宋体" w:hint="default"/>
          <w:b w:val="0"/>
          <w:bCs w:val="0"/>
        </w:rPr>
      </w:pPr>
      <w:r>
        <w:rPr>
          <w:rFonts w:ascii="宋体" w:hAnsi="宋体" w:cs="宋体" w:eastAsia="宋体" w:hint="default"/>
        </w:rPr>
        <w:t>55</w:t>
      </w:r>
      <w:r>
        <w:rPr/>
        <w:t>、</w:t>
      </w:r>
      <w:r>
        <w:rPr>
          <w:spacing w:val="-25"/>
        </w:rPr>
        <w:t> </w:t>
      </w:r>
      <w:r>
        <w:rPr/>
        <w:t>其他综合收益</w:t>
      </w:r>
      <w:r>
        <w:rPr>
          <w:rFonts w:ascii="宋体" w:hAnsi="宋体" w:cs="宋体" w:eastAsia="宋体" w:hint="default"/>
          <w:w w:val="99"/>
        </w:rPr>
        <w:t> </w:t>
      </w:r>
      <w:r>
        <w:rPr>
          <w:rFonts w:ascii="宋体" w:hAnsi="宋体" w:cs="宋体" w:eastAsia="宋体" w:hint="default"/>
          <w:b w:val="0"/>
          <w:bCs w:val="0"/>
        </w:rPr>
      </w:r>
    </w:p>
    <w:p>
      <w:pPr>
        <w:pStyle w:val="Heading2"/>
        <w:spacing w:line="240" w:lineRule="auto" w:before="69"/>
        <w:ind w:left="680"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3"/>
          <w:szCs w:val="23"/>
        </w:rPr>
      </w:pPr>
    </w:p>
    <w:p>
      <w:pPr>
        <w:pStyle w:val="BodyText"/>
        <w:spacing w:line="240" w:lineRule="auto"/>
        <w:ind w:left="680" w:right="0"/>
        <w:jc w:val="left"/>
        <w:rPr>
          <w:rFonts w:ascii="宋体" w:hAnsi="宋体" w:cs="宋体" w:eastAsia="宋体" w:hint="default"/>
        </w:rPr>
      </w:pPr>
      <w:r>
        <w:rPr/>
        <w:t>单位：元币种：人民币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6840" w:h="11910" w:orient="landscape"/>
          <w:pgMar w:top="1580" w:bottom="280" w:left="760" w:right="1300"/>
          <w:cols w:num="2" w:equalWidth="0">
            <w:col w:w="2721" w:space="9053"/>
            <w:col w:w="3006"/>
          </w:cols>
        </w:sectPr>
      </w:pPr>
    </w:p>
    <w:p>
      <w:pPr>
        <w:spacing w:line="240" w:lineRule="auto" w:before="10"/>
        <w:rPr>
          <w:rFonts w:ascii="宋体" w:hAnsi="宋体" w:cs="宋体" w:eastAsia="宋体" w:hint="default"/>
          <w:sz w:val="3"/>
          <w:szCs w:val="3"/>
        </w:rPr>
      </w:pPr>
    </w:p>
    <w:tbl>
      <w:tblPr>
        <w:tblW w:w="0" w:type="auto"/>
        <w:jc w:val="left"/>
        <w:tblInd w:w="108" w:type="dxa"/>
        <w:tblLayout w:type="fixed"/>
        <w:tblCellMar>
          <w:top w:w="0" w:type="dxa"/>
          <w:left w:w="0" w:type="dxa"/>
          <w:bottom w:w="0" w:type="dxa"/>
          <w:right w:w="0" w:type="dxa"/>
        </w:tblCellMar>
        <w:tblLook w:val="01E0"/>
      </w:tblPr>
      <w:tblGrid>
        <w:gridCol w:w="2976"/>
        <w:gridCol w:w="1419"/>
        <w:gridCol w:w="1274"/>
        <w:gridCol w:w="2129"/>
        <w:gridCol w:w="2124"/>
        <w:gridCol w:w="850"/>
        <w:gridCol w:w="1270"/>
        <w:gridCol w:w="1142"/>
        <w:gridCol w:w="1363"/>
      </w:tblGrid>
      <w:tr>
        <w:trPr>
          <w:trHeight w:val="322" w:hRule="exact"/>
        </w:trPr>
        <w:tc>
          <w:tcPr>
            <w:tcW w:w="2976"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90" w:right="0"/>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141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316" w:lineRule="auto"/>
              <w:ind w:left="525" w:right="431"/>
              <w:jc w:val="left"/>
              <w:rPr>
                <w:rFonts w:ascii="宋体" w:hAnsi="宋体" w:cs="宋体" w:eastAsia="宋体" w:hint="default"/>
                <w:sz w:val="18"/>
                <w:szCs w:val="18"/>
              </w:rPr>
            </w:pPr>
            <w:r>
              <w:rPr>
                <w:rFonts w:ascii="宋体" w:hAnsi="宋体" w:cs="宋体" w:eastAsia="宋体" w:hint="default"/>
                <w:sz w:val="18"/>
                <w:szCs w:val="18"/>
              </w:rPr>
              <w:t>期初</w:t>
            </w:r>
            <w:r>
              <w:rPr>
                <w:rFonts w:ascii="宋体" w:hAnsi="宋体" w:cs="宋体" w:eastAsia="宋体" w:hint="default"/>
                <w:sz w:val="18"/>
                <w:szCs w:val="18"/>
              </w:rPr>
              <w:t> </w:t>
            </w:r>
            <w:r>
              <w:rPr>
                <w:rFonts w:ascii="宋体" w:hAnsi="宋体" w:cs="宋体" w:eastAsia="宋体" w:hint="default"/>
                <w:sz w:val="18"/>
                <w:szCs w:val="18"/>
              </w:rPr>
              <w:t>余额</w:t>
            </w:r>
            <w:r>
              <w:rPr>
                <w:rFonts w:ascii="宋体" w:hAnsi="宋体" w:cs="宋体" w:eastAsia="宋体" w:hint="default"/>
                <w:sz w:val="18"/>
                <w:szCs w:val="18"/>
              </w:rPr>
              <w:t> </w:t>
            </w:r>
          </w:p>
        </w:tc>
        <w:tc>
          <w:tcPr>
            <w:tcW w:w="8790"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85" w:right="0"/>
              <w:jc w:val="center"/>
              <w:rPr>
                <w:rFonts w:ascii="宋体" w:hAnsi="宋体" w:cs="宋体" w:eastAsia="宋体" w:hint="default"/>
                <w:sz w:val="18"/>
                <w:szCs w:val="18"/>
              </w:rPr>
            </w:pPr>
            <w:r>
              <w:rPr>
                <w:rFonts w:ascii="宋体" w:hAnsi="宋体" w:cs="宋体" w:eastAsia="宋体" w:hint="default"/>
                <w:sz w:val="18"/>
                <w:szCs w:val="18"/>
              </w:rPr>
              <w:t>本期发生金额</w:t>
            </w:r>
            <w:r>
              <w:rPr>
                <w:rFonts w:ascii="宋体" w:hAnsi="宋体" w:cs="宋体" w:eastAsia="宋体" w:hint="default"/>
                <w:sz w:val="18"/>
                <w:szCs w:val="18"/>
              </w:rPr>
              <w:t> </w:t>
            </w:r>
          </w:p>
        </w:tc>
        <w:tc>
          <w:tcPr>
            <w:tcW w:w="13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316" w:lineRule="auto"/>
              <w:ind w:left="496" w:right="404"/>
              <w:jc w:val="left"/>
              <w:rPr>
                <w:rFonts w:ascii="宋体" w:hAnsi="宋体" w:cs="宋体" w:eastAsia="宋体" w:hint="default"/>
                <w:sz w:val="18"/>
                <w:szCs w:val="18"/>
              </w:rPr>
            </w:pPr>
            <w:r>
              <w:rPr>
                <w:rFonts w:ascii="宋体" w:hAnsi="宋体" w:cs="宋体" w:eastAsia="宋体" w:hint="default"/>
                <w:sz w:val="18"/>
                <w:szCs w:val="18"/>
              </w:rPr>
              <w:t>期末</w:t>
            </w:r>
            <w:r>
              <w:rPr>
                <w:rFonts w:ascii="宋体" w:hAnsi="宋体" w:cs="宋体" w:eastAsia="宋体" w:hint="default"/>
                <w:sz w:val="18"/>
                <w:szCs w:val="18"/>
              </w:rPr>
              <w:t> </w:t>
            </w:r>
            <w:r>
              <w:rPr>
                <w:rFonts w:ascii="宋体" w:hAnsi="宋体" w:cs="宋体" w:eastAsia="宋体" w:hint="default"/>
                <w:sz w:val="18"/>
                <w:szCs w:val="18"/>
              </w:rPr>
              <w:t>余额</w:t>
            </w:r>
            <w:r>
              <w:rPr>
                <w:rFonts w:ascii="宋体" w:hAnsi="宋体" w:cs="宋体" w:eastAsia="宋体" w:hint="default"/>
                <w:sz w:val="18"/>
                <w:szCs w:val="18"/>
              </w:rPr>
              <w:t> </w:t>
            </w:r>
          </w:p>
        </w:tc>
      </w:tr>
      <w:tr>
        <w:trPr>
          <w:trHeight w:val="634" w:hRule="exact"/>
        </w:trPr>
        <w:tc>
          <w:tcPr>
            <w:tcW w:w="2976" w:type="dxa"/>
            <w:vMerge/>
            <w:tcBorders>
              <w:left w:val="single" w:sz="4" w:space="0" w:color="000000"/>
              <w:bottom w:val="single" w:sz="4" w:space="0" w:color="000000"/>
              <w:right w:val="single" w:sz="4" w:space="0" w:color="000000"/>
            </w:tcBorders>
          </w:tcPr>
          <w:p>
            <w:pPr/>
          </w:p>
        </w:tc>
        <w:tc>
          <w:tcPr>
            <w:tcW w:w="1419" w:type="dxa"/>
            <w:vMerge/>
            <w:tcBorders>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71" w:right="180" w:hanging="89"/>
              <w:jc w:val="left"/>
              <w:rPr>
                <w:rFonts w:ascii="宋体" w:hAnsi="宋体" w:cs="宋体" w:eastAsia="宋体" w:hint="default"/>
                <w:sz w:val="18"/>
                <w:szCs w:val="18"/>
              </w:rPr>
            </w:pPr>
            <w:r>
              <w:rPr>
                <w:rFonts w:ascii="宋体" w:hAnsi="宋体" w:cs="宋体" w:eastAsia="宋体" w:hint="default"/>
                <w:sz w:val="18"/>
                <w:szCs w:val="18"/>
              </w:rPr>
              <w:t>本期所得税 前发生额</w:t>
            </w:r>
            <w:r>
              <w:rPr>
                <w:rFonts w:ascii="宋体" w:hAnsi="宋体" w:cs="宋体" w:eastAsia="宋体" w:hint="default"/>
                <w:sz w:val="18"/>
                <w:szCs w:val="18"/>
              </w:rPr>
              <w:t> </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427" w:right="103" w:hanging="324"/>
              <w:jc w:val="left"/>
              <w:rPr>
                <w:rFonts w:ascii="宋体" w:hAnsi="宋体" w:cs="宋体" w:eastAsia="宋体" w:hint="default"/>
                <w:sz w:val="18"/>
                <w:szCs w:val="18"/>
              </w:rPr>
            </w:pPr>
            <w:r>
              <w:rPr>
                <w:rFonts w:ascii="宋体" w:hAnsi="宋体" w:cs="宋体" w:eastAsia="宋体" w:hint="default"/>
                <w:spacing w:val="-7"/>
                <w:sz w:val="18"/>
                <w:szCs w:val="18"/>
              </w:rPr>
              <w:t>减：前期计入其他综合收</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益当期转入损益</w:t>
            </w:r>
            <w:r>
              <w:rPr>
                <w:rFonts w:ascii="宋体" w:hAnsi="宋体" w:cs="宋体" w:eastAsia="宋体" w:hint="default"/>
                <w:sz w:val="18"/>
                <w:szCs w:val="18"/>
              </w:rPr>
              <w:t> </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45" w:right="103" w:hanging="144"/>
              <w:jc w:val="left"/>
              <w:rPr>
                <w:rFonts w:ascii="宋体" w:hAnsi="宋体" w:cs="宋体" w:eastAsia="宋体" w:hint="default"/>
                <w:sz w:val="18"/>
                <w:szCs w:val="18"/>
              </w:rPr>
            </w:pPr>
            <w:r>
              <w:rPr>
                <w:rFonts w:ascii="宋体" w:hAnsi="宋体" w:cs="宋体" w:eastAsia="宋体" w:hint="default"/>
                <w:spacing w:val="-7"/>
                <w:sz w:val="18"/>
                <w:szCs w:val="18"/>
              </w:rPr>
              <w:t>减：前期计入其他综合收</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益当期转入留存收益</w:t>
            </w:r>
            <w:r>
              <w:rPr>
                <w:rFonts w:ascii="宋体" w:hAnsi="宋体" w:cs="宋体" w:eastAsia="宋体" w:hint="default"/>
                <w:sz w:val="18"/>
                <w:szCs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146" w:right="61" w:hanging="46"/>
              <w:jc w:val="left"/>
              <w:rPr>
                <w:rFonts w:ascii="宋体" w:hAnsi="宋体" w:cs="宋体" w:eastAsia="宋体" w:hint="default"/>
                <w:sz w:val="18"/>
                <w:szCs w:val="18"/>
              </w:rPr>
            </w:pPr>
            <w:r>
              <w:rPr>
                <w:rFonts w:ascii="宋体" w:hAnsi="宋体" w:cs="宋体" w:eastAsia="宋体" w:hint="default"/>
                <w:spacing w:val="-22"/>
                <w:sz w:val="18"/>
                <w:szCs w:val="18"/>
              </w:rPr>
              <w:t>减：所得</w:t>
            </w:r>
            <w:r>
              <w:rPr>
                <w:rFonts w:ascii="宋体" w:hAnsi="宋体" w:cs="宋体" w:eastAsia="宋体" w:hint="default"/>
                <w:sz w:val="18"/>
                <w:szCs w:val="18"/>
              </w:rPr>
              <w:t> 税费用</w:t>
            </w:r>
            <w:r>
              <w:rPr>
                <w:rFonts w:ascii="宋体" w:hAnsi="宋体" w:cs="宋体" w:eastAsia="宋体" w:hint="default"/>
                <w:sz w:val="18"/>
                <w:szCs w:val="18"/>
              </w:rPr>
              <w:t> </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360" w:right="178" w:hanging="180"/>
              <w:jc w:val="left"/>
              <w:rPr>
                <w:rFonts w:ascii="宋体" w:hAnsi="宋体" w:cs="宋体" w:eastAsia="宋体" w:hint="default"/>
                <w:sz w:val="18"/>
                <w:szCs w:val="18"/>
              </w:rPr>
            </w:pPr>
            <w:r>
              <w:rPr>
                <w:rFonts w:ascii="宋体" w:hAnsi="宋体" w:cs="宋体" w:eastAsia="宋体" w:hint="default"/>
                <w:sz w:val="18"/>
                <w:szCs w:val="18"/>
              </w:rPr>
              <w:t>税后归属于 母公司</w:t>
            </w:r>
            <w:r>
              <w:rPr>
                <w:rFonts w:ascii="宋体" w:hAnsi="宋体" w:cs="宋体" w:eastAsia="宋体" w:hint="default"/>
                <w:sz w:val="18"/>
                <w:szCs w:val="18"/>
              </w:rPr>
              <w:t> </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03" w:right="115" w:hanging="89"/>
              <w:jc w:val="left"/>
              <w:rPr>
                <w:rFonts w:ascii="宋体" w:hAnsi="宋体" w:cs="宋体" w:eastAsia="宋体" w:hint="default"/>
                <w:sz w:val="18"/>
                <w:szCs w:val="18"/>
              </w:rPr>
            </w:pPr>
            <w:r>
              <w:rPr>
                <w:rFonts w:ascii="宋体" w:hAnsi="宋体" w:cs="宋体" w:eastAsia="宋体" w:hint="default"/>
                <w:sz w:val="18"/>
                <w:szCs w:val="18"/>
              </w:rPr>
              <w:t>税后归属于 少数股东</w:t>
            </w:r>
            <w:r>
              <w:rPr>
                <w:rFonts w:ascii="宋体" w:hAnsi="宋体" w:cs="宋体" w:eastAsia="宋体" w:hint="default"/>
                <w:sz w:val="18"/>
                <w:szCs w:val="18"/>
              </w:rPr>
              <w:t> </w:t>
            </w:r>
          </w:p>
        </w:tc>
        <w:tc>
          <w:tcPr>
            <w:tcW w:w="1363" w:type="dxa"/>
            <w:vMerge/>
            <w:tcBorders>
              <w:left w:val="single" w:sz="4" w:space="0" w:color="000000"/>
              <w:bottom w:val="single" w:sz="4" w:space="0" w:color="000000"/>
              <w:right w:val="single" w:sz="4" w:space="0" w:color="000000"/>
            </w:tcBorders>
          </w:tcPr>
          <w:p>
            <w:pPr/>
          </w:p>
        </w:tc>
      </w:tr>
      <w:tr>
        <w:trPr>
          <w:trHeight w:val="634" w:hRule="exact"/>
        </w:trPr>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61"/>
              <w:jc w:val="left"/>
              <w:rPr>
                <w:rFonts w:ascii="宋体" w:hAnsi="宋体" w:cs="宋体" w:eastAsia="宋体" w:hint="default"/>
                <w:sz w:val="18"/>
                <w:szCs w:val="18"/>
              </w:rPr>
            </w:pPr>
            <w:r>
              <w:rPr>
                <w:rFonts w:ascii="宋体" w:hAnsi="宋体" w:cs="宋体" w:eastAsia="宋体" w:hint="default"/>
                <w:sz w:val="18"/>
                <w:szCs w:val="18"/>
              </w:rPr>
              <w:t>一、不能重分类进损益的其他综合 收益</w:t>
            </w:r>
            <w:r>
              <w:rPr>
                <w:rFonts w:ascii="宋体" w:hAnsi="宋体" w:cs="宋体" w:eastAsia="宋体" w:hint="default"/>
                <w:sz w:val="18"/>
                <w:szCs w:val="18"/>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9"/>
              <w:jc w:val="right"/>
              <w:rPr>
                <w:rFonts w:ascii="宋体" w:hAnsi="宋体" w:cs="宋体" w:eastAsia="宋体" w:hint="default"/>
                <w:sz w:val="18"/>
                <w:szCs w:val="18"/>
              </w:rPr>
            </w:pPr>
            <w:r>
              <w:rPr>
                <w:rFonts w:ascii="宋体"/>
                <w:sz w:val="18"/>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3"/>
              <w:jc w:val="right"/>
              <w:rPr>
                <w:rFonts w:ascii="宋体" w:hAnsi="宋体" w:cs="宋体" w:eastAsia="宋体" w:hint="default"/>
                <w:sz w:val="18"/>
                <w:szCs w:val="18"/>
              </w:rPr>
            </w:pPr>
            <w:r>
              <w:rPr>
                <w:rFonts w:ascii="宋体"/>
                <w:sz w:val="18"/>
              </w:rPr>
              <w:t> </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3"/>
              <w:jc w:val="right"/>
              <w:rPr>
                <w:rFonts w:ascii="宋体" w:hAnsi="宋体" w:cs="宋体" w:eastAsia="宋体" w:hint="default"/>
                <w:sz w:val="18"/>
                <w:szCs w:val="18"/>
              </w:rPr>
            </w:pPr>
            <w:r>
              <w:rPr>
                <w:rFonts w:ascii="宋体"/>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3"/>
              <w:jc w:val="right"/>
              <w:rPr>
                <w:rFonts w:ascii="宋体" w:hAnsi="宋体" w:cs="宋体" w:eastAsia="宋体" w:hint="default"/>
                <w:sz w:val="18"/>
                <w:szCs w:val="18"/>
              </w:rPr>
            </w:pPr>
            <w:r>
              <w:rPr>
                <w:rFonts w:ascii="宋体"/>
                <w:sz w:val="18"/>
              </w:rPr>
              <w:t> </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8"/>
              <w:jc w:val="right"/>
              <w:rPr>
                <w:rFonts w:ascii="宋体" w:hAnsi="宋体" w:cs="宋体" w:eastAsia="宋体" w:hint="default"/>
                <w:sz w:val="18"/>
                <w:szCs w:val="18"/>
              </w:rPr>
            </w:pPr>
            <w:r>
              <w:rPr>
                <w:rFonts w:ascii="宋体"/>
                <w:sz w:val="18"/>
              </w:rPr>
              <w:t> </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3"/>
              <w:jc w:val="right"/>
              <w:rPr>
                <w:rFonts w:ascii="宋体" w:hAnsi="宋体" w:cs="宋体" w:eastAsia="宋体" w:hint="default"/>
                <w:sz w:val="18"/>
                <w:szCs w:val="18"/>
              </w:rPr>
            </w:pPr>
            <w:r>
              <w:rPr>
                <w:rFonts w:ascii="宋体"/>
                <w:sz w:val="18"/>
              </w:rPr>
              <w:t> </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8"/>
              <w:jc w:val="right"/>
              <w:rPr>
                <w:rFonts w:ascii="宋体" w:hAnsi="宋体" w:cs="宋体" w:eastAsia="宋体" w:hint="default"/>
                <w:sz w:val="18"/>
                <w:szCs w:val="18"/>
              </w:rPr>
            </w:pPr>
            <w:r>
              <w:rPr>
                <w:rFonts w:ascii="宋体"/>
                <w:sz w:val="18"/>
              </w:rPr>
              <w:t> </w:t>
            </w:r>
          </w:p>
        </w:tc>
      </w:tr>
      <w:tr>
        <w:trPr>
          <w:trHeight w:val="634" w:hRule="exact"/>
        </w:trPr>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61"/>
              <w:jc w:val="left"/>
              <w:rPr>
                <w:rFonts w:ascii="宋体" w:hAnsi="宋体" w:cs="宋体" w:eastAsia="宋体" w:hint="default"/>
                <w:sz w:val="18"/>
                <w:szCs w:val="18"/>
              </w:rPr>
            </w:pPr>
            <w:r>
              <w:rPr>
                <w:rFonts w:ascii="宋体" w:hAnsi="宋体" w:cs="宋体" w:eastAsia="宋体" w:hint="default"/>
                <w:sz w:val="18"/>
                <w:szCs w:val="18"/>
              </w:rPr>
              <w:t>其中：重新计量设定受益计划变动 额</w:t>
            </w:r>
            <w:r>
              <w:rPr>
                <w:rFonts w:ascii="宋体" w:hAnsi="宋体" w:cs="宋体" w:eastAsia="宋体" w:hint="default"/>
                <w:sz w:val="18"/>
                <w:szCs w:val="18"/>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9"/>
              <w:jc w:val="right"/>
              <w:rPr>
                <w:rFonts w:ascii="宋体" w:hAnsi="宋体" w:cs="宋体" w:eastAsia="宋体" w:hint="default"/>
                <w:sz w:val="18"/>
                <w:szCs w:val="18"/>
              </w:rPr>
            </w:pPr>
            <w:r>
              <w:rPr>
                <w:rFonts w:ascii="宋体"/>
                <w:sz w:val="18"/>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3"/>
              <w:jc w:val="right"/>
              <w:rPr>
                <w:rFonts w:ascii="宋体" w:hAnsi="宋体" w:cs="宋体" w:eastAsia="宋体" w:hint="default"/>
                <w:sz w:val="18"/>
                <w:szCs w:val="18"/>
              </w:rPr>
            </w:pPr>
            <w:r>
              <w:rPr>
                <w:rFonts w:ascii="宋体"/>
                <w:sz w:val="18"/>
              </w:rPr>
              <w:t> </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3"/>
              <w:jc w:val="right"/>
              <w:rPr>
                <w:rFonts w:ascii="宋体" w:hAnsi="宋体" w:cs="宋体" w:eastAsia="宋体" w:hint="default"/>
                <w:sz w:val="18"/>
                <w:szCs w:val="18"/>
              </w:rPr>
            </w:pPr>
            <w:r>
              <w:rPr>
                <w:rFonts w:ascii="宋体"/>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3"/>
              <w:jc w:val="right"/>
              <w:rPr>
                <w:rFonts w:ascii="宋体" w:hAnsi="宋体" w:cs="宋体" w:eastAsia="宋体" w:hint="default"/>
                <w:sz w:val="18"/>
                <w:szCs w:val="18"/>
              </w:rPr>
            </w:pPr>
            <w:r>
              <w:rPr>
                <w:rFonts w:ascii="宋体"/>
                <w:sz w:val="18"/>
              </w:rPr>
              <w:t> </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8"/>
              <w:jc w:val="right"/>
              <w:rPr>
                <w:rFonts w:ascii="宋体" w:hAnsi="宋体" w:cs="宋体" w:eastAsia="宋体" w:hint="default"/>
                <w:sz w:val="18"/>
                <w:szCs w:val="18"/>
              </w:rPr>
            </w:pPr>
            <w:r>
              <w:rPr>
                <w:rFonts w:ascii="宋体"/>
                <w:sz w:val="18"/>
              </w:rPr>
              <w:t> </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3"/>
              <w:jc w:val="right"/>
              <w:rPr>
                <w:rFonts w:ascii="宋体" w:hAnsi="宋体" w:cs="宋体" w:eastAsia="宋体" w:hint="default"/>
                <w:sz w:val="18"/>
                <w:szCs w:val="18"/>
              </w:rPr>
            </w:pPr>
            <w:r>
              <w:rPr>
                <w:rFonts w:ascii="宋体"/>
                <w:sz w:val="18"/>
              </w:rPr>
              <w:t> </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8"/>
              <w:jc w:val="right"/>
              <w:rPr>
                <w:rFonts w:ascii="宋体" w:hAnsi="宋体" w:cs="宋体" w:eastAsia="宋体" w:hint="default"/>
                <w:sz w:val="18"/>
                <w:szCs w:val="18"/>
              </w:rPr>
            </w:pPr>
            <w:r>
              <w:rPr>
                <w:rFonts w:ascii="宋体"/>
                <w:sz w:val="18"/>
              </w:rPr>
              <w:t> </w:t>
            </w:r>
          </w:p>
        </w:tc>
      </w:tr>
      <w:tr>
        <w:trPr>
          <w:trHeight w:val="636" w:hRule="exact"/>
        </w:trPr>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61"/>
              <w:jc w:val="left"/>
              <w:rPr>
                <w:rFonts w:ascii="宋体" w:hAnsi="宋体" w:cs="宋体" w:eastAsia="宋体" w:hint="default"/>
                <w:sz w:val="18"/>
                <w:szCs w:val="18"/>
              </w:rPr>
            </w:pPr>
            <w:r>
              <w:rPr>
                <w:rFonts w:ascii="宋体" w:hAnsi="宋体" w:cs="宋体" w:eastAsia="宋体" w:hint="default"/>
                <w:sz w:val="18"/>
                <w:szCs w:val="18"/>
              </w:rPr>
              <w:t>权益法下不能转损益的其他综合收 益</w:t>
            </w:r>
            <w:r>
              <w:rPr>
                <w:rFonts w:ascii="宋体" w:hAnsi="宋体" w:cs="宋体" w:eastAsia="宋体" w:hint="default"/>
                <w:sz w:val="18"/>
                <w:szCs w:val="18"/>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9"/>
              <w:jc w:val="right"/>
              <w:rPr>
                <w:rFonts w:ascii="宋体" w:hAnsi="宋体" w:cs="宋体" w:eastAsia="宋体" w:hint="default"/>
                <w:sz w:val="18"/>
                <w:szCs w:val="18"/>
              </w:rPr>
            </w:pPr>
            <w:r>
              <w:rPr>
                <w:rFonts w:ascii="宋体"/>
                <w:sz w:val="18"/>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3"/>
              <w:jc w:val="right"/>
              <w:rPr>
                <w:rFonts w:ascii="宋体" w:hAnsi="宋体" w:cs="宋体" w:eastAsia="宋体" w:hint="default"/>
                <w:sz w:val="18"/>
                <w:szCs w:val="18"/>
              </w:rPr>
            </w:pPr>
            <w:r>
              <w:rPr>
                <w:rFonts w:ascii="宋体"/>
                <w:sz w:val="18"/>
              </w:rPr>
              <w:t> </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3"/>
              <w:jc w:val="right"/>
              <w:rPr>
                <w:rFonts w:ascii="宋体" w:hAnsi="宋体" w:cs="宋体" w:eastAsia="宋体" w:hint="default"/>
                <w:sz w:val="18"/>
                <w:szCs w:val="18"/>
              </w:rPr>
            </w:pPr>
            <w:r>
              <w:rPr>
                <w:rFonts w:ascii="宋体"/>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3"/>
              <w:jc w:val="right"/>
              <w:rPr>
                <w:rFonts w:ascii="宋体" w:hAnsi="宋体" w:cs="宋体" w:eastAsia="宋体" w:hint="default"/>
                <w:sz w:val="18"/>
                <w:szCs w:val="18"/>
              </w:rPr>
            </w:pPr>
            <w:r>
              <w:rPr>
                <w:rFonts w:ascii="宋体"/>
                <w:sz w:val="18"/>
              </w:rPr>
              <w:t> </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8"/>
              <w:jc w:val="right"/>
              <w:rPr>
                <w:rFonts w:ascii="宋体" w:hAnsi="宋体" w:cs="宋体" w:eastAsia="宋体" w:hint="default"/>
                <w:sz w:val="18"/>
                <w:szCs w:val="18"/>
              </w:rPr>
            </w:pPr>
            <w:r>
              <w:rPr>
                <w:rFonts w:ascii="宋体"/>
                <w:sz w:val="18"/>
              </w:rPr>
              <w:t> </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3"/>
              <w:jc w:val="right"/>
              <w:rPr>
                <w:rFonts w:ascii="宋体" w:hAnsi="宋体" w:cs="宋体" w:eastAsia="宋体" w:hint="default"/>
                <w:sz w:val="18"/>
                <w:szCs w:val="18"/>
              </w:rPr>
            </w:pPr>
            <w:r>
              <w:rPr>
                <w:rFonts w:ascii="宋体"/>
                <w:sz w:val="18"/>
              </w:rPr>
              <w:t> </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8"/>
              <w:jc w:val="right"/>
              <w:rPr>
                <w:rFonts w:ascii="宋体" w:hAnsi="宋体" w:cs="宋体" w:eastAsia="宋体" w:hint="default"/>
                <w:sz w:val="18"/>
                <w:szCs w:val="18"/>
              </w:rPr>
            </w:pPr>
            <w:r>
              <w:rPr>
                <w:rFonts w:ascii="宋体"/>
                <w:sz w:val="18"/>
              </w:rPr>
              <w:t> </w:t>
            </w:r>
          </w:p>
        </w:tc>
      </w:tr>
      <w:tr>
        <w:trPr>
          <w:trHeight w:val="322" w:hRule="exact"/>
        </w:trPr>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71"/>
              <w:jc w:val="right"/>
              <w:rPr>
                <w:rFonts w:ascii="宋体" w:hAnsi="宋体" w:cs="宋体" w:eastAsia="宋体" w:hint="default"/>
                <w:sz w:val="18"/>
                <w:szCs w:val="18"/>
              </w:rPr>
            </w:pPr>
            <w:r>
              <w:rPr>
                <w:rFonts w:ascii="宋体" w:hAnsi="宋体" w:cs="宋体" w:eastAsia="宋体" w:hint="default"/>
                <w:sz w:val="18"/>
                <w:szCs w:val="18"/>
              </w:rPr>
              <w:t>其他权益工具投资公允价值变动</w:t>
            </w:r>
            <w:r>
              <w:rPr>
                <w:rFonts w:ascii="宋体" w:hAnsi="宋体" w:cs="宋体" w:eastAsia="宋体" w:hint="default"/>
                <w:sz w:val="18"/>
                <w:szCs w:val="18"/>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
              <w:jc w:val="right"/>
              <w:rPr>
                <w:rFonts w:ascii="宋体" w:hAnsi="宋体" w:cs="宋体" w:eastAsia="宋体" w:hint="default"/>
                <w:sz w:val="18"/>
                <w:szCs w:val="18"/>
              </w:rPr>
            </w:pPr>
            <w:r>
              <w:rPr>
                <w:rFonts w:ascii="宋体"/>
                <w:sz w:val="18"/>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z w:val="18"/>
              </w:rPr>
              <w:t> </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3"/>
              <w:jc w:val="right"/>
              <w:rPr>
                <w:rFonts w:ascii="宋体" w:hAnsi="宋体" w:cs="宋体" w:eastAsia="宋体" w:hint="default"/>
                <w:sz w:val="18"/>
                <w:szCs w:val="18"/>
              </w:rPr>
            </w:pPr>
            <w:r>
              <w:rPr>
                <w:rFonts w:ascii="宋体"/>
                <w:sz w:val="18"/>
              </w:rPr>
              <w:t> </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3"/>
              <w:jc w:val="right"/>
              <w:rPr>
                <w:rFonts w:ascii="宋体" w:hAnsi="宋体" w:cs="宋体" w:eastAsia="宋体" w:hint="default"/>
                <w:sz w:val="18"/>
                <w:szCs w:val="18"/>
              </w:rPr>
            </w:pPr>
            <w:r>
              <w:rPr>
                <w:rFonts w:ascii="宋体"/>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3"/>
              <w:jc w:val="right"/>
              <w:rPr>
                <w:rFonts w:ascii="宋体" w:hAnsi="宋体" w:cs="宋体" w:eastAsia="宋体" w:hint="default"/>
                <w:sz w:val="18"/>
                <w:szCs w:val="18"/>
              </w:rPr>
            </w:pPr>
            <w:r>
              <w:rPr>
                <w:rFonts w:ascii="宋体"/>
                <w:sz w:val="18"/>
              </w:rPr>
              <w:t> </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8"/>
              <w:jc w:val="right"/>
              <w:rPr>
                <w:rFonts w:ascii="宋体" w:hAnsi="宋体" w:cs="宋体" w:eastAsia="宋体" w:hint="default"/>
                <w:sz w:val="18"/>
                <w:szCs w:val="18"/>
              </w:rPr>
            </w:pPr>
            <w:r>
              <w:rPr>
                <w:rFonts w:ascii="宋体"/>
                <w:sz w:val="18"/>
              </w:rPr>
              <w:t> </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3"/>
              <w:jc w:val="right"/>
              <w:rPr>
                <w:rFonts w:ascii="宋体" w:hAnsi="宋体" w:cs="宋体" w:eastAsia="宋体" w:hint="default"/>
                <w:sz w:val="18"/>
                <w:szCs w:val="18"/>
              </w:rPr>
            </w:pPr>
            <w:r>
              <w:rPr>
                <w:rFonts w:ascii="宋体"/>
                <w:sz w:val="18"/>
              </w:rPr>
              <w:t> </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8"/>
              <w:jc w:val="right"/>
              <w:rPr>
                <w:rFonts w:ascii="宋体" w:hAnsi="宋体" w:cs="宋体" w:eastAsia="宋体" w:hint="default"/>
                <w:sz w:val="18"/>
                <w:szCs w:val="18"/>
              </w:rPr>
            </w:pPr>
            <w:r>
              <w:rPr>
                <w:rFonts w:ascii="宋体"/>
                <w:sz w:val="18"/>
              </w:rPr>
              <w:t> </w:t>
            </w:r>
          </w:p>
        </w:tc>
      </w:tr>
      <w:tr>
        <w:trPr>
          <w:trHeight w:val="322" w:hRule="exact"/>
        </w:trPr>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71"/>
              <w:jc w:val="right"/>
              <w:rPr>
                <w:rFonts w:ascii="宋体" w:hAnsi="宋体" w:cs="宋体" w:eastAsia="宋体" w:hint="default"/>
                <w:sz w:val="18"/>
                <w:szCs w:val="18"/>
              </w:rPr>
            </w:pPr>
            <w:r>
              <w:rPr>
                <w:rFonts w:ascii="宋体" w:hAnsi="宋体" w:cs="宋体" w:eastAsia="宋体" w:hint="default"/>
                <w:sz w:val="18"/>
                <w:szCs w:val="18"/>
              </w:rPr>
              <w:t>企业自身信用风险公允价值变动</w:t>
            </w:r>
            <w:r>
              <w:rPr>
                <w:rFonts w:ascii="宋体" w:hAnsi="宋体" w:cs="宋体" w:eastAsia="宋体" w:hint="default"/>
                <w:sz w:val="18"/>
                <w:szCs w:val="18"/>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
              <w:jc w:val="right"/>
              <w:rPr>
                <w:rFonts w:ascii="宋体" w:hAnsi="宋体" w:cs="宋体" w:eastAsia="宋体" w:hint="default"/>
                <w:sz w:val="18"/>
                <w:szCs w:val="18"/>
              </w:rPr>
            </w:pPr>
            <w:r>
              <w:rPr>
                <w:rFonts w:ascii="宋体"/>
                <w:sz w:val="18"/>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z w:val="18"/>
              </w:rPr>
              <w:t> </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3"/>
              <w:jc w:val="right"/>
              <w:rPr>
                <w:rFonts w:ascii="宋体" w:hAnsi="宋体" w:cs="宋体" w:eastAsia="宋体" w:hint="default"/>
                <w:sz w:val="18"/>
                <w:szCs w:val="18"/>
              </w:rPr>
            </w:pPr>
            <w:r>
              <w:rPr>
                <w:rFonts w:ascii="宋体"/>
                <w:sz w:val="18"/>
              </w:rPr>
              <w:t> </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3"/>
              <w:jc w:val="right"/>
              <w:rPr>
                <w:rFonts w:ascii="宋体" w:hAnsi="宋体" w:cs="宋体" w:eastAsia="宋体" w:hint="default"/>
                <w:sz w:val="18"/>
                <w:szCs w:val="18"/>
              </w:rPr>
            </w:pPr>
            <w:r>
              <w:rPr>
                <w:rFonts w:ascii="宋体"/>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3"/>
              <w:jc w:val="right"/>
              <w:rPr>
                <w:rFonts w:ascii="宋体" w:hAnsi="宋体" w:cs="宋体" w:eastAsia="宋体" w:hint="default"/>
                <w:sz w:val="18"/>
                <w:szCs w:val="18"/>
              </w:rPr>
            </w:pPr>
            <w:r>
              <w:rPr>
                <w:rFonts w:ascii="宋体"/>
                <w:sz w:val="18"/>
              </w:rPr>
              <w:t> </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8"/>
              <w:jc w:val="right"/>
              <w:rPr>
                <w:rFonts w:ascii="宋体" w:hAnsi="宋体" w:cs="宋体" w:eastAsia="宋体" w:hint="default"/>
                <w:sz w:val="18"/>
                <w:szCs w:val="18"/>
              </w:rPr>
            </w:pPr>
            <w:r>
              <w:rPr>
                <w:rFonts w:ascii="宋体"/>
                <w:sz w:val="18"/>
              </w:rPr>
              <w:t> </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3"/>
              <w:jc w:val="right"/>
              <w:rPr>
                <w:rFonts w:ascii="宋体" w:hAnsi="宋体" w:cs="宋体" w:eastAsia="宋体" w:hint="default"/>
                <w:sz w:val="18"/>
                <w:szCs w:val="18"/>
              </w:rPr>
            </w:pPr>
            <w:r>
              <w:rPr>
                <w:rFonts w:ascii="宋体"/>
                <w:sz w:val="18"/>
              </w:rPr>
              <w:t> </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8"/>
              <w:jc w:val="right"/>
              <w:rPr>
                <w:rFonts w:ascii="宋体" w:hAnsi="宋体" w:cs="宋体" w:eastAsia="宋体" w:hint="default"/>
                <w:sz w:val="18"/>
                <w:szCs w:val="18"/>
              </w:rPr>
            </w:pPr>
            <w:r>
              <w:rPr>
                <w:rFonts w:ascii="宋体"/>
                <w:sz w:val="18"/>
              </w:rPr>
              <w:t> </w:t>
            </w:r>
          </w:p>
        </w:tc>
      </w:tr>
      <w:tr>
        <w:trPr>
          <w:trHeight w:val="634" w:hRule="exact"/>
        </w:trPr>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61"/>
              <w:jc w:val="left"/>
              <w:rPr>
                <w:rFonts w:ascii="宋体" w:hAnsi="宋体" w:cs="宋体" w:eastAsia="宋体" w:hint="default"/>
                <w:sz w:val="18"/>
                <w:szCs w:val="18"/>
              </w:rPr>
            </w:pPr>
            <w:r>
              <w:rPr>
                <w:rFonts w:ascii="宋体" w:hAnsi="宋体" w:cs="宋体" w:eastAsia="宋体" w:hint="default"/>
                <w:sz w:val="18"/>
                <w:szCs w:val="18"/>
              </w:rPr>
              <w:t>二、将重分类进损益的其他综合收 益</w:t>
            </w:r>
            <w:r>
              <w:rPr>
                <w:rFonts w:ascii="宋体" w:hAnsi="宋体" w:cs="宋体" w:eastAsia="宋体" w:hint="default"/>
                <w:sz w:val="18"/>
                <w:szCs w:val="18"/>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9"/>
              <w:jc w:val="right"/>
              <w:rPr>
                <w:rFonts w:ascii="宋体" w:hAnsi="宋体" w:cs="宋体" w:eastAsia="宋体" w:hint="default"/>
                <w:sz w:val="18"/>
                <w:szCs w:val="18"/>
              </w:rPr>
            </w:pPr>
            <w:r>
              <w:rPr>
                <w:rFonts w:ascii="宋体"/>
                <w:spacing w:val="-1"/>
                <w:sz w:val="18"/>
              </w:rPr>
              <w:t>1,441,757.55</w:t>
            </w:r>
            <w:r>
              <w:rPr>
                <w:rFonts w:ascii="宋体"/>
                <w:sz w:val="18"/>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487,078.94</w:t>
            </w:r>
            <w:r>
              <w:rPr>
                <w:rFonts w:ascii="宋体"/>
                <w:sz w:val="18"/>
              </w:rPr>
              <w:t> </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3"/>
              <w:jc w:val="right"/>
              <w:rPr>
                <w:rFonts w:ascii="宋体" w:hAnsi="宋体" w:cs="宋体" w:eastAsia="宋体" w:hint="default"/>
                <w:sz w:val="18"/>
                <w:szCs w:val="18"/>
              </w:rPr>
            </w:pPr>
            <w:r>
              <w:rPr>
                <w:rFonts w:ascii="宋体"/>
                <w:sz w:val="18"/>
              </w:rPr>
              <w:t> </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3"/>
              <w:jc w:val="right"/>
              <w:rPr>
                <w:rFonts w:ascii="宋体" w:hAnsi="宋体" w:cs="宋体" w:eastAsia="宋体" w:hint="default"/>
                <w:sz w:val="18"/>
                <w:szCs w:val="18"/>
              </w:rPr>
            </w:pPr>
            <w:r>
              <w:rPr>
                <w:rFonts w:ascii="宋体"/>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3"/>
              <w:jc w:val="right"/>
              <w:rPr>
                <w:rFonts w:ascii="宋体" w:hAnsi="宋体" w:cs="宋体" w:eastAsia="宋体" w:hint="default"/>
                <w:sz w:val="18"/>
                <w:szCs w:val="18"/>
              </w:rPr>
            </w:pPr>
            <w:r>
              <w:rPr>
                <w:rFonts w:ascii="宋体"/>
                <w:sz w:val="18"/>
              </w:rPr>
              <w:t> </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8"/>
              <w:jc w:val="right"/>
              <w:rPr>
                <w:rFonts w:ascii="宋体" w:hAnsi="宋体" w:cs="宋体" w:eastAsia="宋体" w:hint="default"/>
                <w:sz w:val="18"/>
                <w:szCs w:val="18"/>
              </w:rPr>
            </w:pPr>
            <w:r>
              <w:rPr>
                <w:rFonts w:ascii="宋体"/>
                <w:spacing w:val="-1"/>
                <w:sz w:val="18"/>
              </w:rPr>
              <w:t>487,078.94 </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3"/>
              <w:jc w:val="right"/>
              <w:rPr>
                <w:rFonts w:ascii="宋体" w:hAnsi="宋体" w:cs="宋体" w:eastAsia="宋体" w:hint="default"/>
                <w:sz w:val="18"/>
                <w:szCs w:val="18"/>
              </w:rPr>
            </w:pPr>
            <w:r>
              <w:rPr>
                <w:rFonts w:ascii="宋体"/>
                <w:sz w:val="18"/>
              </w:rPr>
              <w:t> </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8"/>
              <w:jc w:val="right"/>
              <w:rPr>
                <w:rFonts w:ascii="宋体" w:hAnsi="宋体" w:cs="宋体" w:eastAsia="宋体" w:hint="default"/>
                <w:sz w:val="18"/>
                <w:szCs w:val="18"/>
              </w:rPr>
            </w:pPr>
            <w:r>
              <w:rPr>
                <w:rFonts w:ascii="宋体"/>
                <w:spacing w:val="-1"/>
                <w:sz w:val="18"/>
              </w:rPr>
              <w:t>1,928,836.49</w:t>
            </w:r>
            <w:r>
              <w:rPr>
                <w:rFonts w:ascii="宋体"/>
                <w:sz w:val="18"/>
              </w:rPr>
              <w:t> </w:t>
            </w:r>
          </w:p>
        </w:tc>
      </w:tr>
      <w:tr>
        <w:trPr>
          <w:trHeight w:val="634" w:hRule="exact"/>
        </w:trPr>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61"/>
              <w:jc w:val="left"/>
              <w:rPr>
                <w:rFonts w:ascii="宋体" w:hAnsi="宋体" w:cs="宋体" w:eastAsia="宋体" w:hint="default"/>
                <w:sz w:val="18"/>
                <w:szCs w:val="18"/>
              </w:rPr>
            </w:pPr>
            <w:r>
              <w:rPr>
                <w:rFonts w:ascii="宋体" w:hAnsi="宋体" w:cs="宋体" w:eastAsia="宋体" w:hint="default"/>
                <w:sz w:val="18"/>
                <w:szCs w:val="18"/>
              </w:rPr>
              <w:t>其中：权益法下可转损益的其他综 合收益</w:t>
            </w:r>
            <w:r>
              <w:rPr>
                <w:rFonts w:ascii="宋体" w:hAnsi="宋体" w:cs="宋体" w:eastAsia="宋体" w:hint="default"/>
                <w:sz w:val="18"/>
                <w:szCs w:val="18"/>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9"/>
              <w:jc w:val="right"/>
              <w:rPr>
                <w:rFonts w:ascii="宋体" w:hAnsi="宋体" w:cs="宋体" w:eastAsia="宋体" w:hint="default"/>
                <w:sz w:val="18"/>
                <w:szCs w:val="18"/>
              </w:rPr>
            </w:pPr>
            <w:r>
              <w:rPr>
                <w:rFonts w:ascii="宋体"/>
                <w:sz w:val="18"/>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3"/>
              <w:jc w:val="right"/>
              <w:rPr>
                <w:rFonts w:ascii="宋体" w:hAnsi="宋体" w:cs="宋体" w:eastAsia="宋体" w:hint="default"/>
                <w:sz w:val="18"/>
                <w:szCs w:val="18"/>
              </w:rPr>
            </w:pPr>
            <w:r>
              <w:rPr>
                <w:rFonts w:ascii="宋体"/>
                <w:sz w:val="18"/>
              </w:rPr>
              <w:t> </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3"/>
              <w:jc w:val="right"/>
              <w:rPr>
                <w:rFonts w:ascii="宋体" w:hAnsi="宋体" w:cs="宋体" w:eastAsia="宋体" w:hint="default"/>
                <w:sz w:val="18"/>
                <w:szCs w:val="18"/>
              </w:rPr>
            </w:pPr>
            <w:r>
              <w:rPr>
                <w:rFonts w:ascii="宋体"/>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3"/>
              <w:jc w:val="right"/>
              <w:rPr>
                <w:rFonts w:ascii="宋体" w:hAnsi="宋体" w:cs="宋体" w:eastAsia="宋体" w:hint="default"/>
                <w:sz w:val="18"/>
                <w:szCs w:val="18"/>
              </w:rPr>
            </w:pPr>
            <w:r>
              <w:rPr>
                <w:rFonts w:ascii="宋体"/>
                <w:sz w:val="18"/>
              </w:rPr>
              <w:t> </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8"/>
              <w:jc w:val="right"/>
              <w:rPr>
                <w:rFonts w:ascii="宋体" w:hAnsi="宋体" w:cs="宋体" w:eastAsia="宋体" w:hint="default"/>
                <w:sz w:val="18"/>
                <w:szCs w:val="18"/>
              </w:rPr>
            </w:pPr>
            <w:r>
              <w:rPr>
                <w:rFonts w:ascii="宋体"/>
                <w:sz w:val="18"/>
              </w:rPr>
              <w:t> </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3"/>
              <w:jc w:val="right"/>
              <w:rPr>
                <w:rFonts w:ascii="宋体" w:hAnsi="宋体" w:cs="宋体" w:eastAsia="宋体" w:hint="default"/>
                <w:sz w:val="18"/>
                <w:szCs w:val="18"/>
              </w:rPr>
            </w:pPr>
            <w:r>
              <w:rPr>
                <w:rFonts w:ascii="宋体"/>
                <w:sz w:val="18"/>
              </w:rPr>
              <w:t> </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8"/>
              <w:jc w:val="right"/>
              <w:rPr>
                <w:rFonts w:ascii="宋体" w:hAnsi="宋体" w:cs="宋体" w:eastAsia="宋体" w:hint="default"/>
                <w:sz w:val="18"/>
                <w:szCs w:val="18"/>
              </w:rPr>
            </w:pPr>
            <w:r>
              <w:rPr>
                <w:rFonts w:ascii="宋体"/>
                <w:sz w:val="18"/>
              </w:rPr>
              <w:t> </w:t>
            </w:r>
          </w:p>
        </w:tc>
      </w:tr>
      <w:tr>
        <w:trPr>
          <w:trHeight w:val="322" w:hRule="exact"/>
        </w:trPr>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83" w:right="0"/>
              <w:jc w:val="left"/>
              <w:rPr>
                <w:rFonts w:ascii="宋体" w:hAnsi="宋体" w:cs="宋体" w:eastAsia="宋体" w:hint="default"/>
                <w:sz w:val="18"/>
                <w:szCs w:val="18"/>
              </w:rPr>
            </w:pPr>
            <w:r>
              <w:rPr>
                <w:rFonts w:ascii="宋体" w:hAnsi="宋体" w:cs="宋体" w:eastAsia="宋体" w:hint="default"/>
                <w:sz w:val="18"/>
                <w:szCs w:val="18"/>
              </w:rPr>
              <w:t>其他债权投资公允价值变动</w:t>
            </w:r>
            <w:r>
              <w:rPr>
                <w:rFonts w:ascii="宋体" w:hAnsi="宋体" w:cs="宋体" w:eastAsia="宋体" w:hint="default"/>
                <w:sz w:val="18"/>
                <w:szCs w:val="18"/>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
              <w:jc w:val="right"/>
              <w:rPr>
                <w:rFonts w:ascii="宋体" w:hAnsi="宋体" w:cs="宋体" w:eastAsia="宋体" w:hint="default"/>
                <w:sz w:val="18"/>
                <w:szCs w:val="18"/>
              </w:rPr>
            </w:pPr>
            <w:r>
              <w:rPr>
                <w:rFonts w:ascii="宋体"/>
                <w:sz w:val="18"/>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z w:val="18"/>
              </w:rPr>
              <w:t> </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3"/>
              <w:jc w:val="right"/>
              <w:rPr>
                <w:rFonts w:ascii="宋体" w:hAnsi="宋体" w:cs="宋体" w:eastAsia="宋体" w:hint="default"/>
                <w:sz w:val="18"/>
                <w:szCs w:val="18"/>
              </w:rPr>
            </w:pPr>
            <w:r>
              <w:rPr>
                <w:rFonts w:ascii="宋体"/>
                <w:sz w:val="18"/>
              </w:rPr>
              <w:t> </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3"/>
              <w:jc w:val="right"/>
              <w:rPr>
                <w:rFonts w:ascii="宋体" w:hAnsi="宋体" w:cs="宋体" w:eastAsia="宋体" w:hint="default"/>
                <w:sz w:val="18"/>
                <w:szCs w:val="18"/>
              </w:rPr>
            </w:pPr>
            <w:r>
              <w:rPr>
                <w:rFonts w:ascii="宋体"/>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3"/>
              <w:jc w:val="right"/>
              <w:rPr>
                <w:rFonts w:ascii="宋体" w:hAnsi="宋体" w:cs="宋体" w:eastAsia="宋体" w:hint="default"/>
                <w:sz w:val="18"/>
                <w:szCs w:val="18"/>
              </w:rPr>
            </w:pPr>
            <w:r>
              <w:rPr>
                <w:rFonts w:ascii="宋体"/>
                <w:sz w:val="18"/>
              </w:rPr>
              <w:t> </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8"/>
              <w:jc w:val="right"/>
              <w:rPr>
                <w:rFonts w:ascii="宋体" w:hAnsi="宋体" w:cs="宋体" w:eastAsia="宋体" w:hint="default"/>
                <w:sz w:val="18"/>
                <w:szCs w:val="18"/>
              </w:rPr>
            </w:pPr>
            <w:r>
              <w:rPr>
                <w:rFonts w:ascii="宋体"/>
                <w:sz w:val="18"/>
              </w:rPr>
              <w:t> </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3"/>
              <w:jc w:val="right"/>
              <w:rPr>
                <w:rFonts w:ascii="宋体" w:hAnsi="宋体" w:cs="宋体" w:eastAsia="宋体" w:hint="default"/>
                <w:sz w:val="18"/>
                <w:szCs w:val="18"/>
              </w:rPr>
            </w:pPr>
            <w:r>
              <w:rPr>
                <w:rFonts w:ascii="宋体"/>
                <w:sz w:val="18"/>
              </w:rPr>
              <w:t> </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8"/>
              <w:jc w:val="right"/>
              <w:rPr>
                <w:rFonts w:ascii="宋体" w:hAnsi="宋体" w:cs="宋体" w:eastAsia="宋体" w:hint="default"/>
                <w:sz w:val="18"/>
                <w:szCs w:val="18"/>
              </w:rPr>
            </w:pPr>
            <w:r>
              <w:rPr>
                <w:rFonts w:ascii="宋体"/>
                <w:sz w:val="18"/>
              </w:rPr>
              <w:t> </w:t>
            </w:r>
          </w:p>
        </w:tc>
      </w:tr>
      <w:tr>
        <w:trPr>
          <w:trHeight w:val="636" w:hRule="exact"/>
        </w:trPr>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61" w:firstLine="180"/>
              <w:jc w:val="left"/>
              <w:rPr>
                <w:rFonts w:ascii="宋体" w:hAnsi="宋体" w:cs="宋体" w:eastAsia="宋体" w:hint="default"/>
                <w:sz w:val="18"/>
                <w:szCs w:val="18"/>
              </w:rPr>
            </w:pPr>
            <w:r>
              <w:rPr>
                <w:rFonts w:ascii="宋体" w:hAnsi="宋体" w:cs="宋体" w:eastAsia="宋体" w:hint="default"/>
                <w:sz w:val="18"/>
                <w:szCs w:val="18"/>
              </w:rPr>
              <w:t>金融资产重分类计入其他综合收 益的金额</w:t>
            </w:r>
            <w:r>
              <w:rPr>
                <w:rFonts w:ascii="宋体" w:hAnsi="宋体" w:cs="宋体" w:eastAsia="宋体" w:hint="default"/>
                <w:sz w:val="18"/>
                <w:szCs w:val="18"/>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9"/>
              <w:jc w:val="right"/>
              <w:rPr>
                <w:rFonts w:ascii="宋体" w:hAnsi="宋体" w:cs="宋体" w:eastAsia="宋体" w:hint="default"/>
                <w:sz w:val="18"/>
                <w:szCs w:val="18"/>
              </w:rPr>
            </w:pPr>
            <w:r>
              <w:rPr>
                <w:rFonts w:ascii="宋体"/>
                <w:sz w:val="18"/>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3"/>
              <w:jc w:val="right"/>
              <w:rPr>
                <w:rFonts w:ascii="宋体" w:hAnsi="宋体" w:cs="宋体" w:eastAsia="宋体" w:hint="default"/>
                <w:sz w:val="18"/>
                <w:szCs w:val="18"/>
              </w:rPr>
            </w:pPr>
            <w:r>
              <w:rPr>
                <w:rFonts w:ascii="宋体"/>
                <w:sz w:val="18"/>
              </w:rPr>
              <w:t> </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3"/>
              <w:jc w:val="right"/>
              <w:rPr>
                <w:rFonts w:ascii="宋体" w:hAnsi="宋体" w:cs="宋体" w:eastAsia="宋体" w:hint="default"/>
                <w:sz w:val="18"/>
                <w:szCs w:val="18"/>
              </w:rPr>
            </w:pPr>
            <w:r>
              <w:rPr>
                <w:rFonts w:ascii="宋体"/>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3"/>
              <w:jc w:val="right"/>
              <w:rPr>
                <w:rFonts w:ascii="宋体" w:hAnsi="宋体" w:cs="宋体" w:eastAsia="宋体" w:hint="default"/>
                <w:sz w:val="18"/>
                <w:szCs w:val="18"/>
              </w:rPr>
            </w:pPr>
            <w:r>
              <w:rPr>
                <w:rFonts w:ascii="宋体"/>
                <w:sz w:val="18"/>
              </w:rPr>
              <w:t> </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8"/>
              <w:jc w:val="right"/>
              <w:rPr>
                <w:rFonts w:ascii="宋体" w:hAnsi="宋体" w:cs="宋体" w:eastAsia="宋体" w:hint="default"/>
                <w:sz w:val="18"/>
                <w:szCs w:val="18"/>
              </w:rPr>
            </w:pPr>
            <w:r>
              <w:rPr>
                <w:rFonts w:ascii="宋体"/>
                <w:sz w:val="18"/>
              </w:rPr>
              <w:t> </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3"/>
              <w:jc w:val="right"/>
              <w:rPr>
                <w:rFonts w:ascii="宋体" w:hAnsi="宋体" w:cs="宋体" w:eastAsia="宋体" w:hint="default"/>
                <w:sz w:val="18"/>
                <w:szCs w:val="18"/>
              </w:rPr>
            </w:pPr>
            <w:r>
              <w:rPr>
                <w:rFonts w:ascii="宋体"/>
                <w:sz w:val="18"/>
              </w:rPr>
              <w:t> </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8"/>
              <w:jc w:val="right"/>
              <w:rPr>
                <w:rFonts w:ascii="宋体" w:hAnsi="宋体" w:cs="宋体" w:eastAsia="宋体" w:hint="default"/>
                <w:sz w:val="18"/>
                <w:szCs w:val="18"/>
              </w:rPr>
            </w:pPr>
            <w:r>
              <w:rPr>
                <w:rFonts w:ascii="宋体"/>
                <w:sz w:val="18"/>
              </w:rPr>
              <w:t> </w:t>
            </w:r>
          </w:p>
        </w:tc>
      </w:tr>
      <w:tr>
        <w:trPr>
          <w:trHeight w:val="322" w:hRule="exact"/>
        </w:trPr>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83" w:right="0"/>
              <w:jc w:val="left"/>
              <w:rPr>
                <w:rFonts w:ascii="宋体" w:hAnsi="宋体" w:cs="宋体" w:eastAsia="宋体" w:hint="default"/>
                <w:sz w:val="18"/>
                <w:szCs w:val="18"/>
              </w:rPr>
            </w:pPr>
            <w:r>
              <w:rPr>
                <w:rFonts w:ascii="宋体" w:hAnsi="宋体" w:cs="宋体" w:eastAsia="宋体" w:hint="default"/>
                <w:sz w:val="18"/>
                <w:szCs w:val="18"/>
              </w:rPr>
              <w:t>其他债权投资信用减值准备</w:t>
            </w:r>
            <w:r>
              <w:rPr>
                <w:rFonts w:ascii="宋体" w:hAnsi="宋体" w:cs="宋体" w:eastAsia="宋体" w:hint="default"/>
                <w:sz w:val="18"/>
                <w:szCs w:val="18"/>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
              <w:jc w:val="right"/>
              <w:rPr>
                <w:rFonts w:ascii="宋体" w:hAnsi="宋体" w:cs="宋体" w:eastAsia="宋体" w:hint="default"/>
                <w:sz w:val="18"/>
                <w:szCs w:val="18"/>
              </w:rPr>
            </w:pPr>
            <w:r>
              <w:rPr>
                <w:rFonts w:ascii="宋体"/>
                <w:sz w:val="18"/>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z w:val="18"/>
              </w:rPr>
              <w:t> </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3"/>
              <w:jc w:val="right"/>
              <w:rPr>
                <w:rFonts w:ascii="宋体" w:hAnsi="宋体" w:cs="宋体" w:eastAsia="宋体" w:hint="default"/>
                <w:sz w:val="18"/>
                <w:szCs w:val="18"/>
              </w:rPr>
            </w:pPr>
            <w:r>
              <w:rPr>
                <w:rFonts w:ascii="宋体"/>
                <w:sz w:val="18"/>
              </w:rPr>
              <w:t> </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3"/>
              <w:jc w:val="right"/>
              <w:rPr>
                <w:rFonts w:ascii="宋体" w:hAnsi="宋体" w:cs="宋体" w:eastAsia="宋体" w:hint="default"/>
                <w:sz w:val="18"/>
                <w:szCs w:val="18"/>
              </w:rPr>
            </w:pPr>
            <w:r>
              <w:rPr>
                <w:rFonts w:ascii="宋体"/>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3"/>
              <w:jc w:val="right"/>
              <w:rPr>
                <w:rFonts w:ascii="宋体" w:hAnsi="宋体" w:cs="宋体" w:eastAsia="宋体" w:hint="default"/>
                <w:sz w:val="18"/>
                <w:szCs w:val="18"/>
              </w:rPr>
            </w:pPr>
            <w:r>
              <w:rPr>
                <w:rFonts w:ascii="宋体"/>
                <w:sz w:val="18"/>
              </w:rPr>
              <w:t> </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8"/>
              <w:jc w:val="right"/>
              <w:rPr>
                <w:rFonts w:ascii="宋体" w:hAnsi="宋体" w:cs="宋体" w:eastAsia="宋体" w:hint="default"/>
                <w:sz w:val="18"/>
                <w:szCs w:val="18"/>
              </w:rPr>
            </w:pPr>
            <w:r>
              <w:rPr>
                <w:rFonts w:ascii="宋体"/>
                <w:sz w:val="18"/>
              </w:rPr>
              <w:t> </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3"/>
              <w:jc w:val="right"/>
              <w:rPr>
                <w:rFonts w:ascii="宋体" w:hAnsi="宋体" w:cs="宋体" w:eastAsia="宋体" w:hint="default"/>
                <w:sz w:val="18"/>
                <w:szCs w:val="18"/>
              </w:rPr>
            </w:pPr>
            <w:r>
              <w:rPr>
                <w:rFonts w:ascii="宋体"/>
                <w:sz w:val="18"/>
              </w:rPr>
              <w:t> </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8"/>
              <w:jc w:val="right"/>
              <w:rPr>
                <w:rFonts w:ascii="宋体" w:hAnsi="宋体" w:cs="宋体" w:eastAsia="宋体" w:hint="default"/>
                <w:sz w:val="18"/>
                <w:szCs w:val="18"/>
              </w:rPr>
            </w:pPr>
            <w:r>
              <w:rPr>
                <w:rFonts w:ascii="宋体"/>
                <w:sz w:val="18"/>
              </w:rPr>
              <w:t> </w:t>
            </w:r>
          </w:p>
        </w:tc>
      </w:tr>
      <w:tr>
        <w:trPr>
          <w:trHeight w:val="322" w:hRule="exact"/>
        </w:trPr>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现金流量套期损益的有效部分</w:t>
            </w:r>
            <w:r>
              <w:rPr>
                <w:rFonts w:ascii="宋体" w:hAnsi="宋体" w:cs="宋体" w:eastAsia="宋体" w:hint="default"/>
                <w:sz w:val="18"/>
                <w:szCs w:val="18"/>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
              <w:jc w:val="right"/>
              <w:rPr>
                <w:rFonts w:ascii="宋体" w:hAnsi="宋体" w:cs="宋体" w:eastAsia="宋体" w:hint="default"/>
                <w:sz w:val="18"/>
                <w:szCs w:val="18"/>
              </w:rPr>
            </w:pPr>
            <w:r>
              <w:rPr>
                <w:rFonts w:ascii="宋体"/>
                <w:sz w:val="18"/>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z w:val="18"/>
              </w:rPr>
              <w:t> </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3"/>
              <w:jc w:val="right"/>
              <w:rPr>
                <w:rFonts w:ascii="宋体" w:hAnsi="宋体" w:cs="宋体" w:eastAsia="宋体" w:hint="default"/>
                <w:sz w:val="18"/>
                <w:szCs w:val="18"/>
              </w:rPr>
            </w:pPr>
            <w:r>
              <w:rPr>
                <w:rFonts w:ascii="宋体"/>
                <w:sz w:val="18"/>
              </w:rPr>
              <w:t> </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3"/>
              <w:jc w:val="right"/>
              <w:rPr>
                <w:rFonts w:ascii="宋体" w:hAnsi="宋体" w:cs="宋体" w:eastAsia="宋体" w:hint="default"/>
                <w:sz w:val="18"/>
                <w:szCs w:val="18"/>
              </w:rPr>
            </w:pPr>
            <w:r>
              <w:rPr>
                <w:rFonts w:ascii="宋体"/>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3"/>
              <w:jc w:val="right"/>
              <w:rPr>
                <w:rFonts w:ascii="宋体" w:hAnsi="宋体" w:cs="宋体" w:eastAsia="宋体" w:hint="default"/>
                <w:sz w:val="18"/>
                <w:szCs w:val="18"/>
              </w:rPr>
            </w:pPr>
            <w:r>
              <w:rPr>
                <w:rFonts w:ascii="宋体"/>
                <w:sz w:val="18"/>
              </w:rPr>
              <w:t> </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8"/>
              <w:jc w:val="right"/>
              <w:rPr>
                <w:rFonts w:ascii="宋体" w:hAnsi="宋体" w:cs="宋体" w:eastAsia="宋体" w:hint="default"/>
                <w:sz w:val="18"/>
                <w:szCs w:val="18"/>
              </w:rPr>
            </w:pPr>
            <w:r>
              <w:rPr>
                <w:rFonts w:ascii="宋体"/>
                <w:sz w:val="18"/>
              </w:rPr>
              <w:t> </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3"/>
              <w:jc w:val="right"/>
              <w:rPr>
                <w:rFonts w:ascii="宋体" w:hAnsi="宋体" w:cs="宋体" w:eastAsia="宋体" w:hint="default"/>
                <w:sz w:val="18"/>
                <w:szCs w:val="18"/>
              </w:rPr>
            </w:pPr>
            <w:r>
              <w:rPr>
                <w:rFonts w:ascii="宋体"/>
                <w:sz w:val="18"/>
              </w:rPr>
              <w:t> </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8"/>
              <w:jc w:val="right"/>
              <w:rPr>
                <w:rFonts w:ascii="宋体" w:hAnsi="宋体" w:cs="宋体" w:eastAsia="宋体" w:hint="default"/>
                <w:sz w:val="18"/>
                <w:szCs w:val="18"/>
              </w:rPr>
            </w:pPr>
            <w:r>
              <w:rPr>
                <w:rFonts w:ascii="宋体"/>
                <w:sz w:val="18"/>
              </w:rPr>
              <w:t> </w:t>
            </w:r>
          </w:p>
        </w:tc>
      </w:tr>
      <w:tr>
        <w:trPr>
          <w:trHeight w:val="322" w:hRule="exact"/>
        </w:trPr>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外币财务报表折算差额</w:t>
            </w:r>
            <w:r>
              <w:rPr>
                <w:rFonts w:ascii="宋体" w:hAnsi="宋体" w:cs="宋体" w:eastAsia="宋体" w:hint="default"/>
                <w:sz w:val="18"/>
                <w:szCs w:val="18"/>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
              <w:jc w:val="right"/>
              <w:rPr>
                <w:rFonts w:ascii="宋体" w:hAnsi="宋体" w:cs="宋体" w:eastAsia="宋体" w:hint="default"/>
                <w:sz w:val="18"/>
                <w:szCs w:val="18"/>
              </w:rPr>
            </w:pPr>
            <w:r>
              <w:rPr>
                <w:rFonts w:ascii="宋体"/>
                <w:spacing w:val="-1"/>
                <w:sz w:val="18"/>
              </w:rPr>
              <w:t>1,441,757.55</w:t>
            </w:r>
            <w:r>
              <w:rPr>
                <w:rFonts w:ascii="宋体"/>
                <w:sz w:val="18"/>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pacing w:val="-1"/>
                <w:sz w:val="18"/>
              </w:rPr>
              <w:t>487,078.94</w:t>
            </w:r>
            <w:r>
              <w:rPr>
                <w:rFonts w:ascii="宋体"/>
                <w:sz w:val="18"/>
              </w:rPr>
              <w:t> </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3"/>
              <w:jc w:val="right"/>
              <w:rPr>
                <w:rFonts w:ascii="宋体" w:hAnsi="宋体" w:cs="宋体" w:eastAsia="宋体" w:hint="default"/>
                <w:sz w:val="18"/>
                <w:szCs w:val="18"/>
              </w:rPr>
            </w:pPr>
            <w:r>
              <w:rPr>
                <w:rFonts w:ascii="宋体"/>
                <w:sz w:val="18"/>
              </w:rPr>
              <w:t> </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3"/>
              <w:jc w:val="right"/>
              <w:rPr>
                <w:rFonts w:ascii="宋体" w:hAnsi="宋体" w:cs="宋体" w:eastAsia="宋体" w:hint="default"/>
                <w:sz w:val="18"/>
                <w:szCs w:val="18"/>
              </w:rPr>
            </w:pPr>
            <w:r>
              <w:rPr>
                <w:rFonts w:ascii="宋体"/>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3"/>
              <w:jc w:val="right"/>
              <w:rPr>
                <w:rFonts w:ascii="宋体" w:hAnsi="宋体" w:cs="宋体" w:eastAsia="宋体" w:hint="default"/>
                <w:sz w:val="18"/>
                <w:szCs w:val="18"/>
              </w:rPr>
            </w:pPr>
            <w:r>
              <w:rPr>
                <w:rFonts w:ascii="宋体"/>
                <w:sz w:val="18"/>
              </w:rPr>
              <w:t> </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8"/>
              <w:jc w:val="right"/>
              <w:rPr>
                <w:rFonts w:ascii="宋体" w:hAnsi="宋体" w:cs="宋体" w:eastAsia="宋体" w:hint="default"/>
                <w:sz w:val="18"/>
                <w:szCs w:val="18"/>
              </w:rPr>
            </w:pPr>
            <w:r>
              <w:rPr>
                <w:rFonts w:ascii="宋体"/>
                <w:spacing w:val="-1"/>
                <w:sz w:val="18"/>
              </w:rPr>
              <w:t>487,078.94 </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3"/>
              <w:jc w:val="right"/>
              <w:rPr>
                <w:rFonts w:ascii="宋体" w:hAnsi="宋体" w:cs="宋体" w:eastAsia="宋体" w:hint="default"/>
                <w:sz w:val="18"/>
                <w:szCs w:val="18"/>
              </w:rPr>
            </w:pPr>
            <w:r>
              <w:rPr>
                <w:rFonts w:ascii="宋体"/>
                <w:sz w:val="18"/>
              </w:rPr>
              <w:t> </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8"/>
              <w:jc w:val="right"/>
              <w:rPr>
                <w:rFonts w:ascii="宋体" w:hAnsi="宋体" w:cs="宋体" w:eastAsia="宋体" w:hint="default"/>
                <w:sz w:val="18"/>
                <w:szCs w:val="18"/>
              </w:rPr>
            </w:pPr>
            <w:r>
              <w:rPr>
                <w:rFonts w:ascii="宋体"/>
                <w:spacing w:val="-1"/>
                <w:sz w:val="18"/>
              </w:rPr>
              <w:t>1,928,836.49</w:t>
            </w:r>
            <w:r>
              <w:rPr>
                <w:rFonts w:ascii="宋体"/>
                <w:sz w:val="18"/>
              </w:rPr>
              <w:t> </w:t>
            </w:r>
          </w:p>
        </w:tc>
      </w:tr>
      <w:tr>
        <w:trPr>
          <w:trHeight w:val="322" w:hRule="exact"/>
        </w:trPr>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其他综合收益合计</w:t>
            </w:r>
            <w:r>
              <w:rPr>
                <w:rFonts w:ascii="宋体" w:hAnsi="宋体" w:cs="宋体" w:eastAsia="宋体" w:hint="default"/>
                <w:sz w:val="18"/>
                <w:szCs w:val="18"/>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
              <w:jc w:val="right"/>
              <w:rPr>
                <w:rFonts w:ascii="宋体" w:hAnsi="宋体" w:cs="宋体" w:eastAsia="宋体" w:hint="default"/>
                <w:sz w:val="18"/>
                <w:szCs w:val="18"/>
              </w:rPr>
            </w:pPr>
            <w:r>
              <w:rPr>
                <w:rFonts w:ascii="宋体"/>
                <w:spacing w:val="-1"/>
                <w:sz w:val="18"/>
              </w:rPr>
              <w:t>1,441,757.55</w:t>
            </w:r>
            <w:r>
              <w:rPr>
                <w:rFonts w:ascii="宋体"/>
                <w:sz w:val="18"/>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spacing w:val="-1"/>
                <w:sz w:val="18"/>
              </w:rPr>
              <w:t>487,078.94</w:t>
            </w:r>
            <w:r>
              <w:rPr>
                <w:rFonts w:ascii="宋体"/>
                <w:sz w:val="18"/>
              </w:rPr>
              <w:t> </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3"/>
              <w:jc w:val="right"/>
              <w:rPr>
                <w:rFonts w:ascii="宋体" w:hAnsi="宋体" w:cs="宋体" w:eastAsia="宋体" w:hint="default"/>
                <w:sz w:val="18"/>
                <w:szCs w:val="18"/>
              </w:rPr>
            </w:pPr>
            <w:r>
              <w:rPr>
                <w:rFonts w:ascii="宋体"/>
                <w:sz w:val="18"/>
              </w:rPr>
              <w:t> </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3"/>
              <w:jc w:val="right"/>
              <w:rPr>
                <w:rFonts w:ascii="宋体" w:hAnsi="宋体" w:cs="宋体" w:eastAsia="宋体" w:hint="default"/>
                <w:sz w:val="18"/>
                <w:szCs w:val="18"/>
              </w:rPr>
            </w:pPr>
            <w:r>
              <w:rPr>
                <w:rFonts w:ascii="宋体"/>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3"/>
              <w:jc w:val="right"/>
              <w:rPr>
                <w:rFonts w:ascii="宋体" w:hAnsi="宋体" w:cs="宋体" w:eastAsia="宋体" w:hint="default"/>
                <w:sz w:val="18"/>
                <w:szCs w:val="18"/>
              </w:rPr>
            </w:pPr>
            <w:r>
              <w:rPr>
                <w:rFonts w:ascii="宋体"/>
                <w:sz w:val="18"/>
              </w:rPr>
              <w:t> </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8"/>
              <w:jc w:val="right"/>
              <w:rPr>
                <w:rFonts w:ascii="宋体" w:hAnsi="宋体" w:cs="宋体" w:eastAsia="宋体" w:hint="default"/>
                <w:sz w:val="18"/>
                <w:szCs w:val="18"/>
              </w:rPr>
            </w:pPr>
            <w:r>
              <w:rPr>
                <w:rFonts w:ascii="宋体"/>
                <w:spacing w:val="-1"/>
                <w:sz w:val="18"/>
              </w:rPr>
              <w:t>487,078.94 </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3"/>
              <w:jc w:val="right"/>
              <w:rPr>
                <w:rFonts w:ascii="宋体" w:hAnsi="宋体" w:cs="宋体" w:eastAsia="宋体" w:hint="default"/>
                <w:sz w:val="18"/>
                <w:szCs w:val="18"/>
              </w:rPr>
            </w:pPr>
            <w:r>
              <w:rPr>
                <w:rFonts w:ascii="宋体"/>
                <w:sz w:val="18"/>
              </w:rPr>
              <w:t> </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8"/>
              <w:jc w:val="right"/>
              <w:rPr>
                <w:rFonts w:ascii="宋体" w:hAnsi="宋体" w:cs="宋体" w:eastAsia="宋体" w:hint="default"/>
                <w:sz w:val="18"/>
                <w:szCs w:val="18"/>
              </w:rPr>
            </w:pPr>
            <w:r>
              <w:rPr>
                <w:rFonts w:ascii="宋体"/>
                <w:spacing w:val="-1"/>
                <w:sz w:val="18"/>
              </w:rPr>
              <w:t>1,928,836.49</w:t>
            </w:r>
            <w:r>
              <w:rPr>
                <w:rFonts w:ascii="宋体"/>
                <w:sz w:val="18"/>
              </w:rPr>
              <w:t> </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3"/>
          <w:szCs w:val="13"/>
        </w:rPr>
      </w:pPr>
    </w:p>
    <w:p>
      <w:pPr>
        <w:spacing w:before="63"/>
        <w:ind w:left="7249" w:right="6796" w:firstLine="0"/>
        <w:jc w:val="center"/>
        <w:rPr>
          <w:rFonts w:ascii="Calibri" w:hAnsi="Calibri" w:cs="Calibri" w:eastAsia="Calibri" w:hint="default"/>
          <w:sz w:val="18"/>
          <w:szCs w:val="18"/>
        </w:rPr>
      </w:pPr>
      <w:r>
        <w:rPr>
          <w:rFonts w:ascii="Calibri"/>
          <w:b/>
          <w:sz w:val="18"/>
        </w:rPr>
        <w:t>168 </w:t>
      </w:r>
      <w:r>
        <w:rPr>
          <w:rFonts w:ascii="Calibri"/>
          <w:sz w:val="18"/>
        </w:rPr>
        <w:t>/</w:t>
      </w:r>
      <w:r>
        <w:rPr>
          <w:rFonts w:ascii="Calibri"/>
          <w:spacing w:val="-5"/>
          <w:sz w:val="18"/>
        </w:rPr>
        <w:t> </w:t>
      </w:r>
      <w:r>
        <w:rPr>
          <w:rFonts w:ascii="Calibri"/>
          <w:b/>
          <w:sz w:val="18"/>
        </w:rPr>
        <w:t>216</w:t>
      </w:r>
      <w:r>
        <w:rPr>
          <w:rFonts w:ascii="Calibri"/>
          <w:sz w:val="18"/>
        </w:rPr>
      </w:r>
    </w:p>
    <w:p>
      <w:pPr>
        <w:spacing w:after="0"/>
        <w:jc w:val="center"/>
        <w:rPr>
          <w:rFonts w:ascii="Calibri" w:hAnsi="Calibri" w:cs="Calibri" w:eastAsia="Calibri" w:hint="default"/>
          <w:sz w:val="18"/>
          <w:szCs w:val="18"/>
        </w:rPr>
        <w:sectPr>
          <w:type w:val="continuous"/>
          <w:pgSz w:w="16840" w:h="11910" w:orient="landscape"/>
          <w:pgMar w:top="1580" w:bottom="280" w:left="760" w:right="1300"/>
        </w:sectPr>
      </w:pPr>
    </w:p>
    <w:p>
      <w:pPr>
        <w:spacing w:line="240" w:lineRule="auto" w:before="6"/>
        <w:rPr>
          <w:rFonts w:ascii="Calibri" w:hAnsi="Calibri" w:cs="Calibri" w:eastAsia="Calibri" w:hint="default"/>
          <w:b/>
          <w:bCs/>
          <w:sz w:val="20"/>
          <w:szCs w:val="20"/>
        </w:rPr>
      </w:pPr>
    </w:p>
    <w:p>
      <w:pPr>
        <w:spacing w:after="0" w:line="240" w:lineRule="auto"/>
        <w:rPr>
          <w:rFonts w:ascii="Calibri" w:hAnsi="Calibri" w:cs="Calibri" w:eastAsia="Calibri" w:hint="default"/>
          <w:sz w:val="20"/>
          <w:szCs w:val="20"/>
        </w:rPr>
        <w:sectPr>
          <w:footerReference w:type="default" r:id="rId198"/>
          <w:pgSz w:w="11910" w:h="16840"/>
          <w:pgMar w:footer="974" w:header="0" w:top="1140" w:bottom="1160" w:left="340" w:right="1240"/>
          <w:pgNumType w:start="16"/>
        </w:sectPr>
      </w:pPr>
    </w:p>
    <w:p>
      <w:pPr>
        <w:pStyle w:val="BodyText"/>
        <w:spacing w:line="240" w:lineRule="auto" w:before="36"/>
        <w:ind w:left="936" w:right="0"/>
        <w:jc w:val="left"/>
        <w:rPr>
          <w:rFonts w:ascii="宋体" w:hAnsi="宋体" w:cs="宋体" w:eastAsia="宋体" w:hint="default"/>
        </w:rPr>
      </w:pPr>
      <w:r>
        <w:rPr>
          <w:rFonts w:ascii="宋体"/>
          <w:w w:val="100"/>
        </w:rPr>
        <w:t> </w:t>
      </w:r>
    </w:p>
    <w:p>
      <w:pPr>
        <w:pStyle w:val="Heading3"/>
        <w:spacing w:line="240" w:lineRule="auto"/>
        <w:ind w:left="936" w:right="0"/>
        <w:jc w:val="left"/>
        <w:rPr>
          <w:rFonts w:ascii="宋体" w:hAnsi="宋体" w:cs="宋体" w:eastAsia="宋体" w:hint="default"/>
          <w:b w:val="0"/>
          <w:bCs w:val="0"/>
        </w:rPr>
      </w:pPr>
      <w:r>
        <w:rPr>
          <w:rFonts w:ascii="宋体" w:hAnsi="宋体" w:cs="宋体" w:eastAsia="宋体" w:hint="default"/>
        </w:rPr>
        <w:t>56</w:t>
      </w:r>
      <w:r>
        <w:rPr/>
        <w:t>、</w:t>
      </w:r>
      <w:r>
        <w:rPr>
          <w:spacing w:val="-27"/>
        </w:rPr>
        <w:t> </w:t>
      </w:r>
      <w:r>
        <w:rPr/>
        <w:t>专项储备</w:t>
      </w:r>
      <w:r>
        <w:rPr>
          <w:rFonts w:ascii="宋体" w:hAnsi="宋体" w:cs="宋体" w:eastAsia="宋体" w:hint="default"/>
          <w:w w:val="99"/>
        </w:rPr>
        <w:t> </w:t>
      </w:r>
      <w:r>
        <w:rPr>
          <w:rFonts w:ascii="宋体" w:hAnsi="宋体" w:cs="宋体" w:eastAsia="宋体" w:hint="default"/>
          <w:b w:val="0"/>
          <w:bCs w:val="0"/>
        </w:rPr>
      </w:r>
    </w:p>
    <w:p>
      <w:pPr>
        <w:pStyle w:val="Heading2"/>
        <w:spacing w:line="240" w:lineRule="auto" w:before="69"/>
        <w:ind w:left="93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BodyText"/>
        <w:spacing w:line="240" w:lineRule="auto" w:before="25"/>
        <w:ind w:left="936" w:right="0"/>
        <w:jc w:val="left"/>
        <w:rPr>
          <w:rFonts w:ascii="宋体" w:hAnsi="宋体" w:cs="宋体" w:eastAsia="宋体" w:hint="default"/>
        </w:rPr>
      </w:pPr>
      <w:r>
        <w:rPr>
          <w:rFonts w:ascii="宋体"/>
          <w:w w:val="100"/>
        </w:rPr>
        <w:t> </w:t>
      </w:r>
    </w:p>
    <w:p>
      <w:pPr>
        <w:pStyle w:val="Heading3"/>
        <w:spacing w:line="240" w:lineRule="auto"/>
        <w:ind w:left="936" w:right="0"/>
        <w:jc w:val="left"/>
        <w:rPr>
          <w:rFonts w:ascii="宋体" w:hAnsi="宋体" w:cs="宋体" w:eastAsia="宋体" w:hint="default"/>
          <w:b w:val="0"/>
          <w:bCs w:val="0"/>
        </w:rPr>
      </w:pPr>
      <w:r>
        <w:rPr>
          <w:rFonts w:ascii="宋体" w:hAnsi="宋体" w:cs="宋体" w:eastAsia="宋体" w:hint="default"/>
        </w:rPr>
        <w:t>57</w:t>
      </w:r>
      <w:r>
        <w:rPr/>
        <w:t>、</w:t>
      </w:r>
      <w:r>
        <w:rPr>
          <w:spacing w:val="-27"/>
        </w:rPr>
        <w:t> </w:t>
      </w:r>
      <w:r>
        <w:rPr/>
        <w:t>盈余公积</w:t>
      </w:r>
      <w:r>
        <w:rPr>
          <w:rFonts w:ascii="宋体" w:hAnsi="宋体" w:cs="宋体" w:eastAsia="宋体" w:hint="default"/>
          <w:w w:val="99"/>
        </w:rPr>
        <w:t> </w:t>
      </w:r>
      <w:r>
        <w:rPr>
          <w:rFonts w:ascii="宋体" w:hAnsi="宋体" w:cs="宋体" w:eastAsia="宋体" w:hint="default"/>
          <w:b w:val="0"/>
          <w:bCs w:val="0"/>
        </w:rPr>
      </w:r>
    </w:p>
    <w:p>
      <w:pPr>
        <w:pStyle w:val="Heading2"/>
        <w:spacing w:line="240" w:lineRule="auto" w:before="69"/>
        <w:ind w:left="93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4"/>
          <w:szCs w:val="24"/>
        </w:rPr>
      </w:pPr>
    </w:p>
    <w:p>
      <w:pPr>
        <w:pStyle w:val="BodyText"/>
        <w:spacing w:line="240" w:lineRule="auto"/>
        <w:ind w:left="936" w:right="0"/>
        <w:jc w:val="left"/>
        <w:rPr>
          <w:rFonts w:ascii="宋体" w:hAnsi="宋体" w:cs="宋体" w:eastAsia="宋体" w:hint="default"/>
        </w:rPr>
      </w:pPr>
      <w:r>
        <w:rPr/>
        <w:t>单位：元币种：人民币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580" w:bottom="280" w:left="340" w:right="1240"/>
          <w:cols w:num="2" w:equalWidth="0">
            <w:col w:w="2978" w:space="3756"/>
            <w:col w:w="3596"/>
          </w:cols>
        </w:sectPr>
      </w:pPr>
    </w:p>
    <w:p>
      <w:pPr>
        <w:spacing w:line="240" w:lineRule="auto" w:before="10"/>
        <w:rPr>
          <w:rFonts w:ascii="宋体" w:hAnsi="宋体" w:cs="宋体" w:eastAsia="宋体" w:hint="default"/>
          <w:sz w:val="3"/>
          <w:szCs w:val="3"/>
        </w:rPr>
      </w:pPr>
    </w:p>
    <w:tbl>
      <w:tblPr>
        <w:tblW w:w="0" w:type="auto"/>
        <w:jc w:val="left"/>
        <w:tblInd w:w="900" w:type="dxa"/>
        <w:tblLayout w:type="fixed"/>
        <w:tblCellMar>
          <w:top w:w="0" w:type="dxa"/>
          <w:left w:w="0" w:type="dxa"/>
          <w:bottom w:w="0" w:type="dxa"/>
          <w:right w:w="0" w:type="dxa"/>
        </w:tblCellMar>
        <w:tblLook w:val="01E0"/>
      </w:tblPr>
      <w:tblGrid>
        <w:gridCol w:w="1673"/>
        <w:gridCol w:w="1798"/>
        <w:gridCol w:w="1805"/>
        <w:gridCol w:w="1814"/>
        <w:gridCol w:w="1805"/>
      </w:tblGrid>
      <w:tr>
        <w:trPr>
          <w:trHeight w:val="283"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22" w:right="0"/>
              <w:jc w:val="left"/>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72"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75" w:right="0"/>
              <w:jc w:val="left"/>
              <w:rPr>
                <w:rFonts w:ascii="宋体" w:hAnsi="宋体" w:cs="宋体" w:eastAsia="宋体" w:hint="default"/>
                <w:sz w:val="21"/>
                <w:szCs w:val="21"/>
              </w:rPr>
            </w:pPr>
            <w:r>
              <w:rPr>
                <w:rFonts w:ascii="宋体" w:hAnsi="宋体" w:cs="宋体" w:eastAsia="宋体" w:hint="default"/>
                <w:sz w:val="21"/>
                <w:szCs w:val="21"/>
              </w:rPr>
              <w:t>本期增加</w:t>
            </w:r>
            <w:r>
              <w:rPr>
                <w:rFonts w:ascii="宋体" w:hAnsi="宋体" w:cs="宋体" w:eastAsia="宋体" w:hint="default"/>
                <w:sz w:val="21"/>
                <w:szCs w:val="21"/>
              </w:rPr>
              <w:t> </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82" w:right="0"/>
              <w:jc w:val="left"/>
              <w:rPr>
                <w:rFonts w:ascii="宋体" w:hAnsi="宋体" w:cs="宋体" w:eastAsia="宋体" w:hint="default"/>
                <w:sz w:val="21"/>
                <w:szCs w:val="21"/>
              </w:rPr>
            </w:pPr>
            <w:r>
              <w:rPr>
                <w:rFonts w:ascii="宋体" w:hAnsi="宋体" w:cs="宋体" w:eastAsia="宋体" w:hint="default"/>
                <w:sz w:val="21"/>
                <w:szCs w:val="21"/>
              </w:rPr>
              <w:t>本期减少</w:t>
            </w:r>
            <w:r>
              <w:rPr>
                <w:rFonts w:ascii="宋体" w:hAnsi="宋体" w:cs="宋体" w:eastAsia="宋体" w:hint="default"/>
                <w:sz w:val="21"/>
                <w:szCs w:val="21"/>
              </w:rPr>
              <w:t> </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75"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281"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法定盈余公积</w:t>
            </w:r>
            <w:r>
              <w:rPr>
                <w:rFonts w:ascii="宋体" w:hAnsi="宋体" w:cs="宋体" w:eastAsia="宋体" w:hint="default"/>
                <w:sz w:val="21"/>
                <w:szCs w:val="21"/>
              </w:rPr>
              <w:t> </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21"/>
                <w:szCs w:val="21"/>
              </w:rPr>
            </w:pPr>
            <w:r>
              <w:rPr>
                <w:rFonts w:ascii="宋体"/>
                <w:spacing w:val="-1"/>
                <w:sz w:val="18"/>
              </w:rPr>
              <w:t>225,700,358.18</w:t>
            </w:r>
            <w:r>
              <w:rPr>
                <w:rFonts w:ascii="宋体"/>
                <w:spacing w:val="-1"/>
                <w:w w:val="100"/>
                <w:sz w:val="21"/>
              </w:rPr>
              <w:t> </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9"/>
              <w:jc w:val="right"/>
              <w:rPr>
                <w:rFonts w:ascii="宋体" w:hAnsi="宋体" w:cs="宋体" w:eastAsia="宋体" w:hint="default"/>
                <w:sz w:val="21"/>
                <w:szCs w:val="21"/>
              </w:rPr>
            </w:pPr>
            <w:r>
              <w:rPr>
                <w:rFonts w:ascii="宋体"/>
                <w:spacing w:val="-1"/>
                <w:sz w:val="18"/>
              </w:rPr>
              <w:t>14,919,286.01</w:t>
            </w:r>
            <w:r>
              <w:rPr>
                <w:rFonts w:ascii="宋体"/>
                <w:w w:val="100"/>
                <w:sz w:val="21"/>
              </w:rPr>
              <w:t> </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w w:val="100"/>
                <w:sz w:val="21"/>
              </w:rPr>
              <w:t> </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240,619,644.19</w:t>
            </w:r>
            <w:r>
              <w:rPr>
                <w:rFonts w:ascii="宋体"/>
                <w:sz w:val="21"/>
              </w:rPr>
              <w:t> </w:t>
            </w:r>
          </w:p>
        </w:tc>
      </w:tr>
      <w:tr>
        <w:trPr>
          <w:trHeight w:val="283"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任意盈余公积</w:t>
            </w:r>
            <w:r>
              <w:rPr>
                <w:rFonts w:ascii="宋体" w:hAnsi="宋体" w:cs="宋体" w:eastAsia="宋体" w:hint="default"/>
                <w:sz w:val="21"/>
                <w:szCs w:val="21"/>
              </w:rPr>
              <w:t> </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 </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w w:val="100"/>
                <w:sz w:val="21"/>
              </w:rPr>
              <w:t> </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w w:val="100"/>
                <w:sz w:val="21"/>
              </w:rPr>
              <w:t> </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 </w:t>
            </w:r>
          </w:p>
        </w:tc>
      </w:tr>
      <w:tr>
        <w:trPr>
          <w:trHeight w:val="283"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储备基金</w:t>
            </w:r>
            <w:r>
              <w:rPr>
                <w:rFonts w:ascii="宋体" w:hAnsi="宋体" w:cs="宋体" w:eastAsia="宋体" w:hint="default"/>
                <w:sz w:val="21"/>
                <w:szCs w:val="21"/>
              </w:rPr>
              <w:t> </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 </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w w:val="100"/>
                <w:sz w:val="21"/>
              </w:rPr>
              <w:t> </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w w:val="100"/>
                <w:sz w:val="21"/>
              </w:rPr>
              <w:t> </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 </w:t>
            </w:r>
          </w:p>
        </w:tc>
      </w:tr>
      <w:tr>
        <w:trPr>
          <w:trHeight w:val="281"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企业发展基金</w:t>
            </w:r>
            <w:r>
              <w:rPr>
                <w:rFonts w:ascii="宋体" w:hAnsi="宋体" w:cs="宋体" w:eastAsia="宋体" w:hint="default"/>
                <w:sz w:val="21"/>
                <w:szCs w:val="21"/>
              </w:rPr>
              <w:t> </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 </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w w:val="100"/>
                <w:sz w:val="21"/>
              </w:rPr>
              <w:t> </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w w:val="100"/>
                <w:sz w:val="21"/>
              </w:rPr>
              <w:t> </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 </w:t>
            </w:r>
          </w:p>
        </w:tc>
      </w:tr>
      <w:tr>
        <w:trPr>
          <w:trHeight w:val="283"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 </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w w:val="100"/>
                <w:sz w:val="21"/>
              </w:rPr>
              <w:t> </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w w:val="100"/>
                <w:sz w:val="21"/>
              </w:rPr>
              <w:t> </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 </w:t>
            </w:r>
          </w:p>
        </w:tc>
      </w:tr>
      <w:tr>
        <w:trPr>
          <w:trHeight w:val="283"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22"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8"/>
              <w:jc w:val="right"/>
              <w:rPr>
                <w:rFonts w:ascii="宋体" w:hAnsi="宋体" w:cs="宋体" w:eastAsia="宋体" w:hint="default"/>
                <w:sz w:val="21"/>
                <w:szCs w:val="21"/>
              </w:rPr>
            </w:pPr>
            <w:r>
              <w:rPr>
                <w:rFonts w:ascii="宋体"/>
                <w:spacing w:val="-1"/>
                <w:sz w:val="18"/>
              </w:rPr>
              <w:t>225,700,358.18</w:t>
            </w:r>
            <w:r>
              <w:rPr>
                <w:rFonts w:ascii="宋体"/>
                <w:spacing w:val="-1"/>
                <w:w w:val="100"/>
                <w:sz w:val="21"/>
              </w:rPr>
              <w:t> </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9"/>
              <w:jc w:val="right"/>
              <w:rPr>
                <w:rFonts w:ascii="宋体" w:hAnsi="宋体" w:cs="宋体" w:eastAsia="宋体" w:hint="default"/>
                <w:sz w:val="21"/>
                <w:szCs w:val="21"/>
              </w:rPr>
            </w:pPr>
            <w:r>
              <w:rPr>
                <w:rFonts w:ascii="宋体"/>
                <w:spacing w:val="-1"/>
                <w:sz w:val="18"/>
              </w:rPr>
              <w:t>14,919,286.01</w:t>
            </w:r>
            <w:r>
              <w:rPr>
                <w:rFonts w:ascii="宋体"/>
                <w:w w:val="100"/>
                <w:sz w:val="21"/>
              </w:rPr>
              <w:t> </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w w:val="100"/>
                <w:sz w:val="21"/>
              </w:rPr>
              <w:t> </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240,619,644.19</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10" w:h="16840"/>
          <w:pgMar w:top="1580" w:bottom="280" w:left="340" w:right="1240"/>
        </w:sectPr>
      </w:pPr>
    </w:p>
    <w:p>
      <w:pPr>
        <w:pStyle w:val="BodyText"/>
        <w:spacing w:line="262" w:lineRule="exact"/>
        <w:ind w:left="936" w:right="0"/>
        <w:jc w:val="left"/>
        <w:rPr>
          <w:rFonts w:ascii="宋体" w:hAnsi="宋体" w:cs="宋体" w:eastAsia="宋体" w:hint="default"/>
        </w:rPr>
      </w:pPr>
      <w:r>
        <w:rPr>
          <w:rFonts w:ascii="宋体"/>
          <w:w w:val="100"/>
        </w:rPr>
        <w:t> </w:t>
      </w:r>
    </w:p>
    <w:p>
      <w:pPr>
        <w:pStyle w:val="Heading3"/>
        <w:spacing w:line="240" w:lineRule="auto"/>
        <w:ind w:left="936" w:right="0"/>
        <w:jc w:val="left"/>
        <w:rPr>
          <w:rFonts w:ascii="宋体" w:hAnsi="宋体" w:cs="宋体" w:eastAsia="宋体" w:hint="default"/>
          <w:b w:val="0"/>
          <w:bCs w:val="0"/>
        </w:rPr>
      </w:pPr>
      <w:r>
        <w:rPr>
          <w:rFonts w:ascii="宋体" w:hAnsi="宋体" w:cs="宋体" w:eastAsia="宋体" w:hint="default"/>
        </w:rPr>
        <w:t>58</w:t>
      </w:r>
      <w:r>
        <w:rPr/>
        <w:t>、</w:t>
      </w:r>
      <w:r>
        <w:rPr>
          <w:spacing w:val="-27"/>
        </w:rPr>
        <w:t> </w:t>
      </w:r>
      <w:r>
        <w:rPr/>
        <w:t>未分配利润</w:t>
      </w:r>
      <w:r>
        <w:rPr>
          <w:rFonts w:ascii="宋体" w:hAnsi="宋体" w:cs="宋体" w:eastAsia="宋体" w:hint="default"/>
          <w:w w:val="99"/>
        </w:rPr>
        <w:t> </w:t>
      </w:r>
      <w:r>
        <w:rPr>
          <w:rFonts w:ascii="宋体" w:hAnsi="宋体" w:cs="宋体" w:eastAsia="宋体" w:hint="default"/>
          <w:b w:val="0"/>
          <w:bCs w:val="0"/>
        </w:rPr>
      </w:r>
    </w:p>
    <w:p>
      <w:pPr>
        <w:pStyle w:val="Heading2"/>
        <w:spacing w:line="240" w:lineRule="auto" w:before="69"/>
        <w:ind w:left="93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pStyle w:val="BodyText"/>
        <w:spacing w:line="240" w:lineRule="auto"/>
        <w:ind w:left="936" w:right="0"/>
        <w:jc w:val="left"/>
        <w:rPr>
          <w:rFonts w:ascii="宋体" w:hAnsi="宋体" w:cs="宋体" w:eastAsia="宋体" w:hint="default"/>
        </w:rPr>
      </w:pPr>
      <w:r>
        <w:rPr/>
        <w:t>单位：元币种：人民币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580" w:bottom="280" w:left="340" w:right="1240"/>
          <w:cols w:num="2" w:equalWidth="0">
            <w:col w:w="2978" w:space="3756"/>
            <w:col w:w="3596"/>
          </w:cols>
        </w:sectPr>
      </w:pPr>
    </w:p>
    <w:p>
      <w:pPr>
        <w:spacing w:line="240" w:lineRule="auto" w:before="10"/>
        <w:rPr>
          <w:rFonts w:ascii="宋体" w:hAnsi="宋体" w:cs="宋体" w:eastAsia="宋体" w:hint="default"/>
          <w:sz w:val="3"/>
          <w:szCs w:val="3"/>
        </w:rPr>
      </w:pPr>
    </w:p>
    <w:tbl>
      <w:tblPr>
        <w:tblW w:w="0" w:type="auto"/>
        <w:jc w:val="left"/>
        <w:tblInd w:w="819" w:type="dxa"/>
        <w:tblLayout w:type="fixed"/>
        <w:tblCellMar>
          <w:top w:w="0" w:type="dxa"/>
          <w:left w:w="0" w:type="dxa"/>
          <w:bottom w:w="0" w:type="dxa"/>
          <w:right w:w="0" w:type="dxa"/>
        </w:tblCellMar>
        <w:tblLook w:val="01E0"/>
      </w:tblPr>
      <w:tblGrid>
        <w:gridCol w:w="3493"/>
        <w:gridCol w:w="2828"/>
        <w:gridCol w:w="2741"/>
      </w:tblGrid>
      <w:tr>
        <w:trPr>
          <w:trHeight w:val="322"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5"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2" w:right="0"/>
              <w:jc w:val="center"/>
              <w:rPr>
                <w:rFonts w:ascii="宋体" w:hAnsi="宋体" w:cs="宋体" w:eastAsia="宋体" w:hint="default"/>
                <w:sz w:val="21"/>
                <w:szCs w:val="21"/>
              </w:rPr>
            </w:pPr>
            <w:r>
              <w:rPr>
                <w:rFonts w:ascii="宋体" w:hAnsi="宋体" w:cs="宋体" w:eastAsia="宋体" w:hint="default"/>
                <w:sz w:val="21"/>
                <w:szCs w:val="21"/>
              </w:rPr>
              <w:t>本期</w:t>
            </w:r>
            <w:r>
              <w:rPr>
                <w:rFonts w:ascii="宋体" w:hAnsi="宋体" w:cs="宋体" w:eastAsia="宋体" w:hint="default"/>
                <w:sz w:val="21"/>
                <w:szCs w:val="21"/>
              </w:rPr>
              <w:t> </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center"/>
              <w:rPr>
                <w:rFonts w:ascii="宋体" w:hAnsi="宋体" w:cs="宋体" w:eastAsia="宋体" w:hint="default"/>
                <w:sz w:val="21"/>
                <w:szCs w:val="21"/>
              </w:rPr>
            </w:pPr>
            <w:r>
              <w:rPr>
                <w:rFonts w:ascii="宋体" w:hAnsi="宋体" w:cs="宋体" w:eastAsia="宋体" w:hint="default"/>
                <w:sz w:val="21"/>
                <w:szCs w:val="21"/>
              </w:rPr>
              <w:t>上期</w:t>
            </w:r>
            <w:r>
              <w:rPr>
                <w:rFonts w:ascii="宋体" w:hAnsi="宋体" w:cs="宋体" w:eastAsia="宋体" w:hint="default"/>
                <w:sz w:val="21"/>
                <w:szCs w:val="21"/>
              </w:rPr>
              <w:t> </w:t>
            </w:r>
          </w:p>
        </w:tc>
      </w:tr>
      <w:tr>
        <w:trPr>
          <w:trHeight w:val="322"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8" w:right="0"/>
              <w:jc w:val="left"/>
              <w:rPr>
                <w:rFonts w:ascii="宋体" w:hAnsi="宋体" w:cs="宋体" w:eastAsia="宋体" w:hint="default"/>
                <w:sz w:val="21"/>
                <w:szCs w:val="21"/>
              </w:rPr>
            </w:pPr>
            <w:r>
              <w:rPr>
                <w:rFonts w:ascii="宋体" w:hAnsi="宋体" w:cs="宋体" w:eastAsia="宋体" w:hint="default"/>
                <w:sz w:val="21"/>
                <w:szCs w:val="21"/>
              </w:rPr>
              <w:t>调整前上期末未分配利润</w:t>
            </w:r>
            <w:r>
              <w:rPr>
                <w:rFonts w:ascii="宋体" w:hAnsi="宋体" w:cs="宋体" w:eastAsia="宋体" w:hint="default"/>
                <w:sz w:val="21"/>
                <w:szCs w:val="21"/>
              </w:rPr>
              <w:t> </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7"/>
              <w:jc w:val="right"/>
              <w:rPr>
                <w:rFonts w:ascii="宋体" w:hAnsi="宋体" w:cs="宋体" w:eastAsia="宋体" w:hint="default"/>
                <w:sz w:val="21"/>
                <w:szCs w:val="21"/>
              </w:rPr>
            </w:pPr>
            <w:r>
              <w:rPr>
                <w:rFonts w:ascii="宋体"/>
                <w:spacing w:val="-1"/>
                <w:sz w:val="21"/>
              </w:rPr>
              <w:t>2,747,790,903.50</w:t>
            </w:r>
            <w:r>
              <w:rPr>
                <w:rFonts w:ascii="宋体"/>
                <w:sz w:val="21"/>
              </w:rPr>
              <w:t> </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
              <w:jc w:val="right"/>
              <w:rPr>
                <w:rFonts w:ascii="宋体" w:hAnsi="宋体" w:cs="宋体" w:eastAsia="宋体" w:hint="default"/>
                <w:sz w:val="21"/>
                <w:szCs w:val="21"/>
              </w:rPr>
            </w:pPr>
            <w:r>
              <w:rPr>
                <w:rFonts w:ascii="宋体"/>
                <w:spacing w:val="-1"/>
                <w:sz w:val="21"/>
              </w:rPr>
              <w:t>2,047,601,739.26</w:t>
            </w:r>
            <w:r>
              <w:rPr>
                <w:rFonts w:ascii="宋体"/>
                <w:sz w:val="21"/>
              </w:rPr>
              <w:t> </w:t>
            </w:r>
          </w:p>
        </w:tc>
      </w:tr>
      <w:tr>
        <w:trPr>
          <w:trHeight w:val="634"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8" w:right="-1"/>
              <w:jc w:val="left"/>
              <w:rPr>
                <w:rFonts w:ascii="宋体" w:hAnsi="宋体" w:cs="宋体" w:eastAsia="宋体" w:hint="default"/>
                <w:sz w:val="21"/>
                <w:szCs w:val="21"/>
              </w:rPr>
            </w:pPr>
            <w:r>
              <w:rPr>
                <w:rFonts w:ascii="宋体" w:hAnsi="宋体" w:cs="宋体" w:eastAsia="宋体" w:hint="default"/>
                <w:spacing w:val="-7"/>
                <w:w w:val="100"/>
                <w:sz w:val="21"/>
                <w:szCs w:val="21"/>
              </w:rPr>
              <w:t>调整期初未分配利润合计数（调增</w:t>
            </w:r>
            <w:r>
              <w:rPr>
                <w:rFonts w:ascii="宋体" w:hAnsi="宋体" w:cs="宋体" w:eastAsia="宋体" w:hint="default"/>
                <w:spacing w:val="-7"/>
                <w:w w:val="100"/>
                <w:sz w:val="21"/>
                <w:szCs w:val="21"/>
              </w:rPr>
              <w:t>+</w:t>
            </w:r>
            <w:r>
              <w:rPr>
                <w:rFonts w:ascii="宋体" w:hAnsi="宋体" w:cs="宋体" w:eastAsia="宋体" w:hint="default"/>
                <w:spacing w:val="-7"/>
                <w:w w:val="100"/>
                <w:sz w:val="21"/>
                <w:szCs w:val="21"/>
              </w:rPr>
              <w:t>，</w:t>
            </w:r>
            <w:r>
              <w:rPr>
                <w:rFonts w:ascii="宋体" w:hAnsi="宋体" w:cs="宋体" w:eastAsia="宋体" w:hint="default"/>
                <w:spacing w:val="-102"/>
                <w:w w:val="100"/>
                <w:sz w:val="21"/>
                <w:szCs w:val="21"/>
              </w:rPr>
              <w:t> </w:t>
            </w:r>
            <w:r>
              <w:rPr>
                <w:rFonts w:ascii="宋体" w:hAnsi="宋体" w:cs="宋体" w:eastAsia="宋体" w:hint="default"/>
                <w:sz w:val="21"/>
                <w:szCs w:val="21"/>
              </w:rPr>
              <w:t>调减－）</w:t>
            </w:r>
            <w:r>
              <w:rPr>
                <w:rFonts w:ascii="宋体" w:hAnsi="宋体" w:cs="宋体" w:eastAsia="宋体" w:hint="default"/>
                <w:sz w:val="21"/>
                <w:szCs w:val="21"/>
              </w:rPr>
              <w:t> </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7"/>
              <w:jc w:val="right"/>
              <w:rPr>
                <w:rFonts w:ascii="宋体" w:hAnsi="宋体" w:cs="宋体" w:eastAsia="宋体" w:hint="default"/>
                <w:sz w:val="21"/>
                <w:szCs w:val="21"/>
              </w:rPr>
            </w:pPr>
            <w:r>
              <w:rPr>
                <w:rFonts w:ascii="宋体"/>
                <w:spacing w:val="-1"/>
                <w:sz w:val="21"/>
              </w:rPr>
              <w:t>-21,116,994.91</w:t>
            </w:r>
            <w:r>
              <w:rPr>
                <w:rFonts w:ascii="宋体"/>
                <w:sz w:val="21"/>
              </w:rPr>
              <w:t> </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7"/>
              <w:jc w:val="right"/>
              <w:rPr>
                <w:rFonts w:ascii="宋体" w:hAnsi="宋体" w:cs="宋体" w:eastAsia="宋体" w:hint="default"/>
                <w:sz w:val="21"/>
                <w:szCs w:val="21"/>
              </w:rPr>
            </w:pPr>
            <w:r>
              <w:rPr>
                <w:rFonts w:ascii="宋体"/>
                <w:w w:val="100"/>
                <w:sz w:val="21"/>
              </w:rPr>
              <w:t> </w:t>
            </w:r>
          </w:p>
        </w:tc>
      </w:tr>
      <w:tr>
        <w:trPr>
          <w:trHeight w:val="322"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8" w:right="0"/>
              <w:jc w:val="left"/>
              <w:rPr>
                <w:rFonts w:ascii="宋体" w:hAnsi="宋体" w:cs="宋体" w:eastAsia="宋体" w:hint="default"/>
                <w:sz w:val="21"/>
                <w:szCs w:val="21"/>
              </w:rPr>
            </w:pPr>
            <w:r>
              <w:rPr>
                <w:rFonts w:ascii="宋体" w:hAnsi="宋体" w:cs="宋体" w:eastAsia="宋体" w:hint="default"/>
                <w:sz w:val="21"/>
                <w:szCs w:val="21"/>
              </w:rPr>
              <w:t>调整后期初未分配利润</w:t>
            </w:r>
            <w:r>
              <w:rPr>
                <w:rFonts w:ascii="宋体" w:hAnsi="宋体" w:cs="宋体" w:eastAsia="宋体" w:hint="default"/>
                <w:sz w:val="21"/>
                <w:szCs w:val="21"/>
              </w:rPr>
              <w:t> </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7"/>
              <w:jc w:val="right"/>
              <w:rPr>
                <w:rFonts w:ascii="宋体" w:hAnsi="宋体" w:cs="宋体" w:eastAsia="宋体" w:hint="default"/>
                <w:sz w:val="21"/>
                <w:szCs w:val="21"/>
              </w:rPr>
            </w:pPr>
            <w:r>
              <w:rPr>
                <w:rFonts w:ascii="宋体"/>
                <w:spacing w:val="-1"/>
                <w:sz w:val="21"/>
              </w:rPr>
              <w:t>2,726,673,908.59</w:t>
            </w:r>
            <w:r>
              <w:rPr>
                <w:rFonts w:ascii="宋体"/>
                <w:sz w:val="21"/>
              </w:rPr>
              <w:t> </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7"/>
              <w:jc w:val="right"/>
              <w:rPr>
                <w:rFonts w:ascii="宋体" w:hAnsi="宋体" w:cs="宋体" w:eastAsia="宋体" w:hint="default"/>
                <w:sz w:val="21"/>
                <w:szCs w:val="21"/>
              </w:rPr>
            </w:pPr>
            <w:r>
              <w:rPr>
                <w:rFonts w:ascii="宋体"/>
                <w:spacing w:val="-1"/>
                <w:sz w:val="21"/>
              </w:rPr>
              <w:t>2,047,601,739.26</w:t>
            </w:r>
            <w:r>
              <w:rPr>
                <w:rFonts w:ascii="宋体"/>
                <w:sz w:val="21"/>
              </w:rPr>
              <w:t> </w:t>
            </w:r>
          </w:p>
        </w:tc>
      </w:tr>
      <w:tr>
        <w:trPr>
          <w:trHeight w:val="634"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8" w:right="111"/>
              <w:jc w:val="left"/>
              <w:rPr>
                <w:rFonts w:ascii="宋体" w:hAnsi="宋体" w:cs="宋体" w:eastAsia="宋体" w:hint="default"/>
                <w:sz w:val="21"/>
                <w:szCs w:val="21"/>
              </w:rPr>
            </w:pPr>
            <w:r>
              <w:rPr>
                <w:rFonts w:ascii="宋体" w:hAnsi="宋体" w:cs="宋体" w:eastAsia="宋体" w:hint="default"/>
                <w:spacing w:val="-8"/>
                <w:w w:val="100"/>
                <w:sz w:val="21"/>
                <w:szCs w:val="21"/>
              </w:rPr>
              <w:t>加：本期归属于母公司所有者的净利</w:t>
            </w:r>
            <w:r>
              <w:rPr>
                <w:rFonts w:ascii="宋体" w:hAnsi="宋体" w:cs="宋体" w:eastAsia="宋体" w:hint="default"/>
                <w:spacing w:val="-100"/>
                <w:w w:val="100"/>
                <w:sz w:val="21"/>
                <w:szCs w:val="21"/>
              </w:rPr>
              <w:t> </w:t>
            </w:r>
            <w:r>
              <w:rPr>
                <w:rFonts w:ascii="宋体" w:hAnsi="宋体" w:cs="宋体" w:eastAsia="宋体" w:hint="default"/>
                <w:spacing w:val="-100"/>
                <w:w w:val="100"/>
                <w:sz w:val="21"/>
                <w:szCs w:val="21"/>
              </w:rPr>
            </w:r>
            <w:r>
              <w:rPr>
                <w:rFonts w:ascii="宋体" w:hAnsi="宋体" w:cs="宋体" w:eastAsia="宋体" w:hint="default"/>
                <w:sz w:val="21"/>
                <w:szCs w:val="21"/>
              </w:rPr>
              <w:t>润</w:t>
            </w:r>
            <w:r>
              <w:rPr>
                <w:rFonts w:ascii="宋体" w:hAnsi="宋体" w:cs="宋体" w:eastAsia="宋体" w:hint="default"/>
                <w:sz w:val="21"/>
                <w:szCs w:val="21"/>
              </w:rPr>
              <w:t> </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7"/>
              <w:jc w:val="right"/>
              <w:rPr>
                <w:rFonts w:ascii="宋体" w:hAnsi="宋体" w:cs="宋体" w:eastAsia="宋体" w:hint="default"/>
                <w:sz w:val="21"/>
                <w:szCs w:val="21"/>
              </w:rPr>
            </w:pPr>
            <w:r>
              <w:rPr>
                <w:rFonts w:ascii="宋体"/>
                <w:spacing w:val="-1"/>
                <w:sz w:val="21"/>
              </w:rPr>
              <w:t>700,405,103.05</w:t>
            </w:r>
            <w:r>
              <w:rPr>
                <w:rFonts w:ascii="宋体"/>
                <w:sz w:val="21"/>
              </w:rPr>
              <w:t> </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7"/>
              <w:jc w:val="right"/>
              <w:rPr>
                <w:rFonts w:ascii="宋体" w:hAnsi="宋体" w:cs="宋体" w:eastAsia="宋体" w:hint="default"/>
                <w:sz w:val="21"/>
                <w:szCs w:val="21"/>
              </w:rPr>
            </w:pPr>
            <w:r>
              <w:rPr>
                <w:rFonts w:ascii="宋体"/>
                <w:spacing w:val="-1"/>
                <w:sz w:val="21"/>
              </w:rPr>
              <w:t>777,590,285.79</w:t>
            </w:r>
            <w:r>
              <w:rPr>
                <w:rFonts w:ascii="宋体"/>
                <w:sz w:val="21"/>
              </w:rPr>
              <w:t> </w:t>
            </w:r>
          </w:p>
        </w:tc>
      </w:tr>
      <w:tr>
        <w:trPr>
          <w:trHeight w:val="324"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8" w:right="0"/>
              <w:jc w:val="left"/>
              <w:rPr>
                <w:rFonts w:ascii="宋体" w:hAnsi="宋体" w:cs="宋体" w:eastAsia="宋体" w:hint="default"/>
                <w:sz w:val="21"/>
                <w:szCs w:val="21"/>
              </w:rPr>
            </w:pPr>
            <w:r>
              <w:rPr>
                <w:rFonts w:ascii="宋体" w:hAnsi="宋体" w:cs="宋体" w:eastAsia="宋体" w:hint="default"/>
                <w:sz w:val="21"/>
                <w:szCs w:val="21"/>
              </w:rPr>
              <w:t>减：提取法定盈余公积</w:t>
            </w:r>
            <w:r>
              <w:rPr>
                <w:rFonts w:ascii="宋体" w:hAnsi="宋体" w:cs="宋体" w:eastAsia="宋体" w:hint="default"/>
                <w:sz w:val="21"/>
                <w:szCs w:val="21"/>
              </w:rPr>
              <w:t> </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right"/>
              <w:rPr>
                <w:rFonts w:ascii="宋体" w:hAnsi="宋体" w:cs="宋体" w:eastAsia="宋体" w:hint="default"/>
                <w:sz w:val="21"/>
                <w:szCs w:val="21"/>
              </w:rPr>
            </w:pPr>
            <w:r>
              <w:rPr>
                <w:rFonts w:ascii="宋体"/>
                <w:spacing w:val="-1"/>
                <w:sz w:val="21"/>
              </w:rPr>
              <w:t>14,919,286.01</w:t>
            </w:r>
            <w:r>
              <w:rPr>
                <w:rFonts w:ascii="宋体"/>
                <w:sz w:val="21"/>
              </w:rPr>
              <w:t> </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7"/>
              <w:jc w:val="right"/>
              <w:rPr>
                <w:rFonts w:ascii="宋体" w:hAnsi="宋体" w:cs="宋体" w:eastAsia="宋体" w:hint="default"/>
                <w:sz w:val="21"/>
                <w:szCs w:val="21"/>
              </w:rPr>
            </w:pPr>
            <w:r>
              <w:rPr>
                <w:rFonts w:ascii="宋体"/>
                <w:spacing w:val="-1"/>
                <w:sz w:val="21"/>
              </w:rPr>
              <w:t>6,784,715.19</w:t>
            </w:r>
            <w:r>
              <w:rPr>
                <w:rFonts w:ascii="宋体"/>
                <w:sz w:val="21"/>
              </w:rPr>
              <w:t> </w:t>
            </w:r>
          </w:p>
        </w:tc>
      </w:tr>
      <w:tr>
        <w:trPr>
          <w:trHeight w:val="322"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28" w:right="0"/>
              <w:jc w:val="left"/>
              <w:rPr>
                <w:rFonts w:ascii="宋体" w:hAnsi="宋体" w:cs="宋体" w:eastAsia="宋体" w:hint="default"/>
                <w:sz w:val="21"/>
                <w:szCs w:val="21"/>
              </w:rPr>
            </w:pPr>
            <w:r>
              <w:rPr>
                <w:rFonts w:ascii="宋体" w:hAnsi="宋体" w:cs="宋体" w:eastAsia="宋体" w:hint="default"/>
                <w:sz w:val="21"/>
                <w:szCs w:val="21"/>
              </w:rPr>
              <w:t>提取任意盈余公积</w:t>
            </w:r>
            <w:r>
              <w:rPr>
                <w:rFonts w:ascii="宋体" w:hAnsi="宋体" w:cs="宋体" w:eastAsia="宋体" w:hint="default"/>
                <w:sz w:val="21"/>
                <w:szCs w:val="21"/>
              </w:rPr>
              <w:t> </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right"/>
              <w:rPr>
                <w:rFonts w:ascii="宋体" w:hAnsi="宋体" w:cs="宋体" w:eastAsia="宋体" w:hint="default"/>
                <w:sz w:val="21"/>
                <w:szCs w:val="21"/>
              </w:rPr>
            </w:pPr>
            <w:r>
              <w:rPr>
                <w:rFonts w:ascii="宋体"/>
                <w:w w:val="100"/>
                <w:sz w:val="21"/>
              </w:rPr>
              <w:t> </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7"/>
              <w:jc w:val="right"/>
              <w:rPr>
                <w:rFonts w:ascii="宋体" w:hAnsi="宋体" w:cs="宋体" w:eastAsia="宋体" w:hint="default"/>
                <w:sz w:val="21"/>
                <w:szCs w:val="21"/>
              </w:rPr>
            </w:pPr>
            <w:r>
              <w:rPr>
                <w:rFonts w:ascii="宋体"/>
                <w:w w:val="100"/>
                <w:sz w:val="21"/>
              </w:rPr>
              <w:t> </w:t>
            </w:r>
          </w:p>
        </w:tc>
      </w:tr>
      <w:tr>
        <w:trPr>
          <w:trHeight w:val="322"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28" w:right="0"/>
              <w:jc w:val="left"/>
              <w:rPr>
                <w:rFonts w:ascii="宋体" w:hAnsi="宋体" w:cs="宋体" w:eastAsia="宋体" w:hint="default"/>
                <w:sz w:val="21"/>
                <w:szCs w:val="21"/>
              </w:rPr>
            </w:pPr>
            <w:r>
              <w:rPr>
                <w:rFonts w:ascii="宋体" w:hAnsi="宋体" w:cs="宋体" w:eastAsia="宋体" w:hint="default"/>
                <w:sz w:val="21"/>
                <w:szCs w:val="21"/>
              </w:rPr>
              <w:t>提取一般风险准备</w:t>
            </w:r>
            <w:r>
              <w:rPr>
                <w:rFonts w:ascii="宋体" w:hAnsi="宋体" w:cs="宋体" w:eastAsia="宋体" w:hint="default"/>
                <w:sz w:val="21"/>
                <w:szCs w:val="21"/>
              </w:rPr>
              <w:t> </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right"/>
              <w:rPr>
                <w:rFonts w:ascii="宋体" w:hAnsi="宋体" w:cs="宋体" w:eastAsia="宋体" w:hint="default"/>
                <w:sz w:val="21"/>
                <w:szCs w:val="21"/>
              </w:rPr>
            </w:pPr>
            <w:r>
              <w:rPr>
                <w:rFonts w:ascii="宋体"/>
                <w:w w:val="100"/>
                <w:sz w:val="21"/>
              </w:rPr>
              <w:t> </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7"/>
              <w:jc w:val="right"/>
              <w:rPr>
                <w:rFonts w:ascii="宋体" w:hAnsi="宋体" w:cs="宋体" w:eastAsia="宋体" w:hint="default"/>
                <w:sz w:val="21"/>
                <w:szCs w:val="21"/>
              </w:rPr>
            </w:pPr>
            <w:r>
              <w:rPr>
                <w:rFonts w:ascii="宋体"/>
                <w:w w:val="100"/>
                <w:sz w:val="21"/>
              </w:rPr>
              <w:t> </w:t>
            </w:r>
          </w:p>
        </w:tc>
      </w:tr>
      <w:tr>
        <w:trPr>
          <w:trHeight w:val="322"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28" w:right="0"/>
              <w:jc w:val="left"/>
              <w:rPr>
                <w:rFonts w:ascii="宋体" w:hAnsi="宋体" w:cs="宋体" w:eastAsia="宋体" w:hint="default"/>
                <w:sz w:val="21"/>
                <w:szCs w:val="21"/>
              </w:rPr>
            </w:pPr>
            <w:r>
              <w:rPr>
                <w:rFonts w:ascii="宋体" w:hAnsi="宋体" w:cs="宋体" w:eastAsia="宋体" w:hint="default"/>
                <w:sz w:val="21"/>
                <w:szCs w:val="21"/>
              </w:rPr>
              <w:t>应付普通股股利</w:t>
            </w:r>
            <w:r>
              <w:rPr>
                <w:rFonts w:ascii="宋体" w:hAnsi="宋体" w:cs="宋体" w:eastAsia="宋体" w:hint="default"/>
                <w:sz w:val="21"/>
                <w:szCs w:val="21"/>
              </w:rPr>
              <w:t> </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right"/>
              <w:rPr>
                <w:rFonts w:ascii="宋体" w:hAnsi="宋体" w:cs="宋体" w:eastAsia="宋体" w:hint="default"/>
                <w:sz w:val="21"/>
                <w:szCs w:val="21"/>
              </w:rPr>
            </w:pPr>
            <w:r>
              <w:rPr>
                <w:rFonts w:ascii="宋体"/>
                <w:spacing w:val="-1"/>
                <w:sz w:val="21"/>
              </w:rPr>
              <w:t>345,194,261.54</w:t>
            </w:r>
            <w:r>
              <w:rPr>
                <w:rFonts w:ascii="宋体"/>
                <w:sz w:val="21"/>
              </w:rPr>
              <w:t> </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7"/>
              <w:jc w:val="right"/>
              <w:rPr>
                <w:rFonts w:ascii="宋体" w:hAnsi="宋体" w:cs="宋体" w:eastAsia="宋体" w:hint="default"/>
                <w:sz w:val="21"/>
                <w:szCs w:val="21"/>
              </w:rPr>
            </w:pPr>
            <w:r>
              <w:rPr>
                <w:rFonts w:ascii="宋体"/>
                <w:spacing w:val="-1"/>
                <w:sz w:val="21"/>
              </w:rPr>
              <w:t>70,616,406.36</w:t>
            </w:r>
            <w:r>
              <w:rPr>
                <w:rFonts w:ascii="宋体"/>
                <w:sz w:val="21"/>
              </w:rPr>
              <w:t> </w:t>
            </w:r>
          </w:p>
        </w:tc>
      </w:tr>
      <w:tr>
        <w:trPr>
          <w:trHeight w:val="322"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28" w:right="0"/>
              <w:jc w:val="left"/>
              <w:rPr>
                <w:rFonts w:ascii="宋体" w:hAnsi="宋体" w:cs="宋体" w:eastAsia="宋体" w:hint="default"/>
                <w:sz w:val="21"/>
                <w:szCs w:val="21"/>
              </w:rPr>
            </w:pPr>
            <w:r>
              <w:rPr>
                <w:rFonts w:ascii="宋体" w:hAnsi="宋体" w:cs="宋体" w:eastAsia="宋体" w:hint="default"/>
                <w:sz w:val="21"/>
                <w:szCs w:val="21"/>
              </w:rPr>
              <w:t>转作股本的普通股股利</w:t>
            </w:r>
            <w:r>
              <w:rPr>
                <w:rFonts w:ascii="宋体" w:hAnsi="宋体" w:cs="宋体" w:eastAsia="宋体" w:hint="default"/>
                <w:sz w:val="21"/>
                <w:szCs w:val="21"/>
              </w:rPr>
              <w:t> </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right"/>
              <w:rPr>
                <w:rFonts w:ascii="宋体" w:hAnsi="宋体" w:cs="宋体" w:eastAsia="宋体" w:hint="default"/>
                <w:sz w:val="21"/>
                <w:szCs w:val="21"/>
              </w:rPr>
            </w:pPr>
            <w:r>
              <w:rPr>
                <w:rFonts w:ascii="宋体"/>
                <w:w w:val="100"/>
                <w:sz w:val="21"/>
              </w:rPr>
              <w:t> </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7"/>
              <w:jc w:val="right"/>
              <w:rPr>
                <w:rFonts w:ascii="宋体" w:hAnsi="宋体" w:cs="宋体" w:eastAsia="宋体" w:hint="default"/>
                <w:sz w:val="21"/>
                <w:szCs w:val="21"/>
              </w:rPr>
            </w:pPr>
            <w:r>
              <w:rPr>
                <w:rFonts w:ascii="宋体"/>
                <w:w w:val="100"/>
                <w:sz w:val="21"/>
              </w:rPr>
              <w:t> </w:t>
            </w:r>
          </w:p>
        </w:tc>
      </w:tr>
      <w:tr>
        <w:trPr>
          <w:trHeight w:val="324"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8" w:right="0"/>
              <w:jc w:val="left"/>
              <w:rPr>
                <w:rFonts w:ascii="宋体" w:hAnsi="宋体" w:cs="宋体" w:eastAsia="宋体" w:hint="default"/>
                <w:sz w:val="21"/>
                <w:szCs w:val="21"/>
              </w:rPr>
            </w:pPr>
            <w:r>
              <w:rPr>
                <w:rFonts w:ascii="宋体" w:hAnsi="宋体" w:cs="宋体" w:eastAsia="宋体" w:hint="default"/>
                <w:sz w:val="21"/>
                <w:szCs w:val="21"/>
              </w:rPr>
              <w:t>期末未分配利润</w:t>
            </w:r>
            <w:r>
              <w:rPr>
                <w:rFonts w:ascii="宋体" w:hAnsi="宋体" w:cs="宋体" w:eastAsia="宋体" w:hint="default"/>
                <w:sz w:val="21"/>
                <w:szCs w:val="21"/>
              </w:rPr>
              <w:t> </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right"/>
              <w:rPr>
                <w:rFonts w:ascii="宋体" w:hAnsi="宋体" w:cs="宋体" w:eastAsia="宋体" w:hint="default"/>
                <w:sz w:val="21"/>
                <w:szCs w:val="21"/>
              </w:rPr>
            </w:pPr>
            <w:r>
              <w:rPr>
                <w:rFonts w:ascii="宋体"/>
                <w:spacing w:val="-1"/>
                <w:sz w:val="21"/>
              </w:rPr>
              <w:t>3,066,965,464.09</w:t>
            </w:r>
            <w:r>
              <w:rPr>
                <w:rFonts w:ascii="宋体"/>
                <w:sz w:val="21"/>
              </w:rPr>
              <w:t> </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7"/>
              <w:jc w:val="right"/>
              <w:rPr>
                <w:rFonts w:ascii="宋体" w:hAnsi="宋体" w:cs="宋体" w:eastAsia="宋体" w:hint="default"/>
                <w:sz w:val="21"/>
                <w:szCs w:val="21"/>
              </w:rPr>
            </w:pPr>
            <w:r>
              <w:rPr>
                <w:rFonts w:ascii="宋体"/>
                <w:spacing w:val="-1"/>
                <w:sz w:val="21"/>
              </w:rPr>
              <w:t>2,747,790,903.50</w:t>
            </w:r>
            <w:r>
              <w:rPr>
                <w:rFonts w:ascii="宋体"/>
                <w:sz w:val="21"/>
              </w:rPr>
              <w:t> </w:t>
            </w:r>
          </w:p>
        </w:tc>
      </w:tr>
    </w:tbl>
    <w:p>
      <w:pPr>
        <w:pStyle w:val="Heading2"/>
        <w:spacing w:line="274" w:lineRule="exact"/>
        <w:ind w:left="936" w:right="0"/>
        <w:jc w:val="left"/>
        <w:rPr>
          <w:rFonts w:ascii="宋体" w:hAnsi="宋体" w:cs="宋体" w:eastAsia="宋体" w:hint="default"/>
        </w:rPr>
      </w:pPr>
      <w:r>
        <w:rPr>
          <w:rFonts w:ascii="宋体"/>
        </w:rPr>
        <w:t> </w:t>
      </w:r>
    </w:p>
    <w:p>
      <w:pPr>
        <w:pStyle w:val="BodyText"/>
        <w:spacing w:line="240" w:lineRule="auto" w:before="85"/>
        <w:ind w:left="936" w:right="0"/>
        <w:jc w:val="left"/>
        <w:rPr>
          <w:rFonts w:ascii="宋体" w:hAnsi="宋体" w:cs="宋体" w:eastAsia="宋体" w:hint="default"/>
        </w:rPr>
      </w:pPr>
      <w:r>
        <w:rPr/>
        <w:t>调整期初未分配利润明细：</w:t>
      </w:r>
      <w:r>
        <w:rPr>
          <w:rFonts w:ascii="宋体" w:hAnsi="宋体" w:cs="宋体" w:eastAsia="宋体" w:hint="default"/>
        </w:rPr>
        <w:t> </w:t>
      </w:r>
    </w:p>
    <w:p>
      <w:pPr>
        <w:pStyle w:val="BodyText"/>
        <w:spacing w:line="273" w:lineRule="auto" w:before="97"/>
        <w:ind w:left="936" w:right="373"/>
        <w:jc w:val="left"/>
        <w:rPr>
          <w:rFonts w:ascii="宋体" w:hAnsi="宋体" w:cs="宋体" w:eastAsia="宋体" w:hint="default"/>
        </w:rPr>
      </w:pPr>
      <w:r>
        <w:rPr>
          <w:rFonts w:ascii="宋体" w:hAnsi="宋体" w:cs="宋体" w:eastAsia="宋体" w:hint="default"/>
          <w:spacing w:val="-2"/>
        </w:rPr>
        <w:t>1</w:t>
      </w:r>
      <w:r>
        <w:rPr>
          <w:spacing w:val="-2"/>
        </w:rPr>
        <w:t>、由于《企业会计准则》及其相关新规定进行追溯调整，影响期初未分配利润</w:t>
      </w:r>
      <w:r>
        <w:rPr>
          <w:rFonts w:ascii="宋体" w:hAnsi="宋体" w:cs="宋体" w:eastAsia="宋体" w:hint="default"/>
          <w:spacing w:val="-2"/>
        </w:rPr>
        <w:t>-21,116,994.91</w:t>
      </w:r>
      <w:r>
        <w:rPr>
          <w:rFonts w:ascii="宋体" w:hAnsi="宋体" w:cs="宋体" w:eastAsia="宋体" w:hint="default"/>
          <w:spacing w:val="-15"/>
        </w:rPr>
        <w:t> </w:t>
      </w:r>
      <w:r>
        <w:rPr>
          <w:rFonts w:ascii="宋体" w:hAnsi="宋体" w:cs="宋体" w:eastAsia="宋体" w:hint="default"/>
          <w:spacing w:val="-15"/>
        </w:rPr>
      </w:r>
      <w:r>
        <w:rPr/>
        <w:t>元。</w:t>
      </w:r>
      <w:r>
        <w:rPr>
          <w:rFonts w:ascii="宋体" w:hAnsi="宋体" w:cs="宋体" w:eastAsia="宋体" w:hint="default"/>
        </w:rPr>
        <w:t> </w:t>
      </w:r>
    </w:p>
    <w:p>
      <w:pPr>
        <w:pStyle w:val="BodyText"/>
        <w:spacing w:line="240" w:lineRule="auto" w:before="7"/>
        <w:ind w:left="936" w:right="0"/>
        <w:jc w:val="left"/>
        <w:rPr>
          <w:rFonts w:ascii="宋体" w:hAnsi="宋体" w:cs="宋体" w:eastAsia="宋体" w:hint="default"/>
        </w:rPr>
      </w:pPr>
      <w:r>
        <w:rPr>
          <w:rFonts w:ascii="宋体"/>
          <w:w w:val="100"/>
        </w:rPr>
        <w:t> </w:t>
      </w:r>
    </w:p>
    <w:p>
      <w:pPr>
        <w:pStyle w:val="Heading3"/>
        <w:spacing w:line="324" w:lineRule="auto"/>
        <w:ind w:left="936" w:right="4267"/>
        <w:jc w:val="left"/>
        <w:rPr>
          <w:rFonts w:ascii="宋体" w:hAnsi="宋体" w:cs="宋体" w:eastAsia="宋体" w:hint="default"/>
          <w:b w:val="0"/>
          <w:bCs w:val="0"/>
        </w:rPr>
      </w:pPr>
      <w:r>
        <w:rPr>
          <w:rFonts w:ascii="宋体" w:hAnsi="宋体" w:cs="宋体" w:eastAsia="宋体" w:hint="default"/>
        </w:rPr>
        <w:t>59</w:t>
      </w:r>
      <w:r>
        <w:rPr/>
        <w:t>、</w:t>
      </w:r>
      <w:r>
        <w:rPr>
          <w:spacing w:val="-25"/>
        </w:rPr>
        <w:t> </w:t>
      </w:r>
      <w:r>
        <w:rPr/>
        <w:t>营业收入和营业成本</w:t>
      </w:r>
      <w:r>
        <w:rPr>
          <w:w w:val="100"/>
        </w:rPr>
        <w:t> </w:t>
      </w:r>
      <w:r>
        <w:rPr>
          <w:rFonts w:ascii="宋体" w:hAnsi="宋体" w:cs="宋体" w:eastAsia="宋体" w:hint="default"/>
        </w:rPr>
        <w:t>(1).</w:t>
      </w:r>
      <w:r>
        <w:rPr/>
        <w:t>营业收入和营业成本情况</w:t>
      </w:r>
      <w:r>
        <w:rPr>
          <w:rFonts w:ascii="宋体" w:hAnsi="宋体" w:cs="宋体" w:eastAsia="宋体" w:hint="default"/>
          <w:w w:val="99"/>
        </w:rPr>
        <w:t> </w:t>
      </w:r>
      <w:r>
        <w:rPr>
          <w:rFonts w:ascii="宋体" w:hAnsi="宋体" w:cs="宋体" w:eastAsia="宋体" w:hint="default"/>
          <w:b w:val="0"/>
          <w:bCs w:val="0"/>
        </w:rPr>
      </w:r>
    </w:p>
    <w:p>
      <w:pPr>
        <w:pStyle w:val="Heading2"/>
        <w:spacing w:line="310" w:lineRule="exact"/>
        <w:ind w:left="93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BodyText"/>
        <w:spacing w:line="240" w:lineRule="auto" w:before="25"/>
        <w:ind w:left="0" w:right="448"/>
        <w:jc w:val="right"/>
        <w:rPr>
          <w:rFonts w:ascii="宋体" w:hAnsi="宋体" w:cs="宋体" w:eastAsia="宋体" w:hint="default"/>
        </w:rPr>
      </w:pPr>
      <w:r>
        <w:rPr>
          <w:spacing w:val="-2"/>
        </w:rPr>
        <w:t>单位：元币种：人民币</w:t>
      </w:r>
      <w:r>
        <w:rPr>
          <w:rFonts w:ascii="宋体" w:hAnsi="宋体" w:cs="宋体" w:eastAsia="宋体" w:hint="default"/>
        </w:rPr>
        <w:t> </w:t>
      </w:r>
    </w:p>
    <w:p>
      <w:pPr>
        <w:spacing w:line="240" w:lineRule="auto" w:before="10"/>
        <w:rPr>
          <w:rFonts w:ascii="宋体" w:hAnsi="宋体" w:cs="宋体" w:eastAsia="宋体" w:hint="default"/>
          <w:sz w:val="3"/>
          <w:szCs w:val="3"/>
        </w:rPr>
      </w:pPr>
    </w:p>
    <w:tbl>
      <w:tblPr>
        <w:tblW w:w="0" w:type="auto"/>
        <w:jc w:val="left"/>
        <w:tblInd w:w="108" w:type="dxa"/>
        <w:tblLayout w:type="fixed"/>
        <w:tblCellMar>
          <w:top w:w="0" w:type="dxa"/>
          <w:left w:w="0" w:type="dxa"/>
          <w:bottom w:w="0" w:type="dxa"/>
          <w:right w:w="0" w:type="dxa"/>
        </w:tblCellMar>
        <w:tblLook w:val="01E0"/>
      </w:tblPr>
      <w:tblGrid>
        <w:gridCol w:w="1325"/>
        <w:gridCol w:w="2192"/>
        <w:gridCol w:w="2191"/>
        <w:gridCol w:w="2192"/>
        <w:gridCol w:w="2194"/>
      </w:tblGrid>
      <w:tr>
        <w:trPr>
          <w:trHeight w:val="322" w:hRule="exact"/>
        </w:trPr>
        <w:tc>
          <w:tcPr>
            <w:tcW w:w="1325" w:type="dxa"/>
            <w:vMerge w:val="restart"/>
            <w:tcBorders>
              <w:top w:val="single" w:sz="4" w:space="0" w:color="000000"/>
              <w:left w:val="single" w:sz="4" w:space="0" w:color="000000"/>
              <w:right w:val="single" w:sz="4" w:space="0" w:color="000000"/>
            </w:tcBorders>
          </w:tcPr>
          <w:p>
            <w:pPr>
              <w:pStyle w:val="TableParagraph"/>
              <w:spacing w:line="240" w:lineRule="auto" w:before="148"/>
              <w:ind w:left="446" w:right="0"/>
              <w:jc w:val="left"/>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4383"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center"/>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4386"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2" w:right="0"/>
              <w:jc w:val="center"/>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322" w:hRule="exact"/>
        </w:trPr>
        <w:tc>
          <w:tcPr>
            <w:tcW w:w="1325" w:type="dxa"/>
            <w:vMerge/>
            <w:tcBorders>
              <w:left w:val="single" w:sz="4" w:space="0" w:color="000000"/>
              <w:bottom w:val="single" w:sz="4" w:space="0" w:color="000000"/>
              <w:right w:val="single" w:sz="4" w:space="0" w:color="000000"/>
            </w:tcBorders>
          </w:tcPr>
          <w:p>
            <w:pPr/>
          </w:p>
        </w:tc>
        <w:tc>
          <w:tcPr>
            <w:tcW w:w="219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center"/>
              <w:rPr>
                <w:rFonts w:ascii="宋体" w:hAnsi="宋体" w:cs="宋体" w:eastAsia="宋体" w:hint="default"/>
                <w:sz w:val="21"/>
                <w:szCs w:val="21"/>
              </w:rPr>
            </w:pPr>
            <w:r>
              <w:rPr>
                <w:rFonts w:ascii="宋体" w:hAnsi="宋体" w:cs="宋体" w:eastAsia="宋体" w:hint="default"/>
                <w:sz w:val="21"/>
                <w:szCs w:val="21"/>
              </w:rPr>
              <w:t>收入</w:t>
            </w:r>
            <w:r>
              <w:rPr>
                <w:rFonts w:ascii="宋体" w:hAnsi="宋体" w:cs="宋体" w:eastAsia="宋体" w:hint="default"/>
                <w:sz w:val="21"/>
                <w:szCs w:val="21"/>
              </w:rPr>
              <w:t> </w:t>
            </w:r>
          </w:p>
        </w:tc>
        <w:tc>
          <w:tcPr>
            <w:tcW w:w="219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center"/>
              <w:rPr>
                <w:rFonts w:ascii="宋体" w:hAnsi="宋体" w:cs="宋体" w:eastAsia="宋体" w:hint="default"/>
                <w:sz w:val="21"/>
                <w:szCs w:val="21"/>
              </w:rPr>
            </w:pPr>
            <w:r>
              <w:rPr>
                <w:rFonts w:ascii="宋体" w:hAnsi="宋体" w:cs="宋体" w:eastAsia="宋体" w:hint="default"/>
                <w:sz w:val="21"/>
                <w:szCs w:val="21"/>
              </w:rPr>
              <w:t>成本</w:t>
            </w:r>
            <w:r>
              <w:rPr>
                <w:rFonts w:ascii="宋体" w:hAnsi="宋体" w:cs="宋体" w:eastAsia="宋体" w:hint="default"/>
                <w:sz w:val="21"/>
                <w:szCs w:val="21"/>
              </w:rPr>
              <w:t> </w:t>
            </w:r>
          </w:p>
        </w:tc>
        <w:tc>
          <w:tcPr>
            <w:tcW w:w="219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5" w:right="0"/>
              <w:jc w:val="center"/>
              <w:rPr>
                <w:rFonts w:ascii="宋体" w:hAnsi="宋体" w:cs="宋体" w:eastAsia="宋体" w:hint="default"/>
                <w:sz w:val="21"/>
                <w:szCs w:val="21"/>
              </w:rPr>
            </w:pPr>
            <w:r>
              <w:rPr>
                <w:rFonts w:ascii="宋体" w:hAnsi="宋体" w:cs="宋体" w:eastAsia="宋体" w:hint="default"/>
                <w:sz w:val="21"/>
                <w:szCs w:val="21"/>
              </w:rPr>
              <w:t>收入</w:t>
            </w:r>
            <w:r>
              <w:rPr>
                <w:rFonts w:ascii="宋体" w:hAnsi="宋体" w:cs="宋体" w:eastAsia="宋体" w:hint="default"/>
                <w:sz w:val="21"/>
                <w:szCs w:val="21"/>
              </w:rPr>
              <w:t> </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center"/>
              <w:rPr>
                <w:rFonts w:ascii="宋体" w:hAnsi="宋体" w:cs="宋体" w:eastAsia="宋体" w:hint="default"/>
                <w:sz w:val="21"/>
                <w:szCs w:val="21"/>
              </w:rPr>
            </w:pPr>
            <w:r>
              <w:rPr>
                <w:rFonts w:ascii="宋体" w:hAnsi="宋体" w:cs="宋体" w:eastAsia="宋体" w:hint="default"/>
                <w:sz w:val="21"/>
                <w:szCs w:val="21"/>
              </w:rPr>
              <w:t>成本</w:t>
            </w:r>
            <w:r>
              <w:rPr>
                <w:rFonts w:ascii="宋体" w:hAnsi="宋体" w:cs="宋体" w:eastAsia="宋体" w:hint="default"/>
                <w:sz w:val="21"/>
                <w:szCs w:val="21"/>
              </w:rPr>
              <w:t> </w:t>
            </w:r>
          </w:p>
        </w:tc>
      </w:tr>
    </w:tbl>
    <w:p>
      <w:pPr>
        <w:spacing w:after="0" w:line="262" w:lineRule="exact"/>
        <w:jc w:val="center"/>
        <w:rPr>
          <w:rFonts w:ascii="宋体" w:hAnsi="宋体" w:cs="宋体" w:eastAsia="宋体" w:hint="default"/>
          <w:sz w:val="21"/>
          <w:szCs w:val="21"/>
        </w:rPr>
        <w:sectPr>
          <w:type w:val="continuous"/>
          <w:pgSz w:w="11910" w:h="16840"/>
          <w:pgMar w:top="1580" w:bottom="280" w:left="340" w:right="1240"/>
        </w:sectPr>
      </w:pPr>
    </w:p>
    <w:p>
      <w:pPr>
        <w:spacing w:line="240" w:lineRule="auto" w:before="11"/>
        <w:rPr>
          <w:rFonts w:ascii="宋体" w:hAnsi="宋体" w:cs="宋体" w:eastAsia="宋体" w:hint="default"/>
          <w:sz w:val="22"/>
          <w:szCs w:val="22"/>
        </w:rPr>
      </w:pPr>
    </w:p>
    <w:tbl>
      <w:tblPr>
        <w:tblW w:w="0" w:type="auto"/>
        <w:jc w:val="left"/>
        <w:tblInd w:w="108" w:type="dxa"/>
        <w:tblLayout w:type="fixed"/>
        <w:tblCellMar>
          <w:top w:w="0" w:type="dxa"/>
          <w:left w:w="0" w:type="dxa"/>
          <w:bottom w:w="0" w:type="dxa"/>
          <w:right w:w="0" w:type="dxa"/>
        </w:tblCellMar>
        <w:tblLook w:val="01E0"/>
      </w:tblPr>
      <w:tblGrid>
        <w:gridCol w:w="1325"/>
        <w:gridCol w:w="2192"/>
        <w:gridCol w:w="2191"/>
        <w:gridCol w:w="2192"/>
        <w:gridCol w:w="2194"/>
      </w:tblGrid>
      <w:tr>
        <w:trPr>
          <w:trHeight w:val="322" w:hRule="exact"/>
        </w:trPr>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主营业务</w:t>
            </w:r>
            <w:r>
              <w:rPr>
                <w:rFonts w:ascii="宋体" w:hAnsi="宋体" w:cs="宋体" w:eastAsia="宋体" w:hint="default"/>
                <w:sz w:val="21"/>
                <w:szCs w:val="21"/>
              </w:rPr>
              <w:t> </w:t>
            </w:r>
          </w:p>
        </w:tc>
        <w:tc>
          <w:tcPr>
            <w:tcW w:w="219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right"/>
              <w:rPr>
                <w:rFonts w:ascii="宋体" w:hAnsi="宋体" w:cs="宋体" w:eastAsia="宋体" w:hint="default"/>
                <w:sz w:val="21"/>
                <w:szCs w:val="21"/>
              </w:rPr>
            </w:pPr>
            <w:r>
              <w:rPr>
                <w:rFonts w:ascii="宋体"/>
                <w:spacing w:val="-1"/>
                <w:sz w:val="21"/>
              </w:rPr>
              <w:t>3,284,370,457.75</w:t>
            </w:r>
            <w:r>
              <w:rPr>
                <w:rFonts w:ascii="宋体"/>
                <w:sz w:val="21"/>
              </w:rPr>
              <w:t> </w:t>
            </w:r>
          </w:p>
        </w:tc>
        <w:tc>
          <w:tcPr>
            <w:tcW w:w="219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1,783,264,236.97</w:t>
            </w:r>
            <w:r>
              <w:rPr>
                <w:rFonts w:ascii="宋体"/>
                <w:sz w:val="21"/>
              </w:rPr>
              <w:t> </w:t>
            </w:r>
          </w:p>
        </w:tc>
        <w:tc>
          <w:tcPr>
            <w:tcW w:w="219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3,972,612,739.64</w:t>
            </w:r>
            <w:r>
              <w:rPr>
                <w:rFonts w:ascii="宋体"/>
                <w:sz w:val="21"/>
              </w:rPr>
              <w:t> </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2,457,990,989.78</w:t>
            </w:r>
            <w:r>
              <w:rPr>
                <w:rFonts w:ascii="宋体"/>
                <w:sz w:val="21"/>
              </w:rPr>
              <w:t> </w:t>
            </w:r>
          </w:p>
        </w:tc>
      </w:tr>
      <w:tr>
        <w:trPr>
          <w:trHeight w:val="322" w:hRule="exact"/>
        </w:trPr>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其他业务</w:t>
            </w:r>
            <w:r>
              <w:rPr>
                <w:rFonts w:ascii="宋体" w:hAnsi="宋体" w:cs="宋体" w:eastAsia="宋体" w:hint="default"/>
                <w:sz w:val="21"/>
                <w:szCs w:val="21"/>
              </w:rPr>
              <w:t> </w:t>
            </w:r>
          </w:p>
        </w:tc>
        <w:tc>
          <w:tcPr>
            <w:tcW w:w="219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right"/>
              <w:rPr>
                <w:rFonts w:ascii="宋体" w:hAnsi="宋体" w:cs="宋体" w:eastAsia="宋体" w:hint="default"/>
                <w:sz w:val="21"/>
                <w:szCs w:val="21"/>
              </w:rPr>
            </w:pPr>
            <w:r>
              <w:rPr>
                <w:rFonts w:ascii="宋体"/>
                <w:spacing w:val="-1"/>
                <w:sz w:val="21"/>
              </w:rPr>
              <w:t>74,873,331.55</w:t>
            </w:r>
            <w:r>
              <w:rPr>
                <w:rFonts w:ascii="宋体"/>
                <w:sz w:val="21"/>
              </w:rPr>
              <w:t> </w:t>
            </w:r>
          </w:p>
        </w:tc>
        <w:tc>
          <w:tcPr>
            <w:tcW w:w="219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57,945,944.78</w:t>
            </w:r>
            <w:r>
              <w:rPr>
                <w:rFonts w:ascii="宋体"/>
                <w:sz w:val="21"/>
              </w:rPr>
              <w:t> </w:t>
            </w:r>
          </w:p>
        </w:tc>
        <w:tc>
          <w:tcPr>
            <w:tcW w:w="219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43,490,456.57</w:t>
            </w:r>
            <w:r>
              <w:rPr>
                <w:rFonts w:ascii="宋体"/>
                <w:sz w:val="21"/>
              </w:rPr>
              <w:t> </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38,895,388.22</w:t>
            </w:r>
            <w:r>
              <w:rPr>
                <w:rFonts w:ascii="宋体"/>
                <w:sz w:val="21"/>
              </w:rPr>
              <w:t> </w:t>
            </w:r>
          </w:p>
        </w:tc>
      </w:tr>
      <w:tr>
        <w:trPr>
          <w:trHeight w:val="324" w:hRule="exact"/>
        </w:trPr>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46"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19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right"/>
              <w:rPr>
                <w:rFonts w:ascii="宋体" w:hAnsi="宋体" w:cs="宋体" w:eastAsia="宋体" w:hint="default"/>
                <w:sz w:val="21"/>
                <w:szCs w:val="21"/>
              </w:rPr>
            </w:pPr>
            <w:r>
              <w:rPr>
                <w:rFonts w:ascii="宋体"/>
                <w:spacing w:val="-1"/>
                <w:sz w:val="21"/>
              </w:rPr>
              <w:t>3,359,243,789.30</w:t>
            </w:r>
            <w:r>
              <w:rPr>
                <w:rFonts w:ascii="宋体"/>
                <w:sz w:val="21"/>
              </w:rPr>
              <w:t> </w:t>
            </w:r>
          </w:p>
        </w:tc>
        <w:tc>
          <w:tcPr>
            <w:tcW w:w="219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1,841,210,181.75</w:t>
            </w:r>
            <w:r>
              <w:rPr>
                <w:rFonts w:ascii="宋体"/>
                <w:sz w:val="21"/>
              </w:rPr>
              <w:t> </w:t>
            </w:r>
          </w:p>
        </w:tc>
        <w:tc>
          <w:tcPr>
            <w:tcW w:w="219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4,016,103,196.21</w:t>
            </w:r>
            <w:r>
              <w:rPr>
                <w:rFonts w:ascii="宋体"/>
                <w:sz w:val="21"/>
              </w:rPr>
              <w:t> </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2,496,886,378.00</w:t>
            </w:r>
            <w:r>
              <w:rPr>
                <w:rFonts w:ascii="宋体"/>
                <w:sz w:val="21"/>
              </w:rPr>
              <w:t> </w:t>
            </w:r>
          </w:p>
        </w:tc>
      </w:tr>
    </w:tbl>
    <w:p>
      <w:pPr>
        <w:spacing w:after="0" w:line="262" w:lineRule="exact"/>
        <w:jc w:val="right"/>
        <w:rPr>
          <w:rFonts w:ascii="宋体" w:hAnsi="宋体" w:cs="宋体" w:eastAsia="宋体" w:hint="default"/>
          <w:sz w:val="21"/>
          <w:szCs w:val="21"/>
        </w:rPr>
        <w:sectPr>
          <w:pgSz w:w="11910" w:h="16840"/>
          <w:pgMar w:header="0" w:footer="974" w:top="1140" w:bottom="1160" w:left="340" w:right="1240"/>
        </w:sectPr>
      </w:pPr>
    </w:p>
    <w:p>
      <w:pPr>
        <w:pStyle w:val="Heading2"/>
        <w:spacing w:line="274" w:lineRule="exact"/>
        <w:ind w:left="936" w:right="0"/>
        <w:jc w:val="left"/>
        <w:rPr>
          <w:rFonts w:ascii="宋体" w:hAnsi="宋体" w:cs="宋体" w:eastAsia="宋体" w:hint="default"/>
        </w:rPr>
      </w:pPr>
      <w:r>
        <w:rPr>
          <w:rFonts w:ascii="宋体"/>
        </w:rPr>
        <w:t> </w:t>
      </w:r>
    </w:p>
    <w:p>
      <w:pPr>
        <w:pStyle w:val="Heading3"/>
        <w:spacing w:line="240" w:lineRule="auto" w:before="85"/>
        <w:ind w:left="936" w:right="0"/>
        <w:jc w:val="left"/>
        <w:rPr>
          <w:rFonts w:ascii="宋体" w:hAnsi="宋体" w:cs="宋体" w:eastAsia="宋体" w:hint="default"/>
          <w:b w:val="0"/>
          <w:bCs w:val="0"/>
        </w:rPr>
      </w:pPr>
      <w:r>
        <w:rPr>
          <w:rFonts w:ascii="宋体" w:hAnsi="宋体" w:cs="宋体" w:eastAsia="宋体" w:hint="default"/>
        </w:rPr>
        <w:t>60</w:t>
      </w:r>
      <w:r>
        <w:rPr/>
        <w:t>、</w:t>
      </w:r>
      <w:r>
        <w:rPr>
          <w:spacing w:val="-27"/>
        </w:rPr>
        <w:t> </w:t>
      </w:r>
      <w:r>
        <w:rPr/>
        <w:t>税金及附加</w:t>
      </w:r>
      <w:r>
        <w:rPr>
          <w:rFonts w:ascii="宋体" w:hAnsi="宋体" w:cs="宋体" w:eastAsia="宋体" w:hint="default"/>
          <w:w w:val="99"/>
        </w:rPr>
        <w:t> </w:t>
      </w:r>
      <w:r>
        <w:rPr>
          <w:rFonts w:ascii="宋体" w:hAnsi="宋体" w:cs="宋体" w:eastAsia="宋体" w:hint="default"/>
          <w:b w:val="0"/>
          <w:bCs w:val="0"/>
        </w:rPr>
      </w:r>
    </w:p>
    <w:p>
      <w:pPr>
        <w:pStyle w:val="Heading2"/>
        <w:spacing w:line="240" w:lineRule="auto" w:before="69"/>
        <w:ind w:left="93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pStyle w:val="BodyText"/>
        <w:spacing w:line="240" w:lineRule="auto"/>
        <w:ind w:left="936" w:right="0"/>
        <w:jc w:val="left"/>
        <w:rPr>
          <w:rFonts w:ascii="宋体" w:hAnsi="宋体" w:cs="宋体" w:eastAsia="宋体" w:hint="default"/>
        </w:rPr>
      </w:pPr>
      <w:r>
        <w:rPr/>
        <w:t>单位：元币种：人民币</w:t>
      </w:r>
      <w:r>
        <w:rPr>
          <w:rFonts w:ascii="宋体" w:hAnsi="宋体" w:cs="宋体" w:eastAsia="宋体" w:hint="default"/>
          <w:b/>
          <w:bCs/>
          <w:w w:val="99"/>
        </w:rPr>
        <w:t> </w:t>
      </w:r>
      <w:r>
        <w:rPr>
          <w:rFonts w:ascii="宋体" w:hAnsi="宋体" w:cs="宋体" w:eastAsia="宋体" w:hint="default"/>
        </w:rPr>
      </w:r>
    </w:p>
    <w:p>
      <w:pPr>
        <w:spacing w:after="0" w:line="240" w:lineRule="auto"/>
        <w:jc w:val="left"/>
        <w:rPr>
          <w:rFonts w:ascii="宋体" w:hAnsi="宋体" w:cs="宋体" w:eastAsia="宋体" w:hint="default"/>
        </w:rPr>
        <w:sectPr>
          <w:type w:val="continuous"/>
          <w:pgSz w:w="11910" w:h="16840"/>
          <w:pgMar w:top="1580" w:bottom="280" w:left="340" w:right="1240"/>
          <w:cols w:num="2" w:equalWidth="0">
            <w:col w:w="2978" w:space="3756"/>
            <w:col w:w="3596"/>
          </w:cols>
        </w:sectPr>
      </w:pPr>
    </w:p>
    <w:p>
      <w:pPr>
        <w:spacing w:line="240" w:lineRule="auto" w:before="10"/>
        <w:rPr>
          <w:rFonts w:ascii="宋体" w:hAnsi="宋体" w:cs="宋体" w:eastAsia="宋体" w:hint="default"/>
          <w:b/>
          <w:bCs/>
          <w:sz w:val="3"/>
          <w:szCs w:val="3"/>
        </w:rPr>
      </w:pPr>
    </w:p>
    <w:tbl>
      <w:tblPr>
        <w:tblW w:w="0" w:type="auto"/>
        <w:jc w:val="left"/>
        <w:tblInd w:w="819" w:type="dxa"/>
        <w:tblLayout w:type="fixed"/>
        <w:tblCellMar>
          <w:top w:w="0" w:type="dxa"/>
          <w:left w:w="0" w:type="dxa"/>
          <w:bottom w:w="0" w:type="dxa"/>
          <w:right w:w="0" w:type="dxa"/>
        </w:tblCellMar>
        <w:tblLook w:val="01E0"/>
      </w:tblPr>
      <w:tblGrid>
        <w:gridCol w:w="2910"/>
        <w:gridCol w:w="3075"/>
        <w:gridCol w:w="3077"/>
      </w:tblGrid>
      <w:tr>
        <w:trPr>
          <w:trHeight w:val="322" w:hRule="exact"/>
        </w:trPr>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133"/>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307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5"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5"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322" w:hRule="exact"/>
        </w:trPr>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8" w:right="0"/>
              <w:jc w:val="left"/>
              <w:rPr>
                <w:rFonts w:ascii="宋体" w:hAnsi="宋体" w:cs="宋体" w:eastAsia="宋体" w:hint="default"/>
                <w:sz w:val="21"/>
                <w:szCs w:val="21"/>
              </w:rPr>
            </w:pPr>
            <w:r>
              <w:rPr>
                <w:rFonts w:ascii="宋体" w:hAnsi="宋体" w:cs="宋体" w:eastAsia="宋体" w:hint="default"/>
                <w:sz w:val="21"/>
                <w:szCs w:val="21"/>
              </w:rPr>
              <w:t>消费税</w:t>
            </w:r>
            <w:r>
              <w:rPr>
                <w:rFonts w:ascii="宋体" w:hAnsi="宋体" w:cs="宋体" w:eastAsia="宋体" w:hint="default"/>
                <w:sz w:val="21"/>
                <w:szCs w:val="21"/>
              </w:rPr>
              <w:t> </w:t>
            </w:r>
          </w:p>
        </w:tc>
        <w:tc>
          <w:tcPr>
            <w:tcW w:w="30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
              <w:jc w:val="right"/>
              <w:rPr>
                <w:rFonts w:ascii="宋体" w:hAnsi="宋体" w:cs="宋体" w:eastAsia="宋体" w:hint="default"/>
                <w:sz w:val="21"/>
                <w:szCs w:val="21"/>
              </w:rPr>
            </w:pPr>
            <w:r>
              <w:rPr>
                <w:rFonts w:ascii="宋体"/>
                <w:w w:val="100"/>
                <w:sz w:val="21"/>
              </w:rPr>
              <w:t> </w:t>
            </w:r>
          </w:p>
        </w:tc>
      </w:tr>
      <w:tr>
        <w:trPr>
          <w:trHeight w:val="322" w:hRule="exact"/>
        </w:trPr>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8" w:right="0"/>
              <w:jc w:val="left"/>
              <w:rPr>
                <w:rFonts w:ascii="宋体" w:hAnsi="宋体" w:cs="宋体" w:eastAsia="宋体" w:hint="default"/>
                <w:sz w:val="21"/>
                <w:szCs w:val="21"/>
              </w:rPr>
            </w:pPr>
            <w:r>
              <w:rPr>
                <w:rFonts w:ascii="宋体" w:hAnsi="宋体" w:cs="宋体" w:eastAsia="宋体" w:hint="default"/>
                <w:sz w:val="21"/>
                <w:szCs w:val="21"/>
              </w:rPr>
              <w:t>营业税</w:t>
            </w:r>
            <w:r>
              <w:rPr>
                <w:rFonts w:ascii="宋体" w:hAnsi="宋体" w:cs="宋体" w:eastAsia="宋体" w:hint="default"/>
                <w:sz w:val="21"/>
                <w:szCs w:val="21"/>
              </w:rPr>
              <w:t> </w:t>
            </w:r>
          </w:p>
        </w:tc>
        <w:tc>
          <w:tcPr>
            <w:tcW w:w="30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
              <w:jc w:val="right"/>
              <w:rPr>
                <w:rFonts w:ascii="宋体" w:hAnsi="宋体" w:cs="宋体" w:eastAsia="宋体" w:hint="default"/>
                <w:sz w:val="21"/>
                <w:szCs w:val="21"/>
              </w:rPr>
            </w:pPr>
            <w:r>
              <w:rPr>
                <w:rFonts w:ascii="宋体"/>
                <w:w w:val="100"/>
                <w:sz w:val="21"/>
              </w:rPr>
              <w:t> </w:t>
            </w:r>
          </w:p>
        </w:tc>
      </w:tr>
      <w:tr>
        <w:trPr>
          <w:trHeight w:val="322" w:hRule="exact"/>
        </w:trPr>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8" w:right="0"/>
              <w:jc w:val="left"/>
              <w:rPr>
                <w:rFonts w:ascii="宋体" w:hAnsi="宋体" w:cs="宋体" w:eastAsia="宋体" w:hint="default"/>
                <w:sz w:val="21"/>
                <w:szCs w:val="21"/>
              </w:rPr>
            </w:pPr>
            <w:r>
              <w:rPr>
                <w:rFonts w:ascii="宋体" w:hAnsi="宋体" w:cs="宋体" w:eastAsia="宋体" w:hint="default"/>
                <w:sz w:val="21"/>
                <w:szCs w:val="21"/>
              </w:rPr>
              <w:t>城市维护建设税</w:t>
            </w:r>
            <w:r>
              <w:rPr>
                <w:rFonts w:ascii="宋体" w:hAnsi="宋体" w:cs="宋体" w:eastAsia="宋体" w:hint="default"/>
                <w:sz w:val="21"/>
                <w:szCs w:val="21"/>
              </w:rPr>
              <w:t> </w:t>
            </w:r>
          </w:p>
        </w:tc>
        <w:tc>
          <w:tcPr>
            <w:tcW w:w="30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4,864,541.40</w:t>
            </w:r>
            <w:r>
              <w:rPr>
                <w:rFonts w:ascii="宋体"/>
                <w:sz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
              <w:jc w:val="right"/>
              <w:rPr>
                <w:rFonts w:ascii="宋体" w:hAnsi="宋体" w:cs="宋体" w:eastAsia="宋体" w:hint="default"/>
                <w:sz w:val="21"/>
                <w:szCs w:val="21"/>
              </w:rPr>
            </w:pPr>
            <w:r>
              <w:rPr>
                <w:rFonts w:ascii="宋体"/>
                <w:spacing w:val="-1"/>
                <w:sz w:val="21"/>
              </w:rPr>
              <w:t>8,556,430.71</w:t>
            </w:r>
            <w:r>
              <w:rPr>
                <w:rFonts w:ascii="宋体"/>
                <w:sz w:val="21"/>
              </w:rPr>
              <w:t> </w:t>
            </w:r>
          </w:p>
        </w:tc>
      </w:tr>
      <w:tr>
        <w:trPr>
          <w:trHeight w:val="322" w:hRule="exact"/>
        </w:trPr>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8" w:right="0"/>
              <w:jc w:val="left"/>
              <w:rPr>
                <w:rFonts w:ascii="宋体" w:hAnsi="宋体" w:cs="宋体" w:eastAsia="宋体" w:hint="default"/>
                <w:sz w:val="21"/>
                <w:szCs w:val="21"/>
              </w:rPr>
            </w:pPr>
            <w:r>
              <w:rPr>
                <w:rFonts w:ascii="宋体" w:hAnsi="宋体" w:cs="宋体" w:eastAsia="宋体" w:hint="default"/>
                <w:sz w:val="21"/>
                <w:szCs w:val="21"/>
              </w:rPr>
              <w:t>教育费附加</w:t>
            </w:r>
            <w:r>
              <w:rPr>
                <w:rFonts w:ascii="宋体" w:hAnsi="宋体" w:cs="宋体" w:eastAsia="宋体" w:hint="default"/>
                <w:sz w:val="21"/>
                <w:szCs w:val="21"/>
              </w:rPr>
              <w:t> </w:t>
            </w:r>
          </w:p>
        </w:tc>
        <w:tc>
          <w:tcPr>
            <w:tcW w:w="30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3,661,202.87</w:t>
            </w:r>
            <w:r>
              <w:rPr>
                <w:rFonts w:ascii="宋体"/>
                <w:sz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2"/>
              <w:jc w:val="right"/>
              <w:rPr>
                <w:rFonts w:ascii="宋体" w:hAnsi="宋体" w:cs="宋体" w:eastAsia="宋体" w:hint="default"/>
                <w:sz w:val="21"/>
                <w:szCs w:val="21"/>
              </w:rPr>
            </w:pPr>
            <w:r>
              <w:rPr>
                <w:rFonts w:ascii="宋体"/>
                <w:spacing w:val="-1"/>
                <w:sz w:val="21"/>
              </w:rPr>
              <w:t>6,480,285.00</w:t>
            </w:r>
            <w:r>
              <w:rPr>
                <w:rFonts w:ascii="宋体"/>
                <w:sz w:val="21"/>
              </w:rPr>
              <w:t> </w:t>
            </w:r>
          </w:p>
        </w:tc>
      </w:tr>
      <w:tr>
        <w:trPr>
          <w:trHeight w:val="324" w:hRule="exact"/>
        </w:trPr>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8" w:right="0"/>
              <w:jc w:val="left"/>
              <w:rPr>
                <w:rFonts w:ascii="宋体" w:hAnsi="宋体" w:cs="宋体" w:eastAsia="宋体" w:hint="default"/>
                <w:sz w:val="21"/>
                <w:szCs w:val="21"/>
              </w:rPr>
            </w:pPr>
            <w:r>
              <w:rPr>
                <w:rFonts w:ascii="宋体" w:hAnsi="宋体" w:cs="宋体" w:eastAsia="宋体" w:hint="default"/>
                <w:sz w:val="21"/>
                <w:szCs w:val="21"/>
              </w:rPr>
              <w:t>资源税</w:t>
            </w:r>
            <w:r>
              <w:rPr>
                <w:rFonts w:ascii="宋体" w:hAnsi="宋体" w:cs="宋体" w:eastAsia="宋体" w:hint="default"/>
                <w:sz w:val="21"/>
                <w:szCs w:val="21"/>
              </w:rPr>
              <w:t> </w:t>
            </w:r>
          </w:p>
        </w:tc>
        <w:tc>
          <w:tcPr>
            <w:tcW w:w="307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right"/>
              <w:rPr>
                <w:rFonts w:ascii="宋体" w:hAnsi="宋体" w:cs="宋体" w:eastAsia="宋体" w:hint="default"/>
                <w:sz w:val="21"/>
                <w:szCs w:val="21"/>
              </w:rPr>
            </w:pPr>
            <w:r>
              <w:rPr>
                <w:rFonts w:ascii="宋体"/>
                <w:w w:val="100"/>
                <w:sz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
              <w:jc w:val="right"/>
              <w:rPr>
                <w:rFonts w:ascii="宋体" w:hAnsi="宋体" w:cs="宋体" w:eastAsia="宋体" w:hint="default"/>
                <w:sz w:val="21"/>
                <w:szCs w:val="21"/>
              </w:rPr>
            </w:pPr>
            <w:r>
              <w:rPr>
                <w:rFonts w:ascii="宋体"/>
                <w:w w:val="100"/>
                <w:sz w:val="21"/>
              </w:rPr>
              <w:t> </w:t>
            </w:r>
          </w:p>
        </w:tc>
      </w:tr>
      <w:tr>
        <w:trPr>
          <w:trHeight w:val="322" w:hRule="exact"/>
        </w:trPr>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8" w:right="0"/>
              <w:jc w:val="left"/>
              <w:rPr>
                <w:rFonts w:ascii="宋体" w:hAnsi="宋体" w:cs="宋体" w:eastAsia="宋体" w:hint="default"/>
                <w:sz w:val="21"/>
                <w:szCs w:val="21"/>
              </w:rPr>
            </w:pPr>
            <w:r>
              <w:rPr>
                <w:rFonts w:ascii="宋体" w:hAnsi="宋体" w:cs="宋体" w:eastAsia="宋体" w:hint="default"/>
                <w:sz w:val="21"/>
                <w:szCs w:val="21"/>
              </w:rPr>
              <w:t>房产税</w:t>
            </w:r>
            <w:r>
              <w:rPr>
                <w:rFonts w:ascii="宋体" w:hAnsi="宋体" w:cs="宋体" w:eastAsia="宋体" w:hint="default"/>
                <w:sz w:val="21"/>
                <w:szCs w:val="21"/>
              </w:rPr>
              <w:t> </w:t>
            </w:r>
          </w:p>
        </w:tc>
        <w:tc>
          <w:tcPr>
            <w:tcW w:w="30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5,031,910.34</w:t>
            </w:r>
            <w:r>
              <w:rPr>
                <w:rFonts w:ascii="宋体"/>
                <w:sz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
              <w:jc w:val="right"/>
              <w:rPr>
                <w:rFonts w:ascii="宋体" w:hAnsi="宋体" w:cs="宋体" w:eastAsia="宋体" w:hint="default"/>
                <w:sz w:val="21"/>
                <w:szCs w:val="21"/>
              </w:rPr>
            </w:pPr>
            <w:r>
              <w:rPr>
                <w:rFonts w:ascii="宋体"/>
                <w:spacing w:val="-1"/>
                <w:sz w:val="21"/>
              </w:rPr>
              <w:t>5,634,164.17</w:t>
            </w:r>
            <w:r>
              <w:rPr>
                <w:rFonts w:ascii="宋体"/>
                <w:sz w:val="21"/>
              </w:rPr>
              <w:t> </w:t>
            </w:r>
          </w:p>
        </w:tc>
      </w:tr>
      <w:tr>
        <w:trPr>
          <w:trHeight w:val="322" w:hRule="exact"/>
        </w:trPr>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8" w:right="0"/>
              <w:jc w:val="left"/>
              <w:rPr>
                <w:rFonts w:ascii="宋体" w:hAnsi="宋体" w:cs="宋体" w:eastAsia="宋体" w:hint="default"/>
                <w:sz w:val="21"/>
                <w:szCs w:val="21"/>
              </w:rPr>
            </w:pPr>
            <w:r>
              <w:rPr>
                <w:rFonts w:ascii="宋体" w:hAnsi="宋体" w:cs="宋体" w:eastAsia="宋体" w:hint="default"/>
                <w:sz w:val="21"/>
                <w:szCs w:val="21"/>
              </w:rPr>
              <w:t>土地使用税</w:t>
            </w:r>
            <w:r>
              <w:rPr>
                <w:rFonts w:ascii="宋体" w:hAnsi="宋体" w:cs="宋体" w:eastAsia="宋体" w:hint="default"/>
                <w:sz w:val="21"/>
                <w:szCs w:val="21"/>
              </w:rPr>
              <w:t> </w:t>
            </w:r>
          </w:p>
        </w:tc>
        <w:tc>
          <w:tcPr>
            <w:tcW w:w="30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3,577,373.65</w:t>
            </w:r>
            <w:r>
              <w:rPr>
                <w:rFonts w:ascii="宋体"/>
                <w:sz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
              <w:jc w:val="right"/>
              <w:rPr>
                <w:rFonts w:ascii="宋体" w:hAnsi="宋体" w:cs="宋体" w:eastAsia="宋体" w:hint="default"/>
                <w:sz w:val="21"/>
                <w:szCs w:val="21"/>
              </w:rPr>
            </w:pPr>
            <w:r>
              <w:rPr>
                <w:rFonts w:ascii="宋体"/>
                <w:spacing w:val="-1"/>
                <w:sz w:val="21"/>
              </w:rPr>
              <w:t>3,071,889.22</w:t>
            </w:r>
            <w:r>
              <w:rPr>
                <w:rFonts w:ascii="宋体"/>
                <w:sz w:val="21"/>
              </w:rPr>
              <w:t> </w:t>
            </w:r>
          </w:p>
        </w:tc>
      </w:tr>
      <w:tr>
        <w:trPr>
          <w:trHeight w:val="322" w:hRule="exact"/>
        </w:trPr>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8" w:right="0"/>
              <w:jc w:val="left"/>
              <w:rPr>
                <w:rFonts w:ascii="宋体" w:hAnsi="宋体" w:cs="宋体" w:eastAsia="宋体" w:hint="default"/>
                <w:sz w:val="21"/>
                <w:szCs w:val="21"/>
              </w:rPr>
            </w:pPr>
            <w:r>
              <w:rPr>
                <w:rFonts w:ascii="宋体" w:hAnsi="宋体" w:cs="宋体" w:eastAsia="宋体" w:hint="default"/>
                <w:sz w:val="21"/>
                <w:szCs w:val="21"/>
              </w:rPr>
              <w:t>车船使用税</w:t>
            </w:r>
            <w:r>
              <w:rPr>
                <w:rFonts w:ascii="宋体" w:hAnsi="宋体" w:cs="宋体" w:eastAsia="宋体" w:hint="default"/>
                <w:sz w:val="21"/>
                <w:szCs w:val="21"/>
              </w:rPr>
              <w:t> </w:t>
            </w:r>
          </w:p>
        </w:tc>
        <w:tc>
          <w:tcPr>
            <w:tcW w:w="30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38,335.87</w:t>
            </w:r>
            <w:r>
              <w:rPr>
                <w:rFonts w:ascii="宋体"/>
                <w:sz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
              <w:jc w:val="right"/>
              <w:rPr>
                <w:rFonts w:ascii="宋体" w:hAnsi="宋体" w:cs="宋体" w:eastAsia="宋体" w:hint="default"/>
                <w:sz w:val="21"/>
                <w:szCs w:val="21"/>
              </w:rPr>
            </w:pPr>
            <w:r>
              <w:rPr>
                <w:rFonts w:ascii="宋体"/>
                <w:spacing w:val="-1"/>
                <w:sz w:val="21"/>
              </w:rPr>
              <w:t>42,968.85</w:t>
            </w:r>
            <w:r>
              <w:rPr>
                <w:rFonts w:ascii="宋体"/>
                <w:sz w:val="21"/>
              </w:rPr>
              <w:t> </w:t>
            </w:r>
          </w:p>
        </w:tc>
      </w:tr>
      <w:tr>
        <w:trPr>
          <w:trHeight w:val="322" w:hRule="exact"/>
        </w:trPr>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8" w:right="0"/>
              <w:jc w:val="left"/>
              <w:rPr>
                <w:rFonts w:ascii="宋体" w:hAnsi="宋体" w:cs="宋体" w:eastAsia="宋体" w:hint="default"/>
                <w:sz w:val="21"/>
                <w:szCs w:val="21"/>
              </w:rPr>
            </w:pPr>
            <w:r>
              <w:rPr>
                <w:rFonts w:ascii="宋体" w:hAnsi="宋体" w:cs="宋体" w:eastAsia="宋体" w:hint="default"/>
                <w:sz w:val="21"/>
                <w:szCs w:val="21"/>
              </w:rPr>
              <w:t>印花税</w:t>
            </w:r>
            <w:r>
              <w:rPr>
                <w:rFonts w:ascii="宋体" w:hAnsi="宋体" w:cs="宋体" w:eastAsia="宋体" w:hint="default"/>
                <w:sz w:val="21"/>
                <w:szCs w:val="21"/>
              </w:rPr>
              <w:t> </w:t>
            </w:r>
          </w:p>
        </w:tc>
        <w:tc>
          <w:tcPr>
            <w:tcW w:w="30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2,199,855.36</w:t>
            </w:r>
            <w:r>
              <w:rPr>
                <w:rFonts w:ascii="宋体"/>
                <w:sz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
              <w:jc w:val="right"/>
              <w:rPr>
                <w:rFonts w:ascii="宋体" w:hAnsi="宋体" w:cs="宋体" w:eastAsia="宋体" w:hint="default"/>
                <w:sz w:val="21"/>
                <w:szCs w:val="21"/>
              </w:rPr>
            </w:pPr>
            <w:r>
              <w:rPr>
                <w:rFonts w:ascii="宋体"/>
                <w:spacing w:val="-1"/>
                <w:sz w:val="21"/>
              </w:rPr>
              <w:t>2,309,586.13</w:t>
            </w:r>
            <w:r>
              <w:rPr>
                <w:rFonts w:ascii="宋体"/>
                <w:sz w:val="21"/>
              </w:rPr>
              <w:t> </w:t>
            </w:r>
          </w:p>
        </w:tc>
      </w:tr>
      <w:tr>
        <w:trPr>
          <w:trHeight w:val="322" w:hRule="exact"/>
        </w:trPr>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8"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30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720,881.17</w:t>
            </w:r>
            <w:r>
              <w:rPr>
                <w:rFonts w:ascii="宋体"/>
                <w:sz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
              <w:jc w:val="right"/>
              <w:rPr>
                <w:rFonts w:ascii="宋体" w:hAnsi="宋体" w:cs="宋体" w:eastAsia="宋体" w:hint="default"/>
                <w:sz w:val="21"/>
                <w:szCs w:val="21"/>
              </w:rPr>
            </w:pPr>
            <w:r>
              <w:rPr>
                <w:rFonts w:ascii="宋体"/>
                <w:spacing w:val="-1"/>
                <w:sz w:val="21"/>
              </w:rPr>
              <w:t>480,725.12</w:t>
            </w:r>
            <w:r>
              <w:rPr>
                <w:rFonts w:ascii="宋体"/>
                <w:sz w:val="21"/>
              </w:rPr>
              <w:t> </w:t>
            </w:r>
          </w:p>
        </w:tc>
      </w:tr>
      <w:tr>
        <w:trPr>
          <w:trHeight w:val="324" w:hRule="exact"/>
        </w:trPr>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133"/>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307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right"/>
              <w:rPr>
                <w:rFonts w:ascii="宋体" w:hAnsi="宋体" w:cs="宋体" w:eastAsia="宋体" w:hint="default"/>
                <w:sz w:val="21"/>
                <w:szCs w:val="21"/>
              </w:rPr>
            </w:pPr>
            <w:r>
              <w:rPr>
                <w:rFonts w:ascii="宋体"/>
                <w:spacing w:val="-1"/>
                <w:sz w:val="21"/>
              </w:rPr>
              <w:t>20,094,100.66</w:t>
            </w:r>
            <w:r>
              <w:rPr>
                <w:rFonts w:ascii="宋体"/>
                <w:sz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
              <w:jc w:val="right"/>
              <w:rPr>
                <w:rFonts w:ascii="宋体" w:hAnsi="宋体" w:cs="宋体" w:eastAsia="宋体" w:hint="default"/>
                <w:sz w:val="21"/>
                <w:szCs w:val="21"/>
              </w:rPr>
            </w:pPr>
            <w:r>
              <w:rPr>
                <w:rFonts w:ascii="宋体"/>
                <w:spacing w:val="-1"/>
                <w:sz w:val="21"/>
              </w:rPr>
              <w:t>26,576,049.20</w:t>
            </w:r>
            <w:r>
              <w:rPr>
                <w:rFonts w:ascii="宋体"/>
                <w:sz w:val="21"/>
              </w:rPr>
              <w:t> </w:t>
            </w:r>
          </w:p>
        </w:tc>
      </w:tr>
    </w:tbl>
    <w:p>
      <w:pPr>
        <w:spacing w:after="0" w:line="265" w:lineRule="exact"/>
        <w:jc w:val="right"/>
        <w:rPr>
          <w:rFonts w:ascii="宋体" w:hAnsi="宋体" w:cs="宋体" w:eastAsia="宋体" w:hint="default"/>
          <w:sz w:val="21"/>
          <w:szCs w:val="21"/>
        </w:rPr>
        <w:sectPr>
          <w:type w:val="continuous"/>
          <w:pgSz w:w="11910" w:h="16840"/>
          <w:pgMar w:top="1580" w:bottom="280" w:left="340" w:right="1240"/>
        </w:sectPr>
      </w:pPr>
    </w:p>
    <w:p>
      <w:pPr>
        <w:pStyle w:val="BodyText"/>
        <w:spacing w:line="262" w:lineRule="exact"/>
        <w:ind w:left="936" w:right="0"/>
        <w:jc w:val="left"/>
        <w:rPr>
          <w:rFonts w:ascii="宋体" w:hAnsi="宋体" w:cs="宋体" w:eastAsia="宋体" w:hint="default"/>
        </w:rPr>
      </w:pPr>
      <w:r>
        <w:rPr>
          <w:rFonts w:ascii="宋体"/>
          <w:w w:val="100"/>
        </w:rPr>
        <w:t> </w:t>
      </w:r>
    </w:p>
    <w:p>
      <w:pPr>
        <w:pStyle w:val="Heading3"/>
        <w:spacing w:line="240" w:lineRule="auto"/>
        <w:ind w:left="936" w:right="0"/>
        <w:jc w:val="left"/>
        <w:rPr>
          <w:rFonts w:ascii="宋体" w:hAnsi="宋体" w:cs="宋体" w:eastAsia="宋体" w:hint="default"/>
          <w:b w:val="0"/>
          <w:bCs w:val="0"/>
        </w:rPr>
      </w:pPr>
      <w:r>
        <w:rPr>
          <w:rFonts w:ascii="宋体" w:hAnsi="宋体" w:cs="宋体" w:eastAsia="宋体" w:hint="default"/>
        </w:rPr>
        <w:t>61</w:t>
      </w:r>
      <w:r>
        <w:rPr/>
        <w:t>、</w:t>
      </w:r>
      <w:r>
        <w:rPr>
          <w:spacing w:val="-27"/>
        </w:rPr>
        <w:t> </w:t>
      </w:r>
      <w:r>
        <w:rPr/>
        <w:t>销售费用</w:t>
      </w:r>
      <w:r>
        <w:rPr>
          <w:rFonts w:ascii="宋体" w:hAnsi="宋体" w:cs="宋体" w:eastAsia="宋体" w:hint="default"/>
          <w:w w:val="99"/>
        </w:rPr>
        <w:t> </w:t>
      </w:r>
      <w:r>
        <w:rPr>
          <w:rFonts w:ascii="宋体" w:hAnsi="宋体" w:cs="宋体" w:eastAsia="宋体" w:hint="default"/>
          <w:b w:val="0"/>
          <w:bCs w:val="0"/>
        </w:rPr>
      </w:r>
    </w:p>
    <w:p>
      <w:pPr>
        <w:pStyle w:val="Heading2"/>
        <w:spacing w:line="240" w:lineRule="auto" w:before="69"/>
        <w:ind w:left="93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pStyle w:val="BodyText"/>
        <w:spacing w:line="240" w:lineRule="auto"/>
        <w:ind w:left="936" w:right="0"/>
        <w:jc w:val="left"/>
        <w:rPr>
          <w:rFonts w:ascii="宋体" w:hAnsi="宋体" w:cs="宋体" w:eastAsia="宋体" w:hint="default"/>
        </w:rPr>
      </w:pPr>
      <w:r>
        <w:rPr/>
        <w:t>单位：元币种：人民币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580" w:bottom="280" w:left="340" w:right="1240"/>
          <w:cols w:num="2" w:equalWidth="0">
            <w:col w:w="2978" w:space="3756"/>
            <w:col w:w="3596"/>
          </w:cols>
        </w:sectPr>
      </w:pPr>
    </w:p>
    <w:p>
      <w:pPr>
        <w:spacing w:line="240" w:lineRule="auto" w:before="10"/>
        <w:rPr>
          <w:rFonts w:ascii="宋体" w:hAnsi="宋体" w:cs="宋体" w:eastAsia="宋体" w:hint="default"/>
          <w:sz w:val="3"/>
          <w:szCs w:val="3"/>
        </w:rPr>
      </w:pPr>
    </w:p>
    <w:tbl>
      <w:tblPr>
        <w:tblW w:w="0" w:type="auto"/>
        <w:jc w:val="left"/>
        <w:tblInd w:w="824" w:type="dxa"/>
        <w:tblLayout w:type="fixed"/>
        <w:tblCellMar>
          <w:top w:w="0" w:type="dxa"/>
          <w:left w:w="0" w:type="dxa"/>
          <w:bottom w:w="0" w:type="dxa"/>
          <w:right w:w="0" w:type="dxa"/>
        </w:tblCellMar>
        <w:tblLook w:val="01E0"/>
      </w:tblPr>
      <w:tblGrid>
        <w:gridCol w:w="3332"/>
        <w:gridCol w:w="2861"/>
        <w:gridCol w:w="2857"/>
      </w:tblGrid>
      <w:tr>
        <w:trPr>
          <w:trHeight w:val="322"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346"/>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897"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895"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322"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职工薪酬</w:t>
            </w:r>
            <w:r>
              <w:rPr>
                <w:rFonts w:ascii="宋体" w:hAnsi="宋体" w:cs="宋体" w:eastAsia="宋体" w:hint="default"/>
                <w:sz w:val="21"/>
                <w:szCs w:val="21"/>
              </w:rPr>
              <w:t> </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66,320,877.80</w:t>
            </w:r>
            <w:r>
              <w:rPr>
                <w:rFonts w:ascii="宋体"/>
                <w:sz w:val="21"/>
              </w:rPr>
              <w:t> </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58,624,687.24</w:t>
            </w:r>
            <w:r>
              <w:rPr>
                <w:rFonts w:ascii="宋体"/>
                <w:sz w:val="21"/>
              </w:rPr>
              <w:t> </w:t>
            </w:r>
          </w:p>
        </w:tc>
      </w:tr>
      <w:tr>
        <w:trPr>
          <w:trHeight w:val="322"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业务费</w:t>
            </w:r>
            <w:r>
              <w:rPr>
                <w:rFonts w:ascii="宋体" w:hAnsi="宋体" w:cs="宋体" w:eastAsia="宋体" w:hint="default"/>
                <w:sz w:val="21"/>
                <w:szCs w:val="21"/>
              </w:rPr>
              <w:t> </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22,469,640.55</w:t>
            </w:r>
            <w:r>
              <w:rPr>
                <w:rFonts w:ascii="宋体"/>
                <w:sz w:val="21"/>
              </w:rPr>
              <w:t> </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21,124,871.80</w:t>
            </w:r>
            <w:r>
              <w:rPr>
                <w:rFonts w:ascii="宋体"/>
                <w:sz w:val="21"/>
              </w:rPr>
              <w:t> </w:t>
            </w:r>
          </w:p>
        </w:tc>
      </w:tr>
      <w:tr>
        <w:trPr>
          <w:trHeight w:val="322"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运输费</w:t>
            </w:r>
            <w:r>
              <w:rPr>
                <w:rFonts w:ascii="宋体" w:hAnsi="宋体" w:cs="宋体" w:eastAsia="宋体" w:hint="default"/>
                <w:sz w:val="21"/>
                <w:szCs w:val="21"/>
              </w:rPr>
              <w:t> </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9,528,528.53</w:t>
            </w:r>
            <w:r>
              <w:rPr>
                <w:rFonts w:ascii="宋体"/>
                <w:sz w:val="21"/>
              </w:rPr>
              <w:t> </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8,694,125.58</w:t>
            </w:r>
            <w:r>
              <w:rPr>
                <w:rFonts w:ascii="宋体"/>
                <w:sz w:val="21"/>
              </w:rPr>
              <w:t> </w:t>
            </w:r>
          </w:p>
        </w:tc>
      </w:tr>
      <w:tr>
        <w:trPr>
          <w:trHeight w:val="324"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咨询中标费</w:t>
            </w:r>
            <w:r>
              <w:rPr>
                <w:rFonts w:ascii="宋体" w:hAnsi="宋体" w:cs="宋体" w:eastAsia="宋体" w:hint="default"/>
                <w:sz w:val="21"/>
                <w:szCs w:val="21"/>
              </w:rPr>
              <w:t> </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
              <w:jc w:val="right"/>
              <w:rPr>
                <w:rFonts w:ascii="宋体" w:hAnsi="宋体" w:cs="宋体" w:eastAsia="宋体" w:hint="default"/>
                <w:sz w:val="21"/>
                <w:szCs w:val="21"/>
              </w:rPr>
            </w:pPr>
            <w:r>
              <w:rPr>
                <w:rFonts w:ascii="宋体"/>
                <w:spacing w:val="-1"/>
                <w:sz w:val="21"/>
              </w:rPr>
              <w:t>17,289,454.99</w:t>
            </w:r>
            <w:r>
              <w:rPr>
                <w:rFonts w:ascii="宋体"/>
                <w:sz w:val="21"/>
              </w:rPr>
              <w:t> </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spacing w:val="-1"/>
                <w:sz w:val="21"/>
              </w:rPr>
              <w:t>10,551,156.42</w:t>
            </w:r>
            <w:r>
              <w:rPr>
                <w:rFonts w:ascii="宋体"/>
                <w:sz w:val="21"/>
              </w:rPr>
              <w:t> </w:t>
            </w:r>
          </w:p>
        </w:tc>
      </w:tr>
      <w:tr>
        <w:trPr>
          <w:trHeight w:val="322"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售后费用</w:t>
            </w:r>
            <w:r>
              <w:rPr>
                <w:rFonts w:ascii="宋体" w:hAnsi="宋体" w:cs="宋体" w:eastAsia="宋体" w:hint="default"/>
                <w:sz w:val="21"/>
                <w:szCs w:val="21"/>
              </w:rPr>
              <w:t> </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7,941,284.54</w:t>
            </w:r>
            <w:r>
              <w:rPr>
                <w:rFonts w:ascii="宋体"/>
                <w:sz w:val="21"/>
              </w:rPr>
              <w:t> </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1,785,156.28</w:t>
            </w:r>
            <w:r>
              <w:rPr>
                <w:rFonts w:ascii="宋体"/>
                <w:sz w:val="21"/>
              </w:rPr>
              <w:t> </w:t>
            </w:r>
          </w:p>
        </w:tc>
      </w:tr>
      <w:tr>
        <w:trPr>
          <w:trHeight w:val="322"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差旅费</w:t>
            </w:r>
            <w:r>
              <w:rPr>
                <w:rFonts w:ascii="宋体" w:hAnsi="宋体" w:cs="宋体" w:eastAsia="宋体" w:hint="default"/>
                <w:sz w:val="21"/>
                <w:szCs w:val="21"/>
              </w:rPr>
              <w:t> </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6,234,668.89</w:t>
            </w:r>
            <w:r>
              <w:rPr>
                <w:rFonts w:ascii="宋体"/>
                <w:sz w:val="21"/>
              </w:rPr>
              <w:t> </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5,983,078.72</w:t>
            </w:r>
            <w:r>
              <w:rPr>
                <w:rFonts w:ascii="宋体"/>
                <w:sz w:val="21"/>
              </w:rPr>
              <w:t> </w:t>
            </w:r>
          </w:p>
        </w:tc>
      </w:tr>
      <w:tr>
        <w:trPr>
          <w:trHeight w:val="322"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安装费</w:t>
            </w:r>
            <w:r>
              <w:rPr>
                <w:rFonts w:ascii="宋体" w:hAnsi="宋体" w:cs="宋体" w:eastAsia="宋体" w:hint="default"/>
                <w:sz w:val="21"/>
                <w:szCs w:val="21"/>
              </w:rPr>
              <w:t> </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3,683,134.84</w:t>
            </w:r>
            <w:r>
              <w:rPr>
                <w:rFonts w:ascii="宋体"/>
                <w:sz w:val="21"/>
              </w:rPr>
              <w:t> </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148,134.22</w:t>
            </w:r>
            <w:r>
              <w:rPr>
                <w:rFonts w:ascii="宋体"/>
                <w:sz w:val="21"/>
              </w:rPr>
              <w:t> </w:t>
            </w:r>
          </w:p>
        </w:tc>
      </w:tr>
      <w:tr>
        <w:trPr>
          <w:trHeight w:val="322"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测试费</w:t>
            </w:r>
            <w:r>
              <w:rPr>
                <w:rFonts w:ascii="宋体" w:hAnsi="宋体" w:cs="宋体" w:eastAsia="宋体" w:hint="default"/>
                <w:sz w:val="21"/>
                <w:szCs w:val="21"/>
              </w:rPr>
              <w:t> </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3,817,575.93</w:t>
            </w:r>
            <w:r>
              <w:rPr>
                <w:rFonts w:ascii="宋体"/>
                <w:sz w:val="21"/>
              </w:rPr>
              <w:t> </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10,565,166.96</w:t>
            </w:r>
            <w:r>
              <w:rPr>
                <w:rFonts w:ascii="宋体"/>
                <w:sz w:val="21"/>
              </w:rPr>
              <w:t> </w:t>
            </w:r>
          </w:p>
        </w:tc>
      </w:tr>
      <w:tr>
        <w:trPr>
          <w:trHeight w:val="322"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业务宣传费</w:t>
            </w:r>
            <w:r>
              <w:rPr>
                <w:rFonts w:ascii="宋体" w:hAnsi="宋体" w:cs="宋体" w:eastAsia="宋体" w:hint="default"/>
                <w:sz w:val="21"/>
                <w:szCs w:val="21"/>
              </w:rPr>
              <w:t> </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1,859,246.94</w:t>
            </w:r>
            <w:r>
              <w:rPr>
                <w:rFonts w:ascii="宋体"/>
                <w:sz w:val="21"/>
              </w:rPr>
              <w:t> </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1,160,333.30</w:t>
            </w:r>
            <w:r>
              <w:rPr>
                <w:rFonts w:ascii="宋体"/>
                <w:sz w:val="21"/>
              </w:rPr>
              <w:t> </w:t>
            </w:r>
          </w:p>
        </w:tc>
      </w:tr>
      <w:tr>
        <w:trPr>
          <w:trHeight w:val="324"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办公费</w:t>
            </w:r>
            <w:r>
              <w:rPr>
                <w:rFonts w:ascii="宋体" w:hAnsi="宋体" w:cs="宋体" w:eastAsia="宋体" w:hint="default"/>
                <w:sz w:val="21"/>
                <w:szCs w:val="21"/>
              </w:rPr>
              <w:t> </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
              <w:jc w:val="right"/>
              <w:rPr>
                <w:rFonts w:ascii="宋体" w:hAnsi="宋体" w:cs="宋体" w:eastAsia="宋体" w:hint="default"/>
                <w:sz w:val="21"/>
                <w:szCs w:val="21"/>
              </w:rPr>
            </w:pPr>
            <w:r>
              <w:rPr>
                <w:rFonts w:ascii="宋体"/>
                <w:spacing w:val="-1"/>
                <w:sz w:val="21"/>
              </w:rPr>
              <w:t>3,306,461.29</w:t>
            </w:r>
            <w:r>
              <w:rPr>
                <w:rFonts w:ascii="宋体"/>
                <w:sz w:val="21"/>
              </w:rPr>
              <w:t> </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spacing w:val="-1"/>
                <w:sz w:val="21"/>
              </w:rPr>
              <w:t>2,041,226.21</w:t>
            </w:r>
            <w:r>
              <w:rPr>
                <w:rFonts w:ascii="宋体"/>
                <w:sz w:val="21"/>
              </w:rPr>
              <w:t> </w:t>
            </w:r>
          </w:p>
        </w:tc>
      </w:tr>
      <w:tr>
        <w:trPr>
          <w:trHeight w:val="322"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14,421,359.49</w:t>
            </w:r>
            <w:r>
              <w:rPr>
                <w:rFonts w:ascii="宋体"/>
                <w:sz w:val="21"/>
              </w:rPr>
              <w:t> </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11,289,593.25</w:t>
            </w:r>
            <w:r>
              <w:rPr>
                <w:rFonts w:ascii="宋体"/>
                <w:sz w:val="21"/>
              </w:rPr>
              <w:t> </w:t>
            </w:r>
          </w:p>
        </w:tc>
      </w:tr>
      <w:tr>
        <w:trPr>
          <w:trHeight w:val="322"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346"/>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156,872,233.79</w:t>
            </w:r>
            <w:r>
              <w:rPr>
                <w:rFonts w:ascii="宋体"/>
                <w:sz w:val="21"/>
              </w:rPr>
              <w:t> </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131,967,529.98</w:t>
            </w:r>
            <w:r>
              <w:rPr>
                <w:rFonts w:ascii="宋体"/>
                <w:sz w:val="21"/>
              </w:rPr>
              <w:t> </w:t>
            </w:r>
          </w:p>
        </w:tc>
      </w:tr>
    </w:tbl>
    <w:p>
      <w:pPr>
        <w:spacing w:after="0" w:line="262" w:lineRule="exact"/>
        <w:jc w:val="right"/>
        <w:rPr>
          <w:rFonts w:ascii="宋体" w:hAnsi="宋体" w:cs="宋体" w:eastAsia="宋体" w:hint="default"/>
          <w:sz w:val="21"/>
          <w:szCs w:val="21"/>
        </w:rPr>
        <w:sectPr>
          <w:type w:val="continuous"/>
          <w:pgSz w:w="11910" w:h="16840"/>
          <w:pgMar w:top="1580" w:bottom="280" w:left="340" w:right="1240"/>
        </w:sectPr>
      </w:pPr>
    </w:p>
    <w:p>
      <w:pPr>
        <w:pStyle w:val="BodyText"/>
        <w:spacing w:line="262" w:lineRule="exact"/>
        <w:ind w:left="936" w:right="0"/>
        <w:jc w:val="left"/>
        <w:rPr>
          <w:rFonts w:ascii="宋体" w:hAnsi="宋体" w:cs="宋体" w:eastAsia="宋体" w:hint="default"/>
        </w:rPr>
      </w:pPr>
      <w:r>
        <w:rPr>
          <w:rFonts w:ascii="宋体"/>
          <w:w w:val="100"/>
        </w:rPr>
        <w:t> </w:t>
      </w:r>
    </w:p>
    <w:p>
      <w:pPr>
        <w:pStyle w:val="Heading3"/>
        <w:spacing w:line="240" w:lineRule="auto"/>
        <w:ind w:left="936" w:right="0"/>
        <w:jc w:val="left"/>
        <w:rPr>
          <w:b w:val="0"/>
          <w:bCs w:val="0"/>
        </w:rPr>
      </w:pPr>
      <w:r>
        <w:rPr>
          <w:rFonts w:ascii="宋体" w:hAnsi="宋体" w:cs="宋体" w:eastAsia="宋体" w:hint="default"/>
        </w:rPr>
        <w:t>62</w:t>
      </w:r>
      <w:r>
        <w:rPr/>
        <w:t>、</w:t>
      </w:r>
      <w:r>
        <w:rPr>
          <w:spacing w:val="-24"/>
        </w:rPr>
        <w:t> </w:t>
      </w:r>
      <w:r>
        <w:rPr/>
        <w:t>管理费用</w:t>
      </w:r>
      <w:r>
        <w:rPr>
          <w:b w:val="0"/>
          <w:bCs w:val="0"/>
        </w:rPr>
      </w:r>
    </w:p>
    <w:p>
      <w:pPr>
        <w:pStyle w:val="Heading2"/>
        <w:spacing w:line="240" w:lineRule="auto" w:before="69"/>
        <w:ind w:left="93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pStyle w:val="BodyText"/>
        <w:spacing w:line="240" w:lineRule="auto"/>
        <w:ind w:left="936" w:right="0"/>
        <w:jc w:val="left"/>
        <w:rPr>
          <w:rFonts w:ascii="宋体" w:hAnsi="宋体" w:cs="宋体" w:eastAsia="宋体" w:hint="default"/>
        </w:rPr>
      </w:pPr>
      <w:r>
        <w:rPr/>
        <w:t>单位：元币种：人民币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580" w:bottom="280" w:left="340" w:right="1240"/>
          <w:cols w:num="2" w:equalWidth="0">
            <w:col w:w="2978" w:space="3756"/>
            <w:col w:w="3596"/>
          </w:cols>
        </w:sectPr>
      </w:pPr>
    </w:p>
    <w:p>
      <w:pPr>
        <w:spacing w:line="240" w:lineRule="auto" w:before="10"/>
        <w:rPr>
          <w:rFonts w:ascii="宋体" w:hAnsi="宋体" w:cs="宋体" w:eastAsia="宋体" w:hint="default"/>
          <w:sz w:val="3"/>
          <w:szCs w:val="3"/>
        </w:rPr>
      </w:pPr>
    </w:p>
    <w:tbl>
      <w:tblPr>
        <w:tblW w:w="0" w:type="auto"/>
        <w:jc w:val="left"/>
        <w:tblInd w:w="824" w:type="dxa"/>
        <w:tblLayout w:type="fixed"/>
        <w:tblCellMar>
          <w:top w:w="0" w:type="dxa"/>
          <w:left w:w="0" w:type="dxa"/>
          <w:bottom w:w="0" w:type="dxa"/>
          <w:right w:w="0" w:type="dxa"/>
        </w:tblCellMar>
        <w:tblLook w:val="01E0"/>
      </w:tblPr>
      <w:tblGrid>
        <w:gridCol w:w="4007"/>
        <w:gridCol w:w="2604"/>
        <w:gridCol w:w="2439"/>
      </w:tblGrid>
      <w:tr>
        <w:trPr>
          <w:trHeight w:val="322"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5"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68"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686"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324"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职工薪酬</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17" w:right="-1"/>
              <w:jc w:val="left"/>
              <w:rPr>
                <w:rFonts w:ascii="宋体" w:hAnsi="宋体" w:cs="宋体" w:eastAsia="宋体" w:hint="default"/>
                <w:sz w:val="21"/>
                <w:szCs w:val="21"/>
              </w:rPr>
            </w:pPr>
            <w:r>
              <w:rPr>
                <w:rFonts w:ascii="宋体"/>
                <w:sz w:val="21"/>
              </w:rPr>
              <w:t>116,527,378.40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854" w:right="-3"/>
              <w:jc w:val="left"/>
              <w:rPr>
                <w:rFonts w:ascii="宋体" w:hAnsi="宋体" w:cs="宋体" w:eastAsia="宋体" w:hint="default"/>
                <w:sz w:val="21"/>
                <w:szCs w:val="21"/>
              </w:rPr>
            </w:pPr>
            <w:r>
              <w:rPr>
                <w:rFonts w:ascii="宋体"/>
                <w:sz w:val="21"/>
              </w:rPr>
              <w:t>118,576,881.91 </w:t>
            </w:r>
          </w:p>
        </w:tc>
      </w:tr>
    </w:tbl>
    <w:p>
      <w:pPr>
        <w:spacing w:after="0" w:line="262" w:lineRule="exact"/>
        <w:jc w:val="left"/>
        <w:rPr>
          <w:rFonts w:ascii="宋体" w:hAnsi="宋体" w:cs="宋体" w:eastAsia="宋体" w:hint="default"/>
          <w:sz w:val="21"/>
          <w:szCs w:val="21"/>
        </w:rPr>
        <w:sectPr>
          <w:type w:val="continuous"/>
          <w:pgSz w:w="11910" w:h="16840"/>
          <w:pgMar w:top="1580" w:bottom="280" w:left="340" w:right="1240"/>
        </w:sectPr>
      </w:pPr>
    </w:p>
    <w:p>
      <w:pPr>
        <w:spacing w:line="240" w:lineRule="auto" w:before="11"/>
        <w:rPr>
          <w:rFonts w:ascii="宋体" w:hAnsi="宋体" w:cs="宋体" w:eastAsia="宋体" w:hint="default"/>
          <w:sz w:val="22"/>
          <w:szCs w:val="22"/>
        </w:rPr>
      </w:pPr>
    </w:p>
    <w:tbl>
      <w:tblPr>
        <w:tblW w:w="0" w:type="auto"/>
        <w:jc w:val="left"/>
        <w:tblInd w:w="103" w:type="dxa"/>
        <w:tblLayout w:type="fixed"/>
        <w:tblCellMar>
          <w:top w:w="0" w:type="dxa"/>
          <w:left w:w="0" w:type="dxa"/>
          <w:bottom w:w="0" w:type="dxa"/>
          <w:right w:w="0" w:type="dxa"/>
        </w:tblCellMar>
        <w:tblLook w:val="01E0"/>
      </w:tblPr>
      <w:tblGrid>
        <w:gridCol w:w="4007"/>
        <w:gridCol w:w="2604"/>
        <w:gridCol w:w="2439"/>
      </w:tblGrid>
      <w:tr>
        <w:trPr>
          <w:trHeight w:val="322"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折旧</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42,750,100.41</w:t>
            </w:r>
            <w:r>
              <w:rPr>
                <w:rFonts w:ascii="宋体"/>
                <w:sz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31,401,004.60</w:t>
            </w:r>
            <w:r>
              <w:rPr>
                <w:rFonts w:ascii="宋体"/>
                <w:sz w:val="21"/>
              </w:rPr>
              <w:t> </w:t>
            </w:r>
          </w:p>
        </w:tc>
      </w:tr>
      <w:tr>
        <w:trPr>
          <w:trHeight w:val="322"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中介费</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15,818,363.22</w:t>
            </w:r>
            <w:r>
              <w:rPr>
                <w:rFonts w:ascii="宋体"/>
                <w:sz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10,933,338.15</w:t>
            </w:r>
            <w:r>
              <w:rPr>
                <w:rFonts w:ascii="宋体"/>
                <w:sz w:val="21"/>
              </w:rPr>
              <w:t> </w:t>
            </w:r>
          </w:p>
        </w:tc>
      </w:tr>
      <w:tr>
        <w:trPr>
          <w:trHeight w:val="322"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租赁费</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9,876,244.19</w:t>
            </w:r>
            <w:r>
              <w:rPr>
                <w:rFonts w:ascii="宋体"/>
                <w:sz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10,367,580.24</w:t>
            </w:r>
            <w:r>
              <w:rPr>
                <w:rFonts w:ascii="宋体"/>
                <w:sz w:val="21"/>
              </w:rPr>
              <w:t> </w:t>
            </w:r>
          </w:p>
        </w:tc>
      </w:tr>
      <w:tr>
        <w:trPr>
          <w:trHeight w:val="324"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业务费</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
              <w:jc w:val="right"/>
              <w:rPr>
                <w:rFonts w:ascii="宋体" w:hAnsi="宋体" w:cs="宋体" w:eastAsia="宋体" w:hint="default"/>
                <w:sz w:val="21"/>
                <w:szCs w:val="21"/>
              </w:rPr>
            </w:pPr>
            <w:r>
              <w:rPr>
                <w:rFonts w:ascii="宋体"/>
                <w:spacing w:val="-1"/>
                <w:sz w:val="21"/>
              </w:rPr>
              <w:t>11,840,944.28</w:t>
            </w:r>
            <w:r>
              <w:rPr>
                <w:rFonts w:ascii="宋体"/>
                <w:sz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spacing w:val="-1"/>
                <w:sz w:val="21"/>
              </w:rPr>
              <w:t>13,979,640.21</w:t>
            </w:r>
            <w:r>
              <w:rPr>
                <w:rFonts w:ascii="宋体"/>
                <w:sz w:val="21"/>
              </w:rPr>
              <w:t> </w:t>
            </w:r>
          </w:p>
        </w:tc>
      </w:tr>
      <w:tr>
        <w:trPr>
          <w:trHeight w:val="322"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差旅费</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5,657,849.28</w:t>
            </w:r>
            <w:r>
              <w:rPr>
                <w:rFonts w:ascii="宋体"/>
                <w:sz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6,162,363.82</w:t>
            </w:r>
            <w:r>
              <w:rPr>
                <w:rFonts w:ascii="宋体"/>
                <w:sz w:val="21"/>
              </w:rPr>
              <w:t> </w:t>
            </w:r>
          </w:p>
        </w:tc>
      </w:tr>
      <w:tr>
        <w:trPr>
          <w:trHeight w:val="322"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车辆费用</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4,313,286.30</w:t>
            </w:r>
            <w:r>
              <w:rPr>
                <w:rFonts w:ascii="宋体"/>
                <w:sz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2,532,677.50</w:t>
            </w:r>
            <w:r>
              <w:rPr>
                <w:rFonts w:ascii="宋体"/>
                <w:sz w:val="21"/>
              </w:rPr>
              <w:t> </w:t>
            </w:r>
          </w:p>
        </w:tc>
      </w:tr>
      <w:tr>
        <w:trPr>
          <w:trHeight w:val="322"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办公费</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10,245,520.62</w:t>
            </w:r>
            <w:r>
              <w:rPr>
                <w:rFonts w:ascii="宋体"/>
                <w:sz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8,108,322.20</w:t>
            </w:r>
            <w:r>
              <w:rPr>
                <w:rFonts w:ascii="宋体"/>
                <w:sz w:val="21"/>
              </w:rPr>
              <w:t> </w:t>
            </w:r>
          </w:p>
        </w:tc>
      </w:tr>
      <w:tr>
        <w:trPr>
          <w:trHeight w:val="322"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15,551,884.78</w:t>
            </w:r>
            <w:r>
              <w:rPr>
                <w:rFonts w:ascii="宋体"/>
                <w:sz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17,707,355.41</w:t>
            </w:r>
            <w:r>
              <w:rPr>
                <w:rFonts w:ascii="宋体"/>
                <w:sz w:val="21"/>
              </w:rPr>
              <w:t> </w:t>
            </w:r>
          </w:p>
        </w:tc>
      </w:tr>
      <w:tr>
        <w:trPr>
          <w:trHeight w:val="324"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5"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232,581,571.48</w:t>
            </w:r>
            <w:r>
              <w:rPr>
                <w:rFonts w:ascii="宋体"/>
                <w:sz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219,769,164.04</w:t>
            </w:r>
            <w:r>
              <w:rPr>
                <w:rFonts w:ascii="宋体"/>
                <w:sz w:val="21"/>
              </w:rPr>
              <w:t> </w:t>
            </w:r>
          </w:p>
        </w:tc>
      </w:tr>
    </w:tbl>
    <w:p>
      <w:pPr>
        <w:spacing w:after="0" w:line="262" w:lineRule="exact"/>
        <w:jc w:val="right"/>
        <w:rPr>
          <w:rFonts w:ascii="宋体" w:hAnsi="宋体" w:cs="宋体" w:eastAsia="宋体" w:hint="default"/>
          <w:sz w:val="21"/>
          <w:szCs w:val="21"/>
        </w:rPr>
        <w:sectPr>
          <w:footerReference w:type="default" r:id="rId199"/>
          <w:pgSz w:w="11910" w:h="16840"/>
          <w:pgMar w:footer="974" w:header="0" w:top="1140" w:bottom="1160" w:left="1060" w:right="1560"/>
          <w:pgNumType w:start="171"/>
        </w:sectPr>
      </w:pPr>
    </w:p>
    <w:p>
      <w:pPr>
        <w:pStyle w:val="BodyText"/>
        <w:spacing w:line="262" w:lineRule="exact"/>
        <w:ind w:left="216" w:right="0"/>
        <w:jc w:val="left"/>
        <w:rPr>
          <w:rFonts w:ascii="宋体" w:hAnsi="宋体" w:cs="宋体" w:eastAsia="宋体" w:hint="default"/>
        </w:rPr>
      </w:pPr>
      <w:r>
        <w:rPr>
          <w:rFonts w:ascii="宋体"/>
          <w:w w:val="100"/>
        </w:rPr>
        <w:t> </w:t>
      </w:r>
    </w:p>
    <w:p>
      <w:pPr>
        <w:pStyle w:val="Heading3"/>
        <w:spacing w:line="240" w:lineRule="auto"/>
        <w:ind w:left="216" w:right="0"/>
        <w:jc w:val="left"/>
        <w:rPr>
          <w:b w:val="0"/>
          <w:bCs w:val="0"/>
        </w:rPr>
      </w:pPr>
      <w:r>
        <w:rPr>
          <w:rFonts w:ascii="宋体" w:hAnsi="宋体" w:cs="宋体" w:eastAsia="宋体" w:hint="default"/>
        </w:rPr>
        <w:t>63</w:t>
      </w:r>
      <w:r>
        <w:rPr/>
        <w:t>、</w:t>
      </w:r>
      <w:r>
        <w:rPr>
          <w:spacing w:val="-24"/>
        </w:rPr>
        <w:t> </w:t>
      </w:r>
      <w:r>
        <w:rPr/>
        <w:t>研发费用</w:t>
      </w:r>
      <w:r>
        <w:rPr>
          <w:b w:val="0"/>
          <w:bCs w:val="0"/>
        </w:rPr>
      </w:r>
    </w:p>
    <w:p>
      <w:pPr>
        <w:pStyle w:val="BodyText"/>
        <w:spacing w:line="240" w:lineRule="auto" w:before="97"/>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pStyle w:val="BodyText"/>
        <w:spacing w:line="240" w:lineRule="auto"/>
        <w:ind w:left="216" w:right="0"/>
        <w:jc w:val="left"/>
      </w:pPr>
      <w:r>
        <w:rPr/>
        <w:t>单位：元币种：人民币</w:t>
      </w:r>
    </w:p>
    <w:p>
      <w:pPr>
        <w:spacing w:after="0" w:line="240" w:lineRule="auto"/>
        <w:jc w:val="left"/>
        <w:sectPr>
          <w:type w:val="continuous"/>
          <w:pgSz w:w="11910" w:h="16840"/>
          <w:pgMar w:top="1580" w:bottom="280" w:left="1060" w:right="1560"/>
          <w:cols w:num="2" w:equalWidth="0">
            <w:col w:w="2003" w:space="4730"/>
            <w:col w:w="2557"/>
          </w:cols>
        </w:sectPr>
      </w:pPr>
    </w:p>
    <w:p>
      <w:pPr>
        <w:spacing w:line="240" w:lineRule="auto" w:before="10"/>
        <w:rPr>
          <w:rFonts w:ascii="宋体" w:hAnsi="宋体" w:cs="宋体" w:eastAsia="宋体" w:hint="default"/>
          <w:sz w:val="3"/>
          <w:szCs w:val="3"/>
        </w:rPr>
      </w:pPr>
    </w:p>
    <w:tbl>
      <w:tblPr>
        <w:tblW w:w="0" w:type="auto"/>
        <w:jc w:val="left"/>
        <w:tblInd w:w="103" w:type="dxa"/>
        <w:tblLayout w:type="fixed"/>
        <w:tblCellMar>
          <w:top w:w="0" w:type="dxa"/>
          <w:left w:w="0" w:type="dxa"/>
          <w:bottom w:w="0" w:type="dxa"/>
          <w:right w:w="0" w:type="dxa"/>
        </w:tblCellMar>
        <w:tblLook w:val="01E0"/>
      </w:tblPr>
      <w:tblGrid>
        <w:gridCol w:w="4007"/>
        <w:gridCol w:w="2604"/>
        <w:gridCol w:w="2439"/>
      </w:tblGrid>
      <w:tr>
        <w:trPr>
          <w:trHeight w:val="322"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682"/>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68"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686"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322"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职工薪酬</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85,700,556.84</w:t>
            </w:r>
            <w:r>
              <w:rPr>
                <w:rFonts w:ascii="宋体"/>
                <w:sz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90,485,969.49</w:t>
            </w:r>
            <w:r>
              <w:rPr>
                <w:rFonts w:ascii="宋体"/>
                <w:sz w:val="21"/>
              </w:rPr>
              <w:t> </w:t>
            </w:r>
          </w:p>
        </w:tc>
      </w:tr>
      <w:tr>
        <w:trPr>
          <w:trHeight w:val="322"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原材料消耗费用</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18,303,842.62</w:t>
            </w:r>
            <w:r>
              <w:rPr>
                <w:rFonts w:ascii="宋体"/>
                <w:sz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24,099,660.79</w:t>
            </w:r>
            <w:r>
              <w:rPr>
                <w:rFonts w:ascii="宋体"/>
                <w:sz w:val="21"/>
              </w:rPr>
              <w:t> </w:t>
            </w:r>
          </w:p>
        </w:tc>
      </w:tr>
      <w:tr>
        <w:trPr>
          <w:trHeight w:val="322"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测试开发费</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16,614,452.69</w:t>
            </w:r>
            <w:r>
              <w:rPr>
                <w:rFonts w:ascii="宋体"/>
                <w:sz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10,710,453.23</w:t>
            </w:r>
            <w:r>
              <w:rPr>
                <w:rFonts w:ascii="宋体"/>
                <w:sz w:val="21"/>
              </w:rPr>
              <w:t> </w:t>
            </w:r>
          </w:p>
        </w:tc>
      </w:tr>
      <w:tr>
        <w:trPr>
          <w:trHeight w:val="322"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折旧及摊销</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7,903,441.55</w:t>
            </w:r>
            <w:r>
              <w:rPr>
                <w:rFonts w:ascii="宋体"/>
                <w:sz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9,351,468.60</w:t>
            </w:r>
            <w:r>
              <w:rPr>
                <w:rFonts w:ascii="宋体"/>
                <w:sz w:val="21"/>
              </w:rPr>
              <w:t> </w:t>
            </w:r>
          </w:p>
        </w:tc>
      </w:tr>
      <w:tr>
        <w:trPr>
          <w:trHeight w:val="324"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办公费</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
              <w:jc w:val="right"/>
              <w:rPr>
                <w:rFonts w:ascii="宋体" w:hAnsi="宋体" w:cs="宋体" w:eastAsia="宋体" w:hint="default"/>
                <w:sz w:val="21"/>
                <w:szCs w:val="21"/>
              </w:rPr>
            </w:pPr>
            <w:r>
              <w:rPr>
                <w:rFonts w:ascii="宋体"/>
                <w:spacing w:val="-1"/>
                <w:sz w:val="21"/>
              </w:rPr>
              <w:t>6,405,123.71</w:t>
            </w:r>
            <w:r>
              <w:rPr>
                <w:rFonts w:ascii="宋体"/>
                <w:sz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spacing w:val="-1"/>
                <w:sz w:val="21"/>
              </w:rPr>
              <w:t>7,978,119.08</w:t>
            </w:r>
            <w:r>
              <w:rPr>
                <w:rFonts w:ascii="宋体"/>
                <w:sz w:val="21"/>
              </w:rPr>
              <w:t> </w:t>
            </w:r>
          </w:p>
        </w:tc>
      </w:tr>
      <w:tr>
        <w:trPr>
          <w:trHeight w:val="322"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业务招待费</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967,742.97</w:t>
            </w:r>
            <w:r>
              <w:rPr>
                <w:rFonts w:ascii="宋体"/>
                <w:sz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966,960.63</w:t>
            </w:r>
            <w:r>
              <w:rPr>
                <w:rFonts w:ascii="宋体"/>
                <w:sz w:val="21"/>
              </w:rPr>
              <w:t> </w:t>
            </w:r>
          </w:p>
        </w:tc>
      </w:tr>
      <w:tr>
        <w:trPr>
          <w:trHeight w:val="322"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燃料及动力费</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585,443.81</w:t>
            </w:r>
            <w:r>
              <w:rPr>
                <w:rFonts w:ascii="宋体"/>
                <w:sz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624,702.94</w:t>
            </w:r>
            <w:r>
              <w:rPr>
                <w:rFonts w:ascii="宋体"/>
                <w:sz w:val="21"/>
              </w:rPr>
              <w:t> </w:t>
            </w:r>
          </w:p>
        </w:tc>
      </w:tr>
      <w:tr>
        <w:trPr>
          <w:trHeight w:val="322"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2,080,783.51</w:t>
            </w:r>
            <w:r>
              <w:rPr>
                <w:rFonts w:ascii="宋体"/>
                <w:sz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3,345,986.11</w:t>
            </w:r>
            <w:r>
              <w:rPr>
                <w:rFonts w:ascii="宋体"/>
                <w:sz w:val="21"/>
              </w:rPr>
              <w:t> </w:t>
            </w:r>
          </w:p>
        </w:tc>
      </w:tr>
      <w:tr>
        <w:trPr>
          <w:trHeight w:val="322"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1682"/>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1"/>
              <w:jc w:val="right"/>
              <w:rPr>
                <w:rFonts w:ascii="宋体" w:hAnsi="宋体" w:cs="宋体" w:eastAsia="宋体" w:hint="default"/>
                <w:sz w:val="21"/>
                <w:szCs w:val="21"/>
              </w:rPr>
            </w:pPr>
            <w:r>
              <w:rPr>
                <w:rFonts w:ascii="宋体"/>
                <w:spacing w:val="-1"/>
                <w:sz w:val="21"/>
              </w:rPr>
              <w:t>138,561,387.70</w:t>
            </w:r>
            <w:r>
              <w:rPr>
                <w:rFonts w:ascii="宋体"/>
                <w:sz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3"/>
              <w:jc w:val="right"/>
              <w:rPr>
                <w:rFonts w:ascii="宋体" w:hAnsi="宋体" w:cs="宋体" w:eastAsia="宋体" w:hint="default"/>
                <w:sz w:val="21"/>
                <w:szCs w:val="21"/>
              </w:rPr>
            </w:pPr>
            <w:r>
              <w:rPr>
                <w:rFonts w:ascii="宋体"/>
                <w:spacing w:val="-1"/>
                <w:sz w:val="21"/>
              </w:rPr>
              <w:t>147,563,320.87</w:t>
            </w:r>
            <w:r>
              <w:rPr>
                <w:rFonts w:ascii="宋体"/>
                <w:sz w:val="21"/>
              </w:rPr>
              <w:t> </w:t>
            </w:r>
          </w:p>
        </w:tc>
      </w:tr>
    </w:tbl>
    <w:p>
      <w:pPr>
        <w:spacing w:after="0" w:line="263" w:lineRule="exact"/>
        <w:jc w:val="right"/>
        <w:rPr>
          <w:rFonts w:ascii="宋体" w:hAnsi="宋体" w:cs="宋体" w:eastAsia="宋体" w:hint="default"/>
          <w:sz w:val="21"/>
          <w:szCs w:val="21"/>
        </w:rPr>
        <w:sectPr>
          <w:type w:val="continuous"/>
          <w:pgSz w:w="11910" w:h="16840"/>
          <w:pgMar w:top="1580" w:bottom="280" w:left="1060" w:right="1560"/>
        </w:sectPr>
      </w:pPr>
    </w:p>
    <w:p>
      <w:pPr>
        <w:pStyle w:val="Heading2"/>
        <w:spacing w:line="274" w:lineRule="exact"/>
        <w:ind w:left="216" w:right="0"/>
        <w:jc w:val="left"/>
        <w:rPr>
          <w:rFonts w:ascii="宋体" w:hAnsi="宋体" w:cs="宋体" w:eastAsia="宋体" w:hint="default"/>
        </w:rPr>
      </w:pPr>
      <w:r>
        <w:rPr>
          <w:rFonts w:ascii="宋体"/>
        </w:rPr>
        <w:t> </w:t>
      </w:r>
    </w:p>
    <w:p>
      <w:pPr>
        <w:pStyle w:val="Heading3"/>
        <w:spacing w:line="240" w:lineRule="auto" w:before="85"/>
        <w:ind w:left="216" w:right="0"/>
        <w:jc w:val="left"/>
        <w:rPr>
          <w:b w:val="0"/>
          <w:bCs w:val="0"/>
        </w:rPr>
      </w:pPr>
      <w:r>
        <w:rPr>
          <w:rFonts w:ascii="宋体" w:hAnsi="宋体" w:cs="宋体" w:eastAsia="宋体" w:hint="default"/>
        </w:rPr>
        <w:t>64</w:t>
      </w:r>
      <w:r>
        <w:rPr/>
        <w:t>、</w:t>
      </w:r>
      <w:r>
        <w:rPr>
          <w:spacing w:val="-24"/>
        </w:rPr>
        <w:t> </w:t>
      </w:r>
      <w:r>
        <w:rPr/>
        <w:t>财务费用</w:t>
      </w:r>
      <w:r>
        <w:rPr>
          <w:b w:val="0"/>
          <w:bCs w:val="0"/>
        </w:rPr>
      </w:r>
    </w:p>
    <w:p>
      <w:pPr>
        <w:pStyle w:val="Heading2"/>
        <w:spacing w:line="240" w:lineRule="auto" w:before="69"/>
        <w:ind w:left="21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pStyle w:val="BodyText"/>
        <w:spacing w:line="240" w:lineRule="auto"/>
        <w:ind w:left="216" w:right="0"/>
        <w:jc w:val="left"/>
        <w:rPr>
          <w:rFonts w:ascii="宋体" w:hAnsi="宋体" w:cs="宋体" w:eastAsia="宋体" w:hint="default"/>
        </w:rPr>
      </w:pPr>
      <w:r>
        <w:rPr/>
        <w:t>单位：元币种：人民币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580" w:bottom="280" w:left="1060" w:right="1560"/>
          <w:cols w:num="2" w:equalWidth="0">
            <w:col w:w="2258" w:space="4476"/>
            <w:col w:w="2556"/>
          </w:cols>
        </w:sectPr>
      </w:pPr>
    </w:p>
    <w:p>
      <w:pPr>
        <w:spacing w:line="240" w:lineRule="auto" w:before="10"/>
        <w:rPr>
          <w:rFonts w:ascii="宋体" w:hAnsi="宋体" w:cs="宋体" w:eastAsia="宋体" w:hint="default"/>
          <w:sz w:val="3"/>
          <w:szCs w:val="3"/>
        </w:rPr>
      </w:pPr>
    </w:p>
    <w:tbl>
      <w:tblPr>
        <w:tblW w:w="0" w:type="auto"/>
        <w:jc w:val="left"/>
        <w:tblInd w:w="103" w:type="dxa"/>
        <w:tblLayout w:type="fixed"/>
        <w:tblCellMar>
          <w:top w:w="0" w:type="dxa"/>
          <w:left w:w="0" w:type="dxa"/>
          <w:bottom w:w="0" w:type="dxa"/>
          <w:right w:w="0" w:type="dxa"/>
        </w:tblCellMar>
        <w:tblLook w:val="01E0"/>
      </w:tblPr>
      <w:tblGrid>
        <w:gridCol w:w="4007"/>
        <w:gridCol w:w="2604"/>
        <w:gridCol w:w="2439"/>
      </w:tblGrid>
      <w:tr>
        <w:trPr>
          <w:trHeight w:val="324"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682"/>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768"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686"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322"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利息费用</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294,810,489.69</w:t>
            </w:r>
            <w:r>
              <w:rPr>
                <w:rFonts w:ascii="宋体"/>
                <w:sz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268,235,455.34</w:t>
            </w:r>
            <w:r>
              <w:rPr>
                <w:rFonts w:ascii="宋体"/>
                <w:sz w:val="21"/>
              </w:rPr>
              <w:t> </w:t>
            </w:r>
          </w:p>
        </w:tc>
      </w:tr>
      <w:tr>
        <w:trPr>
          <w:trHeight w:val="322"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利息收入</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-17,564,398.65</w:t>
            </w:r>
            <w:r>
              <w:rPr>
                <w:rFonts w:ascii="宋体"/>
                <w:sz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-22,220,877.01</w:t>
            </w:r>
            <w:r>
              <w:rPr>
                <w:rFonts w:ascii="宋体"/>
                <w:sz w:val="21"/>
              </w:rPr>
              <w:t> </w:t>
            </w:r>
          </w:p>
        </w:tc>
      </w:tr>
      <w:tr>
        <w:trPr>
          <w:trHeight w:val="322"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汇兑损益</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-10,224,004.23</w:t>
            </w:r>
            <w:r>
              <w:rPr>
                <w:rFonts w:ascii="宋体"/>
                <w:sz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-17,018,905.34</w:t>
            </w:r>
            <w:r>
              <w:rPr>
                <w:rFonts w:ascii="宋体"/>
                <w:sz w:val="21"/>
              </w:rPr>
              <w:t> </w:t>
            </w:r>
          </w:p>
        </w:tc>
      </w:tr>
      <w:tr>
        <w:trPr>
          <w:trHeight w:val="322"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1,657,357.16</w:t>
            </w:r>
            <w:r>
              <w:rPr>
                <w:rFonts w:ascii="宋体"/>
                <w:sz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2,249,403.57</w:t>
            </w:r>
            <w:r>
              <w:rPr>
                <w:rFonts w:ascii="宋体"/>
                <w:sz w:val="21"/>
              </w:rPr>
              <w:t> </w:t>
            </w:r>
          </w:p>
        </w:tc>
      </w:tr>
      <w:tr>
        <w:trPr>
          <w:trHeight w:val="325"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682"/>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268,679,443.97</w:t>
            </w:r>
            <w:r>
              <w:rPr>
                <w:rFonts w:ascii="宋体"/>
                <w:sz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231,245,076.56</w:t>
            </w:r>
            <w:r>
              <w:rPr>
                <w:rFonts w:ascii="宋体"/>
                <w:sz w:val="21"/>
              </w:rPr>
              <w:t> </w:t>
            </w:r>
          </w:p>
        </w:tc>
      </w:tr>
    </w:tbl>
    <w:p>
      <w:pPr>
        <w:spacing w:after="0" w:line="262" w:lineRule="exact"/>
        <w:jc w:val="right"/>
        <w:rPr>
          <w:rFonts w:ascii="宋体" w:hAnsi="宋体" w:cs="宋体" w:eastAsia="宋体" w:hint="default"/>
          <w:sz w:val="21"/>
          <w:szCs w:val="21"/>
        </w:rPr>
        <w:sectPr>
          <w:type w:val="continuous"/>
          <w:pgSz w:w="11910" w:h="16840"/>
          <w:pgMar w:top="1580" w:bottom="280" w:left="1060" w:right="1560"/>
        </w:sectPr>
      </w:pPr>
    </w:p>
    <w:p>
      <w:pPr>
        <w:pStyle w:val="BodyText"/>
        <w:spacing w:line="262" w:lineRule="exact"/>
        <w:ind w:left="216" w:right="0"/>
        <w:jc w:val="left"/>
        <w:rPr>
          <w:rFonts w:ascii="宋体" w:hAnsi="宋体" w:cs="宋体" w:eastAsia="宋体" w:hint="default"/>
        </w:rPr>
      </w:pPr>
      <w:r>
        <w:rPr>
          <w:rFonts w:ascii="宋体"/>
          <w:w w:val="100"/>
        </w:rPr>
        <w:t> </w:t>
      </w:r>
    </w:p>
    <w:p>
      <w:pPr>
        <w:pStyle w:val="Heading3"/>
        <w:spacing w:line="240" w:lineRule="auto"/>
        <w:ind w:left="216" w:right="0"/>
        <w:jc w:val="left"/>
        <w:rPr>
          <w:b w:val="0"/>
          <w:bCs w:val="0"/>
        </w:rPr>
      </w:pPr>
      <w:r>
        <w:rPr>
          <w:rFonts w:ascii="宋体" w:hAnsi="宋体" w:cs="宋体" w:eastAsia="宋体" w:hint="default"/>
        </w:rPr>
        <w:t>65</w:t>
      </w:r>
      <w:r>
        <w:rPr/>
        <w:t>、</w:t>
      </w:r>
      <w:r>
        <w:rPr>
          <w:spacing w:val="-24"/>
        </w:rPr>
        <w:t> </w:t>
      </w:r>
      <w:r>
        <w:rPr/>
        <w:t>其他收益</w:t>
      </w:r>
      <w:r>
        <w:rPr>
          <w:b w:val="0"/>
          <w:bCs w:val="0"/>
        </w:rPr>
      </w:r>
    </w:p>
    <w:p>
      <w:pPr>
        <w:pStyle w:val="BodyText"/>
        <w:spacing w:line="240" w:lineRule="auto" w:before="97"/>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pStyle w:val="BodyText"/>
        <w:spacing w:line="240" w:lineRule="auto"/>
        <w:ind w:left="216" w:right="0"/>
        <w:jc w:val="left"/>
      </w:pPr>
      <w:r>
        <w:rPr/>
        <w:t>单位：元币种：人民币</w:t>
      </w:r>
    </w:p>
    <w:p>
      <w:pPr>
        <w:spacing w:after="0" w:line="240" w:lineRule="auto"/>
        <w:jc w:val="left"/>
        <w:sectPr>
          <w:type w:val="continuous"/>
          <w:pgSz w:w="11910" w:h="16840"/>
          <w:pgMar w:top="1580" w:bottom="280" w:left="1060" w:right="1560"/>
          <w:cols w:num="2" w:equalWidth="0">
            <w:col w:w="2003" w:space="4730"/>
            <w:col w:w="2557"/>
          </w:cols>
        </w:sectPr>
      </w:pPr>
    </w:p>
    <w:p>
      <w:pPr>
        <w:spacing w:line="240" w:lineRule="auto" w:before="10"/>
        <w:rPr>
          <w:rFonts w:ascii="宋体" w:hAnsi="宋体" w:cs="宋体" w:eastAsia="宋体" w:hint="default"/>
          <w:sz w:val="3"/>
          <w:szCs w:val="3"/>
        </w:rPr>
      </w:pPr>
    </w:p>
    <w:tbl>
      <w:tblPr>
        <w:tblW w:w="0" w:type="auto"/>
        <w:jc w:val="left"/>
        <w:tblInd w:w="103" w:type="dxa"/>
        <w:tblLayout w:type="fixed"/>
        <w:tblCellMar>
          <w:top w:w="0" w:type="dxa"/>
          <w:left w:w="0" w:type="dxa"/>
          <w:bottom w:w="0" w:type="dxa"/>
          <w:right w:w="0" w:type="dxa"/>
        </w:tblCellMar>
        <w:tblLook w:val="01E0"/>
      </w:tblPr>
      <w:tblGrid>
        <w:gridCol w:w="3018"/>
        <w:gridCol w:w="3015"/>
        <w:gridCol w:w="3017"/>
      </w:tblGrid>
      <w:tr>
        <w:trPr>
          <w:trHeight w:val="322" w:hRule="exact"/>
        </w:trPr>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186"/>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974"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976"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322" w:hRule="exact"/>
        </w:trPr>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政府补助</w:t>
            </w:r>
            <w:r>
              <w:rPr>
                <w:rFonts w:ascii="宋体" w:hAnsi="宋体" w:cs="宋体" w:eastAsia="宋体" w:hint="default"/>
                <w:sz w:val="24"/>
                <w:szCs w:val="24"/>
              </w:rPr>
              <w:t> </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33,839,883.40</w:t>
            </w:r>
            <w:r>
              <w:rPr>
                <w:rFonts w:ascii="宋体"/>
                <w:sz w:val="21"/>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11,939,155.76</w:t>
            </w:r>
            <w:r>
              <w:rPr>
                <w:rFonts w:ascii="宋体"/>
                <w:sz w:val="21"/>
              </w:rPr>
              <w:t> </w:t>
            </w:r>
          </w:p>
        </w:tc>
      </w:tr>
      <w:tr>
        <w:trPr>
          <w:trHeight w:val="322" w:hRule="exact"/>
        </w:trPr>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186"/>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33,839,883.40</w:t>
            </w:r>
            <w:r>
              <w:rPr>
                <w:rFonts w:ascii="宋体"/>
                <w:sz w:val="21"/>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11,939,155.76</w:t>
            </w:r>
            <w:r>
              <w:rPr>
                <w:rFonts w:ascii="宋体"/>
                <w:sz w:val="21"/>
              </w:rPr>
              <w:t> </w:t>
            </w:r>
          </w:p>
        </w:tc>
      </w:tr>
    </w:tbl>
    <w:p>
      <w:pPr>
        <w:pStyle w:val="Heading2"/>
        <w:spacing w:line="273" w:lineRule="exact"/>
        <w:ind w:left="216" w:right="0"/>
        <w:jc w:val="left"/>
        <w:rPr>
          <w:rFonts w:ascii="宋体" w:hAnsi="宋体" w:cs="宋体" w:eastAsia="宋体" w:hint="default"/>
        </w:rPr>
      </w:pPr>
      <w:r>
        <w:rPr>
          <w:rFonts w:ascii="宋体"/>
        </w:rPr>
        <w:t> </w:t>
      </w:r>
    </w:p>
    <w:p>
      <w:pPr>
        <w:pStyle w:val="Heading2"/>
        <w:spacing w:line="313" w:lineRule="exact"/>
        <w:ind w:left="216" w:right="0"/>
        <w:jc w:val="left"/>
        <w:rPr>
          <w:rFonts w:ascii="宋体" w:hAnsi="宋体" w:cs="宋体" w:eastAsia="宋体" w:hint="default"/>
        </w:rPr>
      </w:pPr>
      <w:r>
        <w:rPr/>
        <w:t>其他说明：</w:t>
      </w:r>
      <w:r>
        <w:rPr>
          <w:rFonts w:ascii="宋体" w:hAnsi="宋体" w:cs="宋体" w:eastAsia="宋体" w:hint="default"/>
        </w:rPr>
        <w:t> </w:t>
      </w:r>
    </w:p>
    <w:p>
      <w:pPr>
        <w:spacing w:after="0" w:line="313" w:lineRule="exact"/>
        <w:jc w:val="left"/>
        <w:rPr>
          <w:rFonts w:ascii="宋体" w:hAnsi="宋体" w:cs="宋体" w:eastAsia="宋体" w:hint="default"/>
        </w:rPr>
        <w:sectPr>
          <w:type w:val="continuous"/>
          <w:pgSz w:w="11910" w:h="16840"/>
          <w:pgMar w:top="1580" w:bottom="280" w:left="1060" w:right="156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6"/>
          <w:szCs w:val="26"/>
        </w:rPr>
      </w:pPr>
    </w:p>
    <w:tbl>
      <w:tblPr>
        <w:tblW w:w="0" w:type="auto"/>
        <w:jc w:val="left"/>
        <w:tblInd w:w="344" w:type="dxa"/>
        <w:tblLayout w:type="fixed"/>
        <w:tblCellMar>
          <w:top w:w="0" w:type="dxa"/>
          <w:left w:w="0" w:type="dxa"/>
          <w:bottom w:w="0" w:type="dxa"/>
          <w:right w:w="0" w:type="dxa"/>
        </w:tblCellMar>
        <w:tblLook w:val="01E0"/>
      </w:tblPr>
      <w:tblGrid>
        <w:gridCol w:w="2631"/>
        <w:gridCol w:w="1970"/>
        <w:gridCol w:w="1971"/>
        <w:gridCol w:w="2196"/>
      </w:tblGrid>
      <w:tr>
        <w:trPr>
          <w:trHeight w:val="103" w:hRule="exact"/>
        </w:trPr>
        <w:tc>
          <w:tcPr>
            <w:tcW w:w="2631" w:type="dxa"/>
            <w:tcBorders>
              <w:top w:val="nil" w:sz="6" w:space="0" w:color="auto"/>
              <w:left w:val="nil" w:sz="6" w:space="0" w:color="auto"/>
              <w:bottom w:val="nil" w:sz="6" w:space="0" w:color="auto"/>
              <w:right w:val="nil" w:sz="6" w:space="0" w:color="auto"/>
            </w:tcBorders>
          </w:tcPr>
          <w:p>
            <w:pPr/>
          </w:p>
        </w:tc>
        <w:tc>
          <w:tcPr>
            <w:tcW w:w="1970" w:type="dxa"/>
            <w:tcBorders>
              <w:top w:val="nil" w:sz="6" w:space="0" w:color="auto"/>
              <w:left w:val="nil" w:sz="6" w:space="0" w:color="auto"/>
              <w:bottom w:val="nil" w:sz="6" w:space="0" w:color="auto"/>
              <w:right w:val="single" w:sz="4" w:space="0" w:color="000000"/>
            </w:tcBorders>
          </w:tcPr>
          <w:p>
            <w:pPr/>
          </w:p>
        </w:tc>
        <w:tc>
          <w:tcPr>
            <w:tcW w:w="1971" w:type="dxa"/>
            <w:tcBorders>
              <w:top w:val="single" w:sz="12" w:space="0" w:color="000000"/>
              <w:left w:val="single" w:sz="4" w:space="0" w:color="000000"/>
              <w:bottom w:val="nil" w:sz="6" w:space="0" w:color="auto"/>
              <w:right w:val="single" w:sz="4" w:space="0" w:color="000000"/>
            </w:tcBorders>
          </w:tcPr>
          <w:p>
            <w:pPr/>
          </w:p>
        </w:tc>
        <w:tc>
          <w:tcPr>
            <w:tcW w:w="2196" w:type="dxa"/>
            <w:tcBorders>
              <w:top w:val="single" w:sz="12" w:space="0" w:color="000000"/>
              <w:left w:val="single" w:sz="4" w:space="0" w:color="000000"/>
              <w:bottom w:val="nil" w:sz="6" w:space="0" w:color="auto"/>
              <w:right w:val="nil" w:sz="6" w:space="0" w:color="auto"/>
            </w:tcBorders>
          </w:tcPr>
          <w:p>
            <w:pPr/>
          </w:p>
        </w:tc>
      </w:tr>
      <w:tr>
        <w:trPr>
          <w:trHeight w:val="181" w:hRule="exact"/>
        </w:trPr>
        <w:tc>
          <w:tcPr>
            <w:tcW w:w="2631" w:type="dxa"/>
            <w:tcBorders>
              <w:top w:val="nil" w:sz="6" w:space="0" w:color="auto"/>
              <w:left w:val="nil" w:sz="6" w:space="0" w:color="auto"/>
              <w:bottom w:val="nil" w:sz="6" w:space="0" w:color="auto"/>
              <w:right w:val="nil" w:sz="6" w:space="0" w:color="auto"/>
            </w:tcBorders>
          </w:tcPr>
          <w:p>
            <w:pPr>
              <w:pStyle w:val="TableParagraph"/>
              <w:spacing w:line="117" w:lineRule="exact"/>
              <w:ind w:left="13" w:right="0"/>
              <w:jc w:val="center"/>
              <w:rPr>
                <w:rFonts w:ascii="宋体" w:hAnsi="宋体" w:cs="宋体" w:eastAsia="宋体" w:hint="default"/>
                <w:sz w:val="18"/>
                <w:szCs w:val="18"/>
              </w:rPr>
            </w:pPr>
            <w:r>
              <w:rPr>
                <w:rFonts w:ascii="宋体" w:hAnsi="宋体" w:cs="宋体" w:eastAsia="宋体" w:hint="default"/>
                <w:sz w:val="18"/>
                <w:szCs w:val="18"/>
              </w:rPr>
              <w:t>补助项目</w:t>
            </w:r>
          </w:p>
        </w:tc>
        <w:tc>
          <w:tcPr>
            <w:tcW w:w="1970" w:type="dxa"/>
            <w:tcBorders>
              <w:top w:val="nil" w:sz="6" w:space="0" w:color="auto"/>
              <w:left w:val="nil" w:sz="6" w:space="0" w:color="auto"/>
              <w:bottom w:val="nil" w:sz="6" w:space="0" w:color="auto"/>
              <w:right w:val="single" w:sz="4" w:space="0" w:color="000000"/>
            </w:tcBorders>
          </w:tcPr>
          <w:p>
            <w:pPr>
              <w:pStyle w:val="TableParagraph"/>
              <w:spacing w:line="117" w:lineRule="exact"/>
              <w:ind w:left="621" w:right="0"/>
              <w:jc w:val="left"/>
              <w:rPr>
                <w:rFonts w:ascii="宋体" w:hAnsi="宋体" w:cs="宋体" w:eastAsia="宋体" w:hint="default"/>
                <w:sz w:val="18"/>
                <w:szCs w:val="18"/>
              </w:rPr>
            </w:pPr>
            <w:r>
              <w:rPr>
                <w:rFonts w:ascii="宋体" w:hAnsi="宋体" w:cs="宋体" w:eastAsia="宋体" w:hint="default"/>
                <w:sz w:val="18"/>
                <w:szCs w:val="18"/>
              </w:rPr>
              <w:t>本期金额</w:t>
            </w:r>
          </w:p>
        </w:tc>
        <w:tc>
          <w:tcPr>
            <w:tcW w:w="1971" w:type="dxa"/>
            <w:tcBorders>
              <w:top w:val="nil" w:sz="6" w:space="0" w:color="auto"/>
              <w:left w:val="single" w:sz="4" w:space="0" w:color="000000"/>
              <w:bottom w:val="nil" w:sz="6" w:space="0" w:color="auto"/>
              <w:right w:val="single" w:sz="4" w:space="0" w:color="000000"/>
            </w:tcBorders>
          </w:tcPr>
          <w:p>
            <w:pPr>
              <w:pStyle w:val="TableParagraph"/>
              <w:spacing w:line="117" w:lineRule="exact"/>
              <w:ind w:left="619" w:right="0"/>
              <w:jc w:val="left"/>
              <w:rPr>
                <w:rFonts w:ascii="宋体" w:hAnsi="宋体" w:cs="宋体" w:eastAsia="宋体" w:hint="default"/>
                <w:sz w:val="18"/>
                <w:szCs w:val="18"/>
              </w:rPr>
            </w:pPr>
            <w:r>
              <w:rPr>
                <w:rFonts w:ascii="宋体" w:hAnsi="宋体" w:cs="宋体" w:eastAsia="宋体" w:hint="default"/>
                <w:sz w:val="18"/>
                <w:szCs w:val="18"/>
              </w:rPr>
              <w:t>上期金额</w:t>
            </w:r>
          </w:p>
        </w:tc>
        <w:tc>
          <w:tcPr>
            <w:tcW w:w="2196" w:type="dxa"/>
            <w:tcBorders>
              <w:top w:val="nil" w:sz="6" w:space="0" w:color="auto"/>
              <w:left w:val="single" w:sz="4" w:space="0" w:color="000000"/>
              <w:bottom w:val="nil" w:sz="6" w:space="0" w:color="auto"/>
              <w:right w:val="nil" w:sz="6" w:space="0" w:color="auto"/>
            </w:tcBorders>
          </w:tcPr>
          <w:p>
            <w:pPr>
              <w:pStyle w:val="TableParagraph"/>
              <w:spacing w:line="130" w:lineRule="exact"/>
              <w:ind w:left="168" w:right="0"/>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w:t>
            </w:r>
            <w:r>
              <w:rPr>
                <w:rFonts w:ascii="宋体" w:hAnsi="宋体" w:cs="宋体" w:eastAsia="宋体" w:hint="default"/>
                <w:sz w:val="18"/>
                <w:szCs w:val="18"/>
              </w:rPr>
              <w:t>与收益相关</w:t>
            </w:r>
          </w:p>
        </w:tc>
      </w:tr>
      <w:tr>
        <w:trPr>
          <w:trHeight w:val="42" w:hRule="exact"/>
        </w:trPr>
        <w:tc>
          <w:tcPr>
            <w:tcW w:w="2631" w:type="dxa"/>
            <w:tcBorders>
              <w:top w:val="nil" w:sz="6" w:space="0" w:color="auto"/>
              <w:left w:val="nil" w:sz="6" w:space="0" w:color="auto"/>
              <w:bottom w:val="nil" w:sz="6" w:space="0" w:color="auto"/>
              <w:right w:val="nil" w:sz="6" w:space="0" w:color="auto"/>
            </w:tcBorders>
          </w:tcPr>
          <w:p>
            <w:pPr/>
          </w:p>
        </w:tc>
        <w:tc>
          <w:tcPr>
            <w:tcW w:w="1970" w:type="dxa"/>
            <w:tcBorders>
              <w:top w:val="nil" w:sz="6" w:space="0" w:color="auto"/>
              <w:left w:val="nil" w:sz="6" w:space="0" w:color="auto"/>
              <w:bottom w:val="nil" w:sz="6" w:space="0" w:color="auto"/>
              <w:right w:val="single" w:sz="4" w:space="0" w:color="000000"/>
            </w:tcBorders>
          </w:tcPr>
          <w:p>
            <w:pPr/>
          </w:p>
        </w:tc>
        <w:tc>
          <w:tcPr>
            <w:tcW w:w="1971" w:type="dxa"/>
            <w:tcBorders>
              <w:top w:val="nil" w:sz="6" w:space="0" w:color="auto"/>
              <w:left w:val="single" w:sz="4" w:space="0" w:color="000000"/>
              <w:bottom w:val="nil" w:sz="6" w:space="0" w:color="auto"/>
              <w:right w:val="single" w:sz="4" w:space="0" w:color="000000"/>
            </w:tcBorders>
          </w:tcPr>
          <w:p>
            <w:pPr/>
          </w:p>
        </w:tc>
        <w:tc>
          <w:tcPr>
            <w:tcW w:w="2196" w:type="dxa"/>
            <w:tcBorders>
              <w:top w:val="nil" w:sz="6" w:space="0" w:color="auto"/>
              <w:left w:val="single" w:sz="4" w:space="0" w:color="000000"/>
              <w:bottom w:val="nil" w:sz="6" w:space="0" w:color="auto"/>
              <w:right w:val="nil" w:sz="6" w:space="0" w:color="auto"/>
            </w:tcBorders>
          </w:tcPr>
          <w:p>
            <w:pPr/>
          </w:p>
        </w:tc>
      </w:tr>
      <w:tr>
        <w:trPr>
          <w:trHeight w:val="201" w:hRule="exact"/>
        </w:trPr>
        <w:tc>
          <w:tcPr>
            <w:tcW w:w="2631" w:type="dxa"/>
            <w:tcBorders>
              <w:top w:val="nil" w:sz="6" w:space="0" w:color="auto"/>
              <w:left w:val="nil" w:sz="6" w:space="0" w:color="auto"/>
              <w:bottom w:val="nil" w:sz="6" w:space="0" w:color="auto"/>
              <w:right w:val="nil" w:sz="6" w:space="0" w:color="auto"/>
            </w:tcBorders>
          </w:tcPr>
          <w:p>
            <w:pPr>
              <w:pStyle w:val="TableParagraph"/>
              <w:spacing w:line="138" w:lineRule="exact"/>
              <w:ind w:left="122" w:right="0"/>
              <w:jc w:val="left"/>
              <w:rPr>
                <w:rFonts w:ascii="宋体" w:hAnsi="宋体" w:cs="宋体" w:eastAsia="宋体" w:hint="default"/>
                <w:sz w:val="18"/>
                <w:szCs w:val="18"/>
              </w:rPr>
            </w:pPr>
            <w:r>
              <w:rPr>
                <w:rFonts w:ascii="宋体" w:hAnsi="宋体" w:cs="宋体" w:eastAsia="宋体" w:hint="default"/>
                <w:sz w:val="18"/>
                <w:szCs w:val="18"/>
              </w:rPr>
              <w:t>软件退税款</w:t>
            </w:r>
          </w:p>
        </w:tc>
        <w:tc>
          <w:tcPr>
            <w:tcW w:w="1970" w:type="dxa"/>
            <w:tcBorders>
              <w:top w:val="nil" w:sz="6" w:space="0" w:color="auto"/>
              <w:left w:val="nil" w:sz="6" w:space="0" w:color="auto"/>
              <w:bottom w:val="nil" w:sz="6" w:space="0" w:color="auto"/>
              <w:right w:val="single" w:sz="4" w:space="0" w:color="000000"/>
            </w:tcBorders>
          </w:tcPr>
          <w:p>
            <w:pPr>
              <w:pStyle w:val="TableParagraph"/>
              <w:spacing w:line="147" w:lineRule="exact"/>
              <w:ind w:right="103"/>
              <w:jc w:val="right"/>
              <w:rPr>
                <w:rFonts w:ascii="Times New Roman" w:hAnsi="Times New Roman" w:cs="Times New Roman" w:eastAsia="Times New Roman" w:hint="default"/>
                <w:sz w:val="18"/>
                <w:szCs w:val="18"/>
              </w:rPr>
            </w:pPr>
            <w:r>
              <w:rPr>
                <w:rFonts w:ascii="Times New Roman"/>
                <w:spacing w:val="-1"/>
                <w:sz w:val="18"/>
              </w:rPr>
              <w:t>9,746,593.76</w:t>
            </w:r>
          </w:p>
        </w:tc>
        <w:tc>
          <w:tcPr>
            <w:tcW w:w="1971" w:type="dxa"/>
            <w:tcBorders>
              <w:top w:val="nil" w:sz="6" w:space="0" w:color="auto"/>
              <w:left w:val="single" w:sz="4" w:space="0" w:color="000000"/>
              <w:bottom w:val="nil" w:sz="6" w:space="0" w:color="auto"/>
              <w:right w:val="single" w:sz="4" w:space="0" w:color="000000"/>
            </w:tcBorders>
          </w:tcPr>
          <w:p>
            <w:pPr>
              <w:pStyle w:val="TableParagraph"/>
              <w:spacing w:line="147" w:lineRule="exact"/>
              <w:ind w:right="101"/>
              <w:jc w:val="right"/>
              <w:rPr>
                <w:rFonts w:ascii="Times New Roman" w:hAnsi="Times New Roman" w:cs="Times New Roman" w:eastAsia="Times New Roman" w:hint="default"/>
                <w:sz w:val="18"/>
                <w:szCs w:val="18"/>
              </w:rPr>
            </w:pPr>
            <w:r>
              <w:rPr>
                <w:rFonts w:ascii="Times New Roman"/>
                <w:spacing w:val="-1"/>
                <w:sz w:val="18"/>
              </w:rPr>
              <w:t>4,158,791.15</w:t>
            </w:r>
          </w:p>
        </w:tc>
        <w:tc>
          <w:tcPr>
            <w:tcW w:w="2196" w:type="dxa"/>
            <w:tcBorders>
              <w:top w:val="nil" w:sz="6" w:space="0" w:color="auto"/>
              <w:left w:val="single" w:sz="4" w:space="0" w:color="000000"/>
              <w:bottom w:val="nil" w:sz="6" w:space="0" w:color="auto"/>
              <w:right w:val="nil" w:sz="6" w:space="0" w:color="auto"/>
            </w:tcBorders>
          </w:tcPr>
          <w:p>
            <w:pPr>
              <w:pStyle w:val="TableParagraph"/>
              <w:spacing w:line="138" w:lineRule="exact"/>
              <w:ind w:left="10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2" w:hRule="exact"/>
        </w:trPr>
        <w:tc>
          <w:tcPr>
            <w:tcW w:w="2631" w:type="dxa"/>
            <w:tcBorders>
              <w:top w:val="nil" w:sz="6" w:space="0" w:color="auto"/>
              <w:left w:val="nil" w:sz="6" w:space="0" w:color="auto"/>
              <w:bottom w:val="nil" w:sz="6" w:space="0" w:color="auto"/>
              <w:right w:val="nil" w:sz="6" w:space="0" w:color="auto"/>
            </w:tcBorders>
          </w:tcPr>
          <w:p>
            <w:pPr/>
          </w:p>
        </w:tc>
        <w:tc>
          <w:tcPr>
            <w:tcW w:w="1970" w:type="dxa"/>
            <w:tcBorders>
              <w:top w:val="nil" w:sz="6" w:space="0" w:color="auto"/>
              <w:left w:val="nil" w:sz="6" w:space="0" w:color="auto"/>
              <w:bottom w:val="nil" w:sz="6" w:space="0" w:color="auto"/>
              <w:right w:val="single" w:sz="4" w:space="0" w:color="000000"/>
            </w:tcBorders>
          </w:tcPr>
          <w:p>
            <w:pPr/>
          </w:p>
        </w:tc>
        <w:tc>
          <w:tcPr>
            <w:tcW w:w="1971" w:type="dxa"/>
            <w:tcBorders>
              <w:top w:val="nil" w:sz="6" w:space="0" w:color="auto"/>
              <w:left w:val="single" w:sz="4" w:space="0" w:color="000000"/>
              <w:bottom w:val="nil" w:sz="6" w:space="0" w:color="auto"/>
              <w:right w:val="single" w:sz="4" w:space="0" w:color="000000"/>
            </w:tcBorders>
          </w:tcPr>
          <w:p>
            <w:pPr/>
          </w:p>
        </w:tc>
        <w:tc>
          <w:tcPr>
            <w:tcW w:w="2196" w:type="dxa"/>
            <w:tcBorders>
              <w:top w:val="nil" w:sz="6" w:space="0" w:color="auto"/>
              <w:left w:val="single" w:sz="4" w:space="0" w:color="000000"/>
              <w:bottom w:val="nil" w:sz="6" w:space="0" w:color="auto"/>
              <w:right w:val="nil" w:sz="6" w:space="0" w:color="auto"/>
            </w:tcBorders>
          </w:tcPr>
          <w:p>
            <w:pPr/>
          </w:p>
        </w:tc>
      </w:tr>
      <w:tr>
        <w:trPr>
          <w:trHeight w:val="203" w:hRule="exact"/>
        </w:trPr>
        <w:tc>
          <w:tcPr>
            <w:tcW w:w="2631" w:type="dxa"/>
            <w:tcBorders>
              <w:top w:val="nil" w:sz="6" w:space="0" w:color="auto"/>
              <w:left w:val="nil" w:sz="6" w:space="0" w:color="auto"/>
              <w:bottom w:val="nil" w:sz="6" w:space="0" w:color="auto"/>
              <w:right w:val="nil" w:sz="6" w:space="0" w:color="auto"/>
            </w:tcBorders>
          </w:tcPr>
          <w:p>
            <w:pPr>
              <w:pStyle w:val="TableParagraph"/>
              <w:spacing w:line="138" w:lineRule="exact"/>
              <w:ind w:left="122" w:right="0"/>
              <w:jc w:val="left"/>
              <w:rPr>
                <w:rFonts w:ascii="宋体" w:hAnsi="宋体" w:cs="宋体" w:eastAsia="宋体" w:hint="default"/>
                <w:sz w:val="18"/>
                <w:szCs w:val="18"/>
              </w:rPr>
            </w:pPr>
            <w:r>
              <w:rPr>
                <w:rFonts w:ascii="宋体" w:hAnsi="宋体" w:cs="宋体" w:eastAsia="宋体" w:hint="default"/>
                <w:sz w:val="18"/>
                <w:szCs w:val="18"/>
              </w:rPr>
              <w:t>商务发展资金</w:t>
            </w:r>
          </w:p>
        </w:tc>
        <w:tc>
          <w:tcPr>
            <w:tcW w:w="1970" w:type="dxa"/>
            <w:tcBorders>
              <w:top w:val="nil" w:sz="6" w:space="0" w:color="auto"/>
              <w:left w:val="nil" w:sz="6" w:space="0" w:color="auto"/>
              <w:bottom w:val="nil" w:sz="6" w:space="0" w:color="auto"/>
              <w:right w:val="single" w:sz="4" w:space="0" w:color="000000"/>
            </w:tcBorders>
          </w:tcPr>
          <w:p>
            <w:pPr>
              <w:pStyle w:val="TableParagraph"/>
              <w:spacing w:line="149" w:lineRule="exact"/>
              <w:ind w:right="103"/>
              <w:jc w:val="right"/>
              <w:rPr>
                <w:rFonts w:ascii="Times New Roman" w:hAnsi="Times New Roman" w:cs="Times New Roman" w:eastAsia="Times New Roman" w:hint="default"/>
                <w:sz w:val="18"/>
                <w:szCs w:val="18"/>
              </w:rPr>
            </w:pPr>
            <w:r>
              <w:rPr>
                <w:rFonts w:ascii="Times New Roman"/>
                <w:spacing w:val="-1"/>
                <w:sz w:val="18"/>
              </w:rPr>
              <w:t>3,445,300.00</w:t>
            </w:r>
          </w:p>
        </w:tc>
        <w:tc>
          <w:tcPr>
            <w:tcW w:w="1971" w:type="dxa"/>
            <w:tcBorders>
              <w:top w:val="nil" w:sz="6" w:space="0" w:color="auto"/>
              <w:left w:val="single" w:sz="4" w:space="0" w:color="000000"/>
              <w:bottom w:val="nil" w:sz="6" w:space="0" w:color="auto"/>
              <w:right w:val="single" w:sz="4" w:space="0" w:color="000000"/>
            </w:tcBorders>
          </w:tcPr>
          <w:p>
            <w:pPr>
              <w:pStyle w:val="TableParagraph"/>
              <w:spacing w:line="149" w:lineRule="exact"/>
              <w:ind w:right="101"/>
              <w:jc w:val="right"/>
              <w:rPr>
                <w:rFonts w:ascii="Times New Roman" w:hAnsi="Times New Roman" w:cs="Times New Roman" w:eastAsia="Times New Roman" w:hint="default"/>
                <w:sz w:val="18"/>
                <w:szCs w:val="18"/>
              </w:rPr>
            </w:pPr>
            <w:r>
              <w:rPr>
                <w:rFonts w:ascii="Times New Roman"/>
                <w:spacing w:val="-1"/>
                <w:sz w:val="18"/>
              </w:rPr>
              <w:t>1,901,200.00</w:t>
            </w:r>
          </w:p>
        </w:tc>
        <w:tc>
          <w:tcPr>
            <w:tcW w:w="2196" w:type="dxa"/>
            <w:tcBorders>
              <w:top w:val="nil" w:sz="6" w:space="0" w:color="auto"/>
              <w:left w:val="single" w:sz="4" w:space="0" w:color="000000"/>
              <w:bottom w:val="nil" w:sz="6" w:space="0" w:color="auto"/>
              <w:right w:val="nil" w:sz="6" w:space="0" w:color="auto"/>
            </w:tcBorders>
          </w:tcPr>
          <w:p>
            <w:pPr>
              <w:pStyle w:val="TableParagraph"/>
              <w:spacing w:line="138" w:lineRule="exact"/>
              <w:ind w:left="10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2" w:hRule="exact"/>
        </w:trPr>
        <w:tc>
          <w:tcPr>
            <w:tcW w:w="2631" w:type="dxa"/>
            <w:tcBorders>
              <w:top w:val="nil" w:sz="6" w:space="0" w:color="auto"/>
              <w:left w:val="nil" w:sz="6" w:space="0" w:color="auto"/>
              <w:bottom w:val="nil" w:sz="6" w:space="0" w:color="auto"/>
              <w:right w:val="nil" w:sz="6" w:space="0" w:color="auto"/>
            </w:tcBorders>
          </w:tcPr>
          <w:p>
            <w:pPr/>
          </w:p>
        </w:tc>
        <w:tc>
          <w:tcPr>
            <w:tcW w:w="1970" w:type="dxa"/>
            <w:tcBorders>
              <w:top w:val="nil" w:sz="6" w:space="0" w:color="auto"/>
              <w:left w:val="nil" w:sz="6" w:space="0" w:color="auto"/>
              <w:bottom w:val="nil" w:sz="6" w:space="0" w:color="auto"/>
              <w:right w:val="single" w:sz="4" w:space="0" w:color="000000"/>
            </w:tcBorders>
          </w:tcPr>
          <w:p>
            <w:pPr/>
          </w:p>
        </w:tc>
        <w:tc>
          <w:tcPr>
            <w:tcW w:w="1971" w:type="dxa"/>
            <w:tcBorders>
              <w:top w:val="nil" w:sz="6" w:space="0" w:color="auto"/>
              <w:left w:val="single" w:sz="4" w:space="0" w:color="000000"/>
              <w:bottom w:val="nil" w:sz="6" w:space="0" w:color="auto"/>
              <w:right w:val="single" w:sz="4" w:space="0" w:color="000000"/>
            </w:tcBorders>
          </w:tcPr>
          <w:p>
            <w:pPr/>
          </w:p>
        </w:tc>
        <w:tc>
          <w:tcPr>
            <w:tcW w:w="2196" w:type="dxa"/>
            <w:tcBorders>
              <w:top w:val="nil" w:sz="6" w:space="0" w:color="auto"/>
              <w:left w:val="single" w:sz="4" w:space="0" w:color="000000"/>
              <w:bottom w:val="nil" w:sz="6" w:space="0" w:color="auto"/>
              <w:right w:val="nil" w:sz="6" w:space="0" w:color="auto"/>
            </w:tcBorders>
          </w:tcPr>
          <w:p>
            <w:pPr/>
          </w:p>
        </w:tc>
      </w:tr>
      <w:tr>
        <w:trPr>
          <w:trHeight w:val="201" w:hRule="exact"/>
        </w:trPr>
        <w:tc>
          <w:tcPr>
            <w:tcW w:w="2631" w:type="dxa"/>
            <w:tcBorders>
              <w:top w:val="nil" w:sz="6" w:space="0" w:color="auto"/>
              <w:left w:val="nil" w:sz="6" w:space="0" w:color="auto"/>
              <w:bottom w:val="nil" w:sz="6" w:space="0" w:color="auto"/>
              <w:right w:val="nil" w:sz="6" w:space="0" w:color="auto"/>
            </w:tcBorders>
          </w:tcPr>
          <w:p>
            <w:pPr>
              <w:pStyle w:val="TableParagraph"/>
              <w:spacing w:line="152" w:lineRule="exact"/>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年外经贸转型升级</w:t>
            </w:r>
          </w:p>
        </w:tc>
        <w:tc>
          <w:tcPr>
            <w:tcW w:w="1970" w:type="dxa"/>
            <w:tcBorders>
              <w:top w:val="nil" w:sz="6" w:space="0" w:color="auto"/>
              <w:left w:val="nil" w:sz="6" w:space="0" w:color="auto"/>
              <w:bottom w:val="nil" w:sz="6" w:space="0" w:color="auto"/>
              <w:right w:val="single" w:sz="4" w:space="0" w:color="000000"/>
            </w:tcBorders>
          </w:tcPr>
          <w:p>
            <w:pPr/>
          </w:p>
        </w:tc>
        <w:tc>
          <w:tcPr>
            <w:tcW w:w="1971" w:type="dxa"/>
            <w:tcBorders>
              <w:top w:val="nil" w:sz="6" w:space="0" w:color="auto"/>
              <w:left w:val="single" w:sz="4" w:space="0" w:color="000000"/>
              <w:bottom w:val="nil" w:sz="6" w:space="0" w:color="auto"/>
              <w:right w:val="single" w:sz="4" w:space="0" w:color="000000"/>
            </w:tcBorders>
          </w:tcPr>
          <w:p>
            <w:pPr>
              <w:pStyle w:val="TableParagraph"/>
              <w:spacing w:line="147" w:lineRule="exact"/>
              <w:ind w:right="100"/>
              <w:jc w:val="right"/>
              <w:rPr>
                <w:rFonts w:ascii="Times New Roman" w:hAnsi="Times New Roman" w:cs="Times New Roman" w:eastAsia="Times New Roman" w:hint="default"/>
                <w:sz w:val="18"/>
                <w:szCs w:val="18"/>
              </w:rPr>
            </w:pPr>
            <w:r>
              <w:rPr>
                <w:rFonts w:ascii="Times New Roman"/>
                <w:spacing w:val="-1"/>
                <w:sz w:val="18"/>
              </w:rPr>
              <w:t>450,000.00</w:t>
            </w:r>
          </w:p>
        </w:tc>
        <w:tc>
          <w:tcPr>
            <w:tcW w:w="2196" w:type="dxa"/>
            <w:tcBorders>
              <w:top w:val="nil" w:sz="6" w:space="0" w:color="auto"/>
              <w:left w:val="single" w:sz="4" w:space="0" w:color="000000"/>
              <w:bottom w:val="nil" w:sz="6" w:space="0" w:color="auto"/>
              <w:right w:val="nil" w:sz="6" w:space="0" w:color="auto"/>
            </w:tcBorders>
          </w:tcPr>
          <w:p>
            <w:pPr>
              <w:pStyle w:val="TableParagraph"/>
              <w:spacing w:line="138" w:lineRule="exact"/>
              <w:ind w:left="10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2" w:hRule="exact"/>
        </w:trPr>
        <w:tc>
          <w:tcPr>
            <w:tcW w:w="2631" w:type="dxa"/>
            <w:tcBorders>
              <w:top w:val="nil" w:sz="6" w:space="0" w:color="auto"/>
              <w:left w:val="nil" w:sz="6" w:space="0" w:color="auto"/>
              <w:bottom w:val="nil" w:sz="6" w:space="0" w:color="auto"/>
              <w:right w:val="nil" w:sz="6" w:space="0" w:color="auto"/>
            </w:tcBorders>
          </w:tcPr>
          <w:p>
            <w:pPr/>
          </w:p>
        </w:tc>
        <w:tc>
          <w:tcPr>
            <w:tcW w:w="1970" w:type="dxa"/>
            <w:tcBorders>
              <w:top w:val="nil" w:sz="6" w:space="0" w:color="auto"/>
              <w:left w:val="nil" w:sz="6" w:space="0" w:color="auto"/>
              <w:bottom w:val="nil" w:sz="6" w:space="0" w:color="auto"/>
              <w:right w:val="single" w:sz="4" w:space="0" w:color="000000"/>
            </w:tcBorders>
          </w:tcPr>
          <w:p>
            <w:pPr/>
          </w:p>
        </w:tc>
        <w:tc>
          <w:tcPr>
            <w:tcW w:w="1971" w:type="dxa"/>
            <w:tcBorders>
              <w:top w:val="nil" w:sz="6" w:space="0" w:color="auto"/>
              <w:left w:val="single" w:sz="4" w:space="0" w:color="000000"/>
              <w:bottom w:val="nil" w:sz="6" w:space="0" w:color="auto"/>
              <w:right w:val="single" w:sz="4" w:space="0" w:color="000000"/>
            </w:tcBorders>
          </w:tcPr>
          <w:p>
            <w:pPr/>
          </w:p>
        </w:tc>
        <w:tc>
          <w:tcPr>
            <w:tcW w:w="2196" w:type="dxa"/>
            <w:tcBorders>
              <w:top w:val="nil" w:sz="6" w:space="0" w:color="auto"/>
              <w:left w:val="single" w:sz="4" w:space="0" w:color="000000"/>
              <w:bottom w:val="nil" w:sz="6" w:space="0" w:color="auto"/>
              <w:right w:val="nil" w:sz="6" w:space="0" w:color="auto"/>
            </w:tcBorders>
          </w:tcPr>
          <w:p>
            <w:pPr/>
          </w:p>
        </w:tc>
      </w:tr>
      <w:tr>
        <w:trPr>
          <w:trHeight w:val="203" w:hRule="exact"/>
        </w:trPr>
        <w:tc>
          <w:tcPr>
            <w:tcW w:w="2631" w:type="dxa"/>
            <w:tcBorders>
              <w:top w:val="nil" w:sz="6" w:space="0" w:color="auto"/>
              <w:left w:val="nil" w:sz="6" w:space="0" w:color="auto"/>
              <w:bottom w:val="nil" w:sz="6" w:space="0" w:color="auto"/>
              <w:right w:val="nil" w:sz="6" w:space="0" w:color="auto"/>
            </w:tcBorders>
          </w:tcPr>
          <w:p>
            <w:pPr>
              <w:pStyle w:val="TableParagraph"/>
              <w:spacing w:line="138" w:lineRule="exact"/>
              <w:ind w:left="122" w:right="0"/>
              <w:jc w:val="left"/>
              <w:rPr>
                <w:rFonts w:ascii="宋体" w:hAnsi="宋体" w:cs="宋体" w:eastAsia="宋体" w:hint="default"/>
                <w:sz w:val="18"/>
                <w:szCs w:val="18"/>
              </w:rPr>
            </w:pPr>
            <w:r>
              <w:rPr>
                <w:rFonts w:ascii="宋体" w:hAnsi="宋体" w:cs="宋体" w:eastAsia="宋体" w:hint="default"/>
                <w:sz w:val="18"/>
                <w:szCs w:val="18"/>
              </w:rPr>
              <w:t>研发项目补助</w:t>
            </w:r>
          </w:p>
        </w:tc>
        <w:tc>
          <w:tcPr>
            <w:tcW w:w="1970" w:type="dxa"/>
            <w:tcBorders>
              <w:top w:val="nil" w:sz="6" w:space="0" w:color="auto"/>
              <w:left w:val="nil" w:sz="6" w:space="0" w:color="auto"/>
              <w:bottom w:val="nil" w:sz="6" w:space="0" w:color="auto"/>
              <w:right w:val="single" w:sz="4" w:space="0" w:color="000000"/>
            </w:tcBorders>
          </w:tcPr>
          <w:p>
            <w:pPr>
              <w:pStyle w:val="TableParagraph"/>
              <w:spacing w:line="149" w:lineRule="exact"/>
              <w:ind w:right="103"/>
              <w:jc w:val="right"/>
              <w:rPr>
                <w:rFonts w:ascii="Times New Roman" w:hAnsi="Times New Roman" w:cs="Times New Roman" w:eastAsia="Times New Roman" w:hint="default"/>
                <w:sz w:val="18"/>
                <w:szCs w:val="18"/>
              </w:rPr>
            </w:pPr>
            <w:r>
              <w:rPr>
                <w:rFonts w:ascii="Times New Roman"/>
                <w:spacing w:val="-1"/>
                <w:sz w:val="18"/>
              </w:rPr>
              <w:t>6,723,000.00</w:t>
            </w:r>
          </w:p>
        </w:tc>
        <w:tc>
          <w:tcPr>
            <w:tcW w:w="1971" w:type="dxa"/>
            <w:tcBorders>
              <w:top w:val="nil" w:sz="6" w:space="0" w:color="auto"/>
              <w:left w:val="single" w:sz="4" w:space="0" w:color="000000"/>
              <w:bottom w:val="nil" w:sz="6" w:space="0" w:color="auto"/>
              <w:right w:val="single" w:sz="4" w:space="0" w:color="000000"/>
            </w:tcBorders>
          </w:tcPr>
          <w:p>
            <w:pPr>
              <w:pStyle w:val="TableParagraph"/>
              <w:spacing w:line="149" w:lineRule="exact"/>
              <w:ind w:right="100"/>
              <w:jc w:val="right"/>
              <w:rPr>
                <w:rFonts w:ascii="Times New Roman" w:hAnsi="Times New Roman" w:cs="Times New Roman" w:eastAsia="Times New Roman" w:hint="default"/>
                <w:sz w:val="18"/>
                <w:szCs w:val="18"/>
              </w:rPr>
            </w:pPr>
            <w:r>
              <w:rPr>
                <w:rFonts w:ascii="Times New Roman"/>
                <w:spacing w:val="-1"/>
                <w:sz w:val="18"/>
              </w:rPr>
              <w:t>877,000.00</w:t>
            </w:r>
          </w:p>
        </w:tc>
        <w:tc>
          <w:tcPr>
            <w:tcW w:w="2196" w:type="dxa"/>
            <w:tcBorders>
              <w:top w:val="nil" w:sz="6" w:space="0" w:color="auto"/>
              <w:left w:val="single" w:sz="4" w:space="0" w:color="000000"/>
              <w:bottom w:val="nil" w:sz="6" w:space="0" w:color="auto"/>
              <w:right w:val="nil" w:sz="6" w:space="0" w:color="auto"/>
            </w:tcBorders>
          </w:tcPr>
          <w:p>
            <w:pPr>
              <w:pStyle w:val="TableParagraph"/>
              <w:spacing w:line="138" w:lineRule="exact"/>
              <w:ind w:left="10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9" w:hRule="exact"/>
        </w:trPr>
        <w:tc>
          <w:tcPr>
            <w:tcW w:w="2631" w:type="dxa"/>
            <w:tcBorders>
              <w:top w:val="nil" w:sz="6" w:space="0" w:color="auto"/>
              <w:left w:val="nil" w:sz="6" w:space="0" w:color="auto"/>
              <w:bottom w:val="nil" w:sz="6" w:space="0" w:color="auto"/>
              <w:right w:val="nil" w:sz="6" w:space="0" w:color="auto"/>
            </w:tcBorders>
          </w:tcPr>
          <w:p>
            <w:pPr/>
          </w:p>
        </w:tc>
        <w:tc>
          <w:tcPr>
            <w:tcW w:w="1970" w:type="dxa"/>
            <w:tcBorders>
              <w:top w:val="nil" w:sz="6" w:space="0" w:color="auto"/>
              <w:left w:val="nil" w:sz="6" w:space="0" w:color="auto"/>
              <w:bottom w:val="nil" w:sz="6" w:space="0" w:color="auto"/>
              <w:right w:val="single" w:sz="4" w:space="0" w:color="000000"/>
            </w:tcBorders>
          </w:tcPr>
          <w:p>
            <w:pPr/>
          </w:p>
        </w:tc>
        <w:tc>
          <w:tcPr>
            <w:tcW w:w="1971" w:type="dxa"/>
            <w:tcBorders>
              <w:top w:val="nil" w:sz="6" w:space="0" w:color="auto"/>
              <w:left w:val="single" w:sz="4" w:space="0" w:color="000000"/>
              <w:bottom w:val="nil" w:sz="6" w:space="0" w:color="auto"/>
              <w:right w:val="single" w:sz="4" w:space="0" w:color="000000"/>
            </w:tcBorders>
          </w:tcPr>
          <w:p>
            <w:pPr/>
          </w:p>
        </w:tc>
        <w:tc>
          <w:tcPr>
            <w:tcW w:w="2196" w:type="dxa"/>
            <w:tcBorders>
              <w:top w:val="nil" w:sz="6" w:space="0" w:color="auto"/>
              <w:left w:val="single" w:sz="4" w:space="0" w:color="000000"/>
              <w:bottom w:val="nil" w:sz="6" w:space="0" w:color="auto"/>
              <w:right w:val="nil" w:sz="6" w:space="0" w:color="auto"/>
            </w:tcBorders>
          </w:tcPr>
          <w:p>
            <w:pPr/>
          </w:p>
        </w:tc>
      </w:tr>
      <w:tr>
        <w:trPr>
          <w:trHeight w:val="203" w:hRule="exact"/>
        </w:trPr>
        <w:tc>
          <w:tcPr>
            <w:tcW w:w="2631" w:type="dxa"/>
            <w:tcBorders>
              <w:top w:val="nil" w:sz="6" w:space="0" w:color="auto"/>
              <w:left w:val="nil" w:sz="6" w:space="0" w:color="auto"/>
              <w:bottom w:val="nil" w:sz="6" w:space="0" w:color="auto"/>
              <w:right w:val="nil" w:sz="6" w:space="0" w:color="auto"/>
            </w:tcBorders>
          </w:tcPr>
          <w:p>
            <w:pPr>
              <w:pStyle w:val="TableParagraph"/>
              <w:spacing w:line="154" w:lineRule="exact"/>
              <w:ind w:left="122" w:right="0"/>
              <w:jc w:val="left"/>
              <w:rPr>
                <w:rFonts w:ascii="宋体" w:hAnsi="宋体" w:cs="宋体" w:eastAsia="宋体" w:hint="default"/>
                <w:sz w:val="18"/>
                <w:szCs w:val="18"/>
              </w:rPr>
            </w:pPr>
            <w:r>
              <w:rPr>
                <w:rFonts w:ascii="宋体" w:hAnsi="宋体" w:cs="宋体" w:eastAsia="宋体" w:hint="default"/>
                <w:sz w:val="18"/>
                <w:szCs w:val="18"/>
              </w:rPr>
              <w:t>江苏省</w:t>
            </w:r>
            <w:r>
              <w:rPr>
                <w:rFonts w:ascii="Times New Roman" w:hAnsi="Times New Roman" w:cs="Times New Roman" w:eastAsia="Times New Roman" w:hint="default"/>
                <w:sz w:val="18"/>
                <w:szCs w:val="18"/>
              </w:rPr>
              <w:t>“</w:t>
            </w:r>
            <w:r>
              <w:rPr>
                <w:rFonts w:ascii="宋体" w:hAnsi="宋体" w:cs="宋体" w:eastAsia="宋体" w:hint="default"/>
                <w:sz w:val="18"/>
                <w:szCs w:val="18"/>
              </w:rPr>
              <w:t>双创计划</w:t>
            </w:r>
            <w:r>
              <w:rPr>
                <w:rFonts w:ascii="Times New Roman" w:hAnsi="Times New Roman" w:cs="Times New Roman" w:eastAsia="Times New Roman" w:hint="default"/>
                <w:sz w:val="18"/>
                <w:szCs w:val="18"/>
              </w:rPr>
              <w:t>”</w:t>
            </w:r>
            <w:r>
              <w:rPr>
                <w:rFonts w:ascii="宋体" w:hAnsi="宋体" w:cs="宋体" w:eastAsia="宋体" w:hint="default"/>
                <w:sz w:val="18"/>
                <w:szCs w:val="18"/>
              </w:rPr>
              <w:t>资助</w:t>
            </w:r>
          </w:p>
        </w:tc>
        <w:tc>
          <w:tcPr>
            <w:tcW w:w="1970" w:type="dxa"/>
            <w:tcBorders>
              <w:top w:val="nil" w:sz="6" w:space="0" w:color="auto"/>
              <w:left w:val="nil" w:sz="6" w:space="0" w:color="auto"/>
              <w:bottom w:val="nil" w:sz="6" w:space="0" w:color="auto"/>
              <w:right w:val="single" w:sz="4" w:space="0" w:color="000000"/>
            </w:tcBorders>
          </w:tcPr>
          <w:p>
            <w:pPr/>
          </w:p>
        </w:tc>
        <w:tc>
          <w:tcPr>
            <w:tcW w:w="1971" w:type="dxa"/>
            <w:tcBorders>
              <w:top w:val="nil" w:sz="6" w:space="0" w:color="auto"/>
              <w:left w:val="single" w:sz="4" w:space="0" w:color="000000"/>
              <w:bottom w:val="nil" w:sz="6" w:space="0" w:color="auto"/>
              <w:right w:val="single" w:sz="4" w:space="0" w:color="000000"/>
            </w:tcBorders>
          </w:tcPr>
          <w:p>
            <w:pPr>
              <w:pStyle w:val="TableParagraph"/>
              <w:spacing w:line="149" w:lineRule="exact"/>
              <w:ind w:right="101"/>
              <w:jc w:val="right"/>
              <w:rPr>
                <w:rFonts w:ascii="Times New Roman" w:hAnsi="Times New Roman" w:cs="Times New Roman" w:eastAsia="Times New Roman" w:hint="default"/>
                <w:sz w:val="18"/>
                <w:szCs w:val="18"/>
              </w:rPr>
            </w:pPr>
            <w:r>
              <w:rPr>
                <w:rFonts w:ascii="Times New Roman"/>
                <w:spacing w:val="-1"/>
                <w:sz w:val="18"/>
              </w:rPr>
              <w:t>1,550,000.00</w:t>
            </w:r>
          </w:p>
        </w:tc>
        <w:tc>
          <w:tcPr>
            <w:tcW w:w="2196" w:type="dxa"/>
            <w:tcBorders>
              <w:top w:val="nil" w:sz="6" w:space="0" w:color="auto"/>
              <w:left w:val="single" w:sz="4" w:space="0" w:color="000000"/>
              <w:bottom w:val="nil" w:sz="6" w:space="0" w:color="auto"/>
              <w:right w:val="nil" w:sz="6" w:space="0" w:color="auto"/>
            </w:tcBorders>
          </w:tcPr>
          <w:p>
            <w:pPr>
              <w:pStyle w:val="TableParagraph"/>
              <w:spacing w:line="141" w:lineRule="exact"/>
              <w:ind w:left="10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2" w:hRule="exact"/>
        </w:trPr>
        <w:tc>
          <w:tcPr>
            <w:tcW w:w="2631" w:type="dxa"/>
            <w:tcBorders>
              <w:top w:val="nil" w:sz="6" w:space="0" w:color="auto"/>
              <w:left w:val="nil" w:sz="6" w:space="0" w:color="auto"/>
              <w:bottom w:val="nil" w:sz="6" w:space="0" w:color="auto"/>
              <w:right w:val="nil" w:sz="6" w:space="0" w:color="auto"/>
            </w:tcBorders>
          </w:tcPr>
          <w:p>
            <w:pPr/>
          </w:p>
        </w:tc>
        <w:tc>
          <w:tcPr>
            <w:tcW w:w="1970" w:type="dxa"/>
            <w:tcBorders>
              <w:top w:val="nil" w:sz="6" w:space="0" w:color="auto"/>
              <w:left w:val="nil" w:sz="6" w:space="0" w:color="auto"/>
              <w:bottom w:val="nil" w:sz="6" w:space="0" w:color="auto"/>
              <w:right w:val="single" w:sz="4" w:space="0" w:color="000000"/>
            </w:tcBorders>
          </w:tcPr>
          <w:p>
            <w:pPr/>
          </w:p>
        </w:tc>
        <w:tc>
          <w:tcPr>
            <w:tcW w:w="1971" w:type="dxa"/>
            <w:tcBorders>
              <w:top w:val="nil" w:sz="6" w:space="0" w:color="auto"/>
              <w:left w:val="single" w:sz="4" w:space="0" w:color="000000"/>
              <w:bottom w:val="nil" w:sz="6" w:space="0" w:color="auto"/>
              <w:right w:val="single" w:sz="4" w:space="0" w:color="000000"/>
            </w:tcBorders>
          </w:tcPr>
          <w:p>
            <w:pPr/>
          </w:p>
        </w:tc>
        <w:tc>
          <w:tcPr>
            <w:tcW w:w="2196" w:type="dxa"/>
            <w:tcBorders>
              <w:top w:val="nil" w:sz="6" w:space="0" w:color="auto"/>
              <w:left w:val="single" w:sz="4" w:space="0" w:color="000000"/>
              <w:bottom w:val="nil" w:sz="6" w:space="0" w:color="auto"/>
              <w:right w:val="nil" w:sz="6" w:space="0" w:color="auto"/>
            </w:tcBorders>
          </w:tcPr>
          <w:p>
            <w:pPr/>
          </w:p>
        </w:tc>
      </w:tr>
      <w:tr>
        <w:trPr>
          <w:trHeight w:val="203" w:hRule="exact"/>
        </w:trPr>
        <w:tc>
          <w:tcPr>
            <w:tcW w:w="2631" w:type="dxa"/>
            <w:tcBorders>
              <w:top w:val="nil" w:sz="6" w:space="0" w:color="auto"/>
              <w:left w:val="nil" w:sz="6" w:space="0" w:color="auto"/>
              <w:bottom w:val="nil" w:sz="6" w:space="0" w:color="auto"/>
              <w:right w:val="nil" w:sz="6" w:space="0" w:color="auto"/>
            </w:tcBorders>
          </w:tcPr>
          <w:p>
            <w:pPr>
              <w:pStyle w:val="TableParagraph"/>
              <w:spacing w:line="138" w:lineRule="exact"/>
              <w:ind w:left="122" w:right="0"/>
              <w:jc w:val="left"/>
              <w:rPr>
                <w:rFonts w:ascii="宋体" w:hAnsi="宋体" w:cs="宋体" w:eastAsia="宋体" w:hint="default"/>
                <w:sz w:val="18"/>
                <w:szCs w:val="18"/>
              </w:rPr>
            </w:pPr>
            <w:r>
              <w:rPr>
                <w:rFonts w:ascii="宋体" w:hAnsi="宋体" w:cs="宋体" w:eastAsia="宋体" w:hint="default"/>
                <w:sz w:val="18"/>
                <w:szCs w:val="18"/>
              </w:rPr>
              <w:t>智能表生产线项目</w:t>
            </w:r>
          </w:p>
        </w:tc>
        <w:tc>
          <w:tcPr>
            <w:tcW w:w="1970" w:type="dxa"/>
            <w:tcBorders>
              <w:top w:val="nil" w:sz="6" w:space="0" w:color="auto"/>
              <w:left w:val="nil" w:sz="6" w:space="0" w:color="auto"/>
              <w:bottom w:val="nil" w:sz="6" w:space="0" w:color="auto"/>
              <w:right w:val="single" w:sz="4" w:space="0" w:color="000000"/>
            </w:tcBorders>
          </w:tcPr>
          <w:p>
            <w:pPr>
              <w:pStyle w:val="TableParagraph"/>
              <w:spacing w:line="149" w:lineRule="exact"/>
              <w:ind w:right="103"/>
              <w:jc w:val="right"/>
              <w:rPr>
                <w:rFonts w:ascii="Times New Roman" w:hAnsi="Times New Roman" w:cs="Times New Roman" w:eastAsia="Times New Roman" w:hint="default"/>
                <w:sz w:val="18"/>
                <w:szCs w:val="18"/>
              </w:rPr>
            </w:pPr>
            <w:r>
              <w:rPr>
                <w:rFonts w:ascii="Times New Roman"/>
                <w:spacing w:val="-1"/>
                <w:sz w:val="18"/>
              </w:rPr>
              <w:t>500,000.04</w:t>
            </w:r>
          </w:p>
        </w:tc>
        <w:tc>
          <w:tcPr>
            <w:tcW w:w="1971" w:type="dxa"/>
            <w:tcBorders>
              <w:top w:val="nil" w:sz="6" w:space="0" w:color="auto"/>
              <w:left w:val="single" w:sz="4" w:space="0" w:color="000000"/>
              <w:bottom w:val="nil" w:sz="6" w:space="0" w:color="auto"/>
              <w:right w:val="single" w:sz="4" w:space="0" w:color="000000"/>
            </w:tcBorders>
          </w:tcPr>
          <w:p>
            <w:pPr>
              <w:pStyle w:val="TableParagraph"/>
              <w:spacing w:line="149" w:lineRule="exact"/>
              <w:ind w:right="100"/>
              <w:jc w:val="right"/>
              <w:rPr>
                <w:rFonts w:ascii="Times New Roman" w:hAnsi="Times New Roman" w:cs="Times New Roman" w:eastAsia="Times New Roman" w:hint="default"/>
                <w:sz w:val="18"/>
                <w:szCs w:val="18"/>
              </w:rPr>
            </w:pPr>
            <w:r>
              <w:rPr>
                <w:rFonts w:ascii="Times New Roman"/>
                <w:spacing w:val="-1"/>
                <w:sz w:val="18"/>
              </w:rPr>
              <w:t>500,000.04</w:t>
            </w:r>
          </w:p>
        </w:tc>
        <w:tc>
          <w:tcPr>
            <w:tcW w:w="2196" w:type="dxa"/>
            <w:tcBorders>
              <w:top w:val="nil" w:sz="6" w:space="0" w:color="auto"/>
              <w:left w:val="single" w:sz="4" w:space="0" w:color="000000"/>
              <w:bottom w:val="nil" w:sz="6" w:space="0" w:color="auto"/>
              <w:right w:val="nil" w:sz="6" w:space="0" w:color="auto"/>
            </w:tcBorders>
          </w:tcPr>
          <w:p>
            <w:pPr>
              <w:pStyle w:val="TableParagraph"/>
              <w:spacing w:line="138" w:lineRule="exact"/>
              <w:ind w:left="10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9" w:hRule="exact"/>
        </w:trPr>
        <w:tc>
          <w:tcPr>
            <w:tcW w:w="2631" w:type="dxa"/>
            <w:tcBorders>
              <w:top w:val="nil" w:sz="6" w:space="0" w:color="auto"/>
              <w:left w:val="nil" w:sz="6" w:space="0" w:color="auto"/>
              <w:bottom w:val="nil" w:sz="6" w:space="0" w:color="auto"/>
              <w:right w:val="nil" w:sz="6" w:space="0" w:color="auto"/>
            </w:tcBorders>
          </w:tcPr>
          <w:p>
            <w:pPr/>
          </w:p>
        </w:tc>
        <w:tc>
          <w:tcPr>
            <w:tcW w:w="1970" w:type="dxa"/>
            <w:tcBorders>
              <w:top w:val="nil" w:sz="6" w:space="0" w:color="auto"/>
              <w:left w:val="nil" w:sz="6" w:space="0" w:color="auto"/>
              <w:bottom w:val="nil" w:sz="6" w:space="0" w:color="auto"/>
              <w:right w:val="single" w:sz="4" w:space="0" w:color="000000"/>
            </w:tcBorders>
          </w:tcPr>
          <w:p>
            <w:pPr/>
          </w:p>
        </w:tc>
        <w:tc>
          <w:tcPr>
            <w:tcW w:w="1971" w:type="dxa"/>
            <w:tcBorders>
              <w:top w:val="nil" w:sz="6" w:space="0" w:color="auto"/>
              <w:left w:val="single" w:sz="4" w:space="0" w:color="000000"/>
              <w:bottom w:val="nil" w:sz="6" w:space="0" w:color="auto"/>
              <w:right w:val="single" w:sz="4" w:space="0" w:color="000000"/>
            </w:tcBorders>
          </w:tcPr>
          <w:p>
            <w:pPr/>
          </w:p>
        </w:tc>
        <w:tc>
          <w:tcPr>
            <w:tcW w:w="2196" w:type="dxa"/>
            <w:tcBorders>
              <w:top w:val="nil" w:sz="6" w:space="0" w:color="auto"/>
              <w:left w:val="single" w:sz="4" w:space="0" w:color="000000"/>
              <w:bottom w:val="nil" w:sz="6" w:space="0" w:color="auto"/>
              <w:right w:val="nil" w:sz="6" w:space="0" w:color="auto"/>
            </w:tcBorders>
          </w:tcPr>
          <w:p>
            <w:pPr/>
          </w:p>
        </w:tc>
      </w:tr>
      <w:tr>
        <w:trPr>
          <w:trHeight w:val="203" w:hRule="exact"/>
        </w:trPr>
        <w:tc>
          <w:tcPr>
            <w:tcW w:w="2631" w:type="dxa"/>
            <w:tcBorders>
              <w:top w:val="nil" w:sz="6" w:space="0" w:color="auto"/>
              <w:left w:val="nil" w:sz="6" w:space="0" w:color="auto"/>
              <w:bottom w:val="nil" w:sz="6" w:space="0" w:color="auto"/>
              <w:right w:val="nil" w:sz="6" w:space="0" w:color="auto"/>
            </w:tcBorders>
          </w:tcPr>
          <w:p>
            <w:pPr>
              <w:pStyle w:val="TableParagraph"/>
              <w:spacing w:line="141" w:lineRule="exact"/>
              <w:ind w:left="122" w:right="0"/>
              <w:jc w:val="left"/>
              <w:rPr>
                <w:rFonts w:ascii="宋体" w:hAnsi="宋体" w:cs="宋体" w:eastAsia="宋体" w:hint="default"/>
                <w:sz w:val="18"/>
                <w:szCs w:val="18"/>
              </w:rPr>
            </w:pPr>
            <w:r>
              <w:rPr>
                <w:rFonts w:ascii="宋体" w:hAnsi="宋体" w:cs="宋体" w:eastAsia="宋体" w:hint="default"/>
                <w:sz w:val="18"/>
                <w:szCs w:val="18"/>
              </w:rPr>
              <w:t>金太阳示范工程摊销</w:t>
            </w:r>
          </w:p>
        </w:tc>
        <w:tc>
          <w:tcPr>
            <w:tcW w:w="1970" w:type="dxa"/>
            <w:tcBorders>
              <w:top w:val="nil" w:sz="6" w:space="0" w:color="auto"/>
              <w:left w:val="nil" w:sz="6" w:space="0" w:color="auto"/>
              <w:bottom w:val="nil" w:sz="6" w:space="0" w:color="auto"/>
              <w:right w:val="single" w:sz="4" w:space="0" w:color="000000"/>
            </w:tcBorders>
          </w:tcPr>
          <w:p>
            <w:pPr>
              <w:pStyle w:val="TableParagraph"/>
              <w:spacing w:line="149" w:lineRule="exact"/>
              <w:ind w:right="103"/>
              <w:jc w:val="right"/>
              <w:rPr>
                <w:rFonts w:ascii="Times New Roman" w:hAnsi="Times New Roman" w:cs="Times New Roman" w:eastAsia="Times New Roman" w:hint="default"/>
                <w:sz w:val="18"/>
                <w:szCs w:val="18"/>
              </w:rPr>
            </w:pPr>
            <w:r>
              <w:rPr>
                <w:rFonts w:ascii="Times New Roman"/>
                <w:spacing w:val="-1"/>
                <w:sz w:val="18"/>
              </w:rPr>
              <w:t>404,531.88</w:t>
            </w:r>
          </w:p>
        </w:tc>
        <w:tc>
          <w:tcPr>
            <w:tcW w:w="1971" w:type="dxa"/>
            <w:tcBorders>
              <w:top w:val="nil" w:sz="6" w:space="0" w:color="auto"/>
              <w:left w:val="single" w:sz="4" w:space="0" w:color="000000"/>
              <w:bottom w:val="nil" w:sz="6" w:space="0" w:color="auto"/>
              <w:right w:val="single" w:sz="4" w:space="0" w:color="000000"/>
            </w:tcBorders>
          </w:tcPr>
          <w:p>
            <w:pPr>
              <w:pStyle w:val="TableParagraph"/>
              <w:spacing w:line="149" w:lineRule="exact"/>
              <w:ind w:right="100"/>
              <w:jc w:val="right"/>
              <w:rPr>
                <w:rFonts w:ascii="Times New Roman" w:hAnsi="Times New Roman" w:cs="Times New Roman" w:eastAsia="Times New Roman" w:hint="default"/>
                <w:sz w:val="18"/>
                <w:szCs w:val="18"/>
              </w:rPr>
            </w:pPr>
            <w:r>
              <w:rPr>
                <w:rFonts w:ascii="Times New Roman"/>
                <w:spacing w:val="-1"/>
                <w:sz w:val="18"/>
              </w:rPr>
              <w:t>404,531.88</w:t>
            </w:r>
          </w:p>
        </w:tc>
        <w:tc>
          <w:tcPr>
            <w:tcW w:w="2196" w:type="dxa"/>
            <w:tcBorders>
              <w:top w:val="nil" w:sz="6" w:space="0" w:color="auto"/>
              <w:left w:val="single" w:sz="4" w:space="0" w:color="000000"/>
              <w:bottom w:val="nil" w:sz="6" w:space="0" w:color="auto"/>
              <w:right w:val="nil" w:sz="6" w:space="0" w:color="auto"/>
            </w:tcBorders>
          </w:tcPr>
          <w:p>
            <w:pPr>
              <w:pStyle w:val="TableParagraph"/>
              <w:spacing w:line="141" w:lineRule="exact"/>
              <w:ind w:left="10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2" w:hRule="exact"/>
        </w:trPr>
        <w:tc>
          <w:tcPr>
            <w:tcW w:w="2631" w:type="dxa"/>
            <w:tcBorders>
              <w:top w:val="nil" w:sz="6" w:space="0" w:color="auto"/>
              <w:left w:val="nil" w:sz="6" w:space="0" w:color="auto"/>
              <w:bottom w:val="nil" w:sz="6" w:space="0" w:color="auto"/>
              <w:right w:val="nil" w:sz="6" w:space="0" w:color="auto"/>
            </w:tcBorders>
          </w:tcPr>
          <w:p>
            <w:pPr/>
          </w:p>
        </w:tc>
        <w:tc>
          <w:tcPr>
            <w:tcW w:w="1970" w:type="dxa"/>
            <w:tcBorders>
              <w:top w:val="nil" w:sz="6" w:space="0" w:color="auto"/>
              <w:left w:val="nil" w:sz="6" w:space="0" w:color="auto"/>
              <w:bottom w:val="nil" w:sz="6" w:space="0" w:color="auto"/>
              <w:right w:val="single" w:sz="4" w:space="0" w:color="000000"/>
            </w:tcBorders>
          </w:tcPr>
          <w:p>
            <w:pPr/>
          </w:p>
        </w:tc>
        <w:tc>
          <w:tcPr>
            <w:tcW w:w="1971" w:type="dxa"/>
            <w:tcBorders>
              <w:top w:val="nil" w:sz="6" w:space="0" w:color="auto"/>
              <w:left w:val="single" w:sz="4" w:space="0" w:color="000000"/>
              <w:bottom w:val="nil" w:sz="6" w:space="0" w:color="auto"/>
              <w:right w:val="single" w:sz="4" w:space="0" w:color="000000"/>
            </w:tcBorders>
          </w:tcPr>
          <w:p>
            <w:pPr/>
          </w:p>
        </w:tc>
        <w:tc>
          <w:tcPr>
            <w:tcW w:w="2196" w:type="dxa"/>
            <w:tcBorders>
              <w:top w:val="nil" w:sz="6" w:space="0" w:color="auto"/>
              <w:left w:val="single" w:sz="4" w:space="0" w:color="000000"/>
              <w:bottom w:val="nil" w:sz="6" w:space="0" w:color="auto"/>
              <w:right w:val="nil" w:sz="6" w:space="0" w:color="auto"/>
            </w:tcBorders>
          </w:tcPr>
          <w:p>
            <w:pPr/>
          </w:p>
        </w:tc>
      </w:tr>
      <w:tr>
        <w:trPr>
          <w:trHeight w:val="201" w:hRule="exact"/>
        </w:trPr>
        <w:tc>
          <w:tcPr>
            <w:tcW w:w="2631" w:type="dxa"/>
            <w:tcBorders>
              <w:top w:val="nil" w:sz="6" w:space="0" w:color="auto"/>
              <w:left w:val="nil" w:sz="6" w:space="0" w:color="auto"/>
              <w:bottom w:val="nil" w:sz="6" w:space="0" w:color="auto"/>
              <w:right w:val="nil" w:sz="6" w:space="0" w:color="auto"/>
            </w:tcBorders>
          </w:tcPr>
          <w:p>
            <w:pPr>
              <w:pStyle w:val="TableParagraph"/>
              <w:spacing w:line="138" w:lineRule="exact"/>
              <w:ind w:left="122" w:right="0"/>
              <w:jc w:val="left"/>
              <w:rPr>
                <w:rFonts w:ascii="宋体" w:hAnsi="宋体" w:cs="宋体" w:eastAsia="宋体" w:hint="default"/>
                <w:sz w:val="18"/>
                <w:szCs w:val="18"/>
              </w:rPr>
            </w:pPr>
            <w:r>
              <w:rPr>
                <w:rFonts w:ascii="宋体" w:hAnsi="宋体" w:cs="宋体" w:eastAsia="宋体" w:hint="default"/>
                <w:sz w:val="18"/>
                <w:szCs w:val="18"/>
              </w:rPr>
              <w:t>电价补贴</w:t>
            </w:r>
          </w:p>
        </w:tc>
        <w:tc>
          <w:tcPr>
            <w:tcW w:w="1970" w:type="dxa"/>
            <w:tcBorders>
              <w:top w:val="nil" w:sz="6" w:space="0" w:color="auto"/>
              <w:left w:val="nil" w:sz="6" w:space="0" w:color="auto"/>
              <w:bottom w:val="nil" w:sz="6" w:space="0" w:color="auto"/>
              <w:right w:val="single" w:sz="4" w:space="0" w:color="000000"/>
            </w:tcBorders>
          </w:tcPr>
          <w:p>
            <w:pPr>
              <w:pStyle w:val="TableParagraph"/>
              <w:spacing w:line="147" w:lineRule="exact"/>
              <w:ind w:right="103"/>
              <w:jc w:val="right"/>
              <w:rPr>
                <w:rFonts w:ascii="Times New Roman" w:hAnsi="Times New Roman" w:cs="Times New Roman" w:eastAsia="Times New Roman" w:hint="default"/>
                <w:sz w:val="18"/>
                <w:szCs w:val="18"/>
              </w:rPr>
            </w:pPr>
            <w:r>
              <w:rPr>
                <w:rFonts w:ascii="Times New Roman"/>
                <w:spacing w:val="-1"/>
                <w:sz w:val="18"/>
              </w:rPr>
              <w:t>6,508,149.00</w:t>
            </w:r>
          </w:p>
        </w:tc>
        <w:tc>
          <w:tcPr>
            <w:tcW w:w="1971" w:type="dxa"/>
            <w:tcBorders>
              <w:top w:val="nil" w:sz="6" w:space="0" w:color="auto"/>
              <w:left w:val="single" w:sz="4" w:space="0" w:color="000000"/>
              <w:bottom w:val="nil" w:sz="6" w:space="0" w:color="auto"/>
              <w:right w:val="single" w:sz="4" w:space="0" w:color="000000"/>
            </w:tcBorders>
          </w:tcPr>
          <w:p>
            <w:pPr/>
          </w:p>
        </w:tc>
        <w:tc>
          <w:tcPr>
            <w:tcW w:w="2196" w:type="dxa"/>
            <w:tcBorders>
              <w:top w:val="nil" w:sz="6" w:space="0" w:color="auto"/>
              <w:left w:val="single" w:sz="4" w:space="0" w:color="000000"/>
              <w:bottom w:val="nil" w:sz="6" w:space="0" w:color="auto"/>
              <w:right w:val="nil" w:sz="6" w:space="0" w:color="auto"/>
            </w:tcBorders>
          </w:tcPr>
          <w:p>
            <w:pPr>
              <w:pStyle w:val="TableParagraph"/>
              <w:spacing w:line="138" w:lineRule="exact"/>
              <w:ind w:left="10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2" w:hRule="exact"/>
        </w:trPr>
        <w:tc>
          <w:tcPr>
            <w:tcW w:w="2631" w:type="dxa"/>
            <w:tcBorders>
              <w:top w:val="nil" w:sz="6" w:space="0" w:color="auto"/>
              <w:left w:val="nil" w:sz="6" w:space="0" w:color="auto"/>
              <w:bottom w:val="nil" w:sz="6" w:space="0" w:color="auto"/>
              <w:right w:val="nil" w:sz="6" w:space="0" w:color="auto"/>
            </w:tcBorders>
          </w:tcPr>
          <w:p>
            <w:pPr/>
          </w:p>
        </w:tc>
        <w:tc>
          <w:tcPr>
            <w:tcW w:w="1970" w:type="dxa"/>
            <w:tcBorders>
              <w:top w:val="nil" w:sz="6" w:space="0" w:color="auto"/>
              <w:left w:val="nil" w:sz="6" w:space="0" w:color="auto"/>
              <w:bottom w:val="nil" w:sz="6" w:space="0" w:color="auto"/>
              <w:right w:val="single" w:sz="4" w:space="0" w:color="000000"/>
            </w:tcBorders>
          </w:tcPr>
          <w:p>
            <w:pPr/>
          </w:p>
        </w:tc>
        <w:tc>
          <w:tcPr>
            <w:tcW w:w="1971" w:type="dxa"/>
            <w:tcBorders>
              <w:top w:val="nil" w:sz="6" w:space="0" w:color="auto"/>
              <w:left w:val="single" w:sz="4" w:space="0" w:color="000000"/>
              <w:bottom w:val="nil" w:sz="6" w:space="0" w:color="auto"/>
              <w:right w:val="single" w:sz="4" w:space="0" w:color="000000"/>
            </w:tcBorders>
          </w:tcPr>
          <w:p>
            <w:pPr/>
          </w:p>
        </w:tc>
        <w:tc>
          <w:tcPr>
            <w:tcW w:w="2196" w:type="dxa"/>
            <w:tcBorders>
              <w:top w:val="nil" w:sz="6" w:space="0" w:color="auto"/>
              <w:left w:val="single" w:sz="4" w:space="0" w:color="000000"/>
              <w:bottom w:val="nil" w:sz="6" w:space="0" w:color="auto"/>
              <w:right w:val="nil" w:sz="6" w:space="0" w:color="auto"/>
            </w:tcBorders>
          </w:tcPr>
          <w:p>
            <w:pPr/>
          </w:p>
        </w:tc>
      </w:tr>
      <w:tr>
        <w:trPr>
          <w:trHeight w:val="203" w:hRule="exact"/>
        </w:trPr>
        <w:tc>
          <w:tcPr>
            <w:tcW w:w="2631" w:type="dxa"/>
            <w:tcBorders>
              <w:top w:val="nil" w:sz="6" w:space="0" w:color="auto"/>
              <w:left w:val="nil" w:sz="6" w:space="0" w:color="auto"/>
              <w:bottom w:val="nil" w:sz="6" w:space="0" w:color="auto"/>
              <w:right w:val="nil" w:sz="6" w:space="0" w:color="auto"/>
            </w:tcBorders>
          </w:tcPr>
          <w:p>
            <w:pPr>
              <w:pStyle w:val="TableParagraph"/>
              <w:spacing w:line="138" w:lineRule="exact"/>
              <w:ind w:left="122" w:right="0"/>
              <w:jc w:val="left"/>
              <w:rPr>
                <w:rFonts w:ascii="宋体" w:hAnsi="宋体" w:cs="宋体" w:eastAsia="宋体" w:hint="default"/>
                <w:sz w:val="18"/>
                <w:szCs w:val="18"/>
              </w:rPr>
            </w:pPr>
            <w:r>
              <w:rPr>
                <w:rFonts w:ascii="宋体" w:hAnsi="宋体" w:cs="宋体" w:eastAsia="宋体" w:hint="default"/>
                <w:sz w:val="18"/>
                <w:szCs w:val="18"/>
              </w:rPr>
              <w:t>产学研合作项目补助</w:t>
            </w:r>
          </w:p>
        </w:tc>
        <w:tc>
          <w:tcPr>
            <w:tcW w:w="1970" w:type="dxa"/>
            <w:tcBorders>
              <w:top w:val="nil" w:sz="6" w:space="0" w:color="auto"/>
              <w:left w:val="nil" w:sz="6" w:space="0" w:color="auto"/>
              <w:bottom w:val="nil" w:sz="6" w:space="0" w:color="auto"/>
              <w:right w:val="single" w:sz="4" w:space="0" w:color="000000"/>
            </w:tcBorders>
          </w:tcPr>
          <w:p>
            <w:pPr/>
          </w:p>
        </w:tc>
        <w:tc>
          <w:tcPr>
            <w:tcW w:w="1971" w:type="dxa"/>
            <w:tcBorders>
              <w:top w:val="nil" w:sz="6" w:space="0" w:color="auto"/>
              <w:left w:val="single" w:sz="4" w:space="0" w:color="000000"/>
              <w:bottom w:val="nil" w:sz="6" w:space="0" w:color="auto"/>
              <w:right w:val="single" w:sz="4" w:space="0" w:color="000000"/>
            </w:tcBorders>
          </w:tcPr>
          <w:p>
            <w:pPr>
              <w:pStyle w:val="TableParagraph"/>
              <w:spacing w:line="149" w:lineRule="exact"/>
              <w:ind w:right="100"/>
              <w:jc w:val="right"/>
              <w:rPr>
                <w:rFonts w:ascii="Times New Roman" w:hAnsi="Times New Roman" w:cs="Times New Roman" w:eastAsia="Times New Roman" w:hint="default"/>
                <w:sz w:val="18"/>
                <w:szCs w:val="18"/>
              </w:rPr>
            </w:pPr>
            <w:r>
              <w:rPr>
                <w:rFonts w:ascii="Times New Roman"/>
                <w:spacing w:val="-1"/>
                <w:sz w:val="18"/>
              </w:rPr>
              <w:t>120,000.00</w:t>
            </w:r>
          </w:p>
        </w:tc>
        <w:tc>
          <w:tcPr>
            <w:tcW w:w="2196" w:type="dxa"/>
            <w:tcBorders>
              <w:top w:val="nil" w:sz="6" w:space="0" w:color="auto"/>
              <w:left w:val="single" w:sz="4" w:space="0" w:color="000000"/>
              <w:bottom w:val="nil" w:sz="6" w:space="0" w:color="auto"/>
              <w:right w:val="nil" w:sz="6" w:space="0" w:color="auto"/>
            </w:tcBorders>
          </w:tcPr>
          <w:p>
            <w:pPr>
              <w:pStyle w:val="TableParagraph"/>
              <w:spacing w:line="138" w:lineRule="exact"/>
              <w:ind w:left="10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85" w:hRule="exact"/>
        </w:trPr>
        <w:tc>
          <w:tcPr>
            <w:tcW w:w="2631" w:type="dxa"/>
            <w:tcBorders>
              <w:top w:val="nil" w:sz="6" w:space="0" w:color="auto"/>
              <w:left w:val="nil" w:sz="6" w:space="0" w:color="auto"/>
              <w:bottom w:val="nil" w:sz="6" w:space="0" w:color="auto"/>
              <w:right w:val="nil" w:sz="6" w:space="0" w:color="auto"/>
            </w:tcBorders>
          </w:tcPr>
          <w:p>
            <w:pPr/>
          </w:p>
        </w:tc>
        <w:tc>
          <w:tcPr>
            <w:tcW w:w="1970" w:type="dxa"/>
            <w:tcBorders>
              <w:top w:val="nil" w:sz="6" w:space="0" w:color="auto"/>
              <w:left w:val="nil" w:sz="6" w:space="0" w:color="auto"/>
              <w:bottom w:val="nil" w:sz="6" w:space="0" w:color="auto"/>
              <w:right w:val="single" w:sz="4" w:space="0" w:color="000000"/>
            </w:tcBorders>
          </w:tcPr>
          <w:p>
            <w:pPr/>
          </w:p>
        </w:tc>
        <w:tc>
          <w:tcPr>
            <w:tcW w:w="1971" w:type="dxa"/>
            <w:tcBorders>
              <w:top w:val="nil" w:sz="6" w:space="0" w:color="auto"/>
              <w:left w:val="single" w:sz="4" w:space="0" w:color="000000"/>
              <w:bottom w:val="nil" w:sz="6" w:space="0" w:color="auto"/>
              <w:right w:val="single" w:sz="4" w:space="0" w:color="000000"/>
            </w:tcBorders>
          </w:tcPr>
          <w:p>
            <w:pPr>
              <w:pStyle w:val="TableParagraph"/>
              <w:spacing w:line="189" w:lineRule="exact"/>
              <w:ind w:right="100"/>
              <w:jc w:val="right"/>
              <w:rPr>
                <w:rFonts w:ascii="Times New Roman" w:hAnsi="Times New Roman" w:cs="Times New Roman" w:eastAsia="Times New Roman" w:hint="default"/>
                <w:sz w:val="18"/>
                <w:szCs w:val="18"/>
              </w:rPr>
            </w:pPr>
            <w:r>
              <w:rPr>
                <w:rFonts w:ascii="Times New Roman"/>
                <w:spacing w:val="-1"/>
                <w:sz w:val="18"/>
              </w:rPr>
              <w:t>172,790.04</w:t>
            </w:r>
          </w:p>
        </w:tc>
        <w:tc>
          <w:tcPr>
            <w:tcW w:w="2196" w:type="dxa"/>
            <w:tcBorders>
              <w:top w:val="nil" w:sz="6" w:space="0" w:color="auto"/>
              <w:left w:val="single" w:sz="4" w:space="0" w:color="000000"/>
              <w:bottom w:val="nil" w:sz="6" w:space="0" w:color="auto"/>
              <w:right w:val="nil" w:sz="6" w:space="0" w:color="auto"/>
            </w:tcBorders>
          </w:tcPr>
          <w:p>
            <w:pPr>
              <w:pStyle w:val="TableParagraph"/>
              <w:spacing w:line="180" w:lineRule="exact"/>
              <w:ind w:left="10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273" w:hRule="exact"/>
        </w:trPr>
        <w:tc>
          <w:tcPr>
            <w:tcW w:w="2631" w:type="dxa"/>
            <w:tcBorders>
              <w:top w:val="nil" w:sz="6" w:space="0" w:color="auto"/>
              <w:left w:val="nil" w:sz="6" w:space="0" w:color="auto"/>
              <w:bottom w:val="nil" w:sz="6" w:space="0" w:color="auto"/>
              <w:right w:val="single" w:sz="4" w:space="0" w:color="000000"/>
            </w:tcBorders>
          </w:tcPr>
          <w:p>
            <w:pPr>
              <w:pStyle w:val="TableParagraph"/>
              <w:spacing w:line="138" w:lineRule="exact"/>
              <w:ind w:left="122" w:right="0"/>
              <w:jc w:val="left"/>
              <w:rPr>
                <w:rFonts w:ascii="宋体" w:hAnsi="宋体" w:cs="宋体" w:eastAsia="宋体" w:hint="default"/>
                <w:sz w:val="18"/>
                <w:szCs w:val="18"/>
              </w:rPr>
            </w:pPr>
            <w:r>
              <w:rPr>
                <w:rFonts w:ascii="宋体" w:hAnsi="宋体" w:cs="宋体" w:eastAsia="宋体" w:hint="default"/>
                <w:sz w:val="18"/>
                <w:szCs w:val="18"/>
              </w:rPr>
              <w:t>公共租赁房补贴</w:t>
            </w:r>
          </w:p>
          <w:p>
            <w:pPr>
              <w:pStyle w:val="TableParagraph"/>
              <w:spacing w:line="240" w:lineRule="auto" w:before="7"/>
              <w:ind w:left="122" w:right="0"/>
              <w:jc w:val="left"/>
              <w:rPr>
                <w:rFonts w:ascii="宋体" w:hAnsi="宋体" w:cs="宋体" w:eastAsia="宋体" w:hint="default"/>
                <w:sz w:val="18"/>
                <w:szCs w:val="18"/>
              </w:rPr>
            </w:pPr>
            <w:r>
              <w:rPr>
                <w:rFonts w:ascii="宋体" w:hAnsi="宋体" w:cs="宋体" w:eastAsia="宋体" w:hint="default"/>
                <w:sz w:val="18"/>
                <w:szCs w:val="18"/>
              </w:rPr>
              <w:t>立陶宛政府补助</w:t>
            </w:r>
          </w:p>
        </w:tc>
        <w:tc>
          <w:tcPr>
            <w:tcW w:w="1970" w:type="dxa"/>
            <w:tcBorders>
              <w:top w:val="nil" w:sz="6" w:space="0" w:color="auto"/>
              <w:left w:val="single" w:sz="4" w:space="0" w:color="000000"/>
              <w:bottom w:val="nil" w:sz="6" w:space="0" w:color="auto"/>
              <w:right w:val="single" w:sz="4" w:space="0" w:color="000000"/>
            </w:tcBorders>
          </w:tcPr>
          <w:p>
            <w:pPr>
              <w:pStyle w:val="TableParagraph"/>
              <w:spacing w:line="147" w:lineRule="exact"/>
              <w:ind w:left="1044" w:right="0"/>
              <w:jc w:val="left"/>
              <w:rPr>
                <w:rFonts w:ascii="Times New Roman" w:hAnsi="Times New Roman" w:cs="Times New Roman" w:eastAsia="Times New Roman" w:hint="default"/>
                <w:sz w:val="18"/>
                <w:szCs w:val="18"/>
              </w:rPr>
            </w:pPr>
            <w:r>
              <w:rPr>
                <w:rFonts w:ascii="Times New Roman"/>
                <w:sz w:val="18"/>
              </w:rPr>
              <w:t>172,790.04</w:t>
            </w:r>
          </w:p>
          <w:p>
            <w:pPr>
              <w:pStyle w:val="TableParagraph"/>
              <w:spacing w:line="240" w:lineRule="auto" w:before="38"/>
              <w:ind w:left="1044" w:right="0"/>
              <w:jc w:val="left"/>
              <w:rPr>
                <w:rFonts w:ascii="Times New Roman" w:hAnsi="Times New Roman" w:cs="Times New Roman" w:eastAsia="Times New Roman" w:hint="default"/>
                <w:sz w:val="18"/>
                <w:szCs w:val="18"/>
              </w:rPr>
            </w:pPr>
            <w:r>
              <w:rPr>
                <w:rFonts w:ascii="Times New Roman"/>
                <w:sz w:val="18"/>
              </w:rPr>
              <w:t>519,611.74</w:t>
            </w:r>
          </w:p>
        </w:tc>
        <w:tc>
          <w:tcPr>
            <w:tcW w:w="1971" w:type="dxa"/>
            <w:tcBorders>
              <w:top w:val="nil" w:sz="6" w:space="0" w:color="auto"/>
              <w:left w:val="single" w:sz="4" w:space="0" w:color="000000"/>
              <w:bottom w:val="nil" w:sz="6" w:space="0" w:color="auto"/>
              <w:right w:val="single" w:sz="4" w:space="0" w:color="000000"/>
            </w:tcBorders>
          </w:tcPr>
          <w:p>
            <w:pPr>
              <w:pStyle w:val="TableParagraph"/>
              <w:spacing w:line="240" w:lineRule="auto" w:before="41"/>
              <w:ind w:right="100"/>
              <w:jc w:val="right"/>
              <w:rPr>
                <w:rFonts w:ascii="Times New Roman" w:hAnsi="Times New Roman" w:cs="Times New Roman" w:eastAsia="Times New Roman" w:hint="default"/>
                <w:sz w:val="18"/>
                <w:szCs w:val="18"/>
              </w:rPr>
            </w:pPr>
            <w:r>
              <w:rPr>
                <w:rFonts w:ascii="Times New Roman"/>
                <w:spacing w:val="-1"/>
                <w:sz w:val="18"/>
              </w:rPr>
              <w:t>938,742.65</w:t>
            </w:r>
          </w:p>
        </w:tc>
        <w:tc>
          <w:tcPr>
            <w:tcW w:w="2196" w:type="dxa"/>
            <w:tcBorders>
              <w:top w:val="nil" w:sz="6" w:space="0" w:color="auto"/>
              <w:left w:val="single" w:sz="4" w:space="0" w:color="000000"/>
              <w:bottom w:val="nil" w:sz="6" w:space="0" w:color="auto"/>
              <w:right w:val="nil" w:sz="6" w:space="0" w:color="auto"/>
            </w:tcBorders>
          </w:tcPr>
          <w:p>
            <w:pPr>
              <w:pStyle w:val="TableParagraph"/>
              <w:spacing w:line="240" w:lineRule="auto" w:before="2"/>
              <w:ind w:left="10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271" w:hRule="exact"/>
        </w:trPr>
        <w:tc>
          <w:tcPr>
            <w:tcW w:w="2631" w:type="dxa"/>
            <w:tcBorders>
              <w:top w:val="nil" w:sz="6" w:space="0" w:color="auto"/>
              <w:left w:val="nil" w:sz="6" w:space="0" w:color="auto"/>
              <w:bottom w:val="nil" w:sz="6" w:space="0" w:color="auto"/>
              <w:right w:val="single" w:sz="4" w:space="0" w:color="000000"/>
            </w:tcBorders>
          </w:tcPr>
          <w:p>
            <w:pPr>
              <w:pStyle w:val="TableParagraph"/>
              <w:spacing w:line="209" w:lineRule="exact"/>
              <w:ind w:left="122" w:right="0"/>
              <w:jc w:val="left"/>
              <w:rPr>
                <w:rFonts w:ascii="宋体" w:hAnsi="宋体" w:cs="宋体" w:eastAsia="宋体" w:hint="default"/>
                <w:sz w:val="18"/>
                <w:szCs w:val="18"/>
              </w:rPr>
            </w:pPr>
            <w:r>
              <w:rPr>
                <w:rFonts w:ascii="宋体" w:hAnsi="宋体" w:cs="宋体" w:eastAsia="宋体" w:hint="default"/>
                <w:sz w:val="18"/>
                <w:szCs w:val="18"/>
              </w:rPr>
              <w:t>清洗行业含氢氯氟烃淘汰项目</w:t>
            </w:r>
          </w:p>
        </w:tc>
        <w:tc>
          <w:tcPr>
            <w:tcW w:w="197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03"/>
              <w:jc w:val="right"/>
              <w:rPr>
                <w:rFonts w:ascii="Times New Roman" w:hAnsi="Times New Roman" w:cs="Times New Roman" w:eastAsia="Times New Roman" w:hint="default"/>
                <w:sz w:val="18"/>
                <w:szCs w:val="18"/>
              </w:rPr>
            </w:pPr>
            <w:r>
              <w:rPr>
                <w:rFonts w:ascii="Times New Roman"/>
                <w:spacing w:val="-1"/>
                <w:sz w:val="18"/>
              </w:rPr>
              <w:t>285,208.30</w:t>
            </w:r>
          </w:p>
        </w:tc>
        <w:tc>
          <w:tcPr>
            <w:tcW w:w="1971" w:type="dxa"/>
            <w:tcBorders>
              <w:top w:val="nil" w:sz="6" w:space="0" w:color="auto"/>
              <w:left w:val="single" w:sz="4" w:space="0" w:color="000000"/>
              <w:bottom w:val="nil" w:sz="6" w:space="0" w:color="auto"/>
              <w:right w:val="single" w:sz="4" w:space="0" w:color="000000"/>
            </w:tcBorders>
          </w:tcPr>
          <w:p>
            <w:pPr/>
          </w:p>
        </w:tc>
        <w:tc>
          <w:tcPr>
            <w:tcW w:w="2196" w:type="dxa"/>
            <w:tcBorders>
              <w:top w:val="nil" w:sz="6" w:space="0" w:color="auto"/>
              <w:left w:val="single" w:sz="4" w:space="0" w:color="000000"/>
              <w:bottom w:val="nil" w:sz="6" w:space="0" w:color="auto"/>
              <w:right w:val="nil" w:sz="6" w:space="0" w:color="auto"/>
            </w:tcBorders>
          </w:tcPr>
          <w:p>
            <w:pPr>
              <w:pStyle w:val="TableParagraph"/>
              <w:spacing w:line="209" w:lineRule="exact"/>
              <w:ind w:left="10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87" w:hRule="exact"/>
        </w:trPr>
        <w:tc>
          <w:tcPr>
            <w:tcW w:w="2631" w:type="dxa"/>
            <w:tcBorders>
              <w:top w:val="nil" w:sz="6" w:space="0" w:color="auto"/>
              <w:left w:val="nil" w:sz="6" w:space="0" w:color="auto"/>
              <w:bottom w:val="nil" w:sz="6" w:space="0" w:color="auto"/>
              <w:right w:val="nil" w:sz="6" w:space="0" w:color="auto"/>
            </w:tcBorders>
          </w:tcPr>
          <w:p>
            <w:pPr/>
          </w:p>
        </w:tc>
        <w:tc>
          <w:tcPr>
            <w:tcW w:w="1970" w:type="dxa"/>
            <w:tcBorders>
              <w:top w:val="nil" w:sz="6" w:space="0" w:color="auto"/>
              <w:left w:val="nil" w:sz="6" w:space="0" w:color="auto"/>
              <w:bottom w:val="nil" w:sz="6" w:space="0" w:color="auto"/>
              <w:right w:val="single" w:sz="4" w:space="0" w:color="000000"/>
            </w:tcBorders>
          </w:tcPr>
          <w:p>
            <w:pPr/>
          </w:p>
        </w:tc>
        <w:tc>
          <w:tcPr>
            <w:tcW w:w="1971" w:type="dxa"/>
            <w:tcBorders>
              <w:top w:val="nil" w:sz="6" w:space="0" w:color="auto"/>
              <w:left w:val="single" w:sz="4" w:space="0" w:color="000000"/>
              <w:bottom w:val="nil" w:sz="6" w:space="0" w:color="auto"/>
              <w:right w:val="single" w:sz="4" w:space="0" w:color="000000"/>
            </w:tcBorders>
          </w:tcPr>
          <w:p>
            <w:pPr/>
          </w:p>
        </w:tc>
        <w:tc>
          <w:tcPr>
            <w:tcW w:w="2196" w:type="dxa"/>
            <w:tcBorders>
              <w:top w:val="nil" w:sz="6" w:space="0" w:color="auto"/>
              <w:left w:val="single" w:sz="4" w:space="0" w:color="000000"/>
              <w:bottom w:val="nil" w:sz="6" w:space="0" w:color="auto"/>
              <w:right w:val="nil" w:sz="6" w:space="0" w:color="auto"/>
            </w:tcBorders>
          </w:tcPr>
          <w:p>
            <w:pPr>
              <w:pStyle w:val="TableParagraph"/>
              <w:spacing w:line="180" w:lineRule="exact"/>
              <w:ind w:left="10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00" w:hRule="exact"/>
        </w:trPr>
        <w:tc>
          <w:tcPr>
            <w:tcW w:w="2631" w:type="dxa"/>
            <w:tcBorders>
              <w:top w:val="nil" w:sz="6" w:space="0" w:color="auto"/>
              <w:left w:val="nil" w:sz="6" w:space="0" w:color="auto"/>
              <w:bottom w:val="nil" w:sz="6" w:space="0" w:color="auto"/>
              <w:right w:val="nil" w:sz="6" w:space="0" w:color="auto"/>
            </w:tcBorders>
          </w:tcPr>
          <w:p>
            <w:pPr>
              <w:pStyle w:val="TableParagraph"/>
              <w:spacing w:line="138" w:lineRule="exact"/>
              <w:ind w:left="122" w:right="0"/>
              <w:jc w:val="left"/>
              <w:rPr>
                <w:rFonts w:ascii="宋体" w:hAnsi="宋体" w:cs="宋体" w:eastAsia="宋体" w:hint="default"/>
                <w:sz w:val="18"/>
                <w:szCs w:val="18"/>
              </w:rPr>
            </w:pPr>
            <w:r>
              <w:rPr>
                <w:rFonts w:ascii="宋体" w:hAnsi="宋体" w:cs="宋体" w:eastAsia="宋体" w:hint="default"/>
                <w:sz w:val="18"/>
                <w:szCs w:val="18"/>
              </w:rPr>
              <w:t>稳岗补贴收入</w:t>
            </w:r>
          </w:p>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人才引进计划专项资金</w:t>
            </w:r>
          </w:p>
        </w:tc>
        <w:tc>
          <w:tcPr>
            <w:tcW w:w="1970" w:type="dxa"/>
            <w:tcBorders>
              <w:top w:val="nil" w:sz="6" w:space="0" w:color="auto"/>
              <w:left w:val="nil" w:sz="6" w:space="0" w:color="auto"/>
              <w:bottom w:val="nil" w:sz="6" w:space="0" w:color="auto"/>
              <w:right w:val="single" w:sz="4" w:space="0" w:color="000000"/>
            </w:tcBorders>
          </w:tcPr>
          <w:p>
            <w:pPr>
              <w:pStyle w:val="TableParagraph"/>
              <w:spacing w:line="149" w:lineRule="exact"/>
              <w:ind w:left="914" w:right="0"/>
              <w:jc w:val="left"/>
              <w:rPr>
                <w:rFonts w:ascii="Times New Roman" w:hAnsi="Times New Roman" w:cs="Times New Roman" w:eastAsia="Times New Roman" w:hint="default"/>
                <w:sz w:val="18"/>
                <w:szCs w:val="18"/>
              </w:rPr>
            </w:pPr>
            <w:r>
              <w:rPr>
                <w:rFonts w:ascii="Times New Roman"/>
                <w:sz w:val="18"/>
              </w:rPr>
              <w:t>1,455,000.00</w:t>
            </w:r>
          </w:p>
          <w:p>
            <w:pPr>
              <w:pStyle w:val="TableParagraph"/>
              <w:spacing w:line="240" w:lineRule="auto" w:before="36"/>
              <w:ind w:left="914" w:right="0"/>
              <w:jc w:val="left"/>
              <w:rPr>
                <w:rFonts w:ascii="Times New Roman" w:hAnsi="Times New Roman" w:cs="Times New Roman" w:eastAsia="Times New Roman" w:hint="default"/>
                <w:sz w:val="18"/>
                <w:szCs w:val="18"/>
              </w:rPr>
            </w:pPr>
            <w:r>
              <w:rPr>
                <w:rFonts w:ascii="Times New Roman"/>
                <w:sz w:val="18"/>
              </w:rPr>
              <w:t>1,740,000.00</w:t>
            </w:r>
          </w:p>
        </w:tc>
        <w:tc>
          <w:tcPr>
            <w:tcW w:w="1971" w:type="dxa"/>
            <w:tcBorders>
              <w:top w:val="nil" w:sz="6" w:space="0" w:color="auto"/>
              <w:left w:val="single" w:sz="4" w:space="0" w:color="000000"/>
              <w:bottom w:val="nil" w:sz="6" w:space="0" w:color="auto"/>
              <w:right w:val="single" w:sz="4" w:space="0" w:color="000000"/>
            </w:tcBorders>
          </w:tcPr>
          <w:p>
            <w:pPr/>
          </w:p>
        </w:tc>
        <w:tc>
          <w:tcPr>
            <w:tcW w:w="2196" w:type="dxa"/>
            <w:tcBorders>
              <w:top w:val="nil" w:sz="6" w:space="0" w:color="auto"/>
              <w:left w:val="single" w:sz="4" w:space="0" w:color="000000"/>
              <w:bottom w:val="nil" w:sz="6" w:space="0" w:color="auto"/>
              <w:right w:val="nil" w:sz="6" w:space="0" w:color="auto"/>
            </w:tcBorders>
          </w:tcPr>
          <w:p>
            <w:pPr>
              <w:pStyle w:val="TableParagraph"/>
              <w:spacing w:line="240" w:lineRule="auto" w:before="2"/>
              <w:ind w:left="10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2" w:hRule="exact"/>
        </w:trPr>
        <w:tc>
          <w:tcPr>
            <w:tcW w:w="2631" w:type="dxa"/>
            <w:tcBorders>
              <w:top w:val="nil" w:sz="6" w:space="0" w:color="auto"/>
              <w:left w:val="nil" w:sz="6" w:space="0" w:color="auto"/>
              <w:bottom w:val="nil" w:sz="6" w:space="0" w:color="auto"/>
              <w:right w:val="nil" w:sz="6" w:space="0" w:color="auto"/>
            </w:tcBorders>
          </w:tcPr>
          <w:p>
            <w:pPr/>
          </w:p>
        </w:tc>
        <w:tc>
          <w:tcPr>
            <w:tcW w:w="1970" w:type="dxa"/>
            <w:tcBorders>
              <w:top w:val="nil" w:sz="6" w:space="0" w:color="auto"/>
              <w:left w:val="nil" w:sz="6" w:space="0" w:color="auto"/>
              <w:bottom w:val="nil" w:sz="6" w:space="0" w:color="auto"/>
              <w:right w:val="single" w:sz="4" w:space="0" w:color="000000"/>
            </w:tcBorders>
          </w:tcPr>
          <w:p>
            <w:pPr/>
          </w:p>
        </w:tc>
        <w:tc>
          <w:tcPr>
            <w:tcW w:w="1971" w:type="dxa"/>
            <w:tcBorders>
              <w:top w:val="nil" w:sz="6" w:space="0" w:color="auto"/>
              <w:left w:val="single" w:sz="4" w:space="0" w:color="000000"/>
              <w:bottom w:val="nil" w:sz="6" w:space="0" w:color="auto"/>
              <w:right w:val="single" w:sz="4" w:space="0" w:color="000000"/>
            </w:tcBorders>
          </w:tcPr>
          <w:p>
            <w:pPr/>
          </w:p>
        </w:tc>
        <w:tc>
          <w:tcPr>
            <w:tcW w:w="2196" w:type="dxa"/>
            <w:tcBorders>
              <w:top w:val="nil" w:sz="6" w:space="0" w:color="auto"/>
              <w:left w:val="single" w:sz="4" w:space="0" w:color="000000"/>
              <w:bottom w:val="nil" w:sz="6" w:space="0" w:color="auto"/>
              <w:right w:val="nil" w:sz="6" w:space="0" w:color="auto"/>
            </w:tcBorders>
          </w:tcPr>
          <w:p>
            <w:pPr/>
          </w:p>
        </w:tc>
      </w:tr>
      <w:tr>
        <w:trPr>
          <w:trHeight w:val="201" w:hRule="exact"/>
        </w:trPr>
        <w:tc>
          <w:tcPr>
            <w:tcW w:w="2631" w:type="dxa"/>
            <w:tcBorders>
              <w:top w:val="nil" w:sz="6" w:space="0" w:color="auto"/>
              <w:left w:val="nil" w:sz="6" w:space="0" w:color="auto"/>
              <w:bottom w:val="nil" w:sz="6" w:space="0" w:color="auto"/>
              <w:right w:val="nil" w:sz="6" w:space="0" w:color="auto"/>
            </w:tcBorders>
          </w:tcPr>
          <w:p>
            <w:pPr>
              <w:pStyle w:val="TableParagraph"/>
              <w:spacing w:line="138" w:lineRule="exact"/>
              <w:ind w:left="122" w:right="0"/>
              <w:jc w:val="left"/>
              <w:rPr>
                <w:rFonts w:ascii="宋体" w:hAnsi="宋体" w:cs="宋体" w:eastAsia="宋体" w:hint="default"/>
                <w:sz w:val="18"/>
                <w:szCs w:val="18"/>
              </w:rPr>
            </w:pPr>
            <w:r>
              <w:rPr>
                <w:rFonts w:ascii="宋体" w:hAnsi="宋体" w:cs="宋体" w:eastAsia="宋体" w:hint="default"/>
                <w:sz w:val="18"/>
                <w:szCs w:val="18"/>
              </w:rPr>
              <w:t>互联网提升补贴</w:t>
            </w:r>
          </w:p>
        </w:tc>
        <w:tc>
          <w:tcPr>
            <w:tcW w:w="1970" w:type="dxa"/>
            <w:tcBorders>
              <w:top w:val="nil" w:sz="6" w:space="0" w:color="auto"/>
              <w:left w:val="nil" w:sz="6" w:space="0" w:color="auto"/>
              <w:bottom w:val="nil" w:sz="6" w:space="0" w:color="auto"/>
              <w:right w:val="single" w:sz="4" w:space="0" w:color="000000"/>
            </w:tcBorders>
          </w:tcPr>
          <w:p>
            <w:pPr>
              <w:pStyle w:val="TableParagraph"/>
              <w:spacing w:line="147" w:lineRule="exact"/>
              <w:ind w:right="103"/>
              <w:jc w:val="right"/>
              <w:rPr>
                <w:rFonts w:ascii="Times New Roman" w:hAnsi="Times New Roman" w:cs="Times New Roman" w:eastAsia="Times New Roman" w:hint="default"/>
                <w:sz w:val="18"/>
                <w:szCs w:val="18"/>
              </w:rPr>
            </w:pPr>
            <w:r>
              <w:rPr>
                <w:rFonts w:ascii="Times New Roman"/>
                <w:spacing w:val="-1"/>
                <w:sz w:val="18"/>
              </w:rPr>
              <w:t>612,000.00</w:t>
            </w:r>
          </w:p>
        </w:tc>
        <w:tc>
          <w:tcPr>
            <w:tcW w:w="1971" w:type="dxa"/>
            <w:tcBorders>
              <w:top w:val="nil" w:sz="6" w:space="0" w:color="auto"/>
              <w:left w:val="single" w:sz="4" w:space="0" w:color="000000"/>
              <w:bottom w:val="nil" w:sz="6" w:space="0" w:color="auto"/>
              <w:right w:val="single" w:sz="4" w:space="0" w:color="000000"/>
            </w:tcBorders>
          </w:tcPr>
          <w:p>
            <w:pPr/>
          </w:p>
        </w:tc>
        <w:tc>
          <w:tcPr>
            <w:tcW w:w="2196" w:type="dxa"/>
            <w:tcBorders>
              <w:top w:val="nil" w:sz="6" w:space="0" w:color="auto"/>
              <w:left w:val="single" w:sz="4" w:space="0" w:color="000000"/>
              <w:bottom w:val="nil" w:sz="6" w:space="0" w:color="auto"/>
              <w:right w:val="nil" w:sz="6" w:space="0" w:color="auto"/>
            </w:tcBorders>
          </w:tcPr>
          <w:p>
            <w:pPr>
              <w:pStyle w:val="TableParagraph"/>
              <w:spacing w:line="138" w:lineRule="exact"/>
              <w:ind w:left="10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19" w:hRule="exact"/>
        </w:trPr>
        <w:tc>
          <w:tcPr>
            <w:tcW w:w="2631" w:type="dxa"/>
            <w:tcBorders>
              <w:top w:val="nil" w:sz="6" w:space="0" w:color="auto"/>
              <w:left w:val="nil" w:sz="6" w:space="0" w:color="auto"/>
              <w:bottom w:val="nil" w:sz="6" w:space="0" w:color="auto"/>
              <w:right w:val="nil" w:sz="6" w:space="0" w:color="auto"/>
            </w:tcBorders>
          </w:tcPr>
          <w:p>
            <w:pPr>
              <w:pStyle w:val="TableParagraph"/>
              <w:spacing w:line="138" w:lineRule="exact"/>
              <w:ind w:left="1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970" w:type="dxa"/>
            <w:tcBorders>
              <w:top w:val="nil" w:sz="6" w:space="0" w:color="auto"/>
              <w:left w:val="nil" w:sz="6" w:space="0" w:color="auto"/>
              <w:bottom w:val="nil" w:sz="6" w:space="0" w:color="auto"/>
              <w:right w:val="single" w:sz="4" w:space="0" w:color="000000"/>
            </w:tcBorders>
          </w:tcPr>
          <w:p>
            <w:pPr>
              <w:pStyle w:val="TableParagraph"/>
              <w:spacing w:line="149" w:lineRule="exact"/>
              <w:ind w:right="103"/>
              <w:jc w:val="right"/>
              <w:rPr>
                <w:rFonts w:ascii="Times New Roman" w:hAnsi="Times New Roman" w:cs="Times New Roman" w:eastAsia="Times New Roman" w:hint="default"/>
                <w:sz w:val="18"/>
                <w:szCs w:val="18"/>
              </w:rPr>
            </w:pPr>
            <w:r>
              <w:rPr>
                <w:rFonts w:ascii="Times New Roman"/>
                <w:spacing w:val="-1"/>
                <w:sz w:val="18"/>
              </w:rPr>
              <w:t>1,727,698.64</w:t>
            </w:r>
          </w:p>
        </w:tc>
        <w:tc>
          <w:tcPr>
            <w:tcW w:w="1971" w:type="dxa"/>
            <w:tcBorders>
              <w:top w:val="nil" w:sz="6" w:space="0" w:color="auto"/>
              <w:left w:val="single" w:sz="4" w:space="0" w:color="000000"/>
              <w:bottom w:val="nil" w:sz="6" w:space="0" w:color="auto"/>
              <w:right w:val="single" w:sz="4" w:space="0" w:color="000000"/>
            </w:tcBorders>
          </w:tcPr>
          <w:p>
            <w:pPr>
              <w:pStyle w:val="TableParagraph"/>
              <w:spacing w:line="191" w:lineRule="exact"/>
              <w:ind w:right="100"/>
              <w:jc w:val="right"/>
              <w:rPr>
                <w:rFonts w:ascii="Times New Roman" w:hAnsi="Times New Roman" w:cs="Times New Roman" w:eastAsia="Times New Roman" w:hint="default"/>
                <w:sz w:val="18"/>
                <w:szCs w:val="18"/>
              </w:rPr>
            </w:pPr>
            <w:r>
              <w:rPr>
                <w:rFonts w:ascii="Times New Roman"/>
                <w:spacing w:val="-1"/>
                <w:sz w:val="18"/>
              </w:rPr>
              <w:t>866,100.00</w:t>
            </w:r>
          </w:p>
        </w:tc>
        <w:tc>
          <w:tcPr>
            <w:tcW w:w="2196" w:type="dxa"/>
            <w:tcBorders>
              <w:top w:val="nil" w:sz="6" w:space="0" w:color="auto"/>
              <w:left w:val="single" w:sz="4" w:space="0" w:color="000000"/>
              <w:bottom w:val="nil" w:sz="6" w:space="0" w:color="auto"/>
              <w:right w:val="nil" w:sz="6" w:space="0" w:color="auto"/>
            </w:tcBorders>
          </w:tcPr>
          <w:p>
            <w:pPr>
              <w:pStyle w:val="TableParagraph"/>
              <w:spacing w:line="180" w:lineRule="exact"/>
              <w:ind w:left="10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50" w:hRule="exact"/>
        </w:trPr>
        <w:tc>
          <w:tcPr>
            <w:tcW w:w="2631" w:type="dxa"/>
            <w:tcBorders>
              <w:top w:val="nil" w:sz="6" w:space="0" w:color="auto"/>
              <w:left w:val="nil" w:sz="6" w:space="0" w:color="auto"/>
              <w:bottom w:val="single" w:sz="12" w:space="0" w:color="000000"/>
              <w:right w:val="single" w:sz="4" w:space="0" w:color="000000"/>
            </w:tcBorders>
          </w:tcPr>
          <w:p>
            <w:pPr>
              <w:pStyle w:val="TableParagraph"/>
              <w:spacing w:line="205" w:lineRule="exact"/>
              <w:ind w:left="18"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970"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7"/>
              <w:ind w:right="103"/>
              <w:jc w:val="right"/>
              <w:rPr>
                <w:rFonts w:ascii="Times New Roman" w:hAnsi="Times New Roman" w:cs="Times New Roman" w:eastAsia="Times New Roman" w:hint="default"/>
                <w:sz w:val="18"/>
                <w:szCs w:val="18"/>
              </w:rPr>
            </w:pPr>
            <w:r>
              <w:rPr>
                <w:rFonts w:ascii="Times New Roman"/>
                <w:spacing w:val="-1"/>
                <w:sz w:val="18"/>
              </w:rPr>
              <w:t>33,839,883.40</w:t>
            </w:r>
          </w:p>
        </w:tc>
        <w:tc>
          <w:tcPr>
            <w:tcW w:w="1971"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7"/>
              <w:ind w:right="101"/>
              <w:jc w:val="right"/>
              <w:rPr>
                <w:rFonts w:ascii="Times New Roman" w:hAnsi="Times New Roman" w:cs="Times New Roman" w:eastAsia="Times New Roman" w:hint="default"/>
                <w:sz w:val="18"/>
                <w:szCs w:val="18"/>
              </w:rPr>
            </w:pPr>
            <w:r>
              <w:rPr>
                <w:rFonts w:ascii="Times New Roman"/>
                <w:spacing w:val="-1"/>
                <w:sz w:val="18"/>
              </w:rPr>
              <w:t>11,939,155.76</w:t>
            </w:r>
          </w:p>
        </w:tc>
        <w:tc>
          <w:tcPr>
            <w:tcW w:w="2196" w:type="dxa"/>
            <w:tcBorders>
              <w:top w:val="nil" w:sz="6" w:space="0" w:color="auto"/>
              <w:left w:val="single" w:sz="4" w:space="0" w:color="000000"/>
              <w:bottom w:val="single" w:sz="12" w:space="0" w:color="000000"/>
              <w:right w:val="nil" w:sz="6" w:space="0" w:color="auto"/>
            </w:tcBorders>
          </w:tcPr>
          <w:p>
            <w:pPr/>
          </w:p>
        </w:tc>
      </w:tr>
    </w:tbl>
    <w:p>
      <w:pPr>
        <w:spacing w:after="0"/>
        <w:sectPr>
          <w:pgSz w:w="11910" w:h="16840"/>
          <w:pgMar w:header="0" w:footer="974" w:top="1140" w:bottom="1160" w:left="1060" w:right="1560"/>
        </w:sectPr>
      </w:pPr>
    </w:p>
    <w:p>
      <w:pPr>
        <w:pStyle w:val="Heading2"/>
        <w:spacing w:line="273" w:lineRule="exact"/>
        <w:ind w:left="216" w:right="0"/>
        <w:jc w:val="left"/>
        <w:rPr>
          <w:rFonts w:ascii="宋体" w:hAnsi="宋体" w:cs="宋体" w:eastAsia="宋体" w:hint="default"/>
        </w:rPr>
      </w:pPr>
      <w:r>
        <w:rPr/>
        <w:pict>
          <v:group style="position:absolute;margin-left:70.944pt;margin-top:-103.95002pt;width:437.75pt;height:5.55pt;mso-position-horizontal-relative:page;mso-position-vertical-relative:paragraph;z-index:-1317256" coordorigin="1419,-2079" coordsize="8755,111">
            <v:shape style="position:absolute;left:1419;top:-2079;width:2631;height:110" type="#_x0000_t75" stroked="false">
              <v:imagedata r:id="rId200" o:title=""/>
            </v:shape>
            <v:shape style="position:absolute;left:4026;top:-1983;width:1985;height:14" type="#_x0000_t75" stroked="false">
              <v:imagedata r:id="rId201" o:title=""/>
            </v:shape>
            <v:shape style="position:absolute;left:5996;top:-1978;width:1976;height:10" type="#_x0000_t75" stroked="false">
              <v:imagedata r:id="rId202" o:title=""/>
            </v:shape>
            <v:shape style="position:absolute;left:7967;top:-1978;width:2206;height:10" type="#_x0000_t75" stroked="false">
              <v:imagedata r:id="rId203" o:title=""/>
            </v:shape>
            <w10:wrap type="none"/>
          </v:group>
        </w:pict>
      </w:r>
      <w:r>
        <w:rPr/>
        <w:pict>
          <v:group style="position:absolute;margin-left:70.944pt;margin-top:-91.710022pt;width:437.75pt;height:5.4pt;mso-position-horizontal-relative:page;mso-position-vertical-relative:paragraph;z-index:-1317232" coordorigin="1419,-1834" coordsize="8755,108">
            <v:shape style="position:absolute;left:1419;top:-1834;width:2631;height:108" type="#_x0000_t75" stroked="false">
              <v:imagedata r:id="rId204" o:title=""/>
            </v:shape>
            <v:shape style="position:absolute;left:4026;top:-1738;width:1985;height:12" type="#_x0000_t75" stroked="false">
              <v:imagedata r:id="rId205" o:title=""/>
            </v:shape>
            <v:shape style="position:absolute;left:5996;top:-1738;width:1985;height:12" type="#_x0000_t75" stroked="false">
              <v:imagedata r:id="rId206" o:title=""/>
            </v:shape>
            <v:shape style="position:absolute;left:7967;top:-1736;width:2206;height:10" type="#_x0000_t75" stroked="false">
              <v:imagedata r:id="rId203" o:title=""/>
            </v:shape>
            <w10:wrap type="none"/>
          </v:group>
        </w:pict>
      </w:r>
      <w:r>
        <w:rPr/>
        <w:pict>
          <v:group style="position:absolute;margin-left:70.944pt;margin-top:-74.549980pt;width:437.75pt;height:.5pt;mso-position-horizontal-relative:page;mso-position-vertical-relative:paragraph;z-index:-1317208" coordorigin="1419,-1491" coordsize="8755,10">
            <v:shape style="position:absolute;left:1419;top:-1491;width:2612;height:10" type="#_x0000_t75" stroked="false">
              <v:imagedata r:id="rId207" o:title=""/>
            </v:shape>
            <v:shape style="position:absolute;left:4026;top:-1491;width:1975;height:10" type="#_x0000_t75" stroked="false">
              <v:imagedata r:id="rId208" o:title=""/>
            </v:shape>
            <v:shape style="position:absolute;left:5996;top:-1491;width:1976;height:10" type="#_x0000_t75" stroked="false">
              <v:imagedata r:id="rId202" o:title=""/>
            </v:shape>
            <v:shape style="position:absolute;left:7967;top:-1491;width:2206;height:10" type="#_x0000_t75" stroked="false">
              <v:imagedata r:id="rId203" o:title=""/>
            </v:shape>
            <w10:wrap type="none"/>
          </v:group>
        </w:pict>
      </w:r>
      <w:r>
        <w:rPr/>
        <w:pict>
          <v:group style="position:absolute;margin-left:70.944pt;margin-top:-67.34996pt;width:437.75pt;height:5.4pt;mso-position-horizontal-relative:page;mso-position-vertical-relative:paragraph;z-index:-1317184" coordorigin="1419,-1347" coordsize="8755,108">
            <v:shape style="position:absolute;left:1419;top:-1347;width:2631;height:108" type="#_x0000_t75" stroked="false">
              <v:imagedata r:id="rId209" o:title=""/>
            </v:shape>
            <v:shape style="position:absolute;left:4026;top:-1251;width:1985;height:12" type="#_x0000_t75" stroked="false">
              <v:imagedata r:id="rId205" o:title=""/>
            </v:shape>
            <v:shape style="position:absolute;left:5996;top:-1251;width:1985;height:12" type="#_x0000_t75" stroked="false">
              <v:imagedata r:id="rId206" o:title=""/>
            </v:shape>
            <v:shape style="position:absolute;left:7967;top:-1249;width:2206;height:10" type="#_x0000_t75" stroked="false">
              <v:imagedata r:id="rId203" o:title=""/>
            </v:shape>
            <w10:wrap type="none"/>
          </v:group>
        </w:pict>
      </w:r>
      <w:r>
        <w:rPr/>
        <w:pict>
          <v:group style="position:absolute;margin-left:70.944pt;margin-top:-55.229961pt;width:437.75pt;height:17.7pt;mso-position-horizontal-relative:page;mso-position-vertical-relative:paragraph;z-index:-1317160" coordorigin="1419,-1105" coordsize="8755,354">
            <v:shape style="position:absolute;left:1419;top:-1105;width:2631;height:108" type="#_x0000_t75" stroked="false">
              <v:imagedata r:id="rId210" o:title=""/>
            </v:shape>
            <v:shape style="position:absolute;left:4026;top:-1009;width:1985;height:12" type="#_x0000_t75" stroked="false">
              <v:imagedata r:id="rId211" o:title=""/>
            </v:shape>
            <v:shape style="position:absolute;left:5996;top:-1009;width:1985;height:12" type="#_x0000_t75" stroked="false">
              <v:imagedata r:id="rId212" o:title=""/>
            </v:shape>
            <v:shape style="position:absolute;left:7967;top:-1006;width:2206;height:10" type="#_x0000_t75" stroked="false">
              <v:imagedata r:id="rId213" o:title=""/>
            </v:shape>
            <v:group style="position:absolute;left:4031;top:-997;width:10;height:20" coordorigin="4031,-997" coordsize="10,20">
              <v:shape style="position:absolute;left:4031;top:-997;width:10;height:20" coordorigin="4031,-997" coordsize="10,20" path="m4031,-977l4040,-977,4040,-997,4031,-997,4031,-977xe" filled="true" fillcolor="#000000" stroked="false">
                <v:path arrowok="t"/>
                <v:fill type="solid"/>
              </v:shape>
            </v:group>
            <v:group style="position:absolute;left:4031;top:-977;width:10;height:20" coordorigin="4031,-977" coordsize="10,20">
              <v:shape style="position:absolute;left:4031;top:-977;width:10;height:20" coordorigin="4031,-977" coordsize="10,20" path="m4031,-958l4040,-958,4040,-977,4031,-977,4031,-958xe" filled="true" fillcolor="#000000" stroked="false">
                <v:path arrowok="t"/>
                <v:fill type="solid"/>
              </v:shape>
            </v:group>
            <v:group style="position:absolute;left:4031;top:-958;width:10;height:20" coordorigin="4031,-958" coordsize="10,20">
              <v:shape style="position:absolute;left:4031;top:-958;width:10;height:20" coordorigin="4031,-958" coordsize="10,20" path="m4031,-939l4040,-939,4040,-958,4031,-958,4031,-939xe" filled="true" fillcolor="#000000" stroked="false">
                <v:path arrowok="t"/>
                <v:fill type="solid"/>
              </v:shape>
            </v:group>
            <v:group style="position:absolute;left:4031;top:-939;width:10;height:20" coordorigin="4031,-939" coordsize="10,20">
              <v:shape style="position:absolute;left:4031;top:-939;width:10;height:20" coordorigin="4031,-939" coordsize="10,20" path="m4031,-919l4040,-919,4040,-939,4031,-939,4031,-919xe" filled="true" fillcolor="#000000" stroked="false">
                <v:path arrowok="t"/>
                <v:fill type="solid"/>
              </v:shape>
            </v:group>
            <v:group style="position:absolute;left:4031;top:-919;width:10;height:20" coordorigin="4031,-919" coordsize="10,20">
              <v:shape style="position:absolute;left:4031;top:-919;width:10;height:20" coordorigin="4031,-919" coordsize="10,20" path="m4031,-900l4040,-900,4040,-919,4031,-919,4031,-900xe" filled="true" fillcolor="#000000" stroked="false">
                <v:path arrowok="t"/>
                <v:fill type="solid"/>
              </v:shape>
            </v:group>
            <v:group style="position:absolute;left:4031;top:-900;width:10;height:20" coordorigin="4031,-900" coordsize="10,20">
              <v:shape style="position:absolute;left:4031;top:-900;width:10;height:20" coordorigin="4031,-900" coordsize="10,20" path="m4031,-881l4040,-881,4040,-900,4031,-900,4031,-881xe" filled="true" fillcolor="#000000" stroked="false">
                <v:path arrowok="t"/>
                <v:fill type="solid"/>
              </v:shape>
            </v:group>
            <v:group style="position:absolute;left:4031;top:-881;width:10;height:20" coordorigin="4031,-881" coordsize="10,20">
              <v:shape style="position:absolute;left:4031;top:-881;width:10;height:20" coordorigin="4031,-881" coordsize="10,20" path="m4031,-862l4040,-862,4040,-881,4031,-881,4031,-862xe" filled="true" fillcolor="#000000" stroked="false">
                <v:path arrowok="t"/>
                <v:fill type="solid"/>
              </v:shape>
              <v:shape style="position:absolute;left:1419;top:-862;width:2631;height:110" type="#_x0000_t75" stroked="false">
                <v:imagedata r:id="rId214" o:title=""/>
              </v:shape>
              <v:shape style="position:absolute;left:4026;top:-766;width:1985;height:14" type="#_x0000_t75" stroked="false">
                <v:imagedata r:id="rId205" o:title=""/>
              </v:shape>
              <v:shape style="position:absolute;left:5996;top:-761;width:1976;height:10" type="#_x0000_t75" stroked="false">
                <v:imagedata r:id="rId202" o:title=""/>
              </v:shape>
              <v:shape style="position:absolute;left:7967;top:-761;width:2206;height:10" type="#_x0000_t75" stroked="false">
                <v:imagedata r:id="rId203" o:title=""/>
              </v:shape>
            </v:group>
            <w10:wrap type="none"/>
          </v:group>
        </w:pict>
      </w:r>
      <w:r>
        <w:rPr/>
        <w:pict>
          <v:group style="position:absolute;margin-left:70.944pt;margin-top:-30.840019pt;width:437.75pt;height:5.4pt;mso-position-horizontal-relative:page;mso-position-vertical-relative:paragraph;z-index:-1317136" coordorigin="1419,-617" coordsize="8755,108">
            <v:shape style="position:absolute;left:1419;top:-617;width:2631;height:108" type="#_x0000_t75" stroked="false">
              <v:imagedata r:id="rId210" o:title=""/>
            </v:shape>
            <v:shape style="position:absolute;left:4026;top:-521;width:1985;height:12" type="#_x0000_t75" stroked="false">
              <v:imagedata r:id="rId211" o:title=""/>
            </v:shape>
            <v:shape style="position:absolute;left:5996;top:-521;width:1985;height:12" type="#_x0000_t75" stroked="false">
              <v:imagedata r:id="rId212" o:title=""/>
            </v:shape>
            <v:shape style="position:absolute;left:7967;top:-518;width:2206;height:10" type="#_x0000_t75" stroked="false">
              <v:imagedata r:id="rId203" o:title=""/>
            </v:shape>
            <w10:wrap type="none"/>
          </v:group>
        </w:pict>
      </w:r>
      <w:r>
        <w:rPr/>
        <w:pict>
          <v:group style="position:absolute;margin-left:70.944pt;margin-top:-18.720020pt;width:437.75pt;height:5.55pt;mso-position-horizontal-relative:page;mso-position-vertical-relative:paragraph;z-index:-1317112" coordorigin="1419,-374" coordsize="8755,111">
            <v:shape style="position:absolute;left:1419;top:-374;width:2631;height:110" type="#_x0000_t75" stroked="false">
              <v:imagedata r:id="rId214" o:title=""/>
            </v:shape>
            <v:shape style="position:absolute;left:4026;top:-278;width:1985;height:14" type="#_x0000_t75" stroked="false">
              <v:imagedata r:id="rId205" o:title=""/>
            </v:shape>
            <v:shape style="position:absolute;left:5996;top:-274;width:1976;height:10" type="#_x0000_t75" stroked="false">
              <v:imagedata r:id="rId202" o:title=""/>
            </v:shape>
            <v:shape style="position:absolute;left:7967;top:-274;width:2206;height:10" type="#_x0000_t75" stroked="false">
              <v:imagedata r:id="rId203" o:title=""/>
            </v:shape>
            <w10:wrap type="none"/>
          </v:group>
        </w:pict>
      </w:r>
      <w:r>
        <w:rPr>
          <w:rFonts w:ascii="宋体"/>
        </w:rPr>
        <w:t> </w:t>
      </w:r>
    </w:p>
    <w:p>
      <w:pPr>
        <w:pStyle w:val="Heading2"/>
        <w:spacing w:line="313" w:lineRule="exact"/>
        <w:ind w:left="216" w:right="0"/>
        <w:jc w:val="left"/>
        <w:rPr>
          <w:rFonts w:ascii="宋体" w:hAnsi="宋体" w:cs="宋体" w:eastAsia="宋体" w:hint="default"/>
        </w:rPr>
      </w:pPr>
      <w:r>
        <w:rPr>
          <w:rFonts w:ascii="宋体"/>
        </w:rPr>
        <w:t> </w:t>
      </w:r>
    </w:p>
    <w:p>
      <w:pPr>
        <w:pStyle w:val="Heading3"/>
        <w:spacing w:line="240" w:lineRule="auto" w:before="85"/>
        <w:ind w:left="216" w:right="0"/>
        <w:jc w:val="left"/>
        <w:rPr>
          <w:rFonts w:ascii="宋体" w:hAnsi="宋体" w:cs="宋体" w:eastAsia="宋体" w:hint="default"/>
          <w:b w:val="0"/>
          <w:bCs w:val="0"/>
        </w:rPr>
      </w:pPr>
      <w:r>
        <w:rPr>
          <w:rFonts w:ascii="宋体" w:hAnsi="宋体" w:cs="宋体" w:eastAsia="宋体" w:hint="default"/>
        </w:rPr>
        <w:t>66</w:t>
      </w:r>
      <w:r>
        <w:rPr/>
        <w:t>、</w:t>
      </w:r>
      <w:r>
        <w:rPr>
          <w:spacing w:val="-27"/>
        </w:rPr>
        <w:t> </w:t>
      </w:r>
      <w:r>
        <w:rPr/>
        <w:t>投资收益</w:t>
      </w:r>
      <w:r>
        <w:rPr>
          <w:rFonts w:ascii="宋体" w:hAnsi="宋体" w:cs="宋体" w:eastAsia="宋体" w:hint="default"/>
          <w:w w:val="99"/>
        </w:rPr>
        <w:t> </w:t>
      </w:r>
      <w:r>
        <w:rPr>
          <w:rFonts w:ascii="宋体" w:hAnsi="宋体" w:cs="宋体" w:eastAsia="宋体" w:hint="default"/>
          <w:b w:val="0"/>
          <w:bCs w:val="0"/>
        </w:rPr>
      </w:r>
    </w:p>
    <w:p>
      <w:pPr>
        <w:pStyle w:val="Heading2"/>
        <w:spacing w:line="240" w:lineRule="auto" w:before="69"/>
        <w:ind w:left="21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3"/>
          <w:szCs w:val="23"/>
        </w:rPr>
      </w:pPr>
    </w:p>
    <w:p>
      <w:pPr>
        <w:pStyle w:val="BodyText"/>
        <w:spacing w:line="240" w:lineRule="auto"/>
        <w:ind w:left="216" w:right="0"/>
        <w:jc w:val="left"/>
        <w:rPr>
          <w:rFonts w:ascii="宋体" w:hAnsi="宋体" w:cs="宋体" w:eastAsia="宋体" w:hint="default"/>
        </w:rPr>
      </w:pPr>
      <w:r>
        <w:rPr/>
        <w:t>单位：元币种：人民币</w:t>
      </w:r>
      <w:r>
        <w:rPr>
          <w:rFonts w:ascii="宋体" w:hAnsi="宋体" w:cs="宋体" w:eastAsia="宋体" w:hint="default"/>
          <w:b/>
          <w:bCs/>
          <w:w w:val="99"/>
        </w:rPr>
        <w:t> </w:t>
      </w:r>
      <w:r>
        <w:rPr>
          <w:rFonts w:ascii="宋体" w:hAnsi="宋体" w:cs="宋体" w:eastAsia="宋体" w:hint="default"/>
        </w:rPr>
      </w:r>
    </w:p>
    <w:p>
      <w:pPr>
        <w:spacing w:after="0" w:line="240" w:lineRule="auto"/>
        <w:jc w:val="left"/>
        <w:rPr>
          <w:rFonts w:ascii="宋体" w:hAnsi="宋体" w:cs="宋体" w:eastAsia="宋体" w:hint="default"/>
        </w:rPr>
        <w:sectPr>
          <w:type w:val="continuous"/>
          <w:pgSz w:w="11910" w:h="16840"/>
          <w:pgMar w:top="1580" w:bottom="280" w:left="1060" w:right="1560"/>
          <w:cols w:num="2" w:equalWidth="0">
            <w:col w:w="2258" w:space="4476"/>
            <w:col w:w="2556"/>
          </w:cols>
        </w:sectPr>
      </w:pPr>
    </w:p>
    <w:p>
      <w:pPr>
        <w:spacing w:line="240" w:lineRule="auto" w:before="10"/>
        <w:rPr>
          <w:rFonts w:ascii="宋体" w:hAnsi="宋体" w:cs="宋体" w:eastAsia="宋体" w:hint="default"/>
          <w:b/>
          <w:bCs/>
          <w:sz w:val="3"/>
          <w:szCs w:val="3"/>
        </w:rPr>
      </w:pPr>
      <w:r>
        <w:rPr/>
        <w:pict>
          <v:group style="position:absolute;margin-left:70.223999pt;margin-top:87.61998pt;width:230.55pt;height:3.5pt;mso-position-horizontal-relative:page;mso-position-vertical-relative:page;z-index:-1317496" coordorigin="1404,1752" coordsize="4611,70">
            <v:group style="position:absolute;left:1419;top:1767;width:2612;height:2" coordorigin="1419,1767" coordsize="2612,2">
              <v:shape style="position:absolute;left:1419;top:1767;width:2612;height:2" coordorigin="1419,1767" coordsize="2612,0" path="m1419,1767l4030,1767e" filled="false" stroked="true" strokeweight="1.44pt" strokecolor="#000000">
                <v:path arrowok="t"/>
              </v:shape>
              <v:shape style="position:absolute;left:4031;top:1781;width:10;height:2" type="#_x0000_t75" stroked="false">
                <v:imagedata r:id="rId215" o:title=""/>
              </v:shape>
            </v:group>
            <v:group style="position:absolute;left:4031;top:1767;width:29;height:2" coordorigin="4031,1767" coordsize="29,2">
              <v:shape style="position:absolute;left:4031;top:1767;width:29;height:2" coordorigin="4031,1767" coordsize="29,0" path="m4031,1767l4059,1767e" filled="false" stroked="true" strokeweight="1.44pt" strokecolor="#000000">
                <v:path arrowok="t"/>
              </v:shape>
            </v:group>
            <v:group style="position:absolute;left:4059;top:1767;width:1942;height:2" coordorigin="4059,1767" coordsize="1942,2">
              <v:shape style="position:absolute;left:4059;top:1767;width:1942;height:2" coordorigin="4059,1767" coordsize="1942,0" path="m4059,1767l6001,1767e" filled="false" stroked="true" strokeweight="1.44pt" strokecolor="#000000">
                <v:path arrowok="t"/>
              </v:shape>
              <v:shape style="position:absolute;left:6001;top:1781;width:10;height:2" type="#_x0000_t75" stroked="false">
                <v:imagedata r:id="rId215" o:title=""/>
              </v:shape>
            </v:group>
            <v:group style="position:absolute;left:4031;top:1784;width:10;height:20" coordorigin="4031,1784" coordsize="10,20">
              <v:shape style="position:absolute;left:4031;top:1784;width:10;height:20" coordorigin="4031,1784" coordsize="10,20" path="m4031,1803l4040,1803,4040,1784,4031,1784,4031,1803xe" filled="true" fillcolor="#000000" stroked="false">
                <v:path arrowok="t"/>
                <v:fill type="solid"/>
              </v:shape>
            </v:group>
            <v:group style="position:absolute;left:4031;top:1803;width:10;height:20" coordorigin="4031,1803" coordsize="10,20">
              <v:shape style="position:absolute;left:4031;top:1803;width:10;height:20" coordorigin="4031,1803" coordsize="10,20" path="m4031,1822l4040,1822,4040,1803,4031,1803,4031,1822xe" filled="true" fillcolor="#000000" stroked="false">
                <v:path arrowok="t"/>
                <v:fill type="solid"/>
              </v:shape>
            </v:group>
            <w10:wrap type="none"/>
          </v:group>
        </w:pict>
      </w:r>
      <w:r>
        <w:rPr/>
        <w:pict>
          <v:group style="position:absolute;margin-left:70.944pt;margin-top:95.899963pt;width:437.75pt;height:5.4pt;mso-position-horizontal-relative:page;mso-position-vertical-relative:page;z-index:-1317472" coordorigin="1419,1918" coordsize="8755,108">
            <v:shape style="position:absolute;left:1419;top:1918;width:2631;height:108" type="#_x0000_t75" stroked="false">
              <v:imagedata r:id="rId216" o:title=""/>
            </v:shape>
            <v:shape style="position:absolute;left:4026;top:2014;width:1985;height:12" type="#_x0000_t75" stroked="false">
              <v:imagedata r:id="rId211" o:title=""/>
            </v:shape>
            <v:shape style="position:absolute;left:5996;top:2014;width:1985;height:12" type="#_x0000_t75" stroked="false">
              <v:imagedata r:id="rId212" o:title=""/>
            </v:shape>
            <v:shape style="position:absolute;left:7967;top:2016;width:2206;height:10" type="#_x0000_t75" stroked="false">
              <v:imagedata r:id="rId203" o:title=""/>
            </v:shape>
            <w10:wrap type="none"/>
          </v:group>
        </w:pict>
      </w:r>
      <w:r>
        <w:rPr/>
        <w:pict>
          <v:group style="position:absolute;margin-left:70.944pt;margin-top:108.019966pt;width:437.75pt;height:5.4pt;mso-position-horizontal-relative:page;mso-position-vertical-relative:page;z-index:-1317448" coordorigin="1419,2160" coordsize="8755,108">
            <v:shape style="position:absolute;left:1419;top:2160;width:2631;height:108" type="#_x0000_t75" stroked="false">
              <v:imagedata r:id="rId217" o:title=""/>
            </v:shape>
            <v:shape style="position:absolute;left:4026;top:2256;width:1985;height:12" type="#_x0000_t75" stroked="false">
              <v:imagedata r:id="rId205" o:title=""/>
            </v:shape>
            <v:shape style="position:absolute;left:5996;top:2256;width:1985;height:12" type="#_x0000_t75" stroked="false">
              <v:imagedata r:id="rId206" o:title=""/>
            </v:shape>
            <v:shape style="position:absolute;left:7967;top:2259;width:2206;height:10" type="#_x0000_t75" stroked="false">
              <v:imagedata r:id="rId203" o:title=""/>
            </v:shape>
            <w10:wrap type="none"/>
          </v:group>
        </w:pict>
      </w:r>
      <w:r>
        <w:rPr/>
        <w:pict>
          <v:group style="position:absolute;margin-left:70.944pt;margin-top:120.139961pt;width:437.75pt;height:5.55pt;mso-position-horizontal-relative:page;mso-position-vertical-relative:page;z-index:-1317424" coordorigin="1419,2403" coordsize="8755,111">
            <v:shape style="position:absolute;left:1419;top:2403;width:2631;height:110" type="#_x0000_t75" stroked="false">
              <v:imagedata r:id="rId200" o:title=""/>
            </v:shape>
            <v:shape style="position:absolute;left:4026;top:2499;width:1985;height:14" type="#_x0000_t75" stroked="false">
              <v:imagedata r:id="rId201" o:title=""/>
            </v:shape>
            <v:shape style="position:absolute;left:5996;top:2504;width:1976;height:10" type="#_x0000_t75" stroked="false">
              <v:imagedata r:id="rId202" o:title=""/>
            </v:shape>
            <v:shape style="position:absolute;left:7967;top:2504;width:2206;height:10" type="#_x0000_t75" stroked="false">
              <v:imagedata r:id="rId203" o:title=""/>
            </v:shape>
            <w10:wrap type="none"/>
          </v:group>
        </w:pict>
      </w:r>
      <w:r>
        <w:rPr/>
        <w:pict>
          <v:group style="position:absolute;margin-left:70.944pt;margin-top:132.379959pt;width:437.75pt;height:5.4pt;mso-position-horizontal-relative:page;mso-position-vertical-relative:page;z-index:-1317400" coordorigin="1419,2648" coordsize="8755,108">
            <v:shape style="position:absolute;left:1419;top:2648;width:2631;height:108" type="#_x0000_t75" stroked="false">
              <v:imagedata r:id="rId217" o:title=""/>
            </v:shape>
            <v:shape style="position:absolute;left:4026;top:2744;width:1985;height:12" type="#_x0000_t75" stroked="false">
              <v:imagedata r:id="rId205" o:title=""/>
            </v:shape>
            <v:shape style="position:absolute;left:5996;top:2744;width:1985;height:12" type="#_x0000_t75" stroked="false">
              <v:imagedata r:id="rId206" o:title=""/>
            </v:shape>
            <v:shape style="position:absolute;left:7967;top:2746;width:2206;height:10" type="#_x0000_t75" stroked="false">
              <v:imagedata r:id="rId203" o:title=""/>
            </v:shape>
            <w10:wrap type="none"/>
          </v:group>
        </w:pict>
      </w:r>
      <w:r>
        <w:rPr/>
        <w:pict>
          <v:group style="position:absolute;margin-left:70.944pt;margin-top:144.499969pt;width:437.75pt;height:5.4pt;mso-position-horizontal-relative:page;mso-position-vertical-relative:page;z-index:-1317376" coordorigin="1419,2890" coordsize="8755,108">
            <v:shape style="position:absolute;left:1419;top:2890;width:2631;height:108" type="#_x0000_t75" stroked="false">
              <v:imagedata r:id="rId210" o:title=""/>
            </v:shape>
            <v:shape style="position:absolute;left:4026;top:2986;width:1985;height:12" type="#_x0000_t75" stroked="false">
              <v:imagedata r:id="rId211" o:title=""/>
            </v:shape>
            <v:shape style="position:absolute;left:5996;top:2986;width:1985;height:12" type="#_x0000_t75" stroked="false">
              <v:imagedata r:id="rId212" o:title=""/>
            </v:shape>
            <v:shape style="position:absolute;left:7967;top:2988;width:2206;height:10" type="#_x0000_t75" stroked="false">
              <v:imagedata r:id="rId213" o:title=""/>
            </v:shape>
            <w10:wrap type="none"/>
          </v:group>
        </w:pict>
      </w:r>
      <w:r>
        <w:rPr/>
        <w:pict>
          <v:group style="position:absolute;margin-left:70.944pt;margin-top:156.619965pt;width:437.75pt;height:5.55pt;mso-position-horizontal-relative:page;mso-position-vertical-relative:page;z-index:-1317352" coordorigin="1419,3132" coordsize="8755,111">
            <v:shape style="position:absolute;left:1419;top:3132;width:2631;height:110" type="#_x0000_t75" stroked="false">
              <v:imagedata r:id="rId218" o:title=""/>
            </v:shape>
            <v:shape style="position:absolute;left:4026;top:3228;width:1985;height:14" type="#_x0000_t75" stroked="false">
              <v:imagedata r:id="rId201" o:title=""/>
            </v:shape>
            <v:shape style="position:absolute;left:5996;top:3233;width:1976;height:10" type="#_x0000_t75" stroked="false">
              <v:imagedata r:id="rId202" o:title=""/>
            </v:shape>
            <v:shape style="position:absolute;left:7967;top:3233;width:2206;height:10" type="#_x0000_t75" stroked="false">
              <v:imagedata r:id="rId203" o:title=""/>
            </v:shape>
            <w10:wrap type="none"/>
          </v:group>
        </w:pict>
      </w:r>
      <w:r>
        <w:rPr/>
        <w:pict>
          <v:group style="position:absolute;margin-left:70.944pt;margin-top:168.85997pt;width:437.75pt;height:5.4pt;mso-position-horizontal-relative:page;mso-position-vertical-relative:page;z-index:-1317328" coordorigin="1419,3377" coordsize="8755,108">
            <v:shape style="position:absolute;left:1419;top:3377;width:2631;height:108" type="#_x0000_t75" stroked="false">
              <v:imagedata r:id="rId210" o:title=""/>
            </v:shape>
            <v:shape style="position:absolute;left:4026;top:3473;width:1985;height:12" type="#_x0000_t75" stroked="false">
              <v:imagedata r:id="rId211" o:title=""/>
            </v:shape>
            <v:shape style="position:absolute;left:5996;top:3473;width:1985;height:12" type="#_x0000_t75" stroked="false">
              <v:imagedata r:id="rId212" o:title=""/>
            </v:shape>
            <v:shape style="position:absolute;left:7967;top:3476;width:2206;height:10" type="#_x0000_t75" stroked="false">
              <v:imagedata r:id="rId213" o:title=""/>
            </v:shape>
            <w10:wrap type="none"/>
          </v:group>
        </w:pict>
      </w:r>
      <w:r>
        <w:rPr/>
        <w:pict>
          <v:group style="position:absolute;margin-left:70.944pt;margin-top:180.979965pt;width:437.75pt;height:5.55pt;mso-position-horizontal-relative:page;mso-position-vertical-relative:page;z-index:-1317304" coordorigin="1419,3620" coordsize="8755,111">
            <v:shape style="position:absolute;left:1419;top:3620;width:2631;height:110" type="#_x0000_t75" stroked="false">
              <v:imagedata r:id="rId200" o:title=""/>
            </v:shape>
            <v:shape style="position:absolute;left:4026;top:3716;width:1985;height:14" type="#_x0000_t75" stroked="false">
              <v:imagedata r:id="rId201" o:title=""/>
            </v:shape>
            <v:shape style="position:absolute;left:5996;top:3720;width:1976;height:10" type="#_x0000_t75" stroked="false">
              <v:imagedata r:id="rId202" o:title=""/>
            </v:shape>
            <v:shape style="position:absolute;left:7967;top:3720;width:2206;height:10" type="#_x0000_t75" stroked="false">
              <v:imagedata r:id="rId203" o:title=""/>
            </v:shape>
            <w10:wrap type="none"/>
          </v:group>
        </w:pict>
      </w:r>
      <w:r>
        <w:rPr/>
        <w:pict>
          <v:group style="position:absolute;margin-left:70.944pt;margin-top:193.219955pt;width:437.75pt;height:5.4pt;mso-position-horizontal-relative:page;mso-position-vertical-relative:page;z-index:-1317280" coordorigin="1419,3864" coordsize="8755,108">
            <v:shape style="position:absolute;left:1419;top:3864;width:2631;height:108" type="#_x0000_t75" stroked="false">
              <v:imagedata r:id="rId210" o:title=""/>
            </v:shape>
            <v:shape style="position:absolute;left:4026;top:3960;width:1985;height:12" type="#_x0000_t75" stroked="false">
              <v:imagedata r:id="rId211" o:title=""/>
            </v:shape>
            <v:shape style="position:absolute;left:5996;top:3960;width:1985;height:12" type="#_x0000_t75" stroked="false">
              <v:imagedata r:id="rId212" o:title=""/>
            </v:shape>
            <v:shape style="position:absolute;left:7967;top:3963;width:2206;height:10" type="#_x0000_t75" stroked="false">
              <v:imagedata r:id="rId213" o:title=""/>
            </v:shape>
            <w10:wrap type="none"/>
          </v:group>
        </w:pict>
      </w:r>
    </w:p>
    <w:tbl>
      <w:tblPr>
        <w:tblW w:w="0" w:type="auto"/>
        <w:jc w:val="left"/>
        <w:tblInd w:w="103" w:type="dxa"/>
        <w:tblLayout w:type="fixed"/>
        <w:tblCellMar>
          <w:top w:w="0" w:type="dxa"/>
          <w:left w:w="0" w:type="dxa"/>
          <w:bottom w:w="0" w:type="dxa"/>
          <w:right w:w="0" w:type="dxa"/>
        </w:tblCellMar>
        <w:tblLook w:val="01E0"/>
      </w:tblPr>
      <w:tblGrid>
        <w:gridCol w:w="3793"/>
        <w:gridCol w:w="2696"/>
        <w:gridCol w:w="2561"/>
      </w:tblGrid>
      <w:tr>
        <w:trPr>
          <w:trHeight w:val="322" w:hRule="exact"/>
        </w:trPr>
        <w:tc>
          <w:tcPr>
            <w:tcW w:w="379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816"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48"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322" w:hRule="exact"/>
        </w:trPr>
        <w:tc>
          <w:tcPr>
            <w:tcW w:w="379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权益法核算的长期股权投资收益</w:t>
            </w:r>
            <w:r>
              <w:rPr>
                <w:rFonts w:ascii="宋体" w:hAnsi="宋体" w:cs="宋体" w:eastAsia="宋体" w:hint="default"/>
                <w:sz w:val="21"/>
                <w:szCs w:val="21"/>
              </w:rPr>
              <w:t> </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-2,237,313.08</w:t>
            </w:r>
            <w:r>
              <w:rPr>
                <w:rFonts w:ascii="宋体"/>
                <w:sz w:val="21"/>
              </w:rPr>
              <w:t> </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1,275,289.40</w:t>
            </w:r>
            <w:r>
              <w:rPr>
                <w:rFonts w:ascii="宋体"/>
                <w:sz w:val="21"/>
              </w:rPr>
              <w:t> </w:t>
            </w:r>
          </w:p>
        </w:tc>
      </w:tr>
      <w:tr>
        <w:trPr>
          <w:trHeight w:val="322" w:hRule="exact"/>
        </w:trPr>
        <w:tc>
          <w:tcPr>
            <w:tcW w:w="3793"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处置长期股权投资产生的投资收益</w:t>
            </w:r>
            <w:r>
              <w:rPr>
                <w:rFonts w:ascii="宋体" w:hAnsi="宋体" w:cs="宋体" w:eastAsia="宋体" w:hint="default"/>
                <w:sz w:val="21"/>
                <w:szCs w:val="21"/>
              </w:rPr>
              <w:t> </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1"/>
              <w:jc w:val="right"/>
              <w:rPr>
                <w:rFonts w:ascii="宋体" w:hAnsi="宋体" w:cs="宋体" w:eastAsia="宋体" w:hint="default"/>
                <w:sz w:val="21"/>
                <w:szCs w:val="21"/>
              </w:rPr>
            </w:pPr>
            <w:r>
              <w:rPr>
                <w:rFonts w:ascii="宋体"/>
                <w:spacing w:val="-1"/>
                <w:sz w:val="21"/>
              </w:rPr>
              <w:t>11,230,568.63</w:t>
            </w:r>
            <w:r>
              <w:rPr>
                <w:rFonts w:ascii="宋体"/>
                <w:sz w:val="21"/>
              </w:rPr>
              <w:t> </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3"/>
              <w:jc w:val="right"/>
              <w:rPr>
                <w:rFonts w:ascii="宋体" w:hAnsi="宋体" w:cs="宋体" w:eastAsia="宋体" w:hint="default"/>
                <w:sz w:val="21"/>
                <w:szCs w:val="21"/>
              </w:rPr>
            </w:pPr>
            <w:r>
              <w:rPr>
                <w:rFonts w:ascii="宋体"/>
                <w:spacing w:val="-1"/>
                <w:sz w:val="21"/>
              </w:rPr>
              <w:t>-1,209,435.49</w:t>
            </w:r>
            <w:r>
              <w:rPr>
                <w:rFonts w:ascii="宋体"/>
                <w:sz w:val="21"/>
              </w:rPr>
              <w:t> </w:t>
            </w:r>
          </w:p>
        </w:tc>
      </w:tr>
      <w:tr>
        <w:trPr>
          <w:trHeight w:val="634" w:hRule="exact"/>
        </w:trPr>
        <w:tc>
          <w:tcPr>
            <w:tcW w:w="379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4"/>
              <w:jc w:val="left"/>
              <w:rPr>
                <w:rFonts w:ascii="宋体" w:hAnsi="宋体" w:cs="宋体" w:eastAsia="宋体" w:hint="default"/>
                <w:sz w:val="21"/>
                <w:szCs w:val="21"/>
              </w:rPr>
            </w:pPr>
            <w:r>
              <w:rPr>
                <w:rFonts w:ascii="宋体" w:hAnsi="宋体" w:cs="宋体" w:eastAsia="宋体" w:hint="default"/>
                <w:spacing w:val="-2"/>
                <w:sz w:val="21"/>
                <w:szCs w:val="21"/>
              </w:rPr>
              <w:t>以公允价值计量且其变动计入当期损益</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的金融资产在持有期间的投资收益</w:t>
            </w:r>
            <w:r>
              <w:rPr>
                <w:rFonts w:ascii="宋体" w:hAnsi="宋体" w:cs="宋体" w:eastAsia="宋体" w:hint="default"/>
                <w:sz w:val="21"/>
                <w:szCs w:val="21"/>
              </w:rPr>
              <w:t> </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
              <w:jc w:val="right"/>
              <w:rPr>
                <w:rFonts w:ascii="宋体" w:hAnsi="宋体" w:cs="宋体" w:eastAsia="宋体" w:hint="default"/>
                <w:sz w:val="21"/>
                <w:szCs w:val="21"/>
              </w:rPr>
            </w:pPr>
            <w:r>
              <w:rPr>
                <w:rFonts w:ascii="宋体"/>
                <w:w w:val="100"/>
                <w:sz w:val="21"/>
              </w:rPr>
              <w:t> </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3"/>
              <w:jc w:val="right"/>
              <w:rPr>
                <w:rFonts w:ascii="宋体" w:hAnsi="宋体" w:cs="宋体" w:eastAsia="宋体" w:hint="default"/>
                <w:sz w:val="21"/>
                <w:szCs w:val="21"/>
              </w:rPr>
            </w:pPr>
            <w:r>
              <w:rPr>
                <w:rFonts w:ascii="宋体"/>
                <w:w w:val="100"/>
                <w:sz w:val="21"/>
              </w:rPr>
              <w:t> </w:t>
            </w:r>
          </w:p>
        </w:tc>
      </w:tr>
      <w:tr>
        <w:trPr>
          <w:trHeight w:val="634" w:hRule="exact"/>
        </w:trPr>
        <w:tc>
          <w:tcPr>
            <w:tcW w:w="379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4"/>
              <w:jc w:val="left"/>
              <w:rPr>
                <w:rFonts w:ascii="宋体" w:hAnsi="宋体" w:cs="宋体" w:eastAsia="宋体" w:hint="default"/>
                <w:sz w:val="21"/>
                <w:szCs w:val="21"/>
              </w:rPr>
            </w:pPr>
            <w:r>
              <w:rPr>
                <w:rFonts w:ascii="宋体" w:hAnsi="宋体" w:cs="宋体" w:eastAsia="宋体" w:hint="default"/>
                <w:spacing w:val="-2"/>
                <w:sz w:val="21"/>
                <w:szCs w:val="21"/>
              </w:rPr>
              <w:t>处置以公允价值计量且其变动计入当期</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损益的金融资产取得的投资收益</w:t>
            </w:r>
            <w:r>
              <w:rPr>
                <w:rFonts w:ascii="宋体" w:hAnsi="宋体" w:cs="宋体" w:eastAsia="宋体" w:hint="default"/>
                <w:sz w:val="21"/>
                <w:szCs w:val="21"/>
              </w:rPr>
              <w:t> </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
              <w:jc w:val="right"/>
              <w:rPr>
                <w:rFonts w:ascii="宋体" w:hAnsi="宋体" w:cs="宋体" w:eastAsia="宋体" w:hint="default"/>
                <w:sz w:val="21"/>
                <w:szCs w:val="21"/>
              </w:rPr>
            </w:pPr>
            <w:r>
              <w:rPr>
                <w:rFonts w:ascii="宋体"/>
                <w:w w:val="100"/>
                <w:sz w:val="21"/>
              </w:rPr>
              <w:t> </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3"/>
              <w:jc w:val="right"/>
              <w:rPr>
                <w:rFonts w:ascii="宋体" w:hAnsi="宋体" w:cs="宋体" w:eastAsia="宋体" w:hint="default"/>
                <w:sz w:val="21"/>
                <w:szCs w:val="21"/>
              </w:rPr>
            </w:pPr>
            <w:r>
              <w:rPr>
                <w:rFonts w:ascii="宋体"/>
                <w:w w:val="100"/>
                <w:sz w:val="21"/>
              </w:rPr>
              <w:t> </w:t>
            </w:r>
          </w:p>
        </w:tc>
      </w:tr>
      <w:tr>
        <w:trPr>
          <w:trHeight w:val="324" w:hRule="exact"/>
        </w:trPr>
        <w:tc>
          <w:tcPr>
            <w:tcW w:w="379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持有至到期投资在持有期间的投资收益</w:t>
            </w:r>
            <w:r>
              <w:rPr>
                <w:rFonts w:ascii="宋体" w:hAnsi="宋体" w:cs="宋体" w:eastAsia="宋体" w:hint="default"/>
                <w:sz w:val="21"/>
                <w:szCs w:val="21"/>
              </w:rPr>
              <w:t> </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
              <w:jc w:val="right"/>
              <w:rPr>
                <w:rFonts w:ascii="宋体" w:hAnsi="宋体" w:cs="宋体" w:eastAsia="宋体" w:hint="default"/>
                <w:sz w:val="21"/>
                <w:szCs w:val="21"/>
              </w:rPr>
            </w:pPr>
            <w:r>
              <w:rPr>
                <w:rFonts w:ascii="宋体"/>
                <w:w w:val="100"/>
                <w:sz w:val="21"/>
              </w:rPr>
              <w:t> </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379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处置持有至到期投资取得的投资收益</w:t>
            </w:r>
            <w:r>
              <w:rPr>
                <w:rFonts w:ascii="宋体" w:hAnsi="宋体" w:cs="宋体" w:eastAsia="宋体" w:hint="default"/>
                <w:sz w:val="21"/>
                <w:szCs w:val="21"/>
              </w:rPr>
              <w:t> </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634" w:hRule="exact"/>
        </w:trPr>
        <w:tc>
          <w:tcPr>
            <w:tcW w:w="379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4"/>
              <w:jc w:val="left"/>
              <w:rPr>
                <w:rFonts w:ascii="宋体" w:hAnsi="宋体" w:cs="宋体" w:eastAsia="宋体" w:hint="default"/>
                <w:sz w:val="21"/>
                <w:szCs w:val="21"/>
              </w:rPr>
            </w:pPr>
            <w:r>
              <w:rPr>
                <w:rFonts w:ascii="宋体" w:hAnsi="宋体" w:cs="宋体" w:eastAsia="宋体" w:hint="default"/>
                <w:spacing w:val="-2"/>
                <w:sz w:val="21"/>
                <w:szCs w:val="21"/>
              </w:rPr>
              <w:t>可供出售金融资产在持有期间取得的投</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资收益</w:t>
            </w:r>
            <w:r>
              <w:rPr>
                <w:rFonts w:ascii="宋体" w:hAnsi="宋体" w:cs="宋体" w:eastAsia="宋体" w:hint="default"/>
                <w:sz w:val="21"/>
                <w:szCs w:val="21"/>
              </w:rPr>
              <w:t> </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
              <w:jc w:val="right"/>
              <w:rPr>
                <w:rFonts w:ascii="宋体" w:hAnsi="宋体" w:cs="宋体" w:eastAsia="宋体" w:hint="default"/>
                <w:sz w:val="21"/>
                <w:szCs w:val="21"/>
              </w:rPr>
            </w:pPr>
            <w:r>
              <w:rPr>
                <w:rFonts w:ascii="宋体"/>
                <w:w w:val="100"/>
                <w:sz w:val="21"/>
              </w:rPr>
              <w:t> </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3"/>
              <w:jc w:val="right"/>
              <w:rPr>
                <w:rFonts w:ascii="宋体" w:hAnsi="宋体" w:cs="宋体" w:eastAsia="宋体" w:hint="default"/>
                <w:sz w:val="21"/>
                <w:szCs w:val="21"/>
              </w:rPr>
            </w:pPr>
            <w:r>
              <w:rPr>
                <w:rFonts w:ascii="宋体"/>
                <w:w w:val="100"/>
                <w:sz w:val="21"/>
              </w:rPr>
              <w:t> </w:t>
            </w:r>
          </w:p>
        </w:tc>
      </w:tr>
      <w:tr>
        <w:trPr>
          <w:trHeight w:val="322" w:hRule="exact"/>
        </w:trPr>
        <w:tc>
          <w:tcPr>
            <w:tcW w:w="379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处置可供出售金融资产取得的投资收益</w:t>
            </w:r>
            <w:r>
              <w:rPr>
                <w:rFonts w:ascii="宋体" w:hAnsi="宋体" w:cs="宋体" w:eastAsia="宋体" w:hint="default"/>
                <w:sz w:val="21"/>
                <w:szCs w:val="21"/>
              </w:rPr>
              <w:t> </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379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交易性金融资产在持有期间的投资收益</w:t>
            </w:r>
            <w:r>
              <w:rPr>
                <w:rFonts w:ascii="宋体" w:hAnsi="宋体" w:cs="宋体" w:eastAsia="宋体" w:hint="default"/>
                <w:sz w:val="21"/>
                <w:szCs w:val="21"/>
              </w:rPr>
              <w:t> </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634" w:hRule="exact"/>
        </w:trPr>
        <w:tc>
          <w:tcPr>
            <w:tcW w:w="379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4"/>
              <w:jc w:val="left"/>
              <w:rPr>
                <w:rFonts w:ascii="宋体" w:hAnsi="宋体" w:cs="宋体" w:eastAsia="宋体" w:hint="default"/>
                <w:sz w:val="21"/>
                <w:szCs w:val="21"/>
              </w:rPr>
            </w:pPr>
            <w:r>
              <w:rPr>
                <w:rFonts w:ascii="宋体" w:hAnsi="宋体" w:cs="宋体" w:eastAsia="宋体" w:hint="default"/>
                <w:spacing w:val="-2"/>
                <w:sz w:val="21"/>
                <w:szCs w:val="21"/>
              </w:rPr>
              <w:t>其他权益工具投资在持有期间取得的股</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利收入</w:t>
            </w:r>
            <w:r>
              <w:rPr>
                <w:rFonts w:ascii="宋体" w:hAnsi="宋体" w:cs="宋体" w:eastAsia="宋体" w:hint="default"/>
                <w:sz w:val="21"/>
                <w:szCs w:val="21"/>
              </w:rPr>
              <w:t> </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
              <w:jc w:val="right"/>
              <w:rPr>
                <w:rFonts w:ascii="宋体" w:hAnsi="宋体" w:cs="宋体" w:eastAsia="宋体" w:hint="default"/>
                <w:sz w:val="21"/>
                <w:szCs w:val="21"/>
              </w:rPr>
            </w:pPr>
            <w:r>
              <w:rPr>
                <w:rFonts w:ascii="宋体"/>
                <w:w w:val="100"/>
                <w:sz w:val="21"/>
              </w:rPr>
              <w:t> </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3"/>
              <w:jc w:val="right"/>
              <w:rPr>
                <w:rFonts w:ascii="宋体" w:hAnsi="宋体" w:cs="宋体" w:eastAsia="宋体" w:hint="default"/>
                <w:sz w:val="21"/>
                <w:szCs w:val="21"/>
              </w:rPr>
            </w:pPr>
            <w:r>
              <w:rPr>
                <w:rFonts w:ascii="宋体"/>
                <w:w w:val="100"/>
                <w:sz w:val="21"/>
              </w:rPr>
              <w:t> </w:t>
            </w:r>
          </w:p>
        </w:tc>
      </w:tr>
      <w:tr>
        <w:trPr>
          <w:trHeight w:val="324" w:hRule="exact"/>
        </w:trPr>
        <w:tc>
          <w:tcPr>
            <w:tcW w:w="379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债权投资在持有期间取得的利息收入</w:t>
            </w:r>
            <w:r>
              <w:rPr>
                <w:rFonts w:ascii="宋体" w:hAnsi="宋体" w:cs="宋体" w:eastAsia="宋体" w:hint="default"/>
                <w:sz w:val="21"/>
                <w:szCs w:val="21"/>
              </w:rPr>
              <w:t> </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
              <w:jc w:val="right"/>
              <w:rPr>
                <w:rFonts w:ascii="宋体" w:hAnsi="宋体" w:cs="宋体" w:eastAsia="宋体" w:hint="default"/>
                <w:sz w:val="21"/>
                <w:szCs w:val="21"/>
              </w:rPr>
            </w:pPr>
            <w:r>
              <w:rPr>
                <w:rFonts w:ascii="宋体"/>
                <w:w w:val="100"/>
                <w:sz w:val="21"/>
              </w:rPr>
              <w:t> </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w w:val="100"/>
                <w:sz w:val="21"/>
              </w:rPr>
              <w:t> </w:t>
            </w:r>
          </w:p>
        </w:tc>
      </w:tr>
      <w:tr>
        <w:trPr>
          <w:trHeight w:val="634" w:hRule="exact"/>
        </w:trPr>
        <w:tc>
          <w:tcPr>
            <w:tcW w:w="379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4"/>
              <w:jc w:val="left"/>
              <w:rPr>
                <w:rFonts w:ascii="宋体" w:hAnsi="宋体" w:cs="宋体" w:eastAsia="宋体" w:hint="default"/>
                <w:sz w:val="21"/>
                <w:szCs w:val="21"/>
              </w:rPr>
            </w:pPr>
            <w:r>
              <w:rPr>
                <w:rFonts w:ascii="宋体" w:hAnsi="宋体" w:cs="宋体" w:eastAsia="宋体" w:hint="default"/>
                <w:spacing w:val="-2"/>
                <w:sz w:val="21"/>
                <w:szCs w:val="21"/>
              </w:rPr>
              <w:t>其他债权投资在持有期间取得的利息收</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入</w:t>
            </w:r>
            <w:r>
              <w:rPr>
                <w:rFonts w:ascii="宋体" w:hAnsi="宋体" w:cs="宋体" w:eastAsia="宋体" w:hint="default"/>
                <w:sz w:val="21"/>
                <w:szCs w:val="21"/>
              </w:rPr>
              <w:t> </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
              <w:jc w:val="right"/>
              <w:rPr>
                <w:rFonts w:ascii="宋体" w:hAnsi="宋体" w:cs="宋体" w:eastAsia="宋体" w:hint="default"/>
                <w:sz w:val="21"/>
                <w:szCs w:val="21"/>
              </w:rPr>
            </w:pPr>
            <w:r>
              <w:rPr>
                <w:rFonts w:ascii="宋体"/>
                <w:w w:val="100"/>
                <w:sz w:val="21"/>
              </w:rPr>
              <w:t> </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3"/>
              <w:jc w:val="right"/>
              <w:rPr>
                <w:rFonts w:ascii="宋体" w:hAnsi="宋体" w:cs="宋体" w:eastAsia="宋体" w:hint="default"/>
                <w:sz w:val="21"/>
                <w:szCs w:val="21"/>
              </w:rPr>
            </w:pPr>
            <w:r>
              <w:rPr>
                <w:rFonts w:ascii="宋体"/>
                <w:w w:val="100"/>
                <w:sz w:val="21"/>
              </w:rPr>
              <w:t> </w:t>
            </w:r>
          </w:p>
        </w:tc>
      </w:tr>
      <w:tr>
        <w:trPr>
          <w:trHeight w:val="322" w:hRule="exact"/>
        </w:trPr>
        <w:tc>
          <w:tcPr>
            <w:tcW w:w="379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处置交易性金融资产取得的投资收益</w:t>
            </w:r>
            <w:r>
              <w:rPr>
                <w:rFonts w:ascii="宋体" w:hAnsi="宋体" w:cs="宋体" w:eastAsia="宋体" w:hint="default"/>
                <w:sz w:val="21"/>
                <w:szCs w:val="21"/>
              </w:rPr>
              <w:t> </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379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处置其他权益工具投资取得的投资收益</w:t>
            </w:r>
            <w:r>
              <w:rPr>
                <w:rFonts w:ascii="宋体" w:hAnsi="宋体" w:cs="宋体" w:eastAsia="宋体" w:hint="default"/>
                <w:sz w:val="21"/>
                <w:szCs w:val="21"/>
              </w:rPr>
              <w:t> </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379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处置债权投资取得的投资收益</w:t>
            </w:r>
            <w:r>
              <w:rPr>
                <w:rFonts w:ascii="宋体" w:hAnsi="宋体" w:cs="宋体" w:eastAsia="宋体" w:hint="default"/>
                <w:sz w:val="21"/>
                <w:szCs w:val="21"/>
              </w:rPr>
              <w:t> </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379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处置其他债权投资取得的投资收益</w:t>
            </w:r>
            <w:r>
              <w:rPr>
                <w:rFonts w:ascii="宋体" w:hAnsi="宋体" w:cs="宋体" w:eastAsia="宋体" w:hint="default"/>
                <w:sz w:val="21"/>
                <w:szCs w:val="21"/>
              </w:rPr>
              <w:t> </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4" w:hRule="exact"/>
        </w:trPr>
        <w:tc>
          <w:tcPr>
            <w:tcW w:w="379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丧失控制权后，剩余股权按公允价值重</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
              <w:jc w:val="right"/>
              <w:rPr>
                <w:rFonts w:ascii="宋体" w:hAnsi="宋体" w:cs="宋体" w:eastAsia="宋体" w:hint="default"/>
                <w:sz w:val="21"/>
                <w:szCs w:val="21"/>
              </w:rPr>
            </w:pPr>
            <w:r>
              <w:rPr>
                <w:rFonts w:ascii="宋体"/>
                <w:spacing w:val="-1"/>
                <w:sz w:val="21"/>
              </w:rPr>
              <w:t>9,282,868.22</w:t>
            </w:r>
            <w:r>
              <w:rPr>
                <w:rFonts w:ascii="宋体"/>
                <w:sz w:val="21"/>
              </w:rPr>
              <w:t> </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w w:val="100"/>
                <w:sz w:val="21"/>
              </w:rPr>
              <w:t> </w:t>
            </w:r>
          </w:p>
        </w:tc>
      </w:tr>
    </w:tbl>
    <w:p>
      <w:pPr>
        <w:spacing w:after="0" w:line="265" w:lineRule="exact"/>
        <w:jc w:val="right"/>
        <w:rPr>
          <w:rFonts w:ascii="宋体" w:hAnsi="宋体" w:cs="宋体" w:eastAsia="宋体" w:hint="default"/>
          <w:sz w:val="21"/>
          <w:szCs w:val="21"/>
        </w:rPr>
        <w:sectPr>
          <w:type w:val="continuous"/>
          <w:pgSz w:w="11910" w:h="16840"/>
          <w:pgMar w:top="1580" w:bottom="280" w:left="1060" w:right="1560"/>
        </w:sectPr>
      </w:pPr>
    </w:p>
    <w:p>
      <w:pPr>
        <w:spacing w:line="240" w:lineRule="auto" w:before="11"/>
        <w:rPr>
          <w:rFonts w:ascii="宋体" w:hAnsi="宋体" w:cs="宋体" w:eastAsia="宋体" w:hint="default"/>
          <w:b/>
          <w:bCs/>
          <w:sz w:val="22"/>
          <w:szCs w:val="22"/>
        </w:rPr>
      </w:pPr>
    </w:p>
    <w:tbl>
      <w:tblPr>
        <w:tblW w:w="0" w:type="auto"/>
        <w:jc w:val="left"/>
        <w:tblInd w:w="103" w:type="dxa"/>
        <w:tblLayout w:type="fixed"/>
        <w:tblCellMar>
          <w:top w:w="0" w:type="dxa"/>
          <w:left w:w="0" w:type="dxa"/>
          <w:bottom w:w="0" w:type="dxa"/>
          <w:right w:w="0" w:type="dxa"/>
        </w:tblCellMar>
        <w:tblLook w:val="01E0"/>
      </w:tblPr>
      <w:tblGrid>
        <w:gridCol w:w="3793"/>
        <w:gridCol w:w="2696"/>
        <w:gridCol w:w="2561"/>
      </w:tblGrid>
      <w:tr>
        <w:trPr>
          <w:trHeight w:val="322" w:hRule="exact"/>
        </w:trPr>
        <w:tc>
          <w:tcPr>
            <w:tcW w:w="379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新计量产生的利得</w:t>
            </w:r>
            <w:r>
              <w:rPr>
                <w:rFonts w:ascii="宋体" w:hAnsi="宋体" w:cs="宋体" w:eastAsia="宋体" w:hint="default"/>
                <w:sz w:val="21"/>
                <w:szCs w:val="21"/>
              </w:rPr>
              <w:t> </w:t>
            </w:r>
          </w:p>
        </w:tc>
        <w:tc>
          <w:tcPr>
            <w:tcW w:w="2696" w:type="dxa"/>
            <w:tcBorders>
              <w:top w:val="single" w:sz="4" w:space="0" w:color="000000"/>
              <w:left w:val="single" w:sz="4" w:space="0" w:color="000000"/>
              <w:bottom w:val="single" w:sz="4" w:space="0" w:color="000000"/>
              <w:right w:val="single" w:sz="4" w:space="0" w:color="000000"/>
            </w:tcBorders>
          </w:tcPr>
          <w:p>
            <w:pPr/>
          </w:p>
        </w:tc>
        <w:tc>
          <w:tcPr>
            <w:tcW w:w="256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79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理财产品收益</w:t>
            </w:r>
            <w:r>
              <w:rPr>
                <w:rFonts w:ascii="宋体" w:hAnsi="宋体" w:cs="宋体" w:eastAsia="宋体" w:hint="default"/>
                <w:sz w:val="21"/>
                <w:szCs w:val="21"/>
              </w:rPr>
              <w:t> </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62,838,455.61</w:t>
            </w:r>
            <w:r>
              <w:rPr>
                <w:rFonts w:ascii="宋体"/>
                <w:sz w:val="21"/>
              </w:rPr>
              <w:t> </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55,738,673.44</w:t>
            </w:r>
            <w:r>
              <w:rPr>
                <w:rFonts w:ascii="宋体"/>
                <w:sz w:val="21"/>
              </w:rPr>
              <w:t> </w:t>
            </w:r>
          </w:p>
        </w:tc>
      </w:tr>
      <w:tr>
        <w:trPr>
          <w:trHeight w:val="324" w:hRule="exact"/>
        </w:trPr>
        <w:tc>
          <w:tcPr>
            <w:tcW w:w="379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81,114,579.38</w:t>
            </w:r>
            <w:r>
              <w:rPr>
                <w:rFonts w:ascii="宋体"/>
                <w:sz w:val="21"/>
              </w:rPr>
              <w:t> </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55,804,527.35</w:t>
            </w:r>
            <w:r>
              <w:rPr>
                <w:rFonts w:ascii="宋体"/>
                <w:sz w:val="21"/>
              </w:rPr>
              <w:t> </w:t>
            </w:r>
          </w:p>
        </w:tc>
      </w:tr>
    </w:tbl>
    <w:p>
      <w:pPr>
        <w:spacing w:after="0" w:line="262" w:lineRule="exact"/>
        <w:jc w:val="right"/>
        <w:rPr>
          <w:rFonts w:ascii="宋体" w:hAnsi="宋体" w:cs="宋体" w:eastAsia="宋体" w:hint="default"/>
          <w:sz w:val="21"/>
          <w:szCs w:val="21"/>
        </w:rPr>
        <w:sectPr>
          <w:pgSz w:w="11910" w:h="16840"/>
          <w:pgMar w:header="0" w:footer="974" w:top="1140" w:bottom="1160" w:left="1060" w:right="1560"/>
        </w:sectPr>
      </w:pPr>
    </w:p>
    <w:p>
      <w:pPr>
        <w:pStyle w:val="BodyText"/>
        <w:spacing w:line="262" w:lineRule="exact"/>
        <w:ind w:left="216" w:right="0"/>
        <w:jc w:val="left"/>
        <w:rPr>
          <w:rFonts w:ascii="宋体" w:hAnsi="宋体" w:cs="宋体" w:eastAsia="宋体" w:hint="default"/>
        </w:rPr>
      </w:pPr>
      <w:r>
        <w:rPr>
          <w:rFonts w:ascii="宋体"/>
          <w:w w:val="100"/>
        </w:rPr>
        <w:t> </w:t>
      </w:r>
    </w:p>
    <w:p>
      <w:pPr>
        <w:pStyle w:val="Heading3"/>
        <w:spacing w:line="240" w:lineRule="auto"/>
        <w:ind w:left="216" w:right="0"/>
        <w:jc w:val="left"/>
        <w:rPr>
          <w:b w:val="0"/>
          <w:bCs w:val="0"/>
        </w:rPr>
      </w:pPr>
      <w:r>
        <w:rPr>
          <w:rFonts w:ascii="宋体" w:hAnsi="宋体" w:cs="宋体" w:eastAsia="宋体" w:hint="default"/>
        </w:rPr>
        <w:t>67</w:t>
      </w:r>
      <w:r>
        <w:rPr/>
        <w:t>、</w:t>
      </w:r>
      <w:r>
        <w:rPr>
          <w:spacing w:val="-23"/>
        </w:rPr>
        <w:t> </w:t>
      </w:r>
      <w:r>
        <w:rPr/>
        <w:t>净敞口套期收益</w:t>
      </w:r>
      <w:r>
        <w:rPr>
          <w:b w:val="0"/>
          <w:bCs w:val="0"/>
        </w:rPr>
      </w:r>
    </w:p>
    <w:p>
      <w:pPr>
        <w:pStyle w:val="BodyText"/>
        <w:spacing w:line="240" w:lineRule="auto" w:before="97"/>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left="216" w:right="0"/>
        <w:jc w:val="left"/>
        <w:rPr>
          <w:rFonts w:ascii="宋体" w:hAnsi="宋体" w:cs="宋体" w:eastAsia="宋体" w:hint="default"/>
        </w:rPr>
      </w:pPr>
      <w:r>
        <w:rPr>
          <w:rFonts w:ascii="宋体"/>
          <w:w w:val="100"/>
        </w:rPr>
        <w:t> </w:t>
      </w:r>
    </w:p>
    <w:p>
      <w:pPr>
        <w:pStyle w:val="Heading3"/>
        <w:spacing w:line="240" w:lineRule="auto"/>
        <w:ind w:left="216" w:right="0"/>
        <w:jc w:val="left"/>
        <w:rPr>
          <w:rFonts w:ascii="宋体" w:hAnsi="宋体" w:cs="宋体" w:eastAsia="宋体" w:hint="default"/>
          <w:b w:val="0"/>
          <w:bCs w:val="0"/>
        </w:rPr>
      </w:pPr>
      <w:r>
        <w:rPr>
          <w:rFonts w:ascii="宋体" w:hAnsi="宋体" w:cs="宋体" w:eastAsia="宋体" w:hint="default"/>
        </w:rPr>
        <w:t>68</w:t>
      </w:r>
      <w:r>
        <w:rPr/>
        <w:t>、</w:t>
      </w:r>
      <w:r>
        <w:rPr>
          <w:spacing w:val="-26"/>
        </w:rPr>
        <w:t> </w:t>
      </w:r>
      <w:r>
        <w:rPr/>
        <w:t>公允价值变动收益</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7"/>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left="216" w:right="0"/>
        <w:jc w:val="left"/>
        <w:rPr>
          <w:rFonts w:ascii="宋体" w:hAnsi="宋体" w:cs="宋体" w:eastAsia="宋体" w:hint="default"/>
        </w:rPr>
      </w:pPr>
      <w:r>
        <w:rPr>
          <w:rFonts w:ascii="宋体"/>
          <w:w w:val="100"/>
        </w:rPr>
        <w:t> </w:t>
      </w:r>
    </w:p>
    <w:p>
      <w:pPr>
        <w:pStyle w:val="Heading3"/>
        <w:spacing w:line="240" w:lineRule="auto"/>
        <w:ind w:left="216" w:right="0"/>
        <w:jc w:val="left"/>
        <w:rPr>
          <w:b w:val="0"/>
          <w:bCs w:val="0"/>
        </w:rPr>
      </w:pPr>
      <w:r>
        <w:rPr>
          <w:rFonts w:ascii="宋体" w:hAnsi="宋体" w:cs="宋体" w:eastAsia="宋体" w:hint="default"/>
        </w:rPr>
        <w:t>69</w:t>
      </w:r>
      <w:r>
        <w:rPr/>
        <w:t>、</w:t>
      </w:r>
      <w:r>
        <w:rPr>
          <w:spacing w:val="-23"/>
        </w:rPr>
        <w:t> </w:t>
      </w:r>
      <w:r>
        <w:rPr/>
        <w:t>信用减值损失</w:t>
      </w:r>
      <w:r>
        <w:rPr>
          <w:b w:val="0"/>
          <w:bCs w:val="0"/>
        </w:rPr>
      </w:r>
    </w:p>
    <w:p>
      <w:pPr>
        <w:pStyle w:val="Heading2"/>
        <w:spacing w:line="240" w:lineRule="auto" w:before="70"/>
        <w:ind w:left="21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1"/>
          <w:szCs w:val="21"/>
        </w:rPr>
      </w:pPr>
    </w:p>
    <w:p>
      <w:pPr>
        <w:pStyle w:val="BodyText"/>
        <w:spacing w:line="240" w:lineRule="auto"/>
        <w:ind w:left="216" w:right="0"/>
        <w:jc w:val="left"/>
      </w:pPr>
      <w:r>
        <w:rPr/>
        <w:t>单位：元币种：人民币</w:t>
      </w:r>
    </w:p>
    <w:p>
      <w:pPr>
        <w:spacing w:after="0" w:line="240" w:lineRule="auto"/>
        <w:jc w:val="left"/>
        <w:sectPr>
          <w:type w:val="continuous"/>
          <w:pgSz w:w="11910" w:h="16840"/>
          <w:pgMar w:top="1580" w:bottom="280" w:left="1060" w:right="1560"/>
          <w:cols w:num="2" w:equalWidth="0">
            <w:col w:w="2515" w:space="4219"/>
            <w:col w:w="2556"/>
          </w:cols>
        </w:sectPr>
      </w:pPr>
    </w:p>
    <w:p>
      <w:pPr>
        <w:spacing w:line="240" w:lineRule="auto" w:before="10"/>
        <w:rPr>
          <w:rFonts w:ascii="宋体" w:hAnsi="宋体" w:cs="宋体" w:eastAsia="宋体" w:hint="default"/>
          <w:sz w:val="3"/>
          <w:szCs w:val="3"/>
        </w:rPr>
      </w:pPr>
    </w:p>
    <w:tbl>
      <w:tblPr>
        <w:tblW w:w="0" w:type="auto"/>
        <w:jc w:val="left"/>
        <w:tblInd w:w="103" w:type="dxa"/>
        <w:tblLayout w:type="fixed"/>
        <w:tblCellMar>
          <w:top w:w="0" w:type="dxa"/>
          <w:left w:w="0" w:type="dxa"/>
          <w:bottom w:w="0" w:type="dxa"/>
          <w:right w:w="0" w:type="dxa"/>
        </w:tblCellMar>
        <w:tblLook w:val="01E0"/>
      </w:tblPr>
      <w:tblGrid>
        <w:gridCol w:w="3651"/>
        <w:gridCol w:w="2688"/>
        <w:gridCol w:w="2710"/>
      </w:tblGrid>
      <w:tr>
        <w:trPr>
          <w:trHeight w:val="322" w:hRule="exact"/>
        </w:trPr>
        <w:tc>
          <w:tcPr>
            <w:tcW w:w="365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5"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6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813"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27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823"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322" w:hRule="exact"/>
        </w:trPr>
        <w:tc>
          <w:tcPr>
            <w:tcW w:w="365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其他应收款坏账损失</w:t>
            </w:r>
            <w:r>
              <w:rPr>
                <w:rFonts w:ascii="宋体" w:hAnsi="宋体" w:cs="宋体" w:eastAsia="宋体" w:hint="default"/>
                <w:sz w:val="21"/>
                <w:szCs w:val="21"/>
              </w:rPr>
              <w:t> </w:t>
            </w:r>
          </w:p>
        </w:tc>
        <w:tc>
          <w:tcPr>
            <w:tcW w:w="26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1,756,118.72</w:t>
            </w:r>
            <w:r>
              <w:rPr>
                <w:rFonts w:ascii="宋体"/>
                <w:sz w:val="21"/>
              </w:rPr>
              <w:t> </w:t>
            </w:r>
          </w:p>
        </w:tc>
        <w:tc>
          <w:tcPr>
            <w:tcW w:w="27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365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债权投资减值损失</w:t>
            </w:r>
            <w:r>
              <w:rPr>
                <w:rFonts w:ascii="宋体" w:hAnsi="宋体" w:cs="宋体" w:eastAsia="宋体" w:hint="default"/>
                <w:sz w:val="21"/>
                <w:szCs w:val="21"/>
              </w:rPr>
              <w:t> </w:t>
            </w:r>
          </w:p>
        </w:tc>
        <w:tc>
          <w:tcPr>
            <w:tcW w:w="26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27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365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其他债权投资减值损失</w:t>
            </w:r>
            <w:r>
              <w:rPr>
                <w:rFonts w:ascii="宋体" w:hAnsi="宋体" w:cs="宋体" w:eastAsia="宋体" w:hint="default"/>
                <w:sz w:val="21"/>
                <w:szCs w:val="21"/>
              </w:rPr>
              <w:t> </w:t>
            </w:r>
          </w:p>
        </w:tc>
        <w:tc>
          <w:tcPr>
            <w:tcW w:w="26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27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365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长期应收款坏账损失</w:t>
            </w:r>
            <w:r>
              <w:rPr>
                <w:rFonts w:ascii="宋体" w:hAnsi="宋体" w:cs="宋体" w:eastAsia="宋体" w:hint="default"/>
                <w:sz w:val="21"/>
                <w:szCs w:val="21"/>
              </w:rPr>
              <w:t> </w:t>
            </w:r>
          </w:p>
        </w:tc>
        <w:tc>
          <w:tcPr>
            <w:tcW w:w="26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27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4" w:hRule="exact"/>
        </w:trPr>
        <w:tc>
          <w:tcPr>
            <w:tcW w:w="365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应收账款坏账损失</w:t>
            </w:r>
            <w:r>
              <w:rPr>
                <w:rFonts w:ascii="宋体" w:hAnsi="宋体" w:cs="宋体" w:eastAsia="宋体" w:hint="default"/>
                <w:sz w:val="21"/>
                <w:szCs w:val="21"/>
              </w:rPr>
              <w:t> </w:t>
            </w:r>
          </w:p>
        </w:tc>
        <w:tc>
          <w:tcPr>
            <w:tcW w:w="268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spacing w:val="-1"/>
                <w:sz w:val="21"/>
              </w:rPr>
              <w:t>-5,802,865.77</w:t>
            </w:r>
            <w:r>
              <w:rPr>
                <w:rFonts w:ascii="宋体"/>
                <w:sz w:val="21"/>
              </w:rPr>
              <w:t> </w:t>
            </w:r>
          </w:p>
        </w:tc>
        <w:tc>
          <w:tcPr>
            <w:tcW w:w="271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365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5"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6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-4,046,747.05</w:t>
            </w:r>
            <w:r>
              <w:rPr>
                <w:rFonts w:ascii="宋体"/>
                <w:sz w:val="21"/>
              </w:rPr>
              <w:t> </w:t>
            </w:r>
          </w:p>
        </w:tc>
        <w:tc>
          <w:tcPr>
            <w:tcW w:w="27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bl>
    <w:p>
      <w:pPr>
        <w:spacing w:after="0" w:line="262" w:lineRule="exact"/>
        <w:jc w:val="right"/>
        <w:rPr>
          <w:rFonts w:ascii="宋体" w:hAnsi="宋体" w:cs="宋体" w:eastAsia="宋体" w:hint="default"/>
          <w:sz w:val="21"/>
          <w:szCs w:val="21"/>
        </w:rPr>
        <w:sectPr>
          <w:type w:val="continuous"/>
          <w:pgSz w:w="11910" w:h="16840"/>
          <w:pgMar w:top="1580" w:bottom="280" w:left="1060" w:right="1560"/>
        </w:sectPr>
      </w:pPr>
    </w:p>
    <w:p>
      <w:pPr>
        <w:pStyle w:val="Heading2"/>
        <w:spacing w:line="274" w:lineRule="exact"/>
        <w:ind w:left="216" w:right="0"/>
        <w:jc w:val="left"/>
        <w:rPr>
          <w:rFonts w:ascii="宋体" w:hAnsi="宋体" w:cs="宋体" w:eastAsia="宋体" w:hint="default"/>
        </w:rPr>
      </w:pPr>
      <w:r>
        <w:rPr>
          <w:rFonts w:ascii="宋体"/>
        </w:rPr>
        <w:t> </w:t>
      </w:r>
    </w:p>
    <w:p>
      <w:pPr>
        <w:pStyle w:val="Heading3"/>
        <w:spacing w:line="240" w:lineRule="auto" w:before="86"/>
        <w:ind w:left="216" w:right="0"/>
        <w:jc w:val="left"/>
        <w:rPr>
          <w:rFonts w:ascii="宋体" w:hAnsi="宋体" w:cs="宋体" w:eastAsia="宋体" w:hint="default"/>
          <w:b w:val="0"/>
          <w:bCs w:val="0"/>
        </w:rPr>
      </w:pPr>
      <w:r>
        <w:rPr>
          <w:rFonts w:ascii="宋体" w:hAnsi="宋体" w:cs="宋体" w:eastAsia="宋体" w:hint="default"/>
        </w:rPr>
        <w:t>70</w:t>
      </w:r>
      <w:r>
        <w:rPr/>
        <w:t>、</w:t>
      </w:r>
      <w:r>
        <w:rPr>
          <w:spacing w:val="-26"/>
        </w:rPr>
        <w:t> </w:t>
      </w:r>
      <w:r>
        <w:rPr/>
        <w:t>资产减值损失</w:t>
      </w:r>
      <w:r>
        <w:rPr>
          <w:rFonts w:ascii="宋体" w:hAnsi="宋体" w:cs="宋体" w:eastAsia="宋体" w:hint="default"/>
          <w:w w:val="99"/>
        </w:rPr>
        <w:t> </w:t>
      </w:r>
      <w:r>
        <w:rPr>
          <w:rFonts w:ascii="宋体" w:hAnsi="宋体" w:cs="宋体" w:eastAsia="宋体" w:hint="default"/>
          <w:b w:val="0"/>
          <w:bCs w:val="0"/>
        </w:rPr>
      </w:r>
    </w:p>
    <w:p>
      <w:pPr>
        <w:pStyle w:val="Heading2"/>
        <w:spacing w:line="240" w:lineRule="auto" w:before="69"/>
        <w:ind w:left="21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pStyle w:val="BodyText"/>
        <w:spacing w:line="240" w:lineRule="auto"/>
        <w:ind w:left="216" w:right="0"/>
        <w:jc w:val="left"/>
        <w:rPr>
          <w:rFonts w:ascii="宋体" w:hAnsi="宋体" w:cs="宋体" w:eastAsia="宋体" w:hint="default"/>
        </w:rPr>
      </w:pPr>
      <w:r>
        <w:rPr/>
        <w:t>单位：元币种：人民币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580" w:bottom="280" w:left="1060" w:right="1560"/>
          <w:cols w:num="2" w:equalWidth="0">
            <w:col w:w="2258" w:space="4476"/>
            <w:col w:w="2556"/>
          </w:cols>
        </w:sectPr>
      </w:pPr>
    </w:p>
    <w:p>
      <w:pPr>
        <w:spacing w:line="240" w:lineRule="auto" w:before="10"/>
        <w:rPr>
          <w:rFonts w:ascii="宋体" w:hAnsi="宋体" w:cs="宋体" w:eastAsia="宋体" w:hint="default"/>
          <w:sz w:val="3"/>
          <w:szCs w:val="3"/>
        </w:rPr>
      </w:pPr>
    </w:p>
    <w:tbl>
      <w:tblPr>
        <w:tblW w:w="0" w:type="auto"/>
        <w:jc w:val="left"/>
        <w:tblInd w:w="103" w:type="dxa"/>
        <w:tblLayout w:type="fixed"/>
        <w:tblCellMar>
          <w:top w:w="0" w:type="dxa"/>
          <w:left w:w="0" w:type="dxa"/>
          <w:bottom w:w="0" w:type="dxa"/>
          <w:right w:w="0" w:type="dxa"/>
        </w:tblCellMar>
        <w:tblLook w:val="01E0"/>
      </w:tblPr>
      <w:tblGrid>
        <w:gridCol w:w="3399"/>
        <w:gridCol w:w="2573"/>
        <w:gridCol w:w="3077"/>
      </w:tblGrid>
      <w:tr>
        <w:trPr>
          <w:trHeight w:val="322"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53"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7"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322"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一、坏账损失</w:t>
            </w:r>
            <w:r>
              <w:rPr>
                <w:rFonts w:ascii="宋体" w:hAnsi="宋体" w:cs="宋体" w:eastAsia="宋体" w:hint="default"/>
                <w:sz w:val="21"/>
                <w:szCs w:val="21"/>
              </w:rPr>
              <w:t> </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10,313,224.46</w:t>
            </w:r>
            <w:r>
              <w:rPr>
                <w:rFonts w:ascii="宋体"/>
                <w:sz w:val="21"/>
              </w:rPr>
              <w:t> </w:t>
            </w:r>
          </w:p>
        </w:tc>
      </w:tr>
      <w:tr>
        <w:trPr>
          <w:trHeight w:val="322"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二、存货跌价损失</w:t>
            </w:r>
            <w:r>
              <w:rPr>
                <w:rFonts w:ascii="宋体" w:hAnsi="宋体" w:cs="宋体" w:eastAsia="宋体" w:hint="default"/>
                <w:sz w:val="21"/>
                <w:szCs w:val="21"/>
              </w:rPr>
              <w:t> </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4,098,019.48</w:t>
            </w:r>
            <w:r>
              <w:rPr>
                <w:rFonts w:ascii="宋体"/>
                <w:sz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3,310,279.99</w:t>
            </w:r>
            <w:r>
              <w:rPr>
                <w:rFonts w:ascii="宋体"/>
                <w:sz w:val="21"/>
              </w:rPr>
              <w:t> </w:t>
            </w:r>
          </w:p>
        </w:tc>
      </w:tr>
      <w:tr>
        <w:trPr>
          <w:trHeight w:val="324"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三、可供出售金融资产减值损失</w:t>
            </w:r>
            <w:r>
              <w:rPr>
                <w:rFonts w:ascii="宋体" w:hAnsi="宋体" w:cs="宋体" w:eastAsia="宋体" w:hint="default"/>
                <w:sz w:val="21"/>
                <w:szCs w:val="21"/>
              </w:rPr>
              <w:t> </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
              <w:jc w:val="right"/>
              <w:rPr>
                <w:rFonts w:ascii="宋体" w:hAnsi="宋体" w:cs="宋体" w:eastAsia="宋体" w:hint="default"/>
                <w:sz w:val="21"/>
                <w:szCs w:val="21"/>
              </w:rPr>
            </w:pPr>
            <w:r>
              <w:rPr>
                <w:rFonts w:ascii="宋体"/>
                <w:w w:val="100"/>
                <w:sz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四、持有至到期投资减值损失</w:t>
            </w:r>
            <w:r>
              <w:rPr>
                <w:rFonts w:ascii="宋体" w:hAnsi="宋体" w:cs="宋体" w:eastAsia="宋体" w:hint="default"/>
                <w:sz w:val="21"/>
                <w:szCs w:val="21"/>
              </w:rPr>
              <w:t> </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五、长期股权投资减值损失</w:t>
            </w:r>
            <w:r>
              <w:rPr>
                <w:rFonts w:ascii="宋体" w:hAnsi="宋体" w:cs="宋体" w:eastAsia="宋体" w:hint="default"/>
                <w:sz w:val="21"/>
                <w:szCs w:val="21"/>
              </w:rPr>
              <w:t> </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六、投资性房地产减值损失</w:t>
            </w:r>
            <w:r>
              <w:rPr>
                <w:rFonts w:ascii="宋体" w:hAnsi="宋体" w:cs="宋体" w:eastAsia="宋体" w:hint="default"/>
                <w:sz w:val="21"/>
                <w:szCs w:val="21"/>
              </w:rPr>
              <w:t> </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七、固定资产减值损失</w:t>
            </w:r>
            <w:r>
              <w:rPr>
                <w:rFonts w:ascii="宋体" w:hAnsi="宋体" w:cs="宋体" w:eastAsia="宋体" w:hint="default"/>
                <w:sz w:val="21"/>
                <w:szCs w:val="21"/>
              </w:rPr>
              <w:t> </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3" w:right="0"/>
              <w:jc w:val="left"/>
              <w:rPr>
                <w:rFonts w:ascii="宋体" w:hAnsi="宋体" w:cs="宋体" w:eastAsia="宋体" w:hint="default"/>
                <w:sz w:val="21"/>
                <w:szCs w:val="21"/>
              </w:rPr>
            </w:pPr>
            <w:r>
              <w:rPr>
                <w:rFonts w:ascii="宋体" w:hAnsi="宋体" w:cs="宋体" w:eastAsia="宋体" w:hint="default"/>
                <w:sz w:val="21"/>
                <w:szCs w:val="21"/>
              </w:rPr>
              <w:t>八、工程物资减值损失</w:t>
            </w:r>
            <w:r>
              <w:rPr>
                <w:rFonts w:ascii="宋体" w:hAnsi="宋体" w:cs="宋体" w:eastAsia="宋体" w:hint="default"/>
                <w:sz w:val="21"/>
                <w:szCs w:val="21"/>
              </w:rPr>
              <w:t> </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1"/>
              <w:jc w:val="right"/>
              <w:rPr>
                <w:rFonts w:ascii="宋体" w:hAnsi="宋体" w:cs="宋体" w:eastAsia="宋体" w:hint="default"/>
                <w:sz w:val="21"/>
                <w:szCs w:val="21"/>
              </w:rPr>
            </w:pPr>
            <w:r>
              <w:rPr>
                <w:rFonts w:ascii="宋体"/>
                <w:w w:val="100"/>
                <w:sz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3"/>
              <w:jc w:val="right"/>
              <w:rPr>
                <w:rFonts w:ascii="宋体" w:hAnsi="宋体" w:cs="宋体" w:eastAsia="宋体" w:hint="default"/>
                <w:sz w:val="21"/>
                <w:szCs w:val="21"/>
              </w:rPr>
            </w:pPr>
            <w:r>
              <w:rPr>
                <w:rFonts w:ascii="宋体"/>
                <w:w w:val="100"/>
                <w:sz w:val="21"/>
              </w:rPr>
              <w:t> </w:t>
            </w:r>
          </w:p>
        </w:tc>
      </w:tr>
      <w:tr>
        <w:trPr>
          <w:trHeight w:val="324"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九、在建工程减值损失</w:t>
            </w:r>
            <w:r>
              <w:rPr>
                <w:rFonts w:ascii="宋体" w:hAnsi="宋体" w:cs="宋体" w:eastAsia="宋体" w:hint="default"/>
                <w:sz w:val="21"/>
                <w:szCs w:val="21"/>
              </w:rPr>
              <w:t> </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
              <w:jc w:val="right"/>
              <w:rPr>
                <w:rFonts w:ascii="宋体" w:hAnsi="宋体" w:cs="宋体" w:eastAsia="宋体" w:hint="default"/>
                <w:sz w:val="21"/>
                <w:szCs w:val="21"/>
              </w:rPr>
            </w:pPr>
            <w:r>
              <w:rPr>
                <w:rFonts w:ascii="宋体"/>
                <w:w w:val="100"/>
                <w:sz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十、生产性生物资产减值损失</w:t>
            </w:r>
            <w:r>
              <w:rPr>
                <w:rFonts w:ascii="宋体" w:hAnsi="宋体" w:cs="宋体" w:eastAsia="宋体" w:hint="default"/>
                <w:sz w:val="21"/>
                <w:szCs w:val="21"/>
              </w:rPr>
              <w:t> </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十一、油气资产减值损失</w:t>
            </w:r>
            <w:r>
              <w:rPr>
                <w:rFonts w:ascii="宋体" w:hAnsi="宋体" w:cs="宋体" w:eastAsia="宋体" w:hint="default"/>
                <w:sz w:val="21"/>
                <w:szCs w:val="21"/>
              </w:rPr>
              <w:t> </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十二、无形资产减值损失</w:t>
            </w:r>
            <w:r>
              <w:rPr>
                <w:rFonts w:ascii="宋体" w:hAnsi="宋体" w:cs="宋体" w:eastAsia="宋体" w:hint="default"/>
                <w:sz w:val="21"/>
                <w:szCs w:val="21"/>
              </w:rPr>
              <w:t> </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十三、商誉减值损失</w:t>
            </w:r>
            <w:r>
              <w:rPr>
                <w:rFonts w:ascii="宋体" w:hAnsi="宋体" w:cs="宋体" w:eastAsia="宋体" w:hint="default"/>
                <w:sz w:val="21"/>
                <w:szCs w:val="21"/>
              </w:rPr>
              <w:t> </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十四、其他</w:t>
            </w:r>
            <w:r>
              <w:rPr>
                <w:rFonts w:ascii="宋体" w:hAnsi="宋体" w:cs="宋体" w:eastAsia="宋体" w:hint="default"/>
                <w:sz w:val="21"/>
                <w:szCs w:val="21"/>
              </w:rPr>
              <w:t> </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4"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
              <w:jc w:val="right"/>
              <w:rPr>
                <w:rFonts w:ascii="宋体" w:hAnsi="宋体" w:cs="宋体" w:eastAsia="宋体" w:hint="default"/>
                <w:sz w:val="21"/>
                <w:szCs w:val="21"/>
              </w:rPr>
            </w:pPr>
            <w:r>
              <w:rPr>
                <w:rFonts w:ascii="宋体"/>
                <w:spacing w:val="-1"/>
                <w:sz w:val="21"/>
              </w:rPr>
              <w:t>4,098,019.48</w:t>
            </w:r>
            <w:r>
              <w:rPr>
                <w:rFonts w:ascii="宋体"/>
                <w:sz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spacing w:val="-1"/>
                <w:sz w:val="21"/>
              </w:rPr>
              <w:t>13,623,504.45</w:t>
            </w:r>
            <w:r>
              <w:rPr>
                <w:rFonts w:ascii="宋体"/>
                <w:sz w:val="21"/>
              </w:rPr>
              <w:t> </w:t>
            </w:r>
          </w:p>
        </w:tc>
      </w:tr>
    </w:tbl>
    <w:p>
      <w:pPr>
        <w:spacing w:after="0" w:line="265" w:lineRule="exact"/>
        <w:jc w:val="right"/>
        <w:rPr>
          <w:rFonts w:ascii="宋体" w:hAnsi="宋体" w:cs="宋体" w:eastAsia="宋体" w:hint="default"/>
          <w:sz w:val="21"/>
          <w:szCs w:val="21"/>
        </w:rPr>
        <w:sectPr>
          <w:type w:val="continuous"/>
          <w:pgSz w:w="11910" w:h="16840"/>
          <w:pgMar w:top="1580" w:bottom="280" w:left="1060" w:right="1560"/>
        </w:sectPr>
      </w:pPr>
    </w:p>
    <w:p>
      <w:pPr>
        <w:spacing w:line="240" w:lineRule="auto" w:before="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pgSz w:w="11910" w:h="16840"/>
          <w:pgMar w:header="0" w:footer="974" w:top="1140" w:bottom="1160" w:left="1040" w:right="1560"/>
        </w:sectPr>
      </w:pPr>
    </w:p>
    <w:p>
      <w:pPr>
        <w:pStyle w:val="Heading3"/>
        <w:spacing w:line="240" w:lineRule="auto" w:before="36"/>
        <w:ind w:left="236" w:right="-4"/>
        <w:jc w:val="left"/>
        <w:rPr>
          <w:b w:val="0"/>
          <w:bCs w:val="0"/>
        </w:rPr>
      </w:pPr>
      <w:r>
        <w:rPr>
          <w:rFonts w:ascii="宋体" w:hAnsi="宋体" w:cs="宋体" w:eastAsia="宋体" w:hint="default"/>
        </w:rPr>
        <w:t>71</w:t>
      </w:r>
      <w:r>
        <w:rPr/>
        <w:t>、</w:t>
      </w:r>
      <w:r>
        <w:rPr>
          <w:spacing w:val="-23"/>
        </w:rPr>
        <w:t> </w:t>
      </w:r>
      <w:r>
        <w:rPr/>
        <w:t>资产处置收益</w:t>
      </w:r>
      <w:r>
        <w:rPr>
          <w:b w:val="0"/>
          <w:bCs w:val="0"/>
        </w:rPr>
      </w:r>
    </w:p>
    <w:p>
      <w:pPr>
        <w:pStyle w:val="BodyText"/>
        <w:spacing w:line="240" w:lineRule="auto" w:before="97"/>
        <w:ind w:left="236" w:right="-4"/>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spacing w:line="240" w:lineRule="auto"/>
        <w:ind w:left="236" w:right="0"/>
        <w:jc w:val="left"/>
      </w:pPr>
      <w:r>
        <w:rPr/>
        <w:t>单位：元币种：人民币</w:t>
      </w:r>
    </w:p>
    <w:p>
      <w:pPr>
        <w:spacing w:after="0" w:line="240" w:lineRule="auto"/>
        <w:jc w:val="left"/>
        <w:sectPr>
          <w:type w:val="continuous"/>
          <w:pgSz w:w="11910" w:h="16840"/>
          <w:pgMar w:top="1580" w:bottom="280" w:left="1040" w:right="1560"/>
          <w:cols w:num="2" w:equalWidth="0">
            <w:col w:w="2023" w:space="4710"/>
            <w:col w:w="2577"/>
          </w:cols>
        </w:sectPr>
      </w:pPr>
    </w:p>
    <w:p>
      <w:pPr>
        <w:spacing w:line="240" w:lineRule="auto" w:before="10"/>
        <w:rPr>
          <w:rFonts w:ascii="宋体" w:hAnsi="宋体" w:cs="宋体" w:eastAsia="宋体" w:hint="default"/>
          <w:sz w:val="3"/>
          <w:szCs w:val="3"/>
        </w:rPr>
      </w:pPr>
    </w:p>
    <w:tbl>
      <w:tblPr>
        <w:tblW w:w="0" w:type="auto"/>
        <w:jc w:val="left"/>
        <w:tblInd w:w="123" w:type="dxa"/>
        <w:tblLayout w:type="fixed"/>
        <w:tblCellMar>
          <w:top w:w="0" w:type="dxa"/>
          <w:left w:w="0" w:type="dxa"/>
          <w:bottom w:w="0" w:type="dxa"/>
          <w:right w:w="0" w:type="dxa"/>
        </w:tblCellMar>
        <w:tblLook w:val="01E0"/>
      </w:tblPr>
      <w:tblGrid>
        <w:gridCol w:w="3018"/>
        <w:gridCol w:w="3015"/>
        <w:gridCol w:w="3017"/>
      </w:tblGrid>
      <w:tr>
        <w:trPr>
          <w:trHeight w:val="322" w:hRule="exact"/>
        </w:trPr>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186"/>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974"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976"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322" w:hRule="exact"/>
        </w:trPr>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4"/>
                <w:szCs w:val="24"/>
              </w:rPr>
            </w:pPr>
            <w:r>
              <w:rPr>
                <w:rFonts w:ascii="宋体" w:hAnsi="宋体" w:cs="宋体" w:eastAsia="宋体" w:hint="default"/>
                <w:sz w:val="21"/>
                <w:szCs w:val="21"/>
              </w:rPr>
              <w:t>固定资产处置</w:t>
            </w:r>
            <w:r>
              <w:rPr>
                <w:rFonts w:ascii="宋体" w:hAnsi="宋体" w:cs="宋体" w:eastAsia="宋体" w:hint="default"/>
                <w:sz w:val="24"/>
                <w:szCs w:val="24"/>
              </w:rPr>
              <w:t> </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-17,846,496.98</w:t>
            </w:r>
            <w:r>
              <w:rPr>
                <w:rFonts w:ascii="宋体"/>
                <w:sz w:val="21"/>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-651,082.13</w:t>
            </w:r>
            <w:r>
              <w:rPr>
                <w:rFonts w:ascii="宋体"/>
                <w:sz w:val="21"/>
              </w:rPr>
              <w:t> </w:t>
            </w:r>
          </w:p>
        </w:tc>
      </w:tr>
      <w:tr>
        <w:trPr>
          <w:trHeight w:val="324" w:hRule="exact"/>
        </w:trPr>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186"/>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-17,846,496.98</w:t>
            </w:r>
            <w:r>
              <w:rPr>
                <w:rFonts w:ascii="宋体"/>
                <w:sz w:val="21"/>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-651,082.13</w:t>
            </w:r>
            <w:r>
              <w:rPr>
                <w:rFonts w:ascii="宋体"/>
                <w:sz w:val="21"/>
              </w:rPr>
              <w:t> </w:t>
            </w:r>
          </w:p>
        </w:tc>
      </w:tr>
    </w:tbl>
    <w:p>
      <w:pPr>
        <w:spacing w:after="0" w:line="262" w:lineRule="exact"/>
        <w:jc w:val="right"/>
        <w:rPr>
          <w:rFonts w:ascii="宋体" w:hAnsi="宋体" w:cs="宋体" w:eastAsia="宋体" w:hint="default"/>
          <w:sz w:val="21"/>
          <w:szCs w:val="21"/>
        </w:rPr>
        <w:sectPr>
          <w:type w:val="continuous"/>
          <w:pgSz w:w="11910" w:h="16840"/>
          <w:pgMar w:top="1580" w:bottom="280" w:left="1040" w:right="1560"/>
        </w:sectPr>
      </w:pPr>
    </w:p>
    <w:p>
      <w:pPr>
        <w:pStyle w:val="Heading2"/>
        <w:spacing w:line="274" w:lineRule="exact"/>
        <w:ind w:left="236" w:right="0"/>
        <w:jc w:val="left"/>
        <w:rPr>
          <w:rFonts w:ascii="宋体" w:hAnsi="宋体" w:cs="宋体" w:eastAsia="宋体" w:hint="default"/>
        </w:rPr>
      </w:pPr>
      <w:r>
        <w:rPr>
          <w:rFonts w:ascii="宋体"/>
        </w:rPr>
        <w:t> </w:t>
      </w:r>
    </w:p>
    <w:p>
      <w:pPr>
        <w:pStyle w:val="Heading3"/>
        <w:spacing w:line="240" w:lineRule="auto" w:before="85"/>
        <w:ind w:left="236" w:right="0"/>
        <w:jc w:val="left"/>
        <w:rPr>
          <w:rFonts w:ascii="宋体" w:hAnsi="宋体" w:cs="宋体" w:eastAsia="宋体" w:hint="default"/>
          <w:b w:val="0"/>
          <w:bCs w:val="0"/>
        </w:rPr>
      </w:pPr>
      <w:r>
        <w:rPr>
          <w:rFonts w:ascii="宋体" w:hAnsi="宋体" w:cs="宋体" w:eastAsia="宋体" w:hint="default"/>
        </w:rPr>
        <w:t>72</w:t>
      </w:r>
      <w:r>
        <w:rPr/>
        <w:t>、</w:t>
      </w:r>
      <w:r>
        <w:rPr>
          <w:spacing w:val="-27"/>
        </w:rPr>
        <w:t> </w:t>
      </w:r>
      <w:r>
        <w:rPr/>
        <w:t>营业外收入</w:t>
      </w:r>
      <w:r>
        <w:rPr>
          <w:rFonts w:ascii="宋体" w:hAnsi="宋体" w:cs="宋体" w:eastAsia="宋体" w:hint="default"/>
          <w:w w:val="99"/>
        </w:rPr>
        <w:t> </w:t>
      </w:r>
      <w:r>
        <w:rPr>
          <w:rFonts w:ascii="宋体" w:hAnsi="宋体" w:cs="宋体" w:eastAsia="宋体" w:hint="default"/>
          <w:b w:val="0"/>
          <w:bCs w:val="0"/>
        </w:rPr>
      </w:r>
    </w:p>
    <w:p>
      <w:pPr>
        <w:pStyle w:val="Heading2"/>
        <w:spacing w:line="313" w:lineRule="exact" w:before="69"/>
        <w:ind w:left="236" w:right="0"/>
        <w:jc w:val="left"/>
        <w:rPr>
          <w:rFonts w:ascii="宋体" w:hAnsi="宋体" w:cs="宋体" w:eastAsia="宋体" w:hint="default"/>
        </w:rPr>
      </w:pPr>
      <w:r>
        <w:rPr/>
        <w:t>营业外收入情况</w:t>
      </w:r>
      <w:r>
        <w:rPr>
          <w:rFonts w:ascii="宋体" w:hAnsi="宋体" w:cs="宋体" w:eastAsia="宋体" w:hint="default"/>
        </w:rPr>
        <w:t> </w:t>
      </w:r>
    </w:p>
    <w:p>
      <w:pPr>
        <w:pStyle w:val="Heading2"/>
        <w:spacing w:line="313" w:lineRule="exact"/>
        <w:ind w:left="236" w:right="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3"/>
          <w:szCs w:val="23"/>
        </w:rPr>
      </w:pPr>
    </w:p>
    <w:p>
      <w:pPr>
        <w:pStyle w:val="BodyText"/>
        <w:spacing w:line="240" w:lineRule="auto"/>
        <w:ind w:left="236" w:right="0"/>
        <w:jc w:val="left"/>
        <w:rPr>
          <w:rFonts w:ascii="宋体" w:hAnsi="宋体" w:cs="宋体" w:eastAsia="宋体" w:hint="default"/>
        </w:rPr>
      </w:pPr>
      <w:r>
        <w:rPr/>
        <w:t>单位：元币种：人民币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580" w:bottom="280" w:left="1040" w:right="1560"/>
          <w:cols w:num="2" w:equalWidth="0">
            <w:col w:w="2398" w:space="4336"/>
            <w:col w:w="2576"/>
          </w:cols>
        </w:sectPr>
      </w:pPr>
    </w:p>
    <w:p>
      <w:pPr>
        <w:spacing w:line="240" w:lineRule="auto" w:before="10"/>
        <w:rPr>
          <w:rFonts w:ascii="宋体" w:hAnsi="宋体" w:cs="宋体" w:eastAsia="宋体" w:hint="default"/>
          <w:sz w:val="3"/>
          <w:szCs w:val="3"/>
        </w:rPr>
      </w:pPr>
    </w:p>
    <w:tbl>
      <w:tblPr>
        <w:tblW w:w="0" w:type="auto"/>
        <w:jc w:val="left"/>
        <w:tblInd w:w="123" w:type="dxa"/>
        <w:tblLayout w:type="fixed"/>
        <w:tblCellMar>
          <w:top w:w="0" w:type="dxa"/>
          <w:left w:w="0" w:type="dxa"/>
          <w:bottom w:w="0" w:type="dxa"/>
          <w:right w:w="0" w:type="dxa"/>
        </w:tblCellMar>
        <w:tblLook w:val="01E0"/>
      </w:tblPr>
      <w:tblGrid>
        <w:gridCol w:w="2660"/>
        <w:gridCol w:w="2127"/>
        <w:gridCol w:w="1947"/>
        <w:gridCol w:w="2317"/>
      </w:tblGrid>
      <w:tr>
        <w:trPr>
          <w:trHeight w:val="634"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03"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533"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441"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837" w:right="99" w:hanging="735"/>
              <w:jc w:val="left"/>
              <w:rPr>
                <w:rFonts w:ascii="宋体" w:hAnsi="宋体" w:cs="宋体" w:eastAsia="宋体" w:hint="default"/>
                <w:sz w:val="21"/>
                <w:szCs w:val="21"/>
              </w:rPr>
            </w:pPr>
            <w:r>
              <w:rPr>
                <w:rFonts w:ascii="宋体" w:hAnsi="宋体" w:cs="宋体" w:eastAsia="宋体" w:hint="default"/>
                <w:spacing w:val="-2"/>
                <w:sz w:val="21"/>
                <w:szCs w:val="21"/>
              </w:rPr>
              <w:t>计入当期非经常性损益</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的金额</w:t>
            </w:r>
            <w:r>
              <w:rPr>
                <w:rFonts w:ascii="宋体" w:hAnsi="宋体" w:cs="宋体" w:eastAsia="宋体" w:hint="default"/>
                <w:color w:val="FF0000"/>
                <w:sz w:val="21"/>
                <w:szCs w:val="21"/>
              </w:rPr>
              <w:t> </w:t>
            </w:r>
            <w:r>
              <w:rPr>
                <w:rFonts w:ascii="宋体" w:hAnsi="宋体" w:cs="宋体" w:eastAsia="宋体" w:hint="default"/>
                <w:sz w:val="21"/>
                <w:szCs w:val="21"/>
              </w:rPr>
            </w:r>
          </w:p>
        </w:tc>
      </w:tr>
      <w:tr>
        <w:trPr>
          <w:trHeight w:val="322"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非流动资产处置利得合计</w:t>
            </w:r>
            <w:r>
              <w:rPr>
                <w:rFonts w:ascii="宋体" w:hAnsi="宋体" w:cs="宋体" w:eastAsia="宋体" w:hint="default"/>
                <w:sz w:val="21"/>
                <w:szCs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其中：固定资产处置利得</w:t>
            </w:r>
            <w:r>
              <w:rPr>
                <w:rFonts w:ascii="宋体" w:hAnsi="宋体" w:cs="宋体" w:eastAsia="宋体" w:hint="default"/>
                <w:sz w:val="21"/>
                <w:szCs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34" w:right="0"/>
              <w:jc w:val="left"/>
              <w:rPr>
                <w:rFonts w:ascii="宋体" w:hAnsi="宋体" w:cs="宋体" w:eastAsia="宋体" w:hint="default"/>
                <w:sz w:val="21"/>
                <w:szCs w:val="21"/>
              </w:rPr>
            </w:pPr>
            <w:r>
              <w:rPr>
                <w:rFonts w:ascii="宋体" w:hAnsi="宋体" w:cs="宋体" w:eastAsia="宋体" w:hint="default"/>
                <w:sz w:val="21"/>
                <w:szCs w:val="21"/>
              </w:rPr>
              <w:t>无形资产处置利得</w:t>
            </w:r>
            <w:r>
              <w:rPr>
                <w:rFonts w:ascii="宋体" w:hAnsi="宋体" w:cs="宋体" w:eastAsia="宋体" w:hint="default"/>
                <w:sz w:val="21"/>
                <w:szCs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债务重组利得</w:t>
            </w:r>
            <w:r>
              <w:rPr>
                <w:rFonts w:ascii="宋体" w:hAnsi="宋体" w:cs="宋体" w:eastAsia="宋体" w:hint="default"/>
                <w:sz w:val="21"/>
                <w:szCs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4"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非货币性资产交换利得</w:t>
            </w:r>
            <w:r>
              <w:rPr>
                <w:rFonts w:ascii="宋体" w:hAnsi="宋体" w:cs="宋体" w:eastAsia="宋体" w:hint="default"/>
                <w:sz w:val="21"/>
                <w:szCs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w w:val="100"/>
                <w:sz w:val="21"/>
              </w:rPr>
              <w:t> </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w w:val="100"/>
                <w:sz w:val="21"/>
              </w:rPr>
              <w:t> </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接受捐赠</w:t>
            </w:r>
            <w:r>
              <w:rPr>
                <w:rFonts w:ascii="宋体" w:hAnsi="宋体" w:cs="宋体" w:eastAsia="宋体" w:hint="default"/>
                <w:sz w:val="21"/>
                <w:szCs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政府补助</w:t>
            </w:r>
            <w:r>
              <w:rPr>
                <w:rFonts w:ascii="宋体" w:hAnsi="宋体" w:cs="宋体" w:eastAsia="宋体" w:hint="default"/>
                <w:sz w:val="21"/>
                <w:szCs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3,245,903.42</w:t>
            </w:r>
            <w:r>
              <w:rPr>
                <w:rFonts w:ascii="宋体"/>
                <w:sz w:val="21"/>
              </w:rPr>
              <w:t> </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21,764,252.73</w:t>
            </w:r>
            <w:r>
              <w:rPr>
                <w:rFonts w:ascii="宋体"/>
                <w:sz w:val="21"/>
              </w:rPr>
              <w:t> </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3,245,903.42</w:t>
            </w:r>
            <w:r>
              <w:rPr>
                <w:rFonts w:ascii="宋体"/>
                <w:sz w:val="21"/>
              </w:rPr>
              <w:t> </w:t>
            </w:r>
          </w:p>
        </w:tc>
      </w:tr>
      <w:tr>
        <w:trPr>
          <w:trHeight w:val="322"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1,177,076.99</w:t>
            </w:r>
            <w:r>
              <w:rPr>
                <w:rFonts w:ascii="宋体"/>
                <w:sz w:val="21"/>
              </w:rPr>
              <w:t> </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5,586,338.31</w:t>
            </w:r>
            <w:r>
              <w:rPr>
                <w:rFonts w:ascii="宋体"/>
                <w:sz w:val="21"/>
              </w:rPr>
              <w:t> </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1,177,076.99</w:t>
            </w:r>
            <w:r>
              <w:rPr>
                <w:rFonts w:ascii="宋体"/>
                <w:sz w:val="21"/>
              </w:rPr>
              <w:t> </w:t>
            </w:r>
          </w:p>
        </w:tc>
      </w:tr>
      <w:tr>
        <w:trPr>
          <w:trHeight w:val="322"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4,422,980.41</w:t>
            </w:r>
            <w:r>
              <w:rPr>
                <w:rFonts w:ascii="宋体"/>
                <w:sz w:val="21"/>
              </w:rPr>
              <w:t> </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27,350,591.04</w:t>
            </w:r>
            <w:r>
              <w:rPr>
                <w:rFonts w:ascii="宋体"/>
                <w:sz w:val="21"/>
              </w:rPr>
              <w:t> </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4,422,980.41</w:t>
            </w:r>
            <w:r>
              <w:rPr>
                <w:rFonts w:ascii="宋体"/>
                <w:sz w:val="21"/>
              </w:rPr>
              <w:t> </w:t>
            </w:r>
          </w:p>
        </w:tc>
      </w:tr>
    </w:tbl>
    <w:p>
      <w:pPr>
        <w:spacing w:after="0" w:line="262" w:lineRule="exact"/>
        <w:jc w:val="right"/>
        <w:rPr>
          <w:rFonts w:ascii="宋体" w:hAnsi="宋体" w:cs="宋体" w:eastAsia="宋体" w:hint="default"/>
          <w:sz w:val="21"/>
          <w:szCs w:val="21"/>
        </w:rPr>
        <w:sectPr>
          <w:type w:val="continuous"/>
          <w:pgSz w:w="11910" w:h="16840"/>
          <w:pgMar w:top="1580" w:bottom="280" w:left="1040" w:right="1560"/>
        </w:sectPr>
      </w:pPr>
    </w:p>
    <w:p>
      <w:pPr>
        <w:pStyle w:val="Heading2"/>
        <w:spacing w:line="274" w:lineRule="exact"/>
        <w:ind w:left="236" w:right="0"/>
        <w:jc w:val="left"/>
        <w:rPr>
          <w:rFonts w:ascii="宋体" w:hAnsi="宋体" w:cs="宋体" w:eastAsia="宋体" w:hint="default"/>
        </w:rPr>
      </w:pPr>
      <w:r>
        <w:rPr>
          <w:rFonts w:ascii="宋体"/>
        </w:rPr>
        <w:t> </w:t>
      </w:r>
    </w:p>
    <w:p>
      <w:pPr>
        <w:pStyle w:val="BodyText"/>
        <w:spacing w:line="240" w:lineRule="auto" w:before="25"/>
        <w:ind w:left="236" w:right="0"/>
        <w:jc w:val="left"/>
        <w:rPr>
          <w:rFonts w:ascii="宋体" w:hAnsi="宋体" w:cs="宋体" w:eastAsia="宋体" w:hint="default"/>
        </w:rPr>
      </w:pPr>
      <w:r>
        <w:rPr/>
        <w:t>计入当期损益的政府补助</w:t>
      </w:r>
      <w:r>
        <w:rPr>
          <w:rFonts w:ascii="宋体" w:hAnsi="宋体" w:cs="宋体" w:eastAsia="宋体" w:hint="default"/>
        </w:rPr>
        <w:t> </w:t>
      </w:r>
    </w:p>
    <w:p>
      <w:pPr>
        <w:pStyle w:val="BodyText"/>
        <w:spacing w:line="240" w:lineRule="auto" w:before="37"/>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38"/>
        <w:ind w:left="236" w:right="0"/>
        <w:jc w:val="left"/>
        <w:rPr>
          <w:rFonts w:ascii="宋体" w:hAnsi="宋体" w:cs="宋体" w:eastAsia="宋体" w:hint="default"/>
        </w:rPr>
      </w:pPr>
      <w:r>
        <w:rPr/>
        <w:t>单位：元币种：人民币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580" w:bottom="280" w:left="1040" w:right="1560"/>
          <w:cols w:num="2" w:equalWidth="0">
            <w:col w:w="2655" w:space="4079"/>
            <w:col w:w="2576"/>
          </w:cols>
        </w:sectPr>
      </w:pPr>
    </w:p>
    <w:p>
      <w:pPr>
        <w:spacing w:line="240" w:lineRule="auto" w:before="10"/>
        <w:rPr>
          <w:rFonts w:ascii="宋体" w:hAnsi="宋体" w:cs="宋体" w:eastAsia="宋体" w:hint="default"/>
          <w:sz w:val="3"/>
          <w:szCs w:val="3"/>
        </w:rPr>
      </w:pPr>
    </w:p>
    <w:tbl>
      <w:tblPr>
        <w:tblW w:w="0" w:type="auto"/>
        <w:jc w:val="left"/>
        <w:tblInd w:w="119" w:type="dxa"/>
        <w:tblLayout w:type="fixed"/>
        <w:tblCellMar>
          <w:top w:w="0" w:type="dxa"/>
          <w:left w:w="0" w:type="dxa"/>
          <w:bottom w:w="0" w:type="dxa"/>
          <w:right w:w="0" w:type="dxa"/>
        </w:tblCellMar>
        <w:tblLook w:val="01E0"/>
      </w:tblPr>
      <w:tblGrid>
        <w:gridCol w:w="2098"/>
        <w:gridCol w:w="2319"/>
        <w:gridCol w:w="2321"/>
        <w:gridCol w:w="2324"/>
      </w:tblGrid>
      <w:tr>
        <w:trPr>
          <w:trHeight w:val="636" w:hRule="exact"/>
        </w:trPr>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624" w:right="0"/>
              <w:jc w:val="left"/>
              <w:rPr>
                <w:rFonts w:ascii="宋体" w:hAnsi="宋体" w:cs="宋体" w:eastAsia="宋体" w:hint="default"/>
                <w:sz w:val="21"/>
                <w:szCs w:val="21"/>
              </w:rPr>
            </w:pPr>
            <w:r>
              <w:rPr>
                <w:rFonts w:ascii="宋体" w:hAnsi="宋体" w:cs="宋体" w:eastAsia="宋体" w:hint="default"/>
                <w:sz w:val="21"/>
                <w:szCs w:val="21"/>
              </w:rPr>
              <w:t>补助项目</w:t>
            </w:r>
            <w:r>
              <w:rPr>
                <w:rFonts w:ascii="宋体" w:hAnsi="宋体" w:cs="宋体" w:eastAsia="宋体" w:hint="default"/>
                <w:sz w:val="21"/>
                <w:szCs w:val="21"/>
              </w:rPr>
              <w:t> </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523" w:right="0"/>
              <w:jc w:val="left"/>
              <w:rPr>
                <w:rFonts w:ascii="宋体" w:hAnsi="宋体" w:cs="宋体" w:eastAsia="宋体" w:hint="default"/>
                <w:sz w:val="21"/>
                <w:szCs w:val="21"/>
              </w:rPr>
            </w:pPr>
            <w:r>
              <w:rPr>
                <w:rFonts w:ascii="宋体" w:hAnsi="宋体" w:cs="宋体" w:eastAsia="宋体" w:hint="default"/>
                <w:sz w:val="21"/>
                <w:szCs w:val="21"/>
              </w:rPr>
              <w:t>本期发生金额</w:t>
            </w:r>
            <w:r>
              <w:rPr>
                <w:rFonts w:ascii="宋体" w:hAnsi="宋体" w:cs="宋体" w:eastAsia="宋体" w:hint="default"/>
                <w:sz w:val="21"/>
                <w:szCs w:val="21"/>
              </w:rPr>
              <w:t> </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523" w:right="0"/>
              <w:jc w:val="left"/>
              <w:rPr>
                <w:rFonts w:ascii="宋体" w:hAnsi="宋体" w:cs="宋体" w:eastAsia="宋体" w:hint="default"/>
                <w:sz w:val="21"/>
                <w:szCs w:val="21"/>
              </w:rPr>
            </w:pPr>
            <w:r>
              <w:rPr>
                <w:rFonts w:ascii="宋体" w:hAnsi="宋体" w:cs="宋体" w:eastAsia="宋体" w:hint="default"/>
                <w:sz w:val="21"/>
                <w:szCs w:val="21"/>
              </w:rPr>
              <w:t>上期发生金额</w:t>
            </w:r>
            <w:r>
              <w:rPr>
                <w:rFonts w:ascii="宋体" w:hAnsi="宋体" w:cs="宋体" w:eastAsia="宋体" w:hint="default"/>
                <w:sz w:val="21"/>
                <w:szCs w:val="21"/>
              </w:rPr>
              <w:t> </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48" w:right="158" w:hanging="893"/>
              <w:jc w:val="left"/>
              <w:rPr>
                <w:rFonts w:ascii="宋体" w:hAnsi="宋体" w:cs="宋体" w:eastAsia="宋体" w:hint="default"/>
                <w:sz w:val="21"/>
                <w:szCs w:val="21"/>
              </w:rPr>
            </w:pPr>
            <w:r>
              <w:rPr>
                <w:rFonts w:ascii="宋体" w:hAnsi="宋体" w:cs="宋体" w:eastAsia="宋体" w:hint="default"/>
                <w:spacing w:val="-2"/>
                <w:sz w:val="21"/>
                <w:szCs w:val="21"/>
              </w:rPr>
              <w:t>与资产相关</w:t>
            </w:r>
            <w:r>
              <w:rPr>
                <w:rFonts w:ascii="宋体" w:hAnsi="宋体" w:cs="宋体" w:eastAsia="宋体" w:hint="default"/>
                <w:spacing w:val="-2"/>
                <w:sz w:val="21"/>
                <w:szCs w:val="21"/>
              </w:rPr>
              <w:t>/</w:t>
            </w:r>
            <w:r>
              <w:rPr>
                <w:rFonts w:ascii="宋体" w:hAnsi="宋体" w:cs="宋体" w:eastAsia="宋体" w:hint="default"/>
                <w:spacing w:val="-2"/>
                <w:sz w:val="21"/>
                <w:szCs w:val="21"/>
              </w:rPr>
              <w:t>与收益相</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关</w:t>
            </w:r>
            <w:r>
              <w:rPr>
                <w:rFonts w:ascii="宋体" w:hAnsi="宋体" w:cs="宋体" w:eastAsia="宋体" w:hint="default"/>
                <w:sz w:val="21"/>
                <w:szCs w:val="21"/>
              </w:rPr>
              <w:t> </w:t>
            </w:r>
          </w:p>
        </w:tc>
      </w:tr>
      <w:tr>
        <w:trPr>
          <w:trHeight w:val="322" w:hRule="exact"/>
        </w:trPr>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8" w:right="0"/>
              <w:jc w:val="left"/>
              <w:rPr>
                <w:rFonts w:ascii="宋体" w:hAnsi="宋体" w:cs="宋体" w:eastAsia="宋体" w:hint="default"/>
                <w:sz w:val="21"/>
                <w:szCs w:val="21"/>
              </w:rPr>
            </w:pPr>
            <w:r>
              <w:rPr>
                <w:rFonts w:ascii="宋体" w:hAnsi="宋体" w:cs="宋体" w:eastAsia="宋体" w:hint="default"/>
                <w:sz w:val="21"/>
                <w:szCs w:val="21"/>
              </w:rPr>
              <w:t>工业经济奖励</w:t>
            </w:r>
            <w:r>
              <w:rPr>
                <w:rFonts w:ascii="宋体" w:hAnsi="宋体" w:cs="宋体" w:eastAsia="宋体" w:hint="default"/>
                <w:sz w:val="21"/>
                <w:szCs w:val="21"/>
              </w:rPr>
              <w:t> </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right"/>
              <w:rPr>
                <w:rFonts w:ascii="宋体" w:hAnsi="宋体" w:cs="宋体" w:eastAsia="宋体" w:hint="default"/>
                <w:sz w:val="21"/>
                <w:szCs w:val="21"/>
              </w:rPr>
            </w:pPr>
            <w:r>
              <w:rPr>
                <w:rFonts w:ascii="宋体"/>
                <w:spacing w:val="-1"/>
                <w:sz w:val="21"/>
              </w:rPr>
              <w:t>2,196,900.00</w:t>
            </w:r>
            <w:r>
              <w:rPr>
                <w:rFonts w:ascii="宋体"/>
                <w:sz w:val="21"/>
              </w:rPr>
              <w:t> </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
              <w:jc w:val="right"/>
              <w:rPr>
                <w:rFonts w:ascii="宋体" w:hAnsi="宋体" w:cs="宋体" w:eastAsia="宋体" w:hint="default"/>
                <w:sz w:val="21"/>
                <w:szCs w:val="21"/>
              </w:rPr>
            </w:pPr>
            <w:r>
              <w:rPr>
                <w:rFonts w:ascii="宋体"/>
                <w:spacing w:val="-1"/>
                <w:sz w:val="21"/>
              </w:rPr>
              <w:t>15,600,000.00</w:t>
            </w:r>
            <w:r>
              <w:rPr>
                <w:rFonts w:ascii="宋体"/>
                <w:sz w:val="21"/>
              </w:rPr>
              <w:t> </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5" w:right="0"/>
              <w:jc w:val="left"/>
              <w:rPr>
                <w:rFonts w:ascii="宋体" w:hAnsi="宋体" w:cs="宋体" w:eastAsia="宋体" w:hint="default"/>
                <w:sz w:val="21"/>
                <w:szCs w:val="21"/>
              </w:rPr>
            </w:pPr>
            <w:r>
              <w:rPr>
                <w:rFonts w:ascii="宋体" w:hAnsi="宋体" w:cs="宋体" w:eastAsia="宋体" w:hint="default"/>
                <w:sz w:val="21"/>
                <w:szCs w:val="21"/>
              </w:rPr>
              <w:t>与收益相关</w:t>
            </w:r>
            <w:r>
              <w:rPr>
                <w:rFonts w:ascii="宋体" w:hAnsi="宋体" w:cs="宋体" w:eastAsia="宋体" w:hint="default"/>
                <w:sz w:val="21"/>
                <w:szCs w:val="21"/>
              </w:rPr>
              <w:t> </w:t>
            </w:r>
          </w:p>
        </w:tc>
      </w:tr>
      <w:tr>
        <w:trPr>
          <w:trHeight w:val="322" w:hRule="exact"/>
        </w:trPr>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8" w:right="0"/>
              <w:jc w:val="left"/>
              <w:rPr>
                <w:rFonts w:ascii="宋体" w:hAnsi="宋体" w:cs="宋体" w:eastAsia="宋体" w:hint="default"/>
                <w:sz w:val="21"/>
                <w:szCs w:val="21"/>
              </w:rPr>
            </w:pPr>
            <w:r>
              <w:rPr>
                <w:rFonts w:ascii="宋体" w:hAnsi="宋体" w:cs="宋体" w:eastAsia="宋体" w:hint="default"/>
                <w:sz w:val="21"/>
                <w:szCs w:val="21"/>
              </w:rPr>
              <w:t>区政府扶持资金</w:t>
            </w:r>
            <w:r>
              <w:rPr>
                <w:rFonts w:ascii="宋体" w:hAnsi="宋体" w:cs="宋体" w:eastAsia="宋体" w:hint="default"/>
                <w:sz w:val="21"/>
                <w:szCs w:val="21"/>
              </w:rPr>
              <w:t> </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right"/>
              <w:rPr>
                <w:rFonts w:ascii="宋体" w:hAnsi="宋体" w:cs="宋体" w:eastAsia="宋体" w:hint="default"/>
                <w:sz w:val="21"/>
                <w:szCs w:val="21"/>
              </w:rPr>
            </w:pPr>
            <w:r>
              <w:rPr>
                <w:rFonts w:ascii="宋体"/>
                <w:w w:val="100"/>
                <w:sz w:val="21"/>
              </w:rPr>
              <w:t> </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
              <w:jc w:val="right"/>
              <w:rPr>
                <w:rFonts w:ascii="宋体" w:hAnsi="宋体" w:cs="宋体" w:eastAsia="宋体" w:hint="default"/>
                <w:sz w:val="21"/>
                <w:szCs w:val="21"/>
              </w:rPr>
            </w:pPr>
            <w:r>
              <w:rPr>
                <w:rFonts w:ascii="宋体"/>
                <w:spacing w:val="-1"/>
                <w:sz w:val="21"/>
              </w:rPr>
              <w:t>1,370,000.00</w:t>
            </w:r>
            <w:r>
              <w:rPr>
                <w:rFonts w:ascii="宋体"/>
                <w:sz w:val="21"/>
              </w:rPr>
              <w:t> </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5" w:right="0"/>
              <w:jc w:val="left"/>
              <w:rPr>
                <w:rFonts w:ascii="宋体" w:hAnsi="宋体" w:cs="宋体" w:eastAsia="宋体" w:hint="default"/>
                <w:sz w:val="21"/>
                <w:szCs w:val="21"/>
              </w:rPr>
            </w:pPr>
            <w:r>
              <w:rPr>
                <w:rFonts w:ascii="宋体" w:hAnsi="宋体" w:cs="宋体" w:eastAsia="宋体" w:hint="default"/>
                <w:sz w:val="21"/>
                <w:szCs w:val="21"/>
              </w:rPr>
              <w:t>与收益相关</w:t>
            </w:r>
            <w:r>
              <w:rPr>
                <w:rFonts w:ascii="宋体" w:hAnsi="宋体" w:cs="宋体" w:eastAsia="宋体" w:hint="default"/>
                <w:sz w:val="21"/>
                <w:szCs w:val="21"/>
              </w:rPr>
              <w:t> </w:t>
            </w:r>
          </w:p>
        </w:tc>
      </w:tr>
      <w:tr>
        <w:trPr>
          <w:trHeight w:val="322" w:hRule="exact"/>
        </w:trPr>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8" w:right="0"/>
              <w:jc w:val="left"/>
              <w:rPr>
                <w:rFonts w:ascii="宋体" w:hAnsi="宋体" w:cs="宋体" w:eastAsia="宋体" w:hint="default"/>
                <w:sz w:val="21"/>
                <w:szCs w:val="21"/>
              </w:rPr>
            </w:pPr>
            <w:r>
              <w:rPr>
                <w:rFonts w:ascii="宋体" w:hAnsi="宋体" w:cs="宋体" w:eastAsia="宋体" w:hint="default"/>
                <w:sz w:val="21"/>
                <w:szCs w:val="21"/>
              </w:rPr>
              <w:t>工业发展政策补助</w:t>
            </w:r>
            <w:r>
              <w:rPr>
                <w:rFonts w:ascii="宋体" w:hAnsi="宋体" w:cs="宋体" w:eastAsia="宋体" w:hint="default"/>
                <w:sz w:val="21"/>
                <w:szCs w:val="21"/>
              </w:rPr>
              <w:t> </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right"/>
              <w:rPr>
                <w:rFonts w:ascii="宋体" w:hAnsi="宋体" w:cs="宋体" w:eastAsia="宋体" w:hint="default"/>
                <w:sz w:val="21"/>
                <w:szCs w:val="21"/>
              </w:rPr>
            </w:pPr>
            <w:r>
              <w:rPr>
                <w:rFonts w:ascii="宋体"/>
                <w:w w:val="100"/>
                <w:sz w:val="21"/>
              </w:rPr>
              <w:t> </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
              <w:jc w:val="right"/>
              <w:rPr>
                <w:rFonts w:ascii="宋体" w:hAnsi="宋体" w:cs="宋体" w:eastAsia="宋体" w:hint="default"/>
                <w:sz w:val="21"/>
                <w:szCs w:val="21"/>
              </w:rPr>
            </w:pPr>
            <w:r>
              <w:rPr>
                <w:rFonts w:ascii="宋体"/>
                <w:spacing w:val="-1"/>
                <w:sz w:val="21"/>
              </w:rPr>
              <w:t>298,500.00</w:t>
            </w:r>
            <w:r>
              <w:rPr>
                <w:rFonts w:ascii="宋体"/>
                <w:sz w:val="21"/>
              </w:rPr>
              <w:t> </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5" w:right="0"/>
              <w:jc w:val="left"/>
              <w:rPr>
                <w:rFonts w:ascii="宋体" w:hAnsi="宋体" w:cs="宋体" w:eastAsia="宋体" w:hint="default"/>
                <w:sz w:val="21"/>
                <w:szCs w:val="21"/>
              </w:rPr>
            </w:pPr>
            <w:r>
              <w:rPr>
                <w:rFonts w:ascii="宋体" w:hAnsi="宋体" w:cs="宋体" w:eastAsia="宋体" w:hint="default"/>
                <w:sz w:val="21"/>
                <w:szCs w:val="21"/>
              </w:rPr>
              <w:t>与收益相关</w:t>
            </w:r>
            <w:r>
              <w:rPr>
                <w:rFonts w:ascii="宋体" w:hAnsi="宋体" w:cs="宋体" w:eastAsia="宋体" w:hint="default"/>
                <w:sz w:val="21"/>
                <w:szCs w:val="21"/>
              </w:rPr>
              <w:t> </w:t>
            </w:r>
          </w:p>
        </w:tc>
      </w:tr>
      <w:tr>
        <w:trPr>
          <w:trHeight w:val="322" w:hRule="exact"/>
        </w:trPr>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8" w:right="0"/>
              <w:jc w:val="left"/>
              <w:rPr>
                <w:rFonts w:ascii="宋体" w:hAnsi="宋体" w:cs="宋体" w:eastAsia="宋体" w:hint="default"/>
                <w:sz w:val="21"/>
                <w:szCs w:val="21"/>
              </w:rPr>
            </w:pPr>
            <w:r>
              <w:rPr>
                <w:rFonts w:ascii="宋体" w:hAnsi="宋体" w:cs="宋体" w:eastAsia="宋体" w:hint="default"/>
                <w:sz w:val="21"/>
                <w:szCs w:val="21"/>
              </w:rPr>
              <w:t>高新奖励</w:t>
            </w:r>
            <w:r>
              <w:rPr>
                <w:rFonts w:ascii="宋体" w:hAnsi="宋体" w:cs="宋体" w:eastAsia="宋体" w:hint="default"/>
                <w:sz w:val="21"/>
                <w:szCs w:val="21"/>
              </w:rPr>
              <w:t> </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right"/>
              <w:rPr>
                <w:rFonts w:ascii="宋体" w:hAnsi="宋体" w:cs="宋体" w:eastAsia="宋体" w:hint="default"/>
                <w:sz w:val="21"/>
                <w:szCs w:val="21"/>
              </w:rPr>
            </w:pPr>
            <w:r>
              <w:rPr>
                <w:rFonts w:ascii="宋体"/>
                <w:spacing w:val="-1"/>
                <w:sz w:val="21"/>
              </w:rPr>
              <w:t>250,000.00</w:t>
            </w:r>
            <w:r>
              <w:rPr>
                <w:rFonts w:ascii="宋体"/>
                <w:sz w:val="21"/>
              </w:rPr>
              <w:t> </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
              <w:jc w:val="right"/>
              <w:rPr>
                <w:rFonts w:ascii="宋体" w:hAnsi="宋体" w:cs="宋体" w:eastAsia="宋体" w:hint="default"/>
                <w:sz w:val="21"/>
                <w:szCs w:val="21"/>
              </w:rPr>
            </w:pPr>
            <w:r>
              <w:rPr>
                <w:rFonts w:ascii="宋体"/>
                <w:spacing w:val="-1"/>
                <w:sz w:val="21"/>
              </w:rPr>
              <w:t>750,000.00</w:t>
            </w:r>
            <w:r>
              <w:rPr>
                <w:rFonts w:ascii="宋体"/>
                <w:sz w:val="21"/>
              </w:rPr>
              <w:t> </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5" w:right="0"/>
              <w:jc w:val="left"/>
              <w:rPr>
                <w:rFonts w:ascii="宋体" w:hAnsi="宋体" w:cs="宋体" w:eastAsia="宋体" w:hint="default"/>
                <w:sz w:val="21"/>
                <w:szCs w:val="21"/>
              </w:rPr>
            </w:pPr>
            <w:r>
              <w:rPr>
                <w:rFonts w:ascii="宋体" w:hAnsi="宋体" w:cs="宋体" w:eastAsia="宋体" w:hint="default"/>
                <w:sz w:val="21"/>
                <w:szCs w:val="21"/>
              </w:rPr>
              <w:t>与收益相关</w:t>
            </w:r>
            <w:r>
              <w:rPr>
                <w:rFonts w:ascii="宋体" w:hAnsi="宋体" w:cs="宋体" w:eastAsia="宋体" w:hint="default"/>
                <w:sz w:val="21"/>
                <w:szCs w:val="21"/>
              </w:rPr>
              <w:t> </w:t>
            </w:r>
          </w:p>
        </w:tc>
      </w:tr>
      <w:tr>
        <w:trPr>
          <w:trHeight w:val="634" w:hRule="exact"/>
        </w:trPr>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8" w:right="192"/>
              <w:jc w:val="left"/>
              <w:rPr>
                <w:rFonts w:ascii="宋体" w:hAnsi="宋体" w:cs="宋体" w:eastAsia="宋体" w:hint="default"/>
                <w:sz w:val="21"/>
                <w:szCs w:val="21"/>
              </w:rPr>
            </w:pPr>
            <w:r>
              <w:rPr>
                <w:rFonts w:ascii="宋体" w:hAnsi="宋体" w:cs="宋体" w:eastAsia="宋体" w:hint="default"/>
                <w:sz w:val="21"/>
                <w:szCs w:val="21"/>
              </w:rPr>
              <w:t>鼓励企业争创“两</w:t>
            </w:r>
            <w:r>
              <w:rPr>
                <w:rFonts w:ascii="宋体" w:hAnsi="宋体" w:cs="宋体" w:eastAsia="宋体" w:hint="default"/>
                <w:w w:val="100"/>
                <w:sz w:val="21"/>
                <w:szCs w:val="21"/>
              </w:rPr>
              <w:t> </w:t>
            </w:r>
            <w:r>
              <w:rPr>
                <w:rFonts w:ascii="宋体" w:hAnsi="宋体" w:cs="宋体" w:eastAsia="宋体" w:hint="default"/>
                <w:sz w:val="21"/>
                <w:szCs w:val="21"/>
              </w:rPr>
              <w:t>化融合”示范试点</w:t>
            </w:r>
            <w:r>
              <w:rPr>
                <w:rFonts w:ascii="宋体" w:hAnsi="宋体" w:cs="宋体" w:eastAsia="宋体" w:hint="default"/>
                <w:sz w:val="21"/>
                <w:szCs w:val="21"/>
              </w:rPr>
              <w:t> </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right"/>
              <w:rPr>
                <w:rFonts w:ascii="宋体" w:hAnsi="宋体" w:cs="宋体" w:eastAsia="宋体" w:hint="default"/>
                <w:sz w:val="21"/>
                <w:szCs w:val="21"/>
              </w:rPr>
            </w:pPr>
            <w:r>
              <w:rPr>
                <w:rFonts w:ascii="宋体"/>
                <w:w w:val="100"/>
                <w:sz w:val="21"/>
              </w:rPr>
              <w:t> </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
              <w:jc w:val="right"/>
              <w:rPr>
                <w:rFonts w:ascii="宋体" w:hAnsi="宋体" w:cs="宋体" w:eastAsia="宋体" w:hint="default"/>
                <w:sz w:val="21"/>
                <w:szCs w:val="21"/>
              </w:rPr>
            </w:pPr>
            <w:r>
              <w:rPr>
                <w:rFonts w:ascii="宋体"/>
                <w:spacing w:val="-1"/>
                <w:sz w:val="21"/>
              </w:rPr>
              <w:t>240,000.00</w:t>
            </w:r>
            <w:r>
              <w:rPr>
                <w:rFonts w:ascii="宋体"/>
                <w:sz w:val="21"/>
              </w:rPr>
              <w:t> </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5" w:right="0"/>
              <w:jc w:val="left"/>
              <w:rPr>
                <w:rFonts w:ascii="宋体" w:hAnsi="宋体" w:cs="宋体" w:eastAsia="宋体" w:hint="default"/>
                <w:sz w:val="21"/>
                <w:szCs w:val="21"/>
              </w:rPr>
            </w:pPr>
            <w:r>
              <w:rPr>
                <w:rFonts w:ascii="宋体" w:hAnsi="宋体" w:cs="宋体" w:eastAsia="宋体" w:hint="default"/>
                <w:sz w:val="21"/>
                <w:szCs w:val="21"/>
              </w:rPr>
              <w:t>与收益相关</w:t>
            </w:r>
            <w:r>
              <w:rPr>
                <w:rFonts w:ascii="宋体" w:hAnsi="宋体" w:cs="宋体" w:eastAsia="宋体" w:hint="default"/>
                <w:sz w:val="21"/>
                <w:szCs w:val="21"/>
              </w:rPr>
              <w:t> </w:t>
            </w:r>
          </w:p>
        </w:tc>
      </w:tr>
      <w:tr>
        <w:trPr>
          <w:trHeight w:val="636" w:hRule="exact"/>
        </w:trPr>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8" w:right="295"/>
              <w:jc w:val="left"/>
              <w:rPr>
                <w:rFonts w:ascii="宋体" w:hAnsi="宋体" w:cs="宋体" w:eastAsia="宋体" w:hint="default"/>
                <w:sz w:val="21"/>
                <w:szCs w:val="21"/>
              </w:rPr>
            </w:pPr>
            <w:r>
              <w:rPr>
                <w:rFonts w:ascii="宋体" w:hAnsi="宋体" w:cs="宋体" w:eastAsia="宋体" w:hint="default"/>
                <w:sz w:val="21"/>
                <w:szCs w:val="21"/>
              </w:rPr>
              <w:t>优化企业供应链管</w:t>
            </w:r>
            <w:r>
              <w:rPr>
                <w:rFonts w:ascii="宋体" w:hAnsi="宋体" w:cs="宋体" w:eastAsia="宋体" w:hint="default"/>
                <w:w w:val="100"/>
                <w:sz w:val="21"/>
                <w:szCs w:val="21"/>
              </w:rPr>
              <w:t> </w:t>
            </w:r>
            <w:r>
              <w:rPr>
                <w:rFonts w:ascii="宋体" w:hAnsi="宋体" w:cs="宋体" w:eastAsia="宋体" w:hint="default"/>
                <w:sz w:val="21"/>
                <w:szCs w:val="21"/>
              </w:rPr>
              <w:t>理</w:t>
            </w:r>
            <w:r>
              <w:rPr>
                <w:rFonts w:ascii="宋体" w:hAnsi="宋体" w:cs="宋体" w:eastAsia="宋体" w:hint="default"/>
                <w:sz w:val="21"/>
                <w:szCs w:val="21"/>
              </w:rPr>
              <w:t> </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0"/>
              <w:jc w:val="right"/>
              <w:rPr>
                <w:rFonts w:ascii="宋体" w:hAnsi="宋体" w:cs="宋体" w:eastAsia="宋体" w:hint="default"/>
                <w:sz w:val="21"/>
                <w:szCs w:val="21"/>
              </w:rPr>
            </w:pPr>
            <w:r>
              <w:rPr>
                <w:rFonts w:ascii="宋体"/>
                <w:w w:val="100"/>
                <w:sz w:val="21"/>
              </w:rPr>
              <w:t> </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2"/>
              <w:jc w:val="right"/>
              <w:rPr>
                <w:rFonts w:ascii="宋体" w:hAnsi="宋体" w:cs="宋体" w:eastAsia="宋体" w:hint="default"/>
                <w:sz w:val="21"/>
                <w:szCs w:val="21"/>
              </w:rPr>
            </w:pPr>
            <w:r>
              <w:rPr>
                <w:rFonts w:ascii="宋体"/>
                <w:spacing w:val="-1"/>
                <w:sz w:val="21"/>
              </w:rPr>
              <w:t>240,000.00</w:t>
            </w:r>
            <w:r>
              <w:rPr>
                <w:rFonts w:ascii="宋体"/>
                <w:sz w:val="21"/>
              </w:rPr>
              <w:t> </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105" w:right="0"/>
              <w:jc w:val="left"/>
              <w:rPr>
                <w:rFonts w:ascii="宋体" w:hAnsi="宋体" w:cs="宋体" w:eastAsia="宋体" w:hint="default"/>
                <w:sz w:val="21"/>
                <w:szCs w:val="21"/>
              </w:rPr>
            </w:pPr>
            <w:r>
              <w:rPr>
                <w:rFonts w:ascii="宋体" w:hAnsi="宋体" w:cs="宋体" w:eastAsia="宋体" w:hint="default"/>
                <w:sz w:val="21"/>
                <w:szCs w:val="21"/>
              </w:rPr>
              <w:t>与收益相关</w:t>
            </w:r>
            <w:r>
              <w:rPr>
                <w:rFonts w:ascii="宋体" w:hAnsi="宋体" w:cs="宋体" w:eastAsia="宋体" w:hint="default"/>
                <w:sz w:val="21"/>
                <w:szCs w:val="21"/>
              </w:rPr>
              <w:t> </w:t>
            </w:r>
          </w:p>
        </w:tc>
      </w:tr>
      <w:tr>
        <w:trPr>
          <w:trHeight w:val="322" w:hRule="exact"/>
        </w:trPr>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8"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right"/>
              <w:rPr>
                <w:rFonts w:ascii="宋体" w:hAnsi="宋体" w:cs="宋体" w:eastAsia="宋体" w:hint="default"/>
                <w:sz w:val="21"/>
                <w:szCs w:val="21"/>
              </w:rPr>
            </w:pPr>
            <w:r>
              <w:rPr>
                <w:rFonts w:ascii="宋体"/>
                <w:spacing w:val="-1"/>
                <w:sz w:val="21"/>
              </w:rPr>
              <w:t>799,003.42</w:t>
            </w:r>
            <w:r>
              <w:rPr>
                <w:rFonts w:ascii="宋体"/>
                <w:sz w:val="21"/>
              </w:rPr>
              <w:t> </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
              <w:jc w:val="right"/>
              <w:rPr>
                <w:rFonts w:ascii="宋体" w:hAnsi="宋体" w:cs="宋体" w:eastAsia="宋体" w:hint="default"/>
                <w:sz w:val="21"/>
                <w:szCs w:val="21"/>
              </w:rPr>
            </w:pPr>
            <w:r>
              <w:rPr>
                <w:rFonts w:ascii="宋体"/>
                <w:spacing w:val="-1"/>
                <w:sz w:val="21"/>
              </w:rPr>
              <w:t>3,265,752.73</w:t>
            </w:r>
            <w:r>
              <w:rPr>
                <w:rFonts w:ascii="宋体"/>
                <w:sz w:val="21"/>
              </w:rPr>
              <w:t> </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5" w:right="0"/>
              <w:jc w:val="left"/>
              <w:rPr>
                <w:rFonts w:ascii="宋体" w:hAnsi="宋体" w:cs="宋体" w:eastAsia="宋体" w:hint="default"/>
                <w:sz w:val="21"/>
                <w:szCs w:val="21"/>
              </w:rPr>
            </w:pPr>
            <w:r>
              <w:rPr>
                <w:rFonts w:ascii="宋体" w:hAnsi="宋体" w:cs="宋体" w:eastAsia="宋体" w:hint="default"/>
                <w:sz w:val="21"/>
                <w:szCs w:val="21"/>
              </w:rPr>
              <w:t>与收益相关</w:t>
            </w:r>
            <w:r>
              <w:rPr>
                <w:rFonts w:ascii="宋体" w:hAnsi="宋体" w:cs="宋体" w:eastAsia="宋体" w:hint="default"/>
                <w:sz w:val="21"/>
                <w:szCs w:val="21"/>
              </w:rPr>
              <w:t> </w:t>
            </w:r>
          </w:p>
        </w:tc>
      </w:tr>
    </w:tbl>
    <w:p>
      <w:pPr>
        <w:spacing w:line="240" w:lineRule="auto" w:before="12"/>
        <w:rPr>
          <w:rFonts w:ascii="宋体" w:hAnsi="宋体" w:cs="宋体" w:eastAsia="宋体" w:hint="default"/>
          <w:sz w:val="28"/>
          <w:szCs w:val="28"/>
        </w:rPr>
      </w:pPr>
    </w:p>
    <w:p>
      <w:pPr>
        <w:pStyle w:val="BodyText"/>
        <w:spacing w:line="240" w:lineRule="auto" w:before="36"/>
        <w:ind w:left="236" w:right="28"/>
        <w:jc w:val="left"/>
        <w:rPr>
          <w:rFonts w:ascii="宋体" w:hAnsi="宋体" w:cs="宋体" w:eastAsia="宋体" w:hint="default"/>
        </w:rPr>
      </w:pPr>
      <w:r>
        <w:rPr/>
        <w:t>其他说明：</w:t>
      </w:r>
      <w:r>
        <w:rPr>
          <w:rFonts w:ascii="宋体" w:hAnsi="宋体" w:cs="宋体" w:eastAsia="宋体" w:hint="default"/>
        </w:rPr>
        <w:t> </w:t>
      </w:r>
    </w:p>
    <w:p>
      <w:pPr>
        <w:pStyle w:val="BodyText"/>
        <w:spacing w:line="240" w:lineRule="auto" w:before="145"/>
        <w:ind w:left="236" w:right="28"/>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2"/>
        <w:spacing w:line="240" w:lineRule="auto" w:before="62"/>
        <w:ind w:left="236" w:right="0"/>
        <w:jc w:val="left"/>
        <w:rPr>
          <w:rFonts w:ascii="宋体" w:hAnsi="宋体" w:cs="宋体" w:eastAsia="宋体" w:hint="default"/>
        </w:rPr>
      </w:pPr>
      <w:r>
        <w:rPr>
          <w:rFonts w:ascii="宋体"/>
        </w:rPr>
        <w:t> </w:t>
      </w:r>
    </w:p>
    <w:p>
      <w:pPr>
        <w:spacing w:after="0" w:line="240" w:lineRule="auto"/>
        <w:jc w:val="left"/>
        <w:rPr>
          <w:rFonts w:ascii="宋体" w:hAnsi="宋体" w:cs="宋体" w:eastAsia="宋体" w:hint="default"/>
        </w:rPr>
        <w:sectPr>
          <w:type w:val="continuous"/>
          <w:pgSz w:w="11910" w:h="16840"/>
          <w:pgMar w:top="1580" w:bottom="280" w:left="1040" w:right="1560"/>
        </w:sectPr>
      </w:pPr>
    </w:p>
    <w:p>
      <w:pPr>
        <w:spacing w:line="240" w:lineRule="auto" w:before="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pgSz w:w="11910" w:h="16840"/>
          <w:pgMar w:header="0" w:footer="974" w:top="1140" w:bottom="1160" w:left="1040" w:right="1560"/>
        </w:sectPr>
      </w:pPr>
    </w:p>
    <w:p>
      <w:pPr>
        <w:pStyle w:val="Heading3"/>
        <w:spacing w:line="240" w:lineRule="auto" w:before="36"/>
        <w:ind w:left="236" w:right="0"/>
        <w:jc w:val="left"/>
        <w:rPr>
          <w:rFonts w:ascii="宋体" w:hAnsi="宋体" w:cs="宋体" w:eastAsia="宋体" w:hint="default"/>
          <w:b w:val="0"/>
          <w:bCs w:val="0"/>
        </w:rPr>
      </w:pPr>
      <w:r>
        <w:rPr>
          <w:rFonts w:ascii="宋体" w:hAnsi="宋体" w:cs="宋体" w:eastAsia="宋体" w:hint="default"/>
        </w:rPr>
        <w:t>73</w:t>
      </w:r>
      <w:r>
        <w:rPr/>
        <w:t>、</w:t>
      </w:r>
      <w:r>
        <w:rPr>
          <w:spacing w:val="-27"/>
        </w:rPr>
        <w:t> </w:t>
      </w:r>
      <w:r>
        <w:rPr/>
        <w:t>营业外支出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7"/>
        <w:ind w:left="236"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spacing w:line="240" w:lineRule="auto"/>
        <w:ind w:left="236" w:right="0"/>
        <w:jc w:val="left"/>
        <w:rPr>
          <w:rFonts w:ascii="宋体" w:hAnsi="宋体" w:cs="宋体" w:eastAsia="宋体" w:hint="default"/>
        </w:rPr>
      </w:pPr>
      <w:r>
        <w:rPr/>
        <w:t>单位：元币种：人民币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580" w:bottom="280" w:left="1040" w:right="1560"/>
          <w:cols w:num="2" w:equalWidth="0">
            <w:col w:w="2129" w:space="4604"/>
            <w:col w:w="2577"/>
          </w:cols>
        </w:sectPr>
      </w:pPr>
    </w:p>
    <w:p>
      <w:pPr>
        <w:spacing w:line="240" w:lineRule="auto" w:before="10"/>
        <w:rPr>
          <w:rFonts w:ascii="宋体" w:hAnsi="宋体" w:cs="宋体" w:eastAsia="宋体" w:hint="default"/>
          <w:sz w:val="3"/>
          <w:szCs w:val="3"/>
        </w:rPr>
      </w:pPr>
    </w:p>
    <w:tbl>
      <w:tblPr>
        <w:tblW w:w="0" w:type="auto"/>
        <w:jc w:val="left"/>
        <w:tblInd w:w="123" w:type="dxa"/>
        <w:tblLayout w:type="fixed"/>
        <w:tblCellMar>
          <w:top w:w="0" w:type="dxa"/>
          <w:left w:w="0" w:type="dxa"/>
          <w:bottom w:w="0" w:type="dxa"/>
          <w:right w:w="0" w:type="dxa"/>
        </w:tblCellMar>
        <w:tblLook w:val="01E0"/>
      </w:tblPr>
      <w:tblGrid>
        <w:gridCol w:w="2660"/>
        <w:gridCol w:w="2127"/>
        <w:gridCol w:w="1947"/>
        <w:gridCol w:w="2317"/>
      </w:tblGrid>
      <w:tr>
        <w:trPr>
          <w:trHeight w:val="634"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533"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441"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837" w:right="99" w:hanging="735"/>
              <w:jc w:val="left"/>
              <w:rPr>
                <w:rFonts w:ascii="宋体" w:hAnsi="宋体" w:cs="宋体" w:eastAsia="宋体" w:hint="default"/>
                <w:sz w:val="21"/>
                <w:szCs w:val="21"/>
              </w:rPr>
            </w:pPr>
            <w:r>
              <w:rPr>
                <w:rFonts w:ascii="宋体" w:hAnsi="宋体" w:cs="宋体" w:eastAsia="宋体" w:hint="default"/>
                <w:spacing w:val="-2"/>
                <w:sz w:val="21"/>
                <w:szCs w:val="21"/>
              </w:rPr>
              <w:t>计入当期非经常性损益</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的金额</w:t>
            </w:r>
            <w:r>
              <w:rPr>
                <w:rFonts w:ascii="宋体" w:hAnsi="宋体" w:cs="宋体" w:eastAsia="宋体" w:hint="default"/>
                <w:sz w:val="21"/>
                <w:szCs w:val="21"/>
              </w:rPr>
              <w:t> </w:t>
            </w:r>
          </w:p>
        </w:tc>
      </w:tr>
      <w:tr>
        <w:trPr>
          <w:trHeight w:val="322"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非流动资产处置损失合计</w:t>
            </w:r>
            <w:r>
              <w:rPr>
                <w:rFonts w:ascii="宋体" w:hAnsi="宋体" w:cs="宋体" w:eastAsia="宋体" w:hint="default"/>
                <w:sz w:val="21"/>
                <w:szCs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其中：固定资产处置损失</w:t>
            </w:r>
            <w:r>
              <w:rPr>
                <w:rFonts w:ascii="宋体" w:hAnsi="宋体" w:cs="宋体" w:eastAsia="宋体" w:hint="default"/>
                <w:sz w:val="21"/>
                <w:szCs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4"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734" w:right="0"/>
              <w:jc w:val="left"/>
              <w:rPr>
                <w:rFonts w:ascii="宋体" w:hAnsi="宋体" w:cs="宋体" w:eastAsia="宋体" w:hint="default"/>
                <w:sz w:val="21"/>
                <w:szCs w:val="21"/>
              </w:rPr>
            </w:pPr>
            <w:r>
              <w:rPr>
                <w:rFonts w:ascii="宋体" w:hAnsi="宋体" w:cs="宋体" w:eastAsia="宋体" w:hint="default"/>
                <w:sz w:val="21"/>
                <w:szCs w:val="21"/>
              </w:rPr>
              <w:t>无形资产处置损失</w:t>
            </w:r>
            <w:r>
              <w:rPr>
                <w:rFonts w:ascii="宋体" w:hAnsi="宋体" w:cs="宋体" w:eastAsia="宋体" w:hint="default"/>
                <w:sz w:val="21"/>
                <w:szCs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w w:val="100"/>
                <w:sz w:val="21"/>
              </w:rPr>
              <w:t> </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w w:val="100"/>
                <w:sz w:val="21"/>
              </w:rPr>
              <w:t> </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债务重组损失</w:t>
            </w:r>
            <w:r>
              <w:rPr>
                <w:rFonts w:ascii="宋体" w:hAnsi="宋体" w:cs="宋体" w:eastAsia="宋体" w:hint="default"/>
                <w:sz w:val="21"/>
                <w:szCs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非货币性资产交换损失</w:t>
            </w:r>
            <w:r>
              <w:rPr>
                <w:rFonts w:ascii="宋体" w:hAnsi="宋体" w:cs="宋体" w:eastAsia="宋体" w:hint="default"/>
                <w:sz w:val="21"/>
                <w:szCs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对外捐赠</w:t>
            </w:r>
            <w:r>
              <w:rPr>
                <w:rFonts w:ascii="宋体" w:hAnsi="宋体" w:cs="宋体" w:eastAsia="宋体" w:hint="default"/>
                <w:sz w:val="21"/>
                <w:szCs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23,002,349.56</w:t>
            </w:r>
            <w:r>
              <w:rPr>
                <w:rFonts w:ascii="宋体"/>
                <w:sz w:val="21"/>
              </w:rPr>
              <w:t> </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10,855,207.66</w:t>
            </w:r>
            <w:r>
              <w:rPr>
                <w:rFonts w:ascii="宋体"/>
                <w:sz w:val="21"/>
              </w:rPr>
              <w:t> </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23,002,349.56</w:t>
            </w:r>
            <w:r>
              <w:rPr>
                <w:rFonts w:ascii="宋体"/>
                <w:sz w:val="21"/>
              </w:rPr>
              <w:t> </w:t>
            </w:r>
          </w:p>
        </w:tc>
      </w:tr>
      <w:tr>
        <w:trPr>
          <w:trHeight w:val="322"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422,836.84</w:t>
            </w:r>
            <w:r>
              <w:rPr>
                <w:rFonts w:ascii="宋体"/>
                <w:sz w:val="21"/>
              </w:rPr>
              <w:t> </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3,891,983.81</w:t>
            </w:r>
            <w:r>
              <w:rPr>
                <w:rFonts w:ascii="宋体"/>
                <w:sz w:val="21"/>
              </w:rPr>
              <w:t> </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422,836.84</w:t>
            </w:r>
            <w:r>
              <w:rPr>
                <w:rFonts w:ascii="宋体"/>
                <w:sz w:val="21"/>
              </w:rPr>
              <w:t> </w:t>
            </w:r>
          </w:p>
        </w:tc>
      </w:tr>
      <w:tr>
        <w:trPr>
          <w:trHeight w:val="324"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98"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23,425,186.40</w:t>
            </w:r>
            <w:r>
              <w:rPr>
                <w:rFonts w:ascii="宋体"/>
                <w:sz w:val="21"/>
              </w:rPr>
              <w:t> </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14,747,191.47</w:t>
            </w:r>
            <w:r>
              <w:rPr>
                <w:rFonts w:ascii="宋体"/>
                <w:sz w:val="21"/>
              </w:rPr>
              <w:t> </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23,425,186.40</w:t>
            </w:r>
            <w:r>
              <w:rPr>
                <w:rFonts w:ascii="宋体"/>
                <w:sz w:val="21"/>
              </w:rPr>
              <w:t> </w:t>
            </w:r>
          </w:p>
        </w:tc>
      </w:tr>
    </w:tbl>
    <w:p>
      <w:pPr>
        <w:spacing w:after="0" w:line="262" w:lineRule="exact"/>
        <w:jc w:val="right"/>
        <w:rPr>
          <w:rFonts w:ascii="宋体" w:hAnsi="宋体" w:cs="宋体" w:eastAsia="宋体" w:hint="default"/>
          <w:sz w:val="21"/>
          <w:szCs w:val="21"/>
        </w:rPr>
        <w:sectPr>
          <w:type w:val="continuous"/>
          <w:pgSz w:w="11910" w:h="16840"/>
          <w:pgMar w:top="1580" w:bottom="280" w:left="1040" w:right="1560"/>
        </w:sectPr>
      </w:pPr>
    </w:p>
    <w:p>
      <w:pPr>
        <w:pStyle w:val="BodyText"/>
        <w:spacing w:line="240" w:lineRule="auto" w:before="47"/>
        <w:ind w:left="236" w:right="0"/>
        <w:jc w:val="left"/>
        <w:rPr>
          <w:rFonts w:ascii="宋体" w:hAnsi="宋体" w:cs="宋体" w:eastAsia="宋体" w:hint="default"/>
        </w:rPr>
      </w:pPr>
      <w:r>
        <w:rPr>
          <w:rFonts w:ascii="宋体"/>
          <w:w w:val="100"/>
        </w:rPr>
        <w:t> </w:t>
      </w:r>
    </w:p>
    <w:p>
      <w:pPr>
        <w:pStyle w:val="Heading3"/>
        <w:spacing w:line="324" w:lineRule="auto"/>
        <w:ind w:left="236" w:right="0"/>
        <w:jc w:val="left"/>
        <w:rPr>
          <w:rFonts w:ascii="宋体" w:hAnsi="宋体" w:cs="宋体" w:eastAsia="宋体" w:hint="default"/>
          <w:b w:val="0"/>
          <w:bCs w:val="0"/>
        </w:rPr>
      </w:pPr>
      <w:r>
        <w:rPr>
          <w:rFonts w:ascii="宋体" w:hAnsi="宋体" w:cs="宋体" w:eastAsia="宋体" w:hint="default"/>
        </w:rPr>
        <w:t>74</w:t>
      </w:r>
      <w:r>
        <w:rPr/>
        <w:t>、</w:t>
      </w:r>
      <w:r>
        <w:rPr>
          <w:spacing w:val="-26"/>
        </w:rPr>
        <w:t> </w:t>
      </w:r>
      <w:r>
        <w:rPr/>
        <w:t>所得税费用</w:t>
      </w:r>
      <w:r>
        <w:rPr>
          <w:rFonts w:ascii="宋体" w:hAnsi="宋体" w:cs="宋体" w:eastAsia="宋体" w:hint="default"/>
          <w:w w:val="99"/>
        </w:rPr>
        <w:t> </w:t>
      </w:r>
      <w:r>
        <w:rPr>
          <w:rFonts w:ascii="宋体" w:hAnsi="宋体" w:cs="宋体" w:eastAsia="宋体" w:hint="default"/>
        </w:rPr>
        <w:t>(1).</w:t>
      </w:r>
      <w:r>
        <w:rPr/>
        <w:t>所得税费用表</w:t>
      </w:r>
      <w:r>
        <w:rPr>
          <w:rFonts w:ascii="宋体" w:hAnsi="宋体" w:cs="宋体" w:eastAsia="宋体" w:hint="default"/>
          <w:w w:val="99"/>
        </w:rPr>
        <w:t> </w:t>
      </w:r>
      <w:r>
        <w:rPr>
          <w:rFonts w:ascii="宋体" w:hAnsi="宋体" w:cs="宋体" w:eastAsia="宋体" w:hint="default"/>
          <w:b w:val="0"/>
          <w:bCs w:val="0"/>
        </w:rPr>
      </w:r>
    </w:p>
    <w:p>
      <w:pPr>
        <w:pStyle w:val="Heading2"/>
        <w:spacing w:line="310" w:lineRule="exact"/>
        <w:ind w:left="23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67"/>
        <w:ind w:left="236" w:right="0"/>
        <w:jc w:val="left"/>
        <w:rPr>
          <w:rFonts w:ascii="宋体" w:hAnsi="宋体" w:cs="宋体" w:eastAsia="宋体" w:hint="default"/>
        </w:rPr>
      </w:pPr>
      <w:r>
        <w:rPr/>
        <w:t>单位：元币种：人民币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580" w:bottom="280" w:left="1040" w:right="1560"/>
          <w:cols w:num="2" w:equalWidth="0">
            <w:col w:w="2278" w:space="4456"/>
            <w:col w:w="2576"/>
          </w:cols>
        </w:sectPr>
      </w:pPr>
    </w:p>
    <w:p>
      <w:pPr>
        <w:spacing w:line="240" w:lineRule="auto" w:before="10"/>
        <w:rPr>
          <w:rFonts w:ascii="宋体" w:hAnsi="宋体" w:cs="宋体" w:eastAsia="宋体" w:hint="default"/>
          <w:sz w:val="3"/>
          <w:szCs w:val="3"/>
        </w:rPr>
      </w:pPr>
    </w:p>
    <w:tbl>
      <w:tblPr>
        <w:tblW w:w="0" w:type="auto"/>
        <w:jc w:val="left"/>
        <w:tblInd w:w="119" w:type="dxa"/>
        <w:tblLayout w:type="fixed"/>
        <w:tblCellMar>
          <w:top w:w="0" w:type="dxa"/>
          <w:left w:w="0" w:type="dxa"/>
          <w:bottom w:w="0" w:type="dxa"/>
          <w:right w:w="0" w:type="dxa"/>
        </w:tblCellMar>
        <w:tblLook w:val="01E0"/>
      </w:tblPr>
      <w:tblGrid>
        <w:gridCol w:w="3217"/>
        <w:gridCol w:w="2931"/>
        <w:gridCol w:w="2914"/>
      </w:tblGrid>
      <w:tr>
        <w:trPr>
          <w:trHeight w:val="322" w:hRule="exact"/>
        </w:trPr>
        <w:tc>
          <w:tcPr>
            <w:tcW w:w="32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289"/>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293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928"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919"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322" w:hRule="exact"/>
        </w:trPr>
        <w:tc>
          <w:tcPr>
            <w:tcW w:w="32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8" w:right="0"/>
              <w:jc w:val="left"/>
              <w:rPr>
                <w:rFonts w:ascii="宋体" w:hAnsi="宋体" w:cs="宋体" w:eastAsia="宋体" w:hint="default"/>
                <w:sz w:val="21"/>
                <w:szCs w:val="21"/>
              </w:rPr>
            </w:pPr>
            <w:r>
              <w:rPr>
                <w:rFonts w:ascii="宋体" w:hAnsi="宋体" w:cs="宋体" w:eastAsia="宋体" w:hint="default"/>
                <w:sz w:val="21"/>
                <w:szCs w:val="21"/>
              </w:rPr>
              <w:t>当期所得税费用</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93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
              <w:jc w:val="right"/>
              <w:rPr>
                <w:rFonts w:ascii="宋体" w:hAnsi="宋体" w:cs="宋体" w:eastAsia="宋体" w:hint="default"/>
                <w:sz w:val="21"/>
                <w:szCs w:val="21"/>
              </w:rPr>
            </w:pPr>
            <w:r>
              <w:rPr>
                <w:rFonts w:ascii="宋体"/>
                <w:spacing w:val="-1"/>
                <w:sz w:val="21"/>
              </w:rPr>
              <w:t>75,227,987.39</w:t>
            </w:r>
            <w:r>
              <w:rPr>
                <w:rFonts w:ascii="宋体"/>
                <w:sz w:val="21"/>
              </w:rPr>
              <w:t> </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1"/>
              <w:jc w:val="right"/>
              <w:rPr>
                <w:rFonts w:ascii="宋体" w:hAnsi="宋体" w:cs="宋体" w:eastAsia="宋体" w:hint="default"/>
                <w:sz w:val="21"/>
                <w:szCs w:val="21"/>
              </w:rPr>
            </w:pPr>
            <w:r>
              <w:rPr>
                <w:rFonts w:ascii="宋体"/>
                <w:spacing w:val="-1"/>
                <w:sz w:val="21"/>
              </w:rPr>
              <w:t>44,071,498.32</w:t>
            </w:r>
            <w:r>
              <w:rPr>
                <w:rFonts w:ascii="宋体"/>
                <w:sz w:val="21"/>
              </w:rPr>
              <w:t> </w:t>
            </w:r>
          </w:p>
        </w:tc>
      </w:tr>
      <w:tr>
        <w:trPr>
          <w:trHeight w:val="322" w:hRule="exact"/>
        </w:trPr>
        <w:tc>
          <w:tcPr>
            <w:tcW w:w="32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8" w:right="0"/>
              <w:jc w:val="left"/>
              <w:rPr>
                <w:rFonts w:ascii="宋体" w:hAnsi="宋体" w:cs="宋体" w:eastAsia="宋体" w:hint="default"/>
                <w:sz w:val="21"/>
                <w:szCs w:val="21"/>
              </w:rPr>
            </w:pPr>
            <w:r>
              <w:rPr>
                <w:rFonts w:ascii="宋体" w:hAnsi="宋体" w:cs="宋体" w:eastAsia="宋体" w:hint="default"/>
                <w:sz w:val="21"/>
                <w:szCs w:val="21"/>
              </w:rPr>
              <w:t>递延所得税费用</w:t>
            </w:r>
            <w:r>
              <w:rPr>
                <w:rFonts w:ascii="宋体" w:hAnsi="宋体" w:cs="宋体" w:eastAsia="宋体" w:hint="default"/>
                <w:sz w:val="21"/>
                <w:szCs w:val="21"/>
              </w:rPr>
              <w:t> </w:t>
            </w:r>
          </w:p>
        </w:tc>
        <w:tc>
          <w:tcPr>
            <w:tcW w:w="293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
              <w:jc w:val="right"/>
              <w:rPr>
                <w:rFonts w:ascii="宋体" w:hAnsi="宋体" w:cs="宋体" w:eastAsia="宋体" w:hint="default"/>
                <w:sz w:val="21"/>
                <w:szCs w:val="21"/>
              </w:rPr>
            </w:pPr>
            <w:r>
              <w:rPr>
                <w:rFonts w:ascii="宋体"/>
                <w:spacing w:val="-1"/>
                <w:sz w:val="21"/>
              </w:rPr>
              <w:t>611,027.20</w:t>
            </w:r>
            <w:r>
              <w:rPr>
                <w:rFonts w:ascii="宋体"/>
                <w:sz w:val="21"/>
              </w:rPr>
              <w:t> </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1"/>
              <w:jc w:val="right"/>
              <w:rPr>
                <w:rFonts w:ascii="宋体" w:hAnsi="宋体" w:cs="宋体" w:eastAsia="宋体" w:hint="default"/>
                <w:sz w:val="21"/>
                <w:szCs w:val="21"/>
              </w:rPr>
            </w:pPr>
            <w:r>
              <w:rPr>
                <w:rFonts w:ascii="宋体"/>
                <w:spacing w:val="-1"/>
                <w:sz w:val="21"/>
              </w:rPr>
              <w:t>1,937,861.17</w:t>
            </w:r>
            <w:r>
              <w:rPr>
                <w:rFonts w:ascii="宋体"/>
                <w:sz w:val="21"/>
              </w:rPr>
              <w:t> </w:t>
            </w:r>
          </w:p>
        </w:tc>
      </w:tr>
      <w:tr>
        <w:trPr>
          <w:trHeight w:val="322" w:hRule="exact"/>
        </w:trPr>
        <w:tc>
          <w:tcPr>
            <w:tcW w:w="32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289"/>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293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7"/>
              <w:jc w:val="right"/>
              <w:rPr>
                <w:rFonts w:ascii="宋体" w:hAnsi="宋体" w:cs="宋体" w:eastAsia="宋体" w:hint="default"/>
                <w:sz w:val="21"/>
                <w:szCs w:val="21"/>
              </w:rPr>
            </w:pPr>
            <w:r>
              <w:rPr>
                <w:rFonts w:ascii="宋体"/>
                <w:spacing w:val="-1"/>
                <w:sz w:val="21"/>
              </w:rPr>
              <w:t>75,839,014.59</w:t>
            </w:r>
            <w:r>
              <w:rPr>
                <w:rFonts w:ascii="宋体"/>
                <w:sz w:val="21"/>
              </w:rPr>
              <w:t> </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1"/>
              <w:jc w:val="right"/>
              <w:rPr>
                <w:rFonts w:ascii="宋体" w:hAnsi="宋体" w:cs="宋体" w:eastAsia="宋体" w:hint="default"/>
                <w:sz w:val="21"/>
                <w:szCs w:val="21"/>
              </w:rPr>
            </w:pPr>
            <w:r>
              <w:rPr>
                <w:rFonts w:ascii="宋体"/>
                <w:spacing w:val="-1"/>
                <w:sz w:val="21"/>
              </w:rPr>
              <w:t>46,009,359.49</w:t>
            </w:r>
            <w:r>
              <w:rPr>
                <w:rFonts w:ascii="宋体"/>
                <w:sz w:val="21"/>
              </w:rPr>
              <w:t> </w:t>
            </w:r>
          </w:p>
        </w:tc>
      </w:tr>
    </w:tbl>
    <w:p>
      <w:pPr>
        <w:spacing w:after="0" w:line="262" w:lineRule="exact"/>
        <w:jc w:val="right"/>
        <w:rPr>
          <w:rFonts w:ascii="宋体" w:hAnsi="宋体" w:cs="宋体" w:eastAsia="宋体" w:hint="default"/>
          <w:sz w:val="21"/>
          <w:szCs w:val="21"/>
        </w:rPr>
        <w:sectPr>
          <w:type w:val="continuous"/>
          <w:pgSz w:w="11910" w:h="16840"/>
          <w:pgMar w:top="1580" w:bottom="280" w:left="1040" w:right="1560"/>
        </w:sectPr>
      </w:pPr>
    </w:p>
    <w:p>
      <w:pPr>
        <w:pStyle w:val="Heading2"/>
        <w:spacing w:line="274" w:lineRule="exact"/>
        <w:ind w:left="236" w:right="0"/>
        <w:jc w:val="left"/>
        <w:rPr>
          <w:rFonts w:ascii="宋体" w:hAnsi="宋体" w:cs="宋体" w:eastAsia="宋体" w:hint="default"/>
        </w:rPr>
      </w:pPr>
      <w:r>
        <w:rPr>
          <w:rFonts w:ascii="宋体"/>
        </w:rPr>
        <w:t> </w:t>
      </w:r>
    </w:p>
    <w:p>
      <w:pPr>
        <w:pStyle w:val="Heading3"/>
        <w:spacing w:line="240" w:lineRule="auto" w:before="85"/>
        <w:ind w:left="236" w:right="0"/>
        <w:jc w:val="left"/>
        <w:rPr>
          <w:rFonts w:ascii="宋体" w:hAnsi="宋体" w:cs="宋体" w:eastAsia="宋体" w:hint="default"/>
          <w:b w:val="0"/>
          <w:bCs w:val="0"/>
        </w:rPr>
      </w:pPr>
      <w:r>
        <w:rPr>
          <w:rFonts w:ascii="宋体" w:hAnsi="宋体" w:cs="宋体" w:eastAsia="宋体" w:hint="default"/>
        </w:rPr>
        <w:t>(2).</w:t>
      </w:r>
      <w:r>
        <w:rPr/>
        <w:t>会计利润与所得税费用调整过程</w:t>
      </w:r>
      <w:r>
        <w:rPr>
          <w:rFonts w:ascii="宋体" w:hAnsi="宋体" w:cs="宋体" w:eastAsia="宋体" w:hint="default"/>
          <w:w w:val="99"/>
        </w:rPr>
        <w:t> </w:t>
      </w:r>
      <w:r>
        <w:rPr>
          <w:rFonts w:ascii="宋体" w:hAnsi="宋体" w:cs="宋体" w:eastAsia="宋体" w:hint="default"/>
          <w:b w:val="0"/>
          <w:bCs w:val="0"/>
        </w:rPr>
      </w:r>
    </w:p>
    <w:p>
      <w:pPr>
        <w:pStyle w:val="Heading2"/>
        <w:spacing w:line="240" w:lineRule="auto" w:before="69"/>
        <w:ind w:left="23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pStyle w:val="BodyText"/>
        <w:spacing w:line="240" w:lineRule="auto"/>
        <w:ind w:left="236" w:right="0"/>
        <w:jc w:val="left"/>
        <w:rPr>
          <w:rFonts w:ascii="宋体" w:hAnsi="宋体" w:cs="宋体" w:eastAsia="宋体" w:hint="default"/>
        </w:rPr>
      </w:pPr>
      <w:r>
        <w:rPr/>
        <w:t>单位：元币种：人民币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580" w:bottom="280" w:left="1040" w:right="1560"/>
          <w:cols w:num="2" w:equalWidth="0">
            <w:col w:w="3723" w:space="3010"/>
            <w:col w:w="2577"/>
          </w:cols>
        </w:sectPr>
      </w:pPr>
    </w:p>
    <w:p>
      <w:pPr>
        <w:spacing w:line="240" w:lineRule="auto" w:before="10"/>
        <w:rPr>
          <w:rFonts w:ascii="宋体" w:hAnsi="宋体" w:cs="宋体" w:eastAsia="宋体" w:hint="default"/>
          <w:sz w:val="3"/>
          <w:szCs w:val="3"/>
        </w:rPr>
      </w:pPr>
    </w:p>
    <w:tbl>
      <w:tblPr>
        <w:tblW w:w="0" w:type="auto"/>
        <w:jc w:val="left"/>
        <w:tblInd w:w="116" w:type="dxa"/>
        <w:tblLayout w:type="fixed"/>
        <w:tblCellMar>
          <w:top w:w="0" w:type="dxa"/>
          <w:left w:w="0" w:type="dxa"/>
          <w:bottom w:w="0" w:type="dxa"/>
          <w:right w:w="0" w:type="dxa"/>
        </w:tblCellMar>
        <w:tblLook w:val="01E0"/>
      </w:tblPr>
      <w:tblGrid>
        <w:gridCol w:w="4381"/>
        <w:gridCol w:w="4676"/>
      </w:tblGrid>
      <w:tr>
        <w:trPr>
          <w:trHeight w:val="324" w:hRule="exact"/>
        </w:trPr>
        <w:tc>
          <w:tcPr>
            <w:tcW w:w="438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5"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4676" w:type="dxa"/>
            <w:tcBorders>
              <w:top w:val="single" w:sz="4" w:space="0" w:color="000000"/>
              <w:left w:val="single" w:sz="4" w:space="0" w:color="000000"/>
              <w:bottom w:val="single" w:sz="4" w:space="0" w:color="000000"/>
              <w:right w:val="single" w:sz="5" w:space="0" w:color="000000"/>
            </w:tcBorders>
          </w:tcPr>
          <w:p>
            <w:pPr>
              <w:pStyle w:val="TableParagraph"/>
              <w:spacing w:line="265" w:lineRule="exact"/>
              <w:ind w:left="101" w:right="0"/>
              <w:jc w:val="center"/>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r>
      <w:tr>
        <w:trPr>
          <w:trHeight w:val="324" w:hRule="exact"/>
        </w:trPr>
        <w:tc>
          <w:tcPr>
            <w:tcW w:w="438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8" w:right="0"/>
              <w:jc w:val="left"/>
              <w:rPr>
                <w:rFonts w:ascii="宋体" w:hAnsi="宋体" w:cs="宋体" w:eastAsia="宋体" w:hint="default"/>
                <w:sz w:val="21"/>
                <w:szCs w:val="21"/>
              </w:rPr>
            </w:pPr>
            <w:r>
              <w:rPr>
                <w:rFonts w:ascii="宋体" w:hAnsi="宋体" w:cs="宋体" w:eastAsia="宋体" w:hint="default"/>
                <w:sz w:val="21"/>
                <w:szCs w:val="21"/>
              </w:rPr>
              <w:t>利润总额</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4676" w:type="dxa"/>
            <w:tcBorders>
              <w:top w:val="single" w:sz="4" w:space="0" w:color="000000"/>
              <w:left w:val="single" w:sz="4" w:space="0" w:color="000000"/>
              <w:bottom w:val="single" w:sz="6" w:space="0" w:color="000000"/>
              <w:right w:val="single" w:sz="6" w:space="0" w:color="000000"/>
            </w:tcBorders>
          </w:tcPr>
          <w:p>
            <w:pPr>
              <w:pStyle w:val="TableParagraph"/>
              <w:spacing w:line="262" w:lineRule="exact"/>
              <w:ind w:right="0"/>
              <w:jc w:val="right"/>
              <w:rPr>
                <w:rFonts w:ascii="宋体" w:hAnsi="宋体" w:cs="宋体" w:eastAsia="宋体" w:hint="default"/>
                <w:sz w:val="21"/>
                <w:szCs w:val="21"/>
              </w:rPr>
            </w:pPr>
            <w:r>
              <w:rPr>
                <w:rFonts w:ascii="宋体"/>
                <w:spacing w:val="-1"/>
                <w:sz w:val="21"/>
              </w:rPr>
              <w:t>779,299,357.33</w:t>
            </w:r>
            <w:r>
              <w:rPr>
                <w:rFonts w:ascii="宋体"/>
                <w:sz w:val="21"/>
              </w:rPr>
              <w:t> </w:t>
            </w:r>
          </w:p>
        </w:tc>
      </w:tr>
      <w:tr>
        <w:trPr>
          <w:trHeight w:val="326" w:hRule="exact"/>
        </w:trPr>
        <w:tc>
          <w:tcPr>
            <w:tcW w:w="438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8" w:right="0"/>
              <w:jc w:val="left"/>
              <w:rPr>
                <w:rFonts w:ascii="宋体" w:hAnsi="宋体" w:cs="宋体" w:eastAsia="宋体" w:hint="default"/>
                <w:sz w:val="21"/>
                <w:szCs w:val="21"/>
              </w:rPr>
            </w:pPr>
            <w:r>
              <w:rPr>
                <w:rFonts w:ascii="宋体" w:hAnsi="宋体" w:cs="宋体" w:eastAsia="宋体" w:hint="default"/>
                <w:sz w:val="21"/>
                <w:szCs w:val="21"/>
              </w:rPr>
              <w:t>按法定</w:t>
            </w:r>
            <w:r>
              <w:rPr>
                <w:rFonts w:ascii="宋体" w:hAnsi="宋体" w:cs="宋体" w:eastAsia="宋体" w:hint="default"/>
                <w:sz w:val="21"/>
                <w:szCs w:val="21"/>
              </w:rPr>
              <w:t>/</w:t>
            </w:r>
            <w:r>
              <w:rPr>
                <w:rFonts w:ascii="宋体" w:hAnsi="宋体" w:cs="宋体" w:eastAsia="宋体" w:hint="default"/>
                <w:sz w:val="21"/>
                <w:szCs w:val="21"/>
              </w:rPr>
              <w:t>适用税率计算的所得税费用</w:t>
            </w:r>
            <w:r>
              <w:rPr>
                <w:rFonts w:ascii="宋体" w:hAnsi="宋体" w:cs="宋体" w:eastAsia="宋体" w:hint="default"/>
                <w:sz w:val="21"/>
                <w:szCs w:val="21"/>
              </w:rPr>
              <w:t> </w:t>
            </w:r>
          </w:p>
        </w:tc>
        <w:tc>
          <w:tcPr>
            <w:tcW w:w="4676" w:type="dxa"/>
            <w:tcBorders>
              <w:top w:val="single" w:sz="6" w:space="0" w:color="000000"/>
              <w:left w:val="single" w:sz="4" w:space="0" w:color="000000"/>
              <w:bottom w:val="single" w:sz="6" w:space="0" w:color="000000"/>
              <w:right w:val="single" w:sz="6" w:space="0" w:color="000000"/>
            </w:tcBorders>
          </w:tcPr>
          <w:p>
            <w:pPr>
              <w:pStyle w:val="TableParagraph"/>
              <w:spacing w:line="262" w:lineRule="exact"/>
              <w:ind w:right="0"/>
              <w:jc w:val="right"/>
              <w:rPr>
                <w:rFonts w:ascii="宋体" w:hAnsi="宋体" w:cs="宋体" w:eastAsia="宋体" w:hint="default"/>
                <w:sz w:val="21"/>
                <w:szCs w:val="21"/>
              </w:rPr>
            </w:pPr>
            <w:r>
              <w:rPr>
                <w:rFonts w:ascii="宋体"/>
                <w:spacing w:val="-1"/>
                <w:sz w:val="21"/>
              </w:rPr>
              <w:t>116,894,903.60</w:t>
            </w:r>
            <w:r>
              <w:rPr>
                <w:rFonts w:ascii="宋体"/>
                <w:sz w:val="21"/>
              </w:rPr>
              <w:t> </w:t>
            </w:r>
          </w:p>
        </w:tc>
      </w:tr>
      <w:tr>
        <w:trPr>
          <w:trHeight w:val="326" w:hRule="exact"/>
        </w:trPr>
        <w:tc>
          <w:tcPr>
            <w:tcW w:w="438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8" w:right="0"/>
              <w:jc w:val="left"/>
              <w:rPr>
                <w:rFonts w:ascii="宋体" w:hAnsi="宋体" w:cs="宋体" w:eastAsia="宋体" w:hint="default"/>
                <w:sz w:val="21"/>
                <w:szCs w:val="21"/>
              </w:rPr>
            </w:pPr>
            <w:r>
              <w:rPr>
                <w:rFonts w:ascii="宋体" w:hAnsi="宋体" w:cs="宋体" w:eastAsia="宋体" w:hint="default"/>
                <w:sz w:val="21"/>
                <w:szCs w:val="21"/>
              </w:rPr>
              <w:t>子公司适用不同税率的影响</w:t>
            </w:r>
            <w:r>
              <w:rPr>
                <w:rFonts w:ascii="宋体" w:hAnsi="宋体" w:cs="宋体" w:eastAsia="宋体" w:hint="default"/>
                <w:sz w:val="21"/>
                <w:szCs w:val="21"/>
              </w:rPr>
              <w:t> </w:t>
            </w:r>
          </w:p>
        </w:tc>
        <w:tc>
          <w:tcPr>
            <w:tcW w:w="4676" w:type="dxa"/>
            <w:tcBorders>
              <w:top w:val="single" w:sz="6" w:space="0" w:color="000000"/>
              <w:left w:val="single" w:sz="4" w:space="0" w:color="000000"/>
              <w:bottom w:val="single" w:sz="6" w:space="0" w:color="000000"/>
              <w:right w:val="single" w:sz="6" w:space="0" w:color="000000"/>
            </w:tcBorders>
          </w:tcPr>
          <w:p>
            <w:pPr>
              <w:pStyle w:val="TableParagraph"/>
              <w:spacing w:line="262" w:lineRule="exact"/>
              <w:ind w:right="0"/>
              <w:jc w:val="right"/>
              <w:rPr>
                <w:rFonts w:ascii="宋体" w:hAnsi="宋体" w:cs="宋体" w:eastAsia="宋体" w:hint="default"/>
                <w:sz w:val="21"/>
                <w:szCs w:val="21"/>
              </w:rPr>
            </w:pPr>
            <w:r>
              <w:rPr>
                <w:rFonts w:ascii="宋体"/>
                <w:spacing w:val="-1"/>
                <w:sz w:val="21"/>
              </w:rPr>
              <w:t>-50,841,733.25</w:t>
            </w:r>
            <w:r>
              <w:rPr>
                <w:rFonts w:ascii="宋体"/>
                <w:sz w:val="21"/>
              </w:rPr>
              <w:t> </w:t>
            </w:r>
          </w:p>
        </w:tc>
      </w:tr>
      <w:tr>
        <w:trPr>
          <w:trHeight w:val="329" w:hRule="exact"/>
        </w:trPr>
        <w:tc>
          <w:tcPr>
            <w:tcW w:w="4381"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108" w:right="0"/>
              <w:jc w:val="left"/>
              <w:rPr>
                <w:rFonts w:ascii="宋体" w:hAnsi="宋体" w:cs="宋体" w:eastAsia="宋体" w:hint="default"/>
                <w:sz w:val="21"/>
                <w:szCs w:val="21"/>
              </w:rPr>
            </w:pPr>
            <w:r>
              <w:rPr>
                <w:rFonts w:ascii="宋体" w:hAnsi="宋体" w:cs="宋体" w:eastAsia="宋体" w:hint="default"/>
                <w:sz w:val="21"/>
                <w:szCs w:val="21"/>
              </w:rPr>
              <w:t>调整以前期间所得税的影响</w:t>
            </w:r>
            <w:r>
              <w:rPr>
                <w:rFonts w:ascii="宋体" w:hAnsi="宋体" w:cs="宋体" w:eastAsia="宋体" w:hint="default"/>
                <w:sz w:val="21"/>
                <w:szCs w:val="21"/>
              </w:rPr>
              <w:t> </w:t>
            </w:r>
          </w:p>
        </w:tc>
        <w:tc>
          <w:tcPr>
            <w:tcW w:w="4676" w:type="dxa"/>
            <w:tcBorders>
              <w:top w:val="single" w:sz="6" w:space="0" w:color="000000"/>
              <w:left w:val="single" w:sz="4" w:space="0" w:color="000000"/>
              <w:bottom w:val="single" w:sz="6" w:space="0" w:color="000000"/>
              <w:right w:val="single" w:sz="6" w:space="0" w:color="000000"/>
            </w:tcBorders>
          </w:tcPr>
          <w:p>
            <w:pPr>
              <w:pStyle w:val="TableParagraph"/>
              <w:spacing w:line="265" w:lineRule="exact"/>
              <w:ind w:right="0"/>
              <w:jc w:val="right"/>
              <w:rPr>
                <w:rFonts w:ascii="宋体" w:hAnsi="宋体" w:cs="宋体" w:eastAsia="宋体" w:hint="default"/>
                <w:sz w:val="21"/>
                <w:szCs w:val="21"/>
              </w:rPr>
            </w:pPr>
            <w:r>
              <w:rPr>
                <w:rFonts w:ascii="宋体"/>
                <w:spacing w:val="-1"/>
                <w:sz w:val="21"/>
              </w:rPr>
              <w:t>-4,504,333.28</w:t>
            </w:r>
            <w:r>
              <w:rPr>
                <w:rFonts w:ascii="宋体"/>
                <w:sz w:val="21"/>
              </w:rPr>
              <w:t> </w:t>
            </w:r>
          </w:p>
        </w:tc>
      </w:tr>
      <w:tr>
        <w:trPr>
          <w:trHeight w:val="326" w:hRule="exact"/>
        </w:trPr>
        <w:tc>
          <w:tcPr>
            <w:tcW w:w="438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8" w:right="0"/>
              <w:jc w:val="left"/>
              <w:rPr>
                <w:rFonts w:ascii="宋体" w:hAnsi="宋体" w:cs="宋体" w:eastAsia="宋体" w:hint="default"/>
                <w:sz w:val="21"/>
                <w:szCs w:val="21"/>
              </w:rPr>
            </w:pPr>
            <w:r>
              <w:rPr>
                <w:rFonts w:ascii="宋体" w:hAnsi="宋体" w:cs="宋体" w:eastAsia="宋体" w:hint="default"/>
                <w:sz w:val="21"/>
                <w:szCs w:val="21"/>
              </w:rPr>
              <w:t>非应税收入的影响</w:t>
            </w:r>
            <w:r>
              <w:rPr>
                <w:rFonts w:ascii="宋体" w:hAnsi="宋体" w:cs="宋体" w:eastAsia="宋体" w:hint="default"/>
                <w:sz w:val="21"/>
                <w:szCs w:val="21"/>
              </w:rPr>
              <w:t> </w:t>
            </w:r>
          </w:p>
        </w:tc>
        <w:tc>
          <w:tcPr>
            <w:tcW w:w="4676" w:type="dxa"/>
            <w:tcBorders>
              <w:top w:val="single" w:sz="6" w:space="0" w:color="000000"/>
              <w:left w:val="single" w:sz="4" w:space="0" w:color="000000"/>
              <w:bottom w:val="single" w:sz="6" w:space="0" w:color="000000"/>
              <w:right w:val="single" w:sz="6" w:space="0" w:color="000000"/>
            </w:tcBorders>
          </w:tcPr>
          <w:p>
            <w:pPr>
              <w:pStyle w:val="TableParagraph"/>
              <w:spacing w:line="262" w:lineRule="exact"/>
              <w:ind w:right="0"/>
              <w:jc w:val="right"/>
              <w:rPr>
                <w:rFonts w:ascii="宋体" w:hAnsi="宋体" w:cs="宋体" w:eastAsia="宋体" w:hint="default"/>
                <w:sz w:val="21"/>
                <w:szCs w:val="21"/>
              </w:rPr>
            </w:pPr>
            <w:r>
              <w:rPr>
                <w:rFonts w:ascii="宋体"/>
                <w:spacing w:val="-1"/>
                <w:sz w:val="21"/>
              </w:rPr>
              <w:t>-8,615,870.37</w:t>
            </w:r>
            <w:r>
              <w:rPr>
                <w:rFonts w:ascii="宋体"/>
                <w:sz w:val="21"/>
              </w:rPr>
              <w:t> </w:t>
            </w:r>
          </w:p>
        </w:tc>
      </w:tr>
      <w:tr>
        <w:trPr>
          <w:trHeight w:val="327" w:hRule="exact"/>
        </w:trPr>
        <w:tc>
          <w:tcPr>
            <w:tcW w:w="438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8" w:right="0"/>
              <w:jc w:val="left"/>
              <w:rPr>
                <w:rFonts w:ascii="宋体" w:hAnsi="宋体" w:cs="宋体" w:eastAsia="宋体" w:hint="default"/>
                <w:sz w:val="21"/>
                <w:szCs w:val="21"/>
              </w:rPr>
            </w:pPr>
            <w:r>
              <w:rPr>
                <w:rFonts w:ascii="宋体" w:hAnsi="宋体" w:cs="宋体" w:eastAsia="宋体" w:hint="default"/>
                <w:sz w:val="21"/>
                <w:szCs w:val="21"/>
              </w:rPr>
              <w:t>不可抵扣的成本、费用和损失的影响</w:t>
            </w:r>
            <w:r>
              <w:rPr>
                <w:rFonts w:ascii="宋体" w:hAnsi="宋体" w:cs="宋体" w:eastAsia="宋体" w:hint="default"/>
                <w:sz w:val="21"/>
                <w:szCs w:val="21"/>
              </w:rPr>
              <w:t> </w:t>
            </w:r>
          </w:p>
        </w:tc>
        <w:tc>
          <w:tcPr>
            <w:tcW w:w="4676" w:type="dxa"/>
            <w:tcBorders>
              <w:top w:val="single" w:sz="6" w:space="0" w:color="000000"/>
              <w:left w:val="single" w:sz="4" w:space="0" w:color="000000"/>
              <w:bottom w:val="single" w:sz="6" w:space="0" w:color="000000"/>
              <w:right w:val="single" w:sz="6" w:space="0" w:color="000000"/>
            </w:tcBorders>
          </w:tcPr>
          <w:p>
            <w:pPr>
              <w:pStyle w:val="TableParagraph"/>
              <w:spacing w:line="263" w:lineRule="exact"/>
              <w:ind w:right="0"/>
              <w:jc w:val="right"/>
              <w:rPr>
                <w:rFonts w:ascii="宋体" w:hAnsi="宋体" w:cs="宋体" w:eastAsia="宋体" w:hint="default"/>
                <w:sz w:val="21"/>
                <w:szCs w:val="21"/>
              </w:rPr>
            </w:pPr>
            <w:r>
              <w:rPr>
                <w:rFonts w:ascii="宋体"/>
                <w:spacing w:val="-1"/>
                <w:sz w:val="21"/>
              </w:rPr>
              <w:t>20,040,835.72</w:t>
            </w:r>
            <w:r>
              <w:rPr>
                <w:rFonts w:ascii="宋体"/>
                <w:sz w:val="21"/>
              </w:rPr>
              <w:t> </w:t>
            </w:r>
          </w:p>
        </w:tc>
      </w:tr>
      <w:tr>
        <w:trPr>
          <w:trHeight w:val="638" w:hRule="exact"/>
        </w:trPr>
        <w:tc>
          <w:tcPr>
            <w:tcW w:w="438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8" w:right="267"/>
              <w:jc w:val="left"/>
              <w:rPr>
                <w:rFonts w:ascii="宋体" w:hAnsi="宋体" w:cs="宋体" w:eastAsia="宋体" w:hint="default"/>
                <w:sz w:val="21"/>
                <w:szCs w:val="21"/>
              </w:rPr>
            </w:pPr>
            <w:r>
              <w:rPr>
                <w:rFonts w:ascii="宋体" w:hAnsi="宋体" w:cs="宋体" w:eastAsia="宋体" w:hint="default"/>
                <w:spacing w:val="-2"/>
                <w:sz w:val="21"/>
                <w:szCs w:val="21"/>
              </w:rPr>
              <w:t>使用前期未确认递延所得税资产的可抵扣亏</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损的影响</w:t>
            </w:r>
            <w:r>
              <w:rPr>
                <w:rFonts w:ascii="宋体" w:hAnsi="宋体" w:cs="宋体" w:eastAsia="宋体" w:hint="default"/>
                <w:sz w:val="21"/>
                <w:szCs w:val="21"/>
              </w:rPr>
              <w:t> </w:t>
            </w:r>
          </w:p>
        </w:tc>
        <w:tc>
          <w:tcPr>
            <w:tcW w:w="4676" w:type="dxa"/>
            <w:tcBorders>
              <w:top w:val="single" w:sz="6" w:space="0" w:color="000000"/>
              <w:left w:val="single" w:sz="4" w:space="0" w:color="000000"/>
              <w:bottom w:val="single" w:sz="6" w:space="0" w:color="000000"/>
              <w:right w:val="single" w:sz="6" w:space="0" w:color="000000"/>
            </w:tcBorders>
          </w:tcPr>
          <w:p>
            <w:pPr>
              <w:pStyle w:val="TableParagraph"/>
              <w:spacing w:line="262" w:lineRule="exact"/>
              <w:ind w:right="0"/>
              <w:jc w:val="right"/>
              <w:rPr>
                <w:rFonts w:ascii="宋体" w:hAnsi="宋体" w:cs="宋体" w:eastAsia="宋体" w:hint="default"/>
                <w:sz w:val="21"/>
                <w:szCs w:val="21"/>
              </w:rPr>
            </w:pPr>
            <w:r>
              <w:rPr>
                <w:rFonts w:ascii="宋体"/>
                <w:spacing w:val="-1"/>
                <w:sz w:val="21"/>
              </w:rPr>
              <w:t>-2,031,662.45</w:t>
            </w:r>
            <w:r>
              <w:rPr>
                <w:rFonts w:ascii="宋体"/>
                <w:sz w:val="21"/>
              </w:rPr>
              <w:t> </w:t>
            </w:r>
          </w:p>
        </w:tc>
      </w:tr>
      <w:tr>
        <w:trPr>
          <w:trHeight w:val="641" w:hRule="exact"/>
        </w:trPr>
        <w:tc>
          <w:tcPr>
            <w:tcW w:w="438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8" w:right="267"/>
              <w:jc w:val="left"/>
              <w:rPr>
                <w:rFonts w:ascii="宋体" w:hAnsi="宋体" w:cs="宋体" w:eastAsia="宋体" w:hint="default"/>
                <w:sz w:val="21"/>
                <w:szCs w:val="21"/>
              </w:rPr>
            </w:pPr>
            <w:r>
              <w:rPr>
                <w:rFonts w:ascii="宋体" w:hAnsi="宋体" w:cs="宋体" w:eastAsia="宋体" w:hint="default"/>
                <w:spacing w:val="-2"/>
                <w:sz w:val="21"/>
                <w:szCs w:val="21"/>
              </w:rPr>
              <w:t>本期未确认递延所得税资产的可抵扣暂时性</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差异或可抵扣亏损的影响</w:t>
            </w:r>
            <w:r>
              <w:rPr>
                <w:rFonts w:ascii="宋体" w:hAnsi="宋体" w:cs="宋体" w:eastAsia="宋体" w:hint="default"/>
                <w:sz w:val="21"/>
                <w:szCs w:val="21"/>
              </w:rPr>
              <w:t> </w:t>
            </w:r>
          </w:p>
        </w:tc>
        <w:tc>
          <w:tcPr>
            <w:tcW w:w="4676" w:type="dxa"/>
            <w:tcBorders>
              <w:top w:val="single" w:sz="6" w:space="0" w:color="000000"/>
              <w:left w:val="single" w:sz="4" w:space="0" w:color="000000"/>
              <w:bottom w:val="single" w:sz="6" w:space="0" w:color="000000"/>
              <w:right w:val="single" w:sz="6" w:space="0" w:color="000000"/>
            </w:tcBorders>
          </w:tcPr>
          <w:p>
            <w:pPr>
              <w:pStyle w:val="TableParagraph"/>
              <w:spacing w:line="265" w:lineRule="exact"/>
              <w:ind w:right="0"/>
              <w:jc w:val="right"/>
              <w:rPr>
                <w:rFonts w:ascii="宋体" w:hAnsi="宋体" w:cs="宋体" w:eastAsia="宋体" w:hint="default"/>
                <w:sz w:val="21"/>
                <w:szCs w:val="21"/>
              </w:rPr>
            </w:pPr>
            <w:r>
              <w:rPr>
                <w:rFonts w:ascii="宋体"/>
                <w:spacing w:val="-1"/>
                <w:sz w:val="21"/>
              </w:rPr>
              <w:t>17,460,552.87</w:t>
            </w:r>
            <w:r>
              <w:rPr>
                <w:rFonts w:ascii="宋体"/>
                <w:sz w:val="21"/>
              </w:rPr>
              <w:t> </w:t>
            </w:r>
          </w:p>
        </w:tc>
      </w:tr>
      <w:tr>
        <w:trPr>
          <w:trHeight w:val="326" w:hRule="exact"/>
        </w:trPr>
        <w:tc>
          <w:tcPr>
            <w:tcW w:w="4381" w:type="dxa"/>
            <w:tcBorders>
              <w:top w:val="single" w:sz="4" w:space="0" w:color="000000"/>
              <w:left w:val="single" w:sz="6" w:space="0" w:color="000000"/>
              <w:bottom w:val="single" w:sz="6" w:space="0" w:color="000000"/>
              <w:right w:val="single" w:sz="6" w:space="0" w:color="000000"/>
            </w:tcBorders>
          </w:tcPr>
          <w:p>
            <w:pPr>
              <w:pStyle w:val="TableParagraph"/>
              <w:spacing w:line="265" w:lineRule="exact"/>
              <w:ind w:left="105" w:right="0"/>
              <w:jc w:val="left"/>
              <w:rPr>
                <w:rFonts w:ascii="宋体" w:hAnsi="宋体" w:cs="宋体" w:eastAsia="宋体" w:hint="default"/>
                <w:sz w:val="21"/>
                <w:szCs w:val="21"/>
              </w:rPr>
            </w:pPr>
            <w:r>
              <w:rPr>
                <w:rFonts w:ascii="宋体" w:hAnsi="宋体" w:cs="宋体" w:eastAsia="宋体" w:hint="default"/>
                <w:sz w:val="21"/>
                <w:szCs w:val="21"/>
              </w:rPr>
              <w:t>技术研发加计扣除</w:t>
            </w:r>
            <w:r>
              <w:rPr>
                <w:rFonts w:ascii="宋体" w:hAnsi="宋体" w:cs="宋体" w:eastAsia="宋体" w:hint="default"/>
                <w:sz w:val="21"/>
                <w:szCs w:val="21"/>
              </w:rPr>
              <w:t> </w:t>
            </w:r>
          </w:p>
        </w:tc>
        <w:tc>
          <w:tcPr>
            <w:tcW w:w="4676"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0"/>
              <w:jc w:val="right"/>
              <w:rPr>
                <w:rFonts w:ascii="宋体" w:hAnsi="宋体" w:cs="宋体" w:eastAsia="宋体" w:hint="default"/>
                <w:sz w:val="21"/>
                <w:szCs w:val="21"/>
              </w:rPr>
            </w:pPr>
            <w:r>
              <w:rPr>
                <w:rFonts w:ascii="宋体"/>
                <w:spacing w:val="-1"/>
                <w:sz w:val="21"/>
              </w:rPr>
              <w:t>-12,563,678.26</w:t>
            </w:r>
            <w:r>
              <w:rPr>
                <w:rFonts w:ascii="宋体"/>
                <w:sz w:val="21"/>
              </w:rPr>
              <w:t> </w:t>
            </w:r>
          </w:p>
        </w:tc>
      </w:tr>
      <w:tr>
        <w:trPr>
          <w:trHeight w:val="326" w:hRule="exact"/>
        </w:trPr>
        <w:tc>
          <w:tcPr>
            <w:tcW w:w="4381" w:type="dxa"/>
            <w:tcBorders>
              <w:top w:val="single" w:sz="6" w:space="0" w:color="000000"/>
              <w:left w:val="single" w:sz="4" w:space="0" w:color="000000"/>
              <w:bottom w:val="single" w:sz="4" w:space="0" w:color="000000"/>
              <w:right w:val="single" w:sz="4" w:space="0" w:color="000000"/>
            </w:tcBorders>
          </w:tcPr>
          <w:p>
            <w:pPr>
              <w:pStyle w:val="TableParagraph"/>
              <w:spacing w:line="262" w:lineRule="exact"/>
              <w:ind w:left="108" w:right="0"/>
              <w:jc w:val="left"/>
              <w:rPr>
                <w:rFonts w:ascii="宋体" w:hAnsi="宋体" w:cs="宋体" w:eastAsia="宋体" w:hint="default"/>
                <w:sz w:val="21"/>
                <w:szCs w:val="21"/>
              </w:rPr>
            </w:pPr>
            <w:r>
              <w:rPr>
                <w:rFonts w:ascii="宋体" w:hAnsi="宋体" w:cs="宋体" w:eastAsia="宋体" w:hint="default"/>
                <w:sz w:val="21"/>
                <w:szCs w:val="21"/>
              </w:rPr>
              <w:t>所得税费用</w:t>
            </w:r>
            <w:r>
              <w:rPr>
                <w:rFonts w:ascii="宋体" w:hAnsi="宋体" w:cs="宋体" w:eastAsia="宋体" w:hint="default"/>
                <w:sz w:val="21"/>
                <w:szCs w:val="21"/>
              </w:rPr>
              <w:t> </w:t>
            </w:r>
          </w:p>
        </w:tc>
        <w:tc>
          <w:tcPr>
            <w:tcW w:w="4676" w:type="dxa"/>
            <w:tcBorders>
              <w:top w:val="single" w:sz="6" w:space="0" w:color="000000"/>
              <w:left w:val="single" w:sz="4" w:space="0" w:color="000000"/>
              <w:bottom w:val="single" w:sz="6" w:space="0" w:color="000000"/>
              <w:right w:val="single" w:sz="6" w:space="0" w:color="000000"/>
            </w:tcBorders>
          </w:tcPr>
          <w:p>
            <w:pPr>
              <w:pStyle w:val="TableParagraph"/>
              <w:spacing w:line="262" w:lineRule="exact"/>
              <w:ind w:right="0"/>
              <w:jc w:val="right"/>
              <w:rPr>
                <w:rFonts w:ascii="宋体" w:hAnsi="宋体" w:cs="宋体" w:eastAsia="宋体" w:hint="default"/>
                <w:sz w:val="21"/>
                <w:szCs w:val="21"/>
              </w:rPr>
            </w:pPr>
            <w:r>
              <w:rPr>
                <w:rFonts w:ascii="宋体"/>
                <w:spacing w:val="-1"/>
                <w:sz w:val="21"/>
              </w:rPr>
              <w:t>75,839,014.59</w:t>
            </w:r>
            <w:r>
              <w:rPr>
                <w:rFonts w:ascii="宋体"/>
                <w:sz w:val="21"/>
              </w:rPr>
              <w:t> </w:t>
            </w:r>
          </w:p>
        </w:tc>
      </w:tr>
    </w:tbl>
    <w:p>
      <w:pPr>
        <w:pStyle w:val="Heading2"/>
        <w:spacing w:line="274" w:lineRule="exact"/>
        <w:ind w:left="236" w:right="0"/>
        <w:jc w:val="left"/>
        <w:rPr>
          <w:rFonts w:ascii="宋体" w:hAnsi="宋体" w:cs="宋体" w:eastAsia="宋体" w:hint="default"/>
        </w:rPr>
      </w:pPr>
      <w:r>
        <w:rPr>
          <w:rFonts w:ascii="宋体"/>
        </w:rPr>
        <w:t> </w:t>
      </w:r>
    </w:p>
    <w:p>
      <w:pPr>
        <w:pStyle w:val="BodyText"/>
        <w:spacing w:line="240" w:lineRule="auto" w:before="85"/>
        <w:ind w:left="236" w:right="28"/>
        <w:jc w:val="left"/>
        <w:rPr>
          <w:rFonts w:ascii="宋体" w:hAnsi="宋体" w:cs="宋体" w:eastAsia="宋体" w:hint="default"/>
        </w:rPr>
      </w:pPr>
      <w:r>
        <w:rPr/>
        <w:t>其他说明：</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580" w:bottom="280" w:left="1040" w:right="1560"/>
        </w:sectPr>
      </w:pPr>
    </w:p>
    <w:p>
      <w:pPr>
        <w:spacing w:line="240" w:lineRule="auto" w:before="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pgSz w:w="11910" w:h="16840"/>
          <w:pgMar w:header="0" w:footer="974" w:top="1140" w:bottom="1160" w:left="1040" w:right="1560"/>
        </w:sectPr>
      </w:pPr>
    </w:p>
    <w:p>
      <w:pPr>
        <w:pStyle w:val="BodyText"/>
        <w:spacing w:line="240" w:lineRule="auto" w:before="36"/>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240" w:lineRule="auto"/>
        <w:ind w:left="236" w:right="0"/>
        <w:jc w:val="left"/>
        <w:rPr>
          <w:rFonts w:ascii="宋体" w:hAnsi="宋体" w:cs="宋体" w:eastAsia="宋体" w:hint="default"/>
          <w:b w:val="0"/>
          <w:bCs w:val="0"/>
        </w:rPr>
      </w:pPr>
      <w:r>
        <w:rPr>
          <w:rFonts w:ascii="宋体"/>
          <w:w w:val="99"/>
        </w:rPr>
        <w:t> </w:t>
      </w:r>
      <w:r>
        <w:rPr>
          <w:rFonts w:ascii="宋体"/>
          <w:b w:val="0"/>
        </w:rPr>
      </w:r>
    </w:p>
    <w:p>
      <w:pPr>
        <w:pStyle w:val="Heading3"/>
        <w:spacing w:line="240" w:lineRule="auto"/>
        <w:ind w:left="236" w:right="0"/>
        <w:jc w:val="left"/>
        <w:rPr>
          <w:rFonts w:ascii="宋体" w:hAnsi="宋体" w:cs="宋体" w:eastAsia="宋体" w:hint="default"/>
          <w:b w:val="0"/>
          <w:bCs w:val="0"/>
        </w:rPr>
      </w:pPr>
      <w:r>
        <w:rPr>
          <w:rFonts w:ascii="宋体" w:hAnsi="宋体" w:cs="宋体" w:eastAsia="宋体" w:hint="default"/>
        </w:rPr>
        <w:t>75</w:t>
      </w:r>
      <w:r>
        <w:rPr/>
        <w:t>、</w:t>
      </w:r>
      <w:r>
        <w:rPr>
          <w:spacing w:val="-26"/>
        </w:rPr>
        <w:t> </w:t>
      </w:r>
      <w:r>
        <w:rPr/>
        <w:t>其他综合收益</w:t>
      </w:r>
      <w:r>
        <w:rPr>
          <w:rFonts w:ascii="宋体" w:hAnsi="宋体" w:cs="宋体" w:eastAsia="宋体" w:hint="default"/>
          <w:w w:val="99"/>
        </w:rPr>
        <w:t> </w:t>
      </w:r>
      <w:r>
        <w:rPr>
          <w:rFonts w:ascii="宋体" w:hAnsi="宋体" w:cs="宋体" w:eastAsia="宋体" w:hint="default"/>
          <w:b w:val="0"/>
          <w:bCs w:val="0"/>
        </w:rPr>
      </w:r>
    </w:p>
    <w:p>
      <w:pPr>
        <w:pStyle w:val="Heading2"/>
        <w:spacing w:line="313" w:lineRule="exact" w:before="69"/>
        <w:ind w:left="23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2"/>
        <w:spacing w:line="313" w:lineRule="exact"/>
        <w:ind w:left="236" w:right="0"/>
        <w:jc w:val="left"/>
        <w:rPr>
          <w:rFonts w:ascii="宋体" w:hAnsi="宋体" w:cs="宋体" w:eastAsia="宋体" w:hint="default"/>
        </w:rPr>
      </w:pPr>
      <w:r>
        <w:rPr>
          <w:rFonts w:ascii="宋体"/>
        </w:rPr>
        <w:t> </w:t>
      </w:r>
    </w:p>
    <w:p>
      <w:pPr>
        <w:pStyle w:val="Heading3"/>
        <w:spacing w:line="324" w:lineRule="auto" w:before="85"/>
        <w:ind w:left="236" w:right="0"/>
        <w:jc w:val="left"/>
        <w:rPr>
          <w:rFonts w:ascii="宋体" w:hAnsi="宋体" w:cs="宋体" w:eastAsia="宋体" w:hint="default"/>
          <w:b w:val="0"/>
          <w:bCs w:val="0"/>
        </w:rPr>
      </w:pPr>
      <w:r>
        <w:rPr>
          <w:rFonts w:ascii="宋体" w:hAnsi="宋体" w:cs="宋体" w:eastAsia="宋体" w:hint="default"/>
        </w:rPr>
        <w:t>76</w:t>
      </w:r>
      <w:r>
        <w:rPr/>
        <w:t>、</w:t>
      </w:r>
      <w:r>
        <w:rPr>
          <w:spacing w:val="-25"/>
        </w:rPr>
        <w:t> </w:t>
      </w:r>
      <w:r>
        <w:rPr/>
        <w:t>现金流量表项目</w:t>
      </w:r>
      <w:r>
        <w:rPr>
          <w:rFonts w:ascii="宋体" w:hAnsi="宋体" w:cs="宋体" w:eastAsia="宋体" w:hint="default"/>
          <w:w w:val="99"/>
        </w:rPr>
        <w:t> </w:t>
      </w:r>
      <w:r>
        <w:rPr>
          <w:rFonts w:ascii="宋体" w:hAnsi="宋体" w:cs="宋体" w:eastAsia="宋体" w:hint="default"/>
        </w:rPr>
        <w:t>(1).</w:t>
      </w:r>
      <w:r>
        <w:rPr/>
        <w:t>收到的其他与经营活动有关的现金</w:t>
      </w:r>
      <w:r>
        <w:rPr>
          <w:rFonts w:ascii="宋体" w:hAnsi="宋体" w:cs="宋体" w:eastAsia="宋体" w:hint="default"/>
          <w:w w:val="99"/>
        </w:rPr>
        <w:t> </w:t>
      </w:r>
      <w:r>
        <w:rPr>
          <w:rFonts w:ascii="宋体" w:hAnsi="宋体" w:cs="宋体" w:eastAsia="宋体" w:hint="default"/>
          <w:b w:val="0"/>
          <w:bCs w:val="0"/>
        </w:rPr>
      </w:r>
    </w:p>
    <w:p>
      <w:pPr>
        <w:pStyle w:val="Heading2"/>
        <w:spacing w:line="310" w:lineRule="exact"/>
        <w:ind w:left="23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1"/>
          <w:szCs w:val="21"/>
        </w:rPr>
      </w:pPr>
    </w:p>
    <w:p>
      <w:pPr>
        <w:pStyle w:val="BodyText"/>
        <w:spacing w:line="240" w:lineRule="auto"/>
        <w:ind w:left="236" w:right="0"/>
        <w:jc w:val="left"/>
        <w:rPr>
          <w:rFonts w:ascii="宋体" w:hAnsi="宋体" w:cs="宋体" w:eastAsia="宋体" w:hint="default"/>
        </w:rPr>
      </w:pPr>
      <w:r>
        <w:rPr/>
        <w:t>单位：元币种：人民币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580" w:bottom="280" w:left="1040" w:right="1560"/>
          <w:cols w:num="2" w:equalWidth="0">
            <w:col w:w="3932" w:space="2801"/>
            <w:col w:w="2577"/>
          </w:cols>
        </w:sectPr>
      </w:pPr>
    </w:p>
    <w:p>
      <w:pPr>
        <w:spacing w:line="240" w:lineRule="auto" w:before="10"/>
        <w:rPr>
          <w:rFonts w:ascii="宋体" w:hAnsi="宋体" w:cs="宋体" w:eastAsia="宋体" w:hint="default"/>
          <w:sz w:val="3"/>
          <w:szCs w:val="3"/>
        </w:rPr>
      </w:pPr>
    </w:p>
    <w:tbl>
      <w:tblPr>
        <w:tblW w:w="0" w:type="auto"/>
        <w:jc w:val="left"/>
        <w:tblInd w:w="119" w:type="dxa"/>
        <w:tblLayout w:type="fixed"/>
        <w:tblCellMar>
          <w:top w:w="0" w:type="dxa"/>
          <w:left w:w="0" w:type="dxa"/>
          <w:bottom w:w="0" w:type="dxa"/>
          <w:right w:w="0" w:type="dxa"/>
        </w:tblCellMar>
        <w:tblLook w:val="01E0"/>
      </w:tblPr>
      <w:tblGrid>
        <w:gridCol w:w="3411"/>
        <w:gridCol w:w="2830"/>
        <w:gridCol w:w="2821"/>
      </w:tblGrid>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83"/>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83"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78"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42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08" w:right="0"/>
              <w:jc w:val="left"/>
              <w:rPr>
                <w:rFonts w:ascii="宋体" w:hAnsi="宋体" w:cs="宋体" w:eastAsia="宋体" w:hint="default"/>
                <w:sz w:val="21"/>
                <w:szCs w:val="21"/>
              </w:rPr>
            </w:pPr>
            <w:r>
              <w:rPr>
                <w:rFonts w:ascii="宋体" w:hAnsi="宋体" w:cs="宋体" w:eastAsia="宋体" w:hint="default"/>
                <w:sz w:val="21"/>
                <w:szCs w:val="21"/>
              </w:rPr>
              <w:t>收到的往来款</w:t>
            </w:r>
            <w:r>
              <w:rPr>
                <w:rFonts w:ascii="宋体" w:hAnsi="宋体" w:cs="宋体" w:eastAsia="宋体" w:hint="default"/>
                <w:sz w:val="21"/>
                <w:szCs w:val="21"/>
              </w:rPr>
              <w:t> </w:t>
            </w:r>
          </w:p>
        </w:tc>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0"/>
              <w:jc w:val="right"/>
              <w:rPr>
                <w:rFonts w:ascii="宋体" w:hAnsi="宋体" w:cs="宋体" w:eastAsia="宋体" w:hint="default"/>
                <w:sz w:val="21"/>
                <w:szCs w:val="21"/>
              </w:rPr>
            </w:pPr>
            <w:r>
              <w:rPr>
                <w:rFonts w:ascii="宋体"/>
                <w:spacing w:val="-1"/>
                <w:sz w:val="21"/>
              </w:rPr>
              <w:t>8,309,849.27</w:t>
            </w:r>
            <w:r>
              <w:rPr>
                <w:rFonts w:ascii="宋体"/>
                <w:sz w:val="21"/>
              </w:rPr>
              <w:t> </w:t>
            </w:r>
          </w:p>
        </w:tc>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2"/>
              <w:jc w:val="right"/>
              <w:rPr>
                <w:rFonts w:ascii="宋体" w:hAnsi="宋体" w:cs="宋体" w:eastAsia="宋体" w:hint="default"/>
                <w:sz w:val="21"/>
                <w:szCs w:val="21"/>
              </w:rPr>
            </w:pPr>
            <w:r>
              <w:rPr>
                <w:rFonts w:ascii="宋体"/>
                <w:spacing w:val="-1"/>
                <w:sz w:val="21"/>
              </w:rPr>
              <w:t>174,824,620.64</w:t>
            </w:r>
            <w:r>
              <w:rPr>
                <w:rFonts w:ascii="宋体"/>
                <w:sz w:val="21"/>
              </w:rPr>
              <w:t> </w:t>
            </w:r>
          </w:p>
        </w:tc>
      </w:tr>
      <w:tr>
        <w:trPr>
          <w:trHeight w:val="422"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08" w:right="0"/>
              <w:jc w:val="left"/>
              <w:rPr>
                <w:rFonts w:ascii="宋体" w:hAnsi="宋体" w:cs="宋体" w:eastAsia="宋体" w:hint="default"/>
                <w:sz w:val="21"/>
                <w:szCs w:val="21"/>
              </w:rPr>
            </w:pPr>
            <w:r>
              <w:rPr>
                <w:rFonts w:ascii="宋体" w:hAnsi="宋体" w:cs="宋体" w:eastAsia="宋体" w:hint="default"/>
                <w:sz w:val="21"/>
                <w:szCs w:val="21"/>
              </w:rPr>
              <w:t>政府补助</w:t>
            </w:r>
            <w:r>
              <w:rPr>
                <w:rFonts w:ascii="宋体" w:hAnsi="宋体" w:cs="宋体" w:eastAsia="宋体" w:hint="default"/>
                <w:sz w:val="21"/>
                <w:szCs w:val="21"/>
              </w:rPr>
              <w:t> </w:t>
            </w:r>
          </w:p>
        </w:tc>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0"/>
              <w:jc w:val="right"/>
              <w:rPr>
                <w:rFonts w:ascii="宋体" w:hAnsi="宋体" w:cs="宋体" w:eastAsia="宋体" w:hint="default"/>
                <w:sz w:val="21"/>
                <w:szCs w:val="21"/>
              </w:rPr>
            </w:pPr>
            <w:r>
              <w:rPr>
                <w:rFonts w:ascii="宋体"/>
                <w:spacing w:val="-1"/>
                <w:sz w:val="21"/>
              </w:rPr>
              <w:t>24,687,177.43</w:t>
            </w:r>
            <w:r>
              <w:rPr>
                <w:rFonts w:ascii="宋体"/>
                <w:sz w:val="21"/>
              </w:rPr>
              <w:t> </w:t>
            </w:r>
          </w:p>
        </w:tc>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2"/>
              <w:jc w:val="right"/>
              <w:rPr>
                <w:rFonts w:ascii="宋体" w:hAnsi="宋体" w:cs="宋体" w:eastAsia="宋体" w:hint="default"/>
                <w:sz w:val="21"/>
                <w:szCs w:val="21"/>
              </w:rPr>
            </w:pPr>
            <w:r>
              <w:rPr>
                <w:rFonts w:ascii="宋体"/>
                <w:spacing w:val="-1"/>
                <w:sz w:val="21"/>
              </w:rPr>
              <w:t>28,643,310.08</w:t>
            </w:r>
            <w:r>
              <w:rPr>
                <w:rFonts w:ascii="宋体"/>
                <w:sz w:val="21"/>
              </w:rPr>
              <w:t> </w:t>
            </w:r>
          </w:p>
        </w:tc>
      </w:tr>
      <w:tr>
        <w:trPr>
          <w:trHeight w:val="422"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8" w:right="0"/>
              <w:jc w:val="left"/>
              <w:rPr>
                <w:rFonts w:ascii="宋体" w:hAnsi="宋体" w:cs="宋体" w:eastAsia="宋体" w:hint="default"/>
                <w:sz w:val="21"/>
                <w:szCs w:val="21"/>
              </w:rPr>
            </w:pPr>
            <w:r>
              <w:rPr>
                <w:rFonts w:ascii="宋体" w:hAnsi="宋体" w:cs="宋体" w:eastAsia="宋体" w:hint="default"/>
                <w:sz w:val="21"/>
                <w:szCs w:val="21"/>
              </w:rPr>
              <w:t>房租收入</w:t>
            </w:r>
            <w:r>
              <w:rPr>
                <w:rFonts w:ascii="宋体" w:hAnsi="宋体" w:cs="宋体" w:eastAsia="宋体" w:hint="default"/>
                <w:sz w:val="21"/>
                <w:szCs w:val="21"/>
              </w:rPr>
              <w:t> </w:t>
            </w:r>
          </w:p>
        </w:tc>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0"/>
              <w:jc w:val="right"/>
              <w:rPr>
                <w:rFonts w:ascii="宋体" w:hAnsi="宋体" w:cs="宋体" w:eastAsia="宋体" w:hint="default"/>
                <w:sz w:val="21"/>
                <w:szCs w:val="21"/>
              </w:rPr>
            </w:pPr>
            <w:r>
              <w:rPr>
                <w:rFonts w:ascii="宋体"/>
                <w:spacing w:val="-1"/>
                <w:sz w:val="21"/>
              </w:rPr>
              <w:t>1,198,540.55</w:t>
            </w:r>
            <w:r>
              <w:rPr>
                <w:rFonts w:ascii="宋体"/>
                <w:sz w:val="21"/>
              </w:rPr>
              <w:t> </w:t>
            </w:r>
          </w:p>
        </w:tc>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2"/>
              <w:jc w:val="right"/>
              <w:rPr>
                <w:rFonts w:ascii="宋体" w:hAnsi="宋体" w:cs="宋体" w:eastAsia="宋体" w:hint="default"/>
                <w:sz w:val="21"/>
                <w:szCs w:val="21"/>
              </w:rPr>
            </w:pPr>
            <w:r>
              <w:rPr>
                <w:rFonts w:ascii="宋体"/>
                <w:spacing w:val="-1"/>
                <w:sz w:val="21"/>
              </w:rPr>
              <w:t>417,400.00</w:t>
            </w:r>
            <w:r>
              <w:rPr>
                <w:rFonts w:ascii="宋体"/>
                <w:sz w:val="21"/>
              </w:rPr>
              <w:t> </w:t>
            </w:r>
          </w:p>
        </w:tc>
      </w:tr>
      <w:tr>
        <w:trPr>
          <w:trHeight w:val="425"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8" w:right="0"/>
              <w:jc w:val="left"/>
              <w:rPr>
                <w:rFonts w:ascii="宋体" w:hAnsi="宋体" w:cs="宋体" w:eastAsia="宋体" w:hint="default"/>
                <w:sz w:val="21"/>
                <w:szCs w:val="21"/>
              </w:rPr>
            </w:pPr>
            <w:r>
              <w:rPr>
                <w:rFonts w:ascii="宋体" w:hAnsi="宋体" w:cs="宋体" w:eastAsia="宋体" w:hint="default"/>
                <w:sz w:val="21"/>
                <w:szCs w:val="21"/>
              </w:rPr>
              <w:t>利息收入</w:t>
            </w:r>
            <w:r>
              <w:rPr>
                <w:rFonts w:ascii="宋体" w:hAnsi="宋体" w:cs="宋体" w:eastAsia="宋体" w:hint="default"/>
                <w:sz w:val="21"/>
                <w:szCs w:val="21"/>
              </w:rPr>
              <w:t> </w:t>
            </w:r>
          </w:p>
        </w:tc>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right"/>
              <w:rPr>
                <w:rFonts w:ascii="宋体" w:hAnsi="宋体" w:cs="宋体" w:eastAsia="宋体" w:hint="default"/>
                <w:sz w:val="21"/>
                <w:szCs w:val="21"/>
              </w:rPr>
            </w:pPr>
            <w:r>
              <w:rPr>
                <w:rFonts w:ascii="宋体"/>
                <w:spacing w:val="-1"/>
                <w:sz w:val="21"/>
              </w:rPr>
              <w:t>16,209,770.25</w:t>
            </w:r>
            <w:r>
              <w:rPr>
                <w:rFonts w:ascii="宋体"/>
                <w:sz w:val="21"/>
              </w:rPr>
              <w:t> </w:t>
            </w:r>
          </w:p>
        </w:tc>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2"/>
              <w:jc w:val="right"/>
              <w:rPr>
                <w:rFonts w:ascii="宋体" w:hAnsi="宋体" w:cs="宋体" w:eastAsia="宋体" w:hint="default"/>
                <w:sz w:val="21"/>
                <w:szCs w:val="21"/>
              </w:rPr>
            </w:pPr>
            <w:r>
              <w:rPr>
                <w:rFonts w:ascii="宋体"/>
                <w:spacing w:val="-1"/>
                <w:sz w:val="21"/>
              </w:rPr>
              <w:t>20,854,661.73</w:t>
            </w:r>
            <w:r>
              <w:rPr>
                <w:rFonts w:ascii="宋体"/>
                <w:sz w:val="21"/>
              </w:rPr>
              <w:t> </w:t>
            </w:r>
          </w:p>
        </w:tc>
      </w:tr>
      <w:tr>
        <w:trPr>
          <w:trHeight w:val="422"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08"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0"/>
              <w:jc w:val="right"/>
              <w:rPr>
                <w:rFonts w:ascii="宋体" w:hAnsi="宋体" w:cs="宋体" w:eastAsia="宋体" w:hint="default"/>
                <w:sz w:val="21"/>
                <w:szCs w:val="21"/>
              </w:rPr>
            </w:pPr>
            <w:r>
              <w:rPr>
                <w:rFonts w:ascii="宋体"/>
                <w:spacing w:val="-1"/>
                <w:sz w:val="21"/>
              </w:rPr>
              <w:t>645,258.47</w:t>
            </w:r>
            <w:r>
              <w:rPr>
                <w:rFonts w:ascii="宋体"/>
                <w:sz w:val="21"/>
              </w:rPr>
              <w:t> </w:t>
            </w:r>
          </w:p>
        </w:tc>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2"/>
              <w:jc w:val="right"/>
              <w:rPr>
                <w:rFonts w:ascii="宋体" w:hAnsi="宋体" w:cs="宋体" w:eastAsia="宋体" w:hint="default"/>
                <w:sz w:val="21"/>
                <w:szCs w:val="21"/>
              </w:rPr>
            </w:pPr>
            <w:r>
              <w:rPr>
                <w:rFonts w:ascii="宋体"/>
                <w:spacing w:val="-1"/>
                <w:sz w:val="21"/>
              </w:rPr>
              <w:t>2,691,836.08</w:t>
            </w:r>
            <w:r>
              <w:rPr>
                <w:rFonts w:ascii="宋体"/>
                <w:sz w:val="21"/>
              </w:rPr>
              <w:t> </w:t>
            </w:r>
          </w:p>
        </w:tc>
      </w:tr>
      <w:tr>
        <w:trPr>
          <w:trHeight w:val="322"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8" w:right="0"/>
              <w:jc w:val="left"/>
              <w:rPr>
                <w:rFonts w:ascii="宋体" w:hAnsi="宋体" w:cs="宋体" w:eastAsia="宋体" w:hint="default"/>
                <w:sz w:val="21"/>
                <w:szCs w:val="21"/>
              </w:rPr>
            </w:pPr>
            <w:r>
              <w:rPr>
                <w:rFonts w:ascii="宋体" w:hAnsi="宋体" w:cs="宋体" w:eastAsia="宋体" w:hint="default"/>
                <w:sz w:val="21"/>
                <w:szCs w:val="21"/>
              </w:rPr>
              <w:t>受限货币资金减少</w:t>
            </w:r>
            <w:r>
              <w:rPr>
                <w:rFonts w:ascii="宋体" w:hAnsi="宋体" w:cs="宋体" w:eastAsia="宋体" w:hint="default"/>
                <w:sz w:val="21"/>
                <w:szCs w:val="21"/>
              </w:rPr>
              <w:t> </w:t>
            </w:r>
          </w:p>
        </w:tc>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right"/>
              <w:rPr>
                <w:rFonts w:ascii="宋体" w:hAnsi="宋体" w:cs="宋体" w:eastAsia="宋体" w:hint="default"/>
                <w:sz w:val="21"/>
                <w:szCs w:val="21"/>
              </w:rPr>
            </w:pPr>
            <w:r>
              <w:rPr>
                <w:rFonts w:ascii="宋体"/>
                <w:spacing w:val="-1"/>
                <w:sz w:val="21"/>
              </w:rPr>
              <w:t>131,234,409.04</w:t>
            </w:r>
            <w:r>
              <w:rPr>
                <w:rFonts w:ascii="宋体"/>
                <w:sz w:val="21"/>
              </w:rPr>
              <w:t> </w:t>
            </w:r>
          </w:p>
        </w:tc>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
              <w:jc w:val="right"/>
              <w:rPr>
                <w:rFonts w:ascii="宋体" w:hAnsi="宋体" w:cs="宋体" w:eastAsia="宋体" w:hint="default"/>
                <w:sz w:val="21"/>
                <w:szCs w:val="21"/>
              </w:rPr>
            </w:pPr>
            <w:r>
              <w:rPr>
                <w:rFonts w:ascii="宋体"/>
                <w:w w:val="100"/>
                <w:sz w:val="21"/>
              </w:rPr>
              <w:t> </w:t>
            </w:r>
          </w:p>
        </w:tc>
      </w:tr>
      <w:tr>
        <w:trPr>
          <w:trHeight w:val="322"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383"/>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right"/>
              <w:rPr>
                <w:rFonts w:ascii="宋体" w:hAnsi="宋体" w:cs="宋体" w:eastAsia="宋体" w:hint="default"/>
                <w:sz w:val="21"/>
                <w:szCs w:val="21"/>
              </w:rPr>
            </w:pPr>
            <w:r>
              <w:rPr>
                <w:rFonts w:ascii="宋体"/>
                <w:spacing w:val="-1"/>
                <w:sz w:val="21"/>
              </w:rPr>
              <w:t>182,285,005.01</w:t>
            </w:r>
            <w:r>
              <w:rPr>
                <w:rFonts w:ascii="宋体"/>
                <w:sz w:val="21"/>
              </w:rPr>
              <w:t> </w:t>
            </w:r>
          </w:p>
        </w:tc>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
              <w:jc w:val="right"/>
              <w:rPr>
                <w:rFonts w:ascii="宋体" w:hAnsi="宋体" w:cs="宋体" w:eastAsia="宋体" w:hint="default"/>
                <w:sz w:val="21"/>
                <w:szCs w:val="21"/>
              </w:rPr>
            </w:pPr>
            <w:r>
              <w:rPr>
                <w:rFonts w:ascii="宋体"/>
                <w:spacing w:val="-1"/>
                <w:sz w:val="21"/>
              </w:rPr>
              <w:t>227,431,828.53</w:t>
            </w:r>
            <w:r>
              <w:rPr>
                <w:rFonts w:ascii="宋体"/>
                <w:sz w:val="21"/>
              </w:rPr>
              <w:t> </w:t>
            </w:r>
          </w:p>
        </w:tc>
      </w:tr>
    </w:tbl>
    <w:p>
      <w:pPr>
        <w:spacing w:after="0" w:line="262" w:lineRule="exact"/>
        <w:jc w:val="right"/>
        <w:rPr>
          <w:rFonts w:ascii="宋体" w:hAnsi="宋体" w:cs="宋体" w:eastAsia="宋体" w:hint="default"/>
          <w:sz w:val="21"/>
          <w:szCs w:val="21"/>
        </w:rPr>
        <w:sectPr>
          <w:type w:val="continuous"/>
          <w:pgSz w:w="11910" w:h="16840"/>
          <w:pgMar w:top="1580" w:bottom="280" w:left="1040" w:right="1560"/>
        </w:sectPr>
      </w:pPr>
    </w:p>
    <w:p>
      <w:pPr>
        <w:pStyle w:val="Heading3"/>
        <w:spacing w:line="309" w:lineRule="auto" w:before="26"/>
        <w:ind w:left="236"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(2)</w:t>
      </w:r>
      <w:r>
        <w:rPr>
          <w:rFonts w:ascii="宋体" w:hAnsi="宋体" w:cs="宋体" w:eastAsia="宋体" w:hint="default"/>
          <w:spacing w:val="5"/>
          <w:w w:val="99"/>
        </w:rPr>
        <w:t>.</w:t>
      </w:r>
      <w:r>
        <w:rPr>
          <w:w w:val="100"/>
        </w:rPr>
        <w:t>支付的其他与经营</w:t>
      </w:r>
      <w:r>
        <w:rPr>
          <w:spacing w:val="-3"/>
          <w:w w:val="100"/>
        </w:rPr>
        <w:t>活</w:t>
      </w:r>
      <w:r>
        <w:rPr>
          <w:w w:val="100"/>
        </w:rPr>
        <w:t>动</w:t>
      </w:r>
      <w:r>
        <w:rPr>
          <w:spacing w:val="-3"/>
          <w:w w:val="100"/>
        </w:rPr>
        <w:t>有</w:t>
      </w:r>
      <w:r>
        <w:rPr>
          <w:w w:val="100"/>
        </w:rPr>
        <w:t>关的现</w:t>
      </w:r>
      <w:r>
        <w:rPr>
          <w:spacing w:val="-3"/>
          <w:w w:val="100"/>
        </w:rPr>
        <w:t>金</w:t>
      </w:r>
      <w:r>
        <w:rPr>
          <w:rFonts w:ascii="宋体" w:hAnsi="宋体" w:cs="宋体" w:eastAsia="宋体" w:hint="default"/>
          <w:w w:val="99"/>
        </w:rPr>
        <w:t> </w:t>
      </w:r>
      <w:r>
        <w:rPr>
          <w:rFonts w:ascii="宋体" w:hAnsi="宋体" w:cs="宋体" w:eastAsia="宋体" w:hint="default"/>
          <w:b w:val="0"/>
          <w:bCs w:val="0"/>
        </w:rPr>
      </w:r>
    </w:p>
    <w:p>
      <w:pPr>
        <w:pStyle w:val="Heading2"/>
        <w:spacing w:line="240" w:lineRule="auto" w:before="8"/>
        <w:ind w:left="23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1"/>
          <w:szCs w:val="21"/>
        </w:rPr>
      </w:pPr>
    </w:p>
    <w:p>
      <w:pPr>
        <w:pStyle w:val="BodyText"/>
        <w:spacing w:line="240" w:lineRule="auto"/>
        <w:ind w:left="236" w:right="0"/>
        <w:jc w:val="left"/>
        <w:rPr>
          <w:rFonts w:ascii="宋体" w:hAnsi="宋体" w:cs="宋体" w:eastAsia="宋体" w:hint="default"/>
        </w:rPr>
      </w:pPr>
      <w:r>
        <w:rPr/>
        <w:t>单位：元币种：人民币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580" w:bottom="280" w:left="1040" w:right="1560"/>
          <w:cols w:num="2" w:equalWidth="0">
            <w:col w:w="3932" w:space="2801"/>
            <w:col w:w="2577"/>
          </w:cols>
        </w:sectPr>
      </w:pPr>
    </w:p>
    <w:p>
      <w:pPr>
        <w:spacing w:line="240" w:lineRule="auto" w:before="10"/>
        <w:rPr>
          <w:rFonts w:ascii="宋体" w:hAnsi="宋体" w:cs="宋体" w:eastAsia="宋体" w:hint="default"/>
          <w:sz w:val="3"/>
          <w:szCs w:val="3"/>
        </w:rPr>
      </w:pPr>
    </w:p>
    <w:tbl>
      <w:tblPr>
        <w:tblW w:w="0" w:type="auto"/>
        <w:jc w:val="left"/>
        <w:tblInd w:w="119" w:type="dxa"/>
        <w:tblLayout w:type="fixed"/>
        <w:tblCellMar>
          <w:top w:w="0" w:type="dxa"/>
          <w:left w:w="0" w:type="dxa"/>
          <w:bottom w:w="0" w:type="dxa"/>
          <w:right w:w="0" w:type="dxa"/>
        </w:tblCellMar>
        <w:tblLook w:val="01E0"/>
      </w:tblPr>
      <w:tblGrid>
        <w:gridCol w:w="3411"/>
        <w:gridCol w:w="2811"/>
        <w:gridCol w:w="2840"/>
      </w:tblGrid>
      <w:tr>
        <w:trPr>
          <w:trHeight w:val="281"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83"/>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73"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85"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324"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8" w:right="0"/>
              <w:jc w:val="left"/>
              <w:rPr>
                <w:rFonts w:ascii="宋体" w:hAnsi="宋体" w:cs="宋体" w:eastAsia="宋体" w:hint="default"/>
                <w:sz w:val="21"/>
                <w:szCs w:val="21"/>
              </w:rPr>
            </w:pPr>
            <w:r>
              <w:rPr>
                <w:rFonts w:ascii="宋体" w:hAnsi="宋体" w:cs="宋体" w:eastAsia="宋体" w:hint="default"/>
                <w:sz w:val="21"/>
                <w:szCs w:val="21"/>
              </w:rPr>
              <w:t>支付往来款</w:t>
            </w:r>
            <w:r>
              <w:rPr>
                <w:rFonts w:ascii="宋体" w:hAnsi="宋体" w:cs="宋体" w:eastAsia="宋体" w:hint="default"/>
                <w:sz w:val="21"/>
                <w:szCs w:val="21"/>
              </w:rPr>
              <w:t> </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right"/>
              <w:rPr>
                <w:rFonts w:ascii="宋体" w:hAnsi="宋体" w:cs="宋体" w:eastAsia="宋体" w:hint="default"/>
                <w:sz w:val="21"/>
                <w:szCs w:val="21"/>
              </w:rPr>
            </w:pPr>
            <w:r>
              <w:rPr>
                <w:rFonts w:ascii="宋体"/>
                <w:spacing w:val="-1"/>
                <w:sz w:val="21"/>
              </w:rPr>
              <w:t>5,248,367.15</w:t>
            </w:r>
            <w:r>
              <w:rPr>
                <w:rFonts w:ascii="宋体"/>
                <w:sz w:val="21"/>
              </w:rPr>
              <w:t> </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
              <w:jc w:val="right"/>
              <w:rPr>
                <w:rFonts w:ascii="宋体" w:hAnsi="宋体" w:cs="宋体" w:eastAsia="宋体" w:hint="default"/>
                <w:sz w:val="21"/>
                <w:szCs w:val="21"/>
              </w:rPr>
            </w:pPr>
            <w:r>
              <w:rPr>
                <w:rFonts w:ascii="宋体"/>
                <w:spacing w:val="-1"/>
                <w:sz w:val="21"/>
              </w:rPr>
              <w:t>179,372,971.98</w:t>
            </w:r>
            <w:r>
              <w:rPr>
                <w:rFonts w:ascii="宋体"/>
                <w:sz w:val="21"/>
              </w:rPr>
              <w:t> </w:t>
            </w:r>
          </w:p>
        </w:tc>
      </w:tr>
      <w:tr>
        <w:trPr>
          <w:trHeight w:val="322"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支付销售费用</w:t>
            </w:r>
            <w:r>
              <w:rPr>
                <w:rFonts w:ascii="宋体" w:hAnsi="宋体" w:cs="宋体" w:eastAsia="宋体" w:hint="default"/>
                <w:sz w:val="21"/>
                <w:szCs w:val="21"/>
              </w:rPr>
              <w:t> </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right"/>
              <w:rPr>
                <w:rFonts w:ascii="宋体" w:hAnsi="宋体" w:cs="宋体" w:eastAsia="宋体" w:hint="default"/>
                <w:sz w:val="21"/>
                <w:szCs w:val="21"/>
              </w:rPr>
            </w:pPr>
            <w:r>
              <w:rPr>
                <w:rFonts w:ascii="宋体"/>
                <w:spacing w:val="-1"/>
                <w:sz w:val="21"/>
              </w:rPr>
              <w:t>88,059,892.05</w:t>
            </w:r>
            <w:r>
              <w:rPr>
                <w:rFonts w:ascii="宋体"/>
                <w:sz w:val="21"/>
              </w:rPr>
              <w:t> </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
              <w:jc w:val="right"/>
              <w:rPr>
                <w:rFonts w:ascii="宋体" w:hAnsi="宋体" w:cs="宋体" w:eastAsia="宋体" w:hint="default"/>
                <w:sz w:val="21"/>
                <w:szCs w:val="21"/>
              </w:rPr>
            </w:pPr>
            <w:r>
              <w:rPr>
                <w:rFonts w:ascii="宋体"/>
                <w:spacing w:val="-1"/>
                <w:sz w:val="21"/>
              </w:rPr>
              <w:t>65,474,057.37</w:t>
            </w:r>
            <w:r>
              <w:rPr>
                <w:rFonts w:ascii="宋体"/>
                <w:sz w:val="21"/>
              </w:rPr>
              <w:t> </w:t>
            </w:r>
          </w:p>
        </w:tc>
      </w:tr>
      <w:tr>
        <w:trPr>
          <w:trHeight w:val="322"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支付管理费用</w:t>
            </w:r>
            <w:r>
              <w:rPr>
                <w:rFonts w:ascii="宋体" w:hAnsi="宋体" w:cs="宋体" w:eastAsia="宋体" w:hint="default"/>
                <w:sz w:val="21"/>
                <w:szCs w:val="21"/>
              </w:rPr>
              <w:t> </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right"/>
              <w:rPr>
                <w:rFonts w:ascii="宋体" w:hAnsi="宋体" w:cs="宋体" w:eastAsia="宋体" w:hint="default"/>
                <w:sz w:val="21"/>
                <w:szCs w:val="21"/>
              </w:rPr>
            </w:pPr>
            <w:r>
              <w:rPr>
                <w:rFonts w:ascii="宋体"/>
                <w:spacing w:val="-1"/>
                <w:sz w:val="21"/>
              </w:rPr>
              <w:t>112,818,413.76</w:t>
            </w:r>
            <w:r>
              <w:rPr>
                <w:rFonts w:ascii="宋体"/>
                <w:sz w:val="21"/>
              </w:rPr>
              <w:t> </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
              <w:jc w:val="right"/>
              <w:rPr>
                <w:rFonts w:ascii="宋体" w:hAnsi="宋体" w:cs="宋体" w:eastAsia="宋体" w:hint="default"/>
                <w:sz w:val="21"/>
                <w:szCs w:val="21"/>
              </w:rPr>
            </w:pPr>
            <w:r>
              <w:rPr>
                <w:rFonts w:ascii="宋体"/>
                <w:spacing w:val="-1"/>
                <w:sz w:val="21"/>
              </w:rPr>
              <w:t>82,328,415.06</w:t>
            </w:r>
            <w:r>
              <w:rPr>
                <w:rFonts w:ascii="宋体"/>
                <w:sz w:val="21"/>
              </w:rPr>
              <w:t> </w:t>
            </w:r>
          </w:p>
        </w:tc>
      </w:tr>
      <w:tr>
        <w:trPr>
          <w:trHeight w:val="322"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支付研发费用</w:t>
            </w:r>
            <w:r>
              <w:rPr>
                <w:rFonts w:ascii="宋体" w:hAnsi="宋体" w:cs="宋体" w:eastAsia="宋体" w:hint="default"/>
                <w:sz w:val="21"/>
                <w:szCs w:val="21"/>
              </w:rPr>
              <w:t> </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right"/>
              <w:rPr>
                <w:rFonts w:ascii="宋体" w:hAnsi="宋体" w:cs="宋体" w:eastAsia="宋体" w:hint="default"/>
                <w:sz w:val="21"/>
                <w:szCs w:val="21"/>
              </w:rPr>
            </w:pPr>
            <w:r>
              <w:rPr>
                <w:rFonts w:ascii="宋体"/>
                <w:w w:val="100"/>
                <w:sz w:val="21"/>
              </w:rPr>
              <w:t> </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
              <w:jc w:val="right"/>
              <w:rPr>
                <w:rFonts w:ascii="宋体" w:hAnsi="宋体" w:cs="宋体" w:eastAsia="宋体" w:hint="default"/>
                <w:sz w:val="21"/>
                <w:szCs w:val="21"/>
              </w:rPr>
            </w:pPr>
            <w:r>
              <w:rPr>
                <w:rFonts w:ascii="宋体"/>
                <w:spacing w:val="-1"/>
                <w:sz w:val="21"/>
              </w:rPr>
              <w:t>39,461,216.33</w:t>
            </w:r>
            <w:r>
              <w:rPr>
                <w:rFonts w:ascii="宋体"/>
                <w:sz w:val="21"/>
              </w:rPr>
              <w:t> </w:t>
            </w:r>
          </w:p>
        </w:tc>
      </w:tr>
      <w:tr>
        <w:trPr>
          <w:trHeight w:val="322"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营业外支出</w:t>
            </w:r>
            <w:r>
              <w:rPr>
                <w:rFonts w:ascii="宋体" w:hAnsi="宋体" w:cs="宋体" w:eastAsia="宋体" w:hint="default"/>
                <w:sz w:val="21"/>
                <w:szCs w:val="21"/>
              </w:rPr>
              <w:t> </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right"/>
              <w:rPr>
                <w:rFonts w:ascii="宋体" w:hAnsi="宋体" w:cs="宋体" w:eastAsia="宋体" w:hint="default"/>
                <w:sz w:val="21"/>
                <w:szCs w:val="21"/>
              </w:rPr>
            </w:pPr>
            <w:r>
              <w:rPr>
                <w:rFonts w:ascii="宋体"/>
                <w:spacing w:val="-1"/>
                <w:sz w:val="21"/>
              </w:rPr>
              <w:t>15,247,597.61</w:t>
            </w:r>
            <w:r>
              <w:rPr>
                <w:rFonts w:ascii="宋体"/>
                <w:sz w:val="21"/>
              </w:rPr>
              <w:t> </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
              <w:jc w:val="right"/>
              <w:rPr>
                <w:rFonts w:ascii="宋体" w:hAnsi="宋体" w:cs="宋体" w:eastAsia="宋体" w:hint="default"/>
                <w:sz w:val="21"/>
                <w:szCs w:val="21"/>
              </w:rPr>
            </w:pPr>
            <w:r>
              <w:rPr>
                <w:rFonts w:ascii="宋体"/>
                <w:spacing w:val="-1"/>
                <w:sz w:val="21"/>
              </w:rPr>
              <w:t>10,656,332.95</w:t>
            </w:r>
            <w:r>
              <w:rPr>
                <w:rFonts w:ascii="宋体"/>
                <w:sz w:val="21"/>
              </w:rPr>
              <w:t> </w:t>
            </w:r>
          </w:p>
        </w:tc>
      </w:tr>
      <w:tr>
        <w:trPr>
          <w:trHeight w:val="322"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支付投标保证金</w:t>
            </w:r>
            <w:r>
              <w:rPr>
                <w:rFonts w:ascii="宋体" w:hAnsi="宋体" w:cs="宋体" w:eastAsia="宋体" w:hint="default"/>
                <w:sz w:val="21"/>
                <w:szCs w:val="21"/>
              </w:rPr>
              <w:t> </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right"/>
              <w:rPr>
                <w:rFonts w:ascii="宋体" w:hAnsi="宋体" w:cs="宋体" w:eastAsia="宋体" w:hint="default"/>
                <w:sz w:val="21"/>
                <w:szCs w:val="21"/>
              </w:rPr>
            </w:pPr>
            <w:r>
              <w:rPr>
                <w:rFonts w:ascii="宋体"/>
                <w:spacing w:val="-1"/>
                <w:sz w:val="21"/>
              </w:rPr>
              <w:t>18,016,890.27</w:t>
            </w:r>
            <w:r>
              <w:rPr>
                <w:rFonts w:ascii="宋体"/>
                <w:sz w:val="21"/>
              </w:rPr>
              <w:t> </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
              <w:jc w:val="right"/>
              <w:rPr>
                <w:rFonts w:ascii="宋体" w:hAnsi="宋体" w:cs="宋体" w:eastAsia="宋体" w:hint="default"/>
                <w:sz w:val="21"/>
                <w:szCs w:val="21"/>
              </w:rPr>
            </w:pPr>
            <w:r>
              <w:rPr>
                <w:rFonts w:ascii="宋体"/>
                <w:spacing w:val="-1"/>
                <w:sz w:val="21"/>
              </w:rPr>
              <w:t>7,746,082.47</w:t>
            </w:r>
            <w:r>
              <w:rPr>
                <w:rFonts w:ascii="宋体"/>
                <w:sz w:val="21"/>
              </w:rPr>
              <w:t> </w:t>
            </w:r>
          </w:p>
        </w:tc>
      </w:tr>
      <w:tr>
        <w:trPr>
          <w:trHeight w:val="324"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8" w:right="0"/>
              <w:jc w:val="left"/>
              <w:rPr>
                <w:rFonts w:ascii="宋体" w:hAnsi="宋体" w:cs="宋体" w:eastAsia="宋体" w:hint="default"/>
                <w:sz w:val="21"/>
                <w:szCs w:val="21"/>
              </w:rPr>
            </w:pPr>
            <w:r>
              <w:rPr>
                <w:rFonts w:ascii="宋体" w:hAnsi="宋体" w:cs="宋体" w:eastAsia="宋体" w:hint="default"/>
                <w:sz w:val="21"/>
                <w:szCs w:val="21"/>
              </w:rPr>
              <w:t>受限货币资金增加</w:t>
            </w:r>
            <w:r>
              <w:rPr>
                <w:rFonts w:ascii="宋体" w:hAnsi="宋体" w:cs="宋体" w:eastAsia="宋体" w:hint="default"/>
                <w:sz w:val="21"/>
                <w:szCs w:val="21"/>
              </w:rPr>
              <w:t> </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right"/>
              <w:rPr>
                <w:rFonts w:ascii="宋体" w:hAnsi="宋体" w:cs="宋体" w:eastAsia="宋体" w:hint="default"/>
                <w:sz w:val="21"/>
                <w:szCs w:val="21"/>
              </w:rPr>
            </w:pPr>
            <w:r>
              <w:rPr>
                <w:rFonts w:ascii="宋体"/>
                <w:spacing w:val="-1"/>
                <w:sz w:val="21"/>
              </w:rPr>
              <w:t>17,671,850.64</w:t>
            </w:r>
            <w:r>
              <w:rPr>
                <w:rFonts w:ascii="宋体"/>
                <w:sz w:val="21"/>
              </w:rPr>
              <w:t> </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
              <w:jc w:val="right"/>
              <w:rPr>
                <w:rFonts w:ascii="宋体" w:hAnsi="宋体" w:cs="宋体" w:eastAsia="宋体" w:hint="default"/>
                <w:sz w:val="21"/>
                <w:szCs w:val="21"/>
              </w:rPr>
            </w:pPr>
            <w:r>
              <w:rPr>
                <w:rFonts w:ascii="宋体"/>
                <w:spacing w:val="-1"/>
                <w:sz w:val="21"/>
              </w:rPr>
              <w:t>226,196,128.02</w:t>
            </w:r>
            <w:r>
              <w:rPr>
                <w:rFonts w:ascii="宋体"/>
                <w:sz w:val="21"/>
              </w:rPr>
              <w:t> </w:t>
            </w:r>
          </w:p>
        </w:tc>
      </w:tr>
      <w:tr>
        <w:trPr>
          <w:trHeight w:val="322"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83"/>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right"/>
              <w:rPr>
                <w:rFonts w:ascii="宋体" w:hAnsi="宋体" w:cs="宋体" w:eastAsia="宋体" w:hint="default"/>
                <w:sz w:val="21"/>
                <w:szCs w:val="21"/>
              </w:rPr>
            </w:pPr>
            <w:r>
              <w:rPr>
                <w:rFonts w:ascii="宋体"/>
                <w:spacing w:val="-1"/>
                <w:sz w:val="21"/>
              </w:rPr>
              <w:t>257,063,011.48</w:t>
            </w:r>
            <w:r>
              <w:rPr>
                <w:rFonts w:ascii="宋体"/>
                <w:sz w:val="21"/>
              </w:rPr>
              <w:t> </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
              <w:jc w:val="right"/>
              <w:rPr>
                <w:rFonts w:ascii="宋体" w:hAnsi="宋体" w:cs="宋体" w:eastAsia="宋体" w:hint="default"/>
                <w:sz w:val="21"/>
                <w:szCs w:val="21"/>
              </w:rPr>
            </w:pPr>
            <w:r>
              <w:rPr>
                <w:rFonts w:ascii="宋体"/>
                <w:spacing w:val="-1"/>
                <w:sz w:val="21"/>
              </w:rPr>
              <w:t>611,235,204.18</w:t>
            </w:r>
            <w:r>
              <w:rPr>
                <w:rFonts w:ascii="宋体"/>
                <w:sz w:val="21"/>
              </w:rPr>
              <w:t> </w:t>
            </w:r>
          </w:p>
        </w:tc>
      </w:tr>
    </w:tbl>
    <w:p>
      <w:pPr>
        <w:spacing w:after="0" w:line="262" w:lineRule="exact"/>
        <w:jc w:val="right"/>
        <w:rPr>
          <w:rFonts w:ascii="宋体" w:hAnsi="宋体" w:cs="宋体" w:eastAsia="宋体" w:hint="default"/>
          <w:sz w:val="21"/>
          <w:szCs w:val="21"/>
        </w:rPr>
        <w:sectPr>
          <w:type w:val="continuous"/>
          <w:pgSz w:w="11910" w:h="16840"/>
          <w:pgMar w:top="1580" w:bottom="280" w:left="1040" w:right="1560"/>
        </w:sectPr>
      </w:pPr>
    </w:p>
    <w:p>
      <w:pPr>
        <w:pStyle w:val="Heading3"/>
        <w:spacing w:line="326" w:lineRule="auto" w:before="47"/>
        <w:ind w:left="236"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(3)</w:t>
      </w:r>
      <w:r>
        <w:rPr>
          <w:rFonts w:ascii="宋体" w:hAnsi="宋体" w:cs="宋体" w:eastAsia="宋体" w:hint="default"/>
          <w:spacing w:val="5"/>
          <w:w w:val="99"/>
        </w:rPr>
        <w:t>.</w:t>
      </w:r>
      <w:r>
        <w:rPr>
          <w:w w:val="100"/>
        </w:rPr>
        <w:t>收到的其他与投资</w:t>
      </w:r>
      <w:r>
        <w:rPr>
          <w:spacing w:val="-3"/>
          <w:w w:val="100"/>
        </w:rPr>
        <w:t>活</w:t>
      </w:r>
      <w:r>
        <w:rPr>
          <w:w w:val="100"/>
        </w:rPr>
        <w:t>动</w:t>
      </w:r>
      <w:r>
        <w:rPr>
          <w:spacing w:val="-3"/>
          <w:w w:val="100"/>
        </w:rPr>
        <w:t>有</w:t>
      </w:r>
      <w:r>
        <w:rPr>
          <w:w w:val="100"/>
        </w:rPr>
        <w:t>关的现</w:t>
      </w:r>
      <w:r>
        <w:rPr>
          <w:spacing w:val="-3"/>
          <w:w w:val="100"/>
        </w:rPr>
        <w:t>金</w:t>
      </w:r>
      <w:r>
        <w:rPr>
          <w:rFonts w:ascii="宋体" w:hAnsi="宋体" w:cs="宋体" w:eastAsia="宋体" w:hint="default"/>
          <w:w w:val="99"/>
        </w:rPr>
        <w:t> </w:t>
      </w:r>
      <w:r>
        <w:rPr>
          <w:rFonts w:ascii="宋体" w:hAnsi="宋体" w:cs="宋体" w:eastAsia="宋体" w:hint="default"/>
          <w:b w:val="0"/>
          <w:bCs w:val="0"/>
        </w:rPr>
      </w:r>
    </w:p>
    <w:p>
      <w:pPr>
        <w:pStyle w:val="Heading2"/>
        <w:spacing w:line="308" w:lineRule="exact"/>
        <w:ind w:left="23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4"/>
          <w:szCs w:val="24"/>
        </w:rPr>
      </w:pPr>
    </w:p>
    <w:p>
      <w:pPr>
        <w:pStyle w:val="BodyText"/>
        <w:spacing w:line="240" w:lineRule="auto"/>
        <w:ind w:left="236" w:right="0"/>
        <w:jc w:val="left"/>
        <w:rPr>
          <w:rFonts w:ascii="宋体" w:hAnsi="宋体" w:cs="宋体" w:eastAsia="宋体" w:hint="default"/>
        </w:rPr>
      </w:pPr>
      <w:r>
        <w:rPr/>
        <w:t>单位：元币种</w:t>
      </w:r>
      <w:r>
        <w:rPr>
          <w:rFonts w:ascii="宋体" w:hAnsi="宋体" w:cs="宋体" w:eastAsia="宋体" w:hint="default"/>
        </w:rPr>
        <w:t>:</w:t>
      </w:r>
      <w:r>
        <w:rPr/>
        <w:t>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580" w:bottom="280" w:left="1040" w:right="1560"/>
          <w:cols w:num="2" w:equalWidth="0">
            <w:col w:w="3932" w:space="2907"/>
            <w:col w:w="2471"/>
          </w:cols>
        </w:sectPr>
      </w:pPr>
    </w:p>
    <w:p>
      <w:pPr>
        <w:spacing w:line="240" w:lineRule="auto" w:before="10"/>
        <w:rPr>
          <w:rFonts w:ascii="宋体" w:hAnsi="宋体" w:cs="宋体" w:eastAsia="宋体" w:hint="default"/>
          <w:sz w:val="3"/>
          <w:szCs w:val="3"/>
        </w:rPr>
      </w:pPr>
    </w:p>
    <w:tbl>
      <w:tblPr>
        <w:tblW w:w="0" w:type="auto"/>
        <w:jc w:val="left"/>
        <w:tblInd w:w="119" w:type="dxa"/>
        <w:tblLayout w:type="fixed"/>
        <w:tblCellMar>
          <w:top w:w="0" w:type="dxa"/>
          <w:left w:w="0" w:type="dxa"/>
          <w:bottom w:w="0" w:type="dxa"/>
          <w:right w:w="0" w:type="dxa"/>
        </w:tblCellMar>
        <w:tblLook w:val="01E0"/>
      </w:tblPr>
      <w:tblGrid>
        <w:gridCol w:w="4508"/>
        <w:gridCol w:w="2619"/>
        <w:gridCol w:w="1935"/>
      </w:tblGrid>
      <w:tr>
        <w:trPr>
          <w:trHeight w:val="283" w:hRule="exact"/>
        </w:trPr>
        <w:tc>
          <w:tcPr>
            <w:tcW w:w="45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34"/>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26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77"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34"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554" w:hRule="exact"/>
        </w:trPr>
        <w:tc>
          <w:tcPr>
            <w:tcW w:w="450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8" w:right="0"/>
              <w:jc w:val="left"/>
              <w:rPr>
                <w:rFonts w:ascii="宋体" w:hAnsi="宋体" w:cs="宋体" w:eastAsia="宋体" w:hint="default"/>
                <w:sz w:val="21"/>
                <w:szCs w:val="21"/>
              </w:rPr>
            </w:pPr>
            <w:r>
              <w:rPr>
                <w:rFonts w:ascii="宋体" w:hAnsi="宋体" w:cs="宋体" w:eastAsia="宋体" w:hint="default"/>
                <w:sz w:val="21"/>
                <w:szCs w:val="21"/>
              </w:rPr>
              <w:t>收购子公司支付的现金与购买日子公司持有现</w:t>
            </w:r>
          </w:p>
          <w:p>
            <w:pPr>
              <w:pStyle w:val="TableParagraph"/>
              <w:spacing w:line="273" w:lineRule="exact"/>
              <w:ind w:left="108" w:right="0"/>
              <w:jc w:val="left"/>
              <w:rPr>
                <w:rFonts w:ascii="宋体" w:hAnsi="宋体" w:cs="宋体" w:eastAsia="宋体" w:hint="default"/>
                <w:sz w:val="21"/>
                <w:szCs w:val="21"/>
              </w:rPr>
            </w:pPr>
            <w:r>
              <w:rPr>
                <w:rFonts w:ascii="宋体" w:hAnsi="宋体" w:cs="宋体" w:eastAsia="宋体" w:hint="default"/>
                <w:sz w:val="21"/>
                <w:szCs w:val="21"/>
              </w:rPr>
              <w:t>金差额</w:t>
            </w:r>
            <w:r>
              <w:rPr>
                <w:rFonts w:ascii="宋体" w:hAnsi="宋体" w:cs="宋体" w:eastAsia="宋体" w:hint="default"/>
                <w:sz w:val="21"/>
                <w:szCs w:val="21"/>
              </w:rPr>
              <w:t> </w:t>
            </w:r>
          </w:p>
        </w:tc>
        <w:tc>
          <w:tcPr>
            <w:tcW w:w="2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0"/>
              <w:jc w:val="right"/>
              <w:rPr>
                <w:rFonts w:ascii="宋体" w:hAnsi="宋体" w:cs="宋体" w:eastAsia="宋体" w:hint="default"/>
                <w:sz w:val="21"/>
                <w:szCs w:val="21"/>
              </w:rPr>
            </w:pPr>
            <w:r>
              <w:rPr>
                <w:rFonts w:ascii="宋体"/>
                <w:spacing w:val="-1"/>
                <w:sz w:val="21"/>
              </w:rPr>
              <w:t>32,175,212.44</w:t>
            </w:r>
            <w:r>
              <w:rPr>
                <w:rFonts w:ascii="宋体"/>
                <w:sz w:val="21"/>
              </w:rPr>
              <w:t> </w:t>
            </w: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
              <w:jc w:val="right"/>
              <w:rPr>
                <w:rFonts w:ascii="宋体" w:hAnsi="宋体" w:cs="宋体" w:eastAsia="宋体" w:hint="default"/>
                <w:sz w:val="21"/>
                <w:szCs w:val="21"/>
              </w:rPr>
            </w:pPr>
            <w:r>
              <w:rPr>
                <w:rFonts w:ascii="宋体"/>
                <w:w w:val="100"/>
                <w:sz w:val="21"/>
              </w:rPr>
              <w:t> </w:t>
            </w:r>
          </w:p>
        </w:tc>
      </w:tr>
      <w:tr>
        <w:trPr>
          <w:trHeight w:val="322" w:hRule="exact"/>
        </w:trPr>
        <w:tc>
          <w:tcPr>
            <w:tcW w:w="45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34"/>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261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right"/>
              <w:rPr>
                <w:rFonts w:ascii="宋体" w:hAnsi="宋体" w:cs="宋体" w:eastAsia="宋体" w:hint="default"/>
                <w:sz w:val="21"/>
                <w:szCs w:val="21"/>
              </w:rPr>
            </w:pPr>
            <w:r>
              <w:rPr>
                <w:rFonts w:ascii="宋体"/>
                <w:spacing w:val="-1"/>
                <w:sz w:val="21"/>
              </w:rPr>
              <w:t>32,175,212.44</w:t>
            </w:r>
            <w:r>
              <w:rPr>
                <w:rFonts w:ascii="宋体"/>
                <w:sz w:val="21"/>
              </w:rPr>
              <w:t> </w:t>
            </w: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
              <w:jc w:val="right"/>
              <w:rPr>
                <w:rFonts w:ascii="宋体" w:hAnsi="宋体" w:cs="宋体" w:eastAsia="宋体" w:hint="default"/>
                <w:sz w:val="21"/>
                <w:szCs w:val="21"/>
              </w:rPr>
            </w:pPr>
            <w:r>
              <w:rPr>
                <w:rFonts w:ascii="宋体"/>
                <w:w w:val="100"/>
                <w:sz w:val="21"/>
              </w:rPr>
              <w:t> </w:t>
            </w:r>
          </w:p>
        </w:tc>
      </w:tr>
    </w:tbl>
    <w:p>
      <w:pPr>
        <w:pStyle w:val="BodyText"/>
        <w:spacing w:line="241" w:lineRule="exact"/>
        <w:ind w:left="236" w:right="0"/>
        <w:jc w:val="left"/>
        <w:rPr>
          <w:rFonts w:ascii="宋体" w:hAnsi="宋体" w:cs="宋体" w:eastAsia="宋体" w:hint="default"/>
        </w:rPr>
      </w:pPr>
      <w:r>
        <w:rPr>
          <w:rFonts w:ascii="宋体"/>
          <w:w w:val="100"/>
        </w:rPr>
        <w:t> </w:t>
      </w:r>
    </w:p>
    <w:p>
      <w:pPr>
        <w:spacing w:after="0" w:line="241" w:lineRule="exact"/>
        <w:jc w:val="left"/>
        <w:rPr>
          <w:rFonts w:ascii="宋体" w:hAnsi="宋体" w:cs="宋体" w:eastAsia="宋体" w:hint="default"/>
        </w:rPr>
        <w:sectPr>
          <w:type w:val="continuous"/>
          <w:pgSz w:w="11910" w:h="16840"/>
          <w:pgMar w:top="1580" w:bottom="280" w:left="1040" w:right="1560"/>
        </w:sectPr>
      </w:pPr>
    </w:p>
    <w:p>
      <w:pPr>
        <w:spacing w:line="240" w:lineRule="auto" w:before="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pgSz w:w="11910" w:h="16840"/>
          <w:pgMar w:header="0" w:footer="974" w:top="1140" w:bottom="1160" w:left="1040" w:right="1560"/>
        </w:sectPr>
      </w:pPr>
    </w:p>
    <w:p>
      <w:pPr>
        <w:pStyle w:val="Heading3"/>
        <w:spacing w:line="240" w:lineRule="auto" w:before="36"/>
        <w:ind w:left="236" w:right="0"/>
        <w:jc w:val="left"/>
        <w:rPr>
          <w:rFonts w:ascii="宋体" w:hAnsi="宋体" w:cs="宋体" w:eastAsia="宋体" w:hint="default"/>
          <w:b w:val="0"/>
          <w:bCs w:val="0"/>
        </w:rPr>
      </w:pPr>
      <w:r>
        <w:rPr>
          <w:rFonts w:ascii="宋体" w:hAnsi="宋体" w:cs="宋体" w:eastAsia="宋体" w:hint="default"/>
        </w:rPr>
        <w:t>(4).</w:t>
      </w:r>
      <w:r>
        <w:rPr/>
        <w:t>支付的其他与投资活动有关的现金</w:t>
      </w:r>
      <w:r>
        <w:rPr>
          <w:rFonts w:ascii="宋体" w:hAnsi="宋体" w:cs="宋体" w:eastAsia="宋体" w:hint="default"/>
          <w:w w:val="99"/>
        </w:rPr>
        <w:t> </w:t>
      </w:r>
      <w:r>
        <w:rPr>
          <w:rFonts w:ascii="宋体" w:hAnsi="宋体" w:cs="宋体" w:eastAsia="宋体" w:hint="default"/>
          <w:b w:val="0"/>
          <w:bCs w:val="0"/>
        </w:rPr>
      </w:r>
    </w:p>
    <w:p>
      <w:pPr>
        <w:pStyle w:val="Heading2"/>
        <w:spacing w:line="240" w:lineRule="auto" w:before="69"/>
        <w:ind w:left="23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3"/>
        <w:spacing w:line="324" w:lineRule="auto" w:before="25"/>
        <w:ind w:left="236"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(5)</w:t>
      </w:r>
      <w:r>
        <w:rPr>
          <w:rFonts w:ascii="宋体" w:hAnsi="宋体" w:cs="宋体" w:eastAsia="宋体" w:hint="default"/>
          <w:spacing w:val="5"/>
          <w:w w:val="99"/>
        </w:rPr>
        <w:t>.</w:t>
      </w:r>
      <w:r>
        <w:rPr>
          <w:w w:val="100"/>
        </w:rPr>
        <w:t>收到</w:t>
      </w:r>
      <w:r>
        <w:rPr>
          <w:spacing w:val="-1"/>
          <w:w w:val="100"/>
        </w:rPr>
        <w:t>的</w:t>
      </w:r>
      <w:r>
        <w:rPr>
          <w:w w:val="100"/>
        </w:rPr>
        <w:t>其他与筹资</w:t>
      </w:r>
      <w:r>
        <w:rPr>
          <w:spacing w:val="-3"/>
          <w:w w:val="100"/>
        </w:rPr>
        <w:t>活</w:t>
      </w:r>
      <w:r>
        <w:rPr>
          <w:w w:val="100"/>
        </w:rPr>
        <w:t>动</w:t>
      </w:r>
      <w:r>
        <w:rPr>
          <w:spacing w:val="-3"/>
          <w:w w:val="100"/>
        </w:rPr>
        <w:t>有</w:t>
      </w:r>
      <w:r>
        <w:rPr>
          <w:w w:val="100"/>
        </w:rPr>
        <w:t>关的现</w:t>
      </w:r>
      <w:r>
        <w:rPr>
          <w:spacing w:val="-2"/>
          <w:w w:val="100"/>
        </w:rPr>
        <w:t>金</w:t>
      </w:r>
      <w:r>
        <w:rPr>
          <w:rFonts w:ascii="宋体" w:hAnsi="宋体" w:cs="宋体" w:eastAsia="宋体" w:hint="default"/>
          <w:w w:val="99"/>
        </w:rPr>
        <w:t> </w:t>
      </w:r>
      <w:r>
        <w:rPr>
          <w:rFonts w:ascii="宋体" w:hAnsi="宋体" w:cs="宋体" w:eastAsia="宋体" w:hint="default"/>
          <w:b w:val="0"/>
          <w:bCs w:val="0"/>
        </w:rPr>
      </w:r>
    </w:p>
    <w:p>
      <w:pPr>
        <w:pStyle w:val="Heading2"/>
        <w:spacing w:line="309" w:lineRule="exact"/>
        <w:ind w:left="23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2"/>
        <w:spacing w:line="313" w:lineRule="exact"/>
        <w:ind w:left="236" w:right="0"/>
        <w:jc w:val="left"/>
        <w:rPr>
          <w:rFonts w:ascii="宋体" w:hAnsi="宋体" w:cs="宋体" w:eastAsia="宋体" w:hint="default"/>
        </w:rPr>
      </w:pPr>
      <w:r>
        <w:rPr>
          <w:rFonts w:ascii="宋体"/>
        </w:rPr>
        <w:t> </w:t>
      </w:r>
    </w:p>
    <w:p>
      <w:pPr>
        <w:pStyle w:val="Heading3"/>
        <w:spacing w:line="240" w:lineRule="auto" w:before="85"/>
        <w:ind w:left="236" w:right="0"/>
        <w:jc w:val="left"/>
        <w:rPr>
          <w:rFonts w:ascii="宋体" w:hAnsi="宋体" w:cs="宋体" w:eastAsia="宋体" w:hint="default"/>
          <w:b w:val="0"/>
          <w:bCs w:val="0"/>
        </w:rPr>
      </w:pPr>
      <w:r>
        <w:rPr>
          <w:rFonts w:ascii="宋体" w:hAnsi="宋体" w:cs="宋体" w:eastAsia="宋体" w:hint="default"/>
        </w:rPr>
        <w:t>(6).</w:t>
      </w:r>
      <w:r>
        <w:rPr/>
        <w:t>支付的其他与筹资活动有关的现金</w:t>
      </w:r>
      <w:r>
        <w:rPr>
          <w:rFonts w:ascii="宋体" w:hAnsi="宋体" w:cs="宋体" w:eastAsia="宋体" w:hint="default"/>
          <w:w w:val="99"/>
        </w:rPr>
        <w:t> </w:t>
      </w:r>
      <w:r>
        <w:rPr>
          <w:rFonts w:ascii="宋体" w:hAnsi="宋体" w:cs="宋体" w:eastAsia="宋体" w:hint="default"/>
          <w:b w:val="0"/>
          <w:bCs w:val="0"/>
        </w:rPr>
      </w:r>
    </w:p>
    <w:p>
      <w:pPr>
        <w:pStyle w:val="Heading2"/>
        <w:spacing w:line="240" w:lineRule="auto" w:before="69"/>
        <w:ind w:left="23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6"/>
          <w:szCs w:val="16"/>
        </w:rPr>
      </w:pPr>
    </w:p>
    <w:p>
      <w:pPr>
        <w:pStyle w:val="BodyText"/>
        <w:spacing w:line="240" w:lineRule="auto"/>
        <w:ind w:left="236" w:right="0"/>
        <w:jc w:val="left"/>
        <w:rPr>
          <w:rFonts w:ascii="宋体" w:hAnsi="宋体" w:cs="宋体" w:eastAsia="宋体" w:hint="default"/>
        </w:rPr>
      </w:pPr>
      <w:r>
        <w:rPr/>
        <w:t>单位：元币种：人民币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580" w:bottom="280" w:left="1040" w:right="1560"/>
          <w:cols w:num="2" w:equalWidth="0">
            <w:col w:w="3932" w:space="2801"/>
            <w:col w:w="2577"/>
          </w:cols>
        </w:sectPr>
      </w:pPr>
    </w:p>
    <w:p>
      <w:pPr>
        <w:spacing w:line="240" w:lineRule="auto" w:before="10"/>
        <w:rPr>
          <w:rFonts w:ascii="宋体" w:hAnsi="宋体" w:cs="宋体" w:eastAsia="宋体" w:hint="default"/>
          <w:sz w:val="3"/>
          <w:szCs w:val="3"/>
        </w:rPr>
      </w:pPr>
    </w:p>
    <w:tbl>
      <w:tblPr>
        <w:tblW w:w="0" w:type="auto"/>
        <w:jc w:val="left"/>
        <w:tblInd w:w="119" w:type="dxa"/>
        <w:tblLayout w:type="fixed"/>
        <w:tblCellMar>
          <w:top w:w="0" w:type="dxa"/>
          <w:left w:w="0" w:type="dxa"/>
          <w:bottom w:w="0" w:type="dxa"/>
          <w:right w:w="0" w:type="dxa"/>
        </w:tblCellMar>
        <w:tblLook w:val="01E0"/>
      </w:tblPr>
      <w:tblGrid>
        <w:gridCol w:w="3411"/>
        <w:gridCol w:w="2916"/>
        <w:gridCol w:w="2734"/>
      </w:tblGrid>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83"/>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26"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35"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322"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股份回购</w:t>
            </w:r>
            <w:r>
              <w:rPr>
                <w:rFonts w:ascii="宋体" w:hAnsi="宋体" w:cs="宋体" w:eastAsia="宋体" w:hint="default"/>
                <w:sz w:val="21"/>
                <w:szCs w:val="21"/>
              </w:rPr>
              <w:t> </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right"/>
              <w:rPr>
                <w:rFonts w:ascii="宋体" w:hAnsi="宋体" w:cs="宋体" w:eastAsia="宋体" w:hint="default"/>
                <w:sz w:val="21"/>
                <w:szCs w:val="21"/>
              </w:rPr>
            </w:pPr>
            <w:r>
              <w:rPr>
                <w:rFonts w:ascii="宋体"/>
                <w:spacing w:val="-1"/>
                <w:sz w:val="21"/>
              </w:rPr>
              <w:t>34,983,797.82</w:t>
            </w:r>
            <w:r>
              <w:rPr>
                <w:rFonts w:ascii="宋体"/>
                <w:sz w:val="21"/>
              </w:rPr>
              <w:t> </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
              <w:jc w:val="right"/>
              <w:rPr>
                <w:rFonts w:ascii="宋体" w:hAnsi="宋体" w:cs="宋体" w:eastAsia="宋体" w:hint="default"/>
                <w:sz w:val="21"/>
                <w:szCs w:val="21"/>
              </w:rPr>
            </w:pPr>
            <w:r>
              <w:rPr>
                <w:rFonts w:ascii="宋体"/>
                <w:spacing w:val="-1"/>
                <w:sz w:val="21"/>
              </w:rPr>
              <w:t>99,614,760.20</w:t>
            </w:r>
            <w:r>
              <w:rPr>
                <w:rFonts w:ascii="宋体"/>
                <w:sz w:val="21"/>
              </w:rPr>
              <w:t> </w:t>
            </w:r>
          </w:p>
        </w:tc>
      </w:tr>
      <w:tr>
        <w:trPr>
          <w:trHeight w:val="322"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83"/>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0"/>
              <w:jc w:val="right"/>
              <w:rPr>
                <w:rFonts w:ascii="宋体" w:hAnsi="宋体" w:cs="宋体" w:eastAsia="宋体" w:hint="default"/>
                <w:sz w:val="21"/>
                <w:szCs w:val="21"/>
              </w:rPr>
            </w:pPr>
            <w:r>
              <w:rPr>
                <w:rFonts w:ascii="宋体"/>
                <w:spacing w:val="-1"/>
                <w:sz w:val="21"/>
              </w:rPr>
              <w:t>34,983,797.82</w:t>
            </w:r>
            <w:r>
              <w:rPr>
                <w:rFonts w:ascii="宋体"/>
                <w:sz w:val="21"/>
              </w:rPr>
              <w:t> </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2"/>
              <w:jc w:val="right"/>
              <w:rPr>
                <w:rFonts w:ascii="宋体" w:hAnsi="宋体" w:cs="宋体" w:eastAsia="宋体" w:hint="default"/>
                <w:sz w:val="21"/>
                <w:szCs w:val="21"/>
              </w:rPr>
            </w:pPr>
            <w:r>
              <w:rPr>
                <w:rFonts w:ascii="宋体"/>
                <w:spacing w:val="-1"/>
                <w:sz w:val="21"/>
              </w:rPr>
              <w:t>99,614,760.20</w:t>
            </w:r>
            <w:r>
              <w:rPr>
                <w:rFonts w:ascii="宋体"/>
                <w:sz w:val="21"/>
              </w:rPr>
              <w:t> </w:t>
            </w:r>
          </w:p>
        </w:tc>
      </w:tr>
    </w:tbl>
    <w:p>
      <w:pPr>
        <w:spacing w:line="240" w:lineRule="auto" w:before="4"/>
        <w:rPr>
          <w:rFonts w:ascii="宋体" w:hAnsi="宋体" w:cs="宋体" w:eastAsia="宋体" w:hint="default"/>
          <w:sz w:val="29"/>
          <w:szCs w:val="29"/>
        </w:rPr>
      </w:pPr>
    </w:p>
    <w:p>
      <w:pPr>
        <w:pStyle w:val="BodyText"/>
        <w:tabs>
          <w:tab w:pos="3117" w:val="left" w:leader="none"/>
        </w:tabs>
        <w:spacing w:line="240" w:lineRule="auto" w:before="36"/>
        <w:ind w:left="236" w:right="0"/>
        <w:jc w:val="left"/>
        <w:rPr>
          <w:rFonts w:ascii="宋体" w:hAnsi="宋体" w:cs="宋体" w:eastAsia="宋体" w:hint="default"/>
        </w:rPr>
      </w:pPr>
      <w:r>
        <w:rPr>
          <w:rFonts w:ascii="宋体"/>
          <w:w w:val="100"/>
        </w:rPr>
        <w:t> </w:t>
      </w:r>
      <w:r>
        <w:rPr>
          <w:rFonts w:ascii="宋体"/>
        </w:rPr>
        <w:tab/>
      </w:r>
      <w:r>
        <w:rPr>
          <w:rFonts w:ascii="宋体"/>
          <w:w w:val="100"/>
        </w:rPr>
        <w:t> </w:t>
      </w:r>
    </w:p>
    <w:p>
      <w:pPr>
        <w:spacing w:after="0" w:line="240" w:lineRule="auto"/>
        <w:jc w:val="left"/>
        <w:rPr>
          <w:rFonts w:ascii="宋体" w:hAnsi="宋体" w:cs="宋体" w:eastAsia="宋体" w:hint="default"/>
        </w:rPr>
        <w:sectPr>
          <w:type w:val="continuous"/>
          <w:pgSz w:w="11910" w:h="16840"/>
          <w:pgMar w:top="1580" w:bottom="280" w:left="1040" w:right="1560"/>
        </w:sectPr>
      </w:pPr>
    </w:p>
    <w:p>
      <w:pPr>
        <w:spacing w:line="240" w:lineRule="auto" w:before="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pgSz w:w="11910" w:h="16840"/>
          <w:pgMar w:header="0" w:footer="974" w:top="1140" w:bottom="1160" w:left="1060" w:right="1560"/>
        </w:sectPr>
      </w:pPr>
    </w:p>
    <w:p>
      <w:pPr>
        <w:pStyle w:val="Heading3"/>
        <w:spacing w:line="326" w:lineRule="auto" w:before="36"/>
        <w:ind w:left="216" w:right="0"/>
        <w:jc w:val="left"/>
        <w:rPr>
          <w:rFonts w:ascii="宋体" w:hAnsi="宋体" w:cs="宋体" w:eastAsia="宋体" w:hint="default"/>
          <w:b w:val="0"/>
          <w:bCs w:val="0"/>
        </w:rPr>
      </w:pPr>
      <w:r>
        <w:rPr>
          <w:rFonts w:ascii="宋体" w:hAnsi="宋体" w:cs="宋体" w:eastAsia="宋体" w:hint="default"/>
        </w:rPr>
        <w:t>77</w:t>
      </w:r>
      <w:r>
        <w:rPr/>
        <w:t>、</w:t>
      </w:r>
      <w:r>
        <w:rPr>
          <w:spacing w:val="-24"/>
        </w:rPr>
        <w:t> </w:t>
      </w:r>
      <w:r>
        <w:rPr/>
        <w:t>现金流量表补充资料</w:t>
      </w:r>
      <w:r>
        <w:rPr>
          <w:w w:val="100"/>
        </w:rPr>
        <w:t> </w:t>
      </w:r>
      <w:r>
        <w:rPr>
          <w:rFonts w:ascii="宋体" w:hAnsi="宋体" w:cs="宋体" w:eastAsia="宋体" w:hint="default"/>
        </w:rPr>
        <w:t>(1).</w:t>
      </w:r>
      <w:r>
        <w:rPr/>
        <w:t>现金流量表补充资料</w:t>
      </w:r>
      <w:r>
        <w:rPr>
          <w:rFonts w:ascii="宋体" w:hAnsi="宋体" w:cs="宋体" w:eastAsia="宋体" w:hint="default"/>
          <w:w w:val="99"/>
        </w:rPr>
        <w:t> </w:t>
      </w:r>
      <w:r>
        <w:rPr>
          <w:rFonts w:ascii="宋体" w:hAnsi="宋体" w:cs="宋体" w:eastAsia="宋体" w:hint="default"/>
          <w:b w:val="0"/>
          <w:bCs w:val="0"/>
        </w:rPr>
      </w:r>
    </w:p>
    <w:p>
      <w:pPr>
        <w:pStyle w:val="Heading2"/>
        <w:spacing w:line="308" w:lineRule="exact"/>
        <w:ind w:left="216" w:right="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3"/>
          <w:szCs w:val="23"/>
        </w:rPr>
      </w:pPr>
    </w:p>
    <w:p>
      <w:pPr>
        <w:pStyle w:val="BodyText"/>
        <w:spacing w:line="240" w:lineRule="auto"/>
        <w:ind w:left="216" w:right="0"/>
        <w:jc w:val="left"/>
        <w:rPr>
          <w:rFonts w:ascii="宋体" w:hAnsi="宋体" w:cs="宋体" w:eastAsia="宋体" w:hint="default"/>
        </w:rPr>
      </w:pPr>
      <w:r>
        <w:rPr/>
        <w:t>单位：元币种：人民币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580" w:bottom="280" w:left="1060" w:right="1560"/>
          <w:cols w:num="2" w:equalWidth="0">
            <w:col w:w="2649" w:space="4084"/>
            <w:col w:w="2557"/>
          </w:cols>
        </w:sectPr>
      </w:pPr>
    </w:p>
    <w:p>
      <w:pPr>
        <w:spacing w:line="240" w:lineRule="auto" w:before="10"/>
        <w:rPr>
          <w:rFonts w:ascii="宋体" w:hAnsi="宋体" w:cs="宋体" w:eastAsia="宋体" w:hint="default"/>
          <w:sz w:val="3"/>
          <w:szCs w:val="3"/>
        </w:rPr>
      </w:pPr>
    </w:p>
    <w:tbl>
      <w:tblPr>
        <w:tblW w:w="0" w:type="auto"/>
        <w:jc w:val="left"/>
        <w:tblInd w:w="103" w:type="dxa"/>
        <w:tblLayout w:type="fixed"/>
        <w:tblCellMar>
          <w:top w:w="0" w:type="dxa"/>
          <w:left w:w="0" w:type="dxa"/>
          <w:bottom w:w="0" w:type="dxa"/>
          <w:right w:w="0" w:type="dxa"/>
        </w:tblCellMar>
        <w:tblLook w:val="01E0"/>
      </w:tblPr>
      <w:tblGrid>
        <w:gridCol w:w="4079"/>
        <w:gridCol w:w="2693"/>
        <w:gridCol w:w="2278"/>
      </w:tblGrid>
      <w:tr>
        <w:trPr>
          <w:trHeight w:val="322" w:hRule="exact"/>
        </w:trPr>
        <w:tc>
          <w:tcPr>
            <w:tcW w:w="407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center"/>
              <w:rPr>
                <w:rFonts w:ascii="宋体" w:hAnsi="宋体" w:cs="宋体" w:eastAsia="宋体" w:hint="default"/>
                <w:sz w:val="21"/>
                <w:szCs w:val="21"/>
              </w:rPr>
            </w:pPr>
            <w:r>
              <w:rPr>
                <w:rFonts w:ascii="宋体" w:hAnsi="宋体" w:cs="宋体" w:eastAsia="宋体" w:hint="default"/>
                <w:sz w:val="21"/>
                <w:szCs w:val="21"/>
              </w:rPr>
              <w:t>补充资料</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919" w:right="0"/>
              <w:jc w:val="left"/>
              <w:rPr>
                <w:rFonts w:ascii="宋体" w:hAnsi="宋体" w:cs="宋体" w:eastAsia="宋体" w:hint="default"/>
                <w:sz w:val="21"/>
                <w:szCs w:val="21"/>
              </w:rPr>
            </w:pPr>
            <w:r>
              <w:rPr>
                <w:rFonts w:ascii="宋体" w:hAnsi="宋体" w:cs="宋体" w:eastAsia="宋体" w:hint="default"/>
                <w:sz w:val="21"/>
                <w:szCs w:val="21"/>
              </w:rPr>
              <w:t>本期金额</w:t>
            </w:r>
            <w:r>
              <w:rPr>
                <w:rFonts w:ascii="宋体" w:hAnsi="宋体" w:cs="宋体" w:eastAsia="宋体" w:hint="default"/>
                <w:sz w:val="21"/>
                <w:szCs w:val="21"/>
              </w:rPr>
              <w:t> </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15" w:right="0"/>
              <w:jc w:val="left"/>
              <w:rPr>
                <w:rFonts w:ascii="宋体" w:hAnsi="宋体" w:cs="宋体" w:eastAsia="宋体" w:hint="default"/>
                <w:sz w:val="21"/>
                <w:szCs w:val="21"/>
              </w:rPr>
            </w:pPr>
            <w:r>
              <w:rPr>
                <w:rFonts w:ascii="宋体" w:hAnsi="宋体" w:cs="宋体" w:eastAsia="宋体" w:hint="default"/>
                <w:sz w:val="21"/>
                <w:szCs w:val="21"/>
              </w:rPr>
              <w:t>上期金额</w:t>
            </w:r>
            <w:r>
              <w:rPr>
                <w:rFonts w:ascii="宋体" w:hAnsi="宋体" w:cs="宋体" w:eastAsia="宋体" w:hint="default"/>
                <w:sz w:val="21"/>
                <w:szCs w:val="21"/>
              </w:rPr>
              <w:t> </w:t>
            </w:r>
          </w:p>
        </w:tc>
      </w:tr>
      <w:tr>
        <w:trPr>
          <w:trHeight w:val="322" w:hRule="exact"/>
        </w:trPr>
        <w:tc>
          <w:tcPr>
            <w:tcW w:w="407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z w:val="21"/>
                <w:szCs w:val="21"/>
              </w:rPr>
              <w:t>．将净利润调节为经营活动现金流量：</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sz w:val="24"/>
              </w:rPr>
              <w:t> </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b/>
                <w:w w:val="99"/>
                <w:sz w:val="21"/>
              </w:rPr>
              <w:t> </w:t>
            </w:r>
            <w:r>
              <w:rPr>
                <w:rFonts w:ascii="宋体"/>
                <w:sz w:val="21"/>
              </w:rPr>
            </w:r>
          </w:p>
        </w:tc>
      </w:tr>
      <w:tr>
        <w:trPr>
          <w:trHeight w:val="322" w:hRule="exact"/>
        </w:trPr>
        <w:tc>
          <w:tcPr>
            <w:tcW w:w="407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净利润</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703,460,342.74</w:t>
            </w:r>
            <w:r>
              <w:rPr>
                <w:rFonts w:ascii="宋体"/>
                <w:sz w:val="21"/>
              </w:rPr>
              <w:t> </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right"/>
              <w:rPr>
                <w:rFonts w:ascii="宋体" w:hAnsi="宋体" w:cs="宋体" w:eastAsia="宋体" w:hint="default"/>
                <w:sz w:val="21"/>
                <w:szCs w:val="21"/>
              </w:rPr>
            </w:pPr>
            <w:r>
              <w:rPr>
                <w:rFonts w:ascii="宋体"/>
                <w:spacing w:val="-1"/>
                <w:sz w:val="21"/>
              </w:rPr>
              <w:t>782,158,814.17</w:t>
            </w:r>
            <w:r>
              <w:rPr>
                <w:rFonts w:ascii="宋体"/>
                <w:sz w:val="21"/>
              </w:rPr>
              <w:t> </w:t>
            </w:r>
          </w:p>
        </w:tc>
      </w:tr>
      <w:tr>
        <w:trPr>
          <w:trHeight w:val="324" w:hRule="exact"/>
        </w:trPr>
        <w:tc>
          <w:tcPr>
            <w:tcW w:w="407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加：资产减值准备</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
              <w:jc w:val="right"/>
              <w:rPr>
                <w:rFonts w:ascii="宋体" w:hAnsi="宋体" w:cs="宋体" w:eastAsia="宋体" w:hint="default"/>
                <w:sz w:val="21"/>
                <w:szCs w:val="21"/>
              </w:rPr>
            </w:pPr>
            <w:r>
              <w:rPr>
                <w:rFonts w:ascii="宋体"/>
                <w:spacing w:val="-1"/>
                <w:sz w:val="21"/>
              </w:rPr>
              <w:t>51,272.43</w:t>
            </w:r>
            <w:r>
              <w:rPr>
                <w:rFonts w:ascii="宋体"/>
                <w:sz w:val="21"/>
              </w:rPr>
              <w:t> </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5"/>
              <w:jc w:val="right"/>
              <w:rPr>
                <w:rFonts w:ascii="宋体" w:hAnsi="宋体" w:cs="宋体" w:eastAsia="宋体" w:hint="default"/>
                <w:sz w:val="21"/>
                <w:szCs w:val="21"/>
              </w:rPr>
            </w:pPr>
            <w:r>
              <w:rPr>
                <w:rFonts w:ascii="宋体"/>
                <w:spacing w:val="-1"/>
                <w:sz w:val="21"/>
              </w:rPr>
              <w:t>13,623,504.45</w:t>
            </w:r>
            <w:r>
              <w:rPr>
                <w:rFonts w:ascii="宋体"/>
                <w:sz w:val="21"/>
              </w:rPr>
              <w:t> </w:t>
            </w:r>
          </w:p>
        </w:tc>
      </w:tr>
      <w:tr>
        <w:trPr>
          <w:trHeight w:val="634" w:hRule="exact"/>
        </w:trPr>
        <w:tc>
          <w:tcPr>
            <w:tcW w:w="407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78"/>
              <w:jc w:val="left"/>
              <w:rPr>
                <w:rFonts w:ascii="宋体" w:hAnsi="宋体" w:cs="宋体" w:eastAsia="宋体" w:hint="default"/>
                <w:sz w:val="21"/>
                <w:szCs w:val="21"/>
              </w:rPr>
            </w:pPr>
            <w:r>
              <w:rPr>
                <w:rFonts w:ascii="宋体" w:hAnsi="宋体" w:cs="宋体" w:eastAsia="宋体" w:hint="default"/>
                <w:spacing w:val="-2"/>
                <w:sz w:val="21"/>
                <w:szCs w:val="21"/>
              </w:rPr>
              <w:t>固定资产折旧、油气资产折耗、生产性生</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物资产折旧</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
              <w:jc w:val="right"/>
              <w:rPr>
                <w:rFonts w:ascii="宋体" w:hAnsi="宋体" w:cs="宋体" w:eastAsia="宋体" w:hint="default"/>
                <w:sz w:val="21"/>
                <w:szCs w:val="21"/>
              </w:rPr>
            </w:pPr>
            <w:r>
              <w:rPr>
                <w:rFonts w:ascii="宋体"/>
                <w:spacing w:val="-1"/>
                <w:sz w:val="21"/>
              </w:rPr>
              <w:t>425,169,243.64</w:t>
            </w:r>
            <w:r>
              <w:rPr>
                <w:rFonts w:ascii="宋体"/>
                <w:sz w:val="21"/>
              </w:rPr>
              <w:t> </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5"/>
              <w:jc w:val="right"/>
              <w:rPr>
                <w:rFonts w:ascii="宋体" w:hAnsi="宋体" w:cs="宋体" w:eastAsia="宋体" w:hint="default"/>
                <w:sz w:val="21"/>
                <w:szCs w:val="21"/>
              </w:rPr>
            </w:pPr>
            <w:r>
              <w:rPr>
                <w:rFonts w:ascii="宋体"/>
                <w:spacing w:val="-1"/>
                <w:sz w:val="21"/>
              </w:rPr>
              <w:t>386,861,617.04</w:t>
            </w:r>
            <w:r>
              <w:rPr>
                <w:rFonts w:ascii="宋体"/>
                <w:sz w:val="21"/>
              </w:rPr>
              <w:t> </w:t>
            </w:r>
          </w:p>
        </w:tc>
      </w:tr>
      <w:tr>
        <w:trPr>
          <w:trHeight w:val="322" w:hRule="exact"/>
        </w:trPr>
        <w:tc>
          <w:tcPr>
            <w:tcW w:w="407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使用权资产摊销</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right"/>
              <w:rPr>
                <w:rFonts w:ascii="宋体" w:hAnsi="宋体" w:cs="宋体" w:eastAsia="宋体" w:hint="default"/>
                <w:sz w:val="21"/>
                <w:szCs w:val="21"/>
              </w:rPr>
            </w:pPr>
            <w:r>
              <w:rPr>
                <w:rFonts w:ascii="宋体"/>
                <w:w w:val="100"/>
                <w:sz w:val="21"/>
              </w:rPr>
              <w:t> </w:t>
            </w:r>
          </w:p>
        </w:tc>
      </w:tr>
      <w:tr>
        <w:trPr>
          <w:trHeight w:val="322" w:hRule="exact"/>
        </w:trPr>
        <w:tc>
          <w:tcPr>
            <w:tcW w:w="4079"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3" w:right="0"/>
              <w:jc w:val="left"/>
              <w:rPr>
                <w:rFonts w:ascii="宋体" w:hAnsi="宋体" w:cs="宋体" w:eastAsia="宋体" w:hint="default"/>
                <w:sz w:val="21"/>
                <w:szCs w:val="21"/>
              </w:rPr>
            </w:pPr>
            <w:r>
              <w:rPr>
                <w:rFonts w:ascii="宋体" w:hAnsi="宋体" w:cs="宋体" w:eastAsia="宋体" w:hint="default"/>
                <w:sz w:val="21"/>
                <w:szCs w:val="21"/>
              </w:rPr>
              <w:t>无形资产摊销</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1"/>
              <w:jc w:val="right"/>
              <w:rPr>
                <w:rFonts w:ascii="宋体" w:hAnsi="宋体" w:cs="宋体" w:eastAsia="宋体" w:hint="default"/>
                <w:sz w:val="21"/>
                <w:szCs w:val="21"/>
              </w:rPr>
            </w:pPr>
            <w:r>
              <w:rPr>
                <w:rFonts w:ascii="宋体"/>
                <w:spacing w:val="-1"/>
                <w:sz w:val="21"/>
              </w:rPr>
              <w:t>8,188,238.80</w:t>
            </w:r>
            <w:r>
              <w:rPr>
                <w:rFonts w:ascii="宋体"/>
                <w:sz w:val="21"/>
              </w:rPr>
              <w:t> </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5"/>
              <w:jc w:val="right"/>
              <w:rPr>
                <w:rFonts w:ascii="宋体" w:hAnsi="宋体" w:cs="宋体" w:eastAsia="宋体" w:hint="default"/>
                <w:sz w:val="21"/>
                <w:szCs w:val="21"/>
              </w:rPr>
            </w:pPr>
            <w:r>
              <w:rPr>
                <w:rFonts w:ascii="宋体"/>
                <w:spacing w:val="-1"/>
                <w:sz w:val="21"/>
              </w:rPr>
              <w:t>6,601,532.48</w:t>
            </w:r>
            <w:r>
              <w:rPr>
                <w:rFonts w:ascii="宋体"/>
                <w:sz w:val="21"/>
              </w:rPr>
              <w:t> </w:t>
            </w:r>
          </w:p>
        </w:tc>
      </w:tr>
      <w:tr>
        <w:trPr>
          <w:trHeight w:val="322" w:hRule="exact"/>
        </w:trPr>
        <w:tc>
          <w:tcPr>
            <w:tcW w:w="407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长期待摊费用摊销</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27,670,804.49</w:t>
            </w:r>
            <w:r>
              <w:rPr>
                <w:rFonts w:ascii="宋体"/>
                <w:sz w:val="21"/>
              </w:rPr>
              <w:t> </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right"/>
              <w:rPr>
                <w:rFonts w:ascii="宋体" w:hAnsi="宋体" w:cs="宋体" w:eastAsia="宋体" w:hint="default"/>
                <w:sz w:val="21"/>
                <w:szCs w:val="21"/>
              </w:rPr>
            </w:pPr>
            <w:r>
              <w:rPr>
                <w:rFonts w:ascii="宋体"/>
                <w:spacing w:val="-1"/>
                <w:sz w:val="21"/>
              </w:rPr>
              <w:t>28,743,245.19</w:t>
            </w:r>
            <w:r>
              <w:rPr>
                <w:rFonts w:ascii="宋体"/>
                <w:sz w:val="21"/>
              </w:rPr>
              <w:t> </w:t>
            </w:r>
          </w:p>
        </w:tc>
      </w:tr>
      <w:tr>
        <w:trPr>
          <w:trHeight w:val="634" w:hRule="exact"/>
        </w:trPr>
        <w:tc>
          <w:tcPr>
            <w:tcW w:w="407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78"/>
              <w:jc w:val="left"/>
              <w:rPr>
                <w:rFonts w:ascii="宋体" w:hAnsi="宋体" w:cs="宋体" w:eastAsia="宋体" w:hint="default"/>
                <w:sz w:val="21"/>
                <w:szCs w:val="21"/>
              </w:rPr>
            </w:pPr>
            <w:r>
              <w:rPr>
                <w:rFonts w:ascii="宋体" w:hAnsi="宋体" w:cs="宋体" w:eastAsia="宋体" w:hint="default"/>
                <w:spacing w:val="-2"/>
                <w:sz w:val="21"/>
                <w:szCs w:val="21"/>
              </w:rPr>
              <w:t>处置固定资产、无形资产和其他长期资产</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的损失（收益以“－”号填列）</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
              <w:jc w:val="right"/>
              <w:rPr>
                <w:rFonts w:ascii="宋体" w:hAnsi="宋体" w:cs="宋体" w:eastAsia="宋体" w:hint="default"/>
                <w:sz w:val="21"/>
                <w:szCs w:val="21"/>
              </w:rPr>
            </w:pPr>
            <w:r>
              <w:rPr>
                <w:rFonts w:ascii="宋体"/>
                <w:spacing w:val="-1"/>
                <w:sz w:val="21"/>
              </w:rPr>
              <w:t>17,846,496.98</w:t>
            </w:r>
            <w:r>
              <w:rPr>
                <w:rFonts w:ascii="宋体"/>
                <w:sz w:val="21"/>
              </w:rPr>
              <w:t> </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5"/>
              <w:jc w:val="right"/>
              <w:rPr>
                <w:rFonts w:ascii="宋体" w:hAnsi="宋体" w:cs="宋体" w:eastAsia="宋体" w:hint="default"/>
                <w:sz w:val="21"/>
                <w:szCs w:val="21"/>
              </w:rPr>
            </w:pPr>
            <w:r>
              <w:rPr>
                <w:rFonts w:ascii="宋体"/>
                <w:spacing w:val="-1"/>
                <w:sz w:val="21"/>
              </w:rPr>
              <w:t>651,082.13</w:t>
            </w:r>
            <w:r>
              <w:rPr>
                <w:rFonts w:ascii="宋体"/>
                <w:sz w:val="21"/>
              </w:rPr>
              <w:t> </w:t>
            </w:r>
          </w:p>
        </w:tc>
      </w:tr>
      <w:tr>
        <w:trPr>
          <w:trHeight w:val="324" w:hRule="exact"/>
        </w:trPr>
        <w:tc>
          <w:tcPr>
            <w:tcW w:w="407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3"/>
              <w:jc w:val="left"/>
              <w:rPr>
                <w:rFonts w:ascii="宋体" w:hAnsi="宋体" w:cs="宋体" w:eastAsia="宋体" w:hint="default"/>
                <w:sz w:val="21"/>
                <w:szCs w:val="21"/>
              </w:rPr>
            </w:pPr>
            <w:r>
              <w:rPr>
                <w:rFonts w:ascii="宋体" w:hAnsi="宋体" w:cs="宋体" w:eastAsia="宋体" w:hint="default"/>
                <w:w w:val="100"/>
                <w:sz w:val="21"/>
                <w:szCs w:val="21"/>
              </w:rPr>
              <w:t>固定</w:t>
            </w:r>
            <w:r>
              <w:rPr>
                <w:rFonts w:ascii="宋体" w:hAnsi="宋体" w:cs="宋体" w:eastAsia="宋体" w:hint="default"/>
                <w:spacing w:val="-3"/>
                <w:w w:val="100"/>
                <w:sz w:val="21"/>
                <w:szCs w:val="21"/>
              </w:rPr>
              <w:t>资</w:t>
            </w:r>
            <w:r>
              <w:rPr>
                <w:rFonts w:ascii="宋体" w:hAnsi="宋体" w:cs="宋体" w:eastAsia="宋体" w:hint="default"/>
                <w:w w:val="100"/>
                <w:sz w:val="21"/>
                <w:szCs w:val="21"/>
              </w:rPr>
              <w:t>产</w:t>
            </w:r>
            <w:r>
              <w:rPr>
                <w:rFonts w:ascii="宋体" w:hAnsi="宋体" w:cs="宋体" w:eastAsia="宋体" w:hint="default"/>
                <w:spacing w:val="-3"/>
                <w:w w:val="100"/>
                <w:sz w:val="21"/>
                <w:szCs w:val="21"/>
              </w:rPr>
              <w:t>报</w:t>
            </w:r>
            <w:r>
              <w:rPr>
                <w:rFonts w:ascii="宋体" w:hAnsi="宋体" w:cs="宋体" w:eastAsia="宋体" w:hint="default"/>
                <w:w w:val="100"/>
                <w:sz w:val="21"/>
                <w:szCs w:val="21"/>
              </w:rPr>
              <w:t>废</w:t>
            </w:r>
            <w:r>
              <w:rPr>
                <w:rFonts w:ascii="宋体" w:hAnsi="宋体" w:cs="宋体" w:eastAsia="宋体" w:hint="default"/>
                <w:spacing w:val="-3"/>
                <w:w w:val="100"/>
                <w:sz w:val="21"/>
                <w:szCs w:val="21"/>
              </w:rPr>
              <w:t>损</w:t>
            </w:r>
            <w:r>
              <w:rPr>
                <w:rFonts w:ascii="宋体" w:hAnsi="宋体" w:cs="宋体" w:eastAsia="宋体" w:hint="default"/>
                <w:spacing w:val="-25"/>
                <w:w w:val="100"/>
                <w:sz w:val="21"/>
                <w:szCs w:val="21"/>
              </w:rPr>
              <w:t>失</w:t>
            </w:r>
            <w:r>
              <w:rPr>
                <w:rFonts w:ascii="宋体" w:hAnsi="宋体" w:cs="宋体" w:eastAsia="宋体" w:hint="default"/>
                <w:spacing w:val="-3"/>
                <w:w w:val="100"/>
                <w:sz w:val="21"/>
                <w:szCs w:val="21"/>
              </w:rPr>
              <w:t>（</w:t>
            </w:r>
            <w:r>
              <w:rPr>
                <w:rFonts w:ascii="宋体" w:hAnsi="宋体" w:cs="宋体" w:eastAsia="宋体" w:hint="default"/>
                <w:w w:val="100"/>
                <w:sz w:val="21"/>
                <w:szCs w:val="21"/>
              </w:rPr>
              <w:t>收</w:t>
            </w:r>
            <w:r>
              <w:rPr>
                <w:rFonts w:ascii="宋体" w:hAnsi="宋体" w:cs="宋体" w:eastAsia="宋体" w:hint="default"/>
                <w:spacing w:val="-3"/>
                <w:w w:val="100"/>
                <w:sz w:val="21"/>
                <w:szCs w:val="21"/>
              </w:rPr>
              <w:t>益</w:t>
            </w:r>
            <w:r>
              <w:rPr>
                <w:rFonts w:ascii="宋体" w:hAnsi="宋体" w:cs="宋体" w:eastAsia="宋体" w:hint="default"/>
                <w:w w:val="100"/>
                <w:sz w:val="21"/>
                <w:szCs w:val="21"/>
              </w:rPr>
              <w:t>以“</w:t>
            </w:r>
            <w:r>
              <w:rPr>
                <w:rFonts w:ascii="宋体" w:hAnsi="宋体" w:cs="宋体" w:eastAsia="宋体" w:hint="default"/>
                <w:spacing w:val="-3"/>
                <w:w w:val="100"/>
                <w:sz w:val="21"/>
                <w:szCs w:val="21"/>
              </w:rPr>
              <w:t>－</w:t>
            </w:r>
            <w:r>
              <w:rPr>
                <w:rFonts w:ascii="宋体" w:hAnsi="宋体" w:cs="宋体" w:eastAsia="宋体" w:hint="default"/>
                <w:w w:val="100"/>
                <w:sz w:val="21"/>
                <w:szCs w:val="21"/>
              </w:rPr>
              <w:t>”</w:t>
            </w:r>
            <w:r>
              <w:rPr>
                <w:rFonts w:ascii="宋体" w:hAnsi="宋体" w:cs="宋体" w:eastAsia="宋体" w:hint="default"/>
                <w:spacing w:val="-3"/>
                <w:w w:val="100"/>
                <w:sz w:val="21"/>
                <w:szCs w:val="21"/>
              </w:rPr>
              <w:t>号</w:t>
            </w:r>
            <w:r>
              <w:rPr>
                <w:rFonts w:ascii="宋体" w:hAnsi="宋体" w:cs="宋体" w:eastAsia="宋体" w:hint="default"/>
                <w:w w:val="100"/>
                <w:sz w:val="21"/>
                <w:szCs w:val="21"/>
              </w:rPr>
              <w:t>填</w:t>
            </w:r>
            <w:r>
              <w:rPr>
                <w:rFonts w:ascii="宋体" w:hAnsi="宋体" w:cs="宋体" w:eastAsia="宋体" w:hint="default"/>
                <w:spacing w:val="-3"/>
                <w:w w:val="100"/>
                <w:sz w:val="21"/>
                <w:szCs w:val="21"/>
              </w:rPr>
              <w:t>列</w:t>
            </w:r>
            <w:r>
              <w:rPr>
                <w:rFonts w:ascii="宋体" w:hAnsi="宋体" w:cs="宋体" w:eastAsia="宋体" w:hint="default"/>
                <w:spacing w:val="-109"/>
                <w:w w:val="100"/>
                <w:sz w:val="21"/>
                <w:szCs w:val="21"/>
              </w:rPr>
              <w:t>）</w:t>
            </w:r>
            <w:r>
              <w:rPr>
                <w:rFonts w:ascii="宋体" w:hAnsi="宋体" w:cs="宋体" w:eastAsia="宋体" w:hint="default"/>
                <w:w w:val="100"/>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
              <w:jc w:val="right"/>
              <w:rPr>
                <w:rFonts w:ascii="宋体" w:hAnsi="宋体" w:cs="宋体" w:eastAsia="宋体" w:hint="default"/>
                <w:sz w:val="21"/>
                <w:szCs w:val="21"/>
              </w:rPr>
            </w:pPr>
            <w:r>
              <w:rPr>
                <w:rFonts w:ascii="宋体"/>
                <w:w w:val="100"/>
                <w:sz w:val="21"/>
              </w:rPr>
              <w:t> </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5"/>
              <w:jc w:val="right"/>
              <w:rPr>
                <w:rFonts w:ascii="宋体" w:hAnsi="宋体" w:cs="宋体" w:eastAsia="宋体" w:hint="default"/>
                <w:sz w:val="21"/>
                <w:szCs w:val="21"/>
              </w:rPr>
            </w:pPr>
            <w:r>
              <w:rPr>
                <w:rFonts w:ascii="宋体"/>
                <w:w w:val="100"/>
                <w:sz w:val="21"/>
              </w:rPr>
              <w:t> </w:t>
            </w:r>
          </w:p>
        </w:tc>
      </w:tr>
      <w:tr>
        <w:trPr>
          <w:trHeight w:val="322" w:hRule="exact"/>
        </w:trPr>
        <w:tc>
          <w:tcPr>
            <w:tcW w:w="407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3"/>
              <w:jc w:val="left"/>
              <w:rPr>
                <w:rFonts w:ascii="宋体" w:hAnsi="宋体" w:cs="宋体" w:eastAsia="宋体" w:hint="default"/>
                <w:sz w:val="21"/>
                <w:szCs w:val="21"/>
              </w:rPr>
            </w:pPr>
            <w:r>
              <w:rPr>
                <w:rFonts w:ascii="宋体" w:hAnsi="宋体" w:cs="宋体" w:eastAsia="宋体" w:hint="default"/>
                <w:w w:val="100"/>
                <w:sz w:val="21"/>
                <w:szCs w:val="21"/>
              </w:rPr>
              <w:t>公允</w:t>
            </w:r>
            <w:r>
              <w:rPr>
                <w:rFonts w:ascii="宋体" w:hAnsi="宋体" w:cs="宋体" w:eastAsia="宋体" w:hint="default"/>
                <w:spacing w:val="-3"/>
                <w:w w:val="100"/>
                <w:sz w:val="21"/>
                <w:szCs w:val="21"/>
              </w:rPr>
              <w:t>价</w:t>
            </w:r>
            <w:r>
              <w:rPr>
                <w:rFonts w:ascii="宋体" w:hAnsi="宋体" w:cs="宋体" w:eastAsia="宋体" w:hint="default"/>
                <w:w w:val="100"/>
                <w:sz w:val="21"/>
                <w:szCs w:val="21"/>
              </w:rPr>
              <w:t>值</w:t>
            </w:r>
            <w:r>
              <w:rPr>
                <w:rFonts w:ascii="宋体" w:hAnsi="宋体" w:cs="宋体" w:eastAsia="宋体" w:hint="default"/>
                <w:spacing w:val="-3"/>
                <w:w w:val="100"/>
                <w:sz w:val="21"/>
                <w:szCs w:val="21"/>
              </w:rPr>
              <w:t>变</w:t>
            </w:r>
            <w:r>
              <w:rPr>
                <w:rFonts w:ascii="宋体" w:hAnsi="宋体" w:cs="宋体" w:eastAsia="宋体" w:hint="default"/>
                <w:w w:val="100"/>
                <w:sz w:val="21"/>
                <w:szCs w:val="21"/>
              </w:rPr>
              <w:t>动</w:t>
            </w:r>
            <w:r>
              <w:rPr>
                <w:rFonts w:ascii="宋体" w:hAnsi="宋体" w:cs="宋体" w:eastAsia="宋体" w:hint="default"/>
                <w:spacing w:val="-3"/>
                <w:w w:val="100"/>
                <w:sz w:val="21"/>
                <w:szCs w:val="21"/>
              </w:rPr>
              <w:t>损</w:t>
            </w:r>
            <w:r>
              <w:rPr>
                <w:rFonts w:ascii="宋体" w:hAnsi="宋体" w:cs="宋体" w:eastAsia="宋体" w:hint="default"/>
                <w:spacing w:val="-25"/>
                <w:w w:val="100"/>
                <w:sz w:val="21"/>
                <w:szCs w:val="21"/>
              </w:rPr>
              <w:t>失</w:t>
            </w:r>
            <w:r>
              <w:rPr>
                <w:rFonts w:ascii="宋体" w:hAnsi="宋体" w:cs="宋体" w:eastAsia="宋体" w:hint="default"/>
                <w:spacing w:val="-3"/>
                <w:w w:val="100"/>
                <w:sz w:val="21"/>
                <w:szCs w:val="21"/>
              </w:rPr>
              <w:t>（</w:t>
            </w:r>
            <w:r>
              <w:rPr>
                <w:rFonts w:ascii="宋体" w:hAnsi="宋体" w:cs="宋体" w:eastAsia="宋体" w:hint="default"/>
                <w:w w:val="100"/>
                <w:sz w:val="21"/>
                <w:szCs w:val="21"/>
              </w:rPr>
              <w:t>收</w:t>
            </w:r>
            <w:r>
              <w:rPr>
                <w:rFonts w:ascii="宋体" w:hAnsi="宋体" w:cs="宋体" w:eastAsia="宋体" w:hint="default"/>
                <w:spacing w:val="-3"/>
                <w:w w:val="100"/>
                <w:sz w:val="21"/>
                <w:szCs w:val="21"/>
              </w:rPr>
              <w:t>益</w:t>
            </w:r>
            <w:r>
              <w:rPr>
                <w:rFonts w:ascii="宋体" w:hAnsi="宋体" w:cs="宋体" w:eastAsia="宋体" w:hint="default"/>
                <w:w w:val="100"/>
                <w:sz w:val="21"/>
                <w:szCs w:val="21"/>
              </w:rPr>
              <w:t>以“</w:t>
            </w:r>
            <w:r>
              <w:rPr>
                <w:rFonts w:ascii="宋体" w:hAnsi="宋体" w:cs="宋体" w:eastAsia="宋体" w:hint="default"/>
                <w:spacing w:val="-3"/>
                <w:w w:val="100"/>
                <w:sz w:val="21"/>
                <w:szCs w:val="21"/>
              </w:rPr>
              <w:t>－</w:t>
            </w:r>
            <w:r>
              <w:rPr>
                <w:rFonts w:ascii="宋体" w:hAnsi="宋体" w:cs="宋体" w:eastAsia="宋体" w:hint="default"/>
                <w:w w:val="100"/>
                <w:sz w:val="21"/>
                <w:szCs w:val="21"/>
              </w:rPr>
              <w:t>”</w:t>
            </w:r>
            <w:r>
              <w:rPr>
                <w:rFonts w:ascii="宋体" w:hAnsi="宋体" w:cs="宋体" w:eastAsia="宋体" w:hint="default"/>
                <w:spacing w:val="-3"/>
                <w:w w:val="100"/>
                <w:sz w:val="21"/>
                <w:szCs w:val="21"/>
              </w:rPr>
              <w:t>号</w:t>
            </w:r>
            <w:r>
              <w:rPr>
                <w:rFonts w:ascii="宋体" w:hAnsi="宋体" w:cs="宋体" w:eastAsia="宋体" w:hint="default"/>
                <w:w w:val="100"/>
                <w:sz w:val="21"/>
                <w:szCs w:val="21"/>
              </w:rPr>
              <w:t>填</w:t>
            </w:r>
            <w:r>
              <w:rPr>
                <w:rFonts w:ascii="宋体" w:hAnsi="宋体" w:cs="宋体" w:eastAsia="宋体" w:hint="default"/>
                <w:spacing w:val="-3"/>
                <w:w w:val="100"/>
                <w:sz w:val="21"/>
                <w:szCs w:val="21"/>
              </w:rPr>
              <w:t>列</w:t>
            </w:r>
            <w:r>
              <w:rPr>
                <w:rFonts w:ascii="宋体" w:hAnsi="宋体" w:cs="宋体" w:eastAsia="宋体" w:hint="default"/>
                <w:spacing w:val="-109"/>
                <w:w w:val="100"/>
                <w:sz w:val="21"/>
                <w:szCs w:val="21"/>
              </w:rPr>
              <w:t>）</w:t>
            </w:r>
            <w:r>
              <w:rPr>
                <w:rFonts w:ascii="宋体" w:hAnsi="宋体" w:cs="宋体" w:eastAsia="宋体" w:hint="default"/>
                <w:w w:val="100"/>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right"/>
              <w:rPr>
                <w:rFonts w:ascii="宋体" w:hAnsi="宋体" w:cs="宋体" w:eastAsia="宋体" w:hint="default"/>
                <w:sz w:val="21"/>
                <w:szCs w:val="21"/>
              </w:rPr>
            </w:pPr>
            <w:r>
              <w:rPr>
                <w:rFonts w:ascii="宋体"/>
                <w:w w:val="100"/>
                <w:sz w:val="21"/>
              </w:rPr>
              <w:t> </w:t>
            </w:r>
          </w:p>
        </w:tc>
      </w:tr>
      <w:tr>
        <w:trPr>
          <w:trHeight w:val="322" w:hRule="exact"/>
        </w:trPr>
        <w:tc>
          <w:tcPr>
            <w:tcW w:w="407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财务费用（收益以“－”号填列）</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305,608,216.59</w:t>
            </w:r>
            <w:r>
              <w:rPr>
                <w:rFonts w:ascii="宋体"/>
                <w:sz w:val="21"/>
              </w:rPr>
              <w:t> </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right"/>
              <w:rPr>
                <w:rFonts w:ascii="宋体" w:hAnsi="宋体" w:cs="宋体" w:eastAsia="宋体" w:hint="default"/>
                <w:sz w:val="21"/>
                <w:szCs w:val="21"/>
              </w:rPr>
            </w:pPr>
            <w:r>
              <w:rPr>
                <w:rFonts w:ascii="宋体"/>
                <w:spacing w:val="-1"/>
                <w:sz w:val="21"/>
              </w:rPr>
              <w:t>251,445,341.98</w:t>
            </w:r>
            <w:r>
              <w:rPr>
                <w:rFonts w:ascii="宋体"/>
                <w:sz w:val="21"/>
              </w:rPr>
              <w:t> </w:t>
            </w:r>
          </w:p>
        </w:tc>
      </w:tr>
      <w:tr>
        <w:trPr>
          <w:trHeight w:val="322" w:hRule="exact"/>
        </w:trPr>
        <w:tc>
          <w:tcPr>
            <w:tcW w:w="407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投资损失（收益以“－”号填列）</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-81,114,579.38</w:t>
            </w:r>
            <w:r>
              <w:rPr>
                <w:rFonts w:ascii="宋体"/>
                <w:sz w:val="21"/>
              </w:rPr>
              <w:t> </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right"/>
              <w:rPr>
                <w:rFonts w:ascii="宋体" w:hAnsi="宋体" w:cs="宋体" w:eastAsia="宋体" w:hint="default"/>
                <w:sz w:val="21"/>
                <w:szCs w:val="21"/>
              </w:rPr>
            </w:pPr>
            <w:r>
              <w:rPr>
                <w:rFonts w:ascii="宋体"/>
                <w:spacing w:val="-1"/>
                <w:sz w:val="21"/>
              </w:rPr>
              <w:t>-55,804,527.35</w:t>
            </w:r>
            <w:r>
              <w:rPr>
                <w:rFonts w:ascii="宋体"/>
                <w:sz w:val="21"/>
              </w:rPr>
              <w:t> </w:t>
            </w:r>
          </w:p>
        </w:tc>
      </w:tr>
      <w:tr>
        <w:trPr>
          <w:trHeight w:val="634" w:hRule="exact"/>
        </w:trPr>
        <w:tc>
          <w:tcPr>
            <w:tcW w:w="407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79"/>
              <w:jc w:val="left"/>
              <w:rPr>
                <w:rFonts w:ascii="宋体" w:hAnsi="宋体" w:cs="宋体" w:eastAsia="宋体" w:hint="default"/>
                <w:sz w:val="21"/>
                <w:szCs w:val="21"/>
              </w:rPr>
            </w:pPr>
            <w:r>
              <w:rPr>
                <w:rFonts w:ascii="宋体" w:hAnsi="宋体" w:cs="宋体" w:eastAsia="宋体" w:hint="default"/>
                <w:spacing w:val="-2"/>
                <w:sz w:val="21"/>
                <w:szCs w:val="21"/>
              </w:rPr>
              <w:t>递延所得税资产减少（增加以“－”号填</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列）</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
              <w:jc w:val="right"/>
              <w:rPr>
                <w:rFonts w:ascii="宋体" w:hAnsi="宋体" w:cs="宋体" w:eastAsia="宋体" w:hint="default"/>
                <w:sz w:val="21"/>
                <w:szCs w:val="21"/>
              </w:rPr>
            </w:pPr>
            <w:r>
              <w:rPr>
                <w:rFonts w:ascii="宋体"/>
                <w:spacing w:val="-1"/>
                <w:sz w:val="21"/>
              </w:rPr>
              <w:t>-2,186,767.31</w:t>
            </w:r>
            <w:r>
              <w:rPr>
                <w:rFonts w:ascii="宋体"/>
                <w:sz w:val="21"/>
              </w:rPr>
              <w:t> </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5"/>
              <w:jc w:val="right"/>
              <w:rPr>
                <w:rFonts w:ascii="宋体" w:hAnsi="宋体" w:cs="宋体" w:eastAsia="宋体" w:hint="default"/>
                <w:sz w:val="21"/>
                <w:szCs w:val="21"/>
              </w:rPr>
            </w:pPr>
            <w:r>
              <w:rPr>
                <w:rFonts w:ascii="宋体"/>
                <w:spacing w:val="-1"/>
                <w:sz w:val="21"/>
              </w:rPr>
              <w:t>1,917,762.53</w:t>
            </w:r>
            <w:r>
              <w:rPr>
                <w:rFonts w:ascii="宋体"/>
                <w:sz w:val="21"/>
              </w:rPr>
              <w:t> </w:t>
            </w:r>
          </w:p>
        </w:tc>
      </w:tr>
      <w:tr>
        <w:trPr>
          <w:trHeight w:val="634" w:hRule="exact"/>
        </w:trPr>
        <w:tc>
          <w:tcPr>
            <w:tcW w:w="407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79"/>
              <w:jc w:val="left"/>
              <w:rPr>
                <w:rFonts w:ascii="宋体" w:hAnsi="宋体" w:cs="宋体" w:eastAsia="宋体" w:hint="default"/>
                <w:sz w:val="21"/>
                <w:szCs w:val="21"/>
              </w:rPr>
            </w:pPr>
            <w:r>
              <w:rPr>
                <w:rFonts w:ascii="宋体" w:hAnsi="宋体" w:cs="宋体" w:eastAsia="宋体" w:hint="default"/>
                <w:spacing w:val="-2"/>
                <w:sz w:val="21"/>
                <w:szCs w:val="21"/>
              </w:rPr>
              <w:t>递延所得税负债增加（减少以“－”号填</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列）</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
              <w:jc w:val="right"/>
              <w:rPr>
                <w:rFonts w:ascii="宋体" w:hAnsi="宋体" w:cs="宋体" w:eastAsia="宋体" w:hint="default"/>
                <w:sz w:val="21"/>
                <w:szCs w:val="21"/>
              </w:rPr>
            </w:pPr>
            <w:r>
              <w:rPr>
                <w:rFonts w:ascii="宋体"/>
                <w:w w:val="100"/>
                <w:sz w:val="21"/>
              </w:rPr>
              <w:t> </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5"/>
              <w:jc w:val="right"/>
              <w:rPr>
                <w:rFonts w:ascii="宋体" w:hAnsi="宋体" w:cs="宋体" w:eastAsia="宋体" w:hint="default"/>
                <w:sz w:val="21"/>
                <w:szCs w:val="21"/>
              </w:rPr>
            </w:pPr>
            <w:r>
              <w:rPr>
                <w:rFonts w:ascii="宋体"/>
                <w:w w:val="100"/>
                <w:sz w:val="21"/>
              </w:rPr>
              <w:t> </w:t>
            </w:r>
          </w:p>
        </w:tc>
      </w:tr>
      <w:tr>
        <w:trPr>
          <w:trHeight w:val="324" w:hRule="exact"/>
        </w:trPr>
        <w:tc>
          <w:tcPr>
            <w:tcW w:w="407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存货的减少（增加以“－”号填列）</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
              <w:jc w:val="right"/>
              <w:rPr>
                <w:rFonts w:ascii="宋体" w:hAnsi="宋体" w:cs="宋体" w:eastAsia="宋体" w:hint="default"/>
                <w:sz w:val="21"/>
                <w:szCs w:val="21"/>
              </w:rPr>
            </w:pPr>
            <w:r>
              <w:rPr>
                <w:rFonts w:ascii="宋体"/>
                <w:spacing w:val="-1"/>
                <w:sz w:val="21"/>
              </w:rPr>
              <w:t>-340,050,058.32</w:t>
            </w:r>
            <w:r>
              <w:rPr>
                <w:rFonts w:ascii="宋体"/>
                <w:sz w:val="21"/>
              </w:rPr>
              <w:t> </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5"/>
              <w:jc w:val="right"/>
              <w:rPr>
                <w:rFonts w:ascii="宋体" w:hAnsi="宋体" w:cs="宋体" w:eastAsia="宋体" w:hint="default"/>
                <w:sz w:val="21"/>
                <w:szCs w:val="21"/>
              </w:rPr>
            </w:pPr>
            <w:r>
              <w:rPr>
                <w:rFonts w:ascii="宋体"/>
                <w:spacing w:val="-1"/>
                <w:sz w:val="21"/>
              </w:rPr>
              <w:t>-74,091,681.55</w:t>
            </w:r>
            <w:r>
              <w:rPr>
                <w:rFonts w:ascii="宋体"/>
                <w:sz w:val="21"/>
              </w:rPr>
              <w:t> </w:t>
            </w:r>
          </w:p>
        </w:tc>
      </w:tr>
      <w:tr>
        <w:trPr>
          <w:trHeight w:val="634" w:hRule="exact"/>
        </w:trPr>
        <w:tc>
          <w:tcPr>
            <w:tcW w:w="407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79"/>
              <w:jc w:val="left"/>
              <w:rPr>
                <w:rFonts w:ascii="宋体" w:hAnsi="宋体" w:cs="宋体" w:eastAsia="宋体" w:hint="default"/>
                <w:sz w:val="21"/>
                <w:szCs w:val="21"/>
              </w:rPr>
            </w:pPr>
            <w:r>
              <w:rPr>
                <w:rFonts w:ascii="宋体" w:hAnsi="宋体" w:cs="宋体" w:eastAsia="宋体" w:hint="default"/>
                <w:spacing w:val="-2"/>
                <w:sz w:val="21"/>
                <w:szCs w:val="21"/>
              </w:rPr>
              <w:t>经营性应收项目的减少（增加以“－”号</w:t>
            </w:r>
            <w:r>
              <w:rPr>
                <w:rFonts w:ascii="宋体" w:hAnsi="宋体" w:cs="宋体" w:eastAsia="宋体" w:hint="default"/>
                <w:spacing w:val="-68"/>
                <w:sz w:val="21"/>
                <w:szCs w:val="21"/>
              </w:rPr>
              <w:t> </w:t>
            </w:r>
            <w:r>
              <w:rPr>
                <w:rFonts w:ascii="宋体" w:hAnsi="宋体" w:cs="宋体" w:eastAsia="宋体" w:hint="default"/>
                <w:spacing w:val="-68"/>
                <w:sz w:val="21"/>
                <w:szCs w:val="21"/>
              </w:rPr>
            </w:r>
            <w:r>
              <w:rPr>
                <w:rFonts w:ascii="宋体" w:hAnsi="宋体" w:cs="宋体" w:eastAsia="宋体" w:hint="default"/>
                <w:sz w:val="21"/>
                <w:szCs w:val="21"/>
              </w:rPr>
              <w:t>填列）</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
              <w:jc w:val="right"/>
              <w:rPr>
                <w:rFonts w:ascii="宋体" w:hAnsi="宋体" w:cs="宋体" w:eastAsia="宋体" w:hint="default"/>
                <w:sz w:val="21"/>
                <w:szCs w:val="21"/>
              </w:rPr>
            </w:pPr>
            <w:r>
              <w:rPr>
                <w:rFonts w:ascii="宋体"/>
                <w:spacing w:val="-1"/>
                <w:sz w:val="21"/>
              </w:rPr>
              <w:t>-222,600,997.75</w:t>
            </w:r>
            <w:r>
              <w:rPr>
                <w:rFonts w:ascii="宋体"/>
                <w:sz w:val="21"/>
              </w:rPr>
              <w:t> </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5"/>
              <w:jc w:val="right"/>
              <w:rPr>
                <w:rFonts w:ascii="宋体" w:hAnsi="宋体" w:cs="宋体" w:eastAsia="宋体" w:hint="default"/>
                <w:sz w:val="21"/>
                <w:szCs w:val="21"/>
              </w:rPr>
            </w:pPr>
            <w:r>
              <w:rPr>
                <w:rFonts w:ascii="宋体"/>
                <w:spacing w:val="-1"/>
                <w:sz w:val="21"/>
              </w:rPr>
              <w:t>-1,159,146,159.25</w:t>
            </w:r>
            <w:r>
              <w:rPr>
                <w:rFonts w:ascii="宋体"/>
                <w:b/>
                <w:w w:val="99"/>
                <w:sz w:val="21"/>
              </w:rPr>
              <w:t> </w:t>
            </w:r>
            <w:r>
              <w:rPr>
                <w:rFonts w:ascii="宋体"/>
                <w:sz w:val="21"/>
              </w:rPr>
            </w:r>
          </w:p>
        </w:tc>
      </w:tr>
      <w:tr>
        <w:trPr>
          <w:trHeight w:val="634" w:hRule="exact"/>
        </w:trPr>
        <w:tc>
          <w:tcPr>
            <w:tcW w:w="407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79"/>
              <w:jc w:val="left"/>
              <w:rPr>
                <w:rFonts w:ascii="宋体" w:hAnsi="宋体" w:cs="宋体" w:eastAsia="宋体" w:hint="default"/>
                <w:sz w:val="21"/>
                <w:szCs w:val="21"/>
              </w:rPr>
            </w:pPr>
            <w:r>
              <w:rPr>
                <w:rFonts w:ascii="宋体" w:hAnsi="宋体" w:cs="宋体" w:eastAsia="宋体" w:hint="default"/>
                <w:spacing w:val="-2"/>
                <w:sz w:val="21"/>
                <w:szCs w:val="21"/>
              </w:rPr>
              <w:t>经营性应付项目的增加（减少以“－”号</w:t>
            </w:r>
            <w:r>
              <w:rPr>
                <w:rFonts w:ascii="宋体" w:hAnsi="宋体" w:cs="宋体" w:eastAsia="宋体" w:hint="default"/>
                <w:spacing w:val="-68"/>
                <w:sz w:val="21"/>
                <w:szCs w:val="21"/>
              </w:rPr>
              <w:t> </w:t>
            </w:r>
            <w:r>
              <w:rPr>
                <w:rFonts w:ascii="宋体" w:hAnsi="宋体" w:cs="宋体" w:eastAsia="宋体" w:hint="default"/>
                <w:spacing w:val="-68"/>
                <w:sz w:val="21"/>
                <w:szCs w:val="21"/>
              </w:rPr>
            </w:r>
            <w:r>
              <w:rPr>
                <w:rFonts w:ascii="宋体" w:hAnsi="宋体" w:cs="宋体" w:eastAsia="宋体" w:hint="default"/>
                <w:sz w:val="21"/>
                <w:szCs w:val="21"/>
              </w:rPr>
              <w:t>填列）</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
              <w:jc w:val="right"/>
              <w:rPr>
                <w:rFonts w:ascii="宋体" w:hAnsi="宋体" w:cs="宋体" w:eastAsia="宋体" w:hint="default"/>
                <w:sz w:val="21"/>
                <w:szCs w:val="21"/>
              </w:rPr>
            </w:pPr>
            <w:r>
              <w:rPr>
                <w:rFonts w:ascii="宋体"/>
                <w:spacing w:val="-1"/>
                <w:sz w:val="21"/>
              </w:rPr>
              <w:t>-440,056,129.55</w:t>
            </w:r>
            <w:r>
              <w:rPr>
                <w:rFonts w:ascii="宋体"/>
                <w:sz w:val="21"/>
              </w:rPr>
              <w:t> </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5"/>
              <w:jc w:val="right"/>
              <w:rPr>
                <w:rFonts w:ascii="宋体" w:hAnsi="宋体" w:cs="宋体" w:eastAsia="宋体" w:hint="default"/>
                <w:sz w:val="21"/>
                <w:szCs w:val="21"/>
              </w:rPr>
            </w:pPr>
            <w:r>
              <w:rPr>
                <w:rFonts w:ascii="宋体"/>
                <w:spacing w:val="-1"/>
                <w:sz w:val="21"/>
              </w:rPr>
              <w:t>233,202,977.94</w:t>
            </w:r>
            <w:r>
              <w:rPr>
                <w:rFonts w:ascii="宋体"/>
                <w:b/>
                <w:w w:val="99"/>
                <w:sz w:val="21"/>
              </w:rPr>
              <w:t> </w:t>
            </w:r>
            <w:r>
              <w:rPr>
                <w:rFonts w:ascii="宋体"/>
                <w:sz w:val="21"/>
              </w:rPr>
            </w:r>
          </w:p>
        </w:tc>
      </w:tr>
      <w:tr>
        <w:trPr>
          <w:trHeight w:val="322" w:hRule="exact"/>
        </w:trPr>
        <w:tc>
          <w:tcPr>
            <w:tcW w:w="407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right"/>
              <w:rPr>
                <w:rFonts w:ascii="宋体" w:hAnsi="宋体" w:cs="宋体" w:eastAsia="宋体" w:hint="default"/>
                <w:sz w:val="21"/>
                <w:szCs w:val="21"/>
              </w:rPr>
            </w:pPr>
            <w:r>
              <w:rPr>
                <w:rFonts w:ascii="宋体"/>
                <w:w w:val="100"/>
                <w:sz w:val="21"/>
              </w:rPr>
              <w:t> </w:t>
            </w:r>
          </w:p>
        </w:tc>
      </w:tr>
      <w:tr>
        <w:trPr>
          <w:trHeight w:val="322" w:hRule="exact"/>
        </w:trPr>
        <w:tc>
          <w:tcPr>
            <w:tcW w:w="407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401,986,083.36</w:t>
            </w:r>
            <w:r>
              <w:rPr>
                <w:rFonts w:ascii="宋体"/>
                <w:sz w:val="21"/>
              </w:rPr>
              <w:t> </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right"/>
              <w:rPr>
                <w:rFonts w:ascii="宋体" w:hAnsi="宋体" w:cs="宋体" w:eastAsia="宋体" w:hint="default"/>
                <w:sz w:val="21"/>
                <w:szCs w:val="21"/>
              </w:rPr>
            </w:pPr>
            <w:r>
              <w:rPr>
                <w:rFonts w:ascii="宋体"/>
                <w:spacing w:val="-1"/>
                <w:sz w:val="21"/>
              </w:rPr>
              <w:t>416,163,509.76</w:t>
            </w:r>
            <w:r>
              <w:rPr>
                <w:rFonts w:ascii="宋体"/>
                <w:sz w:val="21"/>
              </w:rPr>
              <w:t> </w:t>
            </w:r>
          </w:p>
        </w:tc>
      </w:tr>
      <w:tr>
        <w:trPr>
          <w:trHeight w:val="634" w:hRule="exact"/>
        </w:trPr>
        <w:tc>
          <w:tcPr>
            <w:tcW w:w="407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71"/>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．不涉及现金收支的重大投资和筹资活</w:t>
            </w:r>
            <w:r>
              <w:rPr>
                <w:rFonts w:ascii="宋体" w:hAnsi="宋体" w:cs="宋体" w:eastAsia="宋体" w:hint="default"/>
                <w:b/>
                <w:bCs/>
                <w:w w:val="100"/>
                <w:sz w:val="21"/>
                <w:szCs w:val="21"/>
              </w:rPr>
              <w:t> </w:t>
            </w:r>
            <w:r>
              <w:rPr>
                <w:rFonts w:ascii="宋体" w:hAnsi="宋体" w:cs="宋体" w:eastAsia="宋体" w:hint="default"/>
                <w:b/>
                <w:bCs/>
                <w:sz w:val="21"/>
                <w:szCs w:val="21"/>
              </w:rPr>
              <w:t>动：</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
              <w:jc w:val="right"/>
              <w:rPr>
                <w:rFonts w:ascii="宋体" w:hAnsi="宋体" w:cs="宋体" w:eastAsia="宋体" w:hint="default"/>
                <w:sz w:val="21"/>
                <w:szCs w:val="21"/>
              </w:rPr>
            </w:pPr>
            <w:r>
              <w:rPr>
                <w:rFonts w:ascii="宋体"/>
                <w:w w:val="100"/>
                <w:sz w:val="21"/>
              </w:rPr>
              <w:t> </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5"/>
              <w:jc w:val="right"/>
              <w:rPr>
                <w:rFonts w:ascii="宋体" w:hAnsi="宋体" w:cs="宋体" w:eastAsia="宋体" w:hint="default"/>
                <w:sz w:val="21"/>
                <w:szCs w:val="21"/>
              </w:rPr>
            </w:pPr>
            <w:r>
              <w:rPr>
                <w:rFonts w:ascii="宋体"/>
                <w:w w:val="100"/>
                <w:sz w:val="21"/>
              </w:rPr>
              <w:t> </w:t>
            </w:r>
          </w:p>
        </w:tc>
      </w:tr>
      <w:tr>
        <w:trPr>
          <w:trHeight w:val="324" w:hRule="exact"/>
        </w:trPr>
        <w:tc>
          <w:tcPr>
            <w:tcW w:w="407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债务转为资本</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
              <w:jc w:val="right"/>
              <w:rPr>
                <w:rFonts w:ascii="宋体" w:hAnsi="宋体" w:cs="宋体" w:eastAsia="宋体" w:hint="default"/>
                <w:sz w:val="21"/>
                <w:szCs w:val="21"/>
              </w:rPr>
            </w:pPr>
            <w:r>
              <w:rPr>
                <w:rFonts w:ascii="宋体"/>
                <w:w w:val="100"/>
                <w:sz w:val="21"/>
              </w:rPr>
              <w:t> </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5"/>
              <w:jc w:val="right"/>
              <w:rPr>
                <w:rFonts w:ascii="宋体" w:hAnsi="宋体" w:cs="宋体" w:eastAsia="宋体" w:hint="default"/>
                <w:sz w:val="21"/>
                <w:szCs w:val="21"/>
              </w:rPr>
            </w:pPr>
            <w:r>
              <w:rPr>
                <w:rFonts w:ascii="宋体"/>
                <w:w w:val="100"/>
                <w:sz w:val="21"/>
              </w:rPr>
              <w:t> </w:t>
            </w:r>
          </w:p>
        </w:tc>
      </w:tr>
      <w:tr>
        <w:trPr>
          <w:trHeight w:val="322" w:hRule="exact"/>
        </w:trPr>
        <w:tc>
          <w:tcPr>
            <w:tcW w:w="4079"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3" w:right="0"/>
              <w:jc w:val="left"/>
              <w:rPr>
                <w:rFonts w:ascii="宋体" w:hAnsi="宋体" w:cs="宋体" w:eastAsia="宋体" w:hint="default"/>
                <w:sz w:val="21"/>
                <w:szCs w:val="21"/>
              </w:rPr>
            </w:pPr>
            <w:r>
              <w:rPr>
                <w:rFonts w:ascii="宋体" w:hAnsi="宋体" w:cs="宋体" w:eastAsia="宋体" w:hint="default"/>
                <w:sz w:val="21"/>
                <w:szCs w:val="21"/>
              </w:rPr>
              <w:t>一年内到期的可转换公司债券</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1"/>
              <w:jc w:val="right"/>
              <w:rPr>
                <w:rFonts w:ascii="宋体" w:hAnsi="宋体" w:cs="宋体" w:eastAsia="宋体" w:hint="default"/>
                <w:sz w:val="21"/>
                <w:szCs w:val="21"/>
              </w:rPr>
            </w:pPr>
            <w:r>
              <w:rPr>
                <w:rFonts w:ascii="宋体"/>
                <w:w w:val="100"/>
                <w:sz w:val="21"/>
              </w:rPr>
              <w:t> </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5"/>
              <w:jc w:val="right"/>
              <w:rPr>
                <w:rFonts w:ascii="宋体" w:hAnsi="宋体" w:cs="宋体" w:eastAsia="宋体" w:hint="default"/>
                <w:sz w:val="21"/>
                <w:szCs w:val="21"/>
              </w:rPr>
            </w:pPr>
            <w:r>
              <w:rPr>
                <w:rFonts w:ascii="宋体"/>
                <w:w w:val="100"/>
                <w:sz w:val="21"/>
              </w:rPr>
              <w:t> </w:t>
            </w:r>
          </w:p>
        </w:tc>
      </w:tr>
      <w:tr>
        <w:trPr>
          <w:trHeight w:val="322" w:hRule="exact"/>
        </w:trPr>
        <w:tc>
          <w:tcPr>
            <w:tcW w:w="407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融资租入固定资产</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right"/>
              <w:rPr>
                <w:rFonts w:ascii="宋体" w:hAnsi="宋体" w:cs="宋体" w:eastAsia="宋体" w:hint="default"/>
                <w:sz w:val="21"/>
                <w:szCs w:val="21"/>
              </w:rPr>
            </w:pPr>
            <w:r>
              <w:rPr>
                <w:rFonts w:ascii="宋体"/>
                <w:w w:val="100"/>
                <w:sz w:val="21"/>
              </w:rPr>
              <w:t> </w:t>
            </w:r>
          </w:p>
        </w:tc>
      </w:tr>
      <w:tr>
        <w:trPr>
          <w:trHeight w:val="322" w:hRule="exact"/>
        </w:trPr>
        <w:tc>
          <w:tcPr>
            <w:tcW w:w="407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．现金及现金等价物净变动情况：</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right"/>
              <w:rPr>
                <w:rFonts w:ascii="宋体" w:hAnsi="宋体" w:cs="宋体" w:eastAsia="宋体" w:hint="default"/>
                <w:sz w:val="21"/>
                <w:szCs w:val="21"/>
              </w:rPr>
            </w:pPr>
            <w:r>
              <w:rPr>
                <w:rFonts w:ascii="宋体"/>
                <w:w w:val="100"/>
                <w:sz w:val="21"/>
              </w:rPr>
              <w:t> </w:t>
            </w:r>
          </w:p>
        </w:tc>
      </w:tr>
      <w:tr>
        <w:trPr>
          <w:trHeight w:val="322" w:hRule="exact"/>
        </w:trPr>
        <w:tc>
          <w:tcPr>
            <w:tcW w:w="407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现金的期末余额</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1,826,752,298.33</w:t>
            </w:r>
            <w:r>
              <w:rPr>
                <w:rFonts w:ascii="宋体"/>
                <w:sz w:val="21"/>
              </w:rPr>
              <w:t> </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right"/>
              <w:rPr>
                <w:rFonts w:ascii="宋体" w:hAnsi="宋体" w:cs="宋体" w:eastAsia="宋体" w:hint="default"/>
                <w:sz w:val="21"/>
                <w:szCs w:val="21"/>
              </w:rPr>
            </w:pPr>
            <w:r>
              <w:rPr>
                <w:rFonts w:ascii="宋体"/>
                <w:spacing w:val="-1"/>
                <w:sz w:val="21"/>
              </w:rPr>
              <w:t>1,885,285,030.01</w:t>
            </w:r>
            <w:r>
              <w:rPr>
                <w:rFonts w:ascii="宋体"/>
                <w:sz w:val="21"/>
              </w:rPr>
              <w:t> </w:t>
            </w:r>
          </w:p>
        </w:tc>
      </w:tr>
      <w:tr>
        <w:trPr>
          <w:trHeight w:val="322" w:hRule="exact"/>
        </w:trPr>
        <w:tc>
          <w:tcPr>
            <w:tcW w:w="407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减：现金的期初余额</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1,885,285,030.01</w:t>
            </w:r>
            <w:r>
              <w:rPr>
                <w:rFonts w:ascii="宋体"/>
                <w:sz w:val="21"/>
              </w:rPr>
              <w:t> </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right"/>
              <w:rPr>
                <w:rFonts w:ascii="宋体" w:hAnsi="宋体" w:cs="宋体" w:eastAsia="宋体" w:hint="default"/>
                <w:sz w:val="21"/>
                <w:szCs w:val="21"/>
              </w:rPr>
            </w:pPr>
            <w:r>
              <w:rPr>
                <w:rFonts w:ascii="宋体"/>
                <w:spacing w:val="-1"/>
                <w:sz w:val="21"/>
              </w:rPr>
              <w:t>2,041,430,136.97</w:t>
            </w:r>
            <w:r>
              <w:rPr>
                <w:rFonts w:ascii="宋体"/>
                <w:sz w:val="21"/>
              </w:rPr>
              <w:t> </w:t>
            </w:r>
          </w:p>
        </w:tc>
      </w:tr>
      <w:tr>
        <w:trPr>
          <w:trHeight w:val="324" w:hRule="exact"/>
        </w:trPr>
        <w:tc>
          <w:tcPr>
            <w:tcW w:w="407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加：现金等价物的期末余额</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
              <w:jc w:val="right"/>
              <w:rPr>
                <w:rFonts w:ascii="宋体" w:hAnsi="宋体" w:cs="宋体" w:eastAsia="宋体" w:hint="default"/>
                <w:sz w:val="21"/>
                <w:szCs w:val="21"/>
              </w:rPr>
            </w:pPr>
            <w:r>
              <w:rPr>
                <w:rFonts w:ascii="宋体"/>
                <w:w w:val="100"/>
                <w:sz w:val="21"/>
              </w:rPr>
              <w:t> </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5"/>
              <w:jc w:val="right"/>
              <w:rPr>
                <w:rFonts w:ascii="宋体" w:hAnsi="宋体" w:cs="宋体" w:eastAsia="宋体" w:hint="default"/>
                <w:sz w:val="21"/>
                <w:szCs w:val="21"/>
              </w:rPr>
            </w:pPr>
            <w:r>
              <w:rPr>
                <w:rFonts w:ascii="宋体"/>
                <w:w w:val="100"/>
                <w:sz w:val="21"/>
              </w:rPr>
              <w:t> </w:t>
            </w:r>
          </w:p>
        </w:tc>
      </w:tr>
      <w:tr>
        <w:trPr>
          <w:trHeight w:val="322" w:hRule="exact"/>
        </w:trPr>
        <w:tc>
          <w:tcPr>
            <w:tcW w:w="407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减：现金等价物的期初余额</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right"/>
              <w:rPr>
                <w:rFonts w:ascii="宋体" w:hAnsi="宋体" w:cs="宋体" w:eastAsia="宋体" w:hint="default"/>
                <w:sz w:val="21"/>
                <w:szCs w:val="21"/>
              </w:rPr>
            </w:pPr>
            <w:r>
              <w:rPr>
                <w:rFonts w:ascii="宋体"/>
                <w:w w:val="100"/>
                <w:sz w:val="21"/>
              </w:rPr>
              <w:t> </w:t>
            </w:r>
          </w:p>
        </w:tc>
      </w:tr>
      <w:tr>
        <w:trPr>
          <w:trHeight w:val="322" w:hRule="exact"/>
        </w:trPr>
        <w:tc>
          <w:tcPr>
            <w:tcW w:w="407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现金及现金等价物净增加额</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-58,532,731.68</w:t>
            </w:r>
            <w:r>
              <w:rPr>
                <w:rFonts w:ascii="宋体"/>
                <w:sz w:val="21"/>
              </w:rPr>
              <w:t> </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right"/>
              <w:rPr>
                <w:rFonts w:ascii="宋体" w:hAnsi="宋体" w:cs="宋体" w:eastAsia="宋体" w:hint="default"/>
                <w:sz w:val="21"/>
                <w:szCs w:val="21"/>
              </w:rPr>
            </w:pPr>
            <w:r>
              <w:rPr>
                <w:rFonts w:ascii="宋体"/>
                <w:spacing w:val="-1"/>
                <w:sz w:val="21"/>
              </w:rPr>
              <w:t>-156,145,106.96</w:t>
            </w:r>
            <w:r>
              <w:rPr>
                <w:rFonts w:ascii="宋体"/>
                <w:sz w:val="21"/>
              </w:rPr>
              <w:t> </w:t>
            </w:r>
          </w:p>
        </w:tc>
      </w:tr>
    </w:tbl>
    <w:p>
      <w:pPr>
        <w:pStyle w:val="Heading2"/>
        <w:spacing w:line="274" w:lineRule="exact"/>
        <w:ind w:left="216" w:right="0"/>
        <w:jc w:val="left"/>
        <w:rPr>
          <w:rFonts w:ascii="宋体" w:hAnsi="宋体" w:cs="宋体" w:eastAsia="宋体" w:hint="default"/>
        </w:rPr>
      </w:pPr>
      <w:r>
        <w:rPr>
          <w:rFonts w:ascii="宋体"/>
        </w:rPr>
        <w:t> </w:t>
      </w:r>
    </w:p>
    <w:p>
      <w:pPr>
        <w:spacing w:after="0" w:line="274" w:lineRule="exact"/>
        <w:jc w:val="left"/>
        <w:rPr>
          <w:rFonts w:ascii="宋体" w:hAnsi="宋体" w:cs="宋体" w:eastAsia="宋体" w:hint="default"/>
        </w:rPr>
        <w:sectPr>
          <w:type w:val="continuous"/>
          <w:pgSz w:w="11910" w:h="16840"/>
          <w:pgMar w:top="1580" w:bottom="280" w:left="1060" w:right="1560"/>
        </w:sectPr>
      </w:pPr>
    </w:p>
    <w:p>
      <w:pPr>
        <w:spacing w:line="240" w:lineRule="auto" w:before="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pgSz w:w="11910" w:h="16840"/>
          <w:pgMar w:header="0" w:footer="974" w:top="1140" w:bottom="1160" w:left="1060" w:right="1560"/>
        </w:sectPr>
      </w:pPr>
    </w:p>
    <w:p>
      <w:pPr>
        <w:pStyle w:val="Heading3"/>
        <w:spacing w:line="240" w:lineRule="auto" w:before="36"/>
        <w:ind w:left="216" w:right="0"/>
        <w:jc w:val="left"/>
        <w:rPr>
          <w:rFonts w:ascii="宋体" w:hAnsi="宋体" w:cs="宋体" w:eastAsia="宋体" w:hint="default"/>
          <w:b w:val="0"/>
          <w:bCs w:val="0"/>
        </w:rPr>
      </w:pPr>
      <w:r>
        <w:rPr>
          <w:rFonts w:ascii="宋体" w:hAnsi="宋体" w:cs="宋体" w:eastAsia="宋体" w:hint="default"/>
        </w:rPr>
        <w:t>(2).</w:t>
      </w:r>
      <w:r>
        <w:rPr/>
        <w:t>本期支付的取得子公司的现金净额</w:t>
      </w:r>
      <w:r>
        <w:rPr>
          <w:rFonts w:ascii="宋体" w:hAnsi="宋体" w:cs="宋体" w:eastAsia="宋体" w:hint="default"/>
          <w:w w:val="99"/>
        </w:rPr>
        <w:t> </w:t>
      </w:r>
      <w:r>
        <w:rPr>
          <w:rFonts w:ascii="宋体" w:hAnsi="宋体" w:cs="宋体" w:eastAsia="宋体" w:hint="default"/>
          <w:b w:val="0"/>
          <w:bCs w:val="0"/>
        </w:rPr>
      </w:r>
    </w:p>
    <w:p>
      <w:pPr>
        <w:pStyle w:val="Heading2"/>
        <w:spacing w:line="240" w:lineRule="auto" w:before="69"/>
        <w:ind w:left="21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spacing w:line="240" w:lineRule="auto"/>
        <w:ind w:left="216" w:right="0"/>
        <w:jc w:val="left"/>
        <w:rPr>
          <w:rFonts w:ascii="宋体" w:hAnsi="宋体" w:cs="宋体" w:eastAsia="宋体" w:hint="default"/>
        </w:rPr>
      </w:pPr>
      <w:r>
        <w:rPr/>
        <w:t>单位：元币种：人民币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580" w:bottom="280" w:left="1060" w:right="1560"/>
          <w:cols w:num="2" w:equalWidth="0">
            <w:col w:w="3912" w:space="2821"/>
            <w:col w:w="2557"/>
          </w:cols>
        </w:sectPr>
      </w:pPr>
    </w:p>
    <w:p>
      <w:pPr>
        <w:spacing w:line="240" w:lineRule="auto" w:before="10"/>
        <w:rPr>
          <w:rFonts w:ascii="宋体" w:hAnsi="宋体" w:cs="宋体" w:eastAsia="宋体" w:hint="default"/>
          <w:sz w:val="3"/>
          <w:szCs w:val="3"/>
        </w:rPr>
      </w:pPr>
    </w:p>
    <w:tbl>
      <w:tblPr>
        <w:tblW w:w="0" w:type="auto"/>
        <w:jc w:val="left"/>
        <w:tblInd w:w="103" w:type="dxa"/>
        <w:tblLayout w:type="fixed"/>
        <w:tblCellMar>
          <w:top w:w="0" w:type="dxa"/>
          <w:left w:w="0" w:type="dxa"/>
          <w:bottom w:w="0" w:type="dxa"/>
          <w:right w:w="0" w:type="dxa"/>
        </w:tblCellMar>
        <w:tblLook w:val="01E0"/>
      </w:tblPr>
      <w:tblGrid>
        <w:gridCol w:w="5917"/>
        <w:gridCol w:w="3133"/>
      </w:tblGrid>
      <w:tr>
        <w:trPr>
          <w:trHeight w:val="322" w:hRule="exact"/>
        </w:trPr>
        <w:tc>
          <w:tcPr>
            <w:tcW w:w="59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center"/>
              <w:rPr>
                <w:rFonts w:ascii="宋体" w:hAnsi="宋体" w:cs="宋体" w:eastAsia="宋体" w:hint="default"/>
                <w:sz w:val="21"/>
                <w:szCs w:val="21"/>
              </w:rPr>
            </w:pPr>
            <w:r>
              <w:rPr>
                <w:rFonts w:ascii="宋体"/>
                <w:w w:val="100"/>
                <w:sz w:val="21"/>
              </w:rPr>
              <w:t> </w:t>
            </w:r>
          </w:p>
        </w:tc>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4" w:right="0"/>
              <w:jc w:val="center"/>
              <w:rPr>
                <w:rFonts w:ascii="宋体" w:hAnsi="宋体" w:cs="宋体" w:eastAsia="宋体" w:hint="default"/>
                <w:sz w:val="21"/>
                <w:szCs w:val="21"/>
              </w:rPr>
            </w:pPr>
            <w:r>
              <w:rPr>
                <w:rFonts w:ascii="宋体" w:hAnsi="宋体" w:cs="宋体" w:eastAsia="宋体" w:hint="default"/>
                <w:sz w:val="21"/>
                <w:szCs w:val="21"/>
              </w:rPr>
              <w:t>金额</w:t>
            </w:r>
            <w:r>
              <w:rPr>
                <w:rFonts w:ascii="宋体" w:hAnsi="宋体" w:cs="宋体" w:eastAsia="宋体" w:hint="default"/>
                <w:sz w:val="21"/>
                <w:szCs w:val="21"/>
              </w:rPr>
              <w:t> </w:t>
            </w:r>
          </w:p>
        </w:tc>
      </w:tr>
      <w:tr>
        <w:trPr>
          <w:trHeight w:val="322" w:hRule="exact"/>
        </w:trPr>
        <w:tc>
          <w:tcPr>
            <w:tcW w:w="59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本期发生的企业合并于本期支付的现金或现金等价物</w:t>
            </w:r>
            <w:r>
              <w:rPr>
                <w:rFonts w:ascii="宋体" w:hAnsi="宋体" w:cs="宋体" w:eastAsia="宋体" w:hint="default"/>
                <w:sz w:val="21"/>
                <w:szCs w:val="21"/>
              </w:rPr>
              <w:t> </w:t>
            </w:r>
          </w:p>
        </w:tc>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72,697,500.00</w:t>
            </w:r>
            <w:r>
              <w:rPr>
                <w:rFonts w:ascii="宋体"/>
                <w:sz w:val="21"/>
              </w:rPr>
              <w:t> </w:t>
            </w:r>
          </w:p>
        </w:tc>
      </w:tr>
      <w:tr>
        <w:trPr>
          <w:trHeight w:val="322" w:hRule="exact"/>
        </w:trPr>
        <w:tc>
          <w:tcPr>
            <w:tcW w:w="5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21"/>
                <w:szCs w:val="21"/>
              </w:rPr>
            </w:pPr>
            <w:r>
              <w:rPr>
                <w:rFonts w:ascii="宋体" w:hAnsi="宋体" w:cs="宋体" w:eastAsia="宋体" w:hint="default"/>
                <w:sz w:val="18"/>
                <w:szCs w:val="18"/>
              </w:rPr>
              <w:t>其中：江苏华源仪器仪表有限公司</w:t>
            </w:r>
            <w:r>
              <w:rPr>
                <w:rFonts w:ascii="宋体" w:hAnsi="宋体" w:cs="宋体" w:eastAsia="宋体" w:hint="default"/>
                <w:w w:val="100"/>
                <w:sz w:val="21"/>
                <w:szCs w:val="21"/>
              </w:rPr>
              <w:t> </w:t>
            </w:r>
          </w:p>
        </w:tc>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72,697,500.00</w:t>
            </w:r>
            <w:r>
              <w:rPr>
                <w:rFonts w:ascii="宋体"/>
                <w:sz w:val="21"/>
              </w:rPr>
              <w:t> </w:t>
            </w:r>
          </w:p>
        </w:tc>
      </w:tr>
      <w:tr>
        <w:trPr>
          <w:trHeight w:val="324" w:hRule="exact"/>
        </w:trPr>
        <w:tc>
          <w:tcPr>
            <w:tcW w:w="591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减：购买日子公司持有的现金及现金等价物</w:t>
            </w:r>
            <w:r>
              <w:rPr>
                <w:rFonts w:ascii="宋体" w:hAnsi="宋体" w:cs="宋体" w:eastAsia="宋体" w:hint="default"/>
                <w:sz w:val="21"/>
                <w:szCs w:val="21"/>
              </w:rPr>
              <w:t> </w:t>
            </w:r>
          </w:p>
        </w:tc>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spacing w:val="-1"/>
                <w:sz w:val="21"/>
              </w:rPr>
              <w:t>104,872,712.44</w:t>
            </w:r>
            <w:r>
              <w:rPr>
                <w:rFonts w:ascii="宋体"/>
                <w:sz w:val="21"/>
              </w:rPr>
              <w:t> </w:t>
            </w:r>
          </w:p>
        </w:tc>
      </w:tr>
      <w:tr>
        <w:trPr>
          <w:trHeight w:val="322" w:hRule="exact"/>
        </w:trPr>
        <w:tc>
          <w:tcPr>
            <w:tcW w:w="5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21"/>
                <w:szCs w:val="21"/>
              </w:rPr>
            </w:pPr>
            <w:r>
              <w:rPr>
                <w:rFonts w:ascii="宋体" w:hAnsi="宋体" w:cs="宋体" w:eastAsia="宋体" w:hint="default"/>
                <w:sz w:val="18"/>
                <w:szCs w:val="18"/>
              </w:rPr>
              <w:t>其中：江苏华源仪器仪表有限公司</w:t>
            </w:r>
            <w:r>
              <w:rPr>
                <w:rFonts w:ascii="宋体" w:hAnsi="宋体" w:cs="宋体" w:eastAsia="宋体" w:hint="default"/>
                <w:w w:val="100"/>
                <w:sz w:val="21"/>
                <w:szCs w:val="21"/>
              </w:rPr>
              <w:t> </w:t>
            </w:r>
          </w:p>
        </w:tc>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104,872,712.44</w:t>
            </w:r>
            <w:r>
              <w:rPr>
                <w:rFonts w:ascii="宋体"/>
                <w:sz w:val="21"/>
              </w:rPr>
              <w:t> </w:t>
            </w:r>
          </w:p>
        </w:tc>
      </w:tr>
      <w:tr>
        <w:trPr>
          <w:trHeight w:val="322" w:hRule="exact"/>
        </w:trPr>
        <w:tc>
          <w:tcPr>
            <w:tcW w:w="59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加：以前期间发生的企业合并于本期支付的现金或现金等价物</w:t>
            </w:r>
            <w:r>
              <w:rPr>
                <w:rFonts w:ascii="宋体" w:hAnsi="宋体" w:cs="宋体" w:eastAsia="宋体" w:hint="default"/>
                <w:sz w:val="21"/>
                <w:szCs w:val="21"/>
              </w:rPr>
              <w:t> </w:t>
            </w:r>
          </w:p>
        </w:tc>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59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取得子公司支付的现金净额</w:t>
            </w:r>
            <w:r>
              <w:rPr>
                <w:rFonts w:ascii="宋体" w:hAnsi="宋体" w:cs="宋体" w:eastAsia="宋体" w:hint="default"/>
                <w:sz w:val="21"/>
                <w:szCs w:val="21"/>
              </w:rPr>
              <w:t> </w:t>
            </w:r>
          </w:p>
        </w:tc>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-32,175,212.44</w:t>
            </w:r>
            <w:r>
              <w:rPr>
                <w:rFonts w:ascii="宋体"/>
                <w:sz w:val="21"/>
              </w:rPr>
              <w:t> </w:t>
            </w:r>
          </w:p>
        </w:tc>
      </w:tr>
    </w:tbl>
    <w:p>
      <w:pPr>
        <w:spacing w:after="0" w:line="262" w:lineRule="exact"/>
        <w:jc w:val="right"/>
        <w:rPr>
          <w:rFonts w:ascii="宋体" w:hAnsi="宋体" w:cs="宋体" w:eastAsia="宋体" w:hint="default"/>
          <w:sz w:val="21"/>
          <w:szCs w:val="21"/>
        </w:rPr>
        <w:sectPr>
          <w:type w:val="continuous"/>
          <w:pgSz w:w="11910" w:h="16840"/>
          <w:pgMar w:top="1580" w:bottom="280" w:left="1060" w:right="1560"/>
        </w:sectPr>
      </w:pPr>
    </w:p>
    <w:p>
      <w:pPr>
        <w:pStyle w:val="Heading2"/>
        <w:spacing w:line="274" w:lineRule="exact"/>
        <w:ind w:left="216" w:right="0"/>
        <w:jc w:val="left"/>
        <w:rPr>
          <w:rFonts w:ascii="宋体" w:hAnsi="宋体" w:cs="宋体" w:eastAsia="宋体" w:hint="default"/>
        </w:rPr>
      </w:pPr>
      <w:r>
        <w:rPr>
          <w:rFonts w:ascii="宋体"/>
        </w:rPr>
        <w:t> </w:t>
      </w:r>
    </w:p>
    <w:p>
      <w:pPr>
        <w:pStyle w:val="Heading3"/>
        <w:spacing w:line="240" w:lineRule="auto" w:before="86"/>
        <w:ind w:left="216" w:right="0"/>
        <w:jc w:val="left"/>
        <w:rPr>
          <w:rFonts w:ascii="宋体" w:hAnsi="宋体" w:cs="宋体" w:eastAsia="宋体" w:hint="default"/>
          <w:b w:val="0"/>
          <w:bCs w:val="0"/>
        </w:rPr>
      </w:pPr>
      <w:r>
        <w:rPr>
          <w:rFonts w:ascii="宋体" w:hAnsi="宋体" w:cs="宋体" w:eastAsia="宋体" w:hint="default"/>
        </w:rPr>
        <w:t>(3).</w:t>
      </w:r>
      <w:r>
        <w:rPr/>
        <w:t>本期收到的处置子公司的现金净额</w:t>
      </w:r>
      <w:r>
        <w:rPr>
          <w:rFonts w:ascii="宋体" w:hAnsi="宋体" w:cs="宋体" w:eastAsia="宋体" w:hint="default"/>
          <w:w w:val="99"/>
        </w:rPr>
        <w:t> </w:t>
      </w:r>
      <w:r>
        <w:rPr>
          <w:rFonts w:ascii="宋体" w:hAnsi="宋体" w:cs="宋体" w:eastAsia="宋体" w:hint="default"/>
          <w:b w:val="0"/>
          <w:bCs w:val="0"/>
        </w:rPr>
      </w:r>
    </w:p>
    <w:p>
      <w:pPr>
        <w:pStyle w:val="Heading2"/>
        <w:spacing w:line="240" w:lineRule="auto" w:before="69"/>
        <w:ind w:left="21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pStyle w:val="BodyText"/>
        <w:spacing w:line="240" w:lineRule="auto"/>
        <w:ind w:left="216" w:right="0"/>
        <w:jc w:val="left"/>
        <w:rPr>
          <w:rFonts w:ascii="宋体" w:hAnsi="宋体" w:cs="宋体" w:eastAsia="宋体" w:hint="default"/>
        </w:rPr>
      </w:pPr>
      <w:r>
        <w:rPr/>
        <w:t>单位：元币种：人民币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580" w:bottom="280" w:left="1060" w:right="1560"/>
          <w:cols w:num="2" w:equalWidth="0">
            <w:col w:w="3912" w:space="2821"/>
            <w:col w:w="2557"/>
          </w:cols>
        </w:sectPr>
      </w:pPr>
    </w:p>
    <w:p>
      <w:pPr>
        <w:spacing w:line="240" w:lineRule="auto" w:before="10"/>
        <w:rPr>
          <w:rFonts w:ascii="宋体" w:hAnsi="宋体" w:cs="宋体" w:eastAsia="宋体" w:hint="default"/>
          <w:sz w:val="3"/>
          <w:szCs w:val="3"/>
        </w:rPr>
      </w:pPr>
    </w:p>
    <w:tbl>
      <w:tblPr>
        <w:tblW w:w="0" w:type="auto"/>
        <w:jc w:val="left"/>
        <w:tblInd w:w="103" w:type="dxa"/>
        <w:tblLayout w:type="fixed"/>
        <w:tblCellMar>
          <w:top w:w="0" w:type="dxa"/>
          <w:left w:w="0" w:type="dxa"/>
          <w:bottom w:w="0" w:type="dxa"/>
          <w:right w:w="0" w:type="dxa"/>
        </w:tblCellMar>
        <w:tblLook w:val="01E0"/>
      </w:tblPr>
      <w:tblGrid>
        <w:gridCol w:w="5905"/>
        <w:gridCol w:w="3145"/>
      </w:tblGrid>
      <w:tr>
        <w:trPr>
          <w:trHeight w:val="322" w:hRule="exact"/>
        </w:trPr>
        <w:tc>
          <w:tcPr>
            <w:tcW w:w="590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6" w:right="0"/>
              <w:jc w:val="center"/>
              <w:rPr>
                <w:rFonts w:ascii="宋体" w:hAnsi="宋体" w:cs="宋体" w:eastAsia="宋体" w:hint="default"/>
                <w:sz w:val="21"/>
                <w:szCs w:val="21"/>
              </w:rPr>
            </w:pPr>
            <w:r>
              <w:rPr>
                <w:rFonts w:ascii="宋体"/>
                <w:w w:val="100"/>
                <w:sz w:val="21"/>
              </w:rPr>
              <w:t> </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2" w:right="0"/>
              <w:jc w:val="center"/>
              <w:rPr>
                <w:rFonts w:ascii="宋体" w:hAnsi="宋体" w:cs="宋体" w:eastAsia="宋体" w:hint="default"/>
                <w:sz w:val="21"/>
                <w:szCs w:val="21"/>
              </w:rPr>
            </w:pPr>
            <w:r>
              <w:rPr>
                <w:rFonts w:ascii="宋体" w:hAnsi="宋体" w:cs="宋体" w:eastAsia="宋体" w:hint="default"/>
                <w:sz w:val="21"/>
                <w:szCs w:val="21"/>
              </w:rPr>
              <w:t>金额</w:t>
            </w:r>
            <w:r>
              <w:rPr>
                <w:rFonts w:ascii="宋体" w:hAnsi="宋体" w:cs="宋体" w:eastAsia="宋体" w:hint="default"/>
                <w:sz w:val="21"/>
                <w:szCs w:val="21"/>
              </w:rPr>
              <w:t> </w:t>
            </w:r>
          </w:p>
        </w:tc>
      </w:tr>
      <w:tr>
        <w:trPr>
          <w:trHeight w:val="324" w:hRule="exact"/>
        </w:trPr>
        <w:tc>
          <w:tcPr>
            <w:tcW w:w="590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本期处置子公司于本期收到的现金或现金等价物</w:t>
            </w:r>
            <w:r>
              <w:rPr>
                <w:rFonts w:ascii="宋体" w:hAnsi="宋体" w:cs="宋体" w:eastAsia="宋体" w:hint="default"/>
                <w:sz w:val="21"/>
                <w:szCs w:val="21"/>
              </w:rPr>
              <w:t> </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spacing w:val="-1"/>
                <w:sz w:val="21"/>
              </w:rPr>
              <w:t>56,604,876.94</w:t>
            </w:r>
            <w:r>
              <w:rPr>
                <w:rFonts w:ascii="宋体"/>
                <w:sz w:val="21"/>
              </w:rPr>
              <w:t> </w:t>
            </w:r>
          </w:p>
        </w:tc>
      </w:tr>
      <w:tr>
        <w:trPr>
          <w:trHeight w:val="322" w:hRule="exact"/>
        </w:trPr>
        <w:tc>
          <w:tcPr>
            <w:tcW w:w="590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其中：南京华虹新能源科技有限公司</w:t>
            </w:r>
            <w:r>
              <w:rPr>
                <w:rFonts w:ascii="宋体" w:hAnsi="宋体" w:cs="宋体" w:eastAsia="宋体" w:hint="default"/>
                <w:sz w:val="21"/>
                <w:szCs w:val="21"/>
              </w:rPr>
              <w:t> </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11,604,876.94</w:t>
            </w:r>
            <w:r>
              <w:rPr>
                <w:rFonts w:ascii="宋体"/>
                <w:sz w:val="21"/>
              </w:rPr>
              <w:t> </w:t>
            </w:r>
          </w:p>
        </w:tc>
      </w:tr>
      <w:tr>
        <w:trPr>
          <w:trHeight w:val="322" w:hRule="exact"/>
        </w:trPr>
        <w:tc>
          <w:tcPr>
            <w:tcW w:w="590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23" w:right="0"/>
              <w:jc w:val="left"/>
              <w:rPr>
                <w:rFonts w:ascii="宋体" w:hAnsi="宋体" w:cs="宋体" w:eastAsia="宋体" w:hint="default"/>
                <w:sz w:val="21"/>
                <w:szCs w:val="21"/>
              </w:rPr>
            </w:pPr>
            <w:r>
              <w:rPr>
                <w:rFonts w:ascii="宋体" w:hAnsi="宋体" w:cs="宋体" w:eastAsia="宋体" w:hint="default"/>
                <w:sz w:val="21"/>
                <w:szCs w:val="21"/>
              </w:rPr>
              <w:t>江苏华源仪器仪表有限公司</w:t>
            </w:r>
            <w:r>
              <w:rPr>
                <w:rFonts w:ascii="宋体" w:hAnsi="宋体" w:cs="宋体" w:eastAsia="宋体" w:hint="default"/>
                <w:sz w:val="21"/>
                <w:szCs w:val="21"/>
              </w:rPr>
              <w:t> </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45,000,000.00</w:t>
            </w:r>
            <w:r>
              <w:rPr>
                <w:rFonts w:ascii="宋体"/>
                <w:sz w:val="21"/>
              </w:rPr>
              <w:t> </w:t>
            </w:r>
          </w:p>
        </w:tc>
      </w:tr>
      <w:tr>
        <w:trPr>
          <w:trHeight w:val="322" w:hRule="exact"/>
        </w:trPr>
        <w:tc>
          <w:tcPr>
            <w:tcW w:w="590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减：丧失控制权日子公司持有的现金及现金等价物</w:t>
            </w:r>
            <w:r>
              <w:rPr>
                <w:rFonts w:ascii="宋体" w:hAnsi="宋体" w:cs="宋体" w:eastAsia="宋体" w:hint="default"/>
                <w:sz w:val="21"/>
                <w:szCs w:val="21"/>
              </w:rPr>
              <w:t> </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15,404,870.85</w:t>
            </w:r>
            <w:r>
              <w:rPr>
                <w:rFonts w:ascii="宋体"/>
                <w:sz w:val="21"/>
              </w:rPr>
              <w:t> </w:t>
            </w:r>
          </w:p>
        </w:tc>
      </w:tr>
      <w:tr>
        <w:trPr>
          <w:trHeight w:val="322" w:hRule="exact"/>
        </w:trPr>
        <w:tc>
          <w:tcPr>
            <w:tcW w:w="590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其中：南京华虹新能源科技有限公司</w:t>
            </w:r>
            <w:r>
              <w:rPr>
                <w:rFonts w:ascii="宋体" w:hAnsi="宋体" w:cs="宋体" w:eastAsia="宋体" w:hint="default"/>
                <w:sz w:val="21"/>
                <w:szCs w:val="21"/>
              </w:rPr>
              <w:t> </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667,304.83</w:t>
            </w:r>
            <w:r>
              <w:rPr>
                <w:rFonts w:ascii="宋体"/>
                <w:sz w:val="21"/>
              </w:rPr>
              <w:t> </w:t>
            </w:r>
          </w:p>
        </w:tc>
      </w:tr>
      <w:tr>
        <w:trPr>
          <w:trHeight w:val="322" w:hRule="exact"/>
        </w:trPr>
        <w:tc>
          <w:tcPr>
            <w:tcW w:w="590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34" w:right="0"/>
              <w:jc w:val="left"/>
              <w:rPr>
                <w:rFonts w:ascii="宋体" w:hAnsi="宋体" w:cs="宋体" w:eastAsia="宋体" w:hint="default"/>
                <w:sz w:val="21"/>
                <w:szCs w:val="21"/>
              </w:rPr>
            </w:pPr>
            <w:r>
              <w:rPr>
                <w:rFonts w:ascii="宋体" w:hAnsi="宋体" w:cs="宋体" w:eastAsia="宋体" w:hint="default"/>
                <w:sz w:val="21"/>
                <w:szCs w:val="21"/>
              </w:rPr>
              <w:t>江苏华源仪器仪表有限公司</w:t>
            </w:r>
            <w:r>
              <w:rPr>
                <w:rFonts w:ascii="宋体" w:hAnsi="宋体" w:cs="宋体" w:eastAsia="宋体" w:hint="default"/>
                <w:sz w:val="21"/>
                <w:szCs w:val="21"/>
              </w:rPr>
              <w:t> </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14,737,566.02</w:t>
            </w:r>
            <w:r>
              <w:rPr>
                <w:rFonts w:ascii="宋体"/>
                <w:sz w:val="21"/>
              </w:rPr>
              <w:t> </w:t>
            </w:r>
          </w:p>
        </w:tc>
      </w:tr>
      <w:tr>
        <w:trPr>
          <w:trHeight w:val="324" w:hRule="exact"/>
        </w:trPr>
        <w:tc>
          <w:tcPr>
            <w:tcW w:w="590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加：以前期间处置子公司于本期收到的现金或现金等价物</w:t>
            </w:r>
            <w:r>
              <w:rPr>
                <w:rFonts w:ascii="宋体" w:hAnsi="宋体" w:cs="宋体" w:eastAsia="宋体" w:hint="default"/>
                <w:sz w:val="21"/>
                <w:szCs w:val="21"/>
              </w:rPr>
              <w:t> </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5905"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处置子公司收到的现金净额</w:t>
            </w:r>
            <w:r>
              <w:rPr>
                <w:rFonts w:ascii="宋体" w:hAnsi="宋体" w:cs="宋体" w:eastAsia="宋体" w:hint="default"/>
                <w:sz w:val="21"/>
                <w:szCs w:val="21"/>
              </w:rPr>
              <w:t> </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3"/>
              <w:jc w:val="right"/>
              <w:rPr>
                <w:rFonts w:ascii="宋体" w:hAnsi="宋体" w:cs="宋体" w:eastAsia="宋体" w:hint="default"/>
                <w:sz w:val="21"/>
                <w:szCs w:val="21"/>
              </w:rPr>
            </w:pPr>
            <w:r>
              <w:rPr>
                <w:rFonts w:ascii="宋体"/>
                <w:spacing w:val="-1"/>
                <w:sz w:val="21"/>
              </w:rPr>
              <w:t>41,200,006.09</w:t>
            </w:r>
            <w:r>
              <w:rPr>
                <w:rFonts w:ascii="宋体"/>
                <w:sz w:val="21"/>
              </w:rPr>
              <w:t> </w:t>
            </w:r>
          </w:p>
        </w:tc>
      </w:tr>
    </w:tbl>
    <w:p>
      <w:pPr>
        <w:spacing w:after="0" w:line="263" w:lineRule="exact"/>
        <w:jc w:val="right"/>
        <w:rPr>
          <w:rFonts w:ascii="宋体" w:hAnsi="宋体" w:cs="宋体" w:eastAsia="宋体" w:hint="default"/>
          <w:sz w:val="21"/>
          <w:szCs w:val="21"/>
        </w:rPr>
        <w:sectPr>
          <w:type w:val="continuous"/>
          <w:pgSz w:w="11910" w:h="16840"/>
          <w:pgMar w:top="1580" w:bottom="280" w:left="1060" w:right="1560"/>
        </w:sectPr>
      </w:pPr>
    </w:p>
    <w:p>
      <w:pPr>
        <w:pStyle w:val="Heading2"/>
        <w:spacing w:line="274" w:lineRule="exact"/>
        <w:ind w:left="216" w:right="0"/>
        <w:jc w:val="left"/>
        <w:rPr>
          <w:rFonts w:ascii="宋体" w:hAnsi="宋体" w:cs="宋体" w:eastAsia="宋体" w:hint="default"/>
        </w:rPr>
      </w:pPr>
      <w:r>
        <w:rPr>
          <w:rFonts w:ascii="宋体"/>
        </w:rPr>
        <w:t> </w:t>
      </w:r>
    </w:p>
    <w:p>
      <w:pPr>
        <w:pStyle w:val="Heading3"/>
        <w:spacing w:line="240" w:lineRule="auto" w:before="85"/>
        <w:ind w:left="216" w:right="0"/>
        <w:jc w:val="left"/>
        <w:rPr>
          <w:rFonts w:ascii="宋体" w:hAnsi="宋体" w:cs="宋体" w:eastAsia="宋体" w:hint="default"/>
          <w:b w:val="0"/>
          <w:bCs w:val="0"/>
        </w:rPr>
      </w:pPr>
      <w:r>
        <w:rPr>
          <w:rFonts w:ascii="宋体" w:hAnsi="宋体" w:cs="宋体" w:eastAsia="宋体" w:hint="default"/>
        </w:rPr>
        <w:t>(4).</w:t>
      </w:r>
      <w:r>
        <w:rPr/>
        <w:t>现金和现金等价物的构成</w:t>
      </w:r>
      <w:r>
        <w:rPr>
          <w:rFonts w:ascii="宋体" w:hAnsi="宋体" w:cs="宋体" w:eastAsia="宋体" w:hint="default"/>
          <w:w w:val="99"/>
        </w:rPr>
        <w:t> </w:t>
      </w:r>
      <w:r>
        <w:rPr>
          <w:rFonts w:ascii="宋体" w:hAnsi="宋体" w:cs="宋体" w:eastAsia="宋体" w:hint="default"/>
          <w:b w:val="0"/>
          <w:bCs w:val="0"/>
        </w:rPr>
      </w:r>
    </w:p>
    <w:p>
      <w:pPr>
        <w:pStyle w:val="Heading2"/>
        <w:spacing w:line="240" w:lineRule="auto" w:before="69"/>
        <w:ind w:left="21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pStyle w:val="BodyText"/>
        <w:spacing w:line="240" w:lineRule="auto"/>
        <w:ind w:left="216" w:right="0"/>
        <w:jc w:val="left"/>
        <w:rPr>
          <w:rFonts w:ascii="宋体" w:hAnsi="宋体" w:cs="宋体" w:eastAsia="宋体" w:hint="default"/>
        </w:rPr>
      </w:pPr>
      <w:r>
        <w:rPr/>
        <w:t>单位：元币种：人民币</w:t>
      </w:r>
      <w:r>
        <w:rPr>
          <w:rFonts w:ascii="宋体" w:hAnsi="宋体" w:cs="宋体" w:eastAsia="宋体" w:hint="default"/>
          <w:b/>
          <w:bCs/>
          <w:w w:val="99"/>
        </w:rPr>
        <w:t> </w:t>
      </w:r>
      <w:r>
        <w:rPr>
          <w:rFonts w:ascii="宋体" w:hAnsi="宋体" w:cs="宋体" w:eastAsia="宋体" w:hint="default"/>
        </w:rPr>
      </w:r>
    </w:p>
    <w:p>
      <w:pPr>
        <w:spacing w:after="0" w:line="240" w:lineRule="auto"/>
        <w:jc w:val="left"/>
        <w:rPr>
          <w:rFonts w:ascii="宋体" w:hAnsi="宋体" w:cs="宋体" w:eastAsia="宋体" w:hint="default"/>
        </w:rPr>
        <w:sectPr>
          <w:type w:val="continuous"/>
          <w:pgSz w:w="11910" w:h="16840"/>
          <w:pgMar w:top="1580" w:bottom="280" w:left="1060" w:right="1560"/>
          <w:cols w:num="2" w:equalWidth="0">
            <w:col w:w="3070" w:space="3664"/>
            <w:col w:w="2556"/>
          </w:cols>
        </w:sectPr>
      </w:pPr>
    </w:p>
    <w:p>
      <w:pPr>
        <w:spacing w:line="240" w:lineRule="auto" w:before="10"/>
        <w:rPr>
          <w:rFonts w:ascii="宋体" w:hAnsi="宋体" w:cs="宋体" w:eastAsia="宋体" w:hint="default"/>
          <w:b/>
          <w:bCs/>
          <w:sz w:val="3"/>
          <w:szCs w:val="3"/>
        </w:rPr>
      </w:pPr>
    </w:p>
    <w:tbl>
      <w:tblPr>
        <w:tblW w:w="0" w:type="auto"/>
        <w:jc w:val="left"/>
        <w:tblInd w:w="103" w:type="dxa"/>
        <w:tblLayout w:type="fixed"/>
        <w:tblCellMar>
          <w:top w:w="0" w:type="dxa"/>
          <w:left w:w="0" w:type="dxa"/>
          <w:bottom w:w="0" w:type="dxa"/>
          <w:right w:w="0" w:type="dxa"/>
        </w:tblCellMar>
        <w:tblLook w:val="01E0"/>
      </w:tblPr>
      <w:tblGrid>
        <w:gridCol w:w="3937"/>
        <w:gridCol w:w="2693"/>
        <w:gridCol w:w="2420"/>
      </w:tblGrid>
      <w:tr>
        <w:trPr>
          <w:trHeight w:val="322"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921"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84"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322"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一、现金</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1,826,752,298.33</w:t>
            </w:r>
            <w:r>
              <w:rPr>
                <w:rFonts w:ascii="宋体"/>
                <w:sz w:val="21"/>
              </w:rPr>
              <w:t> </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1,885,285,030.01</w:t>
            </w:r>
            <w:r>
              <w:rPr>
                <w:rFonts w:ascii="宋体"/>
                <w:sz w:val="21"/>
              </w:rPr>
              <w:t> </w:t>
            </w:r>
          </w:p>
        </w:tc>
      </w:tr>
      <w:tr>
        <w:trPr>
          <w:trHeight w:val="322"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其中：库存现金</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48,172.77</w:t>
            </w:r>
            <w:r>
              <w:rPr>
                <w:rFonts w:ascii="宋体"/>
                <w:sz w:val="21"/>
              </w:rPr>
              <w:t> </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24,591.91</w:t>
            </w:r>
            <w:r>
              <w:rPr>
                <w:rFonts w:ascii="宋体"/>
                <w:sz w:val="21"/>
              </w:rPr>
              <w:t> </w:t>
            </w:r>
          </w:p>
        </w:tc>
      </w:tr>
      <w:tr>
        <w:trPr>
          <w:trHeight w:val="324"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pacing w:val="1"/>
                <w:sz w:val="21"/>
                <w:szCs w:val="21"/>
              </w:rPr>
              <w:t> </w:t>
            </w:r>
            <w:r>
              <w:rPr>
                <w:rFonts w:ascii="宋体" w:hAnsi="宋体" w:cs="宋体" w:eastAsia="宋体" w:hint="default"/>
                <w:sz w:val="21"/>
                <w:szCs w:val="21"/>
              </w:rPr>
              <w:t>可随时用于支付的银行存款</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spacing w:val="-1"/>
                <w:sz w:val="21"/>
              </w:rPr>
              <w:t>1,622,287,770.78</w:t>
            </w:r>
            <w:r>
              <w:rPr>
                <w:rFonts w:ascii="宋体"/>
                <w:sz w:val="21"/>
              </w:rPr>
              <w:t> </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spacing w:val="-1"/>
                <w:sz w:val="21"/>
              </w:rPr>
              <w:t>1,641,015,037.88</w:t>
            </w:r>
            <w:r>
              <w:rPr>
                <w:rFonts w:ascii="宋体"/>
                <w:sz w:val="21"/>
              </w:rPr>
              <w:t> </w:t>
            </w:r>
          </w:p>
        </w:tc>
      </w:tr>
      <w:tr>
        <w:trPr>
          <w:trHeight w:val="322"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pacing w:val="1"/>
                <w:sz w:val="21"/>
                <w:szCs w:val="21"/>
              </w:rPr>
              <w:t> </w:t>
            </w:r>
            <w:r>
              <w:rPr>
                <w:rFonts w:ascii="宋体" w:hAnsi="宋体" w:cs="宋体" w:eastAsia="宋体" w:hint="default"/>
                <w:sz w:val="21"/>
                <w:szCs w:val="21"/>
              </w:rPr>
              <w:t>可随时用于支付的其他货币资金</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204,416,354.78</w:t>
            </w:r>
            <w:r>
              <w:rPr>
                <w:rFonts w:ascii="宋体"/>
                <w:sz w:val="21"/>
              </w:rPr>
              <w:t> </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244,245,400.22</w:t>
            </w:r>
            <w:r>
              <w:rPr>
                <w:rFonts w:ascii="宋体"/>
                <w:sz w:val="21"/>
              </w:rPr>
              <w:t> </w:t>
            </w:r>
          </w:p>
        </w:tc>
      </w:tr>
      <w:tr>
        <w:trPr>
          <w:trHeight w:val="322"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pacing w:val="1"/>
                <w:sz w:val="21"/>
                <w:szCs w:val="21"/>
              </w:rPr>
              <w:t> </w:t>
            </w:r>
            <w:r>
              <w:rPr>
                <w:rFonts w:ascii="宋体" w:hAnsi="宋体" w:cs="宋体" w:eastAsia="宋体" w:hint="default"/>
                <w:sz w:val="21"/>
                <w:szCs w:val="21"/>
              </w:rPr>
              <w:t>可用于支付的存放中央银行款项</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pacing w:val="1"/>
                <w:sz w:val="21"/>
                <w:szCs w:val="21"/>
              </w:rPr>
              <w:t> </w:t>
            </w:r>
            <w:r>
              <w:rPr>
                <w:rFonts w:ascii="宋体" w:hAnsi="宋体" w:cs="宋体" w:eastAsia="宋体" w:hint="default"/>
                <w:sz w:val="21"/>
                <w:szCs w:val="21"/>
              </w:rPr>
              <w:t>存放同业款项</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pacing w:val="1"/>
                <w:sz w:val="21"/>
                <w:szCs w:val="21"/>
              </w:rPr>
              <w:t> </w:t>
            </w:r>
            <w:r>
              <w:rPr>
                <w:rFonts w:ascii="宋体" w:hAnsi="宋体" w:cs="宋体" w:eastAsia="宋体" w:hint="default"/>
                <w:sz w:val="21"/>
                <w:szCs w:val="21"/>
              </w:rPr>
              <w:t>拆放同业款项</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二、现金等价物</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4"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其中：三个月内到期的债券投资</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w w:val="100"/>
                <w:sz w:val="21"/>
              </w:rPr>
              <w:t> </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三、期末现金及现金等价物余额</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1,826,752,298.33</w:t>
            </w:r>
            <w:r>
              <w:rPr>
                <w:rFonts w:ascii="宋体"/>
                <w:sz w:val="21"/>
              </w:rPr>
              <w:t> </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1,885,285,030.01</w:t>
            </w:r>
            <w:r>
              <w:rPr>
                <w:rFonts w:ascii="宋体"/>
                <w:sz w:val="21"/>
              </w:rPr>
              <w:t> </w:t>
            </w:r>
          </w:p>
        </w:tc>
      </w:tr>
      <w:tr>
        <w:trPr>
          <w:trHeight w:val="634"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6"/>
              <w:jc w:val="left"/>
              <w:rPr>
                <w:rFonts w:ascii="宋体" w:hAnsi="宋体" w:cs="宋体" w:eastAsia="宋体" w:hint="default"/>
                <w:sz w:val="21"/>
                <w:szCs w:val="21"/>
              </w:rPr>
            </w:pPr>
            <w:r>
              <w:rPr>
                <w:rFonts w:ascii="宋体" w:hAnsi="宋体" w:cs="宋体" w:eastAsia="宋体" w:hint="default"/>
                <w:spacing w:val="-5"/>
                <w:sz w:val="21"/>
                <w:szCs w:val="21"/>
              </w:rPr>
              <w:t>其中：母公司或集团内子公司使用受限制</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的现金和现金等价物</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bl>
    <w:p>
      <w:pPr>
        <w:pStyle w:val="Heading2"/>
        <w:spacing w:line="274" w:lineRule="exact"/>
        <w:ind w:left="216" w:right="0"/>
        <w:jc w:val="left"/>
        <w:rPr>
          <w:rFonts w:ascii="宋体" w:hAnsi="宋体" w:cs="宋体" w:eastAsia="宋体" w:hint="default"/>
        </w:rPr>
      </w:pPr>
      <w:r>
        <w:rPr>
          <w:rFonts w:ascii="宋体"/>
        </w:rPr>
        <w:t> </w:t>
      </w:r>
    </w:p>
    <w:p>
      <w:pPr>
        <w:pStyle w:val="BodyText"/>
        <w:spacing w:line="240" w:lineRule="auto" w:before="85"/>
        <w:ind w:left="216" w:right="0"/>
        <w:jc w:val="left"/>
        <w:rPr>
          <w:rFonts w:ascii="宋体" w:hAnsi="宋体" w:cs="宋体" w:eastAsia="宋体" w:hint="default"/>
        </w:rPr>
      </w:pPr>
      <w:r>
        <w:rPr/>
        <w:t>其他说明：</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580" w:bottom="280" w:left="1060" w:right="1560"/>
        </w:sectPr>
      </w:pPr>
    </w:p>
    <w:p>
      <w:pPr>
        <w:spacing w:line="240" w:lineRule="auto" w:before="2"/>
        <w:rPr>
          <w:rFonts w:ascii="宋体" w:hAnsi="宋体" w:cs="宋体" w:eastAsia="宋体" w:hint="default"/>
          <w:sz w:val="19"/>
          <w:szCs w:val="19"/>
        </w:rPr>
      </w:pPr>
    </w:p>
    <w:p>
      <w:pPr>
        <w:pStyle w:val="BodyText"/>
        <w:spacing w:line="240" w:lineRule="auto" w:before="36"/>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2"/>
        <w:spacing w:line="240" w:lineRule="auto" w:before="69"/>
        <w:ind w:left="236" w:right="0"/>
        <w:jc w:val="left"/>
        <w:rPr>
          <w:rFonts w:ascii="宋体" w:hAnsi="宋体" w:cs="宋体" w:eastAsia="宋体" w:hint="default"/>
        </w:rPr>
      </w:pPr>
      <w:r>
        <w:rPr>
          <w:rFonts w:ascii="宋体"/>
        </w:rPr>
        <w:t> </w:t>
      </w:r>
    </w:p>
    <w:p>
      <w:pPr>
        <w:pStyle w:val="Heading3"/>
        <w:spacing w:line="240" w:lineRule="auto" w:before="85"/>
        <w:ind w:left="236" w:right="0"/>
        <w:jc w:val="left"/>
        <w:rPr>
          <w:rFonts w:ascii="宋体" w:hAnsi="宋体" w:cs="宋体" w:eastAsia="宋体" w:hint="default"/>
          <w:b w:val="0"/>
          <w:bCs w:val="0"/>
        </w:rPr>
      </w:pPr>
      <w:r>
        <w:rPr>
          <w:rFonts w:ascii="宋体" w:hAnsi="宋体" w:cs="宋体" w:eastAsia="宋体" w:hint="default"/>
        </w:rPr>
        <w:t>78</w:t>
      </w:r>
      <w:r>
        <w:rPr/>
        <w:t>、</w:t>
      </w:r>
      <w:r>
        <w:rPr>
          <w:spacing w:val="-27"/>
        </w:rPr>
        <w:t> </w:t>
      </w:r>
      <w:r>
        <w:rPr/>
        <w:t>所有者权益变动表项目注释</w:t>
      </w:r>
      <w:r>
        <w:rPr>
          <w:rFonts w:ascii="宋体" w:hAnsi="宋体" w:cs="宋体" w:eastAsia="宋体" w:hint="default"/>
          <w:w w:val="99"/>
        </w:rPr>
        <w:t> </w:t>
      </w:r>
      <w:r>
        <w:rPr>
          <w:rFonts w:ascii="宋体" w:hAnsi="宋体" w:cs="宋体" w:eastAsia="宋体" w:hint="default"/>
          <w:b w:val="0"/>
          <w:bCs w:val="0"/>
        </w:rPr>
      </w:r>
    </w:p>
    <w:p>
      <w:pPr>
        <w:pStyle w:val="Heading2"/>
        <w:spacing w:line="313" w:lineRule="exact" w:before="69"/>
        <w:ind w:left="236" w:right="0"/>
        <w:jc w:val="left"/>
        <w:rPr>
          <w:rFonts w:ascii="宋体" w:hAnsi="宋体" w:cs="宋体" w:eastAsia="宋体" w:hint="default"/>
        </w:rPr>
      </w:pPr>
      <w:r>
        <w:rPr/>
        <w:t>说明对上年期末余额进行调整的“其他”项目名称及调整金额等事项：</w:t>
      </w:r>
      <w:r>
        <w:rPr>
          <w:rFonts w:ascii="宋体" w:hAnsi="宋体" w:cs="宋体" w:eastAsia="宋体" w:hint="default"/>
        </w:rPr>
        <w:t> </w:t>
      </w:r>
    </w:p>
    <w:p>
      <w:pPr>
        <w:pStyle w:val="Heading2"/>
        <w:spacing w:line="313" w:lineRule="exact"/>
        <w:ind w:left="23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r>
        <w:rPr>
          <w:rFonts w:ascii="宋体" w:hAnsi="宋体" w:cs="宋体" w:eastAsia="宋体" w:hint="default"/>
          <w:color w:val="FF00FF"/>
        </w:rPr>
        <w:t> </w:t>
      </w:r>
      <w:r>
        <w:rPr>
          <w:rFonts w:ascii="宋体" w:hAnsi="宋体" w:cs="宋体" w:eastAsia="宋体" w:hint="default"/>
        </w:rPr>
      </w:r>
    </w:p>
    <w:p>
      <w:pPr>
        <w:pStyle w:val="BodyText"/>
        <w:spacing w:line="240" w:lineRule="auto" w:before="25"/>
        <w:ind w:left="236" w:right="0"/>
        <w:jc w:val="left"/>
        <w:rPr>
          <w:rFonts w:ascii="宋体" w:hAnsi="宋体" w:cs="宋体" w:eastAsia="宋体" w:hint="default"/>
        </w:rPr>
      </w:pPr>
      <w:r>
        <w:rPr>
          <w:rFonts w:ascii="宋体"/>
          <w:w w:val="100"/>
        </w:rPr>
        <w:t> </w:t>
      </w:r>
    </w:p>
    <w:p>
      <w:pPr>
        <w:pStyle w:val="Heading3"/>
        <w:spacing w:line="240" w:lineRule="auto"/>
        <w:ind w:left="236" w:right="0"/>
        <w:jc w:val="left"/>
        <w:rPr>
          <w:rFonts w:ascii="宋体" w:hAnsi="宋体" w:cs="宋体" w:eastAsia="宋体" w:hint="default"/>
          <w:b w:val="0"/>
          <w:bCs w:val="0"/>
        </w:rPr>
      </w:pPr>
      <w:r>
        <w:rPr>
          <w:rFonts w:ascii="宋体" w:hAnsi="宋体" w:cs="宋体" w:eastAsia="宋体" w:hint="default"/>
        </w:rPr>
        <w:t>79</w:t>
      </w:r>
      <w:r>
        <w:rPr/>
        <w:t>、</w:t>
      </w:r>
      <w:r>
        <w:rPr>
          <w:spacing w:val="-26"/>
        </w:rPr>
        <w:t> </w:t>
      </w:r>
      <w:r>
        <w:rPr/>
        <w:t>所有权或使用权受到限制的资产</w:t>
      </w:r>
      <w:r>
        <w:rPr>
          <w:rFonts w:ascii="宋体" w:hAnsi="宋体" w:cs="宋体" w:eastAsia="宋体" w:hint="default"/>
          <w:w w:val="99"/>
        </w:rPr>
        <w:t> </w:t>
      </w:r>
      <w:r>
        <w:rPr>
          <w:rFonts w:ascii="宋体" w:hAnsi="宋体" w:cs="宋体" w:eastAsia="宋体" w:hint="default"/>
          <w:b w:val="0"/>
          <w:bCs w:val="0"/>
        </w:rPr>
      </w:r>
    </w:p>
    <w:p>
      <w:pPr>
        <w:pStyle w:val="Heading2"/>
        <w:spacing w:line="240" w:lineRule="auto" w:before="69"/>
        <w:ind w:left="23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BodyText"/>
        <w:spacing w:line="240" w:lineRule="auto" w:before="25"/>
        <w:ind w:left="0" w:right="688"/>
        <w:jc w:val="right"/>
        <w:rPr>
          <w:rFonts w:ascii="宋体" w:hAnsi="宋体" w:cs="宋体" w:eastAsia="宋体" w:hint="default"/>
        </w:rPr>
      </w:pPr>
      <w:r>
        <w:rPr>
          <w:spacing w:val="-2"/>
        </w:rPr>
        <w:t>单位：元币种：人民币</w:t>
      </w:r>
      <w:r>
        <w:rPr>
          <w:rFonts w:ascii="宋体" w:hAnsi="宋体" w:cs="宋体" w:eastAsia="宋体" w:hint="default"/>
        </w:rPr>
        <w:t> </w:t>
      </w:r>
    </w:p>
    <w:p>
      <w:pPr>
        <w:spacing w:line="240" w:lineRule="auto" w:before="10"/>
        <w:rPr>
          <w:rFonts w:ascii="宋体" w:hAnsi="宋体" w:cs="宋体" w:eastAsia="宋体" w:hint="default"/>
          <w:sz w:val="3"/>
          <w:szCs w:val="3"/>
        </w:rPr>
      </w:pPr>
    </w:p>
    <w:tbl>
      <w:tblPr>
        <w:tblW w:w="0" w:type="auto"/>
        <w:jc w:val="left"/>
        <w:tblInd w:w="116" w:type="dxa"/>
        <w:tblLayout w:type="fixed"/>
        <w:tblCellMar>
          <w:top w:w="0" w:type="dxa"/>
          <w:left w:w="0" w:type="dxa"/>
          <w:bottom w:w="0" w:type="dxa"/>
          <w:right w:w="0" w:type="dxa"/>
        </w:tblCellMar>
        <w:tblLook w:val="01E0"/>
      </w:tblPr>
      <w:tblGrid>
        <w:gridCol w:w="2240"/>
        <w:gridCol w:w="2269"/>
        <w:gridCol w:w="5106"/>
      </w:tblGrid>
      <w:tr>
        <w:trPr>
          <w:trHeight w:val="322" w:hRule="exact"/>
        </w:trPr>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797"/>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99" w:right="0"/>
              <w:jc w:val="left"/>
              <w:rPr>
                <w:rFonts w:ascii="宋体" w:hAnsi="宋体" w:cs="宋体" w:eastAsia="宋体" w:hint="default"/>
                <w:sz w:val="21"/>
                <w:szCs w:val="21"/>
              </w:rPr>
            </w:pPr>
            <w:r>
              <w:rPr>
                <w:rFonts w:ascii="宋体" w:hAnsi="宋体" w:cs="宋体" w:eastAsia="宋体" w:hint="default"/>
                <w:sz w:val="21"/>
                <w:szCs w:val="21"/>
              </w:rPr>
              <w:t>期末账面价值</w:t>
            </w:r>
            <w:r>
              <w:rPr>
                <w:rFonts w:ascii="宋体" w:hAnsi="宋体" w:cs="宋体" w:eastAsia="宋体" w:hint="default"/>
                <w:sz w:val="21"/>
                <w:szCs w:val="21"/>
              </w:rPr>
              <w:t> </w:t>
            </w:r>
          </w:p>
        </w:tc>
        <w:tc>
          <w:tcPr>
            <w:tcW w:w="510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center"/>
              <w:rPr>
                <w:rFonts w:ascii="宋体" w:hAnsi="宋体" w:cs="宋体" w:eastAsia="宋体" w:hint="default"/>
                <w:sz w:val="21"/>
                <w:szCs w:val="21"/>
              </w:rPr>
            </w:pPr>
            <w:r>
              <w:rPr>
                <w:rFonts w:ascii="宋体" w:hAnsi="宋体" w:cs="宋体" w:eastAsia="宋体" w:hint="default"/>
                <w:sz w:val="21"/>
                <w:szCs w:val="21"/>
              </w:rPr>
              <w:t>受限原因</w:t>
            </w:r>
            <w:r>
              <w:rPr>
                <w:rFonts w:ascii="宋体" w:hAnsi="宋体" w:cs="宋体" w:eastAsia="宋体" w:hint="default"/>
                <w:sz w:val="21"/>
                <w:szCs w:val="21"/>
              </w:rPr>
              <w:t> </w:t>
            </w:r>
          </w:p>
        </w:tc>
      </w:tr>
      <w:tr>
        <w:trPr>
          <w:trHeight w:val="322" w:hRule="exact"/>
        </w:trPr>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8" w:right="0"/>
              <w:jc w:val="left"/>
              <w:rPr>
                <w:rFonts w:ascii="宋体" w:hAnsi="宋体" w:cs="宋体" w:eastAsia="宋体" w:hint="default"/>
                <w:sz w:val="21"/>
                <w:szCs w:val="21"/>
              </w:rPr>
            </w:pPr>
            <w:r>
              <w:rPr>
                <w:rFonts w:ascii="宋体" w:hAnsi="宋体" w:cs="宋体" w:eastAsia="宋体" w:hint="default"/>
                <w:sz w:val="21"/>
                <w:szCs w:val="21"/>
              </w:rPr>
              <w:t>货币资金</w:t>
            </w:r>
            <w:r>
              <w:rPr>
                <w:rFonts w:ascii="宋体" w:hAnsi="宋体" w:cs="宋体" w:eastAsia="宋体" w:hint="default"/>
                <w:sz w:val="21"/>
                <w:szCs w:val="21"/>
              </w:rPr>
              <w:t> </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right"/>
              <w:rPr>
                <w:rFonts w:ascii="宋体" w:hAnsi="宋体" w:cs="宋体" w:eastAsia="宋体" w:hint="default"/>
                <w:sz w:val="21"/>
                <w:szCs w:val="21"/>
              </w:rPr>
            </w:pPr>
            <w:r>
              <w:rPr>
                <w:rFonts w:ascii="宋体"/>
                <w:spacing w:val="-1"/>
                <w:sz w:val="21"/>
              </w:rPr>
              <w:t>205,810,430.38</w:t>
            </w:r>
            <w:r>
              <w:rPr>
                <w:rFonts w:ascii="宋体"/>
                <w:sz w:val="21"/>
              </w:rPr>
              <w:t> </w:t>
            </w:r>
          </w:p>
        </w:tc>
        <w:tc>
          <w:tcPr>
            <w:tcW w:w="510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8" w:right="0"/>
              <w:jc w:val="left"/>
              <w:rPr>
                <w:rFonts w:ascii="宋体" w:hAnsi="宋体" w:cs="宋体" w:eastAsia="宋体" w:hint="default"/>
                <w:sz w:val="21"/>
                <w:szCs w:val="21"/>
              </w:rPr>
            </w:pPr>
            <w:r>
              <w:rPr>
                <w:rFonts w:ascii="宋体" w:hAnsi="宋体" w:cs="宋体" w:eastAsia="宋体" w:hint="default"/>
                <w:sz w:val="21"/>
                <w:szCs w:val="21"/>
              </w:rPr>
              <w:t>详见本附注“七、（一）货币资金</w:t>
            </w:r>
            <w:r>
              <w:rPr>
                <w:rFonts w:ascii="宋体" w:hAnsi="宋体" w:cs="宋体" w:eastAsia="宋体" w:hint="default"/>
                <w:sz w:val="21"/>
                <w:szCs w:val="21"/>
              </w:rPr>
              <w:t> </w:t>
            </w:r>
          </w:p>
        </w:tc>
      </w:tr>
      <w:tr>
        <w:trPr>
          <w:trHeight w:val="322" w:hRule="exact"/>
        </w:trPr>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8" w:right="0"/>
              <w:jc w:val="left"/>
              <w:rPr>
                <w:rFonts w:ascii="宋体" w:hAnsi="宋体" w:cs="宋体" w:eastAsia="宋体" w:hint="default"/>
                <w:sz w:val="21"/>
                <w:szCs w:val="21"/>
              </w:rPr>
            </w:pPr>
            <w:r>
              <w:rPr>
                <w:rFonts w:ascii="宋体" w:hAnsi="宋体" w:cs="宋体" w:eastAsia="宋体" w:hint="default"/>
                <w:sz w:val="21"/>
                <w:szCs w:val="21"/>
              </w:rPr>
              <w:t>应收票据</w:t>
            </w:r>
            <w:r>
              <w:rPr>
                <w:rFonts w:ascii="宋体" w:hAnsi="宋体" w:cs="宋体" w:eastAsia="宋体" w:hint="default"/>
                <w:sz w:val="21"/>
                <w:szCs w:val="21"/>
              </w:rPr>
              <w:t> </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0"/>
              <w:jc w:val="right"/>
              <w:rPr>
                <w:rFonts w:ascii="宋体" w:hAnsi="宋体" w:cs="宋体" w:eastAsia="宋体" w:hint="default"/>
                <w:sz w:val="21"/>
                <w:szCs w:val="21"/>
              </w:rPr>
            </w:pPr>
            <w:r>
              <w:rPr>
                <w:rFonts w:ascii="宋体"/>
                <w:w w:val="100"/>
                <w:sz w:val="21"/>
              </w:rPr>
              <w:t> </w:t>
            </w:r>
          </w:p>
        </w:tc>
        <w:tc>
          <w:tcPr>
            <w:tcW w:w="5106"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8" w:right="0"/>
              <w:jc w:val="left"/>
              <w:rPr>
                <w:rFonts w:ascii="宋体" w:hAnsi="宋体" w:cs="宋体" w:eastAsia="宋体" w:hint="default"/>
                <w:sz w:val="21"/>
                <w:szCs w:val="21"/>
              </w:rPr>
            </w:pPr>
            <w:r>
              <w:rPr>
                <w:rFonts w:ascii="宋体"/>
                <w:w w:val="100"/>
                <w:sz w:val="21"/>
              </w:rPr>
              <w:t> </w:t>
            </w:r>
          </w:p>
        </w:tc>
      </w:tr>
      <w:tr>
        <w:trPr>
          <w:trHeight w:val="636" w:hRule="exact"/>
        </w:trPr>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108" w:right="0"/>
              <w:jc w:val="left"/>
              <w:rPr>
                <w:rFonts w:ascii="宋体" w:hAnsi="宋体" w:cs="宋体" w:eastAsia="宋体" w:hint="default"/>
                <w:sz w:val="21"/>
                <w:szCs w:val="21"/>
              </w:rPr>
            </w:pPr>
            <w:r>
              <w:rPr>
                <w:rFonts w:ascii="宋体" w:hAnsi="宋体" w:cs="宋体" w:eastAsia="宋体" w:hint="default"/>
                <w:sz w:val="21"/>
                <w:szCs w:val="21"/>
              </w:rPr>
              <w:t>存货</w:t>
            </w:r>
            <w:r>
              <w:rPr>
                <w:rFonts w:ascii="宋体" w:hAnsi="宋体" w:cs="宋体" w:eastAsia="宋体" w:hint="default"/>
                <w:sz w:val="21"/>
                <w:szCs w:val="21"/>
              </w:rPr>
              <w:t> </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0"/>
              <w:jc w:val="right"/>
              <w:rPr>
                <w:rFonts w:ascii="宋体" w:hAnsi="宋体" w:cs="宋体" w:eastAsia="宋体" w:hint="default"/>
                <w:sz w:val="21"/>
                <w:szCs w:val="21"/>
              </w:rPr>
            </w:pPr>
            <w:r>
              <w:rPr>
                <w:rFonts w:ascii="宋体"/>
                <w:spacing w:val="-1"/>
                <w:sz w:val="21"/>
              </w:rPr>
              <w:t>10,854,947.95</w:t>
            </w:r>
            <w:r>
              <w:rPr>
                <w:rFonts w:ascii="宋体"/>
                <w:sz w:val="21"/>
              </w:rPr>
              <w:t> </w:t>
            </w:r>
          </w:p>
        </w:tc>
        <w:tc>
          <w:tcPr>
            <w:tcW w:w="510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8" w:right="106"/>
              <w:jc w:val="left"/>
              <w:rPr>
                <w:rFonts w:ascii="宋体" w:hAnsi="宋体" w:cs="宋体" w:eastAsia="宋体" w:hint="default"/>
                <w:sz w:val="21"/>
                <w:szCs w:val="21"/>
              </w:rPr>
            </w:pPr>
            <w:r>
              <w:rPr>
                <w:rFonts w:ascii="宋体" w:hAnsi="宋体" w:cs="宋体" w:eastAsia="宋体" w:hint="default"/>
                <w:sz w:val="21"/>
                <w:szCs w:val="21"/>
              </w:rPr>
              <w:t>UAB ELGAMA ELEKTRONIKA</w:t>
            </w:r>
            <w:r>
              <w:rPr>
                <w:rFonts w:ascii="宋体" w:hAnsi="宋体" w:cs="宋体" w:eastAsia="宋体" w:hint="default"/>
                <w:spacing w:val="-63"/>
                <w:sz w:val="21"/>
                <w:szCs w:val="21"/>
              </w:rPr>
              <w:t> </w:t>
            </w:r>
            <w:r>
              <w:rPr>
                <w:rFonts w:ascii="宋体" w:hAnsi="宋体" w:cs="宋体" w:eastAsia="宋体" w:hint="default"/>
                <w:sz w:val="21"/>
                <w:szCs w:val="21"/>
              </w:rPr>
              <w:t>抵押给当地银行取得银行保</w:t>
            </w:r>
            <w:r>
              <w:rPr>
                <w:rFonts w:ascii="宋体" w:hAnsi="宋体" w:cs="宋体" w:eastAsia="宋体" w:hint="default"/>
                <w:w w:val="100"/>
                <w:sz w:val="21"/>
                <w:szCs w:val="21"/>
              </w:rPr>
              <w:t> </w:t>
            </w:r>
            <w:r>
              <w:rPr>
                <w:rFonts w:ascii="宋体" w:hAnsi="宋体" w:cs="宋体" w:eastAsia="宋体" w:hint="default"/>
                <w:sz w:val="21"/>
                <w:szCs w:val="21"/>
              </w:rPr>
              <w:t>函；到期日</w:t>
            </w:r>
            <w:r>
              <w:rPr>
                <w:rFonts w:ascii="宋体" w:hAnsi="宋体" w:cs="宋体" w:eastAsia="宋体" w:hint="default"/>
                <w:spacing w:val="-52"/>
                <w:sz w:val="21"/>
                <w:szCs w:val="21"/>
              </w:rPr>
              <w:t> </w:t>
            </w:r>
            <w:r>
              <w:rPr>
                <w:rFonts w:ascii="宋体" w:hAnsi="宋体" w:cs="宋体" w:eastAsia="宋体" w:hint="default"/>
                <w:sz w:val="21"/>
                <w:szCs w:val="21"/>
              </w:rPr>
              <w:t>2022</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12</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r>
      <w:tr>
        <w:trPr>
          <w:trHeight w:val="322" w:hRule="exact"/>
        </w:trPr>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8" w:right="0"/>
              <w:jc w:val="left"/>
              <w:rPr>
                <w:rFonts w:ascii="宋体" w:hAnsi="宋体" w:cs="宋体" w:eastAsia="宋体" w:hint="default"/>
                <w:sz w:val="21"/>
                <w:szCs w:val="21"/>
              </w:rPr>
            </w:pPr>
            <w:r>
              <w:rPr>
                <w:rFonts w:ascii="宋体" w:hAnsi="宋体" w:cs="宋体" w:eastAsia="宋体" w:hint="default"/>
                <w:sz w:val="21"/>
                <w:szCs w:val="21"/>
              </w:rPr>
              <w:t>固定资产</w:t>
            </w:r>
            <w:r>
              <w:rPr>
                <w:rFonts w:ascii="宋体" w:hAnsi="宋体" w:cs="宋体" w:eastAsia="宋体" w:hint="default"/>
                <w:sz w:val="21"/>
                <w:szCs w:val="21"/>
              </w:rPr>
              <w:t> </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right"/>
              <w:rPr>
                <w:rFonts w:ascii="宋体" w:hAnsi="宋体" w:cs="宋体" w:eastAsia="宋体" w:hint="default"/>
                <w:sz w:val="21"/>
                <w:szCs w:val="21"/>
              </w:rPr>
            </w:pPr>
            <w:r>
              <w:rPr>
                <w:rFonts w:ascii="宋体"/>
                <w:spacing w:val="-1"/>
                <w:sz w:val="21"/>
              </w:rPr>
              <w:t>646,269,838.92</w:t>
            </w:r>
            <w:r>
              <w:rPr>
                <w:rFonts w:ascii="宋体"/>
                <w:sz w:val="21"/>
              </w:rPr>
              <w:t> </w:t>
            </w:r>
          </w:p>
        </w:tc>
        <w:tc>
          <w:tcPr>
            <w:tcW w:w="510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8" w:right="0"/>
              <w:jc w:val="left"/>
              <w:rPr>
                <w:rFonts w:ascii="宋体" w:hAnsi="宋体" w:cs="宋体" w:eastAsia="宋体" w:hint="default"/>
                <w:sz w:val="21"/>
                <w:szCs w:val="21"/>
              </w:rPr>
            </w:pPr>
            <w:r>
              <w:rPr>
                <w:rFonts w:ascii="宋体" w:hAnsi="宋体" w:cs="宋体" w:eastAsia="宋体" w:hint="default"/>
                <w:sz w:val="21"/>
                <w:szCs w:val="21"/>
              </w:rPr>
              <w:t>详见本附注“十四（一）重要承诺事项”</w:t>
            </w:r>
            <w:r>
              <w:rPr>
                <w:rFonts w:ascii="宋体" w:hAnsi="宋体" w:cs="宋体" w:eastAsia="宋体" w:hint="default"/>
                <w:sz w:val="21"/>
                <w:szCs w:val="21"/>
              </w:rPr>
              <w:t> </w:t>
            </w:r>
          </w:p>
        </w:tc>
      </w:tr>
      <w:tr>
        <w:trPr>
          <w:trHeight w:val="324" w:hRule="exact"/>
        </w:trPr>
        <w:tc>
          <w:tcPr>
            <w:tcW w:w="2240" w:type="dxa"/>
            <w:tcBorders>
              <w:top w:val="single" w:sz="4" w:space="0" w:color="000000"/>
              <w:left w:val="single" w:sz="4" w:space="0" w:color="000000"/>
              <w:bottom w:val="single" w:sz="6" w:space="0" w:color="000000"/>
              <w:right w:val="single" w:sz="4" w:space="0" w:color="000000"/>
            </w:tcBorders>
          </w:tcPr>
          <w:p>
            <w:pPr>
              <w:pStyle w:val="TableParagraph"/>
              <w:spacing w:line="262" w:lineRule="exact"/>
              <w:ind w:left="108" w:right="0"/>
              <w:jc w:val="left"/>
              <w:rPr>
                <w:rFonts w:ascii="宋体" w:hAnsi="宋体" w:cs="宋体" w:eastAsia="宋体" w:hint="default"/>
                <w:sz w:val="21"/>
                <w:szCs w:val="21"/>
              </w:rPr>
            </w:pPr>
            <w:r>
              <w:rPr>
                <w:rFonts w:ascii="宋体" w:hAnsi="宋体" w:cs="宋体" w:eastAsia="宋体" w:hint="default"/>
                <w:sz w:val="21"/>
                <w:szCs w:val="21"/>
              </w:rPr>
              <w:t>无形资产</w:t>
            </w:r>
            <w:r>
              <w:rPr>
                <w:rFonts w:ascii="宋体" w:hAnsi="宋体" w:cs="宋体" w:eastAsia="宋体" w:hint="default"/>
                <w:sz w:val="21"/>
                <w:szCs w:val="21"/>
              </w:rPr>
              <w:t> </w:t>
            </w:r>
          </w:p>
        </w:tc>
        <w:tc>
          <w:tcPr>
            <w:tcW w:w="2269" w:type="dxa"/>
            <w:tcBorders>
              <w:top w:val="single" w:sz="4" w:space="0" w:color="000000"/>
              <w:left w:val="single" w:sz="4" w:space="0" w:color="000000"/>
              <w:bottom w:val="single" w:sz="6" w:space="0" w:color="000000"/>
              <w:right w:val="single" w:sz="4" w:space="0" w:color="000000"/>
            </w:tcBorders>
          </w:tcPr>
          <w:p>
            <w:pPr>
              <w:pStyle w:val="TableParagraph"/>
              <w:spacing w:line="262" w:lineRule="exact"/>
              <w:ind w:right="0"/>
              <w:jc w:val="right"/>
              <w:rPr>
                <w:rFonts w:ascii="宋体" w:hAnsi="宋体" w:cs="宋体" w:eastAsia="宋体" w:hint="default"/>
                <w:sz w:val="21"/>
                <w:szCs w:val="21"/>
              </w:rPr>
            </w:pPr>
            <w:r>
              <w:rPr>
                <w:rFonts w:ascii="宋体"/>
                <w:spacing w:val="-1"/>
                <w:sz w:val="21"/>
              </w:rPr>
              <w:t>10,826,388.36</w:t>
            </w:r>
            <w:r>
              <w:rPr>
                <w:rFonts w:ascii="宋体"/>
                <w:sz w:val="21"/>
              </w:rPr>
              <w:t> </w:t>
            </w:r>
          </w:p>
        </w:tc>
        <w:tc>
          <w:tcPr>
            <w:tcW w:w="5106" w:type="dxa"/>
            <w:tcBorders>
              <w:top w:val="single" w:sz="4" w:space="0" w:color="000000"/>
              <w:left w:val="single" w:sz="4" w:space="0" w:color="000000"/>
              <w:bottom w:val="single" w:sz="6" w:space="0" w:color="000000"/>
              <w:right w:val="single" w:sz="4" w:space="0" w:color="000000"/>
            </w:tcBorders>
          </w:tcPr>
          <w:p>
            <w:pPr>
              <w:pStyle w:val="TableParagraph"/>
              <w:spacing w:line="262" w:lineRule="exact"/>
              <w:ind w:left="108" w:right="0"/>
              <w:jc w:val="left"/>
              <w:rPr>
                <w:rFonts w:ascii="宋体" w:hAnsi="宋体" w:cs="宋体" w:eastAsia="宋体" w:hint="default"/>
                <w:sz w:val="21"/>
                <w:szCs w:val="21"/>
              </w:rPr>
            </w:pPr>
            <w:r>
              <w:rPr>
                <w:rFonts w:ascii="宋体" w:hAnsi="宋体" w:cs="宋体" w:eastAsia="宋体" w:hint="default"/>
                <w:sz w:val="21"/>
                <w:szCs w:val="21"/>
              </w:rPr>
              <w:t>详见本附注“十四（一）重要承诺事项”</w:t>
            </w:r>
            <w:r>
              <w:rPr>
                <w:rFonts w:ascii="宋体" w:hAnsi="宋体" w:cs="宋体" w:eastAsia="宋体" w:hint="default"/>
                <w:sz w:val="21"/>
                <w:szCs w:val="21"/>
              </w:rPr>
              <w:t> </w:t>
            </w:r>
          </w:p>
        </w:tc>
      </w:tr>
      <w:tr>
        <w:trPr>
          <w:trHeight w:val="638" w:hRule="exact"/>
        </w:trPr>
        <w:tc>
          <w:tcPr>
            <w:tcW w:w="2240"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143"/>
              <w:ind w:left="105" w:right="0"/>
              <w:jc w:val="left"/>
              <w:rPr>
                <w:rFonts w:ascii="宋体" w:hAnsi="宋体" w:cs="宋体" w:eastAsia="宋体" w:hint="default"/>
                <w:sz w:val="21"/>
                <w:szCs w:val="21"/>
              </w:rPr>
            </w:pPr>
            <w:r>
              <w:rPr>
                <w:rFonts w:ascii="宋体" w:hAnsi="宋体" w:cs="宋体" w:eastAsia="宋体" w:hint="default"/>
                <w:sz w:val="21"/>
                <w:szCs w:val="21"/>
              </w:rPr>
              <w:t>应收账款</w:t>
            </w:r>
            <w:r>
              <w:rPr>
                <w:rFonts w:ascii="宋体" w:hAnsi="宋体" w:cs="宋体" w:eastAsia="宋体" w:hint="default"/>
                <w:sz w:val="21"/>
                <w:szCs w:val="21"/>
              </w:rPr>
              <w:t> </w:t>
            </w:r>
          </w:p>
        </w:tc>
        <w:tc>
          <w:tcPr>
            <w:tcW w:w="22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right="-1"/>
              <w:jc w:val="right"/>
              <w:rPr>
                <w:rFonts w:ascii="宋体" w:hAnsi="宋体" w:cs="宋体" w:eastAsia="宋体" w:hint="default"/>
                <w:sz w:val="21"/>
                <w:szCs w:val="21"/>
              </w:rPr>
            </w:pPr>
            <w:r>
              <w:rPr>
                <w:rFonts w:ascii="宋体"/>
                <w:spacing w:val="-1"/>
                <w:sz w:val="21"/>
              </w:rPr>
              <w:t>12,734,481.91</w:t>
            </w:r>
            <w:r>
              <w:rPr>
                <w:rFonts w:ascii="宋体"/>
                <w:sz w:val="21"/>
              </w:rPr>
              <w:t> </w:t>
            </w:r>
          </w:p>
        </w:tc>
        <w:tc>
          <w:tcPr>
            <w:tcW w:w="5106"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105" w:right="103"/>
              <w:jc w:val="left"/>
              <w:rPr>
                <w:rFonts w:ascii="宋体" w:hAnsi="宋体" w:cs="宋体" w:eastAsia="宋体" w:hint="default"/>
                <w:sz w:val="21"/>
                <w:szCs w:val="21"/>
              </w:rPr>
            </w:pPr>
            <w:r>
              <w:rPr>
                <w:rFonts w:ascii="宋体" w:hAnsi="宋体" w:cs="宋体" w:eastAsia="宋体" w:hint="default"/>
                <w:sz w:val="21"/>
                <w:szCs w:val="21"/>
              </w:rPr>
              <w:t>UAB ELGAMA ELEKTRONIKA</w:t>
            </w:r>
            <w:r>
              <w:rPr>
                <w:rFonts w:ascii="宋体" w:hAnsi="宋体" w:cs="宋体" w:eastAsia="宋体" w:hint="default"/>
                <w:spacing w:val="-63"/>
                <w:sz w:val="21"/>
                <w:szCs w:val="21"/>
              </w:rPr>
              <w:t> </w:t>
            </w:r>
            <w:r>
              <w:rPr>
                <w:rFonts w:ascii="宋体" w:hAnsi="宋体" w:cs="宋体" w:eastAsia="宋体" w:hint="default"/>
                <w:sz w:val="21"/>
                <w:szCs w:val="21"/>
              </w:rPr>
              <w:t>抵押给当地银行取得银行保</w:t>
            </w:r>
            <w:r>
              <w:rPr>
                <w:rFonts w:ascii="宋体" w:hAnsi="宋体" w:cs="宋体" w:eastAsia="宋体" w:hint="default"/>
                <w:w w:val="100"/>
                <w:sz w:val="21"/>
                <w:szCs w:val="21"/>
              </w:rPr>
              <w:t> </w:t>
            </w:r>
            <w:r>
              <w:rPr>
                <w:rFonts w:ascii="宋体" w:hAnsi="宋体" w:cs="宋体" w:eastAsia="宋体" w:hint="default"/>
                <w:sz w:val="21"/>
                <w:szCs w:val="21"/>
              </w:rPr>
              <w:t>函；到期日</w:t>
            </w:r>
            <w:r>
              <w:rPr>
                <w:rFonts w:ascii="宋体" w:hAnsi="宋体" w:cs="宋体" w:eastAsia="宋体" w:hint="default"/>
                <w:spacing w:val="-52"/>
                <w:sz w:val="21"/>
                <w:szCs w:val="21"/>
              </w:rPr>
              <w:t> </w:t>
            </w:r>
            <w:r>
              <w:rPr>
                <w:rFonts w:ascii="宋体" w:hAnsi="宋体" w:cs="宋体" w:eastAsia="宋体" w:hint="default"/>
                <w:sz w:val="21"/>
                <w:szCs w:val="21"/>
              </w:rPr>
              <w:t>2022</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12</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r>
      <w:tr>
        <w:trPr>
          <w:trHeight w:val="329" w:hRule="exact"/>
        </w:trPr>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797"/>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2269" w:type="dxa"/>
            <w:tcBorders>
              <w:top w:val="single" w:sz="6" w:space="0" w:color="000000"/>
              <w:left w:val="single" w:sz="4" w:space="0" w:color="000000"/>
              <w:bottom w:val="single" w:sz="6" w:space="0" w:color="000000"/>
              <w:right w:val="single" w:sz="4" w:space="0" w:color="000000"/>
            </w:tcBorders>
          </w:tcPr>
          <w:p>
            <w:pPr>
              <w:pStyle w:val="TableParagraph"/>
              <w:spacing w:line="262" w:lineRule="exact"/>
              <w:ind w:right="0"/>
              <w:jc w:val="right"/>
              <w:rPr>
                <w:rFonts w:ascii="宋体" w:hAnsi="宋体" w:cs="宋体" w:eastAsia="宋体" w:hint="default"/>
                <w:sz w:val="21"/>
                <w:szCs w:val="21"/>
              </w:rPr>
            </w:pPr>
            <w:r>
              <w:rPr>
                <w:rFonts w:ascii="宋体"/>
                <w:spacing w:val="-1"/>
                <w:sz w:val="21"/>
              </w:rPr>
              <w:t>886,496,087.52</w:t>
            </w:r>
            <w:r>
              <w:rPr>
                <w:rFonts w:ascii="宋体"/>
                <w:sz w:val="21"/>
              </w:rPr>
              <w:t> </w:t>
            </w:r>
          </w:p>
        </w:tc>
        <w:tc>
          <w:tcPr>
            <w:tcW w:w="5106" w:type="dxa"/>
            <w:tcBorders>
              <w:top w:val="single" w:sz="6" w:space="0" w:color="000000"/>
              <w:left w:val="single" w:sz="4" w:space="0" w:color="000000"/>
              <w:bottom w:val="single" w:sz="6" w:space="0" w:color="000000"/>
              <w:right w:val="single" w:sz="4" w:space="0" w:color="000000"/>
            </w:tcBorders>
          </w:tcPr>
          <w:p>
            <w:pPr>
              <w:pStyle w:val="TableParagraph"/>
              <w:spacing w:line="262" w:lineRule="exact"/>
              <w:ind w:left="103" w:right="0"/>
              <w:jc w:val="center"/>
              <w:rPr>
                <w:rFonts w:ascii="宋体" w:hAnsi="宋体" w:cs="宋体" w:eastAsia="宋体" w:hint="default"/>
                <w:sz w:val="21"/>
                <w:szCs w:val="21"/>
              </w:rPr>
            </w:pPr>
            <w:r>
              <w:rPr>
                <w:rFonts w:ascii="宋体"/>
                <w:sz w:val="21"/>
              </w:rPr>
              <w:t>/ </w:t>
            </w:r>
          </w:p>
        </w:tc>
      </w:tr>
    </w:tbl>
    <w:p>
      <w:pPr>
        <w:spacing w:after="0" w:line="262" w:lineRule="exact"/>
        <w:jc w:val="center"/>
        <w:rPr>
          <w:rFonts w:ascii="宋体" w:hAnsi="宋体" w:cs="宋体" w:eastAsia="宋体" w:hint="default"/>
          <w:sz w:val="21"/>
          <w:szCs w:val="21"/>
        </w:rPr>
        <w:sectPr>
          <w:footerReference w:type="default" r:id="rId219"/>
          <w:pgSz w:w="11910" w:h="16840"/>
          <w:pgMar w:footer="974" w:header="0" w:top="1140" w:bottom="1160" w:left="1040" w:right="1000"/>
        </w:sectPr>
      </w:pPr>
    </w:p>
    <w:p>
      <w:pPr>
        <w:pStyle w:val="BodyText"/>
        <w:spacing w:line="240" w:lineRule="auto" w:before="47"/>
        <w:ind w:left="236" w:right="0"/>
        <w:jc w:val="left"/>
        <w:rPr>
          <w:rFonts w:ascii="宋体" w:hAnsi="宋体" w:cs="宋体" w:eastAsia="宋体" w:hint="default"/>
        </w:rPr>
      </w:pPr>
      <w:r>
        <w:rPr>
          <w:rFonts w:ascii="宋体"/>
          <w:w w:val="100"/>
        </w:rPr>
        <w:t> </w:t>
      </w:r>
    </w:p>
    <w:p>
      <w:pPr>
        <w:pStyle w:val="Heading3"/>
        <w:spacing w:line="326" w:lineRule="auto"/>
        <w:ind w:left="236" w:right="0"/>
        <w:jc w:val="left"/>
        <w:rPr>
          <w:rFonts w:ascii="宋体" w:hAnsi="宋体" w:cs="宋体" w:eastAsia="宋体" w:hint="default"/>
          <w:b w:val="0"/>
          <w:bCs w:val="0"/>
        </w:rPr>
      </w:pPr>
      <w:r>
        <w:rPr>
          <w:rFonts w:ascii="宋体" w:hAnsi="宋体" w:cs="宋体" w:eastAsia="宋体" w:hint="default"/>
        </w:rPr>
        <w:t>80</w:t>
      </w:r>
      <w:r>
        <w:rPr/>
        <w:t>、</w:t>
      </w:r>
      <w:r>
        <w:rPr>
          <w:spacing w:val="-26"/>
        </w:rPr>
        <w:t> </w:t>
      </w:r>
      <w:r>
        <w:rPr/>
        <w:t>外币货币性项目</w:t>
      </w:r>
      <w:r>
        <w:rPr>
          <w:rFonts w:ascii="宋体" w:hAnsi="宋体" w:cs="宋体" w:eastAsia="宋体" w:hint="default"/>
          <w:w w:val="99"/>
        </w:rPr>
        <w:t> </w:t>
      </w:r>
      <w:r>
        <w:rPr>
          <w:rFonts w:ascii="宋体" w:hAnsi="宋体" w:cs="宋体" w:eastAsia="宋体" w:hint="default"/>
        </w:rPr>
        <w:t>(1).</w:t>
      </w:r>
      <w:r>
        <w:rPr/>
        <w:t>外币货币性项目</w:t>
      </w:r>
      <w:r>
        <w:rPr>
          <w:rFonts w:ascii="宋体" w:hAnsi="宋体" w:cs="宋体" w:eastAsia="宋体" w:hint="default"/>
          <w:b w:val="0"/>
          <w:bCs w:val="0"/>
          <w:w w:val="100"/>
        </w:rPr>
        <w:t> </w:t>
      </w:r>
    </w:p>
    <w:p>
      <w:pPr>
        <w:pStyle w:val="Heading2"/>
        <w:spacing w:line="308" w:lineRule="exact"/>
        <w:ind w:left="23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67"/>
        <w:ind w:left="236" w:right="0"/>
        <w:jc w:val="left"/>
        <w:rPr>
          <w:rFonts w:ascii="宋体" w:hAnsi="宋体" w:cs="宋体" w:eastAsia="宋体" w:hint="default"/>
        </w:rPr>
      </w:pPr>
      <w:r>
        <w:rPr/>
        <w:t>单位：元</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580" w:bottom="280" w:left="1040" w:right="1000"/>
          <w:cols w:num="2" w:equalWidth="0">
            <w:col w:w="2323" w:space="5671"/>
            <w:col w:w="1876"/>
          </w:cols>
        </w:sectPr>
      </w:pPr>
    </w:p>
    <w:p>
      <w:pPr>
        <w:spacing w:line="240" w:lineRule="auto" w:before="10"/>
        <w:rPr>
          <w:rFonts w:ascii="宋体" w:hAnsi="宋体" w:cs="宋体" w:eastAsia="宋体" w:hint="default"/>
          <w:sz w:val="3"/>
          <w:szCs w:val="3"/>
        </w:rPr>
      </w:pPr>
    </w:p>
    <w:tbl>
      <w:tblPr>
        <w:tblW w:w="0" w:type="auto"/>
        <w:jc w:val="left"/>
        <w:tblInd w:w="123" w:type="dxa"/>
        <w:tblLayout w:type="fixed"/>
        <w:tblCellMar>
          <w:top w:w="0" w:type="dxa"/>
          <w:left w:w="0" w:type="dxa"/>
          <w:bottom w:w="0" w:type="dxa"/>
          <w:right w:w="0" w:type="dxa"/>
        </w:tblCellMar>
        <w:tblLook w:val="01E0"/>
      </w:tblPr>
      <w:tblGrid>
        <w:gridCol w:w="2898"/>
        <w:gridCol w:w="2050"/>
        <w:gridCol w:w="2057"/>
        <w:gridCol w:w="2045"/>
      </w:tblGrid>
      <w:tr>
        <w:trPr>
          <w:trHeight w:val="634"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5"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388" w:right="0"/>
              <w:jc w:val="left"/>
              <w:rPr>
                <w:rFonts w:ascii="宋体" w:hAnsi="宋体" w:cs="宋体" w:eastAsia="宋体" w:hint="default"/>
                <w:sz w:val="21"/>
                <w:szCs w:val="21"/>
              </w:rPr>
            </w:pPr>
            <w:r>
              <w:rPr>
                <w:rFonts w:ascii="宋体" w:hAnsi="宋体" w:cs="宋体" w:eastAsia="宋体" w:hint="default"/>
                <w:sz w:val="21"/>
                <w:szCs w:val="21"/>
              </w:rPr>
              <w:t>期末外币余额</w:t>
            </w:r>
            <w:r>
              <w:rPr>
                <w:rFonts w:ascii="宋体" w:hAnsi="宋体" w:cs="宋体" w:eastAsia="宋体" w:hint="default"/>
                <w:sz w:val="21"/>
                <w:szCs w:val="21"/>
              </w:rPr>
              <w:t> </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602" w:right="0"/>
              <w:jc w:val="left"/>
              <w:rPr>
                <w:rFonts w:ascii="宋体" w:hAnsi="宋体" w:cs="宋体" w:eastAsia="宋体" w:hint="default"/>
                <w:sz w:val="21"/>
                <w:szCs w:val="21"/>
              </w:rPr>
            </w:pPr>
            <w:r>
              <w:rPr>
                <w:rFonts w:ascii="宋体" w:hAnsi="宋体" w:cs="宋体" w:eastAsia="宋体" w:hint="default"/>
                <w:sz w:val="21"/>
                <w:szCs w:val="21"/>
              </w:rPr>
              <w:t>折算汇率</w:t>
            </w:r>
            <w:r>
              <w:rPr>
                <w:rFonts w:ascii="宋体" w:hAnsi="宋体" w:cs="宋体" w:eastAsia="宋体" w:hint="default"/>
                <w:sz w:val="21"/>
                <w:szCs w:val="21"/>
              </w:rPr>
              <w:t> </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806" w:right="175" w:hanging="526"/>
              <w:jc w:val="left"/>
              <w:rPr>
                <w:rFonts w:ascii="宋体" w:hAnsi="宋体" w:cs="宋体" w:eastAsia="宋体" w:hint="default"/>
                <w:sz w:val="21"/>
                <w:szCs w:val="21"/>
              </w:rPr>
            </w:pPr>
            <w:r>
              <w:rPr>
                <w:rFonts w:ascii="宋体" w:hAnsi="宋体" w:cs="宋体" w:eastAsia="宋体" w:hint="default"/>
                <w:sz w:val="21"/>
                <w:szCs w:val="21"/>
              </w:rPr>
              <w:t>期末折算人民币</w:t>
            </w:r>
            <w:r>
              <w:rPr>
                <w:rFonts w:ascii="宋体" w:hAnsi="宋体" w:cs="宋体" w:eastAsia="宋体" w:hint="default"/>
                <w:w w:val="100"/>
                <w:sz w:val="21"/>
                <w:szCs w:val="21"/>
              </w:rPr>
              <w:t> </w:t>
            </w:r>
            <w:r>
              <w:rPr>
                <w:rFonts w:ascii="宋体" w:hAnsi="宋体" w:cs="宋体" w:eastAsia="宋体" w:hint="default"/>
                <w:sz w:val="21"/>
                <w:szCs w:val="21"/>
              </w:rPr>
              <w:t>余额</w:t>
            </w:r>
            <w:r>
              <w:rPr>
                <w:rFonts w:ascii="宋体" w:hAnsi="宋体" w:cs="宋体" w:eastAsia="宋体" w:hint="default"/>
                <w:sz w:val="21"/>
                <w:szCs w:val="21"/>
              </w:rPr>
              <w:t> </w:t>
            </w:r>
          </w:p>
        </w:tc>
      </w:tr>
      <w:tr>
        <w:trPr>
          <w:trHeight w:val="322"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货币资金</w:t>
            </w:r>
            <w:r>
              <w:rPr>
                <w:rFonts w:ascii="宋体" w:hAnsi="宋体" w:cs="宋体" w:eastAsia="宋体" w:hint="default"/>
                <w:sz w:val="21"/>
                <w:szCs w:val="21"/>
              </w:rPr>
              <w:t> </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3"/>
              <w:jc w:val="right"/>
              <w:rPr>
                <w:rFonts w:ascii="宋体" w:hAnsi="宋体" w:cs="宋体" w:eastAsia="宋体" w:hint="default"/>
                <w:sz w:val="21"/>
                <w:szCs w:val="21"/>
              </w:rPr>
            </w:pPr>
            <w:r>
              <w:rPr>
                <w:rFonts w:ascii="Times New Roman"/>
                <w:spacing w:val="-1"/>
                <w:sz w:val="18"/>
              </w:rPr>
              <w:t>355,256,352.42</w:t>
            </w:r>
            <w:r>
              <w:rPr>
                <w:rFonts w:ascii="宋体"/>
                <w:spacing w:val="-1"/>
                <w:w w:val="100"/>
                <w:sz w:val="21"/>
              </w:rPr>
              <w:t> </w:t>
            </w:r>
          </w:p>
        </w:tc>
      </w:tr>
      <w:tr>
        <w:trPr>
          <w:trHeight w:val="322"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其中：美元</w:t>
            </w:r>
            <w:r>
              <w:rPr>
                <w:rFonts w:ascii="宋体" w:hAnsi="宋体" w:cs="宋体" w:eastAsia="宋体" w:hint="default"/>
                <w:sz w:val="21"/>
                <w:szCs w:val="21"/>
              </w:rPr>
              <w:t> </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47,201,917.37</w:t>
            </w:r>
            <w:r>
              <w:rPr>
                <w:rFonts w:ascii="宋体"/>
                <w:sz w:val="21"/>
              </w:rPr>
              <w:t> </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6.9762</w:t>
            </w:r>
            <w:r>
              <w:rPr>
                <w:rFonts w:ascii="宋体"/>
                <w:sz w:val="21"/>
              </w:rPr>
              <w:t> </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329,290,015.99</w:t>
            </w:r>
            <w:r>
              <w:rPr>
                <w:rFonts w:ascii="宋体"/>
                <w:sz w:val="21"/>
              </w:rPr>
              <w:t> </w:t>
            </w:r>
          </w:p>
        </w:tc>
      </w:tr>
      <w:tr>
        <w:trPr>
          <w:trHeight w:val="322"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pacing w:val="-2"/>
                <w:sz w:val="21"/>
                <w:szCs w:val="21"/>
              </w:rPr>
              <w:t> </w:t>
            </w:r>
            <w:r>
              <w:rPr>
                <w:rFonts w:ascii="宋体" w:hAnsi="宋体" w:cs="宋体" w:eastAsia="宋体" w:hint="default"/>
                <w:sz w:val="21"/>
                <w:szCs w:val="21"/>
              </w:rPr>
              <w:t>欧元</w:t>
            </w:r>
            <w:r>
              <w:rPr>
                <w:rFonts w:ascii="宋体" w:hAnsi="宋体" w:cs="宋体" w:eastAsia="宋体" w:hint="default"/>
                <w:sz w:val="21"/>
                <w:szCs w:val="21"/>
              </w:rPr>
              <w:t> </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1,291,266.06</w:t>
            </w:r>
            <w:r>
              <w:rPr>
                <w:rFonts w:ascii="宋体"/>
                <w:sz w:val="21"/>
              </w:rPr>
              <w:t> </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7.8155</w:t>
            </w:r>
            <w:r>
              <w:rPr>
                <w:rFonts w:ascii="宋体"/>
                <w:sz w:val="21"/>
              </w:rPr>
              <w:t> </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10,091,889.92</w:t>
            </w:r>
            <w:r>
              <w:rPr>
                <w:rFonts w:ascii="宋体"/>
                <w:sz w:val="21"/>
              </w:rPr>
              <w:t> </w:t>
            </w:r>
          </w:p>
        </w:tc>
      </w:tr>
      <w:tr>
        <w:trPr>
          <w:trHeight w:val="324"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pacing w:val="-2"/>
                <w:sz w:val="21"/>
                <w:szCs w:val="21"/>
              </w:rPr>
              <w:t> </w:t>
            </w:r>
            <w:r>
              <w:rPr>
                <w:rFonts w:ascii="宋体" w:hAnsi="宋体" w:cs="宋体" w:eastAsia="宋体" w:hint="default"/>
                <w:sz w:val="21"/>
                <w:szCs w:val="21"/>
              </w:rPr>
              <w:t>港币</w:t>
            </w:r>
            <w:r>
              <w:rPr>
                <w:rFonts w:ascii="宋体" w:hAnsi="宋体" w:cs="宋体" w:eastAsia="宋体" w:hint="default"/>
                <w:sz w:val="21"/>
                <w:szCs w:val="21"/>
              </w:rPr>
              <w:t> </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spacing w:val="-1"/>
                <w:sz w:val="21"/>
              </w:rPr>
              <w:t>288,399.56</w:t>
            </w:r>
            <w:r>
              <w:rPr>
                <w:rFonts w:ascii="宋体"/>
                <w:sz w:val="21"/>
              </w:rPr>
              <w:t> </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spacing w:val="-1"/>
                <w:sz w:val="21"/>
              </w:rPr>
              <w:t>0.8958</w:t>
            </w:r>
            <w:r>
              <w:rPr>
                <w:rFonts w:ascii="宋体"/>
                <w:sz w:val="21"/>
              </w:rPr>
              <w:t> </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spacing w:val="-1"/>
                <w:sz w:val="21"/>
              </w:rPr>
              <w:t>258,348.33</w:t>
            </w:r>
            <w:r>
              <w:rPr>
                <w:rFonts w:ascii="宋体"/>
                <w:sz w:val="21"/>
              </w:rPr>
              <w:t> </w:t>
            </w:r>
          </w:p>
        </w:tc>
      </w:tr>
      <w:tr>
        <w:trPr>
          <w:trHeight w:val="322"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pacing w:val="-2"/>
                <w:sz w:val="21"/>
                <w:szCs w:val="21"/>
              </w:rPr>
              <w:t> </w:t>
            </w:r>
            <w:r>
              <w:rPr>
                <w:rFonts w:ascii="宋体" w:hAnsi="宋体" w:cs="宋体" w:eastAsia="宋体" w:hint="default"/>
                <w:sz w:val="21"/>
                <w:szCs w:val="21"/>
              </w:rPr>
              <w:t>新加坡元</w:t>
            </w:r>
            <w:r>
              <w:rPr>
                <w:rFonts w:ascii="宋体" w:hAnsi="宋体" w:cs="宋体" w:eastAsia="宋体" w:hint="default"/>
                <w:sz w:val="21"/>
                <w:szCs w:val="21"/>
              </w:rPr>
              <w:t> </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254,906.82</w:t>
            </w:r>
            <w:r>
              <w:rPr>
                <w:rFonts w:ascii="宋体"/>
                <w:sz w:val="21"/>
              </w:rPr>
              <w:t> </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5.1739</w:t>
            </w:r>
            <w:r>
              <w:rPr>
                <w:rFonts w:ascii="宋体"/>
                <w:sz w:val="21"/>
              </w:rPr>
              <w:t> </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1,318,862.40</w:t>
            </w:r>
            <w:r>
              <w:rPr>
                <w:rFonts w:ascii="宋体"/>
                <w:sz w:val="21"/>
              </w:rPr>
              <w:t> </w:t>
            </w:r>
          </w:p>
        </w:tc>
      </w:tr>
      <w:tr>
        <w:trPr>
          <w:trHeight w:val="322"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pacing w:val="-2"/>
                <w:sz w:val="21"/>
                <w:szCs w:val="21"/>
              </w:rPr>
              <w:t> </w:t>
            </w:r>
            <w:r>
              <w:rPr>
                <w:rFonts w:ascii="宋体" w:hAnsi="宋体" w:cs="宋体" w:eastAsia="宋体" w:hint="default"/>
                <w:sz w:val="21"/>
                <w:szCs w:val="21"/>
              </w:rPr>
              <w:t>澳元</w:t>
            </w:r>
            <w:r>
              <w:rPr>
                <w:rFonts w:ascii="宋体" w:hAnsi="宋体" w:cs="宋体" w:eastAsia="宋体" w:hint="default"/>
                <w:sz w:val="21"/>
                <w:szCs w:val="21"/>
              </w:rPr>
              <w:t> </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2,749,574.15</w:t>
            </w:r>
            <w:r>
              <w:rPr>
                <w:rFonts w:ascii="宋体"/>
                <w:sz w:val="21"/>
              </w:rPr>
              <w:t> </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4.8843</w:t>
            </w:r>
            <w:r>
              <w:rPr>
                <w:rFonts w:ascii="宋体"/>
                <w:sz w:val="21"/>
              </w:rPr>
              <w:t> </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13,429,745.02</w:t>
            </w:r>
            <w:r>
              <w:rPr>
                <w:rFonts w:ascii="宋体"/>
                <w:sz w:val="21"/>
              </w:rPr>
              <w:t> </w:t>
            </w:r>
          </w:p>
        </w:tc>
      </w:tr>
      <w:tr>
        <w:trPr>
          <w:trHeight w:val="322"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pacing w:val="-2"/>
                <w:sz w:val="21"/>
                <w:szCs w:val="21"/>
              </w:rPr>
              <w:t> </w:t>
            </w:r>
            <w:r>
              <w:rPr>
                <w:rFonts w:ascii="宋体" w:hAnsi="宋体" w:cs="宋体" w:eastAsia="宋体" w:hint="default"/>
                <w:sz w:val="21"/>
                <w:szCs w:val="21"/>
              </w:rPr>
              <w:t>南非兰特</w:t>
            </w:r>
            <w:r>
              <w:rPr>
                <w:rFonts w:ascii="宋体" w:hAnsi="宋体" w:cs="宋体" w:eastAsia="宋体" w:hint="default"/>
                <w:sz w:val="21"/>
                <w:szCs w:val="21"/>
              </w:rPr>
              <w:t> </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3"/>
              <w:jc w:val="right"/>
              <w:rPr>
                <w:rFonts w:ascii="宋体" w:hAnsi="宋体" w:cs="宋体" w:eastAsia="宋体" w:hint="default"/>
                <w:sz w:val="21"/>
                <w:szCs w:val="21"/>
              </w:rPr>
            </w:pPr>
            <w:r>
              <w:rPr>
                <w:rFonts w:ascii="宋体"/>
                <w:spacing w:val="-1"/>
                <w:sz w:val="21"/>
              </w:rPr>
              <w:t>1,754,846.38</w:t>
            </w:r>
            <w:r>
              <w:rPr>
                <w:rFonts w:ascii="宋体"/>
                <w:sz w:val="21"/>
              </w:rPr>
              <w:t> </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3"/>
              <w:jc w:val="right"/>
              <w:rPr>
                <w:rFonts w:ascii="宋体" w:hAnsi="宋体" w:cs="宋体" w:eastAsia="宋体" w:hint="default"/>
                <w:sz w:val="21"/>
                <w:szCs w:val="21"/>
              </w:rPr>
            </w:pPr>
            <w:r>
              <w:rPr>
                <w:rFonts w:ascii="宋体"/>
                <w:spacing w:val="-1"/>
                <w:sz w:val="21"/>
              </w:rPr>
              <w:t>0.4943</w:t>
            </w:r>
            <w:r>
              <w:rPr>
                <w:rFonts w:ascii="宋体"/>
                <w:sz w:val="21"/>
              </w:rPr>
              <w:t> </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3"/>
              <w:jc w:val="right"/>
              <w:rPr>
                <w:rFonts w:ascii="宋体" w:hAnsi="宋体" w:cs="宋体" w:eastAsia="宋体" w:hint="default"/>
                <w:sz w:val="21"/>
                <w:szCs w:val="21"/>
              </w:rPr>
            </w:pPr>
            <w:r>
              <w:rPr>
                <w:rFonts w:ascii="宋体"/>
                <w:spacing w:val="-1"/>
                <w:sz w:val="21"/>
              </w:rPr>
              <w:t>867,490.76</w:t>
            </w:r>
            <w:r>
              <w:rPr>
                <w:rFonts w:ascii="宋体"/>
                <w:sz w:val="21"/>
              </w:rPr>
              <w:t> </w:t>
            </w:r>
          </w:p>
        </w:tc>
      </w:tr>
      <w:tr>
        <w:trPr>
          <w:trHeight w:val="322"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应收账款</w:t>
            </w:r>
            <w:r>
              <w:rPr>
                <w:rFonts w:ascii="宋体" w:hAnsi="宋体" w:cs="宋体" w:eastAsia="宋体" w:hint="default"/>
                <w:sz w:val="21"/>
                <w:szCs w:val="21"/>
              </w:rPr>
              <w:t> </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114,268,813.36</w:t>
            </w:r>
            <w:r>
              <w:rPr>
                <w:rFonts w:ascii="宋体"/>
                <w:sz w:val="21"/>
              </w:rPr>
              <w:t> </w:t>
            </w:r>
          </w:p>
        </w:tc>
      </w:tr>
      <w:tr>
        <w:trPr>
          <w:trHeight w:val="322"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其中：美元</w:t>
            </w:r>
            <w:r>
              <w:rPr>
                <w:rFonts w:ascii="宋体" w:hAnsi="宋体" w:cs="宋体" w:eastAsia="宋体" w:hint="default"/>
                <w:sz w:val="21"/>
                <w:szCs w:val="21"/>
              </w:rPr>
              <w:t> </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11,729,124.99</w:t>
            </w:r>
            <w:r>
              <w:rPr>
                <w:rFonts w:ascii="宋体"/>
                <w:sz w:val="21"/>
              </w:rPr>
              <w:t> </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6.9762</w:t>
            </w:r>
            <w:r>
              <w:rPr>
                <w:rFonts w:ascii="宋体"/>
                <w:sz w:val="21"/>
              </w:rPr>
              <w:t> </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81,824,721.77</w:t>
            </w:r>
            <w:r>
              <w:rPr>
                <w:rFonts w:ascii="宋体"/>
                <w:sz w:val="21"/>
              </w:rPr>
              <w:t> </w:t>
            </w:r>
          </w:p>
        </w:tc>
      </w:tr>
      <w:tr>
        <w:trPr>
          <w:trHeight w:val="324"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pacing w:val="-2"/>
                <w:sz w:val="21"/>
                <w:szCs w:val="21"/>
              </w:rPr>
              <w:t> </w:t>
            </w:r>
            <w:r>
              <w:rPr>
                <w:rFonts w:ascii="宋体" w:hAnsi="宋体" w:cs="宋体" w:eastAsia="宋体" w:hint="default"/>
                <w:sz w:val="21"/>
                <w:szCs w:val="21"/>
              </w:rPr>
              <w:t>欧元</w:t>
            </w:r>
            <w:r>
              <w:rPr>
                <w:rFonts w:ascii="宋体" w:hAnsi="宋体" w:cs="宋体" w:eastAsia="宋体" w:hint="default"/>
                <w:sz w:val="21"/>
                <w:szCs w:val="21"/>
              </w:rPr>
              <w:t> </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spacing w:val="-1"/>
                <w:sz w:val="21"/>
              </w:rPr>
              <w:t>4,010,053.42</w:t>
            </w:r>
            <w:r>
              <w:rPr>
                <w:rFonts w:ascii="宋体"/>
                <w:sz w:val="21"/>
              </w:rPr>
              <w:t> </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spacing w:val="-1"/>
                <w:sz w:val="21"/>
              </w:rPr>
              <w:t>7.8155</w:t>
            </w:r>
            <w:r>
              <w:rPr>
                <w:rFonts w:ascii="宋体"/>
                <w:sz w:val="21"/>
              </w:rPr>
              <w:t> </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spacing w:val="-1"/>
                <w:sz w:val="21"/>
              </w:rPr>
              <w:t>31,340,572.52</w:t>
            </w:r>
            <w:r>
              <w:rPr>
                <w:rFonts w:ascii="宋体"/>
                <w:sz w:val="21"/>
              </w:rPr>
              <w:t> </w:t>
            </w:r>
          </w:p>
        </w:tc>
      </w:tr>
      <w:tr>
        <w:trPr>
          <w:trHeight w:val="322"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pacing w:val="-2"/>
                <w:sz w:val="21"/>
                <w:szCs w:val="21"/>
              </w:rPr>
              <w:t> </w:t>
            </w:r>
            <w:r>
              <w:rPr>
                <w:rFonts w:ascii="宋体" w:hAnsi="宋体" w:cs="宋体" w:eastAsia="宋体" w:hint="default"/>
                <w:sz w:val="21"/>
                <w:szCs w:val="21"/>
              </w:rPr>
              <w:t>港币</w:t>
            </w:r>
            <w:r>
              <w:rPr>
                <w:rFonts w:ascii="宋体" w:hAnsi="宋体" w:cs="宋体" w:eastAsia="宋体" w:hint="default"/>
                <w:sz w:val="21"/>
                <w:szCs w:val="21"/>
              </w:rPr>
              <w:t> </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pacing w:val="-2"/>
                <w:sz w:val="21"/>
                <w:szCs w:val="21"/>
              </w:rPr>
              <w:t> </w:t>
            </w:r>
            <w:r>
              <w:rPr>
                <w:rFonts w:ascii="宋体" w:hAnsi="宋体" w:cs="宋体" w:eastAsia="宋体" w:hint="default"/>
                <w:sz w:val="21"/>
                <w:szCs w:val="21"/>
              </w:rPr>
              <w:t>澳元</w:t>
            </w:r>
            <w:r>
              <w:rPr>
                <w:rFonts w:ascii="宋体" w:hAnsi="宋体" w:cs="宋体" w:eastAsia="宋体" w:hint="default"/>
                <w:sz w:val="21"/>
                <w:szCs w:val="21"/>
              </w:rPr>
              <w:t> </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167,516.50</w:t>
            </w:r>
            <w:r>
              <w:rPr>
                <w:rFonts w:ascii="宋体"/>
                <w:sz w:val="21"/>
              </w:rPr>
              <w:t> </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4.8843</w:t>
            </w:r>
            <w:r>
              <w:rPr>
                <w:rFonts w:ascii="宋体"/>
                <w:sz w:val="21"/>
              </w:rPr>
              <w:t> </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818,200.84</w:t>
            </w:r>
            <w:r>
              <w:rPr>
                <w:rFonts w:ascii="宋体"/>
                <w:sz w:val="21"/>
              </w:rPr>
              <w:t> </w:t>
            </w:r>
          </w:p>
        </w:tc>
      </w:tr>
      <w:tr>
        <w:trPr>
          <w:trHeight w:val="322"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pacing w:val="-2"/>
                <w:sz w:val="21"/>
                <w:szCs w:val="21"/>
              </w:rPr>
              <w:t> </w:t>
            </w:r>
            <w:r>
              <w:rPr>
                <w:rFonts w:ascii="宋体" w:hAnsi="宋体" w:cs="宋体" w:eastAsia="宋体" w:hint="default"/>
                <w:sz w:val="21"/>
                <w:szCs w:val="21"/>
              </w:rPr>
              <w:t>南非兰特</w:t>
            </w:r>
            <w:r>
              <w:rPr>
                <w:rFonts w:ascii="宋体" w:hAnsi="宋体" w:cs="宋体" w:eastAsia="宋体" w:hint="default"/>
                <w:sz w:val="21"/>
                <w:szCs w:val="21"/>
              </w:rPr>
              <w:t> </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577,170.02</w:t>
            </w:r>
            <w:r>
              <w:rPr>
                <w:rFonts w:ascii="宋体"/>
                <w:sz w:val="21"/>
              </w:rPr>
              <w:t> </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0.4943</w:t>
            </w:r>
            <w:r>
              <w:rPr>
                <w:rFonts w:ascii="宋体"/>
                <w:sz w:val="21"/>
              </w:rPr>
              <w:t> </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285,318.23</w:t>
            </w:r>
            <w:r>
              <w:rPr>
                <w:rFonts w:ascii="宋体"/>
                <w:sz w:val="21"/>
              </w:rPr>
              <w:t> </w:t>
            </w:r>
          </w:p>
        </w:tc>
      </w:tr>
      <w:tr>
        <w:trPr>
          <w:trHeight w:val="322"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21"/>
                <w:szCs w:val="21"/>
              </w:rPr>
            </w:pPr>
            <w:r>
              <w:rPr>
                <w:rFonts w:ascii="宋体" w:hAnsi="宋体" w:cs="宋体" w:eastAsia="宋体" w:hint="default"/>
                <w:sz w:val="18"/>
                <w:szCs w:val="18"/>
              </w:rPr>
              <w:t>其他应收款</w:t>
            </w:r>
            <w:r>
              <w:rPr>
                <w:rFonts w:ascii="宋体" w:hAnsi="宋体" w:cs="宋体" w:eastAsia="宋体" w:hint="default"/>
                <w:w w:val="100"/>
                <w:sz w:val="21"/>
                <w:szCs w:val="21"/>
              </w:rPr>
              <w:t> </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714,110.16</w:t>
            </w:r>
            <w:r>
              <w:rPr>
                <w:rFonts w:ascii="宋体"/>
                <w:sz w:val="21"/>
              </w:rPr>
              <w:t> </w:t>
            </w:r>
          </w:p>
        </w:tc>
      </w:tr>
      <w:tr>
        <w:trPr>
          <w:trHeight w:val="324"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其中：美元</w:t>
            </w:r>
            <w:r>
              <w:rPr>
                <w:rFonts w:ascii="宋体" w:hAnsi="宋体" w:cs="宋体" w:eastAsia="宋体" w:hint="default"/>
                <w:sz w:val="21"/>
                <w:szCs w:val="21"/>
              </w:rPr>
              <w:t> </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1,781.47</w:t>
            </w:r>
            <w:r>
              <w:rPr>
                <w:rFonts w:ascii="宋体"/>
                <w:sz w:val="21"/>
              </w:rPr>
              <w:t> </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6.9762</w:t>
            </w:r>
            <w:r>
              <w:rPr>
                <w:rFonts w:ascii="宋体"/>
                <w:sz w:val="21"/>
              </w:rPr>
              <w:t> </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12,427.89</w:t>
            </w:r>
            <w:r>
              <w:rPr>
                <w:rFonts w:ascii="宋体"/>
                <w:sz w:val="21"/>
              </w:rPr>
              <w:t> </w:t>
            </w:r>
          </w:p>
        </w:tc>
      </w:tr>
    </w:tbl>
    <w:p>
      <w:pPr>
        <w:spacing w:after="0" w:line="262" w:lineRule="exact"/>
        <w:jc w:val="right"/>
        <w:rPr>
          <w:rFonts w:ascii="宋体" w:hAnsi="宋体" w:cs="宋体" w:eastAsia="宋体" w:hint="default"/>
          <w:sz w:val="21"/>
          <w:szCs w:val="21"/>
        </w:rPr>
        <w:sectPr>
          <w:type w:val="continuous"/>
          <w:pgSz w:w="11910" w:h="16840"/>
          <w:pgMar w:top="1580" w:bottom="280" w:left="1040" w:right="1000"/>
        </w:sectPr>
      </w:pPr>
    </w:p>
    <w:p>
      <w:pPr>
        <w:spacing w:line="240" w:lineRule="auto" w:before="11"/>
        <w:rPr>
          <w:rFonts w:ascii="宋体" w:hAnsi="宋体" w:cs="宋体" w:eastAsia="宋体" w:hint="default"/>
          <w:sz w:val="22"/>
          <w:szCs w:val="22"/>
        </w:rPr>
      </w:pPr>
    </w:p>
    <w:tbl>
      <w:tblPr>
        <w:tblW w:w="0" w:type="auto"/>
        <w:jc w:val="left"/>
        <w:tblInd w:w="103" w:type="dxa"/>
        <w:tblLayout w:type="fixed"/>
        <w:tblCellMar>
          <w:top w:w="0" w:type="dxa"/>
          <w:left w:w="0" w:type="dxa"/>
          <w:bottom w:w="0" w:type="dxa"/>
          <w:right w:w="0" w:type="dxa"/>
        </w:tblCellMar>
        <w:tblLook w:val="01E0"/>
      </w:tblPr>
      <w:tblGrid>
        <w:gridCol w:w="2898"/>
        <w:gridCol w:w="2050"/>
        <w:gridCol w:w="2057"/>
        <w:gridCol w:w="2045"/>
      </w:tblGrid>
      <w:tr>
        <w:trPr>
          <w:trHeight w:val="322"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pacing w:val="-2"/>
                <w:sz w:val="21"/>
                <w:szCs w:val="21"/>
              </w:rPr>
              <w:t> </w:t>
            </w:r>
            <w:r>
              <w:rPr>
                <w:rFonts w:ascii="宋体" w:hAnsi="宋体" w:cs="宋体" w:eastAsia="宋体" w:hint="default"/>
                <w:sz w:val="21"/>
                <w:szCs w:val="21"/>
              </w:rPr>
              <w:t>欧元</w:t>
            </w:r>
            <w:r>
              <w:rPr>
                <w:rFonts w:ascii="宋体" w:hAnsi="宋体" w:cs="宋体" w:eastAsia="宋体" w:hint="default"/>
                <w:sz w:val="21"/>
                <w:szCs w:val="21"/>
              </w:rPr>
              <w:t> </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24,060.00</w:t>
            </w:r>
            <w:r>
              <w:rPr>
                <w:rFonts w:ascii="宋体"/>
                <w:sz w:val="21"/>
              </w:rPr>
              <w:t> </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7.8155</w:t>
            </w:r>
            <w:r>
              <w:rPr>
                <w:rFonts w:ascii="宋体"/>
                <w:sz w:val="21"/>
              </w:rPr>
              <w:t> </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188,040.93</w:t>
            </w:r>
            <w:r>
              <w:rPr>
                <w:rFonts w:ascii="宋体"/>
                <w:sz w:val="21"/>
              </w:rPr>
              <w:t> </w:t>
            </w:r>
          </w:p>
        </w:tc>
      </w:tr>
      <w:tr>
        <w:trPr>
          <w:trHeight w:val="322"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pacing w:val="-2"/>
                <w:sz w:val="21"/>
                <w:szCs w:val="21"/>
              </w:rPr>
              <w:t> </w:t>
            </w:r>
            <w:r>
              <w:rPr>
                <w:rFonts w:ascii="宋体" w:hAnsi="宋体" w:cs="宋体" w:eastAsia="宋体" w:hint="default"/>
                <w:sz w:val="21"/>
                <w:szCs w:val="21"/>
              </w:rPr>
              <w:t>澳元</w:t>
            </w:r>
            <w:r>
              <w:rPr>
                <w:rFonts w:ascii="宋体" w:hAnsi="宋体" w:cs="宋体" w:eastAsia="宋体" w:hint="default"/>
                <w:sz w:val="21"/>
                <w:szCs w:val="21"/>
              </w:rPr>
              <w:t> </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100,000.00</w:t>
            </w:r>
            <w:r>
              <w:rPr>
                <w:rFonts w:ascii="宋体"/>
                <w:sz w:val="21"/>
              </w:rPr>
              <w:t> </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4.8843</w:t>
            </w:r>
            <w:r>
              <w:rPr>
                <w:rFonts w:ascii="宋体"/>
                <w:sz w:val="21"/>
              </w:rPr>
              <w:t> </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488,430.00</w:t>
            </w:r>
            <w:r>
              <w:rPr>
                <w:rFonts w:ascii="宋体"/>
                <w:sz w:val="21"/>
              </w:rPr>
              <w:t> </w:t>
            </w:r>
          </w:p>
        </w:tc>
      </w:tr>
      <w:tr>
        <w:trPr>
          <w:trHeight w:val="322"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pacing w:val="-2"/>
                <w:sz w:val="21"/>
                <w:szCs w:val="21"/>
              </w:rPr>
              <w:t> </w:t>
            </w:r>
            <w:r>
              <w:rPr>
                <w:rFonts w:ascii="宋体" w:hAnsi="宋体" w:cs="宋体" w:eastAsia="宋体" w:hint="default"/>
                <w:sz w:val="21"/>
                <w:szCs w:val="21"/>
              </w:rPr>
              <w:t>南非兰特</w:t>
            </w:r>
            <w:r>
              <w:rPr>
                <w:rFonts w:ascii="宋体" w:hAnsi="宋体" w:cs="宋体" w:eastAsia="宋体" w:hint="default"/>
                <w:sz w:val="21"/>
                <w:szCs w:val="21"/>
              </w:rPr>
              <w:t> </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51,000.00</w:t>
            </w:r>
            <w:r>
              <w:rPr>
                <w:rFonts w:ascii="宋体"/>
                <w:sz w:val="21"/>
              </w:rPr>
              <w:t> </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0.4943</w:t>
            </w:r>
            <w:r>
              <w:rPr>
                <w:rFonts w:ascii="宋体"/>
                <w:sz w:val="21"/>
              </w:rPr>
              <w:t> </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25,211.34</w:t>
            </w:r>
            <w:r>
              <w:rPr>
                <w:rFonts w:ascii="宋体"/>
                <w:sz w:val="21"/>
              </w:rPr>
              <w:t> </w:t>
            </w:r>
          </w:p>
        </w:tc>
      </w:tr>
      <w:tr>
        <w:trPr>
          <w:trHeight w:val="324"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21"/>
                <w:szCs w:val="21"/>
              </w:rPr>
            </w:pPr>
            <w:r>
              <w:rPr>
                <w:rFonts w:ascii="宋体" w:hAnsi="宋体" w:cs="宋体" w:eastAsia="宋体" w:hint="default"/>
                <w:sz w:val="18"/>
                <w:szCs w:val="18"/>
              </w:rPr>
              <w:t>预付账款</w:t>
            </w:r>
            <w:r>
              <w:rPr>
                <w:rFonts w:ascii="宋体" w:hAnsi="宋体" w:cs="宋体" w:eastAsia="宋体" w:hint="default"/>
                <w:w w:val="100"/>
                <w:sz w:val="21"/>
                <w:szCs w:val="21"/>
              </w:rPr>
              <w:t> </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w w:val="100"/>
                <w:sz w:val="21"/>
              </w:rPr>
              <w:t> </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w w:val="100"/>
                <w:sz w:val="21"/>
              </w:rPr>
              <w:t> </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spacing w:val="-1"/>
                <w:sz w:val="21"/>
              </w:rPr>
              <w:t>2,525,700.35</w:t>
            </w:r>
            <w:r>
              <w:rPr>
                <w:rFonts w:ascii="宋体"/>
                <w:sz w:val="21"/>
              </w:rPr>
              <w:t> </w:t>
            </w:r>
          </w:p>
        </w:tc>
      </w:tr>
      <w:tr>
        <w:trPr>
          <w:trHeight w:val="322"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其中：美元</w:t>
            </w:r>
            <w:r>
              <w:rPr>
                <w:rFonts w:ascii="宋体" w:hAnsi="宋体" w:cs="宋体" w:eastAsia="宋体" w:hint="default"/>
                <w:sz w:val="21"/>
                <w:szCs w:val="21"/>
              </w:rPr>
              <w:t> </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101,700.86</w:t>
            </w:r>
            <w:r>
              <w:rPr>
                <w:rFonts w:ascii="宋体"/>
                <w:sz w:val="21"/>
              </w:rPr>
              <w:t> </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6.9762</w:t>
            </w:r>
            <w:r>
              <w:rPr>
                <w:rFonts w:ascii="宋体"/>
                <w:sz w:val="21"/>
              </w:rPr>
              <w:t> </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709,485.54</w:t>
            </w:r>
            <w:r>
              <w:rPr>
                <w:rFonts w:ascii="宋体"/>
                <w:sz w:val="21"/>
              </w:rPr>
              <w:t> </w:t>
            </w:r>
          </w:p>
        </w:tc>
      </w:tr>
      <w:tr>
        <w:trPr>
          <w:trHeight w:val="322"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pacing w:val="-2"/>
                <w:sz w:val="21"/>
                <w:szCs w:val="21"/>
              </w:rPr>
              <w:t> </w:t>
            </w:r>
            <w:r>
              <w:rPr>
                <w:rFonts w:ascii="宋体" w:hAnsi="宋体" w:cs="宋体" w:eastAsia="宋体" w:hint="default"/>
                <w:sz w:val="21"/>
                <w:szCs w:val="21"/>
              </w:rPr>
              <w:t>欧元</w:t>
            </w:r>
            <w:r>
              <w:rPr>
                <w:rFonts w:ascii="宋体" w:hAnsi="宋体" w:cs="宋体" w:eastAsia="宋体" w:hint="default"/>
                <w:sz w:val="21"/>
                <w:szCs w:val="21"/>
              </w:rPr>
              <w:t> </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232,386.26</w:t>
            </w:r>
            <w:r>
              <w:rPr>
                <w:rFonts w:ascii="宋体"/>
                <w:sz w:val="21"/>
              </w:rPr>
              <w:t> </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7.8155</w:t>
            </w:r>
            <w:r>
              <w:rPr>
                <w:rFonts w:ascii="宋体"/>
                <w:sz w:val="21"/>
              </w:rPr>
              <w:t> </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1,816,214.81</w:t>
            </w:r>
            <w:r>
              <w:rPr>
                <w:rFonts w:ascii="宋体"/>
                <w:sz w:val="21"/>
              </w:rPr>
              <w:t> </w:t>
            </w:r>
          </w:p>
        </w:tc>
      </w:tr>
      <w:tr>
        <w:trPr>
          <w:trHeight w:val="322"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21"/>
                <w:szCs w:val="21"/>
              </w:rPr>
            </w:pPr>
            <w:r>
              <w:rPr>
                <w:rFonts w:ascii="宋体" w:hAnsi="宋体" w:cs="宋体" w:eastAsia="宋体" w:hint="default"/>
                <w:sz w:val="18"/>
                <w:szCs w:val="18"/>
              </w:rPr>
              <w:t>应付账款</w:t>
            </w:r>
            <w:r>
              <w:rPr>
                <w:rFonts w:ascii="宋体" w:hAnsi="宋体" w:cs="宋体" w:eastAsia="宋体" w:hint="default"/>
                <w:w w:val="100"/>
                <w:sz w:val="21"/>
                <w:szCs w:val="21"/>
              </w:rPr>
              <w:t> </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6,614,210.37</w:t>
            </w:r>
            <w:r>
              <w:rPr>
                <w:rFonts w:ascii="宋体"/>
                <w:sz w:val="21"/>
              </w:rPr>
              <w:t> </w:t>
            </w:r>
          </w:p>
        </w:tc>
      </w:tr>
      <w:tr>
        <w:trPr>
          <w:trHeight w:val="322"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其中：美元</w:t>
            </w:r>
            <w:r>
              <w:rPr>
                <w:rFonts w:ascii="宋体" w:hAnsi="宋体" w:cs="宋体" w:eastAsia="宋体" w:hint="default"/>
                <w:sz w:val="21"/>
                <w:szCs w:val="21"/>
              </w:rPr>
              <w:t> </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46,013.43</w:t>
            </w:r>
            <w:r>
              <w:rPr>
                <w:rFonts w:ascii="宋体"/>
                <w:sz w:val="21"/>
              </w:rPr>
              <w:t> </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6.9762</w:t>
            </w:r>
            <w:r>
              <w:rPr>
                <w:rFonts w:ascii="宋体"/>
                <w:sz w:val="21"/>
              </w:rPr>
              <w:t> </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320,998.90</w:t>
            </w:r>
            <w:r>
              <w:rPr>
                <w:rFonts w:ascii="宋体"/>
                <w:sz w:val="21"/>
              </w:rPr>
              <w:t> </w:t>
            </w:r>
          </w:p>
        </w:tc>
      </w:tr>
      <w:tr>
        <w:trPr>
          <w:trHeight w:val="322"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pacing w:val="-2"/>
                <w:sz w:val="21"/>
                <w:szCs w:val="21"/>
              </w:rPr>
              <w:t> </w:t>
            </w:r>
            <w:r>
              <w:rPr>
                <w:rFonts w:ascii="宋体" w:hAnsi="宋体" w:cs="宋体" w:eastAsia="宋体" w:hint="default"/>
                <w:sz w:val="21"/>
                <w:szCs w:val="21"/>
              </w:rPr>
              <w:t>欧元</w:t>
            </w:r>
            <w:r>
              <w:rPr>
                <w:rFonts w:ascii="宋体" w:hAnsi="宋体" w:cs="宋体" w:eastAsia="宋体" w:hint="default"/>
                <w:sz w:val="21"/>
                <w:szCs w:val="21"/>
              </w:rPr>
              <w:t> </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561,794.81</w:t>
            </w:r>
            <w:r>
              <w:rPr>
                <w:rFonts w:ascii="宋体"/>
                <w:sz w:val="21"/>
              </w:rPr>
              <w:t> </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7.8155</w:t>
            </w:r>
            <w:r>
              <w:rPr>
                <w:rFonts w:ascii="宋体"/>
                <w:sz w:val="21"/>
              </w:rPr>
              <w:t> </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4,390,707.30</w:t>
            </w:r>
            <w:r>
              <w:rPr>
                <w:rFonts w:ascii="宋体"/>
                <w:sz w:val="21"/>
              </w:rPr>
              <w:t> </w:t>
            </w:r>
          </w:p>
        </w:tc>
      </w:tr>
      <w:tr>
        <w:trPr>
          <w:trHeight w:val="324"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pacing w:val="-2"/>
                <w:sz w:val="21"/>
                <w:szCs w:val="21"/>
              </w:rPr>
              <w:t> </w:t>
            </w:r>
            <w:r>
              <w:rPr>
                <w:rFonts w:ascii="宋体" w:hAnsi="宋体" w:cs="宋体" w:eastAsia="宋体" w:hint="default"/>
                <w:sz w:val="21"/>
                <w:szCs w:val="21"/>
              </w:rPr>
              <w:t>澳元</w:t>
            </w:r>
            <w:r>
              <w:rPr>
                <w:rFonts w:ascii="宋体" w:hAnsi="宋体" w:cs="宋体" w:eastAsia="宋体" w:hint="default"/>
                <w:sz w:val="21"/>
                <w:szCs w:val="21"/>
              </w:rPr>
              <w:t> </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spacing w:val="-1"/>
                <w:sz w:val="21"/>
              </w:rPr>
              <w:t>389,323.58</w:t>
            </w:r>
            <w:r>
              <w:rPr>
                <w:rFonts w:ascii="宋体"/>
                <w:sz w:val="21"/>
              </w:rPr>
              <w:t> </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spacing w:val="-1"/>
                <w:sz w:val="21"/>
              </w:rPr>
              <w:t>4.8843</w:t>
            </w:r>
            <w:r>
              <w:rPr>
                <w:rFonts w:ascii="宋体"/>
                <w:sz w:val="21"/>
              </w:rPr>
              <w:t> </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spacing w:val="-1"/>
                <w:sz w:val="21"/>
              </w:rPr>
              <w:t>1,901,573.16</w:t>
            </w:r>
            <w:r>
              <w:rPr>
                <w:rFonts w:ascii="宋体"/>
                <w:sz w:val="21"/>
              </w:rPr>
              <w:t> </w:t>
            </w:r>
          </w:p>
        </w:tc>
      </w:tr>
      <w:tr>
        <w:trPr>
          <w:trHeight w:val="322"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pacing w:val="-2"/>
                <w:sz w:val="21"/>
                <w:szCs w:val="21"/>
              </w:rPr>
              <w:t> </w:t>
            </w:r>
            <w:r>
              <w:rPr>
                <w:rFonts w:ascii="宋体" w:hAnsi="宋体" w:cs="宋体" w:eastAsia="宋体" w:hint="default"/>
                <w:sz w:val="21"/>
                <w:szCs w:val="21"/>
              </w:rPr>
              <w:t>南非兰特</w:t>
            </w:r>
            <w:r>
              <w:rPr>
                <w:rFonts w:ascii="宋体" w:hAnsi="宋体" w:cs="宋体" w:eastAsia="宋体" w:hint="default"/>
                <w:sz w:val="21"/>
                <w:szCs w:val="21"/>
              </w:rPr>
              <w:t> </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1,883.34</w:t>
            </w:r>
            <w:r>
              <w:rPr>
                <w:rFonts w:ascii="宋体"/>
                <w:sz w:val="21"/>
              </w:rPr>
              <w:t> </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0.4943</w:t>
            </w:r>
            <w:r>
              <w:rPr>
                <w:rFonts w:ascii="宋体"/>
                <w:sz w:val="21"/>
              </w:rPr>
              <w:t> </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931.01</w:t>
            </w:r>
            <w:r>
              <w:rPr>
                <w:rFonts w:ascii="宋体"/>
                <w:sz w:val="21"/>
              </w:rPr>
              <w:t> </w:t>
            </w:r>
          </w:p>
        </w:tc>
      </w:tr>
      <w:tr>
        <w:trPr>
          <w:trHeight w:val="322"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21"/>
                <w:szCs w:val="21"/>
              </w:rPr>
            </w:pPr>
            <w:r>
              <w:rPr>
                <w:rFonts w:ascii="宋体" w:hAnsi="宋体" w:cs="宋体" w:eastAsia="宋体" w:hint="default"/>
                <w:sz w:val="18"/>
                <w:szCs w:val="18"/>
              </w:rPr>
              <w:t>预收账款</w:t>
            </w:r>
            <w:r>
              <w:rPr>
                <w:rFonts w:ascii="宋体" w:hAnsi="宋体" w:cs="宋体" w:eastAsia="宋体" w:hint="default"/>
                <w:w w:val="100"/>
                <w:sz w:val="21"/>
                <w:szCs w:val="21"/>
              </w:rPr>
              <w:t> </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2,988,111.36</w:t>
            </w:r>
            <w:r>
              <w:rPr>
                <w:rFonts w:ascii="宋体"/>
                <w:sz w:val="21"/>
              </w:rPr>
              <w:t> </w:t>
            </w:r>
          </w:p>
        </w:tc>
      </w:tr>
      <w:tr>
        <w:trPr>
          <w:trHeight w:val="322"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其中：美元</w:t>
            </w:r>
            <w:r>
              <w:rPr>
                <w:rFonts w:ascii="宋体" w:hAnsi="宋体" w:cs="宋体" w:eastAsia="宋体" w:hint="default"/>
                <w:sz w:val="21"/>
                <w:szCs w:val="21"/>
              </w:rPr>
              <w:t> </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82,883.00</w:t>
            </w:r>
            <w:r>
              <w:rPr>
                <w:rFonts w:ascii="宋体"/>
                <w:sz w:val="21"/>
              </w:rPr>
              <w:t> </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6.9762</w:t>
            </w:r>
            <w:r>
              <w:rPr>
                <w:rFonts w:ascii="宋体"/>
                <w:sz w:val="21"/>
              </w:rPr>
              <w:t> </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578,208.37</w:t>
            </w:r>
            <w:r>
              <w:rPr>
                <w:rFonts w:ascii="宋体"/>
                <w:sz w:val="21"/>
              </w:rPr>
              <w:t> </w:t>
            </w:r>
          </w:p>
        </w:tc>
      </w:tr>
      <w:tr>
        <w:trPr>
          <w:trHeight w:val="322"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pacing w:val="-2"/>
                <w:sz w:val="21"/>
                <w:szCs w:val="21"/>
              </w:rPr>
              <w:t> </w:t>
            </w:r>
            <w:r>
              <w:rPr>
                <w:rFonts w:ascii="宋体" w:hAnsi="宋体" w:cs="宋体" w:eastAsia="宋体" w:hint="default"/>
                <w:sz w:val="21"/>
                <w:szCs w:val="21"/>
              </w:rPr>
              <w:t>欧元</w:t>
            </w:r>
            <w:r>
              <w:rPr>
                <w:rFonts w:ascii="宋体" w:hAnsi="宋体" w:cs="宋体" w:eastAsia="宋体" w:hint="default"/>
                <w:sz w:val="21"/>
                <w:szCs w:val="21"/>
              </w:rPr>
              <w:t> </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293,521.71</w:t>
            </w:r>
            <w:r>
              <w:rPr>
                <w:rFonts w:ascii="宋体"/>
                <w:sz w:val="21"/>
              </w:rPr>
              <w:t> </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7.8155</w:t>
            </w:r>
            <w:r>
              <w:rPr>
                <w:rFonts w:ascii="宋体"/>
                <w:sz w:val="21"/>
              </w:rPr>
              <w:t> </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2,294,018.93</w:t>
            </w:r>
            <w:r>
              <w:rPr>
                <w:rFonts w:ascii="宋体"/>
                <w:sz w:val="21"/>
              </w:rPr>
              <w:t> </w:t>
            </w:r>
          </w:p>
        </w:tc>
      </w:tr>
      <w:tr>
        <w:trPr>
          <w:trHeight w:val="322"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pacing w:val="-2"/>
                <w:sz w:val="21"/>
                <w:szCs w:val="21"/>
              </w:rPr>
              <w:t> </w:t>
            </w:r>
            <w:r>
              <w:rPr>
                <w:rFonts w:ascii="宋体" w:hAnsi="宋体" w:cs="宋体" w:eastAsia="宋体" w:hint="default"/>
                <w:sz w:val="21"/>
                <w:szCs w:val="21"/>
              </w:rPr>
              <w:t>南非兰特</w:t>
            </w:r>
            <w:r>
              <w:rPr>
                <w:rFonts w:ascii="宋体" w:hAnsi="宋体" w:cs="宋体" w:eastAsia="宋体" w:hint="default"/>
                <w:sz w:val="21"/>
                <w:szCs w:val="21"/>
              </w:rPr>
              <w:t> </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234,421.77</w:t>
            </w:r>
            <w:r>
              <w:rPr>
                <w:rFonts w:ascii="宋体"/>
                <w:sz w:val="21"/>
              </w:rPr>
              <w:t> </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0.4943</w:t>
            </w:r>
            <w:r>
              <w:rPr>
                <w:rFonts w:ascii="宋体"/>
                <w:sz w:val="21"/>
              </w:rPr>
              <w:t> </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115,884.06</w:t>
            </w:r>
            <w:r>
              <w:rPr>
                <w:rFonts w:ascii="宋体"/>
                <w:sz w:val="21"/>
              </w:rPr>
              <w:t> </w:t>
            </w:r>
          </w:p>
        </w:tc>
      </w:tr>
      <w:tr>
        <w:trPr>
          <w:trHeight w:val="324"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21"/>
                <w:szCs w:val="21"/>
              </w:rPr>
            </w:pPr>
            <w:r>
              <w:rPr>
                <w:rFonts w:ascii="宋体" w:hAnsi="宋体" w:cs="宋体" w:eastAsia="宋体" w:hint="default"/>
                <w:sz w:val="18"/>
                <w:szCs w:val="18"/>
              </w:rPr>
              <w:t>其他应付款</w:t>
            </w:r>
            <w:r>
              <w:rPr>
                <w:rFonts w:ascii="宋体" w:hAnsi="宋体" w:cs="宋体" w:eastAsia="宋体" w:hint="default"/>
                <w:w w:val="100"/>
                <w:sz w:val="21"/>
                <w:szCs w:val="21"/>
              </w:rPr>
              <w:t> </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w w:val="100"/>
                <w:sz w:val="21"/>
              </w:rPr>
              <w:t> </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w w:val="100"/>
                <w:sz w:val="21"/>
              </w:rPr>
              <w:t> </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spacing w:val="-1"/>
                <w:sz w:val="21"/>
              </w:rPr>
              <w:t>4,934,509.02</w:t>
            </w:r>
            <w:r>
              <w:rPr>
                <w:rFonts w:ascii="宋体"/>
                <w:sz w:val="21"/>
              </w:rPr>
              <w:t> </w:t>
            </w:r>
          </w:p>
        </w:tc>
      </w:tr>
      <w:tr>
        <w:trPr>
          <w:trHeight w:val="322"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其中：美元</w:t>
            </w:r>
            <w:r>
              <w:rPr>
                <w:rFonts w:ascii="宋体" w:hAnsi="宋体" w:cs="宋体" w:eastAsia="宋体" w:hint="default"/>
                <w:sz w:val="21"/>
                <w:szCs w:val="21"/>
              </w:rPr>
              <w:t> </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549,368.20</w:t>
            </w:r>
            <w:r>
              <w:rPr>
                <w:rFonts w:ascii="宋体"/>
                <w:sz w:val="21"/>
              </w:rPr>
              <w:t> </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6.9762</w:t>
            </w:r>
            <w:r>
              <w:rPr>
                <w:rFonts w:ascii="宋体"/>
                <w:sz w:val="21"/>
              </w:rPr>
              <w:t> </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3,832,502.43</w:t>
            </w:r>
            <w:r>
              <w:rPr>
                <w:rFonts w:ascii="宋体"/>
                <w:sz w:val="21"/>
              </w:rPr>
              <w:t> </w:t>
            </w:r>
          </w:p>
        </w:tc>
      </w:tr>
      <w:tr>
        <w:trPr>
          <w:trHeight w:val="322"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pacing w:val="-2"/>
                <w:sz w:val="21"/>
                <w:szCs w:val="21"/>
              </w:rPr>
              <w:t> </w:t>
            </w:r>
            <w:r>
              <w:rPr>
                <w:rFonts w:ascii="宋体" w:hAnsi="宋体" w:cs="宋体" w:eastAsia="宋体" w:hint="default"/>
                <w:sz w:val="21"/>
                <w:szCs w:val="21"/>
              </w:rPr>
              <w:t>欧元</w:t>
            </w:r>
            <w:r>
              <w:rPr>
                <w:rFonts w:ascii="宋体" w:hAnsi="宋体" w:cs="宋体" w:eastAsia="宋体" w:hint="default"/>
                <w:sz w:val="21"/>
                <w:szCs w:val="21"/>
              </w:rPr>
              <w:t> </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141,002.70</w:t>
            </w:r>
            <w:r>
              <w:rPr>
                <w:rFonts w:ascii="宋体"/>
                <w:sz w:val="21"/>
              </w:rPr>
              <w:t> </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7.8155</w:t>
            </w:r>
            <w:r>
              <w:rPr>
                <w:rFonts w:ascii="宋体"/>
                <w:sz w:val="21"/>
              </w:rPr>
              <w:t> </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1,102,006.59</w:t>
            </w:r>
            <w:r>
              <w:rPr>
                <w:rFonts w:ascii="宋体"/>
                <w:sz w:val="21"/>
              </w:rPr>
              <w:t> </w:t>
            </w:r>
          </w:p>
        </w:tc>
      </w:tr>
      <w:tr>
        <w:trPr>
          <w:trHeight w:val="322"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21"/>
                <w:szCs w:val="21"/>
              </w:rPr>
            </w:pPr>
            <w:r>
              <w:rPr>
                <w:rFonts w:ascii="宋体" w:hAnsi="宋体" w:cs="宋体" w:eastAsia="宋体" w:hint="default"/>
                <w:sz w:val="18"/>
                <w:szCs w:val="18"/>
              </w:rPr>
              <w:t>短期借款</w:t>
            </w:r>
            <w:r>
              <w:rPr>
                <w:rFonts w:ascii="宋体" w:hAnsi="宋体" w:cs="宋体" w:eastAsia="宋体" w:hint="default"/>
                <w:w w:val="100"/>
                <w:sz w:val="21"/>
                <w:szCs w:val="21"/>
              </w:rPr>
              <w:t> </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29,937,315.87</w:t>
            </w:r>
            <w:r>
              <w:rPr>
                <w:rFonts w:ascii="宋体"/>
                <w:sz w:val="21"/>
              </w:rPr>
              <w:t> </w:t>
            </w:r>
          </w:p>
        </w:tc>
      </w:tr>
      <w:tr>
        <w:trPr>
          <w:trHeight w:val="322"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其中：美元</w:t>
            </w:r>
            <w:r>
              <w:rPr>
                <w:rFonts w:ascii="宋体" w:hAnsi="宋体" w:cs="宋体" w:eastAsia="宋体" w:hint="default"/>
                <w:sz w:val="21"/>
                <w:szCs w:val="21"/>
              </w:rPr>
              <w:t> </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4,291,350.00</w:t>
            </w:r>
            <w:r>
              <w:rPr>
                <w:rFonts w:ascii="宋体"/>
                <w:sz w:val="21"/>
              </w:rPr>
              <w:t> </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6.9762</w:t>
            </w:r>
            <w:r>
              <w:rPr>
                <w:rFonts w:ascii="宋体"/>
                <w:sz w:val="21"/>
              </w:rPr>
              <w:t> </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29,937,315.87</w:t>
            </w:r>
            <w:r>
              <w:rPr>
                <w:rFonts w:ascii="宋体"/>
                <w:sz w:val="21"/>
              </w:rPr>
              <w:t> </w:t>
            </w:r>
          </w:p>
        </w:tc>
      </w:tr>
    </w:tbl>
    <w:p>
      <w:pPr>
        <w:pStyle w:val="Heading2"/>
        <w:spacing w:line="274" w:lineRule="exact"/>
        <w:ind w:left="216" w:right="0"/>
        <w:jc w:val="left"/>
        <w:rPr>
          <w:rFonts w:ascii="宋体" w:hAnsi="宋体" w:cs="宋体" w:eastAsia="宋体" w:hint="default"/>
        </w:rPr>
      </w:pPr>
      <w:r>
        <w:rPr>
          <w:rFonts w:ascii="宋体"/>
        </w:rPr>
        <w:t> </w:t>
      </w:r>
    </w:p>
    <w:p>
      <w:pPr>
        <w:pStyle w:val="Heading3"/>
        <w:spacing w:line="273" w:lineRule="auto" w:before="85"/>
        <w:ind w:left="644" w:right="0" w:hanging="428"/>
        <w:jc w:val="left"/>
        <w:rPr>
          <w:rFonts w:ascii="宋体" w:hAnsi="宋体" w:cs="宋体" w:eastAsia="宋体" w:hint="default"/>
          <w:b w:val="0"/>
          <w:bCs w:val="0"/>
        </w:rPr>
      </w:pPr>
      <w:r>
        <w:rPr>
          <w:rFonts w:ascii="宋体" w:hAnsi="宋体" w:cs="宋体" w:eastAsia="宋体" w:hint="default"/>
          <w:spacing w:val="-1"/>
        </w:rPr>
        <w:t>(2).</w:t>
      </w:r>
      <w:r>
        <w:rPr>
          <w:spacing w:val="-1"/>
        </w:rPr>
        <w:t>境外经营实体说明，包括对于重要的境外经营实体，应披露其境外主要经营地、记账本位币</w:t>
      </w:r>
      <w:r>
        <w:rPr>
          <w:spacing w:val="-86"/>
        </w:rPr>
        <w:t> </w:t>
      </w:r>
      <w:r>
        <w:rPr>
          <w:spacing w:val="-86"/>
        </w:rPr>
      </w:r>
      <w:r>
        <w:rPr/>
        <w:t>及选择依据，记账本位币发生变化的还应披露原因</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67"/>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2"/>
        <w:spacing w:line="240" w:lineRule="auto" w:before="9"/>
        <w:ind w:left="216" w:right="0"/>
        <w:jc w:val="left"/>
        <w:rPr>
          <w:rFonts w:ascii="宋体" w:hAnsi="宋体" w:cs="宋体" w:eastAsia="宋体" w:hint="default"/>
        </w:rPr>
      </w:pPr>
      <w:r>
        <w:rPr>
          <w:rFonts w:ascii="宋体"/>
        </w:rPr>
        <w:t> </w:t>
      </w:r>
    </w:p>
    <w:p>
      <w:pPr>
        <w:pStyle w:val="Heading3"/>
        <w:spacing w:line="240" w:lineRule="auto" w:before="85"/>
        <w:ind w:left="216" w:right="0"/>
        <w:jc w:val="left"/>
        <w:rPr>
          <w:rFonts w:ascii="宋体" w:hAnsi="宋体" w:cs="宋体" w:eastAsia="宋体" w:hint="default"/>
          <w:b w:val="0"/>
          <w:bCs w:val="0"/>
        </w:rPr>
      </w:pPr>
      <w:r>
        <w:rPr>
          <w:rFonts w:ascii="宋体" w:hAnsi="宋体" w:cs="宋体" w:eastAsia="宋体" w:hint="default"/>
        </w:rPr>
        <w:t>81</w:t>
      </w:r>
      <w:r>
        <w:rPr/>
        <w:t>、</w:t>
      </w:r>
      <w:r>
        <w:rPr>
          <w:spacing w:val="-26"/>
        </w:rPr>
        <w:t> </w:t>
      </w:r>
      <w:r>
        <w:rPr/>
        <w:t>套期</w:t>
      </w:r>
      <w:r>
        <w:rPr>
          <w:rFonts w:ascii="宋体" w:hAnsi="宋体" w:cs="宋体" w:eastAsia="宋体" w:hint="default"/>
          <w:w w:val="99"/>
        </w:rPr>
        <w:t> </w:t>
      </w:r>
      <w:r>
        <w:rPr>
          <w:rFonts w:ascii="宋体" w:hAnsi="宋体" w:cs="宋体" w:eastAsia="宋体" w:hint="default"/>
          <w:b w:val="0"/>
          <w:bCs w:val="0"/>
        </w:rPr>
      </w:r>
    </w:p>
    <w:p>
      <w:pPr>
        <w:pStyle w:val="Heading2"/>
        <w:spacing w:line="313" w:lineRule="exact" w:before="69"/>
        <w:ind w:left="21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2"/>
        <w:spacing w:line="313" w:lineRule="exact"/>
        <w:ind w:left="216" w:right="0"/>
        <w:jc w:val="left"/>
        <w:rPr>
          <w:rFonts w:ascii="宋体" w:hAnsi="宋体" w:cs="宋体" w:eastAsia="宋体" w:hint="default"/>
        </w:rPr>
      </w:pPr>
      <w:r>
        <w:rPr>
          <w:rFonts w:ascii="宋体"/>
        </w:rPr>
        <w:t> </w:t>
      </w:r>
    </w:p>
    <w:p>
      <w:pPr>
        <w:pStyle w:val="Heading3"/>
        <w:spacing w:line="324" w:lineRule="auto" w:before="85"/>
        <w:ind w:left="216" w:right="6014"/>
        <w:jc w:val="left"/>
        <w:rPr>
          <w:rFonts w:ascii="宋体" w:hAnsi="宋体" w:cs="宋体" w:eastAsia="宋体" w:hint="default"/>
          <w:b w:val="0"/>
          <w:bCs w:val="0"/>
        </w:rPr>
      </w:pPr>
      <w:r>
        <w:rPr>
          <w:rFonts w:ascii="宋体" w:hAnsi="宋体" w:cs="宋体" w:eastAsia="宋体" w:hint="default"/>
        </w:rPr>
        <w:t>82</w:t>
      </w:r>
      <w:r>
        <w:rPr/>
        <w:t>、</w:t>
      </w:r>
      <w:r>
        <w:rPr>
          <w:spacing w:val="-25"/>
        </w:rPr>
        <w:t> </w:t>
      </w:r>
      <w:r>
        <w:rPr/>
        <w:t>政府补助</w:t>
      </w:r>
      <w:r>
        <w:rPr>
          <w:w w:val="100"/>
        </w:rPr>
        <w:t> </w:t>
      </w:r>
      <w:r>
        <w:rPr>
          <w:rFonts w:ascii="宋体" w:hAnsi="宋体" w:cs="宋体" w:eastAsia="宋体" w:hint="default"/>
        </w:rPr>
        <w:t>(1).</w:t>
      </w:r>
      <w:r>
        <w:rPr/>
        <w:t>政府补助基本情况</w:t>
      </w:r>
      <w:r>
        <w:rPr>
          <w:rFonts w:ascii="宋体" w:hAnsi="宋体" w:cs="宋体" w:eastAsia="宋体" w:hint="default"/>
          <w:w w:val="99"/>
        </w:rPr>
        <w:t> </w:t>
      </w:r>
      <w:r>
        <w:rPr>
          <w:rFonts w:ascii="宋体" w:hAnsi="宋体" w:cs="宋体" w:eastAsia="宋体" w:hint="default"/>
          <w:b w:val="0"/>
          <w:bCs w:val="0"/>
        </w:rPr>
      </w:r>
    </w:p>
    <w:p>
      <w:pPr>
        <w:pStyle w:val="Heading2"/>
        <w:spacing w:line="310" w:lineRule="exact"/>
        <w:ind w:left="216" w:right="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BodyText"/>
        <w:spacing w:line="240" w:lineRule="auto" w:before="25"/>
        <w:ind w:left="0" w:right="508"/>
        <w:jc w:val="right"/>
        <w:rPr>
          <w:rFonts w:ascii="宋体" w:hAnsi="宋体" w:cs="宋体" w:eastAsia="宋体" w:hint="default"/>
        </w:rPr>
      </w:pPr>
      <w:r>
        <w:rPr>
          <w:spacing w:val="-2"/>
        </w:rPr>
        <w:t>单位：元币种：人民币</w:t>
      </w:r>
      <w:r>
        <w:rPr>
          <w:rFonts w:ascii="宋体" w:hAnsi="宋体" w:cs="宋体" w:eastAsia="宋体" w:hint="default"/>
        </w:rPr>
        <w:t> </w:t>
      </w:r>
    </w:p>
    <w:p>
      <w:pPr>
        <w:spacing w:line="240" w:lineRule="auto" w:before="10"/>
        <w:rPr>
          <w:rFonts w:ascii="宋体" w:hAnsi="宋体" w:cs="宋体" w:eastAsia="宋体" w:hint="default"/>
          <w:sz w:val="3"/>
          <w:szCs w:val="3"/>
        </w:rPr>
      </w:pPr>
    </w:p>
    <w:tbl>
      <w:tblPr>
        <w:tblW w:w="0" w:type="auto"/>
        <w:jc w:val="left"/>
        <w:tblInd w:w="103" w:type="dxa"/>
        <w:tblLayout w:type="fixed"/>
        <w:tblCellMar>
          <w:top w:w="0" w:type="dxa"/>
          <w:left w:w="0" w:type="dxa"/>
          <w:bottom w:w="0" w:type="dxa"/>
          <w:right w:w="0" w:type="dxa"/>
        </w:tblCellMar>
        <w:tblLook w:val="01E0"/>
      </w:tblPr>
      <w:tblGrid>
        <w:gridCol w:w="3371"/>
        <w:gridCol w:w="1983"/>
        <w:gridCol w:w="1913"/>
        <w:gridCol w:w="2180"/>
      </w:tblGrid>
      <w:tr>
        <w:trPr>
          <w:trHeight w:val="325" w:hRule="exact"/>
        </w:trPr>
        <w:tc>
          <w:tcPr>
            <w:tcW w:w="337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center"/>
              <w:rPr>
                <w:rFonts w:ascii="宋体" w:hAnsi="宋体" w:cs="宋体" w:eastAsia="宋体" w:hint="default"/>
                <w:sz w:val="21"/>
                <w:szCs w:val="21"/>
              </w:rPr>
            </w:pPr>
            <w:r>
              <w:rPr>
                <w:rFonts w:ascii="宋体" w:hAnsi="宋体" w:cs="宋体" w:eastAsia="宋体" w:hint="default"/>
                <w:sz w:val="21"/>
                <w:szCs w:val="21"/>
              </w:rPr>
              <w:t>种类</w:t>
            </w:r>
            <w:r>
              <w:rPr>
                <w:rFonts w:ascii="宋体" w:hAnsi="宋体" w:cs="宋体" w:eastAsia="宋体" w:hint="default"/>
                <w:sz w:val="21"/>
                <w:szCs w:val="21"/>
              </w:rPr>
              <w:t> </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2" w:right="0"/>
              <w:jc w:val="center"/>
              <w:rPr>
                <w:rFonts w:ascii="宋体" w:hAnsi="宋体" w:cs="宋体" w:eastAsia="宋体" w:hint="default"/>
                <w:sz w:val="21"/>
                <w:szCs w:val="21"/>
              </w:rPr>
            </w:pPr>
            <w:r>
              <w:rPr>
                <w:rFonts w:ascii="宋体" w:hAnsi="宋体" w:cs="宋体" w:eastAsia="宋体" w:hint="default"/>
                <w:sz w:val="21"/>
                <w:szCs w:val="21"/>
              </w:rPr>
              <w:t>金额</w:t>
            </w:r>
            <w:r>
              <w:rPr>
                <w:rFonts w:ascii="宋体" w:hAnsi="宋体" w:cs="宋体" w:eastAsia="宋体" w:hint="default"/>
                <w:sz w:val="21"/>
                <w:szCs w:val="21"/>
              </w:rPr>
              <w:t> </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530" w:right="0"/>
              <w:jc w:val="left"/>
              <w:rPr>
                <w:rFonts w:ascii="宋体" w:hAnsi="宋体" w:cs="宋体" w:eastAsia="宋体" w:hint="default"/>
                <w:sz w:val="21"/>
                <w:szCs w:val="21"/>
              </w:rPr>
            </w:pPr>
            <w:r>
              <w:rPr>
                <w:rFonts w:ascii="宋体" w:hAnsi="宋体" w:cs="宋体" w:eastAsia="宋体" w:hint="default"/>
                <w:sz w:val="21"/>
                <w:szCs w:val="21"/>
              </w:rPr>
              <w:t>列报项目</w:t>
            </w:r>
            <w:r>
              <w:rPr>
                <w:rFonts w:ascii="宋体" w:hAnsi="宋体" w:cs="宋体" w:eastAsia="宋体" w:hint="default"/>
                <w:sz w:val="21"/>
                <w:szCs w:val="21"/>
              </w:rPr>
              <w:t> </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1"/>
              <w:jc w:val="right"/>
              <w:rPr>
                <w:rFonts w:ascii="宋体" w:hAnsi="宋体" w:cs="宋体" w:eastAsia="宋体" w:hint="default"/>
                <w:sz w:val="21"/>
                <w:szCs w:val="21"/>
              </w:rPr>
            </w:pPr>
            <w:r>
              <w:rPr>
                <w:rFonts w:ascii="宋体" w:hAnsi="宋体" w:cs="宋体" w:eastAsia="宋体" w:hint="default"/>
                <w:spacing w:val="-2"/>
                <w:sz w:val="21"/>
                <w:szCs w:val="21"/>
              </w:rPr>
              <w:t>计入当期损益的金额</w:t>
            </w:r>
            <w:r>
              <w:rPr>
                <w:rFonts w:ascii="宋体" w:hAnsi="宋体" w:cs="宋体" w:eastAsia="宋体" w:hint="default"/>
                <w:sz w:val="21"/>
                <w:szCs w:val="21"/>
              </w:rPr>
              <w:t> </w:t>
            </w:r>
          </w:p>
        </w:tc>
      </w:tr>
      <w:tr>
        <w:trPr>
          <w:trHeight w:val="322" w:hRule="exact"/>
        </w:trPr>
        <w:tc>
          <w:tcPr>
            <w:tcW w:w="337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2MWp</w:t>
            </w:r>
            <w:r>
              <w:rPr>
                <w:rFonts w:ascii="宋体" w:hAnsi="宋体" w:cs="宋体" w:eastAsia="宋体" w:hint="default"/>
                <w:spacing w:val="-57"/>
                <w:sz w:val="21"/>
                <w:szCs w:val="21"/>
              </w:rPr>
              <w:t> </w:t>
            </w:r>
            <w:r>
              <w:rPr>
                <w:rFonts w:ascii="宋体" w:hAnsi="宋体" w:cs="宋体" w:eastAsia="宋体" w:hint="default"/>
                <w:sz w:val="21"/>
                <w:szCs w:val="21"/>
              </w:rPr>
              <w:t>屋顶光伏发电项目拨款</w:t>
            </w:r>
            <w:r>
              <w:rPr>
                <w:rFonts w:ascii="宋体" w:hAnsi="宋体" w:cs="宋体" w:eastAsia="宋体" w:hint="default"/>
                <w:sz w:val="21"/>
                <w:szCs w:val="21"/>
              </w:rPr>
              <w:t> </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7,885,883.46</w:t>
            </w:r>
            <w:r>
              <w:rPr>
                <w:rFonts w:ascii="宋体"/>
                <w:sz w:val="21"/>
              </w:rPr>
              <w:t> </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递延收益</w:t>
            </w:r>
            <w:r>
              <w:rPr>
                <w:rFonts w:ascii="宋体" w:hAnsi="宋体" w:cs="宋体" w:eastAsia="宋体" w:hint="default"/>
                <w:sz w:val="21"/>
                <w:szCs w:val="21"/>
              </w:rPr>
              <w:t> </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404,531.88</w:t>
            </w:r>
            <w:r>
              <w:rPr>
                <w:rFonts w:ascii="宋体"/>
                <w:sz w:val="21"/>
              </w:rPr>
              <w:t> </w:t>
            </w:r>
          </w:p>
        </w:tc>
      </w:tr>
      <w:tr>
        <w:trPr>
          <w:trHeight w:val="322" w:hRule="exact"/>
        </w:trPr>
        <w:tc>
          <w:tcPr>
            <w:tcW w:w="337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公共租赁住房项目拨款</w:t>
            </w:r>
            <w:r>
              <w:rPr>
                <w:rFonts w:ascii="宋体" w:hAnsi="宋体" w:cs="宋体" w:eastAsia="宋体" w:hint="default"/>
                <w:sz w:val="21"/>
                <w:szCs w:val="21"/>
              </w:rPr>
              <w:t> </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2,519,853.97</w:t>
            </w:r>
            <w:r>
              <w:rPr>
                <w:rFonts w:ascii="宋体"/>
                <w:sz w:val="21"/>
              </w:rPr>
              <w:t> </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递延收益</w:t>
            </w:r>
            <w:r>
              <w:rPr>
                <w:rFonts w:ascii="宋体" w:hAnsi="宋体" w:cs="宋体" w:eastAsia="宋体" w:hint="default"/>
                <w:sz w:val="21"/>
                <w:szCs w:val="21"/>
              </w:rPr>
              <w:t> </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172,790.04</w:t>
            </w:r>
            <w:r>
              <w:rPr>
                <w:rFonts w:ascii="宋体"/>
                <w:sz w:val="21"/>
              </w:rPr>
              <w:t> </w:t>
            </w:r>
          </w:p>
        </w:tc>
      </w:tr>
      <w:tr>
        <w:trPr>
          <w:trHeight w:val="322" w:hRule="exact"/>
        </w:trPr>
        <w:tc>
          <w:tcPr>
            <w:tcW w:w="337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智能表生产线项目补贴</w:t>
            </w:r>
            <w:r>
              <w:rPr>
                <w:rFonts w:ascii="宋体" w:hAnsi="宋体" w:cs="宋体" w:eastAsia="宋体" w:hint="default"/>
                <w:sz w:val="21"/>
                <w:szCs w:val="21"/>
              </w:rPr>
              <w:t> </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999,999.88</w:t>
            </w:r>
            <w:r>
              <w:rPr>
                <w:rFonts w:ascii="宋体"/>
                <w:sz w:val="21"/>
              </w:rPr>
              <w:t> </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递延收益</w:t>
            </w:r>
            <w:r>
              <w:rPr>
                <w:rFonts w:ascii="宋体" w:hAnsi="宋体" w:cs="宋体" w:eastAsia="宋体" w:hint="default"/>
                <w:sz w:val="21"/>
                <w:szCs w:val="21"/>
              </w:rPr>
              <w:t> </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500,000.04</w:t>
            </w:r>
            <w:r>
              <w:rPr>
                <w:rFonts w:ascii="宋体"/>
                <w:sz w:val="21"/>
              </w:rPr>
              <w:t> </w:t>
            </w:r>
          </w:p>
        </w:tc>
      </w:tr>
      <w:tr>
        <w:trPr>
          <w:trHeight w:val="322" w:hRule="exact"/>
        </w:trPr>
        <w:tc>
          <w:tcPr>
            <w:tcW w:w="337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发展和改革局转型升级资金</w:t>
            </w:r>
            <w:r>
              <w:rPr>
                <w:rFonts w:ascii="宋体" w:hAnsi="宋体" w:cs="宋体" w:eastAsia="宋体" w:hint="default"/>
                <w:sz w:val="21"/>
                <w:szCs w:val="21"/>
              </w:rPr>
              <w:t> </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4,000,000.00</w:t>
            </w:r>
            <w:r>
              <w:rPr>
                <w:rFonts w:ascii="宋体"/>
                <w:sz w:val="21"/>
              </w:rPr>
              <w:t> </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递延收益</w:t>
            </w:r>
            <w:r>
              <w:rPr>
                <w:rFonts w:ascii="宋体" w:hAnsi="宋体" w:cs="宋体" w:eastAsia="宋体" w:hint="default"/>
                <w:sz w:val="21"/>
                <w:szCs w:val="21"/>
              </w:rPr>
              <w:t> </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337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立陶宛政府补助</w:t>
            </w:r>
            <w:r>
              <w:rPr>
                <w:rFonts w:ascii="宋体" w:hAnsi="宋体" w:cs="宋体" w:eastAsia="宋体" w:hint="default"/>
                <w:sz w:val="21"/>
                <w:szCs w:val="21"/>
              </w:rPr>
              <w:t> </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1,233,823.39</w:t>
            </w:r>
            <w:r>
              <w:rPr>
                <w:rFonts w:ascii="宋体"/>
                <w:sz w:val="21"/>
              </w:rPr>
              <w:t> </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递延收益</w:t>
            </w:r>
            <w:r>
              <w:rPr>
                <w:rFonts w:ascii="宋体" w:hAnsi="宋体" w:cs="宋体" w:eastAsia="宋体" w:hint="default"/>
                <w:sz w:val="21"/>
                <w:szCs w:val="21"/>
              </w:rPr>
              <w:t> </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519,611.74</w:t>
            </w:r>
            <w:r>
              <w:rPr>
                <w:rFonts w:ascii="宋体"/>
                <w:sz w:val="21"/>
              </w:rPr>
              <w:t> </w:t>
            </w:r>
          </w:p>
        </w:tc>
      </w:tr>
      <w:tr>
        <w:trPr>
          <w:trHeight w:val="324" w:hRule="exact"/>
        </w:trPr>
        <w:tc>
          <w:tcPr>
            <w:tcW w:w="337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清洗行业含氢氯氟烃淘汰项目</w:t>
            </w:r>
            <w:r>
              <w:rPr>
                <w:rFonts w:ascii="宋体" w:hAnsi="宋体" w:cs="宋体" w:eastAsia="宋体" w:hint="default"/>
                <w:sz w:val="21"/>
                <w:szCs w:val="21"/>
              </w:rPr>
              <w:t> </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spacing w:val="-1"/>
                <w:sz w:val="21"/>
              </w:rPr>
              <w:t>3,422,500.00</w:t>
            </w:r>
            <w:r>
              <w:rPr>
                <w:rFonts w:ascii="宋体"/>
                <w:sz w:val="21"/>
              </w:rPr>
              <w:t> </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递延收益</w:t>
            </w:r>
            <w:r>
              <w:rPr>
                <w:rFonts w:ascii="宋体" w:hAnsi="宋体" w:cs="宋体" w:eastAsia="宋体" w:hint="default"/>
                <w:sz w:val="21"/>
                <w:szCs w:val="21"/>
              </w:rPr>
              <w:t> </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spacing w:val="-1"/>
                <w:sz w:val="21"/>
              </w:rPr>
              <w:t>285,208.30</w:t>
            </w:r>
            <w:r>
              <w:rPr>
                <w:rFonts w:ascii="宋体"/>
                <w:sz w:val="21"/>
              </w:rPr>
              <w:t> </w:t>
            </w:r>
          </w:p>
        </w:tc>
      </w:tr>
      <w:tr>
        <w:trPr>
          <w:trHeight w:val="322" w:hRule="exact"/>
        </w:trPr>
        <w:tc>
          <w:tcPr>
            <w:tcW w:w="337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工业经济奖励</w:t>
            </w:r>
            <w:r>
              <w:rPr>
                <w:rFonts w:ascii="宋体" w:hAnsi="宋体" w:cs="宋体" w:eastAsia="宋体" w:hint="default"/>
                <w:sz w:val="21"/>
                <w:szCs w:val="21"/>
              </w:rPr>
              <w:t> </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2,196,900.00</w:t>
            </w:r>
            <w:r>
              <w:rPr>
                <w:rFonts w:ascii="宋体"/>
                <w:sz w:val="21"/>
              </w:rPr>
              <w:t> </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营业外收入</w:t>
            </w:r>
            <w:r>
              <w:rPr>
                <w:rFonts w:ascii="宋体" w:hAnsi="宋体" w:cs="宋体" w:eastAsia="宋体" w:hint="default"/>
                <w:sz w:val="21"/>
                <w:szCs w:val="21"/>
              </w:rPr>
              <w:t> </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2,196,900.00</w:t>
            </w:r>
            <w:r>
              <w:rPr>
                <w:rFonts w:ascii="宋体"/>
                <w:sz w:val="21"/>
              </w:rPr>
              <w:t> </w:t>
            </w:r>
          </w:p>
        </w:tc>
      </w:tr>
      <w:tr>
        <w:trPr>
          <w:trHeight w:val="322" w:hRule="exact"/>
        </w:trPr>
        <w:tc>
          <w:tcPr>
            <w:tcW w:w="337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高新奖励</w:t>
            </w:r>
            <w:r>
              <w:rPr>
                <w:rFonts w:ascii="宋体" w:hAnsi="宋体" w:cs="宋体" w:eastAsia="宋体" w:hint="default"/>
                <w:sz w:val="21"/>
                <w:szCs w:val="21"/>
              </w:rPr>
              <w:t> </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250,000.00</w:t>
            </w:r>
            <w:r>
              <w:rPr>
                <w:rFonts w:ascii="宋体"/>
                <w:sz w:val="21"/>
              </w:rPr>
              <w:t> </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营业外收入</w:t>
            </w:r>
            <w:r>
              <w:rPr>
                <w:rFonts w:ascii="宋体" w:hAnsi="宋体" w:cs="宋体" w:eastAsia="宋体" w:hint="default"/>
                <w:sz w:val="21"/>
                <w:szCs w:val="21"/>
              </w:rPr>
              <w:t> </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250,000.00</w:t>
            </w:r>
            <w:r>
              <w:rPr>
                <w:rFonts w:ascii="宋体"/>
                <w:sz w:val="21"/>
              </w:rPr>
              <w:t> </w:t>
            </w:r>
          </w:p>
        </w:tc>
      </w:tr>
      <w:tr>
        <w:trPr>
          <w:trHeight w:val="322" w:hRule="exact"/>
        </w:trPr>
        <w:tc>
          <w:tcPr>
            <w:tcW w:w="337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799,003.42</w:t>
            </w:r>
            <w:r>
              <w:rPr>
                <w:rFonts w:ascii="宋体"/>
                <w:sz w:val="21"/>
              </w:rPr>
              <w:t> </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营业外收入</w:t>
            </w:r>
            <w:r>
              <w:rPr>
                <w:rFonts w:ascii="宋体" w:hAnsi="宋体" w:cs="宋体" w:eastAsia="宋体" w:hint="default"/>
                <w:sz w:val="21"/>
                <w:szCs w:val="21"/>
              </w:rPr>
              <w:t> </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799,003.42</w:t>
            </w:r>
            <w:r>
              <w:rPr>
                <w:rFonts w:ascii="宋体"/>
                <w:sz w:val="21"/>
              </w:rPr>
              <w:t> </w:t>
            </w:r>
          </w:p>
        </w:tc>
      </w:tr>
    </w:tbl>
    <w:p>
      <w:pPr>
        <w:spacing w:after="0" w:line="262" w:lineRule="exact"/>
        <w:jc w:val="right"/>
        <w:rPr>
          <w:rFonts w:ascii="宋体" w:hAnsi="宋体" w:cs="宋体" w:eastAsia="宋体" w:hint="default"/>
          <w:sz w:val="21"/>
          <w:szCs w:val="21"/>
        </w:rPr>
        <w:sectPr>
          <w:footerReference w:type="default" r:id="rId220"/>
          <w:pgSz w:w="11910" w:h="16840"/>
          <w:pgMar w:footer="974" w:header="0" w:top="1140" w:bottom="1160" w:left="1060" w:right="1180"/>
          <w:pgNumType w:start="181"/>
        </w:sectPr>
      </w:pPr>
    </w:p>
    <w:p>
      <w:pPr>
        <w:spacing w:line="240" w:lineRule="auto" w:before="11"/>
        <w:rPr>
          <w:rFonts w:ascii="宋体" w:hAnsi="宋体" w:cs="宋体" w:eastAsia="宋体" w:hint="default"/>
          <w:sz w:val="22"/>
          <w:szCs w:val="22"/>
        </w:rPr>
      </w:pPr>
    </w:p>
    <w:tbl>
      <w:tblPr>
        <w:tblW w:w="0" w:type="auto"/>
        <w:jc w:val="left"/>
        <w:tblInd w:w="103" w:type="dxa"/>
        <w:tblLayout w:type="fixed"/>
        <w:tblCellMar>
          <w:top w:w="0" w:type="dxa"/>
          <w:left w:w="0" w:type="dxa"/>
          <w:bottom w:w="0" w:type="dxa"/>
          <w:right w:w="0" w:type="dxa"/>
        </w:tblCellMar>
        <w:tblLook w:val="01E0"/>
      </w:tblPr>
      <w:tblGrid>
        <w:gridCol w:w="3371"/>
        <w:gridCol w:w="1983"/>
        <w:gridCol w:w="1913"/>
        <w:gridCol w:w="2180"/>
      </w:tblGrid>
      <w:tr>
        <w:trPr>
          <w:trHeight w:val="322" w:hRule="exact"/>
        </w:trPr>
        <w:tc>
          <w:tcPr>
            <w:tcW w:w="337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地方电价补贴</w:t>
            </w:r>
            <w:r>
              <w:rPr>
                <w:rFonts w:ascii="宋体" w:hAnsi="宋体" w:cs="宋体" w:eastAsia="宋体" w:hint="default"/>
                <w:sz w:val="21"/>
                <w:szCs w:val="21"/>
              </w:rPr>
              <w:t> </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6,508,149.00</w:t>
            </w:r>
            <w:r>
              <w:rPr>
                <w:rFonts w:ascii="宋体"/>
                <w:sz w:val="21"/>
              </w:rPr>
              <w:t> </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其他收益</w:t>
            </w:r>
            <w:r>
              <w:rPr>
                <w:rFonts w:ascii="宋体" w:hAnsi="宋体" w:cs="宋体" w:eastAsia="宋体" w:hint="default"/>
                <w:sz w:val="21"/>
                <w:szCs w:val="21"/>
              </w:rPr>
              <w:t> </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6,508,149.00</w:t>
            </w:r>
            <w:r>
              <w:rPr>
                <w:rFonts w:ascii="宋体"/>
                <w:sz w:val="21"/>
              </w:rPr>
              <w:t> </w:t>
            </w:r>
          </w:p>
        </w:tc>
      </w:tr>
      <w:tr>
        <w:trPr>
          <w:trHeight w:val="322" w:hRule="exact"/>
        </w:trPr>
        <w:tc>
          <w:tcPr>
            <w:tcW w:w="337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软件退税款</w:t>
            </w:r>
            <w:r>
              <w:rPr>
                <w:rFonts w:ascii="宋体" w:hAnsi="宋体" w:cs="宋体" w:eastAsia="宋体" w:hint="default"/>
                <w:sz w:val="21"/>
                <w:szCs w:val="21"/>
              </w:rPr>
              <w:t> </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9,746,593.76</w:t>
            </w:r>
            <w:r>
              <w:rPr>
                <w:rFonts w:ascii="宋体"/>
                <w:sz w:val="21"/>
              </w:rPr>
              <w:t> </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其他收益</w:t>
            </w:r>
            <w:r>
              <w:rPr>
                <w:rFonts w:ascii="宋体" w:hAnsi="宋体" w:cs="宋体" w:eastAsia="宋体" w:hint="default"/>
                <w:sz w:val="21"/>
                <w:szCs w:val="21"/>
              </w:rPr>
              <w:t> </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9,746,593.76</w:t>
            </w:r>
            <w:r>
              <w:rPr>
                <w:rFonts w:ascii="宋体"/>
                <w:sz w:val="21"/>
              </w:rPr>
              <w:t> </w:t>
            </w:r>
          </w:p>
        </w:tc>
      </w:tr>
      <w:tr>
        <w:trPr>
          <w:trHeight w:val="322" w:hRule="exact"/>
        </w:trPr>
        <w:tc>
          <w:tcPr>
            <w:tcW w:w="337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商务发展奖金进口贴息</w:t>
            </w:r>
            <w:r>
              <w:rPr>
                <w:rFonts w:ascii="宋体" w:hAnsi="宋体" w:cs="宋体" w:eastAsia="宋体" w:hint="default"/>
                <w:sz w:val="21"/>
                <w:szCs w:val="21"/>
              </w:rPr>
              <w:t> </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3,445,300.00</w:t>
            </w:r>
            <w:r>
              <w:rPr>
                <w:rFonts w:ascii="宋体"/>
                <w:sz w:val="21"/>
              </w:rPr>
              <w:t> </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其他收益</w:t>
            </w:r>
            <w:r>
              <w:rPr>
                <w:rFonts w:ascii="宋体" w:hAnsi="宋体" w:cs="宋体" w:eastAsia="宋体" w:hint="default"/>
                <w:sz w:val="21"/>
                <w:szCs w:val="21"/>
              </w:rPr>
              <w:t> </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3,445,300.00</w:t>
            </w:r>
            <w:r>
              <w:rPr>
                <w:rFonts w:ascii="宋体"/>
                <w:sz w:val="21"/>
              </w:rPr>
              <w:t> </w:t>
            </w:r>
          </w:p>
        </w:tc>
      </w:tr>
      <w:tr>
        <w:trPr>
          <w:trHeight w:val="324" w:hRule="exact"/>
        </w:trPr>
        <w:tc>
          <w:tcPr>
            <w:tcW w:w="337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研发费用补助</w:t>
            </w:r>
            <w:r>
              <w:rPr>
                <w:rFonts w:ascii="宋体" w:hAnsi="宋体" w:cs="宋体" w:eastAsia="宋体" w:hint="default"/>
                <w:sz w:val="21"/>
                <w:szCs w:val="21"/>
              </w:rPr>
              <w:t> </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spacing w:val="-1"/>
                <w:sz w:val="21"/>
              </w:rPr>
              <w:t>6,723,000.00</w:t>
            </w:r>
            <w:r>
              <w:rPr>
                <w:rFonts w:ascii="宋体"/>
                <w:sz w:val="21"/>
              </w:rPr>
              <w:t> </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其他收益</w:t>
            </w:r>
            <w:r>
              <w:rPr>
                <w:rFonts w:ascii="宋体" w:hAnsi="宋体" w:cs="宋体" w:eastAsia="宋体" w:hint="default"/>
                <w:sz w:val="21"/>
                <w:szCs w:val="21"/>
              </w:rPr>
              <w:t> </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spacing w:val="-1"/>
                <w:sz w:val="21"/>
              </w:rPr>
              <w:t>6,723,000.00</w:t>
            </w:r>
            <w:r>
              <w:rPr>
                <w:rFonts w:ascii="宋体"/>
                <w:sz w:val="21"/>
              </w:rPr>
              <w:t> </w:t>
            </w:r>
          </w:p>
        </w:tc>
      </w:tr>
      <w:tr>
        <w:trPr>
          <w:trHeight w:val="322" w:hRule="exact"/>
        </w:trPr>
        <w:tc>
          <w:tcPr>
            <w:tcW w:w="337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稳岗补贴收入</w:t>
            </w:r>
            <w:r>
              <w:rPr>
                <w:rFonts w:ascii="宋体" w:hAnsi="宋体" w:cs="宋体" w:eastAsia="宋体" w:hint="default"/>
                <w:sz w:val="21"/>
                <w:szCs w:val="21"/>
              </w:rPr>
              <w:t> </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1,455,000.00</w:t>
            </w:r>
            <w:r>
              <w:rPr>
                <w:rFonts w:ascii="宋体"/>
                <w:sz w:val="21"/>
              </w:rPr>
              <w:t> </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其他收益</w:t>
            </w:r>
            <w:r>
              <w:rPr>
                <w:rFonts w:ascii="宋体" w:hAnsi="宋体" w:cs="宋体" w:eastAsia="宋体" w:hint="default"/>
                <w:sz w:val="21"/>
                <w:szCs w:val="21"/>
              </w:rPr>
              <w:t> </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1,455,000.00</w:t>
            </w:r>
            <w:r>
              <w:rPr>
                <w:rFonts w:ascii="宋体"/>
                <w:sz w:val="21"/>
              </w:rPr>
              <w:t> </w:t>
            </w:r>
          </w:p>
        </w:tc>
      </w:tr>
      <w:tr>
        <w:trPr>
          <w:trHeight w:val="322" w:hRule="exact"/>
        </w:trPr>
        <w:tc>
          <w:tcPr>
            <w:tcW w:w="337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人才引进计划专项资金</w:t>
            </w:r>
            <w:r>
              <w:rPr>
                <w:rFonts w:ascii="宋体" w:hAnsi="宋体" w:cs="宋体" w:eastAsia="宋体" w:hint="default"/>
                <w:sz w:val="21"/>
                <w:szCs w:val="21"/>
              </w:rPr>
              <w:t> </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1,740,000.00</w:t>
            </w:r>
            <w:r>
              <w:rPr>
                <w:rFonts w:ascii="宋体"/>
                <w:sz w:val="21"/>
              </w:rPr>
              <w:t> </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其他收益</w:t>
            </w:r>
            <w:r>
              <w:rPr>
                <w:rFonts w:ascii="宋体" w:hAnsi="宋体" w:cs="宋体" w:eastAsia="宋体" w:hint="default"/>
                <w:sz w:val="21"/>
                <w:szCs w:val="21"/>
              </w:rPr>
              <w:t> </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1,740,000.00</w:t>
            </w:r>
            <w:r>
              <w:rPr>
                <w:rFonts w:ascii="宋体"/>
                <w:sz w:val="21"/>
              </w:rPr>
              <w:t> </w:t>
            </w:r>
          </w:p>
        </w:tc>
      </w:tr>
      <w:tr>
        <w:trPr>
          <w:trHeight w:val="322" w:hRule="exact"/>
        </w:trPr>
        <w:tc>
          <w:tcPr>
            <w:tcW w:w="337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互联网提升补贴</w:t>
            </w:r>
            <w:r>
              <w:rPr>
                <w:rFonts w:ascii="宋体" w:hAnsi="宋体" w:cs="宋体" w:eastAsia="宋体" w:hint="default"/>
                <w:sz w:val="21"/>
                <w:szCs w:val="21"/>
              </w:rPr>
              <w:t> </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612,000.00</w:t>
            </w:r>
            <w:r>
              <w:rPr>
                <w:rFonts w:ascii="宋体"/>
                <w:sz w:val="21"/>
              </w:rPr>
              <w:t> </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其他收益</w:t>
            </w:r>
            <w:r>
              <w:rPr>
                <w:rFonts w:ascii="宋体" w:hAnsi="宋体" w:cs="宋体" w:eastAsia="宋体" w:hint="default"/>
                <w:sz w:val="21"/>
                <w:szCs w:val="21"/>
              </w:rPr>
              <w:t> </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612,000.00</w:t>
            </w:r>
            <w:r>
              <w:rPr>
                <w:rFonts w:ascii="宋体"/>
                <w:sz w:val="21"/>
              </w:rPr>
              <w:t> </w:t>
            </w:r>
          </w:p>
        </w:tc>
      </w:tr>
      <w:tr>
        <w:trPr>
          <w:trHeight w:val="322" w:hRule="exact"/>
        </w:trPr>
        <w:tc>
          <w:tcPr>
            <w:tcW w:w="337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1,727,698.64</w:t>
            </w:r>
            <w:r>
              <w:rPr>
                <w:rFonts w:ascii="宋体"/>
                <w:sz w:val="21"/>
              </w:rPr>
              <w:t> </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其他收益</w:t>
            </w:r>
            <w:r>
              <w:rPr>
                <w:rFonts w:ascii="宋体" w:hAnsi="宋体" w:cs="宋体" w:eastAsia="宋体" w:hint="default"/>
                <w:sz w:val="21"/>
                <w:szCs w:val="21"/>
              </w:rPr>
              <w:t> </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1,727,698.64</w:t>
            </w:r>
            <w:r>
              <w:rPr>
                <w:rFonts w:ascii="宋体"/>
                <w:sz w:val="21"/>
              </w:rPr>
              <w:t> </w:t>
            </w:r>
          </w:p>
        </w:tc>
      </w:tr>
    </w:tbl>
    <w:p>
      <w:pPr>
        <w:pStyle w:val="Heading2"/>
        <w:spacing w:line="274" w:lineRule="exact"/>
        <w:ind w:left="216" w:right="0"/>
        <w:jc w:val="left"/>
        <w:rPr>
          <w:rFonts w:ascii="宋体" w:hAnsi="宋体" w:cs="宋体" w:eastAsia="宋体" w:hint="default"/>
        </w:rPr>
      </w:pPr>
      <w:r>
        <w:rPr>
          <w:rFonts w:ascii="宋体"/>
        </w:rPr>
        <w:t> </w:t>
      </w:r>
    </w:p>
    <w:p>
      <w:pPr>
        <w:pStyle w:val="Heading3"/>
        <w:spacing w:line="240" w:lineRule="auto" w:before="85"/>
        <w:ind w:left="216" w:right="0"/>
        <w:jc w:val="left"/>
        <w:rPr>
          <w:rFonts w:ascii="宋体" w:hAnsi="宋体" w:cs="宋体" w:eastAsia="宋体" w:hint="default"/>
          <w:b w:val="0"/>
          <w:bCs w:val="0"/>
        </w:rPr>
      </w:pPr>
      <w:r>
        <w:rPr>
          <w:rFonts w:ascii="宋体" w:hAnsi="宋体" w:cs="宋体" w:eastAsia="宋体" w:hint="default"/>
        </w:rPr>
        <w:t>(2).</w:t>
      </w:r>
      <w:r>
        <w:rPr/>
        <w:t>政府补助退回情况</w:t>
      </w:r>
      <w:r>
        <w:rPr>
          <w:rFonts w:ascii="宋体" w:hAnsi="宋体" w:cs="宋体" w:eastAsia="宋体" w:hint="default"/>
          <w:w w:val="99"/>
        </w:rPr>
        <w:t> </w:t>
      </w:r>
      <w:r>
        <w:rPr>
          <w:rFonts w:ascii="宋体" w:hAnsi="宋体" w:cs="宋体" w:eastAsia="宋体" w:hint="default"/>
          <w:b w:val="0"/>
          <w:bCs w:val="0"/>
        </w:rPr>
      </w:r>
    </w:p>
    <w:p>
      <w:pPr>
        <w:pStyle w:val="Heading2"/>
        <w:spacing w:line="313" w:lineRule="exact" w:before="69"/>
        <w:ind w:left="21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2"/>
        <w:spacing w:line="313" w:lineRule="exact"/>
        <w:ind w:left="216" w:right="0"/>
        <w:jc w:val="left"/>
        <w:rPr>
          <w:rFonts w:ascii="宋体" w:hAnsi="宋体" w:cs="宋体" w:eastAsia="宋体" w:hint="default"/>
        </w:rPr>
      </w:pPr>
      <w:r>
        <w:rPr>
          <w:rFonts w:ascii="宋体"/>
        </w:rPr>
        <w:t> </w:t>
      </w:r>
    </w:p>
    <w:p>
      <w:pPr>
        <w:pStyle w:val="Heading3"/>
        <w:spacing w:line="240" w:lineRule="auto" w:before="85"/>
        <w:ind w:left="216" w:right="0"/>
        <w:jc w:val="left"/>
        <w:rPr>
          <w:b w:val="0"/>
          <w:bCs w:val="0"/>
        </w:rPr>
      </w:pPr>
      <w:r>
        <w:rPr>
          <w:rFonts w:ascii="宋体" w:hAnsi="宋体" w:cs="宋体" w:eastAsia="宋体" w:hint="default"/>
        </w:rPr>
        <w:t>83</w:t>
      </w:r>
      <w:r>
        <w:rPr/>
        <w:t>、</w:t>
      </w:r>
      <w:r>
        <w:rPr>
          <w:spacing w:val="-25"/>
        </w:rPr>
        <w:t> </w:t>
      </w:r>
      <w:r>
        <w:rPr/>
        <w:t>其他</w:t>
      </w:r>
      <w:r>
        <w:rPr>
          <w:b w:val="0"/>
          <w:bCs w:val="0"/>
        </w:rPr>
      </w:r>
    </w:p>
    <w:p>
      <w:pPr>
        <w:pStyle w:val="Heading2"/>
        <w:spacing w:line="240" w:lineRule="auto" w:before="69"/>
        <w:ind w:left="21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after="0" w:line="240" w:lineRule="auto"/>
        <w:jc w:val="left"/>
        <w:rPr>
          <w:rFonts w:ascii="宋体" w:hAnsi="宋体" w:cs="宋体" w:eastAsia="宋体" w:hint="default"/>
        </w:rPr>
        <w:sectPr>
          <w:pgSz w:w="11910" w:h="16840"/>
          <w:pgMar w:header="0" w:footer="974" w:top="1140" w:bottom="1160" w:left="1060" w:right="1180"/>
        </w:sectPr>
      </w:pPr>
    </w:p>
    <w:p>
      <w:pPr>
        <w:spacing w:line="240" w:lineRule="auto" w:before="3"/>
        <w:rPr>
          <w:rFonts w:ascii="宋体" w:hAnsi="宋体" w:cs="宋体" w:eastAsia="宋体" w:hint="default"/>
          <w:sz w:val="6"/>
          <w:szCs w:val="6"/>
        </w:rPr>
      </w:pPr>
    </w:p>
    <w:p>
      <w:pPr>
        <w:spacing w:line="393" w:lineRule="exact"/>
        <w:ind w:left="981"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699.5pt;height:19.650pt;mso-position-horizontal-relative:char;mso-position-vertical-relative:line" coordorigin="0,0" coordsize="13990,393">
            <v:group style="position:absolute;left:70;top:370;width:13913;height:2" coordorigin="70,370" coordsize="13913,2">
              <v:shape style="position:absolute;left:70;top:370;width:13913;height:2" coordorigin="70,370" coordsize="13913,0" path="m70,370l13983,370e" filled="false" stroked="true" strokeweight=".72pt" strokecolor="#000000">
                <v:path arrowok="t"/>
              </v:shape>
              <v:shape style="position:absolute;left:0;top:0;width:465;height:393" type="#_x0000_t75" stroked="false">
                <v:imagedata r:id="rId10" o:title=""/>
              </v:shape>
              <v:shape style="position:absolute;left:3039;top:134;width:21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江苏林洋能源股份有限公司</w:t>
                      </w:r>
                    </w:p>
                  </w:txbxContent>
                </v:textbox>
                <w10:wrap type="none"/>
              </v:shape>
              <v:shape style="position:absolute;left:9705;top:134;width:1309;height:200" type="#_x0000_t202" filled="false" stroked="false">
                <v:textbox inset="0,0,0,0">
                  <w:txbxContent>
                    <w:p>
                      <w:pPr>
                        <w:spacing w:line="200" w:lineRule="exact" w:before="0"/>
                        <w:ind w:left="0" w:right="0" w:firstLine="0"/>
                        <w:jc w:val="left"/>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2"/>
                          <w:sz w:val="18"/>
                          <w:szCs w:val="18"/>
                        </w:rPr>
                        <w:t> </w:t>
                      </w:r>
                      <w:r>
                        <w:rPr>
                          <w:rFonts w:ascii="宋体" w:hAnsi="宋体" w:cs="宋体" w:eastAsia="宋体" w:hint="default"/>
                          <w:sz w:val="18"/>
                          <w:szCs w:val="18"/>
                        </w:rPr>
                        <w:t>年年度报告</w:t>
                      </w:r>
                    </w:p>
                  </w:txbxContent>
                </v:textbox>
                <w10:wrap type="none"/>
              </v:shape>
            </v:group>
          </v:group>
        </w:pict>
      </w:r>
      <w:r>
        <w:rPr>
          <w:rFonts w:ascii="宋体" w:hAnsi="宋体" w:cs="宋体" w:eastAsia="宋体" w:hint="default"/>
          <w:position w:val="-7"/>
          <w:sz w:val="20"/>
          <w:szCs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headerReference w:type="default" r:id="rId221"/>
          <w:footerReference w:type="default" r:id="rId222"/>
          <w:pgSz w:w="16840" w:h="11910" w:orient="landscape"/>
          <w:pgMar w:header="0" w:footer="0" w:top="660" w:bottom="280" w:left="360" w:right="1280"/>
        </w:sectPr>
      </w:pPr>
    </w:p>
    <w:p>
      <w:pPr>
        <w:spacing w:line="240" w:lineRule="auto" w:before="11"/>
        <w:rPr>
          <w:rFonts w:ascii="宋体" w:hAnsi="宋体" w:cs="宋体" w:eastAsia="宋体" w:hint="default"/>
          <w:sz w:val="13"/>
          <w:szCs w:val="13"/>
        </w:rPr>
      </w:pPr>
    </w:p>
    <w:p>
      <w:pPr>
        <w:pStyle w:val="Heading3"/>
        <w:spacing w:line="240" w:lineRule="auto" w:before="0"/>
        <w:ind w:left="1080" w:right="0"/>
        <w:jc w:val="left"/>
        <w:rPr>
          <w:b w:val="0"/>
          <w:bCs w:val="0"/>
        </w:rPr>
      </w:pPr>
      <w:r>
        <w:rPr/>
        <w:t>八、</w:t>
      </w:r>
      <w:r>
        <w:rPr>
          <w:spacing w:val="-101"/>
        </w:rPr>
        <w:t> </w:t>
      </w:r>
      <w:r>
        <w:rPr>
          <w:rFonts w:ascii="宋体" w:hAnsi="宋体" w:cs="宋体" w:eastAsia="宋体" w:hint="default"/>
          <w:spacing w:val="-101"/>
        </w:rPr>
      </w:r>
      <w:r>
        <w:rPr/>
        <w:t>合并范围的变更</w:t>
      </w:r>
      <w:r>
        <w:rPr>
          <w:b w:val="0"/>
          <w:bCs w:val="0"/>
        </w:rPr>
      </w:r>
    </w:p>
    <w:p>
      <w:pPr>
        <w:pStyle w:val="Heading3"/>
        <w:spacing w:line="240" w:lineRule="auto"/>
        <w:ind w:left="1080" w:right="0"/>
        <w:jc w:val="left"/>
        <w:rPr>
          <w:rFonts w:ascii="宋体" w:hAnsi="宋体" w:cs="宋体" w:eastAsia="宋体" w:hint="default"/>
          <w:b w:val="0"/>
          <w:bCs w:val="0"/>
        </w:rPr>
      </w:pPr>
      <w:r>
        <w:rPr>
          <w:rFonts w:ascii="宋体" w:hAnsi="宋体" w:cs="宋体" w:eastAsia="宋体" w:hint="default"/>
        </w:rPr>
        <w:t>1</w:t>
      </w:r>
      <w:r>
        <w:rPr/>
        <w:t>、</w:t>
      </w:r>
      <w:r>
        <w:rPr>
          <w:spacing w:val="-5"/>
        </w:rPr>
        <w:t> </w:t>
      </w:r>
      <w:r>
        <w:rPr/>
        <w:t>非同一控制下企业合并</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7"/>
        <w:ind w:left="1080"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left="1080" w:right="0"/>
        <w:jc w:val="left"/>
        <w:rPr>
          <w:rFonts w:ascii="宋体" w:hAnsi="宋体" w:cs="宋体" w:eastAsia="宋体" w:hint="default"/>
        </w:rPr>
      </w:pPr>
      <w:r>
        <w:rPr>
          <w:rFonts w:ascii="宋体"/>
          <w:w w:val="100"/>
        </w:rPr>
        <w:t> </w:t>
      </w:r>
    </w:p>
    <w:p>
      <w:pPr>
        <w:pStyle w:val="Heading3"/>
        <w:spacing w:line="240" w:lineRule="auto"/>
        <w:ind w:left="1080" w:right="0"/>
        <w:jc w:val="left"/>
        <w:rPr>
          <w:rFonts w:ascii="宋体" w:hAnsi="宋体" w:cs="宋体" w:eastAsia="宋体" w:hint="default"/>
          <w:b w:val="0"/>
          <w:bCs w:val="0"/>
        </w:rPr>
      </w:pPr>
      <w:r>
        <w:rPr>
          <w:rFonts w:ascii="宋体" w:hAnsi="宋体" w:cs="宋体" w:eastAsia="宋体" w:hint="default"/>
        </w:rPr>
        <w:t>2</w:t>
      </w:r>
      <w:r>
        <w:rPr/>
        <w:t>、</w:t>
      </w:r>
      <w:r>
        <w:rPr>
          <w:spacing w:val="-3"/>
        </w:rPr>
        <w:t> </w:t>
      </w:r>
      <w:r>
        <w:rPr/>
        <w:t>同一控制下企业合并</w:t>
      </w:r>
      <w:r>
        <w:rPr>
          <w:rFonts w:ascii="宋体" w:hAnsi="宋体" w:cs="宋体" w:eastAsia="宋体" w:hint="default"/>
          <w:w w:val="99"/>
        </w:rPr>
        <w:t> </w:t>
      </w:r>
      <w:r>
        <w:rPr>
          <w:rFonts w:ascii="宋体" w:hAnsi="宋体" w:cs="宋体" w:eastAsia="宋体" w:hint="default"/>
          <w:b w:val="0"/>
          <w:bCs w:val="0"/>
        </w:rPr>
      </w:r>
    </w:p>
    <w:p>
      <w:pPr>
        <w:pStyle w:val="Heading2"/>
        <w:spacing w:line="240" w:lineRule="auto" w:before="70"/>
        <w:ind w:left="1080"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rPr>
        <w:t>  </w:t>
      </w:r>
    </w:p>
    <w:p>
      <w:pPr>
        <w:pStyle w:val="Heading3"/>
        <w:spacing w:line="240" w:lineRule="auto" w:before="85"/>
        <w:ind w:left="1080" w:right="0"/>
        <w:jc w:val="left"/>
        <w:rPr>
          <w:rFonts w:ascii="宋体" w:hAnsi="宋体" w:cs="宋体" w:eastAsia="宋体" w:hint="default"/>
          <w:b w:val="0"/>
          <w:bCs w:val="0"/>
        </w:rPr>
      </w:pPr>
      <w:r>
        <w:rPr>
          <w:rFonts w:ascii="宋体" w:hAnsi="宋体" w:cs="宋体" w:eastAsia="宋体" w:hint="default"/>
        </w:rPr>
        <w:t>(1).</w:t>
      </w:r>
      <w:r>
        <w:rPr/>
        <w:t>本期发生的同一控制下企业合并</w:t>
      </w:r>
      <w:r>
        <w:rPr>
          <w:rFonts w:ascii="宋体" w:hAnsi="宋体" w:cs="宋体" w:eastAsia="宋体" w:hint="default"/>
          <w:w w:val="99"/>
        </w:rPr>
        <w:t> </w:t>
      </w:r>
      <w:r>
        <w:rPr>
          <w:rFonts w:ascii="宋体" w:hAnsi="宋体" w:cs="宋体" w:eastAsia="宋体" w:hint="default"/>
          <w:b w:val="0"/>
          <w:bCs w:val="0"/>
        </w:rPr>
      </w:r>
    </w:p>
    <w:p>
      <w:pPr>
        <w:pStyle w:val="Heading2"/>
        <w:spacing w:line="240" w:lineRule="auto" w:before="69"/>
        <w:ind w:left="1080"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58"/>
        <w:ind w:left="1080" w:right="0"/>
        <w:jc w:val="left"/>
        <w:rPr>
          <w:rFonts w:ascii="宋体" w:hAnsi="宋体" w:cs="宋体" w:eastAsia="宋体" w:hint="default"/>
        </w:rPr>
      </w:pPr>
      <w:r>
        <w:rPr/>
        <w:t>单位</w:t>
      </w:r>
      <w:r>
        <w:rPr>
          <w:rFonts w:ascii="宋体" w:hAnsi="宋体" w:cs="宋体" w:eastAsia="宋体" w:hint="default"/>
        </w:rPr>
        <w:t>:</w:t>
      </w:r>
      <w:r>
        <w:rPr/>
        <w:t>元币种</w:t>
      </w:r>
      <w:r>
        <w:rPr>
          <w:rFonts w:ascii="宋体" w:hAnsi="宋体" w:cs="宋体" w:eastAsia="宋体" w:hint="default"/>
        </w:rPr>
        <w:t>:</w:t>
      </w:r>
      <w:r>
        <w:rPr/>
        <w:t>人民币</w:t>
      </w:r>
      <w:r>
        <w:rPr>
          <w:rFonts w:ascii="宋体" w:hAnsi="宋体" w:cs="宋体" w:eastAsia="宋体" w:hint="default"/>
          <w:b/>
          <w:bCs/>
          <w:w w:val="99"/>
        </w:rPr>
        <w:t> </w:t>
      </w:r>
      <w:r>
        <w:rPr>
          <w:rFonts w:ascii="宋体" w:hAnsi="宋体" w:cs="宋体" w:eastAsia="宋体" w:hint="default"/>
        </w:rPr>
      </w:r>
    </w:p>
    <w:p>
      <w:pPr>
        <w:spacing w:after="0" w:line="240" w:lineRule="auto"/>
        <w:jc w:val="left"/>
        <w:rPr>
          <w:rFonts w:ascii="宋体" w:hAnsi="宋体" w:cs="宋体" w:eastAsia="宋体" w:hint="default"/>
        </w:rPr>
        <w:sectPr>
          <w:type w:val="continuous"/>
          <w:pgSz w:w="16840" w:h="11910" w:orient="landscape"/>
          <w:pgMar w:top="1580" w:bottom="280" w:left="360" w:right="1280"/>
          <w:cols w:num="2" w:equalWidth="0">
            <w:col w:w="4566" w:space="7417"/>
            <w:col w:w="3217"/>
          </w:cols>
        </w:sectPr>
      </w:pPr>
    </w:p>
    <w:p>
      <w:pPr>
        <w:spacing w:line="240" w:lineRule="auto" w:before="10"/>
        <w:rPr>
          <w:rFonts w:ascii="宋体" w:hAnsi="宋体" w:cs="宋体" w:eastAsia="宋体" w:hint="default"/>
          <w:b/>
          <w:bCs/>
          <w:sz w:val="3"/>
          <w:szCs w:val="3"/>
        </w:rPr>
      </w:pPr>
    </w:p>
    <w:tbl>
      <w:tblPr>
        <w:tblW w:w="0" w:type="auto"/>
        <w:jc w:val="left"/>
        <w:tblInd w:w="110" w:type="dxa"/>
        <w:tblLayout w:type="fixed"/>
        <w:tblCellMar>
          <w:top w:w="0" w:type="dxa"/>
          <w:left w:w="0" w:type="dxa"/>
          <w:bottom w:w="0" w:type="dxa"/>
          <w:right w:w="0" w:type="dxa"/>
        </w:tblCellMar>
        <w:tblLook w:val="01E0"/>
      </w:tblPr>
      <w:tblGrid>
        <w:gridCol w:w="2453"/>
        <w:gridCol w:w="1106"/>
        <w:gridCol w:w="1753"/>
        <w:gridCol w:w="2038"/>
        <w:gridCol w:w="1731"/>
        <w:gridCol w:w="1438"/>
        <w:gridCol w:w="1443"/>
        <w:gridCol w:w="1440"/>
        <w:gridCol w:w="1562"/>
      </w:tblGrid>
      <w:tr>
        <w:trPr>
          <w:trHeight w:val="1123" w:hRule="exact"/>
        </w:trPr>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left="85" w:right="0"/>
              <w:jc w:val="center"/>
              <w:rPr>
                <w:rFonts w:ascii="宋体" w:hAnsi="宋体" w:cs="宋体" w:eastAsia="宋体" w:hint="default"/>
                <w:sz w:val="18"/>
                <w:szCs w:val="18"/>
              </w:rPr>
            </w:pPr>
            <w:r>
              <w:rPr>
                <w:rFonts w:ascii="宋体" w:hAnsi="宋体" w:cs="宋体" w:eastAsia="宋体" w:hint="default"/>
                <w:sz w:val="18"/>
                <w:szCs w:val="18"/>
              </w:rPr>
              <w:t>被合并方名称</w:t>
            </w:r>
            <w:r>
              <w:rPr>
                <w:rFonts w:ascii="宋体" w:hAnsi="宋体" w:cs="宋体" w:eastAsia="宋体" w:hint="default"/>
                <w:sz w:val="18"/>
                <w:szCs w:val="18"/>
              </w:rPr>
              <w:t> </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97"/>
              <w:ind w:left="187" w:right="97"/>
              <w:jc w:val="both"/>
              <w:rPr>
                <w:rFonts w:ascii="宋体" w:hAnsi="宋体" w:cs="宋体" w:eastAsia="宋体" w:hint="default"/>
                <w:sz w:val="18"/>
                <w:szCs w:val="18"/>
              </w:rPr>
            </w:pPr>
            <w:r>
              <w:rPr>
                <w:rFonts w:ascii="宋体" w:hAnsi="宋体" w:cs="宋体" w:eastAsia="宋体" w:hint="default"/>
                <w:sz w:val="18"/>
                <w:szCs w:val="18"/>
              </w:rPr>
              <w:t>企业合并 中取得的 权益比例</w:t>
            </w:r>
            <w:r>
              <w:rPr>
                <w:rFonts w:ascii="宋体" w:hAnsi="宋体" w:cs="宋体" w:eastAsia="宋体" w:hint="default"/>
                <w:sz w:val="18"/>
                <w:szCs w:val="18"/>
              </w:rPr>
              <w:t> </w:t>
            </w:r>
          </w:p>
        </w:tc>
        <w:tc>
          <w:tcPr>
            <w:tcW w:w="1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316" w:lineRule="auto"/>
              <w:ind w:left="331" w:right="149" w:hanging="180"/>
              <w:jc w:val="left"/>
              <w:rPr>
                <w:rFonts w:ascii="宋体" w:hAnsi="宋体" w:cs="宋体" w:eastAsia="宋体" w:hint="default"/>
                <w:sz w:val="18"/>
                <w:szCs w:val="18"/>
              </w:rPr>
            </w:pPr>
            <w:r>
              <w:rPr>
                <w:rFonts w:ascii="宋体" w:hAnsi="宋体" w:cs="宋体" w:eastAsia="宋体" w:hint="default"/>
                <w:sz w:val="18"/>
                <w:szCs w:val="18"/>
              </w:rPr>
              <w:t>构成同一控制下企 业合并的依据</w:t>
            </w:r>
            <w:r>
              <w:rPr>
                <w:rFonts w:ascii="宋体" w:hAnsi="宋体" w:cs="宋体" w:eastAsia="宋体" w:hint="default"/>
                <w:sz w:val="18"/>
                <w:szCs w:val="18"/>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left="743" w:right="0"/>
              <w:jc w:val="left"/>
              <w:rPr>
                <w:rFonts w:ascii="宋体" w:hAnsi="宋体" w:cs="宋体" w:eastAsia="宋体" w:hint="default"/>
                <w:sz w:val="18"/>
                <w:szCs w:val="18"/>
              </w:rPr>
            </w:pPr>
            <w:r>
              <w:rPr>
                <w:rFonts w:ascii="宋体" w:hAnsi="宋体" w:cs="宋体" w:eastAsia="宋体" w:hint="default"/>
                <w:sz w:val="18"/>
                <w:szCs w:val="18"/>
              </w:rPr>
              <w:t>合并日</w:t>
            </w:r>
            <w:r>
              <w:rPr>
                <w:rFonts w:ascii="宋体" w:hAnsi="宋体" w:cs="宋体" w:eastAsia="宋体" w:hint="default"/>
                <w:sz w:val="18"/>
                <w:szCs w:val="18"/>
              </w:rPr>
              <w:t> </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合并日的确定依据</w:t>
            </w:r>
            <w:r>
              <w:rPr>
                <w:rFonts w:ascii="宋体" w:hAnsi="宋体" w:cs="宋体" w:eastAsia="宋体" w:hint="default"/>
                <w:sz w:val="18"/>
                <w:szCs w:val="18"/>
              </w:rPr>
              <w:t> </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97"/>
              <w:ind w:left="175" w:right="170"/>
              <w:jc w:val="both"/>
              <w:rPr>
                <w:rFonts w:ascii="宋体" w:hAnsi="宋体" w:cs="宋体" w:eastAsia="宋体" w:hint="default"/>
                <w:sz w:val="18"/>
                <w:szCs w:val="18"/>
              </w:rPr>
            </w:pPr>
            <w:r>
              <w:rPr>
                <w:rFonts w:ascii="宋体" w:hAnsi="宋体" w:cs="宋体" w:eastAsia="宋体" w:hint="default"/>
                <w:sz w:val="18"/>
                <w:szCs w:val="18"/>
              </w:rPr>
              <w:t>合并当期期初 至合并日被合 并方的收入</w:t>
            </w:r>
            <w:r>
              <w:rPr>
                <w:rFonts w:ascii="宋体" w:hAnsi="宋体" w:cs="宋体" w:eastAsia="宋体" w:hint="default"/>
                <w:sz w:val="18"/>
                <w:szCs w:val="18"/>
              </w:rPr>
              <w:t> </w:t>
            </w: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97"/>
              <w:ind w:left="175" w:right="85"/>
              <w:jc w:val="both"/>
              <w:rPr>
                <w:rFonts w:ascii="宋体" w:hAnsi="宋体" w:cs="宋体" w:eastAsia="宋体" w:hint="default"/>
                <w:sz w:val="18"/>
                <w:szCs w:val="18"/>
              </w:rPr>
            </w:pPr>
            <w:r>
              <w:rPr>
                <w:rFonts w:ascii="宋体" w:hAnsi="宋体" w:cs="宋体" w:eastAsia="宋体" w:hint="default"/>
                <w:sz w:val="18"/>
                <w:szCs w:val="18"/>
              </w:rPr>
              <w:t>合并当期期初 至合并日被合 并方的净利润</w:t>
            </w:r>
            <w:r>
              <w:rPr>
                <w:rFonts w:ascii="宋体" w:hAnsi="宋体" w:cs="宋体" w:eastAsia="宋体" w:hint="default"/>
                <w:sz w:val="18"/>
                <w:szCs w:val="18"/>
              </w:rPr>
              <w:t>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316" w:lineRule="auto"/>
              <w:ind w:left="263" w:right="173" w:hanging="89"/>
              <w:jc w:val="left"/>
              <w:rPr>
                <w:rFonts w:ascii="宋体" w:hAnsi="宋体" w:cs="宋体" w:eastAsia="宋体" w:hint="default"/>
                <w:sz w:val="18"/>
                <w:szCs w:val="18"/>
              </w:rPr>
            </w:pPr>
            <w:r>
              <w:rPr>
                <w:rFonts w:ascii="宋体" w:hAnsi="宋体" w:cs="宋体" w:eastAsia="宋体" w:hint="default"/>
                <w:sz w:val="18"/>
                <w:szCs w:val="18"/>
              </w:rPr>
              <w:t>比较期间被合 并方的收入</w:t>
            </w:r>
            <w:r>
              <w:rPr>
                <w:rFonts w:ascii="宋体" w:hAnsi="宋体" w:cs="宋体" w:eastAsia="宋体" w:hint="default"/>
                <w:sz w:val="18"/>
                <w:szCs w:val="18"/>
              </w:rPr>
              <w:t> </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316" w:lineRule="auto"/>
              <w:ind w:left="326" w:right="144" w:hanging="180"/>
              <w:jc w:val="left"/>
              <w:rPr>
                <w:rFonts w:ascii="宋体" w:hAnsi="宋体" w:cs="宋体" w:eastAsia="宋体" w:hint="default"/>
                <w:sz w:val="18"/>
                <w:szCs w:val="18"/>
              </w:rPr>
            </w:pPr>
            <w:r>
              <w:rPr>
                <w:rFonts w:ascii="宋体" w:hAnsi="宋体" w:cs="宋体" w:eastAsia="宋体" w:hint="default"/>
                <w:sz w:val="18"/>
                <w:szCs w:val="18"/>
              </w:rPr>
              <w:t>比较期间被合并 方的净利润</w:t>
            </w:r>
            <w:r>
              <w:rPr>
                <w:rFonts w:ascii="宋体" w:hAnsi="宋体" w:cs="宋体" w:eastAsia="宋体" w:hint="default"/>
                <w:sz w:val="18"/>
                <w:szCs w:val="18"/>
              </w:rPr>
              <w:t> </w:t>
            </w:r>
          </w:p>
        </w:tc>
      </w:tr>
      <w:tr>
        <w:trPr>
          <w:trHeight w:val="322" w:hRule="exact"/>
        </w:trPr>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3" w:right="0"/>
              <w:jc w:val="center"/>
              <w:rPr>
                <w:rFonts w:ascii="宋体" w:hAnsi="宋体" w:cs="宋体" w:eastAsia="宋体" w:hint="default"/>
                <w:sz w:val="18"/>
                <w:szCs w:val="18"/>
              </w:rPr>
            </w:pPr>
            <w:r>
              <w:rPr>
                <w:rFonts w:ascii="宋体" w:hAnsi="宋体" w:cs="宋体" w:eastAsia="宋体" w:hint="default"/>
                <w:sz w:val="18"/>
                <w:szCs w:val="18"/>
              </w:rPr>
              <w:t>南京华虹融资租赁有限公司</w:t>
            </w:r>
            <w:r>
              <w:rPr>
                <w:rFonts w:ascii="宋体" w:hAnsi="宋体" w:cs="宋体" w:eastAsia="宋体" w:hint="default"/>
                <w:sz w:val="18"/>
                <w:szCs w:val="18"/>
              </w:rPr>
              <w:t> </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53" w:right="0"/>
              <w:jc w:val="left"/>
              <w:rPr>
                <w:rFonts w:ascii="宋体" w:hAnsi="宋体" w:cs="宋体" w:eastAsia="宋体" w:hint="default"/>
                <w:sz w:val="18"/>
                <w:szCs w:val="18"/>
              </w:rPr>
            </w:pPr>
            <w:r>
              <w:rPr>
                <w:rFonts w:ascii="宋体"/>
                <w:sz w:val="18"/>
              </w:rPr>
              <w:t>100.00 </w:t>
            </w:r>
          </w:p>
        </w:tc>
        <w:tc>
          <w:tcPr>
            <w:tcW w:w="1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同一实际控制人</w:t>
            </w:r>
            <w:r>
              <w:rPr>
                <w:rFonts w:ascii="宋体" w:hAnsi="宋体" w:cs="宋体" w:eastAsia="宋体" w:hint="default"/>
                <w:sz w:val="18"/>
                <w:szCs w:val="18"/>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5"/>
                <w:sz w:val="18"/>
                <w:szCs w:val="18"/>
              </w:rPr>
              <w:t> </w:t>
            </w:r>
            <w:r>
              <w:rPr>
                <w:rFonts w:ascii="宋体" w:hAnsi="宋体" w:cs="宋体" w:eastAsia="宋体" w:hint="default"/>
                <w:spacing w:val="-3"/>
                <w:sz w:val="18"/>
                <w:szCs w:val="18"/>
              </w:rPr>
              <w:t>日</w:t>
            </w:r>
            <w:r>
              <w:rPr>
                <w:rFonts w:ascii="宋体" w:hAnsi="宋体" w:cs="宋体" w:eastAsia="宋体" w:hint="default"/>
                <w:sz w:val="18"/>
                <w:szCs w:val="18"/>
              </w:rPr>
              <w:t> </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控制权转移</w:t>
            </w:r>
            <w:r>
              <w:rPr>
                <w:rFonts w:ascii="宋体" w:hAnsi="宋体" w:cs="宋体" w:eastAsia="宋体" w:hint="default"/>
                <w:sz w:val="18"/>
                <w:szCs w:val="18"/>
              </w:rPr>
              <w:t> </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55" w:right="0"/>
              <w:jc w:val="left"/>
              <w:rPr>
                <w:rFonts w:ascii="宋体" w:hAnsi="宋体" w:cs="宋体" w:eastAsia="宋体" w:hint="default"/>
                <w:sz w:val="18"/>
                <w:szCs w:val="18"/>
              </w:rPr>
            </w:pPr>
            <w:r>
              <w:rPr>
                <w:rFonts w:ascii="宋体"/>
                <w:sz w:val="18"/>
              </w:rPr>
              <w:t>29,619,207.69 </w:t>
            </w: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58" w:right="0"/>
              <w:jc w:val="left"/>
              <w:rPr>
                <w:rFonts w:ascii="宋体" w:hAnsi="宋体" w:cs="宋体" w:eastAsia="宋体" w:hint="default"/>
                <w:sz w:val="18"/>
                <w:szCs w:val="18"/>
              </w:rPr>
            </w:pPr>
            <w:r>
              <w:rPr>
                <w:rFonts w:ascii="宋体"/>
                <w:sz w:val="18"/>
              </w:rPr>
              <w:t>15,975,152.48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55" w:right="0"/>
              <w:jc w:val="left"/>
              <w:rPr>
                <w:rFonts w:ascii="宋体" w:hAnsi="宋体" w:cs="宋体" w:eastAsia="宋体" w:hint="default"/>
                <w:sz w:val="18"/>
                <w:szCs w:val="18"/>
              </w:rPr>
            </w:pPr>
            <w:r>
              <w:rPr>
                <w:rFonts w:ascii="宋体"/>
                <w:sz w:val="18"/>
              </w:rPr>
              <w:t>34,120,626.66 </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78" w:right="0"/>
              <w:jc w:val="left"/>
              <w:rPr>
                <w:rFonts w:ascii="宋体" w:hAnsi="宋体" w:cs="宋体" w:eastAsia="宋体" w:hint="default"/>
                <w:sz w:val="18"/>
                <w:szCs w:val="18"/>
              </w:rPr>
            </w:pPr>
            <w:r>
              <w:rPr>
                <w:rFonts w:ascii="宋体"/>
                <w:sz w:val="18"/>
              </w:rPr>
              <w:t>17,920,110.52 </w:t>
            </w: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spacing w:before="63"/>
        <w:ind w:left="7649" w:right="6816" w:firstLine="0"/>
        <w:jc w:val="center"/>
        <w:rPr>
          <w:rFonts w:ascii="Calibri" w:hAnsi="Calibri" w:cs="Calibri" w:eastAsia="Calibri" w:hint="default"/>
          <w:sz w:val="18"/>
          <w:szCs w:val="18"/>
        </w:rPr>
      </w:pPr>
      <w:r>
        <w:rPr>
          <w:rFonts w:ascii="Calibri"/>
          <w:b/>
          <w:sz w:val="18"/>
        </w:rPr>
        <w:t>183 </w:t>
      </w:r>
      <w:r>
        <w:rPr>
          <w:rFonts w:ascii="Calibri"/>
          <w:sz w:val="18"/>
        </w:rPr>
        <w:t>/</w:t>
      </w:r>
      <w:r>
        <w:rPr>
          <w:rFonts w:ascii="Calibri"/>
          <w:spacing w:val="-5"/>
          <w:sz w:val="18"/>
        </w:rPr>
        <w:t> </w:t>
      </w:r>
      <w:r>
        <w:rPr>
          <w:rFonts w:ascii="Calibri"/>
          <w:b/>
          <w:sz w:val="18"/>
        </w:rPr>
        <w:t>216</w:t>
      </w:r>
      <w:r>
        <w:rPr>
          <w:rFonts w:ascii="Calibri"/>
          <w:sz w:val="18"/>
        </w:rPr>
      </w:r>
    </w:p>
    <w:p>
      <w:pPr>
        <w:spacing w:after="0"/>
        <w:jc w:val="center"/>
        <w:rPr>
          <w:rFonts w:ascii="Calibri" w:hAnsi="Calibri" w:cs="Calibri" w:eastAsia="Calibri" w:hint="default"/>
          <w:sz w:val="18"/>
          <w:szCs w:val="18"/>
        </w:rPr>
        <w:sectPr>
          <w:type w:val="continuous"/>
          <w:pgSz w:w="16840" w:h="11910" w:orient="landscape"/>
          <w:pgMar w:top="1580" w:bottom="280" w:left="360" w:right="1280"/>
        </w:sectPr>
      </w:pPr>
    </w:p>
    <w:p>
      <w:pPr>
        <w:spacing w:line="240" w:lineRule="auto" w:before="9"/>
        <w:rPr>
          <w:rFonts w:ascii="Calibri" w:hAnsi="Calibri" w:cs="Calibri" w:eastAsia="Calibri" w:hint="default"/>
          <w:b/>
          <w:bCs/>
          <w:sz w:val="18"/>
          <w:szCs w:val="18"/>
        </w:rPr>
      </w:pPr>
    </w:p>
    <w:p>
      <w:pPr>
        <w:spacing w:after="0" w:line="240" w:lineRule="auto"/>
        <w:rPr>
          <w:rFonts w:ascii="Calibri" w:hAnsi="Calibri" w:cs="Calibri" w:eastAsia="Calibri" w:hint="default"/>
          <w:sz w:val="18"/>
          <w:szCs w:val="18"/>
        </w:rPr>
        <w:sectPr>
          <w:headerReference w:type="default" r:id="rId223"/>
          <w:footerReference w:type="default" r:id="rId224"/>
          <w:pgSz w:w="11910" w:h="16840"/>
          <w:pgMar w:header="748" w:footer="0" w:top="1140" w:bottom="280" w:left="1060" w:right="1560"/>
        </w:sectPr>
      </w:pPr>
    </w:p>
    <w:p>
      <w:pPr>
        <w:pStyle w:val="Heading3"/>
        <w:spacing w:line="290" w:lineRule="auto" w:before="36"/>
        <w:ind w:left="216"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(2)</w:t>
      </w:r>
      <w:r>
        <w:rPr>
          <w:rFonts w:ascii="宋体" w:hAnsi="宋体" w:cs="宋体" w:eastAsia="宋体" w:hint="default"/>
          <w:spacing w:val="5"/>
          <w:w w:val="99"/>
        </w:rPr>
        <w:t>.</w:t>
      </w:r>
      <w:r>
        <w:rPr>
          <w:w w:val="100"/>
        </w:rPr>
        <w:t>合并成</w:t>
      </w:r>
      <w:r>
        <w:rPr>
          <w:spacing w:val="-3"/>
          <w:w w:val="100"/>
        </w:rPr>
        <w:t>本</w:t>
      </w:r>
      <w:r>
        <w:rPr>
          <w:rFonts w:ascii="宋体" w:hAnsi="宋体" w:cs="宋体" w:eastAsia="宋体" w:hint="default"/>
          <w:w w:val="99"/>
        </w:rPr>
        <w:t> </w:t>
      </w:r>
      <w:r>
        <w:rPr>
          <w:rFonts w:ascii="宋体" w:hAnsi="宋体" w:cs="宋体" w:eastAsia="宋体" w:hint="default"/>
          <w:b w:val="0"/>
          <w:bCs w:val="0"/>
        </w:rPr>
      </w:r>
    </w:p>
    <w:p>
      <w:pPr>
        <w:pStyle w:val="Heading2"/>
        <w:spacing w:line="240" w:lineRule="auto" w:before="8"/>
        <w:ind w:left="21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7"/>
          <w:szCs w:val="17"/>
        </w:rPr>
      </w:pPr>
    </w:p>
    <w:p>
      <w:pPr>
        <w:pStyle w:val="BodyText"/>
        <w:spacing w:line="240" w:lineRule="auto"/>
        <w:ind w:left="216" w:right="0"/>
        <w:jc w:val="left"/>
        <w:rPr>
          <w:rFonts w:ascii="宋体" w:hAnsi="宋体" w:cs="宋体" w:eastAsia="宋体" w:hint="default"/>
        </w:rPr>
      </w:pPr>
      <w:r>
        <w:rPr/>
        <w:t>单位：元币种：人民币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580" w:bottom="280" w:left="1060" w:right="1560"/>
          <w:cols w:num="2" w:equalWidth="0">
            <w:col w:w="2258" w:space="4476"/>
            <w:col w:w="2556"/>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4448"/>
        <w:gridCol w:w="4602"/>
      </w:tblGrid>
      <w:tr>
        <w:trPr>
          <w:trHeight w:val="283" w:hRule="exact"/>
        </w:trPr>
        <w:tc>
          <w:tcPr>
            <w:tcW w:w="44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合并成本</w:t>
            </w:r>
            <w:r>
              <w:rPr>
                <w:rFonts w:ascii="宋体" w:hAnsi="宋体" w:cs="宋体" w:eastAsia="宋体" w:hint="default"/>
                <w:sz w:val="21"/>
                <w:szCs w:val="21"/>
              </w:rPr>
              <w:t> </w:t>
            </w:r>
          </w:p>
        </w:tc>
        <w:tc>
          <w:tcPr>
            <w:tcW w:w="4602"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217" w:right="0"/>
              <w:jc w:val="left"/>
              <w:rPr>
                <w:rFonts w:ascii="宋体" w:hAnsi="宋体" w:cs="宋体" w:eastAsia="宋体" w:hint="default"/>
                <w:sz w:val="21"/>
                <w:szCs w:val="21"/>
              </w:rPr>
            </w:pPr>
            <w:r>
              <w:rPr>
                <w:rFonts w:ascii="宋体" w:hAnsi="宋体" w:cs="宋体" w:eastAsia="宋体" w:hint="default"/>
                <w:sz w:val="18"/>
                <w:szCs w:val="18"/>
              </w:rPr>
              <w:t>南京华虹融资租赁有限公司</w:t>
            </w:r>
            <w:r>
              <w:rPr>
                <w:rFonts w:ascii="宋体" w:hAnsi="宋体" w:cs="宋体" w:eastAsia="宋体" w:hint="default"/>
                <w:w w:val="100"/>
                <w:sz w:val="21"/>
                <w:szCs w:val="21"/>
              </w:rPr>
              <w:t> </w:t>
            </w:r>
          </w:p>
        </w:tc>
      </w:tr>
      <w:tr>
        <w:trPr>
          <w:trHeight w:val="281" w:hRule="exact"/>
        </w:trPr>
        <w:tc>
          <w:tcPr>
            <w:tcW w:w="44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现金</w:t>
            </w:r>
            <w:r>
              <w:rPr>
                <w:rFonts w:ascii="宋体" w:hAnsi="宋体" w:cs="宋体" w:eastAsia="宋体" w:hint="default"/>
                <w:sz w:val="21"/>
                <w:szCs w:val="21"/>
              </w:rPr>
              <w:t> </w:t>
            </w:r>
          </w:p>
        </w:tc>
        <w:tc>
          <w:tcPr>
            <w:tcW w:w="4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center"/>
              <w:rPr>
                <w:rFonts w:ascii="宋体" w:hAnsi="宋体" w:cs="宋体" w:eastAsia="宋体" w:hint="default"/>
                <w:sz w:val="21"/>
                <w:szCs w:val="21"/>
              </w:rPr>
            </w:pPr>
            <w:r>
              <w:rPr>
                <w:rFonts w:ascii="Times New Roman"/>
                <w:sz w:val="18"/>
              </w:rPr>
              <w:t>321,000,000.00</w:t>
            </w:r>
            <w:r>
              <w:rPr>
                <w:rFonts w:ascii="宋体"/>
                <w:w w:val="100"/>
                <w:sz w:val="21"/>
              </w:rPr>
              <w:t> </w:t>
            </w:r>
          </w:p>
        </w:tc>
      </w:tr>
      <w:tr>
        <w:trPr>
          <w:trHeight w:val="283" w:hRule="exact"/>
        </w:trPr>
        <w:tc>
          <w:tcPr>
            <w:tcW w:w="444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非现金资产的账面价值</w:t>
            </w:r>
            <w:r>
              <w:rPr>
                <w:rFonts w:ascii="宋体" w:hAnsi="宋体" w:cs="宋体" w:eastAsia="宋体" w:hint="default"/>
                <w:sz w:val="21"/>
                <w:szCs w:val="21"/>
              </w:rPr>
              <w:t> </w:t>
            </w:r>
          </w:p>
        </w:tc>
        <w:tc>
          <w:tcPr>
            <w:tcW w:w="46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r>
      <w:tr>
        <w:trPr>
          <w:trHeight w:val="283" w:hRule="exact"/>
        </w:trPr>
        <w:tc>
          <w:tcPr>
            <w:tcW w:w="44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发行或承担的债务的账面价值</w:t>
            </w:r>
            <w:r>
              <w:rPr>
                <w:rFonts w:ascii="宋体" w:hAnsi="宋体" w:cs="宋体" w:eastAsia="宋体" w:hint="default"/>
                <w:sz w:val="21"/>
                <w:szCs w:val="21"/>
              </w:rPr>
              <w:t> </w:t>
            </w:r>
          </w:p>
        </w:tc>
        <w:tc>
          <w:tcPr>
            <w:tcW w:w="46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1" w:hRule="exact"/>
        </w:trPr>
        <w:tc>
          <w:tcPr>
            <w:tcW w:w="44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发行的权益性证券的面值</w:t>
            </w:r>
            <w:r>
              <w:rPr>
                <w:rFonts w:ascii="宋体" w:hAnsi="宋体" w:cs="宋体" w:eastAsia="宋体" w:hint="default"/>
                <w:sz w:val="21"/>
                <w:szCs w:val="21"/>
              </w:rPr>
              <w:t> </w:t>
            </w:r>
          </w:p>
        </w:tc>
        <w:tc>
          <w:tcPr>
            <w:tcW w:w="46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3" w:hRule="exact"/>
        </w:trPr>
        <w:tc>
          <w:tcPr>
            <w:tcW w:w="444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或有对价</w:t>
            </w:r>
            <w:r>
              <w:rPr>
                <w:rFonts w:ascii="宋体" w:hAnsi="宋体" w:cs="宋体" w:eastAsia="宋体" w:hint="default"/>
                <w:sz w:val="21"/>
                <w:szCs w:val="21"/>
              </w:rPr>
              <w:t> </w:t>
            </w:r>
          </w:p>
        </w:tc>
        <w:tc>
          <w:tcPr>
            <w:tcW w:w="46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r>
    </w:tbl>
    <w:p>
      <w:pPr>
        <w:spacing w:after="0" w:line="243" w:lineRule="exact"/>
        <w:jc w:val="right"/>
        <w:rPr>
          <w:rFonts w:ascii="宋体" w:hAnsi="宋体" w:cs="宋体" w:eastAsia="宋体" w:hint="default"/>
          <w:sz w:val="21"/>
          <w:szCs w:val="21"/>
        </w:rPr>
        <w:sectPr>
          <w:type w:val="continuous"/>
          <w:pgSz w:w="11910" w:h="16840"/>
          <w:pgMar w:top="1580" w:bottom="280" w:left="1060" w:right="1560"/>
        </w:sectPr>
      </w:pPr>
    </w:p>
    <w:p>
      <w:pPr>
        <w:pStyle w:val="BodyText"/>
        <w:spacing w:line="241" w:lineRule="exact"/>
        <w:ind w:left="216" w:right="0"/>
        <w:jc w:val="left"/>
        <w:rPr>
          <w:rFonts w:ascii="宋体" w:hAnsi="宋体" w:cs="宋体" w:eastAsia="宋体" w:hint="default"/>
        </w:rPr>
      </w:pPr>
      <w:r>
        <w:rPr>
          <w:rFonts w:ascii="宋体"/>
          <w:w w:val="100"/>
        </w:rPr>
        <w:t> </w:t>
      </w:r>
    </w:p>
    <w:p>
      <w:pPr>
        <w:pStyle w:val="Heading3"/>
        <w:spacing w:line="240" w:lineRule="auto" w:before="58"/>
        <w:ind w:left="216" w:right="0"/>
        <w:jc w:val="left"/>
        <w:rPr>
          <w:rFonts w:ascii="宋体" w:hAnsi="宋体" w:cs="宋体" w:eastAsia="宋体" w:hint="default"/>
          <w:b w:val="0"/>
          <w:bCs w:val="0"/>
        </w:rPr>
      </w:pPr>
      <w:r>
        <w:rPr>
          <w:rFonts w:ascii="宋体" w:hAnsi="宋体" w:cs="宋体" w:eastAsia="宋体" w:hint="default"/>
        </w:rPr>
        <w:t>(3).</w:t>
      </w:r>
      <w:r>
        <w:rPr/>
        <w:t>合并日被合并方资产、负债的账面价值</w:t>
      </w:r>
      <w:r>
        <w:rPr>
          <w:rFonts w:ascii="宋体" w:hAnsi="宋体" w:cs="宋体" w:eastAsia="宋体" w:hint="default"/>
          <w:w w:val="99"/>
        </w:rPr>
        <w:t> </w:t>
      </w:r>
      <w:r>
        <w:rPr>
          <w:rFonts w:ascii="宋体" w:hAnsi="宋体" w:cs="宋体" w:eastAsia="宋体" w:hint="default"/>
          <w:b w:val="0"/>
          <w:bCs w:val="0"/>
        </w:rPr>
      </w:r>
    </w:p>
    <w:p>
      <w:pPr>
        <w:pStyle w:val="Heading2"/>
        <w:spacing w:line="240" w:lineRule="auto" w:before="50"/>
        <w:ind w:left="21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58"/>
        <w:ind w:left="216" w:right="0"/>
        <w:jc w:val="left"/>
        <w:rPr>
          <w:rFonts w:ascii="宋体" w:hAnsi="宋体" w:cs="宋体" w:eastAsia="宋体" w:hint="default"/>
        </w:rPr>
      </w:pPr>
      <w:r>
        <w:rPr/>
        <w:t>单位</w:t>
      </w:r>
      <w:r>
        <w:rPr>
          <w:rFonts w:ascii="宋体" w:hAnsi="宋体" w:cs="宋体" w:eastAsia="宋体" w:hint="default"/>
        </w:rPr>
        <w:t>:</w:t>
      </w:r>
      <w:r>
        <w:rPr/>
        <w:t>元币种</w:t>
      </w:r>
      <w:r>
        <w:rPr>
          <w:rFonts w:ascii="宋体" w:hAnsi="宋体" w:cs="宋体" w:eastAsia="宋体" w:hint="default"/>
        </w:rPr>
        <w:t>:</w:t>
      </w:r>
      <w:r>
        <w:rPr/>
        <w:t>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580" w:bottom="280" w:left="1060" w:right="1560"/>
          <w:cols w:num="2" w:equalWidth="0">
            <w:col w:w="4334" w:space="2608"/>
            <w:col w:w="2348"/>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093"/>
        <w:gridCol w:w="3222"/>
        <w:gridCol w:w="3735"/>
      </w:tblGrid>
      <w:tr>
        <w:trPr>
          <w:trHeight w:val="245" w:hRule="exact"/>
        </w:trPr>
        <w:tc>
          <w:tcPr>
            <w:tcW w:w="2093" w:type="dxa"/>
            <w:vMerge w:val="restart"/>
            <w:tcBorders>
              <w:top w:val="single" w:sz="4" w:space="0" w:color="000000"/>
              <w:left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69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93" w:right="0"/>
              <w:jc w:val="left"/>
              <w:rPr>
                <w:rFonts w:ascii="宋体" w:hAnsi="宋体" w:cs="宋体" w:eastAsia="宋体" w:hint="default"/>
                <w:sz w:val="21"/>
                <w:szCs w:val="21"/>
              </w:rPr>
            </w:pPr>
            <w:r>
              <w:rPr>
                <w:rFonts w:ascii="宋体" w:hAnsi="宋体" w:cs="宋体" w:eastAsia="宋体" w:hint="default"/>
                <w:sz w:val="18"/>
                <w:szCs w:val="18"/>
              </w:rPr>
              <w:t>南京华虹融资租赁有限公司</w:t>
            </w:r>
            <w:r>
              <w:rPr>
                <w:rFonts w:ascii="宋体" w:hAnsi="宋体" w:cs="宋体" w:eastAsia="宋体" w:hint="default"/>
                <w:w w:val="100"/>
                <w:sz w:val="21"/>
                <w:szCs w:val="21"/>
              </w:rPr>
              <w:t> </w:t>
            </w:r>
          </w:p>
        </w:tc>
      </w:tr>
      <w:tr>
        <w:trPr>
          <w:trHeight w:val="281" w:hRule="exact"/>
        </w:trPr>
        <w:tc>
          <w:tcPr>
            <w:tcW w:w="2093" w:type="dxa"/>
            <w:vMerge/>
            <w:tcBorders>
              <w:left w:val="single" w:sz="4" w:space="0" w:color="000000"/>
              <w:bottom w:val="single" w:sz="4" w:space="0" w:color="000000"/>
              <w:right w:val="single" w:sz="4" w:space="0" w:color="000000"/>
            </w:tcBorders>
          </w:tcPr>
          <w:p>
            <w:pPr/>
          </w:p>
        </w:tc>
        <w:tc>
          <w:tcPr>
            <w:tcW w:w="32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合并日</w:t>
            </w:r>
            <w:r>
              <w:rPr>
                <w:rFonts w:ascii="宋体" w:hAnsi="宋体" w:cs="宋体" w:eastAsia="宋体" w:hint="default"/>
                <w:sz w:val="21"/>
                <w:szCs w:val="21"/>
              </w:rPr>
              <w:t> </w:t>
            </w:r>
          </w:p>
        </w:tc>
        <w:tc>
          <w:tcPr>
            <w:tcW w:w="37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 w:right="0"/>
              <w:jc w:val="center"/>
              <w:rPr>
                <w:rFonts w:ascii="宋体" w:hAnsi="宋体" w:cs="宋体" w:eastAsia="宋体" w:hint="default"/>
                <w:sz w:val="21"/>
                <w:szCs w:val="21"/>
              </w:rPr>
            </w:pPr>
            <w:r>
              <w:rPr>
                <w:rFonts w:ascii="宋体" w:hAnsi="宋体" w:cs="宋体" w:eastAsia="宋体" w:hint="default"/>
                <w:sz w:val="21"/>
                <w:szCs w:val="21"/>
              </w:rPr>
              <w:t>上期期末</w:t>
            </w:r>
            <w:r>
              <w:rPr>
                <w:rFonts w:ascii="宋体" w:hAnsi="宋体" w:cs="宋体" w:eastAsia="宋体" w:hint="default"/>
                <w:sz w:val="21"/>
                <w:szCs w:val="21"/>
              </w:rPr>
              <w:t> </w:t>
            </w:r>
          </w:p>
        </w:tc>
      </w:tr>
      <w:tr>
        <w:trPr>
          <w:trHeight w:val="283"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w:t>
            </w:r>
            <w:r>
              <w:rPr>
                <w:rFonts w:ascii="宋体" w:hAnsi="宋体" w:cs="宋体" w:eastAsia="宋体" w:hint="default"/>
                <w:sz w:val="21"/>
                <w:szCs w:val="21"/>
              </w:rPr>
              <w:t>: </w:t>
            </w:r>
          </w:p>
        </w:tc>
        <w:tc>
          <w:tcPr>
            <w:tcW w:w="32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464,925,904.39</w:t>
            </w:r>
            <w:r>
              <w:rPr>
                <w:rFonts w:ascii="宋体"/>
                <w:sz w:val="21"/>
              </w:rPr>
              <w:t> </w:t>
            </w:r>
          </w:p>
        </w:tc>
        <w:tc>
          <w:tcPr>
            <w:tcW w:w="37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546,203,739.27</w:t>
            </w:r>
            <w:r>
              <w:rPr>
                <w:rFonts w:ascii="宋体"/>
                <w:sz w:val="21"/>
              </w:rPr>
              <w:t> </w:t>
            </w:r>
          </w:p>
        </w:tc>
      </w:tr>
      <w:tr>
        <w:trPr>
          <w:trHeight w:val="324"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货币资金</w:t>
            </w:r>
            <w:r>
              <w:rPr>
                <w:rFonts w:ascii="宋体" w:hAnsi="宋体" w:cs="宋体" w:eastAsia="宋体" w:hint="default"/>
                <w:sz w:val="21"/>
                <w:szCs w:val="21"/>
              </w:rPr>
              <w:t> </w:t>
            </w:r>
          </w:p>
        </w:tc>
        <w:tc>
          <w:tcPr>
            <w:tcW w:w="32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13,937,065.61</w:t>
            </w:r>
            <w:r>
              <w:rPr>
                <w:rFonts w:ascii="宋体"/>
                <w:sz w:val="21"/>
              </w:rPr>
              <w:t> </w:t>
            </w:r>
          </w:p>
        </w:tc>
        <w:tc>
          <w:tcPr>
            <w:tcW w:w="37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66,257,910.20</w:t>
            </w:r>
            <w:r>
              <w:rPr>
                <w:rFonts w:ascii="宋体"/>
                <w:sz w:val="21"/>
              </w:rPr>
              <w:t> </w:t>
            </w:r>
          </w:p>
        </w:tc>
      </w:tr>
      <w:tr>
        <w:trPr>
          <w:trHeight w:val="322"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应收款项</w:t>
            </w:r>
            <w:r>
              <w:rPr>
                <w:rFonts w:ascii="宋体" w:hAnsi="宋体" w:cs="宋体" w:eastAsia="宋体" w:hint="default"/>
                <w:sz w:val="21"/>
                <w:szCs w:val="21"/>
              </w:rPr>
              <w:t> </w:t>
            </w:r>
          </w:p>
        </w:tc>
        <w:tc>
          <w:tcPr>
            <w:tcW w:w="32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450,975,137.57</w:t>
            </w:r>
            <w:r>
              <w:rPr>
                <w:rFonts w:ascii="宋体"/>
                <w:sz w:val="21"/>
              </w:rPr>
              <w:t> </w:t>
            </w:r>
          </w:p>
        </w:tc>
        <w:tc>
          <w:tcPr>
            <w:tcW w:w="37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479,923,919.53</w:t>
            </w:r>
            <w:r>
              <w:rPr>
                <w:rFonts w:ascii="宋体"/>
                <w:sz w:val="21"/>
              </w:rPr>
              <w:t> </w:t>
            </w:r>
          </w:p>
        </w:tc>
      </w:tr>
      <w:tr>
        <w:trPr>
          <w:trHeight w:val="324"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存货</w:t>
            </w:r>
            <w:r>
              <w:rPr>
                <w:rFonts w:ascii="宋体" w:hAnsi="宋体" w:cs="宋体" w:eastAsia="宋体" w:hint="default"/>
                <w:sz w:val="21"/>
                <w:szCs w:val="21"/>
              </w:rPr>
              <w:t> </w:t>
            </w:r>
          </w:p>
        </w:tc>
        <w:tc>
          <w:tcPr>
            <w:tcW w:w="32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37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324"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固定资产</w:t>
            </w:r>
            <w:r>
              <w:rPr>
                <w:rFonts w:ascii="宋体" w:hAnsi="宋体" w:cs="宋体" w:eastAsia="宋体" w:hint="default"/>
                <w:sz w:val="21"/>
                <w:szCs w:val="21"/>
              </w:rPr>
              <w:t> </w:t>
            </w:r>
          </w:p>
        </w:tc>
        <w:tc>
          <w:tcPr>
            <w:tcW w:w="32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13,701.21</w:t>
            </w:r>
            <w:r>
              <w:rPr>
                <w:rFonts w:ascii="宋体"/>
                <w:sz w:val="21"/>
              </w:rPr>
              <w:t> </w:t>
            </w:r>
          </w:p>
        </w:tc>
        <w:tc>
          <w:tcPr>
            <w:tcW w:w="37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21,909.54</w:t>
            </w:r>
            <w:r>
              <w:rPr>
                <w:rFonts w:ascii="宋体"/>
                <w:sz w:val="21"/>
              </w:rPr>
              <w:t> </w:t>
            </w:r>
          </w:p>
        </w:tc>
      </w:tr>
      <w:tr>
        <w:trPr>
          <w:trHeight w:val="322"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无形资产</w:t>
            </w:r>
            <w:r>
              <w:rPr>
                <w:rFonts w:ascii="宋体" w:hAnsi="宋体" w:cs="宋体" w:eastAsia="宋体" w:hint="default"/>
                <w:sz w:val="21"/>
                <w:szCs w:val="21"/>
              </w:rPr>
              <w:t> </w:t>
            </w:r>
          </w:p>
        </w:tc>
        <w:tc>
          <w:tcPr>
            <w:tcW w:w="32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37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负债</w:t>
            </w:r>
            <w:r>
              <w:rPr>
                <w:rFonts w:ascii="宋体" w:hAnsi="宋体" w:cs="宋体" w:eastAsia="宋体" w:hint="default"/>
                <w:sz w:val="21"/>
                <w:szCs w:val="21"/>
              </w:rPr>
              <w:t>: </w:t>
            </w:r>
          </w:p>
        </w:tc>
        <w:tc>
          <w:tcPr>
            <w:tcW w:w="32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144,345,823.66</w:t>
            </w:r>
            <w:r>
              <w:rPr>
                <w:rFonts w:ascii="宋体"/>
                <w:sz w:val="21"/>
              </w:rPr>
              <w:t> </w:t>
            </w:r>
          </w:p>
        </w:tc>
        <w:tc>
          <w:tcPr>
            <w:tcW w:w="37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200,154,456.82</w:t>
            </w:r>
            <w:r>
              <w:rPr>
                <w:rFonts w:ascii="宋体"/>
                <w:sz w:val="21"/>
              </w:rPr>
              <w:t> </w:t>
            </w:r>
          </w:p>
        </w:tc>
      </w:tr>
      <w:tr>
        <w:trPr>
          <w:trHeight w:val="324"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借款</w:t>
            </w:r>
            <w:r>
              <w:rPr>
                <w:rFonts w:ascii="宋体" w:hAnsi="宋体" w:cs="宋体" w:eastAsia="宋体" w:hint="default"/>
                <w:sz w:val="21"/>
                <w:szCs w:val="21"/>
              </w:rPr>
              <w:t> </w:t>
            </w:r>
          </w:p>
        </w:tc>
        <w:tc>
          <w:tcPr>
            <w:tcW w:w="32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135,000,000.00</w:t>
            </w:r>
            <w:r>
              <w:rPr>
                <w:rFonts w:ascii="宋体"/>
                <w:sz w:val="21"/>
              </w:rPr>
              <w:t> </w:t>
            </w:r>
          </w:p>
        </w:tc>
        <w:tc>
          <w:tcPr>
            <w:tcW w:w="37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190,000,000.00</w:t>
            </w:r>
            <w:r>
              <w:rPr>
                <w:rFonts w:ascii="宋体"/>
                <w:sz w:val="21"/>
              </w:rPr>
              <w:t> </w:t>
            </w:r>
          </w:p>
        </w:tc>
      </w:tr>
      <w:tr>
        <w:trPr>
          <w:trHeight w:val="322"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应付款项</w:t>
            </w:r>
            <w:r>
              <w:rPr>
                <w:rFonts w:ascii="宋体" w:hAnsi="宋体" w:cs="宋体" w:eastAsia="宋体" w:hint="default"/>
                <w:sz w:val="21"/>
                <w:szCs w:val="21"/>
              </w:rPr>
              <w:t> </w:t>
            </w:r>
          </w:p>
        </w:tc>
        <w:tc>
          <w:tcPr>
            <w:tcW w:w="32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9,345,823.66</w:t>
            </w:r>
            <w:r>
              <w:rPr>
                <w:rFonts w:ascii="宋体"/>
                <w:sz w:val="21"/>
              </w:rPr>
              <w:t> </w:t>
            </w:r>
          </w:p>
        </w:tc>
        <w:tc>
          <w:tcPr>
            <w:tcW w:w="37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10,154,456.82</w:t>
            </w:r>
            <w:r>
              <w:rPr>
                <w:rFonts w:ascii="宋体"/>
                <w:sz w:val="21"/>
              </w:rPr>
              <w:t> </w:t>
            </w:r>
          </w:p>
        </w:tc>
      </w:tr>
      <w:tr>
        <w:trPr>
          <w:trHeight w:val="283"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净资产</w:t>
            </w:r>
            <w:r>
              <w:rPr>
                <w:rFonts w:ascii="宋体" w:hAnsi="宋体" w:cs="宋体" w:eastAsia="宋体" w:hint="default"/>
                <w:sz w:val="21"/>
                <w:szCs w:val="21"/>
              </w:rPr>
              <w:t> </w:t>
            </w:r>
          </w:p>
        </w:tc>
        <w:tc>
          <w:tcPr>
            <w:tcW w:w="32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320,580,080.73</w:t>
            </w:r>
            <w:r>
              <w:rPr>
                <w:rFonts w:ascii="宋体"/>
                <w:sz w:val="21"/>
              </w:rPr>
              <w:t> </w:t>
            </w:r>
          </w:p>
        </w:tc>
        <w:tc>
          <w:tcPr>
            <w:tcW w:w="37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346,049,282.45</w:t>
            </w:r>
            <w:r>
              <w:rPr>
                <w:rFonts w:ascii="宋体"/>
                <w:sz w:val="21"/>
              </w:rPr>
              <w:t> </w:t>
            </w:r>
          </w:p>
        </w:tc>
      </w:tr>
      <w:tr>
        <w:trPr>
          <w:trHeight w:val="283"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减：少数股东权益</w:t>
            </w:r>
            <w:r>
              <w:rPr>
                <w:rFonts w:ascii="宋体" w:hAnsi="宋体" w:cs="宋体" w:eastAsia="宋体" w:hint="default"/>
                <w:sz w:val="21"/>
                <w:szCs w:val="21"/>
              </w:rPr>
              <w:t> </w:t>
            </w:r>
          </w:p>
        </w:tc>
        <w:tc>
          <w:tcPr>
            <w:tcW w:w="32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37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取得的净资产</w:t>
            </w:r>
            <w:r>
              <w:rPr>
                <w:rFonts w:ascii="宋体" w:hAnsi="宋体" w:cs="宋体" w:eastAsia="宋体" w:hint="default"/>
                <w:sz w:val="21"/>
                <w:szCs w:val="21"/>
              </w:rPr>
              <w:t> </w:t>
            </w:r>
          </w:p>
        </w:tc>
        <w:tc>
          <w:tcPr>
            <w:tcW w:w="32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320,580,080.73</w:t>
            </w:r>
            <w:r>
              <w:rPr>
                <w:rFonts w:ascii="宋体"/>
                <w:sz w:val="21"/>
              </w:rPr>
              <w:t> </w:t>
            </w:r>
          </w:p>
        </w:tc>
        <w:tc>
          <w:tcPr>
            <w:tcW w:w="37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346,049,282.45</w:t>
            </w:r>
            <w:r>
              <w:rPr>
                <w:rFonts w:ascii="宋体"/>
                <w:sz w:val="21"/>
              </w:rPr>
              <w:t> </w:t>
            </w:r>
          </w:p>
        </w:tc>
      </w:tr>
    </w:tbl>
    <w:p>
      <w:pPr>
        <w:pStyle w:val="BodyText"/>
        <w:spacing w:line="241" w:lineRule="exact"/>
        <w:ind w:left="216" w:right="0"/>
        <w:jc w:val="left"/>
        <w:rPr>
          <w:rFonts w:ascii="宋体" w:hAnsi="宋体" w:cs="宋体" w:eastAsia="宋体" w:hint="default"/>
        </w:rPr>
      </w:pPr>
      <w:r>
        <w:rPr>
          <w:rFonts w:ascii="宋体"/>
          <w:w w:val="100"/>
        </w:rPr>
        <w:t> </w:t>
      </w:r>
    </w:p>
    <w:p>
      <w:pPr>
        <w:pStyle w:val="Heading3"/>
        <w:spacing w:line="240" w:lineRule="auto" w:before="58"/>
        <w:ind w:left="216" w:right="0"/>
        <w:jc w:val="left"/>
        <w:rPr>
          <w:rFonts w:ascii="宋体" w:hAnsi="宋体" w:cs="宋体" w:eastAsia="宋体" w:hint="default"/>
          <w:b w:val="0"/>
          <w:bCs w:val="0"/>
        </w:rPr>
      </w:pPr>
      <w:r>
        <w:rPr>
          <w:rFonts w:ascii="宋体" w:hAnsi="宋体" w:cs="宋体" w:eastAsia="宋体" w:hint="default"/>
        </w:rPr>
        <w:t>3</w:t>
      </w:r>
      <w:r>
        <w:rPr/>
        <w:t>、</w:t>
      </w:r>
      <w:r>
        <w:rPr>
          <w:spacing w:val="-5"/>
        </w:rPr>
        <w:t> </w:t>
      </w:r>
      <w:r>
        <w:rPr/>
        <w:t>反向购买</w:t>
      </w:r>
      <w:r>
        <w:rPr>
          <w:rFonts w:ascii="宋体" w:hAnsi="宋体" w:cs="宋体" w:eastAsia="宋体" w:hint="default"/>
          <w:w w:val="99"/>
        </w:rPr>
        <w:t> </w:t>
      </w:r>
      <w:r>
        <w:rPr>
          <w:rFonts w:ascii="宋体" w:hAnsi="宋体" w:cs="宋体" w:eastAsia="宋体" w:hint="default"/>
          <w:b w:val="0"/>
          <w:bCs w:val="0"/>
        </w:rPr>
      </w:r>
    </w:p>
    <w:p>
      <w:pPr>
        <w:spacing w:line="290" w:lineRule="auto" w:before="56"/>
        <w:ind w:left="216" w:right="7359"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4</w:t>
      </w:r>
      <w:r>
        <w:rPr>
          <w:rFonts w:ascii="宋体" w:hAnsi="宋体" w:cs="宋体" w:eastAsia="宋体" w:hint="default"/>
          <w:b/>
          <w:bCs/>
          <w:sz w:val="21"/>
          <w:szCs w:val="21"/>
        </w:rPr>
        <w:t>、</w:t>
      </w:r>
      <w:r>
        <w:rPr>
          <w:rFonts w:ascii="宋体" w:hAnsi="宋体" w:cs="宋体" w:eastAsia="宋体" w:hint="default"/>
          <w:b/>
          <w:bCs/>
          <w:spacing w:val="-4"/>
          <w:sz w:val="21"/>
          <w:szCs w:val="21"/>
        </w:rPr>
        <w:t> </w:t>
      </w:r>
      <w:r>
        <w:rPr>
          <w:rFonts w:ascii="宋体" w:hAnsi="宋体" w:cs="宋体" w:eastAsia="宋体" w:hint="default"/>
          <w:b/>
          <w:bCs/>
          <w:sz w:val="21"/>
          <w:szCs w:val="21"/>
        </w:rPr>
        <w:t>处置子公司</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74" w:lineRule="exact" w:before="12"/>
        <w:ind w:left="216" w:right="0"/>
        <w:jc w:val="left"/>
        <w:rPr>
          <w:rFonts w:ascii="宋体" w:hAnsi="宋体" w:cs="宋体" w:eastAsia="宋体" w:hint="default"/>
        </w:rPr>
      </w:pPr>
      <w:r>
        <w:rPr/>
        <w:t>是否存在单次处置对子公司投资即丧失控制权的情形</w:t>
      </w:r>
      <w:r>
        <w:rPr>
          <w:rFonts w:ascii="宋体" w:hAnsi="宋体" w:cs="宋体" w:eastAsia="宋体" w:hint="default"/>
        </w:rPr>
        <w:t> </w:t>
      </w:r>
    </w:p>
    <w:p>
      <w:pPr>
        <w:pStyle w:val="BodyText"/>
        <w:spacing w:line="272" w:lineRule="exact" w:before="27"/>
        <w:ind w:left="216" w:right="6517"/>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其他说明：</w:t>
      </w:r>
      <w:r>
        <w:rPr>
          <w:rFonts w:ascii="宋体" w:hAnsi="宋体" w:cs="宋体" w:eastAsia="宋体" w:hint="default"/>
        </w:rPr>
        <w:t> </w:t>
      </w:r>
    </w:p>
    <w:p>
      <w:pPr>
        <w:pStyle w:val="BodyText"/>
        <w:spacing w:line="272" w:lineRule="exact" w:before="1"/>
        <w:ind w:left="216" w:right="181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是否存在通过多次交易分步处置对子公司投资且在本期丧失控制权的情形</w:t>
      </w:r>
      <w:r>
        <w:rPr>
          <w:rFonts w:ascii="宋体" w:hAnsi="宋体" w:cs="宋体" w:eastAsia="宋体" w:hint="default"/>
        </w:rPr>
        <w:t> </w:t>
      </w:r>
    </w:p>
    <w:p>
      <w:pPr>
        <w:pStyle w:val="BodyText"/>
        <w:spacing w:line="249" w:lineRule="exact"/>
        <w:ind w:left="216" w:right="0"/>
        <w:jc w:val="left"/>
        <w:rPr>
          <w:rFonts w:ascii="宋体" w:hAnsi="宋体" w:cs="宋体" w:eastAsia="宋体" w:hint="default"/>
        </w:rPr>
      </w:pPr>
      <w:r>
        <w:rPr/>
        <w:t>□适用</w:t>
      </w:r>
      <w:r>
        <w:rPr>
          <w:spacing w:val="-1"/>
        </w:rPr>
        <w:t> </w:t>
      </w:r>
      <w:r>
        <w:rPr/>
        <w:t>√不适用</w:t>
      </w:r>
      <w:r>
        <w:rPr>
          <w:rFonts w:ascii="宋体" w:hAnsi="宋体" w:cs="宋体" w:eastAsia="宋体" w:hint="default"/>
        </w:rPr>
        <w:t> </w:t>
      </w:r>
    </w:p>
    <w:p>
      <w:pPr>
        <w:pStyle w:val="Heading3"/>
        <w:spacing w:line="240" w:lineRule="auto" w:before="56"/>
        <w:ind w:left="216" w:right="0"/>
        <w:jc w:val="left"/>
        <w:rPr>
          <w:b w:val="0"/>
          <w:bCs w:val="0"/>
        </w:rPr>
      </w:pPr>
      <w:r>
        <w:rPr>
          <w:rFonts w:ascii="宋体" w:hAnsi="宋体" w:cs="宋体" w:eastAsia="宋体" w:hint="default"/>
        </w:rPr>
        <w:t>5</w:t>
      </w:r>
      <w:r>
        <w:rPr/>
        <w:t>、</w:t>
      </w:r>
      <w:r>
        <w:rPr>
          <w:spacing w:val="-2"/>
        </w:rPr>
        <w:t> </w:t>
      </w:r>
      <w:r>
        <w:rPr/>
        <w:t>其他原因的合并范围变动</w:t>
      </w:r>
      <w:r>
        <w:rPr>
          <w:b w:val="0"/>
          <w:bCs w:val="0"/>
        </w:rPr>
      </w:r>
    </w:p>
    <w:p>
      <w:pPr>
        <w:pStyle w:val="Heading2"/>
        <w:spacing w:line="240" w:lineRule="auto" w:before="52"/>
        <w:ind w:left="216" w:right="0"/>
        <w:jc w:val="left"/>
        <w:rPr>
          <w:rFonts w:ascii="宋体" w:hAnsi="宋体" w:cs="宋体" w:eastAsia="宋体" w:hint="default"/>
        </w:rPr>
      </w:pPr>
      <w:r>
        <w:rPr>
          <w:spacing w:val="-8"/>
        </w:rPr>
        <w:t>说明其他原因导致的合并范围变动（如，新设子公司、清算子公司等）及其相关情况：</w:t>
      </w:r>
      <w:r>
        <w:rPr>
          <w:rFonts w:ascii="宋体" w:hAnsi="宋体" w:cs="宋体" w:eastAsia="宋体" w:hint="default"/>
        </w:rPr>
        <w:t> </w:t>
      </w:r>
    </w:p>
    <w:p>
      <w:pPr>
        <w:spacing w:line="290" w:lineRule="auto" w:before="1"/>
        <w:ind w:left="216" w:right="7359"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pacing w:val="-2"/>
          <w:sz w:val="21"/>
          <w:szCs w:val="21"/>
        </w:rPr>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6</w:t>
      </w:r>
      <w:r>
        <w:rPr>
          <w:rFonts w:ascii="宋体" w:hAnsi="宋体" w:cs="宋体" w:eastAsia="宋体" w:hint="default"/>
          <w:b/>
          <w:bCs/>
          <w:sz w:val="21"/>
          <w:szCs w:val="21"/>
        </w:rPr>
        <w:t>、</w:t>
      </w:r>
      <w:r>
        <w:rPr>
          <w:rFonts w:ascii="宋体" w:hAnsi="宋体" w:cs="宋体" w:eastAsia="宋体" w:hint="default"/>
          <w:b/>
          <w:bCs/>
          <w:spacing w:val="-4"/>
          <w:sz w:val="21"/>
          <w:szCs w:val="21"/>
        </w:rPr>
        <w:t> </w:t>
      </w:r>
      <w:r>
        <w:rPr>
          <w:rFonts w:ascii="宋体" w:hAnsi="宋体" w:cs="宋体" w:eastAsia="宋体" w:hint="default"/>
          <w:b/>
          <w:bCs/>
          <w:sz w:val="21"/>
          <w:szCs w:val="21"/>
        </w:rPr>
        <w:t>其他</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74" w:lineRule="exact" w:before="12"/>
        <w:ind w:left="216"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rPr>
        <w:t> </w:t>
      </w:r>
    </w:p>
    <w:p>
      <w:pPr>
        <w:pStyle w:val="BodyText"/>
        <w:spacing w:line="274" w:lineRule="exact"/>
        <w:ind w:left="216" w:right="0"/>
        <w:jc w:val="left"/>
        <w:rPr>
          <w:rFonts w:ascii="宋体" w:hAnsi="宋体" w:cs="宋体" w:eastAsia="宋体" w:hint="default"/>
        </w:rPr>
      </w:pPr>
      <w:r>
        <w:rPr>
          <w:rFonts w:ascii="宋体"/>
          <w:w w:val="100"/>
        </w:rPr>
        <w:t>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6"/>
          <w:szCs w:val="26"/>
        </w:rPr>
      </w:pPr>
    </w:p>
    <w:p>
      <w:pPr>
        <w:spacing w:before="63"/>
        <w:ind w:left="3720" w:right="3739" w:firstLine="0"/>
        <w:jc w:val="center"/>
        <w:rPr>
          <w:rFonts w:ascii="Calibri" w:hAnsi="Calibri" w:cs="Calibri" w:eastAsia="Calibri" w:hint="default"/>
          <w:sz w:val="18"/>
          <w:szCs w:val="18"/>
        </w:rPr>
      </w:pPr>
      <w:r>
        <w:rPr>
          <w:rFonts w:ascii="Calibri"/>
          <w:b/>
          <w:sz w:val="18"/>
        </w:rPr>
        <w:t>184 </w:t>
      </w:r>
      <w:r>
        <w:rPr>
          <w:rFonts w:ascii="Calibri"/>
          <w:sz w:val="18"/>
        </w:rPr>
        <w:t>/</w:t>
      </w:r>
      <w:r>
        <w:rPr>
          <w:rFonts w:ascii="Calibri"/>
          <w:spacing w:val="-5"/>
          <w:sz w:val="18"/>
        </w:rPr>
        <w:t> </w:t>
      </w:r>
      <w:r>
        <w:rPr>
          <w:rFonts w:ascii="Calibri"/>
          <w:b/>
          <w:sz w:val="18"/>
        </w:rPr>
        <w:t>216</w:t>
      </w:r>
      <w:r>
        <w:rPr>
          <w:rFonts w:ascii="Calibri"/>
          <w:sz w:val="18"/>
        </w:rPr>
      </w:r>
    </w:p>
    <w:p>
      <w:pPr>
        <w:spacing w:after="0"/>
        <w:jc w:val="center"/>
        <w:rPr>
          <w:rFonts w:ascii="Calibri" w:hAnsi="Calibri" w:cs="Calibri" w:eastAsia="Calibri" w:hint="default"/>
          <w:sz w:val="18"/>
          <w:szCs w:val="18"/>
        </w:rPr>
        <w:sectPr>
          <w:type w:val="continuous"/>
          <w:pgSz w:w="11910" w:h="16840"/>
          <w:pgMar w:top="1580" w:bottom="280" w:left="1060" w:right="1560"/>
        </w:sectPr>
      </w:pPr>
    </w:p>
    <w:p>
      <w:pPr>
        <w:spacing w:line="240" w:lineRule="auto" w:before="0"/>
        <w:rPr>
          <w:rFonts w:ascii="Calibri" w:hAnsi="Calibri" w:cs="Calibri" w:eastAsia="Calibri" w:hint="default"/>
          <w:b/>
          <w:bCs/>
          <w:sz w:val="20"/>
          <w:szCs w:val="20"/>
        </w:rPr>
      </w:pPr>
    </w:p>
    <w:p>
      <w:pPr>
        <w:pStyle w:val="Heading3"/>
        <w:spacing w:line="290" w:lineRule="auto" w:before="165"/>
        <w:ind w:left="958" w:right="7279"/>
        <w:jc w:val="left"/>
        <w:rPr>
          <w:rFonts w:ascii="宋体" w:hAnsi="宋体" w:cs="宋体" w:eastAsia="宋体" w:hint="default"/>
          <w:b w:val="0"/>
          <w:bCs w:val="0"/>
        </w:rPr>
      </w:pPr>
      <w:r>
        <w:rPr/>
        <w:t>九、</w:t>
      </w:r>
      <w:r>
        <w:rPr>
          <w:spacing w:val="-105"/>
        </w:rPr>
        <w:t> </w:t>
      </w:r>
      <w:r>
        <w:rPr>
          <w:rFonts w:ascii="宋体" w:hAnsi="宋体" w:cs="宋体" w:eastAsia="宋体" w:hint="default"/>
          <w:spacing w:val="-105"/>
        </w:rPr>
      </w:r>
      <w:r>
        <w:rPr/>
        <w:t>在其他主体中的权益</w:t>
      </w:r>
      <w:r>
        <w:rPr>
          <w:rFonts w:ascii="宋体" w:hAnsi="宋体" w:cs="宋体" w:eastAsia="宋体" w:hint="default"/>
          <w:w w:val="99"/>
        </w:rPr>
        <w:t> </w:t>
      </w:r>
      <w:r>
        <w:rPr>
          <w:rFonts w:ascii="宋体" w:hAnsi="宋体" w:cs="宋体" w:eastAsia="宋体" w:hint="default"/>
        </w:rPr>
        <w:t>1</w:t>
      </w:r>
      <w:r>
        <w:rPr/>
        <w:t>、</w:t>
      </w:r>
      <w:r>
        <w:rPr>
          <w:spacing w:val="-3"/>
        </w:rPr>
        <w:t> </w:t>
      </w:r>
      <w:r>
        <w:rPr/>
        <w:t>在子公司中的权益</w:t>
      </w:r>
      <w:r>
        <w:rPr>
          <w:spacing w:val="-104"/>
        </w:rPr>
        <w:t> </w:t>
      </w:r>
      <w:r>
        <w:rPr>
          <w:spacing w:val="-104"/>
        </w:rPr>
      </w:r>
      <w:r>
        <w:rPr>
          <w:rFonts w:ascii="宋体" w:hAnsi="宋体" w:cs="宋体" w:eastAsia="宋体" w:hint="default"/>
        </w:rPr>
        <w:t>(1).</w:t>
      </w:r>
      <w:r>
        <w:rPr>
          <w:rFonts w:ascii="宋体" w:hAnsi="宋体" w:cs="宋体" w:eastAsia="宋体" w:hint="default"/>
          <w:spacing w:val="-46"/>
        </w:rPr>
        <w:t> </w:t>
      </w:r>
      <w:r>
        <w:rPr/>
        <w:t>企业集团的构成</w:t>
      </w:r>
      <w:r>
        <w:rPr>
          <w:rFonts w:ascii="宋体" w:hAnsi="宋体" w:cs="宋体" w:eastAsia="宋体" w:hint="default"/>
          <w:w w:val="99"/>
        </w:rPr>
        <w:t> </w:t>
      </w:r>
      <w:r>
        <w:rPr>
          <w:rFonts w:ascii="宋体" w:hAnsi="宋体" w:cs="宋体" w:eastAsia="宋体" w:hint="default"/>
          <w:b w:val="0"/>
          <w:bCs w:val="0"/>
        </w:rPr>
      </w:r>
    </w:p>
    <w:p>
      <w:pPr>
        <w:pStyle w:val="Heading2"/>
        <w:spacing w:line="240" w:lineRule="auto" w:before="8"/>
        <w:ind w:left="958" w:right="7279"/>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12"/>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3097"/>
        <w:gridCol w:w="1255"/>
        <w:gridCol w:w="1256"/>
        <w:gridCol w:w="1541"/>
        <w:gridCol w:w="689"/>
        <w:gridCol w:w="694"/>
        <w:gridCol w:w="1985"/>
      </w:tblGrid>
      <w:tr>
        <w:trPr>
          <w:trHeight w:val="257" w:hRule="exact"/>
        </w:trPr>
        <w:tc>
          <w:tcPr>
            <w:tcW w:w="3097" w:type="dxa"/>
            <w:vMerge w:val="restart"/>
            <w:tcBorders>
              <w:top w:val="single" w:sz="4" w:space="0" w:color="000000"/>
              <w:left w:val="single" w:sz="4" w:space="0" w:color="000000"/>
              <w:right w:val="single" w:sz="4" w:space="0" w:color="000000"/>
            </w:tcBorders>
          </w:tcPr>
          <w:p>
            <w:pPr>
              <w:pStyle w:val="TableParagraph"/>
              <w:spacing w:line="232" w:lineRule="exact" w:before="28"/>
              <w:ind w:left="1272" w:right="1184"/>
              <w:jc w:val="center"/>
              <w:rPr>
                <w:rFonts w:ascii="宋体" w:hAnsi="宋体" w:cs="宋体" w:eastAsia="宋体" w:hint="default"/>
                <w:sz w:val="18"/>
                <w:szCs w:val="18"/>
              </w:rPr>
            </w:pPr>
            <w:r>
              <w:rPr>
                <w:rFonts w:ascii="宋体" w:hAnsi="宋体" w:cs="宋体" w:eastAsia="宋体" w:hint="default"/>
                <w:sz w:val="18"/>
                <w:szCs w:val="18"/>
              </w:rPr>
              <w:t>子公司</w:t>
            </w:r>
            <w:r>
              <w:rPr>
                <w:rFonts w:ascii="宋体" w:hAnsi="宋体" w:cs="宋体" w:eastAsia="宋体" w:hint="default"/>
                <w:sz w:val="18"/>
                <w:szCs w:val="18"/>
              </w:rPr>
              <w:t> </w:t>
            </w:r>
            <w:r>
              <w:rPr>
                <w:rFonts w:ascii="宋体" w:hAnsi="宋体" w:cs="宋体" w:eastAsia="宋体" w:hint="default"/>
                <w:sz w:val="18"/>
                <w:szCs w:val="18"/>
              </w:rPr>
              <w:t>名称</w:t>
            </w:r>
            <w:r>
              <w:rPr>
                <w:rFonts w:ascii="宋体" w:hAnsi="宋体" w:cs="宋体" w:eastAsia="宋体" w:hint="default"/>
                <w:sz w:val="18"/>
                <w:szCs w:val="18"/>
              </w:rPr>
              <w:t> </w:t>
            </w:r>
          </w:p>
        </w:tc>
        <w:tc>
          <w:tcPr>
            <w:tcW w:w="1255" w:type="dxa"/>
            <w:vMerge w:val="restart"/>
            <w:tcBorders>
              <w:top w:val="single" w:sz="4" w:space="0" w:color="000000"/>
              <w:left w:val="single" w:sz="4" w:space="0" w:color="000000"/>
              <w:right w:val="single" w:sz="4" w:space="0" w:color="000000"/>
            </w:tcBorders>
          </w:tcPr>
          <w:p>
            <w:pPr>
              <w:pStyle w:val="TableParagraph"/>
              <w:spacing w:line="240" w:lineRule="auto" w:before="121"/>
              <w:ind w:left="172" w:right="0"/>
              <w:jc w:val="left"/>
              <w:rPr>
                <w:rFonts w:ascii="宋体" w:hAnsi="宋体" w:cs="宋体" w:eastAsia="宋体" w:hint="default"/>
                <w:sz w:val="18"/>
                <w:szCs w:val="18"/>
              </w:rPr>
            </w:pPr>
            <w:r>
              <w:rPr>
                <w:rFonts w:ascii="宋体" w:hAnsi="宋体" w:cs="宋体" w:eastAsia="宋体" w:hint="default"/>
                <w:sz w:val="18"/>
                <w:szCs w:val="18"/>
              </w:rPr>
              <w:t>主要经营地</w:t>
            </w:r>
            <w:r>
              <w:rPr>
                <w:rFonts w:ascii="宋体" w:hAnsi="宋体" w:cs="宋体" w:eastAsia="宋体" w:hint="default"/>
                <w:sz w:val="18"/>
                <w:szCs w:val="18"/>
              </w:rPr>
              <w:t> </w:t>
            </w:r>
          </w:p>
        </w:tc>
        <w:tc>
          <w:tcPr>
            <w:tcW w:w="1256" w:type="dxa"/>
            <w:vMerge w:val="restart"/>
            <w:tcBorders>
              <w:top w:val="single" w:sz="4" w:space="0" w:color="000000"/>
              <w:left w:val="single" w:sz="4" w:space="0" w:color="000000"/>
              <w:right w:val="single" w:sz="4" w:space="0" w:color="000000"/>
            </w:tcBorders>
          </w:tcPr>
          <w:p>
            <w:pPr>
              <w:pStyle w:val="TableParagraph"/>
              <w:spacing w:line="240" w:lineRule="auto" w:before="121"/>
              <w:ind w:left="352" w:right="0"/>
              <w:jc w:val="left"/>
              <w:rPr>
                <w:rFonts w:ascii="宋体" w:hAnsi="宋体" w:cs="宋体" w:eastAsia="宋体" w:hint="default"/>
                <w:sz w:val="18"/>
                <w:szCs w:val="18"/>
              </w:rPr>
            </w:pPr>
            <w:r>
              <w:rPr>
                <w:rFonts w:ascii="宋体" w:hAnsi="宋体" w:cs="宋体" w:eastAsia="宋体" w:hint="default"/>
                <w:sz w:val="18"/>
                <w:szCs w:val="18"/>
              </w:rPr>
              <w:t>注册地</w:t>
            </w:r>
            <w:r>
              <w:rPr>
                <w:rFonts w:ascii="宋体" w:hAnsi="宋体" w:cs="宋体" w:eastAsia="宋体" w:hint="default"/>
                <w:sz w:val="18"/>
                <w:szCs w:val="18"/>
              </w:rPr>
              <w:t> </w:t>
            </w:r>
          </w:p>
        </w:tc>
        <w:tc>
          <w:tcPr>
            <w:tcW w:w="1541" w:type="dxa"/>
            <w:vMerge w:val="restart"/>
            <w:tcBorders>
              <w:top w:val="single" w:sz="4" w:space="0" w:color="000000"/>
              <w:left w:val="single" w:sz="4" w:space="0" w:color="000000"/>
              <w:right w:val="single" w:sz="4" w:space="0" w:color="000000"/>
            </w:tcBorders>
          </w:tcPr>
          <w:p>
            <w:pPr>
              <w:pStyle w:val="TableParagraph"/>
              <w:spacing w:line="240" w:lineRule="auto" w:before="121"/>
              <w:ind w:left="405" w:right="0"/>
              <w:jc w:val="left"/>
              <w:rPr>
                <w:rFonts w:ascii="宋体" w:hAnsi="宋体" w:cs="宋体" w:eastAsia="宋体" w:hint="default"/>
                <w:sz w:val="18"/>
                <w:szCs w:val="18"/>
              </w:rPr>
            </w:pPr>
            <w:r>
              <w:rPr>
                <w:rFonts w:ascii="宋体" w:hAnsi="宋体" w:cs="宋体" w:eastAsia="宋体" w:hint="default"/>
                <w:sz w:val="18"/>
                <w:szCs w:val="18"/>
              </w:rPr>
              <w:t>业务性质</w:t>
            </w:r>
            <w:r>
              <w:rPr>
                <w:rFonts w:ascii="宋体" w:hAnsi="宋体" w:cs="宋体" w:eastAsia="宋体" w:hint="default"/>
                <w:sz w:val="18"/>
                <w:szCs w:val="18"/>
              </w:rPr>
              <w:t> </w:t>
            </w:r>
          </w:p>
        </w:tc>
        <w:tc>
          <w:tcPr>
            <w:tcW w:w="1383" w:type="dxa"/>
            <w:gridSpan w:val="2"/>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89" w:right="0"/>
              <w:jc w:val="left"/>
              <w:rPr>
                <w:rFonts w:ascii="宋体" w:hAnsi="宋体" w:cs="宋体" w:eastAsia="宋体" w:hint="default"/>
                <w:sz w:val="18"/>
                <w:szCs w:val="18"/>
              </w:rPr>
            </w:pPr>
            <w:r>
              <w:rPr>
                <w:rFonts w:ascii="宋体" w:hAnsi="宋体" w:cs="宋体" w:eastAsia="宋体" w:hint="default"/>
                <w:sz w:val="18"/>
                <w:szCs w:val="18"/>
              </w:rPr>
              <w:t>持股比例</w:t>
            </w:r>
            <w:r>
              <w:rPr>
                <w:rFonts w:ascii="宋体" w:hAnsi="宋体" w:cs="宋体" w:eastAsia="宋体" w:hint="default"/>
                <w:sz w:val="18"/>
                <w:szCs w:val="18"/>
              </w:rPr>
              <w:t>(%) </w:t>
            </w:r>
          </w:p>
        </w:tc>
        <w:tc>
          <w:tcPr>
            <w:tcW w:w="1985" w:type="dxa"/>
            <w:vMerge w:val="restart"/>
            <w:tcBorders>
              <w:top w:val="single" w:sz="4" w:space="0" w:color="000000"/>
              <w:left w:val="single" w:sz="4" w:space="0" w:color="000000"/>
              <w:right w:val="single" w:sz="4" w:space="0" w:color="000000"/>
            </w:tcBorders>
          </w:tcPr>
          <w:p>
            <w:pPr>
              <w:pStyle w:val="TableParagraph"/>
              <w:spacing w:line="232" w:lineRule="exact" w:before="28"/>
              <w:ind w:left="806" w:right="716"/>
              <w:jc w:val="center"/>
              <w:rPr>
                <w:rFonts w:ascii="宋体" w:hAnsi="宋体" w:cs="宋体" w:eastAsia="宋体" w:hint="default"/>
                <w:sz w:val="18"/>
                <w:szCs w:val="18"/>
              </w:rPr>
            </w:pPr>
            <w:r>
              <w:rPr>
                <w:rFonts w:ascii="宋体" w:hAnsi="宋体" w:cs="宋体" w:eastAsia="宋体" w:hint="default"/>
                <w:sz w:val="18"/>
                <w:szCs w:val="18"/>
              </w:rPr>
              <w:t>取得</w:t>
            </w:r>
            <w:r>
              <w:rPr>
                <w:rFonts w:ascii="宋体" w:hAnsi="宋体" w:cs="宋体" w:eastAsia="宋体" w:hint="default"/>
                <w:sz w:val="18"/>
                <w:szCs w:val="18"/>
              </w:rPr>
              <w:t> </w:t>
            </w:r>
            <w:r>
              <w:rPr>
                <w:rFonts w:ascii="宋体" w:hAnsi="宋体" w:cs="宋体" w:eastAsia="宋体" w:hint="default"/>
                <w:sz w:val="18"/>
                <w:szCs w:val="18"/>
              </w:rPr>
              <w:t>方式</w:t>
            </w:r>
            <w:r>
              <w:rPr>
                <w:rFonts w:ascii="宋体" w:hAnsi="宋体" w:cs="宋体" w:eastAsia="宋体" w:hint="default"/>
                <w:sz w:val="18"/>
                <w:szCs w:val="18"/>
              </w:rPr>
              <w:t> </w:t>
            </w:r>
          </w:p>
        </w:tc>
      </w:tr>
      <w:tr>
        <w:trPr>
          <w:trHeight w:val="288" w:hRule="exact"/>
        </w:trPr>
        <w:tc>
          <w:tcPr>
            <w:tcW w:w="3097" w:type="dxa"/>
            <w:vMerge/>
            <w:tcBorders>
              <w:left w:val="single" w:sz="4" w:space="0" w:color="000000"/>
              <w:bottom w:val="single" w:sz="4" w:space="0" w:color="000000"/>
              <w:right w:val="single" w:sz="4" w:space="0" w:color="000000"/>
            </w:tcBorders>
          </w:tcPr>
          <w:p>
            <w:pPr/>
          </w:p>
        </w:tc>
        <w:tc>
          <w:tcPr>
            <w:tcW w:w="1255" w:type="dxa"/>
            <w:vMerge/>
            <w:tcBorders>
              <w:left w:val="single" w:sz="4" w:space="0" w:color="000000"/>
              <w:bottom w:val="single" w:sz="4" w:space="0" w:color="000000"/>
              <w:right w:val="single" w:sz="4" w:space="0" w:color="000000"/>
            </w:tcBorders>
          </w:tcPr>
          <w:p>
            <w:pPr/>
          </w:p>
        </w:tc>
        <w:tc>
          <w:tcPr>
            <w:tcW w:w="1256" w:type="dxa"/>
            <w:vMerge/>
            <w:tcBorders>
              <w:left w:val="single" w:sz="4" w:space="0" w:color="000000"/>
              <w:bottom w:val="single" w:sz="4" w:space="0" w:color="000000"/>
              <w:right w:val="single" w:sz="4" w:space="0" w:color="000000"/>
            </w:tcBorders>
          </w:tcPr>
          <w:p>
            <w:pPr/>
          </w:p>
        </w:tc>
        <w:tc>
          <w:tcPr>
            <w:tcW w:w="1541" w:type="dxa"/>
            <w:vMerge/>
            <w:tcBorders>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58" w:right="0"/>
              <w:jc w:val="left"/>
              <w:rPr>
                <w:rFonts w:ascii="宋体" w:hAnsi="宋体" w:cs="宋体" w:eastAsia="宋体" w:hint="default"/>
                <w:sz w:val="18"/>
                <w:szCs w:val="18"/>
              </w:rPr>
            </w:pPr>
            <w:r>
              <w:rPr>
                <w:rFonts w:ascii="宋体" w:hAnsi="宋体" w:cs="宋体" w:eastAsia="宋体" w:hint="default"/>
                <w:sz w:val="18"/>
                <w:szCs w:val="18"/>
              </w:rPr>
              <w:t>直接</w:t>
            </w:r>
            <w:r>
              <w:rPr>
                <w:rFonts w:ascii="宋体" w:hAnsi="宋体" w:cs="宋体" w:eastAsia="宋体" w:hint="default"/>
                <w:sz w:val="18"/>
                <w:szCs w:val="18"/>
              </w:rPr>
              <w:t> </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58" w:right="0"/>
              <w:jc w:val="left"/>
              <w:rPr>
                <w:rFonts w:ascii="宋体" w:hAnsi="宋体" w:cs="宋体" w:eastAsia="宋体" w:hint="default"/>
                <w:sz w:val="18"/>
                <w:szCs w:val="18"/>
              </w:rPr>
            </w:pPr>
            <w:r>
              <w:rPr>
                <w:rFonts w:ascii="宋体" w:hAnsi="宋体" w:cs="宋体" w:eastAsia="宋体" w:hint="default"/>
                <w:sz w:val="18"/>
                <w:szCs w:val="18"/>
              </w:rPr>
              <w:t>间接</w:t>
            </w:r>
            <w:r>
              <w:rPr>
                <w:rFonts w:ascii="宋体" w:hAnsi="宋体" w:cs="宋体" w:eastAsia="宋体" w:hint="default"/>
                <w:sz w:val="18"/>
                <w:szCs w:val="18"/>
              </w:rPr>
              <w:t> </w:t>
            </w:r>
          </w:p>
        </w:tc>
        <w:tc>
          <w:tcPr>
            <w:tcW w:w="1985" w:type="dxa"/>
            <w:vMerge/>
            <w:tcBorders>
              <w:left w:val="single" w:sz="4" w:space="0" w:color="000000"/>
              <w:bottom w:val="single" w:sz="4" w:space="0" w:color="000000"/>
              <w:right w:val="single" w:sz="4" w:space="0" w:color="000000"/>
            </w:tcBorders>
          </w:tcPr>
          <w:p>
            <w:pPr/>
          </w:p>
        </w:tc>
      </w:tr>
      <w:tr>
        <w:trPr>
          <w:trHeight w:val="475" w:hRule="exact"/>
        </w:trPr>
        <w:tc>
          <w:tcPr>
            <w:tcW w:w="3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0"/>
              <w:jc w:val="left"/>
              <w:rPr>
                <w:rFonts w:ascii="宋体" w:hAnsi="宋体" w:cs="宋体" w:eastAsia="宋体" w:hint="default"/>
                <w:sz w:val="18"/>
                <w:szCs w:val="18"/>
              </w:rPr>
            </w:pPr>
            <w:r>
              <w:rPr>
                <w:rFonts w:ascii="宋体"/>
                <w:sz w:val="18"/>
              </w:rPr>
              <w:t>UABELGAMAELEKTRONIKA </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90" w:right="0"/>
              <w:jc w:val="center"/>
              <w:rPr>
                <w:rFonts w:ascii="宋体" w:hAnsi="宋体" w:cs="宋体" w:eastAsia="宋体" w:hint="default"/>
                <w:sz w:val="18"/>
                <w:szCs w:val="18"/>
              </w:rPr>
            </w:pPr>
            <w:r>
              <w:rPr>
                <w:rFonts w:ascii="宋体" w:hAnsi="宋体" w:cs="宋体" w:eastAsia="宋体" w:hint="default"/>
                <w:sz w:val="18"/>
                <w:szCs w:val="18"/>
              </w:rPr>
              <w:t>立陶宛</w:t>
            </w:r>
            <w:r>
              <w:rPr>
                <w:rFonts w:ascii="宋体" w:hAnsi="宋体" w:cs="宋体" w:eastAsia="宋体" w:hint="default"/>
                <w:sz w:val="18"/>
                <w:szCs w:val="18"/>
              </w:rPr>
              <w:t> </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89" w:right="0"/>
              <w:jc w:val="center"/>
              <w:rPr>
                <w:rFonts w:ascii="宋体" w:hAnsi="宋体" w:cs="宋体" w:eastAsia="宋体" w:hint="default"/>
                <w:sz w:val="18"/>
                <w:szCs w:val="18"/>
              </w:rPr>
            </w:pPr>
            <w:r>
              <w:rPr>
                <w:rFonts w:ascii="宋体" w:hAnsi="宋体" w:cs="宋体" w:eastAsia="宋体" w:hint="default"/>
                <w:sz w:val="18"/>
                <w:szCs w:val="18"/>
              </w:rPr>
              <w:t>立陶宛</w:t>
            </w:r>
            <w:r>
              <w:rPr>
                <w:rFonts w:ascii="宋体" w:hAnsi="宋体" w:cs="宋体" w:eastAsia="宋体" w:hint="default"/>
                <w:sz w:val="18"/>
                <w:szCs w:val="18"/>
              </w:rPr>
              <w:t> </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87" w:right="0"/>
              <w:jc w:val="center"/>
              <w:rPr>
                <w:rFonts w:ascii="宋体" w:hAnsi="宋体" w:cs="宋体" w:eastAsia="宋体" w:hint="default"/>
                <w:sz w:val="18"/>
                <w:szCs w:val="18"/>
              </w:rPr>
            </w:pPr>
            <w:r>
              <w:rPr>
                <w:rFonts w:ascii="宋体" w:hAnsi="宋体" w:cs="宋体" w:eastAsia="宋体" w:hint="default"/>
                <w:sz w:val="18"/>
                <w:szCs w:val="18"/>
              </w:rPr>
              <w:t>制造业</w:t>
            </w:r>
            <w:r>
              <w:rPr>
                <w:rFonts w:ascii="宋体" w:hAnsi="宋体" w:cs="宋体" w:eastAsia="宋体" w:hint="default"/>
                <w:sz w:val="18"/>
                <w:szCs w:val="18"/>
              </w:rPr>
              <w:t> </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58" w:right="0"/>
              <w:jc w:val="left"/>
              <w:rPr>
                <w:rFonts w:ascii="宋体" w:hAnsi="宋体" w:cs="宋体" w:eastAsia="宋体" w:hint="default"/>
                <w:sz w:val="18"/>
                <w:szCs w:val="18"/>
              </w:rPr>
            </w:pPr>
            <w:r>
              <w:rPr>
                <w:rFonts w:ascii="宋体"/>
                <w:sz w:val="18"/>
              </w:rPr>
              <w:t>66.7 </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83" w:right="0"/>
              <w:jc w:val="center"/>
              <w:rPr>
                <w:rFonts w:ascii="宋体" w:hAnsi="宋体" w:cs="宋体" w:eastAsia="宋体" w:hint="default"/>
                <w:sz w:val="18"/>
                <w:szCs w:val="18"/>
              </w:rPr>
            </w:pPr>
            <w:r>
              <w:rPr>
                <w:rFonts w:ascii="宋体"/>
                <w:sz w:val="18"/>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非同一控制下企业合</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并</w:t>
            </w:r>
            <w:r>
              <w:rPr>
                <w:rFonts w:ascii="宋体" w:hAnsi="宋体" w:cs="宋体" w:eastAsia="宋体" w:hint="default"/>
                <w:sz w:val="18"/>
                <w:szCs w:val="18"/>
              </w:rPr>
              <w:t> </w:t>
            </w:r>
          </w:p>
        </w:tc>
      </w:tr>
      <w:tr>
        <w:trPr>
          <w:trHeight w:val="245" w:hRule="exact"/>
        </w:trPr>
        <w:tc>
          <w:tcPr>
            <w:tcW w:w="309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安徽永安电子科技有限公司</w:t>
            </w:r>
            <w:r>
              <w:rPr>
                <w:rFonts w:ascii="宋体" w:hAnsi="宋体" w:cs="宋体" w:eastAsia="宋体" w:hint="default"/>
                <w:sz w:val="18"/>
                <w:szCs w:val="18"/>
              </w:rPr>
              <w:t> </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7" w:right="0"/>
              <w:jc w:val="center"/>
              <w:rPr>
                <w:rFonts w:ascii="宋体" w:hAnsi="宋体" w:cs="宋体" w:eastAsia="宋体" w:hint="default"/>
                <w:sz w:val="18"/>
                <w:szCs w:val="18"/>
              </w:rPr>
            </w:pPr>
            <w:r>
              <w:rPr>
                <w:rFonts w:ascii="宋体" w:hAnsi="宋体" w:cs="宋体" w:eastAsia="宋体" w:hint="default"/>
                <w:sz w:val="18"/>
                <w:szCs w:val="18"/>
              </w:rPr>
              <w:t>安庆</w:t>
            </w:r>
            <w:r>
              <w:rPr>
                <w:rFonts w:ascii="宋体" w:hAnsi="宋体" w:cs="宋体" w:eastAsia="宋体" w:hint="default"/>
                <w:sz w:val="18"/>
                <w:szCs w:val="18"/>
              </w:rPr>
              <w:t> </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7" w:right="0"/>
              <w:jc w:val="center"/>
              <w:rPr>
                <w:rFonts w:ascii="宋体" w:hAnsi="宋体" w:cs="宋体" w:eastAsia="宋体" w:hint="default"/>
                <w:sz w:val="18"/>
                <w:szCs w:val="18"/>
              </w:rPr>
            </w:pPr>
            <w:r>
              <w:rPr>
                <w:rFonts w:ascii="宋体" w:hAnsi="宋体" w:cs="宋体" w:eastAsia="宋体" w:hint="default"/>
                <w:sz w:val="18"/>
                <w:szCs w:val="18"/>
              </w:rPr>
              <w:t>安庆</w:t>
            </w:r>
            <w:r>
              <w:rPr>
                <w:rFonts w:ascii="宋体" w:hAnsi="宋体" w:cs="宋体" w:eastAsia="宋体" w:hint="default"/>
                <w:sz w:val="18"/>
                <w:szCs w:val="18"/>
              </w:rPr>
              <w:t> </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7" w:right="0"/>
              <w:jc w:val="center"/>
              <w:rPr>
                <w:rFonts w:ascii="宋体" w:hAnsi="宋体" w:cs="宋体" w:eastAsia="宋体" w:hint="default"/>
                <w:sz w:val="18"/>
                <w:szCs w:val="18"/>
              </w:rPr>
            </w:pPr>
            <w:r>
              <w:rPr>
                <w:rFonts w:ascii="宋体" w:hAnsi="宋体" w:cs="宋体" w:eastAsia="宋体" w:hint="default"/>
                <w:sz w:val="18"/>
                <w:szCs w:val="18"/>
              </w:rPr>
              <w:t>制造业</w:t>
            </w:r>
            <w:r>
              <w:rPr>
                <w:rFonts w:ascii="宋体" w:hAnsi="宋体" w:cs="宋体" w:eastAsia="宋体" w:hint="default"/>
                <w:sz w:val="18"/>
                <w:szCs w:val="18"/>
              </w:rPr>
              <w:t> </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01" w:right="0"/>
              <w:jc w:val="left"/>
              <w:rPr>
                <w:rFonts w:ascii="宋体" w:hAnsi="宋体" w:cs="宋体" w:eastAsia="宋体" w:hint="default"/>
                <w:sz w:val="18"/>
                <w:szCs w:val="18"/>
              </w:rPr>
            </w:pPr>
            <w:r>
              <w:rPr>
                <w:rFonts w:ascii="宋体"/>
                <w:sz w:val="18"/>
              </w:rPr>
              <w:t>100 </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3" w:right="0"/>
              <w:jc w:val="center"/>
              <w:rPr>
                <w:rFonts w:ascii="宋体" w:hAnsi="宋体" w:cs="宋体" w:eastAsia="宋体" w:hint="default"/>
                <w:sz w:val="18"/>
                <w:szCs w:val="18"/>
              </w:rPr>
            </w:pPr>
            <w:r>
              <w:rPr>
                <w:rFonts w:ascii="宋体"/>
                <w:sz w:val="18"/>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设立</w:t>
            </w:r>
            <w:r>
              <w:rPr>
                <w:rFonts w:ascii="宋体" w:hAnsi="宋体" w:cs="宋体" w:eastAsia="宋体" w:hint="default"/>
                <w:sz w:val="18"/>
                <w:szCs w:val="18"/>
              </w:rPr>
              <w:t> </w:t>
            </w:r>
          </w:p>
        </w:tc>
      </w:tr>
      <w:tr>
        <w:trPr>
          <w:trHeight w:val="242" w:hRule="exact"/>
        </w:trPr>
        <w:tc>
          <w:tcPr>
            <w:tcW w:w="309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江苏林洋电力服务有限公司</w:t>
            </w:r>
            <w:r>
              <w:rPr>
                <w:rFonts w:ascii="宋体" w:hAnsi="宋体" w:cs="宋体" w:eastAsia="宋体" w:hint="default"/>
                <w:sz w:val="18"/>
                <w:szCs w:val="18"/>
              </w:rPr>
              <w:t> </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7" w:right="0"/>
              <w:jc w:val="center"/>
              <w:rPr>
                <w:rFonts w:ascii="宋体" w:hAnsi="宋体" w:cs="宋体" w:eastAsia="宋体" w:hint="default"/>
                <w:sz w:val="18"/>
                <w:szCs w:val="18"/>
              </w:rPr>
            </w:pPr>
            <w:r>
              <w:rPr>
                <w:rFonts w:ascii="宋体" w:hAnsi="宋体" w:cs="宋体" w:eastAsia="宋体" w:hint="default"/>
                <w:sz w:val="18"/>
                <w:szCs w:val="18"/>
              </w:rPr>
              <w:t>启东</w:t>
            </w:r>
            <w:r>
              <w:rPr>
                <w:rFonts w:ascii="宋体" w:hAnsi="宋体" w:cs="宋体" w:eastAsia="宋体" w:hint="default"/>
                <w:sz w:val="18"/>
                <w:szCs w:val="18"/>
              </w:rPr>
              <w:t> </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7" w:right="0"/>
              <w:jc w:val="center"/>
              <w:rPr>
                <w:rFonts w:ascii="宋体" w:hAnsi="宋体" w:cs="宋体" w:eastAsia="宋体" w:hint="default"/>
                <w:sz w:val="18"/>
                <w:szCs w:val="18"/>
              </w:rPr>
            </w:pPr>
            <w:r>
              <w:rPr>
                <w:rFonts w:ascii="宋体" w:hAnsi="宋体" w:cs="宋体" w:eastAsia="宋体" w:hint="default"/>
                <w:sz w:val="18"/>
                <w:szCs w:val="18"/>
              </w:rPr>
              <w:t>启东</w:t>
            </w:r>
            <w:r>
              <w:rPr>
                <w:rFonts w:ascii="宋体" w:hAnsi="宋体" w:cs="宋体" w:eastAsia="宋体" w:hint="default"/>
                <w:sz w:val="18"/>
                <w:szCs w:val="18"/>
              </w:rPr>
              <w:t> </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7" w:right="0"/>
              <w:jc w:val="center"/>
              <w:rPr>
                <w:rFonts w:ascii="宋体" w:hAnsi="宋体" w:cs="宋体" w:eastAsia="宋体" w:hint="default"/>
                <w:sz w:val="18"/>
                <w:szCs w:val="18"/>
              </w:rPr>
            </w:pPr>
            <w:r>
              <w:rPr>
                <w:rFonts w:ascii="宋体" w:hAnsi="宋体" w:cs="宋体" w:eastAsia="宋体" w:hint="default"/>
                <w:sz w:val="18"/>
                <w:szCs w:val="18"/>
              </w:rPr>
              <w:t>服务业</w:t>
            </w:r>
            <w:r>
              <w:rPr>
                <w:rFonts w:ascii="宋体" w:hAnsi="宋体" w:cs="宋体" w:eastAsia="宋体" w:hint="default"/>
                <w:sz w:val="18"/>
                <w:szCs w:val="18"/>
              </w:rPr>
              <w:t> </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01" w:right="0"/>
              <w:jc w:val="left"/>
              <w:rPr>
                <w:rFonts w:ascii="宋体" w:hAnsi="宋体" w:cs="宋体" w:eastAsia="宋体" w:hint="default"/>
                <w:sz w:val="18"/>
                <w:szCs w:val="18"/>
              </w:rPr>
            </w:pPr>
            <w:r>
              <w:rPr>
                <w:rFonts w:ascii="宋体"/>
                <w:sz w:val="18"/>
              </w:rPr>
              <w:t>100 </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3" w:right="0"/>
              <w:jc w:val="center"/>
              <w:rPr>
                <w:rFonts w:ascii="宋体" w:hAnsi="宋体" w:cs="宋体" w:eastAsia="宋体" w:hint="default"/>
                <w:sz w:val="18"/>
                <w:szCs w:val="18"/>
              </w:rPr>
            </w:pPr>
            <w:r>
              <w:rPr>
                <w:rFonts w:ascii="宋体"/>
                <w:sz w:val="18"/>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设立</w:t>
            </w:r>
            <w:r>
              <w:rPr>
                <w:rFonts w:ascii="宋体" w:hAnsi="宋体" w:cs="宋体" w:eastAsia="宋体" w:hint="default"/>
                <w:sz w:val="18"/>
                <w:szCs w:val="18"/>
              </w:rPr>
              <w:t> </w:t>
            </w:r>
          </w:p>
        </w:tc>
      </w:tr>
      <w:tr>
        <w:trPr>
          <w:trHeight w:val="478" w:hRule="exact"/>
        </w:trPr>
        <w:tc>
          <w:tcPr>
            <w:tcW w:w="3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江苏林洋微网科技有限公司</w:t>
            </w:r>
            <w:r>
              <w:rPr>
                <w:rFonts w:ascii="宋体" w:hAnsi="宋体" w:cs="宋体" w:eastAsia="宋体" w:hint="default"/>
                <w:sz w:val="18"/>
                <w:szCs w:val="18"/>
              </w:rPr>
              <w:t> </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87" w:right="0"/>
              <w:jc w:val="center"/>
              <w:rPr>
                <w:rFonts w:ascii="宋体" w:hAnsi="宋体" w:cs="宋体" w:eastAsia="宋体" w:hint="default"/>
                <w:sz w:val="18"/>
                <w:szCs w:val="18"/>
              </w:rPr>
            </w:pPr>
            <w:r>
              <w:rPr>
                <w:rFonts w:ascii="宋体" w:hAnsi="宋体" w:cs="宋体" w:eastAsia="宋体" w:hint="default"/>
                <w:sz w:val="18"/>
                <w:szCs w:val="18"/>
              </w:rPr>
              <w:t>南京</w:t>
            </w:r>
            <w:r>
              <w:rPr>
                <w:rFonts w:ascii="宋体" w:hAnsi="宋体" w:cs="宋体" w:eastAsia="宋体" w:hint="default"/>
                <w:sz w:val="18"/>
                <w:szCs w:val="18"/>
              </w:rPr>
              <w:t> </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87" w:right="0"/>
              <w:jc w:val="center"/>
              <w:rPr>
                <w:rFonts w:ascii="宋体" w:hAnsi="宋体" w:cs="宋体" w:eastAsia="宋体" w:hint="default"/>
                <w:sz w:val="18"/>
                <w:szCs w:val="18"/>
              </w:rPr>
            </w:pPr>
            <w:r>
              <w:rPr>
                <w:rFonts w:ascii="宋体" w:hAnsi="宋体" w:cs="宋体" w:eastAsia="宋体" w:hint="default"/>
                <w:sz w:val="18"/>
                <w:szCs w:val="18"/>
              </w:rPr>
              <w:t>南京</w:t>
            </w:r>
            <w:r>
              <w:rPr>
                <w:rFonts w:ascii="宋体" w:hAnsi="宋体" w:cs="宋体" w:eastAsia="宋体" w:hint="default"/>
                <w:sz w:val="18"/>
                <w:szCs w:val="18"/>
              </w:rPr>
              <w:t> </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87" w:right="0"/>
              <w:jc w:val="center"/>
              <w:rPr>
                <w:rFonts w:ascii="宋体" w:hAnsi="宋体" w:cs="宋体" w:eastAsia="宋体" w:hint="default"/>
                <w:sz w:val="18"/>
                <w:szCs w:val="18"/>
              </w:rPr>
            </w:pPr>
            <w:r>
              <w:rPr>
                <w:rFonts w:ascii="宋体" w:hAnsi="宋体" w:cs="宋体" w:eastAsia="宋体" w:hint="default"/>
                <w:sz w:val="18"/>
                <w:szCs w:val="18"/>
              </w:rPr>
              <w:t>制造业</w:t>
            </w:r>
            <w:r>
              <w:rPr>
                <w:rFonts w:ascii="宋体" w:hAnsi="宋体" w:cs="宋体" w:eastAsia="宋体" w:hint="default"/>
                <w:sz w:val="18"/>
                <w:szCs w:val="18"/>
              </w:rPr>
              <w:t> </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12" w:right="0"/>
              <w:jc w:val="left"/>
              <w:rPr>
                <w:rFonts w:ascii="宋体" w:hAnsi="宋体" w:cs="宋体" w:eastAsia="宋体" w:hint="default"/>
                <w:sz w:val="18"/>
                <w:szCs w:val="18"/>
              </w:rPr>
            </w:pPr>
            <w:r>
              <w:rPr>
                <w:rFonts w:ascii="宋体"/>
                <w:sz w:val="18"/>
              </w:rPr>
              <w:t>51.52 </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83" w:right="0"/>
              <w:jc w:val="center"/>
              <w:rPr>
                <w:rFonts w:ascii="宋体" w:hAnsi="宋体" w:cs="宋体" w:eastAsia="宋体" w:hint="default"/>
                <w:sz w:val="18"/>
                <w:szCs w:val="18"/>
              </w:rPr>
            </w:pPr>
            <w:r>
              <w:rPr>
                <w:rFonts w:ascii="宋体"/>
                <w:sz w:val="18"/>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非同一控制下企业合</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并</w:t>
            </w:r>
            <w:r>
              <w:rPr>
                <w:rFonts w:ascii="宋体" w:hAnsi="宋体" w:cs="宋体" w:eastAsia="宋体" w:hint="default"/>
                <w:sz w:val="18"/>
                <w:szCs w:val="18"/>
              </w:rPr>
              <w:t> </w:t>
            </w:r>
          </w:p>
        </w:tc>
      </w:tr>
      <w:tr>
        <w:trPr>
          <w:trHeight w:val="242" w:hRule="exact"/>
        </w:trPr>
        <w:tc>
          <w:tcPr>
            <w:tcW w:w="309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林洋能源科技（上海）有限公司</w:t>
            </w:r>
            <w:r>
              <w:rPr>
                <w:rFonts w:ascii="宋体" w:hAnsi="宋体" w:cs="宋体" w:eastAsia="宋体" w:hint="default"/>
                <w:sz w:val="18"/>
                <w:szCs w:val="18"/>
              </w:rPr>
              <w:t> </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7" w:right="0"/>
              <w:jc w:val="center"/>
              <w:rPr>
                <w:rFonts w:ascii="宋体" w:hAnsi="宋体" w:cs="宋体" w:eastAsia="宋体" w:hint="default"/>
                <w:sz w:val="18"/>
                <w:szCs w:val="18"/>
              </w:rPr>
            </w:pPr>
            <w:r>
              <w:rPr>
                <w:rFonts w:ascii="宋体" w:hAnsi="宋体" w:cs="宋体" w:eastAsia="宋体" w:hint="default"/>
                <w:sz w:val="18"/>
                <w:szCs w:val="18"/>
              </w:rPr>
              <w:t>上海</w:t>
            </w:r>
            <w:r>
              <w:rPr>
                <w:rFonts w:ascii="宋体" w:hAnsi="宋体" w:cs="宋体" w:eastAsia="宋体" w:hint="default"/>
                <w:sz w:val="18"/>
                <w:szCs w:val="18"/>
              </w:rPr>
              <w:t> </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7" w:right="0"/>
              <w:jc w:val="center"/>
              <w:rPr>
                <w:rFonts w:ascii="宋体" w:hAnsi="宋体" w:cs="宋体" w:eastAsia="宋体" w:hint="default"/>
                <w:sz w:val="18"/>
                <w:szCs w:val="18"/>
              </w:rPr>
            </w:pPr>
            <w:r>
              <w:rPr>
                <w:rFonts w:ascii="宋体" w:hAnsi="宋体" w:cs="宋体" w:eastAsia="宋体" w:hint="default"/>
                <w:sz w:val="18"/>
                <w:szCs w:val="18"/>
              </w:rPr>
              <w:t>上海</w:t>
            </w:r>
            <w:r>
              <w:rPr>
                <w:rFonts w:ascii="宋体" w:hAnsi="宋体" w:cs="宋体" w:eastAsia="宋体" w:hint="default"/>
                <w:sz w:val="18"/>
                <w:szCs w:val="18"/>
              </w:rPr>
              <w:t> </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9" w:right="0"/>
              <w:jc w:val="center"/>
              <w:rPr>
                <w:rFonts w:ascii="宋体" w:hAnsi="宋体" w:cs="宋体" w:eastAsia="宋体" w:hint="default"/>
                <w:sz w:val="18"/>
                <w:szCs w:val="18"/>
              </w:rPr>
            </w:pPr>
            <w:r>
              <w:rPr>
                <w:rFonts w:ascii="宋体" w:hAnsi="宋体" w:cs="宋体" w:eastAsia="宋体" w:hint="default"/>
                <w:sz w:val="18"/>
                <w:szCs w:val="18"/>
              </w:rPr>
              <w:t>贸易</w:t>
            </w:r>
            <w:r>
              <w:rPr>
                <w:rFonts w:ascii="宋体" w:hAnsi="宋体" w:cs="宋体" w:eastAsia="宋体" w:hint="default"/>
                <w:sz w:val="18"/>
                <w:szCs w:val="18"/>
              </w:rPr>
              <w:t> </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01" w:right="0"/>
              <w:jc w:val="left"/>
              <w:rPr>
                <w:rFonts w:ascii="宋体" w:hAnsi="宋体" w:cs="宋体" w:eastAsia="宋体" w:hint="default"/>
                <w:sz w:val="18"/>
                <w:szCs w:val="18"/>
              </w:rPr>
            </w:pPr>
            <w:r>
              <w:rPr>
                <w:rFonts w:ascii="宋体"/>
                <w:sz w:val="18"/>
              </w:rPr>
              <w:t>100 </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3" w:right="0"/>
              <w:jc w:val="center"/>
              <w:rPr>
                <w:rFonts w:ascii="宋体" w:hAnsi="宋体" w:cs="宋体" w:eastAsia="宋体" w:hint="default"/>
                <w:sz w:val="18"/>
                <w:szCs w:val="18"/>
              </w:rPr>
            </w:pPr>
            <w:r>
              <w:rPr>
                <w:rFonts w:ascii="宋体"/>
                <w:sz w:val="18"/>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设立</w:t>
            </w:r>
            <w:r>
              <w:rPr>
                <w:rFonts w:ascii="宋体" w:hAnsi="宋体" w:cs="宋体" w:eastAsia="宋体" w:hint="default"/>
                <w:sz w:val="18"/>
                <w:szCs w:val="18"/>
              </w:rPr>
              <w:t> </w:t>
            </w:r>
          </w:p>
        </w:tc>
      </w:tr>
      <w:tr>
        <w:trPr>
          <w:trHeight w:val="245" w:hRule="exact"/>
        </w:trPr>
        <w:tc>
          <w:tcPr>
            <w:tcW w:w="309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南京林洋电力科技有限公司</w:t>
            </w:r>
            <w:r>
              <w:rPr>
                <w:rFonts w:ascii="宋体" w:hAnsi="宋体" w:cs="宋体" w:eastAsia="宋体" w:hint="default"/>
                <w:sz w:val="18"/>
                <w:szCs w:val="18"/>
              </w:rPr>
              <w:t> </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87" w:right="0"/>
              <w:jc w:val="center"/>
              <w:rPr>
                <w:rFonts w:ascii="宋体" w:hAnsi="宋体" w:cs="宋体" w:eastAsia="宋体" w:hint="default"/>
                <w:sz w:val="18"/>
                <w:szCs w:val="18"/>
              </w:rPr>
            </w:pPr>
            <w:r>
              <w:rPr>
                <w:rFonts w:ascii="宋体" w:hAnsi="宋体" w:cs="宋体" w:eastAsia="宋体" w:hint="default"/>
                <w:sz w:val="18"/>
                <w:szCs w:val="18"/>
              </w:rPr>
              <w:t>南京</w:t>
            </w:r>
            <w:r>
              <w:rPr>
                <w:rFonts w:ascii="宋体" w:hAnsi="宋体" w:cs="宋体" w:eastAsia="宋体" w:hint="default"/>
                <w:sz w:val="18"/>
                <w:szCs w:val="18"/>
              </w:rPr>
              <w:t> </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87" w:right="0"/>
              <w:jc w:val="center"/>
              <w:rPr>
                <w:rFonts w:ascii="宋体" w:hAnsi="宋体" w:cs="宋体" w:eastAsia="宋体" w:hint="default"/>
                <w:sz w:val="18"/>
                <w:szCs w:val="18"/>
              </w:rPr>
            </w:pPr>
            <w:r>
              <w:rPr>
                <w:rFonts w:ascii="宋体" w:hAnsi="宋体" w:cs="宋体" w:eastAsia="宋体" w:hint="default"/>
                <w:sz w:val="18"/>
                <w:szCs w:val="18"/>
              </w:rPr>
              <w:t>南京</w:t>
            </w:r>
            <w:r>
              <w:rPr>
                <w:rFonts w:ascii="宋体" w:hAnsi="宋体" w:cs="宋体" w:eastAsia="宋体" w:hint="default"/>
                <w:sz w:val="18"/>
                <w:szCs w:val="18"/>
              </w:rPr>
              <w:t> </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87" w:right="0"/>
              <w:jc w:val="center"/>
              <w:rPr>
                <w:rFonts w:ascii="宋体" w:hAnsi="宋体" w:cs="宋体" w:eastAsia="宋体" w:hint="default"/>
                <w:sz w:val="18"/>
                <w:szCs w:val="18"/>
              </w:rPr>
            </w:pPr>
            <w:r>
              <w:rPr>
                <w:rFonts w:ascii="宋体" w:hAnsi="宋体" w:cs="宋体" w:eastAsia="宋体" w:hint="default"/>
                <w:sz w:val="18"/>
                <w:szCs w:val="18"/>
              </w:rPr>
              <w:t>制造业</w:t>
            </w:r>
            <w:r>
              <w:rPr>
                <w:rFonts w:ascii="宋体" w:hAnsi="宋体" w:cs="宋体" w:eastAsia="宋体" w:hint="default"/>
                <w:sz w:val="18"/>
                <w:szCs w:val="18"/>
              </w:rPr>
              <w:t> </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01" w:right="0"/>
              <w:jc w:val="left"/>
              <w:rPr>
                <w:rFonts w:ascii="宋体" w:hAnsi="宋体" w:cs="宋体" w:eastAsia="宋体" w:hint="default"/>
                <w:sz w:val="18"/>
                <w:szCs w:val="18"/>
              </w:rPr>
            </w:pPr>
            <w:r>
              <w:rPr>
                <w:rFonts w:ascii="宋体"/>
                <w:sz w:val="18"/>
              </w:rPr>
              <w:t>100 </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83" w:right="0"/>
              <w:jc w:val="center"/>
              <w:rPr>
                <w:rFonts w:ascii="宋体" w:hAnsi="宋体" w:cs="宋体" w:eastAsia="宋体" w:hint="default"/>
                <w:sz w:val="18"/>
                <w:szCs w:val="18"/>
              </w:rPr>
            </w:pPr>
            <w:r>
              <w:rPr>
                <w:rFonts w:ascii="宋体"/>
                <w:sz w:val="18"/>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同一控制下企业合并</w:t>
            </w:r>
            <w:r>
              <w:rPr>
                <w:rFonts w:ascii="宋体" w:hAnsi="宋体" w:cs="宋体" w:eastAsia="宋体" w:hint="default"/>
                <w:sz w:val="18"/>
                <w:szCs w:val="18"/>
              </w:rPr>
              <w:t> </w:t>
            </w:r>
          </w:p>
        </w:tc>
      </w:tr>
      <w:tr>
        <w:trPr>
          <w:trHeight w:val="242" w:hRule="exact"/>
        </w:trPr>
        <w:tc>
          <w:tcPr>
            <w:tcW w:w="309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安徽林洋能效管理有限公司</w:t>
            </w:r>
            <w:r>
              <w:rPr>
                <w:rFonts w:ascii="宋体" w:hAnsi="宋体" w:cs="宋体" w:eastAsia="宋体" w:hint="default"/>
                <w:sz w:val="18"/>
                <w:szCs w:val="18"/>
              </w:rPr>
              <w:t> </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7" w:right="0"/>
              <w:jc w:val="center"/>
              <w:rPr>
                <w:rFonts w:ascii="宋体" w:hAnsi="宋体" w:cs="宋体" w:eastAsia="宋体" w:hint="default"/>
                <w:sz w:val="18"/>
                <w:szCs w:val="18"/>
              </w:rPr>
            </w:pPr>
            <w:r>
              <w:rPr>
                <w:rFonts w:ascii="宋体" w:hAnsi="宋体" w:cs="宋体" w:eastAsia="宋体" w:hint="default"/>
                <w:sz w:val="18"/>
                <w:szCs w:val="18"/>
              </w:rPr>
              <w:t>合肥</w:t>
            </w:r>
            <w:r>
              <w:rPr>
                <w:rFonts w:ascii="宋体" w:hAnsi="宋体" w:cs="宋体" w:eastAsia="宋体" w:hint="default"/>
                <w:sz w:val="18"/>
                <w:szCs w:val="18"/>
              </w:rPr>
              <w:t> </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7" w:right="0"/>
              <w:jc w:val="center"/>
              <w:rPr>
                <w:rFonts w:ascii="宋体" w:hAnsi="宋体" w:cs="宋体" w:eastAsia="宋体" w:hint="default"/>
                <w:sz w:val="18"/>
                <w:szCs w:val="18"/>
              </w:rPr>
            </w:pPr>
            <w:r>
              <w:rPr>
                <w:rFonts w:ascii="宋体" w:hAnsi="宋体" w:cs="宋体" w:eastAsia="宋体" w:hint="default"/>
                <w:sz w:val="18"/>
                <w:szCs w:val="18"/>
              </w:rPr>
              <w:t>合肥</w:t>
            </w:r>
            <w:r>
              <w:rPr>
                <w:rFonts w:ascii="宋体" w:hAnsi="宋体" w:cs="宋体" w:eastAsia="宋体" w:hint="default"/>
                <w:sz w:val="18"/>
                <w:szCs w:val="18"/>
              </w:rPr>
              <w:t> </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7" w:right="0"/>
              <w:jc w:val="center"/>
              <w:rPr>
                <w:rFonts w:ascii="宋体" w:hAnsi="宋体" w:cs="宋体" w:eastAsia="宋体" w:hint="default"/>
                <w:sz w:val="18"/>
                <w:szCs w:val="18"/>
              </w:rPr>
            </w:pPr>
            <w:r>
              <w:rPr>
                <w:rFonts w:ascii="宋体" w:hAnsi="宋体" w:cs="宋体" w:eastAsia="宋体" w:hint="default"/>
                <w:sz w:val="18"/>
                <w:szCs w:val="18"/>
              </w:rPr>
              <w:t>服务业</w:t>
            </w:r>
            <w:r>
              <w:rPr>
                <w:rFonts w:ascii="宋体" w:hAnsi="宋体" w:cs="宋体" w:eastAsia="宋体" w:hint="default"/>
                <w:sz w:val="18"/>
                <w:szCs w:val="18"/>
              </w:rPr>
              <w:t> </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7" w:right="0"/>
              <w:jc w:val="center"/>
              <w:rPr>
                <w:rFonts w:ascii="宋体" w:hAnsi="宋体" w:cs="宋体" w:eastAsia="宋体" w:hint="default"/>
                <w:sz w:val="18"/>
                <w:szCs w:val="18"/>
              </w:rPr>
            </w:pPr>
            <w:r>
              <w:rPr>
                <w:rFonts w:ascii="宋体"/>
                <w:sz w:val="18"/>
              </w:rPr>
              <w:t> </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9" w:right="0"/>
              <w:jc w:val="left"/>
              <w:rPr>
                <w:rFonts w:ascii="宋体" w:hAnsi="宋体" w:cs="宋体" w:eastAsia="宋体" w:hint="default"/>
                <w:sz w:val="18"/>
                <w:szCs w:val="18"/>
              </w:rPr>
            </w:pPr>
            <w:r>
              <w:rPr>
                <w:rFonts w:ascii="宋体"/>
                <w:sz w:val="18"/>
              </w:rPr>
              <w:t>60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设立</w:t>
            </w:r>
            <w:r>
              <w:rPr>
                <w:rFonts w:ascii="宋体" w:hAnsi="宋体" w:cs="宋体" w:eastAsia="宋体" w:hint="default"/>
                <w:sz w:val="18"/>
                <w:szCs w:val="18"/>
              </w:rPr>
              <w:t> </w:t>
            </w:r>
          </w:p>
        </w:tc>
      </w:tr>
      <w:tr>
        <w:trPr>
          <w:trHeight w:val="478" w:hRule="exact"/>
        </w:trPr>
        <w:tc>
          <w:tcPr>
            <w:tcW w:w="3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武汉奥统电气有限公司</w:t>
            </w:r>
            <w:r>
              <w:rPr>
                <w:rFonts w:ascii="宋体" w:hAnsi="宋体" w:cs="宋体" w:eastAsia="宋体" w:hint="default"/>
                <w:sz w:val="18"/>
                <w:szCs w:val="18"/>
              </w:rPr>
              <w:t> </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87" w:right="0"/>
              <w:jc w:val="center"/>
              <w:rPr>
                <w:rFonts w:ascii="宋体" w:hAnsi="宋体" w:cs="宋体" w:eastAsia="宋体" w:hint="default"/>
                <w:sz w:val="18"/>
                <w:szCs w:val="18"/>
              </w:rPr>
            </w:pPr>
            <w:r>
              <w:rPr>
                <w:rFonts w:ascii="宋体" w:hAnsi="宋体" w:cs="宋体" w:eastAsia="宋体" w:hint="default"/>
                <w:sz w:val="18"/>
                <w:szCs w:val="18"/>
              </w:rPr>
              <w:t>武汉</w:t>
            </w:r>
            <w:r>
              <w:rPr>
                <w:rFonts w:ascii="宋体" w:hAnsi="宋体" w:cs="宋体" w:eastAsia="宋体" w:hint="default"/>
                <w:sz w:val="18"/>
                <w:szCs w:val="18"/>
              </w:rPr>
              <w:t> </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87" w:right="0"/>
              <w:jc w:val="center"/>
              <w:rPr>
                <w:rFonts w:ascii="宋体" w:hAnsi="宋体" w:cs="宋体" w:eastAsia="宋体" w:hint="default"/>
                <w:sz w:val="18"/>
                <w:szCs w:val="18"/>
              </w:rPr>
            </w:pPr>
            <w:r>
              <w:rPr>
                <w:rFonts w:ascii="宋体" w:hAnsi="宋体" w:cs="宋体" w:eastAsia="宋体" w:hint="default"/>
                <w:sz w:val="18"/>
                <w:szCs w:val="18"/>
              </w:rPr>
              <w:t>武汉</w:t>
            </w:r>
            <w:r>
              <w:rPr>
                <w:rFonts w:ascii="宋体" w:hAnsi="宋体" w:cs="宋体" w:eastAsia="宋体" w:hint="default"/>
                <w:sz w:val="18"/>
                <w:szCs w:val="18"/>
              </w:rPr>
              <w:t> </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87" w:right="0"/>
              <w:jc w:val="center"/>
              <w:rPr>
                <w:rFonts w:ascii="宋体" w:hAnsi="宋体" w:cs="宋体" w:eastAsia="宋体" w:hint="default"/>
                <w:sz w:val="18"/>
                <w:szCs w:val="18"/>
              </w:rPr>
            </w:pPr>
            <w:r>
              <w:rPr>
                <w:rFonts w:ascii="宋体" w:hAnsi="宋体" w:cs="宋体" w:eastAsia="宋体" w:hint="default"/>
                <w:sz w:val="18"/>
                <w:szCs w:val="18"/>
              </w:rPr>
              <w:t>制造业</w:t>
            </w:r>
            <w:r>
              <w:rPr>
                <w:rFonts w:ascii="宋体" w:hAnsi="宋体" w:cs="宋体" w:eastAsia="宋体" w:hint="default"/>
                <w:sz w:val="18"/>
                <w:szCs w:val="18"/>
              </w:rPr>
              <w:t> </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47" w:right="0"/>
              <w:jc w:val="left"/>
              <w:rPr>
                <w:rFonts w:ascii="宋体" w:hAnsi="宋体" w:cs="宋体" w:eastAsia="宋体" w:hint="default"/>
                <w:sz w:val="18"/>
                <w:szCs w:val="18"/>
              </w:rPr>
            </w:pPr>
            <w:r>
              <w:rPr>
                <w:rFonts w:ascii="宋体"/>
                <w:sz w:val="18"/>
              </w:rPr>
              <w:t>80 </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83" w:right="0"/>
              <w:jc w:val="center"/>
              <w:rPr>
                <w:rFonts w:ascii="宋体" w:hAnsi="宋体" w:cs="宋体" w:eastAsia="宋体" w:hint="default"/>
                <w:sz w:val="18"/>
                <w:szCs w:val="18"/>
              </w:rPr>
            </w:pPr>
            <w:r>
              <w:rPr>
                <w:rFonts w:ascii="宋体"/>
                <w:sz w:val="18"/>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非同一控制下企业合</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并</w:t>
            </w:r>
            <w:r>
              <w:rPr>
                <w:rFonts w:ascii="宋体" w:hAnsi="宋体" w:cs="宋体" w:eastAsia="宋体" w:hint="default"/>
                <w:sz w:val="18"/>
                <w:szCs w:val="18"/>
              </w:rPr>
              <w:t> </w:t>
            </w:r>
          </w:p>
        </w:tc>
      </w:tr>
      <w:tr>
        <w:trPr>
          <w:trHeight w:val="242" w:hRule="exact"/>
        </w:trPr>
        <w:tc>
          <w:tcPr>
            <w:tcW w:w="309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江苏林洋照明科技有限公司</w:t>
            </w:r>
            <w:r>
              <w:rPr>
                <w:rFonts w:ascii="宋体" w:hAnsi="宋体" w:cs="宋体" w:eastAsia="宋体" w:hint="default"/>
                <w:sz w:val="18"/>
                <w:szCs w:val="18"/>
              </w:rPr>
              <w:t> </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7" w:right="0"/>
              <w:jc w:val="center"/>
              <w:rPr>
                <w:rFonts w:ascii="宋体" w:hAnsi="宋体" w:cs="宋体" w:eastAsia="宋体" w:hint="default"/>
                <w:sz w:val="18"/>
                <w:szCs w:val="18"/>
              </w:rPr>
            </w:pPr>
            <w:r>
              <w:rPr>
                <w:rFonts w:ascii="宋体" w:hAnsi="宋体" w:cs="宋体" w:eastAsia="宋体" w:hint="default"/>
                <w:sz w:val="18"/>
                <w:szCs w:val="18"/>
              </w:rPr>
              <w:t>启东</w:t>
            </w:r>
            <w:r>
              <w:rPr>
                <w:rFonts w:ascii="宋体" w:hAnsi="宋体" w:cs="宋体" w:eastAsia="宋体" w:hint="default"/>
                <w:sz w:val="18"/>
                <w:szCs w:val="18"/>
              </w:rPr>
              <w:t> </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7" w:right="0"/>
              <w:jc w:val="center"/>
              <w:rPr>
                <w:rFonts w:ascii="宋体" w:hAnsi="宋体" w:cs="宋体" w:eastAsia="宋体" w:hint="default"/>
                <w:sz w:val="18"/>
                <w:szCs w:val="18"/>
              </w:rPr>
            </w:pPr>
            <w:r>
              <w:rPr>
                <w:rFonts w:ascii="宋体" w:hAnsi="宋体" w:cs="宋体" w:eastAsia="宋体" w:hint="default"/>
                <w:sz w:val="18"/>
                <w:szCs w:val="18"/>
              </w:rPr>
              <w:t>启东</w:t>
            </w:r>
            <w:r>
              <w:rPr>
                <w:rFonts w:ascii="宋体" w:hAnsi="宋体" w:cs="宋体" w:eastAsia="宋体" w:hint="default"/>
                <w:sz w:val="18"/>
                <w:szCs w:val="18"/>
              </w:rPr>
              <w:t> </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7" w:right="0"/>
              <w:jc w:val="center"/>
              <w:rPr>
                <w:rFonts w:ascii="宋体" w:hAnsi="宋体" w:cs="宋体" w:eastAsia="宋体" w:hint="default"/>
                <w:sz w:val="18"/>
                <w:szCs w:val="18"/>
              </w:rPr>
            </w:pPr>
            <w:r>
              <w:rPr>
                <w:rFonts w:ascii="宋体" w:hAnsi="宋体" w:cs="宋体" w:eastAsia="宋体" w:hint="default"/>
                <w:sz w:val="18"/>
                <w:szCs w:val="18"/>
              </w:rPr>
              <w:t>制造业</w:t>
            </w:r>
            <w:r>
              <w:rPr>
                <w:rFonts w:ascii="宋体" w:hAnsi="宋体" w:cs="宋体" w:eastAsia="宋体" w:hint="default"/>
                <w:sz w:val="18"/>
                <w:szCs w:val="18"/>
              </w:rPr>
              <w:t> </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01" w:right="0"/>
              <w:jc w:val="left"/>
              <w:rPr>
                <w:rFonts w:ascii="宋体" w:hAnsi="宋体" w:cs="宋体" w:eastAsia="宋体" w:hint="default"/>
                <w:sz w:val="18"/>
                <w:szCs w:val="18"/>
              </w:rPr>
            </w:pPr>
            <w:r>
              <w:rPr>
                <w:rFonts w:ascii="宋体"/>
                <w:sz w:val="18"/>
              </w:rPr>
              <w:t>100 </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3" w:right="0"/>
              <w:jc w:val="center"/>
              <w:rPr>
                <w:rFonts w:ascii="宋体" w:hAnsi="宋体" w:cs="宋体" w:eastAsia="宋体" w:hint="default"/>
                <w:sz w:val="18"/>
                <w:szCs w:val="18"/>
              </w:rPr>
            </w:pPr>
            <w:r>
              <w:rPr>
                <w:rFonts w:ascii="宋体"/>
                <w:sz w:val="18"/>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设立</w:t>
            </w:r>
            <w:r>
              <w:rPr>
                <w:rFonts w:ascii="宋体" w:hAnsi="宋体" w:cs="宋体" w:eastAsia="宋体" w:hint="default"/>
                <w:sz w:val="18"/>
                <w:szCs w:val="18"/>
              </w:rPr>
              <w:t> </w:t>
            </w:r>
          </w:p>
        </w:tc>
      </w:tr>
      <w:tr>
        <w:trPr>
          <w:trHeight w:val="245" w:hRule="exact"/>
        </w:trPr>
        <w:tc>
          <w:tcPr>
            <w:tcW w:w="309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宿迁林洋光电有限公司</w:t>
            </w:r>
            <w:r>
              <w:rPr>
                <w:rFonts w:ascii="宋体" w:hAnsi="宋体" w:cs="宋体" w:eastAsia="宋体" w:hint="default"/>
                <w:sz w:val="18"/>
                <w:szCs w:val="18"/>
              </w:rPr>
              <w:t> </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7" w:right="0"/>
              <w:jc w:val="center"/>
              <w:rPr>
                <w:rFonts w:ascii="宋体" w:hAnsi="宋体" w:cs="宋体" w:eastAsia="宋体" w:hint="default"/>
                <w:sz w:val="18"/>
                <w:szCs w:val="18"/>
              </w:rPr>
            </w:pPr>
            <w:r>
              <w:rPr>
                <w:rFonts w:ascii="宋体" w:hAnsi="宋体" w:cs="宋体" w:eastAsia="宋体" w:hint="default"/>
                <w:sz w:val="18"/>
                <w:szCs w:val="18"/>
              </w:rPr>
              <w:t>宿迁</w:t>
            </w:r>
            <w:r>
              <w:rPr>
                <w:rFonts w:ascii="宋体" w:hAnsi="宋体" w:cs="宋体" w:eastAsia="宋体" w:hint="default"/>
                <w:sz w:val="18"/>
                <w:szCs w:val="18"/>
              </w:rPr>
              <w:t> </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7" w:right="0"/>
              <w:jc w:val="center"/>
              <w:rPr>
                <w:rFonts w:ascii="宋体" w:hAnsi="宋体" w:cs="宋体" w:eastAsia="宋体" w:hint="default"/>
                <w:sz w:val="18"/>
                <w:szCs w:val="18"/>
              </w:rPr>
            </w:pPr>
            <w:r>
              <w:rPr>
                <w:rFonts w:ascii="宋体" w:hAnsi="宋体" w:cs="宋体" w:eastAsia="宋体" w:hint="default"/>
                <w:sz w:val="18"/>
                <w:szCs w:val="18"/>
              </w:rPr>
              <w:t>宿迁</w:t>
            </w:r>
            <w:r>
              <w:rPr>
                <w:rFonts w:ascii="宋体" w:hAnsi="宋体" w:cs="宋体" w:eastAsia="宋体" w:hint="default"/>
                <w:sz w:val="18"/>
                <w:szCs w:val="18"/>
              </w:rPr>
              <w:t> </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7" w:right="0"/>
              <w:jc w:val="center"/>
              <w:rPr>
                <w:rFonts w:ascii="宋体" w:hAnsi="宋体" w:cs="宋体" w:eastAsia="宋体" w:hint="default"/>
                <w:sz w:val="18"/>
                <w:szCs w:val="18"/>
              </w:rPr>
            </w:pPr>
            <w:r>
              <w:rPr>
                <w:rFonts w:ascii="宋体" w:hAnsi="宋体" w:cs="宋体" w:eastAsia="宋体" w:hint="default"/>
                <w:sz w:val="18"/>
                <w:szCs w:val="18"/>
              </w:rPr>
              <w:t>制造业</w:t>
            </w:r>
            <w:r>
              <w:rPr>
                <w:rFonts w:ascii="宋体" w:hAnsi="宋体" w:cs="宋体" w:eastAsia="宋体" w:hint="default"/>
                <w:sz w:val="18"/>
                <w:szCs w:val="18"/>
              </w:rPr>
              <w:t> </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7" w:right="0"/>
              <w:jc w:val="center"/>
              <w:rPr>
                <w:rFonts w:ascii="宋体" w:hAnsi="宋体" w:cs="宋体" w:eastAsia="宋体" w:hint="default"/>
                <w:sz w:val="18"/>
                <w:szCs w:val="18"/>
              </w:rPr>
            </w:pPr>
            <w:r>
              <w:rPr>
                <w:rFonts w:ascii="宋体"/>
                <w:sz w:val="18"/>
              </w:rPr>
              <w:t> </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04" w:right="0"/>
              <w:jc w:val="left"/>
              <w:rPr>
                <w:rFonts w:ascii="宋体" w:hAnsi="宋体" w:cs="宋体" w:eastAsia="宋体" w:hint="default"/>
                <w:sz w:val="18"/>
                <w:szCs w:val="18"/>
              </w:rPr>
            </w:pPr>
            <w:r>
              <w:rPr>
                <w:rFonts w:ascii="宋体"/>
                <w:sz w:val="18"/>
              </w:rPr>
              <w:t>100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设立</w:t>
            </w:r>
            <w:r>
              <w:rPr>
                <w:rFonts w:ascii="宋体" w:hAnsi="宋体" w:cs="宋体" w:eastAsia="宋体" w:hint="default"/>
                <w:sz w:val="18"/>
                <w:szCs w:val="18"/>
              </w:rPr>
              <w:t> </w:t>
            </w:r>
          </w:p>
        </w:tc>
      </w:tr>
      <w:tr>
        <w:trPr>
          <w:trHeight w:val="242" w:hRule="exact"/>
        </w:trPr>
        <w:tc>
          <w:tcPr>
            <w:tcW w:w="309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林洋新能源澳洲有限公司</w:t>
            </w:r>
            <w:r>
              <w:rPr>
                <w:rFonts w:ascii="宋体" w:hAnsi="宋体" w:cs="宋体" w:eastAsia="宋体" w:hint="default"/>
                <w:sz w:val="18"/>
                <w:szCs w:val="18"/>
              </w:rPr>
              <w:t> </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7" w:right="0"/>
              <w:jc w:val="center"/>
              <w:rPr>
                <w:rFonts w:ascii="宋体" w:hAnsi="宋体" w:cs="宋体" w:eastAsia="宋体" w:hint="default"/>
                <w:sz w:val="18"/>
                <w:szCs w:val="18"/>
              </w:rPr>
            </w:pPr>
            <w:r>
              <w:rPr>
                <w:rFonts w:ascii="宋体" w:hAnsi="宋体" w:cs="宋体" w:eastAsia="宋体" w:hint="default"/>
                <w:sz w:val="18"/>
                <w:szCs w:val="18"/>
              </w:rPr>
              <w:t>澳洲</w:t>
            </w:r>
            <w:r>
              <w:rPr>
                <w:rFonts w:ascii="宋体" w:hAnsi="宋体" w:cs="宋体" w:eastAsia="宋体" w:hint="default"/>
                <w:sz w:val="18"/>
                <w:szCs w:val="18"/>
              </w:rPr>
              <w:t> </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7" w:right="0"/>
              <w:jc w:val="center"/>
              <w:rPr>
                <w:rFonts w:ascii="宋体" w:hAnsi="宋体" w:cs="宋体" w:eastAsia="宋体" w:hint="default"/>
                <w:sz w:val="18"/>
                <w:szCs w:val="18"/>
              </w:rPr>
            </w:pPr>
            <w:r>
              <w:rPr>
                <w:rFonts w:ascii="宋体" w:hAnsi="宋体" w:cs="宋体" w:eastAsia="宋体" w:hint="default"/>
                <w:sz w:val="18"/>
                <w:szCs w:val="18"/>
              </w:rPr>
              <w:t>澳洲</w:t>
            </w:r>
            <w:r>
              <w:rPr>
                <w:rFonts w:ascii="宋体" w:hAnsi="宋体" w:cs="宋体" w:eastAsia="宋体" w:hint="default"/>
                <w:sz w:val="18"/>
                <w:szCs w:val="18"/>
              </w:rPr>
              <w:t> </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9" w:right="0"/>
              <w:jc w:val="center"/>
              <w:rPr>
                <w:rFonts w:ascii="宋体" w:hAnsi="宋体" w:cs="宋体" w:eastAsia="宋体" w:hint="default"/>
                <w:sz w:val="18"/>
                <w:szCs w:val="18"/>
              </w:rPr>
            </w:pPr>
            <w:r>
              <w:rPr>
                <w:rFonts w:ascii="宋体" w:hAnsi="宋体" w:cs="宋体" w:eastAsia="宋体" w:hint="default"/>
                <w:sz w:val="18"/>
                <w:szCs w:val="18"/>
              </w:rPr>
              <w:t>贸易</w:t>
            </w:r>
            <w:r>
              <w:rPr>
                <w:rFonts w:ascii="宋体" w:hAnsi="宋体" w:cs="宋体" w:eastAsia="宋体" w:hint="default"/>
                <w:sz w:val="18"/>
                <w:szCs w:val="18"/>
              </w:rPr>
              <w:t> </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01" w:right="0"/>
              <w:jc w:val="left"/>
              <w:rPr>
                <w:rFonts w:ascii="宋体" w:hAnsi="宋体" w:cs="宋体" w:eastAsia="宋体" w:hint="default"/>
                <w:sz w:val="18"/>
                <w:szCs w:val="18"/>
              </w:rPr>
            </w:pPr>
            <w:r>
              <w:rPr>
                <w:rFonts w:ascii="宋体"/>
                <w:sz w:val="18"/>
              </w:rPr>
              <w:t>100 </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3" w:right="0"/>
              <w:jc w:val="center"/>
              <w:rPr>
                <w:rFonts w:ascii="宋体" w:hAnsi="宋体" w:cs="宋体" w:eastAsia="宋体" w:hint="default"/>
                <w:sz w:val="18"/>
                <w:szCs w:val="18"/>
              </w:rPr>
            </w:pPr>
            <w:r>
              <w:rPr>
                <w:rFonts w:ascii="宋体"/>
                <w:sz w:val="18"/>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设立</w:t>
            </w:r>
            <w:r>
              <w:rPr>
                <w:rFonts w:ascii="宋体" w:hAnsi="宋体" w:cs="宋体" w:eastAsia="宋体" w:hint="default"/>
                <w:sz w:val="18"/>
                <w:szCs w:val="18"/>
              </w:rPr>
              <w:t> </w:t>
            </w:r>
          </w:p>
        </w:tc>
      </w:tr>
      <w:tr>
        <w:trPr>
          <w:trHeight w:val="245" w:hRule="exact"/>
        </w:trPr>
        <w:tc>
          <w:tcPr>
            <w:tcW w:w="309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新加坡林洋能源科技有限公司</w:t>
            </w:r>
            <w:r>
              <w:rPr>
                <w:rFonts w:ascii="宋体" w:hAnsi="宋体" w:cs="宋体" w:eastAsia="宋体" w:hint="default"/>
                <w:sz w:val="18"/>
                <w:szCs w:val="18"/>
              </w:rPr>
              <w:t> </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90" w:right="0"/>
              <w:jc w:val="center"/>
              <w:rPr>
                <w:rFonts w:ascii="宋体" w:hAnsi="宋体" w:cs="宋体" w:eastAsia="宋体" w:hint="default"/>
                <w:sz w:val="18"/>
                <w:szCs w:val="18"/>
              </w:rPr>
            </w:pPr>
            <w:r>
              <w:rPr>
                <w:rFonts w:ascii="宋体" w:hAnsi="宋体" w:cs="宋体" w:eastAsia="宋体" w:hint="default"/>
                <w:sz w:val="18"/>
                <w:szCs w:val="18"/>
              </w:rPr>
              <w:t>新加坡</w:t>
            </w:r>
            <w:r>
              <w:rPr>
                <w:rFonts w:ascii="宋体" w:hAnsi="宋体" w:cs="宋体" w:eastAsia="宋体" w:hint="default"/>
                <w:sz w:val="18"/>
                <w:szCs w:val="18"/>
              </w:rPr>
              <w:t> </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9" w:right="0"/>
              <w:jc w:val="center"/>
              <w:rPr>
                <w:rFonts w:ascii="宋体" w:hAnsi="宋体" w:cs="宋体" w:eastAsia="宋体" w:hint="default"/>
                <w:sz w:val="18"/>
                <w:szCs w:val="18"/>
              </w:rPr>
            </w:pPr>
            <w:r>
              <w:rPr>
                <w:rFonts w:ascii="宋体" w:hAnsi="宋体" w:cs="宋体" w:eastAsia="宋体" w:hint="default"/>
                <w:sz w:val="18"/>
                <w:szCs w:val="18"/>
              </w:rPr>
              <w:t>新加坡</w:t>
            </w:r>
            <w:r>
              <w:rPr>
                <w:rFonts w:ascii="宋体" w:hAnsi="宋体" w:cs="宋体" w:eastAsia="宋体" w:hint="default"/>
                <w:sz w:val="18"/>
                <w:szCs w:val="18"/>
              </w:rPr>
              <w:t> </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7" w:right="0"/>
              <w:jc w:val="center"/>
              <w:rPr>
                <w:rFonts w:ascii="宋体" w:hAnsi="宋体" w:cs="宋体" w:eastAsia="宋体" w:hint="default"/>
                <w:sz w:val="18"/>
                <w:szCs w:val="18"/>
              </w:rPr>
            </w:pPr>
            <w:r>
              <w:rPr>
                <w:rFonts w:ascii="宋体" w:hAnsi="宋体" w:cs="宋体" w:eastAsia="宋体" w:hint="default"/>
                <w:sz w:val="18"/>
                <w:szCs w:val="18"/>
              </w:rPr>
              <w:t>投资、贸易</w:t>
            </w:r>
            <w:r>
              <w:rPr>
                <w:rFonts w:ascii="宋体" w:hAnsi="宋体" w:cs="宋体" w:eastAsia="宋体" w:hint="default"/>
                <w:sz w:val="18"/>
                <w:szCs w:val="18"/>
              </w:rPr>
              <w:t> </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01" w:right="0"/>
              <w:jc w:val="left"/>
              <w:rPr>
                <w:rFonts w:ascii="宋体" w:hAnsi="宋体" w:cs="宋体" w:eastAsia="宋体" w:hint="default"/>
                <w:sz w:val="18"/>
                <w:szCs w:val="18"/>
              </w:rPr>
            </w:pPr>
            <w:r>
              <w:rPr>
                <w:rFonts w:ascii="宋体"/>
                <w:sz w:val="18"/>
              </w:rPr>
              <w:t>100 </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3" w:right="0"/>
              <w:jc w:val="center"/>
              <w:rPr>
                <w:rFonts w:ascii="宋体" w:hAnsi="宋体" w:cs="宋体" w:eastAsia="宋体" w:hint="default"/>
                <w:sz w:val="18"/>
                <w:szCs w:val="18"/>
              </w:rPr>
            </w:pPr>
            <w:r>
              <w:rPr>
                <w:rFonts w:ascii="宋体"/>
                <w:sz w:val="18"/>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设立</w:t>
            </w:r>
            <w:r>
              <w:rPr>
                <w:rFonts w:ascii="宋体" w:hAnsi="宋体" w:cs="宋体" w:eastAsia="宋体" w:hint="default"/>
                <w:sz w:val="18"/>
                <w:szCs w:val="18"/>
              </w:rPr>
              <w:t> </w:t>
            </w:r>
          </w:p>
        </w:tc>
      </w:tr>
      <w:tr>
        <w:trPr>
          <w:trHeight w:val="475" w:hRule="exact"/>
        </w:trPr>
        <w:tc>
          <w:tcPr>
            <w:tcW w:w="3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0"/>
              <w:jc w:val="left"/>
              <w:rPr>
                <w:rFonts w:ascii="宋体" w:hAnsi="宋体" w:cs="宋体" w:eastAsia="宋体" w:hint="default"/>
                <w:sz w:val="18"/>
                <w:szCs w:val="18"/>
              </w:rPr>
            </w:pPr>
            <w:r>
              <w:rPr>
                <w:rFonts w:ascii="宋体" w:hAnsi="宋体" w:cs="宋体" w:eastAsia="宋体" w:hint="default"/>
                <w:sz w:val="18"/>
                <w:szCs w:val="18"/>
              </w:rPr>
              <w:t>林洋国际有限公司</w:t>
            </w:r>
            <w:r>
              <w:rPr>
                <w:rFonts w:ascii="宋体" w:hAnsi="宋体" w:cs="宋体" w:eastAsia="宋体" w:hint="default"/>
                <w:sz w:val="18"/>
                <w:szCs w:val="18"/>
              </w:rPr>
              <w:t> </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sz w:val="18"/>
                <w:szCs w:val="18"/>
              </w:rPr>
              <w:t>英属维尔京</w:t>
            </w:r>
          </w:p>
          <w:p>
            <w:pPr>
              <w:pStyle w:val="TableParagraph"/>
              <w:spacing w:line="234" w:lineRule="exact"/>
              <w:ind w:left="87" w:right="0"/>
              <w:jc w:val="center"/>
              <w:rPr>
                <w:rFonts w:ascii="宋体" w:hAnsi="宋体" w:cs="宋体" w:eastAsia="宋体" w:hint="default"/>
                <w:sz w:val="18"/>
                <w:szCs w:val="18"/>
              </w:rPr>
            </w:pPr>
            <w:r>
              <w:rPr>
                <w:rFonts w:ascii="宋体" w:hAnsi="宋体" w:cs="宋体" w:eastAsia="宋体" w:hint="default"/>
                <w:sz w:val="18"/>
                <w:szCs w:val="18"/>
              </w:rPr>
              <w:t>群岛</w:t>
            </w:r>
            <w:r>
              <w:rPr>
                <w:rFonts w:ascii="宋体" w:hAnsi="宋体" w:cs="宋体" w:eastAsia="宋体" w:hint="default"/>
                <w:sz w:val="18"/>
                <w:szCs w:val="18"/>
              </w:rPr>
              <w:t> </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sz w:val="18"/>
                <w:szCs w:val="18"/>
              </w:rPr>
              <w:t>英属维尔京</w:t>
            </w:r>
          </w:p>
          <w:p>
            <w:pPr>
              <w:pStyle w:val="TableParagraph"/>
              <w:spacing w:line="234" w:lineRule="exact"/>
              <w:ind w:left="87" w:right="0"/>
              <w:jc w:val="center"/>
              <w:rPr>
                <w:rFonts w:ascii="宋体" w:hAnsi="宋体" w:cs="宋体" w:eastAsia="宋体" w:hint="default"/>
                <w:sz w:val="18"/>
                <w:szCs w:val="18"/>
              </w:rPr>
            </w:pPr>
            <w:r>
              <w:rPr>
                <w:rFonts w:ascii="宋体" w:hAnsi="宋体" w:cs="宋体" w:eastAsia="宋体" w:hint="default"/>
                <w:sz w:val="18"/>
                <w:szCs w:val="18"/>
              </w:rPr>
              <w:t>群岛</w:t>
            </w:r>
            <w:r>
              <w:rPr>
                <w:rFonts w:ascii="宋体" w:hAnsi="宋体" w:cs="宋体" w:eastAsia="宋体" w:hint="default"/>
                <w:sz w:val="18"/>
                <w:szCs w:val="18"/>
              </w:rPr>
              <w:t> </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87" w:right="0"/>
              <w:jc w:val="center"/>
              <w:rPr>
                <w:rFonts w:ascii="宋体" w:hAnsi="宋体" w:cs="宋体" w:eastAsia="宋体" w:hint="default"/>
                <w:sz w:val="18"/>
                <w:szCs w:val="18"/>
              </w:rPr>
            </w:pPr>
            <w:r>
              <w:rPr>
                <w:rFonts w:ascii="宋体" w:hAnsi="宋体" w:cs="宋体" w:eastAsia="宋体" w:hint="default"/>
                <w:sz w:val="18"/>
                <w:szCs w:val="18"/>
              </w:rPr>
              <w:t>投资、贸易</w:t>
            </w:r>
            <w:r>
              <w:rPr>
                <w:rFonts w:ascii="宋体" w:hAnsi="宋体" w:cs="宋体" w:eastAsia="宋体" w:hint="default"/>
                <w:sz w:val="18"/>
                <w:szCs w:val="18"/>
              </w:rPr>
              <w:t> </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87" w:right="0"/>
              <w:jc w:val="center"/>
              <w:rPr>
                <w:rFonts w:ascii="宋体" w:hAnsi="宋体" w:cs="宋体" w:eastAsia="宋体" w:hint="default"/>
                <w:sz w:val="18"/>
                <w:szCs w:val="18"/>
              </w:rPr>
            </w:pPr>
            <w:r>
              <w:rPr>
                <w:rFonts w:ascii="宋体"/>
                <w:sz w:val="18"/>
              </w:rPr>
              <w:t> </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204" w:right="0"/>
              <w:jc w:val="left"/>
              <w:rPr>
                <w:rFonts w:ascii="宋体" w:hAnsi="宋体" w:cs="宋体" w:eastAsia="宋体" w:hint="default"/>
                <w:sz w:val="18"/>
                <w:szCs w:val="18"/>
              </w:rPr>
            </w:pPr>
            <w:r>
              <w:rPr>
                <w:rFonts w:ascii="宋体"/>
                <w:sz w:val="18"/>
              </w:rPr>
              <w:t>100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0"/>
              <w:jc w:val="left"/>
              <w:rPr>
                <w:rFonts w:ascii="宋体" w:hAnsi="宋体" w:cs="宋体" w:eastAsia="宋体" w:hint="default"/>
                <w:sz w:val="18"/>
                <w:szCs w:val="18"/>
              </w:rPr>
            </w:pPr>
            <w:r>
              <w:rPr>
                <w:rFonts w:ascii="宋体" w:hAnsi="宋体" w:cs="宋体" w:eastAsia="宋体" w:hint="default"/>
                <w:sz w:val="18"/>
                <w:szCs w:val="18"/>
              </w:rPr>
              <w:t>设立</w:t>
            </w:r>
            <w:r>
              <w:rPr>
                <w:rFonts w:ascii="宋体" w:hAnsi="宋体" w:cs="宋体" w:eastAsia="宋体" w:hint="default"/>
                <w:sz w:val="18"/>
                <w:szCs w:val="18"/>
              </w:rPr>
              <w:t> </w:t>
            </w:r>
          </w:p>
        </w:tc>
      </w:tr>
      <w:tr>
        <w:trPr>
          <w:trHeight w:val="245" w:hRule="exact"/>
        </w:trPr>
        <w:tc>
          <w:tcPr>
            <w:tcW w:w="309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sz w:val="18"/>
              </w:rPr>
              <w:t>LINYANG ENERGY EUROPE </w:t>
            </w:r>
            <w:r>
              <w:rPr>
                <w:rFonts w:ascii="宋体" w:hAnsi="宋体"/>
                <w:sz w:val="18"/>
              </w:rPr>
              <w:t>S.à</w:t>
            </w:r>
            <w:r>
              <w:rPr>
                <w:rFonts w:ascii="宋体" w:hAnsi="宋体"/>
                <w:spacing w:val="-9"/>
                <w:sz w:val="18"/>
              </w:rPr>
              <w:t> </w:t>
            </w:r>
            <w:r>
              <w:rPr>
                <w:rFonts w:ascii="宋体" w:hAnsi="宋体"/>
                <w:spacing w:val="-9"/>
                <w:sz w:val="18"/>
              </w:rPr>
            </w:r>
            <w:r>
              <w:rPr>
                <w:rFonts w:ascii="宋体" w:hAnsi="宋体"/>
                <w:sz w:val="18"/>
              </w:rPr>
              <w:t>r.l. </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90" w:right="0"/>
              <w:jc w:val="center"/>
              <w:rPr>
                <w:rFonts w:ascii="宋体" w:hAnsi="宋体" w:cs="宋体" w:eastAsia="宋体" w:hint="default"/>
                <w:sz w:val="18"/>
                <w:szCs w:val="18"/>
              </w:rPr>
            </w:pPr>
            <w:r>
              <w:rPr>
                <w:rFonts w:ascii="宋体" w:hAnsi="宋体" w:cs="宋体" w:eastAsia="宋体" w:hint="default"/>
                <w:sz w:val="18"/>
                <w:szCs w:val="18"/>
              </w:rPr>
              <w:t>卢森堡</w:t>
            </w:r>
            <w:r>
              <w:rPr>
                <w:rFonts w:ascii="宋体" w:hAnsi="宋体" w:cs="宋体" w:eastAsia="宋体" w:hint="default"/>
                <w:sz w:val="18"/>
                <w:szCs w:val="18"/>
              </w:rPr>
              <w:t> </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9" w:right="0"/>
              <w:jc w:val="center"/>
              <w:rPr>
                <w:rFonts w:ascii="宋体" w:hAnsi="宋体" w:cs="宋体" w:eastAsia="宋体" w:hint="default"/>
                <w:sz w:val="18"/>
                <w:szCs w:val="18"/>
              </w:rPr>
            </w:pPr>
            <w:r>
              <w:rPr>
                <w:rFonts w:ascii="宋体" w:hAnsi="宋体" w:cs="宋体" w:eastAsia="宋体" w:hint="default"/>
                <w:sz w:val="18"/>
                <w:szCs w:val="18"/>
              </w:rPr>
              <w:t>卢森堡</w:t>
            </w:r>
            <w:r>
              <w:rPr>
                <w:rFonts w:ascii="宋体" w:hAnsi="宋体" w:cs="宋体" w:eastAsia="宋体" w:hint="default"/>
                <w:sz w:val="18"/>
                <w:szCs w:val="18"/>
              </w:rPr>
              <w:t> </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7" w:right="0"/>
              <w:jc w:val="center"/>
              <w:rPr>
                <w:rFonts w:ascii="宋体" w:hAnsi="宋体" w:cs="宋体" w:eastAsia="宋体" w:hint="default"/>
                <w:sz w:val="18"/>
                <w:szCs w:val="18"/>
              </w:rPr>
            </w:pPr>
            <w:r>
              <w:rPr>
                <w:rFonts w:ascii="宋体" w:hAnsi="宋体" w:cs="宋体" w:eastAsia="宋体" w:hint="default"/>
                <w:sz w:val="18"/>
                <w:szCs w:val="18"/>
              </w:rPr>
              <w:t>投资、贸易</w:t>
            </w:r>
            <w:r>
              <w:rPr>
                <w:rFonts w:ascii="宋体" w:hAnsi="宋体" w:cs="宋体" w:eastAsia="宋体" w:hint="default"/>
                <w:sz w:val="18"/>
                <w:szCs w:val="18"/>
              </w:rPr>
              <w:t> </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7" w:right="0"/>
              <w:jc w:val="center"/>
              <w:rPr>
                <w:rFonts w:ascii="宋体" w:hAnsi="宋体" w:cs="宋体" w:eastAsia="宋体" w:hint="default"/>
                <w:sz w:val="18"/>
                <w:szCs w:val="18"/>
              </w:rPr>
            </w:pPr>
            <w:r>
              <w:rPr>
                <w:rFonts w:ascii="宋体"/>
                <w:sz w:val="18"/>
              </w:rPr>
              <w:t> </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04" w:right="0"/>
              <w:jc w:val="left"/>
              <w:rPr>
                <w:rFonts w:ascii="宋体" w:hAnsi="宋体" w:cs="宋体" w:eastAsia="宋体" w:hint="default"/>
                <w:sz w:val="18"/>
                <w:szCs w:val="18"/>
              </w:rPr>
            </w:pPr>
            <w:r>
              <w:rPr>
                <w:rFonts w:ascii="宋体"/>
                <w:sz w:val="18"/>
              </w:rPr>
              <w:t>100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设立</w:t>
            </w:r>
            <w:r>
              <w:rPr>
                <w:rFonts w:ascii="宋体" w:hAnsi="宋体" w:cs="宋体" w:eastAsia="宋体" w:hint="default"/>
                <w:sz w:val="18"/>
                <w:szCs w:val="18"/>
              </w:rPr>
              <w:t> </w:t>
            </w:r>
          </w:p>
        </w:tc>
      </w:tr>
      <w:tr>
        <w:trPr>
          <w:trHeight w:val="242" w:hRule="exact"/>
        </w:trPr>
        <w:tc>
          <w:tcPr>
            <w:tcW w:w="309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南京华虹融资租赁有限公司</w:t>
            </w:r>
            <w:r>
              <w:rPr>
                <w:rFonts w:ascii="宋体" w:hAnsi="宋体" w:cs="宋体" w:eastAsia="宋体" w:hint="default"/>
                <w:sz w:val="18"/>
                <w:szCs w:val="18"/>
              </w:rPr>
              <w:t> </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7" w:right="0"/>
              <w:jc w:val="center"/>
              <w:rPr>
                <w:rFonts w:ascii="宋体" w:hAnsi="宋体" w:cs="宋体" w:eastAsia="宋体" w:hint="default"/>
                <w:sz w:val="18"/>
                <w:szCs w:val="18"/>
              </w:rPr>
            </w:pPr>
            <w:r>
              <w:rPr>
                <w:rFonts w:ascii="宋体" w:hAnsi="宋体" w:cs="宋体" w:eastAsia="宋体" w:hint="default"/>
                <w:sz w:val="18"/>
                <w:szCs w:val="18"/>
              </w:rPr>
              <w:t>南京</w:t>
            </w:r>
            <w:r>
              <w:rPr>
                <w:rFonts w:ascii="宋体" w:hAnsi="宋体" w:cs="宋体" w:eastAsia="宋体" w:hint="default"/>
                <w:sz w:val="18"/>
                <w:szCs w:val="18"/>
              </w:rPr>
              <w:t> </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7" w:right="0"/>
              <w:jc w:val="center"/>
              <w:rPr>
                <w:rFonts w:ascii="宋体" w:hAnsi="宋体" w:cs="宋体" w:eastAsia="宋体" w:hint="default"/>
                <w:sz w:val="18"/>
                <w:szCs w:val="18"/>
              </w:rPr>
            </w:pPr>
            <w:r>
              <w:rPr>
                <w:rFonts w:ascii="宋体" w:hAnsi="宋体" w:cs="宋体" w:eastAsia="宋体" w:hint="default"/>
                <w:sz w:val="18"/>
                <w:szCs w:val="18"/>
              </w:rPr>
              <w:t>南京</w:t>
            </w:r>
            <w:r>
              <w:rPr>
                <w:rFonts w:ascii="宋体" w:hAnsi="宋体" w:cs="宋体" w:eastAsia="宋体" w:hint="default"/>
                <w:sz w:val="18"/>
                <w:szCs w:val="18"/>
              </w:rPr>
              <w:t> </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9" w:right="0"/>
              <w:jc w:val="center"/>
              <w:rPr>
                <w:rFonts w:ascii="宋体" w:hAnsi="宋体" w:cs="宋体" w:eastAsia="宋体" w:hint="default"/>
                <w:sz w:val="18"/>
                <w:szCs w:val="18"/>
              </w:rPr>
            </w:pPr>
            <w:r>
              <w:rPr>
                <w:rFonts w:ascii="宋体" w:hAnsi="宋体" w:cs="宋体" w:eastAsia="宋体" w:hint="default"/>
                <w:sz w:val="18"/>
                <w:szCs w:val="18"/>
              </w:rPr>
              <w:t>融资租赁</w:t>
            </w:r>
            <w:r>
              <w:rPr>
                <w:rFonts w:ascii="宋体" w:hAnsi="宋体" w:cs="宋体" w:eastAsia="宋体" w:hint="default"/>
                <w:sz w:val="18"/>
                <w:szCs w:val="18"/>
              </w:rPr>
              <w:t> </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7" w:right="0"/>
              <w:jc w:val="center"/>
              <w:rPr>
                <w:rFonts w:ascii="宋体" w:hAnsi="宋体" w:cs="宋体" w:eastAsia="宋体" w:hint="default"/>
                <w:sz w:val="18"/>
                <w:szCs w:val="18"/>
              </w:rPr>
            </w:pPr>
            <w:r>
              <w:rPr>
                <w:rFonts w:ascii="宋体"/>
                <w:sz w:val="18"/>
              </w:rPr>
              <w:t> </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04" w:right="0"/>
              <w:jc w:val="left"/>
              <w:rPr>
                <w:rFonts w:ascii="宋体" w:hAnsi="宋体" w:cs="宋体" w:eastAsia="宋体" w:hint="default"/>
                <w:sz w:val="18"/>
                <w:szCs w:val="18"/>
              </w:rPr>
            </w:pPr>
            <w:r>
              <w:rPr>
                <w:rFonts w:ascii="宋体"/>
                <w:sz w:val="18"/>
              </w:rPr>
              <w:t>100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同一控制下企业合并</w:t>
            </w:r>
            <w:r>
              <w:rPr>
                <w:rFonts w:ascii="宋体" w:hAnsi="宋体" w:cs="宋体" w:eastAsia="宋体" w:hint="default"/>
                <w:sz w:val="18"/>
                <w:szCs w:val="18"/>
              </w:rPr>
              <w:t> </w:t>
            </w:r>
          </w:p>
        </w:tc>
      </w:tr>
      <w:tr>
        <w:trPr>
          <w:trHeight w:val="245" w:hRule="exact"/>
        </w:trPr>
        <w:tc>
          <w:tcPr>
            <w:tcW w:w="309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江苏林洋光伏科技有限公司</w:t>
            </w:r>
            <w:r>
              <w:rPr>
                <w:rFonts w:ascii="宋体" w:hAnsi="宋体" w:cs="宋体" w:eastAsia="宋体" w:hint="default"/>
                <w:sz w:val="18"/>
                <w:szCs w:val="18"/>
              </w:rPr>
              <w:t> </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7" w:right="0"/>
              <w:jc w:val="center"/>
              <w:rPr>
                <w:rFonts w:ascii="宋体" w:hAnsi="宋体" w:cs="宋体" w:eastAsia="宋体" w:hint="default"/>
                <w:sz w:val="18"/>
                <w:szCs w:val="18"/>
              </w:rPr>
            </w:pPr>
            <w:r>
              <w:rPr>
                <w:rFonts w:ascii="宋体" w:hAnsi="宋体" w:cs="宋体" w:eastAsia="宋体" w:hint="default"/>
                <w:sz w:val="18"/>
                <w:szCs w:val="18"/>
              </w:rPr>
              <w:t>启东</w:t>
            </w:r>
            <w:r>
              <w:rPr>
                <w:rFonts w:ascii="宋体" w:hAnsi="宋体" w:cs="宋体" w:eastAsia="宋体" w:hint="default"/>
                <w:sz w:val="18"/>
                <w:szCs w:val="18"/>
              </w:rPr>
              <w:t> </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7" w:right="0"/>
              <w:jc w:val="center"/>
              <w:rPr>
                <w:rFonts w:ascii="宋体" w:hAnsi="宋体" w:cs="宋体" w:eastAsia="宋体" w:hint="default"/>
                <w:sz w:val="18"/>
                <w:szCs w:val="18"/>
              </w:rPr>
            </w:pPr>
            <w:r>
              <w:rPr>
                <w:rFonts w:ascii="宋体" w:hAnsi="宋体" w:cs="宋体" w:eastAsia="宋体" w:hint="default"/>
                <w:sz w:val="18"/>
                <w:szCs w:val="18"/>
              </w:rPr>
              <w:t>启东</w:t>
            </w:r>
            <w:r>
              <w:rPr>
                <w:rFonts w:ascii="宋体" w:hAnsi="宋体" w:cs="宋体" w:eastAsia="宋体" w:hint="default"/>
                <w:sz w:val="18"/>
                <w:szCs w:val="18"/>
              </w:rPr>
              <w:t> </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7" w:right="0"/>
              <w:jc w:val="center"/>
              <w:rPr>
                <w:rFonts w:ascii="宋体" w:hAnsi="宋体" w:cs="宋体" w:eastAsia="宋体" w:hint="default"/>
                <w:sz w:val="18"/>
                <w:szCs w:val="18"/>
              </w:rPr>
            </w:pPr>
            <w:r>
              <w:rPr>
                <w:rFonts w:ascii="宋体" w:hAnsi="宋体" w:cs="宋体" w:eastAsia="宋体" w:hint="default"/>
                <w:sz w:val="18"/>
                <w:szCs w:val="18"/>
              </w:rPr>
              <w:t>制造业</w:t>
            </w:r>
            <w:r>
              <w:rPr>
                <w:rFonts w:ascii="宋体" w:hAnsi="宋体" w:cs="宋体" w:eastAsia="宋体" w:hint="default"/>
                <w:sz w:val="18"/>
                <w:szCs w:val="18"/>
              </w:rPr>
              <w:t> </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7" w:right="0"/>
              <w:jc w:val="center"/>
              <w:rPr>
                <w:rFonts w:ascii="宋体" w:hAnsi="宋体" w:cs="宋体" w:eastAsia="宋体" w:hint="default"/>
                <w:sz w:val="18"/>
                <w:szCs w:val="18"/>
              </w:rPr>
            </w:pPr>
            <w:r>
              <w:rPr>
                <w:rFonts w:ascii="宋体"/>
                <w:sz w:val="18"/>
              </w:rPr>
              <w:t> </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04" w:right="0"/>
              <w:jc w:val="left"/>
              <w:rPr>
                <w:rFonts w:ascii="宋体" w:hAnsi="宋体" w:cs="宋体" w:eastAsia="宋体" w:hint="default"/>
                <w:sz w:val="18"/>
                <w:szCs w:val="18"/>
              </w:rPr>
            </w:pPr>
            <w:r>
              <w:rPr>
                <w:rFonts w:ascii="宋体"/>
                <w:sz w:val="18"/>
              </w:rPr>
              <w:t>100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设立</w:t>
            </w:r>
            <w:r>
              <w:rPr>
                <w:rFonts w:ascii="宋体" w:hAnsi="宋体" w:cs="宋体" w:eastAsia="宋体" w:hint="default"/>
                <w:sz w:val="18"/>
                <w:szCs w:val="18"/>
              </w:rPr>
              <w:t> </w:t>
            </w:r>
          </w:p>
        </w:tc>
      </w:tr>
      <w:tr>
        <w:trPr>
          <w:trHeight w:val="242" w:hRule="exact"/>
        </w:trPr>
        <w:tc>
          <w:tcPr>
            <w:tcW w:w="309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江苏华乐光电有限公司</w:t>
            </w:r>
            <w:r>
              <w:rPr>
                <w:rFonts w:ascii="宋体" w:hAnsi="宋体" w:cs="宋体" w:eastAsia="宋体" w:hint="default"/>
                <w:sz w:val="18"/>
                <w:szCs w:val="18"/>
              </w:rPr>
              <w:t> </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7" w:right="0"/>
              <w:jc w:val="center"/>
              <w:rPr>
                <w:rFonts w:ascii="宋体" w:hAnsi="宋体" w:cs="宋体" w:eastAsia="宋体" w:hint="default"/>
                <w:sz w:val="18"/>
                <w:szCs w:val="18"/>
              </w:rPr>
            </w:pPr>
            <w:r>
              <w:rPr>
                <w:rFonts w:ascii="宋体" w:hAnsi="宋体" w:cs="宋体" w:eastAsia="宋体" w:hint="default"/>
                <w:sz w:val="18"/>
                <w:szCs w:val="18"/>
              </w:rPr>
              <w:t>启东</w:t>
            </w:r>
            <w:r>
              <w:rPr>
                <w:rFonts w:ascii="宋体" w:hAnsi="宋体" w:cs="宋体" w:eastAsia="宋体" w:hint="default"/>
                <w:sz w:val="18"/>
                <w:szCs w:val="18"/>
              </w:rPr>
              <w:t> </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7" w:right="0"/>
              <w:jc w:val="center"/>
              <w:rPr>
                <w:rFonts w:ascii="宋体" w:hAnsi="宋体" w:cs="宋体" w:eastAsia="宋体" w:hint="default"/>
                <w:sz w:val="18"/>
                <w:szCs w:val="18"/>
              </w:rPr>
            </w:pPr>
            <w:r>
              <w:rPr>
                <w:rFonts w:ascii="宋体" w:hAnsi="宋体" w:cs="宋体" w:eastAsia="宋体" w:hint="default"/>
                <w:sz w:val="18"/>
                <w:szCs w:val="18"/>
              </w:rPr>
              <w:t>启东</w:t>
            </w:r>
            <w:r>
              <w:rPr>
                <w:rFonts w:ascii="宋体" w:hAnsi="宋体" w:cs="宋体" w:eastAsia="宋体" w:hint="default"/>
                <w:sz w:val="18"/>
                <w:szCs w:val="18"/>
              </w:rPr>
              <w:t> </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9" w:right="0"/>
              <w:jc w:val="center"/>
              <w:rPr>
                <w:rFonts w:ascii="宋体" w:hAnsi="宋体" w:cs="宋体" w:eastAsia="宋体" w:hint="default"/>
                <w:sz w:val="18"/>
                <w:szCs w:val="18"/>
              </w:rPr>
            </w:pPr>
            <w:r>
              <w:rPr>
                <w:rFonts w:ascii="宋体" w:hAnsi="宋体" w:cs="宋体" w:eastAsia="宋体" w:hint="default"/>
                <w:sz w:val="18"/>
                <w:szCs w:val="18"/>
              </w:rPr>
              <w:t>贸易</w:t>
            </w:r>
            <w:r>
              <w:rPr>
                <w:rFonts w:ascii="宋体" w:hAnsi="宋体" w:cs="宋体" w:eastAsia="宋体" w:hint="default"/>
                <w:sz w:val="18"/>
                <w:szCs w:val="18"/>
              </w:rPr>
              <w:t> </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7" w:right="0"/>
              <w:jc w:val="center"/>
              <w:rPr>
                <w:rFonts w:ascii="宋体" w:hAnsi="宋体" w:cs="宋体" w:eastAsia="宋体" w:hint="default"/>
                <w:sz w:val="18"/>
                <w:szCs w:val="18"/>
              </w:rPr>
            </w:pPr>
            <w:r>
              <w:rPr>
                <w:rFonts w:ascii="宋体"/>
                <w:sz w:val="18"/>
              </w:rPr>
              <w:t> </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04" w:right="0"/>
              <w:jc w:val="left"/>
              <w:rPr>
                <w:rFonts w:ascii="宋体" w:hAnsi="宋体" w:cs="宋体" w:eastAsia="宋体" w:hint="default"/>
                <w:sz w:val="18"/>
                <w:szCs w:val="18"/>
              </w:rPr>
            </w:pPr>
            <w:r>
              <w:rPr>
                <w:rFonts w:ascii="宋体"/>
                <w:sz w:val="18"/>
              </w:rPr>
              <w:t>100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同一控制下企业合并</w:t>
            </w:r>
            <w:r>
              <w:rPr>
                <w:rFonts w:ascii="宋体" w:hAnsi="宋体" w:cs="宋体" w:eastAsia="宋体" w:hint="default"/>
                <w:sz w:val="18"/>
                <w:szCs w:val="18"/>
              </w:rPr>
              <w:t> </w:t>
            </w:r>
          </w:p>
        </w:tc>
      </w:tr>
      <w:tr>
        <w:trPr>
          <w:trHeight w:val="243" w:hRule="exact"/>
        </w:trPr>
        <w:tc>
          <w:tcPr>
            <w:tcW w:w="309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泗洪林洋光伏科技有限公司</w:t>
            </w:r>
            <w:r>
              <w:rPr>
                <w:rFonts w:ascii="宋体" w:hAnsi="宋体" w:cs="宋体" w:eastAsia="宋体" w:hint="default"/>
                <w:sz w:val="18"/>
                <w:szCs w:val="18"/>
              </w:rPr>
              <w:t> </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7" w:right="0"/>
              <w:jc w:val="center"/>
              <w:rPr>
                <w:rFonts w:ascii="宋体" w:hAnsi="宋体" w:cs="宋体" w:eastAsia="宋体" w:hint="default"/>
                <w:sz w:val="18"/>
                <w:szCs w:val="18"/>
              </w:rPr>
            </w:pPr>
            <w:r>
              <w:rPr>
                <w:rFonts w:ascii="宋体" w:hAnsi="宋体" w:cs="宋体" w:eastAsia="宋体" w:hint="default"/>
                <w:sz w:val="18"/>
                <w:szCs w:val="18"/>
              </w:rPr>
              <w:t>泗洪</w:t>
            </w:r>
            <w:r>
              <w:rPr>
                <w:rFonts w:ascii="宋体" w:hAnsi="宋体" w:cs="宋体" w:eastAsia="宋体" w:hint="default"/>
                <w:sz w:val="18"/>
                <w:szCs w:val="18"/>
              </w:rPr>
              <w:t> </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7" w:right="0"/>
              <w:jc w:val="center"/>
              <w:rPr>
                <w:rFonts w:ascii="宋体" w:hAnsi="宋体" w:cs="宋体" w:eastAsia="宋体" w:hint="default"/>
                <w:sz w:val="18"/>
                <w:szCs w:val="18"/>
              </w:rPr>
            </w:pPr>
            <w:r>
              <w:rPr>
                <w:rFonts w:ascii="宋体" w:hAnsi="宋体" w:cs="宋体" w:eastAsia="宋体" w:hint="default"/>
                <w:sz w:val="18"/>
                <w:szCs w:val="18"/>
              </w:rPr>
              <w:t>泗洪</w:t>
            </w:r>
            <w:r>
              <w:rPr>
                <w:rFonts w:ascii="宋体" w:hAnsi="宋体" w:cs="宋体" w:eastAsia="宋体" w:hint="default"/>
                <w:sz w:val="18"/>
                <w:szCs w:val="18"/>
              </w:rPr>
              <w:t> </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7" w:right="0"/>
              <w:jc w:val="center"/>
              <w:rPr>
                <w:rFonts w:ascii="宋体" w:hAnsi="宋体" w:cs="宋体" w:eastAsia="宋体" w:hint="default"/>
                <w:sz w:val="18"/>
                <w:szCs w:val="18"/>
              </w:rPr>
            </w:pPr>
            <w:r>
              <w:rPr>
                <w:rFonts w:ascii="宋体" w:hAnsi="宋体" w:cs="宋体" w:eastAsia="宋体" w:hint="default"/>
                <w:sz w:val="18"/>
                <w:szCs w:val="18"/>
              </w:rPr>
              <w:t>制造业</w:t>
            </w:r>
            <w:r>
              <w:rPr>
                <w:rFonts w:ascii="宋体" w:hAnsi="宋体" w:cs="宋体" w:eastAsia="宋体" w:hint="default"/>
                <w:sz w:val="18"/>
                <w:szCs w:val="18"/>
              </w:rPr>
              <w:t> </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7" w:right="0"/>
              <w:jc w:val="center"/>
              <w:rPr>
                <w:rFonts w:ascii="宋体" w:hAnsi="宋体" w:cs="宋体" w:eastAsia="宋体" w:hint="default"/>
                <w:sz w:val="18"/>
                <w:szCs w:val="18"/>
              </w:rPr>
            </w:pPr>
            <w:r>
              <w:rPr>
                <w:rFonts w:ascii="宋体"/>
                <w:sz w:val="18"/>
              </w:rPr>
              <w:t> </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04" w:right="0"/>
              <w:jc w:val="left"/>
              <w:rPr>
                <w:rFonts w:ascii="宋体" w:hAnsi="宋体" w:cs="宋体" w:eastAsia="宋体" w:hint="default"/>
                <w:sz w:val="18"/>
                <w:szCs w:val="18"/>
              </w:rPr>
            </w:pPr>
            <w:r>
              <w:rPr>
                <w:rFonts w:ascii="宋体"/>
                <w:sz w:val="18"/>
              </w:rPr>
              <w:t>100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设立</w:t>
            </w:r>
            <w:r>
              <w:rPr>
                <w:rFonts w:ascii="宋体" w:hAnsi="宋体" w:cs="宋体" w:eastAsia="宋体" w:hint="default"/>
                <w:sz w:val="18"/>
                <w:szCs w:val="18"/>
              </w:rPr>
              <w:t> </w:t>
            </w:r>
          </w:p>
        </w:tc>
      </w:tr>
      <w:tr>
        <w:trPr>
          <w:trHeight w:val="245" w:hRule="exact"/>
        </w:trPr>
        <w:tc>
          <w:tcPr>
            <w:tcW w:w="309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江苏林洋光伏运维有限公司</w:t>
            </w:r>
            <w:r>
              <w:rPr>
                <w:rFonts w:ascii="宋体" w:hAnsi="宋体" w:cs="宋体" w:eastAsia="宋体" w:hint="default"/>
                <w:sz w:val="18"/>
                <w:szCs w:val="18"/>
              </w:rPr>
              <w:t> </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87" w:right="0"/>
              <w:jc w:val="center"/>
              <w:rPr>
                <w:rFonts w:ascii="宋体" w:hAnsi="宋体" w:cs="宋体" w:eastAsia="宋体" w:hint="default"/>
                <w:sz w:val="18"/>
                <w:szCs w:val="18"/>
              </w:rPr>
            </w:pPr>
            <w:r>
              <w:rPr>
                <w:rFonts w:ascii="宋体" w:hAnsi="宋体" w:cs="宋体" w:eastAsia="宋体" w:hint="default"/>
                <w:sz w:val="18"/>
                <w:szCs w:val="18"/>
              </w:rPr>
              <w:t>启东</w:t>
            </w:r>
            <w:r>
              <w:rPr>
                <w:rFonts w:ascii="宋体" w:hAnsi="宋体" w:cs="宋体" w:eastAsia="宋体" w:hint="default"/>
                <w:sz w:val="18"/>
                <w:szCs w:val="18"/>
              </w:rPr>
              <w:t> </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87" w:right="0"/>
              <w:jc w:val="center"/>
              <w:rPr>
                <w:rFonts w:ascii="宋体" w:hAnsi="宋体" w:cs="宋体" w:eastAsia="宋体" w:hint="default"/>
                <w:sz w:val="18"/>
                <w:szCs w:val="18"/>
              </w:rPr>
            </w:pPr>
            <w:r>
              <w:rPr>
                <w:rFonts w:ascii="宋体" w:hAnsi="宋体" w:cs="宋体" w:eastAsia="宋体" w:hint="default"/>
                <w:sz w:val="18"/>
                <w:szCs w:val="18"/>
              </w:rPr>
              <w:t>启东</w:t>
            </w:r>
            <w:r>
              <w:rPr>
                <w:rFonts w:ascii="宋体" w:hAnsi="宋体" w:cs="宋体" w:eastAsia="宋体" w:hint="default"/>
                <w:sz w:val="18"/>
                <w:szCs w:val="18"/>
              </w:rPr>
              <w:t> </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87" w:right="0"/>
              <w:jc w:val="center"/>
              <w:rPr>
                <w:rFonts w:ascii="宋体" w:hAnsi="宋体" w:cs="宋体" w:eastAsia="宋体" w:hint="default"/>
                <w:sz w:val="18"/>
                <w:szCs w:val="18"/>
              </w:rPr>
            </w:pPr>
            <w:r>
              <w:rPr>
                <w:rFonts w:ascii="宋体" w:hAnsi="宋体" w:cs="宋体" w:eastAsia="宋体" w:hint="default"/>
                <w:sz w:val="18"/>
                <w:szCs w:val="18"/>
              </w:rPr>
              <w:t>服务业</w:t>
            </w:r>
            <w:r>
              <w:rPr>
                <w:rFonts w:ascii="宋体" w:hAnsi="宋体" w:cs="宋体" w:eastAsia="宋体" w:hint="default"/>
                <w:sz w:val="18"/>
                <w:szCs w:val="18"/>
              </w:rPr>
              <w:t> </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01" w:right="0"/>
              <w:jc w:val="left"/>
              <w:rPr>
                <w:rFonts w:ascii="宋体" w:hAnsi="宋体" w:cs="宋体" w:eastAsia="宋体" w:hint="default"/>
                <w:sz w:val="18"/>
                <w:szCs w:val="18"/>
              </w:rPr>
            </w:pPr>
            <w:r>
              <w:rPr>
                <w:rFonts w:ascii="宋体"/>
                <w:sz w:val="18"/>
              </w:rPr>
              <w:t>100 </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83" w:right="0"/>
              <w:jc w:val="center"/>
              <w:rPr>
                <w:rFonts w:ascii="宋体" w:hAnsi="宋体" w:cs="宋体" w:eastAsia="宋体" w:hint="default"/>
                <w:sz w:val="18"/>
                <w:szCs w:val="18"/>
              </w:rPr>
            </w:pPr>
            <w:r>
              <w:rPr>
                <w:rFonts w:ascii="宋体"/>
                <w:sz w:val="18"/>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设立</w:t>
            </w:r>
            <w:r>
              <w:rPr>
                <w:rFonts w:ascii="宋体" w:hAnsi="宋体" w:cs="宋体" w:eastAsia="宋体" w:hint="default"/>
                <w:sz w:val="18"/>
                <w:szCs w:val="18"/>
              </w:rPr>
              <w:t> </w:t>
            </w:r>
          </w:p>
        </w:tc>
      </w:tr>
      <w:tr>
        <w:trPr>
          <w:trHeight w:val="478" w:hRule="exact"/>
        </w:trPr>
        <w:tc>
          <w:tcPr>
            <w:tcW w:w="3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内蒙古乾华农业发展有限公司</w:t>
            </w:r>
            <w:r>
              <w:rPr>
                <w:rFonts w:ascii="宋体" w:hAnsi="宋体" w:cs="宋体" w:eastAsia="宋体" w:hint="default"/>
                <w:sz w:val="18"/>
                <w:szCs w:val="18"/>
              </w:rPr>
              <w:t> </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87" w:right="0"/>
              <w:jc w:val="center"/>
              <w:rPr>
                <w:rFonts w:ascii="宋体" w:hAnsi="宋体" w:cs="宋体" w:eastAsia="宋体" w:hint="default"/>
                <w:sz w:val="18"/>
                <w:szCs w:val="18"/>
              </w:rPr>
            </w:pPr>
            <w:r>
              <w:rPr>
                <w:rFonts w:ascii="宋体" w:hAnsi="宋体" w:cs="宋体" w:eastAsia="宋体" w:hint="default"/>
                <w:sz w:val="18"/>
                <w:szCs w:val="18"/>
              </w:rPr>
              <w:t>呼和浩特</w:t>
            </w:r>
            <w:r>
              <w:rPr>
                <w:rFonts w:ascii="宋体" w:hAnsi="宋体" w:cs="宋体" w:eastAsia="宋体" w:hint="default"/>
                <w:sz w:val="18"/>
                <w:szCs w:val="18"/>
              </w:rPr>
              <w:t> </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87" w:right="0"/>
              <w:jc w:val="center"/>
              <w:rPr>
                <w:rFonts w:ascii="宋体" w:hAnsi="宋体" w:cs="宋体" w:eastAsia="宋体" w:hint="default"/>
                <w:sz w:val="18"/>
                <w:szCs w:val="18"/>
              </w:rPr>
            </w:pPr>
            <w:r>
              <w:rPr>
                <w:rFonts w:ascii="宋体" w:hAnsi="宋体" w:cs="宋体" w:eastAsia="宋体" w:hint="default"/>
                <w:sz w:val="18"/>
                <w:szCs w:val="18"/>
              </w:rPr>
              <w:t>呼和浩特</w:t>
            </w:r>
            <w:r>
              <w:rPr>
                <w:rFonts w:ascii="宋体" w:hAnsi="宋体" w:cs="宋体" w:eastAsia="宋体" w:hint="default"/>
                <w:sz w:val="18"/>
                <w:szCs w:val="18"/>
              </w:rPr>
              <w:t> </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89" w:right="0"/>
              <w:jc w:val="center"/>
              <w:rPr>
                <w:rFonts w:ascii="宋体" w:hAnsi="宋体" w:cs="宋体" w:eastAsia="宋体" w:hint="default"/>
                <w:sz w:val="18"/>
                <w:szCs w:val="18"/>
              </w:rPr>
            </w:pPr>
            <w:r>
              <w:rPr>
                <w:rFonts w:ascii="宋体" w:hAnsi="宋体" w:cs="宋体" w:eastAsia="宋体" w:hint="default"/>
                <w:sz w:val="18"/>
                <w:szCs w:val="18"/>
              </w:rPr>
              <w:t>光伏电站</w:t>
            </w:r>
            <w:r>
              <w:rPr>
                <w:rFonts w:ascii="宋体" w:hAnsi="宋体" w:cs="宋体" w:eastAsia="宋体" w:hint="default"/>
                <w:sz w:val="18"/>
                <w:szCs w:val="18"/>
              </w:rPr>
              <w:t> </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01" w:right="0"/>
              <w:jc w:val="left"/>
              <w:rPr>
                <w:rFonts w:ascii="宋体" w:hAnsi="宋体" w:cs="宋体" w:eastAsia="宋体" w:hint="default"/>
                <w:sz w:val="18"/>
                <w:szCs w:val="18"/>
              </w:rPr>
            </w:pPr>
            <w:r>
              <w:rPr>
                <w:rFonts w:ascii="宋体"/>
                <w:sz w:val="18"/>
              </w:rPr>
              <w:t>100 </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83" w:right="0"/>
              <w:jc w:val="center"/>
              <w:rPr>
                <w:rFonts w:ascii="宋体" w:hAnsi="宋体" w:cs="宋体" w:eastAsia="宋体" w:hint="default"/>
                <w:sz w:val="18"/>
                <w:szCs w:val="18"/>
              </w:rPr>
            </w:pPr>
            <w:r>
              <w:rPr>
                <w:rFonts w:ascii="宋体"/>
                <w:sz w:val="18"/>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非同一控制下企业合</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并</w:t>
            </w:r>
            <w:r>
              <w:rPr>
                <w:rFonts w:ascii="宋体" w:hAnsi="宋体" w:cs="宋体" w:eastAsia="宋体" w:hint="default"/>
                <w:sz w:val="18"/>
                <w:szCs w:val="18"/>
              </w:rPr>
              <w:t> </w:t>
            </w:r>
          </w:p>
        </w:tc>
      </w:tr>
      <w:tr>
        <w:trPr>
          <w:trHeight w:val="475" w:hRule="exact"/>
        </w:trPr>
        <w:tc>
          <w:tcPr>
            <w:tcW w:w="3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0"/>
              <w:jc w:val="left"/>
              <w:rPr>
                <w:rFonts w:ascii="宋体" w:hAnsi="宋体" w:cs="宋体" w:eastAsia="宋体" w:hint="default"/>
                <w:sz w:val="18"/>
                <w:szCs w:val="18"/>
              </w:rPr>
            </w:pPr>
            <w:r>
              <w:rPr>
                <w:rFonts w:ascii="宋体" w:hAnsi="宋体" w:cs="宋体" w:eastAsia="宋体" w:hint="default"/>
                <w:sz w:val="18"/>
                <w:szCs w:val="18"/>
              </w:rPr>
              <w:t>江苏林洋新能源科技有限公司</w:t>
            </w:r>
            <w:r>
              <w:rPr>
                <w:rFonts w:ascii="宋体" w:hAnsi="宋体" w:cs="宋体" w:eastAsia="宋体" w:hint="default"/>
                <w:sz w:val="18"/>
                <w:szCs w:val="18"/>
              </w:rPr>
              <w:t> </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87" w:right="0"/>
              <w:jc w:val="center"/>
              <w:rPr>
                <w:rFonts w:ascii="宋体" w:hAnsi="宋体" w:cs="宋体" w:eastAsia="宋体" w:hint="default"/>
                <w:sz w:val="18"/>
                <w:szCs w:val="18"/>
              </w:rPr>
            </w:pPr>
            <w:r>
              <w:rPr>
                <w:rFonts w:ascii="宋体" w:hAnsi="宋体" w:cs="宋体" w:eastAsia="宋体" w:hint="default"/>
                <w:sz w:val="18"/>
                <w:szCs w:val="18"/>
              </w:rPr>
              <w:t>南京</w:t>
            </w:r>
            <w:r>
              <w:rPr>
                <w:rFonts w:ascii="宋体" w:hAnsi="宋体" w:cs="宋体" w:eastAsia="宋体" w:hint="default"/>
                <w:sz w:val="18"/>
                <w:szCs w:val="18"/>
              </w:rPr>
              <w:t> </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87" w:right="0"/>
              <w:jc w:val="center"/>
              <w:rPr>
                <w:rFonts w:ascii="宋体" w:hAnsi="宋体" w:cs="宋体" w:eastAsia="宋体" w:hint="default"/>
                <w:sz w:val="18"/>
                <w:szCs w:val="18"/>
              </w:rPr>
            </w:pPr>
            <w:r>
              <w:rPr>
                <w:rFonts w:ascii="宋体" w:hAnsi="宋体" w:cs="宋体" w:eastAsia="宋体" w:hint="default"/>
                <w:sz w:val="18"/>
                <w:szCs w:val="18"/>
              </w:rPr>
              <w:t>南京</w:t>
            </w:r>
            <w:r>
              <w:rPr>
                <w:rFonts w:ascii="宋体" w:hAnsi="宋体" w:cs="宋体" w:eastAsia="宋体" w:hint="default"/>
                <w:sz w:val="18"/>
                <w:szCs w:val="18"/>
              </w:rPr>
              <w:t> </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sz w:val="18"/>
                <w:szCs w:val="18"/>
              </w:rPr>
              <w:t>光伏应用系统及</w:t>
            </w:r>
          </w:p>
          <w:p>
            <w:pPr>
              <w:pStyle w:val="TableParagraph"/>
              <w:spacing w:line="234" w:lineRule="exact"/>
              <w:ind w:left="89" w:right="0"/>
              <w:jc w:val="center"/>
              <w:rPr>
                <w:rFonts w:ascii="宋体" w:hAnsi="宋体" w:cs="宋体" w:eastAsia="宋体" w:hint="default"/>
                <w:sz w:val="18"/>
                <w:szCs w:val="18"/>
              </w:rPr>
            </w:pPr>
            <w:r>
              <w:rPr>
                <w:rFonts w:ascii="宋体" w:hAnsi="宋体" w:cs="宋体" w:eastAsia="宋体" w:hint="default"/>
                <w:sz w:val="18"/>
                <w:szCs w:val="18"/>
              </w:rPr>
              <w:t>产品</w:t>
            </w:r>
            <w:r>
              <w:rPr>
                <w:rFonts w:ascii="宋体" w:hAnsi="宋体" w:cs="宋体" w:eastAsia="宋体" w:hint="default"/>
                <w:sz w:val="18"/>
                <w:szCs w:val="18"/>
              </w:rPr>
              <w:t> </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201" w:right="0"/>
              <w:jc w:val="left"/>
              <w:rPr>
                <w:rFonts w:ascii="宋体" w:hAnsi="宋体" w:cs="宋体" w:eastAsia="宋体" w:hint="default"/>
                <w:sz w:val="18"/>
                <w:szCs w:val="18"/>
              </w:rPr>
            </w:pPr>
            <w:r>
              <w:rPr>
                <w:rFonts w:ascii="宋体"/>
                <w:sz w:val="18"/>
              </w:rPr>
              <w:t>100 </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83" w:right="0"/>
              <w:jc w:val="center"/>
              <w:rPr>
                <w:rFonts w:ascii="宋体" w:hAnsi="宋体" w:cs="宋体" w:eastAsia="宋体" w:hint="default"/>
                <w:sz w:val="18"/>
                <w:szCs w:val="18"/>
              </w:rPr>
            </w:pPr>
            <w:r>
              <w:rPr>
                <w:rFonts w:ascii="宋体"/>
                <w:sz w:val="18"/>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0"/>
              <w:jc w:val="left"/>
              <w:rPr>
                <w:rFonts w:ascii="宋体" w:hAnsi="宋体" w:cs="宋体" w:eastAsia="宋体" w:hint="default"/>
                <w:sz w:val="18"/>
                <w:szCs w:val="18"/>
              </w:rPr>
            </w:pPr>
            <w:r>
              <w:rPr>
                <w:rFonts w:ascii="宋体" w:hAnsi="宋体" w:cs="宋体" w:eastAsia="宋体" w:hint="default"/>
                <w:sz w:val="18"/>
                <w:szCs w:val="18"/>
              </w:rPr>
              <w:t>设立</w:t>
            </w:r>
            <w:r>
              <w:rPr>
                <w:rFonts w:ascii="宋体" w:hAnsi="宋体" w:cs="宋体" w:eastAsia="宋体" w:hint="default"/>
                <w:sz w:val="18"/>
                <w:szCs w:val="18"/>
              </w:rPr>
              <w:t> </w:t>
            </w:r>
          </w:p>
        </w:tc>
      </w:tr>
      <w:tr>
        <w:trPr>
          <w:trHeight w:val="478" w:hRule="exact"/>
        </w:trPr>
        <w:tc>
          <w:tcPr>
            <w:tcW w:w="3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江苏昆瑞新能源有限公司</w:t>
            </w:r>
            <w:r>
              <w:rPr>
                <w:rFonts w:ascii="宋体" w:hAnsi="宋体" w:cs="宋体" w:eastAsia="宋体" w:hint="default"/>
                <w:sz w:val="18"/>
                <w:szCs w:val="18"/>
              </w:rPr>
              <w:t> </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87" w:right="0"/>
              <w:jc w:val="center"/>
              <w:rPr>
                <w:rFonts w:ascii="宋体" w:hAnsi="宋体" w:cs="宋体" w:eastAsia="宋体" w:hint="default"/>
                <w:sz w:val="18"/>
                <w:szCs w:val="18"/>
              </w:rPr>
            </w:pPr>
            <w:r>
              <w:rPr>
                <w:rFonts w:ascii="宋体" w:hAnsi="宋体" w:cs="宋体" w:eastAsia="宋体" w:hint="default"/>
                <w:sz w:val="18"/>
                <w:szCs w:val="18"/>
              </w:rPr>
              <w:t>镇江</w:t>
            </w:r>
            <w:r>
              <w:rPr>
                <w:rFonts w:ascii="宋体" w:hAnsi="宋体" w:cs="宋体" w:eastAsia="宋体" w:hint="default"/>
                <w:sz w:val="18"/>
                <w:szCs w:val="18"/>
              </w:rPr>
              <w:t> </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87" w:right="0"/>
              <w:jc w:val="center"/>
              <w:rPr>
                <w:rFonts w:ascii="宋体" w:hAnsi="宋体" w:cs="宋体" w:eastAsia="宋体" w:hint="default"/>
                <w:sz w:val="18"/>
                <w:szCs w:val="18"/>
              </w:rPr>
            </w:pPr>
            <w:r>
              <w:rPr>
                <w:rFonts w:ascii="宋体" w:hAnsi="宋体" w:cs="宋体" w:eastAsia="宋体" w:hint="default"/>
                <w:sz w:val="18"/>
                <w:szCs w:val="18"/>
              </w:rPr>
              <w:t>镇江</w:t>
            </w:r>
            <w:r>
              <w:rPr>
                <w:rFonts w:ascii="宋体" w:hAnsi="宋体" w:cs="宋体" w:eastAsia="宋体" w:hint="default"/>
                <w:sz w:val="18"/>
                <w:szCs w:val="18"/>
              </w:rPr>
              <w:t> </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89" w:right="0"/>
              <w:jc w:val="center"/>
              <w:rPr>
                <w:rFonts w:ascii="宋体" w:hAnsi="宋体" w:cs="宋体" w:eastAsia="宋体" w:hint="default"/>
                <w:sz w:val="18"/>
                <w:szCs w:val="18"/>
              </w:rPr>
            </w:pPr>
            <w:r>
              <w:rPr>
                <w:rFonts w:ascii="宋体" w:hAnsi="宋体" w:cs="宋体" w:eastAsia="宋体" w:hint="default"/>
                <w:sz w:val="18"/>
                <w:szCs w:val="18"/>
              </w:rPr>
              <w:t>光伏电站</w:t>
            </w:r>
            <w:r>
              <w:rPr>
                <w:rFonts w:ascii="宋体" w:hAnsi="宋体" w:cs="宋体" w:eastAsia="宋体" w:hint="default"/>
                <w:sz w:val="18"/>
                <w:szCs w:val="18"/>
              </w:rPr>
              <w:t> </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87" w:right="0"/>
              <w:jc w:val="center"/>
              <w:rPr>
                <w:rFonts w:ascii="宋体" w:hAnsi="宋体" w:cs="宋体" w:eastAsia="宋体" w:hint="default"/>
                <w:sz w:val="18"/>
                <w:szCs w:val="18"/>
              </w:rPr>
            </w:pPr>
            <w:r>
              <w:rPr>
                <w:rFonts w:ascii="宋体"/>
                <w:sz w:val="18"/>
              </w:rPr>
              <w:t> </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04" w:right="0"/>
              <w:jc w:val="left"/>
              <w:rPr>
                <w:rFonts w:ascii="宋体" w:hAnsi="宋体" w:cs="宋体" w:eastAsia="宋体" w:hint="default"/>
                <w:sz w:val="18"/>
                <w:szCs w:val="18"/>
              </w:rPr>
            </w:pPr>
            <w:r>
              <w:rPr>
                <w:rFonts w:ascii="宋体"/>
                <w:sz w:val="18"/>
              </w:rPr>
              <w:t>100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非同一控制下企业合</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并</w:t>
            </w:r>
            <w:r>
              <w:rPr>
                <w:rFonts w:ascii="宋体" w:hAnsi="宋体" w:cs="宋体" w:eastAsia="宋体" w:hint="default"/>
                <w:sz w:val="18"/>
                <w:szCs w:val="18"/>
              </w:rPr>
              <w:t> </w:t>
            </w:r>
          </w:p>
        </w:tc>
      </w:tr>
      <w:tr>
        <w:trPr>
          <w:trHeight w:val="478" w:hRule="exact"/>
        </w:trPr>
        <w:tc>
          <w:tcPr>
            <w:tcW w:w="3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泗洪润晖新能源有限公司</w:t>
            </w:r>
            <w:r>
              <w:rPr>
                <w:rFonts w:ascii="宋体" w:hAnsi="宋体" w:cs="宋体" w:eastAsia="宋体" w:hint="default"/>
                <w:sz w:val="18"/>
                <w:szCs w:val="18"/>
              </w:rPr>
              <w:t> </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87" w:right="0"/>
              <w:jc w:val="center"/>
              <w:rPr>
                <w:rFonts w:ascii="宋体" w:hAnsi="宋体" w:cs="宋体" w:eastAsia="宋体" w:hint="default"/>
                <w:sz w:val="18"/>
                <w:szCs w:val="18"/>
              </w:rPr>
            </w:pPr>
            <w:r>
              <w:rPr>
                <w:rFonts w:ascii="宋体" w:hAnsi="宋体" w:cs="宋体" w:eastAsia="宋体" w:hint="default"/>
                <w:sz w:val="18"/>
                <w:szCs w:val="18"/>
              </w:rPr>
              <w:t>泗洪</w:t>
            </w:r>
            <w:r>
              <w:rPr>
                <w:rFonts w:ascii="宋体" w:hAnsi="宋体" w:cs="宋体" w:eastAsia="宋体" w:hint="default"/>
                <w:sz w:val="18"/>
                <w:szCs w:val="18"/>
              </w:rPr>
              <w:t> </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87" w:right="0"/>
              <w:jc w:val="center"/>
              <w:rPr>
                <w:rFonts w:ascii="宋体" w:hAnsi="宋体" w:cs="宋体" w:eastAsia="宋体" w:hint="default"/>
                <w:sz w:val="18"/>
                <w:szCs w:val="18"/>
              </w:rPr>
            </w:pPr>
            <w:r>
              <w:rPr>
                <w:rFonts w:ascii="宋体" w:hAnsi="宋体" w:cs="宋体" w:eastAsia="宋体" w:hint="default"/>
                <w:sz w:val="18"/>
                <w:szCs w:val="18"/>
              </w:rPr>
              <w:t>泗洪</w:t>
            </w:r>
            <w:r>
              <w:rPr>
                <w:rFonts w:ascii="宋体" w:hAnsi="宋体" w:cs="宋体" w:eastAsia="宋体" w:hint="default"/>
                <w:sz w:val="18"/>
                <w:szCs w:val="18"/>
              </w:rPr>
              <w:t> </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89" w:right="0"/>
              <w:jc w:val="center"/>
              <w:rPr>
                <w:rFonts w:ascii="宋体" w:hAnsi="宋体" w:cs="宋体" w:eastAsia="宋体" w:hint="default"/>
                <w:sz w:val="18"/>
                <w:szCs w:val="18"/>
              </w:rPr>
            </w:pPr>
            <w:r>
              <w:rPr>
                <w:rFonts w:ascii="宋体" w:hAnsi="宋体" w:cs="宋体" w:eastAsia="宋体" w:hint="default"/>
                <w:sz w:val="18"/>
                <w:szCs w:val="18"/>
              </w:rPr>
              <w:t>光伏电站</w:t>
            </w:r>
            <w:r>
              <w:rPr>
                <w:rFonts w:ascii="宋体" w:hAnsi="宋体" w:cs="宋体" w:eastAsia="宋体" w:hint="default"/>
                <w:sz w:val="18"/>
                <w:szCs w:val="18"/>
              </w:rPr>
              <w:t> </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87" w:right="0"/>
              <w:jc w:val="center"/>
              <w:rPr>
                <w:rFonts w:ascii="宋体" w:hAnsi="宋体" w:cs="宋体" w:eastAsia="宋体" w:hint="default"/>
                <w:sz w:val="18"/>
                <w:szCs w:val="18"/>
              </w:rPr>
            </w:pPr>
            <w:r>
              <w:rPr>
                <w:rFonts w:ascii="宋体"/>
                <w:sz w:val="18"/>
              </w:rPr>
              <w:t> </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04" w:right="0"/>
              <w:jc w:val="left"/>
              <w:rPr>
                <w:rFonts w:ascii="宋体" w:hAnsi="宋体" w:cs="宋体" w:eastAsia="宋体" w:hint="default"/>
                <w:sz w:val="18"/>
                <w:szCs w:val="18"/>
              </w:rPr>
            </w:pPr>
            <w:r>
              <w:rPr>
                <w:rFonts w:ascii="宋体"/>
                <w:sz w:val="18"/>
              </w:rPr>
              <w:t>100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非同一控制下企业合</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并</w:t>
            </w:r>
            <w:r>
              <w:rPr>
                <w:rFonts w:ascii="宋体" w:hAnsi="宋体" w:cs="宋体" w:eastAsia="宋体" w:hint="default"/>
                <w:sz w:val="18"/>
                <w:szCs w:val="18"/>
              </w:rPr>
              <w:t> </w:t>
            </w:r>
          </w:p>
        </w:tc>
      </w:tr>
      <w:tr>
        <w:trPr>
          <w:trHeight w:val="242" w:hRule="exact"/>
        </w:trPr>
        <w:tc>
          <w:tcPr>
            <w:tcW w:w="309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泗洪县华乐新能源科技有限公司</w:t>
            </w:r>
            <w:r>
              <w:rPr>
                <w:rFonts w:ascii="宋体" w:hAnsi="宋体" w:cs="宋体" w:eastAsia="宋体" w:hint="default"/>
                <w:sz w:val="18"/>
                <w:szCs w:val="18"/>
              </w:rPr>
              <w:t> </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7" w:right="0"/>
              <w:jc w:val="center"/>
              <w:rPr>
                <w:rFonts w:ascii="宋体" w:hAnsi="宋体" w:cs="宋体" w:eastAsia="宋体" w:hint="default"/>
                <w:sz w:val="18"/>
                <w:szCs w:val="18"/>
              </w:rPr>
            </w:pPr>
            <w:r>
              <w:rPr>
                <w:rFonts w:ascii="宋体" w:hAnsi="宋体" w:cs="宋体" w:eastAsia="宋体" w:hint="default"/>
                <w:sz w:val="18"/>
                <w:szCs w:val="18"/>
              </w:rPr>
              <w:t>泗洪</w:t>
            </w:r>
            <w:r>
              <w:rPr>
                <w:rFonts w:ascii="宋体" w:hAnsi="宋体" w:cs="宋体" w:eastAsia="宋体" w:hint="default"/>
                <w:sz w:val="18"/>
                <w:szCs w:val="18"/>
              </w:rPr>
              <w:t> </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7" w:right="0"/>
              <w:jc w:val="center"/>
              <w:rPr>
                <w:rFonts w:ascii="宋体" w:hAnsi="宋体" w:cs="宋体" w:eastAsia="宋体" w:hint="default"/>
                <w:sz w:val="18"/>
                <w:szCs w:val="18"/>
              </w:rPr>
            </w:pPr>
            <w:r>
              <w:rPr>
                <w:rFonts w:ascii="宋体" w:hAnsi="宋体" w:cs="宋体" w:eastAsia="宋体" w:hint="default"/>
                <w:sz w:val="18"/>
                <w:szCs w:val="18"/>
              </w:rPr>
              <w:t>泗洪</w:t>
            </w:r>
            <w:r>
              <w:rPr>
                <w:rFonts w:ascii="宋体" w:hAnsi="宋体" w:cs="宋体" w:eastAsia="宋体" w:hint="default"/>
                <w:sz w:val="18"/>
                <w:szCs w:val="18"/>
              </w:rPr>
              <w:t> </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9" w:right="0"/>
              <w:jc w:val="center"/>
              <w:rPr>
                <w:rFonts w:ascii="宋体" w:hAnsi="宋体" w:cs="宋体" w:eastAsia="宋体" w:hint="default"/>
                <w:sz w:val="18"/>
                <w:szCs w:val="18"/>
              </w:rPr>
            </w:pPr>
            <w:r>
              <w:rPr>
                <w:rFonts w:ascii="宋体" w:hAnsi="宋体" w:cs="宋体" w:eastAsia="宋体" w:hint="default"/>
                <w:sz w:val="18"/>
                <w:szCs w:val="18"/>
              </w:rPr>
              <w:t>光伏电站</w:t>
            </w:r>
            <w:r>
              <w:rPr>
                <w:rFonts w:ascii="宋体" w:hAnsi="宋体" w:cs="宋体" w:eastAsia="宋体" w:hint="default"/>
                <w:sz w:val="18"/>
                <w:szCs w:val="18"/>
              </w:rPr>
              <w:t> </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7" w:right="0"/>
              <w:jc w:val="center"/>
              <w:rPr>
                <w:rFonts w:ascii="宋体" w:hAnsi="宋体" w:cs="宋体" w:eastAsia="宋体" w:hint="default"/>
                <w:sz w:val="18"/>
                <w:szCs w:val="18"/>
              </w:rPr>
            </w:pPr>
            <w:r>
              <w:rPr>
                <w:rFonts w:ascii="宋体"/>
                <w:sz w:val="18"/>
              </w:rPr>
              <w:t> </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04" w:right="0"/>
              <w:jc w:val="left"/>
              <w:rPr>
                <w:rFonts w:ascii="宋体" w:hAnsi="宋体" w:cs="宋体" w:eastAsia="宋体" w:hint="default"/>
                <w:sz w:val="18"/>
                <w:szCs w:val="18"/>
              </w:rPr>
            </w:pPr>
            <w:r>
              <w:rPr>
                <w:rFonts w:ascii="宋体"/>
                <w:sz w:val="18"/>
              </w:rPr>
              <w:t>100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设立</w:t>
            </w:r>
            <w:r>
              <w:rPr>
                <w:rFonts w:ascii="宋体" w:hAnsi="宋体" w:cs="宋体" w:eastAsia="宋体" w:hint="default"/>
                <w:sz w:val="18"/>
                <w:szCs w:val="18"/>
              </w:rPr>
              <w:t> </w:t>
            </w:r>
          </w:p>
        </w:tc>
      </w:tr>
      <w:tr>
        <w:trPr>
          <w:trHeight w:val="245" w:hRule="exact"/>
        </w:trPr>
        <w:tc>
          <w:tcPr>
            <w:tcW w:w="309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泗洪县永乐新能源科技有限公司</w:t>
            </w:r>
            <w:r>
              <w:rPr>
                <w:rFonts w:ascii="宋体" w:hAnsi="宋体" w:cs="宋体" w:eastAsia="宋体" w:hint="default"/>
                <w:sz w:val="18"/>
                <w:szCs w:val="18"/>
              </w:rPr>
              <w:t> </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7" w:right="0"/>
              <w:jc w:val="center"/>
              <w:rPr>
                <w:rFonts w:ascii="宋体" w:hAnsi="宋体" w:cs="宋体" w:eastAsia="宋体" w:hint="default"/>
                <w:sz w:val="18"/>
                <w:szCs w:val="18"/>
              </w:rPr>
            </w:pPr>
            <w:r>
              <w:rPr>
                <w:rFonts w:ascii="宋体" w:hAnsi="宋体" w:cs="宋体" w:eastAsia="宋体" w:hint="default"/>
                <w:sz w:val="18"/>
                <w:szCs w:val="18"/>
              </w:rPr>
              <w:t>泗洪</w:t>
            </w:r>
            <w:r>
              <w:rPr>
                <w:rFonts w:ascii="宋体" w:hAnsi="宋体" w:cs="宋体" w:eastAsia="宋体" w:hint="default"/>
                <w:sz w:val="18"/>
                <w:szCs w:val="18"/>
              </w:rPr>
              <w:t> </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7" w:right="0"/>
              <w:jc w:val="center"/>
              <w:rPr>
                <w:rFonts w:ascii="宋体" w:hAnsi="宋体" w:cs="宋体" w:eastAsia="宋体" w:hint="default"/>
                <w:sz w:val="18"/>
                <w:szCs w:val="18"/>
              </w:rPr>
            </w:pPr>
            <w:r>
              <w:rPr>
                <w:rFonts w:ascii="宋体" w:hAnsi="宋体" w:cs="宋体" w:eastAsia="宋体" w:hint="default"/>
                <w:sz w:val="18"/>
                <w:szCs w:val="18"/>
              </w:rPr>
              <w:t>泗洪</w:t>
            </w:r>
            <w:r>
              <w:rPr>
                <w:rFonts w:ascii="宋体" w:hAnsi="宋体" w:cs="宋体" w:eastAsia="宋体" w:hint="default"/>
                <w:sz w:val="18"/>
                <w:szCs w:val="18"/>
              </w:rPr>
              <w:t> </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9" w:right="0"/>
              <w:jc w:val="center"/>
              <w:rPr>
                <w:rFonts w:ascii="宋体" w:hAnsi="宋体" w:cs="宋体" w:eastAsia="宋体" w:hint="default"/>
                <w:sz w:val="18"/>
                <w:szCs w:val="18"/>
              </w:rPr>
            </w:pPr>
            <w:r>
              <w:rPr>
                <w:rFonts w:ascii="宋体" w:hAnsi="宋体" w:cs="宋体" w:eastAsia="宋体" w:hint="default"/>
                <w:sz w:val="18"/>
                <w:szCs w:val="18"/>
              </w:rPr>
              <w:t>光伏电站</w:t>
            </w:r>
            <w:r>
              <w:rPr>
                <w:rFonts w:ascii="宋体" w:hAnsi="宋体" w:cs="宋体" w:eastAsia="宋体" w:hint="default"/>
                <w:sz w:val="18"/>
                <w:szCs w:val="18"/>
              </w:rPr>
              <w:t> </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7" w:right="0"/>
              <w:jc w:val="center"/>
              <w:rPr>
                <w:rFonts w:ascii="宋体" w:hAnsi="宋体" w:cs="宋体" w:eastAsia="宋体" w:hint="default"/>
                <w:sz w:val="18"/>
                <w:szCs w:val="18"/>
              </w:rPr>
            </w:pPr>
            <w:r>
              <w:rPr>
                <w:rFonts w:ascii="宋体"/>
                <w:sz w:val="18"/>
              </w:rPr>
              <w:t> </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04" w:right="0"/>
              <w:jc w:val="left"/>
              <w:rPr>
                <w:rFonts w:ascii="宋体" w:hAnsi="宋体" w:cs="宋体" w:eastAsia="宋体" w:hint="default"/>
                <w:sz w:val="18"/>
                <w:szCs w:val="18"/>
              </w:rPr>
            </w:pPr>
            <w:r>
              <w:rPr>
                <w:rFonts w:ascii="宋体"/>
                <w:sz w:val="18"/>
              </w:rPr>
              <w:t>100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设立</w:t>
            </w:r>
            <w:r>
              <w:rPr>
                <w:rFonts w:ascii="宋体" w:hAnsi="宋体" w:cs="宋体" w:eastAsia="宋体" w:hint="default"/>
                <w:sz w:val="18"/>
                <w:szCs w:val="18"/>
              </w:rPr>
              <w:t> </w:t>
            </w:r>
          </w:p>
        </w:tc>
      </w:tr>
      <w:tr>
        <w:trPr>
          <w:trHeight w:val="475" w:hRule="exact"/>
        </w:trPr>
        <w:tc>
          <w:tcPr>
            <w:tcW w:w="3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0"/>
              <w:jc w:val="left"/>
              <w:rPr>
                <w:rFonts w:ascii="宋体" w:hAnsi="宋体" w:cs="宋体" w:eastAsia="宋体" w:hint="default"/>
                <w:sz w:val="18"/>
                <w:szCs w:val="18"/>
              </w:rPr>
            </w:pPr>
            <w:r>
              <w:rPr>
                <w:rFonts w:ascii="宋体" w:hAnsi="宋体" w:cs="宋体" w:eastAsia="宋体" w:hint="default"/>
                <w:sz w:val="18"/>
                <w:szCs w:val="18"/>
              </w:rPr>
              <w:t>盐城利能新能源有限公司</w:t>
            </w:r>
            <w:r>
              <w:rPr>
                <w:rFonts w:ascii="宋体" w:hAnsi="宋体" w:cs="宋体" w:eastAsia="宋体" w:hint="default"/>
                <w:sz w:val="18"/>
                <w:szCs w:val="18"/>
              </w:rPr>
              <w:t> </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87" w:right="0"/>
              <w:jc w:val="center"/>
              <w:rPr>
                <w:rFonts w:ascii="宋体" w:hAnsi="宋体" w:cs="宋体" w:eastAsia="宋体" w:hint="default"/>
                <w:sz w:val="18"/>
                <w:szCs w:val="18"/>
              </w:rPr>
            </w:pPr>
            <w:r>
              <w:rPr>
                <w:rFonts w:ascii="宋体" w:hAnsi="宋体" w:cs="宋体" w:eastAsia="宋体" w:hint="default"/>
                <w:sz w:val="18"/>
                <w:szCs w:val="18"/>
              </w:rPr>
              <w:t>盐城</w:t>
            </w:r>
            <w:r>
              <w:rPr>
                <w:rFonts w:ascii="宋体" w:hAnsi="宋体" w:cs="宋体" w:eastAsia="宋体" w:hint="default"/>
                <w:sz w:val="18"/>
                <w:szCs w:val="18"/>
              </w:rPr>
              <w:t> </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87" w:right="0"/>
              <w:jc w:val="center"/>
              <w:rPr>
                <w:rFonts w:ascii="宋体" w:hAnsi="宋体" w:cs="宋体" w:eastAsia="宋体" w:hint="default"/>
                <w:sz w:val="18"/>
                <w:szCs w:val="18"/>
              </w:rPr>
            </w:pPr>
            <w:r>
              <w:rPr>
                <w:rFonts w:ascii="宋体" w:hAnsi="宋体" w:cs="宋体" w:eastAsia="宋体" w:hint="default"/>
                <w:sz w:val="18"/>
                <w:szCs w:val="18"/>
              </w:rPr>
              <w:t>盐城</w:t>
            </w:r>
            <w:r>
              <w:rPr>
                <w:rFonts w:ascii="宋体" w:hAnsi="宋体" w:cs="宋体" w:eastAsia="宋体" w:hint="default"/>
                <w:sz w:val="18"/>
                <w:szCs w:val="18"/>
              </w:rPr>
              <w:t> </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89" w:right="0"/>
              <w:jc w:val="center"/>
              <w:rPr>
                <w:rFonts w:ascii="宋体" w:hAnsi="宋体" w:cs="宋体" w:eastAsia="宋体" w:hint="default"/>
                <w:sz w:val="18"/>
                <w:szCs w:val="18"/>
              </w:rPr>
            </w:pPr>
            <w:r>
              <w:rPr>
                <w:rFonts w:ascii="宋体" w:hAnsi="宋体" w:cs="宋体" w:eastAsia="宋体" w:hint="default"/>
                <w:sz w:val="18"/>
                <w:szCs w:val="18"/>
              </w:rPr>
              <w:t>光伏电站</w:t>
            </w:r>
            <w:r>
              <w:rPr>
                <w:rFonts w:ascii="宋体" w:hAnsi="宋体" w:cs="宋体" w:eastAsia="宋体" w:hint="default"/>
                <w:sz w:val="18"/>
                <w:szCs w:val="18"/>
              </w:rPr>
              <w:t> </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87" w:right="0"/>
              <w:jc w:val="center"/>
              <w:rPr>
                <w:rFonts w:ascii="宋体" w:hAnsi="宋体" w:cs="宋体" w:eastAsia="宋体" w:hint="default"/>
                <w:sz w:val="18"/>
                <w:szCs w:val="18"/>
              </w:rPr>
            </w:pPr>
            <w:r>
              <w:rPr>
                <w:rFonts w:ascii="宋体"/>
                <w:sz w:val="18"/>
              </w:rPr>
              <w:t> </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204" w:right="0"/>
              <w:jc w:val="left"/>
              <w:rPr>
                <w:rFonts w:ascii="宋体" w:hAnsi="宋体" w:cs="宋体" w:eastAsia="宋体" w:hint="default"/>
                <w:sz w:val="18"/>
                <w:szCs w:val="18"/>
              </w:rPr>
            </w:pPr>
            <w:r>
              <w:rPr>
                <w:rFonts w:ascii="宋体"/>
                <w:sz w:val="18"/>
              </w:rPr>
              <w:t>100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非同一控制下企业合</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并</w:t>
            </w:r>
            <w:r>
              <w:rPr>
                <w:rFonts w:ascii="宋体" w:hAnsi="宋体" w:cs="宋体" w:eastAsia="宋体" w:hint="default"/>
                <w:sz w:val="18"/>
                <w:szCs w:val="18"/>
              </w:rPr>
              <w:t> </w:t>
            </w:r>
          </w:p>
        </w:tc>
      </w:tr>
      <w:tr>
        <w:trPr>
          <w:trHeight w:val="478" w:hRule="exact"/>
        </w:trPr>
        <w:tc>
          <w:tcPr>
            <w:tcW w:w="3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扬中市阜润电力科技有限公司</w:t>
            </w:r>
            <w:r>
              <w:rPr>
                <w:rFonts w:ascii="宋体" w:hAnsi="宋体" w:cs="宋体" w:eastAsia="宋体" w:hint="default"/>
                <w:sz w:val="18"/>
                <w:szCs w:val="18"/>
              </w:rPr>
              <w:t> </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87" w:right="0"/>
              <w:jc w:val="center"/>
              <w:rPr>
                <w:rFonts w:ascii="宋体" w:hAnsi="宋体" w:cs="宋体" w:eastAsia="宋体" w:hint="default"/>
                <w:sz w:val="18"/>
                <w:szCs w:val="18"/>
              </w:rPr>
            </w:pPr>
            <w:r>
              <w:rPr>
                <w:rFonts w:ascii="宋体" w:hAnsi="宋体" w:cs="宋体" w:eastAsia="宋体" w:hint="default"/>
                <w:sz w:val="18"/>
                <w:szCs w:val="18"/>
              </w:rPr>
              <w:t>扬中</w:t>
            </w:r>
            <w:r>
              <w:rPr>
                <w:rFonts w:ascii="宋体" w:hAnsi="宋体" w:cs="宋体" w:eastAsia="宋体" w:hint="default"/>
                <w:sz w:val="18"/>
                <w:szCs w:val="18"/>
              </w:rPr>
              <w:t> </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87" w:right="0"/>
              <w:jc w:val="center"/>
              <w:rPr>
                <w:rFonts w:ascii="宋体" w:hAnsi="宋体" w:cs="宋体" w:eastAsia="宋体" w:hint="default"/>
                <w:sz w:val="18"/>
                <w:szCs w:val="18"/>
              </w:rPr>
            </w:pPr>
            <w:r>
              <w:rPr>
                <w:rFonts w:ascii="宋体" w:hAnsi="宋体" w:cs="宋体" w:eastAsia="宋体" w:hint="default"/>
                <w:sz w:val="18"/>
                <w:szCs w:val="18"/>
              </w:rPr>
              <w:t>扬中</w:t>
            </w:r>
            <w:r>
              <w:rPr>
                <w:rFonts w:ascii="宋体" w:hAnsi="宋体" w:cs="宋体" w:eastAsia="宋体" w:hint="default"/>
                <w:sz w:val="18"/>
                <w:szCs w:val="18"/>
              </w:rPr>
              <w:t> </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89" w:right="0"/>
              <w:jc w:val="center"/>
              <w:rPr>
                <w:rFonts w:ascii="宋体" w:hAnsi="宋体" w:cs="宋体" w:eastAsia="宋体" w:hint="default"/>
                <w:sz w:val="18"/>
                <w:szCs w:val="18"/>
              </w:rPr>
            </w:pPr>
            <w:r>
              <w:rPr>
                <w:rFonts w:ascii="宋体" w:hAnsi="宋体" w:cs="宋体" w:eastAsia="宋体" w:hint="default"/>
                <w:sz w:val="18"/>
                <w:szCs w:val="18"/>
              </w:rPr>
              <w:t>光伏电站</w:t>
            </w:r>
            <w:r>
              <w:rPr>
                <w:rFonts w:ascii="宋体" w:hAnsi="宋体" w:cs="宋体" w:eastAsia="宋体" w:hint="default"/>
                <w:sz w:val="18"/>
                <w:szCs w:val="18"/>
              </w:rPr>
              <w:t> </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87" w:right="0"/>
              <w:jc w:val="center"/>
              <w:rPr>
                <w:rFonts w:ascii="宋体" w:hAnsi="宋体" w:cs="宋体" w:eastAsia="宋体" w:hint="default"/>
                <w:sz w:val="18"/>
                <w:szCs w:val="18"/>
              </w:rPr>
            </w:pPr>
            <w:r>
              <w:rPr>
                <w:rFonts w:ascii="宋体"/>
                <w:sz w:val="18"/>
              </w:rPr>
              <w:t> </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04" w:right="0"/>
              <w:jc w:val="left"/>
              <w:rPr>
                <w:rFonts w:ascii="宋体" w:hAnsi="宋体" w:cs="宋体" w:eastAsia="宋体" w:hint="default"/>
                <w:sz w:val="18"/>
                <w:szCs w:val="18"/>
              </w:rPr>
            </w:pPr>
            <w:r>
              <w:rPr>
                <w:rFonts w:ascii="宋体"/>
                <w:sz w:val="18"/>
              </w:rPr>
              <w:t>100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非同一控制下企业合</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并</w:t>
            </w:r>
            <w:r>
              <w:rPr>
                <w:rFonts w:ascii="宋体" w:hAnsi="宋体" w:cs="宋体" w:eastAsia="宋体" w:hint="default"/>
                <w:sz w:val="18"/>
                <w:szCs w:val="18"/>
              </w:rPr>
              <w:t> </w:t>
            </w:r>
          </w:p>
        </w:tc>
      </w:tr>
      <w:tr>
        <w:trPr>
          <w:trHeight w:val="242" w:hRule="exact"/>
        </w:trPr>
        <w:tc>
          <w:tcPr>
            <w:tcW w:w="309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扬州林洋零点新能源科技有限公司</w:t>
            </w:r>
            <w:r>
              <w:rPr>
                <w:rFonts w:ascii="宋体" w:hAnsi="宋体" w:cs="宋体" w:eastAsia="宋体" w:hint="default"/>
                <w:sz w:val="18"/>
                <w:szCs w:val="18"/>
              </w:rPr>
              <w:t> </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7" w:right="0"/>
              <w:jc w:val="center"/>
              <w:rPr>
                <w:rFonts w:ascii="宋体" w:hAnsi="宋体" w:cs="宋体" w:eastAsia="宋体" w:hint="default"/>
                <w:sz w:val="18"/>
                <w:szCs w:val="18"/>
              </w:rPr>
            </w:pPr>
            <w:r>
              <w:rPr>
                <w:rFonts w:ascii="宋体" w:hAnsi="宋体" w:cs="宋体" w:eastAsia="宋体" w:hint="default"/>
                <w:sz w:val="18"/>
                <w:szCs w:val="18"/>
              </w:rPr>
              <w:t>扬州</w:t>
            </w:r>
            <w:r>
              <w:rPr>
                <w:rFonts w:ascii="宋体" w:hAnsi="宋体" w:cs="宋体" w:eastAsia="宋体" w:hint="default"/>
                <w:sz w:val="18"/>
                <w:szCs w:val="18"/>
              </w:rPr>
              <w:t> </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7" w:right="0"/>
              <w:jc w:val="center"/>
              <w:rPr>
                <w:rFonts w:ascii="宋体" w:hAnsi="宋体" w:cs="宋体" w:eastAsia="宋体" w:hint="default"/>
                <w:sz w:val="18"/>
                <w:szCs w:val="18"/>
              </w:rPr>
            </w:pPr>
            <w:r>
              <w:rPr>
                <w:rFonts w:ascii="宋体" w:hAnsi="宋体" w:cs="宋体" w:eastAsia="宋体" w:hint="default"/>
                <w:sz w:val="18"/>
                <w:szCs w:val="18"/>
              </w:rPr>
              <w:t>扬州</w:t>
            </w:r>
            <w:r>
              <w:rPr>
                <w:rFonts w:ascii="宋体" w:hAnsi="宋体" w:cs="宋体" w:eastAsia="宋体" w:hint="default"/>
                <w:sz w:val="18"/>
                <w:szCs w:val="18"/>
              </w:rPr>
              <w:t> </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9" w:right="0"/>
              <w:jc w:val="center"/>
              <w:rPr>
                <w:rFonts w:ascii="宋体" w:hAnsi="宋体" w:cs="宋体" w:eastAsia="宋体" w:hint="default"/>
                <w:sz w:val="18"/>
                <w:szCs w:val="18"/>
              </w:rPr>
            </w:pPr>
            <w:r>
              <w:rPr>
                <w:rFonts w:ascii="宋体" w:hAnsi="宋体" w:cs="宋体" w:eastAsia="宋体" w:hint="default"/>
                <w:sz w:val="18"/>
                <w:szCs w:val="18"/>
              </w:rPr>
              <w:t>光伏电站</w:t>
            </w:r>
            <w:r>
              <w:rPr>
                <w:rFonts w:ascii="宋体" w:hAnsi="宋体" w:cs="宋体" w:eastAsia="宋体" w:hint="default"/>
                <w:sz w:val="18"/>
                <w:szCs w:val="18"/>
              </w:rPr>
              <w:t> </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7" w:right="0"/>
              <w:jc w:val="center"/>
              <w:rPr>
                <w:rFonts w:ascii="宋体" w:hAnsi="宋体" w:cs="宋体" w:eastAsia="宋体" w:hint="default"/>
                <w:sz w:val="18"/>
                <w:szCs w:val="18"/>
              </w:rPr>
            </w:pPr>
            <w:r>
              <w:rPr>
                <w:rFonts w:ascii="宋体"/>
                <w:sz w:val="18"/>
              </w:rPr>
              <w:t> </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04" w:right="0"/>
              <w:jc w:val="left"/>
              <w:rPr>
                <w:rFonts w:ascii="宋体" w:hAnsi="宋体" w:cs="宋体" w:eastAsia="宋体" w:hint="default"/>
                <w:sz w:val="18"/>
                <w:szCs w:val="18"/>
              </w:rPr>
            </w:pPr>
            <w:r>
              <w:rPr>
                <w:rFonts w:ascii="宋体"/>
                <w:sz w:val="18"/>
              </w:rPr>
              <w:t>100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设立</w:t>
            </w:r>
            <w:r>
              <w:rPr>
                <w:rFonts w:ascii="宋体" w:hAnsi="宋体" w:cs="宋体" w:eastAsia="宋体" w:hint="default"/>
                <w:sz w:val="18"/>
                <w:szCs w:val="18"/>
              </w:rPr>
              <w:t> </w:t>
            </w:r>
          </w:p>
        </w:tc>
      </w:tr>
      <w:tr>
        <w:trPr>
          <w:trHeight w:val="478" w:hRule="exact"/>
        </w:trPr>
        <w:tc>
          <w:tcPr>
            <w:tcW w:w="3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邳州市城阳电力科技有限公司</w:t>
            </w:r>
            <w:r>
              <w:rPr>
                <w:rFonts w:ascii="宋体" w:hAnsi="宋体" w:cs="宋体" w:eastAsia="宋体" w:hint="default"/>
                <w:sz w:val="18"/>
                <w:szCs w:val="18"/>
              </w:rPr>
              <w:t> </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87" w:right="0"/>
              <w:jc w:val="center"/>
              <w:rPr>
                <w:rFonts w:ascii="宋体" w:hAnsi="宋体" w:cs="宋体" w:eastAsia="宋体" w:hint="default"/>
                <w:sz w:val="18"/>
                <w:szCs w:val="18"/>
              </w:rPr>
            </w:pPr>
            <w:r>
              <w:rPr>
                <w:rFonts w:ascii="宋体" w:hAnsi="宋体" w:cs="宋体" w:eastAsia="宋体" w:hint="default"/>
                <w:sz w:val="18"/>
                <w:szCs w:val="18"/>
              </w:rPr>
              <w:t>邳州</w:t>
            </w:r>
            <w:r>
              <w:rPr>
                <w:rFonts w:ascii="宋体" w:hAnsi="宋体" w:cs="宋体" w:eastAsia="宋体" w:hint="default"/>
                <w:sz w:val="18"/>
                <w:szCs w:val="18"/>
              </w:rPr>
              <w:t> </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87" w:right="0"/>
              <w:jc w:val="center"/>
              <w:rPr>
                <w:rFonts w:ascii="宋体" w:hAnsi="宋体" w:cs="宋体" w:eastAsia="宋体" w:hint="default"/>
                <w:sz w:val="18"/>
                <w:szCs w:val="18"/>
              </w:rPr>
            </w:pPr>
            <w:r>
              <w:rPr>
                <w:rFonts w:ascii="宋体" w:hAnsi="宋体" w:cs="宋体" w:eastAsia="宋体" w:hint="default"/>
                <w:sz w:val="18"/>
                <w:szCs w:val="18"/>
              </w:rPr>
              <w:t>邳州</w:t>
            </w:r>
            <w:r>
              <w:rPr>
                <w:rFonts w:ascii="宋体" w:hAnsi="宋体" w:cs="宋体" w:eastAsia="宋体" w:hint="default"/>
                <w:sz w:val="18"/>
                <w:szCs w:val="18"/>
              </w:rPr>
              <w:t> </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89" w:right="0"/>
              <w:jc w:val="center"/>
              <w:rPr>
                <w:rFonts w:ascii="宋体" w:hAnsi="宋体" w:cs="宋体" w:eastAsia="宋体" w:hint="default"/>
                <w:sz w:val="18"/>
                <w:szCs w:val="18"/>
              </w:rPr>
            </w:pPr>
            <w:r>
              <w:rPr>
                <w:rFonts w:ascii="宋体" w:hAnsi="宋体" w:cs="宋体" w:eastAsia="宋体" w:hint="default"/>
                <w:sz w:val="18"/>
                <w:szCs w:val="18"/>
              </w:rPr>
              <w:t>光伏电站</w:t>
            </w:r>
            <w:r>
              <w:rPr>
                <w:rFonts w:ascii="宋体" w:hAnsi="宋体" w:cs="宋体" w:eastAsia="宋体" w:hint="default"/>
                <w:sz w:val="18"/>
                <w:szCs w:val="18"/>
              </w:rPr>
              <w:t> </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87" w:right="0"/>
              <w:jc w:val="center"/>
              <w:rPr>
                <w:rFonts w:ascii="宋体" w:hAnsi="宋体" w:cs="宋体" w:eastAsia="宋体" w:hint="default"/>
                <w:sz w:val="18"/>
                <w:szCs w:val="18"/>
              </w:rPr>
            </w:pPr>
            <w:r>
              <w:rPr>
                <w:rFonts w:ascii="宋体"/>
                <w:sz w:val="18"/>
              </w:rPr>
              <w:t> </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04" w:right="0"/>
              <w:jc w:val="left"/>
              <w:rPr>
                <w:rFonts w:ascii="宋体" w:hAnsi="宋体" w:cs="宋体" w:eastAsia="宋体" w:hint="default"/>
                <w:sz w:val="18"/>
                <w:szCs w:val="18"/>
              </w:rPr>
            </w:pPr>
            <w:r>
              <w:rPr>
                <w:rFonts w:ascii="宋体"/>
                <w:sz w:val="18"/>
              </w:rPr>
              <w:t>100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非同一控制下企业合</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并</w:t>
            </w:r>
            <w:r>
              <w:rPr>
                <w:rFonts w:ascii="宋体" w:hAnsi="宋体" w:cs="宋体" w:eastAsia="宋体" w:hint="default"/>
                <w:sz w:val="18"/>
                <w:szCs w:val="18"/>
              </w:rPr>
              <w:t> </w:t>
            </w:r>
          </w:p>
        </w:tc>
      </w:tr>
      <w:tr>
        <w:trPr>
          <w:trHeight w:val="478" w:hRule="exact"/>
        </w:trPr>
        <w:tc>
          <w:tcPr>
            <w:tcW w:w="3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兴化市旭晖电力科技有限公司</w:t>
            </w:r>
            <w:r>
              <w:rPr>
                <w:rFonts w:ascii="宋体" w:hAnsi="宋体" w:cs="宋体" w:eastAsia="宋体" w:hint="default"/>
                <w:sz w:val="18"/>
                <w:szCs w:val="18"/>
              </w:rPr>
              <w:t> </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87" w:right="0"/>
              <w:jc w:val="center"/>
              <w:rPr>
                <w:rFonts w:ascii="宋体" w:hAnsi="宋体" w:cs="宋体" w:eastAsia="宋体" w:hint="default"/>
                <w:sz w:val="18"/>
                <w:szCs w:val="18"/>
              </w:rPr>
            </w:pPr>
            <w:r>
              <w:rPr>
                <w:rFonts w:ascii="宋体" w:hAnsi="宋体" w:cs="宋体" w:eastAsia="宋体" w:hint="default"/>
                <w:sz w:val="18"/>
                <w:szCs w:val="18"/>
              </w:rPr>
              <w:t>兴化</w:t>
            </w:r>
            <w:r>
              <w:rPr>
                <w:rFonts w:ascii="宋体" w:hAnsi="宋体" w:cs="宋体" w:eastAsia="宋体" w:hint="default"/>
                <w:sz w:val="18"/>
                <w:szCs w:val="18"/>
              </w:rPr>
              <w:t> </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87" w:right="0"/>
              <w:jc w:val="center"/>
              <w:rPr>
                <w:rFonts w:ascii="宋体" w:hAnsi="宋体" w:cs="宋体" w:eastAsia="宋体" w:hint="default"/>
                <w:sz w:val="18"/>
                <w:szCs w:val="18"/>
              </w:rPr>
            </w:pPr>
            <w:r>
              <w:rPr>
                <w:rFonts w:ascii="宋体" w:hAnsi="宋体" w:cs="宋体" w:eastAsia="宋体" w:hint="default"/>
                <w:sz w:val="18"/>
                <w:szCs w:val="18"/>
              </w:rPr>
              <w:t>兴化</w:t>
            </w:r>
            <w:r>
              <w:rPr>
                <w:rFonts w:ascii="宋体" w:hAnsi="宋体" w:cs="宋体" w:eastAsia="宋体" w:hint="default"/>
                <w:sz w:val="18"/>
                <w:szCs w:val="18"/>
              </w:rPr>
              <w:t> </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89" w:right="0"/>
              <w:jc w:val="center"/>
              <w:rPr>
                <w:rFonts w:ascii="宋体" w:hAnsi="宋体" w:cs="宋体" w:eastAsia="宋体" w:hint="default"/>
                <w:sz w:val="18"/>
                <w:szCs w:val="18"/>
              </w:rPr>
            </w:pPr>
            <w:r>
              <w:rPr>
                <w:rFonts w:ascii="宋体" w:hAnsi="宋体" w:cs="宋体" w:eastAsia="宋体" w:hint="default"/>
                <w:sz w:val="18"/>
                <w:szCs w:val="18"/>
              </w:rPr>
              <w:t>光伏电站</w:t>
            </w:r>
            <w:r>
              <w:rPr>
                <w:rFonts w:ascii="宋体" w:hAnsi="宋体" w:cs="宋体" w:eastAsia="宋体" w:hint="default"/>
                <w:sz w:val="18"/>
                <w:szCs w:val="18"/>
              </w:rPr>
              <w:t> </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87" w:right="0"/>
              <w:jc w:val="center"/>
              <w:rPr>
                <w:rFonts w:ascii="宋体" w:hAnsi="宋体" w:cs="宋体" w:eastAsia="宋体" w:hint="default"/>
                <w:sz w:val="18"/>
                <w:szCs w:val="18"/>
              </w:rPr>
            </w:pPr>
            <w:r>
              <w:rPr>
                <w:rFonts w:ascii="宋体"/>
                <w:sz w:val="18"/>
              </w:rPr>
              <w:t> </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04" w:right="0"/>
              <w:jc w:val="left"/>
              <w:rPr>
                <w:rFonts w:ascii="宋体" w:hAnsi="宋体" w:cs="宋体" w:eastAsia="宋体" w:hint="default"/>
                <w:sz w:val="18"/>
                <w:szCs w:val="18"/>
              </w:rPr>
            </w:pPr>
            <w:r>
              <w:rPr>
                <w:rFonts w:ascii="宋体"/>
                <w:sz w:val="18"/>
              </w:rPr>
              <w:t>100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非同一控制下企业合</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并</w:t>
            </w:r>
            <w:r>
              <w:rPr>
                <w:rFonts w:ascii="宋体" w:hAnsi="宋体" w:cs="宋体" w:eastAsia="宋体" w:hint="default"/>
                <w:sz w:val="18"/>
                <w:szCs w:val="18"/>
              </w:rPr>
              <w:t> </w:t>
            </w:r>
          </w:p>
        </w:tc>
      </w:tr>
      <w:tr>
        <w:trPr>
          <w:trHeight w:val="242" w:hRule="exact"/>
        </w:trPr>
        <w:tc>
          <w:tcPr>
            <w:tcW w:w="309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四川林洋新能源科技有限公司</w:t>
            </w:r>
            <w:r>
              <w:rPr>
                <w:rFonts w:ascii="宋体" w:hAnsi="宋体" w:cs="宋体" w:eastAsia="宋体" w:hint="default"/>
                <w:sz w:val="18"/>
                <w:szCs w:val="18"/>
              </w:rPr>
              <w:t> </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7" w:right="0"/>
              <w:jc w:val="center"/>
              <w:rPr>
                <w:rFonts w:ascii="宋体" w:hAnsi="宋体" w:cs="宋体" w:eastAsia="宋体" w:hint="default"/>
                <w:sz w:val="18"/>
                <w:szCs w:val="18"/>
              </w:rPr>
            </w:pPr>
            <w:r>
              <w:rPr>
                <w:rFonts w:ascii="宋体" w:hAnsi="宋体" w:cs="宋体" w:eastAsia="宋体" w:hint="default"/>
                <w:sz w:val="18"/>
                <w:szCs w:val="18"/>
              </w:rPr>
              <w:t>成都</w:t>
            </w:r>
            <w:r>
              <w:rPr>
                <w:rFonts w:ascii="宋体" w:hAnsi="宋体" w:cs="宋体" w:eastAsia="宋体" w:hint="default"/>
                <w:sz w:val="18"/>
                <w:szCs w:val="18"/>
              </w:rPr>
              <w:t> </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7" w:right="0"/>
              <w:jc w:val="center"/>
              <w:rPr>
                <w:rFonts w:ascii="宋体" w:hAnsi="宋体" w:cs="宋体" w:eastAsia="宋体" w:hint="default"/>
                <w:sz w:val="18"/>
                <w:szCs w:val="18"/>
              </w:rPr>
            </w:pPr>
            <w:r>
              <w:rPr>
                <w:rFonts w:ascii="宋体" w:hAnsi="宋体" w:cs="宋体" w:eastAsia="宋体" w:hint="default"/>
                <w:sz w:val="18"/>
                <w:szCs w:val="18"/>
              </w:rPr>
              <w:t>成都</w:t>
            </w:r>
            <w:r>
              <w:rPr>
                <w:rFonts w:ascii="宋体" w:hAnsi="宋体" w:cs="宋体" w:eastAsia="宋体" w:hint="default"/>
                <w:sz w:val="18"/>
                <w:szCs w:val="18"/>
              </w:rPr>
              <w:t> </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9" w:right="0"/>
              <w:jc w:val="center"/>
              <w:rPr>
                <w:rFonts w:ascii="宋体" w:hAnsi="宋体" w:cs="宋体" w:eastAsia="宋体" w:hint="default"/>
                <w:sz w:val="18"/>
                <w:szCs w:val="18"/>
              </w:rPr>
            </w:pPr>
            <w:r>
              <w:rPr>
                <w:rFonts w:ascii="宋体" w:hAnsi="宋体" w:cs="宋体" w:eastAsia="宋体" w:hint="default"/>
                <w:sz w:val="18"/>
                <w:szCs w:val="18"/>
              </w:rPr>
              <w:t>光伏电站</w:t>
            </w:r>
            <w:r>
              <w:rPr>
                <w:rFonts w:ascii="宋体" w:hAnsi="宋体" w:cs="宋体" w:eastAsia="宋体" w:hint="default"/>
                <w:sz w:val="18"/>
                <w:szCs w:val="18"/>
              </w:rPr>
              <w:t> </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7" w:right="0"/>
              <w:jc w:val="center"/>
              <w:rPr>
                <w:rFonts w:ascii="宋体" w:hAnsi="宋体" w:cs="宋体" w:eastAsia="宋体" w:hint="default"/>
                <w:sz w:val="18"/>
                <w:szCs w:val="18"/>
              </w:rPr>
            </w:pPr>
            <w:r>
              <w:rPr>
                <w:rFonts w:ascii="宋体"/>
                <w:sz w:val="18"/>
              </w:rPr>
              <w:t> </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04" w:right="0"/>
              <w:jc w:val="left"/>
              <w:rPr>
                <w:rFonts w:ascii="宋体" w:hAnsi="宋体" w:cs="宋体" w:eastAsia="宋体" w:hint="default"/>
                <w:sz w:val="18"/>
                <w:szCs w:val="18"/>
              </w:rPr>
            </w:pPr>
            <w:r>
              <w:rPr>
                <w:rFonts w:ascii="宋体"/>
                <w:sz w:val="18"/>
              </w:rPr>
              <w:t>100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设立</w:t>
            </w:r>
            <w:r>
              <w:rPr>
                <w:rFonts w:ascii="宋体" w:hAnsi="宋体" w:cs="宋体" w:eastAsia="宋体" w:hint="default"/>
                <w:sz w:val="18"/>
                <w:szCs w:val="18"/>
              </w:rPr>
              <w:t> </w:t>
            </w:r>
          </w:p>
        </w:tc>
      </w:tr>
      <w:tr>
        <w:trPr>
          <w:trHeight w:val="245" w:hRule="exact"/>
        </w:trPr>
        <w:tc>
          <w:tcPr>
            <w:tcW w:w="309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泗洪永盛新能源科技有限公司</w:t>
            </w:r>
            <w:r>
              <w:rPr>
                <w:rFonts w:ascii="宋体" w:hAnsi="宋体" w:cs="宋体" w:eastAsia="宋体" w:hint="default"/>
                <w:sz w:val="18"/>
                <w:szCs w:val="18"/>
              </w:rPr>
              <w:t> </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7" w:right="0"/>
              <w:jc w:val="center"/>
              <w:rPr>
                <w:rFonts w:ascii="宋体" w:hAnsi="宋体" w:cs="宋体" w:eastAsia="宋体" w:hint="default"/>
                <w:sz w:val="18"/>
                <w:szCs w:val="18"/>
              </w:rPr>
            </w:pPr>
            <w:r>
              <w:rPr>
                <w:rFonts w:ascii="宋体" w:hAnsi="宋体" w:cs="宋体" w:eastAsia="宋体" w:hint="default"/>
                <w:sz w:val="18"/>
                <w:szCs w:val="18"/>
              </w:rPr>
              <w:t>泗洪</w:t>
            </w:r>
            <w:r>
              <w:rPr>
                <w:rFonts w:ascii="宋体" w:hAnsi="宋体" w:cs="宋体" w:eastAsia="宋体" w:hint="default"/>
                <w:sz w:val="18"/>
                <w:szCs w:val="18"/>
              </w:rPr>
              <w:t> </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7" w:right="0"/>
              <w:jc w:val="center"/>
              <w:rPr>
                <w:rFonts w:ascii="宋体" w:hAnsi="宋体" w:cs="宋体" w:eastAsia="宋体" w:hint="default"/>
                <w:sz w:val="18"/>
                <w:szCs w:val="18"/>
              </w:rPr>
            </w:pPr>
            <w:r>
              <w:rPr>
                <w:rFonts w:ascii="宋体" w:hAnsi="宋体" w:cs="宋体" w:eastAsia="宋体" w:hint="default"/>
                <w:sz w:val="18"/>
                <w:szCs w:val="18"/>
              </w:rPr>
              <w:t>泗洪</w:t>
            </w:r>
            <w:r>
              <w:rPr>
                <w:rFonts w:ascii="宋体" w:hAnsi="宋体" w:cs="宋体" w:eastAsia="宋体" w:hint="default"/>
                <w:sz w:val="18"/>
                <w:szCs w:val="18"/>
              </w:rPr>
              <w:t> </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9" w:right="0"/>
              <w:jc w:val="center"/>
              <w:rPr>
                <w:rFonts w:ascii="宋体" w:hAnsi="宋体" w:cs="宋体" w:eastAsia="宋体" w:hint="default"/>
                <w:sz w:val="18"/>
                <w:szCs w:val="18"/>
              </w:rPr>
            </w:pPr>
            <w:r>
              <w:rPr>
                <w:rFonts w:ascii="宋体" w:hAnsi="宋体" w:cs="宋体" w:eastAsia="宋体" w:hint="default"/>
                <w:sz w:val="18"/>
                <w:szCs w:val="18"/>
              </w:rPr>
              <w:t>光伏电站</w:t>
            </w:r>
            <w:r>
              <w:rPr>
                <w:rFonts w:ascii="宋体" w:hAnsi="宋体" w:cs="宋体" w:eastAsia="宋体" w:hint="default"/>
                <w:sz w:val="18"/>
                <w:szCs w:val="18"/>
              </w:rPr>
              <w:t> </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7" w:right="0"/>
              <w:jc w:val="center"/>
              <w:rPr>
                <w:rFonts w:ascii="宋体" w:hAnsi="宋体" w:cs="宋体" w:eastAsia="宋体" w:hint="default"/>
                <w:sz w:val="18"/>
                <w:szCs w:val="18"/>
              </w:rPr>
            </w:pPr>
            <w:r>
              <w:rPr>
                <w:rFonts w:ascii="宋体"/>
                <w:sz w:val="18"/>
              </w:rPr>
              <w:t> </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04" w:right="0"/>
              <w:jc w:val="left"/>
              <w:rPr>
                <w:rFonts w:ascii="宋体" w:hAnsi="宋体" w:cs="宋体" w:eastAsia="宋体" w:hint="default"/>
                <w:sz w:val="18"/>
                <w:szCs w:val="18"/>
              </w:rPr>
            </w:pPr>
            <w:r>
              <w:rPr>
                <w:rFonts w:ascii="宋体"/>
                <w:sz w:val="18"/>
              </w:rPr>
              <w:t>100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设立</w:t>
            </w:r>
            <w:r>
              <w:rPr>
                <w:rFonts w:ascii="宋体" w:hAnsi="宋体" w:cs="宋体" w:eastAsia="宋体" w:hint="default"/>
                <w:sz w:val="18"/>
                <w:szCs w:val="18"/>
              </w:rPr>
              <w:t> </w:t>
            </w:r>
          </w:p>
        </w:tc>
      </w:tr>
      <w:tr>
        <w:trPr>
          <w:trHeight w:val="475" w:hRule="exact"/>
        </w:trPr>
        <w:tc>
          <w:tcPr>
            <w:tcW w:w="3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0"/>
              <w:jc w:val="left"/>
              <w:rPr>
                <w:rFonts w:ascii="宋体" w:hAnsi="宋体" w:cs="宋体" w:eastAsia="宋体" w:hint="default"/>
                <w:sz w:val="18"/>
                <w:szCs w:val="18"/>
              </w:rPr>
            </w:pPr>
            <w:r>
              <w:rPr>
                <w:rFonts w:ascii="宋体" w:hAnsi="宋体" w:cs="宋体" w:eastAsia="宋体" w:hint="default"/>
                <w:sz w:val="18"/>
                <w:szCs w:val="18"/>
              </w:rPr>
              <w:t>东海县中盛红利新能源有限公司</w:t>
            </w:r>
            <w:r>
              <w:rPr>
                <w:rFonts w:ascii="宋体" w:hAnsi="宋体" w:cs="宋体" w:eastAsia="宋体" w:hint="default"/>
                <w:sz w:val="18"/>
                <w:szCs w:val="18"/>
              </w:rPr>
              <w:t> </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87" w:right="0"/>
              <w:jc w:val="center"/>
              <w:rPr>
                <w:rFonts w:ascii="宋体" w:hAnsi="宋体" w:cs="宋体" w:eastAsia="宋体" w:hint="default"/>
                <w:sz w:val="18"/>
                <w:szCs w:val="18"/>
              </w:rPr>
            </w:pPr>
            <w:r>
              <w:rPr>
                <w:rFonts w:ascii="宋体" w:hAnsi="宋体" w:cs="宋体" w:eastAsia="宋体" w:hint="default"/>
                <w:sz w:val="18"/>
                <w:szCs w:val="18"/>
              </w:rPr>
              <w:t>东海</w:t>
            </w:r>
            <w:r>
              <w:rPr>
                <w:rFonts w:ascii="宋体" w:hAnsi="宋体" w:cs="宋体" w:eastAsia="宋体" w:hint="default"/>
                <w:sz w:val="18"/>
                <w:szCs w:val="18"/>
              </w:rPr>
              <w:t> </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87" w:right="0"/>
              <w:jc w:val="center"/>
              <w:rPr>
                <w:rFonts w:ascii="宋体" w:hAnsi="宋体" w:cs="宋体" w:eastAsia="宋体" w:hint="default"/>
                <w:sz w:val="18"/>
                <w:szCs w:val="18"/>
              </w:rPr>
            </w:pPr>
            <w:r>
              <w:rPr>
                <w:rFonts w:ascii="宋体" w:hAnsi="宋体" w:cs="宋体" w:eastAsia="宋体" w:hint="default"/>
                <w:sz w:val="18"/>
                <w:szCs w:val="18"/>
              </w:rPr>
              <w:t>东海</w:t>
            </w:r>
            <w:r>
              <w:rPr>
                <w:rFonts w:ascii="宋体" w:hAnsi="宋体" w:cs="宋体" w:eastAsia="宋体" w:hint="default"/>
                <w:sz w:val="18"/>
                <w:szCs w:val="18"/>
              </w:rPr>
              <w:t> </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89" w:right="0"/>
              <w:jc w:val="center"/>
              <w:rPr>
                <w:rFonts w:ascii="宋体" w:hAnsi="宋体" w:cs="宋体" w:eastAsia="宋体" w:hint="default"/>
                <w:sz w:val="18"/>
                <w:szCs w:val="18"/>
              </w:rPr>
            </w:pPr>
            <w:r>
              <w:rPr>
                <w:rFonts w:ascii="宋体" w:hAnsi="宋体" w:cs="宋体" w:eastAsia="宋体" w:hint="default"/>
                <w:sz w:val="18"/>
                <w:szCs w:val="18"/>
              </w:rPr>
              <w:t>光伏电站</w:t>
            </w:r>
            <w:r>
              <w:rPr>
                <w:rFonts w:ascii="宋体" w:hAnsi="宋体" w:cs="宋体" w:eastAsia="宋体" w:hint="default"/>
                <w:sz w:val="18"/>
                <w:szCs w:val="18"/>
              </w:rPr>
              <w:t> </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87" w:right="0"/>
              <w:jc w:val="center"/>
              <w:rPr>
                <w:rFonts w:ascii="宋体" w:hAnsi="宋体" w:cs="宋体" w:eastAsia="宋体" w:hint="default"/>
                <w:sz w:val="18"/>
                <w:szCs w:val="18"/>
              </w:rPr>
            </w:pPr>
            <w:r>
              <w:rPr>
                <w:rFonts w:ascii="宋体"/>
                <w:sz w:val="18"/>
              </w:rPr>
              <w:t> </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204" w:right="0"/>
              <w:jc w:val="left"/>
              <w:rPr>
                <w:rFonts w:ascii="宋体" w:hAnsi="宋体" w:cs="宋体" w:eastAsia="宋体" w:hint="default"/>
                <w:sz w:val="18"/>
                <w:szCs w:val="18"/>
              </w:rPr>
            </w:pPr>
            <w:r>
              <w:rPr>
                <w:rFonts w:ascii="宋体"/>
                <w:sz w:val="18"/>
              </w:rPr>
              <w:t>100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非同一控制下企业合</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并</w:t>
            </w:r>
            <w:r>
              <w:rPr>
                <w:rFonts w:ascii="宋体" w:hAnsi="宋体" w:cs="宋体" w:eastAsia="宋体" w:hint="default"/>
                <w:sz w:val="18"/>
                <w:szCs w:val="18"/>
              </w:rPr>
              <w:t> </w:t>
            </w:r>
          </w:p>
        </w:tc>
      </w:tr>
      <w:tr>
        <w:trPr>
          <w:trHeight w:val="245" w:hRule="exact"/>
        </w:trPr>
        <w:tc>
          <w:tcPr>
            <w:tcW w:w="309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灌云华虹农业科技有限公司</w:t>
            </w:r>
            <w:r>
              <w:rPr>
                <w:rFonts w:ascii="宋体" w:hAnsi="宋体" w:cs="宋体" w:eastAsia="宋体" w:hint="default"/>
                <w:sz w:val="18"/>
                <w:szCs w:val="18"/>
              </w:rPr>
              <w:t> </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87" w:right="0"/>
              <w:jc w:val="center"/>
              <w:rPr>
                <w:rFonts w:ascii="宋体" w:hAnsi="宋体" w:cs="宋体" w:eastAsia="宋体" w:hint="default"/>
                <w:sz w:val="18"/>
                <w:szCs w:val="18"/>
              </w:rPr>
            </w:pPr>
            <w:r>
              <w:rPr>
                <w:rFonts w:ascii="宋体" w:hAnsi="宋体" w:cs="宋体" w:eastAsia="宋体" w:hint="default"/>
                <w:sz w:val="18"/>
                <w:szCs w:val="18"/>
              </w:rPr>
              <w:t>灌云</w:t>
            </w:r>
            <w:r>
              <w:rPr>
                <w:rFonts w:ascii="宋体" w:hAnsi="宋体" w:cs="宋体" w:eastAsia="宋体" w:hint="default"/>
                <w:sz w:val="18"/>
                <w:szCs w:val="18"/>
              </w:rPr>
              <w:t> </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87" w:right="0"/>
              <w:jc w:val="center"/>
              <w:rPr>
                <w:rFonts w:ascii="宋体" w:hAnsi="宋体" w:cs="宋体" w:eastAsia="宋体" w:hint="default"/>
                <w:sz w:val="18"/>
                <w:szCs w:val="18"/>
              </w:rPr>
            </w:pPr>
            <w:r>
              <w:rPr>
                <w:rFonts w:ascii="宋体" w:hAnsi="宋体" w:cs="宋体" w:eastAsia="宋体" w:hint="default"/>
                <w:sz w:val="18"/>
                <w:szCs w:val="18"/>
              </w:rPr>
              <w:t>灌云</w:t>
            </w:r>
            <w:r>
              <w:rPr>
                <w:rFonts w:ascii="宋体" w:hAnsi="宋体" w:cs="宋体" w:eastAsia="宋体" w:hint="default"/>
                <w:sz w:val="18"/>
                <w:szCs w:val="18"/>
              </w:rPr>
              <w:t> </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89" w:right="0"/>
              <w:jc w:val="center"/>
              <w:rPr>
                <w:rFonts w:ascii="宋体" w:hAnsi="宋体" w:cs="宋体" w:eastAsia="宋体" w:hint="default"/>
                <w:sz w:val="18"/>
                <w:szCs w:val="18"/>
              </w:rPr>
            </w:pPr>
            <w:r>
              <w:rPr>
                <w:rFonts w:ascii="宋体" w:hAnsi="宋体" w:cs="宋体" w:eastAsia="宋体" w:hint="default"/>
                <w:sz w:val="18"/>
                <w:szCs w:val="18"/>
              </w:rPr>
              <w:t>光伏电站</w:t>
            </w:r>
            <w:r>
              <w:rPr>
                <w:rFonts w:ascii="宋体" w:hAnsi="宋体" w:cs="宋体" w:eastAsia="宋体" w:hint="default"/>
                <w:sz w:val="18"/>
                <w:szCs w:val="18"/>
              </w:rPr>
              <w:t> </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87" w:right="0"/>
              <w:jc w:val="center"/>
              <w:rPr>
                <w:rFonts w:ascii="宋体" w:hAnsi="宋体" w:cs="宋体" w:eastAsia="宋体" w:hint="default"/>
                <w:sz w:val="18"/>
                <w:szCs w:val="18"/>
              </w:rPr>
            </w:pPr>
            <w:r>
              <w:rPr>
                <w:rFonts w:ascii="宋体"/>
                <w:sz w:val="18"/>
              </w:rPr>
              <w:t> </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04" w:right="0"/>
              <w:jc w:val="left"/>
              <w:rPr>
                <w:rFonts w:ascii="宋体" w:hAnsi="宋体" w:cs="宋体" w:eastAsia="宋体" w:hint="default"/>
                <w:sz w:val="18"/>
                <w:szCs w:val="18"/>
              </w:rPr>
            </w:pPr>
            <w:r>
              <w:rPr>
                <w:rFonts w:ascii="宋体"/>
                <w:sz w:val="18"/>
              </w:rPr>
              <w:t>100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设立</w:t>
            </w:r>
            <w:r>
              <w:rPr>
                <w:rFonts w:ascii="宋体" w:hAnsi="宋体" w:cs="宋体" w:eastAsia="宋体" w:hint="default"/>
                <w:sz w:val="18"/>
                <w:szCs w:val="18"/>
              </w:rPr>
              <w:t> </w:t>
            </w:r>
          </w:p>
        </w:tc>
      </w:tr>
      <w:tr>
        <w:trPr>
          <w:trHeight w:val="242" w:hRule="exact"/>
        </w:trPr>
        <w:tc>
          <w:tcPr>
            <w:tcW w:w="309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灌云林洋新能源科技有限公司</w:t>
            </w:r>
            <w:r>
              <w:rPr>
                <w:rFonts w:ascii="宋体" w:hAnsi="宋体" w:cs="宋体" w:eastAsia="宋体" w:hint="default"/>
                <w:sz w:val="18"/>
                <w:szCs w:val="18"/>
              </w:rPr>
              <w:t> </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7" w:right="0"/>
              <w:jc w:val="center"/>
              <w:rPr>
                <w:rFonts w:ascii="宋体" w:hAnsi="宋体" w:cs="宋体" w:eastAsia="宋体" w:hint="default"/>
                <w:sz w:val="18"/>
                <w:szCs w:val="18"/>
              </w:rPr>
            </w:pPr>
            <w:r>
              <w:rPr>
                <w:rFonts w:ascii="宋体" w:hAnsi="宋体" w:cs="宋体" w:eastAsia="宋体" w:hint="default"/>
                <w:sz w:val="18"/>
                <w:szCs w:val="18"/>
              </w:rPr>
              <w:t>灌云</w:t>
            </w:r>
            <w:r>
              <w:rPr>
                <w:rFonts w:ascii="宋体" w:hAnsi="宋体" w:cs="宋体" w:eastAsia="宋体" w:hint="default"/>
                <w:sz w:val="18"/>
                <w:szCs w:val="18"/>
              </w:rPr>
              <w:t> </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7" w:right="0"/>
              <w:jc w:val="center"/>
              <w:rPr>
                <w:rFonts w:ascii="宋体" w:hAnsi="宋体" w:cs="宋体" w:eastAsia="宋体" w:hint="default"/>
                <w:sz w:val="18"/>
                <w:szCs w:val="18"/>
              </w:rPr>
            </w:pPr>
            <w:r>
              <w:rPr>
                <w:rFonts w:ascii="宋体" w:hAnsi="宋体" w:cs="宋体" w:eastAsia="宋体" w:hint="default"/>
                <w:sz w:val="18"/>
                <w:szCs w:val="18"/>
              </w:rPr>
              <w:t>灌云</w:t>
            </w:r>
            <w:r>
              <w:rPr>
                <w:rFonts w:ascii="宋体" w:hAnsi="宋体" w:cs="宋体" w:eastAsia="宋体" w:hint="default"/>
                <w:sz w:val="18"/>
                <w:szCs w:val="18"/>
              </w:rPr>
              <w:t> </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9" w:right="0"/>
              <w:jc w:val="center"/>
              <w:rPr>
                <w:rFonts w:ascii="宋体" w:hAnsi="宋体" w:cs="宋体" w:eastAsia="宋体" w:hint="default"/>
                <w:sz w:val="18"/>
                <w:szCs w:val="18"/>
              </w:rPr>
            </w:pPr>
            <w:r>
              <w:rPr>
                <w:rFonts w:ascii="宋体" w:hAnsi="宋体" w:cs="宋体" w:eastAsia="宋体" w:hint="default"/>
                <w:sz w:val="18"/>
                <w:szCs w:val="18"/>
              </w:rPr>
              <w:t>光伏电站</w:t>
            </w:r>
            <w:r>
              <w:rPr>
                <w:rFonts w:ascii="宋体" w:hAnsi="宋体" w:cs="宋体" w:eastAsia="宋体" w:hint="default"/>
                <w:sz w:val="18"/>
                <w:szCs w:val="18"/>
              </w:rPr>
              <w:t> </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7" w:right="0"/>
              <w:jc w:val="center"/>
              <w:rPr>
                <w:rFonts w:ascii="宋体" w:hAnsi="宋体" w:cs="宋体" w:eastAsia="宋体" w:hint="default"/>
                <w:sz w:val="18"/>
                <w:szCs w:val="18"/>
              </w:rPr>
            </w:pPr>
            <w:r>
              <w:rPr>
                <w:rFonts w:ascii="宋体"/>
                <w:sz w:val="18"/>
              </w:rPr>
              <w:t> </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04" w:right="0"/>
              <w:jc w:val="left"/>
              <w:rPr>
                <w:rFonts w:ascii="宋体" w:hAnsi="宋体" w:cs="宋体" w:eastAsia="宋体" w:hint="default"/>
                <w:sz w:val="18"/>
                <w:szCs w:val="18"/>
              </w:rPr>
            </w:pPr>
            <w:r>
              <w:rPr>
                <w:rFonts w:ascii="宋体"/>
                <w:sz w:val="18"/>
              </w:rPr>
              <w:t>100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设立</w:t>
            </w:r>
            <w:r>
              <w:rPr>
                <w:rFonts w:ascii="宋体" w:hAnsi="宋体" w:cs="宋体" w:eastAsia="宋体" w:hint="default"/>
                <w:sz w:val="18"/>
                <w:szCs w:val="18"/>
              </w:rPr>
              <w:t> </w:t>
            </w:r>
          </w:p>
        </w:tc>
      </w:tr>
      <w:tr>
        <w:trPr>
          <w:trHeight w:val="245" w:hRule="exact"/>
        </w:trPr>
        <w:tc>
          <w:tcPr>
            <w:tcW w:w="309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灌云中森太阳能科技有限公司</w:t>
            </w:r>
            <w:r>
              <w:rPr>
                <w:rFonts w:ascii="宋体" w:hAnsi="宋体" w:cs="宋体" w:eastAsia="宋体" w:hint="default"/>
                <w:sz w:val="18"/>
                <w:szCs w:val="18"/>
              </w:rPr>
              <w:t> </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7" w:right="0"/>
              <w:jc w:val="center"/>
              <w:rPr>
                <w:rFonts w:ascii="宋体" w:hAnsi="宋体" w:cs="宋体" w:eastAsia="宋体" w:hint="default"/>
                <w:sz w:val="18"/>
                <w:szCs w:val="18"/>
              </w:rPr>
            </w:pPr>
            <w:r>
              <w:rPr>
                <w:rFonts w:ascii="宋体" w:hAnsi="宋体" w:cs="宋体" w:eastAsia="宋体" w:hint="default"/>
                <w:sz w:val="18"/>
                <w:szCs w:val="18"/>
              </w:rPr>
              <w:t>灌云</w:t>
            </w:r>
            <w:r>
              <w:rPr>
                <w:rFonts w:ascii="宋体" w:hAnsi="宋体" w:cs="宋体" w:eastAsia="宋体" w:hint="default"/>
                <w:sz w:val="18"/>
                <w:szCs w:val="18"/>
              </w:rPr>
              <w:t> </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7" w:right="0"/>
              <w:jc w:val="center"/>
              <w:rPr>
                <w:rFonts w:ascii="宋体" w:hAnsi="宋体" w:cs="宋体" w:eastAsia="宋体" w:hint="default"/>
                <w:sz w:val="18"/>
                <w:szCs w:val="18"/>
              </w:rPr>
            </w:pPr>
            <w:r>
              <w:rPr>
                <w:rFonts w:ascii="宋体" w:hAnsi="宋体" w:cs="宋体" w:eastAsia="宋体" w:hint="default"/>
                <w:sz w:val="18"/>
                <w:szCs w:val="18"/>
              </w:rPr>
              <w:t>灌云</w:t>
            </w:r>
            <w:r>
              <w:rPr>
                <w:rFonts w:ascii="宋体" w:hAnsi="宋体" w:cs="宋体" w:eastAsia="宋体" w:hint="default"/>
                <w:sz w:val="18"/>
                <w:szCs w:val="18"/>
              </w:rPr>
              <w:t> </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9" w:right="0"/>
              <w:jc w:val="center"/>
              <w:rPr>
                <w:rFonts w:ascii="宋体" w:hAnsi="宋体" w:cs="宋体" w:eastAsia="宋体" w:hint="default"/>
                <w:sz w:val="18"/>
                <w:szCs w:val="18"/>
              </w:rPr>
            </w:pPr>
            <w:r>
              <w:rPr>
                <w:rFonts w:ascii="宋体" w:hAnsi="宋体" w:cs="宋体" w:eastAsia="宋体" w:hint="default"/>
                <w:sz w:val="18"/>
                <w:szCs w:val="18"/>
              </w:rPr>
              <w:t>光伏电站</w:t>
            </w:r>
            <w:r>
              <w:rPr>
                <w:rFonts w:ascii="宋体" w:hAnsi="宋体" w:cs="宋体" w:eastAsia="宋体" w:hint="default"/>
                <w:sz w:val="18"/>
                <w:szCs w:val="18"/>
              </w:rPr>
              <w:t> </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7" w:right="0"/>
              <w:jc w:val="center"/>
              <w:rPr>
                <w:rFonts w:ascii="宋体" w:hAnsi="宋体" w:cs="宋体" w:eastAsia="宋体" w:hint="default"/>
                <w:sz w:val="18"/>
                <w:szCs w:val="18"/>
              </w:rPr>
            </w:pPr>
            <w:r>
              <w:rPr>
                <w:rFonts w:ascii="宋体"/>
                <w:sz w:val="18"/>
              </w:rPr>
              <w:t> </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04" w:right="0"/>
              <w:jc w:val="left"/>
              <w:rPr>
                <w:rFonts w:ascii="宋体" w:hAnsi="宋体" w:cs="宋体" w:eastAsia="宋体" w:hint="default"/>
                <w:sz w:val="18"/>
                <w:szCs w:val="18"/>
              </w:rPr>
            </w:pPr>
            <w:r>
              <w:rPr>
                <w:rFonts w:ascii="宋体"/>
                <w:sz w:val="18"/>
              </w:rPr>
              <w:t>100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非同一控制下企业合</w:t>
            </w:r>
          </w:p>
        </w:tc>
      </w:tr>
    </w:tbl>
    <w:p>
      <w:pPr>
        <w:spacing w:after="0" w:line="205" w:lineRule="exact"/>
        <w:jc w:val="left"/>
        <w:rPr>
          <w:rFonts w:ascii="宋体" w:hAnsi="宋体" w:cs="宋体" w:eastAsia="宋体" w:hint="default"/>
          <w:sz w:val="18"/>
          <w:szCs w:val="18"/>
        </w:rPr>
        <w:sectPr>
          <w:headerReference w:type="default" r:id="rId225"/>
          <w:footerReference w:type="default" r:id="rId226"/>
          <w:pgSz w:w="11910" w:h="16840"/>
          <w:pgMar w:header="748" w:footer="974" w:top="1140" w:bottom="1160" w:left="840" w:right="320"/>
          <w:pgNumType w:start="185"/>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3"/>
          <w:szCs w:val="13"/>
        </w:rPr>
      </w:pPr>
    </w:p>
    <w:tbl>
      <w:tblPr>
        <w:tblW w:w="0" w:type="auto"/>
        <w:jc w:val="left"/>
        <w:tblInd w:w="100" w:type="dxa"/>
        <w:tblLayout w:type="fixed"/>
        <w:tblCellMar>
          <w:top w:w="0" w:type="dxa"/>
          <w:left w:w="0" w:type="dxa"/>
          <w:bottom w:w="0" w:type="dxa"/>
          <w:right w:w="0" w:type="dxa"/>
        </w:tblCellMar>
        <w:tblLook w:val="01E0"/>
      </w:tblPr>
      <w:tblGrid>
        <w:gridCol w:w="3097"/>
        <w:gridCol w:w="1255"/>
        <w:gridCol w:w="1256"/>
        <w:gridCol w:w="1541"/>
        <w:gridCol w:w="689"/>
        <w:gridCol w:w="694"/>
        <w:gridCol w:w="1985"/>
      </w:tblGrid>
      <w:tr>
        <w:trPr>
          <w:trHeight w:val="245" w:hRule="exact"/>
        </w:trPr>
        <w:tc>
          <w:tcPr>
            <w:tcW w:w="3097" w:type="dxa"/>
            <w:tcBorders>
              <w:top w:val="single" w:sz="4" w:space="0" w:color="000000"/>
              <w:left w:val="single" w:sz="4" w:space="0" w:color="000000"/>
              <w:bottom w:val="single" w:sz="4" w:space="0" w:color="000000"/>
              <w:right w:val="single" w:sz="4" w:space="0" w:color="000000"/>
            </w:tcBorders>
          </w:tcPr>
          <w:p>
            <w:pPr/>
          </w:p>
        </w:tc>
        <w:tc>
          <w:tcPr>
            <w:tcW w:w="1255" w:type="dxa"/>
            <w:tcBorders>
              <w:top w:val="single" w:sz="4" w:space="0" w:color="000000"/>
              <w:left w:val="single" w:sz="4" w:space="0" w:color="000000"/>
              <w:bottom w:val="single" w:sz="4" w:space="0" w:color="000000"/>
              <w:right w:val="single" w:sz="4" w:space="0" w:color="000000"/>
            </w:tcBorders>
          </w:tcPr>
          <w:p>
            <w:pPr/>
          </w:p>
        </w:tc>
        <w:tc>
          <w:tcPr>
            <w:tcW w:w="1256" w:type="dxa"/>
            <w:tcBorders>
              <w:top w:val="single" w:sz="4" w:space="0" w:color="000000"/>
              <w:left w:val="single" w:sz="4" w:space="0" w:color="000000"/>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并</w:t>
            </w:r>
            <w:r>
              <w:rPr>
                <w:rFonts w:ascii="宋体" w:hAnsi="宋体" w:cs="宋体" w:eastAsia="宋体" w:hint="default"/>
                <w:sz w:val="18"/>
                <w:szCs w:val="18"/>
              </w:rPr>
              <w:t> </w:t>
            </w:r>
          </w:p>
        </w:tc>
      </w:tr>
      <w:tr>
        <w:trPr>
          <w:trHeight w:val="478" w:hRule="exact"/>
        </w:trPr>
        <w:tc>
          <w:tcPr>
            <w:tcW w:w="3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江苏飞展能源科技有限公司</w:t>
            </w:r>
            <w:r>
              <w:rPr>
                <w:rFonts w:ascii="宋体" w:hAnsi="宋体" w:cs="宋体" w:eastAsia="宋体" w:hint="default"/>
                <w:sz w:val="18"/>
                <w:szCs w:val="18"/>
              </w:rPr>
              <w:t> </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90" w:right="0"/>
              <w:jc w:val="center"/>
              <w:rPr>
                <w:rFonts w:ascii="宋体" w:hAnsi="宋体" w:cs="宋体" w:eastAsia="宋体" w:hint="default"/>
                <w:sz w:val="18"/>
                <w:szCs w:val="18"/>
              </w:rPr>
            </w:pPr>
            <w:r>
              <w:rPr>
                <w:rFonts w:ascii="宋体" w:hAnsi="宋体" w:cs="宋体" w:eastAsia="宋体" w:hint="default"/>
                <w:sz w:val="18"/>
                <w:szCs w:val="18"/>
              </w:rPr>
              <w:t>连云港</w:t>
            </w:r>
            <w:r>
              <w:rPr>
                <w:rFonts w:ascii="宋体" w:hAnsi="宋体" w:cs="宋体" w:eastAsia="宋体" w:hint="default"/>
                <w:sz w:val="18"/>
                <w:szCs w:val="18"/>
              </w:rPr>
              <w:t> </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89" w:right="0"/>
              <w:jc w:val="center"/>
              <w:rPr>
                <w:rFonts w:ascii="宋体" w:hAnsi="宋体" w:cs="宋体" w:eastAsia="宋体" w:hint="default"/>
                <w:sz w:val="18"/>
                <w:szCs w:val="18"/>
              </w:rPr>
            </w:pPr>
            <w:r>
              <w:rPr>
                <w:rFonts w:ascii="宋体" w:hAnsi="宋体" w:cs="宋体" w:eastAsia="宋体" w:hint="default"/>
                <w:sz w:val="18"/>
                <w:szCs w:val="18"/>
              </w:rPr>
              <w:t>连云港</w:t>
            </w:r>
            <w:r>
              <w:rPr>
                <w:rFonts w:ascii="宋体" w:hAnsi="宋体" w:cs="宋体" w:eastAsia="宋体" w:hint="default"/>
                <w:sz w:val="18"/>
                <w:szCs w:val="18"/>
              </w:rPr>
              <w:t> </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313"/>
              <w:jc w:val="right"/>
              <w:rPr>
                <w:rFonts w:ascii="宋体" w:hAnsi="宋体" w:cs="宋体" w:eastAsia="宋体" w:hint="default"/>
                <w:sz w:val="18"/>
                <w:szCs w:val="18"/>
              </w:rPr>
            </w:pPr>
            <w:r>
              <w:rPr>
                <w:rFonts w:ascii="宋体" w:hAnsi="宋体" w:cs="宋体" w:eastAsia="宋体" w:hint="default"/>
                <w:sz w:val="18"/>
                <w:szCs w:val="18"/>
              </w:rPr>
              <w:t>光伏电站</w:t>
            </w:r>
            <w:r>
              <w:rPr>
                <w:rFonts w:ascii="宋体" w:hAnsi="宋体" w:cs="宋体" w:eastAsia="宋体" w:hint="default"/>
                <w:sz w:val="18"/>
                <w:szCs w:val="18"/>
              </w:rPr>
              <w:t> </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87" w:right="0"/>
              <w:jc w:val="center"/>
              <w:rPr>
                <w:rFonts w:ascii="宋体" w:hAnsi="宋体" w:cs="宋体" w:eastAsia="宋体" w:hint="default"/>
                <w:sz w:val="18"/>
                <w:szCs w:val="18"/>
              </w:rPr>
            </w:pPr>
            <w:r>
              <w:rPr>
                <w:rFonts w:ascii="宋体"/>
                <w:sz w:val="18"/>
              </w:rPr>
              <w:t> </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85" w:right="0"/>
              <w:jc w:val="center"/>
              <w:rPr>
                <w:rFonts w:ascii="宋体" w:hAnsi="宋体" w:cs="宋体" w:eastAsia="宋体" w:hint="default"/>
                <w:sz w:val="18"/>
                <w:szCs w:val="18"/>
              </w:rPr>
            </w:pPr>
            <w:r>
              <w:rPr>
                <w:rFonts w:ascii="宋体"/>
                <w:sz w:val="18"/>
              </w:rPr>
              <w:t>100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非同一控制下企业合</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并</w:t>
            </w:r>
            <w:r>
              <w:rPr>
                <w:rFonts w:ascii="宋体" w:hAnsi="宋体" w:cs="宋体" w:eastAsia="宋体" w:hint="default"/>
                <w:sz w:val="18"/>
                <w:szCs w:val="18"/>
              </w:rPr>
              <w:t> </w:t>
            </w:r>
          </w:p>
        </w:tc>
      </w:tr>
      <w:tr>
        <w:trPr>
          <w:trHeight w:val="475" w:hRule="exact"/>
        </w:trPr>
        <w:tc>
          <w:tcPr>
            <w:tcW w:w="3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0"/>
              <w:jc w:val="left"/>
              <w:rPr>
                <w:rFonts w:ascii="宋体" w:hAnsi="宋体" w:cs="宋体" w:eastAsia="宋体" w:hint="default"/>
                <w:sz w:val="18"/>
                <w:szCs w:val="18"/>
              </w:rPr>
            </w:pPr>
            <w:r>
              <w:rPr>
                <w:rFonts w:ascii="宋体" w:hAnsi="宋体" w:cs="宋体" w:eastAsia="宋体" w:hint="default"/>
                <w:sz w:val="18"/>
                <w:szCs w:val="18"/>
              </w:rPr>
              <w:t>连云港易睐珂新能源有限公司</w:t>
            </w:r>
            <w:r>
              <w:rPr>
                <w:rFonts w:ascii="宋体" w:hAnsi="宋体" w:cs="宋体" w:eastAsia="宋体" w:hint="default"/>
                <w:sz w:val="18"/>
                <w:szCs w:val="18"/>
              </w:rPr>
              <w:t> </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90" w:right="0"/>
              <w:jc w:val="center"/>
              <w:rPr>
                <w:rFonts w:ascii="宋体" w:hAnsi="宋体" w:cs="宋体" w:eastAsia="宋体" w:hint="default"/>
                <w:sz w:val="18"/>
                <w:szCs w:val="18"/>
              </w:rPr>
            </w:pPr>
            <w:r>
              <w:rPr>
                <w:rFonts w:ascii="宋体" w:hAnsi="宋体" w:cs="宋体" w:eastAsia="宋体" w:hint="default"/>
                <w:sz w:val="18"/>
                <w:szCs w:val="18"/>
              </w:rPr>
              <w:t>连云港</w:t>
            </w:r>
            <w:r>
              <w:rPr>
                <w:rFonts w:ascii="宋体" w:hAnsi="宋体" w:cs="宋体" w:eastAsia="宋体" w:hint="default"/>
                <w:sz w:val="18"/>
                <w:szCs w:val="18"/>
              </w:rPr>
              <w:t> </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89" w:right="0"/>
              <w:jc w:val="center"/>
              <w:rPr>
                <w:rFonts w:ascii="宋体" w:hAnsi="宋体" w:cs="宋体" w:eastAsia="宋体" w:hint="default"/>
                <w:sz w:val="18"/>
                <w:szCs w:val="18"/>
              </w:rPr>
            </w:pPr>
            <w:r>
              <w:rPr>
                <w:rFonts w:ascii="宋体" w:hAnsi="宋体" w:cs="宋体" w:eastAsia="宋体" w:hint="default"/>
                <w:sz w:val="18"/>
                <w:szCs w:val="18"/>
              </w:rPr>
              <w:t>连云港</w:t>
            </w:r>
            <w:r>
              <w:rPr>
                <w:rFonts w:ascii="宋体" w:hAnsi="宋体" w:cs="宋体" w:eastAsia="宋体" w:hint="default"/>
                <w:sz w:val="18"/>
                <w:szCs w:val="18"/>
              </w:rPr>
              <w:t> </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313"/>
              <w:jc w:val="right"/>
              <w:rPr>
                <w:rFonts w:ascii="宋体" w:hAnsi="宋体" w:cs="宋体" w:eastAsia="宋体" w:hint="default"/>
                <w:sz w:val="18"/>
                <w:szCs w:val="18"/>
              </w:rPr>
            </w:pPr>
            <w:r>
              <w:rPr>
                <w:rFonts w:ascii="宋体" w:hAnsi="宋体" w:cs="宋体" w:eastAsia="宋体" w:hint="default"/>
                <w:sz w:val="18"/>
                <w:szCs w:val="18"/>
              </w:rPr>
              <w:t>光伏电站</w:t>
            </w:r>
            <w:r>
              <w:rPr>
                <w:rFonts w:ascii="宋体" w:hAnsi="宋体" w:cs="宋体" w:eastAsia="宋体" w:hint="default"/>
                <w:sz w:val="18"/>
                <w:szCs w:val="18"/>
              </w:rPr>
              <w:t> </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87" w:right="0"/>
              <w:jc w:val="center"/>
              <w:rPr>
                <w:rFonts w:ascii="宋体" w:hAnsi="宋体" w:cs="宋体" w:eastAsia="宋体" w:hint="default"/>
                <w:sz w:val="18"/>
                <w:szCs w:val="18"/>
              </w:rPr>
            </w:pPr>
            <w:r>
              <w:rPr>
                <w:rFonts w:ascii="宋体"/>
                <w:sz w:val="18"/>
              </w:rPr>
              <w:t> </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85" w:right="0"/>
              <w:jc w:val="center"/>
              <w:rPr>
                <w:rFonts w:ascii="宋体" w:hAnsi="宋体" w:cs="宋体" w:eastAsia="宋体" w:hint="default"/>
                <w:sz w:val="18"/>
                <w:szCs w:val="18"/>
              </w:rPr>
            </w:pPr>
            <w:r>
              <w:rPr>
                <w:rFonts w:ascii="宋体"/>
                <w:sz w:val="18"/>
              </w:rPr>
              <w:t>100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非同一控制下企业合</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并</w:t>
            </w:r>
            <w:r>
              <w:rPr>
                <w:rFonts w:ascii="宋体" w:hAnsi="宋体" w:cs="宋体" w:eastAsia="宋体" w:hint="default"/>
                <w:sz w:val="18"/>
                <w:szCs w:val="18"/>
              </w:rPr>
              <w:t> </w:t>
            </w:r>
          </w:p>
        </w:tc>
      </w:tr>
      <w:tr>
        <w:trPr>
          <w:trHeight w:val="245" w:hRule="exact"/>
        </w:trPr>
        <w:tc>
          <w:tcPr>
            <w:tcW w:w="309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连云港林洋新能源有限公司</w:t>
            </w:r>
            <w:r>
              <w:rPr>
                <w:rFonts w:ascii="宋体" w:hAnsi="宋体" w:cs="宋体" w:eastAsia="宋体" w:hint="default"/>
                <w:sz w:val="18"/>
                <w:szCs w:val="18"/>
              </w:rPr>
              <w:t> </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90" w:right="0"/>
              <w:jc w:val="center"/>
              <w:rPr>
                <w:rFonts w:ascii="宋体" w:hAnsi="宋体" w:cs="宋体" w:eastAsia="宋体" w:hint="default"/>
                <w:sz w:val="18"/>
                <w:szCs w:val="18"/>
              </w:rPr>
            </w:pPr>
            <w:r>
              <w:rPr>
                <w:rFonts w:ascii="宋体" w:hAnsi="宋体" w:cs="宋体" w:eastAsia="宋体" w:hint="default"/>
                <w:sz w:val="18"/>
                <w:szCs w:val="18"/>
              </w:rPr>
              <w:t>连云港</w:t>
            </w:r>
            <w:r>
              <w:rPr>
                <w:rFonts w:ascii="宋体" w:hAnsi="宋体" w:cs="宋体" w:eastAsia="宋体" w:hint="default"/>
                <w:sz w:val="18"/>
                <w:szCs w:val="18"/>
              </w:rPr>
              <w:t> </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9" w:right="0"/>
              <w:jc w:val="center"/>
              <w:rPr>
                <w:rFonts w:ascii="宋体" w:hAnsi="宋体" w:cs="宋体" w:eastAsia="宋体" w:hint="default"/>
                <w:sz w:val="18"/>
                <w:szCs w:val="18"/>
              </w:rPr>
            </w:pPr>
            <w:r>
              <w:rPr>
                <w:rFonts w:ascii="宋体" w:hAnsi="宋体" w:cs="宋体" w:eastAsia="宋体" w:hint="default"/>
                <w:sz w:val="18"/>
                <w:szCs w:val="18"/>
              </w:rPr>
              <w:t>连云港</w:t>
            </w:r>
            <w:r>
              <w:rPr>
                <w:rFonts w:ascii="宋体" w:hAnsi="宋体" w:cs="宋体" w:eastAsia="宋体" w:hint="default"/>
                <w:sz w:val="18"/>
                <w:szCs w:val="18"/>
              </w:rPr>
              <w:t> </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13"/>
              <w:jc w:val="right"/>
              <w:rPr>
                <w:rFonts w:ascii="宋体" w:hAnsi="宋体" w:cs="宋体" w:eastAsia="宋体" w:hint="default"/>
                <w:sz w:val="18"/>
                <w:szCs w:val="18"/>
              </w:rPr>
            </w:pPr>
            <w:r>
              <w:rPr>
                <w:rFonts w:ascii="宋体" w:hAnsi="宋体" w:cs="宋体" w:eastAsia="宋体" w:hint="default"/>
                <w:sz w:val="18"/>
                <w:szCs w:val="18"/>
              </w:rPr>
              <w:t>光伏电站</w:t>
            </w:r>
            <w:r>
              <w:rPr>
                <w:rFonts w:ascii="宋体" w:hAnsi="宋体" w:cs="宋体" w:eastAsia="宋体" w:hint="default"/>
                <w:sz w:val="18"/>
                <w:szCs w:val="18"/>
              </w:rPr>
              <w:t> </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7" w:right="0"/>
              <w:jc w:val="center"/>
              <w:rPr>
                <w:rFonts w:ascii="宋体" w:hAnsi="宋体" w:cs="宋体" w:eastAsia="宋体" w:hint="default"/>
                <w:sz w:val="18"/>
                <w:szCs w:val="18"/>
              </w:rPr>
            </w:pPr>
            <w:r>
              <w:rPr>
                <w:rFonts w:ascii="宋体"/>
                <w:sz w:val="18"/>
              </w:rPr>
              <w:t> </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5" w:right="0"/>
              <w:jc w:val="center"/>
              <w:rPr>
                <w:rFonts w:ascii="宋体" w:hAnsi="宋体" w:cs="宋体" w:eastAsia="宋体" w:hint="default"/>
                <w:sz w:val="18"/>
                <w:szCs w:val="18"/>
              </w:rPr>
            </w:pPr>
            <w:r>
              <w:rPr>
                <w:rFonts w:ascii="宋体"/>
                <w:sz w:val="18"/>
              </w:rPr>
              <w:t>100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设立</w:t>
            </w:r>
            <w:r>
              <w:rPr>
                <w:rFonts w:ascii="宋体" w:hAnsi="宋体" w:cs="宋体" w:eastAsia="宋体" w:hint="default"/>
                <w:sz w:val="18"/>
                <w:szCs w:val="18"/>
              </w:rPr>
              <w:t> </w:t>
            </w:r>
          </w:p>
        </w:tc>
      </w:tr>
      <w:tr>
        <w:trPr>
          <w:trHeight w:val="242" w:hRule="exact"/>
        </w:trPr>
        <w:tc>
          <w:tcPr>
            <w:tcW w:w="309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连云港首耀新能源科技有限公司</w:t>
            </w:r>
            <w:r>
              <w:rPr>
                <w:rFonts w:ascii="宋体" w:hAnsi="宋体" w:cs="宋体" w:eastAsia="宋体" w:hint="default"/>
                <w:sz w:val="18"/>
                <w:szCs w:val="18"/>
              </w:rPr>
              <w:t> </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90" w:right="0"/>
              <w:jc w:val="center"/>
              <w:rPr>
                <w:rFonts w:ascii="宋体" w:hAnsi="宋体" w:cs="宋体" w:eastAsia="宋体" w:hint="default"/>
                <w:sz w:val="18"/>
                <w:szCs w:val="18"/>
              </w:rPr>
            </w:pPr>
            <w:r>
              <w:rPr>
                <w:rFonts w:ascii="宋体" w:hAnsi="宋体" w:cs="宋体" w:eastAsia="宋体" w:hint="default"/>
                <w:sz w:val="18"/>
                <w:szCs w:val="18"/>
              </w:rPr>
              <w:t>连云港</w:t>
            </w:r>
            <w:r>
              <w:rPr>
                <w:rFonts w:ascii="宋体" w:hAnsi="宋体" w:cs="宋体" w:eastAsia="宋体" w:hint="default"/>
                <w:sz w:val="18"/>
                <w:szCs w:val="18"/>
              </w:rPr>
              <w:t> </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9" w:right="0"/>
              <w:jc w:val="center"/>
              <w:rPr>
                <w:rFonts w:ascii="宋体" w:hAnsi="宋体" w:cs="宋体" w:eastAsia="宋体" w:hint="default"/>
                <w:sz w:val="18"/>
                <w:szCs w:val="18"/>
              </w:rPr>
            </w:pPr>
            <w:r>
              <w:rPr>
                <w:rFonts w:ascii="宋体" w:hAnsi="宋体" w:cs="宋体" w:eastAsia="宋体" w:hint="default"/>
                <w:sz w:val="18"/>
                <w:szCs w:val="18"/>
              </w:rPr>
              <w:t>连云港</w:t>
            </w:r>
            <w:r>
              <w:rPr>
                <w:rFonts w:ascii="宋体" w:hAnsi="宋体" w:cs="宋体" w:eastAsia="宋体" w:hint="default"/>
                <w:sz w:val="18"/>
                <w:szCs w:val="18"/>
              </w:rPr>
              <w:t> </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13"/>
              <w:jc w:val="right"/>
              <w:rPr>
                <w:rFonts w:ascii="宋体" w:hAnsi="宋体" w:cs="宋体" w:eastAsia="宋体" w:hint="default"/>
                <w:sz w:val="18"/>
                <w:szCs w:val="18"/>
              </w:rPr>
            </w:pPr>
            <w:r>
              <w:rPr>
                <w:rFonts w:ascii="宋体" w:hAnsi="宋体" w:cs="宋体" w:eastAsia="宋体" w:hint="default"/>
                <w:sz w:val="18"/>
                <w:szCs w:val="18"/>
              </w:rPr>
              <w:t>光伏电站</w:t>
            </w:r>
            <w:r>
              <w:rPr>
                <w:rFonts w:ascii="宋体" w:hAnsi="宋体" w:cs="宋体" w:eastAsia="宋体" w:hint="default"/>
                <w:sz w:val="18"/>
                <w:szCs w:val="18"/>
              </w:rPr>
              <w:t> </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7" w:right="0"/>
              <w:jc w:val="center"/>
              <w:rPr>
                <w:rFonts w:ascii="宋体" w:hAnsi="宋体" w:cs="宋体" w:eastAsia="宋体" w:hint="default"/>
                <w:sz w:val="18"/>
                <w:szCs w:val="18"/>
              </w:rPr>
            </w:pPr>
            <w:r>
              <w:rPr>
                <w:rFonts w:ascii="宋体"/>
                <w:sz w:val="18"/>
              </w:rPr>
              <w:t> </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5" w:right="0"/>
              <w:jc w:val="center"/>
              <w:rPr>
                <w:rFonts w:ascii="宋体" w:hAnsi="宋体" w:cs="宋体" w:eastAsia="宋体" w:hint="default"/>
                <w:sz w:val="18"/>
                <w:szCs w:val="18"/>
              </w:rPr>
            </w:pPr>
            <w:r>
              <w:rPr>
                <w:rFonts w:ascii="宋体"/>
                <w:sz w:val="18"/>
              </w:rPr>
              <w:t>100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设立</w:t>
            </w:r>
            <w:r>
              <w:rPr>
                <w:rFonts w:ascii="宋体" w:hAnsi="宋体" w:cs="宋体" w:eastAsia="宋体" w:hint="default"/>
                <w:sz w:val="18"/>
                <w:szCs w:val="18"/>
              </w:rPr>
              <w:t> </w:t>
            </w:r>
          </w:p>
        </w:tc>
      </w:tr>
      <w:tr>
        <w:trPr>
          <w:trHeight w:val="245" w:hRule="exact"/>
        </w:trPr>
        <w:tc>
          <w:tcPr>
            <w:tcW w:w="309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海门市林洋新能源电力有限公司</w:t>
            </w:r>
            <w:r>
              <w:rPr>
                <w:rFonts w:ascii="宋体" w:hAnsi="宋体" w:cs="宋体" w:eastAsia="宋体" w:hint="default"/>
                <w:sz w:val="18"/>
                <w:szCs w:val="18"/>
              </w:rPr>
              <w:t> </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7" w:right="0"/>
              <w:jc w:val="center"/>
              <w:rPr>
                <w:rFonts w:ascii="宋体" w:hAnsi="宋体" w:cs="宋体" w:eastAsia="宋体" w:hint="default"/>
                <w:sz w:val="18"/>
                <w:szCs w:val="18"/>
              </w:rPr>
            </w:pPr>
            <w:r>
              <w:rPr>
                <w:rFonts w:ascii="宋体" w:hAnsi="宋体" w:cs="宋体" w:eastAsia="宋体" w:hint="default"/>
                <w:sz w:val="18"/>
                <w:szCs w:val="18"/>
              </w:rPr>
              <w:t>海门</w:t>
            </w:r>
            <w:r>
              <w:rPr>
                <w:rFonts w:ascii="宋体" w:hAnsi="宋体" w:cs="宋体" w:eastAsia="宋体" w:hint="default"/>
                <w:sz w:val="18"/>
                <w:szCs w:val="18"/>
              </w:rPr>
              <w:t> </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7" w:right="0"/>
              <w:jc w:val="center"/>
              <w:rPr>
                <w:rFonts w:ascii="宋体" w:hAnsi="宋体" w:cs="宋体" w:eastAsia="宋体" w:hint="default"/>
                <w:sz w:val="18"/>
                <w:szCs w:val="18"/>
              </w:rPr>
            </w:pPr>
            <w:r>
              <w:rPr>
                <w:rFonts w:ascii="宋体" w:hAnsi="宋体" w:cs="宋体" w:eastAsia="宋体" w:hint="default"/>
                <w:sz w:val="18"/>
                <w:szCs w:val="18"/>
              </w:rPr>
              <w:t>海门</w:t>
            </w:r>
            <w:r>
              <w:rPr>
                <w:rFonts w:ascii="宋体" w:hAnsi="宋体" w:cs="宋体" w:eastAsia="宋体" w:hint="default"/>
                <w:sz w:val="18"/>
                <w:szCs w:val="18"/>
              </w:rPr>
              <w:t> </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13"/>
              <w:jc w:val="right"/>
              <w:rPr>
                <w:rFonts w:ascii="宋体" w:hAnsi="宋体" w:cs="宋体" w:eastAsia="宋体" w:hint="default"/>
                <w:sz w:val="18"/>
                <w:szCs w:val="18"/>
              </w:rPr>
            </w:pPr>
            <w:r>
              <w:rPr>
                <w:rFonts w:ascii="宋体" w:hAnsi="宋体" w:cs="宋体" w:eastAsia="宋体" w:hint="default"/>
                <w:sz w:val="18"/>
                <w:szCs w:val="18"/>
              </w:rPr>
              <w:t>光伏电站</w:t>
            </w:r>
            <w:r>
              <w:rPr>
                <w:rFonts w:ascii="宋体" w:hAnsi="宋体" w:cs="宋体" w:eastAsia="宋体" w:hint="default"/>
                <w:sz w:val="18"/>
                <w:szCs w:val="18"/>
              </w:rPr>
              <w:t> </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7" w:right="0"/>
              <w:jc w:val="center"/>
              <w:rPr>
                <w:rFonts w:ascii="宋体" w:hAnsi="宋体" w:cs="宋体" w:eastAsia="宋体" w:hint="default"/>
                <w:sz w:val="18"/>
                <w:szCs w:val="18"/>
              </w:rPr>
            </w:pPr>
            <w:r>
              <w:rPr>
                <w:rFonts w:ascii="宋体"/>
                <w:sz w:val="18"/>
              </w:rPr>
              <w:t> </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5" w:right="0"/>
              <w:jc w:val="center"/>
              <w:rPr>
                <w:rFonts w:ascii="宋体" w:hAnsi="宋体" w:cs="宋体" w:eastAsia="宋体" w:hint="default"/>
                <w:sz w:val="18"/>
                <w:szCs w:val="18"/>
              </w:rPr>
            </w:pPr>
            <w:r>
              <w:rPr>
                <w:rFonts w:ascii="宋体"/>
                <w:sz w:val="18"/>
              </w:rPr>
              <w:t>100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设立</w:t>
            </w:r>
            <w:r>
              <w:rPr>
                <w:rFonts w:ascii="宋体" w:hAnsi="宋体" w:cs="宋体" w:eastAsia="宋体" w:hint="default"/>
                <w:sz w:val="18"/>
                <w:szCs w:val="18"/>
              </w:rPr>
              <w:t> </w:t>
            </w:r>
          </w:p>
        </w:tc>
      </w:tr>
      <w:tr>
        <w:trPr>
          <w:trHeight w:val="242" w:hRule="exact"/>
        </w:trPr>
        <w:tc>
          <w:tcPr>
            <w:tcW w:w="309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南通华陆新能源科技有限公司</w:t>
            </w:r>
            <w:r>
              <w:rPr>
                <w:rFonts w:ascii="宋体" w:hAnsi="宋体" w:cs="宋体" w:eastAsia="宋体" w:hint="default"/>
                <w:sz w:val="18"/>
                <w:szCs w:val="18"/>
              </w:rPr>
              <w:t> </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7" w:right="0"/>
              <w:jc w:val="center"/>
              <w:rPr>
                <w:rFonts w:ascii="宋体" w:hAnsi="宋体" w:cs="宋体" w:eastAsia="宋体" w:hint="default"/>
                <w:sz w:val="18"/>
                <w:szCs w:val="18"/>
              </w:rPr>
            </w:pPr>
            <w:r>
              <w:rPr>
                <w:rFonts w:ascii="宋体" w:hAnsi="宋体" w:cs="宋体" w:eastAsia="宋体" w:hint="default"/>
                <w:sz w:val="18"/>
                <w:szCs w:val="18"/>
              </w:rPr>
              <w:t>南通</w:t>
            </w:r>
            <w:r>
              <w:rPr>
                <w:rFonts w:ascii="宋体" w:hAnsi="宋体" w:cs="宋体" w:eastAsia="宋体" w:hint="default"/>
                <w:sz w:val="18"/>
                <w:szCs w:val="18"/>
              </w:rPr>
              <w:t> </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7" w:right="0"/>
              <w:jc w:val="center"/>
              <w:rPr>
                <w:rFonts w:ascii="宋体" w:hAnsi="宋体" w:cs="宋体" w:eastAsia="宋体" w:hint="default"/>
                <w:sz w:val="18"/>
                <w:szCs w:val="18"/>
              </w:rPr>
            </w:pPr>
            <w:r>
              <w:rPr>
                <w:rFonts w:ascii="宋体" w:hAnsi="宋体" w:cs="宋体" w:eastAsia="宋体" w:hint="default"/>
                <w:sz w:val="18"/>
                <w:szCs w:val="18"/>
              </w:rPr>
              <w:t>南通</w:t>
            </w:r>
            <w:r>
              <w:rPr>
                <w:rFonts w:ascii="宋体" w:hAnsi="宋体" w:cs="宋体" w:eastAsia="宋体" w:hint="default"/>
                <w:sz w:val="18"/>
                <w:szCs w:val="18"/>
              </w:rPr>
              <w:t> </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13"/>
              <w:jc w:val="right"/>
              <w:rPr>
                <w:rFonts w:ascii="宋体" w:hAnsi="宋体" w:cs="宋体" w:eastAsia="宋体" w:hint="default"/>
                <w:sz w:val="18"/>
                <w:szCs w:val="18"/>
              </w:rPr>
            </w:pPr>
            <w:r>
              <w:rPr>
                <w:rFonts w:ascii="宋体" w:hAnsi="宋体" w:cs="宋体" w:eastAsia="宋体" w:hint="default"/>
                <w:sz w:val="18"/>
                <w:szCs w:val="18"/>
              </w:rPr>
              <w:t>光伏电站</w:t>
            </w:r>
            <w:r>
              <w:rPr>
                <w:rFonts w:ascii="宋体" w:hAnsi="宋体" w:cs="宋体" w:eastAsia="宋体" w:hint="default"/>
                <w:sz w:val="18"/>
                <w:szCs w:val="18"/>
              </w:rPr>
              <w:t> </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7" w:right="0"/>
              <w:jc w:val="center"/>
              <w:rPr>
                <w:rFonts w:ascii="宋体" w:hAnsi="宋体" w:cs="宋体" w:eastAsia="宋体" w:hint="default"/>
                <w:sz w:val="18"/>
                <w:szCs w:val="18"/>
              </w:rPr>
            </w:pPr>
            <w:r>
              <w:rPr>
                <w:rFonts w:ascii="宋体"/>
                <w:sz w:val="18"/>
              </w:rPr>
              <w:t> </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5" w:right="0"/>
              <w:jc w:val="center"/>
              <w:rPr>
                <w:rFonts w:ascii="宋体" w:hAnsi="宋体" w:cs="宋体" w:eastAsia="宋体" w:hint="default"/>
                <w:sz w:val="18"/>
                <w:szCs w:val="18"/>
              </w:rPr>
            </w:pPr>
            <w:r>
              <w:rPr>
                <w:rFonts w:ascii="宋体"/>
                <w:sz w:val="18"/>
              </w:rPr>
              <w:t>100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设立</w:t>
            </w:r>
            <w:r>
              <w:rPr>
                <w:rFonts w:ascii="宋体" w:hAnsi="宋体" w:cs="宋体" w:eastAsia="宋体" w:hint="default"/>
                <w:sz w:val="18"/>
                <w:szCs w:val="18"/>
              </w:rPr>
              <w:t> </w:t>
            </w:r>
          </w:p>
        </w:tc>
      </w:tr>
      <w:tr>
        <w:trPr>
          <w:trHeight w:val="242" w:hRule="exact"/>
        </w:trPr>
        <w:tc>
          <w:tcPr>
            <w:tcW w:w="309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南通林森新能源科技有限公司</w:t>
            </w:r>
            <w:r>
              <w:rPr>
                <w:rFonts w:ascii="宋体" w:hAnsi="宋体" w:cs="宋体" w:eastAsia="宋体" w:hint="default"/>
                <w:sz w:val="18"/>
                <w:szCs w:val="18"/>
              </w:rPr>
              <w:t> </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7" w:right="0"/>
              <w:jc w:val="center"/>
              <w:rPr>
                <w:rFonts w:ascii="宋体" w:hAnsi="宋体" w:cs="宋体" w:eastAsia="宋体" w:hint="default"/>
                <w:sz w:val="18"/>
                <w:szCs w:val="18"/>
              </w:rPr>
            </w:pPr>
            <w:r>
              <w:rPr>
                <w:rFonts w:ascii="宋体" w:hAnsi="宋体" w:cs="宋体" w:eastAsia="宋体" w:hint="default"/>
                <w:sz w:val="18"/>
                <w:szCs w:val="18"/>
              </w:rPr>
              <w:t>南通</w:t>
            </w:r>
            <w:r>
              <w:rPr>
                <w:rFonts w:ascii="宋体" w:hAnsi="宋体" w:cs="宋体" w:eastAsia="宋体" w:hint="default"/>
                <w:sz w:val="18"/>
                <w:szCs w:val="18"/>
              </w:rPr>
              <w:t> </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7" w:right="0"/>
              <w:jc w:val="center"/>
              <w:rPr>
                <w:rFonts w:ascii="宋体" w:hAnsi="宋体" w:cs="宋体" w:eastAsia="宋体" w:hint="default"/>
                <w:sz w:val="18"/>
                <w:szCs w:val="18"/>
              </w:rPr>
            </w:pPr>
            <w:r>
              <w:rPr>
                <w:rFonts w:ascii="宋体" w:hAnsi="宋体" w:cs="宋体" w:eastAsia="宋体" w:hint="default"/>
                <w:sz w:val="18"/>
                <w:szCs w:val="18"/>
              </w:rPr>
              <w:t>南通</w:t>
            </w:r>
            <w:r>
              <w:rPr>
                <w:rFonts w:ascii="宋体" w:hAnsi="宋体" w:cs="宋体" w:eastAsia="宋体" w:hint="default"/>
                <w:sz w:val="18"/>
                <w:szCs w:val="18"/>
              </w:rPr>
              <w:t> </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13"/>
              <w:jc w:val="right"/>
              <w:rPr>
                <w:rFonts w:ascii="宋体" w:hAnsi="宋体" w:cs="宋体" w:eastAsia="宋体" w:hint="default"/>
                <w:sz w:val="18"/>
                <w:szCs w:val="18"/>
              </w:rPr>
            </w:pPr>
            <w:r>
              <w:rPr>
                <w:rFonts w:ascii="宋体" w:hAnsi="宋体" w:cs="宋体" w:eastAsia="宋体" w:hint="default"/>
                <w:sz w:val="18"/>
                <w:szCs w:val="18"/>
              </w:rPr>
              <w:t>光伏电站</w:t>
            </w:r>
            <w:r>
              <w:rPr>
                <w:rFonts w:ascii="宋体" w:hAnsi="宋体" w:cs="宋体" w:eastAsia="宋体" w:hint="default"/>
                <w:sz w:val="18"/>
                <w:szCs w:val="18"/>
              </w:rPr>
              <w:t> </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7" w:right="0"/>
              <w:jc w:val="center"/>
              <w:rPr>
                <w:rFonts w:ascii="宋体" w:hAnsi="宋体" w:cs="宋体" w:eastAsia="宋体" w:hint="default"/>
                <w:sz w:val="18"/>
                <w:szCs w:val="18"/>
              </w:rPr>
            </w:pPr>
            <w:r>
              <w:rPr>
                <w:rFonts w:ascii="宋体"/>
                <w:sz w:val="18"/>
              </w:rPr>
              <w:t> </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5" w:right="0"/>
              <w:jc w:val="center"/>
              <w:rPr>
                <w:rFonts w:ascii="宋体" w:hAnsi="宋体" w:cs="宋体" w:eastAsia="宋体" w:hint="default"/>
                <w:sz w:val="18"/>
                <w:szCs w:val="18"/>
              </w:rPr>
            </w:pPr>
            <w:r>
              <w:rPr>
                <w:rFonts w:ascii="宋体"/>
                <w:sz w:val="18"/>
              </w:rPr>
              <w:t>100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设立</w:t>
            </w:r>
            <w:r>
              <w:rPr>
                <w:rFonts w:ascii="宋体" w:hAnsi="宋体" w:cs="宋体" w:eastAsia="宋体" w:hint="default"/>
                <w:sz w:val="18"/>
                <w:szCs w:val="18"/>
              </w:rPr>
              <w:t> </w:t>
            </w:r>
          </w:p>
        </w:tc>
      </w:tr>
      <w:tr>
        <w:trPr>
          <w:trHeight w:val="245" w:hRule="exact"/>
        </w:trPr>
        <w:tc>
          <w:tcPr>
            <w:tcW w:w="309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江苏永林新能源科技有限公司</w:t>
            </w:r>
            <w:r>
              <w:rPr>
                <w:rFonts w:ascii="宋体" w:hAnsi="宋体" w:cs="宋体" w:eastAsia="宋体" w:hint="default"/>
                <w:sz w:val="18"/>
                <w:szCs w:val="18"/>
              </w:rPr>
              <w:t> </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87" w:right="0"/>
              <w:jc w:val="center"/>
              <w:rPr>
                <w:rFonts w:ascii="宋体" w:hAnsi="宋体" w:cs="宋体" w:eastAsia="宋体" w:hint="default"/>
                <w:sz w:val="18"/>
                <w:szCs w:val="18"/>
              </w:rPr>
            </w:pPr>
            <w:r>
              <w:rPr>
                <w:rFonts w:ascii="宋体" w:hAnsi="宋体" w:cs="宋体" w:eastAsia="宋体" w:hint="default"/>
                <w:sz w:val="18"/>
                <w:szCs w:val="18"/>
              </w:rPr>
              <w:t>南通</w:t>
            </w:r>
            <w:r>
              <w:rPr>
                <w:rFonts w:ascii="宋体" w:hAnsi="宋体" w:cs="宋体" w:eastAsia="宋体" w:hint="default"/>
                <w:sz w:val="18"/>
                <w:szCs w:val="18"/>
              </w:rPr>
              <w:t> </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87" w:right="0"/>
              <w:jc w:val="center"/>
              <w:rPr>
                <w:rFonts w:ascii="宋体" w:hAnsi="宋体" w:cs="宋体" w:eastAsia="宋体" w:hint="default"/>
                <w:sz w:val="18"/>
                <w:szCs w:val="18"/>
              </w:rPr>
            </w:pPr>
            <w:r>
              <w:rPr>
                <w:rFonts w:ascii="宋体" w:hAnsi="宋体" w:cs="宋体" w:eastAsia="宋体" w:hint="default"/>
                <w:sz w:val="18"/>
                <w:szCs w:val="18"/>
              </w:rPr>
              <w:t>南通</w:t>
            </w:r>
            <w:r>
              <w:rPr>
                <w:rFonts w:ascii="宋体" w:hAnsi="宋体" w:cs="宋体" w:eastAsia="宋体" w:hint="default"/>
                <w:sz w:val="18"/>
                <w:szCs w:val="18"/>
              </w:rPr>
              <w:t> </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313"/>
              <w:jc w:val="right"/>
              <w:rPr>
                <w:rFonts w:ascii="宋体" w:hAnsi="宋体" w:cs="宋体" w:eastAsia="宋体" w:hint="default"/>
                <w:sz w:val="18"/>
                <w:szCs w:val="18"/>
              </w:rPr>
            </w:pPr>
            <w:r>
              <w:rPr>
                <w:rFonts w:ascii="宋体" w:hAnsi="宋体" w:cs="宋体" w:eastAsia="宋体" w:hint="default"/>
                <w:sz w:val="18"/>
                <w:szCs w:val="18"/>
              </w:rPr>
              <w:t>光伏电站</w:t>
            </w:r>
            <w:r>
              <w:rPr>
                <w:rFonts w:ascii="宋体" w:hAnsi="宋体" w:cs="宋体" w:eastAsia="宋体" w:hint="default"/>
                <w:sz w:val="18"/>
                <w:szCs w:val="18"/>
              </w:rPr>
              <w:t> </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87" w:right="0"/>
              <w:jc w:val="center"/>
              <w:rPr>
                <w:rFonts w:ascii="宋体" w:hAnsi="宋体" w:cs="宋体" w:eastAsia="宋体" w:hint="default"/>
                <w:sz w:val="18"/>
                <w:szCs w:val="18"/>
              </w:rPr>
            </w:pPr>
            <w:r>
              <w:rPr>
                <w:rFonts w:ascii="宋体"/>
                <w:sz w:val="18"/>
              </w:rPr>
              <w:t> </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85" w:right="0"/>
              <w:jc w:val="center"/>
              <w:rPr>
                <w:rFonts w:ascii="宋体" w:hAnsi="宋体" w:cs="宋体" w:eastAsia="宋体" w:hint="default"/>
                <w:sz w:val="18"/>
                <w:szCs w:val="18"/>
              </w:rPr>
            </w:pPr>
            <w:r>
              <w:rPr>
                <w:rFonts w:ascii="宋体"/>
                <w:sz w:val="18"/>
              </w:rPr>
              <w:t>100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设立</w:t>
            </w:r>
            <w:r>
              <w:rPr>
                <w:rFonts w:ascii="宋体" w:hAnsi="宋体" w:cs="宋体" w:eastAsia="宋体" w:hint="default"/>
                <w:sz w:val="18"/>
                <w:szCs w:val="18"/>
              </w:rPr>
              <w:t> </w:t>
            </w:r>
          </w:p>
        </w:tc>
      </w:tr>
      <w:tr>
        <w:trPr>
          <w:trHeight w:val="242" w:hRule="exact"/>
        </w:trPr>
        <w:tc>
          <w:tcPr>
            <w:tcW w:w="309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南通市华乐新能源电力有限公司</w:t>
            </w:r>
            <w:r>
              <w:rPr>
                <w:rFonts w:ascii="宋体" w:hAnsi="宋体" w:cs="宋体" w:eastAsia="宋体" w:hint="default"/>
                <w:sz w:val="18"/>
                <w:szCs w:val="18"/>
              </w:rPr>
              <w:t> </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7" w:right="0"/>
              <w:jc w:val="center"/>
              <w:rPr>
                <w:rFonts w:ascii="宋体" w:hAnsi="宋体" w:cs="宋体" w:eastAsia="宋体" w:hint="default"/>
                <w:sz w:val="18"/>
                <w:szCs w:val="18"/>
              </w:rPr>
            </w:pPr>
            <w:r>
              <w:rPr>
                <w:rFonts w:ascii="宋体" w:hAnsi="宋体" w:cs="宋体" w:eastAsia="宋体" w:hint="default"/>
                <w:sz w:val="18"/>
                <w:szCs w:val="18"/>
              </w:rPr>
              <w:t>南通</w:t>
            </w:r>
            <w:r>
              <w:rPr>
                <w:rFonts w:ascii="宋体" w:hAnsi="宋体" w:cs="宋体" w:eastAsia="宋体" w:hint="default"/>
                <w:sz w:val="18"/>
                <w:szCs w:val="18"/>
              </w:rPr>
              <w:t> </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7" w:right="0"/>
              <w:jc w:val="center"/>
              <w:rPr>
                <w:rFonts w:ascii="宋体" w:hAnsi="宋体" w:cs="宋体" w:eastAsia="宋体" w:hint="default"/>
                <w:sz w:val="18"/>
                <w:szCs w:val="18"/>
              </w:rPr>
            </w:pPr>
            <w:r>
              <w:rPr>
                <w:rFonts w:ascii="宋体" w:hAnsi="宋体" w:cs="宋体" w:eastAsia="宋体" w:hint="default"/>
                <w:sz w:val="18"/>
                <w:szCs w:val="18"/>
              </w:rPr>
              <w:t>南通</w:t>
            </w:r>
            <w:r>
              <w:rPr>
                <w:rFonts w:ascii="宋体" w:hAnsi="宋体" w:cs="宋体" w:eastAsia="宋体" w:hint="default"/>
                <w:sz w:val="18"/>
                <w:szCs w:val="18"/>
              </w:rPr>
              <w:t> </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13"/>
              <w:jc w:val="right"/>
              <w:rPr>
                <w:rFonts w:ascii="宋体" w:hAnsi="宋体" w:cs="宋体" w:eastAsia="宋体" w:hint="default"/>
                <w:sz w:val="18"/>
                <w:szCs w:val="18"/>
              </w:rPr>
            </w:pPr>
            <w:r>
              <w:rPr>
                <w:rFonts w:ascii="宋体" w:hAnsi="宋体" w:cs="宋体" w:eastAsia="宋体" w:hint="default"/>
                <w:sz w:val="18"/>
                <w:szCs w:val="18"/>
              </w:rPr>
              <w:t>光伏电站</w:t>
            </w:r>
            <w:r>
              <w:rPr>
                <w:rFonts w:ascii="宋体" w:hAnsi="宋体" w:cs="宋体" w:eastAsia="宋体" w:hint="default"/>
                <w:sz w:val="18"/>
                <w:szCs w:val="18"/>
              </w:rPr>
              <w:t> </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7" w:right="0"/>
              <w:jc w:val="center"/>
              <w:rPr>
                <w:rFonts w:ascii="宋体" w:hAnsi="宋体" w:cs="宋体" w:eastAsia="宋体" w:hint="default"/>
                <w:sz w:val="18"/>
                <w:szCs w:val="18"/>
              </w:rPr>
            </w:pPr>
            <w:r>
              <w:rPr>
                <w:rFonts w:ascii="宋体"/>
                <w:sz w:val="18"/>
              </w:rPr>
              <w:t> </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5" w:right="0"/>
              <w:jc w:val="center"/>
              <w:rPr>
                <w:rFonts w:ascii="宋体" w:hAnsi="宋体" w:cs="宋体" w:eastAsia="宋体" w:hint="default"/>
                <w:sz w:val="18"/>
                <w:szCs w:val="18"/>
              </w:rPr>
            </w:pPr>
            <w:r>
              <w:rPr>
                <w:rFonts w:ascii="宋体"/>
                <w:sz w:val="18"/>
              </w:rPr>
              <w:t>100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设立</w:t>
            </w:r>
            <w:r>
              <w:rPr>
                <w:rFonts w:ascii="宋体" w:hAnsi="宋体" w:cs="宋体" w:eastAsia="宋体" w:hint="default"/>
                <w:sz w:val="18"/>
                <w:szCs w:val="18"/>
              </w:rPr>
              <w:t> </w:t>
            </w:r>
          </w:p>
        </w:tc>
      </w:tr>
      <w:tr>
        <w:trPr>
          <w:trHeight w:val="245" w:hRule="exact"/>
        </w:trPr>
        <w:tc>
          <w:tcPr>
            <w:tcW w:w="309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启东市华虹新能源电力有限公司</w:t>
            </w:r>
            <w:r>
              <w:rPr>
                <w:rFonts w:ascii="宋体" w:hAnsi="宋体" w:cs="宋体" w:eastAsia="宋体" w:hint="default"/>
                <w:sz w:val="18"/>
                <w:szCs w:val="18"/>
              </w:rPr>
              <w:t> </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7" w:right="0"/>
              <w:jc w:val="center"/>
              <w:rPr>
                <w:rFonts w:ascii="宋体" w:hAnsi="宋体" w:cs="宋体" w:eastAsia="宋体" w:hint="default"/>
                <w:sz w:val="18"/>
                <w:szCs w:val="18"/>
              </w:rPr>
            </w:pPr>
            <w:r>
              <w:rPr>
                <w:rFonts w:ascii="宋体" w:hAnsi="宋体" w:cs="宋体" w:eastAsia="宋体" w:hint="default"/>
                <w:sz w:val="18"/>
                <w:szCs w:val="18"/>
              </w:rPr>
              <w:t>启东</w:t>
            </w:r>
            <w:r>
              <w:rPr>
                <w:rFonts w:ascii="宋体" w:hAnsi="宋体" w:cs="宋体" w:eastAsia="宋体" w:hint="default"/>
                <w:sz w:val="18"/>
                <w:szCs w:val="18"/>
              </w:rPr>
              <w:t> </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7" w:right="0"/>
              <w:jc w:val="center"/>
              <w:rPr>
                <w:rFonts w:ascii="宋体" w:hAnsi="宋体" w:cs="宋体" w:eastAsia="宋体" w:hint="default"/>
                <w:sz w:val="18"/>
                <w:szCs w:val="18"/>
              </w:rPr>
            </w:pPr>
            <w:r>
              <w:rPr>
                <w:rFonts w:ascii="宋体" w:hAnsi="宋体" w:cs="宋体" w:eastAsia="宋体" w:hint="default"/>
                <w:sz w:val="18"/>
                <w:szCs w:val="18"/>
              </w:rPr>
              <w:t>启东</w:t>
            </w:r>
            <w:r>
              <w:rPr>
                <w:rFonts w:ascii="宋体" w:hAnsi="宋体" w:cs="宋体" w:eastAsia="宋体" w:hint="default"/>
                <w:sz w:val="18"/>
                <w:szCs w:val="18"/>
              </w:rPr>
              <w:t> </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13"/>
              <w:jc w:val="right"/>
              <w:rPr>
                <w:rFonts w:ascii="宋体" w:hAnsi="宋体" w:cs="宋体" w:eastAsia="宋体" w:hint="default"/>
                <w:sz w:val="18"/>
                <w:szCs w:val="18"/>
              </w:rPr>
            </w:pPr>
            <w:r>
              <w:rPr>
                <w:rFonts w:ascii="宋体" w:hAnsi="宋体" w:cs="宋体" w:eastAsia="宋体" w:hint="default"/>
                <w:sz w:val="18"/>
                <w:szCs w:val="18"/>
              </w:rPr>
              <w:t>光伏电站</w:t>
            </w:r>
            <w:r>
              <w:rPr>
                <w:rFonts w:ascii="宋体" w:hAnsi="宋体" w:cs="宋体" w:eastAsia="宋体" w:hint="default"/>
                <w:sz w:val="18"/>
                <w:szCs w:val="18"/>
              </w:rPr>
              <w:t> </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7" w:right="0"/>
              <w:jc w:val="center"/>
              <w:rPr>
                <w:rFonts w:ascii="宋体" w:hAnsi="宋体" w:cs="宋体" w:eastAsia="宋体" w:hint="default"/>
                <w:sz w:val="18"/>
                <w:szCs w:val="18"/>
              </w:rPr>
            </w:pPr>
            <w:r>
              <w:rPr>
                <w:rFonts w:ascii="宋体"/>
                <w:sz w:val="18"/>
              </w:rPr>
              <w:t> </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5" w:right="0"/>
              <w:jc w:val="center"/>
              <w:rPr>
                <w:rFonts w:ascii="宋体" w:hAnsi="宋体" w:cs="宋体" w:eastAsia="宋体" w:hint="default"/>
                <w:sz w:val="18"/>
                <w:szCs w:val="18"/>
              </w:rPr>
            </w:pPr>
            <w:r>
              <w:rPr>
                <w:rFonts w:ascii="宋体"/>
                <w:sz w:val="18"/>
              </w:rPr>
              <w:t>100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设立</w:t>
            </w:r>
            <w:r>
              <w:rPr>
                <w:rFonts w:ascii="宋体" w:hAnsi="宋体" w:cs="宋体" w:eastAsia="宋体" w:hint="default"/>
                <w:sz w:val="18"/>
                <w:szCs w:val="18"/>
              </w:rPr>
              <w:t> </w:t>
            </w:r>
          </w:p>
        </w:tc>
      </w:tr>
      <w:tr>
        <w:trPr>
          <w:trHeight w:val="242" w:hRule="exact"/>
        </w:trPr>
        <w:tc>
          <w:tcPr>
            <w:tcW w:w="309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启东市华乐新能源电力有限公司</w:t>
            </w:r>
            <w:r>
              <w:rPr>
                <w:rFonts w:ascii="宋体" w:hAnsi="宋体" w:cs="宋体" w:eastAsia="宋体" w:hint="default"/>
                <w:sz w:val="18"/>
                <w:szCs w:val="18"/>
              </w:rPr>
              <w:t> </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7" w:right="0"/>
              <w:jc w:val="center"/>
              <w:rPr>
                <w:rFonts w:ascii="宋体" w:hAnsi="宋体" w:cs="宋体" w:eastAsia="宋体" w:hint="default"/>
                <w:sz w:val="18"/>
                <w:szCs w:val="18"/>
              </w:rPr>
            </w:pPr>
            <w:r>
              <w:rPr>
                <w:rFonts w:ascii="宋体" w:hAnsi="宋体" w:cs="宋体" w:eastAsia="宋体" w:hint="default"/>
                <w:sz w:val="18"/>
                <w:szCs w:val="18"/>
              </w:rPr>
              <w:t>启东</w:t>
            </w:r>
            <w:r>
              <w:rPr>
                <w:rFonts w:ascii="宋体" w:hAnsi="宋体" w:cs="宋体" w:eastAsia="宋体" w:hint="default"/>
                <w:sz w:val="18"/>
                <w:szCs w:val="18"/>
              </w:rPr>
              <w:t> </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7" w:right="0"/>
              <w:jc w:val="center"/>
              <w:rPr>
                <w:rFonts w:ascii="宋体" w:hAnsi="宋体" w:cs="宋体" w:eastAsia="宋体" w:hint="default"/>
                <w:sz w:val="18"/>
                <w:szCs w:val="18"/>
              </w:rPr>
            </w:pPr>
            <w:r>
              <w:rPr>
                <w:rFonts w:ascii="宋体" w:hAnsi="宋体" w:cs="宋体" w:eastAsia="宋体" w:hint="default"/>
                <w:sz w:val="18"/>
                <w:szCs w:val="18"/>
              </w:rPr>
              <w:t>启东</w:t>
            </w:r>
            <w:r>
              <w:rPr>
                <w:rFonts w:ascii="宋体" w:hAnsi="宋体" w:cs="宋体" w:eastAsia="宋体" w:hint="default"/>
                <w:sz w:val="18"/>
                <w:szCs w:val="18"/>
              </w:rPr>
              <w:t> </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13"/>
              <w:jc w:val="right"/>
              <w:rPr>
                <w:rFonts w:ascii="宋体" w:hAnsi="宋体" w:cs="宋体" w:eastAsia="宋体" w:hint="default"/>
                <w:sz w:val="18"/>
                <w:szCs w:val="18"/>
              </w:rPr>
            </w:pPr>
            <w:r>
              <w:rPr>
                <w:rFonts w:ascii="宋体" w:hAnsi="宋体" w:cs="宋体" w:eastAsia="宋体" w:hint="default"/>
                <w:sz w:val="18"/>
                <w:szCs w:val="18"/>
              </w:rPr>
              <w:t>光伏电站</w:t>
            </w:r>
            <w:r>
              <w:rPr>
                <w:rFonts w:ascii="宋体" w:hAnsi="宋体" w:cs="宋体" w:eastAsia="宋体" w:hint="default"/>
                <w:sz w:val="18"/>
                <w:szCs w:val="18"/>
              </w:rPr>
              <w:t> </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7" w:right="0"/>
              <w:jc w:val="center"/>
              <w:rPr>
                <w:rFonts w:ascii="宋体" w:hAnsi="宋体" w:cs="宋体" w:eastAsia="宋体" w:hint="default"/>
                <w:sz w:val="18"/>
                <w:szCs w:val="18"/>
              </w:rPr>
            </w:pPr>
            <w:r>
              <w:rPr>
                <w:rFonts w:ascii="宋体"/>
                <w:sz w:val="18"/>
              </w:rPr>
              <w:t> </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5" w:right="0"/>
              <w:jc w:val="center"/>
              <w:rPr>
                <w:rFonts w:ascii="宋体" w:hAnsi="宋体" w:cs="宋体" w:eastAsia="宋体" w:hint="default"/>
                <w:sz w:val="18"/>
                <w:szCs w:val="18"/>
              </w:rPr>
            </w:pPr>
            <w:r>
              <w:rPr>
                <w:rFonts w:ascii="宋体"/>
                <w:sz w:val="18"/>
              </w:rPr>
              <w:t>100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设立</w:t>
            </w:r>
            <w:r>
              <w:rPr>
                <w:rFonts w:ascii="宋体" w:hAnsi="宋体" w:cs="宋体" w:eastAsia="宋体" w:hint="default"/>
                <w:sz w:val="18"/>
                <w:szCs w:val="18"/>
              </w:rPr>
              <w:t> </w:t>
            </w:r>
          </w:p>
        </w:tc>
      </w:tr>
      <w:tr>
        <w:trPr>
          <w:trHeight w:val="245" w:hRule="exact"/>
        </w:trPr>
        <w:tc>
          <w:tcPr>
            <w:tcW w:w="309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如皋市林洋新能源电力有限公司</w:t>
            </w:r>
            <w:r>
              <w:rPr>
                <w:rFonts w:ascii="宋体" w:hAnsi="宋体" w:cs="宋体" w:eastAsia="宋体" w:hint="default"/>
                <w:sz w:val="18"/>
                <w:szCs w:val="18"/>
              </w:rPr>
              <w:t> </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7" w:right="0"/>
              <w:jc w:val="center"/>
              <w:rPr>
                <w:rFonts w:ascii="宋体" w:hAnsi="宋体" w:cs="宋体" w:eastAsia="宋体" w:hint="default"/>
                <w:sz w:val="18"/>
                <w:szCs w:val="18"/>
              </w:rPr>
            </w:pPr>
            <w:r>
              <w:rPr>
                <w:rFonts w:ascii="宋体" w:hAnsi="宋体" w:cs="宋体" w:eastAsia="宋体" w:hint="default"/>
                <w:sz w:val="18"/>
                <w:szCs w:val="18"/>
              </w:rPr>
              <w:t>如皋</w:t>
            </w:r>
            <w:r>
              <w:rPr>
                <w:rFonts w:ascii="宋体" w:hAnsi="宋体" w:cs="宋体" w:eastAsia="宋体" w:hint="default"/>
                <w:sz w:val="18"/>
                <w:szCs w:val="18"/>
              </w:rPr>
              <w:t> </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7" w:right="0"/>
              <w:jc w:val="center"/>
              <w:rPr>
                <w:rFonts w:ascii="宋体" w:hAnsi="宋体" w:cs="宋体" w:eastAsia="宋体" w:hint="default"/>
                <w:sz w:val="18"/>
                <w:szCs w:val="18"/>
              </w:rPr>
            </w:pPr>
            <w:r>
              <w:rPr>
                <w:rFonts w:ascii="宋体" w:hAnsi="宋体" w:cs="宋体" w:eastAsia="宋体" w:hint="default"/>
                <w:sz w:val="18"/>
                <w:szCs w:val="18"/>
              </w:rPr>
              <w:t>如皋</w:t>
            </w:r>
            <w:r>
              <w:rPr>
                <w:rFonts w:ascii="宋体" w:hAnsi="宋体" w:cs="宋体" w:eastAsia="宋体" w:hint="default"/>
                <w:sz w:val="18"/>
                <w:szCs w:val="18"/>
              </w:rPr>
              <w:t> </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13"/>
              <w:jc w:val="right"/>
              <w:rPr>
                <w:rFonts w:ascii="宋体" w:hAnsi="宋体" w:cs="宋体" w:eastAsia="宋体" w:hint="default"/>
                <w:sz w:val="18"/>
                <w:szCs w:val="18"/>
              </w:rPr>
            </w:pPr>
            <w:r>
              <w:rPr>
                <w:rFonts w:ascii="宋体" w:hAnsi="宋体" w:cs="宋体" w:eastAsia="宋体" w:hint="default"/>
                <w:sz w:val="18"/>
                <w:szCs w:val="18"/>
              </w:rPr>
              <w:t>光伏电站</w:t>
            </w:r>
            <w:r>
              <w:rPr>
                <w:rFonts w:ascii="宋体" w:hAnsi="宋体" w:cs="宋体" w:eastAsia="宋体" w:hint="default"/>
                <w:sz w:val="18"/>
                <w:szCs w:val="18"/>
              </w:rPr>
              <w:t> </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7" w:right="0"/>
              <w:jc w:val="center"/>
              <w:rPr>
                <w:rFonts w:ascii="宋体" w:hAnsi="宋体" w:cs="宋体" w:eastAsia="宋体" w:hint="default"/>
                <w:sz w:val="18"/>
                <w:szCs w:val="18"/>
              </w:rPr>
            </w:pPr>
            <w:r>
              <w:rPr>
                <w:rFonts w:ascii="宋体"/>
                <w:sz w:val="18"/>
              </w:rPr>
              <w:t> </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5" w:right="0"/>
              <w:jc w:val="center"/>
              <w:rPr>
                <w:rFonts w:ascii="宋体" w:hAnsi="宋体" w:cs="宋体" w:eastAsia="宋体" w:hint="default"/>
                <w:sz w:val="18"/>
                <w:szCs w:val="18"/>
              </w:rPr>
            </w:pPr>
            <w:r>
              <w:rPr>
                <w:rFonts w:ascii="宋体"/>
                <w:sz w:val="18"/>
              </w:rPr>
              <w:t>100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设立</w:t>
            </w:r>
            <w:r>
              <w:rPr>
                <w:rFonts w:ascii="宋体" w:hAnsi="宋体" w:cs="宋体" w:eastAsia="宋体" w:hint="default"/>
                <w:sz w:val="18"/>
                <w:szCs w:val="18"/>
              </w:rPr>
              <w:t> </w:t>
            </w:r>
          </w:p>
        </w:tc>
      </w:tr>
      <w:tr>
        <w:trPr>
          <w:trHeight w:val="243" w:hRule="exact"/>
        </w:trPr>
        <w:tc>
          <w:tcPr>
            <w:tcW w:w="309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启东市永乐新能源电力有限公司</w:t>
            </w:r>
            <w:r>
              <w:rPr>
                <w:rFonts w:ascii="宋体" w:hAnsi="宋体" w:cs="宋体" w:eastAsia="宋体" w:hint="default"/>
                <w:sz w:val="18"/>
                <w:szCs w:val="18"/>
              </w:rPr>
              <w:t> </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87" w:right="0"/>
              <w:jc w:val="center"/>
              <w:rPr>
                <w:rFonts w:ascii="宋体" w:hAnsi="宋体" w:cs="宋体" w:eastAsia="宋体" w:hint="default"/>
                <w:sz w:val="18"/>
                <w:szCs w:val="18"/>
              </w:rPr>
            </w:pPr>
            <w:r>
              <w:rPr>
                <w:rFonts w:ascii="宋体" w:hAnsi="宋体" w:cs="宋体" w:eastAsia="宋体" w:hint="default"/>
                <w:sz w:val="18"/>
                <w:szCs w:val="18"/>
              </w:rPr>
              <w:t>启东</w:t>
            </w:r>
            <w:r>
              <w:rPr>
                <w:rFonts w:ascii="宋体" w:hAnsi="宋体" w:cs="宋体" w:eastAsia="宋体" w:hint="default"/>
                <w:sz w:val="18"/>
                <w:szCs w:val="18"/>
              </w:rPr>
              <w:t> </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87" w:right="0"/>
              <w:jc w:val="center"/>
              <w:rPr>
                <w:rFonts w:ascii="宋体" w:hAnsi="宋体" w:cs="宋体" w:eastAsia="宋体" w:hint="default"/>
                <w:sz w:val="18"/>
                <w:szCs w:val="18"/>
              </w:rPr>
            </w:pPr>
            <w:r>
              <w:rPr>
                <w:rFonts w:ascii="宋体" w:hAnsi="宋体" w:cs="宋体" w:eastAsia="宋体" w:hint="default"/>
                <w:sz w:val="18"/>
                <w:szCs w:val="18"/>
              </w:rPr>
              <w:t>启东</w:t>
            </w:r>
            <w:r>
              <w:rPr>
                <w:rFonts w:ascii="宋体" w:hAnsi="宋体" w:cs="宋体" w:eastAsia="宋体" w:hint="default"/>
                <w:sz w:val="18"/>
                <w:szCs w:val="18"/>
              </w:rPr>
              <w:t> </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313"/>
              <w:jc w:val="right"/>
              <w:rPr>
                <w:rFonts w:ascii="宋体" w:hAnsi="宋体" w:cs="宋体" w:eastAsia="宋体" w:hint="default"/>
                <w:sz w:val="18"/>
                <w:szCs w:val="18"/>
              </w:rPr>
            </w:pPr>
            <w:r>
              <w:rPr>
                <w:rFonts w:ascii="宋体" w:hAnsi="宋体" w:cs="宋体" w:eastAsia="宋体" w:hint="default"/>
                <w:sz w:val="18"/>
                <w:szCs w:val="18"/>
              </w:rPr>
              <w:t>光伏电站</w:t>
            </w:r>
            <w:r>
              <w:rPr>
                <w:rFonts w:ascii="宋体" w:hAnsi="宋体" w:cs="宋体" w:eastAsia="宋体" w:hint="default"/>
                <w:sz w:val="18"/>
                <w:szCs w:val="18"/>
              </w:rPr>
              <w:t> </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87" w:right="0"/>
              <w:jc w:val="center"/>
              <w:rPr>
                <w:rFonts w:ascii="宋体" w:hAnsi="宋体" w:cs="宋体" w:eastAsia="宋体" w:hint="default"/>
                <w:sz w:val="18"/>
                <w:szCs w:val="18"/>
              </w:rPr>
            </w:pPr>
            <w:r>
              <w:rPr>
                <w:rFonts w:ascii="宋体"/>
                <w:sz w:val="18"/>
              </w:rPr>
              <w:t> </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85" w:right="0"/>
              <w:jc w:val="center"/>
              <w:rPr>
                <w:rFonts w:ascii="宋体" w:hAnsi="宋体" w:cs="宋体" w:eastAsia="宋体" w:hint="default"/>
                <w:sz w:val="18"/>
                <w:szCs w:val="18"/>
              </w:rPr>
            </w:pPr>
            <w:r>
              <w:rPr>
                <w:rFonts w:ascii="宋体"/>
                <w:sz w:val="18"/>
              </w:rPr>
              <w:t>100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设立</w:t>
            </w:r>
            <w:r>
              <w:rPr>
                <w:rFonts w:ascii="宋体" w:hAnsi="宋体" w:cs="宋体" w:eastAsia="宋体" w:hint="default"/>
                <w:sz w:val="18"/>
                <w:szCs w:val="18"/>
              </w:rPr>
              <w:t> </w:t>
            </w:r>
          </w:p>
        </w:tc>
      </w:tr>
      <w:tr>
        <w:trPr>
          <w:trHeight w:val="242" w:hRule="exact"/>
        </w:trPr>
        <w:tc>
          <w:tcPr>
            <w:tcW w:w="309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灌云永贯新能源科技有限公司</w:t>
            </w:r>
            <w:r>
              <w:rPr>
                <w:rFonts w:ascii="宋体" w:hAnsi="宋体" w:cs="宋体" w:eastAsia="宋体" w:hint="default"/>
                <w:sz w:val="18"/>
                <w:szCs w:val="18"/>
              </w:rPr>
              <w:t> </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7" w:right="0"/>
              <w:jc w:val="center"/>
              <w:rPr>
                <w:rFonts w:ascii="宋体" w:hAnsi="宋体" w:cs="宋体" w:eastAsia="宋体" w:hint="default"/>
                <w:sz w:val="18"/>
                <w:szCs w:val="18"/>
              </w:rPr>
            </w:pPr>
            <w:r>
              <w:rPr>
                <w:rFonts w:ascii="宋体" w:hAnsi="宋体" w:cs="宋体" w:eastAsia="宋体" w:hint="default"/>
                <w:sz w:val="18"/>
                <w:szCs w:val="18"/>
              </w:rPr>
              <w:t>灌云</w:t>
            </w:r>
            <w:r>
              <w:rPr>
                <w:rFonts w:ascii="宋体" w:hAnsi="宋体" w:cs="宋体" w:eastAsia="宋体" w:hint="default"/>
                <w:sz w:val="18"/>
                <w:szCs w:val="18"/>
              </w:rPr>
              <w:t> </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7" w:right="0"/>
              <w:jc w:val="center"/>
              <w:rPr>
                <w:rFonts w:ascii="宋体" w:hAnsi="宋体" w:cs="宋体" w:eastAsia="宋体" w:hint="default"/>
                <w:sz w:val="18"/>
                <w:szCs w:val="18"/>
              </w:rPr>
            </w:pPr>
            <w:r>
              <w:rPr>
                <w:rFonts w:ascii="宋体" w:hAnsi="宋体" w:cs="宋体" w:eastAsia="宋体" w:hint="default"/>
                <w:sz w:val="18"/>
                <w:szCs w:val="18"/>
              </w:rPr>
              <w:t>灌云</w:t>
            </w:r>
            <w:r>
              <w:rPr>
                <w:rFonts w:ascii="宋体" w:hAnsi="宋体" w:cs="宋体" w:eastAsia="宋体" w:hint="default"/>
                <w:sz w:val="18"/>
                <w:szCs w:val="18"/>
              </w:rPr>
              <w:t> </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13"/>
              <w:jc w:val="right"/>
              <w:rPr>
                <w:rFonts w:ascii="宋体" w:hAnsi="宋体" w:cs="宋体" w:eastAsia="宋体" w:hint="default"/>
                <w:sz w:val="18"/>
                <w:szCs w:val="18"/>
              </w:rPr>
            </w:pPr>
            <w:r>
              <w:rPr>
                <w:rFonts w:ascii="宋体" w:hAnsi="宋体" w:cs="宋体" w:eastAsia="宋体" w:hint="default"/>
                <w:sz w:val="18"/>
                <w:szCs w:val="18"/>
              </w:rPr>
              <w:t>光伏电站</w:t>
            </w:r>
            <w:r>
              <w:rPr>
                <w:rFonts w:ascii="宋体" w:hAnsi="宋体" w:cs="宋体" w:eastAsia="宋体" w:hint="default"/>
                <w:sz w:val="18"/>
                <w:szCs w:val="18"/>
              </w:rPr>
              <w:t> </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7" w:right="0"/>
              <w:jc w:val="center"/>
              <w:rPr>
                <w:rFonts w:ascii="宋体" w:hAnsi="宋体" w:cs="宋体" w:eastAsia="宋体" w:hint="default"/>
                <w:sz w:val="18"/>
                <w:szCs w:val="18"/>
              </w:rPr>
            </w:pPr>
            <w:r>
              <w:rPr>
                <w:rFonts w:ascii="宋体"/>
                <w:sz w:val="18"/>
              </w:rPr>
              <w:t> </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5" w:right="0"/>
              <w:jc w:val="center"/>
              <w:rPr>
                <w:rFonts w:ascii="宋体" w:hAnsi="宋体" w:cs="宋体" w:eastAsia="宋体" w:hint="default"/>
                <w:sz w:val="18"/>
                <w:szCs w:val="18"/>
              </w:rPr>
            </w:pPr>
            <w:r>
              <w:rPr>
                <w:rFonts w:ascii="宋体"/>
                <w:sz w:val="18"/>
              </w:rPr>
              <w:t>100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设立</w:t>
            </w:r>
            <w:r>
              <w:rPr>
                <w:rFonts w:ascii="宋体" w:hAnsi="宋体" w:cs="宋体" w:eastAsia="宋体" w:hint="default"/>
                <w:sz w:val="18"/>
                <w:szCs w:val="18"/>
              </w:rPr>
              <w:t> </w:t>
            </w:r>
          </w:p>
        </w:tc>
      </w:tr>
      <w:tr>
        <w:trPr>
          <w:trHeight w:val="245" w:hRule="exact"/>
        </w:trPr>
        <w:tc>
          <w:tcPr>
            <w:tcW w:w="309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南京华耀新能源科技有限公司</w:t>
            </w:r>
            <w:r>
              <w:rPr>
                <w:rFonts w:ascii="宋体" w:hAnsi="宋体" w:cs="宋体" w:eastAsia="宋体" w:hint="default"/>
                <w:sz w:val="18"/>
                <w:szCs w:val="18"/>
              </w:rPr>
              <w:t> </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87" w:right="0"/>
              <w:jc w:val="center"/>
              <w:rPr>
                <w:rFonts w:ascii="宋体" w:hAnsi="宋体" w:cs="宋体" w:eastAsia="宋体" w:hint="default"/>
                <w:sz w:val="18"/>
                <w:szCs w:val="18"/>
              </w:rPr>
            </w:pPr>
            <w:r>
              <w:rPr>
                <w:rFonts w:ascii="宋体" w:hAnsi="宋体" w:cs="宋体" w:eastAsia="宋体" w:hint="default"/>
                <w:sz w:val="18"/>
                <w:szCs w:val="18"/>
              </w:rPr>
              <w:t>南京</w:t>
            </w:r>
            <w:r>
              <w:rPr>
                <w:rFonts w:ascii="宋体" w:hAnsi="宋体" w:cs="宋体" w:eastAsia="宋体" w:hint="default"/>
                <w:sz w:val="18"/>
                <w:szCs w:val="18"/>
              </w:rPr>
              <w:t> </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87" w:right="0"/>
              <w:jc w:val="center"/>
              <w:rPr>
                <w:rFonts w:ascii="宋体" w:hAnsi="宋体" w:cs="宋体" w:eastAsia="宋体" w:hint="default"/>
                <w:sz w:val="18"/>
                <w:szCs w:val="18"/>
              </w:rPr>
            </w:pPr>
            <w:r>
              <w:rPr>
                <w:rFonts w:ascii="宋体" w:hAnsi="宋体" w:cs="宋体" w:eastAsia="宋体" w:hint="default"/>
                <w:sz w:val="18"/>
                <w:szCs w:val="18"/>
              </w:rPr>
              <w:t>南京</w:t>
            </w:r>
            <w:r>
              <w:rPr>
                <w:rFonts w:ascii="宋体" w:hAnsi="宋体" w:cs="宋体" w:eastAsia="宋体" w:hint="default"/>
                <w:sz w:val="18"/>
                <w:szCs w:val="18"/>
              </w:rPr>
              <w:t> </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313"/>
              <w:jc w:val="right"/>
              <w:rPr>
                <w:rFonts w:ascii="宋体" w:hAnsi="宋体" w:cs="宋体" w:eastAsia="宋体" w:hint="default"/>
                <w:sz w:val="18"/>
                <w:szCs w:val="18"/>
              </w:rPr>
            </w:pPr>
            <w:r>
              <w:rPr>
                <w:rFonts w:ascii="宋体" w:hAnsi="宋体" w:cs="宋体" w:eastAsia="宋体" w:hint="default"/>
                <w:sz w:val="18"/>
                <w:szCs w:val="18"/>
              </w:rPr>
              <w:t>光伏电站</w:t>
            </w:r>
            <w:r>
              <w:rPr>
                <w:rFonts w:ascii="宋体" w:hAnsi="宋体" w:cs="宋体" w:eastAsia="宋体" w:hint="default"/>
                <w:sz w:val="18"/>
                <w:szCs w:val="18"/>
              </w:rPr>
              <w:t> </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87" w:right="0"/>
              <w:jc w:val="center"/>
              <w:rPr>
                <w:rFonts w:ascii="宋体" w:hAnsi="宋体" w:cs="宋体" w:eastAsia="宋体" w:hint="default"/>
                <w:sz w:val="18"/>
                <w:szCs w:val="18"/>
              </w:rPr>
            </w:pPr>
            <w:r>
              <w:rPr>
                <w:rFonts w:ascii="宋体"/>
                <w:sz w:val="18"/>
              </w:rPr>
              <w:t> </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85" w:right="0"/>
              <w:jc w:val="center"/>
              <w:rPr>
                <w:rFonts w:ascii="宋体" w:hAnsi="宋体" w:cs="宋体" w:eastAsia="宋体" w:hint="default"/>
                <w:sz w:val="18"/>
                <w:szCs w:val="18"/>
              </w:rPr>
            </w:pPr>
            <w:r>
              <w:rPr>
                <w:rFonts w:ascii="宋体"/>
                <w:sz w:val="18"/>
              </w:rPr>
              <w:t>100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设立</w:t>
            </w:r>
            <w:r>
              <w:rPr>
                <w:rFonts w:ascii="宋体" w:hAnsi="宋体" w:cs="宋体" w:eastAsia="宋体" w:hint="default"/>
                <w:sz w:val="18"/>
                <w:szCs w:val="18"/>
              </w:rPr>
              <w:t> </w:t>
            </w:r>
          </w:p>
        </w:tc>
      </w:tr>
      <w:tr>
        <w:trPr>
          <w:trHeight w:val="242" w:hRule="exact"/>
        </w:trPr>
        <w:tc>
          <w:tcPr>
            <w:tcW w:w="309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沈阳林洋新能源科技有限公司</w:t>
            </w:r>
            <w:r>
              <w:rPr>
                <w:rFonts w:ascii="宋体" w:hAnsi="宋体" w:cs="宋体" w:eastAsia="宋体" w:hint="default"/>
                <w:sz w:val="18"/>
                <w:szCs w:val="18"/>
              </w:rPr>
              <w:t> </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7" w:right="0"/>
              <w:jc w:val="center"/>
              <w:rPr>
                <w:rFonts w:ascii="宋体" w:hAnsi="宋体" w:cs="宋体" w:eastAsia="宋体" w:hint="default"/>
                <w:sz w:val="18"/>
                <w:szCs w:val="18"/>
              </w:rPr>
            </w:pPr>
            <w:r>
              <w:rPr>
                <w:rFonts w:ascii="宋体" w:hAnsi="宋体" w:cs="宋体" w:eastAsia="宋体" w:hint="default"/>
                <w:sz w:val="18"/>
                <w:szCs w:val="18"/>
              </w:rPr>
              <w:t>沈阳</w:t>
            </w:r>
            <w:r>
              <w:rPr>
                <w:rFonts w:ascii="宋体" w:hAnsi="宋体" w:cs="宋体" w:eastAsia="宋体" w:hint="default"/>
                <w:sz w:val="18"/>
                <w:szCs w:val="18"/>
              </w:rPr>
              <w:t> </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7" w:right="0"/>
              <w:jc w:val="center"/>
              <w:rPr>
                <w:rFonts w:ascii="宋体" w:hAnsi="宋体" w:cs="宋体" w:eastAsia="宋体" w:hint="default"/>
                <w:sz w:val="18"/>
                <w:szCs w:val="18"/>
              </w:rPr>
            </w:pPr>
            <w:r>
              <w:rPr>
                <w:rFonts w:ascii="宋体" w:hAnsi="宋体" w:cs="宋体" w:eastAsia="宋体" w:hint="default"/>
                <w:sz w:val="18"/>
                <w:szCs w:val="18"/>
              </w:rPr>
              <w:t>沈阳</w:t>
            </w:r>
            <w:r>
              <w:rPr>
                <w:rFonts w:ascii="宋体" w:hAnsi="宋体" w:cs="宋体" w:eastAsia="宋体" w:hint="default"/>
                <w:sz w:val="18"/>
                <w:szCs w:val="18"/>
              </w:rPr>
              <w:t> </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13"/>
              <w:jc w:val="right"/>
              <w:rPr>
                <w:rFonts w:ascii="宋体" w:hAnsi="宋体" w:cs="宋体" w:eastAsia="宋体" w:hint="default"/>
                <w:sz w:val="18"/>
                <w:szCs w:val="18"/>
              </w:rPr>
            </w:pPr>
            <w:r>
              <w:rPr>
                <w:rFonts w:ascii="宋体" w:hAnsi="宋体" w:cs="宋体" w:eastAsia="宋体" w:hint="default"/>
                <w:sz w:val="18"/>
                <w:szCs w:val="18"/>
              </w:rPr>
              <w:t>光伏电站</w:t>
            </w:r>
            <w:r>
              <w:rPr>
                <w:rFonts w:ascii="宋体" w:hAnsi="宋体" w:cs="宋体" w:eastAsia="宋体" w:hint="default"/>
                <w:sz w:val="18"/>
                <w:szCs w:val="18"/>
              </w:rPr>
              <w:t> </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7" w:right="0"/>
              <w:jc w:val="center"/>
              <w:rPr>
                <w:rFonts w:ascii="宋体" w:hAnsi="宋体" w:cs="宋体" w:eastAsia="宋体" w:hint="default"/>
                <w:sz w:val="18"/>
                <w:szCs w:val="18"/>
              </w:rPr>
            </w:pPr>
            <w:r>
              <w:rPr>
                <w:rFonts w:ascii="宋体"/>
                <w:sz w:val="18"/>
              </w:rPr>
              <w:t> </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5" w:right="0"/>
              <w:jc w:val="center"/>
              <w:rPr>
                <w:rFonts w:ascii="宋体" w:hAnsi="宋体" w:cs="宋体" w:eastAsia="宋体" w:hint="default"/>
                <w:sz w:val="18"/>
                <w:szCs w:val="18"/>
              </w:rPr>
            </w:pPr>
            <w:r>
              <w:rPr>
                <w:rFonts w:ascii="宋体"/>
                <w:sz w:val="18"/>
              </w:rPr>
              <w:t>100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设立</w:t>
            </w:r>
            <w:r>
              <w:rPr>
                <w:rFonts w:ascii="宋体" w:hAnsi="宋体" w:cs="宋体" w:eastAsia="宋体" w:hint="default"/>
                <w:sz w:val="18"/>
                <w:szCs w:val="18"/>
              </w:rPr>
              <w:t> </w:t>
            </w:r>
          </w:p>
        </w:tc>
      </w:tr>
      <w:tr>
        <w:trPr>
          <w:trHeight w:val="245" w:hRule="exact"/>
        </w:trPr>
        <w:tc>
          <w:tcPr>
            <w:tcW w:w="309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沈阳林博新能源科技有限公司</w:t>
            </w:r>
            <w:r>
              <w:rPr>
                <w:rFonts w:ascii="宋体" w:hAnsi="宋体" w:cs="宋体" w:eastAsia="宋体" w:hint="default"/>
                <w:sz w:val="18"/>
                <w:szCs w:val="18"/>
              </w:rPr>
              <w:t> </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7" w:right="0"/>
              <w:jc w:val="center"/>
              <w:rPr>
                <w:rFonts w:ascii="宋体" w:hAnsi="宋体" w:cs="宋体" w:eastAsia="宋体" w:hint="default"/>
                <w:sz w:val="18"/>
                <w:szCs w:val="18"/>
              </w:rPr>
            </w:pPr>
            <w:r>
              <w:rPr>
                <w:rFonts w:ascii="宋体" w:hAnsi="宋体" w:cs="宋体" w:eastAsia="宋体" w:hint="default"/>
                <w:sz w:val="18"/>
                <w:szCs w:val="18"/>
              </w:rPr>
              <w:t>沈阳</w:t>
            </w:r>
            <w:r>
              <w:rPr>
                <w:rFonts w:ascii="宋体" w:hAnsi="宋体" w:cs="宋体" w:eastAsia="宋体" w:hint="default"/>
                <w:sz w:val="18"/>
                <w:szCs w:val="18"/>
              </w:rPr>
              <w:t> </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7" w:right="0"/>
              <w:jc w:val="center"/>
              <w:rPr>
                <w:rFonts w:ascii="宋体" w:hAnsi="宋体" w:cs="宋体" w:eastAsia="宋体" w:hint="default"/>
                <w:sz w:val="18"/>
                <w:szCs w:val="18"/>
              </w:rPr>
            </w:pPr>
            <w:r>
              <w:rPr>
                <w:rFonts w:ascii="宋体" w:hAnsi="宋体" w:cs="宋体" w:eastAsia="宋体" w:hint="default"/>
                <w:sz w:val="18"/>
                <w:szCs w:val="18"/>
              </w:rPr>
              <w:t>沈阳</w:t>
            </w:r>
            <w:r>
              <w:rPr>
                <w:rFonts w:ascii="宋体" w:hAnsi="宋体" w:cs="宋体" w:eastAsia="宋体" w:hint="default"/>
                <w:sz w:val="18"/>
                <w:szCs w:val="18"/>
              </w:rPr>
              <w:t> </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13"/>
              <w:jc w:val="right"/>
              <w:rPr>
                <w:rFonts w:ascii="宋体" w:hAnsi="宋体" w:cs="宋体" w:eastAsia="宋体" w:hint="default"/>
                <w:sz w:val="18"/>
                <w:szCs w:val="18"/>
              </w:rPr>
            </w:pPr>
            <w:r>
              <w:rPr>
                <w:rFonts w:ascii="宋体" w:hAnsi="宋体" w:cs="宋体" w:eastAsia="宋体" w:hint="default"/>
                <w:sz w:val="18"/>
                <w:szCs w:val="18"/>
              </w:rPr>
              <w:t>光伏电站</w:t>
            </w:r>
            <w:r>
              <w:rPr>
                <w:rFonts w:ascii="宋体" w:hAnsi="宋体" w:cs="宋体" w:eastAsia="宋体" w:hint="default"/>
                <w:sz w:val="18"/>
                <w:szCs w:val="18"/>
              </w:rPr>
              <w:t> </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7" w:right="0"/>
              <w:jc w:val="center"/>
              <w:rPr>
                <w:rFonts w:ascii="宋体" w:hAnsi="宋体" w:cs="宋体" w:eastAsia="宋体" w:hint="default"/>
                <w:sz w:val="18"/>
                <w:szCs w:val="18"/>
              </w:rPr>
            </w:pPr>
            <w:r>
              <w:rPr>
                <w:rFonts w:ascii="宋体"/>
                <w:sz w:val="18"/>
              </w:rPr>
              <w:t> </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5" w:right="0"/>
              <w:jc w:val="center"/>
              <w:rPr>
                <w:rFonts w:ascii="宋体" w:hAnsi="宋体" w:cs="宋体" w:eastAsia="宋体" w:hint="default"/>
                <w:sz w:val="18"/>
                <w:szCs w:val="18"/>
              </w:rPr>
            </w:pPr>
            <w:r>
              <w:rPr>
                <w:rFonts w:ascii="宋体"/>
                <w:sz w:val="18"/>
              </w:rPr>
              <w:t>100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设立</w:t>
            </w:r>
            <w:r>
              <w:rPr>
                <w:rFonts w:ascii="宋体" w:hAnsi="宋体" w:cs="宋体" w:eastAsia="宋体" w:hint="default"/>
                <w:sz w:val="18"/>
                <w:szCs w:val="18"/>
              </w:rPr>
              <w:t> </w:t>
            </w:r>
          </w:p>
        </w:tc>
      </w:tr>
      <w:tr>
        <w:trPr>
          <w:trHeight w:val="242" w:hRule="exact"/>
        </w:trPr>
        <w:tc>
          <w:tcPr>
            <w:tcW w:w="309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铁岭林华新能源科技有限公司</w:t>
            </w:r>
            <w:r>
              <w:rPr>
                <w:rFonts w:ascii="宋体" w:hAnsi="宋体" w:cs="宋体" w:eastAsia="宋体" w:hint="default"/>
                <w:sz w:val="18"/>
                <w:szCs w:val="18"/>
              </w:rPr>
              <w:t> </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7" w:right="0"/>
              <w:jc w:val="center"/>
              <w:rPr>
                <w:rFonts w:ascii="宋体" w:hAnsi="宋体" w:cs="宋体" w:eastAsia="宋体" w:hint="default"/>
                <w:sz w:val="18"/>
                <w:szCs w:val="18"/>
              </w:rPr>
            </w:pPr>
            <w:r>
              <w:rPr>
                <w:rFonts w:ascii="宋体" w:hAnsi="宋体" w:cs="宋体" w:eastAsia="宋体" w:hint="default"/>
                <w:sz w:val="18"/>
                <w:szCs w:val="18"/>
              </w:rPr>
              <w:t>铁岭</w:t>
            </w:r>
            <w:r>
              <w:rPr>
                <w:rFonts w:ascii="宋体" w:hAnsi="宋体" w:cs="宋体" w:eastAsia="宋体" w:hint="default"/>
                <w:sz w:val="18"/>
                <w:szCs w:val="18"/>
              </w:rPr>
              <w:t> </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7" w:right="0"/>
              <w:jc w:val="center"/>
              <w:rPr>
                <w:rFonts w:ascii="宋体" w:hAnsi="宋体" w:cs="宋体" w:eastAsia="宋体" w:hint="default"/>
                <w:sz w:val="18"/>
                <w:szCs w:val="18"/>
              </w:rPr>
            </w:pPr>
            <w:r>
              <w:rPr>
                <w:rFonts w:ascii="宋体" w:hAnsi="宋体" w:cs="宋体" w:eastAsia="宋体" w:hint="default"/>
                <w:sz w:val="18"/>
                <w:szCs w:val="18"/>
              </w:rPr>
              <w:t>铁岭</w:t>
            </w:r>
            <w:r>
              <w:rPr>
                <w:rFonts w:ascii="宋体" w:hAnsi="宋体" w:cs="宋体" w:eastAsia="宋体" w:hint="default"/>
                <w:sz w:val="18"/>
                <w:szCs w:val="18"/>
              </w:rPr>
              <w:t> </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13"/>
              <w:jc w:val="right"/>
              <w:rPr>
                <w:rFonts w:ascii="宋体" w:hAnsi="宋体" w:cs="宋体" w:eastAsia="宋体" w:hint="default"/>
                <w:sz w:val="18"/>
                <w:szCs w:val="18"/>
              </w:rPr>
            </w:pPr>
            <w:r>
              <w:rPr>
                <w:rFonts w:ascii="宋体" w:hAnsi="宋体" w:cs="宋体" w:eastAsia="宋体" w:hint="default"/>
                <w:sz w:val="18"/>
                <w:szCs w:val="18"/>
              </w:rPr>
              <w:t>光伏电站</w:t>
            </w:r>
            <w:r>
              <w:rPr>
                <w:rFonts w:ascii="宋体" w:hAnsi="宋体" w:cs="宋体" w:eastAsia="宋体" w:hint="default"/>
                <w:sz w:val="18"/>
                <w:szCs w:val="18"/>
              </w:rPr>
              <w:t> </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7" w:right="0"/>
              <w:jc w:val="center"/>
              <w:rPr>
                <w:rFonts w:ascii="宋体" w:hAnsi="宋体" w:cs="宋体" w:eastAsia="宋体" w:hint="default"/>
                <w:sz w:val="18"/>
                <w:szCs w:val="18"/>
              </w:rPr>
            </w:pPr>
            <w:r>
              <w:rPr>
                <w:rFonts w:ascii="宋体"/>
                <w:sz w:val="18"/>
              </w:rPr>
              <w:t> </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5" w:right="0"/>
              <w:jc w:val="center"/>
              <w:rPr>
                <w:rFonts w:ascii="宋体" w:hAnsi="宋体" w:cs="宋体" w:eastAsia="宋体" w:hint="default"/>
                <w:sz w:val="18"/>
                <w:szCs w:val="18"/>
              </w:rPr>
            </w:pPr>
            <w:r>
              <w:rPr>
                <w:rFonts w:ascii="宋体"/>
                <w:sz w:val="18"/>
              </w:rPr>
              <w:t>100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设立</w:t>
            </w:r>
            <w:r>
              <w:rPr>
                <w:rFonts w:ascii="宋体" w:hAnsi="宋体" w:cs="宋体" w:eastAsia="宋体" w:hint="default"/>
                <w:sz w:val="18"/>
                <w:szCs w:val="18"/>
              </w:rPr>
              <w:t> </w:t>
            </w:r>
          </w:p>
        </w:tc>
      </w:tr>
      <w:tr>
        <w:trPr>
          <w:trHeight w:val="245" w:hRule="exact"/>
        </w:trPr>
        <w:tc>
          <w:tcPr>
            <w:tcW w:w="309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铁岭林乾新能源科技有限公司</w:t>
            </w:r>
            <w:r>
              <w:rPr>
                <w:rFonts w:ascii="宋体" w:hAnsi="宋体" w:cs="宋体" w:eastAsia="宋体" w:hint="default"/>
                <w:sz w:val="18"/>
                <w:szCs w:val="18"/>
              </w:rPr>
              <w:t> </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7" w:right="0"/>
              <w:jc w:val="center"/>
              <w:rPr>
                <w:rFonts w:ascii="宋体" w:hAnsi="宋体" w:cs="宋体" w:eastAsia="宋体" w:hint="default"/>
                <w:sz w:val="18"/>
                <w:szCs w:val="18"/>
              </w:rPr>
            </w:pPr>
            <w:r>
              <w:rPr>
                <w:rFonts w:ascii="宋体" w:hAnsi="宋体" w:cs="宋体" w:eastAsia="宋体" w:hint="default"/>
                <w:sz w:val="18"/>
                <w:szCs w:val="18"/>
              </w:rPr>
              <w:t>铁岭</w:t>
            </w:r>
            <w:r>
              <w:rPr>
                <w:rFonts w:ascii="宋体" w:hAnsi="宋体" w:cs="宋体" w:eastAsia="宋体" w:hint="default"/>
                <w:sz w:val="18"/>
                <w:szCs w:val="18"/>
              </w:rPr>
              <w:t> </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7" w:right="0"/>
              <w:jc w:val="center"/>
              <w:rPr>
                <w:rFonts w:ascii="宋体" w:hAnsi="宋体" w:cs="宋体" w:eastAsia="宋体" w:hint="default"/>
                <w:sz w:val="18"/>
                <w:szCs w:val="18"/>
              </w:rPr>
            </w:pPr>
            <w:r>
              <w:rPr>
                <w:rFonts w:ascii="宋体" w:hAnsi="宋体" w:cs="宋体" w:eastAsia="宋体" w:hint="default"/>
                <w:sz w:val="18"/>
                <w:szCs w:val="18"/>
              </w:rPr>
              <w:t>铁岭</w:t>
            </w:r>
            <w:r>
              <w:rPr>
                <w:rFonts w:ascii="宋体" w:hAnsi="宋体" w:cs="宋体" w:eastAsia="宋体" w:hint="default"/>
                <w:sz w:val="18"/>
                <w:szCs w:val="18"/>
              </w:rPr>
              <w:t> </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13"/>
              <w:jc w:val="right"/>
              <w:rPr>
                <w:rFonts w:ascii="宋体" w:hAnsi="宋体" w:cs="宋体" w:eastAsia="宋体" w:hint="default"/>
                <w:sz w:val="18"/>
                <w:szCs w:val="18"/>
              </w:rPr>
            </w:pPr>
            <w:r>
              <w:rPr>
                <w:rFonts w:ascii="宋体" w:hAnsi="宋体" w:cs="宋体" w:eastAsia="宋体" w:hint="default"/>
                <w:sz w:val="18"/>
                <w:szCs w:val="18"/>
              </w:rPr>
              <w:t>光伏电站</w:t>
            </w:r>
            <w:r>
              <w:rPr>
                <w:rFonts w:ascii="宋体" w:hAnsi="宋体" w:cs="宋体" w:eastAsia="宋体" w:hint="default"/>
                <w:sz w:val="18"/>
                <w:szCs w:val="18"/>
              </w:rPr>
              <w:t> </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7" w:right="0"/>
              <w:jc w:val="center"/>
              <w:rPr>
                <w:rFonts w:ascii="宋体" w:hAnsi="宋体" w:cs="宋体" w:eastAsia="宋体" w:hint="default"/>
                <w:sz w:val="18"/>
                <w:szCs w:val="18"/>
              </w:rPr>
            </w:pPr>
            <w:r>
              <w:rPr>
                <w:rFonts w:ascii="宋体"/>
                <w:sz w:val="18"/>
              </w:rPr>
              <w:t> </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5" w:right="0"/>
              <w:jc w:val="center"/>
              <w:rPr>
                <w:rFonts w:ascii="宋体" w:hAnsi="宋体" w:cs="宋体" w:eastAsia="宋体" w:hint="default"/>
                <w:sz w:val="18"/>
                <w:szCs w:val="18"/>
              </w:rPr>
            </w:pPr>
            <w:r>
              <w:rPr>
                <w:rFonts w:ascii="宋体"/>
                <w:sz w:val="18"/>
              </w:rPr>
              <w:t>100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设立</w:t>
            </w:r>
            <w:r>
              <w:rPr>
                <w:rFonts w:ascii="宋体" w:hAnsi="宋体" w:cs="宋体" w:eastAsia="宋体" w:hint="default"/>
                <w:sz w:val="18"/>
                <w:szCs w:val="18"/>
              </w:rPr>
              <w:t> </w:t>
            </w:r>
          </w:p>
        </w:tc>
      </w:tr>
      <w:tr>
        <w:trPr>
          <w:trHeight w:val="242" w:hRule="exact"/>
        </w:trPr>
        <w:tc>
          <w:tcPr>
            <w:tcW w:w="309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辽宁林洋新能源科技有限公司</w:t>
            </w:r>
            <w:r>
              <w:rPr>
                <w:rFonts w:ascii="宋体" w:hAnsi="宋体" w:cs="宋体" w:eastAsia="宋体" w:hint="default"/>
                <w:sz w:val="18"/>
                <w:szCs w:val="18"/>
              </w:rPr>
              <w:t> </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7" w:right="0"/>
              <w:jc w:val="center"/>
              <w:rPr>
                <w:rFonts w:ascii="宋体" w:hAnsi="宋体" w:cs="宋体" w:eastAsia="宋体" w:hint="default"/>
                <w:sz w:val="18"/>
                <w:szCs w:val="18"/>
              </w:rPr>
            </w:pPr>
            <w:r>
              <w:rPr>
                <w:rFonts w:ascii="宋体" w:hAnsi="宋体" w:cs="宋体" w:eastAsia="宋体" w:hint="default"/>
                <w:sz w:val="18"/>
                <w:szCs w:val="18"/>
              </w:rPr>
              <w:t>沈阳</w:t>
            </w:r>
            <w:r>
              <w:rPr>
                <w:rFonts w:ascii="宋体" w:hAnsi="宋体" w:cs="宋体" w:eastAsia="宋体" w:hint="default"/>
                <w:sz w:val="18"/>
                <w:szCs w:val="18"/>
              </w:rPr>
              <w:t> </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7" w:right="0"/>
              <w:jc w:val="center"/>
              <w:rPr>
                <w:rFonts w:ascii="宋体" w:hAnsi="宋体" w:cs="宋体" w:eastAsia="宋体" w:hint="default"/>
                <w:sz w:val="18"/>
                <w:szCs w:val="18"/>
              </w:rPr>
            </w:pPr>
            <w:r>
              <w:rPr>
                <w:rFonts w:ascii="宋体" w:hAnsi="宋体" w:cs="宋体" w:eastAsia="宋体" w:hint="default"/>
                <w:sz w:val="18"/>
                <w:szCs w:val="18"/>
              </w:rPr>
              <w:t>沈阳</w:t>
            </w:r>
            <w:r>
              <w:rPr>
                <w:rFonts w:ascii="宋体" w:hAnsi="宋体" w:cs="宋体" w:eastAsia="宋体" w:hint="default"/>
                <w:sz w:val="18"/>
                <w:szCs w:val="18"/>
              </w:rPr>
              <w:t> </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13"/>
              <w:jc w:val="right"/>
              <w:rPr>
                <w:rFonts w:ascii="宋体" w:hAnsi="宋体" w:cs="宋体" w:eastAsia="宋体" w:hint="default"/>
                <w:sz w:val="18"/>
                <w:szCs w:val="18"/>
              </w:rPr>
            </w:pPr>
            <w:r>
              <w:rPr>
                <w:rFonts w:ascii="宋体" w:hAnsi="宋体" w:cs="宋体" w:eastAsia="宋体" w:hint="default"/>
                <w:sz w:val="18"/>
                <w:szCs w:val="18"/>
              </w:rPr>
              <w:t>光伏电站</w:t>
            </w:r>
            <w:r>
              <w:rPr>
                <w:rFonts w:ascii="宋体" w:hAnsi="宋体" w:cs="宋体" w:eastAsia="宋体" w:hint="default"/>
                <w:sz w:val="18"/>
                <w:szCs w:val="18"/>
              </w:rPr>
              <w:t> </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5" w:right="0"/>
              <w:jc w:val="center"/>
              <w:rPr>
                <w:rFonts w:ascii="宋体" w:hAnsi="宋体" w:cs="宋体" w:eastAsia="宋体" w:hint="default"/>
                <w:sz w:val="18"/>
                <w:szCs w:val="18"/>
              </w:rPr>
            </w:pPr>
            <w:r>
              <w:rPr>
                <w:rFonts w:ascii="宋体"/>
                <w:sz w:val="18"/>
              </w:rPr>
              <w:t>100 </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3" w:right="0"/>
              <w:jc w:val="center"/>
              <w:rPr>
                <w:rFonts w:ascii="宋体" w:hAnsi="宋体" w:cs="宋体" w:eastAsia="宋体" w:hint="default"/>
                <w:sz w:val="18"/>
                <w:szCs w:val="18"/>
              </w:rPr>
            </w:pPr>
            <w:r>
              <w:rPr>
                <w:rFonts w:ascii="宋体"/>
                <w:sz w:val="18"/>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设立</w:t>
            </w:r>
            <w:r>
              <w:rPr>
                <w:rFonts w:ascii="宋体" w:hAnsi="宋体" w:cs="宋体" w:eastAsia="宋体" w:hint="default"/>
                <w:sz w:val="18"/>
                <w:szCs w:val="18"/>
              </w:rPr>
              <w:t> </w:t>
            </w:r>
          </w:p>
        </w:tc>
      </w:tr>
      <w:tr>
        <w:trPr>
          <w:trHeight w:val="242" w:hRule="exact"/>
        </w:trPr>
        <w:tc>
          <w:tcPr>
            <w:tcW w:w="309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铁岭林燕新能源科技有限公司</w:t>
            </w:r>
            <w:r>
              <w:rPr>
                <w:rFonts w:ascii="宋体" w:hAnsi="宋体" w:cs="宋体" w:eastAsia="宋体" w:hint="default"/>
                <w:sz w:val="18"/>
                <w:szCs w:val="18"/>
              </w:rPr>
              <w:t> </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7" w:right="0"/>
              <w:jc w:val="center"/>
              <w:rPr>
                <w:rFonts w:ascii="宋体" w:hAnsi="宋体" w:cs="宋体" w:eastAsia="宋体" w:hint="default"/>
                <w:sz w:val="18"/>
                <w:szCs w:val="18"/>
              </w:rPr>
            </w:pPr>
            <w:r>
              <w:rPr>
                <w:rFonts w:ascii="宋体" w:hAnsi="宋体" w:cs="宋体" w:eastAsia="宋体" w:hint="default"/>
                <w:sz w:val="18"/>
                <w:szCs w:val="18"/>
              </w:rPr>
              <w:t>铁岭</w:t>
            </w:r>
            <w:r>
              <w:rPr>
                <w:rFonts w:ascii="宋体" w:hAnsi="宋体" w:cs="宋体" w:eastAsia="宋体" w:hint="default"/>
                <w:sz w:val="18"/>
                <w:szCs w:val="18"/>
              </w:rPr>
              <w:t> </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7" w:right="0"/>
              <w:jc w:val="center"/>
              <w:rPr>
                <w:rFonts w:ascii="宋体" w:hAnsi="宋体" w:cs="宋体" w:eastAsia="宋体" w:hint="default"/>
                <w:sz w:val="18"/>
                <w:szCs w:val="18"/>
              </w:rPr>
            </w:pPr>
            <w:r>
              <w:rPr>
                <w:rFonts w:ascii="宋体" w:hAnsi="宋体" w:cs="宋体" w:eastAsia="宋体" w:hint="default"/>
                <w:sz w:val="18"/>
                <w:szCs w:val="18"/>
              </w:rPr>
              <w:t>铁岭</w:t>
            </w:r>
            <w:r>
              <w:rPr>
                <w:rFonts w:ascii="宋体" w:hAnsi="宋体" w:cs="宋体" w:eastAsia="宋体" w:hint="default"/>
                <w:sz w:val="18"/>
                <w:szCs w:val="18"/>
              </w:rPr>
              <w:t> </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13"/>
              <w:jc w:val="right"/>
              <w:rPr>
                <w:rFonts w:ascii="宋体" w:hAnsi="宋体" w:cs="宋体" w:eastAsia="宋体" w:hint="default"/>
                <w:sz w:val="18"/>
                <w:szCs w:val="18"/>
              </w:rPr>
            </w:pPr>
            <w:r>
              <w:rPr>
                <w:rFonts w:ascii="宋体" w:hAnsi="宋体" w:cs="宋体" w:eastAsia="宋体" w:hint="default"/>
                <w:sz w:val="18"/>
                <w:szCs w:val="18"/>
              </w:rPr>
              <w:t>光伏电站</w:t>
            </w:r>
            <w:r>
              <w:rPr>
                <w:rFonts w:ascii="宋体" w:hAnsi="宋体" w:cs="宋体" w:eastAsia="宋体" w:hint="default"/>
                <w:sz w:val="18"/>
                <w:szCs w:val="18"/>
              </w:rPr>
              <w:t> </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7" w:right="0"/>
              <w:jc w:val="center"/>
              <w:rPr>
                <w:rFonts w:ascii="宋体" w:hAnsi="宋体" w:cs="宋体" w:eastAsia="宋体" w:hint="default"/>
                <w:sz w:val="18"/>
                <w:szCs w:val="18"/>
              </w:rPr>
            </w:pPr>
            <w:r>
              <w:rPr>
                <w:rFonts w:ascii="宋体"/>
                <w:sz w:val="18"/>
              </w:rPr>
              <w:t> </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5" w:right="0"/>
              <w:jc w:val="center"/>
              <w:rPr>
                <w:rFonts w:ascii="宋体" w:hAnsi="宋体" w:cs="宋体" w:eastAsia="宋体" w:hint="default"/>
                <w:sz w:val="18"/>
                <w:szCs w:val="18"/>
              </w:rPr>
            </w:pPr>
            <w:r>
              <w:rPr>
                <w:rFonts w:ascii="宋体"/>
                <w:sz w:val="18"/>
              </w:rPr>
              <w:t>100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设立</w:t>
            </w:r>
            <w:r>
              <w:rPr>
                <w:rFonts w:ascii="宋体" w:hAnsi="宋体" w:cs="宋体" w:eastAsia="宋体" w:hint="default"/>
                <w:sz w:val="18"/>
                <w:szCs w:val="18"/>
              </w:rPr>
              <w:t> </w:t>
            </w:r>
          </w:p>
        </w:tc>
      </w:tr>
      <w:tr>
        <w:trPr>
          <w:trHeight w:val="245" w:hRule="exact"/>
        </w:trPr>
        <w:tc>
          <w:tcPr>
            <w:tcW w:w="309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安徽林洋新能源科技有限公司</w:t>
            </w:r>
            <w:r>
              <w:rPr>
                <w:rFonts w:ascii="宋体" w:hAnsi="宋体" w:cs="宋体" w:eastAsia="宋体" w:hint="default"/>
                <w:sz w:val="18"/>
                <w:szCs w:val="18"/>
              </w:rPr>
              <w:t> </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87" w:right="0"/>
              <w:jc w:val="center"/>
              <w:rPr>
                <w:rFonts w:ascii="宋体" w:hAnsi="宋体" w:cs="宋体" w:eastAsia="宋体" w:hint="default"/>
                <w:sz w:val="18"/>
                <w:szCs w:val="18"/>
              </w:rPr>
            </w:pPr>
            <w:r>
              <w:rPr>
                <w:rFonts w:ascii="宋体" w:hAnsi="宋体" w:cs="宋体" w:eastAsia="宋体" w:hint="default"/>
                <w:sz w:val="18"/>
                <w:szCs w:val="18"/>
              </w:rPr>
              <w:t>合肥</w:t>
            </w:r>
            <w:r>
              <w:rPr>
                <w:rFonts w:ascii="宋体" w:hAnsi="宋体" w:cs="宋体" w:eastAsia="宋体" w:hint="default"/>
                <w:sz w:val="18"/>
                <w:szCs w:val="18"/>
              </w:rPr>
              <w:t> </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87" w:right="0"/>
              <w:jc w:val="center"/>
              <w:rPr>
                <w:rFonts w:ascii="宋体" w:hAnsi="宋体" w:cs="宋体" w:eastAsia="宋体" w:hint="default"/>
                <w:sz w:val="18"/>
                <w:szCs w:val="18"/>
              </w:rPr>
            </w:pPr>
            <w:r>
              <w:rPr>
                <w:rFonts w:ascii="宋体" w:hAnsi="宋体" w:cs="宋体" w:eastAsia="宋体" w:hint="default"/>
                <w:sz w:val="18"/>
                <w:szCs w:val="18"/>
              </w:rPr>
              <w:t>合肥</w:t>
            </w:r>
            <w:r>
              <w:rPr>
                <w:rFonts w:ascii="宋体" w:hAnsi="宋体" w:cs="宋体" w:eastAsia="宋体" w:hint="default"/>
                <w:sz w:val="18"/>
                <w:szCs w:val="18"/>
              </w:rPr>
              <w:t> </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313"/>
              <w:jc w:val="right"/>
              <w:rPr>
                <w:rFonts w:ascii="宋体" w:hAnsi="宋体" w:cs="宋体" w:eastAsia="宋体" w:hint="default"/>
                <w:sz w:val="18"/>
                <w:szCs w:val="18"/>
              </w:rPr>
            </w:pPr>
            <w:r>
              <w:rPr>
                <w:rFonts w:ascii="宋体" w:hAnsi="宋体" w:cs="宋体" w:eastAsia="宋体" w:hint="default"/>
                <w:sz w:val="18"/>
                <w:szCs w:val="18"/>
              </w:rPr>
              <w:t>光伏电站</w:t>
            </w:r>
            <w:r>
              <w:rPr>
                <w:rFonts w:ascii="宋体" w:hAnsi="宋体" w:cs="宋体" w:eastAsia="宋体" w:hint="default"/>
                <w:sz w:val="18"/>
                <w:szCs w:val="18"/>
              </w:rPr>
              <w:t> </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85" w:right="0"/>
              <w:jc w:val="center"/>
              <w:rPr>
                <w:rFonts w:ascii="宋体" w:hAnsi="宋体" w:cs="宋体" w:eastAsia="宋体" w:hint="default"/>
                <w:sz w:val="18"/>
                <w:szCs w:val="18"/>
              </w:rPr>
            </w:pPr>
            <w:r>
              <w:rPr>
                <w:rFonts w:ascii="宋体"/>
                <w:sz w:val="18"/>
              </w:rPr>
              <w:t>100 </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83" w:right="0"/>
              <w:jc w:val="center"/>
              <w:rPr>
                <w:rFonts w:ascii="宋体" w:hAnsi="宋体" w:cs="宋体" w:eastAsia="宋体" w:hint="default"/>
                <w:sz w:val="18"/>
                <w:szCs w:val="18"/>
              </w:rPr>
            </w:pPr>
            <w:r>
              <w:rPr>
                <w:rFonts w:ascii="宋体"/>
                <w:sz w:val="18"/>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设立</w:t>
            </w:r>
            <w:r>
              <w:rPr>
                <w:rFonts w:ascii="宋体" w:hAnsi="宋体" w:cs="宋体" w:eastAsia="宋体" w:hint="default"/>
                <w:sz w:val="18"/>
                <w:szCs w:val="18"/>
              </w:rPr>
              <w:t> </w:t>
            </w:r>
          </w:p>
        </w:tc>
      </w:tr>
      <w:tr>
        <w:trPr>
          <w:trHeight w:val="242" w:hRule="exact"/>
        </w:trPr>
        <w:tc>
          <w:tcPr>
            <w:tcW w:w="309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萧县耀洋新能源科技有限公司</w:t>
            </w:r>
            <w:r>
              <w:rPr>
                <w:rFonts w:ascii="宋体" w:hAnsi="宋体" w:cs="宋体" w:eastAsia="宋体" w:hint="default"/>
                <w:sz w:val="18"/>
                <w:szCs w:val="18"/>
              </w:rPr>
              <w:t> </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7" w:right="0"/>
              <w:jc w:val="center"/>
              <w:rPr>
                <w:rFonts w:ascii="宋体" w:hAnsi="宋体" w:cs="宋体" w:eastAsia="宋体" w:hint="default"/>
                <w:sz w:val="18"/>
                <w:szCs w:val="18"/>
              </w:rPr>
            </w:pPr>
            <w:r>
              <w:rPr>
                <w:rFonts w:ascii="宋体" w:hAnsi="宋体" w:cs="宋体" w:eastAsia="宋体" w:hint="default"/>
                <w:sz w:val="18"/>
                <w:szCs w:val="18"/>
              </w:rPr>
              <w:t>萧县</w:t>
            </w:r>
            <w:r>
              <w:rPr>
                <w:rFonts w:ascii="宋体" w:hAnsi="宋体" w:cs="宋体" w:eastAsia="宋体" w:hint="default"/>
                <w:sz w:val="18"/>
                <w:szCs w:val="18"/>
              </w:rPr>
              <w:t> </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7" w:right="0"/>
              <w:jc w:val="center"/>
              <w:rPr>
                <w:rFonts w:ascii="宋体" w:hAnsi="宋体" w:cs="宋体" w:eastAsia="宋体" w:hint="default"/>
                <w:sz w:val="18"/>
                <w:szCs w:val="18"/>
              </w:rPr>
            </w:pPr>
            <w:r>
              <w:rPr>
                <w:rFonts w:ascii="宋体" w:hAnsi="宋体" w:cs="宋体" w:eastAsia="宋体" w:hint="default"/>
                <w:sz w:val="18"/>
                <w:szCs w:val="18"/>
              </w:rPr>
              <w:t>萧县</w:t>
            </w:r>
            <w:r>
              <w:rPr>
                <w:rFonts w:ascii="宋体" w:hAnsi="宋体" w:cs="宋体" w:eastAsia="宋体" w:hint="default"/>
                <w:sz w:val="18"/>
                <w:szCs w:val="18"/>
              </w:rPr>
              <w:t> </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13"/>
              <w:jc w:val="right"/>
              <w:rPr>
                <w:rFonts w:ascii="宋体" w:hAnsi="宋体" w:cs="宋体" w:eastAsia="宋体" w:hint="default"/>
                <w:sz w:val="18"/>
                <w:szCs w:val="18"/>
              </w:rPr>
            </w:pPr>
            <w:r>
              <w:rPr>
                <w:rFonts w:ascii="宋体" w:hAnsi="宋体" w:cs="宋体" w:eastAsia="宋体" w:hint="default"/>
                <w:sz w:val="18"/>
                <w:szCs w:val="18"/>
              </w:rPr>
              <w:t>光伏电站</w:t>
            </w:r>
            <w:r>
              <w:rPr>
                <w:rFonts w:ascii="宋体" w:hAnsi="宋体" w:cs="宋体" w:eastAsia="宋体" w:hint="default"/>
                <w:sz w:val="18"/>
                <w:szCs w:val="18"/>
              </w:rPr>
              <w:t> </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7" w:right="0"/>
              <w:jc w:val="center"/>
              <w:rPr>
                <w:rFonts w:ascii="宋体" w:hAnsi="宋体" w:cs="宋体" w:eastAsia="宋体" w:hint="default"/>
                <w:sz w:val="18"/>
                <w:szCs w:val="18"/>
              </w:rPr>
            </w:pPr>
            <w:r>
              <w:rPr>
                <w:rFonts w:ascii="宋体"/>
                <w:sz w:val="18"/>
              </w:rPr>
              <w:t> </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5" w:right="0"/>
              <w:jc w:val="center"/>
              <w:rPr>
                <w:rFonts w:ascii="宋体" w:hAnsi="宋体" w:cs="宋体" w:eastAsia="宋体" w:hint="default"/>
                <w:sz w:val="18"/>
                <w:szCs w:val="18"/>
              </w:rPr>
            </w:pPr>
            <w:r>
              <w:rPr>
                <w:rFonts w:ascii="宋体"/>
                <w:sz w:val="18"/>
              </w:rPr>
              <w:t>100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设立</w:t>
            </w:r>
            <w:r>
              <w:rPr>
                <w:rFonts w:ascii="宋体" w:hAnsi="宋体" w:cs="宋体" w:eastAsia="宋体" w:hint="default"/>
                <w:sz w:val="18"/>
                <w:szCs w:val="18"/>
              </w:rPr>
              <w:t> </w:t>
            </w:r>
          </w:p>
        </w:tc>
      </w:tr>
      <w:tr>
        <w:trPr>
          <w:trHeight w:val="478" w:hRule="exact"/>
        </w:trPr>
        <w:tc>
          <w:tcPr>
            <w:tcW w:w="309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亳州市谯城区华太新能源科技有限公</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司</w:t>
            </w:r>
            <w:r>
              <w:rPr>
                <w:rFonts w:ascii="宋体" w:hAnsi="宋体" w:cs="宋体" w:eastAsia="宋体" w:hint="default"/>
                <w:sz w:val="18"/>
                <w:szCs w:val="18"/>
              </w:rPr>
              <w:t> </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87" w:right="0"/>
              <w:jc w:val="center"/>
              <w:rPr>
                <w:rFonts w:ascii="宋体" w:hAnsi="宋体" w:cs="宋体" w:eastAsia="宋体" w:hint="default"/>
                <w:sz w:val="18"/>
                <w:szCs w:val="18"/>
              </w:rPr>
            </w:pPr>
            <w:r>
              <w:rPr>
                <w:rFonts w:ascii="宋体" w:hAnsi="宋体" w:cs="宋体" w:eastAsia="宋体" w:hint="default"/>
                <w:sz w:val="18"/>
                <w:szCs w:val="18"/>
              </w:rPr>
              <w:t>亳州</w:t>
            </w:r>
            <w:r>
              <w:rPr>
                <w:rFonts w:ascii="宋体" w:hAnsi="宋体" w:cs="宋体" w:eastAsia="宋体" w:hint="default"/>
                <w:sz w:val="18"/>
                <w:szCs w:val="18"/>
              </w:rPr>
              <w:t> </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87" w:right="0"/>
              <w:jc w:val="center"/>
              <w:rPr>
                <w:rFonts w:ascii="宋体" w:hAnsi="宋体" w:cs="宋体" w:eastAsia="宋体" w:hint="default"/>
                <w:sz w:val="18"/>
                <w:szCs w:val="18"/>
              </w:rPr>
            </w:pPr>
            <w:r>
              <w:rPr>
                <w:rFonts w:ascii="宋体" w:hAnsi="宋体" w:cs="宋体" w:eastAsia="宋体" w:hint="default"/>
                <w:sz w:val="18"/>
                <w:szCs w:val="18"/>
              </w:rPr>
              <w:t>亳州</w:t>
            </w:r>
            <w:r>
              <w:rPr>
                <w:rFonts w:ascii="宋体" w:hAnsi="宋体" w:cs="宋体" w:eastAsia="宋体" w:hint="default"/>
                <w:sz w:val="18"/>
                <w:szCs w:val="18"/>
              </w:rPr>
              <w:t> </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313"/>
              <w:jc w:val="right"/>
              <w:rPr>
                <w:rFonts w:ascii="宋体" w:hAnsi="宋体" w:cs="宋体" w:eastAsia="宋体" w:hint="default"/>
                <w:sz w:val="18"/>
                <w:szCs w:val="18"/>
              </w:rPr>
            </w:pPr>
            <w:r>
              <w:rPr>
                <w:rFonts w:ascii="宋体" w:hAnsi="宋体" w:cs="宋体" w:eastAsia="宋体" w:hint="default"/>
                <w:sz w:val="18"/>
                <w:szCs w:val="18"/>
              </w:rPr>
              <w:t>光伏电站</w:t>
            </w:r>
            <w:r>
              <w:rPr>
                <w:rFonts w:ascii="宋体" w:hAnsi="宋体" w:cs="宋体" w:eastAsia="宋体" w:hint="default"/>
                <w:sz w:val="18"/>
                <w:szCs w:val="18"/>
              </w:rPr>
              <w:t> </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87" w:right="0"/>
              <w:jc w:val="center"/>
              <w:rPr>
                <w:rFonts w:ascii="宋体" w:hAnsi="宋体" w:cs="宋体" w:eastAsia="宋体" w:hint="default"/>
                <w:sz w:val="18"/>
                <w:szCs w:val="18"/>
              </w:rPr>
            </w:pPr>
            <w:r>
              <w:rPr>
                <w:rFonts w:ascii="宋体"/>
                <w:sz w:val="18"/>
              </w:rPr>
              <w:t> </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85" w:right="0"/>
              <w:jc w:val="center"/>
              <w:rPr>
                <w:rFonts w:ascii="宋体" w:hAnsi="宋体" w:cs="宋体" w:eastAsia="宋体" w:hint="default"/>
                <w:sz w:val="18"/>
                <w:szCs w:val="18"/>
              </w:rPr>
            </w:pPr>
            <w:r>
              <w:rPr>
                <w:rFonts w:ascii="宋体"/>
                <w:sz w:val="18"/>
              </w:rPr>
              <w:t>100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设立</w:t>
            </w:r>
            <w:r>
              <w:rPr>
                <w:rFonts w:ascii="宋体" w:hAnsi="宋体" w:cs="宋体" w:eastAsia="宋体" w:hint="default"/>
                <w:sz w:val="18"/>
                <w:szCs w:val="18"/>
              </w:rPr>
              <w:t> </w:t>
            </w:r>
          </w:p>
        </w:tc>
      </w:tr>
      <w:tr>
        <w:trPr>
          <w:trHeight w:val="478" w:hRule="exact"/>
        </w:trPr>
        <w:tc>
          <w:tcPr>
            <w:tcW w:w="309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亳州市谯城区华阳新能源科技有限公</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司</w:t>
            </w:r>
            <w:r>
              <w:rPr>
                <w:rFonts w:ascii="宋体" w:hAnsi="宋体" w:cs="宋体" w:eastAsia="宋体" w:hint="default"/>
                <w:sz w:val="18"/>
                <w:szCs w:val="18"/>
              </w:rPr>
              <w:t> </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87" w:right="0"/>
              <w:jc w:val="center"/>
              <w:rPr>
                <w:rFonts w:ascii="宋体" w:hAnsi="宋体" w:cs="宋体" w:eastAsia="宋体" w:hint="default"/>
                <w:sz w:val="18"/>
                <w:szCs w:val="18"/>
              </w:rPr>
            </w:pPr>
            <w:r>
              <w:rPr>
                <w:rFonts w:ascii="宋体" w:hAnsi="宋体" w:cs="宋体" w:eastAsia="宋体" w:hint="default"/>
                <w:sz w:val="18"/>
                <w:szCs w:val="18"/>
              </w:rPr>
              <w:t>亳州</w:t>
            </w:r>
            <w:r>
              <w:rPr>
                <w:rFonts w:ascii="宋体" w:hAnsi="宋体" w:cs="宋体" w:eastAsia="宋体" w:hint="default"/>
                <w:sz w:val="18"/>
                <w:szCs w:val="18"/>
              </w:rPr>
              <w:t> </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87" w:right="0"/>
              <w:jc w:val="center"/>
              <w:rPr>
                <w:rFonts w:ascii="宋体" w:hAnsi="宋体" w:cs="宋体" w:eastAsia="宋体" w:hint="default"/>
                <w:sz w:val="18"/>
                <w:szCs w:val="18"/>
              </w:rPr>
            </w:pPr>
            <w:r>
              <w:rPr>
                <w:rFonts w:ascii="宋体" w:hAnsi="宋体" w:cs="宋体" w:eastAsia="宋体" w:hint="default"/>
                <w:sz w:val="18"/>
                <w:szCs w:val="18"/>
              </w:rPr>
              <w:t>亳州</w:t>
            </w:r>
            <w:r>
              <w:rPr>
                <w:rFonts w:ascii="宋体" w:hAnsi="宋体" w:cs="宋体" w:eastAsia="宋体" w:hint="default"/>
                <w:sz w:val="18"/>
                <w:szCs w:val="18"/>
              </w:rPr>
              <w:t> </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313"/>
              <w:jc w:val="right"/>
              <w:rPr>
                <w:rFonts w:ascii="宋体" w:hAnsi="宋体" w:cs="宋体" w:eastAsia="宋体" w:hint="default"/>
                <w:sz w:val="18"/>
                <w:szCs w:val="18"/>
              </w:rPr>
            </w:pPr>
            <w:r>
              <w:rPr>
                <w:rFonts w:ascii="宋体" w:hAnsi="宋体" w:cs="宋体" w:eastAsia="宋体" w:hint="default"/>
                <w:sz w:val="18"/>
                <w:szCs w:val="18"/>
              </w:rPr>
              <w:t>光伏电站</w:t>
            </w:r>
            <w:r>
              <w:rPr>
                <w:rFonts w:ascii="宋体" w:hAnsi="宋体" w:cs="宋体" w:eastAsia="宋体" w:hint="default"/>
                <w:sz w:val="18"/>
                <w:szCs w:val="18"/>
              </w:rPr>
              <w:t> </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87" w:right="0"/>
              <w:jc w:val="center"/>
              <w:rPr>
                <w:rFonts w:ascii="宋体" w:hAnsi="宋体" w:cs="宋体" w:eastAsia="宋体" w:hint="default"/>
                <w:sz w:val="18"/>
                <w:szCs w:val="18"/>
              </w:rPr>
            </w:pPr>
            <w:r>
              <w:rPr>
                <w:rFonts w:ascii="宋体"/>
                <w:sz w:val="18"/>
              </w:rPr>
              <w:t> </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85" w:right="0"/>
              <w:jc w:val="center"/>
              <w:rPr>
                <w:rFonts w:ascii="宋体" w:hAnsi="宋体" w:cs="宋体" w:eastAsia="宋体" w:hint="default"/>
                <w:sz w:val="18"/>
                <w:szCs w:val="18"/>
              </w:rPr>
            </w:pPr>
            <w:r>
              <w:rPr>
                <w:rFonts w:ascii="宋体"/>
                <w:sz w:val="18"/>
              </w:rPr>
              <w:t>100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设立</w:t>
            </w:r>
            <w:r>
              <w:rPr>
                <w:rFonts w:ascii="宋体" w:hAnsi="宋体" w:cs="宋体" w:eastAsia="宋体" w:hint="default"/>
                <w:sz w:val="18"/>
                <w:szCs w:val="18"/>
              </w:rPr>
              <w:t> </w:t>
            </w:r>
          </w:p>
        </w:tc>
      </w:tr>
      <w:tr>
        <w:trPr>
          <w:trHeight w:val="242" w:hRule="exact"/>
        </w:trPr>
        <w:tc>
          <w:tcPr>
            <w:tcW w:w="309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肥东县永耀新能源科技有限公司</w:t>
            </w:r>
            <w:r>
              <w:rPr>
                <w:rFonts w:ascii="宋体" w:hAnsi="宋体" w:cs="宋体" w:eastAsia="宋体" w:hint="default"/>
                <w:sz w:val="18"/>
                <w:szCs w:val="18"/>
              </w:rPr>
              <w:t> </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7" w:right="0"/>
              <w:jc w:val="center"/>
              <w:rPr>
                <w:rFonts w:ascii="宋体" w:hAnsi="宋体" w:cs="宋体" w:eastAsia="宋体" w:hint="default"/>
                <w:sz w:val="18"/>
                <w:szCs w:val="18"/>
              </w:rPr>
            </w:pPr>
            <w:r>
              <w:rPr>
                <w:rFonts w:ascii="宋体" w:hAnsi="宋体" w:cs="宋体" w:eastAsia="宋体" w:hint="default"/>
                <w:sz w:val="18"/>
                <w:szCs w:val="18"/>
              </w:rPr>
              <w:t>肥东</w:t>
            </w:r>
            <w:r>
              <w:rPr>
                <w:rFonts w:ascii="宋体" w:hAnsi="宋体" w:cs="宋体" w:eastAsia="宋体" w:hint="default"/>
                <w:sz w:val="18"/>
                <w:szCs w:val="18"/>
              </w:rPr>
              <w:t> </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7" w:right="0"/>
              <w:jc w:val="center"/>
              <w:rPr>
                <w:rFonts w:ascii="宋体" w:hAnsi="宋体" w:cs="宋体" w:eastAsia="宋体" w:hint="default"/>
                <w:sz w:val="18"/>
                <w:szCs w:val="18"/>
              </w:rPr>
            </w:pPr>
            <w:r>
              <w:rPr>
                <w:rFonts w:ascii="宋体" w:hAnsi="宋体" w:cs="宋体" w:eastAsia="宋体" w:hint="default"/>
                <w:sz w:val="18"/>
                <w:szCs w:val="18"/>
              </w:rPr>
              <w:t>肥东</w:t>
            </w:r>
            <w:r>
              <w:rPr>
                <w:rFonts w:ascii="宋体" w:hAnsi="宋体" w:cs="宋体" w:eastAsia="宋体" w:hint="default"/>
                <w:sz w:val="18"/>
                <w:szCs w:val="18"/>
              </w:rPr>
              <w:t> </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13"/>
              <w:jc w:val="right"/>
              <w:rPr>
                <w:rFonts w:ascii="宋体" w:hAnsi="宋体" w:cs="宋体" w:eastAsia="宋体" w:hint="default"/>
                <w:sz w:val="18"/>
                <w:szCs w:val="18"/>
              </w:rPr>
            </w:pPr>
            <w:r>
              <w:rPr>
                <w:rFonts w:ascii="宋体" w:hAnsi="宋体" w:cs="宋体" w:eastAsia="宋体" w:hint="default"/>
                <w:sz w:val="18"/>
                <w:szCs w:val="18"/>
              </w:rPr>
              <w:t>光伏电站</w:t>
            </w:r>
            <w:r>
              <w:rPr>
                <w:rFonts w:ascii="宋体" w:hAnsi="宋体" w:cs="宋体" w:eastAsia="宋体" w:hint="default"/>
                <w:sz w:val="18"/>
                <w:szCs w:val="18"/>
              </w:rPr>
              <w:t> </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7" w:right="0"/>
              <w:jc w:val="center"/>
              <w:rPr>
                <w:rFonts w:ascii="宋体" w:hAnsi="宋体" w:cs="宋体" w:eastAsia="宋体" w:hint="default"/>
                <w:sz w:val="18"/>
                <w:szCs w:val="18"/>
              </w:rPr>
            </w:pPr>
            <w:r>
              <w:rPr>
                <w:rFonts w:ascii="宋体"/>
                <w:sz w:val="18"/>
              </w:rPr>
              <w:t> </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5" w:right="0"/>
              <w:jc w:val="center"/>
              <w:rPr>
                <w:rFonts w:ascii="宋体" w:hAnsi="宋体" w:cs="宋体" w:eastAsia="宋体" w:hint="default"/>
                <w:sz w:val="18"/>
                <w:szCs w:val="18"/>
              </w:rPr>
            </w:pPr>
            <w:r>
              <w:rPr>
                <w:rFonts w:ascii="宋体"/>
                <w:sz w:val="18"/>
              </w:rPr>
              <w:t>100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设立</w:t>
            </w:r>
            <w:r>
              <w:rPr>
                <w:rFonts w:ascii="宋体" w:hAnsi="宋体" w:cs="宋体" w:eastAsia="宋体" w:hint="default"/>
                <w:sz w:val="18"/>
                <w:szCs w:val="18"/>
              </w:rPr>
              <w:t> </w:t>
            </w:r>
          </w:p>
        </w:tc>
      </w:tr>
      <w:tr>
        <w:trPr>
          <w:trHeight w:val="478" w:hRule="exact"/>
        </w:trPr>
        <w:tc>
          <w:tcPr>
            <w:tcW w:w="3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肥西绿辉光伏科技工程有限公司</w:t>
            </w:r>
            <w:r>
              <w:rPr>
                <w:rFonts w:ascii="宋体" w:hAnsi="宋体" w:cs="宋体" w:eastAsia="宋体" w:hint="default"/>
                <w:sz w:val="18"/>
                <w:szCs w:val="18"/>
              </w:rPr>
              <w:t> </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87" w:right="0"/>
              <w:jc w:val="center"/>
              <w:rPr>
                <w:rFonts w:ascii="宋体" w:hAnsi="宋体" w:cs="宋体" w:eastAsia="宋体" w:hint="default"/>
                <w:sz w:val="18"/>
                <w:szCs w:val="18"/>
              </w:rPr>
            </w:pPr>
            <w:r>
              <w:rPr>
                <w:rFonts w:ascii="宋体" w:hAnsi="宋体" w:cs="宋体" w:eastAsia="宋体" w:hint="default"/>
                <w:sz w:val="18"/>
                <w:szCs w:val="18"/>
              </w:rPr>
              <w:t>肥西</w:t>
            </w:r>
            <w:r>
              <w:rPr>
                <w:rFonts w:ascii="宋体" w:hAnsi="宋体" w:cs="宋体" w:eastAsia="宋体" w:hint="default"/>
                <w:sz w:val="18"/>
                <w:szCs w:val="18"/>
              </w:rPr>
              <w:t> </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87" w:right="0"/>
              <w:jc w:val="center"/>
              <w:rPr>
                <w:rFonts w:ascii="宋体" w:hAnsi="宋体" w:cs="宋体" w:eastAsia="宋体" w:hint="default"/>
                <w:sz w:val="18"/>
                <w:szCs w:val="18"/>
              </w:rPr>
            </w:pPr>
            <w:r>
              <w:rPr>
                <w:rFonts w:ascii="宋体" w:hAnsi="宋体" w:cs="宋体" w:eastAsia="宋体" w:hint="default"/>
                <w:sz w:val="18"/>
                <w:szCs w:val="18"/>
              </w:rPr>
              <w:t>肥西</w:t>
            </w:r>
            <w:r>
              <w:rPr>
                <w:rFonts w:ascii="宋体" w:hAnsi="宋体" w:cs="宋体" w:eastAsia="宋体" w:hint="default"/>
                <w:sz w:val="18"/>
                <w:szCs w:val="18"/>
              </w:rPr>
              <w:t> </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313"/>
              <w:jc w:val="right"/>
              <w:rPr>
                <w:rFonts w:ascii="宋体" w:hAnsi="宋体" w:cs="宋体" w:eastAsia="宋体" w:hint="default"/>
                <w:sz w:val="18"/>
                <w:szCs w:val="18"/>
              </w:rPr>
            </w:pPr>
            <w:r>
              <w:rPr>
                <w:rFonts w:ascii="宋体" w:hAnsi="宋体" w:cs="宋体" w:eastAsia="宋体" w:hint="default"/>
                <w:sz w:val="18"/>
                <w:szCs w:val="18"/>
              </w:rPr>
              <w:t>光伏电站</w:t>
            </w:r>
            <w:r>
              <w:rPr>
                <w:rFonts w:ascii="宋体" w:hAnsi="宋体" w:cs="宋体" w:eastAsia="宋体" w:hint="default"/>
                <w:sz w:val="18"/>
                <w:szCs w:val="18"/>
              </w:rPr>
              <w:t> </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87" w:right="0"/>
              <w:jc w:val="center"/>
              <w:rPr>
                <w:rFonts w:ascii="宋体" w:hAnsi="宋体" w:cs="宋体" w:eastAsia="宋体" w:hint="default"/>
                <w:sz w:val="18"/>
                <w:szCs w:val="18"/>
              </w:rPr>
            </w:pPr>
            <w:r>
              <w:rPr>
                <w:rFonts w:ascii="宋体"/>
                <w:sz w:val="18"/>
              </w:rPr>
              <w:t> </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85" w:right="0"/>
              <w:jc w:val="center"/>
              <w:rPr>
                <w:rFonts w:ascii="宋体" w:hAnsi="宋体" w:cs="宋体" w:eastAsia="宋体" w:hint="default"/>
                <w:sz w:val="18"/>
                <w:szCs w:val="18"/>
              </w:rPr>
            </w:pPr>
            <w:r>
              <w:rPr>
                <w:rFonts w:ascii="宋体"/>
                <w:sz w:val="18"/>
              </w:rPr>
              <w:t>100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非同一控制下企业合</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并</w:t>
            </w:r>
            <w:r>
              <w:rPr>
                <w:rFonts w:ascii="宋体" w:hAnsi="宋体" w:cs="宋体" w:eastAsia="宋体" w:hint="default"/>
                <w:sz w:val="18"/>
                <w:szCs w:val="18"/>
              </w:rPr>
              <w:t> </w:t>
            </w:r>
          </w:p>
        </w:tc>
      </w:tr>
      <w:tr>
        <w:trPr>
          <w:trHeight w:val="242" w:hRule="exact"/>
        </w:trPr>
        <w:tc>
          <w:tcPr>
            <w:tcW w:w="309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阜阳华明农业太阳能发电有限公司</w:t>
            </w:r>
            <w:r>
              <w:rPr>
                <w:rFonts w:ascii="宋体" w:hAnsi="宋体" w:cs="宋体" w:eastAsia="宋体" w:hint="default"/>
                <w:sz w:val="18"/>
                <w:szCs w:val="18"/>
              </w:rPr>
              <w:t> </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7" w:right="0"/>
              <w:jc w:val="center"/>
              <w:rPr>
                <w:rFonts w:ascii="宋体" w:hAnsi="宋体" w:cs="宋体" w:eastAsia="宋体" w:hint="default"/>
                <w:sz w:val="18"/>
                <w:szCs w:val="18"/>
              </w:rPr>
            </w:pPr>
            <w:r>
              <w:rPr>
                <w:rFonts w:ascii="宋体" w:hAnsi="宋体" w:cs="宋体" w:eastAsia="宋体" w:hint="default"/>
                <w:sz w:val="18"/>
                <w:szCs w:val="18"/>
              </w:rPr>
              <w:t>阜阳</w:t>
            </w:r>
            <w:r>
              <w:rPr>
                <w:rFonts w:ascii="宋体" w:hAnsi="宋体" w:cs="宋体" w:eastAsia="宋体" w:hint="default"/>
                <w:sz w:val="18"/>
                <w:szCs w:val="18"/>
              </w:rPr>
              <w:t> </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7" w:right="0"/>
              <w:jc w:val="center"/>
              <w:rPr>
                <w:rFonts w:ascii="宋体" w:hAnsi="宋体" w:cs="宋体" w:eastAsia="宋体" w:hint="default"/>
                <w:sz w:val="18"/>
                <w:szCs w:val="18"/>
              </w:rPr>
            </w:pPr>
            <w:r>
              <w:rPr>
                <w:rFonts w:ascii="宋体" w:hAnsi="宋体" w:cs="宋体" w:eastAsia="宋体" w:hint="default"/>
                <w:sz w:val="18"/>
                <w:szCs w:val="18"/>
              </w:rPr>
              <w:t>阜阳</w:t>
            </w:r>
            <w:r>
              <w:rPr>
                <w:rFonts w:ascii="宋体" w:hAnsi="宋体" w:cs="宋体" w:eastAsia="宋体" w:hint="default"/>
                <w:sz w:val="18"/>
                <w:szCs w:val="18"/>
              </w:rPr>
              <w:t> </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13"/>
              <w:jc w:val="right"/>
              <w:rPr>
                <w:rFonts w:ascii="宋体" w:hAnsi="宋体" w:cs="宋体" w:eastAsia="宋体" w:hint="default"/>
                <w:sz w:val="18"/>
                <w:szCs w:val="18"/>
              </w:rPr>
            </w:pPr>
            <w:r>
              <w:rPr>
                <w:rFonts w:ascii="宋体" w:hAnsi="宋体" w:cs="宋体" w:eastAsia="宋体" w:hint="default"/>
                <w:sz w:val="18"/>
                <w:szCs w:val="18"/>
              </w:rPr>
              <w:t>光伏电站</w:t>
            </w:r>
            <w:r>
              <w:rPr>
                <w:rFonts w:ascii="宋体" w:hAnsi="宋体" w:cs="宋体" w:eastAsia="宋体" w:hint="default"/>
                <w:sz w:val="18"/>
                <w:szCs w:val="18"/>
              </w:rPr>
              <w:t> </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7" w:right="0"/>
              <w:jc w:val="center"/>
              <w:rPr>
                <w:rFonts w:ascii="宋体" w:hAnsi="宋体" w:cs="宋体" w:eastAsia="宋体" w:hint="default"/>
                <w:sz w:val="18"/>
                <w:szCs w:val="18"/>
              </w:rPr>
            </w:pPr>
            <w:r>
              <w:rPr>
                <w:rFonts w:ascii="宋体"/>
                <w:sz w:val="18"/>
              </w:rPr>
              <w:t> </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5" w:right="0"/>
              <w:jc w:val="center"/>
              <w:rPr>
                <w:rFonts w:ascii="宋体" w:hAnsi="宋体" w:cs="宋体" w:eastAsia="宋体" w:hint="default"/>
                <w:sz w:val="18"/>
                <w:szCs w:val="18"/>
              </w:rPr>
            </w:pPr>
            <w:r>
              <w:rPr>
                <w:rFonts w:ascii="宋体"/>
                <w:sz w:val="18"/>
              </w:rPr>
              <w:t>100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设立</w:t>
            </w:r>
            <w:r>
              <w:rPr>
                <w:rFonts w:ascii="宋体" w:hAnsi="宋体" w:cs="宋体" w:eastAsia="宋体" w:hint="default"/>
                <w:sz w:val="18"/>
                <w:szCs w:val="18"/>
              </w:rPr>
              <w:t> </w:t>
            </w:r>
          </w:p>
        </w:tc>
      </w:tr>
      <w:tr>
        <w:trPr>
          <w:trHeight w:val="245" w:hRule="exact"/>
        </w:trPr>
        <w:tc>
          <w:tcPr>
            <w:tcW w:w="309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阜阳金明农业太阳能发电有限公司</w:t>
            </w:r>
            <w:r>
              <w:rPr>
                <w:rFonts w:ascii="宋体" w:hAnsi="宋体" w:cs="宋体" w:eastAsia="宋体" w:hint="default"/>
                <w:sz w:val="18"/>
                <w:szCs w:val="18"/>
              </w:rPr>
              <w:t> </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7" w:right="0"/>
              <w:jc w:val="center"/>
              <w:rPr>
                <w:rFonts w:ascii="宋体" w:hAnsi="宋体" w:cs="宋体" w:eastAsia="宋体" w:hint="default"/>
                <w:sz w:val="18"/>
                <w:szCs w:val="18"/>
              </w:rPr>
            </w:pPr>
            <w:r>
              <w:rPr>
                <w:rFonts w:ascii="宋体" w:hAnsi="宋体" w:cs="宋体" w:eastAsia="宋体" w:hint="default"/>
                <w:sz w:val="18"/>
                <w:szCs w:val="18"/>
              </w:rPr>
              <w:t>阜阳</w:t>
            </w:r>
            <w:r>
              <w:rPr>
                <w:rFonts w:ascii="宋体" w:hAnsi="宋体" w:cs="宋体" w:eastAsia="宋体" w:hint="default"/>
                <w:sz w:val="18"/>
                <w:szCs w:val="18"/>
              </w:rPr>
              <w:t> </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7" w:right="0"/>
              <w:jc w:val="center"/>
              <w:rPr>
                <w:rFonts w:ascii="宋体" w:hAnsi="宋体" w:cs="宋体" w:eastAsia="宋体" w:hint="default"/>
                <w:sz w:val="18"/>
                <w:szCs w:val="18"/>
              </w:rPr>
            </w:pPr>
            <w:r>
              <w:rPr>
                <w:rFonts w:ascii="宋体" w:hAnsi="宋体" w:cs="宋体" w:eastAsia="宋体" w:hint="default"/>
                <w:sz w:val="18"/>
                <w:szCs w:val="18"/>
              </w:rPr>
              <w:t>阜阳</w:t>
            </w:r>
            <w:r>
              <w:rPr>
                <w:rFonts w:ascii="宋体" w:hAnsi="宋体" w:cs="宋体" w:eastAsia="宋体" w:hint="default"/>
                <w:sz w:val="18"/>
                <w:szCs w:val="18"/>
              </w:rPr>
              <w:t> </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13"/>
              <w:jc w:val="right"/>
              <w:rPr>
                <w:rFonts w:ascii="宋体" w:hAnsi="宋体" w:cs="宋体" w:eastAsia="宋体" w:hint="default"/>
                <w:sz w:val="18"/>
                <w:szCs w:val="18"/>
              </w:rPr>
            </w:pPr>
            <w:r>
              <w:rPr>
                <w:rFonts w:ascii="宋体" w:hAnsi="宋体" w:cs="宋体" w:eastAsia="宋体" w:hint="default"/>
                <w:sz w:val="18"/>
                <w:szCs w:val="18"/>
              </w:rPr>
              <w:t>光伏电站</w:t>
            </w:r>
            <w:r>
              <w:rPr>
                <w:rFonts w:ascii="宋体" w:hAnsi="宋体" w:cs="宋体" w:eastAsia="宋体" w:hint="default"/>
                <w:sz w:val="18"/>
                <w:szCs w:val="18"/>
              </w:rPr>
              <w:t> </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7" w:right="0"/>
              <w:jc w:val="center"/>
              <w:rPr>
                <w:rFonts w:ascii="宋体" w:hAnsi="宋体" w:cs="宋体" w:eastAsia="宋体" w:hint="default"/>
                <w:sz w:val="18"/>
                <w:szCs w:val="18"/>
              </w:rPr>
            </w:pPr>
            <w:r>
              <w:rPr>
                <w:rFonts w:ascii="宋体"/>
                <w:sz w:val="18"/>
              </w:rPr>
              <w:t> </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5" w:right="0"/>
              <w:jc w:val="center"/>
              <w:rPr>
                <w:rFonts w:ascii="宋体" w:hAnsi="宋体" w:cs="宋体" w:eastAsia="宋体" w:hint="default"/>
                <w:sz w:val="18"/>
                <w:szCs w:val="18"/>
              </w:rPr>
            </w:pPr>
            <w:r>
              <w:rPr>
                <w:rFonts w:ascii="宋体"/>
                <w:sz w:val="18"/>
              </w:rPr>
              <w:t>100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设立</w:t>
            </w:r>
            <w:r>
              <w:rPr>
                <w:rFonts w:ascii="宋体" w:hAnsi="宋体" w:cs="宋体" w:eastAsia="宋体" w:hint="default"/>
                <w:sz w:val="18"/>
                <w:szCs w:val="18"/>
              </w:rPr>
              <w:t> </w:t>
            </w:r>
          </w:p>
        </w:tc>
      </w:tr>
      <w:tr>
        <w:trPr>
          <w:trHeight w:val="242" w:hRule="exact"/>
        </w:trPr>
        <w:tc>
          <w:tcPr>
            <w:tcW w:w="309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阜阳林洋新能源科技有限公司</w:t>
            </w:r>
            <w:r>
              <w:rPr>
                <w:rFonts w:ascii="宋体" w:hAnsi="宋体" w:cs="宋体" w:eastAsia="宋体" w:hint="default"/>
                <w:sz w:val="18"/>
                <w:szCs w:val="18"/>
              </w:rPr>
              <w:t> </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7" w:right="0"/>
              <w:jc w:val="center"/>
              <w:rPr>
                <w:rFonts w:ascii="宋体" w:hAnsi="宋体" w:cs="宋体" w:eastAsia="宋体" w:hint="default"/>
                <w:sz w:val="18"/>
                <w:szCs w:val="18"/>
              </w:rPr>
            </w:pPr>
            <w:r>
              <w:rPr>
                <w:rFonts w:ascii="宋体" w:hAnsi="宋体" w:cs="宋体" w:eastAsia="宋体" w:hint="default"/>
                <w:sz w:val="18"/>
                <w:szCs w:val="18"/>
              </w:rPr>
              <w:t>阜阳</w:t>
            </w:r>
            <w:r>
              <w:rPr>
                <w:rFonts w:ascii="宋体" w:hAnsi="宋体" w:cs="宋体" w:eastAsia="宋体" w:hint="default"/>
                <w:sz w:val="18"/>
                <w:szCs w:val="18"/>
              </w:rPr>
              <w:t> </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7" w:right="0"/>
              <w:jc w:val="center"/>
              <w:rPr>
                <w:rFonts w:ascii="宋体" w:hAnsi="宋体" w:cs="宋体" w:eastAsia="宋体" w:hint="default"/>
                <w:sz w:val="18"/>
                <w:szCs w:val="18"/>
              </w:rPr>
            </w:pPr>
            <w:r>
              <w:rPr>
                <w:rFonts w:ascii="宋体" w:hAnsi="宋体" w:cs="宋体" w:eastAsia="宋体" w:hint="default"/>
                <w:sz w:val="18"/>
                <w:szCs w:val="18"/>
              </w:rPr>
              <w:t>阜阳</w:t>
            </w:r>
            <w:r>
              <w:rPr>
                <w:rFonts w:ascii="宋体" w:hAnsi="宋体" w:cs="宋体" w:eastAsia="宋体" w:hint="default"/>
                <w:sz w:val="18"/>
                <w:szCs w:val="18"/>
              </w:rPr>
              <w:t> </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13"/>
              <w:jc w:val="right"/>
              <w:rPr>
                <w:rFonts w:ascii="宋体" w:hAnsi="宋体" w:cs="宋体" w:eastAsia="宋体" w:hint="default"/>
                <w:sz w:val="18"/>
                <w:szCs w:val="18"/>
              </w:rPr>
            </w:pPr>
            <w:r>
              <w:rPr>
                <w:rFonts w:ascii="宋体" w:hAnsi="宋体" w:cs="宋体" w:eastAsia="宋体" w:hint="default"/>
                <w:sz w:val="18"/>
                <w:szCs w:val="18"/>
              </w:rPr>
              <w:t>光伏电站</w:t>
            </w:r>
            <w:r>
              <w:rPr>
                <w:rFonts w:ascii="宋体" w:hAnsi="宋体" w:cs="宋体" w:eastAsia="宋体" w:hint="default"/>
                <w:sz w:val="18"/>
                <w:szCs w:val="18"/>
              </w:rPr>
              <w:t> </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7" w:right="0"/>
              <w:jc w:val="center"/>
              <w:rPr>
                <w:rFonts w:ascii="宋体" w:hAnsi="宋体" w:cs="宋体" w:eastAsia="宋体" w:hint="default"/>
                <w:sz w:val="18"/>
                <w:szCs w:val="18"/>
              </w:rPr>
            </w:pPr>
            <w:r>
              <w:rPr>
                <w:rFonts w:ascii="宋体"/>
                <w:sz w:val="18"/>
              </w:rPr>
              <w:t> </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5" w:right="0"/>
              <w:jc w:val="center"/>
              <w:rPr>
                <w:rFonts w:ascii="宋体" w:hAnsi="宋体" w:cs="宋体" w:eastAsia="宋体" w:hint="default"/>
                <w:sz w:val="18"/>
                <w:szCs w:val="18"/>
              </w:rPr>
            </w:pPr>
            <w:r>
              <w:rPr>
                <w:rFonts w:ascii="宋体"/>
                <w:sz w:val="18"/>
              </w:rPr>
              <w:t>100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设立</w:t>
            </w:r>
            <w:r>
              <w:rPr>
                <w:rFonts w:ascii="宋体" w:hAnsi="宋体" w:cs="宋体" w:eastAsia="宋体" w:hint="default"/>
                <w:sz w:val="18"/>
                <w:szCs w:val="18"/>
              </w:rPr>
              <w:t> </w:t>
            </w:r>
          </w:p>
        </w:tc>
      </w:tr>
      <w:tr>
        <w:trPr>
          <w:trHeight w:val="245" w:hRule="exact"/>
        </w:trPr>
        <w:tc>
          <w:tcPr>
            <w:tcW w:w="309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临泉永明太阳能发电有限公司</w:t>
            </w:r>
            <w:r>
              <w:rPr>
                <w:rFonts w:ascii="宋体" w:hAnsi="宋体" w:cs="宋体" w:eastAsia="宋体" w:hint="default"/>
                <w:sz w:val="18"/>
                <w:szCs w:val="18"/>
              </w:rPr>
              <w:t> </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7" w:right="0"/>
              <w:jc w:val="center"/>
              <w:rPr>
                <w:rFonts w:ascii="宋体" w:hAnsi="宋体" w:cs="宋体" w:eastAsia="宋体" w:hint="default"/>
                <w:sz w:val="18"/>
                <w:szCs w:val="18"/>
              </w:rPr>
            </w:pPr>
            <w:r>
              <w:rPr>
                <w:rFonts w:ascii="宋体" w:hAnsi="宋体" w:cs="宋体" w:eastAsia="宋体" w:hint="default"/>
                <w:sz w:val="18"/>
                <w:szCs w:val="18"/>
              </w:rPr>
              <w:t>临泉</w:t>
            </w:r>
            <w:r>
              <w:rPr>
                <w:rFonts w:ascii="宋体" w:hAnsi="宋体" w:cs="宋体" w:eastAsia="宋体" w:hint="default"/>
                <w:sz w:val="18"/>
                <w:szCs w:val="18"/>
              </w:rPr>
              <w:t> </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7" w:right="0"/>
              <w:jc w:val="center"/>
              <w:rPr>
                <w:rFonts w:ascii="宋体" w:hAnsi="宋体" w:cs="宋体" w:eastAsia="宋体" w:hint="default"/>
                <w:sz w:val="18"/>
                <w:szCs w:val="18"/>
              </w:rPr>
            </w:pPr>
            <w:r>
              <w:rPr>
                <w:rFonts w:ascii="宋体" w:hAnsi="宋体" w:cs="宋体" w:eastAsia="宋体" w:hint="default"/>
                <w:sz w:val="18"/>
                <w:szCs w:val="18"/>
              </w:rPr>
              <w:t>临泉</w:t>
            </w:r>
            <w:r>
              <w:rPr>
                <w:rFonts w:ascii="宋体" w:hAnsi="宋体" w:cs="宋体" w:eastAsia="宋体" w:hint="default"/>
                <w:sz w:val="18"/>
                <w:szCs w:val="18"/>
              </w:rPr>
              <w:t> </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13"/>
              <w:jc w:val="right"/>
              <w:rPr>
                <w:rFonts w:ascii="宋体" w:hAnsi="宋体" w:cs="宋体" w:eastAsia="宋体" w:hint="default"/>
                <w:sz w:val="18"/>
                <w:szCs w:val="18"/>
              </w:rPr>
            </w:pPr>
            <w:r>
              <w:rPr>
                <w:rFonts w:ascii="宋体" w:hAnsi="宋体" w:cs="宋体" w:eastAsia="宋体" w:hint="default"/>
                <w:sz w:val="18"/>
                <w:szCs w:val="18"/>
              </w:rPr>
              <w:t>光伏电站</w:t>
            </w:r>
            <w:r>
              <w:rPr>
                <w:rFonts w:ascii="宋体" w:hAnsi="宋体" w:cs="宋体" w:eastAsia="宋体" w:hint="default"/>
                <w:sz w:val="18"/>
                <w:szCs w:val="18"/>
              </w:rPr>
              <w:t> </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7" w:right="0"/>
              <w:jc w:val="center"/>
              <w:rPr>
                <w:rFonts w:ascii="宋体" w:hAnsi="宋体" w:cs="宋体" w:eastAsia="宋体" w:hint="default"/>
                <w:sz w:val="18"/>
                <w:szCs w:val="18"/>
              </w:rPr>
            </w:pPr>
            <w:r>
              <w:rPr>
                <w:rFonts w:ascii="宋体"/>
                <w:sz w:val="18"/>
              </w:rPr>
              <w:t> </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2" w:right="0"/>
              <w:jc w:val="center"/>
              <w:rPr>
                <w:rFonts w:ascii="宋体" w:hAnsi="宋体" w:cs="宋体" w:eastAsia="宋体" w:hint="default"/>
                <w:sz w:val="18"/>
                <w:szCs w:val="18"/>
              </w:rPr>
            </w:pPr>
            <w:r>
              <w:rPr>
                <w:rFonts w:ascii="宋体"/>
                <w:sz w:val="18"/>
              </w:rPr>
              <w:t>53.33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设立</w:t>
            </w:r>
            <w:r>
              <w:rPr>
                <w:rFonts w:ascii="宋体" w:hAnsi="宋体" w:cs="宋体" w:eastAsia="宋体" w:hint="default"/>
                <w:sz w:val="18"/>
                <w:szCs w:val="18"/>
              </w:rPr>
              <w:t> </w:t>
            </w:r>
          </w:p>
        </w:tc>
      </w:tr>
      <w:tr>
        <w:trPr>
          <w:trHeight w:val="242" w:hRule="exact"/>
        </w:trPr>
        <w:tc>
          <w:tcPr>
            <w:tcW w:w="309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阜阳永明农业太阳能发电有限公司</w:t>
            </w:r>
            <w:r>
              <w:rPr>
                <w:rFonts w:ascii="宋体" w:hAnsi="宋体" w:cs="宋体" w:eastAsia="宋体" w:hint="default"/>
                <w:sz w:val="18"/>
                <w:szCs w:val="18"/>
              </w:rPr>
              <w:t> </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7" w:right="0"/>
              <w:jc w:val="center"/>
              <w:rPr>
                <w:rFonts w:ascii="宋体" w:hAnsi="宋体" w:cs="宋体" w:eastAsia="宋体" w:hint="default"/>
                <w:sz w:val="18"/>
                <w:szCs w:val="18"/>
              </w:rPr>
            </w:pPr>
            <w:r>
              <w:rPr>
                <w:rFonts w:ascii="宋体" w:hAnsi="宋体" w:cs="宋体" w:eastAsia="宋体" w:hint="default"/>
                <w:sz w:val="18"/>
                <w:szCs w:val="18"/>
              </w:rPr>
              <w:t>阜阳</w:t>
            </w:r>
            <w:r>
              <w:rPr>
                <w:rFonts w:ascii="宋体" w:hAnsi="宋体" w:cs="宋体" w:eastAsia="宋体" w:hint="default"/>
                <w:sz w:val="18"/>
                <w:szCs w:val="18"/>
              </w:rPr>
              <w:t> </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7" w:right="0"/>
              <w:jc w:val="center"/>
              <w:rPr>
                <w:rFonts w:ascii="宋体" w:hAnsi="宋体" w:cs="宋体" w:eastAsia="宋体" w:hint="default"/>
                <w:sz w:val="18"/>
                <w:szCs w:val="18"/>
              </w:rPr>
            </w:pPr>
            <w:r>
              <w:rPr>
                <w:rFonts w:ascii="宋体" w:hAnsi="宋体" w:cs="宋体" w:eastAsia="宋体" w:hint="default"/>
                <w:sz w:val="18"/>
                <w:szCs w:val="18"/>
              </w:rPr>
              <w:t>阜阳</w:t>
            </w:r>
            <w:r>
              <w:rPr>
                <w:rFonts w:ascii="宋体" w:hAnsi="宋体" w:cs="宋体" w:eastAsia="宋体" w:hint="default"/>
                <w:sz w:val="18"/>
                <w:szCs w:val="18"/>
              </w:rPr>
              <w:t> </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13"/>
              <w:jc w:val="right"/>
              <w:rPr>
                <w:rFonts w:ascii="宋体" w:hAnsi="宋体" w:cs="宋体" w:eastAsia="宋体" w:hint="default"/>
                <w:sz w:val="18"/>
                <w:szCs w:val="18"/>
              </w:rPr>
            </w:pPr>
            <w:r>
              <w:rPr>
                <w:rFonts w:ascii="宋体" w:hAnsi="宋体" w:cs="宋体" w:eastAsia="宋体" w:hint="default"/>
                <w:sz w:val="18"/>
                <w:szCs w:val="18"/>
              </w:rPr>
              <w:t>光伏电站</w:t>
            </w:r>
            <w:r>
              <w:rPr>
                <w:rFonts w:ascii="宋体" w:hAnsi="宋体" w:cs="宋体" w:eastAsia="宋体" w:hint="default"/>
                <w:sz w:val="18"/>
                <w:szCs w:val="18"/>
              </w:rPr>
              <w:t> </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7" w:right="0"/>
              <w:jc w:val="center"/>
              <w:rPr>
                <w:rFonts w:ascii="宋体" w:hAnsi="宋体" w:cs="宋体" w:eastAsia="宋体" w:hint="default"/>
                <w:sz w:val="18"/>
                <w:szCs w:val="18"/>
              </w:rPr>
            </w:pPr>
            <w:r>
              <w:rPr>
                <w:rFonts w:ascii="宋体"/>
                <w:sz w:val="18"/>
              </w:rPr>
              <w:t> </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5" w:right="0"/>
              <w:jc w:val="center"/>
              <w:rPr>
                <w:rFonts w:ascii="宋体" w:hAnsi="宋体" w:cs="宋体" w:eastAsia="宋体" w:hint="default"/>
                <w:sz w:val="18"/>
                <w:szCs w:val="18"/>
              </w:rPr>
            </w:pPr>
            <w:r>
              <w:rPr>
                <w:rFonts w:ascii="宋体"/>
                <w:sz w:val="18"/>
              </w:rPr>
              <w:t>100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设立</w:t>
            </w:r>
            <w:r>
              <w:rPr>
                <w:rFonts w:ascii="宋体" w:hAnsi="宋体" w:cs="宋体" w:eastAsia="宋体" w:hint="default"/>
                <w:sz w:val="18"/>
                <w:szCs w:val="18"/>
              </w:rPr>
              <w:t> </w:t>
            </w:r>
          </w:p>
        </w:tc>
      </w:tr>
      <w:tr>
        <w:trPr>
          <w:trHeight w:val="242" w:hRule="exact"/>
        </w:trPr>
        <w:tc>
          <w:tcPr>
            <w:tcW w:w="309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阜阳永强农业科技有限公司</w:t>
            </w:r>
            <w:r>
              <w:rPr>
                <w:rFonts w:ascii="宋体" w:hAnsi="宋体" w:cs="宋体" w:eastAsia="宋体" w:hint="default"/>
                <w:sz w:val="18"/>
                <w:szCs w:val="18"/>
              </w:rPr>
              <w:t> </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7" w:right="0"/>
              <w:jc w:val="center"/>
              <w:rPr>
                <w:rFonts w:ascii="宋体" w:hAnsi="宋体" w:cs="宋体" w:eastAsia="宋体" w:hint="default"/>
                <w:sz w:val="18"/>
                <w:szCs w:val="18"/>
              </w:rPr>
            </w:pPr>
            <w:r>
              <w:rPr>
                <w:rFonts w:ascii="宋体" w:hAnsi="宋体" w:cs="宋体" w:eastAsia="宋体" w:hint="default"/>
                <w:sz w:val="18"/>
                <w:szCs w:val="18"/>
              </w:rPr>
              <w:t>阜阳</w:t>
            </w:r>
            <w:r>
              <w:rPr>
                <w:rFonts w:ascii="宋体" w:hAnsi="宋体" w:cs="宋体" w:eastAsia="宋体" w:hint="default"/>
                <w:sz w:val="18"/>
                <w:szCs w:val="18"/>
              </w:rPr>
              <w:t> </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7" w:right="0"/>
              <w:jc w:val="center"/>
              <w:rPr>
                <w:rFonts w:ascii="宋体" w:hAnsi="宋体" w:cs="宋体" w:eastAsia="宋体" w:hint="default"/>
                <w:sz w:val="18"/>
                <w:szCs w:val="18"/>
              </w:rPr>
            </w:pPr>
            <w:r>
              <w:rPr>
                <w:rFonts w:ascii="宋体" w:hAnsi="宋体" w:cs="宋体" w:eastAsia="宋体" w:hint="default"/>
                <w:sz w:val="18"/>
                <w:szCs w:val="18"/>
              </w:rPr>
              <w:t>阜阳</w:t>
            </w:r>
            <w:r>
              <w:rPr>
                <w:rFonts w:ascii="宋体" w:hAnsi="宋体" w:cs="宋体" w:eastAsia="宋体" w:hint="default"/>
                <w:sz w:val="18"/>
                <w:szCs w:val="18"/>
              </w:rPr>
              <w:t> </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13"/>
              <w:jc w:val="right"/>
              <w:rPr>
                <w:rFonts w:ascii="宋体" w:hAnsi="宋体" w:cs="宋体" w:eastAsia="宋体" w:hint="default"/>
                <w:sz w:val="18"/>
                <w:szCs w:val="18"/>
              </w:rPr>
            </w:pPr>
            <w:r>
              <w:rPr>
                <w:rFonts w:ascii="宋体" w:hAnsi="宋体" w:cs="宋体" w:eastAsia="宋体" w:hint="default"/>
                <w:sz w:val="18"/>
                <w:szCs w:val="18"/>
              </w:rPr>
              <w:t>光伏电站</w:t>
            </w:r>
            <w:r>
              <w:rPr>
                <w:rFonts w:ascii="宋体" w:hAnsi="宋体" w:cs="宋体" w:eastAsia="宋体" w:hint="default"/>
                <w:sz w:val="18"/>
                <w:szCs w:val="18"/>
              </w:rPr>
              <w:t> </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7" w:right="0"/>
              <w:jc w:val="center"/>
              <w:rPr>
                <w:rFonts w:ascii="宋体" w:hAnsi="宋体" w:cs="宋体" w:eastAsia="宋体" w:hint="default"/>
                <w:sz w:val="18"/>
                <w:szCs w:val="18"/>
              </w:rPr>
            </w:pPr>
            <w:r>
              <w:rPr>
                <w:rFonts w:ascii="宋体"/>
                <w:sz w:val="18"/>
              </w:rPr>
              <w:t> </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5" w:right="0"/>
              <w:jc w:val="center"/>
              <w:rPr>
                <w:rFonts w:ascii="宋体" w:hAnsi="宋体" w:cs="宋体" w:eastAsia="宋体" w:hint="default"/>
                <w:sz w:val="18"/>
                <w:szCs w:val="18"/>
              </w:rPr>
            </w:pPr>
            <w:r>
              <w:rPr>
                <w:rFonts w:ascii="宋体"/>
                <w:sz w:val="18"/>
              </w:rPr>
              <w:t>100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设立</w:t>
            </w:r>
            <w:r>
              <w:rPr>
                <w:rFonts w:ascii="宋体" w:hAnsi="宋体" w:cs="宋体" w:eastAsia="宋体" w:hint="default"/>
                <w:sz w:val="18"/>
                <w:szCs w:val="18"/>
              </w:rPr>
              <w:t> </w:t>
            </w:r>
          </w:p>
        </w:tc>
      </w:tr>
      <w:tr>
        <w:trPr>
          <w:trHeight w:val="478" w:hRule="exact"/>
        </w:trPr>
        <w:tc>
          <w:tcPr>
            <w:tcW w:w="3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合肥福润能源科技有限公司</w:t>
            </w:r>
            <w:r>
              <w:rPr>
                <w:rFonts w:ascii="宋体" w:hAnsi="宋体" w:cs="宋体" w:eastAsia="宋体" w:hint="default"/>
                <w:sz w:val="18"/>
                <w:szCs w:val="18"/>
              </w:rPr>
              <w:t> </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87" w:right="0"/>
              <w:jc w:val="center"/>
              <w:rPr>
                <w:rFonts w:ascii="宋体" w:hAnsi="宋体" w:cs="宋体" w:eastAsia="宋体" w:hint="default"/>
                <w:sz w:val="18"/>
                <w:szCs w:val="18"/>
              </w:rPr>
            </w:pPr>
            <w:r>
              <w:rPr>
                <w:rFonts w:ascii="宋体" w:hAnsi="宋体" w:cs="宋体" w:eastAsia="宋体" w:hint="default"/>
                <w:sz w:val="18"/>
                <w:szCs w:val="18"/>
              </w:rPr>
              <w:t>肥东</w:t>
            </w:r>
            <w:r>
              <w:rPr>
                <w:rFonts w:ascii="宋体" w:hAnsi="宋体" w:cs="宋体" w:eastAsia="宋体" w:hint="default"/>
                <w:sz w:val="18"/>
                <w:szCs w:val="18"/>
              </w:rPr>
              <w:t> </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87" w:right="0"/>
              <w:jc w:val="center"/>
              <w:rPr>
                <w:rFonts w:ascii="宋体" w:hAnsi="宋体" w:cs="宋体" w:eastAsia="宋体" w:hint="default"/>
                <w:sz w:val="18"/>
                <w:szCs w:val="18"/>
              </w:rPr>
            </w:pPr>
            <w:r>
              <w:rPr>
                <w:rFonts w:ascii="宋体" w:hAnsi="宋体" w:cs="宋体" w:eastAsia="宋体" w:hint="default"/>
                <w:sz w:val="18"/>
                <w:szCs w:val="18"/>
              </w:rPr>
              <w:t>肥东</w:t>
            </w:r>
            <w:r>
              <w:rPr>
                <w:rFonts w:ascii="宋体" w:hAnsi="宋体" w:cs="宋体" w:eastAsia="宋体" w:hint="default"/>
                <w:sz w:val="18"/>
                <w:szCs w:val="18"/>
              </w:rPr>
              <w:t> </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313"/>
              <w:jc w:val="right"/>
              <w:rPr>
                <w:rFonts w:ascii="宋体" w:hAnsi="宋体" w:cs="宋体" w:eastAsia="宋体" w:hint="default"/>
                <w:sz w:val="18"/>
                <w:szCs w:val="18"/>
              </w:rPr>
            </w:pPr>
            <w:r>
              <w:rPr>
                <w:rFonts w:ascii="宋体" w:hAnsi="宋体" w:cs="宋体" w:eastAsia="宋体" w:hint="default"/>
                <w:sz w:val="18"/>
                <w:szCs w:val="18"/>
              </w:rPr>
              <w:t>光伏电站</w:t>
            </w:r>
            <w:r>
              <w:rPr>
                <w:rFonts w:ascii="宋体" w:hAnsi="宋体" w:cs="宋体" w:eastAsia="宋体" w:hint="default"/>
                <w:sz w:val="18"/>
                <w:szCs w:val="18"/>
              </w:rPr>
              <w:t> </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87" w:right="0"/>
              <w:jc w:val="center"/>
              <w:rPr>
                <w:rFonts w:ascii="宋体" w:hAnsi="宋体" w:cs="宋体" w:eastAsia="宋体" w:hint="default"/>
                <w:sz w:val="18"/>
                <w:szCs w:val="18"/>
              </w:rPr>
            </w:pPr>
            <w:r>
              <w:rPr>
                <w:rFonts w:ascii="宋体"/>
                <w:sz w:val="18"/>
              </w:rPr>
              <w:t> </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85" w:right="0"/>
              <w:jc w:val="center"/>
              <w:rPr>
                <w:rFonts w:ascii="宋体" w:hAnsi="宋体" w:cs="宋体" w:eastAsia="宋体" w:hint="default"/>
                <w:sz w:val="18"/>
                <w:szCs w:val="18"/>
              </w:rPr>
            </w:pPr>
            <w:r>
              <w:rPr>
                <w:rFonts w:ascii="宋体"/>
                <w:sz w:val="18"/>
              </w:rPr>
              <w:t>100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非同一控制下企业合</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并</w:t>
            </w:r>
            <w:r>
              <w:rPr>
                <w:rFonts w:ascii="宋体" w:hAnsi="宋体" w:cs="宋体" w:eastAsia="宋体" w:hint="default"/>
                <w:sz w:val="18"/>
                <w:szCs w:val="18"/>
              </w:rPr>
              <w:t> </w:t>
            </w:r>
          </w:p>
        </w:tc>
      </w:tr>
      <w:tr>
        <w:trPr>
          <w:trHeight w:val="478" w:hRule="exact"/>
        </w:trPr>
        <w:tc>
          <w:tcPr>
            <w:tcW w:w="3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合肥恒科光伏科技有限公司</w:t>
            </w:r>
            <w:r>
              <w:rPr>
                <w:rFonts w:ascii="宋体" w:hAnsi="宋体" w:cs="宋体" w:eastAsia="宋体" w:hint="default"/>
                <w:sz w:val="18"/>
                <w:szCs w:val="18"/>
              </w:rPr>
              <w:t> </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87" w:right="0"/>
              <w:jc w:val="center"/>
              <w:rPr>
                <w:rFonts w:ascii="宋体" w:hAnsi="宋体" w:cs="宋体" w:eastAsia="宋体" w:hint="default"/>
                <w:sz w:val="18"/>
                <w:szCs w:val="18"/>
              </w:rPr>
            </w:pPr>
            <w:r>
              <w:rPr>
                <w:rFonts w:ascii="宋体" w:hAnsi="宋体" w:cs="宋体" w:eastAsia="宋体" w:hint="default"/>
                <w:sz w:val="18"/>
                <w:szCs w:val="18"/>
              </w:rPr>
              <w:t>肥西</w:t>
            </w:r>
            <w:r>
              <w:rPr>
                <w:rFonts w:ascii="宋体" w:hAnsi="宋体" w:cs="宋体" w:eastAsia="宋体" w:hint="default"/>
                <w:sz w:val="18"/>
                <w:szCs w:val="18"/>
              </w:rPr>
              <w:t> </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87" w:right="0"/>
              <w:jc w:val="center"/>
              <w:rPr>
                <w:rFonts w:ascii="宋体" w:hAnsi="宋体" w:cs="宋体" w:eastAsia="宋体" w:hint="default"/>
                <w:sz w:val="18"/>
                <w:szCs w:val="18"/>
              </w:rPr>
            </w:pPr>
            <w:r>
              <w:rPr>
                <w:rFonts w:ascii="宋体" w:hAnsi="宋体" w:cs="宋体" w:eastAsia="宋体" w:hint="default"/>
                <w:sz w:val="18"/>
                <w:szCs w:val="18"/>
              </w:rPr>
              <w:t>肥西</w:t>
            </w:r>
            <w:r>
              <w:rPr>
                <w:rFonts w:ascii="宋体" w:hAnsi="宋体" w:cs="宋体" w:eastAsia="宋体" w:hint="default"/>
                <w:sz w:val="18"/>
                <w:szCs w:val="18"/>
              </w:rPr>
              <w:t> </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313"/>
              <w:jc w:val="right"/>
              <w:rPr>
                <w:rFonts w:ascii="宋体" w:hAnsi="宋体" w:cs="宋体" w:eastAsia="宋体" w:hint="default"/>
                <w:sz w:val="18"/>
                <w:szCs w:val="18"/>
              </w:rPr>
            </w:pPr>
            <w:r>
              <w:rPr>
                <w:rFonts w:ascii="宋体" w:hAnsi="宋体" w:cs="宋体" w:eastAsia="宋体" w:hint="default"/>
                <w:sz w:val="18"/>
                <w:szCs w:val="18"/>
              </w:rPr>
              <w:t>光伏电站</w:t>
            </w:r>
            <w:r>
              <w:rPr>
                <w:rFonts w:ascii="宋体" w:hAnsi="宋体" w:cs="宋体" w:eastAsia="宋体" w:hint="default"/>
                <w:sz w:val="18"/>
                <w:szCs w:val="18"/>
              </w:rPr>
              <w:t> </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87" w:right="0"/>
              <w:jc w:val="center"/>
              <w:rPr>
                <w:rFonts w:ascii="宋体" w:hAnsi="宋体" w:cs="宋体" w:eastAsia="宋体" w:hint="default"/>
                <w:sz w:val="18"/>
                <w:szCs w:val="18"/>
              </w:rPr>
            </w:pPr>
            <w:r>
              <w:rPr>
                <w:rFonts w:ascii="宋体"/>
                <w:sz w:val="18"/>
              </w:rPr>
              <w:t> </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85" w:right="0"/>
              <w:jc w:val="center"/>
              <w:rPr>
                <w:rFonts w:ascii="宋体" w:hAnsi="宋体" w:cs="宋体" w:eastAsia="宋体" w:hint="default"/>
                <w:sz w:val="18"/>
                <w:szCs w:val="18"/>
              </w:rPr>
            </w:pPr>
            <w:r>
              <w:rPr>
                <w:rFonts w:ascii="宋体"/>
                <w:sz w:val="18"/>
              </w:rPr>
              <w:t>100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非同一控制下企业合</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并</w:t>
            </w:r>
            <w:r>
              <w:rPr>
                <w:rFonts w:ascii="宋体" w:hAnsi="宋体" w:cs="宋体" w:eastAsia="宋体" w:hint="default"/>
                <w:sz w:val="18"/>
                <w:szCs w:val="18"/>
              </w:rPr>
              <w:t> </w:t>
            </w:r>
          </w:p>
        </w:tc>
      </w:tr>
      <w:tr>
        <w:trPr>
          <w:trHeight w:val="478" w:hRule="exact"/>
        </w:trPr>
        <w:tc>
          <w:tcPr>
            <w:tcW w:w="3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合肥慧天云网新能源有限公司</w:t>
            </w:r>
            <w:r>
              <w:rPr>
                <w:rFonts w:ascii="宋体" w:hAnsi="宋体" w:cs="宋体" w:eastAsia="宋体" w:hint="default"/>
                <w:sz w:val="18"/>
                <w:szCs w:val="18"/>
              </w:rPr>
              <w:t> </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87" w:right="0"/>
              <w:jc w:val="center"/>
              <w:rPr>
                <w:rFonts w:ascii="宋体" w:hAnsi="宋体" w:cs="宋体" w:eastAsia="宋体" w:hint="default"/>
                <w:sz w:val="18"/>
                <w:szCs w:val="18"/>
              </w:rPr>
            </w:pPr>
            <w:r>
              <w:rPr>
                <w:rFonts w:ascii="宋体" w:hAnsi="宋体" w:cs="宋体" w:eastAsia="宋体" w:hint="default"/>
                <w:sz w:val="18"/>
                <w:szCs w:val="18"/>
              </w:rPr>
              <w:t>合肥</w:t>
            </w:r>
            <w:r>
              <w:rPr>
                <w:rFonts w:ascii="宋体" w:hAnsi="宋体" w:cs="宋体" w:eastAsia="宋体" w:hint="default"/>
                <w:sz w:val="18"/>
                <w:szCs w:val="18"/>
              </w:rPr>
              <w:t> </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87" w:right="0"/>
              <w:jc w:val="center"/>
              <w:rPr>
                <w:rFonts w:ascii="宋体" w:hAnsi="宋体" w:cs="宋体" w:eastAsia="宋体" w:hint="default"/>
                <w:sz w:val="18"/>
                <w:szCs w:val="18"/>
              </w:rPr>
            </w:pPr>
            <w:r>
              <w:rPr>
                <w:rFonts w:ascii="宋体" w:hAnsi="宋体" w:cs="宋体" w:eastAsia="宋体" w:hint="default"/>
                <w:sz w:val="18"/>
                <w:szCs w:val="18"/>
              </w:rPr>
              <w:t>合肥</w:t>
            </w:r>
            <w:r>
              <w:rPr>
                <w:rFonts w:ascii="宋体" w:hAnsi="宋体" w:cs="宋体" w:eastAsia="宋体" w:hint="default"/>
                <w:sz w:val="18"/>
                <w:szCs w:val="18"/>
              </w:rPr>
              <w:t> </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313"/>
              <w:jc w:val="right"/>
              <w:rPr>
                <w:rFonts w:ascii="宋体" w:hAnsi="宋体" w:cs="宋体" w:eastAsia="宋体" w:hint="default"/>
                <w:sz w:val="18"/>
                <w:szCs w:val="18"/>
              </w:rPr>
            </w:pPr>
            <w:r>
              <w:rPr>
                <w:rFonts w:ascii="宋体" w:hAnsi="宋体" w:cs="宋体" w:eastAsia="宋体" w:hint="default"/>
                <w:sz w:val="18"/>
                <w:szCs w:val="18"/>
              </w:rPr>
              <w:t>光伏电站</w:t>
            </w:r>
            <w:r>
              <w:rPr>
                <w:rFonts w:ascii="宋体" w:hAnsi="宋体" w:cs="宋体" w:eastAsia="宋体" w:hint="default"/>
                <w:sz w:val="18"/>
                <w:szCs w:val="18"/>
              </w:rPr>
              <w:t> </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87" w:right="0"/>
              <w:jc w:val="center"/>
              <w:rPr>
                <w:rFonts w:ascii="宋体" w:hAnsi="宋体" w:cs="宋体" w:eastAsia="宋体" w:hint="default"/>
                <w:sz w:val="18"/>
                <w:szCs w:val="18"/>
              </w:rPr>
            </w:pPr>
            <w:r>
              <w:rPr>
                <w:rFonts w:ascii="宋体"/>
                <w:sz w:val="18"/>
              </w:rPr>
              <w:t> </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85" w:right="0"/>
              <w:jc w:val="center"/>
              <w:rPr>
                <w:rFonts w:ascii="宋体" w:hAnsi="宋体" w:cs="宋体" w:eastAsia="宋体" w:hint="default"/>
                <w:sz w:val="18"/>
                <w:szCs w:val="18"/>
              </w:rPr>
            </w:pPr>
            <w:r>
              <w:rPr>
                <w:rFonts w:ascii="宋体"/>
                <w:sz w:val="18"/>
              </w:rPr>
              <w:t>100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非同一控制下企业合</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并</w:t>
            </w:r>
            <w:r>
              <w:rPr>
                <w:rFonts w:ascii="宋体" w:hAnsi="宋体" w:cs="宋体" w:eastAsia="宋体" w:hint="default"/>
                <w:sz w:val="18"/>
                <w:szCs w:val="18"/>
              </w:rPr>
              <w:t> </w:t>
            </w:r>
          </w:p>
        </w:tc>
      </w:tr>
      <w:tr>
        <w:trPr>
          <w:trHeight w:val="475" w:hRule="exact"/>
        </w:trPr>
        <w:tc>
          <w:tcPr>
            <w:tcW w:w="3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0"/>
              <w:jc w:val="left"/>
              <w:rPr>
                <w:rFonts w:ascii="宋体" w:hAnsi="宋体" w:cs="宋体" w:eastAsia="宋体" w:hint="default"/>
                <w:sz w:val="18"/>
                <w:szCs w:val="18"/>
              </w:rPr>
            </w:pPr>
            <w:r>
              <w:rPr>
                <w:rFonts w:ascii="宋体" w:hAnsi="宋体" w:cs="宋体" w:eastAsia="宋体" w:hint="default"/>
                <w:sz w:val="18"/>
                <w:szCs w:val="18"/>
              </w:rPr>
              <w:t>合肥吉田新能源有限公司</w:t>
            </w:r>
            <w:r>
              <w:rPr>
                <w:rFonts w:ascii="宋体" w:hAnsi="宋体" w:cs="宋体" w:eastAsia="宋体" w:hint="default"/>
                <w:sz w:val="18"/>
                <w:szCs w:val="18"/>
              </w:rPr>
              <w:t> </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87" w:right="0"/>
              <w:jc w:val="center"/>
              <w:rPr>
                <w:rFonts w:ascii="宋体" w:hAnsi="宋体" w:cs="宋体" w:eastAsia="宋体" w:hint="default"/>
                <w:sz w:val="18"/>
                <w:szCs w:val="18"/>
              </w:rPr>
            </w:pPr>
            <w:r>
              <w:rPr>
                <w:rFonts w:ascii="宋体" w:hAnsi="宋体" w:cs="宋体" w:eastAsia="宋体" w:hint="default"/>
                <w:sz w:val="18"/>
                <w:szCs w:val="18"/>
              </w:rPr>
              <w:t>肥东</w:t>
            </w:r>
            <w:r>
              <w:rPr>
                <w:rFonts w:ascii="宋体" w:hAnsi="宋体" w:cs="宋体" w:eastAsia="宋体" w:hint="default"/>
                <w:sz w:val="18"/>
                <w:szCs w:val="18"/>
              </w:rPr>
              <w:t> </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87" w:right="0"/>
              <w:jc w:val="center"/>
              <w:rPr>
                <w:rFonts w:ascii="宋体" w:hAnsi="宋体" w:cs="宋体" w:eastAsia="宋体" w:hint="default"/>
                <w:sz w:val="18"/>
                <w:szCs w:val="18"/>
              </w:rPr>
            </w:pPr>
            <w:r>
              <w:rPr>
                <w:rFonts w:ascii="宋体" w:hAnsi="宋体" w:cs="宋体" w:eastAsia="宋体" w:hint="default"/>
                <w:sz w:val="18"/>
                <w:szCs w:val="18"/>
              </w:rPr>
              <w:t>肥东</w:t>
            </w:r>
            <w:r>
              <w:rPr>
                <w:rFonts w:ascii="宋体" w:hAnsi="宋体" w:cs="宋体" w:eastAsia="宋体" w:hint="default"/>
                <w:sz w:val="18"/>
                <w:szCs w:val="18"/>
              </w:rPr>
              <w:t> </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313"/>
              <w:jc w:val="right"/>
              <w:rPr>
                <w:rFonts w:ascii="宋体" w:hAnsi="宋体" w:cs="宋体" w:eastAsia="宋体" w:hint="default"/>
                <w:sz w:val="18"/>
                <w:szCs w:val="18"/>
              </w:rPr>
            </w:pPr>
            <w:r>
              <w:rPr>
                <w:rFonts w:ascii="宋体" w:hAnsi="宋体" w:cs="宋体" w:eastAsia="宋体" w:hint="default"/>
                <w:sz w:val="18"/>
                <w:szCs w:val="18"/>
              </w:rPr>
              <w:t>光伏电站</w:t>
            </w:r>
            <w:r>
              <w:rPr>
                <w:rFonts w:ascii="宋体" w:hAnsi="宋体" w:cs="宋体" w:eastAsia="宋体" w:hint="default"/>
                <w:sz w:val="18"/>
                <w:szCs w:val="18"/>
              </w:rPr>
              <w:t> </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87" w:right="0"/>
              <w:jc w:val="center"/>
              <w:rPr>
                <w:rFonts w:ascii="宋体" w:hAnsi="宋体" w:cs="宋体" w:eastAsia="宋体" w:hint="default"/>
                <w:sz w:val="18"/>
                <w:szCs w:val="18"/>
              </w:rPr>
            </w:pPr>
            <w:r>
              <w:rPr>
                <w:rFonts w:ascii="宋体"/>
                <w:sz w:val="18"/>
              </w:rPr>
              <w:t> </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85" w:right="0"/>
              <w:jc w:val="center"/>
              <w:rPr>
                <w:rFonts w:ascii="宋体" w:hAnsi="宋体" w:cs="宋体" w:eastAsia="宋体" w:hint="default"/>
                <w:sz w:val="18"/>
                <w:szCs w:val="18"/>
              </w:rPr>
            </w:pPr>
            <w:r>
              <w:rPr>
                <w:rFonts w:ascii="宋体"/>
                <w:sz w:val="18"/>
              </w:rPr>
              <w:t>100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非同一控制下企业合</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并</w:t>
            </w:r>
            <w:r>
              <w:rPr>
                <w:rFonts w:ascii="宋体" w:hAnsi="宋体" w:cs="宋体" w:eastAsia="宋体" w:hint="default"/>
                <w:sz w:val="18"/>
                <w:szCs w:val="18"/>
              </w:rPr>
              <w:t> </w:t>
            </w:r>
          </w:p>
        </w:tc>
      </w:tr>
      <w:tr>
        <w:trPr>
          <w:trHeight w:val="245" w:hRule="exact"/>
        </w:trPr>
        <w:tc>
          <w:tcPr>
            <w:tcW w:w="309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界首市金明农业发展有限公司</w:t>
            </w:r>
            <w:r>
              <w:rPr>
                <w:rFonts w:ascii="宋体" w:hAnsi="宋体" w:cs="宋体" w:eastAsia="宋体" w:hint="default"/>
                <w:sz w:val="18"/>
                <w:szCs w:val="18"/>
              </w:rPr>
              <w:t> </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7" w:right="0"/>
              <w:jc w:val="center"/>
              <w:rPr>
                <w:rFonts w:ascii="宋体" w:hAnsi="宋体" w:cs="宋体" w:eastAsia="宋体" w:hint="default"/>
                <w:sz w:val="18"/>
                <w:szCs w:val="18"/>
              </w:rPr>
            </w:pPr>
            <w:r>
              <w:rPr>
                <w:rFonts w:ascii="宋体" w:hAnsi="宋体" w:cs="宋体" w:eastAsia="宋体" w:hint="default"/>
                <w:sz w:val="18"/>
                <w:szCs w:val="18"/>
              </w:rPr>
              <w:t>界首</w:t>
            </w:r>
            <w:r>
              <w:rPr>
                <w:rFonts w:ascii="宋体" w:hAnsi="宋体" w:cs="宋体" w:eastAsia="宋体" w:hint="default"/>
                <w:sz w:val="18"/>
                <w:szCs w:val="18"/>
              </w:rPr>
              <w:t> </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7" w:right="0"/>
              <w:jc w:val="center"/>
              <w:rPr>
                <w:rFonts w:ascii="宋体" w:hAnsi="宋体" w:cs="宋体" w:eastAsia="宋体" w:hint="default"/>
                <w:sz w:val="18"/>
                <w:szCs w:val="18"/>
              </w:rPr>
            </w:pPr>
            <w:r>
              <w:rPr>
                <w:rFonts w:ascii="宋体" w:hAnsi="宋体" w:cs="宋体" w:eastAsia="宋体" w:hint="default"/>
                <w:sz w:val="18"/>
                <w:szCs w:val="18"/>
              </w:rPr>
              <w:t>界首</w:t>
            </w:r>
            <w:r>
              <w:rPr>
                <w:rFonts w:ascii="宋体" w:hAnsi="宋体" w:cs="宋体" w:eastAsia="宋体" w:hint="default"/>
                <w:sz w:val="18"/>
                <w:szCs w:val="18"/>
              </w:rPr>
              <w:t> </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13"/>
              <w:jc w:val="right"/>
              <w:rPr>
                <w:rFonts w:ascii="宋体" w:hAnsi="宋体" w:cs="宋体" w:eastAsia="宋体" w:hint="default"/>
                <w:sz w:val="18"/>
                <w:szCs w:val="18"/>
              </w:rPr>
            </w:pPr>
            <w:r>
              <w:rPr>
                <w:rFonts w:ascii="宋体" w:hAnsi="宋体" w:cs="宋体" w:eastAsia="宋体" w:hint="default"/>
                <w:sz w:val="18"/>
                <w:szCs w:val="18"/>
              </w:rPr>
              <w:t>光伏电站</w:t>
            </w:r>
            <w:r>
              <w:rPr>
                <w:rFonts w:ascii="宋体" w:hAnsi="宋体" w:cs="宋体" w:eastAsia="宋体" w:hint="default"/>
                <w:sz w:val="18"/>
                <w:szCs w:val="18"/>
              </w:rPr>
              <w:t> </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7" w:right="0"/>
              <w:jc w:val="center"/>
              <w:rPr>
                <w:rFonts w:ascii="宋体" w:hAnsi="宋体" w:cs="宋体" w:eastAsia="宋体" w:hint="default"/>
                <w:sz w:val="18"/>
                <w:szCs w:val="18"/>
              </w:rPr>
            </w:pPr>
            <w:r>
              <w:rPr>
                <w:rFonts w:ascii="宋体"/>
                <w:sz w:val="18"/>
              </w:rPr>
              <w:t> </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5" w:right="0"/>
              <w:jc w:val="center"/>
              <w:rPr>
                <w:rFonts w:ascii="宋体" w:hAnsi="宋体" w:cs="宋体" w:eastAsia="宋体" w:hint="default"/>
                <w:sz w:val="18"/>
                <w:szCs w:val="18"/>
              </w:rPr>
            </w:pPr>
            <w:r>
              <w:rPr>
                <w:rFonts w:ascii="宋体"/>
                <w:sz w:val="18"/>
              </w:rPr>
              <w:t>100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设立</w:t>
            </w:r>
            <w:r>
              <w:rPr>
                <w:rFonts w:ascii="宋体" w:hAnsi="宋体" w:cs="宋体" w:eastAsia="宋体" w:hint="default"/>
                <w:sz w:val="18"/>
                <w:szCs w:val="18"/>
              </w:rPr>
              <w:t> </w:t>
            </w:r>
          </w:p>
        </w:tc>
      </w:tr>
      <w:tr>
        <w:trPr>
          <w:trHeight w:val="242" w:hRule="exact"/>
        </w:trPr>
        <w:tc>
          <w:tcPr>
            <w:tcW w:w="309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界首市永明光伏科技有限公司</w:t>
            </w:r>
            <w:r>
              <w:rPr>
                <w:rFonts w:ascii="宋体" w:hAnsi="宋体" w:cs="宋体" w:eastAsia="宋体" w:hint="default"/>
                <w:sz w:val="18"/>
                <w:szCs w:val="18"/>
              </w:rPr>
              <w:t> </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7" w:right="0"/>
              <w:jc w:val="center"/>
              <w:rPr>
                <w:rFonts w:ascii="宋体" w:hAnsi="宋体" w:cs="宋体" w:eastAsia="宋体" w:hint="default"/>
                <w:sz w:val="18"/>
                <w:szCs w:val="18"/>
              </w:rPr>
            </w:pPr>
            <w:r>
              <w:rPr>
                <w:rFonts w:ascii="宋体" w:hAnsi="宋体" w:cs="宋体" w:eastAsia="宋体" w:hint="default"/>
                <w:sz w:val="18"/>
                <w:szCs w:val="18"/>
              </w:rPr>
              <w:t>界首</w:t>
            </w:r>
            <w:r>
              <w:rPr>
                <w:rFonts w:ascii="宋体" w:hAnsi="宋体" w:cs="宋体" w:eastAsia="宋体" w:hint="default"/>
                <w:sz w:val="18"/>
                <w:szCs w:val="18"/>
              </w:rPr>
              <w:t> </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7" w:right="0"/>
              <w:jc w:val="center"/>
              <w:rPr>
                <w:rFonts w:ascii="宋体" w:hAnsi="宋体" w:cs="宋体" w:eastAsia="宋体" w:hint="default"/>
                <w:sz w:val="18"/>
                <w:szCs w:val="18"/>
              </w:rPr>
            </w:pPr>
            <w:r>
              <w:rPr>
                <w:rFonts w:ascii="宋体" w:hAnsi="宋体" w:cs="宋体" w:eastAsia="宋体" w:hint="default"/>
                <w:sz w:val="18"/>
                <w:szCs w:val="18"/>
              </w:rPr>
              <w:t>界首</w:t>
            </w:r>
            <w:r>
              <w:rPr>
                <w:rFonts w:ascii="宋体" w:hAnsi="宋体" w:cs="宋体" w:eastAsia="宋体" w:hint="default"/>
                <w:sz w:val="18"/>
                <w:szCs w:val="18"/>
              </w:rPr>
              <w:t> </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13"/>
              <w:jc w:val="right"/>
              <w:rPr>
                <w:rFonts w:ascii="宋体" w:hAnsi="宋体" w:cs="宋体" w:eastAsia="宋体" w:hint="default"/>
                <w:sz w:val="18"/>
                <w:szCs w:val="18"/>
              </w:rPr>
            </w:pPr>
            <w:r>
              <w:rPr>
                <w:rFonts w:ascii="宋体" w:hAnsi="宋体" w:cs="宋体" w:eastAsia="宋体" w:hint="default"/>
                <w:sz w:val="18"/>
                <w:szCs w:val="18"/>
              </w:rPr>
              <w:t>光伏电站</w:t>
            </w:r>
            <w:r>
              <w:rPr>
                <w:rFonts w:ascii="宋体" w:hAnsi="宋体" w:cs="宋体" w:eastAsia="宋体" w:hint="default"/>
                <w:sz w:val="18"/>
                <w:szCs w:val="18"/>
              </w:rPr>
              <w:t> </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7" w:right="0"/>
              <w:jc w:val="center"/>
              <w:rPr>
                <w:rFonts w:ascii="宋体" w:hAnsi="宋体" w:cs="宋体" w:eastAsia="宋体" w:hint="default"/>
                <w:sz w:val="18"/>
                <w:szCs w:val="18"/>
              </w:rPr>
            </w:pPr>
            <w:r>
              <w:rPr>
                <w:rFonts w:ascii="宋体"/>
                <w:sz w:val="18"/>
              </w:rPr>
              <w:t> </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5" w:right="0"/>
              <w:jc w:val="center"/>
              <w:rPr>
                <w:rFonts w:ascii="宋体" w:hAnsi="宋体" w:cs="宋体" w:eastAsia="宋体" w:hint="default"/>
                <w:sz w:val="18"/>
                <w:szCs w:val="18"/>
              </w:rPr>
            </w:pPr>
            <w:r>
              <w:rPr>
                <w:rFonts w:ascii="宋体"/>
                <w:sz w:val="18"/>
              </w:rPr>
              <w:t>100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设立</w:t>
            </w:r>
            <w:r>
              <w:rPr>
                <w:rFonts w:ascii="宋体" w:hAnsi="宋体" w:cs="宋体" w:eastAsia="宋体" w:hint="default"/>
                <w:sz w:val="18"/>
                <w:szCs w:val="18"/>
              </w:rPr>
              <w:t> </w:t>
            </w:r>
          </w:p>
        </w:tc>
      </w:tr>
      <w:tr>
        <w:trPr>
          <w:trHeight w:val="245" w:hRule="exact"/>
        </w:trPr>
        <w:tc>
          <w:tcPr>
            <w:tcW w:w="309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濉溪县永瑞现代农业科技有限公司</w:t>
            </w:r>
            <w:r>
              <w:rPr>
                <w:rFonts w:ascii="宋体" w:hAnsi="宋体" w:cs="宋体" w:eastAsia="宋体" w:hint="default"/>
                <w:sz w:val="18"/>
                <w:szCs w:val="18"/>
              </w:rPr>
              <w:t> </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7" w:right="0"/>
              <w:jc w:val="center"/>
              <w:rPr>
                <w:rFonts w:ascii="宋体" w:hAnsi="宋体" w:cs="宋体" w:eastAsia="宋体" w:hint="default"/>
                <w:sz w:val="18"/>
                <w:szCs w:val="18"/>
              </w:rPr>
            </w:pPr>
            <w:r>
              <w:rPr>
                <w:rFonts w:ascii="宋体" w:hAnsi="宋体" w:cs="宋体" w:eastAsia="宋体" w:hint="default"/>
                <w:sz w:val="18"/>
                <w:szCs w:val="18"/>
              </w:rPr>
              <w:t>濉溪</w:t>
            </w:r>
            <w:r>
              <w:rPr>
                <w:rFonts w:ascii="宋体" w:hAnsi="宋体" w:cs="宋体" w:eastAsia="宋体" w:hint="default"/>
                <w:sz w:val="18"/>
                <w:szCs w:val="18"/>
              </w:rPr>
              <w:t> </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7" w:right="0"/>
              <w:jc w:val="center"/>
              <w:rPr>
                <w:rFonts w:ascii="宋体" w:hAnsi="宋体" w:cs="宋体" w:eastAsia="宋体" w:hint="default"/>
                <w:sz w:val="18"/>
                <w:szCs w:val="18"/>
              </w:rPr>
            </w:pPr>
            <w:r>
              <w:rPr>
                <w:rFonts w:ascii="宋体" w:hAnsi="宋体" w:cs="宋体" w:eastAsia="宋体" w:hint="default"/>
                <w:sz w:val="18"/>
                <w:szCs w:val="18"/>
              </w:rPr>
              <w:t>濉溪</w:t>
            </w:r>
            <w:r>
              <w:rPr>
                <w:rFonts w:ascii="宋体" w:hAnsi="宋体" w:cs="宋体" w:eastAsia="宋体" w:hint="default"/>
                <w:sz w:val="18"/>
                <w:szCs w:val="18"/>
              </w:rPr>
              <w:t> </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13"/>
              <w:jc w:val="right"/>
              <w:rPr>
                <w:rFonts w:ascii="宋体" w:hAnsi="宋体" w:cs="宋体" w:eastAsia="宋体" w:hint="default"/>
                <w:sz w:val="18"/>
                <w:szCs w:val="18"/>
              </w:rPr>
            </w:pPr>
            <w:r>
              <w:rPr>
                <w:rFonts w:ascii="宋体" w:hAnsi="宋体" w:cs="宋体" w:eastAsia="宋体" w:hint="default"/>
                <w:sz w:val="18"/>
                <w:szCs w:val="18"/>
              </w:rPr>
              <w:t>光伏电站</w:t>
            </w:r>
            <w:r>
              <w:rPr>
                <w:rFonts w:ascii="宋体" w:hAnsi="宋体" w:cs="宋体" w:eastAsia="宋体" w:hint="default"/>
                <w:sz w:val="18"/>
                <w:szCs w:val="18"/>
              </w:rPr>
              <w:t> </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7" w:right="0"/>
              <w:jc w:val="center"/>
              <w:rPr>
                <w:rFonts w:ascii="宋体" w:hAnsi="宋体" w:cs="宋体" w:eastAsia="宋体" w:hint="default"/>
                <w:sz w:val="18"/>
                <w:szCs w:val="18"/>
              </w:rPr>
            </w:pPr>
            <w:r>
              <w:rPr>
                <w:rFonts w:ascii="宋体"/>
                <w:sz w:val="18"/>
              </w:rPr>
              <w:t> </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5" w:right="0"/>
              <w:jc w:val="center"/>
              <w:rPr>
                <w:rFonts w:ascii="宋体" w:hAnsi="宋体" w:cs="宋体" w:eastAsia="宋体" w:hint="default"/>
                <w:sz w:val="18"/>
                <w:szCs w:val="18"/>
              </w:rPr>
            </w:pPr>
            <w:r>
              <w:rPr>
                <w:rFonts w:ascii="宋体"/>
                <w:sz w:val="18"/>
              </w:rPr>
              <w:t>100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设立</w:t>
            </w:r>
            <w:r>
              <w:rPr>
                <w:rFonts w:ascii="宋体" w:hAnsi="宋体" w:cs="宋体" w:eastAsia="宋体" w:hint="default"/>
                <w:sz w:val="18"/>
                <w:szCs w:val="18"/>
              </w:rPr>
              <w:t> </w:t>
            </w:r>
          </w:p>
        </w:tc>
      </w:tr>
      <w:tr>
        <w:trPr>
          <w:trHeight w:val="242" w:hRule="exact"/>
        </w:trPr>
        <w:tc>
          <w:tcPr>
            <w:tcW w:w="309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濉溪永晖新能源科技有限公司</w:t>
            </w:r>
            <w:r>
              <w:rPr>
                <w:rFonts w:ascii="宋体" w:hAnsi="宋体" w:cs="宋体" w:eastAsia="宋体" w:hint="default"/>
                <w:sz w:val="18"/>
                <w:szCs w:val="18"/>
              </w:rPr>
              <w:t> </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7" w:right="0"/>
              <w:jc w:val="center"/>
              <w:rPr>
                <w:rFonts w:ascii="宋体" w:hAnsi="宋体" w:cs="宋体" w:eastAsia="宋体" w:hint="default"/>
                <w:sz w:val="18"/>
                <w:szCs w:val="18"/>
              </w:rPr>
            </w:pPr>
            <w:r>
              <w:rPr>
                <w:rFonts w:ascii="宋体" w:hAnsi="宋体" w:cs="宋体" w:eastAsia="宋体" w:hint="default"/>
                <w:sz w:val="18"/>
                <w:szCs w:val="18"/>
              </w:rPr>
              <w:t>濉溪</w:t>
            </w:r>
            <w:r>
              <w:rPr>
                <w:rFonts w:ascii="宋体" w:hAnsi="宋体" w:cs="宋体" w:eastAsia="宋体" w:hint="default"/>
                <w:sz w:val="18"/>
                <w:szCs w:val="18"/>
              </w:rPr>
              <w:t> </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7" w:right="0"/>
              <w:jc w:val="center"/>
              <w:rPr>
                <w:rFonts w:ascii="宋体" w:hAnsi="宋体" w:cs="宋体" w:eastAsia="宋体" w:hint="default"/>
                <w:sz w:val="18"/>
                <w:szCs w:val="18"/>
              </w:rPr>
            </w:pPr>
            <w:r>
              <w:rPr>
                <w:rFonts w:ascii="宋体" w:hAnsi="宋体" w:cs="宋体" w:eastAsia="宋体" w:hint="default"/>
                <w:sz w:val="18"/>
                <w:szCs w:val="18"/>
              </w:rPr>
              <w:t>濉溪</w:t>
            </w:r>
            <w:r>
              <w:rPr>
                <w:rFonts w:ascii="宋体" w:hAnsi="宋体" w:cs="宋体" w:eastAsia="宋体" w:hint="default"/>
                <w:sz w:val="18"/>
                <w:szCs w:val="18"/>
              </w:rPr>
              <w:t> </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13"/>
              <w:jc w:val="right"/>
              <w:rPr>
                <w:rFonts w:ascii="宋体" w:hAnsi="宋体" w:cs="宋体" w:eastAsia="宋体" w:hint="default"/>
                <w:sz w:val="18"/>
                <w:szCs w:val="18"/>
              </w:rPr>
            </w:pPr>
            <w:r>
              <w:rPr>
                <w:rFonts w:ascii="宋体" w:hAnsi="宋体" w:cs="宋体" w:eastAsia="宋体" w:hint="default"/>
                <w:sz w:val="18"/>
                <w:szCs w:val="18"/>
              </w:rPr>
              <w:t>光伏电站</w:t>
            </w:r>
            <w:r>
              <w:rPr>
                <w:rFonts w:ascii="宋体" w:hAnsi="宋体" w:cs="宋体" w:eastAsia="宋体" w:hint="default"/>
                <w:sz w:val="18"/>
                <w:szCs w:val="18"/>
              </w:rPr>
              <w:t> </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7" w:right="0"/>
              <w:jc w:val="center"/>
              <w:rPr>
                <w:rFonts w:ascii="宋体" w:hAnsi="宋体" w:cs="宋体" w:eastAsia="宋体" w:hint="default"/>
                <w:sz w:val="18"/>
                <w:szCs w:val="18"/>
              </w:rPr>
            </w:pPr>
            <w:r>
              <w:rPr>
                <w:rFonts w:ascii="宋体"/>
                <w:sz w:val="18"/>
              </w:rPr>
              <w:t> </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5" w:right="0"/>
              <w:jc w:val="center"/>
              <w:rPr>
                <w:rFonts w:ascii="宋体" w:hAnsi="宋体" w:cs="宋体" w:eastAsia="宋体" w:hint="default"/>
                <w:sz w:val="18"/>
                <w:szCs w:val="18"/>
              </w:rPr>
            </w:pPr>
            <w:r>
              <w:rPr>
                <w:rFonts w:ascii="宋体"/>
                <w:sz w:val="18"/>
              </w:rPr>
              <w:t>100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设立</w:t>
            </w:r>
            <w:r>
              <w:rPr>
                <w:rFonts w:ascii="宋体" w:hAnsi="宋体" w:cs="宋体" w:eastAsia="宋体" w:hint="default"/>
                <w:sz w:val="18"/>
                <w:szCs w:val="18"/>
              </w:rPr>
              <w:t> </w:t>
            </w:r>
          </w:p>
        </w:tc>
      </w:tr>
      <w:tr>
        <w:trPr>
          <w:trHeight w:val="242" w:hRule="exact"/>
        </w:trPr>
        <w:tc>
          <w:tcPr>
            <w:tcW w:w="309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太和县金明农业科技有限公司</w:t>
            </w:r>
            <w:r>
              <w:rPr>
                <w:rFonts w:ascii="宋体" w:hAnsi="宋体" w:cs="宋体" w:eastAsia="宋体" w:hint="default"/>
                <w:sz w:val="18"/>
                <w:szCs w:val="18"/>
              </w:rPr>
              <w:t> </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7" w:right="0"/>
              <w:jc w:val="center"/>
              <w:rPr>
                <w:rFonts w:ascii="宋体" w:hAnsi="宋体" w:cs="宋体" w:eastAsia="宋体" w:hint="default"/>
                <w:sz w:val="18"/>
                <w:szCs w:val="18"/>
              </w:rPr>
            </w:pPr>
            <w:r>
              <w:rPr>
                <w:rFonts w:ascii="宋体" w:hAnsi="宋体" w:cs="宋体" w:eastAsia="宋体" w:hint="default"/>
                <w:sz w:val="18"/>
                <w:szCs w:val="18"/>
              </w:rPr>
              <w:t>太和</w:t>
            </w:r>
            <w:r>
              <w:rPr>
                <w:rFonts w:ascii="宋体" w:hAnsi="宋体" w:cs="宋体" w:eastAsia="宋体" w:hint="default"/>
                <w:sz w:val="18"/>
                <w:szCs w:val="18"/>
              </w:rPr>
              <w:t> </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7" w:right="0"/>
              <w:jc w:val="center"/>
              <w:rPr>
                <w:rFonts w:ascii="宋体" w:hAnsi="宋体" w:cs="宋体" w:eastAsia="宋体" w:hint="default"/>
                <w:sz w:val="18"/>
                <w:szCs w:val="18"/>
              </w:rPr>
            </w:pPr>
            <w:r>
              <w:rPr>
                <w:rFonts w:ascii="宋体" w:hAnsi="宋体" w:cs="宋体" w:eastAsia="宋体" w:hint="default"/>
                <w:sz w:val="18"/>
                <w:szCs w:val="18"/>
              </w:rPr>
              <w:t>太和</w:t>
            </w:r>
            <w:r>
              <w:rPr>
                <w:rFonts w:ascii="宋体" w:hAnsi="宋体" w:cs="宋体" w:eastAsia="宋体" w:hint="default"/>
                <w:sz w:val="18"/>
                <w:szCs w:val="18"/>
              </w:rPr>
              <w:t> </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13"/>
              <w:jc w:val="right"/>
              <w:rPr>
                <w:rFonts w:ascii="宋体" w:hAnsi="宋体" w:cs="宋体" w:eastAsia="宋体" w:hint="default"/>
                <w:sz w:val="18"/>
                <w:szCs w:val="18"/>
              </w:rPr>
            </w:pPr>
            <w:r>
              <w:rPr>
                <w:rFonts w:ascii="宋体" w:hAnsi="宋体" w:cs="宋体" w:eastAsia="宋体" w:hint="default"/>
                <w:sz w:val="18"/>
                <w:szCs w:val="18"/>
              </w:rPr>
              <w:t>光伏电站</w:t>
            </w:r>
            <w:r>
              <w:rPr>
                <w:rFonts w:ascii="宋体" w:hAnsi="宋体" w:cs="宋体" w:eastAsia="宋体" w:hint="default"/>
                <w:sz w:val="18"/>
                <w:szCs w:val="18"/>
              </w:rPr>
              <w:t> </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7" w:right="0"/>
              <w:jc w:val="center"/>
              <w:rPr>
                <w:rFonts w:ascii="宋体" w:hAnsi="宋体" w:cs="宋体" w:eastAsia="宋体" w:hint="default"/>
                <w:sz w:val="18"/>
                <w:szCs w:val="18"/>
              </w:rPr>
            </w:pPr>
            <w:r>
              <w:rPr>
                <w:rFonts w:ascii="宋体"/>
                <w:sz w:val="18"/>
              </w:rPr>
              <w:t> </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5" w:right="0"/>
              <w:jc w:val="center"/>
              <w:rPr>
                <w:rFonts w:ascii="宋体" w:hAnsi="宋体" w:cs="宋体" w:eastAsia="宋体" w:hint="default"/>
                <w:sz w:val="18"/>
                <w:szCs w:val="18"/>
              </w:rPr>
            </w:pPr>
            <w:r>
              <w:rPr>
                <w:rFonts w:ascii="宋体"/>
                <w:sz w:val="18"/>
              </w:rPr>
              <w:t>100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设立</w:t>
            </w:r>
            <w:r>
              <w:rPr>
                <w:rFonts w:ascii="宋体" w:hAnsi="宋体" w:cs="宋体" w:eastAsia="宋体" w:hint="default"/>
                <w:sz w:val="18"/>
                <w:szCs w:val="18"/>
              </w:rPr>
              <w:t> </w:t>
            </w:r>
          </w:p>
        </w:tc>
      </w:tr>
      <w:tr>
        <w:trPr>
          <w:trHeight w:val="245" w:hRule="exact"/>
        </w:trPr>
        <w:tc>
          <w:tcPr>
            <w:tcW w:w="309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萧县华丰现代农业有限公司</w:t>
            </w:r>
            <w:r>
              <w:rPr>
                <w:rFonts w:ascii="宋体" w:hAnsi="宋体" w:cs="宋体" w:eastAsia="宋体" w:hint="default"/>
                <w:sz w:val="18"/>
                <w:szCs w:val="18"/>
              </w:rPr>
              <w:t> </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87" w:right="0"/>
              <w:jc w:val="center"/>
              <w:rPr>
                <w:rFonts w:ascii="宋体" w:hAnsi="宋体" w:cs="宋体" w:eastAsia="宋体" w:hint="default"/>
                <w:sz w:val="18"/>
                <w:szCs w:val="18"/>
              </w:rPr>
            </w:pPr>
            <w:r>
              <w:rPr>
                <w:rFonts w:ascii="宋体" w:hAnsi="宋体" w:cs="宋体" w:eastAsia="宋体" w:hint="default"/>
                <w:sz w:val="18"/>
                <w:szCs w:val="18"/>
              </w:rPr>
              <w:t>萧县</w:t>
            </w:r>
            <w:r>
              <w:rPr>
                <w:rFonts w:ascii="宋体" w:hAnsi="宋体" w:cs="宋体" w:eastAsia="宋体" w:hint="default"/>
                <w:sz w:val="18"/>
                <w:szCs w:val="18"/>
              </w:rPr>
              <w:t> </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87" w:right="0"/>
              <w:jc w:val="center"/>
              <w:rPr>
                <w:rFonts w:ascii="宋体" w:hAnsi="宋体" w:cs="宋体" w:eastAsia="宋体" w:hint="default"/>
                <w:sz w:val="18"/>
                <w:szCs w:val="18"/>
              </w:rPr>
            </w:pPr>
            <w:r>
              <w:rPr>
                <w:rFonts w:ascii="宋体" w:hAnsi="宋体" w:cs="宋体" w:eastAsia="宋体" w:hint="default"/>
                <w:sz w:val="18"/>
                <w:szCs w:val="18"/>
              </w:rPr>
              <w:t>萧县</w:t>
            </w:r>
            <w:r>
              <w:rPr>
                <w:rFonts w:ascii="宋体" w:hAnsi="宋体" w:cs="宋体" w:eastAsia="宋体" w:hint="default"/>
                <w:sz w:val="18"/>
                <w:szCs w:val="18"/>
              </w:rPr>
              <w:t> </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313"/>
              <w:jc w:val="right"/>
              <w:rPr>
                <w:rFonts w:ascii="宋体" w:hAnsi="宋体" w:cs="宋体" w:eastAsia="宋体" w:hint="default"/>
                <w:sz w:val="18"/>
                <w:szCs w:val="18"/>
              </w:rPr>
            </w:pPr>
            <w:r>
              <w:rPr>
                <w:rFonts w:ascii="宋体" w:hAnsi="宋体" w:cs="宋体" w:eastAsia="宋体" w:hint="default"/>
                <w:sz w:val="18"/>
                <w:szCs w:val="18"/>
              </w:rPr>
              <w:t>光伏电站</w:t>
            </w:r>
            <w:r>
              <w:rPr>
                <w:rFonts w:ascii="宋体" w:hAnsi="宋体" w:cs="宋体" w:eastAsia="宋体" w:hint="default"/>
                <w:sz w:val="18"/>
                <w:szCs w:val="18"/>
              </w:rPr>
              <w:t> </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87" w:right="0"/>
              <w:jc w:val="center"/>
              <w:rPr>
                <w:rFonts w:ascii="宋体" w:hAnsi="宋体" w:cs="宋体" w:eastAsia="宋体" w:hint="default"/>
                <w:sz w:val="18"/>
                <w:szCs w:val="18"/>
              </w:rPr>
            </w:pPr>
            <w:r>
              <w:rPr>
                <w:rFonts w:ascii="宋体"/>
                <w:sz w:val="18"/>
              </w:rPr>
              <w:t> </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85" w:right="0"/>
              <w:jc w:val="center"/>
              <w:rPr>
                <w:rFonts w:ascii="宋体" w:hAnsi="宋体" w:cs="宋体" w:eastAsia="宋体" w:hint="default"/>
                <w:sz w:val="18"/>
                <w:szCs w:val="18"/>
              </w:rPr>
            </w:pPr>
            <w:r>
              <w:rPr>
                <w:rFonts w:ascii="宋体"/>
                <w:sz w:val="18"/>
              </w:rPr>
              <w:t>100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设立</w:t>
            </w:r>
            <w:r>
              <w:rPr>
                <w:rFonts w:ascii="宋体" w:hAnsi="宋体" w:cs="宋体" w:eastAsia="宋体" w:hint="default"/>
                <w:sz w:val="18"/>
                <w:szCs w:val="18"/>
              </w:rPr>
              <w:t> </w:t>
            </w:r>
          </w:p>
        </w:tc>
      </w:tr>
      <w:tr>
        <w:trPr>
          <w:trHeight w:val="242" w:hRule="exact"/>
        </w:trPr>
        <w:tc>
          <w:tcPr>
            <w:tcW w:w="309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萧县华耀农业太阳能发电有限公司</w:t>
            </w:r>
            <w:r>
              <w:rPr>
                <w:rFonts w:ascii="宋体" w:hAnsi="宋体" w:cs="宋体" w:eastAsia="宋体" w:hint="default"/>
                <w:sz w:val="18"/>
                <w:szCs w:val="18"/>
              </w:rPr>
              <w:t> </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7" w:right="0"/>
              <w:jc w:val="center"/>
              <w:rPr>
                <w:rFonts w:ascii="宋体" w:hAnsi="宋体" w:cs="宋体" w:eastAsia="宋体" w:hint="default"/>
                <w:sz w:val="18"/>
                <w:szCs w:val="18"/>
              </w:rPr>
            </w:pPr>
            <w:r>
              <w:rPr>
                <w:rFonts w:ascii="宋体" w:hAnsi="宋体" w:cs="宋体" w:eastAsia="宋体" w:hint="default"/>
                <w:sz w:val="18"/>
                <w:szCs w:val="18"/>
              </w:rPr>
              <w:t>萧县</w:t>
            </w:r>
            <w:r>
              <w:rPr>
                <w:rFonts w:ascii="宋体" w:hAnsi="宋体" w:cs="宋体" w:eastAsia="宋体" w:hint="default"/>
                <w:sz w:val="18"/>
                <w:szCs w:val="18"/>
              </w:rPr>
              <w:t> </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7" w:right="0"/>
              <w:jc w:val="center"/>
              <w:rPr>
                <w:rFonts w:ascii="宋体" w:hAnsi="宋体" w:cs="宋体" w:eastAsia="宋体" w:hint="default"/>
                <w:sz w:val="18"/>
                <w:szCs w:val="18"/>
              </w:rPr>
            </w:pPr>
            <w:r>
              <w:rPr>
                <w:rFonts w:ascii="宋体" w:hAnsi="宋体" w:cs="宋体" w:eastAsia="宋体" w:hint="default"/>
                <w:sz w:val="18"/>
                <w:szCs w:val="18"/>
              </w:rPr>
              <w:t>萧县</w:t>
            </w:r>
            <w:r>
              <w:rPr>
                <w:rFonts w:ascii="宋体" w:hAnsi="宋体" w:cs="宋体" w:eastAsia="宋体" w:hint="default"/>
                <w:sz w:val="18"/>
                <w:szCs w:val="18"/>
              </w:rPr>
              <w:t> </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13"/>
              <w:jc w:val="right"/>
              <w:rPr>
                <w:rFonts w:ascii="宋体" w:hAnsi="宋体" w:cs="宋体" w:eastAsia="宋体" w:hint="default"/>
                <w:sz w:val="18"/>
                <w:szCs w:val="18"/>
              </w:rPr>
            </w:pPr>
            <w:r>
              <w:rPr>
                <w:rFonts w:ascii="宋体" w:hAnsi="宋体" w:cs="宋体" w:eastAsia="宋体" w:hint="default"/>
                <w:sz w:val="18"/>
                <w:szCs w:val="18"/>
              </w:rPr>
              <w:t>光伏电站</w:t>
            </w:r>
            <w:r>
              <w:rPr>
                <w:rFonts w:ascii="宋体" w:hAnsi="宋体" w:cs="宋体" w:eastAsia="宋体" w:hint="default"/>
                <w:sz w:val="18"/>
                <w:szCs w:val="18"/>
              </w:rPr>
              <w:t> </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7" w:right="0"/>
              <w:jc w:val="center"/>
              <w:rPr>
                <w:rFonts w:ascii="宋体" w:hAnsi="宋体" w:cs="宋体" w:eastAsia="宋体" w:hint="default"/>
                <w:sz w:val="18"/>
                <w:szCs w:val="18"/>
              </w:rPr>
            </w:pPr>
            <w:r>
              <w:rPr>
                <w:rFonts w:ascii="宋体"/>
                <w:sz w:val="18"/>
              </w:rPr>
              <w:t> </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5" w:right="0"/>
              <w:jc w:val="center"/>
              <w:rPr>
                <w:rFonts w:ascii="宋体" w:hAnsi="宋体" w:cs="宋体" w:eastAsia="宋体" w:hint="default"/>
                <w:sz w:val="18"/>
                <w:szCs w:val="18"/>
              </w:rPr>
            </w:pPr>
            <w:r>
              <w:rPr>
                <w:rFonts w:ascii="宋体"/>
                <w:sz w:val="18"/>
              </w:rPr>
              <w:t>100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设立</w:t>
            </w:r>
            <w:r>
              <w:rPr>
                <w:rFonts w:ascii="宋体" w:hAnsi="宋体" w:cs="宋体" w:eastAsia="宋体" w:hint="default"/>
                <w:sz w:val="18"/>
                <w:szCs w:val="18"/>
              </w:rPr>
              <w:t> </w:t>
            </w:r>
          </w:p>
        </w:tc>
      </w:tr>
      <w:tr>
        <w:trPr>
          <w:trHeight w:val="245" w:hRule="exact"/>
        </w:trPr>
        <w:tc>
          <w:tcPr>
            <w:tcW w:w="309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萧县裕晟新能源科技有限公司</w:t>
            </w:r>
            <w:r>
              <w:rPr>
                <w:rFonts w:ascii="宋体" w:hAnsi="宋体" w:cs="宋体" w:eastAsia="宋体" w:hint="default"/>
                <w:sz w:val="18"/>
                <w:szCs w:val="18"/>
              </w:rPr>
              <w:t> </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7" w:right="0"/>
              <w:jc w:val="center"/>
              <w:rPr>
                <w:rFonts w:ascii="宋体" w:hAnsi="宋体" w:cs="宋体" w:eastAsia="宋体" w:hint="default"/>
                <w:sz w:val="18"/>
                <w:szCs w:val="18"/>
              </w:rPr>
            </w:pPr>
            <w:r>
              <w:rPr>
                <w:rFonts w:ascii="宋体" w:hAnsi="宋体" w:cs="宋体" w:eastAsia="宋体" w:hint="default"/>
                <w:sz w:val="18"/>
                <w:szCs w:val="18"/>
              </w:rPr>
              <w:t>萧县</w:t>
            </w:r>
            <w:r>
              <w:rPr>
                <w:rFonts w:ascii="宋体" w:hAnsi="宋体" w:cs="宋体" w:eastAsia="宋体" w:hint="default"/>
                <w:sz w:val="18"/>
                <w:szCs w:val="18"/>
              </w:rPr>
              <w:t> </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7" w:right="0"/>
              <w:jc w:val="center"/>
              <w:rPr>
                <w:rFonts w:ascii="宋体" w:hAnsi="宋体" w:cs="宋体" w:eastAsia="宋体" w:hint="default"/>
                <w:sz w:val="18"/>
                <w:szCs w:val="18"/>
              </w:rPr>
            </w:pPr>
            <w:r>
              <w:rPr>
                <w:rFonts w:ascii="宋体" w:hAnsi="宋体" w:cs="宋体" w:eastAsia="宋体" w:hint="default"/>
                <w:sz w:val="18"/>
                <w:szCs w:val="18"/>
              </w:rPr>
              <w:t>萧县</w:t>
            </w:r>
            <w:r>
              <w:rPr>
                <w:rFonts w:ascii="宋体" w:hAnsi="宋体" w:cs="宋体" w:eastAsia="宋体" w:hint="default"/>
                <w:sz w:val="18"/>
                <w:szCs w:val="18"/>
              </w:rPr>
              <w:t> </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13"/>
              <w:jc w:val="right"/>
              <w:rPr>
                <w:rFonts w:ascii="宋体" w:hAnsi="宋体" w:cs="宋体" w:eastAsia="宋体" w:hint="default"/>
                <w:sz w:val="18"/>
                <w:szCs w:val="18"/>
              </w:rPr>
            </w:pPr>
            <w:r>
              <w:rPr>
                <w:rFonts w:ascii="宋体" w:hAnsi="宋体" w:cs="宋体" w:eastAsia="宋体" w:hint="default"/>
                <w:sz w:val="18"/>
                <w:szCs w:val="18"/>
              </w:rPr>
              <w:t>光伏电站</w:t>
            </w:r>
            <w:r>
              <w:rPr>
                <w:rFonts w:ascii="宋体" w:hAnsi="宋体" w:cs="宋体" w:eastAsia="宋体" w:hint="default"/>
                <w:sz w:val="18"/>
                <w:szCs w:val="18"/>
              </w:rPr>
              <w:t> </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7" w:right="0"/>
              <w:jc w:val="center"/>
              <w:rPr>
                <w:rFonts w:ascii="宋体" w:hAnsi="宋体" w:cs="宋体" w:eastAsia="宋体" w:hint="default"/>
                <w:sz w:val="18"/>
                <w:szCs w:val="18"/>
              </w:rPr>
            </w:pPr>
            <w:r>
              <w:rPr>
                <w:rFonts w:ascii="宋体"/>
                <w:sz w:val="18"/>
              </w:rPr>
              <w:t> </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5" w:right="0"/>
              <w:jc w:val="center"/>
              <w:rPr>
                <w:rFonts w:ascii="宋体" w:hAnsi="宋体" w:cs="宋体" w:eastAsia="宋体" w:hint="default"/>
                <w:sz w:val="18"/>
                <w:szCs w:val="18"/>
              </w:rPr>
            </w:pPr>
            <w:r>
              <w:rPr>
                <w:rFonts w:ascii="宋体"/>
                <w:sz w:val="18"/>
              </w:rPr>
              <w:t>100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设立</w:t>
            </w:r>
            <w:r>
              <w:rPr>
                <w:rFonts w:ascii="宋体" w:hAnsi="宋体" w:cs="宋体" w:eastAsia="宋体" w:hint="default"/>
                <w:sz w:val="18"/>
                <w:szCs w:val="18"/>
              </w:rPr>
              <w:t> </w:t>
            </w:r>
          </w:p>
        </w:tc>
      </w:tr>
      <w:tr>
        <w:trPr>
          <w:trHeight w:val="242" w:hRule="exact"/>
        </w:trPr>
        <w:tc>
          <w:tcPr>
            <w:tcW w:w="309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宿州金耀新能源科技有限公司</w:t>
            </w:r>
            <w:r>
              <w:rPr>
                <w:rFonts w:ascii="宋体" w:hAnsi="宋体" w:cs="宋体" w:eastAsia="宋体" w:hint="default"/>
                <w:sz w:val="18"/>
                <w:szCs w:val="18"/>
              </w:rPr>
              <w:t> </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7" w:right="0"/>
              <w:jc w:val="center"/>
              <w:rPr>
                <w:rFonts w:ascii="宋体" w:hAnsi="宋体" w:cs="宋体" w:eastAsia="宋体" w:hint="default"/>
                <w:sz w:val="18"/>
                <w:szCs w:val="18"/>
              </w:rPr>
            </w:pPr>
            <w:r>
              <w:rPr>
                <w:rFonts w:ascii="宋体" w:hAnsi="宋体" w:cs="宋体" w:eastAsia="宋体" w:hint="default"/>
                <w:sz w:val="18"/>
                <w:szCs w:val="18"/>
              </w:rPr>
              <w:t>萧县</w:t>
            </w:r>
            <w:r>
              <w:rPr>
                <w:rFonts w:ascii="宋体" w:hAnsi="宋体" w:cs="宋体" w:eastAsia="宋体" w:hint="default"/>
                <w:sz w:val="18"/>
                <w:szCs w:val="18"/>
              </w:rPr>
              <w:t> </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7" w:right="0"/>
              <w:jc w:val="center"/>
              <w:rPr>
                <w:rFonts w:ascii="宋体" w:hAnsi="宋体" w:cs="宋体" w:eastAsia="宋体" w:hint="default"/>
                <w:sz w:val="18"/>
                <w:szCs w:val="18"/>
              </w:rPr>
            </w:pPr>
            <w:r>
              <w:rPr>
                <w:rFonts w:ascii="宋体" w:hAnsi="宋体" w:cs="宋体" w:eastAsia="宋体" w:hint="default"/>
                <w:sz w:val="18"/>
                <w:szCs w:val="18"/>
              </w:rPr>
              <w:t>萧县</w:t>
            </w:r>
            <w:r>
              <w:rPr>
                <w:rFonts w:ascii="宋体" w:hAnsi="宋体" w:cs="宋体" w:eastAsia="宋体" w:hint="default"/>
                <w:sz w:val="18"/>
                <w:szCs w:val="18"/>
              </w:rPr>
              <w:t> </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13"/>
              <w:jc w:val="right"/>
              <w:rPr>
                <w:rFonts w:ascii="宋体" w:hAnsi="宋体" w:cs="宋体" w:eastAsia="宋体" w:hint="default"/>
                <w:sz w:val="18"/>
                <w:szCs w:val="18"/>
              </w:rPr>
            </w:pPr>
            <w:r>
              <w:rPr>
                <w:rFonts w:ascii="宋体" w:hAnsi="宋体" w:cs="宋体" w:eastAsia="宋体" w:hint="default"/>
                <w:sz w:val="18"/>
                <w:szCs w:val="18"/>
              </w:rPr>
              <w:t>光伏电站</w:t>
            </w:r>
            <w:r>
              <w:rPr>
                <w:rFonts w:ascii="宋体" w:hAnsi="宋体" w:cs="宋体" w:eastAsia="宋体" w:hint="default"/>
                <w:sz w:val="18"/>
                <w:szCs w:val="18"/>
              </w:rPr>
              <w:t> </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7" w:right="0"/>
              <w:jc w:val="center"/>
              <w:rPr>
                <w:rFonts w:ascii="宋体" w:hAnsi="宋体" w:cs="宋体" w:eastAsia="宋体" w:hint="default"/>
                <w:sz w:val="18"/>
                <w:szCs w:val="18"/>
              </w:rPr>
            </w:pPr>
            <w:r>
              <w:rPr>
                <w:rFonts w:ascii="宋体"/>
                <w:sz w:val="18"/>
              </w:rPr>
              <w:t> </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5" w:right="0"/>
              <w:jc w:val="center"/>
              <w:rPr>
                <w:rFonts w:ascii="宋体" w:hAnsi="宋体" w:cs="宋体" w:eastAsia="宋体" w:hint="default"/>
                <w:sz w:val="18"/>
                <w:szCs w:val="18"/>
              </w:rPr>
            </w:pPr>
            <w:r>
              <w:rPr>
                <w:rFonts w:ascii="宋体"/>
                <w:sz w:val="18"/>
              </w:rPr>
              <w:t>100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设立</w:t>
            </w:r>
            <w:r>
              <w:rPr>
                <w:rFonts w:ascii="宋体" w:hAnsi="宋体" w:cs="宋体" w:eastAsia="宋体" w:hint="default"/>
                <w:sz w:val="18"/>
                <w:szCs w:val="18"/>
              </w:rPr>
              <w:t> </w:t>
            </w:r>
          </w:p>
        </w:tc>
      </w:tr>
      <w:tr>
        <w:trPr>
          <w:trHeight w:val="245" w:hRule="exact"/>
        </w:trPr>
        <w:tc>
          <w:tcPr>
            <w:tcW w:w="309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颖上华盛农业太阳能发电有限公司</w:t>
            </w:r>
            <w:r>
              <w:rPr>
                <w:rFonts w:ascii="宋体" w:hAnsi="宋体" w:cs="宋体" w:eastAsia="宋体" w:hint="default"/>
                <w:sz w:val="18"/>
                <w:szCs w:val="18"/>
              </w:rPr>
              <w:t> </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7" w:right="0"/>
              <w:jc w:val="center"/>
              <w:rPr>
                <w:rFonts w:ascii="宋体" w:hAnsi="宋体" w:cs="宋体" w:eastAsia="宋体" w:hint="default"/>
                <w:sz w:val="18"/>
                <w:szCs w:val="18"/>
              </w:rPr>
            </w:pPr>
            <w:r>
              <w:rPr>
                <w:rFonts w:ascii="宋体" w:hAnsi="宋体" w:cs="宋体" w:eastAsia="宋体" w:hint="default"/>
                <w:sz w:val="18"/>
                <w:szCs w:val="18"/>
              </w:rPr>
              <w:t>颖上</w:t>
            </w:r>
            <w:r>
              <w:rPr>
                <w:rFonts w:ascii="宋体" w:hAnsi="宋体" w:cs="宋体" w:eastAsia="宋体" w:hint="default"/>
                <w:sz w:val="18"/>
                <w:szCs w:val="18"/>
              </w:rPr>
              <w:t> </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7" w:right="0"/>
              <w:jc w:val="center"/>
              <w:rPr>
                <w:rFonts w:ascii="宋体" w:hAnsi="宋体" w:cs="宋体" w:eastAsia="宋体" w:hint="default"/>
                <w:sz w:val="18"/>
                <w:szCs w:val="18"/>
              </w:rPr>
            </w:pPr>
            <w:r>
              <w:rPr>
                <w:rFonts w:ascii="宋体" w:hAnsi="宋体" w:cs="宋体" w:eastAsia="宋体" w:hint="default"/>
                <w:sz w:val="18"/>
                <w:szCs w:val="18"/>
              </w:rPr>
              <w:t>颖上</w:t>
            </w:r>
            <w:r>
              <w:rPr>
                <w:rFonts w:ascii="宋体" w:hAnsi="宋体" w:cs="宋体" w:eastAsia="宋体" w:hint="default"/>
                <w:sz w:val="18"/>
                <w:szCs w:val="18"/>
              </w:rPr>
              <w:t> </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13"/>
              <w:jc w:val="right"/>
              <w:rPr>
                <w:rFonts w:ascii="宋体" w:hAnsi="宋体" w:cs="宋体" w:eastAsia="宋体" w:hint="default"/>
                <w:sz w:val="18"/>
                <w:szCs w:val="18"/>
              </w:rPr>
            </w:pPr>
            <w:r>
              <w:rPr>
                <w:rFonts w:ascii="宋体" w:hAnsi="宋体" w:cs="宋体" w:eastAsia="宋体" w:hint="default"/>
                <w:sz w:val="18"/>
                <w:szCs w:val="18"/>
              </w:rPr>
              <w:t>光伏电站</w:t>
            </w:r>
            <w:r>
              <w:rPr>
                <w:rFonts w:ascii="宋体" w:hAnsi="宋体" w:cs="宋体" w:eastAsia="宋体" w:hint="default"/>
                <w:sz w:val="18"/>
                <w:szCs w:val="18"/>
              </w:rPr>
              <w:t> </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7" w:right="0"/>
              <w:jc w:val="center"/>
              <w:rPr>
                <w:rFonts w:ascii="宋体" w:hAnsi="宋体" w:cs="宋体" w:eastAsia="宋体" w:hint="default"/>
                <w:sz w:val="18"/>
                <w:szCs w:val="18"/>
              </w:rPr>
            </w:pPr>
            <w:r>
              <w:rPr>
                <w:rFonts w:ascii="宋体"/>
                <w:sz w:val="18"/>
              </w:rPr>
              <w:t> </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5" w:right="0"/>
              <w:jc w:val="center"/>
              <w:rPr>
                <w:rFonts w:ascii="宋体" w:hAnsi="宋体" w:cs="宋体" w:eastAsia="宋体" w:hint="default"/>
                <w:sz w:val="18"/>
                <w:szCs w:val="18"/>
              </w:rPr>
            </w:pPr>
            <w:r>
              <w:rPr>
                <w:rFonts w:ascii="宋体"/>
                <w:sz w:val="18"/>
              </w:rPr>
              <w:t>100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设立</w:t>
            </w:r>
            <w:r>
              <w:rPr>
                <w:rFonts w:ascii="宋体" w:hAnsi="宋体" w:cs="宋体" w:eastAsia="宋体" w:hint="default"/>
                <w:sz w:val="18"/>
                <w:szCs w:val="18"/>
              </w:rPr>
              <w:t> </w:t>
            </w:r>
          </w:p>
        </w:tc>
      </w:tr>
    </w:tbl>
    <w:p>
      <w:pPr>
        <w:spacing w:after="0" w:line="205" w:lineRule="exact"/>
        <w:jc w:val="left"/>
        <w:rPr>
          <w:rFonts w:ascii="宋体" w:hAnsi="宋体" w:cs="宋体" w:eastAsia="宋体" w:hint="default"/>
          <w:sz w:val="18"/>
          <w:szCs w:val="18"/>
        </w:rPr>
        <w:sectPr>
          <w:pgSz w:w="11910" w:h="16840"/>
          <w:pgMar w:header="748" w:footer="974" w:top="1140" w:bottom="1160" w:left="840" w:right="32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3"/>
          <w:szCs w:val="13"/>
        </w:rPr>
      </w:pPr>
    </w:p>
    <w:tbl>
      <w:tblPr>
        <w:tblW w:w="0" w:type="auto"/>
        <w:jc w:val="left"/>
        <w:tblInd w:w="100" w:type="dxa"/>
        <w:tblLayout w:type="fixed"/>
        <w:tblCellMar>
          <w:top w:w="0" w:type="dxa"/>
          <w:left w:w="0" w:type="dxa"/>
          <w:bottom w:w="0" w:type="dxa"/>
          <w:right w:w="0" w:type="dxa"/>
        </w:tblCellMar>
        <w:tblLook w:val="01E0"/>
      </w:tblPr>
      <w:tblGrid>
        <w:gridCol w:w="3097"/>
        <w:gridCol w:w="1255"/>
        <w:gridCol w:w="1256"/>
        <w:gridCol w:w="1541"/>
        <w:gridCol w:w="689"/>
        <w:gridCol w:w="694"/>
        <w:gridCol w:w="1985"/>
      </w:tblGrid>
      <w:tr>
        <w:trPr>
          <w:trHeight w:val="245" w:hRule="exact"/>
        </w:trPr>
        <w:tc>
          <w:tcPr>
            <w:tcW w:w="309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颖上华新新能源科技有限公司</w:t>
            </w:r>
            <w:r>
              <w:rPr>
                <w:rFonts w:ascii="宋体" w:hAnsi="宋体" w:cs="宋体" w:eastAsia="宋体" w:hint="default"/>
                <w:sz w:val="18"/>
                <w:szCs w:val="18"/>
              </w:rPr>
              <w:t> </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87" w:right="0"/>
              <w:jc w:val="center"/>
              <w:rPr>
                <w:rFonts w:ascii="宋体" w:hAnsi="宋体" w:cs="宋体" w:eastAsia="宋体" w:hint="default"/>
                <w:sz w:val="18"/>
                <w:szCs w:val="18"/>
              </w:rPr>
            </w:pPr>
            <w:r>
              <w:rPr>
                <w:rFonts w:ascii="宋体" w:hAnsi="宋体" w:cs="宋体" w:eastAsia="宋体" w:hint="default"/>
                <w:sz w:val="18"/>
                <w:szCs w:val="18"/>
              </w:rPr>
              <w:t>颖上</w:t>
            </w:r>
            <w:r>
              <w:rPr>
                <w:rFonts w:ascii="宋体" w:hAnsi="宋体" w:cs="宋体" w:eastAsia="宋体" w:hint="default"/>
                <w:sz w:val="18"/>
                <w:szCs w:val="18"/>
              </w:rPr>
              <w:t> </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87" w:right="0"/>
              <w:jc w:val="center"/>
              <w:rPr>
                <w:rFonts w:ascii="宋体" w:hAnsi="宋体" w:cs="宋体" w:eastAsia="宋体" w:hint="default"/>
                <w:sz w:val="18"/>
                <w:szCs w:val="18"/>
              </w:rPr>
            </w:pPr>
            <w:r>
              <w:rPr>
                <w:rFonts w:ascii="宋体" w:hAnsi="宋体" w:cs="宋体" w:eastAsia="宋体" w:hint="default"/>
                <w:sz w:val="18"/>
                <w:szCs w:val="18"/>
              </w:rPr>
              <w:t>颖上</w:t>
            </w:r>
            <w:r>
              <w:rPr>
                <w:rFonts w:ascii="宋体" w:hAnsi="宋体" w:cs="宋体" w:eastAsia="宋体" w:hint="default"/>
                <w:sz w:val="18"/>
                <w:szCs w:val="18"/>
              </w:rPr>
              <w:t> </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89" w:right="0"/>
              <w:jc w:val="center"/>
              <w:rPr>
                <w:rFonts w:ascii="宋体" w:hAnsi="宋体" w:cs="宋体" w:eastAsia="宋体" w:hint="default"/>
                <w:sz w:val="18"/>
                <w:szCs w:val="18"/>
              </w:rPr>
            </w:pPr>
            <w:r>
              <w:rPr>
                <w:rFonts w:ascii="宋体" w:hAnsi="宋体" w:cs="宋体" w:eastAsia="宋体" w:hint="default"/>
                <w:sz w:val="18"/>
                <w:szCs w:val="18"/>
              </w:rPr>
              <w:t>光伏电站</w:t>
            </w:r>
            <w:r>
              <w:rPr>
                <w:rFonts w:ascii="宋体" w:hAnsi="宋体" w:cs="宋体" w:eastAsia="宋体" w:hint="default"/>
                <w:sz w:val="18"/>
                <w:szCs w:val="18"/>
              </w:rPr>
              <w:t> </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87" w:right="0"/>
              <w:jc w:val="center"/>
              <w:rPr>
                <w:rFonts w:ascii="宋体" w:hAnsi="宋体" w:cs="宋体" w:eastAsia="宋体" w:hint="default"/>
                <w:sz w:val="18"/>
                <w:szCs w:val="18"/>
              </w:rPr>
            </w:pPr>
            <w:r>
              <w:rPr>
                <w:rFonts w:ascii="宋体"/>
                <w:sz w:val="18"/>
              </w:rPr>
              <w:t> </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85" w:right="0"/>
              <w:jc w:val="center"/>
              <w:rPr>
                <w:rFonts w:ascii="宋体" w:hAnsi="宋体" w:cs="宋体" w:eastAsia="宋体" w:hint="default"/>
                <w:sz w:val="18"/>
                <w:szCs w:val="18"/>
              </w:rPr>
            </w:pPr>
            <w:r>
              <w:rPr>
                <w:rFonts w:ascii="宋体"/>
                <w:sz w:val="18"/>
              </w:rPr>
              <w:t>100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设立</w:t>
            </w:r>
            <w:r>
              <w:rPr>
                <w:rFonts w:ascii="宋体" w:hAnsi="宋体" w:cs="宋体" w:eastAsia="宋体" w:hint="default"/>
                <w:sz w:val="18"/>
                <w:szCs w:val="18"/>
              </w:rPr>
              <w:t> </w:t>
            </w:r>
          </w:p>
        </w:tc>
      </w:tr>
      <w:tr>
        <w:trPr>
          <w:trHeight w:val="242" w:hRule="exact"/>
        </w:trPr>
        <w:tc>
          <w:tcPr>
            <w:tcW w:w="309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颖上永阳新能源科技有限公司</w:t>
            </w:r>
            <w:r>
              <w:rPr>
                <w:rFonts w:ascii="宋体" w:hAnsi="宋体" w:cs="宋体" w:eastAsia="宋体" w:hint="default"/>
                <w:sz w:val="18"/>
                <w:szCs w:val="18"/>
              </w:rPr>
              <w:t> </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7" w:right="0"/>
              <w:jc w:val="center"/>
              <w:rPr>
                <w:rFonts w:ascii="宋体" w:hAnsi="宋体" w:cs="宋体" w:eastAsia="宋体" w:hint="default"/>
                <w:sz w:val="18"/>
                <w:szCs w:val="18"/>
              </w:rPr>
            </w:pPr>
            <w:r>
              <w:rPr>
                <w:rFonts w:ascii="宋体" w:hAnsi="宋体" w:cs="宋体" w:eastAsia="宋体" w:hint="default"/>
                <w:sz w:val="18"/>
                <w:szCs w:val="18"/>
              </w:rPr>
              <w:t>颖上</w:t>
            </w:r>
            <w:r>
              <w:rPr>
                <w:rFonts w:ascii="宋体" w:hAnsi="宋体" w:cs="宋体" w:eastAsia="宋体" w:hint="default"/>
                <w:sz w:val="18"/>
                <w:szCs w:val="18"/>
              </w:rPr>
              <w:t> </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7" w:right="0"/>
              <w:jc w:val="center"/>
              <w:rPr>
                <w:rFonts w:ascii="宋体" w:hAnsi="宋体" w:cs="宋体" w:eastAsia="宋体" w:hint="default"/>
                <w:sz w:val="18"/>
                <w:szCs w:val="18"/>
              </w:rPr>
            </w:pPr>
            <w:r>
              <w:rPr>
                <w:rFonts w:ascii="宋体" w:hAnsi="宋体" w:cs="宋体" w:eastAsia="宋体" w:hint="default"/>
                <w:sz w:val="18"/>
                <w:szCs w:val="18"/>
              </w:rPr>
              <w:t>颖上</w:t>
            </w:r>
            <w:r>
              <w:rPr>
                <w:rFonts w:ascii="宋体" w:hAnsi="宋体" w:cs="宋体" w:eastAsia="宋体" w:hint="default"/>
                <w:sz w:val="18"/>
                <w:szCs w:val="18"/>
              </w:rPr>
              <w:t> </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9" w:right="0"/>
              <w:jc w:val="center"/>
              <w:rPr>
                <w:rFonts w:ascii="宋体" w:hAnsi="宋体" w:cs="宋体" w:eastAsia="宋体" w:hint="default"/>
                <w:sz w:val="18"/>
                <w:szCs w:val="18"/>
              </w:rPr>
            </w:pPr>
            <w:r>
              <w:rPr>
                <w:rFonts w:ascii="宋体" w:hAnsi="宋体" w:cs="宋体" w:eastAsia="宋体" w:hint="default"/>
                <w:sz w:val="18"/>
                <w:szCs w:val="18"/>
              </w:rPr>
              <w:t>光伏电站</w:t>
            </w:r>
            <w:r>
              <w:rPr>
                <w:rFonts w:ascii="宋体" w:hAnsi="宋体" w:cs="宋体" w:eastAsia="宋体" w:hint="default"/>
                <w:sz w:val="18"/>
                <w:szCs w:val="18"/>
              </w:rPr>
              <w:t> </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7" w:right="0"/>
              <w:jc w:val="center"/>
              <w:rPr>
                <w:rFonts w:ascii="宋体" w:hAnsi="宋体" w:cs="宋体" w:eastAsia="宋体" w:hint="default"/>
                <w:sz w:val="18"/>
                <w:szCs w:val="18"/>
              </w:rPr>
            </w:pPr>
            <w:r>
              <w:rPr>
                <w:rFonts w:ascii="宋体"/>
                <w:sz w:val="18"/>
              </w:rPr>
              <w:t> </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5" w:right="0"/>
              <w:jc w:val="center"/>
              <w:rPr>
                <w:rFonts w:ascii="宋体" w:hAnsi="宋体" w:cs="宋体" w:eastAsia="宋体" w:hint="default"/>
                <w:sz w:val="18"/>
                <w:szCs w:val="18"/>
              </w:rPr>
            </w:pPr>
            <w:r>
              <w:rPr>
                <w:rFonts w:ascii="宋体"/>
                <w:sz w:val="18"/>
              </w:rPr>
              <w:t>100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设立</w:t>
            </w:r>
            <w:r>
              <w:rPr>
                <w:rFonts w:ascii="宋体" w:hAnsi="宋体" w:cs="宋体" w:eastAsia="宋体" w:hint="default"/>
                <w:sz w:val="18"/>
                <w:szCs w:val="18"/>
              </w:rPr>
              <w:t> </w:t>
            </w:r>
          </w:p>
        </w:tc>
      </w:tr>
      <w:tr>
        <w:trPr>
          <w:trHeight w:val="245" w:hRule="exact"/>
        </w:trPr>
        <w:tc>
          <w:tcPr>
            <w:tcW w:w="309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宿州金阳新能源科技有限公司</w:t>
            </w:r>
            <w:r>
              <w:rPr>
                <w:rFonts w:ascii="宋体" w:hAnsi="宋体" w:cs="宋体" w:eastAsia="宋体" w:hint="default"/>
                <w:sz w:val="18"/>
                <w:szCs w:val="18"/>
              </w:rPr>
              <w:t> </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7" w:right="0"/>
              <w:jc w:val="center"/>
              <w:rPr>
                <w:rFonts w:ascii="宋体" w:hAnsi="宋体" w:cs="宋体" w:eastAsia="宋体" w:hint="default"/>
                <w:sz w:val="18"/>
                <w:szCs w:val="18"/>
              </w:rPr>
            </w:pPr>
            <w:r>
              <w:rPr>
                <w:rFonts w:ascii="宋体" w:hAnsi="宋体" w:cs="宋体" w:eastAsia="宋体" w:hint="default"/>
                <w:sz w:val="18"/>
                <w:szCs w:val="18"/>
              </w:rPr>
              <w:t>宿州</w:t>
            </w:r>
            <w:r>
              <w:rPr>
                <w:rFonts w:ascii="宋体" w:hAnsi="宋体" w:cs="宋体" w:eastAsia="宋体" w:hint="default"/>
                <w:sz w:val="18"/>
                <w:szCs w:val="18"/>
              </w:rPr>
              <w:t> </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7" w:right="0"/>
              <w:jc w:val="center"/>
              <w:rPr>
                <w:rFonts w:ascii="宋体" w:hAnsi="宋体" w:cs="宋体" w:eastAsia="宋体" w:hint="default"/>
                <w:sz w:val="18"/>
                <w:szCs w:val="18"/>
              </w:rPr>
            </w:pPr>
            <w:r>
              <w:rPr>
                <w:rFonts w:ascii="宋体" w:hAnsi="宋体" w:cs="宋体" w:eastAsia="宋体" w:hint="default"/>
                <w:sz w:val="18"/>
                <w:szCs w:val="18"/>
              </w:rPr>
              <w:t>宿州</w:t>
            </w:r>
            <w:r>
              <w:rPr>
                <w:rFonts w:ascii="宋体" w:hAnsi="宋体" w:cs="宋体" w:eastAsia="宋体" w:hint="default"/>
                <w:sz w:val="18"/>
                <w:szCs w:val="18"/>
              </w:rPr>
              <w:t> </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9" w:right="0"/>
              <w:jc w:val="center"/>
              <w:rPr>
                <w:rFonts w:ascii="宋体" w:hAnsi="宋体" w:cs="宋体" w:eastAsia="宋体" w:hint="default"/>
                <w:sz w:val="18"/>
                <w:szCs w:val="18"/>
              </w:rPr>
            </w:pPr>
            <w:r>
              <w:rPr>
                <w:rFonts w:ascii="宋体" w:hAnsi="宋体" w:cs="宋体" w:eastAsia="宋体" w:hint="default"/>
                <w:sz w:val="18"/>
                <w:szCs w:val="18"/>
              </w:rPr>
              <w:t>光伏电站</w:t>
            </w:r>
            <w:r>
              <w:rPr>
                <w:rFonts w:ascii="宋体" w:hAnsi="宋体" w:cs="宋体" w:eastAsia="宋体" w:hint="default"/>
                <w:sz w:val="18"/>
                <w:szCs w:val="18"/>
              </w:rPr>
              <w:t> </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7" w:right="0"/>
              <w:jc w:val="center"/>
              <w:rPr>
                <w:rFonts w:ascii="宋体" w:hAnsi="宋体" w:cs="宋体" w:eastAsia="宋体" w:hint="default"/>
                <w:sz w:val="18"/>
                <w:szCs w:val="18"/>
              </w:rPr>
            </w:pPr>
            <w:r>
              <w:rPr>
                <w:rFonts w:ascii="宋体"/>
                <w:sz w:val="18"/>
              </w:rPr>
              <w:t> </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5" w:right="0"/>
              <w:jc w:val="center"/>
              <w:rPr>
                <w:rFonts w:ascii="宋体" w:hAnsi="宋体" w:cs="宋体" w:eastAsia="宋体" w:hint="default"/>
                <w:sz w:val="18"/>
                <w:szCs w:val="18"/>
              </w:rPr>
            </w:pPr>
            <w:r>
              <w:rPr>
                <w:rFonts w:ascii="宋体"/>
                <w:sz w:val="18"/>
              </w:rPr>
              <w:t>100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设立</w:t>
            </w:r>
            <w:r>
              <w:rPr>
                <w:rFonts w:ascii="宋体" w:hAnsi="宋体" w:cs="宋体" w:eastAsia="宋体" w:hint="default"/>
                <w:sz w:val="18"/>
                <w:szCs w:val="18"/>
              </w:rPr>
              <w:t> </w:t>
            </w:r>
          </w:p>
        </w:tc>
      </w:tr>
      <w:tr>
        <w:trPr>
          <w:trHeight w:val="242" w:hRule="exact"/>
        </w:trPr>
        <w:tc>
          <w:tcPr>
            <w:tcW w:w="309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灵璧华浍新能源科技有限公司</w:t>
            </w:r>
            <w:r>
              <w:rPr>
                <w:rFonts w:ascii="宋体" w:hAnsi="宋体" w:cs="宋体" w:eastAsia="宋体" w:hint="default"/>
                <w:sz w:val="18"/>
                <w:szCs w:val="18"/>
              </w:rPr>
              <w:t> </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7" w:right="0"/>
              <w:jc w:val="center"/>
              <w:rPr>
                <w:rFonts w:ascii="宋体" w:hAnsi="宋体" w:cs="宋体" w:eastAsia="宋体" w:hint="default"/>
                <w:sz w:val="18"/>
                <w:szCs w:val="18"/>
              </w:rPr>
            </w:pPr>
            <w:r>
              <w:rPr>
                <w:rFonts w:ascii="宋体" w:hAnsi="宋体" w:cs="宋体" w:eastAsia="宋体" w:hint="default"/>
                <w:sz w:val="18"/>
                <w:szCs w:val="18"/>
              </w:rPr>
              <w:t>灵璧</w:t>
            </w:r>
            <w:r>
              <w:rPr>
                <w:rFonts w:ascii="宋体" w:hAnsi="宋体" w:cs="宋体" w:eastAsia="宋体" w:hint="default"/>
                <w:sz w:val="18"/>
                <w:szCs w:val="18"/>
              </w:rPr>
              <w:t> </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7" w:right="0"/>
              <w:jc w:val="center"/>
              <w:rPr>
                <w:rFonts w:ascii="宋体" w:hAnsi="宋体" w:cs="宋体" w:eastAsia="宋体" w:hint="default"/>
                <w:sz w:val="18"/>
                <w:szCs w:val="18"/>
              </w:rPr>
            </w:pPr>
            <w:r>
              <w:rPr>
                <w:rFonts w:ascii="宋体" w:hAnsi="宋体" w:cs="宋体" w:eastAsia="宋体" w:hint="default"/>
                <w:sz w:val="18"/>
                <w:szCs w:val="18"/>
              </w:rPr>
              <w:t>灵璧</w:t>
            </w:r>
            <w:r>
              <w:rPr>
                <w:rFonts w:ascii="宋体" w:hAnsi="宋体" w:cs="宋体" w:eastAsia="宋体" w:hint="default"/>
                <w:sz w:val="18"/>
                <w:szCs w:val="18"/>
              </w:rPr>
              <w:t> </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9" w:right="0"/>
              <w:jc w:val="center"/>
              <w:rPr>
                <w:rFonts w:ascii="宋体" w:hAnsi="宋体" w:cs="宋体" w:eastAsia="宋体" w:hint="default"/>
                <w:sz w:val="18"/>
                <w:szCs w:val="18"/>
              </w:rPr>
            </w:pPr>
            <w:r>
              <w:rPr>
                <w:rFonts w:ascii="宋体" w:hAnsi="宋体" w:cs="宋体" w:eastAsia="宋体" w:hint="default"/>
                <w:sz w:val="18"/>
                <w:szCs w:val="18"/>
              </w:rPr>
              <w:t>光伏电站</w:t>
            </w:r>
            <w:r>
              <w:rPr>
                <w:rFonts w:ascii="宋体" w:hAnsi="宋体" w:cs="宋体" w:eastAsia="宋体" w:hint="default"/>
                <w:sz w:val="18"/>
                <w:szCs w:val="18"/>
              </w:rPr>
              <w:t> </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7" w:right="0"/>
              <w:jc w:val="center"/>
              <w:rPr>
                <w:rFonts w:ascii="宋体" w:hAnsi="宋体" w:cs="宋体" w:eastAsia="宋体" w:hint="default"/>
                <w:sz w:val="18"/>
                <w:szCs w:val="18"/>
              </w:rPr>
            </w:pPr>
            <w:r>
              <w:rPr>
                <w:rFonts w:ascii="宋体"/>
                <w:sz w:val="18"/>
              </w:rPr>
              <w:t> </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5" w:right="0"/>
              <w:jc w:val="center"/>
              <w:rPr>
                <w:rFonts w:ascii="宋体" w:hAnsi="宋体" w:cs="宋体" w:eastAsia="宋体" w:hint="default"/>
                <w:sz w:val="18"/>
                <w:szCs w:val="18"/>
              </w:rPr>
            </w:pPr>
            <w:r>
              <w:rPr>
                <w:rFonts w:ascii="宋体"/>
                <w:sz w:val="18"/>
              </w:rPr>
              <w:t>100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设立</w:t>
            </w:r>
            <w:r>
              <w:rPr>
                <w:rFonts w:ascii="宋体" w:hAnsi="宋体" w:cs="宋体" w:eastAsia="宋体" w:hint="default"/>
                <w:sz w:val="18"/>
                <w:szCs w:val="18"/>
              </w:rPr>
              <w:t> </w:t>
            </w:r>
          </w:p>
        </w:tc>
      </w:tr>
      <w:tr>
        <w:trPr>
          <w:trHeight w:val="245" w:hRule="exact"/>
        </w:trPr>
        <w:tc>
          <w:tcPr>
            <w:tcW w:w="309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灵璧灵阳新能源科技有限公司</w:t>
            </w:r>
            <w:r>
              <w:rPr>
                <w:rFonts w:ascii="宋体" w:hAnsi="宋体" w:cs="宋体" w:eastAsia="宋体" w:hint="default"/>
                <w:sz w:val="18"/>
                <w:szCs w:val="18"/>
              </w:rPr>
              <w:t> </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7" w:right="0"/>
              <w:jc w:val="center"/>
              <w:rPr>
                <w:rFonts w:ascii="宋体" w:hAnsi="宋体" w:cs="宋体" w:eastAsia="宋体" w:hint="default"/>
                <w:sz w:val="18"/>
                <w:szCs w:val="18"/>
              </w:rPr>
            </w:pPr>
            <w:r>
              <w:rPr>
                <w:rFonts w:ascii="宋体" w:hAnsi="宋体" w:cs="宋体" w:eastAsia="宋体" w:hint="default"/>
                <w:sz w:val="18"/>
                <w:szCs w:val="18"/>
              </w:rPr>
              <w:t>灵璧</w:t>
            </w:r>
            <w:r>
              <w:rPr>
                <w:rFonts w:ascii="宋体" w:hAnsi="宋体" w:cs="宋体" w:eastAsia="宋体" w:hint="default"/>
                <w:sz w:val="18"/>
                <w:szCs w:val="18"/>
              </w:rPr>
              <w:t> </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7" w:right="0"/>
              <w:jc w:val="center"/>
              <w:rPr>
                <w:rFonts w:ascii="宋体" w:hAnsi="宋体" w:cs="宋体" w:eastAsia="宋体" w:hint="default"/>
                <w:sz w:val="18"/>
                <w:szCs w:val="18"/>
              </w:rPr>
            </w:pPr>
            <w:r>
              <w:rPr>
                <w:rFonts w:ascii="宋体" w:hAnsi="宋体" w:cs="宋体" w:eastAsia="宋体" w:hint="default"/>
                <w:sz w:val="18"/>
                <w:szCs w:val="18"/>
              </w:rPr>
              <w:t>灵璧</w:t>
            </w:r>
            <w:r>
              <w:rPr>
                <w:rFonts w:ascii="宋体" w:hAnsi="宋体" w:cs="宋体" w:eastAsia="宋体" w:hint="default"/>
                <w:sz w:val="18"/>
                <w:szCs w:val="18"/>
              </w:rPr>
              <w:t> </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9" w:right="0"/>
              <w:jc w:val="center"/>
              <w:rPr>
                <w:rFonts w:ascii="宋体" w:hAnsi="宋体" w:cs="宋体" w:eastAsia="宋体" w:hint="default"/>
                <w:sz w:val="18"/>
                <w:szCs w:val="18"/>
              </w:rPr>
            </w:pPr>
            <w:r>
              <w:rPr>
                <w:rFonts w:ascii="宋体" w:hAnsi="宋体" w:cs="宋体" w:eastAsia="宋体" w:hint="default"/>
                <w:sz w:val="18"/>
                <w:szCs w:val="18"/>
              </w:rPr>
              <w:t>光伏电站</w:t>
            </w:r>
            <w:r>
              <w:rPr>
                <w:rFonts w:ascii="宋体" w:hAnsi="宋体" w:cs="宋体" w:eastAsia="宋体" w:hint="default"/>
                <w:sz w:val="18"/>
                <w:szCs w:val="18"/>
              </w:rPr>
              <w:t> </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7" w:right="0"/>
              <w:jc w:val="center"/>
              <w:rPr>
                <w:rFonts w:ascii="宋体" w:hAnsi="宋体" w:cs="宋体" w:eastAsia="宋体" w:hint="default"/>
                <w:sz w:val="18"/>
                <w:szCs w:val="18"/>
              </w:rPr>
            </w:pPr>
            <w:r>
              <w:rPr>
                <w:rFonts w:ascii="宋体"/>
                <w:sz w:val="18"/>
              </w:rPr>
              <w:t> </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5" w:right="0"/>
              <w:jc w:val="center"/>
              <w:rPr>
                <w:rFonts w:ascii="宋体" w:hAnsi="宋体" w:cs="宋体" w:eastAsia="宋体" w:hint="default"/>
                <w:sz w:val="18"/>
                <w:szCs w:val="18"/>
              </w:rPr>
            </w:pPr>
            <w:r>
              <w:rPr>
                <w:rFonts w:ascii="宋体"/>
                <w:sz w:val="18"/>
              </w:rPr>
              <w:t>100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设立</w:t>
            </w:r>
            <w:r>
              <w:rPr>
                <w:rFonts w:ascii="宋体" w:hAnsi="宋体" w:cs="宋体" w:eastAsia="宋体" w:hint="default"/>
                <w:sz w:val="18"/>
                <w:szCs w:val="18"/>
              </w:rPr>
              <w:t> </w:t>
            </w:r>
          </w:p>
        </w:tc>
      </w:tr>
      <w:tr>
        <w:trPr>
          <w:trHeight w:val="242" w:hRule="exact"/>
        </w:trPr>
        <w:tc>
          <w:tcPr>
            <w:tcW w:w="309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灵璧县明升新能源科技有限公司</w:t>
            </w:r>
            <w:r>
              <w:rPr>
                <w:rFonts w:ascii="宋体" w:hAnsi="宋体" w:cs="宋体" w:eastAsia="宋体" w:hint="default"/>
                <w:sz w:val="18"/>
                <w:szCs w:val="18"/>
              </w:rPr>
              <w:t> </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7" w:right="0"/>
              <w:jc w:val="center"/>
              <w:rPr>
                <w:rFonts w:ascii="宋体" w:hAnsi="宋体" w:cs="宋体" w:eastAsia="宋体" w:hint="default"/>
                <w:sz w:val="18"/>
                <w:szCs w:val="18"/>
              </w:rPr>
            </w:pPr>
            <w:r>
              <w:rPr>
                <w:rFonts w:ascii="宋体" w:hAnsi="宋体" w:cs="宋体" w:eastAsia="宋体" w:hint="default"/>
                <w:sz w:val="18"/>
                <w:szCs w:val="18"/>
              </w:rPr>
              <w:t>灵璧</w:t>
            </w:r>
            <w:r>
              <w:rPr>
                <w:rFonts w:ascii="宋体" w:hAnsi="宋体" w:cs="宋体" w:eastAsia="宋体" w:hint="default"/>
                <w:sz w:val="18"/>
                <w:szCs w:val="18"/>
              </w:rPr>
              <w:t> </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7" w:right="0"/>
              <w:jc w:val="center"/>
              <w:rPr>
                <w:rFonts w:ascii="宋体" w:hAnsi="宋体" w:cs="宋体" w:eastAsia="宋体" w:hint="default"/>
                <w:sz w:val="18"/>
                <w:szCs w:val="18"/>
              </w:rPr>
            </w:pPr>
            <w:r>
              <w:rPr>
                <w:rFonts w:ascii="宋体" w:hAnsi="宋体" w:cs="宋体" w:eastAsia="宋体" w:hint="default"/>
                <w:sz w:val="18"/>
                <w:szCs w:val="18"/>
              </w:rPr>
              <w:t>灵璧</w:t>
            </w:r>
            <w:r>
              <w:rPr>
                <w:rFonts w:ascii="宋体" w:hAnsi="宋体" w:cs="宋体" w:eastAsia="宋体" w:hint="default"/>
                <w:sz w:val="18"/>
                <w:szCs w:val="18"/>
              </w:rPr>
              <w:t> </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9" w:right="0"/>
              <w:jc w:val="center"/>
              <w:rPr>
                <w:rFonts w:ascii="宋体" w:hAnsi="宋体" w:cs="宋体" w:eastAsia="宋体" w:hint="default"/>
                <w:sz w:val="18"/>
                <w:szCs w:val="18"/>
              </w:rPr>
            </w:pPr>
            <w:r>
              <w:rPr>
                <w:rFonts w:ascii="宋体" w:hAnsi="宋体" w:cs="宋体" w:eastAsia="宋体" w:hint="default"/>
                <w:sz w:val="18"/>
                <w:szCs w:val="18"/>
              </w:rPr>
              <w:t>光伏电站</w:t>
            </w:r>
            <w:r>
              <w:rPr>
                <w:rFonts w:ascii="宋体" w:hAnsi="宋体" w:cs="宋体" w:eastAsia="宋体" w:hint="default"/>
                <w:sz w:val="18"/>
                <w:szCs w:val="18"/>
              </w:rPr>
              <w:t> </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7" w:right="0"/>
              <w:jc w:val="center"/>
              <w:rPr>
                <w:rFonts w:ascii="宋体" w:hAnsi="宋体" w:cs="宋体" w:eastAsia="宋体" w:hint="default"/>
                <w:sz w:val="18"/>
                <w:szCs w:val="18"/>
              </w:rPr>
            </w:pPr>
            <w:r>
              <w:rPr>
                <w:rFonts w:ascii="宋体"/>
                <w:sz w:val="18"/>
              </w:rPr>
              <w:t> </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5" w:right="0"/>
              <w:jc w:val="center"/>
              <w:rPr>
                <w:rFonts w:ascii="宋体" w:hAnsi="宋体" w:cs="宋体" w:eastAsia="宋体" w:hint="default"/>
                <w:sz w:val="18"/>
                <w:szCs w:val="18"/>
              </w:rPr>
            </w:pPr>
            <w:r>
              <w:rPr>
                <w:rFonts w:ascii="宋体"/>
                <w:sz w:val="18"/>
              </w:rPr>
              <w:t>100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设立</w:t>
            </w:r>
            <w:r>
              <w:rPr>
                <w:rFonts w:ascii="宋体" w:hAnsi="宋体" w:cs="宋体" w:eastAsia="宋体" w:hint="default"/>
                <w:sz w:val="18"/>
                <w:szCs w:val="18"/>
              </w:rPr>
              <w:t> </w:t>
            </w:r>
          </w:p>
        </w:tc>
      </w:tr>
      <w:tr>
        <w:trPr>
          <w:trHeight w:val="242" w:hRule="exact"/>
        </w:trPr>
        <w:tc>
          <w:tcPr>
            <w:tcW w:w="309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河南林洋新能源科技有限公司</w:t>
            </w:r>
            <w:r>
              <w:rPr>
                <w:rFonts w:ascii="宋体" w:hAnsi="宋体" w:cs="宋体" w:eastAsia="宋体" w:hint="default"/>
                <w:sz w:val="18"/>
                <w:szCs w:val="18"/>
              </w:rPr>
              <w:t> </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7" w:right="0"/>
              <w:jc w:val="center"/>
              <w:rPr>
                <w:rFonts w:ascii="宋体" w:hAnsi="宋体" w:cs="宋体" w:eastAsia="宋体" w:hint="default"/>
                <w:sz w:val="18"/>
                <w:szCs w:val="18"/>
              </w:rPr>
            </w:pPr>
            <w:r>
              <w:rPr>
                <w:rFonts w:ascii="宋体" w:hAnsi="宋体" w:cs="宋体" w:eastAsia="宋体" w:hint="default"/>
                <w:sz w:val="18"/>
                <w:szCs w:val="18"/>
              </w:rPr>
              <w:t>商丘</w:t>
            </w:r>
            <w:r>
              <w:rPr>
                <w:rFonts w:ascii="宋体" w:hAnsi="宋体" w:cs="宋体" w:eastAsia="宋体" w:hint="default"/>
                <w:sz w:val="18"/>
                <w:szCs w:val="18"/>
              </w:rPr>
              <w:t> </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7" w:right="0"/>
              <w:jc w:val="center"/>
              <w:rPr>
                <w:rFonts w:ascii="宋体" w:hAnsi="宋体" w:cs="宋体" w:eastAsia="宋体" w:hint="default"/>
                <w:sz w:val="18"/>
                <w:szCs w:val="18"/>
              </w:rPr>
            </w:pPr>
            <w:r>
              <w:rPr>
                <w:rFonts w:ascii="宋体" w:hAnsi="宋体" w:cs="宋体" w:eastAsia="宋体" w:hint="default"/>
                <w:sz w:val="18"/>
                <w:szCs w:val="18"/>
              </w:rPr>
              <w:t>商丘</w:t>
            </w:r>
            <w:r>
              <w:rPr>
                <w:rFonts w:ascii="宋体" w:hAnsi="宋体" w:cs="宋体" w:eastAsia="宋体" w:hint="default"/>
                <w:sz w:val="18"/>
                <w:szCs w:val="18"/>
              </w:rPr>
              <w:t> </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9" w:right="0"/>
              <w:jc w:val="center"/>
              <w:rPr>
                <w:rFonts w:ascii="宋体" w:hAnsi="宋体" w:cs="宋体" w:eastAsia="宋体" w:hint="default"/>
                <w:sz w:val="18"/>
                <w:szCs w:val="18"/>
              </w:rPr>
            </w:pPr>
            <w:r>
              <w:rPr>
                <w:rFonts w:ascii="宋体" w:hAnsi="宋体" w:cs="宋体" w:eastAsia="宋体" w:hint="default"/>
                <w:sz w:val="18"/>
                <w:szCs w:val="18"/>
              </w:rPr>
              <w:t>光伏电站</w:t>
            </w:r>
            <w:r>
              <w:rPr>
                <w:rFonts w:ascii="宋体" w:hAnsi="宋体" w:cs="宋体" w:eastAsia="宋体" w:hint="default"/>
                <w:sz w:val="18"/>
                <w:szCs w:val="18"/>
              </w:rPr>
              <w:t> </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5" w:right="0"/>
              <w:jc w:val="center"/>
              <w:rPr>
                <w:rFonts w:ascii="宋体" w:hAnsi="宋体" w:cs="宋体" w:eastAsia="宋体" w:hint="default"/>
                <w:sz w:val="18"/>
                <w:szCs w:val="18"/>
              </w:rPr>
            </w:pPr>
            <w:r>
              <w:rPr>
                <w:rFonts w:ascii="宋体"/>
                <w:sz w:val="18"/>
              </w:rPr>
              <w:t>100 </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3" w:right="0"/>
              <w:jc w:val="center"/>
              <w:rPr>
                <w:rFonts w:ascii="宋体" w:hAnsi="宋体" w:cs="宋体" w:eastAsia="宋体" w:hint="default"/>
                <w:sz w:val="18"/>
                <w:szCs w:val="18"/>
              </w:rPr>
            </w:pPr>
            <w:r>
              <w:rPr>
                <w:rFonts w:ascii="宋体"/>
                <w:sz w:val="18"/>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设立</w:t>
            </w:r>
            <w:r>
              <w:rPr>
                <w:rFonts w:ascii="宋体" w:hAnsi="宋体" w:cs="宋体" w:eastAsia="宋体" w:hint="default"/>
                <w:sz w:val="18"/>
                <w:szCs w:val="18"/>
              </w:rPr>
              <w:t> </w:t>
            </w:r>
          </w:p>
        </w:tc>
      </w:tr>
      <w:tr>
        <w:trPr>
          <w:trHeight w:val="245" w:hRule="exact"/>
        </w:trPr>
        <w:tc>
          <w:tcPr>
            <w:tcW w:w="309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商丘林洋光伏科技有限公司</w:t>
            </w:r>
            <w:r>
              <w:rPr>
                <w:rFonts w:ascii="宋体" w:hAnsi="宋体" w:cs="宋体" w:eastAsia="宋体" w:hint="default"/>
                <w:sz w:val="18"/>
                <w:szCs w:val="18"/>
              </w:rPr>
              <w:t> </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87" w:right="0"/>
              <w:jc w:val="center"/>
              <w:rPr>
                <w:rFonts w:ascii="宋体" w:hAnsi="宋体" w:cs="宋体" w:eastAsia="宋体" w:hint="default"/>
                <w:sz w:val="18"/>
                <w:szCs w:val="18"/>
              </w:rPr>
            </w:pPr>
            <w:r>
              <w:rPr>
                <w:rFonts w:ascii="宋体" w:hAnsi="宋体" w:cs="宋体" w:eastAsia="宋体" w:hint="default"/>
                <w:sz w:val="18"/>
                <w:szCs w:val="18"/>
              </w:rPr>
              <w:t>商丘</w:t>
            </w:r>
            <w:r>
              <w:rPr>
                <w:rFonts w:ascii="宋体" w:hAnsi="宋体" w:cs="宋体" w:eastAsia="宋体" w:hint="default"/>
                <w:sz w:val="18"/>
                <w:szCs w:val="18"/>
              </w:rPr>
              <w:t> </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87" w:right="0"/>
              <w:jc w:val="center"/>
              <w:rPr>
                <w:rFonts w:ascii="宋体" w:hAnsi="宋体" w:cs="宋体" w:eastAsia="宋体" w:hint="default"/>
                <w:sz w:val="18"/>
                <w:szCs w:val="18"/>
              </w:rPr>
            </w:pPr>
            <w:r>
              <w:rPr>
                <w:rFonts w:ascii="宋体" w:hAnsi="宋体" w:cs="宋体" w:eastAsia="宋体" w:hint="default"/>
                <w:sz w:val="18"/>
                <w:szCs w:val="18"/>
              </w:rPr>
              <w:t>商丘</w:t>
            </w:r>
            <w:r>
              <w:rPr>
                <w:rFonts w:ascii="宋体" w:hAnsi="宋体" w:cs="宋体" w:eastAsia="宋体" w:hint="default"/>
                <w:sz w:val="18"/>
                <w:szCs w:val="18"/>
              </w:rPr>
              <w:t> </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89" w:right="0"/>
              <w:jc w:val="center"/>
              <w:rPr>
                <w:rFonts w:ascii="宋体" w:hAnsi="宋体" w:cs="宋体" w:eastAsia="宋体" w:hint="default"/>
                <w:sz w:val="18"/>
                <w:szCs w:val="18"/>
              </w:rPr>
            </w:pPr>
            <w:r>
              <w:rPr>
                <w:rFonts w:ascii="宋体" w:hAnsi="宋体" w:cs="宋体" w:eastAsia="宋体" w:hint="default"/>
                <w:sz w:val="18"/>
                <w:szCs w:val="18"/>
              </w:rPr>
              <w:t>光伏电站</w:t>
            </w:r>
            <w:r>
              <w:rPr>
                <w:rFonts w:ascii="宋体" w:hAnsi="宋体" w:cs="宋体" w:eastAsia="宋体" w:hint="default"/>
                <w:sz w:val="18"/>
                <w:szCs w:val="18"/>
              </w:rPr>
              <w:t> </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87" w:right="0"/>
              <w:jc w:val="center"/>
              <w:rPr>
                <w:rFonts w:ascii="宋体" w:hAnsi="宋体" w:cs="宋体" w:eastAsia="宋体" w:hint="default"/>
                <w:sz w:val="18"/>
                <w:szCs w:val="18"/>
              </w:rPr>
            </w:pPr>
            <w:r>
              <w:rPr>
                <w:rFonts w:ascii="宋体"/>
                <w:sz w:val="18"/>
              </w:rPr>
              <w:t> </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85" w:right="0"/>
              <w:jc w:val="center"/>
              <w:rPr>
                <w:rFonts w:ascii="宋体" w:hAnsi="宋体" w:cs="宋体" w:eastAsia="宋体" w:hint="default"/>
                <w:sz w:val="18"/>
                <w:szCs w:val="18"/>
              </w:rPr>
            </w:pPr>
            <w:r>
              <w:rPr>
                <w:rFonts w:ascii="宋体"/>
                <w:sz w:val="18"/>
              </w:rPr>
              <w:t>100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设立</w:t>
            </w:r>
            <w:r>
              <w:rPr>
                <w:rFonts w:ascii="宋体" w:hAnsi="宋体" w:cs="宋体" w:eastAsia="宋体" w:hint="default"/>
                <w:sz w:val="18"/>
                <w:szCs w:val="18"/>
              </w:rPr>
              <w:t> </w:t>
            </w:r>
          </w:p>
        </w:tc>
      </w:tr>
      <w:tr>
        <w:trPr>
          <w:trHeight w:val="478" w:hRule="exact"/>
        </w:trPr>
        <w:tc>
          <w:tcPr>
            <w:tcW w:w="3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商丘市鑫炎新能源开发有限公司</w:t>
            </w:r>
            <w:r>
              <w:rPr>
                <w:rFonts w:ascii="宋体" w:hAnsi="宋体" w:cs="宋体" w:eastAsia="宋体" w:hint="default"/>
                <w:sz w:val="18"/>
                <w:szCs w:val="18"/>
              </w:rPr>
              <w:t> </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87" w:right="0"/>
              <w:jc w:val="center"/>
              <w:rPr>
                <w:rFonts w:ascii="宋体" w:hAnsi="宋体" w:cs="宋体" w:eastAsia="宋体" w:hint="default"/>
                <w:sz w:val="18"/>
                <w:szCs w:val="18"/>
              </w:rPr>
            </w:pPr>
            <w:r>
              <w:rPr>
                <w:rFonts w:ascii="宋体" w:hAnsi="宋体" w:cs="宋体" w:eastAsia="宋体" w:hint="default"/>
                <w:sz w:val="18"/>
                <w:szCs w:val="18"/>
              </w:rPr>
              <w:t>商丘</w:t>
            </w:r>
            <w:r>
              <w:rPr>
                <w:rFonts w:ascii="宋体" w:hAnsi="宋体" w:cs="宋体" w:eastAsia="宋体" w:hint="default"/>
                <w:sz w:val="18"/>
                <w:szCs w:val="18"/>
              </w:rPr>
              <w:t> </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87" w:right="0"/>
              <w:jc w:val="center"/>
              <w:rPr>
                <w:rFonts w:ascii="宋体" w:hAnsi="宋体" w:cs="宋体" w:eastAsia="宋体" w:hint="default"/>
                <w:sz w:val="18"/>
                <w:szCs w:val="18"/>
              </w:rPr>
            </w:pPr>
            <w:r>
              <w:rPr>
                <w:rFonts w:ascii="宋体" w:hAnsi="宋体" w:cs="宋体" w:eastAsia="宋体" w:hint="default"/>
                <w:sz w:val="18"/>
                <w:szCs w:val="18"/>
              </w:rPr>
              <w:t>商丘</w:t>
            </w:r>
            <w:r>
              <w:rPr>
                <w:rFonts w:ascii="宋体" w:hAnsi="宋体" w:cs="宋体" w:eastAsia="宋体" w:hint="default"/>
                <w:sz w:val="18"/>
                <w:szCs w:val="18"/>
              </w:rPr>
              <w:t> </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89" w:right="0"/>
              <w:jc w:val="center"/>
              <w:rPr>
                <w:rFonts w:ascii="宋体" w:hAnsi="宋体" w:cs="宋体" w:eastAsia="宋体" w:hint="default"/>
                <w:sz w:val="18"/>
                <w:szCs w:val="18"/>
              </w:rPr>
            </w:pPr>
            <w:r>
              <w:rPr>
                <w:rFonts w:ascii="宋体" w:hAnsi="宋体" w:cs="宋体" w:eastAsia="宋体" w:hint="default"/>
                <w:sz w:val="18"/>
                <w:szCs w:val="18"/>
              </w:rPr>
              <w:t>光伏电站</w:t>
            </w:r>
            <w:r>
              <w:rPr>
                <w:rFonts w:ascii="宋体" w:hAnsi="宋体" w:cs="宋体" w:eastAsia="宋体" w:hint="default"/>
                <w:sz w:val="18"/>
                <w:szCs w:val="18"/>
              </w:rPr>
              <w:t> </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87" w:right="0"/>
              <w:jc w:val="center"/>
              <w:rPr>
                <w:rFonts w:ascii="宋体" w:hAnsi="宋体" w:cs="宋体" w:eastAsia="宋体" w:hint="default"/>
                <w:sz w:val="18"/>
                <w:szCs w:val="18"/>
              </w:rPr>
            </w:pPr>
            <w:r>
              <w:rPr>
                <w:rFonts w:ascii="宋体"/>
                <w:sz w:val="18"/>
              </w:rPr>
              <w:t> </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85" w:right="0"/>
              <w:jc w:val="center"/>
              <w:rPr>
                <w:rFonts w:ascii="宋体" w:hAnsi="宋体" w:cs="宋体" w:eastAsia="宋体" w:hint="default"/>
                <w:sz w:val="18"/>
                <w:szCs w:val="18"/>
              </w:rPr>
            </w:pPr>
            <w:r>
              <w:rPr>
                <w:rFonts w:ascii="宋体"/>
                <w:sz w:val="18"/>
              </w:rPr>
              <w:t>100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非同一控制下企业合</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并</w:t>
            </w:r>
            <w:r>
              <w:rPr>
                <w:rFonts w:ascii="宋体" w:hAnsi="宋体" w:cs="宋体" w:eastAsia="宋体" w:hint="default"/>
                <w:sz w:val="18"/>
                <w:szCs w:val="18"/>
              </w:rPr>
              <w:t> </w:t>
            </w:r>
          </w:p>
        </w:tc>
      </w:tr>
      <w:tr>
        <w:trPr>
          <w:trHeight w:val="242" w:hRule="exact"/>
        </w:trPr>
        <w:tc>
          <w:tcPr>
            <w:tcW w:w="309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永城永阳农业科技有限公司</w:t>
            </w:r>
            <w:r>
              <w:rPr>
                <w:rFonts w:ascii="宋体" w:hAnsi="宋体" w:cs="宋体" w:eastAsia="宋体" w:hint="default"/>
                <w:sz w:val="18"/>
                <w:szCs w:val="18"/>
              </w:rPr>
              <w:t> </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7" w:right="0"/>
              <w:jc w:val="center"/>
              <w:rPr>
                <w:rFonts w:ascii="宋体" w:hAnsi="宋体" w:cs="宋体" w:eastAsia="宋体" w:hint="default"/>
                <w:sz w:val="18"/>
                <w:szCs w:val="18"/>
              </w:rPr>
            </w:pPr>
            <w:r>
              <w:rPr>
                <w:rFonts w:ascii="宋体" w:hAnsi="宋体" w:cs="宋体" w:eastAsia="宋体" w:hint="default"/>
                <w:sz w:val="18"/>
                <w:szCs w:val="18"/>
              </w:rPr>
              <w:t>永城</w:t>
            </w:r>
            <w:r>
              <w:rPr>
                <w:rFonts w:ascii="宋体" w:hAnsi="宋体" w:cs="宋体" w:eastAsia="宋体" w:hint="default"/>
                <w:sz w:val="18"/>
                <w:szCs w:val="18"/>
              </w:rPr>
              <w:t> </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7" w:right="0"/>
              <w:jc w:val="center"/>
              <w:rPr>
                <w:rFonts w:ascii="宋体" w:hAnsi="宋体" w:cs="宋体" w:eastAsia="宋体" w:hint="default"/>
                <w:sz w:val="18"/>
                <w:szCs w:val="18"/>
              </w:rPr>
            </w:pPr>
            <w:r>
              <w:rPr>
                <w:rFonts w:ascii="宋体" w:hAnsi="宋体" w:cs="宋体" w:eastAsia="宋体" w:hint="default"/>
                <w:sz w:val="18"/>
                <w:szCs w:val="18"/>
              </w:rPr>
              <w:t>永城</w:t>
            </w:r>
            <w:r>
              <w:rPr>
                <w:rFonts w:ascii="宋体" w:hAnsi="宋体" w:cs="宋体" w:eastAsia="宋体" w:hint="default"/>
                <w:sz w:val="18"/>
                <w:szCs w:val="18"/>
              </w:rPr>
              <w:t> </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9" w:right="0"/>
              <w:jc w:val="center"/>
              <w:rPr>
                <w:rFonts w:ascii="宋体" w:hAnsi="宋体" w:cs="宋体" w:eastAsia="宋体" w:hint="default"/>
                <w:sz w:val="18"/>
                <w:szCs w:val="18"/>
              </w:rPr>
            </w:pPr>
            <w:r>
              <w:rPr>
                <w:rFonts w:ascii="宋体" w:hAnsi="宋体" w:cs="宋体" w:eastAsia="宋体" w:hint="default"/>
                <w:sz w:val="18"/>
                <w:szCs w:val="18"/>
              </w:rPr>
              <w:t>光伏电站</w:t>
            </w:r>
            <w:r>
              <w:rPr>
                <w:rFonts w:ascii="宋体" w:hAnsi="宋体" w:cs="宋体" w:eastAsia="宋体" w:hint="default"/>
                <w:sz w:val="18"/>
                <w:szCs w:val="18"/>
              </w:rPr>
              <w:t> </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7" w:right="0"/>
              <w:jc w:val="center"/>
              <w:rPr>
                <w:rFonts w:ascii="宋体" w:hAnsi="宋体" w:cs="宋体" w:eastAsia="宋体" w:hint="default"/>
                <w:sz w:val="18"/>
                <w:szCs w:val="18"/>
              </w:rPr>
            </w:pPr>
            <w:r>
              <w:rPr>
                <w:rFonts w:ascii="宋体"/>
                <w:sz w:val="18"/>
              </w:rPr>
              <w:t> </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5" w:right="0"/>
              <w:jc w:val="center"/>
              <w:rPr>
                <w:rFonts w:ascii="宋体" w:hAnsi="宋体" w:cs="宋体" w:eastAsia="宋体" w:hint="default"/>
                <w:sz w:val="18"/>
                <w:szCs w:val="18"/>
              </w:rPr>
            </w:pPr>
            <w:r>
              <w:rPr>
                <w:rFonts w:ascii="宋体"/>
                <w:sz w:val="18"/>
              </w:rPr>
              <w:t>100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设立</w:t>
            </w:r>
            <w:r>
              <w:rPr>
                <w:rFonts w:ascii="宋体" w:hAnsi="宋体" w:cs="宋体" w:eastAsia="宋体" w:hint="default"/>
                <w:sz w:val="18"/>
                <w:szCs w:val="18"/>
              </w:rPr>
              <w:t> </w:t>
            </w:r>
          </w:p>
        </w:tc>
      </w:tr>
      <w:tr>
        <w:trPr>
          <w:trHeight w:val="242" w:hRule="exact"/>
        </w:trPr>
        <w:tc>
          <w:tcPr>
            <w:tcW w:w="309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山东林洋新能源科技有限公司</w:t>
            </w:r>
            <w:r>
              <w:rPr>
                <w:rFonts w:ascii="宋体" w:hAnsi="宋体" w:cs="宋体" w:eastAsia="宋体" w:hint="default"/>
                <w:sz w:val="18"/>
                <w:szCs w:val="18"/>
              </w:rPr>
              <w:t> </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7" w:right="0"/>
              <w:jc w:val="center"/>
              <w:rPr>
                <w:rFonts w:ascii="宋体" w:hAnsi="宋体" w:cs="宋体" w:eastAsia="宋体" w:hint="default"/>
                <w:sz w:val="18"/>
                <w:szCs w:val="18"/>
              </w:rPr>
            </w:pPr>
            <w:r>
              <w:rPr>
                <w:rFonts w:ascii="宋体" w:hAnsi="宋体" w:cs="宋体" w:eastAsia="宋体" w:hint="default"/>
                <w:sz w:val="18"/>
                <w:szCs w:val="18"/>
              </w:rPr>
              <w:t>济南</w:t>
            </w:r>
            <w:r>
              <w:rPr>
                <w:rFonts w:ascii="宋体" w:hAnsi="宋体" w:cs="宋体" w:eastAsia="宋体" w:hint="default"/>
                <w:sz w:val="18"/>
                <w:szCs w:val="18"/>
              </w:rPr>
              <w:t> </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7" w:right="0"/>
              <w:jc w:val="center"/>
              <w:rPr>
                <w:rFonts w:ascii="宋体" w:hAnsi="宋体" w:cs="宋体" w:eastAsia="宋体" w:hint="default"/>
                <w:sz w:val="18"/>
                <w:szCs w:val="18"/>
              </w:rPr>
            </w:pPr>
            <w:r>
              <w:rPr>
                <w:rFonts w:ascii="宋体" w:hAnsi="宋体" w:cs="宋体" w:eastAsia="宋体" w:hint="default"/>
                <w:sz w:val="18"/>
                <w:szCs w:val="18"/>
              </w:rPr>
              <w:t>济南</w:t>
            </w:r>
            <w:r>
              <w:rPr>
                <w:rFonts w:ascii="宋体" w:hAnsi="宋体" w:cs="宋体" w:eastAsia="宋体" w:hint="default"/>
                <w:sz w:val="18"/>
                <w:szCs w:val="18"/>
              </w:rPr>
              <w:t> </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9" w:right="0"/>
              <w:jc w:val="center"/>
              <w:rPr>
                <w:rFonts w:ascii="宋体" w:hAnsi="宋体" w:cs="宋体" w:eastAsia="宋体" w:hint="default"/>
                <w:sz w:val="18"/>
                <w:szCs w:val="18"/>
              </w:rPr>
            </w:pPr>
            <w:r>
              <w:rPr>
                <w:rFonts w:ascii="宋体" w:hAnsi="宋体" w:cs="宋体" w:eastAsia="宋体" w:hint="default"/>
                <w:sz w:val="18"/>
                <w:szCs w:val="18"/>
              </w:rPr>
              <w:t>光伏电站</w:t>
            </w:r>
            <w:r>
              <w:rPr>
                <w:rFonts w:ascii="宋体" w:hAnsi="宋体" w:cs="宋体" w:eastAsia="宋体" w:hint="default"/>
                <w:sz w:val="18"/>
                <w:szCs w:val="18"/>
              </w:rPr>
              <w:t> </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5" w:right="0"/>
              <w:jc w:val="center"/>
              <w:rPr>
                <w:rFonts w:ascii="宋体" w:hAnsi="宋体" w:cs="宋体" w:eastAsia="宋体" w:hint="default"/>
                <w:sz w:val="18"/>
                <w:szCs w:val="18"/>
              </w:rPr>
            </w:pPr>
            <w:r>
              <w:rPr>
                <w:rFonts w:ascii="宋体"/>
                <w:sz w:val="18"/>
              </w:rPr>
              <w:t>100 </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3" w:right="0"/>
              <w:jc w:val="center"/>
              <w:rPr>
                <w:rFonts w:ascii="宋体" w:hAnsi="宋体" w:cs="宋体" w:eastAsia="宋体" w:hint="default"/>
                <w:sz w:val="18"/>
                <w:szCs w:val="18"/>
              </w:rPr>
            </w:pPr>
            <w:r>
              <w:rPr>
                <w:rFonts w:ascii="宋体"/>
                <w:sz w:val="18"/>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设立</w:t>
            </w:r>
            <w:r>
              <w:rPr>
                <w:rFonts w:ascii="宋体" w:hAnsi="宋体" w:cs="宋体" w:eastAsia="宋体" w:hint="default"/>
                <w:sz w:val="18"/>
                <w:szCs w:val="18"/>
              </w:rPr>
              <w:t> </w:t>
            </w:r>
          </w:p>
        </w:tc>
      </w:tr>
      <w:tr>
        <w:trPr>
          <w:trHeight w:val="245" w:hRule="exact"/>
        </w:trPr>
        <w:tc>
          <w:tcPr>
            <w:tcW w:w="309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安丘晨晖光电科技有限公司</w:t>
            </w:r>
            <w:r>
              <w:rPr>
                <w:rFonts w:ascii="宋体" w:hAnsi="宋体" w:cs="宋体" w:eastAsia="宋体" w:hint="default"/>
                <w:sz w:val="18"/>
                <w:szCs w:val="18"/>
              </w:rPr>
              <w:t> </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87" w:right="0"/>
              <w:jc w:val="center"/>
              <w:rPr>
                <w:rFonts w:ascii="宋体" w:hAnsi="宋体" w:cs="宋体" w:eastAsia="宋体" w:hint="default"/>
                <w:sz w:val="18"/>
                <w:szCs w:val="18"/>
              </w:rPr>
            </w:pPr>
            <w:r>
              <w:rPr>
                <w:rFonts w:ascii="宋体" w:hAnsi="宋体" w:cs="宋体" w:eastAsia="宋体" w:hint="default"/>
                <w:sz w:val="18"/>
                <w:szCs w:val="18"/>
              </w:rPr>
              <w:t>安丘</w:t>
            </w:r>
            <w:r>
              <w:rPr>
                <w:rFonts w:ascii="宋体" w:hAnsi="宋体" w:cs="宋体" w:eastAsia="宋体" w:hint="default"/>
                <w:sz w:val="18"/>
                <w:szCs w:val="18"/>
              </w:rPr>
              <w:t> </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87" w:right="0"/>
              <w:jc w:val="center"/>
              <w:rPr>
                <w:rFonts w:ascii="宋体" w:hAnsi="宋体" w:cs="宋体" w:eastAsia="宋体" w:hint="default"/>
                <w:sz w:val="18"/>
                <w:szCs w:val="18"/>
              </w:rPr>
            </w:pPr>
            <w:r>
              <w:rPr>
                <w:rFonts w:ascii="宋体" w:hAnsi="宋体" w:cs="宋体" w:eastAsia="宋体" w:hint="default"/>
                <w:sz w:val="18"/>
                <w:szCs w:val="18"/>
              </w:rPr>
              <w:t>安丘</w:t>
            </w:r>
            <w:r>
              <w:rPr>
                <w:rFonts w:ascii="宋体" w:hAnsi="宋体" w:cs="宋体" w:eastAsia="宋体" w:hint="default"/>
                <w:sz w:val="18"/>
                <w:szCs w:val="18"/>
              </w:rPr>
              <w:t> </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89" w:right="0"/>
              <w:jc w:val="center"/>
              <w:rPr>
                <w:rFonts w:ascii="宋体" w:hAnsi="宋体" w:cs="宋体" w:eastAsia="宋体" w:hint="default"/>
                <w:sz w:val="18"/>
                <w:szCs w:val="18"/>
              </w:rPr>
            </w:pPr>
            <w:r>
              <w:rPr>
                <w:rFonts w:ascii="宋体" w:hAnsi="宋体" w:cs="宋体" w:eastAsia="宋体" w:hint="default"/>
                <w:sz w:val="18"/>
                <w:szCs w:val="18"/>
              </w:rPr>
              <w:t>光伏电站</w:t>
            </w:r>
            <w:r>
              <w:rPr>
                <w:rFonts w:ascii="宋体" w:hAnsi="宋体" w:cs="宋体" w:eastAsia="宋体" w:hint="default"/>
                <w:sz w:val="18"/>
                <w:szCs w:val="18"/>
              </w:rPr>
              <w:t> </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87" w:right="0"/>
              <w:jc w:val="center"/>
              <w:rPr>
                <w:rFonts w:ascii="宋体" w:hAnsi="宋体" w:cs="宋体" w:eastAsia="宋体" w:hint="default"/>
                <w:sz w:val="18"/>
                <w:szCs w:val="18"/>
              </w:rPr>
            </w:pPr>
            <w:r>
              <w:rPr>
                <w:rFonts w:ascii="宋体"/>
                <w:sz w:val="18"/>
              </w:rPr>
              <w:t> </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85" w:right="0"/>
              <w:jc w:val="center"/>
              <w:rPr>
                <w:rFonts w:ascii="宋体" w:hAnsi="宋体" w:cs="宋体" w:eastAsia="宋体" w:hint="default"/>
                <w:sz w:val="18"/>
                <w:szCs w:val="18"/>
              </w:rPr>
            </w:pPr>
            <w:r>
              <w:rPr>
                <w:rFonts w:ascii="宋体"/>
                <w:sz w:val="18"/>
              </w:rPr>
              <w:t>100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设立</w:t>
            </w:r>
            <w:r>
              <w:rPr>
                <w:rFonts w:ascii="宋体" w:hAnsi="宋体" w:cs="宋体" w:eastAsia="宋体" w:hint="default"/>
                <w:sz w:val="18"/>
                <w:szCs w:val="18"/>
              </w:rPr>
              <w:t> </w:t>
            </w:r>
          </w:p>
        </w:tc>
      </w:tr>
      <w:tr>
        <w:trPr>
          <w:trHeight w:val="242" w:hRule="exact"/>
        </w:trPr>
        <w:tc>
          <w:tcPr>
            <w:tcW w:w="309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安丘汇创新能源科技有限公司</w:t>
            </w:r>
            <w:r>
              <w:rPr>
                <w:rFonts w:ascii="宋体" w:hAnsi="宋体" w:cs="宋体" w:eastAsia="宋体" w:hint="default"/>
                <w:sz w:val="18"/>
                <w:szCs w:val="18"/>
              </w:rPr>
              <w:t> </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7" w:right="0"/>
              <w:jc w:val="center"/>
              <w:rPr>
                <w:rFonts w:ascii="宋体" w:hAnsi="宋体" w:cs="宋体" w:eastAsia="宋体" w:hint="default"/>
                <w:sz w:val="18"/>
                <w:szCs w:val="18"/>
              </w:rPr>
            </w:pPr>
            <w:r>
              <w:rPr>
                <w:rFonts w:ascii="宋体" w:hAnsi="宋体" w:cs="宋体" w:eastAsia="宋体" w:hint="default"/>
                <w:sz w:val="18"/>
                <w:szCs w:val="18"/>
              </w:rPr>
              <w:t>安丘</w:t>
            </w:r>
            <w:r>
              <w:rPr>
                <w:rFonts w:ascii="宋体" w:hAnsi="宋体" w:cs="宋体" w:eastAsia="宋体" w:hint="default"/>
                <w:sz w:val="18"/>
                <w:szCs w:val="18"/>
              </w:rPr>
              <w:t> </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7" w:right="0"/>
              <w:jc w:val="center"/>
              <w:rPr>
                <w:rFonts w:ascii="宋体" w:hAnsi="宋体" w:cs="宋体" w:eastAsia="宋体" w:hint="default"/>
                <w:sz w:val="18"/>
                <w:szCs w:val="18"/>
              </w:rPr>
            </w:pPr>
            <w:r>
              <w:rPr>
                <w:rFonts w:ascii="宋体" w:hAnsi="宋体" w:cs="宋体" w:eastAsia="宋体" w:hint="default"/>
                <w:sz w:val="18"/>
                <w:szCs w:val="18"/>
              </w:rPr>
              <w:t>安丘</w:t>
            </w:r>
            <w:r>
              <w:rPr>
                <w:rFonts w:ascii="宋体" w:hAnsi="宋体" w:cs="宋体" w:eastAsia="宋体" w:hint="default"/>
                <w:sz w:val="18"/>
                <w:szCs w:val="18"/>
              </w:rPr>
              <w:t> </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9" w:right="0"/>
              <w:jc w:val="center"/>
              <w:rPr>
                <w:rFonts w:ascii="宋体" w:hAnsi="宋体" w:cs="宋体" w:eastAsia="宋体" w:hint="default"/>
                <w:sz w:val="18"/>
                <w:szCs w:val="18"/>
              </w:rPr>
            </w:pPr>
            <w:r>
              <w:rPr>
                <w:rFonts w:ascii="宋体" w:hAnsi="宋体" w:cs="宋体" w:eastAsia="宋体" w:hint="default"/>
                <w:sz w:val="18"/>
                <w:szCs w:val="18"/>
              </w:rPr>
              <w:t>光伏电站</w:t>
            </w:r>
            <w:r>
              <w:rPr>
                <w:rFonts w:ascii="宋体" w:hAnsi="宋体" w:cs="宋体" w:eastAsia="宋体" w:hint="default"/>
                <w:sz w:val="18"/>
                <w:szCs w:val="18"/>
              </w:rPr>
              <w:t> </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7" w:right="0"/>
              <w:jc w:val="center"/>
              <w:rPr>
                <w:rFonts w:ascii="宋体" w:hAnsi="宋体" w:cs="宋体" w:eastAsia="宋体" w:hint="default"/>
                <w:sz w:val="18"/>
                <w:szCs w:val="18"/>
              </w:rPr>
            </w:pPr>
            <w:r>
              <w:rPr>
                <w:rFonts w:ascii="宋体"/>
                <w:sz w:val="18"/>
              </w:rPr>
              <w:t> </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5" w:right="0"/>
              <w:jc w:val="center"/>
              <w:rPr>
                <w:rFonts w:ascii="宋体" w:hAnsi="宋体" w:cs="宋体" w:eastAsia="宋体" w:hint="default"/>
                <w:sz w:val="18"/>
                <w:szCs w:val="18"/>
              </w:rPr>
            </w:pPr>
            <w:r>
              <w:rPr>
                <w:rFonts w:ascii="宋体"/>
                <w:sz w:val="18"/>
              </w:rPr>
              <w:t>100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设立</w:t>
            </w:r>
            <w:r>
              <w:rPr>
                <w:rFonts w:ascii="宋体" w:hAnsi="宋体" w:cs="宋体" w:eastAsia="宋体" w:hint="default"/>
                <w:sz w:val="18"/>
                <w:szCs w:val="18"/>
              </w:rPr>
              <w:t> </w:t>
            </w:r>
          </w:p>
        </w:tc>
      </w:tr>
      <w:tr>
        <w:trPr>
          <w:trHeight w:val="245" w:hRule="exact"/>
        </w:trPr>
        <w:tc>
          <w:tcPr>
            <w:tcW w:w="309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安丘永旭光电科技有限公司</w:t>
            </w:r>
            <w:r>
              <w:rPr>
                <w:rFonts w:ascii="宋体" w:hAnsi="宋体" w:cs="宋体" w:eastAsia="宋体" w:hint="default"/>
                <w:sz w:val="18"/>
                <w:szCs w:val="18"/>
              </w:rPr>
              <w:t> </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7" w:right="0"/>
              <w:jc w:val="center"/>
              <w:rPr>
                <w:rFonts w:ascii="宋体" w:hAnsi="宋体" w:cs="宋体" w:eastAsia="宋体" w:hint="default"/>
                <w:sz w:val="18"/>
                <w:szCs w:val="18"/>
              </w:rPr>
            </w:pPr>
            <w:r>
              <w:rPr>
                <w:rFonts w:ascii="宋体" w:hAnsi="宋体" w:cs="宋体" w:eastAsia="宋体" w:hint="default"/>
                <w:sz w:val="18"/>
                <w:szCs w:val="18"/>
              </w:rPr>
              <w:t>安丘</w:t>
            </w:r>
            <w:r>
              <w:rPr>
                <w:rFonts w:ascii="宋体" w:hAnsi="宋体" w:cs="宋体" w:eastAsia="宋体" w:hint="default"/>
                <w:sz w:val="18"/>
                <w:szCs w:val="18"/>
              </w:rPr>
              <w:t> </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7" w:right="0"/>
              <w:jc w:val="center"/>
              <w:rPr>
                <w:rFonts w:ascii="宋体" w:hAnsi="宋体" w:cs="宋体" w:eastAsia="宋体" w:hint="default"/>
                <w:sz w:val="18"/>
                <w:szCs w:val="18"/>
              </w:rPr>
            </w:pPr>
            <w:r>
              <w:rPr>
                <w:rFonts w:ascii="宋体" w:hAnsi="宋体" w:cs="宋体" w:eastAsia="宋体" w:hint="default"/>
                <w:sz w:val="18"/>
                <w:szCs w:val="18"/>
              </w:rPr>
              <w:t>安丘</w:t>
            </w:r>
            <w:r>
              <w:rPr>
                <w:rFonts w:ascii="宋体" w:hAnsi="宋体" w:cs="宋体" w:eastAsia="宋体" w:hint="default"/>
                <w:sz w:val="18"/>
                <w:szCs w:val="18"/>
              </w:rPr>
              <w:t> </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9" w:right="0"/>
              <w:jc w:val="center"/>
              <w:rPr>
                <w:rFonts w:ascii="宋体" w:hAnsi="宋体" w:cs="宋体" w:eastAsia="宋体" w:hint="default"/>
                <w:sz w:val="18"/>
                <w:szCs w:val="18"/>
              </w:rPr>
            </w:pPr>
            <w:r>
              <w:rPr>
                <w:rFonts w:ascii="宋体" w:hAnsi="宋体" w:cs="宋体" w:eastAsia="宋体" w:hint="default"/>
                <w:sz w:val="18"/>
                <w:szCs w:val="18"/>
              </w:rPr>
              <w:t>光伏电站</w:t>
            </w:r>
            <w:r>
              <w:rPr>
                <w:rFonts w:ascii="宋体" w:hAnsi="宋体" w:cs="宋体" w:eastAsia="宋体" w:hint="default"/>
                <w:sz w:val="18"/>
                <w:szCs w:val="18"/>
              </w:rPr>
              <w:t> </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7" w:right="0"/>
              <w:jc w:val="center"/>
              <w:rPr>
                <w:rFonts w:ascii="宋体" w:hAnsi="宋体" w:cs="宋体" w:eastAsia="宋体" w:hint="default"/>
                <w:sz w:val="18"/>
                <w:szCs w:val="18"/>
              </w:rPr>
            </w:pPr>
            <w:r>
              <w:rPr>
                <w:rFonts w:ascii="宋体"/>
                <w:sz w:val="18"/>
              </w:rPr>
              <w:t> </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5" w:right="0"/>
              <w:jc w:val="center"/>
              <w:rPr>
                <w:rFonts w:ascii="宋体" w:hAnsi="宋体" w:cs="宋体" w:eastAsia="宋体" w:hint="default"/>
                <w:sz w:val="18"/>
                <w:szCs w:val="18"/>
              </w:rPr>
            </w:pPr>
            <w:r>
              <w:rPr>
                <w:rFonts w:ascii="宋体"/>
                <w:sz w:val="18"/>
              </w:rPr>
              <w:t>100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设立</w:t>
            </w:r>
            <w:r>
              <w:rPr>
                <w:rFonts w:ascii="宋体" w:hAnsi="宋体" w:cs="宋体" w:eastAsia="宋体" w:hint="default"/>
                <w:sz w:val="18"/>
                <w:szCs w:val="18"/>
              </w:rPr>
              <w:t> </w:t>
            </w:r>
          </w:p>
        </w:tc>
      </w:tr>
      <w:tr>
        <w:trPr>
          <w:trHeight w:val="243" w:hRule="exact"/>
        </w:trPr>
        <w:tc>
          <w:tcPr>
            <w:tcW w:w="309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德州市华耀光电科技有限公司</w:t>
            </w:r>
            <w:r>
              <w:rPr>
                <w:rFonts w:ascii="宋体" w:hAnsi="宋体" w:cs="宋体" w:eastAsia="宋体" w:hint="default"/>
                <w:sz w:val="18"/>
                <w:szCs w:val="18"/>
              </w:rPr>
              <w:t> </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87" w:right="0"/>
              <w:jc w:val="center"/>
              <w:rPr>
                <w:rFonts w:ascii="宋体" w:hAnsi="宋体" w:cs="宋体" w:eastAsia="宋体" w:hint="default"/>
                <w:sz w:val="18"/>
                <w:szCs w:val="18"/>
              </w:rPr>
            </w:pPr>
            <w:r>
              <w:rPr>
                <w:rFonts w:ascii="宋体" w:hAnsi="宋体" w:cs="宋体" w:eastAsia="宋体" w:hint="default"/>
                <w:sz w:val="18"/>
                <w:szCs w:val="18"/>
              </w:rPr>
              <w:t>德州</w:t>
            </w:r>
            <w:r>
              <w:rPr>
                <w:rFonts w:ascii="宋体" w:hAnsi="宋体" w:cs="宋体" w:eastAsia="宋体" w:hint="default"/>
                <w:sz w:val="18"/>
                <w:szCs w:val="18"/>
              </w:rPr>
              <w:t> </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87" w:right="0"/>
              <w:jc w:val="center"/>
              <w:rPr>
                <w:rFonts w:ascii="宋体" w:hAnsi="宋体" w:cs="宋体" w:eastAsia="宋体" w:hint="default"/>
                <w:sz w:val="18"/>
                <w:szCs w:val="18"/>
              </w:rPr>
            </w:pPr>
            <w:r>
              <w:rPr>
                <w:rFonts w:ascii="宋体" w:hAnsi="宋体" w:cs="宋体" w:eastAsia="宋体" w:hint="default"/>
                <w:sz w:val="18"/>
                <w:szCs w:val="18"/>
              </w:rPr>
              <w:t>德州</w:t>
            </w:r>
            <w:r>
              <w:rPr>
                <w:rFonts w:ascii="宋体" w:hAnsi="宋体" w:cs="宋体" w:eastAsia="宋体" w:hint="default"/>
                <w:sz w:val="18"/>
                <w:szCs w:val="18"/>
              </w:rPr>
              <w:t> </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89" w:right="0"/>
              <w:jc w:val="center"/>
              <w:rPr>
                <w:rFonts w:ascii="宋体" w:hAnsi="宋体" w:cs="宋体" w:eastAsia="宋体" w:hint="default"/>
                <w:sz w:val="18"/>
                <w:szCs w:val="18"/>
              </w:rPr>
            </w:pPr>
            <w:r>
              <w:rPr>
                <w:rFonts w:ascii="宋体" w:hAnsi="宋体" w:cs="宋体" w:eastAsia="宋体" w:hint="default"/>
                <w:sz w:val="18"/>
                <w:szCs w:val="18"/>
              </w:rPr>
              <w:t>光伏电站</w:t>
            </w:r>
            <w:r>
              <w:rPr>
                <w:rFonts w:ascii="宋体" w:hAnsi="宋体" w:cs="宋体" w:eastAsia="宋体" w:hint="default"/>
                <w:sz w:val="18"/>
                <w:szCs w:val="18"/>
              </w:rPr>
              <w:t> </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87" w:right="0"/>
              <w:jc w:val="center"/>
              <w:rPr>
                <w:rFonts w:ascii="宋体" w:hAnsi="宋体" w:cs="宋体" w:eastAsia="宋体" w:hint="default"/>
                <w:sz w:val="18"/>
                <w:szCs w:val="18"/>
              </w:rPr>
            </w:pPr>
            <w:r>
              <w:rPr>
                <w:rFonts w:ascii="宋体"/>
                <w:sz w:val="18"/>
              </w:rPr>
              <w:t> </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85" w:right="0"/>
              <w:jc w:val="center"/>
              <w:rPr>
                <w:rFonts w:ascii="宋体" w:hAnsi="宋体" w:cs="宋体" w:eastAsia="宋体" w:hint="default"/>
                <w:sz w:val="18"/>
                <w:szCs w:val="18"/>
              </w:rPr>
            </w:pPr>
            <w:r>
              <w:rPr>
                <w:rFonts w:ascii="宋体"/>
                <w:sz w:val="18"/>
              </w:rPr>
              <w:t>100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设立</w:t>
            </w:r>
            <w:r>
              <w:rPr>
                <w:rFonts w:ascii="宋体" w:hAnsi="宋体" w:cs="宋体" w:eastAsia="宋体" w:hint="default"/>
                <w:sz w:val="18"/>
                <w:szCs w:val="18"/>
              </w:rPr>
              <w:t> </w:t>
            </w:r>
          </w:p>
        </w:tc>
      </w:tr>
      <w:tr>
        <w:trPr>
          <w:trHeight w:val="245" w:hRule="exact"/>
        </w:trPr>
        <w:tc>
          <w:tcPr>
            <w:tcW w:w="309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德州永创新能源有限公司</w:t>
            </w:r>
            <w:r>
              <w:rPr>
                <w:rFonts w:ascii="宋体" w:hAnsi="宋体" w:cs="宋体" w:eastAsia="宋体" w:hint="default"/>
                <w:sz w:val="18"/>
                <w:szCs w:val="18"/>
              </w:rPr>
              <w:t> </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7" w:right="0"/>
              <w:jc w:val="center"/>
              <w:rPr>
                <w:rFonts w:ascii="宋体" w:hAnsi="宋体" w:cs="宋体" w:eastAsia="宋体" w:hint="default"/>
                <w:sz w:val="18"/>
                <w:szCs w:val="18"/>
              </w:rPr>
            </w:pPr>
            <w:r>
              <w:rPr>
                <w:rFonts w:ascii="宋体" w:hAnsi="宋体" w:cs="宋体" w:eastAsia="宋体" w:hint="default"/>
                <w:sz w:val="18"/>
                <w:szCs w:val="18"/>
              </w:rPr>
              <w:t>德州</w:t>
            </w:r>
            <w:r>
              <w:rPr>
                <w:rFonts w:ascii="宋体" w:hAnsi="宋体" w:cs="宋体" w:eastAsia="宋体" w:hint="default"/>
                <w:sz w:val="18"/>
                <w:szCs w:val="18"/>
              </w:rPr>
              <w:t> </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7" w:right="0"/>
              <w:jc w:val="center"/>
              <w:rPr>
                <w:rFonts w:ascii="宋体" w:hAnsi="宋体" w:cs="宋体" w:eastAsia="宋体" w:hint="default"/>
                <w:sz w:val="18"/>
                <w:szCs w:val="18"/>
              </w:rPr>
            </w:pPr>
            <w:r>
              <w:rPr>
                <w:rFonts w:ascii="宋体" w:hAnsi="宋体" w:cs="宋体" w:eastAsia="宋体" w:hint="default"/>
                <w:sz w:val="18"/>
                <w:szCs w:val="18"/>
              </w:rPr>
              <w:t>德州</w:t>
            </w:r>
            <w:r>
              <w:rPr>
                <w:rFonts w:ascii="宋体" w:hAnsi="宋体" w:cs="宋体" w:eastAsia="宋体" w:hint="default"/>
                <w:sz w:val="18"/>
                <w:szCs w:val="18"/>
              </w:rPr>
              <w:t> </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9" w:right="0"/>
              <w:jc w:val="center"/>
              <w:rPr>
                <w:rFonts w:ascii="宋体" w:hAnsi="宋体" w:cs="宋体" w:eastAsia="宋体" w:hint="default"/>
                <w:sz w:val="18"/>
                <w:szCs w:val="18"/>
              </w:rPr>
            </w:pPr>
            <w:r>
              <w:rPr>
                <w:rFonts w:ascii="宋体" w:hAnsi="宋体" w:cs="宋体" w:eastAsia="宋体" w:hint="default"/>
                <w:sz w:val="18"/>
                <w:szCs w:val="18"/>
              </w:rPr>
              <w:t>光伏电站</w:t>
            </w:r>
            <w:r>
              <w:rPr>
                <w:rFonts w:ascii="宋体" w:hAnsi="宋体" w:cs="宋体" w:eastAsia="宋体" w:hint="default"/>
                <w:sz w:val="18"/>
                <w:szCs w:val="18"/>
              </w:rPr>
              <w:t> </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7" w:right="0"/>
              <w:jc w:val="center"/>
              <w:rPr>
                <w:rFonts w:ascii="宋体" w:hAnsi="宋体" w:cs="宋体" w:eastAsia="宋体" w:hint="default"/>
                <w:sz w:val="18"/>
                <w:szCs w:val="18"/>
              </w:rPr>
            </w:pPr>
            <w:r>
              <w:rPr>
                <w:rFonts w:ascii="宋体"/>
                <w:sz w:val="18"/>
              </w:rPr>
              <w:t> </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5" w:right="0"/>
              <w:jc w:val="center"/>
              <w:rPr>
                <w:rFonts w:ascii="宋体" w:hAnsi="宋体" w:cs="宋体" w:eastAsia="宋体" w:hint="default"/>
                <w:sz w:val="18"/>
                <w:szCs w:val="18"/>
              </w:rPr>
            </w:pPr>
            <w:r>
              <w:rPr>
                <w:rFonts w:ascii="宋体"/>
                <w:sz w:val="18"/>
              </w:rPr>
              <w:t>100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设立</w:t>
            </w:r>
            <w:r>
              <w:rPr>
                <w:rFonts w:ascii="宋体" w:hAnsi="宋体" w:cs="宋体" w:eastAsia="宋体" w:hint="default"/>
                <w:sz w:val="18"/>
                <w:szCs w:val="18"/>
              </w:rPr>
              <w:t> </w:t>
            </w:r>
          </w:p>
        </w:tc>
      </w:tr>
      <w:tr>
        <w:trPr>
          <w:trHeight w:val="475" w:hRule="exact"/>
        </w:trPr>
        <w:tc>
          <w:tcPr>
            <w:tcW w:w="3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0"/>
              <w:jc w:val="left"/>
              <w:rPr>
                <w:rFonts w:ascii="宋体" w:hAnsi="宋体" w:cs="宋体" w:eastAsia="宋体" w:hint="default"/>
                <w:sz w:val="18"/>
                <w:szCs w:val="18"/>
              </w:rPr>
            </w:pPr>
            <w:r>
              <w:rPr>
                <w:rFonts w:ascii="宋体" w:hAnsi="宋体" w:cs="宋体" w:eastAsia="宋体" w:hint="default"/>
                <w:sz w:val="18"/>
                <w:szCs w:val="18"/>
              </w:rPr>
              <w:t>东营三力光伏发电有限公司</w:t>
            </w:r>
            <w:r>
              <w:rPr>
                <w:rFonts w:ascii="宋体" w:hAnsi="宋体" w:cs="宋体" w:eastAsia="宋体" w:hint="default"/>
                <w:sz w:val="18"/>
                <w:szCs w:val="18"/>
              </w:rPr>
              <w:t> </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87" w:right="0"/>
              <w:jc w:val="center"/>
              <w:rPr>
                <w:rFonts w:ascii="宋体" w:hAnsi="宋体" w:cs="宋体" w:eastAsia="宋体" w:hint="default"/>
                <w:sz w:val="18"/>
                <w:szCs w:val="18"/>
              </w:rPr>
            </w:pPr>
            <w:r>
              <w:rPr>
                <w:rFonts w:ascii="宋体" w:hAnsi="宋体" w:cs="宋体" w:eastAsia="宋体" w:hint="default"/>
                <w:sz w:val="18"/>
                <w:szCs w:val="18"/>
              </w:rPr>
              <w:t>东营</w:t>
            </w:r>
            <w:r>
              <w:rPr>
                <w:rFonts w:ascii="宋体" w:hAnsi="宋体" w:cs="宋体" w:eastAsia="宋体" w:hint="default"/>
                <w:sz w:val="18"/>
                <w:szCs w:val="18"/>
              </w:rPr>
              <w:t> </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87" w:right="0"/>
              <w:jc w:val="center"/>
              <w:rPr>
                <w:rFonts w:ascii="宋体" w:hAnsi="宋体" w:cs="宋体" w:eastAsia="宋体" w:hint="default"/>
                <w:sz w:val="18"/>
                <w:szCs w:val="18"/>
              </w:rPr>
            </w:pPr>
            <w:r>
              <w:rPr>
                <w:rFonts w:ascii="宋体" w:hAnsi="宋体" w:cs="宋体" w:eastAsia="宋体" w:hint="default"/>
                <w:sz w:val="18"/>
                <w:szCs w:val="18"/>
              </w:rPr>
              <w:t>东营</w:t>
            </w:r>
            <w:r>
              <w:rPr>
                <w:rFonts w:ascii="宋体" w:hAnsi="宋体" w:cs="宋体" w:eastAsia="宋体" w:hint="default"/>
                <w:sz w:val="18"/>
                <w:szCs w:val="18"/>
              </w:rPr>
              <w:t> </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89" w:right="0"/>
              <w:jc w:val="center"/>
              <w:rPr>
                <w:rFonts w:ascii="宋体" w:hAnsi="宋体" w:cs="宋体" w:eastAsia="宋体" w:hint="default"/>
                <w:sz w:val="18"/>
                <w:szCs w:val="18"/>
              </w:rPr>
            </w:pPr>
            <w:r>
              <w:rPr>
                <w:rFonts w:ascii="宋体" w:hAnsi="宋体" w:cs="宋体" w:eastAsia="宋体" w:hint="default"/>
                <w:sz w:val="18"/>
                <w:szCs w:val="18"/>
              </w:rPr>
              <w:t>光伏电站</w:t>
            </w:r>
            <w:r>
              <w:rPr>
                <w:rFonts w:ascii="宋体" w:hAnsi="宋体" w:cs="宋体" w:eastAsia="宋体" w:hint="default"/>
                <w:sz w:val="18"/>
                <w:szCs w:val="18"/>
              </w:rPr>
              <w:t> </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87" w:right="0"/>
              <w:jc w:val="center"/>
              <w:rPr>
                <w:rFonts w:ascii="宋体" w:hAnsi="宋体" w:cs="宋体" w:eastAsia="宋体" w:hint="default"/>
                <w:sz w:val="18"/>
                <w:szCs w:val="18"/>
              </w:rPr>
            </w:pPr>
            <w:r>
              <w:rPr>
                <w:rFonts w:ascii="宋体"/>
                <w:sz w:val="18"/>
              </w:rPr>
              <w:t> </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85" w:right="0"/>
              <w:jc w:val="center"/>
              <w:rPr>
                <w:rFonts w:ascii="宋体" w:hAnsi="宋体" w:cs="宋体" w:eastAsia="宋体" w:hint="default"/>
                <w:sz w:val="18"/>
                <w:szCs w:val="18"/>
              </w:rPr>
            </w:pPr>
            <w:r>
              <w:rPr>
                <w:rFonts w:ascii="宋体"/>
                <w:sz w:val="18"/>
              </w:rPr>
              <w:t>100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非同一控制下企业合</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并</w:t>
            </w:r>
            <w:r>
              <w:rPr>
                <w:rFonts w:ascii="宋体" w:hAnsi="宋体" w:cs="宋体" w:eastAsia="宋体" w:hint="default"/>
                <w:sz w:val="18"/>
                <w:szCs w:val="18"/>
              </w:rPr>
              <w:t> </w:t>
            </w:r>
          </w:p>
        </w:tc>
      </w:tr>
      <w:tr>
        <w:trPr>
          <w:trHeight w:val="478" w:hRule="exact"/>
        </w:trPr>
        <w:tc>
          <w:tcPr>
            <w:tcW w:w="3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东营市津禾光伏有限公司</w:t>
            </w:r>
            <w:r>
              <w:rPr>
                <w:rFonts w:ascii="宋体" w:hAnsi="宋体" w:cs="宋体" w:eastAsia="宋体" w:hint="default"/>
                <w:sz w:val="18"/>
                <w:szCs w:val="18"/>
              </w:rPr>
              <w:t> </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87" w:right="0"/>
              <w:jc w:val="center"/>
              <w:rPr>
                <w:rFonts w:ascii="宋体" w:hAnsi="宋体" w:cs="宋体" w:eastAsia="宋体" w:hint="default"/>
                <w:sz w:val="18"/>
                <w:szCs w:val="18"/>
              </w:rPr>
            </w:pPr>
            <w:r>
              <w:rPr>
                <w:rFonts w:ascii="宋体" w:hAnsi="宋体" w:cs="宋体" w:eastAsia="宋体" w:hint="default"/>
                <w:sz w:val="18"/>
                <w:szCs w:val="18"/>
              </w:rPr>
              <w:t>东营</w:t>
            </w:r>
            <w:r>
              <w:rPr>
                <w:rFonts w:ascii="宋体" w:hAnsi="宋体" w:cs="宋体" w:eastAsia="宋体" w:hint="default"/>
                <w:sz w:val="18"/>
                <w:szCs w:val="18"/>
              </w:rPr>
              <w:t> </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87" w:right="0"/>
              <w:jc w:val="center"/>
              <w:rPr>
                <w:rFonts w:ascii="宋体" w:hAnsi="宋体" w:cs="宋体" w:eastAsia="宋体" w:hint="default"/>
                <w:sz w:val="18"/>
                <w:szCs w:val="18"/>
              </w:rPr>
            </w:pPr>
            <w:r>
              <w:rPr>
                <w:rFonts w:ascii="宋体" w:hAnsi="宋体" w:cs="宋体" w:eastAsia="宋体" w:hint="default"/>
                <w:sz w:val="18"/>
                <w:szCs w:val="18"/>
              </w:rPr>
              <w:t>东营</w:t>
            </w:r>
            <w:r>
              <w:rPr>
                <w:rFonts w:ascii="宋体" w:hAnsi="宋体" w:cs="宋体" w:eastAsia="宋体" w:hint="default"/>
                <w:sz w:val="18"/>
                <w:szCs w:val="18"/>
              </w:rPr>
              <w:t> </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89" w:right="0"/>
              <w:jc w:val="center"/>
              <w:rPr>
                <w:rFonts w:ascii="宋体" w:hAnsi="宋体" w:cs="宋体" w:eastAsia="宋体" w:hint="default"/>
                <w:sz w:val="18"/>
                <w:szCs w:val="18"/>
              </w:rPr>
            </w:pPr>
            <w:r>
              <w:rPr>
                <w:rFonts w:ascii="宋体" w:hAnsi="宋体" w:cs="宋体" w:eastAsia="宋体" w:hint="default"/>
                <w:sz w:val="18"/>
                <w:szCs w:val="18"/>
              </w:rPr>
              <w:t>光伏电站</w:t>
            </w:r>
            <w:r>
              <w:rPr>
                <w:rFonts w:ascii="宋体" w:hAnsi="宋体" w:cs="宋体" w:eastAsia="宋体" w:hint="default"/>
                <w:sz w:val="18"/>
                <w:szCs w:val="18"/>
              </w:rPr>
              <w:t> </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87" w:right="0"/>
              <w:jc w:val="center"/>
              <w:rPr>
                <w:rFonts w:ascii="宋体" w:hAnsi="宋体" w:cs="宋体" w:eastAsia="宋体" w:hint="default"/>
                <w:sz w:val="18"/>
                <w:szCs w:val="18"/>
              </w:rPr>
            </w:pPr>
            <w:r>
              <w:rPr>
                <w:rFonts w:ascii="宋体"/>
                <w:sz w:val="18"/>
              </w:rPr>
              <w:t> </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85" w:right="0"/>
              <w:jc w:val="center"/>
              <w:rPr>
                <w:rFonts w:ascii="宋体" w:hAnsi="宋体" w:cs="宋体" w:eastAsia="宋体" w:hint="default"/>
                <w:sz w:val="18"/>
                <w:szCs w:val="18"/>
              </w:rPr>
            </w:pPr>
            <w:r>
              <w:rPr>
                <w:rFonts w:ascii="宋体"/>
                <w:sz w:val="18"/>
              </w:rPr>
              <w:t>100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非同一控制下企业合</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并</w:t>
            </w:r>
            <w:r>
              <w:rPr>
                <w:rFonts w:ascii="宋体" w:hAnsi="宋体" w:cs="宋体" w:eastAsia="宋体" w:hint="default"/>
                <w:sz w:val="18"/>
                <w:szCs w:val="18"/>
              </w:rPr>
              <w:t> </w:t>
            </w:r>
          </w:p>
        </w:tc>
      </w:tr>
      <w:tr>
        <w:trPr>
          <w:trHeight w:val="242" w:hRule="exact"/>
        </w:trPr>
        <w:tc>
          <w:tcPr>
            <w:tcW w:w="309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东营华创新能源有限公司</w:t>
            </w:r>
            <w:r>
              <w:rPr>
                <w:rFonts w:ascii="宋体" w:hAnsi="宋体" w:cs="宋体" w:eastAsia="宋体" w:hint="default"/>
                <w:sz w:val="18"/>
                <w:szCs w:val="18"/>
              </w:rPr>
              <w:t> </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7" w:right="0"/>
              <w:jc w:val="center"/>
              <w:rPr>
                <w:rFonts w:ascii="宋体" w:hAnsi="宋体" w:cs="宋体" w:eastAsia="宋体" w:hint="default"/>
                <w:sz w:val="18"/>
                <w:szCs w:val="18"/>
              </w:rPr>
            </w:pPr>
            <w:r>
              <w:rPr>
                <w:rFonts w:ascii="宋体" w:hAnsi="宋体" w:cs="宋体" w:eastAsia="宋体" w:hint="default"/>
                <w:sz w:val="18"/>
                <w:szCs w:val="18"/>
              </w:rPr>
              <w:t>东营</w:t>
            </w:r>
            <w:r>
              <w:rPr>
                <w:rFonts w:ascii="宋体" w:hAnsi="宋体" w:cs="宋体" w:eastAsia="宋体" w:hint="default"/>
                <w:sz w:val="18"/>
                <w:szCs w:val="18"/>
              </w:rPr>
              <w:t> </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7" w:right="0"/>
              <w:jc w:val="center"/>
              <w:rPr>
                <w:rFonts w:ascii="宋体" w:hAnsi="宋体" w:cs="宋体" w:eastAsia="宋体" w:hint="default"/>
                <w:sz w:val="18"/>
                <w:szCs w:val="18"/>
              </w:rPr>
            </w:pPr>
            <w:r>
              <w:rPr>
                <w:rFonts w:ascii="宋体" w:hAnsi="宋体" w:cs="宋体" w:eastAsia="宋体" w:hint="default"/>
                <w:sz w:val="18"/>
                <w:szCs w:val="18"/>
              </w:rPr>
              <w:t>东营</w:t>
            </w:r>
            <w:r>
              <w:rPr>
                <w:rFonts w:ascii="宋体" w:hAnsi="宋体" w:cs="宋体" w:eastAsia="宋体" w:hint="default"/>
                <w:sz w:val="18"/>
                <w:szCs w:val="18"/>
              </w:rPr>
              <w:t> </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9" w:right="0"/>
              <w:jc w:val="center"/>
              <w:rPr>
                <w:rFonts w:ascii="宋体" w:hAnsi="宋体" w:cs="宋体" w:eastAsia="宋体" w:hint="default"/>
                <w:sz w:val="18"/>
                <w:szCs w:val="18"/>
              </w:rPr>
            </w:pPr>
            <w:r>
              <w:rPr>
                <w:rFonts w:ascii="宋体" w:hAnsi="宋体" w:cs="宋体" w:eastAsia="宋体" w:hint="default"/>
                <w:sz w:val="18"/>
                <w:szCs w:val="18"/>
              </w:rPr>
              <w:t>光伏电站</w:t>
            </w:r>
            <w:r>
              <w:rPr>
                <w:rFonts w:ascii="宋体" w:hAnsi="宋体" w:cs="宋体" w:eastAsia="宋体" w:hint="default"/>
                <w:sz w:val="18"/>
                <w:szCs w:val="18"/>
              </w:rPr>
              <w:t> </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7" w:right="0"/>
              <w:jc w:val="center"/>
              <w:rPr>
                <w:rFonts w:ascii="宋体" w:hAnsi="宋体" w:cs="宋体" w:eastAsia="宋体" w:hint="default"/>
                <w:sz w:val="18"/>
                <w:szCs w:val="18"/>
              </w:rPr>
            </w:pPr>
            <w:r>
              <w:rPr>
                <w:rFonts w:ascii="宋体"/>
                <w:sz w:val="18"/>
              </w:rPr>
              <w:t> </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5" w:right="0"/>
              <w:jc w:val="center"/>
              <w:rPr>
                <w:rFonts w:ascii="宋体" w:hAnsi="宋体" w:cs="宋体" w:eastAsia="宋体" w:hint="default"/>
                <w:sz w:val="18"/>
                <w:szCs w:val="18"/>
              </w:rPr>
            </w:pPr>
            <w:r>
              <w:rPr>
                <w:rFonts w:ascii="宋体"/>
                <w:sz w:val="18"/>
              </w:rPr>
              <w:t>100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设立</w:t>
            </w:r>
            <w:r>
              <w:rPr>
                <w:rFonts w:ascii="宋体" w:hAnsi="宋体" w:cs="宋体" w:eastAsia="宋体" w:hint="default"/>
                <w:sz w:val="18"/>
                <w:szCs w:val="18"/>
              </w:rPr>
              <w:t> </w:t>
            </w:r>
          </w:p>
        </w:tc>
      </w:tr>
      <w:tr>
        <w:trPr>
          <w:trHeight w:val="245" w:hRule="exact"/>
        </w:trPr>
        <w:tc>
          <w:tcPr>
            <w:tcW w:w="309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东营永洋光伏发电有限公司</w:t>
            </w:r>
            <w:r>
              <w:rPr>
                <w:rFonts w:ascii="宋体" w:hAnsi="宋体" w:cs="宋体" w:eastAsia="宋体" w:hint="default"/>
                <w:sz w:val="18"/>
                <w:szCs w:val="18"/>
              </w:rPr>
              <w:t> </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87" w:right="0"/>
              <w:jc w:val="center"/>
              <w:rPr>
                <w:rFonts w:ascii="宋体" w:hAnsi="宋体" w:cs="宋体" w:eastAsia="宋体" w:hint="default"/>
                <w:sz w:val="18"/>
                <w:szCs w:val="18"/>
              </w:rPr>
            </w:pPr>
            <w:r>
              <w:rPr>
                <w:rFonts w:ascii="宋体" w:hAnsi="宋体" w:cs="宋体" w:eastAsia="宋体" w:hint="default"/>
                <w:sz w:val="18"/>
                <w:szCs w:val="18"/>
              </w:rPr>
              <w:t>东营</w:t>
            </w:r>
            <w:r>
              <w:rPr>
                <w:rFonts w:ascii="宋体" w:hAnsi="宋体" w:cs="宋体" w:eastAsia="宋体" w:hint="default"/>
                <w:sz w:val="18"/>
                <w:szCs w:val="18"/>
              </w:rPr>
              <w:t> </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87" w:right="0"/>
              <w:jc w:val="center"/>
              <w:rPr>
                <w:rFonts w:ascii="宋体" w:hAnsi="宋体" w:cs="宋体" w:eastAsia="宋体" w:hint="default"/>
                <w:sz w:val="18"/>
                <w:szCs w:val="18"/>
              </w:rPr>
            </w:pPr>
            <w:r>
              <w:rPr>
                <w:rFonts w:ascii="宋体" w:hAnsi="宋体" w:cs="宋体" w:eastAsia="宋体" w:hint="default"/>
                <w:sz w:val="18"/>
                <w:szCs w:val="18"/>
              </w:rPr>
              <w:t>东营</w:t>
            </w:r>
            <w:r>
              <w:rPr>
                <w:rFonts w:ascii="宋体" w:hAnsi="宋体" w:cs="宋体" w:eastAsia="宋体" w:hint="default"/>
                <w:sz w:val="18"/>
                <w:szCs w:val="18"/>
              </w:rPr>
              <w:t> </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89" w:right="0"/>
              <w:jc w:val="center"/>
              <w:rPr>
                <w:rFonts w:ascii="宋体" w:hAnsi="宋体" w:cs="宋体" w:eastAsia="宋体" w:hint="default"/>
                <w:sz w:val="18"/>
                <w:szCs w:val="18"/>
              </w:rPr>
            </w:pPr>
            <w:r>
              <w:rPr>
                <w:rFonts w:ascii="宋体" w:hAnsi="宋体" w:cs="宋体" w:eastAsia="宋体" w:hint="default"/>
                <w:sz w:val="18"/>
                <w:szCs w:val="18"/>
              </w:rPr>
              <w:t>光伏电站</w:t>
            </w:r>
            <w:r>
              <w:rPr>
                <w:rFonts w:ascii="宋体" w:hAnsi="宋体" w:cs="宋体" w:eastAsia="宋体" w:hint="default"/>
                <w:sz w:val="18"/>
                <w:szCs w:val="18"/>
              </w:rPr>
              <w:t> </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87" w:right="0"/>
              <w:jc w:val="center"/>
              <w:rPr>
                <w:rFonts w:ascii="宋体" w:hAnsi="宋体" w:cs="宋体" w:eastAsia="宋体" w:hint="default"/>
                <w:sz w:val="18"/>
                <w:szCs w:val="18"/>
              </w:rPr>
            </w:pPr>
            <w:r>
              <w:rPr>
                <w:rFonts w:ascii="宋体"/>
                <w:sz w:val="18"/>
              </w:rPr>
              <w:t> </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85" w:right="0"/>
              <w:jc w:val="center"/>
              <w:rPr>
                <w:rFonts w:ascii="宋体" w:hAnsi="宋体" w:cs="宋体" w:eastAsia="宋体" w:hint="default"/>
                <w:sz w:val="18"/>
                <w:szCs w:val="18"/>
              </w:rPr>
            </w:pPr>
            <w:r>
              <w:rPr>
                <w:rFonts w:ascii="宋体"/>
                <w:sz w:val="18"/>
              </w:rPr>
              <w:t>100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设立</w:t>
            </w:r>
            <w:r>
              <w:rPr>
                <w:rFonts w:ascii="宋体" w:hAnsi="宋体" w:cs="宋体" w:eastAsia="宋体" w:hint="default"/>
                <w:sz w:val="18"/>
                <w:szCs w:val="18"/>
              </w:rPr>
              <w:t> </w:t>
            </w:r>
          </w:p>
        </w:tc>
      </w:tr>
      <w:tr>
        <w:trPr>
          <w:trHeight w:val="242" w:hRule="exact"/>
        </w:trPr>
        <w:tc>
          <w:tcPr>
            <w:tcW w:w="309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冠县华博农业科技有限公司</w:t>
            </w:r>
            <w:r>
              <w:rPr>
                <w:rFonts w:ascii="宋体" w:hAnsi="宋体" w:cs="宋体" w:eastAsia="宋体" w:hint="default"/>
                <w:sz w:val="18"/>
                <w:szCs w:val="18"/>
              </w:rPr>
              <w:t> </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7" w:right="0"/>
              <w:jc w:val="center"/>
              <w:rPr>
                <w:rFonts w:ascii="宋体" w:hAnsi="宋体" w:cs="宋体" w:eastAsia="宋体" w:hint="default"/>
                <w:sz w:val="18"/>
                <w:szCs w:val="18"/>
              </w:rPr>
            </w:pPr>
            <w:r>
              <w:rPr>
                <w:rFonts w:ascii="宋体" w:hAnsi="宋体" w:cs="宋体" w:eastAsia="宋体" w:hint="default"/>
                <w:sz w:val="18"/>
                <w:szCs w:val="18"/>
              </w:rPr>
              <w:t>冠县</w:t>
            </w:r>
            <w:r>
              <w:rPr>
                <w:rFonts w:ascii="宋体" w:hAnsi="宋体" w:cs="宋体" w:eastAsia="宋体" w:hint="default"/>
                <w:sz w:val="18"/>
                <w:szCs w:val="18"/>
              </w:rPr>
              <w:t> </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7" w:right="0"/>
              <w:jc w:val="center"/>
              <w:rPr>
                <w:rFonts w:ascii="宋体" w:hAnsi="宋体" w:cs="宋体" w:eastAsia="宋体" w:hint="default"/>
                <w:sz w:val="18"/>
                <w:szCs w:val="18"/>
              </w:rPr>
            </w:pPr>
            <w:r>
              <w:rPr>
                <w:rFonts w:ascii="宋体" w:hAnsi="宋体" w:cs="宋体" w:eastAsia="宋体" w:hint="default"/>
                <w:sz w:val="18"/>
                <w:szCs w:val="18"/>
              </w:rPr>
              <w:t>冠县</w:t>
            </w:r>
            <w:r>
              <w:rPr>
                <w:rFonts w:ascii="宋体" w:hAnsi="宋体" w:cs="宋体" w:eastAsia="宋体" w:hint="default"/>
                <w:sz w:val="18"/>
                <w:szCs w:val="18"/>
              </w:rPr>
              <w:t> </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9" w:right="0"/>
              <w:jc w:val="center"/>
              <w:rPr>
                <w:rFonts w:ascii="宋体" w:hAnsi="宋体" w:cs="宋体" w:eastAsia="宋体" w:hint="default"/>
                <w:sz w:val="18"/>
                <w:szCs w:val="18"/>
              </w:rPr>
            </w:pPr>
            <w:r>
              <w:rPr>
                <w:rFonts w:ascii="宋体" w:hAnsi="宋体" w:cs="宋体" w:eastAsia="宋体" w:hint="default"/>
                <w:sz w:val="18"/>
                <w:szCs w:val="18"/>
              </w:rPr>
              <w:t>光伏电站</w:t>
            </w:r>
            <w:r>
              <w:rPr>
                <w:rFonts w:ascii="宋体" w:hAnsi="宋体" w:cs="宋体" w:eastAsia="宋体" w:hint="default"/>
                <w:sz w:val="18"/>
                <w:szCs w:val="18"/>
              </w:rPr>
              <w:t> </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7" w:right="0"/>
              <w:jc w:val="center"/>
              <w:rPr>
                <w:rFonts w:ascii="宋体" w:hAnsi="宋体" w:cs="宋体" w:eastAsia="宋体" w:hint="default"/>
                <w:sz w:val="18"/>
                <w:szCs w:val="18"/>
              </w:rPr>
            </w:pPr>
            <w:r>
              <w:rPr>
                <w:rFonts w:ascii="宋体"/>
                <w:sz w:val="18"/>
              </w:rPr>
              <w:t> </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5" w:right="0"/>
              <w:jc w:val="center"/>
              <w:rPr>
                <w:rFonts w:ascii="宋体" w:hAnsi="宋体" w:cs="宋体" w:eastAsia="宋体" w:hint="default"/>
                <w:sz w:val="18"/>
                <w:szCs w:val="18"/>
              </w:rPr>
            </w:pPr>
            <w:r>
              <w:rPr>
                <w:rFonts w:ascii="宋体"/>
                <w:sz w:val="18"/>
              </w:rPr>
              <w:t>100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设立</w:t>
            </w:r>
            <w:r>
              <w:rPr>
                <w:rFonts w:ascii="宋体" w:hAnsi="宋体" w:cs="宋体" w:eastAsia="宋体" w:hint="default"/>
                <w:sz w:val="18"/>
                <w:szCs w:val="18"/>
              </w:rPr>
              <w:t> </w:t>
            </w:r>
          </w:p>
        </w:tc>
      </w:tr>
      <w:tr>
        <w:trPr>
          <w:trHeight w:val="245" w:hRule="exact"/>
        </w:trPr>
        <w:tc>
          <w:tcPr>
            <w:tcW w:w="309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惠民县永正农业科技有限公司</w:t>
            </w:r>
            <w:r>
              <w:rPr>
                <w:rFonts w:ascii="宋体" w:hAnsi="宋体" w:cs="宋体" w:eastAsia="宋体" w:hint="default"/>
                <w:sz w:val="18"/>
                <w:szCs w:val="18"/>
              </w:rPr>
              <w:t> </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7" w:right="0"/>
              <w:jc w:val="center"/>
              <w:rPr>
                <w:rFonts w:ascii="宋体" w:hAnsi="宋体" w:cs="宋体" w:eastAsia="宋体" w:hint="default"/>
                <w:sz w:val="18"/>
                <w:szCs w:val="18"/>
              </w:rPr>
            </w:pPr>
            <w:r>
              <w:rPr>
                <w:rFonts w:ascii="宋体" w:hAnsi="宋体" w:cs="宋体" w:eastAsia="宋体" w:hint="default"/>
                <w:sz w:val="18"/>
                <w:szCs w:val="18"/>
              </w:rPr>
              <w:t>惠民</w:t>
            </w:r>
            <w:r>
              <w:rPr>
                <w:rFonts w:ascii="宋体" w:hAnsi="宋体" w:cs="宋体" w:eastAsia="宋体" w:hint="default"/>
                <w:sz w:val="18"/>
                <w:szCs w:val="18"/>
              </w:rPr>
              <w:t> </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7" w:right="0"/>
              <w:jc w:val="center"/>
              <w:rPr>
                <w:rFonts w:ascii="宋体" w:hAnsi="宋体" w:cs="宋体" w:eastAsia="宋体" w:hint="default"/>
                <w:sz w:val="18"/>
                <w:szCs w:val="18"/>
              </w:rPr>
            </w:pPr>
            <w:r>
              <w:rPr>
                <w:rFonts w:ascii="宋体" w:hAnsi="宋体" w:cs="宋体" w:eastAsia="宋体" w:hint="default"/>
                <w:sz w:val="18"/>
                <w:szCs w:val="18"/>
              </w:rPr>
              <w:t>惠民</w:t>
            </w:r>
            <w:r>
              <w:rPr>
                <w:rFonts w:ascii="宋体" w:hAnsi="宋体" w:cs="宋体" w:eastAsia="宋体" w:hint="default"/>
                <w:sz w:val="18"/>
                <w:szCs w:val="18"/>
              </w:rPr>
              <w:t> </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9" w:right="0"/>
              <w:jc w:val="center"/>
              <w:rPr>
                <w:rFonts w:ascii="宋体" w:hAnsi="宋体" w:cs="宋体" w:eastAsia="宋体" w:hint="default"/>
                <w:sz w:val="18"/>
                <w:szCs w:val="18"/>
              </w:rPr>
            </w:pPr>
            <w:r>
              <w:rPr>
                <w:rFonts w:ascii="宋体" w:hAnsi="宋体" w:cs="宋体" w:eastAsia="宋体" w:hint="default"/>
                <w:sz w:val="18"/>
                <w:szCs w:val="18"/>
              </w:rPr>
              <w:t>光伏电站</w:t>
            </w:r>
            <w:r>
              <w:rPr>
                <w:rFonts w:ascii="宋体" w:hAnsi="宋体" w:cs="宋体" w:eastAsia="宋体" w:hint="default"/>
                <w:sz w:val="18"/>
                <w:szCs w:val="18"/>
              </w:rPr>
              <w:t> </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7" w:right="0"/>
              <w:jc w:val="center"/>
              <w:rPr>
                <w:rFonts w:ascii="宋体" w:hAnsi="宋体" w:cs="宋体" w:eastAsia="宋体" w:hint="default"/>
                <w:sz w:val="18"/>
                <w:szCs w:val="18"/>
              </w:rPr>
            </w:pPr>
            <w:r>
              <w:rPr>
                <w:rFonts w:ascii="宋体"/>
                <w:sz w:val="18"/>
              </w:rPr>
              <w:t> </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5" w:right="0"/>
              <w:jc w:val="center"/>
              <w:rPr>
                <w:rFonts w:ascii="宋体" w:hAnsi="宋体" w:cs="宋体" w:eastAsia="宋体" w:hint="default"/>
                <w:sz w:val="18"/>
                <w:szCs w:val="18"/>
              </w:rPr>
            </w:pPr>
            <w:r>
              <w:rPr>
                <w:rFonts w:ascii="宋体"/>
                <w:sz w:val="18"/>
              </w:rPr>
              <w:t>100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设立</w:t>
            </w:r>
            <w:r>
              <w:rPr>
                <w:rFonts w:ascii="宋体" w:hAnsi="宋体" w:cs="宋体" w:eastAsia="宋体" w:hint="default"/>
                <w:sz w:val="18"/>
                <w:szCs w:val="18"/>
              </w:rPr>
              <w:t> </w:t>
            </w:r>
          </w:p>
        </w:tc>
      </w:tr>
      <w:tr>
        <w:trPr>
          <w:trHeight w:val="475" w:hRule="exact"/>
        </w:trPr>
        <w:tc>
          <w:tcPr>
            <w:tcW w:w="3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潍坊滨海融光新能源发展有限公司</w:t>
            </w:r>
            <w:r>
              <w:rPr>
                <w:rFonts w:ascii="宋体" w:hAnsi="宋体" w:cs="宋体" w:eastAsia="宋体" w:hint="default"/>
                <w:sz w:val="18"/>
                <w:szCs w:val="18"/>
              </w:rPr>
              <w:t> </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87" w:right="0"/>
              <w:jc w:val="center"/>
              <w:rPr>
                <w:rFonts w:ascii="宋体" w:hAnsi="宋体" w:cs="宋体" w:eastAsia="宋体" w:hint="default"/>
                <w:sz w:val="18"/>
                <w:szCs w:val="18"/>
              </w:rPr>
            </w:pPr>
            <w:r>
              <w:rPr>
                <w:rFonts w:ascii="宋体" w:hAnsi="宋体" w:cs="宋体" w:eastAsia="宋体" w:hint="default"/>
                <w:sz w:val="18"/>
                <w:szCs w:val="18"/>
              </w:rPr>
              <w:t>潍坊</w:t>
            </w:r>
            <w:r>
              <w:rPr>
                <w:rFonts w:ascii="宋体" w:hAnsi="宋体" w:cs="宋体" w:eastAsia="宋体" w:hint="default"/>
                <w:sz w:val="18"/>
                <w:szCs w:val="18"/>
              </w:rPr>
              <w:t> </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87" w:right="0"/>
              <w:jc w:val="center"/>
              <w:rPr>
                <w:rFonts w:ascii="宋体" w:hAnsi="宋体" w:cs="宋体" w:eastAsia="宋体" w:hint="default"/>
                <w:sz w:val="18"/>
                <w:szCs w:val="18"/>
              </w:rPr>
            </w:pPr>
            <w:r>
              <w:rPr>
                <w:rFonts w:ascii="宋体" w:hAnsi="宋体" w:cs="宋体" w:eastAsia="宋体" w:hint="default"/>
                <w:sz w:val="18"/>
                <w:szCs w:val="18"/>
              </w:rPr>
              <w:t>潍坊</w:t>
            </w:r>
            <w:r>
              <w:rPr>
                <w:rFonts w:ascii="宋体" w:hAnsi="宋体" w:cs="宋体" w:eastAsia="宋体" w:hint="default"/>
                <w:sz w:val="18"/>
                <w:szCs w:val="18"/>
              </w:rPr>
              <w:t> </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89" w:right="0"/>
              <w:jc w:val="center"/>
              <w:rPr>
                <w:rFonts w:ascii="宋体" w:hAnsi="宋体" w:cs="宋体" w:eastAsia="宋体" w:hint="default"/>
                <w:sz w:val="18"/>
                <w:szCs w:val="18"/>
              </w:rPr>
            </w:pPr>
            <w:r>
              <w:rPr>
                <w:rFonts w:ascii="宋体" w:hAnsi="宋体" w:cs="宋体" w:eastAsia="宋体" w:hint="default"/>
                <w:sz w:val="18"/>
                <w:szCs w:val="18"/>
              </w:rPr>
              <w:t>光伏电站</w:t>
            </w:r>
            <w:r>
              <w:rPr>
                <w:rFonts w:ascii="宋体" w:hAnsi="宋体" w:cs="宋体" w:eastAsia="宋体" w:hint="default"/>
                <w:sz w:val="18"/>
                <w:szCs w:val="18"/>
              </w:rPr>
              <w:t> </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87" w:right="0"/>
              <w:jc w:val="center"/>
              <w:rPr>
                <w:rFonts w:ascii="宋体" w:hAnsi="宋体" w:cs="宋体" w:eastAsia="宋体" w:hint="default"/>
                <w:sz w:val="18"/>
                <w:szCs w:val="18"/>
              </w:rPr>
            </w:pPr>
            <w:r>
              <w:rPr>
                <w:rFonts w:ascii="宋体"/>
                <w:sz w:val="18"/>
              </w:rPr>
              <w:t> </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85" w:right="0"/>
              <w:jc w:val="center"/>
              <w:rPr>
                <w:rFonts w:ascii="宋体" w:hAnsi="宋体" w:cs="宋体" w:eastAsia="宋体" w:hint="default"/>
                <w:sz w:val="18"/>
                <w:szCs w:val="18"/>
              </w:rPr>
            </w:pPr>
            <w:r>
              <w:rPr>
                <w:rFonts w:ascii="宋体"/>
                <w:sz w:val="18"/>
              </w:rPr>
              <w:t>100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非同一控制下企业合</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并</w:t>
            </w:r>
            <w:r>
              <w:rPr>
                <w:rFonts w:ascii="宋体" w:hAnsi="宋体" w:cs="宋体" w:eastAsia="宋体" w:hint="default"/>
                <w:sz w:val="18"/>
                <w:szCs w:val="18"/>
              </w:rPr>
              <w:t> </w:t>
            </w:r>
          </w:p>
        </w:tc>
      </w:tr>
      <w:tr>
        <w:trPr>
          <w:trHeight w:val="478" w:hRule="exact"/>
        </w:trPr>
        <w:tc>
          <w:tcPr>
            <w:tcW w:w="3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潍坊创能新能源发展有限公司</w:t>
            </w:r>
            <w:r>
              <w:rPr>
                <w:rFonts w:ascii="宋体" w:hAnsi="宋体" w:cs="宋体" w:eastAsia="宋体" w:hint="default"/>
                <w:sz w:val="18"/>
                <w:szCs w:val="18"/>
              </w:rPr>
              <w:t> </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87" w:right="0"/>
              <w:jc w:val="center"/>
              <w:rPr>
                <w:rFonts w:ascii="宋体" w:hAnsi="宋体" w:cs="宋体" w:eastAsia="宋体" w:hint="default"/>
                <w:sz w:val="18"/>
                <w:szCs w:val="18"/>
              </w:rPr>
            </w:pPr>
            <w:r>
              <w:rPr>
                <w:rFonts w:ascii="宋体" w:hAnsi="宋体" w:cs="宋体" w:eastAsia="宋体" w:hint="default"/>
                <w:sz w:val="18"/>
                <w:szCs w:val="18"/>
              </w:rPr>
              <w:t>潍坊</w:t>
            </w:r>
            <w:r>
              <w:rPr>
                <w:rFonts w:ascii="宋体" w:hAnsi="宋体" w:cs="宋体" w:eastAsia="宋体" w:hint="default"/>
                <w:sz w:val="18"/>
                <w:szCs w:val="18"/>
              </w:rPr>
              <w:t> </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87" w:right="0"/>
              <w:jc w:val="center"/>
              <w:rPr>
                <w:rFonts w:ascii="宋体" w:hAnsi="宋体" w:cs="宋体" w:eastAsia="宋体" w:hint="default"/>
                <w:sz w:val="18"/>
                <w:szCs w:val="18"/>
              </w:rPr>
            </w:pPr>
            <w:r>
              <w:rPr>
                <w:rFonts w:ascii="宋体" w:hAnsi="宋体" w:cs="宋体" w:eastAsia="宋体" w:hint="default"/>
                <w:sz w:val="18"/>
                <w:szCs w:val="18"/>
              </w:rPr>
              <w:t>潍坊</w:t>
            </w:r>
            <w:r>
              <w:rPr>
                <w:rFonts w:ascii="宋体" w:hAnsi="宋体" w:cs="宋体" w:eastAsia="宋体" w:hint="default"/>
                <w:sz w:val="18"/>
                <w:szCs w:val="18"/>
              </w:rPr>
              <w:t> </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89" w:right="0"/>
              <w:jc w:val="center"/>
              <w:rPr>
                <w:rFonts w:ascii="宋体" w:hAnsi="宋体" w:cs="宋体" w:eastAsia="宋体" w:hint="default"/>
                <w:sz w:val="18"/>
                <w:szCs w:val="18"/>
              </w:rPr>
            </w:pPr>
            <w:r>
              <w:rPr>
                <w:rFonts w:ascii="宋体" w:hAnsi="宋体" w:cs="宋体" w:eastAsia="宋体" w:hint="default"/>
                <w:sz w:val="18"/>
                <w:szCs w:val="18"/>
              </w:rPr>
              <w:t>光伏电站</w:t>
            </w:r>
            <w:r>
              <w:rPr>
                <w:rFonts w:ascii="宋体" w:hAnsi="宋体" w:cs="宋体" w:eastAsia="宋体" w:hint="default"/>
                <w:sz w:val="18"/>
                <w:szCs w:val="18"/>
              </w:rPr>
              <w:t> </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87" w:right="0"/>
              <w:jc w:val="center"/>
              <w:rPr>
                <w:rFonts w:ascii="宋体" w:hAnsi="宋体" w:cs="宋体" w:eastAsia="宋体" w:hint="default"/>
                <w:sz w:val="18"/>
                <w:szCs w:val="18"/>
              </w:rPr>
            </w:pPr>
            <w:r>
              <w:rPr>
                <w:rFonts w:ascii="宋体"/>
                <w:sz w:val="18"/>
              </w:rPr>
              <w:t> </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85" w:right="0"/>
              <w:jc w:val="center"/>
              <w:rPr>
                <w:rFonts w:ascii="宋体" w:hAnsi="宋体" w:cs="宋体" w:eastAsia="宋体" w:hint="default"/>
                <w:sz w:val="18"/>
                <w:szCs w:val="18"/>
              </w:rPr>
            </w:pPr>
            <w:r>
              <w:rPr>
                <w:rFonts w:ascii="宋体"/>
                <w:sz w:val="18"/>
              </w:rPr>
              <w:t>100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非同一控制下企业合</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并</w:t>
            </w:r>
            <w:r>
              <w:rPr>
                <w:rFonts w:ascii="宋体" w:hAnsi="宋体" w:cs="宋体" w:eastAsia="宋体" w:hint="default"/>
                <w:sz w:val="18"/>
                <w:szCs w:val="18"/>
              </w:rPr>
              <w:t> </w:t>
            </w:r>
          </w:p>
        </w:tc>
      </w:tr>
      <w:tr>
        <w:trPr>
          <w:trHeight w:val="245" w:hRule="exact"/>
        </w:trPr>
        <w:tc>
          <w:tcPr>
            <w:tcW w:w="309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潍坊祥光新能源发展有限公司</w:t>
            </w:r>
            <w:r>
              <w:rPr>
                <w:rFonts w:ascii="宋体" w:hAnsi="宋体" w:cs="宋体" w:eastAsia="宋体" w:hint="default"/>
                <w:sz w:val="18"/>
                <w:szCs w:val="18"/>
              </w:rPr>
              <w:t> </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7" w:right="0"/>
              <w:jc w:val="center"/>
              <w:rPr>
                <w:rFonts w:ascii="宋体" w:hAnsi="宋体" w:cs="宋体" w:eastAsia="宋体" w:hint="default"/>
                <w:sz w:val="18"/>
                <w:szCs w:val="18"/>
              </w:rPr>
            </w:pPr>
            <w:r>
              <w:rPr>
                <w:rFonts w:ascii="宋体" w:hAnsi="宋体" w:cs="宋体" w:eastAsia="宋体" w:hint="default"/>
                <w:sz w:val="18"/>
                <w:szCs w:val="18"/>
              </w:rPr>
              <w:t>潍坊</w:t>
            </w:r>
            <w:r>
              <w:rPr>
                <w:rFonts w:ascii="宋体" w:hAnsi="宋体" w:cs="宋体" w:eastAsia="宋体" w:hint="default"/>
                <w:sz w:val="18"/>
                <w:szCs w:val="18"/>
              </w:rPr>
              <w:t> </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7" w:right="0"/>
              <w:jc w:val="center"/>
              <w:rPr>
                <w:rFonts w:ascii="宋体" w:hAnsi="宋体" w:cs="宋体" w:eastAsia="宋体" w:hint="default"/>
                <w:sz w:val="18"/>
                <w:szCs w:val="18"/>
              </w:rPr>
            </w:pPr>
            <w:r>
              <w:rPr>
                <w:rFonts w:ascii="宋体" w:hAnsi="宋体" w:cs="宋体" w:eastAsia="宋体" w:hint="default"/>
                <w:sz w:val="18"/>
                <w:szCs w:val="18"/>
              </w:rPr>
              <w:t>潍坊</w:t>
            </w:r>
            <w:r>
              <w:rPr>
                <w:rFonts w:ascii="宋体" w:hAnsi="宋体" w:cs="宋体" w:eastAsia="宋体" w:hint="default"/>
                <w:sz w:val="18"/>
                <w:szCs w:val="18"/>
              </w:rPr>
              <w:t> </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9" w:right="0"/>
              <w:jc w:val="center"/>
              <w:rPr>
                <w:rFonts w:ascii="宋体" w:hAnsi="宋体" w:cs="宋体" w:eastAsia="宋体" w:hint="default"/>
                <w:sz w:val="18"/>
                <w:szCs w:val="18"/>
              </w:rPr>
            </w:pPr>
            <w:r>
              <w:rPr>
                <w:rFonts w:ascii="宋体" w:hAnsi="宋体" w:cs="宋体" w:eastAsia="宋体" w:hint="default"/>
                <w:sz w:val="18"/>
                <w:szCs w:val="18"/>
              </w:rPr>
              <w:t>光伏电站</w:t>
            </w:r>
            <w:r>
              <w:rPr>
                <w:rFonts w:ascii="宋体" w:hAnsi="宋体" w:cs="宋体" w:eastAsia="宋体" w:hint="default"/>
                <w:sz w:val="18"/>
                <w:szCs w:val="18"/>
              </w:rPr>
              <w:t> </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7" w:right="0"/>
              <w:jc w:val="center"/>
              <w:rPr>
                <w:rFonts w:ascii="宋体" w:hAnsi="宋体" w:cs="宋体" w:eastAsia="宋体" w:hint="default"/>
                <w:sz w:val="18"/>
                <w:szCs w:val="18"/>
              </w:rPr>
            </w:pPr>
            <w:r>
              <w:rPr>
                <w:rFonts w:ascii="宋体"/>
                <w:sz w:val="18"/>
              </w:rPr>
              <w:t> </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5" w:right="0"/>
              <w:jc w:val="center"/>
              <w:rPr>
                <w:rFonts w:ascii="宋体" w:hAnsi="宋体" w:cs="宋体" w:eastAsia="宋体" w:hint="default"/>
                <w:sz w:val="18"/>
                <w:szCs w:val="18"/>
              </w:rPr>
            </w:pPr>
            <w:r>
              <w:rPr>
                <w:rFonts w:ascii="宋体"/>
                <w:sz w:val="18"/>
              </w:rPr>
              <w:t>100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设立</w:t>
            </w:r>
            <w:r>
              <w:rPr>
                <w:rFonts w:ascii="宋体" w:hAnsi="宋体" w:cs="宋体" w:eastAsia="宋体" w:hint="default"/>
                <w:sz w:val="18"/>
                <w:szCs w:val="18"/>
              </w:rPr>
              <w:t> </w:t>
            </w:r>
          </w:p>
        </w:tc>
      </w:tr>
      <w:tr>
        <w:trPr>
          <w:trHeight w:val="475" w:hRule="exact"/>
        </w:trPr>
        <w:tc>
          <w:tcPr>
            <w:tcW w:w="3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0"/>
              <w:jc w:val="left"/>
              <w:rPr>
                <w:rFonts w:ascii="宋体" w:hAnsi="宋体" w:cs="宋体" w:eastAsia="宋体" w:hint="default"/>
                <w:sz w:val="18"/>
                <w:szCs w:val="18"/>
              </w:rPr>
            </w:pPr>
            <w:r>
              <w:rPr>
                <w:rFonts w:ascii="宋体" w:hAnsi="宋体" w:cs="宋体" w:eastAsia="宋体" w:hint="default"/>
                <w:sz w:val="18"/>
                <w:szCs w:val="18"/>
              </w:rPr>
              <w:t>夏津力诺太阳能电力科技有限公司</w:t>
            </w:r>
            <w:r>
              <w:rPr>
                <w:rFonts w:ascii="宋体" w:hAnsi="宋体" w:cs="宋体" w:eastAsia="宋体" w:hint="default"/>
                <w:sz w:val="18"/>
                <w:szCs w:val="18"/>
              </w:rPr>
              <w:t> </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87" w:right="0"/>
              <w:jc w:val="center"/>
              <w:rPr>
                <w:rFonts w:ascii="宋体" w:hAnsi="宋体" w:cs="宋体" w:eastAsia="宋体" w:hint="default"/>
                <w:sz w:val="18"/>
                <w:szCs w:val="18"/>
              </w:rPr>
            </w:pPr>
            <w:r>
              <w:rPr>
                <w:rFonts w:ascii="宋体" w:hAnsi="宋体" w:cs="宋体" w:eastAsia="宋体" w:hint="default"/>
                <w:sz w:val="18"/>
                <w:szCs w:val="18"/>
              </w:rPr>
              <w:t>夏津</w:t>
            </w:r>
            <w:r>
              <w:rPr>
                <w:rFonts w:ascii="宋体" w:hAnsi="宋体" w:cs="宋体" w:eastAsia="宋体" w:hint="default"/>
                <w:sz w:val="18"/>
                <w:szCs w:val="18"/>
              </w:rPr>
              <w:t> </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87" w:right="0"/>
              <w:jc w:val="center"/>
              <w:rPr>
                <w:rFonts w:ascii="宋体" w:hAnsi="宋体" w:cs="宋体" w:eastAsia="宋体" w:hint="default"/>
                <w:sz w:val="18"/>
                <w:szCs w:val="18"/>
              </w:rPr>
            </w:pPr>
            <w:r>
              <w:rPr>
                <w:rFonts w:ascii="宋体" w:hAnsi="宋体" w:cs="宋体" w:eastAsia="宋体" w:hint="default"/>
                <w:sz w:val="18"/>
                <w:szCs w:val="18"/>
              </w:rPr>
              <w:t>夏津</w:t>
            </w:r>
            <w:r>
              <w:rPr>
                <w:rFonts w:ascii="宋体" w:hAnsi="宋体" w:cs="宋体" w:eastAsia="宋体" w:hint="default"/>
                <w:sz w:val="18"/>
                <w:szCs w:val="18"/>
              </w:rPr>
              <w:t> </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89" w:right="0"/>
              <w:jc w:val="center"/>
              <w:rPr>
                <w:rFonts w:ascii="宋体" w:hAnsi="宋体" w:cs="宋体" w:eastAsia="宋体" w:hint="default"/>
                <w:sz w:val="18"/>
                <w:szCs w:val="18"/>
              </w:rPr>
            </w:pPr>
            <w:r>
              <w:rPr>
                <w:rFonts w:ascii="宋体" w:hAnsi="宋体" w:cs="宋体" w:eastAsia="宋体" w:hint="default"/>
                <w:sz w:val="18"/>
                <w:szCs w:val="18"/>
              </w:rPr>
              <w:t>光伏电站</w:t>
            </w:r>
            <w:r>
              <w:rPr>
                <w:rFonts w:ascii="宋体" w:hAnsi="宋体" w:cs="宋体" w:eastAsia="宋体" w:hint="default"/>
                <w:sz w:val="18"/>
                <w:szCs w:val="18"/>
              </w:rPr>
              <w:t> </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87" w:right="0"/>
              <w:jc w:val="center"/>
              <w:rPr>
                <w:rFonts w:ascii="宋体" w:hAnsi="宋体" w:cs="宋体" w:eastAsia="宋体" w:hint="default"/>
                <w:sz w:val="18"/>
                <w:szCs w:val="18"/>
              </w:rPr>
            </w:pPr>
            <w:r>
              <w:rPr>
                <w:rFonts w:ascii="宋体"/>
                <w:sz w:val="18"/>
              </w:rPr>
              <w:t> </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85" w:right="0"/>
              <w:jc w:val="center"/>
              <w:rPr>
                <w:rFonts w:ascii="宋体" w:hAnsi="宋体" w:cs="宋体" w:eastAsia="宋体" w:hint="default"/>
                <w:sz w:val="18"/>
                <w:szCs w:val="18"/>
              </w:rPr>
            </w:pPr>
            <w:r>
              <w:rPr>
                <w:rFonts w:ascii="宋体"/>
                <w:sz w:val="18"/>
              </w:rPr>
              <w:t>100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非同一控制下企业合</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并</w:t>
            </w:r>
            <w:r>
              <w:rPr>
                <w:rFonts w:ascii="宋体" w:hAnsi="宋体" w:cs="宋体" w:eastAsia="宋体" w:hint="default"/>
                <w:sz w:val="18"/>
                <w:szCs w:val="18"/>
              </w:rPr>
              <w:t> </w:t>
            </w:r>
          </w:p>
        </w:tc>
      </w:tr>
      <w:tr>
        <w:trPr>
          <w:trHeight w:val="478" w:hRule="exact"/>
        </w:trPr>
        <w:tc>
          <w:tcPr>
            <w:tcW w:w="3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淄博青意光伏发电有限公司</w:t>
            </w:r>
            <w:r>
              <w:rPr>
                <w:rFonts w:ascii="宋体" w:hAnsi="宋体" w:cs="宋体" w:eastAsia="宋体" w:hint="default"/>
                <w:sz w:val="18"/>
                <w:szCs w:val="18"/>
              </w:rPr>
              <w:t> </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87" w:right="0"/>
              <w:jc w:val="center"/>
              <w:rPr>
                <w:rFonts w:ascii="宋体" w:hAnsi="宋体" w:cs="宋体" w:eastAsia="宋体" w:hint="default"/>
                <w:sz w:val="18"/>
                <w:szCs w:val="18"/>
              </w:rPr>
            </w:pPr>
            <w:r>
              <w:rPr>
                <w:rFonts w:ascii="宋体" w:hAnsi="宋体" w:cs="宋体" w:eastAsia="宋体" w:hint="default"/>
                <w:sz w:val="18"/>
                <w:szCs w:val="18"/>
              </w:rPr>
              <w:t>淄博</w:t>
            </w:r>
            <w:r>
              <w:rPr>
                <w:rFonts w:ascii="宋体" w:hAnsi="宋体" w:cs="宋体" w:eastAsia="宋体" w:hint="default"/>
                <w:sz w:val="18"/>
                <w:szCs w:val="18"/>
              </w:rPr>
              <w:t> </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87" w:right="0"/>
              <w:jc w:val="center"/>
              <w:rPr>
                <w:rFonts w:ascii="宋体" w:hAnsi="宋体" w:cs="宋体" w:eastAsia="宋体" w:hint="default"/>
                <w:sz w:val="18"/>
                <w:szCs w:val="18"/>
              </w:rPr>
            </w:pPr>
            <w:r>
              <w:rPr>
                <w:rFonts w:ascii="宋体" w:hAnsi="宋体" w:cs="宋体" w:eastAsia="宋体" w:hint="default"/>
                <w:sz w:val="18"/>
                <w:szCs w:val="18"/>
              </w:rPr>
              <w:t>淄博</w:t>
            </w:r>
            <w:r>
              <w:rPr>
                <w:rFonts w:ascii="宋体" w:hAnsi="宋体" w:cs="宋体" w:eastAsia="宋体" w:hint="default"/>
                <w:sz w:val="18"/>
                <w:szCs w:val="18"/>
              </w:rPr>
              <w:t> </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89" w:right="0"/>
              <w:jc w:val="center"/>
              <w:rPr>
                <w:rFonts w:ascii="宋体" w:hAnsi="宋体" w:cs="宋体" w:eastAsia="宋体" w:hint="default"/>
                <w:sz w:val="18"/>
                <w:szCs w:val="18"/>
              </w:rPr>
            </w:pPr>
            <w:r>
              <w:rPr>
                <w:rFonts w:ascii="宋体" w:hAnsi="宋体" w:cs="宋体" w:eastAsia="宋体" w:hint="default"/>
                <w:sz w:val="18"/>
                <w:szCs w:val="18"/>
              </w:rPr>
              <w:t>光伏电站</w:t>
            </w:r>
            <w:r>
              <w:rPr>
                <w:rFonts w:ascii="宋体" w:hAnsi="宋体" w:cs="宋体" w:eastAsia="宋体" w:hint="default"/>
                <w:sz w:val="18"/>
                <w:szCs w:val="18"/>
              </w:rPr>
              <w:t> </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87" w:right="0"/>
              <w:jc w:val="center"/>
              <w:rPr>
                <w:rFonts w:ascii="宋体" w:hAnsi="宋体" w:cs="宋体" w:eastAsia="宋体" w:hint="default"/>
                <w:sz w:val="18"/>
                <w:szCs w:val="18"/>
              </w:rPr>
            </w:pPr>
            <w:r>
              <w:rPr>
                <w:rFonts w:ascii="宋体"/>
                <w:sz w:val="18"/>
              </w:rPr>
              <w:t> </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85" w:right="0"/>
              <w:jc w:val="center"/>
              <w:rPr>
                <w:rFonts w:ascii="宋体" w:hAnsi="宋体" w:cs="宋体" w:eastAsia="宋体" w:hint="default"/>
                <w:sz w:val="18"/>
                <w:szCs w:val="18"/>
              </w:rPr>
            </w:pPr>
            <w:r>
              <w:rPr>
                <w:rFonts w:ascii="宋体"/>
                <w:sz w:val="18"/>
              </w:rPr>
              <w:t>100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非同一控制下企业合</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并</w:t>
            </w:r>
            <w:r>
              <w:rPr>
                <w:rFonts w:ascii="宋体" w:hAnsi="宋体" w:cs="宋体" w:eastAsia="宋体" w:hint="default"/>
                <w:sz w:val="18"/>
                <w:szCs w:val="18"/>
              </w:rPr>
              <w:t> </w:t>
            </w:r>
          </w:p>
        </w:tc>
      </w:tr>
      <w:tr>
        <w:trPr>
          <w:trHeight w:val="478" w:hRule="exact"/>
        </w:trPr>
        <w:tc>
          <w:tcPr>
            <w:tcW w:w="3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淄博开耀光伏电力有限公司</w:t>
            </w:r>
            <w:r>
              <w:rPr>
                <w:rFonts w:ascii="宋体" w:hAnsi="宋体" w:cs="宋体" w:eastAsia="宋体" w:hint="default"/>
                <w:sz w:val="18"/>
                <w:szCs w:val="18"/>
              </w:rPr>
              <w:t> </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87" w:right="0"/>
              <w:jc w:val="center"/>
              <w:rPr>
                <w:rFonts w:ascii="宋体" w:hAnsi="宋体" w:cs="宋体" w:eastAsia="宋体" w:hint="default"/>
                <w:sz w:val="18"/>
                <w:szCs w:val="18"/>
              </w:rPr>
            </w:pPr>
            <w:r>
              <w:rPr>
                <w:rFonts w:ascii="宋体" w:hAnsi="宋体" w:cs="宋体" w:eastAsia="宋体" w:hint="default"/>
                <w:sz w:val="18"/>
                <w:szCs w:val="18"/>
              </w:rPr>
              <w:t>淄博</w:t>
            </w:r>
            <w:r>
              <w:rPr>
                <w:rFonts w:ascii="宋体" w:hAnsi="宋体" w:cs="宋体" w:eastAsia="宋体" w:hint="default"/>
                <w:sz w:val="18"/>
                <w:szCs w:val="18"/>
              </w:rPr>
              <w:t> </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87" w:right="0"/>
              <w:jc w:val="center"/>
              <w:rPr>
                <w:rFonts w:ascii="宋体" w:hAnsi="宋体" w:cs="宋体" w:eastAsia="宋体" w:hint="default"/>
                <w:sz w:val="18"/>
                <w:szCs w:val="18"/>
              </w:rPr>
            </w:pPr>
            <w:r>
              <w:rPr>
                <w:rFonts w:ascii="宋体" w:hAnsi="宋体" w:cs="宋体" w:eastAsia="宋体" w:hint="default"/>
                <w:sz w:val="18"/>
                <w:szCs w:val="18"/>
              </w:rPr>
              <w:t>淄博</w:t>
            </w:r>
            <w:r>
              <w:rPr>
                <w:rFonts w:ascii="宋体" w:hAnsi="宋体" w:cs="宋体" w:eastAsia="宋体" w:hint="default"/>
                <w:sz w:val="18"/>
                <w:szCs w:val="18"/>
              </w:rPr>
              <w:t> </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89" w:right="0"/>
              <w:jc w:val="center"/>
              <w:rPr>
                <w:rFonts w:ascii="宋体" w:hAnsi="宋体" w:cs="宋体" w:eastAsia="宋体" w:hint="default"/>
                <w:sz w:val="18"/>
                <w:szCs w:val="18"/>
              </w:rPr>
            </w:pPr>
            <w:r>
              <w:rPr>
                <w:rFonts w:ascii="宋体" w:hAnsi="宋体" w:cs="宋体" w:eastAsia="宋体" w:hint="default"/>
                <w:sz w:val="18"/>
                <w:szCs w:val="18"/>
              </w:rPr>
              <w:t>光伏电站</w:t>
            </w:r>
            <w:r>
              <w:rPr>
                <w:rFonts w:ascii="宋体" w:hAnsi="宋体" w:cs="宋体" w:eastAsia="宋体" w:hint="default"/>
                <w:sz w:val="18"/>
                <w:szCs w:val="18"/>
              </w:rPr>
              <w:t> </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87" w:right="0"/>
              <w:jc w:val="center"/>
              <w:rPr>
                <w:rFonts w:ascii="宋体" w:hAnsi="宋体" w:cs="宋体" w:eastAsia="宋体" w:hint="default"/>
                <w:sz w:val="18"/>
                <w:szCs w:val="18"/>
              </w:rPr>
            </w:pPr>
            <w:r>
              <w:rPr>
                <w:rFonts w:ascii="宋体"/>
                <w:sz w:val="18"/>
              </w:rPr>
              <w:t> </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85" w:right="0"/>
              <w:jc w:val="center"/>
              <w:rPr>
                <w:rFonts w:ascii="宋体" w:hAnsi="宋体" w:cs="宋体" w:eastAsia="宋体" w:hint="default"/>
                <w:sz w:val="18"/>
                <w:szCs w:val="18"/>
              </w:rPr>
            </w:pPr>
            <w:r>
              <w:rPr>
                <w:rFonts w:ascii="宋体"/>
                <w:sz w:val="18"/>
              </w:rPr>
              <w:t>100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非同一控制下企业合</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并</w:t>
            </w:r>
            <w:r>
              <w:rPr>
                <w:rFonts w:ascii="宋体" w:hAnsi="宋体" w:cs="宋体" w:eastAsia="宋体" w:hint="default"/>
                <w:sz w:val="18"/>
                <w:szCs w:val="18"/>
              </w:rPr>
              <w:t> </w:t>
            </w:r>
          </w:p>
        </w:tc>
      </w:tr>
      <w:tr>
        <w:trPr>
          <w:trHeight w:val="242" w:hRule="exact"/>
        </w:trPr>
        <w:tc>
          <w:tcPr>
            <w:tcW w:w="309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微山永旭新能源有限公司</w:t>
            </w:r>
            <w:r>
              <w:rPr>
                <w:rFonts w:ascii="宋体" w:hAnsi="宋体" w:cs="宋体" w:eastAsia="宋体" w:hint="default"/>
                <w:sz w:val="18"/>
                <w:szCs w:val="18"/>
              </w:rPr>
              <w:t> </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7" w:right="0"/>
              <w:jc w:val="center"/>
              <w:rPr>
                <w:rFonts w:ascii="宋体" w:hAnsi="宋体" w:cs="宋体" w:eastAsia="宋体" w:hint="default"/>
                <w:sz w:val="18"/>
                <w:szCs w:val="18"/>
              </w:rPr>
            </w:pPr>
            <w:r>
              <w:rPr>
                <w:rFonts w:ascii="宋体" w:hAnsi="宋体" w:cs="宋体" w:eastAsia="宋体" w:hint="default"/>
                <w:sz w:val="18"/>
                <w:szCs w:val="18"/>
              </w:rPr>
              <w:t>微山</w:t>
            </w:r>
            <w:r>
              <w:rPr>
                <w:rFonts w:ascii="宋体" w:hAnsi="宋体" w:cs="宋体" w:eastAsia="宋体" w:hint="default"/>
                <w:sz w:val="18"/>
                <w:szCs w:val="18"/>
              </w:rPr>
              <w:t> </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7" w:right="0"/>
              <w:jc w:val="center"/>
              <w:rPr>
                <w:rFonts w:ascii="宋体" w:hAnsi="宋体" w:cs="宋体" w:eastAsia="宋体" w:hint="default"/>
                <w:sz w:val="18"/>
                <w:szCs w:val="18"/>
              </w:rPr>
            </w:pPr>
            <w:r>
              <w:rPr>
                <w:rFonts w:ascii="宋体" w:hAnsi="宋体" w:cs="宋体" w:eastAsia="宋体" w:hint="default"/>
                <w:sz w:val="18"/>
                <w:szCs w:val="18"/>
              </w:rPr>
              <w:t>微山</w:t>
            </w:r>
            <w:r>
              <w:rPr>
                <w:rFonts w:ascii="宋体" w:hAnsi="宋体" w:cs="宋体" w:eastAsia="宋体" w:hint="default"/>
                <w:sz w:val="18"/>
                <w:szCs w:val="18"/>
              </w:rPr>
              <w:t> </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9" w:right="0"/>
              <w:jc w:val="center"/>
              <w:rPr>
                <w:rFonts w:ascii="宋体" w:hAnsi="宋体" w:cs="宋体" w:eastAsia="宋体" w:hint="default"/>
                <w:sz w:val="18"/>
                <w:szCs w:val="18"/>
              </w:rPr>
            </w:pPr>
            <w:r>
              <w:rPr>
                <w:rFonts w:ascii="宋体" w:hAnsi="宋体" w:cs="宋体" w:eastAsia="宋体" w:hint="default"/>
                <w:sz w:val="18"/>
                <w:szCs w:val="18"/>
              </w:rPr>
              <w:t>光伏电站</w:t>
            </w:r>
            <w:r>
              <w:rPr>
                <w:rFonts w:ascii="宋体" w:hAnsi="宋体" w:cs="宋体" w:eastAsia="宋体" w:hint="default"/>
                <w:sz w:val="18"/>
                <w:szCs w:val="18"/>
              </w:rPr>
              <w:t> </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7" w:right="0"/>
              <w:jc w:val="center"/>
              <w:rPr>
                <w:rFonts w:ascii="宋体" w:hAnsi="宋体" w:cs="宋体" w:eastAsia="宋体" w:hint="default"/>
                <w:sz w:val="18"/>
                <w:szCs w:val="18"/>
              </w:rPr>
            </w:pPr>
            <w:r>
              <w:rPr>
                <w:rFonts w:ascii="宋体"/>
                <w:sz w:val="18"/>
              </w:rPr>
              <w:t> </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5" w:right="0"/>
              <w:jc w:val="center"/>
              <w:rPr>
                <w:rFonts w:ascii="宋体" w:hAnsi="宋体" w:cs="宋体" w:eastAsia="宋体" w:hint="default"/>
                <w:sz w:val="18"/>
                <w:szCs w:val="18"/>
              </w:rPr>
            </w:pPr>
            <w:r>
              <w:rPr>
                <w:rFonts w:ascii="宋体"/>
                <w:sz w:val="18"/>
              </w:rPr>
              <w:t>100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设立</w:t>
            </w:r>
            <w:r>
              <w:rPr>
                <w:rFonts w:ascii="宋体" w:hAnsi="宋体" w:cs="宋体" w:eastAsia="宋体" w:hint="default"/>
                <w:sz w:val="18"/>
                <w:szCs w:val="18"/>
              </w:rPr>
              <w:t> </w:t>
            </w:r>
          </w:p>
        </w:tc>
      </w:tr>
      <w:tr>
        <w:trPr>
          <w:trHeight w:val="245" w:hRule="exact"/>
        </w:trPr>
        <w:tc>
          <w:tcPr>
            <w:tcW w:w="309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河北林洋微网新能源科技有限公司</w:t>
            </w:r>
            <w:r>
              <w:rPr>
                <w:rFonts w:ascii="宋体" w:hAnsi="宋体" w:cs="宋体" w:eastAsia="宋体" w:hint="default"/>
                <w:sz w:val="18"/>
                <w:szCs w:val="18"/>
              </w:rPr>
              <w:t> </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90" w:right="0"/>
              <w:jc w:val="center"/>
              <w:rPr>
                <w:rFonts w:ascii="宋体" w:hAnsi="宋体" w:cs="宋体" w:eastAsia="宋体" w:hint="default"/>
                <w:sz w:val="18"/>
                <w:szCs w:val="18"/>
              </w:rPr>
            </w:pPr>
            <w:r>
              <w:rPr>
                <w:rFonts w:ascii="宋体" w:hAnsi="宋体" w:cs="宋体" w:eastAsia="宋体" w:hint="default"/>
                <w:sz w:val="18"/>
                <w:szCs w:val="18"/>
              </w:rPr>
              <w:t>石家庄</w:t>
            </w:r>
            <w:r>
              <w:rPr>
                <w:rFonts w:ascii="宋体" w:hAnsi="宋体" w:cs="宋体" w:eastAsia="宋体" w:hint="default"/>
                <w:sz w:val="18"/>
                <w:szCs w:val="18"/>
              </w:rPr>
              <w:t> </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9" w:right="0"/>
              <w:jc w:val="center"/>
              <w:rPr>
                <w:rFonts w:ascii="宋体" w:hAnsi="宋体" w:cs="宋体" w:eastAsia="宋体" w:hint="default"/>
                <w:sz w:val="18"/>
                <w:szCs w:val="18"/>
              </w:rPr>
            </w:pPr>
            <w:r>
              <w:rPr>
                <w:rFonts w:ascii="宋体" w:hAnsi="宋体" w:cs="宋体" w:eastAsia="宋体" w:hint="default"/>
                <w:sz w:val="18"/>
                <w:szCs w:val="18"/>
              </w:rPr>
              <w:t>石家庄</w:t>
            </w:r>
            <w:r>
              <w:rPr>
                <w:rFonts w:ascii="宋体" w:hAnsi="宋体" w:cs="宋体" w:eastAsia="宋体" w:hint="default"/>
                <w:sz w:val="18"/>
                <w:szCs w:val="18"/>
              </w:rPr>
              <w:t> </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9" w:right="0"/>
              <w:jc w:val="center"/>
              <w:rPr>
                <w:rFonts w:ascii="宋体" w:hAnsi="宋体" w:cs="宋体" w:eastAsia="宋体" w:hint="default"/>
                <w:sz w:val="18"/>
                <w:szCs w:val="18"/>
              </w:rPr>
            </w:pPr>
            <w:r>
              <w:rPr>
                <w:rFonts w:ascii="宋体" w:hAnsi="宋体" w:cs="宋体" w:eastAsia="宋体" w:hint="default"/>
                <w:sz w:val="18"/>
                <w:szCs w:val="18"/>
              </w:rPr>
              <w:t>光伏电站</w:t>
            </w:r>
            <w:r>
              <w:rPr>
                <w:rFonts w:ascii="宋体" w:hAnsi="宋体" w:cs="宋体" w:eastAsia="宋体" w:hint="default"/>
                <w:sz w:val="18"/>
                <w:szCs w:val="18"/>
              </w:rPr>
              <w:t> </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5" w:right="0"/>
              <w:jc w:val="center"/>
              <w:rPr>
                <w:rFonts w:ascii="宋体" w:hAnsi="宋体" w:cs="宋体" w:eastAsia="宋体" w:hint="default"/>
                <w:sz w:val="18"/>
                <w:szCs w:val="18"/>
              </w:rPr>
            </w:pPr>
            <w:r>
              <w:rPr>
                <w:rFonts w:ascii="宋体"/>
                <w:sz w:val="18"/>
              </w:rPr>
              <w:t>100 </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3" w:right="0"/>
              <w:jc w:val="center"/>
              <w:rPr>
                <w:rFonts w:ascii="宋体" w:hAnsi="宋体" w:cs="宋体" w:eastAsia="宋体" w:hint="default"/>
                <w:sz w:val="18"/>
                <w:szCs w:val="18"/>
              </w:rPr>
            </w:pPr>
            <w:r>
              <w:rPr>
                <w:rFonts w:ascii="宋体"/>
                <w:sz w:val="18"/>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设立</w:t>
            </w:r>
            <w:r>
              <w:rPr>
                <w:rFonts w:ascii="宋体" w:hAnsi="宋体" w:cs="宋体" w:eastAsia="宋体" w:hint="default"/>
                <w:sz w:val="18"/>
                <w:szCs w:val="18"/>
              </w:rPr>
              <w:t> </w:t>
            </w:r>
          </w:p>
        </w:tc>
      </w:tr>
      <w:tr>
        <w:trPr>
          <w:trHeight w:val="475" w:hRule="exact"/>
        </w:trPr>
        <w:tc>
          <w:tcPr>
            <w:tcW w:w="309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围场满族蒙古族自治县风阳光伏发电</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有限公司</w:t>
            </w:r>
            <w:r>
              <w:rPr>
                <w:rFonts w:ascii="宋体" w:hAnsi="宋体" w:cs="宋体" w:eastAsia="宋体" w:hint="default"/>
                <w:sz w:val="18"/>
                <w:szCs w:val="18"/>
              </w:rPr>
              <w:t> </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87" w:right="0"/>
              <w:jc w:val="center"/>
              <w:rPr>
                <w:rFonts w:ascii="宋体" w:hAnsi="宋体" w:cs="宋体" w:eastAsia="宋体" w:hint="default"/>
                <w:sz w:val="18"/>
                <w:szCs w:val="18"/>
              </w:rPr>
            </w:pPr>
            <w:r>
              <w:rPr>
                <w:rFonts w:ascii="宋体" w:hAnsi="宋体" w:cs="宋体" w:eastAsia="宋体" w:hint="default"/>
                <w:sz w:val="18"/>
                <w:szCs w:val="18"/>
              </w:rPr>
              <w:t>围场</w:t>
            </w:r>
            <w:r>
              <w:rPr>
                <w:rFonts w:ascii="宋体" w:hAnsi="宋体" w:cs="宋体" w:eastAsia="宋体" w:hint="default"/>
                <w:sz w:val="18"/>
                <w:szCs w:val="18"/>
              </w:rPr>
              <w:t> </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87" w:right="0"/>
              <w:jc w:val="center"/>
              <w:rPr>
                <w:rFonts w:ascii="宋体" w:hAnsi="宋体" w:cs="宋体" w:eastAsia="宋体" w:hint="default"/>
                <w:sz w:val="18"/>
                <w:szCs w:val="18"/>
              </w:rPr>
            </w:pPr>
            <w:r>
              <w:rPr>
                <w:rFonts w:ascii="宋体" w:hAnsi="宋体" w:cs="宋体" w:eastAsia="宋体" w:hint="default"/>
                <w:sz w:val="18"/>
                <w:szCs w:val="18"/>
              </w:rPr>
              <w:t>围场</w:t>
            </w:r>
            <w:r>
              <w:rPr>
                <w:rFonts w:ascii="宋体" w:hAnsi="宋体" w:cs="宋体" w:eastAsia="宋体" w:hint="default"/>
                <w:sz w:val="18"/>
                <w:szCs w:val="18"/>
              </w:rPr>
              <w:t> </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89" w:right="0"/>
              <w:jc w:val="center"/>
              <w:rPr>
                <w:rFonts w:ascii="宋体" w:hAnsi="宋体" w:cs="宋体" w:eastAsia="宋体" w:hint="default"/>
                <w:sz w:val="18"/>
                <w:szCs w:val="18"/>
              </w:rPr>
            </w:pPr>
            <w:r>
              <w:rPr>
                <w:rFonts w:ascii="宋体" w:hAnsi="宋体" w:cs="宋体" w:eastAsia="宋体" w:hint="default"/>
                <w:sz w:val="18"/>
                <w:szCs w:val="18"/>
              </w:rPr>
              <w:t>光伏电站</w:t>
            </w:r>
            <w:r>
              <w:rPr>
                <w:rFonts w:ascii="宋体" w:hAnsi="宋体" w:cs="宋体" w:eastAsia="宋体" w:hint="default"/>
                <w:sz w:val="18"/>
                <w:szCs w:val="18"/>
              </w:rPr>
              <w:t> </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87" w:right="0"/>
              <w:jc w:val="center"/>
              <w:rPr>
                <w:rFonts w:ascii="宋体" w:hAnsi="宋体" w:cs="宋体" w:eastAsia="宋体" w:hint="default"/>
                <w:sz w:val="18"/>
                <w:szCs w:val="18"/>
              </w:rPr>
            </w:pPr>
            <w:r>
              <w:rPr>
                <w:rFonts w:ascii="宋体"/>
                <w:sz w:val="18"/>
              </w:rPr>
              <w:t> </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85" w:right="0"/>
              <w:jc w:val="center"/>
              <w:rPr>
                <w:rFonts w:ascii="宋体" w:hAnsi="宋体" w:cs="宋体" w:eastAsia="宋体" w:hint="default"/>
                <w:sz w:val="18"/>
                <w:szCs w:val="18"/>
              </w:rPr>
            </w:pPr>
            <w:r>
              <w:rPr>
                <w:rFonts w:ascii="宋体"/>
                <w:sz w:val="18"/>
              </w:rPr>
              <w:t>100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非同一控制下企业合</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并</w:t>
            </w:r>
            <w:r>
              <w:rPr>
                <w:rFonts w:ascii="宋体" w:hAnsi="宋体" w:cs="宋体" w:eastAsia="宋体" w:hint="default"/>
                <w:sz w:val="18"/>
                <w:szCs w:val="18"/>
              </w:rPr>
              <w:t> </w:t>
            </w:r>
          </w:p>
        </w:tc>
      </w:tr>
      <w:tr>
        <w:trPr>
          <w:trHeight w:val="245" w:hRule="exact"/>
        </w:trPr>
        <w:tc>
          <w:tcPr>
            <w:tcW w:w="309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长丰吉润新能源科技有限公司</w:t>
            </w:r>
            <w:r>
              <w:rPr>
                <w:rFonts w:ascii="宋体" w:hAnsi="宋体" w:cs="宋体" w:eastAsia="宋体" w:hint="default"/>
                <w:sz w:val="18"/>
                <w:szCs w:val="18"/>
              </w:rPr>
              <w:t> </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7" w:right="0"/>
              <w:jc w:val="center"/>
              <w:rPr>
                <w:rFonts w:ascii="宋体" w:hAnsi="宋体" w:cs="宋体" w:eastAsia="宋体" w:hint="default"/>
                <w:sz w:val="18"/>
                <w:szCs w:val="18"/>
              </w:rPr>
            </w:pPr>
            <w:r>
              <w:rPr>
                <w:rFonts w:ascii="宋体" w:hAnsi="宋体" w:cs="宋体" w:eastAsia="宋体" w:hint="default"/>
                <w:sz w:val="18"/>
                <w:szCs w:val="18"/>
              </w:rPr>
              <w:t>长丰</w:t>
            </w:r>
            <w:r>
              <w:rPr>
                <w:rFonts w:ascii="宋体" w:hAnsi="宋体" w:cs="宋体" w:eastAsia="宋体" w:hint="default"/>
                <w:sz w:val="18"/>
                <w:szCs w:val="18"/>
              </w:rPr>
              <w:t> </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7" w:right="0"/>
              <w:jc w:val="center"/>
              <w:rPr>
                <w:rFonts w:ascii="宋体" w:hAnsi="宋体" w:cs="宋体" w:eastAsia="宋体" w:hint="default"/>
                <w:sz w:val="18"/>
                <w:szCs w:val="18"/>
              </w:rPr>
            </w:pPr>
            <w:r>
              <w:rPr>
                <w:rFonts w:ascii="宋体" w:hAnsi="宋体" w:cs="宋体" w:eastAsia="宋体" w:hint="default"/>
                <w:sz w:val="18"/>
                <w:szCs w:val="18"/>
              </w:rPr>
              <w:t>长丰</w:t>
            </w:r>
            <w:r>
              <w:rPr>
                <w:rFonts w:ascii="宋体" w:hAnsi="宋体" w:cs="宋体" w:eastAsia="宋体" w:hint="default"/>
                <w:sz w:val="18"/>
                <w:szCs w:val="18"/>
              </w:rPr>
              <w:t> </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9" w:right="0"/>
              <w:jc w:val="center"/>
              <w:rPr>
                <w:rFonts w:ascii="宋体" w:hAnsi="宋体" w:cs="宋体" w:eastAsia="宋体" w:hint="default"/>
                <w:sz w:val="18"/>
                <w:szCs w:val="18"/>
              </w:rPr>
            </w:pPr>
            <w:r>
              <w:rPr>
                <w:rFonts w:ascii="宋体" w:hAnsi="宋体" w:cs="宋体" w:eastAsia="宋体" w:hint="default"/>
                <w:sz w:val="18"/>
                <w:szCs w:val="18"/>
              </w:rPr>
              <w:t>光伏电站</w:t>
            </w:r>
            <w:r>
              <w:rPr>
                <w:rFonts w:ascii="宋体" w:hAnsi="宋体" w:cs="宋体" w:eastAsia="宋体" w:hint="default"/>
                <w:sz w:val="18"/>
                <w:szCs w:val="18"/>
              </w:rPr>
              <w:t> </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7" w:right="0"/>
              <w:jc w:val="center"/>
              <w:rPr>
                <w:rFonts w:ascii="宋体" w:hAnsi="宋体" w:cs="宋体" w:eastAsia="宋体" w:hint="default"/>
                <w:sz w:val="18"/>
                <w:szCs w:val="18"/>
              </w:rPr>
            </w:pPr>
            <w:r>
              <w:rPr>
                <w:rFonts w:ascii="宋体"/>
                <w:sz w:val="18"/>
              </w:rPr>
              <w:t> </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5" w:right="0"/>
              <w:jc w:val="center"/>
              <w:rPr>
                <w:rFonts w:ascii="宋体" w:hAnsi="宋体" w:cs="宋体" w:eastAsia="宋体" w:hint="default"/>
                <w:sz w:val="18"/>
                <w:szCs w:val="18"/>
              </w:rPr>
            </w:pPr>
            <w:r>
              <w:rPr>
                <w:rFonts w:ascii="宋体"/>
                <w:sz w:val="18"/>
              </w:rPr>
              <w:t>100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设立</w:t>
            </w:r>
            <w:r>
              <w:rPr>
                <w:rFonts w:ascii="宋体" w:hAnsi="宋体" w:cs="宋体" w:eastAsia="宋体" w:hint="default"/>
                <w:sz w:val="18"/>
                <w:szCs w:val="18"/>
              </w:rPr>
              <w:t> </w:t>
            </w:r>
          </w:p>
        </w:tc>
      </w:tr>
      <w:tr>
        <w:trPr>
          <w:trHeight w:val="475" w:hRule="exact"/>
        </w:trPr>
        <w:tc>
          <w:tcPr>
            <w:tcW w:w="3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0"/>
              <w:jc w:val="left"/>
              <w:rPr>
                <w:rFonts w:ascii="宋体" w:hAnsi="宋体" w:cs="宋体" w:eastAsia="宋体" w:hint="default"/>
                <w:sz w:val="18"/>
                <w:szCs w:val="18"/>
              </w:rPr>
            </w:pPr>
            <w:r>
              <w:rPr>
                <w:rFonts w:ascii="宋体" w:hAnsi="宋体" w:cs="宋体" w:eastAsia="宋体" w:hint="default"/>
                <w:sz w:val="18"/>
                <w:szCs w:val="18"/>
              </w:rPr>
              <w:t>合肥盛康电力有限责任公司</w:t>
            </w:r>
            <w:r>
              <w:rPr>
                <w:rFonts w:ascii="宋体" w:hAnsi="宋体" w:cs="宋体" w:eastAsia="宋体" w:hint="default"/>
                <w:sz w:val="18"/>
                <w:szCs w:val="18"/>
              </w:rPr>
              <w:t> </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87" w:right="0"/>
              <w:jc w:val="center"/>
              <w:rPr>
                <w:rFonts w:ascii="宋体" w:hAnsi="宋体" w:cs="宋体" w:eastAsia="宋体" w:hint="default"/>
                <w:sz w:val="18"/>
                <w:szCs w:val="18"/>
              </w:rPr>
            </w:pPr>
            <w:r>
              <w:rPr>
                <w:rFonts w:ascii="宋体" w:hAnsi="宋体" w:cs="宋体" w:eastAsia="宋体" w:hint="default"/>
                <w:sz w:val="18"/>
                <w:szCs w:val="18"/>
              </w:rPr>
              <w:t>合肥</w:t>
            </w:r>
            <w:r>
              <w:rPr>
                <w:rFonts w:ascii="宋体" w:hAnsi="宋体" w:cs="宋体" w:eastAsia="宋体" w:hint="default"/>
                <w:sz w:val="18"/>
                <w:szCs w:val="18"/>
              </w:rPr>
              <w:t> </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87" w:right="0"/>
              <w:jc w:val="center"/>
              <w:rPr>
                <w:rFonts w:ascii="宋体" w:hAnsi="宋体" w:cs="宋体" w:eastAsia="宋体" w:hint="default"/>
                <w:sz w:val="18"/>
                <w:szCs w:val="18"/>
              </w:rPr>
            </w:pPr>
            <w:r>
              <w:rPr>
                <w:rFonts w:ascii="宋体" w:hAnsi="宋体" w:cs="宋体" w:eastAsia="宋体" w:hint="default"/>
                <w:sz w:val="18"/>
                <w:szCs w:val="18"/>
              </w:rPr>
              <w:t>合肥</w:t>
            </w:r>
            <w:r>
              <w:rPr>
                <w:rFonts w:ascii="宋体" w:hAnsi="宋体" w:cs="宋体" w:eastAsia="宋体" w:hint="default"/>
                <w:sz w:val="18"/>
                <w:szCs w:val="18"/>
              </w:rPr>
              <w:t> </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89" w:right="0"/>
              <w:jc w:val="center"/>
              <w:rPr>
                <w:rFonts w:ascii="宋体" w:hAnsi="宋体" w:cs="宋体" w:eastAsia="宋体" w:hint="default"/>
                <w:sz w:val="18"/>
                <w:szCs w:val="18"/>
              </w:rPr>
            </w:pPr>
            <w:r>
              <w:rPr>
                <w:rFonts w:ascii="宋体" w:hAnsi="宋体" w:cs="宋体" w:eastAsia="宋体" w:hint="default"/>
                <w:sz w:val="18"/>
                <w:szCs w:val="18"/>
              </w:rPr>
              <w:t>光伏电站</w:t>
            </w:r>
            <w:r>
              <w:rPr>
                <w:rFonts w:ascii="宋体" w:hAnsi="宋体" w:cs="宋体" w:eastAsia="宋体" w:hint="default"/>
                <w:sz w:val="18"/>
                <w:szCs w:val="18"/>
              </w:rPr>
              <w:t> </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87" w:right="0"/>
              <w:jc w:val="center"/>
              <w:rPr>
                <w:rFonts w:ascii="宋体" w:hAnsi="宋体" w:cs="宋体" w:eastAsia="宋体" w:hint="default"/>
                <w:sz w:val="18"/>
                <w:szCs w:val="18"/>
              </w:rPr>
            </w:pPr>
            <w:r>
              <w:rPr>
                <w:rFonts w:ascii="宋体"/>
                <w:sz w:val="18"/>
              </w:rPr>
              <w:t> </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85" w:right="0"/>
              <w:jc w:val="center"/>
              <w:rPr>
                <w:rFonts w:ascii="宋体" w:hAnsi="宋体" w:cs="宋体" w:eastAsia="宋体" w:hint="default"/>
                <w:sz w:val="18"/>
                <w:szCs w:val="18"/>
              </w:rPr>
            </w:pPr>
            <w:r>
              <w:rPr>
                <w:rFonts w:ascii="宋体"/>
                <w:sz w:val="18"/>
              </w:rPr>
              <w:t>100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非同一控制下企业合</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并</w:t>
            </w:r>
            <w:r>
              <w:rPr>
                <w:rFonts w:ascii="宋体" w:hAnsi="宋体" w:cs="宋体" w:eastAsia="宋体" w:hint="default"/>
                <w:sz w:val="18"/>
                <w:szCs w:val="18"/>
              </w:rPr>
              <w:t> </w:t>
            </w:r>
          </w:p>
        </w:tc>
      </w:tr>
      <w:tr>
        <w:trPr>
          <w:trHeight w:val="245" w:hRule="exact"/>
        </w:trPr>
        <w:tc>
          <w:tcPr>
            <w:tcW w:w="309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合肥华洋新能源科技有限公司</w:t>
            </w:r>
            <w:r>
              <w:rPr>
                <w:rFonts w:ascii="宋体" w:hAnsi="宋体" w:cs="宋体" w:eastAsia="宋体" w:hint="default"/>
                <w:sz w:val="18"/>
                <w:szCs w:val="18"/>
              </w:rPr>
              <w:t> </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87" w:right="0"/>
              <w:jc w:val="center"/>
              <w:rPr>
                <w:rFonts w:ascii="宋体" w:hAnsi="宋体" w:cs="宋体" w:eastAsia="宋体" w:hint="default"/>
                <w:sz w:val="18"/>
                <w:szCs w:val="18"/>
              </w:rPr>
            </w:pPr>
            <w:r>
              <w:rPr>
                <w:rFonts w:ascii="宋体" w:hAnsi="宋体" w:cs="宋体" w:eastAsia="宋体" w:hint="default"/>
                <w:sz w:val="18"/>
                <w:szCs w:val="18"/>
              </w:rPr>
              <w:t>合肥</w:t>
            </w:r>
            <w:r>
              <w:rPr>
                <w:rFonts w:ascii="宋体" w:hAnsi="宋体" w:cs="宋体" w:eastAsia="宋体" w:hint="default"/>
                <w:sz w:val="18"/>
                <w:szCs w:val="18"/>
              </w:rPr>
              <w:t> </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87" w:right="0"/>
              <w:jc w:val="center"/>
              <w:rPr>
                <w:rFonts w:ascii="宋体" w:hAnsi="宋体" w:cs="宋体" w:eastAsia="宋体" w:hint="default"/>
                <w:sz w:val="18"/>
                <w:szCs w:val="18"/>
              </w:rPr>
            </w:pPr>
            <w:r>
              <w:rPr>
                <w:rFonts w:ascii="宋体" w:hAnsi="宋体" w:cs="宋体" w:eastAsia="宋体" w:hint="default"/>
                <w:sz w:val="18"/>
                <w:szCs w:val="18"/>
              </w:rPr>
              <w:t>合肥</w:t>
            </w:r>
            <w:r>
              <w:rPr>
                <w:rFonts w:ascii="宋体" w:hAnsi="宋体" w:cs="宋体" w:eastAsia="宋体" w:hint="default"/>
                <w:sz w:val="18"/>
                <w:szCs w:val="18"/>
              </w:rPr>
              <w:t> </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89" w:right="0"/>
              <w:jc w:val="center"/>
              <w:rPr>
                <w:rFonts w:ascii="宋体" w:hAnsi="宋体" w:cs="宋体" w:eastAsia="宋体" w:hint="default"/>
                <w:sz w:val="18"/>
                <w:szCs w:val="18"/>
              </w:rPr>
            </w:pPr>
            <w:r>
              <w:rPr>
                <w:rFonts w:ascii="宋体" w:hAnsi="宋体" w:cs="宋体" w:eastAsia="宋体" w:hint="default"/>
                <w:sz w:val="18"/>
                <w:szCs w:val="18"/>
              </w:rPr>
              <w:t>光伏电站</w:t>
            </w:r>
            <w:r>
              <w:rPr>
                <w:rFonts w:ascii="宋体" w:hAnsi="宋体" w:cs="宋体" w:eastAsia="宋体" w:hint="default"/>
                <w:sz w:val="18"/>
                <w:szCs w:val="18"/>
              </w:rPr>
              <w:t> </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87" w:right="0"/>
              <w:jc w:val="center"/>
              <w:rPr>
                <w:rFonts w:ascii="宋体" w:hAnsi="宋体" w:cs="宋体" w:eastAsia="宋体" w:hint="default"/>
                <w:sz w:val="18"/>
                <w:szCs w:val="18"/>
              </w:rPr>
            </w:pPr>
            <w:r>
              <w:rPr>
                <w:rFonts w:ascii="宋体"/>
                <w:sz w:val="18"/>
              </w:rPr>
              <w:t> </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85" w:right="0"/>
              <w:jc w:val="center"/>
              <w:rPr>
                <w:rFonts w:ascii="宋体" w:hAnsi="宋体" w:cs="宋体" w:eastAsia="宋体" w:hint="default"/>
                <w:sz w:val="18"/>
                <w:szCs w:val="18"/>
              </w:rPr>
            </w:pPr>
            <w:r>
              <w:rPr>
                <w:rFonts w:ascii="宋体"/>
                <w:sz w:val="18"/>
              </w:rPr>
              <w:t>100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设立</w:t>
            </w:r>
            <w:r>
              <w:rPr>
                <w:rFonts w:ascii="宋体" w:hAnsi="宋体" w:cs="宋体" w:eastAsia="宋体" w:hint="default"/>
                <w:sz w:val="18"/>
                <w:szCs w:val="18"/>
              </w:rPr>
              <w:t> </w:t>
            </w:r>
          </w:p>
        </w:tc>
      </w:tr>
      <w:tr>
        <w:trPr>
          <w:trHeight w:val="243" w:hRule="exact"/>
        </w:trPr>
        <w:tc>
          <w:tcPr>
            <w:tcW w:w="309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邳州市大诚电力科技有限公司</w:t>
            </w:r>
            <w:r>
              <w:rPr>
                <w:rFonts w:ascii="宋体" w:hAnsi="宋体" w:cs="宋体" w:eastAsia="宋体" w:hint="default"/>
                <w:sz w:val="18"/>
                <w:szCs w:val="18"/>
              </w:rPr>
              <w:t> </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87" w:right="0"/>
              <w:jc w:val="center"/>
              <w:rPr>
                <w:rFonts w:ascii="宋体" w:hAnsi="宋体" w:cs="宋体" w:eastAsia="宋体" w:hint="default"/>
                <w:sz w:val="18"/>
                <w:szCs w:val="18"/>
              </w:rPr>
            </w:pPr>
            <w:r>
              <w:rPr>
                <w:rFonts w:ascii="宋体" w:hAnsi="宋体" w:cs="宋体" w:eastAsia="宋体" w:hint="default"/>
                <w:sz w:val="18"/>
                <w:szCs w:val="18"/>
              </w:rPr>
              <w:t>邳州</w:t>
            </w:r>
            <w:r>
              <w:rPr>
                <w:rFonts w:ascii="宋体" w:hAnsi="宋体" w:cs="宋体" w:eastAsia="宋体" w:hint="default"/>
                <w:sz w:val="18"/>
                <w:szCs w:val="18"/>
              </w:rPr>
              <w:t> </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87" w:right="0"/>
              <w:jc w:val="center"/>
              <w:rPr>
                <w:rFonts w:ascii="宋体" w:hAnsi="宋体" w:cs="宋体" w:eastAsia="宋体" w:hint="default"/>
                <w:sz w:val="18"/>
                <w:szCs w:val="18"/>
              </w:rPr>
            </w:pPr>
            <w:r>
              <w:rPr>
                <w:rFonts w:ascii="宋体" w:hAnsi="宋体" w:cs="宋体" w:eastAsia="宋体" w:hint="default"/>
                <w:sz w:val="18"/>
                <w:szCs w:val="18"/>
              </w:rPr>
              <w:t>邳州</w:t>
            </w:r>
            <w:r>
              <w:rPr>
                <w:rFonts w:ascii="宋体" w:hAnsi="宋体" w:cs="宋体" w:eastAsia="宋体" w:hint="default"/>
                <w:sz w:val="18"/>
                <w:szCs w:val="18"/>
              </w:rPr>
              <w:t> </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89" w:right="0"/>
              <w:jc w:val="center"/>
              <w:rPr>
                <w:rFonts w:ascii="宋体" w:hAnsi="宋体" w:cs="宋体" w:eastAsia="宋体" w:hint="default"/>
                <w:sz w:val="18"/>
                <w:szCs w:val="18"/>
              </w:rPr>
            </w:pPr>
            <w:r>
              <w:rPr>
                <w:rFonts w:ascii="宋体" w:hAnsi="宋体" w:cs="宋体" w:eastAsia="宋体" w:hint="default"/>
                <w:sz w:val="18"/>
                <w:szCs w:val="18"/>
              </w:rPr>
              <w:t>光伏电站</w:t>
            </w:r>
            <w:r>
              <w:rPr>
                <w:rFonts w:ascii="宋体" w:hAnsi="宋体" w:cs="宋体" w:eastAsia="宋体" w:hint="default"/>
                <w:sz w:val="18"/>
                <w:szCs w:val="18"/>
              </w:rPr>
              <w:t> </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87" w:right="0"/>
              <w:jc w:val="center"/>
              <w:rPr>
                <w:rFonts w:ascii="宋体" w:hAnsi="宋体" w:cs="宋体" w:eastAsia="宋体" w:hint="default"/>
                <w:sz w:val="18"/>
                <w:szCs w:val="18"/>
              </w:rPr>
            </w:pPr>
            <w:r>
              <w:rPr>
                <w:rFonts w:ascii="宋体"/>
                <w:sz w:val="18"/>
              </w:rPr>
              <w:t> </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85" w:right="0"/>
              <w:jc w:val="center"/>
              <w:rPr>
                <w:rFonts w:ascii="宋体" w:hAnsi="宋体" w:cs="宋体" w:eastAsia="宋体" w:hint="default"/>
                <w:sz w:val="18"/>
                <w:szCs w:val="18"/>
              </w:rPr>
            </w:pPr>
            <w:r>
              <w:rPr>
                <w:rFonts w:ascii="宋体"/>
                <w:sz w:val="18"/>
              </w:rPr>
              <w:t>100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设立</w:t>
            </w:r>
            <w:r>
              <w:rPr>
                <w:rFonts w:ascii="宋体" w:hAnsi="宋体" w:cs="宋体" w:eastAsia="宋体" w:hint="default"/>
                <w:sz w:val="18"/>
                <w:szCs w:val="18"/>
              </w:rPr>
              <w:t> </w:t>
            </w:r>
          </w:p>
        </w:tc>
      </w:tr>
      <w:tr>
        <w:trPr>
          <w:trHeight w:val="245" w:hRule="exact"/>
        </w:trPr>
        <w:tc>
          <w:tcPr>
            <w:tcW w:w="309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启东市永威新能源电力有限公司</w:t>
            </w:r>
            <w:r>
              <w:rPr>
                <w:rFonts w:ascii="宋体" w:hAnsi="宋体" w:cs="宋体" w:eastAsia="宋体" w:hint="default"/>
                <w:sz w:val="18"/>
                <w:szCs w:val="18"/>
              </w:rPr>
              <w:t> </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7" w:right="0"/>
              <w:jc w:val="center"/>
              <w:rPr>
                <w:rFonts w:ascii="宋体" w:hAnsi="宋体" w:cs="宋体" w:eastAsia="宋体" w:hint="default"/>
                <w:sz w:val="18"/>
                <w:szCs w:val="18"/>
              </w:rPr>
            </w:pPr>
            <w:r>
              <w:rPr>
                <w:rFonts w:ascii="宋体" w:hAnsi="宋体" w:cs="宋体" w:eastAsia="宋体" w:hint="default"/>
                <w:sz w:val="18"/>
                <w:szCs w:val="18"/>
              </w:rPr>
              <w:t>启东</w:t>
            </w:r>
            <w:r>
              <w:rPr>
                <w:rFonts w:ascii="宋体" w:hAnsi="宋体" w:cs="宋体" w:eastAsia="宋体" w:hint="default"/>
                <w:sz w:val="18"/>
                <w:szCs w:val="18"/>
              </w:rPr>
              <w:t> </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7" w:right="0"/>
              <w:jc w:val="center"/>
              <w:rPr>
                <w:rFonts w:ascii="宋体" w:hAnsi="宋体" w:cs="宋体" w:eastAsia="宋体" w:hint="default"/>
                <w:sz w:val="18"/>
                <w:szCs w:val="18"/>
              </w:rPr>
            </w:pPr>
            <w:r>
              <w:rPr>
                <w:rFonts w:ascii="宋体" w:hAnsi="宋体" w:cs="宋体" w:eastAsia="宋体" w:hint="default"/>
                <w:sz w:val="18"/>
                <w:szCs w:val="18"/>
              </w:rPr>
              <w:t>启东</w:t>
            </w:r>
            <w:r>
              <w:rPr>
                <w:rFonts w:ascii="宋体" w:hAnsi="宋体" w:cs="宋体" w:eastAsia="宋体" w:hint="default"/>
                <w:sz w:val="18"/>
                <w:szCs w:val="18"/>
              </w:rPr>
              <w:t> </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9" w:right="0"/>
              <w:jc w:val="center"/>
              <w:rPr>
                <w:rFonts w:ascii="宋体" w:hAnsi="宋体" w:cs="宋体" w:eastAsia="宋体" w:hint="default"/>
                <w:sz w:val="18"/>
                <w:szCs w:val="18"/>
              </w:rPr>
            </w:pPr>
            <w:r>
              <w:rPr>
                <w:rFonts w:ascii="宋体" w:hAnsi="宋体" w:cs="宋体" w:eastAsia="宋体" w:hint="default"/>
                <w:sz w:val="18"/>
                <w:szCs w:val="18"/>
              </w:rPr>
              <w:t>光伏电站</w:t>
            </w:r>
            <w:r>
              <w:rPr>
                <w:rFonts w:ascii="宋体" w:hAnsi="宋体" w:cs="宋体" w:eastAsia="宋体" w:hint="default"/>
                <w:sz w:val="18"/>
                <w:szCs w:val="18"/>
              </w:rPr>
              <w:t> </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7" w:right="0"/>
              <w:jc w:val="center"/>
              <w:rPr>
                <w:rFonts w:ascii="宋体" w:hAnsi="宋体" w:cs="宋体" w:eastAsia="宋体" w:hint="default"/>
                <w:sz w:val="18"/>
                <w:szCs w:val="18"/>
              </w:rPr>
            </w:pPr>
            <w:r>
              <w:rPr>
                <w:rFonts w:ascii="宋体"/>
                <w:sz w:val="18"/>
              </w:rPr>
              <w:t> </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5" w:right="0"/>
              <w:jc w:val="center"/>
              <w:rPr>
                <w:rFonts w:ascii="宋体" w:hAnsi="宋体" w:cs="宋体" w:eastAsia="宋体" w:hint="default"/>
                <w:sz w:val="18"/>
                <w:szCs w:val="18"/>
              </w:rPr>
            </w:pPr>
            <w:r>
              <w:rPr>
                <w:rFonts w:ascii="宋体"/>
                <w:sz w:val="18"/>
              </w:rPr>
              <w:t>100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设立</w:t>
            </w:r>
            <w:r>
              <w:rPr>
                <w:rFonts w:ascii="宋体" w:hAnsi="宋体" w:cs="宋体" w:eastAsia="宋体" w:hint="default"/>
                <w:sz w:val="18"/>
                <w:szCs w:val="18"/>
              </w:rPr>
              <w:t> </w:t>
            </w:r>
          </w:p>
        </w:tc>
      </w:tr>
      <w:tr>
        <w:trPr>
          <w:trHeight w:val="475" w:hRule="exact"/>
        </w:trPr>
        <w:tc>
          <w:tcPr>
            <w:tcW w:w="3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0"/>
              <w:jc w:val="left"/>
              <w:rPr>
                <w:rFonts w:ascii="宋体" w:hAnsi="宋体" w:cs="宋体" w:eastAsia="宋体" w:hint="default"/>
                <w:sz w:val="18"/>
                <w:szCs w:val="18"/>
              </w:rPr>
            </w:pPr>
            <w:r>
              <w:rPr>
                <w:rFonts w:ascii="宋体" w:hAnsi="宋体" w:cs="宋体" w:eastAsia="宋体" w:hint="default"/>
                <w:sz w:val="18"/>
                <w:szCs w:val="18"/>
              </w:rPr>
              <w:t>肥东金润新能源有限公司</w:t>
            </w:r>
            <w:r>
              <w:rPr>
                <w:rFonts w:ascii="宋体" w:hAnsi="宋体" w:cs="宋体" w:eastAsia="宋体" w:hint="default"/>
                <w:sz w:val="18"/>
                <w:szCs w:val="18"/>
              </w:rPr>
              <w:t> </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87" w:right="0"/>
              <w:jc w:val="center"/>
              <w:rPr>
                <w:rFonts w:ascii="宋体" w:hAnsi="宋体" w:cs="宋体" w:eastAsia="宋体" w:hint="default"/>
                <w:sz w:val="18"/>
                <w:szCs w:val="18"/>
              </w:rPr>
            </w:pPr>
            <w:r>
              <w:rPr>
                <w:rFonts w:ascii="宋体" w:hAnsi="宋体" w:cs="宋体" w:eastAsia="宋体" w:hint="default"/>
                <w:sz w:val="18"/>
                <w:szCs w:val="18"/>
              </w:rPr>
              <w:t>肥东</w:t>
            </w:r>
            <w:r>
              <w:rPr>
                <w:rFonts w:ascii="宋体" w:hAnsi="宋体" w:cs="宋体" w:eastAsia="宋体" w:hint="default"/>
                <w:sz w:val="18"/>
                <w:szCs w:val="18"/>
              </w:rPr>
              <w:t> </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87" w:right="0"/>
              <w:jc w:val="center"/>
              <w:rPr>
                <w:rFonts w:ascii="宋体" w:hAnsi="宋体" w:cs="宋体" w:eastAsia="宋体" w:hint="default"/>
                <w:sz w:val="18"/>
                <w:szCs w:val="18"/>
              </w:rPr>
            </w:pPr>
            <w:r>
              <w:rPr>
                <w:rFonts w:ascii="宋体" w:hAnsi="宋体" w:cs="宋体" w:eastAsia="宋体" w:hint="default"/>
                <w:sz w:val="18"/>
                <w:szCs w:val="18"/>
              </w:rPr>
              <w:t>肥东</w:t>
            </w:r>
            <w:r>
              <w:rPr>
                <w:rFonts w:ascii="宋体" w:hAnsi="宋体" w:cs="宋体" w:eastAsia="宋体" w:hint="default"/>
                <w:sz w:val="18"/>
                <w:szCs w:val="18"/>
              </w:rPr>
              <w:t> </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89" w:right="0"/>
              <w:jc w:val="center"/>
              <w:rPr>
                <w:rFonts w:ascii="宋体" w:hAnsi="宋体" w:cs="宋体" w:eastAsia="宋体" w:hint="default"/>
                <w:sz w:val="18"/>
                <w:szCs w:val="18"/>
              </w:rPr>
            </w:pPr>
            <w:r>
              <w:rPr>
                <w:rFonts w:ascii="宋体" w:hAnsi="宋体" w:cs="宋体" w:eastAsia="宋体" w:hint="default"/>
                <w:sz w:val="18"/>
                <w:szCs w:val="18"/>
              </w:rPr>
              <w:t>光伏电站</w:t>
            </w:r>
            <w:r>
              <w:rPr>
                <w:rFonts w:ascii="宋体" w:hAnsi="宋体" w:cs="宋体" w:eastAsia="宋体" w:hint="default"/>
                <w:sz w:val="18"/>
                <w:szCs w:val="18"/>
              </w:rPr>
              <w:t> </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87" w:right="0"/>
              <w:jc w:val="center"/>
              <w:rPr>
                <w:rFonts w:ascii="宋体" w:hAnsi="宋体" w:cs="宋体" w:eastAsia="宋体" w:hint="default"/>
                <w:sz w:val="18"/>
                <w:szCs w:val="18"/>
              </w:rPr>
            </w:pPr>
            <w:r>
              <w:rPr>
                <w:rFonts w:ascii="宋体"/>
                <w:sz w:val="18"/>
              </w:rPr>
              <w:t> </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85" w:right="0"/>
              <w:jc w:val="center"/>
              <w:rPr>
                <w:rFonts w:ascii="宋体" w:hAnsi="宋体" w:cs="宋体" w:eastAsia="宋体" w:hint="default"/>
                <w:sz w:val="18"/>
                <w:szCs w:val="18"/>
              </w:rPr>
            </w:pPr>
            <w:r>
              <w:rPr>
                <w:rFonts w:ascii="宋体"/>
                <w:sz w:val="18"/>
              </w:rPr>
              <w:t>100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非同一控制下企业合</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并</w:t>
            </w:r>
            <w:r>
              <w:rPr>
                <w:rFonts w:ascii="宋体" w:hAnsi="宋体" w:cs="宋体" w:eastAsia="宋体" w:hint="default"/>
                <w:sz w:val="18"/>
                <w:szCs w:val="18"/>
              </w:rPr>
              <w:t> </w:t>
            </w:r>
          </w:p>
        </w:tc>
      </w:tr>
      <w:tr>
        <w:trPr>
          <w:trHeight w:val="245" w:hRule="exact"/>
        </w:trPr>
        <w:tc>
          <w:tcPr>
            <w:tcW w:w="309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sz w:val="18"/>
              </w:rPr>
              <w:t>LINYANGSMARTENERGYAFRICA(PTY)LTD </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87" w:right="0"/>
              <w:jc w:val="center"/>
              <w:rPr>
                <w:rFonts w:ascii="宋体" w:hAnsi="宋体" w:cs="宋体" w:eastAsia="宋体" w:hint="default"/>
                <w:sz w:val="18"/>
                <w:szCs w:val="18"/>
              </w:rPr>
            </w:pPr>
            <w:r>
              <w:rPr>
                <w:rFonts w:ascii="宋体" w:hAnsi="宋体" w:cs="宋体" w:eastAsia="宋体" w:hint="default"/>
                <w:sz w:val="18"/>
                <w:szCs w:val="18"/>
              </w:rPr>
              <w:t>南非</w:t>
            </w:r>
            <w:r>
              <w:rPr>
                <w:rFonts w:ascii="宋体" w:hAnsi="宋体" w:cs="宋体" w:eastAsia="宋体" w:hint="default"/>
                <w:sz w:val="18"/>
                <w:szCs w:val="18"/>
              </w:rPr>
              <w:t> </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87" w:right="0"/>
              <w:jc w:val="center"/>
              <w:rPr>
                <w:rFonts w:ascii="宋体" w:hAnsi="宋体" w:cs="宋体" w:eastAsia="宋体" w:hint="default"/>
                <w:sz w:val="18"/>
                <w:szCs w:val="18"/>
              </w:rPr>
            </w:pPr>
            <w:r>
              <w:rPr>
                <w:rFonts w:ascii="宋体" w:hAnsi="宋体" w:cs="宋体" w:eastAsia="宋体" w:hint="default"/>
                <w:sz w:val="18"/>
                <w:szCs w:val="18"/>
              </w:rPr>
              <w:t>南非</w:t>
            </w:r>
            <w:r>
              <w:rPr>
                <w:rFonts w:ascii="宋体" w:hAnsi="宋体" w:cs="宋体" w:eastAsia="宋体" w:hint="default"/>
                <w:sz w:val="18"/>
                <w:szCs w:val="18"/>
              </w:rPr>
              <w:t> </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87" w:right="0"/>
              <w:jc w:val="center"/>
              <w:rPr>
                <w:rFonts w:ascii="宋体" w:hAnsi="宋体" w:cs="宋体" w:eastAsia="宋体" w:hint="default"/>
                <w:sz w:val="18"/>
                <w:szCs w:val="18"/>
              </w:rPr>
            </w:pPr>
            <w:r>
              <w:rPr>
                <w:rFonts w:ascii="宋体" w:hAnsi="宋体" w:cs="宋体" w:eastAsia="宋体" w:hint="default"/>
                <w:sz w:val="18"/>
                <w:szCs w:val="18"/>
              </w:rPr>
              <w:t>投资、贸易</w:t>
            </w:r>
            <w:r>
              <w:rPr>
                <w:rFonts w:ascii="宋体" w:hAnsi="宋体" w:cs="宋体" w:eastAsia="宋体" w:hint="default"/>
                <w:sz w:val="18"/>
                <w:szCs w:val="18"/>
              </w:rPr>
              <w:t> </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87" w:right="0"/>
              <w:jc w:val="center"/>
              <w:rPr>
                <w:rFonts w:ascii="宋体" w:hAnsi="宋体" w:cs="宋体" w:eastAsia="宋体" w:hint="default"/>
                <w:sz w:val="18"/>
                <w:szCs w:val="18"/>
              </w:rPr>
            </w:pPr>
            <w:r>
              <w:rPr>
                <w:rFonts w:ascii="宋体"/>
                <w:sz w:val="18"/>
              </w:rPr>
              <w:t> </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85" w:right="0"/>
              <w:jc w:val="center"/>
              <w:rPr>
                <w:rFonts w:ascii="宋体" w:hAnsi="宋体" w:cs="宋体" w:eastAsia="宋体" w:hint="default"/>
                <w:sz w:val="18"/>
                <w:szCs w:val="18"/>
              </w:rPr>
            </w:pPr>
            <w:r>
              <w:rPr>
                <w:rFonts w:ascii="宋体"/>
                <w:sz w:val="18"/>
              </w:rPr>
              <w:t>100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设立</w:t>
            </w:r>
            <w:r>
              <w:rPr>
                <w:rFonts w:ascii="宋体" w:hAnsi="宋体" w:cs="宋体" w:eastAsia="宋体" w:hint="default"/>
                <w:sz w:val="18"/>
                <w:szCs w:val="18"/>
              </w:rPr>
              <w:t> </w:t>
            </w:r>
          </w:p>
        </w:tc>
      </w:tr>
      <w:tr>
        <w:trPr>
          <w:trHeight w:val="242" w:hRule="exact"/>
        </w:trPr>
        <w:tc>
          <w:tcPr>
            <w:tcW w:w="309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北京林洋新能源科技有限公司</w:t>
            </w:r>
            <w:r>
              <w:rPr>
                <w:rFonts w:ascii="宋体" w:hAnsi="宋体" w:cs="宋体" w:eastAsia="宋体" w:hint="default"/>
                <w:sz w:val="18"/>
                <w:szCs w:val="18"/>
              </w:rPr>
              <w:t> </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7" w:right="0"/>
              <w:jc w:val="center"/>
              <w:rPr>
                <w:rFonts w:ascii="宋体" w:hAnsi="宋体" w:cs="宋体" w:eastAsia="宋体" w:hint="default"/>
                <w:sz w:val="18"/>
                <w:szCs w:val="18"/>
              </w:rPr>
            </w:pPr>
            <w:r>
              <w:rPr>
                <w:rFonts w:ascii="宋体" w:hAnsi="宋体" w:cs="宋体" w:eastAsia="宋体" w:hint="default"/>
                <w:sz w:val="18"/>
                <w:szCs w:val="18"/>
              </w:rPr>
              <w:t>北京</w:t>
            </w:r>
            <w:r>
              <w:rPr>
                <w:rFonts w:ascii="宋体" w:hAnsi="宋体" w:cs="宋体" w:eastAsia="宋体" w:hint="default"/>
                <w:sz w:val="18"/>
                <w:szCs w:val="18"/>
              </w:rPr>
              <w:t> </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7" w:right="0"/>
              <w:jc w:val="center"/>
              <w:rPr>
                <w:rFonts w:ascii="宋体" w:hAnsi="宋体" w:cs="宋体" w:eastAsia="宋体" w:hint="default"/>
                <w:sz w:val="18"/>
                <w:szCs w:val="18"/>
              </w:rPr>
            </w:pPr>
            <w:r>
              <w:rPr>
                <w:rFonts w:ascii="宋体" w:hAnsi="宋体" w:cs="宋体" w:eastAsia="宋体" w:hint="default"/>
                <w:sz w:val="18"/>
                <w:szCs w:val="18"/>
              </w:rPr>
              <w:t>北京</w:t>
            </w:r>
            <w:r>
              <w:rPr>
                <w:rFonts w:ascii="宋体" w:hAnsi="宋体" w:cs="宋体" w:eastAsia="宋体" w:hint="default"/>
                <w:sz w:val="18"/>
                <w:szCs w:val="18"/>
              </w:rPr>
              <w:t> </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9" w:right="0"/>
              <w:jc w:val="center"/>
              <w:rPr>
                <w:rFonts w:ascii="宋体" w:hAnsi="宋体" w:cs="宋体" w:eastAsia="宋体" w:hint="default"/>
                <w:sz w:val="18"/>
                <w:szCs w:val="18"/>
              </w:rPr>
            </w:pPr>
            <w:r>
              <w:rPr>
                <w:rFonts w:ascii="宋体" w:hAnsi="宋体" w:cs="宋体" w:eastAsia="宋体" w:hint="default"/>
                <w:sz w:val="18"/>
                <w:szCs w:val="18"/>
              </w:rPr>
              <w:t>光伏电站</w:t>
            </w:r>
            <w:r>
              <w:rPr>
                <w:rFonts w:ascii="宋体" w:hAnsi="宋体" w:cs="宋体" w:eastAsia="宋体" w:hint="default"/>
                <w:sz w:val="18"/>
                <w:szCs w:val="18"/>
              </w:rPr>
              <w:t> </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5" w:right="0"/>
              <w:jc w:val="center"/>
              <w:rPr>
                <w:rFonts w:ascii="宋体" w:hAnsi="宋体" w:cs="宋体" w:eastAsia="宋体" w:hint="default"/>
                <w:sz w:val="18"/>
                <w:szCs w:val="18"/>
              </w:rPr>
            </w:pPr>
            <w:r>
              <w:rPr>
                <w:rFonts w:ascii="宋体"/>
                <w:sz w:val="18"/>
              </w:rPr>
              <w:t>100 </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3" w:right="0"/>
              <w:jc w:val="center"/>
              <w:rPr>
                <w:rFonts w:ascii="宋体" w:hAnsi="宋体" w:cs="宋体" w:eastAsia="宋体" w:hint="default"/>
                <w:sz w:val="18"/>
                <w:szCs w:val="18"/>
              </w:rPr>
            </w:pPr>
            <w:r>
              <w:rPr>
                <w:rFonts w:ascii="宋体"/>
                <w:sz w:val="18"/>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设立</w:t>
            </w:r>
            <w:r>
              <w:rPr>
                <w:rFonts w:ascii="宋体" w:hAnsi="宋体" w:cs="宋体" w:eastAsia="宋体" w:hint="default"/>
                <w:sz w:val="18"/>
                <w:szCs w:val="18"/>
              </w:rPr>
              <w:t> </w:t>
            </w:r>
          </w:p>
        </w:tc>
      </w:tr>
      <w:tr>
        <w:trPr>
          <w:trHeight w:val="245" w:hRule="exact"/>
        </w:trPr>
        <w:tc>
          <w:tcPr>
            <w:tcW w:w="309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南通市永乐新能源电力有限公司</w:t>
            </w:r>
            <w:r>
              <w:rPr>
                <w:rFonts w:ascii="宋体" w:hAnsi="宋体" w:cs="宋体" w:eastAsia="宋体" w:hint="default"/>
                <w:sz w:val="18"/>
                <w:szCs w:val="18"/>
              </w:rPr>
              <w:t> </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7" w:right="0"/>
              <w:jc w:val="center"/>
              <w:rPr>
                <w:rFonts w:ascii="宋体" w:hAnsi="宋体" w:cs="宋体" w:eastAsia="宋体" w:hint="default"/>
                <w:sz w:val="18"/>
                <w:szCs w:val="18"/>
              </w:rPr>
            </w:pPr>
            <w:r>
              <w:rPr>
                <w:rFonts w:ascii="宋体" w:hAnsi="宋体" w:cs="宋体" w:eastAsia="宋体" w:hint="default"/>
                <w:sz w:val="18"/>
                <w:szCs w:val="18"/>
              </w:rPr>
              <w:t>南通</w:t>
            </w:r>
            <w:r>
              <w:rPr>
                <w:rFonts w:ascii="宋体" w:hAnsi="宋体" w:cs="宋体" w:eastAsia="宋体" w:hint="default"/>
                <w:sz w:val="18"/>
                <w:szCs w:val="18"/>
              </w:rPr>
              <w:t> </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7" w:right="0"/>
              <w:jc w:val="center"/>
              <w:rPr>
                <w:rFonts w:ascii="宋体" w:hAnsi="宋体" w:cs="宋体" w:eastAsia="宋体" w:hint="default"/>
                <w:sz w:val="18"/>
                <w:szCs w:val="18"/>
              </w:rPr>
            </w:pPr>
            <w:r>
              <w:rPr>
                <w:rFonts w:ascii="宋体" w:hAnsi="宋体" w:cs="宋体" w:eastAsia="宋体" w:hint="default"/>
                <w:sz w:val="18"/>
                <w:szCs w:val="18"/>
              </w:rPr>
              <w:t>南通</w:t>
            </w:r>
            <w:r>
              <w:rPr>
                <w:rFonts w:ascii="宋体" w:hAnsi="宋体" w:cs="宋体" w:eastAsia="宋体" w:hint="default"/>
                <w:sz w:val="18"/>
                <w:szCs w:val="18"/>
              </w:rPr>
              <w:t> </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9" w:right="0"/>
              <w:jc w:val="center"/>
              <w:rPr>
                <w:rFonts w:ascii="宋体" w:hAnsi="宋体" w:cs="宋体" w:eastAsia="宋体" w:hint="default"/>
                <w:sz w:val="18"/>
                <w:szCs w:val="18"/>
              </w:rPr>
            </w:pPr>
            <w:r>
              <w:rPr>
                <w:rFonts w:ascii="宋体" w:hAnsi="宋体" w:cs="宋体" w:eastAsia="宋体" w:hint="default"/>
                <w:sz w:val="18"/>
                <w:szCs w:val="18"/>
              </w:rPr>
              <w:t>光伏电站</w:t>
            </w:r>
            <w:r>
              <w:rPr>
                <w:rFonts w:ascii="宋体" w:hAnsi="宋体" w:cs="宋体" w:eastAsia="宋体" w:hint="default"/>
                <w:sz w:val="18"/>
                <w:szCs w:val="18"/>
              </w:rPr>
              <w:t> </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7" w:right="0"/>
              <w:jc w:val="center"/>
              <w:rPr>
                <w:rFonts w:ascii="宋体" w:hAnsi="宋体" w:cs="宋体" w:eastAsia="宋体" w:hint="default"/>
                <w:sz w:val="18"/>
                <w:szCs w:val="18"/>
              </w:rPr>
            </w:pPr>
            <w:r>
              <w:rPr>
                <w:rFonts w:ascii="宋体"/>
                <w:sz w:val="18"/>
              </w:rPr>
              <w:t> </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5" w:right="0"/>
              <w:jc w:val="center"/>
              <w:rPr>
                <w:rFonts w:ascii="宋体" w:hAnsi="宋体" w:cs="宋体" w:eastAsia="宋体" w:hint="default"/>
                <w:sz w:val="18"/>
                <w:szCs w:val="18"/>
              </w:rPr>
            </w:pPr>
            <w:r>
              <w:rPr>
                <w:rFonts w:ascii="宋体"/>
                <w:sz w:val="18"/>
              </w:rPr>
              <w:t>100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设立</w:t>
            </w:r>
            <w:r>
              <w:rPr>
                <w:rFonts w:ascii="宋体" w:hAnsi="宋体" w:cs="宋体" w:eastAsia="宋体" w:hint="default"/>
                <w:sz w:val="18"/>
                <w:szCs w:val="18"/>
              </w:rPr>
              <w:t> </w:t>
            </w:r>
          </w:p>
        </w:tc>
      </w:tr>
      <w:tr>
        <w:trPr>
          <w:trHeight w:val="242" w:hRule="exact"/>
        </w:trPr>
        <w:tc>
          <w:tcPr>
            <w:tcW w:w="309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永城市林安新能源科技有限公司</w:t>
            </w:r>
            <w:r>
              <w:rPr>
                <w:rFonts w:ascii="宋体" w:hAnsi="宋体" w:cs="宋体" w:eastAsia="宋体" w:hint="default"/>
                <w:sz w:val="18"/>
                <w:szCs w:val="18"/>
              </w:rPr>
              <w:t> </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7" w:right="0"/>
              <w:jc w:val="center"/>
              <w:rPr>
                <w:rFonts w:ascii="宋体" w:hAnsi="宋体" w:cs="宋体" w:eastAsia="宋体" w:hint="default"/>
                <w:sz w:val="18"/>
                <w:szCs w:val="18"/>
              </w:rPr>
            </w:pPr>
            <w:r>
              <w:rPr>
                <w:rFonts w:ascii="宋体" w:hAnsi="宋体" w:cs="宋体" w:eastAsia="宋体" w:hint="default"/>
                <w:sz w:val="18"/>
                <w:szCs w:val="18"/>
              </w:rPr>
              <w:t>永城</w:t>
            </w:r>
            <w:r>
              <w:rPr>
                <w:rFonts w:ascii="宋体" w:hAnsi="宋体" w:cs="宋体" w:eastAsia="宋体" w:hint="default"/>
                <w:sz w:val="18"/>
                <w:szCs w:val="18"/>
              </w:rPr>
              <w:t> </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7" w:right="0"/>
              <w:jc w:val="center"/>
              <w:rPr>
                <w:rFonts w:ascii="宋体" w:hAnsi="宋体" w:cs="宋体" w:eastAsia="宋体" w:hint="default"/>
                <w:sz w:val="18"/>
                <w:szCs w:val="18"/>
              </w:rPr>
            </w:pPr>
            <w:r>
              <w:rPr>
                <w:rFonts w:ascii="宋体" w:hAnsi="宋体" w:cs="宋体" w:eastAsia="宋体" w:hint="default"/>
                <w:sz w:val="18"/>
                <w:szCs w:val="18"/>
              </w:rPr>
              <w:t>永城</w:t>
            </w:r>
            <w:r>
              <w:rPr>
                <w:rFonts w:ascii="宋体" w:hAnsi="宋体" w:cs="宋体" w:eastAsia="宋体" w:hint="default"/>
                <w:sz w:val="18"/>
                <w:szCs w:val="18"/>
              </w:rPr>
              <w:t> </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9" w:right="0"/>
              <w:jc w:val="center"/>
              <w:rPr>
                <w:rFonts w:ascii="宋体" w:hAnsi="宋体" w:cs="宋体" w:eastAsia="宋体" w:hint="default"/>
                <w:sz w:val="18"/>
                <w:szCs w:val="18"/>
              </w:rPr>
            </w:pPr>
            <w:r>
              <w:rPr>
                <w:rFonts w:ascii="宋体" w:hAnsi="宋体" w:cs="宋体" w:eastAsia="宋体" w:hint="default"/>
                <w:sz w:val="18"/>
                <w:szCs w:val="18"/>
              </w:rPr>
              <w:t>光伏电站</w:t>
            </w:r>
            <w:r>
              <w:rPr>
                <w:rFonts w:ascii="宋体" w:hAnsi="宋体" w:cs="宋体" w:eastAsia="宋体" w:hint="default"/>
                <w:sz w:val="18"/>
                <w:szCs w:val="18"/>
              </w:rPr>
              <w:t> </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7" w:right="0"/>
              <w:jc w:val="center"/>
              <w:rPr>
                <w:rFonts w:ascii="宋体" w:hAnsi="宋体" w:cs="宋体" w:eastAsia="宋体" w:hint="default"/>
                <w:sz w:val="18"/>
                <w:szCs w:val="18"/>
              </w:rPr>
            </w:pPr>
            <w:r>
              <w:rPr>
                <w:rFonts w:ascii="宋体"/>
                <w:sz w:val="18"/>
              </w:rPr>
              <w:t> </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5" w:right="0"/>
              <w:jc w:val="center"/>
              <w:rPr>
                <w:rFonts w:ascii="宋体" w:hAnsi="宋体" w:cs="宋体" w:eastAsia="宋体" w:hint="default"/>
                <w:sz w:val="18"/>
                <w:szCs w:val="18"/>
              </w:rPr>
            </w:pPr>
            <w:r>
              <w:rPr>
                <w:rFonts w:ascii="宋体"/>
                <w:sz w:val="18"/>
              </w:rPr>
              <w:t>100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设立</w:t>
            </w:r>
            <w:r>
              <w:rPr>
                <w:rFonts w:ascii="宋体" w:hAnsi="宋体" w:cs="宋体" w:eastAsia="宋体" w:hint="default"/>
                <w:sz w:val="18"/>
                <w:szCs w:val="18"/>
              </w:rPr>
              <w:t> </w:t>
            </w:r>
          </w:p>
        </w:tc>
      </w:tr>
    </w:tbl>
    <w:p>
      <w:pPr>
        <w:pStyle w:val="BodyText"/>
        <w:spacing w:line="241" w:lineRule="exact"/>
        <w:ind w:left="958" w:right="0"/>
        <w:jc w:val="left"/>
        <w:rPr>
          <w:rFonts w:ascii="宋体" w:hAnsi="宋体" w:cs="宋体" w:eastAsia="宋体" w:hint="default"/>
        </w:rPr>
      </w:pPr>
      <w:r>
        <w:rPr>
          <w:rFonts w:ascii="宋体"/>
          <w:w w:val="100"/>
        </w:rPr>
        <w:t> </w:t>
      </w:r>
    </w:p>
    <w:p>
      <w:pPr>
        <w:pStyle w:val="Heading3"/>
        <w:spacing w:line="240" w:lineRule="auto" w:before="58"/>
        <w:ind w:left="958" w:right="7279"/>
        <w:jc w:val="left"/>
        <w:rPr>
          <w:rFonts w:ascii="宋体" w:hAnsi="宋体" w:cs="宋体" w:eastAsia="宋体" w:hint="default"/>
          <w:b w:val="0"/>
          <w:bCs w:val="0"/>
        </w:rPr>
      </w:pPr>
      <w:r>
        <w:rPr>
          <w:rFonts w:ascii="宋体" w:hAnsi="宋体" w:cs="宋体" w:eastAsia="宋体" w:hint="default"/>
        </w:rPr>
        <w:t>(2).</w:t>
      </w:r>
      <w:r>
        <w:rPr>
          <w:rFonts w:ascii="宋体" w:hAnsi="宋体" w:cs="宋体" w:eastAsia="宋体" w:hint="default"/>
          <w:spacing w:val="-44"/>
        </w:rPr>
        <w:t> </w:t>
      </w:r>
      <w:r>
        <w:rPr/>
        <w:t>重要的非全资子公司</w:t>
      </w:r>
      <w:r>
        <w:rPr>
          <w:rFonts w:ascii="宋体" w:hAnsi="宋体" w:cs="宋体" w:eastAsia="宋体" w:hint="default"/>
          <w:w w:val="99"/>
        </w:rPr>
        <w:t> </w:t>
      </w:r>
      <w:r>
        <w:rPr>
          <w:rFonts w:ascii="宋体" w:hAnsi="宋体" w:cs="宋体" w:eastAsia="宋体" w:hint="default"/>
          <w:b w:val="0"/>
          <w:bCs w:val="0"/>
        </w:rPr>
      </w:r>
    </w:p>
    <w:p>
      <w:pPr>
        <w:pStyle w:val="Heading2"/>
        <w:spacing w:line="240" w:lineRule="auto" w:before="50"/>
        <w:ind w:left="958" w:right="7279"/>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BodyText"/>
        <w:spacing w:line="240" w:lineRule="auto" w:before="4"/>
        <w:ind w:left="958" w:right="0"/>
        <w:jc w:val="left"/>
        <w:rPr>
          <w:rFonts w:ascii="宋体" w:hAnsi="宋体" w:cs="宋体" w:eastAsia="宋体" w:hint="default"/>
        </w:rPr>
      </w:pPr>
      <w:r>
        <w:rPr>
          <w:rFonts w:ascii="宋体"/>
          <w:w w:val="100"/>
        </w:rPr>
        <w:t> </w:t>
      </w:r>
    </w:p>
    <w:p>
      <w:pPr>
        <w:spacing w:after="0" w:line="240" w:lineRule="auto"/>
        <w:jc w:val="left"/>
        <w:rPr>
          <w:rFonts w:ascii="宋体" w:hAnsi="宋体" w:cs="宋体" w:eastAsia="宋体" w:hint="default"/>
        </w:rPr>
        <w:sectPr>
          <w:pgSz w:w="11910" w:h="16840"/>
          <w:pgMar w:header="748" w:footer="974" w:top="1140" w:bottom="1160" w:left="840" w:right="320"/>
        </w:sectPr>
      </w:pPr>
    </w:p>
    <w:p>
      <w:pPr>
        <w:spacing w:line="240" w:lineRule="auto" w:before="12"/>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pgSz w:w="11910" w:h="16840"/>
          <w:pgMar w:header="748" w:footer="974" w:top="1140" w:bottom="1160" w:left="1580" w:right="1040"/>
        </w:sectPr>
      </w:pPr>
    </w:p>
    <w:p>
      <w:pPr>
        <w:pStyle w:val="BodyText"/>
        <w:spacing w:line="240" w:lineRule="auto" w:before="36"/>
        <w:ind w:right="0"/>
        <w:jc w:val="left"/>
        <w:rPr>
          <w:rFonts w:ascii="宋体" w:hAnsi="宋体" w:cs="宋体" w:eastAsia="宋体" w:hint="default"/>
        </w:rPr>
      </w:pPr>
      <w:r>
        <w:rPr>
          <w:rFonts w:ascii="宋体"/>
          <w:w w:val="100"/>
        </w:rPr>
        <w:t> </w:t>
      </w:r>
    </w:p>
    <w:p>
      <w:pPr>
        <w:pStyle w:val="Heading3"/>
        <w:spacing w:line="240" w:lineRule="auto" w:before="59"/>
        <w:ind w:right="0"/>
        <w:jc w:val="left"/>
        <w:rPr>
          <w:rFonts w:ascii="宋体" w:hAnsi="宋体" w:cs="宋体" w:eastAsia="宋体" w:hint="default"/>
          <w:b w:val="0"/>
          <w:bCs w:val="0"/>
        </w:rPr>
      </w:pPr>
      <w:r>
        <w:rPr>
          <w:rFonts w:ascii="宋体" w:hAnsi="宋体" w:cs="宋体" w:eastAsia="宋体" w:hint="default"/>
        </w:rPr>
        <w:t>(3).</w:t>
      </w:r>
      <w:r>
        <w:rPr>
          <w:rFonts w:ascii="宋体" w:hAnsi="宋体" w:cs="宋体" w:eastAsia="宋体" w:hint="default"/>
          <w:spacing w:val="-48"/>
        </w:rPr>
        <w:t> </w:t>
      </w:r>
      <w:r>
        <w:rPr/>
        <w:t>重要非全资子公司的主要财务信息</w:t>
      </w:r>
      <w:r>
        <w:rPr>
          <w:rFonts w:ascii="宋体" w:hAnsi="宋体" w:cs="宋体" w:eastAsia="宋体" w:hint="default"/>
          <w:w w:val="99"/>
        </w:rPr>
        <w:t> </w:t>
      </w:r>
      <w:r>
        <w:rPr>
          <w:rFonts w:ascii="宋体" w:hAnsi="宋体" w:cs="宋体" w:eastAsia="宋体" w:hint="default"/>
          <w:b w:val="0"/>
          <w:bCs w:val="0"/>
        </w:rPr>
      </w:r>
    </w:p>
    <w:p>
      <w:pPr>
        <w:pStyle w:val="Heading2"/>
        <w:spacing w:line="240" w:lineRule="auto" w:before="50"/>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BodyText"/>
        <w:spacing w:line="240" w:lineRule="auto" w:before="4"/>
        <w:ind w:right="0"/>
        <w:jc w:val="left"/>
        <w:rPr>
          <w:rFonts w:ascii="宋体" w:hAnsi="宋体" w:cs="宋体" w:eastAsia="宋体" w:hint="default"/>
        </w:rPr>
      </w:pPr>
      <w:r>
        <w:rPr>
          <w:rFonts w:ascii="宋体"/>
          <w:w w:val="100"/>
        </w:rPr>
        <w:t> </w:t>
      </w:r>
    </w:p>
    <w:p>
      <w:pPr>
        <w:pStyle w:val="Heading3"/>
        <w:spacing w:line="240" w:lineRule="auto" w:before="58"/>
        <w:ind w:right="0"/>
        <w:jc w:val="left"/>
        <w:rPr>
          <w:rFonts w:ascii="宋体" w:hAnsi="宋体" w:cs="宋体" w:eastAsia="宋体" w:hint="default"/>
          <w:b w:val="0"/>
          <w:bCs w:val="0"/>
        </w:rPr>
      </w:pPr>
      <w:r>
        <w:rPr>
          <w:rFonts w:ascii="宋体" w:hAnsi="宋体" w:cs="宋体" w:eastAsia="宋体" w:hint="default"/>
        </w:rPr>
        <w:t>(4).</w:t>
      </w:r>
      <w:r>
        <w:rPr>
          <w:rFonts w:ascii="宋体" w:hAnsi="宋体" w:cs="宋体" w:eastAsia="宋体" w:hint="default"/>
          <w:spacing w:val="-48"/>
        </w:rPr>
        <w:t> </w:t>
      </w:r>
      <w:r>
        <w:rPr/>
        <w:t>使用企业集团资产和清偿企业集团债务的重大限制</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56"/>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b/>
          <w:bCs/>
          <w:w w:val="99"/>
        </w:rPr>
        <w:t> </w:t>
      </w:r>
      <w:r>
        <w:rPr>
          <w:rFonts w:ascii="宋体" w:hAnsi="宋体" w:cs="宋体" w:eastAsia="宋体" w:hint="default"/>
        </w:rPr>
      </w:r>
    </w:p>
    <w:p>
      <w:pPr>
        <w:pStyle w:val="BodyText"/>
        <w:spacing w:line="273" w:lineRule="exact"/>
        <w:ind w:right="0"/>
        <w:jc w:val="left"/>
        <w:rPr>
          <w:rFonts w:ascii="宋体" w:hAnsi="宋体" w:cs="宋体" w:eastAsia="宋体" w:hint="default"/>
        </w:rPr>
      </w:pPr>
      <w:r>
        <w:rPr>
          <w:rFonts w:ascii="宋体"/>
          <w:w w:val="100"/>
        </w:rPr>
        <w:t> </w:t>
      </w:r>
    </w:p>
    <w:p>
      <w:pPr>
        <w:pStyle w:val="Heading3"/>
        <w:spacing w:line="240" w:lineRule="auto" w:before="58"/>
        <w:ind w:right="0"/>
        <w:jc w:val="left"/>
        <w:rPr>
          <w:rFonts w:ascii="宋体" w:hAnsi="宋体" w:cs="宋体" w:eastAsia="宋体" w:hint="default"/>
          <w:b w:val="0"/>
          <w:bCs w:val="0"/>
        </w:rPr>
      </w:pPr>
      <w:r>
        <w:rPr>
          <w:rFonts w:ascii="宋体" w:hAnsi="宋体" w:cs="宋体" w:eastAsia="宋体" w:hint="default"/>
        </w:rPr>
        <w:t>(5).</w:t>
      </w:r>
      <w:r>
        <w:rPr>
          <w:rFonts w:ascii="宋体" w:hAnsi="宋体" w:cs="宋体" w:eastAsia="宋体" w:hint="default"/>
          <w:spacing w:val="-48"/>
        </w:rPr>
        <w:t> </w:t>
      </w:r>
      <w:r>
        <w:rPr/>
        <w:t>向纳入合并财务报表范围的结构化主体提供的财务支持或其他支持</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right="3995"/>
        <w:jc w:val="left"/>
        <w:rPr>
          <w:rFonts w:ascii="宋体" w:hAnsi="宋体" w:cs="宋体" w:eastAsia="宋体" w:hint="default"/>
        </w:rPr>
      </w:pPr>
      <w:r>
        <w:rPr/>
        <w:t>□适用</w:t>
      </w:r>
      <w:r>
        <w:rPr>
          <w:spacing w:val="104"/>
        </w:rPr>
        <w:t> </w:t>
      </w:r>
      <w:r>
        <w:rPr>
          <w:rFonts w:ascii="宋体" w:hAnsi="宋体" w:cs="宋体" w:eastAsia="宋体" w:hint="default"/>
          <w:spacing w:val="104"/>
        </w:rPr>
      </w:r>
      <w:r>
        <w:rPr/>
        <w:t>√不适用</w:t>
      </w:r>
      <w:r>
        <w:rPr>
          <w:rFonts w:ascii="宋体" w:hAnsi="宋体" w:cs="宋体" w:eastAsia="宋体" w:hint="default"/>
          <w:spacing w:val="-3"/>
          <w:w w:val="100"/>
        </w:rPr>
        <w:t> </w:t>
      </w:r>
      <w:r>
        <w:rPr>
          <w:rFonts w:ascii="宋体" w:hAnsi="宋体" w:cs="宋体" w:eastAsia="宋体" w:hint="default"/>
          <w:w w:val="100"/>
        </w:rPr>
        <w:t> </w:t>
      </w:r>
      <w:r>
        <w:rPr/>
        <w:t>其他说明：</w:t>
      </w:r>
      <w:r>
        <w:rPr>
          <w:rFonts w:ascii="宋体" w:hAnsi="宋体" w:cs="宋体" w:eastAsia="宋体" w:hint="default"/>
        </w:rPr>
        <w:t> </w:t>
      </w:r>
    </w:p>
    <w:p>
      <w:pPr>
        <w:pStyle w:val="BodyText"/>
        <w:spacing w:line="271"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right="0"/>
        <w:jc w:val="left"/>
        <w:rPr>
          <w:rFonts w:ascii="宋体" w:hAnsi="宋体" w:cs="宋体" w:eastAsia="宋体" w:hint="default"/>
        </w:rPr>
      </w:pPr>
      <w:r>
        <w:rPr>
          <w:rFonts w:ascii="宋体"/>
          <w:w w:val="100"/>
        </w:rPr>
        <w:t> </w:t>
      </w:r>
    </w:p>
    <w:p>
      <w:pPr>
        <w:pStyle w:val="Heading3"/>
        <w:spacing w:line="240" w:lineRule="auto" w:before="57"/>
        <w:ind w:right="0"/>
        <w:jc w:val="left"/>
        <w:rPr>
          <w:rFonts w:ascii="宋体" w:hAnsi="宋体" w:cs="宋体" w:eastAsia="宋体" w:hint="default"/>
          <w:b w:val="0"/>
          <w:bCs w:val="0"/>
        </w:rPr>
      </w:pPr>
      <w:r>
        <w:rPr>
          <w:rFonts w:ascii="宋体" w:hAnsi="宋体" w:cs="宋体" w:eastAsia="宋体" w:hint="default"/>
        </w:rPr>
        <w:t>2</w:t>
      </w:r>
      <w:r>
        <w:rPr/>
        <w:t>、</w:t>
      </w:r>
      <w:r>
        <w:rPr>
          <w:spacing w:val="-7"/>
        </w:rPr>
        <w:t> </w:t>
      </w:r>
      <w:r>
        <w:rPr/>
        <w:t>在子公司的所有者权益份额发生变化且仍控制子公司的交易</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58"/>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right="0"/>
        <w:jc w:val="left"/>
        <w:rPr>
          <w:rFonts w:ascii="宋体" w:hAnsi="宋体" w:cs="宋体" w:eastAsia="宋体" w:hint="default"/>
        </w:rPr>
      </w:pPr>
      <w:r>
        <w:rPr>
          <w:rFonts w:ascii="宋体"/>
          <w:w w:val="100"/>
        </w:rPr>
        <w:t> </w:t>
      </w:r>
    </w:p>
    <w:p>
      <w:pPr>
        <w:pStyle w:val="Heading3"/>
        <w:spacing w:line="240" w:lineRule="auto" w:before="58"/>
        <w:ind w:right="0"/>
        <w:jc w:val="left"/>
        <w:rPr>
          <w:rFonts w:ascii="宋体" w:hAnsi="宋体" w:cs="宋体" w:eastAsia="宋体" w:hint="default"/>
          <w:b w:val="0"/>
          <w:bCs w:val="0"/>
        </w:rPr>
      </w:pPr>
      <w:r>
        <w:rPr>
          <w:rFonts w:ascii="宋体" w:hAnsi="宋体" w:cs="宋体" w:eastAsia="宋体" w:hint="default"/>
        </w:rPr>
        <w:t>3</w:t>
      </w:r>
      <w:r>
        <w:rPr/>
        <w:t>、</w:t>
      </w:r>
      <w:r>
        <w:rPr>
          <w:spacing w:val="-4"/>
        </w:rPr>
        <w:t> </w:t>
      </w:r>
      <w:r>
        <w:rPr/>
        <w:t>在合营企业或联营企业中的权益</w:t>
      </w:r>
      <w:r>
        <w:rPr>
          <w:rFonts w:ascii="宋体" w:hAnsi="宋体" w:cs="宋体" w:eastAsia="宋体" w:hint="default"/>
          <w:w w:val="99"/>
        </w:rPr>
        <w:t> </w:t>
      </w:r>
      <w:r>
        <w:rPr>
          <w:rFonts w:ascii="宋体" w:hAnsi="宋体" w:cs="宋体" w:eastAsia="宋体" w:hint="default"/>
          <w:b w:val="0"/>
          <w:bCs w:val="0"/>
        </w:rPr>
      </w:r>
    </w:p>
    <w:p>
      <w:pPr>
        <w:pStyle w:val="Heading2"/>
        <w:spacing w:line="240" w:lineRule="auto" w:before="50"/>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3"/>
        <w:spacing w:line="240" w:lineRule="auto" w:before="64"/>
        <w:ind w:right="0"/>
        <w:jc w:val="left"/>
        <w:rPr>
          <w:rFonts w:ascii="宋体" w:hAnsi="宋体" w:cs="宋体" w:eastAsia="宋体" w:hint="default"/>
          <w:b w:val="0"/>
          <w:bCs w:val="0"/>
        </w:rPr>
      </w:pPr>
      <w:r>
        <w:rPr>
          <w:rFonts w:ascii="宋体" w:hAnsi="宋体" w:cs="宋体" w:eastAsia="宋体" w:hint="default"/>
        </w:rPr>
        <w:t>(1).</w:t>
      </w:r>
      <w:r>
        <w:rPr>
          <w:rFonts w:ascii="宋体" w:hAnsi="宋体" w:cs="宋体" w:eastAsia="宋体" w:hint="default"/>
          <w:spacing w:val="-47"/>
        </w:rPr>
        <w:t> </w:t>
      </w:r>
      <w:r>
        <w:rPr/>
        <w:t>重要的合营企业或联营企业</w:t>
      </w:r>
      <w:r>
        <w:rPr>
          <w:rFonts w:ascii="宋体" w:hAnsi="宋体" w:cs="宋体" w:eastAsia="宋体" w:hint="default"/>
          <w:w w:val="99"/>
        </w:rPr>
        <w:t> </w:t>
      </w:r>
      <w:r>
        <w:rPr>
          <w:rFonts w:ascii="宋体" w:hAnsi="宋体" w:cs="宋体" w:eastAsia="宋体" w:hint="default"/>
          <w:b w:val="0"/>
          <w:bCs w:val="0"/>
        </w:rPr>
      </w:r>
    </w:p>
    <w:p>
      <w:pPr>
        <w:pStyle w:val="Heading2"/>
        <w:spacing w:line="240" w:lineRule="auto" w:before="50"/>
        <w:ind w:right="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2"/>
          <w:szCs w:val="22"/>
        </w:rPr>
      </w:pPr>
    </w:p>
    <w:p>
      <w:pPr>
        <w:pStyle w:val="BodyText"/>
        <w:spacing w:line="240" w:lineRule="auto"/>
        <w:ind w:left="197" w:right="0"/>
        <w:jc w:val="left"/>
        <w:rPr>
          <w:rFonts w:ascii="宋体" w:hAnsi="宋体" w:cs="宋体" w:eastAsia="宋体" w:hint="default"/>
        </w:rPr>
      </w:pPr>
      <w:r>
        <w:rPr/>
        <w:t>单位</w:t>
      </w:r>
      <w:r>
        <w:rPr>
          <w:rFonts w:ascii="宋体" w:hAnsi="宋体" w:cs="宋体" w:eastAsia="宋体" w:hint="default"/>
        </w:rPr>
        <w:t>:</w:t>
      </w:r>
      <w:r>
        <w:rPr/>
        <w:t>元币种</w:t>
      </w:r>
      <w:r>
        <w:rPr>
          <w:rFonts w:ascii="宋体" w:hAnsi="宋体" w:cs="宋体" w:eastAsia="宋体" w:hint="default"/>
        </w:rPr>
        <w:t>:</w:t>
      </w:r>
      <w:r>
        <w:rPr/>
        <w:t>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580" w:bottom="280" w:left="1580" w:right="1040"/>
          <w:cols w:num="2" w:equalWidth="0">
            <w:col w:w="6923" w:space="40"/>
            <w:col w:w="2327"/>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210"/>
        <w:gridCol w:w="1328"/>
        <w:gridCol w:w="1250"/>
        <w:gridCol w:w="1294"/>
        <w:gridCol w:w="1061"/>
        <w:gridCol w:w="1092"/>
        <w:gridCol w:w="1815"/>
      </w:tblGrid>
      <w:tr>
        <w:trPr>
          <w:trHeight w:val="461" w:hRule="exact"/>
        </w:trPr>
        <w:tc>
          <w:tcPr>
            <w:tcW w:w="1210" w:type="dxa"/>
            <w:vMerge w:val="restart"/>
            <w:tcBorders>
              <w:top w:val="single" w:sz="4" w:space="0" w:color="000000"/>
              <w:left w:val="single" w:sz="4" w:space="0" w:color="000000"/>
              <w:right w:val="single" w:sz="4" w:space="0" w:color="000000"/>
            </w:tcBorders>
          </w:tcPr>
          <w:p>
            <w:pPr>
              <w:pStyle w:val="TableParagraph"/>
              <w:spacing w:line="239" w:lineRule="exact"/>
              <w:ind w:left="180" w:right="0"/>
              <w:jc w:val="left"/>
              <w:rPr>
                <w:rFonts w:ascii="宋体" w:hAnsi="宋体" w:cs="宋体" w:eastAsia="宋体" w:hint="default"/>
                <w:sz w:val="21"/>
                <w:szCs w:val="21"/>
              </w:rPr>
            </w:pPr>
            <w:r>
              <w:rPr>
                <w:rFonts w:ascii="宋体" w:hAnsi="宋体" w:cs="宋体" w:eastAsia="宋体" w:hint="default"/>
                <w:sz w:val="21"/>
                <w:szCs w:val="21"/>
              </w:rPr>
              <w:t>合营企业</w:t>
            </w:r>
          </w:p>
          <w:p>
            <w:pPr>
              <w:pStyle w:val="TableParagraph"/>
              <w:spacing w:line="240" w:lineRule="auto"/>
              <w:ind w:left="283" w:right="175" w:hanging="104"/>
              <w:jc w:val="left"/>
              <w:rPr>
                <w:rFonts w:ascii="宋体" w:hAnsi="宋体" w:cs="宋体" w:eastAsia="宋体" w:hint="default"/>
                <w:sz w:val="21"/>
                <w:szCs w:val="21"/>
              </w:rPr>
            </w:pPr>
            <w:r>
              <w:rPr>
                <w:rFonts w:ascii="宋体" w:hAnsi="宋体" w:cs="宋体" w:eastAsia="宋体" w:hint="default"/>
                <w:sz w:val="21"/>
                <w:szCs w:val="21"/>
              </w:rPr>
              <w:t>或联营企</w:t>
            </w:r>
            <w:r>
              <w:rPr>
                <w:rFonts w:ascii="宋体" w:hAnsi="宋体" w:cs="宋体" w:eastAsia="宋体" w:hint="default"/>
                <w:w w:val="100"/>
                <w:sz w:val="21"/>
                <w:szCs w:val="21"/>
              </w:rPr>
              <w:t> </w:t>
            </w:r>
            <w:r>
              <w:rPr>
                <w:rFonts w:ascii="宋体" w:hAnsi="宋体" w:cs="宋体" w:eastAsia="宋体" w:hint="default"/>
                <w:sz w:val="21"/>
                <w:szCs w:val="21"/>
              </w:rPr>
              <w:t>业名称</w:t>
            </w:r>
            <w:r>
              <w:rPr>
                <w:rFonts w:ascii="宋体" w:hAnsi="宋体" w:cs="宋体" w:eastAsia="宋体" w:hint="default"/>
                <w:sz w:val="21"/>
                <w:szCs w:val="21"/>
              </w:rPr>
              <w:t> </w:t>
            </w:r>
          </w:p>
        </w:tc>
        <w:tc>
          <w:tcPr>
            <w:tcW w:w="1328"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31" w:right="0"/>
              <w:jc w:val="left"/>
              <w:rPr>
                <w:rFonts w:ascii="宋体" w:hAnsi="宋体" w:cs="宋体" w:eastAsia="宋体" w:hint="default"/>
                <w:sz w:val="21"/>
                <w:szCs w:val="21"/>
              </w:rPr>
            </w:pPr>
            <w:r>
              <w:rPr>
                <w:rFonts w:ascii="宋体" w:hAnsi="宋体" w:cs="宋体" w:eastAsia="宋体" w:hint="default"/>
                <w:sz w:val="21"/>
                <w:szCs w:val="21"/>
              </w:rPr>
              <w:t>主要经营地</w:t>
            </w:r>
            <w:r>
              <w:rPr>
                <w:rFonts w:ascii="宋体" w:hAnsi="宋体" w:cs="宋体" w:eastAsia="宋体" w:hint="default"/>
                <w:sz w:val="21"/>
                <w:szCs w:val="21"/>
              </w:rPr>
              <w:t> </w:t>
            </w:r>
          </w:p>
        </w:tc>
        <w:tc>
          <w:tcPr>
            <w:tcW w:w="1250"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04" w:right="0"/>
              <w:jc w:val="left"/>
              <w:rPr>
                <w:rFonts w:ascii="宋体" w:hAnsi="宋体" w:cs="宋体" w:eastAsia="宋体" w:hint="default"/>
                <w:sz w:val="21"/>
                <w:szCs w:val="21"/>
              </w:rPr>
            </w:pPr>
            <w:r>
              <w:rPr>
                <w:rFonts w:ascii="宋体" w:hAnsi="宋体" w:cs="宋体" w:eastAsia="宋体" w:hint="default"/>
                <w:sz w:val="21"/>
                <w:szCs w:val="21"/>
              </w:rPr>
              <w:t>注册地</w:t>
            </w:r>
            <w:r>
              <w:rPr>
                <w:rFonts w:ascii="宋体" w:hAnsi="宋体" w:cs="宋体" w:eastAsia="宋体" w:hint="default"/>
                <w:sz w:val="21"/>
                <w:szCs w:val="21"/>
              </w:rPr>
              <w:t> </w:t>
            </w:r>
          </w:p>
        </w:tc>
        <w:tc>
          <w:tcPr>
            <w:tcW w:w="1294"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20" w:right="0"/>
              <w:jc w:val="left"/>
              <w:rPr>
                <w:rFonts w:ascii="宋体" w:hAnsi="宋体" w:cs="宋体" w:eastAsia="宋体" w:hint="default"/>
                <w:sz w:val="21"/>
                <w:szCs w:val="21"/>
              </w:rPr>
            </w:pPr>
            <w:r>
              <w:rPr>
                <w:rFonts w:ascii="宋体" w:hAnsi="宋体" w:cs="宋体" w:eastAsia="宋体" w:hint="default"/>
                <w:sz w:val="21"/>
                <w:szCs w:val="21"/>
              </w:rPr>
              <w:t>业务性质</w:t>
            </w:r>
            <w:r>
              <w:rPr>
                <w:rFonts w:ascii="宋体" w:hAnsi="宋体" w:cs="宋体" w:eastAsia="宋体" w:hint="default"/>
                <w:sz w:val="21"/>
                <w:szCs w:val="21"/>
              </w:rPr>
              <w:t> </w:t>
            </w:r>
          </w:p>
        </w:tc>
        <w:tc>
          <w:tcPr>
            <w:tcW w:w="21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491" w:right="0"/>
              <w:jc w:val="left"/>
              <w:rPr>
                <w:rFonts w:ascii="宋体" w:hAnsi="宋体" w:cs="宋体" w:eastAsia="宋体" w:hint="default"/>
                <w:sz w:val="21"/>
                <w:szCs w:val="21"/>
              </w:rPr>
            </w:pPr>
            <w:r>
              <w:rPr>
                <w:rFonts w:ascii="宋体" w:hAnsi="宋体" w:cs="宋体" w:eastAsia="宋体" w:hint="default"/>
                <w:sz w:val="21"/>
                <w:szCs w:val="21"/>
              </w:rPr>
              <w:t>持股比例</w:t>
            </w:r>
            <w:r>
              <w:rPr>
                <w:rFonts w:ascii="宋体" w:hAnsi="宋体" w:cs="宋体" w:eastAsia="宋体" w:hint="default"/>
                <w:sz w:val="21"/>
                <w:szCs w:val="21"/>
              </w:rPr>
              <w:t>(%) </w:t>
            </w:r>
          </w:p>
        </w:tc>
        <w:tc>
          <w:tcPr>
            <w:tcW w:w="1815" w:type="dxa"/>
            <w:vMerge w:val="restart"/>
            <w:tcBorders>
              <w:top w:val="single" w:sz="4" w:space="0" w:color="000000"/>
              <w:left w:val="single" w:sz="4" w:space="0" w:color="000000"/>
              <w:right w:val="single" w:sz="4" w:space="0" w:color="000000"/>
            </w:tcBorders>
          </w:tcPr>
          <w:p>
            <w:pPr>
              <w:pStyle w:val="TableParagraph"/>
              <w:spacing w:line="239" w:lineRule="exact"/>
              <w:ind w:left="166" w:right="0"/>
              <w:jc w:val="left"/>
              <w:rPr>
                <w:rFonts w:ascii="宋体" w:hAnsi="宋体" w:cs="宋体" w:eastAsia="宋体" w:hint="default"/>
                <w:sz w:val="21"/>
                <w:szCs w:val="21"/>
              </w:rPr>
            </w:pPr>
            <w:r>
              <w:rPr>
                <w:rFonts w:ascii="宋体" w:hAnsi="宋体" w:cs="宋体" w:eastAsia="宋体" w:hint="default"/>
                <w:sz w:val="21"/>
                <w:szCs w:val="21"/>
              </w:rPr>
              <w:t>对合营企业或联</w:t>
            </w:r>
          </w:p>
          <w:p>
            <w:pPr>
              <w:pStyle w:val="TableParagraph"/>
              <w:spacing w:line="240" w:lineRule="auto"/>
              <w:ind w:left="377" w:right="163" w:hanging="212"/>
              <w:jc w:val="left"/>
              <w:rPr>
                <w:rFonts w:ascii="宋体" w:hAnsi="宋体" w:cs="宋体" w:eastAsia="宋体" w:hint="default"/>
                <w:sz w:val="21"/>
                <w:szCs w:val="21"/>
              </w:rPr>
            </w:pPr>
            <w:r>
              <w:rPr>
                <w:rFonts w:ascii="宋体" w:hAnsi="宋体" w:cs="宋体" w:eastAsia="宋体" w:hint="default"/>
                <w:sz w:val="21"/>
                <w:szCs w:val="21"/>
              </w:rPr>
              <w:t>营企业投资的会</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计处理方法</w:t>
            </w:r>
            <w:r>
              <w:rPr>
                <w:rFonts w:ascii="宋体" w:hAnsi="宋体" w:cs="宋体" w:eastAsia="宋体" w:hint="default"/>
                <w:sz w:val="21"/>
                <w:szCs w:val="21"/>
              </w:rPr>
              <w:t> </w:t>
            </w:r>
          </w:p>
        </w:tc>
      </w:tr>
      <w:tr>
        <w:trPr>
          <w:trHeight w:val="365" w:hRule="exact"/>
        </w:trPr>
        <w:tc>
          <w:tcPr>
            <w:tcW w:w="1210" w:type="dxa"/>
            <w:vMerge/>
            <w:tcBorders>
              <w:left w:val="single" w:sz="4" w:space="0" w:color="000000"/>
              <w:bottom w:val="single" w:sz="4" w:space="0" w:color="000000"/>
              <w:right w:val="single" w:sz="4" w:space="0" w:color="000000"/>
            </w:tcBorders>
          </w:tcPr>
          <w:p>
            <w:pPr/>
          </w:p>
        </w:tc>
        <w:tc>
          <w:tcPr>
            <w:tcW w:w="1328" w:type="dxa"/>
            <w:vMerge/>
            <w:tcBorders>
              <w:left w:val="single" w:sz="4" w:space="0" w:color="000000"/>
              <w:bottom w:val="single" w:sz="4" w:space="0" w:color="000000"/>
              <w:right w:val="single" w:sz="4" w:space="0" w:color="000000"/>
            </w:tcBorders>
          </w:tcPr>
          <w:p>
            <w:pPr/>
          </w:p>
        </w:tc>
        <w:tc>
          <w:tcPr>
            <w:tcW w:w="1250" w:type="dxa"/>
            <w:vMerge/>
            <w:tcBorders>
              <w:left w:val="single" w:sz="4" w:space="0" w:color="000000"/>
              <w:bottom w:val="single" w:sz="4" w:space="0" w:color="000000"/>
              <w:right w:val="single" w:sz="4" w:space="0" w:color="000000"/>
            </w:tcBorders>
          </w:tcPr>
          <w:p>
            <w:pPr/>
          </w:p>
        </w:tc>
        <w:tc>
          <w:tcPr>
            <w:tcW w:w="1294" w:type="dxa"/>
            <w:vMerge/>
            <w:tcBorders>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311" w:right="0"/>
              <w:jc w:val="left"/>
              <w:rPr>
                <w:rFonts w:ascii="宋体" w:hAnsi="宋体" w:cs="宋体" w:eastAsia="宋体" w:hint="default"/>
                <w:sz w:val="21"/>
                <w:szCs w:val="21"/>
              </w:rPr>
            </w:pPr>
            <w:r>
              <w:rPr>
                <w:rFonts w:ascii="宋体" w:hAnsi="宋体" w:cs="宋体" w:eastAsia="宋体" w:hint="default"/>
                <w:sz w:val="21"/>
                <w:szCs w:val="21"/>
              </w:rPr>
              <w:t>直接</w:t>
            </w:r>
            <w:r>
              <w:rPr>
                <w:rFonts w:ascii="宋体" w:hAnsi="宋体" w:cs="宋体" w:eastAsia="宋体" w:hint="default"/>
                <w:sz w:val="21"/>
                <w:szCs w:val="21"/>
              </w:rPr>
              <w:t> </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328" w:right="0"/>
              <w:jc w:val="left"/>
              <w:rPr>
                <w:rFonts w:ascii="宋体" w:hAnsi="宋体" w:cs="宋体" w:eastAsia="宋体" w:hint="default"/>
                <w:sz w:val="21"/>
                <w:szCs w:val="21"/>
              </w:rPr>
            </w:pPr>
            <w:r>
              <w:rPr>
                <w:rFonts w:ascii="宋体" w:hAnsi="宋体" w:cs="宋体" w:eastAsia="宋体" w:hint="default"/>
                <w:sz w:val="21"/>
                <w:szCs w:val="21"/>
              </w:rPr>
              <w:t>间接</w:t>
            </w:r>
            <w:r>
              <w:rPr>
                <w:rFonts w:ascii="宋体" w:hAnsi="宋体" w:cs="宋体" w:eastAsia="宋体" w:hint="default"/>
                <w:sz w:val="21"/>
                <w:szCs w:val="21"/>
              </w:rPr>
              <w:t> </w:t>
            </w:r>
          </w:p>
        </w:tc>
        <w:tc>
          <w:tcPr>
            <w:tcW w:w="1815" w:type="dxa"/>
            <w:vMerge/>
            <w:tcBorders>
              <w:left w:val="single" w:sz="4" w:space="0" w:color="000000"/>
              <w:bottom w:val="single" w:sz="4" w:space="0" w:color="000000"/>
              <w:right w:val="single" w:sz="4" w:space="0" w:color="000000"/>
            </w:tcBorders>
          </w:tcPr>
          <w:p>
            <w:pPr/>
          </w:p>
        </w:tc>
      </w:tr>
      <w:tr>
        <w:trPr>
          <w:trHeight w:val="828" w:hRule="exact"/>
        </w:trPr>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江苏华源</w:t>
            </w:r>
          </w:p>
          <w:p>
            <w:pPr>
              <w:pStyle w:val="TableParagraph"/>
              <w:spacing w:line="272" w:lineRule="exact" w:before="27"/>
              <w:ind w:left="103" w:right="149"/>
              <w:jc w:val="left"/>
              <w:rPr>
                <w:rFonts w:ascii="宋体" w:hAnsi="宋体" w:cs="宋体" w:eastAsia="宋体" w:hint="default"/>
                <w:sz w:val="21"/>
                <w:szCs w:val="21"/>
              </w:rPr>
            </w:pPr>
            <w:r>
              <w:rPr>
                <w:rFonts w:ascii="宋体" w:hAnsi="宋体" w:cs="宋体" w:eastAsia="宋体" w:hint="default"/>
                <w:sz w:val="21"/>
                <w:szCs w:val="21"/>
              </w:rPr>
              <w:t>仪器仪表</w:t>
            </w:r>
            <w:r>
              <w:rPr>
                <w:rFonts w:ascii="宋体" w:hAnsi="宋体" w:cs="宋体" w:eastAsia="宋体" w:hint="default"/>
                <w:w w:val="100"/>
                <w:sz w:val="21"/>
                <w:szCs w:val="21"/>
              </w:rPr>
              <w:t> </w:t>
            </w:r>
            <w:r>
              <w:rPr>
                <w:rFonts w:ascii="宋体" w:hAnsi="宋体" w:cs="宋体" w:eastAsia="宋体" w:hint="default"/>
                <w:sz w:val="21"/>
                <w:szCs w:val="21"/>
              </w:rPr>
              <w:t>有限公司</w:t>
            </w:r>
            <w:r>
              <w:rPr>
                <w:rFonts w:ascii="宋体" w:hAnsi="宋体" w:cs="宋体" w:eastAsia="宋体" w:hint="default"/>
                <w:sz w:val="21"/>
                <w:szCs w:val="21"/>
              </w:rPr>
              <w:t> </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南京</w:t>
            </w:r>
            <w:r>
              <w:rPr>
                <w:rFonts w:ascii="宋体" w:hAnsi="宋体" w:cs="宋体" w:eastAsia="宋体" w:hint="default"/>
                <w:sz w:val="21"/>
                <w:szCs w:val="21"/>
              </w:rPr>
              <w:t> </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南京</w:t>
            </w:r>
            <w:r>
              <w:rPr>
                <w:rFonts w:ascii="宋体" w:hAnsi="宋体" w:cs="宋体" w:eastAsia="宋体" w:hint="default"/>
                <w:sz w:val="21"/>
                <w:szCs w:val="21"/>
              </w:rPr>
              <w:t> </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125"/>
              <w:jc w:val="left"/>
              <w:rPr>
                <w:rFonts w:ascii="宋体" w:hAnsi="宋体" w:cs="宋体" w:eastAsia="宋体" w:hint="default"/>
                <w:sz w:val="21"/>
                <w:szCs w:val="21"/>
              </w:rPr>
            </w:pPr>
            <w:r>
              <w:rPr>
                <w:rFonts w:ascii="宋体" w:hAnsi="宋体" w:cs="宋体" w:eastAsia="宋体" w:hint="default"/>
                <w:sz w:val="21"/>
                <w:szCs w:val="21"/>
              </w:rPr>
              <w:t>智能电表生</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产销售</w:t>
            </w:r>
            <w:r>
              <w:rPr>
                <w:rFonts w:ascii="宋体" w:hAnsi="宋体" w:cs="宋体" w:eastAsia="宋体" w:hint="default"/>
                <w:sz w:val="21"/>
                <w:szCs w:val="21"/>
              </w:rPr>
              <w:t> </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419" w:right="-1"/>
              <w:jc w:val="left"/>
              <w:rPr>
                <w:rFonts w:ascii="宋体" w:hAnsi="宋体" w:cs="宋体" w:eastAsia="宋体" w:hint="default"/>
                <w:sz w:val="21"/>
                <w:szCs w:val="21"/>
              </w:rPr>
            </w:pPr>
            <w:r>
              <w:rPr>
                <w:rFonts w:ascii="宋体"/>
                <w:sz w:val="21"/>
              </w:rPr>
              <w:t>49.00 </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
              <w:jc w:val="right"/>
              <w:rPr>
                <w:rFonts w:ascii="宋体" w:hAnsi="宋体" w:cs="宋体" w:eastAsia="宋体" w:hint="default"/>
                <w:sz w:val="21"/>
                <w:szCs w:val="21"/>
              </w:rPr>
            </w:pPr>
            <w:r>
              <w:rPr>
                <w:rFonts w:ascii="宋体"/>
                <w:w w:val="100"/>
                <w:sz w:val="21"/>
              </w:rPr>
              <w:t> </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权益法</w:t>
            </w:r>
            <w:r>
              <w:rPr>
                <w:rFonts w:ascii="宋体" w:hAnsi="宋体" w:cs="宋体" w:eastAsia="宋体" w:hint="default"/>
                <w:sz w:val="21"/>
                <w:szCs w:val="21"/>
              </w:rPr>
              <w:t> </w:t>
            </w:r>
          </w:p>
        </w:tc>
      </w:tr>
    </w:tbl>
    <w:p>
      <w:pPr>
        <w:spacing w:after="0" w:line="240" w:lineRule="auto"/>
        <w:jc w:val="left"/>
        <w:rPr>
          <w:rFonts w:ascii="宋体" w:hAnsi="宋体" w:cs="宋体" w:eastAsia="宋体" w:hint="default"/>
          <w:sz w:val="21"/>
          <w:szCs w:val="21"/>
        </w:rPr>
        <w:sectPr>
          <w:type w:val="continuous"/>
          <w:pgSz w:w="11910" w:h="16840"/>
          <w:pgMar w:top="1580" w:bottom="280" w:left="1580" w:right="1040"/>
        </w:sectPr>
      </w:pPr>
    </w:p>
    <w:p>
      <w:pPr>
        <w:pStyle w:val="BodyText"/>
        <w:spacing w:line="241" w:lineRule="exact"/>
        <w:ind w:right="0"/>
        <w:jc w:val="left"/>
        <w:rPr>
          <w:rFonts w:ascii="宋体" w:hAnsi="宋体" w:cs="宋体" w:eastAsia="宋体" w:hint="default"/>
        </w:rPr>
      </w:pPr>
      <w:r>
        <w:rPr>
          <w:rFonts w:ascii="宋体"/>
          <w:w w:val="100"/>
        </w:rPr>
        <w:t> </w:t>
      </w:r>
    </w:p>
    <w:p>
      <w:pPr>
        <w:pStyle w:val="Heading3"/>
        <w:spacing w:line="240" w:lineRule="auto" w:before="56"/>
        <w:ind w:right="0"/>
        <w:jc w:val="left"/>
        <w:rPr>
          <w:rFonts w:ascii="宋体" w:hAnsi="宋体" w:cs="宋体" w:eastAsia="宋体" w:hint="default"/>
          <w:b w:val="0"/>
          <w:bCs w:val="0"/>
        </w:rPr>
      </w:pPr>
      <w:r>
        <w:rPr>
          <w:rFonts w:ascii="宋体" w:hAnsi="宋体" w:cs="宋体" w:eastAsia="宋体" w:hint="default"/>
        </w:rPr>
        <w:t>(2).</w:t>
      </w:r>
      <w:r>
        <w:rPr/>
        <w:t>重要合营企业的主要财务信息</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58"/>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290" w:lineRule="auto" w:before="0"/>
        <w:ind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(3)</w:t>
      </w:r>
      <w:r>
        <w:rPr>
          <w:rFonts w:ascii="宋体" w:hAnsi="宋体" w:cs="宋体" w:eastAsia="宋体" w:hint="default"/>
          <w:spacing w:val="2"/>
          <w:w w:val="99"/>
        </w:rPr>
        <w:t>.</w:t>
      </w:r>
      <w:r>
        <w:rPr>
          <w:w w:val="100"/>
        </w:rPr>
        <w:t>重要联营企业的主</w:t>
      </w:r>
      <w:r>
        <w:rPr>
          <w:spacing w:val="-3"/>
          <w:w w:val="100"/>
        </w:rPr>
        <w:t>要</w:t>
      </w:r>
      <w:r>
        <w:rPr>
          <w:w w:val="100"/>
        </w:rPr>
        <w:t>财</w:t>
      </w:r>
      <w:r>
        <w:rPr>
          <w:spacing w:val="-3"/>
          <w:w w:val="100"/>
        </w:rPr>
        <w:t>务</w:t>
      </w:r>
      <w:r>
        <w:rPr>
          <w:w w:val="100"/>
        </w:rPr>
        <w:t>信息</w:t>
      </w:r>
      <w:r>
        <w:rPr>
          <w:rFonts w:ascii="宋体" w:hAnsi="宋体" w:cs="宋体" w:eastAsia="宋体" w:hint="default"/>
          <w:w w:val="99"/>
        </w:rPr>
        <w:t> </w:t>
      </w:r>
      <w:r>
        <w:rPr>
          <w:rFonts w:ascii="宋体" w:hAnsi="宋体" w:cs="宋体" w:eastAsia="宋体" w:hint="default"/>
          <w:b w:val="0"/>
          <w:bCs w:val="0"/>
        </w:rPr>
      </w:r>
    </w:p>
    <w:p>
      <w:pPr>
        <w:pStyle w:val="Heading2"/>
        <w:spacing w:line="240" w:lineRule="auto" w:before="6"/>
        <w:ind w:right="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3"/>
          <w:szCs w:val="23"/>
        </w:rPr>
      </w:pPr>
    </w:p>
    <w:p>
      <w:pPr>
        <w:pStyle w:val="BodyText"/>
        <w:spacing w:line="240" w:lineRule="auto"/>
        <w:ind w:right="0"/>
        <w:jc w:val="left"/>
        <w:rPr>
          <w:rFonts w:ascii="宋体" w:hAnsi="宋体" w:cs="宋体" w:eastAsia="宋体" w:hint="default"/>
        </w:rPr>
      </w:pPr>
      <w:r>
        <w:rPr/>
        <w:t>单位：元币种：人民币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580" w:bottom="280" w:left="1580" w:right="1040"/>
          <w:cols w:num="2" w:equalWidth="0">
            <w:col w:w="3490" w:space="3243"/>
            <w:col w:w="2557"/>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516"/>
        <w:gridCol w:w="1582"/>
        <w:gridCol w:w="1580"/>
        <w:gridCol w:w="1688"/>
        <w:gridCol w:w="1685"/>
      </w:tblGrid>
      <w:tr>
        <w:trPr>
          <w:trHeight w:val="283" w:hRule="exact"/>
        </w:trPr>
        <w:tc>
          <w:tcPr>
            <w:tcW w:w="2516"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4" w:right="0"/>
              <w:jc w:val="center"/>
              <w:rPr>
                <w:rFonts w:ascii="宋体" w:hAnsi="宋体" w:cs="宋体" w:eastAsia="宋体" w:hint="default"/>
                <w:sz w:val="21"/>
                <w:szCs w:val="21"/>
              </w:rPr>
            </w:pPr>
            <w:r>
              <w:rPr>
                <w:rFonts w:ascii="宋体"/>
                <w:w w:val="100"/>
                <w:sz w:val="21"/>
              </w:rPr>
              <w:t> </w:t>
            </w:r>
          </w:p>
        </w:tc>
        <w:tc>
          <w:tcPr>
            <w:tcW w:w="316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78"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w:t>
            </w:r>
            <w:r>
              <w:rPr>
                <w:rFonts w:ascii="宋体" w:hAnsi="宋体" w:cs="宋体" w:eastAsia="宋体" w:hint="default"/>
                <w:sz w:val="21"/>
                <w:szCs w:val="21"/>
              </w:rPr>
              <w:t>本期发生额</w:t>
            </w:r>
            <w:r>
              <w:rPr>
                <w:rFonts w:ascii="宋体" w:hAnsi="宋体" w:cs="宋体" w:eastAsia="宋体" w:hint="default"/>
                <w:sz w:val="21"/>
                <w:szCs w:val="21"/>
              </w:rPr>
              <w:t> </w:t>
            </w:r>
          </w:p>
        </w:tc>
        <w:tc>
          <w:tcPr>
            <w:tcW w:w="337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683"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w:t>
            </w: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478" w:hRule="exact"/>
        </w:trPr>
        <w:tc>
          <w:tcPr>
            <w:tcW w:w="2516" w:type="dxa"/>
            <w:vMerge/>
            <w:tcBorders>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江苏华源仪器仪</w:t>
            </w:r>
          </w:p>
          <w:p>
            <w:pPr>
              <w:pStyle w:val="TableParagraph"/>
              <w:spacing w:line="240" w:lineRule="auto"/>
              <w:ind w:left="105" w:right="0"/>
              <w:jc w:val="center"/>
              <w:rPr>
                <w:rFonts w:ascii="宋体" w:hAnsi="宋体" w:cs="宋体" w:eastAsia="宋体" w:hint="default"/>
                <w:sz w:val="21"/>
                <w:szCs w:val="21"/>
              </w:rPr>
            </w:pPr>
            <w:r>
              <w:rPr>
                <w:rFonts w:ascii="宋体" w:hAnsi="宋体" w:cs="宋体" w:eastAsia="宋体" w:hint="default"/>
                <w:sz w:val="18"/>
                <w:szCs w:val="18"/>
              </w:rPr>
              <w:t>表有限公司</w:t>
            </w:r>
            <w:r>
              <w:rPr>
                <w:rFonts w:ascii="宋体" w:hAnsi="宋体" w:cs="宋体" w:eastAsia="宋体" w:hint="default"/>
                <w:w w:val="100"/>
                <w:sz w:val="21"/>
                <w:szCs w:val="21"/>
              </w:rPr>
              <w:t> </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江苏华源仪器仪</w:t>
            </w:r>
          </w:p>
          <w:p>
            <w:pPr>
              <w:pStyle w:val="TableParagraph"/>
              <w:spacing w:line="240" w:lineRule="auto"/>
              <w:ind w:left="103" w:right="0"/>
              <w:jc w:val="center"/>
              <w:rPr>
                <w:rFonts w:ascii="宋体" w:hAnsi="宋体" w:cs="宋体" w:eastAsia="宋体" w:hint="default"/>
                <w:sz w:val="21"/>
                <w:szCs w:val="21"/>
              </w:rPr>
            </w:pPr>
            <w:r>
              <w:rPr>
                <w:rFonts w:ascii="宋体" w:hAnsi="宋体" w:cs="宋体" w:eastAsia="宋体" w:hint="default"/>
                <w:sz w:val="18"/>
                <w:szCs w:val="18"/>
              </w:rPr>
              <w:t>表有限公司</w:t>
            </w:r>
            <w:r>
              <w:rPr>
                <w:rFonts w:ascii="宋体" w:hAnsi="宋体" w:cs="宋体" w:eastAsia="宋体" w:hint="default"/>
                <w:w w:val="100"/>
                <w:sz w:val="21"/>
                <w:szCs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江苏华源仪器仪表</w:t>
            </w:r>
          </w:p>
          <w:p>
            <w:pPr>
              <w:pStyle w:val="TableParagraph"/>
              <w:spacing w:line="240" w:lineRule="auto"/>
              <w:ind w:left="102" w:right="0"/>
              <w:jc w:val="center"/>
              <w:rPr>
                <w:rFonts w:ascii="宋体" w:hAnsi="宋体" w:cs="宋体" w:eastAsia="宋体" w:hint="default"/>
                <w:sz w:val="21"/>
                <w:szCs w:val="21"/>
              </w:rPr>
            </w:pPr>
            <w:r>
              <w:rPr>
                <w:rFonts w:ascii="宋体" w:hAnsi="宋体" w:cs="宋体" w:eastAsia="宋体" w:hint="default"/>
                <w:sz w:val="18"/>
                <w:szCs w:val="18"/>
              </w:rPr>
              <w:t>有限公司</w:t>
            </w:r>
            <w:r>
              <w:rPr>
                <w:rFonts w:ascii="宋体" w:hAnsi="宋体" w:cs="宋体" w:eastAsia="宋体" w:hint="default"/>
                <w:w w:val="100"/>
                <w:sz w:val="21"/>
                <w:szCs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江苏华源仪器仪表</w:t>
            </w:r>
          </w:p>
          <w:p>
            <w:pPr>
              <w:pStyle w:val="TableParagraph"/>
              <w:spacing w:line="240" w:lineRule="auto"/>
              <w:ind w:left="105" w:right="0"/>
              <w:jc w:val="center"/>
              <w:rPr>
                <w:rFonts w:ascii="宋体" w:hAnsi="宋体" w:cs="宋体" w:eastAsia="宋体" w:hint="default"/>
                <w:sz w:val="21"/>
                <w:szCs w:val="21"/>
              </w:rPr>
            </w:pPr>
            <w:r>
              <w:rPr>
                <w:rFonts w:ascii="宋体" w:hAnsi="宋体" w:cs="宋体" w:eastAsia="宋体" w:hint="default"/>
                <w:sz w:val="18"/>
                <w:szCs w:val="18"/>
              </w:rPr>
              <w:t>有限公司</w:t>
            </w:r>
            <w:r>
              <w:rPr>
                <w:rFonts w:ascii="宋体" w:hAnsi="宋体" w:cs="宋体" w:eastAsia="宋体" w:hint="default"/>
                <w:w w:val="100"/>
                <w:sz w:val="21"/>
                <w:szCs w:val="21"/>
              </w:rPr>
              <w:t> </w:t>
            </w:r>
          </w:p>
        </w:tc>
      </w:tr>
      <w:tr>
        <w:trPr>
          <w:trHeight w:val="281" w:hRule="exact"/>
        </w:trPr>
        <w:tc>
          <w:tcPr>
            <w:tcW w:w="25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流动资产</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59,686,274.84</w:t>
            </w:r>
            <w:r>
              <w:rPr>
                <w:rFonts w:ascii="宋体"/>
                <w:sz w:val="21"/>
              </w:rPr>
              <w:t> </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230,214,050.88</w:t>
            </w:r>
            <w:r>
              <w:rPr>
                <w:rFonts w:ascii="宋体"/>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3" w:hRule="exact"/>
        </w:trPr>
        <w:tc>
          <w:tcPr>
            <w:tcW w:w="25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5,517,637.74</w:t>
            </w:r>
            <w:r>
              <w:rPr>
                <w:rFonts w:ascii="宋体"/>
                <w:sz w:val="21"/>
              </w:rPr>
              <w:t> </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right"/>
              <w:rPr>
                <w:rFonts w:ascii="宋体" w:hAnsi="宋体" w:cs="宋体" w:eastAsia="宋体" w:hint="default"/>
                <w:sz w:val="21"/>
                <w:szCs w:val="21"/>
              </w:rPr>
            </w:pPr>
            <w:r>
              <w:rPr>
                <w:rFonts w:ascii="宋体"/>
                <w:spacing w:val="-1"/>
                <w:sz w:val="21"/>
              </w:rPr>
              <w:t>6,991,904.53</w:t>
            </w:r>
            <w:r>
              <w:rPr>
                <w:rFonts w:ascii="宋体"/>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r>
      <w:tr>
        <w:trPr>
          <w:trHeight w:val="283" w:hRule="exact"/>
        </w:trPr>
        <w:tc>
          <w:tcPr>
            <w:tcW w:w="25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资产合计</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65,203,912.58</w:t>
            </w:r>
            <w:r>
              <w:rPr>
                <w:rFonts w:ascii="宋体"/>
                <w:sz w:val="21"/>
              </w:rPr>
              <w:t> </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237,205,955.41</w:t>
            </w:r>
            <w:r>
              <w:rPr>
                <w:rFonts w:ascii="宋体"/>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1" w:hRule="exact"/>
        </w:trPr>
        <w:tc>
          <w:tcPr>
            <w:tcW w:w="25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流动负债</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10,014,274.33</w:t>
            </w:r>
            <w:r>
              <w:rPr>
                <w:rFonts w:ascii="宋体"/>
                <w:sz w:val="21"/>
              </w:rPr>
              <w:t> </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117,992,390.52</w:t>
            </w:r>
            <w:r>
              <w:rPr>
                <w:rFonts w:ascii="宋体"/>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3" w:hRule="exact"/>
        </w:trPr>
        <w:tc>
          <w:tcPr>
            <w:tcW w:w="25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非流动负债</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right"/>
              <w:rPr>
                <w:rFonts w:ascii="宋体" w:hAnsi="宋体" w:cs="宋体" w:eastAsia="宋体" w:hint="default"/>
                <w:sz w:val="21"/>
                <w:szCs w:val="21"/>
              </w:rPr>
            </w:pPr>
            <w:r>
              <w:rPr>
                <w:rFonts w:ascii="宋体"/>
                <w:w w:val="100"/>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r>
      <w:tr>
        <w:trPr>
          <w:trHeight w:val="283" w:hRule="exact"/>
        </w:trPr>
        <w:tc>
          <w:tcPr>
            <w:tcW w:w="25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负债合计</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10,014,274.33</w:t>
            </w:r>
            <w:r>
              <w:rPr>
                <w:rFonts w:ascii="宋体"/>
                <w:sz w:val="21"/>
              </w:rPr>
              <w:t> </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117,992,390.52</w:t>
            </w:r>
            <w:r>
              <w:rPr>
                <w:rFonts w:ascii="宋体"/>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1" w:hRule="exact"/>
        </w:trPr>
        <w:tc>
          <w:tcPr>
            <w:tcW w:w="25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少数股东权益</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3" w:hRule="exact"/>
        </w:trPr>
        <w:tc>
          <w:tcPr>
            <w:tcW w:w="25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归属于母公司股东权益</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55,189,638.25</w:t>
            </w:r>
            <w:r>
              <w:rPr>
                <w:rFonts w:ascii="宋体"/>
                <w:sz w:val="21"/>
              </w:rPr>
              <w:t> </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119,213,564.89</w:t>
            </w:r>
            <w:r>
              <w:rPr>
                <w:rFonts w:ascii="宋体"/>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554" w:hRule="exact"/>
        </w:trPr>
        <w:tc>
          <w:tcPr>
            <w:tcW w:w="25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按持股比例计算的净资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产份额</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27,042,922.74</w:t>
            </w:r>
            <w:r>
              <w:rPr>
                <w:rFonts w:ascii="宋体"/>
                <w:sz w:val="21"/>
              </w:rPr>
              <w:t> </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right"/>
              <w:rPr>
                <w:rFonts w:ascii="宋体" w:hAnsi="宋体" w:cs="宋体" w:eastAsia="宋体" w:hint="default"/>
                <w:sz w:val="21"/>
                <w:szCs w:val="21"/>
              </w:rPr>
            </w:pPr>
            <w:r>
              <w:rPr>
                <w:rFonts w:ascii="宋体"/>
                <w:spacing w:val="-1"/>
                <w:sz w:val="21"/>
              </w:rPr>
              <w:t>58,414,646.80</w:t>
            </w:r>
            <w:r>
              <w:rPr>
                <w:rFonts w:ascii="宋体"/>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w w:val="100"/>
                <w:sz w:val="21"/>
              </w:rPr>
              <w:t> </w:t>
            </w:r>
          </w:p>
        </w:tc>
      </w:tr>
    </w:tbl>
    <w:p>
      <w:pPr>
        <w:spacing w:after="0" w:line="240" w:lineRule="auto"/>
        <w:jc w:val="right"/>
        <w:rPr>
          <w:rFonts w:ascii="宋体" w:hAnsi="宋体" w:cs="宋体" w:eastAsia="宋体" w:hint="default"/>
          <w:sz w:val="21"/>
          <w:szCs w:val="21"/>
        </w:rPr>
        <w:sectPr>
          <w:type w:val="continuous"/>
          <w:pgSz w:w="11910" w:h="16840"/>
          <w:pgMar w:top="1580" w:bottom="280" w:left="1580" w:right="1040"/>
        </w:sectPr>
      </w:pPr>
    </w:p>
    <w:p>
      <w:pPr>
        <w:spacing w:line="240" w:lineRule="auto" w:before="4"/>
        <w:rPr>
          <w:rFonts w:ascii="宋体" w:hAnsi="宋体" w:cs="宋体" w:eastAsia="宋体" w:hint="default"/>
          <w:sz w:val="29"/>
          <w:szCs w:val="29"/>
        </w:rPr>
      </w:pPr>
    </w:p>
    <w:tbl>
      <w:tblPr>
        <w:tblW w:w="0" w:type="auto"/>
        <w:jc w:val="left"/>
        <w:tblInd w:w="105" w:type="dxa"/>
        <w:tblLayout w:type="fixed"/>
        <w:tblCellMar>
          <w:top w:w="0" w:type="dxa"/>
          <w:left w:w="0" w:type="dxa"/>
          <w:bottom w:w="0" w:type="dxa"/>
          <w:right w:w="0" w:type="dxa"/>
        </w:tblCellMar>
        <w:tblLook w:val="01E0"/>
      </w:tblPr>
      <w:tblGrid>
        <w:gridCol w:w="2516"/>
        <w:gridCol w:w="1582"/>
        <w:gridCol w:w="1580"/>
        <w:gridCol w:w="1688"/>
        <w:gridCol w:w="1685"/>
      </w:tblGrid>
      <w:tr>
        <w:trPr>
          <w:trHeight w:val="284" w:hRule="exact"/>
        </w:trPr>
        <w:tc>
          <w:tcPr>
            <w:tcW w:w="25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调整事项</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5,233,822.05</w:t>
            </w:r>
            <w:r>
              <w:rPr>
                <w:rFonts w:ascii="宋体"/>
                <w:sz w:val="21"/>
              </w:rPr>
              <w:t> </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right"/>
              <w:rPr>
                <w:rFonts w:ascii="宋体" w:hAnsi="宋体" w:cs="宋体" w:eastAsia="宋体" w:hint="default"/>
                <w:sz w:val="21"/>
                <w:szCs w:val="21"/>
              </w:rPr>
            </w:pPr>
            <w:r>
              <w:rPr>
                <w:rFonts w:ascii="宋体"/>
                <w:spacing w:val="-1"/>
                <w:sz w:val="21"/>
              </w:rPr>
              <w:t>-516,898.76</w:t>
            </w:r>
            <w:r>
              <w:rPr>
                <w:rFonts w:ascii="宋体"/>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r>
      <w:tr>
        <w:trPr>
          <w:trHeight w:val="283" w:hRule="exact"/>
        </w:trPr>
        <w:tc>
          <w:tcPr>
            <w:tcW w:w="25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商誉</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1" w:hRule="exact"/>
        </w:trPr>
        <w:tc>
          <w:tcPr>
            <w:tcW w:w="25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内部交易未实现利润</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3" w:hRule="exact"/>
        </w:trPr>
        <w:tc>
          <w:tcPr>
            <w:tcW w:w="25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其他</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5,233,822.05</w:t>
            </w:r>
            <w:r>
              <w:rPr>
                <w:rFonts w:ascii="宋体"/>
                <w:sz w:val="21"/>
              </w:rPr>
              <w:t> </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right"/>
              <w:rPr>
                <w:rFonts w:ascii="宋体" w:hAnsi="宋体" w:cs="宋体" w:eastAsia="宋体" w:hint="default"/>
                <w:sz w:val="21"/>
                <w:szCs w:val="21"/>
              </w:rPr>
            </w:pPr>
            <w:r>
              <w:rPr>
                <w:rFonts w:ascii="宋体"/>
                <w:spacing w:val="-1"/>
                <w:sz w:val="21"/>
              </w:rPr>
              <w:t>-516,898.76</w:t>
            </w:r>
            <w:r>
              <w:rPr>
                <w:rFonts w:ascii="宋体"/>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r>
      <w:tr>
        <w:trPr>
          <w:trHeight w:val="554" w:hRule="exact"/>
        </w:trPr>
        <w:tc>
          <w:tcPr>
            <w:tcW w:w="25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对联营企业权益投资的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账面价值</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32,276,744.79</w:t>
            </w:r>
            <w:r>
              <w:rPr>
                <w:rFonts w:ascii="宋体"/>
                <w:sz w:val="21"/>
              </w:rPr>
              <w:t> </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right"/>
              <w:rPr>
                <w:rFonts w:ascii="宋体" w:hAnsi="宋体" w:cs="宋体" w:eastAsia="宋体" w:hint="default"/>
                <w:sz w:val="21"/>
                <w:szCs w:val="21"/>
              </w:rPr>
            </w:pPr>
            <w:r>
              <w:rPr>
                <w:rFonts w:ascii="宋体"/>
                <w:spacing w:val="-1"/>
                <w:sz w:val="21"/>
              </w:rPr>
              <w:t>57,897,748.04</w:t>
            </w:r>
            <w:r>
              <w:rPr>
                <w:rFonts w:ascii="宋体"/>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w w:val="100"/>
                <w:sz w:val="21"/>
              </w:rPr>
              <w:t> </w:t>
            </w:r>
          </w:p>
        </w:tc>
      </w:tr>
      <w:tr>
        <w:trPr>
          <w:trHeight w:val="554" w:hRule="exact"/>
        </w:trPr>
        <w:tc>
          <w:tcPr>
            <w:tcW w:w="25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存在公开报价的联营企</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业权益投资的公允价值</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right"/>
              <w:rPr>
                <w:rFonts w:ascii="宋体" w:hAnsi="宋体" w:cs="宋体" w:eastAsia="宋体" w:hint="default"/>
                <w:sz w:val="21"/>
                <w:szCs w:val="21"/>
              </w:rPr>
            </w:pPr>
            <w:r>
              <w:rPr>
                <w:rFonts w:ascii="宋体"/>
                <w:w w:val="100"/>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w w:val="100"/>
                <w:sz w:val="21"/>
              </w:rPr>
              <w:t> </w:t>
            </w:r>
          </w:p>
        </w:tc>
      </w:tr>
      <w:tr>
        <w:trPr>
          <w:trHeight w:val="283" w:hRule="exact"/>
        </w:trPr>
        <w:tc>
          <w:tcPr>
            <w:tcW w:w="25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营业收入</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16,624,942.96</w:t>
            </w:r>
            <w:r>
              <w:rPr>
                <w:rFonts w:ascii="宋体"/>
                <w:sz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115,027,393.21</w:t>
            </w:r>
            <w:r>
              <w:rPr>
                <w:rFonts w:ascii="宋体"/>
                <w:sz w:val="21"/>
              </w:rPr>
              <w:t> </w:t>
            </w:r>
          </w:p>
        </w:tc>
      </w:tr>
      <w:tr>
        <w:trPr>
          <w:trHeight w:val="283" w:hRule="exact"/>
        </w:trPr>
        <w:tc>
          <w:tcPr>
            <w:tcW w:w="25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净利润</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-9,053,866.18</w:t>
            </w:r>
            <w:r>
              <w:rPr>
                <w:rFonts w:ascii="宋体"/>
                <w:sz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1,958,215.20</w:t>
            </w:r>
            <w:r>
              <w:rPr>
                <w:rFonts w:ascii="宋体"/>
                <w:sz w:val="21"/>
              </w:rPr>
              <w:t> </w:t>
            </w:r>
          </w:p>
        </w:tc>
      </w:tr>
      <w:tr>
        <w:trPr>
          <w:trHeight w:val="281" w:hRule="exact"/>
        </w:trPr>
        <w:tc>
          <w:tcPr>
            <w:tcW w:w="25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终止经营的净利润</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3" w:hRule="exact"/>
        </w:trPr>
        <w:tc>
          <w:tcPr>
            <w:tcW w:w="25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其他综合收益</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1" w:hRule="exact"/>
        </w:trPr>
        <w:tc>
          <w:tcPr>
            <w:tcW w:w="25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综合收益总额</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
              <w:jc w:val="right"/>
              <w:rPr>
                <w:rFonts w:ascii="宋体" w:hAnsi="宋体" w:cs="宋体" w:eastAsia="宋体" w:hint="default"/>
                <w:sz w:val="21"/>
                <w:szCs w:val="21"/>
              </w:rPr>
            </w:pPr>
            <w:r>
              <w:rPr>
                <w:rFonts w:ascii="Times New Roman"/>
                <w:spacing w:val="-1"/>
                <w:sz w:val="21"/>
              </w:rPr>
              <w:t>-9,053,866.18</w:t>
            </w:r>
            <w:r>
              <w:rPr>
                <w:rFonts w:ascii="宋体"/>
                <w:sz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1,958,215.20</w:t>
            </w:r>
            <w:r>
              <w:rPr>
                <w:rFonts w:ascii="宋体"/>
                <w:sz w:val="21"/>
              </w:rPr>
              <w:t> </w:t>
            </w:r>
          </w:p>
        </w:tc>
      </w:tr>
      <w:tr>
        <w:trPr>
          <w:trHeight w:val="557" w:hRule="exact"/>
        </w:trPr>
        <w:tc>
          <w:tcPr>
            <w:tcW w:w="251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本年度收到的来自联营</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企业的股利</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right"/>
              <w:rPr>
                <w:rFonts w:ascii="宋体" w:hAnsi="宋体" w:cs="宋体" w:eastAsia="宋体" w:hint="default"/>
                <w:sz w:val="21"/>
                <w:szCs w:val="21"/>
              </w:rPr>
            </w:pPr>
            <w:r>
              <w:rPr>
                <w:rFonts w:ascii="宋体"/>
                <w:w w:val="100"/>
                <w:sz w:val="21"/>
              </w:rPr>
              <w:t> </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right"/>
              <w:rPr>
                <w:rFonts w:ascii="宋体" w:hAnsi="宋体" w:cs="宋体" w:eastAsia="宋体" w:hint="default"/>
                <w:sz w:val="21"/>
                <w:szCs w:val="21"/>
              </w:rPr>
            </w:pPr>
            <w:r>
              <w:rPr>
                <w:rFonts w:ascii="宋体"/>
                <w:spacing w:val="-1"/>
                <w:sz w:val="21"/>
              </w:rPr>
              <w:t>54,709,122.07</w:t>
            </w:r>
            <w:r>
              <w:rPr>
                <w:rFonts w:ascii="宋体"/>
                <w:sz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
              <w:jc w:val="right"/>
              <w:rPr>
                <w:rFonts w:ascii="宋体" w:hAnsi="宋体" w:cs="宋体" w:eastAsia="宋体" w:hint="default"/>
                <w:sz w:val="21"/>
                <w:szCs w:val="21"/>
              </w:rPr>
            </w:pPr>
            <w:r>
              <w:rPr>
                <w:rFonts w:ascii="宋体"/>
                <w:w w:val="100"/>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5"/>
              <w:jc w:val="right"/>
              <w:rPr>
                <w:rFonts w:ascii="宋体" w:hAnsi="宋体" w:cs="宋体" w:eastAsia="宋体" w:hint="default"/>
                <w:sz w:val="21"/>
                <w:szCs w:val="21"/>
              </w:rPr>
            </w:pPr>
            <w:r>
              <w:rPr>
                <w:rFonts w:ascii="宋体"/>
                <w:w w:val="100"/>
                <w:sz w:val="21"/>
              </w:rPr>
              <w:t> </w:t>
            </w:r>
          </w:p>
        </w:tc>
      </w:tr>
    </w:tbl>
    <w:p>
      <w:pPr>
        <w:spacing w:after="0" w:line="240" w:lineRule="auto"/>
        <w:jc w:val="right"/>
        <w:rPr>
          <w:rFonts w:ascii="宋体" w:hAnsi="宋体" w:cs="宋体" w:eastAsia="宋体" w:hint="default"/>
          <w:sz w:val="21"/>
          <w:szCs w:val="21"/>
        </w:rPr>
        <w:sectPr>
          <w:pgSz w:w="11910" w:h="16840"/>
          <w:pgMar w:header="748" w:footer="974" w:top="1140" w:bottom="1160" w:left="1580" w:right="1040"/>
        </w:sectPr>
      </w:pPr>
    </w:p>
    <w:p>
      <w:pPr>
        <w:pStyle w:val="BodyText"/>
        <w:spacing w:line="241" w:lineRule="exact"/>
        <w:ind w:right="0"/>
        <w:jc w:val="left"/>
        <w:rPr>
          <w:rFonts w:ascii="宋体" w:hAnsi="宋体" w:cs="宋体" w:eastAsia="宋体" w:hint="default"/>
        </w:rPr>
      </w:pPr>
      <w:r>
        <w:rPr>
          <w:rFonts w:ascii="宋体"/>
          <w:w w:val="100"/>
        </w:rPr>
        <w:t> </w:t>
      </w:r>
    </w:p>
    <w:p>
      <w:pPr>
        <w:pStyle w:val="Heading3"/>
        <w:spacing w:line="240" w:lineRule="auto" w:before="56"/>
        <w:ind w:right="0"/>
        <w:jc w:val="left"/>
        <w:rPr>
          <w:rFonts w:ascii="宋体" w:hAnsi="宋体" w:cs="宋体" w:eastAsia="宋体" w:hint="default"/>
          <w:b w:val="0"/>
          <w:bCs w:val="0"/>
        </w:rPr>
      </w:pPr>
      <w:r>
        <w:rPr>
          <w:rFonts w:ascii="宋体" w:hAnsi="宋体" w:cs="宋体" w:eastAsia="宋体" w:hint="default"/>
        </w:rPr>
        <w:t>(4).</w:t>
      </w:r>
      <w:r>
        <w:rPr>
          <w:rFonts w:ascii="宋体" w:hAnsi="宋体" w:cs="宋体" w:eastAsia="宋体" w:hint="default"/>
          <w:spacing w:val="-46"/>
        </w:rPr>
        <w:t> </w:t>
      </w:r>
      <w:r>
        <w:rPr/>
        <w:t>不重要的合营企业和联营企业的汇总财务信息</w:t>
      </w:r>
      <w:r>
        <w:rPr>
          <w:rFonts w:ascii="宋体" w:hAnsi="宋体" w:cs="宋体" w:eastAsia="宋体" w:hint="default"/>
          <w:w w:val="99"/>
        </w:rPr>
        <w:t> </w:t>
      </w:r>
      <w:r>
        <w:rPr>
          <w:rFonts w:ascii="宋体" w:hAnsi="宋体" w:cs="宋体" w:eastAsia="宋体" w:hint="default"/>
          <w:b w:val="0"/>
          <w:bCs w:val="0"/>
        </w:rPr>
      </w:r>
    </w:p>
    <w:p>
      <w:pPr>
        <w:pStyle w:val="Heading2"/>
        <w:spacing w:line="240" w:lineRule="auto" w:before="52"/>
        <w:ind w:right="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55"/>
        <w:ind w:right="0"/>
        <w:jc w:val="left"/>
        <w:rPr>
          <w:rFonts w:ascii="宋体" w:hAnsi="宋体" w:cs="宋体" w:eastAsia="宋体" w:hint="default"/>
        </w:rPr>
      </w:pPr>
      <w:r>
        <w:rPr/>
        <w:t>单位：元币种：人民币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580" w:bottom="280" w:left="1580" w:right="1040"/>
          <w:cols w:num="2" w:equalWidth="0">
            <w:col w:w="5027" w:space="1706"/>
            <w:col w:w="2557"/>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905"/>
        <w:gridCol w:w="3070"/>
        <w:gridCol w:w="3075"/>
      </w:tblGrid>
      <w:tr>
        <w:trPr>
          <w:trHeight w:val="281"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 w:right="0"/>
              <w:jc w:val="center"/>
              <w:rPr>
                <w:rFonts w:ascii="宋体" w:hAnsi="宋体" w:cs="宋体" w:eastAsia="宋体" w:hint="default"/>
                <w:sz w:val="21"/>
                <w:szCs w:val="21"/>
              </w:rPr>
            </w:pPr>
            <w:r>
              <w:rPr>
                <w:rFonts w:ascii="宋体"/>
                <w:w w:val="100"/>
                <w:sz w:val="21"/>
              </w:rPr>
              <w:t> </w:t>
            </w:r>
          </w:p>
        </w:tc>
        <w:tc>
          <w:tcPr>
            <w:tcW w:w="3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30"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w:t>
            </w:r>
            <w:r>
              <w:rPr>
                <w:rFonts w:ascii="宋体" w:hAnsi="宋体" w:cs="宋体" w:eastAsia="宋体" w:hint="default"/>
                <w:sz w:val="21"/>
                <w:szCs w:val="21"/>
              </w:rPr>
              <w:t>本期发生额</w:t>
            </w:r>
            <w:r>
              <w:rPr>
                <w:rFonts w:ascii="宋体" w:hAnsi="宋体" w:cs="宋体" w:eastAsia="宋体" w:hint="default"/>
                <w:sz w:val="21"/>
                <w:szCs w:val="21"/>
              </w:rPr>
              <w:t> </w:t>
            </w:r>
          </w:p>
        </w:tc>
        <w:tc>
          <w:tcPr>
            <w:tcW w:w="30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35"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w:t>
            </w: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3"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合营企业：</w:t>
            </w:r>
            <w:r>
              <w:rPr>
                <w:rFonts w:ascii="宋体" w:hAnsi="宋体" w:cs="宋体" w:eastAsia="宋体" w:hint="default"/>
                <w:sz w:val="21"/>
                <w:szCs w:val="21"/>
              </w:rPr>
              <w:t> </w:t>
            </w:r>
          </w:p>
        </w:tc>
        <w:tc>
          <w:tcPr>
            <w:tcW w:w="30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307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3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30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投资账面价值合计</w:t>
            </w:r>
            <w:r>
              <w:rPr>
                <w:rFonts w:ascii="宋体" w:hAnsi="宋体" w:cs="宋体" w:eastAsia="宋体" w:hint="default"/>
                <w:sz w:val="21"/>
                <w:szCs w:val="21"/>
              </w:rPr>
              <w:t> </w:t>
            </w:r>
          </w:p>
        </w:tc>
        <w:tc>
          <w:tcPr>
            <w:tcW w:w="3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30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7"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下列各项按持股比例计算的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合计数</w:t>
            </w:r>
            <w:r>
              <w:rPr>
                <w:rFonts w:ascii="宋体" w:hAnsi="宋体" w:cs="宋体" w:eastAsia="宋体" w:hint="default"/>
                <w:sz w:val="21"/>
                <w:szCs w:val="21"/>
              </w:rPr>
              <w:t> </w:t>
            </w:r>
          </w:p>
        </w:tc>
        <w:tc>
          <w:tcPr>
            <w:tcW w:w="30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307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净利润</w:t>
            </w:r>
            <w:r>
              <w:rPr>
                <w:rFonts w:ascii="宋体" w:hAnsi="宋体" w:cs="宋体" w:eastAsia="宋体" w:hint="default"/>
                <w:sz w:val="21"/>
                <w:szCs w:val="21"/>
              </w:rPr>
              <w:t> </w:t>
            </w:r>
          </w:p>
        </w:tc>
        <w:tc>
          <w:tcPr>
            <w:tcW w:w="3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30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其他综合收益</w:t>
            </w:r>
            <w:r>
              <w:rPr>
                <w:rFonts w:ascii="宋体" w:hAnsi="宋体" w:cs="宋体" w:eastAsia="宋体" w:hint="default"/>
                <w:sz w:val="21"/>
                <w:szCs w:val="21"/>
              </w:rPr>
              <w:t> </w:t>
            </w:r>
          </w:p>
        </w:tc>
        <w:tc>
          <w:tcPr>
            <w:tcW w:w="3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30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综合收益总额</w:t>
            </w:r>
            <w:r>
              <w:rPr>
                <w:rFonts w:ascii="宋体" w:hAnsi="宋体" w:cs="宋体" w:eastAsia="宋体" w:hint="default"/>
                <w:sz w:val="21"/>
                <w:szCs w:val="21"/>
              </w:rPr>
              <w:t> </w:t>
            </w:r>
          </w:p>
        </w:tc>
        <w:tc>
          <w:tcPr>
            <w:tcW w:w="3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30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联营企业：</w:t>
            </w:r>
            <w:r>
              <w:rPr>
                <w:rFonts w:ascii="宋体" w:hAnsi="宋体" w:cs="宋体" w:eastAsia="宋体" w:hint="default"/>
                <w:sz w:val="21"/>
                <w:szCs w:val="21"/>
              </w:rPr>
              <w:t> </w:t>
            </w:r>
          </w:p>
        </w:tc>
        <w:tc>
          <w:tcPr>
            <w:tcW w:w="30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307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投资账面价值合计</w:t>
            </w:r>
            <w:r>
              <w:rPr>
                <w:rFonts w:ascii="宋体" w:hAnsi="宋体" w:cs="宋体" w:eastAsia="宋体" w:hint="default"/>
                <w:sz w:val="21"/>
                <w:szCs w:val="21"/>
              </w:rPr>
              <w:t> </w:t>
            </w:r>
          </w:p>
        </w:tc>
        <w:tc>
          <w:tcPr>
            <w:tcW w:w="3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30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下列各项按持股比例计算的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合计数</w:t>
            </w:r>
            <w:r>
              <w:rPr>
                <w:rFonts w:ascii="宋体" w:hAnsi="宋体" w:cs="宋体" w:eastAsia="宋体" w:hint="default"/>
                <w:sz w:val="21"/>
                <w:szCs w:val="21"/>
              </w:rPr>
              <w:t> </w:t>
            </w:r>
          </w:p>
        </w:tc>
        <w:tc>
          <w:tcPr>
            <w:tcW w:w="3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30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净利润</w:t>
            </w:r>
            <w:r>
              <w:rPr>
                <w:rFonts w:ascii="宋体" w:hAnsi="宋体" w:cs="宋体" w:eastAsia="宋体" w:hint="default"/>
                <w:sz w:val="21"/>
                <w:szCs w:val="21"/>
              </w:rPr>
              <w:t> </w:t>
            </w:r>
          </w:p>
        </w:tc>
        <w:tc>
          <w:tcPr>
            <w:tcW w:w="3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-6,803,892.44</w:t>
            </w:r>
            <w:r>
              <w:rPr>
                <w:rFonts w:ascii="宋体"/>
                <w:sz w:val="21"/>
              </w:rPr>
              <w:t> </w:t>
            </w:r>
          </w:p>
        </w:tc>
        <w:tc>
          <w:tcPr>
            <w:tcW w:w="30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315,763.95</w:t>
            </w:r>
            <w:r>
              <w:rPr>
                <w:rFonts w:ascii="宋体"/>
                <w:sz w:val="21"/>
              </w:rPr>
              <w:t> </w:t>
            </w:r>
          </w:p>
        </w:tc>
      </w:tr>
      <w:tr>
        <w:trPr>
          <w:trHeight w:val="281"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其他综合收益</w:t>
            </w:r>
            <w:r>
              <w:rPr>
                <w:rFonts w:ascii="宋体" w:hAnsi="宋体" w:cs="宋体" w:eastAsia="宋体" w:hint="default"/>
                <w:sz w:val="21"/>
                <w:szCs w:val="21"/>
              </w:rPr>
              <w:t> </w:t>
            </w:r>
          </w:p>
        </w:tc>
        <w:tc>
          <w:tcPr>
            <w:tcW w:w="3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30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综合收益总额</w:t>
            </w:r>
            <w:r>
              <w:rPr>
                <w:rFonts w:ascii="宋体" w:hAnsi="宋体" w:cs="宋体" w:eastAsia="宋体" w:hint="default"/>
                <w:sz w:val="21"/>
                <w:szCs w:val="21"/>
              </w:rPr>
              <w:t> </w:t>
            </w:r>
          </w:p>
        </w:tc>
        <w:tc>
          <w:tcPr>
            <w:tcW w:w="3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-6,803,892.44</w:t>
            </w:r>
            <w:r>
              <w:rPr>
                <w:rFonts w:ascii="宋体"/>
                <w:sz w:val="21"/>
              </w:rPr>
              <w:t> </w:t>
            </w:r>
          </w:p>
        </w:tc>
        <w:tc>
          <w:tcPr>
            <w:tcW w:w="30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315,763.95</w:t>
            </w:r>
            <w:r>
              <w:rPr>
                <w:rFonts w:ascii="宋体"/>
                <w:sz w:val="21"/>
              </w:rPr>
              <w:t> </w:t>
            </w:r>
          </w:p>
        </w:tc>
      </w:tr>
    </w:tbl>
    <w:p>
      <w:pPr>
        <w:pStyle w:val="BodyText"/>
        <w:spacing w:line="241" w:lineRule="exact"/>
        <w:ind w:right="0"/>
        <w:jc w:val="left"/>
        <w:rPr>
          <w:rFonts w:ascii="宋体" w:hAnsi="宋体" w:cs="宋体" w:eastAsia="宋体" w:hint="default"/>
        </w:rPr>
      </w:pPr>
      <w:r>
        <w:rPr>
          <w:rFonts w:ascii="宋体"/>
          <w:w w:val="100"/>
        </w:rPr>
        <w:t> </w:t>
      </w:r>
    </w:p>
    <w:p>
      <w:pPr>
        <w:pStyle w:val="Heading3"/>
        <w:spacing w:line="240" w:lineRule="auto" w:before="56"/>
        <w:ind w:right="0"/>
        <w:jc w:val="left"/>
        <w:rPr>
          <w:rFonts w:ascii="宋体" w:hAnsi="宋体" w:cs="宋体" w:eastAsia="宋体" w:hint="default"/>
          <w:b w:val="0"/>
          <w:bCs w:val="0"/>
        </w:rPr>
      </w:pPr>
      <w:r>
        <w:rPr>
          <w:rFonts w:ascii="宋体" w:hAnsi="宋体" w:cs="宋体" w:eastAsia="宋体" w:hint="default"/>
        </w:rPr>
        <w:t>(5).</w:t>
      </w:r>
      <w:r>
        <w:rPr>
          <w:rFonts w:ascii="宋体" w:hAnsi="宋体" w:cs="宋体" w:eastAsia="宋体" w:hint="default"/>
          <w:spacing w:val="-48"/>
        </w:rPr>
        <w:t> </w:t>
      </w:r>
      <w:r>
        <w:rPr/>
        <w:t>合营企业或联营企业向本公司转移资金的能力存在重大限制的说明</w:t>
      </w:r>
      <w:r>
        <w:rPr>
          <w:rFonts w:ascii="宋体" w:hAnsi="宋体" w:cs="宋体" w:eastAsia="宋体" w:hint="default"/>
          <w:w w:val="99"/>
        </w:rPr>
        <w:t> </w:t>
      </w:r>
      <w:r>
        <w:rPr>
          <w:rFonts w:ascii="宋体" w:hAnsi="宋体" w:cs="宋体" w:eastAsia="宋体" w:hint="default"/>
          <w:b w:val="0"/>
          <w:bCs w:val="0"/>
        </w:rPr>
      </w:r>
    </w:p>
    <w:p>
      <w:pPr>
        <w:pStyle w:val="Heading2"/>
        <w:spacing w:line="240" w:lineRule="auto" w:before="53"/>
        <w:ind w:right="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BodyText"/>
        <w:spacing w:line="240" w:lineRule="auto" w:before="4"/>
        <w:ind w:right="0"/>
        <w:jc w:val="left"/>
        <w:rPr>
          <w:rFonts w:ascii="宋体" w:hAnsi="宋体" w:cs="宋体" w:eastAsia="宋体" w:hint="default"/>
        </w:rPr>
      </w:pPr>
      <w:r>
        <w:rPr>
          <w:rFonts w:ascii="宋体"/>
          <w:w w:val="100"/>
        </w:rPr>
        <w:t> </w:t>
      </w:r>
    </w:p>
    <w:p>
      <w:pPr>
        <w:pStyle w:val="Heading3"/>
        <w:spacing w:line="240" w:lineRule="auto" w:before="56"/>
        <w:ind w:right="0"/>
        <w:jc w:val="left"/>
        <w:rPr>
          <w:rFonts w:ascii="宋体" w:hAnsi="宋体" w:cs="宋体" w:eastAsia="宋体" w:hint="default"/>
          <w:b w:val="0"/>
          <w:bCs w:val="0"/>
        </w:rPr>
      </w:pPr>
      <w:r>
        <w:rPr>
          <w:rFonts w:ascii="宋体" w:hAnsi="宋体" w:cs="宋体" w:eastAsia="宋体" w:hint="default"/>
        </w:rPr>
        <w:t>(6).</w:t>
      </w:r>
      <w:r>
        <w:rPr>
          <w:rFonts w:ascii="宋体" w:hAnsi="宋体" w:cs="宋体" w:eastAsia="宋体" w:hint="default"/>
          <w:spacing w:val="-47"/>
        </w:rPr>
        <w:t> </w:t>
      </w:r>
      <w:r>
        <w:rPr/>
        <w:t>合营企业或联营企业发生的超额亏损</w:t>
      </w:r>
      <w:r>
        <w:rPr>
          <w:rFonts w:ascii="宋体" w:hAnsi="宋体" w:cs="宋体" w:eastAsia="宋体" w:hint="default"/>
          <w:w w:val="99"/>
        </w:rPr>
        <w:t> </w:t>
      </w:r>
      <w:r>
        <w:rPr>
          <w:rFonts w:ascii="宋体" w:hAnsi="宋体" w:cs="宋体" w:eastAsia="宋体" w:hint="default"/>
          <w:b w:val="0"/>
          <w:bCs w:val="0"/>
        </w:rPr>
      </w:r>
    </w:p>
    <w:p>
      <w:pPr>
        <w:pStyle w:val="Heading2"/>
        <w:spacing w:line="240" w:lineRule="auto" w:before="52"/>
        <w:ind w:right="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BodyText"/>
        <w:spacing w:line="240" w:lineRule="auto" w:before="1"/>
        <w:ind w:right="0"/>
        <w:jc w:val="left"/>
        <w:rPr>
          <w:rFonts w:ascii="宋体" w:hAnsi="宋体" w:cs="宋体" w:eastAsia="宋体" w:hint="default"/>
        </w:rPr>
      </w:pPr>
      <w:r>
        <w:rPr>
          <w:rFonts w:ascii="宋体"/>
          <w:w w:val="100"/>
        </w:rPr>
        <w:t> </w:t>
      </w:r>
    </w:p>
    <w:p>
      <w:pPr>
        <w:pStyle w:val="Heading3"/>
        <w:spacing w:line="240" w:lineRule="auto" w:before="58"/>
        <w:ind w:right="0"/>
        <w:jc w:val="left"/>
        <w:rPr>
          <w:rFonts w:ascii="宋体" w:hAnsi="宋体" w:cs="宋体" w:eastAsia="宋体" w:hint="default"/>
          <w:b w:val="0"/>
          <w:bCs w:val="0"/>
        </w:rPr>
      </w:pPr>
      <w:r>
        <w:rPr>
          <w:rFonts w:ascii="宋体" w:hAnsi="宋体" w:cs="宋体" w:eastAsia="宋体" w:hint="default"/>
        </w:rPr>
        <w:t>(7).</w:t>
      </w:r>
      <w:r>
        <w:rPr>
          <w:rFonts w:ascii="宋体" w:hAnsi="宋体" w:cs="宋体" w:eastAsia="宋体" w:hint="default"/>
          <w:spacing w:val="-48"/>
        </w:rPr>
        <w:t> </w:t>
      </w:r>
      <w:r>
        <w:rPr/>
        <w:t>与合营企业投资相关的未确认承诺</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56"/>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right="0"/>
        <w:jc w:val="left"/>
        <w:rPr>
          <w:rFonts w:ascii="宋体" w:hAnsi="宋体" w:cs="宋体" w:eastAsia="宋体" w:hint="default"/>
        </w:rPr>
      </w:pPr>
      <w:r>
        <w:rPr>
          <w:rFonts w:ascii="宋体"/>
          <w:w w:val="100"/>
        </w:rPr>
        <w:t> </w:t>
      </w:r>
    </w:p>
    <w:p>
      <w:pPr>
        <w:pStyle w:val="Heading3"/>
        <w:spacing w:line="240" w:lineRule="auto" w:before="56"/>
        <w:ind w:right="0"/>
        <w:jc w:val="left"/>
        <w:rPr>
          <w:rFonts w:ascii="宋体" w:hAnsi="宋体" w:cs="宋体" w:eastAsia="宋体" w:hint="default"/>
          <w:b w:val="0"/>
          <w:bCs w:val="0"/>
        </w:rPr>
      </w:pPr>
      <w:r>
        <w:rPr>
          <w:rFonts w:ascii="宋体" w:hAnsi="宋体" w:cs="宋体" w:eastAsia="宋体" w:hint="default"/>
        </w:rPr>
        <w:t>(8).</w:t>
      </w:r>
      <w:r>
        <w:rPr>
          <w:rFonts w:ascii="宋体" w:hAnsi="宋体" w:cs="宋体" w:eastAsia="宋体" w:hint="default"/>
          <w:spacing w:val="-46"/>
        </w:rPr>
        <w:t> </w:t>
      </w:r>
      <w:r>
        <w:rPr/>
        <w:t>与合营企业或联营企业投资相关的或有负债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580" w:bottom="280" w:left="1580" w:right="1040"/>
        </w:sectPr>
      </w:pPr>
    </w:p>
    <w:p>
      <w:pPr>
        <w:spacing w:line="240" w:lineRule="auto" w:before="12"/>
        <w:rPr>
          <w:rFonts w:ascii="宋体" w:hAnsi="宋体" w:cs="宋体" w:eastAsia="宋体" w:hint="default"/>
          <w:sz w:val="23"/>
          <w:szCs w:val="23"/>
        </w:rPr>
      </w:pPr>
    </w:p>
    <w:p>
      <w:pPr>
        <w:pStyle w:val="BodyText"/>
        <w:spacing w:line="240" w:lineRule="auto" w:before="36"/>
        <w:ind w:right="0"/>
        <w:jc w:val="left"/>
        <w:rPr>
          <w:rFonts w:ascii="宋体" w:hAnsi="宋体" w:cs="宋体" w:eastAsia="宋体" w:hint="default"/>
        </w:rPr>
      </w:pPr>
      <w:r>
        <w:rPr>
          <w:rFonts w:ascii="宋体"/>
          <w:w w:val="100"/>
        </w:rPr>
        <w:t> </w:t>
      </w:r>
    </w:p>
    <w:p>
      <w:pPr>
        <w:pStyle w:val="Heading3"/>
        <w:spacing w:line="240" w:lineRule="auto" w:before="59"/>
        <w:ind w:right="0"/>
        <w:jc w:val="left"/>
        <w:rPr>
          <w:rFonts w:ascii="宋体" w:hAnsi="宋体" w:cs="宋体" w:eastAsia="宋体" w:hint="default"/>
          <w:b w:val="0"/>
          <w:bCs w:val="0"/>
        </w:rPr>
      </w:pPr>
      <w:r>
        <w:rPr>
          <w:rFonts w:ascii="宋体" w:hAnsi="宋体" w:cs="宋体" w:eastAsia="宋体" w:hint="default"/>
        </w:rPr>
        <w:t>4</w:t>
      </w:r>
      <w:r>
        <w:rPr/>
        <w:t>、</w:t>
      </w:r>
      <w:r>
        <w:rPr>
          <w:spacing w:val="-4"/>
        </w:rPr>
        <w:t> </w:t>
      </w:r>
      <w:r>
        <w:rPr/>
        <w:t>重要的共同经营</w:t>
      </w:r>
      <w:r>
        <w:rPr>
          <w:rFonts w:ascii="宋体" w:hAnsi="宋体" w:cs="宋体" w:eastAsia="宋体" w:hint="default"/>
          <w:w w:val="99"/>
        </w:rPr>
        <w:t> </w:t>
      </w:r>
      <w:r>
        <w:rPr>
          <w:rFonts w:ascii="宋体" w:hAnsi="宋体" w:cs="宋体" w:eastAsia="宋体" w:hint="default"/>
          <w:b w:val="0"/>
          <w:bCs w:val="0"/>
        </w:rPr>
      </w:r>
    </w:p>
    <w:p>
      <w:pPr>
        <w:pStyle w:val="Heading2"/>
        <w:spacing w:line="240" w:lineRule="auto" w:before="50"/>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BodyText"/>
        <w:spacing w:line="240" w:lineRule="auto" w:before="4"/>
        <w:ind w:right="0"/>
        <w:jc w:val="left"/>
        <w:rPr>
          <w:rFonts w:ascii="宋体" w:hAnsi="宋体" w:cs="宋体" w:eastAsia="宋体" w:hint="default"/>
        </w:rPr>
      </w:pPr>
      <w:r>
        <w:rPr>
          <w:rFonts w:ascii="宋体"/>
          <w:w w:val="100"/>
        </w:rPr>
        <w:t> </w:t>
      </w:r>
    </w:p>
    <w:p>
      <w:pPr>
        <w:spacing w:line="290" w:lineRule="auto" w:before="58"/>
        <w:ind w:left="218" w:right="0" w:firstLine="0"/>
        <w:jc w:val="left"/>
        <w:rPr>
          <w:rFonts w:ascii="宋体" w:hAnsi="宋体" w:cs="宋体" w:eastAsia="宋体" w:hint="default"/>
          <w:sz w:val="21"/>
          <w:szCs w:val="21"/>
        </w:rPr>
      </w:pPr>
      <w:r>
        <w:rPr>
          <w:rFonts w:ascii="宋体" w:hAnsi="宋体" w:cs="宋体" w:eastAsia="宋体" w:hint="default"/>
          <w:b/>
          <w:bCs/>
          <w:sz w:val="21"/>
          <w:szCs w:val="21"/>
        </w:rPr>
        <w:t>5</w:t>
      </w:r>
      <w:r>
        <w:rPr>
          <w:rFonts w:ascii="宋体" w:hAnsi="宋体" w:cs="宋体" w:eastAsia="宋体" w:hint="default"/>
          <w:b/>
          <w:bCs/>
          <w:sz w:val="21"/>
          <w:szCs w:val="21"/>
        </w:rPr>
        <w:t>、</w:t>
      </w:r>
      <w:r>
        <w:rPr>
          <w:rFonts w:ascii="宋体" w:hAnsi="宋体" w:cs="宋体" w:eastAsia="宋体" w:hint="default"/>
          <w:b/>
          <w:bCs/>
          <w:spacing w:val="-5"/>
          <w:sz w:val="21"/>
          <w:szCs w:val="21"/>
        </w:rPr>
        <w:t> </w:t>
      </w:r>
      <w:r>
        <w:rPr>
          <w:rFonts w:ascii="宋体" w:hAnsi="宋体" w:cs="宋体" w:eastAsia="宋体" w:hint="default"/>
          <w:b/>
          <w:bCs/>
          <w:sz w:val="21"/>
          <w:szCs w:val="21"/>
        </w:rPr>
        <w:t>在未纳入合并财务报表范围的结构化主体中的权益</w:t>
      </w:r>
      <w:r>
        <w:rPr>
          <w:rFonts w:ascii="宋体" w:hAnsi="宋体" w:cs="宋体" w:eastAsia="宋体" w:hint="default"/>
          <w:b/>
          <w:bCs/>
          <w:w w:val="99"/>
          <w:sz w:val="21"/>
          <w:szCs w:val="21"/>
        </w:rPr>
        <w:t> </w:t>
      </w:r>
      <w:r>
        <w:rPr>
          <w:rFonts w:ascii="宋体" w:hAnsi="宋体" w:cs="宋体" w:eastAsia="宋体" w:hint="default"/>
          <w:sz w:val="21"/>
          <w:szCs w:val="21"/>
        </w:rPr>
        <w:t>未纳入合并财务报表范围的结构化主体的相关说明：</w:t>
      </w:r>
      <w:r>
        <w:rPr>
          <w:rFonts w:ascii="宋体" w:hAnsi="宋体" w:cs="宋体" w:eastAsia="宋体" w:hint="default"/>
          <w:sz w:val="21"/>
          <w:szCs w:val="21"/>
        </w:rPr>
        <w:t> </w:t>
      </w:r>
    </w:p>
    <w:p>
      <w:pPr>
        <w:pStyle w:val="BodyText"/>
        <w:spacing w:line="226" w:lineRule="exact"/>
        <w:ind w:right="7352"/>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right="0"/>
        <w:jc w:val="left"/>
        <w:rPr>
          <w:rFonts w:ascii="宋体" w:hAnsi="宋体" w:cs="宋体" w:eastAsia="宋体" w:hint="default"/>
        </w:rPr>
      </w:pPr>
      <w:r>
        <w:rPr>
          <w:rFonts w:ascii="宋体"/>
          <w:w w:val="100"/>
        </w:rPr>
        <w:t> </w:t>
      </w:r>
    </w:p>
    <w:p>
      <w:pPr>
        <w:pStyle w:val="Heading3"/>
        <w:spacing w:line="240" w:lineRule="auto" w:before="56"/>
        <w:ind w:right="7352"/>
        <w:jc w:val="left"/>
        <w:rPr>
          <w:rFonts w:ascii="宋体" w:hAnsi="宋体" w:cs="宋体" w:eastAsia="宋体" w:hint="default"/>
          <w:b w:val="0"/>
          <w:bCs w:val="0"/>
        </w:rPr>
      </w:pPr>
      <w:r>
        <w:rPr>
          <w:rFonts w:ascii="宋体" w:hAnsi="宋体" w:cs="宋体" w:eastAsia="宋体" w:hint="default"/>
        </w:rPr>
        <w:t>6</w:t>
      </w:r>
      <w:r>
        <w:rPr/>
        <w:t>、</w:t>
      </w:r>
      <w:r>
        <w:rPr>
          <w:spacing w:val="-3"/>
        </w:rPr>
        <w:t> </w:t>
      </w:r>
      <w:r>
        <w:rPr/>
        <w:t>其他</w:t>
      </w:r>
      <w:r>
        <w:rPr>
          <w:rFonts w:ascii="宋体" w:hAnsi="宋体" w:cs="宋体" w:eastAsia="宋体" w:hint="default"/>
          <w:w w:val="99"/>
        </w:rPr>
        <w:t> </w:t>
      </w:r>
      <w:r>
        <w:rPr>
          <w:rFonts w:ascii="宋体" w:hAnsi="宋体" w:cs="宋体" w:eastAsia="宋体" w:hint="default"/>
          <w:b w:val="0"/>
          <w:bCs w:val="0"/>
        </w:rPr>
      </w:r>
    </w:p>
    <w:p>
      <w:pPr>
        <w:pStyle w:val="Heading2"/>
        <w:spacing w:line="313" w:lineRule="exact" w:before="52"/>
        <w:ind w:right="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Heading2"/>
        <w:spacing w:line="313" w:lineRule="exact"/>
        <w:ind w:right="0"/>
        <w:jc w:val="left"/>
        <w:rPr>
          <w:rFonts w:ascii="宋体" w:hAnsi="宋体" w:cs="宋体" w:eastAsia="宋体" w:hint="default"/>
        </w:rPr>
      </w:pPr>
      <w:r>
        <w:rPr>
          <w:rFonts w:ascii="宋体"/>
        </w:rPr>
        <w:t> </w:t>
      </w:r>
    </w:p>
    <w:p>
      <w:pPr>
        <w:pStyle w:val="Heading3"/>
        <w:spacing w:line="240" w:lineRule="auto" w:before="62"/>
        <w:ind w:right="0"/>
        <w:jc w:val="left"/>
        <w:rPr>
          <w:rFonts w:ascii="宋体" w:hAnsi="宋体" w:cs="宋体" w:eastAsia="宋体" w:hint="default"/>
          <w:b w:val="0"/>
          <w:bCs w:val="0"/>
        </w:rPr>
      </w:pPr>
      <w:r>
        <w:rPr>
          <w:spacing w:val="-1"/>
        </w:rPr>
        <w:t>十、</w:t>
      </w:r>
      <w:r>
        <w:rPr>
          <w:spacing w:val="-94"/>
        </w:rPr>
        <w:t> </w:t>
      </w:r>
      <w:r>
        <w:rPr>
          <w:rFonts w:ascii="宋体" w:hAnsi="宋体" w:cs="宋体" w:eastAsia="宋体" w:hint="default"/>
          <w:spacing w:val="-94"/>
        </w:rPr>
      </w:r>
      <w:r>
        <w:rPr>
          <w:spacing w:val="-1"/>
        </w:rPr>
        <w:t>与金融工具相关的风险</w:t>
      </w:r>
      <w:r>
        <w:rPr>
          <w:rFonts w:ascii="宋体" w:hAnsi="宋体" w:cs="宋体" w:eastAsia="宋体" w:hint="default"/>
          <w:w w:val="99"/>
        </w:rPr>
        <w:t> </w:t>
      </w:r>
      <w:r>
        <w:rPr>
          <w:rFonts w:ascii="宋体" w:hAnsi="宋体" w:cs="宋体" w:eastAsia="宋体" w:hint="default"/>
          <w:b w:val="0"/>
          <w:bCs w:val="0"/>
        </w:rPr>
      </w:r>
    </w:p>
    <w:p>
      <w:pPr>
        <w:pStyle w:val="Heading2"/>
        <w:spacing w:line="240" w:lineRule="auto" w:before="52"/>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BodyText"/>
        <w:spacing w:line="350" w:lineRule="auto" w:before="109"/>
        <w:ind w:left="930" w:right="0"/>
        <w:jc w:val="left"/>
      </w:pPr>
      <w:r>
        <w:rPr>
          <w:spacing w:val="-4"/>
        </w:rPr>
        <w:t>本公司在经营过程中面临各种金融风险：信用风险、市场风险和流动性风险。公司董事会</w:t>
      </w:r>
      <w:r>
        <w:rPr>
          <w:spacing w:val="-27"/>
        </w:rPr>
        <w:t> </w:t>
      </w:r>
      <w:r>
        <w:rPr>
          <w:spacing w:val="-27"/>
        </w:rPr>
      </w:r>
      <w:r>
        <w:rPr/>
        <w:t>全面负责风险管理目标和政策的确定，并对风险管理目标和政策承担最终责任。</w:t>
      </w:r>
      <w:r>
        <w:rPr>
          <w:w w:val="100"/>
        </w:rPr>
        <w:t> </w:t>
      </w:r>
      <w:r>
        <w:rPr>
          <w:spacing w:val="-4"/>
        </w:rPr>
        <w:t>本公司风险管理的总体目标是在不过度影响公司竞争力和应变力的情况下，制定尽可能降</w:t>
      </w:r>
      <w:r>
        <w:rPr>
          <w:spacing w:val="-26"/>
        </w:rPr>
        <w:t> </w:t>
      </w:r>
      <w:r>
        <w:rPr>
          <w:spacing w:val="-26"/>
        </w:rPr>
      </w:r>
      <w:r>
        <w:rPr/>
        <w:t>低风险的风险管理政策。</w:t>
      </w:r>
    </w:p>
    <w:p>
      <w:pPr>
        <w:spacing w:line="240" w:lineRule="auto" w:before="0"/>
        <w:rPr>
          <w:rFonts w:ascii="宋体" w:hAnsi="宋体" w:cs="宋体" w:eastAsia="宋体" w:hint="default"/>
          <w:sz w:val="20"/>
          <w:szCs w:val="20"/>
        </w:rPr>
      </w:pPr>
    </w:p>
    <w:p>
      <w:pPr>
        <w:pStyle w:val="Heading3"/>
        <w:tabs>
          <w:tab w:pos="571" w:val="left" w:leader="none"/>
        </w:tabs>
        <w:spacing w:line="240" w:lineRule="auto" w:before="168"/>
        <w:ind w:left="0" w:right="7229"/>
        <w:jc w:val="center"/>
        <w:rPr>
          <w:b w:val="0"/>
          <w:bCs w:val="0"/>
        </w:rPr>
      </w:pPr>
      <w:r>
        <w:rPr>
          <w:rFonts w:ascii="Times New Roman" w:hAnsi="Times New Roman" w:cs="Times New Roman" w:eastAsia="Times New Roman" w:hint="default"/>
        </w:rPr>
        <w:t>(</w:t>
      </w:r>
      <w:r>
        <w:rPr/>
        <w:t>一</w:t>
      </w:r>
      <w:r>
        <w:rPr>
          <w:rFonts w:ascii="Times New Roman" w:hAnsi="Times New Roman" w:cs="Times New Roman" w:eastAsia="Times New Roman" w:hint="default"/>
        </w:rPr>
        <w:t>)</w:t>
        <w:tab/>
      </w:r>
      <w:r>
        <w:rPr/>
        <w:t>信用风险</w:t>
      </w:r>
      <w:r>
        <w:rPr>
          <w:b w:val="0"/>
          <w:bCs w:val="0"/>
        </w:rPr>
      </w:r>
    </w:p>
    <w:p>
      <w:pPr>
        <w:pStyle w:val="BodyText"/>
        <w:spacing w:line="350" w:lineRule="auto" w:before="107"/>
        <w:ind w:left="930" w:right="0" w:firstLine="4"/>
        <w:jc w:val="left"/>
      </w:pPr>
      <w:r>
        <w:rPr>
          <w:spacing w:val="-4"/>
        </w:rPr>
        <w:t>信用风险是指金融工具的一方不履行义务，造成另一方发生财务损失的风险。本公司主要</w:t>
      </w:r>
      <w:r>
        <w:rPr>
          <w:spacing w:val="-35"/>
        </w:rPr>
        <w:t> </w:t>
      </w:r>
      <w:r>
        <w:rPr>
          <w:spacing w:val="-35"/>
        </w:rPr>
      </w:r>
      <w:r>
        <w:rPr/>
        <w:t>面临赊销导致的客户信用风险。最大风险敞口等于应收账款的账面余额。</w:t>
      </w:r>
      <w:r>
        <w:rPr>
          <w:w w:val="100"/>
        </w:rPr>
        <w:t> </w:t>
      </w:r>
      <w:r>
        <w:rPr>
          <w:spacing w:val="-4"/>
        </w:rPr>
        <w:t>公司赊销客户主要系国家电网、南方电网和地方电网公司及其下属企业以及其他大型企业，</w:t>
      </w:r>
      <w:r>
        <w:rPr>
          <w:spacing w:val="-23"/>
        </w:rPr>
        <w:t> </w:t>
      </w:r>
      <w:r>
        <w:rPr>
          <w:spacing w:val="-23"/>
        </w:rPr>
      </w:r>
      <w:r>
        <w:rPr/>
        <w:t>该类客户整体信用风险较低，公司预计不存在重大信用风险。</w:t>
      </w:r>
    </w:p>
    <w:p>
      <w:pPr>
        <w:spacing w:line="240" w:lineRule="auto" w:before="0"/>
        <w:rPr>
          <w:rFonts w:ascii="宋体" w:hAnsi="宋体" w:cs="宋体" w:eastAsia="宋体" w:hint="default"/>
          <w:sz w:val="20"/>
          <w:szCs w:val="20"/>
        </w:rPr>
      </w:pPr>
    </w:p>
    <w:p>
      <w:pPr>
        <w:pStyle w:val="Heading3"/>
        <w:tabs>
          <w:tab w:pos="571" w:val="left" w:leader="none"/>
        </w:tabs>
        <w:spacing w:line="240" w:lineRule="auto" w:before="168"/>
        <w:ind w:left="0" w:right="7229"/>
        <w:jc w:val="center"/>
        <w:rPr>
          <w:b w:val="0"/>
          <w:bCs w:val="0"/>
        </w:rPr>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tab/>
      </w:r>
      <w:r>
        <w:rPr/>
        <w:t>市场风险</w:t>
      </w:r>
      <w:r>
        <w:rPr>
          <w:b w:val="0"/>
          <w:bCs w:val="0"/>
        </w:rPr>
      </w:r>
    </w:p>
    <w:p>
      <w:pPr>
        <w:pStyle w:val="BodyText"/>
        <w:spacing w:line="350" w:lineRule="auto" w:before="107"/>
        <w:ind w:left="935" w:right="0"/>
        <w:jc w:val="left"/>
      </w:pPr>
      <w:r>
        <w:rPr>
          <w:spacing w:val="-4"/>
        </w:rPr>
        <w:t>金融工具的市场风险，是指金融工具的公允价值或未来现金流量因市场价格变动而发生波</w:t>
      </w:r>
      <w:r>
        <w:rPr>
          <w:spacing w:val="-30"/>
        </w:rPr>
        <w:t> </w:t>
      </w:r>
      <w:r>
        <w:rPr>
          <w:spacing w:val="-30"/>
        </w:rPr>
      </w:r>
      <w:r>
        <w:rPr/>
        <w:t>动的风险，包括汇率风险、利率风险和其他价格风险。</w:t>
      </w:r>
    </w:p>
    <w:p>
      <w:pPr>
        <w:pStyle w:val="BodyText"/>
        <w:spacing w:line="340" w:lineRule="auto" w:before="29"/>
        <w:ind w:left="935" w:right="0"/>
        <w:jc w:val="left"/>
      </w:pPr>
      <w:r>
        <w:rPr/>
        <w:t>（</w:t>
      </w:r>
      <w:r>
        <w:rPr>
          <w:rFonts w:ascii="Times New Roman" w:hAnsi="Times New Roman" w:cs="Times New Roman" w:eastAsia="Times New Roman" w:hint="default"/>
        </w:rPr>
        <w:t>1</w:t>
      </w:r>
      <w:r>
        <w:rPr/>
        <w:t>）利率风险</w:t>
      </w:r>
      <w:r>
        <w:rPr>
          <w:w w:val="100"/>
        </w:rPr>
        <w:t> </w:t>
      </w:r>
      <w:r>
        <w:rPr>
          <w:spacing w:val="-1"/>
        </w:rPr>
        <w:t>利率风险，是指金融工具的公允价值或未来现金流量因市场利率变动而发生波动的风险。</w:t>
      </w:r>
      <w:r>
        <w:rPr>
          <w:spacing w:val="-37"/>
        </w:rPr>
        <w:t> </w:t>
      </w:r>
      <w:r>
        <w:rPr>
          <w:spacing w:val="-37"/>
        </w:rPr>
      </w:r>
      <w:r>
        <w:rPr/>
        <w:t>公司面临的利率风险主要来源于浮动利率银行贷款，截止</w:t>
      </w:r>
      <w:r>
        <w:rPr>
          <w:spacing w:val="-50"/>
        </w:rPr>
        <w:t> </w:t>
      </w:r>
      <w:r>
        <w:rPr>
          <w:rFonts w:ascii="Times New Roman" w:hAnsi="Times New Roman" w:cs="Times New Roman" w:eastAsia="Times New Roman" w:hint="default"/>
        </w:rPr>
        <w:t>2019</w:t>
      </w:r>
      <w:r>
        <w:rPr>
          <w:rFonts w:ascii="Times New Roman" w:hAnsi="Times New Roman" w:cs="Times New Roman" w:eastAsia="Times New Roman" w:hint="default"/>
          <w:spacing w:val="3"/>
        </w:rPr>
        <w:t> </w:t>
      </w:r>
      <w:r>
        <w:rPr/>
        <w:t>年</w:t>
      </w:r>
      <w:r>
        <w:rPr>
          <w:spacing w:val="-50"/>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49"/>
        </w:rPr>
        <w:t> </w:t>
      </w:r>
      <w:r>
        <w:rPr>
          <w:rFonts w:ascii="Times New Roman" w:hAnsi="Times New Roman" w:cs="Times New Roman" w:eastAsia="Times New Roman" w:hint="default"/>
        </w:rPr>
        <w:t>31</w:t>
      </w:r>
      <w:r>
        <w:rPr>
          <w:rFonts w:ascii="Times New Roman" w:hAnsi="Times New Roman" w:cs="Times New Roman" w:eastAsia="Times New Roman" w:hint="default"/>
          <w:spacing w:val="3"/>
        </w:rPr>
        <w:t> </w:t>
      </w:r>
      <w:r>
        <w:rPr/>
        <w:t>日公司银行贷</w:t>
      </w:r>
    </w:p>
    <w:p>
      <w:pPr>
        <w:pStyle w:val="BodyText"/>
        <w:spacing w:line="328" w:lineRule="auto" w:before="12"/>
        <w:ind w:left="935" w:right="308"/>
        <w:jc w:val="both"/>
        <w:rPr>
          <w:rFonts w:ascii="宋体" w:hAnsi="宋体" w:cs="宋体" w:eastAsia="宋体" w:hint="default"/>
        </w:rPr>
      </w:pPr>
      <w:r>
        <w:rPr/>
        <w:t>款余额</w:t>
      </w:r>
      <w:r>
        <w:rPr>
          <w:spacing w:val="-45"/>
        </w:rPr>
        <w:t> </w:t>
      </w:r>
      <w:r>
        <w:rPr>
          <w:rFonts w:ascii="Times New Roman" w:hAnsi="Times New Roman" w:cs="Times New Roman" w:eastAsia="Times New Roman" w:hint="default"/>
        </w:rPr>
        <w:t>308,644.14</w:t>
      </w:r>
      <w:r>
        <w:rPr>
          <w:rFonts w:ascii="Times New Roman" w:hAnsi="Times New Roman" w:cs="Times New Roman" w:eastAsia="Times New Roman" w:hint="default"/>
          <w:spacing w:val="8"/>
        </w:rPr>
        <w:t> </w:t>
      </w:r>
      <w:r>
        <w:rPr>
          <w:spacing w:val="-4"/>
        </w:rPr>
        <w:t>万元，在其他变量不变的假设下，假定利率上浮</w:t>
      </w:r>
      <w:r>
        <w:rPr>
          <w:spacing w:val="-45"/>
        </w:rPr>
        <w:t> </w:t>
      </w:r>
      <w:r>
        <w:rPr>
          <w:rFonts w:ascii="Times New Roman" w:hAnsi="Times New Roman" w:cs="Times New Roman" w:eastAsia="Times New Roman" w:hint="default"/>
        </w:rPr>
        <w:t>100</w:t>
      </w:r>
      <w:r>
        <w:rPr>
          <w:rFonts w:ascii="Times New Roman" w:hAnsi="Times New Roman" w:cs="Times New Roman" w:eastAsia="Times New Roman" w:hint="default"/>
          <w:spacing w:val="8"/>
        </w:rPr>
        <w:t> </w:t>
      </w:r>
      <w:r>
        <w:rPr>
          <w:spacing w:val="-5"/>
        </w:rPr>
        <w:t>个基准点，增加利</w:t>
      </w:r>
      <w:r>
        <w:rPr>
          <w:spacing w:val="-102"/>
        </w:rPr>
        <w:t> </w:t>
      </w:r>
      <w:r>
        <w:rPr>
          <w:spacing w:val="-102"/>
        </w:rPr>
      </w:r>
      <w:r>
        <w:rPr/>
        <w:t>息支出</w:t>
      </w:r>
      <w:r>
        <w:rPr>
          <w:spacing w:val="-34"/>
        </w:rPr>
        <w:t> </w:t>
      </w:r>
      <w:r>
        <w:rPr>
          <w:rFonts w:ascii="Times New Roman" w:hAnsi="Times New Roman" w:cs="Times New Roman" w:eastAsia="Times New Roman" w:hint="default"/>
        </w:rPr>
        <w:t>3,086.44</w:t>
      </w:r>
      <w:r>
        <w:rPr>
          <w:rFonts w:ascii="Times New Roman" w:hAnsi="Times New Roman" w:cs="Times New Roman" w:eastAsia="Times New Roman" w:hint="default"/>
          <w:spacing w:val="16"/>
        </w:rPr>
        <w:t> </w:t>
      </w:r>
      <w:r>
        <w:rPr>
          <w:spacing w:val="-4"/>
        </w:rPr>
        <w:t>万元，占公司本期净利润的</w:t>
      </w:r>
      <w:r>
        <w:rPr>
          <w:spacing w:val="-34"/>
        </w:rPr>
        <w:t> </w:t>
      </w:r>
      <w:r>
        <w:rPr>
          <w:rFonts w:ascii="Times New Roman" w:hAnsi="Times New Roman" w:cs="Times New Roman" w:eastAsia="Times New Roman" w:hint="default"/>
          <w:spacing w:val="-3"/>
        </w:rPr>
        <w:t>4.41%</w:t>
      </w:r>
      <w:r>
        <w:rPr>
          <w:spacing w:val="-3"/>
        </w:rPr>
        <w:t>，不会对本公司的利润总额和股东权益</w:t>
      </w:r>
      <w:r>
        <w:rPr>
          <w:spacing w:val="-97"/>
        </w:rPr>
        <w:t> </w:t>
      </w:r>
      <w:r>
        <w:rPr>
          <w:spacing w:val="-97"/>
        </w:rPr>
      </w:r>
      <w:r>
        <w:rPr/>
        <w:t>产生重大的影响。</w:t>
      </w:r>
      <w:r>
        <w:rPr>
          <w:rFonts w:ascii="宋体" w:hAnsi="宋体" w:cs="宋体" w:eastAsia="宋体" w:hint="default"/>
        </w:rPr>
        <w:t> </w:t>
      </w:r>
    </w:p>
    <w:p>
      <w:pPr>
        <w:pStyle w:val="BodyText"/>
        <w:spacing w:line="336" w:lineRule="auto" w:before="48"/>
        <w:ind w:left="935" w:right="0"/>
        <w:jc w:val="left"/>
      </w:pPr>
      <w:r>
        <w:rPr/>
        <w:t>（</w:t>
      </w:r>
      <w:r>
        <w:rPr>
          <w:rFonts w:ascii="Times New Roman" w:hAnsi="Times New Roman" w:cs="Times New Roman" w:eastAsia="Times New Roman" w:hint="default"/>
        </w:rPr>
        <w:t>2</w:t>
      </w:r>
      <w:r>
        <w:rPr/>
        <w:t>）汇率风险</w:t>
      </w:r>
      <w:r>
        <w:rPr>
          <w:w w:val="100"/>
        </w:rPr>
        <w:t> </w:t>
      </w:r>
      <w:r>
        <w:rPr>
          <w:spacing w:val="-1"/>
        </w:rPr>
        <w:t>汇率风险，是指金融工具的公允价值或未来现金流量因外汇汇率变动而发生波动的风险。</w:t>
      </w:r>
      <w:r>
        <w:rPr>
          <w:spacing w:val="-38"/>
        </w:rPr>
        <w:t> </w:t>
      </w:r>
      <w:r>
        <w:rPr>
          <w:spacing w:val="-38"/>
        </w:rPr>
      </w:r>
      <w:r>
        <w:rPr>
          <w:spacing w:val="-2"/>
          <w:w w:val="100"/>
        </w:rPr>
        <w:t>年末公司持有外币计量的金融工具余额</w:t>
      </w:r>
      <w:r>
        <w:rPr>
          <w:spacing w:val="-49"/>
          <w:w w:val="100"/>
        </w:rPr>
        <w:t> </w:t>
      </w:r>
      <w:r>
        <w:rPr>
          <w:rFonts w:ascii="Times New Roman" w:hAnsi="Times New Roman" w:cs="Times New Roman" w:eastAsia="Times New Roman" w:hint="default"/>
          <w:spacing w:val="-1"/>
          <w:w w:val="100"/>
        </w:rPr>
        <w:t>35,525.64</w:t>
      </w:r>
      <w:r>
        <w:rPr>
          <w:rFonts w:ascii="Times New Roman" w:hAnsi="Times New Roman" w:cs="Times New Roman" w:eastAsia="Times New Roman" w:hint="default"/>
          <w:spacing w:val="2"/>
          <w:w w:val="100"/>
        </w:rPr>
        <w:t> </w:t>
      </w:r>
      <w:r>
        <w:rPr>
          <w:spacing w:val="-12"/>
          <w:w w:val="100"/>
        </w:rPr>
        <w:t>万元（详见本附注七、（八十）外币货币</w:t>
      </w:r>
      <w:r>
        <w:rPr>
          <w:spacing w:val="-94"/>
          <w:w w:val="100"/>
        </w:rPr>
        <w:t> </w:t>
      </w:r>
      <w:r>
        <w:rPr>
          <w:spacing w:val="-94"/>
          <w:w w:val="100"/>
        </w:rPr>
      </w:r>
      <w:r>
        <w:rPr>
          <w:spacing w:val="-7"/>
          <w:w w:val="100"/>
        </w:rPr>
        <w:t>性项目），在所有其他变量保持不变的情况下，如果人民币对外币升值或贬值</w:t>
      </w:r>
      <w:r>
        <w:rPr>
          <w:spacing w:val="-34"/>
          <w:w w:val="100"/>
        </w:rPr>
        <w:t> </w:t>
      </w:r>
      <w:r>
        <w:rPr>
          <w:rFonts w:ascii="Times New Roman" w:hAnsi="Times New Roman" w:cs="Times New Roman" w:eastAsia="Times New Roman" w:hint="default"/>
          <w:spacing w:val="-6"/>
          <w:w w:val="100"/>
        </w:rPr>
        <w:t>2%</w:t>
      </w:r>
      <w:r>
        <w:rPr>
          <w:spacing w:val="-6"/>
          <w:w w:val="100"/>
        </w:rPr>
        <w:t>，则公司</w:t>
      </w:r>
    </w:p>
    <w:p>
      <w:pPr>
        <w:spacing w:after="0" w:line="336" w:lineRule="auto"/>
        <w:jc w:val="left"/>
        <w:sectPr>
          <w:footerReference w:type="default" r:id="rId227"/>
          <w:pgSz w:w="11910" w:h="16840"/>
          <w:pgMar w:footer="974" w:header="748" w:top="1140" w:bottom="1160" w:left="1580" w:right="96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4"/>
          <w:szCs w:val="14"/>
        </w:rPr>
      </w:pPr>
    </w:p>
    <w:p>
      <w:pPr>
        <w:pStyle w:val="BodyText"/>
        <w:spacing w:line="331" w:lineRule="auto"/>
        <w:ind w:left="935" w:right="0"/>
        <w:jc w:val="left"/>
      </w:pPr>
      <w:r>
        <w:rPr/>
        <w:t>将增加或减少净利润</w:t>
      </w:r>
      <w:r>
        <w:rPr>
          <w:spacing w:val="-41"/>
        </w:rPr>
        <w:t> </w:t>
      </w:r>
      <w:r>
        <w:rPr>
          <w:rFonts w:ascii="Times New Roman" w:hAnsi="Times New Roman" w:cs="Times New Roman" w:eastAsia="Times New Roman" w:hint="default"/>
        </w:rPr>
        <w:t>710.51</w:t>
      </w:r>
      <w:r>
        <w:rPr>
          <w:rFonts w:ascii="Times New Roman" w:hAnsi="Times New Roman" w:cs="Times New Roman" w:eastAsia="Times New Roman" w:hint="default"/>
          <w:spacing w:val="11"/>
        </w:rPr>
        <w:t> </w:t>
      </w:r>
      <w:r>
        <w:rPr>
          <w:spacing w:val="-6"/>
        </w:rPr>
        <w:t>万元，占公司本期净利润的</w:t>
      </w:r>
      <w:r>
        <w:rPr>
          <w:spacing w:val="-42"/>
        </w:rPr>
        <w:t> </w:t>
      </w:r>
      <w:r>
        <w:rPr>
          <w:rFonts w:ascii="Times New Roman" w:hAnsi="Times New Roman" w:cs="Times New Roman" w:eastAsia="Times New Roman" w:hint="default"/>
          <w:spacing w:val="-4"/>
        </w:rPr>
        <w:t>1.01%</w:t>
      </w:r>
      <w:r>
        <w:rPr>
          <w:spacing w:val="-4"/>
        </w:rPr>
        <w:t>，公司预计不存在重大汇率</w:t>
      </w:r>
      <w:r>
        <w:rPr>
          <w:spacing w:val="-101"/>
        </w:rPr>
        <w:t> </w:t>
      </w:r>
      <w:r>
        <w:rPr>
          <w:spacing w:val="-101"/>
        </w:rPr>
      </w:r>
      <w:r>
        <w:rPr/>
        <w:t>风险。</w:t>
      </w:r>
    </w:p>
    <w:p>
      <w:pPr>
        <w:pStyle w:val="BodyText"/>
        <w:spacing w:line="328" w:lineRule="auto" w:before="46"/>
        <w:ind w:left="930" w:right="0" w:firstLine="4"/>
        <w:jc w:val="left"/>
      </w:pPr>
      <w:r>
        <w:rPr/>
        <w:t>（</w:t>
      </w:r>
      <w:r>
        <w:rPr>
          <w:rFonts w:ascii="Times New Roman" w:hAnsi="Times New Roman" w:cs="Times New Roman" w:eastAsia="Times New Roman" w:hint="default"/>
        </w:rPr>
        <w:t>3</w:t>
      </w:r>
      <w:r>
        <w:rPr/>
        <w:t>）其他价格风险</w:t>
      </w:r>
      <w:r>
        <w:rPr>
          <w:w w:val="100"/>
        </w:rPr>
        <w:t> </w:t>
      </w:r>
      <w:r>
        <w:rPr>
          <w:spacing w:val="-2"/>
        </w:rPr>
        <w:t>本公司未持有其他上市公司的权益投资，不存在投资活动面临的其他价格风险。</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Heading3"/>
        <w:tabs>
          <w:tab w:pos="930" w:val="left" w:leader="none"/>
        </w:tabs>
        <w:spacing w:line="240" w:lineRule="auto" w:before="0"/>
        <w:ind w:left="359" w:right="0"/>
        <w:jc w:val="left"/>
        <w:rPr>
          <w:b w:val="0"/>
          <w:bCs w:val="0"/>
        </w:rPr>
      </w:pPr>
      <w:r>
        <w:rPr>
          <w:rFonts w:ascii="Times New Roman" w:hAnsi="Times New Roman" w:cs="Times New Roman" w:eastAsia="Times New Roman" w:hint="default"/>
        </w:rPr>
        <w:t>(</w:t>
      </w:r>
      <w:r>
        <w:rPr/>
        <w:t>三</w:t>
      </w:r>
      <w:r>
        <w:rPr>
          <w:rFonts w:ascii="Times New Roman" w:hAnsi="Times New Roman" w:cs="Times New Roman" w:eastAsia="Times New Roman" w:hint="default"/>
        </w:rPr>
        <w:t>)</w:t>
        <w:tab/>
      </w:r>
      <w:r>
        <w:rPr/>
        <w:t>流动性风险</w:t>
      </w:r>
      <w:r>
        <w:rPr>
          <w:b w:val="0"/>
          <w:bCs w:val="0"/>
        </w:rPr>
      </w:r>
    </w:p>
    <w:p>
      <w:pPr>
        <w:pStyle w:val="BodyText"/>
        <w:spacing w:line="345" w:lineRule="auto" w:before="107"/>
        <w:ind w:left="935" w:right="122"/>
        <w:jc w:val="left"/>
        <w:rPr>
          <w:rFonts w:ascii="宋体" w:hAnsi="宋体" w:cs="宋体" w:eastAsia="宋体" w:hint="default"/>
        </w:rPr>
      </w:pPr>
      <w:bookmarkStart w:name="与金融工具相关的风险3" w:id="18"/>
      <w:bookmarkEnd w:id="18"/>
      <w:r>
        <w:rPr/>
      </w:r>
      <w:r>
        <w:rPr>
          <w:spacing w:val="-4"/>
        </w:rPr>
        <w:t>流动风险，是指企业在履行以交付现金或其他金融资产的方式结算的义务时发生资金短缺</w:t>
      </w:r>
      <w:r>
        <w:rPr>
          <w:spacing w:val="-31"/>
        </w:rPr>
        <w:t> </w:t>
      </w:r>
      <w:r>
        <w:rPr>
          <w:spacing w:val="-31"/>
        </w:rPr>
      </w:r>
      <w:r>
        <w:rPr>
          <w:spacing w:val="-4"/>
        </w:rPr>
        <w:t>的风险。本公司的政策是确保拥有充足的现金以偿还到期债务。流动性风险由本公司的财</w:t>
      </w:r>
      <w:r>
        <w:rPr>
          <w:spacing w:val="-31"/>
        </w:rPr>
        <w:t> </w:t>
      </w:r>
      <w:r>
        <w:rPr>
          <w:spacing w:val="-31"/>
        </w:rPr>
      </w:r>
      <w:r>
        <w:rPr/>
        <w:t>务部门集中控制。财务部门通过监控现金余额、可随时变现的有价证券以及对未来 </w:t>
      </w:r>
      <w:r>
        <w:rPr>
          <w:rFonts w:ascii="Times New Roman" w:hAnsi="Times New Roman" w:cs="Times New Roman" w:eastAsia="Times New Roman" w:hint="default"/>
        </w:rPr>
        <w:t>12</w:t>
      </w:r>
      <w:r>
        <w:rPr>
          <w:rFonts w:ascii="Times New Roman" w:hAnsi="Times New Roman" w:cs="Times New Roman" w:eastAsia="Times New Roman" w:hint="default"/>
          <w:spacing w:val="-29"/>
        </w:rPr>
        <w:t> </w:t>
      </w:r>
      <w:r>
        <w:rPr/>
        <w:t>个</w:t>
      </w:r>
      <w:r>
        <w:rPr>
          <w:w w:val="100"/>
        </w:rPr>
        <w:t> </w:t>
      </w:r>
      <w:r>
        <w:rPr/>
        <w:t>月现金流量的滚动预测，确保公司在所有合理预测的情况下拥有充足的资金偿还债务。</w:t>
      </w:r>
      <w:r>
        <w:rPr>
          <w:w w:val="100"/>
        </w:rPr>
        <w:t> </w:t>
      </w:r>
      <w:r>
        <w:rPr>
          <w:spacing w:val="12"/>
        </w:rPr>
        <w:t>年末公司速动资产（包括货币资金、应收票据、应收账款及银行理财产品）余额为</w:t>
      </w:r>
      <w:r>
        <w:rPr>
          <w:spacing w:val="3"/>
        </w:rPr>
        <w:t> </w:t>
      </w:r>
      <w:r>
        <w:rPr>
          <w:spacing w:val="3"/>
        </w:rPr>
      </w:r>
      <w:r>
        <w:rPr>
          <w:rFonts w:ascii="宋体" w:hAnsi="宋体" w:cs="宋体" w:eastAsia="宋体" w:hint="default"/>
        </w:rPr>
        <w:t>613,257.55</w:t>
      </w:r>
      <w:r>
        <w:rPr>
          <w:rFonts w:ascii="宋体" w:hAnsi="宋体" w:cs="宋体" w:eastAsia="宋体" w:hint="default"/>
          <w:spacing w:val="-42"/>
        </w:rPr>
        <w:t> </w:t>
      </w:r>
      <w:r>
        <w:rPr>
          <w:spacing w:val="-4"/>
        </w:rPr>
        <w:t>万元，各项流动负债余额合计为</w:t>
      </w:r>
      <w:r>
        <w:rPr>
          <w:spacing w:val="-41"/>
        </w:rPr>
        <w:t> </w:t>
      </w:r>
      <w:r>
        <w:rPr>
          <w:rFonts w:ascii="宋体" w:hAnsi="宋体" w:cs="宋体" w:eastAsia="宋体" w:hint="default"/>
        </w:rPr>
        <w:t>266,518.81</w:t>
      </w:r>
      <w:r>
        <w:rPr>
          <w:rFonts w:ascii="宋体" w:hAnsi="宋体" w:cs="宋体" w:eastAsia="宋体" w:hint="default"/>
          <w:spacing w:val="-45"/>
        </w:rPr>
        <w:t> </w:t>
      </w:r>
      <w:r>
        <w:rPr>
          <w:spacing w:val="-5"/>
        </w:rPr>
        <w:t>万元，速动比率</w:t>
      </w:r>
      <w:r>
        <w:rPr>
          <w:spacing w:val="-41"/>
        </w:rPr>
        <w:t> </w:t>
      </w:r>
      <w:r>
        <w:rPr>
          <w:rFonts w:ascii="宋体" w:hAnsi="宋体" w:cs="宋体" w:eastAsia="宋体" w:hint="default"/>
          <w:spacing w:val="-5"/>
        </w:rPr>
        <w:t>2.30</w:t>
      </w:r>
      <w:r>
        <w:rPr>
          <w:spacing w:val="-5"/>
        </w:rPr>
        <w:t>，公司预计</w:t>
      </w:r>
      <w:r>
        <w:rPr>
          <w:spacing w:val="-100"/>
        </w:rPr>
        <w:t> </w:t>
      </w:r>
      <w:r>
        <w:rPr>
          <w:spacing w:val="-100"/>
        </w:rPr>
      </w:r>
      <w:r>
        <w:rPr/>
        <w:t>不存在重大流动性风险。</w:t>
      </w:r>
      <w:r>
        <w:rPr>
          <w:rFonts w:ascii="宋体" w:hAnsi="宋体" w:cs="宋体" w:eastAsia="宋体" w:hint="default"/>
          <w:b/>
          <w:bCs/>
          <w:w w:val="99"/>
        </w:rPr>
        <w:t> </w:t>
      </w:r>
      <w:r>
        <w:rPr>
          <w:rFonts w:ascii="宋体" w:hAnsi="宋体" w:cs="宋体" w:eastAsia="宋体" w:hint="default"/>
        </w:rPr>
      </w:r>
    </w:p>
    <w:p>
      <w:pPr>
        <w:spacing w:line="240" w:lineRule="auto" w:before="1"/>
        <w:rPr>
          <w:rFonts w:ascii="宋体" w:hAnsi="宋体" w:cs="宋体" w:eastAsia="宋体" w:hint="default"/>
          <w:b/>
          <w:bCs/>
          <w:sz w:val="17"/>
          <w:szCs w:val="17"/>
        </w:rPr>
      </w:pPr>
    </w:p>
    <w:p>
      <w:pPr>
        <w:pStyle w:val="Heading3"/>
        <w:spacing w:line="240" w:lineRule="auto" w:before="36"/>
        <w:ind w:right="0"/>
        <w:jc w:val="left"/>
        <w:rPr>
          <w:rFonts w:ascii="宋体" w:hAnsi="宋体" w:cs="宋体" w:eastAsia="宋体" w:hint="default"/>
          <w:b w:val="0"/>
          <w:bCs w:val="0"/>
        </w:rPr>
      </w:pPr>
      <w:r>
        <w:rPr/>
        <w:t>十一、</w:t>
      </w:r>
      <w:r>
        <w:rPr>
          <w:spacing w:val="100"/>
        </w:rPr>
        <w:t> </w:t>
      </w:r>
      <w:r>
        <w:rPr>
          <w:rFonts w:ascii="宋体" w:hAnsi="宋体" w:cs="宋体" w:eastAsia="宋体" w:hint="default"/>
          <w:spacing w:val="100"/>
        </w:rPr>
      </w:r>
      <w:r>
        <w:rPr/>
        <w:t>公允价值的披露</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56"/>
        <w:ind w:right="0"/>
        <w:jc w:val="left"/>
        <w:rPr>
          <w:b w:val="0"/>
          <w:bCs w:val="0"/>
        </w:rPr>
      </w:pPr>
      <w:r>
        <w:rPr>
          <w:rFonts w:ascii="宋体" w:hAnsi="宋体" w:cs="宋体" w:eastAsia="宋体" w:hint="default"/>
        </w:rPr>
        <w:t>1</w:t>
      </w:r>
      <w:r>
        <w:rPr/>
        <w:t>、</w:t>
      </w:r>
      <w:r>
        <w:rPr>
          <w:spacing w:val="3"/>
        </w:rPr>
        <w:t> </w:t>
      </w:r>
      <w:r>
        <w:rPr/>
        <w:t>以公允价值计量的资产和负债的期末公允价值</w:t>
      </w:r>
      <w:r>
        <w:rPr>
          <w:b w:val="0"/>
          <w:bCs w:val="0"/>
        </w:rPr>
      </w:r>
    </w:p>
    <w:p>
      <w:pPr>
        <w:pStyle w:val="Heading2"/>
        <w:spacing w:line="240" w:lineRule="auto" w:before="52"/>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3"/>
        <w:spacing w:line="240" w:lineRule="auto" w:before="61"/>
        <w:ind w:right="0"/>
        <w:jc w:val="left"/>
        <w:rPr>
          <w:rFonts w:ascii="宋体" w:hAnsi="宋体" w:cs="宋体" w:eastAsia="宋体" w:hint="default"/>
          <w:b w:val="0"/>
          <w:bCs w:val="0"/>
        </w:rPr>
      </w:pPr>
      <w:r>
        <w:rPr>
          <w:rFonts w:ascii="宋体" w:hAnsi="宋体" w:cs="宋体" w:eastAsia="宋体" w:hint="default"/>
        </w:rPr>
        <w:t>2</w:t>
      </w:r>
      <w:r>
        <w:rPr/>
        <w:t>、</w:t>
      </w:r>
      <w:r>
        <w:rPr>
          <w:spacing w:val="-1"/>
        </w:rPr>
        <w:t> </w:t>
      </w:r>
      <w:r>
        <w:rPr/>
        <w:t>持续和非持续第一层次公允价值计量项目市价的确定依据</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58"/>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273" w:lineRule="exact" w:before="0"/>
        <w:ind w:right="0"/>
        <w:jc w:val="left"/>
        <w:rPr>
          <w:rFonts w:ascii="宋体" w:hAnsi="宋体" w:cs="宋体" w:eastAsia="宋体" w:hint="default"/>
          <w:b w:val="0"/>
          <w:bCs w:val="0"/>
        </w:rPr>
      </w:pPr>
      <w:r>
        <w:rPr>
          <w:rFonts w:ascii="宋体"/>
          <w:w w:val="99"/>
        </w:rPr>
        <w:t> </w:t>
      </w:r>
      <w:r>
        <w:rPr>
          <w:rFonts w:ascii="宋体"/>
          <w:b w:val="0"/>
        </w:rPr>
      </w:r>
    </w:p>
    <w:p>
      <w:pPr>
        <w:pStyle w:val="Heading3"/>
        <w:spacing w:line="240" w:lineRule="auto" w:before="58"/>
        <w:ind w:right="0"/>
        <w:jc w:val="left"/>
        <w:rPr>
          <w:b w:val="0"/>
          <w:bCs w:val="0"/>
        </w:rPr>
      </w:pPr>
      <w:r>
        <w:rPr>
          <w:rFonts w:ascii="宋体" w:hAnsi="宋体" w:cs="宋体" w:eastAsia="宋体" w:hint="default"/>
        </w:rPr>
        <w:t>3</w:t>
      </w:r>
      <w:r>
        <w:rPr/>
        <w:t>、</w:t>
      </w:r>
      <w:r>
        <w:rPr>
          <w:spacing w:val="-1"/>
        </w:rPr>
        <w:t> </w:t>
      </w:r>
      <w:r>
        <w:rPr/>
        <w:t>持续和非持续第二层次公允价值计量项目，采用的估值技术和重要参数的定性及定量信息</w:t>
      </w:r>
      <w:r>
        <w:rPr>
          <w:b w:val="0"/>
          <w:bCs w:val="0"/>
        </w:rPr>
      </w:r>
    </w:p>
    <w:p>
      <w:pPr>
        <w:pStyle w:val="BodyText"/>
        <w:spacing w:line="274" w:lineRule="exact" w:before="56"/>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right="0"/>
        <w:jc w:val="left"/>
        <w:rPr>
          <w:rFonts w:ascii="宋体" w:hAnsi="宋体" w:cs="宋体" w:eastAsia="宋体" w:hint="default"/>
        </w:rPr>
      </w:pPr>
      <w:r>
        <w:rPr>
          <w:rFonts w:ascii="宋体"/>
          <w:w w:val="100"/>
        </w:rPr>
        <w:t> </w:t>
      </w:r>
    </w:p>
    <w:p>
      <w:pPr>
        <w:pStyle w:val="Heading3"/>
        <w:spacing w:line="240" w:lineRule="auto" w:before="56"/>
        <w:ind w:right="0"/>
        <w:jc w:val="left"/>
        <w:rPr>
          <w:b w:val="0"/>
          <w:bCs w:val="0"/>
        </w:rPr>
      </w:pPr>
      <w:r>
        <w:rPr>
          <w:rFonts w:ascii="宋体" w:hAnsi="宋体" w:cs="宋体" w:eastAsia="宋体" w:hint="default"/>
        </w:rPr>
        <w:t>4</w:t>
      </w:r>
      <w:r>
        <w:rPr/>
        <w:t>、</w:t>
      </w:r>
      <w:r>
        <w:rPr>
          <w:spacing w:val="-1"/>
        </w:rPr>
        <w:t> </w:t>
      </w:r>
      <w:r>
        <w:rPr/>
        <w:t>持续和非持续第三层次公允价值计量项目，采用的估值技术和重要参数的定性及定量信息</w:t>
      </w:r>
      <w:r>
        <w:rPr>
          <w:b w:val="0"/>
          <w:bCs w:val="0"/>
        </w:rPr>
      </w:r>
    </w:p>
    <w:p>
      <w:pPr>
        <w:pStyle w:val="BodyText"/>
        <w:spacing w:line="273" w:lineRule="exact" w:before="58"/>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273" w:lineRule="exact" w:before="0"/>
        <w:ind w:right="0"/>
        <w:jc w:val="left"/>
        <w:rPr>
          <w:rFonts w:ascii="宋体" w:hAnsi="宋体" w:cs="宋体" w:eastAsia="宋体" w:hint="default"/>
          <w:b w:val="0"/>
          <w:bCs w:val="0"/>
        </w:rPr>
      </w:pPr>
      <w:r>
        <w:rPr>
          <w:rFonts w:ascii="宋体"/>
          <w:w w:val="99"/>
        </w:rPr>
        <w:t> </w:t>
      </w:r>
      <w:r>
        <w:rPr>
          <w:rFonts w:ascii="宋体"/>
          <w:b w:val="0"/>
        </w:rPr>
      </w:r>
    </w:p>
    <w:p>
      <w:pPr>
        <w:pStyle w:val="Heading3"/>
        <w:spacing w:line="240" w:lineRule="auto" w:before="56"/>
        <w:ind w:left="642" w:right="117" w:hanging="425"/>
        <w:jc w:val="left"/>
        <w:rPr>
          <w:b w:val="0"/>
          <w:bCs w:val="0"/>
        </w:rPr>
      </w:pPr>
      <w:r>
        <w:rPr>
          <w:rFonts w:ascii="宋体" w:hAnsi="宋体" w:cs="宋体" w:eastAsia="宋体" w:hint="default"/>
        </w:rPr>
        <w:t>5</w:t>
      </w:r>
      <w:r>
        <w:rPr/>
        <w:t>、</w:t>
      </w:r>
      <w:r>
        <w:rPr>
          <w:spacing w:val="-23"/>
        </w:rPr>
        <w:t> </w:t>
      </w:r>
      <w:r>
        <w:rPr/>
        <w:t>持续的第三层次公允价值计量项目，期初与期末账面价值间的调节信息及不可观察参数敏感</w:t>
      </w:r>
      <w:r>
        <w:rPr>
          <w:w w:val="100"/>
        </w:rPr>
        <w:t> </w:t>
      </w:r>
      <w:r>
        <w:rPr/>
        <w:t>性分析</w:t>
      </w:r>
      <w:r>
        <w:rPr>
          <w:b w:val="0"/>
          <w:bCs w:val="0"/>
        </w:rPr>
      </w:r>
    </w:p>
    <w:p>
      <w:pPr>
        <w:pStyle w:val="BodyText"/>
        <w:spacing w:line="274" w:lineRule="exact" w:before="56"/>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274" w:lineRule="exact" w:before="0"/>
        <w:ind w:right="0"/>
        <w:jc w:val="left"/>
        <w:rPr>
          <w:rFonts w:ascii="宋体" w:hAnsi="宋体" w:cs="宋体" w:eastAsia="宋体" w:hint="default"/>
          <w:b w:val="0"/>
          <w:bCs w:val="0"/>
        </w:rPr>
      </w:pPr>
      <w:r>
        <w:rPr>
          <w:rFonts w:ascii="宋体"/>
          <w:w w:val="99"/>
        </w:rPr>
        <w:t> </w:t>
      </w:r>
      <w:r>
        <w:rPr>
          <w:rFonts w:ascii="宋体"/>
          <w:b w:val="0"/>
        </w:rPr>
      </w:r>
    </w:p>
    <w:p>
      <w:pPr>
        <w:pStyle w:val="Heading3"/>
        <w:spacing w:line="240" w:lineRule="auto" w:before="57"/>
        <w:ind w:left="642" w:right="118" w:hanging="425"/>
        <w:jc w:val="left"/>
        <w:rPr>
          <w:b w:val="0"/>
          <w:bCs w:val="0"/>
        </w:rPr>
      </w:pPr>
      <w:r>
        <w:rPr>
          <w:rFonts w:ascii="宋体" w:hAnsi="宋体" w:cs="宋体" w:eastAsia="宋体" w:hint="default"/>
        </w:rPr>
        <w:t>6</w:t>
      </w:r>
      <w:r>
        <w:rPr/>
        <w:t>、</w:t>
      </w:r>
      <w:r>
        <w:rPr>
          <w:spacing w:val="-24"/>
        </w:rPr>
        <w:t> </w:t>
      </w:r>
      <w:r>
        <w:rPr/>
        <w:t>持续的公允价值计量项目，本期内发生各层级之间转换的，转换的原因及确定转换时点的政</w:t>
      </w:r>
      <w:r>
        <w:rPr>
          <w:w w:val="100"/>
        </w:rPr>
        <w:t> </w:t>
      </w:r>
      <w:r>
        <w:rPr/>
        <w:t>策</w:t>
      </w:r>
      <w:r>
        <w:rPr>
          <w:b w:val="0"/>
          <w:bCs w:val="0"/>
        </w:rPr>
      </w:r>
    </w:p>
    <w:p>
      <w:pPr>
        <w:pStyle w:val="BodyText"/>
        <w:spacing w:line="274" w:lineRule="exact" w:before="56"/>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274" w:lineRule="exact" w:before="0"/>
        <w:ind w:right="0"/>
        <w:jc w:val="left"/>
        <w:rPr>
          <w:rFonts w:ascii="宋体" w:hAnsi="宋体" w:cs="宋体" w:eastAsia="宋体" w:hint="default"/>
          <w:b w:val="0"/>
          <w:bCs w:val="0"/>
        </w:rPr>
      </w:pPr>
      <w:r>
        <w:rPr>
          <w:rFonts w:ascii="宋体"/>
          <w:w w:val="99"/>
        </w:rPr>
        <w:t> </w:t>
      </w:r>
      <w:r>
        <w:rPr>
          <w:rFonts w:ascii="宋体"/>
          <w:b w:val="0"/>
        </w:rPr>
      </w:r>
    </w:p>
    <w:p>
      <w:pPr>
        <w:pStyle w:val="Heading3"/>
        <w:spacing w:line="240" w:lineRule="auto" w:before="56"/>
        <w:ind w:right="0"/>
        <w:jc w:val="left"/>
        <w:rPr>
          <w:b w:val="0"/>
          <w:bCs w:val="0"/>
        </w:rPr>
      </w:pPr>
      <w:r>
        <w:rPr>
          <w:rFonts w:ascii="宋体" w:hAnsi="宋体" w:cs="宋体" w:eastAsia="宋体" w:hint="default"/>
        </w:rPr>
        <w:t>7</w:t>
      </w:r>
      <w:r>
        <w:rPr/>
        <w:t>、</w:t>
      </w:r>
      <w:r>
        <w:rPr>
          <w:spacing w:val="2"/>
        </w:rPr>
        <w:t> </w:t>
      </w:r>
      <w:r>
        <w:rPr/>
        <w:t>本期内发生的估值技术变更及变更原因</w:t>
      </w:r>
      <w:r>
        <w:rPr>
          <w:b w:val="0"/>
          <w:bCs w:val="0"/>
        </w:rPr>
      </w:r>
    </w:p>
    <w:p>
      <w:pPr>
        <w:pStyle w:val="BodyText"/>
        <w:spacing w:line="273" w:lineRule="exact" w:before="58"/>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right="0"/>
        <w:jc w:val="left"/>
        <w:rPr>
          <w:rFonts w:ascii="宋体" w:hAnsi="宋体" w:cs="宋体" w:eastAsia="宋体" w:hint="default"/>
        </w:rPr>
      </w:pPr>
      <w:r>
        <w:rPr>
          <w:rFonts w:ascii="宋体"/>
          <w:w w:val="100"/>
        </w:rPr>
        <w:t> </w:t>
      </w:r>
    </w:p>
    <w:p>
      <w:pPr>
        <w:pStyle w:val="Heading3"/>
        <w:spacing w:line="240" w:lineRule="auto" w:before="58"/>
        <w:ind w:right="0"/>
        <w:jc w:val="left"/>
        <w:rPr>
          <w:b w:val="0"/>
          <w:bCs w:val="0"/>
        </w:rPr>
      </w:pPr>
      <w:r>
        <w:rPr>
          <w:rFonts w:ascii="宋体" w:hAnsi="宋体" w:cs="宋体" w:eastAsia="宋体" w:hint="default"/>
        </w:rPr>
        <w:t>8</w:t>
      </w:r>
      <w:r>
        <w:rPr/>
        <w:t>、</w:t>
      </w:r>
      <w:r>
        <w:rPr>
          <w:spacing w:val="-1"/>
        </w:rPr>
        <w:t> </w:t>
      </w:r>
      <w:r>
        <w:rPr/>
        <w:t>不以公允价值计量的金融资产和金融负债的公允价值情况</w:t>
      </w:r>
      <w:r>
        <w:rPr>
          <w:b w:val="0"/>
          <w:bCs w:val="0"/>
        </w:rPr>
      </w:r>
    </w:p>
    <w:p>
      <w:pPr>
        <w:pStyle w:val="BodyText"/>
        <w:spacing w:line="274" w:lineRule="exact" w:before="56"/>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right="0"/>
        <w:jc w:val="left"/>
        <w:rPr>
          <w:rFonts w:ascii="宋体" w:hAnsi="宋体" w:cs="宋体" w:eastAsia="宋体" w:hint="default"/>
        </w:rPr>
      </w:pPr>
      <w:r>
        <w:rPr>
          <w:rFonts w:ascii="宋体"/>
          <w:w w:val="100"/>
        </w:rPr>
        <w:t> </w:t>
      </w:r>
    </w:p>
    <w:p>
      <w:pPr>
        <w:spacing w:after="0" w:line="274" w:lineRule="exact"/>
        <w:jc w:val="left"/>
        <w:rPr>
          <w:rFonts w:ascii="宋体" w:hAnsi="宋体" w:cs="宋体" w:eastAsia="宋体" w:hint="default"/>
        </w:rPr>
        <w:sectPr>
          <w:footerReference w:type="default" r:id="rId228"/>
          <w:pgSz w:w="11910" w:h="16840"/>
          <w:pgMar w:footer="974" w:header="748" w:top="1140" w:bottom="1160" w:left="1580" w:right="1140"/>
          <w:pgNumType w:start="191"/>
        </w:sectPr>
      </w:pPr>
    </w:p>
    <w:p>
      <w:pPr>
        <w:spacing w:line="240" w:lineRule="auto" w:before="12"/>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pgSz w:w="11910" w:h="16840"/>
          <w:pgMar w:header="748" w:footer="974" w:top="1140" w:bottom="1160" w:left="1580" w:right="920"/>
        </w:sectPr>
      </w:pPr>
    </w:p>
    <w:p>
      <w:pPr>
        <w:pStyle w:val="Heading3"/>
        <w:spacing w:line="240" w:lineRule="auto" w:before="36"/>
        <w:ind w:right="0"/>
        <w:jc w:val="left"/>
        <w:rPr>
          <w:b w:val="0"/>
          <w:bCs w:val="0"/>
        </w:rPr>
      </w:pPr>
      <w:r>
        <w:rPr>
          <w:rFonts w:ascii="宋体" w:hAnsi="宋体" w:cs="宋体" w:eastAsia="宋体" w:hint="default"/>
        </w:rPr>
        <w:t>9</w:t>
      </w:r>
      <w:r>
        <w:rPr/>
        <w:t>、</w:t>
      </w:r>
      <w:r>
        <w:rPr>
          <w:spacing w:val="2"/>
        </w:rPr>
        <w:t> </w:t>
      </w:r>
      <w:r>
        <w:rPr/>
        <w:t>其他</w:t>
      </w:r>
      <w:r>
        <w:rPr>
          <w:b w:val="0"/>
          <w:bCs w:val="0"/>
        </w:rPr>
      </w:r>
    </w:p>
    <w:p>
      <w:pPr>
        <w:pStyle w:val="BodyText"/>
        <w:spacing w:line="273" w:lineRule="exact" w:before="59"/>
        <w:ind w:right="0"/>
        <w:jc w:val="left"/>
        <w:rPr>
          <w:rFonts w:ascii="宋体" w:hAnsi="宋体" w:cs="宋体" w:eastAsia="宋体" w:hint="default"/>
          <w:sz w:val="24"/>
          <w:szCs w:val="24"/>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sz w:val="24"/>
          <w:szCs w:val="24"/>
        </w:rPr>
        <w:t> </w:t>
      </w:r>
    </w:p>
    <w:p>
      <w:pPr>
        <w:pStyle w:val="BodyText"/>
        <w:spacing w:line="273" w:lineRule="exact"/>
        <w:ind w:right="0"/>
        <w:jc w:val="left"/>
        <w:rPr>
          <w:rFonts w:ascii="宋体" w:hAnsi="宋体" w:cs="宋体" w:eastAsia="宋体" w:hint="default"/>
        </w:rPr>
      </w:pPr>
      <w:r>
        <w:rPr>
          <w:rFonts w:ascii="宋体"/>
          <w:w w:val="100"/>
        </w:rPr>
        <w:t> </w:t>
      </w:r>
    </w:p>
    <w:p>
      <w:pPr>
        <w:pStyle w:val="Heading3"/>
        <w:spacing w:line="290" w:lineRule="auto" w:before="58"/>
        <w:ind w:right="0"/>
        <w:jc w:val="left"/>
        <w:rPr>
          <w:b w:val="0"/>
          <w:bCs w:val="0"/>
        </w:rPr>
      </w:pPr>
      <w:r>
        <w:rPr/>
        <w:t>十二、</w:t>
      </w:r>
      <w:r>
        <w:rPr>
          <w:spacing w:val="100"/>
        </w:rPr>
        <w:t> </w:t>
      </w:r>
      <w:r>
        <w:rPr>
          <w:rFonts w:ascii="宋体" w:hAnsi="宋体" w:cs="宋体" w:eastAsia="宋体" w:hint="default"/>
          <w:spacing w:val="100"/>
        </w:rPr>
      </w:r>
      <w:r>
        <w:rPr/>
        <w:t>关联方及关联交易</w:t>
      </w:r>
      <w:r>
        <w:rPr>
          <w:rFonts w:ascii="宋体" w:hAnsi="宋体" w:cs="宋体" w:eastAsia="宋体" w:hint="default"/>
          <w:w w:val="99"/>
        </w:rPr>
        <w:t> </w:t>
      </w:r>
      <w:r>
        <w:rPr>
          <w:rFonts w:ascii="宋体" w:hAnsi="宋体" w:cs="宋体" w:eastAsia="宋体" w:hint="default"/>
        </w:rPr>
        <w:t>1</w:t>
      </w:r>
      <w:r>
        <w:rPr/>
        <w:t>、</w:t>
      </w:r>
      <w:r>
        <w:rPr>
          <w:spacing w:val="5"/>
        </w:rPr>
        <w:t> </w:t>
      </w:r>
      <w:r>
        <w:rPr/>
        <w:t>本企业的母公司情况</w:t>
      </w:r>
      <w:r>
        <w:rPr>
          <w:b w:val="0"/>
          <w:bCs w:val="0"/>
        </w:rPr>
      </w:r>
    </w:p>
    <w:p>
      <w:pPr>
        <w:pStyle w:val="Heading2"/>
        <w:spacing w:line="240" w:lineRule="auto" w:before="8"/>
        <w:ind w:right="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8"/>
          <w:szCs w:val="28"/>
        </w:rPr>
      </w:pPr>
    </w:p>
    <w:p>
      <w:pPr>
        <w:pStyle w:val="BodyText"/>
        <w:spacing w:line="240" w:lineRule="auto"/>
        <w:ind w:right="0"/>
        <w:jc w:val="left"/>
        <w:rPr>
          <w:rFonts w:ascii="宋体" w:hAnsi="宋体" w:cs="宋体" w:eastAsia="宋体" w:hint="default"/>
        </w:rPr>
      </w:pPr>
      <w:r>
        <w:rPr/>
        <w:t>单位：万元币种：人民币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580" w:bottom="280" w:left="1580" w:right="920"/>
          <w:cols w:num="2" w:equalWidth="0">
            <w:col w:w="2852" w:space="3670"/>
            <w:col w:w="288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670"/>
        <w:gridCol w:w="956"/>
        <w:gridCol w:w="1738"/>
        <w:gridCol w:w="1191"/>
        <w:gridCol w:w="1786"/>
        <w:gridCol w:w="1841"/>
      </w:tblGrid>
      <w:tr>
        <w:trPr>
          <w:trHeight w:val="852" w:hRule="exact"/>
        </w:trPr>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04" w:right="0"/>
              <w:jc w:val="left"/>
              <w:rPr>
                <w:rFonts w:ascii="宋体" w:hAnsi="宋体" w:cs="宋体" w:eastAsia="宋体" w:hint="default"/>
                <w:sz w:val="21"/>
                <w:szCs w:val="21"/>
              </w:rPr>
            </w:pPr>
            <w:r>
              <w:rPr>
                <w:rFonts w:ascii="宋体" w:hAnsi="宋体" w:cs="宋体" w:eastAsia="宋体" w:hint="default"/>
                <w:sz w:val="21"/>
                <w:szCs w:val="21"/>
              </w:rPr>
              <w:t>母公司名称</w:t>
            </w:r>
            <w:r>
              <w:rPr>
                <w:rFonts w:ascii="宋体" w:hAnsi="宋体" w:cs="宋体" w:eastAsia="宋体" w:hint="default"/>
                <w:sz w:val="21"/>
                <w:szCs w:val="21"/>
              </w:rPr>
              <w:t> </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55" w:right="0"/>
              <w:jc w:val="left"/>
              <w:rPr>
                <w:rFonts w:ascii="宋体" w:hAnsi="宋体" w:cs="宋体" w:eastAsia="宋体" w:hint="default"/>
                <w:sz w:val="21"/>
                <w:szCs w:val="21"/>
              </w:rPr>
            </w:pPr>
            <w:r>
              <w:rPr>
                <w:rFonts w:ascii="宋体" w:hAnsi="宋体" w:cs="宋体" w:eastAsia="宋体" w:hint="default"/>
                <w:sz w:val="21"/>
                <w:szCs w:val="21"/>
              </w:rPr>
              <w:t>注册地</w:t>
            </w:r>
            <w:r>
              <w:rPr>
                <w:rFonts w:ascii="宋体" w:hAnsi="宋体" w:cs="宋体" w:eastAsia="宋体" w:hint="default"/>
                <w:sz w:val="21"/>
                <w:szCs w:val="21"/>
              </w:rPr>
              <w:t> </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443" w:right="0"/>
              <w:jc w:val="left"/>
              <w:rPr>
                <w:rFonts w:ascii="宋体" w:hAnsi="宋体" w:cs="宋体" w:eastAsia="宋体" w:hint="default"/>
                <w:sz w:val="21"/>
                <w:szCs w:val="21"/>
              </w:rPr>
            </w:pPr>
            <w:r>
              <w:rPr>
                <w:rFonts w:ascii="宋体" w:hAnsi="宋体" w:cs="宋体" w:eastAsia="宋体" w:hint="default"/>
                <w:sz w:val="21"/>
                <w:szCs w:val="21"/>
              </w:rPr>
              <w:t>业务性质</w:t>
            </w:r>
            <w:r>
              <w:rPr>
                <w:rFonts w:ascii="宋体" w:hAnsi="宋体" w:cs="宋体" w:eastAsia="宋体" w:hint="default"/>
                <w:sz w:val="21"/>
                <w:szCs w:val="21"/>
              </w:rPr>
              <w:t> </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70" w:right="0"/>
              <w:jc w:val="left"/>
              <w:rPr>
                <w:rFonts w:ascii="宋体" w:hAnsi="宋体" w:cs="宋体" w:eastAsia="宋体" w:hint="default"/>
                <w:sz w:val="21"/>
                <w:szCs w:val="21"/>
              </w:rPr>
            </w:pPr>
            <w:r>
              <w:rPr>
                <w:rFonts w:ascii="宋体" w:hAnsi="宋体" w:cs="宋体" w:eastAsia="宋体" w:hint="default"/>
                <w:sz w:val="21"/>
                <w:szCs w:val="21"/>
              </w:rPr>
              <w:t>注册资本</w:t>
            </w:r>
            <w:r>
              <w:rPr>
                <w:rFonts w:ascii="宋体" w:hAnsi="宋体" w:cs="宋体" w:eastAsia="宋体" w:hint="default"/>
                <w:sz w:val="21"/>
                <w:szCs w:val="21"/>
              </w:rPr>
              <w:t> </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left="203" w:right="98" w:hanging="53"/>
              <w:jc w:val="left"/>
              <w:rPr>
                <w:rFonts w:ascii="宋体" w:hAnsi="宋体" w:cs="宋体" w:eastAsia="宋体" w:hint="default"/>
                <w:sz w:val="21"/>
                <w:szCs w:val="21"/>
              </w:rPr>
            </w:pPr>
            <w:r>
              <w:rPr>
                <w:rFonts w:ascii="宋体" w:hAnsi="宋体" w:cs="宋体" w:eastAsia="宋体" w:hint="default"/>
                <w:sz w:val="21"/>
                <w:szCs w:val="21"/>
              </w:rPr>
              <w:t>母公司对本企业</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的持股比例</w:t>
            </w:r>
            <w:r>
              <w:rPr>
                <w:rFonts w:ascii="宋体" w:hAnsi="宋体" w:cs="宋体" w:eastAsia="宋体" w:hint="default"/>
                <w:sz w:val="21"/>
                <w:szCs w:val="21"/>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left="127" w:right="23" w:firstLine="50"/>
              <w:jc w:val="left"/>
              <w:rPr>
                <w:rFonts w:ascii="宋体" w:hAnsi="宋体" w:cs="宋体" w:eastAsia="宋体" w:hint="default"/>
                <w:sz w:val="21"/>
                <w:szCs w:val="21"/>
              </w:rPr>
            </w:pPr>
            <w:r>
              <w:rPr>
                <w:rFonts w:ascii="宋体" w:hAnsi="宋体" w:cs="宋体" w:eastAsia="宋体" w:hint="default"/>
                <w:sz w:val="21"/>
                <w:szCs w:val="21"/>
              </w:rPr>
              <w:t>母公司对本企业</w:t>
            </w:r>
            <w:r>
              <w:rPr>
                <w:rFonts w:ascii="宋体" w:hAnsi="宋体" w:cs="宋体" w:eastAsia="宋体" w:hint="default"/>
                <w:w w:val="100"/>
                <w:sz w:val="21"/>
                <w:szCs w:val="21"/>
              </w:rPr>
              <w:t> </w:t>
            </w:r>
            <w:r>
              <w:rPr>
                <w:rFonts w:ascii="宋体" w:hAnsi="宋体" w:cs="宋体" w:eastAsia="宋体" w:hint="default"/>
                <w:sz w:val="21"/>
                <w:szCs w:val="21"/>
              </w:rPr>
              <w:t>的表决权比例</w:t>
            </w:r>
            <w:r>
              <w:rPr>
                <w:rFonts w:ascii="宋体" w:hAnsi="宋体" w:cs="宋体" w:eastAsia="宋体" w:hint="default"/>
                <w:sz w:val="21"/>
                <w:szCs w:val="21"/>
              </w:rPr>
              <w:t>(%) </w:t>
            </w:r>
          </w:p>
        </w:tc>
      </w:tr>
      <w:tr>
        <w:trPr>
          <w:trHeight w:val="829" w:hRule="exact"/>
        </w:trPr>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03" w:right="292"/>
              <w:jc w:val="left"/>
              <w:rPr>
                <w:rFonts w:ascii="宋体" w:hAnsi="宋体" w:cs="宋体" w:eastAsia="宋体" w:hint="default"/>
                <w:sz w:val="21"/>
                <w:szCs w:val="21"/>
              </w:rPr>
            </w:pPr>
            <w:r>
              <w:rPr>
                <w:rFonts w:ascii="宋体" w:hAnsi="宋体" w:cs="宋体" w:eastAsia="宋体" w:hint="default"/>
                <w:sz w:val="21"/>
                <w:szCs w:val="21"/>
              </w:rPr>
              <w:t>启东市华虹电</w:t>
            </w:r>
            <w:r>
              <w:rPr>
                <w:rFonts w:ascii="宋体" w:hAnsi="宋体" w:cs="宋体" w:eastAsia="宋体" w:hint="default"/>
                <w:w w:val="100"/>
                <w:sz w:val="21"/>
                <w:szCs w:val="21"/>
              </w:rPr>
              <w:t> </w:t>
            </w:r>
            <w:r>
              <w:rPr>
                <w:rFonts w:ascii="宋体" w:hAnsi="宋体" w:cs="宋体" w:eastAsia="宋体" w:hint="default"/>
                <w:sz w:val="21"/>
                <w:szCs w:val="21"/>
              </w:rPr>
              <w:t>子有限公司</w:t>
            </w:r>
            <w:r>
              <w:rPr>
                <w:rFonts w:ascii="宋体" w:hAnsi="宋体" w:cs="宋体" w:eastAsia="宋体" w:hint="default"/>
                <w:sz w:val="21"/>
                <w:szCs w:val="21"/>
              </w:rPr>
              <w:t> </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启东</w:t>
            </w:r>
            <w:r>
              <w:rPr>
                <w:rFonts w:ascii="宋体" w:hAnsi="宋体" w:cs="宋体" w:eastAsia="宋体" w:hint="default"/>
                <w:sz w:val="21"/>
                <w:szCs w:val="21"/>
              </w:rPr>
              <w:t> </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电子产品销售、</w:t>
            </w:r>
          </w:p>
          <w:p>
            <w:pPr>
              <w:pStyle w:val="TableParagraph"/>
              <w:spacing w:line="272" w:lineRule="exact" w:before="27"/>
              <w:ind w:left="103" w:right="257"/>
              <w:jc w:val="left"/>
              <w:rPr>
                <w:rFonts w:ascii="宋体" w:hAnsi="宋体" w:cs="宋体" w:eastAsia="宋体" w:hint="default"/>
                <w:sz w:val="21"/>
                <w:szCs w:val="21"/>
              </w:rPr>
            </w:pPr>
            <w:r>
              <w:rPr>
                <w:rFonts w:ascii="宋体" w:hAnsi="宋体" w:cs="宋体" w:eastAsia="宋体" w:hint="default"/>
                <w:sz w:val="21"/>
                <w:szCs w:val="21"/>
              </w:rPr>
              <w:t>投资及资产管</w:t>
            </w:r>
            <w:r>
              <w:rPr>
                <w:rFonts w:ascii="宋体" w:hAnsi="宋体" w:cs="宋体" w:eastAsia="宋体" w:hint="default"/>
                <w:w w:val="100"/>
                <w:sz w:val="21"/>
                <w:szCs w:val="21"/>
              </w:rPr>
              <w:t> </w:t>
            </w:r>
            <w:r>
              <w:rPr>
                <w:rFonts w:ascii="宋体" w:hAnsi="宋体" w:cs="宋体" w:eastAsia="宋体" w:hint="default"/>
                <w:sz w:val="21"/>
                <w:szCs w:val="21"/>
              </w:rPr>
              <w:t>理、管理咨询</w:t>
            </w:r>
            <w:r>
              <w:rPr>
                <w:rFonts w:ascii="宋体" w:hAnsi="宋体" w:cs="宋体" w:eastAsia="宋体" w:hint="default"/>
                <w:sz w:val="21"/>
                <w:szCs w:val="21"/>
              </w:rPr>
              <w:t> </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3" w:right="-3"/>
              <w:jc w:val="left"/>
              <w:rPr>
                <w:rFonts w:ascii="宋体" w:hAnsi="宋体" w:cs="宋体" w:eastAsia="宋体" w:hint="default"/>
                <w:sz w:val="21"/>
                <w:szCs w:val="21"/>
              </w:rPr>
            </w:pPr>
            <w:r>
              <w:rPr>
                <w:rFonts w:ascii="宋体" w:hAnsi="宋体" w:cs="宋体" w:eastAsia="宋体" w:hint="default"/>
                <w:sz w:val="21"/>
                <w:szCs w:val="21"/>
              </w:rPr>
              <w:t>3,000</w:t>
            </w:r>
            <w:r>
              <w:rPr>
                <w:rFonts w:ascii="宋体" w:hAnsi="宋体" w:cs="宋体" w:eastAsia="宋体" w:hint="default"/>
                <w:spacing w:val="-72"/>
                <w:sz w:val="21"/>
                <w:szCs w:val="21"/>
              </w:rPr>
              <w:t> </w:t>
            </w:r>
            <w:r>
              <w:rPr>
                <w:rFonts w:ascii="宋体" w:hAnsi="宋体" w:cs="宋体" w:eastAsia="宋体" w:hint="default"/>
                <w:spacing w:val="-3"/>
                <w:sz w:val="21"/>
                <w:szCs w:val="21"/>
              </w:rPr>
              <w:t>万元</w:t>
            </w:r>
            <w:r>
              <w:rPr>
                <w:rFonts w:ascii="宋体" w:hAnsi="宋体" w:cs="宋体" w:eastAsia="宋体" w:hint="default"/>
                <w:sz w:val="21"/>
                <w:szCs w:val="21"/>
              </w:rPr>
              <w:t> </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147" w:right="-3"/>
              <w:jc w:val="left"/>
              <w:rPr>
                <w:rFonts w:ascii="宋体" w:hAnsi="宋体" w:cs="宋体" w:eastAsia="宋体" w:hint="default"/>
                <w:sz w:val="21"/>
                <w:szCs w:val="21"/>
              </w:rPr>
            </w:pPr>
            <w:r>
              <w:rPr>
                <w:rFonts w:ascii="宋体"/>
                <w:sz w:val="21"/>
              </w:rPr>
              <w:t>40.69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200" w:right="-1"/>
              <w:jc w:val="left"/>
              <w:rPr>
                <w:rFonts w:ascii="宋体" w:hAnsi="宋体" w:cs="宋体" w:eastAsia="宋体" w:hint="default"/>
                <w:sz w:val="21"/>
                <w:szCs w:val="21"/>
              </w:rPr>
            </w:pPr>
            <w:r>
              <w:rPr>
                <w:rFonts w:ascii="宋体"/>
                <w:sz w:val="21"/>
              </w:rPr>
              <w:t>40.69 </w:t>
            </w:r>
          </w:p>
        </w:tc>
      </w:tr>
    </w:tbl>
    <w:p>
      <w:pPr>
        <w:pStyle w:val="Heading2"/>
        <w:spacing w:line="274" w:lineRule="exact"/>
        <w:ind w:right="0"/>
        <w:jc w:val="left"/>
        <w:rPr>
          <w:rFonts w:ascii="宋体" w:hAnsi="宋体" w:cs="宋体" w:eastAsia="宋体" w:hint="default"/>
        </w:rPr>
      </w:pPr>
      <w:r>
        <w:rPr>
          <w:rFonts w:ascii="宋体"/>
        </w:rPr>
        <w:t> </w:t>
      </w:r>
    </w:p>
    <w:p>
      <w:pPr>
        <w:pStyle w:val="BodyText"/>
        <w:spacing w:line="274" w:lineRule="exact" w:before="1"/>
        <w:ind w:right="0"/>
        <w:jc w:val="left"/>
        <w:rPr>
          <w:rFonts w:ascii="宋体" w:hAnsi="宋体" w:cs="宋体" w:eastAsia="宋体" w:hint="default"/>
        </w:rPr>
      </w:pPr>
      <w:r>
        <w:rPr/>
        <w:t>本企业的母公司情况的说明</w:t>
      </w:r>
      <w:r>
        <w:rPr>
          <w:rFonts w:ascii="宋体" w:hAnsi="宋体" w:cs="宋体" w:eastAsia="宋体" w:hint="default"/>
        </w:rPr>
        <w:t> </w:t>
      </w:r>
    </w:p>
    <w:p>
      <w:pPr>
        <w:pStyle w:val="BodyText"/>
        <w:spacing w:line="237" w:lineRule="auto" w:before="2"/>
        <w:ind w:right="348"/>
        <w:jc w:val="left"/>
        <w:rPr>
          <w:rFonts w:ascii="宋体" w:hAnsi="宋体" w:cs="宋体" w:eastAsia="宋体" w:hint="default"/>
        </w:rPr>
      </w:pPr>
      <w:r>
        <w:rPr>
          <w:spacing w:val="-2"/>
        </w:rPr>
        <w:t>本公司最终控制方是陆永华，其持有启东市华虹电子有限公司</w:t>
      </w:r>
      <w:r>
        <w:rPr/>
        <w:t> </w:t>
      </w:r>
      <w:r>
        <w:rPr>
          <w:rFonts w:ascii="宋体" w:hAnsi="宋体" w:cs="宋体" w:eastAsia="宋体" w:hint="default"/>
          <w:spacing w:val="-2"/>
        </w:rPr>
        <w:t>90%</w:t>
      </w:r>
      <w:r>
        <w:rPr>
          <w:spacing w:val="-2"/>
        </w:rPr>
        <w:t>的股权，启东市华虹电子有限</w:t>
      </w:r>
      <w:r>
        <w:rPr>
          <w:spacing w:val="-77"/>
        </w:rPr>
        <w:t> </w:t>
      </w:r>
      <w:r>
        <w:rPr>
          <w:spacing w:val="-77"/>
        </w:rPr>
      </w:r>
      <w:r>
        <w:rPr/>
        <w:t>公司持有本公司 </w:t>
      </w:r>
      <w:r>
        <w:rPr>
          <w:rFonts w:ascii="宋体" w:hAnsi="宋体" w:cs="宋体" w:eastAsia="宋体" w:hint="default"/>
        </w:rPr>
        <w:t>40.69%</w:t>
      </w:r>
      <w:r>
        <w:rPr/>
        <w:t>的股份，陆永华直接持有本公司</w:t>
      </w:r>
      <w:r>
        <w:rPr>
          <w:spacing w:val="-54"/>
        </w:rPr>
        <w:t> </w:t>
      </w:r>
      <w:r>
        <w:rPr>
          <w:rFonts w:ascii="宋体" w:hAnsi="宋体" w:cs="宋体" w:eastAsia="宋体" w:hint="default"/>
        </w:rPr>
        <w:t>4.54%</w:t>
      </w:r>
      <w:r>
        <w:rPr/>
        <w:t>股份。</w:t>
      </w:r>
      <w:r>
        <w:rPr>
          <w:rFonts w:ascii="宋体" w:hAnsi="宋体" w:cs="宋体" w:eastAsia="宋体" w:hint="default"/>
          <w:w w:val="100"/>
        </w:rPr>
        <w:t> </w:t>
      </w:r>
      <w:r>
        <w:rPr/>
        <w:t>本企业最终控制方是陆永华</w:t>
      </w:r>
      <w:r>
        <w:rPr>
          <w:rFonts w:ascii="宋体" w:hAnsi="宋体" w:cs="宋体" w:eastAsia="宋体" w:hint="default"/>
        </w:rPr>
        <w:t> </w:t>
      </w:r>
    </w:p>
    <w:p>
      <w:pPr>
        <w:pStyle w:val="BodyText"/>
        <w:spacing w:line="271" w:lineRule="exact"/>
        <w:ind w:right="0"/>
        <w:jc w:val="left"/>
        <w:rPr>
          <w:rFonts w:ascii="宋体" w:hAnsi="宋体" w:cs="宋体" w:eastAsia="宋体" w:hint="default"/>
        </w:rPr>
      </w:pPr>
      <w:r>
        <w:rPr>
          <w:rFonts w:ascii="宋体"/>
          <w:w w:val="100"/>
        </w:rPr>
        <w:t> </w:t>
      </w:r>
    </w:p>
    <w:p>
      <w:pPr>
        <w:spacing w:line="290" w:lineRule="auto" w:before="58"/>
        <w:ind w:left="218" w:right="4156"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2"/>
          <w:sz w:val="21"/>
          <w:szCs w:val="21"/>
        </w:rPr>
        <w:t> </w:t>
      </w:r>
      <w:r>
        <w:rPr>
          <w:rFonts w:ascii="宋体" w:hAnsi="宋体" w:cs="宋体" w:eastAsia="宋体" w:hint="default"/>
          <w:b/>
          <w:bCs/>
          <w:sz w:val="21"/>
          <w:szCs w:val="21"/>
        </w:rPr>
        <w:t>本企业的子公司情况</w:t>
      </w:r>
      <w:r>
        <w:rPr>
          <w:rFonts w:ascii="宋体" w:hAnsi="宋体" w:cs="宋体" w:eastAsia="宋体" w:hint="default"/>
          <w:b/>
          <w:bCs/>
          <w:w w:val="99"/>
          <w:sz w:val="21"/>
          <w:szCs w:val="21"/>
        </w:rPr>
        <w:t> </w:t>
      </w:r>
      <w:r>
        <w:rPr>
          <w:rFonts w:ascii="宋体" w:hAnsi="宋体" w:cs="宋体" w:eastAsia="宋体" w:hint="default"/>
          <w:sz w:val="21"/>
          <w:szCs w:val="21"/>
        </w:rPr>
        <w:t>本企业子公司的情况详见附注</w:t>
      </w:r>
      <w:r>
        <w:rPr>
          <w:rFonts w:ascii="宋体" w:hAnsi="宋体" w:cs="宋体" w:eastAsia="宋体" w:hint="default"/>
          <w:sz w:val="21"/>
          <w:szCs w:val="21"/>
        </w:rPr>
        <w:t> </w:t>
      </w:r>
    </w:p>
    <w:p>
      <w:pPr>
        <w:pStyle w:val="BodyText"/>
        <w:spacing w:line="228" w:lineRule="exact"/>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right="0"/>
        <w:jc w:val="left"/>
        <w:rPr>
          <w:rFonts w:ascii="宋体" w:hAnsi="宋体" w:cs="宋体" w:eastAsia="宋体" w:hint="default"/>
        </w:rPr>
      </w:pPr>
      <w:r>
        <w:rPr>
          <w:rFonts w:ascii="宋体"/>
          <w:w w:val="100"/>
        </w:rPr>
        <w:t> </w:t>
      </w:r>
    </w:p>
    <w:p>
      <w:pPr>
        <w:spacing w:line="290" w:lineRule="auto" w:before="58"/>
        <w:ind w:left="218" w:right="4156" w:firstLine="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w:t>
      </w:r>
      <w:r>
        <w:rPr>
          <w:rFonts w:ascii="宋体" w:hAnsi="宋体" w:cs="宋体" w:eastAsia="宋体" w:hint="default"/>
          <w:b/>
          <w:bCs/>
          <w:spacing w:val="1"/>
          <w:sz w:val="21"/>
          <w:szCs w:val="21"/>
        </w:rPr>
        <w:t> </w:t>
      </w:r>
      <w:r>
        <w:rPr>
          <w:rFonts w:ascii="宋体" w:hAnsi="宋体" w:cs="宋体" w:eastAsia="宋体" w:hint="default"/>
          <w:b/>
          <w:bCs/>
          <w:sz w:val="21"/>
          <w:szCs w:val="21"/>
        </w:rPr>
        <w:t>本企业合营和联营企业情况</w:t>
      </w:r>
      <w:r>
        <w:rPr>
          <w:rFonts w:ascii="宋体" w:hAnsi="宋体" w:cs="宋体" w:eastAsia="宋体" w:hint="default"/>
          <w:b/>
          <w:bCs/>
          <w:w w:val="100"/>
          <w:sz w:val="21"/>
          <w:szCs w:val="21"/>
        </w:rPr>
        <w:t> </w:t>
      </w:r>
      <w:r>
        <w:rPr>
          <w:rFonts w:ascii="宋体" w:hAnsi="宋体" w:cs="宋体" w:eastAsia="宋体" w:hint="default"/>
          <w:sz w:val="21"/>
          <w:szCs w:val="21"/>
        </w:rPr>
        <w:t>本企业重要的合营或联营企业详见附注</w:t>
      </w:r>
      <w:r>
        <w:rPr>
          <w:rFonts w:ascii="宋体" w:hAnsi="宋体" w:cs="宋体" w:eastAsia="宋体" w:hint="default"/>
          <w:sz w:val="21"/>
          <w:szCs w:val="21"/>
        </w:rPr>
        <w:t> </w:t>
      </w:r>
    </w:p>
    <w:p>
      <w:pPr>
        <w:pStyle w:val="BodyText"/>
        <w:spacing w:line="228"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right="0"/>
        <w:jc w:val="left"/>
        <w:rPr>
          <w:rFonts w:ascii="宋体" w:hAnsi="宋体" w:cs="宋体" w:eastAsia="宋体" w:hint="default"/>
        </w:rPr>
      </w:pPr>
      <w:r>
        <w:rPr/>
        <w:t>本公司子公司的情况详见本附注“九、在其他主体中的权益”。</w:t>
      </w:r>
      <w:r>
        <w:rPr>
          <w:rFonts w:ascii="宋体" w:hAnsi="宋体" w:cs="宋体" w:eastAsia="宋体" w:hint="default"/>
        </w:rPr>
        <w:t> </w:t>
      </w:r>
    </w:p>
    <w:p>
      <w:pPr>
        <w:pStyle w:val="BodyText"/>
        <w:spacing w:line="237" w:lineRule="auto" w:before="2"/>
        <w:ind w:right="348"/>
        <w:jc w:val="left"/>
        <w:rPr>
          <w:rFonts w:ascii="宋体" w:hAnsi="宋体" w:cs="宋体" w:eastAsia="宋体" w:hint="default"/>
        </w:rPr>
      </w:pPr>
      <w:r>
        <w:rPr>
          <w:rFonts w:ascii="宋体" w:hAnsi="宋体" w:cs="宋体" w:eastAsia="宋体" w:hint="default"/>
          <w:w w:val="100"/>
        </w:rPr>
        <w:t> </w:t>
      </w:r>
      <w:r>
        <w:rPr/>
        <w:t>本期与本公司发生关联方交易，或前期与本公司发生关联方交易形成余额的其他合营或联营企业                                                                   </w:t>
      </w:r>
      <w:r>
        <w:rPr>
          <w:spacing w:val="101"/>
        </w:rPr>
        <w:t> </w:t>
      </w:r>
      <w:r>
        <w:rPr>
          <w:spacing w:val="101"/>
        </w:rPr>
      </w:r>
      <w:r>
        <w:rPr>
          <w:w w:val="100"/>
        </w:rPr>
        <w:t>情况</w:t>
      </w:r>
      <w:r>
        <w:rPr>
          <w:spacing w:val="-3"/>
          <w:w w:val="100"/>
        </w:rPr>
        <w:t>如下</w:t>
      </w:r>
      <w:r>
        <w:rPr>
          <w:rFonts w:ascii="宋体" w:hAnsi="宋体" w:cs="宋体" w:eastAsia="宋体" w:hint="default"/>
          <w:w w:val="100"/>
        </w:rPr>
        <w:t> </w:t>
      </w:r>
    </w:p>
    <w:p>
      <w:pPr>
        <w:pStyle w:val="BodyText"/>
        <w:spacing w:line="271"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985"/>
        <w:gridCol w:w="5065"/>
      </w:tblGrid>
      <w:tr>
        <w:trPr>
          <w:trHeight w:val="293" w:hRule="exact"/>
        </w:trPr>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1" w:right="0"/>
              <w:jc w:val="left"/>
              <w:rPr>
                <w:rFonts w:ascii="宋体" w:hAnsi="宋体" w:cs="宋体" w:eastAsia="宋体" w:hint="default"/>
                <w:sz w:val="21"/>
                <w:szCs w:val="21"/>
              </w:rPr>
            </w:pPr>
            <w:r>
              <w:rPr>
                <w:rFonts w:ascii="宋体" w:hAnsi="宋体" w:cs="宋体" w:eastAsia="宋体" w:hint="default"/>
                <w:sz w:val="21"/>
                <w:szCs w:val="21"/>
              </w:rPr>
              <w:t>合营或联营企业名称</w:t>
            </w:r>
            <w:r>
              <w:rPr>
                <w:rFonts w:ascii="宋体" w:hAnsi="宋体" w:cs="宋体" w:eastAsia="宋体" w:hint="default"/>
                <w:sz w:val="21"/>
                <w:szCs w:val="21"/>
              </w:rPr>
              <w:t> </w:t>
            </w:r>
          </w:p>
        </w:tc>
        <w:tc>
          <w:tcPr>
            <w:tcW w:w="50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sz w:val="21"/>
                <w:szCs w:val="21"/>
              </w:rPr>
              <w:t>与本企业关系</w:t>
            </w:r>
            <w:r>
              <w:rPr>
                <w:rFonts w:ascii="宋体" w:hAnsi="宋体" w:cs="宋体" w:eastAsia="宋体" w:hint="default"/>
                <w:sz w:val="21"/>
                <w:szCs w:val="21"/>
              </w:rPr>
              <w:t> </w:t>
            </w:r>
          </w:p>
        </w:tc>
      </w:tr>
      <w:tr>
        <w:trPr>
          <w:trHeight w:val="283" w:hRule="exact"/>
        </w:trPr>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江苏华源仪器仪表有限公司</w:t>
            </w:r>
            <w:r>
              <w:rPr>
                <w:rFonts w:ascii="宋体" w:hAnsi="宋体" w:cs="宋体" w:eastAsia="宋体" w:hint="default"/>
                <w:sz w:val="21"/>
                <w:szCs w:val="21"/>
              </w:rPr>
              <w:t> </w:t>
            </w:r>
          </w:p>
        </w:tc>
        <w:tc>
          <w:tcPr>
            <w:tcW w:w="50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联营企业</w:t>
            </w:r>
            <w:r>
              <w:rPr>
                <w:rFonts w:ascii="宋体" w:hAnsi="宋体" w:cs="宋体" w:eastAsia="宋体" w:hint="default"/>
                <w:sz w:val="21"/>
                <w:szCs w:val="21"/>
              </w:rPr>
              <w:t> </w:t>
            </w:r>
          </w:p>
        </w:tc>
      </w:tr>
      <w:tr>
        <w:trPr>
          <w:trHeight w:val="281" w:hRule="exact"/>
        </w:trPr>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江苏华电华林新能源有限公司</w:t>
            </w:r>
            <w:r>
              <w:rPr>
                <w:rFonts w:ascii="宋体" w:hAnsi="宋体" w:cs="宋体" w:eastAsia="宋体" w:hint="default"/>
                <w:sz w:val="21"/>
                <w:szCs w:val="21"/>
              </w:rPr>
              <w:t> </w:t>
            </w:r>
          </w:p>
        </w:tc>
        <w:tc>
          <w:tcPr>
            <w:tcW w:w="50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联营企业</w:t>
            </w:r>
            <w:r>
              <w:rPr>
                <w:rFonts w:ascii="宋体" w:hAnsi="宋体" w:cs="宋体" w:eastAsia="宋体" w:hint="default"/>
                <w:sz w:val="21"/>
                <w:szCs w:val="21"/>
              </w:rPr>
              <w:t> </w:t>
            </w:r>
          </w:p>
        </w:tc>
      </w:tr>
      <w:tr>
        <w:trPr>
          <w:trHeight w:val="283" w:hRule="exact"/>
        </w:trPr>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法凯涞玛冷暖设备（杭州）有限公司</w:t>
            </w:r>
            <w:r>
              <w:rPr>
                <w:rFonts w:ascii="宋体" w:hAnsi="宋体" w:cs="宋体" w:eastAsia="宋体" w:hint="default"/>
                <w:sz w:val="21"/>
                <w:szCs w:val="21"/>
              </w:rPr>
              <w:t> </w:t>
            </w:r>
          </w:p>
        </w:tc>
        <w:tc>
          <w:tcPr>
            <w:tcW w:w="50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联营企业</w:t>
            </w:r>
            <w:r>
              <w:rPr>
                <w:rFonts w:ascii="宋体" w:hAnsi="宋体" w:cs="宋体" w:eastAsia="宋体" w:hint="default"/>
                <w:sz w:val="21"/>
                <w:szCs w:val="21"/>
              </w:rPr>
              <w:t> </w:t>
            </w:r>
          </w:p>
        </w:tc>
      </w:tr>
      <w:tr>
        <w:trPr>
          <w:trHeight w:val="283" w:hRule="exact"/>
        </w:trPr>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南京东博智慧能源研究院有限公司</w:t>
            </w:r>
            <w:r>
              <w:rPr>
                <w:rFonts w:ascii="宋体" w:hAnsi="宋体" w:cs="宋体" w:eastAsia="宋体" w:hint="default"/>
                <w:sz w:val="21"/>
                <w:szCs w:val="21"/>
              </w:rPr>
              <w:t> </w:t>
            </w:r>
          </w:p>
        </w:tc>
        <w:tc>
          <w:tcPr>
            <w:tcW w:w="50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联营企业</w:t>
            </w:r>
            <w:r>
              <w:rPr>
                <w:rFonts w:ascii="宋体" w:hAnsi="宋体" w:cs="宋体" w:eastAsia="宋体" w:hint="default"/>
                <w:sz w:val="21"/>
                <w:szCs w:val="21"/>
              </w:rPr>
              <w:t> </w:t>
            </w:r>
          </w:p>
        </w:tc>
      </w:tr>
      <w:tr>
        <w:trPr>
          <w:trHeight w:val="281" w:hRule="exact"/>
        </w:trPr>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PTINTISMARTTEKNOLOGI </w:t>
            </w:r>
          </w:p>
        </w:tc>
        <w:tc>
          <w:tcPr>
            <w:tcW w:w="50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联营企业</w:t>
            </w:r>
            <w:r>
              <w:rPr>
                <w:rFonts w:ascii="宋体" w:hAnsi="宋体" w:cs="宋体" w:eastAsia="宋体" w:hint="default"/>
                <w:sz w:val="21"/>
                <w:szCs w:val="21"/>
              </w:rPr>
              <w:t> </w:t>
            </w:r>
          </w:p>
        </w:tc>
      </w:tr>
      <w:tr>
        <w:trPr>
          <w:trHeight w:val="283" w:hRule="exact"/>
        </w:trPr>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无锡感知金服实业有限</w:t>
            </w:r>
            <w:r>
              <w:rPr>
                <w:rFonts w:ascii="宋体" w:hAnsi="宋体" w:cs="宋体" w:eastAsia="宋体" w:hint="default"/>
                <w:sz w:val="21"/>
                <w:szCs w:val="21"/>
              </w:rPr>
              <w:t> </w:t>
            </w:r>
          </w:p>
        </w:tc>
        <w:tc>
          <w:tcPr>
            <w:tcW w:w="50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联营企业</w:t>
            </w:r>
            <w:r>
              <w:rPr>
                <w:rFonts w:ascii="宋体" w:hAnsi="宋体" w:cs="宋体" w:eastAsia="宋体" w:hint="default"/>
                <w:sz w:val="21"/>
                <w:szCs w:val="21"/>
              </w:rPr>
              <w:t> </w:t>
            </w:r>
          </w:p>
        </w:tc>
      </w:tr>
    </w:tbl>
    <w:p>
      <w:pPr>
        <w:pStyle w:val="BodyText"/>
        <w:spacing w:line="240" w:lineRule="exact"/>
        <w:ind w:right="0"/>
        <w:jc w:val="left"/>
        <w:rPr>
          <w:rFonts w:ascii="宋体" w:hAnsi="宋体" w:cs="宋体" w:eastAsia="宋体" w:hint="default"/>
        </w:rPr>
      </w:pPr>
      <w:r>
        <w:rPr>
          <w:rFonts w:ascii="宋体"/>
          <w:w w:val="100"/>
        </w:rPr>
        <w:t> </w:t>
      </w:r>
    </w:p>
    <w:p>
      <w:pPr>
        <w:pStyle w:val="BodyText"/>
        <w:spacing w:line="272" w:lineRule="exact"/>
        <w:ind w:right="0"/>
        <w:jc w:val="left"/>
        <w:rPr>
          <w:rFonts w:ascii="宋体" w:hAnsi="宋体" w:cs="宋体" w:eastAsia="宋体" w:hint="default"/>
        </w:rPr>
      </w:pPr>
      <w:r>
        <w:rPr/>
        <w:t>其他说明</w:t>
      </w:r>
      <w:r>
        <w:rPr>
          <w:rFonts w:ascii="宋体" w:hAnsi="宋体" w:cs="宋体" w:eastAsia="宋体" w:hint="default"/>
        </w:rPr>
        <w:t> </w:t>
      </w:r>
    </w:p>
    <w:p>
      <w:pPr>
        <w:pStyle w:val="BodyText"/>
        <w:spacing w:line="271"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right="0"/>
        <w:jc w:val="left"/>
        <w:rPr>
          <w:rFonts w:ascii="宋体" w:hAnsi="宋体" w:cs="宋体" w:eastAsia="宋体" w:hint="default"/>
        </w:rPr>
      </w:pPr>
      <w:r>
        <w:rPr>
          <w:rFonts w:ascii="宋体"/>
          <w:w w:val="100"/>
        </w:rPr>
        <w:t> </w:t>
      </w:r>
    </w:p>
    <w:p>
      <w:pPr>
        <w:pStyle w:val="Heading3"/>
        <w:spacing w:line="240" w:lineRule="auto" w:before="58"/>
        <w:ind w:right="0"/>
        <w:jc w:val="left"/>
        <w:rPr>
          <w:b w:val="0"/>
          <w:bCs w:val="0"/>
        </w:rPr>
      </w:pPr>
      <w:r>
        <w:rPr>
          <w:rFonts w:ascii="宋体" w:hAnsi="宋体" w:cs="宋体" w:eastAsia="宋体" w:hint="default"/>
        </w:rPr>
        <w:t>4</w:t>
      </w:r>
      <w:r>
        <w:rPr/>
        <w:t>、</w:t>
      </w:r>
      <w:r>
        <w:rPr>
          <w:spacing w:val="4"/>
        </w:rPr>
        <w:t> </w:t>
      </w:r>
      <w:r>
        <w:rPr/>
        <w:t>其他关联方情况</w:t>
      </w:r>
      <w:r>
        <w:rPr>
          <w:b w:val="0"/>
          <w:bCs w:val="0"/>
        </w:rPr>
      </w:r>
    </w:p>
    <w:p>
      <w:pPr>
        <w:pStyle w:val="Heading2"/>
        <w:spacing w:line="240" w:lineRule="auto" w:before="50"/>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12"/>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977"/>
        <w:gridCol w:w="4638"/>
      </w:tblGrid>
      <w:tr>
        <w:trPr>
          <w:trHeight w:val="283" w:hRule="exact"/>
        </w:trPr>
        <w:tc>
          <w:tcPr>
            <w:tcW w:w="39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47" w:right="0"/>
              <w:jc w:val="left"/>
              <w:rPr>
                <w:rFonts w:ascii="宋体" w:hAnsi="宋体" w:cs="宋体" w:eastAsia="宋体" w:hint="default"/>
                <w:sz w:val="21"/>
                <w:szCs w:val="21"/>
              </w:rPr>
            </w:pPr>
            <w:r>
              <w:rPr>
                <w:rFonts w:ascii="宋体" w:hAnsi="宋体" w:cs="宋体" w:eastAsia="宋体" w:hint="default"/>
                <w:sz w:val="21"/>
                <w:szCs w:val="21"/>
              </w:rPr>
              <w:t>其他关联方名称</w:t>
            </w:r>
            <w:r>
              <w:rPr>
                <w:rFonts w:ascii="宋体" w:hAnsi="宋体" w:cs="宋体" w:eastAsia="宋体" w:hint="default"/>
                <w:sz w:val="21"/>
                <w:szCs w:val="21"/>
              </w:rPr>
              <w:t> </w:t>
            </w:r>
          </w:p>
        </w:tc>
        <w:tc>
          <w:tcPr>
            <w:tcW w:w="46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57" w:right="0"/>
              <w:jc w:val="left"/>
              <w:rPr>
                <w:rFonts w:ascii="宋体" w:hAnsi="宋体" w:cs="宋体" w:eastAsia="宋体" w:hint="default"/>
                <w:sz w:val="21"/>
                <w:szCs w:val="21"/>
              </w:rPr>
            </w:pPr>
            <w:r>
              <w:rPr>
                <w:rFonts w:ascii="宋体" w:hAnsi="宋体" w:cs="宋体" w:eastAsia="宋体" w:hint="default"/>
                <w:sz w:val="21"/>
                <w:szCs w:val="21"/>
              </w:rPr>
              <w:t>其他关联方与本企业关系</w:t>
            </w:r>
            <w:r>
              <w:rPr>
                <w:rFonts w:ascii="宋体" w:hAnsi="宋体" w:cs="宋体" w:eastAsia="宋体" w:hint="default"/>
                <w:sz w:val="21"/>
                <w:szCs w:val="21"/>
              </w:rPr>
              <w:t> </w:t>
            </w:r>
          </w:p>
        </w:tc>
      </w:tr>
      <w:tr>
        <w:trPr>
          <w:trHeight w:val="281" w:hRule="exact"/>
        </w:trPr>
        <w:tc>
          <w:tcPr>
            <w:tcW w:w="39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毛彩虹</w:t>
            </w:r>
            <w:r>
              <w:rPr>
                <w:rFonts w:ascii="宋体" w:hAnsi="宋体" w:cs="宋体" w:eastAsia="宋体" w:hint="default"/>
                <w:sz w:val="21"/>
                <w:szCs w:val="21"/>
              </w:rPr>
              <w:t> </w:t>
            </w:r>
          </w:p>
        </w:tc>
        <w:tc>
          <w:tcPr>
            <w:tcW w:w="46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陆永华之妻</w:t>
            </w:r>
            <w:r>
              <w:rPr>
                <w:rFonts w:ascii="宋体" w:hAnsi="宋体" w:cs="宋体" w:eastAsia="宋体" w:hint="default"/>
                <w:sz w:val="21"/>
                <w:szCs w:val="21"/>
              </w:rPr>
              <w:t> </w:t>
            </w:r>
          </w:p>
        </w:tc>
      </w:tr>
      <w:tr>
        <w:trPr>
          <w:trHeight w:val="283" w:hRule="exact"/>
        </w:trPr>
        <w:tc>
          <w:tcPr>
            <w:tcW w:w="39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陆永新</w:t>
            </w:r>
            <w:r>
              <w:rPr>
                <w:rFonts w:ascii="宋体" w:hAnsi="宋体" w:cs="宋体" w:eastAsia="宋体" w:hint="default"/>
                <w:sz w:val="21"/>
                <w:szCs w:val="21"/>
              </w:rPr>
              <w:t> </w:t>
            </w:r>
          </w:p>
        </w:tc>
        <w:tc>
          <w:tcPr>
            <w:tcW w:w="46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本公司董事</w:t>
            </w:r>
            <w:r>
              <w:rPr>
                <w:rFonts w:ascii="宋体" w:hAnsi="宋体" w:cs="宋体" w:eastAsia="宋体" w:hint="default"/>
                <w:sz w:val="21"/>
                <w:szCs w:val="21"/>
              </w:rPr>
              <w:t> </w:t>
            </w:r>
          </w:p>
        </w:tc>
      </w:tr>
    </w:tbl>
    <w:p>
      <w:pPr>
        <w:spacing w:after="0" w:line="243" w:lineRule="exact"/>
        <w:jc w:val="left"/>
        <w:rPr>
          <w:rFonts w:ascii="宋体" w:hAnsi="宋体" w:cs="宋体" w:eastAsia="宋体" w:hint="default"/>
          <w:sz w:val="21"/>
          <w:szCs w:val="21"/>
        </w:rPr>
        <w:sectPr>
          <w:type w:val="continuous"/>
          <w:pgSz w:w="11910" w:h="16840"/>
          <w:pgMar w:top="1580" w:bottom="280" w:left="1580" w:right="920"/>
        </w:sectPr>
      </w:pPr>
    </w:p>
    <w:p>
      <w:pPr>
        <w:spacing w:line="240" w:lineRule="auto" w:before="4"/>
        <w:rPr>
          <w:rFonts w:ascii="宋体" w:hAnsi="宋体" w:cs="宋体" w:eastAsia="宋体" w:hint="default"/>
          <w:sz w:val="29"/>
          <w:szCs w:val="29"/>
        </w:rPr>
      </w:pPr>
    </w:p>
    <w:tbl>
      <w:tblPr>
        <w:tblW w:w="0" w:type="auto"/>
        <w:jc w:val="left"/>
        <w:tblInd w:w="605" w:type="dxa"/>
        <w:tblLayout w:type="fixed"/>
        <w:tblCellMar>
          <w:top w:w="0" w:type="dxa"/>
          <w:left w:w="0" w:type="dxa"/>
          <w:bottom w:w="0" w:type="dxa"/>
          <w:right w:w="0" w:type="dxa"/>
        </w:tblCellMar>
        <w:tblLook w:val="01E0"/>
      </w:tblPr>
      <w:tblGrid>
        <w:gridCol w:w="3977"/>
        <w:gridCol w:w="4638"/>
      </w:tblGrid>
      <w:tr>
        <w:trPr>
          <w:trHeight w:val="284" w:hRule="exact"/>
        </w:trPr>
        <w:tc>
          <w:tcPr>
            <w:tcW w:w="39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南通林洋交通建设工程有限公司</w:t>
            </w:r>
            <w:r>
              <w:rPr>
                <w:rFonts w:ascii="宋体" w:hAnsi="宋体" w:cs="宋体" w:eastAsia="宋体" w:hint="default"/>
                <w:sz w:val="21"/>
                <w:szCs w:val="21"/>
              </w:rPr>
              <w:t> </w:t>
            </w:r>
          </w:p>
        </w:tc>
        <w:tc>
          <w:tcPr>
            <w:tcW w:w="46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本公司控股股东控制的公司</w:t>
            </w:r>
            <w:r>
              <w:rPr>
                <w:rFonts w:ascii="宋体" w:hAnsi="宋体" w:cs="宋体" w:eastAsia="宋体" w:hint="default"/>
                <w:sz w:val="21"/>
                <w:szCs w:val="21"/>
              </w:rPr>
              <w:t> </w:t>
            </w:r>
          </w:p>
        </w:tc>
      </w:tr>
      <w:tr>
        <w:trPr>
          <w:trHeight w:val="283" w:hRule="exact"/>
        </w:trPr>
        <w:tc>
          <w:tcPr>
            <w:tcW w:w="39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南通林洋房地产有限公司</w:t>
            </w:r>
            <w:r>
              <w:rPr>
                <w:rFonts w:ascii="宋体" w:hAnsi="宋体" w:cs="宋体" w:eastAsia="宋体" w:hint="default"/>
                <w:sz w:val="21"/>
                <w:szCs w:val="21"/>
              </w:rPr>
              <w:t> </w:t>
            </w:r>
          </w:p>
        </w:tc>
        <w:tc>
          <w:tcPr>
            <w:tcW w:w="46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本公司控股股东控制的公司</w:t>
            </w:r>
            <w:r>
              <w:rPr>
                <w:rFonts w:ascii="宋体" w:hAnsi="宋体" w:cs="宋体" w:eastAsia="宋体" w:hint="default"/>
                <w:sz w:val="21"/>
                <w:szCs w:val="21"/>
              </w:rPr>
              <w:t> </w:t>
            </w:r>
          </w:p>
        </w:tc>
      </w:tr>
      <w:tr>
        <w:trPr>
          <w:trHeight w:val="281" w:hRule="exact"/>
        </w:trPr>
        <w:tc>
          <w:tcPr>
            <w:tcW w:w="39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南通华虹生态园艺有限公司</w:t>
            </w:r>
            <w:r>
              <w:rPr>
                <w:rFonts w:ascii="宋体" w:hAnsi="宋体" w:cs="宋体" w:eastAsia="宋体" w:hint="default"/>
                <w:sz w:val="21"/>
                <w:szCs w:val="21"/>
              </w:rPr>
              <w:t> </w:t>
            </w:r>
          </w:p>
        </w:tc>
        <w:tc>
          <w:tcPr>
            <w:tcW w:w="46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本公司控股股东控制的公司</w:t>
            </w:r>
            <w:r>
              <w:rPr>
                <w:rFonts w:ascii="宋体" w:hAnsi="宋体" w:cs="宋体" w:eastAsia="宋体" w:hint="default"/>
                <w:sz w:val="21"/>
                <w:szCs w:val="21"/>
              </w:rPr>
              <w:t> </w:t>
            </w:r>
          </w:p>
        </w:tc>
      </w:tr>
      <w:tr>
        <w:trPr>
          <w:trHeight w:val="283" w:hRule="exact"/>
        </w:trPr>
        <w:tc>
          <w:tcPr>
            <w:tcW w:w="39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上海精鼎电力科技有限公司</w:t>
            </w:r>
            <w:r>
              <w:rPr>
                <w:rFonts w:ascii="宋体" w:hAnsi="宋体" w:cs="宋体" w:eastAsia="宋体" w:hint="default"/>
                <w:sz w:val="21"/>
                <w:szCs w:val="21"/>
              </w:rPr>
              <w:t> </w:t>
            </w:r>
          </w:p>
        </w:tc>
        <w:tc>
          <w:tcPr>
            <w:tcW w:w="46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本公司董事施加重大影响的其他企业</w:t>
            </w:r>
            <w:r>
              <w:rPr>
                <w:rFonts w:ascii="宋体" w:hAnsi="宋体" w:cs="宋体" w:eastAsia="宋体" w:hint="default"/>
                <w:sz w:val="21"/>
                <w:szCs w:val="21"/>
              </w:rPr>
              <w:t> </w:t>
            </w:r>
          </w:p>
        </w:tc>
      </w:tr>
    </w:tbl>
    <w:p>
      <w:pPr>
        <w:spacing w:after="0" w:line="243" w:lineRule="exact"/>
        <w:jc w:val="left"/>
        <w:rPr>
          <w:rFonts w:ascii="宋体" w:hAnsi="宋体" w:cs="宋体" w:eastAsia="宋体" w:hint="default"/>
          <w:sz w:val="21"/>
          <w:szCs w:val="21"/>
        </w:rPr>
        <w:sectPr>
          <w:pgSz w:w="11910" w:h="16840"/>
          <w:pgMar w:header="748" w:footer="974" w:top="1140" w:bottom="1160" w:left="1080" w:right="1060"/>
        </w:sectPr>
      </w:pPr>
    </w:p>
    <w:p>
      <w:pPr>
        <w:pStyle w:val="Heading3"/>
        <w:spacing w:line="241" w:lineRule="exact" w:before="0"/>
        <w:ind w:left="718" w:right="0"/>
        <w:jc w:val="left"/>
        <w:rPr>
          <w:rFonts w:ascii="宋体" w:hAnsi="宋体" w:cs="宋体" w:eastAsia="宋体" w:hint="default"/>
          <w:b w:val="0"/>
          <w:bCs w:val="0"/>
        </w:rPr>
      </w:pPr>
      <w:r>
        <w:rPr>
          <w:rFonts w:ascii="宋体"/>
          <w:w w:val="99"/>
        </w:rPr>
        <w:t> </w:t>
      </w:r>
      <w:r>
        <w:rPr>
          <w:rFonts w:ascii="宋体"/>
          <w:b w:val="0"/>
        </w:rPr>
      </w:r>
    </w:p>
    <w:p>
      <w:pPr>
        <w:spacing w:line="288" w:lineRule="auto" w:before="58"/>
        <w:ind w:left="718" w:right="0" w:firstLine="0"/>
        <w:jc w:val="left"/>
        <w:rPr>
          <w:rFonts w:ascii="宋体" w:hAnsi="宋体" w:cs="宋体" w:eastAsia="宋体" w:hint="default"/>
          <w:sz w:val="24"/>
          <w:szCs w:val="24"/>
        </w:rPr>
      </w:pPr>
      <w:r>
        <w:rPr>
          <w:rFonts w:ascii="宋体" w:hAnsi="宋体" w:cs="宋体" w:eastAsia="宋体" w:hint="default"/>
          <w:b/>
          <w:bCs/>
          <w:sz w:val="21"/>
          <w:szCs w:val="21"/>
        </w:rPr>
        <w:t>5</w:t>
      </w:r>
      <w:r>
        <w:rPr>
          <w:rFonts w:ascii="宋体" w:hAnsi="宋体" w:cs="宋体" w:eastAsia="宋体" w:hint="default"/>
          <w:b/>
          <w:bCs/>
          <w:sz w:val="21"/>
          <w:szCs w:val="21"/>
        </w:rPr>
        <w:t>、 关联交易情况</w:t>
      </w:r>
      <w:r>
        <w:rPr>
          <w:rFonts w:ascii="宋体" w:hAnsi="宋体" w:cs="宋体" w:eastAsia="宋体" w:hint="default"/>
          <w:b/>
          <w:bCs/>
          <w:spacing w:val="-102"/>
          <w:sz w:val="21"/>
          <w:szCs w:val="21"/>
        </w:rPr>
        <w:t> </w:t>
      </w:r>
      <w:r>
        <w:rPr>
          <w:rFonts w:ascii="宋体" w:hAnsi="宋体" w:cs="宋体" w:eastAsia="宋体" w:hint="default"/>
          <w:b/>
          <w:bCs/>
          <w:spacing w:val="-102"/>
          <w:sz w:val="21"/>
          <w:szCs w:val="21"/>
        </w:rPr>
      </w:r>
      <w:r>
        <w:rPr>
          <w:rFonts w:ascii="宋体" w:hAnsi="宋体" w:cs="宋体" w:eastAsia="宋体" w:hint="default"/>
          <w:b/>
          <w:bCs/>
          <w:sz w:val="21"/>
          <w:szCs w:val="21"/>
        </w:rPr>
        <w:t>(1).</w:t>
      </w:r>
      <w:r>
        <w:rPr>
          <w:rFonts w:ascii="宋体" w:hAnsi="宋体" w:cs="宋体" w:eastAsia="宋体" w:hint="default"/>
          <w:b/>
          <w:bCs/>
          <w:sz w:val="21"/>
          <w:szCs w:val="21"/>
        </w:rPr>
        <w:t>购销商品、提供和接受劳务的关联交易</w:t>
      </w:r>
      <w:r>
        <w:rPr>
          <w:rFonts w:ascii="宋体" w:hAnsi="宋体" w:cs="宋体" w:eastAsia="宋体" w:hint="default"/>
          <w:b/>
          <w:bCs/>
          <w:w w:val="99"/>
          <w:sz w:val="21"/>
          <w:szCs w:val="21"/>
        </w:rPr>
        <w:t> </w:t>
      </w:r>
      <w:r>
        <w:rPr>
          <w:rFonts w:ascii="宋体" w:hAnsi="宋体" w:cs="宋体" w:eastAsia="宋体" w:hint="default"/>
          <w:sz w:val="24"/>
          <w:szCs w:val="24"/>
        </w:rPr>
        <w:t>采购商品</w:t>
      </w:r>
      <w:r>
        <w:rPr>
          <w:rFonts w:ascii="宋体" w:hAnsi="宋体" w:cs="宋体" w:eastAsia="宋体" w:hint="default"/>
          <w:sz w:val="24"/>
          <w:szCs w:val="24"/>
        </w:rPr>
        <w:t>/</w:t>
      </w:r>
      <w:r>
        <w:rPr>
          <w:rFonts w:ascii="宋体" w:hAnsi="宋体" w:cs="宋体" w:eastAsia="宋体" w:hint="default"/>
          <w:sz w:val="24"/>
          <w:szCs w:val="24"/>
        </w:rPr>
        <w:t>接受劳务情况表</w:t>
      </w:r>
      <w:r>
        <w:rPr>
          <w:rFonts w:ascii="宋体" w:hAnsi="宋体" w:cs="宋体" w:eastAsia="宋体" w:hint="default"/>
          <w:sz w:val="24"/>
          <w:szCs w:val="24"/>
        </w:rPr>
        <w:t> </w:t>
      </w:r>
    </w:p>
    <w:p>
      <w:pPr>
        <w:pStyle w:val="Heading2"/>
        <w:spacing w:line="262" w:lineRule="exact"/>
        <w:ind w:left="718"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1"/>
          <w:szCs w:val="21"/>
        </w:rPr>
      </w:pPr>
    </w:p>
    <w:p>
      <w:pPr>
        <w:pStyle w:val="BodyText"/>
        <w:spacing w:line="240" w:lineRule="auto"/>
        <w:ind w:left="718" w:right="0"/>
        <w:jc w:val="left"/>
        <w:rPr>
          <w:rFonts w:ascii="宋体" w:hAnsi="宋体" w:cs="宋体" w:eastAsia="宋体" w:hint="default"/>
        </w:rPr>
      </w:pPr>
      <w:r>
        <w:rPr/>
        <w:t>单位：元币种：人民币</w:t>
      </w:r>
      <w:r>
        <w:rPr>
          <w:rFonts w:ascii="宋体" w:hAnsi="宋体" w:cs="宋体" w:eastAsia="宋体" w:hint="default"/>
          <w:b/>
          <w:bCs/>
          <w:w w:val="99"/>
        </w:rPr>
        <w:t> </w:t>
      </w:r>
      <w:r>
        <w:rPr>
          <w:rFonts w:ascii="宋体" w:hAnsi="宋体" w:cs="宋体" w:eastAsia="宋体" w:hint="default"/>
        </w:rPr>
      </w:r>
    </w:p>
    <w:p>
      <w:pPr>
        <w:spacing w:after="0" w:line="240" w:lineRule="auto"/>
        <w:jc w:val="left"/>
        <w:rPr>
          <w:rFonts w:ascii="宋体" w:hAnsi="宋体" w:cs="宋体" w:eastAsia="宋体" w:hint="default"/>
        </w:rPr>
        <w:sectPr>
          <w:type w:val="continuous"/>
          <w:pgSz w:w="11910" w:h="16840"/>
          <w:pgMar w:top="1580" w:bottom="280" w:left="1080" w:right="1060"/>
          <w:cols w:num="2" w:equalWidth="0">
            <w:col w:w="4833" w:space="1900"/>
            <w:col w:w="3037"/>
          </w:cols>
        </w:sectPr>
      </w:pPr>
    </w:p>
    <w:p>
      <w:pPr>
        <w:spacing w:line="240" w:lineRule="auto" w:before="4"/>
        <w:rPr>
          <w:rFonts w:ascii="宋体" w:hAnsi="宋体" w:cs="宋体" w:eastAsia="宋体" w:hint="default"/>
          <w:b/>
          <w:bCs/>
          <w:sz w:val="2"/>
          <w:szCs w:val="2"/>
        </w:rPr>
      </w:pPr>
    </w:p>
    <w:tbl>
      <w:tblPr>
        <w:tblW w:w="0" w:type="auto"/>
        <w:jc w:val="left"/>
        <w:tblInd w:w="394" w:type="dxa"/>
        <w:tblLayout w:type="fixed"/>
        <w:tblCellMar>
          <w:top w:w="0" w:type="dxa"/>
          <w:left w:w="0" w:type="dxa"/>
          <w:bottom w:w="0" w:type="dxa"/>
          <w:right w:w="0" w:type="dxa"/>
        </w:tblCellMar>
        <w:tblLook w:val="01E0"/>
      </w:tblPr>
      <w:tblGrid>
        <w:gridCol w:w="3145"/>
        <w:gridCol w:w="1716"/>
        <w:gridCol w:w="2168"/>
        <w:gridCol w:w="2158"/>
      </w:tblGrid>
      <w:tr>
        <w:trPr>
          <w:trHeight w:val="307"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02" w:right="0"/>
              <w:jc w:val="center"/>
              <w:rPr>
                <w:rFonts w:ascii="宋体" w:hAnsi="宋体" w:cs="宋体" w:eastAsia="宋体" w:hint="default"/>
                <w:sz w:val="21"/>
                <w:szCs w:val="21"/>
              </w:rPr>
            </w:pPr>
            <w:r>
              <w:rPr>
                <w:rFonts w:ascii="宋体" w:hAnsi="宋体" w:cs="宋体" w:eastAsia="宋体" w:hint="default"/>
                <w:sz w:val="21"/>
                <w:szCs w:val="21"/>
              </w:rPr>
              <w:t>关联方</w:t>
            </w:r>
            <w:r>
              <w:rPr>
                <w:rFonts w:ascii="宋体" w:hAnsi="宋体" w:cs="宋体" w:eastAsia="宋体" w:hint="default"/>
                <w:sz w:val="21"/>
                <w:szCs w:val="21"/>
              </w:rPr>
              <w:t> </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20" w:right="0"/>
              <w:jc w:val="left"/>
              <w:rPr>
                <w:rFonts w:ascii="宋体" w:hAnsi="宋体" w:cs="宋体" w:eastAsia="宋体" w:hint="default"/>
                <w:sz w:val="21"/>
                <w:szCs w:val="21"/>
              </w:rPr>
            </w:pPr>
            <w:r>
              <w:rPr>
                <w:rFonts w:ascii="宋体" w:hAnsi="宋体" w:cs="宋体" w:eastAsia="宋体" w:hint="default"/>
                <w:sz w:val="21"/>
                <w:szCs w:val="21"/>
              </w:rPr>
              <w:t>关联交易内容</w:t>
            </w:r>
            <w:r>
              <w:rPr>
                <w:rFonts w:ascii="宋体" w:hAnsi="宋体" w:cs="宋体" w:eastAsia="宋体" w:hint="default"/>
                <w:sz w:val="21"/>
                <w:szCs w:val="21"/>
              </w:rPr>
              <w:t> </w:t>
            </w:r>
          </w:p>
        </w:tc>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552"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550"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1"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南通华虹生态园艺有限公司</w:t>
            </w:r>
            <w:r>
              <w:rPr>
                <w:rFonts w:ascii="宋体" w:hAnsi="宋体" w:cs="宋体" w:eastAsia="宋体" w:hint="default"/>
                <w:sz w:val="21"/>
                <w:szCs w:val="21"/>
              </w:rPr>
              <w:t> </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绿化景观</w:t>
            </w:r>
            <w:r>
              <w:rPr>
                <w:rFonts w:ascii="宋体" w:hAnsi="宋体" w:cs="宋体" w:eastAsia="宋体" w:hint="default"/>
                <w:sz w:val="21"/>
                <w:szCs w:val="21"/>
              </w:rPr>
              <w:t> </w:t>
            </w:r>
          </w:p>
        </w:tc>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390,024.87</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792,609.99</w:t>
            </w:r>
          </w:p>
        </w:tc>
      </w:tr>
      <w:tr>
        <w:trPr>
          <w:trHeight w:val="28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上海精鼎电力科技有限公司</w:t>
            </w:r>
            <w:r>
              <w:rPr>
                <w:rFonts w:ascii="宋体" w:hAnsi="宋体" w:cs="宋体" w:eastAsia="宋体" w:hint="default"/>
                <w:sz w:val="21"/>
                <w:szCs w:val="21"/>
              </w:rPr>
              <w:t> </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电站系统工程</w:t>
            </w:r>
            <w:r>
              <w:rPr>
                <w:rFonts w:ascii="宋体" w:hAnsi="宋体" w:cs="宋体" w:eastAsia="宋体" w:hint="default"/>
                <w:sz w:val="21"/>
                <w:szCs w:val="21"/>
              </w:rPr>
              <w:t> </w:t>
            </w:r>
          </w:p>
        </w:tc>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3,417,029.85</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6,204,305.82</w:t>
            </w:r>
          </w:p>
        </w:tc>
      </w:tr>
      <w:tr>
        <w:trPr>
          <w:trHeight w:val="281"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南通林洋交通建设工程有限公司</w:t>
            </w:r>
            <w:r>
              <w:rPr>
                <w:rFonts w:ascii="宋体" w:hAnsi="宋体" w:cs="宋体" w:eastAsia="宋体" w:hint="default"/>
                <w:sz w:val="21"/>
                <w:szCs w:val="21"/>
              </w:rPr>
              <w:t> </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工程</w:t>
            </w:r>
            <w:r>
              <w:rPr>
                <w:rFonts w:ascii="宋体" w:hAnsi="宋体" w:cs="宋体" w:eastAsia="宋体" w:hint="default"/>
                <w:sz w:val="21"/>
                <w:szCs w:val="21"/>
              </w:rPr>
              <w:t> </w:t>
            </w:r>
          </w:p>
        </w:tc>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6,817,598.47</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295,920.05</w:t>
            </w:r>
          </w:p>
        </w:tc>
      </w:tr>
      <w:tr>
        <w:trPr>
          <w:trHeight w:val="283"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江苏华源仪器仪表有限公司</w:t>
            </w:r>
            <w:r>
              <w:rPr>
                <w:rFonts w:ascii="宋体" w:hAnsi="宋体" w:cs="宋体" w:eastAsia="宋体" w:hint="default"/>
                <w:sz w:val="21"/>
                <w:szCs w:val="21"/>
              </w:rPr>
              <w:t> </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原材料</w:t>
            </w:r>
            <w:r>
              <w:rPr>
                <w:rFonts w:ascii="宋体" w:hAnsi="宋体" w:cs="宋体" w:eastAsia="宋体" w:hint="default"/>
                <w:sz w:val="21"/>
                <w:szCs w:val="21"/>
              </w:rPr>
              <w:t> </w:t>
            </w:r>
          </w:p>
        </w:tc>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z w:val="21"/>
              </w:rPr>
              <w:t>170.94</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1,098,214.97</w:t>
            </w:r>
          </w:p>
        </w:tc>
      </w:tr>
      <w:tr>
        <w:trPr>
          <w:trHeight w:val="283"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江苏林洋现代农业有限公司</w:t>
            </w:r>
            <w:r>
              <w:rPr>
                <w:rFonts w:ascii="宋体" w:hAnsi="宋体" w:cs="宋体" w:eastAsia="宋体" w:hint="default"/>
                <w:sz w:val="21"/>
                <w:szCs w:val="21"/>
              </w:rPr>
              <w:t> </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提供劳务</w:t>
            </w:r>
            <w:r>
              <w:rPr>
                <w:rFonts w:ascii="宋体" w:hAnsi="宋体" w:cs="宋体" w:eastAsia="宋体" w:hint="default"/>
                <w:sz w:val="21"/>
                <w:szCs w:val="21"/>
              </w:rPr>
              <w:t> </w:t>
            </w:r>
          </w:p>
        </w:tc>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41,263.21</w:t>
            </w:r>
          </w:p>
        </w:tc>
        <w:tc>
          <w:tcPr>
            <w:tcW w:w="2158"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江苏林洋现代农业有限公司</w:t>
            </w:r>
            <w:r>
              <w:rPr>
                <w:rFonts w:ascii="宋体" w:hAnsi="宋体" w:cs="宋体" w:eastAsia="宋体" w:hint="default"/>
                <w:sz w:val="21"/>
                <w:szCs w:val="21"/>
              </w:rPr>
              <w:t> </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生物资产油牡丹</w:t>
            </w:r>
            <w:r>
              <w:rPr>
                <w:rFonts w:ascii="宋体" w:hAnsi="宋体" w:cs="宋体" w:eastAsia="宋体" w:hint="default"/>
                <w:sz w:val="21"/>
                <w:szCs w:val="21"/>
              </w:rPr>
              <w:t> </w:t>
            </w:r>
          </w:p>
        </w:tc>
        <w:tc>
          <w:tcPr>
            <w:tcW w:w="2168" w:type="dxa"/>
            <w:tcBorders>
              <w:top w:val="single" w:sz="4" w:space="0" w:color="000000"/>
              <w:left w:val="single" w:sz="4" w:space="0" w:color="000000"/>
              <w:bottom w:val="single" w:sz="4" w:space="0" w:color="000000"/>
              <w:right w:val="single" w:sz="4" w:space="0" w:color="000000"/>
            </w:tcBorders>
          </w:tcPr>
          <w:p>
            <w:pP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6,816,578.65</w:t>
            </w:r>
          </w:p>
        </w:tc>
      </w:tr>
      <w:tr>
        <w:trPr>
          <w:trHeight w:val="283"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宿州林洋现代农业有限公司</w:t>
            </w:r>
            <w:r>
              <w:rPr>
                <w:rFonts w:ascii="宋体" w:hAnsi="宋体" w:cs="宋体" w:eastAsia="宋体" w:hint="default"/>
                <w:sz w:val="21"/>
                <w:szCs w:val="21"/>
              </w:rPr>
              <w:t> </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生物资产油牡丹</w:t>
            </w:r>
            <w:r>
              <w:rPr>
                <w:rFonts w:ascii="宋体" w:hAnsi="宋体" w:cs="宋体" w:eastAsia="宋体" w:hint="default"/>
                <w:sz w:val="21"/>
                <w:szCs w:val="21"/>
              </w:rPr>
              <w:t> </w:t>
            </w:r>
          </w:p>
        </w:tc>
        <w:tc>
          <w:tcPr>
            <w:tcW w:w="2168" w:type="dxa"/>
            <w:tcBorders>
              <w:top w:val="single" w:sz="4" w:space="0" w:color="000000"/>
              <w:left w:val="single" w:sz="4" w:space="0" w:color="000000"/>
              <w:bottom w:val="single" w:sz="4" w:space="0" w:color="000000"/>
              <w:right w:val="single" w:sz="4" w:space="0" w:color="000000"/>
            </w:tcBorders>
          </w:tcPr>
          <w:p>
            <w:pP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9,441,500.00</w:t>
            </w:r>
          </w:p>
        </w:tc>
      </w:tr>
      <w:tr>
        <w:trPr>
          <w:trHeight w:val="283"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阜阳林洋现代农业有限公司</w:t>
            </w:r>
            <w:r>
              <w:rPr>
                <w:rFonts w:ascii="宋体" w:hAnsi="宋体" w:cs="宋体" w:eastAsia="宋体" w:hint="default"/>
                <w:sz w:val="21"/>
                <w:szCs w:val="21"/>
              </w:rPr>
              <w:t> </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生物资产油牡丹</w:t>
            </w:r>
            <w:r>
              <w:rPr>
                <w:rFonts w:ascii="宋体" w:hAnsi="宋体" w:cs="宋体" w:eastAsia="宋体" w:hint="default"/>
                <w:sz w:val="21"/>
                <w:szCs w:val="21"/>
              </w:rPr>
              <w:t> </w:t>
            </w:r>
          </w:p>
        </w:tc>
        <w:tc>
          <w:tcPr>
            <w:tcW w:w="2168" w:type="dxa"/>
            <w:tcBorders>
              <w:top w:val="single" w:sz="4" w:space="0" w:color="000000"/>
              <w:left w:val="single" w:sz="4" w:space="0" w:color="000000"/>
              <w:bottom w:val="single" w:sz="4" w:space="0" w:color="000000"/>
              <w:right w:val="single" w:sz="4" w:space="0" w:color="000000"/>
            </w:tcBorders>
          </w:tcPr>
          <w:p>
            <w:pP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9,581,500.00</w:t>
            </w:r>
          </w:p>
        </w:tc>
      </w:tr>
      <w:tr>
        <w:trPr>
          <w:trHeight w:val="281"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商丘林洋农业科技有限公司</w:t>
            </w:r>
            <w:r>
              <w:rPr>
                <w:rFonts w:ascii="宋体" w:hAnsi="宋体" w:cs="宋体" w:eastAsia="宋体" w:hint="default"/>
                <w:sz w:val="21"/>
                <w:szCs w:val="21"/>
              </w:rPr>
              <w:t> </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生物资产油牡丹</w:t>
            </w:r>
            <w:r>
              <w:rPr>
                <w:rFonts w:ascii="宋体" w:hAnsi="宋体" w:cs="宋体" w:eastAsia="宋体" w:hint="default"/>
                <w:sz w:val="21"/>
                <w:szCs w:val="21"/>
              </w:rPr>
              <w:t> </w:t>
            </w:r>
          </w:p>
        </w:tc>
        <w:tc>
          <w:tcPr>
            <w:tcW w:w="2168" w:type="dxa"/>
            <w:tcBorders>
              <w:top w:val="single" w:sz="4" w:space="0" w:color="000000"/>
              <w:left w:val="single" w:sz="4" w:space="0" w:color="000000"/>
              <w:bottom w:val="single" w:sz="4" w:space="0" w:color="000000"/>
              <w:right w:val="single" w:sz="4" w:space="0" w:color="000000"/>
            </w:tcBorders>
          </w:tcPr>
          <w:p>
            <w:pP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5,410,000.00</w:t>
            </w:r>
          </w:p>
        </w:tc>
      </w:tr>
      <w:tr>
        <w:trPr>
          <w:trHeight w:val="283"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德州华虹农业有限公司</w:t>
            </w:r>
            <w:r>
              <w:rPr>
                <w:rFonts w:ascii="宋体" w:hAnsi="宋体" w:cs="宋体" w:eastAsia="宋体" w:hint="default"/>
                <w:sz w:val="21"/>
                <w:szCs w:val="21"/>
              </w:rPr>
              <w:t> </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生物资产油牡丹</w:t>
            </w:r>
            <w:r>
              <w:rPr>
                <w:rFonts w:ascii="宋体" w:hAnsi="宋体" w:cs="宋体" w:eastAsia="宋体" w:hint="default"/>
                <w:sz w:val="21"/>
                <w:szCs w:val="21"/>
              </w:rPr>
              <w:t> </w:t>
            </w:r>
          </w:p>
        </w:tc>
        <w:tc>
          <w:tcPr>
            <w:tcW w:w="2168" w:type="dxa"/>
            <w:tcBorders>
              <w:top w:val="single" w:sz="4" w:space="0" w:color="000000"/>
              <w:left w:val="single" w:sz="4" w:space="0" w:color="000000"/>
              <w:bottom w:val="single" w:sz="4" w:space="0" w:color="000000"/>
              <w:right w:val="single" w:sz="4" w:space="0" w:color="000000"/>
            </w:tcBorders>
          </w:tcPr>
          <w:p>
            <w:pP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2,100,000.00</w:t>
            </w:r>
          </w:p>
        </w:tc>
      </w:tr>
      <w:tr>
        <w:trPr>
          <w:trHeight w:val="283"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聊城市华虹现代农业有限公司</w:t>
            </w:r>
            <w:r>
              <w:rPr>
                <w:rFonts w:ascii="宋体" w:hAnsi="宋体" w:cs="宋体" w:eastAsia="宋体" w:hint="default"/>
                <w:sz w:val="21"/>
                <w:szCs w:val="21"/>
              </w:rPr>
              <w:t> </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生物资产油牡丹</w:t>
            </w:r>
            <w:r>
              <w:rPr>
                <w:rFonts w:ascii="宋体" w:hAnsi="宋体" w:cs="宋体" w:eastAsia="宋体" w:hint="default"/>
                <w:sz w:val="21"/>
                <w:szCs w:val="21"/>
              </w:rPr>
              <w:t> </w:t>
            </w:r>
          </w:p>
        </w:tc>
        <w:tc>
          <w:tcPr>
            <w:tcW w:w="2168" w:type="dxa"/>
            <w:tcBorders>
              <w:top w:val="single" w:sz="4" w:space="0" w:color="000000"/>
              <w:left w:val="single" w:sz="4" w:space="0" w:color="000000"/>
              <w:bottom w:val="single" w:sz="4" w:space="0" w:color="000000"/>
              <w:right w:val="single" w:sz="4" w:space="0" w:color="000000"/>
            </w:tcBorders>
          </w:tcPr>
          <w:p>
            <w:pP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5,730,000.00</w:t>
            </w:r>
          </w:p>
        </w:tc>
      </w:tr>
      <w:tr>
        <w:trPr>
          <w:trHeight w:val="281"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盐城林洋现代农业有限公司</w:t>
            </w:r>
            <w:r>
              <w:rPr>
                <w:rFonts w:ascii="宋体" w:hAnsi="宋体" w:cs="宋体" w:eastAsia="宋体" w:hint="default"/>
                <w:sz w:val="21"/>
                <w:szCs w:val="21"/>
              </w:rPr>
              <w:t> </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生物资产油牡丹</w:t>
            </w:r>
            <w:r>
              <w:rPr>
                <w:rFonts w:ascii="宋体" w:hAnsi="宋体" w:cs="宋体" w:eastAsia="宋体" w:hint="default"/>
                <w:sz w:val="21"/>
                <w:szCs w:val="21"/>
              </w:rPr>
              <w:t> </w:t>
            </w:r>
          </w:p>
        </w:tc>
        <w:tc>
          <w:tcPr>
            <w:tcW w:w="2168" w:type="dxa"/>
            <w:tcBorders>
              <w:top w:val="single" w:sz="4" w:space="0" w:color="000000"/>
              <w:left w:val="single" w:sz="4" w:space="0" w:color="000000"/>
              <w:bottom w:val="single" w:sz="4" w:space="0" w:color="000000"/>
              <w:right w:val="single" w:sz="4" w:space="0" w:color="000000"/>
            </w:tcBorders>
          </w:tcPr>
          <w:p>
            <w:pP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1,439,800.00</w:t>
            </w:r>
          </w:p>
        </w:tc>
      </w:tr>
      <w:tr>
        <w:trPr>
          <w:trHeight w:val="283"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南通林洋现代农业有限公司</w:t>
            </w:r>
            <w:r>
              <w:rPr>
                <w:rFonts w:ascii="宋体" w:hAnsi="宋体" w:cs="宋体" w:eastAsia="宋体" w:hint="default"/>
                <w:sz w:val="21"/>
                <w:szCs w:val="21"/>
              </w:rPr>
              <w:t> </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生物资产油牡丹</w:t>
            </w:r>
            <w:r>
              <w:rPr>
                <w:rFonts w:ascii="宋体" w:hAnsi="宋体" w:cs="宋体" w:eastAsia="宋体" w:hint="default"/>
                <w:sz w:val="21"/>
                <w:szCs w:val="21"/>
              </w:rPr>
              <w:t> </w:t>
            </w:r>
          </w:p>
        </w:tc>
        <w:tc>
          <w:tcPr>
            <w:tcW w:w="2168" w:type="dxa"/>
            <w:tcBorders>
              <w:top w:val="single" w:sz="4" w:space="0" w:color="000000"/>
              <w:left w:val="single" w:sz="4" w:space="0" w:color="000000"/>
              <w:bottom w:val="single" w:sz="4" w:space="0" w:color="000000"/>
              <w:right w:val="single" w:sz="4" w:space="0" w:color="000000"/>
            </w:tcBorders>
          </w:tcPr>
          <w:p>
            <w:pP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1,213,800.00</w:t>
            </w:r>
          </w:p>
        </w:tc>
      </w:tr>
      <w:tr>
        <w:trPr>
          <w:trHeight w:val="28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连云港华虹现代农业有限公司</w:t>
            </w:r>
            <w:r>
              <w:rPr>
                <w:rFonts w:ascii="宋体" w:hAnsi="宋体" w:cs="宋体" w:eastAsia="宋体" w:hint="default"/>
                <w:sz w:val="21"/>
                <w:szCs w:val="21"/>
              </w:rPr>
              <w:t> </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生物资产油牡丹</w:t>
            </w:r>
            <w:r>
              <w:rPr>
                <w:rFonts w:ascii="宋体" w:hAnsi="宋体" w:cs="宋体" w:eastAsia="宋体" w:hint="default"/>
                <w:sz w:val="21"/>
                <w:szCs w:val="21"/>
              </w:rPr>
              <w:t> </w:t>
            </w:r>
          </w:p>
        </w:tc>
        <w:tc>
          <w:tcPr>
            <w:tcW w:w="2168" w:type="dxa"/>
            <w:tcBorders>
              <w:top w:val="single" w:sz="4" w:space="0" w:color="000000"/>
              <w:left w:val="single" w:sz="4" w:space="0" w:color="000000"/>
              <w:bottom w:val="single" w:sz="4" w:space="0" w:color="000000"/>
              <w:right w:val="single" w:sz="4" w:space="0" w:color="000000"/>
            </w:tcBorders>
          </w:tcPr>
          <w:p>
            <w:pP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481,500.00</w:t>
            </w:r>
          </w:p>
        </w:tc>
      </w:tr>
    </w:tbl>
    <w:p>
      <w:pPr>
        <w:spacing w:after="0" w:line="241" w:lineRule="exact"/>
        <w:jc w:val="right"/>
        <w:rPr>
          <w:rFonts w:ascii="宋体" w:hAnsi="宋体" w:cs="宋体" w:eastAsia="宋体" w:hint="default"/>
          <w:sz w:val="21"/>
          <w:szCs w:val="21"/>
        </w:rPr>
        <w:sectPr>
          <w:type w:val="continuous"/>
          <w:pgSz w:w="11910" w:h="16840"/>
          <w:pgMar w:top="1580" w:bottom="280" w:left="1080" w:right="1060"/>
        </w:sectPr>
      </w:pPr>
    </w:p>
    <w:p>
      <w:pPr>
        <w:pStyle w:val="Heading2"/>
        <w:spacing w:line="274" w:lineRule="exact"/>
        <w:ind w:left="718" w:right="0"/>
        <w:jc w:val="left"/>
        <w:rPr>
          <w:rFonts w:ascii="宋体" w:hAnsi="宋体" w:cs="宋体" w:eastAsia="宋体" w:hint="default"/>
        </w:rPr>
      </w:pPr>
      <w:r>
        <w:rPr>
          <w:rFonts w:ascii="宋体"/>
        </w:rPr>
        <w:t> </w:t>
      </w:r>
    </w:p>
    <w:p>
      <w:pPr>
        <w:pStyle w:val="BodyText"/>
        <w:spacing w:line="274" w:lineRule="exact" w:before="1"/>
        <w:ind w:left="718" w:right="0"/>
        <w:jc w:val="left"/>
        <w:rPr>
          <w:rFonts w:ascii="宋体" w:hAnsi="宋体" w:cs="宋体" w:eastAsia="宋体" w:hint="default"/>
        </w:rPr>
      </w:pPr>
      <w:r>
        <w:rPr/>
        <w:t>出售商品</w:t>
      </w:r>
      <w:r>
        <w:rPr>
          <w:rFonts w:ascii="宋体" w:hAnsi="宋体" w:cs="宋体" w:eastAsia="宋体" w:hint="default"/>
        </w:rPr>
        <w:t>/</w:t>
      </w:r>
      <w:r>
        <w:rPr/>
        <w:t>提供劳务情况表</w:t>
      </w:r>
      <w:r>
        <w:rPr>
          <w:rFonts w:ascii="宋体" w:hAnsi="宋体" w:cs="宋体" w:eastAsia="宋体" w:hint="default"/>
        </w:rPr>
        <w:t> </w:t>
      </w:r>
    </w:p>
    <w:p>
      <w:pPr>
        <w:pStyle w:val="BodyText"/>
        <w:spacing w:line="274" w:lineRule="exact"/>
        <w:ind w:left="71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2"/>
          <w:szCs w:val="22"/>
        </w:rPr>
      </w:pPr>
    </w:p>
    <w:p>
      <w:pPr>
        <w:pStyle w:val="BodyText"/>
        <w:spacing w:line="240" w:lineRule="auto"/>
        <w:ind w:left="718" w:right="0"/>
        <w:jc w:val="left"/>
        <w:rPr>
          <w:rFonts w:ascii="宋体" w:hAnsi="宋体" w:cs="宋体" w:eastAsia="宋体" w:hint="default"/>
        </w:rPr>
      </w:pPr>
      <w:r>
        <w:rPr/>
        <w:t>单位：元币种：人民币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580" w:bottom="280" w:left="1080" w:right="1060"/>
          <w:cols w:num="2" w:equalWidth="0">
            <w:col w:w="3239" w:space="3494"/>
            <w:col w:w="3037"/>
          </w:cols>
        </w:sectPr>
      </w:pPr>
    </w:p>
    <w:p>
      <w:pPr>
        <w:spacing w:line="240" w:lineRule="auto" w:before="7"/>
        <w:rPr>
          <w:rFonts w:ascii="宋体" w:hAnsi="宋体" w:cs="宋体" w:eastAsia="宋体" w:hint="default"/>
          <w:sz w:val="2"/>
          <w:szCs w:val="2"/>
        </w:rPr>
      </w:pPr>
    </w:p>
    <w:tbl>
      <w:tblPr>
        <w:tblW w:w="0" w:type="auto"/>
        <w:jc w:val="left"/>
        <w:tblInd w:w="110" w:type="dxa"/>
        <w:tblLayout w:type="fixed"/>
        <w:tblCellMar>
          <w:top w:w="0" w:type="dxa"/>
          <w:left w:w="0" w:type="dxa"/>
          <w:bottom w:w="0" w:type="dxa"/>
          <w:right w:w="0" w:type="dxa"/>
        </w:tblCellMar>
        <w:tblLook w:val="01E0"/>
      </w:tblPr>
      <w:tblGrid>
        <w:gridCol w:w="2994"/>
        <w:gridCol w:w="2122"/>
        <w:gridCol w:w="2177"/>
        <w:gridCol w:w="2180"/>
      </w:tblGrid>
      <w:tr>
        <w:trPr>
          <w:trHeight w:val="283" w:hRule="exact"/>
        </w:trPr>
        <w:tc>
          <w:tcPr>
            <w:tcW w:w="2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hAnsi="宋体" w:cs="宋体" w:eastAsia="宋体" w:hint="default"/>
                <w:sz w:val="21"/>
                <w:szCs w:val="21"/>
              </w:rPr>
              <w:t>关联方</w:t>
            </w:r>
            <w:r>
              <w:rPr>
                <w:rFonts w:ascii="宋体" w:hAnsi="宋体" w:cs="宋体" w:eastAsia="宋体" w:hint="default"/>
                <w:sz w:val="21"/>
                <w:szCs w:val="21"/>
              </w:rPr>
              <w:t> </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4" w:right="0"/>
              <w:jc w:val="left"/>
              <w:rPr>
                <w:rFonts w:ascii="宋体" w:hAnsi="宋体" w:cs="宋体" w:eastAsia="宋体" w:hint="default"/>
                <w:sz w:val="21"/>
                <w:szCs w:val="21"/>
              </w:rPr>
            </w:pPr>
            <w:r>
              <w:rPr>
                <w:rFonts w:ascii="宋体" w:hAnsi="宋体" w:cs="宋体" w:eastAsia="宋体" w:hint="default"/>
                <w:sz w:val="21"/>
                <w:szCs w:val="21"/>
              </w:rPr>
              <w:t>关联交易内容</w:t>
            </w:r>
            <w:r>
              <w:rPr>
                <w:rFonts w:ascii="宋体" w:hAnsi="宋体" w:cs="宋体" w:eastAsia="宋体" w:hint="default"/>
                <w:sz w:val="21"/>
                <w:szCs w:val="21"/>
              </w:rPr>
              <w:t> </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57"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57"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3" w:hRule="exact"/>
        </w:trPr>
        <w:tc>
          <w:tcPr>
            <w:tcW w:w="2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江苏华源仪器仪表有限公司</w:t>
            </w:r>
            <w:r>
              <w:rPr>
                <w:rFonts w:ascii="宋体" w:hAnsi="宋体" w:cs="宋体" w:eastAsia="宋体" w:hint="default"/>
                <w:sz w:val="21"/>
                <w:szCs w:val="21"/>
              </w:rPr>
              <w:t> </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销售产品及服务</w:t>
            </w:r>
            <w:r>
              <w:rPr>
                <w:rFonts w:ascii="宋体" w:hAnsi="宋体" w:cs="宋体" w:eastAsia="宋体" w:hint="default"/>
                <w:sz w:val="21"/>
                <w:szCs w:val="21"/>
              </w:rPr>
              <w:t> </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75" w:right="0"/>
              <w:jc w:val="left"/>
              <w:rPr>
                <w:rFonts w:ascii="宋体" w:hAnsi="宋体" w:cs="宋体" w:eastAsia="宋体" w:hint="default"/>
                <w:sz w:val="21"/>
                <w:szCs w:val="21"/>
              </w:rPr>
            </w:pPr>
            <w:r>
              <w:rPr>
                <w:rFonts w:ascii="宋体"/>
                <w:sz w:val="21"/>
              </w:rPr>
              <w:t>13,752,830.17</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75" w:right="0"/>
              <w:jc w:val="left"/>
              <w:rPr>
                <w:rFonts w:ascii="宋体" w:hAnsi="宋体" w:cs="宋体" w:eastAsia="宋体" w:hint="default"/>
                <w:sz w:val="21"/>
                <w:szCs w:val="21"/>
              </w:rPr>
            </w:pPr>
            <w:r>
              <w:rPr>
                <w:rFonts w:ascii="宋体"/>
                <w:sz w:val="21"/>
              </w:rPr>
              <w:t>44,377,619.52</w:t>
            </w:r>
          </w:p>
        </w:tc>
      </w:tr>
    </w:tbl>
    <w:p>
      <w:pPr>
        <w:pStyle w:val="Heading2"/>
        <w:spacing w:line="274" w:lineRule="exact"/>
        <w:ind w:left="718" w:right="0"/>
        <w:jc w:val="left"/>
        <w:rPr>
          <w:rFonts w:ascii="宋体" w:hAnsi="宋体" w:cs="宋体" w:eastAsia="宋体" w:hint="default"/>
        </w:rPr>
      </w:pPr>
      <w:r>
        <w:rPr>
          <w:rFonts w:ascii="宋体"/>
        </w:rPr>
        <w:t> </w:t>
      </w:r>
    </w:p>
    <w:p>
      <w:pPr>
        <w:pStyle w:val="BodyText"/>
        <w:spacing w:line="274" w:lineRule="exact" w:before="1"/>
        <w:ind w:left="718" w:right="0"/>
        <w:jc w:val="left"/>
        <w:rPr>
          <w:rFonts w:ascii="宋体" w:hAnsi="宋体" w:cs="宋体" w:eastAsia="宋体" w:hint="default"/>
        </w:rPr>
      </w:pPr>
      <w:r>
        <w:rPr/>
        <w:t>购销商品、提供和接受劳务的关联交易说明</w:t>
      </w:r>
      <w:r>
        <w:rPr>
          <w:rFonts w:ascii="宋体" w:hAnsi="宋体" w:cs="宋体" w:eastAsia="宋体" w:hint="default"/>
        </w:rPr>
        <w:t> </w:t>
      </w:r>
    </w:p>
    <w:p>
      <w:pPr>
        <w:pStyle w:val="BodyText"/>
        <w:spacing w:line="272" w:lineRule="exact"/>
        <w:ind w:left="71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718" w:right="0"/>
        <w:jc w:val="left"/>
        <w:rPr>
          <w:rFonts w:ascii="宋体" w:hAnsi="宋体" w:cs="宋体" w:eastAsia="宋体" w:hint="default"/>
        </w:rPr>
      </w:pPr>
      <w:r>
        <w:rPr>
          <w:rFonts w:ascii="宋体"/>
          <w:w w:val="100"/>
        </w:rPr>
        <w:t> </w:t>
      </w:r>
    </w:p>
    <w:p>
      <w:pPr>
        <w:spacing w:line="290" w:lineRule="auto" w:before="58"/>
        <w:ind w:left="718" w:right="1954"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pacing w:val="-46"/>
          <w:sz w:val="21"/>
          <w:szCs w:val="21"/>
        </w:rPr>
        <w:t> </w:t>
      </w:r>
      <w:r>
        <w:rPr>
          <w:rFonts w:ascii="宋体" w:hAnsi="宋体" w:cs="宋体" w:eastAsia="宋体" w:hint="default"/>
          <w:b/>
          <w:bCs/>
          <w:sz w:val="21"/>
          <w:szCs w:val="21"/>
        </w:rPr>
        <w:t>关联受托管理</w:t>
      </w:r>
      <w:r>
        <w:rPr>
          <w:rFonts w:ascii="宋体" w:hAnsi="宋体" w:cs="宋体" w:eastAsia="宋体" w:hint="default"/>
          <w:b/>
          <w:bCs/>
          <w:sz w:val="21"/>
          <w:szCs w:val="21"/>
        </w:rPr>
        <w:t>/</w:t>
      </w:r>
      <w:r>
        <w:rPr>
          <w:rFonts w:ascii="宋体" w:hAnsi="宋体" w:cs="宋体" w:eastAsia="宋体" w:hint="default"/>
          <w:b/>
          <w:bCs/>
          <w:sz w:val="21"/>
          <w:szCs w:val="21"/>
        </w:rPr>
        <w:t>承包及委托管理</w:t>
      </w:r>
      <w:r>
        <w:rPr>
          <w:rFonts w:ascii="宋体" w:hAnsi="宋体" w:cs="宋体" w:eastAsia="宋体" w:hint="default"/>
          <w:b/>
          <w:bCs/>
          <w:sz w:val="21"/>
          <w:szCs w:val="21"/>
        </w:rPr>
        <w:t>/</w:t>
      </w:r>
      <w:r>
        <w:rPr>
          <w:rFonts w:ascii="宋体" w:hAnsi="宋体" w:cs="宋体" w:eastAsia="宋体" w:hint="default"/>
          <w:b/>
          <w:bCs/>
          <w:sz w:val="21"/>
          <w:szCs w:val="21"/>
        </w:rPr>
        <w:t>出包情况</w:t>
      </w:r>
      <w:r>
        <w:rPr>
          <w:rFonts w:ascii="宋体" w:hAnsi="宋体" w:cs="宋体" w:eastAsia="宋体" w:hint="default"/>
          <w:b/>
          <w:bCs/>
          <w:w w:val="99"/>
          <w:sz w:val="21"/>
          <w:szCs w:val="21"/>
        </w:rPr>
        <w:t> </w:t>
      </w:r>
      <w:r>
        <w:rPr>
          <w:rFonts w:ascii="宋体" w:hAnsi="宋体" w:cs="宋体" w:eastAsia="宋体" w:hint="default"/>
          <w:sz w:val="21"/>
          <w:szCs w:val="21"/>
        </w:rPr>
        <w:t>本公司受托管理</w:t>
      </w:r>
      <w:r>
        <w:rPr>
          <w:rFonts w:ascii="宋体" w:hAnsi="宋体" w:cs="宋体" w:eastAsia="宋体" w:hint="default"/>
          <w:sz w:val="21"/>
          <w:szCs w:val="21"/>
        </w:rPr>
        <w:t>/</w:t>
      </w:r>
      <w:r>
        <w:rPr>
          <w:rFonts w:ascii="宋体" w:hAnsi="宋体" w:cs="宋体" w:eastAsia="宋体" w:hint="default"/>
          <w:sz w:val="21"/>
          <w:szCs w:val="21"/>
        </w:rPr>
        <w:t>承包情况表：</w:t>
      </w:r>
      <w:r>
        <w:rPr>
          <w:rFonts w:ascii="宋体" w:hAnsi="宋体" w:cs="宋体" w:eastAsia="宋体" w:hint="default"/>
          <w:sz w:val="21"/>
          <w:szCs w:val="21"/>
        </w:rPr>
        <w:t> </w:t>
      </w:r>
    </w:p>
    <w:p>
      <w:pPr>
        <w:pStyle w:val="BodyText"/>
        <w:spacing w:line="228" w:lineRule="exact"/>
        <w:ind w:left="71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left="718" w:right="0"/>
        <w:jc w:val="left"/>
        <w:rPr>
          <w:rFonts w:ascii="宋体" w:hAnsi="宋体" w:cs="宋体" w:eastAsia="宋体" w:hint="default"/>
        </w:rPr>
      </w:pPr>
      <w:r>
        <w:rPr/>
        <w:t>关联托管</w:t>
      </w:r>
      <w:r>
        <w:rPr>
          <w:rFonts w:ascii="宋体" w:hAnsi="宋体" w:cs="宋体" w:eastAsia="宋体" w:hint="default"/>
        </w:rPr>
        <w:t>/</w:t>
      </w:r>
      <w:r>
        <w:rPr/>
        <w:t>承包情况说明</w:t>
      </w:r>
      <w:r>
        <w:rPr>
          <w:rFonts w:ascii="宋体" w:hAnsi="宋体" w:cs="宋体" w:eastAsia="宋体" w:hint="default"/>
        </w:rPr>
        <w:t> </w:t>
      </w:r>
    </w:p>
    <w:p>
      <w:pPr>
        <w:pStyle w:val="BodyText"/>
        <w:spacing w:line="272" w:lineRule="exact"/>
        <w:ind w:left="71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ind w:left="718" w:right="0"/>
        <w:jc w:val="left"/>
        <w:rPr>
          <w:rFonts w:ascii="宋体" w:hAnsi="宋体" w:cs="宋体" w:eastAsia="宋体" w:hint="default"/>
        </w:rPr>
      </w:pPr>
      <w:r>
        <w:rPr>
          <w:rFonts w:ascii="宋体" w:hAnsi="宋体" w:cs="宋体" w:eastAsia="宋体" w:hint="default"/>
          <w:w w:val="100"/>
        </w:rPr>
        <w:t>  </w:t>
      </w:r>
      <w:r>
        <w:rPr>
          <w:w w:val="100"/>
        </w:rPr>
        <w:t>本公</w:t>
      </w:r>
      <w:r>
        <w:rPr>
          <w:spacing w:val="-3"/>
          <w:w w:val="100"/>
        </w:rPr>
        <w:t>司</w:t>
      </w:r>
      <w:r>
        <w:rPr>
          <w:w w:val="100"/>
        </w:rPr>
        <w:t>委</w:t>
      </w:r>
      <w:r>
        <w:rPr>
          <w:spacing w:val="-3"/>
          <w:w w:val="100"/>
        </w:rPr>
        <w:t>托</w:t>
      </w:r>
      <w:r>
        <w:rPr>
          <w:w w:val="100"/>
        </w:rPr>
        <w:t>管</w:t>
      </w:r>
      <w:r>
        <w:rPr>
          <w:spacing w:val="-3"/>
          <w:w w:val="100"/>
        </w:rPr>
        <w:t>理</w:t>
      </w:r>
      <w:r>
        <w:rPr>
          <w:rFonts w:ascii="宋体" w:hAnsi="宋体" w:cs="宋体" w:eastAsia="宋体" w:hint="default"/>
          <w:w w:val="100"/>
        </w:rPr>
        <w:t>/</w:t>
      </w:r>
      <w:r>
        <w:rPr>
          <w:spacing w:val="-3"/>
          <w:w w:val="100"/>
        </w:rPr>
        <w:t>出</w:t>
      </w:r>
      <w:r>
        <w:rPr>
          <w:w w:val="100"/>
        </w:rPr>
        <w:t>包</w:t>
      </w:r>
      <w:r>
        <w:rPr>
          <w:spacing w:val="-3"/>
          <w:w w:val="100"/>
        </w:rPr>
        <w:t>情况</w:t>
      </w:r>
      <w:r>
        <w:rPr>
          <w:w w:val="100"/>
        </w:rPr>
        <w:t>表</w:t>
      </w:r>
      <w:r>
        <w:rPr>
          <w:rFonts w:ascii="宋体" w:hAnsi="宋体" w:cs="宋体" w:eastAsia="宋体" w:hint="default"/>
          <w:w w:val="100"/>
        </w:rPr>
        <w:t> </w:t>
      </w:r>
    </w:p>
    <w:p>
      <w:pPr>
        <w:pStyle w:val="BodyText"/>
        <w:spacing w:line="272" w:lineRule="exact" w:before="24"/>
        <w:ind w:left="718" w:right="5288"/>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t>关联管理</w:t>
      </w:r>
      <w:r>
        <w:rPr>
          <w:rFonts w:ascii="宋体" w:hAnsi="宋体" w:cs="宋体" w:eastAsia="宋体" w:hint="default"/>
        </w:rPr>
        <w:t>/</w:t>
      </w:r>
      <w:r>
        <w:rPr/>
        <w:t>出包情况说明</w:t>
      </w:r>
      <w:r>
        <w:rPr>
          <w:rFonts w:ascii="宋体" w:hAnsi="宋体" w:cs="宋体" w:eastAsia="宋体" w:hint="default"/>
        </w:rPr>
        <w:t> </w:t>
      </w:r>
    </w:p>
    <w:p>
      <w:pPr>
        <w:pStyle w:val="BodyText"/>
        <w:spacing w:line="247" w:lineRule="exact"/>
        <w:ind w:left="71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718" w:right="0"/>
        <w:jc w:val="left"/>
        <w:rPr>
          <w:rFonts w:ascii="宋体" w:hAnsi="宋体" w:cs="宋体" w:eastAsia="宋体" w:hint="default"/>
        </w:rPr>
      </w:pPr>
      <w:r>
        <w:rPr>
          <w:rFonts w:ascii="宋体"/>
          <w:w w:val="100"/>
        </w:rPr>
        <w:t> </w:t>
      </w:r>
    </w:p>
    <w:p>
      <w:pPr>
        <w:spacing w:after="0" w:line="273" w:lineRule="exact"/>
        <w:jc w:val="left"/>
        <w:rPr>
          <w:rFonts w:ascii="宋体" w:hAnsi="宋体" w:cs="宋体" w:eastAsia="宋体" w:hint="default"/>
        </w:rPr>
        <w:sectPr>
          <w:type w:val="continuous"/>
          <w:pgSz w:w="11910" w:h="16840"/>
          <w:pgMar w:top="1580" w:bottom="280" w:left="1080" w:right="1060"/>
        </w:sectPr>
      </w:pPr>
    </w:p>
    <w:p>
      <w:pPr>
        <w:spacing w:line="240" w:lineRule="auto" w:before="12"/>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pgSz w:w="11910" w:h="16840"/>
          <w:pgMar w:header="748" w:footer="974" w:top="1140" w:bottom="1160" w:left="1080" w:right="780"/>
        </w:sectPr>
      </w:pPr>
    </w:p>
    <w:p>
      <w:pPr>
        <w:spacing w:line="292" w:lineRule="auto" w:before="36"/>
        <w:ind w:left="718" w:right="0" w:firstLine="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pacing w:val="-45"/>
          <w:sz w:val="21"/>
          <w:szCs w:val="21"/>
        </w:rPr>
        <w:t> </w:t>
      </w:r>
      <w:r>
        <w:rPr>
          <w:rFonts w:ascii="宋体" w:hAnsi="宋体" w:cs="宋体" w:eastAsia="宋体" w:hint="default"/>
          <w:b/>
          <w:bCs/>
          <w:sz w:val="21"/>
          <w:szCs w:val="21"/>
        </w:rPr>
        <w:t>关联租赁情况</w:t>
      </w:r>
      <w:r>
        <w:rPr>
          <w:rFonts w:ascii="宋体" w:hAnsi="宋体" w:cs="宋体" w:eastAsia="宋体" w:hint="default"/>
          <w:b/>
          <w:bCs/>
          <w:w w:val="99"/>
          <w:sz w:val="21"/>
          <w:szCs w:val="21"/>
        </w:rPr>
        <w:t> </w:t>
      </w:r>
      <w:r>
        <w:rPr>
          <w:rFonts w:ascii="宋体" w:hAnsi="宋体" w:cs="宋体" w:eastAsia="宋体" w:hint="default"/>
          <w:sz w:val="21"/>
          <w:szCs w:val="21"/>
        </w:rPr>
        <w:t>本公司作为出租方：</w:t>
      </w:r>
      <w:r>
        <w:rPr>
          <w:rFonts w:ascii="宋体" w:hAnsi="宋体" w:cs="宋体" w:eastAsia="宋体" w:hint="default"/>
          <w:sz w:val="21"/>
          <w:szCs w:val="21"/>
        </w:rPr>
        <w:t> </w:t>
      </w:r>
    </w:p>
    <w:p>
      <w:pPr>
        <w:pStyle w:val="Heading2"/>
        <w:spacing w:line="258" w:lineRule="exact"/>
        <w:ind w:left="718"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BodyText"/>
        <w:spacing w:line="274" w:lineRule="exact" w:before="4"/>
        <w:ind w:left="718" w:right="0"/>
        <w:jc w:val="left"/>
        <w:rPr>
          <w:rFonts w:ascii="宋体" w:hAnsi="宋体" w:cs="宋体" w:eastAsia="宋体" w:hint="default"/>
        </w:rPr>
      </w:pPr>
      <w:r>
        <w:rPr/>
        <w:t>本公司作为承租方：</w:t>
      </w:r>
      <w:r>
        <w:rPr>
          <w:rFonts w:ascii="宋体" w:hAnsi="宋体" w:cs="宋体" w:eastAsia="宋体" w:hint="default"/>
        </w:rPr>
        <w:t> </w:t>
      </w:r>
    </w:p>
    <w:p>
      <w:pPr>
        <w:pStyle w:val="BodyText"/>
        <w:spacing w:line="274" w:lineRule="exact"/>
        <w:ind w:left="71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spacing w:line="240" w:lineRule="auto"/>
        <w:ind w:left="718" w:right="0"/>
        <w:jc w:val="left"/>
        <w:rPr>
          <w:rFonts w:ascii="宋体" w:hAnsi="宋体" w:cs="宋体" w:eastAsia="宋体" w:hint="default"/>
        </w:rPr>
      </w:pPr>
      <w:r>
        <w:rPr/>
        <w:t>单位：元币种：人民币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580" w:bottom="280" w:left="1080" w:right="780"/>
          <w:cols w:num="2" w:equalWidth="0">
            <w:col w:w="2759" w:space="3974"/>
            <w:col w:w="3317"/>
          </w:cols>
        </w:sectPr>
      </w:pPr>
    </w:p>
    <w:p>
      <w:pPr>
        <w:spacing w:line="240" w:lineRule="auto" w:before="4"/>
        <w:rPr>
          <w:rFonts w:ascii="宋体" w:hAnsi="宋体" w:cs="宋体" w:eastAsia="宋体" w:hint="default"/>
          <w:sz w:val="2"/>
          <w:szCs w:val="2"/>
        </w:rPr>
      </w:pPr>
    </w:p>
    <w:tbl>
      <w:tblPr>
        <w:tblW w:w="0" w:type="auto"/>
        <w:jc w:val="left"/>
        <w:tblInd w:w="110" w:type="dxa"/>
        <w:tblLayout w:type="fixed"/>
        <w:tblCellMar>
          <w:top w:w="0" w:type="dxa"/>
          <w:left w:w="0" w:type="dxa"/>
          <w:bottom w:w="0" w:type="dxa"/>
          <w:right w:w="0" w:type="dxa"/>
        </w:tblCellMar>
        <w:tblLook w:val="01E0"/>
      </w:tblPr>
      <w:tblGrid>
        <w:gridCol w:w="3145"/>
        <w:gridCol w:w="1200"/>
        <w:gridCol w:w="2463"/>
        <w:gridCol w:w="2665"/>
      </w:tblGrid>
      <w:tr>
        <w:trPr>
          <w:trHeight w:val="557"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9" w:right="0"/>
              <w:jc w:val="left"/>
              <w:rPr>
                <w:rFonts w:ascii="宋体" w:hAnsi="宋体" w:cs="宋体" w:eastAsia="宋体" w:hint="default"/>
                <w:sz w:val="21"/>
                <w:szCs w:val="21"/>
              </w:rPr>
            </w:pPr>
            <w:r>
              <w:rPr>
                <w:rFonts w:ascii="宋体" w:hAnsi="宋体" w:cs="宋体" w:eastAsia="宋体" w:hint="default"/>
                <w:sz w:val="21"/>
                <w:szCs w:val="21"/>
              </w:rPr>
              <w:t>出租方名称</w:t>
            </w:r>
            <w:r>
              <w:rPr>
                <w:rFonts w:ascii="宋体" w:hAnsi="宋体" w:cs="宋体" w:eastAsia="宋体" w:hint="default"/>
                <w:sz w:val="21"/>
                <w:szCs w:val="21"/>
              </w:rPr>
              <w:t> </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租赁资产种</w:t>
            </w:r>
          </w:p>
          <w:p>
            <w:pPr>
              <w:pStyle w:val="TableParagraph"/>
              <w:spacing w:line="273" w:lineRule="exact"/>
              <w:ind w:left="100" w:right="0"/>
              <w:jc w:val="center"/>
              <w:rPr>
                <w:rFonts w:ascii="宋体" w:hAnsi="宋体" w:cs="宋体" w:eastAsia="宋体" w:hint="default"/>
                <w:sz w:val="21"/>
                <w:szCs w:val="21"/>
              </w:rPr>
            </w:pPr>
            <w:r>
              <w:rPr>
                <w:rFonts w:ascii="宋体" w:hAnsi="宋体" w:cs="宋体" w:eastAsia="宋体" w:hint="default"/>
                <w:sz w:val="21"/>
                <w:szCs w:val="21"/>
              </w:rPr>
              <w:t>类</w:t>
            </w:r>
            <w:r>
              <w:rPr>
                <w:rFonts w:ascii="宋体" w:hAnsi="宋体" w:cs="宋体" w:eastAsia="宋体" w:hint="default"/>
                <w:sz w:val="21"/>
                <w:szCs w:val="21"/>
              </w:rPr>
              <w:t> </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83" w:right="0"/>
              <w:jc w:val="left"/>
              <w:rPr>
                <w:rFonts w:ascii="宋体" w:hAnsi="宋体" w:cs="宋体" w:eastAsia="宋体" w:hint="default"/>
                <w:sz w:val="21"/>
                <w:szCs w:val="21"/>
              </w:rPr>
            </w:pPr>
            <w:r>
              <w:rPr>
                <w:rFonts w:ascii="宋体" w:hAnsi="宋体" w:cs="宋体" w:eastAsia="宋体" w:hint="default"/>
                <w:sz w:val="21"/>
                <w:szCs w:val="21"/>
              </w:rPr>
              <w:t>本期确认的租赁费</w:t>
            </w:r>
            <w:r>
              <w:rPr>
                <w:rFonts w:ascii="宋体" w:hAnsi="宋体" w:cs="宋体" w:eastAsia="宋体" w:hint="default"/>
                <w:sz w:val="21"/>
                <w:szCs w:val="21"/>
              </w:rPr>
              <w:t> </w:t>
            </w:r>
          </w:p>
        </w:tc>
        <w:tc>
          <w:tcPr>
            <w:tcW w:w="2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84" w:right="0"/>
              <w:jc w:val="left"/>
              <w:rPr>
                <w:rFonts w:ascii="宋体" w:hAnsi="宋体" w:cs="宋体" w:eastAsia="宋体" w:hint="default"/>
                <w:sz w:val="21"/>
                <w:szCs w:val="21"/>
              </w:rPr>
            </w:pPr>
            <w:r>
              <w:rPr>
                <w:rFonts w:ascii="宋体" w:hAnsi="宋体" w:cs="宋体" w:eastAsia="宋体" w:hint="default"/>
                <w:sz w:val="21"/>
                <w:szCs w:val="21"/>
              </w:rPr>
              <w:t>上期确认的租赁费</w:t>
            </w:r>
            <w:r>
              <w:rPr>
                <w:rFonts w:ascii="宋体" w:hAnsi="宋体" w:cs="宋体" w:eastAsia="宋体" w:hint="default"/>
                <w:sz w:val="21"/>
                <w:szCs w:val="21"/>
              </w:rPr>
              <w:t> </w:t>
            </w:r>
          </w:p>
        </w:tc>
      </w:tr>
      <w:tr>
        <w:trPr>
          <w:trHeight w:val="281"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启东华虹电子有限公司</w:t>
            </w:r>
            <w:r>
              <w:rPr>
                <w:rFonts w:ascii="宋体" w:hAnsi="宋体" w:cs="宋体" w:eastAsia="宋体" w:hint="default"/>
                <w:sz w:val="21"/>
                <w:szCs w:val="21"/>
              </w:rPr>
              <w:t> </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办公场所</w:t>
            </w:r>
            <w:r>
              <w:rPr>
                <w:rFonts w:ascii="宋体" w:hAnsi="宋体" w:cs="宋体" w:eastAsia="宋体" w:hint="default"/>
                <w:sz w:val="21"/>
                <w:szCs w:val="21"/>
              </w:rPr>
              <w:t> </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2,600,000.00</w:t>
            </w:r>
          </w:p>
        </w:tc>
        <w:tc>
          <w:tcPr>
            <w:tcW w:w="26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2,600,000.00</w:t>
            </w:r>
          </w:p>
        </w:tc>
      </w:tr>
      <w:tr>
        <w:trPr>
          <w:trHeight w:val="283"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启东华虹电子有限公司</w:t>
            </w:r>
            <w:r>
              <w:rPr>
                <w:rFonts w:ascii="宋体" w:hAnsi="宋体" w:cs="宋体" w:eastAsia="宋体" w:hint="default"/>
                <w:sz w:val="21"/>
                <w:szCs w:val="21"/>
              </w:rPr>
              <w:t> </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员工宿舍</w:t>
            </w:r>
            <w:r>
              <w:rPr>
                <w:rFonts w:ascii="宋体" w:hAnsi="宋体" w:cs="宋体" w:eastAsia="宋体" w:hint="default"/>
                <w:sz w:val="21"/>
                <w:szCs w:val="21"/>
              </w:rPr>
              <w:t> </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1,326,000.00</w:t>
            </w:r>
          </w:p>
        </w:tc>
        <w:tc>
          <w:tcPr>
            <w:tcW w:w="26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1,056,000.00</w:t>
            </w:r>
          </w:p>
        </w:tc>
      </w:tr>
      <w:tr>
        <w:trPr>
          <w:trHeight w:val="283"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江苏华源仪器仪表有限公司</w:t>
            </w:r>
            <w:r>
              <w:rPr>
                <w:rFonts w:ascii="宋体" w:hAnsi="宋体" w:cs="宋体" w:eastAsia="宋体" w:hint="default"/>
                <w:sz w:val="21"/>
                <w:szCs w:val="21"/>
              </w:rPr>
              <w:t> </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办公场所</w:t>
            </w:r>
            <w:r>
              <w:rPr>
                <w:rFonts w:ascii="宋体" w:hAnsi="宋体" w:cs="宋体" w:eastAsia="宋体" w:hint="default"/>
                <w:sz w:val="21"/>
                <w:szCs w:val="21"/>
              </w:rPr>
              <w:t> </w:t>
            </w:r>
          </w:p>
        </w:tc>
        <w:tc>
          <w:tcPr>
            <w:tcW w:w="2463" w:type="dxa"/>
            <w:tcBorders>
              <w:top w:val="single" w:sz="4" w:space="0" w:color="000000"/>
              <w:left w:val="single" w:sz="4" w:space="0" w:color="000000"/>
              <w:bottom w:val="single" w:sz="4" w:space="0" w:color="000000"/>
              <w:right w:val="single" w:sz="4" w:space="0" w:color="000000"/>
            </w:tcBorders>
          </w:tcPr>
          <w:p>
            <w:pPr/>
          </w:p>
        </w:tc>
        <w:tc>
          <w:tcPr>
            <w:tcW w:w="26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472,000.00</w:t>
            </w:r>
          </w:p>
        </w:tc>
      </w:tr>
    </w:tbl>
    <w:p>
      <w:pPr>
        <w:spacing w:after="0" w:line="241" w:lineRule="exact"/>
        <w:jc w:val="right"/>
        <w:rPr>
          <w:rFonts w:ascii="宋体" w:hAnsi="宋体" w:cs="宋体" w:eastAsia="宋体" w:hint="default"/>
          <w:sz w:val="21"/>
          <w:szCs w:val="21"/>
        </w:rPr>
        <w:sectPr>
          <w:type w:val="continuous"/>
          <w:pgSz w:w="11910" w:h="16840"/>
          <w:pgMar w:top="1580" w:bottom="280" w:left="1080" w:right="780"/>
        </w:sectPr>
      </w:pPr>
    </w:p>
    <w:p>
      <w:pPr>
        <w:pStyle w:val="Heading2"/>
        <w:spacing w:line="274" w:lineRule="exact"/>
        <w:ind w:left="718" w:right="0"/>
        <w:jc w:val="left"/>
        <w:rPr>
          <w:rFonts w:ascii="宋体" w:hAnsi="宋体" w:cs="宋体" w:eastAsia="宋体" w:hint="default"/>
        </w:rPr>
      </w:pPr>
      <w:r>
        <w:rPr>
          <w:rFonts w:ascii="宋体"/>
        </w:rPr>
        <w:t> </w:t>
      </w:r>
    </w:p>
    <w:p>
      <w:pPr>
        <w:pStyle w:val="BodyText"/>
        <w:spacing w:line="275" w:lineRule="exact" w:before="1"/>
        <w:ind w:left="718" w:right="0"/>
        <w:jc w:val="left"/>
        <w:rPr>
          <w:rFonts w:ascii="宋体" w:hAnsi="宋体" w:cs="宋体" w:eastAsia="宋体" w:hint="default"/>
        </w:rPr>
      </w:pPr>
      <w:r>
        <w:rPr/>
        <w:t>关联租赁情况说明</w:t>
      </w:r>
      <w:r>
        <w:rPr>
          <w:rFonts w:ascii="宋体" w:hAnsi="宋体" w:cs="宋体" w:eastAsia="宋体" w:hint="default"/>
        </w:rPr>
        <w:t> </w:t>
      </w:r>
    </w:p>
    <w:p>
      <w:pPr>
        <w:pStyle w:val="BodyText"/>
        <w:spacing w:line="270" w:lineRule="exact"/>
        <w:ind w:left="71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2"/>
        <w:spacing w:line="309" w:lineRule="exact"/>
        <w:ind w:left="718" w:right="0"/>
        <w:jc w:val="left"/>
        <w:rPr>
          <w:rFonts w:ascii="宋体" w:hAnsi="宋体" w:cs="宋体" w:eastAsia="宋体" w:hint="default"/>
        </w:rPr>
      </w:pPr>
      <w:r>
        <w:rPr>
          <w:rFonts w:ascii="宋体"/>
        </w:rPr>
        <w:t> </w:t>
      </w:r>
    </w:p>
    <w:p>
      <w:pPr>
        <w:pStyle w:val="Heading3"/>
        <w:spacing w:line="240" w:lineRule="auto" w:before="64"/>
        <w:ind w:left="718" w:right="0"/>
        <w:jc w:val="left"/>
        <w:rPr>
          <w:rFonts w:ascii="宋体" w:hAnsi="宋体" w:cs="宋体" w:eastAsia="宋体" w:hint="default"/>
          <w:b w:val="0"/>
          <w:bCs w:val="0"/>
        </w:rPr>
      </w:pPr>
      <w:r>
        <w:rPr>
          <w:rFonts w:ascii="宋体" w:hAnsi="宋体" w:cs="宋体" w:eastAsia="宋体" w:hint="default"/>
        </w:rPr>
        <w:t>(4).</w:t>
      </w:r>
      <w:r>
        <w:rPr>
          <w:rFonts w:ascii="宋体" w:hAnsi="宋体" w:cs="宋体" w:eastAsia="宋体" w:hint="default"/>
          <w:spacing w:val="-46"/>
        </w:rPr>
        <w:t> </w:t>
      </w:r>
      <w:r>
        <w:rPr/>
        <w:t>关联担保情况</w:t>
      </w:r>
      <w:r>
        <w:rPr>
          <w:rFonts w:ascii="宋体" w:hAnsi="宋体" w:cs="宋体" w:eastAsia="宋体" w:hint="default"/>
          <w:w w:val="99"/>
        </w:rPr>
        <w:t> </w:t>
      </w:r>
      <w:r>
        <w:rPr>
          <w:rFonts w:ascii="宋体" w:hAnsi="宋体" w:cs="宋体" w:eastAsia="宋体" w:hint="default"/>
          <w:b w:val="0"/>
          <w:bCs w:val="0"/>
        </w:rPr>
      </w:r>
    </w:p>
    <w:p>
      <w:pPr>
        <w:pStyle w:val="Heading2"/>
        <w:spacing w:line="312" w:lineRule="exact" w:before="52"/>
        <w:ind w:left="718" w:right="0"/>
        <w:jc w:val="left"/>
        <w:rPr>
          <w:rFonts w:ascii="宋体" w:hAnsi="宋体" w:cs="宋体" w:eastAsia="宋体" w:hint="default"/>
        </w:rPr>
      </w:pPr>
      <w:r>
        <w:rPr/>
        <w:t>本公司作为担保方</w:t>
      </w:r>
      <w:r>
        <w:rPr>
          <w:rFonts w:ascii="宋体" w:hAnsi="宋体" w:cs="宋体" w:eastAsia="宋体" w:hint="default"/>
        </w:rPr>
        <w:t> </w:t>
      </w:r>
    </w:p>
    <w:p>
      <w:pPr>
        <w:pStyle w:val="Heading2"/>
        <w:spacing w:line="312" w:lineRule="exact"/>
        <w:ind w:left="718"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BodyText"/>
        <w:spacing w:line="273" w:lineRule="exact" w:before="4"/>
        <w:ind w:left="718" w:right="0"/>
        <w:jc w:val="left"/>
      </w:pPr>
      <w:r>
        <w:rPr/>
        <w:t>本公司作为被担保方</w:t>
      </w:r>
    </w:p>
    <w:p>
      <w:pPr>
        <w:pStyle w:val="BodyText"/>
        <w:spacing w:line="273" w:lineRule="exact"/>
        <w:ind w:left="71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5"/>
          <w:szCs w:val="25"/>
        </w:rPr>
      </w:pPr>
    </w:p>
    <w:p>
      <w:pPr>
        <w:pStyle w:val="BodyText"/>
        <w:spacing w:line="240" w:lineRule="auto"/>
        <w:ind w:left="718" w:right="0"/>
        <w:jc w:val="left"/>
      </w:pPr>
      <w:r>
        <w:rPr/>
        <w:t>单位：元币种：人民币</w:t>
      </w:r>
    </w:p>
    <w:p>
      <w:pPr>
        <w:spacing w:after="0" w:line="240" w:lineRule="auto"/>
        <w:jc w:val="left"/>
        <w:sectPr>
          <w:type w:val="continuous"/>
          <w:pgSz w:w="11910" w:h="16840"/>
          <w:pgMar w:top="1580" w:bottom="280" w:left="1080" w:right="780"/>
          <w:cols w:num="2" w:equalWidth="0">
            <w:col w:w="2759" w:space="3974"/>
            <w:col w:w="3317"/>
          </w:cols>
        </w:sectPr>
      </w:pPr>
    </w:p>
    <w:p>
      <w:pPr>
        <w:spacing w:line="240" w:lineRule="auto" w:before="4"/>
        <w:rPr>
          <w:rFonts w:ascii="宋体" w:hAnsi="宋体" w:cs="宋体" w:eastAsia="宋体" w:hint="default"/>
          <w:sz w:val="2"/>
          <w:szCs w:val="2"/>
        </w:rPr>
      </w:pPr>
    </w:p>
    <w:tbl>
      <w:tblPr>
        <w:tblW w:w="0" w:type="auto"/>
        <w:jc w:val="left"/>
        <w:tblInd w:w="110" w:type="dxa"/>
        <w:tblLayout w:type="fixed"/>
        <w:tblCellMar>
          <w:top w:w="0" w:type="dxa"/>
          <w:left w:w="0" w:type="dxa"/>
          <w:bottom w:w="0" w:type="dxa"/>
          <w:right w:w="0" w:type="dxa"/>
        </w:tblCellMar>
        <w:tblLook w:val="01E0"/>
      </w:tblPr>
      <w:tblGrid>
        <w:gridCol w:w="2859"/>
        <w:gridCol w:w="2004"/>
        <w:gridCol w:w="2000"/>
        <w:gridCol w:w="1856"/>
        <w:gridCol w:w="1099"/>
      </w:tblGrid>
      <w:tr>
        <w:trPr>
          <w:trHeight w:val="828" w:hRule="exact"/>
        </w:trPr>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0" w:right="0"/>
              <w:jc w:val="center"/>
              <w:rPr>
                <w:rFonts w:ascii="宋体" w:hAnsi="宋体" w:cs="宋体" w:eastAsia="宋体" w:hint="default"/>
                <w:sz w:val="21"/>
                <w:szCs w:val="21"/>
              </w:rPr>
            </w:pPr>
            <w:r>
              <w:rPr>
                <w:rFonts w:ascii="宋体" w:hAnsi="宋体" w:cs="宋体" w:eastAsia="宋体" w:hint="default"/>
                <w:sz w:val="21"/>
                <w:szCs w:val="21"/>
              </w:rPr>
              <w:t>担保方</w:t>
            </w:r>
            <w:r>
              <w:rPr>
                <w:rFonts w:ascii="宋体" w:hAnsi="宋体" w:cs="宋体" w:eastAsia="宋体" w:hint="default"/>
                <w:sz w:val="21"/>
                <w:szCs w:val="21"/>
              </w:rPr>
              <w:t> </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575" w:right="0"/>
              <w:jc w:val="left"/>
              <w:rPr>
                <w:rFonts w:ascii="宋体" w:hAnsi="宋体" w:cs="宋体" w:eastAsia="宋体" w:hint="default"/>
                <w:sz w:val="21"/>
                <w:szCs w:val="21"/>
              </w:rPr>
            </w:pPr>
            <w:r>
              <w:rPr>
                <w:rFonts w:ascii="宋体" w:hAnsi="宋体" w:cs="宋体" w:eastAsia="宋体" w:hint="default"/>
                <w:sz w:val="21"/>
                <w:szCs w:val="21"/>
              </w:rPr>
              <w:t>担保金额</w:t>
            </w:r>
            <w:r>
              <w:rPr>
                <w:rFonts w:ascii="宋体" w:hAnsi="宋体" w:cs="宋体" w:eastAsia="宋体" w:hint="default"/>
                <w:sz w:val="21"/>
                <w:szCs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468" w:right="0"/>
              <w:jc w:val="left"/>
              <w:rPr>
                <w:rFonts w:ascii="宋体" w:hAnsi="宋体" w:cs="宋体" w:eastAsia="宋体" w:hint="default"/>
                <w:sz w:val="21"/>
                <w:szCs w:val="21"/>
              </w:rPr>
            </w:pPr>
            <w:r>
              <w:rPr>
                <w:rFonts w:ascii="宋体" w:hAnsi="宋体" w:cs="宋体" w:eastAsia="宋体" w:hint="default"/>
                <w:sz w:val="21"/>
                <w:szCs w:val="21"/>
              </w:rPr>
              <w:t>担保起始日</w:t>
            </w:r>
            <w:r>
              <w:rPr>
                <w:rFonts w:ascii="宋体" w:hAnsi="宋体" w:cs="宋体" w:eastAsia="宋体" w:hint="default"/>
                <w:sz w:val="21"/>
                <w:szCs w:val="21"/>
              </w:rPr>
              <w:t> </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98" w:right="0"/>
              <w:jc w:val="left"/>
              <w:rPr>
                <w:rFonts w:ascii="宋体" w:hAnsi="宋体" w:cs="宋体" w:eastAsia="宋体" w:hint="default"/>
                <w:sz w:val="21"/>
                <w:szCs w:val="21"/>
              </w:rPr>
            </w:pPr>
            <w:r>
              <w:rPr>
                <w:rFonts w:ascii="宋体" w:hAnsi="宋体" w:cs="宋体" w:eastAsia="宋体" w:hint="default"/>
                <w:sz w:val="21"/>
                <w:szCs w:val="21"/>
              </w:rPr>
              <w:t>担保到期日</w:t>
            </w:r>
            <w:r>
              <w:rPr>
                <w:rFonts w:ascii="宋体" w:hAnsi="宋体" w:cs="宋体" w:eastAsia="宋体" w:hint="default"/>
                <w:sz w:val="21"/>
                <w:szCs w:val="21"/>
              </w:rPr>
              <w:t> </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4" w:right="0"/>
              <w:jc w:val="left"/>
              <w:rPr>
                <w:rFonts w:ascii="宋体" w:hAnsi="宋体" w:cs="宋体" w:eastAsia="宋体" w:hint="default"/>
                <w:sz w:val="21"/>
                <w:szCs w:val="21"/>
              </w:rPr>
            </w:pPr>
            <w:r>
              <w:rPr>
                <w:rFonts w:ascii="宋体" w:hAnsi="宋体" w:cs="宋体" w:eastAsia="宋体" w:hint="default"/>
                <w:sz w:val="21"/>
                <w:szCs w:val="21"/>
              </w:rPr>
              <w:t>担保是否</w:t>
            </w:r>
          </w:p>
          <w:p>
            <w:pPr>
              <w:pStyle w:val="TableParagraph"/>
              <w:spacing w:line="272" w:lineRule="exact" w:before="27"/>
              <w:ind w:left="335" w:right="120" w:hanging="212"/>
              <w:jc w:val="left"/>
              <w:rPr>
                <w:rFonts w:ascii="宋体" w:hAnsi="宋体" w:cs="宋体" w:eastAsia="宋体" w:hint="default"/>
                <w:sz w:val="21"/>
                <w:szCs w:val="21"/>
              </w:rPr>
            </w:pPr>
            <w:r>
              <w:rPr>
                <w:rFonts w:ascii="宋体" w:hAnsi="宋体" w:cs="宋体" w:eastAsia="宋体" w:hint="default"/>
                <w:sz w:val="21"/>
                <w:szCs w:val="21"/>
              </w:rPr>
              <w:t>已经履行</w:t>
            </w:r>
            <w:r>
              <w:rPr>
                <w:rFonts w:ascii="宋体" w:hAnsi="宋体" w:cs="宋体" w:eastAsia="宋体" w:hint="default"/>
                <w:w w:val="100"/>
                <w:sz w:val="21"/>
                <w:szCs w:val="21"/>
              </w:rPr>
              <w:t> </w:t>
            </w:r>
            <w:r>
              <w:rPr>
                <w:rFonts w:ascii="宋体" w:hAnsi="宋体" w:cs="宋体" w:eastAsia="宋体" w:hint="default"/>
                <w:sz w:val="21"/>
                <w:szCs w:val="21"/>
              </w:rPr>
              <w:t>完毕</w:t>
            </w:r>
            <w:r>
              <w:rPr>
                <w:rFonts w:ascii="宋体" w:hAnsi="宋体" w:cs="宋体" w:eastAsia="宋体" w:hint="default"/>
                <w:sz w:val="21"/>
                <w:szCs w:val="21"/>
              </w:rPr>
              <w:t> </w:t>
            </w:r>
          </w:p>
        </w:tc>
      </w:tr>
      <w:tr>
        <w:trPr>
          <w:trHeight w:val="555" w:hRule="exact"/>
        </w:trPr>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启东华虹电子有限公司、陆永</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华、毛彩虹</w:t>
            </w:r>
            <w:r>
              <w:rPr>
                <w:rFonts w:ascii="宋体" w:hAnsi="宋体" w:cs="宋体" w:eastAsia="宋体" w:hint="default"/>
                <w:sz w:val="21"/>
                <w:szCs w:val="21"/>
              </w:rPr>
              <w:t> </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1"/>
              <w:jc w:val="right"/>
              <w:rPr>
                <w:rFonts w:ascii="宋体" w:hAnsi="宋体" w:cs="宋体" w:eastAsia="宋体" w:hint="default"/>
                <w:sz w:val="21"/>
                <w:szCs w:val="21"/>
              </w:rPr>
            </w:pPr>
            <w:r>
              <w:rPr>
                <w:rFonts w:ascii="宋体"/>
                <w:spacing w:val="-1"/>
                <w:sz w:val="21"/>
              </w:rPr>
              <w:t>225,000,000.00</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6"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6" w:right="0"/>
              <w:jc w:val="lef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r>
      <w:tr>
        <w:trPr>
          <w:trHeight w:val="283" w:hRule="exact"/>
        </w:trPr>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启东市华虹电子有限公司</w:t>
            </w:r>
            <w:r>
              <w:rPr>
                <w:rFonts w:ascii="宋体" w:hAnsi="宋体" w:cs="宋体" w:eastAsia="宋体" w:hint="default"/>
                <w:sz w:val="21"/>
                <w:szCs w:val="21"/>
              </w:rPr>
              <w:t> </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100,000,000.00</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r>
      <w:tr>
        <w:trPr>
          <w:trHeight w:val="281" w:hRule="exact"/>
        </w:trPr>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启东华虹电子有限公司</w:t>
            </w:r>
            <w:r>
              <w:rPr>
                <w:rFonts w:ascii="宋体" w:hAnsi="宋体" w:cs="宋体" w:eastAsia="宋体" w:hint="default"/>
                <w:sz w:val="21"/>
                <w:szCs w:val="21"/>
              </w:rPr>
              <w:t> </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100,000,000.00</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r>
      <w:tr>
        <w:trPr>
          <w:trHeight w:val="283" w:hRule="exact"/>
        </w:trPr>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启东华虹电子有限公司</w:t>
            </w:r>
            <w:r>
              <w:rPr>
                <w:rFonts w:ascii="宋体" w:hAnsi="宋体" w:cs="宋体" w:eastAsia="宋体" w:hint="default"/>
                <w:sz w:val="21"/>
                <w:szCs w:val="21"/>
              </w:rPr>
              <w:t> </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350,000,000.00</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r>
      <w:tr>
        <w:trPr>
          <w:trHeight w:val="283" w:hRule="exact"/>
        </w:trPr>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启东华虹电子有限公司</w:t>
            </w:r>
            <w:r>
              <w:rPr>
                <w:rFonts w:ascii="宋体" w:hAnsi="宋体" w:cs="宋体" w:eastAsia="宋体" w:hint="default"/>
                <w:sz w:val="21"/>
                <w:szCs w:val="21"/>
              </w:rPr>
              <w:t> </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150,000,000.00</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r>
      <w:tr>
        <w:trPr>
          <w:trHeight w:val="554" w:hRule="exact"/>
        </w:trPr>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4" w:right="0"/>
              <w:jc w:val="left"/>
              <w:rPr>
                <w:rFonts w:ascii="宋体" w:hAnsi="宋体" w:cs="宋体" w:eastAsia="宋体" w:hint="default"/>
                <w:sz w:val="21"/>
                <w:szCs w:val="21"/>
              </w:rPr>
            </w:pPr>
            <w:r>
              <w:rPr>
                <w:rFonts w:ascii="宋体" w:hAnsi="宋体" w:cs="宋体" w:eastAsia="宋体" w:hint="default"/>
                <w:sz w:val="21"/>
                <w:szCs w:val="21"/>
              </w:rPr>
              <w:t>启东华虹电子有限公司、陆永</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sz w:val="21"/>
                <w:szCs w:val="21"/>
              </w:rPr>
              <w:t>华</w:t>
            </w:r>
            <w:r>
              <w:rPr>
                <w:rFonts w:ascii="宋体" w:hAnsi="宋体" w:cs="宋体" w:eastAsia="宋体" w:hint="default"/>
                <w:sz w:val="21"/>
                <w:szCs w:val="21"/>
              </w:rPr>
              <w:t> </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宋体" w:hAnsi="宋体" w:cs="宋体" w:eastAsia="宋体" w:hint="default"/>
                <w:sz w:val="21"/>
                <w:szCs w:val="21"/>
              </w:rPr>
            </w:pPr>
            <w:r>
              <w:rPr>
                <w:rFonts w:ascii="宋体"/>
                <w:spacing w:val="-1"/>
                <w:sz w:val="21"/>
              </w:rPr>
              <w:t>265,000,000.00</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r>
      <w:tr>
        <w:trPr>
          <w:trHeight w:val="281" w:hRule="exact"/>
        </w:trPr>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陆永华、毛彩虹</w:t>
            </w:r>
            <w:r>
              <w:rPr>
                <w:rFonts w:ascii="宋体" w:hAnsi="宋体" w:cs="宋体" w:eastAsia="宋体" w:hint="default"/>
                <w:sz w:val="21"/>
                <w:szCs w:val="21"/>
              </w:rPr>
              <w:t> </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150,000,000.00</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r>
      <w:tr>
        <w:trPr>
          <w:trHeight w:val="283" w:hRule="exact"/>
        </w:trPr>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启东华虹电子有限公司</w:t>
            </w:r>
            <w:r>
              <w:rPr>
                <w:rFonts w:ascii="宋体" w:hAnsi="宋体" w:cs="宋体" w:eastAsia="宋体" w:hint="default"/>
                <w:sz w:val="21"/>
                <w:szCs w:val="21"/>
              </w:rPr>
              <w:t> </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200,000,000.00</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r>
      <w:tr>
        <w:trPr>
          <w:trHeight w:val="554" w:hRule="exact"/>
        </w:trPr>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启东华虹电子有限公司、陆永</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华、毛彩虹</w:t>
            </w:r>
            <w:r>
              <w:rPr>
                <w:rFonts w:ascii="宋体" w:hAnsi="宋体" w:cs="宋体" w:eastAsia="宋体" w:hint="default"/>
                <w:sz w:val="21"/>
                <w:szCs w:val="21"/>
              </w:rPr>
              <w:t> </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宋体" w:hAnsi="宋体" w:cs="宋体" w:eastAsia="宋体" w:hint="default"/>
                <w:sz w:val="21"/>
                <w:szCs w:val="21"/>
              </w:rPr>
            </w:pPr>
            <w:r>
              <w:rPr>
                <w:rFonts w:ascii="宋体"/>
                <w:spacing w:val="-1"/>
                <w:sz w:val="21"/>
              </w:rPr>
              <w:t>200,000,000.00</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r>
      <w:tr>
        <w:trPr>
          <w:trHeight w:val="555" w:hRule="exact"/>
        </w:trPr>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启东市华虹电子有限公司、陆</w:t>
            </w:r>
          </w:p>
          <w:p>
            <w:pPr>
              <w:pStyle w:val="TableParagraph"/>
              <w:spacing w:line="275" w:lineRule="exact"/>
              <w:ind w:left="24" w:right="0"/>
              <w:jc w:val="left"/>
              <w:rPr>
                <w:rFonts w:ascii="宋体" w:hAnsi="宋体" w:cs="宋体" w:eastAsia="宋体" w:hint="default"/>
                <w:sz w:val="21"/>
                <w:szCs w:val="21"/>
              </w:rPr>
            </w:pPr>
            <w:r>
              <w:rPr>
                <w:rFonts w:ascii="宋体" w:hAnsi="宋体" w:cs="宋体" w:eastAsia="宋体" w:hint="default"/>
                <w:sz w:val="21"/>
                <w:szCs w:val="21"/>
              </w:rPr>
              <w:t>永华</w:t>
            </w:r>
            <w:r>
              <w:rPr>
                <w:rFonts w:ascii="宋体" w:hAnsi="宋体" w:cs="宋体" w:eastAsia="宋体" w:hint="default"/>
                <w:sz w:val="21"/>
                <w:szCs w:val="21"/>
              </w:rPr>
              <w:t> </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宋体" w:hAnsi="宋体" w:cs="宋体" w:eastAsia="宋体" w:hint="default"/>
                <w:sz w:val="21"/>
                <w:szCs w:val="21"/>
              </w:rPr>
            </w:pPr>
            <w:r>
              <w:rPr>
                <w:rFonts w:ascii="宋体"/>
                <w:spacing w:val="-1"/>
                <w:sz w:val="21"/>
              </w:rPr>
              <w:t>100,000,000.00</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r>
      <w:tr>
        <w:trPr>
          <w:trHeight w:val="554" w:hRule="exact"/>
        </w:trPr>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启东华虹电子有限公司、陆永</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华</w:t>
            </w:r>
            <w:r>
              <w:rPr>
                <w:rFonts w:ascii="宋体" w:hAnsi="宋体" w:cs="宋体" w:eastAsia="宋体" w:hint="default"/>
                <w:sz w:val="21"/>
                <w:szCs w:val="21"/>
              </w:rPr>
              <w:t> </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宋体" w:hAnsi="宋体" w:cs="宋体" w:eastAsia="宋体" w:hint="default"/>
                <w:sz w:val="21"/>
                <w:szCs w:val="21"/>
              </w:rPr>
            </w:pPr>
            <w:r>
              <w:rPr>
                <w:rFonts w:ascii="宋体"/>
                <w:spacing w:val="-1"/>
                <w:sz w:val="21"/>
              </w:rPr>
              <w:t>100,000,000.00</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r>
      <w:tr>
        <w:trPr>
          <w:trHeight w:val="283" w:hRule="exact"/>
        </w:trPr>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启东市华虹电子有限公司</w:t>
            </w:r>
            <w:r>
              <w:rPr>
                <w:rFonts w:ascii="宋体" w:hAnsi="宋体" w:cs="宋体" w:eastAsia="宋体" w:hint="default"/>
                <w:sz w:val="21"/>
                <w:szCs w:val="21"/>
              </w:rPr>
              <w:t> </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50,000,000.00</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r>
      <w:tr>
        <w:trPr>
          <w:trHeight w:val="554" w:hRule="exact"/>
        </w:trPr>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启东市华虹电子有限公司、陆</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永华、毛彩虹</w:t>
            </w:r>
            <w:r>
              <w:rPr>
                <w:rFonts w:ascii="宋体" w:hAnsi="宋体" w:cs="宋体" w:eastAsia="宋体" w:hint="default"/>
                <w:sz w:val="21"/>
                <w:szCs w:val="21"/>
              </w:rPr>
              <w:t> </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宋体" w:hAnsi="宋体" w:cs="宋体" w:eastAsia="宋体" w:hint="default"/>
                <w:sz w:val="21"/>
                <w:szCs w:val="21"/>
              </w:rPr>
            </w:pPr>
            <w:r>
              <w:rPr>
                <w:rFonts w:ascii="宋体"/>
                <w:spacing w:val="-1"/>
                <w:sz w:val="21"/>
              </w:rPr>
              <w:t>20,000,000.00</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2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14</w:t>
            </w:r>
            <w:r>
              <w:rPr>
                <w:rFonts w:ascii="宋体" w:hAnsi="宋体" w:cs="宋体" w:eastAsia="宋体" w:hint="default"/>
                <w:spacing w:val="-52"/>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r>
      <w:tr>
        <w:trPr>
          <w:trHeight w:val="283" w:hRule="exact"/>
        </w:trPr>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陆永华</w:t>
            </w:r>
            <w:r>
              <w:rPr>
                <w:rFonts w:ascii="宋体" w:hAnsi="宋体" w:cs="宋体" w:eastAsia="宋体" w:hint="default"/>
                <w:sz w:val="21"/>
                <w:szCs w:val="21"/>
              </w:rPr>
              <w:t> </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220,000,000.00</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11</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r>
      <w:tr>
        <w:trPr>
          <w:trHeight w:val="554" w:hRule="exact"/>
        </w:trPr>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4" w:right="0"/>
              <w:jc w:val="left"/>
              <w:rPr>
                <w:rFonts w:ascii="宋体" w:hAnsi="宋体" w:cs="宋体" w:eastAsia="宋体" w:hint="default"/>
                <w:sz w:val="21"/>
                <w:szCs w:val="21"/>
              </w:rPr>
            </w:pPr>
            <w:r>
              <w:rPr>
                <w:rFonts w:ascii="宋体" w:hAnsi="宋体" w:cs="宋体" w:eastAsia="宋体" w:hint="default"/>
                <w:sz w:val="21"/>
                <w:szCs w:val="21"/>
              </w:rPr>
              <w:t>启东市华虹电子有限公司、陆</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sz w:val="21"/>
                <w:szCs w:val="21"/>
              </w:rPr>
              <w:t>永华、毛彩虹</w:t>
            </w:r>
            <w:r>
              <w:rPr>
                <w:rFonts w:ascii="宋体" w:hAnsi="宋体" w:cs="宋体" w:eastAsia="宋体" w:hint="default"/>
                <w:sz w:val="21"/>
                <w:szCs w:val="21"/>
              </w:rPr>
              <w:t> </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宋体" w:hAnsi="宋体" w:cs="宋体" w:eastAsia="宋体" w:hint="default"/>
                <w:sz w:val="21"/>
                <w:szCs w:val="21"/>
              </w:rPr>
            </w:pPr>
            <w:r>
              <w:rPr>
                <w:rFonts w:ascii="宋体"/>
                <w:spacing w:val="-1"/>
                <w:sz w:val="21"/>
              </w:rPr>
              <w:t>30,000,000.00</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19</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11</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r>
      <w:tr>
        <w:trPr>
          <w:trHeight w:val="283" w:hRule="exact"/>
        </w:trPr>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启东市华虹电子有限公司</w:t>
            </w:r>
            <w:r>
              <w:rPr>
                <w:rFonts w:ascii="宋体" w:hAnsi="宋体" w:cs="宋体" w:eastAsia="宋体" w:hint="default"/>
                <w:sz w:val="21"/>
                <w:szCs w:val="21"/>
              </w:rPr>
              <w:t> </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50,000,000.00</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r>
      <w:tr>
        <w:trPr>
          <w:trHeight w:val="281" w:hRule="exact"/>
        </w:trPr>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陆永华、启东市华虹电子有限</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600,000,000.00</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r>
    </w:tbl>
    <w:p>
      <w:pPr>
        <w:spacing w:after="0" w:line="241" w:lineRule="exact"/>
        <w:jc w:val="left"/>
        <w:rPr>
          <w:rFonts w:ascii="宋体" w:hAnsi="宋体" w:cs="宋体" w:eastAsia="宋体" w:hint="default"/>
          <w:sz w:val="21"/>
          <w:szCs w:val="21"/>
        </w:rPr>
        <w:sectPr>
          <w:type w:val="continuous"/>
          <w:pgSz w:w="11910" w:h="16840"/>
          <w:pgMar w:top="1580" w:bottom="280" w:left="1080" w:right="780"/>
        </w:sectPr>
      </w:pPr>
    </w:p>
    <w:p>
      <w:pPr>
        <w:spacing w:line="240" w:lineRule="auto" w:before="4"/>
        <w:rPr>
          <w:rFonts w:ascii="宋体" w:hAnsi="宋体" w:cs="宋体" w:eastAsia="宋体" w:hint="default"/>
          <w:sz w:val="29"/>
          <w:szCs w:val="29"/>
        </w:rPr>
      </w:pPr>
    </w:p>
    <w:tbl>
      <w:tblPr>
        <w:tblW w:w="0" w:type="auto"/>
        <w:jc w:val="left"/>
        <w:tblInd w:w="110" w:type="dxa"/>
        <w:tblLayout w:type="fixed"/>
        <w:tblCellMar>
          <w:top w:w="0" w:type="dxa"/>
          <w:left w:w="0" w:type="dxa"/>
          <w:bottom w:w="0" w:type="dxa"/>
          <w:right w:w="0" w:type="dxa"/>
        </w:tblCellMar>
        <w:tblLook w:val="01E0"/>
      </w:tblPr>
      <w:tblGrid>
        <w:gridCol w:w="2859"/>
        <w:gridCol w:w="2004"/>
        <w:gridCol w:w="2000"/>
        <w:gridCol w:w="1856"/>
        <w:gridCol w:w="1099"/>
      </w:tblGrid>
      <w:tr>
        <w:trPr>
          <w:trHeight w:val="284" w:hRule="exact"/>
        </w:trPr>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z w:val="21"/>
                <w:szCs w:val="21"/>
              </w:rPr>
              <w:t> </w:t>
            </w:r>
          </w:p>
        </w:tc>
        <w:tc>
          <w:tcPr>
            <w:tcW w:w="2004" w:type="dxa"/>
            <w:tcBorders>
              <w:top w:val="single" w:sz="4" w:space="0" w:color="000000"/>
              <w:left w:val="single" w:sz="4" w:space="0" w:color="000000"/>
              <w:bottom w:val="single" w:sz="4" w:space="0" w:color="000000"/>
              <w:right w:val="single" w:sz="4" w:space="0" w:color="000000"/>
            </w:tcBorders>
          </w:tcPr>
          <w:p>
            <w:pPr/>
          </w:p>
        </w:tc>
        <w:tc>
          <w:tcPr>
            <w:tcW w:w="2000" w:type="dxa"/>
            <w:tcBorders>
              <w:top w:val="single" w:sz="4" w:space="0" w:color="000000"/>
              <w:left w:val="single" w:sz="4" w:space="0" w:color="000000"/>
              <w:bottom w:val="single" w:sz="4" w:space="0" w:color="000000"/>
              <w:right w:val="single" w:sz="4" w:space="0" w:color="000000"/>
            </w:tcBorders>
          </w:tcPr>
          <w:p>
            <w:pPr/>
          </w:p>
        </w:tc>
        <w:tc>
          <w:tcPr>
            <w:tcW w:w="1856"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启东市华虹电子有限公司</w:t>
            </w:r>
            <w:r>
              <w:rPr>
                <w:rFonts w:ascii="宋体" w:hAnsi="宋体" w:cs="宋体" w:eastAsia="宋体" w:hint="default"/>
                <w:sz w:val="21"/>
                <w:szCs w:val="21"/>
              </w:rPr>
              <w:t> </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22,500,000.00</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28</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2020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281" w:hRule="exact"/>
        </w:trPr>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启东华虹电子有限公司</w:t>
            </w:r>
            <w:r>
              <w:rPr>
                <w:rFonts w:ascii="宋体" w:hAnsi="宋体" w:cs="宋体" w:eastAsia="宋体" w:hint="default"/>
                <w:sz w:val="21"/>
                <w:szCs w:val="21"/>
              </w:rPr>
              <w:t> </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329,250,000.00</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2020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828" w:hRule="exact"/>
        </w:trPr>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江苏林洋能源股份有限公司、</w:t>
            </w:r>
          </w:p>
          <w:p>
            <w:pPr>
              <w:pStyle w:val="TableParagraph"/>
              <w:spacing w:line="272" w:lineRule="exact" w:before="26"/>
              <w:ind w:left="24" w:right="89"/>
              <w:jc w:val="left"/>
              <w:rPr>
                <w:rFonts w:ascii="宋体" w:hAnsi="宋体" w:cs="宋体" w:eastAsia="宋体" w:hint="default"/>
                <w:sz w:val="21"/>
                <w:szCs w:val="21"/>
              </w:rPr>
            </w:pPr>
            <w:r>
              <w:rPr>
                <w:rFonts w:ascii="宋体" w:hAnsi="宋体" w:cs="宋体" w:eastAsia="宋体" w:hint="default"/>
                <w:spacing w:val="-2"/>
                <w:sz w:val="21"/>
                <w:szCs w:val="21"/>
              </w:rPr>
              <w:t>江苏林洋光伏科技有限公司、</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陆永华</w:t>
            </w:r>
            <w:r>
              <w:rPr>
                <w:rFonts w:ascii="宋体" w:hAnsi="宋体" w:cs="宋体" w:eastAsia="宋体" w:hint="default"/>
                <w:sz w:val="21"/>
                <w:szCs w:val="21"/>
              </w:rPr>
              <w:t> </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1"/>
              <w:jc w:val="right"/>
              <w:rPr>
                <w:rFonts w:ascii="宋体" w:hAnsi="宋体" w:cs="宋体" w:eastAsia="宋体" w:hint="default"/>
                <w:sz w:val="21"/>
                <w:szCs w:val="21"/>
              </w:rPr>
            </w:pPr>
            <w:r>
              <w:rPr>
                <w:rFonts w:ascii="宋体"/>
                <w:spacing w:val="-1"/>
                <w:sz w:val="21"/>
              </w:rPr>
              <w:t>USD50,000,000</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6" w:right="0"/>
              <w:jc w:val="left"/>
              <w:rPr>
                <w:rFonts w:ascii="宋体" w:hAnsi="宋体" w:cs="宋体" w:eastAsia="宋体" w:hint="default"/>
                <w:sz w:val="21"/>
                <w:szCs w:val="21"/>
              </w:rPr>
            </w:pPr>
            <w:r>
              <w:rPr>
                <w:rFonts w:ascii="宋体" w:hAnsi="宋体" w:cs="宋体" w:eastAsia="宋体" w:hint="default"/>
                <w:sz w:val="21"/>
                <w:szCs w:val="21"/>
              </w:rPr>
              <w:t>2020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6"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283" w:hRule="exact"/>
        </w:trPr>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启东市华虹电子有限公司</w:t>
            </w:r>
            <w:r>
              <w:rPr>
                <w:rFonts w:ascii="宋体" w:hAnsi="宋体" w:cs="宋体" w:eastAsia="宋体" w:hint="default"/>
                <w:sz w:val="21"/>
                <w:szCs w:val="21"/>
              </w:rPr>
              <w:t> </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50,000,000.00</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18</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2020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17</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281" w:hRule="exact"/>
        </w:trPr>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陆永华、毛彩虹</w:t>
            </w:r>
            <w:r>
              <w:rPr>
                <w:rFonts w:ascii="宋体" w:hAnsi="宋体" w:cs="宋体" w:eastAsia="宋体" w:hint="default"/>
                <w:sz w:val="21"/>
                <w:szCs w:val="21"/>
              </w:rPr>
              <w:t> </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250,000,000.00</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21</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2020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20</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283" w:hRule="exact"/>
        </w:trPr>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启东市华虹电子有限公司</w:t>
            </w:r>
            <w:r>
              <w:rPr>
                <w:rFonts w:ascii="宋体" w:hAnsi="宋体" w:cs="宋体" w:eastAsia="宋体" w:hint="default"/>
                <w:sz w:val="21"/>
                <w:szCs w:val="21"/>
              </w:rPr>
              <w:t> </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50,000,000.00</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27</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2020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25</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283" w:hRule="exact"/>
        </w:trPr>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陆永华</w:t>
            </w:r>
            <w:r>
              <w:rPr>
                <w:rFonts w:ascii="宋体" w:hAnsi="宋体" w:cs="宋体" w:eastAsia="宋体" w:hint="default"/>
                <w:sz w:val="21"/>
                <w:szCs w:val="21"/>
              </w:rPr>
              <w:t> </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30,000,000.00</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27</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2020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26</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281" w:hRule="exact"/>
        </w:trPr>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启东市华虹电子有限公司</w:t>
            </w:r>
            <w:r>
              <w:rPr>
                <w:rFonts w:ascii="宋体" w:hAnsi="宋体" w:cs="宋体" w:eastAsia="宋体" w:hint="default"/>
                <w:sz w:val="21"/>
                <w:szCs w:val="21"/>
              </w:rPr>
              <w:t> </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40,000,000.00</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25</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2020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15</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554" w:hRule="exact"/>
        </w:trPr>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启东市华虹电子有限公司、陆</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永华、毛彩虹</w:t>
            </w:r>
            <w:r>
              <w:rPr>
                <w:rFonts w:ascii="宋体" w:hAnsi="宋体" w:cs="宋体" w:eastAsia="宋体" w:hint="default"/>
                <w:sz w:val="21"/>
                <w:szCs w:val="21"/>
              </w:rPr>
              <w:t> </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宋体" w:hAnsi="宋体" w:cs="宋体" w:eastAsia="宋体" w:hint="default"/>
                <w:sz w:val="21"/>
                <w:szCs w:val="21"/>
              </w:rPr>
            </w:pPr>
            <w:r>
              <w:rPr>
                <w:rFonts w:ascii="宋体"/>
                <w:spacing w:val="-1"/>
                <w:sz w:val="21"/>
              </w:rPr>
              <w:t>150,000,000.00</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27</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2020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26</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555" w:hRule="exact"/>
        </w:trPr>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启东市华虹电子有限公司、陆</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永华</w:t>
            </w:r>
            <w:r>
              <w:rPr>
                <w:rFonts w:ascii="宋体" w:hAnsi="宋体" w:cs="宋体" w:eastAsia="宋体" w:hint="default"/>
                <w:sz w:val="21"/>
                <w:szCs w:val="21"/>
              </w:rPr>
              <w:t> </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1"/>
              <w:jc w:val="right"/>
              <w:rPr>
                <w:rFonts w:ascii="宋体" w:hAnsi="宋体" w:cs="宋体" w:eastAsia="宋体" w:hint="default"/>
                <w:sz w:val="21"/>
                <w:szCs w:val="21"/>
              </w:rPr>
            </w:pPr>
            <w:r>
              <w:rPr>
                <w:rFonts w:ascii="宋体"/>
                <w:spacing w:val="-1"/>
                <w:sz w:val="21"/>
              </w:rPr>
              <w:t>200,000,000.00</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3"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26</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6" w:right="0"/>
              <w:jc w:val="left"/>
              <w:rPr>
                <w:rFonts w:ascii="宋体" w:hAnsi="宋体" w:cs="宋体" w:eastAsia="宋体" w:hint="default"/>
                <w:sz w:val="21"/>
                <w:szCs w:val="21"/>
              </w:rPr>
            </w:pPr>
            <w:r>
              <w:rPr>
                <w:rFonts w:ascii="宋体" w:hAnsi="宋体" w:cs="宋体" w:eastAsia="宋体" w:hint="default"/>
                <w:sz w:val="21"/>
                <w:szCs w:val="21"/>
              </w:rPr>
              <w:t>2020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25</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6"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557" w:hRule="exact"/>
        </w:trPr>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启东市华虹电子有限公司、陆</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sz w:val="21"/>
                <w:szCs w:val="21"/>
              </w:rPr>
              <w:t>永华、毛彩虹</w:t>
            </w:r>
            <w:r>
              <w:rPr>
                <w:rFonts w:ascii="宋体" w:hAnsi="宋体" w:cs="宋体" w:eastAsia="宋体" w:hint="default"/>
                <w:sz w:val="21"/>
                <w:szCs w:val="21"/>
              </w:rPr>
              <w:t> </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宋体" w:hAnsi="宋体" w:cs="宋体" w:eastAsia="宋体" w:hint="default"/>
                <w:sz w:val="21"/>
                <w:szCs w:val="21"/>
              </w:rPr>
            </w:pPr>
            <w:r>
              <w:rPr>
                <w:rFonts w:ascii="宋体"/>
                <w:spacing w:val="-1"/>
                <w:sz w:val="21"/>
              </w:rPr>
              <w:t>200,000,000.00</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2020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554" w:hRule="exact"/>
        </w:trPr>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4" w:right="0"/>
              <w:jc w:val="left"/>
              <w:rPr>
                <w:rFonts w:ascii="宋体" w:hAnsi="宋体" w:cs="宋体" w:eastAsia="宋体" w:hint="default"/>
                <w:sz w:val="21"/>
                <w:szCs w:val="21"/>
              </w:rPr>
            </w:pPr>
            <w:r>
              <w:rPr>
                <w:rFonts w:ascii="宋体" w:hAnsi="宋体" w:cs="宋体" w:eastAsia="宋体" w:hint="default"/>
                <w:sz w:val="21"/>
                <w:szCs w:val="21"/>
              </w:rPr>
              <w:t>陆永华、江苏林洋光伏科技有</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sz w:val="21"/>
                <w:szCs w:val="21"/>
              </w:rPr>
              <w:t>限公司</w:t>
            </w:r>
            <w:r>
              <w:rPr>
                <w:rFonts w:ascii="宋体" w:hAnsi="宋体" w:cs="宋体" w:eastAsia="宋体" w:hint="default"/>
                <w:sz w:val="21"/>
                <w:szCs w:val="21"/>
              </w:rPr>
              <w:t> </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宋体" w:hAnsi="宋体" w:cs="宋体" w:eastAsia="宋体" w:hint="default"/>
                <w:sz w:val="21"/>
                <w:szCs w:val="21"/>
              </w:rPr>
            </w:pPr>
            <w:r>
              <w:rPr>
                <w:rFonts w:ascii="宋体"/>
                <w:spacing w:val="-1"/>
                <w:sz w:val="21"/>
              </w:rPr>
              <w:t>USD16,000,000</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3"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16</w:t>
            </w:r>
            <w:r>
              <w:rPr>
                <w:rFonts w:ascii="宋体" w:hAnsi="宋体" w:cs="宋体" w:eastAsia="宋体" w:hint="default"/>
                <w:spacing w:val="-52"/>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6" w:right="-20"/>
              <w:jc w:val="left"/>
              <w:rPr>
                <w:rFonts w:ascii="宋体" w:hAnsi="宋体" w:cs="宋体" w:eastAsia="宋体" w:hint="default"/>
                <w:sz w:val="21"/>
                <w:szCs w:val="21"/>
              </w:rPr>
            </w:pPr>
            <w:r>
              <w:rPr>
                <w:rFonts w:ascii="宋体" w:hAnsi="宋体" w:cs="宋体" w:eastAsia="宋体" w:hint="default"/>
                <w:sz w:val="21"/>
                <w:szCs w:val="21"/>
              </w:rPr>
              <w:t>2020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11</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16</w:t>
            </w:r>
            <w:r>
              <w:rPr>
                <w:rFonts w:ascii="宋体" w:hAnsi="宋体" w:cs="宋体" w:eastAsia="宋体" w:hint="default"/>
                <w:spacing w:val="-52"/>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6"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281" w:hRule="exact"/>
        </w:trPr>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启东市华虹电子有限公司</w:t>
            </w:r>
            <w:r>
              <w:rPr>
                <w:rFonts w:ascii="宋体" w:hAnsi="宋体" w:cs="宋体" w:eastAsia="宋体" w:hint="default"/>
                <w:sz w:val="21"/>
                <w:szCs w:val="21"/>
              </w:rPr>
              <w:t> </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135,000,000.00</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26</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2022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283" w:hRule="exact"/>
        </w:trPr>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启东华虹电子有限公司</w:t>
            </w:r>
            <w:r>
              <w:rPr>
                <w:rFonts w:ascii="宋体" w:hAnsi="宋体" w:cs="宋体" w:eastAsia="宋体" w:hint="default"/>
                <w:sz w:val="21"/>
                <w:szCs w:val="21"/>
              </w:rPr>
              <w:t> </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110,000,000.00</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2028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bl>
    <w:p>
      <w:pPr>
        <w:pStyle w:val="Heading2"/>
        <w:spacing w:line="274" w:lineRule="exact"/>
        <w:ind w:left="718" w:right="0"/>
        <w:jc w:val="left"/>
        <w:rPr>
          <w:rFonts w:ascii="宋体" w:hAnsi="宋体" w:cs="宋体" w:eastAsia="宋体" w:hint="default"/>
        </w:rPr>
      </w:pPr>
      <w:r>
        <w:rPr>
          <w:rFonts w:ascii="宋体"/>
        </w:rPr>
        <w:t> </w:t>
      </w:r>
    </w:p>
    <w:p>
      <w:pPr>
        <w:pStyle w:val="BodyText"/>
        <w:spacing w:line="273" w:lineRule="exact" w:before="4"/>
        <w:ind w:left="718" w:right="0"/>
        <w:jc w:val="left"/>
      </w:pPr>
      <w:r>
        <w:rPr/>
        <w:t>关联担保情况说明</w:t>
      </w:r>
    </w:p>
    <w:p>
      <w:pPr>
        <w:pStyle w:val="BodyText"/>
        <w:spacing w:line="273" w:lineRule="exact"/>
        <w:ind w:left="71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rPr>
        <w:t> </w:t>
      </w:r>
    </w:p>
    <w:p>
      <w:pPr>
        <w:spacing w:line="240" w:lineRule="auto" w:before="7"/>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pgSz w:w="11910" w:h="16840"/>
          <w:pgMar w:header="748" w:footer="974" w:top="1140" w:bottom="1160" w:left="1080" w:right="780"/>
        </w:sectPr>
      </w:pPr>
    </w:p>
    <w:p>
      <w:pPr>
        <w:pStyle w:val="Heading3"/>
        <w:spacing w:line="240" w:lineRule="auto" w:before="36"/>
        <w:ind w:left="718" w:right="0"/>
        <w:jc w:val="left"/>
        <w:rPr>
          <w:rFonts w:ascii="宋体" w:hAnsi="宋体" w:cs="宋体" w:eastAsia="宋体" w:hint="default"/>
          <w:b w:val="0"/>
          <w:bCs w:val="0"/>
        </w:rPr>
      </w:pPr>
      <w:r>
        <w:rPr>
          <w:rFonts w:ascii="宋体" w:hAnsi="宋体" w:cs="宋体" w:eastAsia="宋体" w:hint="default"/>
        </w:rPr>
        <w:t>(5).</w:t>
      </w:r>
      <w:r>
        <w:rPr>
          <w:rFonts w:ascii="宋体" w:hAnsi="宋体" w:cs="宋体" w:eastAsia="宋体" w:hint="default"/>
          <w:spacing w:val="-46"/>
        </w:rPr>
        <w:t> </w:t>
      </w:r>
      <w:r>
        <w:rPr/>
        <w:t>关联方资金拆借</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71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240" w:lineRule="auto" w:before="56"/>
        <w:ind w:left="718" w:right="0"/>
        <w:jc w:val="left"/>
        <w:rPr>
          <w:rFonts w:ascii="宋体" w:hAnsi="宋体" w:cs="宋体" w:eastAsia="宋体" w:hint="default"/>
          <w:b w:val="0"/>
          <w:bCs w:val="0"/>
        </w:rPr>
      </w:pPr>
      <w:r>
        <w:rPr>
          <w:rFonts w:ascii="宋体" w:hAnsi="宋体" w:cs="宋体" w:eastAsia="宋体" w:hint="default"/>
        </w:rPr>
        <w:t>(6).</w:t>
      </w:r>
      <w:r>
        <w:rPr>
          <w:rFonts w:ascii="宋体" w:hAnsi="宋体" w:cs="宋体" w:eastAsia="宋体" w:hint="default"/>
          <w:spacing w:val="-46"/>
        </w:rPr>
        <w:t> </w:t>
      </w:r>
      <w:r>
        <w:rPr/>
        <w:t>关联方资产转让、债务重组情况</w:t>
      </w:r>
      <w:r>
        <w:rPr>
          <w:rFonts w:ascii="宋体" w:hAnsi="宋体" w:cs="宋体" w:eastAsia="宋体" w:hint="default"/>
          <w:w w:val="99"/>
        </w:rPr>
        <w:t> </w:t>
      </w:r>
      <w:r>
        <w:rPr>
          <w:rFonts w:ascii="宋体" w:hAnsi="宋体" w:cs="宋体" w:eastAsia="宋体" w:hint="default"/>
          <w:b w:val="0"/>
          <w:bCs w:val="0"/>
        </w:rPr>
      </w:r>
    </w:p>
    <w:p>
      <w:pPr>
        <w:pStyle w:val="Heading2"/>
        <w:spacing w:line="240" w:lineRule="auto" w:before="52"/>
        <w:ind w:left="718"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3"/>
        <w:spacing w:line="240" w:lineRule="auto" w:before="64"/>
        <w:ind w:left="718" w:right="0"/>
        <w:jc w:val="left"/>
        <w:rPr>
          <w:rFonts w:ascii="宋体" w:hAnsi="宋体" w:cs="宋体" w:eastAsia="宋体" w:hint="default"/>
          <w:b w:val="0"/>
          <w:bCs w:val="0"/>
        </w:rPr>
      </w:pPr>
      <w:r>
        <w:rPr>
          <w:rFonts w:ascii="宋体" w:hAnsi="宋体" w:cs="宋体" w:eastAsia="宋体" w:hint="default"/>
        </w:rPr>
        <w:t>(7).</w:t>
      </w:r>
      <w:r>
        <w:rPr>
          <w:rFonts w:ascii="宋体" w:hAnsi="宋体" w:cs="宋体" w:eastAsia="宋体" w:hint="default"/>
          <w:spacing w:val="-44"/>
        </w:rPr>
        <w:t> </w:t>
      </w:r>
      <w:r>
        <w:rPr/>
        <w:t>关键管理人员报酬</w:t>
      </w:r>
      <w:r>
        <w:rPr>
          <w:rFonts w:ascii="宋体" w:hAnsi="宋体" w:cs="宋体" w:eastAsia="宋体" w:hint="default"/>
          <w:w w:val="99"/>
        </w:rPr>
        <w:t> </w:t>
      </w:r>
      <w:r>
        <w:rPr>
          <w:rFonts w:ascii="宋体" w:hAnsi="宋体" w:cs="宋体" w:eastAsia="宋体" w:hint="default"/>
          <w:b w:val="0"/>
          <w:bCs w:val="0"/>
        </w:rPr>
      </w:r>
    </w:p>
    <w:p>
      <w:pPr>
        <w:pStyle w:val="Heading2"/>
        <w:spacing w:line="240" w:lineRule="auto" w:before="50"/>
        <w:ind w:left="718"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6"/>
          <w:szCs w:val="16"/>
        </w:rPr>
      </w:pPr>
    </w:p>
    <w:p>
      <w:pPr>
        <w:pStyle w:val="BodyText"/>
        <w:spacing w:line="240" w:lineRule="auto"/>
        <w:ind w:left="718" w:right="0"/>
        <w:jc w:val="left"/>
      </w:pPr>
      <w:r>
        <w:rPr/>
        <w:t>单位：万元币种：人民币</w:t>
      </w:r>
    </w:p>
    <w:p>
      <w:pPr>
        <w:spacing w:after="0" w:line="240" w:lineRule="auto"/>
        <w:jc w:val="left"/>
        <w:sectPr>
          <w:type w:val="continuous"/>
          <w:pgSz w:w="11910" w:h="16840"/>
          <w:pgMar w:top="1580" w:bottom="280" w:left="1080" w:right="780"/>
          <w:cols w:num="2" w:equalWidth="0">
            <w:col w:w="4262" w:space="2260"/>
            <w:col w:w="3528"/>
          </w:cols>
        </w:sectPr>
      </w:pPr>
    </w:p>
    <w:p>
      <w:pPr>
        <w:spacing w:line="240" w:lineRule="auto" w:before="4"/>
        <w:rPr>
          <w:rFonts w:ascii="宋体" w:hAnsi="宋体" w:cs="宋体" w:eastAsia="宋体" w:hint="default"/>
          <w:sz w:val="2"/>
          <w:szCs w:val="2"/>
        </w:rPr>
      </w:pPr>
    </w:p>
    <w:tbl>
      <w:tblPr>
        <w:tblW w:w="0" w:type="auto"/>
        <w:jc w:val="left"/>
        <w:tblInd w:w="605" w:type="dxa"/>
        <w:tblLayout w:type="fixed"/>
        <w:tblCellMar>
          <w:top w:w="0" w:type="dxa"/>
          <w:left w:w="0" w:type="dxa"/>
          <w:bottom w:w="0" w:type="dxa"/>
          <w:right w:w="0" w:type="dxa"/>
        </w:tblCellMar>
        <w:tblLook w:val="01E0"/>
      </w:tblPr>
      <w:tblGrid>
        <w:gridCol w:w="3274"/>
        <w:gridCol w:w="3274"/>
        <w:gridCol w:w="2501"/>
      </w:tblGrid>
      <w:tr>
        <w:trPr>
          <w:trHeight w:val="283" w:hRule="exact"/>
        </w:trPr>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6"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19"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3" w:hRule="exact"/>
        </w:trPr>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关键管理人员报酬</w:t>
            </w:r>
            <w:r>
              <w:rPr>
                <w:rFonts w:ascii="宋体" w:hAnsi="宋体" w:cs="宋体" w:eastAsia="宋体" w:hint="default"/>
                <w:sz w:val="21"/>
                <w:szCs w:val="21"/>
              </w:rPr>
              <w:t> </w:t>
            </w:r>
          </w:p>
        </w:tc>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849.94</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10" w:h="16840"/>
          <w:pgMar w:top="1580" w:bottom="280" w:left="1080" w:right="780"/>
        </w:sectPr>
      </w:pPr>
    </w:p>
    <w:p>
      <w:pPr>
        <w:pStyle w:val="Heading2"/>
        <w:spacing w:line="274" w:lineRule="exact"/>
        <w:ind w:left="718" w:right="0"/>
        <w:jc w:val="left"/>
        <w:rPr>
          <w:rFonts w:ascii="宋体" w:hAnsi="宋体" w:cs="宋体" w:eastAsia="宋体" w:hint="default"/>
        </w:rPr>
      </w:pPr>
      <w:r>
        <w:rPr>
          <w:rFonts w:ascii="宋体"/>
        </w:rPr>
        <w:t> </w:t>
      </w:r>
    </w:p>
    <w:p>
      <w:pPr>
        <w:pStyle w:val="Heading3"/>
        <w:spacing w:line="240" w:lineRule="auto" w:before="61"/>
        <w:ind w:left="718" w:right="0"/>
        <w:jc w:val="left"/>
        <w:rPr>
          <w:rFonts w:ascii="宋体" w:hAnsi="宋体" w:cs="宋体" w:eastAsia="宋体" w:hint="default"/>
          <w:b w:val="0"/>
          <w:bCs w:val="0"/>
        </w:rPr>
      </w:pPr>
      <w:r>
        <w:rPr>
          <w:rFonts w:ascii="宋体" w:hAnsi="宋体" w:cs="宋体" w:eastAsia="宋体" w:hint="default"/>
        </w:rPr>
        <w:t>(8).</w:t>
      </w:r>
      <w:r>
        <w:rPr>
          <w:rFonts w:ascii="宋体" w:hAnsi="宋体" w:cs="宋体" w:eastAsia="宋体" w:hint="default"/>
          <w:spacing w:val="-46"/>
        </w:rPr>
        <w:t> </w:t>
      </w:r>
      <w:r>
        <w:rPr/>
        <w:t>其他关联交易</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59"/>
        <w:ind w:left="71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718" w:right="0"/>
        <w:jc w:val="left"/>
        <w:rPr>
          <w:rFonts w:ascii="宋体" w:hAnsi="宋体" w:cs="宋体" w:eastAsia="宋体" w:hint="default"/>
        </w:rPr>
      </w:pPr>
      <w:r>
        <w:rPr>
          <w:rFonts w:ascii="宋体"/>
          <w:w w:val="100"/>
        </w:rPr>
        <w:t> </w:t>
      </w:r>
    </w:p>
    <w:p>
      <w:pPr>
        <w:pStyle w:val="Heading3"/>
        <w:spacing w:line="290" w:lineRule="auto" w:before="58"/>
        <w:ind w:left="718" w:right="0"/>
        <w:jc w:val="left"/>
        <w:rPr>
          <w:rFonts w:ascii="宋体" w:hAnsi="宋体" w:cs="宋体" w:eastAsia="宋体" w:hint="default"/>
          <w:b w:val="0"/>
          <w:bCs w:val="0"/>
        </w:rPr>
      </w:pPr>
      <w:r>
        <w:rPr>
          <w:rFonts w:ascii="宋体" w:hAnsi="宋体" w:cs="宋体" w:eastAsia="宋体" w:hint="default"/>
        </w:rPr>
        <w:t>6</w:t>
      </w:r>
      <w:r>
        <w:rPr/>
        <w:t>、</w:t>
      </w:r>
      <w:r>
        <w:rPr>
          <w:spacing w:val="2"/>
        </w:rPr>
        <w:t> </w:t>
      </w:r>
      <w:r>
        <w:rPr/>
        <w:t>关联方应收应付款项</w:t>
      </w:r>
      <w:r>
        <w:rPr>
          <w:rFonts w:ascii="宋体" w:hAnsi="宋体" w:cs="宋体" w:eastAsia="宋体" w:hint="default"/>
          <w:w w:val="99"/>
        </w:rPr>
        <w:t> </w:t>
      </w:r>
      <w:r>
        <w:rPr>
          <w:rFonts w:ascii="宋体" w:hAnsi="宋体" w:cs="宋体" w:eastAsia="宋体" w:hint="default"/>
        </w:rPr>
        <w:t>(1).</w:t>
      </w:r>
      <w:r>
        <w:rPr>
          <w:rFonts w:ascii="宋体" w:hAnsi="宋体" w:cs="宋体" w:eastAsia="宋体" w:hint="default"/>
          <w:spacing w:val="-47"/>
        </w:rPr>
        <w:t> </w:t>
      </w:r>
      <w:r>
        <w:rPr/>
        <w:t>应收项目</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4"/>
        <w:ind w:left="71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8"/>
          <w:szCs w:val="28"/>
        </w:rPr>
      </w:pPr>
    </w:p>
    <w:p>
      <w:pPr>
        <w:pStyle w:val="BodyText"/>
        <w:spacing w:line="240" w:lineRule="auto"/>
        <w:ind w:left="718" w:right="0"/>
        <w:jc w:val="left"/>
        <w:rPr>
          <w:rFonts w:ascii="宋体" w:hAnsi="宋体" w:cs="宋体" w:eastAsia="宋体" w:hint="default"/>
        </w:rPr>
      </w:pPr>
      <w:r>
        <w:rPr/>
        <w:t>单位</w:t>
      </w:r>
      <w:r>
        <w:rPr>
          <w:rFonts w:ascii="宋体" w:hAnsi="宋体" w:cs="宋体" w:eastAsia="宋体" w:hint="default"/>
        </w:rPr>
        <w:t>:</w:t>
      </w:r>
      <w:r>
        <w:rPr/>
        <w:t>元币种</w:t>
      </w:r>
      <w:r>
        <w:rPr>
          <w:rFonts w:ascii="宋体" w:hAnsi="宋体" w:cs="宋体" w:eastAsia="宋体" w:hint="default"/>
        </w:rPr>
        <w:t>:</w:t>
      </w:r>
      <w:r>
        <w:rPr/>
        <w:t>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580" w:bottom="280" w:left="1080" w:right="780"/>
          <w:cols w:num="2" w:equalWidth="0">
            <w:col w:w="3148" w:space="3794"/>
            <w:col w:w="3108"/>
          </w:cols>
        </w:sectPr>
      </w:pPr>
    </w:p>
    <w:p>
      <w:pPr>
        <w:spacing w:line="240" w:lineRule="auto" w:before="7"/>
        <w:rPr>
          <w:rFonts w:ascii="宋体" w:hAnsi="宋体" w:cs="宋体" w:eastAsia="宋体" w:hint="default"/>
          <w:sz w:val="2"/>
          <w:szCs w:val="2"/>
        </w:rPr>
      </w:pPr>
    </w:p>
    <w:tbl>
      <w:tblPr>
        <w:tblW w:w="0" w:type="auto"/>
        <w:jc w:val="left"/>
        <w:tblInd w:w="110" w:type="dxa"/>
        <w:tblLayout w:type="fixed"/>
        <w:tblCellMar>
          <w:top w:w="0" w:type="dxa"/>
          <w:left w:w="0" w:type="dxa"/>
          <w:bottom w:w="0" w:type="dxa"/>
          <w:right w:w="0" w:type="dxa"/>
        </w:tblCellMar>
        <w:tblLook w:val="01E0"/>
      </w:tblPr>
      <w:tblGrid>
        <w:gridCol w:w="1001"/>
        <w:gridCol w:w="2859"/>
        <w:gridCol w:w="1142"/>
        <w:gridCol w:w="1116"/>
        <w:gridCol w:w="1490"/>
        <w:gridCol w:w="1863"/>
      </w:tblGrid>
      <w:tr>
        <w:trPr>
          <w:trHeight w:val="281" w:hRule="exact"/>
        </w:trPr>
        <w:tc>
          <w:tcPr>
            <w:tcW w:w="1001" w:type="dxa"/>
            <w:vMerge w:val="restart"/>
            <w:tcBorders>
              <w:top w:val="single" w:sz="4" w:space="0" w:color="000000"/>
              <w:left w:val="single" w:sz="4" w:space="0" w:color="000000"/>
              <w:right w:val="single" w:sz="4" w:space="0" w:color="000000"/>
            </w:tcBorders>
          </w:tcPr>
          <w:p>
            <w:pPr>
              <w:pStyle w:val="TableParagraph"/>
              <w:spacing w:line="240" w:lineRule="auto" w:before="107"/>
              <w:ind w:left="74" w:right="-29"/>
              <w:jc w:val="left"/>
              <w:rPr>
                <w:rFonts w:ascii="宋体" w:hAnsi="宋体" w:cs="宋体" w:eastAsia="宋体" w:hint="default"/>
                <w:sz w:val="21"/>
                <w:szCs w:val="21"/>
              </w:rPr>
            </w:pPr>
            <w:r>
              <w:rPr>
                <w:rFonts w:ascii="宋体" w:hAnsi="宋体" w:cs="宋体" w:eastAsia="宋体" w:hint="default"/>
                <w:sz w:val="21"/>
                <w:szCs w:val="21"/>
              </w:rPr>
              <w:t>项目名称</w:t>
            </w:r>
            <w:r>
              <w:rPr>
                <w:rFonts w:ascii="宋体" w:hAnsi="宋体" w:cs="宋体" w:eastAsia="宋体" w:hint="default"/>
                <w:sz w:val="21"/>
                <w:szCs w:val="21"/>
              </w:rPr>
              <w:t> </w:t>
            </w:r>
          </w:p>
        </w:tc>
        <w:tc>
          <w:tcPr>
            <w:tcW w:w="2859" w:type="dxa"/>
            <w:vMerge w:val="restart"/>
            <w:tcBorders>
              <w:top w:val="single" w:sz="4" w:space="0" w:color="000000"/>
              <w:left w:val="single" w:sz="4" w:space="0" w:color="000000"/>
              <w:right w:val="single" w:sz="4" w:space="0" w:color="000000"/>
            </w:tcBorders>
          </w:tcPr>
          <w:p>
            <w:pPr>
              <w:pStyle w:val="TableParagraph"/>
              <w:spacing w:line="240" w:lineRule="auto" w:before="107"/>
              <w:ind w:left="100" w:right="0"/>
              <w:jc w:val="center"/>
              <w:rPr>
                <w:rFonts w:ascii="宋体" w:hAnsi="宋体" w:cs="宋体" w:eastAsia="宋体" w:hint="default"/>
                <w:sz w:val="21"/>
                <w:szCs w:val="21"/>
              </w:rPr>
            </w:pPr>
            <w:r>
              <w:rPr>
                <w:rFonts w:ascii="宋体" w:hAnsi="宋体" w:cs="宋体" w:eastAsia="宋体" w:hint="default"/>
                <w:sz w:val="21"/>
                <w:szCs w:val="21"/>
              </w:rPr>
              <w:t>关联方</w:t>
            </w:r>
            <w:r>
              <w:rPr>
                <w:rFonts w:ascii="宋体" w:hAnsi="宋体" w:cs="宋体" w:eastAsia="宋体" w:hint="default"/>
                <w:sz w:val="21"/>
                <w:szCs w:val="21"/>
              </w:rPr>
              <w:t> </w:t>
            </w:r>
          </w:p>
        </w:tc>
        <w:tc>
          <w:tcPr>
            <w:tcW w:w="22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03"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33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3" w:hRule="exact"/>
        </w:trPr>
        <w:tc>
          <w:tcPr>
            <w:tcW w:w="1001" w:type="dxa"/>
            <w:vMerge/>
            <w:tcBorders>
              <w:left w:val="single" w:sz="4" w:space="0" w:color="000000"/>
              <w:bottom w:val="single" w:sz="4" w:space="0" w:color="000000"/>
              <w:right w:val="single" w:sz="4" w:space="0" w:color="000000"/>
            </w:tcBorders>
          </w:tcPr>
          <w:p>
            <w:pPr/>
          </w:p>
        </w:tc>
        <w:tc>
          <w:tcPr>
            <w:tcW w:w="2859" w:type="dxa"/>
            <w:vMerge/>
            <w:tcBorders>
              <w:left w:val="single" w:sz="4" w:space="0" w:color="000000"/>
              <w:bottom w:val="single" w:sz="4" w:space="0" w:color="000000"/>
              <w:right w:val="single" w:sz="4" w:space="0" w:color="000000"/>
            </w:tcBorders>
          </w:tcPr>
          <w:p>
            <w:pP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8"/>
              <w:jc w:val="right"/>
              <w:rPr>
                <w:rFonts w:ascii="宋体" w:hAnsi="宋体" w:cs="宋体" w:eastAsia="宋体" w:hint="default"/>
                <w:sz w:val="21"/>
                <w:szCs w:val="21"/>
              </w:rPr>
            </w:pPr>
            <w:r>
              <w:rPr>
                <w:rFonts w:ascii="宋体" w:hAnsi="宋体" w:cs="宋体" w:eastAsia="宋体" w:hint="default"/>
                <w:spacing w:val="-2"/>
                <w:sz w:val="21"/>
                <w:szCs w:val="21"/>
              </w:rPr>
              <w:t>账面余额</w:t>
            </w:r>
            <w:r>
              <w:rPr>
                <w:rFonts w:ascii="宋体" w:hAnsi="宋体" w:cs="宋体" w:eastAsia="宋体" w:hint="default"/>
                <w:sz w:val="21"/>
                <w:szCs w:val="21"/>
              </w:rPr>
              <w:t> </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4" w:right="0"/>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sz w:val="21"/>
                <w:szCs w:val="21"/>
              </w:rPr>
              <w:t> </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9" w:right="0"/>
              <w:jc w:val="left"/>
              <w:rPr>
                <w:rFonts w:ascii="宋体" w:hAnsi="宋体" w:cs="宋体" w:eastAsia="宋体" w:hint="default"/>
                <w:sz w:val="21"/>
                <w:szCs w:val="21"/>
              </w:rPr>
            </w:pPr>
            <w:r>
              <w:rPr>
                <w:rFonts w:ascii="宋体" w:hAnsi="宋体" w:cs="宋体" w:eastAsia="宋体" w:hint="default"/>
                <w:sz w:val="21"/>
                <w:szCs w:val="21"/>
              </w:rPr>
              <w:t>账面余额</w:t>
            </w:r>
            <w:r>
              <w:rPr>
                <w:rFonts w:ascii="宋体" w:hAnsi="宋体" w:cs="宋体" w:eastAsia="宋体" w:hint="default"/>
                <w:sz w:val="21"/>
                <w:szCs w:val="21"/>
              </w:rPr>
              <w:t> </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04" w:right="0"/>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sz w:val="21"/>
                <w:szCs w:val="21"/>
              </w:rPr>
              <w:t> </w:t>
            </w:r>
          </w:p>
        </w:tc>
      </w:tr>
      <w:tr>
        <w:trPr>
          <w:trHeight w:val="283" w:hRule="exact"/>
        </w:trPr>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应收账款</w:t>
            </w:r>
            <w:r>
              <w:rPr>
                <w:rFonts w:ascii="宋体" w:hAnsi="宋体" w:cs="宋体" w:eastAsia="宋体" w:hint="default"/>
                <w:sz w:val="21"/>
                <w:szCs w:val="21"/>
              </w:rPr>
              <w:t> </w:t>
            </w:r>
          </w:p>
        </w:tc>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江苏华源仪器仪表有限公司</w:t>
            </w:r>
            <w:r>
              <w:rPr>
                <w:rFonts w:ascii="宋体" w:hAnsi="宋体" w:cs="宋体" w:eastAsia="宋体" w:hint="default"/>
                <w:sz w:val="21"/>
                <w:szCs w:val="21"/>
              </w:rPr>
              <w:t> </w:t>
            </w:r>
          </w:p>
        </w:tc>
        <w:tc>
          <w:tcPr>
            <w:tcW w:w="1142"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57,687,525.78</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66" w:right="0"/>
              <w:jc w:val="left"/>
              <w:rPr>
                <w:rFonts w:ascii="宋体" w:hAnsi="宋体" w:cs="宋体" w:eastAsia="宋体" w:hint="default"/>
                <w:sz w:val="21"/>
                <w:szCs w:val="21"/>
              </w:rPr>
            </w:pPr>
            <w:r>
              <w:rPr>
                <w:rFonts w:ascii="宋体"/>
                <w:sz w:val="21"/>
              </w:rPr>
              <w:t>6,872,715.78</w:t>
            </w:r>
          </w:p>
        </w:tc>
      </w:tr>
      <w:tr>
        <w:trPr>
          <w:trHeight w:val="281" w:hRule="exact"/>
        </w:trPr>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应收票据</w:t>
            </w:r>
            <w:r>
              <w:rPr>
                <w:rFonts w:ascii="宋体" w:hAnsi="宋体" w:cs="宋体" w:eastAsia="宋体" w:hint="default"/>
                <w:sz w:val="21"/>
                <w:szCs w:val="21"/>
              </w:rPr>
              <w:t> </w:t>
            </w:r>
          </w:p>
        </w:tc>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江苏华源仪器仪表有限公司</w:t>
            </w:r>
            <w:r>
              <w:rPr>
                <w:rFonts w:ascii="宋体" w:hAnsi="宋体" w:cs="宋体" w:eastAsia="宋体" w:hint="default"/>
                <w:sz w:val="21"/>
                <w:szCs w:val="21"/>
              </w:rPr>
              <w:t> </w:t>
            </w:r>
          </w:p>
        </w:tc>
        <w:tc>
          <w:tcPr>
            <w:tcW w:w="1142"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1,000,000.00</w:t>
            </w:r>
          </w:p>
        </w:tc>
        <w:tc>
          <w:tcPr>
            <w:tcW w:w="186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预付账款</w:t>
            </w:r>
            <w:r>
              <w:rPr>
                <w:rFonts w:ascii="宋体" w:hAnsi="宋体" w:cs="宋体" w:eastAsia="宋体" w:hint="default"/>
                <w:sz w:val="21"/>
                <w:szCs w:val="21"/>
              </w:rPr>
              <w:t> </w:t>
            </w:r>
          </w:p>
        </w:tc>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上海精鼎电力科技有限公司</w:t>
            </w:r>
            <w:r>
              <w:rPr>
                <w:rFonts w:ascii="宋体" w:hAnsi="宋体" w:cs="宋体" w:eastAsia="宋体" w:hint="default"/>
                <w:sz w:val="21"/>
                <w:szCs w:val="21"/>
              </w:rPr>
              <w:t> </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95,095.00</w:t>
            </w:r>
          </w:p>
        </w:tc>
        <w:tc>
          <w:tcPr>
            <w:tcW w:w="1116"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194,916.00</w:t>
            </w:r>
          </w:p>
        </w:tc>
        <w:tc>
          <w:tcPr>
            <w:tcW w:w="1863"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580" w:bottom="280" w:left="1080" w:right="78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9"/>
          <w:szCs w:val="29"/>
        </w:rPr>
      </w:pPr>
    </w:p>
    <w:p>
      <w:pPr>
        <w:spacing w:after="0" w:line="240" w:lineRule="auto"/>
        <w:rPr>
          <w:rFonts w:ascii="宋体" w:hAnsi="宋体" w:cs="宋体" w:eastAsia="宋体" w:hint="default"/>
          <w:sz w:val="29"/>
          <w:szCs w:val="29"/>
        </w:rPr>
        <w:sectPr>
          <w:pgSz w:w="11910" w:h="16840"/>
          <w:pgMar w:header="748" w:footer="974" w:top="1140" w:bottom="1160" w:left="1580" w:right="1040"/>
        </w:sectPr>
      </w:pPr>
    </w:p>
    <w:p>
      <w:pPr>
        <w:pStyle w:val="Heading3"/>
        <w:spacing w:line="240" w:lineRule="auto" w:before="36"/>
        <w:ind w:right="0"/>
        <w:jc w:val="left"/>
        <w:rPr>
          <w:rFonts w:ascii="宋体" w:hAnsi="宋体" w:cs="宋体" w:eastAsia="宋体" w:hint="default"/>
          <w:b w:val="0"/>
          <w:bCs w:val="0"/>
        </w:rPr>
      </w:pPr>
      <w:r>
        <w:rPr>
          <w:rFonts w:ascii="宋体" w:hAnsi="宋体" w:cs="宋体" w:eastAsia="宋体" w:hint="default"/>
        </w:rPr>
        <w:t>(2).</w:t>
      </w:r>
      <w:r>
        <w:rPr>
          <w:rFonts w:ascii="宋体" w:hAnsi="宋体" w:cs="宋体" w:eastAsia="宋体" w:hint="default"/>
          <w:spacing w:val="-47"/>
        </w:rPr>
        <w:t> </w:t>
      </w:r>
      <w:r>
        <w:rPr/>
        <w:t>应付项目</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spacing w:line="240" w:lineRule="auto"/>
        <w:ind w:right="0"/>
        <w:jc w:val="left"/>
        <w:rPr>
          <w:rFonts w:ascii="宋体" w:hAnsi="宋体" w:cs="宋体" w:eastAsia="宋体" w:hint="default"/>
        </w:rPr>
      </w:pPr>
      <w:r>
        <w:rPr/>
        <w:t>单位</w:t>
      </w:r>
      <w:r>
        <w:rPr>
          <w:rFonts w:ascii="宋体" w:hAnsi="宋体" w:cs="宋体" w:eastAsia="宋体" w:hint="default"/>
        </w:rPr>
        <w:t>:</w:t>
      </w:r>
      <w:r>
        <w:rPr/>
        <w:t>元币种</w:t>
      </w:r>
      <w:r>
        <w:rPr>
          <w:rFonts w:ascii="宋体" w:hAnsi="宋体" w:cs="宋体" w:eastAsia="宋体" w:hint="default"/>
        </w:rPr>
        <w:t>:</w:t>
      </w:r>
      <w:r>
        <w:rPr/>
        <w:t>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580" w:bottom="280" w:left="1580" w:right="1040"/>
          <w:cols w:num="2" w:equalWidth="0">
            <w:col w:w="2110" w:space="4832"/>
            <w:col w:w="2348"/>
          </w:cols>
        </w:sectPr>
      </w:pPr>
    </w:p>
    <w:p>
      <w:pPr>
        <w:spacing w:line="240" w:lineRule="auto" w:before="4"/>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1426"/>
        <w:gridCol w:w="3142"/>
        <w:gridCol w:w="1656"/>
        <w:gridCol w:w="2672"/>
      </w:tblGrid>
      <w:tr>
        <w:trPr>
          <w:trHeight w:val="283" w:hRule="exact"/>
        </w:trPr>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87" w:right="0"/>
              <w:jc w:val="left"/>
              <w:rPr>
                <w:rFonts w:ascii="宋体" w:hAnsi="宋体" w:cs="宋体" w:eastAsia="宋体" w:hint="default"/>
                <w:sz w:val="21"/>
                <w:szCs w:val="21"/>
              </w:rPr>
            </w:pPr>
            <w:r>
              <w:rPr>
                <w:rFonts w:ascii="宋体" w:hAnsi="宋体" w:cs="宋体" w:eastAsia="宋体" w:hint="default"/>
                <w:sz w:val="21"/>
                <w:szCs w:val="21"/>
              </w:rPr>
              <w:t>项目名称</w:t>
            </w:r>
            <w:r>
              <w:rPr>
                <w:rFonts w:ascii="宋体" w:hAnsi="宋体" w:cs="宋体" w:eastAsia="宋体" w:hint="default"/>
                <w:sz w:val="21"/>
                <w:szCs w:val="21"/>
              </w:rPr>
              <w:t> </w:t>
            </w:r>
          </w:p>
        </w:tc>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关联方</w:t>
            </w:r>
            <w:r>
              <w:rPr>
                <w:rFonts w:ascii="宋体" w:hAnsi="宋体" w:cs="宋体" w:eastAsia="宋体" w:hint="default"/>
                <w:sz w:val="21"/>
                <w:szCs w:val="21"/>
              </w:rPr>
              <w:t> </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94" w:right="0"/>
              <w:jc w:val="left"/>
              <w:rPr>
                <w:rFonts w:ascii="宋体" w:hAnsi="宋体" w:cs="宋体" w:eastAsia="宋体" w:hint="default"/>
                <w:sz w:val="21"/>
                <w:szCs w:val="21"/>
              </w:rPr>
            </w:pPr>
            <w:r>
              <w:rPr>
                <w:rFonts w:ascii="宋体" w:hAnsi="宋体" w:cs="宋体" w:eastAsia="宋体" w:hint="default"/>
                <w:sz w:val="21"/>
                <w:szCs w:val="21"/>
              </w:rPr>
              <w:t>期末账面余额</w:t>
            </w:r>
            <w:r>
              <w:rPr>
                <w:rFonts w:ascii="宋体" w:hAnsi="宋体" w:cs="宋体" w:eastAsia="宋体" w:hint="default"/>
                <w:sz w:val="21"/>
                <w:szCs w:val="21"/>
              </w:rPr>
              <w:t> </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00" w:right="0"/>
              <w:jc w:val="left"/>
              <w:rPr>
                <w:rFonts w:ascii="宋体" w:hAnsi="宋体" w:cs="宋体" w:eastAsia="宋体" w:hint="default"/>
                <w:sz w:val="21"/>
                <w:szCs w:val="21"/>
              </w:rPr>
            </w:pPr>
            <w:r>
              <w:rPr>
                <w:rFonts w:ascii="宋体" w:hAnsi="宋体" w:cs="宋体" w:eastAsia="宋体" w:hint="default"/>
                <w:sz w:val="21"/>
                <w:szCs w:val="21"/>
              </w:rPr>
              <w:t>期初账面余额</w:t>
            </w:r>
            <w:r>
              <w:rPr>
                <w:rFonts w:ascii="宋体" w:hAnsi="宋体" w:cs="宋体" w:eastAsia="宋体" w:hint="default"/>
                <w:sz w:val="21"/>
                <w:szCs w:val="21"/>
              </w:rPr>
              <w:t> </w:t>
            </w:r>
          </w:p>
        </w:tc>
      </w:tr>
      <w:tr>
        <w:trPr>
          <w:trHeight w:val="283" w:hRule="exact"/>
        </w:trPr>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应付账款</w:t>
            </w:r>
            <w:r>
              <w:rPr>
                <w:rFonts w:ascii="宋体" w:hAnsi="宋体" w:cs="宋体" w:eastAsia="宋体" w:hint="default"/>
                <w:sz w:val="21"/>
                <w:szCs w:val="21"/>
              </w:rPr>
              <w:t> </w:t>
            </w:r>
          </w:p>
        </w:tc>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上海精鼎电力科技有限公司</w:t>
            </w:r>
            <w:r>
              <w:rPr>
                <w:rFonts w:ascii="宋体" w:hAnsi="宋体" w:cs="宋体" w:eastAsia="宋体" w:hint="default"/>
                <w:sz w:val="21"/>
                <w:szCs w:val="21"/>
              </w:rPr>
              <w:t> </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1,845,346.77</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3,785,976.66</w:t>
            </w:r>
          </w:p>
        </w:tc>
      </w:tr>
      <w:tr>
        <w:trPr>
          <w:trHeight w:val="281" w:hRule="exact"/>
        </w:trPr>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应付账款</w:t>
            </w:r>
            <w:r>
              <w:rPr>
                <w:rFonts w:ascii="宋体" w:hAnsi="宋体" w:cs="宋体" w:eastAsia="宋体" w:hint="default"/>
                <w:sz w:val="21"/>
                <w:szCs w:val="21"/>
              </w:rPr>
              <w:t> </w:t>
            </w:r>
          </w:p>
        </w:tc>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江苏华源仪器仪表有限公司</w:t>
            </w:r>
            <w:r>
              <w:rPr>
                <w:rFonts w:ascii="宋体" w:hAnsi="宋体" w:cs="宋体" w:eastAsia="宋体" w:hint="default"/>
                <w:sz w:val="21"/>
                <w:szCs w:val="21"/>
              </w:rPr>
              <w:t> </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206,882.59</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676,398.65</w:t>
            </w:r>
          </w:p>
        </w:tc>
      </w:tr>
      <w:tr>
        <w:trPr>
          <w:trHeight w:val="283" w:hRule="exact"/>
        </w:trPr>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应付账款</w:t>
            </w:r>
            <w:r>
              <w:rPr>
                <w:rFonts w:ascii="宋体" w:hAnsi="宋体" w:cs="宋体" w:eastAsia="宋体" w:hint="default"/>
                <w:sz w:val="21"/>
                <w:szCs w:val="21"/>
              </w:rPr>
              <w:t> </w:t>
            </w:r>
          </w:p>
        </w:tc>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南通林洋交通建设工程有限公司</w:t>
            </w:r>
            <w:r>
              <w:rPr>
                <w:rFonts w:ascii="宋体" w:hAnsi="宋体" w:cs="宋体" w:eastAsia="宋体" w:hint="default"/>
                <w:sz w:val="21"/>
                <w:szCs w:val="21"/>
              </w:rPr>
              <w:t> </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414,464.45</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3,433,841.06</w:t>
            </w:r>
          </w:p>
        </w:tc>
      </w:tr>
      <w:tr>
        <w:trPr>
          <w:trHeight w:val="283" w:hRule="exact"/>
        </w:trPr>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应付账款</w:t>
            </w:r>
            <w:r>
              <w:rPr>
                <w:rFonts w:ascii="宋体" w:hAnsi="宋体" w:cs="宋体" w:eastAsia="宋体" w:hint="default"/>
                <w:sz w:val="21"/>
                <w:szCs w:val="21"/>
              </w:rPr>
              <w:t> </w:t>
            </w:r>
          </w:p>
        </w:tc>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江苏林洋现代农业有限公司</w:t>
            </w:r>
            <w:r>
              <w:rPr>
                <w:rFonts w:ascii="宋体" w:hAnsi="宋体" w:cs="宋体" w:eastAsia="宋体" w:hint="default"/>
                <w:sz w:val="21"/>
                <w:szCs w:val="21"/>
              </w:rPr>
              <w:t> </w:t>
            </w:r>
          </w:p>
        </w:tc>
        <w:tc>
          <w:tcPr>
            <w:tcW w:w="1656" w:type="dxa"/>
            <w:tcBorders>
              <w:top w:val="single" w:sz="4" w:space="0" w:color="000000"/>
              <w:left w:val="single" w:sz="4" w:space="0" w:color="000000"/>
              <w:bottom w:val="single" w:sz="4" w:space="0" w:color="000000"/>
              <w:right w:val="single" w:sz="4" w:space="0" w:color="000000"/>
            </w:tcBorders>
          </w:tcPr>
          <w:p>
            <w:pP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537.63</w:t>
            </w:r>
          </w:p>
        </w:tc>
      </w:tr>
      <w:tr>
        <w:trPr>
          <w:trHeight w:val="281" w:hRule="exact"/>
        </w:trPr>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其他应付款</w:t>
            </w:r>
            <w:r>
              <w:rPr>
                <w:rFonts w:ascii="宋体" w:hAnsi="宋体" w:cs="宋体" w:eastAsia="宋体" w:hint="default"/>
                <w:sz w:val="21"/>
                <w:szCs w:val="21"/>
              </w:rPr>
              <w:t> </w:t>
            </w:r>
          </w:p>
        </w:tc>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南通华虹生态园艺有限公司</w:t>
            </w:r>
            <w:r>
              <w:rPr>
                <w:rFonts w:ascii="宋体" w:hAnsi="宋体" w:cs="宋体" w:eastAsia="宋体" w:hint="default"/>
                <w:sz w:val="21"/>
                <w:szCs w:val="21"/>
              </w:rPr>
              <w:t> </w:t>
            </w:r>
          </w:p>
        </w:tc>
        <w:tc>
          <w:tcPr>
            <w:tcW w:w="1656" w:type="dxa"/>
            <w:tcBorders>
              <w:top w:val="single" w:sz="4" w:space="0" w:color="000000"/>
              <w:left w:val="single" w:sz="4" w:space="0" w:color="000000"/>
              <w:bottom w:val="single" w:sz="4" w:space="0" w:color="000000"/>
              <w:right w:val="single" w:sz="4" w:space="0" w:color="000000"/>
            </w:tcBorders>
          </w:tcPr>
          <w:p>
            <w:pP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158,796.00</w:t>
            </w:r>
          </w:p>
        </w:tc>
      </w:tr>
    </w:tbl>
    <w:p>
      <w:pPr>
        <w:spacing w:line="240" w:lineRule="auto" w:before="2"/>
        <w:rPr>
          <w:rFonts w:ascii="宋体" w:hAnsi="宋体" w:cs="宋体" w:eastAsia="宋体" w:hint="default"/>
          <w:sz w:val="20"/>
          <w:szCs w:val="20"/>
        </w:rPr>
      </w:pPr>
    </w:p>
    <w:p>
      <w:pPr>
        <w:pStyle w:val="Heading3"/>
        <w:spacing w:line="240" w:lineRule="auto" w:before="36"/>
        <w:ind w:right="0"/>
        <w:jc w:val="left"/>
        <w:rPr>
          <w:b w:val="0"/>
          <w:bCs w:val="0"/>
        </w:rPr>
      </w:pPr>
      <w:r>
        <w:rPr>
          <w:rFonts w:ascii="宋体" w:hAnsi="宋体" w:cs="宋体" w:eastAsia="宋体" w:hint="default"/>
        </w:rPr>
        <w:t>7</w:t>
      </w:r>
      <w:r>
        <w:rPr/>
        <w:t>、</w:t>
      </w:r>
      <w:r>
        <w:rPr>
          <w:spacing w:val="4"/>
        </w:rPr>
        <w:t> </w:t>
      </w:r>
      <w:r>
        <w:rPr/>
        <w:t>关联方承诺</w:t>
      </w:r>
      <w:r>
        <w:rPr>
          <w:b w:val="0"/>
          <w:bCs w:val="0"/>
        </w:rPr>
      </w:r>
    </w:p>
    <w:p>
      <w:pPr>
        <w:pStyle w:val="BodyText"/>
        <w:spacing w:line="240" w:lineRule="auto" w:before="57"/>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7"/>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580" w:bottom="280" w:left="1580" w:right="1040"/>
        </w:sectPr>
      </w:pPr>
    </w:p>
    <w:p>
      <w:pPr>
        <w:spacing w:before="36"/>
        <w:ind w:left="218" w:right="0" w:firstLine="0"/>
        <w:jc w:val="left"/>
        <w:rPr>
          <w:rFonts w:ascii="宋体" w:hAnsi="宋体" w:cs="宋体" w:eastAsia="宋体" w:hint="default"/>
          <w:sz w:val="21"/>
          <w:szCs w:val="21"/>
        </w:rPr>
      </w:pPr>
      <w:r>
        <w:rPr>
          <w:rFonts w:ascii="宋体" w:hAnsi="宋体" w:cs="宋体" w:eastAsia="宋体" w:hint="default"/>
          <w:b/>
          <w:bCs/>
          <w:sz w:val="20"/>
          <w:szCs w:val="20"/>
        </w:rPr>
        <w:t>8</w:t>
      </w:r>
      <w:r>
        <w:rPr>
          <w:rFonts w:ascii="宋体" w:hAnsi="宋体" w:cs="宋体" w:eastAsia="宋体" w:hint="default"/>
          <w:b/>
          <w:bCs/>
          <w:sz w:val="20"/>
          <w:szCs w:val="20"/>
        </w:rPr>
        <w:t>、</w:t>
      </w:r>
      <w:r>
        <w:rPr>
          <w:rFonts w:ascii="宋体" w:hAnsi="宋体" w:cs="宋体" w:eastAsia="宋体" w:hint="default"/>
          <w:b/>
          <w:bCs/>
          <w:spacing w:val="21"/>
          <w:sz w:val="20"/>
          <w:szCs w:val="20"/>
        </w:rPr>
        <w:t> </w:t>
      </w:r>
      <w:r>
        <w:rPr>
          <w:rFonts w:ascii="宋体" w:hAnsi="宋体" w:cs="宋体" w:eastAsia="宋体" w:hint="default"/>
          <w:b/>
          <w:bCs/>
          <w:sz w:val="21"/>
          <w:szCs w:val="21"/>
        </w:rPr>
        <w:t>其他</w:t>
      </w:r>
      <w:r>
        <w:rPr>
          <w:rFonts w:ascii="宋体" w:hAnsi="宋体" w:cs="宋体" w:eastAsia="宋体" w:hint="default"/>
          <w:sz w:val="21"/>
          <w:szCs w:val="21"/>
        </w:rPr>
      </w:r>
    </w:p>
    <w:p>
      <w:pPr>
        <w:pStyle w:val="BodyText"/>
        <w:spacing w:line="273" w:lineRule="exact" w:before="58"/>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rPr>
        <w:t> </w:t>
      </w:r>
    </w:p>
    <w:p>
      <w:pPr>
        <w:pStyle w:val="BodyText"/>
        <w:spacing w:line="273" w:lineRule="exact"/>
        <w:ind w:right="0"/>
        <w:jc w:val="left"/>
        <w:rPr>
          <w:rFonts w:ascii="宋体" w:hAnsi="宋体" w:cs="宋体" w:eastAsia="宋体" w:hint="default"/>
        </w:rPr>
      </w:pPr>
      <w:r>
        <w:rPr>
          <w:rFonts w:ascii="宋体"/>
          <w:w w:val="100"/>
        </w:rPr>
        <w:t> </w:t>
      </w:r>
    </w:p>
    <w:p>
      <w:pPr>
        <w:pStyle w:val="Heading3"/>
        <w:spacing w:line="240" w:lineRule="auto" w:before="58"/>
        <w:ind w:right="0"/>
        <w:jc w:val="left"/>
        <w:rPr>
          <w:b w:val="0"/>
          <w:bCs w:val="0"/>
        </w:rPr>
      </w:pPr>
      <w:r>
        <w:rPr/>
        <w:t>十三、</w:t>
      </w:r>
      <w:r>
        <w:rPr>
          <w:spacing w:val="101"/>
        </w:rPr>
        <w:t> </w:t>
      </w:r>
      <w:r>
        <w:rPr>
          <w:rFonts w:ascii="宋体" w:hAnsi="宋体" w:cs="宋体" w:eastAsia="宋体" w:hint="default"/>
          <w:spacing w:val="101"/>
        </w:rPr>
      </w:r>
      <w:r>
        <w:rPr/>
        <w:t>股份支付</w:t>
      </w:r>
      <w:r>
        <w:rPr>
          <w:b w:val="0"/>
          <w:bCs w:val="0"/>
        </w:rPr>
      </w:r>
    </w:p>
    <w:p>
      <w:pPr>
        <w:pStyle w:val="Heading3"/>
        <w:spacing w:line="240" w:lineRule="auto" w:before="56"/>
        <w:ind w:right="-20"/>
        <w:jc w:val="left"/>
        <w:rPr>
          <w:b w:val="0"/>
          <w:bCs w:val="0"/>
        </w:rPr>
      </w:pPr>
      <w:r>
        <w:rPr>
          <w:rFonts w:ascii="宋体" w:hAnsi="宋体" w:cs="宋体" w:eastAsia="宋体" w:hint="default"/>
        </w:rPr>
        <w:t>1</w:t>
      </w:r>
      <w:r>
        <w:rPr/>
        <w:t>、</w:t>
      </w:r>
      <w:r>
        <w:rPr>
          <w:spacing w:val="5"/>
        </w:rPr>
        <w:t> </w:t>
      </w:r>
      <w:r>
        <w:rPr/>
        <w:t>股份支付总体情况</w:t>
      </w:r>
      <w:r>
        <w:rPr>
          <w:b w:val="0"/>
          <w:bCs w:val="0"/>
        </w:rPr>
      </w:r>
    </w:p>
    <w:p>
      <w:pPr>
        <w:pStyle w:val="Heading2"/>
        <w:spacing w:line="240" w:lineRule="auto" w:before="52"/>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9"/>
          <w:szCs w:val="29"/>
        </w:rPr>
      </w:pPr>
    </w:p>
    <w:p>
      <w:pPr>
        <w:pStyle w:val="BodyText"/>
        <w:spacing w:line="240" w:lineRule="auto"/>
        <w:ind w:right="0"/>
        <w:jc w:val="left"/>
        <w:rPr>
          <w:rFonts w:ascii="宋体" w:hAnsi="宋体" w:cs="宋体" w:eastAsia="宋体" w:hint="default"/>
        </w:rPr>
      </w:pPr>
      <w:r>
        <w:rPr/>
        <w:t>单位：股币种：人民币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580" w:bottom="280" w:left="1580" w:right="1040"/>
          <w:cols w:num="2" w:equalWidth="0">
            <w:col w:w="2333" w:space="4400"/>
            <w:col w:w="2557"/>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645"/>
        <w:gridCol w:w="4405"/>
      </w:tblGrid>
      <w:tr>
        <w:trPr>
          <w:trHeight w:val="283"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公司本期授予的各项权益工具总额</w:t>
            </w:r>
            <w:r>
              <w:rPr>
                <w:rFonts w:ascii="宋体" w:hAnsi="宋体" w:cs="宋体" w:eastAsia="宋体" w:hint="default"/>
                <w:sz w:val="21"/>
                <w:szCs w:val="21"/>
              </w:rPr>
              <w:t> </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公司本期行权的各项权益工具总额</w:t>
            </w:r>
            <w:r>
              <w:rPr>
                <w:rFonts w:ascii="宋体" w:hAnsi="宋体" w:cs="宋体" w:eastAsia="宋体" w:hint="default"/>
                <w:sz w:val="21"/>
                <w:szCs w:val="21"/>
              </w:rPr>
              <w:t> </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公司本期失效的各项权益工具总额</w:t>
            </w:r>
            <w:r>
              <w:rPr>
                <w:rFonts w:ascii="宋体" w:hAnsi="宋体" w:cs="宋体" w:eastAsia="宋体" w:hint="default"/>
                <w:sz w:val="21"/>
                <w:szCs w:val="21"/>
              </w:rPr>
              <w:t> </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7,749,000</w:t>
            </w:r>
            <w:r>
              <w:rPr>
                <w:rFonts w:ascii="宋体"/>
                <w:sz w:val="21"/>
              </w:rPr>
              <w:t> </w:t>
            </w:r>
          </w:p>
        </w:tc>
      </w:tr>
      <w:tr>
        <w:trPr>
          <w:trHeight w:val="555"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公司期末发行在外的股票期权行权价格的范围和</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合同剩余期限</w:t>
            </w:r>
            <w:r>
              <w:rPr>
                <w:rFonts w:ascii="宋体" w:hAnsi="宋体" w:cs="宋体" w:eastAsia="宋体" w:hint="default"/>
                <w:sz w:val="21"/>
                <w:szCs w:val="21"/>
              </w:rPr>
              <w:t> </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554"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公司期末发行在外的其他权益工具行权价格的范</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围和合同剩余期限</w:t>
            </w:r>
            <w:r>
              <w:rPr>
                <w:rFonts w:ascii="宋体" w:hAnsi="宋体" w:cs="宋体" w:eastAsia="宋体" w:hint="default"/>
                <w:sz w:val="21"/>
                <w:szCs w:val="21"/>
              </w:rPr>
              <w:t> </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bl>
    <w:p>
      <w:pPr>
        <w:pStyle w:val="Heading2"/>
        <w:spacing w:line="274" w:lineRule="exact"/>
        <w:ind w:right="0"/>
        <w:jc w:val="both"/>
        <w:rPr>
          <w:rFonts w:ascii="宋体" w:hAnsi="宋体" w:cs="宋体" w:eastAsia="宋体" w:hint="default"/>
        </w:rPr>
      </w:pPr>
      <w:r>
        <w:rPr/>
        <w:t>其他说明</w:t>
      </w:r>
      <w:r>
        <w:rPr>
          <w:rFonts w:ascii="宋体" w:hAnsi="宋体" w:cs="宋体" w:eastAsia="宋体" w:hint="default"/>
        </w:rPr>
        <w:t> </w:t>
      </w:r>
    </w:p>
    <w:p>
      <w:pPr>
        <w:pStyle w:val="BodyText"/>
        <w:spacing w:line="338" w:lineRule="auto" w:before="131"/>
        <w:ind w:right="228"/>
        <w:jc w:val="both"/>
        <w:rPr>
          <w:rFonts w:ascii="Times New Roman" w:hAnsi="Times New Roman" w:cs="Times New Roman" w:eastAsia="Times New Roman" w:hint="default"/>
        </w:rPr>
      </w:pPr>
      <w:r>
        <w:rPr>
          <w:rFonts w:ascii="Times New Roman" w:hAnsi="Times New Roman" w:cs="Times New Roman" w:eastAsia="Times New Roman" w:hint="default"/>
        </w:rPr>
        <w:t>2016</w:t>
      </w:r>
      <w:r>
        <w:rPr>
          <w:rFonts w:ascii="Times New Roman" w:hAnsi="Times New Roman" w:cs="Times New Roman" w:eastAsia="Times New Roman" w:hint="default"/>
          <w:spacing w:val="6"/>
        </w:rPr>
        <w:t> </w:t>
      </w:r>
      <w:r>
        <w:rPr/>
        <w:t>年</w:t>
      </w:r>
      <w:r>
        <w:rPr>
          <w:spacing w:val="-44"/>
        </w:rPr>
        <w:t> </w:t>
      </w:r>
      <w:r>
        <w:rPr>
          <w:rFonts w:ascii="Times New Roman" w:hAnsi="Times New Roman" w:cs="Times New Roman" w:eastAsia="Times New Roman" w:hint="default"/>
        </w:rPr>
        <w:t>12</w:t>
      </w:r>
      <w:r>
        <w:rPr>
          <w:rFonts w:ascii="Times New Roman" w:hAnsi="Times New Roman" w:cs="Times New Roman" w:eastAsia="Times New Roman" w:hint="default"/>
          <w:spacing w:val="8"/>
        </w:rPr>
        <w:t> </w:t>
      </w:r>
      <w:r>
        <w:rPr/>
        <w:t>月</w:t>
      </w:r>
      <w:r>
        <w:rPr>
          <w:spacing w:val="-46"/>
        </w:rPr>
        <w:t> </w:t>
      </w:r>
      <w:r>
        <w:rPr>
          <w:rFonts w:ascii="Times New Roman" w:hAnsi="Times New Roman" w:cs="Times New Roman" w:eastAsia="Times New Roman" w:hint="default"/>
        </w:rPr>
        <w:t>22</w:t>
      </w:r>
      <w:r>
        <w:rPr>
          <w:rFonts w:ascii="Times New Roman" w:hAnsi="Times New Roman" w:cs="Times New Roman" w:eastAsia="Times New Roman" w:hint="default"/>
          <w:spacing w:val="6"/>
        </w:rPr>
        <w:t> </w:t>
      </w:r>
      <w:r>
        <w:rPr/>
        <w:t>日公司召开</w:t>
      </w:r>
      <w:r>
        <w:rPr>
          <w:spacing w:val="-44"/>
        </w:rPr>
        <w:t> </w:t>
      </w:r>
      <w:r>
        <w:rPr>
          <w:rFonts w:ascii="Times New Roman" w:hAnsi="Times New Roman" w:cs="Times New Roman" w:eastAsia="Times New Roman" w:hint="default"/>
        </w:rPr>
        <w:t>2016</w:t>
      </w:r>
      <w:r>
        <w:rPr>
          <w:rFonts w:ascii="Times New Roman" w:hAnsi="Times New Roman" w:cs="Times New Roman" w:eastAsia="Times New Roman" w:hint="default"/>
          <w:spacing w:val="8"/>
        </w:rPr>
        <w:t> </w:t>
      </w:r>
      <w:r>
        <w:rPr/>
        <w:t>年第七次临时股东大会审议通过关于《第二期限制性股票激励</w:t>
      </w:r>
      <w:r>
        <w:rPr>
          <w:w w:val="100"/>
        </w:rPr>
        <w:t> </w:t>
      </w:r>
      <w:r>
        <w:rPr>
          <w:spacing w:val="-6"/>
          <w:w w:val="100"/>
        </w:rPr>
        <w:t>计划（草案）》及其摘要等相关议案，公司计划向部分董事、高级管理人员以及中层管理人员及核</w:t>
      </w:r>
      <w:r>
        <w:rPr>
          <w:w w:val="100"/>
        </w:rPr>
        <w:t> </w:t>
      </w:r>
      <w:r>
        <w:rPr/>
        <w:t>心技术（业务）人员 </w:t>
      </w:r>
      <w:r>
        <w:rPr>
          <w:rFonts w:ascii="Times New Roman" w:hAnsi="Times New Roman" w:cs="Times New Roman" w:eastAsia="Times New Roman" w:hint="default"/>
        </w:rPr>
        <w:t>229 </w:t>
      </w:r>
      <w:r>
        <w:rPr/>
        <w:t>人、授予的限制性股票 </w:t>
      </w:r>
      <w:r>
        <w:rPr>
          <w:rFonts w:ascii="Times New Roman" w:hAnsi="Times New Roman" w:cs="Times New Roman" w:eastAsia="Times New Roman" w:hint="default"/>
        </w:rPr>
        <w:t>2,360 </w:t>
      </w:r>
      <w:r>
        <w:rPr/>
        <w:t>万股，其中次授予 </w:t>
      </w:r>
      <w:r>
        <w:rPr>
          <w:rFonts w:ascii="Times New Roman" w:hAnsi="Times New Roman" w:cs="Times New Roman" w:eastAsia="Times New Roman" w:hint="default"/>
        </w:rPr>
        <w:t>2,200 </w:t>
      </w:r>
      <w:r>
        <w:rPr/>
        <w:t>万股，预留</w:t>
      </w:r>
      <w:r>
        <w:rPr>
          <w:spacing w:val="-48"/>
        </w:rPr>
        <w:t> </w:t>
      </w:r>
      <w:r>
        <w:rPr>
          <w:rFonts w:ascii="Times New Roman" w:hAnsi="Times New Roman" w:cs="Times New Roman" w:eastAsia="Times New Roman" w:hint="default"/>
        </w:rPr>
        <w:t>160</w:t>
      </w:r>
    </w:p>
    <w:p>
      <w:pPr>
        <w:pStyle w:val="BodyText"/>
        <w:spacing w:line="240" w:lineRule="auto" w:before="14"/>
        <w:ind w:right="0"/>
        <w:jc w:val="both"/>
      </w:pPr>
      <w:r>
        <w:rPr/>
        <w:t>万股，授予价格为</w:t>
      </w:r>
      <w:r>
        <w:rPr>
          <w:spacing w:val="-53"/>
        </w:rPr>
        <w:t> </w:t>
      </w:r>
      <w:r>
        <w:rPr>
          <w:rFonts w:ascii="Times New Roman" w:hAnsi="Times New Roman" w:cs="Times New Roman" w:eastAsia="Times New Roman" w:hint="default"/>
        </w:rPr>
        <w:t>4.50</w:t>
      </w:r>
      <w:r>
        <w:rPr>
          <w:rFonts w:ascii="Times New Roman" w:hAnsi="Times New Roman" w:cs="Times New Roman" w:eastAsia="Times New Roman" w:hint="default"/>
          <w:spacing w:val="-2"/>
        </w:rPr>
        <w:t> </w:t>
      </w:r>
      <w:r>
        <w:rPr/>
        <w:t>元</w:t>
      </w:r>
      <w:r>
        <w:rPr>
          <w:rFonts w:ascii="Times New Roman" w:hAnsi="Times New Roman" w:cs="Times New Roman" w:eastAsia="Times New Roman" w:hint="default"/>
        </w:rPr>
        <w:t>/</w:t>
      </w:r>
      <w:r>
        <w:rPr/>
        <w:t>股。</w:t>
      </w:r>
    </w:p>
    <w:p>
      <w:pPr>
        <w:pStyle w:val="BodyText"/>
        <w:spacing w:line="240" w:lineRule="auto" w:before="110"/>
        <w:ind w:right="0"/>
        <w:jc w:val="both"/>
      </w:pPr>
      <w:r>
        <w:rPr>
          <w:w w:val="100"/>
        </w:rPr>
        <w:t>本激</w:t>
      </w:r>
      <w:r>
        <w:rPr>
          <w:spacing w:val="-3"/>
          <w:w w:val="100"/>
        </w:rPr>
        <w:t>励</w:t>
      </w:r>
      <w:r>
        <w:rPr>
          <w:w w:val="100"/>
        </w:rPr>
        <w:t>计</w:t>
      </w:r>
      <w:r>
        <w:rPr>
          <w:spacing w:val="-3"/>
          <w:w w:val="100"/>
        </w:rPr>
        <w:t>划</w:t>
      </w:r>
      <w:r>
        <w:rPr>
          <w:w w:val="100"/>
        </w:rPr>
        <w:t>有</w:t>
      </w:r>
      <w:r>
        <w:rPr>
          <w:spacing w:val="-3"/>
          <w:w w:val="100"/>
        </w:rPr>
        <w:t>效</w:t>
      </w:r>
      <w:r>
        <w:rPr>
          <w:w w:val="100"/>
        </w:rPr>
        <w:t>期</w:t>
      </w:r>
      <w:r>
        <w:rPr>
          <w:spacing w:val="-3"/>
          <w:w w:val="100"/>
        </w:rPr>
        <w:t>为</w:t>
      </w:r>
      <w:r>
        <w:rPr>
          <w:w w:val="100"/>
        </w:rPr>
        <w:t>限</w:t>
      </w:r>
      <w:r>
        <w:rPr>
          <w:spacing w:val="-3"/>
          <w:w w:val="100"/>
        </w:rPr>
        <w:t>制</w:t>
      </w:r>
      <w:r>
        <w:rPr>
          <w:w w:val="100"/>
        </w:rPr>
        <w:t>性股</w:t>
      </w:r>
      <w:r>
        <w:rPr>
          <w:spacing w:val="-3"/>
          <w:w w:val="100"/>
        </w:rPr>
        <w:t>票</w:t>
      </w:r>
      <w:r>
        <w:rPr>
          <w:w w:val="100"/>
        </w:rPr>
        <w:t>首</w:t>
      </w:r>
      <w:r>
        <w:rPr>
          <w:spacing w:val="-3"/>
          <w:w w:val="100"/>
        </w:rPr>
        <w:t>次</w:t>
      </w:r>
      <w:r>
        <w:rPr>
          <w:w w:val="100"/>
        </w:rPr>
        <w:t>授</w:t>
      </w:r>
      <w:r>
        <w:rPr>
          <w:spacing w:val="-3"/>
          <w:w w:val="100"/>
        </w:rPr>
        <w:t>予</w:t>
      </w:r>
      <w:r>
        <w:rPr>
          <w:w w:val="100"/>
        </w:rPr>
        <w:t>之</w:t>
      </w:r>
      <w:r>
        <w:rPr>
          <w:spacing w:val="-3"/>
          <w:w w:val="100"/>
        </w:rPr>
        <w:t>日</w:t>
      </w:r>
      <w:r>
        <w:rPr>
          <w:w w:val="100"/>
        </w:rPr>
        <w:t>起</w:t>
      </w:r>
      <w:r>
        <w:rPr>
          <w:spacing w:val="-53"/>
        </w:rPr>
        <w:t> </w:t>
      </w:r>
      <w:r>
        <w:rPr>
          <w:rFonts w:ascii="Times New Roman" w:hAnsi="Times New Roman" w:cs="Times New Roman" w:eastAsia="Times New Roman" w:hint="default"/>
          <w:spacing w:val="-3"/>
          <w:w w:val="100"/>
        </w:rPr>
        <w:t>4</w:t>
      </w:r>
      <w:r>
        <w:rPr>
          <w:rFonts w:ascii="Times New Roman" w:hAnsi="Times New Roman" w:cs="Times New Roman" w:eastAsia="Times New Roman" w:hint="default"/>
          <w:w w:val="100"/>
        </w:rPr>
        <w:t>8</w:t>
      </w:r>
      <w:r>
        <w:rPr>
          <w:rFonts w:ascii="Times New Roman" w:hAnsi="Times New Roman" w:cs="Times New Roman" w:eastAsia="Times New Roman" w:hint="default"/>
          <w:spacing w:val="-2"/>
        </w:rPr>
        <w:t> </w:t>
      </w:r>
      <w:r>
        <w:rPr>
          <w:w w:val="100"/>
        </w:rPr>
        <w:t>个</w:t>
      </w:r>
      <w:r>
        <w:rPr>
          <w:spacing w:val="-3"/>
          <w:w w:val="100"/>
        </w:rPr>
        <w:t>月</w:t>
      </w:r>
      <w:r>
        <w:rPr>
          <w:spacing w:val="-92"/>
          <w:w w:val="100"/>
        </w:rPr>
        <w:t>，</w:t>
      </w:r>
      <w:r>
        <w:rPr>
          <w:spacing w:val="-3"/>
          <w:w w:val="100"/>
        </w:rPr>
        <w:t>本</w:t>
      </w:r>
      <w:r>
        <w:rPr>
          <w:w w:val="100"/>
        </w:rPr>
        <w:t>计</w:t>
      </w:r>
      <w:r>
        <w:rPr>
          <w:spacing w:val="-3"/>
          <w:w w:val="100"/>
        </w:rPr>
        <w:t>划</w:t>
      </w:r>
      <w:r>
        <w:rPr>
          <w:w w:val="100"/>
        </w:rPr>
        <w:t>授</w:t>
      </w:r>
      <w:r>
        <w:rPr>
          <w:spacing w:val="-3"/>
          <w:w w:val="100"/>
        </w:rPr>
        <w:t>予</w:t>
      </w:r>
      <w:r>
        <w:rPr>
          <w:w w:val="100"/>
        </w:rPr>
        <w:t>的</w:t>
      </w:r>
      <w:r>
        <w:rPr>
          <w:spacing w:val="-3"/>
          <w:w w:val="100"/>
        </w:rPr>
        <w:t>限</w:t>
      </w:r>
      <w:r>
        <w:rPr>
          <w:w w:val="100"/>
        </w:rPr>
        <w:t>制</w:t>
      </w:r>
      <w:r>
        <w:rPr>
          <w:spacing w:val="-3"/>
          <w:w w:val="100"/>
        </w:rPr>
        <w:t>性</w:t>
      </w:r>
      <w:r>
        <w:rPr>
          <w:w w:val="100"/>
        </w:rPr>
        <w:t>股票</w:t>
      </w:r>
      <w:r>
        <w:rPr>
          <w:spacing w:val="-3"/>
          <w:w w:val="100"/>
        </w:rPr>
        <w:t>自</w:t>
      </w:r>
      <w:r>
        <w:rPr>
          <w:w w:val="100"/>
        </w:rPr>
        <w:t>授</w:t>
      </w:r>
      <w:r>
        <w:rPr>
          <w:spacing w:val="-3"/>
          <w:w w:val="100"/>
        </w:rPr>
        <w:t>予</w:t>
      </w:r>
      <w:r>
        <w:rPr>
          <w:w w:val="100"/>
        </w:rPr>
        <w:t>之</w:t>
      </w:r>
      <w:r>
        <w:rPr>
          <w:spacing w:val="-3"/>
          <w:w w:val="100"/>
        </w:rPr>
        <w:t>日</w:t>
      </w:r>
      <w:r>
        <w:rPr>
          <w:w w:val="100"/>
        </w:rPr>
        <w:t>起</w:t>
      </w:r>
    </w:p>
    <w:p>
      <w:pPr>
        <w:pStyle w:val="BodyText"/>
        <w:spacing w:line="240" w:lineRule="auto" w:before="108"/>
        <w:ind w:right="0"/>
        <w:jc w:val="both"/>
      </w:pPr>
      <w:r>
        <w:rPr/>
        <w:t>满</w:t>
      </w:r>
      <w:r>
        <w:rPr>
          <w:spacing w:val="-43"/>
        </w:rPr>
        <w:t> </w:t>
      </w:r>
      <w:r>
        <w:rPr>
          <w:rFonts w:ascii="Times New Roman" w:hAnsi="Times New Roman" w:cs="Times New Roman" w:eastAsia="Times New Roman" w:hint="default"/>
        </w:rPr>
        <w:t>12</w:t>
      </w:r>
      <w:r>
        <w:rPr>
          <w:rFonts w:ascii="Times New Roman" w:hAnsi="Times New Roman" w:cs="Times New Roman" w:eastAsia="Times New Roman" w:hint="default"/>
          <w:spacing w:val="10"/>
        </w:rPr>
        <w:t> </w:t>
      </w:r>
      <w:r>
        <w:rPr/>
        <w:t>个月后，满足解锁条件的，激励对象可以在未来</w:t>
      </w:r>
      <w:r>
        <w:rPr>
          <w:spacing w:val="-42"/>
        </w:rPr>
        <w:t> </w:t>
      </w:r>
      <w:r>
        <w:rPr>
          <w:rFonts w:ascii="Times New Roman" w:hAnsi="Times New Roman" w:cs="Times New Roman" w:eastAsia="Times New Roman" w:hint="default"/>
        </w:rPr>
        <w:t>48</w:t>
      </w:r>
      <w:r>
        <w:rPr>
          <w:rFonts w:ascii="Times New Roman" w:hAnsi="Times New Roman" w:cs="Times New Roman" w:eastAsia="Times New Roman" w:hint="default"/>
          <w:spacing w:val="10"/>
        </w:rPr>
        <w:t> </w:t>
      </w:r>
      <w:r>
        <w:rPr/>
        <w:t>个月内按</w:t>
      </w:r>
      <w:r>
        <w:rPr>
          <w:spacing w:val="-43"/>
        </w:rPr>
        <w:t> </w:t>
      </w:r>
      <w:r>
        <w:rPr>
          <w:rFonts w:ascii="Times New Roman" w:hAnsi="Times New Roman" w:cs="Times New Roman" w:eastAsia="Times New Roman" w:hint="default"/>
        </w:rPr>
        <w:t>30%</w:t>
      </w:r>
      <w:r>
        <w:rPr/>
        <w:t>：</w:t>
      </w:r>
      <w:r>
        <w:rPr>
          <w:rFonts w:ascii="Times New Roman" w:hAnsi="Times New Roman" w:cs="Times New Roman" w:eastAsia="Times New Roman" w:hint="default"/>
        </w:rPr>
        <w:t>30%</w:t>
      </w:r>
      <w:r>
        <w:rPr/>
        <w:t>：</w:t>
      </w:r>
      <w:r>
        <w:rPr>
          <w:rFonts w:ascii="Times New Roman" w:hAnsi="Times New Roman" w:cs="Times New Roman" w:eastAsia="Times New Roman" w:hint="default"/>
        </w:rPr>
        <w:t>40%</w:t>
      </w:r>
      <w:r>
        <w:rPr/>
        <w:t>的比例分三</w:t>
      </w:r>
    </w:p>
    <w:p>
      <w:pPr>
        <w:pStyle w:val="BodyText"/>
        <w:spacing w:line="331" w:lineRule="auto" w:before="110"/>
        <w:ind w:right="230"/>
        <w:jc w:val="both"/>
      </w:pPr>
      <w:r>
        <w:rPr>
          <w:spacing w:val="-3"/>
        </w:rPr>
        <w:t>期解锁。预留限制性股票自授予之日起满</w:t>
      </w:r>
      <w:r>
        <w:rPr>
          <w:spacing w:val="-38"/>
        </w:rPr>
        <w:t> </w:t>
      </w:r>
      <w:r>
        <w:rPr>
          <w:rFonts w:ascii="Times New Roman" w:hAnsi="Times New Roman" w:cs="Times New Roman" w:eastAsia="Times New Roman" w:hint="default"/>
        </w:rPr>
        <w:t>12</w:t>
      </w:r>
      <w:r>
        <w:rPr>
          <w:rFonts w:ascii="Times New Roman" w:hAnsi="Times New Roman" w:cs="Times New Roman" w:eastAsia="Times New Roman" w:hint="default"/>
          <w:spacing w:val="11"/>
        </w:rPr>
        <w:t> </w:t>
      </w:r>
      <w:r>
        <w:rPr>
          <w:spacing w:val="-3"/>
        </w:rPr>
        <w:t>个月后</w:t>
      </w:r>
      <w:r>
        <w:rPr>
          <w:rFonts w:ascii="Times New Roman" w:hAnsi="Times New Roman" w:cs="Times New Roman" w:eastAsia="Times New Roman" w:hint="default"/>
          <w:spacing w:val="-3"/>
        </w:rPr>
        <w:t>,</w:t>
      </w:r>
      <w:r>
        <w:rPr>
          <w:spacing w:val="-3"/>
        </w:rPr>
        <w:t>满足解锁件的，激励对象可以在未来</w:t>
      </w:r>
      <w:r>
        <w:rPr>
          <w:spacing w:val="-38"/>
        </w:rPr>
        <w:t> </w:t>
      </w:r>
      <w:r>
        <w:rPr>
          <w:rFonts w:ascii="Times New Roman" w:hAnsi="Times New Roman" w:cs="Times New Roman" w:eastAsia="Times New Roman" w:hint="default"/>
        </w:rPr>
        <w:t>36</w:t>
      </w:r>
      <w:r>
        <w:rPr>
          <w:rFonts w:ascii="Times New Roman" w:hAnsi="Times New Roman" w:cs="Times New Roman" w:eastAsia="Times New Roman" w:hint="default"/>
          <w:spacing w:val="11"/>
        </w:rPr>
        <w:t> </w:t>
      </w:r>
      <w:r>
        <w:rPr/>
        <w:t>个月</w:t>
      </w:r>
      <w:r>
        <w:rPr>
          <w:spacing w:val="-99"/>
        </w:rPr>
        <w:t> </w:t>
      </w:r>
      <w:r>
        <w:rPr/>
        <w:t>内按</w:t>
      </w:r>
      <w:r>
        <w:rPr>
          <w:spacing w:val="-55"/>
        </w:rPr>
        <w:t> </w:t>
      </w:r>
      <w:r>
        <w:rPr>
          <w:rFonts w:ascii="Times New Roman" w:hAnsi="Times New Roman" w:cs="Times New Roman" w:eastAsia="Times New Roman" w:hint="default"/>
        </w:rPr>
        <w:t>50%</w:t>
      </w:r>
      <w:r>
        <w:rPr/>
        <w:t>：</w:t>
      </w:r>
      <w:r>
        <w:rPr>
          <w:rFonts w:ascii="Times New Roman" w:hAnsi="Times New Roman" w:cs="Times New Roman" w:eastAsia="Times New Roman" w:hint="default"/>
        </w:rPr>
        <w:t>50%</w:t>
      </w:r>
      <w:r>
        <w:rPr/>
        <w:t>的比例分两期解锁。</w:t>
      </w:r>
    </w:p>
    <w:p>
      <w:pPr>
        <w:pStyle w:val="BodyText"/>
        <w:spacing w:line="331" w:lineRule="auto" w:before="19"/>
        <w:ind w:right="228"/>
        <w:jc w:val="both"/>
        <w:rPr>
          <w:rFonts w:ascii="宋体" w:hAnsi="宋体" w:cs="宋体" w:eastAsia="宋体" w:hint="default"/>
        </w:rPr>
      </w:pPr>
      <w:r>
        <w:rPr/>
        <w:t>本激励计划中限制性股票解锁的公司业绩条件为：以</w:t>
      </w:r>
      <w:r>
        <w:rPr>
          <w:spacing w:val="-49"/>
        </w:rPr>
        <w:t> </w:t>
      </w:r>
      <w:r>
        <w:rPr>
          <w:rFonts w:ascii="Times New Roman" w:hAnsi="Times New Roman" w:cs="Times New Roman" w:eastAsia="Times New Roman" w:hint="default"/>
        </w:rPr>
        <w:t>2015 </w:t>
      </w:r>
      <w:r>
        <w:rPr/>
        <w:t>年净利润为基数，</w:t>
      </w:r>
      <w:r>
        <w:rPr>
          <w:rFonts w:ascii="Times New Roman" w:hAnsi="Times New Roman" w:cs="Times New Roman" w:eastAsia="Times New Roman" w:hint="default"/>
        </w:rPr>
        <w:t>2017</w:t>
      </w:r>
      <w:r>
        <w:rPr>
          <w:rFonts w:ascii="Times New Roman" w:hAnsi="Times New Roman" w:cs="Times New Roman" w:eastAsia="Times New Roman" w:hint="default"/>
          <w:spacing w:val="4"/>
        </w:rPr>
        <w:t> </w:t>
      </w:r>
      <w:r>
        <w:rPr/>
        <w:t>年、</w:t>
      </w:r>
      <w:r>
        <w:rPr>
          <w:rFonts w:ascii="Times New Roman" w:hAnsi="Times New Roman" w:cs="Times New Roman" w:eastAsia="Times New Roman" w:hint="default"/>
        </w:rPr>
        <w:t>2018 </w:t>
      </w:r>
      <w:r>
        <w:rPr>
          <w:spacing w:val="-3"/>
        </w:rPr>
        <w:t>年、</w:t>
      </w:r>
      <w:r>
        <w:rPr>
          <w:spacing w:val="-3"/>
          <w:w w:val="100"/>
        </w:rPr>
        <w:t> </w:t>
      </w:r>
      <w:r>
        <w:rPr>
          <w:rFonts w:ascii="Times New Roman" w:hAnsi="Times New Roman" w:cs="Times New Roman" w:eastAsia="Times New Roman" w:hint="default"/>
        </w:rPr>
        <w:t>2019</w:t>
      </w:r>
      <w:r>
        <w:rPr>
          <w:rFonts w:ascii="Times New Roman" w:hAnsi="Times New Roman" w:cs="Times New Roman" w:eastAsia="Times New Roman" w:hint="default"/>
          <w:spacing w:val="7"/>
        </w:rPr>
        <w:t> </w:t>
      </w:r>
      <w:r>
        <w:rPr/>
        <w:t>年的各年度实现的净利润较</w:t>
      </w:r>
      <w:r>
        <w:rPr>
          <w:spacing w:val="-43"/>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0"/>
        </w:rPr>
        <w:t> </w:t>
      </w:r>
      <w:r>
        <w:rPr>
          <w:spacing w:val="-4"/>
        </w:rPr>
        <w:t>年相比，增长比例分别不低于</w:t>
      </w:r>
      <w:r>
        <w:rPr>
          <w:spacing w:val="-43"/>
        </w:rPr>
        <w:t> </w:t>
      </w:r>
      <w:r>
        <w:rPr>
          <w:rFonts w:ascii="Times New Roman" w:hAnsi="Times New Roman" w:cs="Times New Roman" w:eastAsia="Times New Roman" w:hint="default"/>
          <w:spacing w:val="-6"/>
        </w:rPr>
        <w:t>43%</w:t>
      </w:r>
      <w:r>
        <w:rPr>
          <w:spacing w:val="-6"/>
        </w:rPr>
        <w:t>、</w:t>
      </w:r>
      <w:r>
        <w:rPr>
          <w:rFonts w:ascii="Times New Roman" w:hAnsi="Times New Roman" w:cs="Times New Roman" w:eastAsia="Times New Roman" w:hint="default"/>
          <w:spacing w:val="-6"/>
        </w:rPr>
        <w:t>67%</w:t>
      </w:r>
      <w:r>
        <w:rPr>
          <w:spacing w:val="-6"/>
        </w:rPr>
        <w:t>、</w:t>
      </w:r>
      <w:r>
        <w:rPr>
          <w:rFonts w:ascii="Times New Roman" w:hAnsi="Times New Roman" w:cs="Times New Roman" w:eastAsia="Times New Roman" w:hint="default"/>
          <w:spacing w:val="-6"/>
        </w:rPr>
        <w:t>88%</w:t>
      </w:r>
      <w:r>
        <w:rPr>
          <w:spacing w:val="-6"/>
        </w:rPr>
        <w:t>，即绝对数</w:t>
      </w:r>
      <w:r>
        <w:rPr>
          <w:spacing w:val="-101"/>
        </w:rPr>
        <w:t> </w:t>
      </w:r>
      <w:r>
        <w:rPr>
          <w:spacing w:val="-101"/>
        </w:rPr>
      </w:r>
      <w:r>
        <w:rPr/>
        <w:t>额分别不低于 </w:t>
      </w:r>
      <w:r>
        <w:rPr>
          <w:rFonts w:ascii="Times New Roman" w:hAnsi="Times New Roman" w:cs="Times New Roman" w:eastAsia="Times New Roman" w:hint="default"/>
        </w:rPr>
        <w:t>7.0 </w:t>
      </w:r>
      <w:r>
        <w:rPr/>
        <w:t>亿元、</w:t>
      </w:r>
      <w:r>
        <w:rPr>
          <w:rFonts w:ascii="Times New Roman" w:hAnsi="Times New Roman" w:cs="Times New Roman" w:eastAsia="Times New Roman" w:hint="default"/>
        </w:rPr>
        <w:t>8.2 </w:t>
      </w:r>
      <w:r>
        <w:rPr/>
        <w:t>亿元、</w:t>
      </w:r>
      <w:r>
        <w:rPr>
          <w:rFonts w:ascii="Times New Roman" w:hAnsi="Times New Roman" w:cs="Times New Roman" w:eastAsia="Times New Roman" w:hint="default"/>
        </w:rPr>
        <w:t>9.2</w:t>
      </w:r>
      <w:r>
        <w:rPr>
          <w:rFonts w:ascii="Times New Roman" w:hAnsi="Times New Roman" w:cs="Times New Roman" w:eastAsia="Times New Roman" w:hint="default"/>
          <w:spacing w:val="3"/>
        </w:rPr>
        <w:t> </w:t>
      </w:r>
      <w:r>
        <w:rPr/>
        <w:t>亿元。以扣除非经常性损益并剔除本次及其他激励计划激</w:t>
      </w:r>
      <w:r>
        <w:rPr>
          <w:w w:val="100"/>
        </w:rPr>
        <w:t> </w:t>
      </w:r>
      <w:r>
        <w:rPr/>
        <w:t>励成本影响的经审计的净利润为计算依据。</w:t>
      </w:r>
      <w:r>
        <w:rPr>
          <w:rFonts w:ascii="宋体" w:hAnsi="宋体" w:cs="宋体" w:eastAsia="宋体" w:hint="default"/>
        </w:rPr>
        <w:t> </w:t>
      </w:r>
    </w:p>
    <w:p>
      <w:pPr>
        <w:spacing w:after="0" w:line="331" w:lineRule="auto"/>
        <w:jc w:val="both"/>
        <w:rPr>
          <w:rFonts w:ascii="宋体" w:hAnsi="宋体" w:cs="宋体" w:eastAsia="宋体" w:hint="default"/>
        </w:rPr>
        <w:sectPr>
          <w:type w:val="continuous"/>
          <w:pgSz w:w="11910" w:h="16840"/>
          <w:pgMar w:top="1580" w:bottom="280" w:left="1580" w:right="1040"/>
        </w:sectPr>
      </w:pPr>
    </w:p>
    <w:p>
      <w:pPr>
        <w:spacing w:line="240" w:lineRule="auto" w:before="12"/>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pgSz w:w="11910" w:h="16840"/>
          <w:pgMar w:header="748" w:footer="974" w:top="1140" w:bottom="1160" w:left="1580" w:right="1040"/>
        </w:sectPr>
      </w:pPr>
    </w:p>
    <w:p>
      <w:pPr>
        <w:pStyle w:val="Heading3"/>
        <w:spacing w:line="240" w:lineRule="auto" w:before="36"/>
        <w:ind w:right="-18"/>
        <w:jc w:val="left"/>
        <w:rPr>
          <w:b w:val="0"/>
          <w:bCs w:val="0"/>
        </w:rPr>
      </w:pPr>
      <w:r>
        <w:rPr>
          <w:rFonts w:ascii="宋体" w:hAnsi="宋体" w:cs="宋体" w:eastAsia="宋体" w:hint="default"/>
        </w:rPr>
        <w:t>2</w:t>
      </w:r>
      <w:r>
        <w:rPr/>
        <w:t>、 以权益结算的股份支付情况</w:t>
      </w:r>
      <w:r>
        <w:rPr>
          <w:b w:val="0"/>
          <w:bCs w:val="0"/>
        </w:rPr>
      </w:r>
    </w:p>
    <w:p>
      <w:pPr>
        <w:pStyle w:val="Heading2"/>
        <w:spacing w:line="240" w:lineRule="auto" w:before="53"/>
        <w:ind w:right="-18"/>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spacing w:line="240" w:lineRule="auto" w:before="158"/>
        <w:ind w:right="0"/>
        <w:jc w:val="left"/>
        <w:rPr>
          <w:rFonts w:ascii="宋体" w:hAnsi="宋体" w:cs="宋体" w:eastAsia="宋体" w:hint="default"/>
        </w:rPr>
      </w:pPr>
      <w:r>
        <w:rPr/>
        <w:t>单位：万元币种：人民币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580" w:bottom="280" w:left="1580" w:right="1040"/>
          <w:cols w:num="2" w:equalWidth="0">
            <w:col w:w="3173" w:space="3349"/>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645"/>
        <w:gridCol w:w="4405"/>
      </w:tblGrid>
      <w:tr>
        <w:trPr>
          <w:trHeight w:val="283"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授予日权益工具公允价值的确定方法</w:t>
            </w:r>
            <w:r>
              <w:rPr>
                <w:rFonts w:ascii="宋体" w:hAnsi="宋体" w:cs="宋体" w:eastAsia="宋体" w:hint="default"/>
                <w:sz w:val="21"/>
                <w:szCs w:val="21"/>
              </w:rPr>
              <w:t> </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281"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可行权权益工具数量的确定依据</w:t>
            </w:r>
            <w:r>
              <w:rPr>
                <w:rFonts w:ascii="宋体" w:hAnsi="宋体" w:cs="宋体" w:eastAsia="宋体" w:hint="default"/>
                <w:sz w:val="21"/>
                <w:szCs w:val="21"/>
              </w:rPr>
              <w:t> </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283"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本期估计与上期估计有重大差异的原因</w:t>
            </w:r>
            <w:r>
              <w:rPr>
                <w:rFonts w:ascii="宋体" w:hAnsi="宋体" w:cs="宋体" w:eastAsia="宋体" w:hint="default"/>
                <w:sz w:val="21"/>
                <w:szCs w:val="21"/>
              </w:rPr>
              <w:t> </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r>
      <w:tr>
        <w:trPr>
          <w:trHeight w:val="283"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以权益结算的股份支付计入资本公积的累计金额</w:t>
            </w:r>
            <w:r>
              <w:rPr>
                <w:rFonts w:ascii="宋体" w:hAnsi="宋体" w:cs="宋体" w:eastAsia="宋体" w:hint="default"/>
                <w:sz w:val="21"/>
                <w:szCs w:val="21"/>
              </w:rPr>
              <w:t> </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4,533.08</w:t>
            </w:r>
            <w:r>
              <w:rPr>
                <w:rFonts w:ascii="宋体"/>
                <w:sz w:val="21"/>
              </w:rPr>
              <w:t> </w:t>
            </w:r>
          </w:p>
        </w:tc>
      </w:tr>
      <w:tr>
        <w:trPr>
          <w:trHeight w:val="281"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本期以权益结算的股份支付确认的费用总额</w:t>
            </w:r>
            <w:r>
              <w:rPr>
                <w:rFonts w:ascii="宋体" w:hAnsi="宋体" w:cs="宋体" w:eastAsia="宋体" w:hint="default"/>
                <w:sz w:val="21"/>
                <w:szCs w:val="21"/>
              </w:rPr>
              <w:t> </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bl>
    <w:p>
      <w:pPr>
        <w:pStyle w:val="BodyText"/>
        <w:spacing w:line="241" w:lineRule="exact"/>
        <w:ind w:right="0"/>
        <w:jc w:val="left"/>
        <w:rPr>
          <w:rFonts w:ascii="宋体" w:hAnsi="宋体" w:cs="宋体" w:eastAsia="宋体" w:hint="default"/>
        </w:rPr>
      </w:pPr>
      <w:r>
        <w:rPr/>
        <w:t>其他说明</w:t>
      </w:r>
      <w:r>
        <w:rPr>
          <w:rFonts w:ascii="宋体" w:hAnsi="宋体" w:cs="宋体" w:eastAsia="宋体" w:hint="default"/>
        </w:rPr>
        <w:t> </w:t>
      </w:r>
    </w:p>
    <w:p>
      <w:pPr>
        <w:pStyle w:val="Heading3"/>
        <w:spacing w:line="240" w:lineRule="auto" w:before="87"/>
        <w:ind w:right="0"/>
        <w:jc w:val="left"/>
        <w:rPr>
          <w:b w:val="0"/>
          <w:bCs w:val="0"/>
        </w:rPr>
      </w:pPr>
      <w:r>
        <w:rPr/>
        <w:t>（一）股份支付授予情况</w:t>
      </w:r>
      <w:r>
        <w:rPr>
          <w:b w:val="0"/>
          <w:bCs w:val="0"/>
        </w:rPr>
      </w:r>
    </w:p>
    <w:p>
      <w:pPr>
        <w:pStyle w:val="BodyText"/>
        <w:spacing w:line="309" w:lineRule="auto" w:before="85"/>
        <w:ind w:left="930" w:right="227"/>
        <w:jc w:val="both"/>
      </w:pPr>
      <w:r>
        <w:rPr>
          <w:rFonts w:ascii="Times New Roman" w:hAnsi="Times New Roman" w:cs="Times New Roman" w:eastAsia="Times New Roman" w:hint="default"/>
        </w:rPr>
        <w:t>2017 </w:t>
      </w:r>
      <w:r>
        <w:rPr/>
        <w:t>年 </w:t>
      </w:r>
      <w:r>
        <w:rPr>
          <w:rFonts w:ascii="Times New Roman" w:hAnsi="Times New Roman" w:cs="Times New Roman" w:eastAsia="Times New Roman" w:hint="default"/>
        </w:rPr>
        <w:t>2 </w:t>
      </w:r>
      <w:r>
        <w:rPr/>
        <w:t>月 </w:t>
      </w:r>
      <w:r>
        <w:rPr>
          <w:rFonts w:ascii="Times New Roman" w:hAnsi="Times New Roman" w:cs="Times New Roman" w:eastAsia="Times New Roman" w:hint="default"/>
        </w:rPr>
        <w:t>7</w:t>
      </w:r>
      <w:r>
        <w:rPr>
          <w:rFonts w:ascii="Times New Roman" w:hAnsi="Times New Roman" w:cs="Times New Roman" w:eastAsia="Times New Roman" w:hint="default"/>
          <w:spacing w:val="-24"/>
        </w:rPr>
        <w:t> </w:t>
      </w:r>
      <w:r>
        <w:rPr/>
        <w:t>日公司召开第三届董事会第十四次会议审议并通过了《关于调整公司第二</w:t>
      </w:r>
      <w:r>
        <w:rPr>
          <w:w w:val="100"/>
        </w:rPr>
        <w:t> </w:t>
      </w:r>
      <w:r>
        <w:rPr>
          <w:spacing w:val="-4"/>
        </w:rPr>
        <w:t>期限制性股票激励计划激励对象和授予数量的议案》及《关于向激励对象首次授予限制性</w:t>
      </w:r>
      <w:r>
        <w:rPr>
          <w:spacing w:val="-25"/>
        </w:rPr>
        <w:t> </w:t>
      </w:r>
      <w:r>
        <w:rPr>
          <w:spacing w:val="-25"/>
        </w:rPr>
      </w:r>
      <w:r>
        <w:rPr>
          <w:spacing w:val="-4"/>
        </w:rPr>
        <w:t>股票的议案》，对第二期限制性股票激励计划激励对象和授予数量进行调整，公司激励对</w:t>
      </w:r>
      <w:r>
        <w:rPr>
          <w:spacing w:val="-27"/>
        </w:rPr>
        <w:t> </w:t>
      </w:r>
      <w:r>
        <w:rPr>
          <w:spacing w:val="-27"/>
        </w:rPr>
      </w:r>
      <w:r>
        <w:rPr/>
        <w:t>象人数由</w:t>
      </w:r>
      <w:r>
        <w:rPr>
          <w:spacing w:val="-51"/>
        </w:rPr>
        <w:t> </w:t>
      </w:r>
      <w:r>
        <w:rPr>
          <w:rFonts w:ascii="Times New Roman" w:hAnsi="Times New Roman" w:cs="Times New Roman" w:eastAsia="Times New Roman" w:hint="default"/>
        </w:rPr>
        <w:t>229</w:t>
      </w:r>
      <w:r>
        <w:rPr>
          <w:rFonts w:ascii="Times New Roman" w:hAnsi="Times New Roman" w:cs="Times New Roman" w:eastAsia="Times New Roman" w:hint="default"/>
          <w:spacing w:val="1"/>
        </w:rPr>
        <w:t> </w:t>
      </w:r>
      <w:r>
        <w:rPr/>
        <w:t>名变更为</w:t>
      </w:r>
      <w:r>
        <w:rPr>
          <w:spacing w:val="-48"/>
        </w:rPr>
        <w:t> </w:t>
      </w:r>
      <w:r>
        <w:rPr>
          <w:rFonts w:ascii="Times New Roman" w:hAnsi="Times New Roman" w:cs="Times New Roman" w:eastAsia="Times New Roman" w:hint="default"/>
        </w:rPr>
        <w:t>221</w:t>
      </w:r>
      <w:r>
        <w:rPr>
          <w:rFonts w:ascii="Times New Roman" w:hAnsi="Times New Roman" w:cs="Times New Roman" w:eastAsia="Times New Roman" w:hint="default"/>
          <w:spacing w:val="4"/>
        </w:rPr>
        <w:t> </w:t>
      </w:r>
      <w:r>
        <w:rPr/>
        <w:t>名；授予的限制性股票数量由</w:t>
      </w:r>
      <w:r>
        <w:rPr>
          <w:spacing w:val="-49"/>
        </w:rPr>
        <w:t> </w:t>
      </w:r>
      <w:r>
        <w:rPr>
          <w:rFonts w:ascii="Times New Roman" w:hAnsi="Times New Roman" w:cs="Times New Roman" w:eastAsia="Times New Roman" w:hint="default"/>
        </w:rPr>
        <w:t>2,360</w:t>
      </w:r>
      <w:r>
        <w:rPr>
          <w:rFonts w:ascii="Times New Roman" w:hAnsi="Times New Roman" w:cs="Times New Roman" w:eastAsia="Times New Roman" w:hint="default"/>
          <w:spacing w:val="1"/>
        </w:rPr>
        <w:t> </w:t>
      </w:r>
      <w:r>
        <w:rPr/>
        <w:t>万股变更为</w:t>
      </w:r>
      <w:r>
        <w:rPr>
          <w:spacing w:val="-48"/>
        </w:rPr>
        <w:t> </w:t>
      </w:r>
      <w:r>
        <w:rPr>
          <w:rFonts w:ascii="Times New Roman" w:hAnsi="Times New Roman" w:cs="Times New Roman" w:eastAsia="Times New Roman" w:hint="default"/>
        </w:rPr>
        <w:t>2,316</w:t>
      </w:r>
      <w:r>
        <w:rPr>
          <w:rFonts w:ascii="Times New Roman" w:hAnsi="Times New Roman" w:cs="Times New Roman" w:eastAsia="Times New Roman" w:hint="default"/>
          <w:spacing w:val="1"/>
        </w:rPr>
        <w:t> </w:t>
      </w:r>
      <w:r>
        <w:rPr/>
        <w:t>万股，</w:t>
      </w:r>
    </w:p>
    <w:p>
      <w:pPr>
        <w:pStyle w:val="BodyText"/>
        <w:spacing w:line="240" w:lineRule="auto" w:before="2"/>
        <w:ind w:left="930" w:right="0"/>
        <w:jc w:val="both"/>
      </w:pPr>
      <w:r>
        <w:rPr>
          <w:w w:val="100"/>
        </w:rPr>
        <w:t>首次</w:t>
      </w:r>
      <w:r>
        <w:rPr>
          <w:spacing w:val="-3"/>
          <w:w w:val="100"/>
        </w:rPr>
        <w:t>授</w:t>
      </w:r>
      <w:r>
        <w:rPr>
          <w:w w:val="100"/>
        </w:rPr>
        <w:t>予</w:t>
      </w:r>
      <w:r>
        <w:rPr>
          <w:spacing w:val="-3"/>
          <w:w w:val="100"/>
        </w:rPr>
        <w:t>的</w:t>
      </w:r>
      <w:r>
        <w:rPr>
          <w:w w:val="100"/>
        </w:rPr>
        <w:t>限</w:t>
      </w:r>
      <w:r>
        <w:rPr>
          <w:spacing w:val="-3"/>
          <w:w w:val="100"/>
        </w:rPr>
        <w:t>制</w:t>
      </w:r>
      <w:r>
        <w:rPr>
          <w:w w:val="100"/>
        </w:rPr>
        <w:t>性</w:t>
      </w:r>
      <w:r>
        <w:rPr>
          <w:spacing w:val="-3"/>
          <w:w w:val="100"/>
        </w:rPr>
        <w:t>股</w:t>
      </w:r>
      <w:r>
        <w:rPr>
          <w:w w:val="100"/>
        </w:rPr>
        <w:t>票</w:t>
      </w:r>
      <w:r>
        <w:rPr>
          <w:spacing w:val="-3"/>
          <w:w w:val="100"/>
        </w:rPr>
        <w:t>数</w:t>
      </w:r>
      <w:r>
        <w:rPr>
          <w:w w:val="100"/>
        </w:rPr>
        <w:t>量由</w:t>
      </w:r>
      <w:r>
        <w:rPr>
          <w:spacing w:val="-64"/>
        </w:rPr>
        <w:t> </w:t>
      </w:r>
      <w:r>
        <w:rPr>
          <w:rFonts w:ascii="Times New Roman" w:hAnsi="Times New Roman" w:cs="Times New Roman" w:eastAsia="Times New Roman" w:hint="default"/>
          <w:w w:val="100"/>
        </w:rPr>
        <w:t>2</w:t>
      </w:r>
      <w:r>
        <w:rPr>
          <w:rFonts w:ascii="Times New Roman" w:hAnsi="Times New Roman" w:cs="Times New Roman" w:eastAsia="Times New Roman" w:hint="default"/>
          <w:spacing w:val="-3"/>
          <w:w w:val="100"/>
        </w:rPr>
        <w:t>,</w:t>
      </w:r>
      <w:r>
        <w:rPr>
          <w:rFonts w:ascii="Times New Roman" w:hAnsi="Times New Roman" w:cs="Times New Roman" w:eastAsia="Times New Roman" w:hint="default"/>
          <w:w w:val="100"/>
        </w:rPr>
        <w:t>200</w:t>
      </w:r>
      <w:r>
        <w:rPr>
          <w:rFonts w:ascii="Times New Roman" w:hAnsi="Times New Roman" w:cs="Times New Roman" w:eastAsia="Times New Roman" w:hint="default"/>
          <w:spacing w:val="-15"/>
        </w:rPr>
        <w:t> </w:t>
      </w:r>
      <w:r>
        <w:rPr>
          <w:w w:val="100"/>
        </w:rPr>
        <w:t>万</w:t>
      </w:r>
      <w:r>
        <w:rPr>
          <w:spacing w:val="-3"/>
          <w:w w:val="100"/>
        </w:rPr>
        <w:t>股</w:t>
      </w:r>
      <w:r>
        <w:rPr>
          <w:w w:val="100"/>
        </w:rPr>
        <w:t>变</w:t>
      </w:r>
      <w:r>
        <w:rPr>
          <w:spacing w:val="-3"/>
          <w:w w:val="100"/>
        </w:rPr>
        <w:t>更</w:t>
      </w:r>
      <w:r>
        <w:rPr>
          <w:w w:val="100"/>
        </w:rPr>
        <w:t>为</w:t>
      </w:r>
      <w:r>
        <w:rPr>
          <w:spacing w:val="-64"/>
        </w:rPr>
        <w:t> </w:t>
      </w:r>
      <w:r>
        <w:rPr>
          <w:rFonts w:ascii="Times New Roman" w:hAnsi="Times New Roman" w:cs="Times New Roman" w:eastAsia="Times New Roman" w:hint="default"/>
          <w:w w:val="100"/>
        </w:rPr>
        <w:t>2,</w:t>
      </w:r>
      <w:r>
        <w:rPr>
          <w:rFonts w:ascii="Times New Roman" w:hAnsi="Times New Roman" w:cs="Times New Roman" w:eastAsia="Times New Roman" w:hint="default"/>
          <w:spacing w:val="-3"/>
          <w:w w:val="100"/>
        </w:rPr>
        <w:t>15</w:t>
      </w:r>
      <w:r>
        <w:rPr>
          <w:rFonts w:ascii="Times New Roman" w:hAnsi="Times New Roman" w:cs="Times New Roman" w:eastAsia="Times New Roman" w:hint="default"/>
          <w:w w:val="100"/>
        </w:rPr>
        <w:t>6</w:t>
      </w:r>
      <w:r>
        <w:rPr>
          <w:rFonts w:ascii="Times New Roman" w:hAnsi="Times New Roman" w:cs="Times New Roman" w:eastAsia="Times New Roman" w:hint="default"/>
          <w:spacing w:val="-12"/>
        </w:rPr>
        <w:t> </w:t>
      </w:r>
      <w:r>
        <w:rPr>
          <w:w w:val="100"/>
        </w:rPr>
        <w:t>万</w:t>
      </w:r>
      <w:r>
        <w:rPr>
          <w:spacing w:val="-3"/>
          <w:w w:val="100"/>
        </w:rPr>
        <w:t>股</w:t>
      </w:r>
      <w:r>
        <w:rPr>
          <w:spacing w:val="-106"/>
          <w:w w:val="100"/>
        </w:rPr>
        <w:t>，</w:t>
      </w:r>
      <w:r>
        <w:rPr>
          <w:spacing w:val="-3"/>
          <w:w w:val="100"/>
        </w:rPr>
        <w:t>预</w:t>
      </w:r>
      <w:r>
        <w:rPr>
          <w:w w:val="100"/>
        </w:rPr>
        <w:t>留</w:t>
      </w:r>
      <w:r>
        <w:rPr>
          <w:spacing w:val="-3"/>
          <w:w w:val="100"/>
        </w:rPr>
        <w:t>授</w:t>
      </w:r>
      <w:r>
        <w:rPr>
          <w:w w:val="100"/>
        </w:rPr>
        <w:t>予</w:t>
      </w:r>
      <w:r>
        <w:rPr>
          <w:spacing w:val="-3"/>
          <w:w w:val="100"/>
        </w:rPr>
        <w:t>数</w:t>
      </w:r>
      <w:r>
        <w:rPr>
          <w:w w:val="100"/>
        </w:rPr>
        <w:t>量</w:t>
      </w:r>
      <w:r>
        <w:rPr>
          <w:spacing w:val="-64"/>
        </w:rPr>
        <w:t> </w:t>
      </w:r>
      <w:r>
        <w:rPr>
          <w:rFonts w:ascii="Times New Roman" w:hAnsi="Times New Roman" w:cs="Times New Roman" w:eastAsia="Times New Roman" w:hint="default"/>
          <w:w w:val="100"/>
        </w:rPr>
        <w:t>160</w:t>
      </w:r>
      <w:r>
        <w:rPr>
          <w:rFonts w:ascii="Times New Roman" w:hAnsi="Times New Roman" w:cs="Times New Roman" w:eastAsia="Times New Roman" w:hint="default"/>
          <w:spacing w:val="-15"/>
        </w:rPr>
        <w:t> </w:t>
      </w:r>
      <w:r>
        <w:rPr>
          <w:w w:val="100"/>
        </w:rPr>
        <w:t>万股</w:t>
      </w:r>
      <w:r>
        <w:rPr>
          <w:spacing w:val="-3"/>
          <w:w w:val="100"/>
        </w:rPr>
        <w:t>不</w:t>
      </w:r>
      <w:r>
        <w:rPr>
          <w:w w:val="100"/>
        </w:rPr>
        <w:t>变；</w:t>
      </w:r>
    </w:p>
    <w:p>
      <w:pPr>
        <w:pStyle w:val="BodyText"/>
        <w:spacing w:line="240" w:lineRule="auto" w:before="69"/>
        <w:ind w:left="930" w:right="0"/>
        <w:jc w:val="both"/>
      </w:pPr>
      <w:r>
        <w:rPr/>
        <w:t>同时确定以</w:t>
      </w:r>
      <w:r>
        <w:rPr>
          <w:spacing w:val="-45"/>
        </w:rPr>
        <w:t> </w:t>
      </w:r>
      <w:r>
        <w:rPr>
          <w:rFonts w:ascii="Times New Roman" w:hAnsi="Times New Roman" w:cs="Times New Roman" w:eastAsia="Times New Roman" w:hint="default"/>
        </w:rPr>
        <w:t>2017</w:t>
      </w:r>
      <w:r>
        <w:rPr>
          <w:rFonts w:ascii="Times New Roman" w:hAnsi="Times New Roman" w:cs="Times New Roman" w:eastAsia="Times New Roman" w:hint="default"/>
          <w:spacing w:val="9"/>
        </w:rPr>
        <w:t> </w:t>
      </w:r>
      <w:r>
        <w:rPr/>
        <w:t>年</w:t>
      </w:r>
      <w:r>
        <w:rPr>
          <w:spacing w:val="-44"/>
        </w:rPr>
        <w:t> </w:t>
      </w:r>
      <w:r>
        <w:rPr>
          <w:rFonts w:ascii="Times New Roman" w:hAnsi="Times New Roman" w:cs="Times New Roman" w:eastAsia="Times New Roman" w:hint="default"/>
        </w:rPr>
        <w:t>2</w:t>
      </w:r>
      <w:r>
        <w:rPr>
          <w:rFonts w:ascii="Times New Roman" w:hAnsi="Times New Roman" w:cs="Times New Roman" w:eastAsia="Times New Roman" w:hint="default"/>
          <w:spacing w:val="8"/>
        </w:rPr>
        <w:t> </w:t>
      </w:r>
      <w:r>
        <w:rPr/>
        <w:t>月</w:t>
      </w:r>
      <w:r>
        <w:rPr>
          <w:spacing w:val="-44"/>
        </w:rPr>
        <w:t> </w:t>
      </w:r>
      <w:r>
        <w:rPr>
          <w:rFonts w:ascii="Times New Roman" w:hAnsi="Times New Roman" w:cs="Times New Roman" w:eastAsia="Times New Roman" w:hint="default"/>
        </w:rPr>
        <w:t>7</w:t>
      </w:r>
      <w:r>
        <w:rPr>
          <w:rFonts w:ascii="Times New Roman" w:hAnsi="Times New Roman" w:cs="Times New Roman" w:eastAsia="Times New Roman" w:hint="default"/>
          <w:spacing w:val="8"/>
        </w:rPr>
        <w:t> </w:t>
      </w:r>
      <w:r>
        <w:rPr/>
        <w:t>日为授予日，向</w:t>
      </w:r>
      <w:r>
        <w:rPr>
          <w:spacing w:val="-44"/>
        </w:rPr>
        <w:t> </w:t>
      </w:r>
      <w:r>
        <w:rPr>
          <w:rFonts w:ascii="Times New Roman" w:hAnsi="Times New Roman" w:cs="Times New Roman" w:eastAsia="Times New Roman" w:hint="default"/>
        </w:rPr>
        <w:t>221</w:t>
      </w:r>
      <w:r>
        <w:rPr>
          <w:rFonts w:ascii="Times New Roman" w:hAnsi="Times New Roman" w:cs="Times New Roman" w:eastAsia="Times New Roman" w:hint="default"/>
          <w:spacing w:val="8"/>
        </w:rPr>
        <w:t> </w:t>
      </w:r>
      <w:r>
        <w:rPr/>
        <w:t>名激励对象授予</w:t>
      </w:r>
      <w:r>
        <w:rPr>
          <w:spacing w:val="-47"/>
        </w:rPr>
        <w:t> </w:t>
      </w:r>
      <w:r>
        <w:rPr>
          <w:rFonts w:ascii="Times New Roman" w:hAnsi="Times New Roman" w:cs="Times New Roman" w:eastAsia="Times New Roman" w:hint="default"/>
        </w:rPr>
        <w:t>2,156</w:t>
      </w:r>
      <w:r>
        <w:rPr>
          <w:rFonts w:ascii="Times New Roman" w:hAnsi="Times New Roman" w:cs="Times New Roman" w:eastAsia="Times New Roman" w:hint="default"/>
          <w:spacing w:val="6"/>
        </w:rPr>
        <w:t> </w:t>
      </w:r>
      <w:r>
        <w:rPr/>
        <w:t>万股限制性股票。</w:t>
      </w:r>
    </w:p>
    <w:p>
      <w:pPr>
        <w:pStyle w:val="BodyText"/>
        <w:spacing w:line="240" w:lineRule="auto" w:before="69"/>
        <w:ind w:left="930" w:right="0"/>
        <w:jc w:val="both"/>
      </w:pPr>
      <w:r>
        <w:rPr>
          <w:rFonts w:ascii="Times New Roman" w:hAnsi="Times New Roman" w:cs="Times New Roman" w:eastAsia="Times New Roman" w:hint="default"/>
        </w:rPr>
        <w:t>2017 </w:t>
      </w:r>
      <w:r>
        <w:rPr/>
        <w:t>年 </w:t>
      </w:r>
      <w:r>
        <w:rPr>
          <w:rFonts w:ascii="Times New Roman" w:hAnsi="Times New Roman" w:cs="Times New Roman" w:eastAsia="Times New Roman" w:hint="default"/>
        </w:rPr>
        <w:t>2 </w:t>
      </w:r>
      <w:r>
        <w:rPr/>
        <w:t>月 </w:t>
      </w:r>
      <w:r>
        <w:rPr>
          <w:rFonts w:ascii="Times New Roman" w:hAnsi="Times New Roman" w:cs="Times New Roman" w:eastAsia="Times New Roman" w:hint="default"/>
        </w:rPr>
        <w:t>20</w:t>
      </w:r>
      <w:r>
        <w:rPr>
          <w:rFonts w:ascii="Times New Roman" w:hAnsi="Times New Roman" w:cs="Times New Roman" w:eastAsia="Times New Roman" w:hint="default"/>
          <w:spacing w:val="-29"/>
        </w:rPr>
        <w:t> </w:t>
      </w:r>
      <w:r>
        <w:rPr/>
        <w:t>日，公司完成第二期限制性股票激励计划首次授予限制性股票登记手续。</w:t>
      </w:r>
    </w:p>
    <w:p>
      <w:pPr>
        <w:pStyle w:val="BodyText"/>
        <w:spacing w:line="240" w:lineRule="auto" w:before="69"/>
        <w:ind w:left="930" w:right="0"/>
        <w:jc w:val="both"/>
      </w:pPr>
      <w:r>
        <w:rPr>
          <w:rFonts w:ascii="Times New Roman" w:hAnsi="Times New Roman" w:cs="Times New Roman" w:eastAsia="Times New Roman" w:hint="default"/>
        </w:rPr>
        <w:t>2017 </w:t>
      </w:r>
      <w:r>
        <w:rPr/>
        <w:t>年 </w:t>
      </w:r>
      <w:r>
        <w:rPr>
          <w:rFonts w:ascii="Times New Roman" w:hAnsi="Times New Roman" w:cs="Times New Roman" w:eastAsia="Times New Roman" w:hint="default"/>
        </w:rPr>
        <w:t>12 </w:t>
      </w:r>
      <w:r>
        <w:rPr/>
        <w:t>月 </w:t>
      </w:r>
      <w:r>
        <w:rPr>
          <w:rFonts w:ascii="Times New Roman" w:hAnsi="Times New Roman" w:cs="Times New Roman" w:eastAsia="Times New Roman" w:hint="default"/>
        </w:rPr>
        <w:t>21</w:t>
      </w:r>
      <w:r>
        <w:rPr>
          <w:rFonts w:ascii="Times New Roman" w:hAnsi="Times New Roman" w:cs="Times New Roman" w:eastAsia="Times New Roman" w:hint="default"/>
          <w:spacing w:val="-24"/>
        </w:rPr>
        <w:t> </w:t>
      </w:r>
      <w:r>
        <w:rPr/>
        <w:t>日公司召开第三届董事会第二十六次会议审议并通过了《关于向激励对</w:t>
      </w:r>
    </w:p>
    <w:p>
      <w:pPr>
        <w:pStyle w:val="BodyText"/>
        <w:spacing w:line="240" w:lineRule="auto" w:before="69"/>
        <w:ind w:left="930" w:right="0"/>
        <w:jc w:val="both"/>
      </w:pPr>
      <w:r>
        <w:rPr>
          <w:spacing w:val="-4"/>
        </w:rPr>
        <w:t>象授予第二期预留限制性股票的议案》，确定以</w:t>
      </w:r>
      <w:r>
        <w:rPr>
          <w:spacing w:val="-47"/>
        </w:rPr>
        <w:t> </w:t>
      </w:r>
      <w:r>
        <w:rPr>
          <w:rFonts w:ascii="Times New Roman" w:hAnsi="Times New Roman" w:cs="Times New Roman" w:eastAsia="Times New Roman" w:hint="default"/>
        </w:rPr>
        <w:t>2017</w:t>
      </w:r>
      <w:r>
        <w:rPr>
          <w:rFonts w:ascii="Times New Roman" w:hAnsi="Times New Roman" w:cs="Times New Roman" w:eastAsia="Times New Roman" w:hint="default"/>
          <w:spacing w:val="5"/>
        </w:rPr>
        <w:t> </w:t>
      </w:r>
      <w:r>
        <w:rPr/>
        <w:t>年</w:t>
      </w:r>
      <w:r>
        <w:rPr>
          <w:spacing w:val="-48"/>
        </w:rPr>
        <w:t> </w:t>
      </w:r>
      <w:r>
        <w:rPr>
          <w:rFonts w:ascii="Times New Roman" w:hAnsi="Times New Roman" w:cs="Times New Roman" w:eastAsia="Times New Roman" w:hint="default"/>
        </w:rPr>
        <w:t>12</w:t>
      </w:r>
      <w:r>
        <w:rPr>
          <w:rFonts w:ascii="Times New Roman" w:hAnsi="Times New Roman" w:cs="Times New Roman" w:eastAsia="Times New Roman" w:hint="default"/>
          <w:spacing w:val="5"/>
        </w:rPr>
        <w:t> </w:t>
      </w:r>
      <w:r>
        <w:rPr/>
        <w:t>月</w:t>
      </w:r>
      <w:r>
        <w:rPr>
          <w:spacing w:val="-48"/>
        </w:rPr>
        <w:t> </w:t>
      </w:r>
      <w:r>
        <w:rPr>
          <w:rFonts w:ascii="Times New Roman" w:hAnsi="Times New Roman" w:cs="Times New Roman" w:eastAsia="Times New Roman" w:hint="default"/>
        </w:rPr>
        <w:t>21</w:t>
      </w:r>
      <w:r>
        <w:rPr>
          <w:rFonts w:ascii="Times New Roman" w:hAnsi="Times New Roman" w:cs="Times New Roman" w:eastAsia="Times New Roman" w:hint="default"/>
          <w:spacing w:val="5"/>
        </w:rPr>
        <w:t> </w:t>
      </w:r>
      <w:r>
        <w:rPr>
          <w:spacing w:val="-6"/>
        </w:rPr>
        <w:t>日为授予日，向</w:t>
      </w:r>
      <w:r>
        <w:rPr>
          <w:spacing w:val="-47"/>
        </w:rPr>
        <w:t> </w:t>
      </w:r>
      <w:r>
        <w:rPr>
          <w:rFonts w:ascii="Times New Roman" w:hAnsi="Times New Roman" w:cs="Times New Roman" w:eastAsia="Times New Roman" w:hint="default"/>
        </w:rPr>
        <w:t>20</w:t>
      </w:r>
      <w:r>
        <w:rPr>
          <w:rFonts w:ascii="Times New Roman" w:hAnsi="Times New Roman" w:cs="Times New Roman" w:eastAsia="Times New Roman" w:hint="default"/>
          <w:spacing w:val="2"/>
        </w:rPr>
        <w:t> </w:t>
      </w:r>
      <w:r>
        <w:rPr/>
        <w:t>名激</w:t>
      </w:r>
    </w:p>
    <w:p>
      <w:pPr>
        <w:pStyle w:val="BodyText"/>
        <w:spacing w:line="297" w:lineRule="auto" w:before="69"/>
        <w:ind w:left="930" w:right="230"/>
        <w:jc w:val="both"/>
      </w:pPr>
      <w:r>
        <w:rPr/>
        <w:t>励对象授予</w:t>
      </w:r>
      <w:r>
        <w:rPr>
          <w:spacing w:val="-43"/>
        </w:rPr>
        <w:t> </w:t>
      </w:r>
      <w:r>
        <w:rPr>
          <w:rFonts w:ascii="Times New Roman" w:hAnsi="Times New Roman" w:cs="Times New Roman" w:eastAsia="Times New Roman" w:hint="default"/>
        </w:rPr>
        <w:t>160</w:t>
      </w:r>
      <w:r>
        <w:rPr>
          <w:rFonts w:ascii="Times New Roman" w:hAnsi="Times New Roman" w:cs="Times New Roman" w:eastAsia="Times New Roman" w:hint="default"/>
          <w:spacing w:val="10"/>
        </w:rPr>
        <w:t> </w:t>
      </w:r>
      <w:r>
        <w:rPr/>
        <w:t>万股预留限制性股票。</w:t>
      </w:r>
      <w:r>
        <w:rPr>
          <w:rFonts w:ascii="Times New Roman" w:hAnsi="Times New Roman" w:cs="Times New Roman" w:eastAsia="Times New Roman" w:hint="default"/>
        </w:rPr>
        <w:t>2018</w:t>
      </w:r>
      <w:r>
        <w:rPr>
          <w:rFonts w:ascii="Times New Roman" w:hAnsi="Times New Roman" w:cs="Times New Roman" w:eastAsia="Times New Roman" w:hint="default"/>
          <w:spacing w:val="12"/>
        </w:rPr>
        <w:t> </w:t>
      </w:r>
      <w:r>
        <w:rPr/>
        <w:t>年</w:t>
      </w:r>
      <w:r>
        <w:rPr>
          <w:spacing w:val="-43"/>
        </w:rPr>
        <w:t> </w:t>
      </w:r>
      <w:r>
        <w:rPr>
          <w:rFonts w:ascii="Times New Roman" w:hAnsi="Times New Roman" w:cs="Times New Roman" w:eastAsia="Times New Roman" w:hint="default"/>
        </w:rPr>
        <w:t>2</w:t>
      </w:r>
      <w:r>
        <w:rPr>
          <w:rFonts w:ascii="Times New Roman" w:hAnsi="Times New Roman" w:cs="Times New Roman" w:eastAsia="Times New Roman" w:hint="default"/>
          <w:spacing w:val="9"/>
        </w:rPr>
        <w:t> </w:t>
      </w:r>
      <w:r>
        <w:rPr/>
        <w:t>月</w:t>
      </w:r>
      <w:r>
        <w:rPr>
          <w:spacing w:val="-41"/>
        </w:rPr>
        <w:t> </w:t>
      </w:r>
      <w:r>
        <w:rPr>
          <w:rFonts w:ascii="Times New Roman" w:hAnsi="Times New Roman" w:cs="Times New Roman" w:eastAsia="Times New Roman" w:hint="default"/>
        </w:rPr>
        <w:t>8</w:t>
      </w:r>
      <w:r>
        <w:rPr>
          <w:rFonts w:ascii="Times New Roman" w:hAnsi="Times New Roman" w:cs="Times New Roman" w:eastAsia="Times New Roman" w:hint="default"/>
          <w:spacing w:val="12"/>
        </w:rPr>
        <w:t> </w:t>
      </w:r>
      <w:r>
        <w:rPr/>
        <w:t>日，公司完成第二期限制性股票激</w:t>
      </w:r>
      <w:r>
        <w:rPr>
          <w:w w:val="100"/>
        </w:rPr>
        <w:t> </w:t>
      </w:r>
      <w:r>
        <w:rPr/>
        <w:t>励计划授予预留限制性股票登记手续。</w:t>
      </w:r>
    </w:p>
    <w:p>
      <w:pPr>
        <w:spacing w:line="240" w:lineRule="auto" w:before="0"/>
        <w:rPr>
          <w:rFonts w:ascii="宋体" w:hAnsi="宋体" w:cs="宋体" w:eastAsia="宋体" w:hint="default"/>
          <w:sz w:val="20"/>
          <w:szCs w:val="20"/>
        </w:rPr>
      </w:pPr>
    </w:p>
    <w:p>
      <w:pPr>
        <w:pStyle w:val="Heading3"/>
        <w:spacing w:line="240" w:lineRule="auto" w:before="133"/>
        <w:ind w:left="359" w:right="0"/>
        <w:jc w:val="left"/>
        <w:rPr>
          <w:b w:val="0"/>
          <w:bCs w:val="0"/>
        </w:rPr>
      </w:pPr>
      <w:r>
        <w:rPr/>
        <w:t>（二）</w:t>
      </w:r>
      <w:r>
        <w:rPr>
          <w:spacing w:val="-32"/>
        </w:rPr>
        <w:t> </w:t>
      </w:r>
      <w:r>
        <w:rPr>
          <w:rFonts w:ascii="宋体" w:hAnsi="宋体" w:cs="宋体" w:eastAsia="宋体" w:hint="default"/>
          <w:spacing w:val="-32"/>
        </w:rPr>
      </w:r>
      <w:r>
        <w:rPr/>
        <w:t>股份支付回购注销情况</w:t>
      </w:r>
      <w:r>
        <w:rPr>
          <w:b w:val="0"/>
          <w:bCs w:val="0"/>
        </w:rPr>
      </w:r>
    </w:p>
    <w:p>
      <w:pPr>
        <w:pStyle w:val="BodyText"/>
        <w:spacing w:line="304" w:lineRule="auto" w:before="85"/>
        <w:ind w:left="930" w:right="228"/>
        <w:jc w:val="both"/>
      </w:pPr>
      <w:r>
        <w:rPr>
          <w:rFonts w:ascii="Times New Roman" w:hAnsi="Times New Roman" w:cs="Times New Roman" w:eastAsia="Times New Roman" w:hint="default"/>
        </w:rPr>
        <w:t>2018</w:t>
      </w:r>
      <w:r>
        <w:rPr>
          <w:rFonts w:ascii="Times New Roman" w:hAnsi="Times New Roman" w:cs="Times New Roman" w:eastAsia="Times New Roman" w:hint="default"/>
          <w:spacing w:val="-7"/>
        </w:rPr>
        <w:t> </w:t>
      </w:r>
      <w:r>
        <w:rPr/>
        <w:t>年</w:t>
      </w:r>
      <w:r>
        <w:rPr>
          <w:spacing w:val="-57"/>
        </w:rPr>
        <w:t> </w:t>
      </w:r>
      <w:r>
        <w:rPr>
          <w:rFonts w:ascii="Times New Roman" w:hAnsi="Times New Roman" w:cs="Times New Roman" w:eastAsia="Times New Roman" w:hint="default"/>
        </w:rPr>
        <w:t>1</w:t>
      </w:r>
      <w:r>
        <w:rPr>
          <w:rFonts w:ascii="Times New Roman" w:hAnsi="Times New Roman" w:cs="Times New Roman" w:eastAsia="Times New Roman" w:hint="default"/>
          <w:spacing w:val="-7"/>
        </w:rPr>
        <w:t> </w:t>
      </w:r>
      <w:r>
        <w:rPr/>
        <w:t>月</w:t>
      </w:r>
      <w:r>
        <w:rPr>
          <w:spacing w:val="-57"/>
        </w:rPr>
        <w:t> </w:t>
      </w:r>
      <w:r>
        <w:rPr>
          <w:rFonts w:ascii="Times New Roman" w:hAnsi="Times New Roman" w:cs="Times New Roman" w:eastAsia="Times New Roman" w:hint="default"/>
        </w:rPr>
        <w:t>15</w:t>
      </w:r>
      <w:r>
        <w:rPr>
          <w:rFonts w:ascii="Times New Roman" w:hAnsi="Times New Roman" w:cs="Times New Roman" w:eastAsia="Times New Roman" w:hint="default"/>
          <w:spacing w:val="-6"/>
        </w:rPr>
        <w:t> </w:t>
      </w:r>
      <w:r>
        <w:rPr/>
        <w:t>日，公司第三届董事会第二十七次会议审议通过了《关于回购注销部分激</w:t>
      </w:r>
      <w:r>
        <w:rPr>
          <w:w w:val="100"/>
        </w:rPr>
        <w:t> </w:t>
      </w:r>
      <w:r>
        <w:rPr>
          <w:spacing w:val="-4"/>
        </w:rPr>
        <w:t>励对象已获授但尚未解锁的第二期限制性股票的议案》，对于已不符合激励条件的激励对</w:t>
      </w:r>
      <w:r>
        <w:rPr>
          <w:spacing w:val="-25"/>
        </w:rPr>
        <w:t> </w:t>
      </w:r>
      <w:r>
        <w:rPr>
          <w:spacing w:val="-25"/>
        </w:rPr>
      </w:r>
      <w:r>
        <w:rPr/>
        <w:t>象</w:t>
      </w:r>
      <w:r>
        <w:rPr>
          <w:spacing w:val="-44"/>
        </w:rPr>
        <w:t> </w:t>
      </w:r>
      <w:r>
        <w:rPr>
          <w:rFonts w:ascii="Times New Roman" w:hAnsi="Times New Roman" w:cs="Times New Roman" w:eastAsia="Times New Roman" w:hint="default"/>
        </w:rPr>
        <w:t>3</w:t>
      </w:r>
      <w:r>
        <w:rPr>
          <w:rFonts w:ascii="Times New Roman" w:hAnsi="Times New Roman" w:cs="Times New Roman" w:eastAsia="Times New Roman" w:hint="default"/>
          <w:spacing w:val="8"/>
        </w:rPr>
        <w:t> </w:t>
      </w:r>
      <w:r>
        <w:rPr/>
        <w:t>人，根据</w:t>
      </w:r>
      <w:r>
        <w:rPr>
          <w:spacing w:val="-47"/>
        </w:rPr>
        <w:t> </w:t>
      </w:r>
      <w:r>
        <w:rPr>
          <w:rFonts w:ascii="Times New Roman" w:hAnsi="Times New Roman" w:cs="Times New Roman" w:eastAsia="Times New Roman" w:hint="default"/>
        </w:rPr>
        <w:t>2016</w:t>
      </w:r>
      <w:r>
        <w:rPr>
          <w:rFonts w:ascii="Times New Roman" w:hAnsi="Times New Roman" w:cs="Times New Roman" w:eastAsia="Times New Roman" w:hint="default"/>
          <w:spacing w:val="6"/>
        </w:rPr>
        <w:t> </w:t>
      </w:r>
      <w:r>
        <w:rPr/>
        <w:t>年第七次临时股东大会授权，公司董事会办理回购注销其已获授但尚</w:t>
      </w:r>
    </w:p>
    <w:p>
      <w:pPr>
        <w:pStyle w:val="BodyText"/>
        <w:spacing w:line="240" w:lineRule="auto" w:before="6"/>
        <w:ind w:left="930" w:right="0"/>
        <w:jc w:val="both"/>
      </w:pPr>
      <w:r>
        <w:rPr/>
        <w:t>未解锁的限制性股票</w:t>
      </w:r>
      <w:r>
        <w:rPr>
          <w:spacing w:val="-54"/>
        </w:rPr>
        <w:t> </w:t>
      </w:r>
      <w:r>
        <w:rPr>
          <w:rFonts w:ascii="Times New Roman" w:hAnsi="Times New Roman" w:cs="Times New Roman" w:eastAsia="Times New Roman" w:hint="default"/>
        </w:rPr>
        <w:t>280,000</w:t>
      </w:r>
      <w:r>
        <w:rPr>
          <w:rFonts w:ascii="Times New Roman" w:hAnsi="Times New Roman" w:cs="Times New Roman" w:eastAsia="Times New Roman" w:hint="default"/>
          <w:spacing w:val="-2"/>
        </w:rPr>
        <w:t> </w:t>
      </w:r>
      <w:r>
        <w:rPr/>
        <w:t>股等相关事项。</w:t>
      </w:r>
    </w:p>
    <w:p>
      <w:pPr>
        <w:pStyle w:val="BodyText"/>
        <w:spacing w:line="338" w:lineRule="auto" w:before="88"/>
        <w:ind w:left="930" w:right="227"/>
        <w:jc w:val="both"/>
      </w:pPr>
      <w:r>
        <w:rPr>
          <w:rFonts w:ascii="Times New Roman" w:hAnsi="Times New Roman" w:cs="Times New Roman" w:eastAsia="Times New Roman" w:hint="default"/>
        </w:rPr>
        <w:t>2018</w:t>
      </w:r>
      <w:r>
        <w:rPr>
          <w:rFonts w:ascii="Times New Roman" w:hAnsi="Times New Roman" w:cs="Times New Roman" w:eastAsia="Times New Roman" w:hint="default"/>
          <w:spacing w:val="-7"/>
        </w:rPr>
        <w:t> </w:t>
      </w:r>
      <w:r>
        <w:rPr/>
        <w:t>年</w:t>
      </w:r>
      <w:r>
        <w:rPr>
          <w:spacing w:val="-57"/>
        </w:rPr>
        <w:t> </w:t>
      </w:r>
      <w:r>
        <w:rPr>
          <w:rFonts w:ascii="Times New Roman" w:hAnsi="Times New Roman" w:cs="Times New Roman" w:eastAsia="Times New Roman" w:hint="default"/>
        </w:rPr>
        <w:t>4</w:t>
      </w:r>
      <w:r>
        <w:rPr>
          <w:rFonts w:ascii="Times New Roman" w:hAnsi="Times New Roman" w:cs="Times New Roman" w:eastAsia="Times New Roman" w:hint="default"/>
          <w:spacing w:val="-7"/>
        </w:rPr>
        <w:t> </w:t>
      </w:r>
      <w:r>
        <w:rPr/>
        <w:t>月</w:t>
      </w:r>
      <w:r>
        <w:rPr>
          <w:spacing w:val="-57"/>
        </w:rPr>
        <w:t> </w:t>
      </w:r>
      <w:r>
        <w:rPr>
          <w:rFonts w:ascii="Times New Roman" w:hAnsi="Times New Roman" w:cs="Times New Roman" w:eastAsia="Times New Roman" w:hint="default"/>
        </w:rPr>
        <w:t>16</w:t>
      </w:r>
      <w:r>
        <w:rPr>
          <w:rFonts w:ascii="Times New Roman" w:hAnsi="Times New Roman" w:cs="Times New Roman" w:eastAsia="Times New Roman" w:hint="default"/>
          <w:spacing w:val="-6"/>
        </w:rPr>
        <w:t> </w:t>
      </w:r>
      <w:r>
        <w:rPr/>
        <w:t>日，公司第三届董事会第三十次会议审议通过了《关于回购注销部分激励</w:t>
      </w:r>
      <w:r>
        <w:rPr>
          <w:w w:val="100"/>
        </w:rPr>
        <w:t> </w:t>
      </w:r>
      <w:r>
        <w:rPr>
          <w:spacing w:val="-4"/>
        </w:rPr>
        <w:t>对象已获授但尚未解锁的第二期限制性股票的议案》，对于已不符合激励条件的激励对象</w:t>
      </w:r>
      <w:r>
        <w:rPr>
          <w:spacing w:val="-25"/>
        </w:rPr>
        <w:t> </w:t>
      </w:r>
      <w:r>
        <w:rPr>
          <w:spacing w:val="-25"/>
        </w:rPr>
      </w:r>
      <w:r>
        <w:rPr>
          <w:rFonts w:ascii="Times New Roman" w:hAnsi="Times New Roman" w:cs="Times New Roman" w:eastAsia="Times New Roman" w:hint="default"/>
        </w:rPr>
        <w:t>5  </w:t>
      </w:r>
      <w:r>
        <w:rPr/>
        <w:t>人，根据 </w:t>
      </w:r>
      <w:r>
        <w:rPr>
          <w:rFonts w:ascii="Times New Roman" w:hAnsi="Times New Roman" w:cs="Times New Roman" w:eastAsia="Times New Roman" w:hint="default"/>
        </w:rPr>
        <w:t>2016</w:t>
      </w:r>
      <w:r>
        <w:rPr>
          <w:rFonts w:ascii="Times New Roman" w:hAnsi="Times New Roman" w:cs="Times New Roman" w:eastAsia="Times New Roman" w:hint="default"/>
          <w:spacing w:val="-24"/>
        </w:rPr>
        <w:t> </w:t>
      </w:r>
      <w:r>
        <w:rPr/>
        <w:t>年第七次临时股东大会授权，公司董事会办理回购注销上述部分已获授</w:t>
      </w:r>
    </w:p>
    <w:p>
      <w:pPr>
        <w:pStyle w:val="BodyText"/>
        <w:spacing w:line="240" w:lineRule="auto" w:before="14"/>
        <w:ind w:left="930" w:right="0"/>
        <w:jc w:val="both"/>
      </w:pPr>
      <w:r>
        <w:rPr/>
        <w:t>但尚未解锁的限制性股票共计</w:t>
      </w:r>
      <w:r>
        <w:rPr>
          <w:spacing w:val="-55"/>
        </w:rPr>
        <w:t> </w:t>
      </w:r>
      <w:r>
        <w:rPr>
          <w:rFonts w:ascii="Times New Roman" w:hAnsi="Times New Roman" w:cs="Times New Roman" w:eastAsia="Times New Roman" w:hint="default"/>
        </w:rPr>
        <w:t>85,400</w:t>
      </w:r>
      <w:r>
        <w:rPr>
          <w:rFonts w:ascii="Times New Roman" w:hAnsi="Times New Roman" w:cs="Times New Roman" w:eastAsia="Times New Roman" w:hint="default"/>
          <w:spacing w:val="-3"/>
        </w:rPr>
        <w:t> </w:t>
      </w:r>
      <w:r>
        <w:rPr/>
        <w:t>股等相关事项。</w:t>
      </w:r>
    </w:p>
    <w:p>
      <w:pPr>
        <w:pStyle w:val="BodyText"/>
        <w:spacing w:line="338" w:lineRule="auto" w:before="110"/>
        <w:ind w:left="930" w:right="228"/>
        <w:jc w:val="both"/>
      </w:pPr>
      <w:r>
        <w:rPr>
          <w:rFonts w:ascii="Times New Roman" w:hAnsi="Times New Roman" w:cs="Times New Roman" w:eastAsia="Times New Roman" w:hint="default"/>
        </w:rPr>
        <w:t>2019</w:t>
      </w:r>
      <w:r>
        <w:rPr>
          <w:rFonts w:ascii="Times New Roman" w:hAnsi="Times New Roman" w:cs="Times New Roman" w:eastAsia="Times New Roman" w:hint="default"/>
          <w:spacing w:val="-7"/>
        </w:rPr>
        <w:t> </w:t>
      </w:r>
      <w:r>
        <w:rPr/>
        <w:t>年</w:t>
      </w:r>
      <w:r>
        <w:rPr>
          <w:spacing w:val="-57"/>
        </w:rPr>
        <w:t> </w:t>
      </w:r>
      <w:r>
        <w:rPr>
          <w:rFonts w:ascii="Times New Roman" w:hAnsi="Times New Roman" w:cs="Times New Roman" w:eastAsia="Times New Roman" w:hint="default"/>
        </w:rPr>
        <w:t>1</w:t>
      </w:r>
      <w:r>
        <w:rPr>
          <w:rFonts w:ascii="Times New Roman" w:hAnsi="Times New Roman" w:cs="Times New Roman" w:eastAsia="Times New Roman" w:hint="default"/>
          <w:spacing w:val="-7"/>
        </w:rPr>
        <w:t> </w:t>
      </w:r>
      <w:r>
        <w:rPr/>
        <w:t>月</w:t>
      </w:r>
      <w:r>
        <w:rPr>
          <w:spacing w:val="-57"/>
        </w:rPr>
        <w:t> </w:t>
      </w:r>
      <w:r>
        <w:rPr>
          <w:rFonts w:ascii="Times New Roman" w:hAnsi="Times New Roman" w:cs="Times New Roman" w:eastAsia="Times New Roman" w:hint="default"/>
        </w:rPr>
        <w:t>21</w:t>
      </w:r>
      <w:r>
        <w:rPr>
          <w:rFonts w:ascii="Times New Roman" w:hAnsi="Times New Roman" w:cs="Times New Roman" w:eastAsia="Times New Roman" w:hint="default"/>
          <w:spacing w:val="-6"/>
        </w:rPr>
        <w:t> </w:t>
      </w:r>
      <w:r>
        <w:rPr/>
        <w:t>日，公司第三届董事会第三十九次会议审议通过了《关于回购注销部分激</w:t>
      </w:r>
      <w:r>
        <w:rPr>
          <w:w w:val="100"/>
        </w:rPr>
        <w:t> </w:t>
      </w:r>
      <w:r>
        <w:rPr>
          <w:spacing w:val="-4"/>
        </w:rPr>
        <w:t>励对象已获授但尚未解锁的第二期限制性股票的议案》，对于已不符合激励条件的激励对</w:t>
      </w:r>
      <w:r>
        <w:rPr>
          <w:spacing w:val="-25"/>
        </w:rPr>
        <w:t> </w:t>
      </w:r>
      <w:r>
        <w:rPr>
          <w:spacing w:val="-25"/>
        </w:rPr>
      </w:r>
      <w:r>
        <w:rPr/>
        <w:t>象</w:t>
      </w:r>
      <w:r>
        <w:rPr>
          <w:spacing w:val="-38"/>
        </w:rPr>
        <w:t> </w:t>
      </w:r>
      <w:r>
        <w:rPr>
          <w:rFonts w:ascii="Times New Roman" w:hAnsi="Times New Roman" w:cs="Times New Roman" w:eastAsia="Times New Roman" w:hint="default"/>
        </w:rPr>
        <w:t>11</w:t>
      </w:r>
      <w:r>
        <w:rPr>
          <w:rFonts w:ascii="Times New Roman" w:hAnsi="Times New Roman" w:cs="Times New Roman" w:eastAsia="Times New Roman" w:hint="default"/>
          <w:spacing w:val="11"/>
        </w:rPr>
        <w:t> </w:t>
      </w:r>
      <w:r>
        <w:rPr>
          <w:spacing w:val="-10"/>
        </w:rPr>
        <w:t>人，根据</w:t>
      </w:r>
      <w:r>
        <w:rPr>
          <w:spacing w:val="-37"/>
        </w:rPr>
        <w:t> </w:t>
      </w:r>
      <w:r>
        <w:rPr>
          <w:rFonts w:ascii="Times New Roman" w:hAnsi="Times New Roman" w:cs="Times New Roman" w:eastAsia="Times New Roman" w:hint="default"/>
        </w:rPr>
        <w:t>2016</w:t>
      </w:r>
      <w:r>
        <w:rPr>
          <w:rFonts w:ascii="Times New Roman" w:hAnsi="Times New Roman" w:cs="Times New Roman" w:eastAsia="Times New Roman" w:hint="default"/>
          <w:spacing w:val="11"/>
        </w:rPr>
        <w:t> </w:t>
      </w:r>
      <w:r>
        <w:rPr>
          <w:spacing w:val="-3"/>
        </w:rPr>
        <w:t>年第七次临时股东大会授权，公司董事会办理回购注销其已获授但尚</w:t>
      </w:r>
    </w:p>
    <w:p>
      <w:pPr>
        <w:pStyle w:val="BodyText"/>
        <w:spacing w:line="240" w:lineRule="auto" w:before="14"/>
        <w:ind w:left="930" w:right="0"/>
        <w:jc w:val="both"/>
      </w:pPr>
      <w:r>
        <w:rPr/>
        <w:t>未解锁的限制性股票</w:t>
      </w:r>
      <w:r>
        <w:rPr>
          <w:spacing w:val="-54"/>
        </w:rPr>
        <w:t> </w:t>
      </w:r>
      <w:r>
        <w:rPr>
          <w:rFonts w:ascii="Times New Roman" w:hAnsi="Times New Roman" w:cs="Times New Roman" w:eastAsia="Times New Roman" w:hint="default"/>
        </w:rPr>
        <w:t>448,000</w:t>
      </w:r>
      <w:r>
        <w:rPr>
          <w:rFonts w:ascii="Times New Roman" w:hAnsi="Times New Roman" w:cs="Times New Roman" w:eastAsia="Times New Roman" w:hint="default"/>
          <w:spacing w:val="-2"/>
        </w:rPr>
        <w:t> </w:t>
      </w:r>
      <w:r>
        <w:rPr/>
        <w:t>股等相关事项。</w:t>
      </w:r>
    </w:p>
    <w:p>
      <w:pPr>
        <w:pStyle w:val="BodyText"/>
        <w:spacing w:line="240" w:lineRule="auto" w:before="107"/>
        <w:ind w:left="930" w:right="0"/>
        <w:jc w:val="both"/>
      </w:pPr>
      <w:r>
        <w:rPr>
          <w:rFonts w:ascii="Times New Roman" w:hAnsi="Times New Roman" w:cs="Times New Roman" w:eastAsia="Times New Roman" w:hint="default"/>
        </w:rPr>
        <w:t>2019</w:t>
      </w:r>
      <w:r>
        <w:rPr>
          <w:rFonts w:ascii="Times New Roman" w:hAnsi="Times New Roman" w:cs="Times New Roman" w:eastAsia="Times New Roman" w:hint="default"/>
          <w:spacing w:val="-7"/>
        </w:rPr>
        <w:t> </w:t>
      </w:r>
      <w:r>
        <w:rPr/>
        <w:t>年</w:t>
      </w:r>
      <w:r>
        <w:rPr>
          <w:spacing w:val="-57"/>
        </w:rPr>
        <w:t> </w:t>
      </w:r>
      <w:r>
        <w:rPr>
          <w:rFonts w:ascii="Times New Roman" w:hAnsi="Times New Roman" w:cs="Times New Roman" w:eastAsia="Times New Roman" w:hint="default"/>
        </w:rPr>
        <w:t>4</w:t>
      </w:r>
      <w:r>
        <w:rPr>
          <w:rFonts w:ascii="Times New Roman" w:hAnsi="Times New Roman" w:cs="Times New Roman" w:eastAsia="Times New Roman" w:hint="default"/>
          <w:spacing w:val="-7"/>
        </w:rPr>
        <w:t> </w:t>
      </w:r>
      <w:r>
        <w:rPr/>
        <w:t>月</w:t>
      </w:r>
      <w:r>
        <w:rPr>
          <w:spacing w:val="-57"/>
        </w:rPr>
        <w:t> </w:t>
      </w:r>
      <w:r>
        <w:rPr>
          <w:rFonts w:ascii="Times New Roman" w:hAnsi="Times New Roman" w:cs="Times New Roman" w:eastAsia="Times New Roman" w:hint="default"/>
        </w:rPr>
        <w:t>25</w:t>
      </w:r>
      <w:r>
        <w:rPr>
          <w:rFonts w:ascii="Times New Roman" w:hAnsi="Times New Roman" w:cs="Times New Roman" w:eastAsia="Times New Roman" w:hint="default"/>
          <w:spacing w:val="-6"/>
        </w:rPr>
        <w:t> </w:t>
      </w:r>
      <w:r>
        <w:rPr/>
        <w:t>日，公司第四届董事会第二次会议审议通过了《关于回购注销部分第二期</w:t>
      </w:r>
    </w:p>
    <w:p>
      <w:pPr>
        <w:pStyle w:val="BodyText"/>
        <w:spacing w:line="240" w:lineRule="auto" w:before="110"/>
        <w:ind w:left="930" w:right="0"/>
        <w:jc w:val="both"/>
        <w:rPr>
          <w:rFonts w:ascii="Times New Roman" w:hAnsi="Times New Roman" w:cs="Times New Roman" w:eastAsia="Times New Roman" w:hint="default"/>
        </w:rPr>
      </w:pPr>
      <w:r>
        <w:rPr/>
        <w:t>股权激励计划限制性股票的议案》，对于已不符合激励条件的激励对象 </w:t>
      </w:r>
      <w:r>
        <w:rPr>
          <w:rFonts w:ascii="Times New Roman" w:hAnsi="Times New Roman" w:cs="Times New Roman" w:eastAsia="Times New Roman" w:hint="default"/>
        </w:rPr>
        <w:t>6  </w:t>
      </w:r>
      <w:r>
        <w:rPr/>
        <w:t>人，根据</w:t>
      </w:r>
      <w:r>
        <w:rPr>
          <w:spacing w:val="-78"/>
        </w:rPr>
        <w:t> </w:t>
      </w:r>
      <w:r>
        <w:rPr>
          <w:rFonts w:ascii="Times New Roman" w:hAnsi="Times New Roman" w:cs="Times New Roman" w:eastAsia="Times New Roman" w:hint="default"/>
        </w:rPr>
        <w:t>2016</w:t>
      </w:r>
    </w:p>
    <w:p>
      <w:pPr>
        <w:pStyle w:val="BodyText"/>
        <w:spacing w:line="240" w:lineRule="auto" w:before="110"/>
        <w:ind w:left="930" w:right="0"/>
        <w:jc w:val="both"/>
      </w:pPr>
      <w:r>
        <w:rPr>
          <w:spacing w:val="-4"/>
        </w:rPr>
        <w:t>年第七次临时股东大会授权，公司董事会将办理回购注销上述部分已获授但尚未解锁的限</w:t>
      </w:r>
    </w:p>
    <w:p>
      <w:pPr>
        <w:spacing w:after="0" w:line="240" w:lineRule="auto"/>
        <w:jc w:val="both"/>
        <w:sectPr>
          <w:type w:val="continuous"/>
          <w:pgSz w:w="11910" w:h="16840"/>
          <w:pgMar w:top="1580" w:bottom="280" w:left="1580" w:right="1040"/>
        </w:sectPr>
      </w:pPr>
    </w:p>
    <w:p>
      <w:pPr>
        <w:spacing w:line="240" w:lineRule="auto" w:before="0"/>
        <w:rPr>
          <w:rFonts w:ascii="宋体" w:hAnsi="宋体" w:cs="宋体" w:eastAsia="宋体" w:hint="default"/>
          <w:sz w:val="20"/>
          <w:szCs w:val="20"/>
        </w:rPr>
      </w:pPr>
    </w:p>
    <w:p>
      <w:pPr>
        <w:pStyle w:val="BodyText"/>
        <w:spacing w:line="240" w:lineRule="auto" w:before="195"/>
        <w:ind w:left="930" w:right="0"/>
        <w:jc w:val="both"/>
      </w:pPr>
      <w:r>
        <w:rPr/>
        <w:t>制性股票共计</w:t>
      </w:r>
      <w:r>
        <w:rPr>
          <w:spacing w:val="-54"/>
        </w:rPr>
        <w:t> </w:t>
      </w:r>
      <w:r>
        <w:rPr>
          <w:rFonts w:ascii="Times New Roman" w:hAnsi="Times New Roman" w:cs="Times New Roman" w:eastAsia="Times New Roman" w:hint="default"/>
        </w:rPr>
        <w:t>452,000</w:t>
      </w:r>
      <w:r>
        <w:rPr>
          <w:rFonts w:ascii="Times New Roman" w:hAnsi="Times New Roman" w:cs="Times New Roman" w:eastAsia="Times New Roman" w:hint="default"/>
          <w:spacing w:val="-1"/>
        </w:rPr>
        <w:t> </w:t>
      </w:r>
      <w:r>
        <w:rPr/>
        <w:t>股等相关事项。</w:t>
      </w:r>
    </w:p>
    <w:p>
      <w:pPr>
        <w:pStyle w:val="BodyText"/>
        <w:spacing w:line="338" w:lineRule="auto" w:before="110"/>
        <w:ind w:left="930" w:right="208"/>
        <w:jc w:val="both"/>
      </w:pPr>
      <w:r>
        <w:rPr>
          <w:rFonts w:ascii="Times New Roman" w:hAnsi="Times New Roman" w:cs="Times New Roman" w:eastAsia="Times New Roman" w:hint="default"/>
        </w:rPr>
        <w:t>2019</w:t>
      </w:r>
      <w:r>
        <w:rPr>
          <w:rFonts w:ascii="Times New Roman" w:hAnsi="Times New Roman" w:cs="Times New Roman" w:eastAsia="Times New Roman" w:hint="default"/>
          <w:spacing w:val="-7"/>
        </w:rPr>
        <w:t> </w:t>
      </w:r>
      <w:r>
        <w:rPr/>
        <w:t>年</w:t>
      </w:r>
      <w:r>
        <w:rPr>
          <w:spacing w:val="-57"/>
        </w:rPr>
        <w:t> </w:t>
      </w:r>
      <w:r>
        <w:rPr>
          <w:rFonts w:ascii="Times New Roman" w:hAnsi="Times New Roman" w:cs="Times New Roman" w:eastAsia="Times New Roman" w:hint="default"/>
        </w:rPr>
        <w:t>4</w:t>
      </w:r>
      <w:r>
        <w:rPr>
          <w:rFonts w:ascii="Times New Roman" w:hAnsi="Times New Roman" w:cs="Times New Roman" w:eastAsia="Times New Roman" w:hint="default"/>
          <w:spacing w:val="-7"/>
        </w:rPr>
        <w:t> </w:t>
      </w:r>
      <w:r>
        <w:rPr/>
        <w:t>月</w:t>
      </w:r>
      <w:r>
        <w:rPr>
          <w:spacing w:val="-57"/>
        </w:rPr>
        <w:t> </w:t>
      </w:r>
      <w:r>
        <w:rPr>
          <w:rFonts w:ascii="Times New Roman" w:hAnsi="Times New Roman" w:cs="Times New Roman" w:eastAsia="Times New Roman" w:hint="default"/>
        </w:rPr>
        <w:t>25</w:t>
      </w:r>
      <w:r>
        <w:rPr>
          <w:rFonts w:ascii="Times New Roman" w:hAnsi="Times New Roman" w:cs="Times New Roman" w:eastAsia="Times New Roman" w:hint="default"/>
          <w:spacing w:val="-6"/>
        </w:rPr>
        <w:t> </w:t>
      </w:r>
      <w:r>
        <w:rPr/>
        <w:t>日，公司第四届董事会第二次会议审议通过了《关于回购注销部分第二期</w:t>
      </w:r>
      <w:r>
        <w:rPr>
          <w:w w:val="100"/>
        </w:rPr>
        <w:t> </w:t>
      </w:r>
      <w:r>
        <w:rPr>
          <w:spacing w:val="-4"/>
        </w:rPr>
        <w:t>股权激励计划限制性股票的议案》，对未达到解锁条件的第二期股权激励计划限制性股票</w:t>
      </w:r>
      <w:r>
        <w:rPr>
          <w:spacing w:val="-25"/>
        </w:rPr>
        <w:t> </w:t>
      </w:r>
      <w:r>
        <w:rPr>
          <w:spacing w:val="-25"/>
        </w:rPr>
      </w:r>
      <w:r>
        <w:rPr/>
        <w:t>予以回购注销，根据 </w:t>
      </w:r>
      <w:r>
        <w:rPr>
          <w:rFonts w:ascii="Times New Roman" w:hAnsi="Times New Roman" w:cs="Times New Roman" w:eastAsia="Times New Roman" w:hint="default"/>
        </w:rPr>
        <w:t>2016</w:t>
      </w:r>
      <w:r>
        <w:rPr>
          <w:rFonts w:ascii="Times New Roman" w:hAnsi="Times New Roman" w:cs="Times New Roman" w:eastAsia="Times New Roman" w:hint="default"/>
          <w:spacing w:val="-24"/>
        </w:rPr>
        <w:t> </w:t>
      </w:r>
      <w:r>
        <w:rPr/>
        <w:t>年第七次临时股东大会授权，公司董事会将办理回购注销上述</w:t>
      </w:r>
    </w:p>
    <w:p>
      <w:pPr>
        <w:pStyle w:val="BodyText"/>
        <w:spacing w:line="240" w:lineRule="auto" w:before="14"/>
        <w:ind w:left="930" w:right="0"/>
        <w:jc w:val="both"/>
      </w:pPr>
      <w:r>
        <w:rPr/>
        <w:t>部分已获授但尚未解锁的限制性股票共计</w:t>
      </w:r>
      <w:r>
        <w:rPr>
          <w:spacing w:val="-54"/>
        </w:rPr>
        <w:t> </w:t>
      </w:r>
      <w:r>
        <w:rPr>
          <w:rFonts w:ascii="Times New Roman" w:hAnsi="Times New Roman" w:cs="Times New Roman" w:eastAsia="Times New Roman" w:hint="default"/>
        </w:rPr>
        <w:t>6,769,000</w:t>
      </w:r>
      <w:r>
        <w:rPr>
          <w:rFonts w:ascii="Times New Roman" w:hAnsi="Times New Roman" w:cs="Times New Roman" w:eastAsia="Times New Roman" w:hint="default"/>
          <w:spacing w:val="-3"/>
        </w:rPr>
        <w:t> </w:t>
      </w:r>
      <w:r>
        <w:rPr/>
        <w:t>股等相关事项。</w:t>
      </w:r>
    </w:p>
    <w:p>
      <w:pPr>
        <w:pStyle w:val="BodyText"/>
        <w:spacing w:line="240" w:lineRule="auto" w:before="110"/>
        <w:ind w:left="930" w:right="0"/>
        <w:jc w:val="both"/>
      </w:pPr>
      <w:r>
        <w:rPr>
          <w:rFonts w:ascii="Times New Roman" w:hAnsi="Times New Roman" w:cs="Times New Roman" w:eastAsia="Times New Roman" w:hint="default"/>
        </w:rPr>
        <w:t>2020</w:t>
      </w:r>
      <w:r>
        <w:rPr>
          <w:rFonts w:ascii="Times New Roman" w:hAnsi="Times New Roman" w:cs="Times New Roman" w:eastAsia="Times New Roman" w:hint="default"/>
          <w:spacing w:val="-7"/>
        </w:rPr>
        <w:t> </w:t>
      </w:r>
      <w:r>
        <w:rPr/>
        <w:t>年</w:t>
      </w:r>
      <w:r>
        <w:rPr>
          <w:spacing w:val="-57"/>
        </w:rPr>
        <w:t> </w:t>
      </w:r>
      <w:r>
        <w:rPr>
          <w:rFonts w:ascii="Times New Roman" w:hAnsi="Times New Roman" w:cs="Times New Roman" w:eastAsia="Times New Roman" w:hint="default"/>
        </w:rPr>
        <w:t>4</w:t>
      </w:r>
      <w:r>
        <w:rPr>
          <w:rFonts w:ascii="Times New Roman" w:hAnsi="Times New Roman" w:cs="Times New Roman" w:eastAsia="Times New Roman" w:hint="default"/>
          <w:spacing w:val="-7"/>
        </w:rPr>
        <w:t> </w:t>
      </w:r>
      <w:r>
        <w:rPr/>
        <w:t>月</w:t>
      </w:r>
      <w:r>
        <w:rPr>
          <w:spacing w:val="-57"/>
        </w:rPr>
        <w:t> </w:t>
      </w:r>
      <w:r>
        <w:rPr>
          <w:rFonts w:ascii="Times New Roman" w:hAnsi="Times New Roman" w:cs="Times New Roman" w:eastAsia="Times New Roman" w:hint="default"/>
        </w:rPr>
        <w:t>23</w:t>
      </w:r>
      <w:r>
        <w:rPr>
          <w:rFonts w:ascii="Times New Roman" w:hAnsi="Times New Roman" w:cs="Times New Roman" w:eastAsia="Times New Roman" w:hint="default"/>
          <w:spacing w:val="-6"/>
        </w:rPr>
        <w:t> </w:t>
      </w:r>
      <w:r>
        <w:rPr/>
        <w:t>日，公司第四届董事会第十二次会议审议通过了《关于回购注销部分第二</w:t>
      </w:r>
    </w:p>
    <w:p>
      <w:pPr>
        <w:pStyle w:val="BodyText"/>
        <w:spacing w:line="340" w:lineRule="auto" w:before="107"/>
        <w:ind w:left="930" w:right="207"/>
        <w:jc w:val="both"/>
      </w:pPr>
      <w:r>
        <w:rPr>
          <w:spacing w:val="-4"/>
        </w:rPr>
        <w:t>期股权激励计划限制性股票的议案》，对于已不符合激励条件的激励对象</w:t>
      </w:r>
      <w:r>
        <w:rPr>
          <w:spacing w:val="-39"/>
        </w:rPr>
        <w:t> </w:t>
      </w:r>
      <w:r>
        <w:rPr>
          <w:rFonts w:ascii="Times New Roman" w:hAnsi="Times New Roman" w:cs="Times New Roman" w:eastAsia="Times New Roman" w:hint="default"/>
        </w:rPr>
        <w:t>7</w:t>
      </w:r>
      <w:r>
        <w:rPr>
          <w:rFonts w:ascii="Times New Roman" w:hAnsi="Times New Roman" w:cs="Times New Roman" w:eastAsia="Times New Roman" w:hint="default"/>
          <w:spacing w:val="13"/>
        </w:rPr>
        <w:t> </w:t>
      </w:r>
      <w:r>
        <w:rPr>
          <w:spacing w:val="-12"/>
        </w:rPr>
        <w:t>人，根据</w:t>
      </w:r>
      <w:r>
        <w:rPr>
          <w:spacing w:val="-40"/>
        </w:rPr>
        <w:t> </w:t>
      </w:r>
      <w:r>
        <w:rPr>
          <w:rFonts w:ascii="Times New Roman" w:hAnsi="Times New Roman" w:cs="Times New Roman" w:eastAsia="Times New Roman" w:hint="default"/>
        </w:rPr>
        <w:t>2016</w:t>
      </w:r>
      <w:r>
        <w:rPr>
          <w:rFonts w:ascii="Times New Roman" w:hAnsi="Times New Roman" w:cs="Times New Roman" w:eastAsia="Times New Roman" w:hint="default"/>
          <w:spacing w:val="-48"/>
        </w:rPr>
        <w:t> </w:t>
      </w:r>
      <w:r>
        <w:rPr>
          <w:rFonts w:ascii="Times New Roman" w:hAnsi="Times New Roman" w:cs="Times New Roman" w:eastAsia="Times New Roman" w:hint="default"/>
          <w:spacing w:val="-48"/>
        </w:rPr>
      </w:r>
      <w:r>
        <w:rPr>
          <w:spacing w:val="-4"/>
        </w:rPr>
        <w:t>年第七次临时股东大会授权，公司董事会将办理回购注销上述部分已获授但尚未解锁的限</w:t>
      </w:r>
      <w:r>
        <w:rPr>
          <w:spacing w:val="-25"/>
        </w:rPr>
        <w:t> </w:t>
      </w:r>
      <w:r>
        <w:rPr>
          <w:spacing w:val="-25"/>
        </w:rPr>
      </w:r>
      <w:r>
        <w:rPr/>
        <w:t>制性股票共计</w:t>
      </w:r>
      <w:r>
        <w:rPr>
          <w:spacing w:val="-53"/>
        </w:rPr>
        <w:t> </w:t>
      </w:r>
      <w:r>
        <w:rPr>
          <w:rFonts w:ascii="Times New Roman" w:hAnsi="Times New Roman" w:cs="Times New Roman" w:eastAsia="Times New Roman" w:hint="default"/>
        </w:rPr>
        <w:t>266,000 </w:t>
      </w:r>
      <w:r>
        <w:rPr/>
        <w:t>股等相关事项</w:t>
      </w:r>
    </w:p>
    <w:p>
      <w:pPr>
        <w:pStyle w:val="BodyText"/>
        <w:spacing w:line="340" w:lineRule="auto" w:before="10"/>
        <w:ind w:left="930" w:right="207"/>
        <w:jc w:val="both"/>
      </w:pPr>
      <w:r>
        <w:rPr>
          <w:rFonts w:ascii="Times New Roman" w:hAnsi="Times New Roman" w:cs="Times New Roman" w:eastAsia="Times New Roman" w:hint="default"/>
        </w:rPr>
        <w:t>2020</w:t>
      </w:r>
      <w:r>
        <w:rPr>
          <w:rFonts w:ascii="Times New Roman" w:hAnsi="Times New Roman" w:cs="Times New Roman" w:eastAsia="Times New Roman" w:hint="default"/>
          <w:spacing w:val="-7"/>
        </w:rPr>
        <w:t> </w:t>
      </w:r>
      <w:r>
        <w:rPr/>
        <w:t>年</w:t>
      </w:r>
      <w:r>
        <w:rPr>
          <w:spacing w:val="-57"/>
        </w:rPr>
        <w:t> </w:t>
      </w:r>
      <w:r>
        <w:rPr>
          <w:rFonts w:ascii="Times New Roman" w:hAnsi="Times New Roman" w:cs="Times New Roman" w:eastAsia="Times New Roman" w:hint="default"/>
        </w:rPr>
        <w:t>4</w:t>
      </w:r>
      <w:r>
        <w:rPr>
          <w:rFonts w:ascii="Times New Roman" w:hAnsi="Times New Roman" w:cs="Times New Roman" w:eastAsia="Times New Roman" w:hint="default"/>
          <w:spacing w:val="-7"/>
        </w:rPr>
        <w:t> </w:t>
      </w:r>
      <w:r>
        <w:rPr/>
        <w:t>月</w:t>
      </w:r>
      <w:r>
        <w:rPr>
          <w:spacing w:val="-57"/>
        </w:rPr>
        <w:t> </w:t>
      </w:r>
      <w:r>
        <w:rPr>
          <w:rFonts w:ascii="Times New Roman" w:hAnsi="Times New Roman" w:cs="Times New Roman" w:eastAsia="Times New Roman" w:hint="default"/>
        </w:rPr>
        <w:t>23</w:t>
      </w:r>
      <w:r>
        <w:rPr>
          <w:rFonts w:ascii="Times New Roman" w:hAnsi="Times New Roman" w:cs="Times New Roman" w:eastAsia="Times New Roman" w:hint="default"/>
          <w:spacing w:val="-6"/>
        </w:rPr>
        <w:t> </w:t>
      </w:r>
      <w:r>
        <w:rPr/>
        <w:t>日，公司第四届董事会第十二次会议审议通过了《关于回购注销部分第二</w:t>
      </w:r>
      <w:r>
        <w:rPr>
          <w:w w:val="100"/>
        </w:rPr>
        <w:t> </w:t>
      </w:r>
      <w:r>
        <w:rPr>
          <w:spacing w:val="-4"/>
        </w:rPr>
        <w:t>期股权激励计划限制性股票的议案》，对未达到解锁条件的第二期股权激励计划限制性股</w:t>
      </w:r>
      <w:r>
        <w:rPr>
          <w:spacing w:val="-26"/>
        </w:rPr>
        <w:t> </w:t>
      </w:r>
      <w:r>
        <w:rPr>
          <w:spacing w:val="-26"/>
        </w:rPr>
      </w:r>
      <w:r>
        <w:rPr/>
        <w:t>票予以回购注销，根据 </w:t>
      </w:r>
      <w:r>
        <w:rPr>
          <w:rFonts w:ascii="Times New Roman" w:hAnsi="Times New Roman" w:cs="Times New Roman" w:eastAsia="Times New Roman" w:hint="default"/>
        </w:rPr>
        <w:t>2016</w:t>
      </w:r>
      <w:r>
        <w:rPr>
          <w:rFonts w:ascii="Times New Roman" w:hAnsi="Times New Roman" w:cs="Times New Roman" w:eastAsia="Times New Roman" w:hint="default"/>
          <w:spacing w:val="-25"/>
        </w:rPr>
        <w:t> </w:t>
      </w:r>
      <w:r>
        <w:rPr/>
        <w:t>年第七次临时股东大会授权，公司董事会办理回购注销上述</w:t>
      </w:r>
    </w:p>
    <w:p>
      <w:pPr>
        <w:pStyle w:val="BodyText"/>
        <w:spacing w:line="240" w:lineRule="auto" w:before="10"/>
        <w:ind w:left="930" w:right="0"/>
        <w:jc w:val="both"/>
      </w:pPr>
      <w:r>
        <w:rPr/>
        <w:t>部分已获授但尚未解锁的限制性股票共计</w:t>
      </w:r>
      <w:r>
        <w:rPr>
          <w:spacing w:val="-54"/>
        </w:rPr>
        <w:t> </w:t>
      </w:r>
      <w:r>
        <w:rPr>
          <w:rFonts w:ascii="Times New Roman" w:hAnsi="Times New Roman" w:cs="Times New Roman" w:eastAsia="Times New Roman" w:hint="default"/>
        </w:rPr>
        <w:t>8,526,000</w:t>
      </w:r>
      <w:r>
        <w:rPr>
          <w:rFonts w:ascii="Times New Roman" w:hAnsi="Times New Roman" w:cs="Times New Roman" w:eastAsia="Times New Roman" w:hint="default"/>
          <w:spacing w:val="-3"/>
        </w:rPr>
        <w:t> </w:t>
      </w:r>
      <w:r>
        <w:rPr/>
        <w:t>股等相关事项。</w:t>
      </w:r>
    </w:p>
    <w:p>
      <w:pPr>
        <w:spacing w:line="240" w:lineRule="auto" w:before="0"/>
        <w:rPr>
          <w:rFonts w:ascii="宋体" w:hAnsi="宋体" w:cs="宋体" w:eastAsia="宋体" w:hint="default"/>
          <w:sz w:val="22"/>
          <w:szCs w:val="22"/>
        </w:rPr>
      </w:pPr>
    </w:p>
    <w:p>
      <w:pPr>
        <w:spacing w:line="240" w:lineRule="auto" w:before="8"/>
        <w:rPr>
          <w:rFonts w:ascii="宋体" w:hAnsi="宋体" w:cs="宋体" w:eastAsia="宋体" w:hint="default"/>
          <w:sz w:val="15"/>
          <w:szCs w:val="15"/>
        </w:rPr>
      </w:pPr>
    </w:p>
    <w:p>
      <w:pPr>
        <w:pStyle w:val="Heading3"/>
        <w:spacing w:line="240" w:lineRule="auto" w:before="0"/>
        <w:ind w:left="359" w:right="0"/>
        <w:jc w:val="left"/>
        <w:rPr>
          <w:b w:val="0"/>
          <w:bCs w:val="0"/>
        </w:rPr>
      </w:pPr>
      <w:r>
        <w:rPr/>
        <w:t>（三）</w:t>
      </w:r>
      <w:r>
        <w:rPr>
          <w:spacing w:val="-30"/>
        </w:rPr>
        <w:t> </w:t>
      </w:r>
      <w:r>
        <w:rPr>
          <w:rFonts w:ascii="宋体" w:hAnsi="宋体" w:cs="宋体" w:eastAsia="宋体" w:hint="default"/>
          <w:spacing w:val="-30"/>
        </w:rPr>
      </w:r>
      <w:r>
        <w:rPr/>
        <w:t>股份支付解锁情况</w:t>
      </w:r>
      <w:r>
        <w:rPr>
          <w:b w:val="0"/>
          <w:bCs w:val="0"/>
        </w:rPr>
      </w:r>
    </w:p>
    <w:p>
      <w:pPr>
        <w:pStyle w:val="BodyText"/>
        <w:spacing w:line="338" w:lineRule="auto" w:before="123"/>
        <w:ind w:left="849" w:right="207"/>
        <w:jc w:val="both"/>
      </w:pPr>
      <w:r>
        <w:rPr>
          <w:rFonts w:ascii="Times New Roman" w:hAnsi="Times New Roman" w:cs="Times New Roman" w:eastAsia="Times New Roman" w:hint="default"/>
        </w:rPr>
        <w:t>2018</w:t>
      </w:r>
      <w:r>
        <w:rPr>
          <w:rFonts w:ascii="Times New Roman" w:hAnsi="Times New Roman" w:cs="Times New Roman" w:eastAsia="Times New Roman" w:hint="default"/>
          <w:spacing w:val="12"/>
        </w:rPr>
        <w:t> </w:t>
      </w:r>
      <w:r>
        <w:rPr/>
        <w:t>年</w:t>
      </w:r>
      <w:r>
        <w:rPr>
          <w:spacing w:val="-41"/>
        </w:rPr>
        <w:t> </w:t>
      </w:r>
      <w:r>
        <w:rPr>
          <w:rFonts w:ascii="Times New Roman" w:hAnsi="Times New Roman" w:cs="Times New Roman" w:eastAsia="Times New Roman" w:hint="default"/>
        </w:rPr>
        <w:t>4</w:t>
      </w:r>
      <w:r>
        <w:rPr>
          <w:rFonts w:ascii="Times New Roman" w:hAnsi="Times New Roman" w:cs="Times New Roman" w:eastAsia="Times New Roman" w:hint="default"/>
          <w:spacing w:val="12"/>
        </w:rPr>
        <w:t> </w:t>
      </w:r>
      <w:r>
        <w:rPr/>
        <w:t>月</w:t>
      </w:r>
      <w:r>
        <w:rPr>
          <w:spacing w:val="-41"/>
        </w:rPr>
        <w:t> </w:t>
      </w:r>
      <w:r>
        <w:rPr>
          <w:rFonts w:ascii="Times New Roman" w:hAnsi="Times New Roman" w:cs="Times New Roman" w:eastAsia="Times New Roman" w:hint="default"/>
        </w:rPr>
        <w:t>16</w:t>
      </w:r>
      <w:r>
        <w:rPr>
          <w:rFonts w:ascii="Times New Roman" w:hAnsi="Times New Roman" w:cs="Times New Roman" w:eastAsia="Times New Roman" w:hint="default"/>
          <w:spacing w:val="10"/>
        </w:rPr>
        <w:t> </w:t>
      </w:r>
      <w:r>
        <w:rPr/>
        <w:t>日，公司第三届董事会第三十次会议审议通过了《关于第二期限制性股票</w:t>
      </w:r>
      <w:r>
        <w:rPr>
          <w:w w:val="100"/>
        </w:rPr>
        <w:t> </w:t>
      </w:r>
      <w:r>
        <w:rPr>
          <w:spacing w:val="-1"/>
        </w:rPr>
        <w:t>激励计划之首次授予限制性股票第一次解锁事宜的议案》，同意对第二期限制性股票激励</w:t>
      </w:r>
      <w:r>
        <w:rPr>
          <w:spacing w:val="-59"/>
        </w:rPr>
        <w:t> </w:t>
      </w:r>
      <w:r>
        <w:rPr>
          <w:spacing w:val="-59"/>
        </w:rPr>
      </w:r>
      <w:r>
        <w:rPr/>
        <w:t>计划符合解锁条件的</w:t>
      </w:r>
      <w:r>
        <w:rPr>
          <w:spacing w:val="-49"/>
        </w:rPr>
        <w:t> </w:t>
      </w:r>
      <w:r>
        <w:rPr>
          <w:rFonts w:ascii="Times New Roman" w:hAnsi="Times New Roman" w:cs="Times New Roman" w:eastAsia="Times New Roman" w:hint="default"/>
        </w:rPr>
        <w:t>216</w:t>
      </w:r>
      <w:r>
        <w:rPr>
          <w:rFonts w:ascii="Times New Roman" w:hAnsi="Times New Roman" w:cs="Times New Roman" w:eastAsia="Times New Roman" w:hint="default"/>
          <w:spacing w:val="1"/>
        </w:rPr>
        <w:t> </w:t>
      </w:r>
      <w:r>
        <w:rPr/>
        <w:t>名激励对象首次授予的限制性股票进行第一次解锁，解锁数量共</w:t>
      </w:r>
    </w:p>
    <w:p>
      <w:pPr>
        <w:pStyle w:val="BodyText"/>
        <w:spacing w:line="240" w:lineRule="auto" w:before="15"/>
        <w:ind w:left="849" w:right="0"/>
        <w:jc w:val="both"/>
        <w:rPr>
          <w:rFonts w:ascii="宋体" w:hAnsi="宋体" w:cs="宋体" w:eastAsia="宋体" w:hint="default"/>
        </w:rPr>
      </w:pPr>
      <w:r>
        <w:rPr/>
        <w:t>计</w:t>
      </w:r>
      <w:r>
        <w:rPr>
          <w:spacing w:val="-54"/>
        </w:rPr>
        <w:t> </w:t>
      </w:r>
      <w:r>
        <w:rPr>
          <w:rFonts w:ascii="Times New Roman" w:hAnsi="Times New Roman" w:cs="Times New Roman" w:eastAsia="Times New Roman" w:hint="default"/>
        </w:rPr>
        <w:t>6,333,600</w:t>
      </w:r>
      <w:r>
        <w:rPr>
          <w:rFonts w:ascii="Times New Roman" w:hAnsi="Times New Roman" w:cs="Times New Roman" w:eastAsia="Times New Roman" w:hint="default"/>
          <w:spacing w:val="-1"/>
        </w:rPr>
        <w:t> </w:t>
      </w:r>
      <w:r>
        <w:rPr/>
        <w:t>股。</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56"/>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月</w:t>
      </w:r>
      <w:r>
        <w:rPr>
          <w:spacing w:val="-54"/>
        </w:rPr>
        <w:t> </w:t>
      </w:r>
      <w:r>
        <w:rPr>
          <w:rFonts w:ascii="Times New Roman" w:hAnsi="Times New Roman" w:cs="Times New Roman" w:eastAsia="Times New Roman" w:hint="default"/>
        </w:rPr>
        <w:t>23</w:t>
      </w:r>
      <w:r>
        <w:rPr>
          <w:rFonts w:ascii="Times New Roman" w:hAnsi="Times New Roman" w:cs="Times New Roman" w:eastAsia="Times New Roman" w:hint="default"/>
          <w:spacing w:val="-1"/>
        </w:rPr>
        <w:t> </w:t>
      </w:r>
      <w:r>
        <w:rPr/>
        <w:t>日，上述限制性股票上市流通。</w:t>
      </w:r>
      <w:r>
        <w:rPr>
          <w:rFonts w:ascii="宋体" w:hAnsi="宋体" w:cs="宋体" w:eastAsia="宋体" w:hint="default"/>
        </w:rPr>
        <w:t> </w:t>
      </w:r>
    </w:p>
    <w:p>
      <w:pPr>
        <w:spacing w:line="240" w:lineRule="auto" w:before="3"/>
        <w:rPr>
          <w:rFonts w:ascii="宋体" w:hAnsi="宋体" w:cs="宋体" w:eastAsia="宋体" w:hint="default"/>
          <w:sz w:val="21"/>
          <w:szCs w:val="21"/>
        </w:rPr>
      </w:pPr>
    </w:p>
    <w:p>
      <w:pPr>
        <w:pStyle w:val="Heading3"/>
        <w:spacing w:line="240" w:lineRule="auto" w:before="36"/>
        <w:ind w:right="0"/>
        <w:jc w:val="left"/>
        <w:rPr>
          <w:b w:val="0"/>
          <w:bCs w:val="0"/>
        </w:rPr>
      </w:pPr>
      <w:r>
        <w:rPr>
          <w:rFonts w:ascii="宋体" w:hAnsi="宋体" w:cs="宋体" w:eastAsia="宋体" w:hint="default"/>
        </w:rPr>
        <w:t>3</w:t>
      </w:r>
      <w:r>
        <w:rPr/>
        <w:t>、 以现金结算的股份支付情况</w:t>
      </w:r>
      <w:r>
        <w:rPr>
          <w:b w:val="0"/>
          <w:bCs w:val="0"/>
        </w:rPr>
      </w:r>
    </w:p>
    <w:p>
      <w:pPr>
        <w:pStyle w:val="Heading2"/>
        <w:spacing w:line="240" w:lineRule="auto" w:before="50"/>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BodyText"/>
        <w:spacing w:line="240" w:lineRule="auto" w:before="4"/>
        <w:ind w:right="0"/>
        <w:jc w:val="left"/>
        <w:rPr>
          <w:rFonts w:ascii="宋体" w:hAnsi="宋体" w:cs="宋体" w:eastAsia="宋体" w:hint="default"/>
        </w:rPr>
      </w:pPr>
      <w:r>
        <w:rPr>
          <w:rFonts w:ascii="宋体"/>
          <w:w w:val="100"/>
        </w:rPr>
        <w:t> </w:t>
      </w:r>
    </w:p>
    <w:p>
      <w:pPr>
        <w:pStyle w:val="Heading3"/>
        <w:spacing w:line="240" w:lineRule="auto" w:before="58"/>
        <w:ind w:right="0"/>
        <w:jc w:val="left"/>
        <w:rPr>
          <w:b w:val="0"/>
          <w:bCs w:val="0"/>
        </w:rPr>
      </w:pPr>
      <w:r>
        <w:rPr>
          <w:rFonts w:ascii="宋体" w:hAnsi="宋体" w:cs="宋体" w:eastAsia="宋体" w:hint="default"/>
        </w:rPr>
        <w:t>4</w:t>
      </w:r>
      <w:r>
        <w:rPr/>
        <w:t>、 股份支付的修改、终止情况</w:t>
      </w:r>
      <w:r>
        <w:rPr>
          <w:b w:val="0"/>
          <w:bCs w:val="0"/>
        </w:rPr>
      </w:r>
    </w:p>
    <w:p>
      <w:pPr>
        <w:pStyle w:val="BodyText"/>
        <w:spacing w:line="273" w:lineRule="exact" w:before="56"/>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rPr>
        <w:t> </w:t>
      </w:r>
    </w:p>
    <w:p>
      <w:pPr>
        <w:pStyle w:val="BodyText"/>
        <w:spacing w:line="273" w:lineRule="exact"/>
        <w:ind w:left="429" w:right="0"/>
        <w:jc w:val="left"/>
        <w:rPr>
          <w:rFonts w:ascii="宋体" w:hAnsi="宋体" w:cs="宋体" w:eastAsia="宋体" w:hint="default"/>
        </w:rPr>
      </w:pPr>
      <w:r>
        <w:rPr>
          <w:rFonts w:ascii="宋体"/>
          <w:w w:val="100"/>
        </w:rPr>
        <w:t> </w:t>
      </w:r>
    </w:p>
    <w:p>
      <w:pPr>
        <w:pStyle w:val="Heading3"/>
        <w:spacing w:line="240" w:lineRule="auto" w:before="58"/>
        <w:ind w:right="0"/>
        <w:jc w:val="left"/>
        <w:rPr>
          <w:b w:val="0"/>
          <w:bCs w:val="0"/>
        </w:rPr>
      </w:pPr>
      <w:r>
        <w:rPr>
          <w:rFonts w:ascii="宋体" w:hAnsi="宋体" w:cs="宋体" w:eastAsia="宋体" w:hint="default"/>
        </w:rPr>
        <w:t>5</w:t>
      </w:r>
      <w:r>
        <w:rPr/>
        <w:t>、</w:t>
      </w:r>
      <w:r>
        <w:rPr>
          <w:spacing w:val="2"/>
        </w:rPr>
        <w:t> </w:t>
      </w:r>
      <w:r>
        <w:rPr/>
        <w:t>其他</w:t>
      </w:r>
      <w:r>
        <w:rPr>
          <w:b w:val="0"/>
          <w:bCs w:val="0"/>
        </w:rPr>
      </w:r>
    </w:p>
    <w:p>
      <w:pPr>
        <w:pStyle w:val="BodyText"/>
        <w:spacing w:line="274" w:lineRule="exact" w:before="56"/>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right="0"/>
        <w:jc w:val="left"/>
        <w:rPr>
          <w:rFonts w:ascii="宋体" w:hAnsi="宋体" w:cs="宋体" w:eastAsia="宋体" w:hint="default"/>
        </w:rPr>
      </w:pPr>
      <w:r>
        <w:rPr>
          <w:rFonts w:ascii="宋体"/>
          <w:w w:val="100"/>
        </w:rPr>
        <w:t> </w:t>
      </w:r>
    </w:p>
    <w:p>
      <w:pPr>
        <w:pStyle w:val="Heading3"/>
        <w:spacing w:line="290" w:lineRule="auto" w:before="57"/>
        <w:ind w:right="6712"/>
        <w:jc w:val="left"/>
        <w:rPr>
          <w:rFonts w:ascii="宋体" w:hAnsi="宋体" w:cs="宋体" w:eastAsia="宋体" w:hint="default"/>
          <w:b w:val="0"/>
          <w:bCs w:val="0"/>
        </w:rPr>
      </w:pPr>
      <w:r>
        <w:rPr/>
        <w:t>十四、</w:t>
      </w:r>
      <w:r>
        <w:rPr>
          <w:spacing w:val="102"/>
        </w:rPr>
        <w:t> </w:t>
      </w:r>
      <w:r>
        <w:rPr>
          <w:rFonts w:ascii="宋体" w:hAnsi="宋体" w:cs="宋体" w:eastAsia="宋体" w:hint="default"/>
          <w:spacing w:val="102"/>
        </w:rPr>
      </w:r>
      <w:r>
        <w:rPr/>
        <w:t>承诺及或有事项</w:t>
      </w:r>
      <w:r>
        <w:rPr>
          <w:w w:val="100"/>
        </w:rPr>
        <w:t> </w:t>
      </w:r>
      <w:r>
        <w:rPr>
          <w:rFonts w:ascii="宋体" w:hAnsi="宋体" w:cs="宋体" w:eastAsia="宋体" w:hint="default"/>
        </w:rPr>
        <w:t>1</w:t>
      </w:r>
      <w:r>
        <w:rPr/>
        <w:t>、</w:t>
      </w:r>
      <w:r>
        <w:rPr>
          <w:spacing w:val="1"/>
        </w:rPr>
        <w:t> </w:t>
      </w:r>
      <w:r>
        <w:rPr/>
        <w:t>重要承诺事项</w:t>
      </w:r>
      <w:r>
        <w:rPr>
          <w:rFonts w:ascii="宋体" w:hAnsi="宋体" w:cs="宋体" w:eastAsia="宋体" w:hint="default"/>
          <w:w w:val="99"/>
        </w:rPr>
        <w:t> </w:t>
      </w:r>
      <w:r>
        <w:rPr>
          <w:rFonts w:ascii="宋体" w:hAnsi="宋体" w:cs="宋体" w:eastAsia="宋体" w:hint="default"/>
          <w:b w:val="0"/>
          <w:bCs w:val="0"/>
        </w:rPr>
      </w:r>
    </w:p>
    <w:p>
      <w:pPr>
        <w:pStyle w:val="Heading2"/>
        <w:spacing w:line="312" w:lineRule="exact" w:before="36"/>
        <w:ind w:right="3537"/>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r>
        <w:rPr/>
        <w:t>资产负债表日存在的对外重要承诺、性质、金额</w:t>
      </w:r>
      <w:r>
        <w:rPr>
          <w:rFonts w:ascii="宋体" w:hAnsi="宋体" w:cs="宋体" w:eastAsia="宋体" w:hint="default"/>
        </w:rPr>
        <w:t> </w:t>
      </w:r>
    </w:p>
    <w:p>
      <w:pPr>
        <w:pStyle w:val="Heading3"/>
        <w:tabs>
          <w:tab w:pos="925" w:val="left" w:leader="none"/>
        </w:tabs>
        <w:spacing w:line="240" w:lineRule="auto" w:before="102"/>
        <w:ind w:left="505" w:right="0"/>
        <w:jc w:val="left"/>
        <w:rPr>
          <w:b w:val="0"/>
          <w:bCs w:val="0"/>
        </w:rPr>
      </w:pPr>
      <w:r>
        <w:rPr>
          <w:rFonts w:ascii="Times New Roman" w:hAnsi="Times New Roman" w:cs="Times New Roman" w:eastAsia="Times New Roman" w:hint="default"/>
        </w:rPr>
        <w:t>a)</w:t>
        <w:tab/>
      </w:r>
      <w:r>
        <w:rPr/>
        <w:t>重要承诺事项</w:t>
      </w:r>
      <w:r>
        <w:rPr>
          <w:b w:val="0"/>
          <w:bCs w:val="0"/>
        </w:rPr>
      </w:r>
    </w:p>
    <w:p>
      <w:pPr>
        <w:pStyle w:val="Heading3"/>
        <w:tabs>
          <w:tab w:pos="1619" w:val="left" w:leader="none"/>
        </w:tabs>
        <w:spacing w:line="331" w:lineRule="auto" w:before="107"/>
        <w:ind w:left="1619" w:right="105" w:hanging="531"/>
        <w:jc w:val="left"/>
        <w:rPr>
          <w:b w:val="0"/>
          <w:bCs w:val="0"/>
        </w:rPr>
      </w:pPr>
      <w:r>
        <w:rPr>
          <w:rFonts w:ascii="Times New Roman" w:hAnsi="Times New Roman" w:cs="Times New Roman" w:eastAsia="Times New Roman" w:hint="default"/>
          <w:spacing w:val="-1"/>
        </w:rPr>
        <w:t>i.</w:t>
        <w:tab/>
      </w:r>
      <w:r>
        <w:rPr/>
        <w:t>截至</w:t>
      </w:r>
      <w:r>
        <w:rPr>
          <w:spacing w:val="-39"/>
        </w:rPr>
        <w:t> </w:t>
      </w:r>
      <w:r>
        <w:rPr>
          <w:rFonts w:ascii="Times New Roman" w:hAnsi="Times New Roman" w:cs="Times New Roman" w:eastAsia="Times New Roman" w:hint="default"/>
          <w:spacing w:val="-1"/>
        </w:rPr>
        <w:t>2019</w:t>
      </w:r>
      <w:r>
        <w:rPr>
          <w:rFonts w:ascii="Times New Roman" w:hAnsi="Times New Roman" w:cs="Times New Roman" w:eastAsia="Times New Roman" w:hint="default"/>
          <w:spacing w:val="12"/>
        </w:rPr>
        <w:t> </w:t>
      </w:r>
      <w:r>
        <w:rPr/>
        <w:t>年</w:t>
      </w:r>
      <w:r>
        <w:rPr>
          <w:spacing w:val="-37"/>
        </w:rPr>
        <w:t> </w:t>
      </w:r>
      <w:r>
        <w:rPr>
          <w:rFonts w:ascii="Times New Roman" w:hAnsi="Times New Roman" w:cs="Times New Roman" w:eastAsia="Times New Roman" w:hint="default"/>
        </w:rPr>
        <w:t>12</w:t>
      </w:r>
      <w:r>
        <w:rPr>
          <w:rFonts w:ascii="Times New Roman" w:hAnsi="Times New Roman" w:cs="Times New Roman" w:eastAsia="Times New Roman" w:hint="default"/>
          <w:spacing w:val="12"/>
        </w:rPr>
        <w:t> </w:t>
      </w:r>
      <w:r>
        <w:rPr/>
        <w:t>月</w:t>
      </w:r>
      <w:r>
        <w:rPr>
          <w:spacing w:val="-39"/>
        </w:rPr>
        <w:t> </w:t>
      </w:r>
      <w:r>
        <w:rPr>
          <w:rFonts w:ascii="Times New Roman" w:hAnsi="Times New Roman" w:cs="Times New Roman" w:eastAsia="Times New Roman" w:hint="default"/>
        </w:rPr>
        <w:t>31</w:t>
      </w:r>
      <w:r>
        <w:rPr>
          <w:rFonts w:ascii="Times New Roman" w:hAnsi="Times New Roman" w:cs="Times New Roman" w:eastAsia="Times New Roman" w:hint="default"/>
          <w:spacing w:val="12"/>
        </w:rPr>
        <w:t> </w:t>
      </w:r>
      <w:r>
        <w:rPr>
          <w:spacing w:val="-1"/>
        </w:rPr>
        <w:t>日，公司以下列土地使用权、房产及固定资产抵押给银行，</w:t>
      </w:r>
      <w:r>
        <w:rPr>
          <w:w w:val="100"/>
        </w:rPr>
        <w:t> </w:t>
      </w:r>
      <w:r>
        <w:rPr/>
        <w:t>为取得银行最高额授信作担保：</w:t>
      </w:r>
      <w:r>
        <w:rPr>
          <w:b w:val="0"/>
          <w:bCs w:val="0"/>
        </w:rPr>
      </w:r>
    </w:p>
    <w:p>
      <w:pPr>
        <w:spacing w:after="0" w:line="331" w:lineRule="auto"/>
        <w:jc w:val="left"/>
        <w:sectPr>
          <w:pgSz w:w="11910" w:h="16840"/>
          <w:pgMar w:header="748" w:footer="974" w:top="1140" w:bottom="1160" w:left="1580" w:right="1060"/>
        </w:sectPr>
      </w:pPr>
    </w:p>
    <w:p>
      <w:pPr>
        <w:spacing w:line="240" w:lineRule="auto" w:before="4"/>
        <w:rPr>
          <w:rFonts w:ascii="宋体" w:hAnsi="宋体" w:cs="宋体" w:eastAsia="宋体" w:hint="default"/>
          <w:b/>
          <w:bCs/>
          <w:sz w:val="29"/>
          <w:szCs w:val="29"/>
        </w:rPr>
      </w:pPr>
      <w:r>
        <w:rPr/>
        <w:pict>
          <v:shape style="position:absolute;margin-left:227.089996pt;margin-top:77.639984pt;width:.48pt;height:.12pt;mso-position-horizontal-relative:page;mso-position-vertical-relative:page;z-index:-1316992" type="#_x0000_t75" stroked="false">
            <v:imagedata r:id="rId215" o:title=""/>
          </v:shape>
        </w:pict>
      </w:r>
      <w:r>
        <w:rPr/>
        <w:pict>
          <v:shape style="position:absolute;margin-left:290.809998pt;margin-top:77.639984pt;width:.47998pt;height:.12pt;mso-position-horizontal-relative:page;mso-position-vertical-relative:page;z-index:-1316968" type="#_x0000_t75" stroked="false">
            <v:imagedata r:id="rId215" o:title=""/>
          </v:shape>
        </w:pict>
      </w:r>
      <w:r>
        <w:rPr/>
        <w:pict>
          <v:shape style="position:absolute;margin-left:359.709991pt;margin-top:77.639984pt;width:.47998pt;height:.12pt;mso-position-horizontal-relative:page;mso-position-vertical-relative:page;z-index:-1316944" type="#_x0000_t75" stroked="false">
            <v:imagedata r:id="rId215" o:title=""/>
          </v:shape>
        </w:pict>
      </w:r>
      <w:r>
        <w:rPr/>
        <w:pict>
          <v:shape style="position:absolute;margin-left:400.51001pt;margin-top:77.639984pt;width:.48001pt;height:.12pt;mso-position-horizontal-relative:page;mso-position-vertical-relative:page;z-index:-1316920" type="#_x0000_t75" stroked="false">
            <v:imagedata r:id="rId215" o:title=""/>
          </v:shape>
        </w:pict>
      </w:r>
      <w:r>
        <w:rPr/>
        <w:pict>
          <v:shape style="position:absolute;margin-left:441.309998pt;margin-top:77.639984pt;width:.47998pt;height:.12pt;mso-position-horizontal-relative:page;mso-position-vertical-relative:page;z-index:-1316896" type="#_x0000_t75" stroked="false">
            <v:imagedata r:id="rId215" o:title=""/>
          </v:shape>
        </w:pict>
      </w:r>
      <w:r>
        <w:rPr/>
        <w:pict>
          <v:group style="position:absolute;margin-left:120.260002pt;margin-top:137.779999pt;width:402.2pt;height:.5pt;mso-position-horizontal-relative:page;mso-position-vertical-relative:page;z-index:-1316872" coordorigin="2405,2756" coordsize="8044,10">
            <v:shape style="position:absolute;left:2405;top:2756;width:3411;height:10" type="#_x0000_t75" stroked="false">
              <v:imagedata r:id="rId229" o:title=""/>
            </v:shape>
            <v:shape style="position:absolute;left:5811;top:2756;width:1383;height:10" type="#_x0000_t75" stroked="false">
              <v:imagedata r:id="rId230" o:title=""/>
            </v:shape>
            <v:shape style="position:absolute;left:7189;top:2756;width:1637;height:10" type="#_x0000_t75" stroked="false">
              <v:imagedata r:id="rId231" o:title=""/>
            </v:shape>
            <v:shape style="position:absolute;left:8821;top:2756;width:1628;height:10" type="#_x0000_t75" stroked="false">
              <v:imagedata r:id="rId232" o:title=""/>
            </v:shape>
            <w10:wrap type="none"/>
          </v:group>
        </w:pict>
      </w:r>
      <w:r>
        <w:rPr/>
        <w:pict>
          <v:group style="position:absolute;margin-left:120.260002pt;margin-top:153.619965pt;width:239.45pt;height:5.2pt;mso-position-horizontal-relative:page;mso-position-vertical-relative:page;z-index:-1316848" coordorigin="2405,3072" coordsize="4789,104">
            <v:shape style="position:absolute;left:2405;top:3072;width:3430;height:103" type="#_x0000_t75" stroked="false">
              <v:imagedata r:id="rId233" o:title=""/>
            </v:shape>
            <v:shape style="position:absolute;left:5811;top:3166;width:1383;height:10" type="#_x0000_t75" stroked="false">
              <v:imagedata r:id="rId234" o:title=""/>
            </v:shape>
            <w10:wrap type="none"/>
          </v:group>
        </w:pict>
      </w:r>
      <w:r>
        <w:rPr/>
        <w:pict>
          <v:group style="position:absolute;margin-left:120.260002pt;margin-top:198.740005pt;width:239.45pt;height:.5pt;mso-position-horizontal-relative:page;mso-position-vertical-relative:page;z-index:-1316824" coordorigin="2405,3975" coordsize="4789,10">
            <v:shape style="position:absolute;left:2405;top:3975;width:3411;height:10" type="#_x0000_t75" stroked="false">
              <v:imagedata r:id="rId229" o:title=""/>
            </v:shape>
            <v:shape style="position:absolute;left:5811;top:3975;width:1383;height:10" type="#_x0000_t75" stroked="false">
              <v:imagedata r:id="rId234" o:title=""/>
            </v:shape>
            <w10:wrap type="none"/>
          </v:group>
        </w:pict>
      </w:r>
      <w:r>
        <w:rPr/>
        <w:pict>
          <v:group style="position:absolute;margin-left:120.260002pt;margin-top:214.579956pt;width:239.45pt;height:5.2pt;mso-position-horizontal-relative:page;mso-position-vertical-relative:page;z-index:-1316800" coordorigin="2405,4292" coordsize="4789,104">
            <v:shape style="position:absolute;left:2405;top:4292;width:3430;height:103" type="#_x0000_t75" stroked="false">
              <v:imagedata r:id="rId235" o:title=""/>
            </v:shape>
            <v:shape style="position:absolute;left:5811;top:4385;width:1383;height:10" type="#_x0000_t75" stroked="false">
              <v:imagedata r:id="rId234" o:title=""/>
            </v:shape>
            <w10:wrap type="none"/>
          </v:group>
        </w:pict>
      </w:r>
      <w:r>
        <w:rPr/>
        <w:pict>
          <v:group style="position:absolute;margin-left:120.260002pt;margin-top:255.259964pt;width:239.45pt;height:5.05pt;mso-position-horizontal-relative:page;mso-position-vertical-relative:page;z-index:-1316776" coordorigin="2405,5105" coordsize="4789,101">
            <v:shape style="position:absolute;left:2405;top:5105;width:3430;height:101" type="#_x0000_t75" stroked="false">
              <v:imagedata r:id="rId236" o:title=""/>
            </v:shape>
            <v:shape style="position:absolute;left:5811;top:5196;width:1383;height:10" type="#_x0000_t75" stroked="false">
              <v:imagedata r:id="rId234" o:title=""/>
            </v:shape>
            <w10:wrap type="none"/>
          </v:group>
        </w:pict>
      </w:r>
      <w:r>
        <w:rPr/>
        <w:pict>
          <v:group style="position:absolute;margin-left:120.260002pt;margin-top:300.290009pt;width:239.45pt;height:.5pt;mso-position-horizontal-relative:page;mso-position-vertical-relative:page;z-index:-1316752" coordorigin="2405,6006" coordsize="4789,10">
            <v:shape style="position:absolute;left:2405;top:6006;width:3411;height:10" type="#_x0000_t75" stroked="false">
              <v:imagedata r:id="rId229" o:title=""/>
            </v:shape>
            <v:shape style="position:absolute;left:5811;top:6006;width:1383;height:10" type="#_x0000_t75" stroked="false">
              <v:imagedata r:id="rId234" o:title=""/>
            </v:shape>
            <w10:wrap type="none"/>
          </v:group>
        </w:pict>
      </w:r>
      <w:r>
        <w:rPr/>
        <w:pict>
          <v:group style="position:absolute;margin-left:120.260002pt;margin-top:336.289978pt;width:239.45pt;height:5.05pt;mso-position-horizontal-relative:page;mso-position-vertical-relative:page;z-index:-1316728" coordorigin="2405,6726" coordsize="4789,101">
            <v:shape style="position:absolute;left:2405;top:6726;width:3430;height:101" type="#_x0000_t75" stroked="false">
              <v:imagedata r:id="rId236" o:title=""/>
            </v:shape>
            <v:shape style="position:absolute;left:5811;top:6817;width:1383;height:10" type="#_x0000_t75" stroked="false">
              <v:imagedata r:id="rId234" o:title=""/>
            </v:shape>
            <w10:wrap type="none"/>
          </v:group>
        </w:pict>
      </w:r>
      <w:r>
        <w:rPr/>
        <w:pict>
          <v:group style="position:absolute;margin-left:120.260002pt;margin-top:381.289978pt;width:239.45pt;height:.5pt;mso-position-horizontal-relative:page;mso-position-vertical-relative:page;z-index:-1316704" coordorigin="2405,7626" coordsize="4789,10">
            <v:shape style="position:absolute;left:2405;top:7626;width:3411;height:10" type="#_x0000_t75" stroked="false">
              <v:imagedata r:id="rId229" o:title=""/>
            </v:shape>
            <v:shape style="position:absolute;left:5811;top:7626;width:1383;height:10" type="#_x0000_t75" stroked="false">
              <v:imagedata r:id="rId234" o:title=""/>
            </v:shape>
            <w10:wrap type="none"/>
          </v:group>
        </w:pict>
      </w:r>
      <w:r>
        <w:rPr/>
        <w:pict>
          <v:group style="position:absolute;margin-left:120.260002pt;margin-top:417.289978pt;width:239.45pt;height:5.05pt;mso-position-horizontal-relative:page;mso-position-vertical-relative:page;z-index:-1316680" coordorigin="2405,8346" coordsize="4789,101">
            <v:shape style="position:absolute;left:2405;top:8346;width:3430;height:101" type="#_x0000_t75" stroked="false">
              <v:imagedata r:id="rId236" o:title=""/>
            </v:shape>
            <v:shape style="position:absolute;left:5811;top:8437;width:1383;height:10" type="#_x0000_t75" stroked="false">
              <v:imagedata r:id="rId234" o:title=""/>
            </v:shape>
            <w10:wrap type="none"/>
          </v:group>
        </w:pict>
      </w:r>
      <w:r>
        <w:rPr/>
        <w:pict>
          <v:group style="position:absolute;margin-left:120.260002pt;margin-top:462.309998pt;width:402.2pt;height:.5pt;mso-position-horizontal-relative:page;mso-position-vertical-relative:page;z-index:-1316656" coordorigin="2405,9246" coordsize="8044,10">
            <v:shape style="position:absolute;left:2405;top:9246;width:3411;height:10" type="#_x0000_t75" stroked="false">
              <v:imagedata r:id="rId229" o:title=""/>
            </v:shape>
            <v:shape style="position:absolute;left:5811;top:9246;width:1383;height:10" type="#_x0000_t75" stroked="false">
              <v:imagedata r:id="rId234" o:title=""/>
            </v:shape>
            <v:shape style="position:absolute;left:7189;top:9246;width:1637;height:10" type="#_x0000_t75" stroked="false">
              <v:imagedata r:id="rId237" o:title=""/>
            </v:shape>
            <v:shape style="position:absolute;left:8821;top:9246;width:1628;height:10" type="#_x0000_t75" stroked="false">
              <v:imagedata r:id="rId238" o:title=""/>
            </v:shape>
            <w10:wrap type="none"/>
          </v:group>
        </w:pict>
      </w:r>
      <w:r>
        <w:rPr/>
        <w:pict>
          <v:group style="position:absolute;margin-left:120.260002pt;margin-top:478.149994pt;width:402.2pt;height:5.2pt;mso-position-horizontal-relative:page;mso-position-vertical-relative:page;z-index:-1316632" coordorigin="2405,9563" coordsize="8044,104">
            <v:shape style="position:absolute;left:2405;top:9563;width:3430;height:103" type="#_x0000_t75" stroked="false">
              <v:imagedata r:id="rId235" o:title=""/>
            </v:shape>
            <v:shape style="position:absolute;left:5811;top:9657;width:1383;height:10" type="#_x0000_t75" stroked="false">
              <v:imagedata r:id="rId230" o:title=""/>
            </v:shape>
            <v:shape style="position:absolute;left:7189;top:9657;width:1637;height:10" type="#_x0000_t75" stroked="false">
              <v:imagedata r:id="rId231" o:title=""/>
            </v:shape>
            <v:shape style="position:absolute;left:8821;top:9657;width:1628;height:10" type="#_x0000_t75" stroked="false">
              <v:imagedata r:id="rId232" o:title=""/>
            </v:shape>
            <w10:wrap type="none"/>
          </v:group>
        </w:pict>
      </w:r>
      <w:r>
        <w:rPr/>
        <w:pict>
          <v:group style="position:absolute;margin-left:120.260002pt;margin-top:498.669983pt;width:402.2pt;height:5.2pt;mso-position-horizontal-relative:page;mso-position-vertical-relative:page;z-index:-1316608" coordorigin="2405,9973" coordsize="8044,104">
            <v:shape style="position:absolute;left:2405;top:9973;width:3430;height:103" type="#_x0000_t75" stroked="false">
              <v:imagedata r:id="rId239" o:title=""/>
            </v:shape>
            <v:shape style="position:absolute;left:5811;top:10067;width:1383;height:10" type="#_x0000_t75" stroked="false">
              <v:imagedata r:id="rId234" o:title=""/>
            </v:shape>
            <v:shape style="position:absolute;left:7189;top:10067;width:1637;height:10" type="#_x0000_t75" stroked="false">
              <v:imagedata r:id="rId237" o:title=""/>
            </v:shape>
            <v:shape style="position:absolute;left:8821;top:10067;width:1628;height:10" type="#_x0000_t75" stroked="false">
              <v:imagedata r:id="rId238" o:title=""/>
            </v:shape>
            <w10:wrap type="none"/>
          </v:group>
        </w:pict>
      </w:r>
      <w:r>
        <w:rPr/>
        <w:pict>
          <v:group style="position:absolute;margin-left:120.260002pt;margin-top:543.789978pt;width:402.2pt;height:.5pt;mso-position-horizontal-relative:page;mso-position-vertical-relative:page;z-index:-1316584" coordorigin="2405,10876" coordsize="8044,10">
            <v:shape style="position:absolute;left:2405;top:10876;width:3411;height:10" type="#_x0000_t75" stroked="false">
              <v:imagedata r:id="rId229" o:title=""/>
            </v:shape>
            <v:shape style="position:absolute;left:5811;top:10876;width:1383;height:10" type="#_x0000_t75" stroked="false">
              <v:imagedata r:id="rId234" o:title=""/>
            </v:shape>
            <v:shape style="position:absolute;left:7189;top:10876;width:1637;height:10" type="#_x0000_t75" stroked="false">
              <v:imagedata r:id="rId237" o:title=""/>
            </v:shape>
            <v:shape style="position:absolute;left:8821;top:10876;width:1628;height:10" type="#_x0000_t75" stroked="false">
              <v:imagedata r:id="rId238" o:title=""/>
            </v:shape>
            <w10:wrap type="none"/>
          </v:group>
        </w:pict>
      </w:r>
    </w:p>
    <w:tbl>
      <w:tblPr>
        <w:tblW w:w="0" w:type="auto"/>
        <w:jc w:val="left"/>
        <w:tblInd w:w="825" w:type="dxa"/>
        <w:tblLayout w:type="fixed"/>
        <w:tblCellMar>
          <w:top w:w="0" w:type="dxa"/>
          <w:left w:w="0" w:type="dxa"/>
          <w:bottom w:w="0" w:type="dxa"/>
          <w:right w:w="0" w:type="dxa"/>
        </w:tblCellMar>
        <w:tblLook w:val="01E0"/>
      </w:tblPr>
      <w:tblGrid>
        <w:gridCol w:w="2141"/>
        <w:gridCol w:w="1274"/>
        <w:gridCol w:w="1378"/>
        <w:gridCol w:w="816"/>
        <w:gridCol w:w="816"/>
        <w:gridCol w:w="1618"/>
      </w:tblGrid>
      <w:tr>
        <w:trPr>
          <w:trHeight w:val="1286" w:hRule="exact"/>
        </w:trPr>
        <w:tc>
          <w:tcPr>
            <w:tcW w:w="2141" w:type="dxa"/>
            <w:tcBorders>
              <w:top w:val="single" w:sz="12" w:space="0" w:color="000000"/>
              <w:left w:val="nil" w:sz="6" w:space="0" w:color="auto"/>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6"/>
              <w:ind w:right="0"/>
              <w:jc w:val="left"/>
              <w:rPr>
                <w:rFonts w:ascii="宋体" w:hAnsi="宋体" w:cs="宋体" w:eastAsia="宋体" w:hint="default"/>
                <w:b/>
                <w:bCs/>
                <w:sz w:val="12"/>
                <w:szCs w:val="12"/>
              </w:rPr>
            </w:pPr>
          </w:p>
          <w:p>
            <w:pPr>
              <w:pStyle w:val="TableParagraph"/>
              <w:spacing w:line="489" w:lineRule="auto"/>
              <w:ind w:left="842" w:right="313" w:hanging="524"/>
              <w:jc w:val="left"/>
              <w:rPr>
                <w:rFonts w:ascii="宋体" w:hAnsi="宋体" w:cs="宋体" w:eastAsia="宋体" w:hint="default"/>
                <w:sz w:val="15"/>
                <w:szCs w:val="15"/>
              </w:rPr>
            </w:pPr>
            <w:r>
              <w:rPr>
                <w:rFonts w:ascii="宋体" w:hAnsi="宋体" w:cs="宋体" w:eastAsia="宋体" w:hint="default"/>
                <w:spacing w:val="-2"/>
                <w:sz w:val="15"/>
                <w:szCs w:val="15"/>
              </w:rPr>
              <w:t>土地使用权及房产名称</w:t>
            </w:r>
            <w:r>
              <w:rPr>
                <w:rFonts w:ascii="宋体" w:hAnsi="宋体" w:cs="宋体" w:eastAsia="宋体" w:hint="default"/>
                <w:spacing w:val="-55"/>
                <w:sz w:val="15"/>
                <w:szCs w:val="15"/>
              </w:rPr>
              <w:t> </w:t>
            </w:r>
            <w:r>
              <w:rPr>
                <w:rFonts w:ascii="宋体" w:hAnsi="宋体" w:cs="宋体" w:eastAsia="宋体" w:hint="default"/>
                <w:spacing w:val="-55"/>
                <w:sz w:val="15"/>
                <w:szCs w:val="15"/>
              </w:rPr>
            </w:r>
            <w:r>
              <w:rPr>
                <w:rFonts w:ascii="宋体" w:hAnsi="宋体" w:cs="宋体" w:eastAsia="宋体" w:hint="default"/>
                <w:sz w:val="15"/>
                <w:szCs w:val="15"/>
              </w:rPr>
              <w:t>及座落</w:t>
            </w:r>
          </w:p>
        </w:tc>
        <w:tc>
          <w:tcPr>
            <w:tcW w:w="1274" w:type="dxa"/>
            <w:tcBorders>
              <w:top w:val="single" w:sz="12"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1"/>
              <w:ind w:right="0"/>
              <w:jc w:val="left"/>
              <w:rPr>
                <w:rFonts w:ascii="宋体" w:hAnsi="宋体" w:cs="宋体" w:eastAsia="宋体" w:hint="default"/>
                <w:b/>
                <w:bCs/>
                <w:sz w:val="13"/>
                <w:szCs w:val="13"/>
              </w:rPr>
            </w:pPr>
          </w:p>
          <w:p>
            <w:pPr>
              <w:pStyle w:val="TableParagraph"/>
              <w:spacing w:line="240" w:lineRule="auto"/>
              <w:ind w:left="331" w:right="0"/>
              <w:jc w:val="left"/>
              <w:rPr>
                <w:rFonts w:ascii="宋体" w:hAnsi="宋体" w:cs="宋体" w:eastAsia="宋体" w:hint="default"/>
                <w:sz w:val="15"/>
                <w:szCs w:val="15"/>
              </w:rPr>
            </w:pPr>
            <w:r>
              <w:rPr>
                <w:rFonts w:ascii="宋体" w:hAnsi="宋体" w:cs="宋体" w:eastAsia="宋体" w:hint="default"/>
                <w:sz w:val="15"/>
                <w:szCs w:val="15"/>
              </w:rPr>
              <w:t>资产原值</w:t>
            </w:r>
          </w:p>
        </w:tc>
        <w:tc>
          <w:tcPr>
            <w:tcW w:w="1378" w:type="dxa"/>
            <w:tcBorders>
              <w:top w:val="single" w:sz="12"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1"/>
              <w:ind w:right="0"/>
              <w:jc w:val="left"/>
              <w:rPr>
                <w:rFonts w:ascii="宋体" w:hAnsi="宋体" w:cs="宋体" w:eastAsia="宋体" w:hint="default"/>
                <w:b/>
                <w:bCs/>
                <w:sz w:val="13"/>
                <w:szCs w:val="13"/>
              </w:rPr>
            </w:pPr>
          </w:p>
          <w:p>
            <w:pPr>
              <w:pStyle w:val="TableParagraph"/>
              <w:spacing w:line="240" w:lineRule="auto"/>
              <w:ind w:left="384" w:right="0"/>
              <w:jc w:val="left"/>
              <w:rPr>
                <w:rFonts w:ascii="宋体" w:hAnsi="宋体" w:cs="宋体" w:eastAsia="宋体" w:hint="default"/>
                <w:sz w:val="15"/>
                <w:szCs w:val="15"/>
              </w:rPr>
            </w:pPr>
            <w:r>
              <w:rPr>
                <w:rFonts w:ascii="宋体" w:hAnsi="宋体" w:cs="宋体" w:eastAsia="宋体" w:hint="default"/>
                <w:sz w:val="15"/>
                <w:szCs w:val="15"/>
              </w:rPr>
              <w:t>资产净值</w:t>
            </w:r>
          </w:p>
        </w:tc>
        <w:tc>
          <w:tcPr>
            <w:tcW w:w="816"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3"/>
              <w:ind w:right="0"/>
              <w:jc w:val="left"/>
              <w:rPr>
                <w:rFonts w:ascii="宋体" w:hAnsi="宋体" w:cs="宋体" w:eastAsia="宋体" w:hint="default"/>
                <w:b/>
                <w:bCs/>
                <w:sz w:val="11"/>
                <w:szCs w:val="11"/>
              </w:rPr>
            </w:pPr>
          </w:p>
          <w:p>
            <w:pPr>
              <w:pStyle w:val="TableParagraph"/>
              <w:spacing w:line="489" w:lineRule="auto"/>
              <w:ind w:left="177" w:right="98" w:hanging="75"/>
              <w:jc w:val="left"/>
              <w:rPr>
                <w:rFonts w:ascii="宋体" w:hAnsi="宋体" w:cs="宋体" w:eastAsia="宋体" w:hint="default"/>
                <w:sz w:val="15"/>
                <w:szCs w:val="15"/>
              </w:rPr>
            </w:pPr>
            <w:r>
              <w:rPr>
                <w:rFonts w:ascii="宋体" w:hAnsi="宋体" w:cs="宋体" w:eastAsia="宋体" w:hint="default"/>
                <w:sz w:val="15"/>
                <w:szCs w:val="15"/>
              </w:rPr>
              <w:t>最高额授</w:t>
            </w:r>
            <w:r>
              <w:rPr>
                <w:rFonts w:ascii="宋体" w:hAnsi="宋体" w:cs="宋体" w:eastAsia="宋体" w:hint="default"/>
                <w:w w:val="100"/>
                <w:sz w:val="15"/>
                <w:szCs w:val="15"/>
              </w:rPr>
              <w:t> </w:t>
            </w:r>
            <w:r>
              <w:rPr>
                <w:rFonts w:ascii="宋体" w:hAnsi="宋体" w:cs="宋体" w:eastAsia="宋体" w:hint="default"/>
                <w:sz w:val="15"/>
                <w:szCs w:val="15"/>
              </w:rPr>
              <w:t>信金额</w:t>
            </w:r>
          </w:p>
          <w:p>
            <w:pPr>
              <w:pStyle w:val="TableParagraph"/>
              <w:spacing w:line="240" w:lineRule="auto" w:before="46"/>
              <w:ind w:left="103" w:right="0"/>
              <w:jc w:val="left"/>
              <w:rPr>
                <w:rFonts w:ascii="宋体" w:hAnsi="宋体" w:cs="宋体" w:eastAsia="宋体" w:hint="default"/>
                <w:sz w:val="15"/>
                <w:szCs w:val="15"/>
              </w:rPr>
            </w:pPr>
            <w:r>
              <w:rPr>
                <w:rFonts w:ascii="宋体" w:hAnsi="宋体" w:cs="宋体" w:eastAsia="宋体" w:hint="default"/>
                <w:sz w:val="15"/>
                <w:szCs w:val="15"/>
              </w:rPr>
              <w:t>（万元）</w:t>
            </w:r>
          </w:p>
        </w:tc>
        <w:tc>
          <w:tcPr>
            <w:tcW w:w="816" w:type="dxa"/>
            <w:tcBorders>
              <w:top w:val="single" w:sz="12"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贷款余额</w:t>
            </w: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（万元）</w:t>
            </w:r>
          </w:p>
        </w:tc>
        <w:tc>
          <w:tcPr>
            <w:tcW w:w="1618" w:type="dxa"/>
            <w:tcBorders>
              <w:top w:val="single" w:sz="12" w:space="0" w:color="000000"/>
              <w:left w:val="single" w:sz="4" w:space="0" w:color="000000"/>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1"/>
              <w:ind w:right="0"/>
              <w:jc w:val="left"/>
              <w:rPr>
                <w:rFonts w:ascii="宋体" w:hAnsi="宋体" w:cs="宋体" w:eastAsia="宋体" w:hint="default"/>
                <w:b/>
                <w:bCs/>
                <w:sz w:val="13"/>
                <w:szCs w:val="13"/>
              </w:rPr>
            </w:pPr>
          </w:p>
          <w:p>
            <w:pPr>
              <w:pStyle w:val="TableParagraph"/>
              <w:spacing w:line="240" w:lineRule="auto"/>
              <w:ind w:left="276" w:right="0"/>
              <w:jc w:val="left"/>
              <w:rPr>
                <w:rFonts w:ascii="宋体" w:hAnsi="宋体" w:cs="宋体" w:eastAsia="宋体" w:hint="default"/>
                <w:sz w:val="15"/>
                <w:szCs w:val="15"/>
              </w:rPr>
            </w:pPr>
            <w:r>
              <w:rPr>
                <w:rFonts w:ascii="宋体" w:hAnsi="宋体" w:cs="宋体" w:eastAsia="宋体" w:hint="default"/>
                <w:sz w:val="15"/>
                <w:szCs w:val="15"/>
              </w:rPr>
              <w:t>最高额授信期限</w:t>
            </w:r>
          </w:p>
        </w:tc>
      </w:tr>
      <w:tr>
        <w:trPr>
          <w:trHeight w:val="248" w:hRule="exact"/>
        </w:trPr>
        <w:tc>
          <w:tcPr>
            <w:tcW w:w="2141" w:type="dxa"/>
            <w:tcBorders>
              <w:top w:val="nil" w:sz="6" w:space="0" w:color="auto"/>
              <w:left w:val="nil" w:sz="6" w:space="0" w:color="auto"/>
              <w:bottom w:val="nil" w:sz="6" w:space="0" w:color="auto"/>
              <w:right w:val="single" w:sz="4" w:space="0" w:color="000000"/>
            </w:tcBorders>
          </w:tcPr>
          <w:p>
            <w:pPr>
              <w:pStyle w:val="TableParagraph"/>
              <w:spacing w:line="240" w:lineRule="auto" w:before="84"/>
              <w:ind w:left="105" w:right="0"/>
              <w:jc w:val="left"/>
              <w:rPr>
                <w:rFonts w:ascii="宋体" w:hAnsi="宋体" w:cs="宋体" w:eastAsia="宋体" w:hint="default"/>
                <w:sz w:val="15"/>
                <w:szCs w:val="15"/>
              </w:rPr>
            </w:pPr>
            <w:r>
              <w:rPr>
                <w:rFonts w:ascii="宋体" w:hAnsi="宋体" w:cs="宋体" w:eastAsia="宋体" w:hint="default"/>
                <w:b/>
                <w:bCs/>
                <w:sz w:val="15"/>
                <w:szCs w:val="15"/>
              </w:rPr>
              <w:t>土地使用权：</w:t>
            </w:r>
            <w:r>
              <w:rPr>
                <w:rFonts w:ascii="宋体" w:hAnsi="宋体" w:cs="宋体" w:eastAsia="宋体" w:hint="default"/>
                <w:sz w:val="15"/>
                <w:szCs w:val="15"/>
              </w:rPr>
            </w:r>
          </w:p>
        </w:tc>
        <w:tc>
          <w:tcPr>
            <w:tcW w:w="1274" w:type="dxa"/>
            <w:tcBorders>
              <w:top w:val="nil" w:sz="6" w:space="0" w:color="auto"/>
              <w:left w:val="single" w:sz="4" w:space="0" w:color="000000"/>
              <w:bottom w:val="nil" w:sz="6" w:space="0" w:color="auto"/>
              <w:right w:val="single" w:sz="4" w:space="0" w:color="000000"/>
            </w:tcBorders>
          </w:tcPr>
          <w:p>
            <w:pPr>
              <w:pStyle w:val="TableParagraph"/>
              <w:spacing w:line="240" w:lineRule="auto" w:before="84"/>
              <w:ind w:right="25"/>
              <w:jc w:val="right"/>
              <w:rPr>
                <w:rFonts w:ascii="宋体" w:hAnsi="宋体" w:cs="宋体" w:eastAsia="宋体" w:hint="default"/>
                <w:sz w:val="15"/>
                <w:szCs w:val="15"/>
              </w:rPr>
            </w:pPr>
            <w:r>
              <w:rPr>
                <w:rFonts w:ascii="宋体"/>
                <w:w w:val="100"/>
                <w:sz w:val="15"/>
              </w:rPr>
              <w:t> </w:t>
            </w:r>
          </w:p>
        </w:tc>
        <w:tc>
          <w:tcPr>
            <w:tcW w:w="1378" w:type="dxa"/>
            <w:tcBorders>
              <w:top w:val="nil" w:sz="6" w:space="0" w:color="auto"/>
              <w:left w:val="single" w:sz="4" w:space="0" w:color="000000"/>
              <w:bottom w:val="nil" w:sz="6" w:space="0" w:color="auto"/>
              <w:right w:val="single" w:sz="4" w:space="0" w:color="000000"/>
            </w:tcBorders>
          </w:tcPr>
          <w:p>
            <w:pPr>
              <w:pStyle w:val="TableParagraph"/>
              <w:spacing w:line="240" w:lineRule="auto" w:before="84"/>
              <w:ind w:right="23"/>
              <w:jc w:val="right"/>
              <w:rPr>
                <w:rFonts w:ascii="宋体" w:hAnsi="宋体" w:cs="宋体" w:eastAsia="宋体" w:hint="default"/>
                <w:sz w:val="15"/>
                <w:szCs w:val="15"/>
              </w:rPr>
            </w:pPr>
            <w:r>
              <w:rPr>
                <w:rFonts w:ascii="宋体"/>
                <w:w w:val="100"/>
                <w:sz w:val="15"/>
              </w:rPr>
              <w:t> </w:t>
            </w:r>
          </w:p>
        </w:tc>
        <w:tc>
          <w:tcPr>
            <w:tcW w:w="816" w:type="dxa"/>
            <w:tcBorders>
              <w:top w:val="nil" w:sz="6" w:space="0" w:color="auto"/>
              <w:left w:val="single" w:sz="4" w:space="0" w:color="000000"/>
              <w:bottom w:val="nil" w:sz="6" w:space="0" w:color="auto"/>
              <w:right w:val="single" w:sz="4" w:space="0" w:color="000000"/>
            </w:tcBorders>
          </w:tcPr>
          <w:p>
            <w:pPr/>
          </w:p>
        </w:tc>
        <w:tc>
          <w:tcPr>
            <w:tcW w:w="816" w:type="dxa"/>
            <w:tcBorders>
              <w:top w:val="nil" w:sz="6" w:space="0" w:color="auto"/>
              <w:left w:val="single" w:sz="4" w:space="0" w:color="000000"/>
              <w:bottom w:val="nil" w:sz="6" w:space="0" w:color="auto"/>
              <w:right w:val="single" w:sz="4" w:space="0" w:color="000000"/>
            </w:tcBorders>
          </w:tcPr>
          <w:p>
            <w:pPr/>
          </w:p>
        </w:tc>
        <w:tc>
          <w:tcPr>
            <w:tcW w:w="1618" w:type="dxa"/>
            <w:tcBorders>
              <w:top w:val="nil" w:sz="6" w:space="0" w:color="auto"/>
              <w:left w:val="single" w:sz="4" w:space="0" w:color="000000"/>
              <w:bottom w:val="nil" w:sz="6" w:space="0" w:color="auto"/>
              <w:right w:val="nil" w:sz="6" w:space="0" w:color="auto"/>
            </w:tcBorders>
          </w:tcPr>
          <w:p>
            <w:pPr/>
          </w:p>
        </w:tc>
      </w:tr>
      <w:tr>
        <w:trPr>
          <w:trHeight w:val="977" w:hRule="exact"/>
        </w:trPr>
        <w:tc>
          <w:tcPr>
            <w:tcW w:w="2141" w:type="dxa"/>
            <w:tcBorders>
              <w:top w:val="nil" w:sz="6" w:space="0" w:color="auto"/>
              <w:left w:val="nil" w:sz="6" w:space="0" w:color="auto"/>
              <w:bottom w:val="nil" w:sz="6" w:space="0" w:color="auto"/>
              <w:right w:val="single" w:sz="4" w:space="0" w:color="000000"/>
            </w:tcBorders>
          </w:tcPr>
          <w:p>
            <w:pPr>
              <w:pStyle w:val="TableParagraph"/>
              <w:spacing w:line="410" w:lineRule="atLeast" w:before="33"/>
              <w:ind w:left="105" w:right="101"/>
              <w:jc w:val="left"/>
              <w:rPr>
                <w:rFonts w:ascii="宋体" w:hAnsi="宋体" w:cs="宋体" w:eastAsia="宋体" w:hint="default"/>
                <w:sz w:val="15"/>
                <w:szCs w:val="15"/>
              </w:rPr>
            </w:pPr>
            <w:r>
              <w:rPr>
                <w:rFonts w:ascii="宋体" w:hAnsi="宋体" w:cs="宋体" w:eastAsia="宋体" w:hint="default"/>
                <w:spacing w:val="8"/>
                <w:sz w:val="15"/>
                <w:szCs w:val="15"/>
              </w:rPr>
              <w:t>启东市汇龙镇华石村土地使</w:t>
            </w:r>
            <w:r>
              <w:rPr>
                <w:rFonts w:ascii="宋体" w:hAnsi="宋体" w:cs="宋体" w:eastAsia="宋体" w:hint="default"/>
                <w:spacing w:val="-50"/>
                <w:sz w:val="15"/>
                <w:szCs w:val="15"/>
              </w:rPr>
              <w:t> </w:t>
            </w:r>
            <w:r>
              <w:rPr>
                <w:rFonts w:ascii="宋体" w:hAnsi="宋体" w:cs="宋体" w:eastAsia="宋体" w:hint="default"/>
                <w:spacing w:val="-50"/>
                <w:sz w:val="15"/>
                <w:szCs w:val="15"/>
              </w:rPr>
            </w:r>
            <w:r>
              <w:rPr>
                <w:rFonts w:ascii="宋体" w:hAnsi="宋体" w:cs="宋体" w:eastAsia="宋体" w:hint="default"/>
                <w:sz w:val="15"/>
                <w:szCs w:val="15"/>
              </w:rPr>
              <w:t>用权</w:t>
            </w:r>
            <w:r>
              <w:rPr>
                <w:rFonts w:ascii="宋体" w:hAnsi="宋体" w:cs="宋体" w:eastAsia="宋体" w:hint="default"/>
                <w:spacing w:val="-40"/>
                <w:sz w:val="15"/>
                <w:szCs w:val="15"/>
              </w:rPr>
              <w:t> </w:t>
            </w:r>
            <w:r>
              <w:rPr>
                <w:rFonts w:ascii="Times New Roman" w:hAnsi="Times New Roman" w:cs="Times New Roman" w:eastAsia="Times New Roman" w:hint="default"/>
                <w:sz w:val="15"/>
                <w:szCs w:val="15"/>
              </w:rPr>
              <w:t>97,789</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平方米</w:t>
            </w:r>
          </w:p>
        </w:tc>
        <w:tc>
          <w:tcPr>
            <w:tcW w:w="127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15"/>
              <w:ind w:left="300" w:right="0"/>
              <w:jc w:val="left"/>
              <w:rPr>
                <w:rFonts w:ascii="Times New Roman" w:hAnsi="Times New Roman" w:cs="Times New Roman" w:eastAsia="Times New Roman" w:hint="default"/>
                <w:sz w:val="15"/>
                <w:szCs w:val="15"/>
              </w:rPr>
            </w:pPr>
            <w:r>
              <w:rPr>
                <w:rFonts w:ascii="Times New Roman"/>
                <w:sz w:val="15"/>
              </w:rPr>
              <w:t>14,818,212.68</w:t>
            </w:r>
          </w:p>
        </w:tc>
        <w:tc>
          <w:tcPr>
            <w:tcW w:w="137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15"/>
              <w:ind w:right="98"/>
              <w:jc w:val="right"/>
              <w:rPr>
                <w:rFonts w:ascii="Times New Roman" w:hAnsi="Times New Roman" w:cs="Times New Roman" w:eastAsia="Times New Roman" w:hint="default"/>
                <w:sz w:val="15"/>
                <w:szCs w:val="15"/>
              </w:rPr>
            </w:pPr>
            <w:r>
              <w:rPr>
                <w:rFonts w:ascii="Times New Roman"/>
                <w:spacing w:val="-1"/>
                <w:sz w:val="15"/>
              </w:rPr>
              <w:t>10,826,388.36</w:t>
            </w:r>
          </w:p>
        </w:tc>
        <w:tc>
          <w:tcPr>
            <w:tcW w:w="816" w:type="dxa"/>
            <w:tcBorders>
              <w:top w:val="nil" w:sz="6" w:space="0" w:color="auto"/>
              <w:left w:val="single" w:sz="4" w:space="0" w:color="000000"/>
              <w:bottom w:val="nil" w:sz="6" w:space="0" w:color="auto"/>
              <w:right w:val="single" w:sz="4" w:space="0" w:color="000000"/>
            </w:tcBorders>
          </w:tcPr>
          <w:p>
            <w:pPr/>
          </w:p>
        </w:tc>
        <w:tc>
          <w:tcPr>
            <w:tcW w:w="816" w:type="dxa"/>
            <w:tcBorders>
              <w:top w:val="nil" w:sz="6" w:space="0" w:color="auto"/>
              <w:left w:val="single" w:sz="4" w:space="0" w:color="000000"/>
              <w:bottom w:val="nil" w:sz="6" w:space="0" w:color="auto"/>
              <w:right w:val="single" w:sz="4" w:space="0" w:color="000000"/>
            </w:tcBorders>
          </w:tcPr>
          <w:p>
            <w:pPr/>
          </w:p>
        </w:tc>
        <w:tc>
          <w:tcPr>
            <w:tcW w:w="1618" w:type="dxa"/>
            <w:tcBorders>
              <w:top w:val="nil" w:sz="6" w:space="0" w:color="auto"/>
              <w:left w:val="single" w:sz="4" w:space="0" w:color="000000"/>
              <w:bottom w:val="nil" w:sz="6" w:space="0" w:color="auto"/>
              <w:right w:val="nil" w:sz="6" w:space="0" w:color="auto"/>
            </w:tcBorders>
          </w:tcPr>
          <w:p>
            <w:pPr/>
          </w:p>
        </w:tc>
      </w:tr>
      <w:tr>
        <w:trPr>
          <w:trHeight w:val="275" w:hRule="exact"/>
        </w:trPr>
        <w:tc>
          <w:tcPr>
            <w:tcW w:w="2141" w:type="dxa"/>
            <w:tcBorders>
              <w:top w:val="nil" w:sz="6" w:space="0" w:color="auto"/>
              <w:left w:val="nil" w:sz="6" w:space="0" w:color="auto"/>
              <w:bottom w:val="nil" w:sz="6" w:space="0" w:color="auto"/>
              <w:right w:val="single" w:sz="4" w:space="0" w:color="000000"/>
            </w:tcBorders>
          </w:tcPr>
          <w:p>
            <w:pPr>
              <w:pStyle w:val="TableParagraph"/>
              <w:spacing w:line="240" w:lineRule="auto" w:before="79"/>
              <w:ind w:left="105" w:right="0"/>
              <w:jc w:val="left"/>
              <w:rPr>
                <w:rFonts w:ascii="宋体" w:hAnsi="宋体" w:cs="宋体" w:eastAsia="宋体" w:hint="default"/>
                <w:sz w:val="15"/>
                <w:szCs w:val="15"/>
              </w:rPr>
            </w:pPr>
            <w:r>
              <w:rPr>
                <w:rFonts w:ascii="宋体" w:hAnsi="宋体" w:cs="宋体" w:eastAsia="宋体" w:hint="default"/>
                <w:b/>
                <w:bCs/>
                <w:sz w:val="15"/>
                <w:szCs w:val="15"/>
              </w:rPr>
              <w:t>房产：</w:t>
            </w:r>
            <w:r>
              <w:rPr>
                <w:rFonts w:ascii="宋体" w:hAnsi="宋体" w:cs="宋体" w:eastAsia="宋体" w:hint="default"/>
                <w:sz w:val="15"/>
                <w:szCs w:val="15"/>
              </w:rPr>
            </w:r>
          </w:p>
        </w:tc>
        <w:tc>
          <w:tcPr>
            <w:tcW w:w="1274" w:type="dxa"/>
            <w:tcBorders>
              <w:top w:val="nil" w:sz="6" w:space="0" w:color="auto"/>
              <w:left w:val="single" w:sz="4" w:space="0" w:color="000000"/>
              <w:bottom w:val="nil" w:sz="6" w:space="0" w:color="auto"/>
              <w:right w:val="single" w:sz="4" w:space="0" w:color="000000"/>
            </w:tcBorders>
          </w:tcPr>
          <w:p>
            <w:pPr>
              <w:pStyle w:val="TableParagraph"/>
              <w:spacing w:line="240" w:lineRule="auto" w:before="79"/>
              <w:ind w:right="25"/>
              <w:jc w:val="right"/>
              <w:rPr>
                <w:rFonts w:ascii="宋体" w:hAnsi="宋体" w:cs="宋体" w:eastAsia="宋体" w:hint="default"/>
                <w:sz w:val="15"/>
                <w:szCs w:val="15"/>
              </w:rPr>
            </w:pPr>
            <w:r>
              <w:rPr>
                <w:rFonts w:ascii="宋体"/>
                <w:w w:val="100"/>
                <w:sz w:val="15"/>
              </w:rPr>
              <w:t> </w:t>
            </w:r>
          </w:p>
        </w:tc>
        <w:tc>
          <w:tcPr>
            <w:tcW w:w="1378" w:type="dxa"/>
            <w:tcBorders>
              <w:top w:val="nil" w:sz="6" w:space="0" w:color="auto"/>
              <w:left w:val="single" w:sz="4" w:space="0" w:color="000000"/>
              <w:bottom w:val="nil" w:sz="6" w:space="0" w:color="auto"/>
              <w:right w:val="single" w:sz="4" w:space="0" w:color="000000"/>
            </w:tcBorders>
          </w:tcPr>
          <w:p>
            <w:pPr/>
          </w:p>
        </w:tc>
        <w:tc>
          <w:tcPr>
            <w:tcW w:w="816" w:type="dxa"/>
            <w:tcBorders>
              <w:top w:val="nil" w:sz="6" w:space="0" w:color="auto"/>
              <w:left w:val="single" w:sz="4" w:space="0" w:color="000000"/>
              <w:bottom w:val="nil" w:sz="6" w:space="0" w:color="auto"/>
              <w:right w:val="single" w:sz="4" w:space="0" w:color="000000"/>
            </w:tcBorders>
          </w:tcPr>
          <w:p>
            <w:pPr/>
          </w:p>
        </w:tc>
        <w:tc>
          <w:tcPr>
            <w:tcW w:w="816" w:type="dxa"/>
            <w:tcBorders>
              <w:top w:val="nil" w:sz="6" w:space="0" w:color="auto"/>
              <w:left w:val="single" w:sz="4" w:space="0" w:color="000000"/>
              <w:bottom w:val="nil" w:sz="6" w:space="0" w:color="auto"/>
              <w:right w:val="single" w:sz="4" w:space="0" w:color="000000"/>
            </w:tcBorders>
          </w:tcPr>
          <w:p>
            <w:pPr/>
          </w:p>
        </w:tc>
        <w:tc>
          <w:tcPr>
            <w:tcW w:w="1618" w:type="dxa"/>
            <w:tcBorders>
              <w:top w:val="nil" w:sz="6" w:space="0" w:color="auto"/>
              <w:left w:val="single" w:sz="4" w:space="0" w:color="000000"/>
              <w:bottom w:val="nil" w:sz="6" w:space="0" w:color="auto"/>
              <w:right w:val="nil" w:sz="6" w:space="0" w:color="auto"/>
            </w:tcBorders>
          </w:tcPr>
          <w:p>
            <w:pPr/>
          </w:p>
        </w:tc>
      </w:tr>
      <w:tr>
        <w:trPr>
          <w:trHeight w:val="70" w:hRule="exact"/>
        </w:trPr>
        <w:tc>
          <w:tcPr>
            <w:tcW w:w="2141" w:type="dxa"/>
            <w:tcBorders>
              <w:top w:val="nil" w:sz="6" w:space="0" w:color="auto"/>
              <w:left w:val="nil" w:sz="6" w:space="0" w:color="auto"/>
              <w:bottom w:val="nil" w:sz="6" w:space="0" w:color="auto"/>
              <w:right w:val="single" w:sz="4" w:space="0" w:color="000000"/>
            </w:tcBorders>
          </w:tcPr>
          <w:p>
            <w:pPr/>
          </w:p>
        </w:tc>
        <w:tc>
          <w:tcPr>
            <w:tcW w:w="1274" w:type="dxa"/>
            <w:tcBorders>
              <w:top w:val="nil" w:sz="6" w:space="0" w:color="auto"/>
              <w:left w:val="single" w:sz="4" w:space="0" w:color="000000"/>
              <w:bottom w:val="nil" w:sz="6" w:space="0" w:color="auto"/>
              <w:right w:val="nil" w:sz="6" w:space="0" w:color="auto"/>
            </w:tcBorders>
          </w:tcPr>
          <w:p>
            <w:pPr/>
          </w:p>
        </w:tc>
        <w:tc>
          <w:tcPr>
            <w:tcW w:w="1378" w:type="dxa"/>
            <w:tcBorders>
              <w:top w:val="nil" w:sz="6" w:space="0" w:color="auto"/>
              <w:left w:val="nil" w:sz="6" w:space="0" w:color="auto"/>
              <w:bottom w:val="nil" w:sz="6" w:space="0" w:color="auto"/>
              <w:right w:val="single" w:sz="4" w:space="0" w:color="000000"/>
            </w:tcBorders>
          </w:tcPr>
          <w:p>
            <w:pPr/>
          </w:p>
        </w:tc>
        <w:tc>
          <w:tcPr>
            <w:tcW w:w="816" w:type="dxa"/>
            <w:tcBorders>
              <w:top w:val="nil" w:sz="6" w:space="0" w:color="auto"/>
              <w:left w:val="single" w:sz="4" w:space="0" w:color="000000"/>
              <w:bottom w:val="nil" w:sz="6" w:space="0" w:color="auto"/>
              <w:right w:val="single" w:sz="4" w:space="0" w:color="000000"/>
            </w:tcBorders>
          </w:tcPr>
          <w:p>
            <w:pPr/>
          </w:p>
        </w:tc>
        <w:tc>
          <w:tcPr>
            <w:tcW w:w="816" w:type="dxa"/>
            <w:tcBorders>
              <w:top w:val="nil" w:sz="6" w:space="0" w:color="auto"/>
              <w:left w:val="single" w:sz="4" w:space="0" w:color="000000"/>
              <w:bottom w:val="nil" w:sz="6" w:space="0" w:color="auto"/>
              <w:right w:val="single" w:sz="4" w:space="0" w:color="000000"/>
            </w:tcBorders>
          </w:tcPr>
          <w:p>
            <w:pPr/>
          </w:p>
        </w:tc>
        <w:tc>
          <w:tcPr>
            <w:tcW w:w="1618" w:type="dxa"/>
            <w:tcBorders>
              <w:top w:val="nil" w:sz="6" w:space="0" w:color="auto"/>
              <w:left w:val="single" w:sz="4" w:space="0" w:color="000000"/>
              <w:bottom w:val="nil" w:sz="6" w:space="0" w:color="auto"/>
              <w:right w:val="nil" w:sz="6" w:space="0" w:color="auto"/>
            </w:tcBorders>
          </w:tcPr>
          <w:p>
            <w:pPr/>
          </w:p>
        </w:tc>
      </w:tr>
      <w:tr>
        <w:trPr>
          <w:trHeight w:val="741" w:hRule="exact"/>
        </w:trPr>
        <w:tc>
          <w:tcPr>
            <w:tcW w:w="2141" w:type="dxa"/>
            <w:tcBorders>
              <w:top w:val="nil" w:sz="6" w:space="0" w:color="auto"/>
              <w:left w:val="nil" w:sz="6" w:space="0" w:color="auto"/>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1"/>
                <w:szCs w:val="11"/>
              </w:rPr>
            </w:pPr>
          </w:p>
          <w:p>
            <w:pPr>
              <w:pStyle w:val="TableParagraph"/>
              <w:spacing w:line="240" w:lineRule="auto"/>
              <w:ind w:left="105" w:right="0"/>
              <w:jc w:val="left"/>
              <w:rPr>
                <w:rFonts w:ascii="宋体" w:hAnsi="宋体" w:cs="宋体" w:eastAsia="宋体" w:hint="default"/>
                <w:sz w:val="15"/>
                <w:szCs w:val="15"/>
              </w:rPr>
            </w:pPr>
            <w:r>
              <w:rPr>
                <w:rFonts w:ascii="宋体" w:hAnsi="宋体" w:cs="宋体" w:eastAsia="宋体" w:hint="default"/>
                <w:sz w:val="15"/>
                <w:szCs w:val="15"/>
              </w:rPr>
              <w:t>启东经济开发区林洋路</w:t>
            </w:r>
            <w:r>
              <w:rPr>
                <w:rFonts w:ascii="宋体" w:hAnsi="宋体" w:cs="宋体" w:eastAsia="宋体" w:hint="default"/>
                <w:spacing w:val="-52"/>
                <w:sz w:val="15"/>
                <w:szCs w:val="15"/>
              </w:rPr>
              <w:t> </w:t>
            </w:r>
            <w:r>
              <w:rPr>
                <w:rFonts w:ascii="Times New Roman" w:hAnsi="Times New Roman" w:cs="Times New Roman" w:eastAsia="Times New Roman" w:hint="default"/>
                <w:sz w:val="15"/>
                <w:szCs w:val="15"/>
              </w:rPr>
              <w:t>666</w:t>
            </w:r>
            <w:r>
              <w:rPr>
                <w:rFonts w:ascii="Times New Roman" w:hAnsi="Times New Roman" w:cs="Times New Roman" w:eastAsia="Times New Roman" w:hint="default"/>
                <w:spacing w:val="-11"/>
                <w:sz w:val="15"/>
                <w:szCs w:val="15"/>
              </w:rPr>
              <w:t> </w:t>
            </w:r>
            <w:r>
              <w:rPr>
                <w:rFonts w:ascii="宋体" w:hAnsi="宋体" w:cs="宋体" w:eastAsia="宋体" w:hint="default"/>
                <w:sz w:val="15"/>
                <w:szCs w:val="15"/>
              </w:rPr>
              <w:t>号</w:t>
            </w:r>
          </w:p>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left="105" w:right="0"/>
              <w:jc w:val="left"/>
              <w:rPr>
                <w:rFonts w:ascii="宋体" w:hAnsi="宋体" w:cs="宋体" w:eastAsia="宋体" w:hint="default"/>
                <w:sz w:val="15"/>
                <w:szCs w:val="15"/>
              </w:rPr>
            </w:pPr>
            <w:r>
              <w:rPr>
                <w:rFonts w:ascii="宋体" w:hAnsi="宋体" w:cs="宋体" w:eastAsia="宋体" w:hint="default"/>
                <w:sz w:val="15"/>
                <w:szCs w:val="15"/>
              </w:rPr>
              <w:t>行政楼</w:t>
            </w:r>
          </w:p>
        </w:tc>
        <w:tc>
          <w:tcPr>
            <w:tcW w:w="127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
              <w:ind w:right="0"/>
              <w:jc w:val="left"/>
              <w:rPr>
                <w:rFonts w:ascii="宋体" w:hAnsi="宋体" w:cs="宋体" w:eastAsia="宋体" w:hint="default"/>
                <w:b/>
                <w:bCs/>
                <w:sz w:val="15"/>
                <w:szCs w:val="15"/>
              </w:rPr>
            </w:pPr>
          </w:p>
          <w:p>
            <w:pPr>
              <w:pStyle w:val="TableParagraph"/>
              <w:spacing w:line="240" w:lineRule="auto"/>
              <w:ind w:left="300" w:right="0"/>
              <w:jc w:val="left"/>
              <w:rPr>
                <w:rFonts w:ascii="Times New Roman" w:hAnsi="Times New Roman" w:cs="Times New Roman" w:eastAsia="Times New Roman" w:hint="default"/>
                <w:sz w:val="15"/>
                <w:szCs w:val="15"/>
              </w:rPr>
            </w:pPr>
            <w:r>
              <w:rPr>
                <w:rFonts w:ascii="Times New Roman"/>
                <w:sz w:val="15"/>
              </w:rPr>
              <w:t>37,781,274.39</w:t>
            </w:r>
          </w:p>
        </w:tc>
        <w:tc>
          <w:tcPr>
            <w:tcW w:w="137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
              <w:ind w:right="0"/>
              <w:jc w:val="left"/>
              <w:rPr>
                <w:rFonts w:ascii="宋体" w:hAnsi="宋体" w:cs="宋体" w:eastAsia="宋体" w:hint="default"/>
                <w:b/>
                <w:bCs/>
                <w:sz w:val="15"/>
                <w:szCs w:val="15"/>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pacing w:val="-1"/>
                <w:sz w:val="15"/>
              </w:rPr>
              <w:t>16,885,450.36</w:t>
            </w:r>
          </w:p>
        </w:tc>
        <w:tc>
          <w:tcPr>
            <w:tcW w:w="816" w:type="dxa"/>
            <w:tcBorders>
              <w:top w:val="nil" w:sz="6" w:space="0" w:color="auto"/>
              <w:left w:val="single" w:sz="4" w:space="0" w:color="000000"/>
              <w:bottom w:val="nil" w:sz="6" w:space="0" w:color="auto"/>
              <w:right w:val="single" w:sz="4" w:space="0" w:color="000000"/>
            </w:tcBorders>
          </w:tcPr>
          <w:p>
            <w:pPr/>
          </w:p>
        </w:tc>
        <w:tc>
          <w:tcPr>
            <w:tcW w:w="816" w:type="dxa"/>
            <w:tcBorders>
              <w:top w:val="nil" w:sz="6" w:space="0" w:color="auto"/>
              <w:left w:val="single" w:sz="4" w:space="0" w:color="000000"/>
              <w:bottom w:val="nil" w:sz="6" w:space="0" w:color="auto"/>
              <w:right w:val="single" w:sz="4" w:space="0" w:color="000000"/>
            </w:tcBorders>
          </w:tcPr>
          <w:p>
            <w:pPr/>
          </w:p>
        </w:tc>
        <w:tc>
          <w:tcPr>
            <w:tcW w:w="1618" w:type="dxa"/>
            <w:tcBorders>
              <w:top w:val="nil" w:sz="6" w:space="0" w:color="auto"/>
              <w:left w:val="single" w:sz="4" w:space="0" w:color="000000"/>
              <w:bottom w:val="nil" w:sz="6" w:space="0" w:color="auto"/>
              <w:right w:val="nil" w:sz="6" w:space="0" w:color="auto"/>
            </w:tcBorders>
          </w:tcPr>
          <w:p>
            <w:pPr/>
          </w:p>
        </w:tc>
      </w:tr>
      <w:tr>
        <w:trPr>
          <w:trHeight w:val="70" w:hRule="exact"/>
        </w:trPr>
        <w:tc>
          <w:tcPr>
            <w:tcW w:w="2141" w:type="dxa"/>
            <w:tcBorders>
              <w:top w:val="nil" w:sz="6" w:space="0" w:color="auto"/>
              <w:left w:val="nil" w:sz="6" w:space="0" w:color="auto"/>
              <w:bottom w:val="nil" w:sz="6" w:space="0" w:color="auto"/>
              <w:right w:val="single" w:sz="4" w:space="0" w:color="000000"/>
            </w:tcBorders>
          </w:tcPr>
          <w:p>
            <w:pPr/>
          </w:p>
        </w:tc>
        <w:tc>
          <w:tcPr>
            <w:tcW w:w="1274" w:type="dxa"/>
            <w:tcBorders>
              <w:top w:val="nil" w:sz="6" w:space="0" w:color="auto"/>
              <w:left w:val="single" w:sz="4" w:space="0" w:color="000000"/>
              <w:bottom w:val="nil" w:sz="6" w:space="0" w:color="auto"/>
              <w:right w:val="nil" w:sz="6" w:space="0" w:color="auto"/>
            </w:tcBorders>
          </w:tcPr>
          <w:p>
            <w:pPr/>
          </w:p>
        </w:tc>
        <w:tc>
          <w:tcPr>
            <w:tcW w:w="1378" w:type="dxa"/>
            <w:tcBorders>
              <w:top w:val="nil" w:sz="6" w:space="0" w:color="auto"/>
              <w:left w:val="nil" w:sz="6" w:space="0" w:color="auto"/>
              <w:bottom w:val="nil" w:sz="6" w:space="0" w:color="auto"/>
              <w:right w:val="single" w:sz="4" w:space="0" w:color="000000"/>
            </w:tcBorders>
          </w:tcPr>
          <w:p>
            <w:pPr/>
          </w:p>
        </w:tc>
        <w:tc>
          <w:tcPr>
            <w:tcW w:w="816" w:type="dxa"/>
            <w:tcBorders>
              <w:top w:val="nil" w:sz="6" w:space="0" w:color="auto"/>
              <w:left w:val="single" w:sz="4" w:space="0" w:color="000000"/>
              <w:bottom w:val="nil" w:sz="6" w:space="0" w:color="auto"/>
              <w:right w:val="single" w:sz="4" w:space="0" w:color="000000"/>
            </w:tcBorders>
          </w:tcPr>
          <w:p>
            <w:pPr/>
          </w:p>
        </w:tc>
        <w:tc>
          <w:tcPr>
            <w:tcW w:w="816" w:type="dxa"/>
            <w:tcBorders>
              <w:top w:val="nil" w:sz="6" w:space="0" w:color="auto"/>
              <w:left w:val="single" w:sz="4" w:space="0" w:color="000000"/>
              <w:bottom w:val="nil" w:sz="6" w:space="0" w:color="auto"/>
              <w:right w:val="single" w:sz="4" w:space="0" w:color="000000"/>
            </w:tcBorders>
          </w:tcPr>
          <w:p>
            <w:pPr/>
          </w:p>
        </w:tc>
        <w:tc>
          <w:tcPr>
            <w:tcW w:w="1618" w:type="dxa"/>
            <w:tcBorders>
              <w:top w:val="nil" w:sz="6" w:space="0" w:color="auto"/>
              <w:left w:val="single" w:sz="4" w:space="0" w:color="000000"/>
              <w:bottom w:val="nil" w:sz="6" w:space="0" w:color="auto"/>
              <w:right w:val="nil" w:sz="6" w:space="0" w:color="auto"/>
            </w:tcBorders>
          </w:tcPr>
          <w:p>
            <w:pPr/>
          </w:p>
        </w:tc>
      </w:tr>
      <w:tr>
        <w:trPr>
          <w:trHeight w:val="974" w:hRule="exact"/>
        </w:trPr>
        <w:tc>
          <w:tcPr>
            <w:tcW w:w="2141" w:type="dxa"/>
            <w:tcBorders>
              <w:top w:val="nil" w:sz="6" w:space="0" w:color="auto"/>
              <w:left w:val="nil" w:sz="6" w:space="0" w:color="auto"/>
              <w:bottom w:val="nil" w:sz="6" w:space="0" w:color="auto"/>
              <w:right w:val="single" w:sz="4" w:space="0" w:color="000000"/>
            </w:tcBorders>
          </w:tcPr>
          <w:p>
            <w:pPr>
              <w:pStyle w:val="TableParagraph"/>
              <w:spacing w:line="240" w:lineRule="auto" w:before="1"/>
              <w:ind w:right="0"/>
              <w:jc w:val="left"/>
              <w:rPr>
                <w:rFonts w:ascii="宋体" w:hAnsi="宋体" w:cs="宋体" w:eastAsia="宋体" w:hint="default"/>
                <w:b/>
                <w:bCs/>
                <w:sz w:val="11"/>
                <w:szCs w:val="11"/>
              </w:rPr>
            </w:pPr>
          </w:p>
          <w:p>
            <w:pPr>
              <w:pStyle w:val="TableParagraph"/>
              <w:spacing w:line="460" w:lineRule="auto"/>
              <w:ind w:left="105" w:right="98"/>
              <w:jc w:val="left"/>
              <w:rPr>
                <w:rFonts w:ascii="宋体" w:hAnsi="宋体" w:cs="宋体" w:eastAsia="宋体" w:hint="default"/>
                <w:sz w:val="15"/>
                <w:szCs w:val="15"/>
              </w:rPr>
            </w:pPr>
            <w:r>
              <w:rPr>
                <w:rFonts w:ascii="宋体" w:hAnsi="宋体" w:cs="宋体" w:eastAsia="宋体" w:hint="default"/>
                <w:sz w:val="15"/>
                <w:szCs w:val="15"/>
              </w:rPr>
              <w:t>启东经济开发区林洋路</w:t>
            </w:r>
            <w:r>
              <w:rPr>
                <w:rFonts w:ascii="宋体" w:hAnsi="宋体" w:cs="宋体" w:eastAsia="宋体" w:hint="default"/>
                <w:spacing w:val="-52"/>
                <w:sz w:val="15"/>
                <w:szCs w:val="15"/>
              </w:rPr>
              <w:t> </w:t>
            </w:r>
            <w:r>
              <w:rPr>
                <w:rFonts w:ascii="Times New Roman" w:hAnsi="Times New Roman" w:cs="Times New Roman" w:eastAsia="Times New Roman" w:hint="default"/>
                <w:sz w:val="15"/>
                <w:szCs w:val="15"/>
              </w:rPr>
              <w:t>666</w:t>
            </w:r>
            <w:r>
              <w:rPr>
                <w:rFonts w:ascii="Times New Roman" w:hAnsi="Times New Roman" w:cs="Times New Roman" w:eastAsia="Times New Roman" w:hint="default"/>
                <w:spacing w:val="-11"/>
                <w:sz w:val="15"/>
                <w:szCs w:val="15"/>
              </w:rPr>
              <w:t> </w:t>
            </w:r>
            <w:r>
              <w:rPr>
                <w:rFonts w:ascii="宋体" w:hAnsi="宋体" w:cs="宋体" w:eastAsia="宋体" w:hint="default"/>
                <w:sz w:val="15"/>
                <w:szCs w:val="15"/>
              </w:rPr>
              <w:t>号</w:t>
            </w:r>
            <w:r>
              <w:rPr>
                <w:rFonts w:ascii="宋体" w:hAnsi="宋体" w:cs="宋体" w:eastAsia="宋体" w:hint="default"/>
                <w:w w:val="100"/>
                <w:sz w:val="15"/>
                <w:szCs w:val="15"/>
              </w:rPr>
              <w:t> </w:t>
            </w:r>
            <w:r>
              <w:rPr>
                <w:rFonts w:ascii="宋体" w:hAnsi="宋体" w:cs="宋体" w:eastAsia="宋体" w:hint="default"/>
                <w:sz w:val="15"/>
                <w:szCs w:val="15"/>
              </w:rPr>
              <w:t>技术楼</w:t>
            </w:r>
          </w:p>
        </w:tc>
        <w:tc>
          <w:tcPr>
            <w:tcW w:w="127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3"/>
              <w:ind w:right="0"/>
              <w:jc w:val="left"/>
              <w:rPr>
                <w:rFonts w:ascii="宋体" w:hAnsi="宋体" w:cs="宋体" w:eastAsia="宋体" w:hint="default"/>
                <w:b/>
                <w:bCs/>
                <w:sz w:val="14"/>
                <w:szCs w:val="14"/>
              </w:rPr>
            </w:pPr>
          </w:p>
          <w:p>
            <w:pPr>
              <w:pStyle w:val="TableParagraph"/>
              <w:spacing w:line="240" w:lineRule="auto"/>
              <w:ind w:left="300" w:right="0"/>
              <w:jc w:val="left"/>
              <w:rPr>
                <w:rFonts w:ascii="Times New Roman" w:hAnsi="Times New Roman" w:cs="Times New Roman" w:eastAsia="Times New Roman" w:hint="default"/>
                <w:sz w:val="15"/>
                <w:szCs w:val="15"/>
              </w:rPr>
            </w:pPr>
            <w:r>
              <w:rPr>
                <w:rFonts w:ascii="Times New Roman"/>
                <w:sz w:val="15"/>
              </w:rPr>
              <w:t>10,785,656.39</w:t>
            </w:r>
          </w:p>
        </w:tc>
        <w:tc>
          <w:tcPr>
            <w:tcW w:w="137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3"/>
              <w:ind w:right="0"/>
              <w:jc w:val="left"/>
              <w:rPr>
                <w:rFonts w:ascii="宋体" w:hAnsi="宋体" w:cs="宋体" w:eastAsia="宋体" w:hint="default"/>
                <w:b/>
                <w:bCs/>
                <w:sz w:val="14"/>
                <w:szCs w:val="14"/>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pacing w:val="-1"/>
                <w:sz w:val="15"/>
              </w:rPr>
              <w:t>4,854,528.94</w:t>
            </w:r>
          </w:p>
        </w:tc>
        <w:tc>
          <w:tcPr>
            <w:tcW w:w="81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8"/>
              <w:ind w:right="0"/>
              <w:jc w:val="left"/>
              <w:rPr>
                <w:rFonts w:ascii="宋体" w:hAnsi="宋体" w:cs="宋体" w:eastAsia="宋体" w:hint="default"/>
                <w:b/>
                <w:bCs/>
                <w:sz w:val="17"/>
                <w:szCs w:val="17"/>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60,000.00</w:t>
            </w:r>
          </w:p>
        </w:tc>
        <w:tc>
          <w:tcPr>
            <w:tcW w:w="81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8"/>
              <w:ind w:right="0"/>
              <w:jc w:val="left"/>
              <w:rPr>
                <w:rFonts w:ascii="宋体" w:hAnsi="宋体" w:cs="宋体" w:eastAsia="宋体" w:hint="default"/>
                <w:b/>
                <w:bCs/>
                <w:sz w:val="17"/>
                <w:szCs w:val="17"/>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11,000.00</w:t>
            </w:r>
          </w:p>
        </w:tc>
        <w:tc>
          <w:tcPr>
            <w:tcW w:w="1618" w:type="dxa"/>
            <w:tcBorders>
              <w:top w:val="nil" w:sz="6" w:space="0" w:color="auto"/>
              <w:left w:val="single" w:sz="4" w:space="0" w:color="000000"/>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8"/>
              <w:ind w:right="0"/>
              <w:jc w:val="left"/>
              <w:rPr>
                <w:rFonts w:ascii="宋体" w:hAnsi="宋体" w:cs="宋体" w:eastAsia="宋体" w:hint="default"/>
                <w:b/>
                <w:bCs/>
                <w:sz w:val="17"/>
                <w:szCs w:val="17"/>
              </w:rPr>
            </w:pPr>
          </w:p>
          <w:p>
            <w:pPr>
              <w:pStyle w:val="TableParagraph"/>
              <w:spacing w:line="240" w:lineRule="auto"/>
              <w:ind w:right="107"/>
              <w:jc w:val="right"/>
              <w:rPr>
                <w:rFonts w:ascii="Times New Roman" w:hAnsi="Times New Roman" w:cs="Times New Roman" w:eastAsia="Times New Roman" w:hint="default"/>
                <w:sz w:val="15"/>
                <w:szCs w:val="15"/>
              </w:rPr>
            </w:pPr>
            <w:r>
              <w:rPr>
                <w:rFonts w:ascii="Times New Roman"/>
                <w:spacing w:val="-1"/>
                <w:sz w:val="15"/>
              </w:rPr>
              <w:t>2019.7-2019.12</w:t>
            </w:r>
          </w:p>
        </w:tc>
      </w:tr>
      <w:tr>
        <w:trPr>
          <w:trHeight w:val="577" w:hRule="exact"/>
        </w:trPr>
        <w:tc>
          <w:tcPr>
            <w:tcW w:w="2141" w:type="dxa"/>
            <w:tcBorders>
              <w:top w:val="nil" w:sz="6" w:space="0" w:color="auto"/>
              <w:left w:val="nil" w:sz="6" w:space="0" w:color="auto"/>
              <w:bottom w:val="nil" w:sz="6" w:space="0" w:color="auto"/>
              <w:right w:val="single" w:sz="4" w:space="0" w:color="000000"/>
            </w:tcBorders>
          </w:tcPr>
          <w:p>
            <w:pPr>
              <w:pStyle w:val="TableParagraph"/>
              <w:spacing w:line="187" w:lineRule="exact"/>
              <w:ind w:left="105" w:right="0"/>
              <w:jc w:val="left"/>
              <w:rPr>
                <w:rFonts w:ascii="宋体" w:hAnsi="宋体" w:cs="宋体" w:eastAsia="宋体" w:hint="default"/>
                <w:sz w:val="15"/>
                <w:szCs w:val="15"/>
              </w:rPr>
            </w:pPr>
            <w:r>
              <w:rPr>
                <w:rFonts w:ascii="宋体" w:hAnsi="宋体" w:cs="宋体" w:eastAsia="宋体" w:hint="default"/>
                <w:sz w:val="15"/>
                <w:szCs w:val="15"/>
              </w:rPr>
              <w:t>启东经济开发区林洋路</w:t>
            </w:r>
            <w:r>
              <w:rPr>
                <w:rFonts w:ascii="宋体" w:hAnsi="宋体" w:cs="宋体" w:eastAsia="宋体" w:hint="default"/>
                <w:spacing w:val="-52"/>
                <w:sz w:val="15"/>
                <w:szCs w:val="15"/>
              </w:rPr>
              <w:t> </w:t>
            </w:r>
            <w:r>
              <w:rPr>
                <w:rFonts w:ascii="Times New Roman" w:hAnsi="Times New Roman" w:cs="Times New Roman" w:eastAsia="Times New Roman" w:hint="default"/>
                <w:sz w:val="15"/>
                <w:szCs w:val="15"/>
              </w:rPr>
              <w:t>666</w:t>
            </w:r>
            <w:r>
              <w:rPr>
                <w:rFonts w:ascii="Times New Roman" w:hAnsi="Times New Roman" w:cs="Times New Roman" w:eastAsia="Times New Roman" w:hint="default"/>
                <w:spacing w:val="-11"/>
                <w:sz w:val="15"/>
                <w:szCs w:val="15"/>
              </w:rPr>
              <w:t> </w:t>
            </w:r>
            <w:r>
              <w:rPr>
                <w:rFonts w:ascii="宋体" w:hAnsi="宋体" w:cs="宋体" w:eastAsia="宋体" w:hint="default"/>
                <w:sz w:val="15"/>
                <w:szCs w:val="15"/>
              </w:rPr>
              <w:t>号</w:t>
            </w:r>
          </w:p>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left="105" w:right="0"/>
              <w:jc w:val="left"/>
              <w:rPr>
                <w:rFonts w:ascii="宋体" w:hAnsi="宋体" w:cs="宋体" w:eastAsia="宋体" w:hint="default"/>
                <w:sz w:val="15"/>
                <w:szCs w:val="15"/>
              </w:rPr>
            </w:pPr>
            <w:r>
              <w:rPr>
                <w:rFonts w:ascii="宋体" w:hAnsi="宋体" w:cs="宋体" w:eastAsia="宋体" w:hint="default"/>
                <w:sz w:val="15"/>
                <w:szCs w:val="15"/>
              </w:rPr>
              <w:t>客服中心</w:t>
            </w:r>
          </w:p>
        </w:tc>
        <w:tc>
          <w:tcPr>
            <w:tcW w:w="1274"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b/>
                <w:bCs/>
                <w:sz w:val="16"/>
                <w:szCs w:val="16"/>
              </w:rPr>
            </w:pPr>
          </w:p>
          <w:p>
            <w:pPr>
              <w:pStyle w:val="TableParagraph"/>
              <w:spacing w:line="240" w:lineRule="auto"/>
              <w:ind w:left="374" w:right="0"/>
              <w:jc w:val="left"/>
              <w:rPr>
                <w:rFonts w:ascii="Times New Roman" w:hAnsi="Times New Roman" w:cs="Times New Roman" w:eastAsia="Times New Roman" w:hint="default"/>
                <w:sz w:val="15"/>
                <w:szCs w:val="15"/>
              </w:rPr>
            </w:pPr>
            <w:r>
              <w:rPr>
                <w:rFonts w:ascii="Times New Roman"/>
                <w:sz w:val="15"/>
              </w:rPr>
              <w:t>9,295,029.74</w:t>
            </w:r>
          </w:p>
        </w:tc>
        <w:tc>
          <w:tcPr>
            <w:tcW w:w="1378"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b/>
                <w:bCs/>
                <w:sz w:val="16"/>
                <w:szCs w:val="16"/>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pacing w:val="-1"/>
                <w:sz w:val="15"/>
              </w:rPr>
              <w:t>4,124,640.28</w:t>
            </w:r>
          </w:p>
        </w:tc>
        <w:tc>
          <w:tcPr>
            <w:tcW w:w="816" w:type="dxa"/>
            <w:tcBorders>
              <w:top w:val="nil" w:sz="6" w:space="0" w:color="auto"/>
              <w:left w:val="single" w:sz="4" w:space="0" w:color="000000"/>
              <w:bottom w:val="nil" w:sz="6" w:space="0" w:color="auto"/>
              <w:right w:val="single" w:sz="4" w:space="0" w:color="000000"/>
            </w:tcBorders>
          </w:tcPr>
          <w:p>
            <w:pPr/>
          </w:p>
        </w:tc>
        <w:tc>
          <w:tcPr>
            <w:tcW w:w="816" w:type="dxa"/>
            <w:tcBorders>
              <w:top w:val="nil" w:sz="6" w:space="0" w:color="auto"/>
              <w:left w:val="single" w:sz="4" w:space="0" w:color="000000"/>
              <w:bottom w:val="nil" w:sz="6" w:space="0" w:color="auto"/>
              <w:right w:val="single" w:sz="4" w:space="0" w:color="000000"/>
            </w:tcBorders>
          </w:tcPr>
          <w:p>
            <w:pPr/>
          </w:p>
        </w:tc>
        <w:tc>
          <w:tcPr>
            <w:tcW w:w="1618" w:type="dxa"/>
            <w:tcBorders>
              <w:top w:val="nil" w:sz="6" w:space="0" w:color="auto"/>
              <w:left w:val="single" w:sz="4" w:space="0" w:color="000000"/>
              <w:bottom w:val="nil" w:sz="6" w:space="0" w:color="auto"/>
              <w:right w:val="nil" w:sz="6" w:space="0" w:color="auto"/>
            </w:tcBorders>
          </w:tcPr>
          <w:p>
            <w:pPr/>
          </w:p>
        </w:tc>
      </w:tr>
      <w:tr>
        <w:trPr>
          <w:trHeight w:val="70" w:hRule="exact"/>
        </w:trPr>
        <w:tc>
          <w:tcPr>
            <w:tcW w:w="2141" w:type="dxa"/>
            <w:tcBorders>
              <w:top w:val="nil" w:sz="6" w:space="0" w:color="auto"/>
              <w:left w:val="nil" w:sz="6" w:space="0" w:color="auto"/>
              <w:bottom w:val="nil" w:sz="6" w:space="0" w:color="auto"/>
              <w:right w:val="single" w:sz="4" w:space="0" w:color="000000"/>
            </w:tcBorders>
          </w:tcPr>
          <w:p>
            <w:pPr/>
          </w:p>
        </w:tc>
        <w:tc>
          <w:tcPr>
            <w:tcW w:w="1274" w:type="dxa"/>
            <w:tcBorders>
              <w:top w:val="nil" w:sz="6" w:space="0" w:color="auto"/>
              <w:left w:val="single" w:sz="4" w:space="0" w:color="000000"/>
              <w:bottom w:val="nil" w:sz="6" w:space="0" w:color="auto"/>
              <w:right w:val="nil" w:sz="6" w:space="0" w:color="auto"/>
            </w:tcBorders>
          </w:tcPr>
          <w:p>
            <w:pPr/>
          </w:p>
        </w:tc>
        <w:tc>
          <w:tcPr>
            <w:tcW w:w="1378" w:type="dxa"/>
            <w:tcBorders>
              <w:top w:val="nil" w:sz="6" w:space="0" w:color="auto"/>
              <w:left w:val="nil" w:sz="6" w:space="0" w:color="auto"/>
              <w:bottom w:val="nil" w:sz="6" w:space="0" w:color="auto"/>
              <w:right w:val="single" w:sz="4" w:space="0" w:color="000000"/>
            </w:tcBorders>
          </w:tcPr>
          <w:p>
            <w:pPr/>
          </w:p>
        </w:tc>
        <w:tc>
          <w:tcPr>
            <w:tcW w:w="816" w:type="dxa"/>
            <w:tcBorders>
              <w:top w:val="nil" w:sz="6" w:space="0" w:color="auto"/>
              <w:left w:val="single" w:sz="4" w:space="0" w:color="000000"/>
              <w:bottom w:val="nil" w:sz="6" w:space="0" w:color="auto"/>
              <w:right w:val="single" w:sz="4" w:space="0" w:color="000000"/>
            </w:tcBorders>
          </w:tcPr>
          <w:p>
            <w:pPr/>
          </w:p>
        </w:tc>
        <w:tc>
          <w:tcPr>
            <w:tcW w:w="816" w:type="dxa"/>
            <w:tcBorders>
              <w:top w:val="nil" w:sz="6" w:space="0" w:color="auto"/>
              <w:left w:val="single" w:sz="4" w:space="0" w:color="000000"/>
              <w:bottom w:val="nil" w:sz="6" w:space="0" w:color="auto"/>
              <w:right w:val="single" w:sz="4" w:space="0" w:color="000000"/>
            </w:tcBorders>
          </w:tcPr>
          <w:p>
            <w:pPr/>
          </w:p>
        </w:tc>
        <w:tc>
          <w:tcPr>
            <w:tcW w:w="1618" w:type="dxa"/>
            <w:tcBorders>
              <w:top w:val="nil" w:sz="6" w:space="0" w:color="auto"/>
              <w:left w:val="single" w:sz="4" w:space="0" w:color="000000"/>
              <w:bottom w:val="nil" w:sz="6" w:space="0" w:color="auto"/>
              <w:right w:val="nil" w:sz="6" w:space="0" w:color="auto"/>
            </w:tcBorders>
          </w:tcPr>
          <w:p>
            <w:pPr/>
          </w:p>
        </w:tc>
      </w:tr>
      <w:tr>
        <w:trPr>
          <w:trHeight w:val="868" w:hRule="exact"/>
        </w:trPr>
        <w:tc>
          <w:tcPr>
            <w:tcW w:w="2141" w:type="dxa"/>
            <w:tcBorders>
              <w:top w:val="nil" w:sz="6" w:space="0" w:color="auto"/>
              <w:left w:val="nil" w:sz="6" w:space="0" w:color="auto"/>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1"/>
                <w:szCs w:val="11"/>
              </w:rPr>
            </w:pPr>
          </w:p>
          <w:p>
            <w:pPr>
              <w:pStyle w:val="TableParagraph"/>
              <w:spacing w:line="460" w:lineRule="auto"/>
              <w:ind w:left="105" w:right="98"/>
              <w:jc w:val="left"/>
              <w:rPr>
                <w:rFonts w:ascii="宋体" w:hAnsi="宋体" w:cs="宋体" w:eastAsia="宋体" w:hint="default"/>
                <w:sz w:val="15"/>
                <w:szCs w:val="15"/>
              </w:rPr>
            </w:pPr>
            <w:r>
              <w:rPr>
                <w:rFonts w:ascii="宋体" w:hAnsi="宋体" w:cs="宋体" w:eastAsia="宋体" w:hint="default"/>
                <w:sz w:val="15"/>
                <w:szCs w:val="15"/>
              </w:rPr>
              <w:t>启东经济开发区林洋路</w:t>
            </w:r>
            <w:r>
              <w:rPr>
                <w:rFonts w:ascii="宋体" w:hAnsi="宋体" w:cs="宋体" w:eastAsia="宋体" w:hint="default"/>
                <w:spacing w:val="-52"/>
                <w:sz w:val="15"/>
                <w:szCs w:val="15"/>
              </w:rPr>
              <w:t> </w:t>
            </w:r>
            <w:r>
              <w:rPr>
                <w:rFonts w:ascii="Times New Roman" w:hAnsi="Times New Roman" w:cs="Times New Roman" w:eastAsia="Times New Roman" w:hint="default"/>
                <w:sz w:val="15"/>
                <w:szCs w:val="15"/>
              </w:rPr>
              <w:t>666</w:t>
            </w:r>
            <w:r>
              <w:rPr>
                <w:rFonts w:ascii="Times New Roman" w:hAnsi="Times New Roman" w:cs="Times New Roman" w:eastAsia="Times New Roman" w:hint="default"/>
                <w:spacing w:val="-11"/>
                <w:sz w:val="15"/>
                <w:szCs w:val="15"/>
              </w:rPr>
              <w:t> </w:t>
            </w:r>
            <w:r>
              <w:rPr>
                <w:rFonts w:ascii="宋体" w:hAnsi="宋体" w:cs="宋体" w:eastAsia="宋体" w:hint="default"/>
                <w:sz w:val="15"/>
                <w:szCs w:val="15"/>
              </w:rPr>
              <w:t>号</w:t>
            </w:r>
            <w:r>
              <w:rPr>
                <w:rFonts w:ascii="宋体" w:hAnsi="宋体" w:cs="宋体" w:eastAsia="宋体" w:hint="default"/>
                <w:w w:val="100"/>
                <w:sz w:val="15"/>
                <w:szCs w:val="15"/>
              </w:rPr>
              <w:t> </w:t>
            </w:r>
            <w:r>
              <w:rPr>
                <w:rFonts w:ascii="宋体" w:hAnsi="宋体" w:cs="宋体" w:eastAsia="宋体" w:hint="default"/>
                <w:sz w:val="15"/>
                <w:szCs w:val="15"/>
              </w:rPr>
              <w:t>电表楼</w:t>
            </w:r>
          </w:p>
        </w:tc>
        <w:tc>
          <w:tcPr>
            <w:tcW w:w="127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300" w:right="0"/>
              <w:jc w:val="left"/>
              <w:rPr>
                <w:rFonts w:ascii="Times New Roman" w:hAnsi="Times New Roman" w:cs="Times New Roman" w:eastAsia="Times New Roman" w:hint="default"/>
                <w:sz w:val="15"/>
                <w:szCs w:val="15"/>
              </w:rPr>
            </w:pPr>
            <w:r>
              <w:rPr>
                <w:rFonts w:ascii="Times New Roman"/>
                <w:sz w:val="15"/>
              </w:rPr>
              <w:t>53,057,758.29</w:t>
            </w:r>
          </w:p>
        </w:tc>
        <w:tc>
          <w:tcPr>
            <w:tcW w:w="137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pacing w:val="-1"/>
                <w:sz w:val="15"/>
              </w:rPr>
              <w:t>25,265,697.03</w:t>
            </w:r>
          </w:p>
        </w:tc>
        <w:tc>
          <w:tcPr>
            <w:tcW w:w="816" w:type="dxa"/>
            <w:tcBorders>
              <w:top w:val="nil" w:sz="6" w:space="0" w:color="auto"/>
              <w:left w:val="single" w:sz="4" w:space="0" w:color="000000"/>
              <w:bottom w:val="nil" w:sz="6" w:space="0" w:color="auto"/>
              <w:right w:val="single" w:sz="4" w:space="0" w:color="000000"/>
            </w:tcBorders>
          </w:tcPr>
          <w:p>
            <w:pPr/>
          </w:p>
        </w:tc>
        <w:tc>
          <w:tcPr>
            <w:tcW w:w="816" w:type="dxa"/>
            <w:tcBorders>
              <w:top w:val="nil" w:sz="6" w:space="0" w:color="auto"/>
              <w:left w:val="single" w:sz="4" w:space="0" w:color="000000"/>
              <w:bottom w:val="nil" w:sz="6" w:space="0" w:color="auto"/>
              <w:right w:val="single" w:sz="4" w:space="0" w:color="000000"/>
            </w:tcBorders>
          </w:tcPr>
          <w:p>
            <w:pPr/>
          </w:p>
        </w:tc>
        <w:tc>
          <w:tcPr>
            <w:tcW w:w="1618" w:type="dxa"/>
            <w:tcBorders>
              <w:top w:val="nil" w:sz="6" w:space="0" w:color="auto"/>
              <w:left w:val="single" w:sz="4" w:space="0" w:color="000000"/>
              <w:bottom w:val="nil" w:sz="6" w:space="0" w:color="auto"/>
              <w:right w:val="nil" w:sz="6" w:space="0" w:color="auto"/>
            </w:tcBorders>
          </w:tcPr>
          <w:p>
            <w:pPr/>
          </w:p>
        </w:tc>
      </w:tr>
      <w:tr>
        <w:trPr>
          <w:trHeight w:val="682" w:hRule="exact"/>
        </w:trPr>
        <w:tc>
          <w:tcPr>
            <w:tcW w:w="2141" w:type="dxa"/>
            <w:tcBorders>
              <w:top w:val="nil" w:sz="6" w:space="0" w:color="auto"/>
              <w:left w:val="nil" w:sz="6" w:space="0" w:color="auto"/>
              <w:bottom w:val="nil" w:sz="6" w:space="0" w:color="auto"/>
              <w:right w:val="single" w:sz="4" w:space="0" w:color="000000"/>
            </w:tcBorders>
          </w:tcPr>
          <w:p>
            <w:pPr>
              <w:pStyle w:val="TableParagraph"/>
              <w:spacing w:line="240" w:lineRule="auto" w:before="84"/>
              <w:ind w:left="105" w:right="0"/>
              <w:jc w:val="left"/>
              <w:rPr>
                <w:rFonts w:ascii="宋体" w:hAnsi="宋体" w:cs="宋体" w:eastAsia="宋体" w:hint="default"/>
                <w:sz w:val="15"/>
                <w:szCs w:val="15"/>
              </w:rPr>
            </w:pPr>
            <w:r>
              <w:rPr>
                <w:rFonts w:ascii="宋体" w:hAnsi="宋体" w:cs="宋体" w:eastAsia="宋体" w:hint="default"/>
                <w:sz w:val="15"/>
                <w:szCs w:val="15"/>
              </w:rPr>
              <w:t>启东经济开发区林洋路</w:t>
            </w:r>
            <w:r>
              <w:rPr>
                <w:rFonts w:ascii="宋体" w:hAnsi="宋体" w:cs="宋体" w:eastAsia="宋体" w:hint="default"/>
                <w:spacing w:val="-52"/>
                <w:sz w:val="15"/>
                <w:szCs w:val="15"/>
              </w:rPr>
              <w:t> </w:t>
            </w:r>
            <w:r>
              <w:rPr>
                <w:rFonts w:ascii="Times New Roman" w:hAnsi="Times New Roman" w:cs="Times New Roman" w:eastAsia="Times New Roman" w:hint="default"/>
                <w:sz w:val="15"/>
                <w:szCs w:val="15"/>
              </w:rPr>
              <w:t>666</w:t>
            </w:r>
            <w:r>
              <w:rPr>
                <w:rFonts w:ascii="Times New Roman" w:hAnsi="Times New Roman" w:cs="Times New Roman" w:eastAsia="Times New Roman" w:hint="default"/>
                <w:spacing w:val="-11"/>
                <w:sz w:val="15"/>
                <w:szCs w:val="15"/>
              </w:rPr>
              <w:t> </w:t>
            </w:r>
            <w:r>
              <w:rPr>
                <w:rFonts w:ascii="宋体" w:hAnsi="宋体" w:cs="宋体" w:eastAsia="宋体" w:hint="default"/>
                <w:sz w:val="15"/>
                <w:szCs w:val="15"/>
              </w:rPr>
              <w:t>号</w:t>
            </w:r>
          </w:p>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left="105" w:right="0"/>
              <w:jc w:val="left"/>
              <w:rPr>
                <w:rFonts w:ascii="宋体" w:hAnsi="宋体" w:cs="宋体" w:eastAsia="宋体" w:hint="default"/>
                <w:sz w:val="15"/>
                <w:szCs w:val="15"/>
              </w:rPr>
            </w:pPr>
            <w:r>
              <w:rPr>
                <w:rFonts w:ascii="宋体" w:hAnsi="宋体" w:cs="宋体" w:eastAsia="宋体" w:hint="default"/>
                <w:sz w:val="15"/>
                <w:szCs w:val="15"/>
              </w:rPr>
              <w:t>生产车间</w:t>
            </w:r>
          </w:p>
        </w:tc>
        <w:tc>
          <w:tcPr>
            <w:tcW w:w="127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7"/>
              <w:ind w:right="0"/>
              <w:jc w:val="left"/>
              <w:rPr>
                <w:rFonts w:ascii="宋体" w:hAnsi="宋体" w:cs="宋体" w:eastAsia="宋体" w:hint="default"/>
                <w:b/>
                <w:bCs/>
                <w:sz w:val="10"/>
                <w:szCs w:val="10"/>
              </w:rPr>
            </w:pPr>
          </w:p>
          <w:p>
            <w:pPr>
              <w:pStyle w:val="TableParagraph"/>
              <w:spacing w:line="240" w:lineRule="auto"/>
              <w:ind w:left="300" w:right="0"/>
              <w:jc w:val="left"/>
              <w:rPr>
                <w:rFonts w:ascii="Times New Roman" w:hAnsi="Times New Roman" w:cs="Times New Roman" w:eastAsia="Times New Roman" w:hint="default"/>
                <w:sz w:val="15"/>
                <w:szCs w:val="15"/>
              </w:rPr>
            </w:pPr>
            <w:r>
              <w:rPr>
                <w:rFonts w:ascii="Times New Roman"/>
                <w:sz w:val="15"/>
              </w:rPr>
              <w:t>23,356,391.03</w:t>
            </w:r>
          </w:p>
        </w:tc>
        <w:tc>
          <w:tcPr>
            <w:tcW w:w="137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7"/>
              <w:ind w:right="0"/>
              <w:jc w:val="left"/>
              <w:rPr>
                <w:rFonts w:ascii="宋体" w:hAnsi="宋体" w:cs="宋体" w:eastAsia="宋体" w:hint="default"/>
                <w:b/>
                <w:bCs/>
                <w:sz w:val="10"/>
                <w:szCs w:val="10"/>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pacing w:val="-1"/>
                <w:sz w:val="15"/>
              </w:rPr>
              <w:t>12,590,580.48</w:t>
            </w:r>
          </w:p>
        </w:tc>
        <w:tc>
          <w:tcPr>
            <w:tcW w:w="816" w:type="dxa"/>
            <w:tcBorders>
              <w:top w:val="nil" w:sz="6" w:space="0" w:color="auto"/>
              <w:left w:val="single" w:sz="4" w:space="0" w:color="000000"/>
              <w:bottom w:val="nil" w:sz="6" w:space="0" w:color="auto"/>
              <w:right w:val="single" w:sz="4" w:space="0" w:color="000000"/>
            </w:tcBorders>
          </w:tcPr>
          <w:p>
            <w:pPr/>
          </w:p>
        </w:tc>
        <w:tc>
          <w:tcPr>
            <w:tcW w:w="816" w:type="dxa"/>
            <w:tcBorders>
              <w:top w:val="nil" w:sz="6" w:space="0" w:color="auto"/>
              <w:left w:val="single" w:sz="4" w:space="0" w:color="000000"/>
              <w:bottom w:val="nil" w:sz="6" w:space="0" w:color="auto"/>
              <w:right w:val="single" w:sz="4" w:space="0" w:color="000000"/>
            </w:tcBorders>
          </w:tcPr>
          <w:p>
            <w:pPr/>
          </w:p>
        </w:tc>
        <w:tc>
          <w:tcPr>
            <w:tcW w:w="1618" w:type="dxa"/>
            <w:tcBorders>
              <w:top w:val="nil" w:sz="6" w:space="0" w:color="auto"/>
              <w:left w:val="single" w:sz="4" w:space="0" w:color="000000"/>
              <w:bottom w:val="nil" w:sz="6" w:space="0" w:color="auto"/>
              <w:right w:val="nil" w:sz="6" w:space="0" w:color="auto"/>
            </w:tcBorders>
          </w:tcPr>
          <w:p>
            <w:pPr/>
          </w:p>
        </w:tc>
      </w:tr>
      <w:tr>
        <w:trPr>
          <w:trHeight w:val="70" w:hRule="exact"/>
        </w:trPr>
        <w:tc>
          <w:tcPr>
            <w:tcW w:w="2141" w:type="dxa"/>
            <w:tcBorders>
              <w:top w:val="nil" w:sz="6" w:space="0" w:color="auto"/>
              <w:left w:val="nil" w:sz="6" w:space="0" w:color="auto"/>
              <w:bottom w:val="nil" w:sz="6" w:space="0" w:color="auto"/>
              <w:right w:val="single" w:sz="4" w:space="0" w:color="000000"/>
            </w:tcBorders>
          </w:tcPr>
          <w:p>
            <w:pPr/>
          </w:p>
        </w:tc>
        <w:tc>
          <w:tcPr>
            <w:tcW w:w="1274" w:type="dxa"/>
            <w:tcBorders>
              <w:top w:val="nil" w:sz="6" w:space="0" w:color="auto"/>
              <w:left w:val="single" w:sz="4" w:space="0" w:color="000000"/>
              <w:bottom w:val="nil" w:sz="6" w:space="0" w:color="auto"/>
              <w:right w:val="nil" w:sz="6" w:space="0" w:color="auto"/>
            </w:tcBorders>
          </w:tcPr>
          <w:p>
            <w:pPr/>
          </w:p>
        </w:tc>
        <w:tc>
          <w:tcPr>
            <w:tcW w:w="1378" w:type="dxa"/>
            <w:tcBorders>
              <w:top w:val="nil" w:sz="6" w:space="0" w:color="auto"/>
              <w:left w:val="nil" w:sz="6" w:space="0" w:color="auto"/>
              <w:bottom w:val="nil" w:sz="6" w:space="0" w:color="auto"/>
              <w:right w:val="single" w:sz="4" w:space="0" w:color="000000"/>
            </w:tcBorders>
          </w:tcPr>
          <w:p>
            <w:pPr/>
          </w:p>
        </w:tc>
        <w:tc>
          <w:tcPr>
            <w:tcW w:w="816" w:type="dxa"/>
            <w:tcBorders>
              <w:top w:val="nil" w:sz="6" w:space="0" w:color="auto"/>
              <w:left w:val="single" w:sz="4" w:space="0" w:color="000000"/>
              <w:bottom w:val="nil" w:sz="6" w:space="0" w:color="auto"/>
              <w:right w:val="single" w:sz="4" w:space="0" w:color="000000"/>
            </w:tcBorders>
          </w:tcPr>
          <w:p>
            <w:pPr/>
          </w:p>
        </w:tc>
        <w:tc>
          <w:tcPr>
            <w:tcW w:w="816" w:type="dxa"/>
            <w:tcBorders>
              <w:top w:val="nil" w:sz="6" w:space="0" w:color="auto"/>
              <w:left w:val="single" w:sz="4" w:space="0" w:color="000000"/>
              <w:bottom w:val="nil" w:sz="6" w:space="0" w:color="auto"/>
              <w:right w:val="single" w:sz="4" w:space="0" w:color="000000"/>
            </w:tcBorders>
          </w:tcPr>
          <w:p>
            <w:pPr/>
          </w:p>
        </w:tc>
        <w:tc>
          <w:tcPr>
            <w:tcW w:w="1618" w:type="dxa"/>
            <w:tcBorders>
              <w:top w:val="nil" w:sz="6" w:space="0" w:color="auto"/>
              <w:left w:val="single" w:sz="4" w:space="0" w:color="000000"/>
              <w:bottom w:val="nil" w:sz="6" w:space="0" w:color="auto"/>
              <w:right w:val="nil" w:sz="6" w:space="0" w:color="auto"/>
            </w:tcBorders>
          </w:tcPr>
          <w:p>
            <w:pPr/>
          </w:p>
        </w:tc>
      </w:tr>
      <w:tr>
        <w:trPr>
          <w:trHeight w:val="869" w:hRule="exact"/>
        </w:trPr>
        <w:tc>
          <w:tcPr>
            <w:tcW w:w="2141" w:type="dxa"/>
            <w:tcBorders>
              <w:top w:val="nil" w:sz="6" w:space="0" w:color="auto"/>
              <w:left w:val="nil" w:sz="6" w:space="0" w:color="auto"/>
              <w:bottom w:val="nil" w:sz="6" w:space="0" w:color="auto"/>
              <w:right w:val="single" w:sz="4" w:space="0" w:color="000000"/>
            </w:tcBorders>
          </w:tcPr>
          <w:p>
            <w:pPr>
              <w:pStyle w:val="TableParagraph"/>
              <w:spacing w:line="240" w:lineRule="auto" w:before="0"/>
              <w:ind w:right="0"/>
              <w:jc w:val="left"/>
              <w:rPr>
                <w:rFonts w:ascii="宋体" w:hAnsi="宋体" w:cs="宋体" w:eastAsia="宋体" w:hint="default"/>
                <w:b/>
                <w:bCs/>
                <w:sz w:val="11"/>
                <w:szCs w:val="11"/>
              </w:rPr>
            </w:pPr>
          </w:p>
          <w:p>
            <w:pPr>
              <w:pStyle w:val="TableParagraph"/>
              <w:spacing w:line="460" w:lineRule="auto"/>
              <w:ind w:left="105" w:right="98"/>
              <w:jc w:val="left"/>
              <w:rPr>
                <w:rFonts w:ascii="宋体" w:hAnsi="宋体" w:cs="宋体" w:eastAsia="宋体" w:hint="default"/>
                <w:sz w:val="15"/>
                <w:szCs w:val="15"/>
              </w:rPr>
            </w:pPr>
            <w:r>
              <w:rPr>
                <w:rFonts w:ascii="宋体" w:hAnsi="宋体" w:cs="宋体" w:eastAsia="宋体" w:hint="default"/>
                <w:sz w:val="15"/>
                <w:szCs w:val="15"/>
              </w:rPr>
              <w:t>启东经济开发区林洋路</w:t>
            </w:r>
            <w:r>
              <w:rPr>
                <w:rFonts w:ascii="宋体" w:hAnsi="宋体" w:cs="宋体" w:eastAsia="宋体" w:hint="default"/>
                <w:spacing w:val="-52"/>
                <w:sz w:val="15"/>
                <w:szCs w:val="15"/>
              </w:rPr>
              <w:t> </w:t>
            </w:r>
            <w:r>
              <w:rPr>
                <w:rFonts w:ascii="Times New Roman" w:hAnsi="Times New Roman" w:cs="Times New Roman" w:eastAsia="Times New Roman" w:hint="default"/>
                <w:sz w:val="15"/>
                <w:szCs w:val="15"/>
              </w:rPr>
              <w:t>666</w:t>
            </w:r>
            <w:r>
              <w:rPr>
                <w:rFonts w:ascii="Times New Roman" w:hAnsi="Times New Roman" w:cs="Times New Roman" w:eastAsia="Times New Roman" w:hint="default"/>
                <w:spacing w:val="-11"/>
                <w:sz w:val="15"/>
                <w:szCs w:val="15"/>
              </w:rPr>
              <w:t> </w:t>
            </w:r>
            <w:r>
              <w:rPr>
                <w:rFonts w:ascii="宋体" w:hAnsi="宋体" w:cs="宋体" w:eastAsia="宋体" w:hint="default"/>
                <w:sz w:val="15"/>
                <w:szCs w:val="15"/>
              </w:rPr>
              <w:t>号</w:t>
            </w:r>
            <w:r>
              <w:rPr>
                <w:rFonts w:ascii="宋体" w:hAnsi="宋体" w:cs="宋体" w:eastAsia="宋体" w:hint="default"/>
                <w:w w:val="100"/>
                <w:sz w:val="15"/>
                <w:szCs w:val="15"/>
              </w:rPr>
              <w:t> </w:t>
            </w:r>
            <w:r>
              <w:rPr>
                <w:rFonts w:ascii="宋体" w:hAnsi="宋体" w:cs="宋体" w:eastAsia="宋体" w:hint="default"/>
                <w:sz w:val="15"/>
                <w:szCs w:val="15"/>
              </w:rPr>
              <w:t>智能电表车间</w:t>
            </w:r>
          </w:p>
        </w:tc>
        <w:tc>
          <w:tcPr>
            <w:tcW w:w="127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300" w:right="0"/>
              <w:jc w:val="left"/>
              <w:rPr>
                <w:rFonts w:ascii="Times New Roman" w:hAnsi="Times New Roman" w:cs="Times New Roman" w:eastAsia="Times New Roman" w:hint="default"/>
                <w:sz w:val="15"/>
                <w:szCs w:val="15"/>
              </w:rPr>
            </w:pPr>
            <w:r>
              <w:rPr>
                <w:rFonts w:ascii="Times New Roman"/>
                <w:sz w:val="15"/>
              </w:rPr>
              <w:t>33,697,993.02</w:t>
            </w:r>
          </w:p>
        </w:tc>
        <w:tc>
          <w:tcPr>
            <w:tcW w:w="137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pacing w:val="-1"/>
                <w:sz w:val="15"/>
              </w:rPr>
              <w:t>22,330,100.85</w:t>
            </w:r>
          </w:p>
        </w:tc>
        <w:tc>
          <w:tcPr>
            <w:tcW w:w="816" w:type="dxa"/>
            <w:tcBorders>
              <w:top w:val="nil" w:sz="6" w:space="0" w:color="auto"/>
              <w:left w:val="single" w:sz="4" w:space="0" w:color="000000"/>
              <w:bottom w:val="nil" w:sz="6" w:space="0" w:color="auto"/>
              <w:right w:val="single" w:sz="4" w:space="0" w:color="000000"/>
            </w:tcBorders>
          </w:tcPr>
          <w:p>
            <w:pPr/>
          </w:p>
        </w:tc>
        <w:tc>
          <w:tcPr>
            <w:tcW w:w="816" w:type="dxa"/>
            <w:tcBorders>
              <w:top w:val="nil" w:sz="6" w:space="0" w:color="auto"/>
              <w:left w:val="single" w:sz="4" w:space="0" w:color="000000"/>
              <w:bottom w:val="nil" w:sz="6" w:space="0" w:color="auto"/>
              <w:right w:val="single" w:sz="4" w:space="0" w:color="000000"/>
            </w:tcBorders>
          </w:tcPr>
          <w:p>
            <w:pPr/>
          </w:p>
        </w:tc>
        <w:tc>
          <w:tcPr>
            <w:tcW w:w="1618" w:type="dxa"/>
            <w:tcBorders>
              <w:top w:val="nil" w:sz="6" w:space="0" w:color="auto"/>
              <w:left w:val="single" w:sz="4" w:space="0" w:color="000000"/>
              <w:bottom w:val="nil" w:sz="6" w:space="0" w:color="auto"/>
              <w:right w:val="nil" w:sz="6" w:space="0" w:color="auto"/>
            </w:tcBorders>
          </w:tcPr>
          <w:p>
            <w:pPr/>
          </w:p>
        </w:tc>
      </w:tr>
      <w:tr>
        <w:trPr>
          <w:trHeight w:val="289" w:hRule="exact"/>
        </w:trPr>
        <w:tc>
          <w:tcPr>
            <w:tcW w:w="2141" w:type="dxa"/>
            <w:tcBorders>
              <w:top w:val="nil" w:sz="6" w:space="0" w:color="auto"/>
              <w:left w:val="nil" w:sz="6" w:space="0" w:color="auto"/>
              <w:bottom w:val="nil" w:sz="6" w:space="0" w:color="auto"/>
              <w:right w:val="single" w:sz="4" w:space="0" w:color="000000"/>
            </w:tcBorders>
          </w:tcPr>
          <w:p>
            <w:pPr>
              <w:pStyle w:val="TableParagraph"/>
              <w:spacing w:line="240" w:lineRule="auto" w:before="84"/>
              <w:ind w:left="105" w:right="0"/>
              <w:jc w:val="left"/>
              <w:rPr>
                <w:rFonts w:ascii="宋体" w:hAnsi="宋体" w:cs="宋体" w:eastAsia="宋体" w:hint="default"/>
                <w:sz w:val="15"/>
                <w:szCs w:val="15"/>
              </w:rPr>
            </w:pPr>
            <w:r>
              <w:rPr>
                <w:rFonts w:ascii="宋体" w:hAnsi="宋体" w:cs="宋体" w:eastAsia="宋体" w:hint="default"/>
                <w:sz w:val="15"/>
                <w:szCs w:val="15"/>
              </w:rPr>
              <w:t>颍上永阳灵台湖综合楼</w:t>
            </w:r>
          </w:p>
        </w:tc>
        <w:tc>
          <w:tcPr>
            <w:tcW w:w="1274" w:type="dxa"/>
            <w:tcBorders>
              <w:top w:val="nil" w:sz="6" w:space="0" w:color="auto"/>
              <w:left w:val="single" w:sz="4" w:space="0" w:color="000000"/>
              <w:bottom w:val="nil" w:sz="6" w:space="0" w:color="auto"/>
              <w:right w:val="single" w:sz="4" w:space="0" w:color="000000"/>
            </w:tcBorders>
          </w:tcPr>
          <w:p>
            <w:pPr>
              <w:pStyle w:val="TableParagraph"/>
              <w:spacing w:line="240" w:lineRule="auto" w:before="119"/>
              <w:ind w:left="374" w:right="0"/>
              <w:jc w:val="left"/>
              <w:rPr>
                <w:rFonts w:ascii="Times New Roman" w:hAnsi="Times New Roman" w:cs="Times New Roman" w:eastAsia="Times New Roman" w:hint="default"/>
                <w:sz w:val="15"/>
                <w:szCs w:val="15"/>
              </w:rPr>
            </w:pPr>
            <w:r>
              <w:rPr>
                <w:rFonts w:ascii="Times New Roman"/>
                <w:sz w:val="15"/>
              </w:rPr>
              <w:t>1,495,495.51</w:t>
            </w:r>
          </w:p>
        </w:tc>
        <w:tc>
          <w:tcPr>
            <w:tcW w:w="1378" w:type="dxa"/>
            <w:tcBorders>
              <w:top w:val="nil" w:sz="6" w:space="0" w:color="auto"/>
              <w:left w:val="single" w:sz="4" w:space="0" w:color="000000"/>
              <w:bottom w:val="nil" w:sz="6" w:space="0" w:color="auto"/>
              <w:right w:val="single" w:sz="4" w:space="0" w:color="000000"/>
            </w:tcBorders>
          </w:tcPr>
          <w:p>
            <w:pPr>
              <w:pStyle w:val="TableParagraph"/>
              <w:spacing w:line="240" w:lineRule="auto" w:before="119"/>
              <w:ind w:right="98"/>
              <w:jc w:val="right"/>
              <w:rPr>
                <w:rFonts w:ascii="Times New Roman" w:hAnsi="Times New Roman" w:cs="Times New Roman" w:eastAsia="Times New Roman" w:hint="default"/>
                <w:sz w:val="15"/>
                <w:szCs w:val="15"/>
              </w:rPr>
            </w:pPr>
            <w:r>
              <w:rPr>
                <w:rFonts w:ascii="Times New Roman"/>
                <w:spacing w:val="-1"/>
                <w:sz w:val="15"/>
              </w:rPr>
              <w:t>1,374,819.82</w:t>
            </w:r>
          </w:p>
        </w:tc>
        <w:tc>
          <w:tcPr>
            <w:tcW w:w="816" w:type="dxa"/>
            <w:tcBorders>
              <w:top w:val="nil" w:sz="6" w:space="0" w:color="auto"/>
              <w:left w:val="single" w:sz="4" w:space="0" w:color="000000"/>
              <w:bottom w:val="nil" w:sz="6" w:space="0" w:color="auto"/>
              <w:right w:val="single" w:sz="4" w:space="0" w:color="000000"/>
            </w:tcBorders>
          </w:tcPr>
          <w:p>
            <w:pPr>
              <w:pStyle w:val="TableParagraph"/>
              <w:spacing w:line="240" w:lineRule="auto" w:before="119"/>
              <w:ind w:right="100"/>
              <w:jc w:val="right"/>
              <w:rPr>
                <w:rFonts w:ascii="Times New Roman" w:hAnsi="Times New Roman" w:cs="Times New Roman" w:eastAsia="Times New Roman" w:hint="default"/>
                <w:sz w:val="15"/>
                <w:szCs w:val="15"/>
              </w:rPr>
            </w:pPr>
            <w:r>
              <w:rPr>
                <w:rFonts w:ascii="Times New Roman"/>
                <w:spacing w:val="-1"/>
                <w:sz w:val="15"/>
              </w:rPr>
              <w:t>220.50</w:t>
            </w:r>
          </w:p>
        </w:tc>
        <w:tc>
          <w:tcPr>
            <w:tcW w:w="816" w:type="dxa"/>
            <w:tcBorders>
              <w:top w:val="nil" w:sz="6" w:space="0" w:color="auto"/>
              <w:left w:val="single" w:sz="4" w:space="0" w:color="000000"/>
              <w:bottom w:val="nil" w:sz="6" w:space="0" w:color="auto"/>
              <w:right w:val="single" w:sz="4" w:space="0" w:color="000000"/>
            </w:tcBorders>
          </w:tcPr>
          <w:p>
            <w:pPr>
              <w:pStyle w:val="TableParagraph"/>
              <w:spacing w:line="240" w:lineRule="auto" w:before="119"/>
              <w:ind w:right="100"/>
              <w:jc w:val="right"/>
              <w:rPr>
                <w:rFonts w:ascii="Times New Roman" w:hAnsi="Times New Roman" w:cs="Times New Roman" w:eastAsia="Times New Roman" w:hint="default"/>
                <w:sz w:val="15"/>
                <w:szCs w:val="15"/>
              </w:rPr>
            </w:pPr>
            <w:r>
              <w:rPr>
                <w:rFonts w:ascii="Times New Roman"/>
                <w:spacing w:val="-1"/>
                <w:sz w:val="15"/>
              </w:rPr>
              <w:t>4,060.00</w:t>
            </w:r>
          </w:p>
        </w:tc>
        <w:tc>
          <w:tcPr>
            <w:tcW w:w="1618" w:type="dxa"/>
            <w:tcBorders>
              <w:top w:val="nil" w:sz="6" w:space="0" w:color="auto"/>
              <w:left w:val="single" w:sz="4" w:space="0" w:color="000000"/>
              <w:bottom w:val="nil" w:sz="6" w:space="0" w:color="auto"/>
              <w:right w:val="nil" w:sz="6" w:space="0" w:color="auto"/>
            </w:tcBorders>
          </w:tcPr>
          <w:p>
            <w:pPr>
              <w:pStyle w:val="TableParagraph"/>
              <w:spacing w:line="240" w:lineRule="auto" w:before="119"/>
              <w:ind w:right="107"/>
              <w:jc w:val="right"/>
              <w:rPr>
                <w:rFonts w:ascii="Times New Roman" w:hAnsi="Times New Roman" w:cs="Times New Roman" w:eastAsia="Times New Roman" w:hint="default"/>
                <w:sz w:val="15"/>
                <w:szCs w:val="15"/>
              </w:rPr>
            </w:pPr>
            <w:r>
              <w:rPr>
                <w:rFonts w:ascii="Times New Roman"/>
                <w:spacing w:val="-1"/>
                <w:sz w:val="15"/>
              </w:rPr>
              <w:t>2017.8-2023.8</w:t>
            </w:r>
          </w:p>
        </w:tc>
      </w:tr>
      <w:tr>
        <w:trPr>
          <w:trHeight w:val="62" w:hRule="exact"/>
        </w:trPr>
        <w:tc>
          <w:tcPr>
            <w:tcW w:w="2141" w:type="dxa"/>
            <w:tcBorders>
              <w:top w:val="nil" w:sz="6" w:space="0" w:color="auto"/>
              <w:left w:val="nil" w:sz="6" w:space="0" w:color="auto"/>
              <w:bottom w:val="nil" w:sz="6" w:space="0" w:color="auto"/>
              <w:right w:val="single" w:sz="4" w:space="0" w:color="000000"/>
            </w:tcBorders>
          </w:tcPr>
          <w:p>
            <w:pPr/>
          </w:p>
        </w:tc>
        <w:tc>
          <w:tcPr>
            <w:tcW w:w="1274" w:type="dxa"/>
            <w:tcBorders>
              <w:top w:val="nil" w:sz="6" w:space="0" w:color="auto"/>
              <w:left w:val="single" w:sz="4" w:space="0" w:color="000000"/>
              <w:bottom w:val="nil" w:sz="6" w:space="0" w:color="auto"/>
              <w:right w:val="nil" w:sz="6" w:space="0" w:color="auto"/>
            </w:tcBorders>
          </w:tcPr>
          <w:p>
            <w:pPr/>
          </w:p>
        </w:tc>
        <w:tc>
          <w:tcPr>
            <w:tcW w:w="1378" w:type="dxa"/>
            <w:tcBorders>
              <w:top w:val="nil" w:sz="6" w:space="0" w:color="auto"/>
              <w:left w:val="nil" w:sz="6" w:space="0" w:color="auto"/>
              <w:bottom w:val="nil" w:sz="6" w:space="0" w:color="auto"/>
              <w:right w:val="single" w:sz="4" w:space="0" w:color="000000"/>
            </w:tcBorders>
          </w:tcPr>
          <w:p>
            <w:pPr/>
          </w:p>
        </w:tc>
        <w:tc>
          <w:tcPr>
            <w:tcW w:w="816" w:type="dxa"/>
            <w:tcBorders>
              <w:top w:val="nil" w:sz="6" w:space="0" w:color="auto"/>
              <w:left w:val="single" w:sz="4" w:space="0" w:color="000000"/>
              <w:bottom w:val="nil" w:sz="6" w:space="0" w:color="auto"/>
              <w:right w:val="single" w:sz="4" w:space="0" w:color="000000"/>
            </w:tcBorders>
          </w:tcPr>
          <w:p>
            <w:pPr/>
          </w:p>
        </w:tc>
        <w:tc>
          <w:tcPr>
            <w:tcW w:w="816" w:type="dxa"/>
            <w:tcBorders>
              <w:top w:val="nil" w:sz="6" w:space="0" w:color="auto"/>
              <w:left w:val="single" w:sz="4" w:space="0" w:color="000000"/>
              <w:bottom w:val="nil" w:sz="6" w:space="0" w:color="auto"/>
              <w:right w:val="single" w:sz="4" w:space="0" w:color="000000"/>
            </w:tcBorders>
          </w:tcPr>
          <w:p>
            <w:pPr/>
          </w:p>
        </w:tc>
        <w:tc>
          <w:tcPr>
            <w:tcW w:w="1618" w:type="dxa"/>
            <w:tcBorders>
              <w:top w:val="nil" w:sz="6" w:space="0" w:color="auto"/>
              <w:left w:val="single" w:sz="4" w:space="0" w:color="000000"/>
              <w:bottom w:val="nil" w:sz="6" w:space="0" w:color="auto"/>
              <w:right w:val="nil" w:sz="6" w:space="0" w:color="auto"/>
            </w:tcBorders>
          </w:tcPr>
          <w:p>
            <w:pPr/>
          </w:p>
        </w:tc>
      </w:tr>
      <w:tr>
        <w:trPr>
          <w:trHeight w:val="340" w:hRule="exact"/>
        </w:trPr>
        <w:tc>
          <w:tcPr>
            <w:tcW w:w="2141" w:type="dxa"/>
            <w:tcBorders>
              <w:top w:val="nil" w:sz="6" w:space="0" w:color="auto"/>
              <w:left w:val="nil" w:sz="6" w:space="0" w:color="auto"/>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1"/>
                <w:szCs w:val="11"/>
              </w:rPr>
            </w:pPr>
          </w:p>
          <w:p>
            <w:pPr>
              <w:pStyle w:val="TableParagraph"/>
              <w:spacing w:line="240" w:lineRule="auto"/>
              <w:ind w:left="105" w:right="0"/>
              <w:jc w:val="left"/>
              <w:rPr>
                <w:rFonts w:ascii="宋体" w:hAnsi="宋体" w:cs="宋体" w:eastAsia="宋体" w:hint="default"/>
                <w:sz w:val="15"/>
                <w:szCs w:val="15"/>
              </w:rPr>
            </w:pPr>
            <w:r>
              <w:rPr>
                <w:rFonts w:ascii="宋体" w:hAnsi="宋体" w:cs="宋体" w:eastAsia="宋体" w:hint="default"/>
                <w:b/>
                <w:bCs/>
                <w:sz w:val="15"/>
                <w:szCs w:val="15"/>
              </w:rPr>
              <w:t>光伏电站</w:t>
            </w:r>
            <w:r>
              <w:rPr>
                <w:rFonts w:ascii="宋体" w:hAnsi="宋体" w:cs="宋体" w:eastAsia="宋体" w:hint="default"/>
                <w:sz w:val="15"/>
                <w:szCs w:val="15"/>
              </w:rPr>
              <w:t>：</w:t>
            </w:r>
          </w:p>
        </w:tc>
        <w:tc>
          <w:tcPr>
            <w:tcW w:w="1274" w:type="dxa"/>
            <w:tcBorders>
              <w:top w:val="nil" w:sz="6" w:space="0" w:color="auto"/>
              <w:left w:val="single" w:sz="4" w:space="0" w:color="000000"/>
              <w:bottom w:val="nil" w:sz="6" w:space="0" w:color="auto"/>
              <w:right w:val="single" w:sz="4" w:space="0" w:color="000000"/>
            </w:tcBorders>
          </w:tcPr>
          <w:p>
            <w:pPr/>
          </w:p>
        </w:tc>
        <w:tc>
          <w:tcPr>
            <w:tcW w:w="1378" w:type="dxa"/>
            <w:tcBorders>
              <w:top w:val="nil" w:sz="6" w:space="0" w:color="auto"/>
              <w:left w:val="single" w:sz="4" w:space="0" w:color="000000"/>
              <w:bottom w:val="nil" w:sz="6" w:space="0" w:color="auto"/>
              <w:right w:val="single" w:sz="4" w:space="0" w:color="000000"/>
            </w:tcBorders>
          </w:tcPr>
          <w:p>
            <w:pPr/>
          </w:p>
        </w:tc>
        <w:tc>
          <w:tcPr>
            <w:tcW w:w="816" w:type="dxa"/>
            <w:tcBorders>
              <w:top w:val="nil" w:sz="6" w:space="0" w:color="auto"/>
              <w:left w:val="single" w:sz="4" w:space="0" w:color="000000"/>
              <w:bottom w:val="nil" w:sz="6" w:space="0" w:color="auto"/>
              <w:right w:val="single" w:sz="4" w:space="0" w:color="000000"/>
            </w:tcBorders>
          </w:tcPr>
          <w:p>
            <w:pPr/>
          </w:p>
        </w:tc>
        <w:tc>
          <w:tcPr>
            <w:tcW w:w="816" w:type="dxa"/>
            <w:tcBorders>
              <w:top w:val="nil" w:sz="6" w:space="0" w:color="auto"/>
              <w:left w:val="single" w:sz="4" w:space="0" w:color="000000"/>
              <w:bottom w:val="nil" w:sz="6" w:space="0" w:color="auto"/>
              <w:right w:val="single" w:sz="4" w:space="0" w:color="000000"/>
            </w:tcBorders>
          </w:tcPr>
          <w:p>
            <w:pPr/>
          </w:p>
        </w:tc>
        <w:tc>
          <w:tcPr>
            <w:tcW w:w="1618" w:type="dxa"/>
            <w:tcBorders>
              <w:top w:val="nil" w:sz="6" w:space="0" w:color="auto"/>
              <w:left w:val="single" w:sz="4" w:space="0" w:color="000000"/>
              <w:bottom w:val="nil" w:sz="6" w:space="0" w:color="auto"/>
              <w:right w:val="nil" w:sz="6" w:space="0" w:color="auto"/>
            </w:tcBorders>
          </w:tcPr>
          <w:p>
            <w:pPr/>
          </w:p>
        </w:tc>
      </w:tr>
      <w:tr>
        <w:trPr>
          <w:trHeight w:val="70" w:hRule="exact"/>
        </w:trPr>
        <w:tc>
          <w:tcPr>
            <w:tcW w:w="2141" w:type="dxa"/>
            <w:tcBorders>
              <w:top w:val="nil" w:sz="6" w:space="0" w:color="auto"/>
              <w:left w:val="nil" w:sz="6" w:space="0" w:color="auto"/>
              <w:bottom w:val="nil" w:sz="6" w:space="0" w:color="auto"/>
              <w:right w:val="single" w:sz="4" w:space="0" w:color="000000"/>
            </w:tcBorders>
          </w:tcPr>
          <w:p>
            <w:pPr/>
          </w:p>
        </w:tc>
        <w:tc>
          <w:tcPr>
            <w:tcW w:w="1274" w:type="dxa"/>
            <w:tcBorders>
              <w:top w:val="nil" w:sz="6" w:space="0" w:color="auto"/>
              <w:left w:val="single" w:sz="4" w:space="0" w:color="000000"/>
              <w:bottom w:val="nil" w:sz="6" w:space="0" w:color="auto"/>
              <w:right w:val="nil" w:sz="6" w:space="0" w:color="auto"/>
            </w:tcBorders>
          </w:tcPr>
          <w:p>
            <w:pPr/>
          </w:p>
        </w:tc>
        <w:tc>
          <w:tcPr>
            <w:tcW w:w="1378" w:type="dxa"/>
            <w:tcBorders>
              <w:top w:val="nil" w:sz="6" w:space="0" w:color="auto"/>
              <w:left w:val="nil" w:sz="6" w:space="0" w:color="auto"/>
              <w:bottom w:val="nil" w:sz="6" w:space="0" w:color="auto"/>
              <w:right w:val="single" w:sz="4" w:space="0" w:color="000000"/>
            </w:tcBorders>
          </w:tcPr>
          <w:p>
            <w:pPr/>
          </w:p>
        </w:tc>
        <w:tc>
          <w:tcPr>
            <w:tcW w:w="816" w:type="dxa"/>
            <w:tcBorders>
              <w:top w:val="nil" w:sz="6" w:space="0" w:color="auto"/>
              <w:left w:val="single" w:sz="4" w:space="0" w:color="000000"/>
              <w:bottom w:val="nil" w:sz="6" w:space="0" w:color="auto"/>
              <w:right w:val="single" w:sz="4" w:space="0" w:color="000000"/>
            </w:tcBorders>
          </w:tcPr>
          <w:p>
            <w:pPr/>
          </w:p>
        </w:tc>
        <w:tc>
          <w:tcPr>
            <w:tcW w:w="816" w:type="dxa"/>
            <w:tcBorders>
              <w:top w:val="nil" w:sz="6" w:space="0" w:color="auto"/>
              <w:left w:val="single" w:sz="4" w:space="0" w:color="000000"/>
              <w:bottom w:val="nil" w:sz="6" w:space="0" w:color="auto"/>
              <w:right w:val="single" w:sz="4" w:space="0" w:color="000000"/>
            </w:tcBorders>
          </w:tcPr>
          <w:p>
            <w:pPr/>
          </w:p>
        </w:tc>
        <w:tc>
          <w:tcPr>
            <w:tcW w:w="1618" w:type="dxa"/>
            <w:tcBorders>
              <w:top w:val="nil" w:sz="6" w:space="0" w:color="auto"/>
              <w:left w:val="single" w:sz="4" w:space="0" w:color="000000"/>
              <w:bottom w:val="nil" w:sz="6" w:space="0" w:color="auto"/>
              <w:right w:val="nil" w:sz="6" w:space="0" w:color="auto"/>
            </w:tcBorders>
          </w:tcPr>
          <w:p>
            <w:pPr/>
          </w:p>
        </w:tc>
      </w:tr>
      <w:tr>
        <w:trPr>
          <w:trHeight w:val="870" w:hRule="exact"/>
        </w:trPr>
        <w:tc>
          <w:tcPr>
            <w:tcW w:w="2141" w:type="dxa"/>
            <w:tcBorders>
              <w:top w:val="nil" w:sz="6" w:space="0" w:color="auto"/>
              <w:left w:val="nil" w:sz="6" w:space="0" w:color="auto"/>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1"/>
                <w:szCs w:val="11"/>
              </w:rPr>
            </w:pPr>
          </w:p>
          <w:p>
            <w:pPr>
              <w:pStyle w:val="TableParagraph"/>
              <w:spacing w:line="240" w:lineRule="auto"/>
              <w:ind w:left="105" w:right="0"/>
              <w:jc w:val="left"/>
              <w:rPr>
                <w:rFonts w:ascii="Times New Roman" w:hAnsi="Times New Roman" w:cs="Times New Roman" w:eastAsia="Times New Roman" w:hint="default"/>
                <w:sz w:val="15"/>
                <w:szCs w:val="15"/>
              </w:rPr>
            </w:pPr>
            <w:r>
              <w:rPr>
                <w:rFonts w:ascii="宋体" w:hAnsi="宋体" w:cs="宋体" w:eastAsia="宋体" w:hint="default"/>
                <w:sz w:val="15"/>
                <w:szCs w:val="15"/>
              </w:rPr>
              <w:t>金东纸业厂房屋顶一期</w:t>
            </w:r>
            <w:r>
              <w:rPr>
                <w:rFonts w:ascii="宋体" w:hAnsi="宋体" w:cs="宋体" w:eastAsia="宋体" w:hint="default"/>
                <w:spacing w:val="22"/>
                <w:sz w:val="15"/>
                <w:szCs w:val="15"/>
              </w:rPr>
              <w:t> </w:t>
            </w:r>
            <w:r>
              <w:rPr>
                <w:rFonts w:ascii="Times New Roman" w:hAnsi="Times New Roman" w:cs="Times New Roman" w:eastAsia="Times New Roman" w:hint="default"/>
                <w:sz w:val="15"/>
                <w:szCs w:val="15"/>
              </w:rPr>
              <w:t>20MW</w:t>
            </w:r>
          </w:p>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left="105" w:right="0"/>
              <w:jc w:val="left"/>
              <w:rPr>
                <w:rFonts w:ascii="宋体" w:hAnsi="宋体" w:cs="宋体" w:eastAsia="宋体" w:hint="default"/>
                <w:sz w:val="15"/>
                <w:szCs w:val="15"/>
              </w:rPr>
            </w:pPr>
            <w:r>
              <w:rPr>
                <w:rFonts w:ascii="宋体" w:hAnsi="宋体" w:cs="宋体" w:eastAsia="宋体" w:hint="default"/>
                <w:sz w:val="15"/>
                <w:szCs w:val="15"/>
              </w:rPr>
              <w:t>分布式光伏发电项目设备</w:t>
            </w:r>
          </w:p>
        </w:tc>
        <w:tc>
          <w:tcPr>
            <w:tcW w:w="127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223" w:right="0"/>
              <w:jc w:val="left"/>
              <w:rPr>
                <w:rFonts w:ascii="Times New Roman" w:hAnsi="Times New Roman" w:cs="Times New Roman" w:eastAsia="Times New Roman" w:hint="default"/>
                <w:sz w:val="15"/>
                <w:szCs w:val="15"/>
              </w:rPr>
            </w:pPr>
            <w:r>
              <w:rPr>
                <w:rFonts w:ascii="Times New Roman"/>
                <w:sz w:val="15"/>
              </w:rPr>
              <w:t>128,107,768.91</w:t>
            </w:r>
          </w:p>
        </w:tc>
        <w:tc>
          <w:tcPr>
            <w:tcW w:w="137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328" w:right="0"/>
              <w:jc w:val="left"/>
              <w:rPr>
                <w:rFonts w:ascii="Times New Roman" w:hAnsi="Times New Roman" w:cs="Times New Roman" w:eastAsia="Times New Roman" w:hint="default"/>
                <w:sz w:val="15"/>
                <w:szCs w:val="15"/>
              </w:rPr>
            </w:pPr>
            <w:r>
              <w:rPr>
                <w:rFonts w:ascii="Times New Roman"/>
                <w:sz w:val="15"/>
              </w:rPr>
              <w:t>107,038,506.10</w:t>
            </w:r>
          </w:p>
        </w:tc>
        <w:tc>
          <w:tcPr>
            <w:tcW w:w="81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12,000.00</w:t>
            </w:r>
          </w:p>
        </w:tc>
        <w:tc>
          <w:tcPr>
            <w:tcW w:w="81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3,925.00</w:t>
            </w:r>
          </w:p>
        </w:tc>
        <w:tc>
          <w:tcPr>
            <w:tcW w:w="1618" w:type="dxa"/>
            <w:tcBorders>
              <w:top w:val="nil" w:sz="6" w:space="0" w:color="auto"/>
              <w:left w:val="single" w:sz="4" w:space="0" w:color="000000"/>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right="107"/>
              <w:jc w:val="right"/>
              <w:rPr>
                <w:rFonts w:ascii="Times New Roman" w:hAnsi="Times New Roman" w:cs="Times New Roman" w:eastAsia="Times New Roman" w:hint="default"/>
                <w:sz w:val="15"/>
                <w:szCs w:val="15"/>
              </w:rPr>
            </w:pPr>
            <w:r>
              <w:rPr>
                <w:rFonts w:ascii="Times New Roman"/>
                <w:spacing w:val="-1"/>
                <w:sz w:val="15"/>
              </w:rPr>
              <w:t>2016.3-2026.3</w:t>
            </w:r>
          </w:p>
        </w:tc>
      </w:tr>
      <w:tr>
        <w:trPr>
          <w:trHeight w:val="750" w:hRule="exact"/>
        </w:trPr>
        <w:tc>
          <w:tcPr>
            <w:tcW w:w="2141" w:type="dxa"/>
            <w:tcBorders>
              <w:top w:val="nil" w:sz="6" w:space="0" w:color="auto"/>
              <w:left w:val="nil" w:sz="6" w:space="0" w:color="auto"/>
              <w:bottom w:val="nil" w:sz="6" w:space="0" w:color="auto"/>
              <w:right w:val="single" w:sz="4" w:space="0" w:color="000000"/>
            </w:tcBorders>
          </w:tcPr>
          <w:p>
            <w:pPr>
              <w:pStyle w:val="TableParagraph"/>
              <w:spacing w:line="240" w:lineRule="auto" w:before="83"/>
              <w:ind w:left="105" w:right="0"/>
              <w:jc w:val="left"/>
              <w:rPr>
                <w:rFonts w:ascii="宋体" w:hAnsi="宋体" w:cs="宋体" w:eastAsia="宋体" w:hint="default"/>
                <w:sz w:val="15"/>
                <w:szCs w:val="15"/>
              </w:rPr>
            </w:pPr>
            <w:r>
              <w:rPr>
                <w:rFonts w:ascii="宋体" w:hAnsi="宋体" w:cs="宋体" w:eastAsia="宋体" w:hint="default"/>
                <w:sz w:val="15"/>
                <w:szCs w:val="15"/>
              </w:rPr>
              <w:t>商丘鑫炎 </w:t>
            </w:r>
            <w:r>
              <w:rPr>
                <w:rFonts w:ascii="Times New Roman" w:hAnsi="Times New Roman" w:cs="Times New Roman" w:eastAsia="Times New Roman" w:hint="default"/>
                <w:sz w:val="15"/>
                <w:szCs w:val="15"/>
              </w:rPr>
              <w:t>50MW</w:t>
            </w:r>
            <w:r>
              <w:rPr>
                <w:rFonts w:ascii="Times New Roman" w:hAnsi="Times New Roman" w:cs="Times New Roman" w:eastAsia="Times New Roman" w:hint="default"/>
                <w:spacing w:val="-18"/>
                <w:sz w:val="15"/>
                <w:szCs w:val="15"/>
              </w:rPr>
              <w:t> </w:t>
            </w:r>
            <w:r>
              <w:rPr>
                <w:rFonts w:ascii="宋体" w:hAnsi="宋体" w:cs="宋体" w:eastAsia="宋体" w:hint="default"/>
                <w:sz w:val="15"/>
                <w:szCs w:val="15"/>
              </w:rPr>
              <w:t>分布式光伏农</w:t>
            </w:r>
          </w:p>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left="105" w:right="0"/>
              <w:jc w:val="left"/>
              <w:rPr>
                <w:rFonts w:ascii="宋体" w:hAnsi="宋体" w:cs="宋体" w:eastAsia="宋体" w:hint="default"/>
                <w:sz w:val="15"/>
                <w:szCs w:val="15"/>
              </w:rPr>
            </w:pPr>
            <w:r>
              <w:rPr>
                <w:rFonts w:ascii="宋体" w:hAnsi="宋体" w:cs="宋体" w:eastAsia="宋体" w:hint="default"/>
                <w:sz w:val="15"/>
                <w:szCs w:val="15"/>
              </w:rPr>
              <w:t>光互补发电项目设备</w:t>
            </w:r>
          </w:p>
        </w:tc>
        <w:tc>
          <w:tcPr>
            <w:tcW w:w="127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6"/>
              <w:ind w:right="0"/>
              <w:jc w:val="left"/>
              <w:rPr>
                <w:rFonts w:ascii="宋体" w:hAnsi="宋体" w:cs="宋体" w:eastAsia="宋体" w:hint="default"/>
                <w:b/>
                <w:bCs/>
                <w:sz w:val="10"/>
                <w:szCs w:val="10"/>
              </w:rPr>
            </w:pPr>
          </w:p>
          <w:p>
            <w:pPr>
              <w:pStyle w:val="TableParagraph"/>
              <w:spacing w:line="240" w:lineRule="auto"/>
              <w:ind w:left="223" w:right="0"/>
              <w:jc w:val="left"/>
              <w:rPr>
                <w:rFonts w:ascii="Times New Roman" w:hAnsi="Times New Roman" w:cs="Times New Roman" w:eastAsia="Times New Roman" w:hint="default"/>
                <w:sz w:val="15"/>
                <w:szCs w:val="15"/>
              </w:rPr>
            </w:pPr>
            <w:r>
              <w:rPr>
                <w:rFonts w:ascii="Times New Roman"/>
                <w:sz w:val="15"/>
              </w:rPr>
              <w:t>375,512,729.80</w:t>
            </w:r>
          </w:p>
        </w:tc>
        <w:tc>
          <w:tcPr>
            <w:tcW w:w="137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6"/>
              <w:ind w:right="0"/>
              <w:jc w:val="left"/>
              <w:rPr>
                <w:rFonts w:ascii="宋体" w:hAnsi="宋体" w:cs="宋体" w:eastAsia="宋体" w:hint="default"/>
                <w:b/>
                <w:bCs/>
                <w:sz w:val="10"/>
                <w:szCs w:val="10"/>
              </w:rPr>
            </w:pPr>
          </w:p>
          <w:p>
            <w:pPr>
              <w:pStyle w:val="TableParagraph"/>
              <w:spacing w:line="240" w:lineRule="auto"/>
              <w:ind w:left="328" w:right="0"/>
              <w:jc w:val="left"/>
              <w:rPr>
                <w:rFonts w:ascii="Times New Roman" w:hAnsi="Times New Roman" w:cs="Times New Roman" w:eastAsia="Times New Roman" w:hint="default"/>
                <w:sz w:val="15"/>
                <w:szCs w:val="15"/>
              </w:rPr>
            </w:pPr>
            <w:r>
              <w:rPr>
                <w:rFonts w:ascii="Times New Roman"/>
                <w:sz w:val="15"/>
              </w:rPr>
              <w:t>328,700,064.98</w:t>
            </w:r>
          </w:p>
        </w:tc>
        <w:tc>
          <w:tcPr>
            <w:tcW w:w="81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6"/>
              <w:ind w:right="0"/>
              <w:jc w:val="left"/>
              <w:rPr>
                <w:rFonts w:ascii="宋体" w:hAnsi="宋体" w:cs="宋体" w:eastAsia="宋体" w:hint="default"/>
                <w:b/>
                <w:bCs/>
                <w:sz w:val="10"/>
                <w:szCs w:val="10"/>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15,000.00</w:t>
            </w:r>
          </w:p>
        </w:tc>
        <w:tc>
          <w:tcPr>
            <w:tcW w:w="816" w:type="dxa"/>
            <w:tcBorders>
              <w:top w:val="nil" w:sz="6" w:space="0" w:color="auto"/>
              <w:left w:val="single" w:sz="4" w:space="0" w:color="000000"/>
              <w:bottom w:val="nil" w:sz="6" w:space="0" w:color="auto"/>
              <w:right w:val="single" w:sz="4" w:space="0" w:color="000000"/>
            </w:tcBorders>
          </w:tcPr>
          <w:p>
            <w:pPr/>
          </w:p>
        </w:tc>
        <w:tc>
          <w:tcPr>
            <w:tcW w:w="1618" w:type="dxa"/>
            <w:tcBorders>
              <w:top w:val="nil" w:sz="6" w:space="0" w:color="auto"/>
              <w:left w:val="single" w:sz="4" w:space="0" w:color="000000"/>
              <w:bottom w:val="nil" w:sz="6" w:space="0" w:color="auto"/>
              <w:right w:val="nil" w:sz="6" w:space="0" w:color="auto"/>
            </w:tcBorders>
          </w:tcPr>
          <w:p>
            <w:pPr/>
          </w:p>
        </w:tc>
      </w:tr>
      <w:tr>
        <w:trPr>
          <w:trHeight w:val="817" w:hRule="exact"/>
        </w:trPr>
        <w:tc>
          <w:tcPr>
            <w:tcW w:w="2141" w:type="dxa"/>
            <w:tcBorders>
              <w:top w:val="nil" w:sz="6" w:space="0" w:color="auto"/>
              <w:left w:val="nil" w:sz="6" w:space="0" w:color="auto"/>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b/>
                <w:bCs/>
                <w:sz w:val="11"/>
                <w:szCs w:val="11"/>
              </w:rPr>
            </w:pPr>
          </w:p>
          <w:p>
            <w:pPr>
              <w:pStyle w:val="TableParagraph"/>
              <w:spacing w:line="240" w:lineRule="auto"/>
              <w:ind w:left="105" w:right="0"/>
              <w:jc w:val="left"/>
              <w:rPr>
                <w:rFonts w:ascii="宋体" w:hAnsi="宋体" w:cs="宋体" w:eastAsia="宋体" w:hint="default"/>
                <w:sz w:val="15"/>
                <w:szCs w:val="15"/>
              </w:rPr>
            </w:pPr>
            <w:r>
              <w:rPr>
                <w:rFonts w:ascii="宋体" w:hAnsi="宋体" w:cs="宋体" w:eastAsia="宋体" w:hint="default"/>
                <w:sz w:val="15"/>
                <w:szCs w:val="15"/>
              </w:rPr>
              <w:t>东营三力 </w:t>
            </w:r>
            <w:r>
              <w:rPr>
                <w:rFonts w:ascii="Times New Roman" w:hAnsi="Times New Roman" w:cs="Times New Roman" w:eastAsia="Times New Roman" w:hint="default"/>
                <w:sz w:val="15"/>
                <w:szCs w:val="15"/>
              </w:rPr>
              <w:t>20MW</w:t>
            </w:r>
            <w:r>
              <w:rPr>
                <w:rFonts w:ascii="Times New Roman" w:hAnsi="Times New Roman" w:cs="Times New Roman" w:eastAsia="Times New Roman" w:hint="default"/>
                <w:spacing w:val="-18"/>
                <w:sz w:val="15"/>
                <w:szCs w:val="15"/>
              </w:rPr>
              <w:t> </w:t>
            </w:r>
            <w:r>
              <w:rPr>
                <w:rFonts w:ascii="宋体" w:hAnsi="宋体" w:cs="宋体" w:eastAsia="宋体" w:hint="default"/>
                <w:sz w:val="15"/>
                <w:szCs w:val="15"/>
              </w:rPr>
              <w:t>分布式光伏发</w:t>
            </w:r>
          </w:p>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left="105" w:right="0"/>
              <w:jc w:val="left"/>
              <w:rPr>
                <w:rFonts w:ascii="宋体" w:hAnsi="宋体" w:cs="宋体" w:eastAsia="宋体" w:hint="default"/>
                <w:sz w:val="15"/>
                <w:szCs w:val="15"/>
              </w:rPr>
            </w:pPr>
            <w:r>
              <w:rPr>
                <w:rFonts w:ascii="宋体" w:hAnsi="宋体" w:cs="宋体" w:eastAsia="宋体" w:hint="default"/>
                <w:sz w:val="15"/>
                <w:szCs w:val="15"/>
              </w:rPr>
              <w:t>电项目设备</w:t>
            </w:r>
          </w:p>
        </w:tc>
        <w:tc>
          <w:tcPr>
            <w:tcW w:w="1274" w:type="dxa"/>
            <w:tcBorders>
              <w:top w:val="nil" w:sz="6" w:space="0" w:color="auto"/>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223" w:right="0"/>
              <w:jc w:val="left"/>
              <w:rPr>
                <w:rFonts w:ascii="Times New Roman" w:hAnsi="Times New Roman" w:cs="Times New Roman" w:eastAsia="Times New Roman" w:hint="default"/>
                <w:sz w:val="15"/>
                <w:szCs w:val="15"/>
              </w:rPr>
            </w:pPr>
            <w:r>
              <w:rPr>
                <w:rFonts w:ascii="Times New Roman"/>
                <w:sz w:val="15"/>
              </w:rPr>
              <w:t>143,312,514.97</w:t>
            </w:r>
          </w:p>
        </w:tc>
        <w:tc>
          <w:tcPr>
            <w:tcW w:w="1378" w:type="dxa"/>
            <w:tcBorders>
              <w:top w:val="nil" w:sz="6" w:space="0" w:color="auto"/>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328" w:right="0"/>
              <w:jc w:val="left"/>
              <w:rPr>
                <w:rFonts w:ascii="Times New Roman" w:hAnsi="Times New Roman" w:cs="Times New Roman" w:eastAsia="Times New Roman" w:hint="default"/>
                <w:sz w:val="15"/>
                <w:szCs w:val="15"/>
              </w:rPr>
            </w:pPr>
            <w:r>
              <w:rPr>
                <w:rFonts w:ascii="Times New Roman"/>
                <w:sz w:val="15"/>
              </w:rPr>
              <w:t>123,105,450.08</w:t>
            </w:r>
          </w:p>
        </w:tc>
        <w:tc>
          <w:tcPr>
            <w:tcW w:w="816" w:type="dxa"/>
            <w:tcBorders>
              <w:top w:val="nil" w:sz="6" w:space="0" w:color="auto"/>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15,000.00</w:t>
            </w:r>
          </w:p>
        </w:tc>
        <w:tc>
          <w:tcPr>
            <w:tcW w:w="816" w:type="dxa"/>
            <w:tcBorders>
              <w:top w:val="nil" w:sz="6" w:space="0" w:color="auto"/>
              <w:left w:val="single" w:sz="4" w:space="0" w:color="000000"/>
              <w:bottom w:val="single" w:sz="12" w:space="0" w:color="000000"/>
              <w:right w:val="single" w:sz="4" w:space="0" w:color="000000"/>
            </w:tcBorders>
          </w:tcPr>
          <w:p>
            <w:pPr>
              <w:pStyle w:val="TableParagraph"/>
              <w:spacing w:line="148" w:lineRule="exact"/>
              <w:ind w:right="100"/>
              <w:jc w:val="right"/>
              <w:rPr>
                <w:rFonts w:ascii="Times New Roman" w:hAnsi="Times New Roman" w:cs="Times New Roman" w:eastAsia="Times New Roman" w:hint="default"/>
                <w:sz w:val="15"/>
                <w:szCs w:val="15"/>
              </w:rPr>
            </w:pPr>
            <w:r>
              <w:rPr>
                <w:rFonts w:ascii="Times New Roman"/>
                <w:spacing w:val="-1"/>
                <w:sz w:val="15"/>
              </w:rPr>
              <w:t>13,500.00</w:t>
            </w:r>
          </w:p>
        </w:tc>
        <w:tc>
          <w:tcPr>
            <w:tcW w:w="1618" w:type="dxa"/>
            <w:tcBorders>
              <w:top w:val="nil" w:sz="6" w:space="0" w:color="auto"/>
              <w:left w:val="single" w:sz="4" w:space="0" w:color="000000"/>
              <w:bottom w:val="single" w:sz="12" w:space="0" w:color="000000"/>
              <w:right w:val="nil" w:sz="6" w:space="0" w:color="auto"/>
            </w:tcBorders>
          </w:tcPr>
          <w:p>
            <w:pPr>
              <w:pStyle w:val="TableParagraph"/>
              <w:spacing w:line="148" w:lineRule="exact"/>
              <w:ind w:left="365" w:right="0"/>
              <w:jc w:val="left"/>
              <w:rPr>
                <w:rFonts w:ascii="Times New Roman" w:hAnsi="Times New Roman" w:cs="Times New Roman" w:eastAsia="Times New Roman" w:hint="default"/>
                <w:sz w:val="15"/>
                <w:szCs w:val="15"/>
              </w:rPr>
            </w:pPr>
            <w:r>
              <w:rPr>
                <w:rFonts w:ascii="Times New Roman"/>
                <w:sz w:val="15"/>
              </w:rPr>
              <w:t>2016.9-2022.9</w:t>
            </w:r>
          </w:p>
        </w:tc>
      </w:tr>
    </w:tbl>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4"/>
          <w:szCs w:val="14"/>
        </w:rPr>
      </w:pPr>
    </w:p>
    <w:p>
      <w:pPr>
        <w:pStyle w:val="Heading3"/>
        <w:tabs>
          <w:tab w:pos="1619" w:val="left" w:leader="none"/>
        </w:tabs>
        <w:spacing w:line="331" w:lineRule="auto" w:before="36"/>
        <w:ind w:left="1619" w:right="130" w:hanging="591"/>
        <w:jc w:val="left"/>
        <w:rPr>
          <w:b w:val="0"/>
          <w:bCs w:val="0"/>
        </w:rPr>
      </w:pPr>
      <w:r>
        <w:rPr/>
        <w:pict>
          <v:group style="position:absolute;margin-left:120.260002pt;margin-top:-69.366348pt;width:280.25pt;height:5.05pt;mso-position-horizontal-relative:page;mso-position-vertical-relative:paragraph;z-index:-1316560" coordorigin="2405,-1387" coordsize="5605,101">
            <v:shape style="position:absolute;left:2405;top:-1387;width:3430;height:101" type="#_x0000_t75" stroked="false">
              <v:imagedata r:id="rId240" o:title=""/>
            </v:shape>
            <v:shape style="position:absolute;left:5811;top:-1296;width:1383;height:10" type="#_x0000_t75" stroked="false">
              <v:imagedata r:id="rId234" o:title=""/>
            </v:shape>
            <v:shape style="position:absolute;left:7189;top:-1296;width:821;height:10" type="#_x0000_t75" stroked="false">
              <v:imagedata r:id="rId241" o:title=""/>
            </v:shape>
            <w10:wrap type="none"/>
          </v:group>
        </w:pict>
      </w:r>
      <w:r>
        <w:rPr/>
        <w:pict>
          <v:shape style="position:absolute;margin-left:119.540001pt;margin-top:37.223667pt;width:403.9pt;height:83.55pt;mso-position-horizontal-relative:page;mso-position-vertical-relative:paragraph;z-index:40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820"/>
                    <w:gridCol w:w="1699"/>
                    <w:gridCol w:w="1049"/>
                    <w:gridCol w:w="1078"/>
                    <w:gridCol w:w="994"/>
                    <w:gridCol w:w="1438"/>
                  </w:tblGrid>
                  <w:tr>
                    <w:trPr>
                      <w:trHeight w:val="885" w:hRule="exact"/>
                    </w:trPr>
                    <w:tc>
                      <w:tcPr>
                        <w:tcW w:w="1820" w:type="dxa"/>
                        <w:tcBorders>
                          <w:top w:val="single" w:sz="12" w:space="0" w:color="000000"/>
                          <w:left w:val="nil" w:sz="6" w:space="0" w:color="auto"/>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5"/>
                          <w:ind w:right="0"/>
                          <w:jc w:val="left"/>
                          <w:rPr>
                            <w:rFonts w:ascii="宋体" w:hAnsi="宋体" w:cs="宋体" w:eastAsia="宋体" w:hint="default"/>
                            <w:b/>
                            <w:bCs/>
                            <w:sz w:val="12"/>
                            <w:szCs w:val="12"/>
                          </w:rPr>
                        </w:pPr>
                      </w:p>
                      <w:p>
                        <w:pPr>
                          <w:pStyle w:val="TableParagraph"/>
                          <w:spacing w:line="240" w:lineRule="auto"/>
                          <w:ind w:left="314" w:right="0"/>
                          <w:jc w:val="left"/>
                          <w:rPr>
                            <w:rFonts w:ascii="宋体" w:hAnsi="宋体" w:cs="宋体" w:eastAsia="宋体" w:hint="default"/>
                            <w:sz w:val="15"/>
                            <w:szCs w:val="15"/>
                          </w:rPr>
                        </w:pPr>
                        <w:r>
                          <w:rPr>
                            <w:rFonts w:ascii="宋体" w:hAnsi="宋体" w:cs="宋体" w:eastAsia="宋体" w:hint="default"/>
                            <w:sz w:val="15"/>
                            <w:szCs w:val="15"/>
                          </w:rPr>
                          <w:t>其他质押资产名称</w:t>
                        </w:r>
                      </w:p>
                    </w:tc>
                    <w:tc>
                      <w:tcPr>
                        <w:tcW w:w="1699" w:type="dxa"/>
                        <w:tcBorders>
                          <w:top w:val="single" w:sz="12"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5"/>
                          <w:ind w:right="0"/>
                          <w:jc w:val="left"/>
                          <w:rPr>
                            <w:rFonts w:ascii="宋体" w:hAnsi="宋体" w:cs="宋体" w:eastAsia="宋体" w:hint="default"/>
                            <w:b/>
                            <w:bCs/>
                            <w:sz w:val="12"/>
                            <w:szCs w:val="12"/>
                          </w:rPr>
                        </w:pPr>
                      </w:p>
                      <w:p>
                        <w:pPr>
                          <w:pStyle w:val="TableParagraph"/>
                          <w:spacing w:line="240" w:lineRule="auto"/>
                          <w:ind w:left="542" w:right="0"/>
                          <w:jc w:val="left"/>
                          <w:rPr>
                            <w:rFonts w:ascii="宋体" w:hAnsi="宋体" w:cs="宋体" w:eastAsia="宋体" w:hint="default"/>
                            <w:sz w:val="15"/>
                            <w:szCs w:val="15"/>
                          </w:rPr>
                        </w:pPr>
                        <w:r>
                          <w:rPr>
                            <w:rFonts w:ascii="宋体" w:hAnsi="宋体" w:cs="宋体" w:eastAsia="宋体" w:hint="default"/>
                            <w:sz w:val="15"/>
                            <w:szCs w:val="15"/>
                          </w:rPr>
                          <w:t>公司名称</w:t>
                        </w:r>
                      </w:p>
                    </w:tc>
                    <w:tc>
                      <w:tcPr>
                        <w:tcW w:w="1049" w:type="dxa"/>
                        <w:tcBorders>
                          <w:top w:val="single" w:sz="12"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1"/>
                            <w:szCs w:val="11"/>
                          </w:rPr>
                        </w:pPr>
                      </w:p>
                      <w:p>
                        <w:pPr>
                          <w:pStyle w:val="TableParagraph"/>
                          <w:spacing w:line="240" w:lineRule="auto"/>
                          <w:ind w:left="2" w:right="0"/>
                          <w:jc w:val="center"/>
                          <w:rPr>
                            <w:rFonts w:ascii="宋体" w:hAnsi="宋体" w:cs="宋体" w:eastAsia="宋体" w:hint="default"/>
                            <w:sz w:val="15"/>
                            <w:szCs w:val="15"/>
                          </w:rPr>
                        </w:pPr>
                        <w:r>
                          <w:rPr>
                            <w:rFonts w:ascii="宋体" w:hAnsi="宋体" w:cs="宋体" w:eastAsia="宋体" w:hint="default"/>
                            <w:w w:val="100"/>
                            <w:sz w:val="15"/>
                            <w:szCs w:val="15"/>
                          </w:rPr>
                          <w:t>评估</w:t>
                        </w:r>
                        <w:r>
                          <w:rPr>
                            <w:rFonts w:ascii="宋体" w:hAnsi="宋体" w:cs="宋体" w:eastAsia="宋体" w:hint="default"/>
                            <w:spacing w:val="-3"/>
                            <w:w w:val="100"/>
                            <w:sz w:val="15"/>
                            <w:szCs w:val="15"/>
                          </w:rPr>
                          <w:t>价</w:t>
                        </w:r>
                        <w:r>
                          <w:rPr>
                            <w:rFonts w:ascii="宋体" w:hAnsi="宋体" w:cs="宋体" w:eastAsia="宋体" w:hint="default"/>
                            <w:spacing w:val="-68"/>
                            <w:w w:val="100"/>
                            <w:sz w:val="15"/>
                            <w:szCs w:val="15"/>
                          </w:rPr>
                          <w:t>值</w:t>
                        </w:r>
                        <w:r>
                          <w:rPr>
                            <w:rFonts w:ascii="宋体" w:hAnsi="宋体" w:cs="宋体" w:eastAsia="宋体" w:hint="default"/>
                            <w:spacing w:val="-3"/>
                            <w:w w:val="100"/>
                            <w:sz w:val="15"/>
                            <w:szCs w:val="15"/>
                          </w:rPr>
                          <w:t>（</w:t>
                        </w:r>
                        <w:r>
                          <w:rPr>
                            <w:rFonts w:ascii="宋体" w:hAnsi="宋体" w:cs="宋体" w:eastAsia="宋体" w:hint="default"/>
                            <w:w w:val="100"/>
                            <w:sz w:val="15"/>
                            <w:szCs w:val="15"/>
                          </w:rPr>
                          <w:t>万</w:t>
                        </w: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left="1" w:right="0"/>
                          <w:jc w:val="center"/>
                          <w:rPr>
                            <w:rFonts w:ascii="宋体" w:hAnsi="宋体" w:cs="宋体" w:eastAsia="宋体" w:hint="default"/>
                            <w:sz w:val="15"/>
                            <w:szCs w:val="15"/>
                          </w:rPr>
                        </w:pPr>
                        <w:r>
                          <w:rPr>
                            <w:rFonts w:ascii="宋体" w:hAnsi="宋体" w:cs="宋体" w:eastAsia="宋体" w:hint="default"/>
                            <w:sz w:val="15"/>
                            <w:szCs w:val="15"/>
                          </w:rPr>
                          <w:t>元）</w:t>
                        </w:r>
                      </w:p>
                    </w:tc>
                    <w:tc>
                      <w:tcPr>
                        <w:tcW w:w="1078" w:type="dxa"/>
                        <w:tcBorders>
                          <w:top w:val="nil" w:sz="6" w:space="0" w:color="auto"/>
                          <w:left w:val="single" w:sz="4" w:space="0" w:color="000000"/>
                          <w:bottom w:val="nil" w:sz="6" w:space="0" w:color="auto"/>
                          <w:right w:val="single" w:sz="4" w:space="0" w:color="000000"/>
                        </w:tcBorders>
                      </w:tcPr>
                      <w:p>
                        <w:pPr>
                          <w:pStyle w:val="TableParagraph"/>
                          <w:spacing w:line="400" w:lineRule="exact" w:before="13"/>
                          <w:ind w:left="103" w:right="60" w:firstLine="55"/>
                          <w:jc w:val="left"/>
                          <w:rPr>
                            <w:rFonts w:ascii="宋体" w:hAnsi="宋体" w:cs="宋体" w:eastAsia="宋体" w:hint="default"/>
                            <w:sz w:val="15"/>
                            <w:szCs w:val="15"/>
                          </w:rPr>
                        </w:pPr>
                        <w:r>
                          <w:rPr>
                            <w:rFonts w:ascii="宋体" w:hAnsi="宋体" w:cs="宋体" w:eastAsia="宋体" w:hint="default"/>
                            <w:sz w:val="15"/>
                            <w:szCs w:val="15"/>
                          </w:rPr>
                          <w:t>最高额授信</w:t>
                        </w:r>
                        <w:r>
                          <w:rPr>
                            <w:rFonts w:ascii="宋体" w:hAnsi="宋体" w:cs="宋体" w:eastAsia="宋体" w:hint="default"/>
                            <w:w w:val="100"/>
                            <w:sz w:val="15"/>
                            <w:szCs w:val="15"/>
                          </w:rPr>
                          <w:t> </w:t>
                        </w:r>
                        <w:r>
                          <w:rPr>
                            <w:rFonts w:ascii="宋体" w:hAnsi="宋体" w:cs="宋体" w:eastAsia="宋体" w:hint="default"/>
                            <w:sz w:val="15"/>
                            <w:szCs w:val="15"/>
                          </w:rPr>
                          <w:t>金额（万元）</w:t>
                        </w:r>
                      </w:p>
                    </w:tc>
                    <w:tc>
                      <w:tcPr>
                        <w:tcW w:w="994" w:type="dxa"/>
                        <w:tcBorders>
                          <w:top w:val="single" w:sz="12"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1"/>
                            <w:szCs w:val="11"/>
                          </w:rPr>
                        </w:pPr>
                      </w:p>
                      <w:p>
                        <w:pPr>
                          <w:pStyle w:val="TableParagraph"/>
                          <w:spacing w:line="240" w:lineRule="auto"/>
                          <w:ind w:left="192" w:right="0"/>
                          <w:jc w:val="left"/>
                          <w:rPr>
                            <w:rFonts w:ascii="宋体" w:hAnsi="宋体" w:cs="宋体" w:eastAsia="宋体" w:hint="default"/>
                            <w:sz w:val="15"/>
                            <w:szCs w:val="15"/>
                          </w:rPr>
                        </w:pPr>
                        <w:r>
                          <w:rPr>
                            <w:rFonts w:ascii="宋体" w:hAnsi="宋体" w:cs="宋体" w:eastAsia="宋体" w:hint="default"/>
                            <w:sz w:val="15"/>
                            <w:szCs w:val="15"/>
                          </w:rPr>
                          <w:t>贷款余额</w:t>
                        </w: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left="192" w:right="0"/>
                          <w:jc w:val="left"/>
                          <w:rPr>
                            <w:rFonts w:ascii="宋体" w:hAnsi="宋体" w:cs="宋体" w:eastAsia="宋体" w:hint="default"/>
                            <w:sz w:val="15"/>
                            <w:szCs w:val="15"/>
                          </w:rPr>
                        </w:pPr>
                        <w:r>
                          <w:rPr>
                            <w:rFonts w:ascii="宋体" w:hAnsi="宋体" w:cs="宋体" w:eastAsia="宋体" w:hint="default"/>
                            <w:sz w:val="15"/>
                            <w:szCs w:val="15"/>
                          </w:rPr>
                          <w:t>（万元）</w:t>
                        </w:r>
                      </w:p>
                    </w:tc>
                    <w:tc>
                      <w:tcPr>
                        <w:tcW w:w="1438" w:type="dxa"/>
                        <w:tcBorders>
                          <w:top w:val="single" w:sz="12" w:space="0" w:color="000000"/>
                          <w:left w:val="single" w:sz="4" w:space="0" w:color="000000"/>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5"/>
                          <w:ind w:right="0"/>
                          <w:jc w:val="left"/>
                          <w:rPr>
                            <w:rFonts w:ascii="宋体" w:hAnsi="宋体" w:cs="宋体" w:eastAsia="宋体" w:hint="default"/>
                            <w:b/>
                            <w:bCs/>
                            <w:sz w:val="12"/>
                            <w:szCs w:val="12"/>
                          </w:rPr>
                        </w:pPr>
                      </w:p>
                      <w:p>
                        <w:pPr>
                          <w:pStyle w:val="TableParagraph"/>
                          <w:spacing w:line="240" w:lineRule="auto"/>
                          <w:ind w:right="7"/>
                          <w:jc w:val="center"/>
                          <w:rPr>
                            <w:rFonts w:ascii="宋体" w:hAnsi="宋体" w:cs="宋体" w:eastAsia="宋体" w:hint="default"/>
                            <w:sz w:val="15"/>
                            <w:szCs w:val="15"/>
                          </w:rPr>
                        </w:pPr>
                        <w:r>
                          <w:rPr>
                            <w:rFonts w:ascii="宋体" w:hAnsi="宋体" w:cs="宋体" w:eastAsia="宋体" w:hint="default"/>
                            <w:sz w:val="15"/>
                            <w:szCs w:val="15"/>
                          </w:rPr>
                          <w:t>最高额授信期限</w:t>
                        </w:r>
                      </w:p>
                    </w:tc>
                  </w:tr>
                  <w:tr>
                    <w:trPr>
                      <w:trHeight w:val="756" w:hRule="exact"/>
                    </w:trPr>
                    <w:tc>
                      <w:tcPr>
                        <w:tcW w:w="1820" w:type="dxa"/>
                        <w:tcBorders>
                          <w:top w:val="nil" w:sz="6" w:space="0" w:color="auto"/>
                          <w:left w:val="nil" w:sz="6" w:space="0" w:color="auto"/>
                          <w:bottom w:val="single" w:sz="12" w:space="0" w:color="000000"/>
                          <w:right w:val="single" w:sz="4" w:space="0" w:color="000000"/>
                        </w:tcBorders>
                      </w:tcPr>
                      <w:p>
                        <w:pPr>
                          <w:pStyle w:val="TableParagraph"/>
                          <w:spacing w:line="240" w:lineRule="auto" w:before="84"/>
                          <w:ind w:left="120" w:right="0"/>
                          <w:jc w:val="left"/>
                          <w:rPr>
                            <w:rFonts w:ascii="宋体" w:hAnsi="宋体" w:cs="宋体" w:eastAsia="宋体" w:hint="default"/>
                            <w:sz w:val="15"/>
                            <w:szCs w:val="15"/>
                          </w:rPr>
                        </w:pPr>
                        <w:r>
                          <w:rPr>
                            <w:rFonts w:ascii="宋体" w:hAnsi="宋体" w:cs="宋体" w:eastAsia="宋体" w:hint="default"/>
                            <w:sz w:val="15"/>
                            <w:szCs w:val="15"/>
                          </w:rPr>
                          <w:t>乾华</w:t>
                        </w:r>
                        <w:r>
                          <w:rPr>
                            <w:rFonts w:ascii="宋体" w:hAnsi="宋体" w:cs="宋体" w:eastAsia="宋体" w:hint="default"/>
                            <w:spacing w:val="-38"/>
                            <w:sz w:val="15"/>
                            <w:szCs w:val="15"/>
                          </w:rPr>
                          <w:t> </w:t>
                        </w:r>
                        <w:r>
                          <w:rPr>
                            <w:rFonts w:ascii="Times New Roman" w:hAnsi="Times New Roman" w:cs="Times New Roman" w:eastAsia="Times New Roman" w:hint="default"/>
                            <w:sz w:val="15"/>
                            <w:szCs w:val="15"/>
                          </w:rPr>
                          <w:t>135MW</w:t>
                        </w:r>
                        <w:r>
                          <w:rPr>
                            <w:rFonts w:ascii="宋体" w:hAnsi="宋体" w:cs="宋体" w:eastAsia="宋体" w:hint="default"/>
                            <w:sz w:val="15"/>
                            <w:szCs w:val="15"/>
                          </w:rPr>
                          <w:t>光伏发电项</w:t>
                        </w:r>
                      </w:p>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left="120" w:right="0"/>
                          <w:jc w:val="left"/>
                          <w:rPr>
                            <w:rFonts w:ascii="宋体" w:hAnsi="宋体" w:cs="宋体" w:eastAsia="宋体" w:hint="default"/>
                            <w:sz w:val="15"/>
                            <w:szCs w:val="15"/>
                          </w:rPr>
                        </w:pPr>
                        <w:r>
                          <w:rPr>
                            <w:rFonts w:ascii="宋体" w:hAnsi="宋体" w:cs="宋体" w:eastAsia="宋体" w:hint="default"/>
                            <w:sz w:val="15"/>
                            <w:szCs w:val="15"/>
                          </w:rPr>
                          <w:t>目电费收费权</w:t>
                        </w:r>
                      </w:p>
                    </w:tc>
                    <w:tc>
                      <w:tcPr>
                        <w:tcW w:w="1699"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84"/>
                          <w:ind w:left="100" w:right="0"/>
                          <w:jc w:val="left"/>
                          <w:rPr>
                            <w:rFonts w:ascii="宋体" w:hAnsi="宋体" w:cs="宋体" w:eastAsia="宋体" w:hint="default"/>
                            <w:sz w:val="15"/>
                            <w:szCs w:val="15"/>
                          </w:rPr>
                        </w:pPr>
                        <w:r>
                          <w:rPr>
                            <w:rFonts w:ascii="宋体" w:hAnsi="宋体" w:cs="宋体" w:eastAsia="宋体" w:hint="default"/>
                            <w:sz w:val="15"/>
                            <w:szCs w:val="15"/>
                          </w:rPr>
                          <w:t>内蒙古乾华农业发展</w:t>
                        </w:r>
                      </w:p>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left="100" w:right="0"/>
                          <w:jc w:val="left"/>
                          <w:rPr>
                            <w:rFonts w:ascii="宋体" w:hAnsi="宋体" w:cs="宋体" w:eastAsia="宋体" w:hint="default"/>
                            <w:sz w:val="15"/>
                            <w:szCs w:val="15"/>
                          </w:rPr>
                        </w:pPr>
                        <w:r>
                          <w:rPr>
                            <w:rFonts w:ascii="宋体" w:hAnsi="宋体" w:cs="宋体" w:eastAsia="宋体" w:hint="default"/>
                            <w:sz w:val="15"/>
                            <w:szCs w:val="15"/>
                          </w:rPr>
                          <w:t>有限公司</w:t>
                        </w:r>
                      </w:p>
                    </w:tc>
                    <w:tc>
                      <w:tcPr>
                        <w:tcW w:w="1049" w:type="dxa"/>
                        <w:tcBorders>
                          <w:top w:val="nil" w:sz="6" w:space="0" w:color="auto"/>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5"/>
                          <w:ind w:right="0"/>
                          <w:jc w:val="left"/>
                          <w:rPr>
                            <w:rFonts w:ascii="宋体" w:hAnsi="宋体" w:cs="宋体" w:eastAsia="宋体" w:hint="default"/>
                            <w:b/>
                            <w:bCs/>
                            <w:sz w:val="10"/>
                            <w:szCs w:val="10"/>
                          </w:rPr>
                        </w:pPr>
                      </w:p>
                      <w:p>
                        <w:pPr>
                          <w:pStyle w:val="TableParagraph"/>
                          <w:spacing w:line="240" w:lineRule="auto"/>
                          <w:ind w:left="261" w:right="0"/>
                          <w:jc w:val="left"/>
                          <w:rPr>
                            <w:rFonts w:ascii="Times New Roman" w:hAnsi="Times New Roman" w:cs="Times New Roman" w:eastAsia="Times New Roman" w:hint="default"/>
                            <w:sz w:val="15"/>
                            <w:szCs w:val="15"/>
                          </w:rPr>
                        </w:pPr>
                        <w:r>
                          <w:rPr>
                            <w:rFonts w:ascii="Times New Roman"/>
                            <w:sz w:val="15"/>
                          </w:rPr>
                          <w:t>337,702.50</w:t>
                        </w:r>
                      </w:p>
                    </w:tc>
                    <w:tc>
                      <w:tcPr>
                        <w:tcW w:w="1078" w:type="dxa"/>
                        <w:tcBorders>
                          <w:top w:val="nil" w:sz="6" w:space="0" w:color="auto"/>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5"/>
                          <w:ind w:right="0"/>
                          <w:jc w:val="left"/>
                          <w:rPr>
                            <w:rFonts w:ascii="宋体" w:hAnsi="宋体" w:cs="宋体" w:eastAsia="宋体" w:hint="default"/>
                            <w:b/>
                            <w:bCs/>
                            <w:sz w:val="10"/>
                            <w:szCs w:val="10"/>
                          </w:rPr>
                        </w:pPr>
                      </w:p>
                      <w:p>
                        <w:pPr>
                          <w:pStyle w:val="TableParagraph"/>
                          <w:spacing w:line="240" w:lineRule="auto"/>
                          <w:ind w:left="364" w:right="0"/>
                          <w:jc w:val="left"/>
                          <w:rPr>
                            <w:rFonts w:ascii="Times New Roman" w:hAnsi="Times New Roman" w:cs="Times New Roman" w:eastAsia="Times New Roman" w:hint="default"/>
                            <w:sz w:val="15"/>
                            <w:szCs w:val="15"/>
                          </w:rPr>
                        </w:pPr>
                        <w:r>
                          <w:rPr>
                            <w:rFonts w:ascii="Times New Roman"/>
                            <w:sz w:val="15"/>
                          </w:rPr>
                          <w:t>60,000.00</w:t>
                        </w:r>
                      </w:p>
                    </w:tc>
                    <w:tc>
                      <w:tcPr>
                        <w:tcW w:w="994" w:type="dxa"/>
                        <w:tcBorders>
                          <w:top w:val="nil" w:sz="6" w:space="0" w:color="auto"/>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5"/>
                          <w:ind w:right="0"/>
                          <w:jc w:val="left"/>
                          <w:rPr>
                            <w:rFonts w:ascii="宋体" w:hAnsi="宋体" w:cs="宋体" w:eastAsia="宋体" w:hint="default"/>
                            <w:b/>
                            <w:bCs/>
                            <w:sz w:val="10"/>
                            <w:szCs w:val="10"/>
                          </w:rPr>
                        </w:pPr>
                      </w:p>
                      <w:p>
                        <w:pPr>
                          <w:pStyle w:val="TableParagraph"/>
                          <w:spacing w:line="240" w:lineRule="auto"/>
                          <w:ind w:left="280" w:right="0"/>
                          <w:jc w:val="left"/>
                          <w:rPr>
                            <w:rFonts w:ascii="Times New Roman" w:hAnsi="Times New Roman" w:cs="Times New Roman" w:eastAsia="Times New Roman" w:hint="default"/>
                            <w:sz w:val="15"/>
                            <w:szCs w:val="15"/>
                          </w:rPr>
                        </w:pPr>
                        <w:r>
                          <w:rPr>
                            <w:rFonts w:ascii="Times New Roman"/>
                            <w:sz w:val="15"/>
                          </w:rPr>
                          <w:t>33,000.00</w:t>
                        </w:r>
                      </w:p>
                    </w:tc>
                    <w:tc>
                      <w:tcPr>
                        <w:tcW w:w="1438" w:type="dxa"/>
                        <w:tcBorders>
                          <w:top w:val="nil" w:sz="6" w:space="0" w:color="auto"/>
                          <w:left w:val="single" w:sz="4" w:space="0" w:color="000000"/>
                          <w:bottom w:val="single" w:sz="12" w:space="0" w:color="000000"/>
                          <w:right w:val="nil" w:sz="6" w:space="0" w:color="auto"/>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5"/>
                          <w:ind w:right="0"/>
                          <w:jc w:val="left"/>
                          <w:rPr>
                            <w:rFonts w:ascii="宋体" w:hAnsi="宋体" w:cs="宋体" w:eastAsia="宋体" w:hint="default"/>
                            <w:b/>
                            <w:bCs/>
                            <w:sz w:val="10"/>
                            <w:szCs w:val="10"/>
                          </w:rPr>
                        </w:pPr>
                      </w:p>
                      <w:p>
                        <w:pPr>
                          <w:pStyle w:val="TableParagraph"/>
                          <w:spacing w:line="240" w:lineRule="auto"/>
                          <w:ind w:right="6"/>
                          <w:jc w:val="center"/>
                          <w:rPr>
                            <w:rFonts w:ascii="Times New Roman" w:hAnsi="Times New Roman" w:cs="Times New Roman" w:eastAsia="Times New Roman" w:hint="default"/>
                            <w:sz w:val="15"/>
                            <w:szCs w:val="15"/>
                          </w:rPr>
                        </w:pPr>
                        <w:r>
                          <w:rPr>
                            <w:rFonts w:ascii="Times New Roman"/>
                            <w:sz w:val="15"/>
                          </w:rPr>
                          <w:t>2015.9-2023.9</w:t>
                        </w:r>
                      </w:p>
                    </w:tc>
                  </w:tr>
                </w:tbl>
                <w:p>
                  <w:pPr/>
                </w:p>
              </w:txbxContent>
            </v:textbox>
            <w10:wrap type="none"/>
          </v:shape>
        </w:pict>
      </w:r>
      <w:r>
        <w:rPr>
          <w:rFonts w:ascii="Times New Roman" w:hAnsi="Times New Roman" w:cs="Times New Roman" w:eastAsia="Times New Roman" w:hint="default"/>
          <w:spacing w:val="-2"/>
        </w:rPr>
        <w:t>ii.</w:t>
        <w:tab/>
      </w:r>
      <w:r>
        <w:rPr/>
        <w:t>截至</w:t>
      </w:r>
      <w:r>
        <w:rPr>
          <w:spacing w:val="-49"/>
        </w:rPr>
        <w:t> </w:t>
      </w:r>
      <w:r>
        <w:rPr>
          <w:rFonts w:ascii="Times New Roman" w:hAnsi="Times New Roman" w:cs="Times New Roman" w:eastAsia="Times New Roman" w:hint="default"/>
        </w:rPr>
        <w:t>2019</w:t>
      </w:r>
      <w:r>
        <w:rPr>
          <w:rFonts w:ascii="Times New Roman" w:hAnsi="Times New Roman" w:cs="Times New Roman" w:eastAsia="Times New Roman" w:hint="default"/>
          <w:spacing w:val="2"/>
        </w:rPr>
        <w:t> </w:t>
      </w:r>
      <w:r>
        <w:rPr/>
        <w:t>年</w:t>
      </w:r>
      <w:r>
        <w:rPr>
          <w:spacing w:val="-49"/>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49"/>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spacing w:val="-3"/>
        </w:rPr>
        <w:t>日，公司以下列其他资产质押给银行，为取得银行最高额授</w:t>
      </w:r>
      <w:r>
        <w:rPr>
          <w:w w:val="100"/>
        </w:rPr>
        <w:t> </w:t>
      </w:r>
      <w:r>
        <w:rPr/>
        <w:t>信作担保：</w:t>
      </w:r>
      <w:r>
        <w:rPr>
          <w:b w:val="0"/>
          <w:bCs w:val="0"/>
        </w:rPr>
      </w:r>
    </w:p>
    <w:p>
      <w:pPr>
        <w:tabs>
          <w:tab w:pos="4325" w:val="left" w:leader="none"/>
          <w:tab w:pos="5374" w:val="left" w:leader="none"/>
          <w:tab w:pos="6451" w:val="left" w:leader="none"/>
          <w:tab w:pos="7445" w:val="left" w:leader="none"/>
        </w:tabs>
        <w:spacing w:line="20" w:lineRule="exact"/>
        <w:ind w:left="2625" w:right="0" w:firstLine="0"/>
        <w:rPr>
          <w:rFonts w:ascii="宋体" w:hAnsi="宋体" w:cs="宋体" w:eastAsia="宋体" w:hint="default"/>
          <w:sz w:val="2"/>
          <w:szCs w:val="2"/>
        </w:rPr>
      </w:pPr>
      <w:r>
        <w:rPr>
          <w:rFonts w:ascii="宋体"/>
          <w:sz w:val="2"/>
        </w:rPr>
        <w:drawing>
          <wp:inline distT="0" distB="0" distL="0" distR="0">
            <wp:extent cx="6096" cy="1524"/>
            <wp:effectExtent l="0" t="0" r="0" b="0"/>
            <wp:docPr id="13" name="image147.png" descr=""/>
            <wp:cNvGraphicFramePr>
              <a:graphicFrameLocks noChangeAspect="1"/>
            </wp:cNvGraphicFramePr>
            <a:graphic>
              <a:graphicData uri="http://schemas.openxmlformats.org/drawingml/2006/picture">
                <pic:pic>
                  <pic:nvPicPr>
                    <pic:cNvPr id="14" name="image147.png"/>
                    <pic:cNvPicPr/>
                  </pic:nvPicPr>
                  <pic:blipFill>
                    <a:blip r:embed="rId242" cstate="print"/>
                    <a:stretch>
                      <a:fillRect/>
                    </a:stretch>
                  </pic:blipFill>
                  <pic:spPr>
                    <a:xfrm>
                      <a:off x="0" y="0"/>
                      <a:ext cx="6096" cy="1524"/>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6" cy="1524"/>
            <wp:effectExtent l="0" t="0" r="0" b="0"/>
            <wp:docPr id="15" name="image147.png" descr=""/>
            <wp:cNvGraphicFramePr>
              <a:graphicFrameLocks noChangeAspect="1"/>
            </wp:cNvGraphicFramePr>
            <a:graphic>
              <a:graphicData uri="http://schemas.openxmlformats.org/drawingml/2006/picture">
                <pic:pic>
                  <pic:nvPicPr>
                    <pic:cNvPr id="16" name="image147.png"/>
                    <pic:cNvPicPr/>
                  </pic:nvPicPr>
                  <pic:blipFill>
                    <a:blip r:embed="rId242" cstate="print"/>
                    <a:stretch>
                      <a:fillRect/>
                    </a:stretch>
                  </pic:blipFill>
                  <pic:spPr>
                    <a:xfrm>
                      <a:off x="0" y="0"/>
                      <a:ext cx="6096" cy="1524"/>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5" cy="1524"/>
            <wp:effectExtent l="0" t="0" r="0" b="0"/>
            <wp:docPr id="17" name="image147.png" descr=""/>
            <wp:cNvGraphicFramePr>
              <a:graphicFrameLocks noChangeAspect="1"/>
            </wp:cNvGraphicFramePr>
            <a:graphic>
              <a:graphicData uri="http://schemas.openxmlformats.org/drawingml/2006/picture">
                <pic:pic>
                  <pic:nvPicPr>
                    <pic:cNvPr id="18" name="image147.png"/>
                    <pic:cNvPicPr/>
                  </pic:nvPicPr>
                  <pic:blipFill>
                    <a:blip r:embed="rId242" cstate="print"/>
                    <a:stretch>
                      <a:fillRect/>
                    </a:stretch>
                  </pic:blipFill>
                  <pic:spPr>
                    <a:xfrm>
                      <a:off x="0" y="0"/>
                      <a:ext cx="6095" cy="1524"/>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5" cy="1524"/>
            <wp:effectExtent l="0" t="0" r="0" b="0"/>
            <wp:docPr id="19" name="image147.png" descr=""/>
            <wp:cNvGraphicFramePr>
              <a:graphicFrameLocks noChangeAspect="1"/>
            </wp:cNvGraphicFramePr>
            <a:graphic>
              <a:graphicData uri="http://schemas.openxmlformats.org/drawingml/2006/picture">
                <pic:pic>
                  <pic:nvPicPr>
                    <pic:cNvPr id="20" name="image147.png"/>
                    <pic:cNvPicPr/>
                  </pic:nvPicPr>
                  <pic:blipFill>
                    <a:blip r:embed="rId242" cstate="print"/>
                    <a:stretch>
                      <a:fillRect/>
                    </a:stretch>
                  </pic:blipFill>
                  <pic:spPr>
                    <a:xfrm>
                      <a:off x="0" y="0"/>
                      <a:ext cx="6095" cy="1524"/>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6" cy="1524"/>
            <wp:effectExtent l="0" t="0" r="0" b="0"/>
            <wp:docPr id="21" name="image147.png" descr=""/>
            <wp:cNvGraphicFramePr>
              <a:graphicFrameLocks noChangeAspect="1"/>
            </wp:cNvGraphicFramePr>
            <a:graphic>
              <a:graphicData uri="http://schemas.openxmlformats.org/drawingml/2006/picture">
                <pic:pic>
                  <pic:nvPicPr>
                    <pic:cNvPr id="22" name="image147.png"/>
                    <pic:cNvPicPr/>
                  </pic:nvPicPr>
                  <pic:blipFill>
                    <a:blip r:embed="rId242" cstate="print"/>
                    <a:stretch>
                      <a:fillRect/>
                    </a:stretch>
                  </pic:blipFill>
                  <pic:spPr>
                    <a:xfrm>
                      <a:off x="0" y="0"/>
                      <a:ext cx="6096" cy="1524"/>
                    </a:xfrm>
                    <a:prstGeom prst="rect">
                      <a:avLst/>
                    </a:prstGeom>
                  </pic:spPr>
                </pic:pic>
              </a:graphicData>
            </a:graphic>
          </wp:inline>
        </w:drawing>
      </w:r>
      <w:r>
        <w:rPr>
          <w:rFonts w:ascii="宋体"/>
          <w:sz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9"/>
          <w:szCs w:val="19"/>
        </w:rPr>
      </w:pPr>
    </w:p>
    <w:p>
      <w:pPr>
        <w:spacing w:line="20" w:lineRule="exact"/>
        <w:ind w:left="825" w:right="0" w:firstLine="0"/>
        <w:rPr>
          <w:rFonts w:ascii="宋体" w:hAnsi="宋体" w:cs="宋体" w:eastAsia="宋体" w:hint="default"/>
          <w:sz w:val="2"/>
          <w:szCs w:val="2"/>
        </w:rPr>
      </w:pPr>
      <w:r>
        <w:rPr>
          <w:rFonts w:ascii="宋体" w:hAnsi="宋体" w:cs="宋体" w:eastAsia="宋体" w:hint="default"/>
          <w:sz w:val="2"/>
          <w:szCs w:val="2"/>
        </w:rPr>
        <w:pict>
          <v:group style="width:403.2pt;height:.5pt;mso-position-horizontal-relative:char;mso-position-vertical-relative:line" coordorigin="0,0" coordsize="8064,10">
            <v:shape style="position:absolute;left:0;top:0;width:1801;height:10" type="#_x0000_t75" stroked="false">
              <v:imagedata r:id="rId243" o:title=""/>
            </v:shape>
            <v:shape style="position:absolute;left:1796;top:0;width:2753;height:10" type="#_x0000_t75" stroked="false">
              <v:imagedata r:id="rId244" o:title=""/>
            </v:shape>
            <v:shape style="position:absolute;left:4544;top:0;width:1082;height:10" type="#_x0000_t75" stroked="false">
              <v:imagedata r:id="rId245" o:title=""/>
            </v:shape>
            <v:shape style="position:absolute;left:5622;top:0;width:2441;height:10" type="#_x0000_t75" stroked="false">
              <v:imagedata r:id="rId246" o:title=""/>
            </v:shape>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pgSz w:w="11910" w:h="16840"/>
          <w:pgMar w:header="748" w:footer="974" w:top="1140" w:bottom="1160" w:left="1580" w:right="1140"/>
        </w:sectPr>
      </w:pP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10"/>
          <w:szCs w:val="10"/>
        </w:rPr>
      </w:pPr>
    </w:p>
    <w:tbl>
      <w:tblPr>
        <w:tblW w:w="0" w:type="auto"/>
        <w:jc w:val="left"/>
        <w:tblInd w:w="4635" w:type="dxa"/>
        <w:tblLayout w:type="fixed"/>
        <w:tblCellMar>
          <w:top w:w="0" w:type="dxa"/>
          <w:left w:w="0" w:type="dxa"/>
          <w:bottom w:w="0" w:type="dxa"/>
          <w:right w:w="0" w:type="dxa"/>
        </w:tblCellMar>
        <w:tblLook w:val="01E0"/>
      </w:tblPr>
      <w:tblGrid>
        <w:gridCol w:w="743"/>
        <w:gridCol w:w="1078"/>
        <w:gridCol w:w="994"/>
        <w:gridCol w:w="1265"/>
      </w:tblGrid>
      <w:tr>
        <w:trPr>
          <w:trHeight w:val="1806" w:hRule="exact"/>
        </w:trPr>
        <w:tc>
          <w:tcPr>
            <w:tcW w:w="743" w:type="dxa"/>
            <w:tcBorders>
              <w:top w:val="nil" w:sz="6" w:space="0" w:color="auto"/>
              <w:left w:val="nil" w:sz="6" w:space="0" w:color="auto"/>
              <w:bottom w:val="nil" w:sz="6" w:space="0" w:color="auto"/>
              <w:right w:val="single" w:sz="4" w:space="0" w:color="000000"/>
            </w:tcBorders>
          </w:tcPr>
          <w:p>
            <w:pPr>
              <w:pStyle w:val="TableParagraph"/>
              <w:spacing w:line="240" w:lineRule="auto" w:before="4"/>
              <w:ind w:right="0"/>
              <w:jc w:val="left"/>
              <w:rPr>
                <w:rFonts w:ascii="宋体" w:hAnsi="宋体" w:cs="宋体" w:eastAsia="宋体" w:hint="default"/>
                <w:b/>
                <w:bCs/>
                <w:sz w:val="12"/>
                <w:szCs w:val="12"/>
              </w:rPr>
            </w:pPr>
          </w:p>
          <w:p>
            <w:pPr>
              <w:pStyle w:val="TableParagraph"/>
              <w:spacing w:line="489" w:lineRule="auto"/>
              <w:ind w:left="68" w:right="99" w:hanging="116"/>
              <w:jc w:val="left"/>
              <w:rPr>
                <w:rFonts w:ascii="宋体" w:hAnsi="宋体" w:cs="宋体" w:eastAsia="宋体" w:hint="default"/>
                <w:sz w:val="15"/>
                <w:szCs w:val="15"/>
              </w:rPr>
            </w:pPr>
            <w:r>
              <w:rPr>
                <w:rFonts w:ascii="宋体" w:hAnsi="宋体" w:cs="宋体" w:eastAsia="宋体" w:hint="default"/>
                <w:spacing w:val="-15"/>
                <w:w w:val="100"/>
                <w:sz w:val="15"/>
                <w:szCs w:val="15"/>
              </w:rPr>
              <w:t>估价值（万</w:t>
            </w:r>
            <w:r>
              <w:rPr>
                <w:rFonts w:ascii="宋体" w:hAnsi="宋体" w:cs="宋体" w:eastAsia="宋体" w:hint="default"/>
                <w:w w:val="100"/>
                <w:sz w:val="15"/>
                <w:szCs w:val="15"/>
              </w:rPr>
              <w:t> </w:t>
            </w:r>
            <w:r>
              <w:rPr>
                <w:rFonts w:ascii="宋体" w:hAnsi="宋体" w:cs="宋体" w:eastAsia="宋体" w:hint="default"/>
                <w:sz w:val="15"/>
                <w:szCs w:val="15"/>
              </w:rPr>
              <w:t>元）</w:t>
            </w: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09"/>
              <w:ind w:left="109" w:right="0"/>
              <w:jc w:val="left"/>
              <w:rPr>
                <w:rFonts w:ascii="Times New Roman" w:hAnsi="Times New Roman" w:cs="Times New Roman" w:eastAsia="Times New Roman" w:hint="default"/>
                <w:sz w:val="15"/>
                <w:szCs w:val="15"/>
              </w:rPr>
            </w:pPr>
            <w:r>
              <w:rPr>
                <w:rFonts w:ascii="Times New Roman"/>
                <w:sz w:val="15"/>
              </w:rPr>
              <w:t>3,500.00</w:t>
            </w:r>
          </w:p>
        </w:tc>
        <w:tc>
          <w:tcPr>
            <w:tcW w:w="1078"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宋体" w:hAnsi="宋体" w:cs="宋体" w:eastAsia="宋体" w:hint="default"/>
                <w:b/>
                <w:bCs/>
                <w:sz w:val="12"/>
                <w:szCs w:val="12"/>
              </w:rPr>
            </w:pPr>
          </w:p>
          <w:p>
            <w:pPr>
              <w:pStyle w:val="TableParagraph"/>
              <w:spacing w:line="489" w:lineRule="auto"/>
              <w:ind w:left="103" w:right="60" w:firstLine="55"/>
              <w:jc w:val="left"/>
              <w:rPr>
                <w:rFonts w:ascii="宋体" w:hAnsi="宋体" w:cs="宋体" w:eastAsia="宋体" w:hint="default"/>
                <w:sz w:val="15"/>
                <w:szCs w:val="15"/>
              </w:rPr>
            </w:pPr>
            <w:r>
              <w:rPr>
                <w:rFonts w:ascii="宋体" w:hAnsi="宋体" w:cs="宋体" w:eastAsia="宋体" w:hint="default"/>
                <w:sz w:val="15"/>
                <w:szCs w:val="15"/>
              </w:rPr>
              <w:t>最高额授信</w:t>
            </w:r>
            <w:r>
              <w:rPr>
                <w:rFonts w:ascii="宋体" w:hAnsi="宋体" w:cs="宋体" w:eastAsia="宋体" w:hint="default"/>
                <w:w w:val="100"/>
                <w:sz w:val="15"/>
                <w:szCs w:val="15"/>
              </w:rPr>
              <w:t> </w:t>
            </w:r>
            <w:r>
              <w:rPr>
                <w:rFonts w:ascii="宋体" w:hAnsi="宋体" w:cs="宋体" w:eastAsia="宋体" w:hint="default"/>
                <w:sz w:val="15"/>
                <w:szCs w:val="15"/>
              </w:rPr>
              <w:t>金额（万元）</w:t>
            </w: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09"/>
              <w:ind w:left="439" w:right="0"/>
              <w:jc w:val="left"/>
              <w:rPr>
                <w:rFonts w:ascii="Times New Roman" w:hAnsi="Times New Roman" w:cs="Times New Roman" w:eastAsia="Times New Roman" w:hint="default"/>
                <w:sz w:val="15"/>
                <w:szCs w:val="15"/>
              </w:rPr>
            </w:pPr>
            <w:r>
              <w:rPr>
                <w:rFonts w:ascii="Times New Roman"/>
                <w:sz w:val="15"/>
              </w:rPr>
              <w:t>3,500.00</w:t>
            </w:r>
          </w:p>
        </w:tc>
        <w:tc>
          <w:tcPr>
            <w:tcW w:w="994"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宋体" w:hAnsi="宋体" w:cs="宋体" w:eastAsia="宋体" w:hint="default"/>
                <w:b/>
                <w:bCs/>
                <w:sz w:val="12"/>
                <w:szCs w:val="12"/>
              </w:rPr>
            </w:pPr>
          </w:p>
          <w:p>
            <w:pPr>
              <w:pStyle w:val="TableParagraph"/>
              <w:spacing w:line="240" w:lineRule="auto"/>
              <w:ind w:left="192" w:right="0"/>
              <w:jc w:val="left"/>
              <w:rPr>
                <w:rFonts w:ascii="宋体" w:hAnsi="宋体" w:cs="宋体" w:eastAsia="宋体" w:hint="default"/>
                <w:sz w:val="15"/>
                <w:szCs w:val="15"/>
              </w:rPr>
            </w:pPr>
            <w:r>
              <w:rPr>
                <w:rFonts w:ascii="宋体" w:hAnsi="宋体" w:cs="宋体" w:eastAsia="宋体" w:hint="default"/>
                <w:sz w:val="15"/>
                <w:szCs w:val="15"/>
              </w:rPr>
              <w:t>贷款余额</w:t>
            </w: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left="192" w:right="0"/>
              <w:jc w:val="left"/>
              <w:rPr>
                <w:rFonts w:ascii="宋体" w:hAnsi="宋体" w:cs="宋体" w:eastAsia="宋体" w:hint="default"/>
                <w:sz w:val="15"/>
                <w:szCs w:val="15"/>
              </w:rPr>
            </w:pPr>
            <w:r>
              <w:rPr>
                <w:rFonts w:ascii="宋体" w:hAnsi="宋体" w:cs="宋体" w:eastAsia="宋体" w:hint="default"/>
                <w:sz w:val="15"/>
                <w:szCs w:val="15"/>
              </w:rPr>
              <w:t>（万元）</w:t>
            </w:r>
          </w:p>
        </w:tc>
        <w:tc>
          <w:tcPr>
            <w:tcW w:w="1265" w:type="dxa"/>
            <w:tcBorders>
              <w:top w:val="nil" w:sz="6" w:space="0" w:color="auto"/>
              <w:left w:val="single" w:sz="4" w:space="0" w:color="000000"/>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left="274" w:right="0" w:hanging="89"/>
              <w:jc w:val="left"/>
              <w:rPr>
                <w:rFonts w:ascii="宋体" w:hAnsi="宋体" w:cs="宋体" w:eastAsia="宋体" w:hint="default"/>
                <w:sz w:val="15"/>
                <w:szCs w:val="15"/>
              </w:rPr>
            </w:pPr>
            <w:r>
              <w:rPr>
                <w:rFonts w:ascii="宋体" w:hAnsi="宋体" w:cs="宋体" w:eastAsia="宋体" w:hint="default"/>
                <w:sz w:val="15"/>
                <w:szCs w:val="15"/>
              </w:rPr>
              <w:t>最高额授信期限</w:t>
            </w: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00"/>
              <w:ind w:left="274" w:right="0"/>
              <w:jc w:val="left"/>
              <w:rPr>
                <w:rFonts w:ascii="Times New Roman" w:hAnsi="Times New Roman" w:cs="Times New Roman" w:eastAsia="Times New Roman" w:hint="default"/>
                <w:sz w:val="15"/>
                <w:szCs w:val="15"/>
              </w:rPr>
            </w:pPr>
            <w:r>
              <w:rPr>
                <w:rFonts w:ascii="Times New Roman"/>
                <w:sz w:val="15"/>
              </w:rPr>
              <w:t>2017.1-2020.1</w:t>
            </w:r>
          </w:p>
        </w:tc>
      </w:tr>
      <w:tr>
        <w:trPr>
          <w:trHeight w:val="1110" w:hRule="exact"/>
        </w:trPr>
        <w:tc>
          <w:tcPr>
            <w:tcW w:w="743" w:type="dxa"/>
            <w:tcBorders>
              <w:top w:val="nil" w:sz="6" w:space="0" w:color="auto"/>
              <w:left w:val="nil" w:sz="6" w:space="0" w:color="auto"/>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6"/>
              <w:ind w:right="0"/>
              <w:jc w:val="left"/>
              <w:rPr>
                <w:rFonts w:ascii="宋体" w:hAnsi="宋体" w:cs="宋体" w:eastAsia="宋体" w:hint="default"/>
                <w:b/>
                <w:bCs/>
                <w:sz w:val="17"/>
                <w:szCs w:val="17"/>
              </w:rPr>
            </w:pPr>
          </w:p>
          <w:p>
            <w:pPr>
              <w:pStyle w:val="TableParagraph"/>
              <w:spacing w:line="240" w:lineRule="auto"/>
              <w:ind w:left="35" w:right="0"/>
              <w:jc w:val="left"/>
              <w:rPr>
                <w:rFonts w:ascii="Times New Roman" w:hAnsi="Times New Roman" w:cs="Times New Roman" w:eastAsia="Times New Roman" w:hint="default"/>
                <w:sz w:val="15"/>
                <w:szCs w:val="15"/>
              </w:rPr>
            </w:pPr>
            <w:r>
              <w:rPr>
                <w:rFonts w:ascii="Times New Roman"/>
                <w:sz w:val="15"/>
              </w:rPr>
              <w:t>19,559.00</w:t>
            </w:r>
          </w:p>
        </w:tc>
        <w:tc>
          <w:tcPr>
            <w:tcW w:w="107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6"/>
              <w:ind w:right="0"/>
              <w:jc w:val="left"/>
              <w:rPr>
                <w:rFonts w:ascii="宋体" w:hAnsi="宋体" w:cs="宋体" w:eastAsia="宋体" w:hint="default"/>
                <w:b/>
                <w:bCs/>
                <w:sz w:val="17"/>
                <w:szCs w:val="17"/>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11,000.00</w:t>
            </w:r>
          </w:p>
        </w:tc>
        <w:tc>
          <w:tcPr>
            <w:tcW w:w="99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6"/>
              <w:ind w:right="0"/>
              <w:jc w:val="left"/>
              <w:rPr>
                <w:rFonts w:ascii="宋体" w:hAnsi="宋体" w:cs="宋体" w:eastAsia="宋体" w:hint="default"/>
                <w:b/>
                <w:bCs/>
                <w:sz w:val="17"/>
                <w:szCs w:val="17"/>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8,975.00</w:t>
            </w:r>
          </w:p>
        </w:tc>
        <w:tc>
          <w:tcPr>
            <w:tcW w:w="1265" w:type="dxa"/>
            <w:tcBorders>
              <w:top w:val="nil" w:sz="6" w:space="0" w:color="auto"/>
              <w:left w:val="single" w:sz="4" w:space="0" w:color="000000"/>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6"/>
              <w:ind w:right="0"/>
              <w:jc w:val="left"/>
              <w:rPr>
                <w:rFonts w:ascii="宋体" w:hAnsi="宋体" w:cs="宋体" w:eastAsia="宋体" w:hint="default"/>
                <w:b/>
                <w:bCs/>
                <w:sz w:val="17"/>
                <w:szCs w:val="17"/>
              </w:rPr>
            </w:pPr>
          </w:p>
          <w:p>
            <w:pPr>
              <w:pStyle w:val="TableParagraph"/>
              <w:spacing w:line="240" w:lineRule="auto"/>
              <w:ind w:left="162" w:right="0"/>
              <w:jc w:val="center"/>
              <w:rPr>
                <w:rFonts w:ascii="Times New Roman" w:hAnsi="Times New Roman" w:cs="Times New Roman" w:eastAsia="Times New Roman" w:hint="default"/>
                <w:sz w:val="15"/>
                <w:szCs w:val="15"/>
              </w:rPr>
            </w:pPr>
            <w:r>
              <w:rPr>
                <w:rFonts w:ascii="Times New Roman"/>
                <w:sz w:val="15"/>
              </w:rPr>
              <w:t>2016.12-2027.1</w:t>
            </w:r>
          </w:p>
        </w:tc>
      </w:tr>
      <w:tr>
        <w:trPr>
          <w:trHeight w:val="1310" w:hRule="exact"/>
        </w:trPr>
        <w:tc>
          <w:tcPr>
            <w:tcW w:w="743" w:type="dxa"/>
            <w:tcBorders>
              <w:top w:val="nil" w:sz="6" w:space="0" w:color="auto"/>
              <w:left w:val="nil" w:sz="6" w:space="0" w:color="auto"/>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0"/>
              <w:ind w:right="0"/>
              <w:jc w:val="left"/>
              <w:rPr>
                <w:rFonts w:ascii="宋体" w:hAnsi="宋体" w:cs="宋体" w:eastAsia="宋体" w:hint="default"/>
                <w:b/>
                <w:bCs/>
                <w:sz w:val="11"/>
                <w:szCs w:val="11"/>
              </w:rPr>
            </w:pPr>
          </w:p>
          <w:p>
            <w:pPr>
              <w:pStyle w:val="TableParagraph"/>
              <w:spacing w:line="240" w:lineRule="auto"/>
              <w:ind w:left="35" w:right="0"/>
              <w:jc w:val="left"/>
              <w:rPr>
                <w:rFonts w:ascii="Times New Roman" w:hAnsi="Times New Roman" w:cs="Times New Roman" w:eastAsia="Times New Roman" w:hint="default"/>
                <w:sz w:val="15"/>
                <w:szCs w:val="15"/>
              </w:rPr>
            </w:pPr>
            <w:r>
              <w:rPr>
                <w:rFonts w:ascii="Times New Roman"/>
                <w:sz w:val="15"/>
              </w:rPr>
              <w:t>20,225.00</w:t>
            </w:r>
          </w:p>
        </w:tc>
        <w:tc>
          <w:tcPr>
            <w:tcW w:w="107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0"/>
              <w:ind w:right="0"/>
              <w:jc w:val="left"/>
              <w:rPr>
                <w:rFonts w:ascii="宋体" w:hAnsi="宋体" w:cs="宋体" w:eastAsia="宋体" w:hint="default"/>
                <w:b/>
                <w:bCs/>
                <w:sz w:val="11"/>
                <w:szCs w:val="11"/>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11,000.00</w:t>
            </w:r>
          </w:p>
        </w:tc>
        <w:tc>
          <w:tcPr>
            <w:tcW w:w="99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0"/>
              <w:ind w:right="0"/>
              <w:jc w:val="left"/>
              <w:rPr>
                <w:rFonts w:ascii="宋体" w:hAnsi="宋体" w:cs="宋体" w:eastAsia="宋体" w:hint="default"/>
                <w:b/>
                <w:bCs/>
                <w:sz w:val="11"/>
                <w:szCs w:val="11"/>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8,625.00</w:t>
            </w:r>
          </w:p>
        </w:tc>
        <w:tc>
          <w:tcPr>
            <w:tcW w:w="1265" w:type="dxa"/>
            <w:tcBorders>
              <w:top w:val="nil" w:sz="6" w:space="0" w:color="auto"/>
              <w:left w:val="single" w:sz="4" w:space="0" w:color="000000"/>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0"/>
              <w:ind w:right="0"/>
              <w:jc w:val="left"/>
              <w:rPr>
                <w:rFonts w:ascii="宋体" w:hAnsi="宋体" w:cs="宋体" w:eastAsia="宋体" w:hint="default"/>
                <w:b/>
                <w:bCs/>
                <w:sz w:val="11"/>
                <w:szCs w:val="11"/>
              </w:rPr>
            </w:pPr>
          </w:p>
          <w:p>
            <w:pPr>
              <w:pStyle w:val="TableParagraph"/>
              <w:spacing w:line="240" w:lineRule="auto"/>
              <w:ind w:left="162" w:right="0"/>
              <w:jc w:val="center"/>
              <w:rPr>
                <w:rFonts w:ascii="Times New Roman" w:hAnsi="Times New Roman" w:cs="Times New Roman" w:eastAsia="Times New Roman" w:hint="default"/>
                <w:sz w:val="15"/>
                <w:szCs w:val="15"/>
              </w:rPr>
            </w:pPr>
            <w:r>
              <w:rPr>
                <w:rFonts w:ascii="Times New Roman"/>
                <w:sz w:val="15"/>
              </w:rPr>
              <w:t>2016.12-2027.1</w:t>
            </w:r>
          </w:p>
        </w:tc>
      </w:tr>
      <w:tr>
        <w:trPr>
          <w:trHeight w:val="1510" w:hRule="exact"/>
        </w:trPr>
        <w:tc>
          <w:tcPr>
            <w:tcW w:w="743" w:type="dxa"/>
            <w:tcBorders>
              <w:top w:val="nil" w:sz="6" w:space="0" w:color="auto"/>
              <w:left w:val="nil" w:sz="6" w:space="0" w:color="auto"/>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left="35" w:right="0"/>
              <w:jc w:val="left"/>
              <w:rPr>
                <w:rFonts w:ascii="Times New Roman" w:hAnsi="Times New Roman" w:cs="Times New Roman" w:eastAsia="Times New Roman" w:hint="default"/>
                <w:sz w:val="15"/>
                <w:szCs w:val="15"/>
              </w:rPr>
            </w:pPr>
            <w:r>
              <w:rPr>
                <w:rFonts w:ascii="Times New Roman"/>
                <w:sz w:val="15"/>
              </w:rPr>
              <w:t>19,892.00</w:t>
            </w:r>
          </w:p>
        </w:tc>
        <w:tc>
          <w:tcPr>
            <w:tcW w:w="107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8,900.00</w:t>
            </w:r>
          </w:p>
        </w:tc>
        <w:tc>
          <w:tcPr>
            <w:tcW w:w="99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7,750.00</w:t>
            </w:r>
          </w:p>
        </w:tc>
        <w:tc>
          <w:tcPr>
            <w:tcW w:w="1265" w:type="dxa"/>
            <w:tcBorders>
              <w:top w:val="nil" w:sz="6" w:space="0" w:color="auto"/>
              <w:left w:val="single" w:sz="4" w:space="0" w:color="000000"/>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left="164" w:right="0"/>
              <w:jc w:val="center"/>
              <w:rPr>
                <w:rFonts w:ascii="Times New Roman" w:hAnsi="Times New Roman" w:cs="Times New Roman" w:eastAsia="Times New Roman" w:hint="default"/>
                <w:sz w:val="15"/>
                <w:szCs w:val="15"/>
              </w:rPr>
            </w:pPr>
            <w:r>
              <w:rPr>
                <w:rFonts w:ascii="Times New Roman"/>
                <w:sz w:val="15"/>
              </w:rPr>
              <w:t>2016.12-2026.11</w:t>
            </w:r>
          </w:p>
        </w:tc>
      </w:tr>
      <w:tr>
        <w:trPr>
          <w:trHeight w:val="1511" w:hRule="exact"/>
        </w:trPr>
        <w:tc>
          <w:tcPr>
            <w:tcW w:w="743" w:type="dxa"/>
            <w:tcBorders>
              <w:top w:val="nil" w:sz="6" w:space="0" w:color="auto"/>
              <w:left w:val="nil" w:sz="6" w:space="0" w:color="auto"/>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5"/>
              <w:ind w:right="0"/>
              <w:jc w:val="left"/>
              <w:rPr>
                <w:rFonts w:ascii="宋体" w:hAnsi="宋体" w:cs="宋体" w:eastAsia="宋体" w:hint="default"/>
                <w:b/>
                <w:bCs/>
                <w:sz w:val="12"/>
                <w:szCs w:val="12"/>
              </w:rPr>
            </w:pPr>
          </w:p>
          <w:p>
            <w:pPr>
              <w:pStyle w:val="TableParagraph"/>
              <w:spacing w:line="240" w:lineRule="auto"/>
              <w:ind w:left="35" w:right="0"/>
              <w:jc w:val="left"/>
              <w:rPr>
                <w:rFonts w:ascii="Times New Roman" w:hAnsi="Times New Roman" w:cs="Times New Roman" w:eastAsia="Times New Roman" w:hint="default"/>
                <w:sz w:val="15"/>
                <w:szCs w:val="15"/>
              </w:rPr>
            </w:pPr>
            <w:r>
              <w:rPr>
                <w:rFonts w:ascii="Times New Roman"/>
                <w:sz w:val="15"/>
              </w:rPr>
              <w:t>23,078.00</w:t>
            </w:r>
          </w:p>
        </w:tc>
        <w:tc>
          <w:tcPr>
            <w:tcW w:w="107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5"/>
              <w:ind w:right="0"/>
              <w:jc w:val="left"/>
              <w:rPr>
                <w:rFonts w:ascii="宋体" w:hAnsi="宋体" w:cs="宋体" w:eastAsia="宋体" w:hint="default"/>
                <w:b/>
                <w:bCs/>
                <w:sz w:val="12"/>
                <w:szCs w:val="12"/>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19,900.00</w:t>
            </w:r>
          </w:p>
        </w:tc>
        <w:tc>
          <w:tcPr>
            <w:tcW w:w="99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5"/>
              <w:ind w:right="0"/>
              <w:jc w:val="left"/>
              <w:rPr>
                <w:rFonts w:ascii="宋体" w:hAnsi="宋体" w:cs="宋体" w:eastAsia="宋体" w:hint="default"/>
                <w:b/>
                <w:bCs/>
                <w:sz w:val="12"/>
                <w:szCs w:val="12"/>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17,650.00</w:t>
            </w:r>
          </w:p>
        </w:tc>
        <w:tc>
          <w:tcPr>
            <w:tcW w:w="1265" w:type="dxa"/>
            <w:tcBorders>
              <w:top w:val="nil" w:sz="6" w:space="0" w:color="auto"/>
              <w:left w:val="single" w:sz="4" w:space="0" w:color="000000"/>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5"/>
              <w:ind w:right="0"/>
              <w:jc w:val="left"/>
              <w:rPr>
                <w:rFonts w:ascii="宋体" w:hAnsi="宋体" w:cs="宋体" w:eastAsia="宋体" w:hint="default"/>
                <w:b/>
                <w:bCs/>
                <w:sz w:val="12"/>
                <w:szCs w:val="12"/>
              </w:rPr>
            </w:pPr>
          </w:p>
          <w:p>
            <w:pPr>
              <w:pStyle w:val="TableParagraph"/>
              <w:spacing w:line="240" w:lineRule="auto"/>
              <w:ind w:left="164" w:right="0"/>
              <w:jc w:val="center"/>
              <w:rPr>
                <w:rFonts w:ascii="Times New Roman" w:hAnsi="Times New Roman" w:cs="Times New Roman" w:eastAsia="Times New Roman" w:hint="default"/>
                <w:sz w:val="15"/>
                <w:szCs w:val="15"/>
              </w:rPr>
            </w:pPr>
            <w:r>
              <w:rPr>
                <w:rFonts w:ascii="Times New Roman"/>
                <w:sz w:val="15"/>
              </w:rPr>
              <w:t>2016.12-2026.11</w:t>
            </w:r>
          </w:p>
        </w:tc>
      </w:tr>
      <w:tr>
        <w:trPr>
          <w:trHeight w:val="1311" w:hRule="exact"/>
        </w:trPr>
        <w:tc>
          <w:tcPr>
            <w:tcW w:w="743" w:type="dxa"/>
            <w:tcBorders>
              <w:top w:val="nil" w:sz="6" w:space="0" w:color="auto"/>
              <w:left w:val="nil" w:sz="6" w:space="0" w:color="auto"/>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0"/>
              <w:ind w:right="0"/>
              <w:jc w:val="left"/>
              <w:rPr>
                <w:rFonts w:ascii="宋体" w:hAnsi="宋体" w:cs="宋体" w:eastAsia="宋体" w:hint="default"/>
                <w:b/>
                <w:bCs/>
                <w:sz w:val="18"/>
                <w:szCs w:val="18"/>
              </w:rPr>
            </w:pPr>
          </w:p>
          <w:p>
            <w:pPr>
              <w:pStyle w:val="TableParagraph"/>
              <w:spacing w:line="240" w:lineRule="auto"/>
              <w:ind w:left="35" w:right="0"/>
              <w:jc w:val="left"/>
              <w:rPr>
                <w:rFonts w:ascii="Times New Roman" w:hAnsi="Times New Roman" w:cs="Times New Roman" w:eastAsia="Times New Roman" w:hint="default"/>
                <w:sz w:val="15"/>
                <w:szCs w:val="15"/>
              </w:rPr>
            </w:pPr>
            <w:r>
              <w:rPr>
                <w:rFonts w:ascii="Times New Roman"/>
                <w:sz w:val="15"/>
              </w:rPr>
              <w:t>20,225.00</w:t>
            </w:r>
          </w:p>
        </w:tc>
        <w:tc>
          <w:tcPr>
            <w:tcW w:w="107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0"/>
              <w:ind w:right="0"/>
              <w:jc w:val="left"/>
              <w:rPr>
                <w:rFonts w:ascii="宋体" w:hAnsi="宋体" w:cs="宋体" w:eastAsia="宋体" w:hint="default"/>
                <w:b/>
                <w:bCs/>
                <w:sz w:val="18"/>
                <w:szCs w:val="18"/>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11,000.00</w:t>
            </w:r>
          </w:p>
        </w:tc>
        <w:tc>
          <w:tcPr>
            <w:tcW w:w="99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0"/>
              <w:ind w:right="0"/>
              <w:jc w:val="left"/>
              <w:rPr>
                <w:rFonts w:ascii="宋体" w:hAnsi="宋体" w:cs="宋体" w:eastAsia="宋体" w:hint="default"/>
                <w:b/>
                <w:bCs/>
                <w:sz w:val="18"/>
                <w:szCs w:val="18"/>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9,860.00</w:t>
            </w:r>
          </w:p>
        </w:tc>
        <w:tc>
          <w:tcPr>
            <w:tcW w:w="1265" w:type="dxa"/>
            <w:tcBorders>
              <w:top w:val="nil" w:sz="6" w:space="0" w:color="auto"/>
              <w:left w:val="single" w:sz="4" w:space="0" w:color="000000"/>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0"/>
              <w:ind w:right="0"/>
              <w:jc w:val="left"/>
              <w:rPr>
                <w:rFonts w:ascii="宋体" w:hAnsi="宋体" w:cs="宋体" w:eastAsia="宋体" w:hint="default"/>
                <w:b/>
                <w:bCs/>
                <w:sz w:val="18"/>
                <w:szCs w:val="18"/>
              </w:rPr>
            </w:pPr>
          </w:p>
          <w:p>
            <w:pPr>
              <w:pStyle w:val="TableParagraph"/>
              <w:spacing w:line="240" w:lineRule="auto"/>
              <w:ind w:left="164" w:right="0"/>
              <w:jc w:val="center"/>
              <w:rPr>
                <w:rFonts w:ascii="Times New Roman" w:hAnsi="Times New Roman" w:cs="Times New Roman" w:eastAsia="Times New Roman" w:hint="default"/>
                <w:sz w:val="15"/>
                <w:szCs w:val="15"/>
              </w:rPr>
            </w:pPr>
            <w:r>
              <w:rPr>
                <w:rFonts w:ascii="Times New Roman"/>
                <w:sz w:val="15"/>
              </w:rPr>
              <w:t>2017.4-2027.4</w:t>
            </w:r>
          </w:p>
        </w:tc>
      </w:tr>
      <w:tr>
        <w:trPr>
          <w:trHeight w:val="1210" w:hRule="exact"/>
        </w:trPr>
        <w:tc>
          <w:tcPr>
            <w:tcW w:w="743" w:type="dxa"/>
            <w:tcBorders>
              <w:top w:val="nil" w:sz="6" w:space="0" w:color="auto"/>
              <w:left w:val="nil" w:sz="6" w:space="0" w:color="auto"/>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0"/>
              <w:ind w:right="0"/>
              <w:jc w:val="left"/>
              <w:rPr>
                <w:rFonts w:ascii="宋体" w:hAnsi="宋体" w:cs="宋体" w:eastAsia="宋体" w:hint="default"/>
                <w:b/>
                <w:bCs/>
                <w:sz w:val="11"/>
                <w:szCs w:val="11"/>
              </w:rPr>
            </w:pPr>
          </w:p>
          <w:p>
            <w:pPr>
              <w:pStyle w:val="TableParagraph"/>
              <w:spacing w:line="240" w:lineRule="auto"/>
              <w:ind w:left="35" w:right="0"/>
              <w:jc w:val="left"/>
              <w:rPr>
                <w:rFonts w:ascii="Times New Roman" w:hAnsi="Times New Roman" w:cs="Times New Roman" w:eastAsia="Times New Roman" w:hint="default"/>
                <w:sz w:val="15"/>
                <w:szCs w:val="15"/>
              </w:rPr>
            </w:pPr>
            <w:r>
              <w:rPr>
                <w:rFonts w:ascii="Times New Roman"/>
                <w:sz w:val="15"/>
              </w:rPr>
              <w:t>30,217.00</w:t>
            </w:r>
          </w:p>
        </w:tc>
        <w:tc>
          <w:tcPr>
            <w:tcW w:w="107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0"/>
              <w:ind w:right="0"/>
              <w:jc w:val="left"/>
              <w:rPr>
                <w:rFonts w:ascii="宋体" w:hAnsi="宋体" w:cs="宋体" w:eastAsia="宋体" w:hint="default"/>
                <w:b/>
                <w:bCs/>
                <w:sz w:val="11"/>
                <w:szCs w:val="11"/>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11,000.00</w:t>
            </w:r>
          </w:p>
        </w:tc>
        <w:tc>
          <w:tcPr>
            <w:tcW w:w="99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0"/>
              <w:ind w:right="0"/>
              <w:jc w:val="left"/>
              <w:rPr>
                <w:rFonts w:ascii="宋体" w:hAnsi="宋体" w:cs="宋体" w:eastAsia="宋体" w:hint="default"/>
                <w:b/>
                <w:bCs/>
                <w:sz w:val="11"/>
                <w:szCs w:val="11"/>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4,060.00</w:t>
            </w:r>
          </w:p>
        </w:tc>
        <w:tc>
          <w:tcPr>
            <w:tcW w:w="1265" w:type="dxa"/>
            <w:tcBorders>
              <w:top w:val="nil" w:sz="6" w:space="0" w:color="auto"/>
              <w:left w:val="single" w:sz="4" w:space="0" w:color="000000"/>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0"/>
              <w:ind w:right="0"/>
              <w:jc w:val="left"/>
              <w:rPr>
                <w:rFonts w:ascii="宋体" w:hAnsi="宋体" w:cs="宋体" w:eastAsia="宋体" w:hint="default"/>
                <w:b/>
                <w:bCs/>
                <w:sz w:val="11"/>
                <w:szCs w:val="11"/>
              </w:rPr>
            </w:pPr>
          </w:p>
          <w:p>
            <w:pPr>
              <w:pStyle w:val="TableParagraph"/>
              <w:spacing w:line="240" w:lineRule="auto"/>
              <w:ind w:left="164" w:right="0"/>
              <w:jc w:val="center"/>
              <w:rPr>
                <w:rFonts w:ascii="Times New Roman" w:hAnsi="Times New Roman" w:cs="Times New Roman" w:eastAsia="Times New Roman" w:hint="default"/>
                <w:sz w:val="15"/>
                <w:szCs w:val="15"/>
              </w:rPr>
            </w:pPr>
            <w:r>
              <w:rPr>
                <w:rFonts w:ascii="Times New Roman"/>
                <w:sz w:val="15"/>
              </w:rPr>
              <w:t>2017.8-2023.8</w:t>
            </w:r>
          </w:p>
        </w:tc>
      </w:tr>
      <w:tr>
        <w:trPr>
          <w:trHeight w:val="1020" w:hRule="exact"/>
        </w:trPr>
        <w:tc>
          <w:tcPr>
            <w:tcW w:w="743" w:type="dxa"/>
            <w:tcBorders>
              <w:top w:val="nil" w:sz="6" w:space="0" w:color="auto"/>
              <w:left w:val="nil" w:sz="6" w:space="0" w:color="auto"/>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0"/>
              <w:ind w:right="0"/>
              <w:jc w:val="left"/>
              <w:rPr>
                <w:rFonts w:ascii="宋体" w:hAnsi="宋体" w:cs="宋体" w:eastAsia="宋体" w:hint="default"/>
                <w:b/>
                <w:bCs/>
                <w:sz w:val="11"/>
                <w:szCs w:val="11"/>
              </w:rPr>
            </w:pPr>
          </w:p>
          <w:p>
            <w:pPr>
              <w:pStyle w:val="TableParagraph"/>
              <w:spacing w:line="240" w:lineRule="auto"/>
              <w:ind w:left="35" w:right="0"/>
              <w:jc w:val="left"/>
              <w:rPr>
                <w:rFonts w:ascii="Times New Roman" w:hAnsi="Times New Roman" w:cs="Times New Roman" w:eastAsia="Times New Roman" w:hint="default"/>
                <w:sz w:val="15"/>
                <w:szCs w:val="15"/>
              </w:rPr>
            </w:pPr>
            <w:r>
              <w:rPr>
                <w:rFonts w:ascii="Times New Roman"/>
                <w:sz w:val="15"/>
              </w:rPr>
              <w:t>16,882.00</w:t>
            </w:r>
          </w:p>
        </w:tc>
        <w:tc>
          <w:tcPr>
            <w:tcW w:w="107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0"/>
              <w:ind w:right="0"/>
              <w:jc w:val="left"/>
              <w:rPr>
                <w:rFonts w:ascii="宋体" w:hAnsi="宋体" w:cs="宋体" w:eastAsia="宋体" w:hint="default"/>
                <w:b/>
                <w:bCs/>
                <w:sz w:val="11"/>
                <w:szCs w:val="11"/>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12,000.00</w:t>
            </w:r>
          </w:p>
        </w:tc>
        <w:tc>
          <w:tcPr>
            <w:tcW w:w="99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0"/>
              <w:ind w:right="0"/>
              <w:jc w:val="left"/>
              <w:rPr>
                <w:rFonts w:ascii="宋体" w:hAnsi="宋体" w:cs="宋体" w:eastAsia="宋体" w:hint="default"/>
                <w:b/>
                <w:bCs/>
                <w:sz w:val="11"/>
                <w:szCs w:val="11"/>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3,925.00</w:t>
            </w:r>
          </w:p>
        </w:tc>
        <w:tc>
          <w:tcPr>
            <w:tcW w:w="1265" w:type="dxa"/>
            <w:tcBorders>
              <w:top w:val="nil" w:sz="6" w:space="0" w:color="auto"/>
              <w:left w:val="single" w:sz="4" w:space="0" w:color="000000"/>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0"/>
              <w:ind w:right="0"/>
              <w:jc w:val="left"/>
              <w:rPr>
                <w:rFonts w:ascii="宋体" w:hAnsi="宋体" w:cs="宋体" w:eastAsia="宋体" w:hint="default"/>
                <w:b/>
                <w:bCs/>
                <w:sz w:val="11"/>
                <w:szCs w:val="11"/>
              </w:rPr>
            </w:pPr>
          </w:p>
          <w:p>
            <w:pPr>
              <w:pStyle w:val="TableParagraph"/>
              <w:spacing w:line="240" w:lineRule="auto"/>
              <w:ind w:left="164" w:right="0"/>
              <w:jc w:val="center"/>
              <w:rPr>
                <w:rFonts w:ascii="Times New Roman" w:hAnsi="Times New Roman" w:cs="Times New Roman" w:eastAsia="Times New Roman" w:hint="default"/>
                <w:sz w:val="15"/>
                <w:szCs w:val="15"/>
              </w:rPr>
            </w:pPr>
            <w:r>
              <w:rPr>
                <w:rFonts w:ascii="Times New Roman"/>
                <w:sz w:val="15"/>
              </w:rPr>
              <w:t>2016.3-2026.3</w:t>
            </w:r>
          </w:p>
        </w:tc>
      </w:tr>
      <w:tr>
        <w:trPr>
          <w:trHeight w:val="551" w:hRule="exact"/>
        </w:trPr>
        <w:tc>
          <w:tcPr>
            <w:tcW w:w="743" w:type="dxa"/>
            <w:tcBorders>
              <w:top w:val="nil" w:sz="6" w:space="0" w:color="auto"/>
              <w:left w:val="nil" w:sz="6" w:space="0" w:color="auto"/>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7"/>
              <w:ind w:right="0"/>
              <w:jc w:val="left"/>
              <w:rPr>
                <w:rFonts w:ascii="宋体" w:hAnsi="宋体" w:cs="宋体" w:eastAsia="宋体" w:hint="default"/>
                <w:b/>
                <w:bCs/>
                <w:sz w:val="10"/>
                <w:szCs w:val="10"/>
              </w:rPr>
            </w:pPr>
          </w:p>
          <w:p>
            <w:pPr>
              <w:pStyle w:val="TableParagraph"/>
              <w:spacing w:line="240" w:lineRule="auto"/>
              <w:ind w:left="35" w:right="0"/>
              <w:jc w:val="left"/>
              <w:rPr>
                <w:rFonts w:ascii="Times New Roman" w:hAnsi="Times New Roman" w:cs="Times New Roman" w:eastAsia="Times New Roman" w:hint="default"/>
                <w:sz w:val="15"/>
                <w:szCs w:val="15"/>
              </w:rPr>
            </w:pPr>
            <w:r>
              <w:rPr>
                <w:rFonts w:ascii="Times New Roman"/>
                <w:sz w:val="15"/>
              </w:rPr>
              <w:t>15,000.00</w:t>
            </w:r>
          </w:p>
        </w:tc>
        <w:tc>
          <w:tcPr>
            <w:tcW w:w="107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7"/>
              <w:ind w:right="0"/>
              <w:jc w:val="left"/>
              <w:rPr>
                <w:rFonts w:ascii="宋体" w:hAnsi="宋体" w:cs="宋体" w:eastAsia="宋体" w:hint="default"/>
                <w:b/>
                <w:bCs/>
                <w:sz w:val="10"/>
                <w:szCs w:val="10"/>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15,000.00</w:t>
            </w:r>
          </w:p>
        </w:tc>
        <w:tc>
          <w:tcPr>
            <w:tcW w:w="994" w:type="dxa"/>
            <w:tcBorders>
              <w:top w:val="nil" w:sz="6" w:space="0" w:color="auto"/>
              <w:left w:val="single" w:sz="4" w:space="0" w:color="000000"/>
              <w:bottom w:val="nil" w:sz="6" w:space="0" w:color="auto"/>
              <w:right w:val="single" w:sz="4" w:space="0" w:color="000000"/>
            </w:tcBorders>
          </w:tcPr>
          <w:p>
            <w:pPr/>
          </w:p>
        </w:tc>
        <w:tc>
          <w:tcPr>
            <w:tcW w:w="1265" w:type="dxa"/>
            <w:tcBorders>
              <w:top w:val="nil" w:sz="6" w:space="0" w:color="auto"/>
              <w:left w:val="single" w:sz="4" w:space="0" w:color="000000"/>
              <w:bottom w:val="nil" w:sz="6" w:space="0" w:color="auto"/>
              <w:right w:val="nil" w:sz="6" w:space="0" w:color="auto"/>
            </w:tcBorders>
          </w:tcPr>
          <w:p>
            <w:pPr/>
          </w:p>
        </w:tc>
      </w:tr>
      <w:tr>
        <w:trPr>
          <w:trHeight w:val="568" w:hRule="exact"/>
        </w:trPr>
        <w:tc>
          <w:tcPr>
            <w:tcW w:w="743" w:type="dxa"/>
            <w:tcBorders>
              <w:top w:val="nil" w:sz="6" w:space="0" w:color="auto"/>
              <w:left w:val="nil" w:sz="6" w:space="0" w:color="auto"/>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b/>
                <w:bCs/>
                <w:sz w:val="20"/>
                <w:szCs w:val="20"/>
              </w:rPr>
            </w:pPr>
          </w:p>
          <w:p>
            <w:pPr>
              <w:pStyle w:val="TableParagraph"/>
              <w:spacing w:line="240" w:lineRule="auto"/>
              <w:ind w:left="35" w:right="0"/>
              <w:jc w:val="left"/>
              <w:rPr>
                <w:rFonts w:ascii="Times New Roman" w:hAnsi="Times New Roman" w:cs="Times New Roman" w:eastAsia="Times New Roman" w:hint="default"/>
                <w:sz w:val="15"/>
                <w:szCs w:val="15"/>
              </w:rPr>
            </w:pPr>
            <w:r>
              <w:rPr>
                <w:rFonts w:ascii="Times New Roman"/>
                <w:sz w:val="15"/>
              </w:rPr>
              <w:t>15,000.00</w:t>
            </w:r>
          </w:p>
        </w:tc>
        <w:tc>
          <w:tcPr>
            <w:tcW w:w="107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b/>
                <w:bCs/>
                <w:sz w:val="20"/>
                <w:szCs w:val="20"/>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15,000.00</w:t>
            </w:r>
          </w:p>
        </w:tc>
        <w:tc>
          <w:tcPr>
            <w:tcW w:w="994" w:type="dxa"/>
            <w:tcBorders>
              <w:top w:val="nil" w:sz="6" w:space="0" w:color="auto"/>
              <w:left w:val="single" w:sz="4" w:space="0" w:color="000000"/>
              <w:bottom w:val="nil" w:sz="6" w:space="0" w:color="auto"/>
              <w:right w:val="single" w:sz="4" w:space="0" w:color="000000"/>
            </w:tcBorders>
          </w:tcPr>
          <w:p>
            <w:pPr>
              <w:pStyle w:val="TableParagraph"/>
              <w:spacing w:line="240" w:lineRule="auto" w:before="41"/>
              <w:ind w:right="100"/>
              <w:jc w:val="right"/>
              <w:rPr>
                <w:rFonts w:ascii="Times New Roman" w:hAnsi="Times New Roman" w:cs="Times New Roman" w:eastAsia="Times New Roman" w:hint="default"/>
                <w:sz w:val="15"/>
                <w:szCs w:val="15"/>
              </w:rPr>
            </w:pPr>
            <w:r>
              <w:rPr>
                <w:rFonts w:ascii="Times New Roman"/>
                <w:spacing w:val="-1"/>
                <w:sz w:val="15"/>
              </w:rPr>
              <w:t>13,500.00</w:t>
            </w:r>
          </w:p>
        </w:tc>
        <w:tc>
          <w:tcPr>
            <w:tcW w:w="1265" w:type="dxa"/>
            <w:tcBorders>
              <w:top w:val="nil" w:sz="6" w:space="0" w:color="auto"/>
              <w:left w:val="single" w:sz="4" w:space="0" w:color="000000"/>
              <w:bottom w:val="nil" w:sz="6" w:space="0" w:color="auto"/>
              <w:right w:val="nil" w:sz="6" w:space="0" w:color="auto"/>
            </w:tcBorders>
          </w:tcPr>
          <w:p>
            <w:pPr>
              <w:pStyle w:val="TableParagraph"/>
              <w:spacing w:line="240" w:lineRule="auto" w:before="41"/>
              <w:ind w:left="164" w:right="0"/>
              <w:jc w:val="center"/>
              <w:rPr>
                <w:rFonts w:ascii="Times New Roman" w:hAnsi="Times New Roman" w:cs="Times New Roman" w:eastAsia="Times New Roman" w:hint="default"/>
                <w:sz w:val="15"/>
                <w:szCs w:val="15"/>
              </w:rPr>
            </w:pPr>
            <w:r>
              <w:rPr>
                <w:rFonts w:ascii="Times New Roman"/>
                <w:sz w:val="15"/>
              </w:rPr>
              <w:t>2016.9-2022.9</w:t>
            </w:r>
          </w:p>
        </w:tc>
      </w:tr>
    </w:tbl>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4"/>
          <w:szCs w:val="14"/>
        </w:rPr>
      </w:pPr>
    </w:p>
    <w:p>
      <w:pPr>
        <w:pStyle w:val="BodyText"/>
        <w:spacing w:line="240" w:lineRule="auto" w:before="36"/>
        <w:ind w:left="935" w:right="0"/>
        <w:jc w:val="left"/>
        <w:rPr>
          <w:rFonts w:ascii="宋体" w:hAnsi="宋体" w:cs="宋体" w:eastAsia="宋体" w:hint="default"/>
        </w:rPr>
      </w:pPr>
      <w:r>
        <w:rPr/>
        <w:pict>
          <v:group style="position:absolute;margin-left:119.540001pt;margin-top:-618.676331pt;width:404.6pt;height:596.75pt;mso-position-horizontal-relative:page;mso-position-vertical-relative:paragraph;z-index:-1315624" coordorigin="2391,-12374" coordsize="8092,11935">
            <v:group style="position:absolute;left:2405;top:-12359;width:1801;height:2" coordorigin="2405,-12359" coordsize="1801,2">
              <v:shape style="position:absolute;left:2405;top:-12359;width:1801;height:2" coordorigin="2405,-12359" coordsize="1801,0" path="m2405,-12359l4206,-12359e" filled="false" stroked="true" strokeweight="1.44pt" strokecolor="#000000">
                <v:path arrowok="t"/>
              </v:shape>
              <v:shape style="position:absolute;left:4206;top:-12345;width:10;height:2" type="#_x0000_t75" stroked="false">
                <v:imagedata r:id="rId248" o:title=""/>
              </v:shape>
            </v:group>
            <v:group style="position:absolute;left:4206;top:-12359;width:29;height:2" coordorigin="4206,-12359" coordsize="29,2">
              <v:shape style="position:absolute;left:4206;top:-12359;width:29;height:2" coordorigin="4206,-12359" coordsize="29,0" path="m4206,-12359l4235,-12359e" filled="false" stroked="true" strokeweight="1.44pt" strokecolor="#000000">
                <v:path arrowok="t"/>
              </v:shape>
            </v:group>
            <v:group style="position:absolute;left:4235;top:-12359;width:1671;height:2" coordorigin="4235,-12359" coordsize="1671,2">
              <v:shape style="position:absolute;left:4235;top:-12359;width:1671;height:2" coordorigin="4235,-12359" coordsize="1671,0" path="m4235,-12359l5905,-12359e" filled="false" stroked="true" strokeweight="1.44pt" strokecolor="#000000">
                <v:path arrowok="t"/>
              </v:shape>
              <v:shape style="position:absolute;left:5905;top:-12345;width:10;height:2" type="#_x0000_t75" stroked="false">
                <v:imagedata r:id="rId248" o:title=""/>
              </v:shape>
            </v:group>
            <v:group style="position:absolute;left:5905;top:-12359;width:29;height:2" coordorigin="5905,-12359" coordsize="29,2">
              <v:shape style="position:absolute;left:5905;top:-12359;width:29;height:2" coordorigin="5905,-12359" coordsize="29,0" path="m5905,-12359l5934,-12359e" filled="false" stroked="true" strokeweight="1.44pt" strokecolor="#000000">
                <v:path arrowok="t"/>
              </v:shape>
            </v:group>
            <v:group style="position:absolute;left:5934;top:-12359;width:1021;height:2" coordorigin="5934,-12359" coordsize="1021,2">
              <v:shape style="position:absolute;left:5934;top:-12359;width:1021;height:2" coordorigin="5934,-12359" coordsize="1021,0" path="m5934,-12359l6954,-12359e" filled="false" stroked="true" strokeweight="1.44pt" strokecolor="#000000">
                <v:path arrowok="t"/>
              </v:shape>
              <v:shape style="position:absolute;left:6954;top:-12345;width:10;height:2" type="#_x0000_t75" stroked="false">
                <v:imagedata r:id="rId248" o:title=""/>
              </v:shape>
            </v:group>
            <v:group style="position:absolute;left:6954;top:-12359;width:29;height:2" coordorigin="6954,-12359" coordsize="29,2">
              <v:shape style="position:absolute;left:6954;top:-12359;width:29;height:2" coordorigin="6954,-12359" coordsize="29,0" path="m6954,-12359l6983,-12359e" filled="false" stroked="true" strokeweight="1.44pt" strokecolor="#000000">
                <v:path arrowok="t"/>
              </v:shape>
            </v:group>
            <v:group style="position:absolute;left:6983;top:-12359;width:1049;height:2" coordorigin="6983,-12359" coordsize="1049,2">
              <v:shape style="position:absolute;left:6983;top:-12359;width:1049;height:2" coordorigin="6983,-12359" coordsize="1049,0" path="m6983,-12359l8032,-12359e" filled="false" stroked="true" strokeweight="1.44pt" strokecolor="#000000">
                <v:path arrowok="t"/>
              </v:shape>
              <v:shape style="position:absolute;left:8032;top:-12345;width:10;height:2" type="#_x0000_t75" stroked="false">
                <v:imagedata r:id="rId248" o:title=""/>
              </v:shape>
            </v:group>
            <v:group style="position:absolute;left:8032;top:-12359;width:29;height:2" coordorigin="8032,-12359" coordsize="29,2">
              <v:shape style="position:absolute;left:8032;top:-12359;width:29;height:2" coordorigin="8032,-12359" coordsize="29,0" path="m8032,-12359l8061,-12359e" filled="false" stroked="true" strokeweight="1.44pt" strokecolor="#000000">
                <v:path arrowok="t"/>
              </v:shape>
            </v:group>
            <v:group style="position:absolute;left:8061;top:-12359;width:965;height:2" coordorigin="8061,-12359" coordsize="965,2">
              <v:shape style="position:absolute;left:8061;top:-12359;width:965;height:2" coordorigin="8061,-12359" coordsize="965,0" path="m8061,-12359l9025,-12359e" filled="false" stroked="true" strokeweight="1.44pt" strokecolor="#000000">
                <v:path arrowok="t"/>
              </v:shape>
              <v:shape style="position:absolute;left:9025;top:-12345;width:10;height:2" type="#_x0000_t75" stroked="false">
                <v:imagedata r:id="rId248" o:title=""/>
              </v:shape>
            </v:group>
            <v:group style="position:absolute;left:9025;top:-12359;width:30;height:2" coordorigin="9025,-12359" coordsize="30,2">
              <v:shape style="position:absolute;left:9025;top:-12359;width:30;height:2" coordorigin="9025,-12359" coordsize="30,0" path="m9025,-12359l9055,-12359e" filled="false" stroked="true" strokeweight="1.44pt" strokecolor="#000000">
                <v:path arrowok="t"/>
              </v:shape>
            </v:group>
            <v:group style="position:absolute;left:9055;top:-12359;width:1414;height:2" coordorigin="9055,-12359" coordsize="1414,2">
              <v:shape style="position:absolute;left:9055;top:-12359;width:1414;height:2" coordorigin="9055,-12359" coordsize="1414,0" path="m9055,-12359l10468,-12359e" filled="false" stroked="true" strokeweight="1.44pt" strokecolor="#000000">
                <v:path arrowok="t"/>
              </v:shape>
            </v:group>
            <v:group style="position:absolute;left:4206;top:-12342;width:10;height:20" coordorigin="4206,-12342" coordsize="10,20">
              <v:shape style="position:absolute;left:4206;top:-12342;width:10;height:20" coordorigin="4206,-12342" coordsize="10,20" path="m4206,-12323l4215,-12323,4215,-12342,4206,-12342,4206,-12323xe" filled="true" fillcolor="#000000" stroked="false">
                <v:path arrowok="t"/>
                <v:fill type="solid"/>
              </v:shape>
            </v:group>
            <v:group style="position:absolute;left:4206;top:-12323;width:10;height:20" coordorigin="4206,-12323" coordsize="10,20">
              <v:shape style="position:absolute;left:4206;top:-12323;width:10;height:20" coordorigin="4206,-12323" coordsize="10,20" path="m4206,-12304l4215,-12304,4215,-12323,4206,-12323,4206,-12304xe" filled="true" fillcolor="#000000" stroked="false">
                <v:path arrowok="t"/>
                <v:fill type="solid"/>
              </v:shape>
            </v:group>
            <v:group style="position:absolute;left:4206;top:-12304;width:10;height:20" coordorigin="4206,-12304" coordsize="10,20">
              <v:shape style="position:absolute;left:4206;top:-12304;width:10;height:20" coordorigin="4206,-12304" coordsize="10,20" path="m4206,-12285l4215,-12285,4215,-12304,4206,-12304,4206,-12285xe" filled="true" fillcolor="#000000" stroked="false">
                <v:path arrowok="t"/>
                <v:fill type="solid"/>
              </v:shape>
            </v:group>
            <v:group style="position:absolute;left:4206;top:-12285;width:10;height:20" coordorigin="4206,-12285" coordsize="10,20">
              <v:shape style="position:absolute;left:4206;top:-12285;width:10;height:20" coordorigin="4206,-12285" coordsize="10,20" path="m4206,-12266l4215,-12266,4215,-12285,4206,-12285,4206,-12266xe" filled="true" fillcolor="#000000" stroked="false">
                <v:path arrowok="t"/>
                <v:fill type="solid"/>
              </v:shape>
            </v:group>
            <v:group style="position:absolute;left:4206;top:-12266;width:10;height:20" coordorigin="4206,-12266" coordsize="10,20">
              <v:shape style="position:absolute;left:4206;top:-12266;width:10;height:20" coordorigin="4206,-12266" coordsize="10,20" path="m4206,-12246l4215,-12246,4215,-12266,4206,-12266,4206,-12246xe" filled="true" fillcolor="#000000" stroked="false">
                <v:path arrowok="t"/>
                <v:fill type="solid"/>
              </v:shape>
            </v:group>
            <v:group style="position:absolute;left:4206;top:-12246;width:10;height:20" coordorigin="4206,-12246" coordsize="10,20">
              <v:shape style="position:absolute;left:4206;top:-12246;width:10;height:20" coordorigin="4206,-12246" coordsize="10,20" path="m4206,-12227l4215,-12227,4215,-12246,4206,-12246,4206,-12227xe" filled="true" fillcolor="#000000" stroked="false">
                <v:path arrowok="t"/>
                <v:fill type="solid"/>
              </v:shape>
            </v:group>
            <v:group style="position:absolute;left:4206;top:-12227;width:10;height:20" coordorigin="4206,-12227" coordsize="10,20">
              <v:shape style="position:absolute;left:4206;top:-12227;width:10;height:20" coordorigin="4206,-12227" coordsize="10,20" path="m4206,-12208l4215,-12208,4215,-12227,4206,-12227,4206,-12208xe" filled="true" fillcolor="#000000" stroked="false">
                <v:path arrowok="t"/>
                <v:fill type="solid"/>
              </v:shape>
            </v:group>
            <v:group style="position:absolute;left:4206;top:-12208;width:10;height:20" coordorigin="4206,-12208" coordsize="10,20">
              <v:shape style="position:absolute;left:4206;top:-12208;width:10;height:20" coordorigin="4206,-12208" coordsize="10,20" path="m4206,-12189l4215,-12189,4215,-12208,4206,-12208,4206,-12189xe" filled="true" fillcolor="#000000" stroked="false">
                <v:path arrowok="t"/>
                <v:fill type="solid"/>
              </v:shape>
            </v:group>
            <v:group style="position:absolute;left:4206;top:-12189;width:10;height:20" coordorigin="4206,-12189" coordsize="10,20">
              <v:shape style="position:absolute;left:4206;top:-12189;width:10;height:20" coordorigin="4206,-12189" coordsize="10,20" path="m4206,-12170l4215,-12170,4215,-12189,4206,-12189,4206,-12170xe" filled="true" fillcolor="#000000" stroked="false">
                <v:path arrowok="t"/>
                <v:fill type="solid"/>
              </v:shape>
            </v:group>
            <v:group style="position:absolute;left:4206;top:-12170;width:10;height:20" coordorigin="4206,-12170" coordsize="10,20">
              <v:shape style="position:absolute;left:4206;top:-12170;width:10;height:20" coordorigin="4206,-12170" coordsize="10,20" path="m4206,-12150l4215,-12150,4215,-12170,4206,-12170,4206,-12150xe" filled="true" fillcolor="#000000" stroked="false">
                <v:path arrowok="t"/>
                <v:fill type="solid"/>
              </v:shape>
            </v:group>
            <v:group style="position:absolute;left:4206;top:-12150;width:10;height:20" coordorigin="4206,-12150" coordsize="10,20">
              <v:shape style="position:absolute;left:4206;top:-12150;width:10;height:20" coordorigin="4206,-12150" coordsize="10,20" path="m4206,-12131l4215,-12131,4215,-12150,4206,-12150,4206,-12131xe" filled="true" fillcolor="#000000" stroked="false">
                <v:path arrowok="t"/>
                <v:fill type="solid"/>
              </v:shape>
            </v:group>
            <v:group style="position:absolute;left:4206;top:-12131;width:10;height:20" coordorigin="4206,-12131" coordsize="10,20">
              <v:shape style="position:absolute;left:4206;top:-12131;width:10;height:20" coordorigin="4206,-12131" coordsize="10,20" path="m4206,-12112l4215,-12112,4215,-12131,4206,-12131,4206,-12112xe" filled="true" fillcolor="#000000" stroked="false">
                <v:path arrowok="t"/>
                <v:fill type="solid"/>
              </v:shape>
            </v:group>
            <v:group style="position:absolute;left:4206;top:-12112;width:10;height:20" coordorigin="4206,-12112" coordsize="10,20">
              <v:shape style="position:absolute;left:4206;top:-12112;width:10;height:20" coordorigin="4206,-12112" coordsize="10,20" path="m4206,-12092l4215,-12092,4215,-12112,4206,-12112,4206,-12092xe" filled="true" fillcolor="#000000" stroked="false">
                <v:path arrowok="t"/>
                <v:fill type="solid"/>
              </v:shape>
            </v:group>
            <v:group style="position:absolute;left:4206;top:-12092;width:10;height:20" coordorigin="4206,-12092" coordsize="10,20">
              <v:shape style="position:absolute;left:4206;top:-12092;width:10;height:20" coordorigin="4206,-12092" coordsize="10,20" path="m4206,-12073l4215,-12073,4215,-12092,4206,-12092,4206,-12073xe" filled="true" fillcolor="#000000" stroked="false">
                <v:path arrowok="t"/>
                <v:fill type="solid"/>
              </v:shape>
            </v:group>
            <v:group style="position:absolute;left:4206;top:-12073;width:10;height:20" coordorigin="4206,-12073" coordsize="10,20">
              <v:shape style="position:absolute;left:4206;top:-12073;width:10;height:20" coordorigin="4206,-12073" coordsize="10,20" path="m4206,-12054l4215,-12054,4215,-12073,4206,-12073,4206,-12054xe" filled="true" fillcolor="#000000" stroked="false">
                <v:path arrowok="t"/>
                <v:fill type="solid"/>
              </v:shape>
            </v:group>
            <v:group style="position:absolute;left:4206;top:-12054;width:10;height:20" coordorigin="4206,-12054" coordsize="10,20">
              <v:shape style="position:absolute;left:4206;top:-12054;width:10;height:20" coordorigin="4206,-12054" coordsize="10,20" path="m4206,-12035l4215,-12035,4215,-12054,4206,-12054,4206,-12035xe" filled="true" fillcolor="#000000" stroked="false">
                <v:path arrowok="t"/>
                <v:fill type="solid"/>
              </v:shape>
            </v:group>
            <v:group style="position:absolute;left:4206;top:-12035;width:10;height:20" coordorigin="4206,-12035" coordsize="10,20">
              <v:shape style="position:absolute;left:4206;top:-12035;width:10;height:20" coordorigin="4206,-12035" coordsize="10,20" path="m4206,-12016l4215,-12016,4215,-12035,4206,-12035,4206,-12016xe" filled="true" fillcolor="#000000" stroked="false">
                <v:path arrowok="t"/>
                <v:fill type="solid"/>
              </v:shape>
            </v:group>
            <v:group style="position:absolute;left:4206;top:-12016;width:10;height:20" coordorigin="4206,-12016" coordsize="10,20">
              <v:shape style="position:absolute;left:4206;top:-12016;width:10;height:20" coordorigin="4206,-12016" coordsize="10,20" path="m4206,-11996l4215,-11996,4215,-12016,4206,-12016,4206,-11996xe" filled="true" fillcolor="#000000" stroked="false">
                <v:path arrowok="t"/>
                <v:fill type="solid"/>
              </v:shape>
            </v:group>
            <v:group style="position:absolute;left:4206;top:-11996;width:10;height:20" coordorigin="4206,-11996" coordsize="10,20">
              <v:shape style="position:absolute;left:4206;top:-11996;width:10;height:20" coordorigin="4206,-11996" coordsize="10,20" path="m4206,-11977l4215,-11977,4215,-11996,4206,-11996,4206,-11977xe" filled="true" fillcolor="#000000" stroked="false">
                <v:path arrowok="t"/>
                <v:fill type="solid"/>
              </v:shape>
            </v:group>
            <v:group style="position:absolute;left:4206;top:-11977;width:10;height:20" coordorigin="4206,-11977" coordsize="10,20">
              <v:shape style="position:absolute;left:4206;top:-11977;width:10;height:20" coordorigin="4206,-11977" coordsize="10,20" path="m4206,-11958l4215,-11958,4215,-11977,4206,-11977,4206,-11958xe" filled="true" fillcolor="#000000" stroked="false">
                <v:path arrowok="t"/>
                <v:fill type="solid"/>
              </v:shape>
            </v:group>
            <v:group style="position:absolute;left:4206;top:-11958;width:10;height:20" coordorigin="4206,-11958" coordsize="10,20">
              <v:shape style="position:absolute;left:4206;top:-11958;width:10;height:20" coordorigin="4206,-11958" coordsize="10,20" path="m4206,-11939l4215,-11939,4215,-11958,4206,-11958,4206,-11939xe" filled="true" fillcolor="#000000" stroked="false">
                <v:path arrowok="t"/>
                <v:fill type="solid"/>
              </v:shape>
            </v:group>
            <v:group style="position:absolute;left:4206;top:-11939;width:10;height:20" coordorigin="4206,-11939" coordsize="10,20">
              <v:shape style="position:absolute;left:4206;top:-11939;width:10;height:20" coordorigin="4206,-11939" coordsize="10,20" path="m4206,-11920l4215,-11920,4215,-11939,4206,-11939,4206,-11920xe" filled="true" fillcolor="#000000" stroked="false">
                <v:path arrowok="t"/>
                <v:fill type="solid"/>
              </v:shape>
            </v:group>
            <v:group style="position:absolute;left:4206;top:-11920;width:10;height:20" coordorigin="4206,-11920" coordsize="10,20">
              <v:shape style="position:absolute;left:4206;top:-11920;width:10;height:20" coordorigin="4206,-11920" coordsize="10,20" path="m4206,-11900l4215,-11900,4215,-11920,4206,-11920,4206,-11900xe" filled="true" fillcolor="#000000" stroked="false">
                <v:path arrowok="t"/>
                <v:fill type="solid"/>
              </v:shape>
            </v:group>
            <v:group style="position:absolute;left:4206;top:-11900;width:10;height:20" coordorigin="4206,-11900" coordsize="10,20">
              <v:shape style="position:absolute;left:4206;top:-11900;width:10;height:20" coordorigin="4206,-11900" coordsize="10,20" path="m4206,-11881l4215,-11881,4215,-11900,4206,-11900,4206,-11881xe" filled="true" fillcolor="#000000" stroked="false">
                <v:path arrowok="t"/>
                <v:fill type="solid"/>
              </v:shape>
            </v:group>
            <v:group style="position:absolute;left:4206;top:-11881;width:10;height:20" coordorigin="4206,-11881" coordsize="10,20">
              <v:shape style="position:absolute;left:4206;top:-11881;width:10;height:20" coordorigin="4206,-11881" coordsize="10,20" path="m4206,-11862l4215,-11862,4215,-11881,4206,-11881,4206,-11862xe" filled="true" fillcolor="#000000" stroked="false">
                <v:path arrowok="t"/>
                <v:fill type="solid"/>
              </v:shape>
            </v:group>
            <v:group style="position:absolute;left:4206;top:-11862;width:10;height:20" coordorigin="4206,-11862" coordsize="10,20">
              <v:shape style="position:absolute;left:4206;top:-11862;width:10;height:20" coordorigin="4206,-11862" coordsize="10,20" path="m4206,-11843l4215,-11843,4215,-11862,4206,-11862,4206,-11843xe" filled="true" fillcolor="#000000" stroked="false">
                <v:path arrowok="t"/>
                <v:fill type="solid"/>
              </v:shape>
            </v:group>
            <v:group style="position:absolute;left:4206;top:-11843;width:10;height:20" coordorigin="4206,-11843" coordsize="10,20">
              <v:shape style="position:absolute;left:4206;top:-11843;width:10;height:20" coordorigin="4206,-11843" coordsize="10,20" path="m4206,-11824l4215,-11824,4215,-11843,4206,-11843,4206,-11824xe" filled="true" fillcolor="#000000" stroked="false">
                <v:path arrowok="t"/>
                <v:fill type="solid"/>
              </v:shape>
            </v:group>
            <v:group style="position:absolute;left:4206;top:-11824;width:10;height:20" coordorigin="4206,-11824" coordsize="10,20">
              <v:shape style="position:absolute;left:4206;top:-11824;width:10;height:20" coordorigin="4206,-11824" coordsize="10,20" path="m4206,-11804l4215,-11804,4215,-11824,4206,-11824,4206,-11804xe" filled="true" fillcolor="#000000" stroked="false">
                <v:path arrowok="t"/>
                <v:fill type="solid"/>
              </v:shape>
            </v:group>
            <v:group style="position:absolute;left:4206;top:-11804;width:10;height:20" coordorigin="4206,-11804" coordsize="10,20">
              <v:shape style="position:absolute;left:4206;top:-11804;width:10;height:20" coordorigin="4206,-11804" coordsize="10,20" path="m4206,-11785l4215,-11785,4215,-11804,4206,-11804,4206,-11785xe" filled="true" fillcolor="#000000" stroked="false">
                <v:path arrowok="t"/>
                <v:fill type="solid"/>
              </v:shape>
            </v:group>
            <v:group style="position:absolute;left:4206;top:-11785;width:10;height:20" coordorigin="4206,-11785" coordsize="10,20">
              <v:shape style="position:absolute;left:4206;top:-11785;width:10;height:20" coordorigin="4206,-11785" coordsize="10,20" path="m4206,-11766l4215,-11766,4215,-11785,4206,-11785,4206,-11766xe" filled="true" fillcolor="#000000" stroked="false">
                <v:path arrowok="t"/>
                <v:fill type="solid"/>
              </v:shape>
            </v:group>
            <v:group style="position:absolute;left:4206;top:-11766;width:10;height:20" coordorigin="4206,-11766" coordsize="10,20">
              <v:shape style="position:absolute;left:4206;top:-11766;width:10;height:20" coordorigin="4206,-11766" coordsize="10,20" path="m4206,-11747l4215,-11747,4215,-11766,4206,-11766,4206,-11747xe" filled="true" fillcolor="#000000" stroked="false">
                <v:path arrowok="t"/>
                <v:fill type="solid"/>
              </v:shape>
            </v:group>
            <v:group style="position:absolute;left:4206;top:-11747;width:10;height:20" coordorigin="4206,-11747" coordsize="10,20">
              <v:shape style="position:absolute;left:4206;top:-11747;width:10;height:20" coordorigin="4206,-11747" coordsize="10,20" path="m4206,-11728l4215,-11728,4215,-11747,4206,-11747,4206,-11728xe" filled="true" fillcolor="#000000" stroked="false">
                <v:path arrowok="t"/>
                <v:fill type="solid"/>
              </v:shape>
            </v:group>
            <v:group style="position:absolute;left:4206;top:-11728;width:10;height:20" coordorigin="4206,-11728" coordsize="10,20">
              <v:shape style="position:absolute;left:4206;top:-11728;width:10;height:20" coordorigin="4206,-11728" coordsize="10,20" path="m4206,-11708l4215,-11708,4215,-11728,4206,-11728,4206,-11708xe" filled="true" fillcolor="#000000" stroked="false">
                <v:path arrowok="t"/>
                <v:fill type="solid"/>
              </v:shape>
            </v:group>
            <v:group style="position:absolute;left:4206;top:-11708;width:10;height:20" coordorigin="4206,-11708" coordsize="10,20">
              <v:shape style="position:absolute;left:4206;top:-11708;width:10;height:20" coordorigin="4206,-11708" coordsize="10,20" path="m4206,-11689l4215,-11689,4215,-11708,4206,-11708,4206,-11689xe" filled="true" fillcolor="#000000" stroked="false">
                <v:path arrowok="t"/>
                <v:fill type="solid"/>
              </v:shape>
            </v:group>
            <v:group style="position:absolute;left:4206;top:-11689;width:10;height:20" coordorigin="4206,-11689" coordsize="10,20">
              <v:shape style="position:absolute;left:4206;top:-11689;width:10;height:20" coordorigin="4206,-11689" coordsize="10,20" path="m4206,-11670l4215,-11670,4215,-11689,4206,-11689,4206,-11670xe" filled="true" fillcolor="#000000" stroked="false">
                <v:path arrowok="t"/>
                <v:fill type="solid"/>
              </v:shape>
            </v:group>
            <v:group style="position:absolute;left:4206;top:-11670;width:10;height:20" coordorigin="4206,-11670" coordsize="10,20">
              <v:shape style="position:absolute;left:4206;top:-11670;width:10;height:20" coordorigin="4206,-11670" coordsize="10,20" path="m4206,-11651l4215,-11651,4215,-11670,4206,-11670,4206,-11651xe" filled="true" fillcolor="#000000" stroked="false">
                <v:path arrowok="t"/>
                <v:fill type="solid"/>
              </v:shape>
            </v:group>
            <v:group style="position:absolute;left:4206;top:-11651;width:10;height:20" coordorigin="4206,-11651" coordsize="10,20">
              <v:shape style="position:absolute;left:4206;top:-11651;width:10;height:20" coordorigin="4206,-11651" coordsize="10,20" path="m4206,-11632l4215,-11632,4215,-11651,4206,-11651,4206,-11632xe" filled="true" fillcolor="#000000" stroked="false">
                <v:path arrowok="t"/>
                <v:fill type="solid"/>
              </v:shape>
            </v:group>
            <v:group style="position:absolute;left:4206;top:-11632;width:10;height:20" coordorigin="4206,-11632" coordsize="10,20">
              <v:shape style="position:absolute;left:4206;top:-11632;width:10;height:20" coordorigin="4206,-11632" coordsize="10,20" path="m4206,-11612l4215,-11612,4215,-11632,4206,-11632,4206,-11612xe" filled="true" fillcolor="#000000" stroked="false">
                <v:path arrowok="t"/>
                <v:fill type="solid"/>
              </v:shape>
            </v:group>
            <v:group style="position:absolute;left:4206;top:-11612;width:10;height:20" coordorigin="4206,-11612" coordsize="10,20">
              <v:shape style="position:absolute;left:4206;top:-11612;width:10;height:20" coordorigin="4206,-11612" coordsize="10,20" path="m4206,-11593l4215,-11593,4215,-11612,4206,-11612,4206,-11593xe" filled="true" fillcolor="#000000" stroked="false">
                <v:path arrowok="t"/>
                <v:fill type="solid"/>
              </v:shape>
            </v:group>
            <v:group style="position:absolute;left:4206;top:-11593;width:10;height:20" coordorigin="4206,-11593" coordsize="10,20">
              <v:shape style="position:absolute;left:4206;top:-11593;width:10;height:20" coordorigin="4206,-11593" coordsize="10,20" path="m4206,-11574l4215,-11574,4215,-11593,4206,-11593,4206,-11574xe" filled="true" fillcolor="#000000" stroked="false">
                <v:path arrowok="t"/>
                <v:fill type="solid"/>
              </v:shape>
            </v:group>
            <v:group style="position:absolute;left:4206;top:-11574;width:10;height:20" coordorigin="4206,-11574" coordsize="10,20">
              <v:shape style="position:absolute;left:4206;top:-11574;width:10;height:20" coordorigin="4206,-11574" coordsize="10,20" path="m4206,-11555l4215,-11555,4215,-11574,4206,-11574,4206,-11555xe" filled="true" fillcolor="#000000" stroked="false">
                <v:path arrowok="t"/>
                <v:fill type="solid"/>
              </v:shape>
            </v:group>
            <v:group style="position:absolute;left:4206;top:-11549;width:10;height:2" coordorigin="4206,-11549" coordsize="10,2">
              <v:shape style="position:absolute;left:4206;top:-11549;width:10;height:2" coordorigin="4206,-11549" coordsize="10,0" path="m4206,-11549l4215,-11549e" filled="false" stroked="true" strokeweight=".60004pt" strokecolor="#000000">
                <v:path arrowok="t"/>
              </v:shape>
            </v:group>
            <v:group style="position:absolute;left:5905;top:-12342;width:10;height:20" coordorigin="5905,-12342" coordsize="10,20">
              <v:shape style="position:absolute;left:5905;top:-12342;width:10;height:20" coordorigin="5905,-12342" coordsize="10,20" path="m5905,-12323l5915,-12323,5915,-12342,5905,-12342,5905,-12323xe" filled="true" fillcolor="#000000" stroked="false">
                <v:path arrowok="t"/>
                <v:fill type="solid"/>
              </v:shape>
            </v:group>
            <v:group style="position:absolute;left:5905;top:-12323;width:10;height:20" coordorigin="5905,-12323" coordsize="10,20">
              <v:shape style="position:absolute;left:5905;top:-12323;width:10;height:20" coordorigin="5905,-12323" coordsize="10,20" path="m5905,-12304l5915,-12304,5915,-12323,5905,-12323,5905,-12304xe" filled="true" fillcolor="#000000" stroked="false">
                <v:path arrowok="t"/>
                <v:fill type="solid"/>
              </v:shape>
            </v:group>
            <v:group style="position:absolute;left:5905;top:-12304;width:10;height:20" coordorigin="5905,-12304" coordsize="10,20">
              <v:shape style="position:absolute;left:5905;top:-12304;width:10;height:20" coordorigin="5905,-12304" coordsize="10,20" path="m5905,-12285l5915,-12285,5915,-12304,5905,-12304,5905,-12285xe" filled="true" fillcolor="#000000" stroked="false">
                <v:path arrowok="t"/>
                <v:fill type="solid"/>
              </v:shape>
            </v:group>
            <v:group style="position:absolute;left:5905;top:-12285;width:10;height:20" coordorigin="5905,-12285" coordsize="10,20">
              <v:shape style="position:absolute;left:5905;top:-12285;width:10;height:20" coordorigin="5905,-12285" coordsize="10,20" path="m5905,-12266l5915,-12266,5915,-12285,5905,-12285,5905,-12266xe" filled="true" fillcolor="#000000" stroked="false">
                <v:path arrowok="t"/>
                <v:fill type="solid"/>
              </v:shape>
            </v:group>
            <v:group style="position:absolute;left:5905;top:-12266;width:10;height:20" coordorigin="5905,-12266" coordsize="10,20">
              <v:shape style="position:absolute;left:5905;top:-12266;width:10;height:20" coordorigin="5905,-12266" coordsize="10,20" path="m5905,-12246l5915,-12246,5915,-12266,5905,-12266,5905,-12246xe" filled="true" fillcolor="#000000" stroked="false">
                <v:path arrowok="t"/>
                <v:fill type="solid"/>
              </v:shape>
            </v:group>
            <v:group style="position:absolute;left:5905;top:-12246;width:10;height:20" coordorigin="5905,-12246" coordsize="10,20">
              <v:shape style="position:absolute;left:5905;top:-12246;width:10;height:20" coordorigin="5905,-12246" coordsize="10,20" path="m5905,-12227l5915,-12227,5915,-12246,5905,-12246,5905,-12227xe" filled="true" fillcolor="#000000" stroked="false">
                <v:path arrowok="t"/>
                <v:fill type="solid"/>
              </v:shape>
            </v:group>
            <v:group style="position:absolute;left:5905;top:-12227;width:10;height:20" coordorigin="5905,-12227" coordsize="10,20">
              <v:shape style="position:absolute;left:5905;top:-12227;width:10;height:20" coordorigin="5905,-12227" coordsize="10,20" path="m5905,-12208l5915,-12208,5915,-12227,5905,-12227,5905,-12208xe" filled="true" fillcolor="#000000" stroked="false">
                <v:path arrowok="t"/>
                <v:fill type="solid"/>
              </v:shape>
            </v:group>
            <v:group style="position:absolute;left:5905;top:-12208;width:10;height:20" coordorigin="5905,-12208" coordsize="10,20">
              <v:shape style="position:absolute;left:5905;top:-12208;width:10;height:20" coordorigin="5905,-12208" coordsize="10,20" path="m5905,-12189l5915,-12189,5915,-12208,5905,-12208,5905,-12189xe" filled="true" fillcolor="#000000" stroked="false">
                <v:path arrowok="t"/>
                <v:fill type="solid"/>
              </v:shape>
            </v:group>
            <v:group style="position:absolute;left:5905;top:-12189;width:10;height:20" coordorigin="5905,-12189" coordsize="10,20">
              <v:shape style="position:absolute;left:5905;top:-12189;width:10;height:20" coordorigin="5905,-12189" coordsize="10,20" path="m5905,-12170l5915,-12170,5915,-12189,5905,-12189,5905,-12170xe" filled="true" fillcolor="#000000" stroked="false">
                <v:path arrowok="t"/>
                <v:fill type="solid"/>
              </v:shape>
            </v:group>
            <v:group style="position:absolute;left:5905;top:-12170;width:10;height:20" coordorigin="5905,-12170" coordsize="10,20">
              <v:shape style="position:absolute;left:5905;top:-12170;width:10;height:20" coordorigin="5905,-12170" coordsize="10,20" path="m5905,-12150l5915,-12150,5915,-12170,5905,-12170,5905,-12150xe" filled="true" fillcolor="#000000" stroked="false">
                <v:path arrowok="t"/>
                <v:fill type="solid"/>
              </v:shape>
            </v:group>
            <v:group style="position:absolute;left:5905;top:-12150;width:10;height:20" coordorigin="5905,-12150" coordsize="10,20">
              <v:shape style="position:absolute;left:5905;top:-12150;width:10;height:20" coordorigin="5905,-12150" coordsize="10,20" path="m5905,-12131l5915,-12131,5915,-12150,5905,-12150,5905,-12131xe" filled="true" fillcolor="#000000" stroked="false">
                <v:path arrowok="t"/>
                <v:fill type="solid"/>
              </v:shape>
            </v:group>
            <v:group style="position:absolute;left:5905;top:-12131;width:10;height:20" coordorigin="5905,-12131" coordsize="10,20">
              <v:shape style="position:absolute;left:5905;top:-12131;width:10;height:20" coordorigin="5905,-12131" coordsize="10,20" path="m5905,-12112l5915,-12112,5915,-12131,5905,-12131,5905,-12112xe" filled="true" fillcolor="#000000" stroked="false">
                <v:path arrowok="t"/>
                <v:fill type="solid"/>
              </v:shape>
            </v:group>
            <v:group style="position:absolute;left:5905;top:-12112;width:10;height:20" coordorigin="5905,-12112" coordsize="10,20">
              <v:shape style="position:absolute;left:5905;top:-12112;width:10;height:20" coordorigin="5905,-12112" coordsize="10,20" path="m5905,-12092l5915,-12092,5915,-12112,5905,-12112,5905,-12092xe" filled="true" fillcolor="#000000" stroked="false">
                <v:path arrowok="t"/>
                <v:fill type="solid"/>
              </v:shape>
            </v:group>
            <v:group style="position:absolute;left:5905;top:-12092;width:10;height:20" coordorigin="5905,-12092" coordsize="10,20">
              <v:shape style="position:absolute;left:5905;top:-12092;width:10;height:20" coordorigin="5905,-12092" coordsize="10,20" path="m5905,-12073l5915,-12073,5915,-12092,5905,-12092,5905,-12073xe" filled="true" fillcolor="#000000" stroked="false">
                <v:path arrowok="t"/>
                <v:fill type="solid"/>
              </v:shape>
            </v:group>
            <v:group style="position:absolute;left:5905;top:-12073;width:10;height:20" coordorigin="5905,-12073" coordsize="10,20">
              <v:shape style="position:absolute;left:5905;top:-12073;width:10;height:20" coordorigin="5905,-12073" coordsize="10,20" path="m5905,-12054l5915,-12054,5915,-12073,5905,-12073,5905,-12054xe" filled="true" fillcolor="#000000" stroked="false">
                <v:path arrowok="t"/>
                <v:fill type="solid"/>
              </v:shape>
            </v:group>
            <v:group style="position:absolute;left:5905;top:-12054;width:10;height:20" coordorigin="5905,-12054" coordsize="10,20">
              <v:shape style="position:absolute;left:5905;top:-12054;width:10;height:20" coordorigin="5905,-12054" coordsize="10,20" path="m5905,-12035l5915,-12035,5915,-12054,5905,-12054,5905,-12035xe" filled="true" fillcolor="#000000" stroked="false">
                <v:path arrowok="t"/>
                <v:fill type="solid"/>
              </v:shape>
            </v:group>
            <v:group style="position:absolute;left:5905;top:-12035;width:10;height:20" coordorigin="5905,-12035" coordsize="10,20">
              <v:shape style="position:absolute;left:5905;top:-12035;width:10;height:20" coordorigin="5905,-12035" coordsize="10,20" path="m5905,-12016l5915,-12016,5915,-12035,5905,-12035,5905,-12016xe" filled="true" fillcolor="#000000" stroked="false">
                <v:path arrowok="t"/>
                <v:fill type="solid"/>
              </v:shape>
            </v:group>
            <v:group style="position:absolute;left:5905;top:-12016;width:10;height:20" coordorigin="5905,-12016" coordsize="10,20">
              <v:shape style="position:absolute;left:5905;top:-12016;width:10;height:20" coordorigin="5905,-12016" coordsize="10,20" path="m5905,-11996l5915,-11996,5915,-12016,5905,-12016,5905,-11996xe" filled="true" fillcolor="#000000" stroked="false">
                <v:path arrowok="t"/>
                <v:fill type="solid"/>
              </v:shape>
            </v:group>
            <v:group style="position:absolute;left:5905;top:-11996;width:10;height:20" coordorigin="5905,-11996" coordsize="10,20">
              <v:shape style="position:absolute;left:5905;top:-11996;width:10;height:20" coordorigin="5905,-11996" coordsize="10,20" path="m5905,-11977l5915,-11977,5915,-11996,5905,-11996,5905,-11977xe" filled="true" fillcolor="#000000" stroked="false">
                <v:path arrowok="t"/>
                <v:fill type="solid"/>
              </v:shape>
            </v:group>
            <v:group style="position:absolute;left:5905;top:-11977;width:10;height:20" coordorigin="5905,-11977" coordsize="10,20">
              <v:shape style="position:absolute;left:5905;top:-11977;width:10;height:20" coordorigin="5905,-11977" coordsize="10,20" path="m5905,-11958l5915,-11958,5915,-11977,5905,-11977,5905,-11958xe" filled="true" fillcolor="#000000" stroked="false">
                <v:path arrowok="t"/>
                <v:fill type="solid"/>
              </v:shape>
            </v:group>
            <v:group style="position:absolute;left:5905;top:-11958;width:10;height:20" coordorigin="5905,-11958" coordsize="10,20">
              <v:shape style="position:absolute;left:5905;top:-11958;width:10;height:20" coordorigin="5905,-11958" coordsize="10,20" path="m5905,-11939l5915,-11939,5915,-11958,5905,-11958,5905,-11939xe" filled="true" fillcolor="#000000" stroked="false">
                <v:path arrowok="t"/>
                <v:fill type="solid"/>
              </v:shape>
            </v:group>
            <v:group style="position:absolute;left:5905;top:-11939;width:10;height:20" coordorigin="5905,-11939" coordsize="10,20">
              <v:shape style="position:absolute;left:5905;top:-11939;width:10;height:20" coordorigin="5905,-11939" coordsize="10,20" path="m5905,-11920l5915,-11920,5915,-11939,5905,-11939,5905,-11920xe" filled="true" fillcolor="#000000" stroked="false">
                <v:path arrowok="t"/>
                <v:fill type="solid"/>
              </v:shape>
            </v:group>
            <v:group style="position:absolute;left:5905;top:-11920;width:10;height:20" coordorigin="5905,-11920" coordsize="10,20">
              <v:shape style="position:absolute;left:5905;top:-11920;width:10;height:20" coordorigin="5905,-11920" coordsize="10,20" path="m5905,-11900l5915,-11900,5915,-11920,5905,-11920,5905,-11900xe" filled="true" fillcolor="#000000" stroked="false">
                <v:path arrowok="t"/>
                <v:fill type="solid"/>
              </v:shape>
            </v:group>
            <v:group style="position:absolute;left:5905;top:-11900;width:10;height:20" coordorigin="5905,-11900" coordsize="10,20">
              <v:shape style="position:absolute;left:5905;top:-11900;width:10;height:20" coordorigin="5905,-11900" coordsize="10,20" path="m5905,-11881l5915,-11881,5915,-11900,5905,-11900,5905,-11881xe" filled="true" fillcolor="#000000" stroked="false">
                <v:path arrowok="t"/>
                <v:fill type="solid"/>
              </v:shape>
            </v:group>
            <v:group style="position:absolute;left:5905;top:-11881;width:10;height:20" coordorigin="5905,-11881" coordsize="10,20">
              <v:shape style="position:absolute;left:5905;top:-11881;width:10;height:20" coordorigin="5905,-11881" coordsize="10,20" path="m5905,-11862l5915,-11862,5915,-11881,5905,-11881,5905,-11862xe" filled="true" fillcolor="#000000" stroked="false">
                <v:path arrowok="t"/>
                <v:fill type="solid"/>
              </v:shape>
            </v:group>
            <v:group style="position:absolute;left:5905;top:-11862;width:10;height:20" coordorigin="5905,-11862" coordsize="10,20">
              <v:shape style="position:absolute;left:5905;top:-11862;width:10;height:20" coordorigin="5905,-11862" coordsize="10,20" path="m5905,-11843l5915,-11843,5915,-11862,5905,-11862,5905,-11843xe" filled="true" fillcolor="#000000" stroked="false">
                <v:path arrowok="t"/>
                <v:fill type="solid"/>
              </v:shape>
            </v:group>
            <v:group style="position:absolute;left:5905;top:-11843;width:10;height:20" coordorigin="5905,-11843" coordsize="10,20">
              <v:shape style="position:absolute;left:5905;top:-11843;width:10;height:20" coordorigin="5905,-11843" coordsize="10,20" path="m5905,-11824l5915,-11824,5915,-11843,5905,-11843,5905,-11824xe" filled="true" fillcolor="#000000" stroked="false">
                <v:path arrowok="t"/>
                <v:fill type="solid"/>
              </v:shape>
            </v:group>
            <v:group style="position:absolute;left:5905;top:-11824;width:10;height:20" coordorigin="5905,-11824" coordsize="10,20">
              <v:shape style="position:absolute;left:5905;top:-11824;width:10;height:20" coordorigin="5905,-11824" coordsize="10,20" path="m5905,-11804l5915,-11804,5915,-11824,5905,-11824,5905,-11804xe" filled="true" fillcolor="#000000" stroked="false">
                <v:path arrowok="t"/>
                <v:fill type="solid"/>
              </v:shape>
            </v:group>
            <v:group style="position:absolute;left:5905;top:-11804;width:10;height:20" coordorigin="5905,-11804" coordsize="10,20">
              <v:shape style="position:absolute;left:5905;top:-11804;width:10;height:20" coordorigin="5905,-11804" coordsize="10,20" path="m5905,-11785l5915,-11785,5915,-11804,5905,-11804,5905,-11785xe" filled="true" fillcolor="#000000" stroked="false">
                <v:path arrowok="t"/>
                <v:fill type="solid"/>
              </v:shape>
            </v:group>
            <v:group style="position:absolute;left:5905;top:-11785;width:10;height:20" coordorigin="5905,-11785" coordsize="10,20">
              <v:shape style="position:absolute;left:5905;top:-11785;width:10;height:20" coordorigin="5905,-11785" coordsize="10,20" path="m5905,-11766l5915,-11766,5915,-11785,5905,-11785,5905,-11766xe" filled="true" fillcolor="#000000" stroked="false">
                <v:path arrowok="t"/>
                <v:fill type="solid"/>
              </v:shape>
            </v:group>
            <v:group style="position:absolute;left:5905;top:-11766;width:10;height:20" coordorigin="5905,-11766" coordsize="10,20">
              <v:shape style="position:absolute;left:5905;top:-11766;width:10;height:20" coordorigin="5905,-11766" coordsize="10,20" path="m5905,-11747l5915,-11747,5915,-11766,5905,-11766,5905,-11747xe" filled="true" fillcolor="#000000" stroked="false">
                <v:path arrowok="t"/>
                <v:fill type="solid"/>
              </v:shape>
            </v:group>
            <v:group style="position:absolute;left:5905;top:-11747;width:10;height:20" coordorigin="5905,-11747" coordsize="10,20">
              <v:shape style="position:absolute;left:5905;top:-11747;width:10;height:20" coordorigin="5905,-11747" coordsize="10,20" path="m5905,-11728l5915,-11728,5915,-11747,5905,-11747,5905,-11728xe" filled="true" fillcolor="#000000" stroked="false">
                <v:path arrowok="t"/>
                <v:fill type="solid"/>
              </v:shape>
            </v:group>
            <v:group style="position:absolute;left:5905;top:-11728;width:10;height:20" coordorigin="5905,-11728" coordsize="10,20">
              <v:shape style="position:absolute;left:5905;top:-11728;width:10;height:20" coordorigin="5905,-11728" coordsize="10,20" path="m5905,-11708l5915,-11708,5915,-11728,5905,-11728,5905,-11708xe" filled="true" fillcolor="#000000" stroked="false">
                <v:path arrowok="t"/>
                <v:fill type="solid"/>
              </v:shape>
            </v:group>
            <v:group style="position:absolute;left:5905;top:-11708;width:10;height:20" coordorigin="5905,-11708" coordsize="10,20">
              <v:shape style="position:absolute;left:5905;top:-11708;width:10;height:20" coordorigin="5905,-11708" coordsize="10,20" path="m5905,-11689l5915,-11689,5915,-11708,5905,-11708,5905,-11689xe" filled="true" fillcolor="#000000" stroked="false">
                <v:path arrowok="t"/>
                <v:fill type="solid"/>
              </v:shape>
            </v:group>
            <v:group style="position:absolute;left:5905;top:-11689;width:10;height:20" coordorigin="5905,-11689" coordsize="10,20">
              <v:shape style="position:absolute;left:5905;top:-11689;width:10;height:20" coordorigin="5905,-11689" coordsize="10,20" path="m5905,-11670l5915,-11670,5915,-11689,5905,-11689,5905,-11670xe" filled="true" fillcolor="#000000" stroked="false">
                <v:path arrowok="t"/>
                <v:fill type="solid"/>
              </v:shape>
            </v:group>
            <v:group style="position:absolute;left:5905;top:-11670;width:10;height:20" coordorigin="5905,-11670" coordsize="10,20">
              <v:shape style="position:absolute;left:5905;top:-11670;width:10;height:20" coordorigin="5905,-11670" coordsize="10,20" path="m5905,-11651l5915,-11651,5915,-11670,5905,-11670,5905,-11651xe" filled="true" fillcolor="#000000" stroked="false">
                <v:path arrowok="t"/>
                <v:fill type="solid"/>
              </v:shape>
            </v:group>
            <v:group style="position:absolute;left:5905;top:-11651;width:10;height:20" coordorigin="5905,-11651" coordsize="10,20">
              <v:shape style="position:absolute;left:5905;top:-11651;width:10;height:20" coordorigin="5905,-11651" coordsize="10,20" path="m5905,-11632l5915,-11632,5915,-11651,5905,-11651,5905,-11632xe" filled="true" fillcolor="#000000" stroked="false">
                <v:path arrowok="t"/>
                <v:fill type="solid"/>
              </v:shape>
            </v:group>
            <v:group style="position:absolute;left:5905;top:-11632;width:10;height:20" coordorigin="5905,-11632" coordsize="10,20">
              <v:shape style="position:absolute;left:5905;top:-11632;width:10;height:20" coordorigin="5905,-11632" coordsize="10,20" path="m5905,-11612l5915,-11612,5915,-11632,5905,-11632,5905,-11612xe" filled="true" fillcolor="#000000" stroked="false">
                <v:path arrowok="t"/>
                <v:fill type="solid"/>
              </v:shape>
            </v:group>
            <v:group style="position:absolute;left:5905;top:-11612;width:10;height:20" coordorigin="5905,-11612" coordsize="10,20">
              <v:shape style="position:absolute;left:5905;top:-11612;width:10;height:20" coordorigin="5905,-11612" coordsize="10,20" path="m5905,-11593l5915,-11593,5915,-11612,5905,-11612,5905,-11593xe" filled="true" fillcolor="#000000" stroked="false">
                <v:path arrowok="t"/>
                <v:fill type="solid"/>
              </v:shape>
            </v:group>
            <v:group style="position:absolute;left:5905;top:-11593;width:10;height:20" coordorigin="5905,-11593" coordsize="10,20">
              <v:shape style="position:absolute;left:5905;top:-11593;width:10;height:20" coordorigin="5905,-11593" coordsize="10,20" path="m5905,-11574l5915,-11574,5915,-11593,5905,-11593,5905,-11574xe" filled="true" fillcolor="#000000" stroked="false">
                <v:path arrowok="t"/>
                <v:fill type="solid"/>
              </v:shape>
            </v:group>
            <v:group style="position:absolute;left:5905;top:-11574;width:10;height:20" coordorigin="5905,-11574" coordsize="10,20">
              <v:shape style="position:absolute;left:5905;top:-11574;width:10;height:20" coordorigin="5905,-11574" coordsize="10,20" path="m5905,-11555l5915,-11555,5915,-11574,5905,-11574,5905,-11555xe" filled="true" fillcolor="#000000" stroked="false">
                <v:path arrowok="t"/>
                <v:fill type="solid"/>
              </v:shape>
            </v:group>
            <v:group style="position:absolute;left:5905;top:-11549;width:10;height:2" coordorigin="5905,-11549" coordsize="10,2">
              <v:shape style="position:absolute;left:5905;top:-11549;width:10;height:2" coordorigin="5905,-11549" coordsize="10,0" path="m5905,-11549l5915,-11549e" filled="false" stroked="true" strokeweight=".60004pt" strokecolor="#000000">
                <v:path arrowok="t"/>
              </v:shape>
            </v:group>
            <v:group style="position:absolute;left:6954;top:-12342;width:10;height:20" coordorigin="6954,-12342" coordsize="10,20">
              <v:shape style="position:absolute;left:6954;top:-12342;width:10;height:20" coordorigin="6954,-12342" coordsize="10,20" path="m6954,-12323l6964,-12323,6964,-12342,6954,-12342,6954,-12323xe" filled="true" fillcolor="#000000" stroked="false">
                <v:path arrowok="t"/>
                <v:fill type="solid"/>
              </v:shape>
            </v:group>
            <v:group style="position:absolute;left:8032;top:-12342;width:10;height:20" coordorigin="8032,-12342" coordsize="10,20">
              <v:shape style="position:absolute;left:8032;top:-12342;width:10;height:20" coordorigin="8032,-12342" coordsize="10,20" path="m8032,-12323l8041,-12323,8041,-12342,8032,-12342,8032,-12323xe" filled="true" fillcolor="#000000" stroked="false">
                <v:path arrowok="t"/>
                <v:fill type="solid"/>
              </v:shape>
            </v:group>
            <v:group style="position:absolute;left:9025;top:-12342;width:10;height:20" coordorigin="9025,-12342" coordsize="10,20">
              <v:shape style="position:absolute;left:9025;top:-12342;width:10;height:20" coordorigin="9025,-12342" coordsize="10,20" path="m9025,-12323l9035,-12323,9035,-12342,9025,-12342,9025,-12323xe" filled="true" fillcolor="#000000" stroked="false">
                <v:path arrowok="t"/>
                <v:fill type="solid"/>
              </v:shape>
              <v:shape style="position:absolute;left:2405;top:-11543;width:1801;height:10" type="#_x0000_t75" stroked="false">
                <v:imagedata r:id="rId243" o:title=""/>
              </v:shape>
              <v:shape style="position:absolute;left:4201;top:-11543;width:2753;height:10" type="#_x0000_t75" stroked="false">
                <v:imagedata r:id="rId244" o:title=""/>
              </v:shape>
              <v:shape style="position:absolute;left:6949;top:-11543;width:1082;height:10" type="#_x0000_t75" stroked="false">
                <v:imagedata r:id="rId245" o:title=""/>
              </v:shape>
              <v:shape style="position:absolute;left:8027;top:-11543;width:2441;height:10" type="#_x0000_t75" stroked="false">
                <v:imagedata r:id="rId246" o:title=""/>
              </v:shape>
            </v:group>
            <v:group style="position:absolute;left:4206;top:-11533;width:10;height:20" coordorigin="4206,-11533" coordsize="10,20">
              <v:shape style="position:absolute;left:4206;top:-11533;width:10;height:20" coordorigin="4206,-11533" coordsize="10,20" path="m4206,-11514l4215,-11514,4215,-11533,4206,-11533,4206,-11514xe" filled="true" fillcolor="#000000" stroked="false">
                <v:path arrowok="t"/>
                <v:fill type="solid"/>
              </v:shape>
            </v:group>
            <v:group style="position:absolute;left:4206;top:-11514;width:10;height:20" coordorigin="4206,-11514" coordsize="10,20">
              <v:shape style="position:absolute;left:4206;top:-11514;width:10;height:20" coordorigin="4206,-11514" coordsize="10,20" path="m4206,-11495l4215,-11495,4215,-11514,4206,-11514,4206,-11495xe" filled="true" fillcolor="#000000" stroked="false">
                <v:path arrowok="t"/>
                <v:fill type="solid"/>
              </v:shape>
            </v:group>
            <v:group style="position:absolute;left:4206;top:-11495;width:10;height:20" coordorigin="4206,-11495" coordsize="10,20">
              <v:shape style="position:absolute;left:4206;top:-11495;width:10;height:20" coordorigin="4206,-11495" coordsize="10,20" path="m4206,-11476l4215,-11476,4215,-11495,4206,-11495,4206,-11476xe" filled="true" fillcolor="#000000" stroked="false">
                <v:path arrowok="t"/>
                <v:fill type="solid"/>
              </v:shape>
            </v:group>
            <v:group style="position:absolute;left:4206;top:-11476;width:10;height:20" coordorigin="4206,-11476" coordsize="10,20">
              <v:shape style="position:absolute;left:4206;top:-11476;width:10;height:20" coordorigin="4206,-11476" coordsize="10,20" path="m4206,-11456l4215,-11456,4215,-11476,4206,-11476,4206,-11456xe" filled="true" fillcolor="#000000" stroked="false">
                <v:path arrowok="t"/>
                <v:fill type="solid"/>
              </v:shape>
            </v:group>
            <v:group style="position:absolute;left:4206;top:-11456;width:10;height:20" coordorigin="4206,-11456" coordsize="10,20">
              <v:shape style="position:absolute;left:4206;top:-11456;width:10;height:20" coordorigin="4206,-11456" coordsize="10,20" path="m4206,-11437l4215,-11437,4215,-11456,4206,-11456,4206,-11437xe" filled="true" fillcolor="#000000" stroked="false">
                <v:path arrowok="t"/>
                <v:fill type="solid"/>
              </v:shape>
            </v:group>
            <v:group style="position:absolute;left:4206;top:-11437;width:10;height:20" coordorigin="4206,-11437" coordsize="10,20">
              <v:shape style="position:absolute;left:4206;top:-11437;width:10;height:20" coordorigin="4206,-11437" coordsize="10,20" path="m4206,-11418l4215,-11418,4215,-11437,4206,-11437,4206,-11418xe" filled="true" fillcolor="#000000" stroked="false">
                <v:path arrowok="t"/>
                <v:fill type="solid"/>
              </v:shape>
            </v:group>
            <v:group style="position:absolute;left:4206;top:-11418;width:10;height:20" coordorigin="4206,-11418" coordsize="10,20">
              <v:shape style="position:absolute;left:4206;top:-11418;width:10;height:20" coordorigin="4206,-11418" coordsize="10,20" path="m4206,-11399l4215,-11399,4215,-11418,4206,-11418,4206,-11399xe" filled="true" fillcolor="#000000" stroked="false">
                <v:path arrowok="t"/>
                <v:fill type="solid"/>
              </v:shape>
            </v:group>
            <v:group style="position:absolute;left:4206;top:-11399;width:10;height:20" coordorigin="4206,-11399" coordsize="10,20">
              <v:shape style="position:absolute;left:4206;top:-11399;width:10;height:20" coordorigin="4206,-11399" coordsize="10,20" path="m4206,-11380l4215,-11380,4215,-11399,4206,-11399,4206,-11380xe" filled="true" fillcolor="#000000" stroked="false">
                <v:path arrowok="t"/>
                <v:fill type="solid"/>
              </v:shape>
            </v:group>
            <v:group style="position:absolute;left:4206;top:-11380;width:10;height:20" coordorigin="4206,-11380" coordsize="10,20">
              <v:shape style="position:absolute;left:4206;top:-11380;width:10;height:20" coordorigin="4206,-11380" coordsize="10,20" path="m4206,-11360l4215,-11360,4215,-11380,4206,-11380,4206,-11360xe" filled="true" fillcolor="#000000" stroked="false">
                <v:path arrowok="t"/>
                <v:fill type="solid"/>
              </v:shape>
            </v:group>
            <v:group style="position:absolute;left:4206;top:-11360;width:10;height:20" coordorigin="4206,-11360" coordsize="10,20">
              <v:shape style="position:absolute;left:4206;top:-11360;width:10;height:20" coordorigin="4206,-11360" coordsize="10,20" path="m4206,-11341l4215,-11341,4215,-11360,4206,-11360,4206,-11341xe" filled="true" fillcolor="#000000" stroked="false">
                <v:path arrowok="t"/>
                <v:fill type="solid"/>
              </v:shape>
            </v:group>
            <v:group style="position:absolute;left:4206;top:-11341;width:10;height:20" coordorigin="4206,-11341" coordsize="10,20">
              <v:shape style="position:absolute;left:4206;top:-11341;width:10;height:20" coordorigin="4206,-11341" coordsize="10,20" path="m4206,-11322l4215,-11322,4215,-11341,4206,-11341,4206,-11322xe" filled="true" fillcolor="#000000" stroked="false">
                <v:path arrowok="t"/>
                <v:fill type="solid"/>
              </v:shape>
            </v:group>
            <v:group style="position:absolute;left:4206;top:-11322;width:10;height:20" coordorigin="4206,-11322" coordsize="10,20">
              <v:shape style="position:absolute;left:4206;top:-11322;width:10;height:20" coordorigin="4206,-11322" coordsize="10,20" path="m4206,-11303l4215,-11303,4215,-11322,4206,-11322,4206,-11303xe" filled="true" fillcolor="#000000" stroked="false">
                <v:path arrowok="t"/>
                <v:fill type="solid"/>
              </v:shape>
            </v:group>
            <v:group style="position:absolute;left:4206;top:-11303;width:10;height:20" coordorigin="4206,-11303" coordsize="10,20">
              <v:shape style="position:absolute;left:4206;top:-11303;width:10;height:20" coordorigin="4206,-11303" coordsize="10,20" path="m4206,-11284l4215,-11284,4215,-11303,4206,-11303,4206,-11284xe" filled="true" fillcolor="#000000" stroked="false">
                <v:path arrowok="t"/>
                <v:fill type="solid"/>
              </v:shape>
            </v:group>
            <v:group style="position:absolute;left:4206;top:-11284;width:10;height:20" coordorigin="4206,-11284" coordsize="10,20">
              <v:shape style="position:absolute;left:4206;top:-11284;width:10;height:20" coordorigin="4206,-11284" coordsize="10,20" path="m4206,-11264l4215,-11264,4215,-11284,4206,-11284,4206,-11264xe" filled="true" fillcolor="#000000" stroked="false">
                <v:path arrowok="t"/>
                <v:fill type="solid"/>
              </v:shape>
            </v:group>
            <v:group style="position:absolute;left:4206;top:-11264;width:10;height:20" coordorigin="4206,-11264" coordsize="10,20">
              <v:shape style="position:absolute;left:4206;top:-11264;width:10;height:20" coordorigin="4206,-11264" coordsize="10,20" path="m4206,-11245l4215,-11245,4215,-11264,4206,-11264,4206,-11245xe" filled="true" fillcolor="#000000" stroked="false">
                <v:path arrowok="t"/>
                <v:fill type="solid"/>
              </v:shape>
            </v:group>
            <v:group style="position:absolute;left:4206;top:-11245;width:10;height:20" coordorigin="4206,-11245" coordsize="10,20">
              <v:shape style="position:absolute;left:4206;top:-11245;width:10;height:20" coordorigin="4206,-11245" coordsize="10,20" path="m4206,-11226l4215,-11226,4215,-11245,4206,-11245,4206,-11226xe" filled="true" fillcolor="#000000" stroked="false">
                <v:path arrowok="t"/>
                <v:fill type="solid"/>
              </v:shape>
            </v:group>
            <v:group style="position:absolute;left:4206;top:-11226;width:10;height:20" coordorigin="4206,-11226" coordsize="10,20">
              <v:shape style="position:absolute;left:4206;top:-11226;width:10;height:20" coordorigin="4206,-11226" coordsize="10,20" path="m4206,-11207l4215,-11207,4215,-11226,4206,-11226,4206,-11207xe" filled="true" fillcolor="#000000" stroked="false">
                <v:path arrowok="t"/>
                <v:fill type="solid"/>
              </v:shape>
            </v:group>
            <v:group style="position:absolute;left:4206;top:-11207;width:10;height:20" coordorigin="4206,-11207" coordsize="10,20">
              <v:shape style="position:absolute;left:4206;top:-11207;width:10;height:20" coordorigin="4206,-11207" coordsize="10,20" path="m4206,-11188l4215,-11188,4215,-11207,4206,-11207,4206,-11188xe" filled="true" fillcolor="#000000" stroked="false">
                <v:path arrowok="t"/>
                <v:fill type="solid"/>
              </v:shape>
            </v:group>
            <v:group style="position:absolute;left:4206;top:-11188;width:10;height:20" coordorigin="4206,-11188" coordsize="10,20">
              <v:shape style="position:absolute;left:4206;top:-11188;width:10;height:20" coordorigin="4206,-11188" coordsize="10,20" path="m4206,-11168l4215,-11168,4215,-11188,4206,-11188,4206,-11168xe" filled="true" fillcolor="#000000" stroked="false">
                <v:path arrowok="t"/>
                <v:fill type="solid"/>
              </v:shape>
            </v:group>
            <v:group style="position:absolute;left:4206;top:-11168;width:10;height:20" coordorigin="4206,-11168" coordsize="10,20">
              <v:shape style="position:absolute;left:4206;top:-11168;width:10;height:20" coordorigin="4206,-11168" coordsize="10,20" path="m4206,-11149l4215,-11149,4215,-11168,4206,-11168,4206,-11149xe" filled="true" fillcolor="#000000" stroked="false">
                <v:path arrowok="t"/>
                <v:fill type="solid"/>
              </v:shape>
            </v:group>
            <v:group style="position:absolute;left:4206;top:-11149;width:10;height:20" coordorigin="4206,-11149" coordsize="10,20">
              <v:shape style="position:absolute;left:4206;top:-11149;width:10;height:20" coordorigin="4206,-11149" coordsize="10,20" path="m4206,-11130l4215,-11130,4215,-11149,4206,-11149,4206,-11130xe" filled="true" fillcolor="#000000" stroked="false">
                <v:path arrowok="t"/>
                <v:fill type="solid"/>
              </v:shape>
            </v:group>
            <v:group style="position:absolute;left:4206;top:-11130;width:10;height:20" coordorigin="4206,-11130" coordsize="10,20">
              <v:shape style="position:absolute;left:4206;top:-11130;width:10;height:20" coordorigin="4206,-11130" coordsize="10,20" path="m4206,-11111l4215,-11111,4215,-11130,4206,-11130,4206,-11111xe" filled="true" fillcolor="#000000" stroked="false">
                <v:path arrowok="t"/>
                <v:fill type="solid"/>
              </v:shape>
            </v:group>
            <v:group style="position:absolute;left:4206;top:-11111;width:10;height:20" coordorigin="4206,-11111" coordsize="10,20">
              <v:shape style="position:absolute;left:4206;top:-11111;width:10;height:20" coordorigin="4206,-11111" coordsize="10,20" path="m4206,-11092l4215,-11092,4215,-11111,4206,-11111,4206,-11092xe" filled="true" fillcolor="#000000" stroked="false">
                <v:path arrowok="t"/>
                <v:fill type="solid"/>
              </v:shape>
            </v:group>
            <v:group style="position:absolute;left:4206;top:-11092;width:10;height:20" coordorigin="4206,-11092" coordsize="10,20">
              <v:shape style="position:absolute;left:4206;top:-11092;width:10;height:20" coordorigin="4206,-11092" coordsize="10,20" path="m4206,-11072l4215,-11072,4215,-11092,4206,-11092,4206,-11072xe" filled="true" fillcolor="#000000" stroked="false">
                <v:path arrowok="t"/>
                <v:fill type="solid"/>
              </v:shape>
            </v:group>
            <v:group style="position:absolute;left:4206;top:-11072;width:10;height:20" coordorigin="4206,-11072" coordsize="10,20">
              <v:shape style="position:absolute;left:4206;top:-11072;width:10;height:20" coordorigin="4206,-11072" coordsize="10,20" path="m4206,-11053l4215,-11053,4215,-11072,4206,-11072,4206,-11053xe" filled="true" fillcolor="#000000" stroked="false">
                <v:path arrowok="t"/>
                <v:fill type="solid"/>
              </v:shape>
            </v:group>
            <v:group style="position:absolute;left:4206;top:-11053;width:10;height:20" coordorigin="4206,-11053" coordsize="10,20">
              <v:shape style="position:absolute;left:4206;top:-11053;width:10;height:20" coordorigin="4206,-11053" coordsize="10,20" path="m4206,-11034l4215,-11034,4215,-11053,4206,-11053,4206,-11034xe" filled="true" fillcolor="#000000" stroked="false">
                <v:path arrowok="t"/>
                <v:fill type="solid"/>
              </v:shape>
            </v:group>
            <v:group style="position:absolute;left:4206;top:-11034;width:10;height:20" coordorigin="4206,-11034" coordsize="10,20">
              <v:shape style="position:absolute;left:4206;top:-11034;width:10;height:20" coordorigin="4206,-11034" coordsize="10,20" path="m4206,-11015l4215,-11015,4215,-11034,4206,-11034,4206,-11015xe" filled="true" fillcolor="#000000" stroked="false">
                <v:path arrowok="t"/>
                <v:fill type="solid"/>
              </v:shape>
            </v:group>
            <v:group style="position:absolute;left:4206;top:-11015;width:10;height:20" coordorigin="4206,-11015" coordsize="10,20">
              <v:shape style="position:absolute;left:4206;top:-11015;width:10;height:20" coordorigin="4206,-11015" coordsize="10,20" path="m4206,-10996l4215,-10996,4215,-11015,4206,-11015,4206,-10996xe" filled="true" fillcolor="#000000" stroked="false">
                <v:path arrowok="t"/>
                <v:fill type="solid"/>
              </v:shape>
            </v:group>
            <v:group style="position:absolute;left:4206;top:-10996;width:10;height:20" coordorigin="4206,-10996" coordsize="10,20">
              <v:shape style="position:absolute;left:4206;top:-10996;width:10;height:20" coordorigin="4206,-10996" coordsize="10,20" path="m4206,-10976l4215,-10976,4215,-10996,4206,-10996,4206,-10976xe" filled="true" fillcolor="#000000" stroked="false">
                <v:path arrowok="t"/>
                <v:fill type="solid"/>
              </v:shape>
            </v:group>
            <v:group style="position:absolute;left:4206;top:-10976;width:10;height:20" coordorigin="4206,-10976" coordsize="10,20">
              <v:shape style="position:absolute;left:4206;top:-10976;width:10;height:20" coordorigin="4206,-10976" coordsize="10,20" path="m4206,-10957l4215,-10957,4215,-10976,4206,-10976,4206,-10957xe" filled="true" fillcolor="#000000" stroked="false">
                <v:path arrowok="t"/>
                <v:fill type="solid"/>
              </v:shape>
            </v:group>
            <v:group style="position:absolute;left:4206;top:-10957;width:10;height:20" coordorigin="4206,-10957" coordsize="10,20">
              <v:shape style="position:absolute;left:4206;top:-10957;width:10;height:20" coordorigin="4206,-10957" coordsize="10,20" path="m4206,-10938l4215,-10938,4215,-10957,4206,-10957,4206,-10938xe" filled="true" fillcolor="#000000" stroked="false">
                <v:path arrowok="t"/>
                <v:fill type="solid"/>
              </v:shape>
            </v:group>
            <v:group style="position:absolute;left:4206;top:-10938;width:10;height:20" coordorigin="4206,-10938" coordsize="10,20">
              <v:shape style="position:absolute;left:4206;top:-10938;width:10;height:20" coordorigin="4206,-10938" coordsize="10,20" path="m4206,-10919l4215,-10919,4215,-10938,4206,-10938,4206,-10919xe" filled="true" fillcolor="#000000" stroked="false">
                <v:path arrowok="t"/>
                <v:fill type="solid"/>
              </v:shape>
            </v:group>
            <v:group style="position:absolute;left:4206;top:-10919;width:10;height:20" coordorigin="4206,-10919" coordsize="10,20">
              <v:shape style="position:absolute;left:4206;top:-10919;width:10;height:20" coordorigin="4206,-10919" coordsize="10,20" path="m4206,-10900l4215,-10900,4215,-10919,4206,-10919,4206,-10900xe" filled="true" fillcolor="#000000" stroked="false">
                <v:path arrowok="t"/>
                <v:fill type="solid"/>
              </v:shape>
            </v:group>
            <v:group style="position:absolute;left:4206;top:-10900;width:10;height:20" coordorigin="4206,-10900" coordsize="10,20">
              <v:shape style="position:absolute;left:4206;top:-10900;width:10;height:20" coordorigin="4206,-10900" coordsize="10,20" path="m4206,-10880l4215,-10880,4215,-10900,4206,-10900,4206,-10880xe" filled="true" fillcolor="#000000" stroked="false">
                <v:path arrowok="t"/>
                <v:fill type="solid"/>
              </v:shape>
            </v:group>
            <v:group style="position:absolute;left:4206;top:-10880;width:10;height:20" coordorigin="4206,-10880" coordsize="10,20">
              <v:shape style="position:absolute;left:4206;top:-10880;width:10;height:20" coordorigin="4206,-10880" coordsize="10,20" path="m4206,-10861l4215,-10861,4215,-10880,4206,-10880,4206,-10861xe" filled="true" fillcolor="#000000" stroked="false">
                <v:path arrowok="t"/>
                <v:fill type="solid"/>
              </v:shape>
            </v:group>
            <v:group style="position:absolute;left:4206;top:-10861;width:10;height:20" coordorigin="4206,-10861" coordsize="10,20">
              <v:shape style="position:absolute;left:4206;top:-10861;width:10;height:20" coordorigin="4206,-10861" coordsize="10,20" path="m4206,-10842l4215,-10842,4215,-10861,4206,-10861,4206,-10842xe" filled="true" fillcolor="#000000" stroked="false">
                <v:path arrowok="t"/>
                <v:fill type="solid"/>
              </v:shape>
            </v:group>
            <v:group style="position:absolute;left:4206;top:-10842;width:10;height:20" coordorigin="4206,-10842" coordsize="10,20">
              <v:shape style="position:absolute;left:4206;top:-10842;width:10;height:20" coordorigin="4206,-10842" coordsize="10,20" path="m4206,-10823l4215,-10823,4215,-10842,4206,-10842,4206,-10823xe" filled="true" fillcolor="#000000" stroked="false">
                <v:path arrowok="t"/>
                <v:fill type="solid"/>
              </v:shape>
            </v:group>
            <v:group style="position:absolute;left:5905;top:-11533;width:10;height:20" coordorigin="5905,-11533" coordsize="10,20">
              <v:shape style="position:absolute;left:5905;top:-11533;width:10;height:20" coordorigin="5905,-11533" coordsize="10,20" path="m5905,-11514l5915,-11514,5915,-11533,5905,-11533,5905,-11514xe" filled="true" fillcolor="#000000" stroked="false">
                <v:path arrowok="t"/>
                <v:fill type="solid"/>
              </v:shape>
            </v:group>
            <v:group style="position:absolute;left:5905;top:-11514;width:10;height:20" coordorigin="5905,-11514" coordsize="10,20">
              <v:shape style="position:absolute;left:5905;top:-11514;width:10;height:20" coordorigin="5905,-11514" coordsize="10,20" path="m5905,-11495l5915,-11495,5915,-11514,5905,-11514,5905,-11495xe" filled="true" fillcolor="#000000" stroked="false">
                <v:path arrowok="t"/>
                <v:fill type="solid"/>
              </v:shape>
            </v:group>
            <v:group style="position:absolute;left:5905;top:-11495;width:10;height:20" coordorigin="5905,-11495" coordsize="10,20">
              <v:shape style="position:absolute;left:5905;top:-11495;width:10;height:20" coordorigin="5905,-11495" coordsize="10,20" path="m5905,-11476l5915,-11476,5915,-11495,5905,-11495,5905,-11476xe" filled="true" fillcolor="#000000" stroked="false">
                <v:path arrowok="t"/>
                <v:fill type="solid"/>
              </v:shape>
            </v:group>
            <v:group style="position:absolute;left:5905;top:-11476;width:10;height:20" coordorigin="5905,-11476" coordsize="10,20">
              <v:shape style="position:absolute;left:5905;top:-11476;width:10;height:20" coordorigin="5905,-11476" coordsize="10,20" path="m5905,-11456l5915,-11456,5915,-11476,5905,-11476,5905,-11456xe" filled="true" fillcolor="#000000" stroked="false">
                <v:path arrowok="t"/>
                <v:fill type="solid"/>
              </v:shape>
            </v:group>
            <v:group style="position:absolute;left:5905;top:-11456;width:10;height:20" coordorigin="5905,-11456" coordsize="10,20">
              <v:shape style="position:absolute;left:5905;top:-11456;width:10;height:20" coordorigin="5905,-11456" coordsize="10,20" path="m5905,-11437l5915,-11437,5915,-11456,5905,-11456,5905,-11437xe" filled="true" fillcolor="#000000" stroked="false">
                <v:path arrowok="t"/>
                <v:fill type="solid"/>
              </v:shape>
            </v:group>
            <v:group style="position:absolute;left:5905;top:-11437;width:10;height:20" coordorigin="5905,-11437" coordsize="10,20">
              <v:shape style="position:absolute;left:5905;top:-11437;width:10;height:20" coordorigin="5905,-11437" coordsize="10,20" path="m5905,-11418l5915,-11418,5915,-11437,5905,-11437,5905,-11418xe" filled="true" fillcolor="#000000" stroked="false">
                <v:path arrowok="t"/>
                <v:fill type="solid"/>
              </v:shape>
            </v:group>
            <v:group style="position:absolute;left:5905;top:-11418;width:10;height:20" coordorigin="5905,-11418" coordsize="10,20">
              <v:shape style="position:absolute;left:5905;top:-11418;width:10;height:20" coordorigin="5905,-11418" coordsize="10,20" path="m5905,-11399l5915,-11399,5915,-11418,5905,-11418,5905,-11399xe" filled="true" fillcolor="#000000" stroked="false">
                <v:path arrowok="t"/>
                <v:fill type="solid"/>
              </v:shape>
            </v:group>
            <v:group style="position:absolute;left:5905;top:-11399;width:10;height:20" coordorigin="5905,-11399" coordsize="10,20">
              <v:shape style="position:absolute;left:5905;top:-11399;width:10;height:20" coordorigin="5905,-11399" coordsize="10,20" path="m5905,-11380l5915,-11380,5915,-11399,5905,-11399,5905,-11380xe" filled="true" fillcolor="#000000" stroked="false">
                <v:path arrowok="t"/>
                <v:fill type="solid"/>
              </v:shape>
            </v:group>
            <v:group style="position:absolute;left:5905;top:-11380;width:10;height:20" coordorigin="5905,-11380" coordsize="10,20">
              <v:shape style="position:absolute;left:5905;top:-11380;width:10;height:20" coordorigin="5905,-11380" coordsize="10,20" path="m5905,-11360l5915,-11360,5915,-11380,5905,-11380,5905,-11360xe" filled="true" fillcolor="#000000" stroked="false">
                <v:path arrowok="t"/>
                <v:fill type="solid"/>
              </v:shape>
            </v:group>
            <v:group style="position:absolute;left:5905;top:-11360;width:10;height:20" coordorigin="5905,-11360" coordsize="10,20">
              <v:shape style="position:absolute;left:5905;top:-11360;width:10;height:20" coordorigin="5905,-11360" coordsize="10,20" path="m5905,-11341l5915,-11341,5915,-11360,5905,-11360,5905,-11341xe" filled="true" fillcolor="#000000" stroked="false">
                <v:path arrowok="t"/>
                <v:fill type="solid"/>
              </v:shape>
            </v:group>
            <v:group style="position:absolute;left:5905;top:-11341;width:10;height:20" coordorigin="5905,-11341" coordsize="10,20">
              <v:shape style="position:absolute;left:5905;top:-11341;width:10;height:20" coordorigin="5905,-11341" coordsize="10,20" path="m5905,-11322l5915,-11322,5915,-11341,5905,-11341,5905,-11322xe" filled="true" fillcolor="#000000" stroked="false">
                <v:path arrowok="t"/>
                <v:fill type="solid"/>
              </v:shape>
            </v:group>
            <v:group style="position:absolute;left:5905;top:-11322;width:10;height:20" coordorigin="5905,-11322" coordsize="10,20">
              <v:shape style="position:absolute;left:5905;top:-11322;width:10;height:20" coordorigin="5905,-11322" coordsize="10,20" path="m5905,-11303l5915,-11303,5915,-11322,5905,-11322,5905,-11303xe" filled="true" fillcolor="#000000" stroked="false">
                <v:path arrowok="t"/>
                <v:fill type="solid"/>
              </v:shape>
            </v:group>
            <v:group style="position:absolute;left:5905;top:-11303;width:10;height:20" coordorigin="5905,-11303" coordsize="10,20">
              <v:shape style="position:absolute;left:5905;top:-11303;width:10;height:20" coordorigin="5905,-11303" coordsize="10,20" path="m5905,-11284l5915,-11284,5915,-11303,5905,-11303,5905,-11284xe" filled="true" fillcolor="#000000" stroked="false">
                <v:path arrowok="t"/>
                <v:fill type="solid"/>
              </v:shape>
            </v:group>
            <v:group style="position:absolute;left:5905;top:-11284;width:10;height:20" coordorigin="5905,-11284" coordsize="10,20">
              <v:shape style="position:absolute;left:5905;top:-11284;width:10;height:20" coordorigin="5905,-11284" coordsize="10,20" path="m5905,-11264l5915,-11264,5915,-11284,5905,-11284,5905,-11264xe" filled="true" fillcolor="#000000" stroked="false">
                <v:path arrowok="t"/>
                <v:fill type="solid"/>
              </v:shape>
            </v:group>
            <v:group style="position:absolute;left:5905;top:-11264;width:10;height:20" coordorigin="5905,-11264" coordsize="10,20">
              <v:shape style="position:absolute;left:5905;top:-11264;width:10;height:20" coordorigin="5905,-11264" coordsize="10,20" path="m5905,-11245l5915,-11245,5915,-11264,5905,-11264,5905,-11245xe" filled="true" fillcolor="#000000" stroked="false">
                <v:path arrowok="t"/>
                <v:fill type="solid"/>
              </v:shape>
            </v:group>
            <v:group style="position:absolute;left:5905;top:-11245;width:10;height:20" coordorigin="5905,-11245" coordsize="10,20">
              <v:shape style="position:absolute;left:5905;top:-11245;width:10;height:20" coordorigin="5905,-11245" coordsize="10,20" path="m5905,-11226l5915,-11226,5915,-11245,5905,-11245,5905,-11226xe" filled="true" fillcolor="#000000" stroked="false">
                <v:path arrowok="t"/>
                <v:fill type="solid"/>
              </v:shape>
            </v:group>
            <v:group style="position:absolute;left:5905;top:-11226;width:10;height:20" coordorigin="5905,-11226" coordsize="10,20">
              <v:shape style="position:absolute;left:5905;top:-11226;width:10;height:20" coordorigin="5905,-11226" coordsize="10,20" path="m5905,-11207l5915,-11207,5915,-11226,5905,-11226,5905,-11207xe" filled="true" fillcolor="#000000" stroked="false">
                <v:path arrowok="t"/>
                <v:fill type="solid"/>
              </v:shape>
            </v:group>
            <v:group style="position:absolute;left:5905;top:-11207;width:10;height:20" coordorigin="5905,-11207" coordsize="10,20">
              <v:shape style="position:absolute;left:5905;top:-11207;width:10;height:20" coordorigin="5905,-11207" coordsize="10,20" path="m5905,-11188l5915,-11188,5915,-11207,5905,-11207,5905,-11188xe" filled="true" fillcolor="#000000" stroked="false">
                <v:path arrowok="t"/>
                <v:fill type="solid"/>
              </v:shape>
            </v:group>
            <v:group style="position:absolute;left:5905;top:-11188;width:10;height:20" coordorigin="5905,-11188" coordsize="10,20">
              <v:shape style="position:absolute;left:5905;top:-11188;width:10;height:20" coordorigin="5905,-11188" coordsize="10,20" path="m5905,-11168l5915,-11168,5915,-11188,5905,-11188,5905,-11168xe" filled="true" fillcolor="#000000" stroked="false">
                <v:path arrowok="t"/>
                <v:fill type="solid"/>
              </v:shape>
            </v:group>
            <v:group style="position:absolute;left:5905;top:-11168;width:10;height:20" coordorigin="5905,-11168" coordsize="10,20">
              <v:shape style="position:absolute;left:5905;top:-11168;width:10;height:20" coordorigin="5905,-11168" coordsize="10,20" path="m5905,-11149l5915,-11149,5915,-11168,5905,-11168,5905,-11149xe" filled="true" fillcolor="#000000" stroked="false">
                <v:path arrowok="t"/>
                <v:fill type="solid"/>
              </v:shape>
            </v:group>
            <v:group style="position:absolute;left:5905;top:-11149;width:10;height:20" coordorigin="5905,-11149" coordsize="10,20">
              <v:shape style="position:absolute;left:5905;top:-11149;width:10;height:20" coordorigin="5905,-11149" coordsize="10,20" path="m5905,-11130l5915,-11130,5915,-11149,5905,-11149,5905,-11130xe" filled="true" fillcolor="#000000" stroked="false">
                <v:path arrowok="t"/>
                <v:fill type="solid"/>
              </v:shape>
            </v:group>
            <v:group style="position:absolute;left:5905;top:-11130;width:10;height:20" coordorigin="5905,-11130" coordsize="10,20">
              <v:shape style="position:absolute;left:5905;top:-11130;width:10;height:20" coordorigin="5905,-11130" coordsize="10,20" path="m5905,-11111l5915,-11111,5915,-11130,5905,-11130,5905,-11111xe" filled="true" fillcolor="#000000" stroked="false">
                <v:path arrowok="t"/>
                <v:fill type="solid"/>
              </v:shape>
            </v:group>
            <v:group style="position:absolute;left:5905;top:-11111;width:10;height:20" coordorigin="5905,-11111" coordsize="10,20">
              <v:shape style="position:absolute;left:5905;top:-11111;width:10;height:20" coordorigin="5905,-11111" coordsize="10,20" path="m5905,-11092l5915,-11092,5915,-11111,5905,-11111,5905,-11092xe" filled="true" fillcolor="#000000" stroked="false">
                <v:path arrowok="t"/>
                <v:fill type="solid"/>
              </v:shape>
            </v:group>
            <v:group style="position:absolute;left:5905;top:-11092;width:10;height:20" coordorigin="5905,-11092" coordsize="10,20">
              <v:shape style="position:absolute;left:5905;top:-11092;width:10;height:20" coordorigin="5905,-11092" coordsize="10,20" path="m5905,-11072l5915,-11072,5915,-11092,5905,-11092,5905,-11072xe" filled="true" fillcolor="#000000" stroked="false">
                <v:path arrowok="t"/>
                <v:fill type="solid"/>
              </v:shape>
            </v:group>
            <v:group style="position:absolute;left:5905;top:-11072;width:10;height:20" coordorigin="5905,-11072" coordsize="10,20">
              <v:shape style="position:absolute;left:5905;top:-11072;width:10;height:20" coordorigin="5905,-11072" coordsize="10,20" path="m5905,-11053l5915,-11053,5915,-11072,5905,-11072,5905,-11053xe" filled="true" fillcolor="#000000" stroked="false">
                <v:path arrowok="t"/>
                <v:fill type="solid"/>
              </v:shape>
            </v:group>
            <v:group style="position:absolute;left:5905;top:-11053;width:10;height:20" coordorigin="5905,-11053" coordsize="10,20">
              <v:shape style="position:absolute;left:5905;top:-11053;width:10;height:20" coordorigin="5905,-11053" coordsize="10,20" path="m5905,-11034l5915,-11034,5915,-11053,5905,-11053,5905,-11034xe" filled="true" fillcolor="#000000" stroked="false">
                <v:path arrowok="t"/>
                <v:fill type="solid"/>
              </v:shape>
            </v:group>
            <v:group style="position:absolute;left:5905;top:-11034;width:10;height:20" coordorigin="5905,-11034" coordsize="10,20">
              <v:shape style="position:absolute;left:5905;top:-11034;width:10;height:20" coordorigin="5905,-11034" coordsize="10,20" path="m5905,-11015l5915,-11015,5915,-11034,5905,-11034,5905,-11015xe" filled="true" fillcolor="#000000" stroked="false">
                <v:path arrowok="t"/>
                <v:fill type="solid"/>
              </v:shape>
            </v:group>
            <v:group style="position:absolute;left:5905;top:-11015;width:10;height:20" coordorigin="5905,-11015" coordsize="10,20">
              <v:shape style="position:absolute;left:5905;top:-11015;width:10;height:20" coordorigin="5905,-11015" coordsize="10,20" path="m5905,-10996l5915,-10996,5915,-11015,5905,-11015,5905,-10996xe" filled="true" fillcolor="#000000" stroked="false">
                <v:path arrowok="t"/>
                <v:fill type="solid"/>
              </v:shape>
            </v:group>
            <v:group style="position:absolute;left:5905;top:-10996;width:10;height:20" coordorigin="5905,-10996" coordsize="10,20">
              <v:shape style="position:absolute;left:5905;top:-10996;width:10;height:20" coordorigin="5905,-10996" coordsize="10,20" path="m5905,-10976l5915,-10976,5915,-10996,5905,-10996,5905,-10976xe" filled="true" fillcolor="#000000" stroked="false">
                <v:path arrowok="t"/>
                <v:fill type="solid"/>
              </v:shape>
            </v:group>
            <v:group style="position:absolute;left:5905;top:-10976;width:10;height:20" coordorigin="5905,-10976" coordsize="10,20">
              <v:shape style="position:absolute;left:5905;top:-10976;width:10;height:20" coordorigin="5905,-10976" coordsize="10,20" path="m5905,-10957l5915,-10957,5915,-10976,5905,-10976,5905,-10957xe" filled="true" fillcolor="#000000" stroked="false">
                <v:path arrowok="t"/>
                <v:fill type="solid"/>
              </v:shape>
            </v:group>
            <v:group style="position:absolute;left:5905;top:-10957;width:10;height:20" coordorigin="5905,-10957" coordsize="10,20">
              <v:shape style="position:absolute;left:5905;top:-10957;width:10;height:20" coordorigin="5905,-10957" coordsize="10,20" path="m5905,-10938l5915,-10938,5915,-10957,5905,-10957,5905,-10938xe" filled="true" fillcolor="#000000" stroked="false">
                <v:path arrowok="t"/>
                <v:fill type="solid"/>
              </v:shape>
            </v:group>
            <v:group style="position:absolute;left:5905;top:-10938;width:10;height:20" coordorigin="5905,-10938" coordsize="10,20">
              <v:shape style="position:absolute;left:5905;top:-10938;width:10;height:20" coordorigin="5905,-10938" coordsize="10,20" path="m5905,-10919l5915,-10919,5915,-10938,5905,-10938,5905,-10919xe" filled="true" fillcolor="#000000" stroked="false">
                <v:path arrowok="t"/>
                <v:fill type="solid"/>
              </v:shape>
            </v:group>
            <v:group style="position:absolute;left:5905;top:-10919;width:10;height:20" coordorigin="5905,-10919" coordsize="10,20">
              <v:shape style="position:absolute;left:5905;top:-10919;width:10;height:20" coordorigin="5905,-10919" coordsize="10,20" path="m5905,-10900l5915,-10900,5915,-10919,5905,-10919,5905,-10900xe" filled="true" fillcolor="#000000" stroked="false">
                <v:path arrowok="t"/>
                <v:fill type="solid"/>
              </v:shape>
            </v:group>
            <v:group style="position:absolute;left:5905;top:-10900;width:10;height:20" coordorigin="5905,-10900" coordsize="10,20">
              <v:shape style="position:absolute;left:5905;top:-10900;width:10;height:20" coordorigin="5905,-10900" coordsize="10,20" path="m5905,-10880l5915,-10880,5915,-10900,5905,-10900,5905,-10880xe" filled="true" fillcolor="#000000" stroked="false">
                <v:path arrowok="t"/>
                <v:fill type="solid"/>
              </v:shape>
            </v:group>
            <v:group style="position:absolute;left:5905;top:-10880;width:10;height:20" coordorigin="5905,-10880" coordsize="10,20">
              <v:shape style="position:absolute;left:5905;top:-10880;width:10;height:20" coordorigin="5905,-10880" coordsize="10,20" path="m5905,-10861l5915,-10861,5915,-10880,5905,-10880,5905,-10861xe" filled="true" fillcolor="#000000" stroked="false">
                <v:path arrowok="t"/>
                <v:fill type="solid"/>
              </v:shape>
            </v:group>
            <v:group style="position:absolute;left:5905;top:-10861;width:10;height:20" coordorigin="5905,-10861" coordsize="10,20">
              <v:shape style="position:absolute;left:5905;top:-10861;width:10;height:20" coordorigin="5905,-10861" coordsize="10,20" path="m5905,-10842l5915,-10842,5915,-10861,5905,-10861,5905,-10842xe" filled="true" fillcolor="#000000" stroked="false">
                <v:path arrowok="t"/>
                <v:fill type="solid"/>
              </v:shape>
            </v:group>
            <v:group style="position:absolute;left:5905;top:-10842;width:10;height:20" coordorigin="5905,-10842" coordsize="10,20">
              <v:shape style="position:absolute;left:5905;top:-10842;width:10;height:20" coordorigin="5905,-10842" coordsize="10,20" path="m5905,-10823l5915,-10823,5915,-10842,5905,-10842,5905,-10823xe" filled="true" fillcolor="#000000" stroked="false">
                <v:path arrowok="t"/>
                <v:fill type="solid"/>
              </v:shape>
            </v:group>
            <v:group style="position:absolute;left:5905;top:-10823;width:10;height:20" coordorigin="5905,-10823" coordsize="10,20">
              <v:shape style="position:absolute;left:5905;top:-10823;width:10;height:20" coordorigin="5905,-10823" coordsize="10,20" path="m5905,-10804l5915,-10804,5915,-10823,5905,-10823,5905,-10804xe" filled="true" fillcolor="#000000" stroked="false">
                <v:path arrowok="t"/>
                <v:fill type="solid"/>
              </v:shape>
            </v:group>
            <v:group style="position:absolute;left:5905;top:-10804;width:10;height:20" coordorigin="5905,-10804" coordsize="10,20">
              <v:shape style="position:absolute;left:5905;top:-10804;width:10;height:20" coordorigin="5905,-10804" coordsize="10,20" path="m5905,-10784l5915,-10784,5915,-10804,5905,-10804,5905,-10784xe" filled="true" fillcolor="#000000" stroked="false">
                <v:path arrowok="t"/>
                <v:fill type="solid"/>
              </v:shape>
            </v:group>
            <v:group style="position:absolute;left:5905;top:-10784;width:10;height:20" coordorigin="5905,-10784" coordsize="10,20">
              <v:shape style="position:absolute;left:5905;top:-10784;width:10;height:20" coordorigin="5905,-10784" coordsize="10,20" path="m5905,-10765l5915,-10765,5915,-10784,5905,-10784,5905,-10765xe" filled="true" fillcolor="#000000" stroked="false">
                <v:path arrowok="t"/>
                <v:fill type="solid"/>
              </v:shape>
            </v:group>
            <v:group style="position:absolute;left:5905;top:-10765;width:10;height:20" coordorigin="5905,-10765" coordsize="10,20">
              <v:shape style="position:absolute;left:5905;top:-10765;width:10;height:20" coordorigin="5905,-10765" coordsize="10,20" path="m5905,-10746l5915,-10746,5915,-10765,5905,-10765,5905,-10746xe" filled="true" fillcolor="#000000" stroked="false">
                <v:path arrowok="t"/>
                <v:fill type="solid"/>
              </v:shape>
            </v:group>
            <v:group style="position:absolute;left:5905;top:-10739;width:10;height:2" coordorigin="5905,-10739" coordsize="10,2">
              <v:shape style="position:absolute;left:5905;top:-10739;width:10;height:2" coordorigin="5905,-10739" coordsize="10,0" path="m5905,-10739l5915,-10739e" filled="false" stroked="true" strokeweight=".72003pt" strokecolor="#000000">
                <v:path arrowok="t"/>
              </v:shape>
              <v:shape style="position:absolute;left:2405;top:-10823;width:1820;height:101" type="#_x0000_t75" stroked="false">
                <v:imagedata r:id="rId249" o:title=""/>
              </v:shape>
              <v:shape style="position:absolute;left:4201;top:-10732;width:2753;height:10" type="#_x0000_t75" stroked="false">
                <v:imagedata r:id="rId244" o:title=""/>
              </v:shape>
              <v:shape style="position:absolute;left:6949;top:-10732;width:1082;height:10" type="#_x0000_t75" stroked="false">
                <v:imagedata r:id="rId245" o:title=""/>
              </v:shape>
              <v:shape style="position:absolute;left:8027;top:-10732;width:2441;height:10" type="#_x0000_t75" stroked="false">
                <v:imagedata r:id="rId246" o:title=""/>
              </v:shape>
            </v:group>
            <v:group style="position:absolute;left:4206;top:-10722;width:10;height:20" coordorigin="4206,-10722" coordsize="10,20">
              <v:shape style="position:absolute;left:4206;top:-10722;width:10;height:20" coordorigin="4206,-10722" coordsize="10,20" path="m4206,-10703l4215,-10703,4215,-10722,4206,-10722,4206,-10703xe" filled="true" fillcolor="#000000" stroked="false">
                <v:path arrowok="t"/>
                <v:fill type="solid"/>
              </v:shape>
            </v:group>
            <v:group style="position:absolute;left:4206;top:-10703;width:10;height:20" coordorigin="4206,-10703" coordsize="10,20">
              <v:shape style="position:absolute;left:4206;top:-10703;width:10;height:20" coordorigin="4206,-10703" coordsize="10,20" path="m4206,-10684l4215,-10684,4215,-10703,4206,-10703,4206,-10684xe" filled="true" fillcolor="#000000" stroked="false">
                <v:path arrowok="t"/>
                <v:fill type="solid"/>
              </v:shape>
            </v:group>
            <v:group style="position:absolute;left:4206;top:-10684;width:10;height:20" coordorigin="4206,-10684" coordsize="10,20">
              <v:shape style="position:absolute;left:4206;top:-10684;width:10;height:20" coordorigin="4206,-10684" coordsize="10,20" path="m4206,-10664l4215,-10664,4215,-10684,4206,-10684,4206,-10664xe" filled="true" fillcolor="#000000" stroked="false">
                <v:path arrowok="t"/>
                <v:fill type="solid"/>
              </v:shape>
            </v:group>
            <v:group style="position:absolute;left:4206;top:-10664;width:10;height:20" coordorigin="4206,-10664" coordsize="10,20">
              <v:shape style="position:absolute;left:4206;top:-10664;width:10;height:20" coordorigin="4206,-10664" coordsize="10,20" path="m4206,-10645l4215,-10645,4215,-10664,4206,-10664,4206,-10645xe" filled="true" fillcolor="#000000" stroked="false">
                <v:path arrowok="t"/>
                <v:fill type="solid"/>
              </v:shape>
            </v:group>
            <v:group style="position:absolute;left:4206;top:-10645;width:10;height:20" coordorigin="4206,-10645" coordsize="10,20">
              <v:shape style="position:absolute;left:4206;top:-10645;width:10;height:20" coordorigin="4206,-10645" coordsize="10,20" path="m4206,-10626l4215,-10626,4215,-10645,4206,-10645,4206,-10626xe" filled="true" fillcolor="#000000" stroked="false">
                <v:path arrowok="t"/>
                <v:fill type="solid"/>
              </v:shape>
            </v:group>
            <v:group style="position:absolute;left:4206;top:-10626;width:10;height:20" coordorigin="4206,-10626" coordsize="10,20">
              <v:shape style="position:absolute;left:4206;top:-10626;width:10;height:20" coordorigin="4206,-10626" coordsize="10,20" path="m4206,-10607l4215,-10607,4215,-10626,4206,-10626,4206,-10607xe" filled="true" fillcolor="#000000" stroked="false">
                <v:path arrowok="t"/>
                <v:fill type="solid"/>
              </v:shape>
            </v:group>
            <v:group style="position:absolute;left:4206;top:-10607;width:10;height:20" coordorigin="4206,-10607" coordsize="10,20">
              <v:shape style="position:absolute;left:4206;top:-10607;width:10;height:20" coordorigin="4206,-10607" coordsize="10,20" path="m4206,-10588l4215,-10588,4215,-10607,4206,-10607,4206,-10588xe" filled="true" fillcolor="#000000" stroked="false">
                <v:path arrowok="t"/>
                <v:fill type="solid"/>
              </v:shape>
            </v:group>
            <v:group style="position:absolute;left:4206;top:-10588;width:10;height:20" coordorigin="4206,-10588" coordsize="10,20">
              <v:shape style="position:absolute;left:4206;top:-10588;width:10;height:20" coordorigin="4206,-10588" coordsize="10,20" path="m4206,-10568l4215,-10568,4215,-10588,4206,-10588,4206,-10568xe" filled="true" fillcolor="#000000" stroked="false">
                <v:path arrowok="t"/>
                <v:fill type="solid"/>
              </v:shape>
            </v:group>
            <v:group style="position:absolute;left:4206;top:-10568;width:10;height:20" coordorigin="4206,-10568" coordsize="10,20">
              <v:shape style="position:absolute;left:4206;top:-10568;width:10;height:20" coordorigin="4206,-10568" coordsize="10,20" path="m4206,-10549l4215,-10549,4215,-10568,4206,-10568,4206,-10549xe" filled="true" fillcolor="#000000" stroked="false">
                <v:path arrowok="t"/>
                <v:fill type="solid"/>
              </v:shape>
            </v:group>
            <v:group style="position:absolute;left:4206;top:-10549;width:10;height:20" coordorigin="4206,-10549" coordsize="10,20">
              <v:shape style="position:absolute;left:4206;top:-10549;width:10;height:20" coordorigin="4206,-10549" coordsize="10,20" path="m4206,-10530l4215,-10530,4215,-10549,4206,-10549,4206,-10530xe" filled="true" fillcolor="#000000" stroked="false">
                <v:path arrowok="t"/>
                <v:fill type="solid"/>
              </v:shape>
            </v:group>
            <v:group style="position:absolute;left:4206;top:-10530;width:10;height:20" coordorigin="4206,-10530" coordsize="10,20">
              <v:shape style="position:absolute;left:4206;top:-10530;width:10;height:20" coordorigin="4206,-10530" coordsize="10,20" path="m4206,-10511l4215,-10511,4215,-10530,4206,-10530,4206,-10511xe" filled="true" fillcolor="#000000" stroked="false">
                <v:path arrowok="t"/>
                <v:fill type="solid"/>
              </v:shape>
            </v:group>
            <v:group style="position:absolute;left:4206;top:-10511;width:10;height:20" coordorigin="4206,-10511" coordsize="10,20">
              <v:shape style="position:absolute;left:4206;top:-10511;width:10;height:20" coordorigin="4206,-10511" coordsize="10,20" path="m4206,-10492l4215,-10492,4215,-10511,4206,-10511,4206,-10492xe" filled="true" fillcolor="#000000" stroked="false">
                <v:path arrowok="t"/>
                <v:fill type="solid"/>
              </v:shape>
            </v:group>
            <v:group style="position:absolute;left:4206;top:-10492;width:10;height:20" coordorigin="4206,-10492" coordsize="10,20">
              <v:shape style="position:absolute;left:4206;top:-10492;width:10;height:20" coordorigin="4206,-10492" coordsize="10,20" path="m4206,-10472l4215,-10472,4215,-10492,4206,-10492,4206,-10472xe" filled="true" fillcolor="#000000" stroked="false">
                <v:path arrowok="t"/>
                <v:fill type="solid"/>
              </v:shape>
            </v:group>
            <v:group style="position:absolute;left:4206;top:-10472;width:10;height:20" coordorigin="4206,-10472" coordsize="10,20">
              <v:shape style="position:absolute;left:4206;top:-10472;width:10;height:20" coordorigin="4206,-10472" coordsize="10,20" path="m4206,-10453l4215,-10453,4215,-10472,4206,-10472,4206,-10453xe" filled="true" fillcolor="#000000" stroked="false">
                <v:path arrowok="t"/>
                <v:fill type="solid"/>
              </v:shape>
            </v:group>
            <v:group style="position:absolute;left:4206;top:-10453;width:10;height:20" coordorigin="4206,-10453" coordsize="10,20">
              <v:shape style="position:absolute;left:4206;top:-10453;width:10;height:20" coordorigin="4206,-10453" coordsize="10,20" path="m4206,-10434l4215,-10434,4215,-10453,4206,-10453,4206,-10434xe" filled="true" fillcolor="#000000" stroked="false">
                <v:path arrowok="t"/>
                <v:fill type="solid"/>
              </v:shape>
            </v:group>
            <v:group style="position:absolute;left:4206;top:-10434;width:10;height:20" coordorigin="4206,-10434" coordsize="10,20">
              <v:shape style="position:absolute;left:4206;top:-10434;width:10;height:20" coordorigin="4206,-10434" coordsize="10,20" path="m4206,-10415l4215,-10415,4215,-10434,4206,-10434,4206,-10415xe" filled="true" fillcolor="#000000" stroked="false">
                <v:path arrowok="t"/>
                <v:fill type="solid"/>
              </v:shape>
            </v:group>
            <v:group style="position:absolute;left:4206;top:-10415;width:10;height:20" coordorigin="4206,-10415" coordsize="10,20">
              <v:shape style="position:absolute;left:4206;top:-10415;width:10;height:20" coordorigin="4206,-10415" coordsize="10,20" path="m4206,-10396l4215,-10396,4215,-10415,4206,-10415,4206,-10396xe" filled="true" fillcolor="#000000" stroked="false">
                <v:path arrowok="t"/>
                <v:fill type="solid"/>
              </v:shape>
            </v:group>
            <v:group style="position:absolute;left:4206;top:-10396;width:10;height:20" coordorigin="4206,-10396" coordsize="10,20">
              <v:shape style="position:absolute;left:4206;top:-10396;width:10;height:20" coordorigin="4206,-10396" coordsize="10,20" path="m4206,-10376l4215,-10376,4215,-10396,4206,-10396,4206,-10376xe" filled="true" fillcolor="#000000" stroked="false">
                <v:path arrowok="t"/>
                <v:fill type="solid"/>
              </v:shape>
            </v:group>
            <v:group style="position:absolute;left:4206;top:-10376;width:10;height:20" coordorigin="4206,-10376" coordsize="10,20">
              <v:shape style="position:absolute;left:4206;top:-10376;width:10;height:20" coordorigin="4206,-10376" coordsize="10,20" path="m4206,-10357l4215,-10357,4215,-10376,4206,-10376,4206,-10357xe" filled="true" fillcolor="#000000" stroked="false">
                <v:path arrowok="t"/>
                <v:fill type="solid"/>
              </v:shape>
            </v:group>
            <v:group style="position:absolute;left:4206;top:-10357;width:10;height:20" coordorigin="4206,-10357" coordsize="10,20">
              <v:shape style="position:absolute;left:4206;top:-10357;width:10;height:20" coordorigin="4206,-10357" coordsize="10,20" path="m4206,-10338l4215,-10338,4215,-10357,4206,-10357,4206,-10338xe" filled="true" fillcolor="#000000" stroked="false">
                <v:path arrowok="t"/>
                <v:fill type="solid"/>
              </v:shape>
            </v:group>
            <v:group style="position:absolute;left:4206;top:-10338;width:10;height:20" coordorigin="4206,-10338" coordsize="10,20">
              <v:shape style="position:absolute;left:4206;top:-10338;width:10;height:20" coordorigin="4206,-10338" coordsize="10,20" path="m4206,-10319l4215,-10319,4215,-10338,4206,-10338,4206,-10319xe" filled="true" fillcolor="#000000" stroked="false">
                <v:path arrowok="t"/>
                <v:fill type="solid"/>
              </v:shape>
            </v:group>
            <v:group style="position:absolute;left:4206;top:-10319;width:10;height:20" coordorigin="4206,-10319" coordsize="10,20">
              <v:shape style="position:absolute;left:4206;top:-10319;width:10;height:20" coordorigin="4206,-10319" coordsize="10,20" path="m4206,-10300l4215,-10300,4215,-10319,4206,-10319,4206,-10300xe" filled="true" fillcolor="#000000" stroked="false">
                <v:path arrowok="t"/>
                <v:fill type="solid"/>
              </v:shape>
            </v:group>
            <v:group style="position:absolute;left:4206;top:-10300;width:10;height:20" coordorigin="4206,-10300" coordsize="10,20">
              <v:shape style="position:absolute;left:4206;top:-10300;width:10;height:20" coordorigin="4206,-10300" coordsize="10,20" path="m4206,-10280l4215,-10280,4215,-10300,4206,-10300,4206,-10280xe" filled="true" fillcolor="#000000" stroked="false">
                <v:path arrowok="t"/>
                <v:fill type="solid"/>
              </v:shape>
            </v:group>
            <v:group style="position:absolute;left:4206;top:-10280;width:10;height:20" coordorigin="4206,-10280" coordsize="10,20">
              <v:shape style="position:absolute;left:4206;top:-10280;width:10;height:20" coordorigin="4206,-10280" coordsize="10,20" path="m4206,-10261l4215,-10261,4215,-10280,4206,-10280,4206,-10261xe" filled="true" fillcolor="#000000" stroked="false">
                <v:path arrowok="t"/>
                <v:fill type="solid"/>
              </v:shape>
            </v:group>
            <v:group style="position:absolute;left:4206;top:-10261;width:10;height:20" coordorigin="4206,-10261" coordsize="10,20">
              <v:shape style="position:absolute;left:4206;top:-10261;width:10;height:20" coordorigin="4206,-10261" coordsize="10,20" path="m4206,-10242l4215,-10242,4215,-10261,4206,-10261,4206,-10242xe" filled="true" fillcolor="#000000" stroked="false">
                <v:path arrowok="t"/>
                <v:fill type="solid"/>
              </v:shape>
            </v:group>
            <v:group style="position:absolute;left:4206;top:-10242;width:10;height:20" coordorigin="4206,-10242" coordsize="10,20">
              <v:shape style="position:absolute;left:4206;top:-10242;width:10;height:20" coordorigin="4206,-10242" coordsize="10,20" path="m4206,-10223l4215,-10223,4215,-10242,4206,-10242,4206,-10223xe" filled="true" fillcolor="#000000" stroked="false">
                <v:path arrowok="t"/>
                <v:fill type="solid"/>
              </v:shape>
            </v:group>
            <v:group style="position:absolute;left:4206;top:-10223;width:10;height:20" coordorigin="4206,-10223" coordsize="10,20">
              <v:shape style="position:absolute;left:4206;top:-10223;width:10;height:20" coordorigin="4206,-10223" coordsize="10,20" path="m4206,-10204l4215,-10204,4215,-10223,4206,-10223,4206,-10204xe" filled="true" fillcolor="#000000" stroked="false">
                <v:path arrowok="t"/>
                <v:fill type="solid"/>
              </v:shape>
            </v:group>
            <v:group style="position:absolute;left:4206;top:-10204;width:10;height:20" coordorigin="4206,-10204" coordsize="10,20">
              <v:shape style="position:absolute;left:4206;top:-10204;width:10;height:20" coordorigin="4206,-10204" coordsize="10,20" path="m4206,-10184l4215,-10184,4215,-10204,4206,-10204,4206,-10184xe" filled="true" fillcolor="#000000" stroked="false">
                <v:path arrowok="t"/>
                <v:fill type="solid"/>
              </v:shape>
            </v:group>
            <v:group style="position:absolute;left:4206;top:-10184;width:10;height:20" coordorigin="4206,-10184" coordsize="10,20">
              <v:shape style="position:absolute;left:4206;top:-10184;width:10;height:20" coordorigin="4206,-10184" coordsize="10,20" path="m4206,-10165l4215,-10165,4215,-10184,4206,-10184,4206,-10165xe" filled="true" fillcolor="#000000" stroked="false">
                <v:path arrowok="t"/>
                <v:fill type="solid"/>
              </v:shape>
            </v:group>
            <v:group style="position:absolute;left:4206;top:-10165;width:10;height:20" coordorigin="4206,-10165" coordsize="10,20">
              <v:shape style="position:absolute;left:4206;top:-10165;width:10;height:20" coordorigin="4206,-10165" coordsize="10,20" path="m4206,-10146l4215,-10146,4215,-10165,4206,-10165,4206,-10146xe" filled="true" fillcolor="#000000" stroked="false">
                <v:path arrowok="t"/>
                <v:fill type="solid"/>
              </v:shape>
            </v:group>
            <v:group style="position:absolute;left:4206;top:-10146;width:10;height:20" coordorigin="4206,-10146" coordsize="10,20">
              <v:shape style="position:absolute;left:4206;top:-10146;width:10;height:20" coordorigin="4206,-10146" coordsize="10,20" path="m4206,-10127l4215,-10127,4215,-10146,4206,-10146,4206,-10127xe" filled="true" fillcolor="#000000" stroked="false">
                <v:path arrowok="t"/>
                <v:fill type="solid"/>
              </v:shape>
            </v:group>
            <v:group style="position:absolute;left:4206;top:-10127;width:10;height:20" coordorigin="4206,-10127" coordsize="10,20">
              <v:shape style="position:absolute;left:4206;top:-10127;width:10;height:20" coordorigin="4206,-10127" coordsize="10,20" path="m4206,-10108l4215,-10108,4215,-10127,4206,-10127,4206,-10108xe" filled="true" fillcolor="#000000" stroked="false">
                <v:path arrowok="t"/>
                <v:fill type="solid"/>
              </v:shape>
            </v:group>
            <v:group style="position:absolute;left:4206;top:-10108;width:10;height:20" coordorigin="4206,-10108" coordsize="10,20">
              <v:shape style="position:absolute;left:4206;top:-10108;width:10;height:20" coordorigin="4206,-10108" coordsize="10,20" path="m4206,-10088l4215,-10088,4215,-10108,4206,-10108,4206,-10088xe" filled="true" fillcolor="#000000" stroked="false">
                <v:path arrowok="t"/>
                <v:fill type="solid"/>
              </v:shape>
            </v:group>
            <v:group style="position:absolute;left:4206;top:-10088;width:10;height:20" coordorigin="4206,-10088" coordsize="10,20">
              <v:shape style="position:absolute;left:4206;top:-10088;width:10;height:20" coordorigin="4206,-10088" coordsize="10,20" path="m4206,-10069l4215,-10069,4215,-10088,4206,-10088,4206,-10069xe" filled="true" fillcolor="#000000" stroked="false">
                <v:path arrowok="t"/>
                <v:fill type="solid"/>
              </v:shape>
            </v:group>
            <v:group style="position:absolute;left:4206;top:-10069;width:10;height:20" coordorigin="4206,-10069" coordsize="10,20">
              <v:shape style="position:absolute;left:4206;top:-10069;width:10;height:20" coordorigin="4206,-10069" coordsize="10,20" path="m4206,-10050l4215,-10050,4215,-10069,4206,-10069,4206,-10050xe" filled="true" fillcolor="#000000" stroked="false">
                <v:path arrowok="t"/>
                <v:fill type="solid"/>
              </v:shape>
            </v:group>
            <v:group style="position:absolute;left:4206;top:-10050;width:10;height:20" coordorigin="4206,-10050" coordsize="10,20">
              <v:shape style="position:absolute;left:4206;top:-10050;width:10;height:20" coordorigin="4206,-10050" coordsize="10,20" path="m4206,-10031l4215,-10031,4215,-10050,4206,-10050,4206,-10031xe" filled="true" fillcolor="#000000" stroked="false">
                <v:path arrowok="t"/>
                <v:fill type="solid"/>
              </v:shape>
            </v:group>
            <v:group style="position:absolute;left:4206;top:-10031;width:10;height:20" coordorigin="4206,-10031" coordsize="10,20">
              <v:shape style="position:absolute;left:4206;top:-10031;width:10;height:20" coordorigin="4206,-10031" coordsize="10,20" path="m4206,-10012l4215,-10012,4215,-10031,4206,-10031,4206,-10012xe" filled="true" fillcolor="#000000" stroked="false">
                <v:path arrowok="t"/>
                <v:fill type="solid"/>
              </v:shape>
            </v:group>
            <v:group style="position:absolute;left:4206;top:-10012;width:10;height:20" coordorigin="4206,-10012" coordsize="10,20">
              <v:shape style="position:absolute;left:4206;top:-10012;width:10;height:20" coordorigin="4206,-10012" coordsize="10,20" path="m4206,-9992l4215,-9992,4215,-10012,4206,-10012,4206,-9992xe" filled="true" fillcolor="#000000" stroked="false">
                <v:path arrowok="t"/>
                <v:fill type="solid"/>
              </v:shape>
            </v:group>
            <v:group style="position:absolute;left:4206;top:-9992;width:10;height:20" coordorigin="4206,-9992" coordsize="10,20">
              <v:shape style="position:absolute;left:4206;top:-9992;width:10;height:20" coordorigin="4206,-9992" coordsize="10,20" path="m4206,-9973l4215,-9973,4215,-9992,4206,-9992,4206,-9973xe" filled="true" fillcolor="#000000" stroked="false">
                <v:path arrowok="t"/>
                <v:fill type="solid"/>
              </v:shape>
            </v:group>
            <v:group style="position:absolute;left:4206;top:-9973;width:10;height:20" coordorigin="4206,-9973" coordsize="10,20">
              <v:shape style="position:absolute;left:4206;top:-9973;width:10;height:20" coordorigin="4206,-9973" coordsize="10,20" path="m4206,-9954l4215,-9954,4215,-9973,4206,-9973,4206,-9954xe" filled="true" fillcolor="#000000" stroked="false">
                <v:path arrowok="t"/>
                <v:fill type="solid"/>
              </v:shape>
            </v:group>
            <v:group style="position:absolute;left:4206;top:-9954;width:10;height:20" coordorigin="4206,-9954" coordsize="10,20">
              <v:shape style="position:absolute;left:4206;top:-9954;width:10;height:20" coordorigin="4206,-9954" coordsize="10,20" path="m4206,-9935l4215,-9935,4215,-9954,4206,-9954,4206,-9935xe" filled="true" fillcolor="#000000" stroked="false">
                <v:path arrowok="t"/>
                <v:fill type="solid"/>
              </v:shape>
            </v:group>
            <v:group style="position:absolute;left:4206;top:-9935;width:10;height:20" coordorigin="4206,-9935" coordsize="10,20">
              <v:shape style="position:absolute;left:4206;top:-9935;width:10;height:20" coordorigin="4206,-9935" coordsize="10,20" path="m4206,-9916l4215,-9916,4215,-9935,4206,-9935,4206,-9916xe" filled="true" fillcolor="#000000" stroked="false">
                <v:path arrowok="t"/>
                <v:fill type="solid"/>
              </v:shape>
            </v:group>
            <v:group style="position:absolute;left:4206;top:-9916;width:10;height:20" coordorigin="4206,-9916" coordsize="10,20">
              <v:shape style="position:absolute;left:4206;top:-9916;width:10;height:20" coordorigin="4206,-9916" coordsize="10,20" path="m4206,-9896l4215,-9896,4215,-9916,4206,-9916,4206,-9896xe" filled="true" fillcolor="#000000" stroked="false">
                <v:path arrowok="t"/>
                <v:fill type="solid"/>
              </v:shape>
            </v:group>
            <v:group style="position:absolute;left:4206;top:-9896;width:10;height:20" coordorigin="4206,-9896" coordsize="10,20">
              <v:shape style="position:absolute;left:4206;top:-9896;width:10;height:20" coordorigin="4206,-9896" coordsize="10,20" path="m4206,-9877l4215,-9877,4215,-9896,4206,-9896,4206,-9877xe" filled="true" fillcolor="#000000" stroked="false">
                <v:path arrowok="t"/>
                <v:fill type="solid"/>
              </v:shape>
            </v:group>
            <v:group style="position:absolute;left:4206;top:-9877;width:10;height:20" coordorigin="4206,-9877" coordsize="10,20">
              <v:shape style="position:absolute;left:4206;top:-9877;width:10;height:20" coordorigin="4206,-9877" coordsize="10,20" path="m4206,-9858l4215,-9858,4215,-9877,4206,-9877,4206,-9858xe" filled="true" fillcolor="#000000" stroked="false">
                <v:path arrowok="t"/>
                <v:fill type="solid"/>
              </v:shape>
            </v:group>
            <v:group style="position:absolute;left:4206;top:-9858;width:10;height:20" coordorigin="4206,-9858" coordsize="10,20">
              <v:shape style="position:absolute;left:4206;top:-9858;width:10;height:20" coordorigin="4206,-9858" coordsize="10,20" path="m4206,-9839l4215,-9839,4215,-9858,4206,-9858,4206,-9839xe" filled="true" fillcolor="#000000" stroked="false">
                <v:path arrowok="t"/>
                <v:fill type="solid"/>
              </v:shape>
            </v:group>
            <v:group style="position:absolute;left:4206;top:-9839;width:10;height:20" coordorigin="4206,-9839" coordsize="10,20">
              <v:shape style="position:absolute;left:4206;top:-9839;width:10;height:20" coordorigin="4206,-9839" coordsize="10,20" path="m4206,-9820l4215,-9820,4215,-9839,4206,-9839,4206,-9820xe" filled="true" fillcolor="#000000" stroked="false">
                <v:path arrowok="t"/>
                <v:fill type="solid"/>
              </v:shape>
            </v:group>
            <v:group style="position:absolute;left:4206;top:-9820;width:10;height:20" coordorigin="4206,-9820" coordsize="10,20">
              <v:shape style="position:absolute;left:4206;top:-9820;width:10;height:20" coordorigin="4206,-9820" coordsize="10,20" path="m4206,-9800l4215,-9800,4215,-9820,4206,-9820,4206,-9800xe" filled="true" fillcolor="#000000" stroked="false">
                <v:path arrowok="t"/>
                <v:fill type="solid"/>
              </v:shape>
            </v:group>
            <v:group style="position:absolute;left:4206;top:-9800;width:10;height:20" coordorigin="4206,-9800" coordsize="10,20">
              <v:shape style="position:absolute;left:4206;top:-9800;width:10;height:20" coordorigin="4206,-9800" coordsize="10,20" path="m4206,-9781l4215,-9781,4215,-9800,4206,-9800,4206,-9781xe" filled="true" fillcolor="#000000" stroked="false">
                <v:path arrowok="t"/>
                <v:fill type="solid"/>
              </v:shape>
            </v:group>
            <v:group style="position:absolute;left:4206;top:-9781;width:10;height:20" coordorigin="4206,-9781" coordsize="10,20">
              <v:shape style="position:absolute;left:4206;top:-9781;width:10;height:20" coordorigin="4206,-9781" coordsize="10,20" path="m4206,-9762l4215,-9762,4215,-9781,4206,-9781,4206,-9762xe" filled="true" fillcolor="#000000" stroked="false">
                <v:path arrowok="t"/>
                <v:fill type="solid"/>
              </v:shape>
            </v:group>
            <v:group style="position:absolute;left:4206;top:-9762;width:10;height:20" coordorigin="4206,-9762" coordsize="10,20">
              <v:shape style="position:absolute;left:4206;top:-9762;width:10;height:20" coordorigin="4206,-9762" coordsize="10,20" path="m4206,-9743l4215,-9743,4215,-9762,4206,-9762,4206,-9743xe" filled="true" fillcolor="#000000" stroked="false">
                <v:path arrowok="t"/>
                <v:fill type="solid"/>
              </v:shape>
            </v:group>
            <v:group style="position:absolute;left:4206;top:-9743;width:10;height:20" coordorigin="4206,-9743" coordsize="10,20">
              <v:shape style="position:absolute;left:4206;top:-9743;width:10;height:20" coordorigin="4206,-9743" coordsize="10,20" path="m4206,-9724l4215,-9724,4215,-9743,4206,-9743,4206,-9724xe" filled="true" fillcolor="#000000" stroked="false">
                <v:path arrowok="t"/>
                <v:fill type="solid"/>
              </v:shape>
            </v:group>
            <v:group style="position:absolute;left:4206;top:-9724;width:10;height:20" coordorigin="4206,-9724" coordsize="10,20">
              <v:shape style="position:absolute;left:4206;top:-9724;width:10;height:20" coordorigin="4206,-9724" coordsize="10,20" path="m4206,-9704l4215,-9704,4215,-9724,4206,-9724,4206,-9704xe" filled="true" fillcolor="#000000" stroked="false">
                <v:path arrowok="t"/>
                <v:fill type="solid"/>
              </v:shape>
            </v:group>
            <v:group style="position:absolute;left:4206;top:-9704;width:10;height:20" coordorigin="4206,-9704" coordsize="10,20">
              <v:shape style="position:absolute;left:4206;top:-9704;width:10;height:20" coordorigin="4206,-9704" coordsize="10,20" path="m4206,-9685l4215,-9685,4215,-9704,4206,-9704,4206,-9685xe" filled="true" fillcolor="#000000" stroked="false">
                <v:path arrowok="t"/>
                <v:fill type="solid"/>
              </v:shape>
            </v:group>
            <v:group style="position:absolute;left:4206;top:-9685;width:10;height:20" coordorigin="4206,-9685" coordsize="10,20">
              <v:shape style="position:absolute;left:4206;top:-9685;width:10;height:20" coordorigin="4206,-9685" coordsize="10,20" path="m4206,-9666l4215,-9666,4215,-9685,4206,-9685,4206,-9666xe" filled="true" fillcolor="#000000" stroked="false">
                <v:path arrowok="t"/>
                <v:fill type="solid"/>
              </v:shape>
            </v:group>
            <v:group style="position:absolute;left:4206;top:-9666;width:10;height:20" coordorigin="4206,-9666" coordsize="10,20">
              <v:shape style="position:absolute;left:4206;top:-9666;width:10;height:20" coordorigin="4206,-9666" coordsize="10,20" path="m4206,-9647l4215,-9647,4215,-9666,4206,-9666,4206,-9647xe" filled="true" fillcolor="#000000" stroked="false">
                <v:path arrowok="t"/>
                <v:fill type="solid"/>
              </v:shape>
            </v:group>
            <v:group style="position:absolute;left:4206;top:-9647;width:10;height:20" coordorigin="4206,-9647" coordsize="10,20">
              <v:shape style="position:absolute;left:4206;top:-9647;width:10;height:20" coordorigin="4206,-9647" coordsize="10,20" path="m4206,-9628l4215,-9628,4215,-9647,4206,-9647,4206,-9628xe" filled="true" fillcolor="#000000" stroked="false">
                <v:path arrowok="t"/>
                <v:fill type="solid"/>
              </v:shape>
            </v:group>
            <v:group style="position:absolute;left:4206;top:-9628;width:10;height:20" coordorigin="4206,-9628" coordsize="10,20">
              <v:shape style="position:absolute;left:4206;top:-9628;width:10;height:20" coordorigin="4206,-9628" coordsize="10,20" path="m4206,-9608l4215,-9608,4215,-9628,4206,-9628,4206,-9608xe" filled="true" fillcolor="#000000" stroked="false">
                <v:path arrowok="t"/>
                <v:fill type="solid"/>
              </v:shape>
            </v:group>
            <v:group style="position:absolute;left:4206;top:-9608;width:10;height:20" coordorigin="4206,-9608" coordsize="10,20">
              <v:shape style="position:absolute;left:4206;top:-9608;width:10;height:20" coordorigin="4206,-9608" coordsize="10,20" path="m4206,-9589l4215,-9589,4215,-9608,4206,-9608,4206,-9589xe" filled="true" fillcolor="#000000" stroked="false">
                <v:path arrowok="t"/>
                <v:fill type="solid"/>
              </v:shape>
            </v:group>
            <v:group style="position:absolute;left:4206;top:-9589;width:10;height:20" coordorigin="4206,-9589" coordsize="10,20">
              <v:shape style="position:absolute;left:4206;top:-9589;width:10;height:20" coordorigin="4206,-9589" coordsize="10,20" path="m4206,-9570l4215,-9570,4215,-9589,4206,-9589,4206,-9570xe" filled="true" fillcolor="#000000" stroked="false">
                <v:path arrowok="t"/>
                <v:fill type="solid"/>
              </v:shape>
            </v:group>
            <v:group style="position:absolute;left:4206;top:-9570;width:10;height:20" coordorigin="4206,-9570" coordsize="10,20">
              <v:shape style="position:absolute;left:4206;top:-9570;width:10;height:20" coordorigin="4206,-9570" coordsize="10,20" path="m4206,-9551l4215,-9551,4215,-9570,4206,-9570,4206,-9551xe" filled="true" fillcolor="#000000" stroked="false">
                <v:path arrowok="t"/>
                <v:fill type="solid"/>
              </v:shape>
            </v:group>
            <v:group style="position:absolute;left:4206;top:-9551;width:10;height:20" coordorigin="4206,-9551" coordsize="10,20">
              <v:shape style="position:absolute;left:4206;top:-9551;width:10;height:20" coordorigin="4206,-9551" coordsize="10,20" path="m4206,-9532l4215,-9532,4215,-9551,4206,-9551,4206,-9532xe" filled="true" fillcolor="#000000" stroked="false">
                <v:path arrowok="t"/>
                <v:fill type="solid"/>
              </v:shape>
            </v:group>
            <v:group style="position:absolute;left:4206;top:-9527;width:10;height:2" coordorigin="4206,-9527" coordsize="10,2">
              <v:shape style="position:absolute;left:4206;top:-9527;width:10;height:2" coordorigin="4206,-9527" coordsize="10,0" path="m4206,-9527l4215,-9527e" filled="false" stroked="true" strokeweight=".47998pt" strokecolor="#000000">
                <v:path arrowok="t"/>
              </v:shape>
            </v:group>
            <v:group style="position:absolute;left:5905;top:-10722;width:10;height:20" coordorigin="5905,-10722" coordsize="10,20">
              <v:shape style="position:absolute;left:5905;top:-10722;width:10;height:20" coordorigin="5905,-10722" coordsize="10,20" path="m5905,-10703l5915,-10703,5915,-10722,5905,-10722,5905,-10703xe" filled="true" fillcolor="#000000" stroked="false">
                <v:path arrowok="t"/>
                <v:fill type="solid"/>
              </v:shape>
            </v:group>
            <v:group style="position:absolute;left:5905;top:-10703;width:10;height:20" coordorigin="5905,-10703" coordsize="10,20">
              <v:shape style="position:absolute;left:5905;top:-10703;width:10;height:20" coordorigin="5905,-10703" coordsize="10,20" path="m5905,-10684l5915,-10684,5915,-10703,5905,-10703,5905,-10684xe" filled="true" fillcolor="#000000" stroked="false">
                <v:path arrowok="t"/>
                <v:fill type="solid"/>
              </v:shape>
            </v:group>
            <v:group style="position:absolute;left:5905;top:-10684;width:10;height:20" coordorigin="5905,-10684" coordsize="10,20">
              <v:shape style="position:absolute;left:5905;top:-10684;width:10;height:20" coordorigin="5905,-10684" coordsize="10,20" path="m5905,-10664l5915,-10664,5915,-10684,5905,-10684,5905,-10664xe" filled="true" fillcolor="#000000" stroked="false">
                <v:path arrowok="t"/>
                <v:fill type="solid"/>
              </v:shape>
            </v:group>
            <v:group style="position:absolute;left:5905;top:-10664;width:10;height:20" coordorigin="5905,-10664" coordsize="10,20">
              <v:shape style="position:absolute;left:5905;top:-10664;width:10;height:20" coordorigin="5905,-10664" coordsize="10,20" path="m5905,-10645l5915,-10645,5915,-10664,5905,-10664,5905,-10645xe" filled="true" fillcolor="#000000" stroked="false">
                <v:path arrowok="t"/>
                <v:fill type="solid"/>
              </v:shape>
            </v:group>
            <v:group style="position:absolute;left:5905;top:-10645;width:10;height:20" coordorigin="5905,-10645" coordsize="10,20">
              <v:shape style="position:absolute;left:5905;top:-10645;width:10;height:20" coordorigin="5905,-10645" coordsize="10,20" path="m5905,-10626l5915,-10626,5915,-10645,5905,-10645,5905,-10626xe" filled="true" fillcolor="#000000" stroked="false">
                <v:path arrowok="t"/>
                <v:fill type="solid"/>
              </v:shape>
            </v:group>
            <v:group style="position:absolute;left:5905;top:-10626;width:10;height:20" coordorigin="5905,-10626" coordsize="10,20">
              <v:shape style="position:absolute;left:5905;top:-10626;width:10;height:20" coordorigin="5905,-10626" coordsize="10,20" path="m5905,-10607l5915,-10607,5915,-10626,5905,-10626,5905,-10607xe" filled="true" fillcolor="#000000" stroked="false">
                <v:path arrowok="t"/>
                <v:fill type="solid"/>
              </v:shape>
            </v:group>
            <v:group style="position:absolute;left:5905;top:-10607;width:10;height:20" coordorigin="5905,-10607" coordsize="10,20">
              <v:shape style="position:absolute;left:5905;top:-10607;width:10;height:20" coordorigin="5905,-10607" coordsize="10,20" path="m5905,-10588l5915,-10588,5915,-10607,5905,-10607,5905,-10588xe" filled="true" fillcolor="#000000" stroked="false">
                <v:path arrowok="t"/>
                <v:fill type="solid"/>
              </v:shape>
            </v:group>
            <v:group style="position:absolute;left:5905;top:-10588;width:10;height:20" coordorigin="5905,-10588" coordsize="10,20">
              <v:shape style="position:absolute;left:5905;top:-10588;width:10;height:20" coordorigin="5905,-10588" coordsize="10,20" path="m5905,-10568l5915,-10568,5915,-10588,5905,-10588,5905,-10568xe" filled="true" fillcolor="#000000" stroked="false">
                <v:path arrowok="t"/>
                <v:fill type="solid"/>
              </v:shape>
            </v:group>
            <v:group style="position:absolute;left:5905;top:-10568;width:10;height:20" coordorigin="5905,-10568" coordsize="10,20">
              <v:shape style="position:absolute;left:5905;top:-10568;width:10;height:20" coordorigin="5905,-10568" coordsize="10,20" path="m5905,-10549l5915,-10549,5915,-10568,5905,-10568,5905,-10549xe" filled="true" fillcolor="#000000" stroked="false">
                <v:path arrowok="t"/>
                <v:fill type="solid"/>
              </v:shape>
            </v:group>
            <v:group style="position:absolute;left:5905;top:-10549;width:10;height:20" coordorigin="5905,-10549" coordsize="10,20">
              <v:shape style="position:absolute;left:5905;top:-10549;width:10;height:20" coordorigin="5905,-10549" coordsize="10,20" path="m5905,-10530l5915,-10530,5915,-10549,5905,-10549,5905,-10530xe" filled="true" fillcolor="#000000" stroked="false">
                <v:path arrowok="t"/>
                <v:fill type="solid"/>
              </v:shape>
            </v:group>
            <v:group style="position:absolute;left:5905;top:-10530;width:10;height:20" coordorigin="5905,-10530" coordsize="10,20">
              <v:shape style="position:absolute;left:5905;top:-10530;width:10;height:20" coordorigin="5905,-10530" coordsize="10,20" path="m5905,-10511l5915,-10511,5915,-10530,5905,-10530,5905,-10511xe" filled="true" fillcolor="#000000" stroked="false">
                <v:path arrowok="t"/>
                <v:fill type="solid"/>
              </v:shape>
            </v:group>
            <v:group style="position:absolute;left:5905;top:-10511;width:10;height:20" coordorigin="5905,-10511" coordsize="10,20">
              <v:shape style="position:absolute;left:5905;top:-10511;width:10;height:20" coordorigin="5905,-10511" coordsize="10,20" path="m5905,-10492l5915,-10492,5915,-10511,5905,-10511,5905,-10492xe" filled="true" fillcolor="#000000" stroked="false">
                <v:path arrowok="t"/>
                <v:fill type="solid"/>
              </v:shape>
            </v:group>
            <v:group style="position:absolute;left:5905;top:-10492;width:10;height:20" coordorigin="5905,-10492" coordsize="10,20">
              <v:shape style="position:absolute;left:5905;top:-10492;width:10;height:20" coordorigin="5905,-10492" coordsize="10,20" path="m5905,-10472l5915,-10472,5915,-10492,5905,-10492,5905,-10472xe" filled="true" fillcolor="#000000" stroked="false">
                <v:path arrowok="t"/>
                <v:fill type="solid"/>
              </v:shape>
            </v:group>
            <v:group style="position:absolute;left:5905;top:-10472;width:10;height:20" coordorigin="5905,-10472" coordsize="10,20">
              <v:shape style="position:absolute;left:5905;top:-10472;width:10;height:20" coordorigin="5905,-10472" coordsize="10,20" path="m5905,-10453l5915,-10453,5915,-10472,5905,-10472,5905,-10453xe" filled="true" fillcolor="#000000" stroked="false">
                <v:path arrowok="t"/>
                <v:fill type="solid"/>
              </v:shape>
            </v:group>
            <v:group style="position:absolute;left:5905;top:-10453;width:10;height:20" coordorigin="5905,-10453" coordsize="10,20">
              <v:shape style="position:absolute;left:5905;top:-10453;width:10;height:20" coordorigin="5905,-10453" coordsize="10,20" path="m5905,-10434l5915,-10434,5915,-10453,5905,-10453,5905,-10434xe" filled="true" fillcolor="#000000" stroked="false">
                <v:path arrowok="t"/>
                <v:fill type="solid"/>
              </v:shape>
            </v:group>
            <v:group style="position:absolute;left:5905;top:-10434;width:10;height:20" coordorigin="5905,-10434" coordsize="10,20">
              <v:shape style="position:absolute;left:5905;top:-10434;width:10;height:20" coordorigin="5905,-10434" coordsize="10,20" path="m5905,-10415l5915,-10415,5915,-10434,5905,-10434,5905,-10415xe" filled="true" fillcolor="#000000" stroked="false">
                <v:path arrowok="t"/>
                <v:fill type="solid"/>
              </v:shape>
            </v:group>
            <v:group style="position:absolute;left:5905;top:-10415;width:10;height:20" coordorigin="5905,-10415" coordsize="10,20">
              <v:shape style="position:absolute;left:5905;top:-10415;width:10;height:20" coordorigin="5905,-10415" coordsize="10,20" path="m5905,-10396l5915,-10396,5915,-10415,5905,-10415,5905,-10396xe" filled="true" fillcolor="#000000" stroked="false">
                <v:path arrowok="t"/>
                <v:fill type="solid"/>
              </v:shape>
            </v:group>
            <v:group style="position:absolute;left:5905;top:-10396;width:10;height:20" coordorigin="5905,-10396" coordsize="10,20">
              <v:shape style="position:absolute;left:5905;top:-10396;width:10;height:20" coordorigin="5905,-10396" coordsize="10,20" path="m5905,-10376l5915,-10376,5915,-10396,5905,-10396,5905,-10376xe" filled="true" fillcolor="#000000" stroked="false">
                <v:path arrowok="t"/>
                <v:fill type="solid"/>
              </v:shape>
            </v:group>
            <v:group style="position:absolute;left:5905;top:-10376;width:10;height:20" coordorigin="5905,-10376" coordsize="10,20">
              <v:shape style="position:absolute;left:5905;top:-10376;width:10;height:20" coordorigin="5905,-10376" coordsize="10,20" path="m5905,-10357l5915,-10357,5915,-10376,5905,-10376,5905,-10357xe" filled="true" fillcolor="#000000" stroked="false">
                <v:path arrowok="t"/>
                <v:fill type="solid"/>
              </v:shape>
            </v:group>
            <v:group style="position:absolute;left:5905;top:-10357;width:10;height:20" coordorigin="5905,-10357" coordsize="10,20">
              <v:shape style="position:absolute;left:5905;top:-10357;width:10;height:20" coordorigin="5905,-10357" coordsize="10,20" path="m5905,-10338l5915,-10338,5915,-10357,5905,-10357,5905,-10338xe" filled="true" fillcolor="#000000" stroked="false">
                <v:path arrowok="t"/>
                <v:fill type="solid"/>
              </v:shape>
            </v:group>
            <v:group style="position:absolute;left:5905;top:-10338;width:10;height:20" coordorigin="5905,-10338" coordsize="10,20">
              <v:shape style="position:absolute;left:5905;top:-10338;width:10;height:20" coordorigin="5905,-10338" coordsize="10,20" path="m5905,-10319l5915,-10319,5915,-10338,5905,-10338,5905,-10319xe" filled="true" fillcolor="#000000" stroked="false">
                <v:path arrowok="t"/>
                <v:fill type="solid"/>
              </v:shape>
            </v:group>
            <v:group style="position:absolute;left:5905;top:-10319;width:10;height:20" coordorigin="5905,-10319" coordsize="10,20">
              <v:shape style="position:absolute;left:5905;top:-10319;width:10;height:20" coordorigin="5905,-10319" coordsize="10,20" path="m5905,-10300l5915,-10300,5915,-10319,5905,-10319,5905,-10300xe" filled="true" fillcolor="#000000" stroked="false">
                <v:path arrowok="t"/>
                <v:fill type="solid"/>
              </v:shape>
            </v:group>
            <v:group style="position:absolute;left:5905;top:-10300;width:10;height:20" coordorigin="5905,-10300" coordsize="10,20">
              <v:shape style="position:absolute;left:5905;top:-10300;width:10;height:20" coordorigin="5905,-10300" coordsize="10,20" path="m5905,-10280l5915,-10280,5915,-10300,5905,-10300,5905,-10280xe" filled="true" fillcolor="#000000" stroked="false">
                <v:path arrowok="t"/>
                <v:fill type="solid"/>
              </v:shape>
            </v:group>
            <v:group style="position:absolute;left:5905;top:-10280;width:10;height:20" coordorigin="5905,-10280" coordsize="10,20">
              <v:shape style="position:absolute;left:5905;top:-10280;width:10;height:20" coordorigin="5905,-10280" coordsize="10,20" path="m5905,-10261l5915,-10261,5915,-10280,5905,-10280,5905,-10261xe" filled="true" fillcolor="#000000" stroked="false">
                <v:path arrowok="t"/>
                <v:fill type="solid"/>
              </v:shape>
            </v:group>
            <v:group style="position:absolute;left:5905;top:-10261;width:10;height:20" coordorigin="5905,-10261" coordsize="10,20">
              <v:shape style="position:absolute;left:5905;top:-10261;width:10;height:20" coordorigin="5905,-10261" coordsize="10,20" path="m5905,-10242l5915,-10242,5915,-10261,5905,-10261,5905,-10242xe" filled="true" fillcolor="#000000" stroked="false">
                <v:path arrowok="t"/>
                <v:fill type="solid"/>
              </v:shape>
            </v:group>
            <v:group style="position:absolute;left:5905;top:-10242;width:10;height:20" coordorigin="5905,-10242" coordsize="10,20">
              <v:shape style="position:absolute;left:5905;top:-10242;width:10;height:20" coordorigin="5905,-10242" coordsize="10,20" path="m5905,-10223l5915,-10223,5915,-10242,5905,-10242,5905,-10223xe" filled="true" fillcolor="#000000" stroked="false">
                <v:path arrowok="t"/>
                <v:fill type="solid"/>
              </v:shape>
            </v:group>
            <v:group style="position:absolute;left:5905;top:-10223;width:10;height:20" coordorigin="5905,-10223" coordsize="10,20">
              <v:shape style="position:absolute;left:5905;top:-10223;width:10;height:20" coordorigin="5905,-10223" coordsize="10,20" path="m5905,-10204l5915,-10204,5915,-10223,5905,-10223,5905,-10204xe" filled="true" fillcolor="#000000" stroked="false">
                <v:path arrowok="t"/>
                <v:fill type="solid"/>
              </v:shape>
            </v:group>
            <v:group style="position:absolute;left:5905;top:-10204;width:10;height:20" coordorigin="5905,-10204" coordsize="10,20">
              <v:shape style="position:absolute;left:5905;top:-10204;width:10;height:20" coordorigin="5905,-10204" coordsize="10,20" path="m5905,-10184l5915,-10184,5915,-10204,5905,-10204,5905,-10184xe" filled="true" fillcolor="#000000" stroked="false">
                <v:path arrowok="t"/>
                <v:fill type="solid"/>
              </v:shape>
            </v:group>
            <v:group style="position:absolute;left:5905;top:-10184;width:10;height:20" coordorigin="5905,-10184" coordsize="10,20">
              <v:shape style="position:absolute;left:5905;top:-10184;width:10;height:20" coordorigin="5905,-10184" coordsize="10,20" path="m5905,-10165l5915,-10165,5915,-10184,5905,-10184,5905,-10165xe" filled="true" fillcolor="#000000" stroked="false">
                <v:path arrowok="t"/>
                <v:fill type="solid"/>
              </v:shape>
            </v:group>
            <v:group style="position:absolute;left:5905;top:-10165;width:10;height:20" coordorigin="5905,-10165" coordsize="10,20">
              <v:shape style="position:absolute;left:5905;top:-10165;width:10;height:20" coordorigin="5905,-10165" coordsize="10,20" path="m5905,-10146l5915,-10146,5915,-10165,5905,-10165,5905,-10146xe" filled="true" fillcolor="#000000" stroked="false">
                <v:path arrowok="t"/>
                <v:fill type="solid"/>
              </v:shape>
            </v:group>
            <v:group style="position:absolute;left:5905;top:-10146;width:10;height:20" coordorigin="5905,-10146" coordsize="10,20">
              <v:shape style="position:absolute;left:5905;top:-10146;width:10;height:20" coordorigin="5905,-10146" coordsize="10,20" path="m5905,-10127l5915,-10127,5915,-10146,5905,-10146,5905,-10127xe" filled="true" fillcolor="#000000" stroked="false">
                <v:path arrowok="t"/>
                <v:fill type="solid"/>
              </v:shape>
            </v:group>
            <v:group style="position:absolute;left:5905;top:-10127;width:10;height:20" coordorigin="5905,-10127" coordsize="10,20">
              <v:shape style="position:absolute;left:5905;top:-10127;width:10;height:20" coordorigin="5905,-10127" coordsize="10,20" path="m5905,-10108l5915,-10108,5915,-10127,5905,-10127,5905,-10108xe" filled="true" fillcolor="#000000" stroked="false">
                <v:path arrowok="t"/>
                <v:fill type="solid"/>
              </v:shape>
            </v:group>
            <v:group style="position:absolute;left:5905;top:-10108;width:10;height:20" coordorigin="5905,-10108" coordsize="10,20">
              <v:shape style="position:absolute;left:5905;top:-10108;width:10;height:20" coordorigin="5905,-10108" coordsize="10,20" path="m5905,-10088l5915,-10088,5915,-10108,5905,-10108,5905,-10088xe" filled="true" fillcolor="#000000" stroked="false">
                <v:path arrowok="t"/>
                <v:fill type="solid"/>
              </v:shape>
            </v:group>
            <v:group style="position:absolute;left:5905;top:-10088;width:10;height:20" coordorigin="5905,-10088" coordsize="10,20">
              <v:shape style="position:absolute;left:5905;top:-10088;width:10;height:20" coordorigin="5905,-10088" coordsize="10,20" path="m5905,-10069l5915,-10069,5915,-10088,5905,-10088,5905,-10069xe" filled="true" fillcolor="#000000" stroked="false">
                <v:path arrowok="t"/>
                <v:fill type="solid"/>
              </v:shape>
            </v:group>
            <v:group style="position:absolute;left:5905;top:-10069;width:10;height:20" coordorigin="5905,-10069" coordsize="10,20">
              <v:shape style="position:absolute;left:5905;top:-10069;width:10;height:20" coordorigin="5905,-10069" coordsize="10,20" path="m5905,-10050l5915,-10050,5915,-10069,5905,-10069,5905,-10050xe" filled="true" fillcolor="#000000" stroked="false">
                <v:path arrowok="t"/>
                <v:fill type="solid"/>
              </v:shape>
            </v:group>
            <v:group style="position:absolute;left:5905;top:-10050;width:10;height:20" coordorigin="5905,-10050" coordsize="10,20">
              <v:shape style="position:absolute;left:5905;top:-10050;width:10;height:20" coordorigin="5905,-10050" coordsize="10,20" path="m5905,-10031l5915,-10031,5915,-10050,5905,-10050,5905,-10031xe" filled="true" fillcolor="#000000" stroked="false">
                <v:path arrowok="t"/>
                <v:fill type="solid"/>
              </v:shape>
            </v:group>
            <v:group style="position:absolute;left:5905;top:-10031;width:10;height:20" coordorigin="5905,-10031" coordsize="10,20">
              <v:shape style="position:absolute;left:5905;top:-10031;width:10;height:20" coordorigin="5905,-10031" coordsize="10,20" path="m5905,-10012l5915,-10012,5915,-10031,5905,-10031,5905,-10012xe" filled="true" fillcolor="#000000" stroked="false">
                <v:path arrowok="t"/>
                <v:fill type="solid"/>
              </v:shape>
            </v:group>
            <v:group style="position:absolute;left:5905;top:-10012;width:10;height:20" coordorigin="5905,-10012" coordsize="10,20">
              <v:shape style="position:absolute;left:5905;top:-10012;width:10;height:20" coordorigin="5905,-10012" coordsize="10,20" path="m5905,-9992l5915,-9992,5915,-10012,5905,-10012,5905,-9992xe" filled="true" fillcolor="#000000" stroked="false">
                <v:path arrowok="t"/>
                <v:fill type="solid"/>
              </v:shape>
            </v:group>
            <v:group style="position:absolute;left:5905;top:-9992;width:10;height:20" coordorigin="5905,-9992" coordsize="10,20">
              <v:shape style="position:absolute;left:5905;top:-9992;width:10;height:20" coordorigin="5905,-9992" coordsize="10,20" path="m5905,-9973l5915,-9973,5915,-9992,5905,-9992,5905,-9973xe" filled="true" fillcolor="#000000" stroked="false">
                <v:path arrowok="t"/>
                <v:fill type="solid"/>
              </v:shape>
            </v:group>
            <v:group style="position:absolute;left:5905;top:-9973;width:10;height:20" coordorigin="5905,-9973" coordsize="10,20">
              <v:shape style="position:absolute;left:5905;top:-9973;width:10;height:20" coordorigin="5905,-9973" coordsize="10,20" path="m5905,-9954l5915,-9954,5915,-9973,5905,-9973,5905,-9954xe" filled="true" fillcolor="#000000" stroked="false">
                <v:path arrowok="t"/>
                <v:fill type="solid"/>
              </v:shape>
            </v:group>
            <v:group style="position:absolute;left:5905;top:-9954;width:10;height:20" coordorigin="5905,-9954" coordsize="10,20">
              <v:shape style="position:absolute;left:5905;top:-9954;width:10;height:20" coordorigin="5905,-9954" coordsize="10,20" path="m5905,-9935l5915,-9935,5915,-9954,5905,-9954,5905,-9935xe" filled="true" fillcolor="#000000" stroked="false">
                <v:path arrowok="t"/>
                <v:fill type="solid"/>
              </v:shape>
            </v:group>
            <v:group style="position:absolute;left:5905;top:-9935;width:10;height:20" coordorigin="5905,-9935" coordsize="10,20">
              <v:shape style="position:absolute;left:5905;top:-9935;width:10;height:20" coordorigin="5905,-9935" coordsize="10,20" path="m5905,-9916l5915,-9916,5915,-9935,5905,-9935,5905,-9916xe" filled="true" fillcolor="#000000" stroked="false">
                <v:path arrowok="t"/>
                <v:fill type="solid"/>
              </v:shape>
            </v:group>
            <v:group style="position:absolute;left:5905;top:-9916;width:10;height:20" coordorigin="5905,-9916" coordsize="10,20">
              <v:shape style="position:absolute;left:5905;top:-9916;width:10;height:20" coordorigin="5905,-9916" coordsize="10,20" path="m5905,-9896l5915,-9896,5915,-9916,5905,-9916,5905,-9896xe" filled="true" fillcolor="#000000" stroked="false">
                <v:path arrowok="t"/>
                <v:fill type="solid"/>
              </v:shape>
            </v:group>
            <v:group style="position:absolute;left:5905;top:-9896;width:10;height:20" coordorigin="5905,-9896" coordsize="10,20">
              <v:shape style="position:absolute;left:5905;top:-9896;width:10;height:20" coordorigin="5905,-9896" coordsize="10,20" path="m5905,-9877l5915,-9877,5915,-9896,5905,-9896,5905,-9877xe" filled="true" fillcolor="#000000" stroked="false">
                <v:path arrowok="t"/>
                <v:fill type="solid"/>
              </v:shape>
            </v:group>
            <v:group style="position:absolute;left:5905;top:-9877;width:10;height:20" coordorigin="5905,-9877" coordsize="10,20">
              <v:shape style="position:absolute;left:5905;top:-9877;width:10;height:20" coordorigin="5905,-9877" coordsize="10,20" path="m5905,-9858l5915,-9858,5915,-9877,5905,-9877,5905,-9858xe" filled="true" fillcolor="#000000" stroked="false">
                <v:path arrowok="t"/>
                <v:fill type="solid"/>
              </v:shape>
            </v:group>
            <v:group style="position:absolute;left:5905;top:-9858;width:10;height:20" coordorigin="5905,-9858" coordsize="10,20">
              <v:shape style="position:absolute;left:5905;top:-9858;width:10;height:20" coordorigin="5905,-9858" coordsize="10,20" path="m5905,-9839l5915,-9839,5915,-9858,5905,-9858,5905,-9839xe" filled="true" fillcolor="#000000" stroked="false">
                <v:path arrowok="t"/>
                <v:fill type="solid"/>
              </v:shape>
            </v:group>
            <v:group style="position:absolute;left:5905;top:-9839;width:10;height:20" coordorigin="5905,-9839" coordsize="10,20">
              <v:shape style="position:absolute;left:5905;top:-9839;width:10;height:20" coordorigin="5905,-9839" coordsize="10,20" path="m5905,-9820l5915,-9820,5915,-9839,5905,-9839,5905,-9820xe" filled="true" fillcolor="#000000" stroked="false">
                <v:path arrowok="t"/>
                <v:fill type="solid"/>
              </v:shape>
            </v:group>
            <v:group style="position:absolute;left:5905;top:-9820;width:10;height:20" coordorigin="5905,-9820" coordsize="10,20">
              <v:shape style="position:absolute;left:5905;top:-9820;width:10;height:20" coordorigin="5905,-9820" coordsize="10,20" path="m5905,-9800l5915,-9800,5915,-9820,5905,-9820,5905,-9800xe" filled="true" fillcolor="#000000" stroked="false">
                <v:path arrowok="t"/>
                <v:fill type="solid"/>
              </v:shape>
            </v:group>
            <v:group style="position:absolute;left:5905;top:-9800;width:10;height:20" coordorigin="5905,-9800" coordsize="10,20">
              <v:shape style="position:absolute;left:5905;top:-9800;width:10;height:20" coordorigin="5905,-9800" coordsize="10,20" path="m5905,-9781l5915,-9781,5915,-9800,5905,-9800,5905,-9781xe" filled="true" fillcolor="#000000" stroked="false">
                <v:path arrowok="t"/>
                <v:fill type="solid"/>
              </v:shape>
            </v:group>
            <v:group style="position:absolute;left:5905;top:-9781;width:10;height:20" coordorigin="5905,-9781" coordsize="10,20">
              <v:shape style="position:absolute;left:5905;top:-9781;width:10;height:20" coordorigin="5905,-9781" coordsize="10,20" path="m5905,-9762l5915,-9762,5915,-9781,5905,-9781,5905,-9762xe" filled="true" fillcolor="#000000" stroked="false">
                <v:path arrowok="t"/>
                <v:fill type="solid"/>
              </v:shape>
            </v:group>
            <v:group style="position:absolute;left:5905;top:-9762;width:10;height:20" coordorigin="5905,-9762" coordsize="10,20">
              <v:shape style="position:absolute;left:5905;top:-9762;width:10;height:20" coordorigin="5905,-9762" coordsize="10,20" path="m5905,-9743l5915,-9743,5915,-9762,5905,-9762,5905,-9743xe" filled="true" fillcolor="#000000" stroked="false">
                <v:path arrowok="t"/>
                <v:fill type="solid"/>
              </v:shape>
            </v:group>
            <v:group style="position:absolute;left:5905;top:-9743;width:10;height:20" coordorigin="5905,-9743" coordsize="10,20">
              <v:shape style="position:absolute;left:5905;top:-9743;width:10;height:20" coordorigin="5905,-9743" coordsize="10,20" path="m5905,-9724l5915,-9724,5915,-9743,5905,-9743,5905,-9724xe" filled="true" fillcolor="#000000" stroked="false">
                <v:path arrowok="t"/>
                <v:fill type="solid"/>
              </v:shape>
            </v:group>
            <v:group style="position:absolute;left:5905;top:-9724;width:10;height:20" coordorigin="5905,-9724" coordsize="10,20">
              <v:shape style="position:absolute;left:5905;top:-9724;width:10;height:20" coordorigin="5905,-9724" coordsize="10,20" path="m5905,-9704l5915,-9704,5915,-9724,5905,-9724,5905,-9704xe" filled="true" fillcolor="#000000" stroked="false">
                <v:path arrowok="t"/>
                <v:fill type="solid"/>
              </v:shape>
            </v:group>
            <v:group style="position:absolute;left:5905;top:-9704;width:10;height:20" coordorigin="5905,-9704" coordsize="10,20">
              <v:shape style="position:absolute;left:5905;top:-9704;width:10;height:20" coordorigin="5905,-9704" coordsize="10,20" path="m5905,-9685l5915,-9685,5915,-9704,5905,-9704,5905,-9685xe" filled="true" fillcolor="#000000" stroked="false">
                <v:path arrowok="t"/>
                <v:fill type="solid"/>
              </v:shape>
            </v:group>
            <v:group style="position:absolute;left:5905;top:-9685;width:10;height:20" coordorigin="5905,-9685" coordsize="10,20">
              <v:shape style="position:absolute;left:5905;top:-9685;width:10;height:20" coordorigin="5905,-9685" coordsize="10,20" path="m5905,-9666l5915,-9666,5915,-9685,5905,-9685,5905,-9666xe" filled="true" fillcolor="#000000" stroked="false">
                <v:path arrowok="t"/>
                <v:fill type="solid"/>
              </v:shape>
            </v:group>
            <v:group style="position:absolute;left:5905;top:-9666;width:10;height:20" coordorigin="5905,-9666" coordsize="10,20">
              <v:shape style="position:absolute;left:5905;top:-9666;width:10;height:20" coordorigin="5905,-9666" coordsize="10,20" path="m5905,-9647l5915,-9647,5915,-9666,5905,-9666,5905,-9647xe" filled="true" fillcolor="#000000" stroked="false">
                <v:path arrowok="t"/>
                <v:fill type="solid"/>
              </v:shape>
            </v:group>
            <v:group style="position:absolute;left:5905;top:-9647;width:10;height:20" coordorigin="5905,-9647" coordsize="10,20">
              <v:shape style="position:absolute;left:5905;top:-9647;width:10;height:20" coordorigin="5905,-9647" coordsize="10,20" path="m5905,-9628l5915,-9628,5915,-9647,5905,-9647,5905,-9628xe" filled="true" fillcolor="#000000" stroked="false">
                <v:path arrowok="t"/>
                <v:fill type="solid"/>
              </v:shape>
            </v:group>
            <v:group style="position:absolute;left:5905;top:-9628;width:10;height:20" coordorigin="5905,-9628" coordsize="10,20">
              <v:shape style="position:absolute;left:5905;top:-9628;width:10;height:20" coordorigin="5905,-9628" coordsize="10,20" path="m5905,-9608l5915,-9608,5915,-9628,5905,-9628,5905,-9608xe" filled="true" fillcolor="#000000" stroked="false">
                <v:path arrowok="t"/>
                <v:fill type="solid"/>
              </v:shape>
            </v:group>
            <v:group style="position:absolute;left:5905;top:-9608;width:10;height:20" coordorigin="5905,-9608" coordsize="10,20">
              <v:shape style="position:absolute;left:5905;top:-9608;width:10;height:20" coordorigin="5905,-9608" coordsize="10,20" path="m5905,-9589l5915,-9589,5915,-9608,5905,-9608,5905,-9589xe" filled="true" fillcolor="#000000" stroked="false">
                <v:path arrowok="t"/>
                <v:fill type="solid"/>
              </v:shape>
            </v:group>
            <v:group style="position:absolute;left:5905;top:-9589;width:10;height:20" coordorigin="5905,-9589" coordsize="10,20">
              <v:shape style="position:absolute;left:5905;top:-9589;width:10;height:20" coordorigin="5905,-9589" coordsize="10,20" path="m5905,-9570l5915,-9570,5915,-9589,5905,-9589,5905,-9570xe" filled="true" fillcolor="#000000" stroked="false">
                <v:path arrowok="t"/>
                <v:fill type="solid"/>
              </v:shape>
            </v:group>
            <v:group style="position:absolute;left:5905;top:-9570;width:10;height:20" coordorigin="5905,-9570" coordsize="10,20">
              <v:shape style="position:absolute;left:5905;top:-9570;width:10;height:20" coordorigin="5905,-9570" coordsize="10,20" path="m5905,-9551l5915,-9551,5915,-9570,5905,-9570,5905,-9551xe" filled="true" fillcolor="#000000" stroked="false">
                <v:path arrowok="t"/>
                <v:fill type="solid"/>
              </v:shape>
            </v:group>
            <v:group style="position:absolute;left:5905;top:-9551;width:10;height:20" coordorigin="5905,-9551" coordsize="10,20">
              <v:shape style="position:absolute;left:5905;top:-9551;width:10;height:20" coordorigin="5905,-9551" coordsize="10,20" path="m5905,-9532l5915,-9532,5915,-9551,5905,-9551,5905,-9532xe" filled="true" fillcolor="#000000" stroked="false">
                <v:path arrowok="t"/>
                <v:fill type="solid"/>
              </v:shape>
            </v:group>
            <v:group style="position:absolute;left:5905;top:-9527;width:10;height:2" coordorigin="5905,-9527" coordsize="10,2">
              <v:shape style="position:absolute;left:5905;top:-9527;width:10;height:2" coordorigin="5905,-9527" coordsize="10,0" path="m5905,-9527l5915,-9527e" filled="false" stroked="true" strokeweight=".47998pt" strokecolor="#000000">
                <v:path arrowok="t"/>
              </v:shape>
              <v:shape style="position:absolute;left:2405;top:-9522;width:1801;height:10" type="#_x0000_t75" stroked="false">
                <v:imagedata r:id="rId243" o:title=""/>
              </v:shape>
              <v:shape style="position:absolute;left:4201;top:-9522;width:2753;height:10" type="#_x0000_t75" stroked="false">
                <v:imagedata r:id="rId250" o:title=""/>
              </v:shape>
              <v:shape style="position:absolute;left:6949;top:-9522;width:1082;height:10" type="#_x0000_t75" stroked="false">
                <v:imagedata r:id="rId251" o:title=""/>
              </v:shape>
              <v:shape style="position:absolute;left:8027;top:-9522;width:2441;height:10" type="#_x0000_t75" stroked="false">
                <v:imagedata r:id="rId252" o:title=""/>
              </v:shape>
            </v:group>
            <v:group style="position:absolute;left:4206;top:-9512;width:10;height:20" coordorigin="4206,-9512" coordsize="10,20">
              <v:shape style="position:absolute;left:4206;top:-9512;width:10;height:20" coordorigin="4206,-9512" coordsize="10,20" path="m4206,-9493l4215,-9493,4215,-9512,4206,-9512,4206,-9493xe" filled="true" fillcolor="#000000" stroked="false">
                <v:path arrowok="t"/>
                <v:fill type="solid"/>
              </v:shape>
            </v:group>
            <v:group style="position:absolute;left:4206;top:-9493;width:10;height:20" coordorigin="4206,-9493" coordsize="10,20">
              <v:shape style="position:absolute;left:4206;top:-9493;width:10;height:20" coordorigin="4206,-9493" coordsize="10,20" path="m4206,-9474l4215,-9474,4215,-9493,4206,-9493,4206,-9474xe" filled="true" fillcolor="#000000" stroked="false">
                <v:path arrowok="t"/>
                <v:fill type="solid"/>
              </v:shape>
            </v:group>
            <v:group style="position:absolute;left:4206;top:-9474;width:10;height:20" coordorigin="4206,-9474" coordsize="10,20">
              <v:shape style="position:absolute;left:4206;top:-9474;width:10;height:20" coordorigin="4206,-9474" coordsize="10,20" path="m4206,-9455l4215,-9455,4215,-9474,4206,-9474,4206,-9455xe" filled="true" fillcolor="#000000" stroked="false">
                <v:path arrowok="t"/>
                <v:fill type="solid"/>
              </v:shape>
            </v:group>
            <v:group style="position:absolute;left:4206;top:-9455;width:10;height:20" coordorigin="4206,-9455" coordsize="10,20">
              <v:shape style="position:absolute;left:4206;top:-9455;width:10;height:20" coordorigin="4206,-9455" coordsize="10,20" path="m4206,-9436l4215,-9436,4215,-9455,4206,-9455,4206,-9436xe" filled="true" fillcolor="#000000" stroked="false">
                <v:path arrowok="t"/>
                <v:fill type="solid"/>
              </v:shape>
            </v:group>
            <v:group style="position:absolute;left:4206;top:-9436;width:10;height:20" coordorigin="4206,-9436" coordsize="10,20">
              <v:shape style="position:absolute;left:4206;top:-9436;width:10;height:20" coordorigin="4206,-9436" coordsize="10,20" path="m4206,-9416l4215,-9416,4215,-9436,4206,-9436,4206,-9416xe" filled="true" fillcolor="#000000" stroked="false">
                <v:path arrowok="t"/>
                <v:fill type="solid"/>
              </v:shape>
            </v:group>
            <v:group style="position:absolute;left:4206;top:-9416;width:10;height:20" coordorigin="4206,-9416" coordsize="10,20">
              <v:shape style="position:absolute;left:4206;top:-9416;width:10;height:20" coordorigin="4206,-9416" coordsize="10,20" path="m4206,-9397l4215,-9397,4215,-9416,4206,-9416,4206,-9397xe" filled="true" fillcolor="#000000" stroked="false">
                <v:path arrowok="t"/>
                <v:fill type="solid"/>
              </v:shape>
            </v:group>
            <v:group style="position:absolute;left:4206;top:-9397;width:10;height:20" coordorigin="4206,-9397" coordsize="10,20">
              <v:shape style="position:absolute;left:4206;top:-9397;width:10;height:20" coordorigin="4206,-9397" coordsize="10,20" path="m4206,-9378l4215,-9378,4215,-9397,4206,-9397,4206,-9378xe" filled="true" fillcolor="#000000" stroked="false">
                <v:path arrowok="t"/>
                <v:fill type="solid"/>
              </v:shape>
            </v:group>
            <v:group style="position:absolute;left:4206;top:-9378;width:10;height:20" coordorigin="4206,-9378" coordsize="10,20">
              <v:shape style="position:absolute;left:4206;top:-9378;width:10;height:20" coordorigin="4206,-9378" coordsize="10,20" path="m4206,-9359l4215,-9359,4215,-9378,4206,-9378,4206,-9359xe" filled="true" fillcolor="#000000" stroked="false">
                <v:path arrowok="t"/>
                <v:fill type="solid"/>
              </v:shape>
            </v:group>
            <v:group style="position:absolute;left:4206;top:-9359;width:10;height:20" coordorigin="4206,-9359" coordsize="10,20">
              <v:shape style="position:absolute;left:4206;top:-9359;width:10;height:20" coordorigin="4206,-9359" coordsize="10,20" path="m4206,-9340l4215,-9340,4215,-9359,4206,-9359,4206,-9340xe" filled="true" fillcolor="#000000" stroked="false">
                <v:path arrowok="t"/>
                <v:fill type="solid"/>
              </v:shape>
            </v:group>
            <v:group style="position:absolute;left:4206;top:-9340;width:10;height:20" coordorigin="4206,-9340" coordsize="10,20">
              <v:shape style="position:absolute;left:4206;top:-9340;width:10;height:20" coordorigin="4206,-9340" coordsize="10,20" path="m4206,-9320l4215,-9320,4215,-9340,4206,-9340,4206,-9320xe" filled="true" fillcolor="#000000" stroked="false">
                <v:path arrowok="t"/>
                <v:fill type="solid"/>
              </v:shape>
            </v:group>
            <v:group style="position:absolute;left:4206;top:-9320;width:10;height:20" coordorigin="4206,-9320" coordsize="10,20">
              <v:shape style="position:absolute;left:4206;top:-9320;width:10;height:20" coordorigin="4206,-9320" coordsize="10,20" path="m4206,-9301l4215,-9301,4215,-9320,4206,-9320,4206,-9301xe" filled="true" fillcolor="#000000" stroked="false">
                <v:path arrowok="t"/>
                <v:fill type="solid"/>
              </v:shape>
            </v:group>
            <v:group style="position:absolute;left:4206;top:-9301;width:10;height:20" coordorigin="4206,-9301" coordsize="10,20">
              <v:shape style="position:absolute;left:4206;top:-9301;width:10;height:20" coordorigin="4206,-9301" coordsize="10,20" path="m4206,-9282l4215,-9282,4215,-9301,4206,-9301,4206,-9282xe" filled="true" fillcolor="#000000" stroked="false">
                <v:path arrowok="t"/>
                <v:fill type="solid"/>
              </v:shape>
            </v:group>
            <v:group style="position:absolute;left:4206;top:-9282;width:10;height:20" coordorigin="4206,-9282" coordsize="10,20">
              <v:shape style="position:absolute;left:4206;top:-9282;width:10;height:20" coordorigin="4206,-9282" coordsize="10,20" path="m4206,-9263l4215,-9263,4215,-9282,4206,-9282,4206,-9263xe" filled="true" fillcolor="#000000" stroked="false">
                <v:path arrowok="t"/>
                <v:fill type="solid"/>
              </v:shape>
            </v:group>
            <v:group style="position:absolute;left:4206;top:-9263;width:10;height:20" coordorigin="4206,-9263" coordsize="10,20">
              <v:shape style="position:absolute;left:4206;top:-9263;width:10;height:20" coordorigin="4206,-9263" coordsize="10,20" path="m4206,-9244l4215,-9244,4215,-9263,4206,-9263,4206,-9244xe" filled="true" fillcolor="#000000" stroked="false">
                <v:path arrowok="t"/>
                <v:fill type="solid"/>
              </v:shape>
            </v:group>
            <v:group style="position:absolute;left:4206;top:-9244;width:10;height:20" coordorigin="4206,-9244" coordsize="10,20">
              <v:shape style="position:absolute;left:4206;top:-9244;width:10;height:20" coordorigin="4206,-9244" coordsize="10,20" path="m4206,-9224l4215,-9224,4215,-9244,4206,-9244,4206,-9224xe" filled="true" fillcolor="#000000" stroked="false">
                <v:path arrowok="t"/>
                <v:fill type="solid"/>
              </v:shape>
            </v:group>
            <v:group style="position:absolute;left:4206;top:-9224;width:10;height:20" coordorigin="4206,-9224" coordsize="10,20">
              <v:shape style="position:absolute;left:4206;top:-9224;width:10;height:20" coordorigin="4206,-9224" coordsize="10,20" path="m4206,-9205l4215,-9205,4215,-9224,4206,-9224,4206,-9205xe" filled="true" fillcolor="#000000" stroked="false">
                <v:path arrowok="t"/>
                <v:fill type="solid"/>
              </v:shape>
            </v:group>
            <v:group style="position:absolute;left:4206;top:-9205;width:10;height:20" coordorigin="4206,-9205" coordsize="10,20">
              <v:shape style="position:absolute;left:4206;top:-9205;width:10;height:20" coordorigin="4206,-9205" coordsize="10,20" path="m4206,-9186l4215,-9186,4215,-9205,4206,-9205,4206,-9186xe" filled="true" fillcolor="#000000" stroked="false">
                <v:path arrowok="t"/>
                <v:fill type="solid"/>
              </v:shape>
            </v:group>
            <v:group style="position:absolute;left:4206;top:-9186;width:10;height:20" coordorigin="4206,-9186" coordsize="10,20">
              <v:shape style="position:absolute;left:4206;top:-9186;width:10;height:20" coordorigin="4206,-9186" coordsize="10,20" path="m4206,-9167l4215,-9167,4215,-9186,4206,-9186,4206,-9167xe" filled="true" fillcolor="#000000" stroked="false">
                <v:path arrowok="t"/>
                <v:fill type="solid"/>
              </v:shape>
            </v:group>
            <v:group style="position:absolute;left:4206;top:-9167;width:10;height:20" coordorigin="4206,-9167" coordsize="10,20">
              <v:shape style="position:absolute;left:4206;top:-9167;width:10;height:20" coordorigin="4206,-9167" coordsize="10,20" path="m4206,-9148l4215,-9148,4215,-9167,4206,-9167,4206,-9148xe" filled="true" fillcolor="#000000" stroked="false">
                <v:path arrowok="t"/>
                <v:fill type="solid"/>
              </v:shape>
            </v:group>
            <v:group style="position:absolute;left:4206;top:-9148;width:10;height:20" coordorigin="4206,-9148" coordsize="10,20">
              <v:shape style="position:absolute;left:4206;top:-9148;width:10;height:20" coordorigin="4206,-9148" coordsize="10,20" path="m4206,-9128l4215,-9128,4215,-9148,4206,-9148,4206,-9128xe" filled="true" fillcolor="#000000" stroked="false">
                <v:path arrowok="t"/>
                <v:fill type="solid"/>
              </v:shape>
            </v:group>
            <v:group style="position:absolute;left:4206;top:-9128;width:10;height:20" coordorigin="4206,-9128" coordsize="10,20">
              <v:shape style="position:absolute;left:4206;top:-9128;width:10;height:20" coordorigin="4206,-9128" coordsize="10,20" path="m4206,-9109l4215,-9109,4215,-9128,4206,-9128,4206,-9109xe" filled="true" fillcolor="#000000" stroked="false">
                <v:path arrowok="t"/>
                <v:fill type="solid"/>
              </v:shape>
            </v:group>
            <v:group style="position:absolute;left:4206;top:-9109;width:10;height:20" coordorigin="4206,-9109" coordsize="10,20">
              <v:shape style="position:absolute;left:4206;top:-9109;width:10;height:20" coordorigin="4206,-9109" coordsize="10,20" path="m4206,-9090l4215,-9090,4215,-9109,4206,-9109,4206,-9090xe" filled="true" fillcolor="#000000" stroked="false">
                <v:path arrowok="t"/>
                <v:fill type="solid"/>
              </v:shape>
            </v:group>
            <v:group style="position:absolute;left:4206;top:-9090;width:10;height:20" coordorigin="4206,-9090" coordsize="10,20">
              <v:shape style="position:absolute;left:4206;top:-9090;width:10;height:20" coordorigin="4206,-9090" coordsize="10,20" path="m4206,-9071l4215,-9071,4215,-9090,4206,-9090,4206,-9071xe" filled="true" fillcolor="#000000" stroked="false">
                <v:path arrowok="t"/>
                <v:fill type="solid"/>
              </v:shape>
            </v:group>
            <v:group style="position:absolute;left:4206;top:-9071;width:10;height:20" coordorigin="4206,-9071" coordsize="10,20">
              <v:shape style="position:absolute;left:4206;top:-9071;width:10;height:20" coordorigin="4206,-9071" coordsize="10,20" path="m4206,-9052l4215,-9052,4215,-9071,4206,-9071,4206,-9052xe" filled="true" fillcolor="#000000" stroked="false">
                <v:path arrowok="t"/>
                <v:fill type="solid"/>
              </v:shape>
            </v:group>
            <v:group style="position:absolute;left:4206;top:-9052;width:10;height:20" coordorigin="4206,-9052" coordsize="10,20">
              <v:shape style="position:absolute;left:4206;top:-9052;width:10;height:20" coordorigin="4206,-9052" coordsize="10,20" path="m4206,-9032l4215,-9032,4215,-9052,4206,-9052,4206,-9032xe" filled="true" fillcolor="#000000" stroked="false">
                <v:path arrowok="t"/>
                <v:fill type="solid"/>
              </v:shape>
            </v:group>
            <v:group style="position:absolute;left:4206;top:-9032;width:10;height:20" coordorigin="4206,-9032" coordsize="10,20">
              <v:shape style="position:absolute;left:4206;top:-9032;width:10;height:20" coordorigin="4206,-9032" coordsize="10,20" path="m4206,-9013l4215,-9013,4215,-9032,4206,-9032,4206,-9013xe" filled="true" fillcolor="#000000" stroked="false">
                <v:path arrowok="t"/>
                <v:fill type="solid"/>
              </v:shape>
            </v:group>
            <v:group style="position:absolute;left:4206;top:-9013;width:10;height:20" coordorigin="4206,-9013" coordsize="10,20">
              <v:shape style="position:absolute;left:4206;top:-9013;width:10;height:20" coordorigin="4206,-9013" coordsize="10,20" path="m4206,-8994l4215,-8994,4215,-9013,4206,-9013,4206,-8994xe" filled="true" fillcolor="#000000" stroked="false">
                <v:path arrowok="t"/>
                <v:fill type="solid"/>
              </v:shape>
            </v:group>
            <v:group style="position:absolute;left:4206;top:-8994;width:10;height:20" coordorigin="4206,-8994" coordsize="10,20">
              <v:shape style="position:absolute;left:4206;top:-8994;width:10;height:20" coordorigin="4206,-8994" coordsize="10,20" path="m4206,-8975l4215,-8975,4215,-8994,4206,-8994,4206,-8975xe" filled="true" fillcolor="#000000" stroked="false">
                <v:path arrowok="t"/>
                <v:fill type="solid"/>
              </v:shape>
            </v:group>
            <v:group style="position:absolute;left:4206;top:-8975;width:10;height:20" coordorigin="4206,-8975" coordsize="10,20">
              <v:shape style="position:absolute;left:4206;top:-8975;width:10;height:20" coordorigin="4206,-8975" coordsize="10,20" path="m4206,-8956l4215,-8956,4215,-8975,4206,-8975,4206,-8956xe" filled="true" fillcolor="#000000" stroked="false">
                <v:path arrowok="t"/>
                <v:fill type="solid"/>
              </v:shape>
            </v:group>
            <v:group style="position:absolute;left:4206;top:-8956;width:10;height:20" coordorigin="4206,-8956" coordsize="10,20">
              <v:shape style="position:absolute;left:4206;top:-8956;width:10;height:20" coordorigin="4206,-8956" coordsize="10,20" path="m4206,-8936l4215,-8936,4215,-8956,4206,-8956,4206,-8936xe" filled="true" fillcolor="#000000" stroked="false">
                <v:path arrowok="t"/>
                <v:fill type="solid"/>
              </v:shape>
            </v:group>
            <v:group style="position:absolute;left:4206;top:-8936;width:10;height:20" coordorigin="4206,-8936" coordsize="10,20">
              <v:shape style="position:absolute;left:4206;top:-8936;width:10;height:20" coordorigin="4206,-8936" coordsize="10,20" path="m4206,-8917l4215,-8917,4215,-8936,4206,-8936,4206,-8917xe" filled="true" fillcolor="#000000" stroked="false">
                <v:path arrowok="t"/>
                <v:fill type="solid"/>
              </v:shape>
            </v:group>
            <v:group style="position:absolute;left:4206;top:-8917;width:10;height:20" coordorigin="4206,-8917" coordsize="10,20">
              <v:shape style="position:absolute;left:4206;top:-8917;width:10;height:20" coordorigin="4206,-8917" coordsize="10,20" path="m4206,-8898l4215,-8898,4215,-8917,4206,-8917,4206,-8898xe" filled="true" fillcolor="#000000" stroked="false">
                <v:path arrowok="t"/>
                <v:fill type="solid"/>
              </v:shape>
            </v:group>
            <v:group style="position:absolute;left:4206;top:-8898;width:10;height:20" coordorigin="4206,-8898" coordsize="10,20">
              <v:shape style="position:absolute;left:4206;top:-8898;width:10;height:20" coordorigin="4206,-8898" coordsize="10,20" path="m4206,-8879l4215,-8879,4215,-8898,4206,-8898,4206,-8879xe" filled="true" fillcolor="#000000" stroked="false">
                <v:path arrowok="t"/>
                <v:fill type="solid"/>
              </v:shape>
            </v:group>
            <v:group style="position:absolute;left:4206;top:-8879;width:10;height:20" coordorigin="4206,-8879" coordsize="10,20">
              <v:shape style="position:absolute;left:4206;top:-8879;width:10;height:20" coordorigin="4206,-8879" coordsize="10,20" path="m4206,-8860l4215,-8860,4215,-8879,4206,-8879,4206,-8860xe" filled="true" fillcolor="#000000" stroked="false">
                <v:path arrowok="t"/>
                <v:fill type="solid"/>
              </v:shape>
            </v:group>
            <v:group style="position:absolute;left:4206;top:-8860;width:10;height:20" coordorigin="4206,-8860" coordsize="10,20">
              <v:shape style="position:absolute;left:4206;top:-8860;width:10;height:20" coordorigin="4206,-8860" coordsize="10,20" path="m4206,-8840l4215,-8840,4215,-8860,4206,-8860,4206,-8840xe" filled="true" fillcolor="#000000" stroked="false">
                <v:path arrowok="t"/>
                <v:fill type="solid"/>
              </v:shape>
            </v:group>
            <v:group style="position:absolute;left:4206;top:-8840;width:10;height:20" coordorigin="4206,-8840" coordsize="10,20">
              <v:shape style="position:absolute;left:4206;top:-8840;width:10;height:20" coordorigin="4206,-8840" coordsize="10,20" path="m4206,-8821l4215,-8821,4215,-8840,4206,-8840,4206,-8821xe" filled="true" fillcolor="#000000" stroked="false">
                <v:path arrowok="t"/>
                <v:fill type="solid"/>
              </v:shape>
            </v:group>
            <v:group style="position:absolute;left:4206;top:-8821;width:10;height:20" coordorigin="4206,-8821" coordsize="10,20">
              <v:shape style="position:absolute;left:4206;top:-8821;width:10;height:20" coordorigin="4206,-8821" coordsize="10,20" path="m4206,-8802l4215,-8802,4215,-8821,4206,-8821,4206,-8802xe" filled="true" fillcolor="#000000" stroked="false">
                <v:path arrowok="t"/>
                <v:fill type="solid"/>
              </v:shape>
            </v:group>
            <v:group style="position:absolute;left:4206;top:-8802;width:10;height:20" coordorigin="4206,-8802" coordsize="10,20">
              <v:shape style="position:absolute;left:4206;top:-8802;width:10;height:20" coordorigin="4206,-8802" coordsize="10,20" path="m4206,-8783l4215,-8783,4215,-8802,4206,-8802,4206,-8783xe" filled="true" fillcolor="#000000" stroked="false">
                <v:path arrowok="t"/>
                <v:fill type="solid"/>
              </v:shape>
            </v:group>
            <v:group style="position:absolute;left:4206;top:-8783;width:10;height:20" coordorigin="4206,-8783" coordsize="10,20">
              <v:shape style="position:absolute;left:4206;top:-8783;width:10;height:20" coordorigin="4206,-8783" coordsize="10,20" path="m4206,-8764l4215,-8764,4215,-8783,4206,-8783,4206,-8764xe" filled="true" fillcolor="#000000" stroked="false">
                <v:path arrowok="t"/>
                <v:fill type="solid"/>
              </v:shape>
            </v:group>
            <v:group style="position:absolute;left:4206;top:-8764;width:10;height:20" coordorigin="4206,-8764" coordsize="10,20">
              <v:shape style="position:absolute;left:4206;top:-8764;width:10;height:20" coordorigin="4206,-8764" coordsize="10,20" path="m4206,-8744l4215,-8744,4215,-8764,4206,-8764,4206,-8744xe" filled="true" fillcolor="#000000" stroked="false">
                <v:path arrowok="t"/>
                <v:fill type="solid"/>
              </v:shape>
            </v:group>
            <v:group style="position:absolute;left:4206;top:-8744;width:10;height:20" coordorigin="4206,-8744" coordsize="10,20">
              <v:shape style="position:absolute;left:4206;top:-8744;width:10;height:20" coordorigin="4206,-8744" coordsize="10,20" path="m4206,-8725l4215,-8725,4215,-8744,4206,-8744,4206,-8725xe" filled="true" fillcolor="#000000" stroked="false">
                <v:path arrowok="t"/>
                <v:fill type="solid"/>
              </v:shape>
            </v:group>
            <v:group style="position:absolute;left:4206;top:-8725;width:10;height:20" coordorigin="4206,-8725" coordsize="10,20">
              <v:shape style="position:absolute;left:4206;top:-8725;width:10;height:20" coordorigin="4206,-8725" coordsize="10,20" path="m4206,-8706l4215,-8706,4215,-8725,4206,-8725,4206,-8706xe" filled="true" fillcolor="#000000" stroked="false">
                <v:path arrowok="t"/>
                <v:fill type="solid"/>
              </v:shape>
            </v:group>
            <v:group style="position:absolute;left:4206;top:-8706;width:10;height:20" coordorigin="4206,-8706" coordsize="10,20">
              <v:shape style="position:absolute;left:4206;top:-8706;width:10;height:20" coordorigin="4206,-8706" coordsize="10,20" path="m4206,-8687l4215,-8687,4215,-8706,4206,-8706,4206,-8687xe" filled="true" fillcolor="#000000" stroked="false">
                <v:path arrowok="t"/>
                <v:fill type="solid"/>
              </v:shape>
            </v:group>
            <v:group style="position:absolute;left:4206;top:-8687;width:10;height:20" coordorigin="4206,-8687" coordsize="10,20">
              <v:shape style="position:absolute;left:4206;top:-8687;width:10;height:20" coordorigin="4206,-8687" coordsize="10,20" path="m4206,-8668l4215,-8668,4215,-8687,4206,-8687,4206,-8668xe" filled="true" fillcolor="#000000" stroked="false">
                <v:path arrowok="t"/>
                <v:fill type="solid"/>
              </v:shape>
            </v:group>
            <v:group style="position:absolute;left:4206;top:-8667;width:10;height:20" coordorigin="4206,-8667" coordsize="10,20">
              <v:shape style="position:absolute;left:4206;top:-8667;width:10;height:20" coordorigin="4206,-8667" coordsize="10,20" path="m4206,-8648l4215,-8648,4215,-8667,4206,-8667,4206,-8648xe" filled="true" fillcolor="#000000" stroked="false">
                <v:path arrowok="t"/>
                <v:fill type="solid"/>
              </v:shape>
            </v:group>
            <v:group style="position:absolute;left:4206;top:-8648;width:10;height:20" coordorigin="4206,-8648" coordsize="10,20">
              <v:shape style="position:absolute;left:4206;top:-8648;width:10;height:20" coordorigin="4206,-8648" coordsize="10,20" path="m4206,-8629l4215,-8629,4215,-8648,4206,-8648,4206,-8629xe" filled="true" fillcolor="#000000" stroked="false">
                <v:path arrowok="t"/>
                <v:fill type="solid"/>
              </v:shape>
            </v:group>
            <v:group style="position:absolute;left:4206;top:-8629;width:10;height:20" coordorigin="4206,-8629" coordsize="10,20">
              <v:shape style="position:absolute;left:4206;top:-8629;width:10;height:20" coordorigin="4206,-8629" coordsize="10,20" path="m4206,-8609l4215,-8609,4215,-8629,4206,-8629,4206,-8609xe" filled="true" fillcolor="#000000" stroked="false">
                <v:path arrowok="t"/>
                <v:fill type="solid"/>
              </v:shape>
            </v:group>
            <v:group style="position:absolute;left:4206;top:-8609;width:10;height:20" coordorigin="4206,-8609" coordsize="10,20">
              <v:shape style="position:absolute;left:4206;top:-8609;width:10;height:20" coordorigin="4206,-8609" coordsize="10,20" path="m4206,-8590l4215,-8590,4215,-8609,4206,-8609,4206,-8590xe" filled="true" fillcolor="#000000" stroked="false">
                <v:path arrowok="t"/>
                <v:fill type="solid"/>
              </v:shape>
            </v:group>
            <v:group style="position:absolute;left:4206;top:-8590;width:10;height:20" coordorigin="4206,-8590" coordsize="10,20">
              <v:shape style="position:absolute;left:4206;top:-8590;width:10;height:20" coordorigin="4206,-8590" coordsize="10,20" path="m4206,-8571l4215,-8571,4215,-8590,4206,-8590,4206,-8571xe" filled="true" fillcolor="#000000" stroked="false">
                <v:path arrowok="t"/>
                <v:fill type="solid"/>
              </v:shape>
            </v:group>
            <v:group style="position:absolute;left:4206;top:-8571;width:10;height:20" coordorigin="4206,-8571" coordsize="10,20">
              <v:shape style="position:absolute;left:4206;top:-8571;width:10;height:20" coordorigin="4206,-8571" coordsize="10,20" path="m4206,-8552l4215,-8552,4215,-8571,4206,-8571,4206,-8552xe" filled="true" fillcolor="#000000" stroked="false">
                <v:path arrowok="t"/>
                <v:fill type="solid"/>
              </v:shape>
            </v:group>
            <v:group style="position:absolute;left:4206;top:-8552;width:10;height:20" coordorigin="4206,-8552" coordsize="10,20">
              <v:shape style="position:absolute;left:4206;top:-8552;width:10;height:20" coordorigin="4206,-8552" coordsize="10,20" path="m4206,-8533l4215,-8533,4215,-8552,4206,-8552,4206,-8533xe" filled="true" fillcolor="#000000" stroked="false">
                <v:path arrowok="t"/>
                <v:fill type="solid"/>
              </v:shape>
            </v:group>
            <v:group style="position:absolute;left:4206;top:-8533;width:10;height:20" coordorigin="4206,-8533" coordsize="10,20">
              <v:shape style="position:absolute;left:4206;top:-8533;width:10;height:20" coordorigin="4206,-8533" coordsize="10,20" path="m4206,-8513l4215,-8513,4215,-8533,4206,-8533,4206,-8513xe" filled="true" fillcolor="#000000" stroked="false">
                <v:path arrowok="t"/>
                <v:fill type="solid"/>
              </v:shape>
            </v:group>
            <v:group style="position:absolute;left:4206;top:-8513;width:10;height:20" coordorigin="4206,-8513" coordsize="10,20">
              <v:shape style="position:absolute;left:4206;top:-8513;width:10;height:20" coordorigin="4206,-8513" coordsize="10,20" path="m4206,-8494l4215,-8494,4215,-8513,4206,-8513,4206,-8494xe" filled="true" fillcolor="#000000" stroked="false">
                <v:path arrowok="t"/>
                <v:fill type="solid"/>
              </v:shape>
            </v:group>
            <v:group style="position:absolute;left:4206;top:-8494;width:10;height:20" coordorigin="4206,-8494" coordsize="10,20">
              <v:shape style="position:absolute;left:4206;top:-8494;width:10;height:20" coordorigin="4206,-8494" coordsize="10,20" path="m4206,-8475l4215,-8475,4215,-8494,4206,-8494,4206,-8475xe" filled="true" fillcolor="#000000" stroked="false">
                <v:path arrowok="t"/>
                <v:fill type="solid"/>
              </v:shape>
            </v:group>
            <v:group style="position:absolute;left:4206;top:-8475;width:10;height:20" coordorigin="4206,-8475" coordsize="10,20">
              <v:shape style="position:absolute;left:4206;top:-8475;width:10;height:20" coordorigin="4206,-8475" coordsize="10,20" path="m4206,-8456l4215,-8456,4215,-8475,4206,-8475,4206,-8456xe" filled="true" fillcolor="#000000" stroked="false">
                <v:path arrowok="t"/>
                <v:fill type="solid"/>
              </v:shape>
            </v:group>
            <v:group style="position:absolute;left:4206;top:-8456;width:10;height:20" coordorigin="4206,-8456" coordsize="10,20">
              <v:shape style="position:absolute;left:4206;top:-8456;width:10;height:20" coordorigin="4206,-8456" coordsize="10,20" path="m4206,-8437l4215,-8437,4215,-8456,4206,-8456,4206,-8437xe" filled="true" fillcolor="#000000" stroked="false">
                <v:path arrowok="t"/>
                <v:fill type="solid"/>
              </v:shape>
            </v:group>
            <v:group style="position:absolute;left:4206;top:-8437;width:10;height:20" coordorigin="4206,-8437" coordsize="10,20">
              <v:shape style="position:absolute;left:4206;top:-8437;width:10;height:20" coordorigin="4206,-8437" coordsize="10,20" path="m4206,-8417l4215,-8417,4215,-8437,4206,-8437,4206,-8417xe" filled="true" fillcolor="#000000" stroked="false">
                <v:path arrowok="t"/>
                <v:fill type="solid"/>
              </v:shape>
            </v:group>
            <v:group style="position:absolute;left:4206;top:-8417;width:10;height:20" coordorigin="4206,-8417" coordsize="10,20">
              <v:shape style="position:absolute;left:4206;top:-8417;width:10;height:20" coordorigin="4206,-8417" coordsize="10,20" path="m4206,-8398l4215,-8398,4215,-8417,4206,-8417,4206,-8398xe" filled="true" fillcolor="#000000" stroked="false">
                <v:path arrowok="t"/>
                <v:fill type="solid"/>
              </v:shape>
            </v:group>
            <v:group style="position:absolute;left:4206;top:-8398;width:10;height:20" coordorigin="4206,-8398" coordsize="10,20">
              <v:shape style="position:absolute;left:4206;top:-8398;width:10;height:20" coordorigin="4206,-8398" coordsize="10,20" path="m4206,-8379l4215,-8379,4215,-8398,4206,-8398,4206,-8379xe" filled="true" fillcolor="#000000" stroked="false">
                <v:path arrowok="t"/>
                <v:fill type="solid"/>
              </v:shape>
            </v:group>
            <v:group style="position:absolute;left:4206;top:-8379;width:10;height:20" coordorigin="4206,-8379" coordsize="10,20">
              <v:shape style="position:absolute;left:4206;top:-8379;width:10;height:20" coordorigin="4206,-8379" coordsize="10,20" path="m4206,-8360l4215,-8360,4215,-8379,4206,-8379,4206,-8360xe" filled="true" fillcolor="#000000" stroked="false">
                <v:path arrowok="t"/>
                <v:fill type="solid"/>
              </v:shape>
            </v:group>
            <v:group style="position:absolute;left:4206;top:-8360;width:10;height:20" coordorigin="4206,-8360" coordsize="10,20">
              <v:shape style="position:absolute;left:4206;top:-8360;width:10;height:20" coordorigin="4206,-8360" coordsize="10,20" path="m4206,-8341l4215,-8341,4215,-8360,4206,-8360,4206,-8341xe" filled="true" fillcolor="#000000" stroked="false">
                <v:path arrowok="t"/>
                <v:fill type="solid"/>
              </v:shape>
            </v:group>
            <v:group style="position:absolute;left:4206;top:-8341;width:10;height:20" coordorigin="4206,-8341" coordsize="10,20">
              <v:shape style="position:absolute;left:4206;top:-8341;width:10;height:20" coordorigin="4206,-8341" coordsize="10,20" path="m4206,-8321l4215,-8321,4215,-8341,4206,-8341,4206,-8321xe" filled="true" fillcolor="#000000" stroked="false">
                <v:path arrowok="t"/>
                <v:fill type="solid"/>
              </v:shape>
            </v:group>
            <v:group style="position:absolute;left:4206;top:-8317;width:10;height:2" coordorigin="4206,-8317" coordsize="10,2">
              <v:shape style="position:absolute;left:4206;top:-8317;width:10;height:2" coordorigin="4206,-8317" coordsize="10,0" path="m4206,-8317l4215,-8317e" filled="false" stroked="true" strokeweight=".47998pt" strokecolor="#000000">
                <v:path arrowok="t"/>
              </v:shape>
            </v:group>
            <v:group style="position:absolute;left:5905;top:-9512;width:10;height:20" coordorigin="5905,-9512" coordsize="10,20">
              <v:shape style="position:absolute;left:5905;top:-9512;width:10;height:20" coordorigin="5905,-9512" coordsize="10,20" path="m5905,-9493l5915,-9493,5915,-9512,5905,-9512,5905,-9493xe" filled="true" fillcolor="#000000" stroked="false">
                <v:path arrowok="t"/>
                <v:fill type="solid"/>
              </v:shape>
            </v:group>
            <v:group style="position:absolute;left:5905;top:-9493;width:10;height:20" coordorigin="5905,-9493" coordsize="10,20">
              <v:shape style="position:absolute;left:5905;top:-9493;width:10;height:20" coordorigin="5905,-9493" coordsize="10,20" path="m5905,-9474l5915,-9474,5915,-9493,5905,-9493,5905,-9474xe" filled="true" fillcolor="#000000" stroked="false">
                <v:path arrowok="t"/>
                <v:fill type="solid"/>
              </v:shape>
            </v:group>
            <v:group style="position:absolute;left:5905;top:-9474;width:10;height:20" coordorigin="5905,-9474" coordsize="10,20">
              <v:shape style="position:absolute;left:5905;top:-9474;width:10;height:20" coordorigin="5905,-9474" coordsize="10,20" path="m5905,-9455l5915,-9455,5915,-9474,5905,-9474,5905,-9455xe" filled="true" fillcolor="#000000" stroked="false">
                <v:path arrowok="t"/>
                <v:fill type="solid"/>
              </v:shape>
            </v:group>
            <v:group style="position:absolute;left:5905;top:-9455;width:10;height:20" coordorigin="5905,-9455" coordsize="10,20">
              <v:shape style="position:absolute;left:5905;top:-9455;width:10;height:20" coordorigin="5905,-9455" coordsize="10,20" path="m5905,-9436l5915,-9436,5915,-9455,5905,-9455,5905,-9436xe" filled="true" fillcolor="#000000" stroked="false">
                <v:path arrowok="t"/>
                <v:fill type="solid"/>
              </v:shape>
            </v:group>
            <v:group style="position:absolute;left:5905;top:-9436;width:10;height:20" coordorigin="5905,-9436" coordsize="10,20">
              <v:shape style="position:absolute;left:5905;top:-9436;width:10;height:20" coordorigin="5905,-9436" coordsize="10,20" path="m5905,-9416l5915,-9416,5915,-9436,5905,-9436,5905,-9416xe" filled="true" fillcolor="#000000" stroked="false">
                <v:path arrowok="t"/>
                <v:fill type="solid"/>
              </v:shape>
            </v:group>
            <v:group style="position:absolute;left:5905;top:-9416;width:10;height:20" coordorigin="5905,-9416" coordsize="10,20">
              <v:shape style="position:absolute;left:5905;top:-9416;width:10;height:20" coordorigin="5905,-9416" coordsize="10,20" path="m5905,-9397l5915,-9397,5915,-9416,5905,-9416,5905,-9397xe" filled="true" fillcolor="#000000" stroked="false">
                <v:path arrowok="t"/>
                <v:fill type="solid"/>
              </v:shape>
            </v:group>
            <v:group style="position:absolute;left:5905;top:-9397;width:10;height:20" coordorigin="5905,-9397" coordsize="10,20">
              <v:shape style="position:absolute;left:5905;top:-9397;width:10;height:20" coordorigin="5905,-9397" coordsize="10,20" path="m5905,-9378l5915,-9378,5915,-9397,5905,-9397,5905,-9378xe" filled="true" fillcolor="#000000" stroked="false">
                <v:path arrowok="t"/>
                <v:fill type="solid"/>
              </v:shape>
            </v:group>
            <v:group style="position:absolute;left:5905;top:-9378;width:10;height:20" coordorigin="5905,-9378" coordsize="10,20">
              <v:shape style="position:absolute;left:5905;top:-9378;width:10;height:20" coordorigin="5905,-9378" coordsize="10,20" path="m5905,-9359l5915,-9359,5915,-9378,5905,-9378,5905,-9359xe" filled="true" fillcolor="#000000" stroked="false">
                <v:path arrowok="t"/>
                <v:fill type="solid"/>
              </v:shape>
            </v:group>
            <v:group style="position:absolute;left:5905;top:-9359;width:10;height:20" coordorigin="5905,-9359" coordsize="10,20">
              <v:shape style="position:absolute;left:5905;top:-9359;width:10;height:20" coordorigin="5905,-9359" coordsize="10,20" path="m5905,-9340l5915,-9340,5915,-9359,5905,-9359,5905,-9340xe" filled="true" fillcolor="#000000" stroked="false">
                <v:path arrowok="t"/>
                <v:fill type="solid"/>
              </v:shape>
            </v:group>
            <v:group style="position:absolute;left:5905;top:-9340;width:10;height:20" coordorigin="5905,-9340" coordsize="10,20">
              <v:shape style="position:absolute;left:5905;top:-9340;width:10;height:20" coordorigin="5905,-9340" coordsize="10,20" path="m5905,-9320l5915,-9320,5915,-9340,5905,-9340,5905,-9320xe" filled="true" fillcolor="#000000" stroked="false">
                <v:path arrowok="t"/>
                <v:fill type="solid"/>
              </v:shape>
            </v:group>
            <v:group style="position:absolute;left:5905;top:-9320;width:10;height:20" coordorigin="5905,-9320" coordsize="10,20">
              <v:shape style="position:absolute;left:5905;top:-9320;width:10;height:20" coordorigin="5905,-9320" coordsize="10,20" path="m5905,-9301l5915,-9301,5915,-9320,5905,-9320,5905,-9301xe" filled="true" fillcolor="#000000" stroked="false">
                <v:path arrowok="t"/>
                <v:fill type="solid"/>
              </v:shape>
            </v:group>
            <v:group style="position:absolute;left:5905;top:-9301;width:10;height:20" coordorigin="5905,-9301" coordsize="10,20">
              <v:shape style="position:absolute;left:5905;top:-9301;width:10;height:20" coordorigin="5905,-9301" coordsize="10,20" path="m5905,-9282l5915,-9282,5915,-9301,5905,-9301,5905,-9282xe" filled="true" fillcolor="#000000" stroked="false">
                <v:path arrowok="t"/>
                <v:fill type="solid"/>
              </v:shape>
            </v:group>
            <v:group style="position:absolute;left:5905;top:-9282;width:10;height:20" coordorigin="5905,-9282" coordsize="10,20">
              <v:shape style="position:absolute;left:5905;top:-9282;width:10;height:20" coordorigin="5905,-9282" coordsize="10,20" path="m5905,-9263l5915,-9263,5915,-9282,5905,-9282,5905,-9263xe" filled="true" fillcolor="#000000" stroked="false">
                <v:path arrowok="t"/>
                <v:fill type="solid"/>
              </v:shape>
            </v:group>
            <v:group style="position:absolute;left:5905;top:-9263;width:10;height:20" coordorigin="5905,-9263" coordsize="10,20">
              <v:shape style="position:absolute;left:5905;top:-9263;width:10;height:20" coordorigin="5905,-9263" coordsize="10,20" path="m5905,-9244l5915,-9244,5915,-9263,5905,-9263,5905,-9244xe" filled="true" fillcolor="#000000" stroked="false">
                <v:path arrowok="t"/>
                <v:fill type="solid"/>
              </v:shape>
            </v:group>
            <v:group style="position:absolute;left:5905;top:-9244;width:10;height:20" coordorigin="5905,-9244" coordsize="10,20">
              <v:shape style="position:absolute;left:5905;top:-9244;width:10;height:20" coordorigin="5905,-9244" coordsize="10,20" path="m5905,-9224l5915,-9224,5915,-9244,5905,-9244,5905,-9224xe" filled="true" fillcolor="#000000" stroked="false">
                <v:path arrowok="t"/>
                <v:fill type="solid"/>
              </v:shape>
            </v:group>
            <v:group style="position:absolute;left:5905;top:-9224;width:10;height:20" coordorigin="5905,-9224" coordsize="10,20">
              <v:shape style="position:absolute;left:5905;top:-9224;width:10;height:20" coordorigin="5905,-9224" coordsize="10,20" path="m5905,-9205l5915,-9205,5915,-9224,5905,-9224,5905,-9205xe" filled="true" fillcolor="#000000" stroked="false">
                <v:path arrowok="t"/>
                <v:fill type="solid"/>
              </v:shape>
            </v:group>
            <v:group style="position:absolute;left:5905;top:-9205;width:10;height:20" coordorigin="5905,-9205" coordsize="10,20">
              <v:shape style="position:absolute;left:5905;top:-9205;width:10;height:20" coordorigin="5905,-9205" coordsize="10,20" path="m5905,-9186l5915,-9186,5915,-9205,5905,-9205,5905,-9186xe" filled="true" fillcolor="#000000" stroked="false">
                <v:path arrowok="t"/>
                <v:fill type="solid"/>
              </v:shape>
            </v:group>
            <v:group style="position:absolute;left:5905;top:-9186;width:10;height:20" coordorigin="5905,-9186" coordsize="10,20">
              <v:shape style="position:absolute;left:5905;top:-9186;width:10;height:20" coordorigin="5905,-9186" coordsize="10,20" path="m5905,-9167l5915,-9167,5915,-9186,5905,-9186,5905,-9167xe" filled="true" fillcolor="#000000" stroked="false">
                <v:path arrowok="t"/>
                <v:fill type="solid"/>
              </v:shape>
            </v:group>
            <v:group style="position:absolute;left:5905;top:-9167;width:10;height:20" coordorigin="5905,-9167" coordsize="10,20">
              <v:shape style="position:absolute;left:5905;top:-9167;width:10;height:20" coordorigin="5905,-9167" coordsize="10,20" path="m5905,-9148l5915,-9148,5915,-9167,5905,-9167,5905,-9148xe" filled="true" fillcolor="#000000" stroked="false">
                <v:path arrowok="t"/>
                <v:fill type="solid"/>
              </v:shape>
            </v:group>
            <v:group style="position:absolute;left:5905;top:-9148;width:10;height:20" coordorigin="5905,-9148" coordsize="10,20">
              <v:shape style="position:absolute;left:5905;top:-9148;width:10;height:20" coordorigin="5905,-9148" coordsize="10,20" path="m5905,-9128l5915,-9128,5915,-9148,5905,-9148,5905,-9128xe" filled="true" fillcolor="#000000" stroked="false">
                <v:path arrowok="t"/>
                <v:fill type="solid"/>
              </v:shape>
            </v:group>
            <v:group style="position:absolute;left:5905;top:-9128;width:10;height:20" coordorigin="5905,-9128" coordsize="10,20">
              <v:shape style="position:absolute;left:5905;top:-9128;width:10;height:20" coordorigin="5905,-9128" coordsize="10,20" path="m5905,-9109l5915,-9109,5915,-9128,5905,-9128,5905,-9109xe" filled="true" fillcolor="#000000" stroked="false">
                <v:path arrowok="t"/>
                <v:fill type="solid"/>
              </v:shape>
            </v:group>
            <v:group style="position:absolute;left:5905;top:-9109;width:10;height:20" coordorigin="5905,-9109" coordsize="10,20">
              <v:shape style="position:absolute;left:5905;top:-9109;width:10;height:20" coordorigin="5905,-9109" coordsize="10,20" path="m5905,-9090l5915,-9090,5915,-9109,5905,-9109,5905,-9090xe" filled="true" fillcolor="#000000" stroked="false">
                <v:path arrowok="t"/>
                <v:fill type="solid"/>
              </v:shape>
            </v:group>
            <v:group style="position:absolute;left:5905;top:-9090;width:10;height:20" coordorigin="5905,-9090" coordsize="10,20">
              <v:shape style="position:absolute;left:5905;top:-9090;width:10;height:20" coordorigin="5905,-9090" coordsize="10,20" path="m5905,-9071l5915,-9071,5915,-9090,5905,-9090,5905,-9071xe" filled="true" fillcolor="#000000" stroked="false">
                <v:path arrowok="t"/>
                <v:fill type="solid"/>
              </v:shape>
            </v:group>
            <v:group style="position:absolute;left:5905;top:-9071;width:10;height:20" coordorigin="5905,-9071" coordsize="10,20">
              <v:shape style="position:absolute;left:5905;top:-9071;width:10;height:20" coordorigin="5905,-9071" coordsize="10,20" path="m5905,-9052l5915,-9052,5915,-9071,5905,-9071,5905,-9052xe" filled="true" fillcolor="#000000" stroked="false">
                <v:path arrowok="t"/>
                <v:fill type="solid"/>
              </v:shape>
            </v:group>
            <v:group style="position:absolute;left:5905;top:-9052;width:10;height:20" coordorigin="5905,-9052" coordsize="10,20">
              <v:shape style="position:absolute;left:5905;top:-9052;width:10;height:20" coordorigin="5905,-9052" coordsize="10,20" path="m5905,-9032l5915,-9032,5915,-9052,5905,-9052,5905,-9032xe" filled="true" fillcolor="#000000" stroked="false">
                <v:path arrowok="t"/>
                <v:fill type="solid"/>
              </v:shape>
            </v:group>
            <v:group style="position:absolute;left:5905;top:-9032;width:10;height:20" coordorigin="5905,-9032" coordsize="10,20">
              <v:shape style="position:absolute;left:5905;top:-9032;width:10;height:20" coordorigin="5905,-9032" coordsize="10,20" path="m5905,-9013l5915,-9013,5915,-9032,5905,-9032,5905,-9013xe" filled="true" fillcolor="#000000" stroked="false">
                <v:path arrowok="t"/>
                <v:fill type="solid"/>
              </v:shape>
            </v:group>
            <v:group style="position:absolute;left:5905;top:-9013;width:10;height:20" coordorigin="5905,-9013" coordsize="10,20">
              <v:shape style="position:absolute;left:5905;top:-9013;width:10;height:20" coordorigin="5905,-9013" coordsize="10,20" path="m5905,-8994l5915,-8994,5915,-9013,5905,-9013,5905,-8994xe" filled="true" fillcolor="#000000" stroked="false">
                <v:path arrowok="t"/>
                <v:fill type="solid"/>
              </v:shape>
            </v:group>
            <v:group style="position:absolute;left:5905;top:-8994;width:10;height:20" coordorigin="5905,-8994" coordsize="10,20">
              <v:shape style="position:absolute;left:5905;top:-8994;width:10;height:20" coordorigin="5905,-8994" coordsize="10,20" path="m5905,-8975l5915,-8975,5915,-8994,5905,-8994,5905,-8975xe" filled="true" fillcolor="#000000" stroked="false">
                <v:path arrowok="t"/>
                <v:fill type="solid"/>
              </v:shape>
            </v:group>
            <v:group style="position:absolute;left:5905;top:-8975;width:10;height:20" coordorigin="5905,-8975" coordsize="10,20">
              <v:shape style="position:absolute;left:5905;top:-8975;width:10;height:20" coordorigin="5905,-8975" coordsize="10,20" path="m5905,-8956l5915,-8956,5915,-8975,5905,-8975,5905,-8956xe" filled="true" fillcolor="#000000" stroked="false">
                <v:path arrowok="t"/>
                <v:fill type="solid"/>
              </v:shape>
            </v:group>
            <v:group style="position:absolute;left:5905;top:-8956;width:10;height:20" coordorigin="5905,-8956" coordsize="10,20">
              <v:shape style="position:absolute;left:5905;top:-8956;width:10;height:20" coordorigin="5905,-8956" coordsize="10,20" path="m5905,-8936l5915,-8936,5915,-8956,5905,-8956,5905,-8936xe" filled="true" fillcolor="#000000" stroked="false">
                <v:path arrowok="t"/>
                <v:fill type="solid"/>
              </v:shape>
            </v:group>
            <v:group style="position:absolute;left:5905;top:-8936;width:10;height:20" coordorigin="5905,-8936" coordsize="10,20">
              <v:shape style="position:absolute;left:5905;top:-8936;width:10;height:20" coordorigin="5905,-8936" coordsize="10,20" path="m5905,-8917l5915,-8917,5915,-8936,5905,-8936,5905,-8917xe" filled="true" fillcolor="#000000" stroked="false">
                <v:path arrowok="t"/>
                <v:fill type="solid"/>
              </v:shape>
            </v:group>
            <v:group style="position:absolute;left:5905;top:-8917;width:10;height:20" coordorigin="5905,-8917" coordsize="10,20">
              <v:shape style="position:absolute;left:5905;top:-8917;width:10;height:20" coordorigin="5905,-8917" coordsize="10,20" path="m5905,-8898l5915,-8898,5915,-8917,5905,-8917,5905,-8898xe" filled="true" fillcolor="#000000" stroked="false">
                <v:path arrowok="t"/>
                <v:fill type="solid"/>
              </v:shape>
            </v:group>
            <v:group style="position:absolute;left:5905;top:-8898;width:10;height:20" coordorigin="5905,-8898" coordsize="10,20">
              <v:shape style="position:absolute;left:5905;top:-8898;width:10;height:20" coordorigin="5905,-8898" coordsize="10,20" path="m5905,-8879l5915,-8879,5915,-8898,5905,-8898,5905,-8879xe" filled="true" fillcolor="#000000" stroked="false">
                <v:path arrowok="t"/>
                <v:fill type="solid"/>
              </v:shape>
            </v:group>
            <v:group style="position:absolute;left:5905;top:-8879;width:10;height:20" coordorigin="5905,-8879" coordsize="10,20">
              <v:shape style="position:absolute;left:5905;top:-8879;width:10;height:20" coordorigin="5905,-8879" coordsize="10,20" path="m5905,-8860l5915,-8860,5915,-8879,5905,-8879,5905,-8860xe" filled="true" fillcolor="#000000" stroked="false">
                <v:path arrowok="t"/>
                <v:fill type="solid"/>
              </v:shape>
            </v:group>
            <v:group style="position:absolute;left:5905;top:-8860;width:10;height:20" coordorigin="5905,-8860" coordsize="10,20">
              <v:shape style="position:absolute;left:5905;top:-8860;width:10;height:20" coordorigin="5905,-8860" coordsize="10,20" path="m5905,-8840l5915,-8840,5915,-8860,5905,-8860,5905,-8840xe" filled="true" fillcolor="#000000" stroked="false">
                <v:path arrowok="t"/>
                <v:fill type="solid"/>
              </v:shape>
            </v:group>
            <v:group style="position:absolute;left:5905;top:-8840;width:10;height:20" coordorigin="5905,-8840" coordsize="10,20">
              <v:shape style="position:absolute;left:5905;top:-8840;width:10;height:20" coordorigin="5905,-8840" coordsize="10,20" path="m5905,-8821l5915,-8821,5915,-8840,5905,-8840,5905,-8821xe" filled="true" fillcolor="#000000" stroked="false">
                <v:path arrowok="t"/>
                <v:fill type="solid"/>
              </v:shape>
            </v:group>
            <v:group style="position:absolute;left:5905;top:-8821;width:10;height:20" coordorigin="5905,-8821" coordsize="10,20">
              <v:shape style="position:absolute;left:5905;top:-8821;width:10;height:20" coordorigin="5905,-8821" coordsize="10,20" path="m5905,-8802l5915,-8802,5915,-8821,5905,-8821,5905,-8802xe" filled="true" fillcolor="#000000" stroked="false">
                <v:path arrowok="t"/>
                <v:fill type="solid"/>
              </v:shape>
            </v:group>
            <v:group style="position:absolute;left:5905;top:-8802;width:10;height:20" coordorigin="5905,-8802" coordsize="10,20">
              <v:shape style="position:absolute;left:5905;top:-8802;width:10;height:20" coordorigin="5905,-8802" coordsize="10,20" path="m5905,-8783l5915,-8783,5915,-8802,5905,-8802,5905,-8783xe" filled="true" fillcolor="#000000" stroked="false">
                <v:path arrowok="t"/>
                <v:fill type="solid"/>
              </v:shape>
            </v:group>
            <v:group style="position:absolute;left:5905;top:-8783;width:10;height:20" coordorigin="5905,-8783" coordsize="10,20">
              <v:shape style="position:absolute;left:5905;top:-8783;width:10;height:20" coordorigin="5905,-8783" coordsize="10,20" path="m5905,-8764l5915,-8764,5915,-8783,5905,-8783,5905,-8764xe" filled="true" fillcolor="#000000" stroked="false">
                <v:path arrowok="t"/>
                <v:fill type="solid"/>
              </v:shape>
            </v:group>
            <v:group style="position:absolute;left:5905;top:-8764;width:10;height:20" coordorigin="5905,-8764" coordsize="10,20">
              <v:shape style="position:absolute;left:5905;top:-8764;width:10;height:20" coordorigin="5905,-8764" coordsize="10,20" path="m5905,-8744l5915,-8744,5915,-8764,5905,-8764,5905,-8744xe" filled="true" fillcolor="#000000" stroked="false">
                <v:path arrowok="t"/>
                <v:fill type="solid"/>
              </v:shape>
            </v:group>
            <v:group style="position:absolute;left:5905;top:-8744;width:10;height:20" coordorigin="5905,-8744" coordsize="10,20">
              <v:shape style="position:absolute;left:5905;top:-8744;width:10;height:20" coordorigin="5905,-8744" coordsize="10,20" path="m5905,-8725l5915,-8725,5915,-8744,5905,-8744,5905,-8725xe" filled="true" fillcolor="#000000" stroked="false">
                <v:path arrowok="t"/>
                <v:fill type="solid"/>
              </v:shape>
            </v:group>
            <v:group style="position:absolute;left:5905;top:-8725;width:10;height:20" coordorigin="5905,-8725" coordsize="10,20">
              <v:shape style="position:absolute;left:5905;top:-8725;width:10;height:20" coordorigin="5905,-8725" coordsize="10,20" path="m5905,-8706l5915,-8706,5915,-8725,5905,-8725,5905,-8706xe" filled="true" fillcolor="#000000" stroked="false">
                <v:path arrowok="t"/>
                <v:fill type="solid"/>
              </v:shape>
            </v:group>
            <v:group style="position:absolute;left:5905;top:-8706;width:10;height:20" coordorigin="5905,-8706" coordsize="10,20">
              <v:shape style="position:absolute;left:5905;top:-8706;width:10;height:20" coordorigin="5905,-8706" coordsize="10,20" path="m5905,-8687l5915,-8687,5915,-8706,5905,-8706,5905,-8687xe" filled="true" fillcolor="#000000" stroked="false">
                <v:path arrowok="t"/>
                <v:fill type="solid"/>
              </v:shape>
            </v:group>
            <v:group style="position:absolute;left:5905;top:-8687;width:10;height:20" coordorigin="5905,-8687" coordsize="10,20">
              <v:shape style="position:absolute;left:5905;top:-8687;width:10;height:20" coordorigin="5905,-8687" coordsize="10,20" path="m5905,-8668l5915,-8668,5915,-8687,5905,-8687,5905,-8668xe" filled="true" fillcolor="#000000" stroked="false">
                <v:path arrowok="t"/>
                <v:fill type="solid"/>
              </v:shape>
            </v:group>
            <v:group style="position:absolute;left:5905;top:-8667;width:10;height:20" coordorigin="5905,-8667" coordsize="10,20">
              <v:shape style="position:absolute;left:5905;top:-8667;width:10;height:20" coordorigin="5905,-8667" coordsize="10,20" path="m5905,-8648l5915,-8648,5915,-8667,5905,-8667,5905,-8648xe" filled="true" fillcolor="#000000" stroked="false">
                <v:path arrowok="t"/>
                <v:fill type="solid"/>
              </v:shape>
            </v:group>
            <v:group style="position:absolute;left:5905;top:-8648;width:10;height:20" coordorigin="5905,-8648" coordsize="10,20">
              <v:shape style="position:absolute;left:5905;top:-8648;width:10;height:20" coordorigin="5905,-8648" coordsize="10,20" path="m5905,-8629l5915,-8629,5915,-8648,5905,-8648,5905,-8629xe" filled="true" fillcolor="#000000" stroked="false">
                <v:path arrowok="t"/>
                <v:fill type="solid"/>
              </v:shape>
            </v:group>
            <v:group style="position:absolute;left:5905;top:-8629;width:10;height:20" coordorigin="5905,-8629" coordsize="10,20">
              <v:shape style="position:absolute;left:5905;top:-8629;width:10;height:20" coordorigin="5905,-8629" coordsize="10,20" path="m5905,-8609l5915,-8609,5915,-8629,5905,-8629,5905,-8609xe" filled="true" fillcolor="#000000" stroked="false">
                <v:path arrowok="t"/>
                <v:fill type="solid"/>
              </v:shape>
            </v:group>
            <v:group style="position:absolute;left:5905;top:-8609;width:10;height:20" coordorigin="5905,-8609" coordsize="10,20">
              <v:shape style="position:absolute;left:5905;top:-8609;width:10;height:20" coordorigin="5905,-8609" coordsize="10,20" path="m5905,-8590l5915,-8590,5915,-8609,5905,-8609,5905,-8590xe" filled="true" fillcolor="#000000" stroked="false">
                <v:path arrowok="t"/>
                <v:fill type="solid"/>
              </v:shape>
            </v:group>
            <v:group style="position:absolute;left:5905;top:-8590;width:10;height:20" coordorigin="5905,-8590" coordsize="10,20">
              <v:shape style="position:absolute;left:5905;top:-8590;width:10;height:20" coordorigin="5905,-8590" coordsize="10,20" path="m5905,-8571l5915,-8571,5915,-8590,5905,-8590,5905,-8571xe" filled="true" fillcolor="#000000" stroked="false">
                <v:path arrowok="t"/>
                <v:fill type="solid"/>
              </v:shape>
            </v:group>
            <v:group style="position:absolute;left:5905;top:-8571;width:10;height:20" coordorigin="5905,-8571" coordsize="10,20">
              <v:shape style="position:absolute;left:5905;top:-8571;width:10;height:20" coordorigin="5905,-8571" coordsize="10,20" path="m5905,-8552l5915,-8552,5915,-8571,5905,-8571,5905,-8552xe" filled="true" fillcolor="#000000" stroked="false">
                <v:path arrowok="t"/>
                <v:fill type="solid"/>
              </v:shape>
            </v:group>
            <v:group style="position:absolute;left:5905;top:-8552;width:10;height:20" coordorigin="5905,-8552" coordsize="10,20">
              <v:shape style="position:absolute;left:5905;top:-8552;width:10;height:20" coordorigin="5905,-8552" coordsize="10,20" path="m5905,-8533l5915,-8533,5915,-8552,5905,-8552,5905,-8533xe" filled="true" fillcolor="#000000" stroked="false">
                <v:path arrowok="t"/>
                <v:fill type="solid"/>
              </v:shape>
            </v:group>
            <v:group style="position:absolute;left:5905;top:-8533;width:10;height:20" coordorigin="5905,-8533" coordsize="10,20">
              <v:shape style="position:absolute;left:5905;top:-8533;width:10;height:20" coordorigin="5905,-8533" coordsize="10,20" path="m5905,-8513l5915,-8513,5915,-8533,5905,-8533,5905,-8513xe" filled="true" fillcolor="#000000" stroked="false">
                <v:path arrowok="t"/>
                <v:fill type="solid"/>
              </v:shape>
            </v:group>
            <v:group style="position:absolute;left:5905;top:-8513;width:10;height:20" coordorigin="5905,-8513" coordsize="10,20">
              <v:shape style="position:absolute;left:5905;top:-8513;width:10;height:20" coordorigin="5905,-8513" coordsize="10,20" path="m5905,-8494l5915,-8494,5915,-8513,5905,-8513,5905,-8494xe" filled="true" fillcolor="#000000" stroked="false">
                <v:path arrowok="t"/>
                <v:fill type="solid"/>
              </v:shape>
            </v:group>
            <v:group style="position:absolute;left:5905;top:-8494;width:10;height:20" coordorigin="5905,-8494" coordsize="10,20">
              <v:shape style="position:absolute;left:5905;top:-8494;width:10;height:20" coordorigin="5905,-8494" coordsize="10,20" path="m5905,-8475l5915,-8475,5915,-8494,5905,-8494,5905,-8475xe" filled="true" fillcolor="#000000" stroked="false">
                <v:path arrowok="t"/>
                <v:fill type="solid"/>
              </v:shape>
            </v:group>
            <v:group style="position:absolute;left:5905;top:-8475;width:10;height:20" coordorigin="5905,-8475" coordsize="10,20">
              <v:shape style="position:absolute;left:5905;top:-8475;width:10;height:20" coordorigin="5905,-8475" coordsize="10,20" path="m5905,-8456l5915,-8456,5915,-8475,5905,-8475,5905,-8456xe" filled="true" fillcolor="#000000" stroked="false">
                <v:path arrowok="t"/>
                <v:fill type="solid"/>
              </v:shape>
            </v:group>
            <v:group style="position:absolute;left:5905;top:-8456;width:10;height:20" coordorigin="5905,-8456" coordsize="10,20">
              <v:shape style="position:absolute;left:5905;top:-8456;width:10;height:20" coordorigin="5905,-8456" coordsize="10,20" path="m5905,-8437l5915,-8437,5915,-8456,5905,-8456,5905,-8437xe" filled="true" fillcolor="#000000" stroked="false">
                <v:path arrowok="t"/>
                <v:fill type="solid"/>
              </v:shape>
            </v:group>
            <v:group style="position:absolute;left:5905;top:-8437;width:10;height:20" coordorigin="5905,-8437" coordsize="10,20">
              <v:shape style="position:absolute;left:5905;top:-8437;width:10;height:20" coordorigin="5905,-8437" coordsize="10,20" path="m5905,-8417l5915,-8417,5915,-8437,5905,-8437,5905,-8417xe" filled="true" fillcolor="#000000" stroked="false">
                <v:path arrowok="t"/>
                <v:fill type="solid"/>
              </v:shape>
            </v:group>
            <v:group style="position:absolute;left:5905;top:-8417;width:10;height:20" coordorigin="5905,-8417" coordsize="10,20">
              <v:shape style="position:absolute;left:5905;top:-8417;width:10;height:20" coordorigin="5905,-8417" coordsize="10,20" path="m5905,-8398l5915,-8398,5915,-8417,5905,-8417,5905,-8398xe" filled="true" fillcolor="#000000" stroked="false">
                <v:path arrowok="t"/>
                <v:fill type="solid"/>
              </v:shape>
            </v:group>
            <v:group style="position:absolute;left:5905;top:-8398;width:10;height:20" coordorigin="5905,-8398" coordsize="10,20">
              <v:shape style="position:absolute;left:5905;top:-8398;width:10;height:20" coordorigin="5905,-8398" coordsize="10,20" path="m5905,-8379l5915,-8379,5915,-8398,5905,-8398,5905,-8379xe" filled="true" fillcolor="#000000" stroked="false">
                <v:path arrowok="t"/>
                <v:fill type="solid"/>
              </v:shape>
            </v:group>
            <v:group style="position:absolute;left:5905;top:-8379;width:10;height:20" coordorigin="5905,-8379" coordsize="10,20">
              <v:shape style="position:absolute;left:5905;top:-8379;width:10;height:20" coordorigin="5905,-8379" coordsize="10,20" path="m5905,-8360l5915,-8360,5915,-8379,5905,-8379,5905,-8360xe" filled="true" fillcolor="#000000" stroked="false">
                <v:path arrowok="t"/>
                <v:fill type="solid"/>
              </v:shape>
            </v:group>
            <v:group style="position:absolute;left:5905;top:-8360;width:10;height:20" coordorigin="5905,-8360" coordsize="10,20">
              <v:shape style="position:absolute;left:5905;top:-8360;width:10;height:20" coordorigin="5905,-8360" coordsize="10,20" path="m5905,-8341l5915,-8341,5915,-8360,5905,-8360,5905,-8341xe" filled="true" fillcolor="#000000" stroked="false">
                <v:path arrowok="t"/>
                <v:fill type="solid"/>
              </v:shape>
            </v:group>
            <v:group style="position:absolute;left:5905;top:-8341;width:10;height:20" coordorigin="5905,-8341" coordsize="10,20">
              <v:shape style="position:absolute;left:5905;top:-8341;width:10;height:20" coordorigin="5905,-8341" coordsize="10,20" path="m5905,-8321l5915,-8321,5915,-8341,5905,-8341,5905,-8321xe" filled="true" fillcolor="#000000" stroked="false">
                <v:path arrowok="t"/>
                <v:fill type="solid"/>
              </v:shape>
            </v:group>
            <v:group style="position:absolute;left:5905;top:-8317;width:10;height:2" coordorigin="5905,-8317" coordsize="10,2">
              <v:shape style="position:absolute;left:5905;top:-8317;width:10;height:2" coordorigin="5905,-8317" coordsize="10,0" path="m5905,-8317l5915,-8317e" filled="false" stroked="true" strokeweight=".47998pt" strokecolor="#000000">
                <v:path arrowok="t"/>
              </v:shape>
              <v:shape style="position:absolute;left:2405;top:-8312;width:1801;height:10" type="#_x0000_t75" stroked="false">
                <v:imagedata r:id="rId243" o:title=""/>
              </v:shape>
              <v:shape style="position:absolute;left:4201;top:-8312;width:2753;height:10" type="#_x0000_t75" stroked="false">
                <v:imagedata r:id="rId244" o:title=""/>
              </v:shape>
              <v:shape style="position:absolute;left:6949;top:-8312;width:1082;height:10" type="#_x0000_t75" stroked="false">
                <v:imagedata r:id="rId245" o:title=""/>
              </v:shape>
              <v:shape style="position:absolute;left:8027;top:-8312;width:2441;height:10" type="#_x0000_t75" stroked="false">
                <v:imagedata r:id="rId246" o:title=""/>
              </v:shape>
            </v:group>
            <v:group style="position:absolute;left:4206;top:-8302;width:10;height:20" coordorigin="4206,-8302" coordsize="10,20">
              <v:shape style="position:absolute;left:4206;top:-8302;width:10;height:20" coordorigin="4206,-8302" coordsize="10,20" path="m4206,-8283l4215,-8283,4215,-8302,4206,-8302,4206,-8283xe" filled="true" fillcolor="#000000" stroked="false">
                <v:path arrowok="t"/>
                <v:fill type="solid"/>
              </v:shape>
            </v:group>
            <v:group style="position:absolute;left:4206;top:-8283;width:10;height:20" coordorigin="4206,-8283" coordsize="10,20">
              <v:shape style="position:absolute;left:4206;top:-8283;width:10;height:20" coordorigin="4206,-8283" coordsize="10,20" path="m4206,-8264l4215,-8264,4215,-8283,4206,-8283,4206,-8264xe" filled="true" fillcolor="#000000" stroked="false">
                <v:path arrowok="t"/>
                <v:fill type="solid"/>
              </v:shape>
            </v:group>
            <v:group style="position:absolute;left:4206;top:-8264;width:10;height:20" coordorigin="4206,-8264" coordsize="10,20">
              <v:shape style="position:absolute;left:4206;top:-8264;width:10;height:20" coordorigin="4206,-8264" coordsize="10,20" path="m4206,-8245l4215,-8245,4215,-8264,4206,-8264,4206,-8245xe" filled="true" fillcolor="#000000" stroked="false">
                <v:path arrowok="t"/>
                <v:fill type="solid"/>
              </v:shape>
            </v:group>
            <v:group style="position:absolute;left:4206;top:-8245;width:10;height:20" coordorigin="4206,-8245" coordsize="10,20">
              <v:shape style="position:absolute;left:4206;top:-8245;width:10;height:20" coordorigin="4206,-8245" coordsize="10,20" path="m4206,-8225l4215,-8225,4215,-8245,4206,-8245,4206,-8225xe" filled="true" fillcolor="#000000" stroked="false">
                <v:path arrowok="t"/>
                <v:fill type="solid"/>
              </v:shape>
            </v:group>
            <v:group style="position:absolute;left:4206;top:-8225;width:10;height:20" coordorigin="4206,-8225" coordsize="10,20">
              <v:shape style="position:absolute;left:4206;top:-8225;width:10;height:20" coordorigin="4206,-8225" coordsize="10,20" path="m4206,-8206l4215,-8206,4215,-8225,4206,-8225,4206,-8206xe" filled="true" fillcolor="#000000" stroked="false">
                <v:path arrowok="t"/>
                <v:fill type="solid"/>
              </v:shape>
            </v:group>
            <v:group style="position:absolute;left:4206;top:-8206;width:10;height:20" coordorigin="4206,-8206" coordsize="10,20">
              <v:shape style="position:absolute;left:4206;top:-8206;width:10;height:20" coordorigin="4206,-8206" coordsize="10,20" path="m4206,-8187l4215,-8187,4215,-8206,4206,-8206,4206,-8187xe" filled="true" fillcolor="#000000" stroked="false">
                <v:path arrowok="t"/>
                <v:fill type="solid"/>
              </v:shape>
            </v:group>
            <v:group style="position:absolute;left:4206;top:-8187;width:10;height:20" coordorigin="4206,-8187" coordsize="10,20">
              <v:shape style="position:absolute;left:4206;top:-8187;width:10;height:20" coordorigin="4206,-8187" coordsize="10,20" path="m4206,-8168l4215,-8168,4215,-8187,4206,-8187,4206,-8168xe" filled="true" fillcolor="#000000" stroked="false">
                <v:path arrowok="t"/>
                <v:fill type="solid"/>
              </v:shape>
            </v:group>
            <v:group style="position:absolute;left:4206;top:-8168;width:10;height:20" coordorigin="4206,-8168" coordsize="10,20">
              <v:shape style="position:absolute;left:4206;top:-8168;width:10;height:20" coordorigin="4206,-8168" coordsize="10,20" path="m4206,-8149l4215,-8149,4215,-8168,4206,-8168,4206,-8149xe" filled="true" fillcolor="#000000" stroked="false">
                <v:path arrowok="t"/>
                <v:fill type="solid"/>
              </v:shape>
            </v:group>
            <v:group style="position:absolute;left:4206;top:-8149;width:10;height:20" coordorigin="4206,-8149" coordsize="10,20">
              <v:shape style="position:absolute;left:4206;top:-8149;width:10;height:20" coordorigin="4206,-8149" coordsize="10,20" path="m4206,-8129l4215,-8129,4215,-8149,4206,-8149,4206,-8129xe" filled="true" fillcolor="#000000" stroked="false">
                <v:path arrowok="t"/>
                <v:fill type="solid"/>
              </v:shape>
            </v:group>
            <v:group style="position:absolute;left:4206;top:-8129;width:10;height:20" coordorigin="4206,-8129" coordsize="10,20">
              <v:shape style="position:absolute;left:4206;top:-8129;width:10;height:20" coordorigin="4206,-8129" coordsize="10,20" path="m4206,-8110l4215,-8110,4215,-8129,4206,-8129,4206,-8110xe" filled="true" fillcolor="#000000" stroked="false">
                <v:path arrowok="t"/>
                <v:fill type="solid"/>
              </v:shape>
            </v:group>
            <v:group style="position:absolute;left:4206;top:-8110;width:10;height:20" coordorigin="4206,-8110" coordsize="10,20">
              <v:shape style="position:absolute;left:4206;top:-8110;width:10;height:20" coordorigin="4206,-8110" coordsize="10,20" path="m4206,-8091l4215,-8091,4215,-8110,4206,-8110,4206,-8091xe" filled="true" fillcolor="#000000" stroked="false">
                <v:path arrowok="t"/>
                <v:fill type="solid"/>
              </v:shape>
            </v:group>
            <v:group style="position:absolute;left:4206;top:-8091;width:10;height:20" coordorigin="4206,-8091" coordsize="10,20">
              <v:shape style="position:absolute;left:4206;top:-8091;width:10;height:20" coordorigin="4206,-8091" coordsize="10,20" path="m4206,-8072l4215,-8072,4215,-8091,4206,-8091,4206,-8072xe" filled="true" fillcolor="#000000" stroked="false">
                <v:path arrowok="t"/>
                <v:fill type="solid"/>
              </v:shape>
            </v:group>
            <v:group style="position:absolute;left:4206;top:-8072;width:10;height:20" coordorigin="4206,-8072" coordsize="10,20">
              <v:shape style="position:absolute;left:4206;top:-8072;width:10;height:20" coordorigin="4206,-8072" coordsize="10,20" path="m4206,-8053l4215,-8053,4215,-8072,4206,-8072,4206,-8053xe" filled="true" fillcolor="#000000" stroked="false">
                <v:path arrowok="t"/>
                <v:fill type="solid"/>
              </v:shape>
            </v:group>
            <v:group style="position:absolute;left:4206;top:-8053;width:10;height:20" coordorigin="4206,-8053" coordsize="10,20">
              <v:shape style="position:absolute;left:4206;top:-8053;width:10;height:20" coordorigin="4206,-8053" coordsize="10,20" path="m4206,-8033l4215,-8033,4215,-8053,4206,-8053,4206,-8033xe" filled="true" fillcolor="#000000" stroked="false">
                <v:path arrowok="t"/>
                <v:fill type="solid"/>
              </v:shape>
            </v:group>
            <v:group style="position:absolute;left:4206;top:-8033;width:10;height:20" coordorigin="4206,-8033" coordsize="10,20">
              <v:shape style="position:absolute;left:4206;top:-8033;width:10;height:20" coordorigin="4206,-8033" coordsize="10,20" path="m4206,-8014l4215,-8014,4215,-8033,4206,-8033,4206,-8014xe" filled="true" fillcolor="#000000" stroked="false">
                <v:path arrowok="t"/>
                <v:fill type="solid"/>
              </v:shape>
            </v:group>
            <v:group style="position:absolute;left:4206;top:-8014;width:10;height:20" coordorigin="4206,-8014" coordsize="10,20">
              <v:shape style="position:absolute;left:4206;top:-8014;width:10;height:20" coordorigin="4206,-8014" coordsize="10,20" path="m4206,-7995l4215,-7995,4215,-8014,4206,-8014,4206,-7995xe" filled="true" fillcolor="#000000" stroked="false">
                <v:path arrowok="t"/>
                <v:fill type="solid"/>
              </v:shape>
            </v:group>
            <v:group style="position:absolute;left:4206;top:-7995;width:10;height:20" coordorigin="4206,-7995" coordsize="10,20">
              <v:shape style="position:absolute;left:4206;top:-7995;width:10;height:20" coordorigin="4206,-7995" coordsize="10,20" path="m4206,-7976l4215,-7976,4215,-7995,4206,-7995,4206,-7976xe" filled="true" fillcolor="#000000" stroked="false">
                <v:path arrowok="t"/>
                <v:fill type="solid"/>
              </v:shape>
            </v:group>
            <v:group style="position:absolute;left:4206;top:-7976;width:10;height:20" coordorigin="4206,-7976" coordsize="10,20">
              <v:shape style="position:absolute;left:4206;top:-7976;width:10;height:20" coordorigin="4206,-7976" coordsize="10,20" path="m4206,-7957l4215,-7957,4215,-7976,4206,-7976,4206,-7957xe" filled="true" fillcolor="#000000" stroked="false">
                <v:path arrowok="t"/>
                <v:fill type="solid"/>
              </v:shape>
            </v:group>
            <v:group style="position:absolute;left:4206;top:-7957;width:10;height:20" coordorigin="4206,-7957" coordsize="10,20">
              <v:shape style="position:absolute;left:4206;top:-7957;width:10;height:20" coordorigin="4206,-7957" coordsize="10,20" path="m4206,-7937l4215,-7937,4215,-7957,4206,-7957,4206,-7937xe" filled="true" fillcolor="#000000" stroked="false">
                <v:path arrowok="t"/>
                <v:fill type="solid"/>
              </v:shape>
            </v:group>
            <v:group style="position:absolute;left:4206;top:-7937;width:10;height:20" coordorigin="4206,-7937" coordsize="10,20">
              <v:shape style="position:absolute;left:4206;top:-7937;width:10;height:20" coordorigin="4206,-7937" coordsize="10,20" path="m4206,-7918l4215,-7918,4215,-7937,4206,-7937,4206,-7918xe" filled="true" fillcolor="#000000" stroked="false">
                <v:path arrowok="t"/>
                <v:fill type="solid"/>
              </v:shape>
            </v:group>
            <v:group style="position:absolute;left:4206;top:-7918;width:10;height:20" coordorigin="4206,-7918" coordsize="10,20">
              <v:shape style="position:absolute;left:4206;top:-7918;width:10;height:20" coordorigin="4206,-7918" coordsize="10,20" path="m4206,-7899l4215,-7899,4215,-7918,4206,-7918,4206,-7899xe" filled="true" fillcolor="#000000" stroked="false">
                <v:path arrowok="t"/>
                <v:fill type="solid"/>
              </v:shape>
            </v:group>
            <v:group style="position:absolute;left:4206;top:-7899;width:10;height:20" coordorigin="4206,-7899" coordsize="10,20">
              <v:shape style="position:absolute;left:4206;top:-7899;width:10;height:20" coordorigin="4206,-7899" coordsize="10,20" path="m4206,-7880l4215,-7880,4215,-7899,4206,-7899,4206,-7880xe" filled="true" fillcolor="#000000" stroked="false">
                <v:path arrowok="t"/>
                <v:fill type="solid"/>
              </v:shape>
            </v:group>
            <v:group style="position:absolute;left:4206;top:-7880;width:10;height:20" coordorigin="4206,-7880" coordsize="10,20">
              <v:shape style="position:absolute;left:4206;top:-7880;width:10;height:20" coordorigin="4206,-7880" coordsize="10,20" path="m4206,-7861l4215,-7861,4215,-7880,4206,-7880,4206,-7861xe" filled="true" fillcolor="#000000" stroked="false">
                <v:path arrowok="t"/>
                <v:fill type="solid"/>
              </v:shape>
            </v:group>
            <v:group style="position:absolute;left:4206;top:-7861;width:10;height:20" coordorigin="4206,-7861" coordsize="10,20">
              <v:shape style="position:absolute;left:4206;top:-7861;width:10;height:20" coordorigin="4206,-7861" coordsize="10,20" path="m4206,-7841l4215,-7841,4215,-7861,4206,-7861,4206,-7841xe" filled="true" fillcolor="#000000" stroked="false">
                <v:path arrowok="t"/>
                <v:fill type="solid"/>
              </v:shape>
            </v:group>
            <v:group style="position:absolute;left:4206;top:-7841;width:10;height:20" coordorigin="4206,-7841" coordsize="10,20">
              <v:shape style="position:absolute;left:4206;top:-7841;width:10;height:20" coordorigin="4206,-7841" coordsize="10,20" path="m4206,-7822l4215,-7822,4215,-7841,4206,-7841,4206,-7822xe" filled="true" fillcolor="#000000" stroked="false">
                <v:path arrowok="t"/>
                <v:fill type="solid"/>
              </v:shape>
            </v:group>
            <v:group style="position:absolute;left:4206;top:-7822;width:10;height:20" coordorigin="4206,-7822" coordsize="10,20">
              <v:shape style="position:absolute;left:4206;top:-7822;width:10;height:20" coordorigin="4206,-7822" coordsize="10,20" path="m4206,-7803l4215,-7803,4215,-7822,4206,-7822,4206,-7803xe" filled="true" fillcolor="#000000" stroked="false">
                <v:path arrowok="t"/>
                <v:fill type="solid"/>
              </v:shape>
            </v:group>
            <v:group style="position:absolute;left:4206;top:-7803;width:10;height:20" coordorigin="4206,-7803" coordsize="10,20">
              <v:shape style="position:absolute;left:4206;top:-7803;width:10;height:20" coordorigin="4206,-7803" coordsize="10,20" path="m4206,-7784l4215,-7784,4215,-7803,4206,-7803,4206,-7784xe" filled="true" fillcolor="#000000" stroked="false">
                <v:path arrowok="t"/>
                <v:fill type="solid"/>
              </v:shape>
            </v:group>
            <v:group style="position:absolute;left:4206;top:-7784;width:10;height:20" coordorigin="4206,-7784" coordsize="10,20">
              <v:shape style="position:absolute;left:4206;top:-7784;width:10;height:20" coordorigin="4206,-7784" coordsize="10,20" path="m4206,-7765l4215,-7765,4215,-7784,4206,-7784,4206,-7765xe" filled="true" fillcolor="#000000" stroked="false">
                <v:path arrowok="t"/>
                <v:fill type="solid"/>
              </v:shape>
            </v:group>
            <v:group style="position:absolute;left:4206;top:-7765;width:10;height:20" coordorigin="4206,-7765" coordsize="10,20">
              <v:shape style="position:absolute;left:4206;top:-7765;width:10;height:20" coordorigin="4206,-7765" coordsize="10,20" path="m4206,-7745l4215,-7745,4215,-7765,4206,-7765,4206,-7745xe" filled="true" fillcolor="#000000" stroked="false">
                <v:path arrowok="t"/>
                <v:fill type="solid"/>
              </v:shape>
            </v:group>
            <v:group style="position:absolute;left:4206;top:-7745;width:10;height:20" coordorigin="4206,-7745" coordsize="10,20">
              <v:shape style="position:absolute;left:4206;top:-7745;width:10;height:20" coordorigin="4206,-7745" coordsize="10,20" path="m4206,-7726l4215,-7726,4215,-7745,4206,-7745,4206,-7726xe" filled="true" fillcolor="#000000" stroked="false">
                <v:path arrowok="t"/>
                <v:fill type="solid"/>
              </v:shape>
            </v:group>
            <v:group style="position:absolute;left:4206;top:-7726;width:10;height:20" coordorigin="4206,-7726" coordsize="10,20">
              <v:shape style="position:absolute;left:4206;top:-7726;width:10;height:20" coordorigin="4206,-7726" coordsize="10,20" path="m4206,-7707l4215,-7707,4215,-7726,4206,-7726,4206,-7707xe" filled="true" fillcolor="#000000" stroked="false">
                <v:path arrowok="t"/>
                <v:fill type="solid"/>
              </v:shape>
            </v:group>
            <v:group style="position:absolute;left:4206;top:-7707;width:10;height:20" coordorigin="4206,-7707" coordsize="10,20">
              <v:shape style="position:absolute;left:4206;top:-7707;width:10;height:20" coordorigin="4206,-7707" coordsize="10,20" path="m4206,-7688l4215,-7688,4215,-7707,4206,-7707,4206,-7688xe" filled="true" fillcolor="#000000" stroked="false">
                <v:path arrowok="t"/>
                <v:fill type="solid"/>
              </v:shape>
            </v:group>
            <v:group style="position:absolute;left:4206;top:-7688;width:10;height:20" coordorigin="4206,-7688" coordsize="10,20">
              <v:shape style="position:absolute;left:4206;top:-7688;width:10;height:20" coordorigin="4206,-7688" coordsize="10,20" path="m4206,-7669l4215,-7669,4215,-7688,4206,-7688,4206,-7669xe" filled="true" fillcolor="#000000" stroked="false">
                <v:path arrowok="t"/>
                <v:fill type="solid"/>
              </v:shape>
            </v:group>
            <v:group style="position:absolute;left:4206;top:-7669;width:10;height:20" coordorigin="4206,-7669" coordsize="10,20">
              <v:shape style="position:absolute;left:4206;top:-7669;width:10;height:20" coordorigin="4206,-7669" coordsize="10,20" path="m4206,-7649l4215,-7649,4215,-7669,4206,-7669,4206,-7649xe" filled="true" fillcolor="#000000" stroked="false">
                <v:path arrowok="t"/>
                <v:fill type="solid"/>
              </v:shape>
            </v:group>
            <v:group style="position:absolute;left:4206;top:-7649;width:10;height:20" coordorigin="4206,-7649" coordsize="10,20">
              <v:shape style="position:absolute;left:4206;top:-7649;width:10;height:20" coordorigin="4206,-7649" coordsize="10,20" path="m4206,-7630l4215,-7630,4215,-7649,4206,-7649,4206,-7630xe" filled="true" fillcolor="#000000" stroked="false">
                <v:path arrowok="t"/>
                <v:fill type="solid"/>
              </v:shape>
            </v:group>
            <v:group style="position:absolute;left:4206;top:-7630;width:10;height:20" coordorigin="4206,-7630" coordsize="10,20">
              <v:shape style="position:absolute;left:4206;top:-7630;width:10;height:20" coordorigin="4206,-7630" coordsize="10,20" path="m4206,-7611l4215,-7611,4215,-7630,4206,-7630,4206,-7611xe" filled="true" fillcolor="#000000" stroked="false">
                <v:path arrowok="t"/>
                <v:fill type="solid"/>
              </v:shape>
            </v:group>
            <v:group style="position:absolute;left:4206;top:-7611;width:10;height:20" coordorigin="4206,-7611" coordsize="10,20">
              <v:shape style="position:absolute;left:4206;top:-7611;width:10;height:20" coordorigin="4206,-7611" coordsize="10,20" path="m4206,-7592l4215,-7592,4215,-7611,4206,-7611,4206,-7592xe" filled="true" fillcolor="#000000" stroked="false">
                <v:path arrowok="t"/>
                <v:fill type="solid"/>
              </v:shape>
            </v:group>
            <v:group style="position:absolute;left:4206;top:-7592;width:10;height:20" coordorigin="4206,-7592" coordsize="10,20">
              <v:shape style="position:absolute;left:4206;top:-7592;width:10;height:20" coordorigin="4206,-7592" coordsize="10,20" path="m4206,-7573l4215,-7573,4215,-7592,4206,-7592,4206,-7573xe" filled="true" fillcolor="#000000" stroked="false">
                <v:path arrowok="t"/>
                <v:fill type="solid"/>
              </v:shape>
            </v:group>
            <v:group style="position:absolute;left:4206;top:-7573;width:10;height:20" coordorigin="4206,-7573" coordsize="10,20">
              <v:shape style="position:absolute;left:4206;top:-7573;width:10;height:20" coordorigin="4206,-7573" coordsize="10,20" path="m4206,-7553l4215,-7553,4215,-7573,4206,-7573,4206,-7553xe" filled="true" fillcolor="#000000" stroked="false">
                <v:path arrowok="t"/>
                <v:fill type="solid"/>
              </v:shape>
            </v:group>
            <v:group style="position:absolute;left:4206;top:-7553;width:10;height:20" coordorigin="4206,-7553" coordsize="10,20">
              <v:shape style="position:absolute;left:4206;top:-7553;width:10;height:20" coordorigin="4206,-7553" coordsize="10,20" path="m4206,-7534l4215,-7534,4215,-7553,4206,-7553,4206,-7534xe" filled="true" fillcolor="#000000" stroked="false">
                <v:path arrowok="t"/>
                <v:fill type="solid"/>
              </v:shape>
            </v:group>
            <v:group style="position:absolute;left:4206;top:-7534;width:10;height:20" coordorigin="4206,-7534" coordsize="10,20">
              <v:shape style="position:absolute;left:4206;top:-7534;width:10;height:20" coordorigin="4206,-7534" coordsize="10,20" path="m4206,-7515l4215,-7515,4215,-7534,4206,-7534,4206,-7515xe" filled="true" fillcolor="#000000" stroked="false">
                <v:path arrowok="t"/>
                <v:fill type="solid"/>
              </v:shape>
            </v:group>
            <v:group style="position:absolute;left:4206;top:-7515;width:10;height:20" coordorigin="4206,-7515" coordsize="10,20">
              <v:shape style="position:absolute;left:4206;top:-7515;width:10;height:20" coordorigin="4206,-7515" coordsize="10,20" path="m4206,-7496l4215,-7496,4215,-7515,4206,-7515,4206,-7496xe" filled="true" fillcolor="#000000" stroked="false">
                <v:path arrowok="t"/>
                <v:fill type="solid"/>
              </v:shape>
            </v:group>
            <v:group style="position:absolute;left:4206;top:-7496;width:10;height:20" coordorigin="4206,-7496" coordsize="10,20">
              <v:shape style="position:absolute;left:4206;top:-7496;width:10;height:20" coordorigin="4206,-7496" coordsize="10,20" path="m4206,-7477l4215,-7477,4215,-7496,4206,-7496,4206,-7477xe" filled="true" fillcolor="#000000" stroked="false">
                <v:path arrowok="t"/>
                <v:fill type="solid"/>
              </v:shape>
            </v:group>
            <v:group style="position:absolute;left:4206;top:-7477;width:10;height:20" coordorigin="4206,-7477" coordsize="10,20">
              <v:shape style="position:absolute;left:4206;top:-7477;width:10;height:20" coordorigin="4206,-7477" coordsize="10,20" path="m4206,-7457l4215,-7457,4215,-7477,4206,-7477,4206,-7457xe" filled="true" fillcolor="#000000" stroked="false">
                <v:path arrowok="t"/>
                <v:fill type="solid"/>
              </v:shape>
            </v:group>
            <v:group style="position:absolute;left:4206;top:-7457;width:10;height:20" coordorigin="4206,-7457" coordsize="10,20">
              <v:shape style="position:absolute;left:4206;top:-7457;width:10;height:20" coordorigin="4206,-7457" coordsize="10,20" path="m4206,-7438l4215,-7438,4215,-7457,4206,-7457,4206,-7438xe" filled="true" fillcolor="#000000" stroked="false">
                <v:path arrowok="t"/>
                <v:fill type="solid"/>
              </v:shape>
            </v:group>
            <v:group style="position:absolute;left:4206;top:-7438;width:10;height:20" coordorigin="4206,-7438" coordsize="10,20">
              <v:shape style="position:absolute;left:4206;top:-7438;width:10;height:20" coordorigin="4206,-7438" coordsize="10,20" path="m4206,-7419l4215,-7419,4215,-7438,4206,-7438,4206,-7419xe" filled="true" fillcolor="#000000" stroked="false">
                <v:path arrowok="t"/>
                <v:fill type="solid"/>
              </v:shape>
            </v:group>
            <v:group style="position:absolute;left:4206;top:-7419;width:10;height:20" coordorigin="4206,-7419" coordsize="10,20">
              <v:shape style="position:absolute;left:4206;top:-7419;width:10;height:20" coordorigin="4206,-7419" coordsize="10,20" path="m4206,-7400l4215,-7400,4215,-7419,4206,-7419,4206,-7400xe" filled="true" fillcolor="#000000" stroked="false">
                <v:path arrowok="t"/>
                <v:fill type="solid"/>
              </v:shape>
            </v:group>
            <v:group style="position:absolute;left:4206;top:-7400;width:10;height:20" coordorigin="4206,-7400" coordsize="10,20">
              <v:shape style="position:absolute;left:4206;top:-7400;width:10;height:20" coordorigin="4206,-7400" coordsize="10,20" path="m4206,-7381l4215,-7381,4215,-7400,4206,-7400,4206,-7381xe" filled="true" fillcolor="#000000" stroked="false">
                <v:path arrowok="t"/>
                <v:fill type="solid"/>
              </v:shape>
            </v:group>
            <v:group style="position:absolute;left:4206;top:-7381;width:10;height:20" coordorigin="4206,-7381" coordsize="10,20">
              <v:shape style="position:absolute;left:4206;top:-7381;width:10;height:20" coordorigin="4206,-7381" coordsize="10,20" path="m4206,-7361l4215,-7361,4215,-7381,4206,-7381,4206,-7361xe" filled="true" fillcolor="#000000" stroked="false">
                <v:path arrowok="t"/>
                <v:fill type="solid"/>
              </v:shape>
            </v:group>
            <v:group style="position:absolute;left:4206;top:-7361;width:10;height:20" coordorigin="4206,-7361" coordsize="10,20">
              <v:shape style="position:absolute;left:4206;top:-7361;width:10;height:20" coordorigin="4206,-7361" coordsize="10,20" path="m4206,-7342l4215,-7342,4215,-7361,4206,-7361,4206,-7342xe" filled="true" fillcolor="#000000" stroked="false">
                <v:path arrowok="t"/>
                <v:fill type="solid"/>
              </v:shape>
            </v:group>
            <v:group style="position:absolute;left:4206;top:-7342;width:10;height:20" coordorigin="4206,-7342" coordsize="10,20">
              <v:shape style="position:absolute;left:4206;top:-7342;width:10;height:20" coordorigin="4206,-7342" coordsize="10,20" path="m4206,-7323l4215,-7323,4215,-7342,4206,-7342,4206,-7323xe" filled="true" fillcolor="#000000" stroked="false">
                <v:path arrowok="t"/>
                <v:fill type="solid"/>
              </v:shape>
            </v:group>
            <v:group style="position:absolute;left:4206;top:-7323;width:10;height:20" coordorigin="4206,-7323" coordsize="10,20">
              <v:shape style="position:absolute;left:4206;top:-7323;width:10;height:20" coordorigin="4206,-7323" coordsize="10,20" path="m4206,-7304l4215,-7304,4215,-7323,4206,-7323,4206,-7304xe" filled="true" fillcolor="#000000" stroked="false">
                <v:path arrowok="t"/>
                <v:fill type="solid"/>
              </v:shape>
            </v:group>
            <v:group style="position:absolute;left:4206;top:-7304;width:10;height:20" coordorigin="4206,-7304" coordsize="10,20">
              <v:shape style="position:absolute;left:4206;top:-7304;width:10;height:20" coordorigin="4206,-7304" coordsize="10,20" path="m4206,-7285l4215,-7285,4215,-7304,4206,-7304,4206,-7285xe" filled="true" fillcolor="#000000" stroked="false">
                <v:path arrowok="t"/>
                <v:fill type="solid"/>
              </v:shape>
            </v:group>
            <v:group style="position:absolute;left:4206;top:-7285;width:10;height:20" coordorigin="4206,-7285" coordsize="10,20">
              <v:shape style="position:absolute;left:4206;top:-7285;width:10;height:20" coordorigin="4206,-7285" coordsize="10,20" path="m4206,-7265l4215,-7265,4215,-7285,4206,-7285,4206,-7265xe" filled="true" fillcolor="#000000" stroked="false">
                <v:path arrowok="t"/>
                <v:fill type="solid"/>
              </v:shape>
            </v:group>
            <v:group style="position:absolute;left:4206;top:-7265;width:10;height:20" coordorigin="4206,-7265" coordsize="10,20">
              <v:shape style="position:absolute;left:4206;top:-7265;width:10;height:20" coordorigin="4206,-7265" coordsize="10,20" path="m4206,-7246l4215,-7246,4215,-7265,4206,-7265,4206,-7246xe" filled="true" fillcolor="#000000" stroked="false">
                <v:path arrowok="t"/>
                <v:fill type="solid"/>
              </v:shape>
            </v:group>
            <v:group style="position:absolute;left:4206;top:-7246;width:10;height:20" coordorigin="4206,-7246" coordsize="10,20">
              <v:shape style="position:absolute;left:4206;top:-7246;width:10;height:20" coordorigin="4206,-7246" coordsize="10,20" path="m4206,-7227l4215,-7227,4215,-7246,4206,-7246,4206,-7227xe" filled="true" fillcolor="#000000" stroked="false">
                <v:path arrowok="t"/>
                <v:fill type="solid"/>
              </v:shape>
            </v:group>
            <v:group style="position:absolute;left:4206;top:-7227;width:10;height:20" coordorigin="4206,-7227" coordsize="10,20">
              <v:shape style="position:absolute;left:4206;top:-7227;width:10;height:20" coordorigin="4206,-7227" coordsize="10,20" path="m4206,-7208l4215,-7208,4215,-7227,4206,-7227,4206,-7208xe" filled="true" fillcolor="#000000" stroked="false">
                <v:path arrowok="t"/>
                <v:fill type="solid"/>
              </v:shape>
            </v:group>
            <v:group style="position:absolute;left:4206;top:-7208;width:10;height:20" coordorigin="4206,-7208" coordsize="10,20">
              <v:shape style="position:absolute;left:4206;top:-7208;width:10;height:20" coordorigin="4206,-7208" coordsize="10,20" path="m4206,-7189l4215,-7189,4215,-7208,4206,-7208,4206,-7189xe" filled="true" fillcolor="#000000" stroked="false">
                <v:path arrowok="t"/>
                <v:fill type="solid"/>
              </v:shape>
            </v:group>
            <v:group style="position:absolute;left:4206;top:-7189;width:10;height:20" coordorigin="4206,-7189" coordsize="10,20">
              <v:shape style="position:absolute;left:4206;top:-7189;width:10;height:20" coordorigin="4206,-7189" coordsize="10,20" path="m4206,-7169l4215,-7169,4215,-7189,4206,-7189,4206,-7169xe" filled="true" fillcolor="#000000" stroked="false">
                <v:path arrowok="t"/>
                <v:fill type="solid"/>
              </v:shape>
            </v:group>
            <v:group style="position:absolute;left:4206;top:-7169;width:10;height:20" coordorigin="4206,-7169" coordsize="10,20">
              <v:shape style="position:absolute;left:4206;top:-7169;width:10;height:20" coordorigin="4206,-7169" coordsize="10,20" path="m4206,-7150l4215,-7150,4215,-7169,4206,-7169,4206,-7150xe" filled="true" fillcolor="#000000" stroked="false">
                <v:path arrowok="t"/>
                <v:fill type="solid"/>
              </v:shape>
            </v:group>
            <v:group style="position:absolute;left:4206;top:-7150;width:10;height:20" coordorigin="4206,-7150" coordsize="10,20">
              <v:shape style="position:absolute;left:4206;top:-7150;width:10;height:20" coordorigin="4206,-7150" coordsize="10,20" path="m4206,-7131l4215,-7131,4215,-7150,4206,-7150,4206,-7131xe" filled="true" fillcolor="#000000" stroked="false">
                <v:path arrowok="t"/>
                <v:fill type="solid"/>
              </v:shape>
            </v:group>
            <v:group style="position:absolute;left:4206;top:-7131;width:10;height:20" coordorigin="4206,-7131" coordsize="10,20">
              <v:shape style="position:absolute;left:4206;top:-7131;width:10;height:20" coordorigin="4206,-7131" coordsize="10,20" path="m4206,-7112l4215,-7112,4215,-7131,4206,-7131,4206,-7112xe" filled="true" fillcolor="#000000" stroked="false">
                <v:path arrowok="t"/>
                <v:fill type="solid"/>
              </v:shape>
            </v:group>
            <v:group style="position:absolute;left:4206;top:-7112;width:10;height:20" coordorigin="4206,-7112" coordsize="10,20">
              <v:shape style="position:absolute;left:4206;top:-7112;width:10;height:20" coordorigin="4206,-7112" coordsize="10,20" path="m4206,-7093l4215,-7093,4215,-7112,4206,-7112,4206,-7093xe" filled="true" fillcolor="#000000" stroked="false">
                <v:path arrowok="t"/>
                <v:fill type="solid"/>
              </v:shape>
            </v:group>
            <v:group style="position:absolute;left:4206;top:-7093;width:10;height:20" coordorigin="4206,-7093" coordsize="10,20">
              <v:shape style="position:absolute;left:4206;top:-7093;width:10;height:20" coordorigin="4206,-7093" coordsize="10,20" path="m4206,-7073l4215,-7073,4215,-7093,4206,-7093,4206,-7073xe" filled="true" fillcolor="#000000" stroked="false">
                <v:path arrowok="t"/>
                <v:fill type="solid"/>
              </v:shape>
            </v:group>
            <v:group style="position:absolute;left:4206;top:-7073;width:10;height:20" coordorigin="4206,-7073" coordsize="10,20">
              <v:shape style="position:absolute;left:4206;top:-7073;width:10;height:20" coordorigin="4206,-7073" coordsize="10,20" path="m4206,-7054l4215,-7054,4215,-7073,4206,-7073,4206,-7054xe" filled="true" fillcolor="#000000" stroked="false">
                <v:path arrowok="t"/>
                <v:fill type="solid"/>
              </v:shape>
            </v:group>
            <v:group style="position:absolute;left:4206;top:-7054;width:10;height:20" coordorigin="4206,-7054" coordsize="10,20">
              <v:shape style="position:absolute;left:4206;top:-7054;width:10;height:20" coordorigin="4206,-7054" coordsize="10,20" path="m4206,-7035l4215,-7035,4215,-7054,4206,-7054,4206,-7035xe" filled="true" fillcolor="#000000" stroked="false">
                <v:path arrowok="t"/>
                <v:fill type="solid"/>
              </v:shape>
            </v:group>
            <v:group style="position:absolute;left:4206;top:-7035;width:10;height:20" coordorigin="4206,-7035" coordsize="10,20">
              <v:shape style="position:absolute;left:4206;top:-7035;width:10;height:20" coordorigin="4206,-7035" coordsize="10,20" path="m4206,-7016l4215,-7016,4215,-7035,4206,-7035,4206,-7016xe" filled="true" fillcolor="#000000" stroked="false">
                <v:path arrowok="t"/>
                <v:fill type="solid"/>
              </v:shape>
            </v:group>
            <v:group style="position:absolute;left:4206;top:-7016;width:10;height:20" coordorigin="4206,-7016" coordsize="10,20">
              <v:shape style="position:absolute;left:4206;top:-7016;width:10;height:20" coordorigin="4206,-7016" coordsize="10,20" path="m4206,-6997l4215,-6997,4215,-7016,4206,-7016,4206,-6997xe" filled="true" fillcolor="#000000" stroked="false">
                <v:path arrowok="t"/>
                <v:fill type="solid"/>
              </v:shape>
            </v:group>
            <v:group style="position:absolute;left:4206;top:-6997;width:10;height:20" coordorigin="4206,-6997" coordsize="10,20">
              <v:shape style="position:absolute;left:4206;top:-6997;width:10;height:20" coordorigin="4206,-6997" coordsize="10,20" path="m4206,-6977l4215,-6977,4215,-6997,4206,-6997,4206,-6977xe" filled="true" fillcolor="#000000" stroked="false">
                <v:path arrowok="t"/>
                <v:fill type="solid"/>
              </v:shape>
            </v:group>
            <v:group style="position:absolute;left:4206;top:-6977;width:10;height:20" coordorigin="4206,-6977" coordsize="10,20">
              <v:shape style="position:absolute;left:4206;top:-6977;width:10;height:20" coordorigin="4206,-6977" coordsize="10,20" path="m4206,-6958l4215,-6958,4215,-6977,4206,-6977,4206,-6958xe" filled="true" fillcolor="#000000" stroked="false">
                <v:path arrowok="t"/>
                <v:fill type="solid"/>
              </v:shape>
            </v:group>
            <v:group style="position:absolute;left:4206;top:-6958;width:10;height:20" coordorigin="4206,-6958" coordsize="10,20">
              <v:shape style="position:absolute;left:4206;top:-6958;width:10;height:20" coordorigin="4206,-6958" coordsize="10,20" path="m4206,-6939l4215,-6939,4215,-6958,4206,-6958,4206,-6939xe" filled="true" fillcolor="#000000" stroked="false">
                <v:path arrowok="t"/>
                <v:fill type="solid"/>
              </v:shape>
            </v:group>
            <v:group style="position:absolute;left:4206;top:-6939;width:10;height:20" coordorigin="4206,-6939" coordsize="10,20">
              <v:shape style="position:absolute;left:4206;top:-6939;width:10;height:20" coordorigin="4206,-6939" coordsize="10,20" path="m4206,-6920l4215,-6920,4215,-6939,4206,-6939,4206,-6920xe" filled="true" fillcolor="#000000" stroked="false">
                <v:path arrowok="t"/>
                <v:fill type="solid"/>
              </v:shape>
            </v:group>
            <v:group style="position:absolute;left:4206;top:-6920;width:10;height:20" coordorigin="4206,-6920" coordsize="10,20">
              <v:shape style="position:absolute;left:4206;top:-6920;width:10;height:20" coordorigin="4206,-6920" coordsize="10,20" path="m4206,-6901l4215,-6901,4215,-6920,4206,-6920,4206,-6901xe" filled="true" fillcolor="#000000" stroked="false">
                <v:path arrowok="t"/>
                <v:fill type="solid"/>
              </v:shape>
            </v:group>
            <v:group style="position:absolute;left:4206;top:-6901;width:10;height:20" coordorigin="4206,-6901" coordsize="10,20">
              <v:shape style="position:absolute;left:4206;top:-6901;width:10;height:20" coordorigin="4206,-6901" coordsize="10,20" path="m4206,-6881l4215,-6881,4215,-6901,4206,-6901,4206,-6881xe" filled="true" fillcolor="#000000" stroked="false">
                <v:path arrowok="t"/>
                <v:fill type="solid"/>
              </v:shape>
            </v:group>
            <v:group style="position:absolute;left:4206;top:-6881;width:10;height:20" coordorigin="4206,-6881" coordsize="10,20">
              <v:shape style="position:absolute;left:4206;top:-6881;width:10;height:20" coordorigin="4206,-6881" coordsize="10,20" path="m4206,-6862l4215,-6862,4215,-6881,4206,-6881,4206,-6862xe" filled="true" fillcolor="#000000" stroked="false">
                <v:path arrowok="t"/>
                <v:fill type="solid"/>
              </v:shape>
            </v:group>
            <v:group style="position:absolute;left:4206;top:-6862;width:10;height:20" coordorigin="4206,-6862" coordsize="10,20">
              <v:shape style="position:absolute;left:4206;top:-6862;width:10;height:20" coordorigin="4206,-6862" coordsize="10,20" path="m4206,-6843l4215,-6843,4215,-6862,4206,-6862,4206,-6843xe" filled="true" fillcolor="#000000" stroked="false">
                <v:path arrowok="t"/>
                <v:fill type="solid"/>
              </v:shape>
            </v:group>
            <v:group style="position:absolute;left:4206;top:-6843;width:10;height:20" coordorigin="4206,-6843" coordsize="10,20">
              <v:shape style="position:absolute;left:4206;top:-6843;width:10;height:20" coordorigin="4206,-6843" coordsize="10,20" path="m4206,-6824l4215,-6824,4215,-6843,4206,-6843,4206,-6824xe" filled="true" fillcolor="#000000" stroked="false">
                <v:path arrowok="t"/>
                <v:fill type="solid"/>
              </v:shape>
            </v:group>
            <v:group style="position:absolute;left:4206;top:-6824;width:10;height:20" coordorigin="4206,-6824" coordsize="10,20">
              <v:shape style="position:absolute;left:4206;top:-6824;width:10;height:20" coordorigin="4206,-6824" coordsize="10,20" path="m4206,-6805l4215,-6805,4215,-6824,4206,-6824,4206,-6805xe" filled="true" fillcolor="#000000" stroked="false">
                <v:path arrowok="t"/>
                <v:fill type="solid"/>
              </v:shape>
            </v:group>
            <v:group style="position:absolute;left:4206;top:-6805;width:10;height:20" coordorigin="4206,-6805" coordsize="10,20">
              <v:shape style="position:absolute;left:4206;top:-6805;width:10;height:20" coordorigin="4206,-6805" coordsize="10,20" path="m4206,-6785l4215,-6785,4215,-6805,4206,-6805,4206,-6785xe" filled="true" fillcolor="#000000" stroked="false">
                <v:path arrowok="t"/>
                <v:fill type="solid"/>
              </v:shape>
            </v:group>
            <v:group style="position:absolute;left:4206;top:-6785;width:10;height:20" coordorigin="4206,-6785" coordsize="10,20">
              <v:shape style="position:absolute;left:4206;top:-6785;width:10;height:20" coordorigin="4206,-6785" coordsize="10,20" path="m4206,-6766l4215,-6766,4215,-6785,4206,-6785,4206,-6766xe" filled="true" fillcolor="#000000" stroked="false">
                <v:path arrowok="t"/>
                <v:fill type="solid"/>
              </v:shape>
            </v:group>
            <v:group style="position:absolute;left:4206;top:-6766;width:10;height:20" coordorigin="4206,-6766" coordsize="10,20">
              <v:shape style="position:absolute;left:4206;top:-6766;width:10;height:20" coordorigin="4206,-6766" coordsize="10,20" path="m4206,-6747l4215,-6747,4215,-6766,4206,-6766,4206,-6747xe" filled="true" fillcolor="#000000" stroked="false">
                <v:path arrowok="t"/>
                <v:fill type="solid"/>
              </v:shape>
            </v:group>
            <v:group style="position:absolute;left:4206;top:-6747;width:10;height:20" coordorigin="4206,-6747" coordsize="10,20">
              <v:shape style="position:absolute;left:4206;top:-6747;width:10;height:20" coordorigin="4206,-6747" coordsize="10,20" path="m4206,-6728l4215,-6728,4215,-6747,4206,-6747,4206,-6728xe" filled="true" fillcolor="#000000" stroked="false">
                <v:path arrowok="t"/>
                <v:fill type="solid"/>
              </v:shape>
            </v:group>
            <v:group style="position:absolute;left:4206;top:-6728;width:10;height:20" coordorigin="4206,-6728" coordsize="10,20">
              <v:shape style="position:absolute;left:4206;top:-6728;width:10;height:20" coordorigin="4206,-6728" coordsize="10,20" path="m4206,-6709l4215,-6709,4215,-6728,4206,-6728,4206,-6709xe" filled="true" fillcolor="#000000" stroked="false">
                <v:path arrowok="t"/>
                <v:fill type="solid"/>
              </v:shape>
            </v:group>
            <v:group style="position:absolute;left:4206;top:-6705;width:10;height:2" coordorigin="4206,-6705" coordsize="10,2">
              <v:shape style="position:absolute;left:4206;top:-6705;width:10;height:2" coordorigin="4206,-6705" coordsize="10,0" path="m4206,-6705l4215,-6705e" filled="false" stroked="true" strokeweight=".36002pt" strokecolor="#000000">
                <v:path arrowok="t"/>
              </v:shape>
            </v:group>
            <v:group style="position:absolute;left:5905;top:-8302;width:10;height:20" coordorigin="5905,-8302" coordsize="10,20">
              <v:shape style="position:absolute;left:5905;top:-8302;width:10;height:20" coordorigin="5905,-8302" coordsize="10,20" path="m5905,-8283l5915,-8283,5915,-8302,5905,-8302,5905,-8283xe" filled="true" fillcolor="#000000" stroked="false">
                <v:path arrowok="t"/>
                <v:fill type="solid"/>
              </v:shape>
            </v:group>
            <v:group style="position:absolute;left:5905;top:-8283;width:10;height:20" coordorigin="5905,-8283" coordsize="10,20">
              <v:shape style="position:absolute;left:5905;top:-8283;width:10;height:20" coordorigin="5905,-8283" coordsize="10,20" path="m5905,-8264l5915,-8264,5915,-8283,5905,-8283,5905,-8264xe" filled="true" fillcolor="#000000" stroked="false">
                <v:path arrowok="t"/>
                <v:fill type="solid"/>
              </v:shape>
            </v:group>
            <v:group style="position:absolute;left:5905;top:-8264;width:10;height:20" coordorigin="5905,-8264" coordsize="10,20">
              <v:shape style="position:absolute;left:5905;top:-8264;width:10;height:20" coordorigin="5905,-8264" coordsize="10,20" path="m5905,-8245l5915,-8245,5915,-8264,5905,-8264,5905,-8245xe" filled="true" fillcolor="#000000" stroked="false">
                <v:path arrowok="t"/>
                <v:fill type="solid"/>
              </v:shape>
            </v:group>
            <v:group style="position:absolute;left:5905;top:-8245;width:10;height:20" coordorigin="5905,-8245" coordsize="10,20">
              <v:shape style="position:absolute;left:5905;top:-8245;width:10;height:20" coordorigin="5905,-8245" coordsize="10,20" path="m5905,-8225l5915,-8225,5915,-8245,5905,-8245,5905,-8225xe" filled="true" fillcolor="#000000" stroked="false">
                <v:path arrowok="t"/>
                <v:fill type="solid"/>
              </v:shape>
            </v:group>
            <v:group style="position:absolute;left:5905;top:-8225;width:10;height:20" coordorigin="5905,-8225" coordsize="10,20">
              <v:shape style="position:absolute;left:5905;top:-8225;width:10;height:20" coordorigin="5905,-8225" coordsize="10,20" path="m5905,-8206l5915,-8206,5915,-8225,5905,-8225,5905,-8206xe" filled="true" fillcolor="#000000" stroked="false">
                <v:path arrowok="t"/>
                <v:fill type="solid"/>
              </v:shape>
            </v:group>
            <v:group style="position:absolute;left:5905;top:-8206;width:10;height:20" coordorigin="5905,-8206" coordsize="10,20">
              <v:shape style="position:absolute;left:5905;top:-8206;width:10;height:20" coordorigin="5905,-8206" coordsize="10,20" path="m5905,-8187l5915,-8187,5915,-8206,5905,-8206,5905,-8187xe" filled="true" fillcolor="#000000" stroked="false">
                <v:path arrowok="t"/>
                <v:fill type="solid"/>
              </v:shape>
            </v:group>
            <v:group style="position:absolute;left:5905;top:-8187;width:10;height:20" coordorigin="5905,-8187" coordsize="10,20">
              <v:shape style="position:absolute;left:5905;top:-8187;width:10;height:20" coordorigin="5905,-8187" coordsize="10,20" path="m5905,-8168l5915,-8168,5915,-8187,5905,-8187,5905,-8168xe" filled="true" fillcolor="#000000" stroked="false">
                <v:path arrowok="t"/>
                <v:fill type="solid"/>
              </v:shape>
            </v:group>
            <v:group style="position:absolute;left:5905;top:-8168;width:10;height:20" coordorigin="5905,-8168" coordsize="10,20">
              <v:shape style="position:absolute;left:5905;top:-8168;width:10;height:20" coordorigin="5905,-8168" coordsize="10,20" path="m5905,-8149l5915,-8149,5915,-8168,5905,-8168,5905,-8149xe" filled="true" fillcolor="#000000" stroked="false">
                <v:path arrowok="t"/>
                <v:fill type="solid"/>
              </v:shape>
            </v:group>
            <v:group style="position:absolute;left:5905;top:-8149;width:10;height:20" coordorigin="5905,-8149" coordsize="10,20">
              <v:shape style="position:absolute;left:5905;top:-8149;width:10;height:20" coordorigin="5905,-8149" coordsize="10,20" path="m5905,-8129l5915,-8129,5915,-8149,5905,-8149,5905,-8129xe" filled="true" fillcolor="#000000" stroked="false">
                <v:path arrowok="t"/>
                <v:fill type="solid"/>
              </v:shape>
            </v:group>
            <v:group style="position:absolute;left:5905;top:-8129;width:10;height:20" coordorigin="5905,-8129" coordsize="10,20">
              <v:shape style="position:absolute;left:5905;top:-8129;width:10;height:20" coordorigin="5905,-8129" coordsize="10,20" path="m5905,-8110l5915,-8110,5915,-8129,5905,-8129,5905,-8110xe" filled="true" fillcolor="#000000" stroked="false">
                <v:path arrowok="t"/>
                <v:fill type="solid"/>
              </v:shape>
            </v:group>
            <v:group style="position:absolute;left:5905;top:-8110;width:10;height:20" coordorigin="5905,-8110" coordsize="10,20">
              <v:shape style="position:absolute;left:5905;top:-8110;width:10;height:20" coordorigin="5905,-8110" coordsize="10,20" path="m5905,-8091l5915,-8091,5915,-8110,5905,-8110,5905,-8091xe" filled="true" fillcolor="#000000" stroked="false">
                <v:path arrowok="t"/>
                <v:fill type="solid"/>
              </v:shape>
            </v:group>
            <v:group style="position:absolute;left:5905;top:-8091;width:10;height:20" coordorigin="5905,-8091" coordsize="10,20">
              <v:shape style="position:absolute;left:5905;top:-8091;width:10;height:20" coordorigin="5905,-8091" coordsize="10,20" path="m5905,-8072l5915,-8072,5915,-8091,5905,-8091,5905,-8072xe" filled="true" fillcolor="#000000" stroked="false">
                <v:path arrowok="t"/>
                <v:fill type="solid"/>
              </v:shape>
            </v:group>
            <v:group style="position:absolute;left:5905;top:-8072;width:10;height:20" coordorigin="5905,-8072" coordsize="10,20">
              <v:shape style="position:absolute;left:5905;top:-8072;width:10;height:20" coordorigin="5905,-8072" coordsize="10,20" path="m5905,-8053l5915,-8053,5915,-8072,5905,-8072,5905,-8053xe" filled="true" fillcolor="#000000" stroked="false">
                <v:path arrowok="t"/>
                <v:fill type="solid"/>
              </v:shape>
            </v:group>
            <v:group style="position:absolute;left:5905;top:-8053;width:10;height:20" coordorigin="5905,-8053" coordsize="10,20">
              <v:shape style="position:absolute;left:5905;top:-8053;width:10;height:20" coordorigin="5905,-8053" coordsize="10,20" path="m5905,-8033l5915,-8033,5915,-8053,5905,-8053,5905,-8033xe" filled="true" fillcolor="#000000" stroked="false">
                <v:path arrowok="t"/>
                <v:fill type="solid"/>
              </v:shape>
            </v:group>
            <v:group style="position:absolute;left:5905;top:-8033;width:10;height:20" coordorigin="5905,-8033" coordsize="10,20">
              <v:shape style="position:absolute;left:5905;top:-8033;width:10;height:20" coordorigin="5905,-8033" coordsize="10,20" path="m5905,-8014l5915,-8014,5915,-8033,5905,-8033,5905,-8014xe" filled="true" fillcolor="#000000" stroked="false">
                <v:path arrowok="t"/>
                <v:fill type="solid"/>
              </v:shape>
            </v:group>
            <v:group style="position:absolute;left:5905;top:-8014;width:10;height:20" coordorigin="5905,-8014" coordsize="10,20">
              <v:shape style="position:absolute;left:5905;top:-8014;width:10;height:20" coordorigin="5905,-8014" coordsize="10,20" path="m5905,-7995l5915,-7995,5915,-8014,5905,-8014,5905,-7995xe" filled="true" fillcolor="#000000" stroked="false">
                <v:path arrowok="t"/>
                <v:fill type="solid"/>
              </v:shape>
            </v:group>
            <v:group style="position:absolute;left:5905;top:-7995;width:10;height:20" coordorigin="5905,-7995" coordsize="10,20">
              <v:shape style="position:absolute;left:5905;top:-7995;width:10;height:20" coordorigin="5905,-7995" coordsize="10,20" path="m5905,-7976l5915,-7976,5915,-7995,5905,-7995,5905,-7976xe" filled="true" fillcolor="#000000" stroked="false">
                <v:path arrowok="t"/>
                <v:fill type="solid"/>
              </v:shape>
            </v:group>
            <v:group style="position:absolute;left:5905;top:-7976;width:10;height:20" coordorigin="5905,-7976" coordsize="10,20">
              <v:shape style="position:absolute;left:5905;top:-7976;width:10;height:20" coordorigin="5905,-7976" coordsize="10,20" path="m5905,-7957l5915,-7957,5915,-7976,5905,-7976,5905,-7957xe" filled="true" fillcolor="#000000" stroked="false">
                <v:path arrowok="t"/>
                <v:fill type="solid"/>
              </v:shape>
            </v:group>
            <v:group style="position:absolute;left:5905;top:-7957;width:10;height:20" coordorigin="5905,-7957" coordsize="10,20">
              <v:shape style="position:absolute;left:5905;top:-7957;width:10;height:20" coordorigin="5905,-7957" coordsize="10,20" path="m5905,-7937l5915,-7937,5915,-7957,5905,-7957,5905,-7937xe" filled="true" fillcolor="#000000" stroked="false">
                <v:path arrowok="t"/>
                <v:fill type="solid"/>
              </v:shape>
            </v:group>
            <v:group style="position:absolute;left:5905;top:-7937;width:10;height:20" coordorigin="5905,-7937" coordsize="10,20">
              <v:shape style="position:absolute;left:5905;top:-7937;width:10;height:20" coordorigin="5905,-7937" coordsize="10,20" path="m5905,-7918l5915,-7918,5915,-7937,5905,-7937,5905,-7918xe" filled="true" fillcolor="#000000" stroked="false">
                <v:path arrowok="t"/>
                <v:fill type="solid"/>
              </v:shape>
            </v:group>
            <v:group style="position:absolute;left:5905;top:-7918;width:10;height:20" coordorigin="5905,-7918" coordsize="10,20">
              <v:shape style="position:absolute;left:5905;top:-7918;width:10;height:20" coordorigin="5905,-7918" coordsize="10,20" path="m5905,-7899l5915,-7899,5915,-7918,5905,-7918,5905,-7899xe" filled="true" fillcolor="#000000" stroked="false">
                <v:path arrowok="t"/>
                <v:fill type="solid"/>
              </v:shape>
            </v:group>
            <v:group style="position:absolute;left:5905;top:-7899;width:10;height:20" coordorigin="5905,-7899" coordsize="10,20">
              <v:shape style="position:absolute;left:5905;top:-7899;width:10;height:20" coordorigin="5905,-7899" coordsize="10,20" path="m5905,-7880l5915,-7880,5915,-7899,5905,-7899,5905,-7880xe" filled="true" fillcolor="#000000" stroked="false">
                <v:path arrowok="t"/>
                <v:fill type="solid"/>
              </v:shape>
            </v:group>
            <v:group style="position:absolute;left:5905;top:-7880;width:10;height:20" coordorigin="5905,-7880" coordsize="10,20">
              <v:shape style="position:absolute;left:5905;top:-7880;width:10;height:20" coordorigin="5905,-7880" coordsize="10,20" path="m5905,-7861l5915,-7861,5915,-7880,5905,-7880,5905,-7861xe" filled="true" fillcolor="#000000" stroked="false">
                <v:path arrowok="t"/>
                <v:fill type="solid"/>
              </v:shape>
            </v:group>
            <v:group style="position:absolute;left:5905;top:-7861;width:10;height:20" coordorigin="5905,-7861" coordsize="10,20">
              <v:shape style="position:absolute;left:5905;top:-7861;width:10;height:20" coordorigin="5905,-7861" coordsize="10,20" path="m5905,-7841l5915,-7841,5915,-7861,5905,-7861,5905,-7841xe" filled="true" fillcolor="#000000" stroked="false">
                <v:path arrowok="t"/>
                <v:fill type="solid"/>
              </v:shape>
            </v:group>
            <v:group style="position:absolute;left:5905;top:-7841;width:10;height:20" coordorigin="5905,-7841" coordsize="10,20">
              <v:shape style="position:absolute;left:5905;top:-7841;width:10;height:20" coordorigin="5905,-7841" coordsize="10,20" path="m5905,-7822l5915,-7822,5915,-7841,5905,-7841,5905,-7822xe" filled="true" fillcolor="#000000" stroked="false">
                <v:path arrowok="t"/>
                <v:fill type="solid"/>
              </v:shape>
            </v:group>
            <v:group style="position:absolute;left:5905;top:-7822;width:10;height:20" coordorigin="5905,-7822" coordsize="10,20">
              <v:shape style="position:absolute;left:5905;top:-7822;width:10;height:20" coordorigin="5905,-7822" coordsize="10,20" path="m5905,-7803l5915,-7803,5915,-7822,5905,-7822,5905,-7803xe" filled="true" fillcolor="#000000" stroked="false">
                <v:path arrowok="t"/>
                <v:fill type="solid"/>
              </v:shape>
            </v:group>
            <v:group style="position:absolute;left:5905;top:-7803;width:10;height:20" coordorigin="5905,-7803" coordsize="10,20">
              <v:shape style="position:absolute;left:5905;top:-7803;width:10;height:20" coordorigin="5905,-7803" coordsize="10,20" path="m5905,-7784l5915,-7784,5915,-7803,5905,-7803,5905,-7784xe" filled="true" fillcolor="#000000" stroked="false">
                <v:path arrowok="t"/>
                <v:fill type="solid"/>
              </v:shape>
            </v:group>
            <v:group style="position:absolute;left:5905;top:-7784;width:10;height:20" coordorigin="5905,-7784" coordsize="10,20">
              <v:shape style="position:absolute;left:5905;top:-7784;width:10;height:20" coordorigin="5905,-7784" coordsize="10,20" path="m5905,-7765l5915,-7765,5915,-7784,5905,-7784,5905,-7765xe" filled="true" fillcolor="#000000" stroked="false">
                <v:path arrowok="t"/>
                <v:fill type="solid"/>
              </v:shape>
            </v:group>
            <v:group style="position:absolute;left:5905;top:-7765;width:10;height:20" coordorigin="5905,-7765" coordsize="10,20">
              <v:shape style="position:absolute;left:5905;top:-7765;width:10;height:20" coordorigin="5905,-7765" coordsize="10,20" path="m5905,-7745l5915,-7745,5915,-7765,5905,-7765,5905,-7745xe" filled="true" fillcolor="#000000" stroked="false">
                <v:path arrowok="t"/>
                <v:fill type="solid"/>
              </v:shape>
            </v:group>
            <v:group style="position:absolute;left:5905;top:-7745;width:10;height:20" coordorigin="5905,-7745" coordsize="10,20">
              <v:shape style="position:absolute;left:5905;top:-7745;width:10;height:20" coordorigin="5905,-7745" coordsize="10,20" path="m5905,-7726l5915,-7726,5915,-7745,5905,-7745,5905,-7726xe" filled="true" fillcolor="#000000" stroked="false">
                <v:path arrowok="t"/>
                <v:fill type="solid"/>
              </v:shape>
            </v:group>
            <v:group style="position:absolute;left:5905;top:-7726;width:10;height:20" coordorigin="5905,-7726" coordsize="10,20">
              <v:shape style="position:absolute;left:5905;top:-7726;width:10;height:20" coordorigin="5905,-7726" coordsize="10,20" path="m5905,-7707l5915,-7707,5915,-7726,5905,-7726,5905,-7707xe" filled="true" fillcolor="#000000" stroked="false">
                <v:path arrowok="t"/>
                <v:fill type="solid"/>
              </v:shape>
            </v:group>
            <v:group style="position:absolute;left:5905;top:-7707;width:10;height:20" coordorigin="5905,-7707" coordsize="10,20">
              <v:shape style="position:absolute;left:5905;top:-7707;width:10;height:20" coordorigin="5905,-7707" coordsize="10,20" path="m5905,-7688l5915,-7688,5915,-7707,5905,-7707,5905,-7688xe" filled="true" fillcolor="#000000" stroked="false">
                <v:path arrowok="t"/>
                <v:fill type="solid"/>
              </v:shape>
            </v:group>
            <v:group style="position:absolute;left:5905;top:-7688;width:10;height:20" coordorigin="5905,-7688" coordsize="10,20">
              <v:shape style="position:absolute;left:5905;top:-7688;width:10;height:20" coordorigin="5905,-7688" coordsize="10,20" path="m5905,-7669l5915,-7669,5915,-7688,5905,-7688,5905,-7669xe" filled="true" fillcolor="#000000" stroked="false">
                <v:path arrowok="t"/>
                <v:fill type="solid"/>
              </v:shape>
            </v:group>
            <v:group style="position:absolute;left:5905;top:-7669;width:10;height:20" coordorigin="5905,-7669" coordsize="10,20">
              <v:shape style="position:absolute;left:5905;top:-7669;width:10;height:20" coordorigin="5905,-7669" coordsize="10,20" path="m5905,-7649l5915,-7649,5915,-7669,5905,-7669,5905,-7649xe" filled="true" fillcolor="#000000" stroked="false">
                <v:path arrowok="t"/>
                <v:fill type="solid"/>
              </v:shape>
            </v:group>
            <v:group style="position:absolute;left:5905;top:-7649;width:10;height:20" coordorigin="5905,-7649" coordsize="10,20">
              <v:shape style="position:absolute;left:5905;top:-7649;width:10;height:20" coordorigin="5905,-7649" coordsize="10,20" path="m5905,-7630l5915,-7630,5915,-7649,5905,-7649,5905,-7630xe" filled="true" fillcolor="#000000" stroked="false">
                <v:path arrowok="t"/>
                <v:fill type="solid"/>
              </v:shape>
            </v:group>
            <v:group style="position:absolute;left:5905;top:-7630;width:10;height:20" coordorigin="5905,-7630" coordsize="10,20">
              <v:shape style="position:absolute;left:5905;top:-7630;width:10;height:20" coordorigin="5905,-7630" coordsize="10,20" path="m5905,-7611l5915,-7611,5915,-7630,5905,-7630,5905,-7611xe" filled="true" fillcolor="#000000" stroked="false">
                <v:path arrowok="t"/>
                <v:fill type="solid"/>
              </v:shape>
            </v:group>
            <v:group style="position:absolute;left:5905;top:-7611;width:10;height:20" coordorigin="5905,-7611" coordsize="10,20">
              <v:shape style="position:absolute;left:5905;top:-7611;width:10;height:20" coordorigin="5905,-7611" coordsize="10,20" path="m5905,-7592l5915,-7592,5915,-7611,5905,-7611,5905,-7592xe" filled="true" fillcolor="#000000" stroked="false">
                <v:path arrowok="t"/>
                <v:fill type="solid"/>
              </v:shape>
            </v:group>
            <v:group style="position:absolute;left:5905;top:-7592;width:10;height:20" coordorigin="5905,-7592" coordsize="10,20">
              <v:shape style="position:absolute;left:5905;top:-7592;width:10;height:20" coordorigin="5905,-7592" coordsize="10,20" path="m5905,-7573l5915,-7573,5915,-7592,5905,-7592,5905,-7573xe" filled="true" fillcolor="#000000" stroked="false">
                <v:path arrowok="t"/>
                <v:fill type="solid"/>
              </v:shape>
            </v:group>
            <v:group style="position:absolute;left:5905;top:-7573;width:10;height:20" coordorigin="5905,-7573" coordsize="10,20">
              <v:shape style="position:absolute;left:5905;top:-7573;width:10;height:20" coordorigin="5905,-7573" coordsize="10,20" path="m5905,-7553l5915,-7553,5915,-7573,5905,-7573,5905,-7553xe" filled="true" fillcolor="#000000" stroked="false">
                <v:path arrowok="t"/>
                <v:fill type="solid"/>
              </v:shape>
            </v:group>
            <v:group style="position:absolute;left:5905;top:-7553;width:10;height:20" coordorigin="5905,-7553" coordsize="10,20">
              <v:shape style="position:absolute;left:5905;top:-7553;width:10;height:20" coordorigin="5905,-7553" coordsize="10,20" path="m5905,-7534l5915,-7534,5915,-7553,5905,-7553,5905,-7534xe" filled="true" fillcolor="#000000" stroked="false">
                <v:path arrowok="t"/>
                <v:fill type="solid"/>
              </v:shape>
            </v:group>
            <v:group style="position:absolute;left:5905;top:-7534;width:10;height:20" coordorigin="5905,-7534" coordsize="10,20">
              <v:shape style="position:absolute;left:5905;top:-7534;width:10;height:20" coordorigin="5905,-7534" coordsize="10,20" path="m5905,-7515l5915,-7515,5915,-7534,5905,-7534,5905,-7515xe" filled="true" fillcolor="#000000" stroked="false">
                <v:path arrowok="t"/>
                <v:fill type="solid"/>
              </v:shape>
            </v:group>
            <v:group style="position:absolute;left:5905;top:-7515;width:10;height:20" coordorigin="5905,-7515" coordsize="10,20">
              <v:shape style="position:absolute;left:5905;top:-7515;width:10;height:20" coordorigin="5905,-7515" coordsize="10,20" path="m5905,-7496l5915,-7496,5915,-7515,5905,-7515,5905,-7496xe" filled="true" fillcolor="#000000" stroked="false">
                <v:path arrowok="t"/>
                <v:fill type="solid"/>
              </v:shape>
            </v:group>
            <v:group style="position:absolute;left:5905;top:-7496;width:10;height:20" coordorigin="5905,-7496" coordsize="10,20">
              <v:shape style="position:absolute;left:5905;top:-7496;width:10;height:20" coordorigin="5905,-7496" coordsize="10,20" path="m5905,-7477l5915,-7477,5915,-7496,5905,-7496,5905,-7477xe" filled="true" fillcolor="#000000" stroked="false">
                <v:path arrowok="t"/>
                <v:fill type="solid"/>
              </v:shape>
            </v:group>
            <v:group style="position:absolute;left:5905;top:-7477;width:10;height:20" coordorigin="5905,-7477" coordsize="10,20">
              <v:shape style="position:absolute;left:5905;top:-7477;width:10;height:20" coordorigin="5905,-7477" coordsize="10,20" path="m5905,-7457l5915,-7457,5915,-7477,5905,-7477,5905,-7457xe" filled="true" fillcolor="#000000" stroked="false">
                <v:path arrowok="t"/>
                <v:fill type="solid"/>
              </v:shape>
            </v:group>
            <v:group style="position:absolute;left:5905;top:-7457;width:10;height:20" coordorigin="5905,-7457" coordsize="10,20">
              <v:shape style="position:absolute;left:5905;top:-7457;width:10;height:20" coordorigin="5905,-7457" coordsize="10,20" path="m5905,-7438l5915,-7438,5915,-7457,5905,-7457,5905,-7438xe" filled="true" fillcolor="#000000" stroked="false">
                <v:path arrowok="t"/>
                <v:fill type="solid"/>
              </v:shape>
            </v:group>
            <v:group style="position:absolute;left:5905;top:-7438;width:10;height:20" coordorigin="5905,-7438" coordsize="10,20">
              <v:shape style="position:absolute;left:5905;top:-7438;width:10;height:20" coordorigin="5905,-7438" coordsize="10,20" path="m5905,-7419l5915,-7419,5915,-7438,5905,-7438,5905,-7419xe" filled="true" fillcolor="#000000" stroked="false">
                <v:path arrowok="t"/>
                <v:fill type="solid"/>
              </v:shape>
            </v:group>
            <v:group style="position:absolute;left:5905;top:-7419;width:10;height:20" coordorigin="5905,-7419" coordsize="10,20">
              <v:shape style="position:absolute;left:5905;top:-7419;width:10;height:20" coordorigin="5905,-7419" coordsize="10,20" path="m5905,-7400l5915,-7400,5915,-7419,5905,-7419,5905,-7400xe" filled="true" fillcolor="#000000" stroked="false">
                <v:path arrowok="t"/>
                <v:fill type="solid"/>
              </v:shape>
            </v:group>
            <v:group style="position:absolute;left:5905;top:-7400;width:10;height:20" coordorigin="5905,-7400" coordsize="10,20">
              <v:shape style="position:absolute;left:5905;top:-7400;width:10;height:20" coordorigin="5905,-7400" coordsize="10,20" path="m5905,-7381l5915,-7381,5915,-7400,5905,-7400,5905,-7381xe" filled="true" fillcolor="#000000" stroked="false">
                <v:path arrowok="t"/>
                <v:fill type="solid"/>
              </v:shape>
            </v:group>
            <v:group style="position:absolute;left:5905;top:-7381;width:10;height:20" coordorigin="5905,-7381" coordsize="10,20">
              <v:shape style="position:absolute;left:5905;top:-7381;width:10;height:20" coordorigin="5905,-7381" coordsize="10,20" path="m5905,-7361l5915,-7361,5915,-7381,5905,-7381,5905,-7361xe" filled="true" fillcolor="#000000" stroked="false">
                <v:path arrowok="t"/>
                <v:fill type="solid"/>
              </v:shape>
            </v:group>
            <v:group style="position:absolute;left:5905;top:-7361;width:10;height:20" coordorigin="5905,-7361" coordsize="10,20">
              <v:shape style="position:absolute;left:5905;top:-7361;width:10;height:20" coordorigin="5905,-7361" coordsize="10,20" path="m5905,-7342l5915,-7342,5915,-7361,5905,-7361,5905,-7342xe" filled="true" fillcolor="#000000" stroked="false">
                <v:path arrowok="t"/>
                <v:fill type="solid"/>
              </v:shape>
            </v:group>
            <v:group style="position:absolute;left:5905;top:-7342;width:10;height:20" coordorigin="5905,-7342" coordsize="10,20">
              <v:shape style="position:absolute;left:5905;top:-7342;width:10;height:20" coordorigin="5905,-7342" coordsize="10,20" path="m5905,-7323l5915,-7323,5915,-7342,5905,-7342,5905,-7323xe" filled="true" fillcolor="#000000" stroked="false">
                <v:path arrowok="t"/>
                <v:fill type="solid"/>
              </v:shape>
            </v:group>
            <v:group style="position:absolute;left:5905;top:-7323;width:10;height:20" coordorigin="5905,-7323" coordsize="10,20">
              <v:shape style="position:absolute;left:5905;top:-7323;width:10;height:20" coordorigin="5905,-7323" coordsize="10,20" path="m5905,-7304l5915,-7304,5915,-7323,5905,-7323,5905,-7304xe" filled="true" fillcolor="#000000" stroked="false">
                <v:path arrowok="t"/>
                <v:fill type="solid"/>
              </v:shape>
            </v:group>
            <v:group style="position:absolute;left:5905;top:-7304;width:10;height:20" coordorigin="5905,-7304" coordsize="10,20">
              <v:shape style="position:absolute;left:5905;top:-7304;width:10;height:20" coordorigin="5905,-7304" coordsize="10,20" path="m5905,-7285l5915,-7285,5915,-7304,5905,-7304,5905,-7285xe" filled="true" fillcolor="#000000" stroked="false">
                <v:path arrowok="t"/>
                <v:fill type="solid"/>
              </v:shape>
            </v:group>
            <v:group style="position:absolute;left:5905;top:-7285;width:10;height:20" coordorigin="5905,-7285" coordsize="10,20">
              <v:shape style="position:absolute;left:5905;top:-7285;width:10;height:20" coordorigin="5905,-7285" coordsize="10,20" path="m5905,-7265l5915,-7265,5915,-7285,5905,-7285,5905,-7265xe" filled="true" fillcolor="#000000" stroked="false">
                <v:path arrowok="t"/>
                <v:fill type="solid"/>
              </v:shape>
            </v:group>
            <v:group style="position:absolute;left:5905;top:-7265;width:10;height:20" coordorigin="5905,-7265" coordsize="10,20">
              <v:shape style="position:absolute;left:5905;top:-7265;width:10;height:20" coordorigin="5905,-7265" coordsize="10,20" path="m5905,-7246l5915,-7246,5915,-7265,5905,-7265,5905,-7246xe" filled="true" fillcolor="#000000" stroked="false">
                <v:path arrowok="t"/>
                <v:fill type="solid"/>
              </v:shape>
            </v:group>
            <v:group style="position:absolute;left:5905;top:-7246;width:10;height:20" coordorigin="5905,-7246" coordsize="10,20">
              <v:shape style="position:absolute;left:5905;top:-7246;width:10;height:20" coordorigin="5905,-7246" coordsize="10,20" path="m5905,-7227l5915,-7227,5915,-7246,5905,-7246,5905,-7227xe" filled="true" fillcolor="#000000" stroked="false">
                <v:path arrowok="t"/>
                <v:fill type="solid"/>
              </v:shape>
            </v:group>
            <v:group style="position:absolute;left:5905;top:-7227;width:10;height:20" coordorigin="5905,-7227" coordsize="10,20">
              <v:shape style="position:absolute;left:5905;top:-7227;width:10;height:20" coordorigin="5905,-7227" coordsize="10,20" path="m5905,-7208l5915,-7208,5915,-7227,5905,-7227,5905,-7208xe" filled="true" fillcolor="#000000" stroked="false">
                <v:path arrowok="t"/>
                <v:fill type="solid"/>
              </v:shape>
            </v:group>
            <v:group style="position:absolute;left:5905;top:-7208;width:10;height:20" coordorigin="5905,-7208" coordsize="10,20">
              <v:shape style="position:absolute;left:5905;top:-7208;width:10;height:20" coordorigin="5905,-7208" coordsize="10,20" path="m5905,-7189l5915,-7189,5915,-7208,5905,-7208,5905,-7189xe" filled="true" fillcolor="#000000" stroked="false">
                <v:path arrowok="t"/>
                <v:fill type="solid"/>
              </v:shape>
            </v:group>
            <v:group style="position:absolute;left:5905;top:-7189;width:10;height:20" coordorigin="5905,-7189" coordsize="10,20">
              <v:shape style="position:absolute;left:5905;top:-7189;width:10;height:20" coordorigin="5905,-7189" coordsize="10,20" path="m5905,-7169l5915,-7169,5915,-7189,5905,-7189,5905,-7169xe" filled="true" fillcolor="#000000" stroked="false">
                <v:path arrowok="t"/>
                <v:fill type="solid"/>
              </v:shape>
            </v:group>
            <v:group style="position:absolute;left:5905;top:-7169;width:10;height:20" coordorigin="5905,-7169" coordsize="10,20">
              <v:shape style="position:absolute;left:5905;top:-7169;width:10;height:20" coordorigin="5905,-7169" coordsize="10,20" path="m5905,-7150l5915,-7150,5915,-7169,5905,-7169,5905,-7150xe" filled="true" fillcolor="#000000" stroked="false">
                <v:path arrowok="t"/>
                <v:fill type="solid"/>
              </v:shape>
            </v:group>
            <v:group style="position:absolute;left:5905;top:-7150;width:10;height:20" coordorigin="5905,-7150" coordsize="10,20">
              <v:shape style="position:absolute;left:5905;top:-7150;width:10;height:20" coordorigin="5905,-7150" coordsize="10,20" path="m5905,-7131l5915,-7131,5915,-7150,5905,-7150,5905,-7131xe" filled="true" fillcolor="#000000" stroked="false">
                <v:path arrowok="t"/>
                <v:fill type="solid"/>
              </v:shape>
            </v:group>
            <v:group style="position:absolute;left:5905;top:-7131;width:10;height:20" coordorigin="5905,-7131" coordsize="10,20">
              <v:shape style="position:absolute;left:5905;top:-7131;width:10;height:20" coordorigin="5905,-7131" coordsize="10,20" path="m5905,-7112l5915,-7112,5915,-7131,5905,-7131,5905,-7112xe" filled="true" fillcolor="#000000" stroked="false">
                <v:path arrowok="t"/>
                <v:fill type="solid"/>
              </v:shape>
            </v:group>
            <v:group style="position:absolute;left:5905;top:-7112;width:10;height:20" coordorigin="5905,-7112" coordsize="10,20">
              <v:shape style="position:absolute;left:5905;top:-7112;width:10;height:20" coordorigin="5905,-7112" coordsize="10,20" path="m5905,-7093l5915,-7093,5915,-7112,5905,-7112,5905,-7093xe" filled="true" fillcolor="#000000" stroked="false">
                <v:path arrowok="t"/>
                <v:fill type="solid"/>
              </v:shape>
            </v:group>
            <v:group style="position:absolute;left:5905;top:-7093;width:10;height:20" coordorigin="5905,-7093" coordsize="10,20">
              <v:shape style="position:absolute;left:5905;top:-7093;width:10;height:20" coordorigin="5905,-7093" coordsize="10,20" path="m5905,-7073l5915,-7073,5915,-7093,5905,-7093,5905,-7073xe" filled="true" fillcolor="#000000" stroked="false">
                <v:path arrowok="t"/>
                <v:fill type="solid"/>
              </v:shape>
            </v:group>
            <v:group style="position:absolute;left:5905;top:-7073;width:10;height:20" coordorigin="5905,-7073" coordsize="10,20">
              <v:shape style="position:absolute;left:5905;top:-7073;width:10;height:20" coordorigin="5905,-7073" coordsize="10,20" path="m5905,-7054l5915,-7054,5915,-7073,5905,-7073,5905,-7054xe" filled="true" fillcolor="#000000" stroked="false">
                <v:path arrowok="t"/>
                <v:fill type="solid"/>
              </v:shape>
            </v:group>
            <v:group style="position:absolute;left:5905;top:-7054;width:10;height:20" coordorigin="5905,-7054" coordsize="10,20">
              <v:shape style="position:absolute;left:5905;top:-7054;width:10;height:20" coordorigin="5905,-7054" coordsize="10,20" path="m5905,-7035l5915,-7035,5915,-7054,5905,-7054,5905,-7035xe" filled="true" fillcolor="#000000" stroked="false">
                <v:path arrowok="t"/>
                <v:fill type="solid"/>
              </v:shape>
            </v:group>
            <v:group style="position:absolute;left:5905;top:-7035;width:10;height:20" coordorigin="5905,-7035" coordsize="10,20">
              <v:shape style="position:absolute;left:5905;top:-7035;width:10;height:20" coordorigin="5905,-7035" coordsize="10,20" path="m5905,-7016l5915,-7016,5915,-7035,5905,-7035,5905,-7016xe" filled="true" fillcolor="#000000" stroked="false">
                <v:path arrowok="t"/>
                <v:fill type="solid"/>
              </v:shape>
            </v:group>
            <v:group style="position:absolute;left:5905;top:-7016;width:10;height:20" coordorigin="5905,-7016" coordsize="10,20">
              <v:shape style="position:absolute;left:5905;top:-7016;width:10;height:20" coordorigin="5905,-7016" coordsize="10,20" path="m5905,-6997l5915,-6997,5915,-7016,5905,-7016,5905,-6997xe" filled="true" fillcolor="#000000" stroked="false">
                <v:path arrowok="t"/>
                <v:fill type="solid"/>
              </v:shape>
            </v:group>
            <v:group style="position:absolute;left:5905;top:-6997;width:10;height:20" coordorigin="5905,-6997" coordsize="10,20">
              <v:shape style="position:absolute;left:5905;top:-6997;width:10;height:20" coordorigin="5905,-6997" coordsize="10,20" path="m5905,-6977l5915,-6977,5915,-6997,5905,-6997,5905,-6977xe" filled="true" fillcolor="#000000" stroked="false">
                <v:path arrowok="t"/>
                <v:fill type="solid"/>
              </v:shape>
            </v:group>
            <v:group style="position:absolute;left:5905;top:-6977;width:10;height:20" coordorigin="5905,-6977" coordsize="10,20">
              <v:shape style="position:absolute;left:5905;top:-6977;width:10;height:20" coordorigin="5905,-6977" coordsize="10,20" path="m5905,-6958l5915,-6958,5915,-6977,5905,-6977,5905,-6958xe" filled="true" fillcolor="#000000" stroked="false">
                <v:path arrowok="t"/>
                <v:fill type="solid"/>
              </v:shape>
            </v:group>
            <v:group style="position:absolute;left:5905;top:-6958;width:10;height:20" coordorigin="5905,-6958" coordsize="10,20">
              <v:shape style="position:absolute;left:5905;top:-6958;width:10;height:20" coordorigin="5905,-6958" coordsize="10,20" path="m5905,-6939l5915,-6939,5915,-6958,5905,-6958,5905,-6939xe" filled="true" fillcolor="#000000" stroked="false">
                <v:path arrowok="t"/>
                <v:fill type="solid"/>
              </v:shape>
            </v:group>
            <v:group style="position:absolute;left:5905;top:-6939;width:10;height:20" coordorigin="5905,-6939" coordsize="10,20">
              <v:shape style="position:absolute;left:5905;top:-6939;width:10;height:20" coordorigin="5905,-6939" coordsize="10,20" path="m5905,-6920l5915,-6920,5915,-6939,5905,-6939,5905,-6920xe" filled="true" fillcolor="#000000" stroked="false">
                <v:path arrowok="t"/>
                <v:fill type="solid"/>
              </v:shape>
            </v:group>
            <v:group style="position:absolute;left:5905;top:-6920;width:10;height:20" coordorigin="5905,-6920" coordsize="10,20">
              <v:shape style="position:absolute;left:5905;top:-6920;width:10;height:20" coordorigin="5905,-6920" coordsize="10,20" path="m5905,-6901l5915,-6901,5915,-6920,5905,-6920,5905,-6901xe" filled="true" fillcolor="#000000" stroked="false">
                <v:path arrowok="t"/>
                <v:fill type="solid"/>
              </v:shape>
            </v:group>
            <v:group style="position:absolute;left:5905;top:-6901;width:10;height:20" coordorigin="5905,-6901" coordsize="10,20">
              <v:shape style="position:absolute;left:5905;top:-6901;width:10;height:20" coordorigin="5905,-6901" coordsize="10,20" path="m5905,-6881l5915,-6881,5915,-6901,5905,-6901,5905,-6881xe" filled="true" fillcolor="#000000" stroked="false">
                <v:path arrowok="t"/>
                <v:fill type="solid"/>
              </v:shape>
            </v:group>
            <v:group style="position:absolute;left:5905;top:-6881;width:10;height:20" coordorigin="5905,-6881" coordsize="10,20">
              <v:shape style="position:absolute;left:5905;top:-6881;width:10;height:20" coordorigin="5905,-6881" coordsize="10,20" path="m5905,-6862l5915,-6862,5915,-6881,5905,-6881,5905,-6862xe" filled="true" fillcolor="#000000" stroked="false">
                <v:path arrowok="t"/>
                <v:fill type="solid"/>
              </v:shape>
            </v:group>
            <v:group style="position:absolute;left:5905;top:-6862;width:10;height:20" coordorigin="5905,-6862" coordsize="10,20">
              <v:shape style="position:absolute;left:5905;top:-6862;width:10;height:20" coordorigin="5905,-6862" coordsize="10,20" path="m5905,-6843l5915,-6843,5915,-6862,5905,-6862,5905,-6843xe" filled="true" fillcolor="#000000" stroked="false">
                <v:path arrowok="t"/>
                <v:fill type="solid"/>
              </v:shape>
            </v:group>
            <v:group style="position:absolute;left:5905;top:-6843;width:10;height:20" coordorigin="5905,-6843" coordsize="10,20">
              <v:shape style="position:absolute;left:5905;top:-6843;width:10;height:20" coordorigin="5905,-6843" coordsize="10,20" path="m5905,-6824l5915,-6824,5915,-6843,5905,-6843,5905,-6824xe" filled="true" fillcolor="#000000" stroked="false">
                <v:path arrowok="t"/>
                <v:fill type="solid"/>
              </v:shape>
            </v:group>
            <v:group style="position:absolute;left:5905;top:-6824;width:10;height:20" coordorigin="5905,-6824" coordsize="10,20">
              <v:shape style="position:absolute;left:5905;top:-6824;width:10;height:20" coordorigin="5905,-6824" coordsize="10,20" path="m5905,-6805l5915,-6805,5915,-6824,5905,-6824,5905,-6805xe" filled="true" fillcolor="#000000" stroked="false">
                <v:path arrowok="t"/>
                <v:fill type="solid"/>
              </v:shape>
            </v:group>
            <v:group style="position:absolute;left:5905;top:-6805;width:10;height:20" coordorigin="5905,-6805" coordsize="10,20">
              <v:shape style="position:absolute;left:5905;top:-6805;width:10;height:20" coordorigin="5905,-6805" coordsize="10,20" path="m5905,-6785l5915,-6785,5915,-6805,5905,-6805,5905,-6785xe" filled="true" fillcolor="#000000" stroked="false">
                <v:path arrowok="t"/>
                <v:fill type="solid"/>
              </v:shape>
            </v:group>
            <v:group style="position:absolute;left:5905;top:-6785;width:10;height:20" coordorigin="5905,-6785" coordsize="10,20">
              <v:shape style="position:absolute;left:5905;top:-6785;width:10;height:20" coordorigin="5905,-6785" coordsize="10,20" path="m5905,-6766l5915,-6766,5915,-6785,5905,-6785,5905,-6766xe" filled="true" fillcolor="#000000" stroked="false">
                <v:path arrowok="t"/>
                <v:fill type="solid"/>
              </v:shape>
            </v:group>
            <v:group style="position:absolute;left:5905;top:-6766;width:10;height:20" coordorigin="5905,-6766" coordsize="10,20">
              <v:shape style="position:absolute;left:5905;top:-6766;width:10;height:20" coordorigin="5905,-6766" coordsize="10,20" path="m5905,-6747l5915,-6747,5915,-6766,5905,-6766,5905,-6747xe" filled="true" fillcolor="#000000" stroked="false">
                <v:path arrowok="t"/>
                <v:fill type="solid"/>
              </v:shape>
            </v:group>
            <v:group style="position:absolute;left:5905;top:-6747;width:10;height:20" coordorigin="5905,-6747" coordsize="10,20">
              <v:shape style="position:absolute;left:5905;top:-6747;width:10;height:20" coordorigin="5905,-6747" coordsize="10,20" path="m5905,-6728l5915,-6728,5915,-6747,5905,-6747,5905,-6728xe" filled="true" fillcolor="#000000" stroked="false">
                <v:path arrowok="t"/>
                <v:fill type="solid"/>
              </v:shape>
            </v:group>
            <v:group style="position:absolute;left:5905;top:-6728;width:10;height:20" coordorigin="5905,-6728" coordsize="10,20">
              <v:shape style="position:absolute;left:5905;top:-6728;width:10;height:20" coordorigin="5905,-6728" coordsize="10,20" path="m5905,-6709l5915,-6709,5915,-6728,5905,-6728,5905,-6709xe" filled="true" fillcolor="#000000" stroked="false">
                <v:path arrowok="t"/>
                <v:fill type="solid"/>
              </v:shape>
            </v:group>
            <v:group style="position:absolute;left:5905;top:-6705;width:10;height:2" coordorigin="5905,-6705" coordsize="10,2">
              <v:shape style="position:absolute;left:5905;top:-6705;width:10;height:2" coordorigin="5905,-6705" coordsize="10,0" path="m5905,-6705l5915,-6705e" filled="false" stroked="true" strokeweight=".36002pt" strokecolor="#000000">
                <v:path arrowok="t"/>
              </v:shape>
              <v:shape style="position:absolute;left:2405;top:-6701;width:1801;height:10" type="#_x0000_t75" stroked="false">
                <v:imagedata r:id="rId243" o:title=""/>
              </v:shape>
              <v:shape style="position:absolute;left:4201;top:-6701;width:2753;height:10" type="#_x0000_t75" stroked="false">
                <v:imagedata r:id="rId250" o:title=""/>
              </v:shape>
              <v:shape style="position:absolute;left:6949;top:-6701;width:1082;height:10" type="#_x0000_t75" stroked="false">
                <v:imagedata r:id="rId251" o:title=""/>
              </v:shape>
              <v:shape style="position:absolute;left:8027;top:-6701;width:2441;height:10" type="#_x0000_t75" stroked="false">
                <v:imagedata r:id="rId252" o:title=""/>
              </v:shape>
            </v:group>
            <v:group style="position:absolute;left:4206;top:-6692;width:10;height:20" coordorigin="4206,-6692" coordsize="10,20">
              <v:shape style="position:absolute;left:4206;top:-6692;width:10;height:20" coordorigin="4206,-6692" coordsize="10,20" path="m4206,-6673l4215,-6673,4215,-6692,4206,-6692,4206,-6673xe" filled="true" fillcolor="#000000" stroked="false">
                <v:path arrowok="t"/>
                <v:fill type="solid"/>
              </v:shape>
            </v:group>
            <v:group style="position:absolute;left:4206;top:-6673;width:10;height:20" coordorigin="4206,-6673" coordsize="10,20">
              <v:shape style="position:absolute;left:4206;top:-6673;width:10;height:20" coordorigin="4206,-6673" coordsize="10,20" path="m4206,-6653l4215,-6653,4215,-6673,4206,-6673,4206,-6653xe" filled="true" fillcolor="#000000" stroked="false">
                <v:path arrowok="t"/>
                <v:fill type="solid"/>
              </v:shape>
            </v:group>
            <v:group style="position:absolute;left:4206;top:-6653;width:10;height:20" coordorigin="4206,-6653" coordsize="10,20">
              <v:shape style="position:absolute;left:4206;top:-6653;width:10;height:20" coordorigin="4206,-6653" coordsize="10,20" path="m4206,-6634l4215,-6634,4215,-6653,4206,-6653,4206,-6634xe" filled="true" fillcolor="#000000" stroked="false">
                <v:path arrowok="t"/>
                <v:fill type="solid"/>
              </v:shape>
            </v:group>
            <v:group style="position:absolute;left:4206;top:-6634;width:10;height:20" coordorigin="4206,-6634" coordsize="10,20">
              <v:shape style="position:absolute;left:4206;top:-6634;width:10;height:20" coordorigin="4206,-6634" coordsize="10,20" path="m4206,-6615l4215,-6615,4215,-6634,4206,-6634,4206,-6615xe" filled="true" fillcolor="#000000" stroked="false">
                <v:path arrowok="t"/>
                <v:fill type="solid"/>
              </v:shape>
            </v:group>
            <v:group style="position:absolute;left:4206;top:-6615;width:10;height:20" coordorigin="4206,-6615" coordsize="10,20">
              <v:shape style="position:absolute;left:4206;top:-6615;width:10;height:20" coordorigin="4206,-6615" coordsize="10,20" path="m4206,-6596l4215,-6596,4215,-6615,4206,-6615,4206,-6596xe" filled="true" fillcolor="#000000" stroked="false">
                <v:path arrowok="t"/>
                <v:fill type="solid"/>
              </v:shape>
            </v:group>
            <v:group style="position:absolute;left:4206;top:-6596;width:10;height:20" coordorigin="4206,-6596" coordsize="10,20">
              <v:shape style="position:absolute;left:4206;top:-6596;width:10;height:20" coordorigin="4206,-6596" coordsize="10,20" path="m4206,-6577l4215,-6577,4215,-6596,4206,-6596,4206,-6577xe" filled="true" fillcolor="#000000" stroked="false">
                <v:path arrowok="t"/>
                <v:fill type="solid"/>
              </v:shape>
            </v:group>
            <v:group style="position:absolute;left:4206;top:-6577;width:10;height:20" coordorigin="4206,-6577" coordsize="10,20">
              <v:shape style="position:absolute;left:4206;top:-6577;width:10;height:20" coordorigin="4206,-6577" coordsize="10,20" path="m4206,-6557l4215,-6557,4215,-6577,4206,-6577,4206,-6557xe" filled="true" fillcolor="#000000" stroked="false">
                <v:path arrowok="t"/>
                <v:fill type="solid"/>
              </v:shape>
            </v:group>
            <v:group style="position:absolute;left:4206;top:-6557;width:10;height:20" coordorigin="4206,-6557" coordsize="10,20">
              <v:shape style="position:absolute;left:4206;top:-6557;width:10;height:20" coordorigin="4206,-6557" coordsize="10,20" path="m4206,-6538l4215,-6538,4215,-6557,4206,-6557,4206,-6538xe" filled="true" fillcolor="#000000" stroked="false">
                <v:path arrowok="t"/>
                <v:fill type="solid"/>
              </v:shape>
            </v:group>
            <v:group style="position:absolute;left:4206;top:-6538;width:10;height:20" coordorigin="4206,-6538" coordsize="10,20">
              <v:shape style="position:absolute;left:4206;top:-6538;width:10;height:20" coordorigin="4206,-6538" coordsize="10,20" path="m4206,-6519l4215,-6519,4215,-6538,4206,-6538,4206,-6519xe" filled="true" fillcolor="#000000" stroked="false">
                <v:path arrowok="t"/>
                <v:fill type="solid"/>
              </v:shape>
            </v:group>
            <v:group style="position:absolute;left:4206;top:-6519;width:10;height:20" coordorigin="4206,-6519" coordsize="10,20">
              <v:shape style="position:absolute;left:4206;top:-6519;width:10;height:20" coordorigin="4206,-6519" coordsize="10,20" path="m4206,-6500l4215,-6500,4215,-6519,4206,-6519,4206,-6500xe" filled="true" fillcolor="#000000" stroked="false">
                <v:path arrowok="t"/>
                <v:fill type="solid"/>
              </v:shape>
            </v:group>
            <v:group style="position:absolute;left:4206;top:-6500;width:10;height:20" coordorigin="4206,-6500" coordsize="10,20">
              <v:shape style="position:absolute;left:4206;top:-6500;width:10;height:20" coordorigin="4206,-6500" coordsize="10,20" path="m4206,-6481l4215,-6481,4215,-6500,4206,-6500,4206,-6481xe" filled="true" fillcolor="#000000" stroked="false">
                <v:path arrowok="t"/>
                <v:fill type="solid"/>
              </v:shape>
            </v:group>
            <v:group style="position:absolute;left:4206;top:-6481;width:10;height:20" coordorigin="4206,-6481" coordsize="10,20">
              <v:shape style="position:absolute;left:4206;top:-6481;width:10;height:20" coordorigin="4206,-6481" coordsize="10,20" path="m4206,-6461l4215,-6461,4215,-6481,4206,-6481,4206,-6461xe" filled="true" fillcolor="#000000" stroked="false">
                <v:path arrowok="t"/>
                <v:fill type="solid"/>
              </v:shape>
            </v:group>
            <v:group style="position:absolute;left:4206;top:-6461;width:10;height:20" coordorigin="4206,-6461" coordsize="10,20">
              <v:shape style="position:absolute;left:4206;top:-6461;width:10;height:20" coordorigin="4206,-6461" coordsize="10,20" path="m4206,-6442l4215,-6442,4215,-6461,4206,-6461,4206,-6442xe" filled="true" fillcolor="#000000" stroked="false">
                <v:path arrowok="t"/>
                <v:fill type="solid"/>
              </v:shape>
            </v:group>
            <v:group style="position:absolute;left:4206;top:-6442;width:10;height:20" coordorigin="4206,-6442" coordsize="10,20">
              <v:shape style="position:absolute;left:4206;top:-6442;width:10;height:20" coordorigin="4206,-6442" coordsize="10,20" path="m4206,-6423l4215,-6423,4215,-6442,4206,-6442,4206,-6423xe" filled="true" fillcolor="#000000" stroked="false">
                <v:path arrowok="t"/>
                <v:fill type="solid"/>
              </v:shape>
            </v:group>
            <v:group style="position:absolute;left:4206;top:-6423;width:10;height:20" coordorigin="4206,-6423" coordsize="10,20">
              <v:shape style="position:absolute;left:4206;top:-6423;width:10;height:20" coordorigin="4206,-6423" coordsize="10,20" path="m4206,-6404l4215,-6404,4215,-6423,4206,-6423,4206,-6404xe" filled="true" fillcolor="#000000" stroked="false">
                <v:path arrowok="t"/>
                <v:fill type="solid"/>
              </v:shape>
            </v:group>
            <v:group style="position:absolute;left:4206;top:-6404;width:10;height:20" coordorigin="4206,-6404" coordsize="10,20">
              <v:shape style="position:absolute;left:4206;top:-6404;width:10;height:20" coordorigin="4206,-6404" coordsize="10,20" path="m4206,-6385l4215,-6385,4215,-6404,4206,-6404,4206,-6385xe" filled="true" fillcolor="#000000" stroked="false">
                <v:path arrowok="t"/>
                <v:fill type="solid"/>
              </v:shape>
            </v:group>
            <v:group style="position:absolute;left:4206;top:-6385;width:10;height:20" coordorigin="4206,-6385" coordsize="10,20">
              <v:shape style="position:absolute;left:4206;top:-6385;width:10;height:20" coordorigin="4206,-6385" coordsize="10,20" path="m4206,-6365l4215,-6365,4215,-6385,4206,-6385,4206,-6365xe" filled="true" fillcolor="#000000" stroked="false">
                <v:path arrowok="t"/>
                <v:fill type="solid"/>
              </v:shape>
            </v:group>
            <v:group style="position:absolute;left:4206;top:-6365;width:10;height:20" coordorigin="4206,-6365" coordsize="10,20">
              <v:shape style="position:absolute;left:4206;top:-6365;width:10;height:20" coordorigin="4206,-6365" coordsize="10,20" path="m4206,-6346l4215,-6346,4215,-6365,4206,-6365,4206,-6346xe" filled="true" fillcolor="#000000" stroked="false">
                <v:path arrowok="t"/>
                <v:fill type="solid"/>
              </v:shape>
            </v:group>
            <v:group style="position:absolute;left:4206;top:-6346;width:10;height:20" coordorigin="4206,-6346" coordsize="10,20">
              <v:shape style="position:absolute;left:4206;top:-6346;width:10;height:20" coordorigin="4206,-6346" coordsize="10,20" path="m4206,-6327l4215,-6327,4215,-6346,4206,-6346,4206,-6327xe" filled="true" fillcolor="#000000" stroked="false">
                <v:path arrowok="t"/>
                <v:fill type="solid"/>
              </v:shape>
            </v:group>
            <v:group style="position:absolute;left:4206;top:-6327;width:10;height:20" coordorigin="4206,-6327" coordsize="10,20">
              <v:shape style="position:absolute;left:4206;top:-6327;width:10;height:20" coordorigin="4206,-6327" coordsize="10,20" path="m4206,-6308l4215,-6308,4215,-6327,4206,-6327,4206,-6308xe" filled="true" fillcolor="#000000" stroked="false">
                <v:path arrowok="t"/>
                <v:fill type="solid"/>
              </v:shape>
            </v:group>
            <v:group style="position:absolute;left:4206;top:-6308;width:10;height:20" coordorigin="4206,-6308" coordsize="10,20">
              <v:shape style="position:absolute;left:4206;top:-6308;width:10;height:20" coordorigin="4206,-6308" coordsize="10,20" path="m4206,-6289l4215,-6289,4215,-6308,4206,-6308,4206,-6289xe" filled="true" fillcolor="#000000" stroked="false">
                <v:path arrowok="t"/>
                <v:fill type="solid"/>
              </v:shape>
            </v:group>
            <v:group style="position:absolute;left:4206;top:-6289;width:10;height:20" coordorigin="4206,-6289" coordsize="10,20">
              <v:shape style="position:absolute;left:4206;top:-6289;width:10;height:20" coordorigin="4206,-6289" coordsize="10,20" path="m4206,-6269l4215,-6269,4215,-6289,4206,-6289,4206,-6269xe" filled="true" fillcolor="#000000" stroked="false">
                <v:path arrowok="t"/>
                <v:fill type="solid"/>
              </v:shape>
            </v:group>
            <v:group style="position:absolute;left:4206;top:-6269;width:10;height:20" coordorigin="4206,-6269" coordsize="10,20">
              <v:shape style="position:absolute;left:4206;top:-6269;width:10;height:20" coordorigin="4206,-6269" coordsize="10,20" path="m4206,-6250l4215,-6250,4215,-6269,4206,-6269,4206,-6250xe" filled="true" fillcolor="#000000" stroked="false">
                <v:path arrowok="t"/>
                <v:fill type="solid"/>
              </v:shape>
            </v:group>
            <v:group style="position:absolute;left:4206;top:-6250;width:10;height:20" coordorigin="4206,-6250" coordsize="10,20">
              <v:shape style="position:absolute;left:4206;top:-6250;width:10;height:20" coordorigin="4206,-6250" coordsize="10,20" path="m4206,-6231l4215,-6231,4215,-6250,4206,-6250,4206,-6231xe" filled="true" fillcolor="#000000" stroked="false">
                <v:path arrowok="t"/>
                <v:fill type="solid"/>
              </v:shape>
            </v:group>
            <v:group style="position:absolute;left:4206;top:-6231;width:10;height:20" coordorigin="4206,-6231" coordsize="10,20">
              <v:shape style="position:absolute;left:4206;top:-6231;width:10;height:20" coordorigin="4206,-6231" coordsize="10,20" path="m4206,-6212l4215,-6212,4215,-6231,4206,-6231,4206,-6212xe" filled="true" fillcolor="#000000" stroked="false">
                <v:path arrowok="t"/>
                <v:fill type="solid"/>
              </v:shape>
            </v:group>
            <v:group style="position:absolute;left:4206;top:-6212;width:10;height:20" coordorigin="4206,-6212" coordsize="10,20">
              <v:shape style="position:absolute;left:4206;top:-6212;width:10;height:20" coordorigin="4206,-6212" coordsize="10,20" path="m4206,-6193l4215,-6193,4215,-6212,4206,-6212,4206,-6193xe" filled="true" fillcolor="#000000" stroked="false">
                <v:path arrowok="t"/>
                <v:fill type="solid"/>
              </v:shape>
            </v:group>
            <v:group style="position:absolute;left:4206;top:-6193;width:10;height:20" coordorigin="4206,-6193" coordsize="10,20">
              <v:shape style="position:absolute;left:4206;top:-6193;width:10;height:20" coordorigin="4206,-6193" coordsize="10,20" path="m4206,-6173l4215,-6173,4215,-6193,4206,-6193,4206,-6173xe" filled="true" fillcolor="#000000" stroked="false">
                <v:path arrowok="t"/>
                <v:fill type="solid"/>
              </v:shape>
            </v:group>
            <v:group style="position:absolute;left:4206;top:-6173;width:10;height:20" coordorigin="4206,-6173" coordsize="10,20">
              <v:shape style="position:absolute;left:4206;top:-6173;width:10;height:20" coordorigin="4206,-6173" coordsize="10,20" path="m4206,-6154l4215,-6154,4215,-6173,4206,-6173,4206,-6154xe" filled="true" fillcolor="#000000" stroked="false">
                <v:path arrowok="t"/>
                <v:fill type="solid"/>
              </v:shape>
            </v:group>
            <v:group style="position:absolute;left:4206;top:-6154;width:10;height:20" coordorigin="4206,-6154" coordsize="10,20">
              <v:shape style="position:absolute;left:4206;top:-6154;width:10;height:20" coordorigin="4206,-6154" coordsize="10,20" path="m4206,-6135l4215,-6135,4215,-6154,4206,-6154,4206,-6135xe" filled="true" fillcolor="#000000" stroked="false">
                <v:path arrowok="t"/>
                <v:fill type="solid"/>
              </v:shape>
            </v:group>
            <v:group style="position:absolute;left:4206;top:-6135;width:10;height:20" coordorigin="4206,-6135" coordsize="10,20">
              <v:shape style="position:absolute;left:4206;top:-6135;width:10;height:20" coordorigin="4206,-6135" coordsize="10,20" path="m4206,-6116l4215,-6116,4215,-6135,4206,-6135,4206,-6116xe" filled="true" fillcolor="#000000" stroked="false">
                <v:path arrowok="t"/>
                <v:fill type="solid"/>
              </v:shape>
            </v:group>
            <v:group style="position:absolute;left:4206;top:-6116;width:10;height:20" coordorigin="4206,-6116" coordsize="10,20">
              <v:shape style="position:absolute;left:4206;top:-6116;width:10;height:20" coordorigin="4206,-6116" coordsize="10,20" path="m4206,-6097l4215,-6097,4215,-6116,4206,-6116,4206,-6097xe" filled="true" fillcolor="#000000" stroked="false">
                <v:path arrowok="t"/>
                <v:fill type="solid"/>
              </v:shape>
            </v:group>
            <v:group style="position:absolute;left:4206;top:-6097;width:10;height:20" coordorigin="4206,-6097" coordsize="10,20">
              <v:shape style="position:absolute;left:4206;top:-6097;width:10;height:20" coordorigin="4206,-6097" coordsize="10,20" path="m4206,-6077l4215,-6077,4215,-6097,4206,-6097,4206,-6077xe" filled="true" fillcolor="#000000" stroked="false">
                <v:path arrowok="t"/>
                <v:fill type="solid"/>
              </v:shape>
            </v:group>
            <v:group style="position:absolute;left:4206;top:-6077;width:10;height:20" coordorigin="4206,-6077" coordsize="10,20">
              <v:shape style="position:absolute;left:4206;top:-6077;width:10;height:20" coordorigin="4206,-6077" coordsize="10,20" path="m4206,-6058l4215,-6058,4215,-6077,4206,-6077,4206,-6058xe" filled="true" fillcolor="#000000" stroked="false">
                <v:path arrowok="t"/>
                <v:fill type="solid"/>
              </v:shape>
            </v:group>
            <v:group style="position:absolute;left:4206;top:-6058;width:10;height:20" coordorigin="4206,-6058" coordsize="10,20">
              <v:shape style="position:absolute;left:4206;top:-6058;width:10;height:20" coordorigin="4206,-6058" coordsize="10,20" path="m4206,-6039l4215,-6039,4215,-6058,4206,-6058,4206,-6039xe" filled="true" fillcolor="#000000" stroked="false">
                <v:path arrowok="t"/>
                <v:fill type="solid"/>
              </v:shape>
            </v:group>
            <v:group style="position:absolute;left:4206;top:-6039;width:10;height:20" coordorigin="4206,-6039" coordsize="10,20">
              <v:shape style="position:absolute;left:4206;top:-6039;width:10;height:20" coordorigin="4206,-6039" coordsize="10,20" path="m4206,-6020l4215,-6020,4215,-6039,4206,-6039,4206,-6020xe" filled="true" fillcolor="#000000" stroked="false">
                <v:path arrowok="t"/>
                <v:fill type="solid"/>
              </v:shape>
            </v:group>
            <v:group style="position:absolute;left:4206;top:-6020;width:10;height:20" coordorigin="4206,-6020" coordsize="10,20">
              <v:shape style="position:absolute;left:4206;top:-6020;width:10;height:20" coordorigin="4206,-6020" coordsize="10,20" path="m4206,-6001l4215,-6001,4215,-6020,4206,-6020,4206,-6001xe" filled="true" fillcolor="#000000" stroked="false">
                <v:path arrowok="t"/>
                <v:fill type="solid"/>
              </v:shape>
            </v:group>
            <v:group style="position:absolute;left:4206;top:-6001;width:10;height:20" coordorigin="4206,-6001" coordsize="10,20">
              <v:shape style="position:absolute;left:4206;top:-6001;width:10;height:20" coordorigin="4206,-6001" coordsize="10,20" path="m4206,-5981l4215,-5981,4215,-6001,4206,-6001,4206,-5981xe" filled="true" fillcolor="#000000" stroked="false">
                <v:path arrowok="t"/>
                <v:fill type="solid"/>
              </v:shape>
            </v:group>
            <v:group style="position:absolute;left:4206;top:-5981;width:10;height:20" coordorigin="4206,-5981" coordsize="10,20">
              <v:shape style="position:absolute;left:4206;top:-5981;width:10;height:20" coordorigin="4206,-5981" coordsize="10,20" path="m4206,-5962l4215,-5962,4215,-5981,4206,-5981,4206,-5962xe" filled="true" fillcolor="#000000" stroked="false">
                <v:path arrowok="t"/>
                <v:fill type="solid"/>
              </v:shape>
            </v:group>
            <v:group style="position:absolute;left:4206;top:-5962;width:10;height:20" coordorigin="4206,-5962" coordsize="10,20">
              <v:shape style="position:absolute;left:4206;top:-5962;width:10;height:20" coordorigin="4206,-5962" coordsize="10,20" path="m4206,-5943l4215,-5943,4215,-5962,4206,-5962,4206,-5943xe" filled="true" fillcolor="#000000" stroked="false">
                <v:path arrowok="t"/>
                <v:fill type="solid"/>
              </v:shape>
            </v:group>
            <v:group style="position:absolute;left:4206;top:-5943;width:10;height:20" coordorigin="4206,-5943" coordsize="10,20">
              <v:shape style="position:absolute;left:4206;top:-5943;width:10;height:20" coordorigin="4206,-5943" coordsize="10,20" path="m4206,-5924l4215,-5924,4215,-5943,4206,-5943,4206,-5924xe" filled="true" fillcolor="#000000" stroked="false">
                <v:path arrowok="t"/>
                <v:fill type="solid"/>
              </v:shape>
            </v:group>
            <v:group style="position:absolute;left:4206;top:-5924;width:10;height:20" coordorigin="4206,-5924" coordsize="10,20">
              <v:shape style="position:absolute;left:4206;top:-5924;width:10;height:20" coordorigin="4206,-5924" coordsize="10,20" path="m4206,-5905l4215,-5905,4215,-5924,4206,-5924,4206,-5905xe" filled="true" fillcolor="#000000" stroked="false">
                <v:path arrowok="t"/>
                <v:fill type="solid"/>
              </v:shape>
            </v:group>
            <v:group style="position:absolute;left:4206;top:-5905;width:10;height:20" coordorigin="4206,-5905" coordsize="10,20">
              <v:shape style="position:absolute;left:4206;top:-5905;width:10;height:20" coordorigin="4206,-5905" coordsize="10,20" path="m4206,-5885l4215,-5885,4215,-5905,4206,-5905,4206,-5885xe" filled="true" fillcolor="#000000" stroked="false">
                <v:path arrowok="t"/>
                <v:fill type="solid"/>
              </v:shape>
            </v:group>
            <v:group style="position:absolute;left:4206;top:-5885;width:10;height:20" coordorigin="4206,-5885" coordsize="10,20">
              <v:shape style="position:absolute;left:4206;top:-5885;width:10;height:20" coordorigin="4206,-5885" coordsize="10,20" path="m4206,-5866l4215,-5866,4215,-5885,4206,-5885,4206,-5866xe" filled="true" fillcolor="#000000" stroked="false">
                <v:path arrowok="t"/>
                <v:fill type="solid"/>
              </v:shape>
            </v:group>
            <v:group style="position:absolute;left:4206;top:-5866;width:10;height:20" coordorigin="4206,-5866" coordsize="10,20">
              <v:shape style="position:absolute;left:4206;top:-5866;width:10;height:20" coordorigin="4206,-5866" coordsize="10,20" path="m4206,-5847l4215,-5847,4215,-5866,4206,-5866,4206,-5847xe" filled="true" fillcolor="#000000" stroked="false">
                <v:path arrowok="t"/>
                <v:fill type="solid"/>
              </v:shape>
            </v:group>
            <v:group style="position:absolute;left:4206;top:-5847;width:10;height:20" coordorigin="4206,-5847" coordsize="10,20">
              <v:shape style="position:absolute;left:4206;top:-5847;width:10;height:20" coordorigin="4206,-5847" coordsize="10,20" path="m4206,-5828l4215,-5828,4215,-5847,4206,-5847,4206,-5828xe" filled="true" fillcolor="#000000" stroked="false">
                <v:path arrowok="t"/>
                <v:fill type="solid"/>
              </v:shape>
            </v:group>
            <v:group style="position:absolute;left:4206;top:-5828;width:10;height:20" coordorigin="4206,-5828" coordsize="10,20">
              <v:shape style="position:absolute;left:4206;top:-5828;width:10;height:20" coordorigin="4206,-5828" coordsize="10,20" path="m4206,-5809l4215,-5809,4215,-5828,4206,-5828,4206,-5809xe" filled="true" fillcolor="#000000" stroked="false">
                <v:path arrowok="t"/>
                <v:fill type="solid"/>
              </v:shape>
            </v:group>
            <v:group style="position:absolute;left:4206;top:-5809;width:10;height:20" coordorigin="4206,-5809" coordsize="10,20">
              <v:shape style="position:absolute;left:4206;top:-5809;width:10;height:20" coordorigin="4206,-5809" coordsize="10,20" path="m4206,-5789l4215,-5789,4215,-5809,4206,-5809,4206,-5789xe" filled="true" fillcolor="#000000" stroked="false">
                <v:path arrowok="t"/>
                <v:fill type="solid"/>
              </v:shape>
            </v:group>
            <v:group style="position:absolute;left:4206;top:-5789;width:10;height:20" coordorigin="4206,-5789" coordsize="10,20">
              <v:shape style="position:absolute;left:4206;top:-5789;width:10;height:20" coordorigin="4206,-5789" coordsize="10,20" path="m4206,-5770l4215,-5770,4215,-5789,4206,-5789,4206,-5770xe" filled="true" fillcolor="#000000" stroked="false">
                <v:path arrowok="t"/>
                <v:fill type="solid"/>
              </v:shape>
            </v:group>
            <v:group style="position:absolute;left:4206;top:-5770;width:10;height:20" coordorigin="4206,-5770" coordsize="10,20">
              <v:shape style="position:absolute;left:4206;top:-5770;width:10;height:20" coordorigin="4206,-5770" coordsize="10,20" path="m4206,-5751l4215,-5751,4215,-5770,4206,-5770,4206,-5751xe" filled="true" fillcolor="#000000" stroked="false">
                <v:path arrowok="t"/>
                <v:fill type="solid"/>
              </v:shape>
            </v:group>
            <v:group style="position:absolute;left:4206;top:-5751;width:10;height:20" coordorigin="4206,-5751" coordsize="10,20">
              <v:shape style="position:absolute;left:4206;top:-5751;width:10;height:20" coordorigin="4206,-5751" coordsize="10,20" path="m4206,-5732l4215,-5732,4215,-5751,4206,-5751,4206,-5732xe" filled="true" fillcolor="#000000" stroked="false">
                <v:path arrowok="t"/>
                <v:fill type="solid"/>
              </v:shape>
            </v:group>
            <v:group style="position:absolute;left:4206;top:-5732;width:10;height:20" coordorigin="4206,-5732" coordsize="10,20">
              <v:shape style="position:absolute;left:4206;top:-5732;width:10;height:20" coordorigin="4206,-5732" coordsize="10,20" path="m4206,-5713l4215,-5713,4215,-5732,4206,-5732,4206,-5713xe" filled="true" fillcolor="#000000" stroked="false">
                <v:path arrowok="t"/>
                <v:fill type="solid"/>
              </v:shape>
            </v:group>
            <v:group style="position:absolute;left:4206;top:-5713;width:10;height:20" coordorigin="4206,-5713" coordsize="10,20">
              <v:shape style="position:absolute;left:4206;top:-5713;width:10;height:20" coordorigin="4206,-5713" coordsize="10,20" path="m4206,-5693l4215,-5693,4215,-5713,4206,-5713,4206,-5693xe" filled="true" fillcolor="#000000" stroked="false">
                <v:path arrowok="t"/>
                <v:fill type="solid"/>
              </v:shape>
            </v:group>
            <v:group style="position:absolute;left:4206;top:-5693;width:10;height:20" coordorigin="4206,-5693" coordsize="10,20">
              <v:shape style="position:absolute;left:4206;top:-5693;width:10;height:20" coordorigin="4206,-5693" coordsize="10,20" path="m4206,-5674l4215,-5674,4215,-5693,4206,-5693,4206,-5674xe" filled="true" fillcolor="#000000" stroked="false">
                <v:path arrowok="t"/>
                <v:fill type="solid"/>
              </v:shape>
            </v:group>
            <v:group style="position:absolute;left:4206;top:-5674;width:10;height:20" coordorigin="4206,-5674" coordsize="10,20">
              <v:shape style="position:absolute;left:4206;top:-5674;width:10;height:20" coordorigin="4206,-5674" coordsize="10,20" path="m4206,-5655l4215,-5655,4215,-5674,4206,-5674,4206,-5655xe" filled="true" fillcolor="#000000" stroked="false">
                <v:path arrowok="t"/>
                <v:fill type="solid"/>
              </v:shape>
            </v:group>
            <v:group style="position:absolute;left:4206;top:-5655;width:10;height:20" coordorigin="4206,-5655" coordsize="10,20">
              <v:shape style="position:absolute;left:4206;top:-5655;width:10;height:20" coordorigin="4206,-5655" coordsize="10,20" path="m4206,-5636l4215,-5636,4215,-5655,4206,-5655,4206,-5636xe" filled="true" fillcolor="#000000" stroked="false">
                <v:path arrowok="t"/>
                <v:fill type="solid"/>
              </v:shape>
            </v:group>
            <v:group style="position:absolute;left:4206;top:-5636;width:10;height:20" coordorigin="4206,-5636" coordsize="10,20">
              <v:shape style="position:absolute;left:4206;top:-5636;width:10;height:20" coordorigin="4206,-5636" coordsize="10,20" path="m4206,-5617l4215,-5617,4215,-5636,4206,-5636,4206,-5617xe" filled="true" fillcolor="#000000" stroked="false">
                <v:path arrowok="t"/>
                <v:fill type="solid"/>
              </v:shape>
            </v:group>
            <v:group style="position:absolute;left:4206;top:-5617;width:10;height:20" coordorigin="4206,-5617" coordsize="10,20">
              <v:shape style="position:absolute;left:4206;top:-5617;width:10;height:20" coordorigin="4206,-5617" coordsize="10,20" path="m4206,-5597l4215,-5597,4215,-5617,4206,-5617,4206,-5597xe" filled="true" fillcolor="#000000" stroked="false">
                <v:path arrowok="t"/>
                <v:fill type="solid"/>
              </v:shape>
            </v:group>
            <v:group style="position:absolute;left:4206;top:-5597;width:10;height:20" coordorigin="4206,-5597" coordsize="10,20">
              <v:shape style="position:absolute;left:4206;top:-5597;width:10;height:20" coordorigin="4206,-5597" coordsize="10,20" path="m4206,-5578l4215,-5578,4215,-5597,4206,-5597,4206,-5578xe" filled="true" fillcolor="#000000" stroked="false">
                <v:path arrowok="t"/>
                <v:fill type="solid"/>
              </v:shape>
            </v:group>
            <v:group style="position:absolute;left:4206;top:-5578;width:10;height:20" coordorigin="4206,-5578" coordsize="10,20">
              <v:shape style="position:absolute;left:4206;top:-5578;width:10;height:20" coordorigin="4206,-5578" coordsize="10,20" path="m4206,-5559l4215,-5559,4215,-5578,4206,-5578,4206,-5559xe" filled="true" fillcolor="#000000" stroked="false">
                <v:path arrowok="t"/>
                <v:fill type="solid"/>
              </v:shape>
            </v:group>
            <v:group style="position:absolute;left:4206;top:-5559;width:10;height:20" coordorigin="4206,-5559" coordsize="10,20">
              <v:shape style="position:absolute;left:4206;top:-5559;width:10;height:20" coordorigin="4206,-5559" coordsize="10,20" path="m4206,-5540l4215,-5540,4215,-5559,4206,-5559,4206,-5540xe" filled="true" fillcolor="#000000" stroked="false">
                <v:path arrowok="t"/>
                <v:fill type="solid"/>
              </v:shape>
            </v:group>
            <v:group style="position:absolute;left:4206;top:-5540;width:10;height:20" coordorigin="4206,-5540" coordsize="10,20">
              <v:shape style="position:absolute;left:4206;top:-5540;width:10;height:20" coordorigin="4206,-5540" coordsize="10,20" path="m4206,-5521l4215,-5521,4215,-5540,4206,-5540,4206,-5521xe" filled="true" fillcolor="#000000" stroked="false">
                <v:path arrowok="t"/>
                <v:fill type="solid"/>
              </v:shape>
            </v:group>
            <v:group style="position:absolute;left:4206;top:-5521;width:10;height:20" coordorigin="4206,-5521" coordsize="10,20">
              <v:shape style="position:absolute;left:4206;top:-5521;width:10;height:20" coordorigin="4206,-5521" coordsize="10,20" path="m4206,-5501l4215,-5501,4215,-5521,4206,-5521,4206,-5501xe" filled="true" fillcolor="#000000" stroked="false">
                <v:path arrowok="t"/>
                <v:fill type="solid"/>
              </v:shape>
            </v:group>
            <v:group style="position:absolute;left:4206;top:-5501;width:10;height:20" coordorigin="4206,-5501" coordsize="10,20">
              <v:shape style="position:absolute;left:4206;top:-5501;width:10;height:20" coordorigin="4206,-5501" coordsize="10,20" path="m4206,-5482l4215,-5482,4215,-5501,4206,-5501,4206,-5482xe" filled="true" fillcolor="#000000" stroked="false">
                <v:path arrowok="t"/>
                <v:fill type="solid"/>
              </v:shape>
            </v:group>
            <v:group style="position:absolute;left:4206;top:-5482;width:10;height:20" coordorigin="4206,-5482" coordsize="10,20">
              <v:shape style="position:absolute;left:4206;top:-5482;width:10;height:20" coordorigin="4206,-5482" coordsize="10,20" path="m4206,-5463l4215,-5463,4215,-5482,4206,-5482,4206,-5463xe" filled="true" fillcolor="#000000" stroked="false">
                <v:path arrowok="t"/>
                <v:fill type="solid"/>
              </v:shape>
            </v:group>
            <v:group style="position:absolute;left:4206;top:-5463;width:10;height:20" coordorigin="4206,-5463" coordsize="10,20">
              <v:shape style="position:absolute;left:4206;top:-5463;width:10;height:20" coordorigin="4206,-5463" coordsize="10,20" path="m4206,-5444l4215,-5444,4215,-5463,4206,-5463,4206,-5444xe" filled="true" fillcolor="#000000" stroked="false">
                <v:path arrowok="t"/>
                <v:fill type="solid"/>
              </v:shape>
            </v:group>
            <v:group style="position:absolute;left:4206;top:-5444;width:10;height:20" coordorigin="4206,-5444" coordsize="10,20">
              <v:shape style="position:absolute;left:4206;top:-5444;width:10;height:20" coordorigin="4206,-5444" coordsize="10,20" path="m4206,-5425l4215,-5425,4215,-5444,4206,-5444,4206,-5425xe" filled="true" fillcolor="#000000" stroked="false">
                <v:path arrowok="t"/>
                <v:fill type="solid"/>
              </v:shape>
            </v:group>
            <v:group style="position:absolute;left:4206;top:-5425;width:10;height:20" coordorigin="4206,-5425" coordsize="10,20">
              <v:shape style="position:absolute;left:4206;top:-5425;width:10;height:20" coordorigin="4206,-5425" coordsize="10,20" path="m4206,-5405l4215,-5405,4215,-5425,4206,-5425,4206,-5405xe" filled="true" fillcolor="#000000" stroked="false">
                <v:path arrowok="t"/>
                <v:fill type="solid"/>
              </v:shape>
            </v:group>
            <v:group style="position:absolute;left:4206;top:-5405;width:10;height:20" coordorigin="4206,-5405" coordsize="10,20">
              <v:shape style="position:absolute;left:4206;top:-5405;width:10;height:20" coordorigin="4206,-5405" coordsize="10,20" path="m4206,-5386l4215,-5386,4215,-5405,4206,-5405,4206,-5386xe" filled="true" fillcolor="#000000" stroked="false">
                <v:path arrowok="t"/>
                <v:fill type="solid"/>
              </v:shape>
            </v:group>
            <v:group style="position:absolute;left:4206;top:-5386;width:10;height:20" coordorigin="4206,-5386" coordsize="10,20">
              <v:shape style="position:absolute;left:4206;top:-5386;width:10;height:20" coordorigin="4206,-5386" coordsize="10,20" path="m4206,-5367l4215,-5367,4215,-5386,4206,-5386,4206,-5367xe" filled="true" fillcolor="#000000" stroked="false">
                <v:path arrowok="t"/>
                <v:fill type="solid"/>
              </v:shape>
            </v:group>
            <v:group style="position:absolute;left:4206;top:-5367;width:10;height:20" coordorigin="4206,-5367" coordsize="10,20">
              <v:shape style="position:absolute;left:4206;top:-5367;width:10;height:20" coordorigin="4206,-5367" coordsize="10,20" path="m4206,-5348l4215,-5348,4215,-5367,4206,-5367,4206,-5348xe" filled="true" fillcolor="#000000" stroked="false">
                <v:path arrowok="t"/>
                <v:fill type="solid"/>
              </v:shape>
            </v:group>
            <v:group style="position:absolute;left:4206;top:-5348;width:10;height:20" coordorigin="4206,-5348" coordsize="10,20">
              <v:shape style="position:absolute;left:4206;top:-5348;width:10;height:20" coordorigin="4206,-5348" coordsize="10,20" path="m4206,-5329l4215,-5329,4215,-5348,4206,-5348,4206,-5329xe" filled="true" fillcolor="#000000" stroked="false">
                <v:path arrowok="t"/>
                <v:fill type="solid"/>
              </v:shape>
            </v:group>
            <v:group style="position:absolute;left:4206;top:-5329;width:10;height:20" coordorigin="4206,-5329" coordsize="10,20">
              <v:shape style="position:absolute;left:4206;top:-5329;width:10;height:20" coordorigin="4206,-5329" coordsize="10,20" path="m4206,-5309l4215,-5309,4215,-5329,4206,-5329,4206,-5309xe" filled="true" fillcolor="#000000" stroked="false">
                <v:path arrowok="t"/>
                <v:fill type="solid"/>
              </v:shape>
            </v:group>
            <v:group style="position:absolute;left:4206;top:-5309;width:10;height:20" coordorigin="4206,-5309" coordsize="10,20">
              <v:shape style="position:absolute;left:4206;top:-5309;width:10;height:20" coordorigin="4206,-5309" coordsize="10,20" path="m4206,-5290l4215,-5290,4215,-5309,4206,-5309,4206,-5290xe" filled="true" fillcolor="#000000" stroked="false">
                <v:path arrowok="t"/>
                <v:fill type="solid"/>
              </v:shape>
            </v:group>
            <v:group style="position:absolute;left:4206;top:-5290;width:10;height:20" coordorigin="4206,-5290" coordsize="10,20">
              <v:shape style="position:absolute;left:4206;top:-5290;width:10;height:20" coordorigin="4206,-5290" coordsize="10,20" path="m4206,-5271l4215,-5271,4215,-5290,4206,-5290,4206,-5271xe" filled="true" fillcolor="#000000" stroked="false">
                <v:path arrowok="t"/>
                <v:fill type="solid"/>
              </v:shape>
            </v:group>
            <v:group style="position:absolute;left:4206;top:-5271;width:10;height:20" coordorigin="4206,-5271" coordsize="10,20">
              <v:shape style="position:absolute;left:4206;top:-5271;width:10;height:20" coordorigin="4206,-5271" coordsize="10,20" path="m4206,-5252l4215,-5252,4215,-5271,4206,-5271,4206,-5252xe" filled="true" fillcolor="#000000" stroked="false">
                <v:path arrowok="t"/>
                <v:fill type="solid"/>
              </v:shape>
            </v:group>
            <v:group style="position:absolute;left:4206;top:-5252;width:10;height:20" coordorigin="4206,-5252" coordsize="10,20">
              <v:shape style="position:absolute;left:4206;top:-5252;width:10;height:20" coordorigin="4206,-5252" coordsize="10,20" path="m4206,-5233l4215,-5233,4215,-5252,4206,-5252,4206,-5233xe" filled="true" fillcolor="#000000" stroked="false">
                <v:path arrowok="t"/>
                <v:fill type="solid"/>
              </v:shape>
            </v:group>
            <v:group style="position:absolute;left:4206;top:-5233;width:10;height:20" coordorigin="4206,-5233" coordsize="10,20">
              <v:shape style="position:absolute;left:4206;top:-5233;width:10;height:20" coordorigin="4206,-5233" coordsize="10,20" path="m4206,-5213l4215,-5213,4215,-5233,4206,-5233,4206,-5213xe" filled="true" fillcolor="#000000" stroked="false">
                <v:path arrowok="t"/>
                <v:fill type="solid"/>
              </v:shape>
            </v:group>
            <v:group style="position:absolute;left:4206;top:-5213;width:10;height:20" coordorigin="4206,-5213" coordsize="10,20">
              <v:shape style="position:absolute;left:4206;top:-5213;width:10;height:20" coordorigin="4206,-5213" coordsize="10,20" path="m4206,-5194l4215,-5194,4215,-5213,4206,-5213,4206,-5194xe" filled="true" fillcolor="#000000" stroked="false">
                <v:path arrowok="t"/>
                <v:fill type="solid"/>
              </v:shape>
            </v:group>
            <v:group style="position:absolute;left:4206;top:-5194;width:10;height:20" coordorigin="4206,-5194" coordsize="10,20">
              <v:shape style="position:absolute;left:4206;top:-5194;width:10;height:20" coordorigin="4206,-5194" coordsize="10,20" path="m4206,-5175l4215,-5175,4215,-5194,4206,-5194,4206,-5175xe" filled="true" fillcolor="#000000" stroked="false">
                <v:path arrowok="t"/>
                <v:fill type="solid"/>
              </v:shape>
            </v:group>
            <v:group style="position:absolute;left:4206;top:-5175;width:10;height:20" coordorigin="4206,-5175" coordsize="10,20">
              <v:shape style="position:absolute;left:4206;top:-5175;width:10;height:20" coordorigin="4206,-5175" coordsize="10,20" path="m4206,-5156l4215,-5156,4215,-5175,4206,-5175,4206,-5156xe" filled="true" fillcolor="#000000" stroked="false">
                <v:path arrowok="t"/>
                <v:fill type="solid"/>
              </v:shape>
            </v:group>
            <v:group style="position:absolute;left:4206;top:-5156;width:10;height:20" coordorigin="4206,-5156" coordsize="10,20">
              <v:shape style="position:absolute;left:4206;top:-5156;width:10;height:20" coordorigin="4206,-5156" coordsize="10,20" path="m4206,-5136l4215,-5136,4215,-5156,4206,-5156,4206,-5136xe" filled="true" fillcolor="#000000" stroked="false">
                <v:path arrowok="t"/>
                <v:fill type="solid"/>
              </v:shape>
            </v:group>
            <v:group style="position:absolute;left:4206;top:-5136;width:10;height:20" coordorigin="4206,-5136" coordsize="10,20">
              <v:shape style="position:absolute;left:4206;top:-5136;width:10;height:20" coordorigin="4206,-5136" coordsize="10,20" path="m4206,-5117l4215,-5117,4215,-5136,4206,-5136,4206,-5117xe" filled="true" fillcolor="#000000" stroked="false">
                <v:path arrowok="t"/>
                <v:fill type="solid"/>
              </v:shape>
            </v:group>
            <v:group style="position:absolute;left:4206;top:-5117;width:10;height:20" coordorigin="4206,-5117" coordsize="10,20">
              <v:shape style="position:absolute;left:4206;top:-5117;width:10;height:20" coordorigin="4206,-5117" coordsize="10,20" path="m4206,-5098l4215,-5098,4215,-5117,4206,-5117,4206,-5098xe" filled="true" fillcolor="#000000" stroked="false">
                <v:path arrowok="t"/>
                <v:fill type="solid"/>
              </v:shape>
            </v:group>
            <v:group style="position:absolute;left:4206;top:-5094;width:10;height:2" coordorigin="4206,-5094" coordsize="10,2">
              <v:shape style="position:absolute;left:4206;top:-5094;width:10;height:2" coordorigin="4206,-5094" coordsize="10,0" path="m4206,-5094l4215,-5094e" filled="false" stroked="true" strokeweight=".35999pt" strokecolor="#000000">
                <v:path arrowok="t"/>
              </v:shape>
            </v:group>
            <v:group style="position:absolute;left:5905;top:-6692;width:10;height:20" coordorigin="5905,-6692" coordsize="10,20">
              <v:shape style="position:absolute;left:5905;top:-6692;width:10;height:20" coordorigin="5905,-6692" coordsize="10,20" path="m5905,-6673l5915,-6673,5915,-6692,5905,-6692,5905,-6673xe" filled="true" fillcolor="#000000" stroked="false">
                <v:path arrowok="t"/>
                <v:fill type="solid"/>
              </v:shape>
            </v:group>
            <v:group style="position:absolute;left:5905;top:-6673;width:10;height:20" coordorigin="5905,-6673" coordsize="10,20">
              <v:shape style="position:absolute;left:5905;top:-6673;width:10;height:20" coordorigin="5905,-6673" coordsize="10,20" path="m5905,-6653l5915,-6653,5915,-6673,5905,-6673,5905,-6653xe" filled="true" fillcolor="#000000" stroked="false">
                <v:path arrowok="t"/>
                <v:fill type="solid"/>
              </v:shape>
            </v:group>
            <v:group style="position:absolute;left:5905;top:-6653;width:10;height:20" coordorigin="5905,-6653" coordsize="10,20">
              <v:shape style="position:absolute;left:5905;top:-6653;width:10;height:20" coordorigin="5905,-6653" coordsize="10,20" path="m5905,-6634l5915,-6634,5915,-6653,5905,-6653,5905,-6634xe" filled="true" fillcolor="#000000" stroked="false">
                <v:path arrowok="t"/>
                <v:fill type="solid"/>
              </v:shape>
            </v:group>
            <v:group style="position:absolute;left:5905;top:-6634;width:10;height:20" coordorigin="5905,-6634" coordsize="10,20">
              <v:shape style="position:absolute;left:5905;top:-6634;width:10;height:20" coordorigin="5905,-6634" coordsize="10,20" path="m5905,-6615l5915,-6615,5915,-6634,5905,-6634,5905,-6615xe" filled="true" fillcolor="#000000" stroked="false">
                <v:path arrowok="t"/>
                <v:fill type="solid"/>
              </v:shape>
            </v:group>
            <v:group style="position:absolute;left:5905;top:-6615;width:10;height:20" coordorigin="5905,-6615" coordsize="10,20">
              <v:shape style="position:absolute;left:5905;top:-6615;width:10;height:20" coordorigin="5905,-6615" coordsize="10,20" path="m5905,-6596l5915,-6596,5915,-6615,5905,-6615,5905,-6596xe" filled="true" fillcolor="#000000" stroked="false">
                <v:path arrowok="t"/>
                <v:fill type="solid"/>
              </v:shape>
            </v:group>
            <v:group style="position:absolute;left:5905;top:-6596;width:10;height:20" coordorigin="5905,-6596" coordsize="10,20">
              <v:shape style="position:absolute;left:5905;top:-6596;width:10;height:20" coordorigin="5905,-6596" coordsize="10,20" path="m5905,-6577l5915,-6577,5915,-6596,5905,-6596,5905,-6577xe" filled="true" fillcolor="#000000" stroked="false">
                <v:path arrowok="t"/>
                <v:fill type="solid"/>
              </v:shape>
            </v:group>
            <v:group style="position:absolute;left:5905;top:-6577;width:10;height:20" coordorigin="5905,-6577" coordsize="10,20">
              <v:shape style="position:absolute;left:5905;top:-6577;width:10;height:20" coordorigin="5905,-6577" coordsize="10,20" path="m5905,-6557l5915,-6557,5915,-6577,5905,-6577,5905,-6557xe" filled="true" fillcolor="#000000" stroked="false">
                <v:path arrowok="t"/>
                <v:fill type="solid"/>
              </v:shape>
            </v:group>
            <v:group style="position:absolute;left:5905;top:-6557;width:10;height:20" coordorigin="5905,-6557" coordsize="10,20">
              <v:shape style="position:absolute;left:5905;top:-6557;width:10;height:20" coordorigin="5905,-6557" coordsize="10,20" path="m5905,-6538l5915,-6538,5915,-6557,5905,-6557,5905,-6538xe" filled="true" fillcolor="#000000" stroked="false">
                <v:path arrowok="t"/>
                <v:fill type="solid"/>
              </v:shape>
            </v:group>
            <v:group style="position:absolute;left:5905;top:-6538;width:10;height:20" coordorigin="5905,-6538" coordsize="10,20">
              <v:shape style="position:absolute;left:5905;top:-6538;width:10;height:20" coordorigin="5905,-6538" coordsize="10,20" path="m5905,-6519l5915,-6519,5915,-6538,5905,-6538,5905,-6519xe" filled="true" fillcolor="#000000" stroked="false">
                <v:path arrowok="t"/>
                <v:fill type="solid"/>
              </v:shape>
            </v:group>
            <v:group style="position:absolute;left:5905;top:-6519;width:10;height:20" coordorigin="5905,-6519" coordsize="10,20">
              <v:shape style="position:absolute;left:5905;top:-6519;width:10;height:20" coordorigin="5905,-6519" coordsize="10,20" path="m5905,-6500l5915,-6500,5915,-6519,5905,-6519,5905,-6500xe" filled="true" fillcolor="#000000" stroked="false">
                <v:path arrowok="t"/>
                <v:fill type="solid"/>
              </v:shape>
            </v:group>
            <v:group style="position:absolute;left:5905;top:-6500;width:10;height:20" coordorigin="5905,-6500" coordsize="10,20">
              <v:shape style="position:absolute;left:5905;top:-6500;width:10;height:20" coordorigin="5905,-6500" coordsize="10,20" path="m5905,-6481l5915,-6481,5915,-6500,5905,-6500,5905,-6481xe" filled="true" fillcolor="#000000" stroked="false">
                <v:path arrowok="t"/>
                <v:fill type="solid"/>
              </v:shape>
            </v:group>
            <v:group style="position:absolute;left:5905;top:-6481;width:10;height:20" coordorigin="5905,-6481" coordsize="10,20">
              <v:shape style="position:absolute;left:5905;top:-6481;width:10;height:20" coordorigin="5905,-6481" coordsize="10,20" path="m5905,-6461l5915,-6461,5915,-6481,5905,-6481,5905,-6461xe" filled="true" fillcolor="#000000" stroked="false">
                <v:path arrowok="t"/>
                <v:fill type="solid"/>
              </v:shape>
            </v:group>
            <v:group style="position:absolute;left:5905;top:-6461;width:10;height:20" coordorigin="5905,-6461" coordsize="10,20">
              <v:shape style="position:absolute;left:5905;top:-6461;width:10;height:20" coordorigin="5905,-6461" coordsize="10,20" path="m5905,-6442l5915,-6442,5915,-6461,5905,-6461,5905,-6442xe" filled="true" fillcolor="#000000" stroked="false">
                <v:path arrowok="t"/>
                <v:fill type="solid"/>
              </v:shape>
            </v:group>
            <v:group style="position:absolute;left:5905;top:-6442;width:10;height:20" coordorigin="5905,-6442" coordsize="10,20">
              <v:shape style="position:absolute;left:5905;top:-6442;width:10;height:20" coordorigin="5905,-6442" coordsize="10,20" path="m5905,-6423l5915,-6423,5915,-6442,5905,-6442,5905,-6423xe" filled="true" fillcolor="#000000" stroked="false">
                <v:path arrowok="t"/>
                <v:fill type="solid"/>
              </v:shape>
            </v:group>
            <v:group style="position:absolute;left:5905;top:-6423;width:10;height:20" coordorigin="5905,-6423" coordsize="10,20">
              <v:shape style="position:absolute;left:5905;top:-6423;width:10;height:20" coordorigin="5905,-6423" coordsize="10,20" path="m5905,-6404l5915,-6404,5915,-6423,5905,-6423,5905,-6404xe" filled="true" fillcolor="#000000" stroked="false">
                <v:path arrowok="t"/>
                <v:fill type="solid"/>
              </v:shape>
            </v:group>
            <v:group style="position:absolute;left:5905;top:-6404;width:10;height:20" coordorigin="5905,-6404" coordsize="10,20">
              <v:shape style="position:absolute;left:5905;top:-6404;width:10;height:20" coordorigin="5905,-6404" coordsize="10,20" path="m5905,-6385l5915,-6385,5915,-6404,5905,-6404,5905,-6385xe" filled="true" fillcolor="#000000" stroked="false">
                <v:path arrowok="t"/>
                <v:fill type="solid"/>
              </v:shape>
            </v:group>
            <v:group style="position:absolute;left:5905;top:-6385;width:10;height:20" coordorigin="5905,-6385" coordsize="10,20">
              <v:shape style="position:absolute;left:5905;top:-6385;width:10;height:20" coordorigin="5905,-6385" coordsize="10,20" path="m5905,-6365l5915,-6365,5915,-6385,5905,-6385,5905,-6365xe" filled="true" fillcolor="#000000" stroked="false">
                <v:path arrowok="t"/>
                <v:fill type="solid"/>
              </v:shape>
            </v:group>
            <v:group style="position:absolute;left:5905;top:-6365;width:10;height:20" coordorigin="5905,-6365" coordsize="10,20">
              <v:shape style="position:absolute;left:5905;top:-6365;width:10;height:20" coordorigin="5905,-6365" coordsize="10,20" path="m5905,-6346l5915,-6346,5915,-6365,5905,-6365,5905,-6346xe" filled="true" fillcolor="#000000" stroked="false">
                <v:path arrowok="t"/>
                <v:fill type="solid"/>
              </v:shape>
            </v:group>
            <v:group style="position:absolute;left:5905;top:-6346;width:10;height:20" coordorigin="5905,-6346" coordsize="10,20">
              <v:shape style="position:absolute;left:5905;top:-6346;width:10;height:20" coordorigin="5905,-6346" coordsize="10,20" path="m5905,-6327l5915,-6327,5915,-6346,5905,-6346,5905,-6327xe" filled="true" fillcolor="#000000" stroked="false">
                <v:path arrowok="t"/>
                <v:fill type="solid"/>
              </v:shape>
            </v:group>
            <v:group style="position:absolute;left:5905;top:-6327;width:10;height:20" coordorigin="5905,-6327" coordsize="10,20">
              <v:shape style="position:absolute;left:5905;top:-6327;width:10;height:20" coordorigin="5905,-6327" coordsize="10,20" path="m5905,-6308l5915,-6308,5915,-6327,5905,-6327,5905,-6308xe" filled="true" fillcolor="#000000" stroked="false">
                <v:path arrowok="t"/>
                <v:fill type="solid"/>
              </v:shape>
            </v:group>
            <v:group style="position:absolute;left:5905;top:-6308;width:10;height:20" coordorigin="5905,-6308" coordsize="10,20">
              <v:shape style="position:absolute;left:5905;top:-6308;width:10;height:20" coordorigin="5905,-6308" coordsize="10,20" path="m5905,-6289l5915,-6289,5915,-6308,5905,-6308,5905,-6289xe" filled="true" fillcolor="#000000" stroked="false">
                <v:path arrowok="t"/>
                <v:fill type="solid"/>
              </v:shape>
            </v:group>
            <v:group style="position:absolute;left:5905;top:-6289;width:10;height:20" coordorigin="5905,-6289" coordsize="10,20">
              <v:shape style="position:absolute;left:5905;top:-6289;width:10;height:20" coordorigin="5905,-6289" coordsize="10,20" path="m5905,-6269l5915,-6269,5915,-6289,5905,-6289,5905,-6269xe" filled="true" fillcolor="#000000" stroked="false">
                <v:path arrowok="t"/>
                <v:fill type="solid"/>
              </v:shape>
            </v:group>
            <v:group style="position:absolute;left:5905;top:-6269;width:10;height:20" coordorigin="5905,-6269" coordsize="10,20">
              <v:shape style="position:absolute;left:5905;top:-6269;width:10;height:20" coordorigin="5905,-6269" coordsize="10,20" path="m5905,-6250l5915,-6250,5915,-6269,5905,-6269,5905,-6250xe" filled="true" fillcolor="#000000" stroked="false">
                <v:path arrowok="t"/>
                <v:fill type="solid"/>
              </v:shape>
            </v:group>
            <v:group style="position:absolute;left:5905;top:-6250;width:10;height:20" coordorigin="5905,-6250" coordsize="10,20">
              <v:shape style="position:absolute;left:5905;top:-6250;width:10;height:20" coordorigin="5905,-6250" coordsize="10,20" path="m5905,-6231l5915,-6231,5915,-6250,5905,-6250,5905,-6231xe" filled="true" fillcolor="#000000" stroked="false">
                <v:path arrowok="t"/>
                <v:fill type="solid"/>
              </v:shape>
            </v:group>
            <v:group style="position:absolute;left:5905;top:-6231;width:10;height:20" coordorigin="5905,-6231" coordsize="10,20">
              <v:shape style="position:absolute;left:5905;top:-6231;width:10;height:20" coordorigin="5905,-6231" coordsize="10,20" path="m5905,-6212l5915,-6212,5915,-6231,5905,-6231,5905,-6212xe" filled="true" fillcolor="#000000" stroked="false">
                <v:path arrowok="t"/>
                <v:fill type="solid"/>
              </v:shape>
            </v:group>
            <v:group style="position:absolute;left:5905;top:-6212;width:10;height:20" coordorigin="5905,-6212" coordsize="10,20">
              <v:shape style="position:absolute;left:5905;top:-6212;width:10;height:20" coordorigin="5905,-6212" coordsize="10,20" path="m5905,-6193l5915,-6193,5915,-6212,5905,-6212,5905,-6193xe" filled="true" fillcolor="#000000" stroked="false">
                <v:path arrowok="t"/>
                <v:fill type="solid"/>
              </v:shape>
            </v:group>
            <v:group style="position:absolute;left:5905;top:-6193;width:10;height:20" coordorigin="5905,-6193" coordsize="10,20">
              <v:shape style="position:absolute;left:5905;top:-6193;width:10;height:20" coordorigin="5905,-6193" coordsize="10,20" path="m5905,-6173l5915,-6173,5915,-6193,5905,-6193,5905,-6173xe" filled="true" fillcolor="#000000" stroked="false">
                <v:path arrowok="t"/>
                <v:fill type="solid"/>
              </v:shape>
            </v:group>
            <v:group style="position:absolute;left:5905;top:-6173;width:10;height:20" coordorigin="5905,-6173" coordsize="10,20">
              <v:shape style="position:absolute;left:5905;top:-6173;width:10;height:20" coordorigin="5905,-6173" coordsize="10,20" path="m5905,-6154l5915,-6154,5915,-6173,5905,-6173,5905,-6154xe" filled="true" fillcolor="#000000" stroked="false">
                <v:path arrowok="t"/>
                <v:fill type="solid"/>
              </v:shape>
            </v:group>
            <v:group style="position:absolute;left:5905;top:-6154;width:10;height:20" coordorigin="5905,-6154" coordsize="10,20">
              <v:shape style="position:absolute;left:5905;top:-6154;width:10;height:20" coordorigin="5905,-6154" coordsize="10,20" path="m5905,-6135l5915,-6135,5915,-6154,5905,-6154,5905,-6135xe" filled="true" fillcolor="#000000" stroked="false">
                <v:path arrowok="t"/>
                <v:fill type="solid"/>
              </v:shape>
            </v:group>
            <v:group style="position:absolute;left:5905;top:-6135;width:10;height:20" coordorigin="5905,-6135" coordsize="10,20">
              <v:shape style="position:absolute;left:5905;top:-6135;width:10;height:20" coordorigin="5905,-6135" coordsize="10,20" path="m5905,-6116l5915,-6116,5915,-6135,5905,-6135,5905,-6116xe" filled="true" fillcolor="#000000" stroked="false">
                <v:path arrowok="t"/>
                <v:fill type="solid"/>
              </v:shape>
            </v:group>
            <v:group style="position:absolute;left:5905;top:-6116;width:10;height:20" coordorigin="5905,-6116" coordsize="10,20">
              <v:shape style="position:absolute;left:5905;top:-6116;width:10;height:20" coordorigin="5905,-6116" coordsize="10,20" path="m5905,-6097l5915,-6097,5915,-6116,5905,-6116,5905,-6097xe" filled="true" fillcolor="#000000" stroked="false">
                <v:path arrowok="t"/>
                <v:fill type="solid"/>
              </v:shape>
            </v:group>
            <v:group style="position:absolute;left:5905;top:-6097;width:10;height:20" coordorigin="5905,-6097" coordsize="10,20">
              <v:shape style="position:absolute;left:5905;top:-6097;width:10;height:20" coordorigin="5905,-6097" coordsize="10,20" path="m5905,-6077l5915,-6077,5915,-6097,5905,-6097,5905,-6077xe" filled="true" fillcolor="#000000" stroked="false">
                <v:path arrowok="t"/>
                <v:fill type="solid"/>
              </v:shape>
            </v:group>
            <v:group style="position:absolute;left:5905;top:-6077;width:10;height:20" coordorigin="5905,-6077" coordsize="10,20">
              <v:shape style="position:absolute;left:5905;top:-6077;width:10;height:20" coordorigin="5905,-6077" coordsize="10,20" path="m5905,-6058l5915,-6058,5915,-6077,5905,-6077,5905,-6058xe" filled="true" fillcolor="#000000" stroked="false">
                <v:path arrowok="t"/>
                <v:fill type="solid"/>
              </v:shape>
            </v:group>
            <v:group style="position:absolute;left:5905;top:-6058;width:10;height:20" coordorigin="5905,-6058" coordsize="10,20">
              <v:shape style="position:absolute;left:5905;top:-6058;width:10;height:20" coordorigin="5905,-6058" coordsize="10,20" path="m5905,-6039l5915,-6039,5915,-6058,5905,-6058,5905,-6039xe" filled="true" fillcolor="#000000" stroked="false">
                <v:path arrowok="t"/>
                <v:fill type="solid"/>
              </v:shape>
            </v:group>
            <v:group style="position:absolute;left:5905;top:-6039;width:10;height:20" coordorigin="5905,-6039" coordsize="10,20">
              <v:shape style="position:absolute;left:5905;top:-6039;width:10;height:20" coordorigin="5905,-6039" coordsize="10,20" path="m5905,-6020l5915,-6020,5915,-6039,5905,-6039,5905,-6020xe" filled="true" fillcolor="#000000" stroked="false">
                <v:path arrowok="t"/>
                <v:fill type="solid"/>
              </v:shape>
            </v:group>
            <v:group style="position:absolute;left:5905;top:-6020;width:10;height:20" coordorigin="5905,-6020" coordsize="10,20">
              <v:shape style="position:absolute;left:5905;top:-6020;width:10;height:20" coordorigin="5905,-6020" coordsize="10,20" path="m5905,-6001l5915,-6001,5915,-6020,5905,-6020,5905,-6001xe" filled="true" fillcolor="#000000" stroked="false">
                <v:path arrowok="t"/>
                <v:fill type="solid"/>
              </v:shape>
            </v:group>
            <v:group style="position:absolute;left:5905;top:-6001;width:10;height:20" coordorigin="5905,-6001" coordsize="10,20">
              <v:shape style="position:absolute;left:5905;top:-6001;width:10;height:20" coordorigin="5905,-6001" coordsize="10,20" path="m5905,-5981l5915,-5981,5915,-6001,5905,-6001,5905,-5981xe" filled="true" fillcolor="#000000" stroked="false">
                <v:path arrowok="t"/>
                <v:fill type="solid"/>
              </v:shape>
            </v:group>
            <v:group style="position:absolute;left:5905;top:-5981;width:10;height:20" coordorigin="5905,-5981" coordsize="10,20">
              <v:shape style="position:absolute;left:5905;top:-5981;width:10;height:20" coordorigin="5905,-5981" coordsize="10,20" path="m5905,-5962l5915,-5962,5915,-5981,5905,-5981,5905,-5962xe" filled="true" fillcolor="#000000" stroked="false">
                <v:path arrowok="t"/>
                <v:fill type="solid"/>
              </v:shape>
            </v:group>
            <v:group style="position:absolute;left:5905;top:-5962;width:10;height:20" coordorigin="5905,-5962" coordsize="10,20">
              <v:shape style="position:absolute;left:5905;top:-5962;width:10;height:20" coordorigin="5905,-5962" coordsize="10,20" path="m5905,-5943l5915,-5943,5915,-5962,5905,-5962,5905,-5943xe" filled="true" fillcolor="#000000" stroked="false">
                <v:path arrowok="t"/>
                <v:fill type="solid"/>
              </v:shape>
            </v:group>
            <v:group style="position:absolute;left:5905;top:-5943;width:10;height:20" coordorigin="5905,-5943" coordsize="10,20">
              <v:shape style="position:absolute;left:5905;top:-5943;width:10;height:20" coordorigin="5905,-5943" coordsize="10,20" path="m5905,-5924l5915,-5924,5915,-5943,5905,-5943,5905,-5924xe" filled="true" fillcolor="#000000" stroked="false">
                <v:path arrowok="t"/>
                <v:fill type="solid"/>
              </v:shape>
            </v:group>
            <v:group style="position:absolute;left:5905;top:-5924;width:10;height:20" coordorigin="5905,-5924" coordsize="10,20">
              <v:shape style="position:absolute;left:5905;top:-5924;width:10;height:20" coordorigin="5905,-5924" coordsize="10,20" path="m5905,-5905l5915,-5905,5915,-5924,5905,-5924,5905,-5905xe" filled="true" fillcolor="#000000" stroked="false">
                <v:path arrowok="t"/>
                <v:fill type="solid"/>
              </v:shape>
            </v:group>
            <v:group style="position:absolute;left:5905;top:-5905;width:10;height:20" coordorigin="5905,-5905" coordsize="10,20">
              <v:shape style="position:absolute;left:5905;top:-5905;width:10;height:20" coordorigin="5905,-5905" coordsize="10,20" path="m5905,-5885l5915,-5885,5915,-5905,5905,-5905,5905,-5885xe" filled="true" fillcolor="#000000" stroked="false">
                <v:path arrowok="t"/>
                <v:fill type="solid"/>
              </v:shape>
            </v:group>
            <v:group style="position:absolute;left:5905;top:-5885;width:10;height:20" coordorigin="5905,-5885" coordsize="10,20">
              <v:shape style="position:absolute;left:5905;top:-5885;width:10;height:20" coordorigin="5905,-5885" coordsize="10,20" path="m5905,-5866l5915,-5866,5915,-5885,5905,-5885,5905,-5866xe" filled="true" fillcolor="#000000" stroked="false">
                <v:path arrowok="t"/>
                <v:fill type="solid"/>
              </v:shape>
            </v:group>
            <v:group style="position:absolute;left:5905;top:-5866;width:10;height:20" coordorigin="5905,-5866" coordsize="10,20">
              <v:shape style="position:absolute;left:5905;top:-5866;width:10;height:20" coordorigin="5905,-5866" coordsize="10,20" path="m5905,-5847l5915,-5847,5915,-5866,5905,-5866,5905,-5847xe" filled="true" fillcolor="#000000" stroked="false">
                <v:path arrowok="t"/>
                <v:fill type="solid"/>
              </v:shape>
            </v:group>
            <v:group style="position:absolute;left:5905;top:-5847;width:10;height:20" coordorigin="5905,-5847" coordsize="10,20">
              <v:shape style="position:absolute;left:5905;top:-5847;width:10;height:20" coordorigin="5905,-5847" coordsize="10,20" path="m5905,-5828l5915,-5828,5915,-5847,5905,-5847,5905,-5828xe" filled="true" fillcolor="#000000" stroked="false">
                <v:path arrowok="t"/>
                <v:fill type="solid"/>
              </v:shape>
            </v:group>
            <v:group style="position:absolute;left:5905;top:-5828;width:10;height:20" coordorigin="5905,-5828" coordsize="10,20">
              <v:shape style="position:absolute;left:5905;top:-5828;width:10;height:20" coordorigin="5905,-5828" coordsize="10,20" path="m5905,-5809l5915,-5809,5915,-5828,5905,-5828,5905,-5809xe" filled="true" fillcolor="#000000" stroked="false">
                <v:path arrowok="t"/>
                <v:fill type="solid"/>
              </v:shape>
            </v:group>
            <v:group style="position:absolute;left:5905;top:-5809;width:10;height:20" coordorigin="5905,-5809" coordsize="10,20">
              <v:shape style="position:absolute;left:5905;top:-5809;width:10;height:20" coordorigin="5905,-5809" coordsize="10,20" path="m5905,-5789l5915,-5789,5915,-5809,5905,-5809,5905,-5789xe" filled="true" fillcolor="#000000" stroked="false">
                <v:path arrowok="t"/>
                <v:fill type="solid"/>
              </v:shape>
            </v:group>
            <v:group style="position:absolute;left:5905;top:-5789;width:10;height:20" coordorigin="5905,-5789" coordsize="10,20">
              <v:shape style="position:absolute;left:5905;top:-5789;width:10;height:20" coordorigin="5905,-5789" coordsize="10,20" path="m5905,-5770l5915,-5770,5915,-5789,5905,-5789,5905,-5770xe" filled="true" fillcolor="#000000" stroked="false">
                <v:path arrowok="t"/>
                <v:fill type="solid"/>
              </v:shape>
            </v:group>
            <v:group style="position:absolute;left:5905;top:-5770;width:10;height:20" coordorigin="5905,-5770" coordsize="10,20">
              <v:shape style="position:absolute;left:5905;top:-5770;width:10;height:20" coordorigin="5905,-5770" coordsize="10,20" path="m5905,-5751l5915,-5751,5915,-5770,5905,-5770,5905,-5751xe" filled="true" fillcolor="#000000" stroked="false">
                <v:path arrowok="t"/>
                <v:fill type="solid"/>
              </v:shape>
            </v:group>
            <v:group style="position:absolute;left:5905;top:-5751;width:10;height:20" coordorigin="5905,-5751" coordsize="10,20">
              <v:shape style="position:absolute;left:5905;top:-5751;width:10;height:20" coordorigin="5905,-5751" coordsize="10,20" path="m5905,-5732l5915,-5732,5915,-5751,5905,-5751,5905,-5732xe" filled="true" fillcolor="#000000" stroked="false">
                <v:path arrowok="t"/>
                <v:fill type="solid"/>
              </v:shape>
            </v:group>
            <v:group style="position:absolute;left:5905;top:-5732;width:10;height:20" coordorigin="5905,-5732" coordsize="10,20">
              <v:shape style="position:absolute;left:5905;top:-5732;width:10;height:20" coordorigin="5905,-5732" coordsize="10,20" path="m5905,-5713l5915,-5713,5915,-5732,5905,-5732,5905,-5713xe" filled="true" fillcolor="#000000" stroked="false">
                <v:path arrowok="t"/>
                <v:fill type="solid"/>
              </v:shape>
            </v:group>
            <v:group style="position:absolute;left:5905;top:-5713;width:10;height:20" coordorigin="5905,-5713" coordsize="10,20">
              <v:shape style="position:absolute;left:5905;top:-5713;width:10;height:20" coordorigin="5905,-5713" coordsize="10,20" path="m5905,-5693l5915,-5693,5915,-5713,5905,-5713,5905,-5693xe" filled="true" fillcolor="#000000" stroked="false">
                <v:path arrowok="t"/>
                <v:fill type="solid"/>
              </v:shape>
            </v:group>
            <v:group style="position:absolute;left:5905;top:-5693;width:10;height:20" coordorigin="5905,-5693" coordsize="10,20">
              <v:shape style="position:absolute;left:5905;top:-5693;width:10;height:20" coordorigin="5905,-5693" coordsize="10,20" path="m5905,-5674l5915,-5674,5915,-5693,5905,-5693,5905,-5674xe" filled="true" fillcolor="#000000" stroked="false">
                <v:path arrowok="t"/>
                <v:fill type="solid"/>
              </v:shape>
            </v:group>
            <v:group style="position:absolute;left:5905;top:-5674;width:10;height:20" coordorigin="5905,-5674" coordsize="10,20">
              <v:shape style="position:absolute;left:5905;top:-5674;width:10;height:20" coordorigin="5905,-5674" coordsize="10,20" path="m5905,-5655l5915,-5655,5915,-5674,5905,-5674,5905,-5655xe" filled="true" fillcolor="#000000" stroked="false">
                <v:path arrowok="t"/>
                <v:fill type="solid"/>
              </v:shape>
            </v:group>
            <v:group style="position:absolute;left:5905;top:-5655;width:10;height:20" coordorigin="5905,-5655" coordsize="10,20">
              <v:shape style="position:absolute;left:5905;top:-5655;width:10;height:20" coordorigin="5905,-5655" coordsize="10,20" path="m5905,-5636l5915,-5636,5915,-5655,5905,-5655,5905,-5636xe" filled="true" fillcolor="#000000" stroked="false">
                <v:path arrowok="t"/>
                <v:fill type="solid"/>
              </v:shape>
            </v:group>
            <v:group style="position:absolute;left:5905;top:-5636;width:10;height:20" coordorigin="5905,-5636" coordsize="10,20">
              <v:shape style="position:absolute;left:5905;top:-5636;width:10;height:20" coordorigin="5905,-5636" coordsize="10,20" path="m5905,-5617l5915,-5617,5915,-5636,5905,-5636,5905,-5617xe" filled="true" fillcolor="#000000" stroked="false">
                <v:path arrowok="t"/>
                <v:fill type="solid"/>
              </v:shape>
            </v:group>
            <v:group style="position:absolute;left:5905;top:-5617;width:10;height:20" coordorigin="5905,-5617" coordsize="10,20">
              <v:shape style="position:absolute;left:5905;top:-5617;width:10;height:20" coordorigin="5905,-5617" coordsize="10,20" path="m5905,-5597l5915,-5597,5915,-5617,5905,-5617,5905,-5597xe" filled="true" fillcolor="#000000" stroked="false">
                <v:path arrowok="t"/>
                <v:fill type="solid"/>
              </v:shape>
            </v:group>
            <v:group style="position:absolute;left:5905;top:-5597;width:10;height:20" coordorigin="5905,-5597" coordsize="10,20">
              <v:shape style="position:absolute;left:5905;top:-5597;width:10;height:20" coordorigin="5905,-5597" coordsize="10,20" path="m5905,-5578l5915,-5578,5915,-5597,5905,-5597,5905,-5578xe" filled="true" fillcolor="#000000" stroked="false">
                <v:path arrowok="t"/>
                <v:fill type="solid"/>
              </v:shape>
            </v:group>
            <v:group style="position:absolute;left:5905;top:-5578;width:10;height:20" coordorigin="5905,-5578" coordsize="10,20">
              <v:shape style="position:absolute;left:5905;top:-5578;width:10;height:20" coordorigin="5905,-5578" coordsize="10,20" path="m5905,-5559l5915,-5559,5915,-5578,5905,-5578,5905,-5559xe" filled="true" fillcolor="#000000" stroked="false">
                <v:path arrowok="t"/>
                <v:fill type="solid"/>
              </v:shape>
            </v:group>
            <v:group style="position:absolute;left:5905;top:-5559;width:10;height:20" coordorigin="5905,-5559" coordsize="10,20">
              <v:shape style="position:absolute;left:5905;top:-5559;width:10;height:20" coordorigin="5905,-5559" coordsize="10,20" path="m5905,-5540l5915,-5540,5915,-5559,5905,-5559,5905,-5540xe" filled="true" fillcolor="#000000" stroked="false">
                <v:path arrowok="t"/>
                <v:fill type="solid"/>
              </v:shape>
            </v:group>
            <v:group style="position:absolute;left:5905;top:-5540;width:10;height:20" coordorigin="5905,-5540" coordsize="10,20">
              <v:shape style="position:absolute;left:5905;top:-5540;width:10;height:20" coordorigin="5905,-5540" coordsize="10,20" path="m5905,-5521l5915,-5521,5915,-5540,5905,-5540,5905,-5521xe" filled="true" fillcolor="#000000" stroked="false">
                <v:path arrowok="t"/>
                <v:fill type="solid"/>
              </v:shape>
            </v:group>
            <v:group style="position:absolute;left:5905;top:-5521;width:10;height:20" coordorigin="5905,-5521" coordsize="10,20">
              <v:shape style="position:absolute;left:5905;top:-5521;width:10;height:20" coordorigin="5905,-5521" coordsize="10,20" path="m5905,-5501l5915,-5501,5915,-5521,5905,-5521,5905,-5501xe" filled="true" fillcolor="#000000" stroked="false">
                <v:path arrowok="t"/>
                <v:fill type="solid"/>
              </v:shape>
            </v:group>
            <v:group style="position:absolute;left:5905;top:-5501;width:10;height:20" coordorigin="5905,-5501" coordsize="10,20">
              <v:shape style="position:absolute;left:5905;top:-5501;width:10;height:20" coordorigin="5905,-5501" coordsize="10,20" path="m5905,-5482l5915,-5482,5915,-5501,5905,-5501,5905,-5482xe" filled="true" fillcolor="#000000" stroked="false">
                <v:path arrowok="t"/>
                <v:fill type="solid"/>
              </v:shape>
            </v:group>
            <v:group style="position:absolute;left:5905;top:-5482;width:10;height:20" coordorigin="5905,-5482" coordsize="10,20">
              <v:shape style="position:absolute;left:5905;top:-5482;width:10;height:20" coordorigin="5905,-5482" coordsize="10,20" path="m5905,-5463l5915,-5463,5915,-5482,5905,-5482,5905,-5463xe" filled="true" fillcolor="#000000" stroked="false">
                <v:path arrowok="t"/>
                <v:fill type="solid"/>
              </v:shape>
            </v:group>
            <v:group style="position:absolute;left:5905;top:-5463;width:10;height:20" coordorigin="5905,-5463" coordsize="10,20">
              <v:shape style="position:absolute;left:5905;top:-5463;width:10;height:20" coordorigin="5905,-5463" coordsize="10,20" path="m5905,-5444l5915,-5444,5915,-5463,5905,-5463,5905,-5444xe" filled="true" fillcolor="#000000" stroked="false">
                <v:path arrowok="t"/>
                <v:fill type="solid"/>
              </v:shape>
            </v:group>
            <v:group style="position:absolute;left:5905;top:-5444;width:10;height:20" coordorigin="5905,-5444" coordsize="10,20">
              <v:shape style="position:absolute;left:5905;top:-5444;width:10;height:20" coordorigin="5905,-5444" coordsize="10,20" path="m5905,-5425l5915,-5425,5915,-5444,5905,-5444,5905,-5425xe" filled="true" fillcolor="#000000" stroked="false">
                <v:path arrowok="t"/>
                <v:fill type="solid"/>
              </v:shape>
            </v:group>
            <v:group style="position:absolute;left:5905;top:-5425;width:10;height:20" coordorigin="5905,-5425" coordsize="10,20">
              <v:shape style="position:absolute;left:5905;top:-5425;width:10;height:20" coordorigin="5905,-5425" coordsize="10,20" path="m5905,-5405l5915,-5405,5915,-5425,5905,-5425,5905,-5405xe" filled="true" fillcolor="#000000" stroked="false">
                <v:path arrowok="t"/>
                <v:fill type="solid"/>
              </v:shape>
            </v:group>
            <v:group style="position:absolute;left:5905;top:-5405;width:10;height:20" coordorigin="5905,-5405" coordsize="10,20">
              <v:shape style="position:absolute;left:5905;top:-5405;width:10;height:20" coordorigin="5905,-5405" coordsize="10,20" path="m5905,-5386l5915,-5386,5915,-5405,5905,-5405,5905,-5386xe" filled="true" fillcolor="#000000" stroked="false">
                <v:path arrowok="t"/>
                <v:fill type="solid"/>
              </v:shape>
            </v:group>
            <v:group style="position:absolute;left:5905;top:-5386;width:10;height:20" coordorigin="5905,-5386" coordsize="10,20">
              <v:shape style="position:absolute;left:5905;top:-5386;width:10;height:20" coordorigin="5905,-5386" coordsize="10,20" path="m5905,-5367l5915,-5367,5915,-5386,5905,-5386,5905,-5367xe" filled="true" fillcolor="#000000" stroked="false">
                <v:path arrowok="t"/>
                <v:fill type="solid"/>
              </v:shape>
            </v:group>
            <v:group style="position:absolute;left:5905;top:-5367;width:10;height:20" coordorigin="5905,-5367" coordsize="10,20">
              <v:shape style="position:absolute;left:5905;top:-5367;width:10;height:20" coordorigin="5905,-5367" coordsize="10,20" path="m5905,-5348l5915,-5348,5915,-5367,5905,-5367,5905,-5348xe" filled="true" fillcolor="#000000" stroked="false">
                <v:path arrowok="t"/>
                <v:fill type="solid"/>
              </v:shape>
            </v:group>
            <v:group style="position:absolute;left:5905;top:-5348;width:10;height:20" coordorigin="5905,-5348" coordsize="10,20">
              <v:shape style="position:absolute;left:5905;top:-5348;width:10;height:20" coordorigin="5905,-5348" coordsize="10,20" path="m5905,-5329l5915,-5329,5915,-5348,5905,-5348,5905,-5329xe" filled="true" fillcolor="#000000" stroked="false">
                <v:path arrowok="t"/>
                <v:fill type="solid"/>
              </v:shape>
            </v:group>
            <v:group style="position:absolute;left:5905;top:-5329;width:10;height:20" coordorigin="5905,-5329" coordsize="10,20">
              <v:shape style="position:absolute;left:5905;top:-5329;width:10;height:20" coordorigin="5905,-5329" coordsize="10,20" path="m5905,-5309l5915,-5309,5915,-5329,5905,-5329,5905,-5309xe" filled="true" fillcolor="#000000" stroked="false">
                <v:path arrowok="t"/>
                <v:fill type="solid"/>
              </v:shape>
            </v:group>
            <v:group style="position:absolute;left:5905;top:-5309;width:10;height:20" coordorigin="5905,-5309" coordsize="10,20">
              <v:shape style="position:absolute;left:5905;top:-5309;width:10;height:20" coordorigin="5905,-5309" coordsize="10,20" path="m5905,-5290l5915,-5290,5915,-5309,5905,-5309,5905,-5290xe" filled="true" fillcolor="#000000" stroked="false">
                <v:path arrowok="t"/>
                <v:fill type="solid"/>
              </v:shape>
            </v:group>
            <v:group style="position:absolute;left:5905;top:-5290;width:10;height:20" coordorigin="5905,-5290" coordsize="10,20">
              <v:shape style="position:absolute;left:5905;top:-5290;width:10;height:20" coordorigin="5905,-5290" coordsize="10,20" path="m5905,-5271l5915,-5271,5915,-5290,5905,-5290,5905,-5271xe" filled="true" fillcolor="#000000" stroked="false">
                <v:path arrowok="t"/>
                <v:fill type="solid"/>
              </v:shape>
            </v:group>
            <v:group style="position:absolute;left:5905;top:-5271;width:10;height:20" coordorigin="5905,-5271" coordsize="10,20">
              <v:shape style="position:absolute;left:5905;top:-5271;width:10;height:20" coordorigin="5905,-5271" coordsize="10,20" path="m5905,-5252l5915,-5252,5915,-5271,5905,-5271,5905,-5252xe" filled="true" fillcolor="#000000" stroked="false">
                <v:path arrowok="t"/>
                <v:fill type="solid"/>
              </v:shape>
            </v:group>
            <v:group style="position:absolute;left:5905;top:-5252;width:10;height:20" coordorigin="5905,-5252" coordsize="10,20">
              <v:shape style="position:absolute;left:5905;top:-5252;width:10;height:20" coordorigin="5905,-5252" coordsize="10,20" path="m5905,-5233l5915,-5233,5915,-5252,5905,-5252,5905,-5233xe" filled="true" fillcolor="#000000" stroked="false">
                <v:path arrowok="t"/>
                <v:fill type="solid"/>
              </v:shape>
            </v:group>
            <v:group style="position:absolute;left:5905;top:-5233;width:10;height:20" coordorigin="5905,-5233" coordsize="10,20">
              <v:shape style="position:absolute;left:5905;top:-5233;width:10;height:20" coordorigin="5905,-5233" coordsize="10,20" path="m5905,-5213l5915,-5213,5915,-5233,5905,-5233,5905,-5213xe" filled="true" fillcolor="#000000" stroked="false">
                <v:path arrowok="t"/>
                <v:fill type="solid"/>
              </v:shape>
            </v:group>
            <v:group style="position:absolute;left:5905;top:-5213;width:10;height:20" coordorigin="5905,-5213" coordsize="10,20">
              <v:shape style="position:absolute;left:5905;top:-5213;width:10;height:20" coordorigin="5905,-5213" coordsize="10,20" path="m5905,-5194l5915,-5194,5915,-5213,5905,-5213,5905,-5194xe" filled="true" fillcolor="#000000" stroked="false">
                <v:path arrowok="t"/>
                <v:fill type="solid"/>
              </v:shape>
            </v:group>
            <v:group style="position:absolute;left:5905;top:-5194;width:10;height:20" coordorigin="5905,-5194" coordsize="10,20">
              <v:shape style="position:absolute;left:5905;top:-5194;width:10;height:20" coordorigin="5905,-5194" coordsize="10,20" path="m5905,-5175l5915,-5175,5915,-5194,5905,-5194,5905,-5175xe" filled="true" fillcolor="#000000" stroked="false">
                <v:path arrowok="t"/>
                <v:fill type="solid"/>
              </v:shape>
            </v:group>
            <v:group style="position:absolute;left:5905;top:-5175;width:10;height:20" coordorigin="5905,-5175" coordsize="10,20">
              <v:shape style="position:absolute;left:5905;top:-5175;width:10;height:20" coordorigin="5905,-5175" coordsize="10,20" path="m5905,-5156l5915,-5156,5915,-5175,5905,-5175,5905,-5156xe" filled="true" fillcolor="#000000" stroked="false">
                <v:path arrowok="t"/>
                <v:fill type="solid"/>
              </v:shape>
            </v:group>
            <v:group style="position:absolute;left:5905;top:-5156;width:10;height:20" coordorigin="5905,-5156" coordsize="10,20">
              <v:shape style="position:absolute;left:5905;top:-5156;width:10;height:20" coordorigin="5905,-5156" coordsize="10,20" path="m5905,-5136l5915,-5136,5915,-5156,5905,-5156,5905,-5136xe" filled="true" fillcolor="#000000" stroked="false">
                <v:path arrowok="t"/>
                <v:fill type="solid"/>
              </v:shape>
            </v:group>
            <v:group style="position:absolute;left:5905;top:-5136;width:10;height:20" coordorigin="5905,-5136" coordsize="10,20">
              <v:shape style="position:absolute;left:5905;top:-5136;width:10;height:20" coordorigin="5905,-5136" coordsize="10,20" path="m5905,-5117l5915,-5117,5915,-5136,5905,-5136,5905,-5117xe" filled="true" fillcolor="#000000" stroked="false">
                <v:path arrowok="t"/>
                <v:fill type="solid"/>
              </v:shape>
            </v:group>
            <v:group style="position:absolute;left:5905;top:-5117;width:10;height:20" coordorigin="5905,-5117" coordsize="10,20">
              <v:shape style="position:absolute;left:5905;top:-5117;width:10;height:20" coordorigin="5905,-5117" coordsize="10,20" path="m5905,-5098l5915,-5098,5915,-5117,5905,-5117,5905,-5098xe" filled="true" fillcolor="#000000" stroked="false">
                <v:path arrowok="t"/>
                <v:fill type="solid"/>
              </v:shape>
            </v:group>
            <v:group style="position:absolute;left:5905;top:-5094;width:10;height:2" coordorigin="5905,-5094" coordsize="10,2">
              <v:shape style="position:absolute;left:5905;top:-5094;width:10;height:2" coordorigin="5905,-5094" coordsize="10,0" path="m5905,-5094l5915,-5094e" filled="false" stroked="true" strokeweight=".35999pt" strokecolor="#000000">
                <v:path arrowok="t"/>
              </v:shape>
              <v:shape style="position:absolute;left:2405;top:-5091;width:1801;height:10" type="#_x0000_t75" stroked="false">
                <v:imagedata r:id="rId243" o:title=""/>
              </v:shape>
              <v:shape style="position:absolute;left:4201;top:-5091;width:2753;height:10" type="#_x0000_t75" stroked="false">
                <v:imagedata r:id="rId244" o:title=""/>
              </v:shape>
              <v:shape style="position:absolute;left:6949;top:-5091;width:1082;height:10" type="#_x0000_t75" stroked="false">
                <v:imagedata r:id="rId245" o:title=""/>
              </v:shape>
              <v:shape style="position:absolute;left:8027;top:-5091;width:2441;height:10" type="#_x0000_t75" stroked="false">
                <v:imagedata r:id="rId246" o:title=""/>
              </v:shape>
            </v:group>
            <v:group style="position:absolute;left:4206;top:-5081;width:10;height:20" coordorigin="4206,-5081" coordsize="10,20">
              <v:shape style="position:absolute;left:4206;top:-5081;width:10;height:20" coordorigin="4206,-5081" coordsize="10,20" path="m4206,-5062l4215,-5062,4215,-5081,4206,-5081,4206,-5062xe" filled="true" fillcolor="#000000" stroked="false">
                <v:path arrowok="t"/>
                <v:fill type="solid"/>
              </v:shape>
            </v:group>
            <v:group style="position:absolute;left:4206;top:-5062;width:10;height:20" coordorigin="4206,-5062" coordsize="10,20">
              <v:shape style="position:absolute;left:4206;top:-5062;width:10;height:20" coordorigin="4206,-5062" coordsize="10,20" path="m4206,-5043l4215,-5043,4215,-5062,4206,-5062,4206,-5043xe" filled="true" fillcolor="#000000" stroked="false">
                <v:path arrowok="t"/>
                <v:fill type="solid"/>
              </v:shape>
            </v:group>
            <v:group style="position:absolute;left:4206;top:-5043;width:10;height:20" coordorigin="4206,-5043" coordsize="10,20">
              <v:shape style="position:absolute;left:4206;top:-5043;width:10;height:20" coordorigin="4206,-5043" coordsize="10,20" path="m4206,-5023l4215,-5023,4215,-5043,4206,-5043,4206,-5023xe" filled="true" fillcolor="#000000" stroked="false">
                <v:path arrowok="t"/>
                <v:fill type="solid"/>
              </v:shape>
            </v:group>
            <v:group style="position:absolute;left:4206;top:-5023;width:10;height:20" coordorigin="4206,-5023" coordsize="10,20">
              <v:shape style="position:absolute;left:4206;top:-5023;width:10;height:20" coordorigin="4206,-5023" coordsize="10,20" path="m4206,-5004l4215,-5004,4215,-5023,4206,-5023,4206,-5004xe" filled="true" fillcolor="#000000" stroked="false">
                <v:path arrowok="t"/>
                <v:fill type="solid"/>
              </v:shape>
            </v:group>
            <v:group style="position:absolute;left:4206;top:-5004;width:10;height:20" coordorigin="4206,-5004" coordsize="10,20">
              <v:shape style="position:absolute;left:4206;top:-5004;width:10;height:20" coordorigin="4206,-5004" coordsize="10,20" path="m4206,-4985l4215,-4985,4215,-5004,4206,-5004,4206,-4985xe" filled="true" fillcolor="#000000" stroked="false">
                <v:path arrowok="t"/>
                <v:fill type="solid"/>
              </v:shape>
            </v:group>
            <v:group style="position:absolute;left:4206;top:-4985;width:10;height:20" coordorigin="4206,-4985" coordsize="10,20">
              <v:shape style="position:absolute;left:4206;top:-4985;width:10;height:20" coordorigin="4206,-4985" coordsize="10,20" path="m4206,-4966l4215,-4966,4215,-4985,4206,-4985,4206,-4966xe" filled="true" fillcolor="#000000" stroked="false">
                <v:path arrowok="t"/>
                <v:fill type="solid"/>
              </v:shape>
            </v:group>
            <v:group style="position:absolute;left:4206;top:-4966;width:10;height:20" coordorigin="4206,-4966" coordsize="10,20">
              <v:shape style="position:absolute;left:4206;top:-4966;width:10;height:20" coordorigin="4206,-4966" coordsize="10,20" path="m4206,-4947l4215,-4947,4215,-4966,4206,-4966,4206,-4947xe" filled="true" fillcolor="#000000" stroked="false">
                <v:path arrowok="t"/>
                <v:fill type="solid"/>
              </v:shape>
            </v:group>
            <v:group style="position:absolute;left:4206;top:-4947;width:10;height:20" coordorigin="4206,-4947" coordsize="10,20">
              <v:shape style="position:absolute;left:4206;top:-4947;width:10;height:20" coordorigin="4206,-4947" coordsize="10,20" path="m4206,-4927l4215,-4927,4215,-4947,4206,-4947,4206,-4927xe" filled="true" fillcolor="#000000" stroked="false">
                <v:path arrowok="t"/>
                <v:fill type="solid"/>
              </v:shape>
            </v:group>
            <v:group style="position:absolute;left:4206;top:-4927;width:10;height:20" coordorigin="4206,-4927" coordsize="10,20">
              <v:shape style="position:absolute;left:4206;top:-4927;width:10;height:20" coordorigin="4206,-4927" coordsize="10,20" path="m4206,-4908l4215,-4908,4215,-4927,4206,-4927,4206,-4908xe" filled="true" fillcolor="#000000" stroked="false">
                <v:path arrowok="t"/>
                <v:fill type="solid"/>
              </v:shape>
            </v:group>
            <v:group style="position:absolute;left:4206;top:-4908;width:10;height:20" coordorigin="4206,-4908" coordsize="10,20">
              <v:shape style="position:absolute;left:4206;top:-4908;width:10;height:20" coordorigin="4206,-4908" coordsize="10,20" path="m4206,-4889l4215,-4889,4215,-4908,4206,-4908,4206,-4889xe" filled="true" fillcolor="#000000" stroked="false">
                <v:path arrowok="t"/>
                <v:fill type="solid"/>
              </v:shape>
            </v:group>
            <v:group style="position:absolute;left:4206;top:-4889;width:10;height:20" coordorigin="4206,-4889" coordsize="10,20">
              <v:shape style="position:absolute;left:4206;top:-4889;width:10;height:20" coordorigin="4206,-4889" coordsize="10,20" path="m4206,-4870l4215,-4870,4215,-4889,4206,-4889,4206,-4870xe" filled="true" fillcolor="#000000" stroked="false">
                <v:path arrowok="t"/>
                <v:fill type="solid"/>
              </v:shape>
            </v:group>
            <v:group style="position:absolute;left:4206;top:-4870;width:10;height:20" coordorigin="4206,-4870" coordsize="10,20">
              <v:shape style="position:absolute;left:4206;top:-4870;width:10;height:20" coordorigin="4206,-4870" coordsize="10,20" path="m4206,-4851l4215,-4851,4215,-4870,4206,-4870,4206,-4851xe" filled="true" fillcolor="#000000" stroked="false">
                <v:path arrowok="t"/>
                <v:fill type="solid"/>
              </v:shape>
            </v:group>
            <v:group style="position:absolute;left:4206;top:-4851;width:10;height:20" coordorigin="4206,-4851" coordsize="10,20">
              <v:shape style="position:absolute;left:4206;top:-4851;width:10;height:20" coordorigin="4206,-4851" coordsize="10,20" path="m4206,-4831l4215,-4831,4215,-4851,4206,-4851,4206,-4831xe" filled="true" fillcolor="#000000" stroked="false">
                <v:path arrowok="t"/>
                <v:fill type="solid"/>
              </v:shape>
            </v:group>
            <v:group style="position:absolute;left:4206;top:-4831;width:10;height:20" coordorigin="4206,-4831" coordsize="10,20">
              <v:shape style="position:absolute;left:4206;top:-4831;width:10;height:20" coordorigin="4206,-4831" coordsize="10,20" path="m4206,-4812l4215,-4812,4215,-4831,4206,-4831,4206,-4812xe" filled="true" fillcolor="#000000" stroked="false">
                <v:path arrowok="t"/>
                <v:fill type="solid"/>
              </v:shape>
            </v:group>
            <v:group style="position:absolute;left:4206;top:-4812;width:10;height:20" coordorigin="4206,-4812" coordsize="10,20">
              <v:shape style="position:absolute;left:4206;top:-4812;width:10;height:20" coordorigin="4206,-4812" coordsize="10,20" path="m4206,-4793l4215,-4793,4215,-4812,4206,-4812,4206,-4793xe" filled="true" fillcolor="#000000" stroked="false">
                <v:path arrowok="t"/>
                <v:fill type="solid"/>
              </v:shape>
            </v:group>
            <v:group style="position:absolute;left:4206;top:-4793;width:10;height:20" coordorigin="4206,-4793" coordsize="10,20">
              <v:shape style="position:absolute;left:4206;top:-4793;width:10;height:20" coordorigin="4206,-4793" coordsize="10,20" path="m4206,-4774l4215,-4774,4215,-4793,4206,-4793,4206,-4774xe" filled="true" fillcolor="#000000" stroked="false">
                <v:path arrowok="t"/>
                <v:fill type="solid"/>
              </v:shape>
            </v:group>
            <v:group style="position:absolute;left:4206;top:-4774;width:10;height:20" coordorigin="4206,-4774" coordsize="10,20">
              <v:shape style="position:absolute;left:4206;top:-4774;width:10;height:20" coordorigin="4206,-4774" coordsize="10,20" path="m4206,-4755l4215,-4755,4215,-4774,4206,-4774,4206,-4755xe" filled="true" fillcolor="#000000" stroked="false">
                <v:path arrowok="t"/>
                <v:fill type="solid"/>
              </v:shape>
            </v:group>
            <v:group style="position:absolute;left:4206;top:-4755;width:10;height:20" coordorigin="4206,-4755" coordsize="10,20">
              <v:shape style="position:absolute;left:4206;top:-4755;width:10;height:20" coordorigin="4206,-4755" coordsize="10,20" path="m4206,-4735l4215,-4735,4215,-4755,4206,-4755,4206,-4735xe" filled="true" fillcolor="#000000" stroked="false">
                <v:path arrowok="t"/>
                <v:fill type="solid"/>
              </v:shape>
            </v:group>
            <v:group style="position:absolute;left:4206;top:-4735;width:10;height:20" coordorigin="4206,-4735" coordsize="10,20">
              <v:shape style="position:absolute;left:4206;top:-4735;width:10;height:20" coordorigin="4206,-4735" coordsize="10,20" path="m4206,-4716l4215,-4716,4215,-4735,4206,-4735,4206,-4716xe" filled="true" fillcolor="#000000" stroked="false">
                <v:path arrowok="t"/>
                <v:fill type="solid"/>
              </v:shape>
            </v:group>
            <v:group style="position:absolute;left:4206;top:-4716;width:10;height:20" coordorigin="4206,-4716" coordsize="10,20">
              <v:shape style="position:absolute;left:4206;top:-4716;width:10;height:20" coordorigin="4206,-4716" coordsize="10,20" path="m4206,-4697l4215,-4697,4215,-4716,4206,-4716,4206,-4697xe" filled="true" fillcolor="#000000" stroked="false">
                <v:path arrowok="t"/>
                <v:fill type="solid"/>
              </v:shape>
            </v:group>
            <v:group style="position:absolute;left:4206;top:-4697;width:10;height:20" coordorigin="4206,-4697" coordsize="10,20">
              <v:shape style="position:absolute;left:4206;top:-4697;width:10;height:20" coordorigin="4206,-4697" coordsize="10,20" path="m4206,-4678l4215,-4678,4215,-4697,4206,-4697,4206,-4678xe" filled="true" fillcolor="#000000" stroked="false">
                <v:path arrowok="t"/>
                <v:fill type="solid"/>
              </v:shape>
            </v:group>
            <v:group style="position:absolute;left:4206;top:-4678;width:10;height:20" coordorigin="4206,-4678" coordsize="10,20">
              <v:shape style="position:absolute;left:4206;top:-4678;width:10;height:20" coordorigin="4206,-4678" coordsize="10,20" path="m4206,-4659l4215,-4659,4215,-4678,4206,-4678,4206,-4659xe" filled="true" fillcolor="#000000" stroked="false">
                <v:path arrowok="t"/>
                <v:fill type="solid"/>
              </v:shape>
            </v:group>
            <v:group style="position:absolute;left:4206;top:-4659;width:10;height:20" coordorigin="4206,-4659" coordsize="10,20">
              <v:shape style="position:absolute;left:4206;top:-4659;width:10;height:20" coordorigin="4206,-4659" coordsize="10,20" path="m4206,-4639l4215,-4639,4215,-4659,4206,-4659,4206,-4639xe" filled="true" fillcolor="#000000" stroked="false">
                <v:path arrowok="t"/>
                <v:fill type="solid"/>
              </v:shape>
            </v:group>
            <v:group style="position:absolute;left:4206;top:-4639;width:10;height:20" coordorigin="4206,-4639" coordsize="10,20">
              <v:shape style="position:absolute;left:4206;top:-4639;width:10;height:20" coordorigin="4206,-4639" coordsize="10,20" path="m4206,-4620l4215,-4620,4215,-4639,4206,-4639,4206,-4620xe" filled="true" fillcolor="#000000" stroked="false">
                <v:path arrowok="t"/>
                <v:fill type="solid"/>
              </v:shape>
            </v:group>
            <v:group style="position:absolute;left:4206;top:-4620;width:10;height:20" coordorigin="4206,-4620" coordsize="10,20">
              <v:shape style="position:absolute;left:4206;top:-4620;width:10;height:20" coordorigin="4206,-4620" coordsize="10,20" path="m4206,-4601l4215,-4601,4215,-4620,4206,-4620,4206,-4601xe" filled="true" fillcolor="#000000" stroked="false">
                <v:path arrowok="t"/>
                <v:fill type="solid"/>
              </v:shape>
            </v:group>
            <v:group style="position:absolute;left:4206;top:-4601;width:10;height:20" coordorigin="4206,-4601" coordsize="10,20">
              <v:shape style="position:absolute;left:4206;top:-4601;width:10;height:20" coordorigin="4206,-4601" coordsize="10,20" path="m4206,-4582l4215,-4582,4215,-4601,4206,-4601,4206,-4582xe" filled="true" fillcolor="#000000" stroked="false">
                <v:path arrowok="t"/>
                <v:fill type="solid"/>
              </v:shape>
            </v:group>
            <v:group style="position:absolute;left:4206;top:-4582;width:10;height:20" coordorigin="4206,-4582" coordsize="10,20">
              <v:shape style="position:absolute;left:4206;top:-4582;width:10;height:20" coordorigin="4206,-4582" coordsize="10,20" path="m4206,-4563l4215,-4563,4215,-4582,4206,-4582,4206,-4563xe" filled="true" fillcolor="#000000" stroked="false">
                <v:path arrowok="t"/>
                <v:fill type="solid"/>
              </v:shape>
            </v:group>
            <v:group style="position:absolute;left:4206;top:-4563;width:10;height:20" coordorigin="4206,-4563" coordsize="10,20">
              <v:shape style="position:absolute;left:4206;top:-4563;width:10;height:20" coordorigin="4206,-4563" coordsize="10,20" path="m4206,-4543l4215,-4543,4215,-4563,4206,-4563,4206,-4543xe" filled="true" fillcolor="#000000" stroked="false">
                <v:path arrowok="t"/>
                <v:fill type="solid"/>
              </v:shape>
            </v:group>
            <v:group style="position:absolute;left:4206;top:-4543;width:10;height:20" coordorigin="4206,-4543" coordsize="10,20">
              <v:shape style="position:absolute;left:4206;top:-4543;width:10;height:20" coordorigin="4206,-4543" coordsize="10,20" path="m4206,-4524l4215,-4524,4215,-4543,4206,-4543,4206,-4524xe" filled="true" fillcolor="#000000" stroked="false">
                <v:path arrowok="t"/>
                <v:fill type="solid"/>
              </v:shape>
            </v:group>
            <v:group style="position:absolute;left:4206;top:-4524;width:10;height:20" coordorigin="4206,-4524" coordsize="10,20">
              <v:shape style="position:absolute;left:4206;top:-4524;width:10;height:20" coordorigin="4206,-4524" coordsize="10,20" path="m4206,-4505l4215,-4505,4215,-4524,4206,-4524,4206,-4505xe" filled="true" fillcolor="#000000" stroked="false">
                <v:path arrowok="t"/>
                <v:fill type="solid"/>
              </v:shape>
            </v:group>
            <v:group style="position:absolute;left:4206;top:-4505;width:10;height:20" coordorigin="4206,-4505" coordsize="10,20">
              <v:shape style="position:absolute;left:4206;top:-4505;width:10;height:20" coordorigin="4206,-4505" coordsize="10,20" path="m4206,-4486l4215,-4486,4215,-4505,4206,-4505,4206,-4486xe" filled="true" fillcolor="#000000" stroked="false">
                <v:path arrowok="t"/>
                <v:fill type="solid"/>
              </v:shape>
            </v:group>
            <v:group style="position:absolute;left:4206;top:-4486;width:10;height:20" coordorigin="4206,-4486" coordsize="10,20">
              <v:shape style="position:absolute;left:4206;top:-4486;width:10;height:20" coordorigin="4206,-4486" coordsize="10,20" path="m4206,-4467l4215,-4467,4215,-4486,4206,-4486,4206,-4467xe" filled="true" fillcolor="#000000" stroked="false">
                <v:path arrowok="t"/>
                <v:fill type="solid"/>
              </v:shape>
            </v:group>
            <v:group style="position:absolute;left:4206;top:-4467;width:10;height:20" coordorigin="4206,-4467" coordsize="10,20">
              <v:shape style="position:absolute;left:4206;top:-4467;width:10;height:20" coordorigin="4206,-4467" coordsize="10,20" path="m4206,-4447l4215,-4447,4215,-4467,4206,-4467,4206,-4447xe" filled="true" fillcolor="#000000" stroked="false">
                <v:path arrowok="t"/>
                <v:fill type="solid"/>
              </v:shape>
            </v:group>
            <v:group style="position:absolute;left:4206;top:-4447;width:10;height:20" coordorigin="4206,-4447" coordsize="10,20">
              <v:shape style="position:absolute;left:4206;top:-4447;width:10;height:20" coordorigin="4206,-4447" coordsize="10,20" path="m4206,-4428l4215,-4428,4215,-4447,4206,-4447,4206,-4428xe" filled="true" fillcolor="#000000" stroked="false">
                <v:path arrowok="t"/>
                <v:fill type="solid"/>
              </v:shape>
            </v:group>
            <v:group style="position:absolute;left:4206;top:-4428;width:10;height:20" coordorigin="4206,-4428" coordsize="10,20">
              <v:shape style="position:absolute;left:4206;top:-4428;width:10;height:20" coordorigin="4206,-4428" coordsize="10,20" path="m4206,-4409l4215,-4409,4215,-4428,4206,-4428,4206,-4409xe" filled="true" fillcolor="#000000" stroked="false">
                <v:path arrowok="t"/>
                <v:fill type="solid"/>
              </v:shape>
            </v:group>
            <v:group style="position:absolute;left:4206;top:-4409;width:10;height:20" coordorigin="4206,-4409" coordsize="10,20">
              <v:shape style="position:absolute;left:4206;top:-4409;width:10;height:20" coordorigin="4206,-4409" coordsize="10,20" path="m4206,-4390l4215,-4390,4215,-4409,4206,-4409,4206,-4390xe" filled="true" fillcolor="#000000" stroked="false">
                <v:path arrowok="t"/>
                <v:fill type="solid"/>
              </v:shape>
            </v:group>
            <v:group style="position:absolute;left:4206;top:-4390;width:10;height:20" coordorigin="4206,-4390" coordsize="10,20">
              <v:shape style="position:absolute;left:4206;top:-4390;width:10;height:20" coordorigin="4206,-4390" coordsize="10,20" path="m4206,-4371l4215,-4371,4215,-4390,4206,-4390,4206,-4371xe" filled="true" fillcolor="#000000" stroked="false">
                <v:path arrowok="t"/>
                <v:fill type="solid"/>
              </v:shape>
            </v:group>
            <v:group style="position:absolute;left:4206;top:-4371;width:10;height:20" coordorigin="4206,-4371" coordsize="10,20">
              <v:shape style="position:absolute;left:4206;top:-4371;width:10;height:20" coordorigin="4206,-4371" coordsize="10,20" path="m4206,-4351l4215,-4351,4215,-4371,4206,-4371,4206,-4351xe" filled="true" fillcolor="#000000" stroked="false">
                <v:path arrowok="t"/>
                <v:fill type="solid"/>
              </v:shape>
            </v:group>
            <v:group style="position:absolute;left:4206;top:-4351;width:10;height:20" coordorigin="4206,-4351" coordsize="10,20">
              <v:shape style="position:absolute;left:4206;top:-4351;width:10;height:20" coordorigin="4206,-4351" coordsize="10,20" path="m4206,-4332l4215,-4332,4215,-4351,4206,-4351,4206,-4332xe" filled="true" fillcolor="#000000" stroked="false">
                <v:path arrowok="t"/>
                <v:fill type="solid"/>
              </v:shape>
            </v:group>
            <v:group style="position:absolute;left:4206;top:-4332;width:10;height:20" coordorigin="4206,-4332" coordsize="10,20">
              <v:shape style="position:absolute;left:4206;top:-4332;width:10;height:20" coordorigin="4206,-4332" coordsize="10,20" path="m4206,-4313l4215,-4313,4215,-4332,4206,-4332,4206,-4313xe" filled="true" fillcolor="#000000" stroked="false">
                <v:path arrowok="t"/>
                <v:fill type="solid"/>
              </v:shape>
            </v:group>
            <v:group style="position:absolute;left:4206;top:-4313;width:10;height:20" coordorigin="4206,-4313" coordsize="10,20">
              <v:shape style="position:absolute;left:4206;top:-4313;width:10;height:20" coordorigin="4206,-4313" coordsize="10,20" path="m4206,-4294l4215,-4294,4215,-4313,4206,-4313,4206,-4294xe" filled="true" fillcolor="#000000" stroked="false">
                <v:path arrowok="t"/>
                <v:fill type="solid"/>
              </v:shape>
            </v:group>
            <v:group style="position:absolute;left:4206;top:-4294;width:10;height:20" coordorigin="4206,-4294" coordsize="10,20">
              <v:shape style="position:absolute;left:4206;top:-4294;width:10;height:20" coordorigin="4206,-4294" coordsize="10,20" path="m4206,-4275l4215,-4275,4215,-4294,4206,-4294,4206,-4275xe" filled="true" fillcolor="#000000" stroked="false">
                <v:path arrowok="t"/>
                <v:fill type="solid"/>
              </v:shape>
            </v:group>
            <v:group style="position:absolute;left:4206;top:-4275;width:10;height:20" coordorigin="4206,-4275" coordsize="10,20">
              <v:shape style="position:absolute;left:4206;top:-4275;width:10;height:20" coordorigin="4206,-4275" coordsize="10,20" path="m4206,-4255l4215,-4255,4215,-4275,4206,-4275,4206,-4255xe" filled="true" fillcolor="#000000" stroked="false">
                <v:path arrowok="t"/>
                <v:fill type="solid"/>
              </v:shape>
            </v:group>
            <v:group style="position:absolute;left:4206;top:-4255;width:10;height:20" coordorigin="4206,-4255" coordsize="10,20">
              <v:shape style="position:absolute;left:4206;top:-4255;width:10;height:20" coordorigin="4206,-4255" coordsize="10,20" path="m4206,-4236l4215,-4236,4215,-4255,4206,-4255,4206,-4236xe" filled="true" fillcolor="#000000" stroked="false">
                <v:path arrowok="t"/>
                <v:fill type="solid"/>
              </v:shape>
            </v:group>
            <v:group style="position:absolute;left:4206;top:-4236;width:10;height:20" coordorigin="4206,-4236" coordsize="10,20">
              <v:shape style="position:absolute;left:4206;top:-4236;width:10;height:20" coordorigin="4206,-4236" coordsize="10,20" path="m4206,-4217l4215,-4217,4215,-4236,4206,-4236,4206,-4217xe" filled="true" fillcolor="#000000" stroked="false">
                <v:path arrowok="t"/>
                <v:fill type="solid"/>
              </v:shape>
            </v:group>
            <v:group style="position:absolute;left:4206;top:-4217;width:10;height:20" coordorigin="4206,-4217" coordsize="10,20">
              <v:shape style="position:absolute;left:4206;top:-4217;width:10;height:20" coordorigin="4206,-4217" coordsize="10,20" path="m4206,-4198l4215,-4198,4215,-4217,4206,-4217,4206,-4198xe" filled="true" fillcolor="#000000" stroked="false">
                <v:path arrowok="t"/>
                <v:fill type="solid"/>
              </v:shape>
            </v:group>
            <v:group style="position:absolute;left:4206;top:-4198;width:10;height:20" coordorigin="4206,-4198" coordsize="10,20">
              <v:shape style="position:absolute;left:4206;top:-4198;width:10;height:20" coordorigin="4206,-4198" coordsize="10,20" path="m4206,-4179l4215,-4179,4215,-4198,4206,-4198,4206,-4179xe" filled="true" fillcolor="#000000" stroked="false">
                <v:path arrowok="t"/>
                <v:fill type="solid"/>
              </v:shape>
            </v:group>
            <v:group style="position:absolute;left:4206;top:-4179;width:10;height:20" coordorigin="4206,-4179" coordsize="10,20">
              <v:shape style="position:absolute;left:4206;top:-4179;width:10;height:20" coordorigin="4206,-4179" coordsize="10,20" path="m4206,-4159l4215,-4159,4215,-4179,4206,-4179,4206,-4159xe" filled="true" fillcolor="#000000" stroked="false">
                <v:path arrowok="t"/>
                <v:fill type="solid"/>
              </v:shape>
            </v:group>
            <v:group style="position:absolute;left:4206;top:-4159;width:10;height:20" coordorigin="4206,-4159" coordsize="10,20">
              <v:shape style="position:absolute;left:4206;top:-4159;width:10;height:20" coordorigin="4206,-4159" coordsize="10,20" path="m4206,-4140l4215,-4140,4215,-4159,4206,-4159,4206,-4140xe" filled="true" fillcolor="#000000" stroked="false">
                <v:path arrowok="t"/>
                <v:fill type="solid"/>
              </v:shape>
            </v:group>
            <v:group style="position:absolute;left:4206;top:-4140;width:10;height:20" coordorigin="4206,-4140" coordsize="10,20">
              <v:shape style="position:absolute;left:4206;top:-4140;width:10;height:20" coordorigin="4206,-4140" coordsize="10,20" path="m4206,-4121l4215,-4121,4215,-4140,4206,-4140,4206,-4121xe" filled="true" fillcolor="#000000" stroked="false">
                <v:path arrowok="t"/>
                <v:fill type="solid"/>
              </v:shape>
            </v:group>
            <v:group style="position:absolute;left:4206;top:-4121;width:10;height:20" coordorigin="4206,-4121" coordsize="10,20">
              <v:shape style="position:absolute;left:4206;top:-4121;width:10;height:20" coordorigin="4206,-4121" coordsize="10,20" path="m4206,-4102l4215,-4102,4215,-4121,4206,-4121,4206,-4102xe" filled="true" fillcolor="#000000" stroked="false">
                <v:path arrowok="t"/>
                <v:fill type="solid"/>
              </v:shape>
            </v:group>
            <v:group style="position:absolute;left:4206;top:-4102;width:10;height:20" coordorigin="4206,-4102" coordsize="10,20">
              <v:shape style="position:absolute;left:4206;top:-4102;width:10;height:20" coordorigin="4206,-4102" coordsize="10,20" path="m4206,-4083l4215,-4083,4215,-4102,4206,-4102,4206,-4083xe" filled="true" fillcolor="#000000" stroked="false">
                <v:path arrowok="t"/>
                <v:fill type="solid"/>
              </v:shape>
            </v:group>
            <v:group style="position:absolute;left:4206;top:-4083;width:10;height:20" coordorigin="4206,-4083" coordsize="10,20">
              <v:shape style="position:absolute;left:4206;top:-4083;width:10;height:20" coordorigin="4206,-4083" coordsize="10,20" path="m4206,-4063l4215,-4063,4215,-4083,4206,-4083,4206,-4063xe" filled="true" fillcolor="#000000" stroked="false">
                <v:path arrowok="t"/>
                <v:fill type="solid"/>
              </v:shape>
            </v:group>
            <v:group style="position:absolute;left:4206;top:-4063;width:10;height:20" coordorigin="4206,-4063" coordsize="10,20">
              <v:shape style="position:absolute;left:4206;top:-4063;width:10;height:20" coordorigin="4206,-4063" coordsize="10,20" path="m4206,-4044l4215,-4044,4215,-4063,4206,-4063,4206,-4044xe" filled="true" fillcolor="#000000" stroked="false">
                <v:path arrowok="t"/>
                <v:fill type="solid"/>
              </v:shape>
            </v:group>
            <v:group style="position:absolute;left:4206;top:-4044;width:10;height:20" coordorigin="4206,-4044" coordsize="10,20">
              <v:shape style="position:absolute;left:4206;top:-4044;width:10;height:20" coordorigin="4206,-4044" coordsize="10,20" path="m4206,-4025l4215,-4025,4215,-4044,4206,-4044,4206,-4025xe" filled="true" fillcolor="#000000" stroked="false">
                <v:path arrowok="t"/>
                <v:fill type="solid"/>
              </v:shape>
            </v:group>
            <v:group style="position:absolute;left:4206;top:-4025;width:10;height:20" coordorigin="4206,-4025" coordsize="10,20">
              <v:shape style="position:absolute;left:4206;top:-4025;width:10;height:20" coordorigin="4206,-4025" coordsize="10,20" path="m4206,-4006l4215,-4006,4215,-4025,4206,-4025,4206,-4006xe" filled="true" fillcolor="#000000" stroked="false">
                <v:path arrowok="t"/>
                <v:fill type="solid"/>
              </v:shape>
            </v:group>
            <v:group style="position:absolute;left:4206;top:-4006;width:10;height:20" coordorigin="4206,-4006" coordsize="10,20">
              <v:shape style="position:absolute;left:4206;top:-4006;width:10;height:20" coordorigin="4206,-4006" coordsize="10,20" path="m4206,-3987l4215,-3987,4215,-4006,4206,-4006,4206,-3987xe" filled="true" fillcolor="#000000" stroked="false">
                <v:path arrowok="t"/>
                <v:fill type="solid"/>
              </v:shape>
            </v:group>
            <v:group style="position:absolute;left:4206;top:-3987;width:10;height:20" coordorigin="4206,-3987" coordsize="10,20">
              <v:shape style="position:absolute;left:4206;top:-3987;width:10;height:20" coordorigin="4206,-3987" coordsize="10,20" path="m4206,-3967l4215,-3967,4215,-3987,4206,-3987,4206,-3967xe" filled="true" fillcolor="#000000" stroked="false">
                <v:path arrowok="t"/>
                <v:fill type="solid"/>
              </v:shape>
            </v:group>
            <v:group style="position:absolute;left:4206;top:-3967;width:10;height:20" coordorigin="4206,-3967" coordsize="10,20">
              <v:shape style="position:absolute;left:4206;top:-3967;width:10;height:20" coordorigin="4206,-3967" coordsize="10,20" path="m4206,-3948l4215,-3948,4215,-3967,4206,-3967,4206,-3948xe" filled="true" fillcolor="#000000" stroked="false">
                <v:path arrowok="t"/>
                <v:fill type="solid"/>
              </v:shape>
            </v:group>
            <v:group style="position:absolute;left:4206;top:-3948;width:10;height:20" coordorigin="4206,-3948" coordsize="10,20">
              <v:shape style="position:absolute;left:4206;top:-3948;width:10;height:20" coordorigin="4206,-3948" coordsize="10,20" path="m4206,-3929l4215,-3929,4215,-3948,4206,-3948,4206,-3929xe" filled="true" fillcolor="#000000" stroked="false">
                <v:path arrowok="t"/>
                <v:fill type="solid"/>
              </v:shape>
            </v:group>
            <v:group style="position:absolute;left:4206;top:-3929;width:10;height:20" coordorigin="4206,-3929" coordsize="10,20">
              <v:shape style="position:absolute;left:4206;top:-3929;width:10;height:20" coordorigin="4206,-3929" coordsize="10,20" path="m4206,-3910l4215,-3910,4215,-3929,4206,-3929,4206,-3910xe" filled="true" fillcolor="#000000" stroked="false">
                <v:path arrowok="t"/>
                <v:fill type="solid"/>
              </v:shape>
            </v:group>
            <v:group style="position:absolute;left:4206;top:-3910;width:10;height:20" coordorigin="4206,-3910" coordsize="10,20">
              <v:shape style="position:absolute;left:4206;top:-3910;width:10;height:20" coordorigin="4206,-3910" coordsize="10,20" path="m4206,-3891l4215,-3891,4215,-3910,4206,-3910,4206,-3891xe" filled="true" fillcolor="#000000" stroked="false">
                <v:path arrowok="t"/>
                <v:fill type="solid"/>
              </v:shape>
            </v:group>
            <v:group style="position:absolute;left:4206;top:-3886;width:10;height:2" coordorigin="4206,-3886" coordsize="10,2">
              <v:shape style="position:absolute;left:4206;top:-3886;width:10;height:2" coordorigin="4206,-3886" coordsize="10,0" path="m4206,-3886l4215,-3886e" filled="false" stroked="true" strokeweight=".48001pt" strokecolor="#000000">
                <v:path arrowok="t"/>
              </v:shape>
            </v:group>
            <v:group style="position:absolute;left:5905;top:-5081;width:10;height:20" coordorigin="5905,-5081" coordsize="10,20">
              <v:shape style="position:absolute;left:5905;top:-5081;width:10;height:20" coordorigin="5905,-5081" coordsize="10,20" path="m5905,-5062l5915,-5062,5915,-5081,5905,-5081,5905,-5062xe" filled="true" fillcolor="#000000" stroked="false">
                <v:path arrowok="t"/>
                <v:fill type="solid"/>
              </v:shape>
            </v:group>
            <v:group style="position:absolute;left:5905;top:-5062;width:10;height:20" coordorigin="5905,-5062" coordsize="10,20">
              <v:shape style="position:absolute;left:5905;top:-5062;width:10;height:20" coordorigin="5905,-5062" coordsize="10,20" path="m5905,-5043l5915,-5043,5915,-5062,5905,-5062,5905,-5043xe" filled="true" fillcolor="#000000" stroked="false">
                <v:path arrowok="t"/>
                <v:fill type="solid"/>
              </v:shape>
            </v:group>
            <v:group style="position:absolute;left:5905;top:-5043;width:10;height:20" coordorigin="5905,-5043" coordsize="10,20">
              <v:shape style="position:absolute;left:5905;top:-5043;width:10;height:20" coordorigin="5905,-5043" coordsize="10,20" path="m5905,-5023l5915,-5023,5915,-5043,5905,-5043,5905,-5023xe" filled="true" fillcolor="#000000" stroked="false">
                <v:path arrowok="t"/>
                <v:fill type="solid"/>
              </v:shape>
            </v:group>
            <v:group style="position:absolute;left:5905;top:-5023;width:10;height:20" coordorigin="5905,-5023" coordsize="10,20">
              <v:shape style="position:absolute;left:5905;top:-5023;width:10;height:20" coordorigin="5905,-5023" coordsize="10,20" path="m5905,-5004l5915,-5004,5915,-5023,5905,-5023,5905,-5004xe" filled="true" fillcolor="#000000" stroked="false">
                <v:path arrowok="t"/>
                <v:fill type="solid"/>
              </v:shape>
            </v:group>
            <v:group style="position:absolute;left:5905;top:-5004;width:10;height:20" coordorigin="5905,-5004" coordsize="10,20">
              <v:shape style="position:absolute;left:5905;top:-5004;width:10;height:20" coordorigin="5905,-5004" coordsize="10,20" path="m5905,-4985l5915,-4985,5915,-5004,5905,-5004,5905,-4985xe" filled="true" fillcolor="#000000" stroked="false">
                <v:path arrowok="t"/>
                <v:fill type="solid"/>
              </v:shape>
            </v:group>
            <v:group style="position:absolute;left:5905;top:-4985;width:10;height:20" coordorigin="5905,-4985" coordsize="10,20">
              <v:shape style="position:absolute;left:5905;top:-4985;width:10;height:20" coordorigin="5905,-4985" coordsize="10,20" path="m5905,-4966l5915,-4966,5915,-4985,5905,-4985,5905,-4966xe" filled="true" fillcolor="#000000" stroked="false">
                <v:path arrowok="t"/>
                <v:fill type="solid"/>
              </v:shape>
            </v:group>
            <v:group style="position:absolute;left:5905;top:-4966;width:10;height:20" coordorigin="5905,-4966" coordsize="10,20">
              <v:shape style="position:absolute;left:5905;top:-4966;width:10;height:20" coordorigin="5905,-4966" coordsize="10,20" path="m5905,-4947l5915,-4947,5915,-4966,5905,-4966,5905,-4947xe" filled="true" fillcolor="#000000" stroked="false">
                <v:path arrowok="t"/>
                <v:fill type="solid"/>
              </v:shape>
            </v:group>
            <v:group style="position:absolute;left:5905;top:-4947;width:10;height:20" coordorigin="5905,-4947" coordsize="10,20">
              <v:shape style="position:absolute;left:5905;top:-4947;width:10;height:20" coordorigin="5905,-4947" coordsize="10,20" path="m5905,-4927l5915,-4927,5915,-4947,5905,-4947,5905,-4927xe" filled="true" fillcolor="#000000" stroked="false">
                <v:path arrowok="t"/>
                <v:fill type="solid"/>
              </v:shape>
            </v:group>
            <v:group style="position:absolute;left:5905;top:-4927;width:10;height:20" coordorigin="5905,-4927" coordsize="10,20">
              <v:shape style="position:absolute;left:5905;top:-4927;width:10;height:20" coordorigin="5905,-4927" coordsize="10,20" path="m5905,-4908l5915,-4908,5915,-4927,5905,-4927,5905,-4908xe" filled="true" fillcolor="#000000" stroked="false">
                <v:path arrowok="t"/>
                <v:fill type="solid"/>
              </v:shape>
            </v:group>
            <v:group style="position:absolute;left:5905;top:-4908;width:10;height:20" coordorigin="5905,-4908" coordsize="10,20">
              <v:shape style="position:absolute;left:5905;top:-4908;width:10;height:20" coordorigin="5905,-4908" coordsize="10,20" path="m5905,-4889l5915,-4889,5915,-4908,5905,-4908,5905,-4889xe" filled="true" fillcolor="#000000" stroked="false">
                <v:path arrowok="t"/>
                <v:fill type="solid"/>
              </v:shape>
            </v:group>
            <v:group style="position:absolute;left:5905;top:-4889;width:10;height:20" coordorigin="5905,-4889" coordsize="10,20">
              <v:shape style="position:absolute;left:5905;top:-4889;width:10;height:20" coordorigin="5905,-4889" coordsize="10,20" path="m5905,-4870l5915,-4870,5915,-4889,5905,-4889,5905,-4870xe" filled="true" fillcolor="#000000" stroked="false">
                <v:path arrowok="t"/>
                <v:fill type="solid"/>
              </v:shape>
            </v:group>
            <v:group style="position:absolute;left:5905;top:-4870;width:10;height:20" coordorigin="5905,-4870" coordsize="10,20">
              <v:shape style="position:absolute;left:5905;top:-4870;width:10;height:20" coordorigin="5905,-4870" coordsize="10,20" path="m5905,-4851l5915,-4851,5915,-4870,5905,-4870,5905,-4851xe" filled="true" fillcolor="#000000" stroked="false">
                <v:path arrowok="t"/>
                <v:fill type="solid"/>
              </v:shape>
            </v:group>
            <v:group style="position:absolute;left:5905;top:-4851;width:10;height:20" coordorigin="5905,-4851" coordsize="10,20">
              <v:shape style="position:absolute;left:5905;top:-4851;width:10;height:20" coordorigin="5905,-4851" coordsize="10,20" path="m5905,-4831l5915,-4831,5915,-4851,5905,-4851,5905,-4831xe" filled="true" fillcolor="#000000" stroked="false">
                <v:path arrowok="t"/>
                <v:fill type="solid"/>
              </v:shape>
            </v:group>
            <v:group style="position:absolute;left:5905;top:-4831;width:10;height:20" coordorigin="5905,-4831" coordsize="10,20">
              <v:shape style="position:absolute;left:5905;top:-4831;width:10;height:20" coordorigin="5905,-4831" coordsize="10,20" path="m5905,-4812l5915,-4812,5915,-4831,5905,-4831,5905,-4812xe" filled="true" fillcolor="#000000" stroked="false">
                <v:path arrowok="t"/>
                <v:fill type="solid"/>
              </v:shape>
            </v:group>
            <v:group style="position:absolute;left:5905;top:-4812;width:10;height:20" coordorigin="5905,-4812" coordsize="10,20">
              <v:shape style="position:absolute;left:5905;top:-4812;width:10;height:20" coordorigin="5905,-4812" coordsize="10,20" path="m5905,-4793l5915,-4793,5915,-4812,5905,-4812,5905,-4793xe" filled="true" fillcolor="#000000" stroked="false">
                <v:path arrowok="t"/>
                <v:fill type="solid"/>
              </v:shape>
            </v:group>
            <v:group style="position:absolute;left:5905;top:-4793;width:10;height:20" coordorigin="5905,-4793" coordsize="10,20">
              <v:shape style="position:absolute;left:5905;top:-4793;width:10;height:20" coordorigin="5905,-4793" coordsize="10,20" path="m5905,-4774l5915,-4774,5915,-4793,5905,-4793,5905,-4774xe" filled="true" fillcolor="#000000" stroked="false">
                <v:path arrowok="t"/>
                <v:fill type="solid"/>
              </v:shape>
            </v:group>
            <v:group style="position:absolute;left:5905;top:-4774;width:10;height:20" coordorigin="5905,-4774" coordsize="10,20">
              <v:shape style="position:absolute;left:5905;top:-4774;width:10;height:20" coordorigin="5905,-4774" coordsize="10,20" path="m5905,-4755l5915,-4755,5915,-4774,5905,-4774,5905,-4755xe" filled="true" fillcolor="#000000" stroked="false">
                <v:path arrowok="t"/>
                <v:fill type="solid"/>
              </v:shape>
            </v:group>
            <v:group style="position:absolute;left:5905;top:-4755;width:10;height:20" coordorigin="5905,-4755" coordsize="10,20">
              <v:shape style="position:absolute;left:5905;top:-4755;width:10;height:20" coordorigin="5905,-4755" coordsize="10,20" path="m5905,-4735l5915,-4735,5915,-4755,5905,-4755,5905,-4735xe" filled="true" fillcolor="#000000" stroked="false">
                <v:path arrowok="t"/>
                <v:fill type="solid"/>
              </v:shape>
            </v:group>
            <v:group style="position:absolute;left:5905;top:-4735;width:10;height:20" coordorigin="5905,-4735" coordsize="10,20">
              <v:shape style="position:absolute;left:5905;top:-4735;width:10;height:20" coordorigin="5905,-4735" coordsize="10,20" path="m5905,-4716l5915,-4716,5915,-4735,5905,-4735,5905,-4716xe" filled="true" fillcolor="#000000" stroked="false">
                <v:path arrowok="t"/>
                <v:fill type="solid"/>
              </v:shape>
            </v:group>
            <v:group style="position:absolute;left:5905;top:-4716;width:10;height:20" coordorigin="5905,-4716" coordsize="10,20">
              <v:shape style="position:absolute;left:5905;top:-4716;width:10;height:20" coordorigin="5905,-4716" coordsize="10,20" path="m5905,-4697l5915,-4697,5915,-4716,5905,-4716,5905,-4697xe" filled="true" fillcolor="#000000" stroked="false">
                <v:path arrowok="t"/>
                <v:fill type="solid"/>
              </v:shape>
            </v:group>
            <v:group style="position:absolute;left:5905;top:-4697;width:10;height:20" coordorigin="5905,-4697" coordsize="10,20">
              <v:shape style="position:absolute;left:5905;top:-4697;width:10;height:20" coordorigin="5905,-4697" coordsize="10,20" path="m5905,-4678l5915,-4678,5915,-4697,5905,-4697,5905,-4678xe" filled="true" fillcolor="#000000" stroked="false">
                <v:path arrowok="t"/>
                <v:fill type="solid"/>
              </v:shape>
            </v:group>
            <v:group style="position:absolute;left:5905;top:-4678;width:10;height:20" coordorigin="5905,-4678" coordsize="10,20">
              <v:shape style="position:absolute;left:5905;top:-4678;width:10;height:20" coordorigin="5905,-4678" coordsize="10,20" path="m5905,-4659l5915,-4659,5915,-4678,5905,-4678,5905,-4659xe" filled="true" fillcolor="#000000" stroked="false">
                <v:path arrowok="t"/>
                <v:fill type="solid"/>
              </v:shape>
            </v:group>
            <v:group style="position:absolute;left:5905;top:-4659;width:10;height:20" coordorigin="5905,-4659" coordsize="10,20">
              <v:shape style="position:absolute;left:5905;top:-4659;width:10;height:20" coordorigin="5905,-4659" coordsize="10,20" path="m5905,-4639l5915,-4639,5915,-4659,5905,-4659,5905,-4639xe" filled="true" fillcolor="#000000" stroked="false">
                <v:path arrowok="t"/>
                <v:fill type="solid"/>
              </v:shape>
            </v:group>
            <v:group style="position:absolute;left:5905;top:-4639;width:10;height:20" coordorigin="5905,-4639" coordsize="10,20">
              <v:shape style="position:absolute;left:5905;top:-4639;width:10;height:20" coordorigin="5905,-4639" coordsize="10,20" path="m5905,-4620l5915,-4620,5915,-4639,5905,-4639,5905,-4620xe" filled="true" fillcolor="#000000" stroked="false">
                <v:path arrowok="t"/>
                <v:fill type="solid"/>
              </v:shape>
            </v:group>
            <v:group style="position:absolute;left:5905;top:-4620;width:10;height:20" coordorigin="5905,-4620" coordsize="10,20">
              <v:shape style="position:absolute;left:5905;top:-4620;width:10;height:20" coordorigin="5905,-4620" coordsize="10,20" path="m5905,-4601l5915,-4601,5915,-4620,5905,-4620,5905,-4601xe" filled="true" fillcolor="#000000" stroked="false">
                <v:path arrowok="t"/>
                <v:fill type="solid"/>
              </v:shape>
            </v:group>
            <v:group style="position:absolute;left:5905;top:-4601;width:10;height:20" coordorigin="5905,-4601" coordsize="10,20">
              <v:shape style="position:absolute;left:5905;top:-4601;width:10;height:20" coordorigin="5905,-4601" coordsize="10,20" path="m5905,-4582l5915,-4582,5915,-4601,5905,-4601,5905,-4582xe" filled="true" fillcolor="#000000" stroked="false">
                <v:path arrowok="t"/>
                <v:fill type="solid"/>
              </v:shape>
            </v:group>
            <v:group style="position:absolute;left:5905;top:-4582;width:10;height:20" coordorigin="5905,-4582" coordsize="10,20">
              <v:shape style="position:absolute;left:5905;top:-4582;width:10;height:20" coordorigin="5905,-4582" coordsize="10,20" path="m5905,-4563l5915,-4563,5915,-4582,5905,-4582,5905,-4563xe" filled="true" fillcolor="#000000" stroked="false">
                <v:path arrowok="t"/>
                <v:fill type="solid"/>
              </v:shape>
            </v:group>
            <v:group style="position:absolute;left:5905;top:-4563;width:10;height:20" coordorigin="5905,-4563" coordsize="10,20">
              <v:shape style="position:absolute;left:5905;top:-4563;width:10;height:20" coordorigin="5905,-4563" coordsize="10,20" path="m5905,-4543l5915,-4543,5915,-4563,5905,-4563,5905,-4543xe" filled="true" fillcolor="#000000" stroked="false">
                <v:path arrowok="t"/>
                <v:fill type="solid"/>
              </v:shape>
            </v:group>
            <v:group style="position:absolute;left:5905;top:-4543;width:10;height:20" coordorigin="5905,-4543" coordsize="10,20">
              <v:shape style="position:absolute;left:5905;top:-4543;width:10;height:20" coordorigin="5905,-4543" coordsize="10,20" path="m5905,-4524l5915,-4524,5915,-4543,5905,-4543,5905,-4524xe" filled="true" fillcolor="#000000" stroked="false">
                <v:path arrowok="t"/>
                <v:fill type="solid"/>
              </v:shape>
            </v:group>
            <v:group style="position:absolute;left:5905;top:-4524;width:10;height:20" coordorigin="5905,-4524" coordsize="10,20">
              <v:shape style="position:absolute;left:5905;top:-4524;width:10;height:20" coordorigin="5905,-4524" coordsize="10,20" path="m5905,-4505l5915,-4505,5915,-4524,5905,-4524,5905,-4505xe" filled="true" fillcolor="#000000" stroked="false">
                <v:path arrowok="t"/>
                <v:fill type="solid"/>
              </v:shape>
            </v:group>
            <v:group style="position:absolute;left:5905;top:-4505;width:10;height:20" coordorigin="5905,-4505" coordsize="10,20">
              <v:shape style="position:absolute;left:5905;top:-4505;width:10;height:20" coordorigin="5905,-4505" coordsize="10,20" path="m5905,-4486l5915,-4486,5915,-4505,5905,-4505,5905,-4486xe" filled="true" fillcolor="#000000" stroked="false">
                <v:path arrowok="t"/>
                <v:fill type="solid"/>
              </v:shape>
            </v:group>
            <v:group style="position:absolute;left:5905;top:-4486;width:10;height:20" coordorigin="5905,-4486" coordsize="10,20">
              <v:shape style="position:absolute;left:5905;top:-4486;width:10;height:20" coordorigin="5905,-4486" coordsize="10,20" path="m5905,-4467l5915,-4467,5915,-4486,5905,-4486,5905,-4467xe" filled="true" fillcolor="#000000" stroked="false">
                <v:path arrowok="t"/>
                <v:fill type="solid"/>
              </v:shape>
            </v:group>
            <v:group style="position:absolute;left:5905;top:-4467;width:10;height:20" coordorigin="5905,-4467" coordsize="10,20">
              <v:shape style="position:absolute;left:5905;top:-4467;width:10;height:20" coordorigin="5905,-4467" coordsize="10,20" path="m5905,-4447l5915,-4447,5915,-4467,5905,-4467,5905,-4447xe" filled="true" fillcolor="#000000" stroked="false">
                <v:path arrowok="t"/>
                <v:fill type="solid"/>
              </v:shape>
            </v:group>
            <v:group style="position:absolute;left:5905;top:-4447;width:10;height:20" coordorigin="5905,-4447" coordsize="10,20">
              <v:shape style="position:absolute;left:5905;top:-4447;width:10;height:20" coordorigin="5905,-4447" coordsize="10,20" path="m5905,-4428l5915,-4428,5915,-4447,5905,-4447,5905,-4428xe" filled="true" fillcolor="#000000" stroked="false">
                <v:path arrowok="t"/>
                <v:fill type="solid"/>
              </v:shape>
            </v:group>
            <v:group style="position:absolute;left:5905;top:-4428;width:10;height:20" coordorigin="5905,-4428" coordsize="10,20">
              <v:shape style="position:absolute;left:5905;top:-4428;width:10;height:20" coordorigin="5905,-4428" coordsize="10,20" path="m5905,-4409l5915,-4409,5915,-4428,5905,-4428,5905,-4409xe" filled="true" fillcolor="#000000" stroked="false">
                <v:path arrowok="t"/>
                <v:fill type="solid"/>
              </v:shape>
            </v:group>
            <v:group style="position:absolute;left:5905;top:-4409;width:10;height:20" coordorigin="5905,-4409" coordsize="10,20">
              <v:shape style="position:absolute;left:5905;top:-4409;width:10;height:20" coordorigin="5905,-4409" coordsize="10,20" path="m5905,-4390l5915,-4390,5915,-4409,5905,-4409,5905,-4390xe" filled="true" fillcolor="#000000" stroked="false">
                <v:path arrowok="t"/>
                <v:fill type="solid"/>
              </v:shape>
            </v:group>
            <v:group style="position:absolute;left:5905;top:-4390;width:10;height:20" coordorigin="5905,-4390" coordsize="10,20">
              <v:shape style="position:absolute;left:5905;top:-4390;width:10;height:20" coordorigin="5905,-4390" coordsize="10,20" path="m5905,-4371l5915,-4371,5915,-4390,5905,-4390,5905,-4371xe" filled="true" fillcolor="#000000" stroked="false">
                <v:path arrowok="t"/>
                <v:fill type="solid"/>
              </v:shape>
            </v:group>
            <v:group style="position:absolute;left:5905;top:-4371;width:10;height:20" coordorigin="5905,-4371" coordsize="10,20">
              <v:shape style="position:absolute;left:5905;top:-4371;width:10;height:20" coordorigin="5905,-4371" coordsize="10,20" path="m5905,-4351l5915,-4351,5915,-4371,5905,-4371,5905,-4351xe" filled="true" fillcolor="#000000" stroked="false">
                <v:path arrowok="t"/>
                <v:fill type="solid"/>
              </v:shape>
            </v:group>
            <v:group style="position:absolute;left:5905;top:-4351;width:10;height:20" coordorigin="5905,-4351" coordsize="10,20">
              <v:shape style="position:absolute;left:5905;top:-4351;width:10;height:20" coordorigin="5905,-4351" coordsize="10,20" path="m5905,-4332l5915,-4332,5915,-4351,5905,-4351,5905,-4332xe" filled="true" fillcolor="#000000" stroked="false">
                <v:path arrowok="t"/>
                <v:fill type="solid"/>
              </v:shape>
            </v:group>
            <v:group style="position:absolute;left:5905;top:-4332;width:10;height:20" coordorigin="5905,-4332" coordsize="10,20">
              <v:shape style="position:absolute;left:5905;top:-4332;width:10;height:20" coordorigin="5905,-4332" coordsize="10,20" path="m5905,-4313l5915,-4313,5915,-4332,5905,-4332,5905,-4313xe" filled="true" fillcolor="#000000" stroked="false">
                <v:path arrowok="t"/>
                <v:fill type="solid"/>
              </v:shape>
            </v:group>
            <v:group style="position:absolute;left:5905;top:-4313;width:10;height:20" coordorigin="5905,-4313" coordsize="10,20">
              <v:shape style="position:absolute;left:5905;top:-4313;width:10;height:20" coordorigin="5905,-4313" coordsize="10,20" path="m5905,-4294l5915,-4294,5915,-4313,5905,-4313,5905,-4294xe" filled="true" fillcolor="#000000" stroked="false">
                <v:path arrowok="t"/>
                <v:fill type="solid"/>
              </v:shape>
            </v:group>
            <v:group style="position:absolute;left:5905;top:-4294;width:10;height:20" coordorigin="5905,-4294" coordsize="10,20">
              <v:shape style="position:absolute;left:5905;top:-4294;width:10;height:20" coordorigin="5905,-4294" coordsize="10,20" path="m5905,-4275l5915,-4275,5915,-4294,5905,-4294,5905,-4275xe" filled="true" fillcolor="#000000" stroked="false">
                <v:path arrowok="t"/>
                <v:fill type="solid"/>
              </v:shape>
            </v:group>
            <v:group style="position:absolute;left:5905;top:-4275;width:10;height:20" coordorigin="5905,-4275" coordsize="10,20">
              <v:shape style="position:absolute;left:5905;top:-4275;width:10;height:20" coordorigin="5905,-4275" coordsize="10,20" path="m5905,-4255l5915,-4255,5915,-4275,5905,-4275,5905,-4255xe" filled="true" fillcolor="#000000" stroked="false">
                <v:path arrowok="t"/>
                <v:fill type="solid"/>
              </v:shape>
            </v:group>
            <v:group style="position:absolute;left:5905;top:-4255;width:10;height:20" coordorigin="5905,-4255" coordsize="10,20">
              <v:shape style="position:absolute;left:5905;top:-4255;width:10;height:20" coordorigin="5905,-4255" coordsize="10,20" path="m5905,-4236l5915,-4236,5915,-4255,5905,-4255,5905,-4236xe" filled="true" fillcolor="#000000" stroked="false">
                <v:path arrowok="t"/>
                <v:fill type="solid"/>
              </v:shape>
            </v:group>
            <v:group style="position:absolute;left:5905;top:-4236;width:10;height:20" coordorigin="5905,-4236" coordsize="10,20">
              <v:shape style="position:absolute;left:5905;top:-4236;width:10;height:20" coordorigin="5905,-4236" coordsize="10,20" path="m5905,-4217l5915,-4217,5915,-4236,5905,-4236,5905,-4217xe" filled="true" fillcolor="#000000" stroked="false">
                <v:path arrowok="t"/>
                <v:fill type="solid"/>
              </v:shape>
            </v:group>
            <v:group style="position:absolute;left:5905;top:-4217;width:10;height:20" coordorigin="5905,-4217" coordsize="10,20">
              <v:shape style="position:absolute;left:5905;top:-4217;width:10;height:20" coordorigin="5905,-4217" coordsize="10,20" path="m5905,-4198l5915,-4198,5915,-4217,5905,-4217,5905,-4198xe" filled="true" fillcolor="#000000" stroked="false">
                <v:path arrowok="t"/>
                <v:fill type="solid"/>
              </v:shape>
            </v:group>
            <v:group style="position:absolute;left:5905;top:-4198;width:10;height:20" coordorigin="5905,-4198" coordsize="10,20">
              <v:shape style="position:absolute;left:5905;top:-4198;width:10;height:20" coordorigin="5905,-4198" coordsize="10,20" path="m5905,-4179l5915,-4179,5915,-4198,5905,-4198,5905,-4179xe" filled="true" fillcolor="#000000" stroked="false">
                <v:path arrowok="t"/>
                <v:fill type="solid"/>
              </v:shape>
            </v:group>
            <v:group style="position:absolute;left:5905;top:-4179;width:10;height:20" coordorigin="5905,-4179" coordsize="10,20">
              <v:shape style="position:absolute;left:5905;top:-4179;width:10;height:20" coordorigin="5905,-4179" coordsize="10,20" path="m5905,-4159l5915,-4159,5915,-4179,5905,-4179,5905,-4159xe" filled="true" fillcolor="#000000" stroked="false">
                <v:path arrowok="t"/>
                <v:fill type="solid"/>
              </v:shape>
            </v:group>
            <v:group style="position:absolute;left:5905;top:-4159;width:10;height:20" coordorigin="5905,-4159" coordsize="10,20">
              <v:shape style="position:absolute;left:5905;top:-4159;width:10;height:20" coordorigin="5905,-4159" coordsize="10,20" path="m5905,-4140l5915,-4140,5915,-4159,5905,-4159,5905,-4140xe" filled="true" fillcolor="#000000" stroked="false">
                <v:path arrowok="t"/>
                <v:fill type="solid"/>
              </v:shape>
            </v:group>
            <v:group style="position:absolute;left:5905;top:-4140;width:10;height:20" coordorigin="5905,-4140" coordsize="10,20">
              <v:shape style="position:absolute;left:5905;top:-4140;width:10;height:20" coordorigin="5905,-4140" coordsize="10,20" path="m5905,-4121l5915,-4121,5915,-4140,5905,-4140,5905,-4121xe" filled="true" fillcolor="#000000" stroked="false">
                <v:path arrowok="t"/>
                <v:fill type="solid"/>
              </v:shape>
            </v:group>
            <v:group style="position:absolute;left:5905;top:-4121;width:10;height:20" coordorigin="5905,-4121" coordsize="10,20">
              <v:shape style="position:absolute;left:5905;top:-4121;width:10;height:20" coordorigin="5905,-4121" coordsize="10,20" path="m5905,-4102l5915,-4102,5915,-4121,5905,-4121,5905,-4102xe" filled="true" fillcolor="#000000" stroked="false">
                <v:path arrowok="t"/>
                <v:fill type="solid"/>
              </v:shape>
            </v:group>
            <v:group style="position:absolute;left:5905;top:-4102;width:10;height:20" coordorigin="5905,-4102" coordsize="10,20">
              <v:shape style="position:absolute;left:5905;top:-4102;width:10;height:20" coordorigin="5905,-4102" coordsize="10,20" path="m5905,-4083l5915,-4083,5915,-4102,5905,-4102,5905,-4083xe" filled="true" fillcolor="#000000" stroked="false">
                <v:path arrowok="t"/>
                <v:fill type="solid"/>
              </v:shape>
            </v:group>
            <v:group style="position:absolute;left:5905;top:-4083;width:10;height:20" coordorigin="5905,-4083" coordsize="10,20">
              <v:shape style="position:absolute;left:5905;top:-4083;width:10;height:20" coordorigin="5905,-4083" coordsize="10,20" path="m5905,-4063l5915,-4063,5915,-4083,5905,-4083,5905,-4063xe" filled="true" fillcolor="#000000" stroked="false">
                <v:path arrowok="t"/>
                <v:fill type="solid"/>
              </v:shape>
            </v:group>
            <v:group style="position:absolute;left:5905;top:-4063;width:10;height:20" coordorigin="5905,-4063" coordsize="10,20">
              <v:shape style="position:absolute;left:5905;top:-4063;width:10;height:20" coordorigin="5905,-4063" coordsize="10,20" path="m5905,-4044l5915,-4044,5915,-4063,5905,-4063,5905,-4044xe" filled="true" fillcolor="#000000" stroked="false">
                <v:path arrowok="t"/>
                <v:fill type="solid"/>
              </v:shape>
            </v:group>
            <v:group style="position:absolute;left:5905;top:-4044;width:10;height:20" coordorigin="5905,-4044" coordsize="10,20">
              <v:shape style="position:absolute;left:5905;top:-4044;width:10;height:20" coordorigin="5905,-4044" coordsize="10,20" path="m5905,-4025l5915,-4025,5915,-4044,5905,-4044,5905,-4025xe" filled="true" fillcolor="#000000" stroked="false">
                <v:path arrowok="t"/>
                <v:fill type="solid"/>
              </v:shape>
            </v:group>
            <v:group style="position:absolute;left:5905;top:-4025;width:10;height:20" coordorigin="5905,-4025" coordsize="10,20">
              <v:shape style="position:absolute;left:5905;top:-4025;width:10;height:20" coordorigin="5905,-4025" coordsize="10,20" path="m5905,-4006l5915,-4006,5915,-4025,5905,-4025,5905,-4006xe" filled="true" fillcolor="#000000" stroked="false">
                <v:path arrowok="t"/>
                <v:fill type="solid"/>
              </v:shape>
            </v:group>
            <v:group style="position:absolute;left:5905;top:-4006;width:10;height:20" coordorigin="5905,-4006" coordsize="10,20">
              <v:shape style="position:absolute;left:5905;top:-4006;width:10;height:20" coordorigin="5905,-4006" coordsize="10,20" path="m5905,-3987l5915,-3987,5915,-4006,5905,-4006,5905,-3987xe" filled="true" fillcolor="#000000" stroked="false">
                <v:path arrowok="t"/>
                <v:fill type="solid"/>
              </v:shape>
            </v:group>
            <v:group style="position:absolute;left:5905;top:-3987;width:10;height:20" coordorigin="5905,-3987" coordsize="10,20">
              <v:shape style="position:absolute;left:5905;top:-3987;width:10;height:20" coordorigin="5905,-3987" coordsize="10,20" path="m5905,-3967l5915,-3967,5915,-3987,5905,-3987,5905,-3967xe" filled="true" fillcolor="#000000" stroked="false">
                <v:path arrowok="t"/>
                <v:fill type="solid"/>
              </v:shape>
            </v:group>
            <v:group style="position:absolute;left:5905;top:-3967;width:10;height:20" coordorigin="5905,-3967" coordsize="10,20">
              <v:shape style="position:absolute;left:5905;top:-3967;width:10;height:20" coordorigin="5905,-3967" coordsize="10,20" path="m5905,-3948l5915,-3948,5915,-3967,5905,-3967,5905,-3948xe" filled="true" fillcolor="#000000" stroked="false">
                <v:path arrowok="t"/>
                <v:fill type="solid"/>
              </v:shape>
            </v:group>
            <v:group style="position:absolute;left:5905;top:-3948;width:10;height:20" coordorigin="5905,-3948" coordsize="10,20">
              <v:shape style="position:absolute;left:5905;top:-3948;width:10;height:20" coordorigin="5905,-3948" coordsize="10,20" path="m5905,-3929l5915,-3929,5915,-3948,5905,-3948,5905,-3929xe" filled="true" fillcolor="#000000" stroked="false">
                <v:path arrowok="t"/>
                <v:fill type="solid"/>
              </v:shape>
            </v:group>
            <v:group style="position:absolute;left:5905;top:-3929;width:10;height:20" coordorigin="5905,-3929" coordsize="10,20">
              <v:shape style="position:absolute;left:5905;top:-3929;width:10;height:20" coordorigin="5905,-3929" coordsize="10,20" path="m5905,-3910l5915,-3910,5915,-3929,5905,-3929,5905,-3910xe" filled="true" fillcolor="#000000" stroked="false">
                <v:path arrowok="t"/>
                <v:fill type="solid"/>
              </v:shape>
            </v:group>
            <v:group style="position:absolute;left:5905;top:-3910;width:10;height:20" coordorigin="5905,-3910" coordsize="10,20">
              <v:shape style="position:absolute;left:5905;top:-3910;width:10;height:20" coordorigin="5905,-3910" coordsize="10,20" path="m5905,-3891l5915,-3891,5915,-3910,5905,-3910,5905,-3891xe" filled="true" fillcolor="#000000" stroked="false">
                <v:path arrowok="t"/>
                <v:fill type="solid"/>
              </v:shape>
            </v:group>
            <v:group style="position:absolute;left:5905;top:-3886;width:10;height:2" coordorigin="5905,-3886" coordsize="10,2">
              <v:shape style="position:absolute;left:5905;top:-3886;width:10;height:2" coordorigin="5905,-3886" coordsize="10,0" path="m5905,-3886l5915,-3886e" filled="false" stroked="true" strokeweight=".48001pt" strokecolor="#000000">
                <v:path arrowok="t"/>
              </v:shape>
              <v:shape style="position:absolute;left:2405;top:-3881;width:1801;height:10" type="#_x0000_t75" stroked="false">
                <v:imagedata r:id="rId243" o:title=""/>
              </v:shape>
              <v:shape style="position:absolute;left:4201;top:-3881;width:2753;height:10" type="#_x0000_t75" stroked="false">
                <v:imagedata r:id="rId250" o:title=""/>
              </v:shape>
              <v:shape style="position:absolute;left:6949;top:-3881;width:1082;height:10" type="#_x0000_t75" stroked="false">
                <v:imagedata r:id="rId251" o:title=""/>
              </v:shape>
              <v:shape style="position:absolute;left:8027;top:-3881;width:2441;height:10" type="#_x0000_t75" stroked="false">
                <v:imagedata r:id="rId252" o:title=""/>
              </v:shape>
            </v:group>
            <v:group style="position:absolute;left:4206;top:-3871;width:10;height:20" coordorigin="4206,-3871" coordsize="10,20">
              <v:shape style="position:absolute;left:4206;top:-3871;width:10;height:20" coordorigin="4206,-3871" coordsize="10,20" path="m4206,-3852l4215,-3852,4215,-3871,4206,-3871,4206,-3852xe" filled="true" fillcolor="#000000" stroked="false">
                <v:path arrowok="t"/>
                <v:fill type="solid"/>
              </v:shape>
            </v:group>
            <v:group style="position:absolute;left:4206;top:-3852;width:10;height:20" coordorigin="4206,-3852" coordsize="10,20">
              <v:shape style="position:absolute;left:4206;top:-3852;width:10;height:20" coordorigin="4206,-3852" coordsize="10,20" path="m4206,-3833l4215,-3833,4215,-3852,4206,-3852,4206,-3833xe" filled="true" fillcolor="#000000" stroked="false">
                <v:path arrowok="t"/>
                <v:fill type="solid"/>
              </v:shape>
            </v:group>
            <v:group style="position:absolute;left:4206;top:-3833;width:10;height:20" coordorigin="4206,-3833" coordsize="10,20">
              <v:shape style="position:absolute;left:4206;top:-3833;width:10;height:20" coordorigin="4206,-3833" coordsize="10,20" path="m4206,-3814l4215,-3814,4215,-3833,4206,-3833,4206,-3814xe" filled="true" fillcolor="#000000" stroked="false">
                <v:path arrowok="t"/>
                <v:fill type="solid"/>
              </v:shape>
            </v:group>
            <v:group style="position:absolute;left:4206;top:-3814;width:10;height:20" coordorigin="4206,-3814" coordsize="10,20">
              <v:shape style="position:absolute;left:4206;top:-3814;width:10;height:20" coordorigin="4206,-3814" coordsize="10,20" path="m4206,-3795l4215,-3795,4215,-3814,4206,-3814,4206,-3795xe" filled="true" fillcolor="#000000" stroked="false">
                <v:path arrowok="t"/>
                <v:fill type="solid"/>
              </v:shape>
            </v:group>
            <v:group style="position:absolute;left:4206;top:-3795;width:10;height:20" coordorigin="4206,-3795" coordsize="10,20">
              <v:shape style="position:absolute;left:4206;top:-3795;width:10;height:20" coordorigin="4206,-3795" coordsize="10,20" path="m4206,-3775l4215,-3775,4215,-3795,4206,-3795,4206,-3775xe" filled="true" fillcolor="#000000" stroked="false">
                <v:path arrowok="t"/>
                <v:fill type="solid"/>
              </v:shape>
            </v:group>
            <v:group style="position:absolute;left:4206;top:-3775;width:10;height:20" coordorigin="4206,-3775" coordsize="10,20">
              <v:shape style="position:absolute;left:4206;top:-3775;width:10;height:20" coordorigin="4206,-3775" coordsize="10,20" path="m4206,-3756l4215,-3756,4215,-3775,4206,-3775,4206,-3756xe" filled="true" fillcolor="#000000" stroked="false">
                <v:path arrowok="t"/>
                <v:fill type="solid"/>
              </v:shape>
            </v:group>
            <v:group style="position:absolute;left:4206;top:-3756;width:10;height:20" coordorigin="4206,-3756" coordsize="10,20">
              <v:shape style="position:absolute;left:4206;top:-3756;width:10;height:20" coordorigin="4206,-3756" coordsize="10,20" path="m4206,-3737l4215,-3737,4215,-3756,4206,-3756,4206,-3737xe" filled="true" fillcolor="#000000" stroked="false">
                <v:path arrowok="t"/>
                <v:fill type="solid"/>
              </v:shape>
            </v:group>
            <v:group style="position:absolute;left:4206;top:-3737;width:10;height:20" coordorigin="4206,-3737" coordsize="10,20">
              <v:shape style="position:absolute;left:4206;top:-3737;width:10;height:20" coordorigin="4206,-3737" coordsize="10,20" path="m4206,-3718l4215,-3718,4215,-3737,4206,-3737,4206,-3718xe" filled="true" fillcolor="#000000" stroked="false">
                <v:path arrowok="t"/>
                <v:fill type="solid"/>
              </v:shape>
            </v:group>
            <v:group style="position:absolute;left:4206;top:-3718;width:10;height:20" coordorigin="4206,-3718" coordsize="10,20">
              <v:shape style="position:absolute;left:4206;top:-3718;width:10;height:20" coordorigin="4206,-3718" coordsize="10,20" path="m4206,-3699l4215,-3699,4215,-3718,4206,-3718,4206,-3699xe" filled="true" fillcolor="#000000" stroked="false">
                <v:path arrowok="t"/>
                <v:fill type="solid"/>
              </v:shape>
            </v:group>
            <v:group style="position:absolute;left:4206;top:-3699;width:10;height:20" coordorigin="4206,-3699" coordsize="10,20">
              <v:shape style="position:absolute;left:4206;top:-3699;width:10;height:20" coordorigin="4206,-3699" coordsize="10,20" path="m4206,-3679l4215,-3679,4215,-3699,4206,-3699,4206,-3679xe" filled="true" fillcolor="#000000" stroked="false">
                <v:path arrowok="t"/>
                <v:fill type="solid"/>
              </v:shape>
            </v:group>
            <v:group style="position:absolute;left:4206;top:-3679;width:10;height:20" coordorigin="4206,-3679" coordsize="10,20">
              <v:shape style="position:absolute;left:4206;top:-3679;width:10;height:20" coordorigin="4206,-3679" coordsize="10,20" path="m4206,-3660l4215,-3660,4215,-3679,4206,-3679,4206,-3660xe" filled="true" fillcolor="#000000" stroked="false">
                <v:path arrowok="t"/>
                <v:fill type="solid"/>
              </v:shape>
            </v:group>
            <v:group style="position:absolute;left:4206;top:-3660;width:10;height:20" coordorigin="4206,-3660" coordsize="10,20">
              <v:shape style="position:absolute;left:4206;top:-3660;width:10;height:20" coordorigin="4206,-3660" coordsize="10,20" path="m4206,-3641l4215,-3641,4215,-3660,4206,-3660,4206,-3641xe" filled="true" fillcolor="#000000" stroked="false">
                <v:path arrowok="t"/>
                <v:fill type="solid"/>
              </v:shape>
            </v:group>
            <v:group style="position:absolute;left:4206;top:-3641;width:10;height:20" coordorigin="4206,-3641" coordsize="10,20">
              <v:shape style="position:absolute;left:4206;top:-3641;width:10;height:20" coordorigin="4206,-3641" coordsize="10,20" path="m4206,-3622l4215,-3622,4215,-3641,4206,-3641,4206,-3622xe" filled="true" fillcolor="#000000" stroked="false">
                <v:path arrowok="t"/>
                <v:fill type="solid"/>
              </v:shape>
            </v:group>
            <v:group style="position:absolute;left:4206;top:-3622;width:10;height:20" coordorigin="4206,-3622" coordsize="10,20">
              <v:shape style="position:absolute;left:4206;top:-3622;width:10;height:20" coordorigin="4206,-3622" coordsize="10,20" path="m4206,-3603l4215,-3603,4215,-3622,4206,-3622,4206,-3603xe" filled="true" fillcolor="#000000" stroked="false">
                <v:path arrowok="t"/>
                <v:fill type="solid"/>
              </v:shape>
            </v:group>
            <v:group style="position:absolute;left:4206;top:-3603;width:10;height:20" coordorigin="4206,-3603" coordsize="10,20">
              <v:shape style="position:absolute;left:4206;top:-3603;width:10;height:20" coordorigin="4206,-3603" coordsize="10,20" path="m4206,-3583l4215,-3583,4215,-3603,4206,-3603,4206,-3583xe" filled="true" fillcolor="#000000" stroked="false">
                <v:path arrowok="t"/>
                <v:fill type="solid"/>
              </v:shape>
            </v:group>
            <v:group style="position:absolute;left:4206;top:-3583;width:10;height:20" coordorigin="4206,-3583" coordsize="10,20">
              <v:shape style="position:absolute;left:4206;top:-3583;width:10;height:20" coordorigin="4206,-3583" coordsize="10,20" path="m4206,-3564l4215,-3564,4215,-3583,4206,-3583,4206,-3564xe" filled="true" fillcolor="#000000" stroked="false">
                <v:path arrowok="t"/>
                <v:fill type="solid"/>
              </v:shape>
            </v:group>
            <v:group style="position:absolute;left:4206;top:-3564;width:10;height:20" coordorigin="4206,-3564" coordsize="10,20">
              <v:shape style="position:absolute;left:4206;top:-3564;width:10;height:20" coordorigin="4206,-3564" coordsize="10,20" path="m4206,-3545l4215,-3545,4215,-3564,4206,-3564,4206,-3545xe" filled="true" fillcolor="#000000" stroked="false">
                <v:path arrowok="t"/>
                <v:fill type="solid"/>
              </v:shape>
            </v:group>
            <v:group style="position:absolute;left:4206;top:-3545;width:10;height:20" coordorigin="4206,-3545" coordsize="10,20">
              <v:shape style="position:absolute;left:4206;top:-3545;width:10;height:20" coordorigin="4206,-3545" coordsize="10,20" path="m4206,-3526l4215,-3526,4215,-3545,4206,-3545,4206,-3526xe" filled="true" fillcolor="#000000" stroked="false">
                <v:path arrowok="t"/>
                <v:fill type="solid"/>
              </v:shape>
            </v:group>
            <v:group style="position:absolute;left:4206;top:-3526;width:10;height:20" coordorigin="4206,-3526" coordsize="10,20">
              <v:shape style="position:absolute;left:4206;top:-3526;width:10;height:20" coordorigin="4206,-3526" coordsize="10,20" path="m4206,-3507l4215,-3507,4215,-3526,4206,-3526,4206,-3507xe" filled="true" fillcolor="#000000" stroked="false">
                <v:path arrowok="t"/>
                <v:fill type="solid"/>
              </v:shape>
            </v:group>
            <v:group style="position:absolute;left:4206;top:-3507;width:10;height:20" coordorigin="4206,-3507" coordsize="10,20">
              <v:shape style="position:absolute;left:4206;top:-3507;width:10;height:20" coordorigin="4206,-3507" coordsize="10,20" path="m4206,-3487l4215,-3487,4215,-3507,4206,-3507,4206,-3487xe" filled="true" fillcolor="#000000" stroked="false">
                <v:path arrowok="t"/>
                <v:fill type="solid"/>
              </v:shape>
            </v:group>
            <v:group style="position:absolute;left:4206;top:-3487;width:10;height:20" coordorigin="4206,-3487" coordsize="10,20">
              <v:shape style="position:absolute;left:4206;top:-3487;width:10;height:20" coordorigin="4206,-3487" coordsize="10,20" path="m4206,-3468l4215,-3468,4215,-3487,4206,-3487,4206,-3468xe" filled="true" fillcolor="#000000" stroked="false">
                <v:path arrowok="t"/>
                <v:fill type="solid"/>
              </v:shape>
            </v:group>
            <v:group style="position:absolute;left:4206;top:-3468;width:10;height:20" coordorigin="4206,-3468" coordsize="10,20">
              <v:shape style="position:absolute;left:4206;top:-3468;width:10;height:20" coordorigin="4206,-3468" coordsize="10,20" path="m4206,-3449l4215,-3449,4215,-3468,4206,-3468,4206,-3449xe" filled="true" fillcolor="#000000" stroked="false">
                <v:path arrowok="t"/>
                <v:fill type="solid"/>
              </v:shape>
            </v:group>
            <v:group style="position:absolute;left:4206;top:-3449;width:10;height:20" coordorigin="4206,-3449" coordsize="10,20">
              <v:shape style="position:absolute;left:4206;top:-3449;width:10;height:20" coordorigin="4206,-3449" coordsize="10,20" path="m4206,-3430l4215,-3430,4215,-3449,4206,-3449,4206,-3430xe" filled="true" fillcolor="#000000" stroked="false">
                <v:path arrowok="t"/>
                <v:fill type="solid"/>
              </v:shape>
            </v:group>
            <v:group style="position:absolute;left:4206;top:-3430;width:10;height:20" coordorigin="4206,-3430" coordsize="10,20">
              <v:shape style="position:absolute;left:4206;top:-3430;width:10;height:20" coordorigin="4206,-3430" coordsize="10,20" path="m4206,-3411l4215,-3411,4215,-3430,4206,-3430,4206,-3411xe" filled="true" fillcolor="#000000" stroked="false">
                <v:path arrowok="t"/>
                <v:fill type="solid"/>
              </v:shape>
            </v:group>
            <v:group style="position:absolute;left:4206;top:-3411;width:10;height:20" coordorigin="4206,-3411" coordsize="10,20">
              <v:shape style="position:absolute;left:4206;top:-3411;width:10;height:20" coordorigin="4206,-3411" coordsize="10,20" path="m4206,-3391l4215,-3391,4215,-3411,4206,-3411,4206,-3391xe" filled="true" fillcolor="#000000" stroked="false">
                <v:path arrowok="t"/>
                <v:fill type="solid"/>
              </v:shape>
            </v:group>
            <v:group style="position:absolute;left:4206;top:-3391;width:10;height:20" coordorigin="4206,-3391" coordsize="10,20">
              <v:shape style="position:absolute;left:4206;top:-3391;width:10;height:20" coordorigin="4206,-3391" coordsize="10,20" path="m4206,-3372l4215,-3372,4215,-3391,4206,-3391,4206,-3372xe" filled="true" fillcolor="#000000" stroked="false">
                <v:path arrowok="t"/>
                <v:fill type="solid"/>
              </v:shape>
            </v:group>
            <v:group style="position:absolute;left:4206;top:-3372;width:10;height:20" coordorigin="4206,-3372" coordsize="10,20">
              <v:shape style="position:absolute;left:4206;top:-3372;width:10;height:20" coordorigin="4206,-3372" coordsize="10,20" path="m4206,-3353l4215,-3353,4215,-3372,4206,-3372,4206,-3353xe" filled="true" fillcolor="#000000" stroked="false">
                <v:path arrowok="t"/>
                <v:fill type="solid"/>
              </v:shape>
            </v:group>
            <v:group style="position:absolute;left:4206;top:-3353;width:10;height:20" coordorigin="4206,-3353" coordsize="10,20">
              <v:shape style="position:absolute;left:4206;top:-3353;width:10;height:20" coordorigin="4206,-3353" coordsize="10,20" path="m4206,-3334l4215,-3334,4215,-3353,4206,-3353,4206,-3334xe" filled="true" fillcolor="#000000" stroked="false">
                <v:path arrowok="t"/>
                <v:fill type="solid"/>
              </v:shape>
            </v:group>
            <v:group style="position:absolute;left:4206;top:-3334;width:10;height:20" coordorigin="4206,-3334" coordsize="10,20">
              <v:shape style="position:absolute;left:4206;top:-3334;width:10;height:20" coordorigin="4206,-3334" coordsize="10,20" path="m4206,-3315l4215,-3315,4215,-3334,4206,-3334,4206,-3315xe" filled="true" fillcolor="#000000" stroked="false">
                <v:path arrowok="t"/>
                <v:fill type="solid"/>
              </v:shape>
            </v:group>
            <v:group style="position:absolute;left:4206;top:-3315;width:10;height:20" coordorigin="4206,-3315" coordsize="10,20">
              <v:shape style="position:absolute;left:4206;top:-3315;width:10;height:20" coordorigin="4206,-3315" coordsize="10,20" path="m4206,-3295l4215,-3295,4215,-3315,4206,-3315,4206,-3295xe" filled="true" fillcolor="#000000" stroked="false">
                <v:path arrowok="t"/>
                <v:fill type="solid"/>
              </v:shape>
            </v:group>
            <v:group style="position:absolute;left:4206;top:-3295;width:10;height:20" coordorigin="4206,-3295" coordsize="10,20">
              <v:shape style="position:absolute;left:4206;top:-3295;width:10;height:20" coordorigin="4206,-3295" coordsize="10,20" path="m4206,-3276l4215,-3276,4215,-3295,4206,-3295,4206,-3276xe" filled="true" fillcolor="#000000" stroked="false">
                <v:path arrowok="t"/>
                <v:fill type="solid"/>
              </v:shape>
            </v:group>
            <v:group style="position:absolute;left:4206;top:-3276;width:10;height:20" coordorigin="4206,-3276" coordsize="10,20">
              <v:shape style="position:absolute;left:4206;top:-3276;width:10;height:20" coordorigin="4206,-3276" coordsize="10,20" path="m4206,-3257l4215,-3257,4215,-3276,4206,-3276,4206,-3257xe" filled="true" fillcolor="#000000" stroked="false">
                <v:path arrowok="t"/>
                <v:fill type="solid"/>
              </v:shape>
            </v:group>
            <v:group style="position:absolute;left:4206;top:-3257;width:10;height:20" coordorigin="4206,-3257" coordsize="10,20">
              <v:shape style="position:absolute;left:4206;top:-3257;width:10;height:20" coordorigin="4206,-3257" coordsize="10,20" path="m4206,-3238l4215,-3238,4215,-3257,4206,-3257,4206,-3238xe" filled="true" fillcolor="#000000" stroked="false">
                <v:path arrowok="t"/>
                <v:fill type="solid"/>
              </v:shape>
            </v:group>
            <v:group style="position:absolute;left:4206;top:-3238;width:10;height:20" coordorigin="4206,-3238" coordsize="10,20">
              <v:shape style="position:absolute;left:4206;top:-3238;width:10;height:20" coordorigin="4206,-3238" coordsize="10,20" path="m4206,-3219l4215,-3219,4215,-3238,4206,-3238,4206,-3219xe" filled="true" fillcolor="#000000" stroked="false">
                <v:path arrowok="t"/>
                <v:fill type="solid"/>
              </v:shape>
            </v:group>
            <v:group style="position:absolute;left:4206;top:-3219;width:10;height:20" coordorigin="4206,-3219" coordsize="10,20">
              <v:shape style="position:absolute;left:4206;top:-3219;width:10;height:20" coordorigin="4206,-3219" coordsize="10,20" path="m4206,-3199l4215,-3199,4215,-3219,4206,-3219,4206,-3199xe" filled="true" fillcolor="#000000" stroked="false">
                <v:path arrowok="t"/>
                <v:fill type="solid"/>
              </v:shape>
            </v:group>
            <v:group style="position:absolute;left:4206;top:-3199;width:10;height:20" coordorigin="4206,-3199" coordsize="10,20">
              <v:shape style="position:absolute;left:4206;top:-3199;width:10;height:20" coordorigin="4206,-3199" coordsize="10,20" path="m4206,-3180l4215,-3180,4215,-3199,4206,-3199,4206,-3180xe" filled="true" fillcolor="#000000" stroked="false">
                <v:path arrowok="t"/>
                <v:fill type="solid"/>
              </v:shape>
            </v:group>
            <v:group style="position:absolute;left:4206;top:-3180;width:10;height:20" coordorigin="4206,-3180" coordsize="10,20">
              <v:shape style="position:absolute;left:4206;top:-3180;width:10;height:20" coordorigin="4206,-3180" coordsize="10,20" path="m4206,-3161l4215,-3161,4215,-3180,4206,-3180,4206,-3161xe" filled="true" fillcolor="#000000" stroked="false">
                <v:path arrowok="t"/>
                <v:fill type="solid"/>
              </v:shape>
            </v:group>
            <v:group style="position:absolute;left:4206;top:-3161;width:10;height:20" coordorigin="4206,-3161" coordsize="10,20">
              <v:shape style="position:absolute;left:4206;top:-3161;width:10;height:20" coordorigin="4206,-3161" coordsize="10,20" path="m4206,-3142l4215,-3142,4215,-3161,4206,-3161,4206,-3142xe" filled="true" fillcolor="#000000" stroked="false">
                <v:path arrowok="t"/>
                <v:fill type="solid"/>
              </v:shape>
            </v:group>
            <v:group style="position:absolute;left:4206;top:-3142;width:10;height:20" coordorigin="4206,-3142" coordsize="10,20">
              <v:shape style="position:absolute;left:4206;top:-3142;width:10;height:20" coordorigin="4206,-3142" coordsize="10,20" path="m4206,-3123l4215,-3123,4215,-3142,4206,-3142,4206,-3123xe" filled="true" fillcolor="#000000" stroked="false">
                <v:path arrowok="t"/>
                <v:fill type="solid"/>
              </v:shape>
            </v:group>
            <v:group style="position:absolute;left:4206;top:-3123;width:10;height:20" coordorigin="4206,-3123" coordsize="10,20">
              <v:shape style="position:absolute;left:4206;top:-3123;width:10;height:20" coordorigin="4206,-3123" coordsize="10,20" path="m4206,-3103l4215,-3103,4215,-3123,4206,-3123,4206,-3103xe" filled="true" fillcolor="#000000" stroked="false">
                <v:path arrowok="t"/>
                <v:fill type="solid"/>
              </v:shape>
            </v:group>
            <v:group style="position:absolute;left:4206;top:-3103;width:10;height:20" coordorigin="4206,-3103" coordsize="10,20">
              <v:shape style="position:absolute;left:4206;top:-3103;width:10;height:20" coordorigin="4206,-3103" coordsize="10,20" path="m4206,-3084l4215,-3084,4215,-3103,4206,-3103,4206,-3084xe" filled="true" fillcolor="#000000" stroked="false">
                <v:path arrowok="t"/>
                <v:fill type="solid"/>
              </v:shape>
            </v:group>
            <v:group style="position:absolute;left:4206;top:-3084;width:10;height:20" coordorigin="4206,-3084" coordsize="10,20">
              <v:shape style="position:absolute;left:4206;top:-3084;width:10;height:20" coordorigin="4206,-3084" coordsize="10,20" path="m4206,-3065l4215,-3065,4215,-3084,4206,-3084,4206,-3065xe" filled="true" fillcolor="#000000" stroked="false">
                <v:path arrowok="t"/>
                <v:fill type="solid"/>
              </v:shape>
            </v:group>
            <v:group style="position:absolute;left:4206;top:-3065;width:10;height:20" coordorigin="4206,-3065" coordsize="10,20">
              <v:shape style="position:absolute;left:4206;top:-3065;width:10;height:20" coordorigin="4206,-3065" coordsize="10,20" path="m4206,-3046l4215,-3046,4215,-3065,4206,-3065,4206,-3046xe" filled="true" fillcolor="#000000" stroked="false">
                <v:path arrowok="t"/>
                <v:fill type="solid"/>
              </v:shape>
            </v:group>
            <v:group style="position:absolute;left:4206;top:-3046;width:10;height:20" coordorigin="4206,-3046" coordsize="10,20">
              <v:shape style="position:absolute;left:4206;top:-3046;width:10;height:20" coordorigin="4206,-3046" coordsize="10,20" path="m4206,-3027l4215,-3027,4215,-3046,4206,-3046,4206,-3027xe" filled="true" fillcolor="#000000" stroked="false">
                <v:path arrowok="t"/>
                <v:fill type="solid"/>
              </v:shape>
            </v:group>
            <v:group style="position:absolute;left:4206;top:-3027;width:10;height:20" coordorigin="4206,-3027" coordsize="10,20">
              <v:shape style="position:absolute;left:4206;top:-3027;width:10;height:20" coordorigin="4206,-3027" coordsize="10,20" path="m4206,-3007l4215,-3007,4215,-3027,4206,-3027,4206,-3007xe" filled="true" fillcolor="#000000" stroked="false">
                <v:path arrowok="t"/>
                <v:fill type="solid"/>
              </v:shape>
            </v:group>
            <v:group style="position:absolute;left:4206;top:-3007;width:10;height:20" coordorigin="4206,-3007" coordsize="10,20">
              <v:shape style="position:absolute;left:4206;top:-3007;width:10;height:20" coordorigin="4206,-3007" coordsize="10,20" path="m4206,-2988l4215,-2988,4215,-3007,4206,-3007,4206,-2988xe" filled="true" fillcolor="#000000" stroked="false">
                <v:path arrowok="t"/>
                <v:fill type="solid"/>
              </v:shape>
            </v:group>
            <v:group style="position:absolute;left:4206;top:-2988;width:10;height:20" coordorigin="4206,-2988" coordsize="10,20">
              <v:shape style="position:absolute;left:4206;top:-2988;width:10;height:20" coordorigin="4206,-2988" coordsize="10,20" path="m4206,-2969l4215,-2969,4215,-2988,4206,-2988,4206,-2969xe" filled="true" fillcolor="#000000" stroked="false">
                <v:path arrowok="t"/>
                <v:fill type="solid"/>
              </v:shape>
            </v:group>
            <v:group style="position:absolute;left:4206;top:-2969;width:10;height:20" coordorigin="4206,-2969" coordsize="10,20">
              <v:shape style="position:absolute;left:4206;top:-2969;width:10;height:20" coordorigin="4206,-2969" coordsize="10,20" path="m4206,-2950l4215,-2950,4215,-2969,4206,-2969,4206,-2950xe" filled="true" fillcolor="#000000" stroked="false">
                <v:path arrowok="t"/>
                <v:fill type="solid"/>
              </v:shape>
            </v:group>
            <v:group style="position:absolute;left:4206;top:-2950;width:10;height:20" coordorigin="4206,-2950" coordsize="10,20">
              <v:shape style="position:absolute;left:4206;top:-2950;width:10;height:20" coordorigin="4206,-2950" coordsize="10,20" path="m4206,-2931l4215,-2931,4215,-2950,4206,-2950,4206,-2931xe" filled="true" fillcolor="#000000" stroked="false">
                <v:path arrowok="t"/>
                <v:fill type="solid"/>
              </v:shape>
            </v:group>
            <v:group style="position:absolute;left:4206;top:-2931;width:10;height:20" coordorigin="4206,-2931" coordsize="10,20">
              <v:shape style="position:absolute;left:4206;top:-2931;width:10;height:20" coordorigin="4206,-2931" coordsize="10,20" path="m4206,-2911l4215,-2911,4215,-2931,4206,-2931,4206,-2911xe" filled="true" fillcolor="#000000" stroked="false">
                <v:path arrowok="t"/>
                <v:fill type="solid"/>
              </v:shape>
            </v:group>
            <v:group style="position:absolute;left:4206;top:-2911;width:10;height:20" coordorigin="4206,-2911" coordsize="10,20">
              <v:shape style="position:absolute;left:4206;top:-2911;width:10;height:20" coordorigin="4206,-2911" coordsize="10,20" path="m4206,-2892l4215,-2892,4215,-2911,4206,-2911,4206,-2892xe" filled="true" fillcolor="#000000" stroked="false">
                <v:path arrowok="t"/>
                <v:fill type="solid"/>
              </v:shape>
            </v:group>
            <v:group style="position:absolute;left:4206;top:-2892;width:10;height:20" coordorigin="4206,-2892" coordsize="10,20">
              <v:shape style="position:absolute;left:4206;top:-2892;width:10;height:20" coordorigin="4206,-2892" coordsize="10,20" path="m4206,-2873l4215,-2873,4215,-2892,4206,-2892,4206,-2873xe" filled="true" fillcolor="#000000" stroked="false">
                <v:path arrowok="t"/>
                <v:fill type="solid"/>
              </v:shape>
            </v:group>
            <v:group style="position:absolute;left:4206;top:-2873;width:10;height:20" coordorigin="4206,-2873" coordsize="10,20">
              <v:shape style="position:absolute;left:4206;top:-2873;width:10;height:20" coordorigin="4206,-2873" coordsize="10,20" path="m4206,-2854l4215,-2854,4215,-2873,4206,-2873,4206,-2854xe" filled="true" fillcolor="#000000" stroked="false">
                <v:path arrowok="t"/>
                <v:fill type="solid"/>
              </v:shape>
            </v:group>
            <v:group style="position:absolute;left:4206;top:-2854;width:10;height:20" coordorigin="4206,-2854" coordsize="10,20">
              <v:shape style="position:absolute;left:4206;top:-2854;width:10;height:20" coordorigin="4206,-2854" coordsize="10,20" path="m4206,-2835l4215,-2835,4215,-2854,4206,-2854,4206,-2835xe" filled="true" fillcolor="#000000" stroked="false">
                <v:path arrowok="t"/>
                <v:fill type="solid"/>
              </v:shape>
            </v:group>
            <v:group style="position:absolute;left:4206;top:-2835;width:10;height:20" coordorigin="4206,-2835" coordsize="10,20">
              <v:shape style="position:absolute;left:4206;top:-2835;width:10;height:20" coordorigin="4206,-2835" coordsize="10,20" path="m4206,-2815l4215,-2815,4215,-2835,4206,-2835,4206,-2815xe" filled="true" fillcolor="#000000" stroked="false">
                <v:path arrowok="t"/>
                <v:fill type="solid"/>
              </v:shape>
            </v:group>
            <v:group style="position:absolute;left:4206;top:-2815;width:10;height:20" coordorigin="4206,-2815" coordsize="10,20">
              <v:shape style="position:absolute;left:4206;top:-2815;width:10;height:20" coordorigin="4206,-2815" coordsize="10,20" path="m4206,-2796l4215,-2796,4215,-2815,4206,-2815,4206,-2796xe" filled="true" fillcolor="#000000" stroked="false">
                <v:path arrowok="t"/>
                <v:fill type="solid"/>
              </v:shape>
            </v:group>
            <v:group style="position:absolute;left:4206;top:-2796;width:10;height:20" coordorigin="4206,-2796" coordsize="10,20">
              <v:shape style="position:absolute;left:4206;top:-2796;width:10;height:20" coordorigin="4206,-2796" coordsize="10,20" path="m4206,-2777l4215,-2777,4215,-2796,4206,-2796,4206,-2777xe" filled="true" fillcolor="#000000" stroked="false">
                <v:path arrowok="t"/>
                <v:fill type="solid"/>
              </v:shape>
            </v:group>
            <v:group style="position:absolute;left:4206;top:-2777;width:10;height:20" coordorigin="4206,-2777" coordsize="10,20">
              <v:shape style="position:absolute;left:4206;top:-2777;width:10;height:20" coordorigin="4206,-2777" coordsize="10,20" path="m4206,-2758l4215,-2758,4215,-2777,4206,-2777,4206,-2758xe" filled="true" fillcolor="#000000" stroked="false">
                <v:path arrowok="t"/>
                <v:fill type="solid"/>
              </v:shape>
            </v:group>
            <v:group style="position:absolute;left:4206;top:-2758;width:10;height:20" coordorigin="4206,-2758" coordsize="10,20">
              <v:shape style="position:absolute;left:4206;top:-2758;width:10;height:20" coordorigin="4206,-2758" coordsize="10,20" path="m4206,-2739l4215,-2739,4215,-2758,4206,-2758,4206,-2739xe" filled="true" fillcolor="#000000" stroked="false">
                <v:path arrowok="t"/>
                <v:fill type="solid"/>
              </v:shape>
            </v:group>
            <v:group style="position:absolute;left:4206;top:-2739;width:10;height:20" coordorigin="4206,-2739" coordsize="10,20">
              <v:shape style="position:absolute;left:4206;top:-2739;width:10;height:20" coordorigin="4206,-2739" coordsize="10,20" path="m4206,-2719l4215,-2719,4215,-2739,4206,-2739,4206,-2719xe" filled="true" fillcolor="#000000" stroked="false">
                <v:path arrowok="t"/>
                <v:fill type="solid"/>
              </v:shape>
            </v:group>
            <v:group style="position:absolute;left:4206;top:-2719;width:10;height:20" coordorigin="4206,-2719" coordsize="10,20">
              <v:shape style="position:absolute;left:4206;top:-2719;width:10;height:20" coordorigin="4206,-2719" coordsize="10,20" path="m4206,-2700l4215,-2700,4215,-2719,4206,-2719,4206,-2700xe" filled="true" fillcolor="#000000" stroked="false">
                <v:path arrowok="t"/>
                <v:fill type="solid"/>
              </v:shape>
            </v:group>
            <v:group style="position:absolute;left:4206;top:-2700;width:10;height:20" coordorigin="4206,-2700" coordsize="10,20">
              <v:shape style="position:absolute;left:4206;top:-2700;width:10;height:20" coordorigin="4206,-2700" coordsize="10,20" path="m4206,-2681l4215,-2681,4215,-2700,4206,-2700,4206,-2681xe" filled="true" fillcolor="#000000" stroked="false">
                <v:path arrowok="t"/>
                <v:fill type="solid"/>
              </v:shape>
            </v:group>
            <v:group style="position:absolute;left:4206;top:-2676;width:10;height:2" coordorigin="4206,-2676" coordsize="10,2">
              <v:shape style="position:absolute;left:4206;top:-2676;width:10;height:2" coordorigin="4206,-2676" coordsize="10,0" path="m4206,-2676l4215,-2676e" filled="false" stroked="true" strokeweight=".48004pt" strokecolor="#000000">
                <v:path arrowok="t"/>
              </v:shape>
            </v:group>
            <v:group style="position:absolute;left:5905;top:-3871;width:10;height:20" coordorigin="5905,-3871" coordsize="10,20">
              <v:shape style="position:absolute;left:5905;top:-3871;width:10;height:20" coordorigin="5905,-3871" coordsize="10,20" path="m5905,-3852l5915,-3852,5915,-3871,5905,-3871,5905,-3852xe" filled="true" fillcolor="#000000" stroked="false">
                <v:path arrowok="t"/>
                <v:fill type="solid"/>
              </v:shape>
            </v:group>
            <v:group style="position:absolute;left:5905;top:-3852;width:10;height:20" coordorigin="5905,-3852" coordsize="10,20">
              <v:shape style="position:absolute;left:5905;top:-3852;width:10;height:20" coordorigin="5905,-3852" coordsize="10,20" path="m5905,-3833l5915,-3833,5915,-3852,5905,-3852,5905,-3833xe" filled="true" fillcolor="#000000" stroked="false">
                <v:path arrowok="t"/>
                <v:fill type="solid"/>
              </v:shape>
            </v:group>
            <v:group style="position:absolute;left:5905;top:-3833;width:10;height:20" coordorigin="5905,-3833" coordsize="10,20">
              <v:shape style="position:absolute;left:5905;top:-3833;width:10;height:20" coordorigin="5905,-3833" coordsize="10,20" path="m5905,-3814l5915,-3814,5915,-3833,5905,-3833,5905,-3814xe" filled="true" fillcolor="#000000" stroked="false">
                <v:path arrowok="t"/>
                <v:fill type="solid"/>
              </v:shape>
            </v:group>
            <v:group style="position:absolute;left:5905;top:-3814;width:10;height:20" coordorigin="5905,-3814" coordsize="10,20">
              <v:shape style="position:absolute;left:5905;top:-3814;width:10;height:20" coordorigin="5905,-3814" coordsize="10,20" path="m5905,-3795l5915,-3795,5915,-3814,5905,-3814,5905,-3795xe" filled="true" fillcolor="#000000" stroked="false">
                <v:path arrowok="t"/>
                <v:fill type="solid"/>
              </v:shape>
            </v:group>
            <v:group style="position:absolute;left:5905;top:-3795;width:10;height:20" coordorigin="5905,-3795" coordsize="10,20">
              <v:shape style="position:absolute;left:5905;top:-3795;width:10;height:20" coordorigin="5905,-3795" coordsize="10,20" path="m5905,-3775l5915,-3775,5915,-3795,5905,-3795,5905,-3775xe" filled="true" fillcolor="#000000" stroked="false">
                <v:path arrowok="t"/>
                <v:fill type="solid"/>
              </v:shape>
            </v:group>
            <v:group style="position:absolute;left:5905;top:-3775;width:10;height:20" coordorigin="5905,-3775" coordsize="10,20">
              <v:shape style="position:absolute;left:5905;top:-3775;width:10;height:20" coordorigin="5905,-3775" coordsize="10,20" path="m5905,-3756l5915,-3756,5915,-3775,5905,-3775,5905,-3756xe" filled="true" fillcolor="#000000" stroked="false">
                <v:path arrowok="t"/>
                <v:fill type="solid"/>
              </v:shape>
            </v:group>
            <v:group style="position:absolute;left:5905;top:-3756;width:10;height:20" coordorigin="5905,-3756" coordsize="10,20">
              <v:shape style="position:absolute;left:5905;top:-3756;width:10;height:20" coordorigin="5905,-3756" coordsize="10,20" path="m5905,-3737l5915,-3737,5915,-3756,5905,-3756,5905,-3737xe" filled="true" fillcolor="#000000" stroked="false">
                <v:path arrowok="t"/>
                <v:fill type="solid"/>
              </v:shape>
            </v:group>
            <v:group style="position:absolute;left:5905;top:-3737;width:10;height:20" coordorigin="5905,-3737" coordsize="10,20">
              <v:shape style="position:absolute;left:5905;top:-3737;width:10;height:20" coordorigin="5905,-3737" coordsize="10,20" path="m5905,-3718l5915,-3718,5915,-3737,5905,-3737,5905,-3718xe" filled="true" fillcolor="#000000" stroked="false">
                <v:path arrowok="t"/>
                <v:fill type="solid"/>
              </v:shape>
            </v:group>
            <v:group style="position:absolute;left:5905;top:-3718;width:10;height:20" coordorigin="5905,-3718" coordsize="10,20">
              <v:shape style="position:absolute;left:5905;top:-3718;width:10;height:20" coordorigin="5905,-3718" coordsize="10,20" path="m5905,-3699l5915,-3699,5915,-3718,5905,-3718,5905,-3699xe" filled="true" fillcolor="#000000" stroked="false">
                <v:path arrowok="t"/>
                <v:fill type="solid"/>
              </v:shape>
            </v:group>
            <v:group style="position:absolute;left:5905;top:-3699;width:10;height:20" coordorigin="5905,-3699" coordsize="10,20">
              <v:shape style="position:absolute;left:5905;top:-3699;width:10;height:20" coordorigin="5905,-3699" coordsize="10,20" path="m5905,-3679l5915,-3679,5915,-3699,5905,-3699,5905,-3679xe" filled="true" fillcolor="#000000" stroked="false">
                <v:path arrowok="t"/>
                <v:fill type="solid"/>
              </v:shape>
            </v:group>
            <v:group style="position:absolute;left:5905;top:-3679;width:10;height:20" coordorigin="5905,-3679" coordsize="10,20">
              <v:shape style="position:absolute;left:5905;top:-3679;width:10;height:20" coordorigin="5905,-3679" coordsize="10,20" path="m5905,-3660l5915,-3660,5915,-3679,5905,-3679,5905,-3660xe" filled="true" fillcolor="#000000" stroked="false">
                <v:path arrowok="t"/>
                <v:fill type="solid"/>
              </v:shape>
            </v:group>
            <v:group style="position:absolute;left:5905;top:-3660;width:10;height:20" coordorigin="5905,-3660" coordsize="10,20">
              <v:shape style="position:absolute;left:5905;top:-3660;width:10;height:20" coordorigin="5905,-3660" coordsize="10,20" path="m5905,-3641l5915,-3641,5915,-3660,5905,-3660,5905,-3641xe" filled="true" fillcolor="#000000" stroked="false">
                <v:path arrowok="t"/>
                <v:fill type="solid"/>
              </v:shape>
            </v:group>
            <v:group style="position:absolute;left:5905;top:-3641;width:10;height:20" coordorigin="5905,-3641" coordsize="10,20">
              <v:shape style="position:absolute;left:5905;top:-3641;width:10;height:20" coordorigin="5905,-3641" coordsize="10,20" path="m5905,-3622l5915,-3622,5915,-3641,5905,-3641,5905,-3622xe" filled="true" fillcolor="#000000" stroked="false">
                <v:path arrowok="t"/>
                <v:fill type="solid"/>
              </v:shape>
            </v:group>
            <v:group style="position:absolute;left:5905;top:-3622;width:10;height:20" coordorigin="5905,-3622" coordsize="10,20">
              <v:shape style="position:absolute;left:5905;top:-3622;width:10;height:20" coordorigin="5905,-3622" coordsize="10,20" path="m5905,-3603l5915,-3603,5915,-3622,5905,-3622,5905,-3603xe" filled="true" fillcolor="#000000" stroked="false">
                <v:path arrowok="t"/>
                <v:fill type="solid"/>
              </v:shape>
            </v:group>
            <v:group style="position:absolute;left:5905;top:-3603;width:10;height:20" coordorigin="5905,-3603" coordsize="10,20">
              <v:shape style="position:absolute;left:5905;top:-3603;width:10;height:20" coordorigin="5905,-3603" coordsize="10,20" path="m5905,-3583l5915,-3583,5915,-3603,5905,-3603,5905,-3583xe" filled="true" fillcolor="#000000" stroked="false">
                <v:path arrowok="t"/>
                <v:fill type="solid"/>
              </v:shape>
            </v:group>
            <v:group style="position:absolute;left:5905;top:-3583;width:10;height:20" coordorigin="5905,-3583" coordsize="10,20">
              <v:shape style="position:absolute;left:5905;top:-3583;width:10;height:20" coordorigin="5905,-3583" coordsize="10,20" path="m5905,-3564l5915,-3564,5915,-3583,5905,-3583,5905,-3564xe" filled="true" fillcolor="#000000" stroked="false">
                <v:path arrowok="t"/>
                <v:fill type="solid"/>
              </v:shape>
            </v:group>
            <v:group style="position:absolute;left:5905;top:-3564;width:10;height:20" coordorigin="5905,-3564" coordsize="10,20">
              <v:shape style="position:absolute;left:5905;top:-3564;width:10;height:20" coordorigin="5905,-3564" coordsize="10,20" path="m5905,-3545l5915,-3545,5915,-3564,5905,-3564,5905,-3545xe" filled="true" fillcolor="#000000" stroked="false">
                <v:path arrowok="t"/>
                <v:fill type="solid"/>
              </v:shape>
            </v:group>
            <v:group style="position:absolute;left:5905;top:-3545;width:10;height:20" coordorigin="5905,-3545" coordsize="10,20">
              <v:shape style="position:absolute;left:5905;top:-3545;width:10;height:20" coordorigin="5905,-3545" coordsize="10,20" path="m5905,-3526l5915,-3526,5915,-3545,5905,-3545,5905,-3526xe" filled="true" fillcolor="#000000" stroked="false">
                <v:path arrowok="t"/>
                <v:fill type="solid"/>
              </v:shape>
            </v:group>
            <v:group style="position:absolute;left:5905;top:-3526;width:10;height:20" coordorigin="5905,-3526" coordsize="10,20">
              <v:shape style="position:absolute;left:5905;top:-3526;width:10;height:20" coordorigin="5905,-3526" coordsize="10,20" path="m5905,-3507l5915,-3507,5915,-3526,5905,-3526,5905,-3507xe" filled="true" fillcolor="#000000" stroked="false">
                <v:path arrowok="t"/>
                <v:fill type="solid"/>
              </v:shape>
            </v:group>
            <v:group style="position:absolute;left:5905;top:-3507;width:10;height:20" coordorigin="5905,-3507" coordsize="10,20">
              <v:shape style="position:absolute;left:5905;top:-3507;width:10;height:20" coordorigin="5905,-3507" coordsize="10,20" path="m5905,-3487l5915,-3487,5915,-3507,5905,-3507,5905,-3487xe" filled="true" fillcolor="#000000" stroked="false">
                <v:path arrowok="t"/>
                <v:fill type="solid"/>
              </v:shape>
            </v:group>
            <v:group style="position:absolute;left:5905;top:-3487;width:10;height:20" coordorigin="5905,-3487" coordsize="10,20">
              <v:shape style="position:absolute;left:5905;top:-3487;width:10;height:20" coordorigin="5905,-3487" coordsize="10,20" path="m5905,-3468l5915,-3468,5915,-3487,5905,-3487,5905,-3468xe" filled="true" fillcolor="#000000" stroked="false">
                <v:path arrowok="t"/>
                <v:fill type="solid"/>
              </v:shape>
            </v:group>
            <v:group style="position:absolute;left:5905;top:-3468;width:10;height:20" coordorigin="5905,-3468" coordsize="10,20">
              <v:shape style="position:absolute;left:5905;top:-3468;width:10;height:20" coordorigin="5905,-3468" coordsize="10,20" path="m5905,-3449l5915,-3449,5915,-3468,5905,-3468,5905,-3449xe" filled="true" fillcolor="#000000" stroked="false">
                <v:path arrowok="t"/>
                <v:fill type="solid"/>
              </v:shape>
            </v:group>
            <v:group style="position:absolute;left:5905;top:-3449;width:10;height:20" coordorigin="5905,-3449" coordsize="10,20">
              <v:shape style="position:absolute;left:5905;top:-3449;width:10;height:20" coordorigin="5905,-3449" coordsize="10,20" path="m5905,-3430l5915,-3430,5915,-3449,5905,-3449,5905,-3430xe" filled="true" fillcolor="#000000" stroked="false">
                <v:path arrowok="t"/>
                <v:fill type="solid"/>
              </v:shape>
            </v:group>
            <v:group style="position:absolute;left:5905;top:-3430;width:10;height:20" coordorigin="5905,-3430" coordsize="10,20">
              <v:shape style="position:absolute;left:5905;top:-3430;width:10;height:20" coordorigin="5905,-3430" coordsize="10,20" path="m5905,-3411l5915,-3411,5915,-3430,5905,-3430,5905,-3411xe" filled="true" fillcolor="#000000" stroked="false">
                <v:path arrowok="t"/>
                <v:fill type="solid"/>
              </v:shape>
            </v:group>
            <v:group style="position:absolute;left:5905;top:-3411;width:10;height:20" coordorigin="5905,-3411" coordsize="10,20">
              <v:shape style="position:absolute;left:5905;top:-3411;width:10;height:20" coordorigin="5905,-3411" coordsize="10,20" path="m5905,-3391l5915,-3391,5915,-3411,5905,-3411,5905,-3391xe" filled="true" fillcolor="#000000" stroked="false">
                <v:path arrowok="t"/>
                <v:fill type="solid"/>
              </v:shape>
            </v:group>
            <v:group style="position:absolute;left:5905;top:-3391;width:10;height:20" coordorigin="5905,-3391" coordsize="10,20">
              <v:shape style="position:absolute;left:5905;top:-3391;width:10;height:20" coordorigin="5905,-3391" coordsize="10,20" path="m5905,-3372l5915,-3372,5915,-3391,5905,-3391,5905,-3372xe" filled="true" fillcolor="#000000" stroked="false">
                <v:path arrowok="t"/>
                <v:fill type="solid"/>
              </v:shape>
            </v:group>
            <v:group style="position:absolute;left:5905;top:-3372;width:10;height:20" coordorigin="5905,-3372" coordsize="10,20">
              <v:shape style="position:absolute;left:5905;top:-3372;width:10;height:20" coordorigin="5905,-3372" coordsize="10,20" path="m5905,-3353l5915,-3353,5915,-3372,5905,-3372,5905,-3353xe" filled="true" fillcolor="#000000" stroked="false">
                <v:path arrowok="t"/>
                <v:fill type="solid"/>
              </v:shape>
            </v:group>
            <v:group style="position:absolute;left:5905;top:-3353;width:10;height:20" coordorigin="5905,-3353" coordsize="10,20">
              <v:shape style="position:absolute;left:5905;top:-3353;width:10;height:20" coordorigin="5905,-3353" coordsize="10,20" path="m5905,-3334l5915,-3334,5915,-3353,5905,-3353,5905,-3334xe" filled="true" fillcolor="#000000" stroked="false">
                <v:path arrowok="t"/>
                <v:fill type="solid"/>
              </v:shape>
            </v:group>
            <v:group style="position:absolute;left:5905;top:-3334;width:10;height:20" coordorigin="5905,-3334" coordsize="10,20">
              <v:shape style="position:absolute;left:5905;top:-3334;width:10;height:20" coordorigin="5905,-3334" coordsize="10,20" path="m5905,-3315l5915,-3315,5915,-3334,5905,-3334,5905,-3315xe" filled="true" fillcolor="#000000" stroked="false">
                <v:path arrowok="t"/>
                <v:fill type="solid"/>
              </v:shape>
            </v:group>
            <v:group style="position:absolute;left:5905;top:-3315;width:10;height:20" coordorigin="5905,-3315" coordsize="10,20">
              <v:shape style="position:absolute;left:5905;top:-3315;width:10;height:20" coordorigin="5905,-3315" coordsize="10,20" path="m5905,-3295l5915,-3295,5915,-3315,5905,-3315,5905,-3295xe" filled="true" fillcolor="#000000" stroked="false">
                <v:path arrowok="t"/>
                <v:fill type="solid"/>
              </v:shape>
            </v:group>
            <v:group style="position:absolute;left:5905;top:-3295;width:10;height:20" coordorigin="5905,-3295" coordsize="10,20">
              <v:shape style="position:absolute;left:5905;top:-3295;width:10;height:20" coordorigin="5905,-3295" coordsize="10,20" path="m5905,-3276l5915,-3276,5915,-3295,5905,-3295,5905,-3276xe" filled="true" fillcolor="#000000" stroked="false">
                <v:path arrowok="t"/>
                <v:fill type="solid"/>
              </v:shape>
            </v:group>
            <v:group style="position:absolute;left:5905;top:-3276;width:10;height:20" coordorigin="5905,-3276" coordsize="10,20">
              <v:shape style="position:absolute;left:5905;top:-3276;width:10;height:20" coordorigin="5905,-3276" coordsize="10,20" path="m5905,-3257l5915,-3257,5915,-3276,5905,-3276,5905,-3257xe" filled="true" fillcolor="#000000" stroked="false">
                <v:path arrowok="t"/>
                <v:fill type="solid"/>
              </v:shape>
            </v:group>
            <v:group style="position:absolute;left:5905;top:-3257;width:10;height:20" coordorigin="5905,-3257" coordsize="10,20">
              <v:shape style="position:absolute;left:5905;top:-3257;width:10;height:20" coordorigin="5905,-3257" coordsize="10,20" path="m5905,-3238l5915,-3238,5915,-3257,5905,-3257,5905,-3238xe" filled="true" fillcolor="#000000" stroked="false">
                <v:path arrowok="t"/>
                <v:fill type="solid"/>
              </v:shape>
            </v:group>
            <v:group style="position:absolute;left:5905;top:-3238;width:10;height:20" coordorigin="5905,-3238" coordsize="10,20">
              <v:shape style="position:absolute;left:5905;top:-3238;width:10;height:20" coordorigin="5905,-3238" coordsize="10,20" path="m5905,-3219l5915,-3219,5915,-3238,5905,-3238,5905,-3219xe" filled="true" fillcolor="#000000" stroked="false">
                <v:path arrowok="t"/>
                <v:fill type="solid"/>
              </v:shape>
            </v:group>
            <v:group style="position:absolute;left:5905;top:-3219;width:10;height:20" coordorigin="5905,-3219" coordsize="10,20">
              <v:shape style="position:absolute;left:5905;top:-3219;width:10;height:20" coordorigin="5905,-3219" coordsize="10,20" path="m5905,-3199l5915,-3199,5915,-3219,5905,-3219,5905,-3199xe" filled="true" fillcolor="#000000" stroked="false">
                <v:path arrowok="t"/>
                <v:fill type="solid"/>
              </v:shape>
            </v:group>
            <v:group style="position:absolute;left:5905;top:-3199;width:10;height:20" coordorigin="5905,-3199" coordsize="10,20">
              <v:shape style="position:absolute;left:5905;top:-3199;width:10;height:20" coordorigin="5905,-3199" coordsize="10,20" path="m5905,-3180l5915,-3180,5915,-3199,5905,-3199,5905,-3180xe" filled="true" fillcolor="#000000" stroked="false">
                <v:path arrowok="t"/>
                <v:fill type="solid"/>
              </v:shape>
            </v:group>
            <v:group style="position:absolute;left:5905;top:-3180;width:10;height:20" coordorigin="5905,-3180" coordsize="10,20">
              <v:shape style="position:absolute;left:5905;top:-3180;width:10;height:20" coordorigin="5905,-3180" coordsize="10,20" path="m5905,-3161l5915,-3161,5915,-3180,5905,-3180,5905,-3161xe" filled="true" fillcolor="#000000" stroked="false">
                <v:path arrowok="t"/>
                <v:fill type="solid"/>
              </v:shape>
            </v:group>
            <v:group style="position:absolute;left:5905;top:-3161;width:10;height:20" coordorigin="5905,-3161" coordsize="10,20">
              <v:shape style="position:absolute;left:5905;top:-3161;width:10;height:20" coordorigin="5905,-3161" coordsize="10,20" path="m5905,-3142l5915,-3142,5915,-3161,5905,-3161,5905,-3142xe" filled="true" fillcolor="#000000" stroked="false">
                <v:path arrowok="t"/>
                <v:fill type="solid"/>
              </v:shape>
            </v:group>
            <v:group style="position:absolute;left:5905;top:-3142;width:10;height:20" coordorigin="5905,-3142" coordsize="10,20">
              <v:shape style="position:absolute;left:5905;top:-3142;width:10;height:20" coordorigin="5905,-3142" coordsize="10,20" path="m5905,-3123l5915,-3123,5915,-3142,5905,-3142,5905,-3123xe" filled="true" fillcolor="#000000" stroked="false">
                <v:path arrowok="t"/>
                <v:fill type="solid"/>
              </v:shape>
            </v:group>
            <v:group style="position:absolute;left:5905;top:-3123;width:10;height:20" coordorigin="5905,-3123" coordsize="10,20">
              <v:shape style="position:absolute;left:5905;top:-3123;width:10;height:20" coordorigin="5905,-3123" coordsize="10,20" path="m5905,-3103l5915,-3103,5915,-3123,5905,-3123,5905,-3103xe" filled="true" fillcolor="#000000" stroked="false">
                <v:path arrowok="t"/>
                <v:fill type="solid"/>
              </v:shape>
            </v:group>
            <v:group style="position:absolute;left:5905;top:-3103;width:10;height:20" coordorigin="5905,-3103" coordsize="10,20">
              <v:shape style="position:absolute;left:5905;top:-3103;width:10;height:20" coordorigin="5905,-3103" coordsize="10,20" path="m5905,-3084l5915,-3084,5915,-3103,5905,-3103,5905,-3084xe" filled="true" fillcolor="#000000" stroked="false">
                <v:path arrowok="t"/>
                <v:fill type="solid"/>
              </v:shape>
            </v:group>
            <v:group style="position:absolute;left:5905;top:-3084;width:10;height:20" coordorigin="5905,-3084" coordsize="10,20">
              <v:shape style="position:absolute;left:5905;top:-3084;width:10;height:20" coordorigin="5905,-3084" coordsize="10,20" path="m5905,-3065l5915,-3065,5915,-3084,5905,-3084,5905,-3065xe" filled="true" fillcolor="#000000" stroked="false">
                <v:path arrowok="t"/>
                <v:fill type="solid"/>
              </v:shape>
            </v:group>
            <v:group style="position:absolute;left:5905;top:-3065;width:10;height:20" coordorigin="5905,-3065" coordsize="10,20">
              <v:shape style="position:absolute;left:5905;top:-3065;width:10;height:20" coordorigin="5905,-3065" coordsize="10,20" path="m5905,-3046l5915,-3046,5915,-3065,5905,-3065,5905,-3046xe" filled="true" fillcolor="#000000" stroked="false">
                <v:path arrowok="t"/>
                <v:fill type="solid"/>
              </v:shape>
            </v:group>
            <v:group style="position:absolute;left:5905;top:-3046;width:10;height:20" coordorigin="5905,-3046" coordsize="10,20">
              <v:shape style="position:absolute;left:5905;top:-3046;width:10;height:20" coordorigin="5905,-3046" coordsize="10,20" path="m5905,-3027l5915,-3027,5915,-3046,5905,-3046,5905,-3027xe" filled="true" fillcolor="#000000" stroked="false">
                <v:path arrowok="t"/>
                <v:fill type="solid"/>
              </v:shape>
            </v:group>
            <v:group style="position:absolute;left:5905;top:-3027;width:10;height:20" coordorigin="5905,-3027" coordsize="10,20">
              <v:shape style="position:absolute;left:5905;top:-3027;width:10;height:20" coordorigin="5905,-3027" coordsize="10,20" path="m5905,-3007l5915,-3007,5915,-3027,5905,-3027,5905,-3007xe" filled="true" fillcolor="#000000" stroked="false">
                <v:path arrowok="t"/>
                <v:fill type="solid"/>
              </v:shape>
            </v:group>
            <v:group style="position:absolute;left:5905;top:-3007;width:10;height:20" coordorigin="5905,-3007" coordsize="10,20">
              <v:shape style="position:absolute;left:5905;top:-3007;width:10;height:20" coordorigin="5905,-3007" coordsize="10,20" path="m5905,-2988l5915,-2988,5915,-3007,5905,-3007,5905,-2988xe" filled="true" fillcolor="#000000" stroked="false">
                <v:path arrowok="t"/>
                <v:fill type="solid"/>
              </v:shape>
            </v:group>
            <v:group style="position:absolute;left:5905;top:-2988;width:10;height:20" coordorigin="5905,-2988" coordsize="10,20">
              <v:shape style="position:absolute;left:5905;top:-2988;width:10;height:20" coordorigin="5905,-2988" coordsize="10,20" path="m5905,-2969l5915,-2969,5915,-2988,5905,-2988,5905,-2969xe" filled="true" fillcolor="#000000" stroked="false">
                <v:path arrowok="t"/>
                <v:fill type="solid"/>
              </v:shape>
            </v:group>
            <v:group style="position:absolute;left:5905;top:-2969;width:10;height:20" coordorigin="5905,-2969" coordsize="10,20">
              <v:shape style="position:absolute;left:5905;top:-2969;width:10;height:20" coordorigin="5905,-2969" coordsize="10,20" path="m5905,-2950l5915,-2950,5915,-2969,5905,-2969,5905,-2950xe" filled="true" fillcolor="#000000" stroked="false">
                <v:path arrowok="t"/>
                <v:fill type="solid"/>
              </v:shape>
            </v:group>
            <v:group style="position:absolute;left:5905;top:-2950;width:10;height:20" coordorigin="5905,-2950" coordsize="10,20">
              <v:shape style="position:absolute;left:5905;top:-2950;width:10;height:20" coordorigin="5905,-2950" coordsize="10,20" path="m5905,-2931l5915,-2931,5915,-2950,5905,-2950,5905,-2931xe" filled="true" fillcolor="#000000" stroked="false">
                <v:path arrowok="t"/>
                <v:fill type="solid"/>
              </v:shape>
            </v:group>
            <v:group style="position:absolute;left:5905;top:-2931;width:10;height:20" coordorigin="5905,-2931" coordsize="10,20">
              <v:shape style="position:absolute;left:5905;top:-2931;width:10;height:20" coordorigin="5905,-2931" coordsize="10,20" path="m5905,-2911l5915,-2911,5915,-2931,5905,-2931,5905,-2911xe" filled="true" fillcolor="#000000" stroked="false">
                <v:path arrowok="t"/>
                <v:fill type="solid"/>
              </v:shape>
            </v:group>
            <v:group style="position:absolute;left:5905;top:-2911;width:10;height:20" coordorigin="5905,-2911" coordsize="10,20">
              <v:shape style="position:absolute;left:5905;top:-2911;width:10;height:20" coordorigin="5905,-2911" coordsize="10,20" path="m5905,-2892l5915,-2892,5915,-2911,5905,-2911,5905,-2892xe" filled="true" fillcolor="#000000" stroked="false">
                <v:path arrowok="t"/>
                <v:fill type="solid"/>
              </v:shape>
            </v:group>
            <v:group style="position:absolute;left:5905;top:-2892;width:10;height:20" coordorigin="5905,-2892" coordsize="10,20">
              <v:shape style="position:absolute;left:5905;top:-2892;width:10;height:20" coordorigin="5905,-2892" coordsize="10,20" path="m5905,-2873l5915,-2873,5915,-2892,5905,-2892,5905,-2873xe" filled="true" fillcolor="#000000" stroked="false">
                <v:path arrowok="t"/>
                <v:fill type="solid"/>
              </v:shape>
            </v:group>
            <v:group style="position:absolute;left:5905;top:-2873;width:10;height:20" coordorigin="5905,-2873" coordsize="10,20">
              <v:shape style="position:absolute;left:5905;top:-2873;width:10;height:20" coordorigin="5905,-2873" coordsize="10,20" path="m5905,-2854l5915,-2854,5915,-2873,5905,-2873,5905,-2854xe" filled="true" fillcolor="#000000" stroked="false">
                <v:path arrowok="t"/>
                <v:fill type="solid"/>
              </v:shape>
            </v:group>
            <v:group style="position:absolute;left:5905;top:-2854;width:10;height:20" coordorigin="5905,-2854" coordsize="10,20">
              <v:shape style="position:absolute;left:5905;top:-2854;width:10;height:20" coordorigin="5905,-2854" coordsize="10,20" path="m5905,-2835l5915,-2835,5915,-2854,5905,-2854,5905,-2835xe" filled="true" fillcolor="#000000" stroked="false">
                <v:path arrowok="t"/>
                <v:fill type="solid"/>
              </v:shape>
            </v:group>
            <v:group style="position:absolute;left:5905;top:-2835;width:10;height:20" coordorigin="5905,-2835" coordsize="10,20">
              <v:shape style="position:absolute;left:5905;top:-2835;width:10;height:20" coordorigin="5905,-2835" coordsize="10,20" path="m5905,-2815l5915,-2815,5915,-2835,5905,-2835,5905,-2815xe" filled="true" fillcolor="#000000" stroked="false">
                <v:path arrowok="t"/>
                <v:fill type="solid"/>
              </v:shape>
            </v:group>
            <v:group style="position:absolute;left:5905;top:-2815;width:10;height:20" coordorigin="5905,-2815" coordsize="10,20">
              <v:shape style="position:absolute;left:5905;top:-2815;width:10;height:20" coordorigin="5905,-2815" coordsize="10,20" path="m5905,-2796l5915,-2796,5915,-2815,5905,-2815,5905,-2796xe" filled="true" fillcolor="#000000" stroked="false">
                <v:path arrowok="t"/>
                <v:fill type="solid"/>
              </v:shape>
            </v:group>
            <v:group style="position:absolute;left:5905;top:-2796;width:10;height:20" coordorigin="5905,-2796" coordsize="10,20">
              <v:shape style="position:absolute;left:5905;top:-2796;width:10;height:20" coordorigin="5905,-2796" coordsize="10,20" path="m5905,-2777l5915,-2777,5915,-2796,5905,-2796,5905,-2777xe" filled="true" fillcolor="#000000" stroked="false">
                <v:path arrowok="t"/>
                <v:fill type="solid"/>
              </v:shape>
            </v:group>
            <v:group style="position:absolute;left:5905;top:-2777;width:10;height:20" coordorigin="5905,-2777" coordsize="10,20">
              <v:shape style="position:absolute;left:5905;top:-2777;width:10;height:20" coordorigin="5905,-2777" coordsize="10,20" path="m5905,-2758l5915,-2758,5915,-2777,5905,-2777,5905,-2758xe" filled="true" fillcolor="#000000" stroked="false">
                <v:path arrowok="t"/>
                <v:fill type="solid"/>
              </v:shape>
            </v:group>
            <v:group style="position:absolute;left:5905;top:-2758;width:10;height:20" coordorigin="5905,-2758" coordsize="10,20">
              <v:shape style="position:absolute;left:5905;top:-2758;width:10;height:20" coordorigin="5905,-2758" coordsize="10,20" path="m5905,-2739l5915,-2739,5915,-2758,5905,-2758,5905,-2739xe" filled="true" fillcolor="#000000" stroked="false">
                <v:path arrowok="t"/>
                <v:fill type="solid"/>
              </v:shape>
            </v:group>
            <v:group style="position:absolute;left:5905;top:-2739;width:10;height:20" coordorigin="5905,-2739" coordsize="10,20">
              <v:shape style="position:absolute;left:5905;top:-2739;width:10;height:20" coordorigin="5905,-2739" coordsize="10,20" path="m5905,-2719l5915,-2719,5915,-2739,5905,-2739,5905,-2719xe" filled="true" fillcolor="#000000" stroked="false">
                <v:path arrowok="t"/>
                <v:fill type="solid"/>
              </v:shape>
            </v:group>
            <v:group style="position:absolute;left:5905;top:-2719;width:10;height:20" coordorigin="5905,-2719" coordsize="10,20">
              <v:shape style="position:absolute;left:5905;top:-2719;width:10;height:20" coordorigin="5905,-2719" coordsize="10,20" path="m5905,-2700l5915,-2700,5915,-2719,5905,-2719,5905,-2700xe" filled="true" fillcolor="#000000" stroked="false">
                <v:path arrowok="t"/>
                <v:fill type="solid"/>
              </v:shape>
            </v:group>
            <v:group style="position:absolute;left:5905;top:-2700;width:10;height:20" coordorigin="5905,-2700" coordsize="10,20">
              <v:shape style="position:absolute;left:5905;top:-2700;width:10;height:20" coordorigin="5905,-2700" coordsize="10,20" path="m5905,-2681l5915,-2681,5915,-2700,5905,-2700,5905,-2681xe" filled="true" fillcolor="#000000" stroked="false">
                <v:path arrowok="t"/>
                <v:fill type="solid"/>
              </v:shape>
            </v:group>
            <v:group style="position:absolute;left:5905;top:-2676;width:10;height:2" coordorigin="5905,-2676" coordsize="10,2">
              <v:shape style="position:absolute;left:5905;top:-2676;width:10;height:2" coordorigin="5905,-2676" coordsize="10,0" path="m5905,-2676l5915,-2676e" filled="false" stroked="true" strokeweight=".48004pt" strokecolor="#000000">
                <v:path arrowok="t"/>
              </v:shape>
              <v:shape style="position:absolute;left:2405;top:-2671;width:1801;height:10" type="#_x0000_t75" stroked="false">
                <v:imagedata r:id="rId243" o:title=""/>
              </v:shape>
              <v:shape style="position:absolute;left:4201;top:-2671;width:2753;height:10" type="#_x0000_t75" stroked="false">
                <v:imagedata r:id="rId244" o:title=""/>
              </v:shape>
              <v:shape style="position:absolute;left:6949;top:-2671;width:1082;height:10" type="#_x0000_t75" stroked="false">
                <v:imagedata r:id="rId245" o:title=""/>
              </v:shape>
              <v:shape style="position:absolute;left:8027;top:-2671;width:2441;height:10" type="#_x0000_t75" stroked="false">
                <v:imagedata r:id="rId246" o:title=""/>
              </v:shape>
            </v:group>
            <v:group style="position:absolute;left:4206;top:-2662;width:10;height:20" coordorigin="4206,-2662" coordsize="10,20">
              <v:shape style="position:absolute;left:4206;top:-2662;width:10;height:20" coordorigin="4206,-2662" coordsize="10,20" path="m4206,-2643l4215,-2643,4215,-2662,4206,-2662,4206,-2643xe" filled="true" fillcolor="#000000" stroked="false">
                <v:path arrowok="t"/>
                <v:fill type="solid"/>
              </v:shape>
            </v:group>
            <v:group style="position:absolute;left:4206;top:-2643;width:10;height:20" coordorigin="4206,-2643" coordsize="10,20">
              <v:shape style="position:absolute;left:4206;top:-2643;width:10;height:20" coordorigin="4206,-2643" coordsize="10,20" path="m4206,-2623l4215,-2623,4215,-2643,4206,-2643,4206,-2623xe" filled="true" fillcolor="#000000" stroked="false">
                <v:path arrowok="t"/>
                <v:fill type="solid"/>
              </v:shape>
            </v:group>
            <v:group style="position:absolute;left:4206;top:-2623;width:10;height:20" coordorigin="4206,-2623" coordsize="10,20">
              <v:shape style="position:absolute;left:4206;top:-2623;width:10;height:20" coordorigin="4206,-2623" coordsize="10,20" path="m4206,-2604l4215,-2604,4215,-2623,4206,-2623,4206,-2604xe" filled="true" fillcolor="#000000" stroked="false">
                <v:path arrowok="t"/>
                <v:fill type="solid"/>
              </v:shape>
            </v:group>
            <v:group style="position:absolute;left:4206;top:-2604;width:10;height:20" coordorigin="4206,-2604" coordsize="10,20">
              <v:shape style="position:absolute;left:4206;top:-2604;width:10;height:20" coordorigin="4206,-2604" coordsize="10,20" path="m4206,-2585l4215,-2585,4215,-2604,4206,-2604,4206,-2585xe" filled="true" fillcolor="#000000" stroked="false">
                <v:path arrowok="t"/>
                <v:fill type="solid"/>
              </v:shape>
            </v:group>
            <v:group style="position:absolute;left:4206;top:-2585;width:10;height:20" coordorigin="4206,-2585" coordsize="10,20">
              <v:shape style="position:absolute;left:4206;top:-2585;width:10;height:20" coordorigin="4206,-2585" coordsize="10,20" path="m4206,-2566l4215,-2566,4215,-2585,4206,-2585,4206,-2566xe" filled="true" fillcolor="#000000" stroked="false">
                <v:path arrowok="t"/>
                <v:fill type="solid"/>
              </v:shape>
            </v:group>
            <v:group style="position:absolute;left:4206;top:-2566;width:10;height:20" coordorigin="4206,-2566" coordsize="10,20">
              <v:shape style="position:absolute;left:4206;top:-2566;width:10;height:20" coordorigin="4206,-2566" coordsize="10,20" path="m4206,-2547l4215,-2547,4215,-2566,4206,-2566,4206,-2547xe" filled="true" fillcolor="#000000" stroked="false">
                <v:path arrowok="t"/>
                <v:fill type="solid"/>
              </v:shape>
            </v:group>
            <v:group style="position:absolute;left:4206;top:-2547;width:10;height:20" coordorigin="4206,-2547" coordsize="10,20">
              <v:shape style="position:absolute;left:4206;top:-2547;width:10;height:20" coordorigin="4206,-2547" coordsize="10,20" path="m4206,-2527l4215,-2527,4215,-2547,4206,-2547,4206,-2527xe" filled="true" fillcolor="#000000" stroked="false">
                <v:path arrowok="t"/>
                <v:fill type="solid"/>
              </v:shape>
            </v:group>
            <v:group style="position:absolute;left:4206;top:-2527;width:10;height:20" coordorigin="4206,-2527" coordsize="10,20">
              <v:shape style="position:absolute;left:4206;top:-2527;width:10;height:20" coordorigin="4206,-2527" coordsize="10,20" path="m4206,-2508l4215,-2508,4215,-2527,4206,-2527,4206,-2508xe" filled="true" fillcolor="#000000" stroked="false">
                <v:path arrowok="t"/>
                <v:fill type="solid"/>
              </v:shape>
            </v:group>
            <v:group style="position:absolute;left:4206;top:-2508;width:10;height:20" coordorigin="4206,-2508" coordsize="10,20">
              <v:shape style="position:absolute;left:4206;top:-2508;width:10;height:20" coordorigin="4206,-2508" coordsize="10,20" path="m4206,-2489l4215,-2489,4215,-2508,4206,-2508,4206,-2489xe" filled="true" fillcolor="#000000" stroked="false">
                <v:path arrowok="t"/>
                <v:fill type="solid"/>
              </v:shape>
            </v:group>
            <v:group style="position:absolute;left:4206;top:-2489;width:10;height:20" coordorigin="4206,-2489" coordsize="10,20">
              <v:shape style="position:absolute;left:4206;top:-2489;width:10;height:20" coordorigin="4206,-2489" coordsize="10,20" path="m4206,-2470l4215,-2470,4215,-2489,4206,-2489,4206,-2470xe" filled="true" fillcolor="#000000" stroked="false">
                <v:path arrowok="t"/>
                <v:fill type="solid"/>
              </v:shape>
            </v:group>
            <v:group style="position:absolute;left:4206;top:-2470;width:10;height:20" coordorigin="4206,-2470" coordsize="10,20">
              <v:shape style="position:absolute;left:4206;top:-2470;width:10;height:20" coordorigin="4206,-2470" coordsize="10,20" path="m4206,-2451l4215,-2451,4215,-2470,4206,-2470,4206,-2451xe" filled="true" fillcolor="#000000" stroked="false">
                <v:path arrowok="t"/>
                <v:fill type="solid"/>
              </v:shape>
            </v:group>
            <v:group style="position:absolute;left:4206;top:-2451;width:10;height:20" coordorigin="4206,-2451" coordsize="10,20">
              <v:shape style="position:absolute;left:4206;top:-2451;width:10;height:20" coordorigin="4206,-2451" coordsize="10,20" path="m4206,-2431l4215,-2431,4215,-2451,4206,-2451,4206,-2431xe" filled="true" fillcolor="#000000" stroked="false">
                <v:path arrowok="t"/>
                <v:fill type="solid"/>
              </v:shape>
            </v:group>
            <v:group style="position:absolute;left:4206;top:-2431;width:10;height:20" coordorigin="4206,-2431" coordsize="10,20">
              <v:shape style="position:absolute;left:4206;top:-2431;width:10;height:20" coordorigin="4206,-2431" coordsize="10,20" path="m4206,-2412l4215,-2412,4215,-2431,4206,-2431,4206,-2412xe" filled="true" fillcolor="#000000" stroked="false">
                <v:path arrowok="t"/>
                <v:fill type="solid"/>
              </v:shape>
            </v:group>
            <v:group style="position:absolute;left:4206;top:-2412;width:10;height:20" coordorigin="4206,-2412" coordsize="10,20">
              <v:shape style="position:absolute;left:4206;top:-2412;width:10;height:20" coordorigin="4206,-2412" coordsize="10,20" path="m4206,-2393l4215,-2393,4215,-2412,4206,-2412,4206,-2393xe" filled="true" fillcolor="#000000" stroked="false">
                <v:path arrowok="t"/>
                <v:fill type="solid"/>
              </v:shape>
            </v:group>
            <v:group style="position:absolute;left:4206;top:-2393;width:10;height:20" coordorigin="4206,-2393" coordsize="10,20">
              <v:shape style="position:absolute;left:4206;top:-2393;width:10;height:20" coordorigin="4206,-2393" coordsize="10,20" path="m4206,-2374l4215,-2374,4215,-2393,4206,-2393,4206,-2374xe" filled="true" fillcolor="#000000" stroked="false">
                <v:path arrowok="t"/>
                <v:fill type="solid"/>
              </v:shape>
            </v:group>
            <v:group style="position:absolute;left:4206;top:-2374;width:10;height:20" coordorigin="4206,-2374" coordsize="10,20">
              <v:shape style="position:absolute;left:4206;top:-2374;width:10;height:20" coordorigin="4206,-2374" coordsize="10,20" path="m4206,-2355l4215,-2355,4215,-2374,4206,-2374,4206,-2355xe" filled="true" fillcolor="#000000" stroked="false">
                <v:path arrowok="t"/>
                <v:fill type="solid"/>
              </v:shape>
            </v:group>
            <v:group style="position:absolute;left:4206;top:-2355;width:10;height:20" coordorigin="4206,-2355" coordsize="10,20">
              <v:shape style="position:absolute;left:4206;top:-2355;width:10;height:20" coordorigin="4206,-2355" coordsize="10,20" path="m4206,-2335l4215,-2335,4215,-2355,4206,-2355,4206,-2335xe" filled="true" fillcolor="#000000" stroked="false">
                <v:path arrowok="t"/>
                <v:fill type="solid"/>
              </v:shape>
            </v:group>
            <v:group style="position:absolute;left:4206;top:-2335;width:10;height:20" coordorigin="4206,-2335" coordsize="10,20">
              <v:shape style="position:absolute;left:4206;top:-2335;width:10;height:20" coordorigin="4206,-2335" coordsize="10,20" path="m4206,-2316l4215,-2316,4215,-2335,4206,-2335,4206,-2316xe" filled="true" fillcolor="#000000" stroked="false">
                <v:path arrowok="t"/>
                <v:fill type="solid"/>
              </v:shape>
            </v:group>
            <v:group style="position:absolute;left:4206;top:-2316;width:10;height:20" coordorigin="4206,-2316" coordsize="10,20">
              <v:shape style="position:absolute;left:4206;top:-2316;width:10;height:20" coordorigin="4206,-2316" coordsize="10,20" path="m4206,-2297l4215,-2297,4215,-2316,4206,-2316,4206,-2297xe" filled="true" fillcolor="#000000" stroked="false">
                <v:path arrowok="t"/>
                <v:fill type="solid"/>
              </v:shape>
            </v:group>
            <v:group style="position:absolute;left:4206;top:-2297;width:10;height:20" coordorigin="4206,-2297" coordsize="10,20">
              <v:shape style="position:absolute;left:4206;top:-2297;width:10;height:20" coordorigin="4206,-2297" coordsize="10,20" path="m4206,-2278l4215,-2278,4215,-2297,4206,-2297,4206,-2278xe" filled="true" fillcolor="#000000" stroked="false">
                <v:path arrowok="t"/>
                <v:fill type="solid"/>
              </v:shape>
            </v:group>
            <v:group style="position:absolute;left:4206;top:-2278;width:10;height:20" coordorigin="4206,-2278" coordsize="10,20">
              <v:shape style="position:absolute;left:4206;top:-2278;width:10;height:20" coordorigin="4206,-2278" coordsize="10,20" path="m4206,-2259l4215,-2259,4215,-2278,4206,-2278,4206,-2259xe" filled="true" fillcolor="#000000" stroked="false">
                <v:path arrowok="t"/>
                <v:fill type="solid"/>
              </v:shape>
            </v:group>
            <v:group style="position:absolute;left:4206;top:-2259;width:10;height:20" coordorigin="4206,-2259" coordsize="10,20">
              <v:shape style="position:absolute;left:4206;top:-2259;width:10;height:20" coordorigin="4206,-2259" coordsize="10,20" path="m4206,-2239l4215,-2239,4215,-2259,4206,-2259,4206,-2239xe" filled="true" fillcolor="#000000" stroked="false">
                <v:path arrowok="t"/>
                <v:fill type="solid"/>
              </v:shape>
            </v:group>
            <v:group style="position:absolute;left:4206;top:-2239;width:10;height:20" coordorigin="4206,-2239" coordsize="10,20">
              <v:shape style="position:absolute;left:4206;top:-2239;width:10;height:20" coordorigin="4206,-2239" coordsize="10,20" path="m4206,-2220l4215,-2220,4215,-2239,4206,-2239,4206,-2220xe" filled="true" fillcolor="#000000" stroked="false">
                <v:path arrowok="t"/>
                <v:fill type="solid"/>
              </v:shape>
            </v:group>
            <v:group style="position:absolute;left:4206;top:-2220;width:10;height:20" coordorigin="4206,-2220" coordsize="10,20">
              <v:shape style="position:absolute;left:4206;top:-2220;width:10;height:20" coordorigin="4206,-2220" coordsize="10,20" path="m4206,-2201l4215,-2201,4215,-2220,4206,-2220,4206,-2201xe" filled="true" fillcolor="#000000" stroked="false">
                <v:path arrowok="t"/>
                <v:fill type="solid"/>
              </v:shape>
            </v:group>
            <v:group style="position:absolute;left:4206;top:-2201;width:10;height:20" coordorigin="4206,-2201" coordsize="10,20">
              <v:shape style="position:absolute;left:4206;top:-2201;width:10;height:20" coordorigin="4206,-2201" coordsize="10,20" path="m4206,-2182l4215,-2182,4215,-2201,4206,-2201,4206,-2182xe" filled="true" fillcolor="#000000" stroked="false">
                <v:path arrowok="t"/>
                <v:fill type="solid"/>
              </v:shape>
            </v:group>
            <v:group style="position:absolute;left:4206;top:-2182;width:10;height:20" coordorigin="4206,-2182" coordsize="10,20">
              <v:shape style="position:absolute;left:4206;top:-2182;width:10;height:20" coordorigin="4206,-2182" coordsize="10,20" path="m4206,-2163l4215,-2163,4215,-2182,4206,-2182,4206,-2163xe" filled="true" fillcolor="#000000" stroked="false">
                <v:path arrowok="t"/>
                <v:fill type="solid"/>
              </v:shape>
            </v:group>
            <v:group style="position:absolute;left:4206;top:-2163;width:10;height:20" coordorigin="4206,-2163" coordsize="10,20">
              <v:shape style="position:absolute;left:4206;top:-2163;width:10;height:20" coordorigin="4206,-2163" coordsize="10,20" path="m4206,-2143l4215,-2143,4215,-2163,4206,-2163,4206,-2143xe" filled="true" fillcolor="#000000" stroked="false">
                <v:path arrowok="t"/>
                <v:fill type="solid"/>
              </v:shape>
            </v:group>
            <v:group style="position:absolute;left:4206;top:-2143;width:10;height:20" coordorigin="4206,-2143" coordsize="10,20">
              <v:shape style="position:absolute;left:4206;top:-2143;width:10;height:20" coordorigin="4206,-2143" coordsize="10,20" path="m4206,-2124l4215,-2124,4215,-2143,4206,-2143,4206,-2124xe" filled="true" fillcolor="#000000" stroked="false">
                <v:path arrowok="t"/>
                <v:fill type="solid"/>
              </v:shape>
            </v:group>
            <v:group style="position:absolute;left:4206;top:-2124;width:10;height:20" coordorigin="4206,-2124" coordsize="10,20">
              <v:shape style="position:absolute;left:4206;top:-2124;width:10;height:20" coordorigin="4206,-2124" coordsize="10,20" path="m4206,-2105l4215,-2105,4215,-2124,4206,-2124,4206,-2105xe" filled="true" fillcolor="#000000" stroked="false">
                <v:path arrowok="t"/>
                <v:fill type="solid"/>
              </v:shape>
            </v:group>
            <v:group style="position:absolute;left:4206;top:-2105;width:10;height:20" coordorigin="4206,-2105" coordsize="10,20">
              <v:shape style="position:absolute;left:4206;top:-2105;width:10;height:20" coordorigin="4206,-2105" coordsize="10,20" path="m4206,-2086l4215,-2086,4215,-2105,4206,-2105,4206,-2086xe" filled="true" fillcolor="#000000" stroked="false">
                <v:path arrowok="t"/>
                <v:fill type="solid"/>
              </v:shape>
            </v:group>
            <v:group style="position:absolute;left:4206;top:-2086;width:10;height:20" coordorigin="4206,-2086" coordsize="10,20">
              <v:shape style="position:absolute;left:4206;top:-2086;width:10;height:20" coordorigin="4206,-2086" coordsize="10,20" path="m4206,-2067l4215,-2067,4215,-2086,4206,-2086,4206,-2067xe" filled="true" fillcolor="#000000" stroked="false">
                <v:path arrowok="t"/>
                <v:fill type="solid"/>
              </v:shape>
            </v:group>
            <v:group style="position:absolute;left:4206;top:-2067;width:10;height:20" coordorigin="4206,-2067" coordsize="10,20">
              <v:shape style="position:absolute;left:4206;top:-2067;width:10;height:20" coordorigin="4206,-2067" coordsize="10,20" path="m4206,-2047l4215,-2047,4215,-2067,4206,-2067,4206,-2047xe" filled="true" fillcolor="#000000" stroked="false">
                <v:path arrowok="t"/>
                <v:fill type="solid"/>
              </v:shape>
            </v:group>
            <v:group style="position:absolute;left:4206;top:-2047;width:10;height:20" coordorigin="4206,-2047" coordsize="10,20">
              <v:shape style="position:absolute;left:4206;top:-2047;width:10;height:20" coordorigin="4206,-2047" coordsize="10,20" path="m4206,-2028l4215,-2028,4215,-2047,4206,-2047,4206,-2028xe" filled="true" fillcolor="#000000" stroked="false">
                <v:path arrowok="t"/>
                <v:fill type="solid"/>
              </v:shape>
            </v:group>
            <v:group style="position:absolute;left:4206;top:-2028;width:10;height:20" coordorigin="4206,-2028" coordsize="10,20">
              <v:shape style="position:absolute;left:4206;top:-2028;width:10;height:20" coordorigin="4206,-2028" coordsize="10,20" path="m4206,-2009l4215,-2009,4215,-2028,4206,-2028,4206,-2009xe" filled="true" fillcolor="#000000" stroked="false">
                <v:path arrowok="t"/>
                <v:fill type="solid"/>
              </v:shape>
            </v:group>
            <v:group style="position:absolute;left:4206;top:-2009;width:10;height:20" coordorigin="4206,-2009" coordsize="10,20">
              <v:shape style="position:absolute;left:4206;top:-2009;width:10;height:20" coordorigin="4206,-2009" coordsize="10,20" path="m4206,-1990l4215,-1990,4215,-2009,4206,-2009,4206,-1990xe" filled="true" fillcolor="#000000" stroked="false">
                <v:path arrowok="t"/>
                <v:fill type="solid"/>
              </v:shape>
            </v:group>
            <v:group style="position:absolute;left:4206;top:-1990;width:10;height:20" coordorigin="4206,-1990" coordsize="10,20">
              <v:shape style="position:absolute;left:4206;top:-1990;width:10;height:20" coordorigin="4206,-1990" coordsize="10,20" path="m4206,-1971l4215,-1971,4215,-1990,4206,-1990,4206,-1971xe" filled="true" fillcolor="#000000" stroked="false">
                <v:path arrowok="t"/>
                <v:fill type="solid"/>
              </v:shape>
            </v:group>
            <v:group style="position:absolute;left:4206;top:-1971;width:10;height:20" coordorigin="4206,-1971" coordsize="10,20">
              <v:shape style="position:absolute;left:4206;top:-1971;width:10;height:20" coordorigin="4206,-1971" coordsize="10,20" path="m4206,-1951l4215,-1951,4215,-1971,4206,-1971,4206,-1951xe" filled="true" fillcolor="#000000" stroked="false">
                <v:path arrowok="t"/>
                <v:fill type="solid"/>
              </v:shape>
            </v:group>
            <v:group style="position:absolute;left:4206;top:-1951;width:10;height:20" coordorigin="4206,-1951" coordsize="10,20">
              <v:shape style="position:absolute;left:4206;top:-1951;width:10;height:20" coordorigin="4206,-1951" coordsize="10,20" path="m4206,-1932l4215,-1932,4215,-1951,4206,-1951,4206,-1932xe" filled="true" fillcolor="#000000" stroked="false">
                <v:path arrowok="t"/>
                <v:fill type="solid"/>
              </v:shape>
            </v:group>
            <v:group style="position:absolute;left:4206;top:-1932;width:10;height:20" coordorigin="4206,-1932" coordsize="10,20">
              <v:shape style="position:absolute;left:4206;top:-1932;width:10;height:20" coordorigin="4206,-1932" coordsize="10,20" path="m4206,-1913l4215,-1913,4215,-1932,4206,-1932,4206,-1913xe" filled="true" fillcolor="#000000" stroked="false">
                <v:path arrowok="t"/>
                <v:fill type="solid"/>
              </v:shape>
            </v:group>
            <v:group style="position:absolute;left:4206;top:-1913;width:10;height:20" coordorigin="4206,-1913" coordsize="10,20">
              <v:shape style="position:absolute;left:4206;top:-1913;width:10;height:20" coordorigin="4206,-1913" coordsize="10,20" path="m4206,-1894l4215,-1894,4215,-1913,4206,-1913,4206,-1894xe" filled="true" fillcolor="#000000" stroked="false">
                <v:path arrowok="t"/>
                <v:fill type="solid"/>
              </v:shape>
            </v:group>
            <v:group style="position:absolute;left:4206;top:-1894;width:10;height:20" coordorigin="4206,-1894" coordsize="10,20">
              <v:shape style="position:absolute;left:4206;top:-1894;width:10;height:20" coordorigin="4206,-1894" coordsize="10,20" path="m4206,-1875l4215,-1875,4215,-1894,4206,-1894,4206,-1875xe" filled="true" fillcolor="#000000" stroked="false">
                <v:path arrowok="t"/>
                <v:fill type="solid"/>
              </v:shape>
            </v:group>
            <v:group style="position:absolute;left:4206;top:-1875;width:10;height:20" coordorigin="4206,-1875" coordsize="10,20">
              <v:shape style="position:absolute;left:4206;top:-1875;width:10;height:20" coordorigin="4206,-1875" coordsize="10,20" path="m4206,-1855l4215,-1855,4215,-1875,4206,-1875,4206,-1855xe" filled="true" fillcolor="#000000" stroked="false">
                <v:path arrowok="t"/>
                <v:fill type="solid"/>
              </v:shape>
            </v:group>
            <v:group style="position:absolute;left:4206;top:-1855;width:10;height:20" coordorigin="4206,-1855" coordsize="10,20">
              <v:shape style="position:absolute;left:4206;top:-1855;width:10;height:20" coordorigin="4206,-1855" coordsize="10,20" path="m4206,-1836l4215,-1836,4215,-1855,4206,-1855,4206,-1836xe" filled="true" fillcolor="#000000" stroked="false">
                <v:path arrowok="t"/>
                <v:fill type="solid"/>
              </v:shape>
            </v:group>
            <v:group style="position:absolute;left:4206;top:-1836;width:10;height:20" coordorigin="4206,-1836" coordsize="10,20">
              <v:shape style="position:absolute;left:4206;top:-1836;width:10;height:20" coordorigin="4206,-1836" coordsize="10,20" path="m4206,-1817l4215,-1817,4215,-1836,4206,-1836,4206,-1817xe" filled="true" fillcolor="#000000" stroked="false">
                <v:path arrowok="t"/>
                <v:fill type="solid"/>
              </v:shape>
            </v:group>
            <v:group style="position:absolute;left:4206;top:-1817;width:10;height:20" coordorigin="4206,-1817" coordsize="10,20">
              <v:shape style="position:absolute;left:4206;top:-1817;width:10;height:20" coordorigin="4206,-1817" coordsize="10,20" path="m4206,-1798l4215,-1798,4215,-1817,4206,-1817,4206,-1798xe" filled="true" fillcolor="#000000" stroked="false">
                <v:path arrowok="t"/>
                <v:fill type="solid"/>
              </v:shape>
            </v:group>
            <v:group style="position:absolute;left:4206;top:-1798;width:10;height:20" coordorigin="4206,-1798" coordsize="10,20">
              <v:shape style="position:absolute;left:4206;top:-1798;width:10;height:20" coordorigin="4206,-1798" coordsize="10,20" path="m4206,-1779l4215,-1779,4215,-1798,4206,-1798,4206,-1779xe" filled="true" fillcolor="#000000" stroked="false">
                <v:path arrowok="t"/>
                <v:fill type="solid"/>
              </v:shape>
            </v:group>
            <v:group style="position:absolute;left:4206;top:-1779;width:10;height:20" coordorigin="4206,-1779" coordsize="10,20">
              <v:shape style="position:absolute;left:4206;top:-1779;width:10;height:20" coordorigin="4206,-1779" coordsize="10,20" path="m4206,-1759l4215,-1759,4215,-1779,4206,-1779,4206,-1759xe" filled="true" fillcolor="#000000" stroked="false">
                <v:path arrowok="t"/>
                <v:fill type="solid"/>
              </v:shape>
            </v:group>
            <v:group style="position:absolute;left:4206;top:-1759;width:10;height:20" coordorigin="4206,-1759" coordsize="10,20">
              <v:shape style="position:absolute;left:4206;top:-1759;width:10;height:20" coordorigin="4206,-1759" coordsize="10,20" path="m4206,-1740l4215,-1740,4215,-1759,4206,-1759,4206,-1740xe" filled="true" fillcolor="#000000" stroked="false">
                <v:path arrowok="t"/>
                <v:fill type="solid"/>
              </v:shape>
            </v:group>
            <v:group style="position:absolute;left:4206;top:-1740;width:10;height:20" coordorigin="4206,-1740" coordsize="10,20">
              <v:shape style="position:absolute;left:4206;top:-1740;width:10;height:20" coordorigin="4206,-1740" coordsize="10,20" path="m4206,-1721l4215,-1721,4215,-1740,4206,-1740,4206,-1721xe" filled="true" fillcolor="#000000" stroked="false">
                <v:path arrowok="t"/>
                <v:fill type="solid"/>
              </v:shape>
            </v:group>
            <v:group style="position:absolute;left:4206;top:-1721;width:10;height:20" coordorigin="4206,-1721" coordsize="10,20">
              <v:shape style="position:absolute;left:4206;top:-1721;width:10;height:20" coordorigin="4206,-1721" coordsize="10,20" path="m4206,-1702l4215,-1702,4215,-1721,4206,-1721,4206,-1702xe" filled="true" fillcolor="#000000" stroked="false">
                <v:path arrowok="t"/>
                <v:fill type="solid"/>
              </v:shape>
            </v:group>
            <v:group style="position:absolute;left:4206;top:-1702;width:10;height:20" coordorigin="4206,-1702" coordsize="10,20">
              <v:shape style="position:absolute;left:4206;top:-1702;width:10;height:20" coordorigin="4206,-1702" coordsize="10,20" path="m4206,-1683l4215,-1683,4215,-1702,4206,-1702,4206,-1683xe" filled="true" fillcolor="#000000" stroked="false">
                <v:path arrowok="t"/>
                <v:fill type="solid"/>
              </v:shape>
            </v:group>
            <v:group style="position:absolute;left:4206;top:-1683;width:10;height:20" coordorigin="4206,-1683" coordsize="10,20">
              <v:shape style="position:absolute;left:4206;top:-1683;width:10;height:20" coordorigin="4206,-1683" coordsize="10,20" path="m4206,-1663l4215,-1663,4215,-1683,4206,-1683,4206,-1663xe" filled="true" fillcolor="#000000" stroked="false">
                <v:path arrowok="t"/>
                <v:fill type="solid"/>
              </v:shape>
            </v:group>
            <v:group style="position:absolute;left:4206;top:-1663;width:10;height:20" coordorigin="4206,-1663" coordsize="10,20">
              <v:shape style="position:absolute;left:4206;top:-1663;width:10;height:20" coordorigin="4206,-1663" coordsize="10,20" path="m4206,-1644l4215,-1644,4215,-1663,4206,-1663,4206,-1644xe" filled="true" fillcolor="#000000" stroked="false">
                <v:path arrowok="t"/>
                <v:fill type="solid"/>
              </v:shape>
            </v:group>
            <v:group style="position:absolute;left:4206;top:-1644;width:10;height:20" coordorigin="4206,-1644" coordsize="10,20">
              <v:shape style="position:absolute;left:4206;top:-1644;width:10;height:20" coordorigin="4206,-1644" coordsize="10,20" path="m4206,-1624l4215,-1624,4215,-1644,4206,-1644,4206,-1624xe" filled="true" fillcolor="#000000" stroked="false">
                <v:path arrowok="t"/>
                <v:fill type="solid"/>
              </v:shape>
            </v:group>
            <v:group style="position:absolute;left:4206;top:-1624;width:10;height:20" coordorigin="4206,-1624" coordsize="10,20">
              <v:shape style="position:absolute;left:4206;top:-1624;width:10;height:20" coordorigin="4206,-1624" coordsize="10,20" path="m4206,-1605l4215,-1605,4215,-1624,4206,-1624,4206,-1605xe" filled="true" fillcolor="#000000" stroked="false">
                <v:path arrowok="t"/>
                <v:fill type="solid"/>
              </v:shape>
            </v:group>
            <v:group style="position:absolute;left:4206;top:-1605;width:10;height:20" coordorigin="4206,-1605" coordsize="10,20">
              <v:shape style="position:absolute;left:4206;top:-1605;width:10;height:20" coordorigin="4206,-1605" coordsize="10,20" path="m4206,-1586l4215,-1586,4215,-1605,4206,-1605,4206,-1586xe" filled="true" fillcolor="#000000" stroked="false">
                <v:path arrowok="t"/>
                <v:fill type="solid"/>
              </v:shape>
            </v:group>
            <v:group style="position:absolute;left:4206;top:-1586;width:10;height:20" coordorigin="4206,-1586" coordsize="10,20">
              <v:shape style="position:absolute;left:4206;top:-1586;width:10;height:20" coordorigin="4206,-1586" coordsize="10,20" path="m4206,-1567l4215,-1567,4215,-1586,4206,-1586,4206,-1567xe" filled="true" fillcolor="#000000" stroked="false">
                <v:path arrowok="t"/>
                <v:fill type="solid"/>
              </v:shape>
            </v:group>
            <v:group style="position:absolute;left:4206;top:-1567;width:10;height:20" coordorigin="4206,-1567" coordsize="10,20">
              <v:shape style="position:absolute;left:4206;top:-1567;width:10;height:20" coordorigin="4206,-1567" coordsize="10,20" path="m4206,-1548l4215,-1548,4215,-1567,4206,-1567,4206,-1548xe" filled="true" fillcolor="#000000" stroked="false">
                <v:path arrowok="t"/>
                <v:fill type="solid"/>
              </v:shape>
            </v:group>
            <v:group style="position:absolute;left:4206;top:-1548;width:10;height:20" coordorigin="4206,-1548" coordsize="10,20">
              <v:shape style="position:absolute;left:4206;top:-1548;width:10;height:20" coordorigin="4206,-1548" coordsize="10,20" path="m4206,-1528l4215,-1528,4215,-1548,4206,-1548,4206,-1528xe" filled="true" fillcolor="#000000" stroked="false">
                <v:path arrowok="t"/>
                <v:fill type="solid"/>
              </v:shape>
            </v:group>
            <v:group style="position:absolute;left:4206;top:-1528;width:10;height:20" coordorigin="4206,-1528" coordsize="10,20">
              <v:shape style="position:absolute;left:4206;top:-1528;width:10;height:20" coordorigin="4206,-1528" coordsize="10,20" path="m4206,-1509l4215,-1509,4215,-1528,4206,-1528,4206,-1509xe" filled="true" fillcolor="#000000" stroked="false">
                <v:path arrowok="t"/>
                <v:fill type="solid"/>
              </v:shape>
            </v:group>
            <v:group style="position:absolute;left:4206;top:-1509;width:10;height:20" coordorigin="4206,-1509" coordsize="10,20">
              <v:shape style="position:absolute;left:4206;top:-1509;width:10;height:20" coordorigin="4206,-1509" coordsize="10,20" path="m4206,-1490l4215,-1490,4215,-1509,4206,-1509,4206,-1490xe" filled="true" fillcolor="#000000" stroked="false">
                <v:path arrowok="t"/>
                <v:fill type="solid"/>
              </v:shape>
            </v:group>
            <v:group style="position:absolute;left:4206;top:-1490;width:10;height:20" coordorigin="4206,-1490" coordsize="10,20">
              <v:shape style="position:absolute;left:4206;top:-1490;width:10;height:20" coordorigin="4206,-1490" coordsize="10,20" path="m4206,-1471l4215,-1471,4215,-1490,4206,-1490,4206,-1471xe" filled="true" fillcolor="#000000" stroked="false">
                <v:path arrowok="t"/>
                <v:fill type="solid"/>
              </v:shape>
            </v:group>
            <v:group style="position:absolute;left:4206;top:-1466;width:10;height:2" coordorigin="4206,-1466" coordsize="10,2">
              <v:shape style="position:absolute;left:4206;top:-1466;width:10;height:2" coordorigin="4206,-1466" coordsize="10,0" path="m4206,-1466l4215,-1466e" filled="false" stroked="true" strokeweight=".47998pt" strokecolor="#000000">
                <v:path arrowok="t"/>
              </v:shape>
            </v:group>
            <v:group style="position:absolute;left:5905;top:-2662;width:10;height:20" coordorigin="5905,-2662" coordsize="10,20">
              <v:shape style="position:absolute;left:5905;top:-2662;width:10;height:20" coordorigin="5905,-2662" coordsize="10,20" path="m5905,-2643l5915,-2643,5915,-2662,5905,-2662,5905,-2643xe" filled="true" fillcolor="#000000" stroked="false">
                <v:path arrowok="t"/>
                <v:fill type="solid"/>
              </v:shape>
            </v:group>
            <v:group style="position:absolute;left:5905;top:-2643;width:10;height:20" coordorigin="5905,-2643" coordsize="10,20">
              <v:shape style="position:absolute;left:5905;top:-2643;width:10;height:20" coordorigin="5905,-2643" coordsize="10,20" path="m5905,-2623l5915,-2623,5915,-2643,5905,-2643,5905,-2623xe" filled="true" fillcolor="#000000" stroked="false">
                <v:path arrowok="t"/>
                <v:fill type="solid"/>
              </v:shape>
            </v:group>
            <v:group style="position:absolute;left:5905;top:-2623;width:10;height:20" coordorigin="5905,-2623" coordsize="10,20">
              <v:shape style="position:absolute;left:5905;top:-2623;width:10;height:20" coordorigin="5905,-2623" coordsize="10,20" path="m5905,-2604l5915,-2604,5915,-2623,5905,-2623,5905,-2604xe" filled="true" fillcolor="#000000" stroked="false">
                <v:path arrowok="t"/>
                <v:fill type="solid"/>
              </v:shape>
            </v:group>
            <v:group style="position:absolute;left:5905;top:-2604;width:10;height:20" coordorigin="5905,-2604" coordsize="10,20">
              <v:shape style="position:absolute;left:5905;top:-2604;width:10;height:20" coordorigin="5905,-2604" coordsize="10,20" path="m5905,-2585l5915,-2585,5915,-2604,5905,-2604,5905,-2585xe" filled="true" fillcolor="#000000" stroked="false">
                <v:path arrowok="t"/>
                <v:fill type="solid"/>
              </v:shape>
            </v:group>
            <v:group style="position:absolute;left:5905;top:-2585;width:10;height:20" coordorigin="5905,-2585" coordsize="10,20">
              <v:shape style="position:absolute;left:5905;top:-2585;width:10;height:20" coordorigin="5905,-2585" coordsize="10,20" path="m5905,-2566l5915,-2566,5915,-2585,5905,-2585,5905,-2566xe" filled="true" fillcolor="#000000" stroked="false">
                <v:path arrowok="t"/>
                <v:fill type="solid"/>
              </v:shape>
            </v:group>
            <v:group style="position:absolute;left:5905;top:-2566;width:10;height:20" coordorigin="5905,-2566" coordsize="10,20">
              <v:shape style="position:absolute;left:5905;top:-2566;width:10;height:20" coordorigin="5905,-2566" coordsize="10,20" path="m5905,-2547l5915,-2547,5915,-2566,5905,-2566,5905,-2547xe" filled="true" fillcolor="#000000" stroked="false">
                <v:path arrowok="t"/>
                <v:fill type="solid"/>
              </v:shape>
            </v:group>
            <v:group style="position:absolute;left:5905;top:-2547;width:10;height:20" coordorigin="5905,-2547" coordsize="10,20">
              <v:shape style="position:absolute;left:5905;top:-2547;width:10;height:20" coordorigin="5905,-2547" coordsize="10,20" path="m5905,-2527l5915,-2527,5915,-2547,5905,-2547,5905,-2527xe" filled="true" fillcolor="#000000" stroked="false">
                <v:path arrowok="t"/>
                <v:fill type="solid"/>
              </v:shape>
            </v:group>
            <v:group style="position:absolute;left:5905;top:-2527;width:10;height:20" coordorigin="5905,-2527" coordsize="10,20">
              <v:shape style="position:absolute;left:5905;top:-2527;width:10;height:20" coordorigin="5905,-2527" coordsize="10,20" path="m5905,-2508l5915,-2508,5915,-2527,5905,-2527,5905,-2508xe" filled="true" fillcolor="#000000" stroked="false">
                <v:path arrowok="t"/>
                <v:fill type="solid"/>
              </v:shape>
            </v:group>
            <v:group style="position:absolute;left:5905;top:-2508;width:10;height:20" coordorigin="5905,-2508" coordsize="10,20">
              <v:shape style="position:absolute;left:5905;top:-2508;width:10;height:20" coordorigin="5905,-2508" coordsize="10,20" path="m5905,-2489l5915,-2489,5915,-2508,5905,-2508,5905,-2489xe" filled="true" fillcolor="#000000" stroked="false">
                <v:path arrowok="t"/>
                <v:fill type="solid"/>
              </v:shape>
            </v:group>
            <v:group style="position:absolute;left:5905;top:-2489;width:10;height:20" coordorigin="5905,-2489" coordsize="10,20">
              <v:shape style="position:absolute;left:5905;top:-2489;width:10;height:20" coordorigin="5905,-2489" coordsize="10,20" path="m5905,-2470l5915,-2470,5915,-2489,5905,-2489,5905,-2470xe" filled="true" fillcolor="#000000" stroked="false">
                <v:path arrowok="t"/>
                <v:fill type="solid"/>
              </v:shape>
            </v:group>
            <v:group style="position:absolute;left:5905;top:-2470;width:10;height:20" coordorigin="5905,-2470" coordsize="10,20">
              <v:shape style="position:absolute;left:5905;top:-2470;width:10;height:20" coordorigin="5905,-2470" coordsize="10,20" path="m5905,-2451l5915,-2451,5915,-2470,5905,-2470,5905,-2451xe" filled="true" fillcolor="#000000" stroked="false">
                <v:path arrowok="t"/>
                <v:fill type="solid"/>
              </v:shape>
            </v:group>
            <v:group style="position:absolute;left:5905;top:-2451;width:10;height:20" coordorigin="5905,-2451" coordsize="10,20">
              <v:shape style="position:absolute;left:5905;top:-2451;width:10;height:20" coordorigin="5905,-2451" coordsize="10,20" path="m5905,-2431l5915,-2431,5915,-2451,5905,-2451,5905,-2431xe" filled="true" fillcolor="#000000" stroked="false">
                <v:path arrowok="t"/>
                <v:fill type="solid"/>
              </v:shape>
            </v:group>
            <v:group style="position:absolute;left:5905;top:-2431;width:10;height:20" coordorigin="5905,-2431" coordsize="10,20">
              <v:shape style="position:absolute;left:5905;top:-2431;width:10;height:20" coordorigin="5905,-2431" coordsize="10,20" path="m5905,-2412l5915,-2412,5915,-2431,5905,-2431,5905,-2412xe" filled="true" fillcolor="#000000" stroked="false">
                <v:path arrowok="t"/>
                <v:fill type="solid"/>
              </v:shape>
            </v:group>
            <v:group style="position:absolute;left:5905;top:-2412;width:10;height:20" coordorigin="5905,-2412" coordsize="10,20">
              <v:shape style="position:absolute;left:5905;top:-2412;width:10;height:20" coordorigin="5905,-2412" coordsize="10,20" path="m5905,-2393l5915,-2393,5915,-2412,5905,-2412,5905,-2393xe" filled="true" fillcolor="#000000" stroked="false">
                <v:path arrowok="t"/>
                <v:fill type="solid"/>
              </v:shape>
            </v:group>
            <v:group style="position:absolute;left:5905;top:-2393;width:10;height:20" coordorigin="5905,-2393" coordsize="10,20">
              <v:shape style="position:absolute;left:5905;top:-2393;width:10;height:20" coordorigin="5905,-2393" coordsize="10,20" path="m5905,-2374l5915,-2374,5915,-2393,5905,-2393,5905,-2374xe" filled="true" fillcolor="#000000" stroked="false">
                <v:path arrowok="t"/>
                <v:fill type="solid"/>
              </v:shape>
            </v:group>
            <v:group style="position:absolute;left:5905;top:-2374;width:10;height:20" coordorigin="5905,-2374" coordsize="10,20">
              <v:shape style="position:absolute;left:5905;top:-2374;width:10;height:20" coordorigin="5905,-2374" coordsize="10,20" path="m5905,-2355l5915,-2355,5915,-2374,5905,-2374,5905,-2355xe" filled="true" fillcolor="#000000" stroked="false">
                <v:path arrowok="t"/>
                <v:fill type="solid"/>
              </v:shape>
            </v:group>
            <v:group style="position:absolute;left:5905;top:-2355;width:10;height:20" coordorigin="5905,-2355" coordsize="10,20">
              <v:shape style="position:absolute;left:5905;top:-2355;width:10;height:20" coordorigin="5905,-2355" coordsize="10,20" path="m5905,-2335l5915,-2335,5915,-2355,5905,-2355,5905,-2335xe" filled="true" fillcolor="#000000" stroked="false">
                <v:path arrowok="t"/>
                <v:fill type="solid"/>
              </v:shape>
            </v:group>
            <v:group style="position:absolute;left:5905;top:-2335;width:10;height:20" coordorigin="5905,-2335" coordsize="10,20">
              <v:shape style="position:absolute;left:5905;top:-2335;width:10;height:20" coordorigin="5905,-2335" coordsize="10,20" path="m5905,-2316l5915,-2316,5915,-2335,5905,-2335,5905,-2316xe" filled="true" fillcolor="#000000" stroked="false">
                <v:path arrowok="t"/>
                <v:fill type="solid"/>
              </v:shape>
            </v:group>
            <v:group style="position:absolute;left:5905;top:-2316;width:10;height:20" coordorigin="5905,-2316" coordsize="10,20">
              <v:shape style="position:absolute;left:5905;top:-2316;width:10;height:20" coordorigin="5905,-2316" coordsize="10,20" path="m5905,-2297l5915,-2297,5915,-2316,5905,-2316,5905,-2297xe" filled="true" fillcolor="#000000" stroked="false">
                <v:path arrowok="t"/>
                <v:fill type="solid"/>
              </v:shape>
            </v:group>
            <v:group style="position:absolute;left:5905;top:-2297;width:10;height:20" coordorigin="5905,-2297" coordsize="10,20">
              <v:shape style="position:absolute;left:5905;top:-2297;width:10;height:20" coordorigin="5905,-2297" coordsize="10,20" path="m5905,-2278l5915,-2278,5915,-2297,5905,-2297,5905,-2278xe" filled="true" fillcolor="#000000" stroked="false">
                <v:path arrowok="t"/>
                <v:fill type="solid"/>
              </v:shape>
            </v:group>
            <v:group style="position:absolute;left:5905;top:-2278;width:10;height:20" coordorigin="5905,-2278" coordsize="10,20">
              <v:shape style="position:absolute;left:5905;top:-2278;width:10;height:20" coordorigin="5905,-2278" coordsize="10,20" path="m5905,-2259l5915,-2259,5915,-2278,5905,-2278,5905,-2259xe" filled="true" fillcolor="#000000" stroked="false">
                <v:path arrowok="t"/>
                <v:fill type="solid"/>
              </v:shape>
            </v:group>
            <v:group style="position:absolute;left:5905;top:-2259;width:10;height:20" coordorigin="5905,-2259" coordsize="10,20">
              <v:shape style="position:absolute;left:5905;top:-2259;width:10;height:20" coordorigin="5905,-2259" coordsize="10,20" path="m5905,-2239l5915,-2239,5915,-2259,5905,-2259,5905,-2239xe" filled="true" fillcolor="#000000" stroked="false">
                <v:path arrowok="t"/>
                <v:fill type="solid"/>
              </v:shape>
            </v:group>
            <v:group style="position:absolute;left:5905;top:-2239;width:10;height:20" coordorigin="5905,-2239" coordsize="10,20">
              <v:shape style="position:absolute;left:5905;top:-2239;width:10;height:20" coordorigin="5905,-2239" coordsize="10,20" path="m5905,-2220l5915,-2220,5915,-2239,5905,-2239,5905,-2220xe" filled="true" fillcolor="#000000" stroked="false">
                <v:path arrowok="t"/>
                <v:fill type="solid"/>
              </v:shape>
            </v:group>
            <v:group style="position:absolute;left:5905;top:-2220;width:10;height:20" coordorigin="5905,-2220" coordsize="10,20">
              <v:shape style="position:absolute;left:5905;top:-2220;width:10;height:20" coordorigin="5905,-2220" coordsize="10,20" path="m5905,-2201l5915,-2201,5915,-2220,5905,-2220,5905,-2201xe" filled="true" fillcolor="#000000" stroked="false">
                <v:path arrowok="t"/>
                <v:fill type="solid"/>
              </v:shape>
            </v:group>
            <v:group style="position:absolute;left:5905;top:-2201;width:10;height:20" coordorigin="5905,-2201" coordsize="10,20">
              <v:shape style="position:absolute;left:5905;top:-2201;width:10;height:20" coordorigin="5905,-2201" coordsize="10,20" path="m5905,-2182l5915,-2182,5915,-2201,5905,-2201,5905,-2182xe" filled="true" fillcolor="#000000" stroked="false">
                <v:path arrowok="t"/>
                <v:fill type="solid"/>
              </v:shape>
            </v:group>
            <v:group style="position:absolute;left:5905;top:-2182;width:10;height:20" coordorigin="5905,-2182" coordsize="10,20">
              <v:shape style="position:absolute;left:5905;top:-2182;width:10;height:20" coordorigin="5905,-2182" coordsize="10,20" path="m5905,-2163l5915,-2163,5915,-2182,5905,-2182,5905,-2163xe" filled="true" fillcolor="#000000" stroked="false">
                <v:path arrowok="t"/>
                <v:fill type="solid"/>
              </v:shape>
            </v:group>
            <v:group style="position:absolute;left:5905;top:-2163;width:10;height:20" coordorigin="5905,-2163" coordsize="10,20">
              <v:shape style="position:absolute;left:5905;top:-2163;width:10;height:20" coordorigin="5905,-2163" coordsize="10,20" path="m5905,-2143l5915,-2143,5915,-2163,5905,-2163,5905,-2143xe" filled="true" fillcolor="#000000" stroked="false">
                <v:path arrowok="t"/>
                <v:fill type="solid"/>
              </v:shape>
            </v:group>
            <v:group style="position:absolute;left:5905;top:-2143;width:10;height:20" coordorigin="5905,-2143" coordsize="10,20">
              <v:shape style="position:absolute;left:5905;top:-2143;width:10;height:20" coordorigin="5905,-2143" coordsize="10,20" path="m5905,-2124l5915,-2124,5915,-2143,5905,-2143,5905,-2124xe" filled="true" fillcolor="#000000" stroked="false">
                <v:path arrowok="t"/>
                <v:fill type="solid"/>
              </v:shape>
            </v:group>
            <v:group style="position:absolute;left:5905;top:-2124;width:10;height:20" coordorigin="5905,-2124" coordsize="10,20">
              <v:shape style="position:absolute;left:5905;top:-2124;width:10;height:20" coordorigin="5905,-2124" coordsize="10,20" path="m5905,-2105l5915,-2105,5915,-2124,5905,-2124,5905,-2105xe" filled="true" fillcolor="#000000" stroked="false">
                <v:path arrowok="t"/>
                <v:fill type="solid"/>
              </v:shape>
            </v:group>
            <v:group style="position:absolute;left:5905;top:-2105;width:10;height:20" coordorigin="5905,-2105" coordsize="10,20">
              <v:shape style="position:absolute;left:5905;top:-2105;width:10;height:20" coordorigin="5905,-2105" coordsize="10,20" path="m5905,-2086l5915,-2086,5915,-2105,5905,-2105,5905,-2086xe" filled="true" fillcolor="#000000" stroked="false">
                <v:path arrowok="t"/>
                <v:fill type="solid"/>
              </v:shape>
            </v:group>
            <v:group style="position:absolute;left:5905;top:-2086;width:10;height:20" coordorigin="5905,-2086" coordsize="10,20">
              <v:shape style="position:absolute;left:5905;top:-2086;width:10;height:20" coordorigin="5905,-2086" coordsize="10,20" path="m5905,-2067l5915,-2067,5915,-2086,5905,-2086,5905,-2067xe" filled="true" fillcolor="#000000" stroked="false">
                <v:path arrowok="t"/>
                <v:fill type="solid"/>
              </v:shape>
            </v:group>
            <v:group style="position:absolute;left:5905;top:-2067;width:10;height:20" coordorigin="5905,-2067" coordsize="10,20">
              <v:shape style="position:absolute;left:5905;top:-2067;width:10;height:20" coordorigin="5905,-2067" coordsize="10,20" path="m5905,-2047l5915,-2047,5915,-2067,5905,-2067,5905,-2047xe" filled="true" fillcolor="#000000" stroked="false">
                <v:path arrowok="t"/>
                <v:fill type="solid"/>
              </v:shape>
            </v:group>
            <v:group style="position:absolute;left:5905;top:-2047;width:10;height:20" coordorigin="5905,-2047" coordsize="10,20">
              <v:shape style="position:absolute;left:5905;top:-2047;width:10;height:20" coordorigin="5905,-2047" coordsize="10,20" path="m5905,-2028l5915,-2028,5915,-2047,5905,-2047,5905,-2028xe" filled="true" fillcolor="#000000" stroked="false">
                <v:path arrowok="t"/>
                <v:fill type="solid"/>
              </v:shape>
            </v:group>
            <v:group style="position:absolute;left:5905;top:-2028;width:10;height:20" coordorigin="5905,-2028" coordsize="10,20">
              <v:shape style="position:absolute;left:5905;top:-2028;width:10;height:20" coordorigin="5905,-2028" coordsize="10,20" path="m5905,-2009l5915,-2009,5915,-2028,5905,-2028,5905,-2009xe" filled="true" fillcolor="#000000" stroked="false">
                <v:path arrowok="t"/>
                <v:fill type="solid"/>
              </v:shape>
            </v:group>
            <v:group style="position:absolute;left:5905;top:-2009;width:10;height:20" coordorigin="5905,-2009" coordsize="10,20">
              <v:shape style="position:absolute;left:5905;top:-2009;width:10;height:20" coordorigin="5905,-2009" coordsize="10,20" path="m5905,-1990l5915,-1990,5915,-2009,5905,-2009,5905,-1990xe" filled="true" fillcolor="#000000" stroked="false">
                <v:path arrowok="t"/>
                <v:fill type="solid"/>
              </v:shape>
            </v:group>
            <v:group style="position:absolute;left:5905;top:-1990;width:10;height:20" coordorigin="5905,-1990" coordsize="10,20">
              <v:shape style="position:absolute;left:5905;top:-1990;width:10;height:20" coordorigin="5905,-1990" coordsize="10,20" path="m5905,-1971l5915,-1971,5915,-1990,5905,-1990,5905,-1971xe" filled="true" fillcolor="#000000" stroked="false">
                <v:path arrowok="t"/>
                <v:fill type="solid"/>
              </v:shape>
            </v:group>
            <v:group style="position:absolute;left:5905;top:-1971;width:10;height:20" coordorigin="5905,-1971" coordsize="10,20">
              <v:shape style="position:absolute;left:5905;top:-1971;width:10;height:20" coordorigin="5905,-1971" coordsize="10,20" path="m5905,-1951l5915,-1951,5915,-1971,5905,-1971,5905,-1951xe" filled="true" fillcolor="#000000" stroked="false">
                <v:path arrowok="t"/>
                <v:fill type="solid"/>
              </v:shape>
            </v:group>
            <v:group style="position:absolute;left:5905;top:-1951;width:10;height:20" coordorigin="5905,-1951" coordsize="10,20">
              <v:shape style="position:absolute;left:5905;top:-1951;width:10;height:20" coordorigin="5905,-1951" coordsize="10,20" path="m5905,-1932l5915,-1932,5915,-1951,5905,-1951,5905,-1932xe" filled="true" fillcolor="#000000" stroked="false">
                <v:path arrowok="t"/>
                <v:fill type="solid"/>
              </v:shape>
            </v:group>
            <v:group style="position:absolute;left:5905;top:-1932;width:10;height:20" coordorigin="5905,-1932" coordsize="10,20">
              <v:shape style="position:absolute;left:5905;top:-1932;width:10;height:20" coordorigin="5905,-1932" coordsize="10,20" path="m5905,-1913l5915,-1913,5915,-1932,5905,-1932,5905,-1913xe" filled="true" fillcolor="#000000" stroked="false">
                <v:path arrowok="t"/>
                <v:fill type="solid"/>
              </v:shape>
            </v:group>
            <v:group style="position:absolute;left:5905;top:-1913;width:10;height:20" coordorigin="5905,-1913" coordsize="10,20">
              <v:shape style="position:absolute;left:5905;top:-1913;width:10;height:20" coordorigin="5905,-1913" coordsize="10,20" path="m5905,-1894l5915,-1894,5915,-1913,5905,-1913,5905,-1894xe" filled="true" fillcolor="#000000" stroked="false">
                <v:path arrowok="t"/>
                <v:fill type="solid"/>
              </v:shape>
            </v:group>
            <v:group style="position:absolute;left:5905;top:-1894;width:10;height:20" coordorigin="5905,-1894" coordsize="10,20">
              <v:shape style="position:absolute;left:5905;top:-1894;width:10;height:20" coordorigin="5905,-1894" coordsize="10,20" path="m5905,-1875l5915,-1875,5915,-1894,5905,-1894,5905,-1875xe" filled="true" fillcolor="#000000" stroked="false">
                <v:path arrowok="t"/>
                <v:fill type="solid"/>
              </v:shape>
            </v:group>
            <v:group style="position:absolute;left:5905;top:-1875;width:10;height:20" coordorigin="5905,-1875" coordsize="10,20">
              <v:shape style="position:absolute;left:5905;top:-1875;width:10;height:20" coordorigin="5905,-1875" coordsize="10,20" path="m5905,-1855l5915,-1855,5915,-1875,5905,-1875,5905,-1855xe" filled="true" fillcolor="#000000" stroked="false">
                <v:path arrowok="t"/>
                <v:fill type="solid"/>
              </v:shape>
            </v:group>
            <v:group style="position:absolute;left:5905;top:-1855;width:10;height:20" coordorigin="5905,-1855" coordsize="10,20">
              <v:shape style="position:absolute;left:5905;top:-1855;width:10;height:20" coordorigin="5905,-1855" coordsize="10,20" path="m5905,-1836l5915,-1836,5915,-1855,5905,-1855,5905,-1836xe" filled="true" fillcolor="#000000" stroked="false">
                <v:path arrowok="t"/>
                <v:fill type="solid"/>
              </v:shape>
            </v:group>
            <v:group style="position:absolute;left:5905;top:-1836;width:10;height:20" coordorigin="5905,-1836" coordsize="10,20">
              <v:shape style="position:absolute;left:5905;top:-1836;width:10;height:20" coordorigin="5905,-1836" coordsize="10,20" path="m5905,-1817l5915,-1817,5915,-1836,5905,-1836,5905,-1817xe" filled="true" fillcolor="#000000" stroked="false">
                <v:path arrowok="t"/>
                <v:fill type="solid"/>
              </v:shape>
            </v:group>
            <v:group style="position:absolute;left:5905;top:-1817;width:10;height:20" coordorigin="5905,-1817" coordsize="10,20">
              <v:shape style="position:absolute;left:5905;top:-1817;width:10;height:20" coordorigin="5905,-1817" coordsize="10,20" path="m5905,-1798l5915,-1798,5915,-1817,5905,-1817,5905,-1798xe" filled="true" fillcolor="#000000" stroked="false">
                <v:path arrowok="t"/>
                <v:fill type="solid"/>
              </v:shape>
            </v:group>
            <v:group style="position:absolute;left:5905;top:-1798;width:10;height:20" coordorigin="5905,-1798" coordsize="10,20">
              <v:shape style="position:absolute;left:5905;top:-1798;width:10;height:20" coordorigin="5905,-1798" coordsize="10,20" path="m5905,-1779l5915,-1779,5915,-1798,5905,-1798,5905,-1779xe" filled="true" fillcolor="#000000" stroked="false">
                <v:path arrowok="t"/>
                <v:fill type="solid"/>
              </v:shape>
            </v:group>
            <v:group style="position:absolute;left:5905;top:-1779;width:10;height:20" coordorigin="5905,-1779" coordsize="10,20">
              <v:shape style="position:absolute;left:5905;top:-1779;width:10;height:20" coordorigin="5905,-1779" coordsize="10,20" path="m5905,-1759l5915,-1759,5915,-1779,5905,-1779,5905,-1759xe" filled="true" fillcolor="#000000" stroked="false">
                <v:path arrowok="t"/>
                <v:fill type="solid"/>
              </v:shape>
            </v:group>
            <v:group style="position:absolute;left:5905;top:-1759;width:10;height:20" coordorigin="5905,-1759" coordsize="10,20">
              <v:shape style="position:absolute;left:5905;top:-1759;width:10;height:20" coordorigin="5905,-1759" coordsize="10,20" path="m5905,-1740l5915,-1740,5915,-1759,5905,-1759,5905,-1740xe" filled="true" fillcolor="#000000" stroked="false">
                <v:path arrowok="t"/>
                <v:fill type="solid"/>
              </v:shape>
            </v:group>
            <v:group style="position:absolute;left:5905;top:-1740;width:10;height:20" coordorigin="5905,-1740" coordsize="10,20">
              <v:shape style="position:absolute;left:5905;top:-1740;width:10;height:20" coordorigin="5905,-1740" coordsize="10,20" path="m5905,-1721l5915,-1721,5915,-1740,5905,-1740,5905,-1721xe" filled="true" fillcolor="#000000" stroked="false">
                <v:path arrowok="t"/>
                <v:fill type="solid"/>
              </v:shape>
            </v:group>
            <v:group style="position:absolute;left:5905;top:-1721;width:10;height:20" coordorigin="5905,-1721" coordsize="10,20">
              <v:shape style="position:absolute;left:5905;top:-1721;width:10;height:20" coordorigin="5905,-1721" coordsize="10,20" path="m5905,-1702l5915,-1702,5915,-1721,5905,-1721,5905,-1702xe" filled="true" fillcolor="#000000" stroked="false">
                <v:path arrowok="t"/>
                <v:fill type="solid"/>
              </v:shape>
            </v:group>
            <v:group style="position:absolute;left:5905;top:-1702;width:10;height:20" coordorigin="5905,-1702" coordsize="10,20">
              <v:shape style="position:absolute;left:5905;top:-1702;width:10;height:20" coordorigin="5905,-1702" coordsize="10,20" path="m5905,-1683l5915,-1683,5915,-1702,5905,-1702,5905,-1683xe" filled="true" fillcolor="#000000" stroked="false">
                <v:path arrowok="t"/>
                <v:fill type="solid"/>
              </v:shape>
            </v:group>
            <v:group style="position:absolute;left:5905;top:-1683;width:10;height:20" coordorigin="5905,-1683" coordsize="10,20">
              <v:shape style="position:absolute;left:5905;top:-1683;width:10;height:20" coordorigin="5905,-1683" coordsize="10,20" path="m5905,-1663l5915,-1663,5915,-1683,5905,-1683,5905,-1663xe" filled="true" fillcolor="#000000" stroked="false">
                <v:path arrowok="t"/>
                <v:fill type="solid"/>
              </v:shape>
            </v:group>
            <v:group style="position:absolute;left:5905;top:-1663;width:10;height:20" coordorigin="5905,-1663" coordsize="10,20">
              <v:shape style="position:absolute;left:5905;top:-1663;width:10;height:20" coordorigin="5905,-1663" coordsize="10,20" path="m5905,-1644l5915,-1644,5915,-1663,5905,-1663,5905,-1644xe" filled="true" fillcolor="#000000" stroked="false">
                <v:path arrowok="t"/>
                <v:fill type="solid"/>
              </v:shape>
            </v:group>
            <v:group style="position:absolute;left:5905;top:-1644;width:10;height:20" coordorigin="5905,-1644" coordsize="10,20">
              <v:shape style="position:absolute;left:5905;top:-1644;width:10;height:20" coordorigin="5905,-1644" coordsize="10,20" path="m5905,-1624l5915,-1624,5915,-1644,5905,-1644,5905,-1624xe" filled="true" fillcolor="#000000" stroked="false">
                <v:path arrowok="t"/>
                <v:fill type="solid"/>
              </v:shape>
            </v:group>
            <v:group style="position:absolute;left:5905;top:-1624;width:10;height:20" coordorigin="5905,-1624" coordsize="10,20">
              <v:shape style="position:absolute;left:5905;top:-1624;width:10;height:20" coordorigin="5905,-1624" coordsize="10,20" path="m5905,-1605l5915,-1605,5915,-1624,5905,-1624,5905,-1605xe" filled="true" fillcolor="#000000" stroked="false">
                <v:path arrowok="t"/>
                <v:fill type="solid"/>
              </v:shape>
            </v:group>
            <v:group style="position:absolute;left:5905;top:-1605;width:10;height:20" coordorigin="5905,-1605" coordsize="10,20">
              <v:shape style="position:absolute;left:5905;top:-1605;width:10;height:20" coordorigin="5905,-1605" coordsize="10,20" path="m5905,-1586l5915,-1586,5915,-1605,5905,-1605,5905,-1586xe" filled="true" fillcolor="#000000" stroked="false">
                <v:path arrowok="t"/>
                <v:fill type="solid"/>
              </v:shape>
            </v:group>
            <v:group style="position:absolute;left:5905;top:-1586;width:10;height:20" coordorigin="5905,-1586" coordsize="10,20">
              <v:shape style="position:absolute;left:5905;top:-1586;width:10;height:20" coordorigin="5905,-1586" coordsize="10,20" path="m5905,-1567l5915,-1567,5915,-1586,5905,-1586,5905,-1567xe" filled="true" fillcolor="#000000" stroked="false">
                <v:path arrowok="t"/>
                <v:fill type="solid"/>
              </v:shape>
            </v:group>
            <v:group style="position:absolute;left:5905;top:-1567;width:10;height:20" coordorigin="5905,-1567" coordsize="10,20">
              <v:shape style="position:absolute;left:5905;top:-1567;width:10;height:20" coordorigin="5905,-1567" coordsize="10,20" path="m5905,-1548l5915,-1548,5915,-1567,5905,-1567,5905,-1548xe" filled="true" fillcolor="#000000" stroked="false">
                <v:path arrowok="t"/>
                <v:fill type="solid"/>
              </v:shape>
            </v:group>
            <v:group style="position:absolute;left:5905;top:-1548;width:10;height:20" coordorigin="5905,-1548" coordsize="10,20">
              <v:shape style="position:absolute;left:5905;top:-1548;width:10;height:20" coordorigin="5905,-1548" coordsize="10,20" path="m5905,-1528l5915,-1528,5915,-1548,5905,-1548,5905,-1528xe" filled="true" fillcolor="#000000" stroked="false">
                <v:path arrowok="t"/>
                <v:fill type="solid"/>
              </v:shape>
            </v:group>
            <v:group style="position:absolute;left:5905;top:-1528;width:10;height:20" coordorigin="5905,-1528" coordsize="10,20">
              <v:shape style="position:absolute;left:5905;top:-1528;width:10;height:20" coordorigin="5905,-1528" coordsize="10,20" path="m5905,-1509l5915,-1509,5915,-1528,5905,-1528,5905,-1509xe" filled="true" fillcolor="#000000" stroked="false">
                <v:path arrowok="t"/>
                <v:fill type="solid"/>
              </v:shape>
            </v:group>
            <v:group style="position:absolute;left:5905;top:-1509;width:10;height:20" coordorigin="5905,-1509" coordsize="10,20">
              <v:shape style="position:absolute;left:5905;top:-1509;width:10;height:20" coordorigin="5905,-1509" coordsize="10,20" path="m5905,-1490l5915,-1490,5915,-1509,5905,-1509,5905,-1490xe" filled="true" fillcolor="#000000" stroked="false">
                <v:path arrowok="t"/>
                <v:fill type="solid"/>
              </v:shape>
            </v:group>
            <v:group style="position:absolute;left:5905;top:-1490;width:10;height:20" coordorigin="5905,-1490" coordsize="10,20">
              <v:shape style="position:absolute;left:5905;top:-1490;width:10;height:20" coordorigin="5905,-1490" coordsize="10,20" path="m5905,-1471l5915,-1471,5915,-1490,5905,-1490,5905,-1471xe" filled="true" fillcolor="#000000" stroked="false">
                <v:path arrowok="t"/>
                <v:fill type="solid"/>
              </v:shape>
            </v:group>
            <v:group style="position:absolute;left:5905;top:-1466;width:10;height:2" coordorigin="5905,-1466" coordsize="10,2">
              <v:shape style="position:absolute;left:5905;top:-1466;width:10;height:2" coordorigin="5905,-1466" coordsize="10,0" path="m5905,-1466l5915,-1466e" filled="false" stroked="true" strokeweight=".47998pt" strokecolor="#000000">
                <v:path arrowok="t"/>
              </v:shape>
              <v:shape style="position:absolute;left:2405;top:-1461;width:1801;height:10" type="#_x0000_t75" stroked="false">
                <v:imagedata r:id="rId243" o:title=""/>
              </v:shape>
              <v:shape style="position:absolute;left:4201;top:-1461;width:2753;height:10" type="#_x0000_t75" stroked="false">
                <v:imagedata r:id="rId244" o:title=""/>
              </v:shape>
              <v:shape style="position:absolute;left:6949;top:-1461;width:1082;height:10" type="#_x0000_t75" stroked="false">
                <v:imagedata r:id="rId245" o:title=""/>
              </v:shape>
              <v:shape style="position:absolute;left:8027;top:-1461;width:2441;height:10" type="#_x0000_t75" stroked="false">
                <v:imagedata r:id="rId246" o:title=""/>
              </v:shape>
            </v:group>
            <v:group style="position:absolute;left:4206;top:-1452;width:10;height:20" coordorigin="4206,-1452" coordsize="10,20">
              <v:shape style="position:absolute;left:4206;top:-1452;width:10;height:20" coordorigin="4206,-1452" coordsize="10,20" path="m4206,-1432l4215,-1432,4215,-1452,4206,-1452,4206,-1432xe" filled="true" fillcolor="#000000" stroked="false">
                <v:path arrowok="t"/>
                <v:fill type="solid"/>
              </v:shape>
            </v:group>
            <v:group style="position:absolute;left:4206;top:-1432;width:10;height:20" coordorigin="4206,-1432" coordsize="10,20">
              <v:shape style="position:absolute;left:4206;top:-1432;width:10;height:20" coordorigin="4206,-1432" coordsize="10,20" path="m4206,-1413l4215,-1413,4215,-1432,4206,-1432,4206,-1413xe" filled="true" fillcolor="#000000" stroked="false">
                <v:path arrowok="t"/>
                <v:fill type="solid"/>
              </v:shape>
            </v:group>
            <v:group style="position:absolute;left:4206;top:-1413;width:10;height:20" coordorigin="4206,-1413" coordsize="10,20">
              <v:shape style="position:absolute;left:4206;top:-1413;width:10;height:20" coordorigin="4206,-1413" coordsize="10,20" path="m4206,-1394l4215,-1394,4215,-1413,4206,-1413,4206,-1394xe" filled="true" fillcolor="#000000" stroked="false">
                <v:path arrowok="t"/>
                <v:fill type="solid"/>
              </v:shape>
            </v:group>
            <v:group style="position:absolute;left:4206;top:-1394;width:10;height:20" coordorigin="4206,-1394" coordsize="10,20">
              <v:shape style="position:absolute;left:4206;top:-1394;width:10;height:20" coordorigin="4206,-1394" coordsize="10,20" path="m4206,-1375l4215,-1375,4215,-1394,4206,-1394,4206,-1375xe" filled="true" fillcolor="#000000" stroked="false">
                <v:path arrowok="t"/>
                <v:fill type="solid"/>
              </v:shape>
            </v:group>
            <v:group style="position:absolute;left:4206;top:-1375;width:10;height:20" coordorigin="4206,-1375" coordsize="10,20">
              <v:shape style="position:absolute;left:4206;top:-1375;width:10;height:20" coordorigin="4206,-1375" coordsize="10,20" path="m4206,-1356l4215,-1356,4215,-1375,4206,-1375,4206,-1356xe" filled="true" fillcolor="#000000" stroked="false">
                <v:path arrowok="t"/>
                <v:fill type="solid"/>
              </v:shape>
            </v:group>
            <v:group style="position:absolute;left:4206;top:-1356;width:10;height:20" coordorigin="4206,-1356" coordsize="10,20">
              <v:shape style="position:absolute;left:4206;top:-1356;width:10;height:20" coordorigin="4206,-1356" coordsize="10,20" path="m4206,-1336l4215,-1336,4215,-1356,4206,-1356,4206,-1336xe" filled="true" fillcolor="#000000" stroked="false">
                <v:path arrowok="t"/>
                <v:fill type="solid"/>
              </v:shape>
            </v:group>
            <v:group style="position:absolute;left:4206;top:-1336;width:10;height:20" coordorigin="4206,-1336" coordsize="10,20">
              <v:shape style="position:absolute;left:4206;top:-1336;width:10;height:20" coordorigin="4206,-1336" coordsize="10,20" path="m4206,-1317l4215,-1317,4215,-1336,4206,-1336,4206,-1317xe" filled="true" fillcolor="#000000" stroked="false">
                <v:path arrowok="t"/>
                <v:fill type="solid"/>
              </v:shape>
            </v:group>
            <v:group style="position:absolute;left:4206;top:-1317;width:10;height:20" coordorigin="4206,-1317" coordsize="10,20">
              <v:shape style="position:absolute;left:4206;top:-1317;width:10;height:20" coordorigin="4206,-1317" coordsize="10,20" path="m4206,-1298l4215,-1298,4215,-1317,4206,-1317,4206,-1298xe" filled="true" fillcolor="#000000" stroked="false">
                <v:path arrowok="t"/>
                <v:fill type="solid"/>
              </v:shape>
            </v:group>
            <v:group style="position:absolute;left:4206;top:-1298;width:10;height:20" coordorigin="4206,-1298" coordsize="10,20">
              <v:shape style="position:absolute;left:4206;top:-1298;width:10;height:20" coordorigin="4206,-1298" coordsize="10,20" path="m4206,-1279l4215,-1279,4215,-1298,4206,-1298,4206,-1279xe" filled="true" fillcolor="#000000" stroked="false">
                <v:path arrowok="t"/>
                <v:fill type="solid"/>
              </v:shape>
            </v:group>
            <v:group style="position:absolute;left:4206;top:-1279;width:10;height:20" coordorigin="4206,-1279" coordsize="10,20">
              <v:shape style="position:absolute;left:4206;top:-1279;width:10;height:20" coordorigin="4206,-1279" coordsize="10,20" path="m4206,-1260l4215,-1260,4215,-1279,4206,-1279,4206,-1260xe" filled="true" fillcolor="#000000" stroked="false">
                <v:path arrowok="t"/>
                <v:fill type="solid"/>
              </v:shape>
            </v:group>
            <v:group style="position:absolute;left:4206;top:-1260;width:10;height:20" coordorigin="4206,-1260" coordsize="10,20">
              <v:shape style="position:absolute;left:4206;top:-1260;width:10;height:20" coordorigin="4206,-1260" coordsize="10,20" path="m4206,-1240l4215,-1240,4215,-1260,4206,-1260,4206,-1240xe" filled="true" fillcolor="#000000" stroked="false">
                <v:path arrowok="t"/>
                <v:fill type="solid"/>
              </v:shape>
            </v:group>
            <v:group style="position:absolute;left:4206;top:-1240;width:10;height:20" coordorigin="4206,-1240" coordsize="10,20">
              <v:shape style="position:absolute;left:4206;top:-1240;width:10;height:20" coordorigin="4206,-1240" coordsize="10,20" path="m4206,-1221l4215,-1221,4215,-1240,4206,-1240,4206,-1221xe" filled="true" fillcolor="#000000" stroked="false">
                <v:path arrowok="t"/>
                <v:fill type="solid"/>
              </v:shape>
            </v:group>
            <v:group style="position:absolute;left:4206;top:-1221;width:10;height:20" coordorigin="4206,-1221" coordsize="10,20">
              <v:shape style="position:absolute;left:4206;top:-1221;width:10;height:20" coordorigin="4206,-1221" coordsize="10,20" path="m4206,-1202l4215,-1202,4215,-1221,4206,-1221,4206,-1202xe" filled="true" fillcolor="#000000" stroked="false">
                <v:path arrowok="t"/>
                <v:fill type="solid"/>
              </v:shape>
            </v:group>
            <v:group style="position:absolute;left:4206;top:-1202;width:10;height:20" coordorigin="4206,-1202" coordsize="10,20">
              <v:shape style="position:absolute;left:4206;top:-1202;width:10;height:20" coordorigin="4206,-1202" coordsize="10,20" path="m4206,-1183l4215,-1183,4215,-1202,4206,-1202,4206,-1183xe" filled="true" fillcolor="#000000" stroked="false">
                <v:path arrowok="t"/>
                <v:fill type="solid"/>
              </v:shape>
            </v:group>
            <v:group style="position:absolute;left:4206;top:-1183;width:10;height:20" coordorigin="4206,-1183" coordsize="10,20">
              <v:shape style="position:absolute;left:4206;top:-1183;width:10;height:20" coordorigin="4206,-1183" coordsize="10,20" path="m4206,-1164l4215,-1164,4215,-1183,4206,-1183,4206,-1164xe" filled="true" fillcolor="#000000" stroked="false">
                <v:path arrowok="t"/>
                <v:fill type="solid"/>
              </v:shape>
            </v:group>
            <v:group style="position:absolute;left:4206;top:-1164;width:10;height:20" coordorigin="4206,-1164" coordsize="10,20">
              <v:shape style="position:absolute;left:4206;top:-1164;width:10;height:20" coordorigin="4206,-1164" coordsize="10,20" path="m4206,-1144l4215,-1144,4215,-1164,4206,-1164,4206,-1144xe" filled="true" fillcolor="#000000" stroked="false">
                <v:path arrowok="t"/>
                <v:fill type="solid"/>
              </v:shape>
            </v:group>
            <v:group style="position:absolute;left:4206;top:-1144;width:10;height:20" coordorigin="4206,-1144" coordsize="10,20">
              <v:shape style="position:absolute;left:4206;top:-1144;width:10;height:20" coordorigin="4206,-1144" coordsize="10,20" path="m4206,-1125l4215,-1125,4215,-1144,4206,-1144,4206,-1125xe" filled="true" fillcolor="#000000" stroked="false">
                <v:path arrowok="t"/>
                <v:fill type="solid"/>
              </v:shape>
            </v:group>
            <v:group style="position:absolute;left:4206;top:-1125;width:10;height:20" coordorigin="4206,-1125" coordsize="10,20">
              <v:shape style="position:absolute;left:4206;top:-1125;width:10;height:20" coordorigin="4206,-1125" coordsize="10,20" path="m4206,-1106l4215,-1106,4215,-1125,4206,-1125,4206,-1106xe" filled="true" fillcolor="#000000" stroked="false">
                <v:path arrowok="t"/>
                <v:fill type="solid"/>
              </v:shape>
            </v:group>
            <v:group style="position:absolute;left:4206;top:-1106;width:10;height:20" coordorigin="4206,-1106" coordsize="10,20">
              <v:shape style="position:absolute;left:4206;top:-1106;width:10;height:20" coordorigin="4206,-1106" coordsize="10,20" path="m4206,-1087l4215,-1087,4215,-1106,4206,-1106,4206,-1087xe" filled="true" fillcolor="#000000" stroked="false">
                <v:path arrowok="t"/>
                <v:fill type="solid"/>
              </v:shape>
            </v:group>
            <v:group style="position:absolute;left:4206;top:-1087;width:10;height:20" coordorigin="4206,-1087" coordsize="10,20">
              <v:shape style="position:absolute;left:4206;top:-1087;width:10;height:20" coordorigin="4206,-1087" coordsize="10,20" path="m4206,-1068l4215,-1068,4215,-1087,4206,-1087,4206,-1068xe" filled="true" fillcolor="#000000" stroked="false">
                <v:path arrowok="t"/>
                <v:fill type="solid"/>
              </v:shape>
            </v:group>
            <v:group style="position:absolute;left:4206;top:-1068;width:10;height:20" coordorigin="4206,-1068" coordsize="10,20">
              <v:shape style="position:absolute;left:4206;top:-1068;width:10;height:20" coordorigin="4206,-1068" coordsize="10,20" path="m4206,-1048l4215,-1048,4215,-1068,4206,-1068,4206,-1048xe" filled="true" fillcolor="#000000" stroked="false">
                <v:path arrowok="t"/>
                <v:fill type="solid"/>
              </v:shape>
            </v:group>
            <v:group style="position:absolute;left:4206;top:-1048;width:10;height:20" coordorigin="4206,-1048" coordsize="10,20">
              <v:shape style="position:absolute;left:4206;top:-1048;width:10;height:20" coordorigin="4206,-1048" coordsize="10,20" path="m4206,-1029l4215,-1029,4215,-1048,4206,-1048,4206,-1029xe" filled="true" fillcolor="#000000" stroked="false">
                <v:path arrowok="t"/>
                <v:fill type="solid"/>
              </v:shape>
            </v:group>
            <v:group style="position:absolute;left:4206;top:-1029;width:10;height:20" coordorigin="4206,-1029" coordsize="10,20">
              <v:shape style="position:absolute;left:4206;top:-1029;width:10;height:20" coordorigin="4206,-1029" coordsize="10,20" path="m4206,-1010l4215,-1010,4215,-1029,4206,-1029,4206,-1010xe" filled="true" fillcolor="#000000" stroked="false">
                <v:path arrowok="t"/>
                <v:fill type="solid"/>
              </v:shape>
            </v:group>
            <v:group style="position:absolute;left:4206;top:-1010;width:10;height:20" coordorigin="4206,-1010" coordsize="10,20">
              <v:shape style="position:absolute;left:4206;top:-1010;width:10;height:20" coordorigin="4206,-1010" coordsize="10,20" path="m4206,-991l4215,-991,4215,-1010,4206,-1010,4206,-991xe" filled="true" fillcolor="#000000" stroked="false">
                <v:path arrowok="t"/>
                <v:fill type="solid"/>
              </v:shape>
            </v:group>
            <v:group style="position:absolute;left:4206;top:-991;width:10;height:20" coordorigin="4206,-991" coordsize="10,20">
              <v:shape style="position:absolute;left:4206;top:-991;width:10;height:20" coordorigin="4206,-991" coordsize="10,20" path="m4206,-972l4215,-972,4215,-991,4206,-991,4206,-972xe" filled="true" fillcolor="#000000" stroked="false">
                <v:path arrowok="t"/>
                <v:fill type="solid"/>
              </v:shape>
            </v:group>
            <v:group style="position:absolute;left:4206;top:-972;width:10;height:20" coordorigin="4206,-972" coordsize="10,20">
              <v:shape style="position:absolute;left:4206;top:-972;width:10;height:20" coordorigin="4206,-972" coordsize="10,20" path="m4206,-952l4215,-952,4215,-972,4206,-972,4206,-952xe" filled="true" fillcolor="#000000" stroked="false">
                <v:path arrowok="t"/>
                <v:fill type="solid"/>
              </v:shape>
            </v:group>
            <v:group style="position:absolute;left:4206;top:-952;width:10;height:20" coordorigin="4206,-952" coordsize="10,20">
              <v:shape style="position:absolute;left:4206;top:-952;width:10;height:20" coordorigin="4206,-952" coordsize="10,20" path="m4206,-933l4215,-933,4215,-952,4206,-952,4206,-933xe" filled="true" fillcolor="#000000" stroked="false">
                <v:path arrowok="t"/>
                <v:fill type="solid"/>
              </v:shape>
            </v:group>
            <v:group style="position:absolute;left:4206;top:-933;width:10;height:20" coordorigin="4206,-933" coordsize="10,20">
              <v:shape style="position:absolute;left:4206;top:-933;width:10;height:20" coordorigin="4206,-933" coordsize="10,20" path="m4206,-914l4215,-914,4215,-933,4206,-933,4206,-914xe" filled="true" fillcolor="#000000" stroked="false">
                <v:path arrowok="t"/>
                <v:fill type="solid"/>
              </v:shape>
            </v:group>
            <v:group style="position:absolute;left:4206;top:-914;width:10;height:20" coordorigin="4206,-914" coordsize="10,20">
              <v:shape style="position:absolute;left:4206;top:-914;width:10;height:20" coordorigin="4206,-914" coordsize="10,20" path="m4206,-895l4215,-895,4215,-914,4206,-914,4206,-895xe" filled="true" fillcolor="#000000" stroked="false">
                <v:path arrowok="t"/>
                <v:fill type="solid"/>
              </v:shape>
            </v:group>
            <v:group style="position:absolute;left:4206;top:-895;width:10;height:20" coordorigin="4206,-895" coordsize="10,20">
              <v:shape style="position:absolute;left:4206;top:-895;width:10;height:20" coordorigin="4206,-895" coordsize="10,20" path="m4206,-876l4215,-876,4215,-895,4206,-895,4206,-876xe" filled="true" fillcolor="#000000" stroked="false">
                <v:path arrowok="t"/>
                <v:fill type="solid"/>
              </v:shape>
            </v:group>
            <v:group style="position:absolute;left:4206;top:-871;width:10;height:2" coordorigin="4206,-871" coordsize="10,2">
              <v:shape style="position:absolute;left:4206;top:-871;width:10;height:2" coordorigin="4206,-871" coordsize="10,0" path="m4206,-871l4215,-871e" filled="false" stroked="true" strokeweight=".47998pt" strokecolor="#000000">
                <v:path arrowok="t"/>
              </v:shape>
            </v:group>
            <v:group style="position:absolute;left:5905;top:-1452;width:10;height:20" coordorigin="5905,-1452" coordsize="10,20">
              <v:shape style="position:absolute;left:5905;top:-1452;width:10;height:20" coordorigin="5905,-1452" coordsize="10,20" path="m5905,-1432l5915,-1432,5915,-1452,5905,-1452,5905,-1432xe" filled="true" fillcolor="#000000" stroked="false">
                <v:path arrowok="t"/>
                <v:fill type="solid"/>
              </v:shape>
            </v:group>
            <v:group style="position:absolute;left:5905;top:-1432;width:10;height:20" coordorigin="5905,-1432" coordsize="10,20">
              <v:shape style="position:absolute;left:5905;top:-1432;width:10;height:20" coordorigin="5905,-1432" coordsize="10,20" path="m5905,-1413l5915,-1413,5915,-1432,5905,-1432,5905,-1413xe" filled="true" fillcolor="#000000" stroked="false">
                <v:path arrowok="t"/>
                <v:fill type="solid"/>
              </v:shape>
            </v:group>
            <v:group style="position:absolute;left:5905;top:-1413;width:10;height:20" coordorigin="5905,-1413" coordsize="10,20">
              <v:shape style="position:absolute;left:5905;top:-1413;width:10;height:20" coordorigin="5905,-1413" coordsize="10,20" path="m5905,-1394l5915,-1394,5915,-1413,5905,-1413,5905,-1394xe" filled="true" fillcolor="#000000" stroked="false">
                <v:path arrowok="t"/>
                <v:fill type="solid"/>
              </v:shape>
            </v:group>
            <v:group style="position:absolute;left:5905;top:-1394;width:10;height:20" coordorigin="5905,-1394" coordsize="10,20">
              <v:shape style="position:absolute;left:5905;top:-1394;width:10;height:20" coordorigin="5905,-1394" coordsize="10,20" path="m5905,-1375l5915,-1375,5915,-1394,5905,-1394,5905,-1375xe" filled="true" fillcolor="#000000" stroked="false">
                <v:path arrowok="t"/>
                <v:fill type="solid"/>
              </v:shape>
            </v:group>
            <v:group style="position:absolute;left:5905;top:-1375;width:10;height:20" coordorigin="5905,-1375" coordsize="10,20">
              <v:shape style="position:absolute;left:5905;top:-1375;width:10;height:20" coordorigin="5905,-1375" coordsize="10,20" path="m5905,-1356l5915,-1356,5915,-1375,5905,-1375,5905,-1356xe" filled="true" fillcolor="#000000" stroked="false">
                <v:path arrowok="t"/>
                <v:fill type="solid"/>
              </v:shape>
            </v:group>
            <v:group style="position:absolute;left:5905;top:-1356;width:10;height:20" coordorigin="5905,-1356" coordsize="10,20">
              <v:shape style="position:absolute;left:5905;top:-1356;width:10;height:20" coordorigin="5905,-1356" coordsize="10,20" path="m5905,-1336l5915,-1336,5915,-1356,5905,-1356,5905,-1336xe" filled="true" fillcolor="#000000" stroked="false">
                <v:path arrowok="t"/>
                <v:fill type="solid"/>
              </v:shape>
            </v:group>
            <v:group style="position:absolute;left:5905;top:-1336;width:10;height:20" coordorigin="5905,-1336" coordsize="10,20">
              <v:shape style="position:absolute;left:5905;top:-1336;width:10;height:20" coordorigin="5905,-1336" coordsize="10,20" path="m5905,-1317l5915,-1317,5915,-1336,5905,-1336,5905,-1317xe" filled="true" fillcolor="#000000" stroked="false">
                <v:path arrowok="t"/>
                <v:fill type="solid"/>
              </v:shape>
            </v:group>
            <v:group style="position:absolute;left:5905;top:-1317;width:10;height:20" coordorigin="5905,-1317" coordsize="10,20">
              <v:shape style="position:absolute;left:5905;top:-1317;width:10;height:20" coordorigin="5905,-1317" coordsize="10,20" path="m5905,-1298l5915,-1298,5915,-1317,5905,-1317,5905,-1298xe" filled="true" fillcolor="#000000" stroked="false">
                <v:path arrowok="t"/>
                <v:fill type="solid"/>
              </v:shape>
            </v:group>
            <v:group style="position:absolute;left:5905;top:-1298;width:10;height:20" coordorigin="5905,-1298" coordsize="10,20">
              <v:shape style="position:absolute;left:5905;top:-1298;width:10;height:20" coordorigin="5905,-1298" coordsize="10,20" path="m5905,-1279l5915,-1279,5915,-1298,5905,-1298,5905,-1279xe" filled="true" fillcolor="#000000" stroked="false">
                <v:path arrowok="t"/>
                <v:fill type="solid"/>
              </v:shape>
            </v:group>
            <v:group style="position:absolute;left:5905;top:-1279;width:10;height:20" coordorigin="5905,-1279" coordsize="10,20">
              <v:shape style="position:absolute;left:5905;top:-1279;width:10;height:20" coordorigin="5905,-1279" coordsize="10,20" path="m5905,-1260l5915,-1260,5915,-1279,5905,-1279,5905,-1260xe" filled="true" fillcolor="#000000" stroked="false">
                <v:path arrowok="t"/>
                <v:fill type="solid"/>
              </v:shape>
            </v:group>
            <v:group style="position:absolute;left:5905;top:-1260;width:10;height:20" coordorigin="5905,-1260" coordsize="10,20">
              <v:shape style="position:absolute;left:5905;top:-1260;width:10;height:20" coordorigin="5905,-1260" coordsize="10,20" path="m5905,-1240l5915,-1240,5915,-1260,5905,-1260,5905,-1240xe" filled="true" fillcolor="#000000" stroked="false">
                <v:path arrowok="t"/>
                <v:fill type="solid"/>
              </v:shape>
            </v:group>
            <v:group style="position:absolute;left:5905;top:-1240;width:10;height:20" coordorigin="5905,-1240" coordsize="10,20">
              <v:shape style="position:absolute;left:5905;top:-1240;width:10;height:20" coordorigin="5905,-1240" coordsize="10,20" path="m5905,-1221l5915,-1221,5915,-1240,5905,-1240,5905,-1221xe" filled="true" fillcolor="#000000" stroked="false">
                <v:path arrowok="t"/>
                <v:fill type="solid"/>
              </v:shape>
            </v:group>
            <v:group style="position:absolute;left:5905;top:-1221;width:10;height:20" coordorigin="5905,-1221" coordsize="10,20">
              <v:shape style="position:absolute;left:5905;top:-1221;width:10;height:20" coordorigin="5905,-1221" coordsize="10,20" path="m5905,-1202l5915,-1202,5915,-1221,5905,-1221,5905,-1202xe" filled="true" fillcolor="#000000" stroked="false">
                <v:path arrowok="t"/>
                <v:fill type="solid"/>
              </v:shape>
            </v:group>
            <v:group style="position:absolute;left:5905;top:-1202;width:10;height:20" coordorigin="5905,-1202" coordsize="10,20">
              <v:shape style="position:absolute;left:5905;top:-1202;width:10;height:20" coordorigin="5905,-1202" coordsize="10,20" path="m5905,-1183l5915,-1183,5915,-1202,5905,-1202,5905,-1183xe" filled="true" fillcolor="#000000" stroked="false">
                <v:path arrowok="t"/>
                <v:fill type="solid"/>
              </v:shape>
            </v:group>
            <v:group style="position:absolute;left:5905;top:-1183;width:10;height:20" coordorigin="5905,-1183" coordsize="10,20">
              <v:shape style="position:absolute;left:5905;top:-1183;width:10;height:20" coordorigin="5905,-1183" coordsize="10,20" path="m5905,-1164l5915,-1164,5915,-1183,5905,-1183,5905,-1164xe" filled="true" fillcolor="#000000" stroked="false">
                <v:path arrowok="t"/>
                <v:fill type="solid"/>
              </v:shape>
            </v:group>
            <v:group style="position:absolute;left:5905;top:-1164;width:10;height:20" coordorigin="5905,-1164" coordsize="10,20">
              <v:shape style="position:absolute;left:5905;top:-1164;width:10;height:20" coordorigin="5905,-1164" coordsize="10,20" path="m5905,-1144l5915,-1144,5915,-1164,5905,-1164,5905,-1144xe" filled="true" fillcolor="#000000" stroked="false">
                <v:path arrowok="t"/>
                <v:fill type="solid"/>
              </v:shape>
            </v:group>
            <v:group style="position:absolute;left:5905;top:-1144;width:10;height:20" coordorigin="5905,-1144" coordsize="10,20">
              <v:shape style="position:absolute;left:5905;top:-1144;width:10;height:20" coordorigin="5905,-1144" coordsize="10,20" path="m5905,-1125l5915,-1125,5915,-1144,5905,-1144,5905,-1125xe" filled="true" fillcolor="#000000" stroked="false">
                <v:path arrowok="t"/>
                <v:fill type="solid"/>
              </v:shape>
            </v:group>
            <v:group style="position:absolute;left:5905;top:-1125;width:10;height:20" coordorigin="5905,-1125" coordsize="10,20">
              <v:shape style="position:absolute;left:5905;top:-1125;width:10;height:20" coordorigin="5905,-1125" coordsize="10,20" path="m5905,-1106l5915,-1106,5915,-1125,5905,-1125,5905,-1106xe" filled="true" fillcolor="#000000" stroked="false">
                <v:path arrowok="t"/>
                <v:fill type="solid"/>
              </v:shape>
            </v:group>
            <v:group style="position:absolute;left:5905;top:-1106;width:10;height:20" coordorigin="5905,-1106" coordsize="10,20">
              <v:shape style="position:absolute;left:5905;top:-1106;width:10;height:20" coordorigin="5905,-1106" coordsize="10,20" path="m5905,-1087l5915,-1087,5915,-1106,5905,-1106,5905,-1087xe" filled="true" fillcolor="#000000" stroked="false">
                <v:path arrowok="t"/>
                <v:fill type="solid"/>
              </v:shape>
            </v:group>
            <v:group style="position:absolute;left:5905;top:-1087;width:10;height:20" coordorigin="5905,-1087" coordsize="10,20">
              <v:shape style="position:absolute;left:5905;top:-1087;width:10;height:20" coordorigin="5905,-1087" coordsize="10,20" path="m5905,-1068l5915,-1068,5915,-1087,5905,-1087,5905,-1068xe" filled="true" fillcolor="#000000" stroked="false">
                <v:path arrowok="t"/>
                <v:fill type="solid"/>
              </v:shape>
            </v:group>
            <v:group style="position:absolute;left:5905;top:-1068;width:10;height:20" coordorigin="5905,-1068" coordsize="10,20">
              <v:shape style="position:absolute;left:5905;top:-1068;width:10;height:20" coordorigin="5905,-1068" coordsize="10,20" path="m5905,-1048l5915,-1048,5915,-1068,5905,-1068,5905,-1048xe" filled="true" fillcolor="#000000" stroked="false">
                <v:path arrowok="t"/>
                <v:fill type="solid"/>
              </v:shape>
            </v:group>
            <v:group style="position:absolute;left:5905;top:-1048;width:10;height:20" coordorigin="5905,-1048" coordsize="10,20">
              <v:shape style="position:absolute;left:5905;top:-1048;width:10;height:20" coordorigin="5905,-1048" coordsize="10,20" path="m5905,-1029l5915,-1029,5915,-1048,5905,-1048,5905,-1029xe" filled="true" fillcolor="#000000" stroked="false">
                <v:path arrowok="t"/>
                <v:fill type="solid"/>
              </v:shape>
            </v:group>
            <v:group style="position:absolute;left:5905;top:-1029;width:10;height:20" coordorigin="5905,-1029" coordsize="10,20">
              <v:shape style="position:absolute;left:5905;top:-1029;width:10;height:20" coordorigin="5905,-1029" coordsize="10,20" path="m5905,-1010l5915,-1010,5915,-1029,5905,-1029,5905,-1010xe" filled="true" fillcolor="#000000" stroked="false">
                <v:path arrowok="t"/>
                <v:fill type="solid"/>
              </v:shape>
            </v:group>
            <v:group style="position:absolute;left:5905;top:-1010;width:10;height:20" coordorigin="5905,-1010" coordsize="10,20">
              <v:shape style="position:absolute;left:5905;top:-1010;width:10;height:20" coordorigin="5905,-1010" coordsize="10,20" path="m5905,-991l5915,-991,5915,-1010,5905,-1010,5905,-991xe" filled="true" fillcolor="#000000" stroked="false">
                <v:path arrowok="t"/>
                <v:fill type="solid"/>
              </v:shape>
            </v:group>
            <v:group style="position:absolute;left:5905;top:-991;width:10;height:20" coordorigin="5905,-991" coordsize="10,20">
              <v:shape style="position:absolute;left:5905;top:-991;width:10;height:20" coordorigin="5905,-991" coordsize="10,20" path="m5905,-972l5915,-972,5915,-991,5905,-991,5905,-972xe" filled="true" fillcolor="#000000" stroked="false">
                <v:path arrowok="t"/>
                <v:fill type="solid"/>
              </v:shape>
            </v:group>
            <v:group style="position:absolute;left:5905;top:-972;width:10;height:20" coordorigin="5905,-972" coordsize="10,20">
              <v:shape style="position:absolute;left:5905;top:-972;width:10;height:20" coordorigin="5905,-972" coordsize="10,20" path="m5905,-952l5915,-952,5915,-972,5905,-972,5905,-952xe" filled="true" fillcolor="#000000" stroked="false">
                <v:path arrowok="t"/>
                <v:fill type="solid"/>
              </v:shape>
            </v:group>
            <v:group style="position:absolute;left:5905;top:-952;width:10;height:20" coordorigin="5905,-952" coordsize="10,20">
              <v:shape style="position:absolute;left:5905;top:-952;width:10;height:20" coordorigin="5905,-952" coordsize="10,20" path="m5905,-933l5915,-933,5915,-952,5905,-952,5905,-933xe" filled="true" fillcolor="#000000" stroked="false">
                <v:path arrowok="t"/>
                <v:fill type="solid"/>
              </v:shape>
            </v:group>
            <v:group style="position:absolute;left:5905;top:-933;width:10;height:20" coordorigin="5905,-933" coordsize="10,20">
              <v:shape style="position:absolute;left:5905;top:-933;width:10;height:20" coordorigin="5905,-933" coordsize="10,20" path="m5905,-914l5915,-914,5915,-933,5905,-933,5905,-914xe" filled="true" fillcolor="#000000" stroked="false">
                <v:path arrowok="t"/>
                <v:fill type="solid"/>
              </v:shape>
            </v:group>
            <v:group style="position:absolute;left:5905;top:-914;width:10;height:20" coordorigin="5905,-914" coordsize="10,20">
              <v:shape style="position:absolute;left:5905;top:-914;width:10;height:20" coordorigin="5905,-914" coordsize="10,20" path="m5905,-895l5915,-895,5915,-914,5905,-914,5905,-895xe" filled="true" fillcolor="#000000" stroked="false">
                <v:path arrowok="t"/>
                <v:fill type="solid"/>
              </v:shape>
            </v:group>
            <v:group style="position:absolute;left:5905;top:-895;width:10;height:20" coordorigin="5905,-895" coordsize="10,20">
              <v:shape style="position:absolute;left:5905;top:-895;width:10;height:20" coordorigin="5905,-895" coordsize="10,20" path="m5905,-876l5915,-876,5915,-895,5905,-895,5905,-876xe" filled="true" fillcolor="#000000" stroked="false">
                <v:path arrowok="t"/>
                <v:fill type="solid"/>
              </v:shape>
            </v:group>
            <v:group style="position:absolute;left:5905;top:-871;width:10;height:2" coordorigin="5905,-871" coordsize="10,2">
              <v:shape style="position:absolute;left:5905;top:-871;width:10;height:2" coordorigin="5905,-871" coordsize="10,0" path="m5905,-871l5915,-871e" filled="false" stroked="true" strokeweight=".47998pt" strokecolor="#000000">
                <v:path arrowok="t"/>
              </v:shape>
              <v:shape style="position:absolute;left:2405;top:-866;width:1801;height:10" type="#_x0000_t75" stroked="false">
                <v:imagedata r:id="rId243" o:title=""/>
              </v:shape>
              <v:shape style="position:absolute;left:4201;top:-866;width:2753;height:10" type="#_x0000_t75" stroked="false">
                <v:imagedata r:id="rId250" o:title=""/>
              </v:shape>
              <v:shape style="position:absolute;left:6949;top:-866;width:1082;height:10" type="#_x0000_t75" stroked="false">
                <v:imagedata r:id="rId251" o:title=""/>
              </v:shape>
            </v:group>
            <v:group style="position:absolute;left:4206;top:-856;width:10;height:20" coordorigin="4206,-856" coordsize="10,20">
              <v:shape style="position:absolute;left:4206;top:-856;width:10;height:20" coordorigin="4206,-856" coordsize="10,20" path="m4206,-837l4215,-837,4215,-856,4206,-856,4206,-837xe" filled="true" fillcolor="#000000" stroked="false">
                <v:path arrowok="t"/>
                <v:fill type="solid"/>
              </v:shape>
            </v:group>
            <v:group style="position:absolute;left:4206;top:-837;width:10;height:20" coordorigin="4206,-837" coordsize="10,20">
              <v:shape style="position:absolute;left:4206;top:-837;width:10;height:20" coordorigin="4206,-837" coordsize="10,20" path="m4206,-818l4215,-818,4215,-837,4206,-837,4206,-818xe" filled="true" fillcolor="#000000" stroked="false">
                <v:path arrowok="t"/>
                <v:fill type="solid"/>
              </v:shape>
            </v:group>
            <v:group style="position:absolute;left:4206;top:-818;width:10;height:20" coordorigin="4206,-818" coordsize="10,20">
              <v:shape style="position:absolute;left:4206;top:-818;width:10;height:20" coordorigin="4206,-818" coordsize="10,20" path="m4206,-799l4215,-799,4215,-818,4206,-818,4206,-799xe" filled="true" fillcolor="#000000" stroked="false">
                <v:path arrowok="t"/>
                <v:fill type="solid"/>
              </v:shape>
            </v:group>
            <v:group style="position:absolute;left:4206;top:-799;width:10;height:20" coordorigin="4206,-799" coordsize="10,20">
              <v:shape style="position:absolute;left:4206;top:-799;width:10;height:20" coordorigin="4206,-799" coordsize="10,20" path="m4206,-780l4215,-780,4215,-799,4206,-799,4206,-780xe" filled="true" fillcolor="#000000" stroked="false">
                <v:path arrowok="t"/>
                <v:fill type="solid"/>
              </v:shape>
            </v:group>
            <v:group style="position:absolute;left:4206;top:-780;width:10;height:20" coordorigin="4206,-780" coordsize="10,20">
              <v:shape style="position:absolute;left:4206;top:-780;width:10;height:20" coordorigin="4206,-780" coordsize="10,20" path="m4206,-760l4215,-760,4215,-780,4206,-780,4206,-760xe" filled="true" fillcolor="#000000" stroked="false">
                <v:path arrowok="t"/>
                <v:fill type="solid"/>
              </v:shape>
            </v:group>
            <v:group style="position:absolute;left:4206;top:-760;width:10;height:20" coordorigin="4206,-760" coordsize="10,20">
              <v:shape style="position:absolute;left:4206;top:-760;width:10;height:20" coordorigin="4206,-760" coordsize="10,20" path="m4206,-741l4215,-741,4215,-760,4206,-760,4206,-741xe" filled="true" fillcolor="#000000" stroked="false">
                <v:path arrowok="t"/>
                <v:fill type="solid"/>
              </v:shape>
            </v:group>
            <v:group style="position:absolute;left:4206;top:-741;width:10;height:20" coordorigin="4206,-741" coordsize="10,20">
              <v:shape style="position:absolute;left:4206;top:-741;width:10;height:20" coordorigin="4206,-741" coordsize="10,20" path="m4206,-722l4215,-722,4215,-741,4206,-741,4206,-722xe" filled="true" fillcolor="#000000" stroked="false">
                <v:path arrowok="t"/>
                <v:fill type="solid"/>
              </v:shape>
            </v:group>
            <v:group style="position:absolute;left:4206;top:-722;width:10;height:20" coordorigin="4206,-722" coordsize="10,20">
              <v:shape style="position:absolute;left:4206;top:-722;width:10;height:20" coordorigin="4206,-722" coordsize="10,20" path="m4206,-703l4215,-703,4215,-722,4206,-722,4206,-703xe" filled="true" fillcolor="#000000" stroked="false">
                <v:path arrowok="t"/>
                <v:fill type="solid"/>
              </v:shape>
            </v:group>
            <v:group style="position:absolute;left:4206;top:-703;width:10;height:20" coordorigin="4206,-703" coordsize="10,20">
              <v:shape style="position:absolute;left:4206;top:-703;width:10;height:20" coordorigin="4206,-703" coordsize="10,20" path="m4206,-684l4215,-684,4215,-703,4206,-703,4206,-684xe" filled="true" fillcolor="#000000" stroked="false">
                <v:path arrowok="t"/>
                <v:fill type="solid"/>
              </v:shape>
            </v:group>
            <v:group style="position:absolute;left:4206;top:-684;width:10;height:20" coordorigin="4206,-684" coordsize="10,20">
              <v:shape style="position:absolute;left:4206;top:-684;width:10;height:20" coordorigin="4206,-684" coordsize="10,20" path="m4206,-664l4215,-664,4215,-684,4206,-684,4206,-664xe" filled="true" fillcolor="#000000" stroked="false">
                <v:path arrowok="t"/>
                <v:fill type="solid"/>
              </v:shape>
            </v:group>
            <v:group style="position:absolute;left:4206;top:-664;width:10;height:20" coordorigin="4206,-664" coordsize="10,20">
              <v:shape style="position:absolute;left:4206;top:-664;width:10;height:20" coordorigin="4206,-664" coordsize="10,20" path="m4206,-645l4215,-645,4215,-664,4206,-664,4206,-645xe" filled="true" fillcolor="#000000" stroked="false">
                <v:path arrowok="t"/>
                <v:fill type="solid"/>
              </v:shape>
            </v:group>
            <v:group style="position:absolute;left:4206;top:-645;width:10;height:20" coordorigin="4206,-645" coordsize="10,20">
              <v:shape style="position:absolute;left:4206;top:-645;width:10;height:20" coordorigin="4206,-645" coordsize="10,20" path="m4206,-626l4215,-626,4215,-645,4206,-645,4206,-626xe" filled="true" fillcolor="#000000" stroked="false">
                <v:path arrowok="t"/>
                <v:fill type="solid"/>
              </v:shape>
            </v:group>
            <v:group style="position:absolute;left:4206;top:-626;width:10;height:20" coordorigin="4206,-626" coordsize="10,20">
              <v:shape style="position:absolute;left:4206;top:-626;width:10;height:20" coordorigin="4206,-626" coordsize="10,20" path="m4206,-607l4215,-607,4215,-626,4206,-626,4206,-607xe" filled="true" fillcolor="#000000" stroked="false">
                <v:path arrowok="t"/>
                <v:fill type="solid"/>
              </v:shape>
            </v:group>
            <v:group style="position:absolute;left:4206;top:-607;width:10;height:20" coordorigin="4206,-607" coordsize="10,20">
              <v:shape style="position:absolute;left:4206;top:-607;width:10;height:20" coordorigin="4206,-607" coordsize="10,20" path="m4206,-588l4215,-588,4215,-607,4206,-607,4206,-588xe" filled="true" fillcolor="#000000" stroked="false">
                <v:path arrowok="t"/>
                <v:fill type="solid"/>
              </v:shape>
            </v:group>
            <v:group style="position:absolute;left:4206;top:-588;width:10;height:20" coordorigin="4206,-588" coordsize="10,20">
              <v:shape style="position:absolute;left:4206;top:-588;width:10;height:20" coordorigin="4206,-588" coordsize="10,20" path="m4206,-568l4215,-568,4215,-588,4206,-588,4206,-568xe" filled="true" fillcolor="#000000" stroked="false">
                <v:path arrowok="t"/>
                <v:fill type="solid"/>
              </v:shape>
            </v:group>
            <v:group style="position:absolute;left:4206;top:-568;width:10;height:20" coordorigin="4206,-568" coordsize="10,20">
              <v:shape style="position:absolute;left:4206;top:-568;width:10;height:20" coordorigin="4206,-568" coordsize="10,20" path="m4206,-549l4215,-549,4215,-568,4206,-568,4206,-549xe" filled="true" fillcolor="#000000" stroked="false">
                <v:path arrowok="t"/>
                <v:fill type="solid"/>
              </v:shape>
            </v:group>
            <v:group style="position:absolute;left:2405;top:-453;width:1801;height:2" coordorigin="2405,-453" coordsize="1801,2">
              <v:shape style="position:absolute;left:2405;top:-453;width:1801;height:2" coordorigin="2405,-453" coordsize="1801,0" path="m2405,-453l4206,-453e" filled="false" stroked="true" strokeweight="1.44pt" strokecolor="#000000">
                <v:path arrowok="t"/>
              </v:shape>
            </v:group>
            <v:group style="position:absolute;left:4206;top:-549;width:10;height:20" coordorigin="4206,-549" coordsize="10,20">
              <v:shape style="position:absolute;left:4206;top:-549;width:10;height:20" coordorigin="4206,-549" coordsize="10,20" path="m4206,-530l4215,-530,4215,-549,4206,-549,4206,-530xe" filled="true" fillcolor="#000000" stroked="false">
                <v:path arrowok="t"/>
                <v:fill type="solid"/>
              </v:shape>
            </v:group>
            <v:group style="position:absolute;left:4206;top:-530;width:10;height:20" coordorigin="4206,-530" coordsize="10,20">
              <v:shape style="position:absolute;left:4206;top:-530;width:10;height:20" coordorigin="4206,-530" coordsize="10,20" path="m4206,-511l4215,-511,4215,-530,4206,-530,4206,-511xe" filled="true" fillcolor="#000000" stroked="false">
                <v:path arrowok="t"/>
                <v:fill type="solid"/>
              </v:shape>
            </v:group>
            <v:group style="position:absolute;left:4206;top:-511;width:10;height:20" coordorigin="4206,-511" coordsize="10,20">
              <v:shape style="position:absolute;left:4206;top:-511;width:10;height:20" coordorigin="4206,-511" coordsize="10,20" path="m4206,-492l4215,-492,4215,-511,4206,-511,4206,-492xe" filled="true" fillcolor="#000000" stroked="false">
                <v:path arrowok="t"/>
                <v:fill type="solid"/>
              </v:shape>
            </v:group>
            <v:group style="position:absolute;left:4206;top:-492;width:10;height:20" coordorigin="4206,-492" coordsize="10,20">
              <v:shape style="position:absolute;left:4206;top:-492;width:10;height:20" coordorigin="4206,-492" coordsize="10,20" path="m4206,-472l4215,-472,4215,-492,4206,-492,4206,-472xe" filled="true" fillcolor="#000000" stroked="false">
                <v:path arrowok="t"/>
                <v:fill type="solid"/>
              </v:shape>
              <v:shape style="position:absolute;left:4206;top:-472;width:10;height:5" type="#_x0000_t75" stroked="false">
                <v:imagedata r:id="rId253" o:title=""/>
              </v:shape>
            </v:group>
            <v:group style="position:absolute;left:4206;top:-453;width:29;height:2" coordorigin="4206,-453" coordsize="29,2">
              <v:shape style="position:absolute;left:4206;top:-453;width:29;height:2" coordorigin="4206,-453" coordsize="29,0" path="m4206,-453l4235,-453e" filled="false" stroked="true" strokeweight="1.44pt" strokecolor="#000000">
                <v:path arrowok="t"/>
              </v:shape>
            </v:group>
            <v:group style="position:absolute;left:4235;top:-453;width:1671;height:2" coordorigin="4235,-453" coordsize="1671,2">
              <v:shape style="position:absolute;left:4235;top:-453;width:1671;height:2" coordorigin="4235,-453" coordsize="1671,0" path="m4235,-453l5905,-453e" filled="false" stroked="true" strokeweight="1.44pt" strokecolor="#000000">
                <v:path arrowok="t"/>
              </v:shape>
            </v:group>
            <v:group style="position:absolute;left:5905;top:-856;width:10;height:20" coordorigin="5905,-856" coordsize="10,20">
              <v:shape style="position:absolute;left:5905;top:-856;width:10;height:20" coordorigin="5905,-856" coordsize="10,20" path="m5905,-837l5915,-837,5915,-856,5905,-856,5905,-837xe" filled="true" fillcolor="#000000" stroked="false">
                <v:path arrowok="t"/>
                <v:fill type="solid"/>
              </v:shape>
            </v:group>
            <v:group style="position:absolute;left:5905;top:-837;width:10;height:20" coordorigin="5905,-837" coordsize="10,20">
              <v:shape style="position:absolute;left:5905;top:-837;width:10;height:20" coordorigin="5905,-837" coordsize="10,20" path="m5905,-818l5915,-818,5915,-837,5905,-837,5905,-818xe" filled="true" fillcolor="#000000" stroked="false">
                <v:path arrowok="t"/>
                <v:fill type="solid"/>
              </v:shape>
            </v:group>
            <v:group style="position:absolute;left:5905;top:-818;width:10;height:20" coordorigin="5905,-818" coordsize="10,20">
              <v:shape style="position:absolute;left:5905;top:-818;width:10;height:20" coordorigin="5905,-818" coordsize="10,20" path="m5905,-799l5915,-799,5915,-818,5905,-818,5905,-799xe" filled="true" fillcolor="#000000" stroked="false">
                <v:path arrowok="t"/>
                <v:fill type="solid"/>
              </v:shape>
            </v:group>
            <v:group style="position:absolute;left:5905;top:-799;width:10;height:20" coordorigin="5905,-799" coordsize="10,20">
              <v:shape style="position:absolute;left:5905;top:-799;width:10;height:20" coordorigin="5905,-799" coordsize="10,20" path="m5905,-780l5915,-780,5915,-799,5905,-799,5905,-780xe" filled="true" fillcolor="#000000" stroked="false">
                <v:path arrowok="t"/>
                <v:fill type="solid"/>
              </v:shape>
            </v:group>
            <v:group style="position:absolute;left:5905;top:-780;width:10;height:20" coordorigin="5905,-780" coordsize="10,20">
              <v:shape style="position:absolute;left:5905;top:-780;width:10;height:20" coordorigin="5905,-780" coordsize="10,20" path="m5905,-760l5915,-760,5915,-780,5905,-780,5905,-760xe" filled="true" fillcolor="#000000" stroked="false">
                <v:path arrowok="t"/>
                <v:fill type="solid"/>
              </v:shape>
            </v:group>
            <v:group style="position:absolute;left:5905;top:-760;width:10;height:20" coordorigin="5905,-760" coordsize="10,20">
              <v:shape style="position:absolute;left:5905;top:-760;width:10;height:20" coordorigin="5905,-760" coordsize="10,20" path="m5905,-741l5915,-741,5915,-760,5905,-760,5905,-741xe" filled="true" fillcolor="#000000" stroked="false">
                <v:path arrowok="t"/>
                <v:fill type="solid"/>
              </v:shape>
            </v:group>
            <v:group style="position:absolute;left:5905;top:-741;width:10;height:20" coordorigin="5905,-741" coordsize="10,20">
              <v:shape style="position:absolute;left:5905;top:-741;width:10;height:20" coordorigin="5905,-741" coordsize="10,20" path="m5905,-722l5915,-722,5915,-741,5905,-741,5905,-722xe" filled="true" fillcolor="#000000" stroked="false">
                <v:path arrowok="t"/>
                <v:fill type="solid"/>
              </v:shape>
            </v:group>
            <v:group style="position:absolute;left:5905;top:-722;width:10;height:20" coordorigin="5905,-722" coordsize="10,20">
              <v:shape style="position:absolute;left:5905;top:-722;width:10;height:20" coordorigin="5905,-722" coordsize="10,20" path="m5905,-703l5915,-703,5915,-722,5905,-722,5905,-703xe" filled="true" fillcolor="#000000" stroked="false">
                <v:path arrowok="t"/>
                <v:fill type="solid"/>
              </v:shape>
            </v:group>
            <v:group style="position:absolute;left:5905;top:-703;width:10;height:20" coordorigin="5905,-703" coordsize="10,20">
              <v:shape style="position:absolute;left:5905;top:-703;width:10;height:20" coordorigin="5905,-703" coordsize="10,20" path="m5905,-684l5915,-684,5915,-703,5905,-703,5905,-684xe" filled="true" fillcolor="#000000" stroked="false">
                <v:path arrowok="t"/>
                <v:fill type="solid"/>
              </v:shape>
            </v:group>
            <v:group style="position:absolute;left:5905;top:-684;width:10;height:20" coordorigin="5905,-684" coordsize="10,20">
              <v:shape style="position:absolute;left:5905;top:-684;width:10;height:20" coordorigin="5905,-684" coordsize="10,20" path="m5905,-664l5915,-664,5915,-684,5905,-684,5905,-664xe" filled="true" fillcolor="#000000" stroked="false">
                <v:path arrowok="t"/>
                <v:fill type="solid"/>
              </v:shape>
            </v:group>
            <v:group style="position:absolute;left:5905;top:-664;width:10;height:20" coordorigin="5905,-664" coordsize="10,20">
              <v:shape style="position:absolute;left:5905;top:-664;width:10;height:20" coordorigin="5905,-664" coordsize="10,20" path="m5905,-645l5915,-645,5915,-664,5905,-664,5905,-645xe" filled="true" fillcolor="#000000" stroked="false">
                <v:path arrowok="t"/>
                <v:fill type="solid"/>
              </v:shape>
            </v:group>
            <v:group style="position:absolute;left:5905;top:-645;width:10;height:20" coordorigin="5905,-645" coordsize="10,20">
              <v:shape style="position:absolute;left:5905;top:-645;width:10;height:20" coordorigin="5905,-645" coordsize="10,20" path="m5905,-626l5915,-626,5915,-645,5905,-645,5905,-626xe" filled="true" fillcolor="#000000" stroked="false">
                <v:path arrowok="t"/>
                <v:fill type="solid"/>
              </v:shape>
            </v:group>
            <v:group style="position:absolute;left:5905;top:-626;width:10;height:20" coordorigin="5905,-626" coordsize="10,20">
              <v:shape style="position:absolute;left:5905;top:-626;width:10;height:20" coordorigin="5905,-626" coordsize="10,20" path="m5905,-607l5915,-607,5915,-626,5905,-626,5905,-607xe" filled="true" fillcolor="#000000" stroked="false">
                <v:path arrowok="t"/>
                <v:fill type="solid"/>
              </v:shape>
            </v:group>
            <v:group style="position:absolute;left:5905;top:-607;width:10;height:20" coordorigin="5905,-607" coordsize="10,20">
              <v:shape style="position:absolute;left:5905;top:-607;width:10;height:20" coordorigin="5905,-607" coordsize="10,20" path="m5905,-588l5915,-588,5915,-607,5905,-607,5905,-588xe" filled="true" fillcolor="#000000" stroked="false">
                <v:path arrowok="t"/>
                <v:fill type="solid"/>
              </v:shape>
            </v:group>
            <v:group style="position:absolute;left:5905;top:-588;width:10;height:20" coordorigin="5905,-588" coordsize="10,20">
              <v:shape style="position:absolute;left:5905;top:-588;width:10;height:20" coordorigin="5905,-588" coordsize="10,20" path="m5905,-568l5915,-568,5915,-588,5905,-588,5905,-568xe" filled="true" fillcolor="#000000" stroked="false">
                <v:path arrowok="t"/>
                <v:fill type="solid"/>
              </v:shape>
            </v:group>
            <v:group style="position:absolute;left:5905;top:-568;width:10;height:20" coordorigin="5905,-568" coordsize="10,20">
              <v:shape style="position:absolute;left:5905;top:-568;width:10;height:20" coordorigin="5905,-568" coordsize="10,20" path="m5905,-549l5915,-549,5915,-568,5905,-568,5905,-549xe" filled="true" fillcolor="#000000" stroked="false">
                <v:path arrowok="t"/>
                <v:fill type="solid"/>
              </v:shape>
            </v:group>
            <v:group style="position:absolute;left:5905;top:-549;width:10;height:20" coordorigin="5905,-549" coordsize="10,20">
              <v:shape style="position:absolute;left:5905;top:-549;width:10;height:20" coordorigin="5905,-549" coordsize="10,20" path="m5905,-530l5915,-530,5915,-549,5905,-549,5905,-530xe" filled="true" fillcolor="#000000" stroked="false">
                <v:path arrowok="t"/>
                <v:fill type="solid"/>
              </v:shape>
            </v:group>
            <v:group style="position:absolute;left:5905;top:-530;width:10;height:20" coordorigin="5905,-530" coordsize="10,20">
              <v:shape style="position:absolute;left:5905;top:-530;width:10;height:20" coordorigin="5905,-530" coordsize="10,20" path="m5905,-511l5915,-511,5915,-530,5905,-530,5905,-511xe" filled="true" fillcolor="#000000" stroked="false">
                <v:path arrowok="t"/>
                <v:fill type="solid"/>
              </v:shape>
            </v:group>
            <v:group style="position:absolute;left:5905;top:-511;width:10;height:20" coordorigin="5905,-511" coordsize="10,20">
              <v:shape style="position:absolute;left:5905;top:-511;width:10;height:20" coordorigin="5905,-511" coordsize="10,20" path="m5905,-492l5915,-492,5915,-511,5905,-511,5905,-492xe" filled="true" fillcolor="#000000" stroked="false">
                <v:path arrowok="t"/>
                <v:fill type="solid"/>
              </v:shape>
            </v:group>
            <v:group style="position:absolute;left:5905;top:-492;width:10;height:20" coordorigin="5905,-492" coordsize="10,20">
              <v:shape style="position:absolute;left:5905;top:-492;width:10;height:20" coordorigin="5905,-492" coordsize="10,20" path="m5905,-472l5915,-472,5915,-492,5905,-492,5905,-472xe" filled="true" fillcolor="#000000" stroked="false">
                <v:path arrowok="t"/>
                <v:fill type="solid"/>
              </v:shape>
              <v:shape style="position:absolute;left:5905;top:-472;width:10;height:5" type="#_x0000_t75" stroked="false">
                <v:imagedata r:id="rId253" o:title=""/>
              </v:shape>
            </v:group>
            <v:group style="position:absolute;left:5905;top:-453;width:29;height:2" coordorigin="5905,-453" coordsize="29,2">
              <v:shape style="position:absolute;left:5905;top:-453;width:29;height:2" coordorigin="5905,-453" coordsize="29,0" path="m5905,-453l5934,-453e" filled="false" stroked="true" strokeweight="1.44pt" strokecolor="#000000">
                <v:path arrowok="t"/>
              </v:shape>
            </v:group>
            <v:group style="position:absolute;left:5934;top:-453;width:1021;height:2" coordorigin="5934,-453" coordsize="1021,2">
              <v:shape style="position:absolute;left:5934;top:-453;width:1021;height:2" coordorigin="5934,-453" coordsize="1021,0" path="m5934,-453l6954,-453e" filled="false" stroked="true" strokeweight="1.44pt" strokecolor="#000000">
                <v:path arrowok="t"/>
              </v:shape>
            </v:group>
            <v:group style="position:absolute;left:6954;top:-492;width:10;height:20" coordorigin="6954,-492" coordsize="10,20">
              <v:shape style="position:absolute;left:6954;top:-492;width:10;height:20" coordorigin="6954,-492" coordsize="10,20" path="m6954,-472l6964,-472,6964,-492,6954,-492,6954,-472xe" filled="true" fillcolor="#000000" stroked="false">
                <v:path arrowok="t"/>
                <v:fill type="solid"/>
              </v:shape>
            </v:group>
            <v:group style="position:absolute;left:6954;top:-470;width:10;height:2" coordorigin="6954,-470" coordsize="10,2">
              <v:shape style="position:absolute;left:6954;top:-470;width:10;height:2" coordorigin="6954,-470" coordsize="10,0" path="m6954,-470l6964,-470e" filled="false" stroked="true" strokeweight=".23999pt" strokecolor="#000000">
                <v:path arrowok="t"/>
              </v:shape>
            </v:group>
            <v:group style="position:absolute;left:6954;top:-453;width:29;height:2" coordorigin="6954,-453" coordsize="29,2">
              <v:shape style="position:absolute;left:6954;top:-453;width:29;height:2" coordorigin="6954,-453" coordsize="29,0" path="m6954,-453l6983,-453e" filled="false" stroked="true" strokeweight="1.44pt" strokecolor="#000000">
                <v:path arrowok="t"/>
              </v:shape>
            </v:group>
            <v:group style="position:absolute;left:6983;top:-453;width:1049;height:2" coordorigin="6983,-453" coordsize="1049,2">
              <v:shape style="position:absolute;left:6983;top:-453;width:1049;height:2" coordorigin="6983,-453" coordsize="1049,0" path="m6983,-453l8032,-453e" filled="false" stroked="true" strokeweight="1.44pt" strokecolor="#000000">
                <v:path arrowok="t"/>
              </v:shape>
            </v:group>
            <v:group style="position:absolute;left:8032;top:-492;width:10;height:20" coordorigin="8032,-492" coordsize="10,20">
              <v:shape style="position:absolute;left:8032;top:-492;width:10;height:20" coordorigin="8032,-492" coordsize="10,20" path="m8032,-472l8041,-472,8041,-492,8032,-492,8032,-472xe" filled="true" fillcolor="#000000" stroked="false">
                <v:path arrowok="t"/>
                <v:fill type="solid"/>
              </v:shape>
            </v:group>
            <v:group style="position:absolute;left:8032;top:-470;width:10;height:2" coordorigin="8032,-470" coordsize="10,2">
              <v:shape style="position:absolute;left:8032;top:-470;width:10;height:2" coordorigin="8032,-470" coordsize="10,0" path="m8032,-470l8041,-470e" filled="false" stroked="true" strokeweight=".23999pt" strokecolor="#000000">
                <v:path arrowok="t"/>
              </v:shape>
            </v:group>
            <v:group style="position:absolute;left:8032;top:-453;width:29;height:2" coordorigin="8032,-453" coordsize="29,2">
              <v:shape style="position:absolute;left:8032;top:-453;width:29;height:2" coordorigin="8032,-453" coordsize="29,0" path="m8032,-453l8061,-453e" filled="false" stroked="true" strokeweight="1.44pt" strokecolor="#000000">
                <v:path arrowok="t"/>
              </v:shape>
            </v:group>
            <v:group style="position:absolute;left:8061;top:-453;width:965;height:2" coordorigin="8061,-453" coordsize="965,2">
              <v:shape style="position:absolute;left:8061;top:-453;width:965;height:2" coordorigin="8061,-453" coordsize="965,0" path="m8061,-453l9025,-453e" filled="false" stroked="true" strokeweight="1.44pt" strokecolor="#000000">
                <v:path arrowok="t"/>
              </v:shape>
            </v:group>
            <v:group style="position:absolute;left:9025;top:-492;width:10;height:20" coordorigin="9025,-492" coordsize="10,20">
              <v:shape style="position:absolute;left:9025;top:-492;width:10;height:20" coordorigin="9025,-492" coordsize="10,20" path="m9025,-472l9035,-472,9035,-492,9025,-492,9025,-472xe" filled="true" fillcolor="#000000" stroked="false">
                <v:path arrowok="t"/>
                <v:fill type="solid"/>
              </v:shape>
              <v:shape style="position:absolute;left:9025;top:-472;width:10;height:5" type="#_x0000_t75" stroked="false">
                <v:imagedata r:id="rId253" o:title=""/>
              </v:shape>
            </v:group>
            <v:group style="position:absolute;left:9025;top:-453;width:30;height:2" coordorigin="9025,-453" coordsize="30,2">
              <v:shape style="position:absolute;left:9025;top:-453;width:30;height:2" coordorigin="9025,-453" coordsize="30,0" path="m9025,-453l9055,-453e" filled="false" stroked="true" strokeweight="1.44pt" strokecolor="#000000">
                <v:path arrowok="t"/>
              </v:shape>
            </v:group>
            <v:group style="position:absolute;left:9055;top:-453;width:1414;height:2" coordorigin="9055,-453" coordsize="1414,2">
              <v:shape style="position:absolute;left:9055;top:-453;width:1414;height:2" coordorigin="9055,-453" coordsize="1414,0" path="m9055,-453l10468,-453e" filled="false" stroked="true" strokeweight="1.44pt" strokecolor="#000000">
                <v:path arrowok="t"/>
              </v:shape>
              <v:shape style="position:absolute;left:6018;top:-12153;width:152;height:152" type="#_x0000_t202" filled="false" stroked="false">
                <v:textbox inset="0,0,0,0">
                  <w:txbxContent>
                    <w:p>
                      <w:pPr>
                        <w:spacing w:line="151" w:lineRule="exact" w:before="0"/>
                        <w:ind w:left="0" w:right="0" w:firstLine="0"/>
                        <w:jc w:val="left"/>
                        <w:rPr>
                          <w:rFonts w:ascii="宋体" w:hAnsi="宋体" w:cs="宋体" w:eastAsia="宋体" w:hint="default"/>
                          <w:sz w:val="15"/>
                          <w:szCs w:val="15"/>
                        </w:rPr>
                      </w:pPr>
                      <w:r>
                        <w:rPr>
                          <w:rFonts w:ascii="宋体" w:hAnsi="宋体" w:cs="宋体" w:eastAsia="宋体" w:hint="default"/>
                          <w:w w:val="100"/>
                          <w:sz w:val="15"/>
                          <w:szCs w:val="15"/>
                        </w:rPr>
                        <w:t>评</w:t>
                      </w:r>
                    </w:p>
                  </w:txbxContent>
                </v:textbox>
                <w10:wrap type="none"/>
              </v:shape>
              <v:shape style="position:absolute;left:2705;top:-11953;width:1203;height:152" type="#_x0000_t202" filled="false" stroked="false">
                <v:textbox inset="0,0,0,0">
                  <w:txbxContent>
                    <w:p>
                      <w:pPr>
                        <w:spacing w:line="151" w:lineRule="exact" w:before="0"/>
                        <w:ind w:left="0" w:right="0" w:firstLine="0"/>
                        <w:jc w:val="left"/>
                        <w:rPr>
                          <w:rFonts w:ascii="宋体" w:hAnsi="宋体" w:cs="宋体" w:eastAsia="宋体" w:hint="default"/>
                          <w:sz w:val="15"/>
                          <w:szCs w:val="15"/>
                        </w:rPr>
                      </w:pPr>
                      <w:r>
                        <w:rPr>
                          <w:rFonts w:ascii="宋体" w:hAnsi="宋体" w:cs="宋体" w:eastAsia="宋体" w:hint="default"/>
                          <w:spacing w:val="-2"/>
                          <w:sz w:val="15"/>
                          <w:szCs w:val="15"/>
                        </w:rPr>
                        <w:t>其他质押资产名称</w:t>
                      </w:r>
                    </w:p>
                  </w:txbxContent>
                </v:textbox>
                <w10:wrap type="none"/>
              </v:shape>
              <v:shape style="position:absolute;left:4758;top:-11953;width:603;height:152" type="#_x0000_t202" filled="false" stroked="false">
                <v:textbox inset="0,0,0,0">
                  <w:txbxContent>
                    <w:p>
                      <w:pPr>
                        <w:spacing w:line="151" w:lineRule="exact" w:before="0"/>
                        <w:ind w:left="0" w:right="0" w:firstLine="0"/>
                        <w:jc w:val="left"/>
                        <w:rPr>
                          <w:rFonts w:ascii="宋体" w:hAnsi="宋体" w:cs="宋体" w:eastAsia="宋体" w:hint="default"/>
                          <w:sz w:val="15"/>
                          <w:szCs w:val="15"/>
                        </w:rPr>
                      </w:pPr>
                      <w:r>
                        <w:rPr>
                          <w:rFonts w:ascii="宋体" w:hAnsi="宋体" w:cs="宋体" w:eastAsia="宋体" w:hint="default"/>
                          <w:spacing w:val="-1"/>
                          <w:sz w:val="15"/>
                          <w:szCs w:val="15"/>
                        </w:rPr>
                        <w:t>公司名称</w:t>
                      </w:r>
                    </w:p>
                  </w:txbxContent>
                </v:textbox>
                <w10:wrap type="none"/>
              </v:shape>
              <v:shape style="position:absolute;left:2511;top:-11344;width:1503;height:152" type="#_x0000_t202" filled="false" stroked="false">
                <v:textbox inset="0,0,0,0">
                  <w:txbxContent>
                    <w:p>
                      <w:pPr>
                        <w:spacing w:line="151" w:lineRule="exact" w:before="0"/>
                        <w:ind w:left="0" w:right="0" w:firstLine="0"/>
                        <w:jc w:val="left"/>
                        <w:rPr>
                          <w:rFonts w:ascii="宋体" w:hAnsi="宋体" w:cs="宋体" w:eastAsia="宋体" w:hint="default"/>
                          <w:sz w:val="15"/>
                          <w:szCs w:val="15"/>
                        </w:rPr>
                      </w:pPr>
                      <w:r>
                        <w:rPr>
                          <w:rFonts w:ascii="宋体" w:hAnsi="宋体" w:cs="宋体" w:eastAsia="宋体" w:hint="default"/>
                          <w:spacing w:val="-2"/>
                          <w:sz w:val="15"/>
                          <w:szCs w:val="15"/>
                        </w:rPr>
                        <w:t>中国工商银行银行定期</w:t>
                      </w:r>
                    </w:p>
                  </w:txbxContent>
                </v:textbox>
                <w10:wrap type="none"/>
              </v:shape>
              <v:shape style="position:absolute;left:4316;top:-11344;width:1354;height:152" type="#_x0000_t202" filled="false" stroked="false">
                <v:textbox inset="0,0,0,0">
                  <w:txbxContent>
                    <w:p>
                      <w:pPr>
                        <w:spacing w:line="151" w:lineRule="exact" w:before="0"/>
                        <w:ind w:left="0" w:right="0" w:firstLine="0"/>
                        <w:jc w:val="left"/>
                        <w:rPr>
                          <w:rFonts w:ascii="宋体" w:hAnsi="宋体" w:cs="宋体" w:eastAsia="宋体" w:hint="default"/>
                          <w:sz w:val="15"/>
                          <w:szCs w:val="15"/>
                        </w:rPr>
                      </w:pPr>
                      <w:r>
                        <w:rPr>
                          <w:rFonts w:ascii="宋体" w:hAnsi="宋体" w:cs="宋体" w:eastAsia="宋体" w:hint="default"/>
                          <w:spacing w:val="-1"/>
                          <w:sz w:val="15"/>
                          <w:szCs w:val="15"/>
                        </w:rPr>
                        <w:t>内蒙古乾华农业发展</w:t>
                      </w:r>
                    </w:p>
                  </w:txbxContent>
                </v:textbox>
                <w10:wrap type="none"/>
              </v:shape>
              <v:shape style="position:absolute;left:2511;top:-10943;width:303;height:152" type="#_x0000_t202" filled="false" stroked="false">
                <v:textbox inset="0,0,0,0">
                  <w:txbxContent>
                    <w:p>
                      <w:pPr>
                        <w:spacing w:line="151" w:lineRule="exact" w:before="0"/>
                        <w:ind w:left="0" w:right="0" w:firstLine="0"/>
                        <w:jc w:val="left"/>
                        <w:rPr>
                          <w:rFonts w:ascii="宋体" w:hAnsi="宋体" w:cs="宋体" w:eastAsia="宋体" w:hint="default"/>
                          <w:sz w:val="15"/>
                          <w:szCs w:val="15"/>
                        </w:rPr>
                      </w:pPr>
                      <w:r>
                        <w:rPr>
                          <w:rFonts w:ascii="宋体" w:hAnsi="宋体" w:cs="宋体" w:eastAsia="宋体" w:hint="default"/>
                          <w:sz w:val="15"/>
                          <w:szCs w:val="15"/>
                        </w:rPr>
                        <w:t>存单</w:t>
                      </w:r>
                    </w:p>
                  </w:txbxContent>
                </v:textbox>
                <w10:wrap type="none"/>
              </v:shape>
              <v:shape style="position:absolute;left:4316;top:-10943;width:603;height:152" type="#_x0000_t202" filled="false" stroked="false">
                <v:textbox inset="0,0,0,0">
                  <w:txbxContent>
                    <w:p>
                      <w:pPr>
                        <w:spacing w:line="151" w:lineRule="exact" w:before="0"/>
                        <w:ind w:left="0" w:right="0" w:firstLine="0"/>
                        <w:jc w:val="left"/>
                        <w:rPr>
                          <w:rFonts w:ascii="宋体" w:hAnsi="宋体" w:cs="宋体" w:eastAsia="宋体" w:hint="default"/>
                          <w:sz w:val="15"/>
                          <w:szCs w:val="15"/>
                        </w:rPr>
                      </w:pPr>
                      <w:r>
                        <w:rPr>
                          <w:rFonts w:ascii="宋体" w:hAnsi="宋体" w:cs="宋体" w:eastAsia="宋体" w:hint="default"/>
                          <w:spacing w:val="-1"/>
                          <w:sz w:val="15"/>
                          <w:szCs w:val="15"/>
                        </w:rPr>
                        <w:t>有限公司</w:t>
                      </w:r>
                    </w:p>
                  </w:txbxContent>
                </v:textbox>
                <w10:wrap type="none"/>
              </v:shape>
              <v:shape style="position:absolute;left:2511;top:-10533;width:1554;height:160" type="#_x0000_t202" filled="false" stroked="false">
                <v:textbox inset="0,0,0,0">
                  <w:txbxContent>
                    <w:p>
                      <w:pPr>
                        <w:spacing w:line="159" w:lineRule="exact" w:before="0"/>
                        <w:ind w:left="0" w:right="0" w:firstLine="0"/>
                        <w:jc w:val="left"/>
                        <w:rPr>
                          <w:rFonts w:ascii="宋体" w:hAnsi="宋体" w:cs="宋体" w:eastAsia="宋体" w:hint="default"/>
                          <w:sz w:val="15"/>
                          <w:szCs w:val="15"/>
                        </w:rPr>
                      </w:pPr>
                      <w:r>
                        <w:rPr>
                          <w:rFonts w:ascii="宋体" w:hAnsi="宋体" w:cs="宋体" w:eastAsia="宋体" w:hint="default"/>
                          <w:sz w:val="15"/>
                          <w:szCs w:val="15"/>
                        </w:rPr>
                        <w:t>灵璧浍沟凤山</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20MW </w:t>
                      </w:r>
                      <w:r>
                        <w:rPr>
                          <w:rFonts w:ascii="宋体" w:hAnsi="宋体" w:cs="宋体" w:eastAsia="宋体" w:hint="default"/>
                          <w:sz w:val="15"/>
                          <w:szCs w:val="15"/>
                        </w:rPr>
                        <w:t>地</w:t>
                      </w:r>
                    </w:p>
                  </w:txbxContent>
                </v:textbox>
                <w10:wrap type="none"/>
              </v:shape>
              <v:shape style="position:absolute;left:4316;top:-10333;width:1354;height:152" type="#_x0000_t202" filled="false" stroked="false">
                <v:textbox inset="0,0,0,0">
                  <w:txbxContent>
                    <w:p>
                      <w:pPr>
                        <w:spacing w:line="151" w:lineRule="exact" w:before="0"/>
                        <w:ind w:left="0" w:right="0" w:firstLine="0"/>
                        <w:jc w:val="left"/>
                        <w:rPr>
                          <w:rFonts w:ascii="宋体" w:hAnsi="宋体" w:cs="宋体" w:eastAsia="宋体" w:hint="default"/>
                          <w:sz w:val="15"/>
                          <w:szCs w:val="15"/>
                        </w:rPr>
                      </w:pPr>
                      <w:r>
                        <w:rPr>
                          <w:rFonts w:ascii="宋体" w:hAnsi="宋体" w:cs="宋体" w:eastAsia="宋体" w:hint="default"/>
                          <w:spacing w:val="-1"/>
                          <w:sz w:val="15"/>
                          <w:szCs w:val="15"/>
                        </w:rPr>
                        <w:t>灵璧华浍新能源科技</w:t>
                      </w:r>
                    </w:p>
                  </w:txbxContent>
                </v:textbox>
                <w10:wrap type="none"/>
              </v:shape>
              <v:shape style="position:absolute;left:2511;top:-10132;width:1503;height:152" type="#_x0000_t202" filled="false" stroked="false">
                <v:textbox inset="0,0,0,0">
                  <w:txbxContent>
                    <w:p>
                      <w:pPr>
                        <w:spacing w:line="151" w:lineRule="exact" w:before="0"/>
                        <w:ind w:left="0" w:right="0" w:firstLine="0"/>
                        <w:jc w:val="left"/>
                        <w:rPr>
                          <w:rFonts w:ascii="宋体" w:hAnsi="宋体" w:cs="宋体" w:eastAsia="宋体" w:hint="default"/>
                          <w:sz w:val="15"/>
                          <w:szCs w:val="15"/>
                        </w:rPr>
                      </w:pPr>
                      <w:r>
                        <w:rPr>
                          <w:rFonts w:ascii="宋体" w:hAnsi="宋体" w:cs="宋体" w:eastAsia="宋体" w:hint="default"/>
                          <w:spacing w:val="-2"/>
                          <w:sz w:val="15"/>
                          <w:szCs w:val="15"/>
                        </w:rPr>
                        <w:t>面分布式光伏发电项目</w:t>
                      </w:r>
                    </w:p>
                  </w:txbxContent>
                </v:textbox>
                <w10:wrap type="none"/>
              </v:shape>
              <v:shape style="position:absolute;left:4316;top:-9933;width:603;height:152" type="#_x0000_t202" filled="false" stroked="false">
                <v:textbox inset="0,0,0,0">
                  <w:txbxContent>
                    <w:p>
                      <w:pPr>
                        <w:spacing w:line="151" w:lineRule="exact" w:before="0"/>
                        <w:ind w:left="0" w:right="0" w:firstLine="0"/>
                        <w:jc w:val="left"/>
                        <w:rPr>
                          <w:rFonts w:ascii="宋体" w:hAnsi="宋体" w:cs="宋体" w:eastAsia="宋体" w:hint="default"/>
                          <w:sz w:val="15"/>
                          <w:szCs w:val="15"/>
                        </w:rPr>
                      </w:pPr>
                      <w:r>
                        <w:rPr>
                          <w:rFonts w:ascii="宋体" w:hAnsi="宋体" w:cs="宋体" w:eastAsia="宋体" w:hint="default"/>
                          <w:spacing w:val="-1"/>
                          <w:sz w:val="15"/>
                          <w:szCs w:val="15"/>
                        </w:rPr>
                        <w:t>有限公司</w:t>
                      </w:r>
                    </w:p>
                  </w:txbxContent>
                </v:textbox>
                <w10:wrap type="none"/>
              </v:shape>
              <v:shape style="position:absolute;left:2511;top:-9733;width:1553;height:570" type="#_x0000_t202" filled="false" stroked="false">
                <v:textbox inset="0,0,0,0">
                  <w:txbxContent>
                    <w:p>
                      <w:pPr>
                        <w:spacing w:line="151" w:lineRule="exact" w:before="0"/>
                        <w:ind w:left="0" w:right="0" w:firstLine="0"/>
                        <w:jc w:val="left"/>
                        <w:rPr>
                          <w:rFonts w:ascii="宋体" w:hAnsi="宋体" w:cs="宋体" w:eastAsia="宋体" w:hint="default"/>
                          <w:sz w:val="15"/>
                          <w:szCs w:val="15"/>
                        </w:rPr>
                      </w:pPr>
                      <w:r>
                        <w:rPr>
                          <w:rFonts w:ascii="宋体" w:hAnsi="宋体" w:cs="宋体" w:eastAsia="宋体" w:hint="default"/>
                          <w:sz w:val="15"/>
                          <w:szCs w:val="15"/>
                        </w:rPr>
                        <w:t>电费收费权</w:t>
                      </w:r>
                    </w:p>
                    <w:p>
                      <w:pPr>
                        <w:spacing w:line="240" w:lineRule="auto" w:before="5"/>
                        <w:rPr>
                          <w:rFonts w:ascii="宋体" w:hAnsi="宋体" w:cs="宋体" w:eastAsia="宋体" w:hint="default"/>
                          <w:sz w:val="16"/>
                          <w:szCs w:val="16"/>
                        </w:rPr>
                      </w:pPr>
                    </w:p>
                    <w:p>
                      <w:pPr>
                        <w:spacing w:line="205" w:lineRule="exact" w:before="0"/>
                        <w:ind w:left="0" w:right="0" w:firstLine="0"/>
                        <w:jc w:val="left"/>
                        <w:rPr>
                          <w:rFonts w:ascii="宋体" w:hAnsi="宋体" w:cs="宋体" w:eastAsia="宋体" w:hint="default"/>
                          <w:sz w:val="15"/>
                          <w:szCs w:val="15"/>
                        </w:rPr>
                      </w:pPr>
                      <w:r>
                        <w:rPr>
                          <w:rFonts w:ascii="宋体" w:hAnsi="宋体" w:cs="宋体" w:eastAsia="宋体" w:hint="default"/>
                          <w:sz w:val="15"/>
                          <w:szCs w:val="15"/>
                        </w:rPr>
                        <w:t>灵璧浍沟</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20MW</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地面分</w:t>
                      </w:r>
                    </w:p>
                  </w:txbxContent>
                </v:textbox>
                <w10:wrap type="none"/>
              </v:shape>
              <v:shape style="position:absolute;left:4316;top:-9124;width:1354;height:152" type="#_x0000_t202" filled="false" stroked="false">
                <v:textbox inset="0,0,0,0">
                  <w:txbxContent>
                    <w:p>
                      <w:pPr>
                        <w:spacing w:line="151" w:lineRule="exact" w:before="0"/>
                        <w:ind w:left="0" w:right="0" w:firstLine="0"/>
                        <w:jc w:val="left"/>
                        <w:rPr>
                          <w:rFonts w:ascii="宋体" w:hAnsi="宋体" w:cs="宋体" w:eastAsia="宋体" w:hint="default"/>
                          <w:sz w:val="15"/>
                          <w:szCs w:val="15"/>
                        </w:rPr>
                      </w:pPr>
                      <w:r>
                        <w:rPr>
                          <w:rFonts w:ascii="宋体" w:hAnsi="宋体" w:cs="宋体" w:eastAsia="宋体" w:hint="default"/>
                          <w:spacing w:val="-1"/>
                          <w:sz w:val="15"/>
                          <w:szCs w:val="15"/>
                        </w:rPr>
                        <w:t>灵璧灵阳新能源科技</w:t>
                      </w:r>
                    </w:p>
                  </w:txbxContent>
                </v:textbox>
                <w10:wrap type="none"/>
              </v:shape>
              <v:shape style="position:absolute;left:2511;top:-8922;width:1500;height:152" type="#_x0000_t202" filled="false" stroked="false">
                <v:textbox inset="0,0,0,0">
                  <w:txbxContent>
                    <w:p>
                      <w:pPr>
                        <w:spacing w:line="151" w:lineRule="exact" w:before="0"/>
                        <w:ind w:left="0" w:right="0" w:firstLine="0"/>
                        <w:jc w:val="left"/>
                        <w:rPr>
                          <w:rFonts w:ascii="宋体" w:hAnsi="宋体" w:cs="宋体" w:eastAsia="宋体" w:hint="default"/>
                          <w:sz w:val="15"/>
                          <w:szCs w:val="15"/>
                        </w:rPr>
                      </w:pPr>
                      <w:r>
                        <w:rPr>
                          <w:rFonts w:ascii="宋体" w:hAnsi="宋体" w:cs="宋体" w:eastAsia="宋体" w:hint="default"/>
                          <w:spacing w:val="-2"/>
                          <w:sz w:val="15"/>
                          <w:szCs w:val="15"/>
                        </w:rPr>
                        <w:t>布式光伏发电项目电费</w:t>
                      </w:r>
                      <w:r>
                        <w:rPr>
                          <w:rFonts w:ascii="宋体" w:hAnsi="宋体" w:cs="宋体" w:eastAsia="宋体" w:hint="default"/>
                          <w:sz w:val="15"/>
                          <w:szCs w:val="15"/>
                        </w:rPr>
                      </w:r>
                    </w:p>
                  </w:txbxContent>
                </v:textbox>
                <w10:wrap type="none"/>
              </v:shape>
              <v:shape style="position:absolute;left:4316;top:-8722;width:603;height:152" type="#_x0000_t202" filled="false" stroked="false">
                <v:textbox inset="0,0,0,0">
                  <w:txbxContent>
                    <w:p>
                      <w:pPr>
                        <w:spacing w:line="151" w:lineRule="exact" w:before="0"/>
                        <w:ind w:left="0" w:right="0" w:firstLine="0"/>
                        <w:jc w:val="left"/>
                        <w:rPr>
                          <w:rFonts w:ascii="宋体" w:hAnsi="宋体" w:cs="宋体" w:eastAsia="宋体" w:hint="default"/>
                          <w:sz w:val="15"/>
                          <w:szCs w:val="15"/>
                        </w:rPr>
                      </w:pPr>
                      <w:r>
                        <w:rPr>
                          <w:rFonts w:ascii="宋体" w:hAnsi="宋体" w:cs="宋体" w:eastAsia="宋体" w:hint="default"/>
                          <w:spacing w:val="-1"/>
                          <w:sz w:val="15"/>
                          <w:szCs w:val="15"/>
                        </w:rPr>
                        <w:t>有限公司</w:t>
                      </w:r>
                    </w:p>
                  </w:txbxContent>
                </v:textbox>
                <w10:wrap type="none"/>
              </v:shape>
              <v:shape style="position:absolute;left:2511;top:-8523;width:1515;height:971" type="#_x0000_t202" filled="false" stroked="false">
                <v:textbox inset="0,0,0,0">
                  <w:txbxContent>
                    <w:p>
                      <w:pPr>
                        <w:spacing w:line="151" w:lineRule="exact" w:before="0"/>
                        <w:ind w:left="0" w:right="0" w:firstLine="0"/>
                        <w:jc w:val="left"/>
                        <w:rPr>
                          <w:rFonts w:ascii="宋体" w:hAnsi="宋体" w:cs="宋体" w:eastAsia="宋体" w:hint="default"/>
                          <w:sz w:val="15"/>
                          <w:szCs w:val="15"/>
                        </w:rPr>
                      </w:pPr>
                      <w:r>
                        <w:rPr>
                          <w:rFonts w:ascii="宋体" w:hAnsi="宋体" w:cs="宋体" w:eastAsia="宋体" w:hint="default"/>
                          <w:sz w:val="15"/>
                          <w:szCs w:val="15"/>
                        </w:rPr>
                        <w:t>收费权</w:t>
                      </w:r>
                    </w:p>
                    <w:p>
                      <w:pPr>
                        <w:spacing w:line="240" w:lineRule="auto" w:before="5"/>
                        <w:rPr>
                          <w:rFonts w:ascii="宋体" w:hAnsi="宋体" w:cs="宋体" w:eastAsia="宋体" w:hint="default"/>
                          <w:sz w:val="16"/>
                          <w:szCs w:val="16"/>
                        </w:rPr>
                      </w:pPr>
                    </w:p>
                    <w:p>
                      <w:pPr>
                        <w:spacing w:before="0"/>
                        <w:ind w:left="0" w:right="0" w:firstLine="0"/>
                        <w:jc w:val="left"/>
                        <w:rPr>
                          <w:rFonts w:ascii="宋体" w:hAnsi="宋体" w:cs="宋体" w:eastAsia="宋体" w:hint="default"/>
                          <w:sz w:val="15"/>
                          <w:szCs w:val="15"/>
                        </w:rPr>
                      </w:pPr>
                      <w:r>
                        <w:rPr>
                          <w:rFonts w:ascii="宋体" w:hAnsi="宋体" w:cs="宋体" w:eastAsia="宋体" w:hint="default"/>
                          <w:spacing w:val="-2"/>
                          <w:sz w:val="15"/>
                          <w:szCs w:val="15"/>
                        </w:rPr>
                        <w:t>阜阳市颖东区新乌江镇</w:t>
                      </w:r>
                    </w:p>
                    <w:p>
                      <w:pPr>
                        <w:spacing w:line="240" w:lineRule="auto" w:before="8"/>
                        <w:rPr>
                          <w:rFonts w:ascii="宋体" w:hAnsi="宋体" w:cs="宋体" w:eastAsia="宋体" w:hint="default"/>
                          <w:sz w:val="15"/>
                          <w:szCs w:val="15"/>
                        </w:rPr>
                      </w:pPr>
                    </w:p>
                    <w:p>
                      <w:pPr>
                        <w:spacing w:line="205" w:lineRule="exact" w:before="0"/>
                        <w:ind w:left="0" w:right="0" w:firstLine="0"/>
                        <w:jc w:val="left"/>
                        <w:rPr>
                          <w:rFonts w:ascii="宋体" w:hAnsi="宋体" w:cs="宋体" w:eastAsia="宋体" w:hint="default"/>
                          <w:sz w:val="15"/>
                          <w:szCs w:val="15"/>
                        </w:rPr>
                      </w:pPr>
                      <w:r>
                        <w:rPr>
                          <w:rFonts w:ascii="Times New Roman" w:hAnsi="Times New Roman" w:cs="Times New Roman" w:eastAsia="Times New Roman" w:hint="default"/>
                          <w:sz w:val="15"/>
                          <w:szCs w:val="15"/>
                        </w:rPr>
                        <w:t>20MW</w:t>
                      </w:r>
                      <w:r>
                        <w:rPr>
                          <w:rFonts w:ascii="Times New Roman" w:hAnsi="Times New Roman" w:cs="Times New Roman" w:eastAsia="Times New Roman" w:hint="default"/>
                          <w:spacing w:val="-2"/>
                          <w:sz w:val="15"/>
                          <w:szCs w:val="15"/>
                        </w:rPr>
                        <w:t> </w:t>
                      </w:r>
                      <w:r>
                        <w:rPr>
                          <w:rFonts w:ascii="宋体" w:hAnsi="宋体" w:cs="宋体" w:eastAsia="宋体" w:hint="default"/>
                          <w:sz w:val="15"/>
                          <w:szCs w:val="15"/>
                        </w:rPr>
                        <w:t>农光互补分布式</w:t>
                      </w:r>
                    </w:p>
                  </w:txbxContent>
                </v:textbox>
                <w10:wrap type="none"/>
              </v:shape>
              <v:shape style="position:absolute;left:4316;top:-7712;width:1354;height:152" type="#_x0000_t202" filled="false" stroked="false">
                <v:textbox inset="0,0,0,0">
                  <w:txbxContent>
                    <w:p>
                      <w:pPr>
                        <w:spacing w:line="151" w:lineRule="exact" w:before="0"/>
                        <w:ind w:left="0" w:right="0" w:firstLine="0"/>
                        <w:jc w:val="left"/>
                        <w:rPr>
                          <w:rFonts w:ascii="宋体" w:hAnsi="宋体" w:cs="宋体" w:eastAsia="宋体" w:hint="default"/>
                          <w:sz w:val="15"/>
                          <w:szCs w:val="15"/>
                        </w:rPr>
                      </w:pPr>
                      <w:r>
                        <w:rPr>
                          <w:rFonts w:ascii="宋体" w:hAnsi="宋体" w:cs="宋体" w:eastAsia="宋体" w:hint="default"/>
                          <w:spacing w:val="-1"/>
                          <w:sz w:val="15"/>
                          <w:szCs w:val="15"/>
                        </w:rPr>
                        <w:t>阜阳永明农业太阳能</w:t>
                      </w:r>
                    </w:p>
                  </w:txbxContent>
                </v:textbox>
                <w10:wrap type="none"/>
              </v:shape>
              <v:shape style="position:absolute;left:2511;top:-7311;width:1503;height:152" type="#_x0000_t202" filled="false" stroked="false">
                <v:textbox inset="0,0,0,0">
                  <w:txbxContent>
                    <w:p>
                      <w:pPr>
                        <w:spacing w:line="151" w:lineRule="exact" w:before="0"/>
                        <w:ind w:left="0" w:right="0" w:firstLine="0"/>
                        <w:jc w:val="left"/>
                        <w:rPr>
                          <w:rFonts w:ascii="宋体" w:hAnsi="宋体" w:cs="宋体" w:eastAsia="宋体" w:hint="default"/>
                          <w:sz w:val="15"/>
                          <w:szCs w:val="15"/>
                        </w:rPr>
                      </w:pPr>
                      <w:r>
                        <w:rPr>
                          <w:rFonts w:ascii="宋体" w:hAnsi="宋体" w:cs="宋体" w:eastAsia="宋体" w:hint="default"/>
                          <w:spacing w:val="-2"/>
                          <w:sz w:val="15"/>
                          <w:szCs w:val="15"/>
                        </w:rPr>
                        <w:t>光伏发电项目电费收费</w:t>
                      </w:r>
                    </w:p>
                  </w:txbxContent>
                </v:textbox>
                <w10:wrap type="none"/>
              </v:shape>
              <v:shape style="position:absolute;left:4316;top:-7311;width:903;height:152" type="#_x0000_t202" filled="false" stroked="false">
                <v:textbox inset="0,0,0,0">
                  <w:txbxContent>
                    <w:p>
                      <w:pPr>
                        <w:spacing w:line="151" w:lineRule="exact" w:before="0"/>
                        <w:ind w:left="0" w:right="0" w:firstLine="0"/>
                        <w:jc w:val="left"/>
                        <w:rPr>
                          <w:rFonts w:ascii="宋体" w:hAnsi="宋体" w:cs="宋体" w:eastAsia="宋体" w:hint="default"/>
                          <w:sz w:val="15"/>
                          <w:szCs w:val="15"/>
                        </w:rPr>
                      </w:pPr>
                      <w:r>
                        <w:rPr>
                          <w:rFonts w:ascii="宋体" w:hAnsi="宋体" w:cs="宋体" w:eastAsia="宋体" w:hint="default"/>
                          <w:spacing w:val="-1"/>
                          <w:sz w:val="15"/>
                          <w:szCs w:val="15"/>
                        </w:rPr>
                        <w:t>发电有限公司</w:t>
                      </w:r>
                    </w:p>
                  </w:txbxContent>
                </v:textbox>
                <w10:wrap type="none"/>
              </v:shape>
              <v:shape style="position:absolute;left:2511;top:-6913;width:3159;height:971" type="#_x0000_t202" filled="false" stroked="false">
                <v:textbox inset="0,0,0,0">
                  <w:txbxContent>
                    <w:p>
                      <w:pPr>
                        <w:spacing w:line="151" w:lineRule="exact" w:before="0"/>
                        <w:ind w:left="0" w:right="0" w:firstLine="0"/>
                        <w:jc w:val="left"/>
                        <w:rPr>
                          <w:rFonts w:ascii="宋体" w:hAnsi="宋体" w:cs="宋体" w:eastAsia="宋体" w:hint="default"/>
                          <w:sz w:val="15"/>
                          <w:szCs w:val="15"/>
                        </w:rPr>
                      </w:pPr>
                      <w:r>
                        <w:rPr>
                          <w:rFonts w:ascii="宋体" w:hAnsi="宋体" w:cs="宋体" w:eastAsia="宋体" w:hint="default"/>
                          <w:w w:val="100"/>
                          <w:sz w:val="15"/>
                          <w:szCs w:val="15"/>
                        </w:rPr>
                        <w:t>权</w:t>
                      </w:r>
                    </w:p>
                    <w:p>
                      <w:pPr>
                        <w:spacing w:line="240" w:lineRule="auto" w:before="5"/>
                        <w:rPr>
                          <w:rFonts w:ascii="宋体" w:hAnsi="宋体" w:cs="宋体" w:eastAsia="宋体" w:hint="default"/>
                          <w:sz w:val="16"/>
                          <w:szCs w:val="16"/>
                        </w:rPr>
                      </w:pPr>
                    </w:p>
                    <w:p>
                      <w:pPr>
                        <w:spacing w:before="0"/>
                        <w:ind w:left="0" w:right="0" w:firstLine="0"/>
                        <w:jc w:val="left"/>
                        <w:rPr>
                          <w:rFonts w:ascii="宋体" w:hAnsi="宋体" w:cs="宋体" w:eastAsia="宋体" w:hint="default"/>
                          <w:sz w:val="15"/>
                          <w:szCs w:val="15"/>
                        </w:rPr>
                      </w:pPr>
                      <w:r>
                        <w:rPr>
                          <w:rFonts w:ascii="宋体" w:hAnsi="宋体" w:cs="宋体" w:eastAsia="宋体" w:hint="default"/>
                          <w:sz w:val="15"/>
                          <w:szCs w:val="15"/>
                        </w:rPr>
                        <w:t>阜阳市颖泉区伍明镇梁</w:t>
                      </w:r>
                    </w:p>
                    <w:p>
                      <w:pPr>
                        <w:spacing w:line="240" w:lineRule="auto" w:before="8"/>
                        <w:rPr>
                          <w:rFonts w:ascii="宋体" w:hAnsi="宋体" w:cs="宋体" w:eastAsia="宋体" w:hint="default"/>
                          <w:sz w:val="15"/>
                          <w:szCs w:val="15"/>
                        </w:rPr>
                      </w:pPr>
                    </w:p>
                    <w:p>
                      <w:pPr>
                        <w:tabs>
                          <w:tab w:pos="1805" w:val="left" w:leader="none"/>
                        </w:tabs>
                        <w:spacing w:line="205" w:lineRule="exact" w:before="0"/>
                        <w:ind w:left="0" w:right="0" w:firstLine="0"/>
                        <w:jc w:val="left"/>
                        <w:rPr>
                          <w:rFonts w:ascii="宋体" w:hAnsi="宋体" w:cs="宋体" w:eastAsia="宋体" w:hint="default"/>
                          <w:sz w:val="15"/>
                          <w:szCs w:val="15"/>
                        </w:rPr>
                      </w:pPr>
                      <w:r>
                        <w:rPr>
                          <w:rFonts w:ascii="宋体" w:hAnsi="宋体" w:cs="宋体" w:eastAsia="宋体" w:hint="default"/>
                          <w:sz w:val="15"/>
                          <w:szCs w:val="15"/>
                        </w:rPr>
                        <w:t>营村</w:t>
                      </w:r>
                      <w:r>
                        <w:rPr>
                          <w:rFonts w:ascii="宋体" w:hAnsi="宋体" w:cs="宋体" w:eastAsia="宋体" w:hint="default"/>
                          <w:spacing w:val="-32"/>
                          <w:sz w:val="15"/>
                          <w:szCs w:val="15"/>
                        </w:rPr>
                        <w:t> </w:t>
                      </w:r>
                      <w:r>
                        <w:rPr>
                          <w:rFonts w:ascii="Times New Roman" w:hAnsi="Times New Roman" w:cs="Times New Roman" w:eastAsia="Times New Roman" w:hint="default"/>
                          <w:spacing w:val="-1"/>
                          <w:sz w:val="15"/>
                          <w:szCs w:val="15"/>
                        </w:rPr>
                        <w:t>20MW</w:t>
                      </w:r>
                      <w:r>
                        <w:rPr>
                          <w:rFonts w:ascii="Times New Roman" w:hAnsi="Times New Roman" w:cs="Times New Roman" w:eastAsia="Times New Roman" w:hint="default"/>
                          <w:spacing w:val="6"/>
                          <w:sz w:val="15"/>
                          <w:szCs w:val="15"/>
                        </w:rPr>
                        <w:t> </w:t>
                      </w:r>
                      <w:r>
                        <w:rPr>
                          <w:rFonts w:ascii="宋体" w:hAnsi="宋体" w:cs="宋体" w:eastAsia="宋体" w:hint="default"/>
                          <w:spacing w:val="-2"/>
                          <w:sz w:val="15"/>
                          <w:szCs w:val="15"/>
                        </w:rPr>
                        <w:t>农光互补分</w:t>
                        <w:tab/>
                      </w:r>
                      <w:r>
                        <w:rPr>
                          <w:rFonts w:ascii="宋体" w:hAnsi="宋体" w:cs="宋体" w:eastAsia="宋体" w:hint="default"/>
                          <w:spacing w:val="-1"/>
                          <w:sz w:val="15"/>
                          <w:szCs w:val="15"/>
                        </w:rPr>
                        <w:t>阜阳金明太阳能发电</w:t>
                      </w:r>
                    </w:p>
                  </w:txbxContent>
                </v:textbox>
                <w10:wrap type="none"/>
              </v:shape>
              <v:shape style="position:absolute;left:2511;top:-5703;width:1503;height:152" type="#_x0000_t202" filled="false" stroked="false">
                <v:textbox inset="0,0,0,0">
                  <w:txbxContent>
                    <w:p>
                      <w:pPr>
                        <w:spacing w:line="151" w:lineRule="exact" w:before="0"/>
                        <w:ind w:left="0" w:right="0" w:firstLine="0"/>
                        <w:jc w:val="left"/>
                        <w:rPr>
                          <w:rFonts w:ascii="宋体" w:hAnsi="宋体" w:cs="宋体" w:eastAsia="宋体" w:hint="default"/>
                          <w:sz w:val="15"/>
                          <w:szCs w:val="15"/>
                        </w:rPr>
                      </w:pPr>
                      <w:r>
                        <w:rPr>
                          <w:rFonts w:ascii="宋体" w:hAnsi="宋体" w:cs="宋体" w:eastAsia="宋体" w:hint="default"/>
                          <w:spacing w:val="-2"/>
                          <w:sz w:val="15"/>
                          <w:szCs w:val="15"/>
                        </w:rPr>
                        <w:t>布式光伏发电项目电费</w:t>
                      </w:r>
                    </w:p>
                  </w:txbxContent>
                </v:textbox>
                <w10:wrap type="none"/>
              </v:shape>
              <v:shape style="position:absolute;left:4316;top:-5703;width:603;height:152" type="#_x0000_t202" filled="false" stroked="false">
                <v:textbox inset="0,0,0,0">
                  <w:txbxContent>
                    <w:p>
                      <w:pPr>
                        <w:spacing w:line="151" w:lineRule="exact" w:before="0"/>
                        <w:ind w:left="0" w:right="0" w:firstLine="0"/>
                        <w:jc w:val="left"/>
                        <w:rPr>
                          <w:rFonts w:ascii="宋体" w:hAnsi="宋体" w:cs="宋体" w:eastAsia="宋体" w:hint="default"/>
                          <w:sz w:val="15"/>
                          <w:szCs w:val="15"/>
                        </w:rPr>
                      </w:pPr>
                      <w:r>
                        <w:rPr>
                          <w:rFonts w:ascii="宋体" w:hAnsi="宋体" w:cs="宋体" w:eastAsia="宋体" w:hint="default"/>
                          <w:spacing w:val="-1"/>
                          <w:sz w:val="15"/>
                          <w:szCs w:val="15"/>
                        </w:rPr>
                        <w:t>有限公司</w:t>
                      </w:r>
                    </w:p>
                  </w:txbxContent>
                </v:textbox>
                <w10:wrap type="none"/>
              </v:shape>
              <v:shape style="position:absolute;left:2511;top:-5302;width:1553;height:571" type="#_x0000_t202" filled="false" stroked="false">
                <v:textbox inset="0,0,0,0">
                  <w:txbxContent>
                    <w:p>
                      <w:pPr>
                        <w:spacing w:line="151" w:lineRule="exact" w:before="0"/>
                        <w:ind w:left="0" w:right="0" w:firstLine="0"/>
                        <w:jc w:val="left"/>
                        <w:rPr>
                          <w:rFonts w:ascii="宋体" w:hAnsi="宋体" w:cs="宋体" w:eastAsia="宋体" w:hint="default"/>
                          <w:sz w:val="15"/>
                          <w:szCs w:val="15"/>
                        </w:rPr>
                      </w:pPr>
                      <w:r>
                        <w:rPr>
                          <w:rFonts w:ascii="宋体" w:hAnsi="宋体" w:cs="宋体" w:eastAsia="宋体" w:hint="default"/>
                          <w:sz w:val="15"/>
                          <w:szCs w:val="15"/>
                        </w:rPr>
                        <w:t>收费权</w:t>
                      </w:r>
                    </w:p>
                    <w:p>
                      <w:pPr>
                        <w:spacing w:line="240" w:lineRule="auto" w:before="5"/>
                        <w:rPr>
                          <w:rFonts w:ascii="宋体" w:hAnsi="宋体" w:cs="宋体" w:eastAsia="宋体" w:hint="default"/>
                          <w:sz w:val="16"/>
                          <w:szCs w:val="16"/>
                        </w:rPr>
                      </w:pPr>
                    </w:p>
                    <w:p>
                      <w:pPr>
                        <w:spacing w:line="205" w:lineRule="exact" w:before="0"/>
                        <w:ind w:left="0" w:right="0" w:firstLine="0"/>
                        <w:jc w:val="left"/>
                        <w:rPr>
                          <w:rFonts w:ascii="宋体" w:hAnsi="宋体" w:cs="宋体" w:eastAsia="宋体" w:hint="default"/>
                          <w:sz w:val="15"/>
                          <w:szCs w:val="15"/>
                        </w:rPr>
                      </w:pPr>
                      <w:r>
                        <w:rPr>
                          <w:rFonts w:ascii="宋体" w:hAnsi="宋体" w:cs="宋体" w:eastAsia="宋体" w:hint="default"/>
                          <w:sz w:val="15"/>
                          <w:szCs w:val="15"/>
                        </w:rPr>
                        <w:t>萧县西瓣山</w:t>
                      </w:r>
                      <w:r>
                        <w:rPr>
                          <w:rFonts w:ascii="宋体" w:hAnsi="宋体" w:cs="宋体" w:eastAsia="宋体" w:hint="default"/>
                          <w:spacing w:val="-37"/>
                          <w:sz w:val="15"/>
                          <w:szCs w:val="15"/>
                        </w:rPr>
                        <w:t> </w:t>
                      </w:r>
                      <w:r>
                        <w:rPr>
                          <w:rFonts w:ascii="Times New Roman" w:hAnsi="Times New Roman" w:cs="Times New Roman" w:eastAsia="Times New Roman" w:hint="default"/>
                          <w:sz w:val="15"/>
                          <w:szCs w:val="15"/>
                        </w:rPr>
                        <w:t>20MW</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地面</w:t>
                      </w:r>
                    </w:p>
                  </w:txbxContent>
                </v:textbox>
                <w10:wrap type="none"/>
              </v:shape>
              <v:shape style="position:absolute;left:4316;top:-4692;width:1354;height:152" type="#_x0000_t202" filled="false" stroked="false">
                <v:textbox inset="0,0,0,0">
                  <w:txbxContent>
                    <w:p>
                      <w:pPr>
                        <w:spacing w:line="151" w:lineRule="exact" w:before="0"/>
                        <w:ind w:left="0" w:right="0" w:firstLine="0"/>
                        <w:jc w:val="left"/>
                        <w:rPr>
                          <w:rFonts w:ascii="宋体" w:hAnsi="宋体" w:cs="宋体" w:eastAsia="宋体" w:hint="default"/>
                          <w:sz w:val="15"/>
                          <w:szCs w:val="15"/>
                        </w:rPr>
                      </w:pPr>
                      <w:r>
                        <w:rPr>
                          <w:rFonts w:ascii="宋体" w:hAnsi="宋体" w:cs="宋体" w:eastAsia="宋体" w:hint="default"/>
                          <w:spacing w:val="-1"/>
                          <w:sz w:val="15"/>
                          <w:szCs w:val="15"/>
                        </w:rPr>
                        <w:t>萧县裕晟新能源科技</w:t>
                      </w:r>
                    </w:p>
                  </w:txbxContent>
                </v:textbox>
                <w10:wrap type="none"/>
              </v:shape>
              <v:shape style="position:absolute;left:2511;top:-4491;width:1503;height:152" type="#_x0000_t202" filled="false" stroked="false">
                <v:textbox inset="0,0,0,0">
                  <w:txbxContent>
                    <w:p>
                      <w:pPr>
                        <w:spacing w:line="151" w:lineRule="exact" w:before="0"/>
                        <w:ind w:left="0" w:right="0" w:firstLine="0"/>
                        <w:jc w:val="left"/>
                        <w:rPr>
                          <w:rFonts w:ascii="宋体" w:hAnsi="宋体" w:cs="宋体" w:eastAsia="宋体" w:hint="default"/>
                          <w:sz w:val="15"/>
                          <w:szCs w:val="15"/>
                        </w:rPr>
                      </w:pPr>
                      <w:r>
                        <w:rPr>
                          <w:rFonts w:ascii="宋体" w:hAnsi="宋体" w:cs="宋体" w:eastAsia="宋体" w:hint="default"/>
                          <w:spacing w:val="-2"/>
                          <w:sz w:val="15"/>
                          <w:szCs w:val="15"/>
                        </w:rPr>
                        <w:t>分布式光伏发电项目电</w:t>
                      </w:r>
                    </w:p>
                  </w:txbxContent>
                </v:textbox>
                <w10:wrap type="none"/>
              </v:shape>
              <v:shape style="position:absolute;left:4316;top:-4292;width:603;height:152" type="#_x0000_t202" filled="false" stroked="false">
                <v:textbox inset="0,0,0,0">
                  <w:txbxContent>
                    <w:p>
                      <w:pPr>
                        <w:spacing w:line="151" w:lineRule="exact" w:before="0"/>
                        <w:ind w:left="0" w:right="0" w:firstLine="0"/>
                        <w:jc w:val="left"/>
                        <w:rPr>
                          <w:rFonts w:ascii="宋体" w:hAnsi="宋体" w:cs="宋体" w:eastAsia="宋体" w:hint="default"/>
                          <w:sz w:val="15"/>
                          <w:szCs w:val="15"/>
                        </w:rPr>
                      </w:pPr>
                      <w:r>
                        <w:rPr>
                          <w:rFonts w:ascii="宋体" w:hAnsi="宋体" w:cs="宋体" w:eastAsia="宋体" w:hint="default"/>
                          <w:spacing w:val="-1"/>
                          <w:sz w:val="15"/>
                          <w:szCs w:val="15"/>
                        </w:rPr>
                        <w:t>有限公司</w:t>
                      </w:r>
                    </w:p>
                  </w:txbxContent>
                </v:textbox>
                <w10:wrap type="none"/>
              </v:shape>
              <v:shape style="position:absolute;left:2511;top:-4092;width:1685;height:570" type="#_x0000_t202" filled="false" stroked="false">
                <v:textbox inset="0,0,0,0">
                  <w:txbxContent>
                    <w:p>
                      <w:pPr>
                        <w:spacing w:line="151" w:lineRule="exact" w:before="0"/>
                        <w:ind w:left="0" w:right="0" w:firstLine="0"/>
                        <w:jc w:val="left"/>
                        <w:rPr>
                          <w:rFonts w:ascii="宋体" w:hAnsi="宋体" w:cs="宋体" w:eastAsia="宋体" w:hint="default"/>
                          <w:sz w:val="15"/>
                          <w:szCs w:val="15"/>
                        </w:rPr>
                      </w:pPr>
                      <w:r>
                        <w:rPr>
                          <w:rFonts w:ascii="宋体" w:hAnsi="宋体" w:cs="宋体" w:eastAsia="宋体" w:hint="default"/>
                          <w:sz w:val="15"/>
                          <w:szCs w:val="15"/>
                        </w:rPr>
                        <w:t>费收费权</w:t>
                      </w:r>
                    </w:p>
                    <w:p>
                      <w:pPr>
                        <w:spacing w:line="240" w:lineRule="auto" w:before="5"/>
                        <w:rPr>
                          <w:rFonts w:ascii="宋体" w:hAnsi="宋体" w:cs="宋体" w:eastAsia="宋体" w:hint="default"/>
                          <w:sz w:val="16"/>
                          <w:szCs w:val="16"/>
                        </w:rPr>
                      </w:pPr>
                    </w:p>
                    <w:p>
                      <w:pPr>
                        <w:spacing w:line="205" w:lineRule="exact" w:before="0"/>
                        <w:ind w:left="0" w:right="0" w:firstLine="0"/>
                        <w:jc w:val="left"/>
                        <w:rPr>
                          <w:rFonts w:ascii="宋体" w:hAnsi="宋体" w:cs="宋体" w:eastAsia="宋体" w:hint="default"/>
                          <w:sz w:val="15"/>
                          <w:szCs w:val="15"/>
                        </w:rPr>
                      </w:pPr>
                      <w:r>
                        <w:rPr>
                          <w:rFonts w:ascii="宋体" w:hAnsi="宋体" w:cs="宋体" w:eastAsia="宋体" w:hint="default"/>
                          <w:sz w:val="15"/>
                          <w:szCs w:val="15"/>
                        </w:rPr>
                        <w:t>颍上耿棚</w:t>
                      </w:r>
                      <w:r>
                        <w:rPr>
                          <w:rFonts w:ascii="宋体" w:hAnsi="宋体" w:cs="宋体" w:eastAsia="宋体" w:hint="default"/>
                          <w:spacing w:val="-48"/>
                          <w:sz w:val="15"/>
                          <w:szCs w:val="15"/>
                        </w:rPr>
                        <w:t> </w:t>
                      </w:r>
                      <w:r>
                        <w:rPr>
                          <w:rFonts w:ascii="Times New Roman" w:hAnsi="Times New Roman" w:cs="Times New Roman" w:eastAsia="Times New Roman" w:hint="default"/>
                          <w:sz w:val="15"/>
                          <w:szCs w:val="15"/>
                        </w:rPr>
                        <w:t>60MW</w:t>
                      </w:r>
                      <w:r>
                        <w:rPr>
                          <w:rFonts w:ascii="Times New Roman" w:hAnsi="Times New Roman" w:cs="Times New Roman" w:eastAsia="Times New Roman" w:hint="default"/>
                          <w:spacing w:val="-9"/>
                          <w:sz w:val="15"/>
                          <w:szCs w:val="15"/>
                        </w:rPr>
                        <w:t> </w:t>
                      </w:r>
                      <w:r>
                        <w:rPr>
                          <w:rFonts w:ascii="宋体" w:hAnsi="宋体" w:cs="宋体" w:eastAsia="宋体" w:hint="default"/>
                          <w:sz w:val="15"/>
                          <w:szCs w:val="15"/>
                        </w:rPr>
                        <w:t>农光互补</w:t>
                      </w:r>
                    </w:p>
                  </w:txbxContent>
                </v:textbox>
                <w10:wrap type="none"/>
              </v:shape>
              <v:shape style="position:absolute;left:4316;top:-3483;width:1354;height:152" type="#_x0000_t202" filled="false" stroked="false">
                <v:textbox inset="0,0,0,0">
                  <w:txbxContent>
                    <w:p>
                      <w:pPr>
                        <w:spacing w:line="151" w:lineRule="exact" w:before="0"/>
                        <w:ind w:left="0" w:right="0" w:firstLine="0"/>
                        <w:jc w:val="left"/>
                        <w:rPr>
                          <w:rFonts w:ascii="宋体" w:hAnsi="宋体" w:cs="宋体" w:eastAsia="宋体" w:hint="default"/>
                          <w:sz w:val="15"/>
                          <w:szCs w:val="15"/>
                        </w:rPr>
                      </w:pPr>
                      <w:r>
                        <w:rPr>
                          <w:rFonts w:ascii="宋体" w:hAnsi="宋体" w:cs="宋体" w:eastAsia="宋体" w:hint="default"/>
                          <w:spacing w:val="-1"/>
                          <w:sz w:val="15"/>
                          <w:szCs w:val="15"/>
                        </w:rPr>
                        <w:t>颍上永阳新能源科技</w:t>
                      </w:r>
                    </w:p>
                  </w:txbxContent>
                </v:textbox>
                <w10:wrap type="none"/>
              </v:shape>
              <v:shape style="position:absolute;left:2511;top:-3281;width:1654;height:152" type="#_x0000_t202" filled="false" stroked="false">
                <v:textbox inset="0,0,0,0">
                  <w:txbxContent>
                    <w:p>
                      <w:pPr>
                        <w:spacing w:line="151" w:lineRule="exact" w:before="0"/>
                        <w:ind w:left="0" w:right="0" w:firstLine="0"/>
                        <w:jc w:val="left"/>
                        <w:rPr>
                          <w:rFonts w:ascii="宋体" w:hAnsi="宋体" w:cs="宋体" w:eastAsia="宋体" w:hint="default"/>
                          <w:sz w:val="15"/>
                          <w:szCs w:val="15"/>
                        </w:rPr>
                      </w:pPr>
                      <w:r>
                        <w:rPr>
                          <w:rFonts w:ascii="宋体" w:hAnsi="宋体" w:cs="宋体" w:eastAsia="宋体" w:hint="default"/>
                          <w:spacing w:val="-2"/>
                          <w:sz w:val="15"/>
                          <w:szCs w:val="15"/>
                        </w:rPr>
                        <w:t>分布式光伏发电项目电费</w:t>
                      </w:r>
                    </w:p>
                  </w:txbxContent>
                </v:textbox>
                <w10:wrap type="none"/>
              </v:shape>
              <v:shape style="position:absolute;left:4316;top:-3082;width:603;height:152" type="#_x0000_t202" filled="false" stroked="false">
                <v:textbox inset="0,0,0,0">
                  <w:txbxContent>
                    <w:p>
                      <w:pPr>
                        <w:spacing w:line="151" w:lineRule="exact" w:before="0"/>
                        <w:ind w:left="0" w:right="0" w:firstLine="0"/>
                        <w:jc w:val="left"/>
                        <w:rPr>
                          <w:rFonts w:ascii="宋体" w:hAnsi="宋体" w:cs="宋体" w:eastAsia="宋体" w:hint="default"/>
                          <w:sz w:val="15"/>
                          <w:szCs w:val="15"/>
                        </w:rPr>
                      </w:pPr>
                      <w:r>
                        <w:rPr>
                          <w:rFonts w:ascii="宋体" w:hAnsi="宋体" w:cs="宋体" w:eastAsia="宋体" w:hint="default"/>
                          <w:spacing w:val="-1"/>
                          <w:sz w:val="15"/>
                          <w:szCs w:val="15"/>
                        </w:rPr>
                        <w:t>有限公司</w:t>
                      </w:r>
                    </w:p>
                  </w:txbxContent>
                </v:textbox>
                <w10:wrap type="none"/>
              </v:shape>
              <v:shape style="position:absolute;left:2511;top:-2883;width:1654;height:562" type="#_x0000_t202" filled="false" stroked="false">
                <v:textbox inset="0,0,0,0">
                  <w:txbxContent>
                    <w:p>
                      <w:pPr>
                        <w:spacing w:line="151" w:lineRule="exact" w:before="0"/>
                        <w:ind w:left="0" w:right="0" w:firstLine="0"/>
                        <w:jc w:val="left"/>
                        <w:rPr>
                          <w:rFonts w:ascii="宋体" w:hAnsi="宋体" w:cs="宋体" w:eastAsia="宋体" w:hint="default"/>
                          <w:sz w:val="15"/>
                          <w:szCs w:val="15"/>
                        </w:rPr>
                      </w:pPr>
                      <w:r>
                        <w:rPr>
                          <w:rFonts w:ascii="宋体" w:hAnsi="宋体" w:cs="宋体" w:eastAsia="宋体" w:hint="default"/>
                          <w:sz w:val="15"/>
                          <w:szCs w:val="15"/>
                        </w:rPr>
                        <w:t>收费权</w:t>
                      </w:r>
                    </w:p>
                    <w:p>
                      <w:pPr>
                        <w:spacing w:line="240" w:lineRule="auto" w:before="5"/>
                        <w:rPr>
                          <w:rFonts w:ascii="宋体" w:hAnsi="宋体" w:cs="宋体" w:eastAsia="宋体" w:hint="default"/>
                          <w:sz w:val="16"/>
                          <w:szCs w:val="16"/>
                        </w:rPr>
                      </w:pPr>
                    </w:p>
                    <w:p>
                      <w:pPr>
                        <w:spacing w:before="0"/>
                        <w:ind w:left="0" w:right="0" w:firstLine="0"/>
                        <w:jc w:val="left"/>
                        <w:rPr>
                          <w:rFonts w:ascii="宋体" w:hAnsi="宋体" w:cs="宋体" w:eastAsia="宋体" w:hint="default"/>
                          <w:sz w:val="15"/>
                          <w:szCs w:val="15"/>
                        </w:rPr>
                      </w:pPr>
                      <w:r>
                        <w:rPr>
                          <w:rFonts w:ascii="宋体" w:hAnsi="宋体" w:cs="宋体" w:eastAsia="宋体" w:hint="default"/>
                          <w:spacing w:val="-2"/>
                          <w:sz w:val="15"/>
                          <w:szCs w:val="15"/>
                        </w:rPr>
                        <w:t>江苏林洋新能源科技有限</w:t>
                      </w:r>
                    </w:p>
                  </w:txbxContent>
                </v:textbox>
                <w10:wrap type="none"/>
              </v:shape>
              <v:shape style="position:absolute;left:4316;top:-2271;width:1354;height:152" type="#_x0000_t202" filled="false" stroked="false">
                <v:textbox inset="0,0,0,0">
                  <w:txbxContent>
                    <w:p>
                      <w:pPr>
                        <w:spacing w:line="151" w:lineRule="exact" w:before="0"/>
                        <w:ind w:left="0" w:right="0" w:firstLine="0"/>
                        <w:jc w:val="left"/>
                        <w:rPr>
                          <w:rFonts w:ascii="宋体" w:hAnsi="宋体" w:cs="宋体" w:eastAsia="宋体" w:hint="default"/>
                          <w:sz w:val="15"/>
                          <w:szCs w:val="15"/>
                        </w:rPr>
                      </w:pPr>
                      <w:r>
                        <w:rPr>
                          <w:rFonts w:ascii="宋体" w:hAnsi="宋体" w:cs="宋体" w:eastAsia="宋体" w:hint="default"/>
                          <w:spacing w:val="-1"/>
                          <w:sz w:val="15"/>
                          <w:szCs w:val="15"/>
                        </w:rPr>
                        <w:t>江苏昆瑞新能源有限</w:t>
                      </w:r>
                    </w:p>
                  </w:txbxContent>
                </v:textbox>
                <w10:wrap type="none"/>
              </v:shape>
              <v:shape style="position:absolute;left:2511;top:-2072;width:1354;height:152" type="#_x0000_t202" filled="false" stroked="false">
                <v:textbox inset="0,0,0,0">
                  <w:txbxContent>
                    <w:p>
                      <w:pPr>
                        <w:spacing w:line="151" w:lineRule="exact" w:before="0"/>
                        <w:ind w:left="0" w:right="0" w:firstLine="0"/>
                        <w:jc w:val="left"/>
                        <w:rPr>
                          <w:rFonts w:ascii="宋体" w:hAnsi="宋体" w:cs="宋体" w:eastAsia="宋体" w:hint="default"/>
                          <w:sz w:val="15"/>
                          <w:szCs w:val="15"/>
                        </w:rPr>
                      </w:pPr>
                      <w:r>
                        <w:rPr>
                          <w:rFonts w:ascii="宋体" w:hAnsi="宋体" w:cs="宋体" w:eastAsia="宋体" w:hint="default"/>
                          <w:spacing w:val="-1"/>
                          <w:sz w:val="15"/>
                          <w:szCs w:val="15"/>
                        </w:rPr>
                        <w:t>公司享有的江苏昆瑞</w:t>
                      </w:r>
                    </w:p>
                  </w:txbxContent>
                </v:textbox>
                <w10:wrap type="none"/>
              </v:shape>
              <v:shape style="position:absolute;left:4316;top:-1872;width:303;height:152" type="#_x0000_t202" filled="false" stroked="false">
                <v:textbox inset="0,0,0,0">
                  <w:txbxContent>
                    <w:p>
                      <w:pPr>
                        <w:spacing w:line="151" w:lineRule="exact" w:before="0"/>
                        <w:ind w:left="0" w:right="0" w:firstLine="0"/>
                        <w:jc w:val="left"/>
                        <w:rPr>
                          <w:rFonts w:ascii="宋体" w:hAnsi="宋体" w:cs="宋体" w:eastAsia="宋体" w:hint="default"/>
                          <w:sz w:val="15"/>
                          <w:szCs w:val="15"/>
                        </w:rPr>
                      </w:pPr>
                      <w:r>
                        <w:rPr>
                          <w:rFonts w:ascii="宋体" w:hAnsi="宋体" w:cs="宋体" w:eastAsia="宋体" w:hint="default"/>
                          <w:sz w:val="15"/>
                          <w:szCs w:val="15"/>
                        </w:rPr>
                        <w:t>公司</w:t>
                      </w:r>
                    </w:p>
                  </w:txbxContent>
                </v:textbox>
                <w10:wrap type="none"/>
              </v:shape>
              <v:shape style="position:absolute;left:2511;top:-1670;width:653;height:160" type="#_x0000_t202" filled="false" stroked="false">
                <v:textbox inset="0,0,0,0">
                  <w:txbxContent>
                    <w:p>
                      <w:pPr>
                        <w:spacing w:line="159" w:lineRule="exact" w:before="0"/>
                        <w:ind w:left="0" w:right="0" w:firstLine="0"/>
                        <w:jc w:val="left"/>
                        <w:rPr>
                          <w:rFonts w:ascii="宋体" w:hAnsi="宋体" w:cs="宋体" w:eastAsia="宋体" w:hint="default"/>
                          <w:sz w:val="15"/>
                          <w:szCs w:val="15"/>
                        </w:rPr>
                      </w:pPr>
                      <w:r>
                        <w:rPr>
                          <w:rFonts w:ascii="Times New Roman" w:hAnsi="Times New Roman" w:cs="Times New Roman" w:eastAsia="Times New Roman" w:hint="default"/>
                          <w:spacing w:val="-1"/>
                          <w:sz w:val="15"/>
                          <w:szCs w:val="15"/>
                        </w:rPr>
                        <w:t>100%</w:t>
                      </w:r>
                      <w:r>
                        <w:rPr>
                          <w:rFonts w:ascii="宋体" w:hAnsi="宋体" w:cs="宋体" w:eastAsia="宋体" w:hint="default"/>
                          <w:spacing w:val="-1"/>
                          <w:sz w:val="15"/>
                          <w:szCs w:val="15"/>
                        </w:rPr>
                        <w:t>股权</w:t>
                      </w:r>
                    </w:p>
                  </w:txbxContent>
                </v:textbox>
                <w10:wrap type="none"/>
              </v:shape>
              <v:shape style="position:absolute;left:2511;top:-1236;width:1203;height:648" type="#_x0000_t202" filled="false" stroked="false">
                <v:textbox inset="0,0,0,0">
                  <w:txbxContent>
                    <w:p>
                      <w:pPr>
                        <w:spacing w:line="151" w:lineRule="exact" w:before="0"/>
                        <w:ind w:left="0" w:right="0" w:firstLine="0"/>
                        <w:jc w:val="left"/>
                        <w:rPr>
                          <w:rFonts w:ascii="宋体" w:hAnsi="宋体" w:cs="宋体" w:eastAsia="宋体" w:hint="default"/>
                          <w:sz w:val="15"/>
                          <w:szCs w:val="15"/>
                        </w:rPr>
                      </w:pPr>
                      <w:r>
                        <w:rPr>
                          <w:rFonts w:ascii="宋体" w:hAnsi="宋体" w:cs="宋体" w:eastAsia="宋体" w:hint="default"/>
                          <w:spacing w:val="-2"/>
                          <w:sz w:val="15"/>
                          <w:szCs w:val="15"/>
                        </w:rPr>
                        <w:t>围场风阳应收账款</w:t>
                      </w:r>
                    </w:p>
                    <w:p>
                      <w:pPr>
                        <w:spacing w:line="240" w:lineRule="auto" w:before="0"/>
                        <w:rPr>
                          <w:rFonts w:ascii="宋体" w:hAnsi="宋体" w:cs="宋体" w:eastAsia="宋体" w:hint="default"/>
                          <w:sz w:val="14"/>
                          <w:szCs w:val="14"/>
                        </w:rPr>
                      </w:pPr>
                    </w:p>
                    <w:p>
                      <w:pPr>
                        <w:spacing w:before="117"/>
                        <w:ind w:left="0" w:right="0" w:firstLine="0"/>
                        <w:jc w:val="left"/>
                        <w:rPr>
                          <w:rFonts w:ascii="宋体" w:hAnsi="宋体" w:cs="宋体" w:eastAsia="宋体" w:hint="default"/>
                          <w:sz w:val="15"/>
                          <w:szCs w:val="15"/>
                        </w:rPr>
                      </w:pPr>
                      <w:r>
                        <w:rPr>
                          <w:rFonts w:ascii="宋体" w:hAnsi="宋体" w:cs="宋体" w:eastAsia="宋体" w:hint="default"/>
                          <w:spacing w:val="-2"/>
                          <w:sz w:val="15"/>
                          <w:szCs w:val="15"/>
                        </w:rPr>
                        <w:t>东营三力应收账款</w:t>
                      </w:r>
                    </w:p>
                  </w:txbxContent>
                </v:textbox>
                <w10:wrap type="none"/>
              </v:shape>
              <v:shape style="position:absolute;left:4316;top:-1430;width:1354;height:941" type="#_x0000_t202" filled="false" stroked="false">
                <v:textbox inset="0,0,0,0">
                  <w:txbxContent>
                    <w:p>
                      <w:pPr>
                        <w:spacing w:line="150" w:lineRule="exact" w:before="0"/>
                        <w:ind w:left="0" w:right="0" w:firstLine="0"/>
                        <w:jc w:val="left"/>
                        <w:rPr>
                          <w:rFonts w:ascii="宋体" w:hAnsi="宋体" w:cs="宋体" w:eastAsia="宋体" w:hint="default"/>
                          <w:sz w:val="15"/>
                          <w:szCs w:val="15"/>
                        </w:rPr>
                      </w:pPr>
                      <w:r>
                        <w:rPr>
                          <w:rFonts w:ascii="宋体" w:hAnsi="宋体" w:cs="宋体" w:eastAsia="宋体" w:hint="default"/>
                          <w:spacing w:val="-1"/>
                          <w:sz w:val="15"/>
                          <w:szCs w:val="15"/>
                        </w:rPr>
                        <w:t>围场满族蒙古族自治</w:t>
                      </w:r>
                    </w:p>
                    <w:p>
                      <w:pPr>
                        <w:spacing w:line="242" w:lineRule="auto" w:before="0"/>
                        <w:ind w:left="0" w:right="0" w:firstLine="0"/>
                        <w:jc w:val="left"/>
                        <w:rPr>
                          <w:rFonts w:ascii="宋体" w:hAnsi="宋体" w:cs="宋体" w:eastAsia="宋体" w:hint="default"/>
                          <w:sz w:val="15"/>
                          <w:szCs w:val="15"/>
                        </w:rPr>
                      </w:pPr>
                      <w:r>
                        <w:rPr>
                          <w:rFonts w:ascii="宋体" w:hAnsi="宋体" w:cs="宋体" w:eastAsia="宋体" w:hint="default"/>
                          <w:spacing w:val="-1"/>
                          <w:sz w:val="15"/>
                          <w:szCs w:val="15"/>
                        </w:rPr>
                        <w:t>县风阳光伏发电有限</w:t>
                      </w:r>
                      <w:r>
                        <w:rPr>
                          <w:rFonts w:ascii="宋体" w:hAnsi="宋体" w:cs="宋体" w:eastAsia="宋体" w:hint="default"/>
                          <w:spacing w:val="-65"/>
                          <w:sz w:val="15"/>
                          <w:szCs w:val="15"/>
                        </w:rPr>
                        <w:t> </w:t>
                      </w:r>
                      <w:r>
                        <w:rPr>
                          <w:rFonts w:ascii="宋体" w:hAnsi="宋体" w:cs="宋体" w:eastAsia="宋体" w:hint="default"/>
                          <w:spacing w:val="-65"/>
                          <w:sz w:val="15"/>
                          <w:szCs w:val="15"/>
                        </w:rPr>
                      </w:r>
                      <w:r>
                        <w:rPr>
                          <w:rFonts w:ascii="宋体" w:hAnsi="宋体" w:cs="宋体" w:eastAsia="宋体" w:hint="default"/>
                          <w:sz w:val="15"/>
                          <w:szCs w:val="15"/>
                        </w:rPr>
                        <w:t>公司</w:t>
                      </w:r>
                      <w:r>
                        <w:rPr>
                          <w:rFonts w:ascii="宋体" w:hAnsi="宋体" w:cs="宋体" w:eastAsia="宋体" w:hint="default"/>
                          <w:spacing w:val="-73"/>
                          <w:sz w:val="15"/>
                          <w:szCs w:val="15"/>
                        </w:rPr>
                        <w:t> </w:t>
                      </w:r>
                      <w:r>
                        <w:rPr>
                          <w:rFonts w:ascii="宋体" w:hAnsi="宋体" w:cs="宋体" w:eastAsia="宋体" w:hint="default"/>
                          <w:spacing w:val="-1"/>
                          <w:sz w:val="15"/>
                          <w:szCs w:val="15"/>
                        </w:rPr>
                        <w:t>东营三力光伏发电有</w:t>
                      </w:r>
                      <w:r>
                        <w:rPr>
                          <w:rFonts w:ascii="宋体" w:hAnsi="宋体" w:cs="宋体" w:eastAsia="宋体" w:hint="default"/>
                          <w:spacing w:val="-65"/>
                          <w:sz w:val="15"/>
                          <w:szCs w:val="15"/>
                        </w:rPr>
                        <w:t> </w:t>
                      </w:r>
                      <w:r>
                        <w:rPr>
                          <w:rFonts w:ascii="宋体" w:hAnsi="宋体" w:cs="宋体" w:eastAsia="宋体" w:hint="default"/>
                          <w:spacing w:val="-65"/>
                          <w:sz w:val="15"/>
                          <w:szCs w:val="15"/>
                        </w:rPr>
                      </w:r>
                      <w:r>
                        <w:rPr>
                          <w:rFonts w:ascii="宋体" w:hAnsi="宋体" w:cs="宋体" w:eastAsia="宋体" w:hint="default"/>
                          <w:sz w:val="15"/>
                          <w:szCs w:val="15"/>
                        </w:rPr>
                        <w:t>限公司</w:t>
                      </w:r>
                    </w:p>
                  </w:txbxContent>
                </v:textbox>
                <w10:wrap type="none"/>
              </v:shape>
            </v:group>
            <w10:wrap type="none"/>
          </v:group>
        </w:pict>
      </w:r>
      <w:r>
        <w:rPr/>
        <w:t>其他说明：</w:t>
      </w:r>
      <w:r>
        <w:rPr>
          <w:rFonts w:ascii="宋体" w:hAnsi="宋体" w:cs="宋体" w:eastAsia="宋体" w:hint="default"/>
        </w:rPr>
        <w:t> </w:t>
      </w:r>
    </w:p>
    <w:p>
      <w:pPr>
        <w:pStyle w:val="BodyText"/>
        <w:spacing w:line="240" w:lineRule="auto" w:before="126"/>
        <w:ind w:left="935" w:right="0"/>
        <w:jc w:val="left"/>
      </w:pPr>
      <w:r>
        <w:rPr>
          <w:rFonts w:ascii="Times New Roman" w:hAnsi="Times New Roman" w:cs="Times New Roman" w:eastAsia="Times New Roman" w:hint="default"/>
          <w:spacing w:val="-3"/>
        </w:rPr>
        <w:t>1</w:t>
      </w:r>
      <w:r>
        <w:rPr>
          <w:spacing w:val="-3"/>
        </w:rPr>
        <w:t>、</w:t>
      </w:r>
      <w:r>
        <w:rPr>
          <w:rFonts w:ascii="Times New Roman" w:hAnsi="Times New Roman" w:cs="Times New Roman" w:eastAsia="Times New Roman" w:hint="default"/>
          <w:spacing w:val="-3"/>
        </w:rPr>
        <w:t>2015</w:t>
      </w:r>
      <w:r>
        <w:rPr>
          <w:rFonts w:ascii="Times New Roman" w:hAnsi="Times New Roman" w:cs="Times New Roman" w:eastAsia="Times New Roman" w:hint="default"/>
          <w:spacing w:val="-2"/>
        </w:rPr>
        <w:t> </w:t>
      </w:r>
      <w:r>
        <w:rPr/>
        <w:t>年</w:t>
      </w:r>
      <w:r>
        <w:rPr>
          <w:spacing w:val="-57"/>
        </w:rPr>
        <w:t> </w:t>
      </w:r>
      <w:r>
        <w:rPr>
          <w:rFonts w:ascii="Times New Roman" w:hAnsi="Times New Roman" w:cs="Times New Roman" w:eastAsia="Times New Roman" w:hint="default"/>
        </w:rPr>
        <w:t>9</w:t>
      </w:r>
      <w:r>
        <w:rPr>
          <w:rFonts w:ascii="Times New Roman" w:hAnsi="Times New Roman" w:cs="Times New Roman" w:eastAsia="Times New Roman" w:hint="default"/>
          <w:spacing w:val="-2"/>
        </w:rPr>
        <w:t> </w:t>
      </w:r>
      <w:r>
        <w:rPr/>
        <w:t>月</w:t>
      </w:r>
      <w:r>
        <w:rPr>
          <w:spacing w:val="-56"/>
        </w:rPr>
        <w:t> </w:t>
      </w:r>
      <w:r>
        <w:rPr>
          <w:rFonts w:ascii="Times New Roman" w:hAnsi="Times New Roman" w:cs="Times New Roman" w:eastAsia="Times New Roman" w:hint="default"/>
        </w:rPr>
        <w:t>7</w:t>
      </w:r>
      <w:r>
        <w:rPr>
          <w:rFonts w:ascii="Times New Roman" w:hAnsi="Times New Roman" w:cs="Times New Roman" w:eastAsia="Times New Roman" w:hint="default"/>
          <w:spacing w:val="-2"/>
        </w:rPr>
        <w:t> </w:t>
      </w:r>
      <w:r>
        <w:rPr/>
        <w:t>日，公司为内蒙古乾华农业发展有限公司向中国工商银行启东支行抵押</w:t>
      </w:r>
    </w:p>
    <w:p>
      <w:pPr>
        <w:pStyle w:val="BodyText"/>
        <w:spacing w:line="240" w:lineRule="auto" w:before="107"/>
        <w:ind w:left="935" w:right="0"/>
        <w:jc w:val="left"/>
      </w:pPr>
      <w:r>
        <w:rPr/>
        <w:t>贷款</w:t>
      </w:r>
      <w:r>
        <w:rPr>
          <w:spacing w:val="-45"/>
        </w:rPr>
        <w:t> </w:t>
      </w:r>
      <w:r>
        <w:rPr>
          <w:rFonts w:ascii="Times New Roman" w:hAnsi="Times New Roman" w:cs="Times New Roman" w:eastAsia="Times New Roman" w:hint="default"/>
        </w:rPr>
        <w:t>57,000</w:t>
      </w:r>
      <w:r>
        <w:rPr>
          <w:rFonts w:ascii="Times New Roman" w:hAnsi="Times New Roman" w:cs="Times New Roman" w:eastAsia="Times New Roman" w:hint="default"/>
          <w:spacing w:val="5"/>
        </w:rPr>
        <w:t> </w:t>
      </w:r>
      <w:r>
        <w:rPr/>
        <w:t>万元中的</w:t>
      </w:r>
      <w:r>
        <w:rPr>
          <w:spacing w:val="-47"/>
        </w:rPr>
        <w:t> </w:t>
      </w:r>
      <w:r>
        <w:rPr>
          <w:rFonts w:ascii="Times New Roman" w:hAnsi="Times New Roman" w:cs="Times New Roman" w:eastAsia="Times New Roman" w:hint="default"/>
        </w:rPr>
        <w:t>39,330</w:t>
      </w:r>
      <w:r>
        <w:rPr>
          <w:rFonts w:ascii="Times New Roman" w:hAnsi="Times New Roman" w:cs="Times New Roman" w:eastAsia="Times New Roman" w:hint="default"/>
          <w:spacing w:val="7"/>
        </w:rPr>
        <w:t> </w:t>
      </w:r>
      <w:r>
        <w:rPr/>
        <w:t>万元提供连带责任保证担保，同时内蒙古乾华农业发展有限</w:t>
      </w:r>
    </w:p>
    <w:p>
      <w:pPr>
        <w:spacing w:after="0" w:line="240" w:lineRule="auto"/>
        <w:jc w:val="left"/>
        <w:sectPr>
          <w:footerReference w:type="default" r:id="rId247"/>
          <w:pgSz w:w="11910" w:h="16840"/>
          <w:pgMar w:footer="974" w:header="748" w:top="1140" w:bottom="1160" w:left="1580" w:right="1140"/>
        </w:sectPr>
      </w:pPr>
    </w:p>
    <w:p>
      <w:pPr>
        <w:spacing w:line="240" w:lineRule="auto" w:before="0"/>
        <w:rPr>
          <w:rFonts w:ascii="宋体" w:hAnsi="宋体" w:cs="宋体" w:eastAsia="宋体" w:hint="default"/>
          <w:sz w:val="20"/>
          <w:szCs w:val="20"/>
        </w:rPr>
      </w:pPr>
    </w:p>
    <w:p>
      <w:pPr>
        <w:pStyle w:val="BodyText"/>
        <w:spacing w:line="240" w:lineRule="auto" w:before="195"/>
        <w:ind w:left="935" w:right="0"/>
        <w:jc w:val="both"/>
      </w:pPr>
      <w:r>
        <w:rPr/>
        <w:t>公司以公司项目光伏电站的电费收益权项下权益为质押物，截至</w:t>
      </w:r>
      <w:r>
        <w:rPr>
          <w:spacing w:val="-48"/>
        </w:rPr>
        <w:t> </w:t>
      </w:r>
      <w:r>
        <w:rPr>
          <w:rFonts w:ascii="Times New Roman" w:hAnsi="Times New Roman" w:cs="Times New Roman" w:eastAsia="Times New Roman" w:hint="default"/>
        </w:rPr>
        <w:t>2019</w:t>
      </w:r>
      <w:r>
        <w:rPr>
          <w:rFonts w:ascii="Times New Roman" w:hAnsi="Times New Roman" w:cs="Times New Roman" w:eastAsia="Times New Roman" w:hint="default"/>
          <w:spacing w:val="2"/>
        </w:rPr>
        <w:t> </w:t>
      </w:r>
      <w:r>
        <w:rPr/>
        <w:t>年</w:t>
      </w:r>
      <w:r>
        <w:rPr>
          <w:spacing w:val="-47"/>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48"/>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日内蒙</w:t>
      </w:r>
    </w:p>
    <w:p>
      <w:pPr>
        <w:pStyle w:val="BodyText"/>
        <w:spacing w:line="240" w:lineRule="auto" w:before="110"/>
        <w:ind w:left="935" w:right="0"/>
        <w:jc w:val="both"/>
      </w:pPr>
      <w:r>
        <w:rPr/>
        <w:t>古乾华农业发展有限公司取得贷款余额 </w:t>
      </w:r>
      <w:r>
        <w:rPr>
          <w:rFonts w:ascii="Times New Roman" w:hAnsi="Times New Roman" w:cs="Times New Roman" w:eastAsia="Times New Roman" w:hint="default"/>
        </w:rPr>
        <w:t>33,000.00</w:t>
      </w:r>
      <w:r>
        <w:rPr>
          <w:rFonts w:ascii="Times New Roman" w:hAnsi="Times New Roman" w:cs="Times New Roman" w:eastAsia="Times New Roman" w:hint="default"/>
          <w:spacing w:val="52"/>
        </w:rPr>
        <w:t> </w:t>
      </w:r>
      <w:r>
        <w:rPr/>
        <w:t>万元。</w:t>
      </w:r>
    </w:p>
    <w:p>
      <w:pPr>
        <w:pStyle w:val="BodyText"/>
        <w:spacing w:line="240" w:lineRule="auto" w:before="110"/>
        <w:ind w:left="935" w:right="0"/>
        <w:jc w:val="both"/>
      </w:pPr>
      <w:r>
        <w:rPr>
          <w:rFonts w:ascii="Times New Roman" w:hAnsi="Times New Roman" w:cs="Times New Roman" w:eastAsia="Times New Roman" w:hint="default"/>
          <w:spacing w:val="-3"/>
        </w:rPr>
        <w:t>2</w:t>
      </w:r>
      <w:r>
        <w:rPr>
          <w:spacing w:val="-3"/>
        </w:rPr>
        <w:t>、</w:t>
      </w:r>
      <w:r>
        <w:rPr>
          <w:rFonts w:ascii="Times New Roman" w:hAnsi="Times New Roman" w:cs="Times New Roman" w:eastAsia="Times New Roman" w:hint="default"/>
          <w:spacing w:val="-3"/>
        </w:rPr>
        <w:t>2016</w:t>
      </w:r>
      <w:r>
        <w:rPr>
          <w:rFonts w:ascii="Times New Roman" w:hAnsi="Times New Roman" w:cs="Times New Roman" w:eastAsia="Times New Roman" w:hint="default"/>
          <w:spacing w:val="-2"/>
        </w:rPr>
        <w:t> </w:t>
      </w:r>
      <w:r>
        <w:rPr/>
        <w:t>年</w:t>
      </w:r>
      <w:r>
        <w:rPr>
          <w:spacing w:val="-57"/>
        </w:rPr>
        <w:t> </w:t>
      </w:r>
      <w:r>
        <w:rPr>
          <w:rFonts w:ascii="Times New Roman" w:hAnsi="Times New Roman" w:cs="Times New Roman" w:eastAsia="Times New Roman" w:hint="default"/>
        </w:rPr>
        <w:t>3</w:t>
      </w:r>
      <w:r>
        <w:rPr>
          <w:rFonts w:ascii="Times New Roman" w:hAnsi="Times New Roman" w:cs="Times New Roman" w:eastAsia="Times New Roman" w:hint="default"/>
          <w:spacing w:val="-2"/>
        </w:rPr>
        <w:t> </w:t>
      </w:r>
      <w:r>
        <w:rPr/>
        <w:t>月</w:t>
      </w:r>
      <w:r>
        <w:rPr>
          <w:spacing w:val="-56"/>
        </w:rPr>
        <w:t> </w:t>
      </w:r>
      <w:r>
        <w:rPr>
          <w:rFonts w:ascii="Times New Roman" w:hAnsi="Times New Roman" w:cs="Times New Roman" w:eastAsia="Times New Roman" w:hint="default"/>
        </w:rPr>
        <w:t>4</w:t>
      </w:r>
      <w:r>
        <w:rPr>
          <w:rFonts w:ascii="Times New Roman" w:hAnsi="Times New Roman" w:cs="Times New Roman" w:eastAsia="Times New Roman" w:hint="default"/>
          <w:spacing w:val="-2"/>
        </w:rPr>
        <w:t> </w:t>
      </w:r>
      <w:r>
        <w:rPr/>
        <w:t>日，公司为江苏昆瑞新能源有限公司向中国工商银行南京江宁支行申请</w:t>
      </w:r>
    </w:p>
    <w:p>
      <w:pPr>
        <w:pStyle w:val="BodyText"/>
        <w:spacing w:line="340" w:lineRule="auto" w:before="107"/>
        <w:ind w:left="935" w:right="127"/>
        <w:jc w:val="both"/>
      </w:pPr>
      <w:r>
        <w:rPr/>
        <w:t>不超过 </w:t>
      </w:r>
      <w:r>
        <w:rPr>
          <w:rFonts w:ascii="Times New Roman" w:hAnsi="Times New Roman" w:cs="Times New Roman" w:eastAsia="Times New Roman" w:hint="default"/>
        </w:rPr>
        <w:t>12,000.00</w:t>
      </w:r>
      <w:r>
        <w:rPr>
          <w:rFonts w:ascii="Times New Roman" w:hAnsi="Times New Roman" w:cs="Times New Roman" w:eastAsia="Times New Roman" w:hint="default"/>
          <w:spacing w:val="-29"/>
        </w:rPr>
        <w:t> </w:t>
      </w:r>
      <w:r>
        <w:rPr/>
        <w:t>万元的贷款提供连带责任保证担保，同时江苏昆瑞新能源有限公司以其</w:t>
      </w:r>
      <w:r>
        <w:rPr>
          <w:w w:val="100"/>
        </w:rPr>
        <w:t> </w:t>
      </w:r>
      <w:r>
        <w:rPr/>
        <w:t>所有的光伏电站全部设备和江苏林洋新能源科技有限公司享有的江苏昆瑞新能源有限公</w:t>
      </w:r>
      <w:r>
        <w:rPr>
          <w:spacing w:val="16"/>
        </w:rPr>
        <w:t> </w:t>
      </w:r>
      <w:r>
        <w:rPr>
          <w:spacing w:val="16"/>
        </w:rPr>
      </w:r>
      <w:r>
        <w:rPr>
          <w:w w:val="100"/>
        </w:rPr>
        <w:t>司</w:t>
      </w:r>
      <w:r>
        <w:rPr>
          <w:spacing w:val="-53"/>
          <w:w w:val="100"/>
        </w:rPr>
        <w:t> </w:t>
      </w:r>
      <w:r>
        <w:rPr>
          <w:rFonts w:ascii="Times New Roman" w:hAnsi="Times New Roman" w:cs="Times New Roman" w:eastAsia="Times New Roman" w:hint="default"/>
          <w:spacing w:val="-6"/>
          <w:w w:val="100"/>
        </w:rPr>
        <w:t>100%</w:t>
      </w:r>
      <w:r>
        <w:rPr>
          <w:spacing w:val="-6"/>
          <w:w w:val="100"/>
        </w:rPr>
        <w:t>股权为本次贷款提供抵押担保，截至</w:t>
      </w:r>
      <w:r>
        <w:rPr>
          <w:spacing w:val="-52"/>
          <w:w w:val="100"/>
        </w:rPr>
        <w:t> </w:t>
      </w:r>
      <w:r>
        <w:rPr>
          <w:rFonts w:ascii="Times New Roman" w:hAnsi="Times New Roman" w:cs="Times New Roman" w:eastAsia="Times New Roman" w:hint="default"/>
          <w:spacing w:val="-1"/>
          <w:w w:val="100"/>
        </w:rPr>
        <w:t>2019</w:t>
      </w:r>
      <w:r>
        <w:rPr>
          <w:rFonts w:ascii="Times New Roman" w:hAnsi="Times New Roman" w:cs="Times New Roman" w:eastAsia="Times New Roman" w:hint="default"/>
          <w:spacing w:val="1"/>
          <w:w w:val="100"/>
        </w:rPr>
        <w:t> </w:t>
      </w:r>
      <w:r>
        <w:rPr>
          <w:w w:val="100"/>
        </w:rPr>
        <w:t>年</w:t>
      </w:r>
      <w:r>
        <w:rPr>
          <w:spacing w:val="-55"/>
          <w:w w:val="100"/>
        </w:rPr>
        <w:t> </w:t>
      </w:r>
      <w:r>
        <w:rPr>
          <w:rFonts w:ascii="Times New Roman" w:hAnsi="Times New Roman" w:cs="Times New Roman" w:eastAsia="Times New Roman" w:hint="default"/>
          <w:w w:val="100"/>
        </w:rPr>
        <w:t>12</w:t>
      </w:r>
      <w:r>
        <w:rPr>
          <w:rFonts w:ascii="Times New Roman" w:hAnsi="Times New Roman" w:cs="Times New Roman" w:eastAsia="Times New Roman" w:hint="default"/>
          <w:spacing w:val="1"/>
          <w:w w:val="100"/>
        </w:rPr>
        <w:t> </w:t>
      </w:r>
      <w:r>
        <w:rPr>
          <w:w w:val="100"/>
        </w:rPr>
        <w:t>月</w:t>
      </w:r>
      <w:r>
        <w:rPr>
          <w:spacing w:val="-53"/>
          <w:w w:val="100"/>
        </w:rPr>
        <w:t> </w:t>
      </w:r>
      <w:r>
        <w:rPr>
          <w:rFonts w:ascii="Times New Roman" w:hAnsi="Times New Roman" w:cs="Times New Roman" w:eastAsia="Times New Roman" w:hint="default"/>
          <w:spacing w:val="-2"/>
          <w:w w:val="100"/>
        </w:rPr>
        <w:t>31</w:t>
      </w:r>
      <w:r>
        <w:rPr>
          <w:rFonts w:ascii="Times New Roman" w:hAnsi="Times New Roman" w:cs="Times New Roman" w:eastAsia="Times New Roman" w:hint="default"/>
          <w:spacing w:val="1"/>
          <w:w w:val="100"/>
        </w:rPr>
        <w:t> </w:t>
      </w:r>
      <w:r>
        <w:rPr>
          <w:spacing w:val="-2"/>
          <w:w w:val="100"/>
        </w:rPr>
        <w:t>日江苏昆瑞新能源有限公司</w:t>
      </w:r>
    </w:p>
    <w:p>
      <w:pPr>
        <w:pStyle w:val="BodyText"/>
        <w:spacing w:line="240" w:lineRule="auto" w:before="10"/>
        <w:ind w:left="935" w:right="0"/>
        <w:jc w:val="both"/>
      </w:pPr>
      <w:r>
        <w:rPr/>
        <w:t>取得银行贷款余额</w:t>
      </w:r>
      <w:r>
        <w:rPr>
          <w:spacing w:val="-54"/>
        </w:rPr>
        <w:t> </w:t>
      </w:r>
      <w:r>
        <w:rPr>
          <w:rFonts w:ascii="Times New Roman" w:hAnsi="Times New Roman" w:cs="Times New Roman" w:eastAsia="Times New Roman" w:hint="default"/>
        </w:rPr>
        <w:t>3,925.00</w:t>
      </w:r>
      <w:r>
        <w:rPr>
          <w:rFonts w:ascii="Times New Roman" w:hAnsi="Times New Roman" w:cs="Times New Roman" w:eastAsia="Times New Roman" w:hint="default"/>
          <w:spacing w:val="-2"/>
        </w:rPr>
        <w:t> </w:t>
      </w:r>
      <w:r>
        <w:rPr/>
        <w:t>万元。</w:t>
      </w:r>
    </w:p>
    <w:p>
      <w:pPr>
        <w:pStyle w:val="BodyText"/>
        <w:spacing w:line="240" w:lineRule="auto" w:before="110"/>
        <w:ind w:left="935" w:right="0"/>
        <w:jc w:val="both"/>
      </w:pPr>
      <w:r>
        <w:rPr>
          <w:rFonts w:ascii="Times New Roman" w:hAnsi="Times New Roman" w:cs="Times New Roman" w:eastAsia="Times New Roman" w:hint="default"/>
        </w:rPr>
        <w:t>3</w:t>
      </w:r>
      <w:r>
        <w:rPr/>
        <w:t>、</w:t>
      </w:r>
      <w:r>
        <w:rPr>
          <w:rFonts w:ascii="Times New Roman" w:hAnsi="Times New Roman" w:cs="Times New Roman" w:eastAsia="Times New Roman" w:hint="default"/>
        </w:rPr>
        <w:t>2017 </w:t>
      </w:r>
      <w:r>
        <w:rPr/>
        <w:t>年 </w:t>
      </w:r>
      <w:r>
        <w:rPr>
          <w:rFonts w:ascii="Times New Roman" w:hAnsi="Times New Roman" w:cs="Times New Roman" w:eastAsia="Times New Roman" w:hint="default"/>
        </w:rPr>
        <w:t>5 </w:t>
      </w:r>
      <w:r>
        <w:rPr/>
        <w:t>月 </w:t>
      </w:r>
      <w:r>
        <w:rPr>
          <w:rFonts w:ascii="Times New Roman" w:hAnsi="Times New Roman" w:cs="Times New Roman" w:eastAsia="Times New Roman" w:hint="default"/>
        </w:rPr>
        <w:t>17</w:t>
      </w:r>
      <w:r>
        <w:rPr>
          <w:rFonts w:ascii="Times New Roman" w:hAnsi="Times New Roman" w:cs="Times New Roman" w:eastAsia="Times New Roman" w:hint="default"/>
          <w:spacing w:val="-30"/>
        </w:rPr>
        <w:t> </w:t>
      </w:r>
      <w:r>
        <w:rPr/>
        <w:t>日，公司及林洋能源科技（上海）有限公司、江苏林洋光伏科技有限</w:t>
      </w:r>
    </w:p>
    <w:p>
      <w:pPr>
        <w:pStyle w:val="BodyText"/>
        <w:spacing w:line="240" w:lineRule="auto" w:before="110"/>
        <w:ind w:left="935" w:right="0"/>
        <w:jc w:val="both"/>
      </w:pPr>
      <w:r>
        <w:rPr/>
        <w:t>公司共同向花旗银行（中国）有限公司申请综合授信额度不超过等额</w:t>
      </w:r>
      <w:r>
        <w:rPr>
          <w:spacing w:val="-59"/>
        </w:rPr>
        <w:t> </w:t>
      </w:r>
      <w:r>
        <w:rPr>
          <w:rFonts w:ascii="Times New Roman" w:hAnsi="Times New Roman" w:cs="Times New Roman" w:eastAsia="Times New Roman" w:hint="default"/>
        </w:rPr>
        <w:t>5,000</w:t>
      </w:r>
      <w:r>
        <w:rPr>
          <w:rFonts w:ascii="Times New Roman" w:hAnsi="Times New Roman" w:cs="Times New Roman" w:eastAsia="Times New Roman" w:hint="default"/>
          <w:spacing w:val="-8"/>
        </w:rPr>
        <w:t> </w:t>
      </w:r>
      <w:r>
        <w:rPr>
          <w:spacing w:val="-3"/>
        </w:rPr>
        <w:t>万美元，公司</w:t>
      </w:r>
    </w:p>
    <w:p>
      <w:pPr>
        <w:pStyle w:val="BodyText"/>
        <w:spacing w:line="240" w:lineRule="auto" w:before="108"/>
        <w:ind w:left="935" w:right="0"/>
        <w:jc w:val="both"/>
      </w:pPr>
      <w:r>
        <w:rPr/>
        <w:t>及上述两家下属公司就使用该综合授信额度相互承担连带担保责任，截至 </w:t>
      </w:r>
      <w:r>
        <w:rPr>
          <w:rFonts w:ascii="Times New Roman" w:hAnsi="Times New Roman" w:cs="Times New Roman" w:eastAsia="Times New Roman" w:hint="default"/>
        </w:rPr>
        <w:t>2019 </w:t>
      </w:r>
      <w:r>
        <w:rPr/>
        <w:t>年 </w:t>
      </w:r>
      <w:r>
        <w:rPr>
          <w:rFonts w:ascii="Times New Roman" w:hAnsi="Times New Roman" w:cs="Times New Roman" w:eastAsia="Times New Roman" w:hint="default"/>
        </w:rPr>
        <w:t>12</w:t>
      </w:r>
      <w:r>
        <w:rPr>
          <w:rFonts w:ascii="Times New Roman" w:hAnsi="Times New Roman" w:cs="Times New Roman" w:eastAsia="Times New Roman" w:hint="default"/>
          <w:spacing w:val="23"/>
        </w:rPr>
        <w:t> </w:t>
      </w:r>
      <w:r>
        <w:rPr/>
        <w:t>月</w:t>
      </w:r>
    </w:p>
    <w:p>
      <w:pPr>
        <w:pStyle w:val="BodyText"/>
        <w:spacing w:line="240" w:lineRule="auto" w:before="110"/>
        <w:ind w:left="935" w:right="0"/>
        <w:jc w:val="both"/>
      </w:pP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日江苏林洋光伏科技有限公司取得银行贷款余额</w:t>
      </w:r>
      <w:r>
        <w:rPr>
          <w:spacing w:val="-56"/>
        </w:rPr>
        <w:t> </w:t>
      </w:r>
      <w:r>
        <w:rPr>
          <w:rFonts w:ascii="Times New Roman" w:hAnsi="Times New Roman" w:cs="Times New Roman" w:eastAsia="Times New Roman" w:hint="default"/>
        </w:rPr>
        <w:t>300.00</w:t>
      </w:r>
      <w:r>
        <w:rPr>
          <w:rFonts w:ascii="Times New Roman" w:hAnsi="Times New Roman" w:cs="Times New Roman" w:eastAsia="Times New Roman" w:hint="default"/>
          <w:spacing w:val="-4"/>
        </w:rPr>
        <w:t> </w:t>
      </w:r>
      <w:r>
        <w:rPr/>
        <w:t>万元。</w:t>
      </w:r>
    </w:p>
    <w:p>
      <w:pPr>
        <w:pStyle w:val="BodyText"/>
        <w:spacing w:line="240" w:lineRule="auto" w:before="110"/>
        <w:ind w:left="935" w:right="0"/>
        <w:jc w:val="both"/>
      </w:pPr>
      <w:r>
        <w:rPr>
          <w:rFonts w:ascii="Times New Roman" w:hAnsi="Times New Roman" w:cs="Times New Roman" w:eastAsia="Times New Roman" w:hint="default"/>
        </w:rPr>
        <w:t>4</w:t>
      </w:r>
      <w:r>
        <w:rPr/>
        <w:t>、</w:t>
      </w:r>
      <w:r>
        <w:rPr>
          <w:rFonts w:ascii="Times New Roman" w:hAnsi="Times New Roman" w:cs="Times New Roman" w:eastAsia="Times New Roman" w:hint="default"/>
        </w:rPr>
        <w:t>2016 </w:t>
      </w:r>
      <w:r>
        <w:rPr/>
        <w:t>年 </w:t>
      </w:r>
      <w:r>
        <w:rPr>
          <w:rFonts w:ascii="Times New Roman" w:hAnsi="Times New Roman" w:cs="Times New Roman" w:eastAsia="Times New Roman" w:hint="default"/>
        </w:rPr>
        <w:t>5 </w:t>
      </w:r>
      <w:r>
        <w:rPr/>
        <w:t>月 </w:t>
      </w:r>
      <w:r>
        <w:rPr>
          <w:rFonts w:ascii="Times New Roman" w:hAnsi="Times New Roman" w:cs="Times New Roman" w:eastAsia="Times New Roman" w:hint="default"/>
        </w:rPr>
        <w:t>26</w:t>
      </w:r>
      <w:r>
        <w:rPr>
          <w:rFonts w:ascii="Times New Roman" w:hAnsi="Times New Roman" w:cs="Times New Roman" w:eastAsia="Times New Roman" w:hint="default"/>
          <w:spacing w:val="-30"/>
        </w:rPr>
        <w:t> </w:t>
      </w:r>
      <w:r>
        <w:rPr/>
        <w:t>日，公司及江苏林洋照明科技有限公司为启东市华虹新能源电力有限</w:t>
      </w:r>
    </w:p>
    <w:p>
      <w:pPr>
        <w:pStyle w:val="BodyText"/>
        <w:spacing w:line="240" w:lineRule="auto" w:before="107"/>
        <w:ind w:left="935" w:right="0"/>
        <w:jc w:val="both"/>
      </w:pPr>
      <w:r>
        <w:rPr/>
        <w:t>公司向中国农业银行启东支行申请不超过 </w:t>
      </w:r>
      <w:r>
        <w:rPr>
          <w:rFonts w:ascii="Times New Roman" w:hAnsi="Times New Roman" w:cs="Times New Roman" w:eastAsia="Times New Roman" w:hint="default"/>
        </w:rPr>
        <w:t>8,000.00</w:t>
      </w:r>
      <w:r>
        <w:rPr>
          <w:rFonts w:ascii="Times New Roman" w:hAnsi="Times New Roman" w:cs="Times New Roman" w:eastAsia="Times New Roman" w:hint="default"/>
          <w:spacing w:val="-32"/>
        </w:rPr>
        <w:t> </w:t>
      </w:r>
      <w:r>
        <w:rPr>
          <w:spacing w:val="-6"/>
        </w:rPr>
        <w:t>万元的贷款提供连带责任保证担保，截</w:t>
      </w:r>
    </w:p>
    <w:p>
      <w:pPr>
        <w:pStyle w:val="BodyText"/>
        <w:spacing w:line="240" w:lineRule="auto" w:before="110"/>
        <w:ind w:left="935" w:right="0"/>
        <w:jc w:val="both"/>
      </w:pPr>
      <w:r>
        <w:rPr/>
        <w:t>至</w:t>
      </w:r>
      <w:r>
        <w:rPr>
          <w:spacing w:val="-54"/>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w:t>
      </w:r>
      <w:r>
        <w:rPr>
          <w:spacing w:val="-56"/>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月</w:t>
      </w:r>
      <w:r>
        <w:rPr>
          <w:spacing w:val="-53"/>
        </w:rPr>
        <w:t> </w:t>
      </w:r>
      <w:r>
        <w:rPr>
          <w:rFonts w:ascii="Times New Roman" w:hAnsi="Times New Roman" w:cs="Times New Roman" w:eastAsia="Times New Roman" w:hint="default"/>
        </w:rPr>
        <w:t>31</w:t>
      </w:r>
      <w:r>
        <w:rPr>
          <w:rFonts w:ascii="Times New Roman" w:hAnsi="Times New Roman" w:cs="Times New Roman" w:eastAsia="Times New Roman" w:hint="default"/>
          <w:spacing w:val="-4"/>
        </w:rPr>
        <w:t> </w:t>
      </w:r>
      <w:r>
        <w:rPr/>
        <w:t>日启东市华虹新能源电力有限公司取得银行贷款余额</w:t>
      </w:r>
      <w:r>
        <w:rPr>
          <w:spacing w:val="-53"/>
        </w:rPr>
        <w:t> </w:t>
      </w:r>
      <w:r>
        <w:rPr>
          <w:rFonts w:ascii="Times New Roman" w:hAnsi="Times New Roman" w:cs="Times New Roman" w:eastAsia="Times New Roman" w:hint="default"/>
        </w:rPr>
        <w:t>5,900.00</w:t>
      </w:r>
      <w:r>
        <w:rPr>
          <w:rFonts w:ascii="Times New Roman" w:hAnsi="Times New Roman" w:cs="Times New Roman" w:eastAsia="Times New Roman" w:hint="default"/>
          <w:spacing w:val="-1"/>
        </w:rPr>
        <w:t> </w:t>
      </w:r>
      <w:r>
        <w:rPr/>
        <w:t>万元。</w:t>
      </w:r>
    </w:p>
    <w:p>
      <w:pPr>
        <w:pStyle w:val="BodyText"/>
        <w:spacing w:line="240" w:lineRule="auto" w:before="110"/>
        <w:ind w:left="935" w:right="0"/>
        <w:jc w:val="both"/>
      </w:pPr>
      <w:r>
        <w:rPr>
          <w:rFonts w:ascii="Times New Roman" w:hAnsi="Times New Roman" w:cs="Times New Roman" w:eastAsia="Times New Roman" w:hint="default"/>
        </w:rPr>
        <w:t>5</w:t>
      </w:r>
      <w:r>
        <w:rPr/>
        <w:t>、</w:t>
      </w:r>
      <w:r>
        <w:rPr>
          <w:rFonts w:ascii="Times New Roman" w:hAnsi="Times New Roman" w:cs="Times New Roman" w:eastAsia="Times New Roman" w:hint="default"/>
        </w:rPr>
        <w:t>2016 </w:t>
      </w:r>
      <w:r>
        <w:rPr/>
        <w:t>年 </w:t>
      </w:r>
      <w:r>
        <w:rPr>
          <w:rFonts w:ascii="Times New Roman" w:hAnsi="Times New Roman" w:cs="Times New Roman" w:eastAsia="Times New Roman" w:hint="default"/>
        </w:rPr>
        <w:t>7 </w:t>
      </w:r>
      <w:r>
        <w:rPr/>
        <w:t>月 </w:t>
      </w:r>
      <w:r>
        <w:rPr>
          <w:rFonts w:ascii="Times New Roman" w:hAnsi="Times New Roman" w:cs="Times New Roman" w:eastAsia="Times New Roman" w:hint="default"/>
        </w:rPr>
        <w:t>25</w:t>
      </w:r>
      <w:r>
        <w:rPr>
          <w:rFonts w:ascii="Times New Roman" w:hAnsi="Times New Roman" w:cs="Times New Roman" w:eastAsia="Times New Roman" w:hint="default"/>
          <w:spacing w:val="-30"/>
        </w:rPr>
        <w:t> </w:t>
      </w:r>
      <w:r>
        <w:rPr/>
        <w:t>日，公司为启东市华虹新能源电力有限公司向中国银行启东支行申请</w:t>
      </w:r>
    </w:p>
    <w:p>
      <w:pPr>
        <w:pStyle w:val="BodyText"/>
        <w:spacing w:line="240" w:lineRule="auto" w:before="107"/>
        <w:ind w:left="935" w:right="0"/>
        <w:jc w:val="both"/>
      </w:pPr>
      <w:r>
        <w:rPr/>
        <w:t>不超过</w:t>
      </w:r>
      <w:r>
        <w:rPr>
          <w:spacing w:val="-50"/>
        </w:rPr>
        <w:t> </w:t>
      </w:r>
      <w:r>
        <w:rPr>
          <w:rFonts w:ascii="Times New Roman" w:hAnsi="Times New Roman" w:cs="Times New Roman" w:eastAsia="Times New Roman" w:hint="default"/>
        </w:rPr>
        <w:t>10,000.00</w:t>
      </w:r>
      <w:r>
        <w:rPr>
          <w:rFonts w:ascii="Times New Roman" w:hAnsi="Times New Roman" w:cs="Times New Roman" w:eastAsia="Times New Roman" w:hint="default"/>
          <w:spacing w:val="3"/>
        </w:rPr>
        <w:t> </w:t>
      </w:r>
      <w:r>
        <w:rPr>
          <w:spacing w:val="-6"/>
        </w:rPr>
        <w:t>万元的贷款提供连带责任保证担保，截至</w:t>
      </w:r>
      <w:r>
        <w:rPr>
          <w:spacing w:val="-50"/>
        </w:rPr>
        <w:t> </w:t>
      </w:r>
      <w:r>
        <w:rPr>
          <w:rFonts w:ascii="Times New Roman" w:hAnsi="Times New Roman" w:cs="Times New Roman" w:eastAsia="Times New Roman" w:hint="default"/>
        </w:rPr>
        <w:t>2019 </w:t>
      </w:r>
      <w:r>
        <w:rPr/>
        <w:t>年</w:t>
      </w:r>
      <w:r>
        <w:rPr>
          <w:spacing w:val="-50"/>
        </w:rPr>
        <w:t> </w:t>
      </w:r>
      <w:r>
        <w:rPr>
          <w:rFonts w:ascii="Times New Roman" w:hAnsi="Times New Roman" w:cs="Times New Roman" w:eastAsia="Times New Roman" w:hint="default"/>
        </w:rPr>
        <w:t>12 </w:t>
      </w:r>
      <w:r>
        <w:rPr/>
        <w:t>月</w:t>
      </w:r>
      <w:r>
        <w:rPr>
          <w:spacing w:val="-49"/>
        </w:rPr>
        <w:t> </w:t>
      </w:r>
      <w:r>
        <w:rPr>
          <w:rFonts w:ascii="Times New Roman" w:hAnsi="Times New Roman" w:cs="Times New Roman" w:eastAsia="Times New Roman" w:hint="default"/>
        </w:rPr>
        <w:t>31</w:t>
      </w:r>
      <w:r>
        <w:rPr>
          <w:rFonts w:ascii="Times New Roman" w:hAnsi="Times New Roman" w:cs="Times New Roman" w:eastAsia="Times New Roman" w:hint="default"/>
          <w:spacing w:val="3"/>
        </w:rPr>
        <w:t> </w:t>
      </w:r>
      <w:r>
        <w:rPr/>
        <w:t>日启东市华虹</w:t>
      </w:r>
    </w:p>
    <w:p>
      <w:pPr>
        <w:pStyle w:val="BodyText"/>
        <w:spacing w:line="240" w:lineRule="auto" w:before="110"/>
        <w:ind w:left="935" w:right="0"/>
        <w:jc w:val="both"/>
      </w:pPr>
      <w:r>
        <w:rPr/>
        <w:t>新能源电力有限公司取得银行贷款余额</w:t>
      </w:r>
      <w:r>
        <w:rPr>
          <w:spacing w:val="-54"/>
        </w:rPr>
        <w:t> </w:t>
      </w:r>
      <w:r>
        <w:rPr>
          <w:rFonts w:ascii="Times New Roman" w:hAnsi="Times New Roman" w:cs="Times New Roman" w:eastAsia="Times New Roman" w:hint="default"/>
        </w:rPr>
        <w:t>3,800.00</w:t>
      </w:r>
      <w:r>
        <w:rPr>
          <w:rFonts w:ascii="Times New Roman" w:hAnsi="Times New Roman" w:cs="Times New Roman" w:eastAsia="Times New Roman" w:hint="default"/>
          <w:spacing w:val="-1"/>
        </w:rPr>
        <w:t> </w:t>
      </w:r>
      <w:r>
        <w:rPr/>
        <w:t>万元。</w:t>
      </w:r>
    </w:p>
    <w:p>
      <w:pPr>
        <w:pStyle w:val="BodyText"/>
        <w:spacing w:line="240" w:lineRule="auto" w:before="110"/>
        <w:ind w:left="935" w:right="0"/>
        <w:jc w:val="both"/>
      </w:pPr>
      <w:r>
        <w:rPr>
          <w:rFonts w:ascii="Times New Roman" w:hAnsi="Times New Roman" w:cs="Times New Roman" w:eastAsia="Times New Roman" w:hint="default"/>
          <w:spacing w:val="-3"/>
        </w:rPr>
        <w:t>6</w:t>
      </w:r>
      <w:r>
        <w:rPr>
          <w:spacing w:val="-3"/>
        </w:rPr>
        <w:t>、</w:t>
      </w:r>
      <w:r>
        <w:rPr>
          <w:rFonts w:ascii="Times New Roman" w:hAnsi="Times New Roman" w:cs="Times New Roman" w:eastAsia="Times New Roman" w:hint="default"/>
          <w:spacing w:val="-3"/>
        </w:rPr>
        <w:t>2016</w:t>
      </w:r>
      <w:r>
        <w:rPr>
          <w:rFonts w:ascii="Times New Roman" w:hAnsi="Times New Roman" w:cs="Times New Roman" w:eastAsia="Times New Roman" w:hint="default"/>
          <w:spacing w:val="-2"/>
        </w:rPr>
        <w:t> </w:t>
      </w:r>
      <w:r>
        <w:rPr/>
        <w:t>年</w:t>
      </w:r>
      <w:r>
        <w:rPr>
          <w:spacing w:val="-55"/>
        </w:rPr>
        <w:t> </w:t>
      </w:r>
      <w:r>
        <w:rPr>
          <w:rFonts w:ascii="Times New Roman" w:hAnsi="Times New Roman" w:cs="Times New Roman" w:eastAsia="Times New Roman" w:hint="default"/>
        </w:rPr>
        <w:t>11</w:t>
      </w:r>
      <w:r>
        <w:rPr>
          <w:rFonts w:ascii="Times New Roman" w:hAnsi="Times New Roman" w:cs="Times New Roman" w:eastAsia="Times New Roman" w:hint="default"/>
          <w:spacing w:val="-2"/>
        </w:rPr>
        <w:t> </w:t>
      </w:r>
      <w:r>
        <w:rPr/>
        <w:t>月</w:t>
      </w:r>
      <w:r>
        <w:rPr>
          <w:spacing w:val="-56"/>
        </w:rPr>
        <w:t> </w:t>
      </w:r>
      <w:r>
        <w:rPr>
          <w:rFonts w:ascii="Times New Roman" w:hAnsi="Times New Roman" w:cs="Times New Roman" w:eastAsia="Times New Roman" w:hint="default"/>
        </w:rPr>
        <w:t>30</w:t>
      </w:r>
      <w:r>
        <w:rPr>
          <w:rFonts w:ascii="Times New Roman" w:hAnsi="Times New Roman" w:cs="Times New Roman" w:eastAsia="Times New Roman" w:hint="default"/>
          <w:spacing w:val="-2"/>
        </w:rPr>
        <w:t> </w:t>
      </w:r>
      <w:r>
        <w:rPr/>
        <w:t>日，公司及江苏林洋光伏科技有限公司共同向比利时联合股份有限公</w:t>
      </w:r>
    </w:p>
    <w:p>
      <w:pPr>
        <w:pStyle w:val="BodyText"/>
        <w:spacing w:line="331" w:lineRule="auto" w:before="108"/>
        <w:ind w:left="935" w:right="122"/>
        <w:jc w:val="left"/>
      </w:pPr>
      <w:r>
        <w:rPr/>
        <w:t>司上海分行申请综合授信额度不超过等额 </w:t>
      </w:r>
      <w:r>
        <w:rPr>
          <w:rFonts w:ascii="Times New Roman" w:hAnsi="Times New Roman" w:cs="Times New Roman" w:eastAsia="Times New Roman" w:hint="default"/>
        </w:rPr>
        <w:t>22,000.00</w:t>
      </w:r>
      <w:r>
        <w:rPr>
          <w:rFonts w:ascii="Times New Roman" w:hAnsi="Times New Roman" w:cs="Times New Roman" w:eastAsia="Times New Roman" w:hint="default"/>
          <w:spacing w:val="-29"/>
        </w:rPr>
        <w:t> </w:t>
      </w:r>
      <w:r>
        <w:rPr/>
        <w:t>万元，公司及上述下属公司就使用该</w:t>
      </w:r>
      <w:r>
        <w:rPr>
          <w:w w:val="100"/>
        </w:rPr>
        <w:t> </w:t>
      </w:r>
      <w:r>
        <w:rPr/>
        <w:t>综合授信额度相互承担连带担保责任。</w:t>
      </w:r>
    </w:p>
    <w:p>
      <w:pPr>
        <w:pStyle w:val="BodyText"/>
        <w:spacing w:line="240" w:lineRule="auto" w:before="46"/>
        <w:ind w:left="935" w:right="0"/>
        <w:jc w:val="both"/>
      </w:pPr>
      <w:r>
        <w:rPr>
          <w:rFonts w:ascii="Times New Roman" w:hAnsi="Times New Roman" w:cs="Times New Roman" w:eastAsia="Times New Roman" w:hint="default"/>
          <w:spacing w:val="-3"/>
        </w:rPr>
        <w:t>7</w:t>
      </w:r>
      <w:r>
        <w:rPr>
          <w:spacing w:val="-3"/>
        </w:rPr>
        <w:t>、</w:t>
      </w:r>
      <w:r>
        <w:rPr>
          <w:rFonts w:ascii="Times New Roman" w:hAnsi="Times New Roman" w:cs="Times New Roman" w:eastAsia="Times New Roman" w:hint="default"/>
          <w:spacing w:val="-3"/>
        </w:rPr>
        <w:t>2016</w:t>
      </w:r>
      <w:r>
        <w:rPr>
          <w:rFonts w:ascii="Times New Roman" w:hAnsi="Times New Roman" w:cs="Times New Roman" w:eastAsia="Times New Roman" w:hint="default"/>
          <w:spacing w:val="-2"/>
        </w:rPr>
        <w:t> </w:t>
      </w:r>
      <w:r>
        <w:rPr/>
        <w:t>年</w:t>
      </w:r>
      <w:r>
        <w:rPr>
          <w:spacing w:val="-55"/>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6"/>
        </w:rPr>
        <w:t> </w:t>
      </w:r>
      <w:r>
        <w:rPr>
          <w:rFonts w:ascii="Times New Roman" w:hAnsi="Times New Roman" w:cs="Times New Roman" w:eastAsia="Times New Roman" w:hint="default"/>
        </w:rPr>
        <w:t>16</w:t>
      </w:r>
      <w:r>
        <w:rPr>
          <w:rFonts w:ascii="Times New Roman" w:hAnsi="Times New Roman" w:cs="Times New Roman" w:eastAsia="Times New Roman" w:hint="default"/>
          <w:spacing w:val="-2"/>
        </w:rPr>
        <w:t> </w:t>
      </w:r>
      <w:r>
        <w:rPr/>
        <w:t>日，公司为灵璧华浍新能源科技有限公司向中国工商银行启东分行和</w:t>
      </w:r>
    </w:p>
    <w:p>
      <w:pPr>
        <w:pStyle w:val="BodyText"/>
        <w:spacing w:line="240" w:lineRule="auto" w:before="107"/>
        <w:ind w:left="935" w:right="0"/>
        <w:jc w:val="both"/>
      </w:pPr>
      <w:r>
        <w:rPr/>
        <w:t>宿州分行申请不超过 </w:t>
      </w:r>
      <w:r>
        <w:rPr>
          <w:rFonts w:ascii="Times New Roman" w:hAnsi="Times New Roman" w:cs="Times New Roman" w:eastAsia="Times New Roman" w:hint="default"/>
        </w:rPr>
        <w:t>11,000.00</w:t>
      </w:r>
      <w:r>
        <w:rPr>
          <w:rFonts w:ascii="Times New Roman" w:hAnsi="Times New Roman" w:cs="Times New Roman" w:eastAsia="Times New Roman" w:hint="default"/>
          <w:spacing w:val="-29"/>
        </w:rPr>
        <w:t> </w:t>
      </w:r>
      <w:r>
        <w:rPr/>
        <w:t>万元的贷款提供连带责任保证担保，同时灵璧华浍新能源</w:t>
      </w:r>
    </w:p>
    <w:p>
      <w:pPr>
        <w:pStyle w:val="BodyText"/>
        <w:spacing w:line="240" w:lineRule="auto" w:before="110"/>
        <w:ind w:left="935" w:right="0"/>
        <w:jc w:val="both"/>
      </w:pPr>
      <w:r>
        <w:rPr/>
        <w:t>科技有限公司以公司项目光伏电站的电费收费权项下权益为质押物，截至 </w:t>
      </w:r>
      <w:r>
        <w:rPr>
          <w:rFonts w:ascii="Times New Roman" w:hAnsi="Times New Roman" w:cs="Times New Roman" w:eastAsia="Times New Roman" w:hint="default"/>
        </w:rPr>
        <w:t>2019 </w:t>
      </w:r>
      <w:r>
        <w:rPr/>
        <w:t>年 </w:t>
      </w:r>
      <w:r>
        <w:rPr>
          <w:rFonts w:ascii="Times New Roman" w:hAnsi="Times New Roman" w:cs="Times New Roman" w:eastAsia="Times New Roman" w:hint="default"/>
        </w:rPr>
        <w:t>12</w:t>
      </w:r>
      <w:r>
        <w:rPr>
          <w:rFonts w:ascii="Times New Roman" w:hAnsi="Times New Roman" w:cs="Times New Roman" w:eastAsia="Times New Roman" w:hint="default"/>
          <w:spacing w:val="23"/>
        </w:rPr>
        <w:t> </w:t>
      </w:r>
      <w:r>
        <w:rPr/>
        <w:t>月</w:t>
      </w:r>
    </w:p>
    <w:p>
      <w:pPr>
        <w:pStyle w:val="BodyText"/>
        <w:spacing w:line="240" w:lineRule="auto" w:before="110"/>
        <w:ind w:left="935" w:right="0"/>
        <w:jc w:val="both"/>
      </w:pP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日灵璧华浍新能源科技有限公司取得银行贷款余额</w:t>
      </w:r>
      <w:r>
        <w:rPr>
          <w:spacing w:val="-55"/>
        </w:rPr>
        <w:t> </w:t>
      </w:r>
      <w:r>
        <w:rPr>
          <w:rFonts w:ascii="Times New Roman" w:hAnsi="Times New Roman" w:cs="Times New Roman" w:eastAsia="Times New Roman" w:hint="default"/>
        </w:rPr>
        <w:t>8,975.00</w:t>
      </w:r>
      <w:r>
        <w:rPr>
          <w:rFonts w:ascii="Times New Roman" w:hAnsi="Times New Roman" w:cs="Times New Roman" w:eastAsia="Times New Roman" w:hint="default"/>
          <w:spacing w:val="-5"/>
        </w:rPr>
        <w:t> </w:t>
      </w:r>
      <w:r>
        <w:rPr/>
        <w:t>万元。</w:t>
      </w:r>
    </w:p>
    <w:p>
      <w:pPr>
        <w:pStyle w:val="BodyText"/>
        <w:spacing w:line="240" w:lineRule="auto" w:before="107"/>
        <w:ind w:left="935" w:right="0"/>
        <w:jc w:val="both"/>
      </w:pPr>
      <w:r>
        <w:rPr>
          <w:rFonts w:ascii="Times New Roman" w:hAnsi="Times New Roman" w:cs="Times New Roman" w:eastAsia="Times New Roman" w:hint="default"/>
          <w:spacing w:val="-3"/>
        </w:rPr>
        <w:t>8</w:t>
      </w:r>
      <w:r>
        <w:rPr>
          <w:spacing w:val="-3"/>
        </w:rPr>
        <w:t>、</w:t>
      </w:r>
      <w:r>
        <w:rPr>
          <w:rFonts w:ascii="Times New Roman" w:hAnsi="Times New Roman" w:cs="Times New Roman" w:eastAsia="Times New Roman" w:hint="default"/>
          <w:spacing w:val="-3"/>
        </w:rPr>
        <w:t>2016</w:t>
      </w:r>
      <w:r>
        <w:rPr>
          <w:rFonts w:ascii="Times New Roman" w:hAnsi="Times New Roman" w:cs="Times New Roman" w:eastAsia="Times New Roman" w:hint="default"/>
          <w:spacing w:val="-2"/>
        </w:rPr>
        <w:t> </w:t>
      </w:r>
      <w:r>
        <w:rPr/>
        <w:t>年</w:t>
      </w:r>
      <w:r>
        <w:rPr>
          <w:spacing w:val="-55"/>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6"/>
        </w:rPr>
        <w:t> </w:t>
      </w:r>
      <w:r>
        <w:rPr>
          <w:rFonts w:ascii="Times New Roman" w:hAnsi="Times New Roman" w:cs="Times New Roman" w:eastAsia="Times New Roman" w:hint="default"/>
        </w:rPr>
        <w:t>16</w:t>
      </w:r>
      <w:r>
        <w:rPr>
          <w:rFonts w:ascii="Times New Roman" w:hAnsi="Times New Roman" w:cs="Times New Roman" w:eastAsia="Times New Roman" w:hint="default"/>
          <w:spacing w:val="-2"/>
        </w:rPr>
        <w:t> </w:t>
      </w:r>
      <w:r>
        <w:rPr/>
        <w:t>日，公司为灵璧灵阳新能源科技有限公司向中国工商银行启东分行和</w:t>
      </w:r>
    </w:p>
    <w:p>
      <w:pPr>
        <w:pStyle w:val="BodyText"/>
        <w:spacing w:line="240" w:lineRule="auto" w:before="110"/>
        <w:ind w:left="935" w:right="0"/>
        <w:jc w:val="both"/>
      </w:pPr>
      <w:r>
        <w:rPr/>
        <w:t>宿州分行申请不超过 </w:t>
      </w:r>
      <w:r>
        <w:rPr>
          <w:rFonts w:ascii="Times New Roman" w:hAnsi="Times New Roman" w:cs="Times New Roman" w:eastAsia="Times New Roman" w:hint="default"/>
        </w:rPr>
        <w:t>11,000.00</w:t>
      </w:r>
      <w:r>
        <w:rPr>
          <w:rFonts w:ascii="Times New Roman" w:hAnsi="Times New Roman" w:cs="Times New Roman" w:eastAsia="Times New Roman" w:hint="default"/>
          <w:spacing w:val="-29"/>
        </w:rPr>
        <w:t> </w:t>
      </w:r>
      <w:r>
        <w:rPr/>
        <w:t>万元的贷款提供连带责任保证担保，同时灵璧灵阳新能源</w:t>
      </w:r>
    </w:p>
    <w:p>
      <w:pPr>
        <w:pStyle w:val="BodyText"/>
        <w:spacing w:line="240" w:lineRule="auto" w:before="110"/>
        <w:ind w:left="935" w:right="0"/>
        <w:jc w:val="both"/>
      </w:pPr>
      <w:r>
        <w:rPr/>
        <w:t>科技有限公司以公司项目光伏电站的电费收费权项下权益为质押物，截至 </w:t>
      </w:r>
      <w:r>
        <w:rPr>
          <w:rFonts w:ascii="Times New Roman" w:hAnsi="Times New Roman" w:cs="Times New Roman" w:eastAsia="Times New Roman" w:hint="default"/>
        </w:rPr>
        <w:t>2019 </w:t>
      </w:r>
      <w:r>
        <w:rPr/>
        <w:t>年 </w:t>
      </w:r>
      <w:r>
        <w:rPr>
          <w:rFonts w:ascii="Times New Roman" w:hAnsi="Times New Roman" w:cs="Times New Roman" w:eastAsia="Times New Roman" w:hint="default"/>
        </w:rPr>
        <w:t>12</w:t>
      </w:r>
      <w:r>
        <w:rPr>
          <w:rFonts w:ascii="Times New Roman" w:hAnsi="Times New Roman" w:cs="Times New Roman" w:eastAsia="Times New Roman" w:hint="default"/>
          <w:spacing w:val="23"/>
        </w:rPr>
        <w:t> </w:t>
      </w:r>
      <w:r>
        <w:rPr/>
        <w:t>月</w:t>
      </w:r>
    </w:p>
    <w:p>
      <w:pPr>
        <w:pStyle w:val="BodyText"/>
        <w:spacing w:line="240" w:lineRule="auto" w:before="108"/>
        <w:ind w:left="935" w:right="0"/>
        <w:jc w:val="both"/>
      </w:pP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日灵璧灵阳新能源科技有限公司取得银行贷款余额</w:t>
      </w:r>
      <w:r>
        <w:rPr>
          <w:spacing w:val="-55"/>
        </w:rPr>
        <w:t> </w:t>
      </w:r>
      <w:r>
        <w:rPr>
          <w:rFonts w:ascii="Times New Roman" w:hAnsi="Times New Roman" w:cs="Times New Roman" w:eastAsia="Times New Roman" w:hint="default"/>
        </w:rPr>
        <w:t>8,625.00</w:t>
      </w:r>
      <w:r>
        <w:rPr>
          <w:rFonts w:ascii="Times New Roman" w:hAnsi="Times New Roman" w:cs="Times New Roman" w:eastAsia="Times New Roman" w:hint="default"/>
          <w:spacing w:val="-5"/>
        </w:rPr>
        <w:t> </w:t>
      </w:r>
      <w:r>
        <w:rPr/>
        <w:t>万元。</w:t>
      </w:r>
    </w:p>
    <w:p>
      <w:pPr>
        <w:pStyle w:val="BodyText"/>
        <w:spacing w:line="240" w:lineRule="auto" w:before="110"/>
        <w:ind w:left="935" w:right="0"/>
        <w:jc w:val="both"/>
      </w:pPr>
      <w:r>
        <w:rPr>
          <w:rFonts w:ascii="Times New Roman" w:hAnsi="Times New Roman" w:cs="Times New Roman" w:eastAsia="Times New Roman" w:hint="default"/>
        </w:rPr>
        <w:t>9</w:t>
      </w:r>
      <w:r>
        <w:rPr/>
        <w:t>、</w:t>
      </w:r>
      <w:r>
        <w:rPr>
          <w:rFonts w:ascii="Times New Roman" w:hAnsi="Times New Roman" w:cs="Times New Roman" w:eastAsia="Times New Roman" w:hint="default"/>
        </w:rPr>
        <w:t>2016 </w:t>
      </w:r>
      <w:r>
        <w:rPr/>
        <w:t>年 </w:t>
      </w:r>
      <w:r>
        <w:rPr>
          <w:rFonts w:ascii="Times New Roman" w:hAnsi="Times New Roman" w:cs="Times New Roman" w:eastAsia="Times New Roman" w:hint="default"/>
        </w:rPr>
        <w:t>12 </w:t>
      </w:r>
      <w:r>
        <w:rPr/>
        <w:t>月 </w:t>
      </w:r>
      <w:r>
        <w:rPr>
          <w:rFonts w:ascii="Times New Roman" w:hAnsi="Times New Roman" w:cs="Times New Roman" w:eastAsia="Times New Roman" w:hint="default"/>
        </w:rPr>
        <w:t>1</w:t>
      </w:r>
      <w:r>
        <w:rPr>
          <w:rFonts w:ascii="Times New Roman" w:hAnsi="Times New Roman" w:cs="Times New Roman" w:eastAsia="Times New Roman" w:hint="default"/>
          <w:spacing w:val="-29"/>
        </w:rPr>
        <w:t> </w:t>
      </w:r>
      <w:r>
        <w:rPr/>
        <w:t>日，公司为阜阳永明农业太阳能发电有限公司向中国工商银行启东分</w:t>
      </w:r>
    </w:p>
    <w:p>
      <w:pPr>
        <w:pStyle w:val="BodyText"/>
        <w:spacing w:line="240" w:lineRule="auto" w:before="110"/>
        <w:ind w:left="935" w:right="0"/>
        <w:jc w:val="both"/>
      </w:pPr>
      <w:r>
        <w:rPr/>
        <w:t>行和阜阳分行申请不超过 </w:t>
      </w:r>
      <w:r>
        <w:rPr>
          <w:rFonts w:ascii="Times New Roman" w:hAnsi="Times New Roman" w:cs="Times New Roman" w:eastAsia="Times New Roman" w:hint="default"/>
        </w:rPr>
        <w:t>8,900.00</w:t>
      </w:r>
      <w:r>
        <w:rPr>
          <w:rFonts w:ascii="Times New Roman" w:hAnsi="Times New Roman" w:cs="Times New Roman" w:eastAsia="Times New Roman" w:hint="default"/>
          <w:spacing w:val="-15"/>
        </w:rPr>
        <w:t> </w:t>
      </w:r>
      <w:r>
        <w:rPr>
          <w:spacing w:val="-5"/>
        </w:rPr>
        <w:t>万元的贷款提供连带责任保证担保，同时阜阳永明农业</w:t>
      </w:r>
    </w:p>
    <w:p>
      <w:pPr>
        <w:pStyle w:val="BodyText"/>
        <w:spacing w:line="240" w:lineRule="auto" w:before="107"/>
        <w:ind w:left="935" w:right="0"/>
        <w:jc w:val="both"/>
      </w:pPr>
      <w:r>
        <w:rPr/>
        <w:t>太阳能发电有限公司以公司项目光伏电站的电费收费权项下权益为质押物，截至 </w:t>
      </w:r>
      <w:r>
        <w:rPr>
          <w:rFonts w:ascii="Times New Roman" w:hAnsi="Times New Roman" w:cs="Times New Roman" w:eastAsia="Times New Roman" w:hint="default"/>
        </w:rPr>
        <w:t>2019</w:t>
      </w:r>
      <w:r>
        <w:rPr>
          <w:rFonts w:ascii="Times New Roman" w:hAnsi="Times New Roman" w:cs="Times New Roman" w:eastAsia="Times New Roman" w:hint="default"/>
          <w:spacing w:val="-29"/>
        </w:rPr>
        <w:t> </w:t>
      </w:r>
      <w:r>
        <w:rPr/>
        <w:t>年</w:t>
      </w:r>
    </w:p>
    <w:p>
      <w:pPr>
        <w:pStyle w:val="BodyText"/>
        <w:spacing w:line="240" w:lineRule="auto" w:before="110"/>
        <w:ind w:left="935" w:right="0"/>
        <w:jc w:val="both"/>
      </w:pP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4"/>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日阜阳永明农业太阳能发电有限公司取得银行贷款余额</w:t>
      </w:r>
      <w:r>
        <w:rPr>
          <w:spacing w:val="-54"/>
        </w:rPr>
        <w:t> </w:t>
      </w:r>
      <w:r>
        <w:rPr>
          <w:rFonts w:ascii="Times New Roman" w:hAnsi="Times New Roman" w:cs="Times New Roman" w:eastAsia="Times New Roman" w:hint="default"/>
        </w:rPr>
        <w:t>7,750.00</w:t>
      </w:r>
      <w:r>
        <w:rPr>
          <w:rFonts w:ascii="Times New Roman" w:hAnsi="Times New Roman" w:cs="Times New Roman" w:eastAsia="Times New Roman" w:hint="default"/>
          <w:spacing w:val="-1"/>
        </w:rPr>
        <w:t> </w:t>
      </w:r>
      <w:r>
        <w:rPr/>
        <w:t>万元。</w:t>
      </w:r>
    </w:p>
    <w:p>
      <w:pPr>
        <w:pStyle w:val="BodyText"/>
        <w:spacing w:line="240" w:lineRule="auto" w:before="110"/>
        <w:ind w:left="935" w:right="0"/>
        <w:jc w:val="both"/>
      </w:pPr>
      <w:r>
        <w:rPr>
          <w:rFonts w:ascii="Times New Roman" w:hAnsi="Times New Roman" w:cs="Times New Roman" w:eastAsia="Times New Roman" w:hint="default"/>
          <w:spacing w:val="-3"/>
        </w:rPr>
        <w:t>10</w:t>
      </w:r>
      <w:r>
        <w:rPr>
          <w:spacing w:val="-3"/>
        </w:rPr>
        <w:t>、</w:t>
      </w:r>
      <w:r>
        <w:rPr>
          <w:rFonts w:ascii="Times New Roman" w:hAnsi="Times New Roman" w:cs="Times New Roman" w:eastAsia="Times New Roman" w:hint="default"/>
          <w:spacing w:val="-3"/>
        </w:rPr>
        <w:t>2016</w:t>
      </w:r>
      <w:r>
        <w:rPr>
          <w:rFonts w:ascii="Times New Roman" w:hAnsi="Times New Roman" w:cs="Times New Roman" w:eastAsia="Times New Roman" w:hint="default"/>
          <w:spacing w:val="-1"/>
        </w:rPr>
        <w:t> </w:t>
      </w:r>
      <w:r>
        <w:rPr/>
        <w:t>年</w:t>
      </w:r>
      <w:r>
        <w:rPr>
          <w:spacing w:val="-56"/>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日，公司为阜阳金明太阳能发电有限公司向中国工商银行启东分行和</w:t>
      </w:r>
    </w:p>
    <w:p>
      <w:pPr>
        <w:pStyle w:val="BodyText"/>
        <w:spacing w:line="240" w:lineRule="auto" w:before="107"/>
        <w:ind w:left="935" w:right="0"/>
        <w:jc w:val="both"/>
      </w:pPr>
      <w:r>
        <w:rPr/>
        <w:t>阜阳分行申请不超过 </w:t>
      </w:r>
      <w:r>
        <w:rPr>
          <w:rFonts w:ascii="Times New Roman" w:hAnsi="Times New Roman" w:cs="Times New Roman" w:eastAsia="Times New Roman" w:hint="default"/>
        </w:rPr>
        <w:t>19,900.00</w:t>
      </w:r>
      <w:r>
        <w:rPr>
          <w:rFonts w:ascii="Times New Roman" w:hAnsi="Times New Roman" w:cs="Times New Roman" w:eastAsia="Times New Roman" w:hint="default"/>
          <w:spacing w:val="-29"/>
        </w:rPr>
        <w:t> </w:t>
      </w:r>
      <w:r>
        <w:rPr/>
        <w:t>万元的贷款提供连带责任保证担保，同时阜阳金明太阳能</w:t>
      </w:r>
    </w:p>
    <w:p>
      <w:pPr>
        <w:spacing w:after="0" w:line="240" w:lineRule="auto"/>
        <w:jc w:val="both"/>
        <w:sectPr>
          <w:footerReference w:type="default" r:id="rId254"/>
          <w:pgSz w:w="11910" w:h="16840"/>
          <w:pgMar w:footer="974" w:header="748" w:top="1140" w:bottom="1160" w:left="1580" w:right="1140"/>
          <w:pgNumType w:start="201"/>
        </w:sectPr>
      </w:pPr>
    </w:p>
    <w:p>
      <w:pPr>
        <w:spacing w:line="240" w:lineRule="auto" w:before="0"/>
        <w:rPr>
          <w:rFonts w:ascii="宋体" w:hAnsi="宋体" w:cs="宋体" w:eastAsia="宋体" w:hint="default"/>
          <w:sz w:val="20"/>
          <w:szCs w:val="20"/>
        </w:rPr>
      </w:pPr>
    </w:p>
    <w:p>
      <w:pPr>
        <w:pStyle w:val="BodyText"/>
        <w:spacing w:line="240" w:lineRule="auto" w:before="195"/>
        <w:ind w:left="935" w:right="0"/>
        <w:jc w:val="left"/>
      </w:pPr>
      <w:r>
        <w:rPr/>
        <w:t>发电有限公司以公司项目光伏电站的电费收费权项下权益为质押物，截至 </w:t>
      </w:r>
      <w:r>
        <w:rPr>
          <w:rFonts w:ascii="Times New Roman" w:hAnsi="Times New Roman" w:cs="Times New Roman" w:eastAsia="Times New Roman" w:hint="default"/>
        </w:rPr>
        <w:t>2019 </w:t>
      </w:r>
      <w:r>
        <w:rPr/>
        <w:t>年 </w:t>
      </w:r>
      <w:r>
        <w:rPr>
          <w:rFonts w:ascii="Times New Roman" w:hAnsi="Times New Roman" w:cs="Times New Roman" w:eastAsia="Times New Roman" w:hint="default"/>
        </w:rPr>
        <w:t>12</w:t>
      </w:r>
      <w:r>
        <w:rPr>
          <w:rFonts w:ascii="Times New Roman" w:hAnsi="Times New Roman" w:cs="Times New Roman" w:eastAsia="Times New Roman" w:hint="default"/>
          <w:spacing w:val="23"/>
        </w:rPr>
        <w:t> </w:t>
      </w:r>
      <w:r>
        <w:rPr/>
        <w:t>月</w:t>
      </w:r>
    </w:p>
    <w:p>
      <w:pPr>
        <w:pStyle w:val="BodyText"/>
        <w:spacing w:line="240" w:lineRule="auto" w:before="110"/>
        <w:ind w:left="935" w:right="0"/>
        <w:jc w:val="left"/>
      </w:pP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日阜阳金明太阳能发电有限公司取得银行贷款余额</w:t>
      </w:r>
      <w:r>
        <w:rPr>
          <w:spacing w:val="-55"/>
        </w:rPr>
        <w:t> </w:t>
      </w:r>
      <w:r>
        <w:rPr>
          <w:rFonts w:ascii="Times New Roman" w:hAnsi="Times New Roman" w:cs="Times New Roman" w:eastAsia="Times New Roman" w:hint="default"/>
        </w:rPr>
        <w:t>17,650.00</w:t>
      </w:r>
      <w:r>
        <w:rPr>
          <w:rFonts w:ascii="Times New Roman" w:hAnsi="Times New Roman" w:cs="Times New Roman" w:eastAsia="Times New Roman" w:hint="default"/>
          <w:spacing w:val="-2"/>
        </w:rPr>
        <w:t> </w:t>
      </w:r>
      <w:r>
        <w:rPr/>
        <w:t>万元。</w:t>
      </w:r>
    </w:p>
    <w:p>
      <w:pPr>
        <w:pStyle w:val="BodyText"/>
        <w:spacing w:line="240" w:lineRule="auto" w:before="110"/>
        <w:ind w:left="935" w:right="0"/>
        <w:jc w:val="left"/>
      </w:pPr>
      <w:r>
        <w:rPr>
          <w:rFonts w:ascii="Times New Roman" w:hAnsi="Times New Roman" w:cs="Times New Roman" w:eastAsia="Times New Roman" w:hint="default"/>
          <w:spacing w:val="-3"/>
        </w:rPr>
        <w:t>11</w:t>
      </w:r>
      <w:r>
        <w:rPr>
          <w:spacing w:val="-3"/>
        </w:rPr>
        <w:t>、</w:t>
      </w:r>
      <w:r>
        <w:rPr>
          <w:rFonts w:ascii="Times New Roman" w:hAnsi="Times New Roman" w:cs="Times New Roman" w:eastAsia="Times New Roman" w:hint="default"/>
          <w:spacing w:val="-3"/>
        </w:rPr>
        <w:t>2017</w:t>
      </w:r>
      <w:r>
        <w:rPr>
          <w:rFonts w:ascii="Times New Roman" w:hAnsi="Times New Roman" w:cs="Times New Roman" w:eastAsia="Times New Roman" w:hint="default"/>
          <w:spacing w:val="-1"/>
        </w:rPr>
        <w:t> </w:t>
      </w:r>
      <w:r>
        <w:rPr/>
        <w:t>年</w:t>
      </w:r>
      <w:r>
        <w:rPr>
          <w:spacing w:val="-56"/>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月</w:t>
      </w:r>
      <w:r>
        <w:rPr>
          <w:spacing w:val="-55"/>
        </w:rPr>
        <w:t> </w:t>
      </w:r>
      <w:r>
        <w:rPr>
          <w:rFonts w:ascii="Times New Roman" w:hAnsi="Times New Roman" w:cs="Times New Roman" w:eastAsia="Times New Roman" w:hint="default"/>
        </w:rPr>
        <w:t>26</w:t>
      </w:r>
      <w:r>
        <w:rPr>
          <w:rFonts w:ascii="Times New Roman" w:hAnsi="Times New Roman" w:cs="Times New Roman" w:eastAsia="Times New Roman" w:hint="default"/>
          <w:spacing w:val="-1"/>
        </w:rPr>
        <w:t> </w:t>
      </w:r>
      <w:r>
        <w:rPr/>
        <w:t>日，公司为萧县裕晟新能源科技有限公司向中国工商银行启东分行和</w:t>
      </w:r>
    </w:p>
    <w:p>
      <w:pPr>
        <w:pStyle w:val="BodyText"/>
        <w:spacing w:line="240" w:lineRule="auto" w:before="107"/>
        <w:ind w:left="935" w:right="0"/>
        <w:jc w:val="left"/>
      </w:pPr>
      <w:r>
        <w:rPr/>
        <w:t>萧县分行申请不超过 </w:t>
      </w:r>
      <w:r>
        <w:rPr>
          <w:rFonts w:ascii="Times New Roman" w:hAnsi="Times New Roman" w:cs="Times New Roman" w:eastAsia="Times New Roman" w:hint="default"/>
        </w:rPr>
        <w:t>11,000.00</w:t>
      </w:r>
      <w:r>
        <w:rPr>
          <w:rFonts w:ascii="Times New Roman" w:hAnsi="Times New Roman" w:cs="Times New Roman" w:eastAsia="Times New Roman" w:hint="default"/>
          <w:spacing w:val="-29"/>
        </w:rPr>
        <w:t> </w:t>
      </w:r>
      <w:r>
        <w:rPr/>
        <w:t>万元的贷款提供连带责任保证担保，同时萧县裕晟新能源</w:t>
      </w:r>
    </w:p>
    <w:p>
      <w:pPr>
        <w:pStyle w:val="BodyText"/>
        <w:spacing w:line="240" w:lineRule="auto" w:before="110"/>
        <w:ind w:left="935" w:right="0"/>
        <w:jc w:val="left"/>
      </w:pPr>
      <w:r>
        <w:rPr/>
        <w:t>科技有限公司以公司项目光伏电站的电费收费权项下权益为质押物，截至 </w:t>
      </w:r>
      <w:r>
        <w:rPr>
          <w:rFonts w:ascii="Times New Roman" w:hAnsi="Times New Roman" w:cs="Times New Roman" w:eastAsia="Times New Roman" w:hint="default"/>
        </w:rPr>
        <w:t>2019 </w:t>
      </w:r>
      <w:r>
        <w:rPr/>
        <w:t>年 </w:t>
      </w:r>
      <w:r>
        <w:rPr>
          <w:rFonts w:ascii="Times New Roman" w:hAnsi="Times New Roman" w:cs="Times New Roman" w:eastAsia="Times New Roman" w:hint="default"/>
        </w:rPr>
        <w:t>12</w:t>
      </w:r>
      <w:r>
        <w:rPr>
          <w:rFonts w:ascii="Times New Roman" w:hAnsi="Times New Roman" w:cs="Times New Roman" w:eastAsia="Times New Roman" w:hint="default"/>
          <w:spacing w:val="23"/>
        </w:rPr>
        <w:t> </w:t>
      </w:r>
      <w:r>
        <w:rPr/>
        <w:t>月</w:t>
      </w:r>
    </w:p>
    <w:p>
      <w:pPr>
        <w:pStyle w:val="BodyText"/>
        <w:spacing w:line="240" w:lineRule="auto" w:before="110"/>
        <w:ind w:left="935" w:right="0"/>
        <w:jc w:val="left"/>
      </w:pP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日萧县裕晟新能源科技有限公司取得银行贷款余额</w:t>
      </w:r>
      <w:r>
        <w:rPr>
          <w:spacing w:val="-55"/>
        </w:rPr>
        <w:t> </w:t>
      </w:r>
      <w:r>
        <w:rPr>
          <w:rFonts w:ascii="Times New Roman" w:hAnsi="Times New Roman" w:cs="Times New Roman" w:eastAsia="Times New Roman" w:hint="default"/>
        </w:rPr>
        <w:t>9,860.00</w:t>
      </w:r>
      <w:r>
        <w:rPr>
          <w:rFonts w:ascii="Times New Roman" w:hAnsi="Times New Roman" w:cs="Times New Roman" w:eastAsia="Times New Roman" w:hint="default"/>
          <w:spacing w:val="-5"/>
        </w:rPr>
        <w:t> </w:t>
      </w:r>
      <w:r>
        <w:rPr/>
        <w:t>万元。</w:t>
      </w:r>
    </w:p>
    <w:p>
      <w:pPr>
        <w:pStyle w:val="BodyText"/>
        <w:spacing w:line="240" w:lineRule="auto" w:before="107"/>
        <w:ind w:left="935" w:right="0"/>
        <w:jc w:val="left"/>
      </w:pPr>
      <w:r>
        <w:rPr>
          <w:rFonts w:ascii="Times New Roman" w:hAnsi="Times New Roman" w:cs="Times New Roman" w:eastAsia="Times New Roman" w:hint="default"/>
          <w:spacing w:val="-3"/>
        </w:rPr>
        <w:t>12</w:t>
      </w:r>
      <w:r>
        <w:rPr>
          <w:spacing w:val="-3"/>
        </w:rPr>
        <w:t>、</w:t>
      </w:r>
      <w:r>
        <w:rPr>
          <w:rFonts w:ascii="Times New Roman" w:hAnsi="Times New Roman" w:cs="Times New Roman" w:eastAsia="Times New Roman" w:hint="default"/>
          <w:spacing w:val="-3"/>
        </w:rPr>
        <w:t>2017</w:t>
      </w:r>
      <w:r>
        <w:rPr>
          <w:rFonts w:ascii="Times New Roman" w:hAnsi="Times New Roman" w:cs="Times New Roman" w:eastAsia="Times New Roman" w:hint="default"/>
          <w:spacing w:val="-1"/>
        </w:rPr>
        <w:t> </w:t>
      </w:r>
      <w:r>
        <w:rPr/>
        <w:t>年</w:t>
      </w:r>
      <w:r>
        <w:rPr>
          <w:spacing w:val="-56"/>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月</w:t>
      </w:r>
      <w:r>
        <w:rPr>
          <w:spacing w:val="-55"/>
        </w:rPr>
        <w:t> </w:t>
      </w:r>
      <w:r>
        <w:rPr>
          <w:rFonts w:ascii="Times New Roman" w:hAnsi="Times New Roman" w:cs="Times New Roman" w:eastAsia="Times New Roman" w:hint="default"/>
        </w:rPr>
        <w:t>22</w:t>
      </w:r>
      <w:r>
        <w:rPr>
          <w:rFonts w:ascii="Times New Roman" w:hAnsi="Times New Roman" w:cs="Times New Roman" w:eastAsia="Times New Roman" w:hint="default"/>
          <w:spacing w:val="-1"/>
        </w:rPr>
        <w:t> </w:t>
      </w:r>
      <w:r>
        <w:rPr/>
        <w:t>日，公司及江苏林洋光伏科技有限公司为启东市华乐新能源电力有限</w:t>
      </w:r>
    </w:p>
    <w:p>
      <w:pPr>
        <w:pStyle w:val="BodyText"/>
        <w:spacing w:line="240" w:lineRule="auto" w:before="110"/>
        <w:ind w:left="935" w:right="0"/>
        <w:jc w:val="left"/>
      </w:pPr>
      <w:r>
        <w:rPr/>
        <w:t>公司向中国农业银行启东分行申请不超过 </w:t>
      </w:r>
      <w:r>
        <w:rPr>
          <w:rFonts w:ascii="Times New Roman" w:hAnsi="Times New Roman" w:cs="Times New Roman" w:eastAsia="Times New Roman" w:hint="default"/>
        </w:rPr>
        <w:t>15,000.00</w:t>
      </w:r>
      <w:r>
        <w:rPr>
          <w:rFonts w:ascii="Times New Roman" w:hAnsi="Times New Roman" w:cs="Times New Roman" w:eastAsia="Times New Roman" w:hint="default"/>
          <w:spacing w:val="-29"/>
        </w:rPr>
        <w:t> </w:t>
      </w:r>
      <w:r>
        <w:rPr/>
        <w:t>万元的贷款提供连带责任保证担保，</w:t>
      </w:r>
    </w:p>
    <w:p>
      <w:pPr>
        <w:pStyle w:val="BodyText"/>
        <w:spacing w:line="240" w:lineRule="auto" w:before="110"/>
        <w:ind w:left="935" w:right="0"/>
        <w:jc w:val="left"/>
      </w:pPr>
      <w:r>
        <w:rPr/>
        <w:t>截至</w:t>
      </w:r>
      <w:r>
        <w:rPr>
          <w:spacing w:val="-78"/>
        </w:rPr>
        <w:t> </w:t>
      </w:r>
      <w:r>
        <w:rPr>
          <w:rFonts w:ascii="Times New Roman" w:hAnsi="Times New Roman" w:cs="Times New Roman" w:eastAsia="Times New Roman" w:hint="default"/>
        </w:rPr>
        <w:t>2019</w:t>
      </w:r>
      <w:r>
        <w:rPr>
          <w:rFonts w:ascii="Times New Roman" w:hAnsi="Times New Roman" w:cs="Times New Roman" w:eastAsia="Times New Roman" w:hint="default"/>
          <w:spacing w:val="-25"/>
        </w:rPr>
        <w:t> </w:t>
      </w:r>
      <w:r>
        <w:rPr/>
        <w:t>年</w:t>
      </w:r>
      <w:r>
        <w:rPr>
          <w:spacing w:val="-75"/>
        </w:rPr>
        <w:t> </w:t>
      </w:r>
      <w:r>
        <w:rPr>
          <w:rFonts w:ascii="Times New Roman" w:hAnsi="Times New Roman" w:cs="Times New Roman" w:eastAsia="Times New Roman" w:hint="default"/>
        </w:rPr>
        <w:t>12</w:t>
      </w:r>
      <w:r>
        <w:rPr>
          <w:rFonts w:ascii="Times New Roman" w:hAnsi="Times New Roman" w:cs="Times New Roman" w:eastAsia="Times New Roman" w:hint="default"/>
          <w:spacing w:val="-25"/>
        </w:rPr>
        <w:t> </w:t>
      </w:r>
      <w:r>
        <w:rPr/>
        <w:t>月</w:t>
      </w:r>
      <w:r>
        <w:rPr>
          <w:spacing w:val="-75"/>
        </w:rPr>
        <w:t> </w:t>
      </w:r>
      <w:r>
        <w:rPr>
          <w:rFonts w:ascii="Times New Roman" w:hAnsi="Times New Roman" w:cs="Times New Roman" w:eastAsia="Times New Roman" w:hint="default"/>
        </w:rPr>
        <w:t>31</w:t>
      </w:r>
      <w:r>
        <w:rPr>
          <w:rFonts w:ascii="Times New Roman" w:hAnsi="Times New Roman" w:cs="Times New Roman" w:eastAsia="Times New Roman" w:hint="default"/>
          <w:spacing w:val="-23"/>
        </w:rPr>
        <w:t> </w:t>
      </w:r>
      <w:r>
        <w:rPr/>
        <w:t>日启东市华乐新能源电力有限公司取得银行贷款余额</w:t>
      </w:r>
      <w:r>
        <w:rPr>
          <w:spacing w:val="-78"/>
        </w:rPr>
        <w:t> </w:t>
      </w:r>
      <w:r>
        <w:rPr>
          <w:rFonts w:ascii="Times New Roman" w:hAnsi="Times New Roman" w:cs="Times New Roman" w:eastAsia="Times New Roman" w:hint="default"/>
        </w:rPr>
        <w:t>6,100.00</w:t>
      </w:r>
      <w:r>
        <w:rPr>
          <w:rFonts w:ascii="Times New Roman" w:hAnsi="Times New Roman" w:cs="Times New Roman" w:eastAsia="Times New Roman" w:hint="default"/>
          <w:spacing w:val="-23"/>
        </w:rPr>
        <w:t> </w:t>
      </w:r>
      <w:r>
        <w:rPr>
          <w:spacing w:val="-3"/>
        </w:rPr>
        <w:t>万元。</w:t>
      </w:r>
      <w:r>
        <w:rPr/>
      </w:r>
    </w:p>
    <w:p>
      <w:pPr>
        <w:pStyle w:val="BodyText"/>
        <w:spacing w:line="240" w:lineRule="auto" w:before="108"/>
        <w:ind w:left="935" w:right="0"/>
        <w:jc w:val="left"/>
      </w:pPr>
      <w:r>
        <w:rPr>
          <w:rFonts w:ascii="Times New Roman" w:hAnsi="Times New Roman" w:cs="Times New Roman" w:eastAsia="Times New Roman" w:hint="default"/>
        </w:rPr>
        <w:t>13</w:t>
      </w:r>
      <w:r>
        <w:rPr/>
        <w:t>、</w:t>
      </w:r>
      <w:r>
        <w:rPr>
          <w:rFonts w:ascii="Times New Roman" w:hAnsi="Times New Roman" w:cs="Times New Roman" w:eastAsia="Times New Roman" w:hint="default"/>
        </w:rPr>
        <w:t>2017 </w:t>
      </w:r>
      <w:r>
        <w:rPr/>
        <w:t>年 </w:t>
      </w:r>
      <w:r>
        <w:rPr>
          <w:rFonts w:ascii="Times New Roman" w:hAnsi="Times New Roman" w:cs="Times New Roman" w:eastAsia="Times New Roman" w:hint="default"/>
        </w:rPr>
        <w:t>8 </w:t>
      </w:r>
      <w:r>
        <w:rPr/>
        <w:t>月 </w:t>
      </w:r>
      <w:r>
        <w:rPr>
          <w:rFonts w:ascii="Times New Roman" w:hAnsi="Times New Roman" w:cs="Times New Roman" w:eastAsia="Times New Roman" w:hint="default"/>
        </w:rPr>
        <w:t>2</w:t>
      </w:r>
      <w:r>
        <w:rPr>
          <w:rFonts w:ascii="Times New Roman" w:hAnsi="Times New Roman" w:cs="Times New Roman" w:eastAsia="Times New Roman" w:hint="default"/>
          <w:spacing w:val="-29"/>
        </w:rPr>
        <w:t> </w:t>
      </w:r>
      <w:r>
        <w:rPr/>
        <w:t>日，公司为颍上永阳新能源科技有限公司向中国工商银行启东分行和</w:t>
      </w:r>
    </w:p>
    <w:p>
      <w:pPr>
        <w:pStyle w:val="BodyText"/>
        <w:spacing w:line="240" w:lineRule="auto" w:before="110"/>
        <w:ind w:left="935" w:right="0"/>
        <w:jc w:val="left"/>
      </w:pPr>
      <w:r>
        <w:rPr/>
        <w:t>阜阳分行申请不超过 </w:t>
      </w:r>
      <w:r>
        <w:rPr>
          <w:rFonts w:ascii="Times New Roman" w:hAnsi="Times New Roman" w:cs="Times New Roman" w:eastAsia="Times New Roman" w:hint="default"/>
        </w:rPr>
        <w:t>11,000.00</w:t>
      </w:r>
      <w:r>
        <w:rPr>
          <w:rFonts w:ascii="Times New Roman" w:hAnsi="Times New Roman" w:cs="Times New Roman" w:eastAsia="Times New Roman" w:hint="default"/>
          <w:spacing w:val="-29"/>
        </w:rPr>
        <w:t> </w:t>
      </w:r>
      <w:r>
        <w:rPr/>
        <w:t>万元的贷款提供连带责任保证担保，同时颍上永阳新能源</w:t>
      </w:r>
    </w:p>
    <w:p>
      <w:pPr>
        <w:pStyle w:val="BodyText"/>
        <w:spacing w:line="240" w:lineRule="auto" w:before="110"/>
        <w:ind w:left="935" w:right="0"/>
        <w:jc w:val="left"/>
      </w:pPr>
      <w:r>
        <w:rPr/>
        <w:t>科技有限公司以公司项目光伏电站的电费收费权项下权益为质押物，截至 </w:t>
      </w:r>
      <w:r>
        <w:rPr>
          <w:rFonts w:ascii="Times New Roman" w:hAnsi="Times New Roman" w:cs="Times New Roman" w:eastAsia="Times New Roman" w:hint="default"/>
        </w:rPr>
        <w:t>2019 </w:t>
      </w:r>
      <w:r>
        <w:rPr/>
        <w:t>年 </w:t>
      </w:r>
      <w:r>
        <w:rPr>
          <w:rFonts w:ascii="Times New Roman" w:hAnsi="Times New Roman" w:cs="Times New Roman" w:eastAsia="Times New Roman" w:hint="default"/>
        </w:rPr>
        <w:t>12</w:t>
      </w:r>
      <w:r>
        <w:rPr>
          <w:rFonts w:ascii="Times New Roman" w:hAnsi="Times New Roman" w:cs="Times New Roman" w:eastAsia="Times New Roman" w:hint="default"/>
          <w:spacing w:val="23"/>
        </w:rPr>
        <w:t> </w:t>
      </w:r>
      <w:r>
        <w:rPr/>
        <w:t>月</w:t>
      </w:r>
    </w:p>
    <w:p>
      <w:pPr>
        <w:pStyle w:val="BodyText"/>
        <w:spacing w:line="240" w:lineRule="auto" w:before="107"/>
        <w:ind w:left="935" w:right="0"/>
        <w:jc w:val="left"/>
      </w:pP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日颍上永阳新能源科技有限公司取得银行贷款余额</w:t>
      </w:r>
      <w:r>
        <w:rPr>
          <w:spacing w:val="-55"/>
        </w:rPr>
        <w:t> </w:t>
      </w:r>
      <w:r>
        <w:rPr>
          <w:rFonts w:ascii="Times New Roman" w:hAnsi="Times New Roman" w:cs="Times New Roman" w:eastAsia="Times New Roman" w:hint="default"/>
        </w:rPr>
        <w:t>4,060.00</w:t>
      </w:r>
      <w:r>
        <w:rPr>
          <w:rFonts w:ascii="Times New Roman" w:hAnsi="Times New Roman" w:cs="Times New Roman" w:eastAsia="Times New Roman" w:hint="default"/>
          <w:spacing w:val="-5"/>
        </w:rPr>
        <w:t> </w:t>
      </w:r>
      <w:r>
        <w:rPr/>
        <w:t>万元。</w:t>
      </w:r>
    </w:p>
    <w:p>
      <w:pPr>
        <w:pStyle w:val="BodyText"/>
        <w:spacing w:line="240" w:lineRule="auto" w:before="110"/>
        <w:ind w:left="935" w:right="0"/>
        <w:jc w:val="left"/>
      </w:pPr>
      <w:r>
        <w:rPr>
          <w:rFonts w:ascii="Times New Roman" w:hAnsi="Times New Roman" w:cs="Times New Roman" w:eastAsia="Times New Roman" w:hint="default"/>
          <w:spacing w:val="-3"/>
        </w:rPr>
        <w:t>14</w:t>
      </w:r>
      <w:r>
        <w:rPr>
          <w:spacing w:val="-3"/>
        </w:rPr>
        <w:t>、</w:t>
      </w:r>
      <w:r>
        <w:rPr>
          <w:rFonts w:ascii="Times New Roman" w:hAnsi="Times New Roman" w:cs="Times New Roman" w:eastAsia="Times New Roman" w:hint="default"/>
          <w:spacing w:val="-3"/>
        </w:rPr>
        <w:t>2018</w:t>
      </w:r>
      <w:r>
        <w:rPr>
          <w:rFonts w:ascii="Times New Roman" w:hAnsi="Times New Roman" w:cs="Times New Roman" w:eastAsia="Times New Roman" w:hint="default"/>
          <w:spacing w:val="-1"/>
        </w:rPr>
        <w:t> </w:t>
      </w:r>
      <w:r>
        <w:rPr/>
        <w:t>年</w:t>
      </w:r>
      <w:r>
        <w:rPr>
          <w:spacing w:val="-5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w:t>
      </w:r>
      <w:r>
        <w:rPr>
          <w:spacing w:val="-55"/>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日，公司为泗洪永乐新能源科技有限公司向中国银行泗洪支行申请不</w:t>
      </w:r>
    </w:p>
    <w:p>
      <w:pPr>
        <w:pStyle w:val="BodyText"/>
        <w:spacing w:line="240" w:lineRule="auto" w:before="110"/>
        <w:ind w:left="935" w:right="0"/>
        <w:jc w:val="left"/>
      </w:pPr>
      <w:r>
        <w:rPr/>
        <w:t>超过</w:t>
      </w:r>
      <w:r>
        <w:rPr>
          <w:spacing w:val="-49"/>
        </w:rPr>
        <w:t> </w:t>
      </w:r>
      <w:r>
        <w:rPr>
          <w:rFonts w:ascii="Times New Roman" w:hAnsi="Times New Roman" w:cs="Times New Roman" w:eastAsia="Times New Roman" w:hint="default"/>
        </w:rPr>
        <w:t>18,700.00</w:t>
      </w:r>
      <w:r>
        <w:rPr>
          <w:rFonts w:ascii="Times New Roman" w:hAnsi="Times New Roman" w:cs="Times New Roman" w:eastAsia="Times New Roman" w:hint="default"/>
          <w:spacing w:val="2"/>
        </w:rPr>
        <w:t> </w:t>
      </w:r>
      <w:r>
        <w:rPr>
          <w:spacing w:val="-6"/>
        </w:rPr>
        <w:t>万元的贷款提供连带责任保证担保，截至</w:t>
      </w:r>
      <w:r>
        <w:rPr>
          <w:spacing w:val="-49"/>
        </w:rPr>
        <w:t> </w:t>
      </w:r>
      <w:r>
        <w:rPr>
          <w:rFonts w:ascii="Times New Roman" w:hAnsi="Times New Roman" w:cs="Times New Roman" w:eastAsia="Times New Roman" w:hint="default"/>
        </w:rPr>
        <w:t>2019</w:t>
      </w:r>
      <w:r>
        <w:rPr>
          <w:rFonts w:ascii="Times New Roman" w:hAnsi="Times New Roman" w:cs="Times New Roman" w:eastAsia="Times New Roman" w:hint="default"/>
          <w:spacing w:val="4"/>
        </w:rPr>
        <w:t> </w:t>
      </w:r>
      <w:r>
        <w:rPr/>
        <w:t>年</w:t>
      </w:r>
      <w:r>
        <w:rPr>
          <w:spacing w:val="-51"/>
        </w:rPr>
        <w:t> </w:t>
      </w:r>
      <w:r>
        <w:rPr>
          <w:rFonts w:ascii="Times New Roman" w:hAnsi="Times New Roman" w:cs="Times New Roman" w:eastAsia="Times New Roman" w:hint="default"/>
        </w:rPr>
        <w:t>12 </w:t>
      </w:r>
      <w:r>
        <w:rPr/>
        <w:t>月</w:t>
      </w:r>
      <w:r>
        <w:rPr>
          <w:spacing w:val="-49"/>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日泗洪永乐新能</w:t>
      </w:r>
    </w:p>
    <w:p>
      <w:pPr>
        <w:pStyle w:val="BodyText"/>
        <w:spacing w:line="240" w:lineRule="auto" w:before="107"/>
        <w:ind w:left="935" w:right="0"/>
        <w:jc w:val="left"/>
      </w:pPr>
      <w:r>
        <w:rPr/>
        <w:t>源科技有限公司取得银行贷款余额</w:t>
      </w:r>
      <w:r>
        <w:rPr>
          <w:spacing w:val="-54"/>
        </w:rPr>
        <w:t> </w:t>
      </w:r>
      <w:r>
        <w:rPr>
          <w:rFonts w:ascii="Times New Roman" w:hAnsi="Times New Roman" w:cs="Times New Roman" w:eastAsia="Times New Roman" w:hint="default"/>
        </w:rPr>
        <w:t>8,000.00</w:t>
      </w:r>
      <w:r>
        <w:rPr>
          <w:rFonts w:ascii="Times New Roman" w:hAnsi="Times New Roman" w:cs="Times New Roman" w:eastAsia="Times New Roman" w:hint="default"/>
          <w:spacing w:val="-1"/>
        </w:rPr>
        <w:t> </w:t>
      </w:r>
      <w:r>
        <w:rPr/>
        <w:t>万元。</w:t>
      </w:r>
    </w:p>
    <w:p>
      <w:pPr>
        <w:pStyle w:val="BodyText"/>
        <w:spacing w:line="240" w:lineRule="auto" w:before="110"/>
        <w:ind w:left="935" w:right="0"/>
        <w:jc w:val="left"/>
      </w:pPr>
      <w:r>
        <w:rPr>
          <w:rFonts w:ascii="Times New Roman" w:hAnsi="Times New Roman" w:cs="Times New Roman" w:eastAsia="Times New Roman" w:hint="default"/>
          <w:spacing w:val="-3"/>
        </w:rPr>
        <w:t>15</w:t>
      </w:r>
      <w:r>
        <w:rPr>
          <w:spacing w:val="-3"/>
        </w:rPr>
        <w:t>、</w:t>
      </w:r>
      <w:r>
        <w:rPr>
          <w:rFonts w:ascii="Times New Roman" w:hAnsi="Times New Roman" w:cs="Times New Roman" w:eastAsia="Times New Roman" w:hint="default"/>
          <w:spacing w:val="-3"/>
        </w:rPr>
        <w:t>2018</w:t>
      </w:r>
      <w:r>
        <w:rPr>
          <w:rFonts w:ascii="Times New Roman" w:hAnsi="Times New Roman" w:cs="Times New Roman" w:eastAsia="Times New Roman" w:hint="default"/>
          <w:spacing w:val="-1"/>
        </w:rPr>
        <w:t> </w:t>
      </w:r>
      <w:r>
        <w:rPr/>
        <w:t>年</w:t>
      </w:r>
      <w:r>
        <w:rPr>
          <w:spacing w:val="-56"/>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月</w:t>
      </w:r>
      <w:r>
        <w:rPr>
          <w:spacing w:val="-55"/>
        </w:rPr>
        <w:t> </w:t>
      </w:r>
      <w:r>
        <w:rPr>
          <w:rFonts w:ascii="Times New Roman" w:hAnsi="Times New Roman" w:cs="Times New Roman" w:eastAsia="Times New Roman" w:hint="default"/>
        </w:rPr>
        <w:t>28</w:t>
      </w:r>
      <w:r>
        <w:rPr>
          <w:rFonts w:ascii="Times New Roman" w:hAnsi="Times New Roman" w:cs="Times New Roman" w:eastAsia="Times New Roman" w:hint="default"/>
          <w:spacing w:val="-1"/>
        </w:rPr>
        <w:t> </w:t>
      </w:r>
      <w:r>
        <w:rPr/>
        <w:t>日，公司为灌云林洋新能源科技有限公司向中国银行启东支行申请不</w:t>
      </w:r>
    </w:p>
    <w:p>
      <w:pPr>
        <w:pStyle w:val="BodyText"/>
        <w:spacing w:line="240" w:lineRule="auto" w:before="110"/>
        <w:ind w:left="935" w:right="0"/>
        <w:jc w:val="left"/>
      </w:pPr>
      <w:r>
        <w:rPr/>
        <w:t>超过</w:t>
      </w:r>
      <w:r>
        <w:rPr>
          <w:spacing w:val="-49"/>
        </w:rPr>
        <w:t> </w:t>
      </w:r>
      <w:r>
        <w:rPr>
          <w:rFonts w:ascii="Times New Roman" w:hAnsi="Times New Roman" w:cs="Times New Roman" w:eastAsia="Times New Roman" w:hint="default"/>
        </w:rPr>
        <w:t>8,000.00</w:t>
      </w:r>
      <w:r>
        <w:rPr>
          <w:rFonts w:ascii="Times New Roman" w:hAnsi="Times New Roman" w:cs="Times New Roman" w:eastAsia="Times New Roman" w:hint="default"/>
          <w:spacing w:val="3"/>
        </w:rPr>
        <w:t> </w:t>
      </w:r>
      <w:r>
        <w:rPr/>
        <w:t>万元的贷款提供连带责任保证担保，截至</w:t>
      </w:r>
      <w:r>
        <w:rPr>
          <w:spacing w:val="-49"/>
        </w:rPr>
        <w:t> </w:t>
      </w:r>
      <w:r>
        <w:rPr>
          <w:rFonts w:ascii="Times New Roman" w:hAnsi="Times New Roman" w:cs="Times New Roman" w:eastAsia="Times New Roman" w:hint="default"/>
        </w:rPr>
        <w:t>2019</w:t>
      </w:r>
      <w:r>
        <w:rPr>
          <w:rFonts w:ascii="Times New Roman" w:hAnsi="Times New Roman" w:cs="Times New Roman" w:eastAsia="Times New Roman" w:hint="default"/>
          <w:spacing w:val="3"/>
        </w:rPr>
        <w:t> </w:t>
      </w:r>
      <w:r>
        <w:rPr/>
        <w:t>年</w:t>
      </w:r>
      <w:r>
        <w:rPr>
          <w:spacing w:val="-49"/>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53"/>
        </w:rPr>
        <w:t> </w:t>
      </w:r>
      <w:r>
        <w:rPr>
          <w:rFonts w:ascii="Times New Roman" w:hAnsi="Times New Roman" w:cs="Times New Roman" w:eastAsia="Times New Roman" w:hint="default"/>
        </w:rPr>
        <w:t>31</w:t>
      </w:r>
      <w:r>
        <w:rPr>
          <w:rFonts w:ascii="Times New Roman" w:hAnsi="Times New Roman" w:cs="Times New Roman" w:eastAsia="Times New Roman" w:hint="default"/>
          <w:spacing w:val="4"/>
        </w:rPr>
        <w:t> </w:t>
      </w:r>
      <w:r>
        <w:rPr/>
        <w:t>日灌云林洋新能</w:t>
      </w:r>
    </w:p>
    <w:p>
      <w:pPr>
        <w:pStyle w:val="BodyText"/>
        <w:spacing w:line="240" w:lineRule="auto" w:before="108"/>
        <w:ind w:left="935" w:right="0"/>
        <w:jc w:val="left"/>
      </w:pPr>
      <w:r>
        <w:rPr/>
        <w:t>源科技有限公司取得银行贷款余额</w:t>
      </w:r>
      <w:r>
        <w:rPr>
          <w:spacing w:val="-54"/>
        </w:rPr>
        <w:t> </w:t>
      </w:r>
      <w:r>
        <w:rPr>
          <w:rFonts w:ascii="Times New Roman" w:hAnsi="Times New Roman" w:cs="Times New Roman" w:eastAsia="Times New Roman" w:hint="default"/>
        </w:rPr>
        <w:t>6,800.00</w:t>
      </w:r>
      <w:r>
        <w:rPr>
          <w:rFonts w:ascii="Times New Roman" w:hAnsi="Times New Roman" w:cs="Times New Roman" w:eastAsia="Times New Roman" w:hint="default"/>
          <w:spacing w:val="-1"/>
        </w:rPr>
        <w:t> </w:t>
      </w:r>
      <w:r>
        <w:rPr/>
        <w:t>万元。</w:t>
      </w:r>
    </w:p>
    <w:p>
      <w:pPr>
        <w:pStyle w:val="BodyText"/>
        <w:spacing w:line="240" w:lineRule="auto" w:before="110"/>
        <w:ind w:left="935" w:right="0"/>
        <w:jc w:val="left"/>
      </w:pPr>
      <w:r>
        <w:rPr>
          <w:rFonts w:ascii="Times New Roman" w:hAnsi="Times New Roman" w:cs="Times New Roman" w:eastAsia="Times New Roman" w:hint="default"/>
          <w:spacing w:val="-3"/>
        </w:rPr>
        <w:t>16</w:t>
      </w:r>
      <w:r>
        <w:rPr>
          <w:spacing w:val="-3"/>
        </w:rPr>
        <w:t>、</w:t>
      </w:r>
      <w:r>
        <w:rPr>
          <w:rFonts w:ascii="Times New Roman" w:hAnsi="Times New Roman" w:cs="Times New Roman" w:eastAsia="Times New Roman" w:hint="default"/>
          <w:spacing w:val="-3"/>
        </w:rPr>
        <w:t>2018</w:t>
      </w:r>
      <w:r>
        <w:rPr>
          <w:rFonts w:ascii="Times New Roman" w:hAnsi="Times New Roman" w:cs="Times New Roman" w:eastAsia="Times New Roman" w:hint="default"/>
          <w:spacing w:val="-1"/>
        </w:rPr>
        <w:t> </w:t>
      </w:r>
      <w:r>
        <w:rPr/>
        <w:t>年</w:t>
      </w:r>
      <w:r>
        <w:rPr>
          <w:spacing w:val="-56"/>
        </w:rPr>
        <w:t> </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月</w:t>
      </w:r>
      <w:r>
        <w:rPr>
          <w:spacing w:val="-55"/>
        </w:rPr>
        <w:t> </w:t>
      </w:r>
      <w:r>
        <w:rPr>
          <w:rFonts w:ascii="Times New Roman" w:hAnsi="Times New Roman" w:cs="Times New Roman" w:eastAsia="Times New Roman" w:hint="default"/>
        </w:rPr>
        <w:t>24</w:t>
      </w:r>
      <w:r>
        <w:rPr>
          <w:rFonts w:ascii="Times New Roman" w:hAnsi="Times New Roman" w:cs="Times New Roman" w:eastAsia="Times New Roman" w:hint="default"/>
          <w:spacing w:val="-1"/>
        </w:rPr>
        <w:t> </w:t>
      </w:r>
      <w:r>
        <w:rPr/>
        <w:t>日，公司为泗洪华乐新能源科技有限公司向中国银行泗洪支行申请不</w:t>
      </w:r>
    </w:p>
    <w:p>
      <w:pPr>
        <w:pStyle w:val="BodyText"/>
        <w:spacing w:line="240" w:lineRule="auto" w:before="110"/>
        <w:ind w:left="935" w:right="0"/>
        <w:jc w:val="left"/>
      </w:pPr>
      <w:r>
        <w:rPr/>
        <w:t>超过</w:t>
      </w:r>
      <w:r>
        <w:rPr>
          <w:spacing w:val="-49"/>
        </w:rPr>
        <w:t> </w:t>
      </w:r>
      <w:r>
        <w:rPr>
          <w:rFonts w:ascii="Times New Roman" w:hAnsi="Times New Roman" w:cs="Times New Roman" w:eastAsia="Times New Roman" w:hint="default"/>
        </w:rPr>
        <w:t>8,000.00</w:t>
      </w:r>
      <w:r>
        <w:rPr>
          <w:rFonts w:ascii="Times New Roman" w:hAnsi="Times New Roman" w:cs="Times New Roman" w:eastAsia="Times New Roman" w:hint="default"/>
          <w:spacing w:val="3"/>
        </w:rPr>
        <w:t> </w:t>
      </w:r>
      <w:r>
        <w:rPr/>
        <w:t>万元的贷款提供连带责任保证担保，截至</w:t>
      </w:r>
      <w:r>
        <w:rPr>
          <w:spacing w:val="-49"/>
        </w:rPr>
        <w:t> </w:t>
      </w:r>
      <w:r>
        <w:rPr>
          <w:rFonts w:ascii="Times New Roman" w:hAnsi="Times New Roman" w:cs="Times New Roman" w:eastAsia="Times New Roman" w:hint="default"/>
        </w:rPr>
        <w:t>2019</w:t>
      </w:r>
      <w:r>
        <w:rPr>
          <w:rFonts w:ascii="Times New Roman" w:hAnsi="Times New Roman" w:cs="Times New Roman" w:eastAsia="Times New Roman" w:hint="default"/>
          <w:spacing w:val="3"/>
        </w:rPr>
        <w:t> </w:t>
      </w:r>
      <w:r>
        <w:rPr/>
        <w:t>年</w:t>
      </w:r>
      <w:r>
        <w:rPr>
          <w:spacing w:val="-49"/>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53"/>
        </w:rPr>
        <w:t> </w:t>
      </w:r>
      <w:r>
        <w:rPr>
          <w:rFonts w:ascii="Times New Roman" w:hAnsi="Times New Roman" w:cs="Times New Roman" w:eastAsia="Times New Roman" w:hint="default"/>
        </w:rPr>
        <w:t>31</w:t>
      </w:r>
      <w:r>
        <w:rPr>
          <w:rFonts w:ascii="Times New Roman" w:hAnsi="Times New Roman" w:cs="Times New Roman" w:eastAsia="Times New Roman" w:hint="default"/>
          <w:spacing w:val="4"/>
        </w:rPr>
        <w:t> </w:t>
      </w:r>
      <w:r>
        <w:rPr/>
        <w:t>日泗洪华乐新能</w:t>
      </w:r>
    </w:p>
    <w:p>
      <w:pPr>
        <w:pStyle w:val="BodyText"/>
        <w:spacing w:line="240" w:lineRule="auto" w:before="107"/>
        <w:ind w:left="935" w:right="0"/>
        <w:jc w:val="left"/>
      </w:pPr>
      <w:r>
        <w:rPr/>
        <w:t>源科技有限公司取得银行贷款余额</w:t>
      </w:r>
      <w:r>
        <w:rPr>
          <w:spacing w:val="-54"/>
        </w:rPr>
        <w:t> </w:t>
      </w:r>
      <w:r>
        <w:rPr>
          <w:rFonts w:ascii="Times New Roman" w:hAnsi="Times New Roman" w:cs="Times New Roman" w:eastAsia="Times New Roman" w:hint="default"/>
        </w:rPr>
        <w:t>5,200.00</w:t>
      </w:r>
      <w:r>
        <w:rPr>
          <w:rFonts w:ascii="Times New Roman" w:hAnsi="Times New Roman" w:cs="Times New Roman" w:eastAsia="Times New Roman" w:hint="default"/>
          <w:spacing w:val="-1"/>
        </w:rPr>
        <w:t> </w:t>
      </w:r>
      <w:r>
        <w:rPr/>
        <w:t>万元。</w:t>
      </w:r>
    </w:p>
    <w:p>
      <w:pPr>
        <w:pStyle w:val="BodyText"/>
        <w:spacing w:line="240" w:lineRule="auto" w:before="110"/>
        <w:ind w:left="935" w:right="0"/>
        <w:jc w:val="left"/>
      </w:pPr>
      <w:r>
        <w:rPr>
          <w:rFonts w:ascii="Times New Roman" w:hAnsi="Times New Roman" w:cs="Times New Roman" w:eastAsia="Times New Roman" w:hint="default"/>
        </w:rPr>
        <w:t>17</w:t>
      </w:r>
      <w:r>
        <w:rPr/>
        <w:t>、</w:t>
      </w:r>
      <w:r>
        <w:rPr>
          <w:rFonts w:ascii="Times New Roman" w:hAnsi="Times New Roman" w:cs="Times New Roman" w:eastAsia="Times New Roman" w:hint="default"/>
        </w:rPr>
        <w:t>2018 </w:t>
      </w:r>
      <w:r>
        <w:rPr/>
        <w:t>年 </w:t>
      </w:r>
      <w:r>
        <w:rPr>
          <w:rFonts w:ascii="Times New Roman" w:hAnsi="Times New Roman" w:cs="Times New Roman" w:eastAsia="Times New Roman" w:hint="default"/>
        </w:rPr>
        <w:t>11 </w:t>
      </w:r>
      <w:r>
        <w:rPr/>
        <w:t>月 </w:t>
      </w:r>
      <w:r>
        <w:rPr>
          <w:rFonts w:ascii="Times New Roman" w:hAnsi="Times New Roman" w:cs="Times New Roman" w:eastAsia="Times New Roman" w:hint="default"/>
        </w:rPr>
        <w:t>13</w:t>
      </w:r>
      <w:r>
        <w:rPr>
          <w:rFonts w:ascii="Times New Roman" w:hAnsi="Times New Roman" w:cs="Times New Roman" w:eastAsia="Times New Roman" w:hint="default"/>
          <w:spacing w:val="-30"/>
        </w:rPr>
        <w:t> </w:t>
      </w:r>
      <w:r>
        <w:rPr/>
        <w:t>日，公司为连云港林洋新能源有限公司向中国银行启东支行申请不</w:t>
      </w:r>
    </w:p>
    <w:p>
      <w:pPr>
        <w:pStyle w:val="BodyText"/>
        <w:spacing w:line="240" w:lineRule="auto" w:before="110"/>
        <w:ind w:left="935" w:right="0"/>
        <w:jc w:val="left"/>
      </w:pPr>
      <w:r>
        <w:rPr/>
        <w:t>超过</w:t>
      </w:r>
      <w:r>
        <w:rPr>
          <w:spacing w:val="-49"/>
        </w:rPr>
        <w:t> </w:t>
      </w:r>
      <w:r>
        <w:rPr>
          <w:rFonts w:ascii="Times New Roman" w:hAnsi="Times New Roman" w:cs="Times New Roman" w:eastAsia="Times New Roman" w:hint="default"/>
        </w:rPr>
        <w:t>11,200.00</w:t>
      </w:r>
      <w:r>
        <w:rPr>
          <w:rFonts w:ascii="Times New Roman" w:hAnsi="Times New Roman" w:cs="Times New Roman" w:eastAsia="Times New Roman" w:hint="default"/>
          <w:spacing w:val="2"/>
        </w:rPr>
        <w:t> </w:t>
      </w:r>
      <w:r>
        <w:rPr>
          <w:spacing w:val="-6"/>
        </w:rPr>
        <w:t>万元的贷款提供连带责任保证担保，截至</w:t>
      </w:r>
      <w:r>
        <w:rPr>
          <w:spacing w:val="-49"/>
        </w:rPr>
        <w:t> </w:t>
      </w:r>
      <w:r>
        <w:rPr>
          <w:rFonts w:ascii="Times New Roman" w:hAnsi="Times New Roman" w:cs="Times New Roman" w:eastAsia="Times New Roman" w:hint="default"/>
        </w:rPr>
        <w:t>2019</w:t>
      </w:r>
      <w:r>
        <w:rPr>
          <w:rFonts w:ascii="Times New Roman" w:hAnsi="Times New Roman" w:cs="Times New Roman" w:eastAsia="Times New Roman" w:hint="default"/>
          <w:spacing w:val="4"/>
        </w:rPr>
        <w:t> </w:t>
      </w:r>
      <w:r>
        <w:rPr/>
        <w:t>年</w:t>
      </w:r>
      <w:r>
        <w:rPr>
          <w:spacing w:val="-51"/>
        </w:rPr>
        <w:t> </w:t>
      </w:r>
      <w:r>
        <w:rPr>
          <w:rFonts w:ascii="Times New Roman" w:hAnsi="Times New Roman" w:cs="Times New Roman" w:eastAsia="Times New Roman" w:hint="default"/>
        </w:rPr>
        <w:t>12 </w:t>
      </w:r>
      <w:r>
        <w:rPr/>
        <w:t>月</w:t>
      </w:r>
      <w:r>
        <w:rPr>
          <w:spacing w:val="-49"/>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日连云港林洋新</w:t>
      </w:r>
    </w:p>
    <w:p>
      <w:pPr>
        <w:pStyle w:val="BodyText"/>
        <w:spacing w:line="240" w:lineRule="auto" w:before="107"/>
        <w:ind w:left="935" w:right="0"/>
        <w:jc w:val="left"/>
      </w:pPr>
      <w:r>
        <w:rPr/>
        <w:t>能源有限公司取得银行贷款余额</w:t>
      </w:r>
      <w:r>
        <w:rPr>
          <w:spacing w:val="-54"/>
        </w:rPr>
        <w:t> </w:t>
      </w:r>
      <w:r>
        <w:rPr>
          <w:rFonts w:ascii="Times New Roman" w:hAnsi="Times New Roman" w:cs="Times New Roman" w:eastAsia="Times New Roman" w:hint="default"/>
        </w:rPr>
        <w:t>10,080.00</w:t>
      </w:r>
      <w:r>
        <w:rPr>
          <w:rFonts w:ascii="Times New Roman" w:hAnsi="Times New Roman" w:cs="Times New Roman" w:eastAsia="Times New Roman" w:hint="default"/>
          <w:spacing w:val="-1"/>
        </w:rPr>
        <w:t> </w:t>
      </w:r>
      <w:r>
        <w:rPr/>
        <w:t>万元。</w:t>
      </w:r>
    </w:p>
    <w:p>
      <w:pPr>
        <w:pStyle w:val="BodyText"/>
        <w:spacing w:line="240" w:lineRule="auto" w:before="110"/>
        <w:ind w:left="935" w:right="0"/>
        <w:jc w:val="left"/>
      </w:pPr>
      <w:r>
        <w:rPr>
          <w:rFonts w:ascii="Times New Roman" w:hAnsi="Times New Roman" w:cs="Times New Roman" w:eastAsia="Times New Roman" w:hint="default"/>
          <w:spacing w:val="-3"/>
        </w:rPr>
        <w:t>18</w:t>
      </w:r>
      <w:r>
        <w:rPr>
          <w:spacing w:val="-3"/>
        </w:rPr>
        <w:t>、</w:t>
      </w:r>
      <w:r>
        <w:rPr>
          <w:rFonts w:ascii="Times New Roman" w:hAnsi="Times New Roman" w:cs="Times New Roman" w:eastAsia="Times New Roman" w:hint="default"/>
          <w:spacing w:val="-3"/>
        </w:rPr>
        <w:t>2018</w:t>
      </w:r>
      <w:r>
        <w:rPr>
          <w:rFonts w:ascii="Times New Roman" w:hAnsi="Times New Roman" w:cs="Times New Roman" w:eastAsia="Times New Roman" w:hint="default"/>
          <w:spacing w:val="-1"/>
        </w:rPr>
        <w:t> </w:t>
      </w:r>
      <w:r>
        <w:rPr/>
        <w:t>年</w:t>
      </w:r>
      <w:r>
        <w:rPr>
          <w:spacing w:val="-56"/>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54"/>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日，公司为启东市永乐新能源电力有限公司向江苏银行启东支行申请</w:t>
      </w:r>
    </w:p>
    <w:p>
      <w:pPr>
        <w:pStyle w:val="BodyText"/>
        <w:spacing w:line="240" w:lineRule="auto" w:before="110"/>
        <w:ind w:left="935" w:right="0"/>
        <w:jc w:val="left"/>
      </w:pPr>
      <w:r>
        <w:rPr/>
        <w:t>不超过</w:t>
      </w:r>
      <w:r>
        <w:rPr>
          <w:spacing w:val="-50"/>
        </w:rPr>
        <w:t> </w:t>
      </w:r>
      <w:r>
        <w:rPr>
          <w:rFonts w:ascii="Times New Roman" w:hAnsi="Times New Roman" w:cs="Times New Roman" w:eastAsia="Times New Roman" w:hint="default"/>
        </w:rPr>
        <w:t>8,500.00</w:t>
      </w:r>
      <w:r>
        <w:rPr>
          <w:rFonts w:ascii="Times New Roman" w:hAnsi="Times New Roman" w:cs="Times New Roman" w:eastAsia="Times New Roman" w:hint="default"/>
          <w:spacing w:val="3"/>
        </w:rPr>
        <w:t> </w:t>
      </w:r>
      <w:r>
        <w:rPr/>
        <w:t>万元的贷款提供连带责任保证担保，截至</w:t>
      </w:r>
      <w:r>
        <w:rPr>
          <w:spacing w:val="-50"/>
        </w:rPr>
        <w:t> </w:t>
      </w:r>
      <w:r>
        <w:rPr>
          <w:rFonts w:ascii="Times New Roman" w:hAnsi="Times New Roman" w:cs="Times New Roman" w:eastAsia="Times New Roman" w:hint="default"/>
        </w:rPr>
        <w:t>2019</w:t>
      </w:r>
      <w:r>
        <w:rPr>
          <w:rFonts w:ascii="Times New Roman" w:hAnsi="Times New Roman" w:cs="Times New Roman" w:eastAsia="Times New Roman" w:hint="default"/>
          <w:spacing w:val="2"/>
        </w:rPr>
        <w:t> </w:t>
      </w:r>
      <w:r>
        <w:rPr/>
        <w:t>年</w:t>
      </w:r>
      <w:r>
        <w:rPr>
          <w:spacing w:val="-50"/>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0"/>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日启东市永乐</w:t>
      </w:r>
    </w:p>
    <w:p>
      <w:pPr>
        <w:pStyle w:val="BodyText"/>
        <w:spacing w:line="240" w:lineRule="auto" w:before="108"/>
        <w:ind w:left="935" w:right="0"/>
        <w:jc w:val="left"/>
      </w:pPr>
      <w:r>
        <w:rPr/>
        <w:t>新能源电力有限公司取得银行贷款余额</w:t>
      </w:r>
      <w:r>
        <w:rPr>
          <w:spacing w:val="-54"/>
        </w:rPr>
        <w:t> </w:t>
      </w:r>
      <w:r>
        <w:rPr>
          <w:rFonts w:ascii="Times New Roman" w:hAnsi="Times New Roman" w:cs="Times New Roman" w:eastAsia="Times New Roman" w:hint="default"/>
        </w:rPr>
        <w:t>8,100.10</w:t>
      </w:r>
      <w:r>
        <w:rPr>
          <w:rFonts w:ascii="Times New Roman" w:hAnsi="Times New Roman" w:cs="Times New Roman" w:eastAsia="Times New Roman" w:hint="default"/>
          <w:spacing w:val="-1"/>
        </w:rPr>
        <w:t> </w:t>
      </w:r>
      <w:r>
        <w:rPr/>
        <w:t>万元。</w:t>
      </w:r>
    </w:p>
    <w:p>
      <w:pPr>
        <w:pStyle w:val="BodyText"/>
        <w:spacing w:line="240" w:lineRule="auto" w:before="110"/>
        <w:ind w:left="935" w:right="0"/>
        <w:jc w:val="left"/>
      </w:pPr>
      <w:r>
        <w:rPr>
          <w:rFonts w:ascii="Times New Roman" w:hAnsi="Times New Roman" w:cs="Times New Roman" w:eastAsia="Times New Roman" w:hint="default"/>
          <w:spacing w:val="-3"/>
        </w:rPr>
        <w:t>19</w:t>
      </w:r>
      <w:r>
        <w:rPr>
          <w:spacing w:val="-3"/>
        </w:rPr>
        <w:t>、</w:t>
      </w:r>
      <w:r>
        <w:rPr>
          <w:rFonts w:ascii="Times New Roman" w:hAnsi="Times New Roman" w:cs="Times New Roman" w:eastAsia="Times New Roman" w:hint="default"/>
          <w:spacing w:val="-3"/>
        </w:rPr>
        <w:t>2019</w:t>
      </w:r>
      <w:r>
        <w:rPr>
          <w:rFonts w:ascii="Times New Roman" w:hAnsi="Times New Roman" w:cs="Times New Roman" w:eastAsia="Times New Roman" w:hint="default"/>
          <w:spacing w:val="-1"/>
        </w:rPr>
        <w:t> </w:t>
      </w:r>
      <w:r>
        <w:rPr/>
        <w:t>年</w:t>
      </w:r>
      <w:r>
        <w:rPr>
          <w:spacing w:val="-5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月</w:t>
      </w:r>
      <w:r>
        <w:rPr>
          <w:spacing w:val="-55"/>
        </w:rPr>
        <w:t> </w:t>
      </w:r>
      <w:r>
        <w:rPr>
          <w:rFonts w:ascii="Times New Roman" w:hAnsi="Times New Roman" w:cs="Times New Roman" w:eastAsia="Times New Roman" w:hint="default"/>
        </w:rPr>
        <w:t>14</w:t>
      </w:r>
      <w:r>
        <w:rPr>
          <w:rFonts w:ascii="Times New Roman" w:hAnsi="Times New Roman" w:cs="Times New Roman" w:eastAsia="Times New Roman" w:hint="default"/>
          <w:spacing w:val="-1"/>
        </w:rPr>
        <w:t> </w:t>
      </w:r>
      <w:r>
        <w:rPr/>
        <w:t>日，公司及江苏林洋光伏科技有限公司共同向比利时联合银行股份有</w:t>
      </w:r>
    </w:p>
    <w:p>
      <w:pPr>
        <w:pStyle w:val="BodyText"/>
        <w:spacing w:line="240" w:lineRule="auto" w:before="110"/>
        <w:ind w:left="935" w:right="0"/>
        <w:jc w:val="left"/>
      </w:pPr>
      <w:r>
        <w:rPr/>
        <w:t>限公司上海分行申请综合授信额度不超过 </w:t>
      </w:r>
      <w:r>
        <w:rPr>
          <w:rFonts w:ascii="Times New Roman" w:hAnsi="Times New Roman" w:cs="Times New Roman" w:eastAsia="Times New Roman" w:hint="default"/>
        </w:rPr>
        <w:t>22,000</w:t>
      </w:r>
      <w:r>
        <w:rPr>
          <w:rFonts w:ascii="Times New Roman" w:hAnsi="Times New Roman" w:cs="Times New Roman" w:eastAsia="Times New Roman" w:hint="default"/>
          <w:spacing w:val="24"/>
        </w:rPr>
        <w:t> </w:t>
      </w:r>
      <w:r>
        <w:rPr/>
        <w:t>万元或其等值外币的非承诺性信贷，公</w:t>
      </w:r>
    </w:p>
    <w:p>
      <w:pPr>
        <w:pStyle w:val="BodyText"/>
        <w:spacing w:line="240" w:lineRule="auto" w:before="107"/>
        <w:ind w:left="935" w:right="0"/>
        <w:jc w:val="left"/>
        <w:rPr>
          <w:rFonts w:ascii="Times New Roman" w:hAnsi="Times New Roman" w:cs="Times New Roman" w:eastAsia="Times New Roman" w:hint="default"/>
        </w:rPr>
      </w:pPr>
      <w:r>
        <w:rPr>
          <w:w w:val="100"/>
        </w:rPr>
        <w:t>司及</w:t>
      </w:r>
      <w:r>
        <w:rPr>
          <w:spacing w:val="-3"/>
          <w:w w:val="100"/>
        </w:rPr>
        <w:t>江</w:t>
      </w:r>
      <w:r>
        <w:rPr>
          <w:w w:val="100"/>
        </w:rPr>
        <w:t>苏</w:t>
      </w:r>
      <w:r>
        <w:rPr>
          <w:spacing w:val="-3"/>
          <w:w w:val="100"/>
        </w:rPr>
        <w:t>林</w:t>
      </w:r>
      <w:r>
        <w:rPr>
          <w:w w:val="100"/>
        </w:rPr>
        <w:t>洋</w:t>
      </w:r>
      <w:r>
        <w:rPr>
          <w:spacing w:val="-3"/>
          <w:w w:val="100"/>
        </w:rPr>
        <w:t>光</w:t>
      </w:r>
      <w:r>
        <w:rPr>
          <w:w w:val="100"/>
        </w:rPr>
        <w:t>伏</w:t>
      </w:r>
      <w:r>
        <w:rPr>
          <w:spacing w:val="-3"/>
          <w:w w:val="100"/>
        </w:rPr>
        <w:t>科</w:t>
      </w:r>
      <w:r>
        <w:rPr>
          <w:w w:val="100"/>
        </w:rPr>
        <w:t>技</w:t>
      </w:r>
      <w:r>
        <w:rPr>
          <w:spacing w:val="-3"/>
          <w:w w:val="100"/>
        </w:rPr>
        <w:t>有</w:t>
      </w:r>
      <w:r>
        <w:rPr>
          <w:w w:val="100"/>
        </w:rPr>
        <w:t>限公</w:t>
      </w:r>
      <w:r>
        <w:rPr>
          <w:spacing w:val="-3"/>
          <w:w w:val="100"/>
        </w:rPr>
        <w:t>司</w:t>
      </w:r>
      <w:r>
        <w:rPr>
          <w:w w:val="100"/>
        </w:rPr>
        <w:t>就</w:t>
      </w:r>
      <w:r>
        <w:rPr>
          <w:spacing w:val="-3"/>
          <w:w w:val="100"/>
        </w:rPr>
        <w:t>使</w:t>
      </w:r>
      <w:r>
        <w:rPr>
          <w:w w:val="100"/>
        </w:rPr>
        <w:t>用</w:t>
      </w:r>
      <w:r>
        <w:rPr>
          <w:spacing w:val="-3"/>
          <w:w w:val="100"/>
        </w:rPr>
        <w:t>该</w:t>
      </w:r>
      <w:r>
        <w:rPr>
          <w:w w:val="100"/>
        </w:rPr>
        <w:t>综</w:t>
      </w:r>
      <w:r>
        <w:rPr>
          <w:spacing w:val="-3"/>
          <w:w w:val="100"/>
        </w:rPr>
        <w:t>合</w:t>
      </w:r>
      <w:r>
        <w:rPr>
          <w:w w:val="100"/>
        </w:rPr>
        <w:t>授</w:t>
      </w:r>
      <w:r>
        <w:rPr>
          <w:spacing w:val="-3"/>
          <w:w w:val="100"/>
        </w:rPr>
        <w:t>信</w:t>
      </w:r>
      <w:r>
        <w:rPr>
          <w:w w:val="100"/>
        </w:rPr>
        <w:t>额度</w:t>
      </w:r>
      <w:r>
        <w:rPr>
          <w:spacing w:val="-3"/>
          <w:w w:val="100"/>
        </w:rPr>
        <w:t>相</w:t>
      </w:r>
      <w:r>
        <w:rPr>
          <w:w w:val="100"/>
        </w:rPr>
        <w:t>互</w:t>
      </w:r>
      <w:r>
        <w:rPr>
          <w:spacing w:val="-3"/>
          <w:w w:val="100"/>
        </w:rPr>
        <w:t>承</w:t>
      </w:r>
      <w:r>
        <w:rPr>
          <w:w w:val="100"/>
        </w:rPr>
        <w:t>担</w:t>
      </w:r>
      <w:r>
        <w:rPr>
          <w:spacing w:val="-3"/>
          <w:w w:val="100"/>
        </w:rPr>
        <w:t>连</w:t>
      </w:r>
      <w:r>
        <w:rPr>
          <w:w w:val="100"/>
        </w:rPr>
        <w:t>带</w:t>
      </w:r>
      <w:r>
        <w:rPr>
          <w:spacing w:val="-3"/>
          <w:w w:val="100"/>
        </w:rPr>
        <w:t>担</w:t>
      </w:r>
      <w:r>
        <w:rPr>
          <w:w w:val="100"/>
        </w:rPr>
        <w:t>保</w:t>
      </w:r>
      <w:r>
        <w:rPr>
          <w:spacing w:val="-3"/>
          <w:w w:val="100"/>
        </w:rPr>
        <w:t>责</w:t>
      </w:r>
      <w:r>
        <w:rPr>
          <w:w w:val="100"/>
        </w:rPr>
        <w:t>任</w:t>
      </w:r>
      <w:r>
        <w:rPr>
          <w:spacing w:val="-106"/>
          <w:w w:val="100"/>
        </w:rPr>
        <w:t>，</w:t>
      </w:r>
      <w:r>
        <w:rPr>
          <w:spacing w:val="-3"/>
          <w:w w:val="100"/>
        </w:rPr>
        <w:t>截</w:t>
      </w:r>
      <w:r>
        <w:rPr>
          <w:w w:val="100"/>
        </w:rPr>
        <w:t>至</w:t>
      </w:r>
      <w:r>
        <w:rPr>
          <w:spacing w:val="-74"/>
        </w:rPr>
        <w:t> </w:t>
      </w:r>
      <w:r>
        <w:rPr>
          <w:rFonts w:ascii="Times New Roman" w:hAnsi="Times New Roman" w:cs="Times New Roman" w:eastAsia="Times New Roman" w:hint="default"/>
          <w:spacing w:val="-3"/>
          <w:w w:val="100"/>
        </w:rPr>
        <w:t>2</w:t>
      </w:r>
      <w:r>
        <w:rPr>
          <w:rFonts w:ascii="Times New Roman" w:hAnsi="Times New Roman" w:cs="Times New Roman" w:eastAsia="Times New Roman" w:hint="default"/>
          <w:w w:val="100"/>
        </w:rPr>
        <w:t>0</w:t>
      </w:r>
      <w:r>
        <w:rPr>
          <w:rFonts w:ascii="Times New Roman" w:hAnsi="Times New Roman" w:cs="Times New Roman" w:eastAsia="Times New Roman" w:hint="default"/>
          <w:spacing w:val="-3"/>
          <w:w w:val="100"/>
        </w:rPr>
        <w:t>19</w:t>
      </w:r>
      <w:r>
        <w:rPr>
          <w:rFonts w:ascii="Times New Roman" w:hAnsi="Times New Roman" w:cs="Times New Roman" w:eastAsia="Times New Roman" w:hint="default"/>
          <w:w w:val="100"/>
        </w:rPr>
      </w:r>
    </w:p>
    <w:p>
      <w:pPr>
        <w:pStyle w:val="BodyText"/>
        <w:spacing w:line="240" w:lineRule="auto" w:before="110"/>
        <w:ind w:left="935" w:right="0"/>
        <w:jc w:val="left"/>
      </w:pPr>
      <w:r>
        <w:rPr/>
        <w:t>年</w:t>
      </w:r>
      <w:r>
        <w:rPr>
          <w:spacing w:val="-53"/>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53"/>
        </w:rPr>
        <w:t> </w:t>
      </w:r>
      <w:r>
        <w:rPr>
          <w:rFonts w:ascii="Times New Roman" w:hAnsi="Times New Roman" w:cs="Times New Roman" w:eastAsia="Times New Roman" w:hint="default"/>
        </w:rPr>
        <w:t>31</w:t>
      </w:r>
      <w:r>
        <w:rPr>
          <w:rFonts w:ascii="Times New Roman" w:hAnsi="Times New Roman" w:cs="Times New Roman" w:eastAsia="Times New Roman" w:hint="default"/>
          <w:spacing w:val="-3"/>
        </w:rPr>
        <w:t> </w:t>
      </w:r>
      <w:r>
        <w:rPr/>
        <w:t>日江苏林洋光伏科技有限公司取得银行贷款余额</w:t>
      </w:r>
      <w:r>
        <w:rPr>
          <w:spacing w:val="-52"/>
        </w:rPr>
        <w:t> </w:t>
      </w:r>
      <w:r>
        <w:rPr>
          <w:rFonts w:ascii="Times New Roman" w:hAnsi="Times New Roman" w:cs="Times New Roman" w:eastAsia="Times New Roman" w:hint="default"/>
        </w:rPr>
        <w:t>3,364.8 </w:t>
      </w:r>
      <w:r>
        <w:rPr/>
        <w:t>万元。</w:t>
      </w:r>
    </w:p>
    <w:p>
      <w:pPr>
        <w:spacing w:after="0" w:line="240" w:lineRule="auto"/>
        <w:jc w:val="left"/>
        <w:sectPr>
          <w:pgSz w:w="11910" w:h="16840"/>
          <w:pgMar w:header="748" w:footer="974" w:top="1140" w:bottom="1160" w:left="1580" w:right="1140"/>
        </w:sectPr>
      </w:pPr>
    </w:p>
    <w:p>
      <w:pPr>
        <w:spacing w:line="240" w:lineRule="auto" w:before="0"/>
        <w:rPr>
          <w:rFonts w:ascii="宋体" w:hAnsi="宋体" w:cs="宋体" w:eastAsia="宋体" w:hint="default"/>
          <w:sz w:val="20"/>
          <w:szCs w:val="20"/>
        </w:rPr>
      </w:pPr>
    </w:p>
    <w:p>
      <w:pPr>
        <w:pStyle w:val="BodyText"/>
        <w:spacing w:line="240" w:lineRule="auto" w:before="195"/>
        <w:ind w:left="935" w:right="0"/>
        <w:jc w:val="left"/>
        <w:rPr>
          <w:rFonts w:ascii="Times New Roman" w:hAnsi="Times New Roman" w:cs="Times New Roman" w:eastAsia="Times New Roman" w:hint="default"/>
        </w:rPr>
      </w:pPr>
      <w:r>
        <w:rPr>
          <w:rFonts w:ascii="Times New Roman" w:hAnsi="Times New Roman" w:cs="Times New Roman" w:eastAsia="Times New Roman" w:hint="default"/>
          <w:spacing w:val="-6"/>
        </w:rPr>
        <w:t>20</w:t>
      </w:r>
      <w:r>
        <w:rPr>
          <w:spacing w:val="-6"/>
        </w:rPr>
        <w:t>、</w:t>
      </w:r>
      <w:r>
        <w:rPr>
          <w:rFonts w:ascii="Times New Roman" w:hAnsi="Times New Roman" w:cs="Times New Roman" w:eastAsia="Times New Roman" w:hint="default"/>
          <w:spacing w:val="-6"/>
        </w:rPr>
        <w:t>2019</w:t>
      </w:r>
      <w:r>
        <w:rPr>
          <w:rFonts w:ascii="Times New Roman" w:hAnsi="Times New Roman" w:cs="Times New Roman" w:eastAsia="Times New Roman" w:hint="default"/>
          <w:spacing w:val="8"/>
        </w:rPr>
        <w:t> </w:t>
      </w:r>
      <w:r>
        <w:rPr/>
        <w:t>年</w:t>
      </w:r>
      <w:r>
        <w:rPr>
          <w:spacing w:val="-48"/>
        </w:rPr>
        <w:t> </w:t>
      </w:r>
      <w:r>
        <w:rPr>
          <w:rFonts w:ascii="Times New Roman" w:hAnsi="Times New Roman" w:cs="Times New Roman" w:eastAsia="Times New Roman" w:hint="default"/>
        </w:rPr>
        <w:t>1</w:t>
      </w:r>
      <w:r>
        <w:rPr>
          <w:rFonts w:ascii="Times New Roman" w:hAnsi="Times New Roman" w:cs="Times New Roman" w:eastAsia="Times New Roman" w:hint="default"/>
          <w:spacing w:val="8"/>
        </w:rPr>
        <w:t> </w:t>
      </w:r>
      <w:r>
        <w:rPr/>
        <w:t>月</w:t>
      </w:r>
      <w:r>
        <w:rPr>
          <w:spacing w:val="-47"/>
        </w:rPr>
        <w:t> </w:t>
      </w:r>
      <w:r>
        <w:rPr>
          <w:rFonts w:ascii="Times New Roman" w:hAnsi="Times New Roman" w:cs="Times New Roman" w:eastAsia="Times New Roman" w:hint="default"/>
        </w:rPr>
        <w:t>15</w:t>
      </w:r>
      <w:r>
        <w:rPr>
          <w:rFonts w:ascii="Times New Roman" w:hAnsi="Times New Roman" w:cs="Times New Roman" w:eastAsia="Times New Roman" w:hint="default"/>
          <w:spacing w:val="8"/>
        </w:rPr>
        <w:t> </w:t>
      </w:r>
      <w:r>
        <w:rPr>
          <w:spacing w:val="-3"/>
        </w:rPr>
        <w:t>日，公司为新加坡林洋能源科技有限公司向星展银行申请不超过</w:t>
      </w:r>
      <w:r>
        <w:rPr>
          <w:spacing w:val="-45"/>
        </w:rPr>
        <w:t> </w:t>
      </w:r>
      <w:r>
        <w:rPr>
          <w:rFonts w:ascii="Times New Roman" w:hAnsi="Times New Roman" w:cs="Times New Roman" w:eastAsia="Times New Roman" w:hint="default"/>
        </w:rPr>
        <w:t>4000</w:t>
      </w:r>
    </w:p>
    <w:p>
      <w:pPr>
        <w:pStyle w:val="BodyText"/>
        <w:spacing w:line="240" w:lineRule="auto" w:before="110"/>
        <w:ind w:left="935" w:right="0"/>
        <w:jc w:val="left"/>
      </w:pPr>
      <w:r>
        <w:rPr/>
        <w:t>万美元的贷款提供连带责任保证担保，截至</w:t>
      </w:r>
      <w:r>
        <w:rPr>
          <w:spacing w:val="-47"/>
        </w:rPr>
        <w:t> </w:t>
      </w:r>
      <w:r>
        <w:rPr>
          <w:rFonts w:ascii="Times New Roman" w:hAnsi="Times New Roman" w:cs="Times New Roman" w:eastAsia="Times New Roman" w:hint="default"/>
        </w:rPr>
        <w:t>2019</w:t>
      </w:r>
      <w:r>
        <w:rPr>
          <w:rFonts w:ascii="Times New Roman" w:hAnsi="Times New Roman" w:cs="Times New Roman" w:eastAsia="Times New Roman" w:hint="default"/>
          <w:spacing w:val="2"/>
        </w:rPr>
        <w:t> </w:t>
      </w:r>
      <w:r>
        <w:rPr/>
        <w:t>年</w:t>
      </w:r>
      <w:r>
        <w:rPr>
          <w:spacing w:val="-48"/>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48"/>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日新加坡林能源科技有限公</w:t>
      </w:r>
    </w:p>
    <w:p>
      <w:pPr>
        <w:pStyle w:val="BodyText"/>
        <w:spacing w:line="240" w:lineRule="auto" w:before="110"/>
        <w:ind w:left="935" w:right="0"/>
        <w:jc w:val="left"/>
        <w:rPr>
          <w:rFonts w:ascii="宋体" w:hAnsi="宋体" w:cs="宋体" w:eastAsia="宋体" w:hint="default"/>
        </w:rPr>
      </w:pPr>
      <w:r>
        <w:rPr/>
        <w:t>司取得银行贷款余额</w:t>
      </w:r>
      <w:r>
        <w:rPr>
          <w:spacing w:val="-55"/>
        </w:rPr>
        <w:t> </w:t>
      </w:r>
      <w:r>
        <w:rPr>
          <w:rFonts w:ascii="Times New Roman" w:hAnsi="Times New Roman" w:cs="Times New Roman" w:eastAsia="Times New Roman" w:hint="default"/>
        </w:rPr>
        <w:t>429.14</w:t>
      </w:r>
      <w:r>
        <w:rPr>
          <w:rFonts w:ascii="Times New Roman" w:hAnsi="Times New Roman" w:cs="Times New Roman" w:eastAsia="Times New Roman" w:hint="default"/>
          <w:spacing w:val="-3"/>
        </w:rPr>
        <w:t> </w:t>
      </w:r>
      <w:r>
        <w:rPr/>
        <w:t>万美元。</w:t>
      </w:r>
      <w:r>
        <w:rPr>
          <w:rFonts w:ascii="宋体" w:hAnsi="宋体" w:cs="宋体" w:eastAsia="宋体" w:hint="default"/>
        </w:rPr>
        <w:t> </w:t>
      </w:r>
    </w:p>
    <w:p>
      <w:pPr>
        <w:spacing w:line="240" w:lineRule="auto" w:before="8"/>
        <w:rPr>
          <w:rFonts w:ascii="宋体" w:hAnsi="宋体" w:cs="宋体" w:eastAsia="宋体" w:hint="default"/>
          <w:sz w:val="25"/>
          <w:szCs w:val="25"/>
        </w:rPr>
      </w:pPr>
    </w:p>
    <w:p>
      <w:pPr>
        <w:pStyle w:val="Heading3"/>
        <w:spacing w:line="240" w:lineRule="auto" w:before="36"/>
        <w:ind w:right="0"/>
        <w:jc w:val="left"/>
        <w:rPr>
          <w:b w:val="0"/>
          <w:bCs w:val="0"/>
        </w:rPr>
      </w:pPr>
      <w:r>
        <w:rPr>
          <w:rFonts w:ascii="宋体" w:hAnsi="宋体" w:cs="宋体" w:eastAsia="宋体" w:hint="default"/>
        </w:rPr>
        <w:t>2</w:t>
      </w:r>
      <w:r>
        <w:rPr/>
        <w:t>、</w:t>
      </w:r>
      <w:r>
        <w:rPr>
          <w:spacing w:val="3"/>
        </w:rPr>
        <w:t> </w:t>
      </w:r>
      <w:r>
        <w:rPr/>
        <w:t>或有事项</w:t>
      </w:r>
      <w:r>
        <w:rPr>
          <w:b w:val="0"/>
          <w:bCs w:val="0"/>
        </w:rPr>
      </w:r>
    </w:p>
    <w:p>
      <w:pPr>
        <w:pStyle w:val="Heading3"/>
        <w:spacing w:line="240" w:lineRule="auto" w:before="58"/>
        <w:ind w:right="0"/>
        <w:jc w:val="left"/>
        <w:rPr>
          <w:rFonts w:ascii="宋体" w:hAnsi="宋体" w:cs="宋体" w:eastAsia="宋体" w:hint="default"/>
          <w:b w:val="0"/>
          <w:bCs w:val="0"/>
        </w:rPr>
      </w:pPr>
      <w:r>
        <w:rPr>
          <w:rFonts w:ascii="宋体" w:hAnsi="宋体" w:cs="宋体" w:eastAsia="宋体" w:hint="default"/>
        </w:rPr>
        <w:t>(1).</w:t>
      </w:r>
      <w:r>
        <w:rPr>
          <w:rFonts w:ascii="宋体" w:hAnsi="宋体" w:cs="宋体" w:eastAsia="宋体" w:hint="default"/>
          <w:spacing w:val="-48"/>
        </w:rPr>
        <w:t> </w:t>
      </w:r>
      <w:r>
        <w:rPr/>
        <w:t>资产负债表日存在的重要或有事项</w:t>
      </w:r>
      <w:r>
        <w:rPr>
          <w:rFonts w:ascii="宋体" w:hAnsi="宋体" w:cs="宋体" w:eastAsia="宋体" w:hint="default"/>
          <w:w w:val="99"/>
        </w:rPr>
        <w:t> </w:t>
      </w:r>
      <w:r>
        <w:rPr>
          <w:rFonts w:ascii="宋体" w:hAnsi="宋体" w:cs="宋体" w:eastAsia="宋体" w:hint="default"/>
          <w:b w:val="0"/>
          <w:bCs w:val="0"/>
        </w:rPr>
      </w:r>
    </w:p>
    <w:p>
      <w:pPr>
        <w:pStyle w:val="Heading2"/>
        <w:spacing w:line="313" w:lineRule="exact" w:before="50"/>
        <w:ind w:right="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Heading2"/>
        <w:spacing w:line="313" w:lineRule="exact"/>
        <w:ind w:right="0"/>
        <w:jc w:val="left"/>
        <w:rPr>
          <w:rFonts w:ascii="宋体" w:hAnsi="宋体" w:cs="宋体" w:eastAsia="宋体" w:hint="default"/>
        </w:rPr>
      </w:pPr>
      <w:r>
        <w:rPr>
          <w:rFonts w:ascii="宋体"/>
        </w:rPr>
        <w:t> </w:t>
      </w:r>
    </w:p>
    <w:p>
      <w:pPr>
        <w:pStyle w:val="Heading3"/>
        <w:spacing w:line="240" w:lineRule="auto" w:before="61"/>
        <w:ind w:right="0"/>
        <w:jc w:val="left"/>
        <w:rPr>
          <w:rFonts w:ascii="宋体" w:hAnsi="宋体" w:cs="宋体" w:eastAsia="宋体" w:hint="default"/>
          <w:b w:val="0"/>
          <w:bCs w:val="0"/>
        </w:rPr>
      </w:pPr>
      <w:r>
        <w:rPr>
          <w:rFonts w:ascii="宋体" w:hAnsi="宋体" w:cs="宋体" w:eastAsia="宋体" w:hint="default"/>
        </w:rPr>
        <w:t>(2).</w:t>
      </w:r>
      <w:r>
        <w:rPr>
          <w:rFonts w:ascii="宋体" w:hAnsi="宋体" w:cs="宋体" w:eastAsia="宋体" w:hint="default"/>
          <w:spacing w:val="-49"/>
        </w:rPr>
        <w:t> </w:t>
      </w:r>
      <w:r>
        <w:rPr/>
        <w:t>公司没有需要披露的重要或有事项，也应予以说明：</w:t>
      </w:r>
      <w:r>
        <w:rPr>
          <w:rFonts w:ascii="宋体" w:hAnsi="宋体" w:cs="宋体" w:eastAsia="宋体" w:hint="default"/>
          <w:w w:val="99"/>
        </w:rPr>
        <w:t> </w:t>
      </w:r>
      <w:r>
        <w:rPr>
          <w:rFonts w:ascii="宋体" w:hAnsi="宋体" w:cs="宋体" w:eastAsia="宋体" w:hint="default"/>
          <w:b w:val="0"/>
          <w:bCs w:val="0"/>
        </w:rPr>
      </w:r>
    </w:p>
    <w:p>
      <w:pPr>
        <w:pStyle w:val="Heading2"/>
        <w:spacing w:line="240" w:lineRule="auto" w:before="52"/>
        <w:ind w:right="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spacing w:line="240" w:lineRule="auto" w:before="8"/>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pgSz w:w="11910" w:h="16840"/>
          <w:pgMar w:header="748" w:footer="974" w:top="1140" w:bottom="1160" w:left="1580" w:right="1040"/>
        </w:sectPr>
      </w:pPr>
    </w:p>
    <w:p>
      <w:pPr>
        <w:pStyle w:val="Heading3"/>
        <w:spacing w:line="240" w:lineRule="auto" w:before="36"/>
        <w:ind w:right="0"/>
        <w:jc w:val="left"/>
        <w:rPr>
          <w:b w:val="0"/>
          <w:bCs w:val="0"/>
        </w:rPr>
      </w:pPr>
      <w:r>
        <w:rPr>
          <w:rFonts w:ascii="宋体" w:hAnsi="宋体" w:cs="宋体" w:eastAsia="宋体" w:hint="default"/>
        </w:rPr>
        <w:t>3</w:t>
      </w:r>
      <w:r>
        <w:rPr/>
        <w:t>、</w:t>
      </w:r>
      <w:r>
        <w:rPr>
          <w:spacing w:val="2"/>
        </w:rPr>
        <w:t> </w:t>
      </w:r>
      <w:r>
        <w:rPr/>
        <w:t>其他</w:t>
      </w:r>
      <w:r>
        <w:rPr>
          <w:b w:val="0"/>
          <w:bCs w:val="0"/>
        </w:rPr>
      </w:r>
    </w:p>
    <w:p>
      <w:pPr>
        <w:pStyle w:val="Heading2"/>
        <w:spacing w:line="240" w:lineRule="auto" w:before="52"/>
        <w:ind w:right="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BodyText"/>
        <w:spacing w:line="240" w:lineRule="auto" w:before="4"/>
        <w:ind w:right="0"/>
        <w:jc w:val="left"/>
        <w:rPr>
          <w:rFonts w:ascii="宋体" w:hAnsi="宋体" w:cs="宋体" w:eastAsia="宋体" w:hint="default"/>
        </w:rPr>
      </w:pPr>
      <w:r>
        <w:rPr>
          <w:rFonts w:ascii="宋体"/>
          <w:w w:val="100"/>
        </w:rPr>
        <w:t> </w:t>
      </w:r>
    </w:p>
    <w:p>
      <w:pPr>
        <w:pStyle w:val="Heading3"/>
        <w:spacing w:line="240" w:lineRule="auto" w:before="56"/>
        <w:ind w:right="-18"/>
        <w:jc w:val="left"/>
        <w:rPr>
          <w:b w:val="0"/>
          <w:bCs w:val="0"/>
        </w:rPr>
      </w:pPr>
      <w:r>
        <w:rPr/>
        <w:t>十五、</w:t>
      </w:r>
      <w:r>
        <w:rPr>
          <w:spacing w:val="103"/>
        </w:rPr>
        <w:t> </w:t>
      </w:r>
      <w:r>
        <w:rPr>
          <w:rFonts w:ascii="宋体" w:hAnsi="宋体" w:cs="宋体" w:eastAsia="宋体" w:hint="default"/>
          <w:spacing w:val="103"/>
        </w:rPr>
      </w:r>
      <w:r>
        <w:rPr/>
        <w:t>资产负债表日后事项</w:t>
      </w:r>
      <w:r>
        <w:rPr>
          <w:b w:val="0"/>
          <w:bCs w:val="0"/>
        </w:rPr>
      </w:r>
    </w:p>
    <w:p>
      <w:pPr>
        <w:pStyle w:val="Heading3"/>
        <w:spacing w:line="240" w:lineRule="auto" w:before="58"/>
        <w:ind w:right="0"/>
        <w:jc w:val="left"/>
        <w:rPr>
          <w:b w:val="0"/>
          <w:bCs w:val="0"/>
        </w:rPr>
      </w:pPr>
      <w:r>
        <w:rPr>
          <w:rFonts w:ascii="Calibri" w:hAnsi="Calibri" w:cs="Calibri" w:eastAsia="Calibri" w:hint="default"/>
        </w:rPr>
        <w:t>1</w:t>
      </w:r>
      <w:r>
        <w:rPr/>
        <w:t>、</w:t>
      </w:r>
      <w:r>
        <w:rPr>
          <w:spacing w:val="4"/>
        </w:rPr>
        <w:t> </w:t>
      </w:r>
      <w:r>
        <w:rPr/>
        <w:t>重要的非调整事项</w:t>
      </w:r>
      <w:r>
        <w:rPr>
          <w:b w:val="0"/>
          <w:bCs w:val="0"/>
        </w:rPr>
      </w:r>
    </w:p>
    <w:p>
      <w:pPr>
        <w:pStyle w:val="Heading2"/>
        <w:spacing w:line="240" w:lineRule="auto" w:before="23"/>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3"/>
        <w:spacing w:line="240" w:lineRule="auto" w:before="64"/>
        <w:ind w:right="0"/>
        <w:jc w:val="left"/>
        <w:rPr>
          <w:b w:val="0"/>
          <w:bCs w:val="0"/>
        </w:rPr>
      </w:pPr>
      <w:r>
        <w:rPr>
          <w:rFonts w:ascii="Calibri" w:hAnsi="Calibri" w:cs="Calibri" w:eastAsia="Calibri" w:hint="default"/>
        </w:rPr>
        <w:t>2</w:t>
      </w:r>
      <w:r>
        <w:rPr/>
        <w:t>、</w:t>
      </w:r>
      <w:r>
        <w:rPr>
          <w:spacing w:val="3"/>
        </w:rPr>
        <w:t> </w:t>
      </w:r>
      <w:r>
        <w:rPr/>
        <w:t>利润分配情况</w:t>
      </w:r>
      <w:r>
        <w:rPr>
          <w:b w:val="0"/>
          <w:bCs w:val="0"/>
        </w:rPr>
      </w:r>
    </w:p>
    <w:p>
      <w:pPr>
        <w:pStyle w:val="Heading2"/>
        <w:spacing w:line="240" w:lineRule="auto" w:before="23"/>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5"/>
          <w:szCs w:val="25"/>
        </w:rPr>
      </w:pPr>
    </w:p>
    <w:p>
      <w:pPr>
        <w:pStyle w:val="BodyText"/>
        <w:spacing w:line="240" w:lineRule="auto"/>
        <w:ind w:right="0"/>
        <w:jc w:val="left"/>
        <w:rPr>
          <w:rFonts w:ascii="宋体" w:hAnsi="宋体" w:cs="宋体" w:eastAsia="宋体" w:hint="default"/>
        </w:rPr>
      </w:pPr>
      <w:r>
        <w:rPr/>
        <w:t>单位：元币种：人民币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580" w:bottom="280" w:left="1580" w:right="1040"/>
          <w:cols w:num="2" w:equalWidth="0">
            <w:col w:w="2959" w:space="3774"/>
            <w:col w:w="2557"/>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723"/>
        <w:gridCol w:w="5327"/>
      </w:tblGrid>
      <w:tr>
        <w:trPr>
          <w:trHeight w:val="283"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拟分配的利润或股利</w:t>
            </w:r>
            <w:r>
              <w:rPr>
                <w:rFonts w:ascii="宋体" w:hAnsi="宋体" w:cs="宋体" w:eastAsia="宋体" w:hint="default"/>
                <w:sz w:val="21"/>
                <w:szCs w:val="21"/>
              </w:rPr>
              <w:t> </w:t>
            </w:r>
          </w:p>
        </w:tc>
        <w:tc>
          <w:tcPr>
            <w:tcW w:w="53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85,706,561.20</w:t>
            </w:r>
            <w:r>
              <w:rPr>
                <w:rFonts w:ascii="宋体"/>
                <w:sz w:val="21"/>
              </w:rPr>
              <w:t> </w:t>
            </w:r>
          </w:p>
        </w:tc>
      </w:tr>
      <w:tr>
        <w:trPr>
          <w:trHeight w:val="284"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经审议批准宣告发放的利润或股利</w:t>
            </w:r>
            <w:r>
              <w:rPr>
                <w:rFonts w:ascii="宋体" w:hAnsi="宋体" w:cs="宋体" w:eastAsia="宋体" w:hint="default"/>
                <w:sz w:val="21"/>
                <w:szCs w:val="21"/>
              </w:rPr>
              <w:t> </w:t>
            </w:r>
          </w:p>
        </w:tc>
        <w:tc>
          <w:tcPr>
            <w:tcW w:w="53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85,706,561.20</w:t>
            </w:r>
            <w:r>
              <w:rPr>
                <w:rFonts w:ascii="宋体"/>
                <w:sz w:val="21"/>
              </w:rPr>
              <w:t> </w:t>
            </w:r>
          </w:p>
        </w:tc>
      </w:tr>
    </w:tbl>
    <w:p>
      <w:pPr>
        <w:pStyle w:val="BodyText"/>
        <w:spacing w:line="239" w:lineRule="exact"/>
        <w:ind w:right="0" w:firstLine="419"/>
        <w:jc w:val="left"/>
      </w:pPr>
      <w:r>
        <w:rPr>
          <w:rFonts w:ascii="宋体" w:hAnsi="宋体" w:cs="宋体" w:eastAsia="宋体" w:hint="default"/>
        </w:rPr>
        <w:t>2020</w:t>
      </w:r>
      <w:r>
        <w:rPr>
          <w:rFonts w:ascii="宋体" w:hAnsi="宋体" w:cs="宋体" w:eastAsia="宋体" w:hint="default"/>
          <w:spacing w:val="-47"/>
        </w:rPr>
        <w:t> </w:t>
      </w:r>
      <w:r>
        <w:rPr/>
        <w:t>年</w:t>
      </w:r>
      <w:r>
        <w:rPr>
          <w:spacing w:val="-44"/>
        </w:rPr>
        <w:t> </w:t>
      </w:r>
      <w:r>
        <w:rPr>
          <w:rFonts w:ascii="宋体" w:hAnsi="宋体" w:cs="宋体" w:eastAsia="宋体" w:hint="default"/>
        </w:rPr>
        <w:t>4</w:t>
      </w:r>
      <w:r>
        <w:rPr>
          <w:rFonts w:ascii="宋体" w:hAnsi="宋体" w:cs="宋体" w:eastAsia="宋体" w:hint="default"/>
          <w:spacing w:val="-47"/>
        </w:rPr>
        <w:t> </w:t>
      </w:r>
      <w:r>
        <w:rPr/>
        <w:t>月</w:t>
      </w:r>
      <w:r>
        <w:rPr>
          <w:spacing w:val="-44"/>
        </w:rPr>
        <w:t> </w:t>
      </w:r>
      <w:r>
        <w:rPr>
          <w:rFonts w:ascii="宋体" w:hAnsi="宋体" w:cs="宋体" w:eastAsia="宋体" w:hint="default"/>
        </w:rPr>
        <w:t>23</w:t>
      </w:r>
      <w:r>
        <w:rPr>
          <w:rFonts w:ascii="宋体" w:hAnsi="宋体" w:cs="宋体" w:eastAsia="宋体" w:hint="default"/>
          <w:spacing w:val="-47"/>
        </w:rPr>
        <w:t> </w:t>
      </w:r>
      <w:r>
        <w:rPr>
          <w:spacing w:val="-3"/>
        </w:rPr>
        <w:t>日，公司第四届董事会第十二次会议审议通过了</w:t>
      </w:r>
      <w:r>
        <w:rPr>
          <w:spacing w:val="-43"/>
        </w:rPr>
        <w:t> </w:t>
      </w:r>
      <w:r>
        <w:rPr>
          <w:rFonts w:ascii="宋体" w:hAnsi="宋体" w:cs="宋体" w:eastAsia="宋体" w:hint="default"/>
        </w:rPr>
        <w:t>2019</w:t>
      </w:r>
      <w:r>
        <w:rPr>
          <w:rFonts w:ascii="宋体" w:hAnsi="宋体" w:cs="宋体" w:eastAsia="宋体" w:hint="default"/>
          <w:spacing w:val="-44"/>
        </w:rPr>
        <w:t> </w:t>
      </w:r>
      <w:r>
        <w:rPr>
          <w:spacing w:val="-4"/>
        </w:rPr>
        <w:t>年度利润分配预案：以</w:t>
      </w:r>
    </w:p>
    <w:p>
      <w:pPr>
        <w:pStyle w:val="BodyText"/>
        <w:spacing w:line="237" w:lineRule="auto"/>
        <w:ind w:right="0"/>
        <w:jc w:val="left"/>
        <w:rPr>
          <w:rFonts w:ascii="宋体" w:hAnsi="宋体" w:cs="宋体" w:eastAsia="宋体" w:hint="default"/>
        </w:rPr>
      </w:pPr>
      <w:r>
        <w:rPr/>
        <w:t>实施权益分派股权登记日登记的总股本扣除不参与利润分配的回购股份（包含公司第一期、第二</w:t>
      </w:r>
      <w:r>
        <w:rPr>
          <w:w w:val="100"/>
        </w:rPr>
        <w:t> </w:t>
      </w:r>
      <w:r>
        <w:rPr>
          <w:spacing w:val="-4"/>
          <w:w w:val="100"/>
        </w:rPr>
        <w:t>期股份回购计划已回购的股份和第二期股权激励计划待回购注销的限制性股票）为基数分配利润，</w:t>
      </w:r>
      <w:r>
        <w:rPr>
          <w:spacing w:val="-85"/>
          <w:w w:val="100"/>
        </w:rPr>
        <w:t> </w:t>
      </w:r>
      <w:r>
        <w:rPr>
          <w:spacing w:val="-85"/>
          <w:w w:val="100"/>
        </w:rPr>
      </w:r>
      <w:r>
        <w:rPr/>
        <w:t>向全体股东每</w:t>
      </w:r>
      <w:r>
        <w:rPr>
          <w:spacing w:val="-45"/>
        </w:rPr>
        <w:t> </w:t>
      </w:r>
      <w:r>
        <w:rPr>
          <w:rFonts w:ascii="宋体" w:hAnsi="宋体" w:cs="宋体" w:eastAsia="宋体" w:hint="default"/>
        </w:rPr>
        <w:t>10</w:t>
      </w:r>
      <w:r>
        <w:rPr>
          <w:rFonts w:ascii="宋体" w:hAnsi="宋体" w:cs="宋体" w:eastAsia="宋体" w:hint="default"/>
          <w:spacing w:val="-45"/>
        </w:rPr>
        <w:t> </w:t>
      </w:r>
      <w:r>
        <w:rPr/>
        <w:t>股派发现金红利</w:t>
      </w:r>
      <w:r>
        <w:rPr>
          <w:spacing w:val="-44"/>
        </w:rPr>
        <w:t> </w:t>
      </w:r>
      <w:r>
        <w:rPr>
          <w:rFonts w:ascii="宋体" w:hAnsi="宋体" w:cs="宋体" w:eastAsia="宋体" w:hint="default"/>
        </w:rPr>
        <w:t>0.5</w:t>
      </w:r>
      <w:r>
        <w:rPr>
          <w:rFonts w:ascii="宋体" w:hAnsi="宋体" w:cs="宋体" w:eastAsia="宋体" w:hint="default"/>
          <w:spacing w:val="-47"/>
        </w:rPr>
        <w:t> </w:t>
      </w:r>
      <w:r>
        <w:rPr>
          <w:spacing w:val="-6"/>
        </w:rPr>
        <w:t>元（含税），剩余利润结转下年度。本次利润分配不进行资</w:t>
      </w:r>
      <w:r>
        <w:rPr>
          <w:spacing w:val="-85"/>
        </w:rPr>
        <w:t> </w:t>
      </w:r>
      <w:r>
        <w:rPr>
          <w:spacing w:val="-85"/>
        </w:rPr>
      </w:r>
      <w:r>
        <w:rPr/>
        <w:t>本公积金转增股本。该利润分配预案尚待股东大会决议通过后实施。</w:t>
      </w:r>
      <w:r>
        <w:rPr>
          <w:rFonts w:ascii="宋体" w:hAnsi="宋体" w:cs="宋体" w:eastAsia="宋体" w:hint="default"/>
        </w:rPr>
        <w:t> </w:t>
      </w:r>
    </w:p>
    <w:p>
      <w:pPr>
        <w:pStyle w:val="BodyText"/>
        <w:spacing w:line="271" w:lineRule="exact"/>
        <w:ind w:left="638" w:right="0"/>
        <w:jc w:val="left"/>
        <w:rPr>
          <w:rFonts w:ascii="宋体" w:hAnsi="宋体" w:cs="宋体" w:eastAsia="宋体" w:hint="default"/>
        </w:rPr>
      </w:pPr>
      <w:r>
        <w:rPr>
          <w:rFonts w:ascii="宋体"/>
          <w:w w:val="100"/>
        </w:rPr>
        <w:t> </w:t>
      </w:r>
    </w:p>
    <w:p>
      <w:pPr>
        <w:pStyle w:val="Heading3"/>
        <w:spacing w:line="240" w:lineRule="auto" w:before="58"/>
        <w:ind w:right="0"/>
        <w:jc w:val="left"/>
        <w:rPr>
          <w:b w:val="0"/>
          <w:bCs w:val="0"/>
        </w:rPr>
      </w:pPr>
      <w:r>
        <w:rPr>
          <w:rFonts w:ascii="Calibri" w:hAnsi="Calibri" w:cs="Calibri" w:eastAsia="Calibri" w:hint="default"/>
        </w:rPr>
        <w:t>3</w:t>
      </w:r>
      <w:r>
        <w:rPr/>
        <w:t>、</w:t>
      </w:r>
      <w:r>
        <w:rPr>
          <w:spacing w:val="2"/>
        </w:rPr>
        <w:t> </w:t>
      </w:r>
      <w:r>
        <w:rPr/>
        <w:t>销售退回</w:t>
      </w:r>
      <w:r>
        <w:rPr>
          <w:b w:val="0"/>
          <w:bCs w:val="0"/>
        </w:rPr>
      </w:r>
    </w:p>
    <w:p>
      <w:pPr>
        <w:pStyle w:val="BodyText"/>
        <w:spacing w:line="274" w:lineRule="exact" w:before="29"/>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right="0"/>
        <w:jc w:val="left"/>
        <w:rPr>
          <w:rFonts w:ascii="宋体" w:hAnsi="宋体" w:cs="宋体" w:eastAsia="宋体" w:hint="default"/>
        </w:rPr>
      </w:pPr>
      <w:r>
        <w:rPr>
          <w:rFonts w:ascii="宋体"/>
          <w:w w:val="100"/>
        </w:rPr>
        <w:t> </w:t>
      </w:r>
    </w:p>
    <w:p>
      <w:pPr>
        <w:pStyle w:val="Heading3"/>
        <w:spacing w:line="240" w:lineRule="auto" w:before="56"/>
        <w:ind w:right="0"/>
        <w:jc w:val="left"/>
        <w:rPr>
          <w:b w:val="0"/>
          <w:bCs w:val="0"/>
        </w:rPr>
      </w:pPr>
      <w:r>
        <w:rPr>
          <w:rFonts w:ascii="Calibri" w:hAnsi="Calibri" w:cs="Calibri" w:eastAsia="Calibri" w:hint="default"/>
        </w:rPr>
        <w:t>4</w:t>
      </w:r>
      <w:r>
        <w:rPr/>
        <w:t>、</w:t>
      </w:r>
      <w:r>
        <w:rPr>
          <w:spacing w:val="-1"/>
        </w:rPr>
        <w:t> </w:t>
      </w:r>
      <w:r>
        <w:rPr/>
        <w:t>其他资产负债表日后事项说明</w:t>
      </w:r>
      <w:r>
        <w:rPr>
          <w:b w:val="0"/>
          <w:bCs w:val="0"/>
        </w:rPr>
      </w:r>
    </w:p>
    <w:p>
      <w:pPr>
        <w:pStyle w:val="Heading2"/>
        <w:spacing w:line="240" w:lineRule="auto" w:before="25"/>
        <w:ind w:right="0"/>
        <w:jc w:val="left"/>
        <w:rPr>
          <w:rFonts w:ascii="宋体" w:hAnsi="宋体" w:cs="宋体" w:eastAsia="宋体" w:hint="default"/>
        </w:rPr>
      </w:pPr>
      <w:r>
        <w:rPr/>
        <w:t>□适用</w:t>
      </w:r>
      <w:r>
        <w:rPr>
          <w:spacing w:val="119"/>
        </w:rPr>
        <w:t> </w:t>
      </w:r>
      <w:r>
        <w:rPr>
          <w:rFonts w:ascii="宋体" w:hAnsi="宋体" w:cs="宋体" w:eastAsia="宋体" w:hint="default"/>
          <w:spacing w:val="119"/>
        </w:rPr>
      </w:r>
      <w:r>
        <w:rPr/>
        <w:t>√不适用</w:t>
      </w:r>
      <w:r>
        <w:rPr>
          <w:rFonts w:ascii="宋体" w:hAnsi="宋体" w:cs="宋体" w:eastAsia="宋体" w:hint="default"/>
        </w:rPr>
        <w:t>  </w:t>
      </w:r>
    </w:p>
    <w:p>
      <w:pPr>
        <w:pStyle w:val="BodyText"/>
        <w:spacing w:line="240" w:lineRule="auto" w:before="2"/>
        <w:ind w:right="0"/>
        <w:jc w:val="left"/>
        <w:rPr>
          <w:rFonts w:ascii="宋体" w:hAnsi="宋体" w:cs="宋体" w:eastAsia="宋体" w:hint="default"/>
        </w:rPr>
      </w:pPr>
      <w:r>
        <w:rPr>
          <w:rFonts w:ascii="宋体"/>
          <w:w w:val="100"/>
        </w:rPr>
        <w:t> </w:t>
      </w:r>
    </w:p>
    <w:p>
      <w:pPr>
        <w:pStyle w:val="Heading3"/>
        <w:spacing w:line="290" w:lineRule="auto" w:before="58"/>
        <w:ind w:right="6952"/>
        <w:jc w:val="both"/>
        <w:rPr>
          <w:rFonts w:ascii="宋体" w:hAnsi="宋体" w:cs="宋体" w:eastAsia="宋体" w:hint="default"/>
          <w:b w:val="0"/>
          <w:bCs w:val="0"/>
        </w:rPr>
      </w:pPr>
      <w:r>
        <w:rPr/>
        <w:t>十六、</w:t>
      </w:r>
      <w:r>
        <w:rPr>
          <w:spacing w:val="101"/>
        </w:rPr>
        <w:t> </w:t>
      </w:r>
      <w:r>
        <w:rPr>
          <w:rFonts w:ascii="宋体" w:hAnsi="宋体" w:cs="宋体" w:eastAsia="宋体" w:hint="default"/>
          <w:spacing w:val="101"/>
        </w:rPr>
      </w:r>
      <w:r>
        <w:rPr/>
        <w:t>其他重要事项</w:t>
      </w:r>
      <w:r>
        <w:rPr>
          <w:w w:val="100"/>
        </w:rPr>
        <w:t> </w:t>
      </w:r>
      <w:r>
        <w:rPr>
          <w:rFonts w:ascii="宋体" w:hAnsi="宋体" w:cs="宋体" w:eastAsia="宋体" w:hint="default"/>
        </w:rPr>
        <w:t>1</w:t>
      </w:r>
      <w:r>
        <w:rPr/>
        <w:t>、</w:t>
      </w:r>
      <w:r>
        <w:rPr>
          <w:spacing w:val="5"/>
        </w:rPr>
        <w:t> </w:t>
      </w:r>
      <w:r>
        <w:rPr/>
        <w:t>前期会计差错更正</w:t>
      </w:r>
      <w:r>
        <w:rPr>
          <w:w w:val="100"/>
        </w:rPr>
        <w:t> </w:t>
      </w:r>
      <w:r>
        <w:rPr>
          <w:rFonts w:ascii="宋体" w:hAnsi="宋体" w:cs="宋体" w:eastAsia="宋体" w:hint="default"/>
        </w:rPr>
        <w:t>(1).</w:t>
      </w:r>
      <w:r>
        <w:rPr>
          <w:rFonts w:ascii="宋体" w:hAnsi="宋体" w:cs="宋体" w:eastAsia="宋体" w:hint="default"/>
          <w:spacing w:val="-46"/>
        </w:rPr>
        <w:t> </w:t>
      </w:r>
      <w:r>
        <w:rPr/>
        <w:t>追溯重述法</w:t>
      </w:r>
      <w:r>
        <w:rPr>
          <w:rFonts w:ascii="宋体" w:hAnsi="宋体" w:cs="宋体" w:eastAsia="宋体" w:hint="default"/>
          <w:w w:val="99"/>
        </w:rPr>
        <w:t> </w:t>
      </w:r>
      <w:r>
        <w:rPr>
          <w:rFonts w:ascii="宋体" w:hAnsi="宋体" w:cs="宋体" w:eastAsia="宋体" w:hint="default"/>
          <w:b w:val="0"/>
          <w:bCs w:val="0"/>
        </w:rPr>
      </w:r>
    </w:p>
    <w:p>
      <w:pPr>
        <w:spacing w:line="290" w:lineRule="auto" w:before="12"/>
        <w:ind w:left="218" w:right="7359"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pacing w:val="-46"/>
          <w:sz w:val="21"/>
          <w:szCs w:val="21"/>
        </w:rPr>
        <w:t> </w:t>
      </w:r>
      <w:r>
        <w:rPr>
          <w:rFonts w:ascii="宋体" w:hAnsi="宋体" w:cs="宋体" w:eastAsia="宋体" w:hint="default"/>
          <w:b/>
          <w:bCs/>
          <w:sz w:val="21"/>
          <w:szCs w:val="21"/>
        </w:rPr>
        <w:t>未来适用法</w:t>
      </w:r>
      <w:r>
        <w:rPr>
          <w:rFonts w:ascii="宋体" w:hAnsi="宋体" w:cs="宋体" w:eastAsia="宋体" w:hint="default"/>
          <w:b/>
          <w:bCs/>
          <w:w w:val="99"/>
          <w:sz w:val="21"/>
          <w:szCs w:val="21"/>
        </w:rPr>
        <w:t> </w:t>
      </w:r>
      <w:r>
        <w:rPr>
          <w:rFonts w:ascii="宋体" w:hAnsi="宋体" w:cs="宋体" w:eastAsia="宋体" w:hint="default"/>
          <w:sz w:val="21"/>
          <w:szCs w:val="21"/>
        </w:rPr>
      </w:r>
    </w:p>
    <w:p>
      <w:pPr>
        <w:pStyle w:val="Heading2"/>
        <w:spacing w:line="240" w:lineRule="auto" w:before="6"/>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3"/>
        <w:spacing w:line="240" w:lineRule="auto" w:before="64"/>
        <w:ind w:right="0"/>
        <w:jc w:val="left"/>
        <w:rPr>
          <w:b w:val="0"/>
          <w:bCs w:val="0"/>
        </w:rPr>
      </w:pPr>
      <w:r>
        <w:rPr>
          <w:rFonts w:ascii="宋体" w:hAnsi="宋体" w:cs="宋体" w:eastAsia="宋体" w:hint="default"/>
        </w:rPr>
        <w:t>2</w:t>
      </w:r>
      <w:r>
        <w:rPr/>
        <w:t>、</w:t>
      </w:r>
      <w:r>
        <w:rPr>
          <w:spacing w:val="3"/>
        </w:rPr>
        <w:t> </w:t>
      </w:r>
      <w:r>
        <w:rPr/>
        <w:t>债务重组</w:t>
      </w:r>
      <w:r>
        <w:rPr>
          <w:b w:val="0"/>
          <w:bCs w:val="0"/>
        </w:rPr>
      </w:r>
    </w:p>
    <w:p>
      <w:pPr>
        <w:pStyle w:val="BodyText"/>
        <w:spacing w:line="240" w:lineRule="auto" w:before="56"/>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580" w:bottom="280" w:left="1580" w:right="1040"/>
        </w:sectPr>
      </w:pPr>
    </w:p>
    <w:p>
      <w:pPr>
        <w:spacing w:line="240" w:lineRule="auto" w:before="12"/>
        <w:rPr>
          <w:rFonts w:ascii="宋体" w:hAnsi="宋体" w:cs="宋体" w:eastAsia="宋体" w:hint="default"/>
          <w:sz w:val="23"/>
          <w:szCs w:val="23"/>
        </w:rPr>
      </w:pPr>
    </w:p>
    <w:p>
      <w:pPr>
        <w:pStyle w:val="Heading3"/>
        <w:spacing w:line="240" w:lineRule="auto" w:before="36"/>
        <w:ind w:right="0"/>
        <w:jc w:val="left"/>
        <w:rPr>
          <w:b w:val="0"/>
          <w:bCs w:val="0"/>
        </w:rPr>
      </w:pPr>
      <w:r>
        <w:rPr>
          <w:rFonts w:ascii="宋体" w:hAnsi="宋体" w:cs="宋体" w:eastAsia="宋体" w:hint="default"/>
        </w:rPr>
        <w:t>3</w:t>
      </w:r>
      <w:r>
        <w:rPr/>
        <w:t>、</w:t>
      </w:r>
      <w:r>
        <w:rPr>
          <w:spacing w:val="3"/>
        </w:rPr>
        <w:t> </w:t>
      </w:r>
      <w:r>
        <w:rPr/>
        <w:t>资产置换</w:t>
      </w:r>
      <w:r>
        <w:rPr>
          <w:b w:val="0"/>
          <w:bCs w:val="0"/>
        </w:rPr>
      </w:r>
    </w:p>
    <w:p>
      <w:pPr>
        <w:pStyle w:val="Heading3"/>
        <w:spacing w:line="240" w:lineRule="auto" w:before="59"/>
        <w:ind w:right="0"/>
        <w:jc w:val="left"/>
        <w:rPr>
          <w:rFonts w:ascii="宋体" w:hAnsi="宋体" w:cs="宋体" w:eastAsia="宋体" w:hint="default"/>
          <w:b w:val="0"/>
          <w:bCs w:val="0"/>
        </w:rPr>
      </w:pPr>
      <w:r>
        <w:rPr>
          <w:rFonts w:ascii="宋体" w:hAnsi="宋体" w:cs="宋体" w:eastAsia="宋体" w:hint="default"/>
        </w:rPr>
        <w:t>(1).</w:t>
      </w:r>
      <w:r>
        <w:rPr>
          <w:rFonts w:ascii="宋体" w:hAnsi="宋体" w:cs="宋体" w:eastAsia="宋体" w:hint="default"/>
          <w:spacing w:val="-44"/>
        </w:rPr>
        <w:t> </w:t>
      </w:r>
      <w:r>
        <w:rPr/>
        <w:t>非货币性资产交换</w:t>
      </w:r>
      <w:r>
        <w:rPr>
          <w:rFonts w:ascii="宋体" w:hAnsi="宋体" w:cs="宋体" w:eastAsia="宋体" w:hint="default"/>
          <w:w w:val="99"/>
        </w:rPr>
        <w:t> </w:t>
      </w:r>
      <w:r>
        <w:rPr>
          <w:rFonts w:ascii="宋体" w:hAnsi="宋体" w:cs="宋体" w:eastAsia="宋体" w:hint="default"/>
          <w:b w:val="0"/>
          <w:bCs w:val="0"/>
        </w:rPr>
      </w:r>
    </w:p>
    <w:p>
      <w:pPr>
        <w:spacing w:line="300" w:lineRule="auto" w:before="133"/>
        <w:ind w:left="218" w:right="713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04"/>
          <w:sz w:val="21"/>
          <w:szCs w:val="21"/>
        </w:rPr>
        <w:t> </w:t>
      </w:r>
      <w:r>
        <w:rPr>
          <w:rFonts w:ascii="宋体" w:hAnsi="宋体" w:cs="宋体" w:eastAsia="宋体" w:hint="default"/>
          <w:spacing w:val="104"/>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pacing w:val="-46"/>
          <w:sz w:val="21"/>
          <w:szCs w:val="21"/>
        </w:rPr>
        <w:t> </w:t>
      </w:r>
      <w:r>
        <w:rPr>
          <w:rFonts w:ascii="宋体" w:hAnsi="宋体" w:cs="宋体" w:eastAsia="宋体" w:hint="default"/>
          <w:b/>
          <w:bCs/>
          <w:sz w:val="21"/>
          <w:szCs w:val="21"/>
        </w:rPr>
        <w:t>其他资产置换</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90" w:lineRule="auto" w:before="6"/>
        <w:ind w:left="218" w:right="713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04"/>
          <w:sz w:val="21"/>
          <w:szCs w:val="21"/>
        </w:rPr>
        <w:t> </w:t>
      </w:r>
      <w:r>
        <w:rPr>
          <w:rFonts w:ascii="宋体" w:hAnsi="宋体" w:cs="宋体" w:eastAsia="宋体" w:hint="default"/>
          <w:spacing w:val="104"/>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4</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年金计划</w:t>
      </w:r>
      <w:r>
        <w:rPr>
          <w:rFonts w:ascii="宋体" w:hAnsi="宋体" w:cs="宋体" w:eastAsia="宋体" w:hint="default"/>
          <w:sz w:val="21"/>
          <w:szCs w:val="21"/>
        </w:rPr>
      </w:r>
    </w:p>
    <w:p>
      <w:pPr>
        <w:spacing w:line="290" w:lineRule="auto" w:before="14"/>
        <w:ind w:left="218" w:right="7177"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5</w:t>
      </w:r>
      <w:r>
        <w:rPr>
          <w:rFonts w:ascii="宋体" w:hAnsi="宋体" w:cs="宋体" w:eastAsia="宋体" w:hint="default"/>
          <w:b/>
          <w:bCs/>
          <w:sz w:val="21"/>
          <w:szCs w:val="21"/>
        </w:rPr>
        <w:t>、 终止经营</w:t>
      </w:r>
      <w:r>
        <w:rPr>
          <w:rFonts w:ascii="宋体" w:hAnsi="宋体" w:cs="宋体" w:eastAsia="宋体" w:hint="default"/>
          <w:b/>
          <w:bCs/>
          <w:w w:val="99"/>
          <w:sz w:val="21"/>
          <w:szCs w:val="21"/>
        </w:rPr>
        <w:t> </w:t>
      </w:r>
      <w:r>
        <w:rPr>
          <w:rFonts w:ascii="宋体" w:hAnsi="宋体" w:cs="宋体" w:eastAsia="宋体" w:hint="default"/>
          <w:sz w:val="21"/>
          <w:szCs w:val="21"/>
        </w:rPr>
      </w:r>
    </w:p>
    <w:p>
      <w:pPr>
        <w:pStyle w:val="Heading2"/>
        <w:spacing w:line="240" w:lineRule="auto" w:before="8"/>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3"/>
        <w:spacing w:line="240" w:lineRule="auto" w:before="61"/>
        <w:ind w:right="0"/>
        <w:jc w:val="left"/>
        <w:rPr>
          <w:rFonts w:ascii="宋体" w:hAnsi="宋体" w:cs="宋体" w:eastAsia="宋体" w:hint="default"/>
          <w:b w:val="0"/>
          <w:bCs w:val="0"/>
        </w:rPr>
      </w:pPr>
      <w:r>
        <w:rPr>
          <w:rFonts w:ascii="宋体" w:hAnsi="宋体" w:cs="宋体" w:eastAsia="宋体" w:hint="default"/>
        </w:rPr>
        <w:t>6</w:t>
      </w:r>
      <w:r>
        <w:rPr/>
        <w:t>、 分部信息</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58"/>
        <w:ind w:right="0"/>
        <w:jc w:val="left"/>
        <w:rPr>
          <w:rFonts w:ascii="宋体" w:hAnsi="宋体" w:cs="宋体" w:eastAsia="宋体" w:hint="default"/>
          <w:b w:val="0"/>
          <w:bCs w:val="0"/>
        </w:rPr>
      </w:pPr>
      <w:r>
        <w:rPr>
          <w:rFonts w:ascii="宋体" w:hAnsi="宋体" w:cs="宋体" w:eastAsia="宋体" w:hint="default"/>
        </w:rPr>
        <w:t>(1).</w:t>
      </w:r>
      <w:r>
        <w:rPr>
          <w:rFonts w:ascii="宋体" w:hAnsi="宋体" w:cs="宋体" w:eastAsia="宋体" w:hint="default"/>
          <w:spacing w:val="-46"/>
        </w:rPr>
        <w:t> </w:t>
      </w:r>
      <w:r>
        <w:rPr/>
        <w:t>报告分部的确定依据与会计政策</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7"/>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240" w:lineRule="auto" w:before="58"/>
        <w:ind w:right="0"/>
        <w:jc w:val="left"/>
        <w:rPr>
          <w:rFonts w:ascii="宋体" w:hAnsi="宋体" w:cs="宋体" w:eastAsia="宋体" w:hint="default"/>
          <w:b w:val="0"/>
          <w:bCs w:val="0"/>
        </w:rPr>
      </w:pPr>
      <w:r>
        <w:rPr>
          <w:rFonts w:ascii="宋体" w:hAnsi="宋体" w:cs="宋体" w:eastAsia="宋体" w:hint="default"/>
        </w:rPr>
        <w:t>(2).</w:t>
      </w:r>
      <w:r>
        <w:rPr>
          <w:rFonts w:ascii="宋体" w:hAnsi="宋体" w:cs="宋体" w:eastAsia="宋体" w:hint="default"/>
          <w:spacing w:val="-44"/>
        </w:rPr>
        <w:t> </w:t>
      </w:r>
      <w:r>
        <w:rPr/>
        <w:t>报告分部的财务信息</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rPr>
        <w:t> </w:t>
      </w:r>
    </w:p>
    <w:p>
      <w:pPr>
        <w:pStyle w:val="Heading3"/>
        <w:spacing w:line="240" w:lineRule="auto" w:before="58"/>
        <w:ind w:right="0"/>
        <w:jc w:val="left"/>
        <w:rPr>
          <w:rFonts w:ascii="宋体" w:hAnsi="宋体" w:cs="宋体" w:eastAsia="宋体" w:hint="default"/>
          <w:b w:val="0"/>
          <w:bCs w:val="0"/>
        </w:rPr>
      </w:pPr>
      <w:r>
        <w:rPr>
          <w:rFonts w:ascii="宋体" w:hAnsi="宋体" w:cs="宋体" w:eastAsia="宋体" w:hint="default"/>
        </w:rPr>
        <w:t>(3).</w:t>
      </w:r>
      <w:r>
        <w:rPr>
          <w:rFonts w:ascii="宋体" w:hAnsi="宋体" w:cs="宋体" w:eastAsia="宋体" w:hint="default"/>
          <w:spacing w:val="-51"/>
        </w:rPr>
        <w:t> </w:t>
      </w:r>
      <w:r>
        <w:rPr/>
        <w:t>公司无报告分部的，或者不能披露各报告分部的资产总额和负债总额的，应说明原因</w:t>
      </w:r>
      <w:r>
        <w:rPr>
          <w:rFonts w:ascii="宋体" w:hAnsi="宋体" w:cs="宋体" w:eastAsia="宋体" w:hint="default"/>
          <w:w w:val="99"/>
        </w:rPr>
        <w:t> </w:t>
      </w:r>
      <w:r>
        <w:rPr>
          <w:rFonts w:ascii="宋体" w:hAnsi="宋体" w:cs="宋体" w:eastAsia="宋体" w:hint="default"/>
          <w:b w:val="0"/>
          <w:bCs w:val="0"/>
        </w:rPr>
      </w:r>
    </w:p>
    <w:p>
      <w:pPr>
        <w:spacing w:line="290" w:lineRule="auto" w:before="56"/>
        <w:ind w:left="218" w:right="713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04"/>
          <w:sz w:val="21"/>
          <w:szCs w:val="21"/>
        </w:rPr>
        <w:t> </w:t>
      </w:r>
      <w:r>
        <w:rPr>
          <w:rFonts w:ascii="宋体" w:hAnsi="宋体" w:cs="宋体" w:eastAsia="宋体" w:hint="default"/>
          <w:spacing w:val="104"/>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(4).</w:t>
      </w:r>
      <w:r>
        <w:rPr>
          <w:rFonts w:ascii="宋体" w:hAnsi="宋体" w:cs="宋体" w:eastAsia="宋体" w:hint="default"/>
          <w:b/>
          <w:bCs/>
          <w:spacing w:val="-47"/>
          <w:sz w:val="21"/>
          <w:szCs w:val="21"/>
        </w:rPr>
        <w:t> </w:t>
      </w:r>
      <w:r>
        <w:rPr>
          <w:rFonts w:ascii="宋体" w:hAnsi="宋体" w:cs="宋体" w:eastAsia="宋体" w:hint="default"/>
          <w:b/>
          <w:bCs/>
          <w:sz w:val="21"/>
          <w:szCs w:val="21"/>
        </w:rPr>
        <w:t>其他说明</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0" w:lineRule="auto" w:before="12"/>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240" w:lineRule="auto" w:before="58"/>
        <w:ind w:right="0"/>
        <w:jc w:val="left"/>
        <w:rPr>
          <w:b w:val="0"/>
          <w:bCs w:val="0"/>
        </w:rPr>
      </w:pPr>
      <w:r>
        <w:rPr>
          <w:rFonts w:ascii="宋体" w:hAnsi="宋体" w:cs="宋体" w:eastAsia="宋体" w:hint="default"/>
        </w:rPr>
        <w:t>7</w:t>
      </w:r>
      <w:r>
        <w:rPr/>
        <w:t>、</w:t>
      </w:r>
      <w:r>
        <w:rPr>
          <w:spacing w:val="3"/>
        </w:rPr>
        <w:t> </w:t>
      </w:r>
      <w:r>
        <w:rPr/>
        <w:t>其他对投资者决策有影响的重要交易和事项</w:t>
      </w:r>
      <w:r>
        <w:rPr>
          <w:b w:val="0"/>
          <w:bCs w:val="0"/>
        </w:rPr>
      </w:r>
    </w:p>
    <w:p>
      <w:pPr>
        <w:spacing w:line="300" w:lineRule="auto" w:before="133"/>
        <w:ind w:left="218" w:right="713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04"/>
          <w:sz w:val="21"/>
          <w:szCs w:val="21"/>
        </w:rPr>
        <w:t> </w:t>
      </w:r>
      <w:r>
        <w:rPr>
          <w:rFonts w:ascii="宋体" w:hAnsi="宋体" w:cs="宋体" w:eastAsia="宋体" w:hint="default"/>
          <w:spacing w:val="104"/>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8</w:t>
      </w:r>
      <w:r>
        <w:rPr>
          <w:rFonts w:ascii="宋体" w:hAnsi="宋体" w:cs="宋体" w:eastAsia="宋体" w:hint="default"/>
          <w:b/>
          <w:bCs/>
          <w:sz w:val="21"/>
          <w:szCs w:val="21"/>
        </w:rPr>
        <w:t>、</w:t>
      </w:r>
      <w:r>
        <w:rPr>
          <w:rFonts w:ascii="宋体" w:hAnsi="宋体" w:cs="宋体" w:eastAsia="宋体" w:hint="default"/>
          <w:b/>
          <w:bCs/>
          <w:spacing w:val="2"/>
          <w:sz w:val="21"/>
          <w:szCs w:val="21"/>
        </w:rPr>
        <w:t> </w:t>
      </w:r>
      <w:r>
        <w:rPr>
          <w:rFonts w:ascii="宋体" w:hAnsi="宋体" w:cs="宋体" w:eastAsia="宋体" w:hint="default"/>
          <w:b/>
          <w:bCs/>
          <w:sz w:val="21"/>
          <w:szCs w:val="21"/>
        </w:rPr>
        <w:t>其他</w:t>
      </w:r>
      <w:r>
        <w:rPr>
          <w:rFonts w:ascii="宋体" w:hAnsi="宋体" w:cs="宋体" w:eastAsia="宋体" w:hint="default"/>
          <w:sz w:val="21"/>
          <w:szCs w:val="21"/>
        </w:rPr>
      </w:r>
    </w:p>
    <w:p>
      <w:pPr>
        <w:pStyle w:val="BodyText"/>
        <w:spacing w:line="273" w:lineRule="exact" w:before="6"/>
        <w:ind w:right="0"/>
        <w:jc w:val="left"/>
        <w:rPr>
          <w:rFonts w:ascii="宋体" w:hAnsi="宋体" w:cs="宋体" w:eastAsia="宋体" w:hint="default"/>
          <w:sz w:val="24"/>
          <w:szCs w:val="24"/>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sz w:val="24"/>
          <w:szCs w:val="24"/>
        </w:rPr>
        <w:t> </w:t>
      </w:r>
    </w:p>
    <w:p>
      <w:pPr>
        <w:pStyle w:val="BodyText"/>
        <w:spacing w:line="273" w:lineRule="exact"/>
        <w:ind w:right="0"/>
        <w:jc w:val="left"/>
        <w:rPr>
          <w:rFonts w:ascii="宋体" w:hAnsi="宋体" w:cs="宋体" w:eastAsia="宋体" w:hint="default"/>
        </w:rPr>
      </w:pPr>
      <w:r>
        <w:rPr>
          <w:rFonts w:ascii="宋体"/>
          <w:w w:val="100"/>
        </w:rPr>
        <w:t> </w:t>
      </w:r>
    </w:p>
    <w:p>
      <w:pPr>
        <w:pStyle w:val="Heading3"/>
        <w:spacing w:line="290" w:lineRule="auto" w:before="58"/>
        <w:ind w:right="5249"/>
        <w:jc w:val="left"/>
        <w:rPr>
          <w:b w:val="0"/>
          <w:bCs w:val="0"/>
        </w:rPr>
      </w:pPr>
      <w:r>
        <w:rPr/>
        <w:t>十七、</w:t>
      </w:r>
      <w:r>
        <w:rPr>
          <w:spacing w:val="99"/>
        </w:rPr>
        <w:t> </w:t>
      </w:r>
      <w:r>
        <w:rPr>
          <w:rFonts w:ascii="宋体" w:hAnsi="宋体" w:cs="宋体" w:eastAsia="宋体" w:hint="default"/>
          <w:spacing w:val="99"/>
        </w:rPr>
      </w:r>
      <w:r>
        <w:rPr/>
        <w:t>母公司财务报表主要项目注释</w:t>
      </w:r>
      <w:r>
        <w:rPr>
          <w:rFonts w:ascii="宋体" w:hAnsi="宋体" w:cs="宋体" w:eastAsia="宋体" w:hint="default"/>
          <w:w w:val="99"/>
        </w:rPr>
        <w:t> </w:t>
      </w:r>
      <w:r>
        <w:rPr>
          <w:rFonts w:ascii="宋体" w:hAnsi="宋体" w:cs="宋体" w:eastAsia="宋体" w:hint="default"/>
        </w:rPr>
        <w:t>1</w:t>
      </w:r>
      <w:r>
        <w:rPr/>
        <w:t>、</w:t>
      </w:r>
      <w:r>
        <w:rPr>
          <w:spacing w:val="3"/>
        </w:rPr>
        <w:t> </w:t>
      </w:r>
      <w:r>
        <w:rPr/>
        <w:t>应收账款</w:t>
      </w:r>
      <w:r>
        <w:rPr>
          <w:b w:val="0"/>
          <w:bCs w:val="0"/>
        </w:rPr>
      </w:r>
    </w:p>
    <w:p>
      <w:pPr>
        <w:pStyle w:val="Heading3"/>
        <w:spacing w:line="240" w:lineRule="auto" w:before="14"/>
        <w:ind w:right="0"/>
        <w:jc w:val="left"/>
        <w:rPr>
          <w:rFonts w:ascii="宋体" w:hAnsi="宋体" w:cs="宋体" w:eastAsia="宋体" w:hint="default"/>
          <w:b w:val="0"/>
          <w:bCs w:val="0"/>
        </w:rPr>
      </w:pPr>
      <w:r>
        <w:rPr>
          <w:rFonts w:ascii="宋体" w:hAnsi="宋体" w:cs="宋体" w:eastAsia="宋体" w:hint="default"/>
        </w:rPr>
        <w:t>(1).</w:t>
      </w:r>
      <w:r>
        <w:rPr>
          <w:rFonts w:ascii="宋体" w:hAnsi="宋体" w:cs="宋体" w:eastAsia="宋体" w:hint="default"/>
          <w:spacing w:val="-46"/>
        </w:rPr>
        <w:t> </w:t>
      </w:r>
      <w:r>
        <w:rPr/>
        <w:t>按账龄披露</w:t>
      </w:r>
      <w:r>
        <w:rPr>
          <w:rFonts w:ascii="宋体" w:hAnsi="宋体" w:cs="宋体" w:eastAsia="宋体" w:hint="default"/>
          <w:w w:val="99"/>
        </w:rPr>
        <w:t> </w:t>
      </w:r>
      <w:r>
        <w:rPr>
          <w:rFonts w:ascii="宋体" w:hAnsi="宋体" w:cs="宋体" w:eastAsia="宋体" w:hint="default"/>
          <w:b w:val="0"/>
          <w:bCs w:val="0"/>
        </w:rPr>
      </w:r>
    </w:p>
    <w:p>
      <w:pPr>
        <w:pStyle w:val="Heading2"/>
        <w:spacing w:line="240" w:lineRule="auto" w:before="50"/>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BodyText"/>
        <w:spacing w:line="240" w:lineRule="auto" w:before="4"/>
        <w:ind w:left="0" w:right="107"/>
        <w:jc w:val="right"/>
        <w:rPr>
          <w:rFonts w:ascii="宋体" w:hAnsi="宋体" w:cs="宋体" w:eastAsia="宋体" w:hint="default"/>
        </w:rPr>
      </w:pPr>
      <w:r>
        <w:rPr>
          <w:spacing w:val="-2"/>
        </w:rPr>
        <w:t>单位：元币种：人民币</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4453"/>
        <w:gridCol w:w="4167"/>
      </w:tblGrid>
      <w:tr>
        <w:trPr>
          <w:trHeight w:val="283" w:hRule="exact"/>
        </w:trPr>
        <w:tc>
          <w:tcPr>
            <w:tcW w:w="44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07"/>
              <w:jc w:val="right"/>
              <w:rPr>
                <w:rFonts w:ascii="宋体" w:hAnsi="宋体" w:cs="宋体" w:eastAsia="宋体" w:hint="default"/>
                <w:sz w:val="21"/>
                <w:szCs w:val="21"/>
              </w:rPr>
            </w:pPr>
            <w:r>
              <w:rPr>
                <w:rFonts w:ascii="宋体" w:hAnsi="宋体" w:cs="宋体" w:eastAsia="宋体" w:hint="default"/>
                <w:spacing w:val="-1"/>
                <w:sz w:val="21"/>
                <w:szCs w:val="21"/>
              </w:rPr>
              <w:t>账龄</w:t>
            </w:r>
            <w:r>
              <w:rPr>
                <w:rFonts w:ascii="宋体" w:hAnsi="宋体" w:cs="宋体" w:eastAsia="宋体" w:hint="default"/>
                <w:sz w:val="21"/>
                <w:szCs w:val="21"/>
              </w:rPr>
              <w:t> </w:t>
            </w:r>
          </w:p>
        </w:tc>
        <w:tc>
          <w:tcPr>
            <w:tcW w:w="41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47" w:right="0"/>
              <w:jc w:val="left"/>
              <w:rPr>
                <w:rFonts w:ascii="宋体" w:hAnsi="宋体" w:cs="宋体" w:eastAsia="宋体" w:hint="default"/>
                <w:sz w:val="21"/>
                <w:szCs w:val="21"/>
              </w:rPr>
            </w:pPr>
            <w:r>
              <w:rPr>
                <w:rFonts w:ascii="宋体" w:hAnsi="宋体" w:cs="宋体" w:eastAsia="宋体" w:hint="default"/>
                <w:sz w:val="21"/>
                <w:szCs w:val="21"/>
              </w:rPr>
              <w:t>期末账面余额</w:t>
            </w:r>
            <w:r>
              <w:rPr>
                <w:rFonts w:ascii="宋体" w:hAnsi="宋体" w:cs="宋体" w:eastAsia="宋体" w:hint="default"/>
                <w:sz w:val="21"/>
                <w:szCs w:val="21"/>
              </w:rPr>
              <w:t> </w:t>
            </w:r>
          </w:p>
        </w:tc>
      </w:tr>
      <w:tr>
        <w:trPr>
          <w:trHeight w:val="283" w:hRule="exact"/>
        </w:trPr>
        <w:tc>
          <w:tcPr>
            <w:tcW w:w="86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年以内</w:t>
            </w:r>
            <w:r>
              <w:rPr>
                <w:rFonts w:ascii="宋体" w:hAnsi="宋体" w:cs="宋体" w:eastAsia="宋体" w:hint="default"/>
                <w:color w:val="FF0000"/>
                <w:sz w:val="21"/>
                <w:szCs w:val="21"/>
              </w:rPr>
              <w:t> </w:t>
            </w:r>
            <w:r>
              <w:rPr>
                <w:rFonts w:ascii="宋体" w:hAnsi="宋体" w:cs="宋体" w:eastAsia="宋体" w:hint="default"/>
                <w:sz w:val="21"/>
                <w:szCs w:val="21"/>
              </w:rPr>
            </w:r>
          </w:p>
        </w:tc>
      </w:tr>
      <w:tr>
        <w:trPr>
          <w:trHeight w:val="281" w:hRule="exact"/>
        </w:trPr>
        <w:tc>
          <w:tcPr>
            <w:tcW w:w="86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年以内分项</w:t>
            </w:r>
            <w:r>
              <w:rPr>
                <w:rFonts w:ascii="宋体" w:hAnsi="宋体" w:cs="宋体" w:eastAsia="宋体" w:hint="default"/>
                <w:sz w:val="21"/>
                <w:szCs w:val="21"/>
              </w:rPr>
              <w:t> </w:t>
            </w:r>
          </w:p>
        </w:tc>
      </w:tr>
      <w:tr>
        <w:trPr>
          <w:trHeight w:val="283" w:hRule="exact"/>
        </w:trPr>
        <w:tc>
          <w:tcPr>
            <w:tcW w:w="44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47"/>
                <w:sz w:val="21"/>
                <w:szCs w:val="21"/>
              </w:rPr>
              <w:t> </w:t>
            </w:r>
            <w:r>
              <w:rPr>
                <w:rFonts w:ascii="宋体" w:hAnsi="宋体" w:cs="宋体" w:eastAsia="宋体" w:hint="default"/>
                <w:spacing w:val="-3"/>
                <w:sz w:val="21"/>
                <w:szCs w:val="21"/>
              </w:rPr>
              <w:t>年以内</w:t>
            </w:r>
            <w:r>
              <w:rPr>
                <w:rFonts w:ascii="宋体" w:hAnsi="宋体" w:cs="宋体" w:eastAsia="宋体" w:hint="default"/>
                <w:sz w:val="21"/>
                <w:szCs w:val="21"/>
              </w:rPr>
              <w:t> </w:t>
            </w:r>
          </w:p>
        </w:tc>
        <w:tc>
          <w:tcPr>
            <w:tcW w:w="41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676,739,428.22</w:t>
            </w:r>
            <w:r>
              <w:rPr>
                <w:rFonts w:ascii="宋体"/>
                <w:sz w:val="21"/>
              </w:rPr>
              <w:t> </w:t>
            </w:r>
          </w:p>
        </w:tc>
      </w:tr>
      <w:tr>
        <w:trPr>
          <w:trHeight w:val="281" w:hRule="exact"/>
        </w:trPr>
        <w:tc>
          <w:tcPr>
            <w:tcW w:w="44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6"/>
                <w:sz w:val="21"/>
                <w:szCs w:val="21"/>
              </w:rPr>
              <w:t> </w:t>
            </w:r>
            <w:r>
              <w:rPr>
                <w:rFonts w:ascii="宋体" w:hAnsi="宋体" w:cs="宋体" w:eastAsia="宋体" w:hint="default"/>
                <w:sz w:val="21"/>
                <w:szCs w:val="21"/>
              </w:rPr>
              <w:t>年以内小计</w:t>
            </w:r>
            <w:r>
              <w:rPr>
                <w:rFonts w:ascii="宋体" w:hAnsi="宋体" w:cs="宋体" w:eastAsia="宋体" w:hint="default"/>
                <w:sz w:val="21"/>
                <w:szCs w:val="21"/>
              </w:rPr>
              <w:t> </w:t>
            </w:r>
          </w:p>
        </w:tc>
        <w:tc>
          <w:tcPr>
            <w:tcW w:w="41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676,739,428.22</w:t>
            </w:r>
            <w:r>
              <w:rPr>
                <w:rFonts w:ascii="宋体"/>
                <w:sz w:val="21"/>
              </w:rPr>
              <w:t> </w:t>
            </w:r>
          </w:p>
        </w:tc>
      </w:tr>
      <w:tr>
        <w:trPr>
          <w:trHeight w:val="283" w:hRule="exact"/>
        </w:trPr>
        <w:tc>
          <w:tcPr>
            <w:tcW w:w="44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7"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416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right"/>
              <w:rPr>
                <w:rFonts w:ascii="宋体" w:hAnsi="宋体" w:cs="宋体" w:eastAsia="宋体" w:hint="default"/>
                <w:sz w:val="21"/>
                <w:szCs w:val="21"/>
              </w:rPr>
            </w:pPr>
            <w:r>
              <w:rPr>
                <w:rFonts w:ascii="宋体"/>
                <w:spacing w:val="-1"/>
                <w:sz w:val="21"/>
              </w:rPr>
              <w:t>149,623,623.30</w:t>
            </w:r>
            <w:r>
              <w:rPr>
                <w:rFonts w:ascii="宋体"/>
                <w:sz w:val="21"/>
              </w:rPr>
              <w:t> </w:t>
            </w:r>
          </w:p>
        </w:tc>
      </w:tr>
      <w:tr>
        <w:trPr>
          <w:trHeight w:val="283" w:hRule="exact"/>
        </w:trPr>
        <w:tc>
          <w:tcPr>
            <w:tcW w:w="44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41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39,883,587.40</w:t>
            </w:r>
            <w:r>
              <w:rPr>
                <w:rFonts w:ascii="宋体"/>
                <w:sz w:val="21"/>
              </w:rPr>
              <w:t> </w:t>
            </w:r>
          </w:p>
        </w:tc>
      </w:tr>
      <w:tr>
        <w:trPr>
          <w:trHeight w:val="281" w:hRule="exact"/>
        </w:trPr>
        <w:tc>
          <w:tcPr>
            <w:tcW w:w="44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5"/>
                <w:sz w:val="21"/>
                <w:szCs w:val="21"/>
              </w:rPr>
              <w:t> </w:t>
            </w:r>
            <w:r>
              <w:rPr>
                <w:rFonts w:ascii="宋体" w:hAnsi="宋体" w:cs="宋体" w:eastAsia="宋体" w:hint="default"/>
                <w:sz w:val="21"/>
                <w:szCs w:val="21"/>
              </w:rPr>
              <w:t>年以上</w:t>
            </w:r>
            <w:r>
              <w:rPr>
                <w:rFonts w:ascii="宋体" w:hAnsi="宋体" w:cs="宋体" w:eastAsia="宋体" w:hint="default"/>
                <w:sz w:val="21"/>
                <w:szCs w:val="21"/>
              </w:rPr>
              <w:t> </w:t>
            </w:r>
          </w:p>
        </w:tc>
        <w:tc>
          <w:tcPr>
            <w:tcW w:w="41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9,877,726.69</w:t>
            </w:r>
            <w:r>
              <w:rPr>
                <w:rFonts w:ascii="宋体"/>
                <w:sz w:val="21"/>
              </w:rPr>
              <w:t> </w:t>
            </w:r>
          </w:p>
        </w:tc>
      </w:tr>
      <w:tr>
        <w:trPr>
          <w:trHeight w:val="283" w:hRule="exact"/>
        </w:trPr>
        <w:tc>
          <w:tcPr>
            <w:tcW w:w="44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07"/>
              <w:jc w:val="right"/>
              <w:rPr>
                <w:rFonts w:ascii="宋体" w:hAnsi="宋体" w:cs="宋体" w:eastAsia="宋体" w:hint="default"/>
                <w:sz w:val="21"/>
                <w:szCs w:val="21"/>
              </w:rPr>
            </w:pPr>
            <w:r>
              <w:rPr>
                <w:rFonts w:ascii="宋体" w:hAnsi="宋体" w:cs="宋体" w:eastAsia="宋体" w:hint="default"/>
                <w:spacing w:val="-1"/>
                <w:sz w:val="21"/>
                <w:szCs w:val="21"/>
              </w:rPr>
              <w:t>合计</w:t>
            </w:r>
            <w:r>
              <w:rPr>
                <w:rFonts w:ascii="宋体" w:hAnsi="宋体" w:cs="宋体" w:eastAsia="宋体" w:hint="default"/>
                <w:sz w:val="21"/>
                <w:szCs w:val="21"/>
              </w:rPr>
              <w:t> </w:t>
            </w:r>
          </w:p>
        </w:tc>
        <w:tc>
          <w:tcPr>
            <w:tcW w:w="416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right"/>
              <w:rPr>
                <w:rFonts w:ascii="宋体" w:hAnsi="宋体" w:cs="宋体" w:eastAsia="宋体" w:hint="default"/>
                <w:sz w:val="21"/>
                <w:szCs w:val="21"/>
              </w:rPr>
            </w:pPr>
            <w:r>
              <w:rPr>
                <w:rFonts w:ascii="宋体"/>
                <w:spacing w:val="-1"/>
                <w:sz w:val="21"/>
              </w:rPr>
              <w:t>876,124,365.61</w:t>
            </w:r>
            <w:r>
              <w:rPr>
                <w:rFonts w:ascii="宋体"/>
                <w:sz w:val="21"/>
              </w:rPr>
              <w:t> </w:t>
            </w:r>
          </w:p>
        </w:tc>
      </w:tr>
    </w:tbl>
    <w:p>
      <w:pPr>
        <w:pStyle w:val="Heading2"/>
        <w:spacing w:line="274" w:lineRule="exact"/>
        <w:ind w:right="0"/>
        <w:jc w:val="left"/>
        <w:rPr>
          <w:rFonts w:ascii="宋体" w:hAnsi="宋体" w:cs="宋体" w:eastAsia="宋体" w:hint="default"/>
        </w:rPr>
      </w:pPr>
      <w:r>
        <w:rPr>
          <w:rFonts w:ascii="宋体"/>
        </w:rPr>
        <w:t> </w:t>
      </w:r>
    </w:p>
    <w:p>
      <w:pPr>
        <w:spacing w:after="0" w:line="274" w:lineRule="exact"/>
        <w:jc w:val="left"/>
        <w:rPr>
          <w:rFonts w:ascii="宋体" w:hAnsi="宋体" w:cs="宋体" w:eastAsia="宋体" w:hint="default"/>
        </w:rPr>
        <w:sectPr>
          <w:pgSz w:w="11910" w:h="16840"/>
          <w:pgMar w:header="748" w:footer="974" w:top="1140" w:bottom="1160" w:left="1580" w:right="1060"/>
        </w:sectPr>
      </w:pPr>
    </w:p>
    <w:p>
      <w:pPr>
        <w:spacing w:line="240" w:lineRule="auto" w:before="3"/>
        <w:rPr>
          <w:rFonts w:ascii="宋体" w:hAnsi="宋体" w:cs="宋体" w:eastAsia="宋体" w:hint="default"/>
          <w:sz w:val="6"/>
          <w:szCs w:val="6"/>
        </w:rPr>
      </w:pPr>
    </w:p>
    <w:p>
      <w:pPr>
        <w:spacing w:line="393" w:lineRule="exact"/>
        <w:ind w:left="306"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699.45pt;height:19.650pt;mso-position-horizontal-relative:char;mso-position-vertical-relative:line" coordorigin="0,0" coordsize="13989,393">
            <v:group style="position:absolute;left:69;top:370;width:13913;height:2" coordorigin="69,370" coordsize="13913,2">
              <v:shape style="position:absolute;left:69;top:370;width:13913;height:2" coordorigin="69,370" coordsize="13913,0" path="m69,370l13982,370e" filled="false" stroked="true" strokeweight=".72pt" strokecolor="#000000">
                <v:path arrowok="t"/>
              </v:shape>
              <v:shape style="position:absolute;left:0;top:0;width:465;height:393" type="#_x0000_t75" stroked="false">
                <v:imagedata r:id="rId10" o:title=""/>
              </v:shape>
              <v:shape style="position:absolute;left:3038;top:134;width:21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江苏林洋能源股份有限公司</w:t>
                      </w:r>
                    </w:p>
                  </w:txbxContent>
                </v:textbox>
                <w10:wrap type="none"/>
              </v:shape>
              <v:shape style="position:absolute;left:9704;top:134;width:1309;height:200" type="#_x0000_t202" filled="false" stroked="false">
                <v:textbox inset="0,0,0,0">
                  <w:txbxContent>
                    <w:p>
                      <w:pPr>
                        <w:spacing w:line="200" w:lineRule="exact" w:before="0"/>
                        <w:ind w:left="0" w:right="0" w:firstLine="0"/>
                        <w:jc w:val="left"/>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2"/>
                          <w:sz w:val="18"/>
                          <w:szCs w:val="18"/>
                        </w:rPr>
                        <w:t> </w:t>
                      </w:r>
                      <w:r>
                        <w:rPr>
                          <w:rFonts w:ascii="宋体" w:hAnsi="宋体" w:cs="宋体" w:eastAsia="宋体" w:hint="default"/>
                          <w:sz w:val="18"/>
                          <w:szCs w:val="18"/>
                        </w:rPr>
                        <w:t>年年度报告</w:t>
                      </w:r>
                    </w:p>
                  </w:txbxContent>
                </v:textbox>
                <w10:wrap type="none"/>
              </v:shape>
            </v:group>
          </v:group>
        </w:pict>
      </w:r>
      <w:r>
        <w:rPr>
          <w:rFonts w:ascii="宋体" w:hAnsi="宋体" w:cs="宋体" w:eastAsia="宋体" w:hint="default"/>
          <w:position w:val="-7"/>
          <w:sz w:val="20"/>
          <w:szCs w:val="20"/>
        </w:rPr>
      </w:r>
    </w:p>
    <w:p>
      <w:pPr>
        <w:spacing w:line="240" w:lineRule="auto" w:before="5"/>
        <w:rPr>
          <w:rFonts w:ascii="宋体" w:hAnsi="宋体" w:cs="宋体" w:eastAsia="宋体" w:hint="default"/>
          <w:sz w:val="5"/>
          <w:szCs w:val="5"/>
        </w:rPr>
      </w:pPr>
    </w:p>
    <w:p>
      <w:pPr>
        <w:spacing w:after="0" w:line="240" w:lineRule="auto"/>
        <w:rPr>
          <w:rFonts w:ascii="宋体" w:hAnsi="宋体" w:cs="宋体" w:eastAsia="宋体" w:hint="default"/>
          <w:sz w:val="5"/>
          <w:szCs w:val="5"/>
        </w:rPr>
        <w:sectPr>
          <w:headerReference w:type="default" r:id="rId255"/>
          <w:footerReference w:type="default" r:id="rId256"/>
          <w:pgSz w:w="16840" w:h="11910" w:orient="landscape"/>
          <w:pgMar w:header="0" w:footer="0" w:top="660" w:bottom="280" w:left="1120" w:right="1280"/>
        </w:sectPr>
      </w:pPr>
    </w:p>
    <w:p>
      <w:pPr>
        <w:pStyle w:val="Heading2"/>
        <w:spacing w:line="240" w:lineRule="auto" w:before="26"/>
        <w:ind w:left="404" w:right="0"/>
        <w:jc w:val="left"/>
        <w:rPr>
          <w:rFonts w:ascii="宋体" w:hAnsi="宋体" w:cs="宋体" w:eastAsia="宋体" w:hint="default"/>
        </w:rPr>
      </w:pPr>
      <w:r>
        <w:rPr>
          <w:rFonts w:ascii="宋体"/>
        </w:rPr>
        <w:t> </w:t>
      </w:r>
    </w:p>
    <w:p>
      <w:pPr>
        <w:pStyle w:val="Heading3"/>
        <w:spacing w:line="240" w:lineRule="auto" w:before="61"/>
        <w:ind w:left="404" w:right="0"/>
        <w:jc w:val="left"/>
        <w:rPr>
          <w:rFonts w:ascii="宋体" w:hAnsi="宋体" w:cs="宋体" w:eastAsia="宋体" w:hint="default"/>
          <w:b w:val="0"/>
          <w:bCs w:val="0"/>
        </w:rPr>
      </w:pPr>
      <w:r>
        <w:rPr>
          <w:rFonts w:ascii="宋体" w:hAnsi="宋体" w:cs="宋体" w:eastAsia="宋体" w:hint="default"/>
        </w:rPr>
        <w:t>(2).</w:t>
      </w:r>
      <w:r>
        <w:rPr>
          <w:rFonts w:ascii="宋体" w:hAnsi="宋体" w:cs="宋体" w:eastAsia="宋体" w:hint="default"/>
          <w:spacing w:val="-47"/>
        </w:rPr>
        <w:t> </w:t>
      </w:r>
      <w:r>
        <w:rPr/>
        <w:t>按坏账计提方法分类披露</w:t>
      </w:r>
      <w:r>
        <w:rPr>
          <w:rFonts w:ascii="宋体" w:hAnsi="宋体" w:cs="宋体" w:eastAsia="宋体" w:hint="default"/>
          <w:w w:val="99"/>
        </w:rPr>
        <w:t> </w:t>
      </w:r>
      <w:r>
        <w:rPr>
          <w:rFonts w:ascii="宋体" w:hAnsi="宋体" w:cs="宋体" w:eastAsia="宋体" w:hint="default"/>
          <w:b w:val="0"/>
          <w:bCs w:val="0"/>
        </w:rPr>
      </w:r>
    </w:p>
    <w:p>
      <w:pPr>
        <w:pStyle w:val="Heading2"/>
        <w:spacing w:line="240" w:lineRule="auto" w:before="52"/>
        <w:ind w:left="404"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BodyText"/>
        <w:spacing w:line="240" w:lineRule="auto"/>
        <w:ind w:left="404" w:right="0"/>
        <w:jc w:val="left"/>
      </w:pPr>
      <w:r>
        <w:rPr/>
        <w:t>单位：元币种：人民币</w:t>
      </w:r>
    </w:p>
    <w:p>
      <w:pPr>
        <w:spacing w:after="0" w:line="240" w:lineRule="auto"/>
        <w:jc w:val="left"/>
        <w:sectPr>
          <w:type w:val="continuous"/>
          <w:pgSz w:w="16840" w:h="11910" w:orient="landscape"/>
          <w:pgMar w:top="1580" w:bottom="280" w:left="1120" w:right="1280"/>
          <w:cols w:num="2" w:equalWidth="0">
            <w:col w:w="3314" w:space="8357"/>
            <w:col w:w="2769"/>
          </w:cols>
        </w:sectPr>
      </w:pPr>
    </w:p>
    <w:p>
      <w:pPr>
        <w:spacing w:line="240" w:lineRule="auto" w:before="4"/>
        <w:rPr>
          <w:rFonts w:ascii="宋体" w:hAnsi="宋体" w:cs="宋体" w:eastAsia="宋体" w:hint="default"/>
          <w:sz w:val="2"/>
          <w:szCs w:val="2"/>
        </w:rPr>
      </w:pPr>
    </w:p>
    <w:tbl>
      <w:tblPr>
        <w:tblW w:w="0" w:type="auto"/>
        <w:jc w:val="left"/>
        <w:tblInd w:w="116" w:type="dxa"/>
        <w:tblLayout w:type="fixed"/>
        <w:tblCellMar>
          <w:top w:w="0" w:type="dxa"/>
          <w:left w:w="0" w:type="dxa"/>
          <w:bottom w:w="0" w:type="dxa"/>
          <w:right w:w="0" w:type="dxa"/>
        </w:tblCellMar>
        <w:tblLook w:val="01E0"/>
      </w:tblPr>
      <w:tblGrid>
        <w:gridCol w:w="2028"/>
        <w:gridCol w:w="1462"/>
        <w:gridCol w:w="773"/>
        <w:gridCol w:w="1361"/>
        <w:gridCol w:w="799"/>
        <w:gridCol w:w="1462"/>
        <w:gridCol w:w="1663"/>
        <w:gridCol w:w="797"/>
        <w:gridCol w:w="1361"/>
        <w:gridCol w:w="821"/>
        <w:gridCol w:w="1663"/>
      </w:tblGrid>
      <w:tr>
        <w:trPr>
          <w:trHeight w:val="269" w:hRule="exact"/>
        </w:trPr>
        <w:tc>
          <w:tcPr>
            <w:tcW w:w="2028"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7"/>
                <w:szCs w:val="27"/>
              </w:rPr>
            </w:pPr>
          </w:p>
          <w:p>
            <w:pPr>
              <w:pStyle w:val="TableParagraph"/>
              <w:spacing w:line="240" w:lineRule="auto"/>
              <w:ind w:left="100" w:right="0"/>
              <w:jc w:val="center"/>
              <w:rPr>
                <w:rFonts w:ascii="宋体" w:hAnsi="宋体" w:cs="宋体" w:eastAsia="宋体" w:hint="default"/>
                <w:sz w:val="20"/>
                <w:szCs w:val="20"/>
              </w:rPr>
            </w:pPr>
            <w:r>
              <w:rPr>
                <w:rFonts w:ascii="宋体" w:hAnsi="宋体" w:cs="宋体" w:eastAsia="宋体" w:hint="default"/>
                <w:sz w:val="20"/>
                <w:szCs w:val="20"/>
              </w:rPr>
              <w:t>类别</w:t>
            </w:r>
            <w:r>
              <w:rPr>
                <w:rFonts w:ascii="宋体" w:hAnsi="宋体" w:cs="宋体" w:eastAsia="宋体" w:hint="default"/>
                <w:sz w:val="20"/>
                <w:szCs w:val="20"/>
              </w:rPr>
              <w:t> </w:t>
            </w:r>
          </w:p>
        </w:tc>
        <w:tc>
          <w:tcPr>
            <w:tcW w:w="5857" w:type="dxa"/>
            <w:gridSpan w:val="5"/>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97" w:right="0"/>
              <w:jc w:val="center"/>
              <w:rPr>
                <w:rFonts w:ascii="宋体" w:hAnsi="宋体" w:cs="宋体" w:eastAsia="宋体" w:hint="default"/>
                <w:sz w:val="20"/>
                <w:szCs w:val="20"/>
              </w:rPr>
            </w:pPr>
            <w:r>
              <w:rPr>
                <w:rFonts w:ascii="宋体" w:hAnsi="宋体" w:cs="宋体" w:eastAsia="宋体" w:hint="default"/>
                <w:sz w:val="20"/>
                <w:szCs w:val="20"/>
              </w:rPr>
              <w:t>期末余额</w:t>
            </w:r>
            <w:r>
              <w:rPr>
                <w:rFonts w:ascii="宋体" w:hAnsi="宋体" w:cs="宋体" w:eastAsia="宋体" w:hint="default"/>
                <w:sz w:val="20"/>
                <w:szCs w:val="20"/>
              </w:rPr>
              <w:t> </w:t>
            </w:r>
          </w:p>
        </w:tc>
        <w:tc>
          <w:tcPr>
            <w:tcW w:w="6305" w:type="dxa"/>
            <w:gridSpan w:val="5"/>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99" w:right="0"/>
              <w:jc w:val="center"/>
              <w:rPr>
                <w:rFonts w:ascii="宋体" w:hAnsi="宋体" w:cs="宋体" w:eastAsia="宋体" w:hint="default"/>
                <w:sz w:val="20"/>
                <w:szCs w:val="20"/>
              </w:rPr>
            </w:pPr>
            <w:r>
              <w:rPr>
                <w:rFonts w:ascii="宋体" w:hAnsi="宋体" w:cs="宋体" w:eastAsia="宋体" w:hint="default"/>
                <w:sz w:val="20"/>
                <w:szCs w:val="20"/>
              </w:rPr>
              <w:t>期初余额</w:t>
            </w:r>
            <w:r>
              <w:rPr>
                <w:rFonts w:ascii="宋体" w:hAnsi="宋体" w:cs="宋体" w:eastAsia="宋体" w:hint="default"/>
                <w:sz w:val="20"/>
                <w:szCs w:val="20"/>
              </w:rPr>
              <w:t> </w:t>
            </w:r>
          </w:p>
        </w:tc>
      </w:tr>
      <w:tr>
        <w:trPr>
          <w:trHeight w:val="269" w:hRule="exact"/>
        </w:trPr>
        <w:tc>
          <w:tcPr>
            <w:tcW w:w="2028" w:type="dxa"/>
            <w:vMerge/>
            <w:tcBorders>
              <w:left w:val="single" w:sz="4" w:space="0" w:color="000000"/>
              <w:right w:val="single" w:sz="4" w:space="0" w:color="000000"/>
            </w:tcBorders>
          </w:tcPr>
          <w:p>
            <w:pPr/>
          </w:p>
        </w:tc>
        <w:tc>
          <w:tcPr>
            <w:tcW w:w="22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712" w:right="0"/>
              <w:jc w:val="left"/>
              <w:rPr>
                <w:rFonts w:ascii="宋体" w:hAnsi="宋体" w:cs="宋体" w:eastAsia="宋体" w:hint="default"/>
                <w:sz w:val="20"/>
                <w:szCs w:val="20"/>
              </w:rPr>
            </w:pPr>
            <w:r>
              <w:rPr>
                <w:rFonts w:ascii="宋体" w:hAnsi="宋体" w:cs="宋体" w:eastAsia="宋体" w:hint="default"/>
                <w:sz w:val="20"/>
                <w:szCs w:val="20"/>
              </w:rPr>
              <w:t>账面余额</w:t>
            </w:r>
            <w:r>
              <w:rPr>
                <w:rFonts w:ascii="宋体" w:hAnsi="宋体" w:cs="宋体" w:eastAsia="宋体" w:hint="default"/>
                <w:sz w:val="20"/>
                <w:szCs w:val="20"/>
              </w:rPr>
              <w:t> </w:t>
            </w:r>
          </w:p>
        </w:tc>
        <w:tc>
          <w:tcPr>
            <w:tcW w:w="21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674" w:right="0"/>
              <w:jc w:val="left"/>
              <w:rPr>
                <w:rFonts w:ascii="宋体" w:hAnsi="宋体" w:cs="宋体" w:eastAsia="宋体" w:hint="default"/>
                <w:sz w:val="20"/>
                <w:szCs w:val="20"/>
              </w:rPr>
            </w:pPr>
            <w:r>
              <w:rPr>
                <w:rFonts w:ascii="宋体" w:hAnsi="宋体" w:cs="宋体" w:eastAsia="宋体" w:hint="default"/>
                <w:sz w:val="20"/>
                <w:szCs w:val="20"/>
              </w:rPr>
              <w:t>坏账准备</w:t>
            </w:r>
            <w:r>
              <w:rPr>
                <w:rFonts w:ascii="宋体" w:hAnsi="宋体" w:cs="宋体" w:eastAsia="宋体" w:hint="default"/>
                <w:sz w:val="20"/>
                <w:szCs w:val="20"/>
              </w:rPr>
              <w:t> </w:t>
            </w:r>
          </w:p>
        </w:tc>
        <w:tc>
          <w:tcPr>
            <w:tcW w:w="1462" w:type="dxa"/>
            <w:vMerge w:val="restart"/>
            <w:tcBorders>
              <w:top w:val="single" w:sz="4" w:space="0" w:color="000000"/>
              <w:left w:val="single" w:sz="4" w:space="0" w:color="000000"/>
              <w:right w:val="single" w:sz="4" w:space="0" w:color="000000"/>
            </w:tcBorders>
          </w:tcPr>
          <w:p>
            <w:pPr>
              <w:pStyle w:val="TableParagraph"/>
              <w:spacing w:line="260" w:lineRule="exact" w:before="130"/>
              <w:ind w:left="525" w:right="424"/>
              <w:jc w:val="left"/>
              <w:rPr>
                <w:rFonts w:ascii="宋体" w:hAnsi="宋体" w:cs="宋体" w:eastAsia="宋体" w:hint="default"/>
                <w:sz w:val="20"/>
                <w:szCs w:val="20"/>
              </w:rPr>
            </w:pPr>
            <w:r>
              <w:rPr>
                <w:rFonts w:ascii="宋体" w:hAnsi="宋体" w:cs="宋体" w:eastAsia="宋体" w:hint="default"/>
                <w:sz w:val="20"/>
                <w:szCs w:val="20"/>
              </w:rPr>
              <w:t>账面</w:t>
            </w:r>
            <w:r>
              <w:rPr>
                <w:rFonts w:ascii="宋体" w:hAnsi="宋体" w:cs="宋体" w:eastAsia="宋体" w:hint="default"/>
                <w:w w:val="99"/>
                <w:sz w:val="20"/>
                <w:szCs w:val="20"/>
              </w:rPr>
              <w:t> </w:t>
            </w:r>
            <w:r>
              <w:rPr>
                <w:rFonts w:ascii="宋体" w:hAnsi="宋体" w:cs="宋体" w:eastAsia="宋体" w:hint="default"/>
                <w:sz w:val="20"/>
                <w:szCs w:val="20"/>
              </w:rPr>
              <w:t>价值</w:t>
            </w:r>
            <w:r>
              <w:rPr>
                <w:rFonts w:ascii="宋体" w:hAnsi="宋体" w:cs="宋体" w:eastAsia="宋体" w:hint="default"/>
                <w:sz w:val="20"/>
                <w:szCs w:val="20"/>
              </w:rPr>
              <w:t> </w:t>
            </w:r>
          </w:p>
        </w:tc>
        <w:tc>
          <w:tcPr>
            <w:tcW w:w="24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825" w:right="0"/>
              <w:jc w:val="left"/>
              <w:rPr>
                <w:rFonts w:ascii="宋体" w:hAnsi="宋体" w:cs="宋体" w:eastAsia="宋体" w:hint="default"/>
                <w:sz w:val="20"/>
                <w:szCs w:val="20"/>
              </w:rPr>
            </w:pPr>
            <w:r>
              <w:rPr>
                <w:rFonts w:ascii="宋体" w:hAnsi="宋体" w:cs="宋体" w:eastAsia="宋体" w:hint="default"/>
                <w:sz w:val="20"/>
                <w:szCs w:val="20"/>
              </w:rPr>
              <w:t>账面余额</w:t>
            </w:r>
            <w:r>
              <w:rPr>
                <w:rFonts w:ascii="宋体" w:hAnsi="宋体" w:cs="宋体" w:eastAsia="宋体" w:hint="default"/>
                <w:sz w:val="20"/>
                <w:szCs w:val="20"/>
              </w:rPr>
              <w:t> </w:t>
            </w:r>
          </w:p>
        </w:tc>
        <w:tc>
          <w:tcPr>
            <w:tcW w:w="21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687" w:right="0"/>
              <w:jc w:val="left"/>
              <w:rPr>
                <w:rFonts w:ascii="宋体" w:hAnsi="宋体" w:cs="宋体" w:eastAsia="宋体" w:hint="default"/>
                <w:sz w:val="20"/>
                <w:szCs w:val="20"/>
              </w:rPr>
            </w:pPr>
            <w:r>
              <w:rPr>
                <w:rFonts w:ascii="宋体" w:hAnsi="宋体" w:cs="宋体" w:eastAsia="宋体" w:hint="default"/>
                <w:sz w:val="20"/>
                <w:szCs w:val="20"/>
              </w:rPr>
              <w:t>坏账准备</w:t>
            </w:r>
            <w:r>
              <w:rPr>
                <w:rFonts w:ascii="宋体" w:hAnsi="宋体" w:cs="宋体" w:eastAsia="宋体" w:hint="default"/>
                <w:sz w:val="20"/>
                <w:szCs w:val="20"/>
              </w:rPr>
              <w:t> </w:t>
            </w:r>
          </w:p>
        </w:tc>
        <w:tc>
          <w:tcPr>
            <w:tcW w:w="1663" w:type="dxa"/>
            <w:vMerge w:val="restart"/>
            <w:tcBorders>
              <w:top w:val="single" w:sz="4" w:space="0" w:color="000000"/>
              <w:left w:val="single" w:sz="4" w:space="0" w:color="000000"/>
              <w:right w:val="single" w:sz="4" w:space="0" w:color="000000"/>
            </w:tcBorders>
          </w:tcPr>
          <w:p>
            <w:pPr>
              <w:pStyle w:val="TableParagraph"/>
              <w:spacing w:line="260" w:lineRule="exact" w:before="130"/>
              <w:ind w:left="626" w:right="524"/>
              <w:jc w:val="left"/>
              <w:rPr>
                <w:rFonts w:ascii="宋体" w:hAnsi="宋体" w:cs="宋体" w:eastAsia="宋体" w:hint="default"/>
                <w:sz w:val="20"/>
                <w:szCs w:val="20"/>
              </w:rPr>
            </w:pPr>
            <w:r>
              <w:rPr>
                <w:rFonts w:ascii="宋体" w:hAnsi="宋体" w:cs="宋体" w:eastAsia="宋体" w:hint="default"/>
                <w:sz w:val="20"/>
                <w:szCs w:val="20"/>
              </w:rPr>
              <w:t>账面</w:t>
            </w:r>
            <w:r>
              <w:rPr>
                <w:rFonts w:ascii="宋体" w:hAnsi="宋体" w:cs="宋体" w:eastAsia="宋体" w:hint="default"/>
                <w:w w:val="99"/>
                <w:sz w:val="20"/>
                <w:szCs w:val="20"/>
              </w:rPr>
              <w:t> </w:t>
            </w:r>
            <w:r>
              <w:rPr>
                <w:rFonts w:ascii="宋体" w:hAnsi="宋体" w:cs="宋体" w:eastAsia="宋体" w:hint="default"/>
                <w:sz w:val="20"/>
                <w:szCs w:val="20"/>
              </w:rPr>
              <w:t>价值</w:t>
            </w:r>
            <w:r>
              <w:rPr>
                <w:rFonts w:ascii="宋体" w:hAnsi="宋体" w:cs="宋体" w:eastAsia="宋体" w:hint="default"/>
                <w:sz w:val="20"/>
                <w:szCs w:val="20"/>
              </w:rPr>
              <w:t> </w:t>
            </w:r>
          </w:p>
        </w:tc>
      </w:tr>
      <w:tr>
        <w:trPr>
          <w:trHeight w:val="530" w:hRule="exact"/>
        </w:trPr>
        <w:tc>
          <w:tcPr>
            <w:tcW w:w="2028" w:type="dxa"/>
            <w:vMerge/>
            <w:tcBorders>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525" w:right="0"/>
              <w:jc w:val="left"/>
              <w:rPr>
                <w:rFonts w:ascii="宋体" w:hAnsi="宋体" w:cs="宋体" w:eastAsia="宋体" w:hint="default"/>
                <w:sz w:val="20"/>
                <w:szCs w:val="20"/>
              </w:rPr>
            </w:pPr>
            <w:r>
              <w:rPr>
                <w:rFonts w:ascii="宋体" w:hAnsi="宋体" w:cs="宋体" w:eastAsia="宋体" w:hint="default"/>
                <w:sz w:val="20"/>
                <w:szCs w:val="20"/>
              </w:rPr>
              <w:t>金额</w:t>
            </w:r>
            <w:r>
              <w:rPr>
                <w:rFonts w:ascii="宋体" w:hAnsi="宋体" w:cs="宋体" w:eastAsia="宋体" w:hint="default"/>
                <w:sz w:val="20"/>
                <w:szCs w:val="20"/>
              </w:rPr>
              <w:t> </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7"/>
              <w:jc w:val="right"/>
              <w:rPr>
                <w:rFonts w:ascii="宋体" w:hAnsi="宋体" w:cs="宋体" w:eastAsia="宋体" w:hint="default"/>
                <w:sz w:val="20"/>
                <w:szCs w:val="20"/>
              </w:rPr>
            </w:pPr>
            <w:r>
              <w:rPr>
                <w:rFonts w:ascii="宋体" w:hAnsi="宋体" w:cs="宋体" w:eastAsia="宋体" w:hint="default"/>
                <w:sz w:val="20"/>
                <w:szCs w:val="20"/>
              </w:rPr>
              <w:t>比例</w:t>
            </w:r>
            <w:r>
              <w:rPr>
                <w:rFonts w:ascii="宋体" w:hAnsi="宋体" w:cs="宋体" w:eastAsia="宋体" w:hint="default"/>
                <w:sz w:val="20"/>
                <w:szCs w:val="20"/>
              </w:rPr>
              <w:t>(%)</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99" w:right="0"/>
              <w:jc w:val="center"/>
              <w:rPr>
                <w:rFonts w:ascii="宋体" w:hAnsi="宋体" w:cs="宋体" w:eastAsia="宋体" w:hint="default"/>
                <w:sz w:val="20"/>
                <w:szCs w:val="20"/>
              </w:rPr>
            </w:pPr>
            <w:r>
              <w:rPr>
                <w:rFonts w:ascii="宋体" w:hAnsi="宋体" w:cs="宋体" w:eastAsia="宋体" w:hint="default"/>
                <w:sz w:val="20"/>
                <w:szCs w:val="20"/>
              </w:rPr>
              <w:t>金额</w:t>
            </w:r>
            <w:r>
              <w:rPr>
                <w:rFonts w:ascii="宋体" w:hAnsi="宋体" w:cs="宋体" w:eastAsia="宋体" w:hint="default"/>
                <w:sz w:val="20"/>
                <w:szCs w:val="20"/>
              </w:rPr>
              <w:t> </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46" w:right="0" w:hanging="51"/>
              <w:jc w:val="left"/>
              <w:rPr>
                <w:rFonts w:ascii="宋体" w:hAnsi="宋体" w:cs="宋体" w:eastAsia="宋体" w:hint="default"/>
                <w:sz w:val="20"/>
                <w:szCs w:val="20"/>
              </w:rPr>
            </w:pPr>
            <w:r>
              <w:rPr>
                <w:rFonts w:ascii="宋体" w:hAnsi="宋体" w:cs="宋体" w:eastAsia="宋体" w:hint="default"/>
                <w:sz w:val="20"/>
                <w:szCs w:val="20"/>
              </w:rPr>
              <w:t>计提比</w:t>
            </w:r>
          </w:p>
          <w:p>
            <w:pPr>
              <w:pStyle w:val="TableParagraph"/>
              <w:spacing w:line="260" w:lineRule="exact"/>
              <w:ind w:left="146" w:right="0"/>
              <w:jc w:val="left"/>
              <w:rPr>
                <w:rFonts w:ascii="宋体" w:hAnsi="宋体" w:cs="宋体" w:eastAsia="宋体" w:hint="default"/>
                <w:sz w:val="20"/>
                <w:szCs w:val="20"/>
              </w:rPr>
            </w:pPr>
            <w:r>
              <w:rPr>
                <w:rFonts w:ascii="宋体" w:hAnsi="宋体" w:cs="宋体" w:eastAsia="宋体" w:hint="default"/>
                <w:sz w:val="20"/>
                <w:szCs w:val="20"/>
              </w:rPr>
              <w:t>例</w:t>
            </w:r>
            <w:r>
              <w:rPr>
                <w:rFonts w:ascii="宋体" w:hAnsi="宋体" w:cs="宋体" w:eastAsia="宋体" w:hint="default"/>
                <w:sz w:val="20"/>
                <w:szCs w:val="20"/>
              </w:rPr>
              <w:t>(%) </w:t>
            </w:r>
          </w:p>
        </w:tc>
        <w:tc>
          <w:tcPr>
            <w:tcW w:w="1462" w:type="dxa"/>
            <w:vMerge/>
            <w:tcBorders>
              <w:left w:val="single" w:sz="4" w:space="0" w:color="000000"/>
              <w:bottom w:val="single" w:sz="4" w:space="0" w:color="000000"/>
              <w:right w:val="single" w:sz="4" w:space="0" w:color="000000"/>
            </w:tcBorders>
          </w:tcPr>
          <w:p>
            <w:pP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626" w:right="0"/>
              <w:jc w:val="left"/>
              <w:rPr>
                <w:rFonts w:ascii="宋体" w:hAnsi="宋体" w:cs="宋体" w:eastAsia="宋体" w:hint="default"/>
                <w:sz w:val="20"/>
                <w:szCs w:val="20"/>
              </w:rPr>
            </w:pPr>
            <w:r>
              <w:rPr>
                <w:rFonts w:ascii="宋体" w:hAnsi="宋体" w:cs="宋体" w:eastAsia="宋体" w:hint="default"/>
                <w:sz w:val="20"/>
                <w:szCs w:val="20"/>
              </w:rPr>
              <w:t>金额</w:t>
            </w:r>
            <w:r>
              <w:rPr>
                <w:rFonts w:ascii="宋体" w:hAnsi="宋体" w:cs="宋体" w:eastAsia="宋体" w:hint="default"/>
                <w:sz w:val="20"/>
                <w:szCs w:val="20"/>
              </w:rPr>
              <w:t> </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41"/>
              <w:jc w:val="right"/>
              <w:rPr>
                <w:rFonts w:ascii="宋体" w:hAnsi="宋体" w:cs="宋体" w:eastAsia="宋体" w:hint="default"/>
                <w:sz w:val="20"/>
                <w:szCs w:val="20"/>
              </w:rPr>
            </w:pPr>
            <w:r>
              <w:rPr>
                <w:rFonts w:ascii="宋体" w:hAnsi="宋体" w:cs="宋体" w:eastAsia="宋体" w:hint="default"/>
                <w:sz w:val="20"/>
                <w:szCs w:val="20"/>
              </w:rPr>
              <w:t>比例</w:t>
            </w:r>
            <w:r>
              <w:rPr>
                <w:rFonts w:ascii="宋体" w:hAnsi="宋体" w:cs="宋体" w:eastAsia="宋体" w:hint="default"/>
                <w:sz w:val="20"/>
                <w:szCs w:val="20"/>
              </w:rPr>
              <w:t>(%)</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99" w:right="0"/>
              <w:jc w:val="center"/>
              <w:rPr>
                <w:rFonts w:ascii="宋体" w:hAnsi="宋体" w:cs="宋体" w:eastAsia="宋体" w:hint="default"/>
                <w:sz w:val="20"/>
                <w:szCs w:val="20"/>
              </w:rPr>
            </w:pPr>
            <w:r>
              <w:rPr>
                <w:rFonts w:ascii="宋体" w:hAnsi="宋体" w:cs="宋体" w:eastAsia="宋体" w:hint="default"/>
                <w:sz w:val="20"/>
                <w:szCs w:val="20"/>
              </w:rPr>
              <w:t>金额</w:t>
            </w:r>
            <w:r>
              <w:rPr>
                <w:rFonts w:ascii="宋体" w:hAnsi="宋体" w:cs="宋体" w:eastAsia="宋体" w:hint="default"/>
                <w:sz w:val="20"/>
                <w:szCs w:val="20"/>
              </w:rPr>
              <w:t> </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58" w:right="0" w:hanging="51"/>
              <w:jc w:val="left"/>
              <w:rPr>
                <w:rFonts w:ascii="宋体" w:hAnsi="宋体" w:cs="宋体" w:eastAsia="宋体" w:hint="default"/>
                <w:sz w:val="20"/>
                <w:szCs w:val="20"/>
              </w:rPr>
            </w:pPr>
            <w:r>
              <w:rPr>
                <w:rFonts w:ascii="宋体" w:hAnsi="宋体" w:cs="宋体" w:eastAsia="宋体" w:hint="default"/>
                <w:sz w:val="20"/>
                <w:szCs w:val="20"/>
              </w:rPr>
              <w:t>计提比</w:t>
            </w:r>
          </w:p>
          <w:p>
            <w:pPr>
              <w:pStyle w:val="TableParagraph"/>
              <w:spacing w:line="260" w:lineRule="exact"/>
              <w:ind w:left="158" w:right="0"/>
              <w:jc w:val="left"/>
              <w:rPr>
                <w:rFonts w:ascii="宋体" w:hAnsi="宋体" w:cs="宋体" w:eastAsia="宋体" w:hint="default"/>
                <w:sz w:val="20"/>
                <w:szCs w:val="20"/>
              </w:rPr>
            </w:pPr>
            <w:r>
              <w:rPr>
                <w:rFonts w:ascii="宋体" w:hAnsi="宋体" w:cs="宋体" w:eastAsia="宋体" w:hint="default"/>
                <w:sz w:val="20"/>
                <w:szCs w:val="20"/>
              </w:rPr>
              <w:t>例</w:t>
            </w:r>
            <w:r>
              <w:rPr>
                <w:rFonts w:ascii="宋体" w:hAnsi="宋体" w:cs="宋体" w:eastAsia="宋体" w:hint="default"/>
                <w:sz w:val="20"/>
                <w:szCs w:val="20"/>
              </w:rPr>
              <w:t>(%) </w:t>
            </w:r>
          </w:p>
        </w:tc>
        <w:tc>
          <w:tcPr>
            <w:tcW w:w="1663" w:type="dxa"/>
            <w:vMerge/>
            <w:tcBorders>
              <w:left w:val="single" w:sz="4" w:space="0" w:color="000000"/>
              <w:bottom w:val="single" w:sz="4" w:space="0" w:color="000000"/>
              <w:right w:val="single" w:sz="4" w:space="0" w:color="000000"/>
            </w:tcBorders>
          </w:tcPr>
          <w:p>
            <w:pPr/>
          </w:p>
        </w:tc>
      </w:tr>
      <w:tr>
        <w:trPr>
          <w:trHeight w:val="269"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6" w:right="0"/>
              <w:jc w:val="left"/>
              <w:rPr>
                <w:rFonts w:ascii="宋体" w:hAnsi="宋体" w:cs="宋体" w:eastAsia="宋体" w:hint="default"/>
                <w:sz w:val="20"/>
                <w:szCs w:val="20"/>
              </w:rPr>
            </w:pPr>
            <w:r>
              <w:rPr>
                <w:rFonts w:ascii="宋体" w:hAnsi="宋体" w:cs="宋体" w:eastAsia="宋体" w:hint="default"/>
                <w:sz w:val="20"/>
                <w:szCs w:val="20"/>
              </w:rPr>
              <w:t>按单项计提坏账准备</w:t>
            </w:r>
            <w:r>
              <w:rPr>
                <w:rFonts w:ascii="宋体" w:hAnsi="宋体" w:cs="宋体" w:eastAsia="宋体" w:hint="default"/>
                <w:sz w:val="20"/>
                <w:szCs w:val="20"/>
              </w:rPr>
              <w:t> </w:t>
            </w:r>
          </w:p>
        </w:tc>
        <w:tc>
          <w:tcPr>
            <w:tcW w:w="1462" w:type="dxa"/>
            <w:tcBorders>
              <w:top w:val="single" w:sz="4" w:space="0" w:color="000000"/>
              <w:left w:val="single" w:sz="4" w:space="0" w:color="000000"/>
              <w:bottom w:val="single" w:sz="4" w:space="0" w:color="000000"/>
              <w:right w:val="single" w:sz="4" w:space="0" w:color="000000"/>
            </w:tcBorders>
          </w:tcPr>
          <w:p>
            <w:pPr/>
          </w:p>
        </w:tc>
        <w:tc>
          <w:tcPr>
            <w:tcW w:w="773"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
        </w:tc>
        <w:tc>
          <w:tcPr>
            <w:tcW w:w="1663"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1663" w:type="dxa"/>
            <w:tcBorders>
              <w:top w:val="single" w:sz="4" w:space="0" w:color="000000"/>
              <w:left w:val="single" w:sz="4" w:space="0" w:color="000000"/>
              <w:bottom w:val="single" w:sz="4" w:space="0" w:color="000000"/>
              <w:right w:val="single" w:sz="4" w:space="0" w:color="000000"/>
            </w:tcBorders>
          </w:tcPr>
          <w:p>
            <w:pPr/>
          </w:p>
        </w:tc>
      </w:tr>
      <w:tr>
        <w:trPr>
          <w:trHeight w:val="269" w:hRule="exact"/>
        </w:trPr>
        <w:tc>
          <w:tcPr>
            <w:tcW w:w="14191" w:type="dxa"/>
            <w:gridSpan w:val="11"/>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6" w:right="0"/>
              <w:jc w:val="left"/>
              <w:rPr>
                <w:rFonts w:ascii="宋体" w:hAnsi="宋体" w:cs="宋体" w:eastAsia="宋体" w:hint="default"/>
                <w:sz w:val="20"/>
                <w:szCs w:val="20"/>
              </w:rPr>
            </w:pPr>
            <w:r>
              <w:rPr>
                <w:rFonts w:ascii="宋体" w:hAnsi="宋体" w:cs="宋体" w:eastAsia="宋体" w:hint="default"/>
                <w:sz w:val="20"/>
                <w:szCs w:val="20"/>
              </w:rPr>
              <w:t>其中：</w:t>
            </w:r>
            <w:r>
              <w:rPr>
                <w:rFonts w:ascii="宋体" w:hAnsi="宋体" w:cs="宋体" w:eastAsia="宋体" w:hint="default"/>
                <w:sz w:val="20"/>
                <w:szCs w:val="20"/>
              </w:rPr>
              <w:t> </w:t>
            </w:r>
          </w:p>
        </w:tc>
      </w:tr>
      <w:tr>
        <w:trPr>
          <w:trHeight w:val="271"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6" w:right="0"/>
              <w:jc w:val="left"/>
              <w:rPr>
                <w:rFonts w:ascii="宋体" w:hAnsi="宋体" w:cs="宋体" w:eastAsia="宋体" w:hint="default"/>
                <w:sz w:val="20"/>
                <w:szCs w:val="20"/>
              </w:rPr>
            </w:pPr>
            <w:r>
              <w:rPr>
                <w:rFonts w:ascii="宋体" w:hAnsi="宋体" w:cs="宋体" w:eastAsia="宋体" w:hint="default"/>
                <w:sz w:val="20"/>
                <w:szCs w:val="20"/>
              </w:rPr>
              <w:t>按组合计提坏账准备</w:t>
            </w:r>
            <w:r>
              <w:rPr>
                <w:rFonts w:ascii="宋体" w:hAnsi="宋体" w:cs="宋体" w:eastAsia="宋体" w:hint="default"/>
                <w:sz w:val="20"/>
                <w:szCs w:val="20"/>
              </w:rPr>
              <w:t> </w:t>
            </w:r>
          </w:p>
        </w:tc>
        <w:tc>
          <w:tcPr>
            <w:tcW w:w="1462" w:type="dxa"/>
            <w:tcBorders>
              <w:top w:val="single" w:sz="4" w:space="0" w:color="000000"/>
              <w:left w:val="single" w:sz="4" w:space="0" w:color="000000"/>
              <w:bottom w:val="single" w:sz="4" w:space="0" w:color="000000"/>
              <w:right w:val="single" w:sz="4" w:space="0" w:color="000000"/>
            </w:tcBorders>
          </w:tcPr>
          <w:p>
            <w:pPr/>
          </w:p>
        </w:tc>
        <w:tc>
          <w:tcPr>
            <w:tcW w:w="773"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
        </w:tc>
        <w:tc>
          <w:tcPr>
            <w:tcW w:w="1663"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1663" w:type="dxa"/>
            <w:tcBorders>
              <w:top w:val="single" w:sz="4" w:space="0" w:color="000000"/>
              <w:left w:val="single" w:sz="4" w:space="0" w:color="000000"/>
              <w:bottom w:val="single" w:sz="4" w:space="0" w:color="000000"/>
              <w:right w:val="single" w:sz="4" w:space="0" w:color="000000"/>
            </w:tcBorders>
          </w:tcPr>
          <w:p>
            <w:pPr/>
          </w:p>
        </w:tc>
      </w:tr>
      <w:tr>
        <w:trPr>
          <w:trHeight w:val="269" w:hRule="exact"/>
        </w:trPr>
        <w:tc>
          <w:tcPr>
            <w:tcW w:w="14191" w:type="dxa"/>
            <w:gridSpan w:val="11"/>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6" w:right="0"/>
              <w:jc w:val="left"/>
              <w:rPr>
                <w:rFonts w:ascii="宋体" w:hAnsi="宋体" w:cs="宋体" w:eastAsia="宋体" w:hint="default"/>
                <w:sz w:val="20"/>
                <w:szCs w:val="20"/>
              </w:rPr>
            </w:pPr>
            <w:r>
              <w:rPr>
                <w:rFonts w:ascii="宋体" w:hAnsi="宋体" w:cs="宋体" w:eastAsia="宋体" w:hint="default"/>
                <w:sz w:val="20"/>
                <w:szCs w:val="20"/>
              </w:rPr>
              <w:t>其中：</w:t>
            </w:r>
            <w:r>
              <w:rPr>
                <w:rFonts w:ascii="宋体" w:hAnsi="宋体" w:cs="宋体" w:eastAsia="宋体" w:hint="default"/>
                <w:sz w:val="20"/>
                <w:szCs w:val="20"/>
              </w:rPr>
              <w:t> </w:t>
            </w:r>
          </w:p>
        </w:tc>
      </w:tr>
      <w:tr>
        <w:trPr>
          <w:trHeight w:val="269"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6" w:right="0"/>
              <w:jc w:val="left"/>
              <w:rPr>
                <w:rFonts w:ascii="宋体" w:hAnsi="宋体" w:cs="宋体" w:eastAsia="宋体" w:hint="default"/>
                <w:sz w:val="20"/>
                <w:szCs w:val="20"/>
              </w:rPr>
            </w:pPr>
            <w:r>
              <w:rPr>
                <w:rFonts w:ascii="宋体" w:hAnsi="宋体" w:cs="宋体" w:eastAsia="宋体" w:hint="default"/>
                <w:sz w:val="20"/>
                <w:szCs w:val="20"/>
              </w:rPr>
              <w:t>账龄组合</w:t>
            </w:r>
            <w:r>
              <w:rPr>
                <w:rFonts w:ascii="宋体" w:hAnsi="宋体" w:cs="宋体" w:eastAsia="宋体" w:hint="default"/>
                <w:sz w:val="20"/>
                <w:szCs w:val="20"/>
              </w:rPr>
              <w:t> </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6" w:right="0"/>
              <w:jc w:val="left"/>
              <w:rPr>
                <w:rFonts w:ascii="宋体" w:hAnsi="宋体" w:cs="宋体" w:eastAsia="宋体" w:hint="default"/>
                <w:sz w:val="20"/>
                <w:szCs w:val="20"/>
              </w:rPr>
            </w:pPr>
            <w:r>
              <w:rPr>
                <w:rFonts w:ascii="宋体"/>
                <w:sz w:val="20"/>
              </w:rPr>
              <w:t>682,135,088.55</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22"/>
              <w:jc w:val="right"/>
              <w:rPr>
                <w:rFonts w:ascii="宋体" w:hAnsi="宋体" w:cs="宋体" w:eastAsia="宋体" w:hint="default"/>
                <w:sz w:val="20"/>
                <w:szCs w:val="20"/>
              </w:rPr>
            </w:pPr>
            <w:r>
              <w:rPr>
                <w:rFonts w:ascii="宋体"/>
                <w:w w:val="95"/>
                <w:sz w:val="20"/>
              </w:rPr>
              <w:t>77.86</w:t>
            </w:r>
            <w:r>
              <w:rPr>
                <w:rFonts w:ascii="宋体"/>
                <w:sz w:val="20"/>
              </w:rPr>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 w:right="0"/>
              <w:jc w:val="center"/>
              <w:rPr>
                <w:rFonts w:ascii="宋体" w:hAnsi="宋体" w:cs="宋体" w:eastAsia="宋体" w:hint="default"/>
                <w:sz w:val="20"/>
                <w:szCs w:val="20"/>
              </w:rPr>
            </w:pPr>
            <w:r>
              <w:rPr>
                <w:rFonts w:ascii="宋体"/>
                <w:sz w:val="20"/>
              </w:rPr>
              <w:t>57,303,809.06</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362" w:right="0"/>
              <w:jc w:val="left"/>
              <w:rPr>
                <w:rFonts w:ascii="宋体" w:hAnsi="宋体" w:cs="宋体" w:eastAsia="宋体" w:hint="default"/>
                <w:sz w:val="20"/>
                <w:szCs w:val="20"/>
              </w:rPr>
            </w:pPr>
            <w:r>
              <w:rPr>
                <w:rFonts w:ascii="宋体"/>
                <w:sz w:val="20"/>
              </w:rPr>
              <w:t>8.40</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
              <w:jc w:val="center"/>
              <w:rPr>
                <w:rFonts w:ascii="宋体" w:hAnsi="宋体" w:cs="宋体" w:eastAsia="宋体" w:hint="default"/>
                <w:sz w:val="20"/>
                <w:szCs w:val="20"/>
              </w:rPr>
            </w:pPr>
            <w:r>
              <w:rPr>
                <w:rFonts w:ascii="宋体"/>
                <w:sz w:val="20"/>
              </w:rPr>
              <w:t>624,831,279.49</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6" w:right="0"/>
              <w:jc w:val="left"/>
              <w:rPr>
                <w:rFonts w:ascii="宋体" w:hAnsi="宋体" w:cs="宋体" w:eastAsia="宋体" w:hint="default"/>
                <w:sz w:val="20"/>
                <w:szCs w:val="20"/>
              </w:rPr>
            </w:pPr>
            <w:r>
              <w:rPr>
                <w:rFonts w:ascii="宋体"/>
                <w:sz w:val="20"/>
              </w:rPr>
              <w:t>1,123,931,871.82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24"/>
              <w:jc w:val="right"/>
              <w:rPr>
                <w:rFonts w:ascii="宋体" w:hAnsi="宋体" w:cs="宋体" w:eastAsia="宋体" w:hint="default"/>
                <w:sz w:val="20"/>
                <w:szCs w:val="20"/>
              </w:rPr>
            </w:pPr>
            <w:r>
              <w:rPr>
                <w:rFonts w:ascii="宋体"/>
                <w:w w:val="95"/>
                <w:sz w:val="20"/>
              </w:rPr>
              <w:t>100.00</w:t>
            </w:r>
            <w:r>
              <w:rPr>
                <w:rFonts w:ascii="宋体"/>
                <w:sz w:val="20"/>
              </w:rPr>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 w:right="0"/>
              <w:jc w:val="center"/>
              <w:rPr>
                <w:rFonts w:ascii="宋体" w:hAnsi="宋体" w:cs="宋体" w:eastAsia="宋体" w:hint="default"/>
                <w:sz w:val="20"/>
                <w:szCs w:val="20"/>
              </w:rPr>
            </w:pPr>
            <w:r>
              <w:rPr>
                <w:rFonts w:ascii="宋体"/>
                <w:sz w:val="20"/>
              </w:rPr>
              <w:t>95,343,185.75</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386" w:right="0"/>
              <w:jc w:val="left"/>
              <w:rPr>
                <w:rFonts w:ascii="宋体" w:hAnsi="宋体" w:cs="宋体" w:eastAsia="宋体" w:hint="default"/>
                <w:sz w:val="20"/>
                <w:szCs w:val="20"/>
              </w:rPr>
            </w:pPr>
            <w:r>
              <w:rPr>
                <w:rFonts w:ascii="宋体"/>
                <w:sz w:val="20"/>
              </w:rPr>
              <w:t>8.48</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6" w:right="0"/>
              <w:jc w:val="left"/>
              <w:rPr>
                <w:rFonts w:ascii="宋体" w:hAnsi="宋体" w:cs="宋体" w:eastAsia="宋体" w:hint="default"/>
                <w:sz w:val="20"/>
                <w:szCs w:val="20"/>
              </w:rPr>
            </w:pPr>
            <w:r>
              <w:rPr>
                <w:rFonts w:ascii="宋体"/>
                <w:sz w:val="20"/>
              </w:rPr>
              <w:t>1,028,588,686.07</w:t>
            </w:r>
          </w:p>
        </w:tc>
      </w:tr>
      <w:tr>
        <w:trPr>
          <w:trHeight w:val="269"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6" w:right="0"/>
              <w:jc w:val="left"/>
              <w:rPr>
                <w:rFonts w:ascii="宋体" w:hAnsi="宋体" w:cs="宋体" w:eastAsia="宋体" w:hint="default"/>
                <w:sz w:val="20"/>
                <w:szCs w:val="20"/>
              </w:rPr>
            </w:pPr>
            <w:r>
              <w:rPr>
                <w:rFonts w:ascii="宋体" w:hAnsi="宋体" w:cs="宋体" w:eastAsia="宋体" w:hint="default"/>
                <w:sz w:val="20"/>
                <w:szCs w:val="20"/>
              </w:rPr>
              <w:t>控制组合</w:t>
            </w:r>
            <w:r>
              <w:rPr>
                <w:rFonts w:ascii="宋体" w:hAnsi="宋体" w:cs="宋体" w:eastAsia="宋体" w:hint="default"/>
                <w:sz w:val="20"/>
                <w:szCs w:val="20"/>
              </w:rPr>
              <w:t> </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6" w:right="0"/>
              <w:jc w:val="left"/>
              <w:rPr>
                <w:rFonts w:ascii="宋体" w:hAnsi="宋体" w:cs="宋体" w:eastAsia="宋体" w:hint="default"/>
                <w:sz w:val="20"/>
                <w:szCs w:val="20"/>
              </w:rPr>
            </w:pPr>
            <w:r>
              <w:rPr>
                <w:rFonts w:ascii="宋体"/>
                <w:sz w:val="20"/>
              </w:rPr>
              <w:t>193,989,277.06</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22"/>
              <w:jc w:val="right"/>
              <w:rPr>
                <w:rFonts w:ascii="宋体" w:hAnsi="宋体" w:cs="宋体" w:eastAsia="宋体" w:hint="default"/>
                <w:sz w:val="20"/>
                <w:szCs w:val="20"/>
              </w:rPr>
            </w:pPr>
            <w:r>
              <w:rPr>
                <w:rFonts w:ascii="宋体"/>
                <w:w w:val="95"/>
                <w:sz w:val="20"/>
              </w:rPr>
              <w:t>22.14</w:t>
            </w:r>
            <w:r>
              <w:rPr>
                <w:rFonts w:ascii="宋体"/>
                <w:sz w:val="20"/>
              </w:rPr>
            </w:r>
          </w:p>
        </w:tc>
        <w:tc>
          <w:tcPr>
            <w:tcW w:w="1361"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
              <w:jc w:val="center"/>
              <w:rPr>
                <w:rFonts w:ascii="宋体" w:hAnsi="宋体" w:cs="宋体" w:eastAsia="宋体" w:hint="default"/>
                <w:sz w:val="20"/>
                <w:szCs w:val="20"/>
              </w:rPr>
            </w:pPr>
            <w:r>
              <w:rPr>
                <w:rFonts w:ascii="宋体"/>
                <w:sz w:val="20"/>
              </w:rPr>
              <w:t>193,989,277.06</w:t>
            </w:r>
          </w:p>
        </w:tc>
        <w:tc>
          <w:tcPr>
            <w:tcW w:w="1663"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1663" w:type="dxa"/>
            <w:tcBorders>
              <w:top w:val="single" w:sz="4" w:space="0" w:color="000000"/>
              <w:left w:val="single" w:sz="4" w:space="0" w:color="000000"/>
              <w:bottom w:val="single" w:sz="4" w:space="0" w:color="000000"/>
              <w:right w:val="single" w:sz="4" w:space="0" w:color="000000"/>
            </w:tcBorders>
          </w:tcPr>
          <w:p>
            <w:pPr/>
          </w:p>
        </w:tc>
      </w:tr>
      <w:tr>
        <w:trPr>
          <w:trHeight w:val="271"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0" w:right="0"/>
              <w:jc w:val="center"/>
              <w:rPr>
                <w:rFonts w:ascii="宋体" w:hAnsi="宋体" w:cs="宋体" w:eastAsia="宋体" w:hint="default"/>
                <w:sz w:val="20"/>
                <w:szCs w:val="20"/>
              </w:rPr>
            </w:pPr>
            <w:r>
              <w:rPr>
                <w:rFonts w:ascii="宋体" w:hAnsi="宋体" w:cs="宋体" w:eastAsia="宋体" w:hint="default"/>
                <w:sz w:val="20"/>
                <w:szCs w:val="20"/>
              </w:rPr>
              <w:t>合计</w:t>
            </w:r>
            <w:r>
              <w:rPr>
                <w:rFonts w:ascii="宋体" w:hAnsi="宋体" w:cs="宋体" w:eastAsia="宋体" w:hint="default"/>
                <w:sz w:val="20"/>
                <w:szCs w:val="20"/>
              </w:rPr>
              <w:t> </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6" w:right="0"/>
              <w:jc w:val="left"/>
              <w:rPr>
                <w:rFonts w:ascii="宋体" w:hAnsi="宋体" w:cs="宋体" w:eastAsia="宋体" w:hint="default"/>
                <w:sz w:val="20"/>
                <w:szCs w:val="20"/>
              </w:rPr>
            </w:pPr>
            <w:r>
              <w:rPr>
                <w:rFonts w:ascii="宋体"/>
                <w:sz w:val="20"/>
              </w:rPr>
              <w:t>876,124,365.61</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333" w:right="0"/>
              <w:jc w:val="left"/>
              <w:rPr>
                <w:rFonts w:ascii="宋体" w:hAnsi="宋体" w:cs="宋体" w:eastAsia="宋体" w:hint="default"/>
                <w:sz w:val="20"/>
                <w:szCs w:val="20"/>
              </w:rPr>
            </w:pPr>
            <w:r>
              <w:rPr>
                <w:rFonts w:ascii="宋体"/>
                <w:sz w:val="20"/>
              </w:rPr>
              <w:t>/ </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 w:right="0"/>
              <w:jc w:val="center"/>
              <w:rPr>
                <w:rFonts w:ascii="宋体" w:hAnsi="宋体" w:cs="宋体" w:eastAsia="宋体" w:hint="default"/>
                <w:sz w:val="20"/>
                <w:szCs w:val="20"/>
              </w:rPr>
            </w:pPr>
            <w:r>
              <w:rPr>
                <w:rFonts w:ascii="宋体"/>
                <w:sz w:val="20"/>
              </w:rPr>
              <w:t>57,303,809.06</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345" w:right="0"/>
              <w:jc w:val="left"/>
              <w:rPr>
                <w:rFonts w:ascii="宋体" w:hAnsi="宋体" w:cs="宋体" w:eastAsia="宋体" w:hint="default"/>
                <w:sz w:val="20"/>
                <w:szCs w:val="20"/>
              </w:rPr>
            </w:pPr>
            <w:r>
              <w:rPr>
                <w:rFonts w:ascii="宋体"/>
                <w:sz w:val="20"/>
              </w:rPr>
              <w:t>/ </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
              <w:jc w:val="center"/>
              <w:rPr>
                <w:rFonts w:ascii="宋体" w:hAnsi="宋体" w:cs="宋体" w:eastAsia="宋体" w:hint="default"/>
                <w:sz w:val="20"/>
                <w:szCs w:val="20"/>
              </w:rPr>
            </w:pPr>
            <w:r>
              <w:rPr>
                <w:rFonts w:ascii="宋体"/>
                <w:sz w:val="20"/>
              </w:rPr>
              <w:t>818,820,556.55</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6" w:right="0"/>
              <w:jc w:val="left"/>
              <w:rPr>
                <w:rFonts w:ascii="宋体" w:hAnsi="宋体" w:cs="宋体" w:eastAsia="宋体" w:hint="default"/>
                <w:sz w:val="20"/>
                <w:szCs w:val="20"/>
              </w:rPr>
            </w:pPr>
            <w:r>
              <w:rPr>
                <w:rFonts w:ascii="宋体"/>
                <w:sz w:val="20"/>
              </w:rPr>
              <w:t>1,123,931,871.82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343" w:right="0"/>
              <w:jc w:val="left"/>
              <w:rPr>
                <w:rFonts w:ascii="宋体" w:hAnsi="宋体" w:cs="宋体" w:eastAsia="宋体" w:hint="default"/>
                <w:sz w:val="20"/>
                <w:szCs w:val="20"/>
              </w:rPr>
            </w:pPr>
            <w:r>
              <w:rPr>
                <w:rFonts w:ascii="宋体"/>
                <w:sz w:val="20"/>
              </w:rPr>
              <w:t>/ </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 w:right="0"/>
              <w:jc w:val="center"/>
              <w:rPr>
                <w:rFonts w:ascii="宋体" w:hAnsi="宋体" w:cs="宋体" w:eastAsia="宋体" w:hint="default"/>
                <w:sz w:val="20"/>
                <w:szCs w:val="20"/>
              </w:rPr>
            </w:pPr>
            <w:r>
              <w:rPr>
                <w:rFonts w:ascii="宋体"/>
                <w:sz w:val="20"/>
              </w:rPr>
              <w:t>95,343,185.75</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357" w:right="0"/>
              <w:jc w:val="left"/>
              <w:rPr>
                <w:rFonts w:ascii="宋体" w:hAnsi="宋体" w:cs="宋体" w:eastAsia="宋体" w:hint="default"/>
                <w:sz w:val="20"/>
                <w:szCs w:val="20"/>
              </w:rPr>
            </w:pPr>
            <w:r>
              <w:rPr>
                <w:rFonts w:ascii="宋体"/>
                <w:sz w:val="20"/>
              </w:rPr>
              <w:t>/ </w:t>
            </w:r>
          </w:p>
        </w:tc>
        <w:tc>
          <w:tcPr>
            <w:tcW w:w="1663"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6" w:right="0"/>
              <w:jc w:val="left"/>
              <w:rPr>
                <w:rFonts w:ascii="宋体" w:hAnsi="宋体" w:cs="宋体" w:eastAsia="宋体" w:hint="default"/>
                <w:sz w:val="20"/>
                <w:szCs w:val="20"/>
              </w:rPr>
            </w:pPr>
            <w:r>
              <w:rPr>
                <w:rFonts w:ascii="宋体"/>
                <w:sz w:val="20"/>
              </w:rPr>
              <w:t>1,028,588,686.07</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4"/>
          <w:szCs w:val="14"/>
        </w:rPr>
      </w:pPr>
    </w:p>
    <w:p>
      <w:pPr>
        <w:spacing w:before="0"/>
        <w:ind w:left="6973" w:right="6732" w:firstLine="0"/>
        <w:jc w:val="center"/>
        <w:rPr>
          <w:rFonts w:ascii="Calibri" w:hAnsi="Calibri" w:cs="Calibri" w:eastAsia="Calibri" w:hint="default"/>
          <w:sz w:val="18"/>
          <w:szCs w:val="18"/>
        </w:rPr>
      </w:pPr>
      <w:r>
        <w:rPr>
          <w:rFonts w:ascii="Calibri"/>
          <w:b/>
          <w:sz w:val="18"/>
        </w:rPr>
        <w:t>205 </w:t>
      </w:r>
      <w:r>
        <w:rPr>
          <w:rFonts w:ascii="Calibri"/>
          <w:sz w:val="18"/>
        </w:rPr>
        <w:t>/</w:t>
      </w:r>
      <w:r>
        <w:rPr>
          <w:rFonts w:ascii="Calibri"/>
          <w:spacing w:val="-5"/>
          <w:sz w:val="18"/>
        </w:rPr>
        <w:t> </w:t>
      </w:r>
      <w:r>
        <w:rPr>
          <w:rFonts w:ascii="Calibri"/>
          <w:b/>
          <w:sz w:val="18"/>
        </w:rPr>
        <w:t>216</w:t>
      </w:r>
      <w:r>
        <w:rPr>
          <w:rFonts w:ascii="Calibri"/>
          <w:sz w:val="18"/>
        </w:rPr>
      </w:r>
    </w:p>
    <w:p>
      <w:pPr>
        <w:spacing w:after="0"/>
        <w:jc w:val="center"/>
        <w:rPr>
          <w:rFonts w:ascii="Calibri" w:hAnsi="Calibri" w:cs="Calibri" w:eastAsia="Calibri" w:hint="default"/>
          <w:sz w:val="18"/>
          <w:szCs w:val="18"/>
        </w:rPr>
        <w:sectPr>
          <w:type w:val="continuous"/>
          <w:pgSz w:w="16840" w:h="11910" w:orient="landscape"/>
          <w:pgMar w:top="1580" w:bottom="280" w:left="1120" w:right="1280"/>
        </w:sectPr>
      </w:pPr>
    </w:p>
    <w:p>
      <w:pPr>
        <w:spacing w:line="240" w:lineRule="auto" w:before="0"/>
        <w:rPr>
          <w:rFonts w:ascii="Calibri" w:hAnsi="Calibri" w:cs="Calibri" w:eastAsia="Calibri" w:hint="default"/>
          <w:b/>
          <w:bCs/>
          <w:sz w:val="20"/>
          <w:szCs w:val="20"/>
        </w:rPr>
      </w:pPr>
    </w:p>
    <w:p>
      <w:pPr>
        <w:spacing w:after="0" w:line="240" w:lineRule="auto"/>
        <w:rPr>
          <w:rFonts w:ascii="Calibri" w:hAnsi="Calibri" w:cs="Calibri" w:eastAsia="Calibri" w:hint="default"/>
          <w:sz w:val="20"/>
          <w:szCs w:val="20"/>
        </w:rPr>
        <w:sectPr>
          <w:headerReference w:type="default" r:id="rId257"/>
          <w:footerReference w:type="default" r:id="rId258"/>
          <w:pgSz w:w="11910" w:h="16840"/>
          <w:pgMar w:header="882" w:footer="974" w:top="1080" w:bottom="1160" w:left="1200" w:right="1180"/>
          <w:pgNumType w:start="206"/>
        </w:sectPr>
      </w:pPr>
    </w:p>
    <w:p>
      <w:pPr>
        <w:pStyle w:val="Heading2"/>
        <w:spacing w:line="240" w:lineRule="auto" w:before="158"/>
        <w:ind w:right="0"/>
        <w:jc w:val="left"/>
        <w:rPr>
          <w:rFonts w:ascii="宋体" w:hAnsi="宋体" w:cs="宋体" w:eastAsia="宋体" w:hint="default"/>
        </w:rPr>
      </w:pPr>
      <w:r>
        <w:rPr>
          <w:rFonts w:ascii="宋体"/>
        </w:rPr>
        <w:t> </w:t>
      </w:r>
    </w:p>
    <w:p>
      <w:pPr>
        <w:pStyle w:val="BodyText"/>
        <w:spacing w:line="274" w:lineRule="exact" w:before="4"/>
        <w:ind w:right="0"/>
        <w:jc w:val="left"/>
        <w:rPr>
          <w:rFonts w:ascii="宋体" w:hAnsi="宋体" w:cs="宋体" w:eastAsia="宋体" w:hint="default"/>
        </w:rPr>
      </w:pPr>
      <w:r>
        <w:rPr/>
        <w:t>按单项计提坏账准备：</w:t>
      </w:r>
      <w:r>
        <w:rPr>
          <w:rFonts w:ascii="宋体" w:hAnsi="宋体" w:cs="宋体" w:eastAsia="宋体" w:hint="default"/>
        </w:rPr>
        <w:t> </w:t>
      </w:r>
    </w:p>
    <w:p>
      <w:pPr>
        <w:pStyle w:val="BodyText"/>
        <w:spacing w:line="269" w:lineRule="exact"/>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rPr>
        <w:t> </w:t>
      </w:r>
      <w:r>
        <w:rPr>
          <w:rFonts w:ascii="宋体" w:hAnsi="宋体" w:cs="宋体" w:eastAsia="宋体" w:hint="default"/>
        </w:rPr>
        <w:t> </w:t>
      </w:r>
    </w:p>
    <w:p>
      <w:pPr>
        <w:pStyle w:val="Heading2"/>
        <w:spacing w:line="309" w:lineRule="exact"/>
        <w:ind w:right="0"/>
        <w:jc w:val="left"/>
        <w:rPr>
          <w:rFonts w:ascii="宋体" w:hAnsi="宋体" w:cs="宋体" w:eastAsia="宋体" w:hint="default"/>
        </w:rPr>
      </w:pPr>
      <w:r>
        <w:rPr>
          <w:rFonts w:ascii="宋体"/>
        </w:rPr>
        <w:t> </w:t>
      </w:r>
    </w:p>
    <w:p>
      <w:pPr>
        <w:pStyle w:val="BodyText"/>
        <w:spacing w:line="270" w:lineRule="exact" w:before="4"/>
        <w:ind w:right="0"/>
        <w:jc w:val="left"/>
        <w:rPr>
          <w:rFonts w:ascii="宋体" w:hAnsi="宋体" w:cs="宋体" w:eastAsia="宋体" w:hint="default"/>
        </w:rPr>
      </w:pPr>
      <w:r>
        <w:rPr/>
        <w:t>按组合计提坏账准备：</w:t>
      </w:r>
      <w:r>
        <w:rPr>
          <w:rFonts w:ascii="宋体" w:hAnsi="宋体" w:cs="宋体" w:eastAsia="宋体" w:hint="default"/>
        </w:rPr>
        <w:t> </w:t>
      </w:r>
    </w:p>
    <w:p>
      <w:pPr>
        <w:pStyle w:val="Heading2"/>
        <w:spacing w:line="309" w:lineRule="exact"/>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BodyText"/>
        <w:spacing w:line="240" w:lineRule="auto" w:before="4"/>
        <w:ind w:right="0"/>
        <w:jc w:val="left"/>
        <w:rPr>
          <w:rFonts w:ascii="宋体" w:hAnsi="宋体" w:cs="宋体" w:eastAsia="宋体" w:hint="default"/>
        </w:rPr>
      </w:pPr>
      <w:r>
        <w:rPr/>
        <w:t>组合计提项目：账龄组合</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7"/>
          <w:szCs w:val="27"/>
        </w:rPr>
      </w:pPr>
    </w:p>
    <w:p>
      <w:pPr>
        <w:pStyle w:val="BodyText"/>
        <w:spacing w:line="240" w:lineRule="auto"/>
        <w:ind w:right="0"/>
        <w:jc w:val="left"/>
        <w:rPr>
          <w:rFonts w:ascii="宋体" w:hAnsi="宋体" w:cs="宋体" w:eastAsia="宋体" w:hint="default"/>
        </w:rPr>
      </w:pPr>
      <w:r>
        <w:rPr/>
        <w:t>单位：元币种：人民币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580" w:bottom="280" w:left="1200" w:right="1180"/>
          <w:cols w:num="2" w:equalWidth="0">
            <w:col w:w="2636" w:space="4229"/>
            <w:col w:w="2665"/>
          </w:cols>
        </w:sectPr>
      </w:pPr>
    </w:p>
    <w:p>
      <w:pPr>
        <w:spacing w:line="240" w:lineRule="auto" w:before="7"/>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2150"/>
        <w:gridCol w:w="2369"/>
        <w:gridCol w:w="2415"/>
        <w:gridCol w:w="2353"/>
      </w:tblGrid>
      <w:tr>
        <w:trPr>
          <w:trHeight w:val="283" w:hRule="exact"/>
        </w:trPr>
        <w:tc>
          <w:tcPr>
            <w:tcW w:w="2150" w:type="dxa"/>
            <w:vMerge w:val="restart"/>
            <w:tcBorders>
              <w:top w:val="single" w:sz="4" w:space="0" w:color="000000"/>
              <w:left w:val="single" w:sz="4" w:space="0" w:color="000000"/>
              <w:right w:val="single" w:sz="4" w:space="0" w:color="000000"/>
            </w:tcBorders>
          </w:tcPr>
          <w:p>
            <w:pPr>
              <w:pStyle w:val="TableParagraph"/>
              <w:spacing w:line="240" w:lineRule="auto" w:before="107"/>
              <w:ind w:left="103" w:right="0"/>
              <w:jc w:val="center"/>
              <w:rPr>
                <w:rFonts w:ascii="宋体" w:hAnsi="宋体" w:cs="宋体" w:eastAsia="宋体" w:hint="default"/>
                <w:sz w:val="21"/>
                <w:szCs w:val="21"/>
              </w:rPr>
            </w:pPr>
            <w:r>
              <w:rPr>
                <w:rFonts w:ascii="宋体" w:hAnsi="宋体" w:cs="宋体" w:eastAsia="宋体" w:hint="default"/>
                <w:sz w:val="21"/>
                <w:szCs w:val="21"/>
              </w:rPr>
              <w:t>名称</w:t>
            </w:r>
            <w:r>
              <w:rPr>
                <w:rFonts w:ascii="宋体" w:hAnsi="宋体" w:cs="宋体" w:eastAsia="宋体" w:hint="default"/>
                <w:sz w:val="21"/>
                <w:szCs w:val="21"/>
              </w:rPr>
              <w:t> </w:t>
            </w:r>
          </w:p>
        </w:tc>
        <w:tc>
          <w:tcPr>
            <w:tcW w:w="713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281" w:hRule="exact"/>
        </w:trPr>
        <w:tc>
          <w:tcPr>
            <w:tcW w:w="2150" w:type="dxa"/>
            <w:vMerge/>
            <w:tcBorders>
              <w:left w:val="single" w:sz="4" w:space="0" w:color="000000"/>
              <w:bottom w:val="single" w:sz="4" w:space="0" w:color="000000"/>
              <w:right w:val="single" w:sz="4" w:space="0" w:color="000000"/>
            </w:tcBorders>
          </w:tcPr>
          <w:p>
            <w:pPr/>
          </w:p>
        </w:tc>
        <w:tc>
          <w:tcPr>
            <w:tcW w:w="23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58" w:right="0"/>
              <w:jc w:val="left"/>
              <w:rPr>
                <w:rFonts w:ascii="宋体" w:hAnsi="宋体" w:cs="宋体" w:eastAsia="宋体" w:hint="default"/>
                <w:sz w:val="21"/>
                <w:szCs w:val="21"/>
              </w:rPr>
            </w:pPr>
            <w:r>
              <w:rPr>
                <w:rFonts w:ascii="宋体" w:hAnsi="宋体" w:cs="宋体" w:eastAsia="宋体" w:hint="default"/>
                <w:sz w:val="21"/>
                <w:szCs w:val="21"/>
              </w:rPr>
              <w:t>应收账款</w:t>
            </w:r>
            <w:r>
              <w:rPr>
                <w:rFonts w:ascii="宋体" w:hAnsi="宋体" w:cs="宋体" w:eastAsia="宋体" w:hint="default"/>
                <w:sz w:val="21"/>
                <w:szCs w:val="21"/>
              </w:rPr>
              <w:t> </w:t>
            </w:r>
          </w:p>
        </w:tc>
        <w:tc>
          <w:tcPr>
            <w:tcW w:w="24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80" w:right="0"/>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sz w:val="21"/>
                <w:szCs w:val="21"/>
              </w:rPr>
              <w:t> </w:t>
            </w:r>
          </w:p>
        </w:tc>
        <w:tc>
          <w:tcPr>
            <w:tcW w:w="23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87" w:right="0"/>
              <w:jc w:val="left"/>
              <w:rPr>
                <w:rFonts w:ascii="宋体" w:hAnsi="宋体" w:cs="宋体" w:eastAsia="宋体" w:hint="default"/>
                <w:sz w:val="21"/>
                <w:szCs w:val="21"/>
              </w:rPr>
            </w:pPr>
            <w:r>
              <w:rPr>
                <w:rFonts w:ascii="宋体" w:hAnsi="宋体" w:cs="宋体" w:eastAsia="宋体" w:hint="default"/>
                <w:sz w:val="21"/>
                <w:szCs w:val="21"/>
              </w:rPr>
              <w:t>计提比例（</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r>
      <w:tr>
        <w:trPr>
          <w:trHeight w:val="283" w:hRule="exact"/>
        </w:trPr>
        <w:tc>
          <w:tcPr>
            <w:tcW w:w="21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年以内</w:t>
            </w:r>
            <w:r>
              <w:rPr>
                <w:rFonts w:ascii="宋体" w:hAnsi="宋体" w:cs="宋体" w:eastAsia="宋体" w:hint="default"/>
                <w:sz w:val="21"/>
                <w:szCs w:val="21"/>
              </w:rPr>
              <w:t> </w:t>
            </w:r>
          </w:p>
        </w:tc>
        <w:tc>
          <w:tcPr>
            <w:tcW w:w="23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555,527,425.87</w:t>
            </w:r>
            <w:r>
              <w:rPr>
                <w:rFonts w:ascii="宋体"/>
                <w:sz w:val="21"/>
              </w:rPr>
              <w:t> </w:t>
            </w:r>
          </w:p>
        </w:tc>
        <w:tc>
          <w:tcPr>
            <w:tcW w:w="24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27,776,371.29</w:t>
            </w:r>
            <w:r>
              <w:rPr>
                <w:rFonts w:ascii="宋体"/>
                <w:sz w:val="21"/>
              </w:rPr>
              <w:t> </w:t>
            </w:r>
          </w:p>
        </w:tc>
        <w:tc>
          <w:tcPr>
            <w:tcW w:w="23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5.00</w:t>
            </w:r>
            <w:r>
              <w:rPr>
                <w:rFonts w:ascii="宋体"/>
                <w:sz w:val="21"/>
              </w:rPr>
              <w:t> </w:t>
            </w:r>
          </w:p>
        </w:tc>
      </w:tr>
      <w:tr>
        <w:trPr>
          <w:trHeight w:val="281" w:hRule="exact"/>
        </w:trPr>
        <w:tc>
          <w:tcPr>
            <w:tcW w:w="21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23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76,846,348.59</w:t>
            </w:r>
            <w:r>
              <w:rPr>
                <w:rFonts w:ascii="宋体"/>
                <w:sz w:val="21"/>
              </w:rPr>
              <w:t> </w:t>
            </w:r>
          </w:p>
        </w:tc>
        <w:tc>
          <w:tcPr>
            <w:tcW w:w="24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7,684,634.86</w:t>
            </w:r>
            <w:r>
              <w:rPr>
                <w:rFonts w:ascii="宋体"/>
                <w:sz w:val="21"/>
              </w:rPr>
              <w:t> </w:t>
            </w:r>
          </w:p>
        </w:tc>
        <w:tc>
          <w:tcPr>
            <w:tcW w:w="23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10.00</w:t>
            </w:r>
            <w:r>
              <w:rPr>
                <w:rFonts w:ascii="宋体"/>
                <w:sz w:val="21"/>
              </w:rPr>
              <w:t> </w:t>
            </w:r>
          </w:p>
        </w:tc>
      </w:tr>
      <w:tr>
        <w:trPr>
          <w:trHeight w:val="283" w:hRule="exact"/>
        </w:trPr>
        <w:tc>
          <w:tcPr>
            <w:tcW w:w="21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236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39,883,587.40</w:t>
            </w:r>
            <w:r>
              <w:rPr>
                <w:rFonts w:ascii="宋体"/>
                <w:sz w:val="21"/>
              </w:rPr>
              <w:t> </w:t>
            </w:r>
          </w:p>
        </w:tc>
        <w:tc>
          <w:tcPr>
            <w:tcW w:w="241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11,965,076.22</w:t>
            </w:r>
            <w:r>
              <w:rPr>
                <w:rFonts w:ascii="宋体"/>
                <w:sz w:val="21"/>
              </w:rPr>
              <w:t> </w:t>
            </w:r>
          </w:p>
        </w:tc>
        <w:tc>
          <w:tcPr>
            <w:tcW w:w="23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30.00</w:t>
            </w:r>
            <w:r>
              <w:rPr>
                <w:rFonts w:ascii="宋体"/>
                <w:sz w:val="21"/>
              </w:rPr>
              <w:t> </w:t>
            </w:r>
          </w:p>
        </w:tc>
      </w:tr>
      <w:tr>
        <w:trPr>
          <w:trHeight w:val="284" w:hRule="exact"/>
        </w:trPr>
        <w:tc>
          <w:tcPr>
            <w:tcW w:w="21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5"/>
                <w:sz w:val="21"/>
                <w:szCs w:val="21"/>
              </w:rPr>
              <w:t> </w:t>
            </w:r>
            <w:r>
              <w:rPr>
                <w:rFonts w:ascii="宋体" w:hAnsi="宋体" w:cs="宋体" w:eastAsia="宋体" w:hint="default"/>
                <w:sz w:val="21"/>
                <w:szCs w:val="21"/>
              </w:rPr>
              <w:t>年以上</w:t>
            </w:r>
            <w:r>
              <w:rPr>
                <w:rFonts w:ascii="宋体" w:hAnsi="宋体" w:cs="宋体" w:eastAsia="宋体" w:hint="default"/>
                <w:sz w:val="21"/>
                <w:szCs w:val="21"/>
              </w:rPr>
              <w:t> </w:t>
            </w:r>
          </w:p>
        </w:tc>
        <w:tc>
          <w:tcPr>
            <w:tcW w:w="23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9,877,726.69</w:t>
            </w:r>
            <w:r>
              <w:rPr>
                <w:rFonts w:ascii="宋体"/>
                <w:sz w:val="21"/>
              </w:rPr>
              <w:t> </w:t>
            </w:r>
          </w:p>
        </w:tc>
        <w:tc>
          <w:tcPr>
            <w:tcW w:w="24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9,877,726.69</w:t>
            </w:r>
            <w:r>
              <w:rPr>
                <w:rFonts w:ascii="宋体"/>
                <w:sz w:val="21"/>
              </w:rPr>
              <w:t> </w:t>
            </w:r>
          </w:p>
        </w:tc>
        <w:tc>
          <w:tcPr>
            <w:tcW w:w="23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100.00</w:t>
            </w:r>
            <w:r>
              <w:rPr>
                <w:rFonts w:ascii="宋体"/>
                <w:sz w:val="21"/>
              </w:rPr>
              <w:t> </w:t>
            </w:r>
          </w:p>
        </w:tc>
      </w:tr>
      <w:tr>
        <w:trPr>
          <w:trHeight w:val="283" w:hRule="exact"/>
        </w:trPr>
        <w:tc>
          <w:tcPr>
            <w:tcW w:w="21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3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682,135,088.55</w:t>
            </w:r>
            <w:r>
              <w:rPr>
                <w:rFonts w:ascii="宋体"/>
                <w:sz w:val="21"/>
              </w:rPr>
              <w:t> </w:t>
            </w:r>
          </w:p>
        </w:tc>
        <w:tc>
          <w:tcPr>
            <w:tcW w:w="24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57,303,809.06</w:t>
            </w:r>
            <w:r>
              <w:rPr>
                <w:rFonts w:ascii="宋体"/>
                <w:sz w:val="21"/>
              </w:rPr>
              <w:t> </w:t>
            </w:r>
          </w:p>
        </w:tc>
        <w:tc>
          <w:tcPr>
            <w:tcW w:w="23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bl>
    <w:p>
      <w:pPr>
        <w:pStyle w:val="Heading2"/>
        <w:spacing w:line="274" w:lineRule="exact"/>
        <w:ind w:right="0"/>
        <w:jc w:val="left"/>
        <w:rPr>
          <w:rFonts w:ascii="宋体" w:hAnsi="宋体" w:cs="宋体" w:eastAsia="宋体" w:hint="default"/>
        </w:rPr>
      </w:pPr>
      <w:r>
        <w:rPr>
          <w:rFonts w:ascii="宋体"/>
        </w:rPr>
        <w:t> </w:t>
      </w:r>
    </w:p>
    <w:p>
      <w:pPr>
        <w:pStyle w:val="BodyText"/>
        <w:spacing w:line="274" w:lineRule="exact" w:before="1"/>
        <w:ind w:right="0"/>
        <w:jc w:val="left"/>
        <w:rPr>
          <w:rFonts w:ascii="宋体" w:hAnsi="宋体" w:cs="宋体" w:eastAsia="宋体" w:hint="default"/>
        </w:rPr>
      </w:pPr>
      <w:r>
        <w:rPr/>
        <w:t>按组合计提坏账的确认标准及说明：</w:t>
      </w:r>
      <w:r>
        <w:rPr>
          <w:rFonts w:ascii="宋体" w:hAnsi="宋体" w:cs="宋体" w:eastAsia="宋体" w:hint="default"/>
        </w:rPr>
        <w:t> </w:t>
      </w:r>
    </w:p>
    <w:p>
      <w:pPr>
        <w:pStyle w:val="BodyText"/>
        <w:spacing w:line="269" w:lineRule="exact"/>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rPr>
        <w:t> </w:t>
      </w:r>
      <w:r>
        <w:rPr>
          <w:rFonts w:ascii="宋体" w:hAnsi="宋体" w:cs="宋体" w:eastAsia="宋体" w:hint="default"/>
        </w:rPr>
        <w:t> </w:t>
      </w:r>
    </w:p>
    <w:p>
      <w:pPr>
        <w:pStyle w:val="Heading2"/>
        <w:spacing w:line="312" w:lineRule="exact" w:before="25"/>
        <w:ind w:right="0"/>
        <w:jc w:val="left"/>
        <w:rPr>
          <w:rFonts w:ascii="宋体" w:hAnsi="宋体" w:cs="宋体" w:eastAsia="宋体" w:hint="default"/>
        </w:rPr>
      </w:pPr>
      <w:r>
        <w:rPr>
          <w:rFonts w:ascii="宋体" w:hAnsi="宋体" w:cs="宋体" w:eastAsia="宋体" w:hint="default"/>
        </w:rPr>
        <w:t>  </w:t>
      </w:r>
      <w:r>
        <w:rPr/>
        <w:t>如按预期信用损失一般模型计提坏账准备，请参照其他应收款披露：</w:t>
      </w:r>
      <w:r>
        <w:rPr>
          <w:rFonts w:ascii="宋体" w:hAnsi="宋体" w:cs="宋体" w:eastAsia="宋体" w:hint="default"/>
        </w:rPr>
        <w:t> </w:t>
      </w:r>
    </w:p>
    <w:p>
      <w:pPr>
        <w:pStyle w:val="Heading2"/>
        <w:spacing w:line="281" w:lineRule="exact"/>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2"/>
        <w:spacing w:line="312" w:lineRule="exact"/>
        <w:ind w:right="0"/>
        <w:jc w:val="left"/>
        <w:rPr>
          <w:rFonts w:ascii="宋体" w:hAnsi="宋体" w:cs="宋体" w:eastAsia="宋体" w:hint="default"/>
        </w:rPr>
      </w:pPr>
      <w:r>
        <w:rPr>
          <w:rFonts w:ascii="宋体"/>
        </w:rPr>
        <w:t> </w:t>
      </w:r>
    </w:p>
    <w:p>
      <w:pPr>
        <w:pStyle w:val="Heading3"/>
        <w:spacing w:line="240" w:lineRule="auto" w:before="64"/>
        <w:ind w:right="0"/>
        <w:jc w:val="left"/>
        <w:rPr>
          <w:rFonts w:ascii="宋体" w:hAnsi="宋体" w:cs="宋体" w:eastAsia="宋体" w:hint="default"/>
          <w:b w:val="0"/>
          <w:bCs w:val="0"/>
        </w:rPr>
      </w:pPr>
      <w:r>
        <w:rPr>
          <w:rFonts w:ascii="宋体" w:hAnsi="宋体" w:cs="宋体" w:eastAsia="宋体" w:hint="default"/>
        </w:rPr>
        <w:t>(3).</w:t>
      </w:r>
      <w:r>
        <w:rPr/>
        <w:t>坏账准备的情况</w:t>
      </w:r>
      <w:r>
        <w:rPr>
          <w:rFonts w:ascii="宋体" w:hAnsi="宋体" w:cs="宋体" w:eastAsia="宋体" w:hint="default"/>
          <w:w w:val="99"/>
        </w:rPr>
        <w:t> </w:t>
      </w:r>
      <w:r>
        <w:rPr>
          <w:rFonts w:ascii="宋体" w:hAnsi="宋体" w:cs="宋体" w:eastAsia="宋体" w:hint="default"/>
          <w:b w:val="0"/>
          <w:bCs w:val="0"/>
        </w:rPr>
      </w:r>
    </w:p>
    <w:p>
      <w:pPr>
        <w:pStyle w:val="Heading2"/>
        <w:spacing w:line="240" w:lineRule="auto" w:before="50"/>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BodyText"/>
        <w:spacing w:line="240" w:lineRule="auto" w:before="4"/>
        <w:ind w:left="0" w:right="231"/>
        <w:jc w:val="right"/>
      </w:pPr>
      <w:r>
        <w:rPr>
          <w:spacing w:val="-2"/>
        </w:rPr>
        <w:t>单位：元币种：人民币</w:t>
      </w:r>
    </w:p>
    <w:p>
      <w:pPr>
        <w:spacing w:line="240" w:lineRule="auto" w:before="7"/>
        <w:rPr>
          <w:rFonts w:ascii="宋体" w:hAnsi="宋体" w:cs="宋体" w:eastAsia="宋体" w:hint="default"/>
          <w:sz w:val="2"/>
          <w:szCs w:val="2"/>
        </w:rPr>
      </w:pPr>
    </w:p>
    <w:tbl>
      <w:tblPr>
        <w:tblW w:w="0" w:type="auto"/>
        <w:jc w:val="left"/>
        <w:tblInd w:w="101" w:type="dxa"/>
        <w:tblLayout w:type="fixed"/>
        <w:tblCellMar>
          <w:top w:w="0" w:type="dxa"/>
          <w:left w:w="0" w:type="dxa"/>
          <w:bottom w:w="0" w:type="dxa"/>
          <w:right w:w="0" w:type="dxa"/>
        </w:tblCellMar>
        <w:tblLook w:val="01E0"/>
      </w:tblPr>
      <w:tblGrid>
        <w:gridCol w:w="1092"/>
        <w:gridCol w:w="1471"/>
        <w:gridCol w:w="1613"/>
        <w:gridCol w:w="1496"/>
        <w:gridCol w:w="1493"/>
        <w:gridCol w:w="663"/>
        <w:gridCol w:w="1469"/>
      </w:tblGrid>
      <w:tr>
        <w:trPr>
          <w:trHeight w:val="242" w:hRule="exact"/>
        </w:trPr>
        <w:tc>
          <w:tcPr>
            <w:tcW w:w="1092"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59" w:right="0"/>
              <w:jc w:val="left"/>
              <w:rPr>
                <w:rFonts w:ascii="宋体" w:hAnsi="宋体" w:cs="宋体" w:eastAsia="宋体" w:hint="default"/>
                <w:sz w:val="18"/>
                <w:szCs w:val="18"/>
              </w:rPr>
            </w:pPr>
            <w:r>
              <w:rPr>
                <w:rFonts w:ascii="宋体" w:hAnsi="宋体" w:cs="宋体" w:eastAsia="宋体" w:hint="default"/>
                <w:sz w:val="18"/>
                <w:szCs w:val="18"/>
              </w:rPr>
              <w:t>类别</w:t>
            </w:r>
            <w:r>
              <w:rPr>
                <w:rFonts w:ascii="宋体" w:hAnsi="宋体" w:cs="宋体" w:eastAsia="宋体" w:hint="default"/>
                <w:sz w:val="18"/>
                <w:szCs w:val="18"/>
              </w:rPr>
              <w:t> </w:t>
            </w:r>
          </w:p>
        </w:tc>
        <w:tc>
          <w:tcPr>
            <w:tcW w:w="1471"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69"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宋体" w:hAnsi="宋体" w:cs="宋体" w:eastAsia="宋体" w:hint="default"/>
                <w:sz w:val="18"/>
                <w:szCs w:val="18"/>
              </w:rPr>
              <w:t> </w:t>
            </w:r>
          </w:p>
        </w:tc>
        <w:tc>
          <w:tcPr>
            <w:tcW w:w="5265" w:type="dxa"/>
            <w:gridSpan w:val="4"/>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7" w:right="0"/>
              <w:jc w:val="center"/>
              <w:rPr>
                <w:rFonts w:ascii="宋体" w:hAnsi="宋体" w:cs="宋体" w:eastAsia="宋体" w:hint="default"/>
                <w:sz w:val="18"/>
                <w:szCs w:val="18"/>
              </w:rPr>
            </w:pPr>
            <w:r>
              <w:rPr>
                <w:rFonts w:ascii="宋体" w:hAnsi="宋体" w:cs="宋体" w:eastAsia="宋体" w:hint="default"/>
                <w:sz w:val="18"/>
                <w:szCs w:val="18"/>
              </w:rPr>
              <w:t>本期变动金额</w:t>
            </w:r>
            <w:r>
              <w:rPr>
                <w:rFonts w:ascii="宋体" w:hAnsi="宋体" w:cs="宋体" w:eastAsia="宋体" w:hint="default"/>
                <w:sz w:val="18"/>
                <w:szCs w:val="18"/>
              </w:rPr>
              <w:t> </w:t>
            </w:r>
          </w:p>
        </w:tc>
        <w:tc>
          <w:tcPr>
            <w:tcW w:w="1469"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69"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宋体" w:hAnsi="宋体" w:cs="宋体" w:eastAsia="宋体" w:hint="default"/>
                <w:sz w:val="18"/>
                <w:szCs w:val="18"/>
              </w:rPr>
              <w:t> </w:t>
            </w:r>
          </w:p>
        </w:tc>
      </w:tr>
      <w:tr>
        <w:trPr>
          <w:trHeight w:val="478" w:hRule="exact"/>
        </w:trPr>
        <w:tc>
          <w:tcPr>
            <w:tcW w:w="1092" w:type="dxa"/>
            <w:vMerge/>
            <w:tcBorders>
              <w:left w:val="single" w:sz="4" w:space="0" w:color="000000"/>
              <w:bottom w:val="single" w:sz="4" w:space="0" w:color="000000"/>
              <w:right w:val="single" w:sz="4" w:space="0" w:color="000000"/>
            </w:tcBorders>
          </w:tcPr>
          <w:p>
            <w:pPr/>
          </w:p>
        </w:tc>
        <w:tc>
          <w:tcPr>
            <w:tcW w:w="1471" w:type="dxa"/>
            <w:vMerge/>
            <w:tcBorders>
              <w:left w:val="single" w:sz="4" w:space="0" w:color="000000"/>
              <w:bottom w:val="single" w:sz="4" w:space="0" w:color="000000"/>
              <w:right w:val="single" w:sz="4" w:space="0" w:color="000000"/>
            </w:tcBorders>
          </w:tcPr>
          <w:p>
            <w:pP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90" w:right="0"/>
              <w:jc w:val="center"/>
              <w:rPr>
                <w:rFonts w:ascii="宋体" w:hAnsi="宋体" w:cs="宋体" w:eastAsia="宋体" w:hint="default"/>
                <w:sz w:val="18"/>
                <w:szCs w:val="18"/>
              </w:rPr>
            </w:pPr>
            <w:r>
              <w:rPr>
                <w:rFonts w:ascii="宋体" w:hAnsi="宋体" w:cs="宋体" w:eastAsia="宋体" w:hint="default"/>
                <w:sz w:val="18"/>
                <w:szCs w:val="18"/>
              </w:rPr>
              <w:t>计提</w:t>
            </w:r>
            <w:r>
              <w:rPr>
                <w:rFonts w:ascii="宋体" w:hAnsi="宋体" w:cs="宋体" w:eastAsia="宋体" w:hint="default"/>
                <w:sz w:val="18"/>
                <w:szCs w:val="18"/>
              </w:rPr>
              <w:t> </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92" w:right="0"/>
              <w:jc w:val="left"/>
              <w:rPr>
                <w:rFonts w:ascii="宋体" w:hAnsi="宋体" w:cs="宋体" w:eastAsia="宋体" w:hint="default"/>
                <w:sz w:val="18"/>
                <w:szCs w:val="18"/>
              </w:rPr>
            </w:pPr>
            <w:r>
              <w:rPr>
                <w:rFonts w:ascii="宋体" w:hAnsi="宋体" w:cs="宋体" w:eastAsia="宋体" w:hint="default"/>
                <w:sz w:val="18"/>
                <w:szCs w:val="18"/>
              </w:rPr>
              <w:t>收回或转回</w:t>
            </w:r>
            <w:r>
              <w:rPr>
                <w:rFonts w:ascii="宋体" w:hAnsi="宋体" w:cs="宋体" w:eastAsia="宋体" w:hint="default"/>
                <w:sz w:val="18"/>
                <w:szCs w:val="18"/>
              </w:rPr>
              <w:t> </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90" w:right="0"/>
              <w:jc w:val="left"/>
              <w:rPr>
                <w:rFonts w:ascii="宋体" w:hAnsi="宋体" w:cs="宋体" w:eastAsia="宋体" w:hint="default"/>
                <w:sz w:val="18"/>
                <w:szCs w:val="18"/>
              </w:rPr>
            </w:pPr>
            <w:r>
              <w:rPr>
                <w:rFonts w:ascii="宋体" w:hAnsi="宋体" w:cs="宋体" w:eastAsia="宋体" w:hint="default"/>
                <w:sz w:val="18"/>
                <w:szCs w:val="18"/>
              </w:rPr>
              <w:t>转销或核销</w:t>
            </w:r>
            <w:r>
              <w:rPr>
                <w:rFonts w:ascii="宋体" w:hAnsi="宋体" w:cs="宋体" w:eastAsia="宋体" w:hint="default"/>
                <w:sz w:val="18"/>
                <w:szCs w:val="18"/>
              </w:rPr>
              <w:t> </w:t>
            </w:r>
          </w:p>
        </w:tc>
        <w:tc>
          <w:tcPr>
            <w:tcW w:w="66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84" w:right="0"/>
              <w:jc w:val="left"/>
              <w:rPr>
                <w:rFonts w:ascii="宋体" w:hAnsi="宋体" w:cs="宋体" w:eastAsia="宋体" w:hint="default"/>
                <w:sz w:val="18"/>
                <w:szCs w:val="18"/>
              </w:rPr>
            </w:pPr>
            <w:r>
              <w:rPr>
                <w:rFonts w:ascii="宋体" w:hAnsi="宋体" w:cs="宋体" w:eastAsia="宋体" w:hint="default"/>
                <w:sz w:val="18"/>
                <w:szCs w:val="18"/>
              </w:rPr>
              <w:t>其他</w:t>
            </w:r>
          </w:p>
          <w:p>
            <w:pPr>
              <w:pStyle w:val="TableParagraph"/>
              <w:spacing w:line="234" w:lineRule="exact"/>
              <w:ind w:left="184" w:right="0"/>
              <w:jc w:val="left"/>
              <w:rPr>
                <w:rFonts w:ascii="宋体" w:hAnsi="宋体" w:cs="宋体" w:eastAsia="宋体" w:hint="default"/>
                <w:sz w:val="18"/>
                <w:szCs w:val="18"/>
              </w:rPr>
            </w:pPr>
            <w:r>
              <w:rPr>
                <w:rFonts w:ascii="宋体" w:hAnsi="宋体" w:cs="宋体" w:eastAsia="宋体" w:hint="default"/>
                <w:sz w:val="18"/>
                <w:szCs w:val="18"/>
              </w:rPr>
              <w:t>变动</w:t>
            </w:r>
            <w:r>
              <w:rPr>
                <w:rFonts w:ascii="宋体" w:hAnsi="宋体" w:cs="宋体" w:eastAsia="宋体" w:hint="default"/>
                <w:sz w:val="18"/>
                <w:szCs w:val="18"/>
              </w:rPr>
              <w:t> </w:t>
            </w:r>
          </w:p>
        </w:tc>
        <w:tc>
          <w:tcPr>
            <w:tcW w:w="1469" w:type="dxa"/>
            <w:vMerge/>
            <w:tcBorders>
              <w:left w:val="single" w:sz="4" w:space="0" w:color="000000"/>
              <w:bottom w:val="single" w:sz="4" w:space="0" w:color="000000"/>
              <w:right w:val="single" w:sz="4" w:space="0" w:color="000000"/>
            </w:tcBorders>
          </w:tcPr>
          <w:p>
            <w:pPr/>
          </w:p>
        </w:tc>
      </w:tr>
      <w:tr>
        <w:trPr>
          <w:trHeight w:val="242" w:hRule="exact"/>
        </w:trPr>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7" w:right="0"/>
              <w:jc w:val="left"/>
              <w:rPr>
                <w:rFonts w:ascii="宋体" w:hAnsi="宋体" w:cs="宋体" w:eastAsia="宋体" w:hint="default"/>
                <w:sz w:val="18"/>
                <w:szCs w:val="18"/>
              </w:rPr>
            </w:pPr>
            <w:r>
              <w:rPr>
                <w:rFonts w:ascii="宋体" w:hAnsi="宋体" w:cs="宋体" w:eastAsia="宋体" w:hint="default"/>
                <w:sz w:val="18"/>
                <w:szCs w:val="18"/>
              </w:rPr>
              <w:t>账龄组合</w:t>
            </w:r>
            <w:r>
              <w:rPr>
                <w:rFonts w:ascii="宋体" w:hAnsi="宋体" w:cs="宋体" w:eastAsia="宋体" w:hint="default"/>
                <w:sz w:val="18"/>
                <w:szCs w:val="18"/>
              </w:rPr>
              <w:t> </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7"/>
              <w:jc w:val="right"/>
              <w:rPr>
                <w:rFonts w:ascii="宋体" w:hAnsi="宋体" w:cs="宋体" w:eastAsia="宋体" w:hint="default"/>
                <w:sz w:val="18"/>
                <w:szCs w:val="18"/>
              </w:rPr>
            </w:pPr>
            <w:r>
              <w:rPr>
                <w:rFonts w:ascii="宋体"/>
                <w:spacing w:val="-1"/>
                <w:sz w:val="18"/>
              </w:rPr>
              <w:t>95,343,185.75</w:t>
            </w:r>
            <w:r>
              <w:rPr>
                <w:rFonts w:ascii="宋体"/>
                <w:sz w:val="18"/>
              </w:rPr>
              <w:t> </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17" w:right="0"/>
              <w:jc w:val="center"/>
              <w:rPr>
                <w:rFonts w:ascii="宋体" w:hAnsi="宋体" w:cs="宋体" w:eastAsia="宋体" w:hint="default"/>
                <w:sz w:val="18"/>
                <w:szCs w:val="18"/>
              </w:rPr>
            </w:pPr>
            <w:r>
              <w:rPr>
                <w:rFonts w:ascii="宋体"/>
                <w:sz w:val="18"/>
              </w:rPr>
              <w:t>-14,243,854.96 </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7"/>
              <w:jc w:val="right"/>
              <w:rPr>
                <w:rFonts w:ascii="宋体" w:hAnsi="宋体" w:cs="宋体" w:eastAsia="宋体" w:hint="default"/>
                <w:sz w:val="18"/>
                <w:szCs w:val="18"/>
              </w:rPr>
            </w:pPr>
            <w:r>
              <w:rPr>
                <w:rFonts w:ascii="宋体"/>
                <w:spacing w:val="-1"/>
                <w:sz w:val="18"/>
              </w:rPr>
              <w:t>23,795,521.73 </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7"/>
              <w:jc w:val="right"/>
              <w:rPr>
                <w:rFonts w:ascii="宋体" w:hAnsi="宋体" w:cs="宋体" w:eastAsia="宋体" w:hint="default"/>
                <w:sz w:val="18"/>
                <w:szCs w:val="18"/>
              </w:rPr>
            </w:pPr>
            <w:r>
              <w:rPr>
                <w:rFonts w:ascii="宋体"/>
                <w:sz w:val="18"/>
              </w:rPr>
              <w:t> </w:t>
            </w:r>
          </w:p>
        </w:tc>
        <w:tc>
          <w:tcPr>
            <w:tcW w:w="66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6"/>
              <w:jc w:val="right"/>
              <w:rPr>
                <w:rFonts w:ascii="宋体" w:hAnsi="宋体" w:cs="宋体" w:eastAsia="宋体" w:hint="default"/>
                <w:sz w:val="18"/>
                <w:szCs w:val="18"/>
              </w:rPr>
            </w:pPr>
            <w:r>
              <w:rPr>
                <w:rFonts w:ascii="宋体"/>
                <w:sz w:val="18"/>
              </w:rPr>
              <w:t> </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7"/>
              <w:jc w:val="right"/>
              <w:rPr>
                <w:rFonts w:ascii="宋体" w:hAnsi="宋体" w:cs="宋体" w:eastAsia="宋体" w:hint="default"/>
                <w:sz w:val="18"/>
                <w:szCs w:val="18"/>
              </w:rPr>
            </w:pPr>
            <w:r>
              <w:rPr>
                <w:rFonts w:ascii="宋体"/>
                <w:spacing w:val="-1"/>
                <w:sz w:val="18"/>
              </w:rPr>
              <w:t>57,303,809.06</w:t>
            </w:r>
            <w:r>
              <w:rPr>
                <w:rFonts w:ascii="宋体"/>
                <w:sz w:val="18"/>
              </w:rPr>
              <w:t> </w:t>
            </w:r>
          </w:p>
        </w:tc>
      </w:tr>
      <w:tr>
        <w:trPr>
          <w:trHeight w:val="245" w:hRule="exact"/>
        </w:trPr>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59" w:right="0"/>
              <w:jc w:val="left"/>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7"/>
              <w:jc w:val="right"/>
              <w:rPr>
                <w:rFonts w:ascii="宋体" w:hAnsi="宋体" w:cs="宋体" w:eastAsia="宋体" w:hint="default"/>
                <w:sz w:val="18"/>
                <w:szCs w:val="18"/>
              </w:rPr>
            </w:pPr>
            <w:r>
              <w:rPr>
                <w:rFonts w:ascii="宋体"/>
                <w:spacing w:val="-1"/>
                <w:sz w:val="18"/>
              </w:rPr>
              <w:t>95,343,185.75</w:t>
            </w:r>
            <w:r>
              <w:rPr>
                <w:rFonts w:ascii="宋体"/>
                <w:sz w:val="18"/>
              </w:rPr>
              <w:t> </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17" w:right="0"/>
              <w:jc w:val="center"/>
              <w:rPr>
                <w:rFonts w:ascii="宋体" w:hAnsi="宋体" w:cs="宋体" w:eastAsia="宋体" w:hint="default"/>
                <w:sz w:val="18"/>
                <w:szCs w:val="18"/>
              </w:rPr>
            </w:pPr>
            <w:r>
              <w:rPr>
                <w:rFonts w:ascii="宋体"/>
                <w:sz w:val="18"/>
              </w:rPr>
              <w:t>-14,243,854.96 </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7"/>
              <w:jc w:val="right"/>
              <w:rPr>
                <w:rFonts w:ascii="宋体" w:hAnsi="宋体" w:cs="宋体" w:eastAsia="宋体" w:hint="default"/>
                <w:sz w:val="18"/>
                <w:szCs w:val="18"/>
              </w:rPr>
            </w:pPr>
            <w:r>
              <w:rPr>
                <w:rFonts w:ascii="宋体"/>
                <w:spacing w:val="-1"/>
                <w:sz w:val="18"/>
              </w:rPr>
              <w:t>23,795,521.73 </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7"/>
              <w:jc w:val="right"/>
              <w:rPr>
                <w:rFonts w:ascii="宋体" w:hAnsi="宋体" w:cs="宋体" w:eastAsia="宋体" w:hint="default"/>
                <w:sz w:val="18"/>
                <w:szCs w:val="18"/>
              </w:rPr>
            </w:pPr>
            <w:r>
              <w:rPr>
                <w:rFonts w:ascii="宋体"/>
                <w:sz w:val="18"/>
              </w:rPr>
              <w:t> </w:t>
            </w:r>
          </w:p>
        </w:tc>
        <w:tc>
          <w:tcPr>
            <w:tcW w:w="66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6"/>
              <w:jc w:val="right"/>
              <w:rPr>
                <w:rFonts w:ascii="宋体" w:hAnsi="宋体" w:cs="宋体" w:eastAsia="宋体" w:hint="default"/>
                <w:sz w:val="18"/>
                <w:szCs w:val="18"/>
              </w:rPr>
            </w:pPr>
            <w:r>
              <w:rPr>
                <w:rFonts w:ascii="宋体"/>
                <w:sz w:val="18"/>
              </w:rPr>
              <w:t> </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7"/>
              <w:jc w:val="right"/>
              <w:rPr>
                <w:rFonts w:ascii="宋体" w:hAnsi="宋体" w:cs="宋体" w:eastAsia="宋体" w:hint="default"/>
                <w:sz w:val="18"/>
                <w:szCs w:val="18"/>
              </w:rPr>
            </w:pPr>
            <w:r>
              <w:rPr>
                <w:rFonts w:ascii="宋体"/>
                <w:spacing w:val="-1"/>
                <w:sz w:val="18"/>
              </w:rPr>
              <w:t>57,303,809.06</w:t>
            </w:r>
            <w:r>
              <w:rPr>
                <w:rFonts w:ascii="宋体"/>
                <w:sz w:val="18"/>
              </w:rPr>
              <w:t> </w:t>
            </w:r>
          </w:p>
        </w:tc>
      </w:tr>
    </w:tbl>
    <w:p>
      <w:pPr>
        <w:spacing w:line="240" w:lineRule="auto" w:before="4"/>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type w:val="continuous"/>
          <w:pgSz w:w="11910" w:h="16840"/>
          <w:pgMar w:top="1580" w:bottom="280" w:left="1200" w:right="1180"/>
        </w:sectPr>
      </w:pPr>
    </w:p>
    <w:p>
      <w:pPr>
        <w:pStyle w:val="Heading2"/>
        <w:spacing w:line="313" w:lineRule="exact" w:before="26"/>
        <w:ind w:right="0"/>
        <w:jc w:val="left"/>
        <w:rPr>
          <w:rFonts w:ascii="宋体" w:hAnsi="宋体" w:cs="宋体" w:eastAsia="宋体" w:hint="default"/>
        </w:rPr>
      </w:pPr>
      <w:r>
        <w:rPr/>
        <w:t>其中本期坏账准备收回或转回金额重要的：</w:t>
      </w:r>
      <w:r>
        <w:rPr>
          <w:rFonts w:ascii="宋体" w:hAnsi="宋体" w:cs="宋体" w:eastAsia="宋体" w:hint="default"/>
        </w:rPr>
        <w:t> </w:t>
      </w:r>
    </w:p>
    <w:p>
      <w:pPr>
        <w:pStyle w:val="Heading2"/>
        <w:spacing w:line="313" w:lineRule="exact"/>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spacing w:line="240" w:lineRule="auto" w:before="132"/>
        <w:ind w:right="0"/>
        <w:jc w:val="left"/>
        <w:rPr>
          <w:rFonts w:ascii="宋体" w:hAnsi="宋体" w:cs="宋体" w:eastAsia="宋体" w:hint="default"/>
        </w:rPr>
      </w:pPr>
      <w:r>
        <w:rPr/>
        <w:t>单位：元币种：人民币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580" w:bottom="280" w:left="1200" w:right="1180"/>
          <w:cols w:num="2" w:equalWidth="0">
            <w:col w:w="4900" w:space="2071"/>
            <w:col w:w="2559"/>
          </w:cols>
        </w:sectPr>
      </w:pPr>
    </w:p>
    <w:p>
      <w:pPr>
        <w:spacing w:line="240" w:lineRule="auto" w:before="4"/>
        <w:rPr>
          <w:rFonts w:ascii="宋体" w:hAnsi="宋体" w:cs="宋体" w:eastAsia="宋体" w:hint="default"/>
          <w:sz w:val="2"/>
          <w:szCs w:val="2"/>
        </w:rPr>
      </w:pPr>
      <w:r>
        <w:rPr/>
        <w:pict>
          <v:group style="position:absolute;margin-left:65.949997pt;margin-top:37.399982pt;width:459.3pt;height:19.650pt;mso-position-horizontal-relative:page;mso-position-vertical-relative:page;z-index:-1315528" coordorigin="1319,748" coordsize="9186,393">
            <v:group style="position:absolute;left:1390;top:1118;width:9107;height:2" coordorigin="1390,1118" coordsize="9107,2">
              <v:shape style="position:absolute;left:1390;top:1118;width:9107;height:2" coordorigin="1390,1118" coordsize="9107,0" path="m1390,1118l10497,1118e" filled="false" stroked="true" strokeweight=".72pt" strokecolor="#000000">
                <v:path arrowok="t"/>
              </v:shape>
              <v:shape style="position:absolute;left:1319;top:748;width:465;height:393" type="#_x0000_t75" stroked="false">
                <v:imagedata r:id="rId10" o:title=""/>
              </v:shape>
            </v:group>
            <w10:wrap type="none"/>
          </v:group>
        </w:pict>
      </w:r>
    </w:p>
    <w:tbl>
      <w:tblPr>
        <w:tblW w:w="0" w:type="auto"/>
        <w:jc w:val="left"/>
        <w:tblInd w:w="106" w:type="dxa"/>
        <w:tblLayout w:type="fixed"/>
        <w:tblCellMar>
          <w:top w:w="0" w:type="dxa"/>
          <w:left w:w="0" w:type="dxa"/>
          <w:bottom w:w="0" w:type="dxa"/>
          <w:right w:w="0" w:type="dxa"/>
        </w:tblCellMar>
        <w:tblLook w:val="01E0"/>
      </w:tblPr>
      <w:tblGrid>
        <w:gridCol w:w="2249"/>
        <w:gridCol w:w="3519"/>
        <w:gridCol w:w="3519"/>
      </w:tblGrid>
      <w:tr>
        <w:trPr>
          <w:trHeight w:val="283" w:hRule="exact"/>
        </w:trPr>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98" w:right="0"/>
              <w:jc w:val="left"/>
              <w:rPr>
                <w:rFonts w:ascii="宋体" w:hAnsi="宋体" w:cs="宋体" w:eastAsia="宋体" w:hint="default"/>
                <w:sz w:val="21"/>
                <w:szCs w:val="21"/>
              </w:rPr>
            </w:pPr>
            <w:r>
              <w:rPr>
                <w:rFonts w:ascii="宋体" w:hAnsi="宋体" w:cs="宋体" w:eastAsia="宋体" w:hint="default"/>
                <w:sz w:val="21"/>
                <w:szCs w:val="21"/>
              </w:rPr>
              <w:t>单位名称</w:t>
            </w:r>
            <w:r>
              <w:rPr>
                <w:rFonts w:ascii="宋体" w:hAnsi="宋体" w:cs="宋体" w:eastAsia="宋体" w:hint="default"/>
                <w:sz w:val="21"/>
                <w:szCs w:val="21"/>
              </w:rPr>
              <w:t> </w:t>
            </w:r>
          </w:p>
        </w:tc>
        <w:tc>
          <w:tcPr>
            <w:tcW w:w="35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5" w:right="0"/>
              <w:jc w:val="left"/>
              <w:rPr>
                <w:rFonts w:ascii="宋体" w:hAnsi="宋体" w:cs="宋体" w:eastAsia="宋体" w:hint="default"/>
                <w:sz w:val="21"/>
                <w:szCs w:val="21"/>
              </w:rPr>
            </w:pPr>
            <w:r>
              <w:rPr>
                <w:rFonts w:ascii="宋体" w:hAnsi="宋体" w:cs="宋体" w:eastAsia="宋体" w:hint="default"/>
                <w:sz w:val="21"/>
                <w:szCs w:val="21"/>
              </w:rPr>
              <w:t>收回或转回金额</w:t>
            </w:r>
            <w:r>
              <w:rPr>
                <w:rFonts w:ascii="宋体" w:hAnsi="宋体" w:cs="宋体" w:eastAsia="宋体" w:hint="default"/>
                <w:sz w:val="21"/>
                <w:szCs w:val="21"/>
              </w:rPr>
              <w:t> </w:t>
            </w:r>
          </w:p>
        </w:tc>
        <w:tc>
          <w:tcPr>
            <w:tcW w:w="35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收回方式</w:t>
            </w:r>
            <w:r>
              <w:rPr>
                <w:rFonts w:ascii="宋体" w:hAnsi="宋体" w:cs="宋体" w:eastAsia="宋体" w:hint="default"/>
                <w:sz w:val="21"/>
                <w:szCs w:val="21"/>
              </w:rPr>
              <w:t> </w:t>
            </w:r>
          </w:p>
        </w:tc>
      </w:tr>
      <w:tr>
        <w:trPr>
          <w:trHeight w:val="478" w:hRule="exact"/>
        </w:trPr>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3" w:right="0"/>
              <w:jc w:val="left"/>
              <w:rPr>
                <w:rFonts w:ascii="宋体" w:hAnsi="宋体" w:cs="宋体" w:eastAsia="宋体" w:hint="default"/>
                <w:sz w:val="21"/>
                <w:szCs w:val="21"/>
              </w:rPr>
            </w:pPr>
            <w:r>
              <w:rPr>
                <w:rFonts w:ascii="宋体" w:hAnsi="宋体" w:cs="宋体" w:eastAsia="宋体" w:hint="default"/>
                <w:sz w:val="21"/>
                <w:szCs w:val="21"/>
              </w:rPr>
              <w:t>控制组合</w:t>
            </w:r>
            <w:r>
              <w:rPr>
                <w:rFonts w:ascii="宋体" w:hAnsi="宋体" w:cs="宋体" w:eastAsia="宋体" w:hint="default"/>
                <w:sz w:val="21"/>
                <w:szCs w:val="21"/>
              </w:rPr>
              <w:t> </w:t>
            </w:r>
          </w:p>
        </w:tc>
        <w:tc>
          <w:tcPr>
            <w:tcW w:w="3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
              <w:jc w:val="right"/>
              <w:rPr>
                <w:rFonts w:ascii="宋体" w:hAnsi="宋体" w:cs="宋体" w:eastAsia="宋体" w:hint="default"/>
                <w:sz w:val="21"/>
                <w:szCs w:val="21"/>
              </w:rPr>
            </w:pPr>
            <w:r>
              <w:rPr>
                <w:rFonts w:ascii="宋体"/>
                <w:spacing w:val="-1"/>
                <w:sz w:val="21"/>
              </w:rPr>
              <w:t>23,795,521.73</w:t>
            </w:r>
            <w:r>
              <w:rPr>
                <w:rFonts w:ascii="宋体"/>
                <w:sz w:val="21"/>
              </w:rPr>
              <w:t> </w:t>
            </w:r>
          </w:p>
        </w:tc>
        <w:tc>
          <w:tcPr>
            <w:tcW w:w="3519"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3" w:right="0"/>
              <w:jc w:val="left"/>
              <w:rPr>
                <w:rFonts w:ascii="宋体" w:hAnsi="宋体" w:cs="宋体" w:eastAsia="宋体" w:hint="default"/>
                <w:sz w:val="18"/>
                <w:szCs w:val="18"/>
              </w:rPr>
            </w:pPr>
            <w:r>
              <w:rPr>
                <w:rFonts w:ascii="宋体" w:hAnsi="宋体" w:cs="宋体" w:eastAsia="宋体" w:hint="default"/>
                <w:sz w:val="18"/>
                <w:szCs w:val="18"/>
              </w:rPr>
              <w:t>控制组合自</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年报编制起不再计提坏账</w:t>
            </w:r>
          </w:p>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18"/>
                <w:szCs w:val="18"/>
              </w:rPr>
              <w:t>准备</w:t>
            </w:r>
            <w:r>
              <w:rPr>
                <w:rFonts w:ascii="宋体" w:hAnsi="宋体" w:cs="宋体" w:eastAsia="宋体" w:hint="default"/>
                <w:w w:val="100"/>
                <w:sz w:val="21"/>
                <w:szCs w:val="21"/>
              </w:rPr>
              <w:t> </w:t>
            </w:r>
          </w:p>
        </w:tc>
      </w:tr>
      <w:tr>
        <w:trPr>
          <w:trHeight w:val="281" w:hRule="exact"/>
        </w:trPr>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35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23,795,521.73</w:t>
            </w:r>
            <w:r>
              <w:rPr>
                <w:rFonts w:ascii="宋体"/>
                <w:sz w:val="21"/>
              </w:rPr>
              <w:t> </w:t>
            </w:r>
          </w:p>
        </w:tc>
        <w:tc>
          <w:tcPr>
            <w:tcW w:w="35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 w:right="0"/>
              <w:jc w:val="center"/>
              <w:rPr>
                <w:rFonts w:ascii="宋体" w:hAnsi="宋体" w:cs="宋体" w:eastAsia="宋体" w:hint="default"/>
                <w:sz w:val="21"/>
                <w:szCs w:val="21"/>
              </w:rPr>
            </w:pPr>
            <w:r>
              <w:rPr>
                <w:rFonts w:ascii="宋体"/>
                <w:sz w:val="21"/>
              </w:rPr>
              <w:t>/ </w:t>
            </w:r>
          </w:p>
        </w:tc>
      </w:tr>
    </w:tbl>
    <w:p>
      <w:pPr>
        <w:pStyle w:val="Heading2"/>
        <w:spacing w:line="274" w:lineRule="exact"/>
        <w:ind w:right="0"/>
        <w:jc w:val="left"/>
        <w:rPr>
          <w:rFonts w:ascii="宋体" w:hAnsi="宋体" w:cs="宋体" w:eastAsia="宋体" w:hint="default"/>
        </w:rPr>
      </w:pPr>
      <w:r>
        <w:rPr>
          <w:rFonts w:ascii="宋体"/>
        </w:rPr>
        <w:t> </w:t>
      </w:r>
    </w:p>
    <w:p>
      <w:pPr>
        <w:pStyle w:val="Heading3"/>
        <w:spacing w:line="240" w:lineRule="auto" w:before="64"/>
        <w:ind w:right="0"/>
        <w:jc w:val="left"/>
        <w:rPr>
          <w:rFonts w:ascii="宋体" w:hAnsi="宋体" w:cs="宋体" w:eastAsia="宋体" w:hint="default"/>
          <w:b w:val="0"/>
          <w:bCs w:val="0"/>
        </w:rPr>
      </w:pPr>
      <w:r>
        <w:rPr>
          <w:rFonts w:ascii="宋体" w:hAnsi="宋体" w:cs="宋体" w:eastAsia="宋体" w:hint="default"/>
        </w:rPr>
        <w:t>(4).</w:t>
      </w:r>
      <w:r>
        <w:rPr>
          <w:rFonts w:ascii="宋体" w:hAnsi="宋体" w:cs="宋体" w:eastAsia="宋体" w:hint="default"/>
          <w:spacing w:val="-45"/>
        </w:rPr>
        <w:t> </w:t>
      </w:r>
      <w:r>
        <w:rPr/>
        <w:t>本期实际核销的应收账款情况</w:t>
      </w:r>
      <w:r>
        <w:rPr>
          <w:rFonts w:ascii="宋体" w:hAnsi="宋体" w:cs="宋体" w:eastAsia="宋体" w:hint="default"/>
          <w:w w:val="99"/>
        </w:rPr>
        <w:t> </w:t>
      </w:r>
      <w:r>
        <w:rPr>
          <w:rFonts w:ascii="宋体" w:hAnsi="宋体" w:cs="宋体" w:eastAsia="宋体" w:hint="default"/>
          <w:b w:val="0"/>
          <w:bCs w:val="0"/>
        </w:rPr>
      </w:r>
    </w:p>
    <w:p>
      <w:pPr>
        <w:pStyle w:val="BodyText"/>
        <w:spacing w:line="272" w:lineRule="exact" w:before="86"/>
        <w:ind w:right="5023"/>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t>其中重要的应收账款核销情况</w:t>
      </w:r>
      <w:r>
        <w:rPr>
          <w:rFonts w:ascii="宋体" w:hAnsi="宋体" w:cs="宋体" w:eastAsia="宋体" w:hint="default"/>
        </w:rPr>
        <w:t> </w:t>
      </w:r>
    </w:p>
    <w:p>
      <w:pPr>
        <w:pStyle w:val="BodyText"/>
        <w:spacing w:line="243" w:lineRule="exact"/>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rPr>
        <w:t> </w:t>
      </w:r>
      <w:r>
        <w:rPr>
          <w:rFonts w:ascii="宋体" w:hAnsi="宋体" w:cs="宋体" w:eastAsia="宋体" w:hint="default"/>
        </w:rPr>
        <w:t> </w:t>
      </w:r>
    </w:p>
    <w:p>
      <w:pPr>
        <w:pStyle w:val="Heading2"/>
        <w:spacing w:line="310" w:lineRule="exact"/>
        <w:ind w:right="0"/>
        <w:jc w:val="left"/>
        <w:rPr>
          <w:rFonts w:ascii="宋体" w:hAnsi="宋体" w:cs="宋体" w:eastAsia="宋体" w:hint="default"/>
        </w:rPr>
      </w:pPr>
      <w:r>
        <w:rPr>
          <w:rFonts w:ascii="宋体"/>
        </w:rPr>
        <w:t> </w:t>
      </w:r>
    </w:p>
    <w:p>
      <w:pPr>
        <w:pStyle w:val="Heading3"/>
        <w:spacing w:line="240" w:lineRule="auto" w:before="64"/>
        <w:ind w:right="0"/>
        <w:jc w:val="left"/>
        <w:rPr>
          <w:rFonts w:ascii="宋体" w:hAnsi="宋体" w:cs="宋体" w:eastAsia="宋体" w:hint="default"/>
          <w:b w:val="0"/>
          <w:bCs w:val="0"/>
        </w:rPr>
      </w:pPr>
      <w:r>
        <w:rPr>
          <w:rFonts w:ascii="宋体" w:hAnsi="宋体" w:cs="宋体" w:eastAsia="宋体" w:hint="default"/>
        </w:rPr>
        <w:t>(5).</w:t>
      </w:r>
      <w:r>
        <w:rPr>
          <w:rFonts w:ascii="宋体" w:hAnsi="宋体" w:cs="宋体" w:eastAsia="宋体" w:hint="default"/>
          <w:spacing w:val="-49"/>
        </w:rPr>
        <w:t> </w:t>
      </w:r>
      <w:r>
        <w:rPr/>
        <w:t>按欠款方归集的期末余额前五名的应收账款情况</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56"/>
        <w:ind w:right="0"/>
        <w:jc w:val="left"/>
        <w:rPr>
          <w:rFonts w:ascii="宋体" w:hAnsi="宋体" w:cs="宋体" w:eastAsia="宋体" w:hint="default"/>
        </w:rPr>
      </w:pPr>
      <w:r>
        <w:rPr/>
        <w:t>√适用</w:t>
      </w:r>
      <w:r>
        <w:rPr>
          <w:spacing w:val="104"/>
        </w:rPr>
        <w:t> </w:t>
      </w:r>
      <w:r>
        <w:rPr>
          <w:rFonts w:ascii="宋体" w:hAnsi="宋体" w:cs="宋体" w:eastAsia="宋体" w:hint="default"/>
          <w:spacing w:val="104"/>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right="0"/>
        <w:jc w:val="left"/>
        <w:rPr>
          <w:rFonts w:ascii="宋体" w:hAnsi="宋体" w:cs="宋体" w:eastAsia="宋体" w:hint="default"/>
        </w:rPr>
      </w:pPr>
      <w:r>
        <w:rPr/>
        <w:pict>
          <v:group style="position:absolute;margin-left:230.929993pt;margin-top:16.671556pt;width:.5pt;height:10.7pt;mso-position-horizontal-relative:page;mso-position-vertical-relative:paragraph;z-index:-1315504" coordorigin="4619,333" coordsize="10,214">
            <v:shape style="position:absolute;left:4619;top:333;width:10;height:2" type="#_x0000_t75" stroked="false">
              <v:imagedata r:id="rId259" o:title=""/>
            </v:shape>
            <v:group style="position:absolute;left:4619;top:355;width:10;height:20" coordorigin="4619,355" coordsize="10,20">
              <v:shape style="position:absolute;left:4619;top:355;width:10;height:20" coordorigin="4619,355" coordsize="10,20" path="m4619,374l4628,374,4628,355,4619,355,4619,374xe" filled="true" fillcolor="#000000" stroked="false">
                <v:path arrowok="t"/>
                <v:fill type="solid"/>
              </v:shape>
            </v:group>
            <v:group style="position:absolute;left:4619;top:374;width:10;height:20" coordorigin="4619,374" coordsize="10,20">
              <v:shape style="position:absolute;left:4619;top:374;width:10;height:20" coordorigin="4619,374" coordsize="10,20" path="m4619,393l4628,393,4628,374,4619,374,4619,393xe" filled="true" fillcolor="#000000" stroked="false">
                <v:path arrowok="t"/>
                <v:fill type="solid"/>
              </v:shape>
            </v:group>
            <v:group style="position:absolute;left:4619;top:393;width:10;height:20" coordorigin="4619,393" coordsize="10,20">
              <v:shape style="position:absolute;left:4619;top:393;width:10;height:20" coordorigin="4619,393" coordsize="10,20" path="m4619,413l4628,413,4628,393,4619,393,4619,413xe" filled="true" fillcolor="#000000" stroked="false">
                <v:path arrowok="t"/>
                <v:fill type="solid"/>
              </v:shape>
            </v:group>
            <v:group style="position:absolute;left:4619;top:413;width:10;height:20" coordorigin="4619,413" coordsize="10,20">
              <v:shape style="position:absolute;left:4619;top:413;width:10;height:20" coordorigin="4619,413" coordsize="10,20" path="m4619,432l4628,432,4628,413,4619,413,4619,432xe" filled="true" fillcolor="#000000" stroked="false">
                <v:path arrowok="t"/>
                <v:fill type="solid"/>
              </v:shape>
            </v:group>
            <v:group style="position:absolute;left:4619;top:432;width:10;height:20" coordorigin="4619,432" coordsize="10,20">
              <v:shape style="position:absolute;left:4619;top:432;width:10;height:20" coordorigin="4619,432" coordsize="10,20" path="m4619,451l4628,451,4628,432,4619,432,4619,451xe" filled="true" fillcolor="#000000" stroked="false">
                <v:path arrowok="t"/>
                <v:fill type="solid"/>
              </v:shape>
            </v:group>
            <v:group style="position:absolute;left:4619;top:451;width:10;height:20" coordorigin="4619,451" coordsize="10,20">
              <v:shape style="position:absolute;left:4619;top:451;width:10;height:20" coordorigin="4619,451" coordsize="10,20" path="m4619,470l4628,470,4628,451,4619,451,4619,470xe" filled="true" fillcolor="#000000" stroked="false">
                <v:path arrowok="t"/>
                <v:fill type="solid"/>
              </v:shape>
            </v:group>
            <v:group style="position:absolute;left:4619;top:470;width:10;height:20" coordorigin="4619,470" coordsize="10,20">
              <v:shape style="position:absolute;left:4619;top:470;width:10;height:20" coordorigin="4619,470" coordsize="10,20" path="m4619,489l4628,489,4628,470,4619,470,4619,489xe" filled="true" fillcolor="#000000" stroked="false">
                <v:path arrowok="t"/>
                <v:fill type="solid"/>
              </v:shape>
            </v:group>
            <v:group style="position:absolute;left:4619;top:489;width:10;height:20" coordorigin="4619,489" coordsize="10,20">
              <v:shape style="position:absolute;left:4619;top:489;width:10;height:20" coordorigin="4619,489" coordsize="10,20" path="m4619,509l4628,509,4628,489,4619,489,4619,509xe" filled="true" fillcolor="#000000" stroked="false">
                <v:path arrowok="t"/>
                <v:fill type="solid"/>
              </v:shape>
            </v:group>
            <v:group style="position:absolute;left:4619;top:509;width:10;height:20" coordorigin="4619,509" coordsize="10,20">
              <v:shape style="position:absolute;left:4619;top:509;width:10;height:20" coordorigin="4619,509" coordsize="10,20" path="m4619,528l4628,528,4628,509,4619,509,4619,528xe" filled="true" fillcolor="#000000" stroked="false">
                <v:path arrowok="t"/>
                <v:fill type="solid"/>
              </v:shape>
            </v:group>
            <v:group style="position:absolute;left:4619;top:528;width:10;height:20" coordorigin="4619,528" coordsize="10,20">
              <v:shape style="position:absolute;left:4619;top:528;width:10;height:20" coordorigin="4619,528" coordsize="10,20" path="m4619,547l4628,547,4628,528,4619,528,4619,547xe" filled="true" fillcolor="#000000" stroked="false">
                <v:path arrowok="t"/>
                <v:fill type="solid"/>
              </v:shape>
            </v:group>
            <w10:wrap type="none"/>
          </v:group>
        </w:pict>
      </w:r>
      <w:r>
        <w:rPr>
          <w:rFonts w:ascii="宋体"/>
          <w:w w:val="100"/>
        </w:rPr>
        <w:t> </w:t>
      </w:r>
    </w:p>
    <w:p>
      <w:pPr>
        <w:spacing w:line="240" w:lineRule="auto" w:before="4"/>
        <w:rPr>
          <w:rFonts w:ascii="宋体" w:hAnsi="宋体" w:cs="宋体" w:eastAsia="宋体" w:hint="default"/>
          <w:sz w:val="2"/>
          <w:szCs w:val="2"/>
        </w:rPr>
      </w:pPr>
    </w:p>
    <w:tbl>
      <w:tblPr>
        <w:tblW w:w="0" w:type="auto"/>
        <w:jc w:val="left"/>
        <w:tblInd w:w="530" w:type="dxa"/>
        <w:tblLayout w:type="fixed"/>
        <w:tblCellMar>
          <w:top w:w="0" w:type="dxa"/>
          <w:left w:w="0" w:type="dxa"/>
          <w:bottom w:w="0" w:type="dxa"/>
          <w:right w:w="0" w:type="dxa"/>
        </w:tblCellMar>
        <w:tblLook w:val="01E0"/>
      </w:tblPr>
      <w:tblGrid>
        <w:gridCol w:w="3556"/>
        <w:gridCol w:w="4893"/>
      </w:tblGrid>
      <w:tr>
        <w:trPr>
          <w:trHeight w:val="264" w:hRule="exact"/>
        </w:trPr>
        <w:tc>
          <w:tcPr>
            <w:tcW w:w="3556" w:type="dxa"/>
            <w:tcBorders>
              <w:top w:val="single" w:sz="12" w:space="0" w:color="000000"/>
              <w:left w:val="nil" w:sz="6" w:space="0" w:color="auto"/>
              <w:bottom w:val="single" w:sz="12" w:space="0" w:color="000000"/>
              <w:right w:val="nil" w:sz="6" w:space="0" w:color="auto"/>
            </w:tcBorders>
          </w:tcPr>
          <w:p>
            <w:pPr>
              <w:pStyle w:val="TableParagraph"/>
              <w:spacing w:line="208" w:lineRule="exact"/>
              <w:ind w:left="108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4893" w:type="dxa"/>
            <w:tcBorders>
              <w:top w:val="single" w:sz="12" w:space="0" w:color="000000"/>
              <w:left w:val="nil" w:sz="6" w:space="0" w:color="auto"/>
              <w:bottom w:val="single" w:sz="12" w:space="0" w:color="000000"/>
              <w:right w:val="nil" w:sz="6" w:space="0" w:color="auto"/>
            </w:tcBorders>
          </w:tcPr>
          <w:p>
            <w:pPr>
              <w:pStyle w:val="TableParagraph"/>
              <w:spacing w:line="208" w:lineRule="exact"/>
              <w:ind w:right="664"/>
              <w:jc w:val="center"/>
              <w:rPr>
                <w:rFonts w:ascii="宋体" w:hAnsi="宋体" w:cs="宋体" w:eastAsia="宋体" w:hint="default"/>
                <w:sz w:val="18"/>
                <w:szCs w:val="18"/>
              </w:rPr>
            </w:pPr>
            <w:r>
              <w:rPr>
                <w:rFonts w:ascii="宋体" w:hAnsi="宋体" w:cs="宋体" w:eastAsia="宋体" w:hint="default"/>
                <w:sz w:val="18"/>
                <w:szCs w:val="18"/>
              </w:rPr>
              <w:t>期末余额</w:t>
            </w:r>
          </w:p>
        </w:tc>
      </w:tr>
    </w:tbl>
    <w:p>
      <w:pPr>
        <w:spacing w:after="0" w:line="208" w:lineRule="exact"/>
        <w:jc w:val="center"/>
        <w:rPr>
          <w:rFonts w:ascii="宋体" w:hAnsi="宋体" w:cs="宋体" w:eastAsia="宋体" w:hint="default"/>
          <w:sz w:val="18"/>
          <w:szCs w:val="18"/>
        </w:rPr>
        <w:sectPr>
          <w:type w:val="continuous"/>
          <w:pgSz w:w="11910" w:h="16840"/>
          <w:pgMar w:top="1580" w:bottom="280" w:left="1200" w:right="1180"/>
        </w:sectPr>
      </w:pPr>
    </w:p>
    <w:p>
      <w:pPr>
        <w:spacing w:line="240" w:lineRule="auto" w:before="4"/>
        <w:rPr>
          <w:rFonts w:ascii="宋体" w:hAnsi="宋体" w:cs="宋体" w:eastAsia="宋体" w:hint="default"/>
          <w:sz w:val="29"/>
          <w:szCs w:val="29"/>
        </w:rPr>
      </w:pPr>
    </w:p>
    <w:p>
      <w:pPr>
        <w:spacing w:line="1990" w:lineRule="exact"/>
        <w:ind w:left="802" w:right="0" w:firstLine="0"/>
        <w:rPr>
          <w:rFonts w:ascii="宋体" w:hAnsi="宋体" w:cs="宋体" w:eastAsia="宋体" w:hint="default"/>
          <w:sz w:val="20"/>
          <w:szCs w:val="20"/>
        </w:rPr>
      </w:pPr>
      <w:r>
        <w:rPr>
          <w:rFonts w:ascii="宋体" w:hAnsi="宋体" w:cs="宋体" w:eastAsia="宋体" w:hint="default"/>
          <w:position w:val="-39"/>
          <w:sz w:val="20"/>
          <w:szCs w:val="20"/>
        </w:rPr>
        <w:pict>
          <v:group style="width:424.65pt;height:99.5pt;mso-position-horizontal-relative:char;mso-position-vertical-relative:line" coordorigin="0,0" coordsize="8493,1990">
            <v:group style="position:absolute;left:29;top:14;width:2888;height:2" coordorigin="29,14" coordsize="2888,2">
              <v:shape style="position:absolute;left:29;top:14;width:2888;height:2" coordorigin="29,14" coordsize="2888,0" path="m29,14l2916,14e" filled="false" stroked="true" strokeweight="1.44pt" strokecolor="#000000">
                <v:path arrowok="t"/>
              </v:shape>
              <v:shape style="position:absolute;left:2917;top:29;width:10;height:2" type="#_x0000_t75" stroked="false">
                <v:imagedata r:id="rId259" o:title=""/>
              </v:shape>
            </v:group>
            <v:group style="position:absolute;left:2917;top:14;width:29;height:2" coordorigin="2917,14" coordsize="29,2">
              <v:shape style="position:absolute;left:2917;top:14;width:29;height:2" coordorigin="2917,14" coordsize="29,0" path="m2917,14l2945,14e" filled="false" stroked="true" strokeweight="1.44pt" strokecolor="#000000">
                <v:path arrowok="t"/>
              </v:shape>
            </v:group>
            <v:group style="position:absolute;left:2945;top:14;width:1863;height:2" coordorigin="2945,14" coordsize="1863,2">
              <v:shape style="position:absolute;left:2945;top:14;width:1863;height:2" coordorigin="2945,14" coordsize="1863,0" path="m2945,14l4808,14e" filled="false" stroked="true" strokeweight="1.44pt" strokecolor="#000000">
                <v:path arrowok="t"/>
              </v:shape>
              <v:shape style="position:absolute;left:4808;top:29;width:10;height:2" type="#_x0000_t75" stroked="false">
                <v:imagedata r:id="rId259" o:title=""/>
              </v:shape>
            </v:group>
            <v:group style="position:absolute;left:4808;top:14;width:29;height:2" coordorigin="4808,14" coordsize="29,2">
              <v:shape style="position:absolute;left:4808;top:14;width:29;height:2" coordorigin="4808,14" coordsize="29,0" path="m4808,14l4837,14e" filled="false" stroked="true" strokeweight="1.44pt" strokecolor="#000000">
                <v:path arrowok="t"/>
              </v:shape>
            </v:group>
            <v:group style="position:absolute;left:4837;top:14;width:2093;height:2" coordorigin="4837,14" coordsize="2093,2">
              <v:shape style="position:absolute;left:4837;top:14;width:2093;height:2" coordorigin="4837,14" coordsize="2093,0" path="m4837,14l6930,14e" filled="false" stroked="true" strokeweight="1.44pt" strokecolor="#000000">
                <v:path arrowok="t"/>
              </v:shape>
              <v:shape style="position:absolute;left:6930;top:29;width:10;height:2" type="#_x0000_t75" stroked="false">
                <v:imagedata r:id="rId259" o:title=""/>
              </v:shape>
            </v:group>
            <v:group style="position:absolute;left:6930;top:14;width:29;height:2" coordorigin="6930,14" coordsize="29,2">
              <v:shape style="position:absolute;left:6930;top:14;width:29;height:2" coordorigin="6930,14" coordsize="29,0" path="m6930,14l6959,14e" filled="false" stroked="true" strokeweight="1.44pt" strokecolor="#000000">
                <v:path arrowok="t"/>
              </v:shape>
            </v:group>
            <v:group style="position:absolute;left:6959;top:14;width:1520;height:2" coordorigin="6959,14" coordsize="1520,2">
              <v:shape style="position:absolute;left:6959;top:14;width:1520;height:2" coordorigin="6959,14" coordsize="1520,0" path="m6959,14l8478,14e" filled="false" stroked="true" strokeweight="1.44pt" strokecolor="#000000">
                <v:path arrowok="t"/>
              </v:shape>
            </v:group>
            <v:group style="position:absolute;left:2917;top:31;width:10;height:20" coordorigin="2917,31" coordsize="10,20">
              <v:shape style="position:absolute;left:2917;top:31;width:10;height:20" coordorigin="2917,31" coordsize="10,20" path="m2917,50l2926,50,2926,31,2917,31,2917,50xe" filled="true" fillcolor="#000000" stroked="false">
                <v:path arrowok="t"/>
                <v:fill type="solid"/>
              </v:shape>
            </v:group>
            <v:group style="position:absolute;left:2917;top:50;width:10;height:20" coordorigin="2917,50" coordsize="10,20">
              <v:shape style="position:absolute;left:2917;top:50;width:10;height:20" coordorigin="2917,50" coordsize="10,20" path="m2917,70l2926,70,2926,50,2917,50,2917,70xe" filled="true" fillcolor="#000000" stroked="false">
                <v:path arrowok="t"/>
                <v:fill type="solid"/>
              </v:shape>
            </v:group>
            <v:group style="position:absolute;left:2917;top:70;width:10;height:20" coordorigin="2917,70" coordsize="10,20">
              <v:shape style="position:absolute;left:2917;top:70;width:10;height:20" coordorigin="2917,70" coordsize="10,20" path="m2917,89l2926,89,2926,70,2917,70,2917,89xe" filled="true" fillcolor="#000000" stroked="false">
                <v:path arrowok="t"/>
                <v:fill type="solid"/>
              </v:shape>
            </v:group>
            <v:group style="position:absolute;left:2917;top:89;width:10;height:20" coordorigin="2917,89" coordsize="10,20">
              <v:shape style="position:absolute;left:2917;top:89;width:10;height:20" coordorigin="2917,89" coordsize="10,20" path="m2917,108l2926,108,2926,89,2917,89,2917,108xe" filled="true" fillcolor="#000000" stroked="false">
                <v:path arrowok="t"/>
                <v:fill type="solid"/>
              </v:shape>
            </v:group>
            <v:group style="position:absolute;left:2917;top:108;width:10;height:20" coordorigin="2917,108" coordsize="10,20">
              <v:shape style="position:absolute;left:2917;top:108;width:10;height:20" coordorigin="2917,108" coordsize="10,20" path="m2917,127l2926,127,2926,108,2917,108,2917,127xe" filled="true" fillcolor="#000000" stroked="false">
                <v:path arrowok="t"/>
                <v:fill type="solid"/>
              </v:shape>
            </v:group>
            <v:group style="position:absolute;left:2917;top:127;width:10;height:20" coordorigin="2917,127" coordsize="10,20">
              <v:shape style="position:absolute;left:2917;top:127;width:10;height:20" coordorigin="2917,127" coordsize="10,20" path="m2917,146l2926,146,2926,127,2917,127,2917,146xe" filled="true" fillcolor="#000000" stroked="false">
                <v:path arrowok="t"/>
                <v:fill type="solid"/>
              </v:shape>
            </v:group>
            <v:group style="position:absolute;left:2917;top:146;width:10;height:20" coordorigin="2917,146" coordsize="10,20">
              <v:shape style="position:absolute;left:2917;top:146;width:10;height:20" coordorigin="2917,146" coordsize="10,20" path="m2917,166l2926,166,2926,146,2917,146,2917,166xe" filled="true" fillcolor="#000000" stroked="false">
                <v:path arrowok="t"/>
                <v:fill type="solid"/>
              </v:shape>
            </v:group>
            <v:group style="position:absolute;left:2917;top:166;width:10;height:20" coordorigin="2917,166" coordsize="10,20">
              <v:shape style="position:absolute;left:2917;top:166;width:10;height:20" coordorigin="2917,166" coordsize="10,20" path="m2917,185l2926,185,2926,166,2917,166,2917,185xe" filled="true" fillcolor="#000000" stroked="false">
                <v:path arrowok="t"/>
                <v:fill type="solid"/>
              </v:shape>
            </v:group>
            <v:group style="position:absolute;left:2917;top:185;width:10;height:20" coordorigin="2917,185" coordsize="10,20">
              <v:shape style="position:absolute;left:2917;top:185;width:10;height:20" coordorigin="2917,185" coordsize="10,20" path="m2917,204l2926,204,2926,185,2917,185,2917,204xe" filled="true" fillcolor="#000000" stroked="false">
                <v:path arrowok="t"/>
                <v:fill type="solid"/>
              </v:shape>
            </v:group>
            <v:group style="position:absolute;left:2917;top:204;width:10;height:20" coordorigin="2917,204" coordsize="10,20">
              <v:shape style="position:absolute;left:2917;top:204;width:10;height:20" coordorigin="2917,204" coordsize="10,20" path="m2917,223l2926,223,2926,204,2917,204,2917,223xe" filled="true" fillcolor="#000000" stroked="false">
                <v:path arrowok="t"/>
                <v:fill type="solid"/>
              </v:shape>
            </v:group>
            <v:group style="position:absolute;left:2917;top:223;width:10;height:20" coordorigin="2917,223" coordsize="10,20">
              <v:shape style="position:absolute;left:2917;top:223;width:10;height:20" coordorigin="2917,223" coordsize="10,20" path="m2917,243l2926,243,2926,223,2917,223,2917,243xe" filled="true" fillcolor="#000000" stroked="false">
                <v:path arrowok="t"/>
                <v:fill type="solid"/>
              </v:shape>
            </v:group>
            <v:group style="position:absolute;left:2917;top:243;width:10;height:20" coordorigin="2917,243" coordsize="10,20">
              <v:shape style="position:absolute;left:2917;top:243;width:10;height:20" coordorigin="2917,243" coordsize="10,20" path="m2917,262l2926,262,2926,243,2917,243,2917,262xe" filled="true" fillcolor="#000000" stroked="false">
                <v:path arrowok="t"/>
                <v:fill type="solid"/>
              </v:shape>
            </v:group>
            <v:group style="position:absolute;left:2917;top:262;width:10;height:20" coordorigin="2917,262" coordsize="10,20">
              <v:shape style="position:absolute;left:2917;top:262;width:10;height:20" coordorigin="2917,262" coordsize="10,20" path="m2917,281l2926,281,2926,262,2917,262,2917,281xe" filled="true" fillcolor="#000000" stroked="false">
                <v:path arrowok="t"/>
                <v:fill type="solid"/>
              </v:shape>
            </v:group>
            <v:group style="position:absolute;left:2917;top:281;width:10;height:20" coordorigin="2917,281" coordsize="10,20">
              <v:shape style="position:absolute;left:2917;top:281;width:10;height:20" coordorigin="2917,281" coordsize="10,20" path="m2917,300l2926,300,2926,281,2917,281,2917,300xe" filled="true" fillcolor="#000000" stroked="false">
                <v:path arrowok="t"/>
                <v:fill type="solid"/>
              </v:shape>
            </v:group>
            <v:group style="position:absolute;left:2917;top:300;width:10;height:20" coordorigin="2917,300" coordsize="10,20">
              <v:shape style="position:absolute;left:2917;top:300;width:10;height:20" coordorigin="2917,300" coordsize="10,20" path="m2917,320l2926,320,2926,300,2917,300,2917,320xe" filled="true" fillcolor="#000000" stroked="false">
                <v:path arrowok="t"/>
                <v:fill type="solid"/>
              </v:shape>
            </v:group>
            <v:group style="position:absolute;left:2917;top:320;width:10;height:20" coordorigin="2917,320" coordsize="10,20">
              <v:shape style="position:absolute;left:2917;top:320;width:10;height:20" coordorigin="2917,320" coordsize="10,20" path="m2917,339l2926,339,2926,320,2917,320,2917,339xe" filled="true" fillcolor="#000000" stroked="false">
                <v:path arrowok="t"/>
                <v:fill type="solid"/>
              </v:shape>
            </v:group>
            <v:group style="position:absolute;left:2917;top:339;width:10;height:20" coordorigin="2917,339" coordsize="10,20">
              <v:shape style="position:absolute;left:2917;top:339;width:10;height:20" coordorigin="2917,339" coordsize="10,20" path="m2917,358l2926,358,2926,339,2917,339,2917,358xe" filled="true" fillcolor="#000000" stroked="false">
                <v:path arrowok="t"/>
                <v:fill type="solid"/>
              </v:shape>
            </v:group>
            <v:group style="position:absolute;left:2917;top:358;width:10;height:20" coordorigin="2917,358" coordsize="10,20">
              <v:shape style="position:absolute;left:2917;top:358;width:10;height:20" coordorigin="2917,358" coordsize="10,20" path="m2917,377l2926,377,2926,358,2917,358,2917,377xe" filled="true" fillcolor="#000000" stroked="false">
                <v:path arrowok="t"/>
                <v:fill type="solid"/>
              </v:shape>
            </v:group>
            <v:group style="position:absolute;left:2917;top:377;width:10;height:20" coordorigin="2917,377" coordsize="10,20">
              <v:shape style="position:absolute;left:2917;top:377;width:10;height:20" coordorigin="2917,377" coordsize="10,20" path="m2917,396l2926,396,2926,377,2917,377,2917,396xe" filled="true" fillcolor="#000000" stroked="false">
                <v:path arrowok="t"/>
                <v:fill type="solid"/>
              </v:shape>
            </v:group>
            <v:group style="position:absolute;left:2917;top:396;width:10;height:20" coordorigin="2917,396" coordsize="10,20">
              <v:shape style="position:absolute;left:2917;top:396;width:10;height:20" coordorigin="2917,396" coordsize="10,20" path="m2917,416l2926,416,2926,396,2917,396,2917,416xe" filled="true" fillcolor="#000000" stroked="false">
                <v:path arrowok="t"/>
                <v:fill type="solid"/>
              </v:shape>
            </v:group>
            <v:group style="position:absolute;left:2917;top:416;width:10;height:20" coordorigin="2917,416" coordsize="10,20">
              <v:shape style="position:absolute;left:2917;top:416;width:10;height:20" coordorigin="2917,416" coordsize="10,20" path="m2917,435l2926,435,2926,416,2917,416,2917,435xe" filled="true" fillcolor="#000000" stroked="false">
                <v:path arrowok="t"/>
                <v:fill type="solid"/>
              </v:shape>
            </v:group>
            <v:group style="position:absolute;left:2917;top:435;width:10;height:20" coordorigin="2917,435" coordsize="10,20">
              <v:shape style="position:absolute;left:2917;top:435;width:10;height:20" coordorigin="2917,435" coordsize="10,20" path="m2917,454l2926,454,2926,435,2917,435,2917,454xe" filled="true" fillcolor="#000000" stroked="false">
                <v:path arrowok="t"/>
                <v:fill type="solid"/>
              </v:shape>
            </v:group>
            <v:group style="position:absolute;left:2917;top:454;width:10;height:20" coordorigin="2917,454" coordsize="10,20">
              <v:shape style="position:absolute;left:2917;top:454;width:10;height:20" coordorigin="2917,454" coordsize="10,20" path="m2917,473l2926,473,2926,454,2917,454,2917,473xe" filled="true" fillcolor="#000000" stroked="false">
                <v:path arrowok="t"/>
                <v:fill type="solid"/>
              </v:shape>
            </v:group>
            <v:group style="position:absolute;left:2917;top:473;width:10;height:20" coordorigin="2917,473" coordsize="10,20">
              <v:shape style="position:absolute;left:2917;top:473;width:10;height:20" coordorigin="2917,473" coordsize="10,20" path="m2917,492l2926,492,2926,473,2917,473,2917,492xe" filled="true" fillcolor="#000000" stroked="false">
                <v:path arrowok="t"/>
                <v:fill type="solid"/>
              </v:shape>
            </v:group>
            <v:group style="position:absolute;left:2917;top:495;width:10;height:2" coordorigin="2917,495" coordsize="10,2">
              <v:shape style="position:absolute;left:2917;top:495;width:10;height:2" coordorigin="2917,495" coordsize="10,0" path="m2917,495l2926,495e" filled="false" stroked="true" strokeweight=".24005pt" strokecolor="#000000">
                <v:path arrowok="t"/>
              </v:shape>
            </v:group>
            <v:group style="position:absolute;left:4808;top:31;width:10;height:20" coordorigin="4808,31" coordsize="10,20">
              <v:shape style="position:absolute;left:4808;top:31;width:10;height:20" coordorigin="4808,31" coordsize="10,20" path="m4808,50l4818,50,4818,31,4808,31,4808,50xe" filled="true" fillcolor="#000000" stroked="false">
                <v:path arrowok="t"/>
                <v:fill type="solid"/>
              </v:shape>
            </v:group>
            <v:group style="position:absolute;left:4808;top:50;width:10;height:20" coordorigin="4808,50" coordsize="10,20">
              <v:shape style="position:absolute;left:4808;top:50;width:10;height:20" coordorigin="4808,50" coordsize="10,20" path="m4808,70l4818,70,4818,50,4808,50,4808,70xe" filled="true" fillcolor="#000000" stroked="false">
                <v:path arrowok="t"/>
                <v:fill type="solid"/>
              </v:shape>
            </v:group>
            <v:group style="position:absolute;left:4808;top:70;width:10;height:20" coordorigin="4808,70" coordsize="10,20">
              <v:shape style="position:absolute;left:4808;top:70;width:10;height:20" coordorigin="4808,70" coordsize="10,20" path="m4808,89l4818,89,4818,70,4808,70,4808,89xe" filled="true" fillcolor="#000000" stroked="false">
                <v:path arrowok="t"/>
                <v:fill type="solid"/>
              </v:shape>
            </v:group>
            <v:group style="position:absolute;left:4808;top:89;width:10;height:20" coordorigin="4808,89" coordsize="10,20">
              <v:shape style="position:absolute;left:4808;top:89;width:10;height:20" coordorigin="4808,89" coordsize="10,20" path="m4808,108l4818,108,4818,89,4808,89,4808,108xe" filled="true" fillcolor="#000000" stroked="false">
                <v:path arrowok="t"/>
                <v:fill type="solid"/>
              </v:shape>
            </v:group>
            <v:group style="position:absolute;left:4808;top:108;width:10;height:20" coordorigin="4808,108" coordsize="10,20">
              <v:shape style="position:absolute;left:4808;top:108;width:10;height:20" coordorigin="4808,108" coordsize="10,20" path="m4808,127l4818,127,4818,108,4808,108,4808,127xe" filled="true" fillcolor="#000000" stroked="false">
                <v:path arrowok="t"/>
                <v:fill type="solid"/>
              </v:shape>
            </v:group>
            <v:group style="position:absolute;left:4808;top:127;width:10;height:20" coordorigin="4808,127" coordsize="10,20">
              <v:shape style="position:absolute;left:4808;top:127;width:10;height:20" coordorigin="4808,127" coordsize="10,20" path="m4808,146l4818,146,4818,127,4808,127,4808,146xe" filled="true" fillcolor="#000000" stroked="false">
                <v:path arrowok="t"/>
                <v:fill type="solid"/>
              </v:shape>
            </v:group>
            <v:group style="position:absolute;left:4808;top:146;width:10;height:20" coordorigin="4808,146" coordsize="10,20">
              <v:shape style="position:absolute;left:4808;top:146;width:10;height:20" coordorigin="4808,146" coordsize="10,20" path="m4808,166l4818,166,4818,146,4808,146,4808,166xe" filled="true" fillcolor="#000000" stroked="false">
                <v:path arrowok="t"/>
                <v:fill type="solid"/>
              </v:shape>
            </v:group>
            <v:group style="position:absolute;left:4808;top:166;width:10;height:20" coordorigin="4808,166" coordsize="10,20">
              <v:shape style="position:absolute;left:4808;top:166;width:10;height:20" coordorigin="4808,166" coordsize="10,20" path="m4808,185l4818,185,4818,166,4808,166,4808,185xe" filled="true" fillcolor="#000000" stroked="false">
                <v:path arrowok="t"/>
                <v:fill type="solid"/>
              </v:shape>
            </v:group>
            <v:group style="position:absolute;left:4808;top:185;width:10;height:20" coordorigin="4808,185" coordsize="10,20">
              <v:shape style="position:absolute;left:4808;top:185;width:10;height:20" coordorigin="4808,185" coordsize="10,20" path="m4808,204l4818,204,4818,185,4808,185,4808,204xe" filled="true" fillcolor="#000000" stroked="false">
                <v:path arrowok="t"/>
                <v:fill type="solid"/>
              </v:shape>
            </v:group>
            <v:group style="position:absolute;left:4808;top:204;width:10;height:20" coordorigin="4808,204" coordsize="10,20">
              <v:shape style="position:absolute;left:4808;top:204;width:10;height:20" coordorigin="4808,204" coordsize="10,20" path="m4808,223l4818,223,4818,204,4808,204,4808,223xe" filled="true" fillcolor="#000000" stroked="false">
                <v:path arrowok="t"/>
                <v:fill type="solid"/>
              </v:shape>
            </v:group>
            <v:group style="position:absolute;left:4808;top:223;width:10;height:20" coordorigin="4808,223" coordsize="10,20">
              <v:shape style="position:absolute;left:4808;top:223;width:10;height:20" coordorigin="4808,223" coordsize="10,20" path="m4808,243l4818,243,4818,223,4808,223,4808,243xe" filled="true" fillcolor="#000000" stroked="false">
                <v:path arrowok="t"/>
                <v:fill type="solid"/>
              </v:shape>
            </v:group>
            <v:group style="position:absolute;left:4808;top:243;width:10;height:20" coordorigin="4808,243" coordsize="10,20">
              <v:shape style="position:absolute;left:4808;top:243;width:10;height:20" coordorigin="4808,243" coordsize="10,20" path="m4808,262l4818,262,4818,243,4808,243,4808,262xe" filled="true" fillcolor="#000000" stroked="false">
                <v:path arrowok="t"/>
                <v:fill type="solid"/>
              </v:shape>
            </v:group>
            <v:group style="position:absolute;left:4808;top:262;width:10;height:20" coordorigin="4808,262" coordsize="10,20">
              <v:shape style="position:absolute;left:4808;top:262;width:10;height:20" coordorigin="4808,262" coordsize="10,20" path="m4808,281l4818,281,4818,262,4808,262,4808,281xe" filled="true" fillcolor="#000000" stroked="false">
                <v:path arrowok="t"/>
                <v:fill type="solid"/>
              </v:shape>
            </v:group>
            <v:group style="position:absolute;left:4808;top:281;width:10;height:20" coordorigin="4808,281" coordsize="10,20">
              <v:shape style="position:absolute;left:4808;top:281;width:10;height:20" coordorigin="4808,281" coordsize="10,20" path="m4808,300l4818,300,4818,281,4808,281,4808,300xe" filled="true" fillcolor="#000000" stroked="false">
                <v:path arrowok="t"/>
                <v:fill type="solid"/>
              </v:shape>
            </v:group>
            <v:group style="position:absolute;left:4808;top:300;width:10;height:20" coordorigin="4808,300" coordsize="10,20">
              <v:shape style="position:absolute;left:4808;top:300;width:10;height:20" coordorigin="4808,300" coordsize="10,20" path="m4808,320l4818,320,4818,300,4808,300,4808,320xe" filled="true" fillcolor="#000000" stroked="false">
                <v:path arrowok="t"/>
                <v:fill type="solid"/>
              </v:shape>
            </v:group>
            <v:group style="position:absolute;left:4808;top:320;width:10;height:20" coordorigin="4808,320" coordsize="10,20">
              <v:shape style="position:absolute;left:4808;top:320;width:10;height:20" coordorigin="4808,320" coordsize="10,20" path="m4808,339l4818,339,4818,320,4808,320,4808,339xe" filled="true" fillcolor="#000000" stroked="false">
                <v:path arrowok="t"/>
                <v:fill type="solid"/>
              </v:shape>
            </v:group>
            <v:group style="position:absolute;left:4808;top:339;width:10;height:20" coordorigin="4808,339" coordsize="10,20">
              <v:shape style="position:absolute;left:4808;top:339;width:10;height:20" coordorigin="4808,339" coordsize="10,20" path="m4808,358l4818,358,4818,339,4808,339,4808,358xe" filled="true" fillcolor="#000000" stroked="false">
                <v:path arrowok="t"/>
                <v:fill type="solid"/>
              </v:shape>
            </v:group>
            <v:group style="position:absolute;left:4808;top:358;width:10;height:20" coordorigin="4808,358" coordsize="10,20">
              <v:shape style="position:absolute;left:4808;top:358;width:10;height:20" coordorigin="4808,358" coordsize="10,20" path="m4808,377l4818,377,4818,358,4808,358,4808,377xe" filled="true" fillcolor="#000000" stroked="false">
                <v:path arrowok="t"/>
                <v:fill type="solid"/>
              </v:shape>
            </v:group>
            <v:group style="position:absolute;left:4808;top:377;width:10;height:20" coordorigin="4808,377" coordsize="10,20">
              <v:shape style="position:absolute;left:4808;top:377;width:10;height:20" coordorigin="4808,377" coordsize="10,20" path="m4808,396l4818,396,4818,377,4808,377,4808,396xe" filled="true" fillcolor="#000000" stroked="false">
                <v:path arrowok="t"/>
                <v:fill type="solid"/>
              </v:shape>
            </v:group>
            <v:group style="position:absolute;left:4808;top:396;width:10;height:20" coordorigin="4808,396" coordsize="10,20">
              <v:shape style="position:absolute;left:4808;top:396;width:10;height:20" coordorigin="4808,396" coordsize="10,20" path="m4808,416l4818,416,4818,396,4808,396,4808,416xe" filled="true" fillcolor="#000000" stroked="false">
                <v:path arrowok="t"/>
                <v:fill type="solid"/>
              </v:shape>
            </v:group>
            <v:group style="position:absolute;left:4808;top:416;width:10;height:20" coordorigin="4808,416" coordsize="10,20">
              <v:shape style="position:absolute;left:4808;top:416;width:10;height:20" coordorigin="4808,416" coordsize="10,20" path="m4808,435l4818,435,4818,416,4808,416,4808,435xe" filled="true" fillcolor="#000000" stroked="false">
                <v:path arrowok="t"/>
                <v:fill type="solid"/>
              </v:shape>
            </v:group>
            <v:group style="position:absolute;left:4808;top:435;width:10;height:20" coordorigin="4808,435" coordsize="10,20">
              <v:shape style="position:absolute;left:4808;top:435;width:10;height:20" coordorigin="4808,435" coordsize="10,20" path="m4808,454l4818,454,4818,435,4808,435,4808,454xe" filled="true" fillcolor="#000000" stroked="false">
                <v:path arrowok="t"/>
                <v:fill type="solid"/>
              </v:shape>
            </v:group>
            <v:group style="position:absolute;left:4808;top:454;width:10;height:20" coordorigin="4808,454" coordsize="10,20">
              <v:shape style="position:absolute;left:4808;top:454;width:10;height:20" coordorigin="4808,454" coordsize="10,20" path="m4808,473l4818,473,4818,454,4808,454,4808,473xe" filled="true" fillcolor="#000000" stroked="false">
                <v:path arrowok="t"/>
                <v:fill type="solid"/>
              </v:shape>
            </v:group>
            <v:group style="position:absolute;left:4808;top:473;width:10;height:20" coordorigin="4808,473" coordsize="10,20">
              <v:shape style="position:absolute;left:4808;top:473;width:10;height:20" coordorigin="4808,473" coordsize="10,20" path="m4808,492l4818,492,4818,473,4808,473,4808,492xe" filled="true" fillcolor="#000000" stroked="false">
                <v:path arrowok="t"/>
                <v:fill type="solid"/>
              </v:shape>
            </v:group>
            <v:group style="position:absolute;left:4808;top:495;width:10;height:2" coordorigin="4808,495" coordsize="10,2">
              <v:shape style="position:absolute;left:4808;top:495;width:10;height:2" coordorigin="4808,495" coordsize="10,0" path="m4808,495l4818,495e" filled="false" stroked="true" strokeweight=".24005pt" strokecolor="#000000">
                <v:path arrowok="t"/>
              </v:shape>
            </v:group>
            <v:group style="position:absolute;left:6930;top:31;width:10;height:20" coordorigin="6930,31" coordsize="10,20">
              <v:shape style="position:absolute;left:6930;top:31;width:10;height:20" coordorigin="6930,31" coordsize="10,20" path="m6930,50l6939,50,6939,31,6930,31,6930,50xe" filled="true" fillcolor="#000000" stroked="false">
                <v:path arrowok="t"/>
                <v:fill type="solid"/>
              </v:shape>
            </v:group>
            <v:group style="position:absolute;left:6930;top:50;width:10;height:20" coordorigin="6930,50" coordsize="10,20">
              <v:shape style="position:absolute;left:6930;top:50;width:10;height:20" coordorigin="6930,50" coordsize="10,20" path="m6930,70l6939,70,6939,50,6930,50,6930,70xe" filled="true" fillcolor="#000000" stroked="false">
                <v:path arrowok="t"/>
                <v:fill type="solid"/>
              </v:shape>
            </v:group>
            <v:group style="position:absolute;left:6930;top:70;width:10;height:20" coordorigin="6930,70" coordsize="10,20">
              <v:shape style="position:absolute;left:6930;top:70;width:10;height:20" coordorigin="6930,70" coordsize="10,20" path="m6930,89l6939,89,6939,70,6930,70,6930,89xe" filled="true" fillcolor="#000000" stroked="false">
                <v:path arrowok="t"/>
                <v:fill type="solid"/>
              </v:shape>
            </v:group>
            <v:group style="position:absolute;left:6930;top:89;width:10;height:20" coordorigin="6930,89" coordsize="10,20">
              <v:shape style="position:absolute;left:6930;top:89;width:10;height:20" coordorigin="6930,89" coordsize="10,20" path="m6930,108l6939,108,6939,89,6930,89,6930,108xe" filled="true" fillcolor="#000000" stroked="false">
                <v:path arrowok="t"/>
                <v:fill type="solid"/>
              </v:shape>
            </v:group>
            <v:group style="position:absolute;left:6930;top:108;width:10;height:20" coordorigin="6930,108" coordsize="10,20">
              <v:shape style="position:absolute;left:6930;top:108;width:10;height:20" coordorigin="6930,108" coordsize="10,20" path="m6930,127l6939,127,6939,108,6930,108,6930,127xe" filled="true" fillcolor="#000000" stroked="false">
                <v:path arrowok="t"/>
                <v:fill type="solid"/>
              </v:shape>
            </v:group>
            <v:group style="position:absolute;left:6930;top:127;width:10;height:20" coordorigin="6930,127" coordsize="10,20">
              <v:shape style="position:absolute;left:6930;top:127;width:10;height:20" coordorigin="6930,127" coordsize="10,20" path="m6930,146l6939,146,6939,127,6930,127,6930,146xe" filled="true" fillcolor="#000000" stroked="false">
                <v:path arrowok="t"/>
                <v:fill type="solid"/>
              </v:shape>
            </v:group>
            <v:group style="position:absolute;left:6930;top:146;width:10;height:20" coordorigin="6930,146" coordsize="10,20">
              <v:shape style="position:absolute;left:6930;top:146;width:10;height:20" coordorigin="6930,146" coordsize="10,20" path="m6930,166l6939,166,6939,146,6930,146,6930,166xe" filled="true" fillcolor="#000000" stroked="false">
                <v:path arrowok="t"/>
                <v:fill type="solid"/>
              </v:shape>
            </v:group>
            <v:group style="position:absolute;left:6930;top:166;width:10;height:20" coordorigin="6930,166" coordsize="10,20">
              <v:shape style="position:absolute;left:6930;top:166;width:10;height:20" coordorigin="6930,166" coordsize="10,20" path="m6930,185l6939,185,6939,166,6930,166,6930,185xe" filled="true" fillcolor="#000000" stroked="false">
                <v:path arrowok="t"/>
                <v:fill type="solid"/>
              </v:shape>
            </v:group>
            <v:group style="position:absolute;left:6930;top:185;width:10;height:20" coordorigin="6930,185" coordsize="10,20">
              <v:shape style="position:absolute;left:6930;top:185;width:10;height:20" coordorigin="6930,185" coordsize="10,20" path="m6930,204l6939,204,6939,185,6930,185,6930,204xe" filled="true" fillcolor="#000000" stroked="false">
                <v:path arrowok="t"/>
                <v:fill type="solid"/>
              </v:shape>
            </v:group>
            <v:group style="position:absolute;left:6930;top:204;width:10;height:20" coordorigin="6930,204" coordsize="10,20">
              <v:shape style="position:absolute;left:6930;top:204;width:10;height:20" coordorigin="6930,204" coordsize="10,20" path="m6930,223l6939,223,6939,204,6930,204,6930,223xe" filled="true" fillcolor="#000000" stroked="false">
                <v:path arrowok="t"/>
                <v:fill type="solid"/>
              </v:shape>
            </v:group>
            <v:group style="position:absolute;left:6930;top:223;width:10;height:20" coordorigin="6930,223" coordsize="10,20">
              <v:shape style="position:absolute;left:6930;top:223;width:10;height:20" coordorigin="6930,223" coordsize="10,20" path="m6930,243l6939,243,6939,223,6930,223,6930,243xe" filled="true" fillcolor="#000000" stroked="false">
                <v:path arrowok="t"/>
                <v:fill type="solid"/>
              </v:shape>
            </v:group>
            <v:group style="position:absolute;left:6930;top:243;width:10;height:20" coordorigin="6930,243" coordsize="10,20">
              <v:shape style="position:absolute;left:6930;top:243;width:10;height:20" coordorigin="6930,243" coordsize="10,20" path="m6930,262l6939,262,6939,243,6930,243,6930,262xe" filled="true" fillcolor="#000000" stroked="false">
                <v:path arrowok="t"/>
                <v:fill type="solid"/>
              </v:shape>
            </v:group>
            <v:group style="position:absolute;left:6930;top:262;width:10;height:20" coordorigin="6930,262" coordsize="10,20">
              <v:shape style="position:absolute;left:6930;top:262;width:10;height:20" coordorigin="6930,262" coordsize="10,20" path="m6930,281l6939,281,6939,262,6930,262,6930,281xe" filled="true" fillcolor="#000000" stroked="false">
                <v:path arrowok="t"/>
                <v:fill type="solid"/>
              </v:shape>
            </v:group>
            <v:group style="position:absolute;left:6930;top:281;width:10;height:20" coordorigin="6930,281" coordsize="10,20">
              <v:shape style="position:absolute;left:6930;top:281;width:10;height:20" coordorigin="6930,281" coordsize="10,20" path="m6930,300l6939,300,6939,281,6930,281,6930,300xe" filled="true" fillcolor="#000000" stroked="false">
                <v:path arrowok="t"/>
                <v:fill type="solid"/>
              </v:shape>
            </v:group>
            <v:group style="position:absolute;left:6930;top:300;width:10;height:20" coordorigin="6930,300" coordsize="10,20">
              <v:shape style="position:absolute;left:6930;top:300;width:10;height:20" coordorigin="6930,300" coordsize="10,20" path="m6930,320l6939,320,6939,300,6930,300,6930,320xe" filled="true" fillcolor="#000000" stroked="false">
                <v:path arrowok="t"/>
                <v:fill type="solid"/>
              </v:shape>
            </v:group>
            <v:group style="position:absolute;left:6930;top:320;width:10;height:20" coordorigin="6930,320" coordsize="10,20">
              <v:shape style="position:absolute;left:6930;top:320;width:10;height:20" coordorigin="6930,320" coordsize="10,20" path="m6930,339l6939,339,6939,320,6930,320,6930,339xe" filled="true" fillcolor="#000000" stroked="false">
                <v:path arrowok="t"/>
                <v:fill type="solid"/>
              </v:shape>
            </v:group>
            <v:group style="position:absolute;left:6930;top:339;width:10;height:20" coordorigin="6930,339" coordsize="10,20">
              <v:shape style="position:absolute;left:6930;top:339;width:10;height:20" coordorigin="6930,339" coordsize="10,20" path="m6930,358l6939,358,6939,339,6930,339,6930,358xe" filled="true" fillcolor="#000000" stroked="false">
                <v:path arrowok="t"/>
                <v:fill type="solid"/>
              </v:shape>
            </v:group>
            <v:group style="position:absolute;left:6930;top:358;width:10;height:20" coordorigin="6930,358" coordsize="10,20">
              <v:shape style="position:absolute;left:6930;top:358;width:10;height:20" coordorigin="6930,358" coordsize="10,20" path="m6930,377l6939,377,6939,358,6930,358,6930,377xe" filled="true" fillcolor="#000000" stroked="false">
                <v:path arrowok="t"/>
                <v:fill type="solid"/>
              </v:shape>
            </v:group>
            <v:group style="position:absolute;left:6930;top:377;width:10;height:20" coordorigin="6930,377" coordsize="10,20">
              <v:shape style="position:absolute;left:6930;top:377;width:10;height:20" coordorigin="6930,377" coordsize="10,20" path="m6930,396l6939,396,6939,377,6930,377,6930,396xe" filled="true" fillcolor="#000000" stroked="false">
                <v:path arrowok="t"/>
                <v:fill type="solid"/>
              </v:shape>
            </v:group>
            <v:group style="position:absolute;left:6930;top:396;width:10;height:20" coordorigin="6930,396" coordsize="10,20">
              <v:shape style="position:absolute;left:6930;top:396;width:10;height:20" coordorigin="6930,396" coordsize="10,20" path="m6930,416l6939,416,6939,396,6930,396,6930,416xe" filled="true" fillcolor="#000000" stroked="false">
                <v:path arrowok="t"/>
                <v:fill type="solid"/>
              </v:shape>
            </v:group>
            <v:group style="position:absolute;left:6930;top:416;width:10;height:20" coordorigin="6930,416" coordsize="10,20">
              <v:shape style="position:absolute;left:6930;top:416;width:10;height:20" coordorigin="6930,416" coordsize="10,20" path="m6930,435l6939,435,6939,416,6930,416,6930,435xe" filled="true" fillcolor="#000000" stroked="false">
                <v:path arrowok="t"/>
                <v:fill type="solid"/>
              </v:shape>
            </v:group>
            <v:group style="position:absolute;left:6930;top:435;width:10;height:20" coordorigin="6930,435" coordsize="10,20">
              <v:shape style="position:absolute;left:6930;top:435;width:10;height:20" coordorigin="6930,435" coordsize="10,20" path="m6930,454l6939,454,6939,435,6930,435,6930,454xe" filled="true" fillcolor="#000000" stroked="false">
                <v:path arrowok="t"/>
                <v:fill type="solid"/>
              </v:shape>
            </v:group>
            <v:group style="position:absolute;left:6930;top:454;width:10;height:20" coordorigin="6930,454" coordsize="10,20">
              <v:shape style="position:absolute;left:6930;top:454;width:10;height:20" coordorigin="6930,454" coordsize="10,20" path="m6930,473l6939,473,6939,454,6930,454,6930,473xe" filled="true" fillcolor="#000000" stroked="false">
                <v:path arrowok="t"/>
                <v:fill type="solid"/>
              </v:shape>
            </v:group>
            <v:group style="position:absolute;left:6930;top:473;width:10;height:20" coordorigin="6930,473" coordsize="10,20">
              <v:shape style="position:absolute;left:6930;top:473;width:10;height:20" coordorigin="6930,473" coordsize="10,20" path="m6930,492l6939,492,6939,473,6930,473,6930,492xe" filled="true" fillcolor="#000000" stroked="false">
                <v:path arrowok="t"/>
                <v:fill type="solid"/>
              </v:shape>
            </v:group>
            <v:group style="position:absolute;left:6930;top:495;width:10;height:2" coordorigin="6930,495" coordsize="10,2">
              <v:shape style="position:absolute;left:6930;top:495;width:10;height:2" coordorigin="6930,495" coordsize="10,0" path="m6930,495l6939,495e" filled="false" stroked="true" strokeweight=".24005pt" strokecolor="#000000">
                <v:path arrowok="t"/>
              </v:shape>
              <v:shape style="position:absolute;left:29;top:497;width:2888;height:10" type="#_x0000_t75" stroked="false">
                <v:imagedata r:id="rId261" o:title=""/>
              </v:shape>
              <v:shape style="position:absolute;left:2912;top:497;width:4018;height:10" type="#_x0000_t75" stroked="false">
                <v:imagedata r:id="rId262" o:title=""/>
              </v:shape>
              <v:shape style="position:absolute;left:6925;top:497;width:1553;height:10" type="#_x0000_t75" stroked="false">
                <v:imagedata r:id="rId263" o:title=""/>
              </v:shape>
            </v:group>
            <v:group style="position:absolute;left:2917;top:507;width:10;height:20" coordorigin="2917,507" coordsize="10,20">
              <v:shape style="position:absolute;left:2917;top:507;width:10;height:20" coordorigin="2917,507" coordsize="10,20" path="m2917,526l2926,526,2926,507,2917,507,2917,526xe" filled="true" fillcolor="#000000" stroked="false">
                <v:path arrowok="t"/>
                <v:fill type="solid"/>
              </v:shape>
            </v:group>
            <v:group style="position:absolute;left:2917;top:526;width:10;height:20" coordorigin="2917,526" coordsize="10,20">
              <v:shape style="position:absolute;left:2917;top:526;width:10;height:20" coordorigin="2917,526" coordsize="10,20" path="m2917,545l2926,545,2926,526,2917,526,2917,545xe" filled="true" fillcolor="#000000" stroked="false">
                <v:path arrowok="t"/>
                <v:fill type="solid"/>
              </v:shape>
            </v:group>
            <v:group style="position:absolute;left:2917;top:545;width:10;height:20" coordorigin="2917,545" coordsize="10,20">
              <v:shape style="position:absolute;left:2917;top:545;width:10;height:20" coordorigin="2917,545" coordsize="10,20" path="m2917,564l2926,564,2926,545,2917,545,2917,564xe" filled="true" fillcolor="#000000" stroked="false">
                <v:path arrowok="t"/>
                <v:fill type="solid"/>
              </v:shape>
            </v:group>
            <v:group style="position:absolute;left:2917;top:564;width:10;height:20" coordorigin="2917,564" coordsize="10,20">
              <v:shape style="position:absolute;left:2917;top:564;width:10;height:20" coordorigin="2917,564" coordsize="10,20" path="m2917,584l2926,584,2926,564,2917,564,2917,584xe" filled="true" fillcolor="#000000" stroked="false">
                <v:path arrowok="t"/>
                <v:fill type="solid"/>
              </v:shape>
            </v:group>
            <v:group style="position:absolute;left:2917;top:584;width:10;height:20" coordorigin="2917,584" coordsize="10,20">
              <v:shape style="position:absolute;left:2917;top:584;width:10;height:20" coordorigin="2917,584" coordsize="10,20" path="m2917,603l2926,603,2926,584,2917,584,2917,603xe" filled="true" fillcolor="#000000" stroked="false">
                <v:path arrowok="t"/>
                <v:fill type="solid"/>
              </v:shape>
            </v:group>
            <v:group style="position:absolute;left:2917;top:603;width:10;height:20" coordorigin="2917,603" coordsize="10,20">
              <v:shape style="position:absolute;left:2917;top:603;width:10;height:20" coordorigin="2917,603" coordsize="10,20" path="m2917,622l2926,622,2926,603,2917,603,2917,622xe" filled="true" fillcolor="#000000" stroked="false">
                <v:path arrowok="t"/>
                <v:fill type="solid"/>
              </v:shape>
            </v:group>
            <v:group style="position:absolute;left:2917;top:622;width:10;height:20" coordorigin="2917,622" coordsize="10,20">
              <v:shape style="position:absolute;left:2917;top:622;width:10;height:20" coordorigin="2917,622" coordsize="10,20" path="m2917,641l2926,641,2926,622,2917,622,2917,641xe" filled="true" fillcolor="#000000" stroked="false">
                <v:path arrowok="t"/>
                <v:fill type="solid"/>
              </v:shape>
            </v:group>
            <v:group style="position:absolute;left:4808;top:507;width:10;height:20" coordorigin="4808,507" coordsize="10,20">
              <v:shape style="position:absolute;left:4808;top:507;width:10;height:20" coordorigin="4808,507" coordsize="10,20" path="m4808,526l4818,526,4818,507,4808,507,4808,526xe" filled="true" fillcolor="#000000" stroked="false">
                <v:path arrowok="t"/>
                <v:fill type="solid"/>
              </v:shape>
            </v:group>
            <v:group style="position:absolute;left:4808;top:526;width:10;height:20" coordorigin="4808,526" coordsize="10,20">
              <v:shape style="position:absolute;left:4808;top:526;width:10;height:20" coordorigin="4808,526" coordsize="10,20" path="m4808,545l4818,545,4818,526,4808,526,4808,545xe" filled="true" fillcolor="#000000" stroked="false">
                <v:path arrowok="t"/>
                <v:fill type="solid"/>
              </v:shape>
            </v:group>
            <v:group style="position:absolute;left:4808;top:545;width:10;height:20" coordorigin="4808,545" coordsize="10,20">
              <v:shape style="position:absolute;left:4808;top:545;width:10;height:20" coordorigin="4808,545" coordsize="10,20" path="m4808,564l4818,564,4818,545,4808,545,4808,564xe" filled="true" fillcolor="#000000" stroked="false">
                <v:path arrowok="t"/>
                <v:fill type="solid"/>
              </v:shape>
            </v:group>
            <v:group style="position:absolute;left:4808;top:564;width:10;height:20" coordorigin="4808,564" coordsize="10,20">
              <v:shape style="position:absolute;left:4808;top:564;width:10;height:20" coordorigin="4808,564" coordsize="10,20" path="m4808,584l4818,584,4818,564,4808,564,4808,584xe" filled="true" fillcolor="#000000" stroked="false">
                <v:path arrowok="t"/>
                <v:fill type="solid"/>
              </v:shape>
            </v:group>
            <v:group style="position:absolute;left:4808;top:584;width:10;height:20" coordorigin="4808,584" coordsize="10,20">
              <v:shape style="position:absolute;left:4808;top:584;width:10;height:20" coordorigin="4808,584" coordsize="10,20" path="m4808,603l4818,603,4818,584,4808,584,4808,603xe" filled="true" fillcolor="#000000" stroked="false">
                <v:path arrowok="t"/>
                <v:fill type="solid"/>
              </v:shape>
            </v:group>
            <v:group style="position:absolute;left:4808;top:603;width:10;height:20" coordorigin="4808,603" coordsize="10,20">
              <v:shape style="position:absolute;left:4808;top:603;width:10;height:20" coordorigin="4808,603" coordsize="10,20" path="m4808,622l4818,622,4818,603,4808,603,4808,622xe" filled="true" fillcolor="#000000" stroked="false">
                <v:path arrowok="t"/>
                <v:fill type="solid"/>
              </v:shape>
            </v:group>
            <v:group style="position:absolute;left:4808;top:622;width:10;height:20" coordorigin="4808,622" coordsize="10,20">
              <v:shape style="position:absolute;left:4808;top:622;width:10;height:20" coordorigin="4808,622" coordsize="10,20" path="m4808,641l4818,641,4818,622,4808,622,4808,641xe" filled="true" fillcolor="#000000" stroked="false">
                <v:path arrowok="t"/>
                <v:fill type="solid"/>
              </v:shape>
            </v:group>
            <v:group style="position:absolute;left:4808;top:641;width:10;height:20" coordorigin="4808,641" coordsize="10,20">
              <v:shape style="position:absolute;left:4808;top:641;width:10;height:20" coordorigin="4808,641" coordsize="10,20" path="m4808,660l4818,660,4818,641,4808,641,4808,660xe" filled="true" fillcolor="#000000" stroked="false">
                <v:path arrowok="t"/>
                <v:fill type="solid"/>
              </v:shape>
            </v:group>
            <v:group style="position:absolute;left:4808;top:660;width:10;height:20" coordorigin="4808,660" coordsize="10,20">
              <v:shape style="position:absolute;left:4808;top:660;width:10;height:20" coordorigin="4808,660" coordsize="10,20" path="m4808,680l4818,680,4818,660,4808,660,4808,680xe" filled="true" fillcolor="#000000" stroked="false">
                <v:path arrowok="t"/>
                <v:fill type="solid"/>
              </v:shape>
            </v:group>
            <v:group style="position:absolute;left:4808;top:680;width:10;height:20" coordorigin="4808,680" coordsize="10,20">
              <v:shape style="position:absolute;left:4808;top:680;width:10;height:20" coordorigin="4808,680" coordsize="10,20" path="m4808,699l4818,699,4818,680,4808,680,4808,699xe" filled="true" fillcolor="#000000" stroked="false">
                <v:path arrowok="t"/>
                <v:fill type="solid"/>
              </v:shape>
            </v:group>
            <v:group style="position:absolute;left:4808;top:699;width:10;height:20" coordorigin="4808,699" coordsize="10,20">
              <v:shape style="position:absolute;left:4808;top:699;width:10;height:20" coordorigin="4808,699" coordsize="10,20" path="m4808,718l4818,718,4818,699,4808,699,4808,718xe" filled="true" fillcolor="#000000" stroked="false">
                <v:path arrowok="t"/>
                <v:fill type="solid"/>
              </v:shape>
            </v:group>
            <v:group style="position:absolute;left:4808;top:718;width:10;height:20" coordorigin="4808,718" coordsize="10,20">
              <v:shape style="position:absolute;left:4808;top:718;width:10;height:20" coordorigin="4808,718" coordsize="10,20" path="m4808,737l4818,737,4818,718,4808,718,4808,737xe" filled="true" fillcolor="#000000" stroked="false">
                <v:path arrowok="t"/>
                <v:fill type="solid"/>
              </v:shape>
            </v:group>
            <v:group style="position:absolute;left:6930;top:507;width:10;height:20" coordorigin="6930,507" coordsize="10,20">
              <v:shape style="position:absolute;left:6930;top:507;width:10;height:20" coordorigin="6930,507" coordsize="10,20" path="m6930,526l6939,526,6939,507,6930,507,6930,526xe" filled="true" fillcolor="#000000" stroked="false">
                <v:path arrowok="t"/>
                <v:fill type="solid"/>
              </v:shape>
            </v:group>
            <v:group style="position:absolute;left:6930;top:526;width:10;height:20" coordorigin="6930,526" coordsize="10,20">
              <v:shape style="position:absolute;left:6930;top:526;width:10;height:20" coordorigin="6930,526" coordsize="10,20" path="m6930,545l6939,545,6939,526,6930,526,6930,545xe" filled="true" fillcolor="#000000" stroked="false">
                <v:path arrowok="t"/>
                <v:fill type="solid"/>
              </v:shape>
            </v:group>
            <v:group style="position:absolute;left:6930;top:545;width:10;height:20" coordorigin="6930,545" coordsize="10,20">
              <v:shape style="position:absolute;left:6930;top:545;width:10;height:20" coordorigin="6930,545" coordsize="10,20" path="m6930,564l6939,564,6939,545,6930,545,6930,564xe" filled="true" fillcolor="#000000" stroked="false">
                <v:path arrowok="t"/>
                <v:fill type="solid"/>
              </v:shape>
            </v:group>
            <v:group style="position:absolute;left:6930;top:564;width:10;height:20" coordorigin="6930,564" coordsize="10,20">
              <v:shape style="position:absolute;left:6930;top:564;width:10;height:20" coordorigin="6930,564" coordsize="10,20" path="m6930,584l6939,584,6939,564,6930,564,6930,584xe" filled="true" fillcolor="#000000" stroked="false">
                <v:path arrowok="t"/>
                <v:fill type="solid"/>
              </v:shape>
            </v:group>
            <v:group style="position:absolute;left:6930;top:584;width:10;height:20" coordorigin="6930,584" coordsize="10,20">
              <v:shape style="position:absolute;left:6930;top:584;width:10;height:20" coordorigin="6930,584" coordsize="10,20" path="m6930,603l6939,603,6939,584,6930,584,6930,603xe" filled="true" fillcolor="#000000" stroked="false">
                <v:path arrowok="t"/>
                <v:fill type="solid"/>
              </v:shape>
            </v:group>
            <v:group style="position:absolute;left:6930;top:603;width:10;height:20" coordorigin="6930,603" coordsize="10,20">
              <v:shape style="position:absolute;left:6930;top:603;width:10;height:20" coordorigin="6930,603" coordsize="10,20" path="m6930,622l6939,622,6939,603,6930,603,6930,622xe" filled="true" fillcolor="#000000" stroked="false">
                <v:path arrowok="t"/>
                <v:fill type="solid"/>
              </v:shape>
            </v:group>
            <v:group style="position:absolute;left:6930;top:622;width:10;height:20" coordorigin="6930,622" coordsize="10,20">
              <v:shape style="position:absolute;left:6930;top:622;width:10;height:20" coordorigin="6930,622" coordsize="10,20" path="m6930,641l6939,641,6939,622,6930,622,6930,641xe" filled="true" fillcolor="#000000" stroked="false">
                <v:path arrowok="t"/>
                <v:fill type="solid"/>
              </v:shape>
            </v:group>
            <v:group style="position:absolute;left:6930;top:641;width:10;height:20" coordorigin="6930,641" coordsize="10,20">
              <v:shape style="position:absolute;left:6930;top:641;width:10;height:20" coordorigin="6930,641" coordsize="10,20" path="m6930,660l6939,660,6939,641,6930,641,6930,660xe" filled="true" fillcolor="#000000" stroked="false">
                <v:path arrowok="t"/>
                <v:fill type="solid"/>
              </v:shape>
            </v:group>
            <v:group style="position:absolute;left:6930;top:660;width:10;height:20" coordorigin="6930,660" coordsize="10,20">
              <v:shape style="position:absolute;left:6930;top:660;width:10;height:20" coordorigin="6930,660" coordsize="10,20" path="m6930,680l6939,680,6939,660,6930,660,6930,680xe" filled="true" fillcolor="#000000" stroked="false">
                <v:path arrowok="t"/>
                <v:fill type="solid"/>
              </v:shape>
            </v:group>
            <v:group style="position:absolute;left:6930;top:680;width:10;height:20" coordorigin="6930,680" coordsize="10,20">
              <v:shape style="position:absolute;left:6930;top:680;width:10;height:20" coordorigin="6930,680" coordsize="10,20" path="m6930,699l6939,699,6939,680,6930,680,6930,699xe" filled="true" fillcolor="#000000" stroked="false">
                <v:path arrowok="t"/>
                <v:fill type="solid"/>
              </v:shape>
            </v:group>
            <v:group style="position:absolute;left:6930;top:699;width:10;height:20" coordorigin="6930,699" coordsize="10,20">
              <v:shape style="position:absolute;left:6930;top:699;width:10;height:20" coordorigin="6930,699" coordsize="10,20" path="m6930,718l6939,718,6939,699,6930,699,6930,718xe" filled="true" fillcolor="#000000" stroked="false">
                <v:path arrowok="t"/>
                <v:fill type="solid"/>
              </v:shape>
            </v:group>
            <v:group style="position:absolute;left:6930;top:718;width:10;height:20" coordorigin="6930,718" coordsize="10,20">
              <v:shape style="position:absolute;left:6930;top:718;width:10;height:20" coordorigin="6930,718" coordsize="10,20" path="m6930,737l6939,737,6939,718,6930,718,6930,737xe" filled="true" fillcolor="#000000" stroked="false">
                <v:path arrowok="t"/>
                <v:fill type="solid"/>
              </v:shape>
            </v:group>
            <v:group style="position:absolute;left:6930;top:740;width:10;height:2" coordorigin="6930,740" coordsize="10,2">
              <v:shape style="position:absolute;left:6930;top:740;width:10;height:2" coordorigin="6930,740" coordsize="10,0" path="m6930,740l6939,740e" filled="false" stroked="true" strokeweight=".23999pt" strokecolor="#000000">
                <v:path arrowok="t"/>
              </v:shape>
              <v:shape style="position:absolute;left:29;top:641;width:2907;height:110" type="#_x0000_t75" stroked="false">
                <v:imagedata r:id="rId264" o:title=""/>
              </v:shape>
              <v:shape style="position:absolute;left:2912;top:737;width:1906;height:14" type="#_x0000_t75" stroked="false">
                <v:imagedata r:id="rId265" o:title=""/>
              </v:shape>
              <v:shape style="position:absolute;left:4803;top:742;width:2126;height:10" type="#_x0000_t75" stroked="false">
                <v:imagedata r:id="rId266" o:title=""/>
              </v:shape>
              <v:shape style="position:absolute;left:6925;top:742;width:1553;height:10" type="#_x0000_t75" stroked="false">
                <v:imagedata r:id="rId267" o:title=""/>
              </v:shape>
            </v:group>
            <v:group style="position:absolute;left:2917;top:752;width:10;height:20" coordorigin="2917,752" coordsize="10,20">
              <v:shape style="position:absolute;left:2917;top:752;width:10;height:20" coordorigin="2917,752" coordsize="10,20" path="m2917,771l2926,771,2926,752,2917,752,2917,771xe" filled="true" fillcolor="#000000" stroked="false">
                <v:path arrowok="t"/>
                <v:fill type="solid"/>
              </v:shape>
            </v:group>
            <v:group style="position:absolute;left:2917;top:771;width:10;height:20" coordorigin="2917,771" coordsize="10,20">
              <v:shape style="position:absolute;left:2917;top:771;width:10;height:20" coordorigin="2917,771" coordsize="10,20" path="m2917,790l2926,790,2926,771,2917,771,2917,790xe" filled="true" fillcolor="#000000" stroked="false">
                <v:path arrowok="t"/>
                <v:fill type="solid"/>
              </v:shape>
            </v:group>
            <v:group style="position:absolute;left:2917;top:790;width:10;height:20" coordorigin="2917,790" coordsize="10,20">
              <v:shape style="position:absolute;left:2917;top:790;width:10;height:20" coordorigin="2917,790" coordsize="10,20" path="m2917,809l2926,809,2926,790,2917,790,2917,809xe" filled="true" fillcolor="#000000" stroked="false">
                <v:path arrowok="t"/>
                <v:fill type="solid"/>
              </v:shape>
            </v:group>
            <v:group style="position:absolute;left:2917;top:809;width:10;height:20" coordorigin="2917,809" coordsize="10,20">
              <v:shape style="position:absolute;left:2917;top:809;width:10;height:20" coordorigin="2917,809" coordsize="10,20" path="m2917,828l2926,828,2926,809,2917,809,2917,828xe" filled="true" fillcolor="#000000" stroked="false">
                <v:path arrowok="t"/>
                <v:fill type="solid"/>
              </v:shape>
            </v:group>
            <v:group style="position:absolute;left:2917;top:828;width:10;height:20" coordorigin="2917,828" coordsize="10,20">
              <v:shape style="position:absolute;left:2917;top:828;width:10;height:20" coordorigin="2917,828" coordsize="10,20" path="m2917,848l2926,848,2926,828,2917,828,2917,848xe" filled="true" fillcolor="#000000" stroked="false">
                <v:path arrowok="t"/>
                <v:fill type="solid"/>
              </v:shape>
            </v:group>
            <v:group style="position:absolute;left:2917;top:848;width:10;height:20" coordorigin="2917,848" coordsize="10,20">
              <v:shape style="position:absolute;left:2917;top:848;width:10;height:20" coordorigin="2917,848" coordsize="10,20" path="m2917,867l2926,867,2926,848,2917,848,2917,867xe" filled="true" fillcolor="#000000" stroked="false">
                <v:path arrowok="t"/>
                <v:fill type="solid"/>
              </v:shape>
            </v:group>
            <v:group style="position:absolute;left:2917;top:867;width:10;height:20" coordorigin="2917,867" coordsize="10,20">
              <v:shape style="position:absolute;left:2917;top:867;width:10;height:20" coordorigin="2917,867" coordsize="10,20" path="m2917,886l2926,886,2926,867,2917,867,2917,886xe" filled="true" fillcolor="#000000" stroked="false">
                <v:path arrowok="t"/>
                <v:fill type="solid"/>
              </v:shape>
            </v:group>
            <v:group style="position:absolute;left:4808;top:752;width:10;height:20" coordorigin="4808,752" coordsize="10,20">
              <v:shape style="position:absolute;left:4808;top:752;width:10;height:20" coordorigin="4808,752" coordsize="10,20" path="m4808,771l4818,771,4818,752,4808,752,4808,771xe" filled="true" fillcolor="#000000" stroked="false">
                <v:path arrowok="t"/>
                <v:fill type="solid"/>
              </v:shape>
            </v:group>
            <v:group style="position:absolute;left:4808;top:771;width:10;height:20" coordorigin="4808,771" coordsize="10,20">
              <v:shape style="position:absolute;left:4808;top:771;width:10;height:20" coordorigin="4808,771" coordsize="10,20" path="m4808,790l4818,790,4818,771,4808,771,4808,790xe" filled="true" fillcolor="#000000" stroked="false">
                <v:path arrowok="t"/>
                <v:fill type="solid"/>
              </v:shape>
            </v:group>
            <v:group style="position:absolute;left:4808;top:790;width:10;height:20" coordorigin="4808,790" coordsize="10,20">
              <v:shape style="position:absolute;left:4808;top:790;width:10;height:20" coordorigin="4808,790" coordsize="10,20" path="m4808,809l4818,809,4818,790,4808,790,4808,809xe" filled="true" fillcolor="#000000" stroked="false">
                <v:path arrowok="t"/>
                <v:fill type="solid"/>
              </v:shape>
            </v:group>
            <v:group style="position:absolute;left:4808;top:809;width:10;height:20" coordorigin="4808,809" coordsize="10,20">
              <v:shape style="position:absolute;left:4808;top:809;width:10;height:20" coordorigin="4808,809" coordsize="10,20" path="m4808,828l4818,828,4818,809,4808,809,4808,828xe" filled="true" fillcolor="#000000" stroked="false">
                <v:path arrowok="t"/>
                <v:fill type="solid"/>
              </v:shape>
            </v:group>
            <v:group style="position:absolute;left:4808;top:828;width:10;height:20" coordorigin="4808,828" coordsize="10,20">
              <v:shape style="position:absolute;left:4808;top:828;width:10;height:20" coordorigin="4808,828" coordsize="10,20" path="m4808,848l4818,848,4818,828,4808,828,4808,848xe" filled="true" fillcolor="#000000" stroked="false">
                <v:path arrowok="t"/>
                <v:fill type="solid"/>
              </v:shape>
            </v:group>
            <v:group style="position:absolute;left:4808;top:848;width:10;height:20" coordorigin="4808,848" coordsize="10,20">
              <v:shape style="position:absolute;left:4808;top:848;width:10;height:20" coordorigin="4808,848" coordsize="10,20" path="m4808,867l4818,867,4818,848,4808,848,4808,867xe" filled="true" fillcolor="#000000" stroked="false">
                <v:path arrowok="t"/>
                <v:fill type="solid"/>
              </v:shape>
            </v:group>
            <v:group style="position:absolute;left:4808;top:867;width:10;height:20" coordorigin="4808,867" coordsize="10,20">
              <v:shape style="position:absolute;left:4808;top:867;width:10;height:20" coordorigin="4808,867" coordsize="10,20" path="m4808,886l4818,886,4818,867,4808,867,4808,886xe" filled="true" fillcolor="#000000" stroked="false">
                <v:path arrowok="t"/>
                <v:fill type="solid"/>
              </v:shape>
            </v:group>
            <v:group style="position:absolute;left:4808;top:886;width:10;height:20" coordorigin="4808,886" coordsize="10,20">
              <v:shape style="position:absolute;left:4808;top:886;width:10;height:20" coordorigin="4808,886" coordsize="10,20" path="m4808,905l4818,905,4818,886,4808,886,4808,905xe" filled="true" fillcolor="#000000" stroked="false">
                <v:path arrowok="t"/>
                <v:fill type="solid"/>
              </v:shape>
            </v:group>
            <v:group style="position:absolute;left:4808;top:905;width:10;height:20" coordorigin="4808,905" coordsize="10,20">
              <v:shape style="position:absolute;left:4808;top:905;width:10;height:20" coordorigin="4808,905" coordsize="10,20" path="m4808,924l4818,924,4818,905,4808,905,4808,924xe" filled="true" fillcolor="#000000" stroked="false">
                <v:path arrowok="t"/>
                <v:fill type="solid"/>
              </v:shape>
            </v:group>
            <v:group style="position:absolute;left:4808;top:924;width:10;height:20" coordorigin="4808,924" coordsize="10,20">
              <v:shape style="position:absolute;left:4808;top:924;width:10;height:20" coordorigin="4808,924" coordsize="10,20" path="m4808,944l4818,944,4818,924,4808,924,4808,944xe" filled="true" fillcolor="#000000" stroked="false">
                <v:path arrowok="t"/>
                <v:fill type="solid"/>
              </v:shape>
            </v:group>
            <v:group style="position:absolute;left:4808;top:944;width:10;height:20" coordorigin="4808,944" coordsize="10,20">
              <v:shape style="position:absolute;left:4808;top:944;width:10;height:20" coordorigin="4808,944" coordsize="10,20" path="m4808,963l4818,963,4818,944,4808,944,4808,963xe" filled="true" fillcolor="#000000" stroked="false">
                <v:path arrowok="t"/>
                <v:fill type="solid"/>
              </v:shape>
            </v:group>
            <v:group style="position:absolute;left:4808;top:963;width:10;height:20" coordorigin="4808,963" coordsize="10,20">
              <v:shape style="position:absolute;left:4808;top:963;width:10;height:20" coordorigin="4808,963" coordsize="10,20" path="m4808,982l4818,982,4818,963,4808,963,4808,982xe" filled="true" fillcolor="#000000" stroked="false">
                <v:path arrowok="t"/>
                <v:fill type="solid"/>
              </v:shape>
            </v:group>
            <v:group style="position:absolute;left:6930;top:752;width:10;height:20" coordorigin="6930,752" coordsize="10,20">
              <v:shape style="position:absolute;left:6930;top:752;width:10;height:20" coordorigin="6930,752" coordsize="10,20" path="m6930,771l6939,771,6939,752,6930,752,6930,771xe" filled="true" fillcolor="#000000" stroked="false">
                <v:path arrowok="t"/>
                <v:fill type="solid"/>
              </v:shape>
            </v:group>
            <v:group style="position:absolute;left:6930;top:771;width:10;height:20" coordorigin="6930,771" coordsize="10,20">
              <v:shape style="position:absolute;left:6930;top:771;width:10;height:20" coordorigin="6930,771" coordsize="10,20" path="m6930,790l6939,790,6939,771,6930,771,6930,790xe" filled="true" fillcolor="#000000" stroked="false">
                <v:path arrowok="t"/>
                <v:fill type="solid"/>
              </v:shape>
            </v:group>
            <v:group style="position:absolute;left:6930;top:790;width:10;height:20" coordorigin="6930,790" coordsize="10,20">
              <v:shape style="position:absolute;left:6930;top:790;width:10;height:20" coordorigin="6930,790" coordsize="10,20" path="m6930,809l6939,809,6939,790,6930,790,6930,809xe" filled="true" fillcolor="#000000" stroked="false">
                <v:path arrowok="t"/>
                <v:fill type="solid"/>
              </v:shape>
            </v:group>
            <v:group style="position:absolute;left:6930;top:809;width:10;height:20" coordorigin="6930,809" coordsize="10,20">
              <v:shape style="position:absolute;left:6930;top:809;width:10;height:20" coordorigin="6930,809" coordsize="10,20" path="m6930,828l6939,828,6939,809,6930,809,6930,828xe" filled="true" fillcolor="#000000" stroked="false">
                <v:path arrowok="t"/>
                <v:fill type="solid"/>
              </v:shape>
            </v:group>
            <v:group style="position:absolute;left:6930;top:828;width:10;height:20" coordorigin="6930,828" coordsize="10,20">
              <v:shape style="position:absolute;left:6930;top:828;width:10;height:20" coordorigin="6930,828" coordsize="10,20" path="m6930,848l6939,848,6939,828,6930,828,6930,848xe" filled="true" fillcolor="#000000" stroked="false">
                <v:path arrowok="t"/>
                <v:fill type="solid"/>
              </v:shape>
            </v:group>
            <v:group style="position:absolute;left:6930;top:848;width:10;height:20" coordorigin="6930,848" coordsize="10,20">
              <v:shape style="position:absolute;left:6930;top:848;width:10;height:20" coordorigin="6930,848" coordsize="10,20" path="m6930,867l6939,867,6939,848,6930,848,6930,867xe" filled="true" fillcolor="#000000" stroked="false">
                <v:path arrowok="t"/>
                <v:fill type="solid"/>
              </v:shape>
            </v:group>
            <v:group style="position:absolute;left:6930;top:867;width:10;height:20" coordorigin="6930,867" coordsize="10,20">
              <v:shape style="position:absolute;left:6930;top:867;width:10;height:20" coordorigin="6930,867" coordsize="10,20" path="m6930,886l6939,886,6939,867,6930,867,6930,886xe" filled="true" fillcolor="#000000" stroked="false">
                <v:path arrowok="t"/>
                <v:fill type="solid"/>
              </v:shape>
            </v:group>
            <v:group style="position:absolute;left:6930;top:886;width:10;height:20" coordorigin="6930,886" coordsize="10,20">
              <v:shape style="position:absolute;left:6930;top:886;width:10;height:20" coordorigin="6930,886" coordsize="10,20" path="m6930,905l6939,905,6939,886,6930,886,6930,905xe" filled="true" fillcolor="#000000" stroked="false">
                <v:path arrowok="t"/>
                <v:fill type="solid"/>
              </v:shape>
            </v:group>
            <v:group style="position:absolute;left:6930;top:905;width:10;height:20" coordorigin="6930,905" coordsize="10,20">
              <v:shape style="position:absolute;left:6930;top:905;width:10;height:20" coordorigin="6930,905" coordsize="10,20" path="m6930,924l6939,924,6939,905,6930,905,6930,924xe" filled="true" fillcolor="#000000" stroked="false">
                <v:path arrowok="t"/>
                <v:fill type="solid"/>
              </v:shape>
            </v:group>
            <v:group style="position:absolute;left:6930;top:924;width:10;height:20" coordorigin="6930,924" coordsize="10,20">
              <v:shape style="position:absolute;left:6930;top:924;width:10;height:20" coordorigin="6930,924" coordsize="10,20" path="m6930,944l6939,944,6939,924,6930,924,6930,944xe" filled="true" fillcolor="#000000" stroked="false">
                <v:path arrowok="t"/>
                <v:fill type="solid"/>
              </v:shape>
            </v:group>
            <v:group style="position:absolute;left:6930;top:944;width:10;height:20" coordorigin="6930,944" coordsize="10,20">
              <v:shape style="position:absolute;left:6930;top:944;width:10;height:20" coordorigin="6930,944" coordsize="10,20" path="m6930,963l6939,963,6939,944,6930,944,6930,963xe" filled="true" fillcolor="#000000" stroked="false">
                <v:path arrowok="t"/>
                <v:fill type="solid"/>
              </v:shape>
            </v:group>
            <v:group style="position:absolute;left:6930;top:963;width:10;height:20" coordorigin="6930,963" coordsize="10,20">
              <v:shape style="position:absolute;left:6930;top:963;width:10;height:20" coordorigin="6930,963" coordsize="10,20" path="m6930,982l6939,982,6939,963,6930,963,6930,982xe" filled="true" fillcolor="#000000" stroked="false">
                <v:path arrowok="t"/>
                <v:fill type="solid"/>
              </v:shape>
              <v:shape style="position:absolute;left:29;top:886;width:2907;height:108" type="#_x0000_t75" stroked="false">
                <v:imagedata r:id="rId268" o:title=""/>
              </v:shape>
              <v:shape style="position:absolute;left:2912;top:982;width:1906;height:12" type="#_x0000_t75" stroked="false">
                <v:imagedata r:id="rId269" o:title=""/>
              </v:shape>
              <v:shape style="position:absolute;left:4803;top:982;width:2136;height:12" type="#_x0000_t75" stroked="false">
                <v:imagedata r:id="rId270" o:title=""/>
              </v:shape>
              <v:shape style="position:absolute;left:6925;top:984;width:1553;height:10" type="#_x0000_t75" stroked="false">
                <v:imagedata r:id="rId263" o:title=""/>
              </v:shape>
            </v:group>
            <v:group style="position:absolute;left:2917;top:994;width:10;height:20" coordorigin="2917,994" coordsize="10,20">
              <v:shape style="position:absolute;left:2917;top:994;width:10;height:20" coordorigin="2917,994" coordsize="10,20" path="m2917,1013l2926,1013,2926,994,2917,994,2917,1013xe" filled="true" fillcolor="#000000" stroked="false">
                <v:path arrowok="t"/>
                <v:fill type="solid"/>
              </v:shape>
            </v:group>
            <v:group style="position:absolute;left:2917;top:1013;width:10;height:20" coordorigin="2917,1013" coordsize="10,20">
              <v:shape style="position:absolute;left:2917;top:1013;width:10;height:20" coordorigin="2917,1013" coordsize="10,20" path="m2917,1032l2926,1032,2926,1013,2917,1013,2917,1032xe" filled="true" fillcolor="#000000" stroked="false">
                <v:path arrowok="t"/>
                <v:fill type="solid"/>
              </v:shape>
            </v:group>
            <v:group style="position:absolute;left:2917;top:1032;width:10;height:20" coordorigin="2917,1032" coordsize="10,20">
              <v:shape style="position:absolute;left:2917;top:1032;width:10;height:20" coordorigin="2917,1032" coordsize="10,20" path="m2917,1052l2926,1052,2926,1032,2917,1032,2917,1052xe" filled="true" fillcolor="#000000" stroked="false">
                <v:path arrowok="t"/>
                <v:fill type="solid"/>
              </v:shape>
            </v:group>
            <v:group style="position:absolute;left:2917;top:1052;width:10;height:20" coordorigin="2917,1052" coordsize="10,20">
              <v:shape style="position:absolute;left:2917;top:1052;width:10;height:20" coordorigin="2917,1052" coordsize="10,20" path="m2917,1071l2926,1071,2926,1052,2917,1052,2917,1071xe" filled="true" fillcolor="#000000" stroked="false">
                <v:path arrowok="t"/>
                <v:fill type="solid"/>
              </v:shape>
            </v:group>
            <v:group style="position:absolute;left:2917;top:1071;width:10;height:20" coordorigin="2917,1071" coordsize="10,20">
              <v:shape style="position:absolute;left:2917;top:1071;width:10;height:20" coordorigin="2917,1071" coordsize="10,20" path="m2917,1090l2926,1090,2926,1071,2917,1071,2917,1090xe" filled="true" fillcolor="#000000" stroked="false">
                <v:path arrowok="t"/>
                <v:fill type="solid"/>
              </v:shape>
            </v:group>
            <v:group style="position:absolute;left:2917;top:1090;width:10;height:20" coordorigin="2917,1090" coordsize="10,20">
              <v:shape style="position:absolute;left:2917;top:1090;width:10;height:20" coordorigin="2917,1090" coordsize="10,20" path="m2917,1109l2926,1109,2926,1090,2917,1090,2917,1109xe" filled="true" fillcolor="#000000" stroked="false">
                <v:path arrowok="t"/>
                <v:fill type="solid"/>
              </v:shape>
            </v:group>
            <v:group style="position:absolute;left:2917;top:1109;width:10;height:20" coordorigin="2917,1109" coordsize="10,20">
              <v:shape style="position:absolute;left:2917;top:1109;width:10;height:20" coordorigin="2917,1109" coordsize="10,20" path="m2917,1128l2926,1128,2926,1109,2917,1109,2917,1128xe" filled="true" fillcolor="#000000" stroked="false">
                <v:path arrowok="t"/>
                <v:fill type="solid"/>
              </v:shape>
            </v:group>
            <v:group style="position:absolute;left:4808;top:994;width:10;height:20" coordorigin="4808,994" coordsize="10,20">
              <v:shape style="position:absolute;left:4808;top:994;width:10;height:20" coordorigin="4808,994" coordsize="10,20" path="m4808,1013l4818,1013,4818,994,4808,994,4808,1013xe" filled="true" fillcolor="#000000" stroked="false">
                <v:path arrowok="t"/>
                <v:fill type="solid"/>
              </v:shape>
            </v:group>
            <v:group style="position:absolute;left:4808;top:1013;width:10;height:20" coordorigin="4808,1013" coordsize="10,20">
              <v:shape style="position:absolute;left:4808;top:1013;width:10;height:20" coordorigin="4808,1013" coordsize="10,20" path="m4808,1032l4818,1032,4818,1013,4808,1013,4808,1032xe" filled="true" fillcolor="#000000" stroked="false">
                <v:path arrowok="t"/>
                <v:fill type="solid"/>
              </v:shape>
            </v:group>
            <v:group style="position:absolute;left:4808;top:1032;width:10;height:20" coordorigin="4808,1032" coordsize="10,20">
              <v:shape style="position:absolute;left:4808;top:1032;width:10;height:20" coordorigin="4808,1032" coordsize="10,20" path="m4808,1052l4818,1052,4818,1032,4808,1032,4808,1052xe" filled="true" fillcolor="#000000" stroked="false">
                <v:path arrowok="t"/>
                <v:fill type="solid"/>
              </v:shape>
            </v:group>
            <v:group style="position:absolute;left:4808;top:1052;width:10;height:20" coordorigin="4808,1052" coordsize="10,20">
              <v:shape style="position:absolute;left:4808;top:1052;width:10;height:20" coordorigin="4808,1052" coordsize="10,20" path="m4808,1071l4818,1071,4818,1052,4808,1052,4808,1071xe" filled="true" fillcolor="#000000" stroked="false">
                <v:path arrowok="t"/>
                <v:fill type="solid"/>
              </v:shape>
            </v:group>
            <v:group style="position:absolute;left:4808;top:1071;width:10;height:20" coordorigin="4808,1071" coordsize="10,20">
              <v:shape style="position:absolute;left:4808;top:1071;width:10;height:20" coordorigin="4808,1071" coordsize="10,20" path="m4808,1090l4818,1090,4818,1071,4808,1071,4808,1090xe" filled="true" fillcolor="#000000" stroked="false">
                <v:path arrowok="t"/>
                <v:fill type="solid"/>
              </v:shape>
            </v:group>
            <v:group style="position:absolute;left:4808;top:1090;width:10;height:20" coordorigin="4808,1090" coordsize="10,20">
              <v:shape style="position:absolute;left:4808;top:1090;width:10;height:20" coordorigin="4808,1090" coordsize="10,20" path="m4808,1109l4818,1109,4818,1090,4808,1090,4808,1109xe" filled="true" fillcolor="#000000" stroked="false">
                <v:path arrowok="t"/>
                <v:fill type="solid"/>
              </v:shape>
            </v:group>
            <v:group style="position:absolute;left:4808;top:1109;width:10;height:20" coordorigin="4808,1109" coordsize="10,20">
              <v:shape style="position:absolute;left:4808;top:1109;width:10;height:20" coordorigin="4808,1109" coordsize="10,20" path="m4808,1128l4818,1128,4818,1109,4808,1109,4808,1128xe" filled="true" fillcolor="#000000" stroked="false">
                <v:path arrowok="t"/>
                <v:fill type="solid"/>
              </v:shape>
            </v:group>
            <v:group style="position:absolute;left:4808;top:1128;width:10;height:20" coordorigin="4808,1128" coordsize="10,20">
              <v:shape style="position:absolute;left:4808;top:1128;width:10;height:20" coordorigin="4808,1128" coordsize="10,20" path="m4808,1148l4818,1148,4818,1128,4808,1128,4808,1148xe" filled="true" fillcolor="#000000" stroked="false">
                <v:path arrowok="t"/>
                <v:fill type="solid"/>
              </v:shape>
            </v:group>
            <v:group style="position:absolute;left:4808;top:1148;width:10;height:20" coordorigin="4808,1148" coordsize="10,20">
              <v:shape style="position:absolute;left:4808;top:1148;width:10;height:20" coordorigin="4808,1148" coordsize="10,20" path="m4808,1167l4818,1167,4818,1148,4808,1148,4808,1167xe" filled="true" fillcolor="#000000" stroked="false">
                <v:path arrowok="t"/>
                <v:fill type="solid"/>
              </v:shape>
            </v:group>
            <v:group style="position:absolute;left:4808;top:1167;width:10;height:20" coordorigin="4808,1167" coordsize="10,20">
              <v:shape style="position:absolute;left:4808;top:1167;width:10;height:20" coordorigin="4808,1167" coordsize="10,20" path="m4808,1186l4818,1186,4818,1167,4808,1167,4808,1186xe" filled="true" fillcolor="#000000" stroked="false">
                <v:path arrowok="t"/>
                <v:fill type="solid"/>
              </v:shape>
            </v:group>
            <v:group style="position:absolute;left:4808;top:1186;width:10;height:20" coordorigin="4808,1186" coordsize="10,20">
              <v:shape style="position:absolute;left:4808;top:1186;width:10;height:20" coordorigin="4808,1186" coordsize="10,20" path="m4808,1205l4818,1205,4818,1186,4808,1186,4808,1205xe" filled="true" fillcolor="#000000" stroked="false">
                <v:path arrowok="t"/>
                <v:fill type="solid"/>
              </v:shape>
            </v:group>
            <v:group style="position:absolute;left:4808;top:1205;width:10;height:20" coordorigin="4808,1205" coordsize="10,20">
              <v:shape style="position:absolute;left:4808;top:1205;width:10;height:20" coordorigin="4808,1205" coordsize="10,20" path="m4808,1224l4818,1224,4818,1205,4808,1205,4808,1224xe" filled="true" fillcolor="#000000" stroked="false">
                <v:path arrowok="t"/>
                <v:fill type="solid"/>
              </v:shape>
            </v:group>
            <v:group style="position:absolute;left:6930;top:994;width:10;height:20" coordorigin="6930,994" coordsize="10,20">
              <v:shape style="position:absolute;left:6930;top:994;width:10;height:20" coordorigin="6930,994" coordsize="10,20" path="m6930,1013l6939,1013,6939,994,6930,994,6930,1013xe" filled="true" fillcolor="#000000" stroked="false">
                <v:path arrowok="t"/>
                <v:fill type="solid"/>
              </v:shape>
            </v:group>
            <v:group style="position:absolute;left:6930;top:1013;width:10;height:20" coordorigin="6930,1013" coordsize="10,20">
              <v:shape style="position:absolute;left:6930;top:1013;width:10;height:20" coordorigin="6930,1013" coordsize="10,20" path="m6930,1032l6939,1032,6939,1013,6930,1013,6930,1032xe" filled="true" fillcolor="#000000" stroked="false">
                <v:path arrowok="t"/>
                <v:fill type="solid"/>
              </v:shape>
            </v:group>
            <v:group style="position:absolute;left:6930;top:1032;width:10;height:20" coordorigin="6930,1032" coordsize="10,20">
              <v:shape style="position:absolute;left:6930;top:1032;width:10;height:20" coordorigin="6930,1032" coordsize="10,20" path="m6930,1052l6939,1052,6939,1032,6930,1032,6930,1052xe" filled="true" fillcolor="#000000" stroked="false">
                <v:path arrowok="t"/>
                <v:fill type="solid"/>
              </v:shape>
            </v:group>
            <v:group style="position:absolute;left:6930;top:1052;width:10;height:20" coordorigin="6930,1052" coordsize="10,20">
              <v:shape style="position:absolute;left:6930;top:1052;width:10;height:20" coordorigin="6930,1052" coordsize="10,20" path="m6930,1071l6939,1071,6939,1052,6930,1052,6930,1071xe" filled="true" fillcolor="#000000" stroked="false">
                <v:path arrowok="t"/>
                <v:fill type="solid"/>
              </v:shape>
            </v:group>
            <v:group style="position:absolute;left:6930;top:1071;width:10;height:20" coordorigin="6930,1071" coordsize="10,20">
              <v:shape style="position:absolute;left:6930;top:1071;width:10;height:20" coordorigin="6930,1071" coordsize="10,20" path="m6930,1090l6939,1090,6939,1071,6930,1071,6930,1090xe" filled="true" fillcolor="#000000" stroked="false">
                <v:path arrowok="t"/>
                <v:fill type="solid"/>
              </v:shape>
            </v:group>
            <v:group style="position:absolute;left:6930;top:1090;width:10;height:20" coordorigin="6930,1090" coordsize="10,20">
              <v:shape style="position:absolute;left:6930;top:1090;width:10;height:20" coordorigin="6930,1090" coordsize="10,20" path="m6930,1109l6939,1109,6939,1090,6930,1090,6930,1109xe" filled="true" fillcolor="#000000" stroked="false">
                <v:path arrowok="t"/>
                <v:fill type="solid"/>
              </v:shape>
            </v:group>
            <v:group style="position:absolute;left:6930;top:1109;width:10;height:20" coordorigin="6930,1109" coordsize="10,20">
              <v:shape style="position:absolute;left:6930;top:1109;width:10;height:20" coordorigin="6930,1109" coordsize="10,20" path="m6930,1128l6939,1128,6939,1109,6930,1109,6930,1128xe" filled="true" fillcolor="#000000" stroked="false">
                <v:path arrowok="t"/>
                <v:fill type="solid"/>
              </v:shape>
            </v:group>
            <v:group style="position:absolute;left:6930;top:1128;width:10;height:20" coordorigin="6930,1128" coordsize="10,20">
              <v:shape style="position:absolute;left:6930;top:1128;width:10;height:20" coordorigin="6930,1128" coordsize="10,20" path="m6930,1148l6939,1148,6939,1128,6930,1128,6930,1148xe" filled="true" fillcolor="#000000" stroked="false">
                <v:path arrowok="t"/>
                <v:fill type="solid"/>
              </v:shape>
            </v:group>
            <v:group style="position:absolute;left:6930;top:1148;width:10;height:20" coordorigin="6930,1148" coordsize="10,20">
              <v:shape style="position:absolute;left:6930;top:1148;width:10;height:20" coordorigin="6930,1148" coordsize="10,20" path="m6930,1167l6939,1167,6939,1148,6930,1148,6930,1167xe" filled="true" fillcolor="#000000" stroked="false">
                <v:path arrowok="t"/>
                <v:fill type="solid"/>
              </v:shape>
            </v:group>
            <v:group style="position:absolute;left:6930;top:1167;width:10;height:20" coordorigin="6930,1167" coordsize="10,20">
              <v:shape style="position:absolute;left:6930;top:1167;width:10;height:20" coordorigin="6930,1167" coordsize="10,20" path="m6930,1186l6939,1186,6939,1167,6930,1167,6930,1186xe" filled="true" fillcolor="#000000" stroked="false">
                <v:path arrowok="t"/>
                <v:fill type="solid"/>
              </v:shape>
            </v:group>
            <v:group style="position:absolute;left:6930;top:1186;width:10;height:20" coordorigin="6930,1186" coordsize="10,20">
              <v:shape style="position:absolute;left:6930;top:1186;width:10;height:20" coordorigin="6930,1186" coordsize="10,20" path="m6930,1205l6939,1205,6939,1186,6930,1186,6930,1205xe" filled="true" fillcolor="#000000" stroked="false">
                <v:path arrowok="t"/>
                <v:fill type="solid"/>
              </v:shape>
            </v:group>
            <v:group style="position:absolute;left:6930;top:1205;width:10;height:20" coordorigin="6930,1205" coordsize="10,20">
              <v:shape style="position:absolute;left:6930;top:1205;width:10;height:20" coordorigin="6930,1205" coordsize="10,20" path="m6930,1224l6939,1224,6939,1205,6930,1205,6930,1224xe" filled="true" fillcolor="#000000" stroked="false">
                <v:path arrowok="t"/>
                <v:fill type="solid"/>
              </v:shape>
            </v:group>
            <v:group style="position:absolute;left:6930;top:1227;width:10;height:2" coordorigin="6930,1227" coordsize="10,2">
              <v:shape style="position:absolute;left:6930;top:1227;width:10;height:2" coordorigin="6930,1227" coordsize="10,0" path="m6930,1227l6939,1227e" filled="false" stroked="true" strokeweight=".23999pt" strokecolor="#000000">
                <v:path arrowok="t"/>
              </v:shape>
              <v:shape style="position:absolute;left:29;top:1128;width:2907;height:110" type="#_x0000_t75" stroked="false">
                <v:imagedata r:id="rId264" o:title=""/>
              </v:shape>
              <v:shape style="position:absolute;left:2912;top:1224;width:1906;height:14" type="#_x0000_t75" stroked="false">
                <v:imagedata r:id="rId265" o:title=""/>
              </v:shape>
              <v:shape style="position:absolute;left:4803;top:1229;width:2126;height:10" type="#_x0000_t75" stroked="false">
                <v:imagedata r:id="rId266" o:title=""/>
              </v:shape>
              <v:shape style="position:absolute;left:6925;top:1229;width:1553;height:10" type="#_x0000_t75" stroked="false">
                <v:imagedata r:id="rId267" o:title=""/>
              </v:shape>
            </v:group>
            <v:group style="position:absolute;left:2917;top:1239;width:10;height:20" coordorigin="2917,1239" coordsize="10,20">
              <v:shape style="position:absolute;left:2917;top:1239;width:10;height:20" coordorigin="2917,1239" coordsize="10,20" path="m2917,1258l2926,1258,2926,1239,2917,1239,2917,1258xe" filled="true" fillcolor="#000000" stroked="false">
                <v:path arrowok="t"/>
                <v:fill type="solid"/>
              </v:shape>
            </v:group>
            <v:group style="position:absolute;left:2917;top:1258;width:10;height:20" coordorigin="2917,1258" coordsize="10,20">
              <v:shape style="position:absolute;left:2917;top:1258;width:10;height:20" coordorigin="2917,1258" coordsize="10,20" path="m2917,1277l2926,1277,2926,1258,2917,1258,2917,1277xe" filled="true" fillcolor="#000000" stroked="false">
                <v:path arrowok="t"/>
                <v:fill type="solid"/>
              </v:shape>
            </v:group>
            <v:group style="position:absolute;left:2917;top:1277;width:10;height:20" coordorigin="2917,1277" coordsize="10,20">
              <v:shape style="position:absolute;left:2917;top:1277;width:10;height:20" coordorigin="2917,1277" coordsize="10,20" path="m2917,1296l2926,1296,2926,1277,2917,1277,2917,1296xe" filled="true" fillcolor="#000000" stroked="false">
                <v:path arrowok="t"/>
                <v:fill type="solid"/>
              </v:shape>
            </v:group>
            <v:group style="position:absolute;left:2917;top:1296;width:10;height:20" coordorigin="2917,1296" coordsize="10,20">
              <v:shape style="position:absolute;left:2917;top:1296;width:10;height:20" coordorigin="2917,1296" coordsize="10,20" path="m2917,1316l2926,1316,2926,1296,2917,1296,2917,1316xe" filled="true" fillcolor="#000000" stroked="false">
                <v:path arrowok="t"/>
                <v:fill type="solid"/>
              </v:shape>
            </v:group>
            <v:group style="position:absolute;left:2917;top:1316;width:10;height:20" coordorigin="2917,1316" coordsize="10,20">
              <v:shape style="position:absolute;left:2917;top:1316;width:10;height:20" coordorigin="2917,1316" coordsize="10,20" path="m2917,1335l2926,1335,2926,1316,2917,1316,2917,1335xe" filled="true" fillcolor="#000000" stroked="false">
                <v:path arrowok="t"/>
                <v:fill type="solid"/>
              </v:shape>
            </v:group>
            <v:group style="position:absolute;left:2917;top:1335;width:10;height:20" coordorigin="2917,1335" coordsize="10,20">
              <v:shape style="position:absolute;left:2917;top:1335;width:10;height:20" coordorigin="2917,1335" coordsize="10,20" path="m2917,1354l2926,1354,2926,1335,2917,1335,2917,1354xe" filled="true" fillcolor="#000000" stroked="false">
                <v:path arrowok="t"/>
                <v:fill type="solid"/>
              </v:shape>
            </v:group>
            <v:group style="position:absolute;left:2917;top:1354;width:10;height:20" coordorigin="2917,1354" coordsize="10,20">
              <v:shape style="position:absolute;left:2917;top:1354;width:10;height:20" coordorigin="2917,1354" coordsize="10,20" path="m2917,1373l2926,1373,2926,1354,2917,1354,2917,1373xe" filled="true" fillcolor="#000000" stroked="false">
                <v:path arrowok="t"/>
                <v:fill type="solid"/>
              </v:shape>
            </v:group>
            <v:group style="position:absolute;left:4808;top:1239;width:10;height:20" coordorigin="4808,1239" coordsize="10,20">
              <v:shape style="position:absolute;left:4808;top:1239;width:10;height:20" coordorigin="4808,1239" coordsize="10,20" path="m4808,1258l4818,1258,4818,1239,4808,1239,4808,1258xe" filled="true" fillcolor="#000000" stroked="false">
                <v:path arrowok="t"/>
                <v:fill type="solid"/>
              </v:shape>
            </v:group>
            <v:group style="position:absolute;left:4808;top:1258;width:10;height:20" coordorigin="4808,1258" coordsize="10,20">
              <v:shape style="position:absolute;left:4808;top:1258;width:10;height:20" coordorigin="4808,1258" coordsize="10,20" path="m4808,1277l4818,1277,4818,1258,4808,1258,4808,1277xe" filled="true" fillcolor="#000000" stroked="false">
                <v:path arrowok="t"/>
                <v:fill type="solid"/>
              </v:shape>
            </v:group>
            <v:group style="position:absolute;left:4808;top:1277;width:10;height:20" coordorigin="4808,1277" coordsize="10,20">
              <v:shape style="position:absolute;left:4808;top:1277;width:10;height:20" coordorigin="4808,1277" coordsize="10,20" path="m4808,1296l4818,1296,4818,1277,4808,1277,4808,1296xe" filled="true" fillcolor="#000000" stroked="false">
                <v:path arrowok="t"/>
                <v:fill type="solid"/>
              </v:shape>
            </v:group>
            <v:group style="position:absolute;left:4808;top:1296;width:10;height:20" coordorigin="4808,1296" coordsize="10,20">
              <v:shape style="position:absolute;left:4808;top:1296;width:10;height:20" coordorigin="4808,1296" coordsize="10,20" path="m4808,1316l4818,1316,4818,1296,4808,1296,4808,1316xe" filled="true" fillcolor="#000000" stroked="false">
                <v:path arrowok="t"/>
                <v:fill type="solid"/>
              </v:shape>
            </v:group>
            <v:group style="position:absolute;left:4808;top:1316;width:10;height:20" coordorigin="4808,1316" coordsize="10,20">
              <v:shape style="position:absolute;left:4808;top:1316;width:10;height:20" coordorigin="4808,1316" coordsize="10,20" path="m4808,1335l4818,1335,4818,1316,4808,1316,4808,1335xe" filled="true" fillcolor="#000000" stroked="false">
                <v:path arrowok="t"/>
                <v:fill type="solid"/>
              </v:shape>
            </v:group>
            <v:group style="position:absolute;left:4808;top:1335;width:10;height:20" coordorigin="4808,1335" coordsize="10,20">
              <v:shape style="position:absolute;left:4808;top:1335;width:10;height:20" coordorigin="4808,1335" coordsize="10,20" path="m4808,1354l4818,1354,4818,1335,4808,1335,4808,1354xe" filled="true" fillcolor="#000000" stroked="false">
                <v:path arrowok="t"/>
                <v:fill type="solid"/>
              </v:shape>
            </v:group>
            <v:group style="position:absolute;left:4808;top:1354;width:10;height:20" coordorigin="4808,1354" coordsize="10,20">
              <v:shape style="position:absolute;left:4808;top:1354;width:10;height:20" coordorigin="4808,1354" coordsize="10,20" path="m4808,1373l4818,1373,4818,1354,4808,1354,4808,1373xe" filled="true" fillcolor="#000000" stroked="false">
                <v:path arrowok="t"/>
                <v:fill type="solid"/>
              </v:shape>
            </v:group>
            <v:group style="position:absolute;left:4808;top:1373;width:10;height:20" coordorigin="4808,1373" coordsize="10,20">
              <v:shape style="position:absolute;left:4808;top:1373;width:10;height:20" coordorigin="4808,1373" coordsize="10,20" path="m4808,1392l4818,1392,4818,1373,4808,1373,4808,1392xe" filled="true" fillcolor="#000000" stroked="false">
                <v:path arrowok="t"/>
                <v:fill type="solid"/>
              </v:shape>
            </v:group>
            <v:group style="position:absolute;left:4808;top:1392;width:10;height:20" coordorigin="4808,1392" coordsize="10,20">
              <v:shape style="position:absolute;left:4808;top:1392;width:10;height:20" coordorigin="4808,1392" coordsize="10,20" path="m4808,1412l4818,1412,4818,1392,4808,1392,4808,1412xe" filled="true" fillcolor="#000000" stroked="false">
                <v:path arrowok="t"/>
                <v:fill type="solid"/>
              </v:shape>
            </v:group>
            <v:group style="position:absolute;left:4808;top:1412;width:10;height:20" coordorigin="4808,1412" coordsize="10,20">
              <v:shape style="position:absolute;left:4808;top:1412;width:10;height:20" coordorigin="4808,1412" coordsize="10,20" path="m4808,1431l4818,1431,4818,1412,4808,1412,4808,1431xe" filled="true" fillcolor="#000000" stroked="false">
                <v:path arrowok="t"/>
                <v:fill type="solid"/>
              </v:shape>
            </v:group>
            <v:group style="position:absolute;left:4808;top:1431;width:10;height:20" coordorigin="4808,1431" coordsize="10,20">
              <v:shape style="position:absolute;left:4808;top:1431;width:10;height:20" coordorigin="4808,1431" coordsize="10,20" path="m4808,1450l4818,1450,4818,1431,4808,1431,4808,1450xe" filled="true" fillcolor="#000000" stroked="false">
                <v:path arrowok="t"/>
                <v:fill type="solid"/>
              </v:shape>
            </v:group>
            <v:group style="position:absolute;left:4808;top:1450;width:10;height:20" coordorigin="4808,1450" coordsize="10,20">
              <v:shape style="position:absolute;left:4808;top:1450;width:10;height:20" coordorigin="4808,1450" coordsize="10,20" path="m4808,1469l4818,1469,4818,1450,4808,1450,4808,1469xe" filled="true" fillcolor="#000000" stroked="false">
                <v:path arrowok="t"/>
                <v:fill type="solid"/>
              </v:shape>
            </v:group>
            <v:group style="position:absolute;left:6930;top:1239;width:10;height:20" coordorigin="6930,1239" coordsize="10,20">
              <v:shape style="position:absolute;left:6930;top:1239;width:10;height:20" coordorigin="6930,1239" coordsize="10,20" path="m6930,1258l6939,1258,6939,1239,6930,1239,6930,1258xe" filled="true" fillcolor="#000000" stroked="false">
                <v:path arrowok="t"/>
                <v:fill type="solid"/>
              </v:shape>
            </v:group>
            <v:group style="position:absolute;left:6930;top:1258;width:10;height:20" coordorigin="6930,1258" coordsize="10,20">
              <v:shape style="position:absolute;left:6930;top:1258;width:10;height:20" coordorigin="6930,1258" coordsize="10,20" path="m6930,1277l6939,1277,6939,1258,6930,1258,6930,1277xe" filled="true" fillcolor="#000000" stroked="false">
                <v:path arrowok="t"/>
                <v:fill type="solid"/>
              </v:shape>
            </v:group>
            <v:group style="position:absolute;left:6930;top:1277;width:10;height:20" coordorigin="6930,1277" coordsize="10,20">
              <v:shape style="position:absolute;left:6930;top:1277;width:10;height:20" coordorigin="6930,1277" coordsize="10,20" path="m6930,1296l6939,1296,6939,1277,6930,1277,6930,1296xe" filled="true" fillcolor="#000000" stroked="false">
                <v:path arrowok="t"/>
                <v:fill type="solid"/>
              </v:shape>
            </v:group>
            <v:group style="position:absolute;left:6930;top:1296;width:10;height:20" coordorigin="6930,1296" coordsize="10,20">
              <v:shape style="position:absolute;left:6930;top:1296;width:10;height:20" coordorigin="6930,1296" coordsize="10,20" path="m6930,1316l6939,1316,6939,1296,6930,1296,6930,1316xe" filled="true" fillcolor="#000000" stroked="false">
                <v:path arrowok="t"/>
                <v:fill type="solid"/>
              </v:shape>
            </v:group>
            <v:group style="position:absolute;left:6930;top:1316;width:10;height:20" coordorigin="6930,1316" coordsize="10,20">
              <v:shape style="position:absolute;left:6930;top:1316;width:10;height:20" coordorigin="6930,1316" coordsize="10,20" path="m6930,1335l6939,1335,6939,1316,6930,1316,6930,1335xe" filled="true" fillcolor="#000000" stroked="false">
                <v:path arrowok="t"/>
                <v:fill type="solid"/>
              </v:shape>
            </v:group>
            <v:group style="position:absolute;left:6930;top:1335;width:10;height:20" coordorigin="6930,1335" coordsize="10,20">
              <v:shape style="position:absolute;left:6930;top:1335;width:10;height:20" coordorigin="6930,1335" coordsize="10,20" path="m6930,1354l6939,1354,6939,1335,6930,1335,6930,1354xe" filled="true" fillcolor="#000000" stroked="false">
                <v:path arrowok="t"/>
                <v:fill type="solid"/>
              </v:shape>
            </v:group>
            <v:group style="position:absolute;left:6930;top:1354;width:10;height:20" coordorigin="6930,1354" coordsize="10,20">
              <v:shape style="position:absolute;left:6930;top:1354;width:10;height:20" coordorigin="6930,1354" coordsize="10,20" path="m6930,1373l6939,1373,6939,1354,6930,1354,6930,1373xe" filled="true" fillcolor="#000000" stroked="false">
                <v:path arrowok="t"/>
                <v:fill type="solid"/>
              </v:shape>
            </v:group>
            <v:group style="position:absolute;left:6930;top:1373;width:10;height:20" coordorigin="6930,1373" coordsize="10,20">
              <v:shape style="position:absolute;left:6930;top:1373;width:10;height:20" coordorigin="6930,1373" coordsize="10,20" path="m6930,1392l6939,1392,6939,1373,6930,1373,6930,1392xe" filled="true" fillcolor="#000000" stroked="false">
                <v:path arrowok="t"/>
                <v:fill type="solid"/>
              </v:shape>
            </v:group>
            <v:group style="position:absolute;left:6930;top:1392;width:10;height:20" coordorigin="6930,1392" coordsize="10,20">
              <v:shape style="position:absolute;left:6930;top:1392;width:10;height:20" coordorigin="6930,1392" coordsize="10,20" path="m6930,1412l6939,1412,6939,1392,6930,1392,6930,1412xe" filled="true" fillcolor="#000000" stroked="false">
                <v:path arrowok="t"/>
                <v:fill type="solid"/>
              </v:shape>
            </v:group>
            <v:group style="position:absolute;left:6930;top:1412;width:10;height:20" coordorigin="6930,1412" coordsize="10,20">
              <v:shape style="position:absolute;left:6930;top:1412;width:10;height:20" coordorigin="6930,1412" coordsize="10,20" path="m6930,1431l6939,1431,6939,1412,6930,1412,6930,1431xe" filled="true" fillcolor="#000000" stroked="false">
                <v:path arrowok="t"/>
                <v:fill type="solid"/>
              </v:shape>
            </v:group>
            <v:group style="position:absolute;left:6930;top:1431;width:10;height:20" coordorigin="6930,1431" coordsize="10,20">
              <v:shape style="position:absolute;left:6930;top:1431;width:10;height:20" coordorigin="6930,1431" coordsize="10,20" path="m6930,1450l6939,1450,6939,1431,6930,1431,6930,1450xe" filled="true" fillcolor="#000000" stroked="false">
                <v:path arrowok="t"/>
                <v:fill type="solid"/>
              </v:shape>
            </v:group>
            <v:group style="position:absolute;left:6930;top:1450;width:10;height:20" coordorigin="6930,1450" coordsize="10,20">
              <v:shape style="position:absolute;left:6930;top:1450;width:10;height:20" coordorigin="6930,1450" coordsize="10,20" path="m6930,1469l6939,1469,6939,1450,6930,1450,6930,1469xe" filled="true" fillcolor="#000000" stroked="false">
                <v:path arrowok="t"/>
                <v:fill type="solid"/>
              </v:shape>
              <v:shape style="position:absolute;left:29;top:1373;width:2907;height:108" type="#_x0000_t75" stroked="false">
                <v:imagedata r:id="rId268" o:title=""/>
              </v:shape>
              <v:shape style="position:absolute;left:2912;top:1469;width:1906;height:12" type="#_x0000_t75" stroked="false">
                <v:imagedata r:id="rId271" o:title=""/>
              </v:shape>
              <v:shape style="position:absolute;left:4803;top:1469;width:2136;height:12" type="#_x0000_t75" stroked="false">
                <v:imagedata r:id="rId272" o:title=""/>
              </v:shape>
              <v:shape style="position:absolute;left:6925;top:1472;width:1553;height:10" type="#_x0000_t75" stroked="false">
                <v:imagedata r:id="rId263" o:title=""/>
              </v:shape>
            </v:group>
            <v:group style="position:absolute;left:2917;top:1481;width:10;height:20" coordorigin="2917,1481" coordsize="10,20">
              <v:shape style="position:absolute;left:2917;top:1481;width:10;height:20" coordorigin="2917,1481" coordsize="10,20" path="m2917,1500l2926,1500,2926,1481,2917,1481,2917,1500xe" filled="true" fillcolor="#000000" stroked="false">
                <v:path arrowok="t"/>
                <v:fill type="solid"/>
              </v:shape>
            </v:group>
            <v:group style="position:absolute;left:2917;top:1500;width:10;height:20" coordorigin="2917,1500" coordsize="10,20">
              <v:shape style="position:absolute;left:2917;top:1500;width:10;height:20" coordorigin="2917,1500" coordsize="10,20" path="m2917,1520l2926,1520,2926,1500,2917,1500,2917,1520xe" filled="true" fillcolor="#000000" stroked="false">
                <v:path arrowok="t"/>
                <v:fill type="solid"/>
              </v:shape>
            </v:group>
            <v:group style="position:absolute;left:2917;top:1520;width:10;height:20" coordorigin="2917,1520" coordsize="10,20">
              <v:shape style="position:absolute;left:2917;top:1520;width:10;height:20" coordorigin="2917,1520" coordsize="10,20" path="m2917,1539l2926,1539,2926,1520,2917,1520,2917,1539xe" filled="true" fillcolor="#000000" stroked="false">
                <v:path arrowok="t"/>
                <v:fill type="solid"/>
              </v:shape>
            </v:group>
            <v:group style="position:absolute;left:2917;top:1539;width:10;height:20" coordorigin="2917,1539" coordsize="10,20">
              <v:shape style="position:absolute;left:2917;top:1539;width:10;height:20" coordorigin="2917,1539" coordsize="10,20" path="m2917,1558l2926,1558,2926,1539,2917,1539,2917,1558xe" filled="true" fillcolor="#000000" stroked="false">
                <v:path arrowok="t"/>
                <v:fill type="solid"/>
              </v:shape>
            </v:group>
            <v:group style="position:absolute;left:2917;top:1558;width:10;height:20" coordorigin="2917,1558" coordsize="10,20">
              <v:shape style="position:absolute;left:2917;top:1558;width:10;height:20" coordorigin="2917,1558" coordsize="10,20" path="m2917,1577l2926,1577,2926,1558,2917,1558,2917,1577xe" filled="true" fillcolor="#000000" stroked="false">
                <v:path arrowok="t"/>
                <v:fill type="solid"/>
              </v:shape>
            </v:group>
            <v:group style="position:absolute;left:2917;top:1577;width:10;height:20" coordorigin="2917,1577" coordsize="10,20">
              <v:shape style="position:absolute;left:2917;top:1577;width:10;height:20" coordorigin="2917,1577" coordsize="10,20" path="m2917,1596l2926,1596,2926,1577,2917,1577,2917,1596xe" filled="true" fillcolor="#000000" stroked="false">
                <v:path arrowok="t"/>
                <v:fill type="solid"/>
              </v:shape>
            </v:group>
            <v:group style="position:absolute;left:2917;top:1596;width:10;height:20" coordorigin="2917,1596" coordsize="10,20">
              <v:shape style="position:absolute;left:2917;top:1596;width:10;height:20" coordorigin="2917,1596" coordsize="10,20" path="m2917,1616l2926,1616,2926,1596,2917,1596,2917,1616xe" filled="true" fillcolor="#000000" stroked="false">
                <v:path arrowok="t"/>
                <v:fill type="solid"/>
              </v:shape>
            </v:group>
            <v:group style="position:absolute;left:4808;top:1481;width:10;height:20" coordorigin="4808,1481" coordsize="10,20">
              <v:shape style="position:absolute;left:4808;top:1481;width:10;height:20" coordorigin="4808,1481" coordsize="10,20" path="m4808,1500l4818,1500,4818,1481,4808,1481,4808,1500xe" filled="true" fillcolor="#000000" stroked="false">
                <v:path arrowok="t"/>
                <v:fill type="solid"/>
              </v:shape>
            </v:group>
            <v:group style="position:absolute;left:4808;top:1500;width:10;height:20" coordorigin="4808,1500" coordsize="10,20">
              <v:shape style="position:absolute;left:4808;top:1500;width:10;height:20" coordorigin="4808,1500" coordsize="10,20" path="m4808,1520l4818,1520,4818,1500,4808,1500,4808,1520xe" filled="true" fillcolor="#000000" stroked="false">
                <v:path arrowok="t"/>
                <v:fill type="solid"/>
              </v:shape>
            </v:group>
            <v:group style="position:absolute;left:4808;top:1520;width:10;height:20" coordorigin="4808,1520" coordsize="10,20">
              <v:shape style="position:absolute;left:4808;top:1520;width:10;height:20" coordorigin="4808,1520" coordsize="10,20" path="m4808,1539l4818,1539,4818,1520,4808,1520,4808,1539xe" filled="true" fillcolor="#000000" stroked="false">
                <v:path arrowok="t"/>
                <v:fill type="solid"/>
              </v:shape>
            </v:group>
            <v:group style="position:absolute;left:4808;top:1539;width:10;height:20" coordorigin="4808,1539" coordsize="10,20">
              <v:shape style="position:absolute;left:4808;top:1539;width:10;height:20" coordorigin="4808,1539" coordsize="10,20" path="m4808,1558l4818,1558,4818,1539,4808,1539,4808,1558xe" filled="true" fillcolor="#000000" stroked="false">
                <v:path arrowok="t"/>
                <v:fill type="solid"/>
              </v:shape>
            </v:group>
            <v:group style="position:absolute;left:4808;top:1558;width:10;height:20" coordorigin="4808,1558" coordsize="10,20">
              <v:shape style="position:absolute;left:4808;top:1558;width:10;height:20" coordorigin="4808,1558" coordsize="10,20" path="m4808,1577l4818,1577,4818,1558,4808,1558,4808,1577xe" filled="true" fillcolor="#000000" stroked="false">
                <v:path arrowok="t"/>
                <v:fill type="solid"/>
              </v:shape>
            </v:group>
            <v:group style="position:absolute;left:4808;top:1577;width:10;height:20" coordorigin="4808,1577" coordsize="10,20">
              <v:shape style="position:absolute;left:4808;top:1577;width:10;height:20" coordorigin="4808,1577" coordsize="10,20" path="m4808,1596l4818,1596,4818,1577,4808,1577,4808,1596xe" filled="true" fillcolor="#000000" stroked="false">
                <v:path arrowok="t"/>
                <v:fill type="solid"/>
              </v:shape>
            </v:group>
            <v:group style="position:absolute;left:4808;top:1596;width:10;height:20" coordorigin="4808,1596" coordsize="10,20">
              <v:shape style="position:absolute;left:4808;top:1596;width:10;height:20" coordorigin="4808,1596" coordsize="10,20" path="m4808,1616l4818,1616,4818,1596,4808,1596,4808,1616xe" filled="true" fillcolor="#000000" stroked="false">
                <v:path arrowok="t"/>
                <v:fill type="solid"/>
              </v:shape>
            </v:group>
            <v:group style="position:absolute;left:4808;top:1616;width:10;height:20" coordorigin="4808,1616" coordsize="10,20">
              <v:shape style="position:absolute;left:4808;top:1616;width:10;height:20" coordorigin="4808,1616" coordsize="10,20" path="m4808,1635l4818,1635,4818,1616,4808,1616,4808,1635xe" filled="true" fillcolor="#000000" stroked="false">
                <v:path arrowok="t"/>
                <v:fill type="solid"/>
              </v:shape>
            </v:group>
            <v:group style="position:absolute;left:4808;top:1635;width:10;height:20" coordorigin="4808,1635" coordsize="10,20">
              <v:shape style="position:absolute;left:4808;top:1635;width:10;height:20" coordorigin="4808,1635" coordsize="10,20" path="m4808,1654l4818,1654,4818,1635,4808,1635,4808,1654xe" filled="true" fillcolor="#000000" stroked="false">
                <v:path arrowok="t"/>
                <v:fill type="solid"/>
              </v:shape>
            </v:group>
            <v:group style="position:absolute;left:4808;top:1654;width:10;height:20" coordorigin="4808,1654" coordsize="10,20">
              <v:shape style="position:absolute;left:4808;top:1654;width:10;height:20" coordorigin="4808,1654" coordsize="10,20" path="m4808,1673l4818,1673,4818,1654,4808,1654,4808,1673xe" filled="true" fillcolor="#000000" stroked="false">
                <v:path arrowok="t"/>
                <v:fill type="solid"/>
              </v:shape>
            </v:group>
            <v:group style="position:absolute;left:4808;top:1673;width:10;height:20" coordorigin="4808,1673" coordsize="10,20">
              <v:shape style="position:absolute;left:4808;top:1673;width:10;height:20" coordorigin="4808,1673" coordsize="10,20" path="m4808,1692l4818,1692,4818,1673,4808,1673,4808,1692xe" filled="true" fillcolor="#000000" stroked="false">
                <v:path arrowok="t"/>
                <v:fill type="solid"/>
              </v:shape>
            </v:group>
            <v:group style="position:absolute;left:4808;top:1692;width:10;height:20" coordorigin="4808,1692" coordsize="10,20">
              <v:shape style="position:absolute;left:4808;top:1692;width:10;height:20" coordorigin="4808,1692" coordsize="10,20" path="m4808,1712l4818,1712,4818,1692,4808,1692,4808,1712xe" filled="true" fillcolor="#000000" stroked="false">
                <v:path arrowok="t"/>
                <v:fill type="solid"/>
              </v:shape>
            </v:group>
            <v:group style="position:absolute;left:6930;top:1481;width:10;height:20" coordorigin="6930,1481" coordsize="10,20">
              <v:shape style="position:absolute;left:6930;top:1481;width:10;height:20" coordorigin="6930,1481" coordsize="10,20" path="m6930,1500l6939,1500,6939,1481,6930,1481,6930,1500xe" filled="true" fillcolor="#000000" stroked="false">
                <v:path arrowok="t"/>
                <v:fill type="solid"/>
              </v:shape>
            </v:group>
            <v:group style="position:absolute;left:6930;top:1500;width:10;height:20" coordorigin="6930,1500" coordsize="10,20">
              <v:shape style="position:absolute;left:6930;top:1500;width:10;height:20" coordorigin="6930,1500" coordsize="10,20" path="m6930,1520l6939,1520,6939,1500,6930,1500,6930,1520xe" filled="true" fillcolor="#000000" stroked="false">
                <v:path arrowok="t"/>
                <v:fill type="solid"/>
              </v:shape>
            </v:group>
            <v:group style="position:absolute;left:6930;top:1520;width:10;height:20" coordorigin="6930,1520" coordsize="10,20">
              <v:shape style="position:absolute;left:6930;top:1520;width:10;height:20" coordorigin="6930,1520" coordsize="10,20" path="m6930,1539l6939,1539,6939,1520,6930,1520,6930,1539xe" filled="true" fillcolor="#000000" stroked="false">
                <v:path arrowok="t"/>
                <v:fill type="solid"/>
              </v:shape>
            </v:group>
            <v:group style="position:absolute;left:6930;top:1539;width:10;height:20" coordorigin="6930,1539" coordsize="10,20">
              <v:shape style="position:absolute;left:6930;top:1539;width:10;height:20" coordorigin="6930,1539" coordsize="10,20" path="m6930,1558l6939,1558,6939,1539,6930,1539,6930,1558xe" filled="true" fillcolor="#000000" stroked="false">
                <v:path arrowok="t"/>
                <v:fill type="solid"/>
              </v:shape>
            </v:group>
            <v:group style="position:absolute;left:6930;top:1558;width:10;height:20" coordorigin="6930,1558" coordsize="10,20">
              <v:shape style="position:absolute;left:6930;top:1558;width:10;height:20" coordorigin="6930,1558" coordsize="10,20" path="m6930,1577l6939,1577,6939,1558,6930,1558,6930,1577xe" filled="true" fillcolor="#000000" stroked="false">
                <v:path arrowok="t"/>
                <v:fill type="solid"/>
              </v:shape>
            </v:group>
            <v:group style="position:absolute;left:6930;top:1577;width:10;height:20" coordorigin="6930,1577" coordsize="10,20">
              <v:shape style="position:absolute;left:6930;top:1577;width:10;height:20" coordorigin="6930,1577" coordsize="10,20" path="m6930,1596l6939,1596,6939,1577,6930,1577,6930,1596xe" filled="true" fillcolor="#000000" stroked="false">
                <v:path arrowok="t"/>
                <v:fill type="solid"/>
              </v:shape>
            </v:group>
            <v:group style="position:absolute;left:6930;top:1596;width:10;height:20" coordorigin="6930,1596" coordsize="10,20">
              <v:shape style="position:absolute;left:6930;top:1596;width:10;height:20" coordorigin="6930,1596" coordsize="10,20" path="m6930,1616l6939,1616,6939,1596,6930,1596,6930,1616xe" filled="true" fillcolor="#000000" stroked="false">
                <v:path arrowok="t"/>
                <v:fill type="solid"/>
              </v:shape>
            </v:group>
            <v:group style="position:absolute;left:6930;top:1616;width:10;height:20" coordorigin="6930,1616" coordsize="10,20">
              <v:shape style="position:absolute;left:6930;top:1616;width:10;height:20" coordorigin="6930,1616" coordsize="10,20" path="m6930,1635l6939,1635,6939,1616,6930,1616,6930,1635xe" filled="true" fillcolor="#000000" stroked="false">
                <v:path arrowok="t"/>
                <v:fill type="solid"/>
              </v:shape>
            </v:group>
            <v:group style="position:absolute;left:6930;top:1635;width:10;height:20" coordorigin="6930,1635" coordsize="10,20">
              <v:shape style="position:absolute;left:6930;top:1635;width:10;height:20" coordorigin="6930,1635" coordsize="10,20" path="m6930,1654l6939,1654,6939,1635,6930,1635,6930,1654xe" filled="true" fillcolor="#000000" stroked="false">
                <v:path arrowok="t"/>
                <v:fill type="solid"/>
              </v:shape>
            </v:group>
            <v:group style="position:absolute;left:6930;top:1654;width:10;height:20" coordorigin="6930,1654" coordsize="10,20">
              <v:shape style="position:absolute;left:6930;top:1654;width:10;height:20" coordorigin="6930,1654" coordsize="10,20" path="m6930,1673l6939,1673,6939,1654,6930,1654,6930,1673xe" filled="true" fillcolor="#000000" stroked="false">
                <v:path arrowok="t"/>
                <v:fill type="solid"/>
              </v:shape>
            </v:group>
            <v:group style="position:absolute;left:6930;top:1673;width:10;height:20" coordorigin="6930,1673" coordsize="10,20">
              <v:shape style="position:absolute;left:6930;top:1673;width:10;height:20" coordorigin="6930,1673" coordsize="10,20" path="m6930,1692l6939,1692,6939,1673,6930,1673,6930,1692xe" filled="true" fillcolor="#000000" stroked="false">
                <v:path arrowok="t"/>
                <v:fill type="solid"/>
              </v:shape>
            </v:group>
            <v:group style="position:absolute;left:6930;top:1692;width:10;height:20" coordorigin="6930,1692" coordsize="10,20">
              <v:shape style="position:absolute;left:6930;top:1692;width:10;height:20" coordorigin="6930,1692" coordsize="10,20" path="m6930,1712l6939,1712,6939,1692,6930,1692,6930,1712xe" filled="true" fillcolor="#000000" stroked="false">
                <v:path arrowok="t"/>
                <v:fill type="solid"/>
              </v:shape>
            </v:group>
            <v:group style="position:absolute;left:6930;top:1714;width:10;height:2" coordorigin="6930,1714" coordsize="10,2">
              <v:shape style="position:absolute;left:6930;top:1714;width:10;height:2" coordorigin="6930,1714" coordsize="10,0" path="m6930,1714l6939,1714e" filled="false" stroked="true" strokeweight=".23999pt" strokecolor="#000000">
                <v:path arrowok="t"/>
              </v:shape>
              <v:shape style="position:absolute;left:29;top:1616;width:2907;height:110" type="#_x0000_t75" stroked="false">
                <v:imagedata r:id="rId273" o:title=""/>
              </v:shape>
              <v:shape style="position:absolute;left:2912;top:1712;width:1906;height:14" type="#_x0000_t75" stroked="false">
                <v:imagedata r:id="rId106" o:title=""/>
              </v:shape>
              <v:shape style="position:absolute;left:4803;top:1716;width:2126;height:10" type="#_x0000_t75" stroked="false">
                <v:imagedata r:id="rId266" o:title=""/>
              </v:shape>
              <v:shape style="position:absolute;left:6925;top:1716;width:1553;height:10" type="#_x0000_t75" stroked="false">
                <v:imagedata r:id="rId267" o:title=""/>
              </v:shape>
            </v:group>
            <v:group style="position:absolute;left:2917;top:1726;width:10;height:20" coordorigin="2917,1726" coordsize="10,20">
              <v:shape style="position:absolute;left:2917;top:1726;width:10;height:20" coordorigin="2917,1726" coordsize="10,20" path="m2917,1745l2926,1745,2926,1726,2917,1726,2917,1745xe" filled="true" fillcolor="#000000" stroked="false">
                <v:path arrowok="t"/>
                <v:fill type="solid"/>
              </v:shape>
            </v:group>
            <v:group style="position:absolute;left:2917;top:1745;width:10;height:20" coordorigin="2917,1745" coordsize="10,20">
              <v:shape style="position:absolute;left:2917;top:1745;width:10;height:20" coordorigin="2917,1745" coordsize="10,20" path="m2917,1764l2926,1764,2926,1745,2917,1745,2917,1764xe" filled="true" fillcolor="#000000" stroked="false">
                <v:path arrowok="t"/>
                <v:fill type="solid"/>
              </v:shape>
            </v:group>
            <v:group style="position:absolute;left:2917;top:1764;width:10;height:20" coordorigin="2917,1764" coordsize="10,20">
              <v:shape style="position:absolute;left:2917;top:1764;width:10;height:20" coordorigin="2917,1764" coordsize="10,20" path="m2917,1784l2926,1784,2926,1764,2917,1764,2917,1784xe" filled="true" fillcolor="#000000" stroked="false">
                <v:path arrowok="t"/>
                <v:fill type="solid"/>
              </v:shape>
            </v:group>
            <v:group style="position:absolute;left:2917;top:1784;width:10;height:20" coordorigin="2917,1784" coordsize="10,20">
              <v:shape style="position:absolute;left:2917;top:1784;width:10;height:20" coordorigin="2917,1784" coordsize="10,20" path="m2917,1803l2926,1803,2926,1784,2917,1784,2917,1803xe" filled="true" fillcolor="#000000" stroked="false">
                <v:path arrowok="t"/>
                <v:fill type="solid"/>
              </v:shape>
            </v:group>
            <v:group style="position:absolute;left:2917;top:1803;width:10;height:20" coordorigin="2917,1803" coordsize="10,20">
              <v:shape style="position:absolute;left:2917;top:1803;width:10;height:20" coordorigin="2917,1803" coordsize="10,20" path="m2917,1822l2926,1822,2926,1803,2917,1803,2917,1822xe" filled="true" fillcolor="#000000" stroked="false">
                <v:path arrowok="t"/>
                <v:fill type="solid"/>
              </v:shape>
            </v:group>
            <v:group style="position:absolute;left:2917;top:1822;width:10;height:20" coordorigin="2917,1822" coordsize="10,20">
              <v:shape style="position:absolute;left:2917;top:1822;width:10;height:20" coordorigin="2917,1822" coordsize="10,20" path="m2917,1841l2926,1841,2926,1822,2917,1822,2917,1841xe" filled="true" fillcolor="#000000" stroked="false">
                <v:path arrowok="t"/>
                <v:fill type="solid"/>
              </v:shape>
            </v:group>
            <v:group style="position:absolute;left:2917;top:1841;width:10;height:20" coordorigin="2917,1841" coordsize="10,20">
              <v:shape style="position:absolute;left:2917;top:1841;width:10;height:20" coordorigin="2917,1841" coordsize="10,20" path="m2917,1860l2926,1860,2926,1841,2917,1841,2917,1860xe" filled="true" fillcolor="#000000" stroked="false">
                <v:path arrowok="t"/>
                <v:fill type="solid"/>
              </v:shape>
            </v:group>
            <v:group style="position:absolute;left:2917;top:1860;width:10;height:20" coordorigin="2917,1860" coordsize="10,20">
              <v:shape style="position:absolute;left:2917;top:1860;width:10;height:20" coordorigin="2917,1860" coordsize="10,20" path="m2917,1880l2926,1880,2926,1860,2917,1860,2917,1880xe" filled="true" fillcolor="#000000" stroked="false">
                <v:path arrowok="t"/>
                <v:fill type="solid"/>
              </v:shape>
            </v:group>
            <v:group style="position:absolute;left:14;top:1976;width:2902;height:2" coordorigin="14,1976" coordsize="2902,2">
              <v:shape style="position:absolute;left:14;top:1976;width:2902;height:2" coordorigin="14,1976" coordsize="2902,0" path="m14,1976l2916,1976e" filled="false" stroked="true" strokeweight="1.44pt" strokecolor="#000000">
                <v:path arrowok="t"/>
              </v:shape>
            </v:group>
            <v:group style="position:absolute;left:2917;top:1880;width:10;height:20" coordorigin="2917,1880" coordsize="10,20">
              <v:shape style="position:absolute;left:2917;top:1880;width:10;height:20" coordorigin="2917,1880" coordsize="10,20" path="m2917,1899l2926,1899,2926,1880,2917,1880,2917,1899xe" filled="true" fillcolor="#000000" stroked="false">
                <v:path arrowok="t"/>
                <v:fill type="solid"/>
              </v:shape>
            </v:group>
            <v:group style="position:absolute;left:2917;top:1899;width:10;height:20" coordorigin="2917,1899" coordsize="10,20">
              <v:shape style="position:absolute;left:2917;top:1899;width:10;height:20" coordorigin="2917,1899" coordsize="10,20" path="m2917,1918l2926,1918,2926,1899,2917,1899,2917,1918xe" filled="true" fillcolor="#000000" stroked="false">
                <v:path arrowok="t"/>
                <v:fill type="solid"/>
              </v:shape>
            </v:group>
            <v:group style="position:absolute;left:2917;top:1918;width:10;height:20" coordorigin="2917,1918" coordsize="10,20">
              <v:shape style="position:absolute;left:2917;top:1918;width:10;height:20" coordorigin="2917,1918" coordsize="10,20" path="m2917,1937l2926,1937,2926,1918,2917,1918,2917,1937xe" filled="true" fillcolor="#000000" stroked="false">
                <v:path arrowok="t"/>
                <v:fill type="solid"/>
              </v:shape>
            </v:group>
            <v:group style="position:absolute;left:2917;top:1937;width:10;height:20" coordorigin="2917,1937" coordsize="10,20">
              <v:shape style="position:absolute;left:2917;top:1937;width:10;height:20" coordorigin="2917,1937" coordsize="10,20" path="m2917,1956l2926,1956,2926,1937,2917,1937,2917,1956xe" filled="true" fillcolor="#000000" stroked="false">
                <v:path arrowok="t"/>
                <v:fill type="solid"/>
              </v:shape>
              <v:shape style="position:absolute;left:2917;top:1956;width:10;height:5" type="#_x0000_t75" stroked="false">
                <v:imagedata r:id="rId274" o:title=""/>
              </v:shape>
            </v:group>
            <v:group style="position:absolute;left:2917;top:1976;width:29;height:2" coordorigin="2917,1976" coordsize="29,2">
              <v:shape style="position:absolute;left:2917;top:1976;width:29;height:2" coordorigin="2917,1976" coordsize="29,0" path="m2917,1976l2945,1976e" filled="false" stroked="true" strokeweight="1.44pt" strokecolor="#000000">
                <v:path arrowok="t"/>
              </v:shape>
            </v:group>
            <v:group style="position:absolute;left:2945;top:1976;width:1863;height:2" coordorigin="2945,1976" coordsize="1863,2">
              <v:shape style="position:absolute;left:2945;top:1976;width:1863;height:2" coordorigin="2945,1976" coordsize="1863,0" path="m2945,1976l4808,1976e" filled="false" stroked="true" strokeweight="1.44pt" strokecolor="#000000">
                <v:path arrowok="t"/>
              </v:shape>
            </v:group>
            <v:group style="position:absolute;left:4808;top:1726;width:10;height:20" coordorigin="4808,1726" coordsize="10,20">
              <v:shape style="position:absolute;left:4808;top:1726;width:10;height:20" coordorigin="4808,1726" coordsize="10,20" path="m4808,1745l4818,1745,4818,1726,4808,1726,4808,1745xe" filled="true" fillcolor="#000000" stroked="false">
                <v:path arrowok="t"/>
                <v:fill type="solid"/>
              </v:shape>
            </v:group>
            <v:group style="position:absolute;left:4808;top:1745;width:10;height:20" coordorigin="4808,1745" coordsize="10,20">
              <v:shape style="position:absolute;left:4808;top:1745;width:10;height:20" coordorigin="4808,1745" coordsize="10,20" path="m4808,1764l4818,1764,4818,1745,4808,1745,4808,1764xe" filled="true" fillcolor="#000000" stroked="false">
                <v:path arrowok="t"/>
                <v:fill type="solid"/>
              </v:shape>
            </v:group>
            <v:group style="position:absolute;left:4808;top:1764;width:10;height:20" coordorigin="4808,1764" coordsize="10,20">
              <v:shape style="position:absolute;left:4808;top:1764;width:10;height:20" coordorigin="4808,1764" coordsize="10,20" path="m4808,1784l4818,1784,4818,1764,4808,1764,4808,1784xe" filled="true" fillcolor="#000000" stroked="false">
                <v:path arrowok="t"/>
                <v:fill type="solid"/>
              </v:shape>
            </v:group>
            <v:group style="position:absolute;left:4808;top:1784;width:10;height:20" coordorigin="4808,1784" coordsize="10,20">
              <v:shape style="position:absolute;left:4808;top:1784;width:10;height:20" coordorigin="4808,1784" coordsize="10,20" path="m4808,1803l4818,1803,4818,1784,4808,1784,4808,1803xe" filled="true" fillcolor="#000000" stroked="false">
                <v:path arrowok="t"/>
                <v:fill type="solid"/>
              </v:shape>
            </v:group>
            <v:group style="position:absolute;left:4808;top:1803;width:10;height:20" coordorigin="4808,1803" coordsize="10,20">
              <v:shape style="position:absolute;left:4808;top:1803;width:10;height:20" coordorigin="4808,1803" coordsize="10,20" path="m4808,1822l4818,1822,4818,1803,4808,1803,4808,1822xe" filled="true" fillcolor="#000000" stroked="false">
                <v:path arrowok="t"/>
                <v:fill type="solid"/>
              </v:shape>
            </v:group>
            <v:group style="position:absolute;left:4808;top:1822;width:10;height:20" coordorigin="4808,1822" coordsize="10,20">
              <v:shape style="position:absolute;left:4808;top:1822;width:10;height:20" coordorigin="4808,1822" coordsize="10,20" path="m4808,1841l4818,1841,4818,1822,4808,1822,4808,1841xe" filled="true" fillcolor="#000000" stroked="false">
                <v:path arrowok="t"/>
                <v:fill type="solid"/>
              </v:shape>
            </v:group>
            <v:group style="position:absolute;left:4808;top:1841;width:10;height:20" coordorigin="4808,1841" coordsize="10,20">
              <v:shape style="position:absolute;left:4808;top:1841;width:10;height:20" coordorigin="4808,1841" coordsize="10,20" path="m4808,1860l4818,1860,4818,1841,4808,1841,4808,1860xe" filled="true" fillcolor="#000000" stroked="false">
                <v:path arrowok="t"/>
                <v:fill type="solid"/>
              </v:shape>
            </v:group>
            <v:group style="position:absolute;left:4808;top:1860;width:10;height:20" coordorigin="4808,1860" coordsize="10,20">
              <v:shape style="position:absolute;left:4808;top:1860;width:10;height:20" coordorigin="4808,1860" coordsize="10,20" path="m4808,1880l4818,1880,4818,1860,4808,1860,4808,1880xe" filled="true" fillcolor="#000000" stroked="false">
                <v:path arrowok="t"/>
                <v:fill type="solid"/>
              </v:shape>
            </v:group>
            <v:group style="position:absolute;left:4808;top:1880;width:10;height:20" coordorigin="4808,1880" coordsize="10,20">
              <v:shape style="position:absolute;left:4808;top:1880;width:10;height:20" coordorigin="4808,1880" coordsize="10,20" path="m4808,1899l4818,1899,4818,1880,4808,1880,4808,1899xe" filled="true" fillcolor="#000000" stroked="false">
                <v:path arrowok="t"/>
                <v:fill type="solid"/>
              </v:shape>
            </v:group>
            <v:group style="position:absolute;left:4808;top:1899;width:10;height:20" coordorigin="4808,1899" coordsize="10,20">
              <v:shape style="position:absolute;left:4808;top:1899;width:10;height:20" coordorigin="4808,1899" coordsize="10,20" path="m4808,1918l4818,1918,4818,1899,4808,1899,4808,1918xe" filled="true" fillcolor="#000000" stroked="false">
                <v:path arrowok="t"/>
                <v:fill type="solid"/>
              </v:shape>
            </v:group>
            <v:group style="position:absolute;left:4808;top:1918;width:10;height:20" coordorigin="4808,1918" coordsize="10,20">
              <v:shape style="position:absolute;left:4808;top:1918;width:10;height:20" coordorigin="4808,1918" coordsize="10,20" path="m4808,1937l4818,1937,4818,1918,4808,1918,4808,1937xe" filled="true" fillcolor="#000000" stroked="false">
                <v:path arrowok="t"/>
                <v:fill type="solid"/>
              </v:shape>
            </v:group>
            <v:group style="position:absolute;left:4808;top:1937;width:10;height:20" coordorigin="4808,1937" coordsize="10,20">
              <v:shape style="position:absolute;left:4808;top:1937;width:10;height:20" coordorigin="4808,1937" coordsize="10,20" path="m4808,1956l4818,1956,4818,1937,4808,1937,4808,1956xe" filled="true" fillcolor="#000000" stroked="false">
                <v:path arrowok="t"/>
                <v:fill type="solid"/>
              </v:shape>
              <v:shape style="position:absolute;left:4808;top:1956;width:10;height:5" type="#_x0000_t75" stroked="false">
                <v:imagedata r:id="rId274" o:title=""/>
              </v:shape>
            </v:group>
            <v:group style="position:absolute;left:4808;top:1976;width:29;height:2" coordorigin="4808,1976" coordsize="29,2">
              <v:shape style="position:absolute;left:4808;top:1976;width:29;height:2" coordorigin="4808,1976" coordsize="29,0" path="m4808,1976l4837,1976e" filled="false" stroked="true" strokeweight="1.44pt" strokecolor="#000000">
                <v:path arrowok="t"/>
              </v:shape>
            </v:group>
            <v:group style="position:absolute;left:4837;top:1976;width:2093;height:2" coordorigin="4837,1976" coordsize="2093,2">
              <v:shape style="position:absolute;left:4837;top:1976;width:2093;height:2" coordorigin="4837,1976" coordsize="2093,0" path="m4837,1976l6930,1976e" filled="false" stroked="true" strokeweight="1.44pt" strokecolor="#000000">
                <v:path arrowok="t"/>
              </v:shape>
            </v:group>
            <v:group style="position:absolute;left:6930;top:1726;width:10;height:20" coordorigin="6930,1726" coordsize="10,20">
              <v:shape style="position:absolute;left:6930;top:1726;width:10;height:20" coordorigin="6930,1726" coordsize="10,20" path="m6930,1745l6939,1745,6939,1726,6930,1726,6930,1745xe" filled="true" fillcolor="#000000" stroked="false">
                <v:path arrowok="t"/>
                <v:fill type="solid"/>
              </v:shape>
            </v:group>
            <v:group style="position:absolute;left:6930;top:1745;width:10;height:20" coordorigin="6930,1745" coordsize="10,20">
              <v:shape style="position:absolute;left:6930;top:1745;width:10;height:20" coordorigin="6930,1745" coordsize="10,20" path="m6930,1764l6939,1764,6939,1745,6930,1745,6930,1764xe" filled="true" fillcolor="#000000" stroked="false">
                <v:path arrowok="t"/>
                <v:fill type="solid"/>
              </v:shape>
            </v:group>
            <v:group style="position:absolute;left:6930;top:1764;width:10;height:20" coordorigin="6930,1764" coordsize="10,20">
              <v:shape style="position:absolute;left:6930;top:1764;width:10;height:20" coordorigin="6930,1764" coordsize="10,20" path="m6930,1784l6939,1784,6939,1764,6930,1764,6930,1784xe" filled="true" fillcolor="#000000" stroked="false">
                <v:path arrowok="t"/>
                <v:fill type="solid"/>
              </v:shape>
            </v:group>
            <v:group style="position:absolute;left:6930;top:1784;width:10;height:20" coordorigin="6930,1784" coordsize="10,20">
              <v:shape style="position:absolute;left:6930;top:1784;width:10;height:20" coordorigin="6930,1784" coordsize="10,20" path="m6930,1803l6939,1803,6939,1784,6930,1784,6930,1803xe" filled="true" fillcolor="#000000" stroked="false">
                <v:path arrowok="t"/>
                <v:fill type="solid"/>
              </v:shape>
            </v:group>
            <v:group style="position:absolute;left:6930;top:1803;width:10;height:20" coordorigin="6930,1803" coordsize="10,20">
              <v:shape style="position:absolute;left:6930;top:1803;width:10;height:20" coordorigin="6930,1803" coordsize="10,20" path="m6930,1822l6939,1822,6939,1803,6930,1803,6930,1822xe" filled="true" fillcolor="#000000" stroked="false">
                <v:path arrowok="t"/>
                <v:fill type="solid"/>
              </v:shape>
            </v:group>
            <v:group style="position:absolute;left:6930;top:1822;width:10;height:20" coordorigin="6930,1822" coordsize="10,20">
              <v:shape style="position:absolute;left:6930;top:1822;width:10;height:20" coordorigin="6930,1822" coordsize="10,20" path="m6930,1841l6939,1841,6939,1822,6930,1822,6930,1841xe" filled="true" fillcolor="#000000" stroked="false">
                <v:path arrowok="t"/>
                <v:fill type="solid"/>
              </v:shape>
            </v:group>
            <v:group style="position:absolute;left:6930;top:1841;width:10;height:20" coordorigin="6930,1841" coordsize="10,20">
              <v:shape style="position:absolute;left:6930;top:1841;width:10;height:20" coordorigin="6930,1841" coordsize="10,20" path="m6930,1860l6939,1860,6939,1841,6930,1841,6930,1860xe" filled="true" fillcolor="#000000" stroked="false">
                <v:path arrowok="t"/>
                <v:fill type="solid"/>
              </v:shape>
            </v:group>
            <v:group style="position:absolute;left:6930;top:1860;width:10;height:20" coordorigin="6930,1860" coordsize="10,20">
              <v:shape style="position:absolute;left:6930;top:1860;width:10;height:20" coordorigin="6930,1860" coordsize="10,20" path="m6930,1880l6939,1880,6939,1860,6930,1860,6930,1880xe" filled="true" fillcolor="#000000" stroked="false">
                <v:path arrowok="t"/>
                <v:fill type="solid"/>
              </v:shape>
            </v:group>
            <v:group style="position:absolute;left:6930;top:1880;width:10;height:20" coordorigin="6930,1880" coordsize="10,20">
              <v:shape style="position:absolute;left:6930;top:1880;width:10;height:20" coordorigin="6930,1880" coordsize="10,20" path="m6930,1899l6939,1899,6939,1880,6930,1880,6930,1899xe" filled="true" fillcolor="#000000" stroked="false">
                <v:path arrowok="t"/>
                <v:fill type="solid"/>
              </v:shape>
            </v:group>
            <v:group style="position:absolute;left:6930;top:1899;width:10;height:20" coordorigin="6930,1899" coordsize="10,20">
              <v:shape style="position:absolute;left:6930;top:1899;width:10;height:20" coordorigin="6930,1899" coordsize="10,20" path="m6930,1918l6939,1918,6939,1899,6930,1899,6930,1918xe" filled="true" fillcolor="#000000" stroked="false">
                <v:path arrowok="t"/>
                <v:fill type="solid"/>
              </v:shape>
            </v:group>
            <v:group style="position:absolute;left:6930;top:1918;width:10;height:20" coordorigin="6930,1918" coordsize="10,20">
              <v:shape style="position:absolute;left:6930;top:1918;width:10;height:20" coordorigin="6930,1918" coordsize="10,20" path="m6930,1937l6939,1937,6939,1918,6930,1918,6930,1937xe" filled="true" fillcolor="#000000" stroked="false">
                <v:path arrowok="t"/>
                <v:fill type="solid"/>
              </v:shape>
            </v:group>
            <v:group style="position:absolute;left:6930;top:1937;width:10;height:20" coordorigin="6930,1937" coordsize="10,20">
              <v:shape style="position:absolute;left:6930;top:1937;width:10;height:20" coordorigin="6930,1937" coordsize="10,20" path="m6930,1956l6939,1956,6939,1937,6930,1937,6930,1956xe" filled="true" fillcolor="#000000" stroked="false">
                <v:path arrowok="t"/>
                <v:fill type="solid"/>
              </v:shape>
            </v:group>
            <v:group style="position:absolute;left:6930;top:1959;width:10;height:2" coordorigin="6930,1959" coordsize="10,2">
              <v:shape style="position:absolute;left:6930;top:1959;width:10;height:2" coordorigin="6930,1959" coordsize="10,0" path="m6930,1959l6939,1959e" filled="false" stroked="true" strokeweight=".23999pt" strokecolor="#000000">
                <v:path arrowok="t"/>
              </v:shape>
            </v:group>
            <v:group style="position:absolute;left:6930;top:1976;width:29;height:2" coordorigin="6930,1976" coordsize="29,2">
              <v:shape style="position:absolute;left:6930;top:1976;width:29;height:2" coordorigin="6930,1976" coordsize="29,0" path="m6930,1976l6959,1976e" filled="false" stroked="true" strokeweight="1.44pt" strokecolor="#000000">
                <v:path arrowok="t"/>
              </v:shape>
            </v:group>
            <v:group style="position:absolute;left:6959;top:1976;width:1520;height:2" coordorigin="6959,1976" coordsize="1520,2">
              <v:shape style="position:absolute;left:6959;top:1976;width:1520;height:2" coordorigin="6959,1976" coordsize="1520,0" path="m6959,1976l8478,1976e" filled="false" stroked="true" strokeweight="1.44pt" strokecolor="#000000">
                <v:path arrowok="t"/>
              </v:shape>
              <v:shape style="position:absolute;left:1291;top:1751;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合计</w:t>
                      </w:r>
                    </w:p>
                  </w:txbxContent>
                </v:textbox>
                <w10:wrap type="none"/>
              </v:shape>
              <v:shape style="position:absolute;left:3507;top:175;width:1198;height:1762"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应收账款</w:t>
                      </w:r>
                    </w:p>
                    <w:p>
                      <w:pPr>
                        <w:spacing w:before="162"/>
                        <w:ind w:left="72" w:right="0" w:firstLine="0"/>
                        <w:jc w:val="left"/>
                        <w:rPr>
                          <w:rFonts w:ascii="Times New Roman" w:hAnsi="Times New Roman" w:cs="Times New Roman" w:eastAsia="Times New Roman" w:hint="default"/>
                          <w:sz w:val="18"/>
                          <w:szCs w:val="18"/>
                        </w:rPr>
                      </w:pPr>
                      <w:r>
                        <w:rPr>
                          <w:rFonts w:ascii="Times New Roman"/>
                          <w:spacing w:val="-1"/>
                          <w:sz w:val="18"/>
                        </w:rPr>
                        <w:t>184,130,188.44</w:t>
                      </w:r>
                    </w:p>
                    <w:p>
                      <w:pPr>
                        <w:spacing w:before="38"/>
                        <w:ind w:left="163" w:right="0" w:firstLine="0"/>
                        <w:jc w:val="left"/>
                        <w:rPr>
                          <w:rFonts w:ascii="Times New Roman" w:hAnsi="Times New Roman" w:cs="Times New Roman" w:eastAsia="Times New Roman" w:hint="default"/>
                          <w:sz w:val="18"/>
                          <w:szCs w:val="18"/>
                        </w:rPr>
                      </w:pPr>
                      <w:r>
                        <w:rPr>
                          <w:rFonts w:ascii="Times New Roman"/>
                          <w:spacing w:val="-1"/>
                          <w:sz w:val="18"/>
                        </w:rPr>
                        <w:t>38,514,533.48</w:t>
                      </w:r>
                    </w:p>
                    <w:p>
                      <w:pPr>
                        <w:spacing w:before="35"/>
                        <w:ind w:left="163" w:right="0" w:firstLine="0"/>
                        <w:jc w:val="left"/>
                        <w:rPr>
                          <w:rFonts w:ascii="Times New Roman" w:hAnsi="Times New Roman" w:cs="Times New Roman" w:eastAsia="Times New Roman" w:hint="default"/>
                          <w:sz w:val="18"/>
                          <w:szCs w:val="18"/>
                        </w:rPr>
                      </w:pPr>
                      <w:r>
                        <w:rPr>
                          <w:rFonts w:ascii="Times New Roman"/>
                          <w:spacing w:val="-1"/>
                          <w:sz w:val="18"/>
                        </w:rPr>
                        <w:t>36,110,470.52</w:t>
                      </w:r>
                    </w:p>
                    <w:p>
                      <w:pPr>
                        <w:spacing w:before="35"/>
                        <w:ind w:left="163" w:right="0" w:firstLine="0"/>
                        <w:jc w:val="left"/>
                        <w:rPr>
                          <w:rFonts w:ascii="Times New Roman" w:hAnsi="Times New Roman" w:cs="Times New Roman" w:eastAsia="Times New Roman" w:hint="default"/>
                          <w:sz w:val="18"/>
                          <w:szCs w:val="18"/>
                        </w:rPr>
                      </w:pPr>
                      <w:r>
                        <w:rPr>
                          <w:rFonts w:ascii="Times New Roman"/>
                          <w:spacing w:val="-1"/>
                          <w:sz w:val="18"/>
                        </w:rPr>
                        <w:t>35,821,007.13</w:t>
                      </w:r>
                    </w:p>
                    <w:p>
                      <w:pPr>
                        <w:spacing w:before="38"/>
                        <w:ind w:left="163" w:right="0" w:firstLine="0"/>
                        <w:jc w:val="left"/>
                        <w:rPr>
                          <w:rFonts w:ascii="Times New Roman" w:hAnsi="Times New Roman" w:cs="Times New Roman" w:eastAsia="Times New Roman" w:hint="default"/>
                          <w:sz w:val="18"/>
                          <w:szCs w:val="18"/>
                        </w:rPr>
                      </w:pPr>
                      <w:r>
                        <w:rPr>
                          <w:rFonts w:ascii="Times New Roman"/>
                          <w:spacing w:val="-1"/>
                          <w:sz w:val="18"/>
                        </w:rPr>
                        <w:t>33,329,616.96</w:t>
                      </w:r>
                    </w:p>
                    <w:p>
                      <w:pPr>
                        <w:spacing w:line="203" w:lineRule="exact" w:before="35"/>
                        <w:ind w:left="72" w:right="0" w:firstLine="0"/>
                        <w:jc w:val="left"/>
                        <w:rPr>
                          <w:rFonts w:ascii="Times New Roman" w:hAnsi="Times New Roman" w:cs="Times New Roman" w:eastAsia="Times New Roman" w:hint="default"/>
                          <w:sz w:val="18"/>
                          <w:szCs w:val="18"/>
                        </w:rPr>
                      </w:pPr>
                      <w:r>
                        <w:rPr>
                          <w:rFonts w:ascii="Times New Roman"/>
                          <w:spacing w:val="-1"/>
                          <w:sz w:val="18"/>
                        </w:rPr>
                        <w:t>327,905,816.53</w:t>
                      </w:r>
                    </w:p>
                  </w:txbxContent>
                </v:textbox>
                <w10:wrap type="none"/>
              </v:shape>
              <v:shape style="position:absolute;left:4974;top:57;width:1854;height:1880" type="#_x0000_t202" filled="false" stroked="false">
                <v:textbox inset="0,0,0,0">
                  <w:txbxContent>
                    <w:p>
                      <w:pPr>
                        <w:spacing w:line="179" w:lineRule="exact" w:before="0"/>
                        <w:ind w:left="0" w:right="51" w:firstLine="0"/>
                        <w:jc w:val="center"/>
                        <w:rPr>
                          <w:rFonts w:ascii="宋体" w:hAnsi="宋体" w:cs="宋体" w:eastAsia="宋体" w:hint="default"/>
                          <w:sz w:val="18"/>
                          <w:szCs w:val="18"/>
                        </w:rPr>
                      </w:pPr>
                      <w:r>
                        <w:rPr>
                          <w:rFonts w:ascii="宋体" w:hAnsi="宋体" w:cs="宋体" w:eastAsia="宋体" w:hint="default"/>
                          <w:sz w:val="18"/>
                          <w:szCs w:val="18"/>
                        </w:rPr>
                        <w:t>占应收账款合计数的比</w:t>
                      </w:r>
                    </w:p>
                    <w:p>
                      <w:pPr>
                        <w:spacing w:line="248" w:lineRule="exact" w:before="0"/>
                        <w:ind w:left="0" w:right="54" w:firstLine="0"/>
                        <w:jc w:val="center"/>
                        <w:rPr>
                          <w:rFonts w:ascii="Times New Roman" w:hAnsi="Times New Roman" w:cs="Times New Roman" w:eastAsia="Times New Roman" w:hint="default"/>
                          <w:sz w:val="18"/>
                          <w:szCs w:val="18"/>
                        </w:rPr>
                      </w:pPr>
                      <w:r>
                        <w:rPr>
                          <w:rFonts w:ascii="宋体" w:hAnsi="宋体" w:cs="宋体" w:eastAsia="宋体" w:hint="default"/>
                          <w:sz w:val="18"/>
                          <w:szCs w:val="18"/>
                        </w:rPr>
                        <w:t>例</w:t>
                      </w:r>
                      <w:r>
                        <w:rPr>
                          <w:rFonts w:ascii="Times New Roman" w:hAnsi="Times New Roman" w:cs="Times New Roman" w:eastAsia="Times New Roman" w:hint="default"/>
                          <w:sz w:val="18"/>
                          <w:szCs w:val="18"/>
                        </w:rPr>
                        <w:t>(%)</w:t>
                      </w:r>
                    </w:p>
                    <w:p>
                      <w:pPr>
                        <w:spacing w:before="33"/>
                        <w:ind w:left="0" w:right="0" w:firstLine="0"/>
                        <w:jc w:val="right"/>
                        <w:rPr>
                          <w:rFonts w:ascii="Times New Roman" w:hAnsi="Times New Roman" w:cs="Times New Roman" w:eastAsia="Times New Roman" w:hint="default"/>
                          <w:sz w:val="18"/>
                          <w:szCs w:val="18"/>
                        </w:rPr>
                      </w:pPr>
                      <w:r>
                        <w:rPr>
                          <w:rFonts w:ascii="Times New Roman"/>
                          <w:sz w:val="18"/>
                        </w:rPr>
                        <w:t>21.02</w:t>
                      </w:r>
                    </w:p>
                    <w:p>
                      <w:pPr>
                        <w:spacing w:before="38"/>
                        <w:ind w:left="0" w:right="0" w:firstLine="0"/>
                        <w:jc w:val="right"/>
                        <w:rPr>
                          <w:rFonts w:ascii="Times New Roman" w:hAnsi="Times New Roman" w:cs="Times New Roman" w:eastAsia="Times New Roman" w:hint="default"/>
                          <w:sz w:val="18"/>
                          <w:szCs w:val="18"/>
                        </w:rPr>
                      </w:pPr>
                      <w:r>
                        <w:rPr>
                          <w:rFonts w:ascii="Times New Roman"/>
                          <w:spacing w:val="-1"/>
                          <w:w w:val="95"/>
                          <w:sz w:val="18"/>
                        </w:rPr>
                        <w:t>4.40</w:t>
                      </w:r>
                    </w:p>
                    <w:p>
                      <w:pPr>
                        <w:spacing w:before="35"/>
                        <w:ind w:left="0" w:right="0" w:firstLine="0"/>
                        <w:jc w:val="right"/>
                        <w:rPr>
                          <w:rFonts w:ascii="Times New Roman" w:hAnsi="Times New Roman" w:cs="Times New Roman" w:eastAsia="Times New Roman" w:hint="default"/>
                          <w:sz w:val="18"/>
                          <w:szCs w:val="18"/>
                        </w:rPr>
                      </w:pPr>
                      <w:r>
                        <w:rPr>
                          <w:rFonts w:ascii="Times New Roman"/>
                          <w:spacing w:val="-1"/>
                          <w:w w:val="95"/>
                          <w:sz w:val="18"/>
                        </w:rPr>
                        <w:t>4.12</w:t>
                      </w:r>
                    </w:p>
                    <w:p>
                      <w:pPr>
                        <w:spacing w:before="35"/>
                        <w:ind w:left="0" w:right="0" w:firstLine="0"/>
                        <w:jc w:val="right"/>
                        <w:rPr>
                          <w:rFonts w:ascii="Times New Roman" w:hAnsi="Times New Roman" w:cs="Times New Roman" w:eastAsia="Times New Roman" w:hint="default"/>
                          <w:sz w:val="18"/>
                          <w:szCs w:val="18"/>
                        </w:rPr>
                      </w:pPr>
                      <w:r>
                        <w:rPr>
                          <w:rFonts w:ascii="Times New Roman"/>
                          <w:spacing w:val="-1"/>
                          <w:w w:val="95"/>
                          <w:sz w:val="18"/>
                        </w:rPr>
                        <w:t>4.09</w:t>
                      </w:r>
                    </w:p>
                    <w:p>
                      <w:pPr>
                        <w:spacing w:before="38"/>
                        <w:ind w:left="0" w:right="0" w:firstLine="0"/>
                        <w:jc w:val="right"/>
                        <w:rPr>
                          <w:rFonts w:ascii="Times New Roman" w:hAnsi="Times New Roman" w:cs="Times New Roman" w:eastAsia="Times New Roman" w:hint="default"/>
                          <w:sz w:val="18"/>
                          <w:szCs w:val="18"/>
                        </w:rPr>
                      </w:pPr>
                      <w:r>
                        <w:rPr>
                          <w:rFonts w:ascii="Times New Roman"/>
                          <w:spacing w:val="-1"/>
                          <w:w w:val="95"/>
                          <w:sz w:val="18"/>
                        </w:rPr>
                        <w:t>3.80</w:t>
                      </w:r>
                    </w:p>
                    <w:p>
                      <w:pPr>
                        <w:spacing w:line="203" w:lineRule="exact" w:before="35"/>
                        <w:ind w:left="0" w:right="0" w:firstLine="0"/>
                        <w:jc w:val="right"/>
                        <w:rPr>
                          <w:rFonts w:ascii="Times New Roman" w:hAnsi="Times New Roman" w:cs="Times New Roman" w:eastAsia="Times New Roman" w:hint="default"/>
                          <w:sz w:val="18"/>
                          <w:szCs w:val="18"/>
                        </w:rPr>
                      </w:pPr>
                      <w:r>
                        <w:rPr>
                          <w:rFonts w:ascii="Times New Roman"/>
                          <w:sz w:val="18"/>
                        </w:rPr>
                        <w:t>37.43</w:t>
                      </w:r>
                    </w:p>
                  </w:txbxContent>
                </v:textbox>
                <w10:wrap type="none"/>
              </v:shape>
              <v:shape style="position:absolute;left:7346;top:175;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坏账准备</w:t>
                      </w:r>
                    </w:p>
                  </w:txbxContent>
                </v:textbox>
                <w10:wrap type="none"/>
              </v:shape>
              <v:shape style="position:absolute;left:134;top:535;width:540;height:1152" type="#_x0000_t202" filled="false" stroked="false">
                <v:textbox inset="0,0,0,0">
                  <w:txbxContent>
                    <w:p>
                      <w:pPr>
                        <w:spacing w:line="180" w:lineRule="exact" w:before="0"/>
                        <w:ind w:left="0" w:right="0" w:firstLine="0"/>
                        <w:jc w:val="both"/>
                        <w:rPr>
                          <w:rFonts w:ascii="宋体" w:hAnsi="宋体" w:cs="宋体" w:eastAsia="宋体" w:hint="default"/>
                          <w:sz w:val="18"/>
                          <w:szCs w:val="18"/>
                        </w:rPr>
                      </w:pPr>
                      <w:r>
                        <w:rPr>
                          <w:rFonts w:ascii="宋体" w:hAnsi="宋体" w:cs="宋体" w:eastAsia="宋体" w:hint="default"/>
                          <w:sz w:val="18"/>
                          <w:szCs w:val="18"/>
                        </w:rPr>
                        <w:t>第一名</w:t>
                      </w:r>
                    </w:p>
                    <w:p>
                      <w:pPr>
                        <w:spacing w:line="247" w:lineRule="auto" w:before="7"/>
                        <w:ind w:left="0" w:right="0" w:firstLine="0"/>
                        <w:jc w:val="both"/>
                        <w:rPr>
                          <w:rFonts w:ascii="宋体" w:hAnsi="宋体" w:cs="宋体" w:eastAsia="宋体" w:hint="default"/>
                          <w:sz w:val="18"/>
                          <w:szCs w:val="18"/>
                        </w:rPr>
                      </w:pPr>
                      <w:r>
                        <w:rPr>
                          <w:rFonts w:ascii="宋体" w:hAnsi="宋体" w:cs="宋体" w:eastAsia="宋体" w:hint="default"/>
                          <w:sz w:val="18"/>
                          <w:szCs w:val="18"/>
                        </w:rPr>
                        <w:t>第二名 第三名 第四名 第五名</w:t>
                      </w:r>
                    </w:p>
                  </w:txbxContent>
                </v:textbox>
                <w10:wrap type="none"/>
              </v:shape>
              <v:shape style="position:absolute;left:7425;top:784;width:946;height:1152" type="#_x0000_t202" filled="false" stroked="false">
                <v:textbox inset="0,0,0,0">
                  <w:txbxContent>
                    <w:p>
                      <w:pPr>
                        <w:spacing w:line="184" w:lineRule="exact" w:before="0"/>
                        <w:ind w:left="0" w:right="0" w:firstLine="0"/>
                        <w:jc w:val="left"/>
                        <w:rPr>
                          <w:rFonts w:ascii="Times New Roman" w:hAnsi="Times New Roman" w:cs="Times New Roman" w:eastAsia="Times New Roman" w:hint="default"/>
                          <w:sz w:val="18"/>
                          <w:szCs w:val="18"/>
                        </w:rPr>
                      </w:pPr>
                      <w:r>
                        <w:rPr>
                          <w:rFonts w:ascii="Times New Roman"/>
                          <w:spacing w:val="-1"/>
                          <w:sz w:val="18"/>
                        </w:rPr>
                        <w:t>1,925,726.67</w:t>
                      </w:r>
                    </w:p>
                    <w:p>
                      <w:pPr>
                        <w:spacing w:before="35"/>
                        <w:ind w:left="0" w:right="0" w:firstLine="0"/>
                        <w:jc w:val="left"/>
                        <w:rPr>
                          <w:rFonts w:ascii="Times New Roman" w:hAnsi="Times New Roman" w:cs="Times New Roman" w:eastAsia="Times New Roman" w:hint="default"/>
                          <w:sz w:val="18"/>
                          <w:szCs w:val="18"/>
                        </w:rPr>
                      </w:pPr>
                      <w:r>
                        <w:rPr>
                          <w:rFonts w:ascii="Times New Roman"/>
                          <w:spacing w:val="-1"/>
                          <w:sz w:val="18"/>
                        </w:rPr>
                        <w:t>1,805,523.53</w:t>
                      </w:r>
                    </w:p>
                    <w:p>
                      <w:pPr>
                        <w:spacing w:before="35"/>
                        <w:ind w:left="0" w:right="0" w:firstLine="0"/>
                        <w:jc w:val="left"/>
                        <w:rPr>
                          <w:rFonts w:ascii="Times New Roman" w:hAnsi="Times New Roman" w:cs="Times New Roman" w:eastAsia="Times New Roman" w:hint="default"/>
                          <w:sz w:val="18"/>
                          <w:szCs w:val="18"/>
                        </w:rPr>
                      </w:pPr>
                      <w:r>
                        <w:rPr>
                          <w:rFonts w:ascii="Times New Roman"/>
                          <w:spacing w:val="-1"/>
                          <w:sz w:val="18"/>
                        </w:rPr>
                        <w:t>1,791,050.36</w:t>
                      </w:r>
                    </w:p>
                    <w:p>
                      <w:pPr>
                        <w:spacing w:before="38"/>
                        <w:ind w:left="0" w:right="0" w:firstLine="0"/>
                        <w:jc w:val="left"/>
                        <w:rPr>
                          <w:rFonts w:ascii="Times New Roman" w:hAnsi="Times New Roman" w:cs="Times New Roman" w:eastAsia="Times New Roman" w:hint="default"/>
                          <w:sz w:val="18"/>
                          <w:szCs w:val="18"/>
                        </w:rPr>
                      </w:pPr>
                      <w:r>
                        <w:rPr>
                          <w:rFonts w:ascii="Times New Roman"/>
                          <w:spacing w:val="-1"/>
                          <w:sz w:val="18"/>
                        </w:rPr>
                        <w:t>1,668,465.85</w:t>
                      </w:r>
                    </w:p>
                    <w:p>
                      <w:pPr>
                        <w:spacing w:line="203" w:lineRule="exact" w:before="35"/>
                        <w:ind w:left="0" w:right="0" w:firstLine="0"/>
                        <w:jc w:val="left"/>
                        <w:rPr>
                          <w:rFonts w:ascii="Times New Roman" w:hAnsi="Times New Roman" w:cs="Times New Roman" w:eastAsia="Times New Roman" w:hint="default"/>
                          <w:sz w:val="18"/>
                          <w:szCs w:val="18"/>
                        </w:rPr>
                      </w:pPr>
                      <w:r>
                        <w:rPr>
                          <w:rFonts w:ascii="Times New Roman"/>
                          <w:spacing w:val="-1"/>
                          <w:sz w:val="18"/>
                        </w:rPr>
                        <w:t>7,190,766.41</w:t>
                      </w:r>
                    </w:p>
                  </w:txbxContent>
                </v:textbox>
                <w10:wrap type="none"/>
              </v:shape>
            </v:group>
          </v:group>
        </w:pict>
      </w:r>
      <w:r>
        <w:rPr>
          <w:rFonts w:ascii="宋体" w:hAnsi="宋体" w:cs="宋体" w:eastAsia="宋体" w:hint="default"/>
          <w:position w:val="-39"/>
          <w:sz w:val="20"/>
          <w:szCs w:val="20"/>
        </w:rPr>
      </w:r>
    </w:p>
    <w:p>
      <w:pPr>
        <w:pStyle w:val="BodyText"/>
        <w:spacing w:line="241" w:lineRule="exact"/>
        <w:ind w:left="518" w:right="0"/>
        <w:jc w:val="left"/>
        <w:rPr>
          <w:rFonts w:ascii="宋体" w:hAnsi="宋体" w:cs="宋体" w:eastAsia="宋体" w:hint="default"/>
        </w:rPr>
      </w:pPr>
      <w:r>
        <w:rPr>
          <w:rFonts w:ascii="宋体"/>
          <w:w w:val="100"/>
        </w:rPr>
        <w:t> </w:t>
      </w:r>
    </w:p>
    <w:p>
      <w:pPr>
        <w:pStyle w:val="Heading3"/>
        <w:spacing w:line="240" w:lineRule="auto" w:before="56"/>
        <w:ind w:left="518" w:right="0"/>
        <w:jc w:val="left"/>
        <w:rPr>
          <w:rFonts w:ascii="宋体" w:hAnsi="宋体" w:cs="宋体" w:eastAsia="宋体" w:hint="default"/>
          <w:b w:val="0"/>
          <w:bCs w:val="0"/>
        </w:rPr>
      </w:pPr>
      <w:r>
        <w:rPr>
          <w:rFonts w:ascii="宋体" w:hAnsi="宋体" w:cs="宋体" w:eastAsia="宋体" w:hint="default"/>
        </w:rPr>
        <w:t>(6).</w:t>
      </w:r>
      <w:r>
        <w:rPr>
          <w:rFonts w:ascii="宋体" w:hAnsi="宋体" w:cs="宋体" w:eastAsia="宋体" w:hint="default"/>
          <w:spacing w:val="-48"/>
        </w:rPr>
        <w:t> </w:t>
      </w:r>
      <w:r>
        <w:rPr/>
        <w:t>因金融资产转移而终止确认的应收账款</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518" w:right="0"/>
        <w:jc w:val="left"/>
        <w:rPr>
          <w:rFonts w:ascii="宋体" w:hAnsi="宋体" w:cs="宋体" w:eastAsia="宋体" w:hint="default"/>
        </w:rPr>
      </w:pPr>
      <w:r>
        <w:rPr/>
        <w:t>□适用</w:t>
      </w:r>
      <w:r>
        <w:rPr>
          <w:spacing w:val="104"/>
        </w:rPr>
        <w:t> </w:t>
      </w:r>
      <w:r>
        <w:rPr>
          <w:rFonts w:ascii="宋体" w:hAnsi="宋体" w:cs="宋体" w:eastAsia="宋体" w:hint="default"/>
          <w:spacing w:val="104"/>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3"/>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headerReference w:type="default" r:id="rId260"/>
          <w:pgSz w:w="11910" w:h="16840"/>
          <w:pgMar w:header="748" w:footer="974" w:top="1140" w:bottom="1160" w:left="900" w:right="1180"/>
        </w:sectPr>
      </w:pPr>
    </w:p>
    <w:p>
      <w:pPr>
        <w:pStyle w:val="Heading3"/>
        <w:spacing w:line="240" w:lineRule="auto" w:before="36"/>
        <w:ind w:left="518" w:right="0"/>
        <w:jc w:val="left"/>
        <w:rPr>
          <w:rFonts w:ascii="宋体" w:hAnsi="宋体" w:cs="宋体" w:eastAsia="宋体" w:hint="default"/>
          <w:b w:val="0"/>
          <w:bCs w:val="0"/>
        </w:rPr>
      </w:pPr>
      <w:r>
        <w:rPr>
          <w:rFonts w:ascii="宋体" w:hAnsi="宋体" w:cs="宋体" w:eastAsia="宋体" w:hint="default"/>
        </w:rPr>
        <w:t>(7).</w:t>
      </w:r>
      <w:r>
        <w:rPr>
          <w:rFonts w:ascii="宋体" w:hAnsi="宋体" w:cs="宋体" w:eastAsia="宋体" w:hint="default"/>
          <w:spacing w:val="-49"/>
        </w:rPr>
        <w:t> </w:t>
      </w:r>
      <w:r>
        <w:rPr/>
        <w:t>转移应收账款且继续涉入形成的资产、负债金额</w:t>
      </w:r>
      <w:r>
        <w:rPr>
          <w:rFonts w:ascii="宋体" w:hAnsi="宋体" w:cs="宋体" w:eastAsia="宋体" w:hint="default"/>
          <w:w w:val="99"/>
        </w:rPr>
        <w:t> </w:t>
      </w:r>
      <w:r>
        <w:rPr>
          <w:rFonts w:ascii="宋体" w:hAnsi="宋体" w:cs="宋体" w:eastAsia="宋体" w:hint="default"/>
          <w:b w:val="0"/>
          <w:bCs w:val="0"/>
        </w:rPr>
      </w:r>
    </w:p>
    <w:p>
      <w:pPr>
        <w:pStyle w:val="BodyText"/>
        <w:spacing w:line="271" w:lineRule="exact" w:before="57"/>
        <w:ind w:left="518" w:right="0"/>
        <w:jc w:val="left"/>
        <w:rPr>
          <w:rFonts w:ascii="宋体" w:hAnsi="宋体" w:cs="宋体" w:eastAsia="宋体" w:hint="default"/>
        </w:rPr>
      </w:pPr>
      <w:r>
        <w:rPr/>
        <w:t>□适用</w:t>
      </w:r>
      <w:r>
        <w:rPr>
          <w:spacing w:val="104"/>
        </w:rPr>
        <w:t> </w:t>
      </w:r>
      <w:r>
        <w:rPr>
          <w:rFonts w:ascii="宋体" w:hAnsi="宋体" w:cs="宋体" w:eastAsia="宋体" w:hint="default"/>
          <w:spacing w:val="104"/>
        </w:rPr>
      </w:r>
      <w:r>
        <w:rPr/>
        <w:t>√不适用</w:t>
      </w:r>
      <w:r>
        <w:rPr>
          <w:rFonts w:ascii="宋体" w:hAnsi="宋体" w:cs="宋体" w:eastAsia="宋体" w:hint="default"/>
        </w:rPr>
        <w:t> </w:t>
      </w:r>
    </w:p>
    <w:p>
      <w:pPr>
        <w:pStyle w:val="Heading2"/>
        <w:spacing w:line="308" w:lineRule="exact"/>
        <w:ind w:left="518" w:right="0"/>
        <w:jc w:val="left"/>
        <w:rPr>
          <w:rFonts w:ascii="宋体" w:hAnsi="宋体" w:cs="宋体" w:eastAsia="宋体" w:hint="default"/>
        </w:rPr>
      </w:pPr>
      <w:r>
        <w:rPr/>
        <w:t>其他说明：</w:t>
      </w:r>
      <w:r>
        <w:rPr>
          <w:rFonts w:ascii="宋体" w:hAnsi="宋体" w:cs="宋体" w:eastAsia="宋体" w:hint="default"/>
        </w:rPr>
        <w:t> </w:t>
      </w:r>
    </w:p>
    <w:p>
      <w:pPr>
        <w:pStyle w:val="Heading2"/>
        <w:spacing w:line="312" w:lineRule="exact"/>
        <w:ind w:left="518"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BodyText"/>
        <w:spacing w:line="240" w:lineRule="auto" w:before="4"/>
        <w:ind w:left="518" w:right="0"/>
        <w:jc w:val="left"/>
        <w:rPr>
          <w:rFonts w:ascii="宋体" w:hAnsi="宋体" w:cs="宋体" w:eastAsia="宋体" w:hint="default"/>
        </w:rPr>
      </w:pPr>
      <w:r>
        <w:rPr>
          <w:rFonts w:ascii="宋体"/>
          <w:w w:val="100"/>
        </w:rPr>
        <w:t> </w:t>
      </w:r>
    </w:p>
    <w:p>
      <w:pPr>
        <w:pStyle w:val="Heading3"/>
        <w:spacing w:line="290" w:lineRule="auto" w:before="56"/>
        <w:ind w:left="518" w:right="2716"/>
        <w:jc w:val="left"/>
        <w:rPr>
          <w:rFonts w:ascii="宋体" w:hAnsi="宋体" w:cs="宋体" w:eastAsia="宋体" w:hint="default"/>
          <w:b w:val="0"/>
          <w:bCs w:val="0"/>
        </w:rPr>
      </w:pPr>
      <w:r>
        <w:rPr>
          <w:rFonts w:ascii="宋体" w:hAnsi="宋体" w:cs="宋体" w:eastAsia="宋体" w:hint="default"/>
        </w:rPr>
        <w:t>2</w:t>
      </w:r>
      <w:r>
        <w:rPr/>
        <w:t>、</w:t>
      </w:r>
      <w:r>
        <w:rPr>
          <w:spacing w:val="1"/>
        </w:rPr>
        <w:t> </w:t>
      </w:r>
      <w:r>
        <w:rPr/>
        <w:t>其他应收款</w:t>
      </w:r>
      <w:r>
        <w:rPr>
          <w:rFonts w:ascii="宋体" w:hAnsi="宋体" w:cs="宋体" w:eastAsia="宋体" w:hint="default"/>
          <w:w w:val="99"/>
        </w:rPr>
        <w:t> </w:t>
      </w:r>
      <w:r>
        <w:rPr/>
        <w:t>项目列示</w:t>
      </w:r>
      <w:r>
        <w:rPr>
          <w:rFonts w:ascii="宋体" w:hAnsi="宋体" w:cs="宋体" w:eastAsia="宋体" w:hint="default"/>
          <w:w w:val="99"/>
        </w:rPr>
        <w:t> </w:t>
      </w:r>
      <w:r>
        <w:rPr>
          <w:rFonts w:ascii="宋体" w:hAnsi="宋体" w:cs="宋体" w:eastAsia="宋体" w:hint="default"/>
          <w:b w:val="0"/>
          <w:bCs w:val="0"/>
        </w:rPr>
      </w:r>
    </w:p>
    <w:p>
      <w:pPr>
        <w:pStyle w:val="Heading2"/>
        <w:spacing w:line="240" w:lineRule="auto" w:before="6"/>
        <w:ind w:left="518"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6"/>
          <w:szCs w:val="16"/>
        </w:rPr>
      </w:pPr>
    </w:p>
    <w:p>
      <w:pPr>
        <w:pStyle w:val="BodyText"/>
        <w:spacing w:line="240" w:lineRule="auto"/>
        <w:ind w:left="518" w:right="0"/>
        <w:jc w:val="left"/>
        <w:rPr>
          <w:rFonts w:ascii="宋体" w:hAnsi="宋体" w:cs="宋体" w:eastAsia="宋体" w:hint="default"/>
        </w:rPr>
      </w:pPr>
      <w:r>
        <w:rPr/>
        <w:t>单位：元币种：人民币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580" w:bottom="280" w:left="900" w:right="1180"/>
          <w:cols w:num="2" w:equalWidth="0">
            <w:col w:w="5536" w:space="1435"/>
            <w:col w:w="2859"/>
          </w:cols>
        </w:sectPr>
      </w:pPr>
    </w:p>
    <w:p>
      <w:pPr>
        <w:spacing w:line="240" w:lineRule="auto" w:before="7"/>
        <w:rPr>
          <w:rFonts w:ascii="宋体" w:hAnsi="宋体" w:cs="宋体" w:eastAsia="宋体" w:hint="default"/>
          <w:sz w:val="2"/>
          <w:szCs w:val="2"/>
        </w:rPr>
      </w:pPr>
    </w:p>
    <w:tbl>
      <w:tblPr>
        <w:tblW w:w="0" w:type="auto"/>
        <w:jc w:val="left"/>
        <w:tblInd w:w="482" w:type="dxa"/>
        <w:tblLayout w:type="fixed"/>
        <w:tblCellMar>
          <w:top w:w="0" w:type="dxa"/>
          <w:left w:w="0" w:type="dxa"/>
          <w:bottom w:w="0" w:type="dxa"/>
          <w:right w:w="0" w:type="dxa"/>
        </w:tblCellMar>
        <w:tblLook w:val="01E0"/>
      </w:tblPr>
      <w:tblGrid>
        <w:gridCol w:w="3224"/>
        <w:gridCol w:w="2962"/>
        <w:gridCol w:w="2948"/>
      </w:tblGrid>
      <w:tr>
        <w:trPr>
          <w:trHeight w:val="281" w:hRule="exact"/>
        </w:trPr>
        <w:tc>
          <w:tcPr>
            <w:tcW w:w="32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89"/>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3"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29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6"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3" w:hRule="exact"/>
        </w:trPr>
        <w:tc>
          <w:tcPr>
            <w:tcW w:w="32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应收利息</w:t>
            </w:r>
            <w:r>
              <w:rPr>
                <w:rFonts w:ascii="宋体" w:hAnsi="宋体" w:cs="宋体" w:eastAsia="宋体" w:hint="default"/>
                <w:sz w:val="21"/>
                <w:szCs w:val="21"/>
              </w:rPr>
              <w:t> </w:t>
            </w:r>
          </w:p>
        </w:tc>
        <w:tc>
          <w:tcPr>
            <w:tcW w:w="2962" w:type="dxa"/>
            <w:tcBorders>
              <w:top w:val="single" w:sz="4" w:space="0" w:color="000000"/>
              <w:left w:val="single" w:sz="4" w:space="0" w:color="000000"/>
              <w:bottom w:val="single" w:sz="4" w:space="0" w:color="000000"/>
              <w:right w:val="single" w:sz="4" w:space="0" w:color="000000"/>
            </w:tcBorders>
          </w:tcPr>
          <w:p>
            <w:pPr/>
          </w:p>
        </w:tc>
        <w:tc>
          <w:tcPr>
            <w:tcW w:w="2948"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2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应收股利</w:t>
            </w:r>
            <w:r>
              <w:rPr>
                <w:rFonts w:ascii="宋体" w:hAnsi="宋体" w:cs="宋体" w:eastAsia="宋体" w:hint="default"/>
                <w:sz w:val="21"/>
                <w:szCs w:val="21"/>
              </w:rPr>
              <w:t> </w:t>
            </w:r>
          </w:p>
        </w:tc>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9"/>
              <w:jc w:val="right"/>
              <w:rPr>
                <w:rFonts w:ascii="宋体" w:hAnsi="宋体" w:cs="宋体" w:eastAsia="宋体" w:hint="default"/>
                <w:sz w:val="21"/>
                <w:szCs w:val="21"/>
              </w:rPr>
            </w:pPr>
            <w:r>
              <w:rPr>
                <w:rFonts w:ascii="宋体"/>
                <w:spacing w:val="-1"/>
                <w:sz w:val="21"/>
              </w:rPr>
              <w:t>85,000,000.00</w:t>
            </w:r>
          </w:p>
        </w:tc>
        <w:tc>
          <w:tcPr>
            <w:tcW w:w="29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9"/>
              <w:jc w:val="right"/>
              <w:rPr>
                <w:rFonts w:ascii="宋体" w:hAnsi="宋体" w:cs="宋体" w:eastAsia="宋体" w:hint="default"/>
                <w:sz w:val="21"/>
                <w:szCs w:val="21"/>
              </w:rPr>
            </w:pPr>
            <w:r>
              <w:rPr>
                <w:rFonts w:ascii="宋体"/>
                <w:spacing w:val="-1"/>
                <w:sz w:val="21"/>
              </w:rPr>
              <w:t>50,000,000.00</w:t>
            </w:r>
          </w:p>
        </w:tc>
      </w:tr>
      <w:tr>
        <w:trPr>
          <w:trHeight w:val="283" w:hRule="exact"/>
        </w:trPr>
        <w:tc>
          <w:tcPr>
            <w:tcW w:w="32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其他应收款</w:t>
            </w:r>
            <w:r>
              <w:rPr>
                <w:rFonts w:ascii="宋体" w:hAnsi="宋体" w:cs="宋体" w:eastAsia="宋体" w:hint="default"/>
                <w:sz w:val="21"/>
                <w:szCs w:val="21"/>
              </w:rPr>
              <w:t> </w:t>
            </w:r>
          </w:p>
        </w:tc>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9"/>
              <w:jc w:val="right"/>
              <w:rPr>
                <w:rFonts w:ascii="宋体" w:hAnsi="宋体" w:cs="宋体" w:eastAsia="宋体" w:hint="default"/>
                <w:sz w:val="21"/>
                <w:szCs w:val="21"/>
              </w:rPr>
            </w:pPr>
            <w:r>
              <w:rPr>
                <w:rFonts w:ascii="宋体"/>
                <w:spacing w:val="-1"/>
                <w:sz w:val="21"/>
              </w:rPr>
              <w:t>1,440,009,445.55</w:t>
            </w:r>
          </w:p>
        </w:tc>
        <w:tc>
          <w:tcPr>
            <w:tcW w:w="294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9"/>
              <w:jc w:val="right"/>
              <w:rPr>
                <w:rFonts w:ascii="宋体" w:hAnsi="宋体" w:cs="宋体" w:eastAsia="宋体" w:hint="default"/>
                <w:sz w:val="21"/>
                <w:szCs w:val="21"/>
              </w:rPr>
            </w:pPr>
            <w:r>
              <w:rPr>
                <w:rFonts w:ascii="宋体"/>
                <w:spacing w:val="-1"/>
                <w:sz w:val="21"/>
              </w:rPr>
              <w:t>1,087,726,426.69</w:t>
            </w:r>
          </w:p>
        </w:tc>
      </w:tr>
      <w:tr>
        <w:trPr>
          <w:trHeight w:val="284" w:hRule="exact"/>
        </w:trPr>
        <w:tc>
          <w:tcPr>
            <w:tcW w:w="32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89"/>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1,525,009,445.55</w:t>
            </w:r>
          </w:p>
        </w:tc>
        <w:tc>
          <w:tcPr>
            <w:tcW w:w="294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24"/>
              <w:jc w:val="right"/>
              <w:rPr>
                <w:rFonts w:ascii="宋体" w:hAnsi="宋体" w:cs="宋体" w:eastAsia="宋体" w:hint="default"/>
                <w:sz w:val="18"/>
                <w:szCs w:val="18"/>
              </w:rPr>
            </w:pPr>
            <w:r>
              <w:rPr>
                <w:rFonts w:ascii="宋体"/>
                <w:spacing w:val="-1"/>
                <w:sz w:val="18"/>
              </w:rPr>
              <w:t>1,137,726,426.69</w:t>
            </w:r>
          </w:p>
        </w:tc>
      </w:tr>
    </w:tbl>
    <w:p>
      <w:pPr>
        <w:spacing w:after="0" w:line="206" w:lineRule="exact"/>
        <w:jc w:val="right"/>
        <w:rPr>
          <w:rFonts w:ascii="宋体" w:hAnsi="宋体" w:cs="宋体" w:eastAsia="宋体" w:hint="default"/>
          <w:sz w:val="18"/>
          <w:szCs w:val="18"/>
        </w:rPr>
        <w:sectPr>
          <w:type w:val="continuous"/>
          <w:pgSz w:w="11910" w:h="16840"/>
          <w:pgMar w:top="1580" w:bottom="280" w:left="900" w:right="1180"/>
        </w:sectPr>
      </w:pPr>
    </w:p>
    <w:p>
      <w:pPr>
        <w:pStyle w:val="Heading2"/>
        <w:spacing w:line="274" w:lineRule="exact"/>
        <w:ind w:left="518" w:right="0"/>
        <w:jc w:val="left"/>
        <w:rPr>
          <w:rFonts w:ascii="宋体" w:hAnsi="宋体" w:cs="宋体" w:eastAsia="宋体" w:hint="default"/>
        </w:rPr>
      </w:pPr>
      <w:r>
        <w:rPr>
          <w:rFonts w:ascii="宋体"/>
        </w:rPr>
        <w:t> </w:t>
      </w:r>
    </w:p>
    <w:p>
      <w:pPr>
        <w:pStyle w:val="BodyText"/>
        <w:spacing w:line="273" w:lineRule="exact" w:before="4"/>
        <w:ind w:left="518" w:right="0"/>
        <w:jc w:val="left"/>
        <w:rPr>
          <w:rFonts w:ascii="宋体" w:hAnsi="宋体" w:cs="宋体" w:eastAsia="宋体" w:hint="default"/>
        </w:rPr>
      </w:pPr>
      <w:r>
        <w:rPr/>
        <w:t>其他说明：</w:t>
      </w:r>
      <w:r>
        <w:rPr>
          <w:rFonts w:ascii="宋体" w:hAnsi="宋体" w:cs="宋体" w:eastAsia="宋体" w:hint="default"/>
        </w:rPr>
        <w:t> </w:t>
      </w:r>
    </w:p>
    <w:p>
      <w:pPr>
        <w:pStyle w:val="BodyText"/>
        <w:spacing w:line="269" w:lineRule="exact"/>
        <w:ind w:left="518"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rPr>
        <w:t> </w:t>
      </w:r>
      <w:r>
        <w:rPr>
          <w:rFonts w:ascii="宋体" w:hAnsi="宋体" w:cs="宋体" w:eastAsia="宋体" w:hint="default"/>
        </w:rPr>
        <w:t> </w:t>
      </w:r>
    </w:p>
    <w:p>
      <w:pPr>
        <w:pStyle w:val="Heading2"/>
        <w:spacing w:line="310" w:lineRule="exact"/>
        <w:ind w:left="518" w:right="0"/>
        <w:jc w:val="left"/>
        <w:rPr>
          <w:rFonts w:ascii="宋体" w:hAnsi="宋体" w:cs="宋体" w:eastAsia="宋体" w:hint="default"/>
        </w:rPr>
      </w:pPr>
      <w:r>
        <w:rPr>
          <w:rFonts w:ascii="宋体"/>
        </w:rPr>
        <w:t> </w:t>
      </w:r>
    </w:p>
    <w:p>
      <w:pPr>
        <w:pStyle w:val="Heading3"/>
        <w:spacing w:line="290" w:lineRule="auto" w:before="61"/>
        <w:ind w:left="518" w:right="0"/>
        <w:jc w:val="left"/>
        <w:rPr>
          <w:rFonts w:ascii="宋体" w:hAnsi="宋体" w:cs="宋体" w:eastAsia="宋体" w:hint="default"/>
          <w:b w:val="0"/>
          <w:bCs w:val="0"/>
        </w:rPr>
      </w:pPr>
      <w:r>
        <w:rPr/>
        <w:t>应收利息</w:t>
      </w:r>
      <w:r>
        <w:rPr>
          <w:rFonts w:ascii="宋体" w:hAnsi="宋体" w:cs="宋体" w:eastAsia="宋体" w:hint="default"/>
          <w:w w:val="99"/>
        </w:rPr>
        <w:t> </w:t>
      </w:r>
      <w:r>
        <w:rPr>
          <w:rFonts w:ascii="宋体" w:hAnsi="宋体" w:cs="宋体" w:eastAsia="宋体" w:hint="default"/>
        </w:rPr>
        <w:t>(1).</w:t>
      </w:r>
      <w:r>
        <w:rPr/>
        <w:t>应收利息分类</w:t>
      </w:r>
      <w:r>
        <w:rPr>
          <w:rFonts w:ascii="宋体" w:hAnsi="宋体" w:cs="宋体" w:eastAsia="宋体" w:hint="default"/>
          <w:w w:val="99"/>
        </w:rPr>
        <w:t> </w:t>
      </w:r>
      <w:r>
        <w:rPr>
          <w:rFonts w:ascii="宋体" w:hAnsi="宋体" w:cs="宋体" w:eastAsia="宋体" w:hint="default"/>
          <w:b w:val="0"/>
          <w:bCs w:val="0"/>
        </w:rPr>
      </w:r>
    </w:p>
    <w:p>
      <w:pPr>
        <w:spacing w:line="290" w:lineRule="auto" w:before="12"/>
        <w:ind w:left="518" w:right="0"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重要逾期利息</w:t>
      </w:r>
      <w:r>
        <w:rPr>
          <w:rFonts w:ascii="宋体" w:hAnsi="宋体" w:cs="宋体" w:eastAsia="宋体" w:hint="default"/>
          <w:b/>
          <w:bCs/>
          <w:w w:val="99"/>
          <w:sz w:val="21"/>
          <w:szCs w:val="21"/>
        </w:rPr>
        <w:t> </w:t>
      </w:r>
      <w:r>
        <w:rPr>
          <w:rFonts w:ascii="宋体" w:hAnsi="宋体" w:cs="宋体" w:eastAsia="宋体" w:hint="default"/>
          <w:sz w:val="21"/>
          <w:szCs w:val="21"/>
        </w:rPr>
      </w:r>
    </w:p>
    <w:p>
      <w:pPr>
        <w:pStyle w:val="Heading2"/>
        <w:spacing w:line="240" w:lineRule="auto" w:before="6"/>
        <w:ind w:left="518"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3"/>
        <w:spacing w:line="240" w:lineRule="auto" w:before="64"/>
        <w:ind w:left="518" w:right="0"/>
        <w:jc w:val="left"/>
        <w:rPr>
          <w:rFonts w:ascii="宋体" w:hAnsi="宋体" w:cs="宋体" w:eastAsia="宋体" w:hint="default"/>
          <w:b w:val="0"/>
          <w:bCs w:val="0"/>
        </w:rPr>
      </w:pPr>
      <w:r>
        <w:rPr>
          <w:rFonts w:ascii="宋体" w:hAnsi="宋体" w:cs="宋体" w:eastAsia="宋体" w:hint="default"/>
        </w:rPr>
        <w:t>(3).</w:t>
      </w:r>
      <w:r>
        <w:rPr/>
        <w:t>坏账准备计提情况</w:t>
      </w:r>
      <w:r>
        <w:rPr>
          <w:rFonts w:ascii="宋体" w:hAnsi="宋体" w:cs="宋体" w:eastAsia="宋体" w:hint="default"/>
          <w:w w:val="99"/>
        </w:rPr>
        <w:t> </w:t>
      </w:r>
      <w:r>
        <w:rPr>
          <w:rFonts w:ascii="宋体" w:hAnsi="宋体" w:cs="宋体" w:eastAsia="宋体" w:hint="default"/>
          <w:b w:val="0"/>
          <w:bCs w:val="0"/>
        </w:rPr>
      </w:r>
    </w:p>
    <w:p>
      <w:pPr>
        <w:pStyle w:val="Heading2"/>
        <w:spacing w:line="313" w:lineRule="exact" w:before="50"/>
        <w:ind w:left="518"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2"/>
        <w:spacing w:line="312" w:lineRule="exact" w:before="29"/>
        <w:ind w:left="518" w:right="0"/>
        <w:jc w:val="left"/>
        <w:rPr>
          <w:rFonts w:ascii="宋体" w:hAnsi="宋体" w:cs="宋体" w:eastAsia="宋体" w:hint="default"/>
        </w:rPr>
      </w:pPr>
      <w:r>
        <w:rPr>
          <w:rFonts w:ascii="宋体" w:hAnsi="宋体" w:cs="宋体" w:eastAsia="宋体" w:hint="default"/>
        </w:rPr>
        <w:t>  </w:t>
      </w:r>
      <w:r>
        <w:rPr/>
        <w:t>其他说明</w:t>
      </w:r>
      <w:r>
        <w:rPr>
          <w:spacing w:val="-1"/>
        </w:rPr>
        <w:t>：</w:t>
      </w:r>
      <w:r>
        <w:rPr>
          <w:rFonts w:ascii="宋体" w:hAnsi="宋体" w:cs="宋体" w:eastAsia="宋体" w:hint="default"/>
        </w:rPr>
        <w:t> </w:t>
      </w:r>
    </w:p>
    <w:p>
      <w:pPr>
        <w:pStyle w:val="BodyText"/>
        <w:spacing w:line="244" w:lineRule="exact"/>
        <w:ind w:left="518"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rPr>
        <w:t> </w:t>
      </w:r>
      <w:r>
        <w:rPr>
          <w:rFonts w:ascii="宋体" w:hAnsi="宋体" w:cs="宋体" w:eastAsia="宋体" w:hint="default"/>
        </w:rPr>
        <w:t> </w:t>
      </w:r>
    </w:p>
    <w:p>
      <w:pPr>
        <w:pStyle w:val="Heading2"/>
        <w:spacing w:line="310" w:lineRule="exact"/>
        <w:ind w:left="518" w:right="0"/>
        <w:jc w:val="left"/>
        <w:rPr>
          <w:rFonts w:ascii="宋体" w:hAnsi="宋体" w:cs="宋体" w:eastAsia="宋体" w:hint="default"/>
        </w:rPr>
      </w:pPr>
      <w:r>
        <w:rPr>
          <w:rFonts w:ascii="宋体"/>
        </w:rPr>
        <w:t> </w:t>
      </w:r>
    </w:p>
    <w:p>
      <w:pPr>
        <w:pStyle w:val="Heading3"/>
        <w:spacing w:line="290" w:lineRule="auto" w:before="64"/>
        <w:ind w:left="518" w:right="130"/>
        <w:jc w:val="left"/>
        <w:rPr>
          <w:rFonts w:ascii="宋体" w:hAnsi="宋体" w:cs="宋体" w:eastAsia="宋体" w:hint="default"/>
          <w:b w:val="0"/>
          <w:bCs w:val="0"/>
        </w:rPr>
      </w:pPr>
      <w:r>
        <w:rPr/>
        <w:t>应收股利</w:t>
      </w:r>
      <w:r>
        <w:rPr>
          <w:rFonts w:ascii="宋体" w:hAnsi="宋体" w:cs="宋体" w:eastAsia="宋体" w:hint="default"/>
          <w:w w:val="99"/>
        </w:rPr>
        <w:t> </w:t>
      </w:r>
      <w:r>
        <w:rPr>
          <w:rFonts w:ascii="宋体" w:hAnsi="宋体" w:cs="宋体" w:eastAsia="宋体" w:hint="default"/>
        </w:rPr>
        <w:t>(4).</w:t>
      </w:r>
      <w:r>
        <w:rPr/>
        <w:t>应收股利</w:t>
      </w:r>
      <w:r>
        <w:rPr>
          <w:rFonts w:ascii="宋体" w:hAnsi="宋体" w:cs="宋体" w:eastAsia="宋体" w:hint="default"/>
          <w:w w:val="99"/>
        </w:rPr>
        <w:t> </w:t>
      </w:r>
      <w:r>
        <w:rPr>
          <w:rFonts w:ascii="宋体" w:hAnsi="宋体" w:cs="宋体" w:eastAsia="宋体" w:hint="default"/>
          <w:b w:val="0"/>
          <w:bCs w:val="0"/>
        </w:rPr>
      </w:r>
    </w:p>
    <w:p>
      <w:pPr>
        <w:pStyle w:val="Heading2"/>
        <w:spacing w:line="240" w:lineRule="auto" w:before="6"/>
        <w:ind w:left="518"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1"/>
          <w:szCs w:val="21"/>
        </w:rPr>
      </w:pPr>
    </w:p>
    <w:p>
      <w:pPr>
        <w:pStyle w:val="BodyText"/>
        <w:spacing w:line="240" w:lineRule="auto"/>
        <w:ind w:left="518" w:right="0"/>
        <w:jc w:val="left"/>
        <w:rPr>
          <w:rFonts w:ascii="宋体" w:hAnsi="宋体" w:cs="宋体" w:eastAsia="宋体" w:hint="default"/>
        </w:rPr>
      </w:pPr>
      <w:r>
        <w:rPr/>
        <w:t>单位：元币种：人民币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580" w:bottom="280" w:left="900" w:right="1180"/>
          <w:cols w:num="2" w:equalWidth="0">
            <w:col w:w="2739" w:space="4231"/>
            <w:col w:w="2860"/>
          </w:cols>
        </w:sectPr>
      </w:pPr>
    </w:p>
    <w:p>
      <w:pPr>
        <w:spacing w:line="240" w:lineRule="auto" w:before="7"/>
        <w:rPr>
          <w:rFonts w:ascii="宋体" w:hAnsi="宋体" w:cs="宋体" w:eastAsia="宋体" w:hint="default"/>
          <w:sz w:val="2"/>
          <w:szCs w:val="2"/>
        </w:rPr>
      </w:pPr>
    </w:p>
    <w:tbl>
      <w:tblPr>
        <w:tblW w:w="0" w:type="auto"/>
        <w:jc w:val="left"/>
        <w:tblInd w:w="117" w:type="dxa"/>
        <w:tblLayout w:type="fixed"/>
        <w:tblCellMar>
          <w:top w:w="0" w:type="dxa"/>
          <w:left w:w="0" w:type="dxa"/>
          <w:bottom w:w="0" w:type="dxa"/>
          <w:right w:w="0" w:type="dxa"/>
        </w:tblCellMar>
        <w:tblLook w:val="01E0"/>
      </w:tblPr>
      <w:tblGrid>
        <w:gridCol w:w="3807"/>
        <w:gridCol w:w="2885"/>
        <w:gridCol w:w="2900"/>
      </w:tblGrid>
      <w:tr>
        <w:trPr>
          <w:trHeight w:val="281" w:hRule="exact"/>
        </w:trPr>
        <w:tc>
          <w:tcPr>
            <w:tcW w:w="38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50" w:right="0"/>
              <w:jc w:val="left"/>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w:t>
            </w:r>
            <w:r>
              <w:rPr>
                <w:rFonts w:ascii="宋体" w:hAnsi="宋体" w:cs="宋体" w:eastAsia="宋体" w:hint="default"/>
                <w:sz w:val="21"/>
                <w:szCs w:val="21"/>
              </w:rPr>
              <w:t>或被投资单位</w:t>
            </w:r>
            <w:r>
              <w:rPr>
                <w:rFonts w:ascii="宋体" w:hAnsi="宋体" w:cs="宋体" w:eastAsia="宋体" w:hint="default"/>
                <w:sz w:val="21"/>
                <w:szCs w:val="21"/>
              </w:rPr>
              <w:t>) </w:t>
            </w:r>
          </w:p>
        </w:tc>
        <w:tc>
          <w:tcPr>
            <w:tcW w:w="28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7"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4"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bl>
    <w:p>
      <w:pPr>
        <w:spacing w:after="0" w:line="241" w:lineRule="exact"/>
        <w:jc w:val="left"/>
        <w:rPr>
          <w:rFonts w:ascii="宋体" w:hAnsi="宋体" w:cs="宋体" w:eastAsia="宋体" w:hint="default"/>
          <w:sz w:val="21"/>
          <w:szCs w:val="21"/>
        </w:rPr>
        <w:sectPr>
          <w:type w:val="continuous"/>
          <w:pgSz w:w="11910" w:h="16840"/>
          <w:pgMar w:top="1580" w:bottom="280" w:left="900" w:right="1180"/>
        </w:sectPr>
      </w:pPr>
    </w:p>
    <w:p>
      <w:pPr>
        <w:spacing w:line="240" w:lineRule="auto" w:before="4"/>
        <w:rPr>
          <w:rFonts w:ascii="宋体" w:hAnsi="宋体" w:cs="宋体" w:eastAsia="宋体" w:hint="default"/>
          <w:sz w:val="29"/>
          <w:szCs w:val="29"/>
        </w:rPr>
      </w:pPr>
    </w:p>
    <w:tbl>
      <w:tblPr>
        <w:tblW w:w="0" w:type="auto"/>
        <w:jc w:val="left"/>
        <w:tblInd w:w="117" w:type="dxa"/>
        <w:tblLayout w:type="fixed"/>
        <w:tblCellMar>
          <w:top w:w="0" w:type="dxa"/>
          <w:left w:w="0" w:type="dxa"/>
          <w:bottom w:w="0" w:type="dxa"/>
          <w:right w:w="0" w:type="dxa"/>
        </w:tblCellMar>
        <w:tblLook w:val="01E0"/>
      </w:tblPr>
      <w:tblGrid>
        <w:gridCol w:w="3807"/>
        <w:gridCol w:w="2885"/>
        <w:gridCol w:w="2900"/>
      </w:tblGrid>
      <w:tr>
        <w:trPr>
          <w:trHeight w:val="284" w:hRule="exact"/>
        </w:trPr>
        <w:tc>
          <w:tcPr>
            <w:tcW w:w="38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山东林洋新能源科技有限公司</w:t>
            </w:r>
            <w:r>
              <w:rPr>
                <w:rFonts w:ascii="宋体" w:hAnsi="宋体" w:cs="宋体" w:eastAsia="宋体" w:hint="default"/>
                <w:sz w:val="21"/>
                <w:szCs w:val="21"/>
              </w:rPr>
              <w:t> </w:t>
            </w:r>
          </w:p>
        </w:tc>
        <w:tc>
          <w:tcPr>
            <w:tcW w:w="28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25,000,000.00</w:t>
            </w:r>
            <w:r>
              <w:rPr>
                <w:rFonts w:ascii="宋体"/>
                <w:sz w:val="21"/>
              </w:rPr>
              <w:t> </w:t>
            </w:r>
          </w:p>
        </w:tc>
      </w:tr>
      <w:tr>
        <w:trPr>
          <w:trHeight w:val="283" w:hRule="exact"/>
        </w:trPr>
        <w:tc>
          <w:tcPr>
            <w:tcW w:w="38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内蒙古乾华农业发展有限公司</w:t>
            </w:r>
            <w:r>
              <w:rPr>
                <w:rFonts w:ascii="宋体" w:hAnsi="宋体" w:cs="宋体" w:eastAsia="宋体" w:hint="default"/>
                <w:sz w:val="21"/>
                <w:szCs w:val="21"/>
              </w:rPr>
              <w:t> </w:t>
            </w:r>
          </w:p>
        </w:tc>
        <w:tc>
          <w:tcPr>
            <w:tcW w:w="28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85,000,000.00</w:t>
            </w:r>
            <w:r>
              <w:rPr>
                <w:rFonts w:ascii="宋体"/>
                <w:sz w:val="21"/>
              </w:rPr>
              <w:t> </w:t>
            </w:r>
          </w:p>
        </w:tc>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25,000,000.00</w:t>
            </w:r>
            <w:r>
              <w:rPr>
                <w:rFonts w:ascii="宋体"/>
                <w:sz w:val="21"/>
              </w:rPr>
              <w:t> </w:t>
            </w:r>
          </w:p>
        </w:tc>
      </w:tr>
      <w:tr>
        <w:trPr>
          <w:trHeight w:val="283" w:hRule="exact"/>
        </w:trPr>
        <w:tc>
          <w:tcPr>
            <w:tcW w:w="38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8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85,000,000.00</w:t>
            </w:r>
            <w:r>
              <w:rPr>
                <w:rFonts w:ascii="宋体"/>
                <w:sz w:val="21"/>
              </w:rPr>
              <w:t> </w:t>
            </w:r>
          </w:p>
        </w:tc>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50,000,000.00</w:t>
            </w:r>
            <w:r>
              <w:rPr>
                <w:rFonts w:ascii="宋体"/>
                <w:sz w:val="21"/>
              </w:rPr>
              <w:t> </w:t>
            </w:r>
          </w:p>
        </w:tc>
      </w:tr>
    </w:tbl>
    <w:p>
      <w:pPr>
        <w:spacing w:after="0" w:line="241" w:lineRule="exact"/>
        <w:jc w:val="right"/>
        <w:rPr>
          <w:rFonts w:ascii="宋体" w:hAnsi="宋体" w:cs="宋体" w:eastAsia="宋体" w:hint="default"/>
          <w:sz w:val="21"/>
          <w:szCs w:val="21"/>
        </w:rPr>
        <w:sectPr>
          <w:pgSz w:w="11910" w:h="16840"/>
          <w:pgMar w:header="748" w:footer="974" w:top="1140" w:bottom="1160" w:left="900" w:right="1180"/>
        </w:sectPr>
      </w:pPr>
    </w:p>
    <w:p>
      <w:pPr>
        <w:pStyle w:val="BodyText"/>
        <w:spacing w:line="241" w:lineRule="exact"/>
        <w:ind w:left="518" w:right="0"/>
        <w:jc w:val="left"/>
        <w:rPr>
          <w:rFonts w:ascii="宋体" w:hAnsi="宋体" w:cs="宋体" w:eastAsia="宋体" w:hint="default"/>
        </w:rPr>
      </w:pPr>
      <w:r>
        <w:rPr>
          <w:rFonts w:ascii="宋体"/>
          <w:w w:val="100"/>
        </w:rPr>
        <w:t> </w:t>
      </w:r>
    </w:p>
    <w:p>
      <w:pPr>
        <w:pStyle w:val="Heading3"/>
        <w:spacing w:line="240" w:lineRule="auto" w:before="56"/>
        <w:ind w:left="518" w:right="0"/>
        <w:jc w:val="left"/>
        <w:rPr>
          <w:rFonts w:ascii="宋体" w:hAnsi="宋体" w:cs="宋体" w:eastAsia="宋体" w:hint="default"/>
          <w:b w:val="0"/>
          <w:bCs w:val="0"/>
        </w:rPr>
      </w:pPr>
      <w:r>
        <w:rPr>
          <w:rFonts w:ascii="宋体" w:hAnsi="宋体" w:cs="宋体" w:eastAsia="宋体" w:hint="default"/>
        </w:rPr>
        <w:t>(5).</w:t>
      </w:r>
      <w:r>
        <w:rPr/>
        <w:t>重要的账龄超过</w:t>
      </w:r>
      <w:r>
        <w:rPr>
          <w:spacing w:val="-52"/>
        </w:rPr>
        <w:t> </w:t>
      </w:r>
      <w:r>
        <w:rPr>
          <w:rFonts w:ascii="宋体" w:hAnsi="宋体" w:cs="宋体" w:eastAsia="宋体" w:hint="default"/>
        </w:rPr>
        <w:t>1</w:t>
      </w:r>
      <w:r>
        <w:rPr>
          <w:rFonts w:ascii="宋体" w:hAnsi="宋体" w:cs="宋体" w:eastAsia="宋体" w:hint="default"/>
          <w:spacing w:val="-52"/>
        </w:rPr>
        <w:t> </w:t>
      </w:r>
      <w:r>
        <w:rPr/>
        <w:t>年的应收股利</w:t>
      </w:r>
      <w:r>
        <w:rPr>
          <w:rFonts w:ascii="宋体" w:hAnsi="宋体" w:cs="宋体" w:eastAsia="宋体" w:hint="default"/>
          <w:w w:val="99"/>
        </w:rPr>
        <w:t> </w:t>
      </w:r>
      <w:r>
        <w:rPr>
          <w:rFonts w:ascii="宋体" w:hAnsi="宋体" w:cs="宋体" w:eastAsia="宋体" w:hint="default"/>
          <w:b w:val="0"/>
          <w:bCs w:val="0"/>
        </w:rPr>
      </w:r>
    </w:p>
    <w:p>
      <w:pPr>
        <w:pStyle w:val="Heading2"/>
        <w:spacing w:line="240" w:lineRule="auto" w:before="50"/>
        <w:ind w:left="518"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3"/>
        <w:spacing w:line="240" w:lineRule="auto" w:before="64"/>
        <w:ind w:left="518" w:right="0"/>
        <w:jc w:val="left"/>
        <w:rPr>
          <w:rFonts w:ascii="宋体" w:hAnsi="宋体" w:cs="宋体" w:eastAsia="宋体" w:hint="default"/>
          <w:b w:val="0"/>
          <w:bCs w:val="0"/>
        </w:rPr>
      </w:pPr>
      <w:r>
        <w:rPr>
          <w:rFonts w:ascii="宋体" w:hAnsi="宋体" w:cs="宋体" w:eastAsia="宋体" w:hint="default"/>
        </w:rPr>
        <w:t>(6).</w:t>
      </w:r>
      <w:r>
        <w:rPr/>
        <w:t>坏账准备计提情况</w:t>
      </w:r>
      <w:r>
        <w:rPr>
          <w:rFonts w:ascii="宋体" w:hAnsi="宋体" w:cs="宋体" w:eastAsia="宋体" w:hint="default"/>
          <w:w w:val="99"/>
        </w:rPr>
        <w:t> </w:t>
      </w:r>
      <w:r>
        <w:rPr>
          <w:rFonts w:ascii="宋体" w:hAnsi="宋体" w:cs="宋体" w:eastAsia="宋体" w:hint="default"/>
          <w:b w:val="0"/>
          <w:bCs w:val="0"/>
        </w:rPr>
      </w:r>
    </w:p>
    <w:p>
      <w:pPr>
        <w:pStyle w:val="Heading2"/>
        <w:spacing w:line="240" w:lineRule="auto" w:before="52"/>
        <w:ind w:left="518"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BodyText"/>
        <w:spacing w:line="274" w:lineRule="exact" w:before="1"/>
        <w:ind w:left="518" w:right="0"/>
        <w:jc w:val="left"/>
        <w:rPr>
          <w:rFonts w:ascii="宋体" w:hAnsi="宋体" w:cs="宋体" w:eastAsia="宋体" w:hint="default"/>
        </w:rPr>
      </w:pPr>
      <w:r>
        <w:rPr/>
        <w:t>其他说明：</w:t>
      </w:r>
      <w:r>
        <w:rPr>
          <w:rFonts w:ascii="宋体" w:hAnsi="宋体" w:cs="宋体" w:eastAsia="宋体" w:hint="default"/>
        </w:rPr>
        <w:t> </w:t>
      </w:r>
    </w:p>
    <w:p>
      <w:pPr>
        <w:pStyle w:val="BodyText"/>
        <w:spacing w:line="269" w:lineRule="exact"/>
        <w:ind w:left="518"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rPr>
        <w:t> </w:t>
      </w:r>
      <w:r>
        <w:rPr>
          <w:rFonts w:ascii="宋体" w:hAnsi="宋体" w:cs="宋体" w:eastAsia="宋体" w:hint="default"/>
        </w:rPr>
        <w:t> </w:t>
      </w:r>
    </w:p>
    <w:p>
      <w:pPr>
        <w:pStyle w:val="Heading2"/>
        <w:spacing w:line="309" w:lineRule="exact"/>
        <w:ind w:left="518" w:right="0"/>
        <w:jc w:val="left"/>
        <w:rPr>
          <w:rFonts w:ascii="宋体" w:hAnsi="宋体" w:cs="宋体" w:eastAsia="宋体" w:hint="default"/>
        </w:rPr>
      </w:pPr>
      <w:r>
        <w:rPr>
          <w:rFonts w:ascii="宋体"/>
        </w:rPr>
        <w:t> </w:t>
      </w:r>
    </w:p>
    <w:p>
      <w:pPr>
        <w:pStyle w:val="Heading3"/>
        <w:spacing w:line="240" w:lineRule="auto" w:before="64"/>
        <w:ind w:left="518" w:right="0"/>
        <w:jc w:val="left"/>
        <w:rPr>
          <w:rFonts w:ascii="宋体" w:hAnsi="宋体" w:cs="宋体" w:eastAsia="宋体" w:hint="default"/>
          <w:b w:val="0"/>
          <w:bCs w:val="0"/>
        </w:rPr>
      </w:pPr>
      <w:r>
        <w:rPr/>
        <w:t>其他应收款</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57"/>
        <w:ind w:left="518" w:right="0"/>
        <w:jc w:val="left"/>
        <w:rPr>
          <w:rFonts w:ascii="宋体" w:hAnsi="宋体" w:cs="宋体" w:eastAsia="宋体" w:hint="default"/>
          <w:b w:val="0"/>
          <w:bCs w:val="0"/>
        </w:rPr>
      </w:pPr>
      <w:r>
        <w:rPr>
          <w:rFonts w:ascii="宋体" w:hAnsi="宋体" w:cs="宋体" w:eastAsia="宋体" w:hint="default"/>
        </w:rPr>
        <w:t>(1).</w:t>
      </w:r>
      <w:r>
        <w:rPr>
          <w:rFonts w:ascii="宋体" w:hAnsi="宋体" w:cs="宋体" w:eastAsia="宋体" w:hint="default"/>
          <w:spacing w:val="-3"/>
        </w:rPr>
        <w:t> </w:t>
      </w:r>
      <w:r>
        <w:rPr/>
        <w:t>按账龄披露</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518"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7"/>
          <w:szCs w:val="27"/>
        </w:rPr>
      </w:pPr>
    </w:p>
    <w:p>
      <w:pPr>
        <w:pStyle w:val="BodyText"/>
        <w:spacing w:line="240" w:lineRule="auto"/>
        <w:ind w:left="518" w:right="0"/>
        <w:jc w:val="left"/>
        <w:rPr>
          <w:rFonts w:ascii="宋体" w:hAnsi="宋体" w:cs="宋体" w:eastAsia="宋体" w:hint="default"/>
        </w:rPr>
      </w:pPr>
      <w:r>
        <w:rPr/>
        <w:t>单位：元币种：人民币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580" w:bottom="280" w:left="900" w:right="1180"/>
          <w:cols w:num="2" w:equalWidth="0">
            <w:col w:w="4007" w:space="2963"/>
            <w:col w:w="2860"/>
          </w:cols>
        </w:sectPr>
      </w:pPr>
    </w:p>
    <w:p>
      <w:pPr>
        <w:spacing w:line="240" w:lineRule="auto" w:before="7"/>
        <w:rPr>
          <w:rFonts w:ascii="宋体" w:hAnsi="宋体" w:cs="宋体" w:eastAsia="宋体" w:hint="default"/>
          <w:sz w:val="2"/>
          <w:szCs w:val="2"/>
        </w:rPr>
      </w:pPr>
    </w:p>
    <w:tbl>
      <w:tblPr>
        <w:tblW w:w="0" w:type="auto"/>
        <w:jc w:val="left"/>
        <w:tblInd w:w="482" w:type="dxa"/>
        <w:tblLayout w:type="fixed"/>
        <w:tblCellMar>
          <w:top w:w="0" w:type="dxa"/>
          <w:left w:w="0" w:type="dxa"/>
          <w:bottom w:w="0" w:type="dxa"/>
          <w:right w:w="0" w:type="dxa"/>
        </w:tblCellMar>
        <w:tblLook w:val="01E0"/>
      </w:tblPr>
      <w:tblGrid>
        <w:gridCol w:w="4611"/>
        <w:gridCol w:w="4523"/>
      </w:tblGrid>
      <w:tr>
        <w:trPr>
          <w:trHeight w:val="283" w:hRule="exact"/>
        </w:trPr>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82"/>
              <w:jc w:val="right"/>
              <w:rPr>
                <w:rFonts w:ascii="宋体" w:hAnsi="宋体" w:cs="宋体" w:eastAsia="宋体" w:hint="default"/>
                <w:sz w:val="21"/>
                <w:szCs w:val="21"/>
              </w:rPr>
            </w:pPr>
            <w:r>
              <w:rPr>
                <w:rFonts w:ascii="宋体" w:hAnsi="宋体" w:cs="宋体" w:eastAsia="宋体" w:hint="default"/>
                <w:spacing w:val="-1"/>
                <w:sz w:val="21"/>
                <w:szCs w:val="21"/>
              </w:rPr>
              <w:t>账龄</w:t>
            </w:r>
            <w:r>
              <w:rPr>
                <w:rFonts w:ascii="宋体" w:hAnsi="宋体" w:cs="宋体" w:eastAsia="宋体" w:hint="default"/>
                <w:sz w:val="21"/>
                <w:szCs w:val="21"/>
              </w:rPr>
              <w:t> </w:t>
            </w:r>
          </w:p>
        </w:tc>
        <w:tc>
          <w:tcPr>
            <w:tcW w:w="45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sz w:val="21"/>
                <w:szCs w:val="21"/>
              </w:rPr>
              <w:t>期末账面余额</w:t>
            </w:r>
            <w:r>
              <w:rPr>
                <w:rFonts w:ascii="宋体" w:hAnsi="宋体" w:cs="宋体" w:eastAsia="宋体" w:hint="default"/>
                <w:sz w:val="21"/>
                <w:szCs w:val="21"/>
              </w:rPr>
              <w:t> </w:t>
            </w:r>
          </w:p>
        </w:tc>
      </w:tr>
      <w:tr>
        <w:trPr>
          <w:trHeight w:val="281" w:hRule="exact"/>
        </w:trPr>
        <w:tc>
          <w:tcPr>
            <w:tcW w:w="9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年以内</w:t>
            </w:r>
            <w:r>
              <w:rPr>
                <w:rFonts w:ascii="宋体" w:hAnsi="宋体" w:cs="宋体" w:eastAsia="宋体" w:hint="default"/>
                <w:color w:val="FF0000"/>
                <w:sz w:val="21"/>
                <w:szCs w:val="21"/>
              </w:rPr>
              <w:t> </w:t>
            </w:r>
            <w:r>
              <w:rPr>
                <w:rFonts w:ascii="宋体" w:hAnsi="宋体" w:cs="宋体" w:eastAsia="宋体" w:hint="default"/>
                <w:sz w:val="21"/>
                <w:szCs w:val="21"/>
              </w:rPr>
            </w:r>
          </w:p>
        </w:tc>
      </w:tr>
      <w:tr>
        <w:trPr>
          <w:trHeight w:val="283" w:hRule="exact"/>
        </w:trPr>
        <w:tc>
          <w:tcPr>
            <w:tcW w:w="9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年以内分项</w:t>
            </w:r>
            <w:r>
              <w:rPr>
                <w:rFonts w:ascii="宋体" w:hAnsi="宋体" w:cs="宋体" w:eastAsia="宋体" w:hint="default"/>
                <w:sz w:val="21"/>
                <w:szCs w:val="21"/>
              </w:rPr>
              <w:t> </w:t>
            </w:r>
          </w:p>
        </w:tc>
      </w:tr>
      <w:tr>
        <w:trPr>
          <w:trHeight w:val="281" w:hRule="exact"/>
        </w:trPr>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年以内</w:t>
            </w:r>
            <w:r>
              <w:rPr>
                <w:rFonts w:ascii="宋体" w:hAnsi="宋体" w:cs="宋体" w:eastAsia="宋体" w:hint="default"/>
                <w:sz w:val="21"/>
                <w:szCs w:val="21"/>
              </w:rPr>
              <w:t> </w:t>
            </w:r>
          </w:p>
        </w:tc>
        <w:tc>
          <w:tcPr>
            <w:tcW w:w="45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368,185,970.10</w:t>
            </w:r>
          </w:p>
        </w:tc>
      </w:tr>
      <w:tr>
        <w:trPr>
          <w:trHeight w:val="283" w:hRule="exact"/>
        </w:trPr>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6"/>
                <w:sz w:val="21"/>
                <w:szCs w:val="21"/>
              </w:rPr>
              <w:t> </w:t>
            </w:r>
            <w:r>
              <w:rPr>
                <w:rFonts w:ascii="宋体" w:hAnsi="宋体" w:cs="宋体" w:eastAsia="宋体" w:hint="default"/>
                <w:sz w:val="21"/>
                <w:szCs w:val="21"/>
              </w:rPr>
              <w:t>年以内小计</w:t>
            </w:r>
            <w:r>
              <w:rPr>
                <w:rFonts w:ascii="宋体" w:hAnsi="宋体" w:cs="宋体" w:eastAsia="宋体" w:hint="default"/>
                <w:sz w:val="21"/>
                <w:szCs w:val="21"/>
              </w:rPr>
              <w:t> </w:t>
            </w:r>
          </w:p>
        </w:tc>
        <w:tc>
          <w:tcPr>
            <w:tcW w:w="452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2"/>
              <w:jc w:val="right"/>
              <w:rPr>
                <w:rFonts w:ascii="宋体" w:hAnsi="宋体" w:cs="宋体" w:eastAsia="宋体" w:hint="default"/>
                <w:sz w:val="21"/>
                <w:szCs w:val="21"/>
              </w:rPr>
            </w:pPr>
            <w:r>
              <w:rPr>
                <w:rFonts w:ascii="宋体"/>
                <w:spacing w:val="-1"/>
                <w:sz w:val="21"/>
              </w:rPr>
              <w:t>368,185,970.10</w:t>
            </w:r>
          </w:p>
        </w:tc>
      </w:tr>
      <w:tr>
        <w:trPr>
          <w:trHeight w:val="283" w:hRule="exact"/>
        </w:trPr>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45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76,868,296.14</w:t>
            </w:r>
          </w:p>
        </w:tc>
      </w:tr>
      <w:tr>
        <w:trPr>
          <w:trHeight w:val="281" w:hRule="exact"/>
        </w:trPr>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45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996,465,828.20</w:t>
            </w:r>
          </w:p>
        </w:tc>
      </w:tr>
      <w:tr>
        <w:trPr>
          <w:trHeight w:val="283" w:hRule="exact"/>
        </w:trPr>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5"/>
                <w:sz w:val="21"/>
                <w:szCs w:val="21"/>
              </w:rPr>
              <w:t> </w:t>
            </w:r>
            <w:r>
              <w:rPr>
                <w:rFonts w:ascii="宋体" w:hAnsi="宋体" w:cs="宋体" w:eastAsia="宋体" w:hint="default"/>
                <w:sz w:val="21"/>
                <w:szCs w:val="21"/>
              </w:rPr>
              <w:t>年以上</w:t>
            </w:r>
            <w:r>
              <w:rPr>
                <w:rFonts w:ascii="宋体" w:hAnsi="宋体" w:cs="宋体" w:eastAsia="宋体" w:hint="default"/>
                <w:sz w:val="21"/>
                <w:szCs w:val="21"/>
              </w:rPr>
              <w:t> </w:t>
            </w:r>
          </w:p>
        </w:tc>
        <w:tc>
          <w:tcPr>
            <w:tcW w:w="452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2,009,804.23</w:t>
            </w:r>
          </w:p>
        </w:tc>
      </w:tr>
      <w:tr>
        <w:trPr>
          <w:trHeight w:val="283" w:hRule="exact"/>
        </w:trPr>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82"/>
              <w:jc w:val="right"/>
              <w:rPr>
                <w:rFonts w:ascii="宋体" w:hAnsi="宋体" w:cs="宋体" w:eastAsia="宋体" w:hint="default"/>
                <w:sz w:val="21"/>
                <w:szCs w:val="21"/>
              </w:rPr>
            </w:pPr>
            <w:r>
              <w:rPr>
                <w:rFonts w:ascii="宋体" w:hAnsi="宋体" w:cs="宋体" w:eastAsia="宋体" w:hint="default"/>
                <w:spacing w:val="-1"/>
                <w:sz w:val="21"/>
                <w:szCs w:val="21"/>
              </w:rPr>
              <w:t>合计</w:t>
            </w:r>
            <w:r>
              <w:rPr>
                <w:rFonts w:ascii="宋体" w:hAnsi="宋体" w:cs="宋体" w:eastAsia="宋体" w:hint="default"/>
                <w:sz w:val="21"/>
                <w:szCs w:val="21"/>
              </w:rPr>
              <w:t> </w:t>
            </w:r>
          </w:p>
        </w:tc>
        <w:tc>
          <w:tcPr>
            <w:tcW w:w="45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1,443,529,898.67</w:t>
            </w:r>
          </w:p>
        </w:tc>
      </w:tr>
    </w:tbl>
    <w:p>
      <w:pPr>
        <w:spacing w:after="0" w:line="241" w:lineRule="exact"/>
        <w:jc w:val="right"/>
        <w:rPr>
          <w:rFonts w:ascii="宋体" w:hAnsi="宋体" w:cs="宋体" w:eastAsia="宋体" w:hint="default"/>
          <w:sz w:val="21"/>
          <w:szCs w:val="21"/>
        </w:rPr>
        <w:sectPr>
          <w:type w:val="continuous"/>
          <w:pgSz w:w="11910" w:h="16840"/>
          <w:pgMar w:top="1580" w:bottom="280" w:left="900" w:right="1180"/>
        </w:sectPr>
      </w:pPr>
    </w:p>
    <w:p>
      <w:pPr>
        <w:pStyle w:val="Heading2"/>
        <w:spacing w:line="274" w:lineRule="exact"/>
        <w:ind w:left="518" w:right="0"/>
        <w:jc w:val="left"/>
        <w:rPr>
          <w:rFonts w:ascii="宋体" w:hAnsi="宋体" w:cs="宋体" w:eastAsia="宋体" w:hint="default"/>
        </w:rPr>
      </w:pPr>
      <w:r>
        <w:rPr>
          <w:rFonts w:ascii="宋体"/>
        </w:rPr>
        <w:t> </w:t>
      </w:r>
    </w:p>
    <w:p>
      <w:pPr>
        <w:pStyle w:val="Heading3"/>
        <w:spacing w:line="240" w:lineRule="auto" w:before="64"/>
        <w:ind w:left="518" w:right="0"/>
        <w:jc w:val="left"/>
        <w:rPr>
          <w:rFonts w:ascii="宋体" w:hAnsi="宋体" w:cs="宋体" w:eastAsia="宋体" w:hint="default"/>
          <w:b w:val="0"/>
          <w:bCs w:val="0"/>
        </w:rPr>
      </w:pPr>
      <w:r>
        <w:rPr>
          <w:rFonts w:ascii="宋体" w:hAnsi="宋体" w:cs="宋体" w:eastAsia="宋体" w:hint="default"/>
        </w:rPr>
        <w:t>(2).</w:t>
      </w:r>
      <w:r>
        <w:rPr>
          <w:rFonts w:ascii="宋体" w:hAnsi="宋体" w:cs="宋体" w:eastAsia="宋体" w:hint="default"/>
          <w:spacing w:val="-1"/>
        </w:rPr>
        <w:t> </w:t>
      </w:r>
      <w:r>
        <w:rPr/>
        <w:t>按款项性质分类情况</w:t>
      </w:r>
      <w:r>
        <w:rPr>
          <w:rFonts w:ascii="宋体" w:hAnsi="宋体" w:cs="宋体" w:eastAsia="宋体" w:hint="default"/>
          <w:w w:val="99"/>
        </w:rPr>
        <w:t> </w:t>
      </w:r>
      <w:r>
        <w:rPr>
          <w:rFonts w:ascii="宋体" w:hAnsi="宋体" w:cs="宋体" w:eastAsia="宋体" w:hint="default"/>
          <w:b w:val="0"/>
          <w:bCs w:val="0"/>
        </w:rPr>
      </w:r>
    </w:p>
    <w:p>
      <w:pPr>
        <w:pStyle w:val="Heading2"/>
        <w:spacing w:line="240" w:lineRule="auto" w:before="50"/>
        <w:ind w:left="518"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5"/>
          <w:szCs w:val="15"/>
        </w:rPr>
      </w:pPr>
    </w:p>
    <w:p>
      <w:pPr>
        <w:pStyle w:val="BodyText"/>
        <w:spacing w:line="240" w:lineRule="auto"/>
        <w:ind w:left="518" w:right="0"/>
        <w:jc w:val="left"/>
        <w:rPr>
          <w:rFonts w:ascii="宋体" w:hAnsi="宋体" w:cs="宋体" w:eastAsia="宋体" w:hint="default"/>
        </w:rPr>
      </w:pPr>
      <w:r>
        <w:rPr/>
        <w:t>单位：元币种：人民币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580" w:bottom="280" w:left="900" w:right="1180"/>
          <w:cols w:num="2" w:equalWidth="0">
            <w:col w:w="3051" w:space="3919"/>
            <w:col w:w="2860"/>
          </w:cols>
        </w:sectPr>
      </w:pPr>
    </w:p>
    <w:p>
      <w:pPr>
        <w:spacing w:line="240" w:lineRule="auto" w:before="4"/>
        <w:rPr>
          <w:rFonts w:ascii="宋体" w:hAnsi="宋体" w:cs="宋体" w:eastAsia="宋体" w:hint="default"/>
          <w:sz w:val="2"/>
          <w:szCs w:val="2"/>
        </w:rPr>
      </w:pPr>
    </w:p>
    <w:tbl>
      <w:tblPr>
        <w:tblW w:w="0" w:type="auto"/>
        <w:jc w:val="left"/>
        <w:tblInd w:w="406" w:type="dxa"/>
        <w:tblLayout w:type="fixed"/>
        <w:tblCellMar>
          <w:top w:w="0" w:type="dxa"/>
          <w:left w:w="0" w:type="dxa"/>
          <w:bottom w:w="0" w:type="dxa"/>
          <w:right w:w="0" w:type="dxa"/>
        </w:tblCellMar>
        <w:tblLook w:val="01E0"/>
      </w:tblPr>
      <w:tblGrid>
        <w:gridCol w:w="3157"/>
        <w:gridCol w:w="3060"/>
        <w:gridCol w:w="3070"/>
      </w:tblGrid>
      <w:tr>
        <w:trPr>
          <w:trHeight w:val="283" w:hRule="exact"/>
        </w:trPr>
        <w:tc>
          <w:tcPr>
            <w:tcW w:w="31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sz w:val="21"/>
                <w:szCs w:val="21"/>
              </w:rPr>
              <w:t>款项性质</w:t>
            </w:r>
            <w:r>
              <w:rPr>
                <w:rFonts w:ascii="宋体" w:hAnsi="宋体" w:cs="宋体" w:eastAsia="宋体" w:hint="default"/>
                <w:sz w:val="21"/>
                <w:szCs w:val="21"/>
              </w:rPr>
              <w:t> </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95" w:right="0"/>
              <w:jc w:val="left"/>
              <w:rPr>
                <w:rFonts w:ascii="宋体" w:hAnsi="宋体" w:cs="宋体" w:eastAsia="宋体" w:hint="default"/>
                <w:sz w:val="21"/>
                <w:szCs w:val="21"/>
              </w:rPr>
            </w:pPr>
            <w:r>
              <w:rPr>
                <w:rFonts w:ascii="宋体" w:hAnsi="宋体" w:cs="宋体" w:eastAsia="宋体" w:hint="default"/>
                <w:sz w:val="21"/>
                <w:szCs w:val="21"/>
              </w:rPr>
              <w:t>期末账面余额</w:t>
            </w:r>
            <w:r>
              <w:rPr>
                <w:rFonts w:ascii="宋体" w:hAnsi="宋体" w:cs="宋体" w:eastAsia="宋体" w:hint="default"/>
                <w:sz w:val="21"/>
                <w:szCs w:val="21"/>
              </w:rPr>
              <w:t> </w:t>
            </w:r>
          </w:p>
        </w:tc>
        <w:tc>
          <w:tcPr>
            <w:tcW w:w="3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00" w:right="0"/>
              <w:jc w:val="left"/>
              <w:rPr>
                <w:rFonts w:ascii="宋体" w:hAnsi="宋体" w:cs="宋体" w:eastAsia="宋体" w:hint="default"/>
                <w:sz w:val="21"/>
                <w:szCs w:val="21"/>
              </w:rPr>
            </w:pPr>
            <w:r>
              <w:rPr>
                <w:rFonts w:ascii="宋体" w:hAnsi="宋体" w:cs="宋体" w:eastAsia="宋体" w:hint="default"/>
                <w:sz w:val="21"/>
                <w:szCs w:val="21"/>
              </w:rPr>
              <w:t>期初账面余额</w:t>
            </w:r>
            <w:r>
              <w:rPr>
                <w:rFonts w:ascii="宋体" w:hAnsi="宋体" w:cs="宋体" w:eastAsia="宋体" w:hint="default"/>
                <w:sz w:val="21"/>
                <w:szCs w:val="21"/>
              </w:rPr>
              <w:t> </w:t>
            </w:r>
          </w:p>
        </w:tc>
      </w:tr>
      <w:tr>
        <w:trPr>
          <w:trHeight w:val="281" w:hRule="exact"/>
        </w:trPr>
        <w:tc>
          <w:tcPr>
            <w:tcW w:w="31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保证金</w:t>
            </w:r>
            <w:r>
              <w:rPr>
                <w:rFonts w:ascii="宋体" w:hAnsi="宋体" w:cs="宋体" w:eastAsia="宋体" w:hint="default"/>
                <w:sz w:val="21"/>
                <w:szCs w:val="21"/>
              </w:rPr>
              <w:t> </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12,080,327.68</w:t>
            </w:r>
            <w:r>
              <w:rPr>
                <w:rFonts w:ascii="宋体"/>
                <w:sz w:val="21"/>
              </w:rPr>
              <w:t> </w:t>
            </w:r>
          </w:p>
        </w:tc>
        <w:tc>
          <w:tcPr>
            <w:tcW w:w="3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10,856,547.22</w:t>
            </w:r>
            <w:r>
              <w:rPr>
                <w:rFonts w:ascii="宋体"/>
                <w:sz w:val="21"/>
              </w:rPr>
              <w:t> </w:t>
            </w:r>
          </w:p>
        </w:tc>
      </w:tr>
      <w:tr>
        <w:trPr>
          <w:trHeight w:val="283" w:hRule="exact"/>
        </w:trPr>
        <w:tc>
          <w:tcPr>
            <w:tcW w:w="315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备用金</w:t>
            </w:r>
            <w:r>
              <w:rPr>
                <w:rFonts w:ascii="宋体" w:hAnsi="宋体" w:cs="宋体" w:eastAsia="宋体" w:hint="default"/>
                <w:sz w:val="21"/>
                <w:szCs w:val="21"/>
              </w:rPr>
              <w:t> </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3,532,945.70</w:t>
            </w:r>
            <w:r>
              <w:rPr>
                <w:rFonts w:ascii="宋体"/>
                <w:sz w:val="21"/>
              </w:rPr>
              <w:t> </w:t>
            </w:r>
          </w:p>
        </w:tc>
        <w:tc>
          <w:tcPr>
            <w:tcW w:w="30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5,762,230.21</w:t>
            </w:r>
            <w:r>
              <w:rPr>
                <w:rFonts w:ascii="宋体"/>
                <w:sz w:val="21"/>
              </w:rPr>
              <w:t> </w:t>
            </w:r>
          </w:p>
        </w:tc>
      </w:tr>
      <w:tr>
        <w:trPr>
          <w:trHeight w:val="283" w:hRule="exact"/>
        </w:trPr>
        <w:tc>
          <w:tcPr>
            <w:tcW w:w="31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代收代付款项</w:t>
            </w:r>
            <w:r>
              <w:rPr>
                <w:rFonts w:ascii="宋体" w:hAnsi="宋体" w:cs="宋体" w:eastAsia="宋体" w:hint="default"/>
                <w:sz w:val="21"/>
                <w:szCs w:val="21"/>
              </w:rPr>
              <w:t> </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1,273,462.33</w:t>
            </w:r>
            <w:r>
              <w:rPr>
                <w:rFonts w:ascii="宋体"/>
                <w:sz w:val="21"/>
              </w:rPr>
              <w:t> </w:t>
            </w:r>
          </w:p>
        </w:tc>
        <w:tc>
          <w:tcPr>
            <w:tcW w:w="3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1,656,482.43</w:t>
            </w:r>
            <w:r>
              <w:rPr>
                <w:rFonts w:ascii="宋体"/>
                <w:sz w:val="21"/>
              </w:rPr>
              <w:t> </w:t>
            </w:r>
          </w:p>
        </w:tc>
      </w:tr>
      <w:tr>
        <w:trPr>
          <w:trHeight w:val="281" w:hRule="exact"/>
        </w:trPr>
        <w:tc>
          <w:tcPr>
            <w:tcW w:w="31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企业间往来</w:t>
            </w:r>
            <w:r>
              <w:rPr>
                <w:rFonts w:ascii="宋体" w:hAnsi="宋体" w:cs="宋体" w:eastAsia="宋体" w:hint="default"/>
                <w:sz w:val="21"/>
                <w:szCs w:val="21"/>
              </w:rPr>
              <w:t> </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1,426,643,162.96</w:t>
            </w:r>
            <w:r>
              <w:rPr>
                <w:rFonts w:ascii="宋体"/>
                <w:sz w:val="21"/>
              </w:rPr>
              <w:t> </w:t>
            </w:r>
          </w:p>
        </w:tc>
        <w:tc>
          <w:tcPr>
            <w:tcW w:w="3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1,186,670,570.07</w:t>
            </w:r>
            <w:r>
              <w:rPr>
                <w:rFonts w:ascii="宋体"/>
                <w:sz w:val="21"/>
              </w:rPr>
              <w:t> </w:t>
            </w:r>
          </w:p>
        </w:tc>
      </w:tr>
      <w:tr>
        <w:trPr>
          <w:trHeight w:val="283" w:hRule="exact"/>
        </w:trPr>
        <w:tc>
          <w:tcPr>
            <w:tcW w:w="315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4"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1,443,529,898.67</w:t>
            </w:r>
            <w:r>
              <w:rPr>
                <w:rFonts w:ascii="宋体"/>
                <w:sz w:val="21"/>
              </w:rPr>
              <w:t> </w:t>
            </w:r>
          </w:p>
        </w:tc>
        <w:tc>
          <w:tcPr>
            <w:tcW w:w="30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1,204,945,829.93</w:t>
            </w:r>
            <w:r>
              <w:rPr>
                <w:rFonts w:ascii="宋体"/>
                <w:sz w:val="21"/>
              </w:rPr>
              <w:t> </w:t>
            </w:r>
          </w:p>
        </w:tc>
      </w:tr>
    </w:tbl>
    <w:p>
      <w:pPr>
        <w:spacing w:after="0" w:line="243" w:lineRule="exact"/>
        <w:jc w:val="right"/>
        <w:rPr>
          <w:rFonts w:ascii="宋体" w:hAnsi="宋体" w:cs="宋体" w:eastAsia="宋体" w:hint="default"/>
          <w:sz w:val="21"/>
          <w:szCs w:val="21"/>
        </w:rPr>
        <w:sectPr>
          <w:type w:val="continuous"/>
          <w:pgSz w:w="11910" w:h="16840"/>
          <w:pgMar w:top="1580" w:bottom="280" w:left="900" w:right="1180"/>
        </w:sectPr>
      </w:pPr>
    </w:p>
    <w:p>
      <w:pPr>
        <w:pStyle w:val="Heading2"/>
        <w:spacing w:line="273" w:lineRule="exact"/>
        <w:ind w:left="518" w:right="0"/>
        <w:jc w:val="left"/>
        <w:rPr>
          <w:rFonts w:ascii="宋体" w:hAnsi="宋体" w:cs="宋体" w:eastAsia="宋体" w:hint="default"/>
        </w:rPr>
      </w:pPr>
      <w:r>
        <w:rPr>
          <w:rFonts w:ascii="宋体"/>
        </w:rPr>
        <w:t> </w:t>
      </w:r>
    </w:p>
    <w:p>
      <w:pPr>
        <w:pStyle w:val="Heading2"/>
        <w:spacing w:line="313" w:lineRule="exact"/>
        <w:ind w:left="518" w:right="0"/>
        <w:jc w:val="left"/>
        <w:rPr>
          <w:rFonts w:ascii="宋体" w:hAnsi="宋体" w:cs="宋体" w:eastAsia="宋体" w:hint="default"/>
        </w:rPr>
      </w:pPr>
      <w:r>
        <w:rPr>
          <w:rFonts w:ascii="宋体"/>
        </w:rPr>
        <w:t> </w:t>
      </w:r>
    </w:p>
    <w:p>
      <w:pPr>
        <w:pStyle w:val="Heading3"/>
        <w:spacing w:line="240" w:lineRule="auto" w:before="64"/>
        <w:ind w:left="518" w:right="0"/>
        <w:jc w:val="left"/>
        <w:rPr>
          <w:rFonts w:ascii="宋体" w:hAnsi="宋体" w:cs="宋体" w:eastAsia="宋体" w:hint="default"/>
          <w:b w:val="0"/>
          <w:bCs w:val="0"/>
        </w:rPr>
      </w:pPr>
      <w:r>
        <w:rPr>
          <w:rFonts w:ascii="宋体" w:hAnsi="宋体" w:cs="宋体" w:eastAsia="宋体" w:hint="default"/>
        </w:rPr>
        <w:t>(3).</w:t>
      </w:r>
      <w:r>
        <w:rPr>
          <w:rFonts w:ascii="宋体" w:hAnsi="宋体" w:cs="宋体" w:eastAsia="宋体" w:hint="default"/>
          <w:spacing w:val="-2"/>
        </w:rPr>
        <w:t> </w:t>
      </w:r>
      <w:r>
        <w:rPr/>
        <w:t>坏账准备计提情况</w:t>
      </w:r>
      <w:r>
        <w:rPr>
          <w:rFonts w:ascii="宋体" w:hAnsi="宋体" w:cs="宋体" w:eastAsia="宋体" w:hint="default"/>
          <w:w w:val="99"/>
        </w:rPr>
        <w:t> </w:t>
      </w:r>
      <w:r>
        <w:rPr>
          <w:rFonts w:ascii="宋体" w:hAnsi="宋体" w:cs="宋体" w:eastAsia="宋体" w:hint="default"/>
          <w:b w:val="0"/>
          <w:bCs w:val="0"/>
        </w:rPr>
      </w:r>
    </w:p>
    <w:p>
      <w:pPr>
        <w:pStyle w:val="Heading2"/>
        <w:spacing w:line="240" w:lineRule="auto" w:before="50"/>
        <w:ind w:left="518"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8"/>
          <w:szCs w:val="18"/>
        </w:rPr>
      </w:pPr>
    </w:p>
    <w:p>
      <w:pPr>
        <w:pStyle w:val="BodyText"/>
        <w:spacing w:line="240" w:lineRule="auto"/>
        <w:ind w:left="518" w:right="0"/>
        <w:jc w:val="left"/>
        <w:rPr>
          <w:rFonts w:ascii="宋体" w:hAnsi="宋体" w:cs="宋体" w:eastAsia="宋体" w:hint="default"/>
        </w:rPr>
      </w:pPr>
      <w:r>
        <w:rPr/>
        <w:t>单位：元币种：人民币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580" w:bottom="280" w:left="900" w:right="1180"/>
          <w:cols w:num="2" w:equalWidth="0">
            <w:col w:w="2840" w:space="4025"/>
            <w:col w:w="2965"/>
          </w:cols>
        </w:sectPr>
      </w:pPr>
    </w:p>
    <w:p>
      <w:pPr>
        <w:spacing w:line="240" w:lineRule="auto" w:before="4"/>
        <w:rPr>
          <w:rFonts w:ascii="宋体" w:hAnsi="宋体" w:cs="宋体" w:eastAsia="宋体" w:hint="default"/>
          <w:sz w:val="2"/>
          <w:szCs w:val="2"/>
        </w:rPr>
      </w:pPr>
    </w:p>
    <w:tbl>
      <w:tblPr>
        <w:tblW w:w="0" w:type="auto"/>
        <w:jc w:val="left"/>
        <w:tblInd w:w="406" w:type="dxa"/>
        <w:tblLayout w:type="fixed"/>
        <w:tblCellMar>
          <w:top w:w="0" w:type="dxa"/>
          <w:left w:w="0" w:type="dxa"/>
          <w:bottom w:w="0" w:type="dxa"/>
          <w:right w:w="0" w:type="dxa"/>
        </w:tblCellMar>
        <w:tblLook w:val="01E0"/>
      </w:tblPr>
      <w:tblGrid>
        <w:gridCol w:w="1860"/>
        <w:gridCol w:w="1601"/>
        <w:gridCol w:w="2038"/>
        <w:gridCol w:w="2038"/>
        <w:gridCol w:w="1750"/>
      </w:tblGrid>
      <w:tr>
        <w:trPr>
          <w:trHeight w:val="444" w:hRule="exact"/>
        </w:trPr>
        <w:tc>
          <w:tcPr>
            <w:tcW w:w="186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503" w:right="0"/>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sz w:val="21"/>
                <w:szCs w:val="21"/>
              </w:rPr>
              <w:t> </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74" w:right="0"/>
              <w:jc w:val="left"/>
              <w:rPr>
                <w:rFonts w:ascii="宋体" w:hAnsi="宋体" w:cs="宋体" w:eastAsia="宋体" w:hint="default"/>
                <w:sz w:val="21"/>
                <w:szCs w:val="21"/>
              </w:rPr>
            </w:pPr>
            <w:r>
              <w:rPr>
                <w:rFonts w:ascii="宋体" w:hAnsi="宋体" w:cs="宋体" w:eastAsia="宋体" w:hint="default"/>
                <w:sz w:val="21"/>
                <w:szCs w:val="21"/>
              </w:rPr>
              <w:t>第一阶段</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92" w:right="0"/>
              <w:jc w:val="left"/>
              <w:rPr>
                <w:rFonts w:ascii="宋体" w:hAnsi="宋体" w:cs="宋体" w:eastAsia="宋体" w:hint="default"/>
                <w:sz w:val="21"/>
                <w:szCs w:val="21"/>
              </w:rPr>
            </w:pPr>
            <w:r>
              <w:rPr>
                <w:rFonts w:ascii="宋体" w:hAnsi="宋体" w:cs="宋体" w:eastAsia="宋体" w:hint="default"/>
                <w:sz w:val="21"/>
                <w:szCs w:val="21"/>
              </w:rPr>
              <w:t>第二阶段</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92" w:right="0"/>
              <w:jc w:val="left"/>
              <w:rPr>
                <w:rFonts w:ascii="宋体" w:hAnsi="宋体" w:cs="宋体" w:eastAsia="宋体" w:hint="default"/>
                <w:sz w:val="21"/>
                <w:szCs w:val="21"/>
              </w:rPr>
            </w:pPr>
            <w:r>
              <w:rPr>
                <w:rFonts w:ascii="宋体" w:hAnsi="宋体" w:cs="宋体" w:eastAsia="宋体" w:hint="default"/>
                <w:sz w:val="21"/>
                <w:szCs w:val="21"/>
              </w:rPr>
              <w:t>第三阶段</w:t>
            </w:r>
            <w:r>
              <w:rPr>
                <w:rFonts w:ascii="宋体" w:hAnsi="宋体" w:cs="宋体" w:eastAsia="宋体" w:hint="default"/>
                <w:sz w:val="21"/>
                <w:szCs w:val="21"/>
              </w:rPr>
              <w:t> </w:t>
            </w:r>
          </w:p>
        </w:tc>
        <w:tc>
          <w:tcPr>
            <w:tcW w:w="175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658"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r>
      <w:tr>
        <w:trPr>
          <w:trHeight w:val="986" w:hRule="exact"/>
        </w:trPr>
        <w:tc>
          <w:tcPr>
            <w:tcW w:w="1860" w:type="dxa"/>
            <w:vMerge/>
            <w:tcBorders>
              <w:left w:val="single" w:sz="4" w:space="0" w:color="000000"/>
              <w:bottom w:val="single" w:sz="4" w:space="0" w:color="000000"/>
              <w:right w:val="single" w:sz="4" w:space="0" w:color="000000"/>
            </w:tcBorders>
          </w:tcPr>
          <w:p>
            <w:pP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68" w:right="161" w:hanging="104"/>
              <w:jc w:val="left"/>
              <w:rPr>
                <w:rFonts w:ascii="宋体" w:hAnsi="宋体" w:cs="宋体" w:eastAsia="宋体" w:hint="default"/>
                <w:sz w:val="21"/>
                <w:szCs w:val="21"/>
              </w:rPr>
            </w:pPr>
            <w:r>
              <w:rPr>
                <w:rFonts w:ascii="宋体" w:hAnsi="宋体" w:cs="宋体" w:eastAsia="宋体" w:hint="default"/>
                <w:sz w:val="21"/>
                <w:szCs w:val="21"/>
              </w:rPr>
              <w:t>未来</w:t>
            </w:r>
            <w:r>
              <w:rPr>
                <w:rFonts w:ascii="宋体" w:hAnsi="宋体" w:cs="宋体" w:eastAsia="宋体" w:hint="default"/>
                <w:sz w:val="21"/>
                <w:szCs w:val="21"/>
              </w:rPr>
              <w:t>12</w:t>
            </w:r>
            <w:r>
              <w:rPr>
                <w:rFonts w:ascii="宋体" w:hAnsi="宋体" w:cs="宋体" w:eastAsia="宋体" w:hint="default"/>
                <w:sz w:val="21"/>
                <w:szCs w:val="21"/>
              </w:rPr>
              <w:t>个月预</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期信用损失</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9" w:right="0" w:firstLine="52"/>
              <w:jc w:val="left"/>
              <w:rPr>
                <w:rFonts w:ascii="宋体" w:hAnsi="宋体" w:cs="宋体" w:eastAsia="宋体" w:hint="default"/>
                <w:sz w:val="21"/>
                <w:szCs w:val="21"/>
              </w:rPr>
            </w:pPr>
            <w:r>
              <w:rPr>
                <w:rFonts w:ascii="宋体" w:hAnsi="宋体" w:cs="宋体" w:eastAsia="宋体" w:hint="default"/>
                <w:sz w:val="21"/>
                <w:szCs w:val="21"/>
              </w:rPr>
              <w:t>整个存续期预期信</w:t>
            </w:r>
          </w:p>
          <w:p>
            <w:pPr>
              <w:pStyle w:val="TableParagraph"/>
              <w:spacing w:line="240" w:lineRule="auto"/>
              <w:ind w:left="751" w:right="118" w:hanging="632"/>
              <w:jc w:val="left"/>
              <w:rPr>
                <w:rFonts w:ascii="宋体" w:hAnsi="宋体" w:cs="宋体" w:eastAsia="宋体" w:hint="default"/>
                <w:sz w:val="21"/>
                <w:szCs w:val="21"/>
              </w:rPr>
            </w:pPr>
            <w:r>
              <w:rPr>
                <w:rFonts w:ascii="宋体" w:hAnsi="宋体" w:cs="宋体" w:eastAsia="宋体" w:hint="default"/>
                <w:sz w:val="21"/>
                <w:szCs w:val="21"/>
              </w:rPr>
              <w:t>用损失</w:t>
            </w:r>
            <w:r>
              <w:rPr>
                <w:rFonts w:ascii="宋体" w:hAnsi="宋体" w:cs="宋体" w:eastAsia="宋体" w:hint="default"/>
                <w:sz w:val="21"/>
                <w:szCs w:val="21"/>
              </w:rPr>
              <w:t>(</w:t>
            </w:r>
            <w:r>
              <w:rPr>
                <w:rFonts w:ascii="宋体" w:hAnsi="宋体" w:cs="宋体" w:eastAsia="宋体" w:hint="default"/>
                <w:sz w:val="21"/>
                <w:szCs w:val="21"/>
              </w:rPr>
              <w:t>未发生信用</w:t>
            </w:r>
            <w:r>
              <w:rPr>
                <w:rFonts w:ascii="宋体" w:hAnsi="宋体" w:cs="宋体" w:eastAsia="宋体" w:hint="default"/>
                <w:w w:val="100"/>
                <w:sz w:val="21"/>
                <w:szCs w:val="21"/>
              </w:rPr>
              <w:t> </w:t>
            </w:r>
            <w:r>
              <w:rPr>
                <w:rFonts w:ascii="宋体" w:hAnsi="宋体" w:cs="宋体" w:eastAsia="宋体" w:hint="default"/>
                <w:sz w:val="21"/>
                <w:szCs w:val="21"/>
              </w:rPr>
              <w:t>减值</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9" w:right="0" w:firstLine="52"/>
              <w:jc w:val="left"/>
              <w:rPr>
                <w:rFonts w:ascii="宋体" w:hAnsi="宋体" w:cs="宋体" w:eastAsia="宋体" w:hint="default"/>
                <w:sz w:val="21"/>
                <w:szCs w:val="21"/>
              </w:rPr>
            </w:pPr>
            <w:r>
              <w:rPr>
                <w:rFonts w:ascii="宋体" w:hAnsi="宋体" w:cs="宋体" w:eastAsia="宋体" w:hint="default"/>
                <w:sz w:val="21"/>
                <w:szCs w:val="21"/>
              </w:rPr>
              <w:t>整个存续期预期信</w:t>
            </w:r>
          </w:p>
          <w:p>
            <w:pPr>
              <w:pStyle w:val="TableParagraph"/>
              <w:spacing w:line="240" w:lineRule="auto"/>
              <w:ind w:left="751" w:right="117" w:hanging="632"/>
              <w:jc w:val="left"/>
              <w:rPr>
                <w:rFonts w:ascii="宋体" w:hAnsi="宋体" w:cs="宋体" w:eastAsia="宋体" w:hint="default"/>
                <w:sz w:val="21"/>
                <w:szCs w:val="21"/>
              </w:rPr>
            </w:pPr>
            <w:r>
              <w:rPr>
                <w:rFonts w:ascii="宋体" w:hAnsi="宋体" w:cs="宋体" w:eastAsia="宋体" w:hint="default"/>
                <w:sz w:val="21"/>
                <w:szCs w:val="21"/>
              </w:rPr>
              <w:t>用损失</w:t>
            </w:r>
            <w:r>
              <w:rPr>
                <w:rFonts w:ascii="宋体" w:hAnsi="宋体" w:cs="宋体" w:eastAsia="宋体" w:hint="default"/>
                <w:sz w:val="21"/>
                <w:szCs w:val="21"/>
              </w:rPr>
              <w:t>(</w:t>
            </w:r>
            <w:r>
              <w:rPr>
                <w:rFonts w:ascii="宋体" w:hAnsi="宋体" w:cs="宋体" w:eastAsia="宋体" w:hint="default"/>
                <w:sz w:val="21"/>
                <w:szCs w:val="21"/>
              </w:rPr>
              <w:t>已发生信用</w:t>
            </w:r>
            <w:r>
              <w:rPr>
                <w:rFonts w:ascii="宋体" w:hAnsi="宋体" w:cs="宋体" w:eastAsia="宋体" w:hint="default"/>
                <w:w w:val="100"/>
                <w:sz w:val="21"/>
                <w:szCs w:val="21"/>
              </w:rPr>
              <w:t> </w:t>
            </w:r>
            <w:r>
              <w:rPr>
                <w:rFonts w:ascii="宋体" w:hAnsi="宋体" w:cs="宋体" w:eastAsia="宋体" w:hint="default"/>
                <w:sz w:val="21"/>
                <w:szCs w:val="21"/>
              </w:rPr>
              <w:t>减值</w:t>
            </w:r>
            <w:r>
              <w:rPr>
                <w:rFonts w:ascii="宋体" w:hAnsi="宋体" w:cs="宋体" w:eastAsia="宋体" w:hint="default"/>
                <w:sz w:val="21"/>
                <w:szCs w:val="21"/>
              </w:rPr>
              <w:t>) </w:t>
            </w:r>
          </w:p>
        </w:tc>
        <w:tc>
          <w:tcPr>
            <w:tcW w:w="1750" w:type="dxa"/>
            <w:vMerge/>
            <w:tcBorders>
              <w:left w:val="single" w:sz="4" w:space="0" w:color="000000"/>
              <w:bottom w:val="single" w:sz="4" w:space="0" w:color="000000"/>
              <w:right w:val="single" w:sz="4" w:space="0" w:color="000000"/>
            </w:tcBorders>
          </w:tcPr>
          <w:p>
            <w:pPr/>
          </w:p>
        </w:tc>
      </w:tr>
      <w:tr>
        <w:trPr>
          <w:trHeight w:val="554" w:hRule="exact"/>
        </w:trPr>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75"/>
                <w:sz w:val="21"/>
                <w:szCs w:val="21"/>
              </w:rPr>
              <w:t> </w:t>
            </w:r>
            <w:r>
              <w:rPr>
                <w:rFonts w:ascii="宋体" w:hAnsi="宋体" w:cs="宋体" w:eastAsia="宋体" w:hint="default"/>
                <w:sz w:val="21"/>
                <w:szCs w:val="21"/>
              </w:rPr>
              <w:t>年</w:t>
            </w:r>
            <w:r>
              <w:rPr>
                <w:rFonts w:ascii="宋体" w:hAnsi="宋体" w:cs="宋体" w:eastAsia="宋体" w:hint="default"/>
                <w:spacing w:val="-75"/>
                <w:sz w:val="21"/>
                <w:szCs w:val="21"/>
              </w:rPr>
              <w:t> </w:t>
            </w:r>
            <w:r>
              <w:rPr>
                <w:rFonts w:ascii="宋体" w:hAnsi="宋体" w:cs="宋体" w:eastAsia="宋体" w:hint="default"/>
                <w:sz w:val="21"/>
                <w:szCs w:val="21"/>
              </w:rPr>
              <w:t>1</w:t>
            </w:r>
            <w:r>
              <w:rPr>
                <w:rFonts w:ascii="宋体" w:hAnsi="宋体" w:cs="宋体" w:eastAsia="宋体" w:hint="default"/>
                <w:spacing w:val="-78"/>
                <w:sz w:val="21"/>
                <w:szCs w:val="21"/>
              </w:rPr>
              <w:t> </w:t>
            </w:r>
            <w:r>
              <w:rPr>
                <w:rFonts w:ascii="宋体" w:hAnsi="宋体" w:cs="宋体" w:eastAsia="宋体" w:hint="default"/>
                <w:sz w:val="21"/>
                <w:szCs w:val="21"/>
              </w:rPr>
              <w:t>月</w:t>
            </w:r>
            <w:r>
              <w:rPr>
                <w:rFonts w:ascii="宋体" w:hAnsi="宋体" w:cs="宋体" w:eastAsia="宋体" w:hint="default"/>
                <w:spacing w:val="-75"/>
                <w:sz w:val="21"/>
                <w:szCs w:val="21"/>
              </w:rPr>
              <w:t> </w:t>
            </w:r>
            <w:r>
              <w:rPr>
                <w:rFonts w:ascii="宋体" w:hAnsi="宋体" w:cs="宋体" w:eastAsia="宋体" w:hint="default"/>
                <w:sz w:val="21"/>
                <w:szCs w:val="21"/>
              </w:rPr>
              <w:t>1</w:t>
            </w:r>
            <w:r>
              <w:rPr>
                <w:rFonts w:ascii="宋体" w:hAnsi="宋体" w:cs="宋体" w:eastAsia="宋体" w:hint="default"/>
                <w:spacing w:val="-75"/>
                <w:sz w:val="21"/>
                <w:szCs w:val="21"/>
              </w:rPr>
              <w:t> </w:t>
            </w:r>
            <w:r>
              <w:rPr>
                <w:rFonts w:ascii="宋体" w:hAnsi="宋体" w:cs="宋体" w:eastAsia="宋体" w:hint="default"/>
                <w:spacing w:val="12"/>
                <w:sz w:val="21"/>
                <w:szCs w:val="21"/>
              </w:rPr>
              <w:t>日余</w:t>
            </w:r>
            <w:r>
              <w:rPr>
                <w:rFonts w:ascii="宋体" w:hAnsi="宋体" w:cs="宋体" w:eastAsia="宋体" w:hint="default"/>
                <w:spacing w:val="-79"/>
                <w:sz w:val="21"/>
                <w:szCs w:val="21"/>
              </w:rPr>
              <w:t> </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额</w:t>
            </w:r>
            <w:r>
              <w:rPr>
                <w:rFonts w:ascii="宋体" w:hAnsi="宋体" w:cs="宋体" w:eastAsia="宋体" w:hint="default"/>
                <w:sz w:val="21"/>
                <w:szCs w:val="21"/>
              </w:rPr>
              <w:t> </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36" w:right="-3"/>
              <w:jc w:val="left"/>
              <w:rPr>
                <w:rFonts w:ascii="宋体" w:hAnsi="宋体" w:cs="宋体" w:eastAsia="宋体" w:hint="default"/>
                <w:sz w:val="21"/>
                <w:szCs w:val="21"/>
              </w:rPr>
            </w:pPr>
            <w:r>
              <w:rPr>
                <w:rFonts w:ascii="宋体"/>
                <w:sz w:val="21"/>
              </w:rPr>
              <w:t>990,961.02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64" w:right="-3"/>
              <w:jc w:val="left"/>
              <w:rPr>
                <w:rFonts w:ascii="宋体" w:hAnsi="宋体" w:cs="宋体" w:eastAsia="宋体" w:hint="default"/>
                <w:sz w:val="21"/>
                <w:szCs w:val="21"/>
              </w:rPr>
            </w:pPr>
            <w:r>
              <w:rPr>
                <w:rFonts w:ascii="宋体"/>
                <w:sz w:val="21"/>
              </w:rPr>
              <w:t>1,102,805.40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64" w:right="-3"/>
              <w:jc w:val="left"/>
              <w:rPr>
                <w:rFonts w:ascii="宋体" w:hAnsi="宋体" w:cs="宋体" w:eastAsia="宋体" w:hint="default"/>
                <w:sz w:val="21"/>
                <w:szCs w:val="21"/>
              </w:rPr>
            </w:pPr>
            <w:r>
              <w:rPr>
                <w:rFonts w:ascii="宋体"/>
                <w:sz w:val="21"/>
              </w:rPr>
              <w:t>1,415,579.64 </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77" w:right="-3"/>
              <w:jc w:val="left"/>
              <w:rPr>
                <w:rFonts w:ascii="宋体" w:hAnsi="宋体" w:cs="宋体" w:eastAsia="宋体" w:hint="default"/>
                <w:sz w:val="21"/>
                <w:szCs w:val="21"/>
              </w:rPr>
            </w:pPr>
            <w:r>
              <w:rPr>
                <w:rFonts w:ascii="宋体"/>
                <w:sz w:val="21"/>
              </w:rPr>
              <w:t>3,509,346.06 </w:t>
            </w:r>
          </w:p>
        </w:tc>
      </w:tr>
    </w:tbl>
    <w:p>
      <w:pPr>
        <w:spacing w:after="0" w:line="240" w:lineRule="auto"/>
        <w:jc w:val="left"/>
        <w:rPr>
          <w:rFonts w:ascii="宋体" w:hAnsi="宋体" w:cs="宋体" w:eastAsia="宋体" w:hint="default"/>
          <w:sz w:val="21"/>
          <w:szCs w:val="21"/>
        </w:rPr>
        <w:sectPr>
          <w:type w:val="continuous"/>
          <w:pgSz w:w="11910" w:h="16840"/>
          <w:pgMar w:top="1580" w:bottom="280" w:left="900" w:right="1180"/>
        </w:sectPr>
      </w:pPr>
    </w:p>
    <w:p>
      <w:pPr>
        <w:spacing w:line="240" w:lineRule="auto" w:before="4"/>
        <w:rPr>
          <w:rFonts w:ascii="宋体" w:hAnsi="宋体" w:cs="宋体" w:eastAsia="宋体" w:hint="default"/>
          <w:sz w:val="29"/>
          <w:szCs w:val="29"/>
        </w:rPr>
      </w:pPr>
    </w:p>
    <w:tbl>
      <w:tblPr>
        <w:tblW w:w="0" w:type="auto"/>
        <w:jc w:val="left"/>
        <w:tblInd w:w="846" w:type="dxa"/>
        <w:tblLayout w:type="fixed"/>
        <w:tblCellMar>
          <w:top w:w="0" w:type="dxa"/>
          <w:left w:w="0" w:type="dxa"/>
          <w:bottom w:w="0" w:type="dxa"/>
          <w:right w:w="0" w:type="dxa"/>
        </w:tblCellMar>
        <w:tblLook w:val="01E0"/>
      </w:tblPr>
      <w:tblGrid>
        <w:gridCol w:w="1860"/>
        <w:gridCol w:w="1601"/>
        <w:gridCol w:w="2038"/>
        <w:gridCol w:w="2038"/>
        <w:gridCol w:w="1750"/>
      </w:tblGrid>
      <w:tr>
        <w:trPr>
          <w:trHeight w:val="557" w:hRule="exact"/>
        </w:trPr>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75"/>
                <w:sz w:val="21"/>
                <w:szCs w:val="21"/>
              </w:rPr>
              <w:t> </w:t>
            </w:r>
            <w:r>
              <w:rPr>
                <w:rFonts w:ascii="宋体" w:hAnsi="宋体" w:cs="宋体" w:eastAsia="宋体" w:hint="default"/>
                <w:sz w:val="21"/>
                <w:szCs w:val="21"/>
              </w:rPr>
              <w:t>年</w:t>
            </w:r>
            <w:r>
              <w:rPr>
                <w:rFonts w:ascii="宋体" w:hAnsi="宋体" w:cs="宋体" w:eastAsia="宋体" w:hint="default"/>
                <w:spacing w:val="-75"/>
                <w:sz w:val="21"/>
                <w:szCs w:val="21"/>
              </w:rPr>
              <w:t> </w:t>
            </w:r>
            <w:r>
              <w:rPr>
                <w:rFonts w:ascii="宋体" w:hAnsi="宋体" w:cs="宋体" w:eastAsia="宋体" w:hint="default"/>
                <w:sz w:val="21"/>
                <w:szCs w:val="21"/>
              </w:rPr>
              <w:t>1</w:t>
            </w:r>
            <w:r>
              <w:rPr>
                <w:rFonts w:ascii="宋体" w:hAnsi="宋体" w:cs="宋体" w:eastAsia="宋体" w:hint="default"/>
                <w:spacing w:val="-78"/>
                <w:sz w:val="21"/>
                <w:szCs w:val="21"/>
              </w:rPr>
              <w:t> </w:t>
            </w:r>
            <w:r>
              <w:rPr>
                <w:rFonts w:ascii="宋体" w:hAnsi="宋体" w:cs="宋体" w:eastAsia="宋体" w:hint="default"/>
                <w:sz w:val="21"/>
                <w:szCs w:val="21"/>
              </w:rPr>
              <w:t>月</w:t>
            </w:r>
            <w:r>
              <w:rPr>
                <w:rFonts w:ascii="宋体" w:hAnsi="宋体" w:cs="宋体" w:eastAsia="宋体" w:hint="default"/>
                <w:spacing w:val="-75"/>
                <w:sz w:val="21"/>
                <w:szCs w:val="21"/>
              </w:rPr>
              <w:t> </w:t>
            </w:r>
            <w:r>
              <w:rPr>
                <w:rFonts w:ascii="宋体" w:hAnsi="宋体" w:cs="宋体" w:eastAsia="宋体" w:hint="default"/>
                <w:sz w:val="21"/>
                <w:szCs w:val="21"/>
              </w:rPr>
              <w:t>1</w:t>
            </w:r>
            <w:r>
              <w:rPr>
                <w:rFonts w:ascii="宋体" w:hAnsi="宋体" w:cs="宋体" w:eastAsia="宋体" w:hint="default"/>
                <w:spacing w:val="-75"/>
                <w:sz w:val="21"/>
                <w:szCs w:val="21"/>
              </w:rPr>
              <w:t> </w:t>
            </w:r>
            <w:r>
              <w:rPr>
                <w:rFonts w:ascii="宋体" w:hAnsi="宋体" w:cs="宋体" w:eastAsia="宋体" w:hint="default"/>
                <w:spacing w:val="12"/>
                <w:sz w:val="21"/>
                <w:szCs w:val="21"/>
              </w:rPr>
              <w:t>日余</w:t>
            </w:r>
            <w:r>
              <w:rPr>
                <w:rFonts w:ascii="宋体" w:hAnsi="宋体" w:cs="宋体" w:eastAsia="宋体" w:hint="default"/>
                <w:spacing w:val="-79"/>
                <w:sz w:val="21"/>
                <w:szCs w:val="21"/>
              </w:rPr>
              <w:t> </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额在本期</w:t>
            </w:r>
            <w:r>
              <w:rPr>
                <w:rFonts w:ascii="宋体" w:hAnsi="宋体" w:cs="宋体" w:eastAsia="宋体" w:hint="default"/>
                <w:sz w:val="21"/>
                <w:szCs w:val="21"/>
              </w:rPr>
              <w:t> </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right"/>
              <w:rPr>
                <w:rFonts w:ascii="宋体" w:hAnsi="宋体" w:cs="宋体" w:eastAsia="宋体" w:hint="default"/>
                <w:sz w:val="21"/>
                <w:szCs w:val="21"/>
              </w:rPr>
            </w:pPr>
            <w:r>
              <w:rPr>
                <w:rFonts w:ascii="宋体"/>
                <w:w w:val="100"/>
                <w:sz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right"/>
              <w:rPr>
                <w:rFonts w:ascii="宋体" w:hAnsi="宋体" w:cs="宋体" w:eastAsia="宋体" w:hint="default"/>
                <w:sz w:val="21"/>
                <w:szCs w:val="21"/>
              </w:rPr>
            </w:pPr>
            <w:r>
              <w:rPr>
                <w:rFonts w:ascii="宋体"/>
                <w:w w:val="100"/>
                <w:sz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right"/>
              <w:rPr>
                <w:rFonts w:ascii="宋体" w:hAnsi="宋体" w:cs="宋体" w:eastAsia="宋体" w:hint="default"/>
                <w:sz w:val="21"/>
                <w:szCs w:val="21"/>
              </w:rPr>
            </w:pPr>
            <w:r>
              <w:rPr>
                <w:rFonts w:ascii="宋体"/>
                <w:w w:val="100"/>
                <w:sz w:val="21"/>
              </w:rPr>
              <w:t> </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right"/>
              <w:rPr>
                <w:rFonts w:ascii="宋体" w:hAnsi="宋体" w:cs="宋体" w:eastAsia="宋体" w:hint="default"/>
                <w:sz w:val="21"/>
                <w:szCs w:val="21"/>
              </w:rPr>
            </w:pPr>
            <w:r>
              <w:rPr>
                <w:rFonts w:ascii="宋体"/>
                <w:w w:val="100"/>
                <w:sz w:val="21"/>
              </w:rPr>
              <w:t> </w:t>
            </w:r>
          </w:p>
        </w:tc>
      </w:tr>
      <w:tr>
        <w:trPr>
          <w:trHeight w:val="281" w:hRule="exact"/>
        </w:trPr>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转入第二阶段</w:t>
            </w:r>
            <w:r>
              <w:rPr>
                <w:rFonts w:ascii="宋体" w:hAnsi="宋体" w:cs="宋体" w:eastAsia="宋体" w:hint="default"/>
                <w:sz w:val="21"/>
                <w:szCs w:val="21"/>
              </w:rPr>
              <w:t> </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-68,132.75</w:t>
            </w:r>
            <w:r>
              <w:rPr>
                <w:rFonts w:ascii="宋体"/>
                <w:sz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68,132.75</w:t>
            </w:r>
            <w:r>
              <w:rPr>
                <w:rFonts w:ascii="宋体"/>
                <w:sz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转入第三阶段</w:t>
            </w:r>
            <w:r>
              <w:rPr>
                <w:rFonts w:ascii="宋体" w:hAnsi="宋体" w:cs="宋体" w:eastAsia="宋体" w:hint="default"/>
                <w:sz w:val="21"/>
                <w:szCs w:val="21"/>
              </w:rPr>
              <w:t> </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转回第二阶段</w:t>
            </w:r>
            <w:r>
              <w:rPr>
                <w:rFonts w:ascii="宋体" w:hAnsi="宋体" w:cs="宋体" w:eastAsia="宋体" w:hint="default"/>
                <w:sz w:val="21"/>
                <w:szCs w:val="21"/>
              </w:rPr>
              <w:t> </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转回第一阶段</w:t>
            </w:r>
            <w:r>
              <w:rPr>
                <w:rFonts w:ascii="宋体" w:hAnsi="宋体" w:cs="宋体" w:eastAsia="宋体" w:hint="default"/>
                <w:sz w:val="21"/>
                <w:szCs w:val="21"/>
              </w:rPr>
              <w:t> </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本期计提</w:t>
            </w:r>
            <w:r>
              <w:rPr>
                <w:rFonts w:ascii="宋体" w:hAnsi="宋体" w:cs="宋体" w:eastAsia="宋体" w:hint="default"/>
                <w:sz w:val="21"/>
                <w:szCs w:val="21"/>
              </w:rPr>
              <w:t> </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659,086.90</w:t>
            </w:r>
            <w:r>
              <w:rPr>
                <w:rFonts w:ascii="宋体"/>
                <w:sz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302,133.75</w:t>
            </w:r>
            <w:r>
              <w:rPr>
                <w:rFonts w:ascii="宋体"/>
                <w:sz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961,220.65</w:t>
            </w:r>
            <w:r>
              <w:rPr>
                <w:rFonts w:ascii="宋体"/>
                <w:sz w:val="21"/>
              </w:rPr>
              <w:t> </w:t>
            </w:r>
          </w:p>
        </w:tc>
      </w:tr>
      <w:tr>
        <w:trPr>
          <w:trHeight w:val="281" w:hRule="exact"/>
        </w:trPr>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本期转回</w:t>
            </w:r>
            <w:r>
              <w:rPr>
                <w:rFonts w:ascii="宋体" w:hAnsi="宋体" w:cs="宋体" w:eastAsia="宋体" w:hint="default"/>
                <w:sz w:val="21"/>
                <w:szCs w:val="21"/>
              </w:rPr>
              <w:t> </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本期转销</w:t>
            </w:r>
            <w:r>
              <w:rPr>
                <w:rFonts w:ascii="宋体" w:hAnsi="宋体" w:cs="宋体" w:eastAsia="宋体" w:hint="default"/>
                <w:sz w:val="21"/>
                <w:szCs w:val="21"/>
              </w:rPr>
              <w:t> </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-902,504.57</w:t>
            </w:r>
            <w:r>
              <w:rPr>
                <w:rFonts w:ascii="宋体"/>
                <w:sz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-47,609.02</w:t>
            </w:r>
            <w:r>
              <w:rPr>
                <w:rFonts w:ascii="宋体"/>
                <w:sz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-950,113.59</w:t>
            </w:r>
            <w:r>
              <w:rPr>
                <w:rFonts w:ascii="宋体"/>
                <w:sz w:val="21"/>
              </w:rPr>
              <w:t> </w:t>
            </w:r>
          </w:p>
        </w:tc>
      </w:tr>
      <w:tr>
        <w:trPr>
          <w:trHeight w:val="283" w:hRule="exact"/>
        </w:trPr>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本期核销</w:t>
            </w:r>
            <w:r>
              <w:rPr>
                <w:rFonts w:ascii="宋体" w:hAnsi="宋体" w:cs="宋体" w:eastAsia="宋体" w:hint="default"/>
                <w:sz w:val="21"/>
                <w:szCs w:val="21"/>
              </w:rPr>
              <w:t> </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其他变动</w:t>
            </w:r>
            <w:r>
              <w:rPr>
                <w:rFonts w:ascii="宋体" w:hAnsi="宋体" w:cs="宋体" w:eastAsia="宋体" w:hint="default"/>
                <w:sz w:val="21"/>
                <w:szCs w:val="21"/>
              </w:rPr>
              <w:t> </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7" w:hRule="exact"/>
        </w:trPr>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z w:val="21"/>
                <w:szCs w:val="21"/>
              </w:rPr>
              <w:t>年</w:t>
            </w:r>
            <w:r>
              <w:rPr>
                <w:rFonts w:ascii="宋体" w:hAnsi="宋体" w:cs="宋体" w:eastAsia="宋体" w:hint="default"/>
                <w:sz w:val="21"/>
                <w:szCs w:val="21"/>
              </w:rPr>
              <w:t>12</w:t>
            </w:r>
            <w:r>
              <w:rPr>
                <w:rFonts w:ascii="宋体" w:hAnsi="宋体" w:cs="宋体" w:eastAsia="宋体" w:hint="default"/>
                <w:sz w:val="21"/>
                <w:szCs w:val="21"/>
              </w:rPr>
              <w:t>月</w:t>
            </w:r>
            <w:r>
              <w:rPr>
                <w:rFonts w:ascii="宋体" w:hAnsi="宋体" w:cs="宋体" w:eastAsia="宋体" w:hint="default"/>
                <w:sz w:val="21"/>
                <w:szCs w:val="21"/>
              </w:rPr>
              <w:t>31</w:t>
            </w:r>
            <w:r>
              <w:rPr>
                <w:rFonts w:ascii="宋体" w:hAnsi="宋体" w:cs="宋体" w:eastAsia="宋体" w:hint="default"/>
                <w:sz w:val="21"/>
                <w:szCs w:val="21"/>
              </w:rPr>
              <w:t>日</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余额</w:t>
            </w:r>
            <w:r>
              <w:rPr>
                <w:rFonts w:ascii="宋体" w:hAnsi="宋体" w:cs="宋体" w:eastAsia="宋体" w:hint="default"/>
                <w:sz w:val="21"/>
                <w:szCs w:val="21"/>
              </w:rPr>
              <w:t> </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679,410.60</w:t>
            </w:r>
            <w:r>
              <w:rPr>
                <w:rFonts w:ascii="宋体"/>
                <w:sz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1,425,462.88</w:t>
            </w:r>
            <w:r>
              <w:rPr>
                <w:rFonts w:ascii="宋体"/>
                <w:sz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1,415,579.64</w:t>
            </w:r>
            <w:r>
              <w:rPr>
                <w:rFonts w:ascii="宋体"/>
                <w:sz w:val="21"/>
              </w:rPr>
              <w:t> </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3,520,453.12</w:t>
            </w:r>
            <w:r>
              <w:rPr>
                <w:rFonts w:ascii="宋体"/>
                <w:sz w:val="21"/>
              </w:rPr>
              <w:t> </w:t>
            </w:r>
          </w:p>
        </w:tc>
      </w:tr>
    </w:tbl>
    <w:p>
      <w:pPr>
        <w:pStyle w:val="Heading2"/>
        <w:spacing w:line="274" w:lineRule="exact"/>
        <w:ind w:left="958" w:right="0"/>
        <w:jc w:val="left"/>
        <w:rPr>
          <w:rFonts w:ascii="宋体" w:hAnsi="宋体" w:cs="宋体" w:eastAsia="宋体" w:hint="default"/>
        </w:rPr>
      </w:pPr>
      <w:r>
        <w:rPr>
          <w:rFonts w:ascii="宋体"/>
        </w:rPr>
        <w:t> </w:t>
      </w:r>
    </w:p>
    <w:p>
      <w:pPr>
        <w:pStyle w:val="BodyText"/>
        <w:spacing w:line="271" w:lineRule="exact" w:before="1"/>
        <w:ind w:left="958" w:right="0"/>
        <w:jc w:val="left"/>
      </w:pPr>
      <w:r>
        <w:rPr/>
        <w:t>对本期发生损失准备变动的其他应收款账面余额显著变动的情况说明：</w:t>
      </w:r>
    </w:p>
    <w:p>
      <w:pPr>
        <w:pStyle w:val="Heading2"/>
        <w:spacing w:line="308" w:lineRule="exact"/>
        <w:ind w:left="958"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2"/>
        <w:spacing w:line="312" w:lineRule="exact" w:before="28"/>
        <w:ind w:left="958" w:right="0"/>
        <w:jc w:val="left"/>
        <w:rPr>
          <w:rFonts w:ascii="宋体" w:hAnsi="宋体" w:cs="宋体" w:eastAsia="宋体" w:hint="default"/>
        </w:rPr>
      </w:pPr>
      <w:r>
        <w:rPr>
          <w:rFonts w:ascii="宋体" w:hAnsi="宋体" w:cs="宋体" w:eastAsia="宋体" w:hint="default"/>
        </w:rPr>
        <w:t>  </w:t>
      </w:r>
      <w:r>
        <w:rPr/>
        <w:t>本期坏账准备计提金额以及评估金融工具的信用风险是否显著增加的采用依据</w:t>
      </w:r>
      <w:r>
        <w:rPr>
          <w:spacing w:val="1"/>
        </w:rPr>
        <w:t>：</w:t>
      </w:r>
      <w:r>
        <w:rPr>
          <w:rFonts w:ascii="宋体" w:hAnsi="宋体" w:cs="宋体" w:eastAsia="宋体" w:hint="default"/>
        </w:rPr>
        <w:t> </w:t>
      </w:r>
    </w:p>
    <w:p>
      <w:pPr>
        <w:pStyle w:val="Heading2"/>
        <w:spacing w:line="282" w:lineRule="exact"/>
        <w:ind w:left="958"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2"/>
        <w:spacing w:line="313" w:lineRule="exact"/>
        <w:ind w:left="958" w:right="0"/>
        <w:jc w:val="left"/>
        <w:rPr>
          <w:rFonts w:ascii="宋体" w:hAnsi="宋体" w:cs="宋体" w:eastAsia="宋体" w:hint="default"/>
        </w:rPr>
      </w:pPr>
      <w:r>
        <w:rPr>
          <w:rFonts w:ascii="宋体"/>
        </w:rPr>
        <w:t> </w:t>
      </w:r>
    </w:p>
    <w:p>
      <w:pPr>
        <w:pStyle w:val="Heading3"/>
        <w:spacing w:line="240" w:lineRule="auto" w:before="61"/>
        <w:ind w:left="958" w:right="0"/>
        <w:jc w:val="left"/>
        <w:rPr>
          <w:rFonts w:ascii="宋体" w:hAnsi="宋体" w:cs="宋体" w:eastAsia="宋体" w:hint="default"/>
          <w:b w:val="0"/>
          <w:bCs w:val="0"/>
        </w:rPr>
      </w:pPr>
      <w:r>
        <w:rPr>
          <w:rFonts w:ascii="宋体" w:hAnsi="宋体" w:cs="宋体" w:eastAsia="宋体" w:hint="default"/>
        </w:rPr>
        <w:t>(4).</w:t>
      </w:r>
      <w:r>
        <w:rPr>
          <w:rFonts w:ascii="宋体" w:hAnsi="宋体" w:cs="宋体" w:eastAsia="宋体" w:hint="default"/>
          <w:spacing w:val="-2"/>
        </w:rPr>
        <w:t> </w:t>
      </w:r>
      <w:r>
        <w:rPr/>
        <w:t>坏账准备的情况</w:t>
      </w:r>
      <w:r>
        <w:rPr>
          <w:rFonts w:ascii="宋体" w:hAnsi="宋体" w:cs="宋体" w:eastAsia="宋体" w:hint="default"/>
          <w:w w:val="99"/>
        </w:rPr>
        <w:t> </w:t>
      </w:r>
      <w:r>
        <w:rPr>
          <w:rFonts w:ascii="宋体" w:hAnsi="宋体" w:cs="宋体" w:eastAsia="宋体" w:hint="default"/>
          <w:b w:val="0"/>
          <w:bCs w:val="0"/>
        </w:rPr>
      </w:r>
    </w:p>
    <w:p>
      <w:pPr>
        <w:pStyle w:val="Heading2"/>
        <w:spacing w:line="240" w:lineRule="auto" w:before="52"/>
        <w:ind w:left="958"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BodyText"/>
        <w:spacing w:line="240" w:lineRule="auto" w:before="1"/>
        <w:ind w:left="0" w:right="951"/>
        <w:jc w:val="right"/>
      </w:pPr>
      <w:r>
        <w:rPr>
          <w:spacing w:val="-2"/>
        </w:rPr>
        <w:t>单位：元币种：人民币</w:t>
      </w:r>
    </w:p>
    <w:p>
      <w:pPr>
        <w:spacing w:line="240" w:lineRule="auto" w:before="7"/>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1347"/>
        <w:gridCol w:w="1942"/>
        <w:gridCol w:w="2072"/>
        <w:gridCol w:w="1882"/>
        <w:gridCol w:w="881"/>
        <w:gridCol w:w="841"/>
        <w:gridCol w:w="1793"/>
      </w:tblGrid>
      <w:tr>
        <w:trPr>
          <w:trHeight w:val="281" w:hRule="exact"/>
        </w:trPr>
        <w:tc>
          <w:tcPr>
            <w:tcW w:w="1347"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5"/>
                <w:szCs w:val="25"/>
              </w:rPr>
            </w:pPr>
          </w:p>
          <w:p>
            <w:pPr>
              <w:pStyle w:val="TableParagraph"/>
              <w:spacing w:line="240" w:lineRule="auto"/>
              <w:ind w:left="458" w:right="0"/>
              <w:jc w:val="left"/>
              <w:rPr>
                <w:rFonts w:ascii="宋体" w:hAnsi="宋体" w:cs="宋体" w:eastAsia="宋体" w:hint="default"/>
                <w:sz w:val="21"/>
                <w:szCs w:val="21"/>
              </w:rPr>
            </w:pPr>
            <w:r>
              <w:rPr>
                <w:rFonts w:ascii="宋体" w:hAnsi="宋体" w:cs="宋体" w:eastAsia="宋体" w:hint="default"/>
                <w:sz w:val="21"/>
                <w:szCs w:val="21"/>
              </w:rPr>
              <w:t>类别</w:t>
            </w:r>
            <w:r>
              <w:rPr>
                <w:rFonts w:ascii="宋体" w:hAnsi="宋体" w:cs="宋体" w:eastAsia="宋体" w:hint="default"/>
                <w:sz w:val="21"/>
                <w:szCs w:val="21"/>
              </w:rPr>
              <w:t> </w:t>
            </w:r>
          </w:p>
        </w:tc>
        <w:tc>
          <w:tcPr>
            <w:tcW w:w="1942"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5"/>
                <w:szCs w:val="25"/>
              </w:rPr>
            </w:pPr>
          </w:p>
          <w:p>
            <w:pPr>
              <w:pStyle w:val="TableParagraph"/>
              <w:spacing w:line="240" w:lineRule="auto"/>
              <w:ind w:left="544"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5675"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本期变动金额</w:t>
            </w:r>
            <w:r>
              <w:rPr>
                <w:rFonts w:ascii="宋体" w:hAnsi="宋体" w:cs="宋体" w:eastAsia="宋体" w:hint="default"/>
                <w:sz w:val="21"/>
                <w:szCs w:val="21"/>
              </w:rPr>
              <w:t> </w:t>
            </w:r>
          </w:p>
        </w:tc>
        <w:tc>
          <w:tcPr>
            <w:tcW w:w="1793"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5"/>
                <w:szCs w:val="25"/>
              </w:rPr>
            </w:pPr>
          </w:p>
          <w:p>
            <w:pPr>
              <w:pStyle w:val="TableParagraph"/>
              <w:spacing w:line="240" w:lineRule="auto"/>
              <w:ind w:left="470"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740" w:hRule="exact"/>
        </w:trPr>
        <w:tc>
          <w:tcPr>
            <w:tcW w:w="1347" w:type="dxa"/>
            <w:vMerge/>
            <w:tcBorders>
              <w:left w:val="single" w:sz="4" w:space="0" w:color="000000"/>
              <w:bottom w:val="single" w:sz="4" w:space="0" w:color="000000"/>
              <w:right w:val="single" w:sz="4" w:space="0" w:color="000000"/>
            </w:tcBorders>
          </w:tcPr>
          <w:p>
            <w:pPr/>
          </w:p>
        </w:tc>
        <w:tc>
          <w:tcPr>
            <w:tcW w:w="1942" w:type="dxa"/>
            <w:vMerge/>
            <w:tcBorders>
              <w:left w:val="single" w:sz="4" w:space="0" w:color="000000"/>
              <w:bottom w:val="single" w:sz="4" w:space="0" w:color="000000"/>
              <w:right w:val="single" w:sz="4" w:space="0" w:color="000000"/>
            </w:tcBorders>
          </w:tcPr>
          <w:p>
            <w:pPr/>
          </w:p>
        </w:tc>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06" w:right="0"/>
              <w:jc w:val="center"/>
              <w:rPr>
                <w:rFonts w:ascii="宋体" w:hAnsi="宋体" w:cs="宋体" w:eastAsia="宋体" w:hint="default"/>
                <w:sz w:val="21"/>
                <w:szCs w:val="21"/>
              </w:rPr>
            </w:pPr>
            <w:r>
              <w:rPr>
                <w:rFonts w:ascii="宋体" w:hAnsi="宋体" w:cs="宋体" w:eastAsia="宋体" w:hint="default"/>
                <w:sz w:val="21"/>
                <w:szCs w:val="21"/>
              </w:rPr>
              <w:t>计提</w:t>
            </w:r>
            <w:r>
              <w:rPr>
                <w:rFonts w:ascii="宋体" w:hAnsi="宋体" w:cs="宋体" w:eastAsia="宋体" w:hint="default"/>
                <w:sz w:val="21"/>
                <w:szCs w:val="21"/>
              </w:rPr>
              <w:t> </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10" w:right="0"/>
              <w:jc w:val="left"/>
              <w:rPr>
                <w:rFonts w:ascii="宋体" w:hAnsi="宋体" w:cs="宋体" w:eastAsia="宋体" w:hint="default"/>
                <w:sz w:val="21"/>
                <w:szCs w:val="21"/>
              </w:rPr>
            </w:pPr>
            <w:r>
              <w:rPr>
                <w:rFonts w:ascii="宋体" w:hAnsi="宋体" w:cs="宋体" w:eastAsia="宋体" w:hint="default"/>
                <w:sz w:val="21"/>
                <w:szCs w:val="21"/>
              </w:rPr>
              <w:t>收回或转回</w:t>
            </w:r>
            <w:r>
              <w:rPr>
                <w:rFonts w:ascii="宋体" w:hAnsi="宋体" w:cs="宋体" w:eastAsia="宋体" w:hint="default"/>
                <w:sz w:val="21"/>
                <w:szCs w:val="21"/>
              </w:rPr>
              <w:t> </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87"/>
              <w:ind w:left="223" w:right="119" w:hanging="106"/>
              <w:jc w:val="left"/>
              <w:rPr>
                <w:rFonts w:ascii="宋体" w:hAnsi="宋体" w:cs="宋体" w:eastAsia="宋体" w:hint="default"/>
                <w:sz w:val="21"/>
                <w:szCs w:val="21"/>
              </w:rPr>
            </w:pPr>
            <w:r>
              <w:rPr>
                <w:rFonts w:ascii="宋体" w:hAnsi="宋体" w:cs="宋体" w:eastAsia="宋体" w:hint="default"/>
                <w:sz w:val="21"/>
                <w:szCs w:val="21"/>
              </w:rPr>
              <w:t>转销或</w:t>
            </w:r>
            <w:r>
              <w:rPr>
                <w:rFonts w:ascii="宋体" w:hAnsi="宋体" w:cs="宋体" w:eastAsia="宋体" w:hint="default"/>
                <w:spacing w:val="-102"/>
                <w:sz w:val="21"/>
                <w:szCs w:val="21"/>
              </w:rPr>
              <w:t> </w:t>
            </w:r>
            <w:r>
              <w:rPr>
                <w:rFonts w:ascii="宋体" w:hAnsi="宋体" w:cs="宋体" w:eastAsia="宋体" w:hint="default"/>
                <w:sz w:val="21"/>
                <w:szCs w:val="21"/>
              </w:rPr>
              <w:t>核销</w:t>
            </w:r>
            <w:r>
              <w:rPr>
                <w:rFonts w:ascii="宋体" w:hAnsi="宋体" w:cs="宋体" w:eastAsia="宋体" w:hint="default"/>
                <w:sz w:val="21"/>
                <w:szCs w:val="21"/>
              </w:rPr>
              <w:t> </w:t>
            </w:r>
          </w:p>
        </w:tc>
        <w:tc>
          <w:tcPr>
            <w:tcW w:w="84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87"/>
              <w:ind w:left="302"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pacing w:val="-103"/>
                <w:sz w:val="21"/>
                <w:szCs w:val="21"/>
              </w:rPr>
              <w:t> </w:t>
            </w:r>
            <w:r>
              <w:rPr>
                <w:rFonts w:ascii="宋体" w:hAnsi="宋体" w:cs="宋体" w:eastAsia="宋体" w:hint="default"/>
                <w:sz w:val="21"/>
                <w:szCs w:val="21"/>
              </w:rPr>
              <w:t>变动</w:t>
            </w:r>
            <w:r>
              <w:rPr>
                <w:rFonts w:ascii="宋体" w:hAnsi="宋体" w:cs="宋体" w:eastAsia="宋体" w:hint="default"/>
                <w:sz w:val="21"/>
                <w:szCs w:val="21"/>
              </w:rPr>
              <w:t> </w:t>
            </w:r>
          </w:p>
        </w:tc>
        <w:tc>
          <w:tcPr>
            <w:tcW w:w="1793" w:type="dxa"/>
            <w:vMerge/>
            <w:tcBorders>
              <w:left w:val="single" w:sz="4" w:space="0" w:color="000000"/>
              <w:bottom w:val="single" w:sz="4" w:space="0" w:color="000000"/>
              <w:right w:val="single" w:sz="4" w:space="0" w:color="000000"/>
            </w:tcBorders>
          </w:tcPr>
          <w:p>
            <w:pPr/>
          </w:p>
        </w:tc>
      </w:tr>
      <w:tr>
        <w:trPr>
          <w:trHeight w:val="281" w:hRule="exact"/>
        </w:trPr>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81"/>
              <w:jc w:val="right"/>
              <w:rPr>
                <w:rFonts w:ascii="宋体" w:hAnsi="宋体" w:cs="宋体" w:eastAsia="宋体" w:hint="default"/>
                <w:sz w:val="21"/>
                <w:szCs w:val="21"/>
              </w:rPr>
            </w:pPr>
            <w:r>
              <w:rPr>
                <w:rFonts w:ascii="宋体" w:hAnsi="宋体" w:cs="宋体" w:eastAsia="宋体" w:hint="default"/>
                <w:spacing w:val="-2"/>
                <w:sz w:val="21"/>
                <w:szCs w:val="21"/>
              </w:rPr>
              <w:t>账龄组合</w:t>
            </w:r>
            <w:r>
              <w:rPr>
                <w:rFonts w:ascii="宋体" w:hAnsi="宋体" w:cs="宋体" w:eastAsia="宋体" w:hint="default"/>
                <w:sz w:val="21"/>
                <w:szCs w:val="21"/>
              </w:rPr>
              <w:t> </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113,661,944.00</w:t>
            </w:r>
            <w:r>
              <w:rPr>
                <w:rFonts w:ascii="宋体"/>
                <w:sz w:val="21"/>
              </w:rPr>
              <w:t> </w:t>
            </w:r>
          </w:p>
        </w:tc>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113,661,944.00</w:t>
            </w:r>
            <w:r>
              <w:rPr>
                <w:rFonts w:ascii="宋体"/>
                <w:sz w:val="21"/>
              </w:rPr>
              <w:t> </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c>
          <w:tcPr>
            <w:tcW w:w="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r>
      <w:tr>
        <w:trPr>
          <w:trHeight w:val="554" w:hRule="exact"/>
        </w:trPr>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7" w:right="0"/>
              <w:jc w:val="left"/>
              <w:rPr>
                <w:rFonts w:ascii="宋体" w:hAnsi="宋体" w:cs="宋体" w:eastAsia="宋体" w:hint="default"/>
                <w:sz w:val="21"/>
                <w:szCs w:val="21"/>
              </w:rPr>
            </w:pPr>
            <w:r>
              <w:rPr>
                <w:rFonts w:ascii="宋体" w:hAnsi="宋体" w:cs="宋体" w:eastAsia="宋体" w:hint="default"/>
                <w:sz w:val="21"/>
                <w:szCs w:val="21"/>
              </w:rPr>
              <w:t>信用风险特</w:t>
            </w:r>
          </w:p>
          <w:p>
            <w:pPr>
              <w:pStyle w:val="TableParagraph"/>
              <w:spacing w:line="274" w:lineRule="exact"/>
              <w:ind w:left="107" w:right="0"/>
              <w:jc w:val="left"/>
              <w:rPr>
                <w:rFonts w:ascii="宋体" w:hAnsi="宋体" w:cs="宋体" w:eastAsia="宋体" w:hint="default"/>
                <w:sz w:val="21"/>
                <w:szCs w:val="21"/>
              </w:rPr>
            </w:pPr>
            <w:r>
              <w:rPr>
                <w:rFonts w:ascii="宋体" w:hAnsi="宋体" w:cs="宋体" w:eastAsia="宋体" w:hint="default"/>
                <w:sz w:val="21"/>
                <w:szCs w:val="21"/>
              </w:rPr>
              <w:t>征组合</w:t>
            </w:r>
            <w:r>
              <w:rPr>
                <w:rFonts w:ascii="宋体" w:hAnsi="宋体" w:cs="宋体" w:eastAsia="宋体" w:hint="default"/>
                <w:sz w:val="21"/>
                <w:szCs w:val="21"/>
              </w:rPr>
              <w:t> </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spacing w:val="-1"/>
                <w:sz w:val="21"/>
              </w:rPr>
              <w:t>3,509,346.06</w:t>
            </w:r>
            <w:r>
              <w:rPr>
                <w:rFonts w:ascii="宋体"/>
                <w:sz w:val="21"/>
              </w:rPr>
              <w:t> </w:t>
            </w:r>
          </w:p>
        </w:tc>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spacing w:val="-1"/>
                <w:sz w:val="21"/>
              </w:rPr>
              <w:t>11,107.06</w:t>
            </w:r>
            <w:r>
              <w:rPr>
                <w:rFonts w:ascii="宋体"/>
                <w:sz w:val="21"/>
              </w:rPr>
              <w:t> </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w w:val="100"/>
                <w:sz w:val="21"/>
              </w:rPr>
              <w:t> </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right"/>
              <w:rPr>
                <w:rFonts w:ascii="宋体" w:hAnsi="宋体" w:cs="宋体" w:eastAsia="宋体" w:hint="default"/>
                <w:sz w:val="21"/>
                <w:szCs w:val="21"/>
              </w:rPr>
            </w:pPr>
            <w:r>
              <w:rPr>
                <w:rFonts w:ascii="宋体"/>
                <w:w w:val="100"/>
                <w:sz w:val="21"/>
              </w:rPr>
              <w:t> </w:t>
            </w:r>
          </w:p>
        </w:tc>
        <w:tc>
          <w:tcPr>
            <w:tcW w:w="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w w:val="100"/>
                <w:sz w:val="21"/>
              </w:rPr>
              <w:t> </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spacing w:val="-1"/>
                <w:sz w:val="21"/>
              </w:rPr>
              <w:t>3,520,453.12</w:t>
            </w:r>
            <w:r>
              <w:rPr>
                <w:rFonts w:ascii="宋体"/>
                <w:sz w:val="21"/>
              </w:rPr>
              <w:t> </w:t>
            </w:r>
          </w:p>
        </w:tc>
      </w:tr>
      <w:tr>
        <w:trPr>
          <w:trHeight w:val="283" w:hRule="exact"/>
        </w:trPr>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50"/>
              <w:jc w:val="right"/>
              <w:rPr>
                <w:rFonts w:ascii="宋体" w:hAnsi="宋体" w:cs="宋体" w:eastAsia="宋体" w:hint="default"/>
                <w:sz w:val="21"/>
                <w:szCs w:val="21"/>
              </w:rPr>
            </w:pPr>
            <w:r>
              <w:rPr>
                <w:rFonts w:ascii="宋体" w:hAnsi="宋体" w:cs="宋体" w:eastAsia="宋体" w:hint="default"/>
                <w:spacing w:val="-1"/>
                <w:sz w:val="21"/>
                <w:szCs w:val="21"/>
              </w:rPr>
              <w:t>合计</w:t>
            </w:r>
            <w:r>
              <w:rPr>
                <w:rFonts w:ascii="宋体" w:hAnsi="宋体" w:cs="宋体" w:eastAsia="宋体" w:hint="default"/>
                <w:sz w:val="21"/>
                <w:szCs w:val="21"/>
              </w:rPr>
              <w:t> </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right"/>
              <w:rPr>
                <w:rFonts w:ascii="宋体" w:hAnsi="宋体" w:cs="宋体" w:eastAsia="宋体" w:hint="default"/>
                <w:sz w:val="21"/>
                <w:szCs w:val="21"/>
              </w:rPr>
            </w:pPr>
            <w:r>
              <w:rPr>
                <w:rFonts w:ascii="宋体"/>
                <w:spacing w:val="-1"/>
                <w:sz w:val="21"/>
              </w:rPr>
              <w:t>117,171,290.06</w:t>
            </w:r>
            <w:r>
              <w:rPr>
                <w:rFonts w:ascii="宋体"/>
                <w:sz w:val="21"/>
              </w:rPr>
              <w:t> </w:t>
            </w:r>
          </w:p>
        </w:tc>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right"/>
              <w:rPr>
                <w:rFonts w:ascii="宋体" w:hAnsi="宋体" w:cs="宋体" w:eastAsia="宋体" w:hint="default"/>
                <w:sz w:val="21"/>
                <w:szCs w:val="21"/>
              </w:rPr>
            </w:pPr>
            <w:r>
              <w:rPr>
                <w:rFonts w:ascii="宋体"/>
                <w:spacing w:val="-1"/>
                <w:sz w:val="21"/>
              </w:rPr>
              <w:t>11,107.06</w:t>
            </w:r>
            <w:r>
              <w:rPr>
                <w:rFonts w:ascii="宋体"/>
                <w:sz w:val="21"/>
              </w:rPr>
              <w:t> </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right"/>
              <w:rPr>
                <w:rFonts w:ascii="宋体" w:hAnsi="宋体" w:cs="宋体" w:eastAsia="宋体" w:hint="default"/>
                <w:sz w:val="21"/>
                <w:szCs w:val="21"/>
              </w:rPr>
            </w:pPr>
            <w:r>
              <w:rPr>
                <w:rFonts w:ascii="宋体"/>
                <w:spacing w:val="-1"/>
                <w:sz w:val="21"/>
              </w:rPr>
              <w:t>113,661,944.00</w:t>
            </w:r>
            <w:r>
              <w:rPr>
                <w:rFonts w:ascii="宋体"/>
                <w:sz w:val="21"/>
              </w:rPr>
              <w:t> </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right"/>
              <w:rPr>
                <w:rFonts w:ascii="宋体" w:hAnsi="宋体" w:cs="宋体" w:eastAsia="宋体" w:hint="default"/>
                <w:sz w:val="21"/>
                <w:szCs w:val="21"/>
              </w:rPr>
            </w:pPr>
            <w:r>
              <w:rPr>
                <w:rFonts w:ascii="宋体"/>
                <w:w w:val="100"/>
                <w:sz w:val="21"/>
              </w:rPr>
              <w:t> </w:t>
            </w:r>
          </w:p>
        </w:tc>
        <w:tc>
          <w:tcPr>
            <w:tcW w:w="84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right"/>
              <w:rPr>
                <w:rFonts w:ascii="宋体" w:hAnsi="宋体" w:cs="宋体" w:eastAsia="宋体" w:hint="default"/>
                <w:sz w:val="21"/>
                <w:szCs w:val="21"/>
              </w:rPr>
            </w:pPr>
            <w:r>
              <w:rPr>
                <w:rFonts w:ascii="宋体"/>
                <w:w w:val="100"/>
                <w:sz w:val="21"/>
              </w:rPr>
              <w:t> </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right"/>
              <w:rPr>
                <w:rFonts w:ascii="宋体" w:hAnsi="宋体" w:cs="宋体" w:eastAsia="宋体" w:hint="default"/>
                <w:sz w:val="21"/>
                <w:szCs w:val="21"/>
              </w:rPr>
            </w:pPr>
            <w:r>
              <w:rPr>
                <w:rFonts w:ascii="宋体"/>
                <w:spacing w:val="-1"/>
                <w:sz w:val="21"/>
              </w:rPr>
              <w:t>3,520,453.12</w:t>
            </w:r>
            <w:r>
              <w:rPr>
                <w:rFonts w:ascii="宋体"/>
                <w:sz w:val="21"/>
              </w:rPr>
              <w:t> </w:t>
            </w:r>
          </w:p>
        </w:tc>
      </w:tr>
    </w:tbl>
    <w:p>
      <w:pPr>
        <w:spacing w:after="0" w:line="243" w:lineRule="exact"/>
        <w:jc w:val="right"/>
        <w:rPr>
          <w:rFonts w:ascii="宋体" w:hAnsi="宋体" w:cs="宋体" w:eastAsia="宋体" w:hint="default"/>
          <w:sz w:val="21"/>
          <w:szCs w:val="21"/>
        </w:rPr>
        <w:sectPr>
          <w:pgSz w:w="11910" w:h="16840"/>
          <w:pgMar w:header="748" w:footer="974" w:top="1140" w:bottom="1160" w:left="460" w:right="460"/>
        </w:sectPr>
      </w:pPr>
    </w:p>
    <w:p>
      <w:pPr>
        <w:pStyle w:val="Heading2"/>
        <w:spacing w:line="273" w:lineRule="exact"/>
        <w:ind w:left="958" w:right="0"/>
        <w:jc w:val="left"/>
        <w:rPr>
          <w:rFonts w:ascii="宋体" w:hAnsi="宋体" w:cs="宋体" w:eastAsia="宋体" w:hint="default"/>
        </w:rPr>
      </w:pPr>
      <w:r>
        <w:rPr>
          <w:rFonts w:ascii="宋体"/>
        </w:rPr>
        <w:t> </w:t>
      </w:r>
    </w:p>
    <w:p>
      <w:pPr>
        <w:pStyle w:val="Heading2"/>
        <w:spacing w:line="312" w:lineRule="exact"/>
        <w:ind w:left="958" w:right="0"/>
        <w:jc w:val="left"/>
        <w:rPr>
          <w:rFonts w:ascii="宋体" w:hAnsi="宋体" w:cs="宋体" w:eastAsia="宋体" w:hint="default"/>
        </w:rPr>
      </w:pPr>
      <w:r>
        <w:rPr/>
        <w:t>其中本期坏账准备转回或收回金额重要的：</w:t>
      </w:r>
      <w:r>
        <w:rPr>
          <w:rFonts w:ascii="宋体" w:hAnsi="宋体" w:cs="宋体" w:eastAsia="宋体" w:hint="default"/>
        </w:rPr>
        <w:t> </w:t>
      </w:r>
    </w:p>
    <w:p>
      <w:pPr>
        <w:pStyle w:val="Heading2"/>
        <w:spacing w:line="313" w:lineRule="exact"/>
        <w:ind w:left="958"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8"/>
          <w:szCs w:val="28"/>
        </w:rPr>
      </w:pPr>
    </w:p>
    <w:p>
      <w:pPr>
        <w:pStyle w:val="BodyText"/>
        <w:spacing w:line="240" w:lineRule="auto"/>
        <w:ind w:left="958" w:right="0"/>
        <w:jc w:val="left"/>
        <w:rPr>
          <w:rFonts w:ascii="宋体" w:hAnsi="宋体" w:cs="宋体" w:eastAsia="宋体" w:hint="default"/>
        </w:rPr>
      </w:pPr>
      <w:r>
        <w:rPr/>
        <w:t>单位：元币种：人民币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580" w:bottom="280" w:left="460" w:right="460"/>
          <w:cols w:num="2" w:equalWidth="0">
            <w:col w:w="5640" w:space="1331"/>
            <w:col w:w="4019"/>
          </w:cols>
        </w:sectPr>
      </w:pPr>
    </w:p>
    <w:p>
      <w:pPr>
        <w:spacing w:line="240" w:lineRule="auto" w:before="7"/>
        <w:rPr>
          <w:rFonts w:ascii="宋体" w:hAnsi="宋体" w:cs="宋体" w:eastAsia="宋体" w:hint="default"/>
          <w:sz w:val="2"/>
          <w:szCs w:val="2"/>
        </w:rPr>
      </w:pPr>
    </w:p>
    <w:tbl>
      <w:tblPr>
        <w:tblW w:w="0" w:type="auto"/>
        <w:jc w:val="left"/>
        <w:tblInd w:w="846" w:type="dxa"/>
        <w:tblLayout w:type="fixed"/>
        <w:tblCellMar>
          <w:top w:w="0" w:type="dxa"/>
          <w:left w:w="0" w:type="dxa"/>
          <w:bottom w:w="0" w:type="dxa"/>
          <w:right w:w="0" w:type="dxa"/>
        </w:tblCellMar>
        <w:tblLook w:val="01E0"/>
      </w:tblPr>
      <w:tblGrid>
        <w:gridCol w:w="3020"/>
        <w:gridCol w:w="3135"/>
        <w:gridCol w:w="3133"/>
      </w:tblGrid>
      <w:tr>
        <w:trPr>
          <w:trHeight w:val="281" w:hRule="exact"/>
        </w:trPr>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4" w:right="0"/>
              <w:jc w:val="left"/>
              <w:rPr>
                <w:rFonts w:ascii="宋体" w:hAnsi="宋体" w:cs="宋体" w:eastAsia="宋体" w:hint="default"/>
                <w:sz w:val="21"/>
                <w:szCs w:val="21"/>
              </w:rPr>
            </w:pPr>
            <w:r>
              <w:rPr>
                <w:rFonts w:ascii="宋体" w:hAnsi="宋体" w:cs="宋体" w:eastAsia="宋体" w:hint="default"/>
                <w:sz w:val="21"/>
                <w:szCs w:val="21"/>
              </w:rPr>
              <w:t>单位名称</w:t>
            </w:r>
            <w:r>
              <w:rPr>
                <w:rFonts w:ascii="宋体" w:hAnsi="宋体" w:cs="宋体" w:eastAsia="宋体" w:hint="default"/>
                <w:sz w:val="21"/>
                <w:szCs w:val="21"/>
              </w:rPr>
              <w:t> </w:t>
            </w:r>
          </w:p>
        </w:tc>
        <w:tc>
          <w:tcPr>
            <w:tcW w:w="3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23" w:right="0"/>
              <w:jc w:val="left"/>
              <w:rPr>
                <w:rFonts w:ascii="宋体" w:hAnsi="宋体" w:cs="宋体" w:eastAsia="宋体" w:hint="default"/>
                <w:sz w:val="21"/>
                <w:szCs w:val="21"/>
              </w:rPr>
            </w:pPr>
            <w:r>
              <w:rPr>
                <w:rFonts w:ascii="宋体" w:hAnsi="宋体" w:cs="宋体" w:eastAsia="宋体" w:hint="default"/>
                <w:sz w:val="21"/>
                <w:szCs w:val="21"/>
              </w:rPr>
              <w:t>转回或收回金额</w:t>
            </w:r>
            <w:r>
              <w:rPr>
                <w:rFonts w:ascii="宋体" w:hAnsi="宋体" w:cs="宋体" w:eastAsia="宋体" w:hint="default"/>
                <w:sz w:val="21"/>
                <w:szCs w:val="21"/>
              </w:rPr>
              <w:t> </w:t>
            </w:r>
          </w:p>
        </w:tc>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收回方式</w:t>
            </w:r>
            <w:r>
              <w:rPr>
                <w:rFonts w:ascii="宋体" w:hAnsi="宋体" w:cs="宋体" w:eastAsia="宋体" w:hint="default"/>
                <w:sz w:val="21"/>
                <w:szCs w:val="21"/>
              </w:rPr>
              <w:t> </w:t>
            </w:r>
          </w:p>
        </w:tc>
      </w:tr>
      <w:tr>
        <w:trPr>
          <w:trHeight w:val="478" w:hRule="exact"/>
        </w:trPr>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103" w:right="0"/>
              <w:jc w:val="left"/>
              <w:rPr>
                <w:rFonts w:ascii="宋体" w:hAnsi="宋体" w:cs="宋体" w:eastAsia="宋体" w:hint="default"/>
                <w:sz w:val="21"/>
                <w:szCs w:val="21"/>
              </w:rPr>
            </w:pPr>
            <w:r>
              <w:rPr>
                <w:rFonts w:ascii="宋体" w:hAnsi="宋体" w:cs="宋体" w:eastAsia="宋体" w:hint="default"/>
                <w:sz w:val="21"/>
                <w:szCs w:val="21"/>
              </w:rPr>
              <w:t>控制组合</w:t>
            </w:r>
            <w:r>
              <w:rPr>
                <w:rFonts w:ascii="宋体" w:hAnsi="宋体" w:cs="宋体" w:eastAsia="宋体" w:hint="default"/>
                <w:sz w:val="21"/>
                <w:szCs w:val="21"/>
              </w:rPr>
              <w:t> </w:t>
            </w:r>
          </w:p>
        </w:tc>
        <w:tc>
          <w:tcPr>
            <w:tcW w:w="3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
              <w:jc w:val="right"/>
              <w:rPr>
                <w:rFonts w:ascii="宋体" w:hAnsi="宋体" w:cs="宋体" w:eastAsia="宋体" w:hint="default"/>
                <w:sz w:val="21"/>
                <w:szCs w:val="21"/>
              </w:rPr>
            </w:pPr>
            <w:r>
              <w:rPr>
                <w:rFonts w:ascii="宋体"/>
                <w:spacing w:val="-1"/>
                <w:sz w:val="21"/>
              </w:rPr>
              <w:t>113,661,944.00</w:t>
            </w:r>
            <w:r>
              <w:rPr>
                <w:rFonts w:ascii="宋体"/>
                <w:sz w:val="21"/>
              </w:rPr>
              <w:t> </w:t>
            </w:r>
          </w:p>
        </w:tc>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03" w:right="0"/>
              <w:jc w:val="left"/>
              <w:rPr>
                <w:rFonts w:ascii="宋体" w:hAnsi="宋体" w:cs="宋体" w:eastAsia="宋体" w:hint="default"/>
                <w:sz w:val="18"/>
                <w:szCs w:val="18"/>
              </w:rPr>
            </w:pPr>
            <w:r>
              <w:rPr>
                <w:rFonts w:ascii="宋体" w:hAnsi="宋体" w:cs="宋体" w:eastAsia="宋体" w:hint="default"/>
                <w:sz w:val="18"/>
                <w:szCs w:val="18"/>
              </w:rPr>
              <w:t>控制组合自</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年报编制起不再计</w:t>
            </w:r>
          </w:p>
          <w:p>
            <w:pPr>
              <w:pStyle w:val="TableParagraph"/>
              <w:spacing w:line="228" w:lineRule="exact"/>
              <w:ind w:left="103" w:right="0"/>
              <w:jc w:val="left"/>
              <w:rPr>
                <w:rFonts w:ascii="宋体" w:hAnsi="宋体" w:cs="宋体" w:eastAsia="宋体" w:hint="default"/>
                <w:sz w:val="21"/>
                <w:szCs w:val="21"/>
              </w:rPr>
            </w:pPr>
            <w:r>
              <w:rPr>
                <w:rFonts w:ascii="宋体" w:hAnsi="宋体" w:cs="宋体" w:eastAsia="宋体" w:hint="default"/>
                <w:sz w:val="18"/>
                <w:szCs w:val="18"/>
              </w:rPr>
              <w:t>提坏账准备</w:t>
            </w:r>
            <w:r>
              <w:rPr>
                <w:rFonts w:ascii="宋体" w:hAnsi="宋体" w:cs="宋体" w:eastAsia="宋体" w:hint="default"/>
                <w:w w:val="100"/>
                <w:sz w:val="21"/>
                <w:szCs w:val="21"/>
              </w:rPr>
              <w:t> </w:t>
            </w:r>
          </w:p>
        </w:tc>
      </w:tr>
      <w:tr>
        <w:trPr>
          <w:trHeight w:val="283" w:hRule="exact"/>
        </w:trPr>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3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113,661,944.00</w:t>
            </w:r>
            <w:r>
              <w:rPr>
                <w:rFonts w:ascii="宋体"/>
                <w:sz w:val="21"/>
              </w:rPr>
              <w:t> </w:t>
            </w:r>
          </w:p>
        </w:tc>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sz w:val="21"/>
              </w:rPr>
              <w:t>/ </w:t>
            </w:r>
          </w:p>
        </w:tc>
      </w:tr>
    </w:tbl>
    <w:p>
      <w:pPr>
        <w:spacing w:after="0" w:line="241" w:lineRule="exact"/>
        <w:jc w:val="center"/>
        <w:rPr>
          <w:rFonts w:ascii="宋体" w:hAnsi="宋体" w:cs="宋体" w:eastAsia="宋体" w:hint="default"/>
          <w:sz w:val="21"/>
          <w:szCs w:val="21"/>
        </w:rPr>
        <w:sectPr>
          <w:type w:val="continuous"/>
          <w:pgSz w:w="11910" w:h="16840"/>
          <w:pgMar w:top="1580" w:bottom="280" w:left="460" w:right="460"/>
        </w:sectPr>
      </w:pPr>
    </w:p>
    <w:p>
      <w:pPr>
        <w:pStyle w:val="BodyText"/>
        <w:spacing w:line="241" w:lineRule="exact"/>
        <w:ind w:left="958" w:right="0"/>
        <w:jc w:val="left"/>
        <w:rPr>
          <w:rFonts w:ascii="宋体" w:hAnsi="宋体" w:cs="宋体" w:eastAsia="宋体" w:hint="default"/>
        </w:rPr>
      </w:pPr>
      <w:r>
        <w:rPr>
          <w:rFonts w:ascii="宋体"/>
          <w:w w:val="100"/>
        </w:rPr>
        <w:t> </w:t>
      </w:r>
    </w:p>
    <w:p>
      <w:pPr>
        <w:pStyle w:val="Heading3"/>
        <w:spacing w:line="240" w:lineRule="auto" w:before="56"/>
        <w:ind w:left="958" w:right="0"/>
        <w:jc w:val="left"/>
        <w:rPr>
          <w:rFonts w:ascii="宋体" w:hAnsi="宋体" w:cs="宋体" w:eastAsia="宋体" w:hint="default"/>
          <w:b w:val="0"/>
          <w:bCs w:val="0"/>
        </w:rPr>
      </w:pPr>
      <w:r>
        <w:rPr>
          <w:rFonts w:ascii="宋体" w:hAnsi="宋体" w:cs="宋体" w:eastAsia="宋体" w:hint="default"/>
        </w:rPr>
        <w:t>(5).</w:t>
      </w:r>
      <w:r>
        <w:rPr>
          <w:rFonts w:ascii="宋体" w:hAnsi="宋体" w:cs="宋体" w:eastAsia="宋体" w:hint="default"/>
          <w:spacing w:val="-2"/>
        </w:rPr>
        <w:t> </w:t>
      </w:r>
      <w:r>
        <w:rPr/>
        <w:t>本期实际核销的其他应收款情况</w:t>
      </w:r>
      <w:r>
        <w:rPr>
          <w:rFonts w:ascii="宋体" w:hAnsi="宋体" w:cs="宋体" w:eastAsia="宋体" w:hint="default"/>
          <w:w w:val="99"/>
        </w:rPr>
        <w:t> </w:t>
      </w:r>
      <w:r>
        <w:rPr>
          <w:rFonts w:ascii="宋体" w:hAnsi="宋体" w:cs="宋体" w:eastAsia="宋体" w:hint="default"/>
          <w:b w:val="0"/>
          <w:bCs w:val="0"/>
        </w:rPr>
      </w:r>
    </w:p>
    <w:p>
      <w:pPr>
        <w:pStyle w:val="Heading2"/>
        <w:spacing w:line="240" w:lineRule="auto" w:before="52"/>
        <w:ind w:left="958"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55"/>
        <w:ind w:left="958" w:right="0"/>
        <w:jc w:val="left"/>
        <w:rPr>
          <w:rFonts w:ascii="宋体" w:hAnsi="宋体" w:cs="宋体" w:eastAsia="宋体" w:hint="default"/>
        </w:rPr>
      </w:pPr>
      <w:r>
        <w:rPr/>
        <w:t>单位：元币种：人民币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580" w:bottom="280" w:left="460" w:right="460"/>
          <w:cols w:num="2" w:equalWidth="0">
            <w:col w:w="4546" w:space="2425"/>
            <w:col w:w="4019"/>
          </w:cols>
        </w:sectPr>
      </w:pPr>
    </w:p>
    <w:p>
      <w:pPr>
        <w:spacing w:line="240" w:lineRule="auto" w:before="7"/>
        <w:rPr>
          <w:rFonts w:ascii="宋体" w:hAnsi="宋体" w:cs="宋体" w:eastAsia="宋体" w:hint="default"/>
          <w:sz w:val="2"/>
          <w:szCs w:val="2"/>
        </w:rPr>
      </w:pPr>
    </w:p>
    <w:tbl>
      <w:tblPr>
        <w:tblW w:w="0" w:type="auto"/>
        <w:jc w:val="left"/>
        <w:tblInd w:w="922" w:type="dxa"/>
        <w:tblLayout w:type="fixed"/>
        <w:tblCellMar>
          <w:top w:w="0" w:type="dxa"/>
          <w:left w:w="0" w:type="dxa"/>
          <w:bottom w:w="0" w:type="dxa"/>
          <w:right w:w="0" w:type="dxa"/>
        </w:tblCellMar>
        <w:tblLook w:val="01E0"/>
      </w:tblPr>
      <w:tblGrid>
        <w:gridCol w:w="4549"/>
        <w:gridCol w:w="4585"/>
      </w:tblGrid>
      <w:tr>
        <w:trPr>
          <w:trHeight w:val="283" w:hRule="exact"/>
        </w:trPr>
        <w:tc>
          <w:tcPr>
            <w:tcW w:w="45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2"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3" w:right="0"/>
              <w:jc w:val="center"/>
              <w:rPr>
                <w:rFonts w:ascii="宋体" w:hAnsi="宋体" w:cs="宋体" w:eastAsia="宋体" w:hint="default"/>
                <w:sz w:val="21"/>
                <w:szCs w:val="21"/>
              </w:rPr>
            </w:pPr>
            <w:r>
              <w:rPr>
                <w:rFonts w:ascii="宋体" w:hAnsi="宋体" w:cs="宋体" w:eastAsia="宋体" w:hint="default"/>
                <w:sz w:val="21"/>
                <w:szCs w:val="21"/>
              </w:rPr>
              <w:t>核销金额</w:t>
            </w:r>
            <w:r>
              <w:rPr>
                <w:rFonts w:ascii="宋体" w:hAnsi="宋体" w:cs="宋体" w:eastAsia="宋体" w:hint="default"/>
                <w:sz w:val="21"/>
                <w:szCs w:val="21"/>
              </w:rPr>
              <w:t> </w:t>
            </w:r>
          </w:p>
        </w:tc>
      </w:tr>
      <w:tr>
        <w:trPr>
          <w:trHeight w:val="281" w:hRule="exact"/>
        </w:trPr>
        <w:tc>
          <w:tcPr>
            <w:tcW w:w="45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实际核销的其他应收款</w:t>
            </w:r>
            <w:r>
              <w:rPr>
                <w:rFonts w:ascii="宋体" w:hAnsi="宋体" w:cs="宋体" w:eastAsia="宋体" w:hint="default"/>
                <w:sz w:val="21"/>
                <w:szCs w:val="21"/>
              </w:rPr>
              <w:t> </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
              <w:jc w:val="right"/>
              <w:rPr>
                <w:rFonts w:ascii="宋体" w:hAnsi="宋体" w:cs="宋体" w:eastAsia="宋体" w:hint="default"/>
                <w:sz w:val="21"/>
                <w:szCs w:val="21"/>
              </w:rPr>
            </w:pPr>
            <w:r>
              <w:rPr>
                <w:rFonts w:ascii="宋体"/>
                <w:sz w:val="21"/>
              </w:rPr>
              <w:t>0 </w:t>
            </w:r>
          </w:p>
        </w:tc>
      </w:tr>
    </w:tbl>
    <w:p>
      <w:pPr>
        <w:pStyle w:val="BodyText"/>
        <w:spacing w:line="240" w:lineRule="exact"/>
        <w:ind w:left="958" w:right="0"/>
        <w:jc w:val="left"/>
        <w:rPr>
          <w:rFonts w:ascii="宋体" w:hAnsi="宋体" w:cs="宋体" w:eastAsia="宋体" w:hint="default"/>
        </w:rPr>
      </w:pPr>
      <w:r>
        <w:rPr>
          <w:rFonts w:ascii="宋体"/>
          <w:w w:val="100"/>
        </w:rPr>
        <w:t> </w:t>
      </w:r>
    </w:p>
    <w:p>
      <w:pPr>
        <w:pStyle w:val="BodyText"/>
        <w:spacing w:line="272" w:lineRule="exact"/>
        <w:ind w:left="958" w:right="0"/>
        <w:jc w:val="left"/>
        <w:rPr>
          <w:rFonts w:ascii="宋体" w:hAnsi="宋体" w:cs="宋体" w:eastAsia="宋体" w:hint="default"/>
        </w:rPr>
      </w:pPr>
      <w:r>
        <w:rPr/>
        <w:t>其中重要的其他应收款核销情况：</w:t>
      </w:r>
      <w:r>
        <w:rPr>
          <w:rFonts w:ascii="宋体" w:hAnsi="宋体" w:cs="宋体" w:eastAsia="宋体" w:hint="default"/>
        </w:rPr>
        <w:t> </w:t>
      </w:r>
    </w:p>
    <w:p>
      <w:pPr>
        <w:pStyle w:val="BodyText"/>
        <w:spacing w:line="273" w:lineRule="exact"/>
        <w:ind w:left="958"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rPr>
        <w:t> </w:t>
      </w:r>
      <w:r>
        <w:rPr>
          <w:rFonts w:ascii="宋体" w:hAnsi="宋体" w:cs="宋体" w:eastAsia="宋体" w:hint="default"/>
        </w:rPr>
        <w:t> </w:t>
      </w:r>
    </w:p>
    <w:p>
      <w:pPr>
        <w:spacing w:after="0" w:line="273" w:lineRule="exact"/>
        <w:jc w:val="left"/>
        <w:rPr>
          <w:rFonts w:ascii="宋体" w:hAnsi="宋体" w:cs="宋体" w:eastAsia="宋体" w:hint="default"/>
        </w:rPr>
        <w:sectPr>
          <w:type w:val="continuous"/>
          <w:pgSz w:w="11910" w:h="16840"/>
          <w:pgMar w:top="1580" w:bottom="280" w:left="460" w:right="460"/>
        </w:sectPr>
      </w:pPr>
    </w:p>
    <w:p>
      <w:pPr>
        <w:spacing w:line="240" w:lineRule="auto" w:before="12"/>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footerReference w:type="default" r:id="rId275"/>
          <w:pgSz w:w="11910" w:h="16840"/>
          <w:pgMar w:footer="974" w:header="748" w:top="1140" w:bottom="1160" w:left="280" w:right="260"/>
        </w:sectPr>
      </w:pPr>
    </w:p>
    <w:p>
      <w:pPr>
        <w:pStyle w:val="BodyText"/>
        <w:spacing w:line="274" w:lineRule="exact" w:before="36"/>
        <w:ind w:left="1138" w:right="0"/>
        <w:jc w:val="left"/>
        <w:rPr>
          <w:rFonts w:ascii="宋体" w:hAnsi="宋体" w:cs="宋体" w:eastAsia="宋体" w:hint="default"/>
        </w:rPr>
      </w:pPr>
      <w:r>
        <w:rPr/>
        <w:t>其他应收款核销说明：</w:t>
      </w:r>
      <w:r>
        <w:rPr>
          <w:rFonts w:ascii="宋体" w:hAnsi="宋体" w:cs="宋体" w:eastAsia="宋体" w:hint="default"/>
        </w:rPr>
        <w:t> </w:t>
      </w:r>
    </w:p>
    <w:p>
      <w:pPr>
        <w:pStyle w:val="BodyText"/>
        <w:spacing w:line="269" w:lineRule="exact"/>
        <w:ind w:left="1138" w:right="0"/>
        <w:jc w:val="left"/>
        <w:rPr>
          <w:rFonts w:ascii="宋体" w:hAnsi="宋体" w:cs="宋体" w:eastAsia="宋体" w:hint="default"/>
        </w:rPr>
      </w:pPr>
      <w:r>
        <w:rPr/>
        <w:t>□适用</w:t>
      </w:r>
      <w:r>
        <w:rPr>
          <w:spacing w:val="104"/>
        </w:rPr>
        <w:t> </w:t>
      </w:r>
      <w:r>
        <w:rPr>
          <w:rFonts w:ascii="宋体" w:hAnsi="宋体" w:cs="宋体" w:eastAsia="宋体" w:hint="default"/>
          <w:spacing w:val="104"/>
        </w:rPr>
      </w:r>
      <w:r>
        <w:rPr/>
        <w:t>√不适用</w:t>
      </w:r>
      <w:r>
        <w:rPr>
          <w:rFonts w:ascii="宋体" w:hAnsi="宋体" w:cs="宋体" w:eastAsia="宋体" w:hint="default"/>
          <w:spacing w:val="-3"/>
        </w:rPr>
        <w:t> </w:t>
      </w:r>
      <w:r>
        <w:rPr>
          <w:rFonts w:ascii="宋体" w:hAnsi="宋体" w:cs="宋体" w:eastAsia="宋体" w:hint="default"/>
        </w:rPr>
        <w:t> </w:t>
      </w:r>
    </w:p>
    <w:p>
      <w:pPr>
        <w:pStyle w:val="Heading2"/>
        <w:spacing w:line="309" w:lineRule="exact"/>
        <w:ind w:left="1138" w:right="0"/>
        <w:jc w:val="left"/>
        <w:rPr>
          <w:rFonts w:ascii="宋体" w:hAnsi="宋体" w:cs="宋体" w:eastAsia="宋体" w:hint="default"/>
        </w:rPr>
      </w:pPr>
      <w:r>
        <w:rPr>
          <w:rFonts w:ascii="宋体"/>
        </w:rPr>
        <w:t> </w:t>
      </w:r>
    </w:p>
    <w:p>
      <w:pPr>
        <w:pStyle w:val="Heading3"/>
        <w:spacing w:line="240" w:lineRule="auto" w:before="64"/>
        <w:ind w:left="1138" w:right="0"/>
        <w:jc w:val="left"/>
        <w:rPr>
          <w:rFonts w:ascii="宋体" w:hAnsi="宋体" w:cs="宋体" w:eastAsia="宋体" w:hint="default"/>
          <w:b w:val="0"/>
          <w:bCs w:val="0"/>
        </w:rPr>
      </w:pPr>
      <w:r>
        <w:rPr>
          <w:rFonts w:ascii="宋体" w:hAnsi="宋体" w:cs="宋体" w:eastAsia="宋体" w:hint="default"/>
        </w:rPr>
        <w:t>(6).</w:t>
      </w:r>
      <w:r>
        <w:rPr>
          <w:rFonts w:ascii="宋体" w:hAnsi="宋体" w:cs="宋体" w:eastAsia="宋体" w:hint="default"/>
          <w:spacing w:val="-4"/>
        </w:rPr>
        <w:t> </w:t>
      </w:r>
      <w:r>
        <w:rPr/>
        <w:t>按欠款方归集的期末余额前五名的其他应收款情况</w:t>
      </w:r>
      <w:r>
        <w:rPr>
          <w:rFonts w:ascii="宋体" w:hAnsi="宋体" w:cs="宋体" w:eastAsia="宋体" w:hint="default"/>
          <w:w w:val="99"/>
        </w:rPr>
        <w:t> </w:t>
      </w:r>
      <w:r>
        <w:rPr>
          <w:rFonts w:ascii="宋体" w:hAnsi="宋体" w:cs="宋体" w:eastAsia="宋体" w:hint="default"/>
          <w:b w:val="0"/>
          <w:bCs w:val="0"/>
        </w:rPr>
      </w:r>
    </w:p>
    <w:p>
      <w:pPr>
        <w:pStyle w:val="Heading2"/>
        <w:spacing w:line="240" w:lineRule="auto" w:before="52"/>
        <w:ind w:left="1138"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2"/>
          <w:szCs w:val="22"/>
        </w:rPr>
      </w:pPr>
    </w:p>
    <w:p>
      <w:pPr>
        <w:pStyle w:val="BodyText"/>
        <w:spacing w:line="240" w:lineRule="auto"/>
        <w:ind w:left="1138" w:right="0"/>
        <w:jc w:val="left"/>
        <w:rPr>
          <w:rFonts w:ascii="宋体" w:hAnsi="宋体" w:cs="宋体" w:eastAsia="宋体" w:hint="default"/>
        </w:rPr>
      </w:pPr>
      <w:r>
        <w:rPr/>
        <w:t>单位：元币种：人民币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580" w:bottom="280" w:left="280" w:right="260"/>
          <w:cols w:num="2" w:equalWidth="0">
            <w:col w:w="6411" w:space="560"/>
            <w:col w:w="4399"/>
          </w:cols>
        </w:sectPr>
      </w:pPr>
    </w:p>
    <w:p>
      <w:pPr>
        <w:spacing w:line="240" w:lineRule="auto" w:before="7"/>
        <w:rPr>
          <w:rFonts w:ascii="宋体" w:hAnsi="宋体" w:cs="宋体" w:eastAsia="宋体" w:hint="default"/>
          <w:sz w:val="2"/>
          <w:szCs w:val="2"/>
        </w:rPr>
      </w:pPr>
    </w:p>
    <w:tbl>
      <w:tblPr>
        <w:tblW w:w="0" w:type="auto"/>
        <w:jc w:val="left"/>
        <w:tblInd w:w="406" w:type="dxa"/>
        <w:tblLayout w:type="fixed"/>
        <w:tblCellMar>
          <w:top w:w="0" w:type="dxa"/>
          <w:left w:w="0" w:type="dxa"/>
          <w:bottom w:w="0" w:type="dxa"/>
          <w:right w:w="0" w:type="dxa"/>
        </w:tblCellMar>
        <w:tblLook w:val="01E0"/>
      </w:tblPr>
      <w:tblGrid>
        <w:gridCol w:w="3128"/>
        <w:gridCol w:w="1594"/>
        <w:gridCol w:w="1863"/>
        <w:gridCol w:w="1301"/>
        <w:gridCol w:w="1539"/>
        <w:gridCol w:w="1102"/>
      </w:tblGrid>
      <w:tr>
        <w:trPr>
          <w:trHeight w:val="826" w:hRule="exact"/>
        </w:trPr>
        <w:tc>
          <w:tcPr>
            <w:tcW w:w="3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单位名称</w:t>
            </w:r>
            <w:r>
              <w:rPr>
                <w:rFonts w:ascii="宋体" w:hAnsi="宋体" w:cs="宋体" w:eastAsia="宋体" w:hint="default"/>
                <w:sz w:val="21"/>
                <w:szCs w:val="21"/>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4" w:right="0"/>
              <w:jc w:val="center"/>
              <w:rPr>
                <w:rFonts w:ascii="宋体" w:hAnsi="宋体" w:cs="宋体" w:eastAsia="宋体" w:hint="default"/>
                <w:sz w:val="21"/>
                <w:szCs w:val="21"/>
              </w:rPr>
            </w:pPr>
            <w:r>
              <w:rPr>
                <w:rFonts w:ascii="宋体" w:hAnsi="宋体" w:cs="宋体" w:eastAsia="宋体" w:hint="default"/>
                <w:sz w:val="21"/>
                <w:szCs w:val="21"/>
              </w:rPr>
              <w:t>款项的性质</w:t>
            </w:r>
            <w:r>
              <w:rPr>
                <w:rFonts w:ascii="宋体" w:hAnsi="宋体" w:cs="宋体" w:eastAsia="宋体" w:hint="default"/>
                <w:sz w:val="21"/>
                <w:szCs w:val="21"/>
              </w:rPr>
              <w:t> </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470"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1" w:right="0"/>
              <w:jc w:val="center"/>
              <w:rPr>
                <w:rFonts w:ascii="宋体" w:hAnsi="宋体" w:cs="宋体" w:eastAsia="宋体" w:hint="default"/>
                <w:sz w:val="21"/>
                <w:szCs w:val="21"/>
              </w:rPr>
            </w:pPr>
            <w:r>
              <w:rPr>
                <w:rFonts w:ascii="宋体" w:hAnsi="宋体" w:cs="宋体" w:eastAsia="宋体" w:hint="default"/>
                <w:sz w:val="21"/>
                <w:szCs w:val="21"/>
              </w:rPr>
              <w:t>账龄</w:t>
            </w:r>
            <w:r>
              <w:rPr>
                <w:rFonts w:ascii="宋体" w:hAnsi="宋体" w:cs="宋体" w:eastAsia="宋体" w:hint="default"/>
                <w:sz w:val="21"/>
                <w:szCs w:val="21"/>
              </w:rPr>
              <w:t> </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8" w:right="0"/>
              <w:jc w:val="left"/>
              <w:rPr>
                <w:rFonts w:ascii="宋体" w:hAnsi="宋体" w:cs="宋体" w:eastAsia="宋体" w:hint="default"/>
                <w:sz w:val="21"/>
                <w:szCs w:val="21"/>
              </w:rPr>
            </w:pPr>
            <w:r>
              <w:rPr>
                <w:rFonts w:ascii="宋体" w:hAnsi="宋体" w:cs="宋体" w:eastAsia="宋体" w:hint="default"/>
                <w:sz w:val="21"/>
                <w:szCs w:val="21"/>
              </w:rPr>
              <w:t>占其他应收款期</w:t>
            </w:r>
          </w:p>
          <w:p>
            <w:pPr>
              <w:pStyle w:val="TableParagraph"/>
              <w:spacing w:line="240" w:lineRule="auto"/>
              <w:ind w:left="396" w:right="24" w:hanging="368"/>
              <w:jc w:val="left"/>
              <w:rPr>
                <w:rFonts w:ascii="宋体" w:hAnsi="宋体" w:cs="宋体" w:eastAsia="宋体" w:hint="default"/>
                <w:sz w:val="21"/>
                <w:szCs w:val="21"/>
              </w:rPr>
            </w:pPr>
            <w:r>
              <w:rPr>
                <w:rFonts w:ascii="宋体" w:hAnsi="宋体" w:cs="宋体" w:eastAsia="宋体" w:hint="default"/>
                <w:sz w:val="21"/>
                <w:szCs w:val="21"/>
              </w:rPr>
              <w:t>末余额合计数的</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比例</w:t>
            </w:r>
            <w:r>
              <w:rPr>
                <w:rFonts w:ascii="宋体" w:hAnsi="宋体" w:cs="宋体" w:eastAsia="宋体" w:hint="default"/>
                <w:sz w:val="21"/>
                <w:szCs w:val="21"/>
              </w:rPr>
              <w:t>(%) </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24" w:right="19"/>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w w:val="100"/>
                <w:sz w:val="21"/>
                <w:szCs w:val="21"/>
              </w:rPr>
              <w:t> </w:t>
            </w: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554" w:hRule="exact"/>
        </w:trPr>
        <w:tc>
          <w:tcPr>
            <w:tcW w:w="3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江苏林洋光伏科技有限公司</w:t>
            </w:r>
            <w:r>
              <w:rPr>
                <w:rFonts w:ascii="宋体" w:hAnsi="宋体" w:cs="宋体" w:eastAsia="宋体" w:hint="default"/>
                <w:sz w:val="21"/>
                <w:szCs w:val="21"/>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1" w:right="0"/>
              <w:jc w:val="center"/>
              <w:rPr>
                <w:rFonts w:ascii="宋体" w:hAnsi="宋体" w:cs="宋体" w:eastAsia="宋体" w:hint="default"/>
                <w:sz w:val="21"/>
                <w:szCs w:val="21"/>
              </w:rPr>
            </w:pPr>
            <w:r>
              <w:rPr>
                <w:rFonts w:ascii="宋体" w:hAnsi="宋体" w:cs="宋体" w:eastAsia="宋体" w:hint="default"/>
                <w:sz w:val="21"/>
                <w:szCs w:val="21"/>
              </w:rPr>
              <w:t>对子公司往来</w:t>
            </w:r>
            <w:r>
              <w:rPr>
                <w:rFonts w:ascii="宋体" w:hAnsi="宋体" w:cs="宋体" w:eastAsia="宋体" w:hint="default"/>
                <w:sz w:val="21"/>
                <w:szCs w:val="21"/>
              </w:rPr>
              <w:t> </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8"/>
              <w:jc w:val="right"/>
              <w:rPr>
                <w:rFonts w:ascii="宋体" w:hAnsi="宋体" w:cs="宋体" w:eastAsia="宋体" w:hint="default"/>
                <w:sz w:val="21"/>
                <w:szCs w:val="21"/>
              </w:rPr>
            </w:pPr>
            <w:r>
              <w:rPr>
                <w:rFonts w:ascii="宋体"/>
                <w:spacing w:val="-1"/>
                <w:sz w:val="21"/>
              </w:rPr>
              <w:t>670,000,000.00</w:t>
            </w:r>
            <w:r>
              <w:rPr>
                <w:rFonts w:ascii="宋体"/>
                <w:sz w:val="21"/>
              </w:rPr>
              <w:t> </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67"/>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1"/>
                <w:sz w:val="21"/>
                <w:szCs w:val="21"/>
              </w:rPr>
              <w:t> </w:t>
            </w:r>
            <w:r>
              <w:rPr>
                <w:rFonts w:ascii="宋体" w:hAnsi="宋体" w:cs="宋体" w:eastAsia="宋体" w:hint="default"/>
                <w:sz w:val="21"/>
                <w:szCs w:val="21"/>
              </w:rPr>
              <w:t>年以内，</w:t>
            </w:r>
          </w:p>
          <w:p>
            <w:pPr>
              <w:pStyle w:val="TableParagraph"/>
              <w:spacing w:line="274" w:lineRule="exact"/>
              <w:ind w:left="31" w:right="0"/>
              <w:jc w:val="center"/>
              <w:rPr>
                <w:rFonts w:ascii="宋体" w:hAnsi="宋体" w:cs="宋体" w:eastAsia="宋体" w:hint="default"/>
                <w:sz w:val="21"/>
                <w:szCs w:val="21"/>
              </w:rPr>
            </w:pPr>
            <w:r>
              <w:rPr>
                <w:rFonts w:ascii="宋体" w:hAnsi="宋体" w:cs="宋体" w:eastAsia="宋体" w:hint="default"/>
                <w:sz w:val="21"/>
                <w:szCs w:val="21"/>
              </w:rPr>
              <w:t>2-3</w:t>
            </w:r>
            <w:r>
              <w:rPr>
                <w:rFonts w:ascii="宋体" w:hAnsi="宋体" w:cs="宋体" w:eastAsia="宋体" w:hint="default"/>
                <w:spacing w:val="-50"/>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3"/>
              <w:jc w:val="right"/>
              <w:rPr>
                <w:rFonts w:ascii="宋体" w:hAnsi="宋体" w:cs="宋体" w:eastAsia="宋体" w:hint="default"/>
                <w:sz w:val="21"/>
                <w:szCs w:val="21"/>
              </w:rPr>
            </w:pPr>
            <w:r>
              <w:rPr>
                <w:rFonts w:ascii="宋体"/>
                <w:sz w:val="21"/>
              </w:rPr>
              <w:t>46.41</w:t>
            </w:r>
          </w:p>
        </w:tc>
        <w:tc>
          <w:tcPr>
            <w:tcW w:w="110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江苏林洋电力服务有限公司</w:t>
            </w:r>
            <w:r>
              <w:rPr>
                <w:rFonts w:ascii="宋体" w:hAnsi="宋体" w:cs="宋体" w:eastAsia="宋体" w:hint="default"/>
                <w:sz w:val="21"/>
                <w:szCs w:val="21"/>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 w:right="0"/>
              <w:jc w:val="center"/>
              <w:rPr>
                <w:rFonts w:ascii="宋体" w:hAnsi="宋体" w:cs="宋体" w:eastAsia="宋体" w:hint="default"/>
                <w:sz w:val="21"/>
                <w:szCs w:val="21"/>
              </w:rPr>
            </w:pPr>
            <w:r>
              <w:rPr>
                <w:rFonts w:ascii="宋体" w:hAnsi="宋体" w:cs="宋体" w:eastAsia="宋体" w:hint="default"/>
                <w:sz w:val="21"/>
                <w:szCs w:val="21"/>
              </w:rPr>
              <w:t>对子公司往来</w:t>
            </w:r>
            <w:r>
              <w:rPr>
                <w:rFonts w:ascii="宋体" w:hAnsi="宋体" w:cs="宋体" w:eastAsia="宋体" w:hint="default"/>
                <w:sz w:val="21"/>
                <w:szCs w:val="21"/>
              </w:rPr>
              <w:t> </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8"/>
              <w:jc w:val="right"/>
              <w:rPr>
                <w:rFonts w:ascii="宋体" w:hAnsi="宋体" w:cs="宋体" w:eastAsia="宋体" w:hint="default"/>
                <w:sz w:val="21"/>
                <w:szCs w:val="21"/>
              </w:rPr>
            </w:pPr>
            <w:r>
              <w:rPr>
                <w:rFonts w:ascii="宋体"/>
                <w:spacing w:val="-1"/>
                <w:sz w:val="21"/>
              </w:rPr>
              <w:t>340,410,706.07</w:t>
            </w:r>
            <w:r>
              <w:rPr>
                <w:rFonts w:ascii="宋体"/>
                <w:sz w:val="21"/>
              </w:rPr>
              <w:t> </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3" w:right="0"/>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年以内</w:t>
            </w:r>
            <w:r>
              <w:rPr>
                <w:rFonts w:ascii="宋体" w:hAnsi="宋体" w:cs="宋体" w:eastAsia="宋体" w:hint="default"/>
                <w:sz w:val="21"/>
                <w:szCs w:val="21"/>
              </w:rPr>
              <w:t> </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3"/>
              <w:jc w:val="right"/>
              <w:rPr>
                <w:rFonts w:ascii="宋体" w:hAnsi="宋体" w:cs="宋体" w:eastAsia="宋体" w:hint="default"/>
                <w:sz w:val="21"/>
                <w:szCs w:val="21"/>
              </w:rPr>
            </w:pPr>
            <w:r>
              <w:rPr>
                <w:rFonts w:ascii="宋体"/>
                <w:sz w:val="21"/>
              </w:rPr>
              <w:t>23.58</w:t>
            </w:r>
          </w:p>
        </w:tc>
        <w:tc>
          <w:tcPr>
            <w:tcW w:w="1102"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31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濉溪县永瑞现代农业科技有限公</w:t>
            </w:r>
          </w:p>
          <w:p>
            <w:pPr>
              <w:pStyle w:val="TableParagraph"/>
              <w:spacing w:line="275" w:lineRule="exact"/>
              <w:ind w:left="26" w:right="0"/>
              <w:jc w:val="left"/>
              <w:rPr>
                <w:rFonts w:ascii="宋体" w:hAnsi="宋体" w:cs="宋体" w:eastAsia="宋体" w:hint="default"/>
                <w:sz w:val="21"/>
                <w:szCs w:val="21"/>
              </w:rPr>
            </w:pPr>
            <w:r>
              <w:rPr>
                <w:rFonts w:ascii="宋体" w:hAnsi="宋体" w:cs="宋体" w:eastAsia="宋体" w:hint="default"/>
                <w:sz w:val="21"/>
                <w:szCs w:val="21"/>
              </w:rPr>
              <w:t>司</w:t>
            </w:r>
            <w:r>
              <w:rPr>
                <w:rFonts w:ascii="宋体" w:hAnsi="宋体" w:cs="宋体" w:eastAsia="宋体" w:hint="default"/>
                <w:sz w:val="21"/>
                <w:szCs w:val="21"/>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31" w:right="0"/>
              <w:jc w:val="center"/>
              <w:rPr>
                <w:rFonts w:ascii="宋体" w:hAnsi="宋体" w:cs="宋体" w:eastAsia="宋体" w:hint="default"/>
                <w:sz w:val="21"/>
                <w:szCs w:val="21"/>
              </w:rPr>
            </w:pPr>
            <w:r>
              <w:rPr>
                <w:rFonts w:ascii="宋体" w:hAnsi="宋体" w:cs="宋体" w:eastAsia="宋体" w:hint="default"/>
                <w:sz w:val="21"/>
                <w:szCs w:val="21"/>
              </w:rPr>
              <w:t>对子公司往来</w:t>
            </w:r>
            <w:r>
              <w:rPr>
                <w:rFonts w:ascii="宋体" w:hAnsi="宋体" w:cs="宋体" w:eastAsia="宋体" w:hint="default"/>
                <w:sz w:val="21"/>
                <w:szCs w:val="21"/>
              </w:rPr>
              <w:t> </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8"/>
              <w:jc w:val="right"/>
              <w:rPr>
                <w:rFonts w:ascii="宋体" w:hAnsi="宋体" w:cs="宋体" w:eastAsia="宋体" w:hint="default"/>
                <w:sz w:val="21"/>
                <w:szCs w:val="21"/>
              </w:rPr>
            </w:pPr>
            <w:r>
              <w:rPr>
                <w:rFonts w:ascii="宋体"/>
                <w:spacing w:val="-1"/>
                <w:sz w:val="21"/>
              </w:rPr>
              <w:t>121,735,582.00</w:t>
            </w:r>
            <w:r>
              <w:rPr>
                <w:rFonts w:ascii="宋体"/>
                <w:sz w:val="21"/>
              </w:rPr>
              <w:t> </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31" w:right="0"/>
              <w:jc w:val="center"/>
              <w:rPr>
                <w:rFonts w:ascii="宋体" w:hAnsi="宋体" w:cs="宋体" w:eastAsia="宋体" w:hint="default"/>
                <w:sz w:val="21"/>
                <w:szCs w:val="21"/>
              </w:rPr>
            </w:pPr>
            <w:r>
              <w:rPr>
                <w:rFonts w:ascii="宋体" w:hAnsi="宋体" w:cs="宋体" w:eastAsia="宋体" w:hint="default"/>
                <w:sz w:val="21"/>
                <w:szCs w:val="21"/>
              </w:rPr>
              <w:t>2-3</w:t>
            </w:r>
            <w:r>
              <w:rPr>
                <w:rFonts w:ascii="宋体" w:hAnsi="宋体" w:cs="宋体" w:eastAsia="宋体" w:hint="default"/>
                <w:spacing w:val="-50"/>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3"/>
              <w:jc w:val="right"/>
              <w:rPr>
                <w:rFonts w:ascii="宋体" w:hAnsi="宋体" w:cs="宋体" w:eastAsia="宋体" w:hint="default"/>
                <w:sz w:val="21"/>
                <w:szCs w:val="21"/>
              </w:rPr>
            </w:pPr>
            <w:r>
              <w:rPr>
                <w:rFonts w:ascii="宋体"/>
                <w:sz w:val="21"/>
              </w:rPr>
              <w:t>8.43</w:t>
            </w:r>
          </w:p>
        </w:tc>
        <w:tc>
          <w:tcPr>
            <w:tcW w:w="110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惠民县永正农业科技有限公司</w:t>
            </w:r>
            <w:r>
              <w:rPr>
                <w:rFonts w:ascii="宋体" w:hAnsi="宋体" w:cs="宋体" w:eastAsia="宋体" w:hint="default"/>
                <w:sz w:val="21"/>
                <w:szCs w:val="21"/>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 w:right="0"/>
              <w:jc w:val="center"/>
              <w:rPr>
                <w:rFonts w:ascii="宋体" w:hAnsi="宋体" w:cs="宋体" w:eastAsia="宋体" w:hint="default"/>
                <w:sz w:val="21"/>
                <w:szCs w:val="21"/>
              </w:rPr>
            </w:pPr>
            <w:r>
              <w:rPr>
                <w:rFonts w:ascii="宋体" w:hAnsi="宋体" w:cs="宋体" w:eastAsia="宋体" w:hint="default"/>
                <w:sz w:val="21"/>
                <w:szCs w:val="21"/>
              </w:rPr>
              <w:t>对子公司往来</w:t>
            </w:r>
            <w:r>
              <w:rPr>
                <w:rFonts w:ascii="宋体" w:hAnsi="宋体" w:cs="宋体" w:eastAsia="宋体" w:hint="default"/>
                <w:sz w:val="21"/>
                <w:szCs w:val="21"/>
              </w:rPr>
              <w:t> </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
              <w:jc w:val="right"/>
              <w:rPr>
                <w:rFonts w:ascii="宋体" w:hAnsi="宋体" w:cs="宋体" w:eastAsia="宋体" w:hint="default"/>
                <w:sz w:val="21"/>
                <w:szCs w:val="21"/>
              </w:rPr>
            </w:pPr>
            <w:r>
              <w:rPr>
                <w:rFonts w:ascii="宋体"/>
                <w:spacing w:val="-1"/>
                <w:sz w:val="21"/>
              </w:rPr>
              <w:t>79,760,000.00</w:t>
            </w:r>
            <w:r>
              <w:rPr>
                <w:rFonts w:ascii="宋体"/>
                <w:sz w:val="21"/>
              </w:rPr>
              <w:t> </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 w:right="0"/>
              <w:jc w:val="center"/>
              <w:rPr>
                <w:rFonts w:ascii="宋体" w:hAnsi="宋体" w:cs="宋体" w:eastAsia="宋体" w:hint="default"/>
                <w:sz w:val="21"/>
                <w:szCs w:val="21"/>
              </w:rPr>
            </w:pPr>
            <w:r>
              <w:rPr>
                <w:rFonts w:ascii="宋体" w:hAnsi="宋体" w:cs="宋体" w:eastAsia="宋体" w:hint="default"/>
                <w:sz w:val="21"/>
                <w:szCs w:val="21"/>
              </w:rPr>
              <w:t>2-3</w:t>
            </w:r>
            <w:r>
              <w:rPr>
                <w:rFonts w:ascii="宋体" w:hAnsi="宋体" w:cs="宋体" w:eastAsia="宋体" w:hint="default"/>
                <w:spacing w:val="-50"/>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5.53</w:t>
            </w:r>
          </w:p>
        </w:tc>
        <w:tc>
          <w:tcPr>
            <w:tcW w:w="110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临泉永明太阳能发电有限公司</w:t>
            </w:r>
            <w:r>
              <w:rPr>
                <w:rFonts w:ascii="宋体" w:hAnsi="宋体" w:cs="宋体" w:eastAsia="宋体" w:hint="default"/>
                <w:sz w:val="21"/>
                <w:szCs w:val="21"/>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 w:right="0"/>
              <w:jc w:val="center"/>
              <w:rPr>
                <w:rFonts w:ascii="宋体" w:hAnsi="宋体" w:cs="宋体" w:eastAsia="宋体" w:hint="default"/>
                <w:sz w:val="21"/>
                <w:szCs w:val="21"/>
              </w:rPr>
            </w:pPr>
            <w:r>
              <w:rPr>
                <w:rFonts w:ascii="宋体" w:hAnsi="宋体" w:cs="宋体" w:eastAsia="宋体" w:hint="default"/>
                <w:sz w:val="21"/>
                <w:szCs w:val="21"/>
              </w:rPr>
              <w:t>对子公司往来</w:t>
            </w:r>
            <w:r>
              <w:rPr>
                <w:rFonts w:ascii="宋体" w:hAnsi="宋体" w:cs="宋体" w:eastAsia="宋体" w:hint="default"/>
                <w:sz w:val="21"/>
                <w:szCs w:val="21"/>
              </w:rPr>
              <w:t> </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
              <w:jc w:val="right"/>
              <w:rPr>
                <w:rFonts w:ascii="宋体" w:hAnsi="宋体" w:cs="宋体" w:eastAsia="宋体" w:hint="default"/>
                <w:sz w:val="21"/>
                <w:szCs w:val="21"/>
              </w:rPr>
            </w:pPr>
            <w:r>
              <w:rPr>
                <w:rFonts w:ascii="宋体"/>
                <w:spacing w:val="-1"/>
                <w:sz w:val="21"/>
              </w:rPr>
              <w:t>75,356,033.80</w:t>
            </w:r>
            <w:r>
              <w:rPr>
                <w:rFonts w:ascii="宋体"/>
                <w:sz w:val="21"/>
              </w:rPr>
              <w:t> </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 w:right="0"/>
              <w:jc w:val="center"/>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0"/>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5.22</w:t>
            </w:r>
          </w:p>
        </w:tc>
        <w:tc>
          <w:tcPr>
            <w:tcW w:w="110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4" w:right="0"/>
              <w:jc w:val="center"/>
              <w:rPr>
                <w:rFonts w:ascii="宋体" w:hAnsi="宋体" w:cs="宋体" w:eastAsia="宋体" w:hint="default"/>
                <w:sz w:val="21"/>
                <w:szCs w:val="21"/>
              </w:rPr>
            </w:pPr>
            <w:r>
              <w:rPr>
                <w:rFonts w:ascii="宋体"/>
                <w:sz w:val="21"/>
              </w:rPr>
              <w:t>/ </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8"/>
              <w:jc w:val="right"/>
              <w:rPr>
                <w:rFonts w:ascii="宋体" w:hAnsi="宋体" w:cs="宋体" w:eastAsia="宋体" w:hint="default"/>
                <w:sz w:val="21"/>
                <w:szCs w:val="21"/>
              </w:rPr>
            </w:pPr>
            <w:r>
              <w:rPr>
                <w:rFonts w:ascii="宋体"/>
                <w:spacing w:val="-1"/>
                <w:sz w:val="21"/>
              </w:rPr>
              <w:t>1,287,262,321.87</w:t>
            </w:r>
            <w:r>
              <w:rPr>
                <w:rFonts w:ascii="宋体"/>
                <w:sz w:val="21"/>
              </w:rPr>
              <w:t> </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3" w:right="0"/>
              <w:jc w:val="center"/>
              <w:rPr>
                <w:rFonts w:ascii="宋体" w:hAnsi="宋体" w:cs="宋体" w:eastAsia="宋体" w:hint="default"/>
                <w:sz w:val="21"/>
                <w:szCs w:val="21"/>
              </w:rPr>
            </w:pPr>
            <w:r>
              <w:rPr>
                <w:rFonts w:ascii="宋体"/>
                <w:sz w:val="21"/>
              </w:rPr>
              <w:t>/ </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3"/>
              <w:jc w:val="right"/>
              <w:rPr>
                <w:rFonts w:ascii="宋体" w:hAnsi="宋体" w:cs="宋体" w:eastAsia="宋体" w:hint="default"/>
                <w:sz w:val="21"/>
                <w:szCs w:val="21"/>
              </w:rPr>
            </w:pPr>
            <w:r>
              <w:rPr>
                <w:rFonts w:ascii="宋体"/>
                <w:sz w:val="21"/>
              </w:rPr>
              <w:t>89.17</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w w:val="100"/>
                <w:sz w:val="21"/>
              </w:rPr>
              <w:t> </w:t>
            </w:r>
          </w:p>
        </w:tc>
      </w:tr>
    </w:tbl>
    <w:p>
      <w:pPr>
        <w:spacing w:after="0" w:line="243" w:lineRule="exact"/>
        <w:jc w:val="left"/>
        <w:rPr>
          <w:rFonts w:ascii="宋体" w:hAnsi="宋体" w:cs="宋体" w:eastAsia="宋体" w:hint="default"/>
          <w:sz w:val="21"/>
          <w:szCs w:val="21"/>
        </w:rPr>
        <w:sectPr>
          <w:type w:val="continuous"/>
          <w:pgSz w:w="11910" w:h="16840"/>
          <w:pgMar w:top="1580" w:bottom="280" w:left="280" w:right="260"/>
        </w:sectPr>
      </w:pPr>
    </w:p>
    <w:p>
      <w:pPr>
        <w:pStyle w:val="Heading2"/>
        <w:spacing w:line="274" w:lineRule="exact"/>
        <w:ind w:left="1138" w:right="0"/>
        <w:jc w:val="left"/>
        <w:rPr>
          <w:rFonts w:ascii="宋体" w:hAnsi="宋体" w:cs="宋体" w:eastAsia="宋体" w:hint="default"/>
        </w:rPr>
      </w:pPr>
      <w:r>
        <w:rPr>
          <w:rFonts w:ascii="宋体"/>
        </w:rPr>
        <w:t> </w:t>
      </w:r>
    </w:p>
    <w:p>
      <w:pPr>
        <w:pStyle w:val="Heading3"/>
        <w:spacing w:line="240" w:lineRule="auto" w:before="64"/>
        <w:ind w:left="1138" w:right="0"/>
        <w:jc w:val="left"/>
        <w:rPr>
          <w:rFonts w:ascii="宋体" w:hAnsi="宋体" w:cs="宋体" w:eastAsia="宋体" w:hint="default"/>
          <w:b w:val="0"/>
          <w:bCs w:val="0"/>
        </w:rPr>
      </w:pPr>
      <w:r>
        <w:rPr>
          <w:rFonts w:ascii="宋体" w:hAnsi="宋体" w:cs="宋体" w:eastAsia="宋体" w:hint="default"/>
        </w:rPr>
        <w:t>(7).</w:t>
      </w:r>
      <w:r>
        <w:rPr>
          <w:rFonts w:ascii="宋体" w:hAnsi="宋体" w:cs="宋体" w:eastAsia="宋体" w:hint="default"/>
          <w:spacing w:val="-2"/>
        </w:rPr>
        <w:t> </w:t>
      </w:r>
      <w:r>
        <w:rPr/>
        <w:t>涉及政府补助的应收款项</w:t>
      </w:r>
      <w:r>
        <w:rPr>
          <w:rFonts w:ascii="宋体" w:hAnsi="宋体" w:cs="宋体" w:eastAsia="宋体" w:hint="default"/>
          <w:w w:val="99"/>
        </w:rPr>
        <w:t> </w:t>
      </w:r>
      <w:r>
        <w:rPr>
          <w:rFonts w:ascii="宋体" w:hAnsi="宋体" w:cs="宋体" w:eastAsia="宋体" w:hint="default"/>
          <w:b w:val="0"/>
          <w:bCs w:val="0"/>
        </w:rPr>
      </w:r>
    </w:p>
    <w:p>
      <w:pPr>
        <w:pStyle w:val="Heading2"/>
        <w:spacing w:line="240" w:lineRule="auto" w:before="50"/>
        <w:ind w:left="1138"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BodyText"/>
        <w:spacing w:line="240" w:lineRule="auto" w:before="4"/>
        <w:ind w:left="1138" w:right="0"/>
        <w:jc w:val="left"/>
        <w:rPr>
          <w:rFonts w:ascii="宋体" w:hAnsi="宋体" w:cs="宋体" w:eastAsia="宋体" w:hint="default"/>
        </w:rPr>
      </w:pPr>
      <w:r>
        <w:rPr>
          <w:rFonts w:ascii="宋体"/>
          <w:w w:val="100"/>
        </w:rPr>
        <w:t> </w:t>
      </w:r>
    </w:p>
    <w:p>
      <w:pPr>
        <w:pStyle w:val="Heading3"/>
        <w:spacing w:line="240" w:lineRule="auto" w:before="58"/>
        <w:ind w:left="1138" w:right="0"/>
        <w:jc w:val="left"/>
        <w:rPr>
          <w:rFonts w:ascii="宋体" w:hAnsi="宋体" w:cs="宋体" w:eastAsia="宋体" w:hint="default"/>
          <w:b w:val="0"/>
          <w:bCs w:val="0"/>
        </w:rPr>
      </w:pPr>
      <w:r>
        <w:rPr>
          <w:rFonts w:ascii="宋体" w:hAnsi="宋体" w:cs="宋体" w:eastAsia="宋体" w:hint="default"/>
        </w:rPr>
        <w:t>(8).</w:t>
      </w:r>
      <w:r>
        <w:rPr>
          <w:rFonts w:ascii="宋体" w:hAnsi="宋体" w:cs="宋体" w:eastAsia="宋体" w:hint="default"/>
          <w:spacing w:val="-4"/>
        </w:rPr>
        <w:t> </w:t>
      </w:r>
      <w:r>
        <w:rPr/>
        <w:t>因金融资产转移而终止确认的其他应收款</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56"/>
        <w:ind w:left="1138" w:right="0"/>
        <w:jc w:val="left"/>
        <w:rPr>
          <w:rFonts w:ascii="宋体" w:hAnsi="宋体" w:cs="宋体" w:eastAsia="宋体" w:hint="default"/>
        </w:rPr>
      </w:pPr>
      <w:r>
        <w:rPr/>
        <w:t>□适用</w:t>
      </w:r>
      <w:r>
        <w:rPr>
          <w:spacing w:val="104"/>
        </w:rPr>
        <w:t> </w:t>
      </w:r>
      <w:r>
        <w:rPr>
          <w:rFonts w:ascii="宋体" w:hAnsi="宋体" w:cs="宋体" w:eastAsia="宋体" w:hint="default"/>
          <w:spacing w:val="104"/>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1138" w:right="0"/>
        <w:jc w:val="left"/>
        <w:rPr>
          <w:rFonts w:ascii="宋体" w:hAnsi="宋体" w:cs="宋体" w:eastAsia="宋体" w:hint="default"/>
        </w:rPr>
      </w:pPr>
      <w:r>
        <w:rPr>
          <w:rFonts w:ascii="宋体"/>
          <w:w w:val="100"/>
        </w:rPr>
        <w:t> </w:t>
      </w:r>
    </w:p>
    <w:p>
      <w:pPr>
        <w:pStyle w:val="Heading3"/>
        <w:spacing w:line="240" w:lineRule="auto" w:before="56"/>
        <w:ind w:left="1138" w:right="0"/>
        <w:jc w:val="left"/>
        <w:rPr>
          <w:rFonts w:ascii="宋体" w:hAnsi="宋体" w:cs="宋体" w:eastAsia="宋体" w:hint="default"/>
          <w:b w:val="0"/>
          <w:bCs w:val="0"/>
        </w:rPr>
      </w:pPr>
      <w:r>
        <w:rPr>
          <w:rFonts w:ascii="宋体" w:hAnsi="宋体" w:cs="宋体" w:eastAsia="宋体" w:hint="default"/>
        </w:rPr>
        <w:t>(9).</w:t>
      </w:r>
      <w:r>
        <w:rPr>
          <w:rFonts w:ascii="宋体" w:hAnsi="宋体" w:cs="宋体" w:eastAsia="宋体" w:hint="default"/>
          <w:spacing w:val="-4"/>
        </w:rPr>
        <w:t> </w:t>
      </w:r>
      <w:r>
        <w:rPr/>
        <w:t>转移其他应收款且继续涉入形成的资产、负债金额</w:t>
      </w:r>
      <w:r>
        <w:rPr>
          <w:rFonts w:ascii="宋体" w:hAnsi="宋体" w:cs="宋体" w:eastAsia="宋体" w:hint="default"/>
          <w:w w:val="99"/>
        </w:rPr>
        <w:t> </w:t>
      </w:r>
      <w:r>
        <w:rPr>
          <w:rFonts w:ascii="宋体" w:hAnsi="宋体" w:cs="宋体" w:eastAsia="宋体" w:hint="default"/>
          <w:b w:val="0"/>
          <w:bCs w:val="0"/>
        </w:rPr>
      </w:r>
    </w:p>
    <w:p>
      <w:pPr>
        <w:pStyle w:val="BodyText"/>
        <w:spacing w:line="270" w:lineRule="exact" w:before="58"/>
        <w:ind w:left="1138" w:right="0"/>
        <w:jc w:val="left"/>
        <w:rPr>
          <w:rFonts w:ascii="宋体" w:hAnsi="宋体" w:cs="宋体" w:eastAsia="宋体" w:hint="default"/>
        </w:rPr>
      </w:pPr>
      <w:r>
        <w:rPr/>
        <w:t>□适用</w:t>
      </w:r>
      <w:r>
        <w:rPr>
          <w:spacing w:val="104"/>
        </w:rPr>
        <w:t> </w:t>
      </w:r>
      <w:r>
        <w:rPr>
          <w:rFonts w:ascii="宋体" w:hAnsi="宋体" w:cs="宋体" w:eastAsia="宋体" w:hint="default"/>
          <w:spacing w:val="104"/>
        </w:rPr>
      </w:r>
      <w:r>
        <w:rPr/>
        <w:t>√不适用</w:t>
      </w:r>
      <w:r>
        <w:rPr>
          <w:rFonts w:ascii="宋体" w:hAnsi="宋体" w:cs="宋体" w:eastAsia="宋体" w:hint="default"/>
          <w:spacing w:val="-3"/>
        </w:rPr>
        <w:t> </w:t>
      </w:r>
      <w:r>
        <w:rPr>
          <w:rFonts w:ascii="宋体" w:hAnsi="宋体" w:cs="宋体" w:eastAsia="宋体" w:hint="default"/>
        </w:rPr>
        <w:t> </w:t>
      </w:r>
    </w:p>
    <w:p>
      <w:pPr>
        <w:pStyle w:val="Heading2"/>
        <w:spacing w:line="309" w:lineRule="exact"/>
        <w:ind w:left="1138" w:right="0"/>
        <w:jc w:val="left"/>
        <w:rPr>
          <w:rFonts w:ascii="宋体" w:hAnsi="宋体" w:cs="宋体" w:eastAsia="宋体" w:hint="default"/>
        </w:rPr>
      </w:pPr>
      <w:r>
        <w:rPr/>
        <w:t>其他说明：</w:t>
      </w:r>
      <w:r>
        <w:rPr>
          <w:rFonts w:ascii="宋体" w:hAnsi="宋体" w:cs="宋体" w:eastAsia="宋体" w:hint="default"/>
        </w:rPr>
        <w:t> </w:t>
      </w:r>
    </w:p>
    <w:p>
      <w:pPr>
        <w:pStyle w:val="BodyText"/>
        <w:spacing w:line="273" w:lineRule="exact" w:before="4"/>
        <w:ind w:left="1138" w:right="0"/>
        <w:jc w:val="left"/>
        <w:rPr>
          <w:rFonts w:ascii="宋体" w:hAnsi="宋体" w:cs="宋体" w:eastAsia="宋体" w:hint="default"/>
        </w:rPr>
      </w:pPr>
      <w:r>
        <w:rPr/>
        <w:t>□适用</w:t>
      </w:r>
      <w:r>
        <w:rPr>
          <w:spacing w:val="104"/>
        </w:rPr>
        <w:t> </w:t>
      </w:r>
      <w:r>
        <w:rPr>
          <w:rFonts w:ascii="宋体" w:hAnsi="宋体" w:cs="宋体" w:eastAsia="宋体" w:hint="default"/>
          <w:spacing w:val="104"/>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1138" w:right="0"/>
        <w:jc w:val="left"/>
        <w:rPr>
          <w:rFonts w:ascii="宋体" w:hAnsi="宋体" w:cs="宋体" w:eastAsia="宋体" w:hint="default"/>
        </w:rPr>
      </w:pPr>
      <w:r>
        <w:rPr>
          <w:rFonts w:ascii="宋体"/>
          <w:w w:val="100"/>
        </w:rPr>
        <w:t> </w:t>
      </w:r>
    </w:p>
    <w:p>
      <w:pPr>
        <w:pStyle w:val="Heading3"/>
        <w:spacing w:line="240" w:lineRule="auto" w:before="58"/>
        <w:ind w:left="1138" w:right="0"/>
        <w:jc w:val="left"/>
        <w:rPr>
          <w:rFonts w:ascii="宋体" w:hAnsi="宋体" w:cs="宋体" w:eastAsia="宋体" w:hint="default"/>
          <w:b w:val="0"/>
          <w:bCs w:val="0"/>
        </w:rPr>
      </w:pPr>
      <w:r>
        <w:rPr>
          <w:rFonts w:ascii="宋体" w:hAnsi="宋体" w:cs="宋体" w:eastAsia="宋体" w:hint="default"/>
        </w:rPr>
        <w:t>3</w:t>
      </w:r>
      <w:r>
        <w:rPr/>
        <w:t>、</w:t>
      </w:r>
      <w:r>
        <w:rPr>
          <w:spacing w:val="1"/>
        </w:rPr>
        <w:t> </w:t>
      </w:r>
      <w:r>
        <w:rPr/>
        <w:t>长期股权投资</w:t>
      </w:r>
      <w:r>
        <w:rPr>
          <w:rFonts w:ascii="宋体" w:hAnsi="宋体" w:cs="宋体" w:eastAsia="宋体" w:hint="default"/>
          <w:w w:val="99"/>
        </w:rPr>
        <w:t> </w:t>
      </w:r>
      <w:r>
        <w:rPr>
          <w:rFonts w:ascii="宋体" w:hAnsi="宋体" w:cs="宋体" w:eastAsia="宋体" w:hint="default"/>
          <w:b w:val="0"/>
          <w:bCs w:val="0"/>
        </w:rPr>
      </w:r>
    </w:p>
    <w:p>
      <w:pPr>
        <w:pStyle w:val="Heading2"/>
        <w:spacing w:line="240" w:lineRule="auto" w:before="50"/>
        <w:ind w:left="1138"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7"/>
          <w:szCs w:val="17"/>
        </w:rPr>
      </w:pPr>
    </w:p>
    <w:p>
      <w:pPr>
        <w:pStyle w:val="BodyText"/>
        <w:spacing w:line="240" w:lineRule="auto"/>
        <w:ind w:left="1138" w:right="0"/>
        <w:jc w:val="left"/>
        <w:rPr>
          <w:rFonts w:ascii="宋体" w:hAnsi="宋体" w:cs="宋体" w:eastAsia="宋体" w:hint="default"/>
        </w:rPr>
      </w:pPr>
      <w:r>
        <w:rPr/>
        <w:t>单位：元币种：人民币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580" w:bottom="280" w:left="280" w:right="260"/>
          <w:cols w:num="2" w:equalWidth="0">
            <w:col w:w="6411" w:space="560"/>
            <w:col w:w="4399"/>
          </w:cols>
        </w:sectPr>
      </w:pPr>
    </w:p>
    <w:p>
      <w:pPr>
        <w:spacing w:line="240" w:lineRule="auto" w:before="4"/>
        <w:rPr>
          <w:rFonts w:ascii="宋体" w:hAnsi="宋体" w:cs="宋体" w:eastAsia="宋体" w:hint="default"/>
          <w:sz w:val="2"/>
          <w:szCs w:val="2"/>
        </w:rPr>
      </w:pPr>
    </w:p>
    <w:tbl>
      <w:tblPr>
        <w:tblW w:w="0" w:type="auto"/>
        <w:jc w:val="left"/>
        <w:tblInd w:w="166" w:type="dxa"/>
        <w:tblLayout w:type="fixed"/>
        <w:tblCellMar>
          <w:top w:w="0" w:type="dxa"/>
          <w:left w:w="0" w:type="dxa"/>
          <w:bottom w:w="0" w:type="dxa"/>
          <w:right w:w="0" w:type="dxa"/>
        </w:tblCellMar>
        <w:tblLook w:val="01E0"/>
      </w:tblPr>
      <w:tblGrid>
        <w:gridCol w:w="1320"/>
        <w:gridCol w:w="1927"/>
        <w:gridCol w:w="1517"/>
        <w:gridCol w:w="1853"/>
        <w:gridCol w:w="1853"/>
        <w:gridCol w:w="649"/>
        <w:gridCol w:w="1886"/>
      </w:tblGrid>
      <w:tr>
        <w:trPr>
          <w:trHeight w:val="283" w:hRule="exact"/>
        </w:trPr>
        <w:tc>
          <w:tcPr>
            <w:tcW w:w="1320"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443" w:right="0"/>
              <w:jc w:val="left"/>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529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8" w:right="0"/>
              <w:jc w:val="center"/>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438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554" w:hRule="exact"/>
        </w:trPr>
        <w:tc>
          <w:tcPr>
            <w:tcW w:w="1320" w:type="dxa"/>
            <w:vMerge/>
            <w:tcBorders>
              <w:left w:val="single" w:sz="4" w:space="0" w:color="000000"/>
              <w:bottom w:val="single" w:sz="4" w:space="0" w:color="000000"/>
              <w:right w:val="single" w:sz="4" w:space="0" w:color="000000"/>
            </w:tcBorders>
          </w:tcPr>
          <w:p>
            <w:pP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535" w:right="0"/>
              <w:jc w:val="left"/>
              <w:rPr>
                <w:rFonts w:ascii="宋体" w:hAnsi="宋体" w:cs="宋体" w:eastAsia="宋体" w:hint="default"/>
                <w:sz w:val="21"/>
                <w:szCs w:val="21"/>
              </w:rPr>
            </w:pPr>
            <w:r>
              <w:rPr>
                <w:rFonts w:ascii="宋体" w:hAnsi="宋体" w:cs="宋体" w:eastAsia="宋体" w:hint="default"/>
                <w:sz w:val="21"/>
                <w:szCs w:val="21"/>
              </w:rPr>
              <w:t>账面余额</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1" w:right="0"/>
              <w:jc w:val="center"/>
              <w:rPr>
                <w:rFonts w:ascii="宋体" w:hAnsi="宋体" w:cs="宋体" w:eastAsia="宋体" w:hint="default"/>
                <w:sz w:val="21"/>
                <w:szCs w:val="21"/>
              </w:rPr>
            </w:pPr>
            <w:r>
              <w:rPr>
                <w:rFonts w:ascii="宋体" w:hAnsi="宋体" w:cs="宋体" w:eastAsia="宋体" w:hint="default"/>
                <w:sz w:val="21"/>
                <w:szCs w:val="21"/>
              </w:rPr>
              <w:t>减值准备</w:t>
            </w:r>
            <w:r>
              <w:rPr>
                <w:rFonts w:ascii="宋体" w:hAnsi="宋体" w:cs="宋体" w:eastAsia="宋体" w:hint="default"/>
                <w:sz w:val="21"/>
                <w:szCs w:val="21"/>
              </w:rPr>
              <w:t> </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99" w:right="0"/>
              <w:jc w:val="left"/>
              <w:rPr>
                <w:rFonts w:ascii="宋体" w:hAnsi="宋体" w:cs="宋体" w:eastAsia="宋体" w:hint="default"/>
                <w:sz w:val="21"/>
                <w:szCs w:val="21"/>
              </w:rPr>
            </w:pPr>
            <w:r>
              <w:rPr>
                <w:rFonts w:ascii="宋体" w:hAnsi="宋体" w:cs="宋体" w:eastAsia="宋体" w:hint="default"/>
                <w:sz w:val="21"/>
                <w:szCs w:val="21"/>
              </w:rPr>
              <w:t>账面价值</w:t>
            </w:r>
            <w:r>
              <w:rPr>
                <w:rFonts w:ascii="宋体" w:hAnsi="宋体" w:cs="宋体" w:eastAsia="宋体" w:hint="default"/>
                <w:sz w:val="21"/>
                <w:szCs w:val="21"/>
              </w:rPr>
              <w:t> </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99" w:right="0"/>
              <w:jc w:val="left"/>
              <w:rPr>
                <w:rFonts w:ascii="宋体" w:hAnsi="宋体" w:cs="宋体" w:eastAsia="宋体" w:hint="default"/>
                <w:sz w:val="21"/>
                <w:szCs w:val="21"/>
              </w:rPr>
            </w:pPr>
            <w:r>
              <w:rPr>
                <w:rFonts w:ascii="宋体" w:hAnsi="宋体" w:cs="宋体" w:eastAsia="宋体" w:hint="default"/>
                <w:sz w:val="21"/>
                <w:szCs w:val="21"/>
              </w:rPr>
              <w:t>账面余额</w:t>
            </w:r>
            <w:r>
              <w:rPr>
                <w:rFonts w:ascii="宋体" w:hAnsi="宋体" w:cs="宋体" w:eastAsia="宋体" w:hint="default"/>
                <w:sz w:val="21"/>
                <w:szCs w:val="21"/>
              </w:rPr>
              <w:t> </w:t>
            </w:r>
          </w:p>
        </w:tc>
        <w:tc>
          <w:tcPr>
            <w:tcW w:w="64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0" w:right="0"/>
              <w:jc w:val="left"/>
              <w:rPr>
                <w:rFonts w:ascii="宋体" w:hAnsi="宋体" w:cs="宋体" w:eastAsia="宋体" w:hint="default"/>
                <w:sz w:val="21"/>
                <w:szCs w:val="21"/>
              </w:rPr>
            </w:pPr>
            <w:r>
              <w:rPr>
                <w:rFonts w:ascii="宋体" w:hAnsi="宋体" w:cs="宋体" w:eastAsia="宋体" w:hint="default"/>
                <w:sz w:val="21"/>
                <w:szCs w:val="21"/>
              </w:rPr>
              <w:t>减值</w:t>
            </w:r>
          </w:p>
          <w:p>
            <w:pPr>
              <w:pStyle w:val="TableParagraph"/>
              <w:spacing w:line="274" w:lineRule="exact"/>
              <w:ind w:left="110" w:right="0"/>
              <w:jc w:val="left"/>
              <w:rPr>
                <w:rFonts w:ascii="宋体" w:hAnsi="宋体" w:cs="宋体" w:eastAsia="宋体" w:hint="default"/>
                <w:sz w:val="21"/>
                <w:szCs w:val="21"/>
              </w:rPr>
            </w:pPr>
            <w:r>
              <w:rPr>
                <w:rFonts w:ascii="宋体" w:hAnsi="宋体" w:cs="宋体" w:eastAsia="宋体" w:hint="default"/>
                <w:sz w:val="21"/>
                <w:szCs w:val="21"/>
              </w:rPr>
              <w:t>准备</w:t>
            </w:r>
            <w:r>
              <w:rPr>
                <w:rFonts w:ascii="宋体" w:hAnsi="宋体" w:cs="宋体" w:eastAsia="宋体" w:hint="default"/>
                <w:sz w:val="21"/>
                <w:szCs w:val="21"/>
              </w:rPr>
              <w:t> </w:t>
            </w:r>
          </w:p>
        </w:tc>
        <w:tc>
          <w:tcPr>
            <w:tcW w:w="1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518" w:right="0"/>
              <w:jc w:val="left"/>
              <w:rPr>
                <w:rFonts w:ascii="宋体" w:hAnsi="宋体" w:cs="宋体" w:eastAsia="宋体" w:hint="default"/>
                <w:sz w:val="21"/>
                <w:szCs w:val="21"/>
              </w:rPr>
            </w:pPr>
            <w:r>
              <w:rPr>
                <w:rFonts w:ascii="宋体" w:hAnsi="宋体" w:cs="宋体" w:eastAsia="宋体" w:hint="default"/>
                <w:sz w:val="21"/>
                <w:szCs w:val="21"/>
              </w:rPr>
              <w:t>账面价值</w:t>
            </w:r>
            <w:r>
              <w:rPr>
                <w:rFonts w:ascii="宋体" w:hAnsi="宋体" w:cs="宋体" w:eastAsia="宋体" w:hint="default"/>
                <w:sz w:val="21"/>
                <w:szCs w:val="21"/>
              </w:rPr>
              <w:t> </w:t>
            </w:r>
          </w:p>
        </w:tc>
      </w:tr>
      <w:tr>
        <w:trPr>
          <w:trHeight w:val="555" w:hRule="exact"/>
        </w:trPr>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对子公司投</w:t>
            </w:r>
          </w:p>
          <w:p>
            <w:pPr>
              <w:pStyle w:val="TableParagraph"/>
              <w:spacing w:line="275" w:lineRule="exact"/>
              <w:ind w:left="26" w:right="0"/>
              <w:jc w:val="left"/>
              <w:rPr>
                <w:rFonts w:ascii="宋体" w:hAnsi="宋体" w:cs="宋体" w:eastAsia="宋体" w:hint="default"/>
                <w:sz w:val="21"/>
                <w:szCs w:val="21"/>
              </w:rPr>
            </w:pPr>
            <w:r>
              <w:rPr>
                <w:rFonts w:ascii="宋体" w:hAnsi="宋体" w:cs="宋体" w:eastAsia="宋体" w:hint="default"/>
                <w:sz w:val="21"/>
                <w:szCs w:val="21"/>
              </w:rPr>
              <w:t>资</w:t>
            </w:r>
            <w:r>
              <w:rPr>
                <w:rFonts w:ascii="宋体" w:hAnsi="宋体" w:cs="宋体" w:eastAsia="宋体" w:hint="default"/>
                <w:sz w:val="21"/>
                <w:szCs w:val="21"/>
              </w:rPr>
              <w:t> </w:t>
            </w: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4"/>
              <w:jc w:val="right"/>
              <w:rPr>
                <w:rFonts w:ascii="宋体" w:hAnsi="宋体" w:cs="宋体" w:eastAsia="宋体" w:hint="default"/>
                <w:sz w:val="21"/>
                <w:szCs w:val="21"/>
              </w:rPr>
            </w:pPr>
            <w:r>
              <w:rPr>
                <w:rFonts w:ascii="宋体"/>
                <w:spacing w:val="-1"/>
                <w:sz w:val="21"/>
              </w:rPr>
              <w:t>5,185,628,232.89</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85" w:right="0"/>
              <w:jc w:val="center"/>
              <w:rPr>
                <w:rFonts w:ascii="宋体" w:hAnsi="宋体" w:cs="宋体" w:eastAsia="宋体" w:hint="default"/>
                <w:sz w:val="21"/>
                <w:szCs w:val="21"/>
              </w:rPr>
            </w:pPr>
            <w:r>
              <w:rPr>
                <w:rFonts w:ascii="宋体"/>
                <w:sz w:val="21"/>
              </w:rPr>
              <w:t>18,750,000.00</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4"/>
              <w:jc w:val="right"/>
              <w:rPr>
                <w:rFonts w:ascii="宋体" w:hAnsi="宋体" w:cs="宋体" w:eastAsia="宋体" w:hint="default"/>
                <w:sz w:val="21"/>
                <w:szCs w:val="21"/>
              </w:rPr>
            </w:pPr>
            <w:r>
              <w:rPr>
                <w:rFonts w:ascii="宋体"/>
                <w:spacing w:val="-1"/>
                <w:sz w:val="21"/>
              </w:rPr>
              <w:t>5,166,878,232.89</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4"/>
              <w:jc w:val="right"/>
              <w:rPr>
                <w:rFonts w:ascii="宋体" w:hAnsi="宋体" w:cs="宋体" w:eastAsia="宋体" w:hint="default"/>
                <w:sz w:val="21"/>
                <w:szCs w:val="21"/>
              </w:rPr>
            </w:pPr>
            <w:r>
              <w:rPr>
                <w:rFonts w:ascii="宋体"/>
                <w:spacing w:val="-1"/>
                <w:sz w:val="21"/>
              </w:rPr>
              <w:t>4,510,109,752.16</w:t>
            </w:r>
          </w:p>
        </w:tc>
        <w:tc>
          <w:tcPr>
            <w:tcW w:w="649" w:type="dxa"/>
            <w:tcBorders>
              <w:top w:val="single" w:sz="4" w:space="0" w:color="000000"/>
              <w:left w:val="single" w:sz="4" w:space="0" w:color="000000"/>
              <w:bottom w:val="single" w:sz="4" w:space="0" w:color="000000"/>
              <w:right w:val="single" w:sz="4" w:space="0" w:color="000000"/>
            </w:tcBorders>
          </w:tcPr>
          <w:p>
            <w:pPr/>
          </w:p>
        </w:tc>
        <w:tc>
          <w:tcPr>
            <w:tcW w:w="1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1"/>
              <w:jc w:val="right"/>
              <w:rPr>
                <w:rFonts w:ascii="宋体" w:hAnsi="宋体" w:cs="宋体" w:eastAsia="宋体" w:hint="default"/>
                <w:sz w:val="21"/>
                <w:szCs w:val="21"/>
              </w:rPr>
            </w:pPr>
            <w:r>
              <w:rPr>
                <w:rFonts w:ascii="宋体"/>
                <w:spacing w:val="-1"/>
                <w:sz w:val="21"/>
              </w:rPr>
              <w:t>4,510,109,752.16</w:t>
            </w:r>
          </w:p>
        </w:tc>
      </w:tr>
      <w:tr>
        <w:trPr>
          <w:trHeight w:val="554" w:hRule="exact"/>
        </w:trPr>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对联营、合营</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企业投资</w:t>
            </w:r>
            <w:r>
              <w:rPr>
                <w:rFonts w:ascii="宋体" w:hAnsi="宋体" w:cs="宋体" w:eastAsia="宋体" w:hint="default"/>
                <w:sz w:val="21"/>
                <w:szCs w:val="21"/>
              </w:rPr>
              <w:t> </w:t>
            </w: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4"/>
              <w:jc w:val="right"/>
              <w:rPr>
                <w:rFonts w:ascii="宋体" w:hAnsi="宋体" w:cs="宋体" w:eastAsia="宋体" w:hint="default"/>
                <w:sz w:val="21"/>
                <w:szCs w:val="21"/>
              </w:rPr>
            </w:pPr>
            <w:r>
              <w:rPr>
                <w:rFonts w:ascii="宋体"/>
                <w:spacing w:val="-1"/>
                <w:sz w:val="21"/>
              </w:rPr>
              <w:t>82,208,104.63</w:t>
            </w:r>
          </w:p>
        </w:tc>
        <w:tc>
          <w:tcPr>
            <w:tcW w:w="1517" w:type="dxa"/>
            <w:tcBorders>
              <w:top w:val="single" w:sz="4" w:space="0" w:color="000000"/>
              <w:left w:val="single" w:sz="4" w:space="0" w:color="000000"/>
              <w:bottom w:val="single" w:sz="4" w:space="0" w:color="000000"/>
              <w:right w:val="single" w:sz="4" w:space="0" w:color="000000"/>
            </w:tcBorders>
          </w:tcPr>
          <w:p>
            <w:pP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4"/>
              <w:jc w:val="right"/>
              <w:rPr>
                <w:rFonts w:ascii="宋体" w:hAnsi="宋体" w:cs="宋体" w:eastAsia="宋体" w:hint="default"/>
                <w:sz w:val="21"/>
                <w:szCs w:val="21"/>
              </w:rPr>
            </w:pPr>
            <w:r>
              <w:rPr>
                <w:rFonts w:ascii="宋体"/>
                <w:spacing w:val="-1"/>
                <w:sz w:val="21"/>
              </w:rPr>
              <w:t>82,208,104.63</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4"/>
              <w:jc w:val="right"/>
              <w:rPr>
                <w:rFonts w:ascii="宋体" w:hAnsi="宋体" w:cs="宋体" w:eastAsia="宋体" w:hint="default"/>
                <w:sz w:val="21"/>
                <w:szCs w:val="21"/>
              </w:rPr>
            </w:pPr>
            <w:r>
              <w:rPr>
                <w:rFonts w:ascii="宋体"/>
                <w:spacing w:val="-1"/>
                <w:sz w:val="21"/>
              </w:rPr>
              <w:t>108,539,394.75</w:t>
            </w:r>
          </w:p>
        </w:tc>
        <w:tc>
          <w:tcPr>
            <w:tcW w:w="649" w:type="dxa"/>
            <w:tcBorders>
              <w:top w:val="single" w:sz="4" w:space="0" w:color="000000"/>
              <w:left w:val="single" w:sz="4" w:space="0" w:color="000000"/>
              <w:bottom w:val="single" w:sz="4" w:space="0" w:color="000000"/>
              <w:right w:val="single" w:sz="4" w:space="0" w:color="000000"/>
            </w:tcBorders>
          </w:tcPr>
          <w:p>
            <w:pPr/>
          </w:p>
        </w:tc>
        <w:tc>
          <w:tcPr>
            <w:tcW w:w="1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宋体" w:hAnsi="宋体" w:cs="宋体" w:eastAsia="宋体" w:hint="default"/>
                <w:sz w:val="21"/>
                <w:szCs w:val="21"/>
              </w:rPr>
            </w:pPr>
            <w:r>
              <w:rPr>
                <w:rFonts w:ascii="宋体"/>
                <w:spacing w:val="-1"/>
                <w:sz w:val="21"/>
              </w:rPr>
              <w:t>108,539,394.75</w:t>
            </w:r>
          </w:p>
        </w:tc>
      </w:tr>
      <w:tr>
        <w:trPr>
          <w:trHeight w:val="283" w:hRule="exact"/>
        </w:trPr>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43"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5,267,836,337.52</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5" w:right="0"/>
              <w:jc w:val="center"/>
              <w:rPr>
                <w:rFonts w:ascii="宋体" w:hAnsi="宋体" w:cs="宋体" w:eastAsia="宋体" w:hint="default"/>
                <w:sz w:val="21"/>
                <w:szCs w:val="21"/>
              </w:rPr>
            </w:pPr>
            <w:r>
              <w:rPr>
                <w:rFonts w:ascii="宋体"/>
                <w:sz w:val="21"/>
              </w:rPr>
              <w:t>18,750,000.00</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5,249,086,337.52</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4,618,649,146.91</w:t>
            </w:r>
          </w:p>
        </w:tc>
        <w:tc>
          <w:tcPr>
            <w:tcW w:w="649" w:type="dxa"/>
            <w:tcBorders>
              <w:top w:val="single" w:sz="4" w:space="0" w:color="000000"/>
              <w:left w:val="single" w:sz="4" w:space="0" w:color="000000"/>
              <w:bottom w:val="single" w:sz="4" w:space="0" w:color="000000"/>
              <w:right w:val="single" w:sz="4" w:space="0" w:color="000000"/>
            </w:tcBorders>
          </w:tcPr>
          <w:p>
            <w:pPr/>
          </w:p>
        </w:tc>
        <w:tc>
          <w:tcPr>
            <w:tcW w:w="18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4,618,649,146.91</w:t>
            </w:r>
          </w:p>
        </w:tc>
      </w:tr>
    </w:tbl>
    <w:p>
      <w:pPr>
        <w:spacing w:after="0" w:line="241" w:lineRule="exact"/>
        <w:jc w:val="right"/>
        <w:rPr>
          <w:rFonts w:ascii="宋体" w:hAnsi="宋体" w:cs="宋体" w:eastAsia="宋体" w:hint="default"/>
          <w:sz w:val="21"/>
          <w:szCs w:val="21"/>
        </w:rPr>
        <w:sectPr>
          <w:type w:val="continuous"/>
          <w:pgSz w:w="11910" w:h="16840"/>
          <w:pgMar w:top="1580" w:bottom="280" w:left="280" w:right="260"/>
        </w:sectPr>
      </w:pPr>
    </w:p>
    <w:p>
      <w:pPr>
        <w:pStyle w:val="BodyText"/>
        <w:spacing w:line="241" w:lineRule="exact"/>
        <w:ind w:left="0" w:right="793"/>
        <w:jc w:val="center"/>
        <w:rPr>
          <w:rFonts w:ascii="宋体" w:hAnsi="宋体" w:cs="宋体" w:eastAsia="宋体" w:hint="default"/>
        </w:rPr>
      </w:pPr>
      <w:r>
        <w:rPr>
          <w:rFonts w:ascii="宋体"/>
          <w:w w:val="100"/>
        </w:rPr>
        <w:t> </w:t>
      </w:r>
    </w:p>
    <w:p>
      <w:pPr>
        <w:pStyle w:val="Heading3"/>
        <w:spacing w:line="240" w:lineRule="auto" w:before="58"/>
        <w:ind w:left="1138" w:right="0"/>
        <w:jc w:val="left"/>
        <w:rPr>
          <w:rFonts w:ascii="宋体" w:hAnsi="宋体" w:cs="宋体" w:eastAsia="宋体" w:hint="default"/>
          <w:b w:val="0"/>
          <w:bCs w:val="0"/>
        </w:rPr>
      </w:pPr>
      <w:r>
        <w:rPr>
          <w:rFonts w:ascii="宋体" w:hAnsi="宋体" w:cs="宋体" w:eastAsia="宋体" w:hint="default"/>
        </w:rPr>
        <w:t>(1).</w:t>
      </w:r>
      <w:r>
        <w:rPr>
          <w:rFonts w:ascii="宋体" w:hAnsi="宋体" w:cs="宋体" w:eastAsia="宋体" w:hint="default"/>
          <w:spacing w:val="-2"/>
        </w:rPr>
        <w:t> </w:t>
      </w:r>
      <w:r>
        <w:rPr/>
        <w:t>对子公司投资</w:t>
      </w:r>
      <w:r>
        <w:rPr>
          <w:rFonts w:ascii="宋体" w:hAnsi="宋体" w:cs="宋体" w:eastAsia="宋体" w:hint="default"/>
          <w:w w:val="99"/>
        </w:rPr>
        <w:t> </w:t>
      </w:r>
      <w:r>
        <w:rPr>
          <w:rFonts w:ascii="宋体" w:hAnsi="宋体" w:cs="宋体" w:eastAsia="宋体" w:hint="default"/>
          <w:b w:val="0"/>
          <w:bCs w:val="0"/>
        </w:rPr>
      </w:r>
    </w:p>
    <w:p>
      <w:pPr>
        <w:pStyle w:val="Heading2"/>
        <w:spacing w:line="240" w:lineRule="auto" w:before="50"/>
        <w:ind w:left="1138"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57"/>
        <w:ind w:left="1138" w:right="0"/>
        <w:jc w:val="left"/>
        <w:rPr>
          <w:rFonts w:ascii="宋体" w:hAnsi="宋体" w:cs="宋体" w:eastAsia="宋体" w:hint="default"/>
        </w:rPr>
      </w:pPr>
      <w:r>
        <w:rPr/>
        <w:t>单位：元币种：人民币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580" w:bottom="280" w:left="280" w:right="260"/>
          <w:cols w:num="2" w:equalWidth="0">
            <w:col w:w="3179" w:space="3791"/>
            <w:col w:w="4400"/>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016"/>
        <w:gridCol w:w="1690"/>
        <w:gridCol w:w="1502"/>
        <w:gridCol w:w="1412"/>
        <w:gridCol w:w="1687"/>
        <w:gridCol w:w="1412"/>
        <w:gridCol w:w="1411"/>
      </w:tblGrid>
      <w:tr>
        <w:trPr>
          <w:trHeight w:val="478" w:hRule="exact"/>
        </w:trPr>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87" w:right="0"/>
              <w:jc w:val="center"/>
              <w:rPr>
                <w:rFonts w:ascii="宋体" w:hAnsi="宋体" w:cs="宋体" w:eastAsia="宋体" w:hint="default"/>
                <w:sz w:val="18"/>
                <w:szCs w:val="18"/>
              </w:rPr>
            </w:pPr>
            <w:r>
              <w:rPr>
                <w:rFonts w:ascii="宋体" w:hAnsi="宋体" w:cs="宋体" w:eastAsia="宋体" w:hint="default"/>
                <w:sz w:val="18"/>
                <w:szCs w:val="18"/>
              </w:rPr>
              <w:t>被投资单位</w:t>
            </w:r>
            <w:r>
              <w:rPr>
                <w:rFonts w:ascii="宋体" w:hAnsi="宋体" w:cs="宋体" w:eastAsia="宋体" w:hint="default"/>
                <w:sz w:val="18"/>
                <w:szCs w:val="18"/>
              </w:rPr>
              <w:t> </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477"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宋体" w:hAnsi="宋体" w:cs="宋体" w:eastAsia="宋体" w:hint="default"/>
                <w:sz w:val="18"/>
                <w:szCs w:val="18"/>
              </w:rPr>
              <w:t> </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384" w:right="0"/>
              <w:jc w:val="left"/>
              <w:rPr>
                <w:rFonts w:ascii="宋体" w:hAnsi="宋体" w:cs="宋体" w:eastAsia="宋体" w:hint="default"/>
                <w:sz w:val="18"/>
                <w:szCs w:val="18"/>
              </w:rPr>
            </w:pPr>
            <w:r>
              <w:rPr>
                <w:rFonts w:ascii="宋体" w:hAnsi="宋体" w:cs="宋体" w:eastAsia="宋体" w:hint="default"/>
                <w:sz w:val="18"/>
                <w:szCs w:val="18"/>
              </w:rPr>
              <w:t>本期增加</w:t>
            </w:r>
            <w:r>
              <w:rPr>
                <w:rFonts w:ascii="宋体" w:hAnsi="宋体" w:cs="宋体" w:eastAsia="宋体" w:hint="default"/>
                <w:sz w:val="18"/>
                <w:szCs w:val="18"/>
              </w:rPr>
              <w:t> </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338" w:right="0"/>
              <w:jc w:val="left"/>
              <w:rPr>
                <w:rFonts w:ascii="宋体" w:hAnsi="宋体" w:cs="宋体" w:eastAsia="宋体" w:hint="default"/>
                <w:sz w:val="18"/>
                <w:szCs w:val="18"/>
              </w:rPr>
            </w:pPr>
            <w:r>
              <w:rPr>
                <w:rFonts w:ascii="宋体" w:hAnsi="宋体" w:cs="宋体" w:eastAsia="宋体" w:hint="default"/>
                <w:sz w:val="18"/>
                <w:szCs w:val="18"/>
              </w:rPr>
              <w:t>本期减少</w:t>
            </w:r>
            <w:r>
              <w:rPr>
                <w:rFonts w:ascii="宋体" w:hAnsi="宋体" w:cs="宋体" w:eastAsia="宋体" w:hint="default"/>
                <w:sz w:val="18"/>
                <w:szCs w:val="18"/>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477"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宋体" w:hAnsi="宋体" w:cs="宋体" w:eastAsia="宋体" w:hint="default"/>
                <w:sz w:val="18"/>
                <w:szCs w:val="18"/>
              </w:rPr>
              <w:t> </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本期计提减值</w:t>
            </w:r>
          </w:p>
          <w:p>
            <w:pPr>
              <w:pStyle w:val="TableParagraph"/>
              <w:spacing w:line="235" w:lineRule="exact"/>
              <w:ind w:left="90" w:right="0"/>
              <w:jc w:val="center"/>
              <w:rPr>
                <w:rFonts w:ascii="宋体" w:hAnsi="宋体" w:cs="宋体" w:eastAsia="宋体" w:hint="default"/>
                <w:sz w:val="18"/>
                <w:szCs w:val="18"/>
              </w:rPr>
            </w:pPr>
            <w:r>
              <w:rPr>
                <w:rFonts w:ascii="宋体" w:hAnsi="宋体" w:cs="宋体" w:eastAsia="宋体" w:hint="default"/>
                <w:sz w:val="18"/>
                <w:szCs w:val="18"/>
              </w:rPr>
              <w:t>准备</w:t>
            </w:r>
            <w:r>
              <w:rPr>
                <w:rFonts w:ascii="宋体" w:hAnsi="宋体" w:cs="宋体" w:eastAsia="宋体" w:hint="default"/>
                <w:sz w:val="18"/>
                <w:szCs w:val="18"/>
              </w:rPr>
              <w:t> </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减值准备期末</w:t>
            </w:r>
          </w:p>
          <w:p>
            <w:pPr>
              <w:pStyle w:val="TableParagraph"/>
              <w:spacing w:line="235" w:lineRule="exact"/>
              <w:ind w:left="89" w:right="0"/>
              <w:jc w:val="center"/>
              <w:rPr>
                <w:rFonts w:ascii="宋体" w:hAnsi="宋体" w:cs="宋体" w:eastAsia="宋体" w:hint="default"/>
                <w:sz w:val="18"/>
                <w:szCs w:val="18"/>
              </w:rPr>
            </w:pPr>
            <w:r>
              <w:rPr>
                <w:rFonts w:ascii="宋体" w:hAnsi="宋体" w:cs="宋体" w:eastAsia="宋体" w:hint="default"/>
                <w:sz w:val="18"/>
                <w:szCs w:val="18"/>
              </w:rPr>
              <w:t>余额</w:t>
            </w:r>
            <w:r>
              <w:rPr>
                <w:rFonts w:ascii="宋体" w:hAnsi="宋体" w:cs="宋体" w:eastAsia="宋体" w:hint="default"/>
                <w:sz w:val="18"/>
                <w:szCs w:val="18"/>
              </w:rPr>
              <w:t> </w:t>
            </w:r>
          </w:p>
        </w:tc>
      </w:tr>
      <w:tr>
        <w:trPr>
          <w:trHeight w:val="242" w:hRule="exact"/>
        </w:trPr>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90" w:right="0"/>
              <w:jc w:val="center"/>
              <w:rPr>
                <w:rFonts w:ascii="宋体" w:hAnsi="宋体" w:cs="宋体" w:eastAsia="宋体" w:hint="default"/>
                <w:sz w:val="18"/>
                <w:szCs w:val="18"/>
              </w:rPr>
            </w:pPr>
            <w:r>
              <w:rPr>
                <w:rFonts w:ascii="宋体" w:hAnsi="宋体" w:cs="宋体" w:eastAsia="宋体" w:hint="default"/>
                <w:sz w:val="18"/>
                <w:szCs w:val="18"/>
              </w:rPr>
              <w:t>武汉奥统电气有限公司</w:t>
            </w:r>
            <w:r>
              <w:rPr>
                <w:rFonts w:ascii="宋体" w:hAnsi="宋体" w:cs="宋体" w:eastAsia="宋体" w:hint="default"/>
                <w:sz w:val="18"/>
                <w:szCs w:val="18"/>
              </w:rPr>
              <w:t> </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03" w:right="0"/>
              <w:jc w:val="left"/>
              <w:rPr>
                <w:rFonts w:ascii="宋体" w:hAnsi="宋体" w:cs="宋体" w:eastAsia="宋体" w:hint="default"/>
                <w:sz w:val="18"/>
                <w:szCs w:val="18"/>
              </w:rPr>
            </w:pPr>
            <w:r>
              <w:rPr>
                <w:rFonts w:ascii="宋体"/>
                <w:sz w:val="18"/>
              </w:rPr>
              <w:t>17,955,000.00 </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03" w:right="0"/>
              <w:jc w:val="left"/>
              <w:rPr>
                <w:rFonts w:ascii="宋体" w:hAnsi="宋体" w:cs="宋体" w:eastAsia="宋体" w:hint="default"/>
                <w:sz w:val="18"/>
                <w:szCs w:val="18"/>
              </w:rPr>
            </w:pPr>
            <w:r>
              <w:rPr>
                <w:rFonts w:ascii="宋体"/>
                <w:sz w:val="18"/>
              </w:rPr>
              <w:t>17,955,000.00 </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r>
    </w:tbl>
    <w:p>
      <w:pPr>
        <w:spacing w:after="0" w:line="205" w:lineRule="exact"/>
        <w:jc w:val="right"/>
        <w:rPr>
          <w:rFonts w:ascii="宋体" w:hAnsi="宋体" w:cs="宋体" w:eastAsia="宋体" w:hint="default"/>
          <w:sz w:val="18"/>
          <w:szCs w:val="18"/>
        </w:rPr>
        <w:sectPr>
          <w:type w:val="continuous"/>
          <w:pgSz w:w="11910" w:h="16840"/>
          <w:pgMar w:top="1580" w:bottom="280" w:left="280" w:right="260"/>
        </w:sectPr>
      </w:pPr>
    </w:p>
    <w:p>
      <w:pPr>
        <w:spacing w:line="240" w:lineRule="auto" w:before="4"/>
        <w:rPr>
          <w:rFonts w:ascii="宋体" w:hAnsi="宋体" w:cs="宋体" w:eastAsia="宋体" w:hint="default"/>
          <w:sz w:val="29"/>
          <w:szCs w:val="29"/>
        </w:rPr>
      </w:pPr>
    </w:p>
    <w:tbl>
      <w:tblPr>
        <w:tblW w:w="0" w:type="auto"/>
        <w:jc w:val="left"/>
        <w:tblInd w:w="103" w:type="dxa"/>
        <w:tblLayout w:type="fixed"/>
        <w:tblCellMar>
          <w:top w:w="0" w:type="dxa"/>
          <w:left w:w="0" w:type="dxa"/>
          <w:bottom w:w="0" w:type="dxa"/>
          <w:right w:w="0" w:type="dxa"/>
        </w:tblCellMar>
        <w:tblLook w:val="01E0"/>
      </w:tblPr>
      <w:tblGrid>
        <w:gridCol w:w="2016"/>
        <w:gridCol w:w="1690"/>
        <w:gridCol w:w="1502"/>
        <w:gridCol w:w="1412"/>
        <w:gridCol w:w="1687"/>
        <w:gridCol w:w="1412"/>
        <w:gridCol w:w="1411"/>
      </w:tblGrid>
      <w:tr>
        <w:trPr>
          <w:trHeight w:val="478" w:hRule="exact"/>
        </w:trPr>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林洋能源科技（上海</w:t>
            </w:r>
            <w:r>
              <w:rPr>
                <w:rFonts w:ascii="宋体" w:hAnsi="宋体" w:cs="宋体" w:eastAsia="宋体" w:hint="default"/>
                <w:sz w:val="18"/>
                <w:szCs w:val="18"/>
              </w:rPr>
              <w:t>)</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有限公司</w:t>
            </w:r>
            <w:r>
              <w:rPr>
                <w:rFonts w:ascii="宋体" w:hAnsi="宋体" w:cs="宋体" w:eastAsia="宋体" w:hint="default"/>
                <w:sz w:val="18"/>
                <w:szCs w:val="18"/>
              </w:rPr>
              <w:t> </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3"/>
              <w:jc w:val="right"/>
              <w:rPr>
                <w:rFonts w:ascii="宋体" w:hAnsi="宋体" w:cs="宋体" w:eastAsia="宋体" w:hint="default"/>
                <w:sz w:val="18"/>
                <w:szCs w:val="18"/>
              </w:rPr>
            </w:pPr>
            <w:r>
              <w:rPr>
                <w:rFonts w:ascii="宋体"/>
                <w:spacing w:val="-1"/>
                <w:sz w:val="18"/>
              </w:rPr>
              <w:t>20,000,000.00 </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3"/>
              <w:jc w:val="right"/>
              <w:rPr>
                <w:rFonts w:ascii="宋体" w:hAnsi="宋体" w:cs="宋体" w:eastAsia="宋体" w:hint="default"/>
                <w:sz w:val="18"/>
                <w:szCs w:val="18"/>
              </w:rPr>
            </w:pPr>
            <w:r>
              <w:rPr>
                <w:rFonts w:ascii="宋体"/>
                <w:sz w:val="18"/>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pacing w:val="-1"/>
                <w:sz w:val="18"/>
              </w:rPr>
              <w:t>20,000,000.00</w:t>
            </w:r>
            <w:r>
              <w:rPr>
                <w:rFonts w:ascii="宋体"/>
                <w:sz w:val="18"/>
              </w:rPr>
              <w:t> </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r>
      <w:tr>
        <w:trPr>
          <w:trHeight w:val="478" w:hRule="exact"/>
        </w:trPr>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南京林洋电力科技有限</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z w:val="18"/>
                <w:szCs w:val="18"/>
              </w:rPr>
              <w:t> </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3"/>
              <w:jc w:val="right"/>
              <w:rPr>
                <w:rFonts w:ascii="宋体" w:hAnsi="宋体" w:cs="宋体" w:eastAsia="宋体" w:hint="default"/>
                <w:sz w:val="18"/>
                <w:szCs w:val="18"/>
              </w:rPr>
            </w:pPr>
            <w:r>
              <w:rPr>
                <w:rFonts w:ascii="宋体"/>
                <w:spacing w:val="-1"/>
                <w:sz w:val="18"/>
              </w:rPr>
              <w:t>54,685,380.22 </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3"/>
              <w:jc w:val="right"/>
              <w:rPr>
                <w:rFonts w:ascii="宋体" w:hAnsi="宋体" w:cs="宋体" w:eastAsia="宋体" w:hint="default"/>
                <w:sz w:val="18"/>
                <w:szCs w:val="18"/>
              </w:rPr>
            </w:pPr>
            <w:r>
              <w:rPr>
                <w:rFonts w:ascii="宋体"/>
                <w:sz w:val="18"/>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pacing w:val="-1"/>
                <w:sz w:val="18"/>
              </w:rPr>
              <w:t>54,685,380.22</w:t>
            </w:r>
            <w:r>
              <w:rPr>
                <w:rFonts w:ascii="宋体"/>
                <w:sz w:val="18"/>
              </w:rPr>
              <w:t> </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r>
      <w:tr>
        <w:trPr>
          <w:trHeight w:val="478" w:hRule="exact"/>
        </w:trPr>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安徽永安电子科技有限</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z w:val="18"/>
                <w:szCs w:val="18"/>
              </w:rPr>
              <w:t> </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3"/>
              <w:jc w:val="right"/>
              <w:rPr>
                <w:rFonts w:ascii="宋体" w:hAnsi="宋体" w:cs="宋体" w:eastAsia="宋体" w:hint="default"/>
                <w:sz w:val="18"/>
                <w:szCs w:val="18"/>
              </w:rPr>
            </w:pPr>
            <w:r>
              <w:rPr>
                <w:rFonts w:ascii="宋体"/>
                <w:spacing w:val="-1"/>
                <w:sz w:val="18"/>
              </w:rPr>
              <w:t>183,293,555.23 </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3"/>
              <w:jc w:val="right"/>
              <w:rPr>
                <w:rFonts w:ascii="宋体" w:hAnsi="宋体" w:cs="宋体" w:eastAsia="宋体" w:hint="default"/>
                <w:sz w:val="18"/>
                <w:szCs w:val="18"/>
              </w:rPr>
            </w:pPr>
            <w:r>
              <w:rPr>
                <w:rFonts w:ascii="宋体"/>
                <w:sz w:val="18"/>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pacing w:val="-1"/>
                <w:sz w:val="18"/>
              </w:rPr>
              <w:t>183,293,555.23 </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r>
      <w:tr>
        <w:trPr>
          <w:trHeight w:val="475" w:hRule="exact"/>
        </w:trPr>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江苏林洋新能源科技有</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限公司</w:t>
            </w:r>
            <w:r>
              <w:rPr>
                <w:rFonts w:ascii="宋体" w:hAnsi="宋体" w:cs="宋体" w:eastAsia="宋体" w:hint="default"/>
                <w:sz w:val="18"/>
                <w:szCs w:val="18"/>
              </w:rPr>
              <w:t> </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3"/>
              <w:jc w:val="right"/>
              <w:rPr>
                <w:rFonts w:ascii="宋体" w:hAnsi="宋体" w:cs="宋体" w:eastAsia="宋体" w:hint="default"/>
                <w:sz w:val="18"/>
                <w:szCs w:val="18"/>
              </w:rPr>
            </w:pPr>
            <w:r>
              <w:rPr>
                <w:rFonts w:ascii="宋体"/>
                <w:spacing w:val="-1"/>
                <w:sz w:val="18"/>
              </w:rPr>
              <w:t>1,000,000,000.00 </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z w:val="18"/>
              </w:rPr>
              <w:t> </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3"/>
              <w:jc w:val="right"/>
              <w:rPr>
                <w:rFonts w:ascii="宋体" w:hAnsi="宋体" w:cs="宋体" w:eastAsia="宋体" w:hint="default"/>
                <w:sz w:val="18"/>
                <w:szCs w:val="18"/>
              </w:rPr>
            </w:pPr>
            <w:r>
              <w:rPr>
                <w:rFonts w:ascii="宋体"/>
                <w:sz w:val="18"/>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pacing w:val="-1"/>
                <w:sz w:val="18"/>
              </w:rPr>
              <w:t>1,000,000,000.00 </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z w:val="18"/>
              </w:rPr>
              <w:t> </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z w:val="18"/>
              </w:rPr>
              <w:t> </w:t>
            </w:r>
          </w:p>
        </w:tc>
      </w:tr>
      <w:tr>
        <w:trPr>
          <w:trHeight w:val="478" w:hRule="exact"/>
        </w:trPr>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林洋澳洲新能源有限责</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任公司</w:t>
            </w:r>
            <w:r>
              <w:rPr>
                <w:rFonts w:ascii="宋体" w:hAnsi="宋体" w:cs="宋体" w:eastAsia="宋体" w:hint="default"/>
                <w:sz w:val="18"/>
                <w:szCs w:val="18"/>
              </w:rPr>
              <w:t> </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3"/>
              <w:jc w:val="right"/>
              <w:rPr>
                <w:rFonts w:ascii="宋体" w:hAnsi="宋体" w:cs="宋体" w:eastAsia="宋体" w:hint="default"/>
                <w:sz w:val="18"/>
                <w:szCs w:val="18"/>
              </w:rPr>
            </w:pPr>
            <w:r>
              <w:rPr>
                <w:rFonts w:ascii="宋体"/>
                <w:spacing w:val="-1"/>
                <w:sz w:val="18"/>
              </w:rPr>
              <w:t>6,223,400.00 </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3"/>
              <w:jc w:val="right"/>
              <w:rPr>
                <w:rFonts w:ascii="宋体" w:hAnsi="宋体" w:cs="宋体" w:eastAsia="宋体" w:hint="default"/>
                <w:sz w:val="18"/>
                <w:szCs w:val="18"/>
              </w:rPr>
            </w:pPr>
            <w:r>
              <w:rPr>
                <w:rFonts w:ascii="宋体"/>
                <w:sz w:val="18"/>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pacing w:val="-1"/>
                <w:sz w:val="18"/>
              </w:rPr>
              <w:t>6,223,400.00</w:t>
            </w:r>
            <w:r>
              <w:rPr>
                <w:rFonts w:ascii="宋体"/>
                <w:sz w:val="18"/>
              </w:rPr>
              <w:t> </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r>
      <w:tr>
        <w:trPr>
          <w:trHeight w:val="478" w:hRule="exact"/>
        </w:trPr>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江苏林洋照明科技有限</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z w:val="18"/>
                <w:szCs w:val="18"/>
              </w:rPr>
              <w:t> </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3"/>
              <w:jc w:val="right"/>
              <w:rPr>
                <w:rFonts w:ascii="宋体" w:hAnsi="宋体" w:cs="宋体" w:eastAsia="宋体" w:hint="default"/>
                <w:sz w:val="18"/>
                <w:szCs w:val="18"/>
              </w:rPr>
            </w:pPr>
            <w:r>
              <w:rPr>
                <w:rFonts w:ascii="宋体"/>
                <w:spacing w:val="-1"/>
                <w:sz w:val="18"/>
              </w:rPr>
              <w:t>125,000,000.00 </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3"/>
              <w:jc w:val="right"/>
              <w:rPr>
                <w:rFonts w:ascii="宋体" w:hAnsi="宋体" w:cs="宋体" w:eastAsia="宋体" w:hint="default"/>
                <w:sz w:val="18"/>
                <w:szCs w:val="18"/>
              </w:rPr>
            </w:pPr>
            <w:r>
              <w:rPr>
                <w:rFonts w:ascii="宋体"/>
                <w:sz w:val="18"/>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pacing w:val="-1"/>
                <w:sz w:val="18"/>
              </w:rPr>
              <w:t>125,000,000.00 </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r>
      <w:tr>
        <w:trPr>
          <w:trHeight w:val="475" w:hRule="exact"/>
        </w:trPr>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江苏林洋电力科技有限</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z w:val="18"/>
                <w:szCs w:val="18"/>
              </w:rPr>
              <w:t> </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3"/>
              <w:jc w:val="right"/>
              <w:rPr>
                <w:rFonts w:ascii="宋体" w:hAnsi="宋体" w:cs="宋体" w:eastAsia="宋体" w:hint="default"/>
                <w:sz w:val="18"/>
                <w:szCs w:val="18"/>
              </w:rPr>
            </w:pPr>
            <w:r>
              <w:rPr>
                <w:rFonts w:ascii="宋体"/>
                <w:spacing w:val="-1"/>
                <w:sz w:val="18"/>
              </w:rPr>
              <w:t>10,000,000.00 </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z w:val="18"/>
              </w:rPr>
              <w:t> </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3"/>
              <w:jc w:val="right"/>
              <w:rPr>
                <w:rFonts w:ascii="宋体" w:hAnsi="宋体" w:cs="宋体" w:eastAsia="宋体" w:hint="default"/>
                <w:sz w:val="18"/>
                <w:szCs w:val="18"/>
              </w:rPr>
            </w:pPr>
            <w:r>
              <w:rPr>
                <w:rFonts w:ascii="宋体"/>
                <w:spacing w:val="-1"/>
                <w:sz w:val="18"/>
              </w:rPr>
              <w:t>10,000,000.00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z w:val="18"/>
              </w:rPr>
              <w:t> </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z w:val="18"/>
              </w:rPr>
              <w:t> </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z w:val="18"/>
              </w:rPr>
              <w:t> </w:t>
            </w:r>
          </w:p>
        </w:tc>
      </w:tr>
      <w:tr>
        <w:trPr>
          <w:trHeight w:val="478" w:hRule="exact"/>
        </w:trPr>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内蒙古乾华农业发展有</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限公司</w:t>
            </w:r>
            <w:r>
              <w:rPr>
                <w:rFonts w:ascii="宋体" w:hAnsi="宋体" w:cs="宋体" w:eastAsia="宋体" w:hint="default"/>
                <w:sz w:val="18"/>
                <w:szCs w:val="18"/>
              </w:rPr>
              <w:t> </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3"/>
              <w:jc w:val="right"/>
              <w:rPr>
                <w:rFonts w:ascii="宋体" w:hAnsi="宋体" w:cs="宋体" w:eastAsia="宋体" w:hint="default"/>
                <w:sz w:val="18"/>
                <w:szCs w:val="18"/>
              </w:rPr>
            </w:pPr>
            <w:r>
              <w:rPr>
                <w:rFonts w:ascii="宋体"/>
                <w:spacing w:val="-1"/>
                <w:sz w:val="18"/>
              </w:rPr>
              <w:t>283,564,586.50 </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3"/>
              <w:jc w:val="right"/>
              <w:rPr>
                <w:rFonts w:ascii="宋体" w:hAnsi="宋体" w:cs="宋体" w:eastAsia="宋体" w:hint="default"/>
                <w:sz w:val="18"/>
                <w:szCs w:val="18"/>
              </w:rPr>
            </w:pPr>
            <w:r>
              <w:rPr>
                <w:rFonts w:ascii="宋体"/>
                <w:sz w:val="18"/>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pacing w:val="-1"/>
                <w:sz w:val="18"/>
              </w:rPr>
              <w:t>283,564,586.50 </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r>
      <w:tr>
        <w:trPr>
          <w:trHeight w:val="478" w:hRule="exact"/>
        </w:trPr>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安徽林洋新能源科技能</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限公司</w:t>
            </w:r>
            <w:r>
              <w:rPr>
                <w:rFonts w:ascii="宋体" w:hAnsi="宋体" w:cs="宋体" w:eastAsia="宋体" w:hint="default"/>
                <w:sz w:val="18"/>
                <w:szCs w:val="18"/>
              </w:rPr>
              <w:t> </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3"/>
              <w:jc w:val="right"/>
              <w:rPr>
                <w:rFonts w:ascii="宋体" w:hAnsi="宋体" w:cs="宋体" w:eastAsia="宋体" w:hint="default"/>
                <w:sz w:val="18"/>
                <w:szCs w:val="18"/>
              </w:rPr>
            </w:pPr>
            <w:r>
              <w:rPr>
                <w:rFonts w:ascii="宋体"/>
                <w:spacing w:val="-1"/>
                <w:sz w:val="18"/>
              </w:rPr>
              <w:t>1,200,000,000.00 </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3"/>
              <w:jc w:val="right"/>
              <w:rPr>
                <w:rFonts w:ascii="宋体" w:hAnsi="宋体" w:cs="宋体" w:eastAsia="宋体" w:hint="default"/>
                <w:sz w:val="18"/>
                <w:szCs w:val="18"/>
              </w:rPr>
            </w:pPr>
            <w:r>
              <w:rPr>
                <w:rFonts w:ascii="宋体"/>
                <w:sz w:val="18"/>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pacing w:val="-1"/>
                <w:sz w:val="18"/>
              </w:rPr>
              <w:t>1,200,000,000.00 </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r>
      <w:tr>
        <w:trPr>
          <w:trHeight w:val="242" w:hRule="exact"/>
        </w:trPr>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90" w:right="0"/>
              <w:jc w:val="center"/>
              <w:rPr>
                <w:rFonts w:ascii="宋体" w:hAnsi="宋体" w:cs="宋体" w:eastAsia="宋体" w:hint="default"/>
                <w:sz w:val="18"/>
                <w:szCs w:val="18"/>
              </w:rPr>
            </w:pPr>
            <w:r>
              <w:rPr>
                <w:rFonts w:ascii="宋体"/>
                <w:sz w:val="18"/>
              </w:rPr>
              <w:t>UABELGAMAELEKTRONIKA </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pacing w:val="-1"/>
                <w:sz w:val="18"/>
              </w:rPr>
              <w:t>17,993,870.21 </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17,993,870.21</w:t>
            </w:r>
            <w:r>
              <w:rPr>
                <w:rFonts w:ascii="宋体"/>
                <w:sz w:val="18"/>
              </w:rPr>
              <w:t> </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r>
      <w:tr>
        <w:trPr>
          <w:trHeight w:val="478" w:hRule="exact"/>
        </w:trPr>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山东林洋新能源科技有</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限公司</w:t>
            </w:r>
            <w:r>
              <w:rPr>
                <w:rFonts w:ascii="宋体" w:hAnsi="宋体" w:cs="宋体" w:eastAsia="宋体" w:hint="default"/>
                <w:sz w:val="18"/>
                <w:szCs w:val="18"/>
              </w:rPr>
              <w:t> </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3"/>
              <w:jc w:val="right"/>
              <w:rPr>
                <w:rFonts w:ascii="宋体" w:hAnsi="宋体" w:cs="宋体" w:eastAsia="宋体" w:hint="default"/>
                <w:sz w:val="18"/>
                <w:szCs w:val="18"/>
              </w:rPr>
            </w:pPr>
            <w:r>
              <w:rPr>
                <w:rFonts w:ascii="宋体"/>
                <w:spacing w:val="-1"/>
                <w:sz w:val="18"/>
              </w:rPr>
              <w:t>1,000,000,000.00 </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3"/>
              <w:jc w:val="right"/>
              <w:rPr>
                <w:rFonts w:ascii="宋体" w:hAnsi="宋体" w:cs="宋体" w:eastAsia="宋体" w:hint="default"/>
                <w:sz w:val="18"/>
                <w:szCs w:val="18"/>
              </w:rPr>
            </w:pPr>
            <w:r>
              <w:rPr>
                <w:rFonts w:ascii="宋体"/>
                <w:sz w:val="18"/>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pacing w:val="-1"/>
                <w:sz w:val="18"/>
              </w:rPr>
              <w:t>1,000,000,000.00 </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r>
      <w:tr>
        <w:trPr>
          <w:trHeight w:val="478" w:hRule="exact"/>
        </w:trPr>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江苏林洋电力服务有限</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z w:val="18"/>
                <w:szCs w:val="18"/>
              </w:rPr>
              <w:t> </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3"/>
              <w:jc w:val="right"/>
              <w:rPr>
                <w:rFonts w:ascii="宋体" w:hAnsi="宋体" w:cs="宋体" w:eastAsia="宋体" w:hint="default"/>
                <w:sz w:val="18"/>
                <w:szCs w:val="18"/>
              </w:rPr>
            </w:pPr>
            <w:r>
              <w:rPr>
                <w:rFonts w:ascii="宋体"/>
                <w:spacing w:val="-1"/>
                <w:sz w:val="18"/>
              </w:rPr>
              <w:t>175,000,000.00 </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3"/>
              <w:jc w:val="right"/>
              <w:rPr>
                <w:rFonts w:ascii="宋体" w:hAnsi="宋体" w:cs="宋体" w:eastAsia="宋体" w:hint="default"/>
                <w:sz w:val="18"/>
                <w:szCs w:val="18"/>
              </w:rPr>
            </w:pPr>
            <w:r>
              <w:rPr>
                <w:rFonts w:ascii="宋体"/>
                <w:sz w:val="18"/>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pacing w:val="-1"/>
                <w:sz w:val="18"/>
              </w:rPr>
              <w:t>175,000,000.00 </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r>
      <w:tr>
        <w:trPr>
          <w:trHeight w:val="475" w:hRule="exact"/>
        </w:trPr>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江苏林洋微网科技有限</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z w:val="18"/>
                <w:szCs w:val="18"/>
              </w:rPr>
              <w:t> </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3"/>
              <w:jc w:val="right"/>
              <w:rPr>
                <w:rFonts w:ascii="宋体" w:hAnsi="宋体" w:cs="宋体" w:eastAsia="宋体" w:hint="default"/>
                <w:sz w:val="18"/>
                <w:szCs w:val="18"/>
              </w:rPr>
            </w:pPr>
            <w:r>
              <w:rPr>
                <w:rFonts w:ascii="宋体"/>
                <w:spacing w:val="-1"/>
                <w:sz w:val="18"/>
              </w:rPr>
              <w:t>19,500,000.00 </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z w:val="18"/>
              </w:rPr>
              <w:t> </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3"/>
              <w:jc w:val="right"/>
              <w:rPr>
                <w:rFonts w:ascii="宋体" w:hAnsi="宋体" w:cs="宋体" w:eastAsia="宋体" w:hint="default"/>
                <w:sz w:val="18"/>
                <w:szCs w:val="18"/>
              </w:rPr>
            </w:pPr>
            <w:r>
              <w:rPr>
                <w:rFonts w:ascii="宋体"/>
                <w:sz w:val="18"/>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pacing w:val="-1"/>
                <w:sz w:val="18"/>
              </w:rPr>
              <w:t>19,500,000.00</w:t>
            </w:r>
            <w:r>
              <w:rPr>
                <w:rFonts w:ascii="宋体"/>
                <w:sz w:val="18"/>
              </w:rPr>
              <w:t> </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pacing w:val="-1"/>
                <w:sz w:val="18"/>
              </w:rPr>
              <w:t>18,750,000.00 </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pacing w:val="-1"/>
                <w:sz w:val="18"/>
              </w:rPr>
              <w:t>18,750,000.00</w:t>
            </w:r>
            <w:r>
              <w:rPr>
                <w:rFonts w:ascii="宋体"/>
                <w:sz w:val="18"/>
              </w:rPr>
              <w:t> </w:t>
            </w:r>
          </w:p>
        </w:tc>
      </w:tr>
      <w:tr>
        <w:trPr>
          <w:trHeight w:val="478" w:hRule="exact"/>
        </w:trPr>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河南林洋新能源科技有</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限公司</w:t>
            </w:r>
            <w:r>
              <w:rPr>
                <w:rFonts w:ascii="宋体" w:hAnsi="宋体" w:cs="宋体" w:eastAsia="宋体" w:hint="default"/>
                <w:sz w:val="18"/>
                <w:szCs w:val="18"/>
              </w:rPr>
              <w:t> </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3"/>
              <w:jc w:val="right"/>
              <w:rPr>
                <w:rFonts w:ascii="宋体" w:hAnsi="宋体" w:cs="宋体" w:eastAsia="宋体" w:hint="default"/>
                <w:sz w:val="18"/>
                <w:szCs w:val="18"/>
              </w:rPr>
            </w:pPr>
            <w:r>
              <w:rPr>
                <w:rFonts w:ascii="宋体"/>
                <w:spacing w:val="-1"/>
                <w:sz w:val="18"/>
              </w:rPr>
              <w:t>200,000,000.00 </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3"/>
              <w:jc w:val="right"/>
              <w:rPr>
                <w:rFonts w:ascii="宋体" w:hAnsi="宋体" w:cs="宋体" w:eastAsia="宋体" w:hint="default"/>
                <w:sz w:val="18"/>
                <w:szCs w:val="18"/>
              </w:rPr>
            </w:pPr>
            <w:r>
              <w:rPr>
                <w:rFonts w:ascii="宋体"/>
                <w:sz w:val="18"/>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pacing w:val="-1"/>
                <w:sz w:val="18"/>
              </w:rPr>
              <w:t>200,000,000.00 </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r>
      <w:tr>
        <w:trPr>
          <w:trHeight w:val="478" w:hRule="exact"/>
        </w:trPr>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河北林洋微网新能源科</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技有限公司</w:t>
            </w:r>
            <w:r>
              <w:rPr>
                <w:rFonts w:ascii="宋体" w:hAnsi="宋体" w:cs="宋体" w:eastAsia="宋体" w:hint="default"/>
                <w:sz w:val="18"/>
                <w:szCs w:val="18"/>
              </w:rPr>
              <w:t> </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3"/>
              <w:jc w:val="right"/>
              <w:rPr>
                <w:rFonts w:ascii="宋体" w:hAnsi="宋体" w:cs="宋体" w:eastAsia="宋体" w:hint="default"/>
                <w:sz w:val="18"/>
                <w:szCs w:val="18"/>
              </w:rPr>
            </w:pPr>
            <w:r>
              <w:rPr>
                <w:rFonts w:ascii="宋体"/>
                <w:spacing w:val="-1"/>
                <w:sz w:val="18"/>
              </w:rPr>
              <w:t>100,000,000.00 </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3"/>
              <w:jc w:val="right"/>
              <w:rPr>
                <w:rFonts w:ascii="宋体" w:hAnsi="宋体" w:cs="宋体" w:eastAsia="宋体" w:hint="default"/>
                <w:sz w:val="18"/>
                <w:szCs w:val="18"/>
              </w:rPr>
            </w:pPr>
            <w:r>
              <w:rPr>
                <w:rFonts w:ascii="宋体"/>
                <w:sz w:val="18"/>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pacing w:val="-1"/>
                <w:sz w:val="18"/>
              </w:rPr>
              <w:t>100,000,000.00 </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r>
      <w:tr>
        <w:trPr>
          <w:trHeight w:val="476" w:hRule="exact"/>
        </w:trPr>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江苏林洋光伏运维有限</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z w:val="18"/>
                <w:szCs w:val="18"/>
              </w:rPr>
              <w:t> </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3"/>
              <w:jc w:val="right"/>
              <w:rPr>
                <w:rFonts w:ascii="宋体" w:hAnsi="宋体" w:cs="宋体" w:eastAsia="宋体" w:hint="default"/>
                <w:sz w:val="18"/>
                <w:szCs w:val="18"/>
              </w:rPr>
            </w:pPr>
            <w:r>
              <w:rPr>
                <w:rFonts w:ascii="宋体"/>
                <w:spacing w:val="-1"/>
                <w:sz w:val="18"/>
              </w:rPr>
              <w:t>15,000,000.00 </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z w:val="18"/>
              </w:rPr>
              <w:t> </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3"/>
              <w:jc w:val="right"/>
              <w:rPr>
                <w:rFonts w:ascii="宋体" w:hAnsi="宋体" w:cs="宋体" w:eastAsia="宋体" w:hint="default"/>
                <w:sz w:val="18"/>
                <w:szCs w:val="18"/>
              </w:rPr>
            </w:pPr>
            <w:r>
              <w:rPr>
                <w:rFonts w:ascii="宋体"/>
                <w:sz w:val="18"/>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pacing w:val="-1"/>
                <w:sz w:val="18"/>
              </w:rPr>
              <w:t>15,000,000.00</w:t>
            </w:r>
            <w:r>
              <w:rPr>
                <w:rFonts w:ascii="宋体"/>
                <w:sz w:val="18"/>
              </w:rPr>
              <w:t> </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z w:val="18"/>
              </w:rPr>
              <w:t> </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z w:val="18"/>
              </w:rPr>
              <w:t> </w:t>
            </w:r>
          </w:p>
        </w:tc>
      </w:tr>
      <w:tr>
        <w:trPr>
          <w:trHeight w:val="478" w:hRule="exact"/>
        </w:trPr>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新加坡林洋能源科技有</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限公司</w:t>
            </w:r>
            <w:r>
              <w:rPr>
                <w:rFonts w:ascii="宋体" w:hAnsi="宋体" w:cs="宋体" w:eastAsia="宋体" w:hint="default"/>
                <w:sz w:val="18"/>
                <w:szCs w:val="18"/>
              </w:rPr>
              <w:t> </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3"/>
              <w:jc w:val="right"/>
              <w:rPr>
                <w:rFonts w:ascii="宋体" w:hAnsi="宋体" w:cs="宋体" w:eastAsia="宋体" w:hint="default"/>
                <w:sz w:val="18"/>
                <w:szCs w:val="18"/>
              </w:rPr>
            </w:pPr>
            <w:r>
              <w:rPr>
                <w:rFonts w:ascii="宋体"/>
                <w:spacing w:val="-1"/>
                <w:sz w:val="18"/>
              </w:rPr>
              <w:t>53,793,960.00 </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pacing w:val="-1"/>
                <w:sz w:val="18"/>
              </w:rPr>
              <w:t>24,818,400.00</w:t>
            </w:r>
            <w:r>
              <w:rPr>
                <w:rFonts w:ascii="宋体"/>
                <w:sz w:val="18"/>
              </w:rPr>
              <w:t> </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3"/>
              <w:jc w:val="right"/>
              <w:rPr>
                <w:rFonts w:ascii="宋体" w:hAnsi="宋体" w:cs="宋体" w:eastAsia="宋体" w:hint="default"/>
                <w:sz w:val="18"/>
                <w:szCs w:val="18"/>
              </w:rPr>
            </w:pPr>
            <w:r>
              <w:rPr>
                <w:rFonts w:ascii="宋体"/>
                <w:sz w:val="18"/>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pacing w:val="-1"/>
                <w:sz w:val="18"/>
              </w:rPr>
              <w:t>78,612,360.00</w:t>
            </w:r>
            <w:r>
              <w:rPr>
                <w:rFonts w:ascii="宋体"/>
                <w:sz w:val="18"/>
              </w:rPr>
              <w:t> </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r>
      <w:tr>
        <w:trPr>
          <w:trHeight w:val="478" w:hRule="exact"/>
        </w:trPr>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辽宁林洋新能源科技有</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限公司</w:t>
            </w:r>
            <w:r>
              <w:rPr>
                <w:rFonts w:ascii="宋体" w:hAnsi="宋体" w:cs="宋体" w:eastAsia="宋体" w:hint="default"/>
                <w:sz w:val="18"/>
                <w:szCs w:val="18"/>
              </w:rPr>
              <w:t> </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3"/>
              <w:jc w:val="right"/>
              <w:rPr>
                <w:rFonts w:ascii="宋体" w:hAnsi="宋体" w:cs="宋体" w:eastAsia="宋体" w:hint="default"/>
                <w:sz w:val="18"/>
                <w:szCs w:val="18"/>
              </w:rPr>
            </w:pPr>
            <w:r>
              <w:rPr>
                <w:rFonts w:ascii="宋体"/>
                <w:spacing w:val="-1"/>
                <w:sz w:val="18"/>
              </w:rPr>
              <w:t>28,000,000.00 </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3"/>
              <w:jc w:val="right"/>
              <w:rPr>
                <w:rFonts w:ascii="宋体" w:hAnsi="宋体" w:cs="宋体" w:eastAsia="宋体" w:hint="default"/>
                <w:sz w:val="18"/>
                <w:szCs w:val="18"/>
              </w:rPr>
            </w:pPr>
            <w:r>
              <w:rPr>
                <w:rFonts w:ascii="宋体"/>
                <w:sz w:val="18"/>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pacing w:val="-1"/>
                <w:sz w:val="18"/>
              </w:rPr>
              <w:t>28,000,000.00</w:t>
            </w:r>
            <w:r>
              <w:rPr>
                <w:rFonts w:ascii="宋体"/>
                <w:sz w:val="18"/>
              </w:rPr>
              <w:t> </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r>
      <w:tr>
        <w:trPr>
          <w:trHeight w:val="475" w:hRule="exact"/>
        </w:trPr>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北京林洋新能源科技有</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限公司</w:t>
            </w:r>
            <w:r>
              <w:rPr>
                <w:rFonts w:ascii="宋体" w:hAnsi="宋体" w:cs="宋体" w:eastAsia="宋体" w:hint="default"/>
                <w:sz w:val="18"/>
                <w:szCs w:val="18"/>
              </w:rPr>
              <w:t> </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3"/>
              <w:jc w:val="right"/>
              <w:rPr>
                <w:rFonts w:ascii="宋体" w:hAnsi="宋体" w:cs="宋体" w:eastAsia="宋体" w:hint="default"/>
                <w:sz w:val="18"/>
                <w:szCs w:val="18"/>
              </w:rPr>
            </w:pPr>
            <w:r>
              <w:rPr>
                <w:rFonts w:ascii="宋体"/>
                <w:spacing w:val="-1"/>
                <w:sz w:val="18"/>
              </w:rPr>
              <w:t>100,000.00 </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pacing w:val="-1"/>
                <w:sz w:val="18"/>
              </w:rPr>
              <w:t>120,000.00</w:t>
            </w:r>
            <w:r>
              <w:rPr>
                <w:rFonts w:ascii="宋体"/>
                <w:sz w:val="18"/>
              </w:rPr>
              <w:t> </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3"/>
              <w:jc w:val="right"/>
              <w:rPr>
                <w:rFonts w:ascii="宋体" w:hAnsi="宋体" w:cs="宋体" w:eastAsia="宋体" w:hint="default"/>
                <w:sz w:val="18"/>
                <w:szCs w:val="18"/>
              </w:rPr>
            </w:pPr>
            <w:r>
              <w:rPr>
                <w:rFonts w:ascii="宋体"/>
                <w:sz w:val="18"/>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pacing w:val="-1"/>
                <w:sz w:val="18"/>
              </w:rPr>
              <w:t>220,000.00</w:t>
            </w:r>
            <w:r>
              <w:rPr>
                <w:rFonts w:ascii="宋体"/>
                <w:sz w:val="18"/>
              </w:rPr>
              <w:t> </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r>
      <w:tr>
        <w:trPr>
          <w:trHeight w:val="478" w:hRule="exact"/>
        </w:trPr>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江苏林洋光伏科技有限</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z w:val="18"/>
                <w:szCs w:val="18"/>
              </w:rPr>
              <w:t> </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3"/>
              <w:jc w:val="right"/>
              <w:rPr>
                <w:rFonts w:ascii="宋体" w:hAnsi="宋体" w:cs="宋体" w:eastAsia="宋体" w:hint="default"/>
                <w:sz w:val="18"/>
                <w:szCs w:val="18"/>
              </w:rPr>
            </w:pPr>
            <w:r>
              <w:rPr>
                <w:rFonts w:ascii="宋体"/>
                <w:sz w:val="18"/>
              </w:rPr>
              <w:t> </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pacing w:val="-1"/>
                <w:sz w:val="18"/>
              </w:rPr>
              <w:t>340,000,000.00 </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3"/>
              <w:jc w:val="right"/>
              <w:rPr>
                <w:rFonts w:ascii="宋体" w:hAnsi="宋体" w:cs="宋体" w:eastAsia="宋体" w:hint="default"/>
                <w:sz w:val="18"/>
                <w:szCs w:val="18"/>
              </w:rPr>
            </w:pPr>
            <w:r>
              <w:rPr>
                <w:rFonts w:ascii="宋体"/>
                <w:sz w:val="18"/>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pacing w:val="-1"/>
                <w:sz w:val="18"/>
              </w:rPr>
              <w:t>340,000,000.00 </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r>
      <w:tr>
        <w:trPr>
          <w:trHeight w:val="478" w:hRule="exact"/>
        </w:trPr>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南京华虹融资租赁有限</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z w:val="18"/>
                <w:szCs w:val="18"/>
              </w:rPr>
              <w:t> </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3"/>
              <w:jc w:val="right"/>
              <w:rPr>
                <w:rFonts w:ascii="宋体" w:hAnsi="宋体" w:cs="宋体" w:eastAsia="宋体" w:hint="default"/>
                <w:sz w:val="18"/>
                <w:szCs w:val="18"/>
              </w:rPr>
            </w:pPr>
            <w:r>
              <w:rPr>
                <w:rFonts w:ascii="宋体"/>
                <w:sz w:val="18"/>
              </w:rPr>
              <w:t> </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pacing w:val="-1"/>
                <w:sz w:val="18"/>
              </w:rPr>
              <w:t>321,000,000.00 </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3"/>
              <w:jc w:val="right"/>
              <w:rPr>
                <w:rFonts w:ascii="宋体" w:hAnsi="宋体" w:cs="宋体" w:eastAsia="宋体" w:hint="default"/>
                <w:sz w:val="18"/>
                <w:szCs w:val="18"/>
              </w:rPr>
            </w:pPr>
            <w:r>
              <w:rPr>
                <w:rFonts w:ascii="宋体"/>
                <w:spacing w:val="-1"/>
                <w:sz w:val="18"/>
              </w:rPr>
              <w:t>419,919.27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pacing w:val="-1"/>
                <w:sz w:val="18"/>
              </w:rPr>
              <w:t>320,580,080.73 </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r>
      <w:tr>
        <w:trPr>
          <w:trHeight w:val="242" w:hRule="exact"/>
        </w:trPr>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90" w:right="0"/>
              <w:jc w:val="center"/>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pacing w:val="-1"/>
                <w:sz w:val="18"/>
              </w:rPr>
              <w:t>4,510,109,752.16 </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685,938,400.00 </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pacing w:val="-1"/>
                <w:sz w:val="18"/>
              </w:rPr>
              <w:t>10,419,919.27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5,185,628,232.89 </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18,750,000.00 </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18,750,000.00</w:t>
            </w:r>
            <w:r>
              <w:rPr>
                <w:rFonts w:ascii="宋体"/>
                <w:sz w:val="18"/>
              </w:rPr>
              <w:t> </w:t>
            </w:r>
          </w:p>
        </w:tc>
      </w:tr>
    </w:tbl>
    <w:p>
      <w:pPr>
        <w:pStyle w:val="Heading2"/>
        <w:spacing w:line="274" w:lineRule="exact"/>
        <w:ind w:left="1138" w:right="0"/>
        <w:jc w:val="left"/>
        <w:rPr>
          <w:rFonts w:ascii="宋体" w:hAnsi="宋体" w:cs="宋体" w:eastAsia="宋体" w:hint="default"/>
        </w:rPr>
      </w:pPr>
      <w:r>
        <w:rPr>
          <w:rFonts w:ascii="宋体"/>
        </w:rPr>
        <w:t> </w:t>
      </w:r>
    </w:p>
    <w:p>
      <w:pPr>
        <w:spacing w:after="0" w:line="274" w:lineRule="exact"/>
        <w:jc w:val="left"/>
        <w:rPr>
          <w:rFonts w:ascii="宋体" w:hAnsi="宋体" w:cs="宋体" w:eastAsia="宋体" w:hint="default"/>
        </w:rPr>
        <w:sectPr>
          <w:footerReference w:type="default" r:id="rId276"/>
          <w:pgSz w:w="11910" w:h="16840"/>
          <w:pgMar w:footer="974" w:header="748" w:top="1140" w:bottom="1160" w:left="280" w:right="260"/>
        </w:sectPr>
      </w:pPr>
    </w:p>
    <w:p>
      <w:pPr>
        <w:spacing w:line="240" w:lineRule="auto" w:before="3"/>
        <w:rPr>
          <w:rFonts w:ascii="宋体" w:hAnsi="宋体" w:cs="宋体" w:eastAsia="宋体" w:hint="default"/>
          <w:sz w:val="6"/>
          <w:szCs w:val="6"/>
        </w:rPr>
      </w:pPr>
    </w:p>
    <w:p>
      <w:pPr>
        <w:spacing w:line="393" w:lineRule="exact"/>
        <w:ind w:left="726"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699.45pt;height:19.650pt;mso-position-horizontal-relative:char;mso-position-vertical-relative:line" coordorigin="0,0" coordsize="13989,393">
            <v:group style="position:absolute;left:69;top:370;width:13913;height:2" coordorigin="69,370" coordsize="13913,2">
              <v:shape style="position:absolute;left:69;top:370;width:13913;height:2" coordorigin="69,370" coordsize="13913,0" path="m69,370l13982,370e" filled="false" stroked="true" strokeweight=".72pt" strokecolor="#000000">
                <v:path arrowok="t"/>
              </v:shape>
              <v:shape style="position:absolute;left:0;top:0;width:465;height:393" type="#_x0000_t75" stroked="false">
                <v:imagedata r:id="rId10" o:title=""/>
              </v:shape>
              <v:shape style="position:absolute;left:3038;top:134;width:21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江苏林洋能源股份有限公司</w:t>
                      </w:r>
                    </w:p>
                  </w:txbxContent>
                </v:textbox>
                <w10:wrap type="none"/>
              </v:shape>
              <v:shape style="position:absolute;left:9704;top:134;width:1309;height:200" type="#_x0000_t202" filled="false" stroked="false">
                <v:textbox inset="0,0,0,0">
                  <w:txbxContent>
                    <w:p>
                      <w:pPr>
                        <w:spacing w:line="200" w:lineRule="exact" w:before="0"/>
                        <w:ind w:left="0" w:right="0" w:firstLine="0"/>
                        <w:jc w:val="left"/>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2"/>
                          <w:sz w:val="18"/>
                          <w:szCs w:val="18"/>
                        </w:rPr>
                        <w:t> </w:t>
                      </w:r>
                      <w:r>
                        <w:rPr>
                          <w:rFonts w:ascii="宋体" w:hAnsi="宋体" w:cs="宋体" w:eastAsia="宋体" w:hint="default"/>
                          <w:sz w:val="18"/>
                          <w:szCs w:val="18"/>
                        </w:rPr>
                        <w:t>年年度报告</w:t>
                      </w:r>
                    </w:p>
                  </w:txbxContent>
                </v:textbox>
                <w10:wrap type="none"/>
              </v:shape>
            </v:group>
          </v:group>
        </w:pict>
      </w:r>
      <w:r>
        <w:rPr>
          <w:rFonts w:ascii="宋体" w:hAnsi="宋体" w:cs="宋体" w:eastAsia="宋体" w:hint="default"/>
          <w:position w:val="-7"/>
          <w:sz w:val="20"/>
          <w:szCs w:val="20"/>
        </w:rPr>
      </w:r>
    </w:p>
    <w:p>
      <w:pPr>
        <w:spacing w:line="240" w:lineRule="auto" w:before="0"/>
        <w:rPr>
          <w:rFonts w:ascii="宋体" w:hAnsi="宋体" w:cs="宋体" w:eastAsia="宋体" w:hint="default"/>
          <w:sz w:val="5"/>
          <w:szCs w:val="5"/>
        </w:rPr>
      </w:pPr>
    </w:p>
    <w:p>
      <w:pPr>
        <w:spacing w:after="0" w:line="240" w:lineRule="auto"/>
        <w:rPr>
          <w:rFonts w:ascii="宋体" w:hAnsi="宋体" w:cs="宋体" w:eastAsia="宋体" w:hint="default"/>
          <w:sz w:val="5"/>
          <w:szCs w:val="5"/>
        </w:rPr>
        <w:sectPr>
          <w:headerReference w:type="default" r:id="rId277"/>
          <w:footerReference w:type="default" r:id="rId278"/>
          <w:pgSz w:w="16840" w:h="11910" w:orient="landscape"/>
          <w:pgMar w:header="0" w:footer="0" w:top="660" w:bottom="280" w:left="700" w:right="1220"/>
        </w:sectPr>
      </w:pPr>
    </w:p>
    <w:p>
      <w:pPr>
        <w:pStyle w:val="BodyText"/>
        <w:spacing w:line="240" w:lineRule="auto" w:before="36"/>
        <w:ind w:left="824" w:right="0"/>
        <w:jc w:val="left"/>
        <w:rPr>
          <w:rFonts w:ascii="宋体" w:hAnsi="宋体" w:cs="宋体" w:eastAsia="宋体" w:hint="default"/>
        </w:rPr>
      </w:pPr>
      <w:r>
        <w:rPr>
          <w:rFonts w:ascii="宋体"/>
          <w:w w:val="100"/>
        </w:rPr>
        <w:t> </w:t>
      </w:r>
    </w:p>
    <w:p>
      <w:pPr>
        <w:pStyle w:val="Heading3"/>
        <w:spacing w:line="240" w:lineRule="auto" w:before="56"/>
        <w:ind w:left="824" w:right="0"/>
        <w:jc w:val="left"/>
        <w:rPr>
          <w:rFonts w:ascii="宋体" w:hAnsi="宋体" w:cs="宋体" w:eastAsia="宋体" w:hint="default"/>
          <w:b w:val="0"/>
          <w:bCs w:val="0"/>
        </w:rPr>
      </w:pPr>
      <w:r>
        <w:rPr>
          <w:rFonts w:ascii="宋体" w:hAnsi="宋体" w:cs="宋体" w:eastAsia="宋体" w:hint="default"/>
        </w:rPr>
        <w:t>(2).</w:t>
      </w:r>
      <w:r>
        <w:rPr>
          <w:rFonts w:ascii="宋体" w:hAnsi="宋体" w:cs="宋体" w:eastAsia="宋体" w:hint="default"/>
          <w:spacing w:val="-4"/>
        </w:rPr>
        <w:t> </w:t>
      </w:r>
      <w:r>
        <w:rPr/>
        <w:t>对联营、合营企业投资</w:t>
      </w:r>
      <w:r>
        <w:rPr>
          <w:rFonts w:ascii="宋体" w:hAnsi="宋体" w:cs="宋体" w:eastAsia="宋体" w:hint="default"/>
          <w:w w:val="99"/>
        </w:rPr>
        <w:t> </w:t>
      </w:r>
      <w:r>
        <w:rPr>
          <w:rFonts w:ascii="宋体" w:hAnsi="宋体" w:cs="宋体" w:eastAsia="宋体" w:hint="default"/>
          <w:b w:val="0"/>
          <w:bCs w:val="0"/>
        </w:rPr>
      </w:r>
    </w:p>
    <w:p>
      <w:pPr>
        <w:pStyle w:val="Heading2"/>
        <w:spacing w:line="240" w:lineRule="auto" w:before="52"/>
        <w:ind w:left="824"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7"/>
          <w:szCs w:val="17"/>
        </w:rPr>
      </w:pPr>
    </w:p>
    <w:p>
      <w:pPr>
        <w:pStyle w:val="BodyText"/>
        <w:spacing w:line="240" w:lineRule="auto"/>
        <w:ind w:left="824" w:right="0"/>
        <w:jc w:val="left"/>
        <w:rPr>
          <w:rFonts w:ascii="宋体" w:hAnsi="宋体" w:cs="宋体" w:eastAsia="宋体" w:hint="default"/>
        </w:rPr>
      </w:pPr>
      <w:r>
        <w:rPr/>
        <w:t>单位：元币种：人民币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6840" w:h="11910" w:orient="landscape"/>
          <w:pgMar w:top="1580" w:bottom="280" w:left="700" w:right="1220"/>
          <w:cols w:num="2" w:equalWidth="0">
            <w:col w:w="3566" w:space="8208"/>
            <w:col w:w="3146"/>
          </w:cols>
        </w:sectPr>
      </w:pPr>
    </w:p>
    <w:p>
      <w:pPr>
        <w:spacing w:line="240" w:lineRule="auto" w:before="7"/>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1856"/>
        <w:gridCol w:w="1546"/>
        <w:gridCol w:w="1561"/>
        <w:gridCol w:w="1414"/>
        <w:gridCol w:w="1563"/>
        <w:gridCol w:w="850"/>
        <w:gridCol w:w="708"/>
        <w:gridCol w:w="1418"/>
        <w:gridCol w:w="853"/>
        <w:gridCol w:w="338"/>
        <w:gridCol w:w="1502"/>
        <w:gridCol w:w="794"/>
      </w:tblGrid>
      <w:tr>
        <w:trPr>
          <w:trHeight w:val="242" w:hRule="exact"/>
        </w:trPr>
        <w:tc>
          <w:tcPr>
            <w:tcW w:w="1856"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44" w:right="649"/>
              <w:jc w:val="center"/>
              <w:rPr>
                <w:rFonts w:ascii="宋体" w:hAnsi="宋体" w:cs="宋体" w:eastAsia="宋体" w:hint="default"/>
                <w:sz w:val="18"/>
                <w:szCs w:val="18"/>
              </w:rPr>
            </w:pPr>
            <w:r>
              <w:rPr>
                <w:rFonts w:ascii="宋体" w:hAnsi="宋体" w:cs="宋体" w:eastAsia="宋体" w:hint="default"/>
                <w:sz w:val="18"/>
                <w:szCs w:val="18"/>
              </w:rPr>
              <w:t>投资</w:t>
            </w:r>
            <w:r>
              <w:rPr>
                <w:rFonts w:ascii="宋体" w:hAnsi="宋体" w:cs="宋体" w:eastAsia="宋体" w:hint="default"/>
                <w:sz w:val="18"/>
                <w:szCs w:val="18"/>
              </w:rPr>
              <w:t> </w:t>
            </w:r>
            <w:r>
              <w:rPr>
                <w:rFonts w:ascii="宋体" w:hAnsi="宋体" w:cs="宋体" w:eastAsia="宋体" w:hint="default"/>
                <w:sz w:val="18"/>
                <w:szCs w:val="18"/>
              </w:rPr>
              <w:t>单位</w:t>
            </w:r>
            <w:r>
              <w:rPr>
                <w:rFonts w:ascii="宋体" w:hAnsi="宋体" w:cs="宋体" w:eastAsia="宋体" w:hint="default"/>
                <w:sz w:val="18"/>
                <w:szCs w:val="18"/>
              </w:rPr>
              <w:t> </w:t>
            </w:r>
          </w:p>
        </w:tc>
        <w:tc>
          <w:tcPr>
            <w:tcW w:w="1546"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87" w:right="497"/>
              <w:jc w:val="left"/>
              <w:rPr>
                <w:rFonts w:ascii="宋体" w:hAnsi="宋体" w:cs="宋体" w:eastAsia="宋体" w:hint="default"/>
                <w:sz w:val="18"/>
                <w:szCs w:val="18"/>
              </w:rPr>
            </w:pPr>
            <w:r>
              <w:rPr>
                <w:rFonts w:ascii="宋体" w:hAnsi="宋体" w:cs="宋体" w:eastAsia="宋体" w:hint="default"/>
                <w:sz w:val="18"/>
                <w:szCs w:val="18"/>
              </w:rPr>
              <w:t>期初</w:t>
            </w:r>
            <w:r>
              <w:rPr>
                <w:rFonts w:ascii="宋体" w:hAnsi="宋体" w:cs="宋体" w:eastAsia="宋体" w:hint="default"/>
                <w:sz w:val="18"/>
                <w:szCs w:val="18"/>
              </w:rPr>
              <w:t> </w:t>
            </w:r>
            <w:r>
              <w:rPr>
                <w:rFonts w:ascii="宋体" w:hAnsi="宋体" w:cs="宋体" w:eastAsia="宋体" w:hint="default"/>
                <w:sz w:val="18"/>
                <w:szCs w:val="18"/>
              </w:rPr>
              <w:t>余额</w:t>
            </w:r>
            <w:r>
              <w:rPr>
                <w:rFonts w:ascii="宋体" w:hAnsi="宋体" w:cs="宋体" w:eastAsia="宋体" w:hint="default"/>
                <w:sz w:val="18"/>
                <w:szCs w:val="18"/>
              </w:rPr>
              <w:t> </w:t>
            </w:r>
          </w:p>
        </w:tc>
        <w:tc>
          <w:tcPr>
            <w:tcW w:w="8704" w:type="dxa"/>
            <w:gridSpan w:val="8"/>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90" w:right="0"/>
              <w:jc w:val="center"/>
              <w:rPr>
                <w:rFonts w:ascii="宋体" w:hAnsi="宋体" w:cs="宋体" w:eastAsia="宋体" w:hint="default"/>
                <w:sz w:val="18"/>
                <w:szCs w:val="18"/>
              </w:rPr>
            </w:pPr>
            <w:r>
              <w:rPr>
                <w:rFonts w:ascii="宋体" w:hAnsi="宋体" w:cs="宋体" w:eastAsia="宋体" w:hint="default"/>
                <w:sz w:val="18"/>
                <w:szCs w:val="18"/>
              </w:rPr>
              <w:t>本期增减变动</w:t>
            </w:r>
            <w:r>
              <w:rPr>
                <w:rFonts w:ascii="宋体" w:hAnsi="宋体" w:cs="宋体" w:eastAsia="宋体" w:hint="default"/>
                <w:sz w:val="18"/>
                <w:szCs w:val="18"/>
              </w:rPr>
              <w:t> </w:t>
            </w:r>
          </w:p>
        </w:tc>
        <w:tc>
          <w:tcPr>
            <w:tcW w:w="1502"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66" w:right="474"/>
              <w:jc w:val="left"/>
              <w:rPr>
                <w:rFonts w:ascii="宋体" w:hAnsi="宋体" w:cs="宋体" w:eastAsia="宋体" w:hint="default"/>
                <w:sz w:val="18"/>
                <w:szCs w:val="18"/>
              </w:rPr>
            </w:pPr>
            <w:r>
              <w:rPr>
                <w:rFonts w:ascii="宋体" w:hAnsi="宋体" w:cs="宋体" w:eastAsia="宋体" w:hint="default"/>
                <w:sz w:val="18"/>
                <w:szCs w:val="18"/>
              </w:rPr>
              <w:t>期末</w:t>
            </w:r>
            <w:r>
              <w:rPr>
                <w:rFonts w:ascii="宋体" w:hAnsi="宋体" w:cs="宋体" w:eastAsia="宋体" w:hint="default"/>
                <w:sz w:val="18"/>
                <w:szCs w:val="18"/>
              </w:rPr>
              <w:t> </w:t>
            </w:r>
            <w:r>
              <w:rPr>
                <w:rFonts w:ascii="宋体" w:hAnsi="宋体" w:cs="宋体" w:eastAsia="宋体" w:hint="default"/>
                <w:sz w:val="18"/>
                <w:szCs w:val="18"/>
              </w:rPr>
              <w:t>余额</w:t>
            </w:r>
            <w:r>
              <w:rPr>
                <w:rFonts w:ascii="宋体" w:hAnsi="宋体" w:cs="宋体" w:eastAsia="宋体" w:hint="default"/>
                <w:sz w:val="18"/>
                <w:szCs w:val="18"/>
              </w:rPr>
              <w:t> </w:t>
            </w:r>
          </w:p>
        </w:tc>
        <w:tc>
          <w:tcPr>
            <w:tcW w:w="794" w:type="dxa"/>
            <w:vMerge w:val="restart"/>
            <w:tcBorders>
              <w:top w:val="single" w:sz="4" w:space="0" w:color="000000"/>
              <w:left w:val="single" w:sz="4" w:space="0" w:color="000000"/>
              <w:right w:val="single" w:sz="4" w:space="0" w:color="000000"/>
            </w:tcBorders>
          </w:tcPr>
          <w:p>
            <w:pPr>
              <w:pStyle w:val="TableParagraph"/>
              <w:spacing w:line="232" w:lineRule="exact" w:before="117"/>
              <w:ind w:left="124" w:right="119"/>
              <w:jc w:val="both"/>
              <w:rPr>
                <w:rFonts w:ascii="宋体" w:hAnsi="宋体" w:cs="宋体" w:eastAsia="宋体" w:hint="default"/>
                <w:sz w:val="18"/>
                <w:szCs w:val="18"/>
              </w:rPr>
            </w:pPr>
            <w:r>
              <w:rPr>
                <w:rFonts w:ascii="宋体" w:hAnsi="宋体" w:cs="宋体" w:eastAsia="宋体" w:hint="default"/>
                <w:sz w:val="18"/>
                <w:szCs w:val="18"/>
              </w:rPr>
              <w:t>减值准 备期末 余额</w:t>
            </w:r>
            <w:r>
              <w:rPr>
                <w:rFonts w:ascii="宋体" w:hAnsi="宋体" w:cs="宋体" w:eastAsia="宋体" w:hint="default"/>
                <w:sz w:val="18"/>
                <w:szCs w:val="18"/>
              </w:rPr>
              <w:t> </w:t>
            </w:r>
          </w:p>
        </w:tc>
      </w:tr>
      <w:tr>
        <w:trPr>
          <w:trHeight w:val="710" w:hRule="exact"/>
        </w:trPr>
        <w:tc>
          <w:tcPr>
            <w:tcW w:w="1856" w:type="dxa"/>
            <w:vMerge/>
            <w:tcBorders>
              <w:left w:val="single" w:sz="4" w:space="0" w:color="000000"/>
              <w:bottom w:val="single" w:sz="4" w:space="0" w:color="000000"/>
              <w:right w:val="single" w:sz="4" w:space="0" w:color="000000"/>
            </w:tcBorders>
          </w:tcPr>
          <w:p>
            <w:pPr/>
          </w:p>
        </w:tc>
        <w:tc>
          <w:tcPr>
            <w:tcW w:w="1546" w:type="dxa"/>
            <w:vMerge/>
            <w:tcBorders>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5" w:right="0"/>
              <w:jc w:val="left"/>
              <w:rPr>
                <w:rFonts w:ascii="宋体" w:hAnsi="宋体" w:cs="宋体" w:eastAsia="宋体" w:hint="default"/>
                <w:sz w:val="18"/>
                <w:szCs w:val="18"/>
              </w:rPr>
            </w:pPr>
            <w:r>
              <w:rPr>
                <w:rFonts w:ascii="宋体" w:hAnsi="宋体" w:cs="宋体" w:eastAsia="宋体" w:hint="default"/>
                <w:sz w:val="18"/>
                <w:szCs w:val="18"/>
              </w:rPr>
              <w:t>追加投资</w:t>
            </w:r>
            <w:r>
              <w:rPr>
                <w:rFonts w:ascii="宋体" w:hAnsi="宋体" w:cs="宋体" w:eastAsia="宋体" w:hint="default"/>
                <w:sz w:val="18"/>
                <w:szCs w:val="18"/>
              </w:rPr>
              <w:t> </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40" w:right="0"/>
              <w:jc w:val="left"/>
              <w:rPr>
                <w:rFonts w:ascii="宋体" w:hAnsi="宋体" w:cs="宋体" w:eastAsia="宋体" w:hint="default"/>
                <w:sz w:val="18"/>
                <w:szCs w:val="18"/>
              </w:rPr>
            </w:pPr>
            <w:r>
              <w:rPr>
                <w:rFonts w:ascii="宋体" w:hAnsi="宋体" w:cs="宋体" w:eastAsia="宋体" w:hint="default"/>
                <w:sz w:val="18"/>
                <w:szCs w:val="18"/>
              </w:rPr>
              <w:t>减少投资</w:t>
            </w:r>
            <w:r>
              <w:rPr>
                <w:rFonts w:ascii="宋体" w:hAnsi="宋体" w:cs="宋体" w:eastAsia="宋体" w:hint="default"/>
                <w:sz w:val="18"/>
                <w:szCs w:val="18"/>
              </w:rPr>
              <w:t> </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417" w:right="144" w:hanging="272"/>
              <w:jc w:val="left"/>
              <w:rPr>
                <w:rFonts w:ascii="宋体" w:hAnsi="宋体" w:cs="宋体" w:eastAsia="宋体" w:hint="default"/>
                <w:sz w:val="18"/>
                <w:szCs w:val="18"/>
              </w:rPr>
            </w:pPr>
            <w:r>
              <w:rPr>
                <w:rFonts w:ascii="宋体" w:hAnsi="宋体" w:cs="宋体" w:eastAsia="宋体" w:hint="default"/>
                <w:sz w:val="18"/>
                <w:szCs w:val="18"/>
              </w:rPr>
              <w:t>权益法下确认的 投资损益</w:t>
            </w:r>
            <w:r>
              <w:rPr>
                <w:rFonts w:ascii="宋体" w:hAnsi="宋体" w:cs="宋体" w:eastAsia="宋体" w:hint="default"/>
                <w:sz w:val="18"/>
                <w:szCs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48" w:right="0"/>
              <w:jc w:val="left"/>
              <w:rPr>
                <w:rFonts w:ascii="宋体" w:hAnsi="宋体" w:cs="宋体" w:eastAsia="宋体" w:hint="default"/>
                <w:sz w:val="18"/>
                <w:szCs w:val="18"/>
              </w:rPr>
            </w:pPr>
            <w:r>
              <w:rPr>
                <w:rFonts w:ascii="宋体" w:hAnsi="宋体" w:cs="宋体" w:eastAsia="宋体" w:hint="default"/>
                <w:sz w:val="18"/>
                <w:szCs w:val="18"/>
              </w:rPr>
              <w:t>其他综</w:t>
            </w:r>
          </w:p>
          <w:p>
            <w:pPr>
              <w:pStyle w:val="TableParagraph"/>
              <w:spacing w:line="232" w:lineRule="exact" w:before="24"/>
              <w:ind w:left="240" w:right="149" w:hanging="92"/>
              <w:jc w:val="left"/>
              <w:rPr>
                <w:rFonts w:ascii="宋体" w:hAnsi="宋体" w:cs="宋体" w:eastAsia="宋体" w:hint="default"/>
                <w:sz w:val="18"/>
                <w:szCs w:val="18"/>
              </w:rPr>
            </w:pPr>
            <w:r>
              <w:rPr>
                <w:rFonts w:ascii="宋体" w:hAnsi="宋体" w:cs="宋体" w:eastAsia="宋体" w:hint="default"/>
                <w:sz w:val="18"/>
                <w:szCs w:val="18"/>
              </w:rPr>
              <w:t>合收益 调整</w:t>
            </w:r>
            <w:r>
              <w:rPr>
                <w:rFonts w:ascii="宋体" w:hAnsi="宋体" w:cs="宋体" w:eastAsia="宋体" w:hint="default"/>
                <w:sz w:val="18"/>
                <w:szCs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67" w:right="0"/>
              <w:jc w:val="left"/>
              <w:rPr>
                <w:rFonts w:ascii="宋体" w:hAnsi="宋体" w:cs="宋体" w:eastAsia="宋体" w:hint="default"/>
                <w:sz w:val="18"/>
                <w:szCs w:val="18"/>
              </w:rPr>
            </w:pPr>
            <w:r>
              <w:rPr>
                <w:rFonts w:ascii="宋体" w:hAnsi="宋体" w:cs="宋体" w:eastAsia="宋体" w:hint="default"/>
                <w:sz w:val="18"/>
                <w:szCs w:val="18"/>
              </w:rPr>
              <w:t>其他</w:t>
            </w:r>
          </w:p>
          <w:p>
            <w:pPr>
              <w:pStyle w:val="TableParagraph"/>
              <w:spacing w:line="232" w:lineRule="exact" w:before="24"/>
              <w:ind w:left="167" w:right="78"/>
              <w:jc w:val="left"/>
              <w:rPr>
                <w:rFonts w:ascii="宋体" w:hAnsi="宋体" w:cs="宋体" w:eastAsia="宋体" w:hint="default"/>
                <w:sz w:val="18"/>
                <w:szCs w:val="18"/>
              </w:rPr>
            </w:pPr>
            <w:r>
              <w:rPr>
                <w:rFonts w:ascii="宋体" w:hAnsi="宋体" w:cs="宋体" w:eastAsia="宋体" w:hint="default"/>
                <w:sz w:val="18"/>
                <w:szCs w:val="18"/>
              </w:rPr>
              <w:t>权益 变动</w:t>
            </w:r>
            <w:r>
              <w:rPr>
                <w:rFonts w:ascii="宋体" w:hAnsi="宋体" w:cs="宋体" w:eastAsia="宋体" w:hint="default"/>
                <w:sz w:val="18"/>
                <w:szCs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254" w:right="161" w:hanging="89"/>
              <w:jc w:val="left"/>
              <w:rPr>
                <w:rFonts w:ascii="宋体" w:hAnsi="宋体" w:cs="宋体" w:eastAsia="宋体" w:hint="default"/>
                <w:sz w:val="18"/>
                <w:szCs w:val="18"/>
              </w:rPr>
            </w:pPr>
            <w:r>
              <w:rPr>
                <w:rFonts w:ascii="宋体" w:hAnsi="宋体" w:cs="宋体" w:eastAsia="宋体" w:hint="default"/>
                <w:sz w:val="18"/>
                <w:szCs w:val="18"/>
              </w:rPr>
              <w:t>宣告发放现金 股利或利润</w:t>
            </w:r>
            <w:r>
              <w:rPr>
                <w:rFonts w:ascii="宋体" w:hAnsi="宋体" w:cs="宋体" w:eastAsia="宋体" w:hint="default"/>
                <w:sz w:val="18"/>
                <w:szCs w:val="18"/>
              </w:rPr>
              <w:t>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51" w:right="59"/>
              <w:jc w:val="left"/>
              <w:rPr>
                <w:rFonts w:ascii="宋体" w:hAnsi="宋体" w:cs="宋体" w:eastAsia="宋体" w:hint="default"/>
                <w:sz w:val="18"/>
                <w:szCs w:val="18"/>
              </w:rPr>
            </w:pPr>
            <w:r>
              <w:rPr>
                <w:rFonts w:ascii="宋体" w:hAnsi="宋体" w:cs="宋体" w:eastAsia="宋体" w:hint="default"/>
                <w:sz w:val="18"/>
                <w:szCs w:val="18"/>
              </w:rPr>
              <w:t>计提减 值准备</w:t>
            </w:r>
            <w:r>
              <w:rPr>
                <w:rFonts w:ascii="宋体" w:hAnsi="宋体" w:cs="宋体" w:eastAsia="宋体" w:hint="default"/>
                <w:sz w:val="18"/>
                <w:szCs w:val="18"/>
              </w:rPr>
              <w:t> </w:t>
            </w:r>
          </w:p>
        </w:tc>
        <w:tc>
          <w:tcPr>
            <w:tcW w:w="33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05" w:right="41"/>
              <w:jc w:val="left"/>
              <w:rPr>
                <w:rFonts w:ascii="宋体" w:hAnsi="宋体" w:cs="宋体" w:eastAsia="宋体" w:hint="default"/>
                <w:sz w:val="18"/>
                <w:szCs w:val="18"/>
              </w:rPr>
            </w:pPr>
            <w:r>
              <w:rPr>
                <w:rFonts w:ascii="宋体" w:hAnsi="宋体" w:cs="宋体" w:eastAsia="宋体" w:hint="default"/>
                <w:sz w:val="18"/>
                <w:szCs w:val="18"/>
              </w:rPr>
              <w:t>其 他</w:t>
            </w:r>
          </w:p>
        </w:tc>
        <w:tc>
          <w:tcPr>
            <w:tcW w:w="150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245" w:hRule="exact"/>
        </w:trPr>
        <w:tc>
          <w:tcPr>
            <w:tcW w:w="14402" w:type="dxa"/>
            <w:gridSpan w:val="1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一、合营企业</w:t>
            </w:r>
            <w:r>
              <w:rPr>
                <w:rFonts w:ascii="宋体" w:hAnsi="宋体" w:cs="宋体" w:eastAsia="宋体" w:hint="default"/>
                <w:sz w:val="18"/>
                <w:szCs w:val="18"/>
              </w:rPr>
              <w:t> </w:t>
            </w:r>
          </w:p>
        </w:tc>
      </w:tr>
      <w:tr>
        <w:trPr>
          <w:trHeight w:val="243" w:hRule="exact"/>
        </w:trPr>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小计</w:t>
            </w:r>
            <w:r>
              <w:rPr>
                <w:rFonts w:ascii="宋体" w:hAnsi="宋体" w:cs="宋体" w:eastAsia="宋体" w:hint="default"/>
                <w:sz w:val="18"/>
                <w:szCs w:val="18"/>
              </w:rPr>
              <w:t> </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z w:val="18"/>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z w:val="18"/>
              </w:rPr>
              <w:t> </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z w:val="18"/>
              </w:rPr>
              <w:t> </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z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z w:val="18"/>
              </w:rPr>
              <w:t>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z w:val="18"/>
              </w:rPr>
              <w:t> </w:t>
            </w:r>
          </w:p>
        </w:tc>
        <w:tc>
          <w:tcPr>
            <w:tcW w:w="33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z w:val="18"/>
              </w:rPr>
              <w:t> </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8"/>
              <w:jc w:val="right"/>
              <w:rPr>
                <w:rFonts w:ascii="宋体" w:hAnsi="宋体" w:cs="宋体" w:eastAsia="宋体" w:hint="default"/>
                <w:sz w:val="18"/>
                <w:szCs w:val="18"/>
              </w:rPr>
            </w:pPr>
            <w:r>
              <w:rPr>
                <w:rFonts w:ascii="宋体"/>
                <w:sz w:val="18"/>
              </w:rPr>
              <w:t> </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8"/>
              <w:jc w:val="right"/>
              <w:rPr>
                <w:rFonts w:ascii="宋体" w:hAnsi="宋体" w:cs="宋体" w:eastAsia="宋体" w:hint="default"/>
                <w:sz w:val="18"/>
                <w:szCs w:val="18"/>
              </w:rPr>
            </w:pPr>
            <w:r>
              <w:rPr>
                <w:rFonts w:ascii="宋体"/>
                <w:sz w:val="18"/>
              </w:rPr>
              <w:t> </w:t>
            </w:r>
          </w:p>
        </w:tc>
      </w:tr>
      <w:tr>
        <w:trPr>
          <w:trHeight w:val="242" w:hRule="exact"/>
        </w:trPr>
        <w:tc>
          <w:tcPr>
            <w:tcW w:w="14402" w:type="dxa"/>
            <w:gridSpan w:val="1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二、联营企业</w:t>
            </w:r>
            <w:r>
              <w:rPr>
                <w:rFonts w:ascii="宋体" w:hAnsi="宋体" w:cs="宋体" w:eastAsia="宋体" w:hint="default"/>
                <w:sz w:val="18"/>
                <w:szCs w:val="18"/>
              </w:rPr>
              <w:t> </w:t>
            </w:r>
          </w:p>
        </w:tc>
      </w:tr>
      <w:tr>
        <w:trPr>
          <w:trHeight w:val="478" w:hRule="exact"/>
        </w:trPr>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江苏华源仪器仪表有</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限公司</w:t>
            </w:r>
            <w:r>
              <w:rPr>
                <w:rFonts w:ascii="宋体" w:hAnsi="宋体" w:cs="宋体" w:eastAsia="宋体" w:hint="default"/>
                <w:sz w:val="18"/>
                <w:szCs w:val="18"/>
              </w:rPr>
              <w:t> </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pacing w:val="-1"/>
                <w:sz w:val="18"/>
              </w:rPr>
              <w:t>57,897,748.04</w:t>
            </w:r>
            <w:r>
              <w:rPr>
                <w:rFonts w:ascii="宋体"/>
                <w:sz w:val="18"/>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pacing w:val="-1"/>
                <w:sz w:val="18"/>
              </w:rPr>
              <w:t>72,697,500.00 </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pacing w:val="-1"/>
                <w:sz w:val="18"/>
              </w:rPr>
              <w:t>38,462,943.91</w:t>
            </w:r>
            <w:r>
              <w:rPr>
                <w:rFonts w:ascii="宋体"/>
                <w:sz w:val="18"/>
              </w:rPr>
              <w:t> </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pacing w:val="-1"/>
                <w:sz w:val="18"/>
              </w:rPr>
              <w:t>-5,146,437.27</w:t>
            </w:r>
            <w:r>
              <w:rPr>
                <w:rFonts w:ascii="宋体"/>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pacing w:val="-1"/>
                <w:sz w:val="18"/>
              </w:rPr>
              <w:t>54,709,122.07</w:t>
            </w:r>
            <w:r>
              <w:rPr>
                <w:rFonts w:ascii="宋体"/>
                <w:sz w:val="18"/>
              </w:rPr>
              <w:t>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pacing w:val="-1"/>
                <w:sz w:val="18"/>
              </w:rPr>
              <w:t>32,276,744.79</w:t>
            </w:r>
            <w:r>
              <w:rPr>
                <w:rFonts w:ascii="宋体"/>
                <w:sz w:val="18"/>
              </w:rPr>
              <w:t> </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r>
      <w:tr>
        <w:trPr>
          <w:trHeight w:val="478" w:hRule="exact"/>
        </w:trPr>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江苏华电华林新能源</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有限公司</w:t>
            </w:r>
            <w:r>
              <w:rPr>
                <w:rFonts w:ascii="宋体" w:hAnsi="宋体" w:cs="宋体" w:eastAsia="宋体" w:hint="default"/>
                <w:sz w:val="18"/>
                <w:szCs w:val="18"/>
              </w:rPr>
              <w:t> </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pacing w:val="-1"/>
                <w:sz w:val="18"/>
              </w:rPr>
              <w:t>23,605,861.06</w:t>
            </w:r>
            <w:r>
              <w:rPr>
                <w:rFonts w:ascii="宋体"/>
                <w:sz w:val="18"/>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pacing w:val="-1"/>
                <w:sz w:val="18"/>
              </w:rPr>
              <w:t>1,318,358.49</w:t>
            </w:r>
            <w:r>
              <w:rPr>
                <w:rFonts w:ascii="宋体"/>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pacing w:val="-1"/>
                <w:sz w:val="18"/>
              </w:rPr>
              <w:t>1,500,000.00</w:t>
            </w:r>
            <w:r>
              <w:rPr>
                <w:rFonts w:ascii="宋体"/>
                <w:sz w:val="18"/>
              </w:rPr>
              <w:t>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pacing w:val="-1"/>
                <w:sz w:val="18"/>
              </w:rPr>
              <w:t>23,424,219.55</w:t>
            </w:r>
            <w:r>
              <w:rPr>
                <w:rFonts w:ascii="宋体"/>
                <w:sz w:val="18"/>
              </w:rPr>
              <w:t> </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r>
      <w:tr>
        <w:trPr>
          <w:trHeight w:val="478" w:hRule="exact"/>
        </w:trPr>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法凯涞玛冷暖设备</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（杭州）有限公司</w:t>
            </w:r>
            <w:r>
              <w:rPr>
                <w:rFonts w:ascii="宋体" w:hAnsi="宋体" w:cs="宋体" w:eastAsia="宋体" w:hint="default"/>
                <w:sz w:val="18"/>
                <w:szCs w:val="18"/>
              </w:rPr>
              <w:t> </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pacing w:val="-1"/>
                <w:sz w:val="18"/>
              </w:rPr>
              <w:t>3,024,829.44</w:t>
            </w:r>
            <w:r>
              <w:rPr>
                <w:rFonts w:ascii="宋体"/>
                <w:sz w:val="18"/>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pacing w:val="-1"/>
                <w:sz w:val="18"/>
              </w:rPr>
              <w:t>28,199.90</w:t>
            </w:r>
            <w:r>
              <w:rPr>
                <w:rFonts w:ascii="宋体"/>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pacing w:val="-1"/>
                <w:sz w:val="18"/>
              </w:rPr>
              <w:t>3,053,029.34</w:t>
            </w:r>
            <w:r>
              <w:rPr>
                <w:rFonts w:ascii="宋体"/>
                <w:sz w:val="18"/>
              </w:rPr>
              <w:t> </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r>
      <w:tr>
        <w:trPr>
          <w:trHeight w:val="475" w:hRule="exact"/>
        </w:trPr>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无锡感知金服实业有</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限公司</w:t>
            </w:r>
            <w:r>
              <w:rPr>
                <w:rFonts w:ascii="宋体" w:hAnsi="宋体" w:cs="宋体" w:eastAsia="宋体" w:hint="default"/>
                <w:sz w:val="18"/>
                <w:szCs w:val="18"/>
              </w:rPr>
              <w:t> </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pacing w:val="-1"/>
                <w:sz w:val="18"/>
              </w:rPr>
              <w:t>24,010,956.21</w:t>
            </w:r>
            <w:r>
              <w:rPr>
                <w:rFonts w:ascii="宋体"/>
                <w:sz w:val="18"/>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z w:val="18"/>
              </w:rPr>
              <w:t> </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z w:val="18"/>
              </w:rPr>
              <w:t> </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pacing w:val="-1"/>
                <w:sz w:val="18"/>
              </w:rPr>
              <w:t>-556,845.26</w:t>
            </w:r>
            <w:r>
              <w:rPr>
                <w:rFonts w:ascii="宋体"/>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z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z w:val="18"/>
              </w:rPr>
              <w:t>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z w:val="18"/>
              </w:rPr>
              <w:t> </w:t>
            </w:r>
          </w:p>
        </w:tc>
        <w:tc>
          <w:tcPr>
            <w:tcW w:w="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z w:val="18"/>
              </w:rPr>
              <w:t> </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8"/>
              <w:jc w:val="right"/>
              <w:rPr>
                <w:rFonts w:ascii="宋体" w:hAnsi="宋体" w:cs="宋体" w:eastAsia="宋体" w:hint="default"/>
                <w:sz w:val="18"/>
                <w:szCs w:val="18"/>
              </w:rPr>
            </w:pPr>
            <w:r>
              <w:rPr>
                <w:rFonts w:ascii="宋体"/>
                <w:spacing w:val="-1"/>
                <w:sz w:val="18"/>
              </w:rPr>
              <w:t>23,454,110.95</w:t>
            </w:r>
            <w:r>
              <w:rPr>
                <w:rFonts w:ascii="宋体"/>
                <w:sz w:val="18"/>
              </w:rPr>
              <w:t> </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8"/>
              <w:jc w:val="right"/>
              <w:rPr>
                <w:rFonts w:ascii="宋体" w:hAnsi="宋体" w:cs="宋体" w:eastAsia="宋体" w:hint="default"/>
                <w:sz w:val="18"/>
                <w:szCs w:val="18"/>
              </w:rPr>
            </w:pPr>
            <w:r>
              <w:rPr>
                <w:rFonts w:ascii="宋体"/>
                <w:sz w:val="18"/>
              </w:rPr>
              <w:t> </w:t>
            </w:r>
          </w:p>
        </w:tc>
      </w:tr>
      <w:tr>
        <w:trPr>
          <w:trHeight w:val="245" w:hRule="exact"/>
        </w:trPr>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小计</w:t>
            </w:r>
            <w:r>
              <w:rPr>
                <w:rFonts w:ascii="宋体" w:hAnsi="宋体" w:cs="宋体" w:eastAsia="宋体" w:hint="default"/>
                <w:sz w:val="18"/>
                <w:szCs w:val="18"/>
              </w:rPr>
              <w:t> </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108,539,394.75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72,697,500.00 </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38,462,943.91</w:t>
            </w:r>
            <w:r>
              <w:rPr>
                <w:rFonts w:ascii="宋体"/>
                <w:sz w:val="18"/>
              </w:rPr>
              <w:t> </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-4,356,724.14</w:t>
            </w:r>
            <w:r>
              <w:rPr>
                <w:rFonts w:ascii="宋体"/>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56,209,122.07</w:t>
            </w:r>
            <w:r>
              <w:rPr>
                <w:rFonts w:ascii="宋体"/>
                <w:sz w:val="18"/>
              </w:rPr>
              <w:t>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pacing w:val="-1"/>
                <w:sz w:val="18"/>
              </w:rPr>
              <w:t>82,208,104.63</w:t>
            </w:r>
            <w:r>
              <w:rPr>
                <w:rFonts w:ascii="宋体"/>
                <w:sz w:val="18"/>
              </w:rPr>
              <w:t> </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r>
      <w:tr>
        <w:trPr>
          <w:trHeight w:val="243" w:hRule="exact"/>
        </w:trPr>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92" w:right="0"/>
              <w:jc w:val="center"/>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pacing w:val="-1"/>
                <w:sz w:val="18"/>
              </w:rPr>
              <w:t>108,539,394.75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pacing w:val="-1"/>
                <w:sz w:val="18"/>
              </w:rPr>
              <w:t>72,697,500.00 </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pacing w:val="-1"/>
                <w:sz w:val="18"/>
              </w:rPr>
              <w:t>38,462,943.91</w:t>
            </w:r>
            <w:r>
              <w:rPr>
                <w:rFonts w:ascii="宋体"/>
                <w:sz w:val="18"/>
              </w:rPr>
              <w:t> </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pacing w:val="-1"/>
                <w:sz w:val="18"/>
              </w:rPr>
              <w:t>-4,356,724.14</w:t>
            </w:r>
            <w:r>
              <w:rPr>
                <w:rFonts w:ascii="宋体"/>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z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pacing w:val="-1"/>
                <w:sz w:val="18"/>
              </w:rPr>
              <w:t>56,209,122.07</w:t>
            </w:r>
            <w:r>
              <w:rPr>
                <w:rFonts w:ascii="宋体"/>
                <w:sz w:val="18"/>
              </w:rPr>
              <w:t>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z w:val="18"/>
              </w:rPr>
              <w:t> </w:t>
            </w:r>
          </w:p>
        </w:tc>
        <w:tc>
          <w:tcPr>
            <w:tcW w:w="33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z w:val="18"/>
              </w:rPr>
              <w:t> </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8"/>
              <w:jc w:val="right"/>
              <w:rPr>
                <w:rFonts w:ascii="宋体" w:hAnsi="宋体" w:cs="宋体" w:eastAsia="宋体" w:hint="default"/>
                <w:sz w:val="18"/>
                <w:szCs w:val="18"/>
              </w:rPr>
            </w:pPr>
            <w:r>
              <w:rPr>
                <w:rFonts w:ascii="宋体"/>
                <w:spacing w:val="-1"/>
                <w:sz w:val="18"/>
              </w:rPr>
              <w:t>82,208,104.63</w:t>
            </w:r>
            <w:r>
              <w:rPr>
                <w:rFonts w:ascii="宋体"/>
                <w:sz w:val="18"/>
              </w:rPr>
              <w:t> </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8"/>
              <w:jc w:val="right"/>
              <w:rPr>
                <w:rFonts w:ascii="宋体" w:hAnsi="宋体" w:cs="宋体" w:eastAsia="宋体" w:hint="default"/>
                <w:sz w:val="18"/>
                <w:szCs w:val="18"/>
              </w:rPr>
            </w:pPr>
            <w:r>
              <w:rPr>
                <w:rFonts w:ascii="宋体"/>
                <w:sz w:val="18"/>
              </w:rPr>
              <w:t> </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7"/>
          <w:szCs w:val="27"/>
        </w:rPr>
      </w:pPr>
    </w:p>
    <w:p>
      <w:pPr>
        <w:spacing w:before="63"/>
        <w:ind w:left="7393" w:right="6792" w:firstLine="0"/>
        <w:jc w:val="center"/>
        <w:rPr>
          <w:rFonts w:ascii="Calibri" w:hAnsi="Calibri" w:cs="Calibri" w:eastAsia="Calibri" w:hint="default"/>
          <w:sz w:val="18"/>
          <w:szCs w:val="18"/>
        </w:rPr>
      </w:pPr>
      <w:r>
        <w:rPr>
          <w:rFonts w:ascii="Calibri"/>
          <w:b/>
          <w:sz w:val="18"/>
        </w:rPr>
        <w:t>212 </w:t>
      </w:r>
      <w:r>
        <w:rPr>
          <w:rFonts w:ascii="Calibri"/>
          <w:sz w:val="18"/>
        </w:rPr>
        <w:t>/</w:t>
      </w:r>
      <w:r>
        <w:rPr>
          <w:rFonts w:ascii="Calibri"/>
          <w:spacing w:val="-5"/>
          <w:sz w:val="18"/>
        </w:rPr>
        <w:t> </w:t>
      </w:r>
      <w:r>
        <w:rPr>
          <w:rFonts w:ascii="Calibri"/>
          <w:b/>
          <w:sz w:val="18"/>
        </w:rPr>
        <w:t>216</w:t>
      </w:r>
      <w:r>
        <w:rPr>
          <w:rFonts w:ascii="Calibri"/>
          <w:sz w:val="18"/>
        </w:rPr>
      </w:r>
    </w:p>
    <w:p>
      <w:pPr>
        <w:spacing w:after="0"/>
        <w:jc w:val="center"/>
        <w:rPr>
          <w:rFonts w:ascii="Calibri" w:hAnsi="Calibri" w:cs="Calibri" w:eastAsia="Calibri" w:hint="default"/>
          <w:sz w:val="18"/>
          <w:szCs w:val="18"/>
        </w:rPr>
        <w:sectPr>
          <w:type w:val="continuous"/>
          <w:pgSz w:w="16840" w:h="11910" w:orient="landscape"/>
          <w:pgMar w:top="1580" w:bottom="280" w:left="700" w:right="1220"/>
        </w:sectPr>
      </w:pPr>
    </w:p>
    <w:p>
      <w:pPr>
        <w:spacing w:line="240" w:lineRule="auto" w:before="0"/>
        <w:rPr>
          <w:rFonts w:ascii="Calibri" w:hAnsi="Calibri" w:cs="Calibri" w:eastAsia="Calibri" w:hint="default"/>
          <w:b/>
          <w:bCs/>
          <w:sz w:val="20"/>
          <w:szCs w:val="20"/>
        </w:rPr>
      </w:pPr>
    </w:p>
    <w:p>
      <w:pPr>
        <w:spacing w:after="0" w:line="240" w:lineRule="auto"/>
        <w:rPr>
          <w:rFonts w:ascii="Calibri" w:hAnsi="Calibri" w:cs="Calibri" w:eastAsia="Calibri" w:hint="default"/>
          <w:sz w:val="20"/>
          <w:szCs w:val="20"/>
        </w:rPr>
        <w:sectPr>
          <w:headerReference w:type="default" r:id="rId279"/>
          <w:footerReference w:type="default" r:id="rId280"/>
          <w:pgSz w:w="11910" w:h="16840"/>
          <w:pgMar w:header="882" w:footer="974" w:top="1080" w:bottom="1160" w:left="440" w:right="1020"/>
          <w:pgNumType w:start="213"/>
        </w:sectPr>
      </w:pPr>
    </w:p>
    <w:p>
      <w:pPr>
        <w:pStyle w:val="BodyText"/>
        <w:spacing w:line="240" w:lineRule="auto" w:before="164"/>
        <w:ind w:left="1358" w:right="0"/>
        <w:jc w:val="left"/>
        <w:rPr>
          <w:rFonts w:ascii="宋体" w:hAnsi="宋体" w:cs="宋体" w:eastAsia="宋体" w:hint="default"/>
        </w:rPr>
      </w:pPr>
      <w:r>
        <w:rPr>
          <w:rFonts w:ascii="宋体"/>
          <w:w w:val="100"/>
        </w:rPr>
        <w:t> </w:t>
      </w:r>
    </w:p>
    <w:p>
      <w:pPr>
        <w:pStyle w:val="Heading3"/>
        <w:spacing w:line="240" w:lineRule="auto" w:before="59"/>
        <w:ind w:left="1358" w:right="0"/>
        <w:jc w:val="left"/>
        <w:rPr>
          <w:b w:val="0"/>
          <w:bCs w:val="0"/>
        </w:rPr>
      </w:pPr>
      <w:r>
        <w:rPr>
          <w:rFonts w:ascii="宋体" w:hAnsi="宋体" w:cs="宋体" w:eastAsia="宋体" w:hint="default"/>
        </w:rPr>
        <w:t>4</w:t>
      </w:r>
      <w:r>
        <w:rPr/>
        <w:t>、</w:t>
      </w:r>
      <w:r>
        <w:rPr>
          <w:spacing w:val="5"/>
        </w:rPr>
        <w:t> </w:t>
      </w:r>
      <w:r>
        <w:rPr/>
        <w:t>营业收入和营业成本</w:t>
      </w:r>
      <w:r>
        <w:rPr>
          <w:b w:val="0"/>
          <w:bCs w:val="0"/>
        </w:rPr>
      </w:r>
    </w:p>
    <w:p>
      <w:pPr>
        <w:pStyle w:val="Heading3"/>
        <w:spacing w:line="240" w:lineRule="auto" w:before="56"/>
        <w:ind w:left="1358" w:right="0"/>
        <w:jc w:val="left"/>
        <w:rPr>
          <w:rFonts w:ascii="宋体" w:hAnsi="宋体" w:cs="宋体" w:eastAsia="宋体" w:hint="default"/>
          <w:b w:val="0"/>
          <w:bCs w:val="0"/>
        </w:rPr>
      </w:pPr>
      <w:r>
        <w:rPr>
          <w:rFonts w:ascii="宋体" w:hAnsi="宋体" w:cs="宋体" w:eastAsia="宋体" w:hint="default"/>
        </w:rPr>
        <w:t>(1).</w:t>
      </w:r>
      <w:r>
        <w:rPr>
          <w:rFonts w:ascii="宋体" w:hAnsi="宋体" w:cs="宋体" w:eastAsia="宋体" w:hint="default"/>
          <w:spacing w:val="-3"/>
        </w:rPr>
        <w:t> </w:t>
      </w:r>
      <w:r>
        <w:rPr/>
        <w:t>营业收入和营业成本情况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135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9"/>
          <w:szCs w:val="29"/>
        </w:rPr>
      </w:pPr>
    </w:p>
    <w:p>
      <w:pPr>
        <w:pStyle w:val="BodyText"/>
        <w:spacing w:line="240" w:lineRule="auto"/>
        <w:ind w:left="1358" w:right="0"/>
        <w:jc w:val="left"/>
        <w:rPr>
          <w:rFonts w:ascii="宋体" w:hAnsi="宋体" w:cs="宋体" w:eastAsia="宋体" w:hint="default"/>
        </w:rPr>
      </w:pPr>
      <w:r>
        <w:rPr/>
        <w:t>单位：元币种：人民币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580" w:bottom="280" w:left="440" w:right="1020"/>
          <w:cols w:num="2" w:equalWidth="0">
            <w:col w:w="4311" w:space="2422"/>
            <w:col w:w="3717"/>
          </w:cols>
        </w:sectPr>
      </w:pPr>
    </w:p>
    <w:p>
      <w:pPr>
        <w:spacing w:line="240" w:lineRule="auto" w:before="7"/>
        <w:rPr>
          <w:rFonts w:ascii="宋体" w:hAnsi="宋体" w:cs="宋体" w:eastAsia="宋体" w:hint="default"/>
          <w:sz w:val="2"/>
          <w:szCs w:val="2"/>
        </w:rPr>
      </w:pPr>
    </w:p>
    <w:tbl>
      <w:tblPr>
        <w:tblW w:w="0" w:type="auto"/>
        <w:jc w:val="left"/>
        <w:tblInd w:w="104" w:type="dxa"/>
        <w:tblLayout w:type="fixed"/>
        <w:tblCellMar>
          <w:top w:w="0" w:type="dxa"/>
          <w:left w:w="0" w:type="dxa"/>
          <w:bottom w:w="0" w:type="dxa"/>
          <w:right w:w="0" w:type="dxa"/>
        </w:tblCellMar>
        <w:tblLook w:val="01E0"/>
      </w:tblPr>
      <w:tblGrid>
        <w:gridCol w:w="1632"/>
        <w:gridCol w:w="2146"/>
        <w:gridCol w:w="2148"/>
        <w:gridCol w:w="2146"/>
        <w:gridCol w:w="2146"/>
      </w:tblGrid>
      <w:tr>
        <w:trPr>
          <w:trHeight w:val="281" w:hRule="exact"/>
        </w:trPr>
        <w:tc>
          <w:tcPr>
            <w:tcW w:w="1632" w:type="dxa"/>
            <w:vMerge w:val="restart"/>
            <w:tcBorders>
              <w:top w:val="single" w:sz="4" w:space="0" w:color="000000"/>
              <w:left w:val="single" w:sz="4" w:space="0" w:color="000000"/>
              <w:right w:val="single" w:sz="4" w:space="0" w:color="000000"/>
            </w:tcBorders>
          </w:tcPr>
          <w:p>
            <w:pPr>
              <w:pStyle w:val="TableParagraph"/>
              <w:spacing w:line="240" w:lineRule="auto" w:before="107"/>
              <w:ind w:left="600" w:right="0"/>
              <w:jc w:val="left"/>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429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42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3" w:hRule="exact"/>
        </w:trPr>
        <w:tc>
          <w:tcPr>
            <w:tcW w:w="1632" w:type="dxa"/>
            <w:vMerge/>
            <w:tcBorders>
              <w:left w:val="single" w:sz="4" w:space="0" w:color="000000"/>
              <w:bottom w:val="single" w:sz="4" w:space="0" w:color="000000"/>
              <w:right w:val="single" w:sz="4" w:space="0" w:color="000000"/>
            </w:tcBorders>
          </w:tcPr>
          <w:p>
            <w:pP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2" w:right="0"/>
              <w:jc w:val="center"/>
              <w:rPr>
                <w:rFonts w:ascii="宋体" w:hAnsi="宋体" w:cs="宋体" w:eastAsia="宋体" w:hint="default"/>
                <w:sz w:val="21"/>
                <w:szCs w:val="21"/>
              </w:rPr>
            </w:pPr>
            <w:r>
              <w:rPr>
                <w:rFonts w:ascii="宋体" w:hAnsi="宋体" w:cs="宋体" w:eastAsia="宋体" w:hint="default"/>
                <w:sz w:val="21"/>
                <w:szCs w:val="21"/>
              </w:rPr>
              <w:t>收入</w:t>
            </w:r>
            <w:r>
              <w:rPr>
                <w:rFonts w:ascii="宋体" w:hAnsi="宋体" w:cs="宋体" w:eastAsia="宋体" w:hint="default"/>
                <w:sz w:val="21"/>
                <w:szCs w:val="21"/>
              </w:rPr>
              <w:t> </w:t>
            </w:r>
          </w:p>
        </w:tc>
        <w:tc>
          <w:tcPr>
            <w:tcW w:w="214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center"/>
              <w:rPr>
                <w:rFonts w:ascii="宋体" w:hAnsi="宋体" w:cs="宋体" w:eastAsia="宋体" w:hint="default"/>
                <w:sz w:val="21"/>
                <w:szCs w:val="21"/>
              </w:rPr>
            </w:pPr>
            <w:r>
              <w:rPr>
                <w:rFonts w:ascii="宋体" w:hAnsi="宋体" w:cs="宋体" w:eastAsia="宋体" w:hint="default"/>
                <w:sz w:val="21"/>
                <w:szCs w:val="21"/>
              </w:rPr>
              <w:t>成本</w:t>
            </w:r>
            <w:r>
              <w:rPr>
                <w:rFonts w:ascii="宋体" w:hAnsi="宋体" w:cs="宋体" w:eastAsia="宋体" w:hint="default"/>
                <w:sz w:val="21"/>
                <w:szCs w:val="21"/>
              </w:rPr>
              <w:t> </w:t>
            </w: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hAnsi="宋体" w:cs="宋体" w:eastAsia="宋体" w:hint="default"/>
                <w:sz w:val="21"/>
                <w:szCs w:val="21"/>
              </w:rPr>
              <w:t>收入</w:t>
            </w:r>
            <w:r>
              <w:rPr>
                <w:rFonts w:ascii="宋体" w:hAnsi="宋体" w:cs="宋体" w:eastAsia="宋体" w:hint="default"/>
                <w:sz w:val="21"/>
                <w:szCs w:val="21"/>
              </w:rPr>
              <w:t> </w:t>
            </w: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hAnsi="宋体" w:cs="宋体" w:eastAsia="宋体" w:hint="default"/>
                <w:sz w:val="21"/>
                <w:szCs w:val="21"/>
              </w:rPr>
              <w:t>成本</w:t>
            </w:r>
            <w:r>
              <w:rPr>
                <w:rFonts w:ascii="宋体" w:hAnsi="宋体" w:cs="宋体" w:eastAsia="宋体" w:hint="default"/>
                <w:sz w:val="21"/>
                <w:szCs w:val="21"/>
              </w:rPr>
              <w:t> </w:t>
            </w:r>
          </w:p>
        </w:tc>
      </w:tr>
      <w:tr>
        <w:trPr>
          <w:trHeight w:val="283" w:hRule="exact"/>
        </w:trPr>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主营业务</w:t>
            </w:r>
            <w:r>
              <w:rPr>
                <w:rFonts w:ascii="宋体" w:hAnsi="宋体" w:cs="宋体" w:eastAsia="宋体" w:hint="default"/>
                <w:sz w:val="21"/>
                <w:szCs w:val="21"/>
              </w:rPr>
              <w:t> </w:t>
            </w: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1,695,969,124.18</w:t>
            </w:r>
            <w:r>
              <w:rPr>
                <w:rFonts w:ascii="宋体"/>
                <w:sz w:val="21"/>
              </w:rPr>
              <w:t> </w:t>
            </w:r>
          </w:p>
        </w:tc>
        <w:tc>
          <w:tcPr>
            <w:tcW w:w="21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1,317,551,380.76</w:t>
            </w:r>
            <w:r>
              <w:rPr>
                <w:rFonts w:ascii="宋体"/>
                <w:sz w:val="21"/>
              </w:rPr>
              <w:t> </w:t>
            </w: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1,797,387,767.96</w:t>
            </w:r>
            <w:r>
              <w:rPr>
                <w:rFonts w:ascii="宋体"/>
                <w:sz w:val="21"/>
              </w:rPr>
              <w:t> </w:t>
            </w: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1,439,866,164.88</w:t>
            </w:r>
            <w:r>
              <w:rPr>
                <w:rFonts w:ascii="宋体"/>
                <w:sz w:val="21"/>
              </w:rPr>
              <w:t> </w:t>
            </w:r>
          </w:p>
        </w:tc>
      </w:tr>
      <w:tr>
        <w:trPr>
          <w:trHeight w:val="281" w:hRule="exact"/>
        </w:trPr>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其他业务</w:t>
            </w:r>
            <w:r>
              <w:rPr>
                <w:rFonts w:ascii="宋体" w:hAnsi="宋体" w:cs="宋体" w:eastAsia="宋体" w:hint="default"/>
                <w:sz w:val="21"/>
                <w:szCs w:val="21"/>
              </w:rPr>
              <w:t> </w:t>
            </w: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83,850,074.13</w:t>
            </w:r>
            <w:r>
              <w:rPr>
                <w:rFonts w:ascii="宋体"/>
                <w:sz w:val="21"/>
              </w:rPr>
              <w:t> </w:t>
            </w:r>
          </w:p>
        </w:tc>
        <w:tc>
          <w:tcPr>
            <w:tcW w:w="21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69,389,990.52</w:t>
            </w:r>
            <w:r>
              <w:rPr>
                <w:rFonts w:ascii="宋体"/>
                <w:sz w:val="21"/>
              </w:rPr>
              <w:t> </w:t>
            </w: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47,666,470.09</w:t>
            </w:r>
            <w:r>
              <w:rPr>
                <w:rFonts w:ascii="宋体"/>
                <w:sz w:val="21"/>
              </w:rPr>
              <w:t> </w:t>
            </w: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45,602,697.22</w:t>
            </w:r>
            <w:r>
              <w:rPr>
                <w:rFonts w:ascii="宋体"/>
                <w:sz w:val="21"/>
              </w:rPr>
              <w:t> </w:t>
            </w:r>
          </w:p>
        </w:tc>
      </w:tr>
      <w:tr>
        <w:trPr>
          <w:trHeight w:val="283" w:hRule="exact"/>
        </w:trPr>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600"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1,779,819,198.31</w:t>
            </w:r>
            <w:r>
              <w:rPr>
                <w:rFonts w:ascii="宋体"/>
                <w:sz w:val="21"/>
              </w:rPr>
              <w:t> </w:t>
            </w:r>
          </w:p>
        </w:tc>
        <w:tc>
          <w:tcPr>
            <w:tcW w:w="214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1,386,941,371.28</w:t>
            </w:r>
            <w:r>
              <w:rPr>
                <w:rFonts w:ascii="宋体"/>
                <w:sz w:val="21"/>
              </w:rPr>
              <w:t> </w:t>
            </w: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1,845,054,238.05</w:t>
            </w:r>
            <w:r>
              <w:rPr>
                <w:rFonts w:ascii="宋体"/>
                <w:sz w:val="21"/>
              </w:rPr>
              <w:t> </w:t>
            </w: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1,485,468,862.10</w:t>
            </w:r>
            <w:r>
              <w:rPr>
                <w:rFonts w:ascii="宋体"/>
                <w:sz w:val="21"/>
              </w:rPr>
              <w:t> </w:t>
            </w:r>
          </w:p>
        </w:tc>
      </w:tr>
    </w:tbl>
    <w:p>
      <w:pPr>
        <w:spacing w:after="0" w:line="243" w:lineRule="exact"/>
        <w:jc w:val="right"/>
        <w:rPr>
          <w:rFonts w:ascii="宋体" w:hAnsi="宋体" w:cs="宋体" w:eastAsia="宋体" w:hint="default"/>
          <w:sz w:val="21"/>
          <w:szCs w:val="21"/>
        </w:rPr>
        <w:sectPr>
          <w:type w:val="continuous"/>
          <w:pgSz w:w="11910" w:h="16840"/>
          <w:pgMar w:top="1580" w:bottom="280" w:left="440" w:right="1020"/>
        </w:sectPr>
      </w:pPr>
    </w:p>
    <w:p>
      <w:pPr>
        <w:pStyle w:val="BodyText"/>
        <w:spacing w:line="241" w:lineRule="exact"/>
        <w:ind w:left="0" w:right="574"/>
        <w:jc w:val="center"/>
        <w:rPr>
          <w:rFonts w:ascii="宋体" w:hAnsi="宋体" w:cs="宋体" w:eastAsia="宋体" w:hint="default"/>
        </w:rPr>
      </w:pPr>
      <w:r>
        <w:rPr>
          <w:rFonts w:ascii="宋体"/>
          <w:w w:val="100"/>
        </w:rPr>
        <w:t> </w:t>
      </w:r>
    </w:p>
    <w:p>
      <w:pPr>
        <w:pStyle w:val="Heading3"/>
        <w:spacing w:line="240" w:lineRule="auto" w:before="58"/>
        <w:ind w:left="1358" w:right="0"/>
        <w:jc w:val="left"/>
        <w:rPr>
          <w:rFonts w:ascii="宋体" w:hAnsi="宋体" w:cs="宋体" w:eastAsia="宋体" w:hint="default"/>
          <w:b w:val="0"/>
          <w:bCs w:val="0"/>
        </w:rPr>
      </w:pPr>
      <w:bookmarkStart w:name="OLE_LINK6" w:id="19"/>
      <w:bookmarkEnd w:id="19"/>
      <w:r>
        <w:rPr>
          <w:b w:val="0"/>
          <w:bCs w:val="0"/>
        </w:rPr>
      </w:r>
      <w:r>
        <w:rPr>
          <w:rFonts w:ascii="宋体" w:hAnsi="宋体" w:cs="宋体" w:eastAsia="宋体" w:hint="default"/>
        </w:rPr>
        <w:t>5</w:t>
      </w:r>
      <w:r>
        <w:rPr/>
        <w:t>、 投资收益</w:t>
      </w:r>
      <w:r>
        <w:rPr>
          <w:rFonts w:ascii="宋体" w:hAnsi="宋体" w:cs="宋体" w:eastAsia="宋体" w:hint="default"/>
          <w:w w:val="99"/>
        </w:rPr>
        <w:t> </w:t>
      </w:r>
      <w:r>
        <w:rPr>
          <w:rFonts w:ascii="宋体" w:hAnsi="宋体" w:cs="宋体" w:eastAsia="宋体" w:hint="default"/>
          <w:b w:val="0"/>
          <w:bCs w:val="0"/>
        </w:rPr>
      </w:r>
    </w:p>
    <w:p>
      <w:pPr>
        <w:pStyle w:val="Heading2"/>
        <w:spacing w:line="240" w:lineRule="auto" w:before="50"/>
        <w:ind w:left="1358"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58"/>
        <w:ind w:left="1358" w:right="0"/>
        <w:jc w:val="left"/>
        <w:rPr>
          <w:rFonts w:ascii="宋体" w:hAnsi="宋体" w:cs="宋体" w:eastAsia="宋体" w:hint="default"/>
        </w:rPr>
      </w:pPr>
      <w:r>
        <w:rPr/>
        <w:t>单位：元币种：人民币</w:t>
      </w:r>
      <w:r>
        <w:rPr>
          <w:rFonts w:ascii="宋体" w:hAnsi="宋体" w:cs="宋体" w:eastAsia="宋体" w:hint="default"/>
          <w:color w:val="FF0000"/>
        </w:rPr>
        <w:t> </w:t>
      </w:r>
      <w:r>
        <w:rPr>
          <w:rFonts w:ascii="宋体" w:hAnsi="宋体" w:cs="宋体" w:eastAsia="宋体" w:hint="default"/>
        </w:rPr>
      </w:r>
    </w:p>
    <w:p>
      <w:pPr>
        <w:spacing w:after="0" w:line="240" w:lineRule="auto"/>
        <w:jc w:val="left"/>
        <w:rPr>
          <w:rFonts w:ascii="宋体" w:hAnsi="宋体" w:cs="宋体" w:eastAsia="宋体" w:hint="default"/>
        </w:rPr>
        <w:sectPr>
          <w:type w:val="continuous"/>
          <w:pgSz w:w="11910" w:h="16840"/>
          <w:pgMar w:top="1580" w:bottom="280" w:left="440" w:right="1020"/>
          <w:cols w:num="2" w:equalWidth="0">
            <w:col w:w="3399" w:space="3334"/>
            <w:col w:w="3717"/>
          </w:cols>
        </w:sectPr>
      </w:pPr>
    </w:p>
    <w:p>
      <w:pPr>
        <w:spacing w:line="240" w:lineRule="auto" w:before="4"/>
        <w:rPr>
          <w:rFonts w:ascii="宋体" w:hAnsi="宋体" w:cs="宋体" w:eastAsia="宋体" w:hint="default"/>
          <w:sz w:val="2"/>
          <w:szCs w:val="2"/>
        </w:rPr>
      </w:pPr>
    </w:p>
    <w:tbl>
      <w:tblPr>
        <w:tblW w:w="0" w:type="auto"/>
        <w:jc w:val="left"/>
        <w:tblInd w:w="1245" w:type="dxa"/>
        <w:tblLayout w:type="fixed"/>
        <w:tblCellMar>
          <w:top w:w="0" w:type="dxa"/>
          <w:left w:w="0" w:type="dxa"/>
          <w:bottom w:w="0" w:type="dxa"/>
          <w:right w:w="0" w:type="dxa"/>
        </w:tblCellMar>
        <w:tblLook w:val="01E0"/>
      </w:tblPr>
      <w:tblGrid>
        <w:gridCol w:w="4503"/>
        <w:gridCol w:w="2410"/>
        <w:gridCol w:w="2137"/>
      </w:tblGrid>
      <w:tr>
        <w:trPr>
          <w:trHeight w:val="283"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74"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38"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3"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成本法核算的长期股权投资收益</w:t>
            </w:r>
            <w:r>
              <w:rPr>
                <w:rFonts w:ascii="宋体" w:hAnsi="宋体" w:cs="宋体" w:eastAsia="宋体" w:hint="default"/>
                <w:sz w:val="21"/>
                <w:szCs w:val="21"/>
              </w:rPr>
              <w:t> </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71,800,000.00</w:t>
            </w:r>
            <w:r>
              <w:rPr>
                <w:rFonts w:ascii="宋体"/>
                <w:sz w:val="21"/>
              </w:rPr>
              <w:t> </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143,822,304.61</w:t>
            </w:r>
            <w:r>
              <w:rPr>
                <w:rFonts w:ascii="宋体"/>
                <w:sz w:val="21"/>
              </w:rPr>
              <w:t> </w:t>
            </w:r>
          </w:p>
        </w:tc>
      </w:tr>
      <w:tr>
        <w:trPr>
          <w:trHeight w:val="281"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权益法核算的长期股权投资收益</w:t>
            </w:r>
            <w:r>
              <w:rPr>
                <w:rFonts w:ascii="宋体" w:hAnsi="宋体" w:cs="宋体" w:eastAsia="宋体" w:hint="default"/>
                <w:sz w:val="21"/>
                <w:szCs w:val="21"/>
              </w:rPr>
              <w:t> </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-4,356,724.14</w:t>
            </w:r>
            <w:r>
              <w:rPr>
                <w:rFonts w:ascii="宋体"/>
                <w:sz w:val="21"/>
              </w:rPr>
              <w:t> </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1,275,289.40</w:t>
            </w:r>
            <w:r>
              <w:rPr>
                <w:rFonts w:ascii="宋体"/>
                <w:sz w:val="21"/>
              </w:rPr>
              <w:t> </w:t>
            </w:r>
          </w:p>
        </w:tc>
      </w:tr>
      <w:tr>
        <w:trPr>
          <w:trHeight w:val="283"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处置长期股权投资产生的投资收益</w:t>
            </w:r>
            <w:r>
              <w:rPr>
                <w:rFonts w:ascii="宋体" w:hAnsi="宋体" w:cs="宋体" w:eastAsia="宋体" w:hint="default"/>
                <w:sz w:val="21"/>
                <w:szCs w:val="21"/>
              </w:rPr>
              <w:t> </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6,769,872.63</w:t>
            </w:r>
            <w:r>
              <w:rPr>
                <w:rFonts w:ascii="宋体"/>
                <w:sz w:val="21"/>
              </w:rPr>
              <w:t> </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-560,237.75</w:t>
            </w:r>
            <w:r>
              <w:rPr>
                <w:rFonts w:ascii="宋体"/>
                <w:sz w:val="21"/>
              </w:rPr>
              <w:t> </w:t>
            </w:r>
          </w:p>
        </w:tc>
      </w:tr>
      <w:tr>
        <w:trPr>
          <w:trHeight w:val="554"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以公允价值计量且其变动计入当期损益的金融</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资产在持有期间的投资收益</w:t>
            </w:r>
            <w:r>
              <w:rPr>
                <w:rFonts w:ascii="宋体" w:hAnsi="宋体" w:cs="宋体" w:eastAsia="宋体" w:hint="default"/>
                <w:sz w:val="21"/>
                <w:szCs w:val="21"/>
              </w:rPr>
              <w:t> </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r>
      <w:tr>
        <w:trPr>
          <w:trHeight w:val="554"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处置以公允价值计量且其变动计入当期损益的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金融资产取得的投资收益</w:t>
            </w:r>
            <w:r>
              <w:rPr>
                <w:rFonts w:ascii="宋体" w:hAnsi="宋体" w:cs="宋体" w:eastAsia="宋体" w:hint="default"/>
                <w:sz w:val="21"/>
                <w:szCs w:val="21"/>
              </w:rPr>
              <w:t> </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r>
      <w:tr>
        <w:trPr>
          <w:trHeight w:val="283"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持有至到期投资在持有期间的投资收益</w:t>
            </w:r>
            <w:r>
              <w:rPr>
                <w:rFonts w:ascii="宋体" w:hAnsi="宋体" w:cs="宋体" w:eastAsia="宋体" w:hint="default"/>
                <w:sz w:val="21"/>
                <w:szCs w:val="21"/>
              </w:rPr>
              <w:t> </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处置持有至到期投资取得的投资收益</w:t>
            </w:r>
            <w:r>
              <w:rPr>
                <w:rFonts w:ascii="宋体" w:hAnsi="宋体" w:cs="宋体" w:eastAsia="宋体" w:hint="default"/>
                <w:sz w:val="21"/>
                <w:szCs w:val="21"/>
              </w:rPr>
              <w:t> </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4"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可供出售金融资产在持有期间取得的投资收益</w:t>
            </w:r>
            <w:r>
              <w:rPr>
                <w:rFonts w:ascii="宋体" w:hAnsi="宋体" w:cs="宋体" w:eastAsia="宋体" w:hint="default"/>
                <w:sz w:val="21"/>
                <w:szCs w:val="21"/>
              </w:rPr>
              <w:t> </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3"/>
              <w:jc w:val="right"/>
              <w:rPr>
                <w:rFonts w:ascii="宋体" w:hAnsi="宋体" w:cs="宋体" w:eastAsia="宋体" w:hint="default"/>
                <w:sz w:val="21"/>
                <w:szCs w:val="21"/>
              </w:rPr>
            </w:pPr>
            <w:r>
              <w:rPr>
                <w:rFonts w:ascii="宋体"/>
                <w:w w:val="100"/>
                <w:sz w:val="21"/>
              </w:rPr>
              <w:t> </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处置可供出售金融资产取得的投资收益</w:t>
            </w:r>
            <w:r>
              <w:rPr>
                <w:rFonts w:ascii="宋体" w:hAnsi="宋体" w:cs="宋体" w:eastAsia="宋体" w:hint="default"/>
                <w:sz w:val="21"/>
                <w:szCs w:val="21"/>
              </w:rPr>
              <w:t> </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交易性金融资产在持有期间的投资收益</w:t>
            </w:r>
            <w:r>
              <w:rPr>
                <w:rFonts w:ascii="宋体" w:hAnsi="宋体" w:cs="宋体" w:eastAsia="宋体" w:hint="default"/>
                <w:sz w:val="21"/>
                <w:szCs w:val="21"/>
              </w:rPr>
              <w:t> </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其他权益工具投资在持有期间取得的股利收入</w:t>
            </w:r>
            <w:r>
              <w:rPr>
                <w:rFonts w:ascii="宋体" w:hAnsi="宋体" w:cs="宋体" w:eastAsia="宋体" w:hint="default"/>
                <w:sz w:val="21"/>
                <w:szCs w:val="21"/>
              </w:rPr>
              <w:t> </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债权投资在持有期间取得的利息收入</w:t>
            </w:r>
            <w:r>
              <w:rPr>
                <w:rFonts w:ascii="宋体" w:hAnsi="宋体" w:cs="宋体" w:eastAsia="宋体" w:hint="default"/>
                <w:sz w:val="21"/>
                <w:szCs w:val="21"/>
              </w:rPr>
              <w:t> </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其他债权投资在持有期间取得的利息收入</w:t>
            </w:r>
            <w:r>
              <w:rPr>
                <w:rFonts w:ascii="宋体" w:hAnsi="宋体" w:cs="宋体" w:eastAsia="宋体" w:hint="default"/>
                <w:sz w:val="21"/>
                <w:szCs w:val="21"/>
              </w:rPr>
              <w:t> </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处置交易性金融资产取得的投资收益</w:t>
            </w:r>
            <w:r>
              <w:rPr>
                <w:rFonts w:ascii="宋体" w:hAnsi="宋体" w:cs="宋体" w:eastAsia="宋体" w:hint="default"/>
                <w:sz w:val="21"/>
                <w:szCs w:val="21"/>
              </w:rPr>
              <w:t> </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处置其他权益工具投资取得的投资收益</w:t>
            </w:r>
            <w:r>
              <w:rPr>
                <w:rFonts w:ascii="宋体" w:hAnsi="宋体" w:cs="宋体" w:eastAsia="宋体" w:hint="default"/>
                <w:sz w:val="21"/>
                <w:szCs w:val="21"/>
              </w:rPr>
              <w:t> </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处置债权投资取得的投资收益</w:t>
            </w:r>
            <w:r>
              <w:rPr>
                <w:rFonts w:ascii="宋体" w:hAnsi="宋体" w:cs="宋体" w:eastAsia="宋体" w:hint="default"/>
                <w:sz w:val="21"/>
                <w:szCs w:val="21"/>
              </w:rPr>
              <w:t> </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处置其他债权投资取得的投资收益</w:t>
            </w:r>
            <w:r>
              <w:rPr>
                <w:rFonts w:ascii="宋体" w:hAnsi="宋体" w:cs="宋体" w:eastAsia="宋体" w:hint="default"/>
                <w:sz w:val="21"/>
                <w:szCs w:val="21"/>
              </w:rPr>
              <w:t> </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理财产品收益</w:t>
            </w:r>
            <w:r>
              <w:rPr>
                <w:rFonts w:ascii="宋体" w:hAnsi="宋体" w:cs="宋体" w:eastAsia="宋体" w:hint="default"/>
                <w:sz w:val="21"/>
                <w:szCs w:val="21"/>
              </w:rPr>
              <w:t> </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49,410,470.71</w:t>
            </w:r>
            <w:r>
              <w:rPr>
                <w:rFonts w:ascii="宋体"/>
                <w:sz w:val="21"/>
              </w:rPr>
              <w:t> </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44,405,657.04</w:t>
            </w:r>
            <w:r>
              <w:rPr>
                <w:rFonts w:ascii="宋体"/>
                <w:sz w:val="21"/>
              </w:rPr>
              <w:t> </w:t>
            </w:r>
          </w:p>
        </w:tc>
      </w:tr>
      <w:tr>
        <w:trPr>
          <w:trHeight w:val="283"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123,623,619.20</w:t>
            </w:r>
            <w:r>
              <w:rPr>
                <w:rFonts w:ascii="宋体"/>
                <w:sz w:val="21"/>
              </w:rPr>
              <w:t> </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188,943,013.30</w:t>
            </w:r>
            <w:r>
              <w:rPr>
                <w:rFonts w:ascii="宋体"/>
                <w:sz w:val="21"/>
              </w:rPr>
              <w:t> </w:t>
            </w:r>
          </w:p>
        </w:tc>
      </w:tr>
    </w:tbl>
    <w:p>
      <w:pPr>
        <w:spacing w:after="0" w:line="243" w:lineRule="exact"/>
        <w:jc w:val="right"/>
        <w:rPr>
          <w:rFonts w:ascii="宋体" w:hAnsi="宋体" w:cs="宋体" w:eastAsia="宋体" w:hint="default"/>
          <w:sz w:val="21"/>
          <w:szCs w:val="21"/>
        </w:rPr>
        <w:sectPr>
          <w:type w:val="continuous"/>
          <w:pgSz w:w="11910" w:h="16840"/>
          <w:pgMar w:top="1580" w:bottom="280" w:left="440" w:right="1020"/>
        </w:sectPr>
      </w:pPr>
    </w:p>
    <w:p>
      <w:pPr>
        <w:pStyle w:val="BodyText"/>
        <w:spacing w:line="241" w:lineRule="exact"/>
        <w:ind w:left="1358" w:right="0"/>
        <w:jc w:val="left"/>
        <w:rPr>
          <w:rFonts w:ascii="宋体" w:hAnsi="宋体" w:cs="宋体" w:eastAsia="宋体" w:hint="default"/>
        </w:rPr>
      </w:pPr>
      <w:r>
        <w:rPr>
          <w:rFonts w:ascii="宋体"/>
          <w:w w:val="100"/>
        </w:rPr>
        <w:t> </w:t>
      </w:r>
    </w:p>
    <w:p>
      <w:pPr>
        <w:pStyle w:val="Heading3"/>
        <w:spacing w:line="240" w:lineRule="auto" w:before="59"/>
        <w:ind w:left="1358" w:right="0"/>
        <w:jc w:val="left"/>
        <w:rPr>
          <w:b w:val="0"/>
          <w:bCs w:val="0"/>
        </w:rPr>
      </w:pPr>
      <w:r>
        <w:rPr>
          <w:rFonts w:ascii="宋体" w:hAnsi="宋体" w:cs="宋体" w:eastAsia="宋体" w:hint="default"/>
        </w:rPr>
        <w:t>6</w:t>
      </w:r>
      <w:r>
        <w:rPr/>
        <w:t>、</w:t>
      </w:r>
      <w:r>
        <w:rPr>
          <w:spacing w:val="2"/>
        </w:rPr>
        <w:t> </w:t>
      </w:r>
      <w:r>
        <w:rPr/>
        <w:t>其他</w:t>
      </w:r>
      <w:r>
        <w:rPr>
          <w:b w:val="0"/>
          <w:bCs w:val="0"/>
        </w:rPr>
      </w:r>
    </w:p>
    <w:p>
      <w:pPr>
        <w:pStyle w:val="BodyText"/>
        <w:spacing w:line="274" w:lineRule="exact" w:before="56"/>
        <w:ind w:left="135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1358" w:right="0"/>
        <w:jc w:val="left"/>
        <w:rPr>
          <w:rFonts w:ascii="宋体" w:hAnsi="宋体" w:cs="宋体" w:eastAsia="宋体" w:hint="default"/>
        </w:rPr>
      </w:pPr>
      <w:r>
        <w:rPr>
          <w:rFonts w:ascii="宋体"/>
          <w:w w:val="100"/>
        </w:rPr>
        <w:t> </w:t>
      </w:r>
    </w:p>
    <w:p>
      <w:pPr>
        <w:pStyle w:val="Heading3"/>
        <w:spacing w:line="240" w:lineRule="auto" w:before="56"/>
        <w:ind w:left="1358" w:right="0"/>
        <w:jc w:val="left"/>
        <w:rPr>
          <w:rFonts w:ascii="宋体" w:hAnsi="宋体" w:cs="宋体" w:eastAsia="宋体" w:hint="default"/>
          <w:b w:val="0"/>
          <w:bCs w:val="0"/>
        </w:rPr>
      </w:pPr>
      <w:r>
        <w:rPr/>
        <w:t>十八、</w:t>
      </w:r>
      <w:r>
        <w:rPr>
          <w:spacing w:val="98"/>
        </w:rPr>
        <w:t> </w:t>
      </w:r>
      <w:r>
        <w:rPr>
          <w:rFonts w:ascii="宋体" w:hAnsi="宋体" w:cs="宋体" w:eastAsia="宋体" w:hint="default"/>
          <w:spacing w:val="98"/>
        </w:rPr>
      </w:r>
      <w:r>
        <w:rPr/>
        <w:t>补充资料</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58"/>
        <w:ind w:left="1358" w:right="0"/>
        <w:jc w:val="left"/>
        <w:rPr>
          <w:rFonts w:ascii="宋体" w:hAnsi="宋体" w:cs="宋体" w:eastAsia="宋体" w:hint="default"/>
          <w:b w:val="0"/>
          <w:bCs w:val="0"/>
        </w:rPr>
      </w:pPr>
      <w:r>
        <w:rPr>
          <w:rFonts w:ascii="宋体" w:hAnsi="宋体" w:cs="宋体" w:eastAsia="宋体" w:hint="default"/>
        </w:rPr>
        <w:t>1</w:t>
      </w:r>
      <w:r>
        <w:rPr/>
        <w:t>、</w:t>
      </w:r>
      <w:r>
        <w:rPr>
          <w:spacing w:val="-2"/>
        </w:rPr>
        <w:t> </w:t>
      </w:r>
      <w:r>
        <w:rPr>
          <w:rFonts w:ascii="宋体" w:hAnsi="宋体" w:cs="宋体" w:eastAsia="宋体" w:hint="default"/>
          <w:spacing w:val="-2"/>
        </w:rPr>
      </w:r>
      <w:r>
        <w:rPr/>
        <w:t>当期非经常性损益明细表</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135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6"/>
          <w:szCs w:val="26"/>
        </w:rPr>
      </w:pPr>
    </w:p>
    <w:p>
      <w:pPr>
        <w:pStyle w:val="BodyText"/>
        <w:spacing w:line="240" w:lineRule="auto"/>
        <w:ind w:left="1358" w:right="0"/>
        <w:jc w:val="left"/>
        <w:rPr>
          <w:rFonts w:ascii="宋体" w:hAnsi="宋体" w:cs="宋体" w:eastAsia="宋体" w:hint="default"/>
        </w:rPr>
      </w:pPr>
      <w:r>
        <w:rPr/>
        <w:t>单位：元币种：人民币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580" w:bottom="280" w:left="440" w:right="1020"/>
          <w:cols w:num="2" w:equalWidth="0">
            <w:col w:w="4206" w:space="2527"/>
            <w:col w:w="3717"/>
          </w:cols>
        </w:sectPr>
      </w:pPr>
    </w:p>
    <w:p>
      <w:pPr>
        <w:spacing w:line="240" w:lineRule="auto" w:before="4"/>
        <w:rPr>
          <w:rFonts w:ascii="宋体" w:hAnsi="宋体" w:cs="宋体" w:eastAsia="宋体" w:hint="default"/>
          <w:sz w:val="2"/>
          <w:szCs w:val="2"/>
        </w:rPr>
      </w:pPr>
      <w:r>
        <w:rPr/>
        <w:pict>
          <v:group style="position:absolute;margin-left:84.900002pt;margin-top:37.399982pt;width:447.55pt;height:19.650pt;mso-position-horizontal-relative:page;mso-position-vertical-relative:page;z-index:-1315240" coordorigin="1698,748" coordsize="8951,393">
            <v:group style="position:absolute;left:1769;top:1118;width:8872;height:2" coordorigin="1769,1118" coordsize="8872,2">
              <v:shape style="position:absolute;left:1769;top:1118;width:8872;height:2" coordorigin="1769,1118" coordsize="8872,0" path="m1769,1118l10641,1118e" filled="false" stroked="true" strokeweight=".72pt" strokecolor="#000000">
                <v:path arrowok="t"/>
              </v:shape>
              <v:shape style="position:absolute;left:1698;top:748;width:465;height:393" type="#_x0000_t75" stroked="false">
                <v:imagedata r:id="rId10" o:title=""/>
              </v:shape>
            </v:group>
            <w10:wrap type="none"/>
          </v:group>
        </w:pict>
      </w:r>
    </w:p>
    <w:tbl>
      <w:tblPr>
        <w:tblW w:w="0" w:type="auto"/>
        <w:jc w:val="left"/>
        <w:tblInd w:w="1245" w:type="dxa"/>
        <w:tblLayout w:type="fixed"/>
        <w:tblCellMar>
          <w:top w:w="0" w:type="dxa"/>
          <w:left w:w="0" w:type="dxa"/>
          <w:bottom w:w="0" w:type="dxa"/>
          <w:right w:w="0" w:type="dxa"/>
        </w:tblCellMar>
        <w:tblLook w:val="01E0"/>
      </w:tblPr>
      <w:tblGrid>
        <w:gridCol w:w="4787"/>
        <w:gridCol w:w="2554"/>
        <w:gridCol w:w="1709"/>
      </w:tblGrid>
      <w:tr>
        <w:trPr>
          <w:trHeight w:val="283"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金额</w:t>
            </w:r>
            <w:r>
              <w:rPr>
                <w:rFonts w:ascii="宋体" w:hAnsi="宋体" w:cs="宋体" w:eastAsia="宋体" w:hint="default"/>
                <w:sz w:val="21"/>
                <w:szCs w:val="21"/>
              </w:rPr>
              <w:t> </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38" w:right="0"/>
              <w:jc w:val="left"/>
              <w:rPr>
                <w:rFonts w:ascii="宋体" w:hAnsi="宋体" w:cs="宋体" w:eastAsia="宋体" w:hint="default"/>
                <w:sz w:val="21"/>
                <w:szCs w:val="21"/>
              </w:rPr>
            </w:pPr>
            <w:r>
              <w:rPr>
                <w:rFonts w:ascii="宋体" w:hAnsi="宋体" w:cs="宋体" w:eastAsia="宋体" w:hint="default"/>
                <w:sz w:val="21"/>
                <w:szCs w:val="21"/>
              </w:rPr>
              <w:t>说明</w:t>
            </w:r>
            <w:r>
              <w:rPr>
                <w:rFonts w:ascii="宋体" w:hAnsi="宋体" w:cs="宋体" w:eastAsia="宋体" w:hint="default"/>
                <w:sz w:val="21"/>
                <w:szCs w:val="21"/>
              </w:rPr>
              <w:t> </w:t>
            </w:r>
          </w:p>
        </w:tc>
      </w:tr>
      <w:tr>
        <w:trPr>
          <w:trHeight w:val="281"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非流动资产处置损益</w:t>
            </w:r>
            <w:r>
              <w:rPr>
                <w:rFonts w:ascii="宋体" w:hAnsi="宋体" w:cs="宋体" w:eastAsia="宋体" w:hint="default"/>
                <w:sz w:val="21"/>
                <w:szCs w:val="21"/>
              </w:rPr>
              <w:t> </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1,253,405.17</w:t>
            </w:r>
            <w:r>
              <w:rPr>
                <w:rFonts w:ascii="宋体"/>
                <w:sz w:val="21"/>
              </w:rPr>
              <w:t> </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color w:val="0000FF"/>
                <w:w w:val="100"/>
                <w:sz w:val="21"/>
              </w:rPr>
              <w:t> </w:t>
            </w:r>
            <w:r>
              <w:rPr>
                <w:rFonts w:ascii="宋体"/>
                <w:color w:val="0000FF"/>
                <w:sz w:val="21"/>
              </w:rPr>
              <w:t> </w:t>
            </w:r>
            <w:r>
              <w:rPr>
                <w:rFonts w:ascii="宋体"/>
                <w:b/>
                <w:w w:val="99"/>
                <w:sz w:val="21"/>
              </w:rPr>
              <w:t> </w:t>
            </w:r>
            <w:r>
              <w:rPr>
                <w:rFonts w:ascii="宋体"/>
                <w:sz w:val="21"/>
              </w:rPr>
            </w:r>
          </w:p>
        </w:tc>
      </w:tr>
      <w:tr>
        <w:trPr>
          <w:trHeight w:val="283"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越权审批或无正式批准文件的税收返还、减免</w:t>
            </w:r>
            <w:r>
              <w:rPr>
                <w:rFonts w:ascii="宋体" w:hAnsi="宋体" w:cs="宋体" w:eastAsia="宋体" w:hint="default"/>
                <w:sz w:val="21"/>
                <w:szCs w:val="21"/>
              </w:rPr>
              <w:t> </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right"/>
              <w:rPr>
                <w:rFonts w:ascii="宋体" w:hAnsi="宋体" w:cs="宋体" w:eastAsia="宋体" w:hint="default"/>
                <w:sz w:val="21"/>
                <w:szCs w:val="21"/>
              </w:rPr>
            </w:pPr>
            <w:r>
              <w:rPr>
                <w:rFonts w:ascii="宋体"/>
                <w:color w:val="0000FF"/>
                <w:w w:val="100"/>
                <w:sz w:val="21"/>
              </w:rPr>
              <w:t> </w:t>
            </w:r>
            <w:r>
              <w:rPr>
                <w:rFonts w:ascii="宋体"/>
                <w:w w:val="100"/>
                <w:sz w:val="21"/>
              </w:rPr>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color w:val="0000FF"/>
                <w:w w:val="100"/>
                <w:sz w:val="21"/>
              </w:rPr>
              <w:t> </w:t>
            </w:r>
            <w:r>
              <w:rPr>
                <w:rFonts w:ascii="宋体"/>
                <w:color w:val="0000FF"/>
                <w:sz w:val="21"/>
              </w:rPr>
              <w:t> </w:t>
            </w:r>
            <w:r>
              <w:rPr>
                <w:rFonts w:ascii="宋体"/>
                <w:w w:val="100"/>
                <w:sz w:val="21"/>
              </w:rPr>
              <w:t> </w:t>
            </w:r>
          </w:p>
        </w:tc>
      </w:tr>
    </w:tbl>
    <w:p>
      <w:pPr>
        <w:spacing w:after="0" w:line="243" w:lineRule="exact"/>
        <w:jc w:val="left"/>
        <w:rPr>
          <w:rFonts w:ascii="宋体" w:hAnsi="宋体" w:cs="宋体" w:eastAsia="宋体" w:hint="default"/>
          <w:sz w:val="21"/>
          <w:szCs w:val="21"/>
        </w:rPr>
        <w:sectPr>
          <w:type w:val="continuous"/>
          <w:pgSz w:w="11910" w:h="16840"/>
          <w:pgMar w:top="1580" w:bottom="280" w:left="440" w:right="1020"/>
        </w:sectPr>
      </w:pPr>
    </w:p>
    <w:p>
      <w:pPr>
        <w:spacing w:line="240" w:lineRule="auto" w:before="4"/>
        <w:rPr>
          <w:rFonts w:ascii="宋体" w:hAnsi="宋体" w:cs="宋体" w:eastAsia="宋体" w:hint="default"/>
          <w:sz w:val="29"/>
          <w:szCs w:val="29"/>
        </w:rPr>
      </w:pPr>
    </w:p>
    <w:tbl>
      <w:tblPr>
        <w:tblW w:w="0" w:type="auto"/>
        <w:jc w:val="left"/>
        <w:tblInd w:w="105" w:type="dxa"/>
        <w:tblLayout w:type="fixed"/>
        <w:tblCellMar>
          <w:top w:w="0" w:type="dxa"/>
          <w:left w:w="0" w:type="dxa"/>
          <w:bottom w:w="0" w:type="dxa"/>
          <w:right w:w="0" w:type="dxa"/>
        </w:tblCellMar>
        <w:tblLook w:val="01E0"/>
      </w:tblPr>
      <w:tblGrid>
        <w:gridCol w:w="4787"/>
        <w:gridCol w:w="2554"/>
        <w:gridCol w:w="1709"/>
      </w:tblGrid>
      <w:tr>
        <w:trPr>
          <w:trHeight w:val="828"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计入当期损益的政府补助（与企业业务密切相关，</w:t>
            </w:r>
          </w:p>
          <w:p>
            <w:pPr>
              <w:pStyle w:val="TableParagraph"/>
              <w:spacing w:line="240" w:lineRule="auto"/>
              <w:ind w:left="103" w:right="257"/>
              <w:jc w:val="left"/>
              <w:rPr>
                <w:rFonts w:ascii="宋体" w:hAnsi="宋体" w:cs="宋体" w:eastAsia="宋体" w:hint="default"/>
                <w:sz w:val="21"/>
                <w:szCs w:val="21"/>
              </w:rPr>
            </w:pPr>
            <w:r>
              <w:rPr>
                <w:rFonts w:ascii="宋体" w:hAnsi="宋体" w:cs="宋体" w:eastAsia="宋体" w:hint="default"/>
                <w:spacing w:val="-2"/>
                <w:sz w:val="21"/>
                <w:szCs w:val="21"/>
              </w:rPr>
              <w:t>按照国家统一标准定额或定量享受的政府补助除</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z w:val="21"/>
                <w:szCs w:val="21"/>
              </w:rPr>
              <w:t>外）</w:t>
            </w:r>
            <w:r>
              <w:rPr>
                <w:rFonts w:ascii="宋体" w:hAnsi="宋体" w:cs="宋体" w:eastAsia="宋体" w:hint="default"/>
                <w:sz w:val="21"/>
                <w:szCs w:val="21"/>
              </w:rPr>
              <w:t> </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20,831,762.06</w:t>
            </w:r>
            <w:r>
              <w:rPr>
                <w:rFonts w:ascii="宋体"/>
                <w:sz w:val="21"/>
              </w:rPr>
              <w:t> </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color w:val="0000FF"/>
                <w:w w:val="100"/>
                <w:sz w:val="21"/>
              </w:rPr>
              <w:t> </w:t>
            </w:r>
            <w:r>
              <w:rPr>
                <w:rFonts w:ascii="宋体"/>
                <w:color w:val="0000FF"/>
                <w:sz w:val="21"/>
              </w:rPr>
              <w:t> </w:t>
            </w:r>
            <w:r>
              <w:rPr>
                <w:rFonts w:ascii="宋体"/>
                <w:w w:val="100"/>
                <w:sz w:val="21"/>
              </w:rPr>
              <w:t> </w:t>
            </w:r>
          </w:p>
        </w:tc>
      </w:tr>
      <w:tr>
        <w:trPr>
          <w:trHeight w:val="283"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计入当期损益的对非金融企业收取的资金占用费</w:t>
            </w:r>
            <w:r>
              <w:rPr>
                <w:rFonts w:ascii="宋体" w:hAnsi="宋体" w:cs="宋体" w:eastAsia="宋体" w:hint="default"/>
                <w:sz w:val="21"/>
                <w:szCs w:val="21"/>
              </w:rPr>
              <w:t> </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color w:val="0000FF"/>
                <w:w w:val="100"/>
                <w:sz w:val="21"/>
              </w:rPr>
              <w:t> </w:t>
            </w:r>
            <w:r>
              <w:rPr>
                <w:rFonts w:ascii="宋体"/>
                <w:w w:val="100"/>
                <w:sz w:val="21"/>
              </w:rPr>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color w:val="0000FF"/>
                <w:w w:val="100"/>
                <w:sz w:val="21"/>
              </w:rPr>
              <w:t> </w:t>
            </w:r>
            <w:r>
              <w:rPr>
                <w:rFonts w:ascii="宋体"/>
                <w:color w:val="0000FF"/>
                <w:sz w:val="21"/>
              </w:rPr>
              <w:t> </w:t>
            </w:r>
            <w:r>
              <w:rPr>
                <w:rFonts w:ascii="宋体"/>
                <w:w w:val="100"/>
                <w:sz w:val="21"/>
              </w:rPr>
              <w:t> </w:t>
            </w:r>
          </w:p>
        </w:tc>
      </w:tr>
      <w:tr>
        <w:trPr>
          <w:trHeight w:val="826"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企业取得子公司、联营企业及合营企业的投资成本</w:t>
            </w:r>
          </w:p>
          <w:p>
            <w:pPr>
              <w:pStyle w:val="TableParagraph"/>
              <w:spacing w:line="240" w:lineRule="auto"/>
              <w:ind w:left="103" w:right="257"/>
              <w:jc w:val="left"/>
              <w:rPr>
                <w:rFonts w:ascii="宋体" w:hAnsi="宋体" w:cs="宋体" w:eastAsia="宋体" w:hint="default"/>
                <w:sz w:val="21"/>
                <w:szCs w:val="21"/>
              </w:rPr>
            </w:pPr>
            <w:r>
              <w:rPr>
                <w:rFonts w:ascii="宋体" w:hAnsi="宋体" w:cs="宋体" w:eastAsia="宋体" w:hint="default"/>
                <w:spacing w:val="-2"/>
                <w:sz w:val="21"/>
                <w:szCs w:val="21"/>
              </w:rPr>
              <w:t>小于取得投资时应享有被投资单位可辨认净资产</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z w:val="21"/>
                <w:szCs w:val="21"/>
              </w:rPr>
              <w:t>公允价值产生的收益</w:t>
            </w:r>
            <w:r>
              <w:rPr>
                <w:rFonts w:ascii="宋体" w:hAnsi="宋体" w:cs="宋体" w:eastAsia="宋体" w:hint="default"/>
                <w:sz w:val="21"/>
                <w:szCs w:val="21"/>
              </w:rPr>
              <w:t> </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color w:val="0000FF"/>
                <w:w w:val="100"/>
                <w:sz w:val="21"/>
              </w:rPr>
              <w:t> </w:t>
            </w:r>
            <w:r>
              <w:rPr>
                <w:rFonts w:ascii="宋体"/>
                <w:w w:val="100"/>
                <w:sz w:val="21"/>
              </w:rPr>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color w:val="0000FF"/>
                <w:w w:val="100"/>
                <w:sz w:val="21"/>
              </w:rPr>
              <w:t> </w:t>
            </w:r>
            <w:r>
              <w:rPr>
                <w:rFonts w:ascii="宋体"/>
                <w:color w:val="0000FF"/>
                <w:sz w:val="21"/>
              </w:rPr>
              <w:t> </w:t>
            </w:r>
            <w:r>
              <w:rPr>
                <w:rFonts w:ascii="宋体"/>
                <w:w w:val="100"/>
                <w:sz w:val="21"/>
              </w:rPr>
              <w:t> </w:t>
            </w:r>
          </w:p>
        </w:tc>
      </w:tr>
      <w:tr>
        <w:trPr>
          <w:trHeight w:val="283"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非货币性资产交换损益</w:t>
            </w:r>
            <w:r>
              <w:rPr>
                <w:rFonts w:ascii="宋体" w:hAnsi="宋体" w:cs="宋体" w:eastAsia="宋体" w:hint="default"/>
                <w:sz w:val="21"/>
                <w:szCs w:val="21"/>
              </w:rPr>
              <w:t> </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color w:val="0000FF"/>
                <w:w w:val="100"/>
                <w:sz w:val="21"/>
              </w:rPr>
              <w:t> </w:t>
            </w:r>
            <w:r>
              <w:rPr>
                <w:rFonts w:ascii="宋体"/>
                <w:w w:val="100"/>
                <w:sz w:val="21"/>
              </w:rPr>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color w:val="0000FF"/>
                <w:w w:val="100"/>
                <w:sz w:val="21"/>
              </w:rPr>
              <w:t> </w:t>
            </w:r>
            <w:r>
              <w:rPr>
                <w:rFonts w:ascii="宋体"/>
                <w:color w:val="0000FF"/>
                <w:sz w:val="21"/>
              </w:rPr>
              <w:t> </w:t>
            </w:r>
            <w:r>
              <w:rPr>
                <w:rFonts w:ascii="宋体"/>
                <w:w w:val="100"/>
                <w:sz w:val="21"/>
              </w:rPr>
              <w:t> </w:t>
            </w:r>
          </w:p>
        </w:tc>
      </w:tr>
      <w:tr>
        <w:trPr>
          <w:trHeight w:val="283"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委托他人投资或管理资产的损益</w:t>
            </w:r>
            <w:r>
              <w:rPr>
                <w:rFonts w:ascii="宋体" w:hAnsi="宋体" w:cs="宋体" w:eastAsia="宋体" w:hint="default"/>
                <w:sz w:val="21"/>
                <w:szCs w:val="21"/>
              </w:rPr>
              <w:t> </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6,894,051.81</w:t>
            </w:r>
            <w:r>
              <w:rPr>
                <w:rFonts w:ascii="宋体"/>
                <w:sz w:val="21"/>
              </w:rPr>
              <w:t> </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color w:val="0000FF"/>
                <w:w w:val="100"/>
                <w:sz w:val="21"/>
              </w:rPr>
              <w:t> </w:t>
            </w:r>
            <w:r>
              <w:rPr>
                <w:rFonts w:ascii="宋体"/>
                <w:color w:val="0000FF"/>
                <w:sz w:val="21"/>
              </w:rPr>
              <w:t> </w:t>
            </w:r>
            <w:r>
              <w:rPr>
                <w:rFonts w:ascii="宋体"/>
                <w:w w:val="100"/>
                <w:sz w:val="21"/>
              </w:rPr>
              <w:t> </w:t>
            </w:r>
          </w:p>
        </w:tc>
      </w:tr>
      <w:tr>
        <w:trPr>
          <w:trHeight w:val="554"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因不可抗力因素，如遭受自然灾害而计提的各项资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产减值准备</w:t>
            </w:r>
            <w:r>
              <w:rPr>
                <w:rFonts w:ascii="宋体" w:hAnsi="宋体" w:cs="宋体" w:eastAsia="宋体" w:hint="default"/>
                <w:sz w:val="21"/>
                <w:szCs w:val="21"/>
              </w:rPr>
              <w:t> </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right"/>
              <w:rPr>
                <w:rFonts w:ascii="宋体" w:hAnsi="宋体" w:cs="宋体" w:eastAsia="宋体" w:hint="default"/>
                <w:sz w:val="21"/>
                <w:szCs w:val="21"/>
              </w:rPr>
            </w:pPr>
            <w:r>
              <w:rPr>
                <w:rFonts w:ascii="宋体"/>
                <w:color w:val="0000FF"/>
                <w:w w:val="100"/>
                <w:sz w:val="21"/>
              </w:rPr>
              <w:t> </w:t>
            </w:r>
            <w:r>
              <w:rPr>
                <w:rFonts w:ascii="宋体"/>
                <w:w w:val="100"/>
                <w:sz w:val="21"/>
              </w:rPr>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color w:val="0000FF"/>
                <w:w w:val="100"/>
                <w:sz w:val="21"/>
              </w:rPr>
              <w:t> </w:t>
            </w:r>
            <w:r>
              <w:rPr>
                <w:rFonts w:ascii="宋体"/>
                <w:color w:val="0000FF"/>
                <w:sz w:val="21"/>
              </w:rPr>
              <w:t> </w:t>
            </w:r>
            <w:r>
              <w:rPr>
                <w:rFonts w:ascii="宋体"/>
                <w:w w:val="100"/>
                <w:sz w:val="21"/>
              </w:rPr>
              <w:t> </w:t>
            </w:r>
          </w:p>
        </w:tc>
      </w:tr>
      <w:tr>
        <w:trPr>
          <w:trHeight w:val="281"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债务重组损益</w:t>
            </w:r>
            <w:r>
              <w:rPr>
                <w:rFonts w:ascii="宋体" w:hAnsi="宋体" w:cs="宋体" w:eastAsia="宋体" w:hint="default"/>
                <w:sz w:val="21"/>
                <w:szCs w:val="21"/>
              </w:rPr>
              <w:t> </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color w:val="0000FF"/>
                <w:w w:val="100"/>
                <w:sz w:val="21"/>
              </w:rPr>
              <w:t> </w:t>
            </w:r>
            <w:r>
              <w:rPr>
                <w:rFonts w:ascii="宋体"/>
                <w:w w:val="100"/>
                <w:sz w:val="21"/>
              </w:rPr>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color w:val="0000FF"/>
                <w:w w:val="100"/>
                <w:sz w:val="21"/>
              </w:rPr>
              <w:t> </w:t>
            </w:r>
            <w:r>
              <w:rPr>
                <w:rFonts w:ascii="宋体"/>
                <w:color w:val="0000FF"/>
                <w:sz w:val="21"/>
              </w:rPr>
              <w:t> </w:t>
            </w:r>
            <w:r>
              <w:rPr>
                <w:rFonts w:ascii="宋体"/>
                <w:w w:val="100"/>
                <w:sz w:val="21"/>
              </w:rPr>
              <w:t> </w:t>
            </w:r>
          </w:p>
        </w:tc>
      </w:tr>
      <w:tr>
        <w:trPr>
          <w:trHeight w:val="283"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企业重组费用，如安置职工的支出、整合费用等</w:t>
            </w:r>
            <w:r>
              <w:rPr>
                <w:rFonts w:ascii="宋体" w:hAnsi="宋体" w:cs="宋体" w:eastAsia="宋体" w:hint="default"/>
                <w:sz w:val="21"/>
                <w:szCs w:val="21"/>
              </w:rPr>
              <w:t> </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color w:val="0000FF"/>
                <w:w w:val="100"/>
                <w:sz w:val="21"/>
              </w:rPr>
              <w:t> </w:t>
            </w:r>
            <w:r>
              <w:rPr>
                <w:rFonts w:ascii="宋体"/>
                <w:w w:val="100"/>
                <w:sz w:val="21"/>
              </w:rPr>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color w:val="0000FF"/>
                <w:w w:val="100"/>
                <w:sz w:val="21"/>
              </w:rPr>
              <w:t> </w:t>
            </w:r>
            <w:r>
              <w:rPr>
                <w:rFonts w:ascii="宋体"/>
                <w:color w:val="0000FF"/>
                <w:sz w:val="21"/>
              </w:rPr>
              <w:t> </w:t>
            </w:r>
            <w:r>
              <w:rPr>
                <w:rFonts w:ascii="宋体"/>
                <w:w w:val="100"/>
                <w:sz w:val="21"/>
              </w:rPr>
              <w:t> </w:t>
            </w:r>
          </w:p>
        </w:tc>
      </w:tr>
      <w:tr>
        <w:trPr>
          <w:trHeight w:val="555"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交易价格显失公允的交易产生的超过公允价值部</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分的损益</w:t>
            </w:r>
            <w:r>
              <w:rPr>
                <w:rFonts w:ascii="宋体" w:hAnsi="宋体" w:cs="宋体" w:eastAsia="宋体" w:hint="default"/>
                <w:sz w:val="21"/>
                <w:szCs w:val="21"/>
              </w:rPr>
              <w:t> </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right"/>
              <w:rPr>
                <w:rFonts w:ascii="宋体" w:hAnsi="宋体" w:cs="宋体" w:eastAsia="宋体" w:hint="default"/>
                <w:sz w:val="21"/>
                <w:szCs w:val="21"/>
              </w:rPr>
            </w:pPr>
            <w:r>
              <w:rPr>
                <w:rFonts w:ascii="宋体"/>
                <w:color w:val="0000FF"/>
                <w:w w:val="100"/>
                <w:sz w:val="21"/>
              </w:rPr>
              <w:t> </w:t>
            </w:r>
            <w:r>
              <w:rPr>
                <w:rFonts w:ascii="宋体"/>
                <w:w w:val="100"/>
                <w:sz w:val="21"/>
              </w:rPr>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left"/>
              <w:rPr>
                <w:rFonts w:ascii="宋体" w:hAnsi="宋体" w:cs="宋体" w:eastAsia="宋体" w:hint="default"/>
                <w:sz w:val="21"/>
                <w:szCs w:val="21"/>
              </w:rPr>
            </w:pPr>
            <w:r>
              <w:rPr>
                <w:rFonts w:ascii="宋体"/>
                <w:color w:val="0000FF"/>
                <w:w w:val="100"/>
                <w:sz w:val="21"/>
              </w:rPr>
              <w:t> </w:t>
            </w:r>
            <w:r>
              <w:rPr>
                <w:rFonts w:ascii="宋体"/>
                <w:color w:val="0000FF"/>
                <w:sz w:val="21"/>
              </w:rPr>
              <w:t> </w:t>
            </w:r>
            <w:r>
              <w:rPr>
                <w:rFonts w:ascii="宋体"/>
                <w:w w:val="100"/>
                <w:sz w:val="21"/>
              </w:rPr>
              <w:t> </w:t>
            </w:r>
          </w:p>
        </w:tc>
      </w:tr>
      <w:tr>
        <w:trPr>
          <w:trHeight w:val="554"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同一控制下企业合并产生的子公司期初至合并日</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的当期净损益</w:t>
            </w:r>
            <w:r>
              <w:rPr>
                <w:rFonts w:ascii="宋体" w:hAnsi="宋体" w:cs="宋体" w:eastAsia="宋体" w:hint="default"/>
                <w:sz w:val="21"/>
                <w:szCs w:val="21"/>
              </w:rPr>
              <w:t> </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15,975,152.48</w:t>
            </w:r>
            <w:r>
              <w:rPr>
                <w:rFonts w:ascii="宋体"/>
                <w:sz w:val="21"/>
              </w:rPr>
              <w:t> </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color w:val="0000FF"/>
                <w:w w:val="100"/>
                <w:sz w:val="21"/>
              </w:rPr>
              <w:t> </w:t>
            </w:r>
            <w:r>
              <w:rPr>
                <w:rFonts w:ascii="宋体"/>
                <w:color w:val="0000FF"/>
                <w:sz w:val="21"/>
              </w:rPr>
              <w:t> </w:t>
            </w:r>
            <w:r>
              <w:rPr>
                <w:rFonts w:ascii="宋体"/>
                <w:w w:val="100"/>
                <w:sz w:val="21"/>
              </w:rPr>
              <w:t> </w:t>
            </w:r>
          </w:p>
        </w:tc>
      </w:tr>
      <w:tr>
        <w:trPr>
          <w:trHeight w:val="283"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与公司正常经营业务无关的或有事项产生的损益</w:t>
            </w:r>
            <w:r>
              <w:rPr>
                <w:rFonts w:ascii="宋体" w:hAnsi="宋体" w:cs="宋体" w:eastAsia="宋体" w:hint="default"/>
                <w:sz w:val="21"/>
                <w:szCs w:val="21"/>
              </w:rPr>
              <w:t> </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color w:val="0000FF"/>
                <w:w w:val="100"/>
                <w:sz w:val="21"/>
              </w:rPr>
              <w:t> </w:t>
            </w:r>
            <w:r>
              <w:rPr>
                <w:rFonts w:ascii="宋体"/>
                <w:w w:val="100"/>
                <w:sz w:val="21"/>
              </w:rPr>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color w:val="0000FF"/>
                <w:w w:val="100"/>
                <w:sz w:val="21"/>
              </w:rPr>
              <w:t> </w:t>
            </w:r>
            <w:r>
              <w:rPr>
                <w:rFonts w:ascii="宋体"/>
                <w:color w:val="0000FF"/>
                <w:sz w:val="21"/>
              </w:rPr>
              <w:t> </w:t>
            </w:r>
            <w:r>
              <w:rPr>
                <w:rFonts w:ascii="宋体"/>
                <w:w w:val="100"/>
                <w:sz w:val="21"/>
              </w:rPr>
              <w:t> </w:t>
            </w:r>
          </w:p>
        </w:tc>
      </w:tr>
      <w:tr>
        <w:trPr>
          <w:trHeight w:val="1644"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除同公司正常经营业务相关的有效套期保值业务</w:t>
            </w:r>
          </w:p>
          <w:p>
            <w:pPr>
              <w:pStyle w:val="TableParagraph"/>
              <w:spacing w:line="237" w:lineRule="auto"/>
              <w:ind w:left="103" w:right="99"/>
              <w:jc w:val="left"/>
              <w:rPr>
                <w:rFonts w:ascii="宋体" w:hAnsi="宋体" w:cs="宋体" w:eastAsia="宋体" w:hint="default"/>
                <w:sz w:val="21"/>
                <w:szCs w:val="21"/>
              </w:rPr>
            </w:pPr>
            <w:r>
              <w:rPr>
                <w:rFonts w:ascii="宋体" w:hAnsi="宋体" w:cs="宋体" w:eastAsia="宋体" w:hint="default"/>
                <w:spacing w:val="-4"/>
                <w:sz w:val="21"/>
                <w:szCs w:val="21"/>
              </w:rPr>
              <w:t>外，持有交易性金融资产、衍生金融资产、交易性</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金融负债、衍生金融负债产生的公允价值变动损</w:t>
            </w:r>
            <w:r>
              <w:rPr>
                <w:rFonts w:ascii="宋体" w:hAnsi="宋体" w:cs="宋体" w:eastAsia="宋体" w:hint="default"/>
                <w:w w:val="100"/>
                <w:sz w:val="21"/>
                <w:szCs w:val="21"/>
              </w:rPr>
              <w:t> </w:t>
            </w:r>
            <w:r>
              <w:rPr>
                <w:rFonts w:ascii="宋体" w:hAnsi="宋体" w:cs="宋体" w:eastAsia="宋体" w:hint="default"/>
                <w:spacing w:val="-4"/>
                <w:sz w:val="21"/>
                <w:szCs w:val="21"/>
              </w:rPr>
              <w:t>益，以及处置交易性金融资产、衍生金融资产、交</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pacing w:val="-4"/>
                <w:sz w:val="21"/>
                <w:szCs w:val="21"/>
              </w:rPr>
              <w:t>易性金融负债、衍生金融负债和其他债权投资取得</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的投资收益</w:t>
            </w:r>
            <w:r>
              <w:rPr>
                <w:rFonts w:ascii="宋体" w:hAnsi="宋体" w:cs="宋体" w:eastAsia="宋体" w:hint="default"/>
                <w:sz w:val="21"/>
                <w:szCs w:val="21"/>
              </w:rPr>
              <w:t> </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281"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单独进行减值测试的应收款项减值准备转回</w:t>
            </w:r>
            <w:r>
              <w:rPr>
                <w:rFonts w:ascii="宋体" w:hAnsi="宋体" w:cs="宋体" w:eastAsia="宋体" w:hint="default"/>
                <w:sz w:val="21"/>
                <w:szCs w:val="21"/>
              </w:rPr>
              <w:t> </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color w:val="0000FF"/>
                <w:w w:val="100"/>
                <w:sz w:val="21"/>
              </w:rPr>
              <w:t> </w:t>
            </w:r>
            <w:r>
              <w:rPr>
                <w:rFonts w:ascii="宋体"/>
                <w:w w:val="100"/>
                <w:sz w:val="21"/>
              </w:rPr>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color w:val="0000FF"/>
                <w:w w:val="100"/>
                <w:sz w:val="21"/>
              </w:rPr>
              <w:t> </w:t>
            </w:r>
            <w:r>
              <w:rPr>
                <w:rFonts w:ascii="宋体"/>
                <w:color w:val="0000FF"/>
                <w:sz w:val="21"/>
              </w:rPr>
              <w:t> </w:t>
            </w:r>
            <w:r>
              <w:rPr>
                <w:rFonts w:ascii="宋体"/>
                <w:w w:val="100"/>
                <w:sz w:val="21"/>
              </w:rPr>
              <w:t> </w:t>
            </w:r>
          </w:p>
        </w:tc>
      </w:tr>
      <w:tr>
        <w:trPr>
          <w:trHeight w:val="283"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对外委托贷款取得的损益</w:t>
            </w:r>
            <w:r>
              <w:rPr>
                <w:rFonts w:ascii="宋体" w:hAnsi="宋体" w:cs="宋体" w:eastAsia="宋体" w:hint="default"/>
                <w:sz w:val="21"/>
                <w:szCs w:val="21"/>
              </w:rPr>
              <w:t> </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color w:val="0000FF"/>
                <w:w w:val="100"/>
                <w:sz w:val="21"/>
              </w:rPr>
              <w:t> </w:t>
            </w:r>
            <w:r>
              <w:rPr>
                <w:rFonts w:ascii="宋体"/>
                <w:w w:val="100"/>
                <w:sz w:val="21"/>
              </w:rPr>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color w:val="0000FF"/>
                <w:w w:val="100"/>
                <w:sz w:val="21"/>
              </w:rPr>
              <w:t> </w:t>
            </w:r>
            <w:r>
              <w:rPr>
                <w:rFonts w:ascii="宋体"/>
                <w:color w:val="0000FF"/>
                <w:sz w:val="21"/>
              </w:rPr>
              <w:t> </w:t>
            </w:r>
            <w:r>
              <w:rPr>
                <w:rFonts w:ascii="宋体"/>
                <w:w w:val="100"/>
                <w:sz w:val="21"/>
              </w:rPr>
              <w:t> </w:t>
            </w:r>
          </w:p>
        </w:tc>
      </w:tr>
      <w:tr>
        <w:trPr>
          <w:trHeight w:val="555"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采用公允价值模式进行后续计量的投资性房地产</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公允价值变动产生的损益</w:t>
            </w:r>
            <w:r>
              <w:rPr>
                <w:rFonts w:ascii="宋体" w:hAnsi="宋体" w:cs="宋体" w:eastAsia="宋体" w:hint="default"/>
                <w:sz w:val="21"/>
                <w:szCs w:val="21"/>
              </w:rPr>
              <w:t> </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color w:val="0000FF"/>
                <w:w w:val="100"/>
                <w:sz w:val="21"/>
              </w:rPr>
              <w:t> </w:t>
            </w:r>
            <w:r>
              <w:rPr>
                <w:rFonts w:ascii="宋体"/>
                <w:w w:val="100"/>
                <w:sz w:val="21"/>
              </w:rPr>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color w:val="0000FF"/>
                <w:w w:val="100"/>
                <w:sz w:val="21"/>
              </w:rPr>
              <w:t> </w:t>
            </w:r>
            <w:r>
              <w:rPr>
                <w:rFonts w:ascii="宋体"/>
                <w:color w:val="0000FF"/>
                <w:sz w:val="21"/>
              </w:rPr>
              <w:t> </w:t>
            </w:r>
            <w:r>
              <w:rPr>
                <w:rFonts w:ascii="宋体"/>
                <w:w w:val="100"/>
                <w:sz w:val="21"/>
              </w:rPr>
              <w:t> </w:t>
            </w:r>
          </w:p>
        </w:tc>
      </w:tr>
      <w:tr>
        <w:trPr>
          <w:trHeight w:val="554"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根据税收、会计等法律、法规的要求对当期损益进</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行一次性调整对当期损益的影响</w:t>
            </w:r>
            <w:r>
              <w:rPr>
                <w:rFonts w:ascii="宋体" w:hAnsi="宋体" w:cs="宋体" w:eastAsia="宋体" w:hint="default"/>
                <w:sz w:val="21"/>
                <w:szCs w:val="21"/>
              </w:rPr>
              <w:t> </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color w:val="0000FF"/>
                <w:w w:val="100"/>
                <w:sz w:val="21"/>
              </w:rPr>
              <w:t> </w:t>
            </w:r>
            <w:r>
              <w:rPr>
                <w:rFonts w:ascii="宋体"/>
                <w:w w:val="100"/>
                <w:sz w:val="21"/>
              </w:rPr>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color w:val="0000FF"/>
                <w:w w:val="100"/>
                <w:sz w:val="21"/>
              </w:rPr>
              <w:t> </w:t>
            </w:r>
            <w:r>
              <w:rPr>
                <w:rFonts w:ascii="宋体"/>
                <w:color w:val="0000FF"/>
                <w:sz w:val="21"/>
              </w:rPr>
              <w:t> </w:t>
            </w:r>
            <w:r>
              <w:rPr>
                <w:rFonts w:ascii="宋体"/>
                <w:w w:val="100"/>
                <w:sz w:val="21"/>
              </w:rPr>
              <w:t> </w:t>
            </w:r>
          </w:p>
        </w:tc>
      </w:tr>
      <w:tr>
        <w:trPr>
          <w:trHeight w:val="283"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受托经营取得的托管费收入</w:t>
            </w:r>
            <w:r>
              <w:rPr>
                <w:rFonts w:ascii="宋体" w:hAnsi="宋体" w:cs="宋体" w:eastAsia="宋体" w:hint="default"/>
                <w:sz w:val="21"/>
                <w:szCs w:val="21"/>
              </w:rPr>
              <w:t> </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color w:val="0000FF"/>
                <w:w w:val="100"/>
                <w:sz w:val="21"/>
              </w:rPr>
              <w:t> </w:t>
            </w:r>
            <w:r>
              <w:rPr>
                <w:rFonts w:ascii="宋体"/>
                <w:w w:val="100"/>
                <w:sz w:val="21"/>
              </w:rPr>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color w:val="0000FF"/>
                <w:w w:val="100"/>
                <w:sz w:val="21"/>
              </w:rPr>
              <w:t> </w:t>
            </w:r>
            <w:r>
              <w:rPr>
                <w:rFonts w:ascii="宋体"/>
                <w:color w:val="0000FF"/>
                <w:sz w:val="21"/>
              </w:rPr>
              <w:t> </w:t>
            </w:r>
            <w:r>
              <w:rPr>
                <w:rFonts w:ascii="宋体"/>
                <w:w w:val="100"/>
                <w:sz w:val="21"/>
              </w:rPr>
              <w:t> </w:t>
            </w:r>
          </w:p>
        </w:tc>
      </w:tr>
      <w:tr>
        <w:trPr>
          <w:trHeight w:val="283"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除上述各项之外的其他营业外收入和支出</w:t>
            </w:r>
            <w:r>
              <w:rPr>
                <w:rFonts w:ascii="宋体" w:hAnsi="宋体" w:cs="宋体" w:eastAsia="宋体" w:hint="default"/>
                <w:sz w:val="21"/>
                <w:szCs w:val="21"/>
              </w:rPr>
              <w:t> </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-22,248,109.41</w:t>
            </w:r>
            <w:r>
              <w:rPr>
                <w:rFonts w:ascii="宋体"/>
                <w:sz w:val="21"/>
              </w:rPr>
              <w:t> </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color w:val="0000FF"/>
                <w:w w:val="100"/>
                <w:sz w:val="21"/>
              </w:rPr>
              <w:t> </w:t>
            </w:r>
            <w:r>
              <w:rPr>
                <w:rFonts w:ascii="宋体"/>
                <w:color w:val="0000FF"/>
                <w:sz w:val="21"/>
              </w:rPr>
              <w:t> </w:t>
            </w:r>
            <w:r>
              <w:rPr>
                <w:rFonts w:ascii="宋体"/>
                <w:w w:val="100"/>
                <w:sz w:val="21"/>
              </w:rPr>
              <w:t> </w:t>
            </w:r>
          </w:p>
        </w:tc>
      </w:tr>
      <w:tr>
        <w:trPr>
          <w:trHeight w:val="281"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其他符合非经常性损益定义的损益项目</w:t>
            </w:r>
            <w:r>
              <w:rPr>
                <w:rFonts w:ascii="宋体" w:hAnsi="宋体" w:cs="宋体" w:eastAsia="宋体" w:hint="default"/>
                <w:sz w:val="21"/>
                <w:szCs w:val="21"/>
              </w:rPr>
              <w:t> </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color w:val="0000FF"/>
                <w:w w:val="100"/>
                <w:sz w:val="21"/>
              </w:rPr>
              <w:t> </w:t>
            </w:r>
            <w:r>
              <w:rPr>
                <w:rFonts w:ascii="宋体"/>
                <w:w w:val="100"/>
                <w:sz w:val="21"/>
              </w:rPr>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color w:val="0000FF"/>
                <w:w w:val="100"/>
                <w:sz w:val="21"/>
              </w:rPr>
              <w:t> </w:t>
            </w:r>
            <w:r>
              <w:rPr>
                <w:rFonts w:ascii="宋体"/>
                <w:color w:val="0000FF"/>
                <w:sz w:val="21"/>
              </w:rPr>
              <w:t> </w:t>
            </w:r>
            <w:r>
              <w:rPr>
                <w:rFonts w:ascii="宋体"/>
                <w:w w:val="100"/>
                <w:sz w:val="21"/>
              </w:rPr>
              <w:t> </w:t>
            </w:r>
          </w:p>
        </w:tc>
      </w:tr>
      <w:tr>
        <w:trPr>
          <w:trHeight w:val="283"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所得税影响额</w:t>
            </w:r>
            <w:r>
              <w:rPr>
                <w:rFonts w:ascii="宋体" w:hAnsi="宋体" w:cs="宋体" w:eastAsia="宋体" w:hint="default"/>
                <w:sz w:val="21"/>
                <w:szCs w:val="21"/>
              </w:rPr>
              <w:t> </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-939,072.35</w:t>
            </w:r>
            <w:r>
              <w:rPr>
                <w:rFonts w:ascii="宋体"/>
                <w:sz w:val="21"/>
              </w:rPr>
              <w:t> </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color w:val="0000FF"/>
                <w:w w:val="100"/>
                <w:sz w:val="21"/>
              </w:rPr>
              <w:t> </w:t>
            </w:r>
            <w:r>
              <w:rPr>
                <w:rFonts w:ascii="宋体"/>
                <w:color w:val="0000FF"/>
                <w:sz w:val="21"/>
              </w:rPr>
              <w:t> </w:t>
            </w:r>
            <w:r>
              <w:rPr>
                <w:rFonts w:ascii="宋体"/>
                <w:w w:val="100"/>
                <w:sz w:val="21"/>
              </w:rPr>
              <w:t> </w:t>
            </w:r>
          </w:p>
        </w:tc>
      </w:tr>
      <w:tr>
        <w:trPr>
          <w:trHeight w:val="283"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少数股东权益影响额</w:t>
            </w:r>
            <w:r>
              <w:rPr>
                <w:rFonts w:ascii="宋体" w:hAnsi="宋体" w:cs="宋体" w:eastAsia="宋体" w:hint="default"/>
                <w:sz w:val="21"/>
                <w:szCs w:val="21"/>
              </w:rPr>
              <w:t> </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-116,631.23</w:t>
            </w:r>
            <w:r>
              <w:rPr>
                <w:rFonts w:ascii="宋体"/>
                <w:sz w:val="21"/>
              </w:rPr>
              <w:t> </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color w:val="0000FF"/>
                <w:w w:val="100"/>
                <w:sz w:val="21"/>
              </w:rPr>
              <w:t> </w:t>
            </w:r>
            <w:r>
              <w:rPr>
                <w:rFonts w:ascii="宋体"/>
                <w:color w:val="0000FF"/>
                <w:sz w:val="21"/>
              </w:rPr>
              <w:t> </w:t>
            </w:r>
            <w:r>
              <w:rPr>
                <w:rFonts w:ascii="宋体"/>
                <w:w w:val="100"/>
                <w:sz w:val="21"/>
              </w:rPr>
              <w:t> </w:t>
            </w:r>
          </w:p>
        </w:tc>
      </w:tr>
      <w:tr>
        <w:trPr>
          <w:trHeight w:val="281"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21,650,558.53</w:t>
            </w:r>
            <w:r>
              <w:rPr>
                <w:rFonts w:ascii="宋体"/>
                <w:sz w:val="21"/>
              </w:rPr>
              <w:t> </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color w:val="0000FF"/>
                <w:w w:val="100"/>
                <w:sz w:val="21"/>
              </w:rPr>
              <w:t> </w:t>
            </w:r>
            <w:r>
              <w:rPr>
                <w:rFonts w:ascii="宋体"/>
                <w:color w:val="0000FF"/>
                <w:sz w:val="21"/>
              </w:rPr>
              <w:t> </w:t>
            </w:r>
            <w:r>
              <w:rPr>
                <w:rFonts w:ascii="宋体"/>
                <w:w w:val="100"/>
                <w:sz w:val="21"/>
              </w:rPr>
              <w:t> </w:t>
            </w:r>
          </w:p>
        </w:tc>
      </w:tr>
    </w:tbl>
    <w:p>
      <w:pPr>
        <w:pStyle w:val="Heading2"/>
        <w:spacing w:line="274" w:lineRule="exact"/>
        <w:ind w:right="0"/>
        <w:jc w:val="left"/>
        <w:rPr>
          <w:rFonts w:ascii="宋体" w:hAnsi="宋体" w:cs="宋体" w:eastAsia="宋体" w:hint="default"/>
        </w:rPr>
      </w:pPr>
      <w:r>
        <w:rPr>
          <w:rFonts w:ascii="宋体"/>
        </w:rPr>
        <w:t> </w:t>
      </w:r>
    </w:p>
    <w:p>
      <w:pPr>
        <w:pStyle w:val="BodyText"/>
        <w:spacing w:line="275" w:lineRule="exact" w:before="4"/>
        <w:ind w:right="0"/>
        <w:jc w:val="left"/>
      </w:pPr>
      <w:r>
        <w:rPr/>
        <w:t>对公司根据《公开发行证券的公司信息披露解释性公告第</w:t>
      </w:r>
      <w:r>
        <w:rPr>
          <w:spacing w:val="-55"/>
        </w:rPr>
        <w:t> </w:t>
      </w:r>
      <w:r>
        <w:rPr>
          <w:rFonts w:ascii="宋体" w:hAnsi="宋体" w:cs="宋体" w:eastAsia="宋体" w:hint="default"/>
        </w:rPr>
        <w:t>1</w:t>
      </w:r>
      <w:r>
        <w:rPr>
          <w:rFonts w:ascii="宋体" w:hAnsi="宋体" w:cs="宋体" w:eastAsia="宋体" w:hint="default"/>
          <w:spacing w:val="-55"/>
        </w:rPr>
        <w:t> </w:t>
      </w:r>
      <w:r>
        <w:rPr/>
        <w:t>号——非经常性损益》定义界定的非</w:t>
      </w:r>
    </w:p>
    <w:p>
      <w:pPr>
        <w:pStyle w:val="BodyText"/>
        <w:spacing w:line="272" w:lineRule="exact" w:before="27"/>
        <w:ind w:right="233"/>
        <w:jc w:val="left"/>
        <w:rPr>
          <w:rFonts w:ascii="宋体" w:hAnsi="宋体" w:cs="宋体" w:eastAsia="宋体" w:hint="default"/>
        </w:rPr>
      </w:pPr>
      <w:r>
        <w:rPr/>
        <w:t>经常性损益项目，以及把《公开发行证券的公司信息披露解释性公告第</w:t>
      </w:r>
      <w:r>
        <w:rPr>
          <w:spacing w:val="-55"/>
        </w:rPr>
        <w:t> </w:t>
      </w:r>
      <w:r>
        <w:rPr>
          <w:rFonts w:ascii="宋体" w:hAnsi="宋体" w:cs="宋体" w:eastAsia="宋体" w:hint="default"/>
        </w:rPr>
        <w:t>1</w:t>
      </w:r>
      <w:r>
        <w:rPr>
          <w:rFonts w:ascii="宋体" w:hAnsi="宋体" w:cs="宋体" w:eastAsia="宋体" w:hint="default"/>
          <w:spacing w:val="-55"/>
        </w:rPr>
        <w:t> </w:t>
      </w:r>
      <w:r>
        <w:rPr/>
        <w:t>号——非经常性损益》</w:t>
      </w:r>
      <w:r>
        <w:rPr>
          <w:w w:val="100"/>
        </w:rPr>
        <w:t> </w:t>
      </w:r>
      <w:r>
        <w:rPr/>
        <w:t>中列举的非经常性损益项目界定为经常性损益的项目，应说明原因。</w:t>
      </w:r>
      <w:r>
        <w:rPr>
          <w:rFonts w:ascii="宋体" w:hAnsi="宋体" w:cs="宋体" w:eastAsia="宋体" w:hint="default"/>
        </w:rPr>
        <w:t> </w:t>
      </w:r>
    </w:p>
    <w:p>
      <w:pPr>
        <w:pStyle w:val="BodyText"/>
        <w:spacing w:line="249"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240" w:lineRule="auto" w:before="56"/>
        <w:ind w:right="0"/>
        <w:jc w:val="left"/>
        <w:rPr>
          <w:b w:val="0"/>
          <w:bCs w:val="0"/>
        </w:rPr>
      </w:pPr>
      <w:r>
        <w:rPr>
          <w:rFonts w:ascii="宋体" w:hAnsi="宋体" w:cs="宋体" w:eastAsia="宋体" w:hint="default"/>
        </w:rPr>
        <w:t>2</w:t>
      </w:r>
      <w:r>
        <w:rPr/>
        <w:t>、 </w:t>
      </w:r>
      <w:r>
        <w:rPr>
          <w:rFonts w:ascii="宋体" w:hAnsi="宋体" w:cs="宋体" w:eastAsia="宋体" w:hint="default"/>
        </w:rPr>
      </w:r>
      <w:r>
        <w:rPr/>
        <w:t>净资产收益率及每股收益</w:t>
      </w:r>
      <w:r>
        <w:rPr>
          <w:b w:val="0"/>
          <w:bCs w:val="0"/>
        </w:rPr>
      </w:r>
    </w:p>
    <w:p>
      <w:pPr>
        <w:pStyle w:val="Heading2"/>
        <w:spacing w:line="240" w:lineRule="auto" w:before="50"/>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12"/>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914"/>
        <w:gridCol w:w="1841"/>
        <w:gridCol w:w="2146"/>
        <w:gridCol w:w="2149"/>
      </w:tblGrid>
      <w:tr>
        <w:trPr>
          <w:trHeight w:val="283" w:hRule="exact"/>
        </w:trPr>
        <w:tc>
          <w:tcPr>
            <w:tcW w:w="2914" w:type="dxa"/>
            <w:vMerge w:val="restart"/>
            <w:tcBorders>
              <w:top w:val="single" w:sz="4" w:space="0" w:color="000000"/>
              <w:left w:val="single" w:sz="4" w:space="0" w:color="000000"/>
              <w:right w:val="single" w:sz="4" w:space="0" w:color="000000"/>
            </w:tcBorders>
          </w:tcPr>
          <w:p>
            <w:pPr>
              <w:pStyle w:val="TableParagraph"/>
              <w:spacing w:line="240" w:lineRule="auto" w:before="150"/>
              <w:ind w:left="926" w:right="0"/>
              <w:jc w:val="left"/>
              <w:rPr>
                <w:rFonts w:ascii="宋体" w:hAnsi="宋体" w:cs="宋体" w:eastAsia="宋体" w:hint="default"/>
                <w:sz w:val="21"/>
                <w:szCs w:val="21"/>
              </w:rPr>
            </w:pPr>
            <w:r>
              <w:rPr>
                <w:rFonts w:ascii="宋体" w:hAnsi="宋体" w:cs="宋体" w:eastAsia="宋体" w:hint="default"/>
                <w:sz w:val="21"/>
                <w:szCs w:val="21"/>
              </w:rPr>
              <w:t>报告期利润</w:t>
            </w:r>
            <w:r>
              <w:rPr>
                <w:rFonts w:ascii="宋体" w:hAnsi="宋体" w:cs="宋体" w:eastAsia="宋体" w:hint="default"/>
                <w:sz w:val="21"/>
                <w:szCs w:val="21"/>
              </w:rPr>
              <w:t> </w:t>
            </w:r>
          </w:p>
        </w:tc>
        <w:tc>
          <w:tcPr>
            <w:tcW w:w="1841" w:type="dxa"/>
            <w:vMerge w:val="restart"/>
            <w:tcBorders>
              <w:top w:val="single" w:sz="4" w:space="0" w:color="000000"/>
              <w:left w:val="single" w:sz="4" w:space="0" w:color="000000"/>
              <w:right w:val="single" w:sz="4" w:space="0" w:color="000000"/>
            </w:tcBorders>
          </w:tcPr>
          <w:p>
            <w:pPr>
              <w:pStyle w:val="TableParagraph"/>
              <w:spacing w:line="272" w:lineRule="exact" w:before="44"/>
              <w:ind w:left="338" w:right="175" w:hanging="159"/>
              <w:jc w:val="left"/>
              <w:rPr>
                <w:rFonts w:ascii="宋体" w:hAnsi="宋体" w:cs="宋体" w:eastAsia="宋体" w:hint="default"/>
                <w:sz w:val="21"/>
                <w:szCs w:val="21"/>
              </w:rPr>
            </w:pPr>
            <w:r>
              <w:rPr>
                <w:rFonts w:ascii="宋体" w:hAnsi="宋体" w:cs="宋体" w:eastAsia="宋体" w:hint="default"/>
                <w:sz w:val="21"/>
                <w:szCs w:val="21"/>
              </w:rPr>
              <w:t>加权平均净资产</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收益率（</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c>
          <w:tcPr>
            <w:tcW w:w="429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sz w:val="21"/>
                <w:szCs w:val="21"/>
              </w:rPr>
              <w:t>每股收益</w:t>
            </w:r>
            <w:r>
              <w:rPr>
                <w:rFonts w:ascii="宋体" w:hAnsi="宋体" w:cs="宋体" w:eastAsia="宋体" w:hint="default"/>
                <w:sz w:val="21"/>
                <w:szCs w:val="21"/>
              </w:rPr>
              <w:t> </w:t>
            </w:r>
          </w:p>
        </w:tc>
      </w:tr>
      <w:tr>
        <w:trPr>
          <w:trHeight w:val="370" w:hRule="exact"/>
        </w:trPr>
        <w:tc>
          <w:tcPr>
            <w:tcW w:w="2914" w:type="dxa"/>
            <w:vMerge/>
            <w:tcBorders>
              <w:left w:val="single" w:sz="4" w:space="0" w:color="000000"/>
              <w:bottom w:val="single" w:sz="4" w:space="0" w:color="000000"/>
              <w:right w:val="single" w:sz="4" w:space="0" w:color="000000"/>
            </w:tcBorders>
          </w:tcPr>
          <w:p>
            <w:pPr/>
          </w:p>
        </w:tc>
        <w:tc>
          <w:tcPr>
            <w:tcW w:w="1841" w:type="dxa"/>
            <w:vMerge/>
            <w:tcBorders>
              <w:left w:val="single" w:sz="4" w:space="0" w:color="000000"/>
              <w:bottom w:val="single" w:sz="4" w:space="0" w:color="000000"/>
              <w:right w:val="single" w:sz="4" w:space="0" w:color="000000"/>
            </w:tcBorders>
          </w:tcPr>
          <w:p>
            <w:pP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437" w:right="0"/>
              <w:jc w:val="left"/>
              <w:rPr>
                <w:rFonts w:ascii="宋体" w:hAnsi="宋体" w:cs="宋体" w:eastAsia="宋体" w:hint="default"/>
                <w:sz w:val="21"/>
                <w:szCs w:val="21"/>
              </w:rPr>
            </w:pPr>
            <w:r>
              <w:rPr>
                <w:rFonts w:ascii="宋体" w:hAnsi="宋体" w:cs="宋体" w:eastAsia="宋体" w:hint="default"/>
                <w:sz w:val="21"/>
                <w:szCs w:val="21"/>
              </w:rPr>
              <w:t>基本每股收益</w:t>
            </w:r>
            <w:r>
              <w:rPr>
                <w:rFonts w:ascii="宋体" w:hAnsi="宋体" w:cs="宋体" w:eastAsia="宋体" w:hint="default"/>
                <w:sz w:val="21"/>
                <w:szCs w:val="21"/>
              </w:rPr>
              <w:t> </w:t>
            </w:r>
          </w:p>
        </w:tc>
        <w:tc>
          <w:tcPr>
            <w:tcW w:w="2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439" w:right="0"/>
              <w:jc w:val="left"/>
              <w:rPr>
                <w:rFonts w:ascii="宋体" w:hAnsi="宋体" w:cs="宋体" w:eastAsia="宋体" w:hint="default"/>
                <w:sz w:val="21"/>
                <w:szCs w:val="21"/>
              </w:rPr>
            </w:pPr>
            <w:r>
              <w:rPr>
                <w:rFonts w:ascii="宋体" w:hAnsi="宋体" w:cs="宋体" w:eastAsia="宋体" w:hint="default"/>
                <w:sz w:val="21"/>
                <w:szCs w:val="21"/>
              </w:rPr>
              <w:t>稀释每股收益</w:t>
            </w:r>
            <w:r>
              <w:rPr>
                <w:rFonts w:ascii="宋体" w:hAnsi="宋体" w:cs="宋体" w:eastAsia="宋体" w:hint="default"/>
                <w:sz w:val="21"/>
                <w:szCs w:val="21"/>
              </w:rPr>
              <w:t> </w:t>
            </w:r>
          </w:p>
        </w:tc>
      </w:tr>
      <w:tr>
        <w:trPr>
          <w:trHeight w:val="554" w:hRule="exact"/>
        </w:trPr>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归属于公司普通股股东的净</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利润</w:t>
            </w:r>
            <w:r>
              <w:rPr>
                <w:rFonts w:ascii="宋体" w:hAnsi="宋体" w:cs="宋体" w:eastAsia="宋体" w:hint="default"/>
                <w:sz w:val="21"/>
                <w:szCs w:val="21"/>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6.69</w:t>
            </w:r>
            <w:r>
              <w:rPr>
                <w:rFonts w:ascii="宋体"/>
                <w:sz w:val="21"/>
              </w:rPr>
              <w:t> </w:t>
            </w: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0.40</w:t>
            </w:r>
            <w:r>
              <w:rPr>
                <w:rFonts w:ascii="宋体"/>
                <w:sz w:val="21"/>
              </w:rPr>
              <w:t> </w:t>
            </w:r>
          </w:p>
        </w:tc>
        <w:tc>
          <w:tcPr>
            <w:tcW w:w="2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0.39</w:t>
            </w:r>
            <w:r>
              <w:rPr>
                <w:rFonts w:ascii="宋体"/>
                <w:sz w:val="21"/>
              </w:rPr>
              <w:t> </w:t>
            </w:r>
          </w:p>
        </w:tc>
      </w:tr>
      <w:tr>
        <w:trPr>
          <w:trHeight w:val="370" w:hRule="exact"/>
        </w:trPr>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扣除非经常性损益后归属于</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3"/>
              <w:jc w:val="right"/>
              <w:rPr>
                <w:rFonts w:ascii="宋体" w:hAnsi="宋体" w:cs="宋体" w:eastAsia="宋体" w:hint="default"/>
                <w:sz w:val="21"/>
                <w:szCs w:val="21"/>
              </w:rPr>
            </w:pPr>
            <w:r>
              <w:rPr>
                <w:rFonts w:ascii="宋体"/>
                <w:spacing w:val="-1"/>
                <w:sz w:val="21"/>
              </w:rPr>
              <w:t>6.49</w:t>
            </w:r>
            <w:r>
              <w:rPr>
                <w:rFonts w:ascii="宋体"/>
                <w:sz w:val="21"/>
              </w:rPr>
              <w:t> </w:t>
            </w: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3"/>
              <w:jc w:val="right"/>
              <w:rPr>
                <w:rFonts w:ascii="宋体" w:hAnsi="宋体" w:cs="宋体" w:eastAsia="宋体" w:hint="default"/>
                <w:sz w:val="21"/>
                <w:szCs w:val="21"/>
              </w:rPr>
            </w:pPr>
            <w:r>
              <w:rPr>
                <w:rFonts w:ascii="宋体"/>
                <w:spacing w:val="-1"/>
                <w:sz w:val="21"/>
              </w:rPr>
              <w:t>0.39</w:t>
            </w:r>
            <w:r>
              <w:rPr>
                <w:rFonts w:ascii="宋体"/>
                <w:sz w:val="21"/>
              </w:rPr>
              <w:t> </w:t>
            </w:r>
          </w:p>
        </w:tc>
        <w:tc>
          <w:tcPr>
            <w:tcW w:w="2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3"/>
              <w:jc w:val="right"/>
              <w:rPr>
                <w:rFonts w:ascii="宋体" w:hAnsi="宋体" w:cs="宋体" w:eastAsia="宋体" w:hint="default"/>
                <w:sz w:val="21"/>
                <w:szCs w:val="21"/>
              </w:rPr>
            </w:pPr>
            <w:r>
              <w:rPr>
                <w:rFonts w:ascii="宋体"/>
                <w:spacing w:val="-1"/>
                <w:sz w:val="21"/>
              </w:rPr>
              <w:t>0.38</w:t>
            </w:r>
            <w:r>
              <w:rPr>
                <w:rFonts w:ascii="宋体"/>
                <w:sz w:val="21"/>
              </w:rPr>
              <w:t> </w:t>
            </w:r>
          </w:p>
        </w:tc>
      </w:tr>
    </w:tbl>
    <w:p>
      <w:pPr>
        <w:spacing w:after="0" w:line="240" w:lineRule="auto"/>
        <w:jc w:val="right"/>
        <w:rPr>
          <w:rFonts w:ascii="宋体" w:hAnsi="宋体" w:cs="宋体" w:eastAsia="宋体" w:hint="default"/>
          <w:sz w:val="21"/>
          <w:szCs w:val="21"/>
        </w:rPr>
        <w:sectPr>
          <w:headerReference w:type="default" r:id="rId281"/>
          <w:pgSz w:w="11910" w:h="16840"/>
          <w:pgMar w:header="748" w:footer="974" w:top="1140" w:bottom="1160" w:left="1580" w:right="1040"/>
        </w:sectPr>
      </w:pPr>
    </w:p>
    <w:p>
      <w:pPr>
        <w:spacing w:line="240" w:lineRule="auto" w:before="4"/>
        <w:rPr>
          <w:rFonts w:ascii="宋体" w:hAnsi="宋体" w:cs="宋体" w:eastAsia="宋体" w:hint="default"/>
          <w:sz w:val="29"/>
          <w:szCs w:val="29"/>
        </w:rPr>
      </w:pPr>
    </w:p>
    <w:tbl>
      <w:tblPr>
        <w:tblW w:w="0" w:type="auto"/>
        <w:jc w:val="left"/>
        <w:tblInd w:w="105" w:type="dxa"/>
        <w:tblLayout w:type="fixed"/>
        <w:tblCellMar>
          <w:top w:w="0" w:type="dxa"/>
          <w:left w:w="0" w:type="dxa"/>
          <w:bottom w:w="0" w:type="dxa"/>
          <w:right w:w="0" w:type="dxa"/>
        </w:tblCellMar>
        <w:tblLook w:val="01E0"/>
      </w:tblPr>
      <w:tblGrid>
        <w:gridCol w:w="2914"/>
        <w:gridCol w:w="1841"/>
        <w:gridCol w:w="2146"/>
        <w:gridCol w:w="2149"/>
      </w:tblGrid>
      <w:tr>
        <w:trPr>
          <w:trHeight w:val="372" w:hRule="exact"/>
        </w:trPr>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公司普通股股东的净利润</w:t>
            </w:r>
            <w:r>
              <w:rPr>
                <w:rFonts w:ascii="宋体" w:hAnsi="宋体" w:cs="宋体" w:eastAsia="宋体" w:hint="default"/>
                <w:sz w:val="21"/>
                <w:szCs w:val="21"/>
              </w:rPr>
              <w:t> </w:t>
            </w:r>
          </w:p>
        </w:tc>
        <w:tc>
          <w:tcPr>
            <w:tcW w:w="1841" w:type="dxa"/>
            <w:tcBorders>
              <w:top w:val="single" w:sz="4" w:space="0" w:color="000000"/>
              <w:left w:val="single" w:sz="4" w:space="0" w:color="000000"/>
              <w:bottom w:val="single" w:sz="4" w:space="0" w:color="000000"/>
              <w:right w:val="single" w:sz="4" w:space="0" w:color="000000"/>
            </w:tcBorders>
          </w:tcPr>
          <w:p>
            <w:pPr/>
          </w:p>
        </w:tc>
        <w:tc>
          <w:tcPr>
            <w:tcW w:w="2146" w:type="dxa"/>
            <w:tcBorders>
              <w:top w:val="single" w:sz="4" w:space="0" w:color="000000"/>
              <w:left w:val="single" w:sz="4" w:space="0" w:color="000000"/>
              <w:bottom w:val="single" w:sz="4" w:space="0" w:color="000000"/>
              <w:right w:val="single" w:sz="4" w:space="0" w:color="000000"/>
            </w:tcBorders>
          </w:tcPr>
          <w:p>
            <w:pPr/>
          </w:p>
        </w:tc>
        <w:tc>
          <w:tcPr>
            <w:tcW w:w="214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1" w:lineRule="exact"/>
        <w:ind w:right="0"/>
        <w:jc w:val="left"/>
        <w:rPr>
          <w:rFonts w:ascii="宋体" w:hAnsi="宋体" w:cs="宋体" w:eastAsia="宋体" w:hint="default"/>
        </w:rPr>
      </w:pPr>
      <w:r>
        <w:rPr>
          <w:rFonts w:ascii="宋体"/>
          <w:w w:val="100"/>
        </w:rPr>
        <w:t> </w:t>
      </w:r>
    </w:p>
    <w:p>
      <w:pPr>
        <w:pStyle w:val="Heading3"/>
        <w:spacing w:line="240" w:lineRule="auto" w:before="56"/>
        <w:ind w:right="0"/>
        <w:jc w:val="left"/>
        <w:rPr>
          <w:rFonts w:ascii="宋体" w:hAnsi="宋体" w:cs="宋体" w:eastAsia="宋体" w:hint="default"/>
          <w:b w:val="0"/>
          <w:bCs w:val="0"/>
        </w:rPr>
      </w:pPr>
      <w:r>
        <w:rPr>
          <w:rFonts w:ascii="宋体" w:hAnsi="宋体" w:cs="宋体" w:eastAsia="宋体" w:hint="default"/>
        </w:rPr>
        <w:t>3</w:t>
      </w:r>
      <w:r>
        <w:rPr/>
        <w:t>、</w:t>
      </w:r>
      <w:r>
        <w:rPr>
          <w:spacing w:val="-2"/>
        </w:rPr>
        <w:t> </w:t>
      </w:r>
      <w:r>
        <w:rPr>
          <w:rFonts w:ascii="宋体" w:hAnsi="宋体" w:cs="宋体" w:eastAsia="宋体" w:hint="default"/>
          <w:spacing w:val="-2"/>
        </w:rPr>
      </w:r>
      <w:r>
        <w:rPr/>
        <w:t>境内外会计准则下会计数据差异</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58"/>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right="0"/>
        <w:jc w:val="left"/>
        <w:rPr>
          <w:rFonts w:ascii="宋体" w:hAnsi="宋体" w:cs="宋体" w:eastAsia="宋体" w:hint="default"/>
        </w:rPr>
      </w:pPr>
      <w:r>
        <w:rPr>
          <w:rFonts w:ascii="宋体"/>
          <w:w w:val="100"/>
        </w:rPr>
        <w:t> </w:t>
      </w:r>
    </w:p>
    <w:p>
      <w:pPr>
        <w:pStyle w:val="Heading3"/>
        <w:spacing w:line="240" w:lineRule="auto" w:before="58"/>
        <w:ind w:right="0"/>
        <w:jc w:val="left"/>
        <w:rPr>
          <w:b w:val="0"/>
          <w:bCs w:val="0"/>
        </w:rPr>
      </w:pPr>
      <w:r>
        <w:rPr>
          <w:rFonts w:ascii="宋体" w:hAnsi="宋体" w:cs="宋体" w:eastAsia="宋体" w:hint="default"/>
        </w:rPr>
        <w:t>4</w:t>
      </w:r>
      <w:r>
        <w:rPr/>
        <w:t>、</w:t>
      </w:r>
      <w:r>
        <w:rPr>
          <w:spacing w:val="-1"/>
        </w:rPr>
        <w:t> </w:t>
      </w:r>
      <w:r>
        <w:rPr>
          <w:rFonts w:ascii="宋体" w:hAnsi="宋体" w:cs="宋体" w:eastAsia="宋体" w:hint="default"/>
          <w:spacing w:val="-1"/>
        </w:rPr>
      </w:r>
      <w:r>
        <w:rPr/>
        <w:t>其他</w:t>
      </w:r>
      <w:r>
        <w:rPr>
          <w:b w:val="0"/>
          <w:bCs w:val="0"/>
        </w:rPr>
      </w:r>
    </w:p>
    <w:p>
      <w:pPr>
        <w:pStyle w:val="BodyText"/>
        <w:spacing w:line="274" w:lineRule="exact" w:before="56"/>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tabs>
          <w:tab w:pos="3098" w:val="left" w:leader="none"/>
        </w:tabs>
        <w:spacing w:line="274" w:lineRule="exact"/>
        <w:ind w:right="0"/>
        <w:jc w:val="left"/>
        <w:rPr>
          <w:rFonts w:ascii="宋体" w:hAnsi="宋体" w:cs="宋体" w:eastAsia="宋体" w:hint="default"/>
        </w:rPr>
      </w:pPr>
      <w:r>
        <w:rPr>
          <w:rFonts w:ascii="宋体"/>
          <w:w w:val="100"/>
        </w:rPr>
        <w:t> </w:t>
      </w:r>
      <w:r>
        <w:rPr>
          <w:rFonts w:ascii="宋体"/>
        </w:rPr>
        <w:tab/>
      </w:r>
      <w:r>
        <w:rPr>
          <w:rFonts w:ascii="宋体"/>
          <w:w w:val="100"/>
        </w:rPr>
        <w:t> </w:t>
      </w:r>
    </w:p>
    <w:p>
      <w:pPr>
        <w:spacing w:after="0" w:line="274" w:lineRule="exact"/>
        <w:jc w:val="left"/>
        <w:rPr>
          <w:rFonts w:ascii="宋体" w:hAnsi="宋体" w:cs="宋体" w:eastAsia="宋体" w:hint="default"/>
        </w:rPr>
        <w:sectPr>
          <w:pgSz w:w="11910" w:h="16840"/>
          <w:pgMar w:header="748" w:footer="974" w:top="1140" w:bottom="1160" w:left="1580" w:right="1040"/>
        </w:sectPr>
      </w:pPr>
    </w:p>
    <w:p>
      <w:pPr>
        <w:spacing w:line="240" w:lineRule="auto" w:before="6"/>
        <w:rPr>
          <w:rFonts w:ascii="宋体" w:hAnsi="宋体" w:cs="宋体" w:eastAsia="宋体" w:hint="default"/>
          <w:sz w:val="24"/>
          <w:szCs w:val="24"/>
        </w:rPr>
      </w:pPr>
    </w:p>
    <w:p>
      <w:pPr>
        <w:pStyle w:val="Heading1"/>
        <w:spacing w:line="240" w:lineRule="auto"/>
        <w:ind w:left="3161" w:right="0"/>
        <w:jc w:val="left"/>
        <w:rPr>
          <w:rFonts w:ascii="宋体" w:hAnsi="宋体" w:cs="宋体" w:eastAsia="宋体" w:hint="default"/>
          <w:b w:val="0"/>
          <w:bCs w:val="0"/>
        </w:rPr>
      </w:pPr>
      <w:bookmarkStart w:name="_bookmark11" w:id="20"/>
      <w:bookmarkEnd w:id="20"/>
      <w:r>
        <w:rPr>
          <w:b w:val="0"/>
          <w:bCs w:val="0"/>
        </w:rPr>
      </w:r>
      <w:r>
        <w:rPr/>
        <w:t>第十二节</w:t>
      </w:r>
      <w:r>
        <w:rPr>
          <w:spacing w:val="-7"/>
        </w:rPr>
        <w:t> </w:t>
      </w:r>
      <w:r>
        <w:rPr>
          <w:rFonts w:ascii="宋体" w:hAnsi="宋体" w:cs="宋体" w:eastAsia="宋体" w:hint="default"/>
          <w:spacing w:val="-7"/>
        </w:rPr>
      </w:r>
      <w:r>
        <w:rPr/>
        <w:t>备查文件目录</w:t>
      </w:r>
      <w:r>
        <w:rPr>
          <w:rFonts w:ascii="宋体" w:hAnsi="宋体" w:cs="宋体" w:eastAsia="宋体" w:hint="default"/>
          <w:w w:val="99"/>
        </w:rPr>
        <w:t> </w:t>
      </w:r>
      <w:r>
        <w:rPr>
          <w:rFonts w:ascii="宋体" w:hAnsi="宋体" w:cs="宋体" w:eastAsia="宋体" w:hint="default"/>
          <w:b w:val="0"/>
          <w:bCs w:val="0"/>
        </w:rPr>
      </w: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29"/>
          <w:szCs w:val="29"/>
        </w:rPr>
      </w:pPr>
    </w:p>
    <w:tbl>
      <w:tblPr>
        <w:tblW w:w="0" w:type="auto"/>
        <w:jc w:val="left"/>
        <w:tblInd w:w="182" w:type="dxa"/>
        <w:tblLayout w:type="fixed"/>
        <w:tblCellMar>
          <w:top w:w="0" w:type="dxa"/>
          <w:left w:w="0" w:type="dxa"/>
          <w:bottom w:w="0" w:type="dxa"/>
          <w:right w:w="0" w:type="dxa"/>
        </w:tblCellMar>
        <w:tblLook w:val="01E0"/>
      </w:tblPr>
      <w:tblGrid>
        <w:gridCol w:w="2295"/>
        <w:gridCol w:w="6601"/>
      </w:tblGrid>
      <w:tr>
        <w:trPr>
          <w:trHeight w:val="554" w:hRule="exact"/>
        </w:trPr>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404"/>
              <w:jc w:val="right"/>
              <w:rPr>
                <w:rFonts w:ascii="宋体" w:hAnsi="宋体" w:cs="宋体" w:eastAsia="宋体" w:hint="default"/>
                <w:sz w:val="21"/>
                <w:szCs w:val="21"/>
              </w:rPr>
            </w:pPr>
            <w:r>
              <w:rPr>
                <w:rFonts w:ascii="宋体" w:hAnsi="宋体" w:cs="宋体" w:eastAsia="宋体" w:hint="default"/>
                <w:spacing w:val="-2"/>
                <w:sz w:val="21"/>
                <w:szCs w:val="21"/>
              </w:rPr>
              <w:t>备查文件目录</w:t>
            </w:r>
            <w:r>
              <w:rPr>
                <w:rFonts w:ascii="宋体" w:hAnsi="宋体" w:cs="宋体" w:eastAsia="宋体" w:hint="default"/>
                <w:sz w:val="21"/>
                <w:szCs w:val="21"/>
              </w:rPr>
              <w:t> </w:t>
            </w:r>
          </w:p>
        </w:tc>
        <w:tc>
          <w:tcPr>
            <w:tcW w:w="66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载有法定代表人、主管会计工作负责人、会计机构负责人签名并盖章的</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会计报表</w:t>
            </w:r>
            <w:r>
              <w:rPr>
                <w:rFonts w:ascii="宋体" w:hAnsi="宋体" w:cs="宋体" w:eastAsia="宋体" w:hint="default"/>
                <w:sz w:val="21"/>
                <w:szCs w:val="21"/>
              </w:rPr>
              <w:t> </w:t>
            </w:r>
          </w:p>
        </w:tc>
      </w:tr>
      <w:tr>
        <w:trPr>
          <w:trHeight w:val="283" w:hRule="exact"/>
        </w:trPr>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404"/>
              <w:jc w:val="right"/>
              <w:rPr>
                <w:rFonts w:ascii="宋体" w:hAnsi="宋体" w:cs="宋体" w:eastAsia="宋体" w:hint="default"/>
                <w:sz w:val="21"/>
                <w:szCs w:val="21"/>
              </w:rPr>
            </w:pPr>
            <w:r>
              <w:rPr>
                <w:rFonts w:ascii="宋体" w:hAnsi="宋体" w:cs="宋体" w:eastAsia="宋体" w:hint="default"/>
                <w:spacing w:val="-2"/>
                <w:sz w:val="21"/>
                <w:szCs w:val="21"/>
              </w:rPr>
              <w:t>备查文件目录</w:t>
            </w:r>
            <w:r>
              <w:rPr>
                <w:rFonts w:ascii="宋体" w:hAnsi="宋体" w:cs="宋体" w:eastAsia="宋体" w:hint="default"/>
                <w:sz w:val="21"/>
                <w:szCs w:val="21"/>
              </w:rPr>
              <w:t> </w:t>
            </w:r>
          </w:p>
        </w:tc>
        <w:tc>
          <w:tcPr>
            <w:tcW w:w="66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载有会计师事务所盖章、注册会计师签名并盖章的审计报告原件</w:t>
            </w:r>
            <w:r>
              <w:rPr>
                <w:rFonts w:ascii="宋体" w:hAnsi="宋体" w:cs="宋体" w:eastAsia="宋体" w:hint="default"/>
                <w:sz w:val="21"/>
                <w:szCs w:val="21"/>
              </w:rPr>
              <w:t> </w:t>
            </w:r>
          </w:p>
        </w:tc>
      </w:tr>
      <w:tr>
        <w:trPr>
          <w:trHeight w:val="554" w:hRule="exact"/>
        </w:trPr>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404"/>
              <w:jc w:val="right"/>
              <w:rPr>
                <w:rFonts w:ascii="宋体" w:hAnsi="宋体" w:cs="宋体" w:eastAsia="宋体" w:hint="default"/>
                <w:sz w:val="21"/>
                <w:szCs w:val="21"/>
              </w:rPr>
            </w:pPr>
            <w:r>
              <w:rPr>
                <w:rFonts w:ascii="宋体" w:hAnsi="宋体" w:cs="宋体" w:eastAsia="宋体" w:hint="default"/>
                <w:spacing w:val="-2"/>
                <w:sz w:val="21"/>
                <w:szCs w:val="21"/>
              </w:rPr>
              <w:t>备查文件目录</w:t>
            </w:r>
            <w:r>
              <w:rPr>
                <w:rFonts w:ascii="宋体" w:hAnsi="宋体" w:cs="宋体" w:eastAsia="宋体" w:hint="default"/>
                <w:sz w:val="21"/>
                <w:szCs w:val="21"/>
              </w:rPr>
              <w:t> </w:t>
            </w:r>
          </w:p>
        </w:tc>
        <w:tc>
          <w:tcPr>
            <w:tcW w:w="66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报告期内在中国证监会指定网站上公开披露的所有公司文件正本及公告</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原稿</w:t>
            </w:r>
            <w:r>
              <w:rPr>
                <w:rFonts w:ascii="宋体" w:hAnsi="宋体" w:cs="宋体" w:eastAsia="宋体" w:hint="default"/>
                <w:sz w:val="21"/>
                <w:szCs w:val="21"/>
              </w:rPr>
              <w:t> </w:t>
            </w:r>
          </w:p>
        </w:tc>
      </w:tr>
    </w:tbl>
    <w:p>
      <w:pPr>
        <w:spacing w:line="240" w:lineRule="auto" w:before="4"/>
        <w:rPr>
          <w:rFonts w:ascii="宋体" w:hAnsi="宋体" w:cs="宋体" w:eastAsia="宋体" w:hint="default"/>
          <w:b/>
          <w:bCs/>
          <w:sz w:val="24"/>
          <w:szCs w:val="24"/>
        </w:rPr>
      </w:pPr>
    </w:p>
    <w:p>
      <w:pPr>
        <w:pStyle w:val="BodyText"/>
        <w:spacing w:line="314" w:lineRule="auto" w:before="36"/>
        <w:ind w:left="5319" w:right="0" w:firstLine="2256"/>
        <w:jc w:val="left"/>
        <w:rPr>
          <w:rFonts w:ascii="宋体" w:hAnsi="宋体" w:cs="宋体" w:eastAsia="宋体" w:hint="default"/>
        </w:rPr>
      </w:pPr>
      <w:r>
        <w:rPr/>
        <w:t>董事长：陆永华</w:t>
      </w:r>
      <w:r>
        <w:rPr>
          <w:rFonts w:ascii="宋体" w:hAnsi="宋体" w:cs="宋体" w:eastAsia="宋体" w:hint="default"/>
          <w:w w:val="100"/>
        </w:rPr>
        <w:t> </w:t>
      </w:r>
      <w:r>
        <w:rPr/>
        <w:t>董事会批准报送日期：</w:t>
      </w:r>
      <w:r>
        <w:rPr>
          <w:rFonts w:ascii="宋体" w:hAnsi="宋体" w:cs="宋体" w:eastAsia="宋体" w:hint="default"/>
        </w:rPr>
        <w:t>2020</w:t>
      </w:r>
      <w:r>
        <w:rPr>
          <w:rFonts w:ascii="宋体" w:hAnsi="宋体" w:cs="宋体" w:eastAsia="宋体" w:hint="default"/>
          <w:spacing w:val="-53"/>
        </w:rPr>
        <w:t> </w:t>
      </w:r>
      <w:r>
        <w:rPr/>
        <w:t>年</w:t>
      </w:r>
      <w:r>
        <w:rPr>
          <w:spacing w:val="-54"/>
        </w:rPr>
        <w:t> </w:t>
      </w:r>
      <w:r>
        <w:rPr>
          <w:rFonts w:ascii="宋体" w:hAnsi="宋体" w:cs="宋体" w:eastAsia="宋体" w:hint="default"/>
        </w:rPr>
        <w:t>4</w:t>
      </w:r>
      <w:r>
        <w:rPr>
          <w:rFonts w:ascii="宋体" w:hAnsi="宋体" w:cs="宋体" w:eastAsia="宋体" w:hint="default"/>
          <w:spacing w:val="-56"/>
        </w:rPr>
        <w:t> </w:t>
      </w:r>
      <w:r>
        <w:rPr/>
        <w:t>月</w:t>
      </w:r>
      <w:r>
        <w:rPr>
          <w:spacing w:val="-54"/>
        </w:rPr>
        <w:t> </w:t>
      </w:r>
      <w:r>
        <w:rPr>
          <w:rFonts w:ascii="宋体" w:hAnsi="宋体" w:cs="宋体" w:eastAsia="宋体" w:hint="default"/>
        </w:rPr>
        <w:t>23</w:t>
      </w:r>
      <w:r>
        <w:rPr>
          <w:rFonts w:ascii="宋体" w:hAnsi="宋体" w:cs="宋体" w:eastAsia="宋体" w:hint="default"/>
          <w:spacing w:val="-54"/>
        </w:rPr>
        <w:t> </w:t>
      </w:r>
      <w:r>
        <w:rPr>
          <w:spacing w:val="-3"/>
        </w:rPr>
        <w:t>日</w:t>
      </w:r>
      <w:r>
        <w:rPr>
          <w:rFonts w:ascii="宋体" w:hAnsi="宋体" w:cs="宋体" w:eastAsia="宋体" w:hint="default"/>
          <w:color w:val="008000"/>
        </w:rPr>
        <w:t> </w:t>
      </w:r>
      <w:r>
        <w:rPr>
          <w:rFonts w:ascii="宋体" w:hAnsi="宋体" w:cs="宋体" w:eastAsia="宋体" w:hint="default"/>
        </w:rPr>
      </w:r>
    </w:p>
    <w:sectPr>
      <w:pgSz w:w="11910" w:h="16840"/>
      <w:pgMar w:header="748" w:footer="974" w:top="1140" w:bottom="1160" w:left="1580" w:right="10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黑体">
    <w:altName w:val="黑体"/>
    <w:charset w:val="86"/>
    <w:family w:val="modern"/>
    <w:pitch w:val="fixed"/>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5.769989pt;margin-top:782.209961pt;width:28.8pt;height:11pt;mso-position-horizontal-relative:page;mso-position-vertical-relative:page;z-index:-131953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w:t>
                </w:r>
                <w:r>
                  <w:rPr/>
                  <w:fldChar w:fldCharType="end"/>
                </w:r>
                <w:r>
                  <w:rPr>
                    <w:rFonts w:ascii="Calibri"/>
                    <w:b/>
                    <w:sz w:val="18"/>
                  </w:rPr>
                  <w:t> </w:t>
                </w:r>
                <w:r>
                  <w:rPr>
                    <w:rFonts w:ascii="Calibri"/>
                    <w:sz w:val="18"/>
                  </w:rPr>
                  <w:t>/</w:t>
                </w:r>
                <w:r>
                  <w:rPr>
                    <w:rFonts w:ascii="Calibri"/>
                    <w:spacing w:val="-3"/>
                    <w:sz w:val="18"/>
                  </w:rPr>
                  <w:t> </w:t>
                </w:r>
                <w:r>
                  <w:rPr>
                    <w:rFonts w:ascii="Calibri"/>
                    <w:b/>
                    <w:sz w:val="18"/>
                  </w:rPr>
                  <w:t>216</w:t>
                </w:r>
                <w:r>
                  <w:rPr>
                    <w:rFonts w:ascii="Calibri"/>
                    <w:sz w:val="18"/>
                  </w:rPr>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7.450012pt;margin-top:782.209961pt;width:33.4pt;height:11pt;mso-position-horizontal-relative:page;mso-position-vertical-relative:page;z-index:-131893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34</w:t>
                </w:r>
                <w:r>
                  <w:rPr/>
                  <w:fldChar w:fldCharType="end"/>
                </w:r>
                <w:r>
                  <w:rPr>
                    <w:rFonts w:ascii="Calibri"/>
                    <w:b/>
                    <w:sz w:val="18"/>
                  </w:rPr>
                  <w:t> </w:t>
                </w:r>
                <w:r>
                  <w:rPr>
                    <w:rFonts w:ascii="Calibri"/>
                    <w:sz w:val="18"/>
                  </w:rPr>
                  <w:t>/</w:t>
                </w:r>
                <w:r>
                  <w:rPr>
                    <w:rFonts w:ascii="Calibri"/>
                    <w:spacing w:val="-3"/>
                    <w:sz w:val="18"/>
                  </w:rPr>
                  <w:t> </w:t>
                </w:r>
                <w:r>
                  <w:rPr>
                    <w:rFonts w:ascii="Calibri"/>
                    <w:b/>
                    <w:sz w:val="18"/>
                  </w:rPr>
                  <w:t>216</w:t>
                </w:r>
                <w:r>
                  <w:rPr>
                    <w:rFonts w:ascii="Calibri"/>
                    <w:sz w:val="18"/>
                  </w:rPr>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82.209961pt;width:33.4pt;height:11pt;mso-position-horizontal-relative:page;mso-position-vertical-relative:page;z-index:-131884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38</w:t>
                </w:r>
                <w:r>
                  <w:rPr/>
                  <w:fldChar w:fldCharType="end"/>
                </w:r>
                <w:r>
                  <w:rPr>
                    <w:rFonts w:ascii="Calibri"/>
                    <w:b/>
                    <w:sz w:val="18"/>
                  </w:rPr>
                  <w:t> </w:t>
                </w:r>
                <w:r>
                  <w:rPr>
                    <w:rFonts w:ascii="Calibri"/>
                    <w:sz w:val="18"/>
                  </w:rPr>
                  <w:t>/</w:t>
                </w:r>
                <w:r>
                  <w:rPr>
                    <w:rFonts w:ascii="Calibri"/>
                    <w:spacing w:val="-3"/>
                    <w:sz w:val="18"/>
                  </w:rPr>
                  <w:t> </w:t>
                </w:r>
                <w:r>
                  <w:rPr>
                    <w:rFonts w:ascii="Calibri"/>
                    <w:b/>
                    <w:sz w:val="18"/>
                  </w:rPr>
                  <w:t>216</w:t>
                </w:r>
                <w:r>
                  <w:rPr>
                    <w:rFonts w:ascii="Calibri"/>
                    <w:sz w:val="18"/>
                  </w:rPr>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82.209961pt;width:32.4pt;height:11pt;mso-position-horizontal-relative:page;mso-position-vertical-relative:page;z-index:-131881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40 </w:t>
                </w:r>
                <w:r>
                  <w:rPr>
                    <w:rFonts w:ascii="Calibri"/>
                    <w:sz w:val="18"/>
                  </w:rPr>
                  <w:t>/</w:t>
                </w:r>
                <w:r>
                  <w:rPr>
                    <w:rFonts w:ascii="Calibri"/>
                    <w:spacing w:val="-4"/>
                    <w:sz w:val="18"/>
                  </w:rPr>
                  <w:t> </w:t>
                </w:r>
                <w:r>
                  <w:rPr>
                    <w:rFonts w:ascii="Calibri"/>
                    <w:b/>
                    <w:sz w:val="18"/>
                  </w:rPr>
                  <w:t>216</w:t>
                </w:r>
                <w:r>
                  <w:rPr>
                    <w:rFonts w:ascii="Calibri"/>
                    <w:sz w:val="18"/>
                  </w:rPr>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82.209961pt;width:33.4pt;height:11pt;mso-position-horizontal-relative:page;mso-position-vertical-relative:page;z-index:-131879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41</w:t>
                </w:r>
                <w:r>
                  <w:rPr/>
                  <w:fldChar w:fldCharType="end"/>
                </w:r>
                <w:r>
                  <w:rPr>
                    <w:rFonts w:ascii="Calibri"/>
                    <w:b/>
                    <w:sz w:val="18"/>
                  </w:rPr>
                  <w:t> </w:t>
                </w:r>
                <w:r>
                  <w:rPr>
                    <w:rFonts w:ascii="Calibri"/>
                    <w:sz w:val="18"/>
                  </w:rPr>
                  <w:t>/</w:t>
                </w:r>
                <w:r>
                  <w:rPr>
                    <w:rFonts w:ascii="Calibri"/>
                    <w:spacing w:val="-3"/>
                    <w:sz w:val="18"/>
                  </w:rPr>
                  <w:t> </w:t>
                </w:r>
                <w:r>
                  <w:rPr>
                    <w:rFonts w:ascii="Calibri"/>
                    <w:b/>
                    <w:sz w:val="18"/>
                  </w:rPr>
                  <w:t>216</w:t>
                </w:r>
                <w:r>
                  <w:rPr>
                    <w:rFonts w:ascii="Calibri"/>
                    <w:sz w:val="18"/>
                  </w:rPr>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82.209961pt;width:32.4pt;height:11pt;mso-position-horizontal-relative:page;mso-position-vertical-relative:page;z-index:-131876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50 </w:t>
                </w:r>
                <w:r>
                  <w:rPr>
                    <w:rFonts w:ascii="Calibri"/>
                    <w:sz w:val="18"/>
                  </w:rPr>
                  <w:t>/</w:t>
                </w:r>
                <w:r>
                  <w:rPr>
                    <w:rFonts w:ascii="Calibri"/>
                    <w:spacing w:val="-4"/>
                    <w:sz w:val="18"/>
                  </w:rPr>
                  <w:t> </w:t>
                </w:r>
                <w:r>
                  <w:rPr>
                    <w:rFonts w:ascii="Calibri"/>
                    <w:b/>
                    <w:sz w:val="18"/>
                  </w:rPr>
                  <w:t>216</w:t>
                </w:r>
                <w:r>
                  <w:rPr>
                    <w:rFonts w:ascii="Calibri"/>
                    <w:sz w:val="18"/>
                  </w:rPr>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82.209961pt;width:33.4pt;height:11pt;mso-position-horizontal-relative:page;mso-position-vertical-relative:page;z-index:-131874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51</w:t>
                </w:r>
                <w:r>
                  <w:rPr/>
                  <w:fldChar w:fldCharType="end"/>
                </w:r>
                <w:r>
                  <w:rPr>
                    <w:rFonts w:ascii="Calibri"/>
                    <w:b/>
                    <w:sz w:val="18"/>
                  </w:rPr>
                  <w:t> </w:t>
                </w:r>
                <w:r>
                  <w:rPr>
                    <w:rFonts w:ascii="Calibri"/>
                    <w:sz w:val="18"/>
                  </w:rPr>
                  <w:t>/</w:t>
                </w:r>
                <w:r>
                  <w:rPr>
                    <w:rFonts w:ascii="Calibri"/>
                    <w:spacing w:val="-3"/>
                    <w:sz w:val="18"/>
                  </w:rPr>
                  <w:t> </w:t>
                </w:r>
                <w:r>
                  <w:rPr>
                    <w:rFonts w:ascii="Calibri"/>
                    <w:b/>
                    <w:sz w:val="18"/>
                  </w:rPr>
                  <w:t>216</w:t>
                </w:r>
                <w:r>
                  <w:rPr>
                    <w:rFonts w:ascii="Calibri"/>
                    <w:sz w:val="18"/>
                  </w:rPr>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82.209961pt;width:32.4pt;height:11pt;mso-position-horizontal-relative:page;mso-position-vertical-relative:page;z-index:-131872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60 </w:t>
                </w:r>
                <w:r>
                  <w:rPr>
                    <w:rFonts w:ascii="Calibri"/>
                    <w:sz w:val="18"/>
                  </w:rPr>
                  <w:t>/</w:t>
                </w:r>
                <w:r>
                  <w:rPr>
                    <w:rFonts w:ascii="Calibri"/>
                    <w:spacing w:val="-4"/>
                    <w:sz w:val="18"/>
                  </w:rPr>
                  <w:t> </w:t>
                </w:r>
                <w:r>
                  <w:rPr>
                    <w:rFonts w:ascii="Calibri"/>
                    <w:b/>
                    <w:sz w:val="18"/>
                  </w:rPr>
                  <w:t>216</w:t>
                </w:r>
                <w:r>
                  <w:rPr>
                    <w:rFonts w:ascii="Calibri"/>
                    <w:sz w:val="18"/>
                  </w:rPr>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82.209961pt;width:33.4pt;height:11pt;mso-position-horizontal-relative:page;mso-position-vertical-relative:page;z-index:-131869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61</w:t>
                </w:r>
                <w:r>
                  <w:rPr/>
                  <w:fldChar w:fldCharType="end"/>
                </w:r>
                <w:r>
                  <w:rPr>
                    <w:rFonts w:ascii="Calibri"/>
                    <w:b/>
                    <w:sz w:val="18"/>
                  </w:rPr>
                  <w:t> </w:t>
                </w:r>
                <w:r>
                  <w:rPr>
                    <w:rFonts w:ascii="Calibri"/>
                    <w:sz w:val="18"/>
                  </w:rPr>
                  <w:t>/</w:t>
                </w:r>
                <w:r>
                  <w:rPr>
                    <w:rFonts w:ascii="Calibri"/>
                    <w:spacing w:val="-3"/>
                    <w:sz w:val="18"/>
                  </w:rPr>
                  <w:t> </w:t>
                </w:r>
                <w:r>
                  <w:rPr>
                    <w:rFonts w:ascii="Calibri"/>
                    <w:b/>
                    <w:sz w:val="18"/>
                  </w:rPr>
                  <w:t>216</w:t>
                </w:r>
                <w:r>
                  <w:rPr>
                    <w:rFonts w:ascii="Calibri"/>
                    <w:sz w:val="18"/>
                  </w:rPr>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5.809998pt;margin-top:535.585999pt;width:33.4pt;height:11pt;mso-position-horizontal-relative:page;mso-position-vertical-relative:page;z-index:-131860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67</w:t>
                </w:r>
                <w:r>
                  <w:rPr/>
                  <w:fldChar w:fldCharType="end"/>
                </w:r>
                <w:r>
                  <w:rPr>
                    <w:rFonts w:ascii="Calibri"/>
                    <w:b/>
                    <w:sz w:val="18"/>
                  </w:rPr>
                  <w:t> </w:t>
                </w:r>
                <w:r>
                  <w:rPr>
                    <w:rFonts w:ascii="Calibri"/>
                    <w:sz w:val="18"/>
                  </w:rPr>
                  <w:t>/</w:t>
                </w:r>
                <w:r>
                  <w:rPr>
                    <w:rFonts w:ascii="Calibri"/>
                    <w:spacing w:val="-3"/>
                    <w:sz w:val="18"/>
                  </w:rPr>
                  <w:t> </w:t>
                </w:r>
                <w:r>
                  <w:rPr>
                    <w:rFonts w:ascii="Calibri"/>
                    <w:b/>
                    <w:sz w:val="18"/>
                  </w:rPr>
                  <w:t>216</w:t>
                </w:r>
                <w:r>
                  <w:rPr>
                    <w:rFonts w:ascii="Calibri"/>
                    <w:sz w:val="18"/>
                  </w:rPr>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3.809998pt;margin-top:782.209961pt;width:27.8pt;height:11pt;mso-position-horizontal-relative:page;mso-position-vertical-relative:page;z-index:-131946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9 </w:t>
                </w:r>
                <w:r>
                  <w:rPr>
                    <w:rFonts w:ascii="Calibri"/>
                    <w:sz w:val="18"/>
                  </w:rPr>
                  <w:t>/</w:t>
                </w:r>
                <w:r>
                  <w:rPr>
                    <w:rFonts w:ascii="Calibri"/>
                    <w:spacing w:val="-3"/>
                    <w:sz w:val="18"/>
                  </w:rPr>
                  <w:t> </w:t>
                </w:r>
                <w:r>
                  <w:rPr>
                    <w:rFonts w:ascii="Calibri"/>
                    <w:b/>
                    <w:sz w:val="18"/>
                  </w:rPr>
                  <w:t>216</w:t>
                </w:r>
                <w:r>
                  <w:rPr>
                    <w:rFonts w:ascii="Calibri"/>
                    <w:sz w:val="18"/>
                  </w:rPr>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6.809998pt;margin-top:535.585999pt;width:32.4pt;height:11pt;mso-position-horizontal-relative:page;mso-position-vertical-relative:page;z-index:-131857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70 </w:t>
                </w:r>
                <w:r>
                  <w:rPr>
                    <w:rFonts w:ascii="Calibri"/>
                    <w:sz w:val="18"/>
                  </w:rPr>
                  <w:t>/</w:t>
                </w:r>
                <w:r>
                  <w:rPr>
                    <w:rFonts w:ascii="Calibri"/>
                    <w:spacing w:val="-4"/>
                    <w:sz w:val="18"/>
                  </w:rPr>
                  <w:t> </w:t>
                </w:r>
                <w:r>
                  <w:rPr>
                    <w:rFonts w:ascii="Calibri"/>
                    <w:b/>
                    <w:sz w:val="18"/>
                  </w:rPr>
                  <w:t>216</w:t>
                </w:r>
                <w:r>
                  <w:rPr>
                    <w:rFonts w:ascii="Calibri"/>
                    <w:sz w:val="18"/>
                  </w:rPr>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82.209961pt;width:33.4pt;height:11pt;mso-position-horizontal-relative:page;mso-position-vertical-relative:page;z-index:-131848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71</w:t>
                </w:r>
                <w:r>
                  <w:rPr/>
                  <w:fldChar w:fldCharType="end"/>
                </w:r>
                <w:r>
                  <w:rPr>
                    <w:rFonts w:ascii="Calibri"/>
                    <w:b/>
                    <w:sz w:val="18"/>
                  </w:rPr>
                  <w:t> </w:t>
                </w:r>
                <w:r>
                  <w:rPr>
                    <w:rFonts w:ascii="Calibri"/>
                    <w:sz w:val="18"/>
                  </w:rPr>
                  <w:t>/</w:t>
                </w:r>
                <w:r>
                  <w:rPr>
                    <w:rFonts w:ascii="Calibri"/>
                    <w:spacing w:val="-3"/>
                    <w:sz w:val="18"/>
                  </w:rPr>
                  <w:t> </w:t>
                </w:r>
                <w:r>
                  <w:rPr>
                    <w:rFonts w:ascii="Calibri"/>
                    <w:b/>
                    <w:sz w:val="18"/>
                  </w:rPr>
                  <w:t>216</w:t>
                </w:r>
                <w:r>
                  <w:rPr>
                    <w:rFonts w:ascii="Calibri"/>
                    <w:sz w:val="18"/>
                  </w:rPr>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82.209961pt;width:32.4pt;height:11pt;mso-position-horizontal-relative:page;mso-position-vertical-relative:page;z-index:-131845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80 </w:t>
                </w:r>
                <w:r>
                  <w:rPr>
                    <w:rFonts w:ascii="Calibri"/>
                    <w:sz w:val="18"/>
                  </w:rPr>
                  <w:t>/</w:t>
                </w:r>
                <w:r>
                  <w:rPr>
                    <w:rFonts w:ascii="Calibri"/>
                    <w:spacing w:val="-4"/>
                    <w:sz w:val="18"/>
                  </w:rPr>
                  <w:t> </w:t>
                </w:r>
                <w:r>
                  <w:rPr>
                    <w:rFonts w:ascii="Calibri"/>
                    <w:b/>
                    <w:sz w:val="18"/>
                  </w:rPr>
                  <w:t>216</w:t>
                </w:r>
                <w:r>
                  <w:rPr>
                    <w:rFonts w:ascii="Calibri"/>
                    <w:sz w:val="18"/>
                  </w:rPr>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82.209961pt;width:33.4pt;height:11pt;mso-position-horizontal-relative:page;mso-position-vertical-relative:page;z-index:-131843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81</w:t>
                </w:r>
                <w:r>
                  <w:rPr/>
                  <w:fldChar w:fldCharType="end"/>
                </w:r>
                <w:r>
                  <w:rPr>
                    <w:rFonts w:ascii="Calibri"/>
                    <w:b/>
                    <w:sz w:val="18"/>
                  </w:rPr>
                  <w:t> </w:t>
                </w:r>
                <w:r>
                  <w:rPr>
                    <w:rFonts w:ascii="Calibri"/>
                    <w:sz w:val="18"/>
                  </w:rPr>
                  <w:t>/</w:t>
                </w:r>
                <w:r>
                  <w:rPr>
                    <w:rFonts w:ascii="Calibri"/>
                    <w:spacing w:val="-3"/>
                    <w:sz w:val="18"/>
                  </w:rPr>
                  <w:t> </w:t>
                </w:r>
                <w:r>
                  <w:rPr>
                    <w:rFonts w:ascii="Calibri"/>
                    <w:b/>
                    <w:sz w:val="18"/>
                  </w:rPr>
                  <w:t>216</w:t>
                </w:r>
                <w:r>
                  <w:rPr>
                    <w:rFonts w:ascii="Calibri"/>
                    <w:sz w:val="18"/>
                  </w:rPr>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82.209961pt;width:32.4pt;height:11pt;mso-position-horizontal-relative:page;mso-position-vertical-relative:page;z-index:-131840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90 </w:t>
                </w:r>
                <w:r>
                  <w:rPr>
                    <w:rFonts w:ascii="Calibri"/>
                    <w:sz w:val="18"/>
                  </w:rPr>
                  <w:t>/</w:t>
                </w:r>
                <w:r>
                  <w:rPr>
                    <w:rFonts w:ascii="Calibri"/>
                    <w:spacing w:val="-4"/>
                    <w:sz w:val="18"/>
                  </w:rPr>
                  <w:t> </w:t>
                </w:r>
                <w:r>
                  <w:rPr>
                    <w:rFonts w:ascii="Calibri"/>
                    <w:b/>
                    <w:sz w:val="18"/>
                  </w:rPr>
                  <w:t>216</w:t>
                </w:r>
                <w:r>
                  <w:rPr>
                    <w:rFonts w:ascii="Calibri"/>
                    <w:sz w:val="18"/>
                  </w:rPr>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5.809998pt;margin-top:535.585999pt;width:33.4pt;height:11pt;mso-position-horizontal-relative:page;mso-position-vertical-relative:page;z-index:-131831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91</w:t>
                </w:r>
                <w:r>
                  <w:rPr/>
                  <w:fldChar w:fldCharType="end"/>
                </w:r>
                <w:r>
                  <w:rPr>
                    <w:rFonts w:ascii="Calibri"/>
                    <w:b/>
                    <w:sz w:val="18"/>
                  </w:rPr>
                  <w:t> </w:t>
                </w:r>
                <w:r>
                  <w:rPr>
                    <w:rFonts w:ascii="Calibri"/>
                    <w:sz w:val="18"/>
                  </w:rPr>
                  <w:t>/</w:t>
                </w:r>
                <w:r>
                  <w:rPr>
                    <w:rFonts w:ascii="Calibri"/>
                    <w:spacing w:val="-3"/>
                    <w:sz w:val="18"/>
                  </w:rPr>
                  <w:t> </w:t>
                </w:r>
                <w:r>
                  <w:rPr>
                    <w:rFonts w:ascii="Calibri"/>
                    <w:b/>
                    <w:sz w:val="18"/>
                  </w:rPr>
                  <w:t>216</w:t>
                </w:r>
                <w:r>
                  <w:rPr>
                    <w:rFonts w:ascii="Calibri"/>
                    <w:sz w:val="18"/>
                  </w:rPr>
                </w:r>
              </w:p>
            </w:txbxContent>
          </v:textbox>
          <w10:wrap type="non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7.450012pt;margin-top:782.209961pt;width:33.4pt;height:11pt;mso-position-horizontal-relative:page;mso-position-vertical-relative:page;z-index:-131821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96</w:t>
                </w:r>
                <w:r>
                  <w:rPr/>
                  <w:fldChar w:fldCharType="end"/>
                </w:r>
                <w:r>
                  <w:rPr>
                    <w:rFonts w:ascii="Calibri"/>
                    <w:b/>
                    <w:sz w:val="18"/>
                  </w:rPr>
                  <w:t> </w:t>
                </w:r>
                <w:r>
                  <w:rPr>
                    <w:rFonts w:ascii="Calibri"/>
                    <w:sz w:val="18"/>
                  </w:rPr>
                  <w:t>/</w:t>
                </w:r>
                <w:r>
                  <w:rPr>
                    <w:rFonts w:ascii="Calibri"/>
                    <w:spacing w:val="-3"/>
                    <w:sz w:val="18"/>
                  </w:rPr>
                  <w:t> </w:t>
                </w:r>
                <w:r>
                  <w:rPr>
                    <w:rFonts w:ascii="Calibri"/>
                    <w:b/>
                    <w:sz w:val="18"/>
                  </w:rPr>
                  <w:t>216</w:t>
                </w:r>
                <w:r>
                  <w:rPr>
                    <w:rFonts w:ascii="Calibri"/>
                    <w:sz w:val="18"/>
                  </w:rPr>
                </w:r>
              </w:p>
            </w:txbxContent>
          </v:textbox>
          <w10:wrap type="none"/>
        </v:shape>
      </w:pict>
    </w: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6.170013pt;margin-top:782.209961pt;width:36.950pt;height:11pt;mso-position-horizontal-relative:page;mso-position-vertical-relative:page;z-index:-131819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100 </w:t>
                </w:r>
                <w:r>
                  <w:rPr>
                    <w:rFonts w:ascii="Calibri"/>
                    <w:sz w:val="18"/>
                  </w:rPr>
                  <w:t>/</w:t>
                </w:r>
                <w:r>
                  <w:rPr>
                    <w:rFonts w:ascii="Calibri"/>
                    <w:spacing w:val="-5"/>
                    <w:sz w:val="18"/>
                  </w:rPr>
                  <w:t> </w:t>
                </w:r>
                <w:r>
                  <w:rPr>
                    <w:rFonts w:ascii="Calibri"/>
                    <w:b/>
                    <w:sz w:val="18"/>
                  </w:rPr>
                  <w:t>216</w:t>
                </w:r>
                <w:r>
                  <w:rPr>
                    <w:rFonts w:ascii="Calibri"/>
                    <w:sz w:val="18"/>
                  </w:rPr>
                </w:r>
              </w:p>
            </w:txbxContent>
          </v:textbox>
          <w10:wrap type="none"/>
        </v:shape>
      </w:pict>
    </w: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5.170013pt;margin-top:782.209961pt;width:37.950pt;height:11pt;mso-position-horizontal-relative:page;mso-position-vertical-relative:page;z-index:-131816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101</w:t>
                </w:r>
                <w:r>
                  <w:rPr/>
                  <w:fldChar w:fldCharType="end"/>
                </w:r>
                <w:r>
                  <w:rPr>
                    <w:rFonts w:ascii="Calibri"/>
                    <w:b/>
                    <w:sz w:val="18"/>
                  </w:rPr>
                  <w:t> </w:t>
                </w:r>
                <w:r>
                  <w:rPr>
                    <w:rFonts w:ascii="Calibri"/>
                    <w:sz w:val="18"/>
                  </w:rPr>
                  <w:t>/</w:t>
                </w:r>
                <w:r>
                  <w:rPr>
                    <w:rFonts w:ascii="Calibri"/>
                    <w:spacing w:val="-3"/>
                    <w:sz w:val="18"/>
                  </w:rPr>
                  <w:t> </w:t>
                </w:r>
                <w:r>
                  <w:rPr>
                    <w:rFonts w:ascii="Calibri"/>
                    <w:b/>
                    <w:sz w:val="18"/>
                  </w:rPr>
                  <w:t>216</w:t>
                </w:r>
                <w:r>
                  <w:rPr>
                    <w:rFonts w:ascii="Calibri"/>
                    <w:sz w:val="18"/>
                  </w:rPr>
                </w:r>
              </w:p>
            </w:txbxContent>
          </v:textbox>
          <w10:wrap type="none"/>
        </v:shape>
      </w:pict>
    </w: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6.170013pt;margin-top:782.209961pt;width:36.950pt;height:11pt;mso-position-horizontal-relative:page;mso-position-vertical-relative:page;z-index:-131814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110 </w:t>
                </w:r>
                <w:r>
                  <w:rPr>
                    <w:rFonts w:ascii="Calibri"/>
                    <w:sz w:val="18"/>
                  </w:rPr>
                  <w:t>/</w:t>
                </w:r>
                <w:r>
                  <w:rPr>
                    <w:rFonts w:ascii="Calibri"/>
                    <w:spacing w:val="-5"/>
                    <w:sz w:val="18"/>
                  </w:rPr>
                  <w:t> </w:t>
                </w:r>
                <w:r>
                  <w:rPr>
                    <w:rFonts w:ascii="Calibri"/>
                    <w:b/>
                    <w:sz w:val="18"/>
                  </w:rPr>
                  <w:t>216</w:t>
                </w:r>
                <w:r>
                  <w:rPr>
                    <w:rFonts w:ascii="Calibri"/>
                    <w:sz w:val="18"/>
                  </w:rPr>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1.529999pt;margin-top:782.209961pt;width:32.4pt;height:11pt;mso-position-horizontal-relative:page;mso-position-vertical-relative:page;z-index:-131936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10 </w:t>
                </w:r>
                <w:r>
                  <w:rPr>
                    <w:rFonts w:ascii="Calibri"/>
                    <w:sz w:val="18"/>
                  </w:rPr>
                  <w:t>/</w:t>
                </w:r>
                <w:r>
                  <w:rPr>
                    <w:rFonts w:ascii="Calibri"/>
                    <w:spacing w:val="-4"/>
                    <w:sz w:val="18"/>
                  </w:rPr>
                  <w:t> </w:t>
                </w:r>
                <w:r>
                  <w:rPr>
                    <w:rFonts w:ascii="Calibri"/>
                    <w:b/>
                    <w:sz w:val="18"/>
                  </w:rPr>
                  <w:t>216</w:t>
                </w:r>
                <w:r>
                  <w:rPr>
                    <w:rFonts w:ascii="Calibri"/>
                    <w:sz w:val="18"/>
                  </w:rPr>
                </w:r>
              </w:p>
            </w:txbxContent>
          </v:textbox>
          <w10:wrap type="none"/>
        </v:shape>
      </w:pict>
    </w: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5.170013pt;margin-top:782.209961pt;width:37.950pt;height:11pt;mso-position-horizontal-relative:page;mso-position-vertical-relative:page;z-index:-131812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111</w:t>
                </w:r>
                <w:r>
                  <w:rPr/>
                  <w:fldChar w:fldCharType="end"/>
                </w:r>
                <w:r>
                  <w:rPr>
                    <w:rFonts w:ascii="Calibri"/>
                    <w:b/>
                    <w:sz w:val="18"/>
                  </w:rPr>
                  <w:t> </w:t>
                </w:r>
                <w:r>
                  <w:rPr>
                    <w:rFonts w:ascii="Calibri"/>
                    <w:sz w:val="18"/>
                  </w:rPr>
                  <w:t>/</w:t>
                </w:r>
                <w:r>
                  <w:rPr>
                    <w:rFonts w:ascii="Calibri"/>
                    <w:spacing w:val="-3"/>
                    <w:sz w:val="18"/>
                  </w:rPr>
                  <w:t> </w:t>
                </w:r>
                <w:r>
                  <w:rPr>
                    <w:rFonts w:ascii="Calibri"/>
                    <w:b/>
                    <w:sz w:val="18"/>
                  </w:rPr>
                  <w:t>216</w:t>
                </w:r>
                <w:r>
                  <w:rPr>
                    <w:rFonts w:ascii="Calibri"/>
                    <w:sz w:val="18"/>
                  </w:rPr>
                </w:r>
              </w:p>
            </w:txbxContent>
          </v:textbox>
          <w10:wrap type="none"/>
        </v:shape>
      </w:pict>
    </w: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6.170013pt;margin-top:782.209961pt;width:36.950pt;height:11pt;mso-position-horizontal-relative:page;mso-position-vertical-relative:page;z-index:-131809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120 </w:t>
                </w:r>
                <w:r>
                  <w:rPr>
                    <w:rFonts w:ascii="Calibri"/>
                    <w:sz w:val="18"/>
                  </w:rPr>
                  <w:t>/</w:t>
                </w:r>
                <w:r>
                  <w:rPr>
                    <w:rFonts w:ascii="Calibri"/>
                    <w:spacing w:val="-5"/>
                    <w:sz w:val="18"/>
                  </w:rPr>
                  <w:t> </w:t>
                </w:r>
                <w:r>
                  <w:rPr>
                    <w:rFonts w:ascii="Calibri"/>
                    <w:b/>
                    <w:sz w:val="18"/>
                  </w:rPr>
                  <w:t>216</w:t>
                </w:r>
                <w:r>
                  <w:rPr>
                    <w:rFonts w:ascii="Calibri"/>
                    <w:sz w:val="18"/>
                  </w:rPr>
                </w:r>
              </w:p>
            </w:txbxContent>
          </v:textbox>
          <w10:wrap type="none"/>
        </v:shape>
      </w:pict>
    </w: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5.170013pt;margin-top:782.209961pt;width:37.950pt;height:11pt;mso-position-horizontal-relative:page;mso-position-vertical-relative:page;z-index:-131807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121</w:t>
                </w:r>
                <w:r>
                  <w:rPr/>
                  <w:fldChar w:fldCharType="end"/>
                </w:r>
                <w:r>
                  <w:rPr>
                    <w:rFonts w:ascii="Calibri"/>
                    <w:b/>
                    <w:sz w:val="18"/>
                  </w:rPr>
                  <w:t> </w:t>
                </w:r>
                <w:r>
                  <w:rPr>
                    <w:rFonts w:ascii="Calibri"/>
                    <w:sz w:val="18"/>
                  </w:rPr>
                  <w:t>/</w:t>
                </w:r>
                <w:r>
                  <w:rPr>
                    <w:rFonts w:ascii="Calibri"/>
                    <w:spacing w:val="-3"/>
                    <w:sz w:val="18"/>
                  </w:rPr>
                  <w:t> </w:t>
                </w:r>
                <w:r>
                  <w:rPr>
                    <w:rFonts w:ascii="Calibri"/>
                    <w:b/>
                    <w:sz w:val="18"/>
                  </w:rPr>
                  <w:t>216</w:t>
                </w:r>
                <w:r>
                  <w:rPr>
                    <w:rFonts w:ascii="Calibri"/>
                    <w:sz w:val="18"/>
                  </w:rPr>
                </w:r>
              </w:p>
            </w:txbxContent>
          </v:textbox>
          <w10:wrap type="none"/>
        </v:shape>
      </w:pict>
    </w:r>
  </w:p>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6.170013pt;margin-top:782.209961pt;width:36.950pt;height:11pt;mso-position-horizontal-relative:page;mso-position-vertical-relative:page;z-index:-131804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130 </w:t>
                </w:r>
                <w:r>
                  <w:rPr>
                    <w:rFonts w:ascii="Calibri"/>
                    <w:sz w:val="18"/>
                  </w:rPr>
                  <w:t>/</w:t>
                </w:r>
                <w:r>
                  <w:rPr>
                    <w:rFonts w:ascii="Calibri"/>
                    <w:spacing w:val="-5"/>
                    <w:sz w:val="18"/>
                  </w:rPr>
                  <w:t> </w:t>
                </w:r>
                <w:r>
                  <w:rPr>
                    <w:rFonts w:ascii="Calibri"/>
                    <w:b/>
                    <w:sz w:val="18"/>
                  </w:rPr>
                  <w:t>216</w:t>
                </w:r>
                <w:r>
                  <w:rPr>
                    <w:rFonts w:ascii="Calibri"/>
                    <w:sz w:val="18"/>
                  </w:rPr>
                </w:r>
              </w:p>
            </w:txbxContent>
          </v:textbox>
          <w10:wrap type="none"/>
        </v:shape>
      </w:pict>
    </w: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5.170013pt;margin-top:782.209961pt;width:37.950pt;height:11pt;mso-position-horizontal-relative:page;mso-position-vertical-relative:page;z-index:-131802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131</w:t>
                </w:r>
                <w:r>
                  <w:rPr/>
                  <w:fldChar w:fldCharType="end"/>
                </w:r>
                <w:r>
                  <w:rPr>
                    <w:rFonts w:ascii="Calibri"/>
                    <w:b/>
                    <w:sz w:val="18"/>
                  </w:rPr>
                  <w:t> </w:t>
                </w:r>
                <w:r>
                  <w:rPr>
                    <w:rFonts w:ascii="Calibri"/>
                    <w:sz w:val="18"/>
                  </w:rPr>
                  <w:t>/</w:t>
                </w:r>
                <w:r>
                  <w:rPr>
                    <w:rFonts w:ascii="Calibri"/>
                    <w:spacing w:val="-3"/>
                    <w:sz w:val="18"/>
                  </w:rPr>
                  <w:t> </w:t>
                </w:r>
                <w:r>
                  <w:rPr>
                    <w:rFonts w:ascii="Calibri"/>
                    <w:b/>
                    <w:sz w:val="18"/>
                  </w:rPr>
                  <w:t>216</w:t>
                </w:r>
                <w:r>
                  <w:rPr>
                    <w:rFonts w:ascii="Calibri"/>
                    <w:sz w:val="18"/>
                  </w:rPr>
                </w:r>
              </w:p>
            </w:txbxContent>
          </v:textbox>
          <w10:wrap type="none"/>
        </v:shape>
      </w:pict>
    </w: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5.170013pt;margin-top:782.209961pt;width:37.950pt;height:11pt;mso-position-horizontal-relative:page;mso-position-vertical-relative:page;z-index:-131788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138</w:t>
                </w:r>
                <w:r>
                  <w:rPr/>
                  <w:fldChar w:fldCharType="end"/>
                </w:r>
                <w:r>
                  <w:rPr>
                    <w:rFonts w:ascii="Calibri"/>
                    <w:b/>
                    <w:sz w:val="18"/>
                  </w:rPr>
                  <w:t> </w:t>
                </w:r>
                <w:r>
                  <w:rPr>
                    <w:rFonts w:ascii="Calibri"/>
                    <w:sz w:val="18"/>
                  </w:rPr>
                  <w:t>/</w:t>
                </w:r>
                <w:r>
                  <w:rPr>
                    <w:rFonts w:ascii="Calibri"/>
                    <w:spacing w:val="-3"/>
                    <w:sz w:val="18"/>
                  </w:rPr>
                  <w:t> </w:t>
                </w:r>
                <w:r>
                  <w:rPr>
                    <w:rFonts w:ascii="Calibri"/>
                    <w:b/>
                    <w:sz w:val="18"/>
                  </w:rPr>
                  <w:t>216</w:t>
                </w:r>
                <w:r>
                  <w:rPr>
                    <w:rFonts w:ascii="Calibri"/>
                    <w:sz w:val="18"/>
                  </w:rPr>
                </w:r>
              </w:p>
            </w:txbxContent>
          </v:textbox>
          <w10:wrap type="none"/>
        </v:shape>
      </w:pict>
    </w: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6.170013pt;margin-top:782.209961pt;width:36.950pt;height:11pt;mso-position-horizontal-relative:page;mso-position-vertical-relative:page;z-index:-131785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140 </w:t>
                </w:r>
                <w:r>
                  <w:rPr>
                    <w:rFonts w:ascii="Calibri"/>
                    <w:sz w:val="18"/>
                  </w:rPr>
                  <w:t>/</w:t>
                </w:r>
                <w:r>
                  <w:rPr>
                    <w:rFonts w:ascii="Calibri"/>
                    <w:spacing w:val="-5"/>
                    <w:sz w:val="18"/>
                  </w:rPr>
                  <w:t> </w:t>
                </w:r>
                <w:r>
                  <w:rPr>
                    <w:rFonts w:ascii="Calibri"/>
                    <w:b/>
                    <w:sz w:val="18"/>
                  </w:rPr>
                  <w:t>216</w:t>
                </w:r>
                <w:r>
                  <w:rPr>
                    <w:rFonts w:ascii="Calibri"/>
                    <w:sz w:val="18"/>
                  </w:rPr>
                </w:r>
              </w:p>
            </w:txbxContent>
          </v:textbox>
          <w10:wrap type="none"/>
        </v:shape>
      </w:pict>
    </w: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5.170013pt;margin-top:782.209961pt;width:37.950pt;height:11pt;mso-position-horizontal-relative:page;mso-position-vertical-relative:page;z-index:-131783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141</w:t>
                </w:r>
                <w:r>
                  <w:rPr/>
                  <w:fldChar w:fldCharType="end"/>
                </w:r>
                <w:r>
                  <w:rPr>
                    <w:rFonts w:ascii="Calibri"/>
                    <w:b/>
                    <w:sz w:val="18"/>
                  </w:rPr>
                  <w:t> </w:t>
                </w:r>
                <w:r>
                  <w:rPr>
                    <w:rFonts w:ascii="Calibri"/>
                    <w:sz w:val="18"/>
                  </w:rPr>
                  <w:t>/</w:t>
                </w:r>
                <w:r>
                  <w:rPr>
                    <w:rFonts w:ascii="Calibri"/>
                    <w:spacing w:val="-3"/>
                    <w:sz w:val="18"/>
                  </w:rPr>
                  <w:t> </w:t>
                </w:r>
                <w:r>
                  <w:rPr>
                    <w:rFonts w:ascii="Calibri"/>
                    <w:b/>
                    <w:sz w:val="18"/>
                  </w:rPr>
                  <w:t>216</w:t>
                </w:r>
                <w:r>
                  <w:rPr>
                    <w:rFonts w:ascii="Calibri"/>
                    <w:sz w:val="18"/>
                  </w:rPr>
                </w:r>
              </w:p>
            </w:txbxContent>
          </v:textbox>
          <w10:wrap type="none"/>
        </v:shape>
      </w:pict>
    </w:r>
  </w:p>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0.529999pt;margin-top:782.209961pt;width:33.4pt;height:11pt;mso-position-horizontal-relative:page;mso-position-vertical-relative:page;z-index:-131934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11</w:t>
                </w:r>
                <w:r>
                  <w:rPr/>
                  <w:fldChar w:fldCharType="end"/>
                </w:r>
                <w:r>
                  <w:rPr>
                    <w:rFonts w:ascii="Calibri"/>
                    <w:b/>
                    <w:sz w:val="18"/>
                  </w:rPr>
                  <w:t> </w:t>
                </w:r>
                <w:r>
                  <w:rPr>
                    <w:rFonts w:ascii="Calibri"/>
                    <w:sz w:val="18"/>
                  </w:rPr>
                  <w:t>/</w:t>
                </w:r>
                <w:r>
                  <w:rPr>
                    <w:rFonts w:ascii="Calibri"/>
                    <w:spacing w:val="-3"/>
                    <w:sz w:val="18"/>
                  </w:rPr>
                  <w:t> </w:t>
                </w:r>
                <w:r>
                  <w:rPr>
                    <w:rFonts w:ascii="Calibri"/>
                    <w:b/>
                    <w:sz w:val="18"/>
                  </w:rPr>
                  <w:t>216</w:t>
                </w:r>
                <w:r>
                  <w:rPr>
                    <w:rFonts w:ascii="Calibri"/>
                    <w:sz w:val="18"/>
                  </w:rPr>
                </w:r>
              </w:p>
            </w:txbxContent>
          </v:textbox>
          <w10:wrap type="none"/>
        </v:shape>
      </w:pict>
    </w:r>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3.529999pt;margin-top:535.585999pt;width:37.950pt;height:11pt;mso-position-horizontal-relative:page;mso-position-vertical-relative:page;z-index:-131773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14</w:t>
                </w:r>
                <w:r>
                  <w:rPr/>
                  <w:fldChar w:fldCharType="end"/>
                </w:r>
                <w:r>
                  <w:rPr>
                    <w:rFonts w:ascii="Calibri"/>
                    <w:b/>
                    <w:sz w:val="18"/>
                  </w:rPr>
                  <w:t>9 </w:t>
                </w:r>
                <w:r>
                  <w:rPr>
                    <w:rFonts w:ascii="Calibri"/>
                    <w:sz w:val="18"/>
                  </w:rPr>
                  <w:t>/</w:t>
                </w:r>
                <w:r>
                  <w:rPr>
                    <w:rFonts w:ascii="Calibri"/>
                    <w:spacing w:val="-3"/>
                    <w:sz w:val="18"/>
                  </w:rPr>
                  <w:t> </w:t>
                </w:r>
                <w:r>
                  <w:rPr>
                    <w:rFonts w:ascii="Calibri"/>
                    <w:b/>
                    <w:sz w:val="18"/>
                  </w:rPr>
                  <w:t>216</w:t>
                </w:r>
                <w:r>
                  <w:rPr>
                    <w:rFonts w:ascii="Calibri"/>
                    <w:sz w:val="18"/>
                  </w:rPr>
                </w:r>
              </w:p>
            </w:txbxContent>
          </v:textbox>
          <w10:wrap type="none"/>
        </v:shape>
      </w:pict>
    </w:r>
  </w:p>
</w:ftr>
</file>

<file path=word/footer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5.170013pt;margin-top:782.209961pt;width:37.950pt;height:11pt;mso-position-horizontal-relative:page;mso-position-vertical-relative:page;z-index:-131764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153</w:t>
                </w:r>
                <w:r>
                  <w:rPr/>
                  <w:fldChar w:fldCharType="end"/>
                </w:r>
                <w:r>
                  <w:rPr>
                    <w:rFonts w:ascii="Calibri"/>
                    <w:b/>
                    <w:sz w:val="18"/>
                  </w:rPr>
                  <w:t> </w:t>
                </w:r>
                <w:r>
                  <w:rPr>
                    <w:rFonts w:ascii="Calibri"/>
                    <w:sz w:val="18"/>
                  </w:rPr>
                  <w:t>/</w:t>
                </w:r>
                <w:r>
                  <w:rPr>
                    <w:rFonts w:ascii="Calibri"/>
                    <w:spacing w:val="-3"/>
                    <w:sz w:val="18"/>
                  </w:rPr>
                  <w:t> </w:t>
                </w:r>
                <w:r>
                  <w:rPr>
                    <w:rFonts w:ascii="Calibri"/>
                    <w:b/>
                    <w:sz w:val="18"/>
                  </w:rPr>
                  <w:t>216</w:t>
                </w:r>
                <w:r>
                  <w:rPr>
                    <w:rFonts w:ascii="Calibri"/>
                    <w:sz w:val="18"/>
                  </w:rPr>
                </w:r>
              </w:p>
            </w:txbxContent>
          </v:textbox>
          <w10:wrap type="none"/>
        </v:shape>
      </w:pict>
    </w:r>
  </w:p>
</w:ftr>
</file>

<file path=word/footer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6.170013pt;margin-top:782.209961pt;width:36.950pt;height:11pt;mso-position-horizontal-relative:page;mso-position-vertical-relative:page;z-index:-131761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160 </w:t>
                </w:r>
                <w:r>
                  <w:rPr>
                    <w:rFonts w:ascii="Calibri"/>
                    <w:sz w:val="18"/>
                  </w:rPr>
                  <w:t>/</w:t>
                </w:r>
                <w:r>
                  <w:rPr>
                    <w:rFonts w:ascii="Calibri"/>
                    <w:spacing w:val="-5"/>
                    <w:sz w:val="18"/>
                  </w:rPr>
                  <w:t> </w:t>
                </w:r>
                <w:r>
                  <w:rPr>
                    <w:rFonts w:ascii="Calibri"/>
                    <w:b/>
                    <w:sz w:val="18"/>
                  </w:rPr>
                  <w:t>216</w:t>
                </w:r>
                <w:r>
                  <w:rPr>
                    <w:rFonts w:ascii="Calibri"/>
                    <w:sz w:val="18"/>
                  </w:rPr>
                </w:r>
              </w:p>
            </w:txbxContent>
          </v:textbox>
          <w10:wrap type="none"/>
        </v:shape>
      </w:pict>
    </w:r>
  </w:p>
</w:ftr>
</file>

<file path=word/footer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5.170013pt;margin-top:782.209961pt;width:37.950pt;height:11pt;mso-position-horizontal-relative:page;mso-position-vertical-relative:page;z-index:-131759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161</w:t>
                </w:r>
                <w:r>
                  <w:rPr/>
                  <w:fldChar w:fldCharType="end"/>
                </w:r>
                <w:r>
                  <w:rPr>
                    <w:rFonts w:ascii="Calibri"/>
                    <w:b/>
                    <w:sz w:val="18"/>
                  </w:rPr>
                  <w:t> </w:t>
                </w:r>
                <w:r>
                  <w:rPr>
                    <w:rFonts w:ascii="Calibri"/>
                    <w:sz w:val="18"/>
                  </w:rPr>
                  <w:t>/</w:t>
                </w:r>
                <w:r>
                  <w:rPr>
                    <w:rFonts w:ascii="Calibri"/>
                    <w:spacing w:val="-3"/>
                    <w:sz w:val="18"/>
                  </w:rPr>
                  <w:t> </w:t>
                </w:r>
                <w:r>
                  <w:rPr>
                    <w:rFonts w:ascii="Calibri"/>
                    <w:b/>
                    <w:sz w:val="18"/>
                  </w:rPr>
                  <w:t>216</w:t>
                </w:r>
                <w:r>
                  <w:rPr>
                    <w:rFonts w:ascii="Calibri"/>
                    <w:sz w:val="18"/>
                  </w:rPr>
                </w:r>
              </w:p>
            </w:txbxContent>
          </v:textbox>
          <w10:wrap type="none"/>
        </v:shape>
      </w:pict>
    </w:r>
  </w:p>
</w:ftr>
</file>

<file path=word/footer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5.170013pt;margin-top:782.209961pt;width:37.950pt;height:11pt;mso-position-horizontal-relative:page;mso-position-vertical-relative:page;z-index:-131756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164</w:t>
                </w:r>
                <w:r>
                  <w:rPr/>
                  <w:fldChar w:fldCharType="end"/>
                </w:r>
                <w:r>
                  <w:rPr>
                    <w:rFonts w:ascii="Calibri"/>
                    <w:b/>
                    <w:sz w:val="18"/>
                  </w:rPr>
                  <w:t> </w:t>
                </w:r>
                <w:r>
                  <w:rPr>
                    <w:rFonts w:ascii="Calibri"/>
                    <w:sz w:val="18"/>
                  </w:rPr>
                  <w:t>/</w:t>
                </w:r>
                <w:r>
                  <w:rPr>
                    <w:rFonts w:ascii="Calibri"/>
                    <w:spacing w:val="-3"/>
                    <w:sz w:val="18"/>
                  </w:rPr>
                  <w:t> </w:t>
                </w:r>
                <w:r>
                  <w:rPr>
                    <w:rFonts w:ascii="Calibri"/>
                    <w:b/>
                    <w:sz w:val="18"/>
                  </w:rPr>
                  <w:t>216</w:t>
                </w:r>
                <w:r>
                  <w:rPr>
                    <w:rFonts w:ascii="Calibri"/>
                    <w:sz w:val="18"/>
                  </w:rPr>
                </w:r>
              </w:p>
            </w:txbxContent>
          </v:textbox>
          <w10:wrap type="none"/>
        </v:shape>
      </w:pict>
    </w:r>
  </w:p>
</w:ftr>
</file>

<file path=word/footer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1.529999pt;margin-top:782.209961pt;width:32.4pt;height:11pt;mso-position-horizontal-relative:page;mso-position-vertical-relative:page;z-index:-131932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20 </w:t>
                </w:r>
                <w:r>
                  <w:rPr>
                    <w:rFonts w:ascii="Calibri"/>
                    <w:sz w:val="18"/>
                  </w:rPr>
                  <w:t>/</w:t>
                </w:r>
                <w:r>
                  <w:rPr>
                    <w:rFonts w:ascii="Calibri"/>
                    <w:spacing w:val="-4"/>
                    <w:sz w:val="18"/>
                  </w:rPr>
                  <w:t> </w:t>
                </w:r>
                <w:r>
                  <w:rPr>
                    <w:rFonts w:ascii="Calibri"/>
                    <w:b/>
                    <w:sz w:val="18"/>
                  </w:rPr>
                  <w:t>216</w:t>
                </w:r>
                <w:r>
                  <w:rPr>
                    <w:rFonts w:ascii="Calibri"/>
                    <w:sz w:val="18"/>
                  </w:rPr>
                </w:r>
              </w:p>
            </w:txbxContent>
          </v:textbox>
          <w10:wrap type="none"/>
        </v:shape>
      </w:pict>
    </w:r>
  </w:p>
</w:ftr>
</file>

<file path=word/footer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5.170013pt;margin-top:782.209961pt;width:37.950pt;height:11pt;mso-position-horizontal-relative:page;mso-position-vertical-relative:page;z-index:-131747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16</w:t>
                </w:r>
                <w:r>
                  <w:rPr/>
                  <w:fldChar w:fldCharType="end"/>
                </w:r>
                <w:r>
                  <w:rPr>
                    <w:rFonts w:ascii="Calibri"/>
                    <w:b/>
                    <w:sz w:val="18"/>
                  </w:rPr>
                  <w:t>9 </w:t>
                </w:r>
                <w:r>
                  <w:rPr>
                    <w:rFonts w:ascii="Calibri"/>
                    <w:sz w:val="18"/>
                  </w:rPr>
                  <w:t>/</w:t>
                </w:r>
                <w:r>
                  <w:rPr>
                    <w:rFonts w:ascii="Calibri"/>
                    <w:spacing w:val="-3"/>
                    <w:sz w:val="18"/>
                  </w:rPr>
                  <w:t> </w:t>
                </w:r>
                <w:r>
                  <w:rPr>
                    <w:rFonts w:ascii="Calibri"/>
                    <w:b/>
                    <w:sz w:val="18"/>
                  </w:rPr>
                  <w:t>216</w:t>
                </w:r>
                <w:r>
                  <w:rPr>
                    <w:rFonts w:ascii="Calibri"/>
                    <w:sz w:val="18"/>
                  </w:rPr>
                </w:r>
              </w:p>
            </w:txbxContent>
          </v:textbox>
          <w10:wrap type="none"/>
        </v:shape>
      </w:pict>
    </w:r>
  </w:p>
</w:ftr>
</file>

<file path=word/footer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5.170013pt;margin-top:782.209961pt;width:37.950pt;height:11pt;mso-position-horizontal-relative:page;mso-position-vertical-relative:page;z-index:-131744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171</w:t>
                </w:r>
                <w:r>
                  <w:rPr/>
                  <w:fldChar w:fldCharType="end"/>
                </w:r>
                <w:r>
                  <w:rPr>
                    <w:rFonts w:ascii="Calibri"/>
                    <w:b/>
                    <w:sz w:val="18"/>
                  </w:rPr>
                  <w:t> </w:t>
                </w:r>
                <w:r>
                  <w:rPr>
                    <w:rFonts w:ascii="Calibri"/>
                    <w:sz w:val="18"/>
                  </w:rPr>
                  <w:t>/</w:t>
                </w:r>
                <w:r>
                  <w:rPr>
                    <w:rFonts w:ascii="Calibri"/>
                    <w:spacing w:val="-3"/>
                    <w:sz w:val="18"/>
                  </w:rPr>
                  <w:t> </w:t>
                </w:r>
                <w:r>
                  <w:rPr>
                    <w:rFonts w:ascii="Calibri"/>
                    <w:b/>
                    <w:sz w:val="18"/>
                  </w:rPr>
                  <w:t>216</w:t>
                </w:r>
                <w:r>
                  <w:rPr>
                    <w:rFonts w:ascii="Calibri"/>
                    <w:sz w:val="18"/>
                  </w:rPr>
                </w:r>
              </w:p>
            </w:txbxContent>
          </v:textbox>
          <w10:wrap type="none"/>
        </v:shape>
      </w:pict>
    </w:r>
  </w:p>
</w:ftr>
</file>

<file path=word/footer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6.170013pt;margin-top:782.209961pt;width:36.950pt;height:11pt;mso-position-horizontal-relative:page;mso-position-vertical-relative:page;z-index:-131742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180 </w:t>
                </w:r>
                <w:r>
                  <w:rPr>
                    <w:rFonts w:ascii="Calibri"/>
                    <w:sz w:val="18"/>
                  </w:rPr>
                  <w:t>/</w:t>
                </w:r>
                <w:r>
                  <w:rPr>
                    <w:rFonts w:ascii="Calibri"/>
                    <w:spacing w:val="-5"/>
                    <w:sz w:val="18"/>
                  </w:rPr>
                  <w:t> </w:t>
                </w:r>
                <w:r>
                  <w:rPr>
                    <w:rFonts w:ascii="Calibri"/>
                    <w:b/>
                    <w:sz w:val="18"/>
                  </w:rPr>
                  <w:t>216</w:t>
                </w:r>
                <w:r>
                  <w:rPr>
                    <w:rFonts w:ascii="Calibri"/>
                    <w:sz w:val="18"/>
                  </w:rPr>
                </w:r>
              </w:p>
            </w:txbxContent>
          </v:textbox>
          <w10:wrap type="none"/>
        </v:shape>
      </w:pict>
    </w:r>
  </w:p>
</w:ftr>
</file>

<file path=word/footer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5.170013pt;margin-top:782.209961pt;width:37.950pt;height:11pt;mso-position-horizontal-relative:page;mso-position-vertical-relative:page;z-index:-131740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181</w:t>
                </w:r>
                <w:r>
                  <w:rPr/>
                  <w:fldChar w:fldCharType="end"/>
                </w:r>
                <w:r>
                  <w:rPr>
                    <w:rFonts w:ascii="Calibri"/>
                    <w:b/>
                    <w:sz w:val="18"/>
                  </w:rPr>
                  <w:t> </w:t>
                </w:r>
                <w:r>
                  <w:rPr>
                    <w:rFonts w:ascii="Calibri"/>
                    <w:sz w:val="18"/>
                  </w:rPr>
                  <w:t>/</w:t>
                </w:r>
                <w:r>
                  <w:rPr>
                    <w:rFonts w:ascii="Calibri"/>
                    <w:spacing w:val="-3"/>
                    <w:sz w:val="18"/>
                  </w:rPr>
                  <w:t> </w:t>
                </w:r>
                <w:r>
                  <w:rPr>
                    <w:rFonts w:ascii="Calibri"/>
                    <w:b/>
                    <w:sz w:val="18"/>
                  </w:rPr>
                  <w:t>216</w:t>
                </w:r>
                <w:r>
                  <w:rPr>
                    <w:rFonts w:ascii="Calibri"/>
                    <w:sz w:val="18"/>
                  </w:rPr>
                </w:r>
              </w:p>
            </w:txbxContent>
          </v:textbox>
          <w10:wrap type="none"/>
        </v:shape>
      </w:pict>
    </w:r>
  </w:p>
</w:ftr>
</file>

<file path=word/footer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82.209961pt;width:37.950pt;height:11pt;mso-position-horizontal-relative:page;mso-position-vertical-relative:page;z-index:-131723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185</w:t>
                </w:r>
                <w:r>
                  <w:rPr/>
                  <w:fldChar w:fldCharType="end"/>
                </w:r>
                <w:r>
                  <w:rPr>
                    <w:rFonts w:ascii="Calibri"/>
                    <w:b/>
                    <w:sz w:val="18"/>
                  </w:rPr>
                  <w:t> </w:t>
                </w:r>
                <w:r>
                  <w:rPr>
                    <w:rFonts w:ascii="Calibri"/>
                    <w:sz w:val="18"/>
                  </w:rPr>
                  <w:t>/</w:t>
                </w:r>
                <w:r>
                  <w:rPr>
                    <w:rFonts w:ascii="Calibri"/>
                    <w:spacing w:val="-3"/>
                    <w:sz w:val="18"/>
                  </w:rPr>
                  <w:t> </w:t>
                </w:r>
                <w:r>
                  <w:rPr>
                    <w:rFonts w:ascii="Calibri"/>
                    <w:b/>
                    <w:sz w:val="18"/>
                  </w:rPr>
                  <w:t>216</w:t>
                </w:r>
                <w:r>
                  <w:rPr>
                    <w:rFonts w:ascii="Calibri"/>
                    <w:sz w:val="18"/>
                  </w:rPr>
                </w:r>
              </w:p>
            </w:txbxContent>
          </v:textbox>
          <w10:wrap type="none"/>
        </v:shape>
      </w:pict>
    </w:r>
  </w:p>
</w:ftr>
</file>

<file path=word/footer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82.209961pt;width:36.950pt;height:11pt;mso-position-horizontal-relative:page;mso-position-vertical-relative:page;z-index:-131720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190 </w:t>
                </w:r>
                <w:r>
                  <w:rPr>
                    <w:rFonts w:ascii="Calibri"/>
                    <w:sz w:val="18"/>
                  </w:rPr>
                  <w:t>/</w:t>
                </w:r>
                <w:r>
                  <w:rPr>
                    <w:rFonts w:ascii="Calibri"/>
                    <w:spacing w:val="-5"/>
                    <w:sz w:val="18"/>
                  </w:rPr>
                  <w:t> </w:t>
                </w:r>
                <w:r>
                  <w:rPr>
                    <w:rFonts w:ascii="Calibri"/>
                    <w:b/>
                    <w:sz w:val="18"/>
                  </w:rPr>
                  <w:t>216</w:t>
                </w:r>
                <w:r>
                  <w:rPr>
                    <w:rFonts w:ascii="Calibri"/>
                    <w:sz w:val="18"/>
                  </w:rPr>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0.529999pt;margin-top:782.209961pt;width:33.4pt;height:11pt;mso-position-horizontal-relative:page;mso-position-vertical-relative:page;z-index:-131929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21</w:t>
                </w:r>
                <w:r>
                  <w:rPr/>
                  <w:fldChar w:fldCharType="end"/>
                </w:r>
                <w:r>
                  <w:rPr>
                    <w:rFonts w:ascii="Calibri"/>
                    <w:b/>
                    <w:sz w:val="18"/>
                  </w:rPr>
                  <w:t> </w:t>
                </w:r>
                <w:r>
                  <w:rPr>
                    <w:rFonts w:ascii="Calibri"/>
                    <w:sz w:val="18"/>
                  </w:rPr>
                  <w:t>/</w:t>
                </w:r>
                <w:r>
                  <w:rPr>
                    <w:rFonts w:ascii="Calibri"/>
                    <w:spacing w:val="-3"/>
                    <w:sz w:val="18"/>
                  </w:rPr>
                  <w:t> </w:t>
                </w:r>
                <w:r>
                  <w:rPr>
                    <w:rFonts w:ascii="Calibri"/>
                    <w:b/>
                    <w:sz w:val="18"/>
                  </w:rPr>
                  <w:t>216</w:t>
                </w:r>
                <w:r>
                  <w:rPr>
                    <w:rFonts w:ascii="Calibri"/>
                    <w:sz w:val="18"/>
                  </w:rPr>
                </w:r>
              </w:p>
            </w:txbxContent>
          </v:textbox>
          <w10:wrap type="none"/>
        </v:shape>
      </w:pict>
    </w:r>
  </w:p>
</w:ftr>
</file>

<file path=word/footer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82.209961pt;width:37.950pt;height:11pt;mso-position-horizontal-relative:page;mso-position-vertical-relative:page;z-index:-131718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191</w:t>
                </w:r>
                <w:r>
                  <w:rPr/>
                  <w:fldChar w:fldCharType="end"/>
                </w:r>
                <w:r>
                  <w:rPr>
                    <w:rFonts w:ascii="Calibri"/>
                    <w:b/>
                    <w:sz w:val="18"/>
                  </w:rPr>
                  <w:t> </w:t>
                </w:r>
                <w:r>
                  <w:rPr>
                    <w:rFonts w:ascii="Calibri"/>
                    <w:sz w:val="18"/>
                  </w:rPr>
                  <w:t>/</w:t>
                </w:r>
                <w:r>
                  <w:rPr>
                    <w:rFonts w:ascii="Calibri"/>
                    <w:spacing w:val="-3"/>
                    <w:sz w:val="18"/>
                  </w:rPr>
                  <w:t> </w:t>
                </w:r>
                <w:r>
                  <w:rPr>
                    <w:rFonts w:ascii="Calibri"/>
                    <w:b/>
                    <w:sz w:val="18"/>
                  </w:rPr>
                  <w:t>216</w:t>
                </w:r>
                <w:r>
                  <w:rPr>
                    <w:rFonts w:ascii="Calibri"/>
                    <w:sz w:val="18"/>
                  </w:rPr>
                </w:r>
              </w:p>
            </w:txbxContent>
          </v:textbox>
          <w10:wrap type="none"/>
        </v:shape>
      </w:pict>
    </w:r>
  </w:p>
</w:ftr>
</file>

<file path=word/footer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82.209961pt;width:36.950pt;height:11pt;mso-position-horizontal-relative:page;mso-position-vertical-relative:page;z-index:-131716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200 </w:t>
                </w:r>
                <w:r>
                  <w:rPr>
                    <w:rFonts w:ascii="Calibri"/>
                    <w:sz w:val="18"/>
                  </w:rPr>
                  <w:t>/</w:t>
                </w:r>
                <w:r>
                  <w:rPr>
                    <w:rFonts w:ascii="Calibri"/>
                    <w:spacing w:val="-5"/>
                    <w:sz w:val="18"/>
                  </w:rPr>
                  <w:t> </w:t>
                </w:r>
                <w:r>
                  <w:rPr>
                    <w:rFonts w:ascii="Calibri"/>
                    <w:b/>
                    <w:sz w:val="18"/>
                  </w:rPr>
                  <w:t>216</w:t>
                </w:r>
                <w:r>
                  <w:rPr>
                    <w:rFonts w:ascii="Calibri"/>
                    <w:sz w:val="18"/>
                  </w:rPr>
                </w:r>
              </w:p>
            </w:txbxContent>
          </v:textbox>
          <w10:wrap type="none"/>
        </v:shape>
      </w:pict>
    </w:r>
  </w:p>
</w:ftr>
</file>

<file path=word/footer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82.209961pt;width:37.950pt;height:11pt;mso-position-horizontal-relative:page;mso-position-vertical-relative:page;z-index:-131713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201</w:t>
                </w:r>
                <w:r>
                  <w:rPr/>
                  <w:fldChar w:fldCharType="end"/>
                </w:r>
                <w:r>
                  <w:rPr>
                    <w:rFonts w:ascii="Calibri"/>
                    <w:b/>
                    <w:sz w:val="18"/>
                  </w:rPr>
                  <w:t> </w:t>
                </w:r>
                <w:r>
                  <w:rPr>
                    <w:rFonts w:ascii="Calibri"/>
                    <w:sz w:val="18"/>
                  </w:rPr>
                  <w:t>/</w:t>
                </w:r>
                <w:r>
                  <w:rPr>
                    <w:rFonts w:ascii="Calibri"/>
                    <w:spacing w:val="-3"/>
                    <w:sz w:val="18"/>
                  </w:rPr>
                  <w:t> </w:t>
                </w:r>
                <w:r>
                  <w:rPr>
                    <w:rFonts w:ascii="Calibri"/>
                    <w:b/>
                    <w:sz w:val="18"/>
                  </w:rPr>
                  <w:t>216</w:t>
                </w:r>
                <w:r>
                  <w:rPr>
                    <w:rFonts w:ascii="Calibri"/>
                    <w:sz w:val="18"/>
                  </w:rPr>
                </w:r>
              </w:p>
            </w:txbxContent>
          </v:textbox>
          <w10:wrap type="none"/>
        </v:shape>
      </w:pict>
    </w:r>
  </w:p>
</w:ftr>
</file>

<file path=word/footer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78.25pt;margin-top:782.209961pt;width:37.950pt;height:11pt;mso-position-horizontal-relative:page;mso-position-vertical-relative:page;z-index:-131706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206</w:t>
                </w:r>
                <w:r>
                  <w:rPr/>
                  <w:fldChar w:fldCharType="end"/>
                </w:r>
                <w:r>
                  <w:rPr>
                    <w:rFonts w:ascii="Calibri"/>
                    <w:b/>
                    <w:sz w:val="18"/>
                  </w:rPr>
                  <w:t> </w:t>
                </w:r>
                <w:r>
                  <w:rPr>
                    <w:rFonts w:ascii="Calibri"/>
                    <w:sz w:val="18"/>
                  </w:rPr>
                  <w:t>/</w:t>
                </w:r>
                <w:r>
                  <w:rPr>
                    <w:rFonts w:ascii="Calibri"/>
                    <w:spacing w:val="-3"/>
                    <w:sz w:val="18"/>
                  </w:rPr>
                  <w:t> </w:t>
                </w:r>
                <w:r>
                  <w:rPr>
                    <w:rFonts w:ascii="Calibri"/>
                    <w:b/>
                    <w:sz w:val="18"/>
                  </w:rPr>
                  <w:t>216</w:t>
                </w:r>
                <w:r>
                  <w:rPr>
                    <w:rFonts w:ascii="Calibri"/>
                    <w:sz w:val="18"/>
                  </w:rPr>
                </w:r>
              </w:p>
            </w:txbxContent>
          </v:textbox>
          <w10:wrap type="none"/>
        </v:shape>
      </w:pict>
    </w:r>
  </w:p>
</w:ftr>
</file>

<file path=word/footer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79.25pt;margin-top:782.209961pt;width:36.950pt;height:11pt;mso-position-horizontal-relative:page;mso-position-vertical-relative:page;z-index:-131696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210 </w:t>
                </w:r>
                <w:r>
                  <w:rPr>
                    <w:rFonts w:ascii="Calibri"/>
                    <w:sz w:val="18"/>
                  </w:rPr>
                  <w:t>/</w:t>
                </w:r>
                <w:r>
                  <w:rPr>
                    <w:rFonts w:ascii="Calibri"/>
                    <w:spacing w:val="-5"/>
                    <w:sz w:val="18"/>
                  </w:rPr>
                  <w:t> </w:t>
                </w:r>
                <w:r>
                  <w:rPr>
                    <w:rFonts w:ascii="Calibri"/>
                    <w:b/>
                    <w:sz w:val="18"/>
                  </w:rPr>
                  <w:t>216</w:t>
                </w:r>
                <w:r>
                  <w:rPr>
                    <w:rFonts w:ascii="Calibri"/>
                    <w:sz w:val="18"/>
                  </w:rPr>
                </w:r>
              </w:p>
            </w:txbxContent>
          </v:textbox>
          <w10:wrap type="none"/>
        </v:shape>
      </w:pict>
    </w:r>
  </w:p>
</w:ftr>
</file>

<file path=word/footer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79.25pt;margin-top:782.209961pt;width:36.950pt;height:11pt;mso-position-horizontal-relative:page;mso-position-vertical-relative:page;z-index:-131694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211 </w:t>
                </w:r>
                <w:r>
                  <w:rPr>
                    <w:rFonts w:ascii="Calibri"/>
                    <w:sz w:val="18"/>
                  </w:rPr>
                  <w:t>/</w:t>
                </w:r>
                <w:r>
                  <w:rPr>
                    <w:rFonts w:ascii="Calibri"/>
                    <w:spacing w:val="-5"/>
                    <w:sz w:val="18"/>
                  </w:rPr>
                  <w:t> </w:t>
                </w:r>
                <w:r>
                  <w:rPr>
                    <w:rFonts w:ascii="Calibri"/>
                    <w:b/>
                    <w:sz w:val="18"/>
                  </w:rPr>
                  <w:t>216</w:t>
                </w:r>
                <w:r>
                  <w:rPr>
                    <w:rFonts w:ascii="Calibri"/>
                    <w:sz w:val="18"/>
                  </w:rPr>
                </w:r>
              </w:p>
            </w:txbxContent>
          </v:textbox>
          <w10:wrap type="none"/>
        </v:shape>
      </w:pict>
    </w:r>
  </w:p>
</w:ftr>
</file>

<file path=word/footer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82.209961pt;width:37.950pt;height:11pt;mso-position-horizontal-relative:page;mso-position-vertical-relative:page;z-index:-131687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213</w:t>
                </w:r>
                <w:r>
                  <w:rPr/>
                  <w:fldChar w:fldCharType="end"/>
                </w:r>
                <w:r>
                  <w:rPr>
                    <w:rFonts w:ascii="Calibri"/>
                    <w:b/>
                    <w:sz w:val="18"/>
                  </w:rPr>
                  <w:t> </w:t>
                </w:r>
                <w:r>
                  <w:rPr>
                    <w:rFonts w:ascii="Calibri"/>
                    <w:sz w:val="18"/>
                  </w:rPr>
                  <w:t>/</w:t>
                </w:r>
                <w:r>
                  <w:rPr>
                    <w:rFonts w:ascii="Calibri"/>
                    <w:spacing w:val="-3"/>
                    <w:sz w:val="18"/>
                  </w:rPr>
                  <w:t> </w:t>
                </w:r>
                <w:r>
                  <w:rPr>
                    <w:rFonts w:ascii="Calibri"/>
                    <w:b/>
                    <w:sz w:val="18"/>
                  </w:rPr>
                  <w:t>216</w:t>
                </w:r>
                <w:r>
                  <w:rPr>
                    <w:rFonts w:ascii="Calibri"/>
                    <w:sz w:val="18"/>
                  </w:rPr>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82.209961pt;width:32.4pt;height:11pt;mso-position-horizontal-relative:page;mso-position-vertical-relative:page;z-index:-131922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30 </w:t>
                </w:r>
                <w:r>
                  <w:rPr>
                    <w:rFonts w:ascii="Calibri"/>
                    <w:sz w:val="18"/>
                  </w:rPr>
                  <w:t>/</w:t>
                </w:r>
                <w:r>
                  <w:rPr>
                    <w:rFonts w:ascii="Calibri"/>
                    <w:spacing w:val="-4"/>
                    <w:sz w:val="18"/>
                  </w:rPr>
                  <w:t> </w:t>
                </w:r>
                <w:r>
                  <w:rPr>
                    <w:rFonts w:ascii="Calibri"/>
                    <w:b/>
                    <w:sz w:val="18"/>
                  </w:rPr>
                  <w:t>216</w:t>
                </w:r>
                <w:r>
                  <w:rPr>
                    <w:rFonts w:ascii="Calibri"/>
                    <w:sz w:val="18"/>
                  </w:rPr>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82.209961pt;width:32.4pt;height:11pt;mso-position-horizontal-relative:page;mso-position-vertical-relative:page;z-index:-131912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31 </w:t>
                </w:r>
                <w:r>
                  <w:rPr>
                    <w:rFonts w:ascii="Calibri"/>
                    <w:sz w:val="18"/>
                  </w:rPr>
                  <w:t>/</w:t>
                </w:r>
                <w:r>
                  <w:rPr>
                    <w:rFonts w:ascii="Calibri"/>
                    <w:spacing w:val="-4"/>
                    <w:sz w:val="18"/>
                  </w:rPr>
                  <w:t> </w:t>
                </w:r>
                <w:r>
                  <w:rPr>
                    <w:rFonts w:ascii="Calibri"/>
                    <w:b/>
                    <w:sz w:val="18"/>
                  </w:rPr>
                  <w:t>216</w:t>
                </w:r>
                <w:r>
                  <w:rPr>
                    <w:rFonts w:ascii="Calibri"/>
                    <w:sz w:val="18"/>
                  </w:rPr>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5.809998pt;margin-top:535.585999pt;width:33.4pt;height:11pt;mso-position-horizontal-relative:page;mso-position-vertical-relative:page;z-index:-131903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32</w:t>
                </w:r>
                <w:r>
                  <w:rPr/>
                  <w:fldChar w:fldCharType="end"/>
                </w:r>
                <w:r>
                  <w:rPr>
                    <w:rFonts w:ascii="Calibri"/>
                    <w:b/>
                    <w:sz w:val="18"/>
                  </w:rPr>
                  <w:t> </w:t>
                </w:r>
                <w:r>
                  <w:rPr>
                    <w:rFonts w:ascii="Calibri"/>
                    <w:sz w:val="18"/>
                  </w:rPr>
                  <w:t>/</w:t>
                </w:r>
                <w:r>
                  <w:rPr>
                    <w:rFonts w:ascii="Calibri"/>
                    <w:spacing w:val="-3"/>
                    <w:sz w:val="18"/>
                  </w:rPr>
                  <w:t> </w:t>
                </w:r>
                <w:r>
                  <w:rPr>
                    <w:rFonts w:ascii="Calibri"/>
                    <w:b/>
                    <w:sz w:val="18"/>
                  </w:rPr>
                  <w:t>216</w:t>
                </w:r>
                <w:r>
                  <w:rPr>
                    <w:rFonts w:ascii="Calibri"/>
                    <w:sz w:val="18"/>
                  </w:rPr>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4.900002pt;margin-top:37.349983pt;width:447.55pt;height:19.650pt;mso-position-horizontal-relative:page;mso-position-vertical-relative:page;z-index:-1319608" coordorigin="1698,747" coordsize="8951,393">
          <v:group style="position:absolute;left:1769;top:1116;width:8872;height:2" coordorigin="1769,1116" coordsize="8872,2">
            <v:shape style="position:absolute;left:1769;top:1116;width:8872;height:2" coordorigin="1769,1116" coordsize="8872,0" path="m1769,1116l10641,1116e" filled="false" stroked="true" strokeweight=".72pt" strokecolor="#000000">
              <v:path arrowok="t"/>
            </v:shape>
            <v:shape style="position:absolute;left:1698;top:747;width:465;height:393" type="#_x0000_t75" stroked="false">
              <v:imagedata r:id="rId1" o:title=""/>
            </v:shape>
          </v:group>
          <w10:wrap type="none"/>
        </v:group>
      </w:pict>
    </w:r>
    <w:r>
      <w:rPr/>
      <w:pict>
        <v:shapetype id="_x0000_t202" o:spt="202" coordsize="21600,21600" path="m,l,21600r21600,l21600,xe">
          <v:stroke joinstyle="miter"/>
          <v:path gradientshapeok="t" o:connecttype="rect"/>
        </v:shapetype>
        <v:shape style="position:absolute;margin-left:109.900002pt;margin-top:42.985607pt;width:110pt;height:11pt;mso-position-horizontal-relative:page;mso-position-vertical-relative:page;z-index:-1319584"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江苏林洋能源股份有限公司</w:t>
                </w:r>
              </w:p>
            </w:txbxContent>
          </v:textbox>
          <w10:wrap type="none"/>
        </v:shape>
      </w:pict>
    </w:r>
    <w:r>
      <w:rPr/>
      <w:pict>
        <v:shape style="position:absolute;margin-left:443.190002pt;margin-top:42.985607pt;width:67.45pt;height:12pt;mso-position-horizontal-relative:page;mso-position-vertical-relative:page;z-index:-1319560"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1.300003pt;margin-top:37.350006pt;width:699.45pt;height:19.650pt;mso-position-horizontal-relative:page;mso-position-vertical-relative:page;z-index:-1318672" coordorigin="1426,747" coordsize="13989,393">
          <v:group style="position:absolute;left:1495;top:1116;width:13913;height:2" coordorigin="1495,1116" coordsize="13913,2">
            <v:shape style="position:absolute;left:1495;top:1116;width:13913;height:2" coordorigin="1495,1116" coordsize="13913,0" path="m1495,1116l15408,1116e" filled="false" stroked="true" strokeweight=".72pt" strokecolor="#000000">
              <v:path arrowok="t"/>
            </v:shape>
            <v:shape style="position:absolute;left:1426;top:747;width:465;height:393" type="#_x0000_t75" stroked="false">
              <v:imagedata r:id="rId1" o:title=""/>
            </v:shape>
          </v:group>
          <w10:wrap type="none"/>
        </v:group>
      </w:pict>
    </w:r>
    <w:r>
      <w:rPr/>
      <w:pict>
        <v:shape style="position:absolute;margin-left:222.220001pt;margin-top:42.985634pt;width:110pt;height:11pt;mso-position-horizontal-relative:page;mso-position-vertical-relative:page;z-index:-1318648"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江苏林洋能源股份有限公司</w:t>
                </w:r>
              </w:p>
            </w:txbxContent>
          </v:textbox>
          <w10:wrap type="none"/>
        </v:shape>
      </w:pict>
    </w:r>
    <w:r>
      <w:rPr/>
      <w:pict>
        <v:shape style="position:absolute;margin-left:555.51001pt;margin-top:42.985634pt;width:67.45pt;height:12pt;mso-position-horizontal-relative:page;mso-position-vertical-relative:page;z-index:-1318624"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2"/>
                    <w:sz w:val="18"/>
                    <w:szCs w:val="18"/>
                  </w:rPr>
                  <w:t> </w:t>
                </w:r>
                <w:r>
                  <w:rPr>
                    <w:rFonts w:ascii="宋体" w:hAnsi="宋体" w:cs="宋体" w:eastAsia="宋体" w:hint="default"/>
                    <w:sz w:val="18"/>
                    <w:szCs w:val="18"/>
                  </w:rPr>
                  <w:t>年年度报告</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4.900002pt;margin-top:37.149982pt;width:447.55pt;height:19.650pt;mso-position-horizontal-relative:page;mso-position-vertical-relative:page;z-index:-1318552" coordorigin="1698,743" coordsize="8951,393">
          <v:group style="position:absolute;left:1769;top:1111;width:8872;height:2" coordorigin="1769,1111" coordsize="8872,2">
            <v:shape style="position:absolute;left:1769;top:1111;width:8872;height:2" coordorigin="1769,1111" coordsize="8872,0" path="m1769,1111l10641,1111e" filled="false" stroked="true" strokeweight=".72pt" strokecolor="#000000">
              <v:path arrowok="t"/>
            </v:shape>
            <v:shape style="position:absolute;left:1698;top:743;width:465;height:393" type="#_x0000_t75" stroked="false">
              <v:imagedata r:id="rId1" o:title=""/>
            </v:shape>
          </v:group>
          <w10:wrap type="none"/>
        </v:group>
      </w:pict>
    </w:r>
    <w:r>
      <w:rPr/>
      <w:pict>
        <v:shape style="position:absolute;margin-left:109.900002pt;margin-top:42.865608pt;width:110pt;height:11pt;mso-position-horizontal-relative:page;mso-position-vertical-relative:page;z-index:-1318528"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江苏林洋能源股份有限公司</w:t>
                </w:r>
              </w:p>
            </w:txbxContent>
          </v:textbox>
          <w10:wrap type="none"/>
        </v:shape>
      </w:pict>
    </w:r>
    <w:r>
      <w:rPr/>
      <w:pict>
        <v:shape style="position:absolute;margin-left:443.190002pt;margin-top:42.865608pt;width:67.45pt;height:12pt;mso-position-horizontal-relative:page;mso-position-vertical-relative:page;z-index:-1318504"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1.300003pt;margin-top:37.400009pt;width:699.45pt;height:19.650pt;mso-position-horizontal-relative:page;mso-position-vertical-relative:page;z-index:-1318384" coordorigin="1426,748" coordsize="13989,393">
          <v:group style="position:absolute;left:1495;top:1118;width:13913;height:2" coordorigin="1495,1118" coordsize="13913,2">
            <v:shape style="position:absolute;left:1495;top:1118;width:13913;height:2" coordorigin="1495,1118" coordsize="13913,0" path="m1495,1118l15408,1118e" filled="false" stroked="true" strokeweight=".72pt" strokecolor="#000000">
              <v:path arrowok="t"/>
            </v:shape>
            <v:shape style="position:absolute;left:1426;top:748;width:465;height:393" type="#_x0000_t75" stroked="false">
              <v:imagedata r:id="rId1" o:title=""/>
            </v:shape>
          </v:group>
          <w10:wrap type="none"/>
        </v:group>
      </w:pict>
    </w:r>
    <w:r>
      <w:rPr/>
      <w:pict>
        <v:shape style="position:absolute;margin-left:222.220001pt;margin-top:43.105633pt;width:110pt;height:11pt;mso-position-horizontal-relative:page;mso-position-vertical-relative:page;z-index:-1318360"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江苏林洋能源股份有限公司</w:t>
                </w:r>
              </w:p>
            </w:txbxContent>
          </v:textbox>
          <w10:wrap type="none"/>
        </v:shape>
      </w:pict>
    </w:r>
    <w:r>
      <w:rPr/>
      <w:pict>
        <v:shape style="position:absolute;margin-left:555.51001pt;margin-top:43.105633pt;width:67.45pt;height:12pt;mso-position-horizontal-relative:page;mso-position-vertical-relative:page;z-index:-1318336"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2"/>
                    <w:sz w:val="18"/>
                    <w:szCs w:val="18"/>
                  </w:rPr>
                  <w:t> </w:t>
                </w:r>
                <w:r>
                  <w:rPr>
                    <w:rFonts w:ascii="宋体" w:hAnsi="宋体" w:cs="宋体" w:eastAsia="宋体" w:hint="default"/>
                    <w:sz w:val="18"/>
                    <w:szCs w:val="18"/>
                  </w:rPr>
                  <w:t>年年度报告</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8.849998pt;margin-top:37.399982pt;width:447.55pt;height:19.650pt;mso-position-horizontal-relative:page;mso-position-vertical-relative:page;z-index:-1318288" coordorigin="1177,748" coordsize="8951,393">
          <v:group style="position:absolute;left:1248;top:1118;width:8873;height:2" coordorigin="1248,1118" coordsize="8873,2">
            <v:shape style="position:absolute;left:1248;top:1118;width:8873;height:2" coordorigin="1248,1118" coordsize="8873,0" path="m1248,1118l10120,1118e" filled="false" stroked="true" strokeweight=".72pt" strokecolor="#000000">
              <v:path arrowok="t"/>
            </v:shape>
            <v:shape style="position:absolute;left:1177;top:748;width:465;height:393" type="#_x0000_t75" stroked="false">
              <v:imagedata r:id="rId1" o:title=""/>
            </v:shape>
          </v:group>
          <w10:wrap type="none"/>
        </v:group>
      </w:pict>
    </w:r>
    <w:r>
      <w:rPr/>
      <w:pict>
        <v:shape style="position:absolute;margin-left:83.863998pt;margin-top:43.105606pt;width:110pt;height:11pt;mso-position-horizontal-relative:page;mso-position-vertical-relative:page;z-index:-1318264"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江苏林洋能源股份有限公司</w:t>
                </w:r>
              </w:p>
            </w:txbxContent>
          </v:textbox>
          <w10:wrap type="none"/>
        </v:shape>
      </w:pict>
    </w:r>
    <w:r>
      <w:rPr/>
      <w:pict>
        <v:shape style="position:absolute;margin-left:417.149994pt;margin-top:43.105606pt;width:67.45pt;height:12pt;mso-position-horizontal-relative:page;mso-position-vertical-relative:page;z-index:-1318240"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2"/>
                    <w:sz w:val="18"/>
                    <w:szCs w:val="18"/>
                  </w:rPr>
                  <w:t> </w:t>
                </w:r>
                <w:r>
                  <w:rPr>
                    <w:rFonts w:ascii="宋体" w:hAnsi="宋体" w:cs="宋体" w:eastAsia="宋体" w:hint="default"/>
                    <w:sz w:val="18"/>
                    <w:szCs w:val="18"/>
                  </w:rPr>
                  <w:t>年年度报告</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3.863998pt;margin-top:43.105606pt;width:110pt;height:11pt;mso-position-horizontal-relative:page;mso-position-vertical-relative:page;z-index:-1318000"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江苏林洋能源股份有限公司</w:t>
                </w:r>
              </w:p>
            </w:txbxContent>
          </v:textbox>
          <w10:wrap type="none"/>
        </v:shape>
      </w:pict>
    </w:r>
    <w:r>
      <w:rPr/>
      <w:pict>
        <v:shape style="position:absolute;margin-left:417.149994pt;margin-top:43.105606pt;width:67.45pt;height:12pt;mso-position-horizontal-relative:page;mso-position-vertical-relative:page;z-index:-1317976"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2"/>
                    <w:sz w:val="18"/>
                    <w:szCs w:val="18"/>
                  </w:rPr>
                  <w:t> </w:t>
                </w:r>
                <w:r>
                  <w:rPr>
                    <w:rFonts w:ascii="宋体" w:hAnsi="宋体" w:cs="宋体" w:eastAsia="宋体" w:hint="default"/>
                    <w:sz w:val="18"/>
                    <w:szCs w:val="18"/>
                  </w:rPr>
                  <w:t>年年度报告</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8.849998pt;margin-top:37.399982pt;width:447.55pt;height:19.650pt;mso-position-horizontal-relative:page;mso-position-vertical-relative:page;z-index:-1317952" coordorigin="1177,748" coordsize="8951,393">
          <v:group style="position:absolute;left:1248;top:1118;width:8873;height:2" coordorigin="1248,1118" coordsize="8873,2">
            <v:shape style="position:absolute;left:1248;top:1118;width:8873;height:2" coordorigin="1248,1118" coordsize="8873,0" path="m1248,1118l10120,1118e" filled="false" stroked="true" strokeweight=".72pt" strokecolor="#000000">
              <v:path arrowok="t"/>
            </v:shape>
            <v:shape style="position:absolute;left:1177;top:748;width:465;height:393" type="#_x0000_t75" stroked="false">
              <v:imagedata r:id="rId1" o:title=""/>
            </v:shape>
          </v:group>
          <w10:wrap type="none"/>
        </v:group>
      </w:pict>
    </w:r>
    <w:r>
      <w:rPr/>
      <w:pict>
        <v:shape style="position:absolute;margin-left:83.863998pt;margin-top:43.105606pt;width:110pt;height:11pt;mso-position-horizontal-relative:page;mso-position-vertical-relative:page;z-index:-1317928"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江苏林洋能源股份有限公司</w:t>
                </w:r>
              </w:p>
            </w:txbxContent>
          </v:textbox>
          <w10:wrap type="none"/>
        </v:shape>
      </w:pict>
    </w:r>
    <w:r>
      <w:rPr/>
      <w:pict>
        <v:shape style="position:absolute;margin-left:417.149994pt;margin-top:43.105606pt;width:67.45pt;height:12pt;mso-position-horizontal-relative:page;mso-position-vertical-relative:page;z-index:-1317904"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2"/>
                    <w:sz w:val="18"/>
                    <w:szCs w:val="18"/>
                  </w:rPr>
                  <w:t> </w:t>
                </w:r>
                <w:r>
                  <w:rPr>
                    <w:rFonts w:ascii="宋体" w:hAnsi="宋体" w:cs="宋体" w:eastAsia="宋体" w:hint="default"/>
                    <w:sz w:val="18"/>
                    <w:szCs w:val="18"/>
                  </w:rPr>
                  <w:t>年年度报告</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1.300003pt;margin-top:37.400009pt;width:699.45pt;height:19.650pt;mso-position-horizontal-relative:page;mso-position-vertical-relative:page;z-index:-1317808" coordorigin="1426,748" coordsize="13989,393">
          <v:group style="position:absolute;left:1495;top:1118;width:13913;height:2" coordorigin="1495,1118" coordsize="13913,2">
            <v:shape style="position:absolute;left:1495;top:1118;width:13913;height:2" coordorigin="1495,1118" coordsize="13913,0" path="m1495,1118l15408,1118e" filled="false" stroked="true" strokeweight=".72pt" strokecolor="#000000">
              <v:path arrowok="t"/>
            </v:shape>
            <v:shape style="position:absolute;left:1426;top:748;width:465;height:393" type="#_x0000_t75" stroked="false">
              <v:imagedata r:id="rId1" o:title=""/>
            </v:shape>
          </v:group>
          <w10:wrap type="none"/>
        </v:group>
      </w:pict>
    </w:r>
    <w:r>
      <w:rPr/>
      <w:pict>
        <v:shape style="position:absolute;margin-left:222.220001pt;margin-top:43.105633pt;width:110pt;height:11pt;mso-position-horizontal-relative:page;mso-position-vertical-relative:page;z-index:-1317784"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江苏林洋能源股份有限公司</w:t>
                </w:r>
              </w:p>
            </w:txbxContent>
          </v:textbox>
          <w10:wrap type="none"/>
        </v:shape>
      </w:pict>
    </w:r>
    <w:r>
      <w:rPr/>
      <w:pict>
        <v:shape style="position:absolute;margin-left:555.51001pt;margin-top:43.105633pt;width:67.45pt;height:12pt;mso-position-horizontal-relative:page;mso-position-vertical-relative:page;z-index:-1317760"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2"/>
                    <w:sz w:val="18"/>
                    <w:szCs w:val="18"/>
                  </w:rPr>
                  <w:t> </w:t>
                </w:r>
                <w:r>
                  <w:rPr>
                    <w:rFonts w:ascii="宋体" w:hAnsi="宋体" w:cs="宋体" w:eastAsia="宋体" w:hint="default"/>
                    <w:sz w:val="18"/>
                    <w:szCs w:val="18"/>
                  </w:rPr>
                  <w:t>年年度报告</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96.823997pt;margin-top:43.105606pt;width:110pt;height:11pt;mso-position-horizontal-relative:page;mso-position-vertical-relative:page;z-index:-1319512"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江苏林洋能源股份有限公司</w:t>
                </w:r>
              </w:p>
            </w:txbxContent>
          </v:textbox>
          <w10:wrap type="none"/>
        </v:shape>
      </w:pict>
    </w:r>
    <w:r>
      <w:rPr/>
      <w:pict>
        <v:shape style="position:absolute;margin-left:430.109985pt;margin-top:43.105606pt;width:67.45pt;height:12pt;mso-position-horizontal-relative:page;mso-position-vertical-relative:page;z-index:-1319488"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2"/>
                    <w:sz w:val="18"/>
                    <w:szCs w:val="18"/>
                  </w:rPr>
                  <w:t> </w:t>
                </w:r>
                <w:r>
                  <w:rPr>
                    <w:rFonts w:ascii="宋体" w:hAnsi="宋体" w:cs="宋体" w:eastAsia="宋体" w:hint="default"/>
                    <w:sz w:val="18"/>
                    <w:szCs w:val="18"/>
                  </w:rPr>
                  <w:t>年年度报告</w:t>
                </w:r>
              </w:p>
            </w:txbxContent>
          </v:textbox>
          <w10:wrap type="non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8.849998pt;margin-top:37.399982pt;width:447.55pt;height:19.650pt;mso-position-horizontal-relative:page;mso-position-vertical-relative:page;z-index:-1317712" coordorigin="1177,748" coordsize="8951,393">
          <v:group style="position:absolute;left:1248;top:1118;width:8873;height:2" coordorigin="1248,1118" coordsize="8873,2">
            <v:shape style="position:absolute;left:1248;top:1118;width:8873;height:2" coordorigin="1248,1118" coordsize="8873,0" path="m1248,1118l10120,1118e" filled="false" stroked="true" strokeweight=".72pt" strokecolor="#000000">
              <v:path arrowok="t"/>
            </v:shape>
            <v:shape style="position:absolute;left:1177;top:748;width:465;height:393" type="#_x0000_t75" stroked="false">
              <v:imagedata r:id="rId1" o:title=""/>
            </v:shape>
          </v:group>
          <w10:wrap type="none"/>
        </v:group>
      </w:pict>
    </w:r>
    <w:r>
      <w:rPr/>
      <w:pict>
        <v:shape style="position:absolute;margin-left:83.863998pt;margin-top:43.105606pt;width:110pt;height:11pt;mso-position-horizontal-relative:page;mso-position-vertical-relative:page;z-index:-1317688"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江苏林洋能源股份有限公司</w:t>
                </w:r>
              </w:p>
            </w:txbxContent>
          </v:textbox>
          <w10:wrap type="none"/>
        </v:shape>
      </w:pict>
    </w:r>
    <w:r>
      <w:rPr/>
      <w:pict>
        <v:shape style="position:absolute;margin-left:417.149994pt;margin-top:43.105606pt;width:67.45pt;height:12pt;mso-position-horizontal-relative:page;mso-position-vertical-relative:page;z-index:-1317664"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2"/>
                    <w:sz w:val="18"/>
                    <w:szCs w:val="18"/>
                  </w:rPr>
                  <w:t> </w:t>
                </w:r>
                <w:r>
                  <w:rPr>
                    <w:rFonts w:ascii="宋体" w:hAnsi="宋体" w:cs="宋体" w:eastAsia="宋体" w:hint="default"/>
                    <w:sz w:val="18"/>
                    <w:szCs w:val="18"/>
                  </w:rPr>
                  <w:t>年年度报告</w:t>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8.849998pt;margin-top:37.399982pt;width:447.55pt;height:19.650pt;mso-position-horizontal-relative:page;mso-position-vertical-relative:page;z-index:-1317544" coordorigin="1177,748" coordsize="8951,393">
          <v:group style="position:absolute;left:1248;top:1118;width:8873;height:2" coordorigin="1248,1118" coordsize="8873,2">
            <v:shape style="position:absolute;left:1248;top:1118;width:8873;height:2" coordorigin="1248,1118" coordsize="8873,0" path="m1248,1118l10120,1118e" filled="false" stroked="true" strokeweight=".72pt" strokecolor="#000000">
              <v:path arrowok="t"/>
            </v:shape>
            <v:shape style="position:absolute;left:1177;top:748;width:465;height:393" type="#_x0000_t75" stroked="false">
              <v:imagedata r:id="rId1" o:title=""/>
            </v:shape>
          </v:group>
          <w10:wrap type="none"/>
        </v:group>
      </w:pict>
    </w:r>
    <w:r>
      <w:rPr/>
      <w:pict>
        <v:shape style="position:absolute;margin-left:83.863998pt;margin-top:43.105606pt;width:110pt;height:11pt;mso-position-horizontal-relative:page;mso-position-vertical-relative:page;z-index:-1317520"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江苏林洋能源股份有限公司</w:t>
                </w:r>
              </w:p>
            </w:txbxContent>
          </v:textbox>
          <w10:wrap type="none"/>
        </v:shape>
      </w:pict>
    </w:r>
    <w:r>
      <w:rPr/>
      <w:pict>
        <v:shape style="position:absolute;margin-left:417.149994pt;margin-top:43.105606pt;width:67.45pt;height:12pt;mso-position-horizontal-relative:page;mso-position-vertical-relative:page;z-index:-1317496"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2"/>
                    <w:sz w:val="18"/>
                    <w:szCs w:val="18"/>
                  </w:rPr>
                  <w:t> </w:t>
                </w:r>
                <w:r>
                  <w:rPr>
                    <w:rFonts w:ascii="宋体" w:hAnsi="宋体" w:cs="宋体" w:eastAsia="宋体" w:hint="default"/>
                    <w:sz w:val="18"/>
                    <w:szCs w:val="18"/>
                  </w:rPr>
                  <w:t>年年度报告</w:t>
                </w:r>
              </w:p>
            </w:txbxContent>
          </v:textbox>
          <w10:wrap type="none"/>
        </v:shape>
      </w:pict>
    </w: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8.849998pt;margin-top:37.399982pt;width:447.55pt;height:19.650pt;mso-position-horizontal-relative:page;mso-position-vertical-relative:page;z-index:-1317376" coordorigin="1177,748" coordsize="8951,393">
          <v:group style="position:absolute;left:1248;top:1118;width:8873;height:2" coordorigin="1248,1118" coordsize="8873,2">
            <v:shape style="position:absolute;left:1248;top:1118;width:8873;height:2" coordorigin="1248,1118" coordsize="8873,0" path="m1248,1118l10120,1118e" filled="false" stroked="true" strokeweight=".72pt" strokecolor="#000000">
              <v:path arrowok="t"/>
            </v:shape>
            <v:shape style="position:absolute;left:1177;top:748;width:465;height:393" type="#_x0000_t75" stroked="false">
              <v:imagedata r:id="rId1" o:title=""/>
            </v:shape>
          </v:group>
          <w10:wrap type="none"/>
        </v:group>
      </w:pict>
    </w:r>
    <w:r>
      <w:rPr/>
      <w:pict>
        <v:shape style="position:absolute;margin-left:83.863998pt;margin-top:43.105606pt;width:110pt;height:11pt;mso-position-horizontal-relative:page;mso-position-vertical-relative:page;z-index:-1317352"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江苏林洋能源股份有限公司</w:t>
                </w:r>
              </w:p>
            </w:txbxContent>
          </v:textbox>
          <w10:wrap type="none"/>
        </v:shape>
      </w:pict>
    </w:r>
    <w:r>
      <w:rPr/>
      <w:pict>
        <v:shape style="position:absolute;margin-left:417.149994pt;margin-top:43.105606pt;width:67.45pt;height:12pt;mso-position-horizontal-relative:page;mso-position-vertical-relative:page;z-index:-1317328"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2"/>
                    <w:sz w:val="18"/>
                    <w:szCs w:val="18"/>
                  </w:rPr>
                  <w:t> </w:t>
                </w:r>
                <w:r>
                  <w:rPr>
                    <w:rFonts w:ascii="宋体" w:hAnsi="宋体" w:cs="宋体" w:eastAsia="宋体" w:hint="default"/>
                    <w:sz w:val="18"/>
                    <w:szCs w:val="18"/>
                  </w:rPr>
                  <w:t>年年度报告</w:t>
                </w:r>
              </w:p>
            </w:txbxContent>
          </v:textbox>
          <w10:wrap type="none"/>
        </v:shape>
      </w:pict>
    </w: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4.900002pt;margin-top:37.399982pt;width:447.55pt;height:19.650pt;mso-position-horizontal-relative:page;mso-position-vertical-relative:page;z-index:-1317304" coordorigin="1698,748" coordsize="8951,393">
          <v:group style="position:absolute;left:1769;top:1118;width:8872;height:2" coordorigin="1769,1118" coordsize="8872,2">
            <v:shape style="position:absolute;left:1769;top:1118;width:8872;height:2" coordorigin="1769,1118" coordsize="8872,0" path="m1769,1118l10641,1118e" filled="false" stroked="true" strokeweight=".72pt" strokecolor="#000000">
              <v:path arrowok="t"/>
            </v:shape>
            <v:shape style="position:absolute;left:1698;top:748;width:465;height:393" type="#_x0000_t75" stroked="false">
              <v:imagedata r:id="rId1" o:title=""/>
            </v:shape>
          </v:group>
          <w10:wrap type="none"/>
        </v:group>
      </w:pict>
    </w:r>
    <w:r>
      <w:rPr/>
      <w:pict>
        <v:shape style="position:absolute;margin-left:109.900002pt;margin-top:43.105606pt;width:110pt;height:11pt;mso-position-horizontal-relative:page;mso-position-vertical-relative:page;z-index:-1317280"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江苏林洋能源股份有限公司</w:t>
                </w:r>
              </w:p>
            </w:txbxContent>
          </v:textbox>
          <w10:wrap type="none"/>
        </v:shape>
      </w:pict>
    </w:r>
    <w:r>
      <w:rPr/>
      <w:pict>
        <v:shape style="position:absolute;margin-left:443.190002pt;margin-top:43.105606pt;width:67.45pt;height:12pt;mso-position-horizontal-relative:page;mso-position-vertical-relative:page;z-index:-1317256"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65.949997pt;margin-top:37.399982pt;width:459.3pt;height:19.650pt;mso-position-horizontal-relative:page;mso-position-vertical-relative:page;z-index:-1319440" coordorigin="1319,748" coordsize="9186,393">
          <v:group style="position:absolute;left:1390;top:1118;width:9107;height:2" coordorigin="1390,1118" coordsize="9107,2">
            <v:shape style="position:absolute;left:1390;top:1118;width:9107;height:2" coordorigin="1390,1118" coordsize="9107,0" path="m1390,1118l10497,1118e" filled="false" stroked="true" strokeweight=".72pt" strokecolor="#000000">
              <v:path arrowok="t"/>
            </v:shape>
            <v:shape style="position:absolute;left:1319;top:748;width:465;height:393" type="#_x0000_t75" stroked="false">
              <v:imagedata r:id="rId1" o:title=""/>
            </v:shape>
          </v:group>
          <w10:wrap type="none"/>
        </v:group>
      </w:pict>
    </w:r>
    <w:r>
      <w:rPr/>
      <w:pict>
        <v:shape style="position:absolute;margin-left:96.823997pt;margin-top:43.105606pt;width:110pt;height:11pt;mso-position-horizontal-relative:page;mso-position-vertical-relative:page;z-index:-1319416"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江苏林洋能源股份有限公司</w:t>
                </w:r>
              </w:p>
            </w:txbxContent>
          </v:textbox>
          <w10:wrap type="none"/>
        </v:shape>
      </w:pict>
    </w:r>
    <w:r>
      <w:rPr/>
      <w:pict>
        <v:shape style="position:absolute;margin-left:430.109985pt;margin-top:43.105606pt;width:67.45pt;height:12pt;mso-position-horizontal-relative:page;mso-position-vertical-relative:page;z-index:-1319392"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2"/>
                    <w:sz w:val="18"/>
                    <w:szCs w:val="18"/>
                  </w:rPr>
                  <w:t> </w:t>
                </w:r>
                <w:r>
                  <w:rPr>
                    <w:rFonts w:ascii="宋体" w:hAnsi="宋体" w:cs="宋体" w:eastAsia="宋体" w:hint="default"/>
                    <w:sz w:val="18"/>
                    <w:szCs w:val="18"/>
                  </w:rPr>
                  <w:t>年年度报告</w:t>
                </w:r>
              </w:p>
            </w:txbxContent>
          </v:textbox>
          <w10:wrap type="none"/>
        </v:shape>
      </w:pict>
    </w: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96.823997pt;margin-top:43.105606pt;width:110pt;height:11pt;mso-position-horizontal-relative:page;mso-position-vertical-relative:page;z-index:-1317112"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江苏林洋能源股份有限公司</w:t>
                </w:r>
              </w:p>
            </w:txbxContent>
          </v:textbox>
          <w10:wrap type="none"/>
        </v:shape>
      </w:pict>
    </w:r>
    <w:r>
      <w:rPr/>
      <w:pict>
        <v:shape style="position:absolute;margin-left:430.109985pt;margin-top:43.105606pt;width:67.45pt;height:12pt;mso-position-horizontal-relative:page;mso-position-vertical-relative:page;z-index:-1317088"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2"/>
                    <w:sz w:val="18"/>
                    <w:szCs w:val="18"/>
                  </w:rPr>
                  <w:t> </w:t>
                </w:r>
                <w:r>
                  <w:rPr>
                    <w:rFonts w:ascii="宋体" w:hAnsi="宋体" w:cs="宋体" w:eastAsia="宋体" w:hint="default"/>
                    <w:sz w:val="18"/>
                    <w:szCs w:val="18"/>
                  </w:rPr>
                  <w:t>年年度报告</w:t>
                </w:r>
              </w:p>
            </w:txbxContent>
          </v:textbox>
          <w10:wrap type="none"/>
        </v:shape>
      </w:pict>
    </w: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65.949997pt;margin-top:37.399982pt;width:459.3pt;height:19.650pt;mso-position-horizontal-relative:page;mso-position-vertical-relative:page;z-index:-1317040" coordorigin="1319,748" coordsize="9186,393">
          <v:group style="position:absolute;left:1390;top:1118;width:9107;height:2" coordorigin="1390,1118" coordsize="9107,2">
            <v:shape style="position:absolute;left:1390;top:1118;width:9107;height:2" coordorigin="1390,1118" coordsize="9107,0" path="m1390,1118l10497,1118e" filled="false" stroked="true" strokeweight=".72pt" strokecolor="#000000">
              <v:path arrowok="t"/>
            </v:shape>
            <v:shape style="position:absolute;left:1319;top:748;width:465;height:393" type="#_x0000_t75" stroked="false">
              <v:imagedata r:id="rId1" o:title=""/>
            </v:shape>
          </v:group>
          <w10:wrap type="none"/>
        </v:group>
      </w:pict>
    </w:r>
    <w:r>
      <w:rPr/>
      <w:pict>
        <v:shape style="position:absolute;margin-left:96.823997pt;margin-top:43.105606pt;width:110pt;height:11pt;mso-position-horizontal-relative:page;mso-position-vertical-relative:page;z-index:-1317016"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江苏林洋能源股份有限公司</w:t>
                </w:r>
              </w:p>
            </w:txbxContent>
          </v:textbox>
          <w10:wrap type="none"/>
        </v:shape>
      </w:pict>
    </w:r>
    <w:r>
      <w:rPr/>
      <w:pict>
        <v:shape style="position:absolute;margin-left:430.109985pt;margin-top:43.105606pt;width:67.45pt;height:12pt;mso-position-horizontal-relative:page;mso-position-vertical-relative:page;z-index:-1316992"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2"/>
                    <w:sz w:val="18"/>
                    <w:szCs w:val="18"/>
                  </w:rPr>
                  <w:t> </w:t>
                </w:r>
                <w:r>
                  <w:rPr>
                    <w:rFonts w:ascii="宋体" w:hAnsi="宋体" w:cs="宋体" w:eastAsia="宋体" w:hint="default"/>
                    <w:sz w:val="18"/>
                    <w:szCs w:val="18"/>
                  </w:rPr>
                  <w:t>年年度报告</w:t>
                </w:r>
              </w:p>
            </w:txbxContent>
          </v:textbox>
          <w10:wrap type="none"/>
        </v:shape>
      </w:pict>
    </w: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109.900002pt;margin-top:43.105606pt;width:110pt;height:11pt;mso-position-horizontal-relative:page;mso-position-vertical-relative:page;z-index:-1316920"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江苏林洋能源股份有限公司</w:t>
                </w:r>
              </w:p>
            </w:txbxContent>
          </v:textbox>
          <w10:wrap type="none"/>
        </v:shape>
      </w:pict>
    </w:r>
    <w:r>
      <w:rPr/>
      <w:pict>
        <v:shape style="position:absolute;margin-left:443.190002pt;margin-top:43.105606pt;width:67.45pt;height:12pt;mso-position-horizontal-relative:page;mso-position-vertical-relative:page;z-index:-1316896"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4.900002pt;margin-top:37.399982pt;width:447.55pt;height:19.650pt;mso-position-horizontal-relative:page;mso-position-vertical-relative:page;z-index:-1316848" coordorigin="1698,748" coordsize="8951,393">
          <v:group style="position:absolute;left:1769;top:1118;width:8872;height:2" coordorigin="1769,1118" coordsize="8872,2">
            <v:shape style="position:absolute;left:1769;top:1118;width:8872;height:2" coordorigin="1769,1118" coordsize="8872,0" path="m1769,1118l10641,1118e" filled="false" stroked="true" strokeweight=".72pt" strokecolor="#000000">
              <v:path arrowok="t"/>
            </v:shape>
            <v:shape style="position:absolute;left:1698;top:748;width:465;height:393" type="#_x0000_t75" stroked="false">
              <v:imagedata r:id="rId1" o:title=""/>
            </v:shape>
          </v:group>
          <w10:wrap type="none"/>
        </v:group>
      </w:pict>
    </w:r>
    <w:r>
      <w:rPr/>
      <w:pict>
        <v:shape style="position:absolute;margin-left:109.900002pt;margin-top:43.105606pt;width:110pt;height:11pt;mso-position-horizontal-relative:page;mso-position-vertical-relative:page;z-index:-1316824"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江苏林洋能源股份有限公司</w:t>
                </w:r>
              </w:p>
            </w:txbxContent>
          </v:textbox>
          <w10:wrap type="none"/>
        </v:shape>
      </w:pict>
    </w:r>
    <w:r>
      <w:rPr/>
      <w:pict>
        <v:shape style="position:absolute;margin-left:443.190002pt;margin-top:43.105606pt;width:67.45pt;height:12pt;mso-position-horizontal-relative:page;mso-position-vertical-relative:page;z-index:-1316800"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109.900002pt;margin-top:42.985607pt;width:110pt;height:11pt;mso-position-horizontal-relative:page;mso-position-vertical-relative:page;z-index:-1319272"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江苏林洋能源股份有限公司</w:t>
                </w:r>
              </w:p>
            </w:txbxContent>
          </v:textbox>
          <w10:wrap type="none"/>
        </v:shape>
      </w:pict>
    </w:r>
    <w:r>
      <w:rPr/>
      <w:pict>
        <v:shape style="position:absolute;margin-left:443.190002pt;margin-top:42.985607pt;width:67.45pt;height:12pt;mso-position-horizontal-relative:page;mso-position-vertical-relative:page;z-index:-1319248"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4.900002pt;margin-top:37.349983pt;width:447.55pt;height:19.650pt;mso-position-horizontal-relative:page;mso-position-vertical-relative:page;z-index:-1319200" coordorigin="1698,747" coordsize="8951,393">
          <v:group style="position:absolute;left:1769;top:1116;width:8872;height:2" coordorigin="1769,1116" coordsize="8872,2">
            <v:shape style="position:absolute;left:1769;top:1116;width:8872;height:2" coordorigin="1769,1116" coordsize="8872,0" path="m1769,1116l10641,1116e" filled="false" stroked="true" strokeweight=".72pt" strokecolor="#000000">
              <v:path arrowok="t"/>
            </v:shape>
            <v:shape style="position:absolute;left:1698;top:747;width:465;height:393" type="#_x0000_t75" stroked="false">
              <v:imagedata r:id="rId1" o:title=""/>
            </v:shape>
          </v:group>
          <w10:wrap type="none"/>
        </v:group>
      </w:pict>
    </w:r>
    <w:r>
      <w:rPr/>
      <w:pict>
        <v:shape style="position:absolute;margin-left:109.900002pt;margin-top:42.985607pt;width:110pt;height:11pt;mso-position-horizontal-relative:page;mso-position-vertical-relative:page;z-index:-1319176"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江苏林洋能源股份有限公司</w:t>
                </w:r>
              </w:p>
            </w:txbxContent>
          </v:textbox>
          <w10:wrap type="none"/>
        </v:shape>
      </w:pict>
    </w:r>
    <w:r>
      <w:rPr/>
      <w:pict>
        <v:shape style="position:absolute;margin-left:443.190002pt;margin-top:42.985607pt;width:67.45pt;height:12pt;mso-position-horizontal-relative:page;mso-position-vertical-relative:page;z-index:-1319152"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1.300003pt;margin-top:37.350006pt;width:699.45pt;height:19.650pt;mso-position-horizontal-relative:page;mso-position-vertical-relative:page;z-index:-1319104" coordorigin="1426,747" coordsize="13989,393">
          <v:group style="position:absolute;left:1495;top:1116;width:13913;height:2" coordorigin="1495,1116" coordsize="13913,2">
            <v:shape style="position:absolute;left:1495;top:1116;width:13913;height:2" coordorigin="1495,1116" coordsize="13913,0" path="m1495,1116l15408,1116e" filled="false" stroked="true" strokeweight=".72pt" strokecolor="#000000">
              <v:path arrowok="t"/>
            </v:shape>
            <v:shape style="position:absolute;left:1426;top:747;width:465;height:393" type="#_x0000_t75" stroked="false">
              <v:imagedata r:id="rId1" o:title=""/>
            </v:shape>
          </v:group>
          <w10:wrap type="none"/>
        </v:group>
      </w:pict>
    </w:r>
    <w:r>
      <w:rPr/>
      <w:pict>
        <v:shape style="position:absolute;margin-left:222.220001pt;margin-top:42.985634pt;width:110pt;height:11pt;mso-position-horizontal-relative:page;mso-position-vertical-relative:page;z-index:-1319080"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江苏林洋能源股份有限公司</w:t>
                </w:r>
              </w:p>
            </w:txbxContent>
          </v:textbox>
          <w10:wrap type="none"/>
        </v:shape>
      </w:pict>
    </w:r>
    <w:r>
      <w:rPr/>
      <w:pict>
        <v:shape style="position:absolute;margin-left:555.51001pt;margin-top:42.985634pt;width:67.45pt;height:12pt;mso-position-horizontal-relative:page;mso-position-vertical-relative:page;z-index:-1319056"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2"/>
                    <w:sz w:val="18"/>
                    <w:szCs w:val="18"/>
                  </w:rPr>
                  <w:t> </w:t>
                </w:r>
                <w:r>
                  <w:rPr>
                    <w:rFonts w:ascii="宋体" w:hAnsi="宋体" w:cs="宋体" w:eastAsia="宋体" w:hint="default"/>
                    <w:sz w:val="18"/>
                    <w:szCs w:val="18"/>
                  </w:rPr>
                  <w:t>年年度报告</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8.849998pt;margin-top:37.349983pt;width:447.55pt;height:19.650pt;mso-position-horizontal-relative:page;mso-position-vertical-relative:page;z-index:-1319008" coordorigin="1177,747" coordsize="8951,393">
          <v:group style="position:absolute;left:1248;top:1116;width:8873;height:2" coordorigin="1248,1116" coordsize="8873,2">
            <v:shape style="position:absolute;left:1248;top:1116;width:8873;height:2" coordorigin="1248,1116" coordsize="8873,0" path="m1248,1116l10120,1116e" filled="false" stroked="true" strokeweight=".72pt" strokecolor="#000000">
              <v:path arrowok="t"/>
            </v:shape>
            <v:shape style="position:absolute;left:1177;top:747;width:465;height:393" type="#_x0000_t75" stroked="false">
              <v:imagedata r:id="rId1" o:title=""/>
            </v:shape>
          </v:group>
          <w10:wrap type="none"/>
        </v:group>
      </w:pict>
    </w:r>
    <w:r>
      <w:rPr/>
      <w:pict>
        <v:shape style="position:absolute;margin-left:83.863998pt;margin-top:42.985607pt;width:110pt;height:11pt;mso-position-horizontal-relative:page;mso-position-vertical-relative:page;z-index:-1318984"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江苏林洋能源股份有限公司</w:t>
                </w:r>
              </w:p>
            </w:txbxContent>
          </v:textbox>
          <w10:wrap type="none"/>
        </v:shape>
      </w:pict>
    </w:r>
    <w:r>
      <w:rPr/>
      <w:pict>
        <v:shape style="position:absolute;margin-left:417.149994pt;margin-top:42.985607pt;width:67.45pt;height:12pt;mso-position-horizontal-relative:page;mso-position-vertical-relative:page;z-index:-1318960"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2"/>
                    <w:sz w:val="18"/>
                    <w:szCs w:val="18"/>
                  </w:rPr>
                  <w:t> </w:t>
                </w:r>
                <w:r>
                  <w:rPr>
                    <w:rFonts w:ascii="宋体" w:hAnsi="宋体" w:cs="宋体" w:eastAsia="宋体" w:hint="default"/>
                    <w:sz w:val="18"/>
                    <w:szCs w:val="18"/>
                  </w:rPr>
                  <w:t>年年度报告</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4.900002pt;margin-top:37.349983pt;width:447.55pt;height:19.650pt;mso-position-horizontal-relative:page;mso-position-vertical-relative:page;z-index:-1318912" coordorigin="1698,747" coordsize="8951,393">
          <v:group style="position:absolute;left:1769;top:1116;width:8872;height:2" coordorigin="1769,1116" coordsize="8872,2">
            <v:shape style="position:absolute;left:1769;top:1116;width:8872;height:2" coordorigin="1769,1116" coordsize="8872,0" path="m1769,1116l10641,1116e" filled="false" stroked="true" strokeweight=".72pt" strokecolor="#000000">
              <v:path arrowok="t"/>
            </v:shape>
            <v:shape style="position:absolute;left:1698;top:747;width:465;height:393" type="#_x0000_t75" stroked="false">
              <v:imagedata r:id="rId1" o:title=""/>
            </v:shape>
          </v:group>
          <w10:wrap type="none"/>
        </v:group>
      </w:pict>
    </w:r>
    <w:r>
      <w:rPr/>
      <w:pict>
        <v:shape style="position:absolute;margin-left:109.900002pt;margin-top:42.985607pt;width:110pt;height:11pt;mso-position-horizontal-relative:page;mso-position-vertical-relative:page;z-index:-1318888"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江苏林洋能源股份有限公司</w:t>
                </w:r>
              </w:p>
            </w:txbxContent>
          </v:textbox>
          <w10:wrap type="none"/>
        </v:shape>
      </w:pict>
    </w:r>
    <w:r>
      <w:rPr/>
      <w:pict>
        <v:shape style="position:absolute;margin-left:443.190002pt;margin-top:42.985607pt;width:67.45pt;height:12pt;mso-position-horizontal-relative:page;mso-position-vertical-relative:page;z-index:-1318864"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17"/>
      <w:ind w:left="218"/>
    </w:pPr>
    <w:rPr>
      <w:rFonts w:ascii="宋体" w:hAnsi="宋体" w:eastAsia="宋体"/>
      <w:b/>
      <w:bCs/>
      <w:sz w:val="21"/>
      <w:szCs w:val="21"/>
    </w:rPr>
  </w:style>
  <w:style w:styleId="BodyText" w:type="paragraph">
    <w:name w:val="Body Text"/>
    <w:basedOn w:val="Normal"/>
    <w:uiPriority w:val="1"/>
    <w:qFormat/>
    <w:pPr>
      <w:ind w:left="218"/>
    </w:pPr>
    <w:rPr>
      <w:rFonts w:ascii="宋体" w:hAnsi="宋体" w:eastAsia="宋体"/>
      <w:sz w:val="21"/>
      <w:szCs w:val="21"/>
    </w:rPr>
  </w:style>
  <w:style w:styleId="Heading1" w:type="paragraph">
    <w:name w:val="Heading 1"/>
    <w:basedOn w:val="Normal"/>
    <w:uiPriority w:val="1"/>
    <w:qFormat/>
    <w:pPr>
      <w:spacing w:before="14"/>
      <w:outlineLvl w:val="1"/>
    </w:pPr>
    <w:rPr>
      <w:rFonts w:ascii="宋体" w:hAnsi="宋体" w:eastAsia="宋体"/>
      <w:b/>
      <w:bCs/>
      <w:sz w:val="28"/>
      <w:szCs w:val="28"/>
    </w:rPr>
  </w:style>
  <w:style w:styleId="Heading2" w:type="paragraph">
    <w:name w:val="Heading 2"/>
    <w:basedOn w:val="Normal"/>
    <w:uiPriority w:val="1"/>
    <w:qFormat/>
    <w:pPr>
      <w:ind w:left="218"/>
      <w:outlineLvl w:val="2"/>
    </w:pPr>
    <w:rPr>
      <w:rFonts w:ascii="宋体" w:hAnsi="宋体" w:eastAsia="宋体"/>
      <w:sz w:val="24"/>
      <w:szCs w:val="24"/>
    </w:rPr>
  </w:style>
  <w:style w:styleId="Heading3" w:type="paragraph">
    <w:name w:val="Heading 3"/>
    <w:basedOn w:val="Normal"/>
    <w:uiPriority w:val="1"/>
    <w:qFormat/>
    <w:pPr>
      <w:spacing w:before="97"/>
      <w:ind w:left="218"/>
      <w:outlineLvl w:val="3"/>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eader" Target="header2.xml"/><Relationship Id="rId9" Type="http://schemas.openxmlformats.org/officeDocument/2006/relationships/footer" Target="footer2.xml"/><Relationship Id="rId10" Type="http://schemas.openxmlformats.org/officeDocument/2006/relationships/image" Target="media/image2.png"/><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footer" Target="footer4.xml"/><Relationship Id="rId14" Type="http://schemas.openxmlformats.org/officeDocument/2006/relationships/hyperlink" Target="mailto:dsh@linyang.com.cn" TargetMode="External"/><Relationship Id="rId15" Type="http://schemas.openxmlformats.org/officeDocument/2006/relationships/hyperlink" Target="http://www.linyang.com.cn/" TargetMode="External"/><Relationship Id="rId16" Type="http://schemas.openxmlformats.org/officeDocument/2006/relationships/hyperlink" Target="http://www.sse.com.cn/" TargetMode="External"/><Relationship Id="rId17" Type="http://schemas.openxmlformats.org/officeDocument/2006/relationships/footer" Target="footer5.xml"/><Relationship Id="rId18" Type="http://schemas.openxmlformats.org/officeDocument/2006/relationships/footer" Target="footer6.xml"/><Relationship Id="rId19" Type="http://schemas.openxmlformats.org/officeDocument/2006/relationships/header" Target="header4.xml"/><Relationship Id="rId20" Type="http://schemas.openxmlformats.org/officeDocument/2006/relationships/footer" Target="footer7.xml"/><Relationship Id="rId21" Type="http://schemas.openxmlformats.org/officeDocument/2006/relationships/header" Target="header5.xml"/><Relationship Id="rId22" Type="http://schemas.openxmlformats.org/officeDocument/2006/relationships/footer" Target="footer8.xml"/><Relationship Id="rId23" Type="http://schemas.openxmlformats.org/officeDocument/2006/relationships/header" Target="header6.xml"/><Relationship Id="rId24" Type="http://schemas.openxmlformats.org/officeDocument/2006/relationships/footer" Target="footer9.xml"/><Relationship Id="rId25" Type="http://schemas.openxmlformats.org/officeDocument/2006/relationships/header" Target="header7.xml"/><Relationship Id="rId26" Type="http://schemas.openxmlformats.org/officeDocument/2006/relationships/footer" Target="footer10.xml"/><Relationship Id="rId27" Type="http://schemas.openxmlformats.org/officeDocument/2006/relationships/header" Target="header8.xml"/><Relationship Id="rId28" Type="http://schemas.openxmlformats.org/officeDocument/2006/relationships/footer" Target="footer11.xml"/><Relationship Id="rId29" Type="http://schemas.openxmlformats.org/officeDocument/2006/relationships/header" Target="header9.xml"/><Relationship Id="rId30" Type="http://schemas.openxmlformats.org/officeDocument/2006/relationships/footer" Target="footer12.xml"/><Relationship Id="rId31" Type="http://schemas.openxmlformats.org/officeDocument/2006/relationships/image" Target="media/image3.jpeg"/><Relationship Id="rId32" Type="http://schemas.openxmlformats.org/officeDocument/2006/relationships/footer" Target="footer13.xml"/><Relationship Id="rId33" Type="http://schemas.openxmlformats.org/officeDocument/2006/relationships/image" Target="media/image4.jpeg"/><Relationship Id="rId34" Type="http://schemas.openxmlformats.org/officeDocument/2006/relationships/footer" Target="footer14.xml"/><Relationship Id="rId35" Type="http://schemas.openxmlformats.org/officeDocument/2006/relationships/footer" Target="footer15.xml"/><Relationship Id="rId36" Type="http://schemas.openxmlformats.org/officeDocument/2006/relationships/footer" Target="footer16.xml"/><Relationship Id="rId37" Type="http://schemas.openxmlformats.org/officeDocument/2006/relationships/footer" Target="footer17.xml"/><Relationship Id="rId38" Type="http://schemas.openxmlformats.org/officeDocument/2006/relationships/footer" Target="footer18.xml"/><Relationship Id="rId39" Type="http://schemas.openxmlformats.org/officeDocument/2006/relationships/image" Target="media/image5.jpeg"/><Relationship Id="rId40" Type="http://schemas.openxmlformats.org/officeDocument/2006/relationships/image" Target="media/image6.jpeg"/><Relationship Id="rId41" Type="http://schemas.openxmlformats.org/officeDocument/2006/relationships/header" Target="header10.xml"/><Relationship Id="rId42" Type="http://schemas.openxmlformats.org/officeDocument/2006/relationships/footer" Target="footer19.xml"/><Relationship Id="rId43" Type="http://schemas.openxmlformats.org/officeDocument/2006/relationships/footer" Target="footer20.xml"/><Relationship Id="rId44" Type="http://schemas.openxmlformats.org/officeDocument/2006/relationships/header" Target="header11.xml"/><Relationship Id="rId45" Type="http://schemas.openxmlformats.org/officeDocument/2006/relationships/footer" Target="footer21.xml"/><Relationship Id="rId46" Type="http://schemas.openxmlformats.org/officeDocument/2006/relationships/footer" Target="footer22.xml"/><Relationship Id="rId47" Type="http://schemas.openxmlformats.org/officeDocument/2006/relationships/footer" Target="footer23.xml"/><Relationship Id="rId48" Type="http://schemas.openxmlformats.org/officeDocument/2006/relationships/footer" Target="footer24.xml"/><Relationship Id="rId49" Type="http://schemas.openxmlformats.org/officeDocument/2006/relationships/header" Target="header12.xml"/><Relationship Id="rId50" Type="http://schemas.openxmlformats.org/officeDocument/2006/relationships/footer" Target="footer25.xml"/><Relationship Id="rId51" Type="http://schemas.openxmlformats.org/officeDocument/2006/relationships/header" Target="header13.xml"/><Relationship Id="rId52" Type="http://schemas.openxmlformats.org/officeDocument/2006/relationships/footer" Target="footer26.xml"/><Relationship Id="rId53" Type="http://schemas.openxmlformats.org/officeDocument/2006/relationships/footer" Target="footer27.xml"/><Relationship Id="rId54" Type="http://schemas.openxmlformats.org/officeDocument/2006/relationships/footer" Target="footer28.xml"/><Relationship Id="rId55" Type="http://schemas.openxmlformats.org/officeDocument/2006/relationships/image" Target="media/image7.png"/><Relationship Id="rId56" Type="http://schemas.openxmlformats.org/officeDocument/2006/relationships/footer" Target="footer29.xml"/><Relationship Id="rId57" Type="http://schemas.openxmlformats.org/officeDocument/2006/relationships/image" Target="media/image8.png"/><Relationship Id="rId58" Type="http://schemas.openxmlformats.org/officeDocument/2006/relationships/image" Target="media/image9.png"/><Relationship Id="rId59" Type="http://schemas.openxmlformats.org/officeDocument/2006/relationships/image" Target="media/image10.png"/><Relationship Id="rId60" Type="http://schemas.openxmlformats.org/officeDocument/2006/relationships/image" Target="media/image11.png"/><Relationship Id="rId61" Type="http://schemas.openxmlformats.org/officeDocument/2006/relationships/image" Target="media/image12.png"/><Relationship Id="rId62" Type="http://schemas.openxmlformats.org/officeDocument/2006/relationships/image" Target="media/image13.png"/><Relationship Id="rId63" Type="http://schemas.openxmlformats.org/officeDocument/2006/relationships/image" Target="media/image14.png"/><Relationship Id="rId64" Type="http://schemas.openxmlformats.org/officeDocument/2006/relationships/image" Target="media/image15.png"/><Relationship Id="rId65" Type="http://schemas.openxmlformats.org/officeDocument/2006/relationships/image" Target="media/image16.png"/><Relationship Id="rId66" Type="http://schemas.openxmlformats.org/officeDocument/2006/relationships/footer" Target="footer30.xml"/><Relationship Id="rId67" Type="http://schemas.openxmlformats.org/officeDocument/2006/relationships/image" Target="media/image17.png"/><Relationship Id="rId68" Type="http://schemas.openxmlformats.org/officeDocument/2006/relationships/image" Target="media/image18.png"/><Relationship Id="rId69" Type="http://schemas.openxmlformats.org/officeDocument/2006/relationships/image" Target="media/image19.png"/><Relationship Id="rId70" Type="http://schemas.openxmlformats.org/officeDocument/2006/relationships/image" Target="media/image20.png"/><Relationship Id="rId71" Type="http://schemas.openxmlformats.org/officeDocument/2006/relationships/image" Target="media/image21.png"/><Relationship Id="rId72" Type="http://schemas.openxmlformats.org/officeDocument/2006/relationships/image" Target="media/image22.png"/><Relationship Id="rId73" Type="http://schemas.openxmlformats.org/officeDocument/2006/relationships/image" Target="media/image23.png"/><Relationship Id="rId74" Type="http://schemas.openxmlformats.org/officeDocument/2006/relationships/footer" Target="footer31.xml"/><Relationship Id="rId75" Type="http://schemas.openxmlformats.org/officeDocument/2006/relationships/footer" Target="footer32.xml"/><Relationship Id="rId76" Type="http://schemas.openxmlformats.org/officeDocument/2006/relationships/image" Target="media/image24.png"/><Relationship Id="rId77" Type="http://schemas.openxmlformats.org/officeDocument/2006/relationships/image" Target="media/image25.png"/><Relationship Id="rId78" Type="http://schemas.openxmlformats.org/officeDocument/2006/relationships/image" Target="media/image26.png"/><Relationship Id="rId79" Type="http://schemas.openxmlformats.org/officeDocument/2006/relationships/image" Target="media/image27.png"/><Relationship Id="rId80" Type="http://schemas.openxmlformats.org/officeDocument/2006/relationships/image" Target="media/image28.png"/><Relationship Id="rId81" Type="http://schemas.openxmlformats.org/officeDocument/2006/relationships/image" Target="media/image29.png"/><Relationship Id="rId82" Type="http://schemas.openxmlformats.org/officeDocument/2006/relationships/image" Target="media/image30.png"/><Relationship Id="rId83" Type="http://schemas.openxmlformats.org/officeDocument/2006/relationships/image" Target="media/image31.png"/><Relationship Id="rId84" Type="http://schemas.openxmlformats.org/officeDocument/2006/relationships/image" Target="media/image32.png"/><Relationship Id="rId85" Type="http://schemas.openxmlformats.org/officeDocument/2006/relationships/image" Target="media/image33.png"/><Relationship Id="rId86" Type="http://schemas.openxmlformats.org/officeDocument/2006/relationships/image" Target="media/image34.png"/><Relationship Id="rId87" Type="http://schemas.openxmlformats.org/officeDocument/2006/relationships/image" Target="media/image35.png"/><Relationship Id="rId88" Type="http://schemas.openxmlformats.org/officeDocument/2006/relationships/image" Target="media/image36.png"/><Relationship Id="rId89" Type="http://schemas.openxmlformats.org/officeDocument/2006/relationships/image" Target="media/image37.png"/><Relationship Id="rId90" Type="http://schemas.openxmlformats.org/officeDocument/2006/relationships/image" Target="media/image38.png"/><Relationship Id="rId91" Type="http://schemas.openxmlformats.org/officeDocument/2006/relationships/image" Target="media/image39.png"/><Relationship Id="rId92" Type="http://schemas.openxmlformats.org/officeDocument/2006/relationships/image" Target="media/image40.png"/><Relationship Id="rId93" Type="http://schemas.openxmlformats.org/officeDocument/2006/relationships/image" Target="media/image41.png"/><Relationship Id="rId94" Type="http://schemas.openxmlformats.org/officeDocument/2006/relationships/image" Target="media/image42.png"/><Relationship Id="rId95" Type="http://schemas.openxmlformats.org/officeDocument/2006/relationships/image" Target="media/image43.png"/><Relationship Id="rId96" Type="http://schemas.openxmlformats.org/officeDocument/2006/relationships/image" Target="media/image44.png"/><Relationship Id="rId97" Type="http://schemas.openxmlformats.org/officeDocument/2006/relationships/image" Target="media/image45.png"/><Relationship Id="rId98" Type="http://schemas.openxmlformats.org/officeDocument/2006/relationships/image" Target="media/image46.png"/><Relationship Id="rId99" Type="http://schemas.openxmlformats.org/officeDocument/2006/relationships/image" Target="media/image47.png"/><Relationship Id="rId100" Type="http://schemas.openxmlformats.org/officeDocument/2006/relationships/image" Target="media/image48.png"/><Relationship Id="rId101" Type="http://schemas.openxmlformats.org/officeDocument/2006/relationships/image" Target="media/image49.png"/><Relationship Id="rId102" Type="http://schemas.openxmlformats.org/officeDocument/2006/relationships/image" Target="media/image50.png"/><Relationship Id="rId103" Type="http://schemas.openxmlformats.org/officeDocument/2006/relationships/image" Target="media/image51.png"/><Relationship Id="rId104" Type="http://schemas.openxmlformats.org/officeDocument/2006/relationships/image" Target="media/image52.png"/><Relationship Id="rId105" Type="http://schemas.openxmlformats.org/officeDocument/2006/relationships/image" Target="media/image53.png"/><Relationship Id="rId106" Type="http://schemas.openxmlformats.org/officeDocument/2006/relationships/image" Target="media/image54.png"/><Relationship Id="rId107" Type="http://schemas.openxmlformats.org/officeDocument/2006/relationships/image" Target="media/image55.png"/><Relationship Id="rId108" Type="http://schemas.openxmlformats.org/officeDocument/2006/relationships/image" Target="media/image56.png"/><Relationship Id="rId109" Type="http://schemas.openxmlformats.org/officeDocument/2006/relationships/image" Target="media/image57.png"/><Relationship Id="rId110" Type="http://schemas.openxmlformats.org/officeDocument/2006/relationships/image" Target="media/image58.png"/><Relationship Id="rId111" Type="http://schemas.openxmlformats.org/officeDocument/2006/relationships/image" Target="media/image59.png"/><Relationship Id="rId112" Type="http://schemas.openxmlformats.org/officeDocument/2006/relationships/image" Target="media/image60.png"/><Relationship Id="rId113" Type="http://schemas.openxmlformats.org/officeDocument/2006/relationships/image" Target="media/image61.png"/><Relationship Id="rId114" Type="http://schemas.openxmlformats.org/officeDocument/2006/relationships/image" Target="media/image62.png"/><Relationship Id="rId115" Type="http://schemas.openxmlformats.org/officeDocument/2006/relationships/image" Target="media/image63.png"/><Relationship Id="rId116" Type="http://schemas.openxmlformats.org/officeDocument/2006/relationships/image" Target="media/image64.png"/><Relationship Id="rId117" Type="http://schemas.openxmlformats.org/officeDocument/2006/relationships/image" Target="media/image65.png"/><Relationship Id="rId118" Type="http://schemas.openxmlformats.org/officeDocument/2006/relationships/image" Target="media/image66.png"/><Relationship Id="rId119" Type="http://schemas.openxmlformats.org/officeDocument/2006/relationships/image" Target="media/image67.png"/><Relationship Id="rId120" Type="http://schemas.openxmlformats.org/officeDocument/2006/relationships/image" Target="media/image68.png"/><Relationship Id="rId121" Type="http://schemas.openxmlformats.org/officeDocument/2006/relationships/image" Target="media/image69.png"/><Relationship Id="rId122" Type="http://schemas.openxmlformats.org/officeDocument/2006/relationships/image" Target="media/image70.png"/><Relationship Id="rId123" Type="http://schemas.openxmlformats.org/officeDocument/2006/relationships/image" Target="media/image71.png"/><Relationship Id="rId124" Type="http://schemas.openxmlformats.org/officeDocument/2006/relationships/image" Target="media/image72.png"/><Relationship Id="rId125" Type="http://schemas.openxmlformats.org/officeDocument/2006/relationships/image" Target="media/image73.png"/><Relationship Id="rId126" Type="http://schemas.openxmlformats.org/officeDocument/2006/relationships/image" Target="media/image74.png"/><Relationship Id="rId127" Type="http://schemas.openxmlformats.org/officeDocument/2006/relationships/image" Target="media/image75.png"/><Relationship Id="rId128" Type="http://schemas.openxmlformats.org/officeDocument/2006/relationships/image" Target="media/image76.png"/><Relationship Id="rId129" Type="http://schemas.openxmlformats.org/officeDocument/2006/relationships/image" Target="media/image77.png"/><Relationship Id="rId130" Type="http://schemas.openxmlformats.org/officeDocument/2006/relationships/image" Target="media/image78.png"/><Relationship Id="rId131" Type="http://schemas.openxmlformats.org/officeDocument/2006/relationships/image" Target="media/image79.png"/><Relationship Id="rId132" Type="http://schemas.openxmlformats.org/officeDocument/2006/relationships/image" Target="media/image80.png"/><Relationship Id="rId133" Type="http://schemas.openxmlformats.org/officeDocument/2006/relationships/image" Target="media/image81.png"/><Relationship Id="rId134" Type="http://schemas.openxmlformats.org/officeDocument/2006/relationships/image" Target="media/image82.png"/><Relationship Id="rId135" Type="http://schemas.openxmlformats.org/officeDocument/2006/relationships/image" Target="media/image83.png"/><Relationship Id="rId136" Type="http://schemas.openxmlformats.org/officeDocument/2006/relationships/image" Target="media/image84.png"/><Relationship Id="rId137" Type="http://schemas.openxmlformats.org/officeDocument/2006/relationships/image" Target="media/image85.png"/><Relationship Id="rId138" Type="http://schemas.openxmlformats.org/officeDocument/2006/relationships/image" Target="media/image86.png"/><Relationship Id="rId139" Type="http://schemas.openxmlformats.org/officeDocument/2006/relationships/footer" Target="footer33.xml"/><Relationship Id="rId140" Type="http://schemas.openxmlformats.org/officeDocument/2006/relationships/footer" Target="footer34.xml"/><Relationship Id="rId141" Type="http://schemas.openxmlformats.org/officeDocument/2006/relationships/header" Target="header14.xml"/><Relationship Id="rId142" Type="http://schemas.openxmlformats.org/officeDocument/2006/relationships/image" Target="media/image87.png"/><Relationship Id="rId143" Type="http://schemas.openxmlformats.org/officeDocument/2006/relationships/image" Target="media/image88.png"/><Relationship Id="rId144" Type="http://schemas.openxmlformats.org/officeDocument/2006/relationships/image" Target="media/image89.png"/><Relationship Id="rId145" Type="http://schemas.openxmlformats.org/officeDocument/2006/relationships/image" Target="media/image90.png"/><Relationship Id="rId146" Type="http://schemas.openxmlformats.org/officeDocument/2006/relationships/image" Target="media/image91.png"/><Relationship Id="rId147" Type="http://schemas.openxmlformats.org/officeDocument/2006/relationships/image" Target="media/image92.png"/><Relationship Id="rId148" Type="http://schemas.openxmlformats.org/officeDocument/2006/relationships/header" Target="header15.xml"/><Relationship Id="rId149" Type="http://schemas.openxmlformats.org/officeDocument/2006/relationships/header" Target="header16.xml"/><Relationship Id="rId150" Type="http://schemas.openxmlformats.org/officeDocument/2006/relationships/footer" Target="footer35.xml"/><Relationship Id="rId151" Type="http://schemas.openxmlformats.org/officeDocument/2006/relationships/footer" Target="footer36.xml"/><Relationship Id="rId152" Type="http://schemas.openxmlformats.org/officeDocument/2006/relationships/image" Target="media/image93.png"/><Relationship Id="rId153" Type="http://schemas.openxmlformats.org/officeDocument/2006/relationships/image" Target="media/image94.png"/><Relationship Id="rId154" Type="http://schemas.openxmlformats.org/officeDocument/2006/relationships/image" Target="media/image95.png"/><Relationship Id="rId155" Type="http://schemas.openxmlformats.org/officeDocument/2006/relationships/image" Target="media/image96.png"/><Relationship Id="rId156" Type="http://schemas.openxmlformats.org/officeDocument/2006/relationships/image" Target="media/image97.png"/><Relationship Id="rId157" Type="http://schemas.openxmlformats.org/officeDocument/2006/relationships/image" Target="media/image98.png"/><Relationship Id="rId158" Type="http://schemas.openxmlformats.org/officeDocument/2006/relationships/image" Target="media/image99.png"/><Relationship Id="rId159" Type="http://schemas.openxmlformats.org/officeDocument/2006/relationships/image" Target="media/image100.png"/><Relationship Id="rId160" Type="http://schemas.openxmlformats.org/officeDocument/2006/relationships/image" Target="media/image101.png"/><Relationship Id="rId161" Type="http://schemas.openxmlformats.org/officeDocument/2006/relationships/image" Target="media/image102.png"/><Relationship Id="rId162" Type="http://schemas.openxmlformats.org/officeDocument/2006/relationships/image" Target="media/image103.png"/><Relationship Id="rId163" Type="http://schemas.openxmlformats.org/officeDocument/2006/relationships/image" Target="media/image104.png"/><Relationship Id="rId164" Type="http://schemas.openxmlformats.org/officeDocument/2006/relationships/footer" Target="footer37.xml"/><Relationship Id="rId165" Type="http://schemas.openxmlformats.org/officeDocument/2006/relationships/image" Target="media/image105.png"/><Relationship Id="rId166" Type="http://schemas.openxmlformats.org/officeDocument/2006/relationships/image" Target="media/image106.png"/><Relationship Id="rId167" Type="http://schemas.openxmlformats.org/officeDocument/2006/relationships/image" Target="media/image107.png"/><Relationship Id="rId168" Type="http://schemas.openxmlformats.org/officeDocument/2006/relationships/image" Target="media/image108.png"/><Relationship Id="rId169" Type="http://schemas.openxmlformats.org/officeDocument/2006/relationships/image" Target="media/image109.png"/><Relationship Id="rId170" Type="http://schemas.openxmlformats.org/officeDocument/2006/relationships/image" Target="media/image110.png"/><Relationship Id="rId171" Type="http://schemas.openxmlformats.org/officeDocument/2006/relationships/image" Target="media/image111.png"/><Relationship Id="rId172" Type="http://schemas.openxmlformats.org/officeDocument/2006/relationships/image" Target="media/image112.png"/><Relationship Id="rId173" Type="http://schemas.openxmlformats.org/officeDocument/2006/relationships/image" Target="media/image113.png"/><Relationship Id="rId174" Type="http://schemas.openxmlformats.org/officeDocument/2006/relationships/image" Target="media/image114.png"/><Relationship Id="rId175" Type="http://schemas.openxmlformats.org/officeDocument/2006/relationships/footer" Target="footer38.xml"/><Relationship Id="rId176" Type="http://schemas.openxmlformats.org/officeDocument/2006/relationships/header" Target="header17.xml"/><Relationship Id="rId177" Type="http://schemas.openxmlformats.org/officeDocument/2006/relationships/footer" Target="footer39.xml"/><Relationship Id="rId178" Type="http://schemas.openxmlformats.org/officeDocument/2006/relationships/header" Target="header18.xml"/><Relationship Id="rId179" Type="http://schemas.openxmlformats.org/officeDocument/2006/relationships/footer" Target="footer40.xml"/><Relationship Id="rId180" Type="http://schemas.openxmlformats.org/officeDocument/2006/relationships/header" Target="header19.xml"/><Relationship Id="rId181" Type="http://schemas.openxmlformats.org/officeDocument/2006/relationships/footer" Target="footer41.xml"/><Relationship Id="rId182" Type="http://schemas.openxmlformats.org/officeDocument/2006/relationships/header" Target="header20.xml"/><Relationship Id="rId183" Type="http://schemas.openxmlformats.org/officeDocument/2006/relationships/footer" Target="footer42.xml"/><Relationship Id="rId184" Type="http://schemas.openxmlformats.org/officeDocument/2006/relationships/header" Target="header21.xml"/><Relationship Id="rId185" Type="http://schemas.openxmlformats.org/officeDocument/2006/relationships/footer" Target="footer43.xml"/><Relationship Id="rId186" Type="http://schemas.openxmlformats.org/officeDocument/2006/relationships/footer" Target="footer44.xml"/><Relationship Id="rId187" Type="http://schemas.openxmlformats.org/officeDocument/2006/relationships/footer" Target="footer45.xml"/><Relationship Id="rId188" Type="http://schemas.openxmlformats.org/officeDocument/2006/relationships/footer" Target="footer46.xml"/><Relationship Id="rId189" Type="http://schemas.openxmlformats.org/officeDocument/2006/relationships/header" Target="header22.xml"/><Relationship Id="rId190" Type="http://schemas.openxmlformats.org/officeDocument/2006/relationships/footer" Target="footer47.xml"/><Relationship Id="rId191" Type="http://schemas.openxmlformats.org/officeDocument/2006/relationships/footer" Target="footer48.xml"/><Relationship Id="rId192" Type="http://schemas.openxmlformats.org/officeDocument/2006/relationships/header" Target="header23.xml"/><Relationship Id="rId193" Type="http://schemas.openxmlformats.org/officeDocument/2006/relationships/footer" Target="footer49.xml"/><Relationship Id="rId194" Type="http://schemas.openxmlformats.org/officeDocument/2006/relationships/header" Target="header24.xml"/><Relationship Id="rId195" Type="http://schemas.openxmlformats.org/officeDocument/2006/relationships/footer" Target="footer50.xml"/><Relationship Id="rId196" Type="http://schemas.openxmlformats.org/officeDocument/2006/relationships/header" Target="header25.xml"/><Relationship Id="rId197" Type="http://schemas.openxmlformats.org/officeDocument/2006/relationships/footer" Target="footer51.xml"/><Relationship Id="rId198" Type="http://schemas.openxmlformats.org/officeDocument/2006/relationships/footer" Target="footer52.xml"/><Relationship Id="rId199" Type="http://schemas.openxmlformats.org/officeDocument/2006/relationships/footer" Target="footer53.xml"/><Relationship Id="rId200" Type="http://schemas.openxmlformats.org/officeDocument/2006/relationships/image" Target="media/image115.png"/><Relationship Id="rId201" Type="http://schemas.openxmlformats.org/officeDocument/2006/relationships/image" Target="media/image116.png"/><Relationship Id="rId202" Type="http://schemas.openxmlformats.org/officeDocument/2006/relationships/image" Target="media/image117.png"/><Relationship Id="rId203" Type="http://schemas.openxmlformats.org/officeDocument/2006/relationships/image" Target="media/image118.png"/><Relationship Id="rId204" Type="http://schemas.openxmlformats.org/officeDocument/2006/relationships/image" Target="media/image119.png"/><Relationship Id="rId205" Type="http://schemas.openxmlformats.org/officeDocument/2006/relationships/image" Target="media/image120.png"/><Relationship Id="rId206" Type="http://schemas.openxmlformats.org/officeDocument/2006/relationships/image" Target="media/image121.png"/><Relationship Id="rId207" Type="http://schemas.openxmlformats.org/officeDocument/2006/relationships/image" Target="media/image122.png"/><Relationship Id="rId208" Type="http://schemas.openxmlformats.org/officeDocument/2006/relationships/image" Target="media/image123.png"/><Relationship Id="rId209" Type="http://schemas.openxmlformats.org/officeDocument/2006/relationships/image" Target="media/image124.png"/><Relationship Id="rId210" Type="http://schemas.openxmlformats.org/officeDocument/2006/relationships/image" Target="media/image125.png"/><Relationship Id="rId211" Type="http://schemas.openxmlformats.org/officeDocument/2006/relationships/image" Target="media/image126.png"/><Relationship Id="rId212" Type="http://schemas.openxmlformats.org/officeDocument/2006/relationships/image" Target="media/image127.png"/><Relationship Id="rId213" Type="http://schemas.openxmlformats.org/officeDocument/2006/relationships/image" Target="media/image128.png"/><Relationship Id="rId214" Type="http://schemas.openxmlformats.org/officeDocument/2006/relationships/image" Target="media/image129.png"/><Relationship Id="rId215" Type="http://schemas.openxmlformats.org/officeDocument/2006/relationships/image" Target="media/image130.png"/><Relationship Id="rId216" Type="http://schemas.openxmlformats.org/officeDocument/2006/relationships/image" Target="media/image131.png"/><Relationship Id="rId217" Type="http://schemas.openxmlformats.org/officeDocument/2006/relationships/image" Target="media/image132.png"/><Relationship Id="rId218" Type="http://schemas.openxmlformats.org/officeDocument/2006/relationships/image" Target="media/image133.png"/><Relationship Id="rId219" Type="http://schemas.openxmlformats.org/officeDocument/2006/relationships/footer" Target="footer54.xml"/><Relationship Id="rId220" Type="http://schemas.openxmlformats.org/officeDocument/2006/relationships/footer" Target="footer55.xml"/><Relationship Id="rId221" Type="http://schemas.openxmlformats.org/officeDocument/2006/relationships/header" Target="header26.xml"/><Relationship Id="rId222" Type="http://schemas.openxmlformats.org/officeDocument/2006/relationships/footer" Target="footer56.xml"/><Relationship Id="rId223" Type="http://schemas.openxmlformats.org/officeDocument/2006/relationships/header" Target="header27.xml"/><Relationship Id="rId224" Type="http://schemas.openxmlformats.org/officeDocument/2006/relationships/footer" Target="footer57.xml"/><Relationship Id="rId225" Type="http://schemas.openxmlformats.org/officeDocument/2006/relationships/header" Target="header28.xml"/><Relationship Id="rId226" Type="http://schemas.openxmlformats.org/officeDocument/2006/relationships/footer" Target="footer58.xml"/><Relationship Id="rId227" Type="http://schemas.openxmlformats.org/officeDocument/2006/relationships/footer" Target="footer59.xml"/><Relationship Id="rId228" Type="http://schemas.openxmlformats.org/officeDocument/2006/relationships/footer" Target="footer60.xml"/><Relationship Id="rId229" Type="http://schemas.openxmlformats.org/officeDocument/2006/relationships/image" Target="media/image134.png"/><Relationship Id="rId230" Type="http://schemas.openxmlformats.org/officeDocument/2006/relationships/image" Target="media/image135.png"/><Relationship Id="rId231" Type="http://schemas.openxmlformats.org/officeDocument/2006/relationships/image" Target="media/image136.png"/><Relationship Id="rId232" Type="http://schemas.openxmlformats.org/officeDocument/2006/relationships/image" Target="media/image137.png"/><Relationship Id="rId233" Type="http://schemas.openxmlformats.org/officeDocument/2006/relationships/image" Target="media/image138.png"/><Relationship Id="rId234" Type="http://schemas.openxmlformats.org/officeDocument/2006/relationships/image" Target="media/image139.png"/><Relationship Id="rId235" Type="http://schemas.openxmlformats.org/officeDocument/2006/relationships/image" Target="media/image140.png"/><Relationship Id="rId236" Type="http://schemas.openxmlformats.org/officeDocument/2006/relationships/image" Target="media/image141.png"/><Relationship Id="rId237" Type="http://schemas.openxmlformats.org/officeDocument/2006/relationships/image" Target="media/image142.png"/><Relationship Id="rId238" Type="http://schemas.openxmlformats.org/officeDocument/2006/relationships/image" Target="media/image143.png"/><Relationship Id="rId239" Type="http://schemas.openxmlformats.org/officeDocument/2006/relationships/image" Target="media/image144.png"/><Relationship Id="rId240" Type="http://schemas.openxmlformats.org/officeDocument/2006/relationships/image" Target="media/image145.png"/><Relationship Id="rId241" Type="http://schemas.openxmlformats.org/officeDocument/2006/relationships/image" Target="media/image146.png"/><Relationship Id="rId242" Type="http://schemas.openxmlformats.org/officeDocument/2006/relationships/image" Target="media/image147.png"/><Relationship Id="rId243" Type="http://schemas.openxmlformats.org/officeDocument/2006/relationships/image" Target="media/image148.png"/><Relationship Id="rId244" Type="http://schemas.openxmlformats.org/officeDocument/2006/relationships/image" Target="media/image149.png"/><Relationship Id="rId245" Type="http://schemas.openxmlformats.org/officeDocument/2006/relationships/image" Target="media/image150.png"/><Relationship Id="rId246" Type="http://schemas.openxmlformats.org/officeDocument/2006/relationships/image" Target="media/image151.png"/><Relationship Id="rId247" Type="http://schemas.openxmlformats.org/officeDocument/2006/relationships/footer" Target="footer61.xml"/><Relationship Id="rId248" Type="http://schemas.openxmlformats.org/officeDocument/2006/relationships/image" Target="media/image152.png"/><Relationship Id="rId249" Type="http://schemas.openxmlformats.org/officeDocument/2006/relationships/image" Target="media/image153.png"/><Relationship Id="rId250" Type="http://schemas.openxmlformats.org/officeDocument/2006/relationships/image" Target="media/image154.png"/><Relationship Id="rId251" Type="http://schemas.openxmlformats.org/officeDocument/2006/relationships/image" Target="media/image155.png"/><Relationship Id="rId252" Type="http://schemas.openxmlformats.org/officeDocument/2006/relationships/image" Target="media/image156.png"/><Relationship Id="rId253" Type="http://schemas.openxmlformats.org/officeDocument/2006/relationships/image" Target="media/image157.png"/><Relationship Id="rId254" Type="http://schemas.openxmlformats.org/officeDocument/2006/relationships/footer" Target="footer62.xml"/><Relationship Id="rId255" Type="http://schemas.openxmlformats.org/officeDocument/2006/relationships/header" Target="header29.xml"/><Relationship Id="rId256" Type="http://schemas.openxmlformats.org/officeDocument/2006/relationships/footer" Target="footer63.xml"/><Relationship Id="rId257" Type="http://schemas.openxmlformats.org/officeDocument/2006/relationships/header" Target="header30.xml"/><Relationship Id="rId258" Type="http://schemas.openxmlformats.org/officeDocument/2006/relationships/footer" Target="footer64.xml"/><Relationship Id="rId259" Type="http://schemas.openxmlformats.org/officeDocument/2006/relationships/image" Target="media/image158.png"/><Relationship Id="rId260" Type="http://schemas.openxmlformats.org/officeDocument/2006/relationships/header" Target="header31.xml"/><Relationship Id="rId261" Type="http://schemas.openxmlformats.org/officeDocument/2006/relationships/image" Target="media/image159.png"/><Relationship Id="rId262" Type="http://schemas.openxmlformats.org/officeDocument/2006/relationships/image" Target="media/image160.png"/><Relationship Id="rId263" Type="http://schemas.openxmlformats.org/officeDocument/2006/relationships/image" Target="media/image161.png"/><Relationship Id="rId264" Type="http://schemas.openxmlformats.org/officeDocument/2006/relationships/image" Target="media/image162.png"/><Relationship Id="rId265" Type="http://schemas.openxmlformats.org/officeDocument/2006/relationships/image" Target="media/image163.png"/><Relationship Id="rId266" Type="http://schemas.openxmlformats.org/officeDocument/2006/relationships/image" Target="media/image164.png"/><Relationship Id="rId267" Type="http://schemas.openxmlformats.org/officeDocument/2006/relationships/image" Target="media/image165.png"/><Relationship Id="rId268" Type="http://schemas.openxmlformats.org/officeDocument/2006/relationships/image" Target="media/image166.png"/><Relationship Id="rId269" Type="http://schemas.openxmlformats.org/officeDocument/2006/relationships/image" Target="media/image167.png"/><Relationship Id="rId270" Type="http://schemas.openxmlformats.org/officeDocument/2006/relationships/image" Target="media/image168.png"/><Relationship Id="rId271" Type="http://schemas.openxmlformats.org/officeDocument/2006/relationships/image" Target="media/image169.png"/><Relationship Id="rId272" Type="http://schemas.openxmlformats.org/officeDocument/2006/relationships/image" Target="media/image170.png"/><Relationship Id="rId273" Type="http://schemas.openxmlformats.org/officeDocument/2006/relationships/image" Target="media/image171.png"/><Relationship Id="rId274" Type="http://schemas.openxmlformats.org/officeDocument/2006/relationships/image" Target="media/image172.png"/><Relationship Id="rId275" Type="http://schemas.openxmlformats.org/officeDocument/2006/relationships/footer" Target="footer65.xml"/><Relationship Id="rId276" Type="http://schemas.openxmlformats.org/officeDocument/2006/relationships/footer" Target="footer66.xml"/><Relationship Id="rId277" Type="http://schemas.openxmlformats.org/officeDocument/2006/relationships/header" Target="header32.xml"/><Relationship Id="rId278" Type="http://schemas.openxmlformats.org/officeDocument/2006/relationships/footer" Target="footer67.xml"/><Relationship Id="rId279" Type="http://schemas.openxmlformats.org/officeDocument/2006/relationships/header" Target="header33.xml"/><Relationship Id="rId280" Type="http://schemas.openxmlformats.org/officeDocument/2006/relationships/footer" Target="footer68.xml"/><Relationship Id="rId281" Type="http://schemas.openxmlformats.org/officeDocument/2006/relationships/header" Target="header34.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10.xml.rels><?xml version="1.0" encoding="UTF-8" standalone="yes"?>
<Relationships xmlns="http://schemas.openxmlformats.org/package/2006/relationships"><Relationship Id="rId1" Type="http://schemas.openxmlformats.org/officeDocument/2006/relationships/image" Target="media/image2.png"/></Relationships>

</file>

<file path=word/_rels/header11.xml.rels><?xml version="1.0" encoding="UTF-8" standalone="yes"?>
<Relationships xmlns="http://schemas.openxmlformats.org/package/2006/relationships"><Relationship Id="rId1" Type="http://schemas.openxmlformats.org/officeDocument/2006/relationships/image" Target="media/image2.png"/></Relationships>

</file>

<file path=word/_rels/header12.xml.rels><?xml version="1.0" encoding="UTF-8" standalone="yes"?>
<Relationships xmlns="http://schemas.openxmlformats.org/package/2006/relationships"><Relationship Id="rId1" Type="http://schemas.openxmlformats.org/officeDocument/2006/relationships/image" Target="media/image2.png"/></Relationships>

</file>

<file path=word/_rels/header13.xml.rels><?xml version="1.0" encoding="UTF-8" standalone="yes"?>
<Relationships xmlns="http://schemas.openxmlformats.org/package/2006/relationships"><Relationship Id="rId1" Type="http://schemas.openxmlformats.org/officeDocument/2006/relationships/image" Target="media/image2.png"/></Relationships>

</file>

<file path=word/_rels/header15.xml.rels><?xml version="1.0" encoding="UTF-8" standalone="yes"?>
<Relationships xmlns="http://schemas.openxmlformats.org/package/2006/relationships"><Relationship Id="rId1" Type="http://schemas.openxmlformats.org/officeDocument/2006/relationships/image" Target="media/image2.png"/></Relationships>

</file>

<file path=word/_rels/header19.xml.rels><?xml version="1.0" encoding="UTF-8" standalone="yes"?>
<Relationships xmlns="http://schemas.openxmlformats.org/package/2006/relationships"><Relationship Id="rId1" Type="http://schemas.openxmlformats.org/officeDocument/2006/relationships/image" Target="media/image2.png"/></Relationships>

</file>

<file path=word/_rels/header20.xml.rels><?xml version="1.0" encoding="UTF-8" standalone="yes"?>
<Relationships xmlns="http://schemas.openxmlformats.org/package/2006/relationships"><Relationship Id="rId1" Type="http://schemas.openxmlformats.org/officeDocument/2006/relationships/image" Target="media/image2.png"/></Relationships>

</file>

<file path=word/_rels/header24.xml.rels><?xml version="1.0" encoding="UTF-8" standalone="yes"?>
<Relationships xmlns="http://schemas.openxmlformats.org/package/2006/relationships"><Relationship Id="rId1" Type="http://schemas.openxmlformats.org/officeDocument/2006/relationships/image" Target="media/image2.png"/></Relationships>

</file>

<file path=word/_rels/header27.xml.rels><?xml version="1.0" encoding="UTF-8" standalone="yes"?>
<Relationships xmlns="http://schemas.openxmlformats.org/package/2006/relationships"><Relationship Id="rId1" Type="http://schemas.openxmlformats.org/officeDocument/2006/relationships/image" Target="media/image2.png"/></Relationships>

</file>

<file path=word/_rels/header28.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31.xml.rels><?xml version="1.0" encoding="UTF-8" standalone="yes"?>
<Relationships xmlns="http://schemas.openxmlformats.org/package/2006/relationships"><Relationship Id="rId1" Type="http://schemas.openxmlformats.org/officeDocument/2006/relationships/image" Target="media/image2.png"/></Relationships>

</file>

<file path=word/_rels/header3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_rels/header7.xml.rels><?xml version="1.0" encoding="UTF-8" standalone="yes"?>
<Relationships xmlns="http://schemas.openxmlformats.org/package/2006/relationships"><Relationship Id="rId1" Type="http://schemas.openxmlformats.org/officeDocument/2006/relationships/image" Target="media/image2.png"/></Relationships>

</file>

<file path=word/_rels/header9.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czq</dc:creator>
  <dc:title>股份有限公司</dc:title>
  <dcterms:created xsi:type="dcterms:W3CDTF">2020-05-19T07:43:57Z</dcterms:created>
  <dcterms:modified xsi:type="dcterms:W3CDTF">2020-05-19T07:43:57Z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2020-04-24T00:00:00Z</vt:filetime>
  </property>
  <property fmtid="{D5CDD505-2E9C-101B-9397-08002B2CF9AE}" pid="3" name="Creator">
    <vt:lpwstr>Microsoft® Office Word 2007</vt:lpwstr>
  </property>
  <property fmtid="{D5CDD505-2E9C-101B-9397-08002B2CF9AE}" pid="4" name="LastSaved">
    <vt:filetime>2020-05-18T00:00:00Z</vt:filetime>
  </property>
</Properties>
</file>